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13C7A" w14:textId="5597AFC9" w:rsidR="002A75B0" w:rsidRPr="00151B73" w:rsidRDefault="002A75B0" w:rsidP="00011364">
      <w:pPr>
        <w:pStyle w:val="Subtitle"/>
        <w:spacing w:after="0"/>
        <w:rPr>
          <w:rFonts w:eastAsiaTheme="majorEastAsia"/>
          <w:i w:val="0"/>
          <w:sz w:val="36"/>
          <w:szCs w:val="36"/>
          <w:lang w:eastAsia="en-US"/>
        </w:rPr>
      </w:pPr>
      <w:r w:rsidRPr="00151B73">
        <w:rPr>
          <w:rFonts w:eastAsiaTheme="majorEastAsia"/>
          <w:i w:val="0"/>
          <w:sz w:val="36"/>
          <w:szCs w:val="36"/>
          <w:lang w:eastAsia="en-US"/>
        </w:rPr>
        <w:t>Medical Services Advisory Committee (MSAC)</w:t>
      </w:r>
    </w:p>
    <w:p w14:paraId="4639DCDA" w14:textId="23E9AC51" w:rsidR="002A75B0" w:rsidRPr="007F49A2" w:rsidRDefault="007F49A2" w:rsidP="007F49A2">
      <w:pPr>
        <w:pStyle w:val="Heading1"/>
        <w:numPr>
          <w:ilvl w:val="0"/>
          <w:numId w:val="0"/>
        </w:numPr>
        <w:pBdr>
          <w:bottom w:val="none" w:sz="0" w:space="0" w:color="auto"/>
        </w:pBdr>
        <w:spacing w:before="0" w:after="360"/>
        <w:ind w:left="788"/>
        <w:jc w:val="center"/>
        <w:rPr>
          <w:rFonts w:ascii="Arial" w:hAnsi="Arial" w:cs="Arial"/>
          <w:b/>
          <w:color w:val="000080"/>
          <w:sz w:val="36"/>
          <w:szCs w:val="36"/>
        </w:rPr>
      </w:pPr>
      <w:r w:rsidRPr="005B6EFD">
        <w:rPr>
          <w:rFonts w:ascii="Arial" w:hAnsi="Arial" w:cs="Arial"/>
          <w:b/>
          <w:bCs/>
          <w:color w:val="000080"/>
          <w:sz w:val="36"/>
          <w:szCs w:val="36"/>
        </w:rPr>
        <w:t>Public Summary Document</w:t>
      </w:r>
    </w:p>
    <w:p w14:paraId="7A128FDE" w14:textId="3ED215C1" w:rsidR="00772829" w:rsidRPr="00CE28E3" w:rsidRDefault="00772829" w:rsidP="00772829">
      <w:pPr>
        <w:pStyle w:val="Subtitle"/>
      </w:pPr>
      <w:r w:rsidRPr="00CE28E3">
        <w:t xml:space="preserve">Application No. </w:t>
      </w:r>
      <w:r w:rsidR="00613275">
        <w:t>1785</w:t>
      </w:r>
      <w:r w:rsidR="00B53BB0">
        <w:t xml:space="preserve"> </w:t>
      </w:r>
      <w:r w:rsidR="00750854">
        <w:t>– Dexcom ONE+ Continuous Glucose Monitoring System</w:t>
      </w:r>
    </w:p>
    <w:p w14:paraId="35263561" w14:textId="73D623CA" w:rsidR="00772829" w:rsidRPr="00CE28E3" w:rsidRDefault="00772829" w:rsidP="00772829">
      <w:pPr>
        <w:tabs>
          <w:tab w:val="left" w:pos="3686"/>
        </w:tabs>
        <w:spacing w:after="240"/>
        <w:rPr>
          <w:rFonts w:ascii="Arial" w:hAnsi="Arial" w:cs="Arial"/>
          <w:b/>
          <w:szCs w:val="24"/>
        </w:rPr>
      </w:pPr>
      <w:r w:rsidRPr="00CE28E3">
        <w:rPr>
          <w:rFonts w:ascii="Arial" w:hAnsi="Arial" w:cs="Arial"/>
          <w:b/>
          <w:szCs w:val="24"/>
        </w:rPr>
        <w:t>Applicant:</w:t>
      </w:r>
      <w:r w:rsidRPr="00CE28E3">
        <w:rPr>
          <w:rFonts w:ascii="Arial" w:hAnsi="Arial" w:cs="Arial"/>
          <w:b/>
          <w:szCs w:val="24"/>
        </w:rPr>
        <w:tab/>
      </w:r>
      <w:r w:rsidR="004877A8" w:rsidRPr="004877A8">
        <w:rPr>
          <w:rFonts w:ascii="Arial" w:hAnsi="Arial" w:cs="Arial"/>
          <w:b/>
          <w:szCs w:val="24"/>
        </w:rPr>
        <w:t>Australian Medical &amp; Scientific Limited</w:t>
      </w:r>
    </w:p>
    <w:p w14:paraId="15DA9C4A" w14:textId="79A4177F" w:rsidR="009A3778" w:rsidRDefault="00772829" w:rsidP="005E5080">
      <w:pPr>
        <w:tabs>
          <w:tab w:val="left" w:pos="3686"/>
        </w:tabs>
        <w:spacing w:after="120"/>
        <w:rPr>
          <w:rFonts w:ascii="Arial" w:hAnsi="Arial" w:cs="Arial"/>
          <w:b/>
          <w:szCs w:val="24"/>
        </w:rPr>
      </w:pPr>
      <w:r w:rsidRPr="00CE28E3">
        <w:rPr>
          <w:rFonts w:ascii="Arial" w:hAnsi="Arial" w:cs="Arial"/>
          <w:b/>
          <w:szCs w:val="24"/>
        </w:rPr>
        <w:t xml:space="preserve">Date of </w:t>
      </w:r>
      <w:r w:rsidR="007F49A2">
        <w:rPr>
          <w:rFonts w:ascii="Arial" w:hAnsi="Arial" w:cs="Arial"/>
          <w:b/>
          <w:szCs w:val="24"/>
        </w:rPr>
        <w:t>MSAC</w:t>
      </w:r>
      <w:r w:rsidRPr="00CE28E3">
        <w:rPr>
          <w:rFonts w:ascii="Arial" w:hAnsi="Arial" w:cs="Arial"/>
          <w:b/>
          <w:szCs w:val="24"/>
        </w:rPr>
        <w:t xml:space="preserve"> consideration:</w:t>
      </w:r>
      <w:r w:rsidRPr="00CE28E3">
        <w:rPr>
          <w:rFonts w:ascii="Arial" w:hAnsi="Arial" w:cs="Arial"/>
          <w:b/>
          <w:szCs w:val="24"/>
        </w:rPr>
        <w:tab/>
      </w:r>
      <w:r w:rsidR="007F49A2">
        <w:rPr>
          <w:rFonts w:ascii="Arial" w:hAnsi="Arial" w:cs="Arial"/>
          <w:b/>
          <w:szCs w:val="24"/>
        </w:rPr>
        <w:t>30 July</w:t>
      </w:r>
      <w:r w:rsidR="005E67DA" w:rsidRPr="007C72F6">
        <w:rPr>
          <w:rFonts w:ascii="Arial" w:hAnsi="Arial" w:cs="Arial"/>
          <w:b/>
          <w:szCs w:val="24"/>
        </w:rPr>
        <w:t xml:space="preserve"> 2026</w:t>
      </w:r>
    </w:p>
    <w:p w14:paraId="75893183" w14:textId="68E01EDB" w:rsidR="005E5080" w:rsidRPr="005E5080" w:rsidRDefault="005E5080" w:rsidP="005E5080">
      <w:pPr>
        <w:spacing w:before="0" w:after="200"/>
        <w:rPr>
          <w:color w:val="0000FF"/>
          <w:u w:val="single"/>
        </w:rPr>
      </w:pPr>
      <w:bookmarkStart w:id="0" w:name="_Hlk194308493"/>
      <w:r w:rsidRPr="005B6EFD">
        <w:t xml:space="preserve">Context for decision: MSAC makes its advice in accordance with its Terms of Reference, </w:t>
      </w:r>
      <w:hyperlink r:id="rId11" w:tooltip="Link to Medical Services Advisory Committee website" w:history="1">
        <w:r w:rsidRPr="005B6EFD">
          <w:rPr>
            <w:color w:val="007BB8"/>
            <w:u w:val="single"/>
          </w:rPr>
          <w:t>visit the MSAC website</w:t>
        </w:r>
      </w:hyperlink>
      <w:bookmarkEnd w:id="0"/>
    </w:p>
    <w:p w14:paraId="7EAA7262" w14:textId="3093CF30" w:rsidR="00772829" w:rsidRPr="00CE28E3" w:rsidRDefault="00772829" w:rsidP="00670C60">
      <w:pPr>
        <w:pStyle w:val="Heading2"/>
        <w:numPr>
          <w:ilvl w:val="0"/>
          <w:numId w:val="32"/>
        </w:numPr>
        <w:ind w:hanging="720"/>
      </w:pPr>
      <w:bookmarkStart w:id="1" w:name="_Toc69491415"/>
      <w:r w:rsidRPr="00CE28E3">
        <w:t xml:space="preserve">Purpose </w:t>
      </w:r>
      <w:r w:rsidRPr="00CE28E3">
        <w:rPr>
          <w:szCs w:val="32"/>
        </w:rPr>
        <w:t>of</w:t>
      </w:r>
      <w:r w:rsidRPr="00CE28E3">
        <w:t xml:space="preserve"> application</w:t>
      </w:r>
      <w:bookmarkEnd w:id="1"/>
    </w:p>
    <w:p w14:paraId="6BF31FF2" w14:textId="310DC022" w:rsidR="00772829" w:rsidRPr="00B9453F" w:rsidRDefault="002C5629" w:rsidP="00772829">
      <w:pPr>
        <w:spacing w:after="240"/>
        <w:rPr>
          <w:iCs/>
        </w:rPr>
      </w:pPr>
      <w:bookmarkStart w:id="2" w:name="_Hlk69734469"/>
      <w:r w:rsidRPr="00B9453F">
        <w:rPr>
          <w:iCs/>
        </w:rPr>
        <w:t xml:space="preserve">This </w:t>
      </w:r>
      <w:r w:rsidR="00772829" w:rsidRPr="00B9453F">
        <w:rPr>
          <w:iCs/>
        </w:rPr>
        <w:t xml:space="preserve">application </w:t>
      </w:r>
      <w:r w:rsidRPr="00B9453F">
        <w:rPr>
          <w:iCs/>
        </w:rPr>
        <w:t xml:space="preserve">is a resubmission of the </w:t>
      </w:r>
      <w:r w:rsidR="008B6488" w:rsidRPr="00B9453F">
        <w:rPr>
          <w:iCs/>
        </w:rPr>
        <w:t>application received in February 202</w:t>
      </w:r>
      <w:r w:rsidR="008E53A9" w:rsidRPr="00B9453F">
        <w:rPr>
          <w:iCs/>
        </w:rPr>
        <w:t xml:space="preserve">5 to </w:t>
      </w:r>
      <w:r w:rsidR="00772829" w:rsidRPr="00B9453F">
        <w:rPr>
          <w:iCs/>
        </w:rPr>
        <w:t>request</w:t>
      </w:r>
      <w:r w:rsidR="008E53A9" w:rsidRPr="00B9453F">
        <w:rPr>
          <w:iCs/>
        </w:rPr>
        <w:t xml:space="preserve"> </w:t>
      </w:r>
      <w:r w:rsidR="00291672" w:rsidRPr="00B9453F">
        <w:rPr>
          <w:rFonts w:eastAsia="Aptos" w:cs="Times New Roman"/>
          <w:kern w:val="2"/>
          <w14:ligatures w14:val="standardContextual"/>
        </w:rPr>
        <w:t xml:space="preserve">National Diabetes Services Scheme (NDSS) </w:t>
      </w:r>
      <w:r w:rsidR="00E73B18" w:rsidRPr="00B9453F">
        <w:rPr>
          <w:rFonts w:eastAsia="Aptos" w:cs="Times New Roman"/>
          <w:kern w:val="2"/>
          <w14:ligatures w14:val="standardContextual"/>
        </w:rPr>
        <w:t>funding</w:t>
      </w:r>
      <w:r w:rsidR="00772829" w:rsidRPr="00B9453F">
        <w:rPr>
          <w:iCs/>
        </w:rPr>
        <w:t xml:space="preserve"> of </w:t>
      </w:r>
      <w:r w:rsidR="00101597" w:rsidRPr="00B9453F">
        <w:rPr>
          <w:iCs/>
        </w:rPr>
        <w:t xml:space="preserve">the Dexcom ONE+ </w:t>
      </w:r>
      <w:r w:rsidR="00DC7B32">
        <w:rPr>
          <w:iCs/>
        </w:rPr>
        <w:t>r</w:t>
      </w:r>
      <w:r w:rsidR="00101597" w:rsidRPr="00B9453F">
        <w:rPr>
          <w:iCs/>
        </w:rPr>
        <w:t>eal</w:t>
      </w:r>
      <w:r w:rsidR="00DC7B32">
        <w:rPr>
          <w:iCs/>
        </w:rPr>
        <w:t xml:space="preserve"> t</w:t>
      </w:r>
      <w:r w:rsidR="00101597" w:rsidRPr="00B9453F">
        <w:rPr>
          <w:iCs/>
        </w:rPr>
        <w:t>ime</w:t>
      </w:r>
      <w:r w:rsidR="00DC7B32">
        <w:rPr>
          <w:iCs/>
        </w:rPr>
        <w:t>–c</w:t>
      </w:r>
      <w:r w:rsidR="00101597" w:rsidRPr="00B9453F">
        <w:rPr>
          <w:iCs/>
        </w:rPr>
        <w:t xml:space="preserve">ontinuous </w:t>
      </w:r>
      <w:r w:rsidR="00DC7B32">
        <w:rPr>
          <w:iCs/>
        </w:rPr>
        <w:t>g</w:t>
      </w:r>
      <w:r w:rsidR="00101597" w:rsidRPr="00B9453F">
        <w:rPr>
          <w:iCs/>
        </w:rPr>
        <w:t xml:space="preserve">lucose </w:t>
      </w:r>
      <w:r w:rsidR="00DC7B32">
        <w:rPr>
          <w:iCs/>
        </w:rPr>
        <w:t>m</w:t>
      </w:r>
      <w:r w:rsidR="00101597" w:rsidRPr="00B9453F">
        <w:rPr>
          <w:iCs/>
        </w:rPr>
        <w:t xml:space="preserve">onitoring (RT-CGM) </w:t>
      </w:r>
      <w:r w:rsidR="00DC7B32">
        <w:rPr>
          <w:iCs/>
        </w:rPr>
        <w:t>s</w:t>
      </w:r>
      <w:r w:rsidR="00101597" w:rsidRPr="00B9453F">
        <w:rPr>
          <w:iCs/>
        </w:rPr>
        <w:t xml:space="preserve">ystem for insulin-using patients with type 2 diabetes (T2D) </w:t>
      </w:r>
      <w:r w:rsidR="0046349E" w:rsidRPr="00B9453F">
        <w:rPr>
          <w:iCs/>
        </w:rPr>
        <w:t>with suboptimal glycaemic control</w:t>
      </w:r>
      <w:r w:rsidR="008E53A9" w:rsidRPr="00B9453F">
        <w:rPr>
          <w:iCs/>
        </w:rPr>
        <w:t xml:space="preserve">. This updated </w:t>
      </w:r>
      <w:r w:rsidR="00EA2285" w:rsidRPr="00B9453F">
        <w:rPr>
          <w:iCs/>
        </w:rPr>
        <w:t>application</w:t>
      </w:r>
      <w:r w:rsidR="008E53A9" w:rsidRPr="00B9453F">
        <w:rPr>
          <w:iCs/>
        </w:rPr>
        <w:t xml:space="preserve"> and the original </w:t>
      </w:r>
      <w:r w:rsidR="00901499">
        <w:rPr>
          <w:iCs/>
        </w:rPr>
        <w:t>Applicant Developed Assessment Report</w:t>
      </w:r>
      <w:r w:rsidR="008E53A9" w:rsidRPr="00B9453F">
        <w:rPr>
          <w:iCs/>
        </w:rPr>
        <w:t xml:space="preserve"> </w:t>
      </w:r>
      <w:r w:rsidR="00901499">
        <w:rPr>
          <w:iCs/>
        </w:rPr>
        <w:t>(</w:t>
      </w:r>
      <w:r w:rsidR="008E53A9" w:rsidRPr="00B9453F">
        <w:rPr>
          <w:iCs/>
        </w:rPr>
        <w:t>ADAR</w:t>
      </w:r>
      <w:r w:rsidR="00901499">
        <w:rPr>
          <w:iCs/>
        </w:rPr>
        <w:t>)</w:t>
      </w:r>
      <w:r w:rsidR="006D2445" w:rsidRPr="00B9453F">
        <w:rPr>
          <w:iCs/>
        </w:rPr>
        <w:t xml:space="preserve"> (</w:t>
      </w:r>
      <w:r w:rsidR="0092610F" w:rsidRPr="00B9453F">
        <w:rPr>
          <w:iCs/>
        </w:rPr>
        <w:t>Application</w:t>
      </w:r>
      <w:r w:rsidR="006D2445" w:rsidRPr="00B9453F">
        <w:rPr>
          <w:iCs/>
        </w:rPr>
        <w:t xml:space="preserve"> 1785) was received </w:t>
      </w:r>
      <w:r w:rsidR="00772829" w:rsidRPr="00B9453F">
        <w:rPr>
          <w:iCs/>
        </w:rPr>
        <w:t xml:space="preserve">from </w:t>
      </w:r>
      <w:r w:rsidR="00295B1A" w:rsidRPr="00B9453F">
        <w:rPr>
          <w:iCs/>
        </w:rPr>
        <w:t>A</w:t>
      </w:r>
      <w:r w:rsidR="00381283" w:rsidRPr="00B9453F">
        <w:rPr>
          <w:iCs/>
        </w:rPr>
        <w:t>ustral</w:t>
      </w:r>
      <w:r w:rsidR="0088751A" w:rsidRPr="00B9453F">
        <w:rPr>
          <w:iCs/>
        </w:rPr>
        <w:t>as</w:t>
      </w:r>
      <w:r w:rsidR="00381283" w:rsidRPr="00B9453F">
        <w:rPr>
          <w:iCs/>
        </w:rPr>
        <w:t xml:space="preserve">ian </w:t>
      </w:r>
      <w:r w:rsidR="00295B1A" w:rsidRPr="00B9453F">
        <w:rPr>
          <w:iCs/>
        </w:rPr>
        <w:t>M</w:t>
      </w:r>
      <w:r w:rsidR="00381283" w:rsidRPr="00B9453F">
        <w:rPr>
          <w:iCs/>
        </w:rPr>
        <w:t xml:space="preserve">edical &amp; </w:t>
      </w:r>
      <w:r w:rsidR="00295B1A" w:rsidRPr="00B9453F">
        <w:rPr>
          <w:iCs/>
        </w:rPr>
        <w:t>S</w:t>
      </w:r>
      <w:r w:rsidR="00381283" w:rsidRPr="00B9453F">
        <w:rPr>
          <w:iCs/>
        </w:rPr>
        <w:t xml:space="preserve">cientific </w:t>
      </w:r>
      <w:r w:rsidR="00295B1A" w:rsidRPr="00B9453F">
        <w:rPr>
          <w:iCs/>
        </w:rPr>
        <w:t>L</w:t>
      </w:r>
      <w:r w:rsidR="00381283" w:rsidRPr="00B9453F">
        <w:rPr>
          <w:iCs/>
        </w:rPr>
        <w:t>imited</w:t>
      </w:r>
      <w:r w:rsidR="00ED065C" w:rsidRPr="00B9453F">
        <w:rPr>
          <w:iCs/>
        </w:rPr>
        <w:t xml:space="preserve"> (AMSL)</w:t>
      </w:r>
      <w:r w:rsidR="00930BEB" w:rsidRPr="00B9453F">
        <w:rPr>
          <w:iCs/>
        </w:rPr>
        <w:t xml:space="preserve"> by</w:t>
      </w:r>
      <w:r w:rsidR="006D2445" w:rsidRPr="00B9453F">
        <w:rPr>
          <w:iCs/>
        </w:rPr>
        <w:t xml:space="preserve"> </w:t>
      </w:r>
      <w:r w:rsidR="00772829" w:rsidRPr="00B9453F">
        <w:rPr>
          <w:iCs/>
        </w:rPr>
        <w:t>the Department of Health</w:t>
      </w:r>
      <w:r w:rsidR="0036364C" w:rsidRPr="00B9453F">
        <w:rPr>
          <w:iCs/>
        </w:rPr>
        <w:t>, Disability and Ageing</w:t>
      </w:r>
      <w:r w:rsidR="00772829" w:rsidRPr="00B9453F">
        <w:rPr>
          <w:iCs/>
        </w:rPr>
        <w:t>.</w:t>
      </w:r>
    </w:p>
    <w:p w14:paraId="13410150" w14:textId="77626137" w:rsidR="00B2564C" w:rsidRPr="005B6EFD" w:rsidRDefault="00B2564C" w:rsidP="00670C60">
      <w:pPr>
        <w:pStyle w:val="Heading2"/>
        <w:numPr>
          <w:ilvl w:val="0"/>
          <w:numId w:val="32"/>
        </w:numPr>
        <w:ind w:hanging="720"/>
      </w:pPr>
      <w:bookmarkStart w:id="3" w:name="_Toc69491416"/>
      <w:bookmarkEnd w:id="2"/>
      <w:r w:rsidRPr="005B6EFD">
        <w:t>MSAC’s advice to the Minister</w:t>
      </w:r>
    </w:p>
    <w:p w14:paraId="1DAAC766" w14:textId="31885D81" w:rsidR="008D6DAD" w:rsidRPr="003523D8" w:rsidRDefault="00B2564C" w:rsidP="008D6DAD">
      <w:r w:rsidRPr="00CD120B">
        <w:t xml:space="preserve">After considering the strength of the available evidence in relation to comparative safety, clinical effectiveness, cost-effectiveness and total cost, </w:t>
      </w:r>
      <w:r w:rsidR="008D6DAD" w:rsidRPr="003523D8">
        <w:t>MSAC deferred its advice on NDSS</w:t>
      </w:r>
      <w:r w:rsidR="008D6DAD">
        <w:t xml:space="preserve"> (National Diabetes Services Scheme)</w:t>
      </w:r>
      <w:r w:rsidR="008D6DAD" w:rsidRPr="003523D8">
        <w:t xml:space="preserve"> subsidisation of the Dexcom ONE+ continuous glucose monitoring (CGM) system for people with insulin dependent type 2 diabetes (T2D).</w:t>
      </w:r>
    </w:p>
    <w:p w14:paraId="77DCB9BC" w14:textId="59ACA360" w:rsidR="008D6DAD" w:rsidRPr="003523D8" w:rsidRDefault="008D6DAD" w:rsidP="008D6DAD">
      <w:r w:rsidRPr="23E1D88B">
        <w:t xml:space="preserve">MSAC supported NDSS subsidisation of CGM systems for people aged over 21 years with type 3c diabetes and other diabetes similar to type 1, but advised that this should be addressed as a policy issue. MSAC acknowledged that evidence was limited in this small population, but better evidence was unlikely to be available, and extrapolation of evidence from the type 1 population was reasonable. MSAC considered that clinical need is high for this patient group who also face equity of access issues, and advised that these patients should continue to have access to CGM beyond the age of 21. </w:t>
      </w:r>
    </w:p>
    <w:p w14:paraId="2C5CEA63" w14:textId="73F756C0" w:rsidR="008D6DAD" w:rsidRPr="003523D8" w:rsidRDefault="008D6DAD" w:rsidP="008D6DAD">
      <w:r w:rsidRPr="23E1D88B">
        <w:t xml:space="preserve">Regarding the T2D population, MSAC considered that the issues it raised in its previous consideration of this application had not been adequately resolved by the resubmission. In particular, MSAC considered that there remained uncertainty as to the exact definition and size of the subpopulations likely to receive the most clinical benefit from CGM. While MSAC acknowledged that more recent evidence was promising, it considered the overall evidence </w:t>
      </w:r>
      <w:r w:rsidR="00652B3A">
        <w:t xml:space="preserve">base </w:t>
      </w:r>
      <w:r w:rsidRPr="23E1D88B">
        <w:t xml:space="preserve">had not changed significantly since the previous submission, </w:t>
      </w:r>
      <w:r w:rsidRPr="23E1D88B" w:rsidDel="00407CE4">
        <w:t xml:space="preserve">that the evidence base </w:t>
      </w:r>
      <w:r w:rsidR="00FA3711" w:rsidDel="00407CE4">
        <w:t>therefore remained</w:t>
      </w:r>
      <w:r w:rsidR="00FA681E" w:rsidDel="00407CE4">
        <w:t xml:space="preserve"> </w:t>
      </w:r>
      <w:r w:rsidR="00B14377">
        <w:t>surprisingly limited for what is a relatively common condition,</w:t>
      </w:r>
      <w:r w:rsidRPr="23E1D88B">
        <w:t xml:space="preserve"> and noted that the cost effectiveness and financial</w:t>
      </w:r>
      <w:r w:rsidR="00A869FD">
        <w:t xml:space="preserve"> impact</w:t>
      </w:r>
      <w:r w:rsidRPr="23E1D88B">
        <w:t xml:space="preserve"> remained uncertain.</w:t>
      </w:r>
    </w:p>
    <w:p w14:paraId="3FDC0D8A" w14:textId="638953ED" w:rsidR="00B2564C" w:rsidRDefault="008D6DAD" w:rsidP="008D6DAD">
      <w:pPr>
        <w:spacing w:after="240"/>
      </w:pPr>
      <w:r>
        <w:t xml:space="preserve">MSAC advised that a resubmission should present a reliable, transparent and editable copy of an economic model and estimates of financial impact for the groups within the T2D population that are most likely to benefit from CGM. Based on its previous advice, and reinforced by consumer </w:t>
      </w:r>
      <w:r>
        <w:lastRenderedPageBreak/>
        <w:t xml:space="preserve">and clinical stakeholder feedback, MSAC considered </w:t>
      </w:r>
      <w:r w:rsidR="00506881">
        <w:t>the</w:t>
      </w:r>
      <w:r w:rsidR="00B14377">
        <w:t>se</w:t>
      </w:r>
      <w:r w:rsidR="00506881">
        <w:t xml:space="preserve"> </w:t>
      </w:r>
      <w:r w:rsidR="00F834C2">
        <w:t>pri</w:t>
      </w:r>
      <w:r w:rsidR="00212602">
        <w:t xml:space="preserve">ority </w:t>
      </w:r>
      <w:r>
        <w:t>groups to be</w:t>
      </w:r>
      <w:r w:rsidR="00102746">
        <w:t xml:space="preserve"> (i)</w:t>
      </w:r>
      <w:r>
        <w:t xml:space="preserve"> people with T2D using intensive insulin therapy (IIT) consisting of 3 injections or more per day, </w:t>
      </w:r>
      <w:r w:rsidR="00102746">
        <w:t xml:space="preserve">(ii) </w:t>
      </w:r>
      <w:r>
        <w:t xml:space="preserve">First Nations people with T2D requiring insulin, </w:t>
      </w:r>
      <w:r w:rsidR="00102746">
        <w:t xml:space="preserve">(iii) </w:t>
      </w:r>
      <w:r>
        <w:t>those with T2D requiring insulin who are pregnant or</w:t>
      </w:r>
      <w:r w:rsidR="006D61B2">
        <w:t xml:space="preserve"> actively</w:t>
      </w:r>
      <w:r>
        <w:t xml:space="preserve"> planning pregnancy, and </w:t>
      </w:r>
      <w:r w:rsidR="00102746">
        <w:t xml:space="preserve">(iv) </w:t>
      </w:r>
      <w:r>
        <w:t>people with youth-onset T2D (i.e. diagnosed before 25 years of age) who require insulin</w:t>
      </w:r>
      <w:r w:rsidR="006C18DD">
        <w:t xml:space="preserve"> and commence CGM before the age of 25</w:t>
      </w:r>
      <w:r>
        <w:t xml:space="preserve">. MSAC agreed with ESC’s advice that </w:t>
      </w:r>
      <w:r w:rsidR="00331CF8">
        <w:t xml:space="preserve">in the absence of evidence specific to these groups, </w:t>
      </w:r>
      <w:r>
        <w:t xml:space="preserve">the evidence </w:t>
      </w:r>
      <w:r w:rsidR="00331CF8">
        <w:t>for</w:t>
      </w:r>
      <w:r>
        <w:t xml:space="preserve"> effectiveness in the broader T2D population was </w:t>
      </w:r>
      <w:r w:rsidR="003F71F5">
        <w:t>accepted as</w:t>
      </w:r>
      <w:r>
        <w:t xml:space="preserve"> applicable to these subpopulations. Intermittent use and a st</w:t>
      </w:r>
      <w:r w:rsidR="00FA681E">
        <w:t>epped</w:t>
      </w:r>
      <w:r w:rsidR="00613EDE">
        <w:t xml:space="preserve"> care</w:t>
      </w:r>
      <w:r>
        <w:t xml:space="preserve"> approach in the broader </w:t>
      </w:r>
      <w:r w:rsidR="002238EF">
        <w:t xml:space="preserve">T2D </w:t>
      </w:r>
      <w:r>
        <w:t xml:space="preserve">population still requires further evaluation, consistent with the advice provided by MSAC in its first consideration of this application; however, this </w:t>
      </w:r>
      <w:r w:rsidR="001A36FE">
        <w:t>evaluation</w:t>
      </w:r>
      <w:r>
        <w:t xml:space="preserve"> should </w:t>
      </w:r>
      <w:r w:rsidR="001A36FE">
        <w:t xml:space="preserve">only occur </w:t>
      </w:r>
      <w:r>
        <w:t>after consideration of the priority populations.</w:t>
      </w:r>
    </w:p>
    <w:tbl>
      <w:tblPr>
        <w:tblStyle w:val="Section3-footno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2564C" w:rsidRPr="005B6EFD" w14:paraId="3B90103A" w14:textId="77777777" w:rsidTr="15B52665">
        <w:trPr>
          <w:tblHeader/>
        </w:trPr>
        <w:tc>
          <w:tcPr>
            <w:tcW w:w="9016" w:type="dxa"/>
          </w:tcPr>
          <w:p w14:paraId="780038CD" w14:textId="77777777" w:rsidR="00B2564C" w:rsidRPr="005B6EFD" w:rsidRDefault="00B2564C" w:rsidP="00AD51B4">
            <w:pPr>
              <w:keepNext/>
              <w:keepLines/>
              <w:spacing w:before="40" w:after="40" w:line="259" w:lineRule="auto"/>
              <w:rPr>
                <w:rFonts w:eastAsia="Calibri"/>
                <w:b/>
                <w:bCs/>
              </w:rPr>
            </w:pPr>
            <w:r w:rsidRPr="005B6EFD">
              <w:rPr>
                <w:b/>
                <w:bCs/>
              </w:rPr>
              <w:t>Consumer summary</w:t>
            </w:r>
          </w:p>
        </w:tc>
      </w:tr>
      <w:tr w:rsidR="00B2564C" w:rsidRPr="005B6EFD" w14:paraId="374ECAED" w14:textId="77777777" w:rsidTr="15B52665">
        <w:tc>
          <w:tcPr>
            <w:tcW w:w="9016" w:type="dxa"/>
          </w:tcPr>
          <w:p w14:paraId="630BD1C5" w14:textId="0435C60C" w:rsidR="00A30A2C" w:rsidRPr="00A30A58" w:rsidRDefault="71C1DEDC" w:rsidP="15B52665">
            <w:r>
              <w:t xml:space="preserve">This is a resubmission from Australasian Medical and Scientific Limited requesting public funding under the National Diabetes Services Scheme (NDSS) for the Dexcom ONE+ continuous glucose monitoring (CGM) system for people with insulin-dependent type 2 </w:t>
            </w:r>
            <w:r w:rsidR="02E3FE87">
              <w:t>diabetes</w:t>
            </w:r>
            <w:r w:rsidR="02E3FE87" w:rsidRPr="15B52665">
              <w:rPr>
                <w:rFonts w:eastAsia="Franklin Gothic Book" w:cs="Franklin Gothic Book"/>
                <w:color w:val="000000" w:themeColor="text1"/>
              </w:rPr>
              <w:t xml:space="preserve"> for </w:t>
            </w:r>
            <w:r w:rsidR="6C77412E" w:rsidRPr="15B52665">
              <w:rPr>
                <w:rFonts w:eastAsia="Franklin Gothic Book" w:cs="Franklin Gothic Book"/>
                <w:color w:val="000000" w:themeColor="text1"/>
              </w:rPr>
              <w:t>self-monitoring of blood glucose</w:t>
            </w:r>
            <w:r>
              <w:t>.</w:t>
            </w:r>
          </w:p>
          <w:p w14:paraId="577B5ACA" w14:textId="77777777" w:rsidR="00A30A2C" w:rsidRPr="00A30A58" w:rsidRDefault="00A30A2C" w:rsidP="00A30A2C">
            <w:r w:rsidRPr="00A30A58">
              <w:t xml:space="preserve">Diabetes is a condition that can cause high blood </w:t>
            </w:r>
            <w:r>
              <w:t>glucose (sugar)</w:t>
            </w:r>
            <w:r w:rsidRPr="00A30A58">
              <w:t xml:space="preserve">, which is when sugar builds up in the bloodstream. The most common types of diabetes are called type 1 and type 2. There are also other types of diabetes (such as type 3c), which are less common. High blood sugar (hyperglycaemia) caused by diabetes can cause a range of issues including heart disease, nerve damage and kidney damage, and can even be life-threatening. The amount of sugar in a person’s bloodstream is usually controlled by a hormone called insulin. Insulin is like a key, </w:t>
            </w:r>
            <w:r>
              <w:t>unlocking</w:t>
            </w:r>
            <w:r w:rsidRPr="00A30A58">
              <w:t xml:space="preserve"> cells </w:t>
            </w:r>
            <w:r>
              <w:t>to</w:t>
            </w:r>
            <w:r w:rsidRPr="00A30A58">
              <w:t xml:space="preserve"> allow sugar to </w:t>
            </w:r>
            <w:r>
              <w:t>enter the cells</w:t>
            </w:r>
            <w:r w:rsidRPr="00A30A58">
              <w:t xml:space="preserve"> from the bloodstream. People with diabetes either do not produce enough insulin (type 1) or cannot properly use the insulin they produce (type 2). Many people with diabetes use insulin injections to help keep their blood sugar levels under control, but too much insulin can cause low blood sugar (hypoglycaemia), which can also cause health problems.</w:t>
            </w:r>
          </w:p>
          <w:p w14:paraId="3256EAA0" w14:textId="50725A59" w:rsidR="00A30A2C" w:rsidRPr="00A30A58" w:rsidRDefault="61513CAE" w:rsidP="00A30A2C">
            <w:r>
              <w:t>People with diabetes need to regularly check their blood sugar levels, particularly around mealtimes, to help them know if they need to use insulin and how much they need. Most people check their blood sugar level by pricking their finger and placing the drop of blood onto a test strip that can measure blood glucose levels. This is called self-monitoring of blood glucose (SMBG). Some people need to do several finger prick tests over the day, which can be painful and inconvenient. Another way to test blood sugar is by using a continuous glucose monitor</w:t>
            </w:r>
            <w:r w:rsidR="54E6ECAF">
              <w:t xml:space="preserve"> (CGM)</w:t>
            </w:r>
            <w:r>
              <w:t xml:space="preserve">, which is a small device that sits on the skin (usually worn on the back of the upper arm). A sensor is inserted just under the skin and continuously measures the glucose level in the fluid under the skin. The CGM device sends the results via Bluetooth to the person’s smartphone or other type of receiver, so they can monitor their blood sugar levels in real time. This information lets people with diabetes see their blood sugar at any point in time, and also lets them see trends in their blood sugar levels. This helps people understand the effects of their behaviour (such as what they eat or how much they exercise) on their blood sugar levels. </w:t>
            </w:r>
            <w:r w:rsidR="4ACEAC79">
              <w:t xml:space="preserve">Using a </w:t>
            </w:r>
            <w:r>
              <w:t xml:space="preserve">CGM </w:t>
            </w:r>
            <w:r w:rsidR="721E8E9A">
              <w:t xml:space="preserve">device </w:t>
            </w:r>
            <w:r>
              <w:t xml:space="preserve">can also reduce the </w:t>
            </w:r>
            <w:r w:rsidR="163036F4">
              <w:t xml:space="preserve">work </w:t>
            </w:r>
            <w:r w:rsidR="4684CCB8">
              <w:t>involved in manually recording blood glucose levels (including for carers or support people)</w:t>
            </w:r>
            <w:r>
              <w:t xml:space="preserve">, provide information to doctors </w:t>
            </w:r>
            <w:r w:rsidR="13A9A3EA">
              <w:t xml:space="preserve">to guide </w:t>
            </w:r>
            <w:r>
              <w:t>treatment</w:t>
            </w:r>
            <w:r w:rsidR="2D518FB1">
              <w:t xml:space="preserve"> decisions</w:t>
            </w:r>
            <w:r>
              <w:t>, and enable remote monitoring, which may improve access to care.</w:t>
            </w:r>
          </w:p>
          <w:p w14:paraId="4B0A1442" w14:textId="53EB3747" w:rsidR="00135E0E" w:rsidRPr="00D97C30" w:rsidRDefault="34A52D45" w:rsidP="00AC2F9D">
            <w:r w:rsidRPr="00AC2F9D">
              <w:t>One such CGM device is called Dexcom ONE+. The Dexcom G series of CGM devices are funded under Australia’s N</w:t>
            </w:r>
            <w:r w:rsidR="6034FB46" w:rsidRPr="00AC2F9D">
              <w:t xml:space="preserve">ational Diabetes Services Scheme </w:t>
            </w:r>
            <w:r w:rsidRPr="00AC2F9D">
              <w:t>for people with type 1 diabetes. This application is requesting funding for Dexcom ONE+ for people with type 2 diabetes who have trouble controlling their blood sugar levels. A similar application was also considered by MSAC for another CGM device (</w:t>
            </w:r>
            <w:hyperlink r:id="rId12">
              <w:r w:rsidRPr="00AC2F9D">
                <w:rPr>
                  <w:rStyle w:val="Hyperlink"/>
                </w:rPr>
                <w:t>Application 1786</w:t>
              </w:r>
            </w:hyperlink>
            <w:r w:rsidRPr="00AC2F9D">
              <w:t>).</w:t>
            </w:r>
            <w:r w:rsidR="00AC2F9D">
              <w:t xml:space="preserve"> </w:t>
            </w:r>
            <w:r w:rsidR="11D8C912" w:rsidRPr="00AC2F9D">
              <w:rPr>
                <w:rFonts w:eastAsiaTheme="minorEastAsia"/>
              </w:rPr>
              <w:t xml:space="preserve">MSAC considered that </w:t>
            </w:r>
            <w:r w:rsidR="22173E59" w:rsidRPr="00AC2F9D">
              <w:rPr>
                <w:rFonts w:eastAsiaTheme="minorEastAsia"/>
              </w:rPr>
              <w:t xml:space="preserve">monitoring of blood glucose using </w:t>
            </w:r>
            <w:r w:rsidR="11D8C912" w:rsidRPr="00AC2F9D">
              <w:rPr>
                <w:rFonts w:eastAsiaTheme="minorEastAsia"/>
              </w:rPr>
              <w:t xml:space="preserve">the Dexcom ONE+ </w:t>
            </w:r>
            <w:r w:rsidR="1505DACB" w:rsidRPr="00AC2F9D">
              <w:rPr>
                <w:rFonts w:eastAsiaTheme="minorEastAsia"/>
              </w:rPr>
              <w:t xml:space="preserve">CGM </w:t>
            </w:r>
            <w:r w:rsidR="11D8C912" w:rsidRPr="00AC2F9D">
              <w:rPr>
                <w:rFonts w:eastAsiaTheme="minorEastAsia"/>
              </w:rPr>
              <w:t xml:space="preserve">device </w:t>
            </w:r>
            <w:r w:rsidR="60AF65E4" w:rsidRPr="00AC2F9D">
              <w:rPr>
                <w:rFonts w:eastAsiaTheme="minorEastAsia"/>
              </w:rPr>
              <w:t>was as safe</w:t>
            </w:r>
            <w:r w:rsidR="60AF65E4" w:rsidRPr="15B52665">
              <w:rPr>
                <w:rFonts w:eastAsiaTheme="minorEastAsia"/>
              </w:rPr>
              <w:t xml:space="preserve"> as </w:t>
            </w:r>
            <w:r w:rsidR="212ABD20" w:rsidRPr="15B52665">
              <w:rPr>
                <w:rFonts w:eastAsiaTheme="minorEastAsia"/>
              </w:rPr>
              <w:t xml:space="preserve">self-monitoring using </w:t>
            </w:r>
            <w:r w:rsidR="11D8C912" w:rsidRPr="15B52665">
              <w:rPr>
                <w:rFonts w:eastAsiaTheme="minorEastAsia"/>
              </w:rPr>
              <w:t>finger prick</w:t>
            </w:r>
            <w:r w:rsidR="5DC5DC33" w:rsidRPr="15B52665">
              <w:rPr>
                <w:rFonts w:eastAsiaTheme="minorEastAsia"/>
              </w:rPr>
              <w:t xml:space="preserve"> tests</w:t>
            </w:r>
            <w:r w:rsidR="0E229CCF" w:rsidRPr="15B52665">
              <w:rPr>
                <w:rFonts w:eastAsiaTheme="minorEastAsia"/>
              </w:rPr>
              <w:t xml:space="preserve">. </w:t>
            </w:r>
            <w:r w:rsidR="71C1DEDC" w:rsidRPr="15B52665">
              <w:rPr>
                <w:rFonts w:eastAsiaTheme="minorEastAsia"/>
              </w:rPr>
              <w:t>MSAC</w:t>
            </w:r>
            <w:r w:rsidR="11D8C912" w:rsidRPr="15B52665">
              <w:rPr>
                <w:rFonts w:eastAsiaTheme="minorEastAsia"/>
              </w:rPr>
              <w:t xml:space="preserve"> noted the application continued to claim CGM was more effective than </w:t>
            </w:r>
            <w:r w:rsidR="3F59925A" w:rsidRPr="15B52665">
              <w:rPr>
                <w:rFonts w:eastAsiaTheme="minorEastAsia"/>
              </w:rPr>
              <w:t xml:space="preserve">finger-prick </w:t>
            </w:r>
            <w:r w:rsidR="3F59925A" w:rsidRPr="15B52665">
              <w:rPr>
                <w:rFonts w:eastAsiaTheme="minorEastAsia"/>
              </w:rPr>
              <w:lastRenderedPageBreak/>
              <w:t>self-monitoring</w:t>
            </w:r>
            <w:r w:rsidR="7C740F19" w:rsidRPr="15B52665">
              <w:rPr>
                <w:rFonts w:eastAsiaTheme="minorEastAsia"/>
              </w:rPr>
              <w:t>. This claim was</w:t>
            </w:r>
            <w:r w:rsidR="3F59925A" w:rsidRPr="15B52665">
              <w:rPr>
                <w:rFonts w:eastAsiaTheme="minorEastAsia"/>
              </w:rPr>
              <w:t xml:space="preserve"> </w:t>
            </w:r>
            <w:r w:rsidR="11D8C912" w:rsidRPr="15B52665">
              <w:rPr>
                <w:rFonts w:eastAsiaTheme="minorEastAsia"/>
              </w:rPr>
              <w:t xml:space="preserve">based on </w:t>
            </w:r>
            <w:r w:rsidR="72645BE4" w:rsidRPr="15B52665">
              <w:rPr>
                <w:rFonts w:eastAsiaTheme="minorEastAsia"/>
              </w:rPr>
              <w:t>clinical trial</w:t>
            </w:r>
            <w:r w:rsidR="7397F9AD" w:rsidRPr="15B52665">
              <w:rPr>
                <w:rFonts w:eastAsiaTheme="minorEastAsia"/>
              </w:rPr>
              <w:t xml:space="preserve"> evidence that</w:t>
            </w:r>
            <w:r w:rsidR="72645BE4" w:rsidRPr="15B52665">
              <w:rPr>
                <w:rFonts w:eastAsiaTheme="minorEastAsia"/>
              </w:rPr>
              <w:t xml:space="preserve"> show</w:t>
            </w:r>
            <w:r w:rsidR="55AFE020" w:rsidRPr="15B52665">
              <w:rPr>
                <w:rFonts w:eastAsiaTheme="minorEastAsia"/>
              </w:rPr>
              <w:t xml:space="preserve">ed </w:t>
            </w:r>
            <w:r w:rsidR="11D8C912" w:rsidRPr="15B52665">
              <w:rPr>
                <w:rFonts w:eastAsiaTheme="minorEastAsia"/>
              </w:rPr>
              <w:t xml:space="preserve">CGM </w:t>
            </w:r>
            <w:r w:rsidR="0EAD23D0" w:rsidRPr="15B52665">
              <w:rPr>
                <w:rFonts w:eastAsiaTheme="minorEastAsia"/>
              </w:rPr>
              <w:t xml:space="preserve">use </w:t>
            </w:r>
            <w:r w:rsidR="11D8C912" w:rsidRPr="15B52665">
              <w:rPr>
                <w:rFonts w:eastAsiaTheme="minorEastAsia"/>
              </w:rPr>
              <w:t>result</w:t>
            </w:r>
            <w:r w:rsidR="00470B23" w:rsidRPr="15B52665">
              <w:rPr>
                <w:rFonts w:eastAsiaTheme="minorEastAsia"/>
              </w:rPr>
              <w:t xml:space="preserve">ed in </w:t>
            </w:r>
            <w:r w:rsidR="11D8C912" w:rsidRPr="15B52665">
              <w:rPr>
                <w:rFonts w:eastAsiaTheme="minorEastAsia"/>
              </w:rPr>
              <w:t xml:space="preserve">a reduction in </w:t>
            </w:r>
            <w:r w:rsidR="5812D472" w:rsidRPr="15B52665">
              <w:rPr>
                <w:rFonts w:eastAsiaTheme="minorEastAsia"/>
              </w:rPr>
              <w:t xml:space="preserve">HbA1c </w:t>
            </w:r>
            <w:r w:rsidR="3C597B2E" w:rsidRPr="15B52665">
              <w:rPr>
                <w:rFonts w:eastAsiaTheme="minorEastAsia"/>
              </w:rPr>
              <w:t>(</w:t>
            </w:r>
            <w:r w:rsidR="5812D472" w:rsidRPr="15B52665">
              <w:rPr>
                <w:rFonts w:eastAsiaTheme="minorEastAsia"/>
              </w:rPr>
              <w:t>a blood test that measures the average blood sugar level from the past 8 to 12 weeks</w:t>
            </w:r>
            <w:r w:rsidR="253BBDD2" w:rsidRPr="15B52665">
              <w:rPr>
                <w:rFonts w:eastAsiaTheme="minorEastAsia"/>
              </w:rPr>
              <w:t>)</w:t>
            </w:r>
            <w:r w:rsidR="5812D472" w:rsidRPr="15B52665">
              <w:rPr>
                <w:rFonts w:eastAsiaTheme="minorEastAsia"/>
              </w:rPr>
              <w:t xml:space="preserve"> </w:t>
            </w:r>
            <w:r w:rsidR="11D8C912" w:rsidRPr="15B52665">
              <w:rPr>
                <w:rFonts w:eastAsiaTheme="minorEastAsia"/>
              </w:rPr>
              <w:t xml:space="preserve">around 0.3% more than </w:t>
            </w:r>
            <w:r w:rsidR="0ED6269B" w:rsidRPr="15B52665">
              <w:rPr>
                <w:rFonts w:eastAsiaTheme="minorEastAsia"/>
              </w:rPr>
              <w:t xml:space="preserve">monitoring </w:t>
            </w:r>
            <w:r w:rsidR="68C1932B" w:rsidRPr="15B52665">
              <w:rPr>
                <w:rFonts w:eastAsiaTheme="minorEastAsia"/>
              </w:rPr>
              <w:t xml:space="preserve">via </w:t>
            </w:r>
            <w:r w:rsidR="2D02D0B7" w:rsidRPr="15B52665">
              <w:rPr>
                <w:rFonts w:eastAsiaTheme="minorEastAsia"/>
              </w:rPr>
              <w:t>finger</w:t>
            </w:r>
            <w:r w:rsidR="7F60B87C" w:rsidRPr="15B52665">
              <w:rPr>
                <w:rFonts w:eastAsiaTheme="minorEastAsia"/>
              </w:rPr>
              <w:t>-</w:t>
            </w:r>
            <w:r w:rsidR="2D02D0B7" w:rsidRPr="15B52665">
              <w:rPr>
                <w:rFonts w:eastAsiaTheme="minorEastAsia"/>
              </w:rPr>
              <w:t>prick test</w:t>
            </w:r>
            <w:r w:rsidR="3522A2E8" w:rsidRPr="15B52665">
              <w:rPr>
                <w:rFonts w:eastAsiaTheme="minorEastAsia"/>
              </w:rPr>
              <w:t xml:space="preserve">, </w:t>
            </w:r>
            <w:r w:rsidR="11D8C912" w:rsidRPr="15B52665">
              <w:rPr>
                <w:rFonts w:eastAsiaTheme="minorEastAsia"/>
              </w:rPr>
              <w:t>which the application stated was clinically meaningful. However, MSAC noted that</w:t>
            </w:r>
            <w:r w:rsidR="15B52665" w:rsidRPr="15B52665">
              <w:rPr>
                <w:rFonts w:eastAsiaTheme="minorEastAsia"/>
                <w:i/>
                <w:iCs/>
              </w:rPr>
              <w:t xml:space="preserve"> </w:t>
            </w:r>
            <w:r w:rsidR="003D54EB">
              <w:rPr>
                <w:rFonts w:eastAsiaTheme="minorEastAsia"/>
              </w:rPr>
              <w:t xml:space="preserve">internationally, health technology assessment organisations (including Australia’s Pharmaceutical Benefits Advisory Committee) consider that </w:t>
            </w:r>
            <w:r w:rsidR="2A442DED" w:rsidRPr="15B52665">
              <w:rPr>
                <w:rFonts w:eastAsiaTheme="minorEastAsia"/>
              </w:rPr>
              <w:t xml:space="preserve">a </w:t>
            </w:r>
            <w:r w:rsidR="40CDAEF5" w:rsidRPr="15B52665">
              <w:rPr>
                <w:rFonts w:eastAsiaTheme="minorEastAsia"/>
              </w:rPr>
              <w:t xml:space="preserve">person’s </w:t>
            </w:r>
            <w:r w:rsidR="6D1E0B8F" w:rsidRPr="15B52665">
              <w:rPr>
                <w:rFonts w:eastAsiaTheme="minorEastAsia"/>
              </w:rPr>
              <w:t xml:space="preserve">HbA1c </w:t>
            </w:r>
            <w:r w:rsidR="018BE2B8" w:rsidRPr="15B52665">
              <w:rPr>
                <w:rFonts w:eastAsiaTheme="minorEastAsia"/>
              </w:rPr>
              <w:t xml:space="preserve">test </w:t>
            </w:r>
            <w:r w:rsidR="59DC35FF" w:rsidRPr="15B52665">
              <w:rPr>
                <w:rFonts w:eastAsiaTheme="minorEastAsia"/>
              </w:rPr>
              <w:t xml:space="preserve">result </w:t>
            </w:r>
            <w:r w:rsidR="6D1E0B8F" w:rsidRPr="15B52665">
              <w:rPr>
                <w:rFonts w:eastAsiaTheme="minorEastAsia"/>
              </w:rPr>
              <w:t>need</w:t>
            </w:r>
            <w:r w:rsidR="0E0DE5FD" w:rsidRPr="15B52665">
              <w:rPr>
                <w:rFonts w:eastAsiaTheme="minorEastAsia"/>
              </w:rPr>
              <w:t xml:space="preserve">s </w:t>
            </w:r>
            <w:r w:rsidR="6D1E0B8F" w:rsidRPr="15B52665">
              <w:rPr>
                <w:rFonts w:eastAsiaTheme="minorEastAsia"/>
              </w:rPr>
              <w:t xml:space="preserve">to </w:t>
            </w:r>
            <w:r w:rsidR="6AA8CF39" w:rsidRPr="15B52665">
              <w:rPr>
                <w:rFonts w:eastAsiaTheme="minorEastAsia"/>
              </w:rPr>
              <w:t xml:space="preserve">improve by </w:t>
            </w:r>
            <w:r w:rsidR="6D1E0B8F" w:rsidRPr="15B52665">
              <w:rPr>
                <w:rFonts w:eastAsiaTheme="minorEastAsia"/>
              </w:rPr>
              <w:t>at least 0.5%</w:t>
            </w:r>
            <w:r w:rsidR="153C7565" w:rsidRPr="15B52665">
              <w:rPr>
                <w:rFonts w:eastAsiaTheme="minorEastAsia"/>
              </w:rPr>
              <w:t xml:space="preserve">, before it can be said that their </w:t>
            </w:r>
            <w:r w:rsidR="4611A0D9" w:rsidRPr="15B52665">
              <w:rPr>
                <w:rFonts w:eastAsiaTheme="minorEastAsia"/>
              </w:rPr>
              <w:t>diabetes is under better contro</w:t>
            </w:r>
            <w:r w:rsidR="1D0891CB" w:rsidRPr="15B52665">
              <w:rPr>
                <w:rFonts w:eastAsiaTheme="minorEastAsia"/>
              </w:rPr>
              <w:t>l</w:t>
            </w:r>
            <w:r w:rsidR="4611A0D9" w:rsidRPr="15B52665">
              <w:rPr>
                <w:rFonts w:eastAsiaTheme="minorEastAsia"/>
              </w:rPr>
              <w:t>.</w:t>
            </w:r>
            <w:r w:rsidR="00FA681E">
              <w:rPr>
                <w:rFonts w:eastAsiaTheme="minorEastAsia"/>
              </w:rPr>
              <w:t xml:space="preserve"> </w:t>
            </w:r>
          </w:p>
          <w:p w14:paraId="7A2855DD" w14:textId="7799F84C" w:rsidR="00A30A2C" w:rsidRDefault="3C3E41DE" w:rsidP="00795722">
            <w:pPr>
              <w:pStyle w:val="Heading3"/>
              <w:spacing w:before="120" w:after="0"/>
            </w:pPr>
            <w:r w:rsidRPr="15B52665">
              <w:rPr>
                <w:rFonts w:ascii="Franklin Gothic Book" w:eastAsiaTheme="minorEastAsia" w:hAnsi="Franklin Gothic Book" w:cstheme="minorBidi"/>
                <w:sz w:val="22"/>
                <w:szCs w:val="22"/>
              </w:rPr>
              <w:t xml:space="preserve">MSAC supported </w:t>
            </w:r>
            <w:r w:rsidR="72F749B7" w:rsidRPr="15B52665">
              <w:rPr>
                <w:rFonts w:ascii="Franklin Gothic Book" w:eastAsiaTheme="minorEastAsia" w:hAnsi="Franklin Gothic Book" w:cstheme="minorBidi"/>
                <w:sz w:val="22"/>
                <w:szCs w:val="22"/>
              </w:rPr>
              <w:t>public funding of</w:t>
            </w:r>
            <w:r w:rsidRPr="15B52665">
              <w:rPr>
                <w:rFonts w:ascii="Franklin Gothic Book" w:eastAsiaTheme="minorEastAsia" w:hAnsi="Franklin Gothic Book" w:cstheme="minorBidi"/>
                <w:sz w:val="22"/>
                <w:szCs w:val="22"/>
              </w:rPr>
              <w:t xml:space="preserve"> </w:t>
            </w:r>
            <w:r w:rsidR="7184232E" w:rsidRPr="15B52665">
              <w:rPr>
                <w:rFonts w:ascii="Franklin Gothic Book" w:eastAsiaTheme="minorEastAsia" w:hAnsi="Franklin Gothic Book" w:cstheme="minorBidi"/>
                <w:sz w:val="22"/>
                <w:szCs w:val="22"/>
              </w:rPr>
              <w:t>CGM for people</w:t>
            </w:r>
            <w:r w:rsidR="0E348BD0" w:rsidRPr="15B52665">
              <w:rPr>
                <w:rFonts w:ascii="Franklin Gothic Book" w:eastAsiaTheme="minorEastAsia" w:hAnsi="Franklin Gothic Book" w:cstheme="minorBidi"/>
                <w:sz w:val="22"/>
                <w:szCs w:val="22"/>
              </w:rPr>
              <w:t xml:space="preserve"> </w:t>
            </w:r>
            <w:r w:rsidR="02489646" w:rsidRPr="15B52665">
              <w:rPr>
                <w:rFonts w:ascii="Franklin Gothic Book" w:eastAsiaTheme="minorEastAsia" w:hAnsi="Franklin Gothic Book" w:cstheme="minorBidi"/>
                <w:sz w:val="22"/>
                <w:szCs w:val="22"/>
              </w:rPr>
              <w:t>aged</w:t>
            </w:r>
            <w:r w:rsidR="0E348BD0" w:rsidRPr="15B52665">
              <w:rPr>
                <w:rFonts w:ascii="Franklin Gothic Book" w:eastAsiaTheme="minorEastAsia" w:hAnsi="Franklin Gothic Book" w:cstheme="minorBidi"/>
                <w:sz w:val="22"/>
                <w:szCs w:val="22"/>
              </w:rPr>
              <w:t xml:space="preserve"> 21</w:t>
            </w:r>
            <w:r w:rsidR="02489646" w:rsidRPr="15B52665">
              <w:rPr>
                <w:rFonts w:ascii="Franklin Gothic Book" w:eastAsiaTheme="minorEastAsia" w:hAnsi="Franklin Gothic Book" w:cstheme="minorBidi"/>
                <w:sz w:val="22"/>
                <w:szCs w:val="22"/>
              </w:rPr>
              <w:t xml:space="preserve"> years and over</w:t>
            </w:r>
            <w:r w:rsidR="7184232E" w:rsidRPr="15B52665">
              <w:rPr>
                <w:rFonts w:ascii="Franklin Gothic Book" w:eastAsiaTheme="minorEastAsia" w:hAnsi="Franklin Gothic Book" w:cstheme="minorBidi"/>
                <w:sz w:val="22"/>
                <w:szCs w:val="22"/>
              </w:rPr>
              <w:t xml:space="preserve"> with type 3c diabetes and other types of diabetes that are similar to type 1 diabetes</w:t>
            </w:r>
            <w:r w:rsidR="0E348BD0" w:rsidRPr="15B52665">
              <w:rPr>
                <w:rFonts w:ascii="Franklin Gothic Book" w:eastAsiaTheme="minorEastAsia" w:hAnsi="Franklin Gothic Book" w:cstheme="minorBidi"/>
                <w:sz w:val="22"/>
                <w:szCs w:val="22"/>
              </w:rPr>
              <w:t>. Although the evidence was limited</w:t>
            </w:r>
            <w:r w:rsidR="6A74672B" w:rsidRPr="15B52665">
              <w:rPr>
                <w:rFonts w:ascii="Franklin Gothic Book" w:eastAsiaTheme="minorEastAsia" w:hAnsi="Franklin Gothic Book" w:cstheme="minorBidi"/>
                <w:sz w:val="22"/>
                <w:szCs w:val="22"/>
              </w:rPr>
              <w:t xml:space="preserve">, </w:t>
            </w:r>
            <w:r w:rsidR="19184031" w:rsidRPr="15B52665">
              <w:rPr>
                <w:rFonts w:ascii="Franklin Gothic Book" w:eastAsiaTheme="minorEastAsia" w:hAnsi="Franklin Gothic Book" w:cstheme="minorBidi"/>
                <w:sz w:val="22"/>
                <w:szCs w:val="22"/>
              </w:rPr>
              <w:t>MSAC considered that better evidence was unlikely to be</w:t>
            </w:r>
            <w:r w:rsidR="006134E6">
              <w:rPr>
                <w:rFonts w:ascii="Franklin Gothic Book" w:eastAsiaTheme="minorEastAsia" w:hAnsi="Franklin Gothic Book" w:cstheme="minorBidi"/>
                <w:sz w:val="22"/>
                <w:szCs w:val="22"/>
              </w:rPr>
              <w:t>come</w:t>
            </w:r>
            <w:r w:rsidR="19184031" w:rsidRPr="15B52665">
              <w:rPr>
                <w:rFonts w:ascii="Franklin Gothic Book" w:eastAsiaTheme="minorEastAsia" w:hAnsi="Franklin Gothic Book" w:cstheme="minorBidi"/>
                <w:sz w:val="22"/>
                <w:szCs w:val="22"/>
              </w:rPr>
              <w:t xml:space="preserve"> available, in part because these types of diabetes </w:t>
            </w:r>
            <w:r w:rsidR="00135E0E">
              <w:rPr>
                <w:rFonts w:ascii="Franklin Gothic Book" w:eastAsiaTheme="minorEastAsia" w:hAnsi="Franklin Gothic Book" w:cstheme="minorBidi"/>
                <w:sz w:val="22"/>
                <w:szCs w:val="22"/>
              </w:rPr>
              <w:t>are</w:t>
            </w:r>
            <w:r w:rsidR="19184031" w:rsidRPr="15B52665">
              <w:rPr>
                <w:rFonts w:ascii="Franklin Gothic Book" w:eastAsiaTheme="minorEastAsia" w:hAnsi="Franklin Gothic Book" w:cstheme="minorBidi"/>
                <w:sz w:val="22"/>
                <w:szCs w:val="22"/>
              </w:rPr>
              <w:t xml:space="preserve"> rare (meaning there are less people to take part in research studies)</w:t>
            </w:r>
            <w:r w:rsidR="0E348BD0" w:rsidRPr="15B52665">
              <w:rPr>
                <w:rFonts w:ascii="Franklin Gothic Book" w:eastAsiaTheme="minorEastAsia" w:hAnsi="Franklin Gothic Book" w:cstheme="minorBidi"/>
                <w:sz w:val="22"/>
                <w:szCs w:val="22"/>
              </w:rPr>
              <w:t>. MSAC considered that this patient group has high clinical need</w:t>
            </w:r>
            <w:r w:rsidR="48A781A9" w:rsidRPr="15B52665">
              <w:rPr>
                <w:rFonts w:ascii="Franklin Gothic Book" w:eastAsiaTheme="minorEastAsia" w:hAnsi="Franklin Gothic Book" w:cstheme="minorBidi"/>
                <w:sz w:val="22"/>
                <w:szCs w:val="22"/>
              </w:rPr>
              <w:t xml:space="preserve"> </w:t>
            </w:r>
            <w:r w:rsidR="0E348BD0" w:rsidRPr="15B52665">
              <w:rPr>
                <w:rFonts w:ascii="Franklin Gothic Book" w:eastAsiaTheme="minorEastAsia" w:hAnsi="Franklin Gothic Book" w:cstheme="minorBidi"/>
                <w:sz w:val="22"/>
                <w:szCs w:val="22"/>
              </w:rPr>
              <w:t>and</w:t>
            </w:r>
            <w:r w:rsidR="7FE05311" w:rsidRPr="15B52665">
              <w:rPr>
                <w:rFonts w:ascii="Franklin Gothic Book" w:eastAsiaTheme="minorEastAsia" w:hAnsi="Franklin Gothic Book" w:cstheme="minorBidi"/>
                <w:sz w:val="22"/>
                <w:szCs w:val="22"/>
              </w:rPr>
              <w:t xml:space="preserve">, despite their conditions being </w:t>
            </w:r>
            <w:r w:rsidR="007EDE7E" w:rsidRPr="15B52665">
              <w:rPr>
                <w:rFonts w:ascii="Franklin Gothic Book" w:eastAsiaTheme="minorEastAsia" w:hAnsi="Franklin Gothic Book" w:cstheme="minorBidi"/>
                <w:sz w:val="22"/>
                <w:szCs w:val="22"/>
              </w:rPr>
              <w:t>similar to type 1 diabetes, they do not receive the same subsidised care as people with type 1 diabetes from the age of 21.</w:t>
            </w:r>
            <w:r w:rsidR="09E06ED7" w:rsidRPr="15B52665">
              <w:rPr>
                <w:rFonts w:ascii="Franklin Gothic Book" w:eastAsiaTheme="minorEastAsia" w:hAnsi="Franklin Gothic Book" w:cstheme="minorBidi"/>
                <w:sz w:val="22"/>
                <w:szCs w:val="22"/>
              </w:rPr>
              <w:t xml:space="preserve"> </w:t>
            </w:r>
            <w:r w:rsidR="7184232E" w:rsidRPr="15B52665">
              <w:rPr>
                <w:rFonts w:ascii="Franklin Gothic Book" w:eastAsiaTheme="minorEastAsia" w:hAnsi="Franklin Gothic Book" w:cstheme="minorBidi"/>
                <w:sz w:val="22"/>
                <w:szCs w:val="22"/>
              </w:rPr>
              <w:t xml:space="preserve">MSAC </w:t>
            </w:r>
            <w:r w:rsidR="40D8315B" w:rsidRPr="15B52665">
              <w:rPr>
                <w:rFonts w:ascii="Franklin Gothic Book" w:eastAsiaTheme="minorEastAsia" w:hAnsi="Franklin Gothic Book" w:cstheme="minorBidi"/>
                <w:sz w:val="22"/>
                <w:szCs w:val="22"/>
              </w:rPr>
              <w:t xml:space="preserve">considered this </w:t>
            </w:r>
            <w:r w:rsidR="00B477D4">
              <w:rPr>
                <w:rFonts w:ascii="Franklin Gothic Book" w:eastAsiaTheme="minorEastAsia" w:hAnsi="Franklin Gothic Book" w:cstheme="minorBidi"/>
                <w:sz w:val="22"/>
                <w:szCs w:val="22"/>
              </w:rPr>
              <w:t>to be</w:t>
            </w:r>
            <w:r w:rsidR="40D8315B" w:rsidRPr="15B52665">
              <w:rPr>
                <w:rFonts w:ascii="Franklin Gothic Book" w:eastAsiaTheme="minorEastAsia" w:hAnsi="Franklin Gothic Book" w:cstheme="minorBidi"/>
                <w:sz w:val="22"/>
                <w:szCs w:val="22"/>
              </w:rPr>
              <w:t xml:space="preserve"> an equity issue and </w:t>
            </w:r>
            <w:r w:rsidR="7184232E" w:rsidRPr="15B52665">
              <w:rPr>
                <w:rFonts w:ascii="Franklin Gothic Book" w:eastAsiaTheme="minorEastAsia" w:hAnsi="Franklin Gothic Book" w:cstheme="minorBidi"/>
                <w:sz w:val="22"/>
                <w:szCs w:val="22"/>
              </w:rPr>
              <w:t xml:space="preserve">advised that </w:t>
            </w:r>
            <w:r w:rsidR="3DCC1139" w:rsidRPr="15B52665">
              <w:rPr>
                <w:rFonts w:ascii="Franklin Gothic Book" w:eastAsiaTheme="minorEastAsia" w:hAnsi="Franklin Gothic Book" w:cstheme="minorBidi"/>
                <w:sz w:val="22"/>
                <w:szCs w:val="22"/>
              </w:rPr>
              <w:t>it would be best addressed as a policy issue to update NDSS eligibility criteria.</w:t>
            </w:r>
            <w:r w:rsidR="5338F9C6" w:rsidRPr="15B52665">
              <w:rPr>
                <w:rFonts w:ascii="Franklin Gothic Book" w:eastAsiaTheme="minorEastAsia" w:hAnsi="Franklin Gothic Book" w:cstheme="minorBidi"/>
                <w:sz w:val="22"/>
                <w:szCs w:val="22"/>
              </w:rPr>
              <w:t xml:space="preserve"> </w:t>
            </w:r>
          </w:p>
          <w:p w14:paraId="1A3CAA64" w14:textId="3154BFB8" w:rsidR="00A30A2C" w:rsidRDefault="61513CAE" w:rsidP="00715135">
            <w:pPr>
              <w:pStyle w:val="Heading3"/>
              <w:spacing w:before="120" w:after="120"/>
              <w:rPr>
                <w:rFonts w:ascii="Franklin Gothic Book" w:eastAsiaTheme="minorEastAsia" w:hAnsi="Franklin Gothic Book" w:cstheme="minorBidi"/>
                <w:sz w:val="22"/>
                <w:szCs w:val="22"/>
              </w:rPr>
            </w:pPr>
            <w:r w:rsidRPr="15B52665">
              <w:rPr>
                <w:rFonts w:ascii="Franklin Gothic Book" w:eastAsiaTheme="minorEastAsia" w:hAnsi="Franklin Gothic Book" w:cstheme="minorBidi"/>
                <w:sz w:val="22"/>
                <w:szCs w:val="22"/>
              </w:rPr>
              <w:t xml:space="preserve">MSAC was of a mind to support public funding </w:t>
            </w:r>
            <w:r w:rsidR="72F749B7" w:rsidRPr="15B52665">
              <w:rPr>
                <w:rFonts w:ascii="Franklin Gothic Book" w:eastAsiaTheme="minorEastAsia" w:hAnsi="Franklin Gothic Book" w:cstheme="minorBidi"/>
                <w:sz w:val="22"/>
                <w:szCs w:val="22"/>
              </w:rPr>
              <w:t>of CGM</w:t>
            </w:r>
            <w:r w:rsidRPr="15B52665">
              <w:rPr>
                <w:rFonts w:ascii="Franklin Gothic Book" w:eastAsiaTheme="minorEastAsia" w:hAnsi="Franklin Gothic Book" w:cstheme="minorBidi"/>
                <w:sz w:val="22"/>
                <w:szCs w:val="22"/>
              </w:rPr>
              <w:t xml:space="preserve"> for some specific patient groups</w:t>
            </w:r>
            <w:r w:rsidR="19AA5E7A" w:rsidRPr="15B52665">
              <w:rPr>
                <w:rFonts w:ascii="Franklin Gothic Book" w:eastAsiaTheme="minorEastAsia" w:hAnsi="Franklin Gothic Book" w:cstheme="minorBidi"/>
                <w:sz w:val="22"/>
                <w:szCs w:val="22"/>
              </w:rPr>
              <w:t xml:space="preserve"> with type 2 diabete</w:t>
            </w:r>
            <w:r w:rsidR="21366510" w:rsidRPr="15B52665">
              <w:rPr>
                <w:rFonts w:ascii="Franklin Gothic Book" w:eastAsiaTheme="minorEastAsia" w:hAnsi="Franklin Gothic Book" w:cstheme="minorBidi"/>
                <w:sz w:val="22"/>
                <w:szCs w:val="22"/>
              </w:rPr>
              <w:t xml:space="preserve">s that would </w:t>
            </w:r>
            <w:r w:rsidR="0B06DC0C" w:rsidRPr="15B52665">
              <w:rPr>
                <w:rFonts w:ascii="Franklin Gothic Book" w:eastAsiaTheme="minorEastAsia" w:hAnsi="Franklin Gothic Book" w:cstheme="minorBidi"/>
                <w:sz w:val="22"/>
                <w:szCs w:val="22"/>
              </w:rPr>
              <w:t xml:space="preserve">likely </w:t>
            </w:r>
            <w:r w:rsidR="21366510" w:rsidRPr="15B52665">
              <w:rPr>
                <w:rFonts w:ascii="Franklin Gothic Book" w:eastAsiaTheme="minorEastAsia" w:hAnsi="Franklin Gothic Book" w:cstheme="minorBidi"/>
                <w:sz w:val="22"/>
                <w:szCs w:val="22"/>
              </w:rPr>
              <w:t>benefit most from CGM</w:t>
            </w:r>
            <w:r w:rsidR="58A8D04C" w:rsidRPr="15B52665">
              <w:rPr>
                <w:rFonts w:ascii="Franklin Gothic Book" w:eastAsiaTheme="minorEastAsia" w:hAnsi="Franklin Gothic Book" w:cstheme="minorBidi"/>
                <w:sz w:val="22"/>
                <w:szCs w:val="22"/>
              </w:rPr>
              <w:t>. However</w:t>
            </w:r>
            <w:r w:rsidRPr="15B52665">
              <w:rPr>
                <w:rFonts w:ascii="Franklin Gothic Book" w:eastAsiaTheme="minorEastAsia" w:hAnsi="Franklin Gothic Book" w:cstheme="minorBidi"/>
                <w:sz w:val="22"/>
                <w:szCs w:val="22"/>
              </w:rPr>
              <w:t xml:space="preserve">, it was </w:t>
            </w:r>
            <w:r w:rsidR="76991B1B" w:rsidRPr="15B52665">
              <w:rPr>
                <w:rFonts w:ascii="Franklin Gothic Book" w:eastAsiaTheme="minorEastAsia" w:hAnsi="Franklin Gothic Book" w:cstheme="minorBidi"/>
                <w:sz w:val="22"/>
                <w:szCs w:val="22"/>
              </w:rPr>
              <w:t xml:space="preserve">not able to make a decision to support </w:t>
            </w:r>
            <w:r w:rsidRPr="15B52665">
              <w:rPr>
                <w:rFonts w:ascii="Franklin Gothic Book" w:eastAsiaTheme="minorEastAsia" w:hAnsi="Franklin Gothic Book" w:cstheme="minorBidi"/>
                <w:sz w:val="22"/>
                <w:szCs w:val="22"/>
              </w:rPr>
              <w:t xml:space="preserve">public funding </w:t>
            </w:r>
            <w:r w:rsidR="462F8C0F" w:rsidRPr="15B52665">
              <w:rPr>
                <w:rFonts w:ascii="Franklin Gothic Book" w:eastAsiaTheme="minorEastAsia" w:hAnsi="Franklin Gothic Book" w:cstheme="minorBidi"/>
                <w:sz w:val="22"/>
                <w:szCs w:val="22"/>
              </w:rPr>
              <w:t xml:space="preserve">for these groups </w:t>
            </w:r>
            <w:r w:rsidRPr="15B52665">
              <w:rPr>
                <w:rFonts w:ascii="Franklin Gothic Book" w:eastAsiaTheme="minorEastAsia" w:hAnsi="Franklin Gothic Book" w:cstheme="minorBidi"/>
                <w:sz w:val="22"/>
                <w:szCs w:val="22"/>
              </w:rPr>
              <w:t>at this time</w:t>
            </w:r>
            <w:r w:rsidR="35EAD059" w:rsidRPr="15B52665">
              <w:rPr>
                <w:rFonts w:ascii="Franklin Gothic Book" w:eastAsiaTheme="minorEastAsia" w:hAnsi="Franklin Gothic Book" w:cstheme="minorBidi"/>
                <w:sz w:val="22"/>
                <w:szCs w:val="22"/>
              </w:rPr>
              <w:t>,</w:t>
            </w:r>
            <w:r w:rsidRPr="15B52665">
              <w:rPr>
                <w:rFonts w:ascii="Franklin Gothic Book" w:eastAsiaTheme="minorEastAsia" w:hAnsi="Franklin Gothic Book" w:cstheme="minorBidi"/>
                <w:sz w:val="22"/>
                <w:szCs w:val="22"/>
              </w:rPr>
              <w:t xml:space="preserve"> due to remaining uncertaint</w:t>
            </w:r>
            <w:r w:rsidR="21366510" w:rsidRPr="15B52665">
              <w:rPr>
                <w:rFonts w:ascii="Franklin Gothic Book" w:eastAsiaTheme="minorEastAsia" w:hAnsi="Franklin Gothic Book" w:cstheme="minorBidi"/>
                <w:sz w:val="22"/>
                <w:szCs w:val="22"/>
              </w:rPr>
              <w:t xml:space="preserve">ies in the </w:t>
            </w:r>
            <w:r w:rsidR="0FE55045" w:rsidRPr="15B52665">
              <w:rPr>
                <w:rFonts w:ascii="Franklin Gothic Book" w:eastAsiaTheme="minorEastAsia" w:hAnsi="Franklin Gothic Book" w:cstheme="minorBidi"/>
                <w:sz w:val="22"/>
                <w:szCs w:val="22"/>
              </w:rPr>
              <w:t xml:space="preserve">evidence presented in the </w:t>
            </w:r>
            <w:r w:rsidR="21366510" w:rsidRPr="15B52665">
              <w:rPr>
                <w:rFonts w:ascii="Franklin Gothic Book" w:eastAsiaTheme="minorEastAsia" w:hAnsi="Franklin Gothic Book" w:cstheme="minorBidi"/>
                <w:sz w:val="22"/>
                <w:szCs w:val="22"/>
              </w:rPr>
              <w:t>application</w:t>
            </w:r>
            <w:r w:rsidR="1C2E14BF" w:rsidRPr="15B52665">
              <w:rPr>
                <w:rFonts w:ascii="Franklin Gothic Book" w:eastAsiaTheme="minorEastAsia" w:hAnsi="Franklin Gothic Book" w:cstheme="minorBidi"/>
                <w:sz w:val="22"/>
                <w:szCs w:val="22"/>
              </w:rPr>
              <w:t xml:space="preserve">. There was a </w:t>
            </w:r>
            <w:r w:rsidR="49AD90B3" w:rsidRPr="15B52665">
              <w:rPr>
                <w:rFonts w:ascii="Franklin Gothic Book" w:eastAsiaTheme="minorEastAsia" w:hAnsi="Franklin Gothic Book" w:cstheme="minorBidi"/>
                <w:sz w:val="22"/>
                <w:szCs w:val="22"/>
              </w:rPr>
              <w:t>lack of clarity in the economic modelling and financial projections for CGM</w:t>
            </w:r>
            <w:r w:rsidR="088C69DF" w:rsidRPr="15B52665">
              <w:rPr>
                <w:rFonts w:ascii="Franklin Gothic Book" w:eastAsiaTheme="minorEastAsia" w:hAnsi="Franklin Gothic Book" w:cstheme="minorBidi"/>
                <w:sz w:val="22"/>
                <w:szCs w:val="22"/>
              </w:rPr>
              <w:t xml:space="preserve">, meaning it was not clear how much it would cost over time, to fund </w:t>
            </w:r>
            <w:r w:rsidR="6C1CDF26" w:rsidRPr="15B52665">
              <w:rPr>
                <w:rFonts w:ascii="Franklin Gothic Book" w:eastAsiaTheme="minorEastAsia" w:hAnsi="Franklin Gothic Book" w:cstheme="minorBidi"/>
                <w:sz w:val="22"/>
                <w:szCs w:val="22"/>
              </w:rPr>
              <w:t>it</w:t>
            </w:r>
            <w:r w:rsidR="088C69DF" w:rsidRPr="15B52665">
              <w:rPr>
                <w:rFonts w:ascii="Franklin Gothic Book" w:eastAsiaTheme="minorEastAsia" w:hAnsi="Franklin Gothic Book" w:cstheme="minorBidi"/>
                <w:sz w:val="22"/>
                <w:szCs w:val="22"/>
              </w:rPr>
              <w:t xml:space="preserve">. </w:t>
            </w:r>
          </w:p>
          <w:p w14:paraId="0A003F53" w14:textId="586E51A5" w:rsidR="00A30A2C" w:rsidRDefault="61513CAE" w:rsidP="00A30A2C">
            <w:r>
              <w:t xml:space="preserve">The </w:t>
            </w:r>
            <w:r w:rsidR="6F637286">
              <w:t xml:space="preserve">priority </w:t>
            </w:r>
            <w:r>
              <w:t xml:space="preserve">groups </w:t>
            </w:r>
            <w:r w:rsidR="19AA5E7A">
              <w:t>with type 2 diabetes</w:t>
            </w:r>
            <w:r w:rsidR="00642C72">
              <w:t xml:space="preserve"> using insulin</w:t>
            </w:r>
            <w:r w:rsidR="19AA5E7A">
              <w:t xml:space="preserve"> that </w:t>
            </w:r>
            <w:r>
              <w:t>MSAC considered would receive the most benefit from CGM are:</w:t>
            </w:r>
          </w:p>
          <w:p w14:paraId="468A1C0F" w14:textId="308D16E7" w:rsidR="00A30A2C" w:rsidRDefault="00A30A2C" w:rsidP="00A30A2C">
            <w:pPr>
              <w:pStyle w:val="ListParagraph"/>
              <w:numPr>
                <w:ilvl w:val="0"/>
                <w:numId w:val="60"/>
              </w:numPr>
              <w:spacing w:before="0"/>
            </w:pPr>
            <w:r>
              <w:t xml:space="preserve">people </w:t>
            </w:r>
            <w:r w:rsidR="00FD62F6">
              <w:t xml:space="preserve">who need </w:t>
            </w:r>
            <w:r>
              <w:t>3 or more daily insulin injections</w:t>
            </w:r>
          </w:p>
          <w:p w14:paraId="3B633B2C" w14:textId="77777777" w:rsidR="00A30A2C" w:rsidRDefault="00A30A2C" w:rsidP="00A30A2C">
            <w:pPr>
              <w:pStyle w:val="ListParagraph"/>
              <w:numPr>
                <w:ilvl w:val="0"/>
                <w:numId w:val="60"/>
              </w:numPr>
              <w:spacing w:before="0"/>
            </w:pPr>
            <w:r>
              <w:t>Aboriginal and Torres Strait Islander people on any regimen of insulin</w:t>
            </w:r>
          </w:p>
          <w:p w14:paraId="68E1EB03" w14:textId="1C69C014" w:rsidR="00A30A2C" w:rsidRDefault="00A30A2C" w:rsidP="00A30A2C">
            <w:pPr>
              <w:pStyle w:val="ListParagraph"/>
              <w:numPr>
                <w:ilvl w:val="0"/>
                <w:numId w:val="60"/>
              </w:numPr>
              <w:spacing w:before="0"/>
            </w:pPr>
            <w:r>
              <w:t>pregnant people</w:t>
            </w:r>
            <w:r w:rsidR="00FD62F6">
              <w:t xml:space="preserve"> or those actively planning pregnancy</w:t>
            </w:r>
            <w:r>
              <w:t xml:space="preserve"> </w:t>
            </w:r>
          </w:p>
          <w:p w14:paraId="3D2D3441" w14:textId="7214CB30" w:rsidR="15B52665" w:rsidRPr="00715135" w:rsidRDefault="61513CAE" w:rsidP="15B52665">
            <w:pPr>
              <w:pStyle w:val="ListParagraph"/>
              <w:numPr>
                <w:ilvl w:val="0"/>
                <w:numId w:val="60"/>
              </w:numPr>
              <w:spacing w:before="0"/>
              <w:rPr>
                <w:rFonts w:eastAsiaTheme="minorEastAsia"/>
              </w:rPr>
            </w:pPr>
            <w:r>
              <w:t xml:space="preserve">people </w:t>
            </w:r>
            <w:r w:rsidR="2A043FE7">
              <w:t>with youth-onset type 2 diabetes</w:t>
            </w:r>
            <w:r>
              <w:t xml:space="preserve"> </w:t>
            </w:r>
            <w:r w:rsidR="2A043FE7">
              <w:t>(i.e. those who have been diagnosed with T2D before the age of</w:t>
            </w:r>
            <w:r>
              <w:t xml:space="preserve"> 25 years</w:t>
            </w:r>
            <w:r w:rsidR="2A043FE7">
              <w:t>)</w:t>
            </w:r>
          </w:p>
          <w:p w14:paraId="20CB4F5F" w14:textId="0B8CD409" w:rsidR="00B2564C" w:rsidRDefault="44DF262A" w:rsidP="0085532E">
            <w:r w:rsidRPr="15B52665">
              <w:rPr>
                <w:rFonts w:eastAsiaTheme="minorEastAsia"/>
              </w:rPr>
              <w:t>MSAC also considered that the risk of use outside of the</w:t>
            </w:r>
            <w:r w:rsidR="62935478" w:rsidRPr="15B52665">
              <w:rPr>
                <w:rFonts w:eastAsiaTheme="minorEastAsia"/>
              </w:rPr>
              <w:t xml:space="preserve">se priority groups </w:t>
            </w:r>
            <w:r w:rsidRPr="15B52665">
              <w:rPr>
                <w:rFonts w:eastAsiaTheme="minorEastAsia"/>
              </w:rPr>
              <w:t xml:space="preserve">was very high, </w:t>
            </w:r>
            <w:r w:rsidR="007A603E">
              <w:rPr>
                <w:rFonts w:eastAsiaTheme="minorEastAsia"/>
              </w:rPr>
              <w:t>greatly increasing</w:t>
            </w:r>
            <w:r w:rsidR="007A603E" w:rsidRPr="15B52665">
              <w:rPr>
                <w:rFonts w:eastAsiaTheme="minorEastAsia"/>
              </w:rPr>
              <w:t xml:space="preserve"> </w:t>
            </w:r>
            <w:r w:rsidRPr="15B52665">
              <w:rPr>
                <w:rFonts w:eastAsiaTheme="minorEastAsia"/>
              </w:rPr>
              <w:t>the potential budgetary impact of listing. MSAC asked the applicant to provide better economic and financial estimates focusing on the priority groups</w:t>
            </w:r>
            <w:r w:rsidR="00BE28F9">
              <w:rPr>
                <w:rFonts w:eastAsiaTheme="minorEastAsia"/>
              </w:rPr>
              <w:t xml:space="preserve"> </w:t>
            </w:r>
            <w:r w:rsidR="71C1DEDC">
              <w:t>before it could make a positive recommendation.</w:t>
            </w:r>
          </w:p>
          <w:p w14:paraId="32B0C23C" w14:textId="77777777" w:rsidR="00B2564C" w:rsidRPr="005B6EFD" w:rsidRDefault="00B2564C" w:rsidP="00AD51B4">
            <w:pPr>
              <w:keepNext/>
              <w:keepLines/>
              <w:tabs>
                <w:tab w:val="left" w:pos="851"/>
              </w:tabs>
              <w:spacing w:before="240"/>
              <w:outlineLvl w:val="2"/>
              <w:rPr>
                <w:rFonts w:ascii="Franklin Gothic Medium" w:eastAsiaTheme="majorEastAsia" w:hAnsi="Franklin Gothic Medium" w:cstheme="majorBidi"/>
              </w:rPr>
            </w:pPr>
            <w:r w:rsidRPr="005B6EFD">
              <w:rPr>
                <w:rFonts w:ascii="Franklin Gothic Medium" w:eastAsiaTheme="majorEastAsia" w:hAnsi="Franklin Gothic Medium" w:cstheme="majorBidi"/>
              </w:rPr>
              <w:t>MSAC’s advice to the Commonwealth Minister for Health, Disability and Ageing</w:t>
            </w:r>
          </w:p>
          <w:p w14:paraId="62E1AD52" w14:textId="7E71F33D" w:rsidR="00B2564C" w:rsidRPr="005B6EFD" w:rsidRDefault="0765C3E8" w:rsidP="003E64D4">
            <w:pPr>
              <w:spacing w:after="120"/>
            </w:pPr>
            <w:r>
              <w:t xml:space="preserve">MSAC </w:t>
            </w:r>
            <w:r w:rsidR="2B24493E">
              <w:t xml:space="preserve">supported public funding of CGM for people </w:t>
            </w:r>
            <w:r w:rsidR="02489646">
              <w:t>aged</w:t>
            </w:r>
            <w:r w:rsidR="77112F7B">
              <w:t xml:space="preserve"> 21 years </w:t>
            </w:r>
            <w:r w:rsidR="02489646">
              <w:t xml:space="preserve">and over </w:t>
            </w:r>
            <w:r w:rsidR="2B24493E">
              <w:t xml:space="preserve">with type 3c diabetes and other types of diabetes similar to type 1. </w:t>
            </w:r>
          </w:p>
          <w:p w14:paraId="42183FA7" w14:textId="7CB722F5" w:rsidR="00B2564C" w:rsidRPr="005B6EFD" w:rsidRDefault="2B24493E">
            <w:pPr>
              <w:spacing w:after="120"/>
            </w:pPr>
            <w:r>
              <w:t xml:space="preserve">MSAC </w:t>
            </w:r>
            <w:r w:rsidR="0765C3E8">
              <w:t xml:space="preserve">deferred its decision on public funding </w:t>
            </w:r>
            <w:r w:rsidR="14C8C851">
              <w:t>of CGM for people with T2D</w:t>
            </w:r>
            <w:r w:rsidR="0765C3E8">
              <w:t xml:space="preserve">, with a mind to support funding for </w:t>
            </w:r>
            <w:r w:rsidR="2556E2C5">
              <w:t xml:space="preserve">specific </w:t>
            </w:r>
            <w:r w:rsidR="0765C3E8">
              <w:t>groups</w:t>
            </w:r>
            <w:r w:rsidR="2556E2C5">
              <w:t xml:space="preserve"> within this population</w:t>
            </w:r>
            <w:r w:rsidR="430FA6C3">
              <w:t>,</w:t>
            </w:r>
            <w:r w:rsidR="0765C3E8">
              <w:t xml:space="preserve"> if the issues raised by MSAC can be addressed. MSAC requested that more work be done to fix problems with the economic model to ensure </w:t>
            </w:r>
            <w:r w:rsidR="3B96F63D">
              <w:t xml:space="preserve">that funding </w:t>
            </w:r>
            <w:r w:rsidR="0765C3E8">
              <w:t>the device is good value for money.</w:t>
            </w:r>
          </w:p>
        </w:tc>
      </w:tr>
    </w:tbl>
    <w:p w14:paraId="64CBB718" w14:textId="77777777" w:rsidR="00B2564C" w:rsidRPr="005B6EFD" w:rsidRDefault="00B2564C" w:rsidP="00670C60">
      <w:pPr>
        <w:pStyle w:val="Heading2"/>
        <w:numPr>
          <w:ilvl w:val="0"/>
          <w:numId w:val="32"/>
        </w:numPr>
        <w:ind w:hanging="720"/>
      </w:pPr>
      <w:r w:rsidRPr="005B6EFD">
        <w:lastRenderedPageBreak/>
        <w:t>Summary of consideration and rationale for MSAC’s advice</w:t>
      </w:r>
    </w:p>
    <w:p w14:paraId="3D79DEC4" w14:textId="39321733" w:rsidR="004B5326" w:rsidRDefault="004B5326" w:rsidP="004B5326">
      <w:r w:rsidRPr="00516D4E">
        <w:t>MSAC</w:t>
      </w:r>
      <w:r>
        <w:t xml:space="preserve"> noted that this resubmission from Australasian Medical and Scientific Ltd was requesting National Diabetes Service Scheme (NDSS) funding of the Dexcom ONE+ real-time continuous glucose monitoring (RT-CGM) system for insulin-using patients with type 2 diabetes (T2D) with suboptimal glycaemic control. MSAC noted that the NDSS </w:t>
      </w:r>
      <w:r w:rsidRPr="00D631D5">
        <w:t xml:space="preserve">currently funds CGM for all </w:t>
      </w:r>
      <w:r>
        <w:t xml:space="preserve">people with </w:t>
      </w:r>
      <w:r w:rsidRPr="00D631D5">
        <w:lastRenderedPageBreak/>
        <w:t>type</w:t>
      </w:r>
      <w:r>
        <w:t> </w:t>
      </w:r>
      <w:r w:rsidRPr="00D631D5">
        <w:t>1 diabet</w:t>
      </w:r>
      <w:r>
        <w:t>e</w:t>
      </w:r>
      <w:r w:rsidRPr="00D631D5">
        <w:t>s</w:t>
      </w:r>
      <w:r w:rsidR="00506F60">
        <w:t xml:space="preserve"> (T1D)</w:t>
      </w:r>
      <w:r w:rsidRPr="00D631D5">
        <w:t xml:space="preserve"> </w:t>
      </w:r>
      <w:r>
        <w:t xml:space="preserve">and people </w:t>
      </w:r>
      <w:r w:rsidR="00506F60">
        <w:t xml:space="preserve">under 21 years of age </w:t>
      </w:r>
      <w:r>
        <w:t>with</w:t>
      </w:r>
      <w:r w:rsidRPr="00D631D5">
        <w:t xml:space="preserve"> type</w:t>
      </w:r>
      <w:r>
        <w:t> </w:t>
      </w:r>
      <w:r w:rsidRPr="00D631D5">
        <w:t xml:space="preserve">3c </w:t>
      </w:r>
      <w:r>
        <w:t>diabetes</w:t>
      </w:r>
      <w:r w:rsidR="00506F60">
        <w:t xml:space="preserve"> </w:t>
      </w:r>
      <w:r w:rsidR="003467DA">
        <w:t xml:space="preserve">or </w:t>
      </w:r>
      <w:r w:rsidR="00506F60">
        <w:t>other types of diabetes similar to T1D</w:t>
      </w:r>
      <w:r>
        <w:t>.</w:t>
      </w:r>
      <w:r w:rsidRPr="00624EAB">
        <w:t xml:space="preserve"> </w:t>
      </w:r>
    </w:p>
    <w:p w14:paraId="0763DC93" w14:textId="440E629B" w:rsidR="004B5326" w:rsidRDefault="004B5326" w:rsidP="004B5326">
      <w:r>
        <w:t xml:space="preserve">MSAC recalled that it had </w:t>
      </w:r>
      <w:r w:rsidR="001D59D1">
        <w:t>previously</w:t>
      </w:r>
      <w:r>
        <w:t xml:space="preserve"> considered this application at its July 2025 meeting</w:t>
      </w:r>
      <w:r w:rsidR="001D59D1">
        <w:t xml:space="preserve">, and had deferred its </w:t>
      </w:r>
      <w:r w:rsidR="00152CB2">
        <w:t>decision</w:t>
      </w:r>
      <w:r w:rsidR="001D59D1">
        <w:t xml:space="preserve"> until additional information and revisions were provided</w:t>
      </w:r>
      <w:r>
        <w:t xml:space="preserve">. MSAC had </w:t>
      </w:r>
      <w:r w:rsidR="000A090A">
        <w:t xml:space="preserve">in particular </w:t>
      </w:r>
      <w:r>
        <w:t xml:space="preserve">requested </w:t>
      </w:r>
      <w:r w:rsidR="00B20DCD">
        <w:t>that the revised assessment report</w:t>
      </w:r>
      <w:r w:rsidR="004845C8">
        <w:t xml:space="preserve"> </w:t>
      </w:r>
      <w:r w:rsidR="00E108D5">
        <w:t xml:space="preserve">include </w:t>
      </w:r>
      <w:r>
        <w:t>several revisions to the</w:t>
      </w:r>
      <w:r w:rsidR="00F41597">
        <w:t xml:space="preserve"> </w:t>
      </w:r>
      <w:r>
        <w:t>economic evaluation</w:t>
      </w:r>
      <w:r w:rsidR="00351570">
        <w:t xml:space="preserve">, and </w:t>
      </w:r>
      <w:r w:rsidR="00CD0F8D">
        <w:t xml:space="preserve">a </w:t>
      </w:r>
      <w:r w:rsidR="004845C8">
        <w:t>focus on the subpopulations with the highest clinical nee</w:t>
      </w:r>
      <w:r w:rsidR="00351570">
        <w:t>d</w:t>
      </w:r>
      <w:r>
        <w:t>. MSAC noted that this resubmission had only partially addressed the</w:t>
      </w:r>
      <w:r w:rsidR="00F75E38">
        <w:t>se requests</w:t>
      </w:r>
      <w:r>
        <w:t xml:space="preserve">, with the applicant-developed assessment report (ADAR) citing a lack of evidence for many subpopulations. MSAC acknowledged that it was unlikely that detailed evidence would be available for every specific subpopulation. </w:t>
      </w:r>
    </w:p>
    <w:p w14:paraId="6BD73746" w14:textId="030F600D" w:rsidR="00FC5B4A" w:rsidRDefault="00044968" w:rsidP="001C0F1A">
      <w:r>
        <w:t>To provide further information and perspectives, particularly on the patients with the highest clinical need and who may be likely to receive most benefit from CGM, MSAC welcomed a large volume of public consultation input on this application, and also undertook a targeted stakeholder meeting with clinical experts.</w:t>
      </w:r>
      <w:r w:rsidR="001823C3">
        <w:t xml:space="preserve"> </w:t>
      </w:r>
      <w:r w:rsidR="00094506">
        <w:t xml:space="preserve">MSAC noted that consumer and stakeholder feedback </w:t>
      </w:r>
      <w:r w:rsidR="001C0F1A">
        <w:t xml:space="preserve">on high need populations </w:t>
      </w:r>
      <w:r w:rsidR="00094506">
        <w:t xml:space="preserve">was largely aligned with the </w:t>
      </w:r>
      <w:r w:rsidR="0036141F">
        <w:t xml:space="preserve">priority </w:t>
      </w:r>
      <w:r w:rsidR="00094506">
        <w:t>groups identified by MSAC at its July 2025 consideration</w:t>
      </w:r>
      <w:r w:rsidR="00910B64">
        <w:t xml:space="preserve"> of this application</w:t>
      </w:r>
      <w:r w:rsidR="001C0F1A">
        <w:t>. MSAC therefore considered that</w:t>
      </w:r>
      <w:r w:rsidR="00FC5B4A">
        <w:t xml:space="preserve"> the </w:t>
      </w:r>
      <w:r w:rsidR="00BE28F9">
        <w:t>priority</w:t>
      </w:r>
      <w:r w:rsidR="00FC5B4A">
        <w:t xml:space="preserve"> </w:t>
      </w:r>
      <w:r w:rsidR="001C0F1A">
        <w:t xml:space="preserve">subpopulations </w:t>
      </w:r>
      <w:r w:rsidR="0008441E">
        <w:t xml:space="preserve">most relevant to consideration of CGM funding </w:t>
      </w:r>
      <w:r w:rsidR="00FC5B4A">
        <w:t>are insulin-dependent:</w:t>
      </w:r>
    </w:p>
    <w:p w14:paraId="3A7075A3" w14:textId="44EA2632" w:rsidR="00FC5B4A" w:rsidRDefault="00FC5B4A" w:rsidP="00FC5B4A">
      <w:pPr>
        <w:pStyle w:val="ListParagraph"/>
        <w:numPr>
          <w:ilvl w:val="0"/>
          <w:numId w:val="62"/>
        </w:numPr>
        <w:spacing w:before="0" w:after="0" w:line="240" w:lineRule="auto"/>
      </w:pPr>
      <w:r>
        <w:t xml:space="preserve">people with T2D </w:t>
      </w:r>
      <w:r w:rsidR="00654029">
        <w:t>requiring intensive insulin therapy (IIT)</w:t>
      </w:r>
      <w:r>
        <w:t xml:space="preserve"> and HbA1c &gt;7.0%</w:t>
      </w:r>
    </w:p>
    <w:p w14:paraId="075DB5C6" w14:textId="77777777" w:rsidR="00FC5B4A" w:rsidRDefault="00FC5B4A" w:rsidP="00FC5B4A">
      <w:pPr>
        <w:pStyle w:val="ListParagraph"/>
        <w:numPr>
          <w:ilvl w:val="0"/>
          <w:numId w:val="62"/>
        </w:numPr>
        <w:spacing w:before="0" w:after="0" w:line="240" w:lineRule="auto"/>
      </w:pPr>
      <w:r>
        <w:t xml:space="preserve">Aboriginal and Torres Strait Islander people on any regimen of insulin </w:t>
      </w:r>
      <w:r w:rsidRPr="00980AC4">
        <w:t>and HbA1c levels of &gt;7%</w:t>
      </w:r>
    </w:p>
    <w:p w14:paraId="31133251" w14:textId="77777777" w:rsidR="00FC5B4A" w:rsidRDefault="00FC5B4A" w:rsidP="00FC5B4A">
      <w:pPr>
        <w:pStyle w:val="ListParagraph"/>
        <w:numPr>
          <w:ilvl w:val="0"/>
          <w:numId w:val="62"/>
        </w:numPr>
        <w:spacing w:before="0" w:after="0" w:line="240" w:lineRule="auto"/>
      </w:pPr>
      <w:r>
        <w:t>pregnant people with T2D (or those actively planning pregnancy)</w:t>
      </w:r>
    </w:p>
    <w:p w14:paraId="487E088B" w14:textId="77777777" w:rsidR="00FC5B4A" w:rsidRDefault="00FC5B4A" w:rsidP="00FC5B4A">
      <w:pPr>
        <w:pStyle w:val="ListParagraph"/>
        <w:numPr>
          <w:ilvl w:val="0"/>
          <w:numId w:val="62"/>
        </w:numPr>
        <w:spacing w:before="0" w:after="0" w:line="240" w:lineRule="auto"/>
      </w:pPr>
      <w:r>
        <w:t>people with youth-onset T2D (i.e. diagnosed before 25 years of age)</w:t>
      </w:r>
    </w:p>
    <w:p w14:paraId="01223BFC" w14:textId="027AF6D5" w:rsidR="00FC5B4A" w:rsidRDefault="00FC5B4A" w:rsidP="000B4B38">
      <w:pPr>
        <w:pStyle w:val="ListParagraph"/>
        <w:numPr>
          <w:ilvl w:val="0"/>
          <w:numId w:val="62"/>
        </w:numPr>
        <w:spacing w:before="0" w:after="0" w:line="240" w:lineRule="auto"/>
      </w:pPr>
      <w:r>
        <w:t>people</w:t>
      </w:r>
      <w:r w:rsidR="0008441E">
        <w:t xml:space="preserve"> aged 21 and over</w:t>
      </w:r>
      <w:r>
        <w:t xml:space="preserve"> with type 3c diabetes</w:t>
      </w:r>
      <w:r w:rsidR="0008441E">
        <w:t xml:space="preserve"> </w:t>
      </w:r>
      <w:r w:rsidR="00825154">
        <w:t xml:space="preserve">or </w:t>
      </w:r>
      <w:r w:rsidR="0008441E">
        <w:t>other types of diabetes similar to type 1</w:t>
      </w:r>
      <w:r>
        <w:t>.</w:t>
      </w:r>
    </w:p>
    <w:p w14:paraId="55845446" w14:textId="32DB09D6" w:rsidR="00044968" w:rsidRDefault="00066090" w:rsidP="004B5326">
      <w:r>
        <w:t>MSAC noted that some subpopulations who may benefit from CGM have not been included in clinical trials</w:t>
      </w:r>
      <w:r w:rsidR="00D62A57">
        <w:t>:</w:t>
      </w:r>
      <w:r>
        <w:t xml:space="preserve"> people with </w:t>
      </w:r>
      <w:r w:rsidR="000D6AAE">
        <w:t>disability</w:t>
      </w:r>
      <w:r>
        <w:t>,</w:t>
      </w:r>
      <w:r w:rsidR="000D6AAE">
        <w:t xml:space="preserve"> </w:t>
      </w:r>
      <w:r w:rsidR="00A13512">
        <w:t xml:space="preserve">and people with </w:t>
      </w:r>
      <w:r w:rsidR="000D6AAE">
        <w:t>barriers to</w:t>
      </w:r>
      <w:r>
        <w:t xml:space="preserve"> communication </w:t>
      </w:r>
      <w:r w:rsidR="00A13512">
        <w:t xml:space="preserve">or </w:t>
      </w:r>
      <w:r>
        <w:t>sensory impairments. However, MSAC acknowledged it was likely difficult to obtain data</w:t>
      </w:r>
      <w:r w:rsidR="00006CCE">
        <w:t xml:space="preserve"> on these </w:t>
      </w:r>
      <w:r w:rsidR="0079632A">
        <w:t xml:space="preserve">specific </w:t>
      </w:r>
      <w:r w:rsidR="00006CCE">
        <w:t>subpopulations</w:t>
      </w:r>
      <w:r w:rsidR="00C47418">
        <w:t xml:space="preserve"> separate from the broader </w:t>
      </w:r>
      <w:r w:rsidR="00B568A0">
        <w:t xml:space="preserve">T2D </w:t>
      </w:r>
      <w:r w:rsidR="00C47418">
        <w:t>population</w:t>
      </w:r>
      <w:r w:rsidR="0079632A">
        <w:t xml:space="preserve">, and noted that these </w:t>
      </w:r>
      <w:r w:rsidR="00F71128">
        <w:t>patients</w:t>
      </w:r>
      <w:r w:rsidR="0079632A">
        <w:t xml:space="preserve"> would still be included in each of the above groups, if they met </w:t>
      </w:r>
      <w:r w:rsidR="00F71128">
        <w:t>the</w:t>
      </w:r>
      <w:r w:rsidR="0079632A">
        <w:t xml:space="preserve"> criteria</w:t>
      </w:r>
      <w:r w:rsidR="00F71128">
        <w:t xml:space="preserve"> for inclusion</w:t>
      </w:r>
      <w:r>
        <w:t>.</w:t>
      </w:r>
    </w:p>
    <w:p w14:paraId="1D119EF0" w14:textId="23CF3ECB" w:rsidR="004B5326" w:rsidRDefault="004B5326" w:rsidP="004B5326">
      <w:r>
        <w:t xml:space="preserve">The applicant was granted a hearing. At the hearing, representatives of the applicant highlighted that CGM provides a fuller and more complete reading of blood glucose levels compared with finger pricking. </w:t>
      </w:r>
      <w:r w:rsidR="004274A4">
        <w:t>They presented that r</w:t>
      </w:r>
      <w:r>
        <w:t xml:space="preserve">eal-world evidence shows CGM reduces HbA1c in insulin-using people with T2D. </w:t>
      </w:r>
      <w:r w:rsidR="00D13DCA">
        <w:t>They highlighted the b</w:t>
      </w:r>
      <w:r>
        <w:t xml:space="preserve">enefits noted through stakeholder consultation include increased safety, ease of use, and enhanced learning and agency for users, providing overall quality-of-life benefits. </w:t>
      </w:r>
    </w:p>
    <w:p w14:paraId="37B39D36" w14:textId="467D7921" w:rsidR="00D30C8C" w:rsidRDefault="00D30C8C" w:rsidP="004B5326">
      <w:r>
        <w:t>MSAC considered that</w:t>
      </w:r>
      <w:r w:rsidR="001267D2">
        <w:t>, for the populations identified as most likely to benefit from CGM,</w:t>
      </w:r>
      <w:r>
        <w:t xml:space="preserve"> more certainty is needed on the population numbers, uptake rates and the incremental cost-effectiveness ratios (ICERs).</w:t>
      </w:r>
    </w:p>
    <w:p w14:paraId="6BBF1080" w14:textId="2CF57951" w:rsidR="004B5326" w:rsidRDefault="004B5326" w:rsidP="004B5326">
      <w:r>
        <w:t xml:space="preserve">MSAC </w:t>
      </w:r>
      <w:r w:rsidR="001267D2">
        <w:t>also</w:t>
      </w:r>
      <w:r>
        <w:t xml:space="preserve"> noted that this application and concurrent </w:t>
      </w:r>
      <w:hyperlink r:id="rId13" w:history="1">
        <w:r w:rsidRPr="00363867">
          <w:rPr>
            <w:rStyle w:val="Hyperlink"/>
          </w:rPr>
          <w:t>application 1786</w:t>
        </w:r>
      </w:hyperlink>
      <w:r>
        <w:t xml:space="preserve"> (FreeStyle Libre 2 CGM for people with insulin-dependent T2D, gestational diabetes and type 3c diabetes) use</w:t>
      </w:r>
      <w:r w:rsidR="001267D2">
        <w:t>d</w:t>
      </w:r>
      <w:r>
        <w:t xml:space="preserve"> different definitions for the IIT and non-IIT subpopulations. MSAC </w:t>
      </w:r>
      <w:r w:rsidR="001267D2">
        <w:t>recalled</w:t>
      </w:r>
      <w:r>
        <w:t xml:space="preserve"> that, when it considered this application in July 2025, </w:t>
      </w:r>
      <w:r w:rsidR="00EA3085">
        <w:t xml:space="preserve">the committee did not define what </w:t>
      </w:r>
      <w:r>
        <w:t>‘intensive</w:t>
      </w:r>
      <w:r w:rsidR="00F206F3">
        <w:t xml:space="preserve"> insulin</w:t>
      </w:r>
      <w:r>
        <w:t xml:space="preserve"> therapy’ </w:t>
      </w:r>
      <w:r w:rsidR="00EA3085">
        <w:t>should be</w:t>
      </w:r>
      <w:r>
        <w:t>.</w:t>
      </w:r>
      <w:r w:rsidRPr="00E15C1C">
        <w:t xml:space="preserve"> </w:t>
      </w:r>
      <w:r w:rsidR="00733732">
        <w:t xml:space="preserve">Having reviewed both applications and all provided information, </w:t>
      </w:r>
      <w:r w:rsidRPr="00F808E8">
        <w:t>MSAC considered that the IIT subpopulation should be defined as ≥3 daily insulin injections (basal–bolus</w:t>
      </w:r>
      <w:r w:rsidR="00CE54DA">
        <w:t xml:space="preserve"> regimen</w:t>
      </w:r>
      <w:r w:rsidRPr="00F808E8">
        <w:t>).</w:t>
      </w:r>
    </w:p>
    <w:p w14:paraId="33E4833E" w14:textId="7157B4A6" w:rsidR="004B5326" w:rsidRDefault="004B5326" w:rsidP="004B5326">
      <w:r>
        <w:t xml:space="preserve">MSAC considered that the non-IIT subpopulation with HbA1c &gt;8% should not be included </w:t>
      </w:r>
      <w:r w:rsidR="00646B21">
        <w:t xml:space="preserve">as one of the </w:t>
      </w:r>
      <w:r w:rsidR="00666A05">
        <w:t xml:space="preserve">priority </w:t>
      </w:r>
      <w:r w:rsidR="00646B21">
        <w:t>populations for further consideration at this time</w:t>
      </w:r>
      <w:r>
        <w:t xml:space="preserve">. MSAC considered that, if it is </w:t>
      </w:r>
      <w:r>
        <w:lastRenderedPageBreak/>
        <w:t>important for patients in this group to have tight control of HbA1c, or if it is necessary and appropriate to reduce their HbA1c much below 8%, it is likely they will require I</w:t>
      </w:r>
      <w:r w:rsidR="00A37A94">
        <w:t>I</w:t>
      </w:r>
      <w:r>
        <w:t xml:space="preserve">T, </w:t>
      </w:r>
      <w:r w:rsidR="00A00AC9">
        <w:t xml:space="preserve">and </w:t>
      </w:r>
      <w:r w:rsidR="00DA1EB1">
        <w:t xml:space="preserve">hence </w:t>
      </w:r>
      <w:r w:rsidR="00A00AC9">
        <w:t>will form part of the IIT group</w:t>
      </w:r>
      <w:r>
        <w:t xml:space="preserve">. MSAC also considered that pregnant people with gestational diabetes should not be included as </w:t>
      </w:r>
      <w:r w:rsidR="00FD224D">
        <w:t xml:space="preserve">there are </w:t>
      </w:r>
      <w:r w:rsidR="00FD224D" w:rsidRPr="00737D3F">
        <w:t>concern</w:t>
      </w:r>
      <w:r w:rsidR="00FD224D">
        <w:t>s</w:t>
      </w:r>
      <w:r w:rsidR="00FD224D" w:rsidRPr="00737D3F">
        <w:t xml:space="preserve"> of</w:t>
      </w:r>
      <w:r w:rsidR="00FD224D">
        <w:t xml:space="preserve"> associated</w:t>
      </w:r>
      <w:r w:rsidR="00FD224D" w:rsidRPr="00737D3F">
        <w:t xml:space="preserve"> risks</w:t>
      </w:r>
      <w:r w:rsidR="00FD224D">
        <w:t>,</w:t>
      </w:r>
      <w:r w:rsidR="00FD224D" w:rsidRPr="00737D3F">
        <w:t xml:space="preserve"> and stakeholder support </w:t>
      </w:r>
      <w:r w:rsidR="00FD224D">
        <w:t xml:space="preserve">was limited </w:t>
      </w:r>
      <w:r w:rsidR="00FD224D" w:rsidRPr="00737D3F">
        <w:t>in the context of a sizeable, recurring population</w:t>
      </w:r>
      <w:r w:rsidR="00FD224D">
        <w:t>.</w:t>
      </w:r>
    </w:p>
    <w:p w14:paraId="608BAA21" w14:textId="73A5D549" w:rsidR="004B5326" w:rsidRDefault="004B5326" w:rsidP="004B5326">
      <w:r>
        <w:t>MSAC noted that, in the pre-MSAC response, the applicant suggested prioritising reimbursement for the IIT subgroup as they are at greatest risk of poor glycaemic outcomes, diabetes-related complications and higher healthcare costs. MSAC agreed with this suggestion but noted that the applicant did not elaborate on further reimbursement prioritisation for other subpopulations</w:t>
      </w:r>
      <w:r w:rsidR="00EC46AD">
        <w:t xml:space="preserve"> identified as </w:t>
      </w:r>
      <w:r w:rsidR="0086236C">
        <w:t>at-risk or with high clinical need</w:t>
      </w:r>
      <w:r>
        <w:t>.</w:t>
      </w:r>
    </w:p>
    <w:p w14:paraId="249B156C" w14:textId="3C22D640" w:rsidR="002E62E9" w:rsidRDefault="004B5326" w:rsidP="002E62E9">
      <w:r>
        <w:t xml:space="preserve">The pre-MSAC response suggested that CGM access for the subpopulation with type 3c diabetes could be implemented by changing the existing eligibility arrangements for type 1 diabetes. </w:t>
      </w:r>
      <w:r w:rsidR="00823C78">
        <w:t>MSAC agreed there is an equity of access issue in this subgroup</w:t>
      </w:r>
      <w:r w:rsidR="00245240">
        <w:t xml:space="preserve">, where </w:t>
      </w:r>
      <w:r w:rsidR="00107240">
        <w:t xml:space="preserve">subsidised access is only available for the type 3c and other diabetes similar to type 1 group until age 21, but is not age-restricted for </w:t>
      </w:r>
      <w:r w:rsidR="00AC1D26">
        <w:t xml:space="preserve">those with </w:t>
      </w:r>
      <w:r w:rsidR="00107240">
        <w:t>type 1 diabetes</w:t>
      </w:r>
      <w:r w:rsidR="00823C78">
        <w:t>.</w:t>
      </w:r>
    </w:p>
    <w:p w14:paraId="365F7DC8" w14:textId="7BA57B6D" w:rsidR="004B5326" w:rsidRDefault="004B5326" w:rsidP="004B5326">
      <w:r>
        <w:t>MSAC noted that</w:t>
      </w:r>
      <w:r w:rsidR="000F34CE">
        <w:t>, although</w:t>
      </w:r>
      <w:r>
        <w:t xml:space="preserve"> intermittent use of CGM </w:t>
      </w:r>
      <w:r w:rsidR="000F34CE">
        <w:t xml:space="preserve">received some </w:t>
      </w:r>
      <w:r>
        <w:t>support</w:t>
      </w:r>
      <w:r w:rsidR="000F34CE">
        <w:t xml:space="preserve"> in consultation feedback, it</w:t>
      </w:r>
      <w:r>
        <w:t xml:space="preserve"> was not supported by the applicant in its pre-MSAC response or at the hearing. The pre-MSAC response noted that intermittent use of CGM risks delivering a partial and potentially compromised form of care, and it could still have a noticeable financial impact to the NDSS without a certainty of benefit. The pre-MSAC response also cited real-world evidence from Nemlekar et al. 2024</w:t>
      </w:r>
      <w:r>
        <w:rPr>
          <w:rStyle w:val="FootnoteReference"/>
        </w:rPr>
        <w:footnoteReference w:id="1"/>
      </w:r>
      <w:r>
        <w:t xml:space="preserve"> showing that adherence to CGM was associated with significant reductions in HbA1c, and people using RT-CGM had higher adherence than those using intermittent CGM. MSAC acknowledged the validity of the argument made by the pre-MSAC response, but also acknowledged that </w:t>
      </w:r>
      <w:r w:rsidR="00734A38">
        <w:t xml:space="preserve">there is already some incidence of </w:t>
      </w:r>
      <w:r>
        <w:t>intermittent us</w:t>
      </w:r>
      <w:r w:rsidR="00734A38">
        <w:t>e among people with T2D</w:t>
      </w:r>
      <w:r>
        <w:t>.</w:t>
      </w:r>
    </w:p>
    <w:p w14:paraId="46A6999F" w14:textId="78450CB3" w:rsidR="004B5326" w:rsidRDefault="004B5326" w:rsidP="004B5326">
      <w:r w:rsidRPr="007D03B9">
        <w:t xml:space="preserve">MSAC </w:t>
      </w:r>
      <w:r w:rsidR="00EC04F2" w:rsidRPr="007D03B9">
        <w:t xml:space="preserve">agreed with </w:t>
      </w:r>
      <w:r w:rsidRPr="007D03B9">
        <w:t>ESC that evidence</w:t>
      </w:r>
      <w:r w:rsidR="001A0171" w:rsidRPr="007D03B9">
        <w:t xml:space="preserve"> on the comparative effectiveness of CGM</w:t>
      </w:r>
      <w:r w:rsidRPr="007D03B9">
        <w:t xml:space="preserve"> from </w:t>
      </w:r>
      <w:r w:rsidRPr="007D03B9">
        <w:rPr>
          <w:lang w:val="en-GB"/>
        </w:rPr>
        <w:t>suboptimally controlled T2D populations (IIT and non-IIT) presented in the ADAR</w:t>
      </w:r>
      <w:r w:rsidR="00EE7A29" w:rsidRPr="007D03B9">
        <w:rPr>
          <w:lang w:val="en-GB"/>
        </w:rPr>
        <w:t xml:space="preserve"> such as the reported HbA1c reductions</w:t>
      </w:r>
      <w:r w:rsidR="00D22333" w:rsidRPr="007D03B9">
        <w:rPr>
          <w:lang w:val="en-GB"/>
        </w:rPr>
        <w:t xml:space="preserve"> associated with CGM use</w:t>
      </w:r>
      <w:r w:rsidR="00EE7A29" w:rsidRPr="007D03B9">
        <w:rPr>
          <w:lang w:val="en-GB"/>
        </w:rPr>
        <w:t xml:space="preserve"> for th</w:t>
      </w:r>
      <w:r w:rsidR="00730BA7" w:rsidRPr="007D03B9">
        <w:rPr>
          <w:lang w:val="en-GB"/>
        </w:rPr>
        <w:t>is broader population</w:t>
      </w:r>
      <w:r w:rsidRPr="007D03B9">
        <w:rPr>
          <w:lang w:val="en-GB"/>
        </w:rPr>
        <w:t xml:space="preserve"> </w:t>
      </w:r>
      <w:r w:rsidR="0058499E" w:rsidRPr="007D03B9">
        <w:rPr>
          <w:lang w:val="en-GB"/>
        </w:rPr>
        <w:t xml:space="preserve">was </w:t>
      </w:r>
      <w:r w:rsidRPr="007D03B9">
        <w:rPr>
          <w:lang w:val="en-GB"/>
        </w:rPr>
        <w:t>likely applicable to the specific subpopulations with high clinical need for CGM.</w:t>
      </w:r>
      <w:r w:rsidR="00A514F1" w:rsidRPr="007D03B9">
        <w:rPr>
          <w:lang w:val="en-GB"/>
        </w:rPr>
        <w:t xml:space="preserve"> MSAC</w:t>
      </w:r>
      <w:r w:rsidR="00A514F1">
        <w:rPr>
          <w:lang w:val="en-GB"/>
        </w:rPr>
        <w:t xml:space="preserve"> noted that the applicant also agreed with</w:t>
      </w:r>
      <w:r w:rsidR="000F30D4">
        <w:rPr>
          <w:lang w:val="en-GB"/>
        </w:rPr>
        <w:t xml:space="preserve"> </w:t>
      </w:r>
      <w:r w:rsidR="00A514F1">
        <w:rPr>
          <w:lang w:val="en-GB"/>
        </w:rPr>
        <w:t>ESC in its pre-MSAC response.</w:t>
      </w:r>
    </w:p>
    <w:p w14:paraId="701689D4" w14:textId="0E3A14A2" w:rsidR="000F6997" w:rsidRDefault="004B5326" w:rsidP="005F1297">
      <w:r>
        <w:t>MSAC agreed with ESC that there are no major safety concerns with the Dexcom ONE+ CGM device</w:t>
      </w:r>
      <w:r w:rsidR="00901EBB">
        <w:t xml:space="preserve"> but noted that </w:t>
      </w:r>
      <w:r>
        <w:t xml:space="preserve">ESC had identified a possible safety concern </w:t>
      </w:r>
      <w:r w:rsidR="00901EBB">
        <w:t>around analytical validity (i.e. where</w:t>
      </w:r>
      <w:r>
        <w:t xml:space="preserve"> inaccurate high readings </w:t>
      </w:r>
      <w:r w:rsidR="00901EBB">
        <w:t xml:space="preserve">could lead </w:t>
      </w:r>
      <w:r>
        <w:t>to excessive insulin administration</w:t>
      </w:r>
      <w:r w:rsidR="00901EBB">
        <w:t>)</w:t>
      </w:r>
      <w:r>
        <w:t xml:space="preserve">. The pre-MSAC response </w:t>
      </w:r>
      <w:r w:rsidR="00113204">
        <w:t xml:space="preserve">stated that </w:t>
      </w:r>
      <w:r w:rsidR="004F508E">
        <w:t>evidence supporting analytical validity was presented in its previous ADAR</w:t>
      </w:r>
      <w:r w:rsidR="00CE2A03">
        <w:t>, and also referred to PASC’s advice in the PICO confirmation</w:t>
      </w:r>
      <w:r w:rsidR="00EA3FE5">
        <w:t xml:space="preserve"> </w:t>
      </w:r>
      <w:r>
        <w:t>that any such occurrences would be captured by the direct evidence.</w:t>
      </w:r>
      <w:r w:rsidR="007D7CA3">
        <w:t xml:space="preserve"> MSAC noted recent media reports of </w:t>
      </w:r>
      <w:r w:rsidR="00856F27">
        <w:t>connectivity failures and incorrect insulin dosing resulting from</w:t>
      </w:r>
      <w:r w:rsidR="007D7CA3">
        <w:t xml:space="preserve"> CGM and insulin pumps, and queried whether data were available on device failures, which had not been </w:t>
      </w:r>
      <w:r w:rsidR="0029777F">
        <w:t>provided</w:t>
      </w:r>
      <w:r w:rsidR="007D7CA3">
        <w:t xml:space="preserve"> in the application.</w:t>
      </w:r>
    </w:p>
    <w:p w14:paraId="51C20E3B" w14:textId="12E6CF72" w:rsidR="00874524" w:rsidRPr="007D7CA3" w:rsidRDefault="00874524" w:rsidP="004B5326">
      <w:r>
        <w:t>MSAC noted that the pre-MSAC response recommended minimum performance standards for CGM devices, which MSAC agreed with. The pre-MSAC response also</w:t>
      </w:r>
      <w:r w:rsidR="00CF3382">
        <w:t xml:space="preserve"> argued against </w:t>
      </w:r>
      <w:r>
        <w:t xml:space="preserve">MSAC’s previous consideration that CGM systems with similar functions can be considered collectively. MSAC maintained its view that, while some CGM systems have different functionality (e.g. insulin pump integration), systems that have similar functionality (and have appropriate quality </w:t>
      </w:r>
      <w:r>
        <w:lastRenderedPageBreak/>
        <w:t xml:space="preserve">assurance processes, analytical validity, and regulatory approvals, e.g. are listed on the Australian Register of Therapeutic Goods) are likely to have a degree of class effect. </w:t>
      </w:r>
      <w:r w:rsidR="00F22CBF">
        <w:t>MSAC also considered there were potential privacy and cybersecurity concerns associated with collecting patient data, and that this must be appropriately managed.</w:t>
      </w:r>
    </w:p>
    <w:p w14:paraId="07A2E2BA" w14:textId="2DE3A581" w:rsidR="004B5326" w:rsidRPr="00DF3BBC" w:rsidRDefault="004B5326" w:rsidP="004B5326">
      <w:r>
        <w:t xml:space="preserve">MSAC noted that this resubmission provided no new direct evidence on clinical effectiveness. The claim of superior effectiveness still relies on achieving </w:t>
      </w:r>
      <w:r w:rsidR="009B1C51">
        <w:t>the applicant’s defined</w:t>
      </w:r>
      <w:r>
        <w:t xml:space="preserve"> minimal clinically important difference (MCID) of 0.3% reduction in HbA1c</w:t>
      </w:r>
      <w:r w:rsidR="00E44253">
        <w:t xml:space="preserve">, </w:t>
      </w:r>
      <w:r w:rsidR="009B1C51">
        <w:t xml:space="preserve">rather than the </w:t>
      </w:r>
      <w:r w:rsidR="00E44253">
        <w:t>widely</w:t>
      </w:r>
      <w:r w:rsidR="009B1C51">
        <w:t xml:space="preserve"> accepted MCID of </w:t>
      </w:r>
      <w:r>
        <w:t>0.5</w:t>
      </w:r>
      <w:r w:rsidR="00336758">
        <w:t>%</w:t>
      </w:r>
      <w:r>
        <w:t xml:space="preserve">. ESC had considered this less important for decision-making because the revised model used the smaller, randomised controlled trial (RCT)–based HbA1c treatment effects of 0.3% to 0.4%. </w:t>
      </w:r>
      <w:r w:rsidR="002A61E1">
        <w:t xml:space="preserve">Overall </w:t>
      </w:r>
      <w:r w:rsidRPr="003F6107">
        <w:t xml:space="preserve">MSAC </w:t>
      </w:r>
      <w:r w:rsidR="002A61E1">
        <w:t xml:space="preserve">considered that </w:t>
      </w:r>
      <w:r w:rsidR="00F10CC7">
        <w:t xml:space="preserve">there was insufficient </w:t>
      </w:r>
      <w:r w:rsidR="001472BB">
        <w:t xml:space="preserve">evidence provided to </w:t>
      </w:r>
      <w:r w:rsidR="00A17195">
        <w:t>reduce</w:t>
      </w:r>
      <w:r w:rsidRPr="003F6107">
        <w:t xml:space="preserve"> the accepted 0.5% </w:t>
      </w:r>
      <w:r w:rsidR="001472BB">
        <w:t xml:space="preserve">MCID </w:t>
      </w:r>
      <w:r w:rsidRPr="003F6107">
        <w:t>to claim superior effectiveness.</w:t>
      </w:r>
      <w:r>
        <w:t xml:space="preserve"> MSAC also noted recent trials on CGM devices that use an MCID of 0.5%.</w:t>
      </w:r>
    </w:p>
    <w:p w14:paraId="1542FB3C" w14:textId="7455FFD4" w:rsidR="00257B3D" w:rsidRDefault="004B5326" w:rsidP="00E375BB">
      <w:r>
        <w:t>MSAC noted that the resubmission had made positive changes to the economic</w:t>
      </w:r>
      <w:r w:rsidR="00AB1BAF">
        <w:t xml:space="preserve"> evaluation</w:t>
      </w:r>
      <w:r>
        <w:t xml:space="preserve"> to address many of the issues identified in the first submission</w:t>
      </w:r>
      <w:r w:rsidR="00B4604B">
        <w:t>,</w:t>
      </w:r>
      <w:r w:rsidR="00815DE9">
        <w:t xml:space="preserve"> including</w:t>
      </w:r>
      <w:r>
        <w:t xml:space="preserve"> greater reliance on RCT-based evidence and more realistic HbA1c changes, and presenting results separately for different cardiovascular disease (CVD) risk equations.</w:t>
      </w:r>
    </w:p>
    <w:p w14:paraId="4F070991" w14:textId="1BC05413" w:rsidR="00257B3D" w:rsidRDefault="00257B3D" w:rsidP="00257B3D">
      <w:r>
        <w:t>MSAC noted that the economic evaluation in the resubmission used more conservative estimates, meaning the use of CGM was no longer dominant for both the I</w:t>
      </w:r>
      <w:r w:rsidR="00876314">
        <w:t>I</w:t>
      </w:r>
      <w:r>
        <w:t>T and non-I</w:t>
      </w:r>
      <w:r w:rsidR="00876314">
        <w:t>I</w:t>
      </w:r>
      <w:r>
        <w:t>T subpopulations. However, the ICER per quality adjusted life year (QALY) varied substantially depending on the risk equation used:</w:t>
      </w:r>
    </w:p>
    <w:p w14:paraId="5C06D9E3" w14:textId="199C9376" w:rsidR="00257B3D" w:rsidRDefault="00257B3D" w:rsidP="00257B3D">
      <w:pPr>
        <w:pStyle w:val="ListParagraph"/>
        <w:numPr>
          <w:ilvl w:val="0"/>
          <w:numId w:val="63"/>
        </w:numPr>
        <w:spacing w:before="0" w:after="0" w:line="240" w:lineRule="auto"/>
      </w:pPr>
      <w:r>
        <w:t>For the IIT population, the ICERs were $</w:t>
      </w:r>
      <w:r w:rsidR="00895526">
        <w:t>5,000 to &lt; $15,000</w:t>
      </w:r>
      <w:r>
        <w:t xml:space="preserve">/QALY when using </w:t>
      </w:r>
      <w:r w:rsidR="00B4604B">
        <w:t xml:space="preserve">the </w:t>
      </w:r>
      <w:r>
        <w:t xml:space="preserve">UK-PDS </w:t>
      </w:r>
      <w:r w:rsidR="00B4604B">
        <w:t xml:space="preserve">risk equation </w:t>
      </w:r>
      <w:r>
        <w:t>and $</w:t>
      </w:r>
      <w:r w:rsidR="00355F67">
        <w:t>5,000 to &lt; $15,000</w:t>
      </w:r>
      <w:r>
        <w:t xml:space="preserve">/QALY when using </w:t>
      </w:r>
      <w:r w:rsidR="00B4604B">
        <w:t xml:space="preserve">the </w:t>
      </w:r>
      <w:r>
        <w:t>Fremantle</w:t>
      </w:r>
      <w:r w:rsidR="00B4604B">
        <w:t xml:space="preserve"> risk equation</w:t>
      </w:r>
      <w:r>
        <w:t>.</w:t>
      </w:r>
    </w:p>
    <w:p w14:paraId="0DE1CDFB" w14:textId="4B551C99" w:rsidR="00257B3D" w:rsidRDefault="00257B3D" w:rsidP="00257B3D">
      <w:pPr>
        <w:pStyle w:val="ListParagraph"/>
        <w:numPr>
          <w:ilvl w:val="0"/>
          <w:numId w:val="63"/>
        </w:numPr>
        <w:spacing w:before="0" w:after="0" w:line="240" w:lineRule="auto"/>
      </w:pPr>
      <w:r>
        <w:t>For the non-IIT population, the ICERs were $</w:t>
      </w:r>
      <w:r w:rsidR="00355F67">
        <w:t>35,000 to &lt; $45,000</w:t>
      </w:r>
      <w:r>
        <w:t xml:space="preserve">/QALY when using </w:t>
      </w:r>
      <w:r w:rsidR="00D45741">
        <w:t xml:space="preserve">the </w:t>
      </w:r>
      <w:r>
        <w:t xml:space="preserve">UK-PDS </w:t>
      </w:r>
      <w:r w:rsidR="00D45741">
        <w:t xml:space="preserve">risk equation </w:t>
      </w:r>
      <w:r>
        <w:t>and $</w:t>
      </w:r>
      <w:r w:rsidR="00355F67">
        <w:t>5,000 to &lt; $15,000</w:t>
      </w:r>
      <w:r>
        <w:t xml:space="preserve">/QALY when using </w:t>
      </w:r>
      <w:r w:rsidR="00D45741">
        <w:t xml:space="preserve">the </w:t>
      </w:r>
      <w:r>
        <w:t>Fremantle</w:t>
      </w:r>
      <w:r w:rsidR="00D45741">
        <w:t xml:space="preserve"> risk equation</w:t>
      </w:r>
      <w:r>
        <w:t>.</w:t>
      </w:r>
    </w:p>
    <w:p w14:paraId="2AA7DAF8" w14:textId="6FED3083" w:rsidR="00257B3D" w:rsidRDefault="00257B3D" w:rsidP="00257B3D">
      <w:r>
        <w:t xml:space="preserve">MSAC noted that QALYs were driven </w:t>
      </w:r>
      <w:r w:rsidR="00D45741">
        <w:t xml:space="preserve">primarily </w:t>
      </w:r>
      <w:r>
        <w:t xml:space="preserve">by incremental quality of life, meaning the ICER is sensitive to </w:t>
      </w:r>
      <w:r w:rsidR="00B30DCC">
        <w:t>the utility weights</w:t>
      </w:r>
      <w:r w:rsidR="008557C1">
        <w:t xml:space="preserve"> applied</w:t>
      </w:r>
      <w:r>
        <w:t>.</w:t>
      </w:r>
    </w:p>
    <w:p w14:paraId="2EED871A" w14:textId="7F8B3B69" w:rsidR="00B935C4" w:rsidRDefault="00815DE9" w:rsidP="00E375BB">
      <w:r>
        <w:t>Howe</w:t>
      </w:r>
      <w:r w:rsidR="00491180">
        <w:t>ver</w:t>
      </w:r>
      <w:r w:rsidR="00413137">
        <w:t>,</w:t>
      </w:r>
      <w:r w:rsidR="00943F45">
        <w:t xml:space="preserve"> MSAC considered that </w:t>
      </w:r>
      <w:r w:rsidR="00491180">
        <w:t xml:space="preserve">there were numerous concerns with the economic </w:t>
      </w:r>
      <w:r w:rsidR="00B935C4">
        <w:t>evaluation</w:t>
      </w:r>
      <w:r w:rsidR="00491180">
        <w:t xml:space="preserve"> that remained unaddressed</w:t>
      </w:r>
      <w:r w:rsidR="00E61321">
        <w:t xml:space="preserve">. These included the concern that finger prick disutilities were overestimated and the potential </w:t>
      </w:r>
      <w:r w:rsidR="008557C1">
        <w:t>for</w:t>
      </w:r>
      <w:r w:rsidR="00E61321">
        <w:t xml:space="preserve"> double-counting </w:t>
      </w:r>
      <w:r w:rsidR="008557C1">
        <w:t>the quality of life decrements</w:t>
      </w:r>
      <w:r w:rsidR="00855E4A">
        <w:t xml:space="preserve"> for finger pricking and fear of hypoglycaemia</w:t>
      </w:r>
      <w:r w:rsidR="00E93F20">
        <w:t xml:space="preserve"> (FOH)</w:t>
      </w:r>
      <w:r w:rsidR="00E61321">
        <w:t xml:space="preserve"> by </w:t>
      </w:r>
      <w:r w:rsidR="00E93F20">
        <w:t xml:space="preserve">applying </w:t>
      </w:r>
      <w:r w:rsidR="00E61321">
        <w:t xml:space="preserve">separate </w:t>
      </w:r>
      <w:r w:rsidR="00E93F20">
        <w:t xml:space="preserve">(additive) </w:t>
      </w:r>
      <w:r w:rsidR="00E61321">
        <w:t xml:space="preserve">disutilities, </w:t>
      </w:r>
      <w:r w:rsidR="00B1493E">
        <w:t xml:space="preserve">the lack of justification of </w:t>
      </w:r>
      <w:r w:rsidR="00413DED" w:rsidRPr="00413DED">
        <w:t>a different method to estimate hospitalisations for severe hypoglycaemic events (SHE) and diabetic ketoacidosis (DK</w:t>
      </w:r>
      <w:r w:rsidR="00413DED">
        <w:t>A)</w:t>
      </w:r>
      <w:r w:rsidR="009E65F4">
        <w:t>,</w:t>
      </w:r>
      <w:r w:rsidR="00413DED">
        <w:t xml:space="preserve"> and th</w:t>
      </w:r>
      <w:r w:rsidR="00413DED" w:rsidRPr="00413DED">
        <w:t>e existence and extent of the translation of change in HbA1c levels to longer-term diabetic complications</w:t>
      </w:r>
      <w:r w:rsidR="00413DED">
        <w:t>.</w:t>
      </w:r>
      <w:r w:rsidR="004B5326">
        <w:t xml:space="preserve"> </w:t>
      </w:r>
    </w:p>
    <w:p w14:paraId="2D7A2869" w14:textId="55B74271" w:rsidR="00AF6AFD" w:rsidRDefault="00413137" w:rsidP="00AF6AFD">
      <w:r>
        <w:t>MSAC noted that due to these concerns ESC had requested</w:t>
      </w:r>
      <w:r w:rsidR="00F1461F">
        <w:t xml:space="preserve"> a</w:t>
      </w:r>
      <w:r w:rsidR="007F633F">
        <w:t xml:space="preserve"> respecified </w:t>
      </w:r>
      <w:r w:rsidR="00264CE2">
        <w:t xml:space="preserve">multivariate </w:t>
      </w:r>
      <w:r w:rsidR="007F633F">
        <w:t>base case</w:t>
      </w:r>
      <w:r w:rsidR="00EE0FC4">
        <w:t xml:space="preserve">. </w:t>
      </w:r>
      <w:r w:rsidR="00E53B30">
        <w:t>This was to directly address the uncertainties</w:t>
      </w:r>
      <w:r w:rsidR="0041221A">
        <w:t xml:space="preserve"> that ESC and subsequently MSAC considered material to the cost-effectiveness results. </w:t>
      </w:r>
      <w:r w:rsidR="004D7C4D">
        <w:t>T</w:t>
      </w:r>
      <w:r w:rsidR="00D3557F">
        <w:t xml:space="preserve">his ESC-requested analysis is </w:t>
      </w:r>
      <w:r w:rsidR="005E2EB5">
        <w:t xml:space="preserve">referred to as a respecified base case by </w:t>
      </w:r>
      <w:r w:rsidR="004D7C4D">
        <w:t>the committees</w:t>
      </w:r>
      <w:r w:rsidR="005D53E8">
        <w:t xml:space="preserve"> but </w:t>
      </w:r>
      <w:r w:rsidR="00A84E7C">
        <w:t>should</w:t>
      </w:r>
      <w:r w:rsidR="005D53E8">
        <w:t xml:space="preserve"> </w:t>
      </w:r>
      <w:r w:rsidR="00C7067B">
        <w:t>not</w:t>
      </w:r>
      <w:r w:rsidR="003313B6">
        <w:t xml:space="preserve"> be confused with</w:t>
      </w:r>
      <w:r w:rsidR="00C7067B">
        <w:t xml:space="preserve"> the base case presented </w:t>
      </w:r>
      <w:r w:rsidR="008342B6">
        <w:t xml:space="preserve">in the </w:t>
      </w:r>
      <w:r w:rsidR="002426EE">
        <w:t xml:space="preserve">assessment. </w:t>
      </w:r>
      <w:r w:rsidR="0003147B">
        <w:t xml:space="preserve">ESC requested the </w:t>
      </w:r>
      <w:r w:rsidR="005D5539">
        <w:t>analysis include</w:t>
      </w:r>
      <w:r w:rsidR="008D0282">
        <w:t xml:space="preserve"> </w:t>
      </w:r>
      <w:r w:rsidR="00E85BF7">
        <w:t xml:space="preserve">the convergence of HbA1c </w:t>
      </w:r>
      <w:r w:rsidR="009E65F4">
        <w:t xml:space="preserve">changes </w:t>
      </w:r>
      <w:r w:rsidR="00E85BF7">
        <w:t xml:space="preserve">between years 7 and 8, halving each finger-prick disutility, removing the fear of hypoglycaemia disutility, and halving DKA and SHE costs and disutilities. </w:t>
      </w:r>
      <w:r w:rsidR="00AF6AFD" w:rsidRPr="00B935C4">
        <w:t xml:space="preserve">MSAC noted that </w:t>
      </w:r>
      <w:r w:rsidR="00AF6AFD">
        <w:t xml:space="preserve">although </w:t>
      </w:r>
      <w:r w:rsidR="00AF6AFD" w:rsidRPr="00B935C4">
        <w:t>the pre-MSAC response provided the</w:t>
      </w:r>
      <w:r w:rsidR="00AF6AFD">
        <w:t xml:space="preserve"> result of a</w:t>
      </w:r>
      <w:r w:rsidR="00AF6AFD" w:rsidRPr="00B935C4">
        <w:t xml:space="preserve"> multivariate analysis</w:t>
      </w:r>
      <w:r w:rsidR="00AF6AFD">
        <w:t xml:space="preserve"> based on these </w:t>
      </w:r>
      <w:r w:rsidR="009B71E3">
        <w:t>specifications</w:t>
      </w:r>
      <w:r w:rsidR="00AF6AFD">
        <w:t xml:space="preserve">, this result of </w:t>
      </w:r>
      <w:r w:rsidR="002E1D36">
        <w:t>$</w:t>
      </w:r>
      <w:r w:rsidR="00125375">
        <w:t>55,000 to &lt; $75,000</w:t>
      </w:r>
      <w:r w:rsidR="00AF6AFD">
        <w:t xml:space="preserve">/QALY for the IIT population compared with </w:t>
      </w:r>
      <w:r w:rsidR="00125375">
        <w:t>$5,000 to &lt; $15,000</w:t>
      </w:r>
      <w:r w:rsidR="00AF6AFD">
        <w:t>/QALY in the</w:t>
      </w:r>
      <w:r w:rsidR="00E45786">
        <w:t xml:space="preserve"> original</w:t>
      </w:r>
      <w:r w:rsidR="005F7BFB">
        <w:t xml:space="preserve"> </w:t>
      </w:r>
      <w:r w:rsidR="00AF6AFD">
        <w:t xml:space="preserve">base case was only reported for the IIT population and was reported using the version of the model that used the Fremantle risk equations rather than </w:t>
      </w:r>
      <w:r w:rsidR="00267334">
        <w:t xml:space="preserve">the version of the model that used </w:t>
      </w:r>
      <w:r w:rsidR="00AF6AFD">
        <w:t>the UK-PDS risk equations</w:t>
      </w:r>
      <w:r w:rsidR="00267334">
        <w:t>,</w:t>
      </w:r>
      <w:r w:rsidR="00AF6AFD">
        <w:t xml:space="preserve"> as requested by ESC. </w:t>
      </w:r>
    </w:p>
    <w:p w14:paraId="59DD621E" w14:textId="65694B9A" w:rsidR="004B5326" w:rsidRDefault="00AF6AFD" w:rsidP="004B5326">
      <w:r>
        <w:lastRenderedPageBreak/>
        <w:t xml:space="preserve">MSAC noted that </w:t>
      </w:r>
      <w:r w:rsidR="00E375BB">
        <w:t xml:space="preserve">the pre-MSAC response </w:t>
      </w:r>
      <w:r w:rsidR="00CB555C">
        <w:t xml:space="preserve">argued that </w:t>
      </w:r>
      <w:r w:rsidR="00E83BC6" w:rsidRPr="00E83BC6">
        <w:t>th</w:t>
      </w:r>
      <w:r w:rsidR="00E83BC6">
        <w:t xml:space="preserve">e </w:t>
      </w:r>
      <w:r w:rsidR="00E83BC6" w:rsidRPr="005F1297">
        <w:t>analysis</w:t>
      </w:r>
      <w:r w:rsidR="00E83BC6" w:rsidRPr="00E83BC6">
        <w:t xml:space="preserve"> </w:t>
      </w:r>
      <w:r w:rsidR="00447F84">
        <w:t xml:space="preserve">requested by ESC </w:t>
      </w:r>
      <w:r w:rsidR="00E83BC6" w:rsidRPr="00E83BC6">
        <w:t>is unrealistic, lacks face validity, and should not be viewed as the base case for MSAC decision-making</w:t>
      </w:r>
      <w:r w:rsidR="00E83BC6">
        <w:t>. However</w:t>
      </w:r>
      <w:r w:rsidR="00FC419F">
        <w:t>,</w:t>
      </w:r>
      <w:r w:rsidR="00E83BC6">
        <w:t xml:space="preserve"> MSAC considered that the pre-MSAC response </w:t>
      </w:r>
      <w:r w:rsidR="00E375BB">
        <w:t xml:space="preserve">did not acknowledge </w:t>
      </w:r>
      <w:r w:rsidR="00E375BB" w:rsidRPr="0094114C">
        <w:t xml:space="preserve">the likely double counting of </w:t>
      </w:r>
      <w:r w:rsidR="00E375BB">
        <w:t>QALYs</w:t>
      </w:r>
      <w:r w:rsidR="00E375BB" w:rsidRPr="0094114C">
        <w:t xml:space="preserve"> by incl</w:t>
      </w:r>
      <w:r w:rsidR="00E375BB">
        <w:t>uding</w:t>
      </w:r>
      <w:r w:rsidR="00E375BB" w:rsidRPr="0094114C">
        <w:t xml:space="preserve"> separate disutilities for finger pricking and</w:t>
      </w:r>
      <w:r w:rsidR="001D2B1A">
        <w:t xml:space="preserve"> FOH </w:t>
      </w:r>
      <w:r w:rsidR="00E83BC6">
        <w:t xml:space="preserve">and </w:t>
      </w:r>
      <w:r w:rsidR="00701BF8">
        <w:t>did not provide a j</w:t>
      </w:r>
      <w:r w:rsidR="00E375BB" w:rsidRPr="0094114C">
        <w:t xml:space="preserve">ustification </w:t>
      </w:r>
      <w:r w:rsidR="00E375BB">
        <w:t>for</w:t>
      </w:r>
      <w:r w:rsidR="00E375BB" w:rsidRPr="0094114C">
        <w:t xml:space="preserve"> the different approaches used in the ADAR to </w:t>
      </w:r>
      <w:r w:rsidR="000C4BD9">
        <w:t>estimate the rates of</w:t>
      </w:r>
      <w:r w:rsidR="000C4BD9" w:rsidRPr="0094114C">
        <w:t xml:space="preserve"> </w:t>
      </w:r>
      <w:r w:rsidR="00E375BB">
        <w:t>severe hypoglycaemic event</w:t>
      </w:r>
      <w:r w:rsidR="00E375BB" w:rsidRPr="0094114C">
        <w:t xml:space="preserve">s and </w:t>
      </w:r>
      <w:r w:rsidR="00E375BB">
        <w:t>diabetic ketoacidosis event</w:t>
      </w:r>
      <w:r w:rsidR="00E375BB" w:rsidRPr="0094114C">
        <w:t>s</w:t>
      </w:r>
      <w:r w:rsidR="00E375BB">
        <w:t>, which is</w:t>
      </w:r>
      <w:r w:rsidR="00E375BB" w:rsidRPr="0094114C">
        <w:t xml:space="preserve"> important because </w:t>
      </w:r>
      <w:r w:rsidR="00E375BB">
        <w:t xml:space="preserve">the </w:t>
      </w:r>
      <w:r w:rsidR="00E375BB" w:rsidRPr="0094114C">
        <w:t>claimed cost offsets</w:t>
      </w:r>
      <w:r w:rsidR="000C4BD9">
        <w:t xml:space="preserve"> for these events</w:t>
      </w:r>
      <w:r w:rsidR="00E375BB" w:rsidRPr="0094114C">
        <w:t xml:space="preserve"> are very large.</w:t>
      </w:r>
      <w:r w:rsidR="00B935C4" w:rsidRPr="00B935C4">
        <w:t xml:space="preserve"> </w:t>
      </w:r>
    </w:p>
    <w:p w14:paraId="20987C46" w14:textId="41D04F44" w:rsidR="00FE41E0" w:rsidRDefault="00734B94" w:rsidP="00FE41E0">
      <w:r w:rsidRPr="00734B94">
        <w:t xml:space="preserve">MSAC considered that an acceptable incremental cost-effectiveness ratio (ICER) would be around $30,000 per quality-adjusted life year (QALY). This was informed by PBAC’s November 2024 decision not to recommend tirzepatide for type 2 diabetes, which </w:t>
      </w:r>
      <w:r w:rsidR="00F9032D">
        <w:t>viewed</w:t>
      </w:r>
      <w:r w:rsidR="00F9032D" w:rsidRPr="00734B94">
        <w:t xml:space="preserve"> </w:t>
      </w:r>
      <w:r w:rsidRPr="00734B94">
        <w:t>an ICER of $30,000 or less as cost-effective in a large eligible population using a 0.5% HbA1c</w:t>
      </w:r>
      <w:r w:rsidR="001D2B1A">
        <w:t xml:space="preserve"> MCID</w:t>
      </w:r>
      <w:r w:rsidR="00DA4AD0">
        <w:t>.</w:t>
      </w:r>
    </w:p>
    <w:p w14:paraId="6271FD0D" w14:textId="3090C002" w:rsidR="00BE7064" w:rsidRDefault="004B5326" w:rsidP="004B5326">
      <w:r>
        <w:t xml:space="preserve">MSAC considered that, based </w:t>
      </w:r>
      <w:r w:rsidRPr="005F1297">
        <w:t xml:space="preserve">on the </w:t>
      </w:r>
      <w:r w:rsidR="00C076F2" w:rsidRPr="005F1297">
        <w:t>ESC-requested</w:t>
      </w:r>
      <w:r w:rsidR="0084511E" w:rsidRPr="005F1297">
        <w:t xml:space="preserve"> analysis</w:t>
      </w:r>
      <w:r w:rsidR="00C076F2" w:rsidRPr="005F1297">
        <w:t xml:space="preserve"> </w:t>
      </w:r>
      <w:r w:rsidRPr="005F1297">
        <w:t>provide</w:t>
      </w:r>
      <w:r w:rsidR="009B386A" w:rsidRPr="005F1297">
        <w:t>d</w:t>
      </w:r>
      <w:r w:rsidR="00BE7064">
        <w:t xml:space="preserve"> in the pre-MSAC response (after accounting for the fact that it was based on </w:t>
      </w:r>
      <w:r w:rsidR="003E1C12">
        <w:t>the Australian risk equations rather than the UKPDS</w:t>
      </w:r>
      <w:r w:rsidR="00503A2D">
        <w:t xml:space="preserve"> equation </w:t>
      </w:r>
      <w:r w:rsidR="00BE7064">
        <w:t xml:space="preserve">that </w:t>
      </w:r>
      <w:r w:rsidR="00AB114E">
        <w:t xml:space="preserve">was </w:t>
      </w:r>
      <w:r w:rsidR="00BE7064">
        <w:t>requested)</w:t>
      </w:r>
      <w:r w:rsidR="00D603E5">
        <w:t>,</w:t>
      </w:r>
      <w:r w:rsidR="009B386A">
        <w:t xml:space="preserve"> and other reported sensitivity analyses,</w:t>
      </w:r>
      <w:r w:rsidR="00BE7064">
        <w:t xml:space="preserve"> </w:t>
      </w:r>
      <w:r w:rsidR="00641C92">
        <w:t xml:space="preserve">it is likely that the ICERs for both the IIT and non-IIT populations </w:t>
      </w:r>
      <w:r w:rsidR="00FD6C13">
        <w:t xml:space="preserve">under </w:t>
      </w:r>
      <w:r w:rsidR="00442DAA">
        <w:t xml:space="preserve">this ESC requested analyses </w:t>
      </w:r>
      <w:r w:rsidR="00593599">
        <w:t>using the requested risk equations</w:t>
      </w:r>
      <w:r w:rsidR="00641C92">
        <w:t xml:space="preserve"> would exceed $30,000 per QALY (&gt;$</w:t>
      </w:r>
      <w:r w:rsidR="00055AAD">
        <w:t>55,000 to &lt; $75,000</w:t>
      </w:r>
      <w:r w:rsidR="00641C92">
        <w:t>/QALY in the IIT po</w:t>
      </w:r>
      <w:r w:rsidR="00B1667B">
        <w:t xml:space="preserve">pulation </w:t>
      </w:r>
      <w:r w:rsidR="00E62EC4">
        <w:t>and</w:t>
      </w:r>
      <w:r w:rsidR="009742CA">
        <w:t xml:space="preserve"> &gt;$</w:t>
      </w:r>
      <w:r w:rsidR="00055AAD">
        <w:t>95,000 to &lt; $115</w:t>
      </w:r>
      <w:r w:rsidR="00EB2B9D">
        <w:t>,000</w:t>
      </w:r>
      <w:r w:rsidR="009742CA">
        <w:t xml:space="preserve"> in the non-IIT population)</w:t>
      </w:r>
      <w:r w:rsidR="00C70DEA">
        <w:t xml:space="preserve">. </w:t>
      </w:r>
      <w:r w:rsidR="00E62EC4">
        <w:t xml:space="preserve">For </w:t>
      </w:r>
      <w:r w:rsidR="00C70DEA">
        <w:t>the IIT population MSAC estimated that a</w:t>
      </w:r>
      <w:r w:rsidR="00E62EC4">
        <w:t xml:space="preserve"> </w:t>
      </w:r>
      <w:r w:rsidR="00C70DEA" w:rsidRPr="00567B4B">
        <w:t>≥</w:t>
      </w:r>
      <w:r w:rsidR="00EB2B9D" w:rsidRPr="00C31874">
        <w:rPr>
          <w:b/>
          <w:bCs/>
        </w:rPr>
        <w:t>redacted</w:t>
      </w:r>
      <w:r w:rsidR="00C70DEA" w:rsidRPr="00567B4B">
        <w:t xml:space="preserve">% price reduction </w:t>
      </w:r>
      <w:r w:rsidR="00C70DEA">
        <w:t xml:space="preserve">would be required </w:t>
      </w:r>
      <w:r w:rsidR="00C70DEA" w:rsidRPr="00567B4B">
        <w:t xml:space="preserve">to yield an </w:t>
      </w:r>
      <w:r w:rsidR="00C70DEA">
        <w:t xml:space="preserve">acceptable </w:t>
      </w:r>
      <w:r w:rsidR="00C70DEA" w:rsidRPr="00567B4B">
        <w:t xml:space="preserve">ICER of </w:t>
      </w:r>
      <w:r w:rsidR="00C70DEA">
        <w:t xml:space="preserve">around </w:t>
      </w:r>
      <w:r w:rsidR="00C70DEA" w:rsidRPr="00567B4B">
        <w:t>$30,000/QALY</w:t>
      </w:r>
    </w:p>
    <w:p w14:paraId="0418525F" w14:textId="7CE8FE78" w:rsidR="004B5326" w:rsidRDefault="004B5326" w:rsidP="004B5326">
      <w:r>
        <w:t xml:space="preserve">MSAC noted that </w:t>
      </w:r>
      <w:r w:rsidR="00922A64">
        <w:t xml:space="preserve">a key improvement </w:t>
      </w:r>
      <w:r w:rsidRPr="00E92C89">
        <w:t>from the first submission</w:t>
      </w:r>
      <w:r w:rsidR="00004FE3">
        <w:t xml:space="preserve"> for the financial estimates</w:t>
      </w:r>
      <w:r w:rsidRPr="00E92C89">
        <w:t xml:space="preserve"> </w:t>
      </w:r>
      <w:r>
        <w:t>wa</w:t>
      </w:r>
      <w:r w:rsidRPr="00E92C89">
        <w:t>s some use of</w:t>
      </w:r>
      <w:r>
        <w:t xml:space="preserve"> Pharmaceutical Benefits Schedule</w:t>
      </w:r>
      <w:r w:rsidRPr="00E92C89">
        <w:t xml:space="preserve"> </w:t>
      </w:r>
      <w:r>
        <w:t>(</w:t>
      </w:r>
      <w:r w:rsidRPr="00E92C89">
        <w:t>PBS</w:t>
      </w:r>
      <w:r>
        <w:t>)</w:t>
      </w:r>
      <w:r w:rsidRPr="00E92C89">
        <w:t xml:space="preserve"> data to derive financial estimates</w:t>
      </w:r>
      <w:r>
        <w:t xml:space="preserve">. NDSS data include anyone who has ever used insulin, so MSAC considered that the use of PBS data was more appropriate. </w:t>
      </w:r>
      <w:r w:rsidR="00C549C2">
        <w:t xml:space="preserve">MSAC noted that while the ADAR used </w:t>
      </w:r>
      <w:r w:rsidRPr="00E92C89">
        <w:t xml:space="preserve">NDSS estimates </w:t>
      </w:r>
      <w:r w:rsidR="00C549C2">
        <w:t xml:space="preserve">to estimate the </w:t>
      </w:r>
      <w:r w:rsidRPr="00E92C89">
        <w:t xml:space="preserve">total number of people with </w:t>
      </w:r>
      <w:r>
        <w:t>T2D</w:t>
      </w:r>
      <w:r w:rsidRPr="00E92C89">
        <w:t>, PBS estimates</w:t>
      </w:r>
      <w:r w:rsidR="00C549C2">
        <w:t xml:space="preserve"> of the percentage</w:t>
      </w:r>
      <w:r w:rsidR="00C549C2" w:rsidRPr="00E92C89">
        <w:t xml:space="preserve"> of people with </w:t>
      </w:r>
      <w:r w:rsidR="00C549C2">
        <w:t>T2D</w:t>
      </w:r>
      <w:r w:rsidR="00C549C2" w:rsidRPr="00E92C89">
        <w:t xml:space="preserve"> using insulin</w:t>
      </w:r>
      <w:r w:rsidRPr="00E92C89">
        <w:t xml:space="preserve"> </w:t>
      </w:r>
      <w:r>
        <w:t>we</w:t>
      </w:r>
      <w:r w:rsidRPr="00E92C89">
        <w:t xml:space="preserve">re </w:t>
      </w:r>
      <w:r w:rsidR="00AC2567">
        <w:t xml:space="preserve">then </w:t>
      </w:r>
      <w:r w:rsidRPr="00E92C89">
        <w:t>applied to the NDSS estimates to derive the</w:t>
      </w:r>
      <w:r w:rsidR="00AC2567">
        <w:t xml:space="preserve"> total number of people with T2D using insulin</w:t>
      </w:r>
      <w:r>
        <w:t>.</w:t>
      </w:r>
      <w:r w:rsidRPr="00242205">
        <w:t xml:space="preserve"> </w:t>
      </w:r>
    </w:p>
    <w:p w14:paraId="4DEF86E2" w14:textId="757D8CD5" w:rsidR="004B5326" w:rsidRDefault="004B5326" w:rsidP="009F2D41">
      <w:r>
        <w:t xml:space="preserve">MSAC noted that the proposed population numbers in this application do not align with those in </w:t>
      </w:r>
      <w:hyperlink r:id="rId14" w:history="1">
        <w:r w:rsidRPr="00277773">
          <w:rPr>
            <w:rStyle w:val="Hyperlink"/>
          </w:rPr>
          <w:t>application 1786</w:t>
        </w:r>
      </w:hyperlink>
      <w:r w:rsidR="009F2D41">
        <w:t xml:space="preserve">. This was because </w:t>
      </w:r>
      <w:r>
        <w:t xml:space="preserve">the </w:t>
      </w:r>
      <w:r w:rsidR="004C4B6C">
        <w:t xml:space="preserve">1785 </w:t>
      </w:r>
      <w:r>
        <w:t>resubmission a</w:t>
      </w:r>
      <w:r w:rsidRPr="00C65D88">
        <w:t>ssume</w:t>
      </w:r>
      <w:r>
        <w:t>d</w:t>
      </w:r>
      <w:r w:rsidRPr="00C65D88">
        <w:t xml:space="preserve"> 27.2% of insulin-dependent</w:t>
      </w:r>
      <w:r>
        <w:t xml:space="preserve"> T2D</w:t>
      </w:r>
      <w:r w:rsidRPr="00C65D88">
        <w:t xml:space="preserve"> </w:t>
      </w:r>
      <w:r>
        <w:t>cases are</w:t>
      </w:r>
      <w:r w:rsidRPr="00C65D88">
        <w:t xml:space="preserve"> </w:t>
      </w:r>
      <w:r>
        <w:t xml:space="preserve">in the </w:t>
      </w:r>
      <w:r w:rsidRPr="00C65D88">
        <w:t>IIT</w:t>
      </w:r>
      <w:r>
        <w:t xml:space="preserve"> subpopulation</w:t>
      </w:r>
      <w:r w:rsidR="00463596">
        <w:t xml:space="preserve"> which in turn is based on the assumption that </w:t>
      </w:r>
      <w:r w:rsidR="00B5100E">
        <w:t xml:space="preserve">premixed insulin users belong in the </w:t>
      </w:r>
      <w:r w:rsidR="00E6083D">
        <w:t>non-IIT rather than the IIT population</w:t>
      </w:r>
      <w:r>
        <w:t>.</w:t>
      </w:r>
      <w:r w:rsidR="00E6083D">
        <w:t xml:space="preserve"> MSAC agreed with this assumption, noting that it aligns with the Australian Diabetes Clinical Quality Registry (ADCQR 2024) data protocols</w:t>
      </w:r>
      <w:r w:rsidR="009F2D41">
        <w:t xml:space="preserve"> and therefore considered that the proposed population numbers in </w:t>
      </w:r>
      <w:r w:rsidR="004C4B6C">
        <w:t xml:space="preserve">the 1785 </w:t>
      </w:r>
      <w:r w:rsidR="009F2D41">
        <w:t>application were more accurate</w:t>
      </w:r>
      <w:r w:rsidR="00D97C30">
        <w:t>.</w:t>
      </w:r>
      <w:r>
        <w:t xml:space="preserve"> </w:t>
      </w:r>
    </w:p>
    <w:p w14:paraId="21DC0A00" w14:textId="641CA3C1" w:rsidR="004B5326" w:rsidRDefault="004B5326" w:rsidP="004B5326">
      <w:r>
        <w:t>MSAC noted that the net financial impact was estimated to be $</w:t>
      </w:r>
      <w:r w:rsidR="00137249">
        <w:t>600 million to &lt; $700</w:t>
      </w:r>
      <w:r>
        <w:t> million over 6 years, after applying $80.4 million in cost savings from the reduced use of blood glucose strips.</w:t>
      </w:r>
      <w:r w:rsidR="006263A7">
        <w:t xml:space="preserve"> </w:t>
      </w:r>
    </w:p>
    <w:p w14:paraId="6D55816A" w14:textId="7374F7C8" w:rsidR="00176821" w:rsidRPr="002E52D7" w:rsidRDefault="00176821" w:rsidP="004B5326">
      <w:r>
        <w:t>MSAC noted that this resubmission broke down costs for the IIT, non-IIT and Aboriginal and Torres Strait Islander populations</w:t>
      </w:r>
      <w:r w:rsidR="00B11DFF">
        <w:t xml:space="preserve">, </w:t>
      </w:r>
      <w:r w:rsidR="006525BD">
        <w:t>gestational diabetes, and other types of diabetes (including type 3c)</w:t>
      </w:r>
      <w:r>
        <w:t>.</w:t>
      </w:r>
    </w:p>
    <w:p w14:paraId="11786A29" w14:textId="000EA77C" w:rsidR="004B5326" w:rsidRDefault="004B5326" w:rsidP="004B5326">
      <w:r>
        <w:t>MSAC noted that t</w:t>
      </w:r>
      <w:r w:rsidRPr="002E52D7">
        <w:t xml:space="preserve">he robustness of the process used to derive the uptake rates for all subpopulations is unknown. </w:t>
      </w:r>
      <w:r>
        <w:t xml:space="preserve">The pre-MSAC response argued that the same method was used in the first submission and MSAC had not raised concerns at the time. The pre-MSAC response also maintained that the uptake assumptions used in the ADAR were reasonable, possibly even an overestimate, when other reimbursed market data are analysed. However, </w:t>
      </w:r>
      <w:r w:rsidR="00F84E23">
        <w:t xml:space="preserve">MSAC noted that </w:t>
      </w:r>
      <w:r>
        <w:t xml:space="preserve">market data have never been provided to MSAC. </w:t>
      </w:r>
      <w:r w:rsidRPr="002E52D7">
        <w:t xml:space="preserve">Without details on the robustness of the estimation process, </w:t>
      </w:r>
      <w:r>
        <w:t>MSAC had</w:t>
      </w:r>
      <w:r w:rsidRPr="002E52D7">
        <w:t xml:space="preserve"> low confidence in the estimates</w:t>
      </w:r>
      <w:r>
        <w:t>.</w:t>
      </w:r>
    </w:p>
    <w:p w14:paraId="51F59F3C" w14:textId="2D53CED4" w:rsidR="00493AAF" w:rsidRDefault="00493AAF" w:rsidP="00493AAF">
      <w:r>
        <w:lastRenderedPageBreak/>
        <w:t xml:space="preserve">MSAC considered the risk of use of CGM outside the intended populations to be very high, which may potentially further increase the already high budgetary impact. MSAC considered that a registry-based system </w:t>
      </w:r>
      <w:r w:rsidR="007E580B">
        <w:t>(</w:t>
      </w:r>
      <w:r w:rsidR="006A74F0">
        <w:t xml:space="preserve">underpinned by a system </w:t>
      </w:r>
      <w:r w:rsidR="6AAC01E6">
        <w:t xml:space="preserve">that supports continuity of care, </w:t>
      </w:r>
      <w:r w:rsidR="007E580B">
        <w:t>such as MyMedicare</w:t>
      </w:r>
      <w:r w:rsidR="006A74F0">
        <w:t xml:space="preserve">) </w:t>
      </w:r>
      <w:r>
        <w:t xml:space="preserve">could be implemented, and that </w:t>
      </w:r>
      <w:r w:rsidR="00C83C91">
        <w:t>eligibility</w:t>
      </w:r>
      <w:r>
        <w:t xml:space="preserve"> could be </w:t>
      </w:r>
      <w:r w:rsidR="00C83C91">
        <w:t>certified</w:t>
      </w:r>
      <w:r>
        <w:t xml:space="preserve"> by general practitioners (GPs</w:t>
      </w:r>
      <w:r w:rsidR="00C83C91">
        <w:t>)</w:t>
      </w:r>
      <w:r>
        <w:t xml:space="preserve"> </w:t>
      </w:r>
      <w:r w:rsidR="00C83C91">
        <w:t>who</w:t>
      </w:r>
      <w:r>
        <w:t xml:space="preserve"> receive credentialled extra training, diabetes educators and non-GP specialists. </w:t>
      </w:r>
      <w:r w:rsidR="00585C46">
        <w:t>Systems that e</w:t>
      </w:r>
      <w:r w:rsidR="0093709E">
        <w:t xml:space="preserve">ncourage </w:t>
      </w:r>
      <w:r w:rsidR="00585C46">
        <w:t xml:space="preserve">continuity of care </w:t>
      </w:r>
      <w:r w:rsidR="7371C5AE">
        <w:t xml:space="preserve">could </w:t>
      </w:r>
      <w:r w:rsidR="00585C46">
        <w:t xml:space="preserve">enhance </w:t>
      </w:r>
      <w:r w:rsidR="00AB717A">
        <w:t>patient engagement and remote monitoring</w:t>
      </w:r>
      <w:r w:rsidR="0093709E">
        <w:t xml:space="preserve">. </w:t>
      </w:r>
    </w:p>
    <w:p w14:paraId="42CE3104" w14:textId="2707B28E" w:rsidR="004F0216" w:rsidRDefault="004F0216" w:rsidP="00493AAF">
      <w:r>
        <w:t xml:space="preserve">MSAC considered the current pathway </w:t>
      </w:r>
      <w:r w:rsidR="00C3791A">
        <w:t xml:space="preserve">for accessing CGMs </w:t>
      </w:r>
      <w:r>
        <w:t xml:space="preserve">for type 1 diabetes through the NDSS may not be suitable for </w:t>
      </w:r>
      <w:r w:rsidR="005215FD">
        <w:t xml:space="preserve">accessing CGMs for </w:t>
      </w:r>
      <w:r>
        <w:t>T2D. Therefore, r</w:t>
      </w:r>
      <w:r w:rsidRPr="006256CC">
        <w:t>igorous prescribing governance will be require</w:t>
      </w:r>
      <w:r>
        <w:t>d – for example, </w:t>
      </w:r>
      <w:r w:rsidRPr="006256CC">
        <w:t xml:space="preserve">models </w:t>
      </w:r>
      <w:r>
        <w:t>used for</w:t>
      </w:r>
      <w:r w:rsidRPr="006256CC">
        <w:t xml:space="preserve"> </w:t>
      </w:r>
      <w:r w:rsidR="00B33E2E">
        <w:t>high cost</w:t>
      </w:r>
      <w:r w:rsidR="00B33E2E" w:rsidRPr="006256CC">
        <w:t xml:space="preserve"> </w:t>
      </w:r>
      <w:r>
        <w:t>medication</w:t>
      </w:r>
      <w:r w:rsidRPr="006256CC">
        <w:t xml:space="preserve">s </w:t>
      </w:r>
      <w:r>
        <w:t>such as</w:t>
      </w:r>
      <w:r w:rsidRPr="006256CC">
        <w:t xml:space="preserve"> biologics with access through </w:t>
      </w:r>
      <w:r>
        <w:t>Provider Digital Access (</w:t>
      </w:r>
      <w:r w:rsidRPr="006256CC">
        <w:t>PRODA</w:t>
      </w:r>
      <w:r>
        <w:t>). Also required is a p</w:t>
      </w:r>
      <w:r w:rsidRPr="006256CC">
        <w:t xml:space="preserve">athway to </w:t>
      </w:r>
      <w:r>
        <w:t xml:space="preserve">review and </w:t>
      </w:r>
      <w:r w:rsidRPr="006256CC">
        <w:t>cease CGM whe</w:t>
      </w:r>
      <w:r>
        <w:t>n diabetes</w:t>
      </w:r>
      <w:r w:rsidRPr="006256CC">
        <w:t xml:space="preserve"> treatment changes (</w:t>
      </w:r>
      <w:r>
        <w:t>for example, </w:t>
      </w:r>
      <w:r w:rsidRPr="006256CC">
        <w:t xml:space="preserve">weight loss with GLP-1s). </w:t>
      </w:r>
      <w:r>
        <w:t>MSAC noted that, i</w:t>
      </w:r>
      <w:r w:rsidRPr="006256CC">
        <w:t>n the U</w:t>
      </w:r>
      <w:r>
        <w:t xml:space="preserve">nited </w:t>
      </w:r>
      <w:r w:rsidRPr="006256CC">
        <w:t>K</w:t>
      </w:r>
      <w:r>
        <w:t>ingdom</w:t>
      </w:r>
      <w:r w:rsidRPr="006256CC">
        <w:t>, patient review occurs every few months and access</w:t>
      </w:r>
      <w:r>
        <w:t xml:space="preserve"> </w:t>
      </w:r>
      <w:r w:rsidR="00B33E2E">
        <w:t xml:space="preserve">to CGMs </w:t>
      </w:r>
      <w:r>
        <w:t>is</w:t>
      </w:r>
      <w:r w:rsidRPr="006256CC">
        <w:t xml:space="preserve"> ceased if no </w:t>
      </w:r>
      <w:r w:rsidR="00590385">
        <w:t xml:space="preserve">clinically </w:t>
      </w:r>
      <w:r w:rsidRPr="006256CC">
        <w:t xml:space="preserve">significant </w:t>
      </w:r>
      <w:r w:rsidR="00590385">
        <w:t>improvement has been observed</w:t>
      </w:r>
      <w:r>
        <w:t>.</w:t>
      </w:r>
    </w:p>
    <w:p w14:paraId="657ECF24" w14:textId="1977509C" w:rsidR="00493AAF" w:rsidRDefault="00493AAF" w:rsidP="004B5326">
      <w:r>
        <w:t xml:space="preserve">MSAC noted that the pre-MSAC response supported </w:t>
      </w:r>
      <w:r w:rsidR="007F3C28">
        <w:t xml:space="preserve">a </w:t>
      </w:r>
      <w:r>
        <w:t>staged implementation approach mentioned in the ESC report. However, MSAC noted that the</w:t>
      </w:r>
      <w:r w:rsidRPr="001823C3">
        <w:t xml:space="preserve"> intention of ESC was to </w:t>
      </w:r>
      <w:r w:rsidR="005F1BD4">
        <w:t>explore the possibility of</w:t>
      </w:r>
      <w:r w:rsidRPr="001823C3">
        <w:t xml:space="preserve"> such an approach,</w:t>
      </w:r>
      <w:r>
        <w:t xml:space="preserve"> not </w:t>
      </w:r>
      <w:r w:rsidR="001D617B">
        <w:t xml:space="preserve">to </w:t>
      </w:r>
      <w:r>
        <w:t xml:space="preserve">suggest it as a </w:t>
      </w:r>
      <w:r w:rsidR="001D617B">
        <w:t xml:space="preserve">definite </w:t>
      </w:r>
      <w:r>
        <w:t xml:space="preserve">implementation </w:t>
      </w:r>
      <w:r w:rsidR="00631AAD">
        <w:t>approach</w:t>
      </w:r>
      <w:r w:rsidRPr="001823C3">
        <w:t>.</w:t>
      </w:r>
      <w:r w:rsidR="0005782F">
        <w:t xml:space="preserve"> </w:t>
      </w:r>
    </w:p>
    <w:p w14:paraId="0650E30E" w14:textId="2D0E9F18" w:rsidR="009E1AE6" w:rsidRDefault="004B5326" w:rsidP="004B5326">
      <w:r>
        <w:t xml:space="preserve">Overall, MSAC considered that there was currently too much uncertainty to </w:t>
      </w:r>
      <w:r w:rsidR="00A73B22">
        <w:t xml:space="preserve">support </w:t>
      </w:r>
      <w:r w:rsidR="004651D5">
        <w:t>public funding of CGM in the</w:t>
      </w:r>
      <w:r w:rsidR="00E14BB3">
        <w:t xml:space="preserve"> proposed</w:t>
      </w:r>
      <w:r w:rsidR="004651D5">
        <w:t xml:space="preserve"> T2D population</w:t>
      </w:r>
      <w:r w:rsidR="00B37FAB">
        <w:t xml:space="preserve"> </w:t>
      </w:r>
      <w:r>
        <w:t xml:space="preserve">. </w:t>
      </w:r>
      <w:r w:rsidR="009E1AE6">
        <w:t xml:space="preserve">However, MSAC considered that existing funding via the NDSS of CGM for people with type 3c diabetes </w:t>
      </w:r>
      <w:r w:rsidR="009B40C1">
        <w:t xml:space="preserve">or </w:t>
      </w:r>
      <w:r w:rsidR="009E1AE6">
        <w:t>other types of diabetes similar to type 1 should be extended to those 21 years and over, to ensure equity of access for this high need population.</w:t>
      </w:r>
      <w:r w:rsidR="009E1AE6" w:rsidRPr="00944F7B">
        <w:t xml:space="preserve"> </w:t>
      </w:r>
      <w:r w:rsidR="009E1AE6">
        <w:t>MSAC considered that current NDSS funding arrangements for CGMs in this group disadvantages people aged 21 and over. MSAC noted that, if NDSS access is extended, it will impact use of CGM devices outside the scope of this application. MSAC advised that amending the NDSS eligibility criteria to extend beyond age 21 for these subgroups was a policy decision.</w:t>
      </w:r>
    </w:p>
    <w:p w14:paraId="705AE57C" w14:textId="2CBBFAF4" w:rsidR="004B5326" w:rsidRPr="004B5326" w:rsidRDefault="009E1AE6" w:rsidP="004B5326">
      <w:r>
        <w:t xml:space="preserve">For the </w:t>
      </w:r>
      <w:r w:rsidR="00A36519">
        <w:t>proposed</w:t>
      </w:r>
      <w:r>
        <w:t xml:space="preserve"> T2D population, MSAC’s concerns </w:t>
      </w:r>
      <w:r w:rsidR="004B5326">
        <w:t xml:space="preserve">include uncertainty on the </w:t>
      </w:r>
      <w:r w:rsidR="004B5326" w:rsidRPr="00CC6A8A">
        <w:t>exact definition and size of the subpopulations that would most benefit</w:t>
      </w:r>
      <w:r w:rsidR="004B5326">
        <w:t xml:space="preserve">, </w:t>
      </w:r>
      <w:r w:rsidR="004B5326" w:rsidRPr="00CC6A8A">
        <w:t>the unmet clinical need</w:t>
      </w:r>
      <w:r w:rsidR="004B5326">
        <w:t xml:space="preserve">, the budgetary outlay and </w:t>
      </w:r>
      <w:r w:rsidR="00E25EB1">
        <w:t xml:space="preserve">the </w:t>
      </w:r>
      <w:r w:rsidR="004B5326">
        <w:t>ICER. The resubmission did not adequately address the matters raised previously by MSAC at its July 2025 meeting</w:t>
      </w:r>
      <w:r w:rsidR="00C353D9">
        <w:t xml:space="preserve">, </w:t>
      </w:r>
      <w:r w:rsidR="00D97C39">
        <w:t xml:space="preserve">MSAC considered that while the </w:t>
      </w:r>
      <w:r w:rsidR="004B5326">
        <w:t>economic modelling</w:t>
      </w:r>
      <w:r w:rsidR="00D97C39">
        <w:t xml:space="preserve"> in the resubmission </w:t>
      </w:r>
      <w:r w:rsidR="00941368">
        <w:t xml:space="preserve">relied on more realistic assumptions it was still </w:t>
      </w:r>
      <w:r w:rsidR="004B5326">
        <w:t xml:space="preserve">not sufficiently reliable for MSAC to advise on a cost-effective price for Dexcom ONE+. Although the financial projections are based on PBS </w:t>
      </w:r>
      <w:r w:rsidR="008209B8">
        <w:t xml:space="preserve">data on </w:t>
      </w:r>
      <w:r w:rsidR="004B5326">
        <w:t>use of insulin</w:t>
      </w:r>
      <w:r w:rsidR="008209B8">
        <w:t xml:space="preserve"> in the T2D </w:t>
      </w:r>
      <w:r w:rsidR="00FD2AAF">
        <w:t>population</w:t>
      </w:r>
      <w:r w:rsidR="004B5326">
        <w:t xml:space="preserve">, MSAC does not have the analyses required for the subpopulations </w:t>
      </w:r>
      <w:r w:rsidR="004B5326" w:rsidDel="00961626">
        <w:t xml:space="preserve">with the </w:t>
      </w:r>
      <w:r w:rsidR="004B5326">
        <w:t>highest need.</w:t>
      </w:r>
      <w:r w:rsidR="00087C23">
        <w:t xml:space="preserve"> </w:t>
      </w:r>
      <w:r w:rsidR="002F0643">
        <w:t xml:space="preserve">For the purposes of evaluating clinical effectiveness and cost-effectiveness </w:t>
      </w:r>
      <w:r w:rsidR="009149D2">
        <w:t>MSAC</w:t>
      </w:r>
      <w:r w:rsidR="004B5326">
        <w:t xml:space="preserve"> accept</w:t>
      </w:r>
      <w:r w:rsidR="009149D2">
        <w:t>ed</w:t>
      </w:r>
      <w:r w:rsidR="004B5326">
        <w:t xml:space="preserve"> the assumption that the benefit</w:t>
      </w:r>
      <w:r w:rsidR="002F0643">
        <w:t xml:space="preserve">s of CGM (for instance in terms of the magnitude of HbA1C reduction) reported for more broadly defined populations could be </w:t>
      </w:r>
      <w:r w:rsidR="004B5326">
        <w:t xml:space="preserve">applied to the </w:t>
      </w:r>
      <w:r w:rsidR="00CE0800">
        <w:t>priority</w:t>
      </w:r>
      <w:r w:rsidR="004B5326">
        <w:t xml:space="preserve"> groups identified by MSAC </w:t>
      </w:r>
      <w:r w:rsidR="004B5326" w:rsidRPr="004B5326">
        <w:t>specifically:</w:t>
      </w:r>
    </w:p>
    <w:p w14:paraId="6A22AEF2" w14:textId="21C07225" w:rsidR="004B5326" w:rsidRPr="004B5326" w:rsidRDefault="004B5326" w:rsidP="004B5326">
      <w:pPr>
        <w:pStyle w:val="Bullet"/>
        <w:numPr>
          <w:ilvl w:val="0"/>
          <w:numId w:val="61"/>
        </w:numPr>
        <w:spacing w:before="0"/>
        <w:ind w:left="720"/>
        <w:rPr>
          <w:rFonts w:ascii="Franklin Gothic Book" w:hAnsi="Franklin Gothic Book"/>
        </w:rPr>
      </w:pPr>
      <w:r w:rsidRPr="004B5326">
        <w:rPr>
          <w:rFonts w:ascii="Franklin Gothic Book" w:hAnsi="Franklin Gothic Book"/>
        </w:rPr>
        <w:t>people with T2D</w:t>
      </w:r>
      <w:r w:rsidRPr="004B5326" w:rsidDel="006D305F">
        <w:rPr>
          <w:rFonts w:ascii="Franklin Gothic Book" w:hAnsi="Franklin Gothic Book"/>
        </w:rPr>
        <w:t xml:space="preserve"> </w:t>
      </w:r>
      <w:r w:rsidR="00AE2B5E">
        <w:rPr>
          <w:rFonts w:ascii="Franklin Gothic Book" w:hAnsi="Franklin Gothic Book"/>
        </w:rPr>
        <w:t>who require IIT</w:t>
      </w:r>
      <w:r w:rsidR="006D305F" w:rsidRPr="004B5326">
        <w:rPr>
          <w:rFonts w:ascii="Franklin Gothic Book" w:hAnsi="Franklin Gothic Book"/>
        </w:rPr>
        <w:t xml:space="preserve"> </w:t>
      </w:r>
      <w:r w:rsidR="00AE2B5E">
        <w:rPr>
          <w:rFonts w:ascii="Franklin Gothic Book" w:hAnsi="Franklin Gothic Book"/>
        </w:rPr>
        <w:t>(</w:t>
      </w:r>
      <w:r w:rsidRPr="004B5326">
        <w:rPr>
          <w:rFonts w:ascii="Franklin Gothic Book" w:hAnsi="Franklin Gothic Book"/>
        </w:rPr>
        <w:t xml:space="preserve">≥3 daily insulin injections </w:t>
      </w:r>
      <w:r w:rsidR="00A83174">
        <w:rPr>
          <w:rFonts w:ascii="Franklin Gothic Book" w:hAnsi="Franklin Gothic Book"/>
        </w:rPr>
        <w:t>[</w:t>
      </w:r>
      <w:r w:rsidRPr="004B5326">
        <w:rPr>
          <w:rFonts w:ascii="Franklin Gothic Book" w:hAnsi="Franklin Gothic Book"/>
        </w:rPr>
        <w:t>basal–bolus</w:t>
      </w:r>
      <w:r w:rsidR="00A83174">
        <w:rPr>
          <w:rFonts w:ascii="Franklin Gothic Book" w:hAnsi="Franklin Gothic Book"/>
        </w:rPr>
        <w:t>]</w:t>
      </w:r>
      <w:r w:rsidRPr="004B5326">
        <w:rPr>
          <w:rFonts w:ascii="Franklin Gothic Book" w:hAnsi="Franklin Gothic Book"/>
        </w:rPr>
        <w:t xml:space="preserve"> and HbA1c &gt;7%</w:t>
      </w:r>
      <w:r w:rsidR="00A83174">
        <w:rPr>
          <w:rFonts w:ascii="Franklin Gothic Book" w:hAnsi="Franklin Gothic Book"/>
        </w:rPr>
        <w:t>)</w:t>
      </w:r>
    </w:p>
    <w:p w14:paraId="4F9E5F24" w14:textId="77777777" w:rsidR="004B5326" w:rsidRPr="004B5326" w:rsidRDefault="004B5326" w:rsidP="004B5326">
      <w:pPr>
        <w:pStyle w:val="Bullet"/>
        <w:numPr>
          <w:ilvl w:val="0"/>
          <w:numId w:val="61"/>
        </w:numPr>
        <w:spacing w:before="0"/>
        <w:ind w:left="720"/>
        <w:rPr>
          <w:rFonts w:ascii="Franklin Gothic Book" w:hAnsi="Franklin Gothic Book"/>
        </w:rPr>
      </w:pPr>
      <w:r w:rsidRPr="004B5326">
        <w:rPr>
          <w:rFonts w:ascii="Franklin Gothic Book" w:hAnsi="Franklin Gothic Book"/>
        </w:rPr>
        <w:t>Aboriginal and Torres Strait Islander people on any regimen of insulin and HbA1c levels of &gt;7%</w:t>
      </w:r>
    </w:p>
    <w:p w14:paraId="09B4D122" w14:textId="65BD9933" w:rsidR="004B5326" w:rsidRPr="004B5326" w:rsidRDefault="004B5326" w:rsidP="31315B15">
      <w:pPr>
        <w:pStyle w:val="Bullet"/>
        <w:spacing w:before="0"/>
        <w:rPr>
          <w:rFonts w:ascii="Franklin Gothic Book" w:hAnsi="Franklin Gothic Book"/>
        </w:rPr>
      </w:pPr>
      <w:r w:rsidRPr="31315B15">
        <w:rPr>
          <w:rFonts w:ascii="Franklin Gothic Book" w:hAnsi="Franklin Gothic Book"/>
        </w:rPr>
        <w:t xml:space="preserve">pregnant people </w:t>
      </w:r>
      <w:r w:rsidR="07E35D5B" w:rsidRPr="31315B15">
        <w:rPr>
          <w:rFonts w:ascii="Franklin Gothic Book" w:hAnsi="Franklin Gothic Book"/>
        </w:rPr>
        <w:t xml:space="preserve">with T2D </w:t>
      </w:r>
      <w:r w:rsidR="00EE7907" w:rsidRPr="31315B15">
        <w:rPr>
          <w:rFonts w:ascii="Franklin Gothic Book" w:hAnsi="Franklin Gothic Book"/>
        </w:rPr>
        <w:t xml:space="preserve">(or those actively planning pregnancy) </w:t>
      </w:r>
      <w:r w:rsidR="00C657B6" w:rsidRPr="31315B15">
        <w:rPr>
          <w:rFonts w:ascii="Franklin Gothic Book" w:hAnsi="Franklin Gothic Book"/>
        </w:rPr>
        <w:t xml:space="preserve">who </w:t>
      </w:r>
      <w:r w:rsidR="008E005B" w:rsidRPr="31315B15">
        <w:rPr>
          <w:rFonts w:ascii="Franklin Gothic Book" w:hAnsi="Franklin Gothic Book"/>
        </w:rPr>
        <w:t>require insulin</w:t>
      </w:r>
    </w:p>
    <w:p w14:paraId="78C7ABC9" w14:textId="76EB0D5F" w:rsidR="004B5326" w:rsidRPr="004B5326" w:rsidRDefault="004B5326" w:rsidP="004B5326">
      <w:pPr>
        <w:pStyle w:val="Bullet"/>
        <w:numPr>
          <w:ilvl w:val="0"/>
          <w:numId w:val="61"/>
        </w:numPr>
        <w:spacing w:before="0"/>
        <w:ind w:left="720"/>
        <w:rPr>
          <w:rFonts w:ascii="Franklin Gothic Book" w:hAnsi="Franklin Gothic Book"/>
        </w:rPr>
      </w:pPr>
      <w:r w:rsidRPr="004B5326">
        <w:rPr>
          <w:rFonts w:ascii="Franklin Gothic Book" w:hAnsi="Franklin Gothic Book"/>
        </w:rPr>
        <w:t xml:space="preserve">people </w:t>
      </w:r>
      <w:r w:rsidR="00EE7907">
        <w:rPr>
          <w:rFonts w:ascii="Franklin Gothic Book" w:hAnsi="Franklin Gothic Book"/>
        </w:rPr>
        <w:t>with youth-onset T2D (i.e. diagnosed before 25 years of age)</w:t>
      </w:r>
      <w:r w:rsidR="00AE2B5E">
        <w:rPr>
          <w:rFonts w:ascii="Franklin Gothic Book" w:hAnsi="Franklin Gothic Book"/>
        </w:rPr>
        <w:t xml:space="preserve"> who require insulin</w:t>
      </w:r>
    </w:p>
    <w:p w14:paraId="167F977A" w14:textId="68A3713D" w:rsidR="000219EE" w:rsidRDefault="004B5326" w:rsidP="004B5326">
      <w:r>
        <w:t xml:space="preserve">MSAC advised that </w:t>
      </w:r>
      <w:r w:rsidR="00237082">
        <w:t>a resubmission</w:t>
      </w:r>
      <w:r w:rsidR="00F133B8">
        <w:t xml:space="preserve"> </w:t>
      </w:r>
      <w:r w:rsidR="00237082">
        <w:t>should focus on</w:t>
      </w:r>
      <w:r w:rsidR="0086540C">
        <w:t xml:space="preserve"> economic modelling and financial </w:t>
      </w:r>
      <w:r w:rsidR="00776775">
        <w:t xml:space="preserve">estimates </w:t>
      </w:r>
      <w:r w:rsidR="0086540C">
        <w:t>for</w:t>
      </w:r>
      <w:r>
        <w:t xml:space="preserve"> these </w:t>
      </w:r>
      <w:r w:rsidR="009C5731">
        <w:t>priority</w:t>
      </w:r>
      <w:r>
        <w:t xml:space="preserve"> groups. </w:t>
      </w:r>
      <w:r w:rsidR="00EF0205">
        <w:t>MSAC advised that</w:t>
      </w:r>
      <w:r w:rsidR="00B11B4B">
        <w:t xml:space="preserve"> the resubmission</w:t>
      </w:r>
      <w:r w:rsidR="00926D53">
        <w:t xml:space="preserve"> economic model</w:t>
      </w:r>
      <w:r w:rsidR="00B11B4B">
        <w:t xml:space="preserve"> should</w:t>
      </w:r>
      <w:r w:rsidR="007432D7">
        <w:t>:</w:t>
      </w:r>
      <w:r w:rsidR="00B11B4B">
        <w:t xml:space="preserve"> </w:t>
      </w:r>
      <w:r w:rsidR="00926D53">
        <w:t>be</w:t>
      </w:r>
      <w:r w:rsidR="007E3712">
        <w:t xml:space="preserve"> transparent and editabl</w:t>
      </w:r>
      <w:r w:rsidR="00926D53">
        <w:t>e;</w:t>
      </w:r>
      <w:r w:rsidR="00926D53" w:rsidRPr="00926D53">
        <w:t xml:space="preserve"> </w:t>
      </w:r>
      <w:r w:rsidR="00926D53">
        <w:t>a</w:t>
      </w:r>
      <w:r w:rsidR="00926D53" w:rsidRPr="00926D53">
        <w:t>pply safety</w:t>
      </w:r>
      <w:r w:rsidR="007432D7">
        <w:t xml:space="preserve"> and</w:t>
      </w:r>
      <w:r w:rsidR="005D290D">
        <w:t xml:space="preserve"> </w:t>
      </w:r>
      <w:r w:rsidR="00926D53" w:rsidRPr="00926D53">
        <w:t>effectiveness</w:t>
      </w:r>
      <w:r w:rsidR="007432D7">
        <w:t xml:space="preserve"> outcomes</w:t>
      </w:r>
      <w:r w:rsidR="00926D53" w:rsidRPr="00926D53">
        <w:t xml:space="preserve">, and population </w:t>
      </w:r>
      <w:r w:rsidR="00926D53" w:rsidRPr="00926D53">
        <w:lastRenderedPageBreak/>
        <w:t>characteristics from the same source to ensure internal validity</w:t>
      </w:r>
      <w:r w:rsidR="007432D7">
        <w:t>,</w:t>
      </w:r>
      <w:r w:rsidR="00097487">
        <w:t xml:space="preserve"> and address </w:t>
      </w:r>
      <w:r w:rsidR="00A81E17">
        <w:t>the applicability of any non-Australian sourced data</w:t>
      </w:r>
      <w:r w:rsidR="00926D53">
        <w:t>;</w:t>
      </w:r>
      <w:r w:rsidR="00F97544">
        <w:t xml:space="preserve"> </w:t>
      </w:r>
      <w:r w:rsidR="00097487">
        <w:t>a</w:t>
      </w:r>
      <w:r w:rsidR="00097487" w:rsidRPr="00207754">
        <w:t>pply Australian values/tariffs to EQ5D-5L scores</w:t>
      </w:r>
      <w:r w:rsidR="00F21EFC">
        <w:t>;</w:t>
      </w:r>
      <w:r w:rsidR="00097487">
        <w:t xml:space="preserve"> </w:t>
      </w:r>
      <w:r w:rsidR="00CC3333">
        <w:t>account for the concerns that motivated ESC’s requests for</w:t>
      </w:r>
      <w:r w:rsidR="00FD5D80">
        <w:t xml:space="preserve"> additional analysis</w:t>
      </w:r>
      <w:r w:rsidR="005F1297">
        <w:t>,</w:t>
      </w:r>
      <w:r w:rsidR="00C90A04">
        <w:t xml:space="preserve"> and other remaining ESC and MSAC concerns</w:t>
      </w:r>
      <w:r w:rsidR="00B53DA1">
        <w:t>;</w:t>
      </w:r>
      <w:r w:rsidR="00950C8F">
        <w:t xml:space="preserve"> and </w:t>
      </w:r>
      <w:r w:rsidR="00EF0205">
        <w:t>include a</w:t>
      </w:r>
      <w:r>
        <w:t xml:space="preserve"> multiway sensitivity analysis </w:t>
      </w:r>
      <w:r w:rsidR="007712E8">
        <w:t>to</w:t>
      </w:r>
      <w:r>
        <w:t xml:space="preserve"> examine HbA1c reduction in plausible ranges (0.3% to 0.5%) and </w:t>
      </w:r>
      <w:r w:rsidR="00C10101">
        <w:t>a shorter time horizon</w:t>
      </w:r>
      <w:r w:rsidR="00F21EFC">
        <w:t>.</w:t>
      </w:r>
      <w:r w:rsidR="0013360C">
        <w:t xml:space="preserve"> </w:t>
      </w:r>
      <w:r w:rsidR="00C90A04">
        <w:t xml:space="preserve">As noted previously, MSAC advised that an acceptable </w:t>
      </w:r>
      <w:r w:rsidR="007432D7">
        <w:t>ICER</w:t>
      </w:r>
      <w:r w:rsidR="00C90A04">
        <w:t xml:space="preserve"> for CGM would be $30,000/QALY or less.</w:t>
      </w:r>
      <w:r w:rsidR="0013360C">
        <w:t xml:space="preserve"> </w:t>
      </w:r>
    </w:p>
    <w:p w14:paraId="3469365A" w14:textId="0E4EF1E4" w:rsidR="004B5326" w:rsidRDefault="004B5326" w:rsidP="004B5326">
      <w:r>
        <w:t xml:space="preserve">More certain financial estimates for each </w:t>
      </w:r>
      <w:r w:rsidR="00216FF7">
        <w:t xml:space="preserve">specific patient cohort/use case </w:t>
      </w:r>
      <w:r>
        <w:t>are also crucial to MSAC’s decision making.</w:t>
      </w:r>
    </w:p>
    <w:p w14:paraId="6BCF358C" w14:textId="4CBB90B1" w:rsidR="00795F06" w:rsidRDefault="00795F06" w:rsidP="004B5326">
      <w:r>
        <w:t>MSAC considered that intermittent use of CGM</w:t>
      </w:r>
      <w:r w:rsidR="005D290D">
        <w:t xml:space="preserve"> and a</w:t>
      </w:r>
      <w:r>
        <w:t xml:space="preserve"> stepped care model</w:t>
      </w:r>
      <w:r w:rsidR="005D290D">
        <w:t xml:space="preserve"> as proposed by ESC</w:t>
      </w:r>
      <w:r>
        <w:t xml:space="preserve"> in which observation of patients using CGM continuously over a shorter period of initial use could identify those requiring longer-term continuous use</w:t>
      </w:r>
      <w:r w:rsidR="007E05F8">
        <w:t xml:space="preserve"> also required further evaluation. However this should be undertaken after the cons</w:t>
      </w:r>
      <w:r w:rsidR="00DD326F">
        <w:t>ideration of the priority populations as outlined above.</w:t>
      </w:r>
    </w:p>
    <w:p w14:paraId="7706307B" w14:textId="254D12F8" w:rsidR="0063034D" w:rsidRDefault="0063034D" w:rsidP="004B5326">
      <w:r>
        <w:t xml:space="preserve">MSAC also </w:t>
      </w:r>
      <w:r w:rsidR="000D54E6">
        <w:t xml:space="preserve">requested </w:t>
      </w:r>
      <w:r>
        <w:t xml:space="preserve">an </w:t>
      </w:r>
      <w:r w:rsidR="00E7124B">
        <w:t xml:space="preserve">independent validation </w:t>
      </w:r>
      <w:r w:rsidR="00C301C9">
        <w:t xml:space="preserve">of any future resubmission </w:t>
      </w:r>
      <w:r w:rsidR="00581A40">
        <w:t>should be performed using a standardised T2D model</w:t>
      </w:r>
      <w:r w:rsidR="00A5634D">
        <w:t xml:space="preserve"> and independent</w:t>
      </w:r>
      <w:r w:rsidR="005E045D">
        <w:t>ly-derived</w:t>
      </w:r>
      <w:r w:rsidR="00A5634D">
        <w:t xml:space="preserve"> financial estimates for each subpopulation</w:t>
      </w:r>
      <w:r w:rsidR="00581A40">
        <w:t>.</w:t>
      </w:r>
    </w:p>
    <w:p w14:paraId="6710B69D" w14:textId="60AD07D8" w:rsidR="00772829" w:rsidRPr="00CE28E3" w:rsidRDefault="00772829" w:rsidP="00670C60">
      <w:pPr>
        <w:pStyle w:val="Heading2"/>
        <w:numPr>
          <w:ilvl w:val="0"/>
          <w:numId w:val="32"/>
        </w:numPr>
        <w:ind w:hanging="720"/>
      </w:pPr>
      <w:r w:rsidRPr="00CE28E3">
        <w:t>Background</w:t>
      </w:r>
      <w:bookmarkEnd w:id="3"/>
    </w:p>
    <w:p w14:paraId="7729BF73" w14:textId="0917FA92" w:rsidR="00E80386" w:rsidRDefault="00FA627B" w:rsidP="00F02237">
      <w:pPr>
        <w:rPr>
          <w:iCs/>
        </w:rPr>
      </w:pPr>
      <w:bookmarkStart w:id="4" w:name="_Hlk69734494"/>
      <w:r>
        <w:rPr>
          <w:iCs/>
        </w:rPr>
        <w:t>At</w:t>
      </w:r>
      <w:r w:rsidDel="00E70A60">
        <w:rPr>
          <w:iCs/>
        </w:rPr>
        <w:t xml:space="preserve"> </w:t>
      </w:r>
      <w:r w:rsidR="00E70A60">
        <w:rPr>
          <w:iCs/>
        </w:rPr>
        <w:t xml:space="preserve">its </w:t>
      </w:r>
      <w:r>
        <w:rPr>
          <w:iCs/>
        </w:rPr>
        <w:t>31 July 2025 meeting, t</w:t>
      </w:r>
      <w:r w:rsidR="00C4428A">
        <w:rPr>
          <w:iCs/>
        </w:rPr>
        <w:t>he Medical Services Advisory Committee (</w:t>
      </w:r>
      <w:r w:rsidR="00AB23A7" w:rsidRPr="00EC144B">
        <w:rPr>
          <w:iCs/>
        </w:rPr>
        <w:t>MSAC</w:t>
      </w:r>
      <w:r w:rsidR="00C4428A">
        <w:rPr>
          <w:iCs/>
        </w:rPr>
        <w:t>)</w:t>
      </w:r>
      <w:r w:rsidR="00AB23A7" w:rsidRPr="00EC144B">
        <w:rPr>
          <w:iCs/>
        </w:rPr>
        <w:t xml:space="preserve"> </w:t>
      </w:r>
      <w:r w:rsidR="004C6259">
        <w:rPr>
          <w:iCs/>
        </w:rPr>
        <w:t xml:space="preserve">considered </w:t>
      </w:r>
      <w:r w:rsidR="00326CFB">
        <w:rPr>
          <w:iCs/>
        </w:rPr>
        <w:t>application</w:t>
      </w:r>
      <w:r w:rsidR="00966040">
        <w:rPr>
          <w:iCs/>
        </w:rPr>
        <w:t xml:space="preserve"> 1785</w:t>
      </w:r>
      <w:r w:rsidR="00F83557">
        <w:rPr>
          <w:iCs/>
        </w:rPr>
        <w:t xml:space="preserve"> submitted</w:t>
      </w:r>
      <w:r w:rsidR="0069167A">
        <w:rPr>
          <w:iCs/>
        </w:rPr>
        <w:t xml:space="preserve"> by AMSL</w:t>
      </w:r>
      <w:r w:rsidR="006F304B">
        <w:rPr>
          <w:iCs/>
        </w:rPr>
        <w:t xml:space="preserve"> in February </w:t>
      </w:r>
      <w:r w:rsidR="008F291E">
        <w:rPr>
          <w:iCs/>
        </w:rPr>
        <w:t>2025</w:t>
      </w:r>
      <w:r w:rsidR="0069167A">
        <w:rPr>
          <w:iCs/>
        </w:rPr>
        <w:t xml:space="preserve"> </w:t>
      </w:r>
      <w:r w:rsidR="00326CFB">
        <w:rPr>
          <w:iCs/>
        </w:rPr>
        <w:t>for</w:t>
      </w:r>
      <w:r>
        <w:rPr>
          <w:iCs/>
        </w:rPr>
        <w:t xml:space="preserve"> NDSS funding of the</w:t>
      </w:r>
      <w:r w:rsidR="00326CFB">
        <w:rPr>
          <w:iCs/>
        </w:rPr>
        <w:t xml:space="preserve"> </w:t>
      </w:r>
      <w:r w:rsidR="00EC144B" w:rsidRPr="00EC144B">
        <w:rPr>
          <w:iCs/>
        </w:rPr>
        <w:t xml:space="preserve">Dexcom ONE+ RT-CGM </w:t>
      </w:r>
      <w:r w:rsidR="004B5039">
        <w:rPr>
          <w:iCs/>
        </w:rPr>
        <w:t>s</w:t>
      </w:r>
      <w:r w:rsidR="00EC144B" w:rsidRPr="00EC144B">
        <w:rPr>
          <w:iCs/>
        </w:rPr>
        <w:t>ystem</w:t>
      </w:r>
      <w:r w:rsidR="00EC144B">
        <w:rPr>
          <w:iCs/>
        </w:rPr>
        <w:t xml:space="preserve"> </w:t>
      </w:r>
      <w:r w:rsidR="00994CD4">
        <w:rPr>
          <w:iCs/>
        </w:rPr>
        <w:t xml:space="preserve">for insulin-using patients with T2D. </w:t>
      </w:r>
      <w:r w:rsidR="005B14F7" w:rsidRPr="005B14F7">
        <w:rPr>
          <w:iCs/>
        </w:rPr>
        <w:t>After considering the strength of the available evidence in relation to comparative safety, clinical effectiveness, cost-effectiveness and total cost, MSAC deferred its advice</w:t>
      </w:r>
      <w:r w:rsidR="00371DFD">
        <w:rPr>
          <w:iCs/>
        </w:rPr>
        <w:t xml:space="preserve"> on NDSS subsidisation of Dexcom ONE+ CGM</w:t>
      </w:r>
      <w:r w:rsidR="003F45FE">
        <w:rPr>
          <w:iCs/>
        </w:rPr>
        <w:t>.</w:t>
      </w:r>
    </w:p>
    <w:p w14:paraId="14717827" w14:textId="78ADC867" w:rsidR="00C4428A" w:rsidRDefault="00922DAC" w:rsidP="00F02237">
      <w:pPr>
        <w:rPr>
          <w:iCs/>
        </w:rPr>
      </w:pPr>
      <w:r>
        <w:rPr>
          <w:iCs/>
        </w:rPr>
        <w:t xml:space="preserve"> </w:t>
      </w:r>
      <w:r w:rsidR="00C4428A" w:rsidRPr="00C4428A">
        <w:rPr>
          <w:iCs/>
        </w:rPr>
        <w:t>MSA</w:t>
      </w:r>
      <w:r w:rsidR="00CE5E88">
        <w:rPr>
          <w:iCs/>
        </w:rPr>
        <w:t>C</w:t>
      </w:r>
      <w:r w:rsidR="00C4428A" w:rsidRPr="00C4428A">
        <w:rPr>
          <w:iCs/>
        </w:rPr>
        <w:t xml:space="preserve"> ha</w:t>
      </w:r>
      <w:r w:rsidR="00371DFD">
        <w:rPr>
          <w:iCs/>
        </w:rPr>
        <w:t xml:space="preserve">d </w:t>
      </w:r>
      <w:r w:rsidR="00C4428A" w:rsidRPr="00C4428A">
        <w:rPr>
          <w:iCs/>
        </w:rPr>
        <w:t xml:space="preserve">not previously considered CGM systems for people with T2D requiring insulin. In addition to </w:t>
      </w:r>
      <w:r w:rsidR="0008288F">
        <w:rPr>
          <w:iCs/>
        </w:rPr>
        <w:t>Application</w:t>
      </w:r>
      <w:r w:rsidR="00694EA2">
        <w:rPr>
          <w:iCs/>
        </w:rPr>
        <w:t xml:space="preserve"> 1785</w:t>
      </w:r>
      <w:r w:rsidR="006E7DD8">
        <w:rPr>
          <w:iCs/>
        </w:rPr>
        <w:t xml:space="preserve">, </w:t>
      </w:r>
      <w:r w:rsidR="006A0810">
        <w:rPr>
          <w:iCs/>
        </w:rPr>
        <w:t xml:space="preserve">MSAC </w:t>
      </w:r>
      <w:r w:rsidR="000E6BD6">
        <w:rPr>
          <w:iCs/>
        </w:rPr>
        <w:t>also</w:t>
      </w:r>
      <w:r w:rsidR="006A0810">
        <w:rPr>
          <w:iCs/>
        </w:rPr>
        <w:t xml:space="preserve"> considered</w:t>
      </w:r>
      <w:r w:rsidR="00694EA2">
        <w:rPr>
          <w:iCs/>
        </w:rPr>
        <w:t xml:space="preserve"> an</w:t>
      </w:r>
      <w:r w:rsidR="00C4428A" w:rsidRPr="00C4428A">
        <w:rPr>
          <w:iCs/>
        </w:rPr>
        <w:t xml:space="preserve"> application </w:t>
      </w:r>
      <w:r w:rsidR="00FF6B64">
        <w:rPr>
          <w:iCs/>
        </w:rPr>
        <w:t xml:space="preserve">(1786) </w:t>
      </w:r>
      <w:r w:rsidR="00C4428A" w:rsidRPr="00C4428A">
        <w:rPr>
          <w:iCs/>
        </w:rPr>
        <w:t xml:space="preserve">for </w:t>
      </w:r>
      <w:r w:rsidR="003F45FE">
        <w:rPr>
          <w:iCs/>
        </w:rPr>
        <w:t xml:space="preserve">NDSS </w:t>
      </w:r>
      <w:r w:rsidR="00D00DD9">
        <w:rPr>
          <w:iCs/>
        </w:rPr>
        <w:t>funding</w:t>
      </w:r>
      <w:r w:rsidR="003F45FE">
        <w:rPr>
          <w:iCs/>
        </w:rPr>
        <w:t xml:space="preserve"> of the </w:t>
      </w:r>
      <w:r w:rsidR="00C4428A" w:rsidRPr="00C4428A">
        <w:rPr>
          <w:iCs/>
        </w:rPr>
        <w:t xml:space="preserve">FreeStyle Libre 2 </w:t>
      </w:r>
      <w:r w:rsidR="00694EA2">
        <w:rPr>
          <w:iCs/>
        </w:rPr>
        <w:t xml:space="preserve">(FSL) </w:t>
      </w:r>
      <w:r w:rsidR="00C4428A" w:rsidRPr="00C4428A">
        <w:rPr>
          <w:iCs/>
        </w:rPr>
        <w:t xml:space="preserve">CGM </w:t>
      </w:r>
      <w:r w:rsidR="00D9310F">
        <w:rPr>
          <w:iCs/>
        </w:rPr>
        <w:t>s</w:t>
      </w:r>
      <w:r w:rsidR="00C4428A" w:rsidRPr="00C4428A">
        <w:rPr>
          <w:iCs/>
        </w:rPr>
        <w:t>ystem for people with</w:t>
      </w:r>
      <w:r w:rsidR="0092506E" w:rsidRPr="0092506E">
        <w:rPr>
          <w:rFonts w:cs="Franklin Gothic Book"/>
          <w:color w:val="000000"/>
        </w:rPr>
        <w:t xml:space="preserve"> </w:t>
      </w:r>
      <w:r w:rsidR="0092506E" w:rsidRPr="0092506E">
        <w:rPr>
          <w:iCs/>
        </w:rPr>
        <w:t>T2D requiring insulin</w:t>
      </w:r>
      <w:r w:rsidR="00C87DE3">
        <w:rPr>
          <w:iCs/>
        </w:rPr>
        <w:t xml:space="preserve"> and</w:t>
      </w:r>
      <w:r w:rsidR="0092506E" w:rsidRPr="0092506E">
        <w:rPr>
          <w:iCs/>
        </w:rPr>
        <w:t xml:space="preserve"> </w:t>
      </w:r>
      <w:r w:rsidR="00C87DE3">
        <w:rPr>
          <w:iCs/>
        </w:rPr>
        <w:t xml:space="preserve">those with </w:t>
      </w:r>
      <w:r w:rsidR="0092506E" w:rsidRPr="0092506E">
        <w:rPr>
          <w:iCs/>
        </w:rPr>
        <w:t>gestational diabetes and other types of diabetes (including type 3c)</w:t>
      </w:r>
      <w:r w:rsidR="00FF6B64">
        <w:rPr>
          <w:iCs/>
        </w:rPr>
        <w:t>. MSAC</w:t>
      </w:r>
      <w:r w:rsidR="003F45FE" w:rsidDel="00FF6B64">
        <w:rPr>
          <w:iCs/>
        </w:rPr>
        <w:t xml:space="preserve"> </w:t>
      </w:r>
      <w:r w:rsidR="003F45FE">
        <w:rPr>
          <w:iCs/>
        </w:rPr>
        <w:t xml:space="preserve">deferred </w:t>
      </w:r>
      <w:r w:rsidR="00610D20">
        <w:rPr>
          <w:iCs/>
        </w:rPr>
        <w:t>its</w:t>
      </w:r>
      <w:r w:rsidR="003F45FE">
        <w:rPr>
          <w:iCs/>
        </w:rPr>
        <w:t xml:space="preserve"> decision</w:t>
      </w:r>
      <w:r w:rsidR="00C52A29">
        <w:rPr>
          <w:iCs/>
        </w:rPr>
        <w:t xml:space="preserve"> </w:t>
      </w:r>
      <w:r w:rsidR="00FF6B64">
        <w:rPr>
          <w:iCs/>
        </w:rPr>
        <w:t xml:space="preserve">on </w:t>
      </w:r>
      <w:r w:rsidR="00C52A29">
        <w:rPr>
          <w:iCs/>
        </w:rPr>
        <w:t>Application 1786</w:t>
      </w:r>
      <w:r w:rsidR="003F45FE">
        <w:rPr>
          <w:iCs/>
        </w:rPr>
        <w:t>.</w:t>
      </w:r>
    </w:p>
    <w:p w14:paraId="7E7C185E" w14:textId="4D830C6A" w:rsidR="007577BA" w:rsidRDefault="00C27375" w:rsidP="00F02237">
      <w:pPr>
        <w:rPr>
          <w:iCs/>
        </w:rPr>
      </w:pPr>
      <w:r w:rsidRPr="00C27375">
        <w:rPr>
          <w:iCs/>
        </w:rPr>
        <w:t>No</w:t>
      </w:r>
      <w:r w:rsidRPr="00C27375" w:rsidDel="006479C1">
        <w:rPr>
          <w:iCs/>
        </w:rPr>
        <w:t xml:space="preserve"> </w:t>
      </w:r>
      <w:r w:rsidRPr="00C27375">
        <w:rPr>
          <w:iCs/>
        </w:rPr>
        <w:t xml:space="preserve">CGM system to manage T2D </w:t>
      </w:r>
      <w:r w:rsidR="00FA0C8A">
        <w:rPr>
          <w:iCs/>
        </w:rPr>
        <w:t xml:space="preserve">is currently </w:t>
      </w:r>
      <w:r w:rsidR="006479C1" w:rsidRPr="00C27375">
        <w:rPr>
          <w:iCs/>
        </w:rPr>
        <w:t xml:space="preserve">subsidised </w:t>
      </w:r>
      <w:r w:rsidR="00065FC7">
        <w:rPr>
          <w:iCs/>
        </w:rPr>
        <w:t>via</w:t>
      </w:r>
      <w:r w:rsidR="00065FC7" w:rsidRPr="00C27375">
        <w:rPr>
          <w:iCs/>
        </w:rPr>
        <w:t xml:space="preserve"> </w:t>
      </w:r>
      <w:r w:rsidR="00610D20">
        <w:rPr>
          <w:iCs/>
        </w:rPr>
        <w:t>the</w:t>
      </w:r>
      <w:r w:rsidRPr="00C27375">
        <w:rPr>
          <w:iCs/>
        </w:rPr>
        <w:t xml:space="preserve"> NDSS in Australia.</w:t>
      </w:r>
    </w:p>
    <w:p w14:paraId="555486CA" w14:textId="55FAA95C" w:rsidR="00E07CAE" w:rsidRDefault="00FB349B" w:rsidP="00F02237">
      <w:pPr>
        <w:rPr>
          <w:iCs/>
        </w:rPr>
      </w:pPr>
      <w:r w:rsidRPr="00FB349B">
        <w:rPr>
          <w:iCs/>
        </w:rPr>
        <w:t xml:space="preserve">In 2021, MSAC conducted a review of CGM products for people with type 1 diabetes (T1D) provided through the CGM </w:t>
      </w:r>
      <w:r w:rsidR="00781DFB">
        <w:rPr>
          <w:iCs/>
        </w:rPr>
        <w:t>i</w:t>
      </w:r>
      <w:r w:rsidRPr="00FB349B">
        <w:rPr>
          <w:iCs/>
        </w:rPr>
        <w:t>nitiative by the NDSS (MSAC Review 1663). After considering the available evidence, MSAC deferred advice on the clinical</w:t>
      </w:r>
      <w:r w:rsidR="008C6111">
        <w:rPr>
          <w:iCs/>
        </w:rPr>
        <w:t>-</w:t>
      </w:r>
      <w:r w:rsidRPr="00FB349B">
        <w:rPr>
          <w:iCs/>
        </w:rPr>
        <w:t xml:space="preserve"> </w:t>
      </w:r>
      <w:r w:rsidRPr="00FB349B" w:rsidDel="008C6111">
        <w:rPr>
          <w:iCs/>
        </w:rPr>
        <w:t xml:space="preserve">effectiveness </w:t>
      </w:r>
      <w:r w:rsidRPr="00FB349B">
        <w:rPr>
          <w:iCs/>
        </w:rPr>
        <w:t>and cost-effectiveness of subsidised CGM products</w:t>
      </w:r>
      <w:r w:rsidR="00C25C06">
        <w:rPr>
          <w:iCs/>
        </w:rPr>
        <w:t xml:space="preserve">, </w:t>
      </w:r>
      <w:r w:rsidRPr="00FB349B">
        <w:rPr>
          <w:iCs/>
        </w:rPr>
        <w:t>conclud</w:t>
      </w:r>
      <w:r w:rsidR="00C25C06">
        <w:rPr>
          <w:iCs/>
        </w:rPr>
        <w:t>ing</w:t>
      </w:r>
      <w:r w:rsidRPr="00FB349B">
        <w:rPr>
          <w:iCs/>
        </w:rPr>
        <w:t xml:space="preserve"> that further work was required to better establish the patient population, clinical effectiveness and cost-effectiveness of CGM devices </w:t>
      </w:r>
      <w:r w:rsidR="00C25C06">
        <w:rPr>
          <w:iCs/>
        </w:rPr>
        <w:t>for</w:t>
      </w:r>
      <w:r w:rsidR="00C25C06" w:rsidRPr="00FB349B">
        <w:rPr>
          <w:iCs/>
        </w:rPr>
        <w:t xml:space="preserve"> </w:t>
      </w:r>
      <w:r w:rsidRPr="00FB349B">
        <w:rPr>
          <w:iCs/>
        </w:rPr>
        <w:t>T1D</w:t>
      </w:r>
      <w:r w:rsidR="003E75CA">
        <w:rPr>
          <w:iCs/>
        </w:rPr>
        <w:t>.</w:t>
      </w:r>
      <w:r w:rsidR="00CE5E88">
        <w:rPr>
          <w:iCs/>
        </w:rPr>
        <w:t xml:space="preserve"> </w:t>
      </w:r>
    </w:p>
    <w:p w14:paraId="0FB9E5D8" w14:textId="7BAC492B" w:rsidR="00F73889" w:rsidRPr="0082749B" w:rsidRDefault="00ED58ED" w:rsidP="00F02237">
      <w:pPr>
        <w:rPr>
          <w:iCs/>
        </w:rPr>
      </w:pPr>
      <w:r w:rsidRPr="0082749B">
        <w:rPr>
          <w:iCs/>
        </w:rPr>
        <w:t>In the Public Summary Document (PSD) for</w:t>
      </w:r>
      <w:r w:rsidR="000C1DCE" w:rsidRPr="0082749B">
        <w:rPr>
          <w:iCs/>
        </w:rPr>
        <w:t xml:space="preserve"> the </w:t>
      </w:r>
      <w:r w:rsidR="007F577E">
        <w:rPr>
          <w:iCs/>
        </w:rPr>
        <w:t>original</w:t>
      </w:r>
      <w:r w:rsidR="000C1DCE" w:rsidRPr="0082749B">
        <w:rPr>
          <w:iCs/>
        </w:rPr>
        <w:t xml:space="preserve"> </w:t>
      </w:r>
      <w:r w:rsidR="0082749B">
        <w:rPr>
          <w:iCs/>
        </w:rPr>
        <w:t>Dexcom</w:t>
      </w:r>
      <w:r w:rsidR="005778BC">
        <w:rPr>
          <w:iCs/>
        </w:rPr>
        <w:t xml:space="preserve"> ONE+ CGM </w:t>
      </w:r>
      <w:r w:rsidR="007F577E">
        <w:rPr>
          <w:iCs/>
        </w:rPr>
        <w:t>submission</w:t>
      </w:r>
      <w:r w:rsidR="008D1DDD">
        <w:rPr>
          <w:rStyle w:val="FootnoteReference"/>
          <w:iCs/>
        </w:rPr>
        <w:footnoteReference w:id="2"/>
      </w:r>
      <w:r w:rsidR="000C1DCE" w:rsidRPr="0082749B">
        <w:rPr>
          <w:iCs/>
        </w:rPr>
        <w:t xml:space="preserve">, </w:t>
      </w:r>
      <w:r w:rsidR="00B95DE6" w:rsidRPr="0082749B">
        <w:rPr>
          <w:iCs/>
        </w:rPr>
        <w:t xml:space="preserve">MSAC </w:t>
      </w:r>
      <w:r w:rsidR="00A12B39">
        <w:rPr>
          <w:iCs/>
        </w:rPr>
        <w:t xml:space="preserve">summarised the </w:t>
      </w:r>
      <w:r w:rsidR="00F16134" w:rsidRPr="0082749B">
        <w:rPr>
          <w:iCs/>
        </w:rPr>
        <w:t xml:space="preserve">merits of </w:t>
      </w:r>
      <w:r w:rsidR="00F73889" w:rsidRPr="0082749B">
        <w:rPr>
          <w:iCs/>
        </w:rPr>
        <w:t>the initial</w:t>
      </w:r>
      <w:r w:rsidR="00F16134" w:rsidRPr="0082749B">
        <w:rPr>
          <w:iCs/>
        </w:rPr>
        <w:t xml:space="preserve"> application</w:t>
      </w:r>
      <w:r w:rsidR="00D0711E">
        <w:rPr>
          <w:iCs/>
        </w:rPr>
        <w:t xml:space="preserve"> </w:t>
      </w:r>
      <w:r w:rsidR="00ED7DE4">
        <w:rPr>
          <w:iCs/>
        </w:rPr>
        <w:t xml:space="preserve">and </w:t>
      </w:r>
      <w:r w:rsidR="00707A92">
        <w:rPr>
          <w:iCs/>
        </w:rPr>
        <w:t xml:space="preserve">its </w:t>
      </w:r>
      <w:r w:rsidR="00ED7DE4">
        <w:rPr>
          <w:iCs/>
        </w:rPr>
        <w:t xml:space="preserve">rationale for </w:t>
      </w:r>
      <w:r w:rsidR="00F73889" w:rsidRPr="0082749B">
        <w:rPr>
          <w:iCs/>
        </w:rPr>
        <w:t>deferr</w:t>
      </w:r>
      <w:r w:rsidR="00401E45">
        <w:rPr>
          <w:iCs/>
        </w:rPr>
        <w:t>ing</w:t>
      </w:r>
      <w:r w:rsidR="00F73889" w:rsidRPr="0082749B">
        <w:rPr>
          <w:iCs/>
        </w:rPr>
        <w:t xml:space="preserve"> </w:t>
      </w:r>
      <w:r w:rsidR="000B7E6C">
        <w:rPr>
          <w:iCs/>
        </w:rPr>
        <w:t>advice to the Min</w:t>
      </w:r>
      <w:r w:rsidR="00B668E7">
        <w:rPr>
          <w:iCs/>
        </w:rPr>
        <w:t>i</w:t>
      </w:r>
      <w:r w:rsidR="000B7E6C">
        <w:rPr>
          <w:iCs/>
        </w:rPr>
        <w:t>ster</w:t>
      </w:r>
      <w:r w:rsidR="00356949">
        <w:rPr>
          <w:iCs/>
        </w:rPr>
        <w:t xml:space="preserve">. </w:t>
      </w:r>
      <w:r w:rsidR="0081287D">
        <w:rPr>
          <w:iCs/>
        </w:rPr>
        <w:t xml:space="preserve">Specifically: </w:t>
      </w:r>
    </w:p>
    <w:p w14:paraId="7D91C0ED" w14:textId="709A0A46" w:rsidR="002F0B09" w:rsidRPr="00D0711E" w:rsidRDefault="0036406F" w:rsidP="00670C60">
      <w:pPr>
        <w:pStyle w:val="ListParagraph"/>
        <w:numPr>
          <w:ilvl w:val="0"/>
          <w:numId w:val="10"/>
        </w:numPr>
        <w:rPr>
          <w:iCs/>
        </w:rPr>
      </w:pPr>
      <w:r>
        <w:rPr>
          <w:iCs/>
        </w:rPr>
        <w:t>T</w:t>
      </w:r>
      <w:r w:rsidR="009C4624" w:rsidRPr="00D0711E">
        <w:rPr>
          <w:iCs/>
        </w:rPr>
        <w:t xml:space="preserve">he </w:t>
      </w:r>
      <w:r w:rsidR="00584888" w:rsidRPr="00D0711E">
        <w:rPr>
          <w:iCs/>
        </w:rPr>
        <w:t xml:space="preserve">clinical claim that CGM leads to an overall improvement in glycaemic control measured using glycated haemoglobin (HbA1c) was not fully supported. The trials were relatively small, short term, and did not report end-organ outcomes. The reduction in HbA1c was lower than the level considered a meaningful improvement by the Pharmaceutical Benefits Advisory </w:t>
      </w:r>
      <w:r w:rsidR="00584888" w:rsidRPr="00D0711E">
        <w:rPr>
          <w:iCs/>
        </w:rPr>
        <w:lastRenderedPageBreak/>
        <w:t xml:space="preserve">Committee and regulatory agencies. </w:t>
      </w:r>
      <w:r w:rsidR="00BE31D9">
        <w:rPr>
          <w:iCs/>
        </w:rPr>
        <w:t xml:space="preserve">However, </w:t>
      </w:r>
      <w:r w:rsidR="00DE3248">
        <w:rPr>
          <w:iCs/>
        </w:rPr>
        <w:t xml:space="preserve">it </w:t>
      </w:r>
      <w:r w:rsidR="00DE3248" w:rsidRPr="00D0711E">
        <w:rPr>
          <w:iCs/>
        </w:rPr>
        <w:t>must be noted</w:t>
      </w:r>
      <w:r w:rsidR="00BE31D9">
        <w:rPr>
          <w:iCs/>
        </w:rPr>
        <w:t xml:space="preserve"> that</w:t>
      </w:r>
      <w:r w:rsidR="002F0B09" w:rsidRPr="00D0711E">
        <w:rPr>
          <w:iCs/>
        </w:rPr>
        <w:t xml:space="preserve"> MSAC stressed</w:t>
      </w:r>
      <w:r w:rsidR="00CB091A" w:rsidRPr="00D0711E">
        <w:rPr>
          <w:iCs/>
        </w:rPr>
        <w:t xml:space="preserve"> </w:t>
      </w:r>
      <w:r w:rsidR="0042443B" w:rsidRPr="00D0711E">
        <w:rPr>
          <w:iCs/>
        </w:rPr>
        <w:t>other benefit</w:t>
      </w:r>
      <w:r w:rsidR="004E1E49">
        <w:rPr>
          <w:iCs/>
        </w:rPr>
        <w:t>s</w:t>
      </w:r>
      <w:r w:rsidR="0042443B" w:rsidRPr="00D0711E">
        <w:rPr>
          <w:iCs/>
        </w:rPr>
        <w:t xml:space="preserve"> of </w:t>
      </w:r>
      <w:r w:rsidR="00CB091A" w:rsidRPr="00D0711E">
        <w:rPr>
          <w:iCs/>
        </w:rPr>
        <w:t>CGM for patients and T2D management</w:t>
      </w:r>
      <w:r w:rsidR="00B7501D">
        <w:rPr>
          <w:iCs/>
        </w:rPr>
        <w:t xml:space="preserve">, </w:t>
      </w:r>
      <w:r w:rsidR="00CB091A" w:rsidRPr="00D0711E">
        <w:rPr>
          <w:iCs/>
        </w:rPr>
        <w:t>includ</w:t>
      </w:r>
      <w:r w:rsidR="00B7501D">
        <w:rPr>
          <w:iCs/>
        </w:rPr>
        <w:t>ing</w:t>
      </w:r>
      <w:r w:rsidR="00CB091A" w:rsidRPr="00D0711E">
        <w:rPr>
          <w:iCs/>
        </w:rPr>
        <w:t xml:space="preserve"> empowering patients to </w:t>
      </w:r>
      <w:r w:rsidR="000204D9" w:rsidRPr="00D0711E">
        <w:rPr>
          <w:iCs/>
        </w:rPr>
        <w:t>manage T</w:t>
      </w:r>
      <w:r w:rsidR="00CB091A" w:rsidRPr="00D0711E">
        <w:rPr>
          <w:iCs/>
        </w:rPr>
        <w:t xml:space="preserve">2D and </w:t>
      </w:r>
      <w:r w:rsidR="002B2103">
        <w:rPr>
          <w:iCs/>
        </w:rPr>
        <w:t xml:space="preserve">more effectively </w:t>
      </w:r>
      <w:r w:rsidR="00CB091A" w:rsidRPr="00D0711E">
        <w:rPr>
          <w:iCs/>
        </w:rPr>
        <w:t xml:space="preserve">manage blood sugar levels during times of acute illness. MSAC considered </w:t>
      </w:r>
      <w:r w:rsidR="00784B70">
        <w:rPr>
          <w:iCs/>
        </w:rPr>
        <w:t xml:space="preserve">that </w:t>
      </w:r>
      <w:r w:rsidR="00CB091A" w:rsidRPr="00D0711E">
        <w:rPr>
          <w:iCs/>
        </w:rPr>
        <w:t>CGM could improve quality of life, and this was reflected in strong consumer support for public funding.</w:t>
      </w:r>
    </w:p>
    <w:p w14:paraId="27D930A3" w14:textId="4359211A" w:rsidR="002F0B09" w:rsidRPr="00D0711E" w:rsidRDefault="0036406F" w:rsidP="00670C60">
      <w:pPr>
        <w:pStyle w:val="ListParagraph"/>
        <w:numPr>
          <w:ilvl w:val="0"/>
          <w:numId w:val="10"/>
        </w:numPr>
        <w:rPr>
          <w:iCs/>
        </w:rPr>
      </w:pPr>
      <w:r>
        <w:rPr>
          <w:iCs/>
        </w:rPr>
        <w:t>I</w:t>
      </w:r>
      <w:r w:rsidR="002F0B09" w:rsidRPr="00D0711E">
        <w:rPr>
          <w:iCs/>
        </w:rPr>
        <w:t>n the initial ADAR, t</w:t>
      </w:r>
      <w:r w:rsidR="00584888" w:rsidRPr="00D0711E">
        <w:rPr>
          <w:iCs/>
        </w:rPr>
        <w:t>he proposed population was large, with variable clinical need and anticipated benefits from CGM. MSAC considered that the proposed population was heterogeneous</w:t>
      </w:r>
      <w:r w:rsidR="006359DB">
        <w:rPr>
          <w:iCs/>
        </w:rPr>
        <w:t>,</w:t>
      </w:r>
      <w:r w:rsidR="00584888" w:rsidRPr="00D0711E">
        <w:rPr>
          <w:iCs/>
        </w:rPr>
        <w:t xml:space="preserve"> and that CGM may be more clinically</w:t>
      </w:r>
      <w:r w:rsidR="00BB3A7B">
        <w:rPr>
          <w:iCs/>
        </w:rPr>
        <w:t>-</w:t>
      </w:r>
      <w:r w:rsidR="00BE59A9">
        <w:rPr>
          <w:iCs/>
        </w:rPr>
        <w:t>effective</w:t>
      </w:r>
      <w:r w:rsidR="00584888" w:rsidRPr="00D0711E">
        <w:rPr>
          <w:iCs/>
        </w:rPr>
        <w:t xml:space="preserve"> and cost-effective for some subpopulations, including patients who use both long</w:t>
      </w:r>
      <w:r w:rsidR="00BB3A7B">
        <w:rPr>
          <w:iCs/>
        </w:rPr>
        <w:t>-</w:t>
      </w:r>
      <w:r w:rsidR="00584888" w:rsidRPr="00D0711E">
        <w:rPr>
          <w:iCs/>
        </w:rPr>
        <w:t xml:space="preserve"> and short</w:t>
      </w:r>
      <w:r w:rsidR="00BB3A7B">
        <w:rPr>
          <w:iCs/>
        </w:rPr>
        <w:t>-</w:t>
      </w:r>
      <w:r w:rsidR="00584888" w:rsidRPr="00D0711E">
        <w:rPr>
          <w:iCs/>
        </w:rPr>
        <w:t xml:space="preserve">acting insulin, people </w:t>
      </w:r>
      <w:r w:rsidR="002D5C1E" w:rsidRPr="00D0711E">
        <w:rPr>
          <w:iCs/>
        </w:rPr>
        <w:t xml:space="preserve">with higher levels of HbA1c (e.g. &gt; 8%) </w:t>
      </w:r>
      <w:r w:rsidR="00584888" w:rsidRPr="00D0711E">
        <w:rPr>
          <w:iCs/>
        </w:rPr>
        <w:t>using insulin</w:t>
      </w:r>
      <w:r w:rsidR="002D5C1E">
        <w:rPr>
          <w:iCs/>
        </w:rPr>
        <w:t>,</w:t>
      </w:r>
      <w:r w:rsidR="00584888" w:rsidRPr="00D0711E">
        <w:rPr>
          <w:iCs/>
        </w:rPr>
        <w:t xml:space="preserve"> </w:t>
      </w:r>
      <w:r w:rsidR="00595549">
        <w:rPr>
          <w:iCs/>
        </w:rPr>
        <w:t>and</w:t>
      </w:r>
      <w:r w:rsidR="00584888" w:rsidRPr="00D0711E">
        <w:rPr>
          <w:iCs/>
        </w:rPr>
        <w:t xml:space="preserve"> Aboriginal and Torres Strait Islander people. </w:t>
      </w:r>
    </w:p>
    <w:p w14:paraId="7E6B0DEE" w14:textId="48C703EC" w:rsidR="00BE2D1C" w:rsidRPr="00D0711E" w:rsidRDefault="00F66EB0" w:rsidP="00670C60">
      <w:pPr>
        <w:pStyle w:val="ListParagraph"/>
        <w:numPr>
          <w:ilvl w:val="0"/>
          <w:numId w:val="10"/>
        </w:numPr>
        <w:rPr>
          <w:iCs/>
        </w:rPr>
      </w:pPr>
      <w:r>
        <w:rPr>
          <w:iCs/>
        </w:rPr>
        <w:t>L</w:t>
      </w:r>
      <w:r w:rsidR="00FA1548" w:rsidRPr="00D0711E">
        <w:rPr>
          <w:iCs/>
        </w:rPr>
        <w:t>ack of transparency of</w:t>
      </w:r>
      <w:r w:rsidR="009C0801" w:rsidRPr="00D0711E">
        <w:rPr>
          <w:iCs/>
        </w:rPr>
        <w:t xml:space="preserve"> the economic evaluation </w:t>
      </w:r>
      <w:r>
        <w:rPr>
          <w:iCs/>
        </w:rPr>
        <w:t>w</w:t>
      </w:r>
      <w:r w:rsidR="00FA1548" w:rsidRPr="00D0711E">
        <w:rPr>
          <w:iCs/>
        </w:rPr>
        <w:t>as an issu</w:t>
      </w:r>
      <w:r w:rsidR="006022E5" w:rsidRPr="00D0711E">
        <w:rPr>
          <w:iCs/>
        </w:rPr>
        <w:t xml:space="preserve">e, which implied that the </w:t>
      </w:r>
      <w:r w:rsidR="009C0801" w:rsidRPr="00D0711E">
        <w:rPr>
          <w:iCs/>
        </w:rPr>
        <w:t xml:space="preserve">cost-effectiveness </w:t>
      </w:r>
      <w:r w:rsidR="006022E5" w:rsidRPr="00D0711E">
        <w:rPr>
          <w:iCs/>
        </w:rPr>
        <w:t>estimates were very uncertain. MSAC</w:t>
      </w:r>
      <w:r w:rsidR="004C26BF" w:rsidRPr="00D0711E">
        <w:rPr>
          <w:iCs/>
        </w:rPr>
        <w:t xml:space="preserve"> </w:t>
      </w:r>
      <w:r w:rsidR="00AC6234">
        <w:rPr>
          <w:iCs/>
        </w:rPr>
        <w:t>noted</w:t>
      </w:r>
      <w:r w:rsidR="004C26BF" w:rsidRPr="00D0711E">
        <w:rPr>
          <w:iCs/>
        </w:rPr>
        <w:t xml:space="preserve"> that the </w:t>
      </w:r>
      <w:r w:rsidR="009C0801" w:rsidRPr="00D0711E">
        <w:rPr>
          <w:iCs/>
        </w:rPr>
        <w:t xml:space="preserve">treatment effects appeared implausibly large and sustained. </w:t>
      </w:r>
      <w:r w:rsidR="00584888" w:rsidRPr="00D0711E">
        <w:rPr>
          <w:iCs/>
        </w:rPr>
        <w:t>MSAC considered</w:t>
      </w:r>
      <w:r w:rsidR="00584888" w:rsidRPr="00D0711E" w:rsidDel="00AC6234">
        <w:rPr>
          <w:iCs/>
        </w:rPr>
        <w:t xml:space="preserve"> </w:t>
      </w:r>
      <w:r w:rsidR="00584888" w:rsidRPr="00D0711E">
        <w:rPr>
          <w:iCs/>
        </w:rPr>
        <w:t xml:space="preserve">there was substantial uncertainty around estimated </w:t>
      </w:r>
      <w:r w:rsidR="00EF3434" w:rsidRPr="00D0711E">
        <w:rPr>
          <w:iCs/>
        </w:rPr>
        <w:t>utilisation and</w:t>
      </w:r>
      <w:r w:rsidR="00CB5B0B" w:rsidRPr="00D0711E">
        <w:rPr>
          <w:iCs/>
        </w:rPr>
        <w:t xml:space="preserve"> was concerned that </w:t>
      </w:r>
      <w:r w:rsidR="00584888" w:rsidRPr="00D0711E">
        <w:rPr>
          <w:iCs/>
        </w:rPr>
        <w:t>the budget impact of subsidising CGM for the proposed population would be very large.</w:t>
      </w:r>
      <w:r w:rsidR="004D167F" w:rsidRPr="00D0711E">
        <w:rPr>
          <w:iCs/>
        </w:rPr>
        <w:t xml:space="preserve"> </w:t>
      </w:r>
    </w:p>
    <w:p w14:paraId="6FC6DA37" w14:textId="15EE4729" w:rsidR="004D167F" w:rsidRPr="00D0711E" w:rsidRDefault="004D167F" w:rsidP="00670C60">
      <w:pPr>
        <w:pStyle w:val="ListParagraph"/>
        <w:numPr>
          <w:ilvl w:val="0"/>
          <w:numId w:val="10"/>
        </w:numPr>
        <w:rPr>
          <w:iCs/>
        </w:rPr>
      </w:pPr>
      <w:r w:rsidRPr="00D0711E">
        <w:rPr>
          <w:iCs/>
        </w:rPr>
        <w:t>CGM may be used intermittently</w:t>
      </w:r>
      <w:r w:rsidR="00AC6234">
        <w:rPr>
          <w:iCs/>
        </w:rPr>
        <w:t>,</w:t>
      </w:r>
      <w:r w:rsidRPr="00D0711E">
        <w:rPr>
          <w:iCs/>
        </w:rPr>
        <w:t xml:space="preserve"> </w:t>
      </w:r>
      <w:r w:rsidR="00AC6234" w:rsidRPr="00D0711E">
        <w:rPr>
          <w:iCs/>
        </w:rPr>
        <w:t>rather than continuously</w:t>
      </w:r>
      <w:r w:rsidR="00AC6234">
        <w:rPr>
          <w:iCs/>
        </w:rPr>
        <w:t>,</w:t>
      </w:r>
      <w:r w:rsidR="00AC6234" w:rsidRPr="00D0711E">
        <w:rPr>
          <w:iCs/>
        </w:rPr>
        <w:t xml:space="preserve"> </w:t>
      </w:r>
      <w:r w:rsidRPr="00D0711E">
        <w:rPr>
          <w:iCs/>
        </w:rPr>
        <w:t>to establish better glycaemic control.</w:t>
      </w:r>
    </w:p>
    <w:p w14:paraId="2093C88A" w14:textId="0433FB0F" w:rsidR="002C4127" w:rsidRPr="008C4CBA" w:rsidRDefault="00C6061A" w:rsidP="00F02237">
      <w:r w:rsidRPr="0082749B">
        <w:rPr>
          <w:iCs/>
        </w:rPr>
        <w:t xml:space="preserve">In the </w:t>
      </w:r>
      <w:r w:rsidR="008A4CE6" w:rsidRPr="0082749B">
        <w:rPr>
          <w:iCs/>
        </w:rPr>
        <w:t>P</w:t>
      </w:r>
      <w:r w:rsidR="008A4CE6">
        <w:rPr>
          <w:iCs/>
        </w:rPr>
        <w:t>SD</w:t>
      </w:r>
      <w:r w:rsidRPr="0082749B">
        <w:rPr>
          <w:iCs/>
        </w:rPr>
        <w:t xml:space="preserve">, </w:t>
      </w:r>
      <w:r w:rsidR="005D5F57" w:rsidRPr="0082749B">
        <w:rPr>
          <w:iCs/>
        </w:rPr>
        <w:t>MSAC advised</w:t>
      </w:r>
      <w:r w:rsidR="0083118A">
        <w:rPr>
          <w:iCs/>
        </w:rPr>
        <w:t xml:space="preserve"> </w:t>
      </w:r>
      <w:r w:rsidR="00043B5E">
        <w:rPr>
          <w:iCs/>
        </w:rPr>
        <w:t xml:space="preserve">it </w:t>
      </w:r>
      <w:r w:rsidR="00033A24">
        <w:rPr>
          <w:iCs/>
        </w:rPr>
        <w:t xml:space="preserve">would </w:t>
      </w:r>
      <w:r w:rsidR="00043B5E">
        <w:rPr>
          <w:iCs/>
        </w:rPr>
        <w:t xml:space="preserve">be willing to consider a </w:t>
      </w:r>
      <w:r w:rsidR="008A7965">
        <w:rPr>
          <w:iCs/>
        </w:rPr>
        <w:t xml:space="preserve">resubmission </w:t>
      </w:r>
      <w:r w:rsidR="003C22A5" w:rsidRPr="003C22A5">
        <w:rPr>
          <w:iCs/>
        </w:rPr>
        <w:t>if the applicant addresse</w:t>
      </w:r>
      <w:r w:rsidR="0013767C">
        <w:rPr>
          <w:iCs/>
        </w:rPr>
        <w:t>d</w:t>
      </w:r>
      <w:r w:rsidR="003C22A5" w:rsidRPr="003C22A5">
        <w:rPr>
          <w:iCs/>
        </w:rPr>
        <w:t xml:space="preserve"> the issues raised</w:t>
      </w:r>
      <w:r w:rsidR="003C22A5" w:rsidRPr="003C22A5" w:rsidDel="00CD3194">
        <w:rPr>
          <w:iCs/>
        </w:rPr>
        <w:t xml:space="preserve"> </w:t>
      </w:r>
      <w:r w:rsidR="003C0BC4" w:rsidRPr="008C4CBA">
        <w:t>during the evaluation of Application 178</w:t>
      </w:r>
      <w:r w:rsidR="0053000A" w:rsidRPr="008C4CBA">
        <w:t>5</w:t>
      </w:r>
      <w:r w:rsidR="003C0BC4" w:rsidRPr="008C4CBA">
        <w:t xml:space="preserve"> at the July 2025 MSAC meeting</w:t>
      </w:r>
      <w:r w:rsidR="001A52BC" w:rsidRPr="008C4CBA">
        <w:t>.</w:t>
      </w:r>
      <w:r w:rsidR="002B2673">
        <w:t xml:space="preserve"> </w:t>
      </w:r>
      <w:r w:rsidR="002B2673" w:rsidRPr="008C4CBA">
        <w:t>According to the applicant, th</w:t>
      </w:r>
      <w:r w:rsidR="002B2673">
        <w:t>e</w:t>
      </w:r>
      <w:r w:rsidR="002B2673" w:rsidRPr="008C4CBA">
        <w:t xml:space="preserve"> resubmitted </w:t>
      </w:r>
      <w:r w:rsidR="002B2673">
        <w:t>ADAR</w:t>
      </w:r>
      <w:r w:rsidR="002B2673" w:rsidRPr="008C4CBA">
        <w:t xml:space="preserve"> for Dexcom O</w:t>
      </w:r>
      <w:r w:rsidR="009910B5">
        <w:t>NE</w:t>
      </w:r>
      <w:r w:rsidR="002B2673" w:rsidRPr="008C4CBA">
        <w:t>+ addresses the</w:t>
      </w:r>
      <w:r w:rsidR="002B2673">
        <w:t>se</w:t>
      </w:r>
      <w:r w:rsidR="002B2673" w:rsidRPr="008C4CBA">
        <w:t xml:space="preserve"> key issues</w:t>
      </w:r>
      <w:r w:rsidR="002B2673">
        <w:t>.</w:t>
      </w:r>
    </w:p>
    <w:p w14:paraId="2C9F704D" w14:textId="0C5A8A07" w:rsidR="00756A0E" w:rsidRPr="008B56AE" w:rsidRDefault="00D9487A" w:rsidP="00F02237">
      <w:pPr>
        <w:sectPr w:rsidR="00756A0E" w:rsidRPr="008B56AE" w:rsidSect="00DC4F1B">
          <w:headerReference w:type="even" r:id="rId15"/>
          <w:headerReference w:type="default" r:id="rId16"/>
          <w:footerReference w:type="even" r:id="rId17"/>
          <w:footerReference w:type="default" r:id="rId18"/>
          <w:headerReference w:type="first" r:id="rId19"/>
          <w:footerReference w:type="first" r:id="rId20"/>
          <w:type w:val="oddPage"/>
          <w:pgSz w:w="11906" w:h="16838"/>
          <w:pgMar w:top="1440" w:right="1440" w:bottom="1701" w:left="1440" w:header="708" w:footer="708" w:gutter="0"/>
          <w:cols w:space="708"/>
          <w:docGrid w:linePitch="360"/>
        </w:sectPr>
      </w:pPr>
      <w:r>
        <w:fldChar w:fldCharType="begin"/>
      </w:r>
      <w:r>
        <w:instrText xml:space="preserve"> REF _Ref69480768 \h </w:instrText>
      </w:r>
      <w:r>
        <w:fldChar w:fldCharType="separate"/>
      </w:r>
      <w:r w:rsidR="0098516D" w:rsidRPr="005D6D16">
        <w:t>Table </w:t>
      </w:r>
      <w:r w:rsidR="0098516D">
        <w:rPr>
          <w:noProof/>
        </w:rPr>
        <w:t>1</w:t>
      </w:r>
      <w:r>
        <w:fldChar w:fldCharType="end"/>
      </w:r>
      <w:r>
        <w:t xml:space="preserve"> </w:t>
      </w:r>
      <w:r w:rsidR="0056338C">
        <w:t xml:space="preserve">outlines </w:t>
      </w:r>
      <w:r w:rsidR="00CE7924">
        <w:t xml:space="preserve">the </w:t>
      </w:r>
      <w:r w:rsidR="004C286D">
        <w:t>key uncertaint</w:t>
      </w:r>
      <w:r w:rsidR="00BF4DAA">
        <w:t>ies</w:t>
      </w:r>
      <w:r w:rsidR="00CE7924">
        <w:t xml:space="preserve"> raised by </w:t>
      </w:r>
      <w:r w:rsidR="00444A9A">
        <w:t xml:space="preserve">MSAC </w:t>
      </w:r>
      <w:r w:rsidR="000C601F">
        <w:t xml:space="preserve">for the original </w:t>
      </w:r>
      <w:r w:rsidR="00CE7924">
        <w:t xml:space="preserve">Dexcom </w:t>
      </w:r>
      <w:r w:rsidR="008536BB">
        <w:t xml:space="preserve">ONE+ </w:t>
      </w:r>
      <w:r w:rsidR="006B6622">
        <w:t>ADAR</w:t>
      </w:r>
      <w:r w:rsidR="00444A9A">
        <w:t xml:space="preserve">, </w:t>
      </w:r>
      <w:r w:rsidR="005967C7">
        <w:t xml:space="preserve">in addition to </w:t>
      </w:r>
      <w:r w:rsidR="00746F2B" w:rsidRPr="00746F2B">
        <w:t>MSAC</w:t>
      </w:r>
      <w:r w:rsidR="005967C7">
        <w:t>’</w:t>
      </w:r>
      <w:r w:rsidR="00746F2B" w:rsidRPr="00746F2B">
        <w:t>s proposed method to address these uncertainties</w:t>
      </w:r>
      <w:r w:rsidR="00746F2B">
        <w:t xml:space="preserve">, </w:t>
      </w:r>
      <w:r w:rsidR="008B56AE">
        <w:t>a</w:t>
      </w:r>
      <w:r w:rsidR="008536BB">
        <w:t xml:space="preserve">nd the </w:t>
      </w:r>
      <w:r w:rsidR="00263D12" w:rsidRPr="008C4CBA">
        <w:t xml:space="preserve">extent to which </w:t>
      </w:r>
      <w:r w:rsidR="005967C7">
        <w:t>they have</w:t>
      </w:r>
      <w:r w:rsidR="008B56AE">
        <w:t xml:space="preserve"> been addressed</w:t>
      </w:r>
      <w:r w:rsidR="00145C4A">
        <w:t xml:space="preserve"> in the current </w:t>
      </w:r>
      <w:r w:rsidR="00B457F3">
        <w:t>ADAR</w:t>
      </w:r>
      <w:r w:rsidR="008B56AE">
        <w:t>.</w:t>
      </w:r>
    </w:p>
    <w:p w14:paraId="6EC12EDF" w14:textId="7BFEC320" w:rsidR="0068682C" w:rsidRPr="00CE28E3" w:rsidRDefault="0068682C" w:rsidP="0068682C">
      <w:pPr>
        <w:pStyle w:val="Caption"/>
      </w:pPr>
      <w:bookmarkStart w:id="5" w:name="_Ref69480768"/>
      <w:bookmarkStart w:id="6" w:name="_Hlk69734557"/>
      <w:bookmarkEnd w:id="4"/>
      <w:r w:rsidRPr="005D6D16">
        <w:lastRenderedPageBreak/>
        <w:t>Table</w:t>
      </w:r>
      <w:r w:rsidR="004A4FDF" w:rsidRPr="005D6D16">
        <w:t> </w:t>
      </w:r>
      <w:r w:rsidR="004A4FDF" w:rsidRPr="00D50095">
        <w:fldChar w:fldCharType="begin"/>
      </w:r>
      <w:r w:rsidR="004A4FDF" w:rsidRPr="005D6D16">
        <w:instrText xml:space="preserve"> SEQ Table \* ARABIC </w:instrText>
      </w:r>
      <w:r w:rsidR="004A4FDF" w:rsidRPr="00D50095">
        <w:fldChar w:fldCharType="separate"/>
      </w:r>
      <w:r w:rsidR="0098516D">
        <w:rPr>
          <w:noProof/>
        </w:rPr>
        <w:t>1</w:t>
      </w:r>
      <w:r w:rsidR="004A4FDF" w:rsidRPr="00D50095">
        <w:fldChar w:fldCharType="end"/>
      </w:r>
      <w:bookmarkEnd w:id="5"/>
      <w:r w:rsidR="00BD2C50" w:rsidRPr="005D6D16">
        <w:t xml:space="preserve">: </w:t>
      </w:r>
      <w:r w:rsidRPr="005D6D16">
        <w:t xml:space="preserve">Summary of </w:t>
      </w:r>
      <w:r w:rsidR="00835FE5" w:rsidRPr="005D6D16">
        <w:t>MSA</w:t>
      </w:r>
      <w:r w:rsidR="007E3038" w:rsidRPr="005D6D16">
        <w:t>Cs</w:t>
      </w:r>
      <w:r w:rsidR="00440963" w:rsidRPr="005D6D16">
        <w:t xml:space="preserve"> </w:t>
      </w:r>
      <w:r w:rsidR="00C3663C" w:rsidRPr="005D6D16">
        <w:t>key uncertainties</w:t>
      </w:r>
      <w:r w:rsidR="00446CE3" w:rsidRPr="005D6D16">
        <w:t xml:space="preserve"> </w:t>
      </w:r>
      <w:r w:rsidR="007E3038" w:rsidRPr="005D6D16">
        <w:t xml:space="preserve">regarding </w:t>
      </w:r>
      <w:r w:rsidR="001148D2" w:rsidRPr="005D6D16">
        <w:t xml:space="preserve">the </w:t>
      </w:r>
      <w:r w:rsidR="007A4249" w:rsidRPr="005D6D16">
        <w:t xml:space="preserve">original </w:t>
      </w:r>
      <w:r w:rsidR="007E3038" w:rsidRPr="005D6D16">
        <w:t>applicatio</w:t>
      </w:r>
      <w:r w:rsidR="001148D2" w:rsidRPr="005D6D16">
        <w:t>n</w:t>
      </w:r>
      <w:r w:rsidR="00CB4FD9" w:rsidRPr="005D6D16">
        <w:t xml:space="preserve">, </w:t>
      </w:r>
      <w:r w:rsidR="001B3629" w:rsidRPr="005D6D16">
        <w:t xml:space="preserve">MSACs </w:t>
      </w:r>
      <w:r w:rsidR="00EF2041" w:rsidRPr="005D6D16">
        <w:t>propos</w:t>
      </w:r>
      <w:r w:rsidR="001B3629" w:rsidRPr="005D6D16">
        <w:t>ed method</w:t>
      </w:r>
      <w:r w:rsidR="00BB61E9" w:rsidRPr="005D6D16">
        <w:t xml:space="preserve"> </w:t>
      </w:r>
      <w:r w:rsidR="00CB0FBA" w:rsidRPr="005D6D16">
        <w:t>t</w:t>
      </w:r>
      <w:r w:rsidR="002A45AC" w:rsidRPr="005D6D16">
        <w:t xml:space="preserve">o address </w:t>
      </w:r>
      <w:r w:rsidR="001B3629" w:rsidRPr="005D6D16">
        <w:t>these uncertainties</w:t>
      </w:r>
      <w:r w:rsidR="00FE31B8" w:rsidRPr="005D6D16">
        <w:t xml:space="preserve">, </w:t>
      </w:r>
      <w:r w:rsidR="001148D2" w:rsidRPr="005D6D16">
        <w:t xml:space="preserve">and how </w:t>
      </w:r>
      <w:r w:rsidR="00FE31B8" w:rsidRPr="005D6D16">
        <w:t>the</w:t>
      </w:r>
      <w:r w:rsidR="001B5DFC" w:rsidRPr="005D6D16">
        <w:t xml:space="preserve"> </w:t>
      </w:r>
      <w:r w:rsidR="00C80B47">
        <w:t>res</w:t>
      </w:r>
      <w:r w:rsidR="0018671A">
        <w:t>u</w:t>
      </w:r>
      <w:r w:rsidR="00562066">
        <w:t>bmission</w:t>
      </w:r>
      <w:r w:rsidR="001B5DFC" w:rsidRPr="005D6D16">
        <w:t xml:space="preserve"> addressed the uncertainties </w:t>
      </w:r>
      <w:r w:rsidR="001B3629" w:rsidRPr="005D6D16">
        <w:t xml:space="preserve">of </w:t>
      </w:r>
      <w:r w:rsidR="001B5DFC" w:rsidRPr="005D6D16">
        <w:t>the original ADAR</w:t>
      </w:r>
      <w:r w:rsidR="003D230D">
        <w:t>, as identified by the commentary</w:t>
      </w:r>
      <w:r w:rsidR="00574A32" w:rsidRPr="005D6D16">
        <w:t xml:space="preserve"> </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6144"/>
        <w:gridCol w:w="5951"/>
      </w:tblGrid>
      <w:tr w:rsidR="009D30D3" w:rsidRPr="00CE28E3" w14:paraId="2BDCC27B" w14:textId="77777777" w:rsidTr="00A41C72">
        <w:tc>
          <w:tcPr>
            <w:tcW w:w="600" w:type="pct"/>
            <w:shd w:val="clear" w:color="auto" w:fill="E7E6E6" w:themeFill="background2"/>
          </w:tcPr>
          <w:p w14:paraId="58F6A808" w14:textId="77777777" w:rsidR="00F57885" w:rsidRPr="00CE28E3" w:rsidRDefault="00F57885" w:rsidP="00824458">
            <w:pPr>
              <w:pStyle w:val="In-tableHeading"/>
            </w:pPr>
            <w:bookmarkStart w:id="7" w:name="ColumnTitle_Table1"/>
            <w:bookmarkStart w:id="8" w:name="_Hlk68275590"/>
            <w:bookmarkEnd w:id="7"/>
            <w:r w:rsidRPr="00CE28E3">
              <w:t>Component</w:t>
            </w:r>
          </w:p>
        </w:tc>
        <w:tc>
          <w:tcPr>
            <w:tcW w:w="2235" w:type="pct"/>
            <w:shd w:val="clear" w:color="auto" w:fill="E7E6E6" w:themeFill="background2"/>
          </w:tcPr>
          <w:p w14:paraId="09992FB9" w14:textId="77777777" w:rsidR="00F57885" w:rsidRPr="00CE28E3" w:rsidRDefault="00F57885" w:rsidP="00824458">
            <w:pPr>
              <w:pStyle w:val="In-tableHeading"/>
            </w:pPr>
            <w:r w:rsidRPr="00CE28E3">
              <w:t>Matter of concern</w:t>
            </w:r>
          </w:p>
        </w:tc>
        <w:tc>
          <w:tcPr>
            <w:tcW w:w="2165" w:type="pct"/>
            <w:shd w:val="clear" w:color="auto" w:fill="E7E6E6" w:themeFill="background2"/>
          </w:tcPr>
          <w:p w14:paraId="54C88680" w14:textId="0417C114" w:rsidR="00F57885" w:rsidRPr="00CE28E3" w:rsidRDefault="00F57885" w:rsidP="00824458">
            <w:pPr>
              <w:pStyle w:val="In-tableHeading"/>
            </w:pPr>
            <w:r w:rsidRPr="00CE28E3">
              <w:t xml:space="preserve">How the current assessment report addresses </w:t>
            </w:r>
            <w:r w:rsidR="00B44234">
              <w:t>this concern</w:t>
            </w:r>
          </w:p>
        </w:tc>
      </w:tr>
      <w:tr w:rsidR="0082030B" w:rsidRPr="00CE28E3" w14:paraId="23F8230F" w14:textId="77777777" w:rsidTr="00662436">
        <w:tc>
          <w:tcPr>
            <w:tcW w:w="600" w:type="pct"/>
          </w:tcPr>
          <w:p w14:paraId="2A8E835C" w14:textId="34FEAA44" w:rsidR="002662B1" w:rsidRDefault="000C77AA" w:rsidP="00824458">
            <w:pPr>
              <w:pStyle w:val="TableText"/>
            </w:pPr>
            <w:r>
              <w:t>MCID</w:t>
            </w:r>
            <w:r w:rsidR="002662B1">
              <w:t xml:space="preserve"> </w:t>
            </w:r>
            <w:r w:rsidR="00A323BF">
              <w:t xml:space="preserve">for the primary outcome assessed, </w:t>
            </w:r>
            <w:r w:rsidR="00DB4AD5">
              <w:t>mean</w:t>
            </w:r>
            <w:r w:rsidR="00A323BF">
              <w:t xml:space="preserve"> change in</w:t>
            </w:r>
            <w:r w:rsidR="00DB4AD5">
              <w:t xml:space="preserve"> </w:t>
            </w:r>
            <w:r w:rsidR="002662B1">
              <w:t>HbA1c</w:t>
            </w:r>
            <w:r w:rsidR="00A323BF">
              <w:t xml:space="preserve"> concentration</w:t>
            </w:r>
            <w:r w:rsidR="002662B1">
              <w:t xml:space="preserve"> (</w:t>
            </w:r>
            <w:r w:rsidR="00D075D9">
              <w:t xml:space="preserve">%) </w:t>
            </w:r>
          </w:p>
        </w:tc>
        <w:tc>
          <w:tcPr>
            <w:tcW w:w="2235" w:type="pct"/>
          </w:tcPr>
          <w:p w14:paraId="38523B3C" w14:textId="75002627" w:rsidR="002662B1" w:rsidRDefault="005C5630" w:rsidP="00750FE7">
            <w:pPr>
              <w:jc w:val="both"/>
              <w:rPr>
                <w:rFonts w:ascii="Arial Narrow" w:hAnsi="Arial Narrow"/>
                <w:sz w:val="20"/>
              </w:rPr>
            </w:pPr>
            <w:r>
              <w:rPr>
                <w:rFonts w:ascii="Arial Narrow" w:hAnsi="Arial Narrow"/>
                <w:sz w:val="20"/>
              </w:rPr>
              <w:t>In the original ADAR, th</w:t>
            </w:r>
            <w:r w:rsidR="008B099B">
              <w:rPr>
                <w:rFonts w:ascii="Arial Narrow" w:hAnsi="Arial Narrow"/>
                <w:sz w:val="20"/>
              </w:rPr>
              <w:t xml:space="preserve">e applicant used </w:t>
            </w:r>
            <w:r w:rsidR="006060A2">
              <w:rPr>
                <w:rFonts w:ascii="Arial Narrow" w:hAnsi="Arial Narrow"/>
                <w:sz w:val="20"/>
              </w:rPr>
              <w:t>an MCID of 0.3% in the interpretation o</w:t>
            </w:r>
            <w:r>
              <w:rPr>
                <w:rFonts w:ascii="Arial Narrow" w:hAnsi="Arial Narrow"/>
                <w:sz w:val="20"/>
              </w:rPr>
              <w:t xml:space="preserve">f the </w:t>
            </w:r>
            <w:r w:rsidR="001F475F">
              <w:rPr>
                <w:rFonts w:ascii="Arial Narrow" w:hAnsi="Arial Narrow"/>
                <w:sz w:val="20"/>
              </w:rPr>
              <w:t xml:space="preserve">comparative effectiveness </w:t>
            </w:r>
            <w:r>
              <w:rPr>
                <w:rFonts w:ascii="Arial Narrow" w:hAnsi="Arial Narrow"/>
                <w:sz w:val="20"/>
              </w:rPr>
              <w:t>evidence for the primary outcome</w:t>
            </w:r>
            <w:r w:rsidR="005F0CE7">
              <w:rPr>
                <w:rFonts w:ascii="Arial Narrow" w:hAnsi="Arial Narrow"/>
                <w:sz w:val="20"/>
              </w:rPr>
              <w:t xml:space="preserve"> (</w:t>
            </w:r>
            <w:r w:rsidR="008F73CC">
              <w:rPr>
                <w:rFonts w:ascii="Arial Narrow" w:hAnsi="Arial Narrow"/>
                <w:sz w:val="20"/>
              </w:rPr>
              <w:t xml:space="preserve">mean change </w:t>
            </w:r>
            <w:r w:rsidR="001F475F">
              <w:rPr>
                <w:rFonts w:ascii="Arial Narrow" w:hAnsi="Arial Narrow"/>
                <w:sz w:val="20"/>
              </w:rPr>
              <w:t>in HbA1c concentration, %, from baseline</w:t>
            </w:r>
            <w:r w:rsidR="00492527">
              <w:rPr>
                <w:rFonts w:ascii="Arial Narrow" w:hAnsi="Arial Narrow"/>
                <w:sz w:val="20"/>
              </w:rPr>
              <w:t>)</w:t>
            </w:r>
            <w:r>
              <w:rPr>
                <w:rFonts w:ascii="Arial Narrow" w:hAnsi="Arial Narrow"/>
                <w:sz w:val="20"/>
              </w:rPr>
              <w:t>.</w:t>
            </w:r>
            <w:r w:rsidDel="00492527">
              <w:rPr>
                <w:rFonts w:ascii="Arial Narrow" w:hAnsi="Arial Narrow"/>
                <w:sz w:val="20"/>
              </w:rPr>
              <w:t xml:space="preserve"> </w:t>
            </w:r>
            <w:r w:rsidR="002E51BE" w:rsidRPr="002E51BE">
              <w:rPr>
                <w:rFonts w:ascii="Arial Narrow" w:hAnsi="Arial Narrow"/>
                <w:sz w:val="20"/>
              </w:rPr>
              <w:t xml:space="preserve">“MSAC agreed with ESC that the evidence base presented was not sufficient to accept a MCID of 0.3%” (1785 PSD, </w:t>
            </w:r>
            <w:r w:rsidR="009F5B5D">
              <w:rPr>
                <w:rFonts w:ascii="Arial Narrow" w:hAnsi="Arial Narrow"/>
                <w:sz w:val="20"/>
              </w:rPr>
              <w:t>p.</w:t>
            </w:r>
            <w:r w:rsidR="002E51BE" w:rsidRPr="002E51BE">
              <w:rPr>
                <w:rFonts w:ascii="Arial Narrow" w:hAnsi="Arial Narrow"/>
                <w:sz w:val="20"/>
              </w:rPr>
              <w:t xml:space="preserve"> 6)</w:t>
            </w:r>
            <w:r w:rsidR="004D1065">
              <w:rPr>
                <w:rFonts w:ascii="Arial Narrow" w:hAnsi="Arial Narrow"/>
                <w:sz w:val="20"/>
              </w:rPr>
              <w:t>”</w:t>
            </w:r>
            <w:r w:rsidR="002E51BE" w:rsidRPr="002E51BE">
              <w:rPr>
                <w:rFonts w:ascii="Arial Narrow" w:hAnsi="Arial Narrow"/>
                <w:sz w:val="20"/>
              </w:rPr>
              <w:t>, which was the MCID proposed by the applican</w:t>
            </w:r>
            <w:r w:rsidR="004D1065">
              <w:rPr>
                <w:rFonts w:ascii="Arial Narrow" w:hAnsi="Arial Narrow"/>
                <w:sz w:val="20"/>
              </w:rPr>
              <w:t>t</w:t>
            </w:r>
          </w:p>
        </w:tc>
        <w:tc>
          <w:tcPr>
            <w:tcW w:w="2165" w:type="pct"/>
          </w:tcPr>
          <w:p w14:paraId="1ED1D05A" w14:textId="77777777" w:rsidR="002662B1" w:rsidRDefault="00B056C6" w:rsidP="00824458">
            <w:pPr>
              <w:pStyle w:val="TableText"/>
              <w:rPr>
                <w:b/>
                <w:bCs/>
              </w:rPr>
            </w:pPr>
            <w:r>
              <w:rPr>
                <w:b/>
                <w:bCs/>
              </w:rPr>
              <w:t>Not adequately addressed</w:t>
            </w:r>
          </w:p>
          <w:p w14:paraId="45B74C55" w14:textId="292343F3" w:rsidR="00A436B8" w:rsidRPr="003B6EB1" w:rsidRDefault="00FF571C" w:rsidP="00BD61DB">
            <w:pPr>
              <w:pStyle w:val="TableText"/>
            </w:pPr>
            <w:r>
              <w:t xml:space="preserve">As in the original </w:t>
            </w:r>
            <w:r w:rsidR="00571A7C">
              <w:t>ADAR</w:t>
            </w:r>
            <w:r>
              <w:t xml:space="preserve">, </w:t>
            </w:r>
            <w:r w:rsidR="000239E5" w:rsidRPr="003B6EB1">
              <w:t>th</w:t>
            </w:r>
            <w:r w:rsidR="003B6EB1">
              <w:t>is</w:t>
            </w:r>
            <w:r w:rsidR="0075297E">
              <w:t xml:space="preserve"> ADAR</w:t>
            </w:r>
            <w:r w:rsidR="000239E5" w:rsidRPr="003B6EB1">
              <w:t xml:space="preserve"> resubmission</w:t>
            </w:r>
            <w:r w:rsidR="00A9605C">
              <w:t xml:space="preserve"> </w:t>
            </w:r>
            <w:r w:rsidR="00947221">
              <w:t xml:space="preserve">used </w:t>
            </w:r>
            <w:r w:rsidR="000F0C20">
              <w:t xml:space="preserve">an </w:t>
            </w:r>
            <w:r w:rsidR="003B6EB1">
              <w:t xml:space="preserve">MCID of </w:t>
            </w:r>
            <w:r w:rsidR="002B3178">
              <w:t xml:space="preserve">0.3% </w:t>
            </w:r>
            <w:r w:rsidR="007C03D5">
              <w:t xml:space="preserve">when interpreting </w:t>
            </w:r>
            <w:r w:rsidR="003E439D">
              <w:t>whether differences in HbA1</w:t>
            </w:r>
            <w:r w:rsidR="0061273E">
              <w:t xml:space="preserve">c concentration </w:t>
            </w:r>
            <w:r w:rsidR="00CB7BF0">
              <w:t xml:space="preserve">between </w:t>
            </w:r>
            <w:r w:rsidR="00774778">
              <w:t xml:space="preserve">the </w:t>
            </w:r>
            <w:r w:rsidR="00CB7BF0">
              <w:t>RT-CGM and SMBG</w:t>
            </w:r>
            <w:r w:rsidR="0061273E">
              <w:t xml:space="preserve"> </w:t>
            </w:r>
            <w:r w:rsidR="00CB7BF0">
              <w:t xml:space="preserve">subgroups </w:t>
            </w:r>
            <w:r w:rsidR="00904244">
              <w:t>imply clinically meaningful superiority</w:t>
            </w:r>
            <w:r w:rsidR="00AC7033">
              <w:t xml:space="preserve"> and presented no further justification </w:t>
            </w:r>
            <w:r w:rsidR="002D28CB">
              <w:t>for this alternative MCID</w:t>
            </w:r>
            <w:r w:rsidR="00904244">
              <w:t>.</w:t>
            </w:r>
            <w:r w:rsidR="00771FC1">
              <w:t xml:space="preserve"> </w:t>
            </w:r>
            <w:r w:rsidR="00554C5F">
              <w:t xml:space="preserve">Considering that </w:t>
            </w:r>
            <w:r w:rsidR="008727C6">
              <w:t xml:space="preserve">0.5% </w:t>
            </w:r>
            <w:r w:rsidR="00DC55B8">
              <w:t xml:space="preserve">remains </w:t>
            </w:r>
            <w:r w:rsidR="007C3CBA">
              <w:t xml:space="preserve">the </w:t>
            </w:r>
            <w:r w:rsidR="0098010D">
              <w:t>generally accep</w:t>
            </w:r>
            <w:r w:rsidR="00324EBF">
              <w:t>ted</w:t>
            </w:r>
            <w:r w:rsidR="00A11009">
              <w:t xml:space="preserve"> </w:t>
            </w:r>
            <w:r w:rsidR="009575E0">
              <w:t>magni</w:t>
            </w:r>
            <w:r w:rsidR="0010419B">
              <w:t xml:space="preserve">tude of difference </w:t>
            </w:r>
            <w:r w:rsidR="00571A7C">
              <w:t xml:space="preserve">to indicate a meaningful difference, this is problematic. </w:t>
            </w:r>
          </w:p>
        </w:tc>
      </w:tr>
      <w:tr w:rsidR="0082030B" w:rsidRPr="00CE28E3" w14:paraId="0D0A7682" w14:textId="77777777" w:rsidTr="00662436">
        <w:tc>
          <w:tcPr>
            <w:tcW w:w="600" w:type="pct"/>
          </w:tcPr>
          <w:p w14:paraId="4F1DA453" w14:textId="76815D08" w:rsidR="00F57885" w:rsidRPr="00CE28E3" w:rsidRDefault="00057967" w:rsidP="00824458">
            <w:pPr>
              <w:pStyle w:val="TableText"/>
            </w:pPr>
            <w:r>
              <w:t xml:space="preserve">Clinical evidence </w:t>
            </w:r>
            <w:r w:rsidR="00C45ECC">
              <w:t xml:space="preserve">assessment </w:t>
            </w:r>
            <w:r w:rsidR="007C7BC6">
              <w:t xml:space="preserve">- </w:t>
            </w:r>
            <w:r w:rsidR="00FA62A8">
              <w:t>Population</w:t>
            </w:r>
            <w:r w:rsidR="00B3586B">
              <w:t xml:space="preserve"> subgroup </w:t>
            </w:r>
            <w:r w:rsidR="00AD3520">
              <w:t>eligibility</w:t>
            </w:r>
            <w:r w:rsidR="004D45A6">
              <w:t xml:space="preserve"> </w:t>
            </w:r>
            <w:r w:rsidR="007179D4">
              <w:t>issues</w:t>
            </w:r>
          </w:p>
        </w:tc>
        <w:tc>
          <w:tcPr>
            <w:tcW w:w="2235" w:type="pct"/>
          </w:tcPr>
          <w:p w14:paraId="217A3696" w14:textId="4AE7B67F" w:rsidR="00C32B8C" w:rsidRDefault="008305D1" w:rsidP="00750FE7">
            <w:pPr>
              <w:jc w:val="both"/>
              <w:rPr>
                <w:rFonts w:ascii="Arial Narrow" w:hAnsi="Arial Narrow"/>
                <w:sz w:val="20"/>
              </w:rPr>
            </w:pPr>
            <w:r>
              <w:rPr>
                <w:rFonts w:ascii="Arial Narrow" w:hAnsi="Arial Narrow"/>
                <w:sz w:val="20"/>
              </w:rPr>
              <w:t>MSAC considered the</w:t>
            </w:r>
            <w:r w:rsidR="00E93EBC">
              <w:rPr>
                <w:rFonts w:ascii="Arial Narrow" w:hAnsi="Arial Narrow"/>
                <w:sz w:val="20"/>
              </w:rPr>
              <w:t xml:space="preserve"> population </w:t>
            </w:r>
            <w:r w:rsidR="00674C6D">
              <w:rPr>
                <w:rFonts w:ascii="Arial Narrow" w:hAnsi="Arial Narrow"/>
                <w:sz w:val="20"/>
              </w:rPr>
              <w:t xml:space="preserve">assessed and proposed for funding in the original ADAR 1785 as too broad. </w:t>
            </w:r>
            <w:r>
              <w:rPr>
                <w:rFonts w:ascii="Arial Narrow" w:hAnsi="Arial Narrow"/>
                <w:sz w:val="20"/>
              </w:rPr>
              <w:t xml:space="preserve">MSAC called for </w:t>
            </w:r>
            <w:r w:rsidR="00BF37F5">
              <w:rPr>
                <w:rFonts w:ascii="Arial Narrow" w:hAnsi="Arial Narrow"/>
                <w:sz w:val="20"/>
              </w:rPr>
              <w:t xml:space="preserve">any updated application to focus on </w:t>
            </w:r>
            <w:r>
              <w:rPr>
                <w:rFonts w:ascii="Arial Narrow" w:hAnsi="Arial Narrow"/>
                <w:sz w:val="20"/>
              </w:rPr>
              <w:t xml:space="preserve">subpopulations with higher </w:t>
            </w:r>
            <w:r w:rsidR="00924011">
              <w:rPr>
                <w:rFonts w:ascii="Arial Narrow" w:hAnsi="Arial Narrow"/>
                <w:sz w:val="20"/>
              </w:rPr>
              <w:t xml:space="preserve">clinical </w:t>
            </w:r>
            <w:r>
              <w:rPr>
                <w:rFonts w:ascii="Arial Narrow" w:hAnsi="Arial Narrow"/>
                <w:sz w:val="20"/>
              </w:rPr>
              <w:t>need</w:t>
            </w:r>
            <w:r w:rsidR="00BE39B1">
              <w:rPr>
                <w:rFonts w:ascii="Arial Narrow" w:hAnsi="Arial Narrow"/>
                <w:sz w:val="20"/>
              </w:rPr>
              <w:t>,</w:t>
            </w:r>
            <w:r>
              <w:rPr>
                <w:rFonts w:ascii="Arial Narrow" w:hAnsi="Arial Narrow"/>
                <w:sz w:val="20"/>
              </w:rPr>
              <w:t xml:space="preserve"> </w:t>
            </w:r>
            <w:r w:rsidR="00B201E8">
              <w:rPr>
                <w:rFonts w:ascii="Arial Narrow" w:hAnsi="Arial Narrow"/>
                <w:sz w:val="20"/>
              </w:rPr>
              <w:t>which we</w:t>
            </w:r>
            <w:r w:rsidR="001E243B">
              <w:rPr>
                <w:rFonts w:ascii="Arial Narrow" w:hAnsi="Arial Narrow"/>
                <w:sz w:val="20"/>
              </w:rPr>
              <w:t>re identified.</w:t>
            </w:r>
            <w:r w:rsidR="00AA0426">
              <w:rPr>
                <w:rFonts w:ascii="Arial Narrow" w:hAnsi="Arial Narrow"/>
                <w:sz w:val="20"/>
              </w:rPr>
              <w:t xml:space="preserve"> The following section of the PS</w:t>
            </w:r>
            <w:r w:rsidR="00FB22E8">
              <w:rPr>
                <w:rFonts w:ascii="Arial Narrow" w:hAnsi="Arial Narrow"/>
                <w:sz w:val="20"/>
              </w:rPr>
              <w:t xml:space="preserve">D </w:t>
            </w:r>
            <w:r w:rsidR="001F75AB">
              <w:rPr>
                <w:rFonts w:ascii="Arial Narrow" w:hAnsi="Arial Narrow"/>
                <w:sz w:val="20"/>
              </w:rPr>
              <w:t>relates</w:t>
            </w:r>
            <w:r w:rsidR="00FB22E8">
              <w:rPr>
                <w:rFonts w:ascii="Arial Narrow" w:hAnsi="Arial Narrow"/>
                <w:sz w:val="20"/>
              </w:rPr>
              <w:t xml:space="preserve"> this concern and directive</w:t>
            </w:r>
            <w:r w:rsidR="00EB6BEC">
              <w:rPr>
                <w:rFonts w:ascii="Arial Narrow" w:hAnsi="Arial Narrow"/>
                <w:sz w:val="20"/>
              </w:rPr>
              <w:t>:</w:t>
            </w:r>
          </w:p>
          <w:p w14:paraId="49F5CD05" w14:textId="085F8B1C" w:rsidR="00750FE7" w:rsidRDefault="00F055D4" w:rsidP="00750FE7">
            <w:pPr>
              <w:jc w:val="both"/>
              <w:rPr>
                <w:rFonts w:ascii="Arial Narrow" w:hAnsi="Arial Narrow"/>
                <w:sz w:val="20"/>
              </w:rPr>
            </w:pPr>
            <w:r>
              <w:rPr>
                <w:rFonts w:ascii="Arial Narrow" w:hAnsi="Arial Narrow"/>
                <w:sz w:val="20"/>
              </w:rPr>
              <w:t xml:space="preserve"> </w:t>
            </w:r>
            <w:r w:rsidR="00606C02">
              <w:rPr>
                <w:rFonts w:ascii="Arial Narrow" w:hAnsi="Arial Narrow"/>
                <w:sz w:val="20"/>
              </w:rPr>
              <w:t>“</w:t>
            </w:r>
            <w:r w:rsidR="00606C02" w:rsidRPr="00606C02">
              <w:rPr>
                <w:rFonts w:ascii="Arial Narrow" w:hAnsi="Arial Narrow"/>
                <w:sz w:val="20"/>
              </w:rPr>
              <w:t>MSAC considered that the proposed population was large, with variable clinical needs and anticipated benefits from CGM</w:t>
            </w:r>
            <w:r w:rsidR="007F3730">
              <w:rPr>
                <w:rFonts w:ascii="Arial Narrow" w:hAnsi="Arial Narrow"/>
                <w:sz w:val="20"/>
              </w:rPr>
              <w:t>..</w:t>
            </w:r>
            <w:r w:rsidR="00606C02" w:rsidRPr="00606C02">
              <w:rPr>
                <w:rFonts w:ascii="Arial Narrow" w:hAnsi="Arial Narrow"/>
                <w:sz w:val="20"/>
              </w:rPr>
              <w:t xml:space="preserve">. </w:t>
            </w:r>
            <w:r w:rsidR="001F05ED" w:rsidRPr="001F05ED">
              <w:rPr>
                <w:rFonts w:ascii="Arial Narrow" w:hAnsi="Arial Narrow"/>
                <w:sz w:val="20"/>
              </w:rPr>
              <w:t>considered that CGM may be more clinically effective and cost-effective for some of the subpopulations, including patients who use both long acting and short acting insulin, people using insulin with higher levels of glycated haemoglobin (e.g. &gt; 8%) as well as Aboriginal and Torres Strait Islander people</w:t>
            </w:r>
            <w:r w:rsidR="00750FE7">
              <w:rPr>
                <w:rFonts w:ascii="Arial Narrow" w:hAnsi="Arial Narrow"/>
                <w:sz w:val="20"/>
              </w:rPr>
              <w:t>…</w:t>
            </w:r>
            <w:r w:rsidR="00750FE7" w:rsidRPr="00750FE7">
              <w:rPr>
                <w:rFonts w:ascii="Arial Narrow" w:hAnsi="Arial Narrow"/>
                <w:sz w:val="20"/>
              </w:rPr>
              <w:t>MSAC advised that a resubmission should present a revised</w:t>
            </w:r>
            <w:r w:rsidR="0088115D">
              <w:rPr>
                <w:rFonts w:ascii="Arial Narrow" w:hAnsi="Arial Narrow"/>
                <w:sz w:val="20"/>
              </w:rPr>
              <w:t>…</w:t>
            </w:r>
            <w:r w:rsidR="00750FE7" w:rsidRPr="00750FE7">
              <w:rPr>
                <w:rFonts w:ascii="Arial Narrow" w:hAnsi="Arial Narrow"/>
                <w:sz w:val="20"/>
              </w:rPr>
              <w:t xml:space="preserve"> evaluation focussed on the populations with a higher clinical need</w:t>
            </w:r>
            <w:r w:rsidR="004B3D3A">
              <w:rPr>
                <w:rFonts w:ascii="Arial Narrow" w:hAnsi="Arial Narrow"/>
                <w:sz w:val="20"/>
              </w:rPr>
              <w:t>”</w:t>
            </w:r>
            <w:r w:rsidR="00C94707">
              <w:rPr>
                <w:rFonts w:ascii="Arial Narrow" w:hAnsi="Arial Narrow"/>
                <w:sz w:val="20"/>
              </w:rPr>
              <w:t>.</w:t>
            </w:r>
            <w:r w:rsidR="00750FE7" w:rsidRPr="00750FE7">
              <w:rPr>
                <w:rFonts w:ascii="Arial Narrow" w:hAnsi="Arial Narrow"/>
                <w:sz w:val="20"/>
              </w:rPr>
              <w:t xml:space="preserve"> </w:t>
            </w:r>
            <w:r w:rsidR="00406A19">
              <w:rPr>
                <w:rFonts w:ascii="Arial Narrow" w:hAnsi="Arial Narrow"/>
                <w:sz w:val="20"/>
              </w:rPr>
              <w:t>(</w:t>
            </w:r>
            <w:r w:rsidR="00E709FB" w:rsidRPr="00E709FB">
              <w:rPr>
                <w:rFonts w:ascii="Arial Narrow" w:hAnsi="Arial Narrow"/>
                <w:sz w:val="20"/>
              </w:rPr>
              <w:t>1785</w:t>
            </w:r>
            <w:r w:rsidR="00E709FB">
              <w:rPr>
                <w:rFonts w:ascii="Arial Narrow" w:hAnsi="Arial Narrow"/>
                <w:sz w:val="20"/>
              </w:rPr>
              <w:t xml:space="preserve"> </w:t>
            </w:r>
            <w:r w:rsidR="0076133D">
              <w:rPr>
                <w:rFonts w:ascii="Arial Narrow" w:hAnsi="Arial Narrow"/>
                <w:sz w:val="20"/>
              </w:rPr>
              <w:t>PSD</w:t>
            </w:r>
            <w:r w:rsidR="00527FAC">
              <w:rPr>
                <w:rFonts w:ascii="Arial Narrow" w:hAnsi="Arial Narrow"/>
                <w:sz w:val="20"/>
              </w:rPr>
              <w:t xml:space="preserve">, </w:t>
            </w:r>
            <w:r w:rsidR="00C718FC">
              <w:rPr>
                <w:rFonts w:ascii="Arial Narrow" w:hAnsi="Arial Narrow"/>
                <w:sz w:val="20"/>
              </w:rPr>
              <w:t xml:space="preserve">MSAC’s </w:t>
            </w:r>
            <w:r w:rsidR="009655AB">
              <w:rPr>
                <w:rFonts w:ascii="Arial Narrow" w:hAnsi="Arial Narrow"/>
                <w:sz w:val="20"/>
              </w:rPr>
              <w:t xml:space="preserve">advice to </w:t>
            </w:r>
            <w:r w:rsidR="008761C3">
              <w:rPr>
                <w:rFonts w:ascii="Arial Narrow" w:hAnsi="Arial Narrow"/>
                <w:sz w:val="20"/>
              </w:rPr>
              <w:t>the Minister</w:t>
            </w:r>
            <w:r w:rsidR="00C718FC">
              <w:rPr>
                <w:rFonts w:ascii="Arial Narrow" w:hAnsi="Arial Narrow"/>
                <w:sz w:val="20"/>
              </w:rPr>
              <w:t xml:space="preserve">, </w:t>
            </w:r>
            <w:r w:rsidR="009F5B5D">
              <w:rPr>
                <w:rFonts w:ascii="Arial Narrow" w:hAnsi="Arial Narrow"/>
                <w:sz w:val="20"/>
              </w:rPr>
              <w:t>p.</w:t>
            </w:r>
            <w:r w:rsidR="00C718FC">
              <w:rPr>
                <w:rFonts w:ascii="Arial Narrow" w:hAnsi="Arial Narrow"/>
                <w:sz w:val="20"/>
              </w:rPr>
              <w:t xml:space="preserve"> </w:t>
            </w:r>
            <w:r w:rsidR="008761C3">
              <w:rPr>
                <w:rFonts w:ascii="Arial Narrow" w:hAnsi="Arial Narrow"/>
                <w:sz w:val="20"/>
              </w:rPr>
              <w:t>1</w:t>
            </w:r>
            <w:r w:rsidR="00406A19">
              <w:rPr>
                <w:rFonts w:ascii="Arial Narrow" w:hAnsi="Arial Narrow"/>
                <w:sz w:val="20"/>
              </w:rPr>
              <w:t>)</w:t>
            </w:r>
          </w:p>
          <w:p w14:paraId="4C4D396E" w14:textId="06BE3744" w:rsidR="00025823" w:rsidRDefault="004B3D3A" w:rsidP="00750FE7">
            <w:pPr>
              <w:jc w:val="both"/>
              <w:rPr>
                <w:rFonts w:ascii="Arial Narrow" w:hAnsi="Arial Narrow"/>
                <w:sz w:val="20"/>
              </w:rPr>
            </w:pPr>
            <w:r>
              <w:rPr>
                <w:rFonts w:ascii="Arial Narrow" w:hAnsi="Arial Narrow"/>
                <w:sz w:val="20"/>
              </w:rPr>
              <w:t>“</w:t>
            </w:r>
            <w:r w:rsidR="00025823" w:rsidRPr="00025823">
              <w:rPr>
                <w:rFonts w:ascii="Arial Narrow" w:hAnsi="Arial Narrow"/>
                <w:sz w:val="20"/>
              </w:rPr>
              <w:t>MSAC considered that CGM could be particularly beneficial for some groups of people with type 2 diabetes and at certain times. Such groups could include First Nations people, who may particularly benefit from this intervention and for whom finger prick testing may not be culturally appropriate; people who have a disability that increases the burden of finger prick testing on carers or on themselves; and people with baseline HbA1c levels over 8%.</w:t>
            </w:r>
            <w:r>
              <w:rPr>
                <w:rFonts w:ascii="Arial Narrow" w:hAnsi="Arial Narrow"/>
                <w:sz w:val="20"/>
              </w:rPr>
              <w:t xml:space="preserve">” </w:t>
            </w:r>
            <w:r w:rsidR="00406A19">
              <w:rPr>
                <w:rFonts w:ascii="Arial Narrow" w:hAnsi="Arial Narrow"/>
                <w:sz w:val="20"/>
              </w:rPr>
              <w:t>(</w:t>
            </w:r>
            <w:r w:rsidR="00E709FB" w:rsidRPr="00E709FB">
              <w:rPr>
                <w:rFonts w:ascii="Arial Narrow" w:hAnsi="Arial Narrow"/>
                <w:sz w:val="20"/>
              </w:rPr>
              <w:t>1785</w:t>
            </w:r>
            <w:r w:rsidR="00E709FB">
              <w:rPr>
                <w:rFonts w:ascii="Arial Narrow" w:hAnsi="Arial Narrow"/>
                <w:sz w:val="20"/>
              </w:rPr>
              <w:t xml:space="preserve"> </w:t>
            </w:r>
            <w:r>
              <w:rPr>
                <w:rFonts w:ascii="Arial Narrow" w:hAnsi="Arial Narrow"/>
                <w:sz w:val="20"/>
              </w:rPr>
              <w:t xml:space="preserve">PSD, Consumer Summary, </w:t>
            </w:r>
            <w:r w:rsidR="009F5B5D">
              <w:rPr>
                <w:rFonts w:ascii="Arial Narrow" w:hAnsi="Arial Narrow"/>
                <w:sz w:val="20"/>
              </w:rPr>
              <w:t>p.</w:t>
            </w:r>
            <w:r>
              <w:rPr>
                <w:rFonts w:ascii="Arial Narrow" w:hAnsi="Arial Narrow"/>
                <w:sz w:val="20"/>
              </w:rPr>
              <w:t xml:space="preserve"> 3</w:t>
            </w:r>
            <w:r w:rsidR="00406A19">
              <w:rPr>
                <w:rFonts w:ascii="Arial Narrow" w:hAnsi="Arial Narrow"/>
                <w:sz w:val="20"/>
              </w:rPr>
              <w:t>)</w:t>
            </w:r>
          </w:p>
          <w:p w14:paraId="7C9EB356" w14:textId="64BC888C" w:rsidR="00C43DC0" w:rsidRDefault="00AD3520" w:rsidP="00750FE7">
            <w:pPr>
              <w:jc w:val="both"/>
              <w:rPr>
                <w:rFonts w:ascii="Arial Narrow" w:hAnsi="Arial Narrow"/>
                <w:sz w:val="20"/>
              </w:rPr>
            </w:pPr>
            <w:r>
              <w:rPr>
                <w:rFonts w:ascii="Arial Narrow" w:hAnsi="Arial Narrow"/>
                <w:sz w:val="20"/>
              </w:rPr>
              <w:t>“</w:t>
            </w:r>
            <w:r w:rsidR="00C43DC0" w:rsidRPr="00C43DC0">
              <w:rPr>
                <w:rFonts w:ascii="Arial Narrow" w:hAnsi="Arial Narrow"/>
                <w:sz w:val="20"/>
              </w:rPr>
              <w:t>MSAC considered that alternative thresholds for baseline HbA1c to determine eligibility for CGM should be considered, to more appropriately capture the group of people for whom CGM would provide the most benefit.” (</w:t>
            </w:r>
            <w:r w:rsidR="00E709FB" w:rsidRPr="00E709FB">
              <w:rPr>
                <w:rFonts w:ascii="Arial Narrow" w:hAnsi="Arial Narrow"/>
                <w:sz w:val="20"/>
              </w:rPr>
              <w:t xml:space="preserve">1785 </w:t>
            </w:r>
            <w:r w:rsidR="00C43DC0" w:rsidRPr="00C43DC0">
              <w:rPr>
                <w:rFonts w:ascii="Arial Narrow" w:hAnsi="Arial Narrow"/>
                <w:sz w:val="20"/>
              </w:rPr>
              <w:t xml:space="preserve">PSD, </w:t>
            </w:r>
            <w:r w:rsidR="009F5B5D">
              <w:rPr>
                <w:rFonts w:ascii="Arial Narrow" w:hAnsi="Arial Narrow"/>
                <w:sz w:val="20"/>
              </w:rPr>
              <w:t>p.</w:t>
            </w:r>
            <w:r w:rsidR="00C43DC0" w:rsidRPr="00C43DC0">
              <w:rPr>
                <w:rFonts w:ascii="Arial Narrow" w:hAnsi="Arial Narrow"/>
                <w:sz w:val="20"/>
              </w:rPr>
              <w:t xml:space="preserve"> 4)</w:t>
            </w:r>
          </w:p>
          <w:p w14:paraId="4E4628D3" w14:textId="3353ADE8" w:rsidR="007A135C" w:rsidRPr="0058789A" w:rsidRDefault="00DD4EA9" w:rsidP="00BA6233">
            <w:pPr>
              <w:jc w:val="both"/>
              <w:rPr>
                <w:rFonts w:ascii="Arial Narrow" w:hAnsi="Arial Narrow"/>
                <w:sz w:val="20"/>
              </w:rPr>
            </w:pPr>
            <w:r>
              <w:rPr>
                <w:rFonts w:ascii="Arial Narrow" w:hAnsi="Arial Narrow"/>
                <w:sz w:val="20"/>
              </w:rPr>
              <w:lastRenderedPageBreak/>
              <w:t xml:space="preserve">The highest </w:t>
            </w:r>
            <w:r w:rsidR="00A1258B">
              <w:rPr>
                <w:rFonts w:ascii="Arial Narrow" w:hAnsi="Arial Narrow"/>
                <w:sz w:val="20"/>
              </w:rPr>
              <w:t>priority</w:t>
            </w:r>
            <w:r>
              <w:rPr>
                <w:rFonts w:ascii="Arial Narrow" w:hAnsi="Arial Narrow"/>
                <w:sz w:val="20"/>
              </w:rPr>
              <w:t xml:space="preserve"> </w:t>
            </w:r>
            <w:r w:rsidR="00A1258B">
              <w:rPr>
                <w:rFonts w:ascii="Arial Narrow" w:hAnsi="Arial Narrow"/>
                <w:sz w:val="20"/>
              </w:rPr>
              <w:t>sub</w:t>
            </w:r>
            <w:r>
              <w:rPr>
                <w:rFonts w:ascii="Arial Narrow" w:hAnsi="Arial Narrow"/>
                <w:sz w:val="20"/>
              </w:rPr>
              <w:t>groups flagged</w:t>
            </w:r>
            <w:r w:rsidR="00A1258B">
              <w:rPr>
                <w:rFonts w:ascii="Arial Narrow" w:hAnsi="Arial Narrow"/>
                <w:sz w:val="20"/>
              </w:rPr>
              <w:t xml:space="preserve"> by </w:t>
            </w:r>
            <w:r w:rsidR="001A2637">
              <w:rPr>
                <w:rFonts w:ascii="Arial Narrow" w:hAnsi="Arial Narrow"/>
                <w:sz w:val="20"/>
              </w:rPr>
              <w:t xml:space="preserve">MSAC </w:t>
            </w:r>
            <w:r w:rsidR="00D35060">
              <w:rPr>
                <w:rFonts w:ascii="Arial Narrow" w:hAnsi="Arial Narrow"/>
                <w:sz w:val="20"/>
              </w:rPr>
              <w:t xml:space="preserve">for </w:t>
            </w:r>
            <w:r w:rsidR="00A1258B">
              <w:rPr>
                <w:rFonts w:ascii="Arial Narrow" w:hAnsi="Arial Narrow"/>
                <w:sz w:val="20"/>
              </w:rPr>
              <w:t xml:space="preserve">funding consideration and </w:t>
            </w:r>
            <w:r w:rsidR="00214359">
              <w:rPr>
                <w:rFonts w:ascii="Arial Narrow" w:hAnsi="Arial Narrow"/>
                <w:sz w:val="20"/>
              </w:rPr>
              <w:t xml:space="preserve">assessment in </w:t>
            </w:r>
            <w:r w:rsidR="00D65A46">
              <w:rPr>
                <w:rFonts w:ascii="Arial Narrow" w:hAnsi="Arial Narrow"/>
                <w:sz w:val="20"/>
              </w:rPr>
              <w:t xml:space="preserve">the updated </w:t>
            </w:r>
            <w:r w:rsidR="00A1258B">
              <w:rPr>
                <w:rFonts w:ascii="Arial Narrow" w:hAnsi="Arial Narrow"/>
                <w:sz w:val="20"/>
              </w:rPr>
              <w:t xml:space="preserve">ADAR </w:t>
            </w:r>
            <w:r w:rsidR="00214359">
              <w:rPr>
                <w:rFonts w:ascii="Arial Narrow" w:hAnsi="Arial Narrow"/>
                <w:sz w:val="20"/>
              </w:rPr>
              <w:t xml:space="preserve">1785 </w:t>
            </w:r>
            <w:r w:rsidR="00A1258B">
              <w:rPr>
                <w:rFonts w:ascii="Arial Narrow" w:hAnsi="Arial Narrow"/>
                <w:sz w:val="20"/>
              </w:rPr>
              <w:t xml:space="preserve">were: </w:t>
            </w:r>
            <w:r w:rsidR="00D746FE">
              <w:rPr>
                <w:rFonts w:ascii="Arial Narrow" w:hAnsi="Arial Narrow"/>
                <w:sz w:val="20"/>
              </w:rPr>
              <w:t xml:space="preserve">1) </w:t>
            </w:r>
            <w:r w:rsidR="008305D1" w:rsidRPr="007F1708">
              <w:rPr>
                <w:rFonts w:ascii="Arial Narrow" w:hAnsi="Arial Narrow"/>
                <w:sz w:val="20"/>
              </w:rPr>
              <w:t>“</w:t>
            </w:r>
            <w:r w:rsidR="00D65A46">
              <w:rPr>
                <w:rFonts w:ascii="Arial Narrow" w:hAnsi="Arial Narrow"/>
                <w:sz w:val="20"/>
              </w:rPr>
              <w:t>P</w:t>
            </w:r>
            <w:r w:rsidR="00D55B0D" w:rsidRPr="00D55B0D">
              <w:rPr>
                <w:rFonts w:ascii="Arial Narrow" w:hAnsi="Arial Narrow"/>
                <w:sz w:val="20"/>
              </w:rPr>
              <w:t>eople using insulin with higher baseline levels of glycated haemoglobin (e.g. &gt;8% and &gt;9%)</w:t>
            </w:r>
            <w:r w:rsidR="00732970">
              <w:rPr>
                <w:rFonts w:ascii="Arial Narrow" w:hAnsi="Arial Narrow"/>
                <w:sz w:val="20"/>
              </w:rPr>
              <w:t xml:space="preserve">; </w:t>
            </w:r>
            <w:r w:rsidR="00F86412">
              <w:rPr>
                <w:rFonts w:ascii="Arial Narrow" w:hAnsi="Arial Narrow"/>
                <w:sz w:val="20"/>
              </w:rPr>
              <w:t>2)</w:t>
            </w:r>
            <w:r w:rsidR="00732970">
              <w:rPr>
                <w:rFonts w:ascii="Arial Narrow" w:hAnsi="Arial Narrow"/>
                <w:sz w:val="20"/>
              </w:rPr>
              <w:t xml:space="preserve"> </w:t>
            </w:r>
            <w:r w:rsidR="00D55B0D" w:rsidRPr="00D55B0D">
              <w:rPr>
                <w:rFonts w:ascii="Arial Narrow" w:hAnsi="Arial Narrow"/>
                <w:sz w:val="20"/>
              </w:rPr>
              <w:t>First Nations people (e.g. with baseline HbA1c &gt;7%)</w:t>
            </w:r>
            <w:r w:rsidR="00732970">
              <w:rPr>
                <w:rFonts w:ascii="Arial Narrow" w:hAnsi="Arial Narrow"/>
                <w:sz w:val="20"/>
              </w:rPr>
              <w:t xml:space="preserve">; </w:t>
            </w:r>
            <w:r w:rsidR="00F86412">
              <w:rPr>
                <w:rFonts w:ascii="Arial Narrow" w:hAnsi="Arial Narrow"/>
                <w:sz w:val="20"/>
              </w:rPr>
              <w:t xml:space="preserve">3) </w:t>
            </w:r>
            <w:r w:rsidR="00094BEE">
              <w:rPr>
                <w:rFonts w:ascii="Arial Narrow" w:hAnsi="Arial Narrow"/>
                <w:sz w:val="20"/>
              </w:rPr>
              <w:t>P</w:t>
            </w:r>
            <w:r w:rsidR="00D55B0D" w:rsidRPr="00D55B0D">
              <w:rPr>
                <w:rFonts w:ascii="Arial Narrow" w:hAnsi="Arial Narrow"/>
                <w:sz w:val="20"/>
              </w:rPr>
              <w:t>eople who use both long acting and short acting insulin</w:t>
            </w:r>
            <w:r w:rsidR="00F86412">
              <w:rPr>
                <w:rFonts w:ascii="Arial Narrow" w:hAnsi="Arial Narrow"/>
                <w:sz w:val="20"/>
              </w:rPr>
              <w:t xml:space="preserve">; 4) </w:t>
            </w:r>
            <w:r w:rsidR="00D65A46">
              <w:rPr>
                <w:rFonts w:ascii="Arial Narrow" w:hAnsi="Arial Narrow"/>
                <w:sz w:val="20"/>
              </w:rPr>
              <w:t>P</w:t>
            </w:r>
            <w:r w:rsidR="00D55B0D" w:rsidRPr="00D55B0D">
              <w:rPr>
                <w:rFonts w:ascii="Arial Narrow" w:hAnsi="Arial Narrow"/>
                <w:sz w:val="20"/>
              </w:rPr>
              <w:t>eople with disability (including mental health issues and neurodivergence) for which checking BGLs creates a high burden on the individual and/or carer”</w:t>
            </w:r>
            <w:r w:rsidR="0000540F">
              <w:rPr>
                <w:rFonts w:ascii="Arial Narrow" w:hAnsi="Arial Narrow"/>
                <w:sz w:val="20"/>
              </w:rPr>
              <w:t>.</w:t>
            </w:r>
            <w:r w:rsidR="00D55B0D" w:rsidRPr="00D55B0D">
              <w:rPr>
                <w:rFonts w:ascii="Arial Narrow" w:hAnsi="Arial Narrow"/>
                <w:sz w:val="20"/>
              </w:rPr>
              <w:t xml:space="preserve"> </w:t>
            </w:r>
            <w:r w:rsidR="00406A19">
              <w:rPr>
                <w:rFonts w:ascii="Arial Narrow" w:hAnsi="Arial Narrow"/>
                <w:sz w:val="20"/>
              </w:rPr>
              <w:t>(</w:t>
            </w:r>
            <w:r w:rsidR="00E709FB" w:rsidRPr="00E709FB">
              <w:rPr>
                <w:rFonts w:ascii="Arial Narrow" w:hAnsi="Arial Narrow"/>
                <w:sz w:val="20"/>
              </w:rPr>
              <w:t>1785</w:t>
            </w:r>
            <w:r w:rsidR="00E709FB">
              <w:t xml:space="preserve"> </w:t>
            </w:r>
            <w:r w:rsidR="00CF769B">
              <w:rPr>
                <w:rFonts w:ascii="Arial Narrow" w:hAnsi="Arial Narrow"/>
                <w:sz w:val="20"/>
              </w:rPr>
              <w:t xml:space="preserve">PSD </w:t>
            </w:r>
            <w:r w:rsidR="009F5B5D">
              <w:rPr>
                <w:rFonts w:ascii="Arial Narrow" w:hAnsi="Arial Narrow"/>
                <w:sz w:val="20"/>
              </w:rPr>
              <w:t>p.</w:t>
            </w:r>
            <w:r w:rsidR="00D65A46">
              <w:rPr>
                <w:rFonts w:ascii="Arial Narrow" w:hAnsi="Arial Narrow"/>
                <w:sz w:val="20"/>
              </w:rPr>
              <w:t xml:space="preserve"> </w:t>
            </w:r>
            <w:r w:rsidR="00CF769B">
              <w:rPr>
                <w:rFonts w:ascii="Arial Narrow" w:hAnsi="Arial Narrow"/>
                <w:sz w:val="20"/>
              </w:rPr>
              <w:t>9</w:t>
            </w:r>
            <w:r w:rsidR="00406A19">
              <w:rPr>
                <w:rFonts w:ascii="Arial Narrow" w:hAnsi="Arial Narrow"/>
                <w:sz w:val="20"/>
              </w:rPr>
              <w:t>)</w:t>
            </w:r>
            <w:r w:rsidR="00FD4EA6">
              <w:t xml:space="preserve"> </w:t>
            </w:r>
          </w:p>
          <w:p w14:paraId="3F35F478" w14:textId="0CA3C7BD" w:rsidR="00FD4EA6" w:rsidRPr="001050D6" w:rsidRDefault="001F75AB" w:rsidP="001050D6">
            <w:pPr>
              <w:spacing w:beforeLines="20" w:before="48" w:afterLines="20" w:after="48"/>
              <w:contextualSpacing/>
              <w:rPr>
                <w:rFonts w:ascii="Arial Narrow" w:hAnsi="Arial Narrow"/>
                <w:sz w:val="20"/>
              </w:rPr>
            </w:pPr>
            <w:r>
              <w:rPr>
                <w:rFonts w:ascii="Arial Narrow" w:hAnsi="Arial Narrow"/>
                <w:sz w:val="20"/>
              </w:rPr>
              <w:t>Othe</w:t>
            </w:r>
            <w:r w:rsidR="00A16254">
              <w:rPr>
                <w:rFonts w:ascii="Arial Narrow" w:hAnsi="Arial Narrow"/>
                <w:sz w:val="20"/>
              </w:rPr>
              <w:t>r</w:t>
            </w:r>
            <w:r>
              <w:rPr>
                <w:rFonts w:ascii="Arial Narrow" w:hAnsi="Arial Narrow"/>
                <w:sz w:val="20"/>
              </w:rPr>
              <w:t xml:space="preserve"> important </w:t>
            </w:r>
            <w:r w:rsidR="008305D1" w:rsidRPr="00FD4EA6">
              <w:rPr>
                <w:rFonts w:ascii="Arial Narrow" w:hAnsi="Arial Narrow"/>
                <w:sz w:val="20"/>
              </w:rPr>
              <w:t>groups</w:t>
            </w:r>
            <w:r w:rsidR="008305D1">
              <w:rPr>
                <w:rFonts w:ascii="Arial Narrow" w:hAnsi="Arial Narrow"/>
                <w:sz w:val="20"/>
              </w:rPr>
              <w:t xml:space="preserve"> </w:t>
            </w:r>
            <w:r w:rsidR="00FD4EA6" w:rsidRPr="00FD4EA6">
              <w:rPr>
                <w:rFonts w:ascii="Arial Narrow" w:hAnsi="Arial Narrow"/>
                <w:sz w:val="20"/>
              </w:rPr>
              <w:t>MSAC</w:t>
            </w:r>
            <w:r w:rsidR="00B762B5">
              <w:rPr>
                <w:rFonts w:ascii="Arial Narrow" w:hAnsi="Arial Narrow"/>
                <w:sz w:val="20"/>
              </w:rPr>
              <w:t xml:space="preserve"> highlighted as </w:t>
            </w:r>
            <w:r w:rsidR="00C66928">
              <w:rPr>
                <w:rFonts w:ascii="Arial Narrow" w:hAnsi="Arial Narrow"/>
                <w:sz w:val="20"/>
              </w:rPr>
              <w:t xml:space="preserve">those who </w:t>
            </w:r>
            <w:r w:rsidR="00FD4EA6" w:rsidRPr="00FD4EA6">
              <w:rPr>
                <w:rFonts w:ascii="Arial Narrow" w:hAnsi="Arial Narrow"/>
                <w:sz w:val="20"/>
              </w:rPr>
              <w:t>may benefit from short-term or intermittent CGM</w:t>
            </w:r>
            <w:r w:rsidR="00C66928">
              <w:rPr>
                <w:rFonts w:ascii="Arial Narrow" w:hAnsi="Arial Narrow"/>
                <w:sz w:val="20"/>
              </w:rPr>
              <w:t xml:space="preserve"> were</w:t>
            </w:r>
            <w:r w:rsidR="00FD4EA6" w:rsidRPr="00FD4EA6">
              <w:rPr>
                <w:rFonts w:ascii="Arial Narrow" w:hAnsi="Arial Narrow"/>
                <w:sz w:val="20"/>
              </w:rPr>
              <w:t>:</w:t>
            </w:r>
            <w:r w:rsidR="001050D6">
              <w:rPr>
                <w:rFonts w:ascii="Arial Narrow" w:hAnsi="Arial Narrow"/>
                <w:sz w:val="20"/>
              </w:rPr>
              <w:t xml:space="preserve"> </w:t>
            </w:r>
            <w:r w:rsidR="00D30600">
              <w:rPr>
                <w:rFonts w:ascii="Arial Narrow" w:hAnsi="Arial Narrow"/>
                <w:sz w:val="20"/>
              </w:rPr>
              <w:t>“</w:t>
            </w:r>
            <w:r w:rsidR="00B50961">
              <w:rPr>
                <w:rFonts w:ascii="Arial Narrow" w:hAnsi="Arial Narrow"/>
                <w:sz w:val="20"/>
              </w:rPr>
              <w:t>P</w:t>
            </w:r>
            <w:r w:rsidR="00FD4EA6" w:rsidRPr="00FD4EA6">
              <w:rPr>
                <w:rFonts w:ascii="Arial Narrow" w:hAnsi="Arial Narrow"/>
                <w:sz w:val="20"/>
              </w:rPr>
              <w:t>eople with intercurrent illness that affects blood glucose management and requires additional short-term monitoring of blood glucose levels</w:t>
            </w:r>
            <w:r w:rsidR="001050D6">
              <w:rPr>
                <w:rFonts w:ascii="Arial Narrow" w:hAnsi="Arial Narrow"/>
                <w:sz w:val="20"/>
              </w:rPr>
              <w:t xml:space="preserve">; </w:t>
            </w:r>
            <w:r w:rsidR="00B50961">
              <w:rPr>
                <w:rFonts w:ascii="Arial Narrow" w:hAnsi="Arial Narrow"/>
                <w:sz w:val="20"/>
              </w:rPr>
              <w:t>P</w:t>
            </w:r>
            <w:r w:rsidR="00FD4EA6" w:rsidRPr="00FD4EA6">
              <w:rPr>
                <w:rFonts w:ascii="Arial Narrow" w:hAnsi="Arial Narrow"/>
                <w:sz w:val="20"/>
              </w:rPr>
              <w:t>eople who are pregnant and have type 2 diabetes or gestational diabetes, as high glucose levels during pregnancy can lead to abnormal development and later health problems for the child</w:t>
            </w:r>
            <w:r w:rsidR="001050D6">
              <w:rPr>
                <w:rFonts w:ascii="Arial Narrow" w:hAnsi="Arial Narrow"/>
                <w:sz w:val="20"/>
              </w:rPr>
              <w:t xml:space="preserve">; </w:t>
            </w:r>
            <w:r w:rsidR="00B50961">
              <w:rPr>
                <w:rFonts w:ascii="Arial Narrow" w:hAnsi="Arial Narrow"/>
                <w:sz w:val="20"/>
              </w:rPr>
              <w:t>P</w:t>
            </w:r>
            <w:r w:rsidR="00FD4EA6" w:rsidRPr="00FD4EA6">
              <w:rPr>
                <w:rFonts w:ascii="Arial Narrow" w:hAnsi="Arial Narrow"/>
                <w:sz w:val="20"/>
              </w:rPr>
              <w:t>eople who are starting insulin therapy and require frequent BGL measurements</w:t>
            </w:r>
            <w:r w:rsidR="001050D6">
              <w:rPr>
                <w:rFonts w:ascii="Arial Narrow" w:hAnsi="Arial Narrow"/>
                <w:sz w:val="20"/>
              </w:rPr>
              <w:t xml:space="preserve">; </w:t>
            </w:r>
            <w:r w:rsidR="00D30600">
              <w:rPr>
                <w:rFonts w:ascii="Arial Narrow" w:hAnsi="Arial Narrow"/>
                <w:sz w:val="20"/>
              </w:rPr>
              <w:t>People in s</w:t>
            </w:r>
            <w:r w:rsidR="00FD4EA6" w:rsidRPr="00FD4EA6">
              <w:rPr>
                <w:rFonts w:ascii="Arial Narrow" w:hAnsi="Arial Narrow"/>
                <w:sz w:val="20"/>
              </w:rPr>
              <w:t>ituations in which nocturnal hypoglycaemic events are suspected.</w:t>
            </w:r>
            <w:r w:rsidR="00D30600">
              <w:rPr>
                <w:rFonts w:ascii="Arial Narrow" w:hAnsi="Arial Narrow"/>
                <w:sz w:val="20"/>
              </w:rPr>
              <w:t>”</w:t>
            </w:r>
            <w:r w:rsidR="001520F8">
              <w:rPr>
                <w:rFonts w:ascii="Arial Narrow" w:hAnsi="Arial Narrow"/>
                <w:sz w:val="20"/>
              </w:rPr>
              <w:t xml:space="preserve"> (</w:t>
            </w:r>
            <w:r w:rsidR="00E709FB" w:rsidRPr="00E709FB">
              <w:rPr>
                <w:rFonts w:ascii="Arial Narrow" w:hAnsi="Arial Narrow"/>
                <w:sz w:val="20"/>
              </w:rPr>
              <w:t>1785</w:t>
            </w:r>
            <w:r w:rsidR="00E709FB">
              <w:t xml:space="preserve"> </w:t>
            </w:r>
            <w:r w:rsidR="001520F8">
              <w:rPr>
                <w:rFonts w:ascii="Arial Narrow" w:hAnsi="Arial Narrow"/>
                <w:sz w:val="20"/>
              </w:rPr>
              <w:t xml:space="preserve">PSD, </w:t>
            </w:r>
            <w:r w:rsidR="003A5744">
              <w:rPr>
                <w:rFonts w:ascii="Arial Narrow" w:hAnsi="Arial Narrow"/>
                <w:sz w:val="20"/>
              </w:rPr>
              <w:t xml:space="preserve">Section 3, </w:t>
            </w:r>
            <w:r w:rsidR="009F5B5D">
              <w:rPr>
                <w:rFonts w:ascii="Arial Narrow" w:hAnsi="Arial Narrow"/>
                <w:sz w:val="20"/>
              </w:rPr>
              <w:t>p.</w:t>
            </w:r>
            <w:r w:rsidR="003A5744">
              <w:rPr>
                <w:rFonts w:ascii="Arial Narrow" w:hAnsi="Arial Narrow"/>
                <w:sz w:val="20"/>
              </w:rPr>
              <w:t xml:space="preserve"> 10)</w:t>
            </w:r>
          </w:p>
        </w:tc>
        <w:tc>
          <w:tcPr>
            <w:tcW w:w="2165" w:type="pct"/>
          </w:tcPr>
          <w:p w14:paraId="00A5F77D" w14:textId="2C89E775" w:rsidR="007C6F03" w:rsidRDefault="00CB7F46" w:rsidP="00824458">
            <w:pPr>
              <w:pStyle w:val="TableText"/>
            </w:pPr>
            <w:r>
              <w:rPr>
                <w:b/>
                <w:bCs/>
              </w:rPr>
              <w:lastRenderedPageBreak/>
              <w:t>Partially</w:t>
            </w:r>
            <w:r w:rsidR="00F57885" w:rsidRPr="00CD73C0">
              <w:rPr>
                <w:b/>
                <w:bCs/>
              </w:rPr>
              <w:t xml:space="preserve"> addressed</w:t>
            </w:r>
          </w:p>
          <w:p w14:paraId="117C0A72" w14:textId="413C7E51" w:rsidR="00F115E8" w:rsidRDefault="00B90A75" w:rsidP="00824458">
            <w:pPr>
              <w:pStyle w:val="TableText"/>
            </w:pPr>
            <w:r w:rsidDel="008134CD">
              <w:t>T</w:t>
            </w:r>
            <w:r w:rsidR="008F6CCB" w:rsidDel="008134CD">
              <w:t>wo of the s</w:t>
            </w:r>
            <w:r w:rsidR="00CB169D">
              <w:t>u</w:t>
            </w:r>
            <w:r w:rsidR="00C66141">
              <w:t>b</w:t>
            </w:r>
            <w:r>
              <w:t xml:space="preserve">populations </w:t>
            </w:r>
            <w:r w:rsidR="00F56165">
              <w:t xml:space="preserve">with high clinical need </w:t>
            </w:r>
            <w:r>
              <w:t>proposed</w:t>
            </w:r>
            <w:r w:rsidR="00537FB5">
              <w:t xml:space="preserve"> by MSAC</w:t>
            </w:r>
            <w:r w:rsidR="004D7A16">
              <w:t xml:space="preserve"> for investigation</w:t>
            </w:r>
            <w:r>
              <w:t xml:space="preserve"> are evaluated</w:t>
            </w:r>
            <w:r w:rsidR="00E17175" w:rsidDel="008B253A">
              <w:t>:</w:t>
            </w:r>
            <w:r w:rsidR="008B253A" w:rsidDel="008B253A">
              <w:t xml:space="preserve"> </w:t>
            </w:r>
            <w:r w:rsidR="0079002A" w:rsidRPr="0079002A" w:rsidDel="008B253A">
              <w:t>p</w:t>
            </w:r>
            <w:r w:rsidR="0079002A" w:rsidRPr="0079002A">
              <w:t>eople with T2D on IIT with HbA1c &gt;7%; and people with T2D diabetes on basal insulin only with HbA1c levels of &gt;8% or &gt;9%.</w:t>
            </w:r>
            <w:r w:rsidR="00E12F8E">
              <w:t xml:space="preserve"> </w:t>
            </w:r>
          </w:p>
          <w:p w14:paraId="1D9D81EF" w14:textId="77777777" w:rsidR="00F115E8" w:rsidRDefault="00F115E8" w:rsidP="00824458">
            <w:pPr>
              <w:pStyle w:val="TableText"/>
            </w:pPr>
          </w:p>
          <w:p w14:paraId="0AD18317" w14:textId="1F2B0816" w:rsidR="00660E72" w:rsidRDefault="009A1946" w:rsidP="00824458">
            <w:pPr>
              <w:pStyle w:val="TableText"/>
            </w:pPr>
            <w:r>
              <w:t>F</w:t>
            </w:r>
            <w:r w:rsidR="002C5688">
              <w:t xml:space="preserve">or the </w:t>
            </w:r>
            <w:r w:rsidR="00A776E5">
              <w:t xml:space="preserve">basal insulin only </w:t>
            </w:r>
            <w:r w:rsidR="002E1A71">
              <w:t>(</w:t>
            </w:r>
            <w:r w:rsidR="002C5688">
              <w:t>non-IIT</w:t>
            </w:r>
            <w:r w:rsidR="002E1A71">
              <w:t>)</w:t>
            </w:r>
            <w:r w:rsidR="002C5688">
              <w:t xml:space="preserve"> </w:t>
            </w:r>
            <w:r w:rsidR="00495FE7">
              <w:t>population, HbA</w:t>
            </w:r>
            <w:r w:rsidR="00560A41">
              <w:t xml:space="preserve">1c </w:t>
            </w:r>
            <w:r w:rsidR="00250E8C">
              <w:t xml:space="preserve">baseline level subgroups </w:t>
            </w:r>
            <w:r w:rsidR="00660E72">
              <w:t xml:space="preserve">are </w:t>
            </w:r>
            <w:r>
              <w:t xml:space="preserve">also </w:t>
            </w:r>
            <w:r w:rsidR="00660E72">
              <w:t xml:space="preserve">evaluated. </w:t>
            </w:r>
          </w:p>
          <w:p w14:paraId="20ED4DC6" w14:textId="77777777" w:rsidR="00660E72" w:rsidRDefault="00660E72" w:rsidP="00824458">
            <w:pPr>
              <w:pStyle w:val="TableText"/>
            </w:pPr>
          </w:p>
          <w:p w14:paraId="7497C356" w14:textId="38D7A9C0" w:rsidR="00CC4EC6" w:rsidRPr="002C5FA3" w:rsidRDefault="005A1DA3" w:rsidP="00824458">
            <w:pPr>
              <w:pStyle w:val="TableText"/>
            </w:pPr>
            <w:r>
              <w:t>T</w:t>
            </w:r>
            <w:r w:rsidR="009C00D0">
              <w:t>he ADAR resubmission</w:t>
            </w:r>
            <w:r w:rsidR="00D4683D">
              <w:t xml:space="preserve"> </w:t>
            </w:r>
            <w:r w:rsidR="00D4683D" w:rsidDel="00C762B0">
              <w:t xml:space="preserve">did not </w:t>
            </w:r>
            <w:r w:rsidR="00D4683D">
              <w:t xml:space="preserve">provide </w:t>
            </w:r>
            <w:r w:rsidR="00D4683D" w:rsidDel="00C762B0">
              <w:t xml:space="preserve">evidence for or </w:t>
            </w:r>
            <w:r w:rsidR="00D4683D">
              <w:t>an explanation</w:t>
            </w:r>
            <w:r w:rsidR="009C00D0">
              <w:t xml:space="preserve"> </w:t>
            </w:r>
            <w:r w:rsidR="00FC5FF1">
              <w:t>as</w:t>
            </w:r>
            <w:r w:rsidR="009C00D0">
              <w:t xml:space="preserve"> </w:t>
            </w:r>
            <w:r w:rsidR="00207FAC">
              <w:t>to</w:t>
            </w:r>
            <w:r w:rsidR="009C00D0">
              <w:t xml:space="preserve"> </w:t>
            </w:r>
            <w:r w:rsidR="007353FC">
              <w:t xml:space="preserve">why </w:t>
            </w:r>
            <w:r w:rsidR="007353FC" w:rsidDel="00C762B0">
              <w:t xml:space="preserve">other </w:t>
            </w:r>
            <w:r w:rsidR="00EA0A70">
              <w:t xml:space="preserve">subpopulations proposed by MSAC </w:t>
            </w:r>
            <w:r w:rsidR="009A1946" w:rsidDel="00A55C78">
              <w:t>we</w:t>
            </w:r>
            <w:r w:rsidR="00EA0A70" w:rsidDel="00A55C78">
              <w:t xml:space="preserve">re </w:t>
            </w:r>
            <w:r w:rsidR="00EA0A70">
              <w:t xml:space="preserve">not evaluated. </w:t>
            </w:r>
          </w:p>
          <w:p w14:paraId="13F08427" w14:textId="5AF33268" w:rsidR="00F57885" w:rsidRPr="00CE28E3" w:rsidRDefault="00F57885" w:rsidP="00824458">
            <w:pPr>
              <w:pStyle w:val="TableText"/>
            </w:pPr>
          </w:p>
        </w:tc>
      </w:tr>
      <w:tr w:rsidR="0082030B" w:rsidRPr="00CE28E3" w14:paraId="4C3B6A2C" w14:textId="77777777" w:rsidTr="00662436">
        <w:tc>
          <w:tcPr>
            <w:tcW w:w="600" w:type="pct"/>
          </w:tcPr>
          <w:p w14:paraId="3ADC1FC4" w14:textId="046F05EE" w:rsidR="00F57885" w:rsidRPr="00CE28E3" w:rsidRDefault="002F7B7B" w:rsidP="00824458">
            <w:pPr>
              <w:pStyle w:val="TableText"/>
            </w:pPr>
            <w:r>
              <w:t xml:space="preserve">Clinical </w:t>
            </w:r>
            <w:r w:rsidR="005A7028">
              <w:t xml:space="preserve">evidence assessment </w:t>
            </w:r>
            <w:r w:rsidR="008773A6">
              <w:t>–</w:t>
            </w:r>
            <w:r w:rsidR="005A7028">
              <w:t xml:space="preserve"> O</w:t>
            </w:r>
            <w:r w:rsidR="008305D1">
              <w:t>utcome</w:t>
            </w:r>
            <w:r w:rsidR="008773A6">
              <w:t xml:space="preserve"> scope</w:t>
            </w:r>
            <w:r w:rsidR="002B0620">
              <w:t xml:space="preserve"> of the evidence analysed </w:t>
            </w:r>
            <w:r w:rsidR="00746D48">
              <w:t>too narrow</w:t>
            </w:r>
            <w:r w:rsidR="002B0620">
              <w:t xml:space="preserve"> </w:t>
            </w:r>
          </w:p>
        </w:tc>
        <w:tc>
          <w:tcPr>
            <w:tcW w:w="2235" w:type="pct"/>
          </w:tcPr>
          <w:p w14:paraId="46EFF052" w14:textId="12C26BEA" w:rsidR="002A5426" w:rsidRDefault="00B14B3D" w:rsidP="00FA3834">
            <w:pPr>
              <w:pStyle w:val="TableText"/>
            </w:pPr>
            <w:r>
              <w:t xml:space="preserve">MSAC </w:t>
            </w:r>
            <w:r w:rsidR="009303F2">
              <w:t xml:space="preserve">pointed the applicant towards </w:t>
            </w:r>
            <w:r w:rsidR="00C36487">
              <w:t xml:space="preserve">presenting additional results </w:t>
            </w:r>
            <w:r w:rsidR="00467498">
              <w:t xml:space="preserve">for </w:t>
            </w:r>
            <w:r w:rsidR="009E1C84">
              <w:t xml:space="preserve">the </w:t>
            </w:r>
            <w:r w:rsidR="00887EB3">
              <w:t xml:space="preserve">glycated haemoglobin (HbA1c) </w:t>
            </w:r>
            <w:r w:rsidR="008305D1">
              <w:t xml:space="preserve">outcome and </w:t>
            </w:r>
            <w:r w:rsidR="002F3353">
              <w:t>direct</w:t>
            </w:r>
            <w:r w:rsidR="00887EB3">
              <w:t xml:space="preserve"> patient</w:t>
            </w:r>
            <w:r w:rsidR="000170B4">
              <w:t>-relevant</w:t>
            </w:r>
            <w:r w:rsidR="00887EB3">
              <w:t xml:space="preserve"> </w:t>
            </w:r>
            <w:r w:rsidR="00F50955">
              <w:t xml:space="preserve">outcomes </w:t>
            </w:r>
            <w:r w:rsidR="003E27AE">
              <w:t xml:space="preserve">to </w:t>
            </w:r>
            <w:r w:rsidR="006444AA">
              <w:t xml:space="preserve">build a stronger </w:t>
            </w:r>
            <w:r w:rsidR="00D0588B">
              <w:t xml:space="preserve">clinical case for </w:t>
            </w:r>
            <w:r w:rsidR="00021843">
              <w:t xml:space="preserve">NDSS subsidisation of </w:t>
            </w:r>
            <w:r w:rsidR="001911B6">
              <w:t>the Dexcom ONE+</w:t>
            </w:r>
            <w:r w:rsidR="00021843">
              <w:t xml:space="preserve"> </w:t>
            </w:r>
            <w:r w:rsidR="00366239">
              <w:t>CGM</w:t>
            </w:r>
            <w:r w:rsidR="005431A6">
              <w:t xml:space="preserve">. </w:t>
            </w:r>
            <w:r w:rsidR="00EF4E04">
              <w:t xml:space="preserve">The following </w:t>
            </w:r>
            <w:r w:rsidR="00B673F6">
              <w:t>sections of the PSD are</w:t>
            </w:r>
            <w:r w:rsidR="00EF4E04">
              <w:t xml:space="preserve"> </w:t>
            </w:r>
            <w:r w:rsidR="002A5426">
              <w:t>illustrative</w:t>
            </w:r>
            <w:r w:rsidR="000170B4">
              <w:t>:</w:t>
            </w:r>
          </w:p>
          <w:p w14:paraId="278B7C30" w14:textId="77777777" w:rsidR="00B44234" w:rsidRDefault="00B44234" w:rsidP="00FA3834">
            <w:pPr>
              <w:pStyle w:val="TableText"/>
            </w:pPr>
          </w:p>
          <w:p w14:paraId="0F4B81B9" w14:textId="0A63466B" w:rsidR="005A2F1E" w:rsidRPr="002F3353" w:rsidRDefault="00927C79" w:rsidP="00FA3834">
            <w:pPr>
              <w:pStyle w:val="TableText"/>
            </w:pPr>
            <w:r>
              <w:t xml:space="preserve">“MSAC considered that </w:t>
            </w:r>
            <w:r w:rsidR="00425D26">
              <w:t xml:space="preserve">the </w:t>
            </w:r>
            <w:r>
              <w:t xml:space="preserve">clinical claim </w:t>
            </w:r>
            <w:r w:rsidR="00E06700">
              <w:t xml:space="preserve">…using </w:t>
            </w:r>
            <w:r w:rsidR="000C2699">
              <w:t>glycated haemoglobin (HbA1c) was not fully supported</w:t>
            </w:r>
            <w:r w:rsidR="006B5533">
              <w:t>…</w:t>
            </w:r>
            <w:r w:rsidR="0064355E">
              <w:t>However, M</w:t>
            </w:r>
            <w:r w:rsidR="003F2AE2">
              <w:t xml:space="preserve">SAC considered that </w:t>
            </w:r>
            <w:r w:rsidR="00C07C60">
              <w:t xml:space="preserve">CGM </w:t>
            </w:r>
            <w:r w:rsidR="00404294">
              <w:t>may have</w:t>
            </w:r>
            <w:r w:rsidR="00C07C60">
              <w:t xml:space="preserve"> other benefits for </w:t>
            </w:r>
            <w:r w:rsidR="00C6344D">
              <w:t xml:space="preserve">patients and T2D diabetes management. </w:t>
            </w:r>
            <w:r w:rsidR="003B783D">
              <w:t>This includes empowering patients to manage their T2D and ma</w:t>
            </w:r>
            <w:r w:rsidR="00EF5574">
              <w:t>nage blood sugar levels during times of acu</w:t>
            </w:r>
            <w:r w:rsidR="00CE70EE">
              <w:t>te illness. MSAC considered CGM could improve quality of life</w:t>
            </w:r>
            <w:r w:rsidR="00ED5B74">
              <w:t>”</w:t>
            </w:r>
            <w:r w:rsidR="0000540F">
              <w:t>.</w:t>
            </w:r>
            <w:r w:rsidR="00ED5B74">
              <w:t xml:space="preserve"> (</w:t>
            </w:r>
            <w:r w:rsidR="00E709FB" w:rsidRPr="00302E12">
              <w:t>1785</w:t>
            </w:r>
            <w:r w:rsidR="00E709FB">
              <w:t xml:space="preserve"> </w:t>
            </w:r>
            <w:r w:rsidR="00ED5B74">
              <w:t>P</w:t>
            </w:r>
            <w:r w:rsidR="001C3B81">
              <w:t>SD</w:t>
            </w:r>
            <w:r w:rsidR="00ED5B74">
              <w:t xml:space="preserve">, </w:t>
            </w:r>
            <w:r w:rsidR="009F5B5D">
              <w:t>p.</w:t>
            </w:r>
            <w:r w:rsidR="00ED5B74">
              <w:t xml:space="preserve"> 1)</w:t>
            </w:r>
          </w:p>
          <w:p w14:paraId="18E120D2" w14:textId="0C2BB93A" w:rsidR="0047716D" w:rsidRPr="00D33A8C" w:rsidDel="00736AD3" w:rsidRDefault="0047716D" w:rsidP="00FA3834">
            <w:pPr>
              <w:pStyle w:val="TableText"/>
            </w:pPr>
            <w:r w:rsidRPr="00D33A8C" w:rsidDel="00736AD3">
              <w:t>MSAC’s advice to the minister stated that the trial</w:t>
            </w:r>
            <w:r w:rsidR="003B4C5A" w:rsidDel="00736AD3">
              <w:t>s</w:t>
            </w:r>
            <w:r w:rsidRPr="00D33A8C" w:rsidDel="00736AD3">
              <w:t xml:space="preserve"> presented in the ADAR “were relatively small, short term, and did not report end-organ outcomes”</w:t>
            </w:r>
            <w:r w:rsidR="00033692" w:rsidRPr="00D33A8C" w:rsidDel="00736AD3">
              <w:t xml:space="preserve"> (1785 PSD, </w:t>
            </w:r>
            <w:r w:rsidR="009F5B5D" w:rsidDel="00736AD3">
              <w:t>p.</w:t>
            </w:r>
            <w:r w:rsidR="00033692" w:rsidRPr="00D33A8C" w:rsidDel="00736AD3">
              <w:t xml:space="preserve"> 1)</w:t>
            </w:r>
          </w:p>
          <w:p w14:paraId="29BB6916" w14:textId="0D72FD4A" w:rsidR="005A2F1E" w:rsidRPr="000247C3" w:rsidRDefault="005A2F1E" w:rsidP="00736AD3">
            <w:pPr>
              <w:pStyle w:val="TableText"/>
              <w:rPr>
                <w:rFonts w:eastAsia="Times New Roman" w:cs="Arial"/>
                <w:snapToGrid w:val="0"/>
                <w:color w:val="258221"/>
                <w:szCs w:val="20"/>
              </w:rPr>
            </w:pPr>
          </w:p>
        </w:tc>
        <w:tc>
          <w:tcPr>
            <w:tcW w:w="2165" w:type="pct"/>
          </w:tcPr>
          <w:p w14:paraId="6B93D178" w14:textId="449F10E6" w:rsidR="00C6398C" w:rsidRPr="00812EA6" w:rsidRDefault="00471EE8" w:rsidP="00FA3834">
            <w:pPr>
              <w:pStyle w:val="TableText"/>
              <w:rPr>
                <w:rFonts w:eastAsia="Times New Roman" w:cs="Arial"/>
                <w:b/>
                <w:snapToGrid w:val="0"/>
                <w:szCs w:val="20"/>
                <w:lang w:val="en-GB"/>
              </w:rPr>
            </w:pPr>
            <w:r>
              <w:rPr>
                <w:rFonts w:eastAsia="Times New Roman" w:cs="Arial"/>
                <w:b/>
                <w:snapToGrid w:val="0"/>
                <w:szCs w:val="20"/>
                <w:lang w:val="en-GB"/>
              </w:rPr>
              <w:t>Partially</w:t>
            </w:r>
            <w:r w:rsidR="008F0BEE" w:rsidRPr="00812EA6">
              <w:rPr>
                <w:rFonts w:eastAsia="Times New Roman" w:cs="Arial"/>
                <w:b/>
                <w:snapToGrid w:val="0"/>
                <w:szCs w:val="20"/>
                <w:lang w:val="en-GB"/>
              </w:rPr>
              <w:t xml:space="preserve"> </w:t>
            </w:r>
            <w:r w:rsidR="00EC2336" w:rsidRPr="00812EA6">
              <w:rPr>
                <w:rFonts w:eastAsia="Times New Roman" w:cs="Arial"/>
                <w:b/>
                <w:snapToGrid w:val="0"/>
                <w:szCs w:val="20"/>
                <w:lang w:val="en-GB"/>
              </w:rPr>
              <w:t>addressed</w:t>
            </w:r>
          </w:p>
          <w:p w14:paraId="15BB4464" w14:textId="67F0ECAC" w:rsidR="00B6630D" w:rsidRPr="00CE28E3" w:rsidRDefault="000C1765" w:rsidP="00824458">
            <w:pPr>
              <w:pStyle w:val="TableText"/>
              <w:rPr>
                <w:rFonts w:eastAsia="Times New Roman" w:cs="Arial"/>
                <w:bCs/>
                <w:snapToGrid w:val="0"/>
                <w:szCs w:val="20"/>
              </w:rPr>
            </w:pPr>
            <w:r w:rsidDel="00087ACB">
              <w:rPr>
                <w:rFonts w:eastAsia="Times New Roman" w:cs="Arial"/>
                <w:bCs/>
                <w:snapToGrid w:val="0"/>
                <w:szCs w:val="20"/>
              </w:rPr>
              <w:t xml:space="preserve">Difference in mean change </w:t>
            </w:r>
            <w:r w:rsidR="00551F81" w:rsidDel="00087ACB">
              <w:rPr>
                <w:rFonts w:eastAsia="Times New Roman" w:cs="Arial"/>
                <w:bCs/>
                <w:snapToGrid w:val="0"/>
                <w:szCs w:val="20"/>
              </w:rPr>
              <w:t>in</w:t>
            </w:r>
            <w:r w:rsidR="009A1946" w:rsidDel="00087ACB">
              <w:rPr>
                <w:rFonts w:eastAsia="Times New Roman" w:cs="Arial"/>
                <w:bCs/>
                <w:snapToGrid w:val="0"/>
                <w:szCs w:val="20"/>
              </w:rPr>
              <w:t xml:space="preserve"> %</w:t>
            </w:r>
            <w:r w:rsidR="00551F81" w:rsidDel="00087ACB">
              <w:rPr>
                <w:rFonts w:eastAsia="Times New Roman" w:cs="Arial"/>
                <w:bCs/>
                <w:snapToGrid w:val="0"/>
                <w:szCs w:val="20"/>
              </w:rPr>
              <w:t xml:space="preserve">HbA1c outcomes </w:t>
            </w:r>
            <w:r w:rsidR="00C11621" w:rsidDel="00087ACB">
              <w:rPr>
                <w:rFonts w:eastAsia="Times New Roman" w:cs="Arial"/>
                <w:bCs/>
                <w:snapToGrid w:val="0"/>
                <w:szCs w:val="20"/>
              </w:rPr>
              <w:t>comprise</w:t>
            </w:r>
            <w:r w:rsidR="00551F81" w:rsidDel="00087ACB">
              <w:rPr>
                <w:rFonts w:eastAsia="Times New Roman" w:cs="Arial"/>
                <w:bCs/>
                <w:snapToGrid w:val="0"/>
                <w:szCs w:val="20"/>
              </w:rPr>
              <w:t xml:space="preserve"> the primary evidence </w:t>
            </w:r>
            <w:r w:rsidR="00C11621" w:rsidDel="00087ACB">
              <w:rPr>
                <w:rFonts w:eastAsia="Times New Roman" w:cs="Arial"/>
                <w:bCs/>
                <w:snapToGrid w:val="0"/>
                <w:szCs w:val="20"/>
              </w:rPr>
              <w:t>base for the</w:t>
            </w:r>
            <w:r w:rsidR="00551F81" w:rsidDel="00087ACB">
              <w:rPr>
                <w:rFonts w:eastAsia="Times New Roman" w:cs="Arial"/>
                <w:bCs/>
                <w:snapToGrid w:val="0"/>
                <w:szCs w:val="20"/>
              </w:rPr>
              <w:t xml:space="preserve"> comparative effectiveness</w:t>
            </w:r>
            <w:r w:rsidR="00C11621" w:rsidDel="00087ACB">
              <w:rPr>
                <w:rFonts w:eastAsia="Times New Roman" w:cs="Arial"/>
                <w:bCs/>
                <w:snapToGrid w:val="0"/>
                <w:szCs w:val="20"/>
              </w:rPr>
              <w:t xml:space="preserve"> assessment</w:t>
            </w:r>
            <w:r w:rsidR="00605458" w:rsidDel="00087ACB">
              <w:rPr>
                <w:rFonts w:eastAsia="Times New Roman" w:cs="Arial"/>
                <w:bCs/>
                <w:snapToGrid w:val="0"/>
                <w:szCs w:val="20"/>
              </w:rPr>
              <w:t>.</w:t>
            </w:r>
            <w:r w:rsidR="009A1946" w:rsidDel="00087ACB">
              <w:rPr>
                <w:rFonts w:eastAsia="Times New Roman" w:cs="Arial"/>
                <w:bCs/>
                <w:snapToGrid w:val="0"/>
                <w:szCs w:val="20"/>
              </w:rPr>
              <w:t xml:space="preserve"> </w:t>
            </w:r>
            <w:r w:rsidR="00373E63" w:rsidDel="00087ACB">
              <w:rPr>
                <w:rFonts w:eastAsia="Times New Roman" w:cs="Arial"/>
                <w:bCs/>
                <w:snapToGrid w:val="0"/>
                <w:szCs w:val="20"/>
              </w:rPr>
              <w:t xml:space="preserve">However, </w:t>
            </w:r>
            <w:r w:rsidR="00214AAF" w:rsidDel="00087ACB">
              <w:rPr>
                <w:rFonts w:eastAsia="Times New Roman" w:cs="Arial"/>
                <w:bCs/>
                <w:snapToGrid w:val="0"/>
                <w:szCs w:val="20"/>
              </w:rPr>
              <w:t>the applicant did</w:t>
            </w:r>
            <w:r w:rsidR="008811FC" w:rsidDel="00087ACB">
              <w:rPr>
                <w:rFonts w:eastAsia="Times New Roman" w:cs="Arial"/>
                <w:bCs/>
                <w:snapToGrid w:val="0"/>
                <w:szCs w:val="20"/>
              </w:rPr>
              <w:t xml:space="preserve"> introduce</w:t>
            </w:r>
            <w:r w:rsidR="000443B2" w:rsidDel="00087ACB">
              <w:rPr>
                <w:rFonts w:eastAsia="Times New Roman" w:cs="Arial"/>
                <w:bCs/>
                <w:snapToGrid w:val="0"/>
                <w:szCs w:val="20"/>
              </w:rPr>
              <w:t xml:space="preserve"> </w:t>
            </w:r>
            <w:r w:rsidR="00853B60" w:rsidDel="00087ACB">
              <w:rPr>
                <w:rFonts w:eastAsia="Times New Roman" w:cs="Arial"/>
                <w:bCs/>
                <w:snapToGrid w:val="0"/>
                <w:szCs w:val="20"/>
              </w:rPr>
              <w:t>informative indirect</w:t>
            </w:r>
            <w:r w:rsidR="000443B2" w:rsidDel="00087ACB">
              <w:rPr>
                <w:rFonts w:eastAsia="Times New Roman" w:cs="Arial"/>
                <w:bCs/>
                <w:snapToGrid w:val="0"/>
                <w:szCs w:val="20"/>
              </w:rPr>
              <w:t xml:space="preserve"> evidence</w:t>
            </w:r>
            <w:r w:rsidR="009431A5" w:rsidDel="00087ACB">
              <w:rPr>
                <w:rFonts w:eastAsia="Times New Roman" w:cs="Arial"/>
                <w:bCs/>
                <w:snapToGrid w:val="0"/>
                <w:szCs w:val="20"/>
              </w:rPr>
              <w:t xml:space="preserve"> </w:t>
            </w:r>
            <w:r w:rsidR="00F00144" w:rsidDel="00087ACB">
              <w:rPr>
                <w:rFonts w:eastAsia="Times New Roman" w:cs="Arial"/>
                <w:bCs/>
                <w:snapToGrid w:val="0"/>
                <w:szCs w:val="20"/>
              </w:rPr>
              <w:t>to</w:t>
            </w:r>
            <w:r w:rsidR="009431A5" w:rsidDel="00087ACB">
              <w:rPr>
                <w:rFonts w:eastAsia="Times New Roman" w:cs="Arial"/>
                <w:bCs/>
                <w:snapToGrid w:val="0"/>
                <w:szCs w:val="20"/>
              </w:rPr>
              <w:t xml:space="preserve"> address th</w:t>
            </w:r>
            <w:r w:rsidR="0080653F" w:rsidDel="00087ACB">
              <w:rPr>
                <w:rFonts w:eastAsia="Times New Roman" w:cs="Arial"/>
                <w:bCs/>
                <w:snapToGrid w:val="0"/>
                <w:szCs w:val="20"/>
              </w:rPr>
              <w:t>e</w:t>
            </w:r>
            <w:r w:rsidR="009431A5" w:rsidDel="00087ACB">
              <w:rPr>
                <w:rFonts w:eastAsia="Times New Roman" w:cs="Arial"/>
                <w:bCs/>
                <w:snapToGrid w:val="0"/>
                <w:szCs w:val="20"/>
              </w:rPr>
              <w:t xml:space="preserve"> </w:t>
            </w:r>
            <w:r w:rsidR="008C6A2A" w:rsidDel="00087ACB">
              <w:rPr>
                <w:rFonts w:eastAsia="Times New Roman" w:cs="Arial"/>
                <w:bCs/>
                <w:snapToGrid w:val="0"/>
                <w:szCs w:val="20"/>
              </w:rPr>
              <w:t>concern</w:t>
            </w:r>
            <w:r w:rsidR="00F4130B" w:rsidDel="00087ACB">
              <w:rPr>
                <w:rFonts w:eastAsia="Times New Roman" w:cs="Arial"/>
                <w:bCs/>
                <w:snapToGrid w:val="0"/>
                <w:szCs w:val="20"/>
              </w:rPr>
              <w:t xml:space="preserve"> of no</w:t>
            </w:r>
            <w:r w:rsidR="00352D6B" w:rsidDel="00087ACB">
              <w:rPr>
                <w:rFonts w:eastAsia="Times New Roman" w:cs="Arial"/>
                <w:bCs/>
                <w:snapToGrid w:val="0"/>
                <w:szCs w:val="20"/>
              </w:rPr>
              <w:t xml:space="preserve"> direct patient longer term outcomes</w:t>
            </w:r>
            <w:r w:rsidR="00EF601D" w:rsidDel="002E0B0F">
              <w:rPr>
                <w:rFonts w:eastAsia="Times New Roman" w:cs="Arial"/>
                <w:bCs/>
                <w:snapToGrid w:val="0"/>
                <w:szCs w:val="20"/>
              </w:rPr>
              <w:t xml:space="preserve"> </w:t>
            </w:r>
            <w:r w:rsidR="003D5D1A" w:rsidDel="002E0B0F">
              <w:rPr>
                <w:rFonts w:eastAsia="Times New Roman" w:cs="Arial"/>
                <w:bCs/>
                <w:snapToGrid w:val="0"/>
                <w:szCs w:val="20"/>
              </w:rPr>
              <w:t>buttressing the HbA1c outcome evidence presented</w:t>
            </w:r>
            <w:r w:rsidR="008C6A2A" w:rsidDel="00087ACB">
              <w:rPr>
                <w:rFonts w:eastAsia="Times New Roman" w:cs="Arial"/>
                <w:bCs/>
                <w:snapToGrid w:val="0"/>
                <w:szCs w:val="20"/>
              </w:rPr>
              <w:t xml:space="preserve">. </w:t>
            </w:r>
            <w:r w:rsidR="00FD423E" w:rsidDel="00087ACB">
              <w:rPr>
                <w:rFonts w:eastAsia="Times New Roman" w:cs="Arial"/>
                <w:bCs/>
                <w:snapToGrid w:val="0"/>
                <w:szCs w:val="20"/>
              </w:rPr>
              <w:t>T</w:t>
            </w:r>
            <w:r w:rsidR="00373E63" w:rsidDel="00087ACB">
              <w:rPr>
                <w:rFonts w:eastAsia="Times New Roman" w:cs="Arial"/>
                <w:bCs/>
                <w:snapToGrid w:val="0"/>
                <w:szCs w:val="20"/>
              </w:rPr>
              <w:t>his consis</w:t>
            </w:r>
            <w:r w:rsidR="00E07918" w:rsidDel="00087ACB">
              <w:rPr>
                <w:rFonts w:eastAsia="Times New Roman" w:cs="Arial"/>
                <w:bCs/>
                <w:snapToGrid w:val="0"/>
                <w:szCs w:val="20"/>
              </w:rPr>
              <w:t xml:space="preserve">ts of a </w:t>
            </w:r>
            <w:r w:rsidR="00E5448F" w:rsidDel="00087ACB">
              <w:rPr>
                <w:rFonts w:eastAsia="Times New Roman" w:cs="Arial"/>
                <w:bCs/>
                <w:snapToGrid w:val="0"/>
                <w:szCs w:val="20"/>
              </w:rPr>
              <w:t>high-quality</w:t>
            </w:r>
            <w:r w:rsidR="00E07918" w:rsidDel="00087ACB">
              <w:rPr>
                <w:rFonts w:eastAsia="Times New Roman" w:cs="Arial"/>
                <w:bCs/>
                <w:snapToGrid w:val="0"/>
                <w:szCs w:val="20"/>
              </w:rPr>
              <w:t xml:space="preserve"> study</w:t>
            </w:r>
            <w:r w:rsidR="00962710" w:rsidDel="00087ACB">
              <w:rPr>
                <w:rFonts w:eastAsia="Times New Roman" w:cs="Arial"/>
                <w:bCs/>
                <w:snapToGrid w:val="0"/>
                <w:szCs w:val="20"/>
              </w:rPr>
              <w:t xml:space="preserve"> linking </w:t>
            </w:r>
            <w:r w:rsidR="0077301D" w:rsidDel="00087ACB">
              <w:rPr>
                <w:rFonts w:eastAsia="Times New Roman" w:cs="Arial"/>
                <w:bCs/>
                <w:snapToGrid w:val="0"/>
                <w:szCs w:val="20"/>
              </w:rPr>
              <w:t xml:space="preserve">use of RT-CGM to change in </w:t>
            </w:r>
            <w:r w:rsidR="007A376F" w:rsidDel="00087ACB">
              <w:rPr>
                <w:rFonts w:eastAsia="Times New Roman" w:cs="Arial"/>
                <w:bCs/>
                <w:snapToGrid w:val="0"/>
                <w:szCs w:val="20"/>
              </w:rPr>
              <w:t>variou</w:t>
            </w:r>
            <w:r w:rsidR="00E07918" w:rsidDel="00087ACB">
              <w:rPr>
                <w:rFonts w:eastAsia="Times New Roman" w:cs="Arial"/>
                <w:bCs/>
                <w:snapToGrid w:val="0"/>
                <w:szCs w:val="20"/>
              </w:rPr>
              <w:t>s</w:t>
            </w:r>
            <w:r w:rsidR="007A376F" w:rsidDel="00087ACB">
              <w:rPr>
                <w:rFonts w:eastAsia="Times New Roman" w:cs="Arial"/>
                <w:bCs/>
                <w:snapToGrid w:val="0"/>
                <w:szCs w:val="20"/>
              </w:rPr>
              <w:t xml:space="preserve"> longer</w:t>
            </w:r>
            <w:r w:rsidR="00FD423E" w:rsidDel="00087ACB">
              <w:rPr>
                <w:rFonts w:eastAsia="Times New Roman" w:cs="Arial"/>
                <w:bCs/>
                <w:snapToGrid w:val="0"/>
                <w:szCs w:val="20"/>
              </w:rPr>
              <w:t>-</w:t>
            </w:r>
            <w:r w:rsidR="007A376F" w:rsidDel="00087ACB">
              <w:rPr>
                <w:rFonts w:eastAsia="Times New Roman" w:cs="Arial"/>
                <w:bCs/>
                <w:snapToGrid w:val="0"/>
                <w:szCs w:val="20"/>
              </w:rPr>
              <w:t>term health outcomes</w:t>
            </w:r>
            <w:r w:rsidR="006024B0" w:rsidDel="00087ACB">
              <w:rPr>
                <w:rFonts w:eastAsia="Times New Roman" w:cs="Arial"/>
                <w:bCs/>
                <w:snapToGrid w:val="0"/>
                <w:szCs w:val="20"/>
              </w:rPr>
              <w:t xml:space="preserve">, including </w:t>
            </w:r>
            <w:r w:rsidR="004A6410" w:rsidDel="00087ACB">
              <w:rPr>
                <w:rFonts w:eastAsia="Times New Roman" w:cs="Arial"/>
                <w:bCs/>
                <w:snapToGrid w:val="0"/>
                <w:szCs w:val="20"/>
              </w:rPr>
              <w:t xml:space="preserve">mortality. </w:t>
            </w:r>
            <w:r w:rsidR="008F289E" w:rsidDel="00087ACB">
              <w:rPr>
                <w:rFonts w:eastAsia="Times New Roman" w:cs="Arial"/>
                <w:bCs/>
                <w:snapToGrid w:val="0"/>
                <w:szCs w:val="20"/>
              </w:rPr>
              <w:t xml:space="preserve">This </w:t>
            </w:r>
            <w:r w:rsidR="00E5448F" w:rsidDel="00087ACB">
              <w:rPr>
                <w:rFonts w:eastAsia="Times New Roman" w:cs="Arial"/>
                <w:bCs/>
                <w:snapToGrid w:val="0"/>
                <w:szCs w:val="20"/>
              </w:rPr>
              <w:t>l</w:t>
            </w:r>
            <w:r w:rsidR="0083629D" w:rsidDel="00087ACB">
              <w:rPr>
                <w:rFonts w:eastAsia="Times New Roman" w:cs="Arial"/>
                <w:bCs/>
                <w:snapToGrid w:val="0"/>
                <w:szCs w:val="20"/>
              </w:rPr>
              <w:t>arge</w:t>
            </w:r>
            <w:r w:rsidR="00FD423E" w:rsidDel="00087ACB">
              <w:rPr>
                <w:rFonts w:eastAsia="Times New Roman" w:cs="Arial"/>
                <w:bCs/>
                <w:snapToGrid w:val="0"/>
                <w:szCs w:val="20"/>
              </w:rPr>
              <w:t>,</w:t>
            </w:r>
            <w:r w:rsidR="0083629D" w:rsidDel="00087ACB">
              <w:rPr>
                <w:rFonts w:eastAsia="Times New Roman" w:cs="Arial"/>
                <w:bCs/>
                <w:snapToGrid w:val="0"/>
                <w:szCs w:val="20"/>
              </w:rPr>
              <w:t xml:space="preserve"> retrospective cohort study compared </w:t>
            </w:r>
            <w:r w:rsidR="0079230F" w:rsidDel="00087ACB">
              <w:rPr>
                <w:rFonts w:eastAsia="Times New Roman" w:cs="Arial"/>
                <w:bCs/>
                <w:snapToGrid w:val="0"/>
                <w:szCs w:val="20"/>
              </w:rPr>
              <w:t xml:space="preserve">a broad range of direct patient health outcomes in people with T2D who used </w:t>
            </w:r>
            <w:r w:rsidR="003B5A7D" w:rsidDel="00087ACB">
              <w:rPr>
                <w:rFonts w:eastAsia="Times New Roman" w:cs="Arial"/>
                <w:bCs/>
                <w:snapToGrid w:val="0"/>
                <w:szCs w:val="20"/>
              </w:rPr>
              <w:t>and did not use</w:t>
            </w:r>
            <w:r w:rsidR="0079230F" w:rsidDel="00087ACB">
              <w:rPr>
                <w:rFonts w:eastAsia="Times New Roman" w:cs="Arial"/>
                <w:bCs/>
                <w:snapToGrid w:val="0"/>
                <w:szCs w:val="20"/>
              </w:rPr>
              <w:t xml:space="preserve"> </w:t>
            </w:r>
            <w:r w:rsidR="0083629D" w:rsidDel="00087ACB">
              <w:rPr>
                <w:rFonts w:eastAsia="Times New Roman" w:cs="Arial"/>
                <w:bCs/>
                <w:snapToGrid w:val="0"/>
                <w:szCs w:val="20"/>
              </w:rPr>
              <w:t>RT-CGM</w:t>
            </w:r>
            <w:r w:rsidR="00FD423E" w:rsidDel="00087ACB">
              <w:rPr>
                <w:rFonts w:eastAsia="Times New Roman" w:cs="Arial"/>
                <w:bCs/>
                <w:snapToGrid w:val="0"/>
                <w:szCs w:val="20"/>
              </w:rPr>
              <w:t>,</w:t>
            </w:r>
            <w:r w:rsidR="0083629D" w:rsidDel="00087ACB">
              <w:rPr>
                <w:rFonts w:eastAsia="Times New Roman" w:cs="Arial"/>
                <w:bCs/>
                <w:snapToGrid w:val="0"/>
                <w:szCs w:val="20"/>
              </w:rPr>
              <w:t xml:space="preserve"> </w:t>
            </w:r>
            <w:r w:rsidR="005A2065" w:rsidDel="00087ACB">
              <w:rPr>
                <w:rFonts w:eastAsia="Times New Roman" w:cs="Arial"/>
                <w:bCs/>
                <w:snapToGrid w:val="0"/>
                <w:szCs w:val="20"/>
              </w:rPr>
              <w:t>us</w:t>
            </w:r>
            <w:r w:rsidR="00E5448F" w:rsidDel="00087ACB">
              <w:rPr>
                <w:rFonts w:eastAsia="Times New Roman" w:cs="Arial"/>
                <w:bCs/>
                <w:snapToGrid w:val="0"/>
                <w:szCs w:val="20"/>
              </w:rPr>
              <w:t>ing</w:t>
            </w:r>
            <w:r w:rsidR="005A2065" w:rsidRPr="00723F92" w:rsidDel="00087ACB">
              <w:rPr>
                <w:rFonts w:ascii="Franklin Gothic Book" w:eastAsia="Times New Roman" w:hAnsi="Franklin Gothic Book" w:cs="Arial"/>
                <w:snapToGrid w:val="0"/>
                <w:sz w:val="22"/>
                <w:szCs w:val="20"/>
              </w:rPr>
              <w:t xml:space="preserve"> </w:t>
            </w:r>
            <w:r w:rsidR="00371C78" w:rsidDel="00087ACB">
              <w:rPr>
                <w:rFonts w:eastAsia="Times New Roman" w:cs="Arial"/>
                <w:bCs/>
                <w:snapToGrid w:val="0"/>
                <w:szCs w:val="20"/>
              </w:rPr>
              <w:t xml:space="preserve">US claims data from the </w:t>
            </w:r>
            <w:r w:rsidR="00FD423E" w:rsidDel="00087ACB">
              <w:rPr>
                <w:rFonts w:eastAsia="Times New Roman" w:cs="Arial"/>
                <w:bCs/>
                <w:snapToGrid w:val="0"/>
                <w:szCs w:val="20"/>
              </w:rPr>
              <w:t xml:space="preserve">US </w:t>
            </w:r>
            <w:r w:rsidR="00371C78" w:rsidDel="00087ACB">
              <w:rPr>
                <w:rFonts w:eastAsia="Times New Roman" w:cs="Arial"/>
                <w:bCs/>
                <w:snapToGrid w:val="0"/>
                <w:szCs w:val="20"/>
              </w:rPr>
              <w:t xml:space="preserve">Veterans Affairs Health Care System </w:t>
            </w:r>
            <w:r w:rsidR="00723F92" w:rsidDel="00087ACB">
              <w:rPr>
                <w:rFonts w:eastAsia="Times New Roman" w:cs="Arial"/>
                <w:bCs/>
                <w:snapToGrid w:val="0"/>
                <w:szCs w:val="20"/>
              </w:rPr>
              <w:t>and p</w:t>
            </w:r>
            <w:r w:rsidR="00D546C9" w:rsidDel="00087ACB">
              <w:rPr>
                <w:rFonts w:eastAsia="Times New Roman" w:cs="Arial"/>
                <w:bCs/>
                <w:snapToGrid w:val="0"/>
                <w:szCs w:val="20"/>
              </w:rPr>
              <w:t>ropensity score matching</w:t>
            </w:r>
            <w:r w:rsidR="00371C78" w:rsidDel="00087ACB">
              <w:rPr>
                <w:rFonts w:eastAsia="Times New Roman" w:cs="Arial"/>
                <w:bCs/>
                <w:snapToGrid w:val="0"/>
                <w:szCs w:val="20"/>
              </w:rPr>
              <w:t>.</w:t>
            </w:r>
            <w:r w:rsidR="00FD423E" w:rsidDel="00087ACB">
              <w:rPr>
                <w:rFonts w:eastAsia="Times New Roman" w:cs="Arial"/>
                <w:bCs/>
                <w:snapToGrid w:val="0"/>
                <w:szCs w:val="20"/>
              </w:rPr>
              <w:t xml:space="preserve"> </w:t>
            </w:r>
          </w:p>
        </w:tc>
      </w:tr>
      <w:tr w:rsidR="0082030B" w:rsidRPr="00CE28E3" w14:paraId="2004A906" w14:textId="77777777" w:rsidTr="00662436">
        <w:tc>
          <w:tcPr>
            <w:tcW w:w="600" w:type="pct"/>
          </w:tcPr>
          <w:p w14:paraId="4E894E4B" w14:textId="0842EB57" w:rsidR="00C94226" w:rsidRPr="004448C4" w:rsidRDefault="00AD3520" w:rsidP="00824458">
            <w:pPr>
              <w:pStyle w:val="TableText"/>
            </w:pPr>
            <w:r w:rsidRPr="004448C4">
              <w:t>Clinical evidenc</w:t>
            </w:r>
            <w:r w:rsidR="000319CA" w:rsidRPr="004448C4">
              <w:t xml:space="preserve">e base </w:t>
            </w:r>
            <w:r w:rsidR="00184483" w:rsidRPr="004448C4">
              <w:t>update</w:t>
            </w:r>
            <w:r w:rsidRPr="004448C4">
              <w:t xml:space="preserve"> </w:t>
            </w:r>
          </w:p>
        </w:tc>
        <w:tc>
          <w:tcPr>
            <w:tcW w:w="2235" w:type="pct"/>
          </w:tcPr>
          <w:p w14:paraId="048D67B2" w14:textId="378AD265" w:rsidR="00C94226" w:rsidRPr="004448C4" w:rsidRDefault="00527219" w:rsidP="00824458">
            <w:pPr>
              <w:pStyle w:val="TableText"/>
              <w:rPr>
                <w:rFonts w:eastAsia="Times New Roman" w:cs="Arial"/>
                <w:snapToGrid w:val="0"/>
                <w:szCs w:val="20"/>
              </w:rPr>
            </w:pPr>
            <w:r w:rsidRPr="004448C4">
              <w:rPr>
                <w:rFonts w:eastAsia="Times New Roman" w:cs="Arial"/>
                <w:snapToGrid w:val="0"/>
                <w:szCs w:val="20"/>
              </w:rPr>
              <w:t>“MSAC considered…</w:t>
            </w:r>
            <w:r w:rsidR="00C56761" w:rsidRPr="004448C4">
              <w:rPr>
                <w:rFonts w:eastAsia="Times New Roman" w:cs="Arial"/>
                <w:snapToGrid w:val="0"/>
                <w:szCs w:val="20"/>
              </w:rPr>
              <w:t xml:space="preserve"> </w:t>
            </w:r>
            <w:r w:rsidRPr="004448C4">
              <w:rPr>
                <w:rFonts w:eastAsia="Times New Roman" w:cs="Arial"/>
                <w:snapToGrid w:val="0"/>
                <w:szCs w:val="20"/>
              </w:rPr>
              <w:t>further evidence that is more up-to</w:t>
            </w:r>
            <w:r w:rsidR="00284CB7" w:rsidRPr="004448C4">
              <w:rPr>
                <w:rFonts w:eastAsia="Times New Roman" w:cs="Arial"/>
                <w:snapToGrid w:val="0"/>
                <w:szCs w:val="20"/>
              </w:rPr>
              <w:t xml:space="preserve"> date and speci</w:t>
            </w:r>
            <w:r w:rsidR="00563C86" w:rsidRPr="004448C4">
              <w:rPr>
                <w:rFonts w:eastAsia="Times New Roman" w:cs="Arial"/>
                <w:snapToGrid w:val="0"/>
                <w:szCs w:val="20"/>
              </w:rPr>
              <w:t xml:space="preserve">fic </w:t>
            </w:r>
            <w:r w:rsidR="00BD660E" w:rsidRPr="004448C4">
              <w:rPr>
                <w:rFonts w:eastAsia="Times New Roman" w:cs="Arial"/>
                <w:snapToGrid w:val="0"/>
                <w:szCs w:val="20"/>
              </w:rPr>
              <w:t>to….</w:t>
            </w:r>
            <w:r w:rsidR="001400F4" w:rsidRPr="004448C4">
              <w:rPr>
                <w:rFonts w:eastAsia="Times New Roman" w:cs="Arial"/>
                <w:snapToGrid w:val="0"/>
                <w:szCs w:val="20"/>
              </w:rPr>
              <w:t xml:space="preserve"> </w:t>
            </w:r>
            <w:r w:rsidR="00BD660E" w:rsidRPr="004448C4">
              <w:rPr>
                <w:rFonts w:eastAsia="Times New Roman" w:cs="Arial"/>
                <w:snapToGrid w:val="0"/>
                <w:szCs w:val="20"/>
              </w:rPr>
              <w:t>groups is required”</w:t>
            </w:r>
            <w:r w:rsidR="00BC0529" w:rsidRPr="004448C4">
              <w:rPr>
                <w:rFonts w:eastAsia="Times New Roman" w:cs="Arial"/>
                <w:snapToGrid w:val="0"/>
                <w:szCs w:val="20"/>
              </w:rPr>
              <w:t>.</w:t>
            </w:r>
            <w:r w:rsidR="00BD660E" w:rsidRPr="004448C4">
              <w:rPr>
                <w:rFonts w:eastAsia="Times New Roman" w:cs="Arial"/>
                <w:snapToGrid w:val="0"/>
                <w:szCs w:val="20"/>
              </w:rPr>
              <w:t xml:space="preserve"> (</w:t>
            </w:r>
            <w:r w:rsidR="00E709FB" w:rsidRPr="004448C4">
              <w:t xml:space="preserve">1785 </w:t>
            </w:r>
            <w:r w:rsidR="008016A4" w:rsidRPr="004448C4">
              <w:rPr>
                <w:rFonts w:eastAsia="Times New Roman" w:cs="Arial"/>
                <w:snapToGrid w:val="0"/>
                <w:szCs w:val="20"/>
              </w:rPr>
              <w:t xml:space="preserve">PSD, </w:t>
            </w:r>
            <w:r w:rsidR="009F5B5D">
              <w:rPr>
                <w:rFonts w:eastAsia="Times New Roman" w:cs="Arial"/>
                <w:snapToGrid w:val="0"/>
                <w:szCs w:val="20"/>
              </w:rPr>
              <w:t>p.</w:t>
            </w:r>
            <w:r w:rsidR="00087060" w:rsidRPr="004448C4">
              <w:rPr>
                <w:rFonts w:eastAsia="Times New Roman" w:cs="Arial"/>
                <w:snapToGrid w:val="0"/>
                <w:szCs w:val="20"/>
              </w:rPr>
              <w:t xml:space="preserve"> 9)</w:t>
            </w:r>
          </w:p>
        </w:tc>
        <w:tc>
          <w:tcPr>
            <w:tcW w:w="2165" w:type="pct"/>
          </w:tcPr>
          <w:p w14:paraId="1AE6C372" w14:textId="65B4B953" w:rsidR="00C94226" w:rsidRPr="004448C4" w:rsidRDefault="000422DC" w:rsidP="00824458">
            <w:pPr>
              <w:pStyle w:val="TableText"/>
              <w:rPr>
                <w:rFonts w:eastAsia="Times New Roman" w:cs="Arial"/>
                <w:b/>
                <w:snapToGrid w:val="0"/>
                <w:szCs w:val="20"/>
              </w:rPr>
            </w:pPr>
            <w:r>
              <w:rPr>
                <w:rFonts w:eastAsia="Times New Roman" w:cs="Arial"/>
                <w:b/>
                <w:snapToGrid w:val="0"/>
                <w:szCs w:val="20"/>
              </w:rPr>
              <w:t>Partially a</w:t>
            </w:r>
            <w:r w:rsidR="00DC4DFB" w:rsidRPr="004448C4">
              <w:rPr>
                <w:rFonts w:eastAsia="Times New Roman" w:cs="Arial"/>
                <w:b/>
                <w:snapToGrid w:val="0"/>
                <w:szCs w:val="20"/>
              </w:rPr>
              <w:t>ddressed</w:t>
            </w:r>
          </w:p>
          <w:p w14:paraId="3FCFBFFA" w14:textId="2BD84F4F" w:rsidR="004D2652" w:rsidRPr="004448C4" w:rsidRDefault="00792DEE" w:rsidP="00AC1188">
            <w:pPr>
              <w:pStyle w:val="TableText"/>
              <w:rPr>
                <w:rFonts w:eastAsia="Times New Roman" w:cs="Arial"/>
                <w:snapToGrid w:val="0"/>
                <w:szCs w:val="20"/>
              </w:rPr>
            </w:pPr>
            <w:r w:rsidRPr="004448C4">
              <w:rPr>
                <w:rFonts w:eastAsia="Times New Roman" w:cs="Arial"/>
                <w:snapToGrid w:val="0"/>
                <w:szCs w:val="20"/>
              </w:rPr>
              <w:t>No new s</w:t>
            </w:r>
            <w:r w:rsidR="00B919E9" w:rsidRPr="004448C4">
              <w:rPr>
                <w:rFonts w:eastAsia="Times New Roman" w:cs="Arial"/>
                <w:snapToGrid w:val="0"/>
                <w:szCs w:val="20"/>
              </w:rPr>
              <w:t>tudi</w:t>
            </w:r>
            <w:r w:rsidR="00C33F8E" w:rsidRPr="004448C4">
              <w:rPr>
                <w:rFonts w:eastAsia="Times New Roman" w:cs="Arial"/>
                <w:snapToGrid w:val="0"/>
                <w:szCs w:val="20"/>
              </w:rPr>
              <w:t>es</w:t>
            </w:r>
            <w:r w:rsidR="00E96A3B">
              <w:rPr>
                <w:rFonts w:eastAsia="Times New Roman" w:cs="Arial"/>
                <w:snapToGrid w:val="0"/>
                <w:szCs w:val="20"/>
              </w:rPr>
              <w:t xml:space="preserve"> directly</w:t>
            </w:r>
            <w:r w:rsidR="00C33F8E" w:rsidRPr="004448C4">
              <w:rPr>
                <w:rFonts w:eastAsia="Times New Roman" w:cs="Arial"/>
                <w:snapToGrid w:val="0"/>
                <w:szCs w:val="20"/>
              </w:rPr>
              <w:t xml:space="preserve"> comparing </w:t>
            </w:r>
            <w:r w:rsidR="006D2455" w:rsidRPr="004448C4">
              <w:rPr>
                <w:rFonts w:eastAsia="Times New Roman" w:cs="Arial"/>
                <w:snapToGrid w:val="0"/>
                <w:szCs w:val="20"/>
              </w:rPr>
              <w:t>the</w:t>
            </w:r>
            <w:r w:rsidR="00C33F8E" w:rsidRPr="004448C4">
              <w:rPr>
                <w:rFonts w:eastAsia="Times New Roman" w:cs="Arial"/>
                <w:snapToGrid w:val="0"/>
                <w:szCs w:val="20"/>
              </w:rPr>
              <w:t xml:space="preserve"> </w:t>
            </w:r>
            <w:r w:rsidR="000739AF" w:rsidRPr="004448C4">
              <w:rPr>
                <w:rFonts w:eastAsia="Times New Roman" w:cs="Arial"/>
                <w:snapToGrid w:val="0"/>
                <w:szCs w:val="20"/>
              </w:rPr>
              <w:t xml:space="preserve">effectiveness of </w:t>
            </w:r>
            <w:r w:rsidR="00C33F8E" w:rsidRPr="004448C4">
              <w:rPr>
                <w:rFonts w:eastAsia="Times New Roman" w:cs="Arial"/>
                <w:snapToGrid w:val="0"/>
                <w:szCs w:val="20"/>
              </w:rPr>
              <w:t>Dexcom ONE+</w:t>
            </w:r>
            <w:r w:rsidR="00374749" w:rsidRPr="004448C4">
              <w:rPr>
                <w:rFonts w:eastAsia="Times New Roman" w:cs="Arial"/>
                <w:snapToGrid w:val="0"/>
                <w:szCs w:val="20"/>
              </w:rPr>
              <w:t xml:space="preserve"> or other CGMs</w:t>
            </w:r>
            <w:r w:rsidR="00C33F8E" w:rsidRPr="004448C4">
              <w:rPr>
                <w:rFonts w:eastAsia="Times New Roman" w:cs="Arial"/>
                <w:snapToGrid w:val="0"/>
                <w:szCs w:val="20"/>
              </w:rPr>
              <w:t xml:space="preserve"> </w:t>
            </w:r>
            <w:r w:rsidR="005218B9" w:rsidRPr="004448C4">
              <w:rPr>
                <w:rFonts w:eastAsia="Times New Roman" w:cs="Arial"/>
                <w:snapToGrid w:val="0"/>
                <w:szCs w:val="20"/>
              </w:rPr>
              <w:t>to SMBG were identified</w:t>
            </w:r>
            <w:r w:rsidR="0097337A" w:rsidRPr="004448C4">
              <w:rPr>
                <w:rFonts w:eastAsia="Times New Roman" w:cs="Arial"/>
                <w:snapToGrid w:val="0"/>
                <w:szCs w:val="20"/>
              </w:rPr>
              <w:t xml:space="preserve"> by the applicant </w:t>
            </w:r>
            <w:r w:rsidR="000F6415" w:rsidRPr="004448C4">
              <w:rPr>
                <w:rFonts w:eastAsia="Times New Roman" w:cs="Arial"/>
                <w:snapToGrid w:val="0"/>
                <w:szCs w:val="20"/>
              </w:rPr>
              <w:t xml:space="preserve">for </w:t>
            </w:r>
            <w:r w:rsidR="0099197C" w:rsidRPr="004448C4">
              <w:rPr>
                <w:rFonts w:eastAsia="Times New Roman" w:cs="Arial"/>
                <w:snapToGrid w:val="0"/>
                <w:szCs w:val="20"/>
              </w:rPr>
              <w:t xml:space="preserve">inclusion in the </w:t>
            </w:r>
            <w:r w:rsidR="00E813A7" w:rsidRPr="004448C4">
              <w:rPr>
                <w:rFonts w:eastAsia="Times New Roman" w:cs="Arial"/>
                <w:snapToGrid w:val="0"/>
                <w:szCs w:val="20"/>
              </w:rPr>
              <w:t>ADAR 1785</w:t>
            </w:r>
            <w:r w:rsidR="00AE6BAB" w:rsidRPr="004448C4">
              <w:rPr>
                <w:rFonts w:eastAsia="Times New Roman" w:cs="Arial"/>
                <w:snapToGrid w:val="0"/>
                <w:szCs w:val="20"/>
              </w:rPr>
              <w:t xml:space="preserve"> resubmission</w:t>
            </w:r>
            <w:r w:rsidR="00BF51A8">
              <w:rPr>
                <w:rFonts w:eastAsia="Times New Roman" w:cs="Arial"/>
                <w:snapToGrid w:val="0"/>
                <w:szCs w:val="20"/>
              </w:rPr>
              <w:t>.</w:t>
            </w:r>
            <w:r w:rsidR="00AC1188" w:rsidDel="00BF51A8">
              <w:rPr>
                <w:rFonts w:eastAsia="Times New Roman" w:cs="Arial"/>
                <w:snapToGrid w:val="0"/>
                <w:szCs w:val="20"/>
              </w:rPr>
              <w:t xml:space="preserve"> </w:t>
            </w:r>
            <w:r w:rsidR="00364A01">
              <w:rPr>
                <w:rFonts w:eastAsia="Times New Roman" w:cs="Arial"/>
                <w:snapToGrid w:val="0"/>
                <w:szCs w:val="20"/>
              </w:rPr>
              <w:t xml:space="preserve">However, </w:t>
            </w:r>
            <w:r w:rsidR="0014031B" w:rsidRPr="0014031B">
              <w:rPr>
                <w:rFonts w:eastAsia="Times New Roman" w:cs="Arial"/>
                <w:snapToGrid w:val="0"/>
                <w:szCs w:val="20"/>
              </w:rPr>
              <w:t xml:space="preserve">two </w:t>
            </w:r>
            <w:r w:rsidR="0014031B" w:rsidRPr="00773217">
              <w:rPr>
                <w:rFonts w:eastAsia="Times New Roman" w:cs="Arial"/>
                <w:snapToGrid w:val="0"/>
                <w:szCs w:val="20"/>
              </w:rPr>
              <w:t>post-hoc</w:t>
            </w:r>
            <w:r w:rsidR="0014031B" w:rsidRPr="0014031B">
              <w:rPr>
                <w:rFonts w:eastAsia="Times New Roman" w:cs="Arial"/>
                <w:snapToGrid w:val="0"/>
                <w:szCs w:val="20"/>
              </w:rPr>
              <w:t xml:space="preserve"> analys</w:t>
            </w:r>
            <w:r w:rsidR="008D5167">
              <w:rPr>
                <w:rFonts w:eastAsia="Times New Roman" w:cs="Arial"/>
                <w:snapToGrid w:val="0"/>
                <w:szCs w:val="20"/>
              </w:rPr>
              <w:t>e</w:t>
            </w:r>
            <w:r w:rsidR="0014031B" w:rsidRPr="0014031B">
              <w:rPr>
                <w:rFonts w:eastAsia="Times New Roman" w:cs="Arial"/>
                <w:snapToGrid w:val="0"/>
                <w:szCs w:val="20"/>
              </w:rPr>
              <w:t xml:space="preserve">s of the MOBILE trial were </w:t>
            </w:r>
            <w:r w:rsidR="0014031B" w:rsidRPr="0014031B">
              <w:rPr>
                <w:rFonts w:eastAsia="Times New Roman" w:cs="Arial"/>
                <w:snapToGrid w:val="0"/>
                <w:szCs w:val="20"/>
              </w:rPr>
              <w:lastRenderedPageBreak/>
              <w:t xml:space="preserve">identified and deemed relevant for inclusion in this </w:t>
            </w:r>
            <w:r w:rsidR="0063257A">
              <w:rPr>
                <w:rFonts w:eastAsia="Times New Roman" w:cs="Arial"/>
                <w:snapToGrid w:val="0"/>
                <w:szCs w:val="20"/>
              </w:rPr>
              <w:t xml:space="preserve">resubmission. </w:t>
            </w:r>
            <w:r w:rsidR="0014031B" w:rsidRPr="0014031B">
              <w:rPr>
                <w:rFonts w:eastAsia="Times New Roman" w:cs="Arial"/>
                <w:snapToGrid w:val="0"/>
                <w:szCs w:val="20"/>
              </w:rPr>
              <w:t>The results of these analyses are presented along with data from</w:t>
            </w:r>
            <w:r w:rsidR="007F196E">
              <w:rPr>
                <w:rFonts w:eastAsia="Times New Roman" w:cs="Arial"/>
                <w:snapToGrid w:val="0"/>
                <w:szCs w:val="20"/>
              </w:rPr>
              <w:t xml:space="preserve"> the MOBILE trial in the evaluation of the </w:t>
            </w:r>
            <w:r w:rsidR="00891EBE">
              <w:rPr>
                <w:rFonts w:eastAsia="Times New Roman" w:cs="Arial"/>
                <w:snapToGrid w:val="0"/>
                <w:szCs w:val="20"/>
              </w:rPr>
              <w:t xml:space="preserve">non-IIT </w:t>
            </w:r>
            <w:r w:rsidR="00782636">
              <w:rPr>
                <w:rFonts w:eastAsia="Times New Roman" w:cs="Arial"/>
                <w:snapToGrid w:val="0"/>
                <w:szCs w:val="20"/>
              </w:rPr>
              <w:t>subpopulation.</w:t>
            </w:r>
            <w:r w:rsidR="001154DA">
              <w:rPr>
                <w:rFonts w:eastAsia="Times New Roman" w:cs="Arial"/>
                <w:snapToGrid w:val="0"/>
                <w:szCs w:val="20"/>
              </w:rPr>
              <w:t xml:space="preserve"> </w:t>
            </w:r>
            <w:r w:rsidR="00782636">
              <w:rPr>
                <w:rFonts w:eastAsia="Times New Roman" w:cs="Arial"/>
                <w:snapToGrid w:val="0"/>
                <w:szCs w:val="20"/>
              </w:rPr>
              <w:t>Additionally, d</w:t>
            </w:r>
            <w:r w:rsidR="00567FD2">
              <w:rPr>
                <w:rFonts w:eastAsia="Times New Roman" w:cs="Arial"/>
                <w:snapToGrid w:val="0"/>
                <w:szCs w:val="20"/>
              </w:rPr>
              <w:t xml:space="preserve">uring the </w:t>
            </w:r>
            <w:r w:rsidR="005F7055">
              <w:rPr>
                <w:rFonts w:eastAsia="Times New Roman" w:cs="Arial"/>
                <w:snapToGrid w:val="0"/>
                <w:szCs w:val="20"/>
              </w:rPr>
              <w:t>assessment of the resubmission a</w:t>
            </w:r>
            <w:r w:rsidR="00557C56">
              <w:rPr>
                <w:rFonts w:eastAsia="Times New Roman" w:cs="Arial"/>
                <w:snapToGrid w:val="0"/>
                <w:szCs w:val="20"/>
              </w:rPr>
              <w:t xml:space="preserve">n additional </w:t>
            </w:r>
            <w:r w:rsidR="005F7055">
              <w:rPr>
                <w:rFonts w:eastAsia="Times New Roman" w:cs="Arial"/>
                <w:snapToGrid w:val="0"/>
                <w:szCs w:val="20"/>
              </w:rPr>
              <w:t xml:space="preserve">trial </w:t>
            </w:r>
            <w:r w:rsidR="00585648">
              <w:rPr>
                <w:rFonts w:eastAsia="Times New Roman" w:cs="Arial"/>
                <w:snapToGrid w:val="0"/>
                <w:szCs w:val="20"/>
              </w:rPr>
              <w:t xml:space="preserve">was identified </w:t>
            </w:r>
            <w:r w:rsidR="00CC183B">
              <w:rPr>
                <w:rFonts w:eastAsia="Times New Roman" w:cs="Arial"/>
                <w:snapToGrid w:val="0"/>
                <w:szCs w:val="20"/>
              </w:rPr>
              <w:t xml:space="preserve">after the </w:t>
            </w:r>
            <w:r w:rsidR="00395BA9">
              <w:rPr>
                <w:rFonts w:eastAsia="Times New Roman" w:cs="Arial"/>
                <w:snapToGrid w:val="0"/>
                <w:szCs w:val="20"/>
              </w:rPr>
              <w:t xml:space="preserve">applicant’s </w:t>
            </w:r>
            <w:r w:rsidR="00625731">
              <w:rPr>
                <w:rFonts w:eastAsia="Times New Roman" w:cs="Arial"/>
                <w:snapToGrid w:val="0"/>
                <w:szCs w:val="20"/>
              </w:rPr>
              <w:t>search</w:t>
            </w:r>
            <w:r w:rsidR="00C5305D">
              <w:rPr>
                <w:rFonts w:eastAsia="Times New Roman" w:cs="Arial"/>
                <w:snapToGrid w:val="0"/>
                <w:szCs w:val="20"/>
              </w:rPr>
              <w:t xml:space="preserve">. This </w:t>
            </w:r>
            <w:r w:rsidR="00BF7BD9">
              <w:rPr>
                <w:rFonts w:eastAsia="Times New Roman" w:cs="Arial"/>
                <w:snapToGrid w:val="0"/>
                <w:szCs w:val="20"/>
              </w:rPr>
              <w:t>was assessed</w:t>
            </w:r>
            <w:r w:rsidR="00BF7BD9" w:rsidDel="00C5305D">
              <w:rPr>
                <w:rFonts w:eastAsia="Times New Roman" w:cs="Arial"/>
                <w:snapToGrid w:val="0"/>
                <w:szCs w:val="20"/>
              </w:rPr>
              <w:t xml:space="preserve"> </w:t>
            </w:r>
            <w:r w:rsidR="00BF7BD9">
              <w:rPr>
                <w:rFonts w:eastAsia="Times New Roman" w:cs="Arial"/>
                <w:snapToGrid w:val="0"/>
                <w:szCs w:val="20"/>
              </w:rPr>
              <w:t>and added to the evidence base</w:t>
            </w:r>
            <w:r w:rsidR="00844556">
              <w:rPr>
                <w:rFonts w:eastAsia="Times New Roman" w:cs="Arial"/>
                <w:snapToGrid w:val="0"/>
                <w:szCs w:val="20"/>
              </w:rPr>
              <w:t>. It</w:t>
            </w:r>
            <w:r w:rsidR="002B44F7">
              <w:rPr>
                <w:rFonts w:eastAsia="Times New Roman" w:cs="Arial"/>
                <w:snapToGrid w:val="0"/>
                <w:szCs w:val="20"/>
              </w:rPr>
              <w:t xml:space="preserve"> </w:t>
            </w:r>
            <w:r w:rsidR="002E78C0">
              <w:rPr>
                <w:rFonts w:eastAsia="Times New Roman" w:cs="Arial"/>
                <w:snapToGrid w:val="0"/>
                <w:szCs w:val="20"/>
              </w:rPr>
              <w:t xml:space="preserve">assessed RT-CGM against SMBG </w:t>
            </w:r>
            <w:r w:rsidR="00F46864">
              <w:rPr>
                <w:rFonts w:eastAsia="Times New Roman" w:cs="Arial"/>
                <w:snapToGrid w:val="0"/>
                <w:szCs w:val="20"/>
              </w:rPr>
              <w:t>in the</w:t>
            </w:r>
            <w:r w:rsidR="00600068">
              <w:rPr>
                <w:rFonts w:eastAsia="Times New Roman" w:cs="Arial"/>
                <w:snapToGrid w:val="0"/>
                <w:szCs w:val="20"/>
              </w:rPr>
              <w:t xml:space="preserve"> same subpopulation </w:t>
            </w:r>
            <w:r w:rsidR="005802D0">
              <w:rPr>
                <w:rFonts w:eastAsia="Times New Roman" w:cs="Arial"/>
                <w:snapToGrid w:val="0"/>
                <w:szCs w:val="20"/>
              </w:rPr>
              <w:t xml:space="preserve">(non IIT) </w:t>
            </w:r>
            <w:r w:rsidR="00F97D04">
              <w:rPr>
                <w:rFonts w:eastAsia="Times New Roman" w:cs="Arial"/>
                <w:snapToGrid w:val="0"/>
                <w:szCs w:val="20"/>
              </w:rPr>
              <w:t>assessed by the MOBILE trial</w:t>
            </w:r>
            <w:r w:rsidR="000209C4">
              <w:rPr>
                <w:rFonts w:eastAsia="Times New Roman" w:cs="Arial"/>
                <w:snapToGrid w:val="0"/>
                <w:szCs w:val="20"/>
              </w:rPr>
              <w:t xml:space="preserve">. </w:t>
            </w:r>
            <w:r w:rsidR="00557C56">
              <w:rPr>
                <w:rFonts w:eastAsia="Times New Roman" w:cs="Arial"/>
                <w:snapToGrid w:val="0"/>
                <w:szCs w:val="20"/>
              </w:rPr>
              <w:t xml:space="preserve">Evidence from </w:t>
            </w:r>
            <w:r w:rsidR="000209C4">
              <w:rPr>
                <w:rFonts w:eastAsia="Times New Roman" w:cs="Arial"/>
                <w:snapToGrid w:val="0"/>
                <w:szCs w:val="20"/>
              </w:rPr>
              <w:t xml:space="preserve">this </w:t>
            </w:r>
            <w:r w:rsidR="001804C3">
              <w:rPr>
                <w:rFonts w:eastAsia="Times New Roman" w:cs="Arial"/>
                <w:snapToGrid w:val="0"/>
                <w:szCs w:val="20"/>
              </w:rPr>
              <w:t xml:space="preserve">very recently published trial </w:t>
            </w:r>
            <w:r w:rsidR="00F46864">
              <w:rPr>
                <w:rFonts w:eastAsia="Times New Roman" w:cs="Arial"/>
                <w:snapToGrid w:val="0"/>
                <w:szCs w:val="20"/>
              </w:rPr>
              <w:t>strengthen</w:t>
            </w:r>
            <w:r w:rsidR="00D55E03">
              <w:rPr>
                <w:rFonts w:eastAsia="Times New Roman" w:cs="Arial"/>
                <w:snapToGrid w:val="0"/>
                <w:szCs w:val="20"/>
              </w:rPr>
              <w:t>s</w:t>
            </w:r>
            <w:r w:rsidR="00F46864">
              <w:rPr>
                <w:rFonts w:eastAsia="Times New Roman" w:cs="Arial"/>
                <w:snapToGrid w:val="0"/>
                <w:szCs w:val="20"/>
              </w:rPr>
              <w:t xml:space="preserve"> the clinical effectiveness claim</w:t>
            </w:r>
            <w:r w:rsidR="00201844">
              <w:rPr>
                <w:rFonts w:eastAsia="Times New Roman" w:cs="Arial"/>
                <w:snapToGrid w:val="0"/>
                <w:szCs w:val="20"/>
              </w:rPr>
              <w:t xml:space="preserve"> in the non-IIT subpopulation </w:t>
            </w:r>
            <w:r w:rsidR="0077789A">
              <w:rPr>
                <w:rFonts w:eastAsia="Times New Roman" w:cs="Arial"/>
                <w:snapToGrid w:val="0"/>
                <w:szCs w:val="20"/>
              </w:rPr>
              <w:t>substantially.</w:t>
            </w:r>
            <w:r w:rsidR="004E74EF" w:rsidDel="00D55E03">
              <w:rPr>
                <w:rFonts w:eastAsia="Times New Roman" w:cs="Arial"/>
                <w:snapToGrid w:val="0"/>
                <w:szCs w:val="20"/>
              </w:rPr>
              <w:t xml:space="preserve"> </w:t>
            </w:r>
          </w:p>
        </w:tc>
      </w:tr>
      <w:tr w:rsidR="0082030B" w:rsidRPr="00CE28E3" w14:paraId="3C059140" w14:textId="77777777" w:rsidTr="00D65013">
        <w:trPr>
          <w:trHeight w:val="416"/>
        </w:trPr>
        <w:tc>
          <w:tcPr>
            <w:tcW w:w="600" w:type="pct"/>
          </w:tcPr>
          <w:p w14:paraId="6D9BFFAE" w14:textId="340F9FFA" w:rsidR="00664997" w:rsidRPr="00D4718D" w:rsidRDefault="00664997" w:rsidP="00824458">
            <w:pPr>
              <w:pStyle w:val="TableText"/>
              <w:rPr>
                <w:highlight w:val="yellow"/>
              </w:rPr>
            </w:pPr>
            <w:r w:rsidRPr="00206317">
              <w:lastRenderedPageBreak/>
              <w:t>Clinical evidence</w:t>
            </w:r>
            <w:r>
              <w:t xml:space="preserve"> - </w:t>
            </w:r>
            <w:r w:rsidRPr="00206317">
              <w:t xml:space="preserve">Validity of </w:t>
            </w:r>
            <w:r>
              <w:t xml:space="preserve">the comparative effectiveness </w:t>
            </w:r>
            <w:r w:rsidRPr="00206317">
              <w:t>superiority claim</w:t>
            </w:r>
          </w:p>
        </w:tc>
        <w:tc>
          <w:tcPr>
            <w:tcW w:w="2235" w:type="pct"/>
          </w:tcPr>
          <w:p w14:paraId="1A26C319" w14:textId="4CB297A2" w:rsidR="00664997" w:rsidRDefault="0097334D" w:rsidP="00824458">
            <w:pPr>
              <w:pStyle w:val="TableText"/>
              <w:rPr>
                <w:rFonts w:eastAsia="Times New Roman" w:cs="Arial"/>
                <w:snapToGrid w:val="0"/>
                <w:szCs w:val="20"/>
              </w:rPr>
            </w:pPr>
            <w:r>
              <w:rPr>
                <w:rFonts w:eastAsia="Times New Roman" w:cs="Arial"/>
                <w:snapToGrid w:val="0"/>
                <w:szCs w:val="20"/>
              </w:rPr>
              <w:t>I</w:t>
            </w:r>
            <w:r w:rsidR="007416D7">
              <w:rPr>
                <w:rFonts w:eastAsia="Times New Roman" w:cs="Arial"/>
                <w:snapToGrid w:val="0"/>
                <w:szCs w:val="20"/>
              </w:rPr>
              <w:t>n responding to the</w:t>
            </w:r>
            <w:r>
              <w:rPr>
                <w:rFonts w:eastAsia="Times New Roman" w:cs="Arial"/>
                <w:snapToGrid w:val="0"/>
                <w:szCs w:val="20"/>
              </w:rPr>
              <w:t xml:space="preserve"> original ADAR 1785, </w:t>
            </w:r>
            <w:r w:rsidR="00664997" w:rsidRPr="00063EE9">
              <w:rPr>
                <w:rFonts w:eastAsia="Times New Roman" w:cs="Arial"/>
                <w:snapToGrid w:val="0"/>
                <w:szCs w:val="20"/>
              </w:rPr>
              <w:t xml:space="preserve">MSAC questioned the appropriateness of the clinical superiority claim based on the limited strength of the comparative evidence presented </w:t>
            </w:r>
            <w:r w:rsidR="00664997">
              <w:rPr>
                <w:rFonts w:eastAsia="Times New Roman" w:cs="Arial"/>
                <w:snapToGrid w:val="0"/>
                <w:szCs w:val="20"/>
              </w:rPr>
              <w:t>for</w:t>
            </w:r>
            <w:r w:rsidR="00664997" w:rsidRPr="00063EE9">
              <w:rPr>
                <w:rFonts w:eastAsia="Times New Roman" w:cs="Arial"/>
                <w:snapToGrid w:val="0"/>
                <w:szCs w:val="20"/>
              </w:rPr>
              <w:t xml:space="preserve"> Dexcom ONE+ against SMBG. MSAC argued that based on the available data, a claim of non-inferior effectiveness is mo</w:t>
            </w:r>
            <w:r w:rsidR="00664997">
              <w:rPr>
                <w:rFonts w:eastAsia="Times New Roman" w:cs="Arial"/>
                <w:snapToGrid w:val="0"/>
                <w:szCs w:val="20"/>
              </w:rPr>
              <w:t>re</w:t>
            </w:r>
            <w:r w:rsidR="00664997" w:rsidRPr="00063EE9">
              <w:rPr>
                <w:rFonts w:eastAsia="Times New Roman" w:cs="Arial"/>
                <w:snapToGrid w:val="0"/>
                <w:szCs w:val="20"/>
              </w:rPr>
              <w:t xml:space="preserve"> appropriate. </w:t>
            </w:r>
            <w:r w:rsidR="00664997" w:rsidRPr="00063EE9">
              <w:rPr>
                <w:rFonts w:eastAsia="Times New Roman" w:cs="Arial"/>
                <w:bCs/>
                <w:snapToGrid w:val="0"/>
                <w:szCs w:val="20"/>
              </w:rPr>
              <w:t>(</w:t>
            </w:r>
            <w:r w:rsidR="00664997" w:rsidRPr="00302E12">
              <w:t>1785</w:t>
            </w:r>
            <w:r w:rsidR="00664997">
              <w:t xml:space="preserve"> </w:t>
            </w:r>
            <w:r w:rsidR="00664997" w:rsidRPr="00AE39AA">
              <w:rPr>
                <w:rFonts w:eastAsia="Times New Roman" w:cs="Arial"/>
                <w:snapToGrid w:val="0"/>
                <w:szCs w:val="20"/>
              </w:rPr>
              <w:t xml:space="preserve">PSD, </w:t>
            </w:r>
            <w:r w:rsidR="009F5B5D">
              <w:rPr>
                <w:rFonts w:eastAsia="Times New Roman" w:cs="Arial"/>
                <w:snapToGrid w:val="0"/>
                <w:szCs w:val="20"/>
              </w:rPr>
              <w:t>p.</w:t>
            </w:r>
            <w:r w:rsidR="00664997" w:rsidRPr="00AE39AA">
              <w:rPr>
                <w:rFonts w:eastAsia="Times New Roman" w:cs="Arial"/>
                <w:snapToGrid w:val="0"/>
                <w:szCs w:val="20"/>
              </w:rPr>
              <w:t xml:space="preserve"> 1 and </w:t>
            </w:r>
            <w:r w:rsidR="009F5B5D">
              <w:rPr>
                <w:rFonts w:eastAsia="Times New Roman" w:cs="Arial"/>
                <w:snapToGrid w:val="0"/>
                <w:szCs w:val="20"/>
              </w:rPr>
              <w:t>p.</w:t>
            </w:r>
            <w:r w:rsidR="00664997" w:rsidRPr="00AE39AA">
              <w:rPr>
                <w:rFonts w:eastAsia="Times New Roman" w:cs="Arial"/>
                <w:snapToGrid w:val="0"/>
                <w:szCs w:val="20"/>
              </w:rPr>
              <w:t xml:space="preserve"> </w:t>
            </w:r>
            <w:r w:rsidR="00664997" w:rsidRPr="00AE39AA">
              <w:rPr>
                <w:rFonts w:eastAsia="Times New Roman" w:cs="Arial"/>
                <w:bCs/>
                <w:snapToGrid w:val="0"/>
                <w:szCs w:val="20"/>
              </w:rPr>
              <w:t>6</w:t>
            </w:r>
            <w:r w:rsidR="00664997" w:rsidRPr="00AE39AA">
              <w:rPr>
                <w:rFonts w:eastAsia="Times New Roman" w:cs="Arial"/>
                <w:snapToGrid w:val="0"/>
                <w:szCs w:val="20"/>
              </w:rPr>
              <w:t>)</w:t>
            </w:r>
            <w:r w:rsidR="00664997">
              <w:rPr>
                <w:rFonts w:eastAsia="Times New Roman" w:cs="Arial"/>
                <w:snapToGrid w:val="0"/>
                <w:szCs w:val="20"/>
              </w:rPr>
              <w:t xml:space="preserve">  </w:t>
            </w:r>
            <w:r w:rsidR="007A4BB5">
              <w:rPr>
                <w:rFonts w:eastAsia="Times New Roman" w:cs="Arial"/>
                <w:snapToGrid w:val="0"/>
                <w:szCs w:val="20"/>
              </w:rPr>
              <w:t xml:space="preserve"> </w:t>
            </w:r>
            <w:r w:rsidR="00141D99">
              <w:rPr>
                <w:rFonts w:eastAsia="Times New Roman" w:cs="Arial"/>
                <w:snapToGrid w:val="0"/>
                <w:szCs w:val="20"/>
              </w:rPr>
              <w:t>H</w:t>
            </w:r>
            <w:r w:rsidR="00945676">
              <w:rPr>
                <w:rFonts w:eastAsia="Times New Roman" w:cs="Arial"/>
                <w:snapToGrid w:val="0"/>
                <w:szCs w:val="20"/>
              </w:rPr>
              <w:t>b</w:t>
            </w:r>
            <w:r w:rsidR="004B7785">
              <w:rPr>
                <w:rFonts w:eastAsia="Times New Roman" w:cs="Arial"/>
                <w:snapToGrid w:val="0"/>
                <w:szCs w:val="20"/>
              </w:rPr>
              <w:t xml:space="preserve">A1c </w:t>
            </w:r>
            <w:r w:rsidR="00331AC5">
              <w:rPr>
                <w:rFonts w:eastAsia="Times New Roman" w:cs="Arial"/>
                <w:snapToGrid w:val="0"/>
                <w:szCs w:val="20"/>
              </w:rPr>
              <w:t>concentration (%</w:t>
            </w:r>
            <w:r w:rsidR="0036596C">
              <w:rPr>
                <w:rFonts w:eastAsia="Times New Roman" w:cs="Arial"/>
                <w:snapToGrid w:val="0"/>
                <w:szCs w:val="20"/>
              </w:rPr>
              <w:t>), difference</w:t>
            </w:r>
            <w:r w:rsidR="003028D3">
              <w:rPr>
                <w:rFonts w:eastAsia="Times New Roman" w:cs="Arial"/>
                <w:snapToGrid w:val="0"/>
                <w:szCs w:val="20"/>
              </w:rPr>
              <w:t xml:space="preserve"> in </w:t>
            </w:r>
            <w:r w:rsidR="00331AC5">
              <w:rPr>
                <w:rFonts w:eastAsia="Times New Roman" w:cs="Arial"/>
                <w:snapToGrid w:val="0"/>
                <w:szCs w:val="20"/>
              </w:rPr>
              <w:t xml:space="preserve">mean change from </w:t>
            </w:r>
            <w:r w:rsidR="003028D3">
              <w:rPr>
                <w:rFonts w:eastAsia="Times New Roman" w:cs="Arial"/>
                <w:snapToGrid w:val="0"/>
                <w:szCs w:val="20"/>
              </w:rPr>
              <w:t xml:space="preserve">baseline between groups was the primary outcome assessed to inform the conclusion of the clinical claim. </w:t>
            </w:r>
            <w:r w:rsidR="004A2255">
              <w:rPr>
                <w:rFonts w:eastAsia="Times New Roman" w:cs="Arial"/>
                <w:snapToGrid w:val="0"/>
                <w:szCs w:val="20"/>
              </w:rPr>
              <w:t>The result</w:t>
            </w:r>
            <w:r w:rsidR="009D1484">
              <w:rPr>
                <w:rFonts w:eastAsia="Times New Roman" w:cs="Arial"/>
                <w:snapToGrid w:val="0"/>
                <w:szCs w:val="20"/>
              </w:rPr>
              <w:t xml:space="preserve"> favouring </w:t>
            </w:r>
            <w:r w:rsidR="006123BE">
              <w:rPr>
                <w:rFonts w:eastAsia="Times New Roman" w:cs="Arial"/>
                <w:snapToGrid w:val="0"/>
                <w:szCs w:val="20"/>
              </w:rPr>
              <w:t xml:space="preserve">Dexcom ONE+ being </w:t>
            </w:r>
            <w:r w:rsidR="00664997" w:rsidRPr="000955AD">
              <w:rPr>
                <w:rFonts w:eastAsia="Times New Roman" w:cs="Arial"/>
                <w:snapToGrid w:val="0"/>
                <w:szCs w:val="20"/>
              </w:rPr>
              <w:t>less than the</w:t>
            </w:r>
            <w:r w:rsidR="00664997">
              <w:rPr>
                <w:rFonts w:eastAsia="Times New Roman" w:cs="Arial"/>
                <w:snapToGrid w:val="0"/>
                <w:szCs w:val="20"/>
              </w:rPr>
              <w:t xml:space="preserve"> MCID </w:t>
            </w:r>
            <w:r w:rsidR="00664997" w:rsidRPr="000955AD">
              <w:rPr>
                <w:rFonts w:eastAsia="Times New Roman" w:cs="Arial"/>
                <w:snapToGrid w:val="0"/>
                <w:szCs w:val="20"/>
              </w:rPr>
              <w:t>(of 0.5%) generally accepted as sufficient to indicate a meaningful difference between groups in this outcome (including by PBAC)</w:t>
            </w:r>
            <w:r w:rsidR="00664997">
              <w:rPr>
                <w:rFonts w:eastAsia="Times New Roman" w:cs="Arial"/>
                <w:snapToGrid w:val="0"/>
                <w:szCs w:val="20"/>
              </w:rPr>
              <w:t xml:space="preserve"> was the main concern raised. Imprecision was </w:t>
            </w:r>
            <w:r w:rsidR="00AA4A89">
              <w:rPr>
                <w:rFonts w:eastAsia="Times New Roman" w:cs="Arial"/>
                <w:snapToGrid w:val="0"/>
                <w:szCs w:val="20"/>
              </w:rPr>
              <w:t>another concern for the findings not based on meta-analysis.</w:t>
            </w:r>
            <w:r w:rsidR="00664997">
              <w:rPr>
                <w:rFonts w:eastAsia="Times New Roman" w:cs="Arial"/>
                <w:snapToGrid w:val="0"/>
                <w:szCs w:val="20"/>
              </w:rPr>
              <w:t xml:space="preserve"> For the meta-analysis, time points varying across included studies was highlighted as a</w:t>
            </w:r>
            <w:r w:rsidR="00AA4A89">
              <w:rPr>
                <w:rFonts w:eastAsia="Times New Roman" w:cs="Arial"/>
                <w:snapToGrid w:val="0"/>
                <w:szCs w:val="20"/>
              </w:rPr>
              <w:t xml:space="preserve"> critical issue</w:t>
            </w:r>
            <w:r w:rsidR="002D7D62">
              <w:rPr>
                <w:rFonts w:eastAsia="Times New Roman" w:cs="Arial"/>
                <w:snapToGrid w:val="0"/>
                <w:szCs w:val="20"/>
              </w:rPr>
              <w:t xml:space="preserve"> (</w:t>
            </w:r>
            <w:r w:rsidR="00664997">
              <w:rPr>
                <w:rFonts w:eastAsia="Times New Roman" w:cs="Arial"/>
                <w:snapToGrid w:val="0"/>
                <w:szCs w:val="20"/>
              </w:rPr>
              <w:t xml:space="preserve">1785 PSD, </w:t>
            </w:r>
            <w:r w:rsidR="009F5B5D">
              <w:rPr>
                <w:rFonts w:eastAsia="Times New Roman" w:cs="Arial"/>
                <w:snapToGrid w:val="0"/>
                <w:szCs w:val="20"/>
              </w:rPr>
              <w:t>p.</w:t>
            </w:r>
            <w:r w:rsidR="00664997">
              <w:rPr>
                <w:rFonts w:eastAsia="Times New Roman" w:cs="Arial"/>
                <w:snapToGrid w:val="0"/>
                <w:szCs w:val="20"/>
              </w:rPr>
              <w:t xml:space="preserve"> 6)</w:t>
            </w:r>
          </w:p>
          <w:p w14:paraId="68A09BB7" w14:textId="77777777" w:rsidR="00664997" w:rsidRDefault="00664997" w:rsidP="00824458">
            <w:pPr>
              <w:pStyle w:val="TableText"/>
              <w:rPr>
                <w:rFonts w:eastAsia="Times New Roman" w:cs="Arial"/>
                <w:snapToGrid w:val="0"/>
                <w:szCs w:val="20"/>
              </w:rPr>
            </w:pPr>
          </w:p>
          <w:p w14:paraId="3795CA57" w14:textId="6D8B5140" w:rsidR="005F0964" w:rsidRDefault="00664997" w:rsidP="00824458">
            <w:pPr>
              <w:pStyle w:val="TableText"/>
              <w:rPr>
                <w:rFonts w:eastAsia="Times New Roman" w:cs="Arial"/>
                <w:snapToGrid w:val="0"/>
                <w:szCs w:val="20"/>
              </w:rPr>
            </w:pPr>
            <w:r>
              <w:rPr>
                <w:rFonts w:eastAsia="Times New Roman" w:cs="Arial"/>
                <w:snapToGrid w:val="0"/>
                <w:szCs w:val="20"/>
              </w:rPr>
              <w:t>In the original application, n</w:t>
            </w:r>
            <w:r w:rsidRPr="00DB35BB">
              <w:rPr>
                <w:rFonts w:eastAsia="Times New Roman" w:cs="Arial"/>
                <w:snapToGrid w:val="0"/>
                <w:szCs w:val="20"/>
              </w:rPr>
              <w:t>o clinical comparison was conducted against FSL/FGM</w:t>
            </w:r>
            <w:r w:rsidR="0056157B">
              <w:rPr>
                <w:rFonts w:eastAsia="Times New Roman" w:cs="Arial"/>
                <w:snapToGrid w:val="0"/>
                <w:szCs w:val="20"/>
              </w:rPr>
              <w:t>. This</w:t>
            </w:r>
            <w:r w:rsidR="00EE5EBF">
              <w:rPr>
                <w:rFonts w:eastAsia="Times New Roman" w:cs="Arial"/>
                <w:snapToGrid w:val="0"/>
                <w:szCs w:val="20"/>
              </w:rPr>
              <w:t xml:space="preserve"> was not raised as </w:t>
            </w:r>
            <w:r w:rsidR="0056157B">
              <w:rPr>
                <w:rFonts w:eastAsia="Times New Roman" w:cs="Arial"/>
                <w:snapToGrid w:val="0"/>
                <w:szCs w:val="20"/>
              </w:rPr>
              <w:t>an issue</w:t>
            </w:r>
            <w:r w:rsidR="003211E2">
              <w:rPr>
                <w:rFonts w:eastAsia="Times New Roman" w:cs="Arial"/>
                <w:snapToGrid w:val="0"/>
                <w:szCs w:val="20"/>
              </w:rPr>
              <w:t>,</w:t>
            </w:r>
            <w:r w:rsidR="0056157B">
              <w:rPr>
                <w:rFonts w:eastAsia="Times New Roman" w:cs="Arial"/>
                <w:snapToGrid w:val="0"/>
                <w:szCs w:val="20"/>
              </w:rPr>
              <w:t xml:space="preserve"> </w:t>
            </w:r>
            <w:r w:rsidR="003211E2">
              <w:rPr>
                <w:rFonts w:eastAsia="Times New Roman" w:cs="Arial"/>
                <w:snapToGrid w:val="0"/>
                <w:szCs w:val="20"/>
              </w:rPr>
              <w:t>b</w:t>
            </w:r>
            <w:r w:rsidR="0056157B">
              <w:rPr>
                <w:rFonts w:eastAsia="Times New Roman" w:cs="Arial"/>
                <w:snapToGrid w:val="0"/>
                <w:szCs w:val="20"/>
              </w:rPr>
              <w:t>y</w:t>
            </w:r>
            <w:r w:rsidR="00EE5EBF">
              <w:rPr>
                <w:rFonts w:eastAsia="Times New Roman" w:cs="Arial"/>
                <w:snapToGrid w:val="0"/>
                <w:szCs w:val="20"/>
              </w:rPr>
              <w:t xml:space="preserve"> MSAC</w:t>
            </w:r>
            <w:r w:rsidR="0056157B">
              <w:rPr>
                <w:rFonts w:eastAsia="Times New Roman" w:cs="Arial"/>
                <w:snapToGrid w:val="0"/>
                <w:szCs w:val="20"/>
              </w:rPr>
              <w:t xml:space="preserve"> or the ESC.</w:t>
            </w:r>
            <w:r w:rsidR="00EE5EBF">
              <w:rPr>
                <w:rFonts w:eastAsia="Times New Roman" w:cs="Arial"/>
                <w:snapToGrid w:val="0"/>
                <w:szCs w:val="20"/>
              </w:rPr>
              <w:t xml:space="preserve"> Rather, </w:t>
            </w:r>
            <w:r w:rsidRPr="00DB35BB">
              <w:rPr>
                <w:rFonts w:eastAsia="Times New Roman" w:cs="Arial"/>
                <w:snapToGrid w:val="0"/>
                <w:szCs w:val="20"/>
              </w:rPr>
              <w:t xml:space="preserve">“MSAC considered there was limited evidence available to suggest a significant difference in clinical outcomes between different brands of CGM devices with comparable functionality”. (1785 PSD, </w:t>
            </w:r>
            <w:r w:rsidR="009F5B5D">
              <w:rPr>
                <w:rFonts w:eastAsia="Times New Roman" w:cs="Arial"/>
                <w:snapToGrid w:val="0"/>
                <w:szCs w:val="20"/>
              </w:rPr>
              <w:t>p.</w:t>
            </w:r>
            <w:r w:rsidRPr="00DB35BB">
              <w:rPr>
                <w:rFonts w:eastAsia="Times New Roman" w:cs="Arial"/>
                <w:snapToGrid w:val="0"/>
                <w:szCs w:val="20"/>
              </w:rPr>
              <w:t xml:space="preserve"> 2) </w:t>
            </w:r>
          </w:p>
          <w:p w14:paraId="3E4C8132" w14:textId="77777777" w:rsidR="002E4CB3" w:rsidRDefault="002E4CB3" w:rsidP="00824458">
            <w:pPr>
              <w:pStyle w:val="TableText"/>
              <w:rPr>
                <w:rFonts w:eastAsia="Times New Roman" w:cs="Arial"/>
                <w:snapToGrid w:val="0"/>
                <w:szCs w:val="20"/>
              </w:rPr>
            </w:pPr>
          </w:p>
          <w:p w14:paraId="14AC98AB" w14:textId="0BA6966A" w:rsidR="00664997" w:rsidRPr="00D4718D" w:rsidRDefault="00664997" w:rsidP="00824458">
            <w:pPr>
              <w:pStyle w:val="TableText"/>
              <w:rPr>
                <w:rFonts w:eastAsia="Times New Roman" w:cs="Arial"/>
                <w:snapToGrid w:val="0"/>
                <w:color w:val="258221"/>
                <w:szCs w:val="20"/>
                <w:highlight w:val="yellow"/>
              </w:rPr>
            </w:pPr>
            <w:r w:rsidRPr="00DB35BB">
              <w:rPr>
                <w:rFonts w:eastAsia="Times New Roman" w:cs="Arial"/>
                <w:snapToGrid w:val="0"/>
                <w:szCs w:val="20"/>
              </w:rPr>
              <w:t>MSAC</w:t>
            </w:r>
            <w:r w:rsidR="00D761C5">
              <w:rPr>
                <w:rFonts w:eastAsia="Times New Roman" w:cs="Arial"/>
                <w:snapToGrid w:val="0"/>
                <w:szCs w:val="20"/>
              </w:rPr>
              <w:t>, having</w:t>
            </w:r>
            <w:r w:rsidRPr="00DB35BB">
              <w:rPr>
                <w:rFonts w:eastAsia="Times New Roman" w:cs="Arial"/>
                <w:snapToGrid w:val="0"/>
                <w:szCs w:val="20"/>
              </w:rPr>
              <w:t xml:space="preserve"> considered the</w:t>
            </w:r>
            <w:r w:rsidR="007052B1">
              <w:rPr>
                <w:rFonts w:eastAsia="Times New Roman" w:cs="Arial"/>
                <w:snapToGrid w:val="0"/>
                <w:szCs w:val="20"/>
              </w:rPr>
              <w:t xml:space="preserve"> </w:t>
            </w:r>
            <w:r w:rsidR="00BF7F41">
              <w:rPr>
                <w:rFonts w:eastAsia="Times New Roman" w:cs="Arial"/>
                <w:snapToGrid w:val="0"/>
                <w:szCs w:val="20"/>
              </w:rPr>
              <w:t xml:space="preserve">clinical evidence in the original ADAR 1785 </w:t>
            </w:r>
            <w:r w:rsidRPr="00DB35BB">
              <w:rPr>
                <w:rFonts w:eastAsia="Times New Roman" w:cs="Arial"/>
                <w:snapToGrid w:val="0"/>
                <w:szCs w:val="20"/>
              </w:rPr>
              <w:t xml:space="preserve">and </w:t>
            </w:r>
            <w:r w:rsidR="00DA7AFB">
              <w:rPr>
                <w:rFonts w:eastAsia="Times New Roman" w:cs="Arial"/>
                <w:snapToGrid w:val="0"/>
                <w:szCs w:val="20"/>
              </w:rPr>
              <w:t>ADAR</w:t>
            </w:r>
            <w:r w:rsidRPr="00DB35BB">
              <w:rPr>
                <w:rFonts w:eastAsia="Times New Roman" w:cs="Arial"/>
                <w:snapToGrid w:val="0"/>
                <w:szCs w:val="20"/>
              </w:rPr>
              <w:t xml:space="preserve"> 1786, </w:t>
            </w:r>
            <w:r w:rsidR="00703D28">
              <w:rPr>
                <w:rFonts w:eastAsia="Times New Roman" w:cs="Arial"/>
                <w:snapToGrid w:val="0"/>
                <w:szCs w:val="20"/>
              </w:rPr>
              <w:t>concluded</w:t>
            </w:r>
            <w:r w:rsidRPr="00DB35BB">
              <w:rPr>
                <w:rFonts w:eastAsia="Times New Roman" w:cs="Arial"/>
                <w:snapToGrid w:val="0"/>
                <w:szCs w:val="20"/>
              </w:rPr>
              <w:t xml:space="preserve"> that there was likely no difference between the FSL and Dexcom devices in terms of clinical effectiveness</w:t>
            </w:r>
          </w:p>
        </w:tc>
        <w:tc>
          <w:tcPr>
            <w:tcW w:w="2165" w:type="pct"/>
          </w:tcPr>
          <w:p w14:paraId="6D95476E" w14:textId="2D6A96AE" w:rsidR="003D1626" w:rsidRPr="00CC2CBD" w:rsidRDefault="00664997" w:rsidP="00824458">
            <w:pPr>
              <w:pStyle w:val="TableText"/>
              <w:rPr>
                <w:rFonts w:eastAsia="Times New Roman" w:cs="Arial"/>
                <w:b/>
                <w:snapToGrid w:val="0"/>
                <w:szCs w:val="20"/>
              </w:rPr>
            </w:pPr>
            <w:r w:rsidRPr="009F3429">
              <w:rPr>
                <w:rFonts w:eastAsia="Times New Roman" w:cs="Arial"/>
                <w:b/>
                <w:snapToGrid w:val="0"/>
                <w:szCs w:val="20"/>
              </w:rPr>
              <w:t>Not adequately add</w:t>
            </w:r>
            <w:r w:rsidRPr="009F3429">
              <w:rPr>
                <w:rFonts w:eastAsia="Times New Roman" w:cs="Arial"/>
                <w:bCs/>
                <w:snapToGrid w:val="0"/>
                <w:szCs w:val="20"/>
              </w:rPr>
              <w:t>r</w:t>
            </w:r>
            <w:r w:rsidRPr="00CC2CBD">
              <w:rPr>
                <w:rFonts w:eastAsia="Times New Roman" w:cs="Arial"/>
                <w:b/>
                <w:snapToGrid w:val="0"/>
                <w:szCs w:val="20"/>
              </w:rPr>
              <w:t>essed</w:t>
            </w:r>
          </w:p>
          <w:p w14:paraId="114A42A3" w14:textId="1BF921D0" w:rsidR="00234E35" w:rsidRDefault="00965734" w:rsidP="00664997">
            <w:pPr>
              <w:pStyle w:val="TableText"/>
              <w:rPr>
                <w:rFonts w:eastAsia="Times New Roman" w:cs="Arial"/>
                <w:snapToGrid w:val="0"/>
                <w:szCs w:val="20"/>
              </w:rPr>
            </w:pPr>
            <w:r w:rsidRPr="00CC2CBD">
              <w:rPr>
                <w:rFonts w:eastAsia="Times New Roman" w:cs="Arial"/>
                <w:snapToGrid w:val="0"/>
                <w:szCs w:val="20"/>
              </w:rPr>
              <w:t>The applicant</w:t>
            </w:r>
            <w:r w:rsidR="00A23430">
              <w:rPr>
                <w:rFonts w:eastAsia="Times New Roman" w:cs="Arial"/>
                <w:snapToGrid w:val="0"/>
                <w:szCs w:val="20"/>
              </w:rPr>
              <w:t xml:space="preserve">’s </w:t>
            </w:r>
            <w:r w:rsidR="003C2C19" w:rsidRPr="00CC2CBD">
              <w:rPr>
                <w:rFonts w:eastAsia="Times New Roman" w:cs="Arial"/>
                <w:snapToGrid w:val="0"/>
                <w:szCs w:val="20"/>
              </w:rPr>
              <w:t>conclusion</w:t>
            </w:r>
            <w:r w:rsidR="00342E89" w:rsidRPr="00CC2CBD" w:rsidDel="00DD7DE1">
              <w:rPr>
                <w:rFonts w:eastAsia="Times New Roman" w:cs="Arial"/>
                <w:snapToGrid w:val="0"/>
                <w:szCs w:val="20"/>
              </w:rPr>
              <w:t xml:space="preserve"> </w:t>
            </w:r>
            <w:r w:rsidR="00342E89" w:rsidRPr="00CC2CBD" w:rsidDel="00BB7DF6">
              <w:rPr>
                <w:rFonts w:eastAsia="Times New Roman" w:cs="Arial"/>
                <w:snapToGrid w:val="0"/>
                <w:szCs w:val="20"/>
              </w:rPr>
              <w:t>in the ADAR resubmission</w:t>
            </w:r>
            <w:r w:rsidR="003F40ED" w:rsidRPr="00CC2CBD" w:rsidDel="00BB7DF6">
              <w:rPr>
                <w:rFonts w:eastAsia="Times New Roman" w:cs="Arial"/>
                <w:snapToGrid w:val="0"/>
                <w:szCs w:val="20"/>
              </w:rPr>
              <w:t xml:space="preserve"> </w:t>
            </w:r>
            <w:r w:rsidR="003F40ED" w:rsidRPr="00CC2CBD">
              <w:rPr>
                <w:rFonts w:eastAsia="Times New Roman" w:cs="Arial"/>
                <w:snapToGrid w:val="0"/>
                <w:szCs w:val="20"/>
              </w:rPr>
              <w:t>is</w:t>
            </w:r>
            <w:r w:rsidR="003A6427" w:rsidRPr="00CC2CBD">
              <w:rPr>
                <w:rFonts w:eastAsia="Times New Roman" w:cs="Arial"/>
                <w:snapToGrid w:val="0"/>
                <w:szCs w:val="20"/>
              </w:rPr>
              <w:t xml:space="preserve"> </w:t>
            </w:r>
            <w:r w:rsidR="00CC5796">
              <w:rPr>
                <w:rFonts w:eastAsia="Times New Roman" w:cs="Arial"/>
                <w:snapToGrid w:val="0"/>
                <w:szCs w:val="20"/>
              </w:rPr>
              <w:t>that</w:t>
            </w:r>
            <w:r w:rsidR="00BE6FB4">
              <w:rPr>
                <w:rFonts w:eastAsia="Times New Roman" w:cs="Arial"/>
                <w:snapToGrid w:val="0"/>
                <w:szCs w:val="20"/>
              </w:rPr>
              <w:t xml:space="preserve"> </w:t>
            </w:r>
            <w:r w:rsidR="00D550ED">
              <w:rPr>
                <w:rFonts w:eastAsia="Times New Roman" w:cs="Arial"/>
                <w:snapToGrid w:val="0"/>
                <w:szCs w:val="20"/>
              </w:rPr>
              <w:t>RT-CGM compared to SMBG</w:t>
            </w:r>
            <w:r w:rsidR="00C53C65">
              <w:rPr>
                <w:rFonts w:eastAsia="Times New Roman" w:cs="Arial"/>
                <w:snapToGrid w:val="0"/>
                <w:szCs w:val="20"/>
              </w:rPr>
              <w:t xml:space="preserve"> is superior in </w:t>
            </w:r>
            <w:r w:rsidR="00DD7DE1" w:rsidRPr="00CC2CBD">
              <w:rPr>
                <w:rFonts w:eastAsia="Times New Roman" w:cs="Arial"/>
                <w:snapToGrid w:val="0"/>
                <w:szCs w:val="20"/>
              </w:rPr>
              <w:t xml:space="preserve">clinical </w:t>
            </w:r>
            <w:r w:rsidR="00C53C65">
              <w:rPr>
                <w:rFonts w:eastAsia="Times New Roman" w:cs="Arial"/>
                <w:snapToGrid w:val="0"/>
                <w:szCs w:val="20"/>
              </w:rPr>
              <w:t>effectiveness</w:t>
            </w:r>
            <w:r w:rsidR="00D550ED">
              <w:rPr>
                <w:rFonts w:eastAsia="Times New Roman" w:cs="Arial"/>
                <w:snapToGrid w:val="0"/>
                <w:szCs w:val="20"/>
              </w:rPr>
              <w:t xml:space="preserve"> </w:t>
            </w:r>
            <w:r w:rsidR="001174A9" w:rsidRPr="00CC2CBD">
              <w:rPr>
                <w:rFonts w:eastAsia="Times New Roman" w:cs="Arial"/>
                <w:snapToGrid w:val="0"/>
                <w:szCs w:val="20"/>
              </w:rPr>
              <w:t xml:space="preserve">for </w:t>
            </w:r>
            <w:r w:rsidR="002F13F9">
              <w:rPr>
                <w:rFonts w:eastAsia="Times New Roman" w:cs="Arial"/>
                <w:snapToGrid w:val="0"/>
                <w:szCs w:val="20"/>
              </w:rPr>
              <w:t xml:space="preserve">both </w:t>
            </w:r>
            <w:r w:rsidR="001174A9" w:rsidRPr="00CC2CBD">
              <w:rPr>
                <w:rFonts w:eastAsia="Times New Roman" w:cs="Arial"/>
                <w:snapToGrid w:val="0"/>
                <w:szCs w:val="20"/>
              </w:rPr>
              <w:t xml:space="preserve">the </w:t>
            </w:r>
            <w:r w:rsidR="00011067" w:rsidRPr="00CC2CBD">
              <w:rPr>
                <w:rFonts w:eastAsia="Times New Roman" w:cs="Arial"/>
                <w:snapToGrid w:val="0"/>
                <w:szCs w:val="20"/>
              </w:rPr>
              <w:t xml:space="preserve">non-IIT </w:t>
            </w:r>
            <w:r w:rsidR="002F13F9">
              <w:rPr>
                <w:rFonts w:eastAsia="Times New Roman" w:cs="Arial"/>
                <w:snapToGrid w:val="0"/>
                <w:szCs w:val="20"/>
              </w:rPr>
              <w:t>and IIT subpopulations.</w:t>
            </w:r>
            <w:r w:rsidR="00350753">
              <w:rPr>
                <w:rFonts w:eastAsia="Times New Roman" w:cs="Arial"/>
                <w:snapToGrid w:val="0"/>
                <w:szCs w:val="20"/>
              </w:rPr>
              <w:t xml:space="preserve"> Considering the strength</w:t>
            </w:r>
            <w:r w:rsidR="007D6A41">
              <w:rPr>
                <w:rFonts w:eastAsia="Times New Roman" w:cs="Arial"/>
                <w:snapToGrid w:val="0"/>
                <w:szCs w:val="20"/>
              </w:rPr>
              <w:t xml:space="preserve"> of the primary</w:t>
            </w:r>
            <w:r w:rsidR="000A384D">
              <w:rPr>
                <w:rFonts w:eastAsia="Times New Roman" w:cs="Arial"/>
                <w:snapToGrid w:val="0"/>
                <w:szCs w:val="20"/>
              </w:rPr>
              <w:t xml:space="preserve"> </w:t>
            </w:r>
            <w:r w:rsidR="00350753">
              <w:rPr>
                <w:rFonts w:eastAsia="Times New Roman" w:cs="Arial"/>
                <w:snapToGrid w:val="0"/>
                <w:szCs w:val="20"/>
              </w:rPr>
              <w:t>outcome evidence</w:t>
            </w:r>
            <w:r w:rsidR="00B8636C">
              <w:rPr>
                <w:rFonts w:eastAsia="Times New Roman" w:cs="Arial"/>
                <w:snapToGrid w:val="0"/>
                <w:szCs w:val="20"/>
              </w:rPr>
              <w:t xml:space="preserve"> </w:t>
            </w:r>
            <w:r w:rsidR="00350753">
              <w:rPr>
                <w:rFonts w:eastAsia="Times New Roman" w:cs="Arial"/>
                <w:snapToGrid w:val="0"/>
                <w:szCs w:val="20"/>
              </w:rPr>
              <w:t xml:space="preserve">presented in support of this claim, this </w:t>
            </w:r>
            <w:r w:rsidR="000138EC">
              <w:rPr>
                <w:rFonts w:eastAsia="Times New Roman" w:cs="Arial"/>
                <w:snapToGrid w:val="0"/>
                <w:szCs w:val="20"/>
              </w:rPr>
              <w:t xml:space="preserve">conclusion is not supported. The </w:t>
            </w:r>
            <w:r w:rsidR="008F6451">
              <w:rPr>
                <w:rFonts w:eastAsia="Times New Roman" w:cs="Arial"/>
                <w:snapToGrid w:val="0"/>
                <w:szCs w:val="20"/>
              </w:rPr>
              <w:t>low</w:t>
            </w:r>
            <w:r w:rsidR="00C32FA1">
              <w:rPr>
                <w:rFonts w:eastAsia="Times New Roman" w:cs="Arial"/>
                <w:snapToGrid w:val="0"/>
                <w:szCs w:val="20"/>
              </w:rPr>
              <w:t>-</w:t>
            </w:r>
            <w:r w:rsidR="008F6451">
              <w:rPr>
                <w:rFonts w:eastAsia="Times New Roman" w:cs="Arial"/>
                <w:snapToGrid w:val="0"/>
                <w:szCs w:val="20"/>
              </w:rPr>
              <w:t xml:space="preserve"> to very low</w:t>
            </w:r>
            <w:r w:rsidR="00C32FA1">
              <w:rPr>
                <w:rFonts w:eastAsia="Times New Roman" w:cs="Arial"/>
                <w:snapToGrid w:val="0"/>
                <w:szCs w:val="20"/>
              </w:rPr>
              <w:t>-</w:t>
            </w:r>
            <w:r w:rsidR="008F6451">
              <w:rPr>
                <w:rFonts w:eastAsia="Times New Roman" w:cs="Arial"/>
                <w:snapToGrid w:val="0"/>
                <w:szCs w:val="20"/>
              </w:rPr>
              <w:t>certainty HbA1c</w:t>
            </w:r>
            <w:r w:rsidR="000138EC">
              <w:rPr>
                <w:rFonts w:eastAsia="Times New Roman" w:cs="Arial"/>
                <w:snapToGrid w:val="0"/>
                <w:szCs w:val="20"/>
              </w:rPr>
              <w:t xml:space="preserve"> </w:t>
            </w:r>
            <w:r w:rsidR="008719E1">
              <w:rPr>
                <w:rFonts w:eastAsia="Times New Roman" w:cs="Arial"/>
                <w:snapToGrid w:val="0"/>
                <w:szCs w:val="20"/>
              </w:rPr>
              <w:t>outcome evidence</w:t>
            </w:r>
            <w:r w:rsidR="000138EC">
              <w:rPr>
                <w:rFonts w:eastAsia="Times New Roman" w:cs="Arial"/>
                <w:snapToGrid w:val="0"/>
                <w:szCs w:val="20"/>
              </w:rPr>
              <w:t xml:space="preserve"> </w:t>
            </w:r>
            <w:r w:rsidR="0088732B">
              <w:rPr>
                <w:rFonts w:eastAsia="Times New Roman" w:cs="Arial"/>
                <w:snapToGrid w:val="0"/>
                <w:szCs w:val="20"/>
              </w:rPr>
              <w:t xml:space="preserve">summarised </w:t>
            </w:r>
            <w:r w:rsidR="000138EC">
              <w:rPr>
                <w:rFonts w:eastAsia="Times New Roman" w:cs="Arial"/>
                <w:snapToGrid w:val="0"/>
                <w:szCs w:val="20"/>
              </w:rPr>
              <w:t>better support</w:t>
            </w:r>
            <w:r w:rsidR="00EE24E6">
              <w:rPr>
                <w:rFonts w:eastAsia="Times New Roman" w:cs="Arial"/>
                <w:snapToGrid w:val="0"/>
                <w:szCs w:val="20"/>
              </w:rPr>
              <w:t>s</w:t>
            </w:r>
            <w:r w:rsidR="000138EC">
              <w:rPr>
                <w:rFonts w:eastAsia="Times New Roman" w:cs="Arial"/>
                <w:snapToGrid w:val="0"/>
                <w:szCs w:val="20"/>
              </w:rPr>
              <w:t xml:space="preserve"> </w:t>
            </w:r>
            <w:r w:rsidR="006678D9">
              <w:rPr>
                <w:rFonts w:eastAsia="Times New Roman" w:cs="Arial"/>
                <w:snapToGrid w:val="0"/>
                <w:szCs w:val="20"/>
              </w:rPr>
              <w:t>a</w:t>
            </w:r>
            <w:r w:rsidR="002539A7">
              <w:rPr>
                <w:rFonts w:eastAsia="Times New Roman" w:cs="Arial"/>
                <w:snapToGrid w:val="0"/>
                <w:szCs w:val="20"/>
              </w:rPr>
              <w:t xml:space="preserve"> </w:t>
            </w:r>
            <w:r w:rsidR="00D13104" w:rsidRPr="00CC2CBD">
              <w:rPr>
                <w:rFonts w:eastAsia="Times New Roman" w:cs="Arial"/>
                <w:snapToGrid w:val="0"/>
                <w:szCs w:val="20"/>
              </w:rPr>
              <w:t>claim</w:t>
            </w:r>
            <w:r w:rsidR="006678D9">
              <w:rPr>
                <w:rFonts w:eastAsia="Times New Roman" w:cs="Arial"/>
                <w:snapToGrid w:val="0"/>
                <w:szCs w:val="20"/>
              </w:rPr>
              <w:t xml:space="preserve"> of</w:t>
            </w:r>
            <w:r w:rsidR="00D13104" w:rsidRPr="00CC2CBD">
              <w:rPr>
                <w:rFonts w:eastAsia="Times New Roman" w:cs="Arial"/>
                <w:snapToGrid w:val="0"/>
                <w:szCs w:val="20"/>
              </w:rPr>
              <w:t xml:space="preserve"> non-inferior </w:t>
            </w:r>
            <w:r w:rsidR="00E64A90" w:rsidRPr="00CC2CBD">
              <w:rPr>
                <w:rFonts w:eastAsia="Times New Roman" w:cs="Arial"/>
                <w:snapToGrid w:val="0"/>
                <w:szCs w:val="20"/>
              </w:rPr>
              <w:t>effectiveness of</w:t>
            </w:r>
            <w:r w:rsidR="00C16D20" w:rsidRPr="00CC2CBD">
              <w:rPr>
                <w:rFonts w:eastAsia="Times New Roman" w:cs="Arial"/>
                <w:snapToGrid w:val="0"/>
                <w:szCs w:val="20"/>
              </w:rPr>
              <w:t xml:space="preserve"> </w:t>
            </w:r>
            <w:r w:rsidR="00AB674C" w:rsidRPr="00CC2CBD">
              <w:rPr>
                <w:rFonts w:eastAsia="Times New Roman" w:cs="Arial"/>
                <w:snapToGrid w:val="0"/>
                <w:szCs w:val="20"/>
              </w:rPr>
              <w:t xml:space="preserve">RT-CGM </w:t>
            </w:r>
            <w:r w:rsidR="00E64A90" w:rsidRPr="00CC2CBD">
              <w:rPr>
                <w:rFonts w:eastAsia="Times New Roman" w:cs="Arial"/>
                <w:snapToGrid w:val="0"/>
                <w:szCs w:val="20"/>
              </w:rPr>
              <w:t>over SMBG</w:t>
            </w:r>
            <w:r w:rsidR="008D3CF7">
              <w:rPr>
                <w:rFonts w:eastAsia="Times New Roman" w:cs="Arial"/>
                <w:snapToGrid w:val="0"/>
                <w:szCs w:val="20"/>
              </w:rPr>
              <w:t xml:space="preserve">. </w:t>
            </w:r>
            <w:r w:rsidR="005C0108">
              <w:rPr>
                <w:rFonts w:eastAsia="Times New Roman" w:cs="Arial"/>
                <w:snapToGrid w:val="0"/>
                <w:szCs w:val="20"/>
              </w:rPr>
              <w:t>The uncertainties</w:t>
            </w:r>
            <w:r w:rsidR="005C0108" w:rsidDel="003A2E64">
              <w:rPr>
                <w:rFonts w:eastAsia="Times New Roman" w:cs="Arial"/>
                <w:snapToGrid w:val="0"/>
                <w:szCs w:val="20"/>
              </w:rPr>
              <w:t xml:space="preserve"> </w:t>
            </w:r>
            <w:r w:rsidR="005C0108">
              <w:rPr>
                <w:rFonts w:eastAsia="Times New Roman" w:cs="Arial"/>
                <w:snapToGrid w:val="0"/>
                <w:szCs w:val="20"/>
              </w:rPr>
              <w:t>of the evidence</w:t>
            </w:r>
            <w:r w:rsidR="00EB34FC">
              <w:rPr>
                <w:rFonts w:eastAsia="Times New Roman" w:cs="Arial"/>
                <w:snapToGrid w:val="0"/>
                <w:szCs w:val="20"/>
              </w:rPr>
              <w:t xml:space="preserve"> presented for the subpopulations are consistent with those </w:t>
            </w:r>
            <w:r w:rsidR="00BA2B38">
              <w:rPr>
                <w:rFonts w:eastAsia="Times New Roman" w:cs="Arial"/>
                <w:snapToGrid w:val="0"/>
                <w:szCs w:val="20"/>
              </w:rPr>
              <w:t>presented by MS</w:t>
            </w:r>
            <w:r w:rsidR="002B0538">
              <w:rPr>
                <w:rFonts w:eastAsia="Times New Roman" w:cs="Arial"/>
                <w:snapToGrid w:val="0"/>
                <w:szCs w:val="20"/>
              </w:rPr>
              <w:t>A</w:t>
            </w:r>
            <w:r w:rsidR="00BA2B38">
              <w:rPr>
                <w:rFonts w:eastAsia="Times New Roman" w:cs="Arial"/>
                <w:snapToGrid w:val="0"/>
                <w:szCs w:val="20"/>
              </w:rPr>
              <w:t xml:space="preserve">C and the ESC for the </w:t>
            </w:r>
            <w:r w:rsidR="00AD4616">
              <w:rPr>
                <w:rFonts w:eastAsia="Times New Roman" w:cs="Arial"/>
                <w:snapToGrid w:val="0"/>
                <w:szCs w:val="20"/>
              </w:rPr>
              <w:t>evidence presented for the overall population</w:t>
            </w:r>
            <w:r w:rsidR="00A41EAA">
              <w:rPr>
                <w:rFonts w:eastAsia="Times New Roman" w:cs="Arial"/>
                <w:snapToGrid w:val="0"/>
                <w:szCs w:val="20"/>
              </w:rPr>
              <w:t>.</w:t>
            </w:r>
          </w:p>
          <w:p w14:paraId="4D17D8B6" w14:textId="77777777" w:rsidR="00554FD4" w:rsidRDefault="00554FD4" w:rsidP="00664997">
            <w:pPr>
              <w:pStyle w:val="TableText"/>
              <w:rPr>
                <w:rFonts w:eastAsia="Times New Roman" w:cs="Arial"/>
                <w:snapToGrid w:val="0"/>
                <w:szCs w:val="20"/>
              </w:rPr>
            </w:pPr>
          </w:p>
          <w:p w14:paraId="5EECE12B" w14:textId="0323D9E0" w:rsidR="004C7DA5" w:rsidRDefault="003558FA" w:rsidP="00664997">
            <w:pPr>
              <w:pStyle w:val="TableText"/>
              <w:rPr>
                <w:rFonts w:eastAsia="Times New Roman" w:cs="Arial"/>
                <w:snapToGrid w:val="0"/>
                <w:szCs w:val="20"/>
              </w:rPr>
            </w:pPr>
            <w:r>
              <w:rPr>
                <w:rFonts w:eastAsia="Times New Roman" w:cs="Arial"/>
                <w:snapToGrid w:val="0"/>
                <w:szCs w:val="20"/>
              </w:rPr>
              <w:t>However</w:t>
            </w:r>
            <w:r w:rsidR="0088732B">
              <w:rPr>
                <w:rFonts w:eastAsia="Times New Roman" w:cs="Arial"/>
                <w:snapToGrid w:val="0"/>
                <w:szCs w:val="20"/>
              </w:rPr>
              <w:t>, it should be noted</w:t>
            </w:r>
            <w:r w:rsidR="00723F97">
              <w:rPr>
                <w:rFonts w:eastAsia="Times New Roman" w:cs="Arial"/>
                <w:snapToGrid w:val="0"/>
                <w:szCs w:val="20"/>
              </w:rPr>
              <w:t xml:space="preserve"> that if </w:t>
            </w:r>
            <w:r>
              <w:rPr>
                <w:rFonts w:eastAsia="Times New Roman" w:cs="Arial"/>
                <w:snapToGrid w:val="0"/>
                <w:szCs w:val="20"/>
              </w:rPr>
              <w:t xml:space="preserve">the </w:t>
            </w:r>
            <w:r w:rsidR="00E65CA5">
              <w:rPr>
                <w:rFonts w:eastAsia="Times New Roman" w:cs="Arial"/>
                <w:snapToGrid w:val="0"/>
                <w:szCs w:val="20"/>
              </w:rPr>
              <w:t>results</w:t>
            </w:r>
            <w:r w:rsidR="001A48BF">
              <w:rPr>
                <w:rFonts w:eastAsia="Times New Roman" w:cs="Arial"/>
                <w:snapToGrid w:val="0"/>
                <w:szCs w:val="20"/>
              </w:rPr>
              <w:t xml:space="preserve"> from </w:t>
            </w:r>
            <w:r>
              <w:rPr>
                <w:rFonts w:eastAsia="Times New Roman" w:cs="Arial"/>
                <w:snapToGrid w:val="0"/>
                <w:szCs w:val="20"/>
              </w:rPr>
              <w:t xml:space="preserve">the recently published </w:t>
            </w:r>
            <w:r w:rsidR="00797EFB">
              <w:rPr>
                <w:rFonts w:eastAsia="Times New Roman" w:cs="Arial"/>
                <w:snapToGrid w:val="0"/>
                <w:szCs w:val="20"/>
              </w:rPr>
              <w:t>trial</w:t>
            </w:r>
            <w:r w:rsidR="00797EFB" w:rsidDel="003558FA">
              <w:rPr>
                <w:rFonts w:eastAsia="Times New Roman" w:cs="Arial"/>
                <w:snapToGrid w:val="0"/>
                <w:szCs w:val="20"/>
              </w:rPr>
              <w:t xml:space="preserve"> </w:t>
            </w:r>
            <w:r w:rsidR="00797EFB">
              <w:rPr>
                <w:rFonts w:eastAsia="Times New Roman" w:cs="Arial"/>
                <w:snapToGrid w:val="0"/>
                <w:szCs w:val="20"/>
              </w:rPr>
              <w:t>had been included</w:t>
            </w:r>
            <w:r w:rsidR="00521AFB">
              <w:rPr>
                <w:rFonts w:eastAsia="Times New Roman" w:cs="Arial"/>
                <w:snapToGrid w:val="0"/>
                <w:szCs w:val="20"/>
              </w:rPr>
              <w:t xml:space="preserve">, the </w:t>
            </w:r>
            <w:r w:rsidR="00937AC6">
              <w:rPr>
                <w:rFonts w:eastAsia="Times New Roman" w:cs="Arial"/>
                <w:snapToGrid w:val="0"/>
                <w:szCs w:val="20"/>
              </w:rPr>
              <w:t>argument</w:t>
            </w:r>
            <w:r w:rsidR="00AB1DA0">
              <w:rPr>
                <w:rFonts w:eastAsia="Times New Roman" w:cs="Arial"/>
                <w:snapToGrid w:val="0"/>
                <w:szCs w:val="20"/>
              </w:rPr>
              <w:t xml:space="preserve"> in support of </w:t>
            </w:r>
            <w:r w:rsidR="00CA68B9">
              <w:rPr>
                <w:rFonts w:eastAsia="Times New Roman" w:cs="Arial"/>
                <w:snapToGrid w:val="0"/>
                <w:szCs w:val="20"/>
              </w:rPr>
              <w:t xml:space="preserve">superiority </w:t>
            </w:r>
            <w:r w:rsidR="00857D58">
              <w:rPr>
                <w:rFonts w:eastAsia="Times New Roman" w:cs="Arial"/>
                <w:snapToGrid w:val="0"/>
                <w:szCs w:val="20"/>
              </w:rPr>
              <w:t xml:space="preserve">of RT-CGM over SMBG </w:t>
            </w:r>
            <w:r w:rsidR="002E3240">
              <w:rPr>
                <w:rFonts w:eastAsia="Times New Roman" w:cs="Arial"/>
                <w:snapToGrid w:val="0"/>
                <w:szCs w:val="20"/>
              </w:rPr>
              <w:t>would have been stronger</w:t>
            </w:r>
            <w:r w:rsidR="00857D58">
              <w:rPr>
                <w:rFonts w:eastAsia="Times New Roman" w:cs="Arial"/>
                <w:snapToGrid w:val="0"/>
                <w:szCs w:val="20"/>
              </w:rPr>
              <w:t xml:space="preserve"> </w:t>
            </w:r>
            <w:r w:rsidR="00B95E05">
              <w:rPr>
                <w:rFonts w:eastAsia="Times New Roman" w:cs="Arial"/>
                <w:snapToGrid w:val="0"/>
                <w:szCs w:val="20"/>
              </w:rPr>
              <w:t>for</w:t>
            </w:r>
            <w:r w:rsidR="00CA68B9">
              <w:rPr>
                <w:rFonts w:eastAsia="Times New Roman" w:cs="Arial"/>
                <w:snapToGrid w:val="0"/>
                <w:szCs w:val="20"/>
              </w:rPr>
              <w:t xml:space="preserve"> </w:t>
            </w:r>
            <w:r w:rsidR="0003123B">
              <w:rPr>
                <w:rFonts w:eastAsia="Times New Roman" w:cs="Arial"/>
                <w:snapToGrid w:val="0"/>
                <w:szCs w:val="20"/>
              </w:rPr>
              <w:t xml:space="preserve">the </w:t>
            </w:r>
            <w:r w:rsidR="00B95E05">
              <w:rPr>
                <w:rFonts w:eastAsia="Times New Roman" w:cs="Arial"/>
                <w:snapToGrid w:val="0"/>
                <w:szCs w:val="20"/>
              </w:rPr>
              <w:t>subpopulation assessed</w:t>
            </w:r>
            <w:r>
              <w:rPr>
                <w:rFonts w:eastAsia="Times New Roman" w:cs="Arial"/>
                <w:snapToGrid w:val="0"/>
                <w:szCs w:val="20"/>
              </w:rPr>
              <w:t xml:space="preserve"> (</w:t>
            </w:r>
            <w:r w:rsidR="00F36719">
              <w:rPr>
                <w:rFonts w:eastAsia="Times New Roman" w:cs="Arial"/>
                <w:snapToGrid w:val="0"/>
                <w:szCs w:val="20"/>
              </w:rPr>
              <w:t>non-IIT</w:t>
            </w:r>
            <w:r>
              <w:rPr>
                <w:rFonts w:eastAsia="Times New Roman" w:cs="Arial"/>
                <w:snapToGrid w:val="0"/>
                <w:szCs w:val="20"/>
              </w:rPr>
              <w:t>)</w:t>
            </w:r>
            <w:r w:rsidR="00E02184">
              <w:rPr>
                <w:rFonts w:eastAsia="Times New Roman" w:cs="Arial"/>
                <w:snapToGrid w:val="0"/>
                <w:szCs w:val="20"/>
              </w:rPr>
              <w:t>.</w:t>
            </w:r>
          </w:p>
          <w:p w14:paraId="26146B9A" w14:textId="77777777" w:rsidR="007E6407" w:rsidRDefault="007E6407" w:rsidP="00664997">
            <w:pPr>
              <w:pStyle w:val="TableText"/>
              <w:rPr>
                <w:rFonts w:eastAsia="Times New Roman" w:cs="Arial"/>
                <w:snapToGrid w:val="0"/>
                <w:szCs w:val="20"/>
              </w:rPr>
            </w:pPr>
          </w:p>
          <w:p w14:paraId="64E9D996" w14:textId="719BC02C" w:rsidR="004B6144" w:rsidRDefault="007E6407" w:rsidP="00664997">
            <w:pPr>
              <w:pStyle w:val="TableText"/>
              <w:rPr>
                <w:rFonts w:eastAsia="Times New Roman" w:cs="Arial"/>
                <w:snapToGrid w:val="0"/>
                <w:szCs w:val="20"/>
              </w:rPr>
            </w:pPr>
            <w:r w:rsidRPr="00FC1030">
              <w:rPr>
                <w:rFonts w:eastAsia="Times New Roman" w:cs="Arial"/>
                <w:snapToGrid w:val="0"/>
                <w:szCs w:val="20"/>
              </w:rPr>
              <w:t xml:space="preserve">The applicant </w:t>
            </w:r>
            <w:r w:rsidR="00CD2E42">
              <w:rPr>
                <w:rFonts w:eastAsia="Times New Roman" w:cs="Arial"/>
                <w:snapToGrid w:val="0"/>
                <w:szCs w:val="20"/>
              </w:rPr>
              <w:t>asserts</w:t>
            </w:r>
            <w:r w:rsidRPr="00FC1030">
              <w:rPr>
                <w:rFonts w:eastAsia="Times New Roman" w:cs="Arial"/>
                <w:snapToGrid w:val="0"/>
                <w:szCs w:val="20"/>
              </w:rPr>
              <w:t xml:space="preserve"> that Dexcom ONE+ is superior in effectiveness to </w:t>
            </w:r>
            <w:r w:rsidR="00B757A0" w:rsidRPr="00FC1030">
              <w:rPr>
                <w:rFonts w:eastAsia="Times New Roman" w:cs="Arial"/>
                <w:snapToGrid w:val="0"/>
                <w:szCs w:val="20"/>
              </w:rPr>
              <w:t>other CGM devices (e.g. FSL</w:t>
            </w:r>
            <w:r w:rsidR="00B344EA">
              <w:rPr>
                <w:rFonts w:eastAsia="Times New Roman" w:cs="Arial"/>
                <w:snapToGrid w:val="0"/>
                <w:szCs w:val="20"/>
              </w:rPr>
              <w:t>/FGM</w:t>
            </w:r>
            <w:r w:rsidR="00B757A0" w:rsidRPr="00FC1030">
              <w:rPr>
                <w:rFonts w:eastAsia="Times New Roman" w:cs="Arial"/>
                <w:snapToGrid w:val="0"/>
                <w:szCs w:val="20"/>
              </w:rPr>
              <w:t>)</w:t>
            </w:r>
            <w:r w:rsidR="00073AD4">
              <w:rPr>
                <w:rFonts w:eastAsia="Times New Roman" w:cs="Arial"/>
                <w:snapToGrid w:val="0"/>
                <w:szCs w:val="20"/>
              </w:rPr>
              <w:t xml:space="preserve"> based on a meta-analysis of all available clinical trial</w:t>
            </w:r>
            <w:r w:rsidR="00B757A0" w:rsidRPr="00FC1030">
              <w:rPr>
                <w:rFonts w:eastAsia="Times New Roman" w:cs="Arial"/>
                <w:snapToGrid w:val="0"/>
                <w:szCs w:val="20"/>
              </w:rPr>
              <w:t xml:space="preserve">. This is not supported by the </w:t>
            </w:r>
            <w:r w:rsidR="00890B9F" w:rsidRPr="00FC1030">
              <w:rPr>
                <w:rFonts w:eastAsia="Times New Roman" w:cs="Arial"/>
                <w:snapToGrid w:val="0"/>
                <w:szCs w:val="20"/>
              </w:rPr>
              <w:t>results presented, which are f</w:t>
            </w:r>
            <w:r w:rsidR="001E4455" w:rsidRPr="00FC1030">
              <w:rPr>
                <w:rFonts w:eastAsia="Times New Roman" w:cs="Arial"/>
                <w:snapToGrid w:val="0"/>
                <w:szCs w:val="20"/>
              </w:rPr>
              <w:t xml:space="preserve">rom </w:t>
            </w:r>
            <w:r w:rsidR="004B6144">
              <w:rPr>
                <w:rFonts w:eastAsia="Times New Roman" w:cs="Arial"/>
                <w:snapToGrid w:val="0"/>
                <w:szCs w:val="20"/>
              </w:rPr>
              <w:t xml:space="preserve">a </w:t>
            </w:r>
            <w:r w:rsidR="00AD64DA">
              <w:rPr>
                <w:rFonts w:eastAsia="Times New Roman" w:cs="Arial"/>
                <w:snapToGrid w:val="0"/>
                <w:szCs w:val="20"/>
              </w:rPr>
              <w:t>methodologically flawed</w:t>
            </w:r>
            <w:r w:rsidR="00FA6CFF" w:rsidRPr="00FC1030">
              <w:rPr>
                <w:rFonts w:eastAsia="Times New Roman" w:cs="Arial"/>
                <w:snapToGrid w:val="0"/>
                <w:szCs w:val="20"/>
              </w:rPr>
              <w:t xml:space="preserve"> meta-analysis</w:t>
            </w:r>
            <w:r w:rsidR="00AD64DA">
              <w:rPr>
                <w:rFonts w:eastAsia="Times New Roman" w:cs="Arial"/>
                <w:snapToGrid w:val="0"/>
                <w:szCs w:val="20"/>
              </w:rPr>
              <w:t>.</w:t>
            </w:r>
            <w:r w:rsidR="00FA6CFF" w:rsidRPr="00FC1030">
              <w:rPr>
                <w:rFonts w:eastAsia="Times New Roman" w:cs="Arial"/>
                <w:snapToGrid w:val="0"/>
                <w:szCs w:val="20"/>
              </w:rPr>
              <w:t xml:space="preserve"> </w:t>
            </w:r>
          </w:p>
          <w:p w14:paraId="2C7F0D94" w14:textId="77777777" w:rsidR="005122DA" w:rsidRDefault="005122DA" w:rsidP="00664997">
            <w:pPr>
              <w:pStyle w:val="TableText"/>
              <w:rPr>
                <w:rFonts w:eastAsia="Times New Roman" w:cs="Arial"/>
                <w:snapToGrid w:val="0"/>
                <w:szCs w:val="20"/>
              </w:rPr>
            </w:pPr>
          </w:p>
          <w:p w14:paraId="3C69A5AC" w14:textId="1D11CE80" w:rsidR="00664997" w:rsidRPr="002D7D62" w:rsidRDefault="00664997" w:rsidP="00664997">
            <w:pPr>
              <w:pStyle w:val="TableText"/>
              <w:rPr>
                <w:rFonts w:eastAsia="Times New Roman" w:cs="Arial"/>
                <w:snapToGrid w:val="0"/>
                <w:szCs w:val="20"/>
                <w:highlight w:val="yellow"/>
              </w:rPr>
            </w:pPr>
          </w:p>
        </w:tc>
      </w:tr>
      <w:tr w:rsidR="0082030B" w:rsidRPr="00CE28E3" w14:paraId="0EDF4A53" w14:textId="77777777" w:rsidTr="00662436">
        <w:tc>
          <w:tcPr>
            <w:tcW w:w="600" w:type="pct"/>
          </w:tcPr>
          <w:p w14:paraId="6A3E1F2A" w14:textId="635E37DA" w:rsidR="001455A2" w:rsidRPr="0026176C" w:rsidRDefault="000319CA" w:rsidP="00824458">
            <w:pPr>
              <w:pStyle w:val="TableText"/>
            </w:pPr>
            <w:r>
              <w:t xml:space="preserve">Economic </w:t>
            </w:r>
            <w:r w:rsidR="006E32F2">
              <w:t>evidence -</w:t>
            </w:r>
            <w:r w:rsidR="007E7A58" w:rsidRPr="0026176C">
              <w:t xml:space="preserve"> </w:t>
            </w:r>
            <w:r w:rsidR="00670B20">
              <w:t>Applicability</w:t>
            </w:r>
          </w:p>
        </w:tc>
        <w:tc>
          <w:tcPr>
            <w:tcW w:w="2235" w:type="pct"/>
          </w:tcPr>
          <w:p w14:paraId="135352E1" w14:textId="1FF4DFCF" w:rsidR="001455A2" w:rsidRDefault="00AD49E2" w:rsidP="00824458">
            <w:pPr>
              <w:pStyle w:val="TableText"/>
            </w:pPr>
            <w:r>
              <w:t>MSAC indicated that t</w:t>
            </w:r>
            <w:r w:rsidR="005727D5" w:rsidRPr="00E94F88">
              <w:t>here is uncertainty as to whether the US claims data can be extrapolated to or is reflective of an Australian setting</w:t>
            </w:r>
            <w:r w:rsidR="009F3FBE">
              <w:t xml:space="preserve"> (</w:t>
            </w:r>
            <w:r w:rsidR="00E709FB" w:rsidRPr="00302E12">
              <w:t>1785</w:t>
            </w:r>
            <w:r w:rsidR="00E709FB">
              <w:t xml:space="preserve"> </w:t>
            </w:r>
            <w:r w:rsidR="009F3FBE">
              <w:t>PSD</w:t>
            </w:r>
            <w:r w:rsidR="00E82005">
              <w:t xml:space="preserve">, </w:t>
            </w:r>
            <w:r w:rsidR="009F5B5D">
              <w:t>p.</w:t>
            </w:r>
            <w:r w:rsidR="00E82005">
              <w:t xml:space="preserve"> </w:t>
            </w:r>
            <w:r w:rsidR="00385589">
              <w:t>5</w:t>
            </w:r>
            <w:r w:rsidR="00064ADB">
              <w:t xml:space="preserve">, 29 </w:t>
            </w:r>
            <w:r w:rsidR="00CD0C41">
              <w:t xml:space="preserve">&amp; </w:t>
            </w:r>
            <w:r w:rsidR="00FA709A">
              <w:t>33</w:t>
            </w:r>
            <w:r w:rsidR="002F5206">
              <w:t>)</w:t>
            </w:r>
            <w:r w:rsidR="005727D5" w:rsidRPr="00E94F88">
              <w:t>.</w:t>
            </w:r>
          </w:p>
          <w:p w14:paraId="6C3E7967" w14:textId="116A08C5" w:rsidR="006C08CC" w:rsidRPr="0026176C" w:rsidRDefault="006C08CC" w:rsidP="00824458">
            <w:pPr>
              <w:pStyle w:val="TableText"/>
            </w:pPr>
            <w:r w:rsidRPr="006C08CC">
              <w:rPr>
                <w:lang w:val="en-US"/>
              </w:rPr>
              <w:t>The ADAR did not present any clinical or economic evidence for children or adolescents</w:t>
            </w:r>
            <w:r>
              <w:rPr>
                <w:lang w:val="en-US"/>
              </w:rPr>
              <w:t xml:space="preserve"> </w:t>
            </w:r>
            <w:r>
              <w:t>(</w:t>
            </w:r>
            <w:r w:rsidR="00E709FB" w:rsidRPr="00302E12">
              <w:t>1785</w:t>
            </w:r>
            <w:r w:rsidR="00E709FB">
              <w:t xml:space="preserve"> </w:t>
            </w:r>
            <w:r>
              <w:t xml:space="preserve">PSD, </w:t>
            </w:r>
            <w:r w:rsidR="009F5B5D">
              <w:t>p.</w:t>
            </w:r>
            <w:r>
              <w:t xml:space="preserve"> 33)</w:t>
            </w:r>
            <w:r w:rsidRPr="006C08CC">
              <w:rPr>
                <w:lang w:val="en-US"/>
              </w:rPr>
              <w:t>.</w:t>
            </w:r>
          </w:p>
        </w:tc>
        <w:tc>
          <w:tcPr>
            <w:tcW w:w="2165" w:type="pct"/>
          </w:tcPr>
          <w:p w14:paraId="79355D0A" w14:textId="77777777" w:rsidR="001455A2" w:rsidRPr="00006A57" w:rsidRDefault="003D5601" w:rsidP="00824458">
            <w:pPr>
              <w:pStyle w:val="TableText"/>
              <w:rPr>
                <w:b/>
                <w:bCs/>
              </w:rPr>
            </w:pPr>
            <w:r w:rsidRPr="00006A57">
              <w:rPr>
                <w:b/>
                <w:bCs/>
              </w:rPr>
              <w:t>Not addressed</w:t>
            </w:r>
          </w:p>
          <w:p w14:paraId="33C45AE1" w14:textId="55392D3F" w:rsidR="001954B1" w:rsidRPr="0026176C" w:rsidRDefault="006D43D2" w:rsidP="00E7749C">
            <w:pPr>
              <w:pStyle w:val="Tabletext0"/>
              <w:jc w:val="left"/>
              <w:rPr>
                <w:rFonts w:eastAsiaTheme="minorHAnsi" w:cstheme="minorBidi"/>
                <w:szCs w:val="22"/>
                <w:lang w:eastAsia="en-US"/>
              </w:rPr>
            </w:pPr>
            <w:r w:rsidRPr="00E7749C">
              <w:t>The base case parameters us</w:t>
            </w:r>
            <w:r w:rsidR="00F51D46">
              <w:t>ed</w:t>
            </w:r>
            <w:r w:rsidRPr="00E7749C">
              <w:t xml:space="preserve"> RCT data (</w:t>
            </w:r>
            <w:r w:rsidR="00E7749C" w:rsidRPr="00E7749C">
              <w:t>DIAMOND for IIT and MOBILE for non-IIT)</w:t>
            </w:r>
            <w:r w:rsidRPr="00E7749C">
              <w:t>,</w:t>
            </w:r>
            <w:r w:rsidR="00754FBB">
              <w:t xml:space="preserve"> </w:t>
            </w:r>
            <w:r w:rsidR="00754FBB" w:rsidDel="00ED425F">
              <w:t>although</w:t>
            </w:r>
            <w:r w:rsidRPr="00E7749C" w:rsidDel="00ED425F">
              <w:t xml:space="preserve"> most of </w:t>
            </w:r>
            <w:r w:rsidRPr="00E7749C">
              <w:t xml:space="preserve">the parameters </w:t>
            </w:r>
            <w:r w:rsidR="00695A7D">
              <w:t>were</w:t>
            </w:r>
            <w:r w:rsidRPr="00E7749C">
              <w:t xml:space="preserve"> informed by Karter et al. (2021). The RCT</w:t>
            </w:r>
            <w:r w:rsidR="00E7749C">
              <w:t>s</w:t>
            </w:r>
            <w:r w:rsidRPr="00E7749C">
              <w:t xml:space="preserve"> inform</w:t>
            </w:r>
            <w:r w:rsidR="00754FBB">
              <w:t>ing</w:t>
            </w:r>
            <w:r w:rsidRPr="00E7749C">
              <w:t xml:space="preserve"> the base case w</w:t>
            </w:r>
            <w:r w:rsidR="00E7749C">
              <w:t>ere</w:t>
            </w:r>
            <w:r w:rsidRPr="00E7749C">
              <w:t xml:space="preserve"> conducted in US-based setting</w:t>
            </w:r>
            <w:r w:rsidR="00BB02A1">
              <w:t>s</w:t>
            </w:r>
            <w:r w:rsidRPr="00E7749C">
              <w:t xml:space="preserve">. As such, the concern regarding applicability </w:t>
            </w:r>
            <w:r w:rsidR="002E67B5">
              <w:t>is</w:t>
            </w:r>
            <w:r w:rsidR="00E641EB">
              <w:t xml:space="preserve"> </w:t>
            </w:r>
            <w:r w:rsidRPr="00E7749C">
              <w:t xml:space="preserve">not fully resolved. </w:t>
            </w:r>
          </w:p>
        </w:tc>
      </w:tr>
      <w:tr w:rsidR="0082030B" w:rsidRPr="00CE28E3" w14:paraId="06F7E315" w14:textId="77777777" w:rsidTr="00662436">
        <w:tc>
          <w:tcPr>
            <w:tcW w:w="600" w:type="pct"/>
          </w:tcPr>
          <w:p w14:paraId="73055394" w14:textId="5083687C" w:rsidR="00670B20" w:rsidRDefault="00670B20" w:rsidP="00824458">
            <w:pPr>
              <w:pStyle w:val="TableText"/>
            </w:pPr>
            <w:r>
              <w:lastRenderedPageBreak/>
              <w:t xml:space="preserve">Economic evidence - </w:t>
            </w:r>
            <w:r w:rsidRPr="0026176C">
              <w:t>HbA1c Treatment effects</w:t>
            </w:r>
          </w:p>
        </w:tc>
        <w:tc>
          <w:tcPr>
            <w:tcW w:w="2235" w:type="pct"/>
          </w:tcPr>
          <w:p w14:paraId="3FEEDFFE" w14:textId="4D2E9368" w:rsidR="00F7730E" w:rsidRDefault="00AD49E2" w:rsidP="00824458">
            <w:pPr>
              <w:pStyle w:val="TableText"/>
              <w:rPr>
                <w:lang w:val="en-US"/>
              </w:rPr>
            </w:pPr>
            <w:r>
              <w:rPr>
                <w:lang w:val="en-US"/>
              </w:rPr>
              <w:t>MSAC highlighted that t</w:t>
            </w:r>
            <w:r w:rsidR="00BB3C71" w:rsidRPr="00BB3C71">
              <w:rPr>
                <w:lang w:val="en-US"/>
              </w:rPr>
              <w:t>he ADAR assumed a treatment effect of 3 years, holding the HbA1c reduction in the RT-CGM arm constant for 3 years whil</w:t>
            </w:r>
            <w:r w:rsidR="002B3BF4">
              <w:rPr>
                <w:lang w:val="en-US"/>
              </w:rPr>
              <w:t>e</w:t>
            </w:r>
            <w:r w:rsidR="00BB3C71" w:rsidRPr="00BB3C71">
              <w:rPr>
                <w:lang w:val="en-US"/>
              </w:rPr>
              <w:t xml:space="preserve"> the HbA1c increased by 0.15% per year in the comparator arm. After this time, it was assumed HbA1c would increase by 0.15% per year in both arms. The ADAR stated that longitudinal studies show improvements in glycaemic outcomes for up to 10 years. The commentary noted that the ADAR did not explore the length of the treatment effect in the uncertainty analysis</w:t>
            </w:r>
            <w:r w:rsidR="00F7730E">
              <w:rPr>
                <w:lang w:val="en-US"/>
              </w:rPr>
              <w:t xml:space="preserve"> (</w:t>
            </w:r>
            <w:r w:rsidR="00E709FB" w:rsidRPr="00302E12">
              <w:t>1785</w:t>
            </w:r>
            <w:r w:rsidR="00E709FB">
              <w:t xml:space="preserve"> </w:t>
            </w:r>
            <w:r w:rsidR="00F7730E">
              <w:rPr>
                <w:lang w:val="en-US"/>
              </w:rPr>
              <w:t xml:space="preserve">PSD, </w:t>
            </w:r>
            <w:r w:rsidR="009F5B5D">
              <w:rPr>
                <w:lang w:val="en-US"/>
              </w:rPr>
              <w:t>p.</w:t>
            </w:r>
            <w:r w:rsidR="00F7730E">
              <w:rPr>
                <w:lang w:val="en-US"/>
              </w:rPr>
              <w:t xml:space="preserve"> 36)</w:t>
            </w:r>
            <w:r w:rsidR="00BB3C71" w:rsidRPr="00BB3C71">
              <w:rPr>
                <w:lang w:val="en-US"/>
              </w:rPr>
              <w:t xml:space="preserve">. </w:t>
            </w:r>
          </w:p>
          <w:p w14:paraId="2E6444C9" w14:textId="0ED9D1AE" w:rsidR="00670B20" w:rsidRPr="00E94F88" w:rsidRDefault="00BB3C71" w:rsidP="00824458">
            <w:pPr>
              <w:pStyle w:val="TableText"/>
            </w:pPr>
            <w:r w:rsidRPr="00BB3C71">
              <w:rPr>
                <w:lang w:val="en-US"/>
              </w:rPr>
              <w:t>The commentary noted that the ADAR also did not explore the rate of HbA1c increase in an uncertainty analysis, nor did it explore a scenario in which the HbA1c of the intervention arm become equivalent to the comparator arm. This would shift the results in favour of SMBG; however, the magnitude of this shift is uncertain. Reporting on this scenario would reduce the uncertainty regarding the long-term effect of Dexcom ONE+</w:t>
            </w:r>
            <w:r w:rsidR="00F7730E">
              <w:rPr>
                <w:lang w:val="en-US"/>
              </w:rPr>
              <w:t xml:space="preserve"> (</w:t>
            </w:r>
            <w:r w:rsidR="00E709FB" w:rsidRPr="00302E12">
              <w:t>1785</w:t>
            </w:r>
            <w:r w:rsidR="00E709FB">
              <w:t xml:space="preserve"> </w:t>
            </w:r>
            <w:r w:rsidR="00F7730E">
              <w:rPr>
                <w:lang w:val="en-US"/>
              </w:rPr>
              <w:t xml:space="preserve">PSD, </w:t>
            </w:r>
            <w:r w:rsidR="009F5B5D">
              <w:rPr>
                <w:lang w:val="en-US"/>
              </w:rPr>
              <w:t>p.</w:t>
            </w:r>
            <w:r w:rsidR="00F7730E">
              <w:rPr>
                <w:lang w:val="en-US"/>
              </w:rPr>
              <w:t xml:space="preserve"> 36)</w:t>
            </w:r>
            <w:r w:rsidRPr="00BB3C71">
              <w:rPr>
                <w:lang w:val="en-US"/>
              </w:rPr>
              <w:t>.</w:t>
            </w:r>
          </w:p>
        </w:tc>
        <w:tc>
          <w:tcPr>
            <w:tcW w:w="2165" w:type="pct"/>
          </w:tcPr>
          <w:p w14:paraId="62441C4E" w14:textId="77777777" w:rsidR="000A2C94" w:rsidRPr="00006A57" w:rsidRDefault="000A2C94" w:rsidP="000A2C94">
            <w:pPr>
              <w:pStyle w:val="TableText"/>
              <w:rPr>
                <w:b/>
                <w:bCs/>
              </w:rPr>
            </w:pPr>
            <w:r w:rsidRPr="00006A57">
              <w:rPr>
                <w:b/>
                <w:bCs/>
              </w:rPr>
              <w:t>Not adequately addressed</w:t>
            </w:r>
          </w:p>
          <w:p w14:paraId="57AF9BC6" w14:textId="36113409" w:rsidR="00F20534" w:rsidRPr="001866E8" w:rsidRDefault="00940328" w:rsidP="00824458">
            <w:pPr>
              <w:pStyle w:val="TableText"/>
            </w:pPr>
            <w:r w:rsidRPr="001866E8">
              <w:t>Upper and lower CIs were applied for both subpopulation</w:t>
            </w:r>
            <w:r w:rsidR="002E67B5">
              <w:t>s</w:t>
            </w:r>
            <w:r w:rsidRPr="001866E8">
              <w:t>; however, the treatment effect is still a key model driver. As such, further variation</w:t>
            </w:r>
            <w:r>
              <w:t xml:space="preserve"> (±10%)</w:t>
            </w:r>
            <w:r w:rsidRPr="001866E8">
              <w:t xml:space="preserve"> </w:t>
            </w:r>
            <w:r w:rsidR="006A3C59">
              <w:t>around</w:t>
            </w:r>
            <w:r w:rsidRPr="001866E8">
              <w:t xml:space="preserve"> the treatment effects </w:t>
            </w:r>
            <w:r>
              <w:t>would be valuable to assess its impact and better inform decision</w:t>
            </w:r>
            <w:r w:rsidR="00956D1A">
              <w:t>-</w:t>
            </w:r>
            <w:r>
              <w:t xml:space="preserve">making. </w:t>
            </w:r>
            <w:r w:rsidR="007E7541">
              <w:t>M</w:t>
            </w:r>
            <w:r>
              <w:t xml:space="preserve">odel access was limited to a non-editable version, </w:t>
            </w:r>
            <w:r w:rsidR="00692FA7">
              <w:t xml:space="preserve">therefore </w:t>
            </w:r>
            <w:r>
              <w:t xml:space="preserve">these analyses could not </w:t>
            </w:r>
            <w:r w:rsidR="00FA49DE">
              <w:t xml:space="preserve">be </w:t>
            </w:r>
            <w:r>
              <w:t>undertake</w:t>
            </w:r>
            <w:r w:rsidR="00FA49DE">
              <w:t>n</w:t>
            </w:r>
            <w:r>
              <w:t xml:space="preserve"> </w:t>
            </w:r>
            <w:r w:rsidR="00692FA7">
              <w:t>by the assessment group</w:t>
            </w:r>
            <w:r>
              <w:t xml:space="preserve">. </w:t>
            </w:r>
            <w:r w:rsidR="000514D7">
              <w:t xml:space="preserve"> </w:t>
            </w:r>
          </w:p>
        </w:tc>
      </w:tr>
      <w:tr w:rsidR="0082030B" w:rsidRPr="00CE28E3" w14:paraId="64F70045" w14:textId="77777777" w:rsidTr="00662436">
        <w:tc>
          <w:tcPr>
            <w:tcW w:w="600" w:type="pct"/>
          </w:tcPr>
          <w:p w14:paraId="6FA4584E" w14:textId="3B133016" w:rsidR="00E7749C" w:rsidRPr="0026176C" w:rsidRDefault="006E32F2" w:rsidP="00824458">
            <w:pPr>
              <w:pStyle w:val="TableText"/>
            </w:pPr>
            <w:r>
              <w:t xml:space="preserve">Economic evidence - </w:t>
            </w:r>
            <w:r w:rsidR="003300E3" w:rsidRPr="0026176C">
              <w:t>Model time horizon</w:t>
            </w:r>
          </w:p>
        </w:tc>
        <w:tc>
          <w:tcPr>
            <w:tcW w:w="2235" w:type="pct"/>
          </w:tcPr>
          <w:p w14:paraId="0EDC8F11" w14:textId="2ED7ECCC" w:rsidR="00E7749C" w:rsidRPr="00E33873" w:rsidRDefault="00E33873" w:rsidP="00824458">
            <w:pPr>
              <w:pStyle w:val="TableText"/>
            </w:pPr>
            <w:r w:rsidRPr="00E33873">
              <w:t xml:space="preserve">Time horizon needed to be at least 20 years for RT-CGM to be cost saving (dominant) vs SMBG…People enter the model at a mean age of 64.5 years, and the model assumes a 3-year treatment effect (HbA1c decrease) followed by a linear increase in HbA1c (0.15% per year). Therefore, </w:t>
            </w:r>
            <w:r w:rsidR="00907F14" w:rsidRPr="00E33873">
              <w:t>to be cost saving</w:t>
            </w:r>
            <w:r w:rsidR="00907F14">
              <w:t>,</w:t>
            </w:r>
            <w:r w:rsidR="00907F14" w:rsidRPr="00E33873">
              <w:t xml:space="preserve"> </w:t>
            </w:r>
            <w:r w:rsidRPr="00E33873">
              <w:t>the assumption that that those with RT-CGM have a lower HbA1c than SMBG over at least 20 years</w:t>
            </w:r>
            <w:r w:rsidR="000A129E" w:rsidRPr="00E33873">
              <w:t xml:space="preserve"> is required</w:t>
            </w:r>
            <w:r w:rsidRPr="00E33873">
              <w:t>. There are no long-term data to support this assumption. Therefore, the estimated long-term benefits are highly uncertain. Additional scenarios around treatment effect would explore this uncertainty further</w:t>
            </w:r>
            <w:r w:rsidR="002F5206">
              <w:t xml:space="preserve"> (</w:t>
            </w:r>
            <w:r w:rsidR="00E709FB" w:rsidRPr="00302E12">
              <w:t>1785</w:t>
            </w:r>
            <w:r w:rsidR="00E709FB">
              <w:t xml:space="preserve"> </w:t>
            </w:r>
            <w:r w:rsidR="002F5206">
              <w:t xml:space="preserve">PSD, </w:t>
            </w:r>
            <w:r w:rsidR="009F5B5D">
              <w:t>p.</w:t>
            </w:r>
            <w:r w:rsidR="00054249">
              <w:t xml:space="preserve"> 43</w:t>
            </w:r>
            <w:r w:rsidR="007F3702">
              <w:t>)</w:t>
            </w:r>
            <w:r w:rsidR="00054249">
              <w:t>.</w:t>
            </w:r>
          </w:p>
        </w:tc>
        <w:tc>
          <w:tcPr>
            <w:tcW w:w="2165" w:type="pct"/>
          </w:tcPr>
          <w:p w14:paraId="6A058D10" w14:textId="77777777" w:rsidR="0026176C" w:rsidRPr="00006A57" w:rsidRDefault="00A42769" w:rsidP="00824458">
            <w:pPr>
              <w:pStyle w:val="TableText"/>
              <w:rPr>
                <w:b/>
                <w:bCs/>
              </w:rPr>
            </w:pPr>
            <w:r w:rsidRPr="00006A57">
              <w:rPr>
                <w:b/>
                <w:bCs/>
              </w:rPr>
              <w:t>Not adequately addressed</w:t>
            </w:r>
          </w:p>
          <w:p w14:paraId="3E6933DA" w14:textId="2407BE00" w:rsidR="00E7749C" w:rsidRPr="0026176C" w:rsidRDefault="001E72A2" w:rsidP="00824458">
            <w:pPr>
              <w:pStyle w:val="TableText"/>
            </w:pPr>
            <w:r w:rsidRPr="0026176C">
              <w:t xml:space="preserve">The applicant addressed concerns raised in the </w:t>
            </w:r>
            <w:r w:rsidR="005500C9">
              <w:t>original</w:t>
            </w:r>
            <w:r w:rsidRPr="0026176C">
              <w:t xml:space="preserve"> </w:t>
            </w:r>
            <w:r w:rsidR="00703BD4">
              <w:t xml:space="preserve">ADAR </w:t>
            </w:r>
            <w:r w:rsidRPr="0026176C">
              <w:t>submission</w:t>
            </w:r>
            <w:r w:rsidR="00EE64D1">
              <w:t>; h</w:t>
            </w:r>
            <w:r w:rsidRPr="0026176C">
              <w:t>owever, most QALYs were accumulated over a 20-year time horizon for both population group</w:t>
            </w:r>
            <w:r w:rsidR="00CD55BE">
              <w:t>s</w:t>
            </w:r>
            <w:r w:rsidRPr="0026176C">
              <w:t xml:space="preserve">. As such, a multivariate analysis using a 20-year time horizon </w:t>
            </w:r>
            <w:r w:rsidR="00E85DD9">
              <w:t xml:space="preserve">would be valuable to assess its impact </w:t>
            </w:r>
            <w:r w:rsidR="00775633">
              <w:t xml:space="preserve">and </w:t>
            </w:r>
            <w:r w:rsidR="0054503C">
              <w:t>better inform decision</w:t>
            </w:r>
            <w:r w:rsidR="00880586">
              <w:t>-</w:t>
            </w:r>
            <w:r w:rsidR="0054503C">
              <w:t>making</w:t>
            </w:r>
            <w:r w:rsidR="00880586">
              <w:t>.</w:t>
            </w:r>
            <w:r w:rsidR="00E85DD9">
              <w:t xml:space="preserve"> </w:t>
            </w:r>
            <w:r w:rsidR="00B36677">
              <w:t>T</w:t>
            </w:r>
            <w:r w:rsidR="009D16F8">
              <w:t xml:space="preserve">he model </w:t>
            </w:r>
            <w:r w:rsidR="006D25BA">
              <w:t>was</w:t>
            </w:r>
            <w:r w:rsidR="009D16F8">
              <w:t xml:space="preserve"> not editable </w:t>
            </w:r>
            <w:r w:rsidR="00696565">
              <w:t>by</w:t>
            </w:r>
            <w:r w:rsidR="009D16F8">
              <w:t xml:space="preserve"> </w:t>
            </w:r>
            <w:r w:rsidR="00A71829">
              <w:t xml:space="preserve">the </w:t>
            </w:r>
            <w:r w:rsidR="0060292D">
              <w:t>assessment group</w:t>
            </w:r>
            <w:r w:rsidR="00A71829">
              <w:t xml:space="preserve"> </w:t>
            </w:r>
            <w:r w:rsidR="00696565">
              <w:t>to implement</w:t>
            </w:r>
            <w:r w:rsidR="009D16F8">
              <w:t xml:space="preserve"> these change</w:t>
            </w:r>
            <w:r w:rsidR="00696565">
              <w:t>s</w:t>
            </w:r>
            <w:r w:rsidRPr="0026176C">
              <w:t>.</w:t>
            </w:r>
          </w:p>
        </w:tc>
      </w:tr>
      <w:tr w:rsidR="0082030B" w:rsidRPr="00CE28E3" w14:paraId="482CD22C" w14:textId="77777777" w:rsidTr="00662436">
        <w:tc>
          <w:tcPr>
            <w:tcW w:w="600" w:type="pct"/>
          </w:tcPr>
          <w:p w14:paraId="6FC4B37E" w14:textId="2FEEE9E5" w:rsidR="00D429D1" w:rsidRPr="0026176C" w:rsidRDefault="005D1674" w:rsidP="00824458">
            <w:pPr>
              <w:pStyle w:val="TableText"/>
            </w:pPr>
            <w:r>
              <w:t xml:space="preserve">Economic evidence </w:t>
            </w:r>
            <w:r w:rsidR="007907B4">
              <w:t xml:space="preserve">- </w:t>
            </w:r>
            <w:r w:rsidR="00BA7895">
              <w:t>Renal complications</w:t>
            </w:r>
          </w:p>
        </w:tc>
        <w:tc>
          <w:tcPr>
            <w:tcW w:w="2235" w:type="pct"/>
          </w:tcPr>
          <w:p w14:paraId="6826E00F" w14:textId="0A6BB690" w:rsidR="00D429D1" w:rsidRPr="009F07AD" w:rsidRDefault="009F07AD" w:rsidP="00824458">
            <w:pPr>
              <w:pStyle w:val="TableText"/>
            </w:pPr>
            <w:r w:rsidRPr="009F07AD">
              <w:t>The ADAR did not vary renal complications nor describe how they were implemented in the model</w:t>
            </w:r>
            <w:r w:rsidR="007F3702">
              <w:t xml:space="preserve"> (</w:t>
            </w:r>
            <w:r w:rsidR="00E709FB" w:rsidRPr="00302E12">
              <w:t>1785</w:t>
            </w:r>
            <w:r w:rsidR="00E709FB">
              <w:t xml:space="preserve"> </w:t>
            </w:r>
            <w:r w:rsidR="007F3702">
              <w:t xml:space="preserve">PSD, </w:t>
            </w:r>
            <w:r w:rsidR="009F5B5D">
              <w:t>p.</w:t>
            </w:r>
            <w:r w:rsidR="007F3702">
              <w:t xml:space="preserve"> </w:t>
            </w:r>
            <w:r w:rsidR="00CD0C4A">
              <w:t>42</w:t>
            </w:r>
            <w:r w:rsidR="007F3702">
              <w:t>)</w:t>
            </w:r>
            <w:r w:rsidRPr="009F07AD">
              <w:t>.</w:t>
            </w:r>
          </w:p>
        </w:tc>
        <w:tc>
          <w:tcPr>
            <w:tcW w:w="2165" w:type="pct"/>
          </w:tcPr>
          <w:p w14:paraId="42AF037A" w14:textId="77777777" w:rsidR="00FD27E0" w:rsidRPr="00006A57" w:rsidRDefault="00FD27E0" w:rsidP="00FD27E0">
            <w:pPr>
              <w:pStyle w:val="TableText"/>
              <w:rPr>
                <w:b/>
                <w:bCs/>
              </w:rPr>
            </w:pPr>
            <w:r w:rsidRPr="00006A57">
              <w:rPr>
                <w:b/>
                <w:bCs/>
              </w:rPr>
              <w:t>Not adequately addressed</w:t>
            </w:r>
          </w:p>
          <w:p w14:paraId="366E7FE2" w14:textId="6440F78A" w:rsidR="00D429D1" w:rsidRPr="00007DA7" w:rsidRDefault="00A55814" w:rsidP="00FD27E0">
            <w:pPr>
              <w:pStyle w:val="Tabletext0"/>
              <w:jc w:val="left"/>
            </w:pPr>
            <w:r>
              <w:t xml:space="preserve">The </w:t>
            </w:r>
            <w:r w:rsidR="00FD27E0" w:rsidRPr="00FD27E0">
              <w:t xml:space="preserve">ADAR did not vary renal complications. </w:t>
            </w:r>
            <w:r w:rsidR="004805CF">
              <w:t xml:space="preserve">To better reflect </w:t>
            </w:r>
            <w:r w:rsidR="00491F80">
              <w:t>disease progression and associated cost and effects</w:t>
            </w:r>
            <w:r w:rsidR="00817987">
              <w:t>,</w:t>
            </w:r>
            <w:r w:rsidR="004805CF">
              <w:t xml:space="preserve"> </w:t>
            </w:r>
            <w:r w:rsidR="00C62010" w:rsidRPr="00FD27E0">
              <w:t>the</w:t>
            </w:r>
            <w:r w:rsidR="00FD27E0" w:rsidRPr="00FD27E0">
              <w:t xml:space="preserve"> complications of haemodialysis, peritoneal dialysis and renal transplant </w:t>
            </w:r>
            <w:r w:rsidR="00256B21">
              <w:t xml:space="preserve">should be varied </w:t>
            </w:r>
            <w:r w:rsidR="00FD27E0" w:rsidRPr="00FD27E0">
              <w:t>based on the probability of progression to ESRD</w:t>
            </w:r>
            <w:r w:rsidR="00D03B7D">
              <w:t>, in</w:t>
            </w:r>
            <w:r w:rsidR="00DA1FAE">
              <w:t xml:space="preserve"> </w:t>
            </w:r>
            <w:r w:rsidR="00D03B7D">
              <w:t>order</w:t>
            </w:r>
            <w:r w:rsidR="00FD27E0" w:rsidRPr="00FD27E0">
              <w:t xml:space="preserve"> to estimate the total proportion of </w:t>
            </w:r>
            <w:r w:rsidR="00407E7F">
              <w:t xml:space="preserve">each </w:t>
            </w:r>
            <w:r w:rsidR="00FD27E0" w:rsidRPr="00FD27E0">
              <w:t xml:space="preserve">cohort affected </w:t>
            </w:r>
            <w:r w:rsidR="004A07DB">
              <w:t>in</w:t>
            </w:r>
            <w:r w:rsidR="004A07DB" w:rsidRPr="00FD27E0">
              <w:t xml:space="preserve"> both</w:t>
            </w:r>
            <w:r w:rsidR="00FD27E0" w:rsidRPr="00FD27E0">
              <w:t xml:space="preserve"> arms. </w:t>
            </w:r>
            <w:r w:rsidR="003B6260">
              <w:t xml:space="preserve">Model access was limited to a non-editable version, therefore these analyses could not be undertaken by the assessment group. </w:t>
            </w:r>
          </w:p>
        </w:tc>
      </w:tr>
      <w:tr w:rsidR="0082030B" w:rsidRPr="00CE28E3" w14:paraId="17B1DA86" w14:textId="77777777" w:rsidTr="00662436">
        <w:tc>
          <w:tcPr>
            <w:tcW w:w="600" w:type="pct"/>
          </w:tcPr>
          <w:p w14:paraId="34D167B6" w14:textId="1C28B6EE" w:rsidR="00D429D1" w:rsidRPr="0026176C" w:rsidRDefault="005D1674" w:rsidP="00824458">
            <w:pPr>
              <w:pStyle w:val="TableText"/>
            </w:pPr>
            <w:r>
              <w:t xml:space="preserve">Economic evidence </w:t>
            </w:r>
            <w:r w:rsidR="007907B4">
              <w:t xml:space="preserve">- </w:t>
            </w:r>
            <w:r w:rsidR="00B0609D">
              <w:t xml:space="preserve">Risk equations </w:t>
            </w:r>
          </w:p>
        </w:tc>
        <w:tc>
          <w:tcPr>
            <w:tcW w:w="2235" w:type="pct"/>
          </w:tcPr>
          <w:p w14:paraId="5FD51B20" w14:textId="2B655CD3" w:rsidR="00D429D1" w:rsidRDefault="002F2A85" w:rsidP="00824458">
            <w:pPr>
              <w:pStyle w:val="TableText"/>
            </w:pPr>
            <w:r w:rsidRPr="000174F0">
              <w:t xml:space="preserve">For complication and mortality, </w:t>
            </w:r>
            <w:r w:rsidR="00714ADE" w:rsidRPr="000174F0">
              <w:t xml:space="preserve">a </w:t>
            </w:r>
            <w:r w:rsidR="000174F0" w:rsidRPr="000174F0">
              <w:t>scenario</w:t>
            </w:r>
            <w:r w:rsidR="00714ADE" w:rsidRPr="000174F0">
              <w:t xml:space="preserve"> </w:t>
            </w:r>
            <w:r w:rsidR="00BE161C">
              <w:t xml:space="preserve">analysis </w:t>
            </w:r>
            <w:r w:rsidR="00714ADE" w:rsidRPr="000174F0">
              <w:t xml:space="preserve">was </w:t>
            </w:r>
            <w:r w:rsidR="00600FD5" w:rsidRPr="000174F0">
              <w:t xml:space="preserve">conducted using </w:t>
            </w:r>
            <w:r w:rsidR="000174F0" w:rsidRPr="00FB58C1">
              <w:t>the UKPDS-82 complication risk equations with the UKPDS mortality risk equations.</w:t>
            </w:r>
            <w:r w:rsidR="000174F0">
              <w:t xml:space="preserve"> T</w:t>
            </w:r>
            <w:r w:rsidRPr="000174F0">
              <w:t>he ICERs in this scenario remained cost effective but became cost incurring…QALYs decreased by 1.5 for each arm, which does not make sense given the conclusions from Hayes et al. (2013) that life expectancy in the UK post-complication was higher than Australia. The ADAR did not discuss this further</w:t>
            </w:r>
            <w:r w:rsidR="00D61BAF">
              <w:t xml:space="preserve"> (</w:t>
            </w:r>
            <w:r w:rsidR="00E709FB" w:rsidRPr="00302E12">
              <w:t>1785</w:t>
            </w:r>
            <w:r w:rsidR="00E709FB">
              <w:t xml:space="preserve"> </w:t>
            </w:r>
            <w:r w:rsidR="00D61BAF">
              <w:t xml:space="preserve">PSD, </w:t>
            </w:r>
            <w:r w:rsidR="009F5B5D">
              <w:t>p.</w:t>
            </w:r>
            <w:r w:rsidR="00D61BAF">
              <w:t xml:space="preserve"> </w:t>
            </w:r>
            <w:r w:rsidR="0047413F">
              <w:t xml:space="preserve">29, </w:t>
            </w:r>
            <w:r w:rsidR="00080B17">
              <w:t xml:space="preserve">38 &amp; </w:t>
            </w:r>
            <w:r w:rsidR="00D61BAF">
              <w:t>43)</w:t>
            </w:r>
            <w:r w:rsidRPr="000174F0">
              <w:t>.</w:t>
            </w:r>
          </w:p>
          <w:p w14:paraId="6084888C" w14:textId="6AA6CF82" w:rsidR="00871AFD" w:rsidRPr="00E33873" w:rsidRDefault="00871AFD" w:rsidP="00824458">
            <w:pPr>
              <w:pStyle w:val="TableText"/>
            </w:pPr>
            <w:r w:rsidRPr="00871AFD">
              <w:rPr>
                <w:lang w:val="en-US"/>
              </w:rPr>
              <w:lastRenderedPageBreak/>
              <w:t>It is unclear what risk equations were used for the other types of diabetes complications, nor whether the model has been similarly validated when using these Australian adaptations</w:t>
            </w:r>
            <w:r w:rsidR="002973BC">
              <w:rPr>
                <w:lang w:val="en-US"/>
              </w:rPr>
              <w:t xml:space="preserve"> </w:t>
            </w:r>
            <w:r w:rsidR="002973BC">
              <w:t>(</w:t>
            </w:r>
            <w:r w:rsidR="00E709FB" w:rsidRPr="00302E12">
              <w:t>1785</w:t>
            </w:r>
            <w:r w:rsidR="00E709FB">
              <w:t xml:space="preserve"> </w:t>
            </w:r>
            <w:r w:rsidR="002973BC">
              <w:t xml:space="preserve">PSD, </w:t>
            </w:r>
            <w:r w:rsidR="009F5B5D">
              <w:t>p.</w:t>
            </w:r>
            <w:r w:rsidR="002973BC">
              <w:t xml:space="preserve"> 29)</w:t>
            </w:r>
            <w:r w:rsidRPr="00871AFD">
              <w:rPr>
                <w:lang w:val="en-US"/>
              </w:rPr>
              <w:t>.</w:t>
            </w:r>
          </w:p>
        </w:tc>
        <w:tc>
          <w:tcPr>
            <w:tcW w:w="2165" w:type="pct"/>
          </w:tcPr>
          <w:p w14:paraId="48BF23A9" w14:textId="77777777" w:rsidR="00335F2F" w:rsidRPr="00006A57" w:rsidRDefault="00335F2F" w:rsidP="00335F2F">
            <w:pPr>
              <w:pStyle w:val="TableText"/>
              <w:rPr>
                <w:b/>
                <w:bCs/>
              </w:rPr>
            </w:pPr>
            <w:r w:rsidRPr="00006A57">
              <w:rPr>
                <w:b/>
                <w:bCs/>
              </w:rPr>
              <w:lastRenderedPageBreak/>
              <w:t>Not adequately addressed</w:t>
            </w:r>
          </w:p>
          <w:p w14:paraId="577752D7" w14:textId="4574D7ED" w:rsidR="00D429D1" w:rsidRPr="003C11C3" w:rsidRDefault="000006A0" w:rsidP="00824458">
            <w:pPr>
              <w:pStyle w:val="TableText"/>
              <w:rPr>
                <w:b/>
                <w:bCs/>
              </w:rPr>
            </w:pPr>
            <w:r w:rsidRPr="003C11C3">
              <w:t xml:space="preserve">The ADAR </w:t>
            </w:r>
            <w:r w:rsidR="00E64BFF" w:rsidRPr="003C11C3">
              <w:t xml:space="preserve">considered UKPDS CV complication and mortality risk </w:t>
            </w:r>
            <w:r w:rsidR="005531EF">
              <w:t>and</w:t>
            </w:r>
            <w:r w:rsidR="00E64BFF" w:rsidRPr="003C11C3">
              <w:t xml:space="preserve"> Australian adaptation of these risk equations</w:t>
            </w:r>
            <w:r w:rsidR="005531EF">
              <w:t>,</w:t>
            </w:r>
            <w:r w:rsidR="00E64BFF" w:rsidRPr="003C11C3">
              <w:t xml:space="preserve"> </w:t>
            </w:r>
            <w:r w:rsidR="003C11C3" w:rsidRPr="003C11C3">
              <w:t>and</w:t>
            </w:r>
            <w:r w:rsidR="00E64BFF" w:rsidRPr="003C11C3">
              <w:t xml:space="preserve"> </w:t>
            </w:r>
            <w:r w:rsidRPr="003C11C3">
              <w:t xml:space="preserve">presented </w:t>
            </w:r>
            <w:r w:rsidR="005531EF">
              <w:t>2</w:t>
            </w:r>
            <w:r w:rsidR="005531EF" w:rsidRPr="003C11C3">
              <w:t xml:space="preserve"> </w:t>
            </w:r>
            <w:r w:rsidRPr="003C11C3">
              <w:t>sets of base case results</w:t>
            </w:r>
            <w:r w:rsidR="00A85A3B">
              <w:t>. H</w:t>
            </w:r>
            <w:r w:rsidRPr="003C11C3">
              <w:t xml:space="preserve">owever, the concern raised by MSAC in the </w:t>
            </w:r>
            <w:r w:rsidR="005500C9">
              <w:t>original</w:t>
            </w:r>
            <w:r w:rsidRPr="003C11C3">
              <w:t xml:space="preserve"> </w:t>
            </w:r>
            <w:r w:rsidR="001E77E3">
              <w:t>ADAR</w:t>
            </w:r>
            <w:r w:rsidRPr="003C11C3">
              <w:t xml:space="preserve"> submission remain</w:t>
            </w:r>
            <w:r w:rsidR="00A85A3B">
              <w:t>s</w:t>
            </w:r>
            <w:r w:rsidRPr="003C11C3">
              <w:t xml:space="preserve"> unaddressed.</w:t>
            </w:r>
          </w:p>
        </w:tc>
      </w:tr>
      <w:tr w:rsidR="0082030B" w:rsidRPr="00CE28E3" w14:paraId="58B3F075" w14:textId="77777777" w:rsidTr="00662436">
        <w:tc>
          <w:tcPr>
            <w:tcW w:w="600" w:type="pct"/>
          </w:tcPr>
          <w:p w14:paraId="7915DFF1" w14:textId="434EACBC" w:rsidR="00D429D1" w:rsidRPr="0026176C" w:rsidRDefault="002268C9" w:rsidP="00824458">
            <w:pPr>
              <w:pStyle w:val="TableText"/>
            </w:pPr>
            <w:r>
              <w:t xml:space="preserve">Economic evidence - </w:t>
            </w:r>
            <w:r w:rsidR="00AF4B48">
              <w:t>Age and duration of diabetes</w:t>
            </w:r>
          </w:p>
        </w:tc>
        <w:tc>
          <w:tcPr>
            <w:tcW w:w="2235" w:type="pct"/>
          </w:tcPr>
          <w:p w14:paraId="23E73B76" w14:textId="2E8C6D2D" w:rsidR="00D429D1" w:rsidRDefault="00277CB6" w:rsidP="0008369A">
            <w:pPr>
              <w:pStyle w:val="Tabletext0"/>
            </w:pPr>
            <w:r>
              <w:t xml:space="preserve">The baseline population were average age 64.5 with a diabetes duration of 16 years. </w:t>
            </w:r>
            <w:r w:rsidR="00C21E1F">
              <w:t>Further,</w:t>
            </w:r>
            <w:r>
              <w:t xml:space="preserve"> 3 populations </w:t>
            </w:r>
            <w:r w:rsidR="0008369A">
              <w:t>(mean age 35 years – 1 year duration, mean age 45 years – 5 years duration and mean age 55 years – 5 years duration</w:t>
            </w:r>
            <w:r w:rsidR="00605F95">
              <w:t xml:space="preserve">) </w:t>
            </w:r>
            <w:r>
              <w:t>were assessed</w:t>
            </w:r>
            <w:r w:rsidR="0008369A">
              <w:t xml:space="preserve">. </w:t>
            </w:r>
            <w:r>
              <w:t>The ADAR did not state whether these populations were clinically plausible, nor did it state the reason for these choices</w:t>
            </w:r>
            <w:r w:rsidR="00080B17">
              <w:t xml:space="preserve"> (</w:t>
            </w:r>
            <w:r w:rsidR="00E709FB" w:rsidRPr="00302E12">
              <w:t>1785</w:t>
            </w:r>
            <w:r w:rsidR="00E709FB">
              <w:t xml:space="preserve"> </w:t>
            </w:r>
            <w:r w:rsidR="00080B17">
              <w:t xml:space="preserve">PSD, </w:t>
            </w:r>
            <w:r w:rsidR="009F5B5D">
              <w:t>p.</w:t>
            </w:r>
            <w:r w:rsidR="00080B17">
              <w:t xml:space="preserve"> 43)</w:t>
            </w:r>
            <w:r>
              <w:t>.</w:t>
            </w:r>
          </w:p>
          <w:p w14:paraId="38D875FE" w14:textId="77777777" w:rsidR="00DB6D5A" w:rsidRDefault="00DB6D5A" w:rsidP="0022355A">
            <w:pPr>
              <w:pStyle w:val="Tabletext0"/>
            </w:pPr>
          </w:p>
          <w:p w14:paraId="1C38516F" w14:textId="5C451529" w:rsidR="0022355A" w:rsidRDefault="0022355A" w:rsidP="0022355A">
            <w:pPr>
              <w:pStyle w:val="Tabletext0"/>
            </w:pPr>
            <w:r w:rsidRPr="00BF0808">
              <w:t>The ICER in this scenario remained dominant for both populations</w:t>
            </w:r>
            <w:r w:rsidR="0023266E" w:rsidRPr="00BF0808">
              <w:t xml:space="preserve"> and i</w:t>
            </w:r>
            <w:r w:rsidRPr="00BF0808">
              <w:t>ncremental costs and QALYs increased for both populations if RT-CGM was initiated at an earlier age</w:t>
            </w:r>
            <w:r w:rsidR="00602F18">
              <w:t xml:space="preserve"> (</w:t>
            </w:r>
            <w:r w:rsidR="00E709FB" w:rsidRPr="00302E12">
              <w:t>1785</w:t>
            </w:r>
            <w:r w:rsidR="00E709FB">
              <w:t xml:space="preserve"> </w:t>
            </w:r>
            <w:r w:rsidR="00602F18">
              <w:t xml:space="preserve">PSD, </w:t>
            </w:r>
            <w:r w:rsidR="009F5B5D">
              <w:t>p.</w:t>
            </w:r>
            <w:r w:rsidR="00602F18">
              <w:t xml:space="preserve"> 43)</w:t>
            </w:r>
            <w:r w:rsidRPr="00BF0808">
              <w:t>.</w:t>
            </w:r>
          </w:p>
          <w:p w14:paraId="573D10DE" w14:textId="6149C07A" w:rsidR="00AC390C" w:rsidRPr="00BF0808" w:rsidRDefault="00615B76" w:rsidP="0022355A">
            <w:pPr>
              <w:pStyle w:val="Tabletext0"/>
              <w:rPr>
                <w:color w:val="5B9BD5" w:themeColor="accent1"/>
              </w:rPr>
            </w:pPr>
            <w:r w:rsidRPr="001866E8">
              <w:rPr>
                <w:lang w:val="en-US"/>
              </w:rPr>
              <w:t xml:space="preserve">The age in Karter (2021) appears to be significantly higher compared with MOBILE and Steno2tech. </w:t>
            </w:r>
            <w:r w:rsidR="00585CE7" w:rsidRPr="001866E8">
              <w:rPr>
                <w:lang w:val="en-US"/>
              </w:rPr>
              <w:t>The duration of diabetes for Karter (2021) overlaps with the tails of the 95% confidence intervals for MOBILE and Steno2tech SMBG arm of the analysis</w:t>
            </w:r>
            <w:r>
              <w:rPr>
                <w:lang w:val="en-US"/>
              </w:rPr>
              <w:t xml:space="preserve"> (</w:t>
            </w:r>
            <w:r w:rsidR="00E709FB" w:rsidRPr="00302E12">
              <w:t>1785</w:t>
            </w:r>
            <w:r w:rsidR="00E709FB">
              <w:t xml:space="preserve"> </w:t>
            </w:r>
            <w:r>
              <w:rPr>
                <w:lang w:val="en-US"/>
              </w:rPr>
              <w:t xml:space="preserve">PSD, </w:t>
            </w:r>
            <w:r w:rsidR="009F5B5D">
              <w:rPr>
                <w:lang w:val="en-US"/>
              </w:rPr>
              <w:t>p.</w:t>
            </w:r>
            <w:r>
              <w:rPr>
                <w:lang w:val="en-US"/>
              </w:rPr>
              <w:t xml:space="preserve"> 33)</w:t>
            </w:r>
            <w:r w:rsidR="00585CE7" w:rsidRPr="001866E8">
              <w:rPr>
                <w:lang w:val="en-US"/>
              </w:rPr>
              <w:t>.</w:t>
            </w:r>
          </w:p>
        </w:tc>
        <w:tc>
          <w:tcPr>
            <w:tcW w:w="2165" w:type="pct"/>
          </w:tcPr>
          <w:p w14:paraId="263C3AD8" w14:textId="77777777" w:rsidR="00104194" w:rsidRPr="00006A57" w:rsidRDefault="00104194" w:rsidP="00104194">
            <w:pPr>
              <w:pStyle w:val="TableText"/>
              <w:rPr>
                <w:b/>
                <w:bCs/>
              </w:rPr>
            </w:pPr>
            <w:r w:rsidRPr="00006A57">
              <w:rPr>
                <w:b/>
                <w:bCs/>
              </w:rPr>
              <w:t>Not adequately addressed</w:t>
            </w:r>
          </w:p>
          <w:p w14:paraId="5CBCF947" w14:textId="6579501D" w:rsidR="00D429D1" w:rsidRPr="00CE34EE" w:rsidRDefault="009226C8" w:rsidP="00CE34EE">
            <w:pPr>
              <w:pStyle w:val="Tabletext0"/>
              <w:jc w:val="left"/>
            </w:pPr>
            <w:r>
              <w:t>The baseline patient/disease characteristic</w:t>
            </w:r>
            <w:r w:rsidR="00A85A3B">
              <w:t>s</w:t>
            </w:r>
            <w:r>
              <w:t xml:space="preserve"> </w:t>
            </w:r>
            <w:r w:rsidR="007A1CB4">
              <w:t>were</w:t>
            </w:r>
            <w:r>
              <w:t xml:space="preserve"> informed by the pivotal trials (DIAMOND and MOBILE)</w:t>
            </w:r>
            <w:r w:rsidR="00A85A3B">
              <w:t xml:space="preserve"> where possible</w:t>
            </w:r>
            <w:r>
              <w:t xml:space="preserve">. </w:t>
            </w:r>
            <w:r w:rsidR="00CE34EE" w:rsidRPr="00CE34EE">
              <w:t xml:space="preserve">However, no scenario analyses were presented in the resubmission and the </w:t>
            </w:r>
            <w:r w:rsidR="005500C9">
              <w:t>original</w:t>
            </w:r>
            <w:r w:rsidR="00CE34EE" w:rsidRPr="00CE34EE">
              <w:t xml:space="preserve"> scenario was removed, creating uncertainty in the estimated outcomes.</w:t>
            </w:r>
          </w:p>
        </w:tc>
      </w:tr>
      <w:tr w:rsidR="0082030B" w:rsidRPr="00CE28E3" w14:paraId="23C2EA29" w14:textId="77777777" w:rsidTr="00662436">
        <w:tc>
          <w:tcPr>
            <w:tcW w:w="600" w:type="pct"/>
          </w:tcPr>
          <w:p w14:paraId="6A667CC0" w14:textId="45588DCA" w:rsidR="00435456" w:rsidRDefault="002268C9" w:rsidP="00824458">
            <w:pPr>
              <w:pStyle w:val="TableText"/>
            </w:pPr>
            <w:bookmarkStart w:id="9" w:name="_Hlk68275617"/>
            <w:bookmarkEnd w:id="8"/>
            <w:r>
              <w:t xml:space="preserve">Economic evidence - </w:t>
            </w:r>
            <w:r w:rsidR="00B22121">
              <w:t>H</w:t>
            </w:r>
            <w:r w:rsidR="00FF0A9C">
              <w:t>RQoL</w:t>
            </w:r>
            <w:r>
              <w:t xml:space="preserve"> inputs </w:t>
            </w:r>
          </w:p>
        </w:tc>
        <w:tc>
          <w:tcPr>
            <w:tcW w:w="2235" w:type="pct"/>
          </w:tcPr>
          <w:p w14:paraId="113D11A9" w14:textId="3E199CCF" w:rsidR="00A53002" w:rsidRPr="00A53002" w:rsidRDefault="00B22121" w:rsidP="00A53002">
            <w:pPr>
              <w:pStyle w:val="Tabletext0"/>
              <w:rPr>
                <w:lang w:val="en-US"/>
              </w:rPr>
            </w:pPr>
            <w:r>
              <w:rPr>
                <w:lang w:val="en-US"/>
              </w:rPr>
              <w:t>MSAC noted that t</w:t>
            </w:r>
            <w:r w:rsidR="00A53002" w:rsidRPr="00A53002">
              <w:rPr>
                <w:lang w:val="en-US"/>
              </w:rPr>
              <w:t xml:space="preserve">he utility decrements for all events were applied the year the event occurred. Long-term impact on HRQoL as a result of </w:t>
            </w:r>
            <w:r w:rsidR="00AE46AD" w:rsidRPr="00A53002">
              <w:rPr>
                <w:lang w:val="en-US"/>
              </w:rPr>
              <w:t>chronic</w:t>
            </w:r>
            <w:r w:rsidR="00A53002" w:rsidRPr="00A53002">
              <w:rPr>
                <w:lang w:val="en-US"/>
              </w:rPr>
              <w:t xml:space="preserve"> complications (e.g. MI, stroke, blindness, amputation) was not included, even though long-term event-specific costs were included in the model. Beaudet (2014) used the EuroQol 5-dimension 3-level questionnaire to gather utility and decrements. Most studies in the meta-analysis used a UK tariff. The utility decrement for DKA was informed by a Chinese study in people with T1D </w:t>
            </w:r>
            <w:r w:rsidR="001D128B">
              <w:rPr>
                <w:lang w:val="en-US"/>
              </w:rPr>
              <w:t>(</w:t>
            </w:r>
            <w:r w:rsidR="00E709FB" w:rsidRPr="00302E12">
              <w:t>1785</w:t>
            </w:r>
            <w:r w:rsidR="00E709FB">
              <w:t xml:space="preserve"> </w:t>
            </w:r>
            <w:r w:rsidR="001D128B">
              <w:rPr>
                <w:lang w:val="en-US"/>
              </w:rPr>
              <w:t xml:space="preserve">PSD, </w:t>
            </w:r>
            <w:r w:rsidR="009F5B5D">
              <w:rPr>
                <w:lang w:val="en-US"/>
              </w:rPr>
              <w:t>p.</w:t>
            </w:r>
            <w:r w:rsidR="001D128B">
              <w:rPr>
                <w:lang w:val="en-US"/>
              </w:rPr>
              <w:t xml:space="preserve"> </w:t>
            </w:r>
            <w:r w:rsidR="00E63263">
              <w:rPr>
                <w:lang w:val="en-US"/>
              </w:rPr>
              <w:t xml:space="preserve">8 &amp; </w:t>
            </w:r>
            <w:r w:rsidR="001D128B">
              <w:rPr>
                <w:lang w:val="en-US"/>
              </w:rPr>
              <w:t>39)</w:t>
            </w:r>
            <w:r w:rsidR="00A53002" w:rsidRPr="00A53002">
              <w:rPr>
                <w:lang w:val="en-US"/>
              </w:rPr>
              <w:t xml:space="preserve">. </w:t>
            </w:r>
          </w:p>
          <w:p w14:paraId="78CCC270" w14:textId="38160352" w:rsidR="00435456" w:rsidRDefault="00A53002" w:rsidP="00A53002">
            <w:pPr>
              <w:pStyle w:val="Tabletext0"/>
            </w:pPr>
            <w:r w:rsidRPr="00A53002">
              <w:rPr>
                <w:lang w:val="en-US"/>
              </w:rPr>
              <w:t>The ADAR did not state whether utilities were applied additively or multiplicatively. The ADAR also did not state whether any adjustments were made to align the utility decrements with the Australian population</w:t>
            </w:r>
            <w:r w:rsidR="001D128B">
              <w:rPr>
                <w:lang w:val="en-US"/>
              </w:rPr>
              <w:t xml:space="preserve"> (</w:t>
            </w:r>
            <w:r w:rsidR="00E709FB" w:rsidRPr="00302E12">
              <w:t>1785</w:t>
            </w:r>
            <w:r w:rsidR="00E709FB">
              <w:t xml:space="preserve"> </w:t>
            </w:r>
            <w:r w:rsidR="001D128B">
              <w:rPr>
                <w:lang w:val="en-US"/>
              </w:rPr>
              <w:t xml:space="preserve">PSD, </w:t>
            </w:r>
            <w:r w:rsidR="009F5B5D">
              <w:rPr>
                <w:lang w:val="en-US"/>
              </w:rPr>
              <w:t>p.</w:t>
            </w:r>
            <w:r w:rsidR="001D128B">
              <w:rPr>
                <w:lang w:val="en-US"/>
              </w:rPr>
              <w:t xml:space="preserve"> 39)</w:t>
            </w:r>
            <w:r w:rsidRPr="00A53002">
              <w:rPr>
                <w:lang w:val="en-US"/>
              </w:rPr>
              <w:t>.</w:t>
            </w:r>
          </w:p>
        </w:tc>
        <w:tc>
          <w:tcPr>
            <w:tcW w:w="2165" w:type="pct"/>
          </w:tcPr>
          <w:p w14:paraId="6A8AE8FB" w14:textId="77777777" w:rsidR="001D128B" w:rsidRPr="00006A57" w:rsidRDefault="001D128B" w:rsidP="001D128B">
            <w:pPr>
              <w:pStyle w:val="TableText"/>
              <w:rPr>
                <w:b/>
                <w:bCs/>
              </w:rPr>
            </w:pPr>
            <w:r w:rsidRPr="00006A57">
              <w:rPr>
                <w:b/>
                <w:bCs/>
              </w:rPr>
              <w:t>Not addressed</w:t>
            </w:r>
          </w:p>
          <w:p w14:paraId="624C4A15" w14:textId="1D40BF15" w:rsidR="00435456" w:rsidRPr="00006A57" w:rsidRDefault="009C1648" w:rsidP="00104194">
            <w:pPr>
              <w:pStyle w:val="TableText"/>
              <w:rPr>
                <w:b/>
                <w:bCs/>
              </w:rPr>
            </w:pPr>
            <w:r w:rsidRPr="0095526F">
              <w:t xml:space="preserve">No changes </w:t>
            </w:r>
            <w:r w:rsidR="001F5922">
              <w:t xml:space="preserve">to utility </w:t>
            </w:r>
            <w:r w:rsidR="00B43D55">
              <w:t>we</w:t>
            </w:r>
            <w:r w:rsidRPr="0095526F">
              <w:t xml:space="preserve">re made to the </w:t>
            </w:r>
            <w:r w:rsidR="001F5922">
              <w:t xml:space="preserve">base case of </w:t>
            </w:r>
            <w:r w:rsidR="005500C9">
              <w:t>original</w:t>
            </w:r>
            <w:r w:rsidRPr="0095526F">
              <w:t xml:space="preserve"> </w:t>
            </w:r>
            <w:r w:rsidR="001E77E3">
              <w:t xml:space="preserve">ADAR </w:t>
            </w:r>
            <w:r>
              <w:t xml:space="preserve">submission. </w:t>
            </w:r>
          </w:p>
        </w:tc>
      </w:tr>
    </w:tbl>
    <w:p w14:paraId="2E015A04" w14:textId="2A982BA6" w:rsidR="00756A0E" w:rsidRDefault="003B606D" w:rsidP="00DE3FD3">
      <w:pPr>
        <w:pStyle w:val="TableFooter"/>
        <w:spacing w:before="0"/>
      </w:pPr>
      <w:r w:rsidRPr="00CE5E88">
        <w:rPr>
          <w:b/>
          <w:sz w:val="20"/>
        </w:rPr>
        <w:t xml:space="preserve">Abbreviations: </w:t>
      </w:r>
      <w:r w:rsidR="001F10BC">
        <w:t xml:space="preserve">ADAR = </w:t>
      </w:r>
      <w:r w:rsidR="007F06F0">
        <w:t xml:space="preserve">applicant developed assessment report; </w:t>
      </w:r>
      <w:r w:rsidR="00F279A3">
        <w:t>AG = assessment group</w:t>
      </w:r>
      <w:r w:rsidR="007F06F0">
        <w:t xml:space="preserve">; </w:t>
      </w:r>
      <w:r w:rsidR="000A2C94">
        <w:t xml:space="preserve">CIs = confidence intervals; </w:t>
      </w:r>
      <w:r w:rsidR="00567071">
        <w:t xml:space="preserve">CV = cardiovascular; </w:t>
      </w:r>
      <w:r w:rsidR="00AA184E">
        <w:t xml:space="preserve">ESC = Economic Sub Committee; </w:t>
      </w:r>
      <w:r w:rsidR="00332860">
        <w:t>ESRD = end</w:t>
      </w:r>
      <w:r w:rsidR="003C051F">
        <w:t>-</w:t>
      </w:r>
      <w:r w:rsidR="00332860">
        <w:t xml:space="preserve">stage renal disease; </w:t>
      </w:r>
      <w:r w:rsidR="009D3DB5">
        <w:t>FSL/FGM</w:t>
      </w:r>
      <w:r w:rsidR="003F192A">
        <w:t xml:space="preserve"> = FreeStyle Libre/</w:t>
      </w:r>
      <w:r w:rsidR="00561835">
        <w:t xml:space="preserve">Flash Glucose Monitoring; </w:t>
      </w:r>
      <w:r w:rsidR="005F68B6">
        <w:t xml:space="preserve">HbA1c = glycated haemoglobin; </w:t>
      </w:r>
      <w:r w:rsidR="00FF0A9C">
        <w:t xml:space="preserve">HRQoL = health-related quality of life; </w:t>
      </w:r>
      <w:r w:rsidR="00D569C1">
        <w:t>ICER = incremental cost-effectiveness ratio</w:t>
      </w:r>
      <w:r w:rsidR="001F10BC">
        <w:t xml:space="preserve">; </w:t>
      </w:r>
      <w:r w:rsidR="00FB254E">
        <w:t xml:space="preserve">IIT, intensive insulin treatment; </w:t>
      </w:r>
      <w:r w:rsidR="00413BB5" w:rsidRPr="00413BB5">
        <w:t>MCID</w:t>
      </w:r>
      <w:r w:rsidR="008B253A">
        <w:t xml:space="preserve"> = m</w:t>
      </w:r>
      <w:r w:rsidR="008B253A" w:rsidRPr="008B253A">
        <w:t xml:space="preserve">inimally </w:t>
      </w:r>
      <w:r w:rsidR="008B253A">
        <w:t>c</w:t>
      </w:r>
      <w:r w:rsidR="008B253A" w:rsidRPr="008B253A">
        <w:t xml:space="preserve">linically </w:t>
      </w:r>
      <w:r w:rsidR="008B253A">
        <w:t>i</w:t>
      </w:r>
      <w:r w:rsidR="008B253A" w:rsidRPr="008B253A">
        <w:t xml:space="preserve">mportant </w:t>
      </w:r>
      <w:r w:rsidR="008B253A">
        <w:t>d</w:t>
      </w:r>
      <w:r w:rsidR="008B253A" w:rsidRPr="008B253A">
        <w:t>ifference</w:t>
      </w:r>
      <w:r w:rsidR="008B253A">
        <w:t xml:space="preserve">; </w:t>
      </w:r>
      <w:r w:rsidR="00FB254E" w:rsidRPr="00CE28E3">
        <w:t xml:space="preserve">MSAC = </w:t>
      </w:r>
      <w:r w:rsidR="00C339C6">
        <w:t>m</w:t>
      </w:r>
      <w:r w:rsidR="00FB254E" w:rsidRPr="00CE28E3">
        <w:t xml:space="preserve">edical </w:t>
      </w:r>
      <w:r w:rsidR="00C339C6">
        <w:t>s</w:t>
      </w:r>
      <w:r w:rsidR="00FB254E" w:rsidRPr="00CE28E3">
        <w:t xml:space="preserve">ervices </w:t>
      </w:r>
      <w:r w:rsidR="00C339C6">
        <w:t>a</w:t>
      </w:r>
      <w:r w:rsidR="00FB254E" w:rsidRPr="00CE28E3">
        <w:t xml:space="preserve">dvisory </w:t>
      </w:r>
      <w:r w:rsidR="00C339C6">
        <w:t>c</w:t>
      </w:r>
      <w:r w:rsidR="00FB254E" w:rsidRPr="00CE28E3">
        <w:t xml:space="preserve">ommittee; </w:t>
      </w:r>
      <w:r w:rsidR="00EC7952">
        <w:t xml:space="preserve">PICO = </w:t>
      </w:r>
      <w:r w:rsidR="00283B33">
        <w:t xml:space="preserve">population, </w:t>
      </w:r>
      <w:r w:rsidR="0089148C">
        <w:t xml:space="preserve">intervention, comparator and outcome; </w:t>
      </w:r>
      <w:r w:rsidR="00FB254E" w:rsidRPr="00CE28E3">
        <w:t xml:space="preserve">PSD = </w:t>
      </w:r>
      <w:r w:rsidR="00AA229E">
        <w:t>p</w:t>
      </w:r>
      <w:r w:rsidR="00FB254E" w:rsidRPr="00CE28E3">
        <w:t xml:space="preserve">ublic </w:t>
      </w:r>
      <w:r w:rsidR="00AA229E">
        <w:t>s</w:t>
      </w:r>
      <w:r w:rsidR="00FB254E" w:rsidRPr="00CE28E3">
        <w:t xml:space="preserve">ummary </w:t>
      </w:r>
      <w:r w:rsidR="00AA229E">
        <w:t>d</w:t>
      </w:r>
      <w:r w:rsidR="00FB254E" w:rsidRPr="00CE28E3">
        <w:t>ocument</w:t>
      </w:r>
      <w:r w:rsidR="00FB254E">
        <w:t xml:space="preserve">; </w:t>
      </w:r>
      <w:r w:rsidR="007E25BC">
        <w:t>QALY = quality</w:t>
      </w:r>
      <w:r w:rsidR="00CD55BE">
        <w:t>-</w:t>
      </w:r>
      <w:r w:rsidR="007E25BC">
        <w:t>adjusted life yea</w:t>
      </w:r>
      <w:r w:rsidR="00CD55BE">
        <w:t>r</w:t>
      </w:r>
      <w:r w:rsidR="007E25BC">
        <w:t xml:space="preserve">; </w:t>
      </w:r>
      <w:r w:rsidR="00FB254E">
        <w:t>RCT</w:t>
      </w:r>
      <w:r w:rsidR="00D569C1">
        <w:t xml:space="preserve"> =</w:t>
      </w:r>
      <w:r w:rsidR="00FB254E">
        <w:t xml:space="preserve"> </w:t>
      </w:r>
      <w:r w:rsidR="00D569C1">
        <w:t>r</w:t>
      </w:r>
      <w:r w:rsidR="00FB254E">
        <w:t xml:space="preserve">andomised </w:t>
      </w:r>
      <w:r w:rsidR="00D569C1">
        <w:t>c</w:t>
      </w:r>
      <w:r w:rsidR="00FB254E">
        <w:t xml:space="preserve">ontrolled </w:t>
      </w:r>
      <w:r w:rsidR="00D569C1">
        <w:t>t</w:t>
      </w:r>
      <w:r w:rsidR="00FB254E">
        <w:t>rial; RT-CGM</w:t>
      </w:r>
      <w:r w:rsidR="00D569C1">
        <w:t xml:space="preserve"> =</w:t>
      </w:r>
      <w:r w:rsidR="00FB254E">
        <w:t xml:space="preserve"> </w:t>
      </w:r>
      <w:r w:rsidR="00D569C1">
        <w:t>r</w:t>
      </w:r>
      <w:r w:rsidR="00FB254E">
        <w:t>eal-</w:t>
      </w:r>
      <w:r w:rsidR="00D569C1">
        <w:t>t</w:t>
      </w:r>
      <w:r w:rsidR="00FB254E">
        <w:t xml:space="preserve">ime </w:t>
      </w:r>
      <w:r w:rsidR="00D569C1">
        <w:t>c</w:t>
      </w:r>
      <w:r w:rsidR="00FB254E">
        <w:t xml:space="preserve">ontinuous </w:t>
      </w:r>
      <w:r w:rsidR="00D569C1">
        <w:t>g</w:t>
      </w:r>
      <w:r w:rsidR="00FB254E">
        <w:t xml:space="preserve">lucose </w:t>
      </w:r>
      <w:r w:rsidR="00D569C1">
        <w:t>m</w:t>
      </w:r>
      <w:r w:rsidR="00FB254E">
        <w:t>onitoring; SMBG</w:t>
      </w:r>
      <w:r w:rsidR="00D569C1">
        <w:t xml:space="preserve"> = s</w:t>
      </w:r>
      <w:r w:rsidR="00FB254E">
        <w:t xml:space="preserve">tandard </w:t>
      </w:r>
      <w:r w:rsidR="00D569C1">
        <w:t>m</w:t>
      </w:r>
      <w:r w:rsidR="00FB254E">
        <w:t xml:space="preserve">onitoring of </w:t>
      </w:r>
      <w:r w:rsidR="00D569C1">
        <w:t>b</w:t>
      </w:r>
      <w:r w:rsidR="00FB254E">
        <w:t xml:space="preserve">lood </w:t>
      </w:r>
      <w:r w:rsidR="00D569C1">
        <w:t>g</w:t>
      </w:r>
      <w:r w:rsidR="00FB254E">
        <w:t xml:space="preserve">lucose; </w:t>
      </w:r>
      <w:r w:rsidR="00F27026">
        <w:t xml:space="preserve">T1D = type 1 diabetes; </w:t>
      </w:r>
      <w:r w:rsidR="003112E1">
        <w:t xml:space="preserve">T2D = type 2 diabetes; </w:t>
      </w:r>
      <w:r w:rsidR="00FB254E">
        <w:t>UKPDS</w:t>
      </w:r>
      <w:r w:rsidR="00D569C1">
        <w:t xml:space="preserve"> = </w:t>
      </w:r>
      <w:r w:rsidR="00FB254E" w:rsidRPr="00EE073B">
        <w:t xml:space="preserve">United Kingdom </w:t>
      </w:r>
      <w:r w:rsidR="00D569C1">
        <w:t>p</w:t>
      </w:r>
      <w:r w:rsidR="00FB254E" w:rsidRPr="00EE073B">
        <w:t xml:space="preserve">rospective </w:t>
      </w:r>
      <w:r w:rsidR="00D569C1">
        <w:t>d</w:t>
      </w:r>
      <w:r w:rsidR="00FB254E" w:rsidRPr="00EE073B">
        <w:t xml:space="preserve">iabetes </w:t>
      </w:r>
      <w:r w:rsidR="00D569C1">
        <w:t>s</w:t>
      </w:r>
      <w:r w:rsidR="00FB254E" w:rsidRPr="00EE073B">
        <w:t>tudy</w:t>
      </w:r>
      <w:r w:rsidR="00FB254E">
        <w:t>.</w:t>
      </w:r>
    </w:p>
    <w:p w14:paraId="1AB3D3F2" w14:textId="6142F9F2" w:rsidR="003B606D" w:rsidRPr="003B606D" w:rsidRDefault="003B606D" w:rsidP="00DE3FD3">
      <w:pPr>
        <w:pStyle w:val="TableFooter"/>
        <w:spacing w:before="0"/>
        <w:rPr>
          <w:rFonts w:eastAsiaTheme="minorHAnsi"/>
          <w:b/>
          <w:bCs/>
          <w:color w:val="258221"/>
        </w:rPr>
        <w:sectPr w:rsidR="003B606D" w:rsidRPr="003B606D" w:rsidSect="008136CC">
          <w:pgSz w:w="16838" w:h="11906" w:orient="landscape"/>
          <w:pgMar w:top="1440" w:right="1440" w:bottom="1440" w:left="1440" w:header="708" w:footer="708" w:gutter="0"/>
          <w:cols w:space="708"/>
          <w:docGrid w:linePitch="360"/>
        </w:sectPr>
      </w:pPr>
      <w:r w:rsidRPr="003B606D">
        <w:rPr>
          <w:b/>
          <w:bCs/>
        </w:rPr>
        <w:t>Sourc</w:t>
      </w:r>
      <w:r w:rsidR="00981E31">
        <w:rPr>
          <w:b/>
          <w:bCs/>
        </w:rPr>
        <w:t xml:space="preserve">e: </w:t>
      </w:r>
      <w:r w:rsidR="00981E31" w:rsidRPr="003463C3">
        <w:t xml:space="preserve">Public Summary Document for MSAC </w:t>
      </w:r>
      <w:r w:rsidR="00A257DC" w:rsidRPr="003463C3">
        <w:t>Application 1785;</w:t>
      </w:r>
      <w:r w:rsidR="00A55FC3" w:rsidRPr="003463C3">
        <w:t xml:space="preserve"> </w:t>
      </w:r>
      <w:r w:rsidR="00304A31" w:rsidRPr="003463C3">
        <w:t>Table</w:t>
      </w:r>
      <w:r w:rsidR="003C2B94" w:rsidRPr="003463C3">
        <w:t xml:space="preserve">s 6 and </w:t>
      </w:r>
      <w:r w:rsidR="004C0391" w:rsidRPr="003463C3">
        <w:t>24, pp</w:t>
      </w:r>
      <w:r w:rsidR="00B43D55">
        <w:t xml:space="preserve"> </w:t>
      </w:r>
      <w:r w:rsidR="002A050B" w:rsidRPr="003463C3">
        <w:t xml:space="preserve">32 and </w:t>
      </w:r>
      <w:r w:rsidR="004C0391" w:rsidRPr="003463C3">
        <w:t>74</w:t>
      </w:r>
      <w:r w:rsidR="00A257DC" w:rsidRPr="003463C3">
        <w:t xml:space="preserve"> of </w:t>
      </w:r>
      <w:r w:rsidR="00C852F0" w:rsidRPr="003463C3">
        <w:t xml:space="preserve">the MSAC </w:t>
      </w:r>
      <w:r w:rsidR="00F03E1F" w:rsidRPr="003463C3">
        <w:t>1785</w:t>
      </w:r>
      <w:r w:rsidR="003463C3" w:rsidRPr="003463C3">
        <w:t xml:space="preserve"> ADAR + inline commentary.</w:t>
      </w:r>
    </w:p>
    <w:p w14:paraId="6F52500A" w14:textId="1272316D" w:rsidR="00772829" w:rsidRPr="00CE28E3" w:rsidRDefault="00772829" w:rsidP="00670C60">
      <w:pPr>
        <w:pStyle w:val="Heading2"/>
        <w:numPr>
          <w:ilvl w:val="0"/>
          <w:numId w:val="32"/>
        </w:numPr>
        <w:ind w:hanging="720"/>
      </w:pPr>
      <w:bookmarkStart w:id="10" w:name="_Toc69491417"/>
      <w:bookmarkEnd w:id="6"/>
      <w:bookmarkEnd w:id="9"/>
      <w:r w:rsidRPr="00CE28E3">
        <w:lastRenderedPageBreak/>
        <w:t>Prerequisites to implementation of any funding advice</w:t>
      </w:r>
      <w:bookmarkEnd w:id="10"/>
    </w:p>
    <w:p w14:paraId="2759302B" w14:textId="459CC60B" w:rsidR="00C27375" w:rsidRDefault="00746842" w:rsidP="00102500">
      <w:pPr>
        <w:pStyle w:val="Instructionaltext"/>
        <w:rPr>
          <w:iCs/>
          <w:color w:val="auto"/>
        </w:rPr>
      </w:pPr>
      <w:r w:rsidRPr="003B15FD">
        <w:rPr>
          <w:color w:val="auto"/>
        </w:rPr>
        <w:t xml:space="preserve">The Dexcom ONE+ CGM </w:t>
      </w:r>
      <w:r w:rsidR="00E668AD">
        <w:rPr>
          <w:color w:val="auto"/>
        </w:rPr>
        <w:t>s</w:t>
      </w:r>
      <w:r w:rsidRPr="003B15FD">
        <w:rPr>
          <w:color w:val="auto"/>
        </w:rPr>
        <w:t xml:space="preserve">ystem was registered by the </w:t>
      </w:r>
      <w:r w:rsidR="001E1FF5">
        <w:rPr>
          <w:color w:val="auto"/>
        </w:rPr>
        <w:t>Therapeutic Goods Administration</w:t>
      </w:r>
      <w:r w:rsidR="001E1FF5" w:rsidRPr="003B15FD">
        <w:rPr>
          <w:color w:val="auto"/>
        </w:rPr>
        <w:t xml:space="preserve"> </w:t>
      </w:r>
      <w:r w:rsidRPr="003B15FD">
        <w:rPr>
          <w:color w:val="auto"/>
        </w:rPr>
        <w:t>on 25 September 2024</w:t>
      </w:r>
      <w:r w:rsidR="001A0BAA">
        <w:rPr>
          <w:color w:val="auto"/>
        </w:rPr>
        <w:t xml:space="preserve"> (</w:t>
      </w:r>
      <w:r w:rsidR="001A0BAA" w:rsidRPr="00D21646">
        <w:rPr>
          <w:color w:val="auto"/>
        </w:rPr>
        <w:fldChar w:fldCharType="begin"/>
      </w:r>
      <w:r w:rsidR="001A0BAA" w:rsidRPr="00D21646">
        <w:rPr>
          <w:color w:val="auto"/>
        </w:rPr>
        <w:instrText xml:space="preserve"> REF _Ref229043631 \h </w:instrText>
      </w:r>
      <w:r w:rsidR="001A0BAA" w:rsidRPr="00D21646">
        <w:rPr>
          <w:color w:val="auto"/>
        </w:rPr>
      </w:r>
      <w:r w:rsidR="001A0BAA" w:rsidRPr="00D21646">
        <w:rPr>
          <w:color w:val="auto"/>
        </w:rPr>
        <w:fldChar w:fldCharType="separate"/>
      </w:r>
      <w:r w:rsidR="0098516D" w:rsidRPr="00D21646">
        <w:rPr>
          <w:color w:val="auto"/>
        </w:rPr>
        <w:t xml:space="preserve">Table </w:t>
      </w:r>
      <w:r w:rsidR="0098516D" w:rsidRPr="00D21646">
        <w:rPr>
          <w:noProof/>
          <w:color w:val="auto"/>
        </w:rPr>
        <w:t>2</w:t>
      </w:r>
      <w:r w:rsidR="001A0BAA" w:rsidRPr="00D21646">
        <w:rPr>
          <w:color w:val="auto"/>
        </w:rPr>
        <w:fldChar w:fldCharType="end"/>
      </w:r>
      <w:r w:rsidR="001A0BAA">
        <w:rPr>
          <w:color w:val="auto"/>
        </w:rPr>
        <w:t>)</w:t>
      </w:r>
      <w:r w:rsidRPr="003B15FD">
        <w:rPr>
          <w:color w:val="auto"/>
        </w:rPr>
        <w:t xml:space="preserve">. </w:t>
      </w:r>
      <w:r w:rsidR="00CF28FE" w:rsidRPr="00CF28FE">
        <w:rPr>
          <w:iCs/>
          <w:color w:val="auto"/>
        </w:rPr>
        <w:t xml:space="preserve">The </w:t>
      </w:r>
      <w:r w:rsidR="00CF28FE">
        <w:rPr>
          <w:iCs/>
          <w:color w:val="auto"/>
        </w:rPr>
        <w:t xml:space="preserve">updated </w:t>
      </w:r>
      <w:r w:rsidR="00CF28FE" w:rsidRPr="00CF28FE">
        <w:rPr>
          <w:iCs/>
          <w:color w:val="auto"/>
        </w:rPr>
        <w:t xml:space="preserve">ADAR </w:t>
      </w:r>
      <w:r w:rsidR="00307004">
        <w:rPr>
          <w:iCs/>
          <w:color w:val="auto"/>
        </w:rPr>
        <w:t>178</w:t>
      </w:r>
      <w:r w:rsidR="00BA733B">
        <w:rPr>
          <w:iCs/>
          <w:color w:val="auto"/>
        </w:rPr>
        <w:t>5</w:t>
      </w:r>
      <w:r w:rsidR="00CF28FE" w:rsidRPr="00CF28FE">
        <w:rPr>
          <w:iCs/>
          <w:color w:val="auto"/>
        </w:rPr>
        <w:t xml:space="preserve"> did not </w:t>
      </w:r>
      <w:r w:rsidR="008F0C29">
        <w:rPr>
          <w:iCs/>
          <w:color w:val="auto"/>
        </w:rPr>
        <w:t>report</w:t>
      </w:r>
      <w:r w:rsidR="00CF28FE" w:rsidRPr="00CF28FE">
        <w:rPr>
          <w:iCs/>
          <w:color w:val="auto"/>
        </w:rPr>
        <w:t xml:space="preserve"> any prerequisites for </w:t>
      </w:r>
      <w:r w:rsidR="0067741C">
        <w:rPr>
          <w:iCs/>
          <w:color w:val="auto"/>
        </w:rPr>
        <w:t xml:space="preserve">the </w:t>
      </w:r>
      <w:r w:rsidR="00CF28FE" w:rsidRPr="00CF28FE">
        <w:rPr>
          <w:iCs/>
          <w:color w:val="auto"/>
        </w:rPr>
        <w:t>Dexcom ONE+</w:t>
      </w:r>
      <w:r w:rsidR="00037C0F">
        <w:rPr>
          <w:iCs/>
          <w:color w:val="auto"/>
        </w:rPr>
        <w:t xml:space="preserve"> CGM </w:t>
      </w:r>
      <w:r w:rsidR="0067741C">
        <w:rPr>
          <w:iCs/>
          <w:color w:val="auto"/>
        </w:rPr>
        <w:t>s</w:t>
      </w:r>
      <w:r w:rsidR="00037C0F">
        <w:rPr>
          <w:iCs/>
          <w:color w:val="auto"/>
        </w:rPr>
        <w:t>ystem</w:t>
      </w:r>
      <w:r w:rsidR="00CF28FE" w:rsidRPr="00CF28FE">
        <w:rPr>
          <w:iCs/>
          <w:color w:val="auto"/>
        </w:rPr>
        <w:t>.</w:t>
      </w:r>
    </w:p>
    <w:p w14:paraId="2CEEBD4B" w14:textId="0A978DA8" w:rsidR="001824BB" w:rsidRPr="001824BB" w:rsidRDefault="001824BB" w:rsidP="00972205">
      <w:pPr>
        <w:pStyle w:val="Caption"/>
        <w:rPr>
          <w:iCs/>
        </w:rPr>
      </w:pPr>
      <w:bookmarkStart w:id="11" w:name="_Ref229043631"/>
      <w:r w:rsidRPr="001824BB">
        <w:t>Table</w:t>
      </w:r>
      <w:r w:rsidR="00BD2C50">
        <w:t xml:space="preserve"> </w:t>
      </w:r>
      <w:r>
        <w:fldChar w:fldCharType="begin"/>
      </w:r>
      <w:r>
        <w:instrText>SEQ Table \* ARABIC</w:instrText>
      </w:r>
      <w:r>
        <w:fldChar w:fldCharType="separate"/>
      </w:r>
      <w:r w:rsidR="0098516D">
        <w:rPr>
          <w:noProof/>
        </w:rPr>
        <w:t>2</w:t>
      </w:r>
      <w:r>
        <w:fldChar w:fldCharType="end"/>
      </w:r>
      <w:bookmarkEnd w:id="11"/>
      <w:r w:rsidR="00BD2C50">
        <w:t>:</w:t>
      </w:r>
      <w:r w:rsidR="00972205" w:rsidRPr="00972205">
        <w:t xml:space="preserve"> Dexcom ONE+ </w:t>
      </w:r>
      <w:r w:rsidR="004B75F0">
        <w:t xml:space="preserve">CGM </w:t>
      </w:r>
      <w:r w:rsidR="0067741C">
        <w:t>s</w:t>
      </w:r>
      <w:r w:rsidR="004B75F0">
        <w:t xml:space="preserve">ystem </w:t>
      </w:r>
      <w:r w:rsidR="00972205" w:rsidRPr="00972205">
        <w:t>listed on the ARTG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4"/>
        <w:gridCol w:w="3004"/>
        <w:gridCol w:w="3008"/>
      </w:tblGrid>
      <w:tr w:rsidR="00D95F7F" w:rsidRPr="001824BB" w14:paraId="118C5C4D" w14:textId="77777777" w:rsidTr="00263702">
        <w:trPr>
          <w:trHeight w:val="42"/>
          <w:tblHeader/>
        </w:trPr>
        <w:tc>
          <w:tcPr>
            <w:tcW w:w="1666" w:type="pct"/>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5362AF2" w14:textId="7D3BEBE5" w:rsidR="00724EA0" w:rsidRPr="00171514" w:rsidRDefault="00F0569D" w:rsidP="00171514">
            <w:pPr>
              <w:pStyle w:val="In-tableHeading"/>
            </w:pPr>
            <w:r w:rsidRPr="00171514">
              <w:t>P</w:t>
            </w:r>
            <w:r w:rsidR="001A53C1" w:rsidRPr="00171514">
              <w:t>roduct name (sponsor)</w:t>
            </w:r>
          </w:p>
        </w:tc>
        <w:tc>
          <w:tcPr>
            <w:tcW w:w="1666"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7A1A5735" w14:textId="61A4DEC7" w:rsidR="00724EA0" w:rsidRPr="00171514" w:rsidRDefault="001A53C1" w:rsidP="00171514">
            <w:pPr>
              <w:pStyle w:val="In-tableHeading"/>
            </w:pPr>
            <w:r w:rsidRPr="00171514">
              <w:t xml:space="preserve">ARTG summary </w:t>
            </w:r>
          </w:p>
        </w:tc>
        <w:tc>
          <w:tcPr>
            <w:tcW w:w="1668"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DE0BBAA" w14:textId="770CDB9B" w:rsidR="00724EA0" w:rsidRPr="00171514" w:rsidRDefault="00A6743D" w:rsidP="00171514">
            <w:pPr>
              <w:pStyle w:val="In-tableHeading"/>
            </w:pPr>
            <w:r w:rsidRPr="00171514">
              <w:t>Intended purpose</w:t>
            </w:r>
          </w:p>
        </w:tc>
      </w:tr>
      <w:tr w:rsidR="00D95F7F" w:rsidRPr="001824BB" w14:paraId="727F8B94" w14:textId="77777777" w:rsidTr="00263702">
        <w:trPr>
          <w:trHeight w:val="4344"/>
        </w:trPr>
        <w:tc>
          <w:tcPr>
            <w:tcW w:w="1666" w:type="pct"/>
            <w:tcBorders>
              <w:top w:val="single" w:sz="4" w:space="0" w:color="000000"/>
              <w:left w:val="single" w:sz="4" w:space="0" w:color="000000"/>
              <w:bottom w:val="single" w:sz="4" w:space="0" w:color="000000"/>
              <w:right w:val="single" w:sz="4" w:space="0" w:color="000000"/>
            </w:tcBorders>
          </w:tcPr>
          <w:p w14:paraId="27DAC545" w14:textId="1DA50833" w:rsidR="00724EA0" w:rsidRPr="00D807D0" w:rsidRDefault="00A6743D" w:rsidP="00263702">
            <w:pPr>
              <w:pStyle w:val="Tabletext0"/>
            </w:pPr>
            <w:r w:rsidRPr="00D807D0">
              <w:t>Subcutaneous glucose sensor (AA-Med Pty Ltd)</w:t>
            </w:r>
          </w:p>
        </w:tc>
        <w:tc>
          <w:tcPr>
            <w:tcW w:w="1666" w:type="pct"/>
            <w:tcBorders>
              <w:top w:val="single" w:sz="4" w:space="0" w:color="000000"/>
              <w:left w:val="single" w:sz="4" w:space="0" w:color="000000"/>
              <w:bottom w:val="single" w:sz="4" w:space="0" w:color="000000"/>
              <w:right w:val="single" w:sz="4" w:space="0" w:color="000000"/>
            </w:tcBorders>
          </w:tcPr>
          <w:p w14:paraId="70C6BD14" w14:textId="77777777" w:rsidR="00A6743D" w:rsidRPr="00D807D0" w:rsidRDefault="00A6743D" w:rsidP="00263702">
            <w:pPr>
              <w:pStyle w:val="Tabletext0"/>
            </w:pPr>
            <w:r w:rsidRPr="00D807D0">
              <w:rPr>
                <w:b/>
              </w:rPr>
              <w:t>ARTG ID</w:t>
            </w:r>
            <w:r w:rsidRPr="00D807D0">
              <w:t>: 462866</w:t>
            </w:r>
          </w:p>
          <w:p w14:paraId="1350A9D2" w14:textId="77777777" w:rsidR="00A6743D" w:rsidRPr="00D807D0" w:rsidRDefault="00A6743D" w:rsidP="00263702">
            <w:pPr>
              <w:pStyle w:val="Tabletext0"/>
            </w:pPr>
            <w:r w:rsidRPr="00D807D0">
              <w:rPr>
                <w:b/>
              </w:rPr>
              <w:t>Start date</w:t>
            </w:r>
            <w:r w:rsidRPr="00D807D0">
              <w:t>: 25/09/2024</w:t>
            </w:r>
          </w:p>
          <w:p w14:paraId="188F9304" w14:textId="77777777" w:rsidR="00A6743D" w:rsidRPr="00D807D0" w:rsidRDefault="00A6743D" w:rsidP="00263702">
            <w:pPr>
              <w:pStyle w:val="Tabletext0"/>
            </w:pPr>
            <w:r w:rsidRPr="00D807D0">
              <w:rPr>
                <w:b/>
              </w:rPr>
              <w:t>Category</w:t>
            </w:r>
            <w:r w:rsidRPr="00D807D0">
              <w:t>: Medical Device Included Class IIb</w:t>
            </w:r>
          </w:p>
          <w:p w14:paraId="0ECEBB17" w14:textId="5707BCFE" w:rsidR="00724EA0" w:rsidRPr="00D807D0" w:rsidRDefault="00A6743D" w:rsidP="00263702">
            <w:pPr>
              <w:pStyle w:val="Tabletext0"/>
            </w:pPr>
            <w:r w:rsidRPr="00D807D0">
              <w:rPr>
                <w:b/>
              </w:rPr>
              <w:t>GMDN</w:t>
            </w:r>
            <w:r w:rsidRPr="00D807D0">
              <w:t>: 59016 Subcutaneous glucose sensor</w:t>
            </w:r>
          </w:p>
        </w:tc>
        <w:tc>
          <w:tcPr>
            <w:tcW w:w="1668" w:type="pct"/>
            <w:tcBorders>
              <w:top w:val="single" w:sz="4" w:space="0" w:color="000000"/>
              <w:left w:val="single" w:sz="4" w:space="0" w:color="000000"/>
              <w:bottom w:val="single" w:sz="4" w:space="0" w:color="000000"/>
              <w:right w:val="single" w:sz="4" w:space="0" w:color="000000"/>
            </w:tcBorders>
          </w:tcPr>
          <w:p w14:paraId="46EC4E2A" w14:textId="76EA3E4A" w:rsidR="00724EA0" w:rsidRPr="00D807D0" w:rsidRDefault="00511622" w:rsidP="00263702">
            <w:pPr>
              <w:pStyle w:val="Tabletext0"/>
            </w:pPr>
            <w:r w:rsidRPr="00D807D0">
              <w:t xml:space="preserve">The subcutaneous glucose sensor is intended to be used as part of the CGM </w:t>
            </w:r>
            <w:r w:rsidR="0067741C">
              <w:t>s</w:t>
            </w:r>
            <w:r w:rsidRPr="00D807D0">
              <w:t>ystem. The CGM is a glucose monitoring system indicated for persons with diabetes mellitus aged 2 years and older where SMBG is indicated. The device is designed to replace finger prick BG testing for treatment decisions. Interpretation of the device results should be based on the glucose trends and several sequential readings over time. The device also aids in the detection of episodes of hyperglycaemia and hypoglycaemia, facilitating both acute and long-term therapy adjustments. It is intended for use by patients at home and in healthcare facilities.</w:t>
            </w:r>
          </w:p>
        </w:tc>
      </w:tr>
    </w:tbl>
    <w:p w14:paraId="04F4E575" w14:textId="25DE8CC2" w:rsidR="00445692" w:rsidRPr="00360F6F" w:rsidRDefault="00445692" w:rsidP="00360F6F">
      <w:pPr>
        <w:pStyle w:val="TableFooter"/>
        <w:spacing w:before="0"/>
      </w:pPr>
      <w:r w:rsidRPr="00360F6F">
        <w:rPr>
          <w:b/>
          <w:bCs/>
        </w:rPr>
        <w:t>Abbreviations:</w:t>
      </w:r>
      <w:r w:rsidRPr="00360F6F">
        <w:t xml:space="preserve"> ARTG = Australian Register of Therapeutic Goods, BG = blood glucose, CGM = continuous glucose monitoring, GMDN = </w:t>
      </w:r>
      <w:r w:rsidR="00D608A2">
        <w:t>g</w:t>
      </w:r>
      <w:r w:rsidRPr="00360F6F">
        <w:t xml:space="preserve">lobal </w:t>
      </w:r>
      <w:r w:rsidR="00D608A2">
        <w:t>m</w:t>
      </w:r>
      <w:r w:rsidRPr="00360F6F">
        <w:t xml:space="preserve">edical </w:t>
      </w:r>
      <w:r w:rsidR="00D608A2">
        <w:t>d</w:t>
      </w:r>
      <w:r w:rsidRPr="00360F6F">
        <w:t xml:space="preserve">evice </w:t>
      </w:r>
      <w:r w:rsidR="00D608A2">
        <w:t>n</w:t>
      </w:r>
      <w:r w:rsidRPr="00360F6F">
        <w:t>omenclature, SMBG = self-monitoring of blood glucose.</w:t>
      </w:r>
    </w:p>
    <w:p w14:paraId="430BE3BF" w14:textId="210C1C15" w:rsidR="009E0E18" w:rsidRPr="00360F6F" w:rsidRDefault="00445692" w:rsidP="00360F6F">
      <w:pPr>
        <w:pStyle w:val="TableFooter"/>
        <w:spacing w:before="0"/>
      </w:pPr>
      <w:r w:rsidRPr="00360F6F">
        <w:rPr>
          <w:b/>
          <w:bCs/>
        </w:rPr>
        <w:t>Source:</w:t>
      </w:r>
      <w:r w:rsidRPr="00360F6F">
        <w:t xml:space="preserve"> ARTG Public Summary Documents. Verified by assessment group on 25 February 2025</w:t>
      </w:r>
      <w:r w:rsidR="001B1C56" w:rsidRPr="00360F6F">
        <w:t xml:space="preserve">, </w:t>
      </w:r>
      <w:r w:rsidR="00CB63B3" w:rsidRPr="00360F6F">
        <w:t>as reported in MSAC PSD fo</w:t>
      </w:r>
      <w:r w:rsidR="00611532" w:rsidRPr="00360F6F">
        <w:t>r Application No. 1785, 31 July 2025.</w:t>
      </w:r>
    </w:p>
    <w:p w14:paraId="44C3B242" w14:textId="5D1EEF42" w:rsidR="00772829" w:rsidRPr="00CE28E3" w:rsidRDefault="00772829" w:rsidP="00670C60">
      <w:pPr>
        <w:pStyle w:val="Heading2"/>
        <w:numPr>
          <w:ilvl w:val="0"/>
          <w:numId w:val="32"/>
        </w:numPr>
        <w:ind w:hanging="720"/>
      </w:pPr>
      <w:bookmarkStart w:id="12" w:name="_Toc69491418"/>
      <w:r w:rsidRPr="00CE28E3">
        <w:t>Proposal for public funding</w:t>
      </w:r>
      <w:bookmarkEnd w:id="12"/>
    </w:p>
    <w:p w14:paraId="6EA02E2C" w14:textId="7666B1FF" w:rsidR="005D40FB" w:rsidRDefault="004815E8" w:rsidP="00CA1990">
      <w:pPr>
        <w:pStyle w:val="Instructionaltext"/>
        <w:keepNext/>
        <w:tabs>
          <w:tab w:val="left" w:pos="2172"/>
        </w:tabs>
        <w:rPr>
          <w:iCs/>
          <w:color w:val="auto"/>
        </w:rPr>
      </w:pPr>
      <w:r>
        <w:rPr>
          <w:iCs/>
          <w:color w:val="auto"/>
        </w:rPr>
        <w:t xml:space="preserve">The </w:t>
      </w:r>
      <w:r w:rsidR="00E80774">
        <w:rPr>
          <w:iCs/>
          <w:color w:val="auto"/>
        </w:rPr>
        <w:t>ADAR</w:t>
      </w:r>
      <w:r w:rsidR="00EC2EBF">
        <w:rPr>
          <w:iCs/>
          <w:color w:val="auto"/>
        </w:rPr>
        <w:t xml:space="preserve"> for </w:t>
      </w:r>
      <w:r w:rsidR="0038303A">
        <w:rPr>
          <w:iCs/>
          <w:color w:val="auto"/>
        </w:rPr>
        <w:t xml:space="preserve">the </w:t>
      </w:r>
      <w:r w:rsidR="00EC2EBF">
        <w:rPr>
          <w:iCs/>
          <w:color w:val="auto"/>
        </w:rPr>
        <w:t>Dexcom ONE</w:t>
      </w:r>
      <w:r w:rsidR="00FD15B3">
        <w:rPr>
          <w:iCs/>
          <w:color w:val="auto"/>
        </w:rPr>
        <w:t>+</w:t>
      </w:r>
      <w:r w:rsidR="00C078DC">
        <w:rPr>
          <w:iCs/>
          <w:color w:val="auto"/>
        </w:rPr>
        <w:t xml:space="preserve"> </w:t>
      </w:r>
      <w:r w:rsidR="00510301">
        <w:rPr>
          <w:iCs/>
          <w:color w:val="auto"/>
        </w:rPr>
        <w:t xml:space="preserve">CGM </w:t>
      </w:r>
      <w:r w:rsidR="0067741C">
        <w:rPr>
          <w:iCs/>
          <w:color w:val="auto"/>
        </w:rPr>
        <w:t>s</w:t>
      </w:r>
      <w:r w:rsidR="00510301">
        <w:rPr>
          <w:iCs/>
          <w:color w:val="auto"/>
        </w:rPr>
        <w:t xml:space="preserve">ystem </w:t>
      </w:r>
      <w:r w:rsidR="00C078DC">
        <w:rPr>
          <w:iCs/>
          <w:color w:val="auto"/>
        </w:rPr>
        <w:t>propos</w:t>
      </w:r>
      <w:r w:rsidR="00472D1A">
        <w:rPr>
          <w:iCs/>
          <w:color w:val="auto"/>
        </w:rPr>
        <w:t xml:space="preserve">ed that </w:t>
      </w:r>
      <w:r w:rsidR="004B6781">
        <w:rPr>
          <w:iCs/>
          <w:color w:val="auto"/>
        </w:rPr>
        <w:t xml:space="preserve">NDSS funding </w:t>
      </w:r>
      <w:r w:rsidR="0016193D">
        <w:rPr>
          <w:iCs/>
          <w:color w:val="auto"/>
        </w:rPr>
        <w:t xml:space="preserve">should be </w:t>
      </w:r>
      <w:r w:rsidR="00993FD3">
        <w:rPr>
          <w:iCs/>
          <w:color w:val="auto"/>
        </w:rPr>
        <w:t>provided</w:t>
      </w:r>
      <w:r w:rsidR="0016193D">
        <w:rPr>
          <w:iCs/>
          <w:color w:val="auto"/>
        </w:rPr>
        <w:t xml:space="preserve"> </w:t>
      </w:r>
      <w:r w:rsidR="00606F32">
        <w:rPr>
          <w:iCs/>
          <w:color w:val="auto"/>
        </w:rPr>
        <w:t xml:space="preserve">for </w:t>
      </w:r>
      <w:r w:rsidR="00685294">
        <w:rPr>
          <w:iCs/>
          <w:color w:val="auto"/>
        </w:rPr>
        <w:t xml:space="preserve">three </w:t>
      </w:r>
      <w:r w:rsidR="000327F1">
        <w:rPr>
          <w:iCs/>
          <w:color w:val="auto"/>
        </w:rPr>
        <w:t xml:space="preserve">T2D </w:t>
      </w:r>
      <w:r w:rsidR="00DE3697">
        <w:rPr>
          <w:iCs/>
          <w:color w:val="auto"/>
        </w:rPr>
        <w:t>s</w:t>
      </w:r>
      <w:r w:rsidR="002C41A0">
        <w:rPr>
          <w:iCs/>
          <w:color w:val="auto"/>
        </w:rPr>
        <w:t>ubpo</w:t>
      </w:r>
      <w:r w:rsidR="0083227F">
        <w:rPr>
          <w:iCs/>
          <w:color w:val="auto"/>
        </w:rPr>
        <w:t>p</w:t>
      </w:r>
      <w:r w:rsidR="002C41A0">
        <w:rPr>
          <w:iCs/>
          <w:color w:val="auto"/>
        </w:rPr>
        <w:t>ulations</w:t>
      </w:r>
      <w:r w:rsidR="00F41323">
        <w:rPr>
          <w:iCs/>
          <w:color w:val="auto"/>
        </w:rPr>
        <w:t xml:space="preserve"> </w:t>
      </w:r>
      <w:r w:rsidR="00586C3F">
        <w:rPr>
          <w:iCs/>
          <w:color w:val="auto"/>
        </w:rPr>
        <w:t xml:space="preserve">with </w:t>
      </w:r>
      <w:r w:rsidR="00947406">
        <w:rPr>
          <w:iCs/>
          <w:color w:val="auto"/>
        </w:rPr>
        <w:t>suboptimal glyca</w:t>
      </w:r>
      <w:r w:rsidR="00E56E3D">
        <w:rPr>
          <w:iCs/>
          <w:color w:val="auto"/>
        </w:rPr>
        <w:t xml:space="preserve">emic </w:t>
      </w:r>
      <w:r w:rsidR="00B94F43">
        <w:rPr>
          <w:iCs/>
          <w:color w:val="auto"/>
        </w:rPr>
        <w:t>control</w:t>
      </w:r>
      <w:r w:rsidR="0067741C">
        <w:rPr>
          <w:iCs/>
          <w:color w:val="auto"/>
        </w:rPr>
        <w:t xml:space="preserve"> requiring insulin</w:t>
      </w:r>
      <w:r w:rsidR="00931499">
        <w:rPr>
          <w:iCs/>
          <w:color w:val="auto"/>
        </w:rPr>
        <w:t>.</w:t>
      </w:r>
      <w:r w:rsidR="00610FA3" w:rsidRPr="00610FA3">
        <w:rPr>
          <w:iCs/>
          <w:color w:val="auto"/>
        </w:rPr>
        <w:t xml:space="preserve"> This funding avenue does not require a Medicare Benefits Schedule (MBS) listing.</w:t>
      </w:r>
    </w:p>
    <w:p w14:paraId="219D8DD0" w14:textId="47D6D26D" w:rsidR="00CE5E88" w:rsidRDefault="00CE5E88" w:rsidP="00CA1990">
      <w:pPr>
        <w:pStyle w:val="Instructionaltext"/>
        <w:keepNext/>
        <w:tabs>
          <w:tab w:val="left" w:pos="2172"/>
        </w:tabs>
        <w:rPr>
          <w:iCs/>
          <w:color w:val="auto"/>
        </w:rPr>
      </w:pPr>
      <w:r w:rsidRPr="00CE5E88">
        <w:rPr>
          <w:iCs/>
          <w:color w:val="auto"/>
        </w:rPr>
        <w:t xml:space="preserve">The proposed population for NDSS funding is narrower than the indication in the ARTG listing, which is for ‘persons with diabetes mellitus aged 2 years and older where SMBG is indicated’. Currently, subsidised CGM products are only available </w:t>
      </w:r>
      <w:r w:rsidR="0067741C">
        <w:rPr>
          <w:iCs/>
          <w:color w:val="auto"/>
        </w:rPr>
        <w:t>via</w:t>
      </w:r>
      <w:r w:rsidR="0067741C" w:rsidRPr="00CE5E88">
        <w:rPr>
          <w:iCs/>
          <w:color w:val="auto"/>
        </w:rPr>
        <w:t xml:space="preserve"> </w:t>
      </w:r>
      <w:r w:rsidRPr="00CE5E88">
        <w:rPr>
          <w:iCs/>
          <w:color w:val="auto"/>
        </w:rPr>
        <w:t xml:space="preserve">the NDSS for people with T1D and some people &lt;21 years with rare conditions similar to T1D. Other Dexcom RT-CGM </w:t>
      </w:r>
      <w:r w:rsidR="0067741C">
        <w:rPr>
          <w:iCs/>
          <w:color w:val="auto"/>
        </w:rPr>
        <w:t>s</w:t>
      </w:r>
      <w:r w:rsidRPr="00CE5E88">
        <w:rPr>
          <w:iCs/>
          <w:color w:val="auto"/>
        </w:rPr>
        <w:t>ystems (Dexcom G6 and G7) with advanced features (e.g. connectivity to pumps) are currently available through the NDSS for T1D. Dexcom ONE+ does not have these features.</w:t>
      </w:r>
    </w:p>
    <w:p w14:paraId="7FB9270E" w14:textId="009F01C3" w:rsidR="00CA1990" w:rsidRPr="00CA1990" w:rsidRDefault="009F5B5D" w:rsidP="00CA1990">
      <w:pPr>
        <w:pStyle w:val="Instructionaltext"/>
        <w:keepNext/>
        <w:tabs>
          <w:tab w:val="left" w:pos="2172"/>
        </w:tabs>
        <w:rPr>
          <w:iCs/>
          <w:color w:val="auto"/>
        </w:rPr>
      </w:pPr>
      <w:r>
        <w:rPr>
          <w:iCs/>
          <w:color w:val="auto"/>
        </w:rPr>
        <w:t>T</w:t>
      </w:r>
      <w:r w:rsidR="00425B98">
        <w:rPr>
          <w:iCs/>
          <w:color w:val="auto"/>
        </w:rPr>
        <w:t xml:space="preserve">he ADAR </w:t>
      </w:r>
      <w:r w:rsidR="00843BF3">
        <w:rPr>
          <w:iCs/>
          <w:color w:val="auto"/>
        </w:rPr>
        <w:t>resubmission</w:t>
      </w:r>
      <w:r w:rsidRPr="009F5B5D">
        <w:rPr>
          <w:iCs/>
          <w:color w:val="auto"/>
        </w:rPr>
        <w:t xml:space="preserve"> </w:t>
      </w:r>
      <w:r w:rsidRPr="00CA1990">
        <w:rPr>
          <w:iCs/>
          <w:color w:val="auto"/>
        </w:rPr>
        <w:t>propose</w:t>
      </w:r>
      <w:r w:rsidR="005D37A5">
        <w:rPr>
          <w:iCs/>
          <w:color w:val="auto"/>
        </w:rPr>
        <w:t>d</w:t>
      </w:r>
      <w:r w:rsidR="00CA1990" w:rsidRPr="00CA1990">
        <w:rPr>
          <w:iCs/>
          <w:color w:val="auto"/>
        </w:rPr>
        <w:t xml:space="preserve"> three T2D populations for public fundin</w:t>
      </w:r>
      <w:r w:rsidR="00CA1990" w:rsidRPr="00CA1990" w:rsidDel="009F5B5D">
        <w:rPr>
          <w:iCs/>
          <w:color w:val="auto"/>
        </w:rPr>
        <w:t>g</w:t>
      </w:r>
      <w:r w:rsidR="00A82CE9">
        <w:rPr>
          <w:iCs/>
          <w:color w:val="auto"/>
        </w:rPr>
        <w:t>:</w:t>
      </w:r>
    </w:p>
    <w:p w14:paraId="7D1C43FC" w14:textId="77777777" w:rsidR="00CA1990" w:rsidRPr="00CA1990" w:rsidRDefault="00CA1990" w:rsidP="00670C60">
      <w:pPr>
        <w:pStyle w:val="Instructionaltext"/>
        <w:keepNext/>
        <w:numPr>
          <w:ilvl w:val="0"/>
          <w:numId w:val="22"/>
        </w:numPr>
        <w:tabs>
          <w:tab w:val="left" w:pos="2172"/>
        </w:tabs>
        <w:rPr>
          <w:iCs/>
          <w:color w:val="auto"/>
        </w:rPr>
      </w:pPr>
      <w:r w:rsidRPr="00CA1990">
        <w:rPr>
          <w:iCs/>
          <w:color w:val="auto"/>
        </w:rPr>
        <w:t>IIT subpopulation with HbA1c &gt;7%</w:t>
      </w:r>
    </w:p>
    <w:p w14:paraId="40691D26" w14:textId="4D8DAB2B" w:rsidR="00CA1990" w:rsidRPr="00CA1990" w:rsidRDefault="00CA1990" w:rsidP="00670C60">
      <w:pPr>
        <w:pStyle w:val="Instructionaltext"/>
        <w:keepNext/>
        <w:numPr>
          <w:ilvl w:val="0"/>
          <w:numId w:val="22"/>
        </w:numPr>
        <w:tabs>
          <w:tab w:val="left" w:pos="2172"/>
        </w:tabs>
        <w:rPr>
          <w:iCs/>
          <w:color w:val="auto"/>
        </w:rPr>
      </w:pPr>
      <w:r w:rsidRPr="00CA1990">
        <w:rPr>
          <w:iCs/>
          <w:color w:val="auto"/>
        </w:rPr>
        <w:t>non-IIT subpopulation with HbA1c levels &gt;8% or &gt;9%</w:t>
      </w:r>
    </w:p>
    <w:p w14:paraId="1B90055C" w14:textId="791E1CF4" w:rsidR="00CA1990" w:rsidRPr="00CA1990" w:rsidRDefault="00CA1990" w:rsidP="00670C60">
      <w:pPr>
        <w:pStyle w:val="Instructionaltext"/>
        <w:keepNext/>
        <w:numPr>
          <w:ilvl w:val="0"/>
          <w:numId w:val="22"/>
        </w:numPr>
        <w:tabs>
          <w:tab w:val="left" w:pos="2172"/>
        </w:tabs>
        <w:rPr>
          <w:iCs/>
          <w:color w:val="auto"/>
        </w:rPr>
      </w:pPr>
      <w:r w:rsidRPr="00CA1990">
        <w:rPr>
          <w:iCs/>
          <w:color w:val="auto"/>
        </w:rPr>
        <w:t xml:space="preserve">First Nations </w:t>
      </w:r>
      <w:r w:rsidR="00A95E21">
        <w:rPr>
          <w:iCs/>
          <w:color w:val="auto"/>
        </w:rPr>
        <w:t xml:space="preserve">insulin </w:t>
      </w:r>
      <w:r w:rsidR="008E2027">
        <w:rPr>
          <w:iCs/>
          <w:color w:val="auto"/>
        </w:rPr>
        <w:t>requiring</w:t>
      </w:r>
      <w:r w:rsidR="008E2027" w:rsidRPr="00CA1990">
        <w:rPr>
          <w:iCs/>
          <w:color w:val="auto"/>
        </w:rPr>
        <w:t xml:space="preserve"> </w:t>
      </w:r>
      <w:r w:rsidRPr="00CA1990">
        <w:rPr>
          <w:iCs/>
          <w:color w:val="auto"/>
        </w:rPr>
        <w:t>subpopulation with HbA1c &gt;7%</w:t>
      </w:r>
      <w:r w:rsidR="009F5B5D">
        <w:rPr>
          <w:iCs/>
          <w:color w:val="auto"/>
        </w:rPr>
        <w:t>.</w:t>
      </w:r>
    </w:p>
    <w:p w14:paraId="7F2A69FE" w14:textId="26DD6C6A" w:rsidR="00CA1990" w:rsidRPr="006C058C" w:rsidRDefault="00CA1990" w:rsidP="00534FB6">
      <w:r w:rsidRPr="00CA1990">
        <w:t xml:space="preserve">The proposed </w:t>
      </w:r>
      <w:r w:rsidR="00B77FAA">
        <w:t>population for NDSS funding</w:t>
      </w:r>
      <w:r w:rsidRPr="00CA1990">
        <w:t xml:space="preserve"> for these subpopulations are presented in</w:t>
      </w:r>
      <w:r w:rsidR="000952A2">
        <w:t xml:space="preserve"> </w:t>
      </w:r>
      <w:r w:rsidR="000952A2">
        <w:fldChar w:fldCharType="begin"/>
      </w:r>
      <w:r w:rsidR="000952A2">
        <w:instrText xml:space="preserve"> REF _Ref226711882 \h </w:instrText>
      </w:r>
      <w:r w:rsidR="000952A2">
        <w:fldChar w:fldCharType="separate"/>
      </w:r>
      <w:r w:rsidR="0098516D" w:rsidRPr="000952A2">
        <w:t xml:space="preserve">Table </w:t>
      </w:r>
      <w:r w:rsidR="0098516D">
        <w:rPr>
          <w:noProof/>
        </w:rPr>
        <w:t>3</w:t>
      </w:r>
      <w:r w:rsidR="000952A2">
        <w:fldChar w:fldCharType="end"/>
      </w:r>
      <w:r w:rsidR="006C058C">
        <w:t xml:space="preserve">, </w:t>
      </w:r>
      <w:r w:rsidR="006C058C">
        <w:fldChar w:fldCharType="begin"/>
      </w:r>
      <w:r w:rsidR="006C058C">
        <w:instrText xml:space="preserve"> REF _Ref227161235 \h </w:instrText>
      </w:r>
      <w:r w:rsidR="006C058C">
        <w:fldChar w:fldCharType="separate"/>
      </w:r>
      <w:r w:rsidR="0098516D" w:rsidRPr="006C058C">
        <w:t xml:space="preserve">Table </w:t>
      </w:r>
      <w:r w:rsidR="0098516D">
        <w:rPr>
          <w:noProof/>
        </w:rPr>
        <w:t>4</w:t>
      </w:r>
      <w:r w:rsidR="006C058C">
        <w:fldChar w:fldCharType="end"/>
      </w:r>
      <w:r w:rsidRPr="00CA1990">
        <w:t>, and</w:t>
      </w:r>
      <w:r w:rsidR="00C71B38" w:rsidRPr="00BB0073">
        <w:t xml:space="preserve"> </w:t>
      </w:r>
      <w:r w:rsidR="00E16CA7">
        <w:fldChar w:fldCharType="begin"/>
      </w:r>
      <w:r w:rsidR="00E16CA7">
        <w:instrText xml:space="preserve"> REF _Ref226711925 \h </w:instrText>
      </w:r>
      <w:r w:rsidR="005A15AB">
        <w:instrText xml:space="preserve"> \* MERGEFORMAT </w:instrText>
      </w:r>
      <w:r w:rsidR="00E16CA7">
        <w:fldChar w:fldCharType="separate"/>
      </w:r>
      <w:r w:rsidR="0098516D" w:rsidRPr="004F7EFE">
        <w:t xml:space="preserve">Table </w:t>
      </w:r>
      <w:r w:rsidR="0098516D">
        <w:t>5</w:t>
      </w:r>
      <w:r w:rsidR="00E16CA7">
        <w:fldChar w:fldCharType="end"/>
      </w:r>
      <w:r>
        <w:t>.</w:t>
      </w:r>
    </w:p>
    <w:p w14:paraId="193131BB" w14:textId="65433892" w:rsidR="00CA1990" w:rsidRPr="000952A2" w:rsidRDefault="00BD2C50" w:rsidP="000952A2">
      <w:pPr>
        <w:pStyle w:val="Caption"/>
      </w:pPr>
      <w:bookmarkStart w:id="13" w:name="_Ref226711882"/>
      <w:bookmarkStart w:id="14" w:name="_Ref221201395"/>
      <w:r w:rsidRPr="000952A2">
        <w:lastRenderedPageBreak/>
        <w:t xml:space="preserve">Table </w:t>
      </w:r>
      <w:r>
        <w:fldChar w:fldCharType="begin"/>
      </w:r>
      <w:r>
        <w:instrText>SEQ Table \* ARABIC</w:instrText>
      </w:r>
      <w:r>
        <w:fldChar w:fldCharType="separate"/>
      </w:r>
      <w:r w:rsidR="0098516D">
        <w:rPr>
          <w:noProof/>
        </w:rPr>
        <w:t>3</w:t>
      </w:r>
      <w:r>
        <w:fldChar w:fldCharType="end"/>
      </w:r>
      <w:bookmarkEnd w:id="13"/>
      <w:r w:rsidRPr="000952A2">
        <w:t xml:space="preserve">: </w:t>
      </w:r>
      <w:bookmarkEnd w:id="14"/>
      <w:r w:rsidR="00CA1990" w:rsidRPr="000952A2">
        <w:t>Proposed</w:t>
      </w:r>
      <w:r w:rsidR="00353B0E">
        <w:t xml:space="preserve"> population</w:t>
      </w:r>
      <w:r w:rsidR="002D297C">
        <w:t xml:space="preserve"> for NDSS funding</w:t>
      </w:r>
      <w:r w:rsidR="00CA1990" w:rsidRPr="000952A2">
        <w:t xml:space="preserve"> for Dexcom ONE+ </w:t>
      </w:r>
      <w:r w:rsidR="005A15AB" w:rsidRPr="000952A2">
        <w:t xml:space="preserve">CGM System </w:t>
      </w:r>
      <w:r w:rsidR="00CA1990" w:rsidRPr="000952A2">
        <w:t xml:space="preserve">in T2D IIT users </w:t>
      </w:r>
    </w:p>
    <w:tbl>
      <w:tblPr>
        <w:tblStyle w:val="TableGrid"/>
        <w:tblW w:w="0" w:type="auto"/>
        <w:tblLook w:val="04A0" w:firstRow="1" w:lastRow="0" w:firstColumn="1" w:lastColumn="0" w:noHBand="0" w:noVBand="1"/>
      </w:tblPr>
      <w:tblGrid>
        <w:gridCol w:w="9016"/>
      </w:tblGrid>
      <w:tr w:rsidR="00985D8B" w:rsidRPr="00CA1990" w14:paraId="3171212F" w14:textId="77777777">
        <w:trPr>
          <w:cantSplit/>
          <w:tblHeader/>
        </w:trPr>
        <w:tc>
          <w:tcPr>
            <w:tcW w:w="9016" w:type="dxa"/>
          </w:tcPr>
          <w:p w14:paraId="0F4DA189" w14:textId="77777777" w:rsidR="00CA1990" w:rsidRPr="00CA1990" w:rsidRDefault="00CA1990" w:rsidP="00CA1990">
            <w:pPr>
              <w:pStyle w:val="Instructionaltext"/>
              <w:keepNext/>
              <w:tabs>
                <w:tab w:val="left" w:pos="2172"/>
              </w:tabs>
              <w:spacing w:after="160" w:line="259" w:lineRule="auto"/>
              <w:rPr>
                <w:rFonts w:ascii="Arial Narrow" w:hAnsi="Arial Narrow"/>
                <w:color w:val="auto"/>
                <w:sz w:val="20"/>
                <w:szCs w:val="20"/>
                <w:u w:val="single"/>
                <w:lang w:val="en-US"/>
              </w:rPr>
            </w:pPr>
            <w:r w:rsidRPr="00CA1990">
              <w:rPr>
                <w:rFonts w:ascii="Arial Narrow" w:hAnsi="Arial Narrow"/>
                <w:color w:val="auto"/>
                <w:sz w:val="20"/>
                <w:szCs w:val="20"/>
                <w:u w:val="single"/>
                <w:lang w:val="en-US"/>
              </w:rPr>
              <w:t>Dexcom ONE+ CGM System</w:t>
            </w:r>
          </w:p>
          <w:p w14:paraId="303ACD00" w14:textId="46F2C7D6" w:rsidR="00CA1990" w:rsidRPr="00CA1990" w:rsidRDefault="00CA1990" w:rsidP="00CA1990">
            <w:pPr>
              <w:pStyle w:val="Instructionaltext"/>
              <w:keepNext/>
              <w:tabs>
                <w:tab w:val="left" w:pos="2172"/>
              </w:tabs>
              <w:spacing w:after="160" w:line="259" w:lineRule="auto"/>
              <w:rPr>
                <w:rFonts w:ascii="Arial Narrow" w:hAnsi="Arial Narrow"/>
                <w:color w:val="auto"/>
                <w:sz w:val="20"/>
                <w:szCs w:val="20"/>
                <w:lang w:val="en-US"/>
              </w:rPr>
            </w:pPr>
            <w:r w:rsidRPr="00CA1990">
              <w:rPr>
                <w:rFonts w:ascii="Arial Narrow" w:hAnsi="Arial Narrow"/>
                <w:color w:val="auto"/>
                <w:sz w:val="20"/>
                <w:szCs w:val="20"/>
                <w:lang w:val="en-US"/>
              </w:rPr>
              <w:t xml:space="preserve">Intensive insulin using patients with T2D with a suboptimal glycaemic profile defined by the following criteria: </w:t>
            </w:r>
          </w:p>
          <w:p w14:paraId="5AD756BC" w14:textId="1588B611" w:rsidR="00CA1990" w:rsidRPr="00CA1990" w:rsidRDefault="00CA1990" w:rsidP="00670C60">
            <w:pPr>
              <w:pStyle w:val="Instructionaltext"/>
              <w:keepNext/>
              <w:numPr>
                <w:ilvl w:val="0"/>
                <w:numId w:val="12"/>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Aged ≥2 years</w:t>
            </w:r>
          </w:p>
          <w:p w14:paraId="12274D0E" w14:textId="40BA2B60" w:rsidR="00CA1990" w:rsidRPr="00CA1990" w:rsidRDefault="00CA1990" w:rsidP="00670C60">
            <w:pPr>
              <w:pStyle w:val="Instructionaltext"/>
              <w:keepNext/>
              <w:numPr>
                <w:ilvl w:val="0"/>
                <w:numId w:val="12"/>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 xml:space="preserve">Diagnosis of T2D </w:t>
            </w:r>
          </w:p>
          <w:p w14:paraId="08C3D500" w14:textId="77777777" w:rsidR="00CA1990" w:rsidRPr="00CA1990" w:rsidRDefault="00CA1990" w:rsidP="00670C60">
            <w:pPr>
              <w:pStyle w:val="Instructionaltext"/>
              <w:keepNext/>
              <w:numPr>
                <w:ilvl w:val="0"/>
                <w:numId w:val="12"/>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 xml:space="preserve">Treated with ≥2 daily insulin injections, consisting of </w:t>
            </w:r>
          </w:p>
          <w:p w14:paraId="5BCF1C58" w14:textId="77777777" w:rsidR="00CA1990" w:rsidRPr="00CA1990" w:rsidRDefault="00CA1990" w:rsidP="00670C60">
            <w:pPr>
              <w:pStyle w:val="Instructionaltext"/>
              <w:keepNext/>
              <w:numPr>
                <w:ilvl w:val="1"/>
                <w:numId w:val="12"/>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 xml:space="preserve">Long acting (basal) insulin and rapid acting (bolus) insulin </w:t>
            </w:r>
          </w:p>
          <w:p w14:paraId="337F306A" w14:textId="77777777" w:rsidR="00CA1990" w:rsidRPr="00CA1990" w:rsidRDefault="00CA1990" w:rsidP="00670C60">
            <w:pPr>
              <w:pStyle w:val="Instructionaltext"/>
              <w:keepNext/>
              <w:numPr>
                <w:ilvl w:val="0"/>
                <w:numId w:val="12"/>
              </w:numPr>
              <w:tabs>
                <w:tab w:val="left" w:pos="2172"/>
              </w:tabs>
              <w:spacing w:after="160" w:line="259" w:lineRule="auto"/>
              <w:rPr>
                <w:rFonts w:ascii="Arial Narrow" w:hAnsi="Arial Narrow"/>
                <w:color w:val="auto"/>
              </w:rPr>
            </w:pPr>
            <w:r w:rsidRPr="00CA1990">
              <w:rPr>
                <w:rFonts w:ascii="Arial Narrow" w:hAnsi="Arial Narrow"/>
                <w:color w:val="auto"/>
                <w:sz w:val="20"/>
                <w:szCs w:val="20"/>
              </w:rPr>
              <w:t>Suboptimal glycaemic control confirmed by laboratory measured HbA1c levels of &gt;7.0% for adults and &gt;6.5% for children and adolescents.</w:t>
            </w:r>
          </w:p>
        </w:tc>
      </w:tr>
    </w:tbl>
    <w:p w14:paraId="5F524C89" w14:textId="4BEA66F5" w:rsidR="00025398" w:rsidRDefault="00025398" w:rsidP="000630E3">
      <w:pPr>
        <w:pStyle w:val="Tablenotes0"/>
        <w:spacing w:before="0"/>
      </w:pPr>
      <w:bookmarkStart w:id="15" w:name="_Ref226711898"/>
      <w:bookmarkStart w:id="16" w:name="_Ref221201396"/>
      <w:r w:rsidRPr="0038229E">
        <w:rPr>
          <w:b/>
        </w:rPr>
        <w:t>Abbreviations</w:t>
      </w:r>
      <w:r w:rsidRPr="0040502A">
        <w:t>: CGM</w:t>
      </w:r>
      <w:r>
        <w:t xml:space="preserve"> =</w:t>
      </w:r>
      <w:r w:rsidRPr="0040502A">
        <w:t xml:space="preserve"> </w:t>
      </w:r>
      <w:r>
        <w:t>c</w:t>
      </w:r>
      <w:r w:rsidRPr="0040502A">
        <w:t xml:space="preserve">ontinuous </w:t>
      </w:r>
      <w:r>
        <w:t>g</w:t>
      </w:r>
      <w:r w:rsidRPr="0040502A">
        <w:t xml:space="preserve">lucose </w:t>
      </w:r>
      <w:r>
        <w:t>m</w:t>
      </w:r>
      <w:r w:rsidRPr="0040502A">
        <w:t>onitoring; HbA1c</w:t>
      </w:r>
      <w:r>
        <w:t xml:space="preserve"> =</w:t>
      </w:r>
      <w:r w:rsidRPr="0040502A">
        <w:t xml:space="preserve"> </w:t>
      </w:r>
      <w:r>
        <w:t>g</w:t>
      </w:r>
      <w:r w:rsidRPr="0040502A">
        <w:t xml:space="preserve">lycated </w:t>
      </w:r>
      <w:r>
        <w:t>h</w:t>
      </w:r>
      <w:r w:rsidRPr="0040502A">
        <w:t>aemoglobin;</w:t>
      </w:r>
      <w:r w:rsidR="00AC736F" w:rsidRPr="00AC736F">
        <w:t xml:space="preserve"> </w:t>
      </w:r>
      <w:r w:rsidR="00AC736F">
        <w:t>IIT = intensive insulin treatment;</w:t>
      </w:r>
      <w:r w:rsidRPr="0040502A">
        <w:t xml:space="preserve"> T2D</w:t>
      </w:r>
      <w:r>
        <w:t xml:space="preserve"> =</w:t>
      </w:r>
      <w:r w:rsidRPr="0040502A">
        <w:t xml:space="preserve"> </w:t>
      </w:r>
      <w:r>
        <w:t>t</w:t>
      </w:r>
      <w:r w:rsidRPr="0040502A">
        <w:t xml:space="preserve">ype 2 </w:t>
      </w:r>
      <w:r>
        <w:t>d</w:t>
      </w:r>
      <w:r w:rsidRPr="0040502A">
        <w:t>iabetes.</w:t>
      </w:r>
    </w:p>
    <w:p w14:paraId="5C12D746" w14:textId="4D391999" w:rsidR="00CA1990" w:rsidRPr="006C058C" w:rsidRDefault="005D4989" w:rsidP="006C058C">
      <w:pPr>
        <w:pStyle w:val="Caption"/>
      </w:pPr>
      <w:bookmarkStart w:id="17" w:name="_Ref227161235"/>
      <w:r w:rsidRPr="006C058C">
        <w:t xml:space="preserve">Table </w:t>
      </w:r>
      <w:r>
        <w:fldChar w:fldCharType="begin"/>
      </w:r>
      <w:r>
        <w:instrText>SEQ Table \* ARABIC</w:instrText>
      </w:r>
      <w:r>
        <w:fldChar w:fldCharType="separate"/>
      </w:r>
      <w:r w:rsidR="0098516D">
        <w:rPr>
          <w:noProof/>
        </w:rPr>
        <w:t>4</w:t>
      </w:r>
      <w:r>
        <w:fldChar w:fldCharType="end"/>
      </w:r>
      <w:bookmarkEnd w:id="15"/>
      <w:bookmarkEnd w:id="17"/>
      <w:r w:rsidRPr="006C058C">
        <w:t xml:space="preserve">: </w:t>
      </w:r>
      <w:bookmarkEnd w:id="16"/>
      <w:r w:rsidR="00CA1990" w:rsidRPr="006C058C">
        <w:t xml:space="preserve">Proposed </w:t>
      </w:r>
      <w:r w:rsidR="001F49B4">
        <w:t xml:space="preserve">population for NDSS funding </w:t>
      </w:r>
      <w:r w:rsidR="00CA1990" w:rsidRPr="006C058C">
        <w:t xml:space="preserve">for Dexcom ONE+ </w:t>
      </w:r>
      <w:r w:rsidR="00A50AFD" w:rsidRPr="006C058C">
        <w:t xml:space="preserve">CGM System </w:t>
      </w:r>
      <w:r w:rsidR="00CA1990" w:rsidRPr="006C058C">
        <w:t xml:space="preserve">in T2D non-IIT users </w:t>
      </w:r>
    </w:p>
    <w:tbl>
      <w:tblPr>
        <w:tblStyle w:val="TableGrid"/>
        <w:tblW w:w="0" w:type="auto"/>
        <w:tblLook w:val="04A0" w:firstRow="1" w:lastRow="0" w:firstColumn="1" w:lastColumn="0" w:noHBand="0" w:noVBand="1"/>
      </w:tblPr>
      <w:tblGrid>
        <w:gridCol w:w="9016"/>
      </w:tblGrid>
      <w:tr w:rsidR="00985D8B" w:rsidRPr="00CA1990" w14:paraId="07820086" w14:textId="77777777">
        <w:trPr>
          <w:cantSplit/>
          <w:tblHeader/>
        </w:trPr>
        <w:tc>
          <w:tcPr>
            <w:tcW w:w="9016" w:type="dxa"/>
          </w:tcPr>
          <w:p w14:paraId="59D9720B" w14:textId="77777777" w:rsidR="00CA1990" w:rsidRPr="00CA1990" w:rsidRDefault="00CA1990" w:rsidP="00CA1990">
            <w:pPr>
              <w:pStyle w:val="Instructionaltext"/>
              <w:keepNext/>
              <w:tabs>
                <w:tab w:val="left" w:pos="2172"/>
              </w:tabs>
              <w:spacing w:after="160" w:line="259" w:lineRule="auto"/>
              <w:rPr>
                <w:rFonts w:ascii="Arial Narrow" w:hAnsi="Arial Narrow"/>
                <w:color w:val="auto"/>
                <w:sz w:val="20"/>
                <w:szCs w:val="20"/>
                <w:u w:val="single"/>
                <w:lang w:val="en-US"/>
              </w:rPr>
            </w:pPr>
            <w:r w:rsidRPr="00CA1990">
              <w:rPr>
                <w:rFonts w:ascii="Arial Narrow" w:hAnsi="Arial Narrow"/>
                <w:color w:val="auto"/>
                <w:sz w:val="20"/>
                <w:szCs w:val="20"/>
                <w:u w:val="single"/>
                <w:lang w:val="en-US"/>
              </w:rPr>
              <w:t>Dexcom ONE+ CGM System</w:t>
            </w:r>
          </w:p>
          <w:p w14:paraId="05F8F321" w14:textId="6AE931EF" w:rsidR="00CA1990" w:rsidRPr="00CA1990" w:rsidRDefault="00CA1990" w:rsidP="00CA1990">
            <w:pPr>
              <w:pStyle w:val="Instructionaltext"/>
              <w:keepNext/>
              <w:tabs>
                <w:tab w:val="left" w:pos="2172"/>
              </w:tabs>
              <w:spacing w:after="160" w:line="259" w:lineRule="auto"/>
              <w:rPr>
                <w:rFonts w:ascii="Arial Narrow" w:hAnsi="Arial Narrow"/>
                <w:color w:val="auto"/>
                <w:sz w:val="20"/>
                <w:szCs w:val="20"/>
                <w:lang w:val="en-US"/>
              </w:rPr>
            </w:pPr>
            <w:r w:rsidRPr="00CA1990">
              <w:rPr>
                <w:rFonts w:ascii="Arial Narrow" w:hAnsi="Arial Narrow"/>
                <w:color w:val="auto"/>
                <w:sz w:val="20"/>
                <w:szCs w:val="20"/>
                <w:lang w:val="en-US"/>
              </w:rPr>
              <w:t xml:space="preserve">Non-intensive insulin using patients with T2D with a suboptimal glycaemic profile defined by the following criteria: </w:t>
            </w:r>
          </w:p>
          <w:p w14:paraId="3A93F861" w14:textId="008D5127" w:rsidR="00CA1990" w:rsidRPr="00CA1990" w:rsidRDefault="00CA1990" w:rsidP="00670C60">
            <w:pPr>
              <w:pStyle w:val="Instructionaltext"/>
              <w:keepNext/>
              <w:numPr>
                <w:ilvl w:val="0"/>
                <w:numId w:val="11"/>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Aged ≥2 years</w:t>
            </w:r>
          </w:p>
          <w:p w14:paraId="59AC6E57" w14:textId="486F05AE" w:rsidR="00CA1990" w:rsidRPr="00CA1990" w:rsidRDefault="00CA1990" w:rsidP="00670C60">
            <w:pPr>
              <w:pStyle w:val="Instructionaltext"/>
              <w:keepNext/>
              <w:numPr>
                <w:ilvl w:val="0"/>
                <w:numId w:val="11"/>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Diagnosis of T2D</w:t>
            </w:r>
          </w:p>
          <w:p w14:paraId="4711D5EC" w14:textId="6639CD1C" w:rsidR="00CA1990" w:rsidRPr="00CA1990" w:rsidRDefault="00CA1990" w:rsidP="00670C60">
            <w:pPr>
              <w:pStyle w:val="Instructionaltext"/>
              <w:keepNext/>
              <w:numPr>
                <w:ilvl w:val="0"/>
                <w:numId w:val="11"/>
              </w:numPr>
              <w:tabs>
                <w:tab w:val="left" w:pos="2172"/>
              </w:tabs>
              <w:spacing w:after="160" w:line="259" w:lineRule="auto"/>
              <w:rPr>
                <w:rFonts w:ascii="Arial Narrow" w:hAnsi="Arial Narrow"/>
                <w:color w:val="auto"/>
                <w:sz w:val="20"/>
                <w:szCs w:val="20"/>
              </w:rPr>
            </w:pPr>
            <w:r w:rsidRPr="00CA1990">
              <w:rPr>
                <w:rFonts w:ascii="Arial Narrow" w:hAnsi="Arial Narrow"/>
                <w:color w:val="auto"/>
                <w:sz w:val="20"/>
                <w:szCs w:val="20"/>
              </w:rPr>
              <w:t>Treated with ≥1 daily insulin injection, not otherwise included in the IIT subpopulation</w:t>
            </w:r>
          </w:p>
          <w:p w14:paraId="1248A22B" w14:textId="77777777" w:rsidR="00CA1990" w:rsidRPr="00CA1990" w:rsidRDefault="00CA1990" w:rsidP="00670C60">
            <w:pPr>
              <w:pStyle w:val="Instructionaltext"/>
              <w:keepNext/>
              <w:numPr>
                <w:ilvl w:val="0"/>
                <w:numId w:val="11"/>
              </w:numPr>
              <w:tabs>
                <w:tab w:val="left" w:pos="2172"/>
              </w:tabs>
              <w:spacing w:after="160" w:line="259" w:lineRule="auto"/>
              <w:rPr>
                <w:rFonts w:ascii="Arial Narrow" w:hAnsi="Arial Narrow"/>
                <w:color w:val="auto"/>
              </w:rPr>
            </w:pPr>
            <w:r w:rsidRPr="00CA1990">
              <w:rPr>
                <w:rFonts w:ascii="Arial Narrow" w:hAnsi="Arial Narrow"/>
                <w:color w:val="auto"/>
                <w:sz w:val="20"/>
                <w:szCs w:val="20"/>
              </w:rPr>
              <w:t>Suboptimal glycaemic control confirmed by laboratory measured HbA1c levels of &gt;8.0% or &gt;9.0% for adults and &gt;6.5% for children and adolescents.</w:t>
            </w:r>
          </w:p>
        </w:tc>
      </w:tr>
    </w:tbl>
    <w:p w14:paraId="7E0FA7CC" w14:textId="74B1F635" w:rsidR="002F0EBF" w:rsidRPr="00534FB6" w:rsidRDefault="00674DB0" w:rsidP="00534FB6">
      <w:pPr>
        <w:pStyle w:val="TableFooter"/>
        <w:spacing w:before="0"/>
      </w:pPr>
      <w:bookmarkStart w:id="18" w:name="_Ref221201398"/>
      <w:r w:rsidRPr="0038229E">
        <w:rPr>
          <w:b/>
        </w:rPr>
        <w:t>Abbreviations</w:t>
      </w:r>
      <w:r w:rsidRPr="0040502A">
        <w:t>: CGM</w:t>
      </w:r>
      <w:r>
        <w:t xml:space="preserve"> =</w:t>
      </w:r>
      <w:r w:rsidRPr="0040502A">
        <w:t xml:space="preserve"> </w:t>
      </w:r>
      <w:r>
        <w:t>c</w:t>
      </w:r>
      <w:r w:rsidRPr="0040502A">
        <w:t xml:space="preserve">ontinuous </w:t>
      </w:r>
      <w:r>
        <w:t>g</w:t>
      </w:r>
      <w:r w:rsidRPr="0040502A">
        <w:t xml:space="preserve">lucose </w:t>
      </w:r>
      <w:r>
        <w:t>m</w:t>
      </w:r>
      <w:r w:rsidRPr="0040502A">
        <w:t>onitoring; HbA1c</w:t>
      </w:r>
      <w:r>
        <w:t xml:space="preserve"> =</w:t>
      </w:r>
      <w:r w:rsidRPr="0040502A">
        <w:t xml:space="preserve"> </w:t>
      </w:r>
      <w:r>
        <w:t>g</w:t>
      </w:r>
      <w:r w:rsidRPr="0040502A">
        <w:t xml:space="preserve">lycated </w:t>
      </w:r>
      <w:r>
        <w:t>h</w:t>
      </w:r>
      <w:r w:rsidRPr="0040502A">
        <w:t xml:space="preserve">aemoglobin; </w:t>
      </w:r>
      <w:r w:rsidR="006140A5">
        <w:t xml:space="preserve">IIT = intensive insulin treatment; </w:t>
      </w:r>
      <w:r w:rsidRPr="0040502A">
        <w:t>T2D</w:t>
      </w:r>
      <w:r>
        <w:t xml:space="preserve"> =</w:t>
      </w:r>
      <w:r w:rsidRPr="0040502A">
        <w:t xml:space="preserve"> </w:t>
      </w:r>
      <w:r>
        <w:t>t</w:t>
      </w:r>
      <w:r w:rsidRPr="0040502A">
        <w:t xml:space="preserve">ype 2 </w:t>
      </w:r>
      <w:r>
        <w:t>d</w:t>
      </w:r>
      <w:r w:rsidRPr="0040502A">
        <w:t>iabetes.</w:t>
      </w:r>
    </w:p>
    <w:p w14:paraId="3ABFFEC0" w14:textId="60CBC90E" w:rsidR="0038229E" w:rsidRPr="0038229E" w:rsidRDefault="005D4989" w:rsidP="00F6191E">
      <w:pPr>
        <w:pStyle w:val="Caption"/>
        <w:rPr>
          <w:b w:val="0"/>
          <w:bCs w:val="0"/>
        </w:rPr>
      </w:pPr>
      <w:bookmarkStart w:id="19" w:name="_Ref226711925"/>
      <w:r w:rsidRPr="004F7EFE">
        <w:t xml:space="preserve">Table </w:t>
      </w:r>
      <w:r>
        <w:fldChar w:fldCharType="begin"/>
      </w:r>
      <w:r>
        <w:instrText>SEQ Table \* ARABIC</w:instrText>
      </w:r>
      <w:r>
        <w:fldChar w:fldCharType="separate"/>
      </w:r>
      <w:r w:rsidR="0098516D">
        <w:rPr>
          <w:noProof/>
        </w:rPr>
        <w:t>5</w:t>
      </w:r>
      <w:r>
        <w:fldChar w:fldCharType="end"/>
      </w:r>
      <w:bookmarkEnd w:id="19"/>
      <w:r w:rsidR="00C32AE8" w:rsidRPr="004F7EFE">
        <w:t xml:space="preserve">: </w:t>
      </w:r>
      <w:bookmarkEnd w:id="18"/>
      <w:r w:rsidR="0038229E" w:rsidRPr="004F7EFE">
        <w:t>Proposed</w:t>
      </w:r>
      <w:r w:rsidR="001F49B4">
        <w:t xml:space="preserve"> population for NDSS funding</w:t>
      </w:r>
      <w:r w:rsidR="0038229E" w:rsidRPr="004F7EFE">
        <w:t xml:space="preserve"> for Dexcom ONE+ </w:t>
      </w:r>
      <w:r w:rsidR="00A50AFD">
        <w:t xml:space="preserve">CGM System </w:t>
      </w:r>
      <w:r w:rsidR="0038229E" w:rsidRPr="004F7EFE">
        <w:t xml:space="preserve">in T2D insulin-dependent First Nations peoples </w:t>
      </w:r>
    </w:p>
    <w:tbl>
      <w:tblPr>
        <w:tblStyle w:val="TableGrid"/>
        <w:tblW w:w="0" w:type="auto"/>
        <w:tblLook w:val="04A0" w:firstRow="1" w:lastRow="0" w:firstColumn="1" w:lastColumn="0" w:noHBand="0" w:noVBand="1"/>
      </w:tblPr>
      <w:tblGrid>
        <w:gridCol w:w="9016"/>
      </w:tblGrid>
      <w:tr w:rsidR="00985D8B" w:rsidRPr="0038229E" w14:paraId="12E5CEAC" w14:textId="77777777">
        <w:trPr>
          <w:cantSplit/>
          <w:tblHeader/>
        </w:trPr>
        <w:tc>
          <w:tcPr>
            <w:tcW w:w="9016" w:type="dxa"/>
          </w:tcPr>
          <w:p w14:paraId="729CEEF4" w14:textId="77777777" w:rsidR="0038229E" w:rsidRPr="0038229E" w:rsidRDefault="0038229E" w:rsidP="0038229E">
            <w:pPr>
              <w:pStyle w:val="Instructionaltext"/>
              <w:keepNext/>
              <w:tabs>
                <w:tab w:val="left" w:pos="2172"/>
              </w:tabs>
              <w:spacing w:after="160" w:line="259" w:lineRule="auto"/>
              <w:rPr>
                <w:rFonts w:ascii="Arial Narrow" w:hAnsi="Arial Narrow"/>
                <w:color w:val="auto"/>
                <w:sz w:val="20"/>
                <w:szCs w:val="20"/>
                <w:u w:val="single"/>
                <w:lang w:val="en-US"/>
              </w:rPr>
            </w:pPr>
            <w:r w:rsidRPr="0038229E">
              <w:rPr>
                <w:rFonts w:ascii="Arial Narrow" w:hAnsi="Arial Narrow"/>
                <w:color w:val="auto"/>
                <w:sz w:val="20"/>
                <w:szCs w:val="20"/>
                <w:u w:val="single"/>
                <w:lang w:val="en-US"/>
              </w:rPr>
              <w:t>Dexcom ONE+ CGM System</w:t>
            </w:r>
          </w:p>
          <w:p w14:paraId="0987F35D" w14:textId="0F2D8BD2" w:rsidR="0038229E" w:rsidRPr="0038229E" w:rsidRDefault="0038229E" w:rsidP="0038229E">
            <w:pPr>
              <w:pStyle w:val="Instructionaltext"/>
              <w:keepNext/>
              <w:tabs>
                <w:tab w:val="left" w:pos="2172"/>
              </w:tabs>
              <w:spacing w:after="160" w:line="259" w:lineRule="auto"/>
              <w:rPr>
                <w:rFonts w:ascii="Arial Narrow" w:hAnsi="Arial Narrow"/>
                <w:color w:val="auto"/>
                <w:sz w:val="20"/>
                <w:szCs w:val="20"/>
                <w:lang w:val="en-US"/>
              </w:rPr>
            </w:pPr>
            <w:r w:rsidRPr="0038229E">
              <w:rPr>
                <w:rFonts w:ascii="Arial Narrow" w:hAnsi="Arial Narrow"/>
                <w:color w:val="auto"/>
                <w:sz w:val="20"/>
                <w:szCs w:val="20"/>
                <w:lang w:val="en-US"/>
              </w:rPr>
              <w:t xml:space="preserve">Non-intensive insulin using patients with T2D with a suboptimal glycaemic profile defined by the following criteria: </w:t>
            </w:r>
          </w:p>
          <w:p w14:paraId="3F8FFFD7" w14:textId="4852240D" w:rsidR="0038229E" w:rsidRPr="0038229E" w:rsidRDefault="0038229E" w:rsidP="00670C60">
            <w:pPr>
              <w:pStyle w:val="Instructionaltext"/>
              <w:keepNext/>
              <w:numPr>
                <w:ilvl w:val="0"/>
                <w:numId w:val="11"/>
              </w:numPr>
              <w:tabs>
                <w:tab w:val="left" w:pos="2172"/>
              </w:tabs>
              <w:spacing w:after="160" w:line="259" w:lineRule="auto"/>
              <w:rPr>
                <w:rFonts w:ascii="Arial Narrow" w:hAnsi="Arial Narrow"/>
                <w:color w:val="auto"/>
                <w:sz w:val="20"/>
                <w:szCs w:val="20"/>
              </w:rPr>
            </w:pPr>
            <w:r w:rsidRPr="0038229E">
              <w:rPr>
                <w:rFonts w:ascii="Arial Narrow" w:hAnsi="Arial Narrow"/>
                <w:color w:val="auto"/>
                <w:sz w:val="20"/>
                <w:szCs w:val="20"/>
              </w:rPr>
              <w:t>Aged ≥2 years</w:t>
            </w:r>
          </w:p>
          <w:p w14:paraId="1256B8C5" w14:textId="261821E0" w:rsidR="0038229E" w:rsidRPr="0038229E" w:rsidRDefault="0038229E" w:rsidP="00670C60">
            <w:pPr>
              <w:pStyle w:val="Instructionaltext"/>
              <w:keepNext/>
              <w:numPr>
                <w:ilvl w:val="0"/>
                <w:numId w:val="11"/>
              </w:numPr>
              <w:tabs>
                <w:tab w:val="left" w:pos="2172"/>
              </w:tabs>
              <w:spacing w:after="160" w:line="259" w:lineRule="auto"/>
              <w:rPr>
                <w:rFonts w:ascii="Arial Narrow" w:hAnsi="Arial Narrow"/>
                <w:color w:val="auto"/>
                <w:sz w:val="20"/>
                <w:szCs w:val="20"/>
              </w:rPr>
            </w:pPr>
            <w:r w:rsidRPr="0038229E">
              <w:rPr>
                <w:rFonts w:ascii="Arial Narrow" w:hAnsi="Arial Narrow"/>
                <w:color w:val="auto"/>
                <w:sz w:val="20"/>
                <w:szCs w:val="20"/>
              </w:rPr>
              <w:t>Diagnosis of T2D</w:t>
            </w:r>
          </w:p>
          <w:p w14:paraId="23FB12FE" w14:textId="4FBE3F14" w:rsidR="0038229E" w:rsidRPr="0038229E" w:rsidRDefault="0038229E" w:rsidP="00670C60">
            <w:pPr>
              <w:pStyle w:val="Instructionaltext"/>
              <w:keepNext/>
              <w:numPr>
                <w:ilvl w:val="0"/>
                <w:numId w:val="11"/>
              </w:numPr>
              <w:tabs>
                <w:tab w:val="left" w:pos="2172"/>
              </w:tabs>
              <w:spacing w:after="160" w:line="259" w:lineRule="auto"/>
              <w:rPr>
                <w:rFonts w:ascii="Arial Narrow" w:hAnsi="Arial Narrow"/>
                <w:color w:val="auto"/>
                <w:sz w:val="20"/>
                <w:szCs w:val="20"/>
              </w:rPr>
            </w:pPr>
            <w:r w:rsidRPr="0038229E">
              <w:rPr>
                <w:rFonts w:ascii="Arial Narrow" w:hAnsi="Arial Narrow"/>
                <w:color w:val="auto"/>
                <w:sz w:val="20"/>
                <w:szCs w:val="20"/>
              </w:rPr>
              <w:t>Treated with at ≥1 daily insulin injection, consisting of any insulin regimen</w:t>
            </w:r>
          </w:p>
          <w:p w14:paraId="7214614D" w14:textId="77777777" w:rsidR="0038229E" w:rsidRPr="0038229E" w:rsidRDefault="0038229E" w:rsidP="00670C60">
            <w:pPr>
              <w:pStyle w:val="Instructionaltext"/>
              <w:keepNext/>
              <w:numPr>
                <w:ilvl w:val="0"/>
                <w:numId w:val="11"/>
              </w:numPr>
              <w:tabs>
                <w:tab w:val="left" w:pos="2172"/>
              </w:tabs>
              <w:spacing w:after="160" w:line="259" w:lineRule="auto"/>
              <w:rPr>
                <w:rFonts w:ascii="Arial Narrow" w:hAnsi="Arial Narrow"/>
                <w:color w:val="auto"/>
              </w:rPr>
            </w:pPr>
            <w:r w:rsidRPr="0038229E">
              <w:rPr>
                <w:rFonts w:ascii="Arial Narrow" w:hAnsi="Arial Narrow"/>
                <w:color w:val="auto"/>
                <w:sz w:val="20"/>
                <w:szCs w:val="20"/>
              </w:rPr>
              <w:t>Suboptimal glycaemic control confirmed by laboratory measured HbA1c levels of &gt;7.0% for adults and &gt;6.5% for children and adolescents.</w:t>
            </w:r>
          </w:p>
        </w:tc>
      </w:tr>
    </w:tbl>
    <w:p w14:paraId="15364E2A" w14:textId="2D0B36B8" w:rsidR="0038229E" w:rsidRPr="0040502A" w:rsidRDefault="0038229E" w:rsidP="00985963">
      <w:pPr>
        <w:pStyle w:val="TableFooter"/>
        <w:spacing w:before="0"/>
      </w:pPr>
      <w:r w:rsidRPr="0038229E">
        <w:rPr>
          <w:b/>
        </w:rPr>
        <w:t>Abbreviations</w:t>
      </w:r>
      <w:r w:rsidRPr="0040502A">
        <w:t>: CGM</w:t>
      </w:r>
      <w:r w:rsidR="00AF7F84">
        <w:t xml:space="preserve"> =</w:t>
      </w:r>
      <w:r w:rsidRPr="0040502A">
        <w:t xml:space="preserve"> </w:t>
      </w:r>
      <w:r w:rsidR="00AF7F84">
        <w:t>c</w:t>
      </w:r>
      <w:r w:rsidRPr="0040502A">
        <w:t xml:space="preserve">ontinuous </w:t>
      </w:r>
      <w:r w:rsidR="00AF7F84">
        <w:t>g</w:t>
      </w:r>
      <w:r w:rsidRPr="0040502A">
        <w:t xml:space="preserve">lucose </w:t>
      </w:r>
      <w:r w:rsidR="00AF7F84">
        <w:t>m</w:t>
      </w:r>
      <w:r w:rsidRPr="0040502A">
        <w:t>onitoring; HbA1c</w:t>
      </w:r>
      <w:r w:rsidR="00AF7F84">
        <w:t xml:space="preserve"> =</w:t>
      </w:r>
      <w:r w:rsidRPr="0040502A">
        <w:t xml:space="preserve"> </w:t>
      </w:r>
      <w:r w:rsidR="00AF7F84">
        <w:t>g</w:t>
      </w:r>
      <w:r w:rsidRPr="0040502A">
        <w:t xml:space="preserve">lycated </w:t>
      </w:r>
      <w:r w:rsidR="00AF7F84">
        <w:t>h</w:t>
      </w:r>
      <w:r w:rsidRPr="0040502A">
        <w:t>aemoglobin; T2D</w:t>
      </w:r>
      <w:r w:rsidR="00AF7F84">
        <w:t xml:space="preserve"> =</w:t>
      </w:r>
      <w:r w:rsidRPr="0040502A">
        <w:t xml:space="preserve"> </w:t>
      </w:r>
      <w:r w:rsidR="00AF7F84">
        <w:t>t</w:t>
      </w:r>
      <w:r w:rsidRPr="0040502A">
        <w:t xml:space="preserve">ype 2 </w:t>
      </w:r>
      <w:r w:rsidR="00AF7F84">
        <w:t>d</w:t>
      </w:r>
      <w:r w:rsidRPr="0040502A">
        <w:t>iabetes.</w:t>
      </w:r>
    </w:p>
    <w:p w14:paraId="0555E5C5" w14:textId="4342DAA3" w:rsidR="00CE5E88" w:rsidRPr="00CE5E88" w:rsidRDefault="00CE5E88" w:rsidP="00CE5E88">
      <w:pPr>
        <w:pStyle w:val="Instructionaltext"/>
        <w:rPr>
          <w:iCs/>
          <w:color w:val="auto"/>
        </w:rPr>
      </w:pPr>
      <w:r w:rsidRPr="00CE5E88">
        <w:rPr>
          <w:iCs/>
          <w:color w:val="auto"/>
        </w:rPr>
        <w:t>In the ADAR</w:t>
      </w:r>
      <w:r w:rsidR="00663C6A">
        <w:rPr>
          <w:iCs/>
          <w:color w:val="auto"/>
        </w:rPr>
        <w:t xml:space="preserve"> resubmission</w:t>
      </w:r>
      <w:r w:rsidRPr="00CE5E88">
        <w:rPr>
          <w:iCs/>
          <w:color w:val="auto"/>
        </w:rPr>
        <w:t xml:space="preserve"> for</w:t>
      </w:r>
      <w:r w:rsidR="00B7742B">
        <w:rPr>
          <w:iCs/>
          <w:color w:val="auto"/>
        </w:rPr>
        <w:t xml:space="preserve"> the</w:t>
      </w:r>
      <w:r w:rsidRPr="00CE5E88">
        <w:rPr>
          <w:iCs/>
          <w:color w:val="auto"/>
        </w:rPr>
        <w:t xml:space="preserve"> Dexcom ONE+ </w:t>
      </w:r>
      <w:r w:rsidR="003D0157">
        <w:rPr>
          <w:iCs/>
          <w:color w:val="auto"/>
        </w:rPr>
        <w:t xml:space="preserve">CGM </w:t>
      </w:r>
      <w:r w:rsidR="009F5B5D">
        <w:rPr>
          <w:iCs/>
          <w:color w:val="auto"/>
        </w:rPr>
        <w:t>s</w:t>
      </w:r>
      <w:r w:rsidR="003D0157">
        <w:rPr>
          <w:iCs/>
          <w:color w:val="auto"/>
        </w:rPr>
        <w:t>ystem</w:t>
      </w:r>
      <w:r w:rsidRPr="00CE5E88">
        <w:rPr>
          <w:iCs/>
          <w:color w:val="auto"/>
        </w:rPr>
        <w:t xml:space="preserve">, the applicant states that </w:t>
      </w:r>
      <w:r w:rsidR="009F5B5D">
        <w:rPr>
          <w:iCs/>
          <w:color w:val="auto"/>
        </w:rPr>
        <w:t>‘</w:t>
      </w:r>
      <w:r w:rsidRPr="00CE5E88">
        <w:rPr>
          <w:iCs/>
          <w:color w:val="auto"/>
        </w:rPr>
        <w:t xml:space="preserve">…Although people with a disability, pregnant women with GDM and people with other types of diabetes are not formally included in the PICO, they are recognised as subpopulations of interest in this resubmission…Dexcom is willing to work with MSAC and the Department to develop </w:t>
      </w:r>
      <w:r w:rsidRPr="00CE5E88">
        <w:rPr>
          <w:iCs/>
          <w:color w:val="auto"/>
        </w:rPr>
        <w:lastRenderedPageBreak/>
        <w:t>appropriate eligibility criteria and funding arrangements for these groups, consistent with Application 1786</w:t>
      </w:r>
      <w:r w:rsidR="009F5B5D">
        <w:rPr>
          <w:iCs/>
          <w:color w:val="auto"/>
        </w:rPr>
        <w:t>’</w:t>
      </w:r>
      <w:r w:rsidRPr="00CE5E88">
        <w:rPr>
          <w:iCs/>
          <w:color w:val="auto"/>
        </w:rPr>
        <w:t xml:space="preserve"> (ADAR 1785 Resubmission, </w:t>
      </w:r>
      <w:r w:rsidR="009F5B5D">
        <w:rPr>
          <w:iCs/>
          <w:color w:val="auto"/>
        </w:rPr>
        <w:t>p.</w:t>
      </w:r>
      <w:r w:rsidRPr="00CE5E88">
        <w:rPr>
          <w:iCs/>
          <w:color w:val="auto"/>
        </w:rPr>
        <w:t xml:space="preserve"> 48)</w:t>
      </w:r>
      <w:r w:rsidR="001C4085">
        <w:rPr>
          <w:iCs/>
          <w:color w:val="auto"/>
        </w:rPr>
        <w:t>.</w:t>
      </w:r>
    </w:p>
    <w:p w14:paraId="2221D300" w14:textId="03CE6067" w:rsidR="00CE5E88" w:rsidRDefault="009F5B5D" w:rsidP="00CE5E88">
      <w:pPr>
        <w:pStyle w:val="Instructionaltext"/>
        <w:keepNext/>
        <w:tabs>
          <w:tab w:val="left" w:pos="2172"/>
        </w:tabs>
        <w:rPr>
          <w:iCs/>
          <w:color w:val="auto"/>
        </w:rPr>
      </w:pPr>
      <w:r>
        <w:rPr>
          <w:iCs/>
          <w:color w:val="auto"/>
        </w:rPr>
        <w:t>T</w:t>
      </w:r>
      <w:r w:rsidR="00CE5E88" w:rsidRPr="00CE5E88">
        <w:rPr>
          <w:iCs/>
          <w:color w:val="auto"/>
        </w:rPr>
        <w:t xml:space="preserve">he original </w:t>
      </w:r>
      <w:r w:rsidR="00473A44">
        <w:rPr>
          <w:iCs/>
          <w:color w:val="auto"/>
        </w:rPr>
        <w:t>ADAR</w:t>
      </w:r>
      <w:r w:rsidR="00CE5E88" w:rsidRPr="00CE5E88">
        <w:rPr>
          <w:iCs/>
          <w:color w:val="auto"/>
        </w:rPr>
        <w:t xml:space="preserve"> </w:t>
      </w:r>
      <w:r w:rsidR="00CE5E88">
        <w:rPr>
          <w:iCs/>
          <w:color w:val="auto"/>
        </w:rPr>
        <w:t xml:space="preserve">for </w:t>
      </w:r>
      <w:r>
        <w:rPr>
          <w:iCs/>
          <w:color w:val="auto"/>
        </w:rPr>
        <w:t xml:space="preserve">the </w:t>
      </w:r>
      <w:r w:rsidR="00CE5E88">
        <w:rPr>
          <w:iCs/>
          <w:color w:val="auto"/>
        </w:rPr>
        <w:t xml:space="preserve">Dexcom ONE+ </w:t>
      </w:r>
      <w:r w:rsidR="004912F4">
        <w:rPr>
          <w:iCs/>
          <w:color w:val="auto"/>
        </w:rPr>
        <w:t xml:space="preserve">CGM </w:t>
      </w:r>
      <w:r>
        <w:rPr>
          <w:iCs/>
          <w:color w:val="auto"/>
        </w:rPr>
        <w:t>s</w:t>
      </w:r>
      <w:r w:rsidR="004912F4">
        <w:rPr>
          <w:iCs/>
          <w:color w:val="auto"/>
        </w:rPr>
        <w:t xml:space="preserve">ystem </w:t>
      </w:r>
      <w:r w:rsidR="00CE5E88">
        <w:rPr>
          <w:iCs/>
          <w:color w:val="auto"/>
        </w:rPr>
        <w:t>(ADAR 1785)</w:t>
      </w:r>
      <w:r>
        <w:rPr>
          <w:iCs/>
          <w:color w:val="auto"/>
        </w:rPr>
        <w:t xml:space="preserve"> defined</w:t>
      </w:r>
      <w:r w:rsidR="00CE5E88" w:rsidRPr="00CE5E88">
        <w:rPr>
          <w:iCs/>
          <w:color w:val="auto"/>
        </w:rPr>
        <w:t xml:space="preserve"> ‘</w:t>
      </w:r>
      <w:r>
        <w:rPr>
          <w:iCs/>
          <w:color w:val="auto"/>
        </w:rPr>
        <w:t>s</w:t>
      </w:r>
      <w:r w:rsidR="00CE5E88" w:rsidRPr="00CE5E88">
        <w:rPr>
          <w:iCs/>
          <w:color w:val="auto"/>
        </w:rPr>
        <w:t xml:space="preserve">uboptimal glycaemic control’ as laboratory-measured HbA1c levels &gt;7.0% for adults and &gt;6.5% for children and adolescents. The original </w:t>
      </w:r>
      <w:r w:rsidR="00004B6B">
        <w:rPr>
          <w:iCs/>
          <w:color w:val="auto"/>
        </w:rPr>
        <w:t>ADAR</w:t>
      </w:r>
      <w:r w:rsidR="00004B6B" w:rsidRPr="00CE5E88">
        <w:rPr>
          <w:iCs/>
          <w:color w:val="auto"/>
        </w:rPr>
        <w:t xml:space="preserve"> </w:t>
      </w:r>
      <w:r w:rsidR="0045117C">
        <w:rPr>
          <w:iCs/>
          <w:color w:val="auto"/>
        </w:rPr>
        <w:t>propose</w:t>
      </w:r>
      <w:r>
        <w:rPr>
          <w:iCs/>
          <w:color w:val="auto"/>
        </w:rPr>
        <w:t>d</w:t>
      </w:r>
      <w:r w:rsidR="00CE5E88">
        <w:rPr>
          <w:iCs/>
          <w:color w:val="auto"/>
        </w:rPr>
        <w:t xml:space="preserve"> </w:t>
      </w:r>
      <w:r w:rsidR="0045117C">
        <w:rPr>
          <w:iCs/>
          <w:color w:val="auto"/>
        </w:rPr>
        <w:t>funding</w:t>
      </w:r>
      <w:r w:rsidR="00CE5E88">
        <w:rPr>
          <w:iCs/>
          <w:color w:val="auto"/>
        </w:rPr>
        <w:t xml:space="preserve"> for </w:t>
      </w:r>
      <w:r w:rsidR="006F1942">
        <w:rPr>
          <w:iCs/>
          <w:color w:val="auto"/>
        </w:rPr>
        <w:t>two</w:t>
      </w:r>
      <w:r w:rsidR="006F1942" w:rsidRPr="00CE5E88">
        <w:rPr>
          <w:iCs/>
          <w:color w:val="auto"/>
        </w:rPr>
        <w:t xml:space="preserve"> </w:t>
      </w:r>
      <w:r w:rsidR="00CE5E88" w:rsidRPr="00CE5E88">
        <w:rPr>
          <w:iCs/>
          <w:color w:val="auto"/>
        </w:rPr>
        <w:t xml:space="preserve">subpopulations: </w:t>
      </w:r>
      <w:r w:rsidRPr="009F5B5D">
        <w:rPr>
          <w:iCs/>
          <w:color w:val="auto"/>
        </w:rPr>
        <w:t xml:space="preserve">intensive insulin therapy </w:t>
      </w:r>
      <w:r>
        <w:rPr>
          <w:iCs/>
          <w:color w:val="auto"/>
        </w:rPr>
        <w:t>(</w:t>
      </w:r>
      <w:r w:rsidR="00CE5E88" w:rsidRPr="00CE5E88">
        <w:rPr>
          <w:iCs/>
          <w:color w:val="auto"/>
        </w:rPr>
        <w:t>IIT</w:t>
      </w:r>
      <w:r>
        <w:rPr>
          <w:iCs/>
          <w:color w:val="auto"/>
        </w:rPr>
        <w:t>)</w:t>
      </w:r>
      <w:r w:rsidR="00CE5E88" w:rsidRPr="00CE5E88">
        <w:rPr>
          <w:iCs/>
          <w:color w:val="auto"/>
        </w:rPr>
        <w:t xml:space="preserve"> users and non-IIT users. </w:t>
      </w:r>
    </w:p>
    <w:p w14:paraId="7AF7377B" w14:textId="4CF23F1B" w:rsidR="00CE5E88" w:rsidRPr="00CE5E88" w:rsidRDefault="00CE5E88" w:rsidP="00CE5E88">
      <w:pPr>
        <w:pStyle w:val="Instructionaltext"/>
        <w:keepNext/>
        <w:tabs>
          <w:tab w:val="left" w:pos="2172"/>
        </w:tabs>
        <w:rPr>
          <w:iCs/>
          <w:color w:val="auto"/>
        </w:rPr>
      </w:pPr>
      <w:r>
        <w:rPr>
          <w:iCs/>
          <w:color w:val="auto"/>
        </w:rPr>
        <w:t xml:space="preserve">In responding </w:t>
      </w:r>
      <w:r w:rsidR="0045117C">
        <w:rPr>
          <w:iCs/>
          <w:color w:val="auto"/>
        </w:rPr>
        <w:t>to</w:t>
      </w:r>
      <w:r>
        <w:rPr>
          <w:iCs/>
          <w:color w:val="auto"/>
        </w:rPr>
        <w:t xml:space="preserve"> the </w:t>
      </w:r>
      <w:r w:rsidR="0045117C" w:rsidRPr="004D1369">
        <w:rPr>
          <w:color w:val="auto"/>
        </w:rPr>
        <w:t>original</w:t>
      </w:r>
      <w:r w:rsidRPr="004D1369">
        <w:rPr>
          <w:color w:val="auto"/>
        </w:rPr>
        <w:t xml:space="preserve"> </w:t>
      </w:r>
      <w:r w:rsidR="004D1369" w:rsidRPr="004D1369">
        <w:rPr>
          <w:iCs/>
          <w:color w:val="auto"/>
        </w:rPr>
        <w:t>ADAR</w:t>
      </w:r>
      <w:r>
        <w:rPr>
          <w:iCs/>
          <w:color w:val="auto"/>
        </w:rPr>
        <w:t xml:space="preserve">, </w:t>
      </w:r>
      <w:r w:rsidRPr="00CE5E88">
        <w:rPr>
          <w:iCs/>
          <w:color w:val="auto"/>
        </w:rPr>
        <w:t xml:space="preserve">MSAC considered that the </w:t>
      </w:r>
      <w:r w:rsidR="009F5B5D" w:rsidRPr="00CE5E88">
        <w:rPr>
          <w:iCs/>
          <w:color w:val="auto"/>
        </w:rPr>
        <w:t xml:space="preserve">proposed </w:t>
      </w:r>
      <w:r w:rsidRPr="00CE5E88">
        <w:rPr>
          <w:iCs/>
          <w:color w:val="auto"/>
        </w:rPr>
        <w:t xml:space="preserve">HbA1c targets </w:t>
      </w:r>
      <w:r w:rsidR="009F5B5D">
        <w:rPr>
          <w:iCs/>
          <w:color w:val="auto"/>
        </w:rPr>
        <w:t>represented</w:t>
      </w:r>
      <w:r w:rsidRPr="00CE5E88">
        <w:rPr>
          <w:iCs/>
          <w:color w:val="auto"/>
        </w:rPr>
        <w:t xml:space="preserve"> a low threshold that would capture the vast majority</w:t>
      </w:r>
      <w:r w:rsidR="00733E02">
        <w:rPr>
          <w:iCs/>
          <w:color w:val="auto"/>
        </w:rPr>
        <w:t xml:space="preserve"> of</w:t>
      </w:r>
      <w:r w:rsidRPr="00CE5E88">
        <w:rPr>
          <w:iCs/>
          <w:color w:val="auto"/>
        </w:rPr>
        <w:t>, if not all patients with diabetes on insulin.</w:t>
      </w:r>
      <w:r>
        <w:rPr>
          <w:iCs/>
          <w:color w:val="auto"/>
        </w:rPr>
        <w:t xml:space="preserve"> </w:t>
      </w:r>
      <w:r w:rsidR="0045117C">
        <w:rPr>
          <w:iCs/>
          <w:color w:val="auto"/>
        </w:rPr>
        <w:t>Additionally</w:t>
      </w:r>
      <w:r>
        <w:rPr>
          <w:iCs/>
          <w:color w:val="auto"/>
        </w:rPr>
        <w:t xml:space="preserve">, MSAC </w:t>
      </w:r>
      <w:r w:rsidRPr="00CE5E88">
        <w:rPr>
          <w:iCs/>
          <w:color w:val="auto"/>
        </w:rPr>
        <w:t>considered that although the ideal target for Hb</w:t>
      </w:r>
      <w:r w:rsidR="007E7249">
        <w:rPr>
          <w:iCs/>
          <w:color w:val="auto"/>
        </w:rPr>
        <w:t>A</w:t>
      </w:r>
      <w:r w:rsidRPr="00CE5E88">
        <w:rPr>
          <w:iCs/>
          <w:color w:val="auto"/>
        </w:rPr>
        <w:t xml:space="preserve">1c is generally </w:t>
      </w:r>
      <w:r w:rsidR="009F5B5D">
        <w:rPr>
          <w:iCs/>
          <w:color w:val="auto"/>
        </w:rPr>
        <w:t>&lt;</w:t>
      </w:r>
      <w:r w:rsidRPr="00CE5E88">
        <w:rPr>
          <w:iCs/>
          <w:color w:val="auto"/>
        </w:rPr>
        <w:t>7.0%, this target should be individualised to account for factors such as patient context, age, risks, life goals and comorbidities</w:t>
      </w:r>
      <w:r w:rsidR="009F5B5D">
        <w:rPr>
          <w:iCs/>
          <w:color w:val="auto"/>
        </w:rPr>
        <w:t>. Thus,</w:t>
      </w:r>
      <w:r w:rsidRPr="00CE5E88">
        <w:rPr>
          <w:iCs/>
          <w:color w:val="auto"/>
        </w:rPr>
        <w:t xml:space="preserve"> it may not be accurate to conclude that all patients with HbA1c </w:t>
      </w:r>
      <w:r w:rsidR="009F5B5D">
        <w:rPr>
          <w:iCs/>
          <w:color w:val="auto"/>
        </w:rPr>
        <w:t>&gt;</w:t>
      </w:r>
      <w:r w:rsidRPr="00CE5E88">
        <w:rPr>
          <w:iCs/>
          <w:color w:val="auto"/>
        </w:rPr>
        <w:t xml:space="preserve">7.0% have ‘suboptimal glycaemic control’. MSAC considered that alternative </w:t>
      </w:r>
      <w:r w:rsidR="009F5B5D" w:rsidRPr="00CE5E88">
        <w:rPr>
          <w:iCs/>
          <w:color w:val="auto"/>
        </w:rPr>
        <w:t xml:space="preserve">baseline HbA1c </w:t>
      </w:r>
      <w:r w:rsidRPr="00CE5E88">
        <w:rPr>
          <w:iCs/>
          <w:color w:val="auto"/>
        </w:rPr>
        <w:t>thresholds to determine</w:t>
      </w:r>
      <w:r w:rsidRPr="00CE5E88" w:rsidDel="009F5B5D">
        <w:rPr>
          <w:iCs/>
          <w:color w:val="auto"/>
        </w:rPr>
        <w:t xml:space="preserve"> </w:t>
      </w:r>
      <w:r w:rsidRPr="00CE5E88">
        <w:rPr>
          <w:iCs/>
          <w:color w:val="auto"/>
        </w:rPr>
        <w:t xml:space="preserve">CGM </w:t>
      </w:r>
      <w:r w:rsidR="009F5B5D" w:rsidRPr="00CE5E88">
        <w:rPr>
          <w:iCs/>
          <w:color w:val="auto"/>
        </w:rPr>
        <w:t xml:space="preserve">eligibility </w:t>
      </w:r>
      <w:r w:rsidRPr="00CE5E88">
        <w:rPr>
          <w:iCs/>
          <w:color w:val="auto"/>
        </w:rPr>
        <w:t>should be considered, to more appropriately capture the people for whom CGM would provide the most benefit (PSD for ADAR 1785, p. 4)</w:t>
      </w:r>
      <w:r w:rsidR="00014A6B">
        <w:rPr>
          <w:iCs/>
          <w:color w:val="auto"/>
        </w:rPr>
        <w:t>.</w:t>
      </w:r>
    </w:p>
    <w:p w14:paraId="2977C659" w14:textId="6BBD8A0A" w:rsidR="009D620F" w:rsidRPr="00724B37" w:rsidRDefault="000730FC" w:rsidP="009D620F">
      <w:pPr>
        <w:pStyle w:val="Instructionaltext"/>
        <w:keepNext/>
        <w:tabs>
          <w:tab w:val="left" w:pos="2172"/>
        </w:tabs>
        <w:rPr>
          <w:color w:val="auto"/>
        </w:rPr>
      </w:pPr>
      <w:r>
        <w:rPr>
          <w:color w:val="auto"/>
        </w:rPr>
        <w:t>T</w:t>
      </w:r>
      <w:r w:rsidR="004E735C" w:rsidRPr="00724B37">
        <w:rPr>
          <w:color w:val="auto"/>
        </w:rPr>
        <w:t xml:space="preserve">he Dexcom </w:t>
      </w:r>
      <w:r w:rsidR="00873F2E" w:rsidRPr="00724B37">
        <w:rPr>
          <w:color w:val="auto"/>
        </w:rPr>
        <w:t xml:space="preserve">ONE+ </w:t>
      </w:r>
      <w:r w:rsidR="00014A6B">
        <w:rPr>
          <w:color w:val="auto"/>
        </w:rPr>
        <w:t xml:space="preserve">CGM </w:t>
      </w:r>
      <w:r w:rsidR="009F5B5D">
        <w:rPr>
          <w:color w:val="auto"/>
        </w:rPr>
        <w:t>s</w:t>
      </w:r>
      <w:r w:rsidR="00D50F63" w:rsidRPr="00724B37">
        <w:rPr>
          <w:color w:val="auto"/>
        </w:rPr>
        <w:t>ystem is designed to replace s</w:t>
      </w:r>
      <w:r w:rsidR="00D57790" w:rsidRPr="00724B37">
        <w:rPr>
          <w:color w:val="auto"/>
        </w:rPr>
        <w:t>elf-monitoring of blood glucose (SMBG)</w:t>
      </w:r>
      <w:r w:rsidR="0023650D">
        <w:rPr>
          <w:color w:val="auto"/>
        </w:rPr>
        <w:t>. T</w:t>
      </w:r>
      <w:r w:rsidR="005839ED" w:rsidRPr="00724B37">
        <w:rPr>
          <w:color w:val="auto"/>
        </w:rPr>
        <w:t>h</w:t>
      </w:r>
      <w:r w:rsidR="009D620F" w:rsidRPr="00724B37">
        <w:rPr>
          <w:color w:val="auto"/>
        </w:rPr>
        <w:t xml:space="preserve">e </w:t>
      </w:r>
      <w:r w:rsidR="009F5B5D">
        <w:rPr>
          <w:color w:val="auto"/>
        </w:rPr>
        <w:t>s</w:t>
      </w:r>
      <w:r w:rsidR="009D620F" w:rsidRPr="00724B37">
        <w:rPr>
          <w:color w:val="auto"/>
        </w:rPr>
        <w:t>ystem uses a sensor to measure glucose concentrations in interstitial fluid, report</w:t>
      </w:r>
      <w:r w:rsidR="009F5B5D">
        <w:rPr>
          <w:color w:val="auto"/>
        </w:rPr>
        <w:t>ing</w:t>
      </w:r>
      <w:r w:rsidR="009D620F" w:rsidRPr="00724B37">
        <w:rPr>
          <w:color w:val="auto"/>
        </w:rPr>
        <w:t xml:space="preserve"> the measurements in real time via a Bluetooth-enabled display device. </w:t>
      </w:r>
      <w:r w:rsidR="009F5B5D">
        <w:rPr>
          <w:color w:val="auto"/>
        </w:rPr>
        <w:t>T</w:t>
      </w:r>
      <w:r w:rsidR="009F5B5D" w:rsidRPr="00724B37">
        <w:rPr>
          <w:color w:val="auto"/>
        </w:rPr>
        <w:t>o aid timely blood glucose management</w:t>
      </w:r>
      <w:r w:rsidR="009F5B5D">
        <w:rPr>
          <w:color w:val="auto"/>
        </w:rPr>
        <w:t>,</w:t>
      </w:r>
      <w:r w:rsidR="009F5B5D" w:rsidRPr="00724B37">
        <w:rPr>
          <w:color w:val="auto"/>
        </w:rPr>
        <w:t xml:space="preserve"> </w:t>
      </w:r>
      <w:r w:rsidR="009F5B5D">
        <w:rPr>
          <w:color w:val="auto"/>
        </w:rPr>
        <w:t>t</w:t>
      </w:r>
      <w:r w:rsidR="009D620F" w:rsidRPr="00724B37">
        <w:rPr>
          <w:color w:val="auto"/>
        </w:rPr>
        <w:t xml:space="preserve">he </w:t>
      </w:r>
      <w:r w:rsidR="009F5B5D">
        <w:rPr>
          <w:color w:val="auto"/>
        </w:rPr>
        <w:t>s</w:t>
      </w:r>
      <w:r w:rsidR="009D620F" w:rsidRPr="00724B37">
        <w:rPr>
          <w:color w:val="auto"/>
        </w:rPr>
        <w:t>ystem issues alerts if the readings indicat</w:t>
      </w:r>
      <w:r w:rsidR="009F5B5D">
        <w:rPr>
          <w:color w:val="auto"/>
        </w:rPr>
        <w:t>e</w:t>
      </w:r>
      <w:r w:rsidR="009D620F" w:rsidRPr="00724B37">
        <w:rPr>
          <w:color w:val="auto"/>
        </w:rPr>
        <w:t xml:space="preserve"> hypo- </w:t>
      </w:r>
      <w:r w:rsidR="009F5B5D">
        <w:rPr>
          <w:color w:val="auto"/>
        </w:rPr>
        <w:t>or</w:t>
      </w:r>
      <w:r w:rsidR="009F5B5D" w:rsidRPr="00724B37">
        <w:rPr>
          <w:color w:val="auto"/>
        </w:rPr>
        <w:t xml:space="preserve"> </w:t>
      </w:r>
      <w:r w:rsidR="009D620F" w:rsidRPr="00724B37">
        <w:rPr>
          <w:color w:val="auto"/>
        </w:rPr>
        <w:t xml:space="preserve">hyperglycaemia. Patients using </w:t>
      </w:r>
      <w:r w:rsidR="009F5B5D">
        <w:rPr>
          <w:color w:val="auto"/>
        </w:rPr>
        <w:t xml:space="preserve">the </w:t>
      </w:r>
      <w:r w:rsidR="009D620F" w:rsidRPr="00724B37">
        <w:rPr>
          <w:color w:val="auto"/>
        </w:rPr>
        <w:t xml:space="preserve">Dexcom ONE+ </w:t>
      </w:r>
      <w:r w:rsidR="00B32E52">
        <w:rPr>
          <w:color w:val="auto"/>
        </w:rPr>
        <w:t xml:space="preserve">CGM </w:t>
      </w:r>
      <w:r w:rsidR="009F5B5D">
        <w:rPr>
          <w:color w:val="auto"/>
        </w:rPr>
        <w:t>s</w:t>
      </w:r>
      <w:r w:rsidR="00B32E52">
        <w:rPr>
          <w:color w:val="auto"/>
        </w:rPr>
        <w:t xml:space="preserve">ystem </w:t>
      </w:r>
      <w:r w:rsidR="009D620F" w:rsidRPr="00724B37">
        <w:rPr>
          <w:color w:val="auto"/>
        </w:rPr>
        <w:t>only require finger</w:t>
      </w:r>
      <w:r w:rsidR="009F5B5D">
        <w:rPr>
          <w:color w:val="auto"/>
        </w:rPr>
        <w:t>-</w:t>
      </w:r>
      <w:r w:rsidR="009D620F" w:rsidRPr="00724B37">
        <w:rPr>
          <w:color w:val="auto"/>
        </w:rPr>
        <w:t xml:space="preserve">prick testing if the </w:t>
      </w:r>
      <w:r w:rsidR="009F5B5D">
        <w:rPr>
          <w:color w:val="auto"/>
        </w:rPr>
        <w:t>s</w:t>
      </w:r>
      <w:r w:rsidR="009D620F" w:rsidRPr="00724B37">
        <w:rPr>
          <w:color w:val="auto"/>
        </w:rPr>
        <w:t xml:space="preserve">ystem fails to </w:t>
      </w:r>
      <w:r w:rsidR="009F5B5D" w:rsidRPr="00CE5E88">
        <w:rPr>
          <w:color w:val="auto"/>
        </w:rPr>
        <w:t>display a blood glucose level and trend arrow</w:t>
      </w:r>
      <w:r w:rsidR="009F5B5D" w:rsidRPr="00724B37">
        <w:rPr>
          <w:color w:val="auto"/>
        </w:rPr>
        <w:t xml:space="preserve"> </w:t>
      </w:r>
      <w:r w:rsidR="009D620F" w:rsidRPr="00724B37">
        <w:rPr>
          <w:color w:val="auto"/>
        </w:rPr>
        <w:t xml:space="preserve">or </w:t>
      </w:r>
      <w:r w:rsidR="009F5B5D">
        <w:rPr>
          <w:color w:val="auto"/>
        </w:rPr>
        <w:t xml:space="preserve">if </w:t>
      </w:r>
      <w:r w:rsidR="009D620F" w:rsidRPr="00724B37">
        <w:rPr>
          <w:color w:val="auto"/>
        </w:rPr>
        <w:t xml:space="preserve">a reading is inconsistent with symptoms </w:t>
      </w:r>
      <w:r w:rsidR="009F5B5D">
        <w:rPr>
          <w:color w:val="auto"/>
        </w:rPr>
        <w:t xml:space="preserve">or </w:t>
      </w:r>
      <w:r w:rsidR="009F5B5D" w:rsidRPr="00CE5E88">
        <w:rPr>
          <w:color w:val="auto"/>
        </w:rPr>
        <w:t>expectations</w:t>
      </w:r>
      <w:r w:rsidR="009F5B5D" w:rsidRPr="00755BD7">
        <w:rPr>
          <w:color w:val="auto"/>
        </w:rPr>
        <w:t xml:space="preserve"> </w:t>
      </w:r>
      <w:r w:rsidR="00755BD7" w:rsidRPr="00755BD7">
        <w:rPr>
          <w:color w:val="auto"/>
        </w:rPr>
        <w:t>(PSD for ADAR 1785, p.4).</w:t>
      </w:r>
    </w:p>
    <w:p w14:paraId="0E66D07D" w14:textId="29B95F84" w:rsidR="009F5B5D" w:rsidRDefault="00CE5E88" w:rsidP="00CE5E88">
      <w:pPr>
        <w:pStyle w:val="Instructionaltext"/>
        <w:keepNext/>
        <w:tabs>
          <w:tab w:val="left" w:pos="2172"/>
        </w:tabs>
        <w:rPr>
          <w:color w:val="auto"/>
        </w:rPr>
      </w:pPr>
      <w:r w:rsidRPr="00CE5E88">
        <w:rPr>
          <w:color w:val="auto"/>
        </w:rPr>
        <w:t>The sensor can be applied to the skin on the abdomen or back of arm (</w:t>
      </w:r>
      <w:r w:rsidR="009F5B5D">
        <w:rPr>
          <w:color w:val="auto"/>
        </w:rPr>
        <w:t>or</w:t>
      </w:r>
      <w:r w:rsidRPr="00CE5E88" w:rsidDel="009F5B5D">
        <w:rPr>
          <w:color w:val="auto"/>
        </w:rPr>
        <w:t xml:space="preserve"> </w:t>
      </w:r>
      <w:r w:rsidRPr="00CE5E88">
        <w:rPr>
          <w:color w:val="auto"/>
        </w:rPr>
        <w:t>buttocks in children 2</w:t>
      </w:r>
      <w:r w:rsidR="009F5B5D">
        <w:rPr>
          <w:color w:val="auto"/>
        </w:rPr>
        <w:t>–</w:t>
      </w:r>
      <w:r w:rsidRPr="00CE5E88">
        <w:rPr>
          <w:color w:val="auto"/>
        </w:rPr>
        <w:t>6 years</w:t>
      </w:r>
      <w:r w:rsidR="009F5B5D">
        <w:rPr>
          <w:color w:val="auto"/>
        </w:rPr>
        <w:t xml:space="preserve"> of age</w:t>
      </w:r>
      <w:r w:rsidRPr="00CE5E88">
        <w:rPr>
          <w:color w:val="auto"/>
        </w:rPr>
        <w:t xml:space="preserve">) using the inbuilt applicator. </w:t>
      </w:r>
      <w:r w:rsidR="009F5B5D">
        <w:rPr>
          <w:color w:val="auto"/>
        </w:rPr>
        <w:t>T</w:t>
      </w:r>
      <w:r w:rsidR="009F5B5D" w:rsidRPr="00CE5E88">
        <w:rPr>
          <w:color w:val="auto"/>
        </w:rPr>
        <w:t xml:space="preserve">he Dexcom ONE+ </w:t>
      </w:r>
      <w:r w:rsidR="009F5B5D">
        <w:rPr>
          <w:color w:val="auto"/>
        </w:rPr>
        <w:t>CGM s</w:t>
      </w:r>
      <w:r w:rsidR="009F5B5D" w:rsidRPr="00CE5E88">
        <w:rPr>
          <w:color w:val="auto"/>
        </w:rPr>
        <w:t xml:space="preserve">ystem </w:t>
      </w:r>
      <w:r w:rsidRPr="00CE5E88">
        <w:rPr>
          <w:color w:val="auto"/>
        </w:rPr>
        <w:t>is designed to replace SMBG for treatment decisions and adjunctive finger</w:t>
      </w:r>
      <w:r w:rsidR="009F5B5D">
        <w:rPr>
          <w:color w:val="auto"/>
        </w:rPr>
        <w:t>-</w:t>
      </w:r>
      <w:r w:rsidRPr="00CE5E88">
        <w:rPr>
          <w:color w:val="auto"/>
        </w:rPr>
        <w:t xml:space="preserve">prick SMBG testing because </w:t>
      </w:r>
      <w:r w:rsidR="009F5B5D">
        <w:rPr>
          <w:color w:val="auto"/>
        </w:rPr>
        <w:t xml:space="preserve">it </w:t>
      </w:r>
      <w:r w:rsidRPr="00CE5E88">
        <w:rPr>
          <w:color w:val="auto"/>
        </w:rPr>
        <w:t xml:space="preserve">is factory calibrated, negating the need for ongoing calibration of the device. </w:t>
      </w:r>
    </w:p>
    <w:p w14:paraId="33428ADC" w14:textId="768B9203" w:rsidR="00CE5E88" w:rsidRPr="00CE5E88" w:rsidRDefault="00CE5E88" w:rsidP="00CE5E88">
      <w:pPr>
        <w:pStyle w:val="Instructionaltext"/>
        <w:keepNext/>
        <w:tabs>
          <w:tab w:val="left" w:pos="2172"/>
        </w:tabs>
        <w:rPr>
          <w:color w:val="auto"/>
        </w:rPr>
      </w:pPr>
      <w:r w:rsidRPr="00CE5E88" w:rsidDel="009F5B5D">
        <w:rPr>
          <w:color w:val="auto"/>
        </w:rPr>
        <w:t xml:space="preserve">Finger prick testing is only required in the event that glucose alerts and readings from the Dexcom ONE+ </w:t>
      </w:r>
      <w:r w:rsidR="00097269" w:rsidDel="009F5B5D">
        <w:rPr>
          <w:color w:val="auto"/>
        </w:rPr>
        <w:t xml:space="preserve">CGM System </w:t>
      </w:r>
      <w:r w:rsidRPr="00CE5E88" w:rsidDel="009F5B5D">
        <w:rPr>
          <w:color w:val="auto"/>
        </w:rPr>
        <w:t xml:space="preserve">do not match symptoms or expectations, or if the Dexcom ONE+ </w:t>
      </w:r>
      <w:r w:rsidR="00097269" w:rsidDel="009F5B5D">
        <w:rPr>
          <w:color w:val="auto"/>
        </w:rPr>
        <w:t xml:space="preserve">CGM </w:t>
      </w:r>
      <w:r w:rsidR="006B582F" w:rsidDel="009F5B5D">
        <w:rPr>
          <w:color w:val="auto"/>
        </w:rPr>
        <w:t>S</w:t>
      </w:r>
      <w:r w:rsidRPr="00CE5E88" w:rsidDel="009F5B5D">
        <w:rPr>
          <w:color w:val="auto"/>
        </w:rPr>
        <w:t xml:space="preserve">ystem fails to display a blood glucose level and trend arrow. </w:t>
      </w:r>
      <w:r w:rsidRPr="00CE5E88">
        <w:rPr>
          <w:color w:val="auto"/>
        </w:rPr>
        <w:t xml:space="preserve">The Dexcom ONE+ </w:t>
      </w:r>
      <w:r w:rsidR="00097269">
        <w:rPr>
          <w:color w:val="auto"/>
        </w:rPr>
        <w:t xml:space="preserve">CGM </w:t>
      </w:r>
      <w:r w:rsidR="009F5B5D">
        <w:rPr>
          <w:color w:val="auto"/>
        </w:rPr>
        <w:t>s</w:t>
      </w:r>
      <w:r w:rsidRPr="00CE5E88">
        <w:rPr>
          <w:color w:val="auto"/>
        </w:rPr>
        <w:t xml:space="preserve">ystem consists of </w:t>
      </w:r>
      <w:r w:rsidR="009F5B5D">
        <w:rPr>
          <w:color w:val="auto"/>
        </w:rPr>
        <w:t>2</w:t>
      </w:r>
      <w:r w:rsidR="009F5B5D" w:rsidRPr="00CE5E88">
        <w:rPr>
          <w:color w:val="auto"/>
        </w:rPr>
        <w:t xml:space="preserve"> </w:t>
      </w:r>
      <w:r w:rsidRPr="00CE5E88">
        <w:rPr>
          <w:color w:val="auto"/>
        </w:rPr>
        <w:t xml:space="preserve">main components: </w:t>
      </w:r>
    </w:p>
    <w:p w14:paraId="1AD5EA66" w14:textId="0881D22F" w:rsidR="00CE5E88" w:rsidRPr="00CE5E88" w:rsidRDefault="00CE5E88" w:rsidP="00CE5E88">
      <w:pPr>
        <w:pStyle w:val="Instructionaltext"/>
        <w:keepNext/>
        <w:tabs>
          <w:tab w:val="left" w:pos="2172"/>
        </w:tabs>
        <w:ind w:left="720"/>
        <w:rPr>
          <w:color w:val="auto"/>
        </w:rPr>
      </w:pPr>
      <w:r w:rsidRPr="00CE5E88">
        <w:rPr>
          <w:color w:val="auto"/>
        </w:rPr>
        <w:t>•</w:t>
      </w:r>
      <w:r w:rsidRPr="00CE5E88" w:rsidDel="009F5B5D">
        <w:rPr>
          <w:color w:val="auto"/>
        </w:rPr>
        <w:t xml:space="preserve"> </w:t>
      </w:r>
      <w:r w:rsidRPr="00CE5E88">
        <w:rPr>
          <w:color w:val="auto"/>
        </w:rPr>
        <w:t xml:space="preserve">Dexcom ONE+ all-in-one transmitter and sensor (including sensor wire) </w:t>
      </w:r>
    </w:p>
    <w:p w14:paraId="1B8E01AE" w14:textId="12B68932" w:rsidR="00CE5E88" w:rsidRPr="00CE5E88" w:rsidRDefault="00CE5E88" w:rsidP="00CE5E88">
      <w:pPr>
        <w:pStyle w:val="Instructionaltext"/>
        <w:keepNext/>
        <w:tabs>
          <w:tab w:val="left" w:pos="2172"/>
        </w:tabs>
        <w:ind w:left="720"/>
        <w:rPr>
          <w:color w:val="auto"/>
        </w:rPr>
      </w:pPr>
      <w:r w:rsidRPr="00CE5E88">
        <w:rPr>
          <w:color w:val="auto"/>
        </w:rPr>
        <w:t>•</w:t>
      </w:r>
      <w:r w:rsidRPr="00CE5E88" w:rsidDel="009F5B5D">
        <w:rPr>
          <w:color w:val="auto"/>
        </w:rPr>
        <w:t xml:space="preserve"> </w:t>
      </w:r>
      <w:r w:rsidRPr="00CE5E88">
        <w:rPr>
          <w:color w:val="auto"/>
        </w:rPr>
        <w:t>Bluetooth-enabled display device</w:t>
      </w:r>
      <w:r w:rsidR="009F5B5D">
        <w:rPr>
          <w:color w:val="auto"/>
        </w:rPr>
        <w:t>—</w:t>
      </w:r>
      <w:r w:rsidRPr="00CE5E88">
        <w:rPr>
          <w:color w:val="auto"/>
        </w:rPr>
        <w:t xml:space="preserve">either a mobile phone with application and/or optional receiver. </w:t>
      </w:r>
    </w:p>
    <w:p w14:paraId="074AFC88" w14:textId="1A151C29" w:rsidR="009F5B5D" w:rsidRDefault="00CE5E88" w:rsidP="00CE5E88">
      <w:pPr>
        <w:pStyle w:val="Instructionaltext"/>
        <w:keepNext/>
        <w:tabs>
          <w:tab w:val="left" w:pos="2172"/>
        </w:tabs>
        <w:rPr>
          <w:color w:val="auto"/>
        </w:rPr>
      </w:pPr>
      <w:r w:rsidRPr="00CE5E88">
        <w:rPr>
          <w:color w:val="auto"/>
        </w:rPr>
        <w:t>The glucose readings are automatically transmitted to the receiver/compatible smart device every 5 minutes within a range of 10 metres</w:t>
      </w:r>
      <w:r w:rsidR="009F5B5D">
        <w:rPr>
          <w:color w:val="auto"/>
        </w:rPr>
        <w:t>. N</w:t>
      </w:r>
      <w:r w:rsidRPr="00CE5E88">
        <w:rPr>
          <w:color w:val="auto"/>
        </w:rPr>
        <w:t xml:space="preserve">o scanning is required. The main consumables associated with </w:t>
      </w:r>
      <w:r w:rsidR="009F5B5D">
        <w:rPr>
          <w:color w:val="auto"/>
        </w:rPr>
        <w:t xml:space="preserve">the </w:t>
      </w:r>
      <w:r w:rsidRPr="00CE5E88">
        <w:rPr>
          <w:color w:val="auto"/>
        </w:rPr>
        <w:t>Dexcom ONE+</w:t>
      </w:r>
      <w:r w:rsidR="00A16EA4">
        <w:rPr>
          <w:color w:val="auto"/>
        </w:rPr>
        <w:t xml:space="preserve">CGM </w:t>
      </w:r>
      <w:r w:rsidR="009F5B5D">
        <w:rPr>
          <w:color w:val="auto"/>
        </w:rPr>
        <w:t>s</w:t>
      </w:r>
      <w:r w:rsidR="00A16EA4">
        <w:rPr>
          <w:color w:val="auto"/>
        </w:rPr>
        <w:t>ystem</w:t>
      </w:r>
      <w:r w:rsidRPr="00CE5E88">
        <w:rPr>
          <w:color w:val="auto"/>
        </w:rPr>
        <w:t xml:space="preserve"> are the all-in-one transmitter and sensor</w:t>
      </w:r>
      <w:r w:rsidR="009F5B5D">
        <w:rPr>
          <w:color w:val="auto"/>
        </w:rPr>
        <w:t xml:space="preserve">, which must be </w:t>
      </w:r>
      <w:r w:rsidRPr="00CE5E88">
        <w:rPr>
          <w:color w:val="auto"/>
        </w:rPr>
        <w:t xml:space="preserve">replaced every 10 days. </w:t>
      </w:r>
      <w:r w:rsidR="009F5B5D">
        <w:rPr>
          <w:color w:val="auto"/>
        </w:rPr>
        <w:t>It</w:t>
      </w:r>
      <w:r w:rsidRPr="00CE5E88">
        <w:rPr>
          <w:color w:val="auto"/>
        </w:rPr>
        <w:t xml:space="preserve"> is anticipated that people with T2D using the Dexcom ONE+ </w:t>
      </w:r>
      <w:r w:rsidR="00A16EA4">
        <w:rPr>
          <w:color w:val="auto"/>
        </w:rPr>
        <w:t xml:space="preserve">CGM </w:t>
      </w:r>
      <w:r w:rsidR="009F5B5D">
        <w:rPr>
          <w:color w:val="auto"/>
        </w:rPr>
        <w:t>s</w:t>
      </w:r>
      <w:r w:rsidRPr="00CE5E88">
        <w:rPr>
          <w:color w:val="auto"/>
        </w:rPr>
        <w:t>ystem will require 36 sensors per year, conservatively assuming 100% adherence/compliance. The ADAR stated that replacement/failure of sensors was rare and</w:t>
      </w:r>
      <w:r w:rsidR="009F5B5D">
        <w:rPr>
          <w:color w:val="auto"/>
        </w:rPr>
        <w:t xml:space="preserve"> is</w:t>
      </w:r>
      <w:r w:rsidRPr="00CE5E88">
        <w:rPr>
          <w:color w:val="auto"/>
        </w:rPr>
        <w:t xml:space="preserve"> accounted for in the conservative adherence/compliance estimate. In the absence of specific adherence/compliance</w:t>
      </w:r>
      <w:r w:rsidR="009F5B5D">
        <w:rPr>
          <w:color w:val="auto"/>
        </w:rPr>
        <w:t xml:space="preserve"> </w:t>
      </w:r>
      <w:r w:rsidR="009F5B5D" w:rsidRPr="00CE5E88">
        <w:rPr>
          <w:color w:val="auto"/>
        </w:rPr>
        <w:t>data</w:t>
      </w:r>
      <w:r w:rsidRPr="00CE5E88">
        <w:rPr>
          <w:color w:val="auto"/>
        </w:rPr>
        <w:t xml:space="preserve">, this approach is appropriate. </w:t>
      </w:r>
    </w:p>
    <w:p w14:paraId="74412D0F" w14:textId="2F89350D" w:rsidR="00CE5E88" w:rsidRPr="00CE5E88" w:rsidRDefault="00CE5E88" w:rsidP="00CE5E88">
      <w:pPr>
        <w:pStyle w:val="Instructionaltext"/>
        <w:keepNext/>
        <w:tabs>
          <w:tab w:val="left" w:pos="2172"/>
        </w:tabs>
        <w:rPr>
          <w:color w:val="auto"/>
        </w:rPr>
      </w:pPr>
      <w:r w:rsidRPr="00CE5E88">
        <w:rPr>
          <w:color w:val="auto"/>
        </w:rPr>
        <w:t xml:space="preserve">The Dexcom ONE+ </w:t>
      </w:r>
      <w:r w:rsidR="00E60F39">
        <w:rPr>
          <w:color w:val="auto"/>
        </w:rPr>
        <w:t xml:space="preserve">CGM </w:t>
      </w:r>
      <w:r w:rsidR="009F5B5D">
        <w:rPr>
          <w:color w:val="auto"/>
        </w:rPr>
        <w:t>s</w:t>
      </w:r>
      <w:r w:rsidRPr="00CE5E88">
        <w:rPr>
          <w:color w:val="auto"/>
        </w:rPr>
        <w:t xml:space="preserve">ystem is </w:t>
      </w:r>
      <w:r w:rsidR="009F5B5D">
        <w:rPr>
          <w:color w:val="auto"/>
        </w:rPr>
        <w:t>in</w:t>
      </w:r>
      <w:r w:rsidRPr="00CE5E88">
        <w:rPr>
          <w:color w:val="auto"/>
        </w:rPr>
        <w:t>compatible with continuous subcutaneous insulin infusion pumps. As</w:t>
      </w:r>
      <w:r w:rsidRPr="00CE5E88" w:rsidDel="009F5B5D">
        <w:rPr>
          <w:color w:val="auto"/>
        </w:rPr>
        <w:t xml:space="preserve"> </w:t>
      </w:r>
      <w:r w:rsidRPr="00CE5E88">
        <w:rPr>
          <w:color w:val="auto"/>
        </w:rPr>
        <w:t>patient</w:t>
      </w:r>
      <w:r w:rsidR="009F5B5D">
        <w:rPr>
          <w:color w:val="auto"/>
        </w:rPr>
        <w:t>s</w:t>
      </w:r>
      <w:r w:rsidRPr="00CE5E88">
        <w:rPr>
          <w:color w:val="auto"/>
        </w:rPr>
        <w:t xml:space="preserve"> self-insert</w:t>
      </w:r>
      <w:r w:rsidR="007D295C">
        <w:rPr>
          <w:color w:val="auto"/>
        </w:rPr>
        <w:t xml:space="preserve"> </w:t>
      </w:r>
      <w:r w:rsidRPr="00CE5E88">
        <w:rPr>
          <w:color w:val="auto"/>
        </w:rPr>
        <w:t xml:space="preserve">the sensor and attach the transmitter, </w:t>
      </w:r>
      <w:r w:rsidR="009F5B5D">
        <w:rPr>
          <w:color w:val="auto"/>
        </w:rPr>
        <w:t>no</w:t>
      </w:r>
      <w:r w:rsidRPr="00CE5E88">
        <w:rPr>
          <w:color w:val="auto"/>
        </w:rPr>
        <w:t xml:space="preserve"> geographical barriers to </w:t>
      </w:r>
      <w:r w:rsidRPr="00CE5E88">
        <w:rPr>
          <w:color w:val="auto"/>
        </w:rPr>
        <w:lastRenderedPageBreak/>
        <w:t xml:space="preserve">implementing the Dexcom ONE+ </w:t>
      </w:r>
      <w:r w:rsidR="00991B85">
        <w:rPr>
          <w:color w:val="auto"/>
        </w:rPr>
        <w:t xml:space="preserve">CGM </w:t>
      </w:r>
      <w:r w:rsidR="009F5B5D">
        <w:rPr>
          <w:color w:val="auto"/>
        </w:rPr>
        <w:t>s</w:t>
      </w:r>
      <w:r w:rsidRPr="00CE5E88">
        <w:rPr>
          <w:color w:val="auto"/>
        </w:rPr>
        <w:t>ystem</w:t>
      </w:r>
      <w:r w:rsidR="009F5B5D">
        <w:rPr>
          <w:color w:val="auto"/>
        </w:rPr>
        <w:t xml:space="preserve"> were </w:t>
      </w:r>
      <w:r w:rsidR="009F5B5D" w:rsidRPr="00CE5E88">
        <w:rPr>
          <w:color w:val="auto"/>
        </w:rPr>
        <w:t>describe</w:t>
      </w:r>
      <w:r w:rsidR="009F5B5D">
        <w:rPr>
          <w:color w:val="auto"/>
        </w:rPr>
        <w:t>d</w:t>
      </w:r>
      <w:r w:rsidR="009F5B5D" w:rsidRPr="00CE5E88">
        <w:rPr>
          <w:color w:val="auto"/>
        </w:rPr>
        <w:t xml:space="preserve"> </w:t>
      </w:r>
      <w:r w:rsidR="009F5B5D">
        <w:rPr>
          <w:color w:val="auto"/>
        </w:rPr>
        <w:t xml:space="preserve">in </w:t>
      </w:r>
      <w:r w:rsidR="009F5B5D" w:rsidRPr="00CE5E88">
        <w:rPr>
          <w:color w:val="auto"/>
        </w:rPr>
        <w:t>the ADAR</w:t>
      </w:r>
      <w:r w:rsidRPr="00CE5E88">
        <w:rPr>
          <w:color w:val="auto"/>
        </w:rPr>
        <w:t xml:space="preserve">. The device is intended for use by people with T2D at home and in healthcare facilities. </w:t>
      </w:r>
    </w:p>
    <w:p w14:paraId="036A9CC7" w14:textId="67979223" w:rsidR="00CE5E88" w:rsidRPr="00CE5E88" w:rsidRDefault="00CE5E88" w:rsidP="00CE5E88">
      <w:pPr>
        <w:pStyle w:val="Instructionaltext"/>
        <w:keepNext/>
        <w:tabs>
          <w:tab w:val="left" w:pos="2172"/>
        </w:tabs>
        <w:rPr>
          <w:color w:val="auto"/>
        </w:rPr>
      </w:pPr>
      <w:r w:rsidRPr="00CE5E88">
        <w:rPr>
          <w:color w:val="auto"/>
        </w:rPr>
        <w:t xml:space="preserve">Components of the </w:t>
      </w:r>
      <w:r w:rsidR="009F5B5D">
        <w:rPr>
          <w:color w:val="auto"/>
        </w:rPr>
        <w:t>s</w:t>
      </w:r>
      <w:r w:rsidRPr="00CE5E88">
        <w:rPr>
          <w:color w:val="auto"/>
        </w:rPr>
        <w:t xml:space="preserve">ystem should not be worn during magnetic resonance imaging, computed tomography or high-frequency electrical heat (diathermy) treatment. </w:t>
      </w:r>
      <w:r w:rsidR="00F95205">
        <w:rPr>
          <w:color w:val="auto"/>
        </w:rPr>
        <w:t>T</w:t>
      </w:r>
      <w:r w:rsidRPr="00CE5E88">
        <w:rPr>
          <w:color w:val="auto"/>
        </w:rPr>
        <w:t>he system</w:t>
      </w:r>
      <w:r w:rsidRPr="00CE5E88" w:rsidDel="009F5B5D">
        <w:rPr>
          <w:color w:val="auto"/>
        </w:rPr>
        <w:t xml:space="preserve"> </w:t>
      </w:r>
      <w:r w:rsidR="00F95205">
        <w:rPr>
          <w:color w:val="auto"/>
        </w:rPr>
        <w:t xml:space="preserve">should also not </w:t>
      </w:r>
      <w:r w:rsidRPr="00CE5E88">
        <w:rPr>
          <w:color w:val="auto"/>
        </w:rPr>
        <w:t>be exposed to scanners in an airport setting, such as an advanced imaging technology body scanner (also called a millimetre wave scanner)</w:t>
      </w:r>
      <w:r w:rsidR="009F5B5D">
        <w:rPr>
          <w:color w:val="auto"/>
        </w:rPr>
        <w:t>,</w:t>
      </w:r>
      <w:r w:rsidRPr="00CE5E88">
        <w:rPr>
          <w:color w:val="auto"/>
        </w:rPr>
        <w:t xml:space="preserve"> or scanned through a baggage X-ray machine. </w:t>
      </w:r>
      <w:r w:rsidR="00F95205">
        <w:rPr>
          <w:color w:val="auto"/>
        </w:rPr>
        <w:t xml:space="preserve">In these cases, </w:t>
      </w:r>
      <w:r w:rsidR="00454BA1">
        <w:rPr>
          <w:color w:val="auto"/>
        </w:rPr>
        <w:t xml:space="preserve">the sensor would be removed and </w:t>
      </w:r>
      <w:r w:rsidR="00CF4B54">
        <w:rPr>
          <w:color w:val="auto"/>
        </w:rPr>
        <w:t>replace</w:t>
      </w:r>
      <w:r w:rsidR="006169D7">
        <w:rPr>
          <w:color w:val="auto"/>
        </w:rPr>
        <w:t>d</w:t>
      </w:r>
      <w:r w:rsidR="002461E7">
        <w:rPr>
          <w:color w:val="auto"/>
        </w:rPr>
        <w:t xml:space="preserve"> with a new sensor</w:t>
      </w:r>
      <w:r w:rsidR="006169D7">
        <w:rPr>
          <w:color w:val="auto"/>
        </w:rPr>
        <w:t>, which does not appear to have been accounted for in the</w:t>
      </w:r>
      <w:r w:rsidR="000C02FE">
        <w:rPr>
          <w:color w:val="auto"/>
        </w:rPr>
        <w:t xml:space="preserve"> estimated</w:t>
      </w:r>
      <w:r w:rsidR="006169D7">
        <w:rPr>
          <w:color w:val="auto"/>
        </w:rPr>
        <w:t xml:space="preserve"> average </w:t>
      </w:r>
      <w:r w:rsidR="00F43838">
        <w:rPr>
          <w:color w:val="auto"/>
        </w:rPr>
        <w:t>number of sensors per year</w:t>
      </w:r>
      <w:r w:rsidR="000C02FE">
        <w:rPr>
          <w:color w:val="auto"/>
        </w:rPr>
        <w:t xml:space="preserve"> used</w:t>
      </w:r>
      <w:r w:rsidR="00F43838">
        <w:rPr>
          <w:color w:val="auto"/>
        </w:rPr>
        <w:t>.</w:t>
      </w:r>
    </w:p>
    <w:p w14:paraId="2C0D2961" w14:textId="63D6E21E" w:rsidR="00CE5E88" w:rsidRPr="00CE5E88" w:rsidRDefault="00CE5E88" w:rsidP="00CE5E88">
      <w:pPr>
        <w:pStyle w:val="Instructionaltext"/>
        <w:keepNext/>
        <w:tabs>
          <w:tab w:val="left" w:pos="2172"/>
        </w:tabs>
        <w:rPr>
          <w:color w:val="auto"/>
        </w:rPr>
      </w:pPr>
      <w:r w:rsidRPr="00CE5E88">
        <w:rPr>
          <w:color w:val="auto"/>
        </w:rPr>
        <w:t xml:space="preserve">It is expected that patients with T2D accessing </w:t>
      </w:r>
      <w:r w:rsidR="009F5B5D">
        <w:rPr>
          <w:color w:val="auto"/>
        </w:rPr>
        <w:t xml:space="preserve">the </w:t>
      </w:r>
      <w:r w:rsidRPr="00CE5E88">
        <w:rPr>
          <w:color w:val="auto"/>
        </w:rPr>
        <w:t xml:space="preserve">Dexcom ONE+ </w:t>
      </w:r>
      <w:r w:rsidR="00B643D4">
        <w:rPr>
          <w:color w:val="auto"/>
        </w:rPr>
        <w:t xml:space="preserve">CGM </w:t>
      </w:r>
      <w:r w:rsidR="009F5B5D">
        <w:rPr>
          <w:color w:val="auto"/>
        </w:rPr>
        <w:t>s</w:t>
      </w:r>
      <w:r w:rsidR="00B643D4">
        <w:rPr>
          <w:color w:val="auto"/>
        </w:rPr>
        <w:t xml:space="preserve">ystem </w:t>
      </w:r>
      <w:r w:rsidRPr="00CE5E88">
        <w:rPr>
          <w:color w:val="auto"/>
        </w:rPr>
        <w:t xml:space="preserve">will be registered on the NDSS and </w:t>
      </w:r>
      <w:r w:rsidR="009F5B5D">
        <w:rPr>
          <w:color w:val="auto"/>
        </w:rPr>
        <w:t>visit</w:t>
      </w:r>
      <w:r w:rsidR="009F5B5D" w:rsidRPr="00CE5E88">
        <w:rPr>
          <w:color w:val="auto"/>
        </w:rPr>
        <w:t xml:space="preserve"> </w:t>
      </w:r>
      <w:r w:rsidRPr="00CE5E88">
        <w:rPr>
          <w:color w:val="auto"/>
        </w:rPr>
        <w:t>an authorised health professional to determine whether they meet the eligibility criteria for the device. Authorised health professionals include endocrinologists, certified diabetes educators and other health professionals specialising in diabetes (physicians, paediatricians or nurse practitioners) (PSD</w:t>
      </w:r>
      <w:r w:rsidR="006B356D" w:rsidRPr="00755BD7">
        <w:rPr>
          <w:color w:val="auto"/>
        </w:rPr>
        <w:t xml:space="preserve"> for ADAR 1785</w:t>
      </w:r>
      <w:r w:rsidRPr="00CE5E88">
        <w:rPr>
          <w:color w:val="auto"/>
        </w:rPr>
        <w:t>, p. 12)</w:t>
      </w:r>
      <w:r w:rsidR="00B643D4">
        <w:rPr>
          <w:color w:val="auto"/>
        </w:rPr>
        <w:t>.</w:t>
      </w:r>
    </w:p>
    <w:p w14:paraId="70F647D1" w14:textId="0B2B9FDD" w:rsidR="00CE5E88" w:rsidRPr="00724B37" w:rsidRDefault="00CE5E88" w:rsidP="00CE5E88">
      <w:pPr>
        <w:pStyle w:val="Instructionaltext"/>
        <w:keepNext/>
        <w:tabs>
          <w:tab w:val="left" w:pos="2172"/>
        </w:tabs>
        <w:rPr>
          <w:color w:val="auto"/>
        </w:rPr>
      </w:pPr>
      <w:r w:rsidRPr="00CE5E88">
        <w:rPr>
          <w:color w:val="auto"/>
        </w:rPr>
        <w:t>The</w:t>
      </w:r>
      <w:r>
        <w:rPr>
          <w:color w:val="auto"/>
        </w:rPr>
        <w:t xml:space="preserve"> original</w:t>
      </w:r>
      <w:r w:rsidRPr="00CE5E88">
        <w:rPr>
          <w:color w:val="auto"/>
        </w:rPr>
        <w:t xml:space="preserve"> ADAR noted that patients in the existing and proposed treatment pathways will be managed in very similar ways. For example, </w:t>
      </w:r>
      <w:r w:rsidR="009F5B5D">
        <w:rPr>
          <w:color w:val="auto"/>
        </w:rPr>
        <w:t xml:space="preserve">the </w:t>
      </w:r>
      <w:r w:rsidRPr="00CE5E88">
        <w:rPr>
          <w:color w:val="auto"/>
        </w:rPr>
        <w:t xml:space="preserve">Dexcom ONE+ </w:t>
      </w:r>
      <w:r w:rsidR="00F363E1">
        <w:rPr>
          <w:color w:val="auto"/>
        </w:rPr>
        <w:t xml:space="preserve">CGM </w:t>
      </w:r>
      <w:r w:rsidR="009F5B5D">
        <w:rPr>
          <w:color w:val="auto"/>
        </w:rPr>
        <w:t>s</w:t>
      </w:r>
      <w:r w:rsidR="00F363E1">
        <w:rPr>
          <w:color w:val="auto"/>
        </w:rPr>
        <w:t xml:space="preserve">ystem </w:t>
      </w:r>
      <w:r w:rsidRPr="00CE5E88">
        <w:rPr>
          <w:color w:val="auto"/>
        </w:rPr>
        <w:t xml:space="preserve">will similarly be used in conjunction with oral and injectable medications and/or basal </w:t>
      </w:r>
      <w:r w:rsidR="00D12F2B">
        <w:rPr>
          <w:color w:val="auto"/>
        </w:rPr>
        <w:t xml:space="preserve">and </w:t>
      </w:r>
      <w:r w:rsidRPr="00CE5E88">
        <w:rPr>
          <w:color w:val="auto"/>
        </w:rPr>
        <w:t>rapid-acting insulin, suggesting that this will displace</w:t>
      </w:r>
      <w:r w:rsidRPr="00CE5E88">
        <w:rPr>
          <w:rFonts w:cs="Franklin Gothic Book"/>
          <w:color w:val="000000"/>
        </w:rPr>
        <w:t xml:space="preserve"> </w:t>
      </w:r>
      <w:r w:rsidRPr="00CE5E88">
        <w:rPr>
          <w:color w:val="auto"/>
        </w:rPr>
        <w:t xml:space="preserve">the need for routine SMBG. People using Dexcom ONE+ </w:t>
      </w:r>
      <w:r w:rsidR="00F363E1">
        <w:rPr>
          <w:color w:val="auto"/>
        </w:rPr>
        <w:t xml:space="preserve">CGM </w:t>
      </w:r>
      <w:r w:rsidRPr="00CE5E88">
        <w:rPr>
          <w:color w:val="auto"/>
        </w:rPr>
        <w:t>will</w:t>
      </w:r>
      <w:r w:rsidRPr="00CE5E88" w:rsidDel="009F5B5D">
        <w:rPr>
          <w:color w:val="auto"/>
        </w:rPr>
        <w:t xml:space="preserve"> </w:t>
      </w:r>
      <w:r w:rsidRPr="00CE5E88">
        <w:rPr>
          <w:color w:val="auto"/>
        </w:rPr>
        <w:t>still need to be assessed by a GP or diabetes educator at least every 3 months.</w:t>
      </w:r>
    </w:p>
    <w:p w14:paraId="73011ED8" w14:textId="223EDE63" w:rsidR="009D620F" w:rsidRPr="009D620F" w:rsidRDefault="00CE5E88" w:rsidP="009D620F">
      <w:pPr>
        <w:pStyle w:val="Instructionaltext"/>
        <w:keepNext/>
        <w:tabs>
          <w:tab w:val="left" w:pos="2172"/>
        </w:tabs>
        <w:rPr>
          <w:color w:val="auto"/>
        </w:rPr>
      </w:pPr>
      <w:r>
        <w:rPr>
          <w:color w:val="auto"/>
        </w:rPr>
        <w:t xml:space="preserve">In reviewing the </w:t>
      </w:r>
      <w:r w:rsidR="00DD2A8B">
        <w:rPr>
          <w:color w:val="auto"/>
        </w:rPr>
        <w:t xml:space="preserve">original </w:t>
      </w:r>
      <w:r w:rsidR="00517DF2">
        <w:rPr>
          <w:color w:val="auto"/>
        </w:rPr>
        <w:t>ADAR</w:t>
      </w:r>
      <w:r>
        <w:rPr>
          <w:color w:val="auto"/>
        </w:rPr>
        <w:t xml:space="preserve">, </w:t>
      </w:r>
      <w:r w:rsidR="009D620F" w:rsidRPr="009D620F">
        <w:rPr>
          <w:color w:val="auto"/>
        </w:rPr>
        <w:t>MSAC noted the history of funding under the NDSS for people with T1D in Australia. Funding was initially available</w:t>
      </w:r>
      <w:r w:rsidR="002E602B" w:rsidDel="000C02FE">
        <w:rPr>
          <w:color w:val="auto"/>
        </w:rPr>
        <w:t xml:space="preserve"> </w:t>
      </w:r>
      <w:r w:rsidR="000C02FE">
        <w:rPr>
          <w:color w:val="auto"/>
        </w:rPr>
        <w:t xml:space="preserve">from </w:t>
      </w:r>
      <w:r w:rsidR="00AA49AF">
        <w:rPr>
          <w:color w:val="auto"/>
        </w:rPr>
        <w:t xml:space="preserve">April </w:t>
      </w:r>
      <w:r w:rsidR="00175E45">
        <w:rPr>
          <w:color w:val="auto"/>
        </w:rPr>
        <w:t>20</w:t>
      </w:r>
      <w:r w:rsidR="002E602B">
        <w:rPr>
          <w:color w:val="auto"/>
        </w:rPr>
        <w:t xml:space="preserve">17 </w:t>
      </w:r>
      <w:r w:rsidR="009D620F" w:rsidRPr="009D620F">
        <w:rPr>
          <w:color w:val="auto"/>
        </w:rPr>
        <w:t xml:space="preserve">to people </w:t>
      </w:r>
      <w:r w:rsidR="00923ECD">
        <w:rPr>
          <w:color w:val="auto"/>
        </w:rPr>
        <w:t xml:space="preserve">under 21 years of age </w:t>
      </w:r>
      <w:r w:rsidR="009D620F" w:rsidRPr="009D620F">
        <w:rPr>
          <w:color w:val="auto"/>
        </w:rPr>
        <w:t xml:space="preserve">with T1D, with access expanded in 2019 and 2022. </w:t>
      </w:r>
      <w:r w:rsidR="009F5B5D">
        <w:rPr>
          <w:color w:val="auto"/>
        </w:rPr>
        <w:t>T</w:t>
      </w:r>
      <w:r w:rsidR="009D620F" w:rsidRPr="009D620F">
        <w:rPr>
          <w:color w:val="auto"/>
        </w:rPr>
        <w:t xml:space="preserve">here is a co-payment (equivalent to </w:t>
      </w:r>
      <w:r w:rsidR="009F5B5D">
        <w:rPr>
          <w:color w:val="auto"/>
        </w:rPr>
        <w:t>approximately</w:t>
      </w:r>
      <w:r w:rsidR="009F5B5D" w:rsidRPr="009D620F">
        <w:rPr>
          <w:color w:val="auto"/>
        </w:rPr>
        <w:t xml:space="preserve"> </w:t>
      </w:r>
      <w:r w:rsidR="009D620F" w:rsidRPr="009D620F">
        <w:rPr>
          <w:color w:val="auto"/>
        </w:rPr>
        <w:t>$35.90 per month)</w:t>
      </w:r>
      <w:r w:rsidR="009F5B5D" w:rsidRPr="009F5B5D">
        <w:rPr>
          <w:color w:val="auto"/>
        </w:rPr>
        <w:t xml:space="preserve"> </w:t>
      </w:r>
      <w:r w:rsidR="009F5B5D">
        <w:rPr>
          <w:color w:val="auto"/>
        </w:rPr>
        <w:t>f</w:t>
      </w:r>
      <w:r w:rsidR="009F5B5D" w:rsidRPr="009D620F">
        <w:rPr>
          <w:color w:val="auto"/>
        </w:rPr>
        <w:t>or some groups</w:t>
      </w:r>
      <w:r w:rsidR="009D620F" w:rsidRPr="009D620F">
        <w:rPr>
          <w:color w:val="auto"/>
        </w:rPr>
        <w:t xml:space="preserve">. MSAC noted that NDSS funding is not currently available for CGM for people with T2D </w:t>
      </w:r>
      <w:r w:rsidR="00755BD7" w:rsidRPr="00755BD7">
        <w:rPr>
          <w:color w:val="auto"/>
        </w:rPr>
        <w:t xml:space="preserve">(PSD for ADAR 1785, </w:t>
      </w:r>
      <w:r w:rsidR="009F5B5D">
        <w:rPr>
          <w:color w:val="auto"/>
        </w:rPr>
        <w:t>p.</w:t>
      </w:r>
      <w:r w:rsidR="003D5734">
        <w:rPr>
          <w:color w:val="auto"/>
        </w:rPr>
        <w:t xml:space="preserve"> </w:t>
      </w:r>
      <w:r w:rsidR="00755BD7" w:rsidRPr="00755BD7">
        <w:rPr>
          <w:color w:val="auto"/>
        </w:rPr>
        <w:t>4).</w:t>
      </w:r>
    </w:p>
    <w:p w14:paraId="68A0098D" w14:textId="26853AF8" w:rsidR="00D57790" w:rsidRDefault="009D620F" w:rsidP="009D620F">
      <w:pPr>
        <w:pStyle w:val="Instructionaltext"/>
        <w:keepNext/>
        <w:tabs>
          <w:tab w:val="left" w:pos="2172"/>
        </w:tabs>
        <w:rPr>
          <w:color w:val="auto"/>
        </w:rPr>
      </w:pPr>
      <w:r w:rsidRPr="00724B37">
        <w:rPr>
          <w:color w:val="auto"/>
        </w:rPr>
        <w:t xml:space="preserve">MSAC noted that the NDSS currently funds CGM products from </w:t>
      </w:r>
      <w:r w:rsidR="009F5B5D">
        <w:rPr>
          <w:color w:val="auto"/>
        </w:rPr>
        <w:t>3</w:t>
      </w:r>
      <w:r w:rsidR="009F5B5D" w:rsidRPr="00724B37">
        <w:rPr>
          <w:color w:val="auto"/>
        </w:rPr>
        <w:t xml:space="preserve"> </w:t>
      </w:r>
      <w:r w:rsidRPr="00724B37">
        <w:rPr>
          <w:color w:val="auto"/>
        </w:rPr>
        <w:t xml:space="preserve">manufacturers, </w:t>
      </w:r>
      <w:r w:rsidR="009F5B5D">
        <w:rPr>
          <w:color w:val="auto"/>
        </w:rPr>
        <w:t>2</w:t>
      </w:r>
      <w:r w:rsidR="009F5B5D" w:rsidRPr="00724B37">
        <w:rPr>
          <w:color w:val="auto"/>
        </w:rPr>
        <w:t xml:space="preserve"> </w:t>
      </w:r>
      <w:r w:rsidRPr="00724B37">
        <w:rPr>
          <w:color w:val="auto"/>
        </w:rPr>
        <w:t xml:space="preserve">of </w:t>
      </w:r>
      <w:r w:rsidR="009F5B5D">
        <w:rPr>
          <w:color w:val="auto"/>
        </w:rPr>
        <w:t>whom</w:t>
      </w:r>
      <w:r w:rsidR="0025717A" w:rsidRPr="00724B37" w:rsidDel="009F5B5D">
        <w:rPr>
          <w:color w:val="auto"/>
        </w:rPr>
        <w:t xml:space="preserve"> </w:t>
      </w:r>
      <w:r w:rsidRPr="00724B37">
        <w:rPr>
          <w:color w:val="auto"/>
        </w:rPr>
        <w:t xml:space="preserve">submitted applications for consideration at the July 2025 meeting. MSAC Application 1786 </w:t>
      </w:r>
      <w:r w:rsidR="0025717A" w:rsidRPr="00724B37">
        <w:rPr>
          <w:color w:val="auto"/>
        </w:rPr>
        <w:t>s</w:t>
      </w:r>
      <w:r w:rsidR="0025717A">
        <w:rPr>
          <w:color w:val="auto"/>
        </w:rPr>
        <w:t>ought</w:t>
      </w:r>
      <w:r w:rsidR="0025717A" w:rsidRPr="00724B37">
        <w:rPr>
          <w:color w:val="auto"/>
        </w:rPr>
        <w:t xml:space="preserve"> </w:t>
      </w:r>
      <w:r w:rsidRPr="00724B37">
        <w:rPr>
          <w:color w:val="auto"/>
        </w:rPr>
        <w:t xml:space="preserve">funding for the FSL2 CGM </w:t>
      </w:r>
      <w:r w:rsidR="009F5B5D">
        <w:rPr>
          <w:color w:val="auto"/>
        </w:rPr>
        <w:t>s</w:t>
      </w:r>
      <w:r w:rsidRPr="00724B37">
        <w:rPr>
          <w:color w:val="auto"/>
        </w:rPr>
        <w:t>ystem</w:t>
      </w:r>
      <w:r w:rsidR="00724B37" w:rsidRPr="00724B37">
        <w:rPr>
          <w:color w:val="auto"/>
        </w:rPr>
        <w:t xml:space="preserve"> (PSD for ADAR 1785, </w:t>
      </w:r>
      <w:r w:rsidR="009F5B5D">
        <w:rPr>
          <w:color w:val="auto"/>
        </w:rPr>
        <w:t>p.</w:t>
      </w:r>
      <w:r w:rsidR="003D5734">
        <w:rPr>
          <w:color w:val="auto"/>
        </w:rPr>
        <w:t xml:space="preserve"> </w:t>
      </w:r>
      <w:r w:rsidR="00724B37" w:rsidRPr="00724B37">
        <w:rPr>
          <w:color w:val="auto"/>
        </w:rPr>
        <w:t>4).</w:t>
      </w:r>
    </w:p>
    <w:p w14:paraId="5A84202E" w14:textId="310FF746" w:rsidR="003531D8" w:rsidRPr="0098183E" w:rsidRDefault="00BF5350" w:rsidP="009D620F">
      <w:pPr>
        <w:pStyle w:val="Instructionaltext"/>
        <w:keepNext/>
        <w:tabs>
          <w:tab w:val="left" w:pos="2172"/>
        </w:tabs>
        <w:rPr>
          <w:color w:val="auto"/>
        </w:rPr>
      </w:pPr>
      <w:r>
        <w:rPr>
          <w:color w:val="auto"/>
        </w:rPr>
        <w:t>I</w:t>
      </w:r>
      <w:r w:rsidR="003531D8">
        <w:rPr>
          <w:color w:val="auto"/>
        </w:rPr>
        <w:t xml:space="preserve">n the PSD for </w:t>
      </w:r>
      <w:r w:rsidR="00464843">
        <w:rPr>
          <w:color w:val="auto"/>
        </w:rPr>
        <w:t>the original</w:t>
      </w:r>
      <w:r w:rsidR="003531D8">
        <w:rPr>
          <w:color w:val="auto"/>
        </w:rPr>
        <w:t xml:space="preserve"> ADAR, </w:t>
      </w:r>
      <w:r>
        <w:rPr>
          <w:color w:val="auto"/>
        </w:rPr>
        <w:t xml:space="preserve">MSAC advised </w:t>
      </w:r>
      <w:r w:rsidR="003531D8" w:rsidRPr="003531D8">
        <w:rPr>
          <w:color w:val="auto"/>
        </w:rPr>
        <w:t xml:space="preserve">that if CGM for any of the identified populations is supported in future, co-payment arrangements for these populations should align with existing co-payments for people with </w:t>
      </w:r>
      <w:r w:rsidR="000617AE">
        <w:rPr>
          <w:color w:val="auto"/>
        </w:rPr>
        <w:t>T1D</w:t>
      </w:r>
      <w:r w:rsidR="003531D8" w:rsidRPr="003531D8">
        <w:rPr>
          <w:color w:val="auto"/>
        </w:rPr>
        <w:t xml:space="preserve">, to ensure equity of access. </w:t>
      </w:r>
      <w:r w:rsidR="009F5B5D">
        <w:rPr>
          <w:color w:val="auto"/>
        </w:rPr>
        <w:t>B</w:t>
      </w:r>
      <w:r w:rsidR="003531D8" w:rsidRPr="003531D8">
        <w:rPr>
          <w:color w:val="auto"/>
        </w:rPr>
        <w:t xml:space="preserve">ased on the evidence presented, </w:t>
      </w:r>
      <w:r w:rsidR="009F5B5D" w:rsidRPr="003531D8">
        <w:rPr>
          <w:color w:val="auto"/>
        </w:rPr>
        <w:t xml:space="preserve">MSAC considered that </w:t>
      </w:r>
      <w:r w:rsidR="003531D8" w:rsidRPr="003531D8">
        <w:rPr>
          <w:color w:val="auto"/>
        </w:rPr>
        <w:t xml:space="preserve">different CGM systems with similar features were likely to be equivalent and </w:t>
      </w:r>
      <w:r w:rsidR="00F95928">
        <w:rPr>
          <w:color w:val="auto"/>
        </w:rPr>
        <w:t>unlikely to</w:t>
      </w:r>
      <w:r w:rsidR="003531D8" w:rsidRPr="003531D8">
        <w:rPr>
          <w:color w:val="auto"/>
        </w:rPr>
        <w:t xml:space="preserve"> yield differences in magnitude or type of benefit. MSAC</w:t>
      </w:r>
      <w:r w:rsidR="003531D8" w:rsidRPr="003531D8" w:rsidDel="009F5B5D">
        <w:rPr>
          <w:color w:val="auto"/>
        </w:rPr>
        <w:t xml:space="preserve"> </w:t>
      </w:r>
      <w:r w:rsidR="009F5B5D">
        <w:rPr>
          <w:color w:val="auto"/>
        </w:rPr>
        <w:t>thus</w:t>
      </w:r>
      <w:r w:rsidR="009F5B5D" w:rsidRPr="003531D8">
        <w:rPr>
          <w:color w:val="auto"/>
        </w:rPr>
        <w:t xml:space="preserve"> </w:t>
      </w:r>
      <w:r w:rsidR="003531D8" w:rsidRPr="003531D8">
        <w:rPr>
          <w:color w:val="auto"/>
        </w:rPr>
        <w:t>considered</w:t>
      </w:r>
      <w:r w:rsidR="00D30D00">
        <w:rPr>
          <w:color w:val="auto"/>
        </w:rPr>
        <w:t xml:space="preserve"> that</w:t>
      </w:r>
      <w:r w:rsidR="009F5B5D">
        <w:rPr>
          <w:color w:val="auto"/>
        </w:rPr>
        <w:t>,</w:t>
      </w:r>
      <w:r w:rsidR="00D30D00">
        <w:rPr>
          <w:color w:val="auto"/>
        </w:rPr>
        <w:t xml:space="preserve"> if funding is supported,</w:t>
      </w:r>
      <w:r w:rsidR="003531D8" w:rsidRPr="003531D8">
        <w:rPr>
          <w:color w:val="auto"/>
        </w:rPr>
        <w:t xml:space="preserve"> it </w:t>
      </w:r>
      <w:r w:rsidR="00D30D00">
        <w:rPr>
          <w:color w:val="auto"/>
        </w:rPr>
        <w:t xml:space="preserve">would be </w:t>
      </w:r>
      <w:r w:rsidR="003531D8" w:rsidRPr="003531D8">
        <w:rPr>
          <w:color w:val="auto"/>
        </w:rPr>
        <w:t>appropriate to fund different brands of CGM systems with comparable functionality in a device</w:t>
      </w:r>
      <w:r w:rsidR="00917995">
        <w:rPr>
          <w:color w:val="auto"/>
        </w:rPr>
        <w:t>-</w:t>
      </w:r>
      <w:r w:rsidR="003531D8" w:rsidRPr="003531D8">
        <w:rPr>
          <w:color w:val="auto"/>
        </w:rPr>
        <w:t>agnostic manner</w:t>
      </w:r>
      <w:r w:rsidR="00917995">
        <w:rPr>
          <w:color w:val="auto"/>
        </w:rPr>
        <w:t>,</w:t>
      </w:r>
      <w:r w:rsidR="003531D8" w:rsidRPr="003531D8">
        <w:rPr>
          <w:color w:val="auto"/>
        </w:rPr>
        <w:t xml:space="preserve"> not</w:t>
      </w:r>
      <w:r w:rsidR="00917995">
        <w:rPr>
          <w:color w:val="auto"/>
        </w:rPr>
        <w:t>ing</w:t>
      </w:r>
      <w:r w:rsidR="003531D8" w:rsidRPr="003531D8">
        <w:rPr>
          <w:color w:val="auto"/>
        </w:rPr>
        <w:t xml:space="preserve"> that further consideration should be given as to whether devices with specific features should be considered equivalent</w:t>
      </w:r>
      <w:r w:rsidR="009E15A8">
        <w:rPr>
          <w:color w:val="auto"/>
        </w:rPr>
        <w:t xml:space="preserve"> </w:t>
      </w:r>
      <w:r w:rsidR="003531D8">
        <w:rPr>
          <w:color w:val="auto"/>
        </w:rPr>
        <w:t xml:space="preserve">(PSD for ADAR 1785, </w:t>
      </w:r>
      <w:r w:rsidR="009F5B5D">
        <w:rPr>
          <w:color w:val="auto"/>
        </w:rPr>
        <w:t>p.</w:t>
      </w:r>
      <w:r w:rsidR="003531D8">
        <w:rPr>
          <w:color w:val="auto"/>
        </w:rPr>
        <w:t xml:space="preserve"> </w:t>
      </w:r>
      <w:r w:rsidR="003E6910">
        <w:rPr>
          <w:color w:val="auto"/>
        </w:rPr>
        <w:t>10)</w:t>
      </w:r>
      <w:r w:rsidR="009E15A8">
        <w:rPr>
          <w:color w:val="auto"/>
        </w:rPr>
        <w:t>.</w:t>
      </w:r>
    </w:p>
    <w:p w14:paraId="34E0B08F" w14:textId="19931F31" w:rsidR="00772829" w:rsidRPr="00CE28E3" w:rsidRDefault="00772829" w:rsidP="00670C60">
      <w:pPr>
        <w:pStyle w:val="Heading2"/>
        <w:numPr>
          <w:ilvl w:val="0"/>
          <w:numId w:val="32"/>
        </w:numPr>
        <w:ind w:hanging="720"/>
      </w:pPr>
      <w:bookmarkStart w:id="20" w:name="_Toc69491419"/>
      <w:r w:rsidRPr="00CE28E3">
        <w:t>Population</w:t>
      </w:r>
      <w:bookmarkEnd w:id="20"/>
      <w:r w:rsidRPr="00CE28E3">
        <w:t xml:space="preserve"> </w:t>
      </w:r>
    </w:p>
    <w:p w14:paraId="6846E5C4" w14:textId="1AE9401A" w:rsidR="0002591B" w:rsidRDefault="00AA5F65" w:rsidP="0054768F">
      <w:r>
        <w:t>In the ADAR resubmission, there is one PICO set with 3 subpopulations</w:t>
      </w:r>
      <w:r w:rsidRPr="00A3565B">
        <w:t xml:space="preserve"> </w:t>
      </w:r>
      <w:r w:rsidR="00F1548F">
        <w:t>(</w:t>
      </w:r>
      <w:r w:rsidR="00426673">
        <w:fldChar w:fldCharType="begin"/>
      </w:r>
      <w:r w:rsidR="00426673">
        <w:instrText xml:space="preserve"> REF _Ref226715858 \h  \* MERGEFORMAT </w:instrText>
      </w:r>
      <w:r w:rsidR="00426673">
        <w:fldChar w:fldCharType="separate"/>
      </w:r>
      <w:r w:rsidR="0098516D" w:rsidRPr="00426673">
        <w:t xml:space="preserve">Table </w:t>
      </w:r>
      <w:r w:rsidR="0098516D">
        <w:t>6</w:t>
      </w:r>
      <w:r w:rsidR="00426673">
        <w:fldChar w:fldCharType="end"/>
      </w:r>
      <w:r w:rsidR="00F1548F">
        <w:t>)</w:t>
      </w:r>
      <w:r w:rsidR="00426673">
        <w:t>.</w:t>
      </w:r>
    </w:p>
    <w:p w14:paraId="6FCA5199" w14:textId="72769831" w:rsidR="0014326A" w:rsidRDefault="0002591B" w:rsidP="00253FED">
      <w:r>
        <w:t xml:space="preserve">There are two differences between the </w:t>
      </w:r>
      <w:r w:rsidR="00B44DBD">
        <w:t xml:space="preserve">PICO </w:t>
      </w:r>
      <w:r w:rsidR="00AA5F65">
        <w:t>of</w:t>
      </w:r>
      <w:r w:rsidR="00B44DBD">
        <w:t xml:space="preserve"> the </w:t>
      </w:r>
      <w:r w:rsidR="00B62B67">
        <w:t xml:space="preserve">original </w:t>
      </w:r>
      <w:r w:rsidR="001061DA">
        <w:t>ADAR</w:t>
      </w:r>
      <w:r w:rsidR="00B62B67">
        <w:t xml:space="preserve"> </w:t>
      </w:r>
      <w:r w:rsidR="00BA449F">
        <w:t xml:space="preserve">and </w:t>
      </w:r>
      <w:r w:rsidR="000D6A63">
        <w:t xml:space="preserve">that </w:t>
      </w:r>
      <w:r w:rsidR="00631C7B">
        <w:t>of</w:t>
      </w:r>
      <w:r w:rsidR="0095091C">
        <w:t xml:space="preserve"> the </w:t>
      </w:r>
      <w:r w:rsidR="002B6634">
        <w:t xml:space="preserve">resubmitted </w:t>
      </w:r>
      <w:r w:rsidR="000C7483">
        <w:t>ADAR</w:t>
      </w:r>
      <w:r w:rsidR="00932B41">
        <w:t>.</w:t>
      </w:r>
      <w:r w:rsidR="003A6461">
        <w:t xml:space="preserve"> </w:t>
      </w:r>
      <w:r w:rsidR="0046495F">
        <w:t>T</w:t>
      </w:r>
      <w:r w:rsidR="00CA2938">
        <w:t>he</w:t>
      </w:r>
      <w:r w:rsidR="00932B41">
        <w:t xml:space="preserve"> first relates to the population </w:t>
      </w:r>
      <w:r w:rsidR="006329E8">
        <w:t>component</w:t>
      </w:r>
      <w:r w:rsidR="00265B32">
        <w:t>: t</w:t>
      </w:r>
      <w:r>
        <w:t xml:space="preserve">he updated PICO </w:t>
      </w:r>
      <w:r w:rsidR="0014326A">
        <w:t>include</w:t>
      </w:r>
      <w:r w:rsidR="007D6A80">
        <w:t>s</w:t>
      </w:r>
      <w:r w:rsidR="00B90D7D">
        <w:t xml:space="preserve"> </w:t>
      </w:r>
      <w:r w:rsidR="00265B32">
        <w:t xml:space="preserve">an </w:t>
      </w:r>
      <w:r w:rsidR="00BC5708">
        <w:t xml:space="preserve">additional </w:t>
      </w:r>
      <w:r w:rsidR="00BC5708" w:rsidDel="00265B32">
        <w:t>subpopulation</w:t>
      </w:r>
      <w:r w:rsidR="006F5791" w:rsidDel="003A6461">
        <w:t xml:space="preserve">, </w:t>
      </w:r>
      <w:r w:rsidR="00BC5708" w:rsidDel="003A6461">
        <w:t xml:space="preserve">which </w:t>
      </w:r>
      <w:r w:rsidR="00B90D7D" w:rsidDel="003A6461">
        <w:t>is</w:t>
      </w:r>
      <w:r w:rsidR="00B90D7D" w:rsidDel="00265B32">
        <w:t xml:space="preserve"> the </w:t>
      </w:r>
      <w:r w:rsidR="00B90D7D">
        <w:t>insulin</w:t>
      </w:r>
      <w:r w:rsidR="003435F9">
        <w:t>-</w:t>
      </w:r>
      <w:r w:rsidR="00B90D7D">
        <w:t xml:space="preserve">dependent </w:t>
      </w:r>
      <w:r w:rsidR="00D509AD">
        <w:t>First</w:t>
      </w:r>
      <w:r w:rsidR="003435F9">
        <w:t xml:space="preserve"> </w:t>
      </w:r>
      <w:r w:rsidR="00D509AD">
        <w:t>Nations</w:t>
      </w:r>
      <w:r w:rsidR="00B90D7D">
        <w:t xml:space="preserve"> subpopulation</w:t>
      </w:r>
      <w:r w:rsidR="00BC5708">
        <w:t>.</w:t>
      </w:r>
      <w:r w:rsidR="00265B32">
        <w:t xml:space="preserve"> </w:t>
      </w:r>
      <w:r w:rsidR="0014326A">
        <w:t xml:space="preserve">The second </w:t>
      </w:r>
      <w:r w:rsidR="00265B32">
        <w:t>relates to</w:t>
      </w:r>
      <w:r w:rsidR="006329E8">
        <w:t xml:space="preserve"> the </w:t>
      </w:r>
      <w:r w:rsidR="0014326A">
        <w:t xml:space="preserve">outcomes </w:t>
      </w:r>
      <w:r w:rsidR="006329E8">
        <w:t>component</w:t>
      </w:r>
      <w:r w:rsidR="00265B32">
        <w:t>:</w:t>
      </w:r>
      <w:r w:rsidR="0014326A">
        <w:t xml:space="preserve"> </w:t>
      </w:r>
      <w:r w:rsidR="009301F6">
        <w:t xml:space="preserve">unlike in the original ADAR, where a range of patient relevant outcomes were specified, </w:t>
      </w:r>
      <w:r w:rsidR="00A250DF">
        <w:t>‘patient relevant outcomes’</w:t>
      </w:r>
      <w:r w:rsidR="004772A4">
        <w:t xml:space="preserve"> </w:t>
      </w:r>
      <w:r w:rsidR="003E34D7">
        <w:t xml:space="preserve">for </w:t>
      </w:r>
      <w:r w:rsidR="002D3FCD">
        <w:t>assessment</w:t>
      </w:r>
      <w:r w:rsidR="00A250DF">
        <w:t xml:space="preserve"> </w:t>
      </w:r>
      <w:r w:rsidR="004772A4">
        <w:t xml:space="preserve">are not </w:t>
      </w:r>
      <w:r w:rsidR="002D3FCD">
        <w:t>specified</w:t>
      </w:r>
      <w:r w:rsidR="001732D1">
        <w:t xml:space="preserve"> in the resubmission</w:t>
      </w:r>
      <w:r w:rsidR="002D3FCD">
        <w:t>.</w:t>
      </w:r>
      <w:r w:rsidR="002D3FCD" w:rsidDel="009301F6">
        <w:t xml:space="preserve"> </w:t>
      </w:r>
    </w:p>
    <w:p w14:paraId="589E4CD1" w14:textId="60C33095" w:rsidR="00841806" w:rsidRPr="00841806" w:rsidRDefault="00404FB2" w:rsidP="000E2889">
      <w:r>
        <w:lastRenderedPageBreak/>
        <w:t>Considering the scope of the clinical claim</w:t>
      </w:r>
      <w:r w:rsidR="00A17DBE">
        <w:t xml:space="preserve"> in the </w:t>
      </w:r>
      <w:r w:rsidR="00BD7027">
        <w:t>ADAR resubmission</w:t>
      </w:r>
      <w:r w:rsidR="005F7C0E">
        <w:t xml:space="preserve"> (</w:t>
      </w:r>
      <w:r w:rsidR="00B25407" w:rsidRPr="004F567E">
        <w:t>S</w:t>
      </w:r>
      <w:r w:rsidR="005F7C0E" w:rsidRPr="004F567E">
        <w:t>ection 9</w:t>
      </w:r>
      <w:r w:rsidR="005F7C0E">
        <w:t>), it is important to highlight the s</w:t>
      </w:r>
      <w:r w:rsidR="00841806" w:rsidRPr="00841806">
        <w:t>ystematic review question</w:t>
      </w:r>
      <w:r w:rsidR="005F7C0E">
        <w:t xml:space="preserve"> </w:t>
      </w:r>
      <w:r w:rsidR="00C92F23">
        <w:t xml:space="preserve">in the PICO </w:t>
      </w:r>
      <w:r w:rsidR="00B05636">
        <w:t>(</w:t>
      </w:r>
      <w:r w:rsidR="00EB6ABB">
        <w:fldChar w:fldCharType="begin"/>
      </w:r>
      <w:r w:rsidR="00EB6ABB">
        <w:instrText xml:space="preserve"> REF _Ref226715858 \h  \* MERGEFORMAT </w:instrText>
      </w:r>
      <w:r w:rsidR="00EB6ABB">
        <w:fldChar w:fldCharType="separate"/>
      </w:r>
      <w:r w:rsidR="0098516D" w:rsidRPr="00426673">
        <w:t xml:space="preserve">Table </w:t>
      </w:r>
      <w:r w:rsidR="0098516D">
        <w:t>6</w:t>
      </w:r>
      <w:r w:rsidR="00EB6ABB">
        <w:fldChar w:fldCharType="end"/>
      </w:r>
      <w:r w:rsidR="00B05636">
        <w:t xml:space="preserve">): </w:t>
      </w:r>
    </w:p>
    <w:p w14:paraId="4E26AFB2" w14:textId="4BF5DE05" w:rsidR="00841806" w:rsidRPr="00B05636" w:rsidRDefault="00841806" w:rsidP="00841806">
      <w:pPr>
        <w:pStyle w:val="Instructionaltext"/>
        <w:rPr>
          <w:i/>
          <w:iCs/>
          <w:color w:val="auto"/>
        </w:rPr>
      </w:pPr>
      <w:r w:rsidRPr="00B05636">
        <w:rPr>
          <w:i/>
          <w:iCs/>
          <w:color w:val="auto"/>
        </w:rPr>
        <w:t>What is the safety, effectiveness and cost-effectiveness of the Dexcom ONE+ CGM system versus SMBG in people aged ≥2 years with T2D and suboptimal glycaemic control who require insulin therapy?</w:t>
      </w:r>
    </w:p>
    <w:p w14:paraId="378488BA" w14:textId="69DD9EE7" w:rsidR="00CA2938" w:rsidRPr="002C38C6" w:rsidRDefault="00CA2938" w:rsidP="002C38C6">
      <w:pPr>
        <w:pStyle w:val="Caption"/>
      </w:pPr>
      <w:bookmarkStart w:id="21" w:name="_Ref226715858"/>
      <w:r w:rsidRPr="002C38C6">
        <w:t>Table</w:t>
      </w:r>
      <w:r w:rsidR="00426673" w:rsidRPr="002C38C6">
        <w:t xml:space="preserve"> </w:t>
      </w:r>
      <w:r>
        <w:fldChar w:fldCharType="begin"/>
      </w:r>
      <w:r>
        <w:instrText>SEQ Table \* ARABIC</w:instrText>
      </w:r>
      <w:r>
        <w:fldChar w:fldCharType="separate"/>
      </w:r>
      <w:r w:rsidR="0098516D" w:rsidRPr="002C38C6">
        <w:t>6</w:t>
      </w:r>
      <w:r>
        <w:fldChar w:fldCharType="end"/>
      </w:r>
      <w:bookmarkEnd w:id="21"/>
      <w:r w:rsidR="00426673" w:rsidRPr="002C38C6">
        <w:t xml:space="preserve">: </w:t>
      </w:r>
      <w:r w:rsidRPr="002C38C6">
        <w:t xml:space="preserve">PICO criteria for assessing Dexcom ONE+ for patients with T2D </w:t>
      </w:r>
      <w:r w:rsidRPr="002C38C6" w:rsidDel="00D10AAC">
        <w:t>that have</w:t>
      </w:r>
      <w:r w:rsidRPr="002C38C6">
        <w:t xml:space="preserve"> suboptimal glycaemic control </w:t>
      </w:r>
      <w:r w:rsidRPr="002C38C6" w:rsidDel="00D10AAC">
        <w:t xml:space="preserve">on insulin therapy </w:t>
      </w:r>
      <w:r w:rsidRPr="002C38C6">
        <w:t xml:space="preserve">in </w:t>
      </w:r>
      <w:r w:rsidRPr="002C38C6" w:rsidDel="00D10AAC">
        <w:t>the</w:t>
      </w:r>
      <w:r w:rsidR="006602BE" w:rsidRPr="002C38C6">
        <w:t xml:space="preserve"> A</w:t>
      </w:r>
      <w:r w:rsidRPr="002C38C6">
        <w:t xml:space="preserve">DAR </w:t>
      </w:r>
      <w:r w:rsidR="00C30B63" w:rsidRPr="002C38C6">
        <w:t>resubmission</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2"/>
        <w:gridCol w:w="7070"/>
      </w:tblGrid>
      <w:tr w:rsidR="00C72748" w:rsidRPr="00543E9C" w14:paraId="227D9AF3" w14:textId="77777777">
        <w:trPr>
          <w:tblHeader/>
        </w:trPr>
        <w:tc>
          <w:tcPr>
            <w:tcW w:w="2002" w:type="dxa"/>
            <w:shd w:val="clear" w:color="auto" w:fill="D9D9D9" w:themeFill="background1" w:themeFillShade="D9"/>
          </w:tcPr>
          <w:p w14:paraId="48A4307A" w14:textId="77777777" w:rsidR="00543E9C" w:rsidRPr="007A4182" w:rsidRDefault="00543E9C" w:rsidP="000E2889">
            <w:pPr>
              <w:pStyle w:val="In-tableHeading"/>
            </w:pPr>
            <w:r w:rsidRPr="007A4182">
              <w:t>Component</w:t>
            </w:r>
          </w:p>
        </w:tc>
        <w:tc>
          <w:tcPr>
            <w:tcW w:w="7070" w:type="dxa"/>
            <w:shd w:val="clear" w:color="auto" w:fill="D9D9D9" w:themeFill="background1" w:themeFillShade="D9"/>
          </w:tcPr>
          <w:p w14:paraId="5DE482DF" w14:textId="77777777" w:rsidR="00543E9C" w:rsidRPr="007A4182" w:rsidRDefault="00543E9C" w:rsidP="000E2889">
            <w:pPr>
              <w:pStyle w:val="In-tableHeading"/>
            </w:pPr>
            <w:r w:rsidRPr="007A4182">
              <w:t>Description</w:t>
            </w:r>
          </w:p>
        </w:tc>
      </w:tr>
      <w:tr w:rsidR="009F7595" w:rsidRPr="00543E9C" w14:paraId="6D86419A" w14:textId="77777777">
        <w:tc>
          <w:tcPr>
            <w:tcW w:w="2002" w:type="dxa"/>
          </w:tcPr>
          <w:p w14:paraId="47AE325F" w14:textId="77777777" w:rsidR="00543E9C" w:rsidRPr="007A4182" w:rsidRDefault="00543E9C" w:rsidP="000E2889">
            <w:pPr>
              <w:pStyle w:val="Tabletext0"/>
            </w:pPr>
            <w:r w:rsidRPr="007A4182">
              <w:t>Population</w:t>
            </w:r>
          </w:p>
        </w:tc>
        <w:tc>
          <w:tcPr>
            <w:tcW w:w="7070" w:type="dxa"/>
          </w:tcPr>
          <w:p w14:paraId="00CF350A" w14:textId="7F3EBFAD" w:rsidR="00543E9C" w:rsidRPr="007A4182" w:rsidRDefault="00543E9C" w:rsidP="000E2889">
            <w:pPr>
              <w:pStyle w:val="Tabletext0"/>
            </w:pPr>
            <w:r w:rsidRPr="007A4182" w:rsidDel="00E7024B">
              <w:t>The s</w:t>
            </w:r>
            <w:r w:rsidRPr="007A4182" w:rsidDel="007911D3">
              <w:t xml:space="preserve">ubpopulations </w:t>
            </w:r>
            <w:r w:rsidRPr="007A4182" w:rsidDel="00E7024B">
              <w:t xml:space="preserve">requested </w:t>
            </w:r>
            <w:r w:rsidRPr="007A4182" w:rsidDel="007911D3">
              <w:t>consist</w:t>
            </w:r>
            <w:r w:rsidRPr="007A4182" w:rsidDel="009411B1">
              <w:t>s</w:t>
            </w:r>
            <w:r w:rsidRPr="007A4182" w:rsidDel="007911D3">
              <w:t xml:space="preserve"> of p</w:t>
            </w:r>
            <w:r w:rsidRPr="007A4182">
              <w:t>atients aged ≥2 years with T2D and a suboptimal glycaemic profile defined by the following criteria:</w:t>
            </w:r>
          </w:p>
          <w:p w14:paraId="283281E6" w14:textId="254C56CC" w:rsidR="00543E9C" w:rsidRPr="007A4182" w:rsidRDefault="00543E9C" w:rsidP="000E2889">
            <w:pPr>
              <w:pStyle w:val="Tabletext0"/>
            </w:pPr>
            <w:r w:rsidRPr="007A4182">
              <w:rPr>
                <w:b/>
              </w:rPr>
              <w:t>IIT sub</w:t>
            </w:r>
            <w:r w:rsidRPr="007A4182">
              <w:rPr>
                <w:b/>
                <w:bCs/>
              </w:rPr>
              <w:t>population</w:t>
            </w:r>
            <w:r w:rsidRPr="007A4182">
              <w:t>: treated with ≥2 daily insulin injections (basal–bolus) and HbA1c levels</w:t>
            </w:r>
            <w:r w:rsidR="007911D3">
              <w:t xml:space="preserve"> </w:t>
            </w:r>
            <w:r w:rsidRPr="007A4182" w:rsidDel="007911D3">
              <w:t xml:space="preserve">of </w:t>
            </w:r>
            <w:r w:rsidRPr="007A4182">
              <w:t>&gt;7.0% for adults and &gt;6.5% for children and adolescents.</w:t>
            </w:r>
          </w:p>
          <w:p w14:paraId="34AE100D" w14:textId="77777777" w:rsidR="00543E9C" w:rsidRPr="007A4182" w:rsidRDefault="00543E9C" w:rsidP="000E2889">
            <w:pPr>
              <w:pStyle w:val="Tabletext0"/>
            </w:pPr>
            <w:r w:rsidRPr="007A4182">
              <w:rPr>
                <w:b/>
              </w:rPr>
              <w:t>non-IIT subpopulation:</w:t>
            </w:r>
            <w:r w:rsidRPr="007A4182">
              <w:t xml:space="preserve"> treated with ≥1 insulin injection (not otherwise included in the IIT subpopulation) and HbA1c levels </w:t>
            </w:r>
            <w:r w:rsidRPr="007A4182" w:rsidDel="007911D3">
              <w:t xml:space="preserve">of </w:t>
            </w:r>
            <w:r w:rsidRPr="007A4182">
              <w:t>&gt;8% or &gt;9% for adults and &gt;6.5% for children and adolescents.</w:t>
            </w:r>
          </w:p>
          <w:p w14:paraId="14AA8A3F" w14:textId="29729684" w:rsidR="00543E9C" w:rsidRPr="007A4182" w:rsidRDefault="00543E9C" w:rsidP="000E2889">
            <w:pPr>
              <w:pStyle w:val="Tabletext0"/>
            </w:pPr>
            <w:r w:rsidRPr="007A4182">
              <w:rPr>
                <w:b/>
              </w:rPr>
              <w:t>Insulin-dependent</w:t>
            </w:r>
            <w:r w:rsidRPr="007A4182">
              <w:t xml:space="preserve"> </w:t>
            </w:r>
            <w:r w:rsidRPr="007A4182">
              <w:rPr>
                <w:b/>
              </w:rPr>
              <w:t>First Nations subpopulation</w:t>
            </w:r>
            <w:r w:rsidRPr="007A4182">
              <w:t xml:space="preserve">: treated with ≥1 daily insulin injection (any regimen) and HbA1c levels </w:t>
            </w:r>
            <w:r w:rsidRPr="007A4182" w:rsidDel="007911D3">
              <w:t xml:space="preserve">of </w:t>
            </w:r>
            <w:r w:rsidRPr="007A4182">
              <w:t>&gt;7% for adults and &gt;6.5% for children and adolescents.</w:t>
            </w:r>
          </w:p>
        </w:tc>
      </w:tr>
      <w:tr w:rsidR="009F7595" w:rsidRPr="00543E9C" w14:paraId="464A439E" w14:textId="77777777">
        <w:tc>
          <w:tcPr>
            <w:tcW w:w="2002" w:type="dxa"/>
          </w:tcPr>
          <w:p w14:paraId="58E9E87F" w14:textId="574EC52C" w:rsidR="00C149EB" w:rsidRPr="006F5791" w:rsidRDefault="00C149EB" w:rsidP="00C149EB">
            <w:pPr>
              <w:pStyle w:val="Tabletext0"/>
            </w:pPr>
            <w:r w:rsidRPr="006F5791">
              <w:t>Prior tests</w:t>
            </w:r>
          </w:p>
          <w:p w14:paraId="528FA7AB" w14:textId="77777777" w:rsidR="00543E9C" w:rsidRPr="006F5791" w:rsidRDefault="00543E9C" w:rsidP="000E2889">
            <w:pPr>
              <w:pStyle w:val="Tabletext0"/>
            </w:pPr>
          </w:p>
        </w:tc>
        <w:tc>
          <w:tcPr>
            <w:tcW w:w="7070" w:type="dxa"/>
          </w:tcPr>
          <w:p w14:paraId="2A02AE59" w14:textId="5EF80DC8" w:rsidR="00543E9C" w:rsidRPr="006F5791" w:rsidRDefault="00543E9C" w:rsidP="000E2889">
            <w:pPr>
              <w:pStyle w:val="Tabletext0"/>
            </w:pPr>
            <w:r w:rsidRPr="006F5791">
              <w:t>Diagnostic tests for T2D if</w:t>
            </w:r>
            <w:r w:rsidRPr="006F5791" w:rsidDel="007911D3">
              <w:t xml:space="preserve"> </w:t>
            </w:r>
          </w:p>
          <w:p w14:paraId="62F371E4" w14:textId="6D35947C" w:rsidR="003A4507" w:rsidRPr="006F5791" w:rsidRDefault="00543E9C" w:rsidP="00670C60">
            <w:pPr>
              <w:pStyle w:val="Tabletext0"/>
              <w:numPr>
                <w:ilvl w:val="0"/>
                <w:numId w:val="14"/>
              </w:numPr>
              <w:ind w:left="301" w:hanging="283"/>
            </w:pPr>
            <w:r w:rsidRPr="006F5791">
              <w:t>asymptomatic and at high</w:t>
            </w:r>
            <w:r w:rsidRPr="006F5791" w:rsidDel="007911D3">
              <w:t>-</w:t>
            </w:r>
            <w:r w:rsidRPr="006F5791">
              <w:t>risk (</w:t>
            </w:r>
            <w:r w:rsidRPr="006F5791" w:rsidDel="007911D3">
              <w:t>Australian type 2 diabetes risk assessment tool [</w:t>
            </w:r>
            <w:r w:rsidRPr="006F5791">
              <w:t>AUSDRISK</w:t>
            </w:r>
            <w:r w:rsidRPr="006F5791" w:rsidDel="007911D3">
              <w:t>]</w:t>
            </w:r>
            <w:r w:rsidRPr="006F5791">
              <w:t xml:space="preserve"> score ≥12 or in specific high-risk categories):</w:t>
            </w:r>
          </w:p>
          <w:p w14:paraId="684A0B29" w14:textId="796D268F" w:rsidR="00980814" w:rsidRPr="006F5791" w:rsidRDefault="00543E9C" w:rsidP="00670C60">
            <w:pPr>
              <w:pStyle w:val="Tabletext0"/>
              <w:numPr>
                <w:ilvl w:val="1"/>
                <w:numId w:val="14"/>
              </w:numPr>
            </w:pPr>
            <w:r w:rsidRPr="006F5791">
              <w:t>HbA1c ≥6.5% (48 mmol/mol) on 2 separate occasions, or</w:t>
            </w:r>
          </w:p>
          <w:p w14:paraId="326B0669" w14:textId="4CC01FF2" w:rsidR="00980814" w:rsidRPr="006F5791" w:rsidRDefault="00543E9C" w:rsidP="00670C60">
            <w:pPr>
              <w:pStyle w:val="Tabletext0"/>
              <w:numPr>
                <w:ilvl w:val="1"/>
                <w:numId w:val="14"/>
              </w:numPr>
            </w:pPr>
            <w:r w:rsidRPr="006F5791" w:rsidDel="007911D3">
              <w:t>fasting blood glucose (</w:t>
            </w:r>
            <w:r w:rsidRPr="006F5791">
              <w:t>FBG</w:t>
            </w:r>
            <w:r w:rsidRPr="006F5791" w:rsidDel="007911D3">
              <w:t>)</w:t>
            </w:r>
            <w:r w:rsidRPr="006F5791">
              <w:t xml:space="preserve"> ≥7.0 mmol/L, or</w:t>
            </w:r>
          </w:p>
          <w:p w14:paraId="56C11D8E" w14:textId="08CD901B" w:rsidR="00980814" w:rsidRPr="006F5791" w:rsidRDefault="00543E9C" w:rsidP="00670C60">
            <w:pPr>
              <w:pStyle w:val="Tabletext0"/>
              <w:numPr>
                <w:ilvl w:val="1"/>
                <w:numId w:val="14"/>
              </w:numPr>
            </w:pPr>
            <w:r w:rsidRPr="006F5791">
              <w:t xml:space="preserve">random blood glucose ≥11.1 mmol/L confirmed by </w:t>
            </w:r>
            <w:r w:rsidRPr="006F5791" w:rsidDel="007911D3">
              <w:t xml:space="preserve">a </w:t>
            </w:r>
            <w:r w:rsidRPr="006F5791">
              <w:t>second abnormal FBG on a separate day, or</w:t>
            </w:r>
          </w:p>
          <w:p w14:paraId="0F064BBA" w14:textId="3B8E494A" w:rsidR="00543E9C" w:rsidRPr="006F5791" w:rsidRDefault="00543E9C" w:rsidP="00670C60">
            <w:pPr>
              <w:pStyle w:val="Tabletext0"/>
              <w:numPr>
                <w:ilvl w:val="1"/>
                <w:numId w:val="14"/>
              </w:numPr>
            </w:pPr>
            <w:r w:rsidRPr="006F5791" w:rsidDel="007911D3">
              <w:t>oral glucose tolerance testing (</w:t>
            </w:r>
            <w:r w:rsidRPr="006F5791">
              <w:t>OGTT</w:t>
            </w:r>
            <w:r w:rsidRPr="006F5791" w:rsidDel="007911D3">
              <w:t>)</w:t>
            </w:r>
            <w:r w:rsidRPr="006F5791">
              <w:t xml:space="preserve"> consisting of blood glucose measurement taken before (fasting) and 2 hours after </w:t>
            </w:r>
            <w:r w:rsidRPr="006F5791" w:rsidDel="007911D3">
              <w:t xml:space="preserve">an </w:t>
            </w:r>
            <w:r w:rsidRPr="006F5791">
              <w:t xml:space="preserve">oral 75 g glucose load </w:t>
            </w:r>
            <w:r w:rsidRPr="006F5791" w:rsidDel="007911D3">
              <w:t xml:space="preserve">is </w:t>
            </w:r>
            <w:r w:rsidRPr="006F5791">
              <w:t xml:space="preserve">taken. Diabetes is diagnosed if FBG ≥7.0 mmol/L or </w:t>
            </w:r>
            <w:r w:rsidRPr="006F5791" w:rsidDel="007911D3">
              <w:t>two</w:t>
            </w:r>
            <w:r w:rsidRPr="006F5791">
              <w:t>-hour post-challenge blood glucose ≥11.1 mmol/L</w:t>
            </w:r>
            <w:r w:rsidRPr="006F5791" w:rsidDel="007911D3">
              <w:t>, or</w:t>
            </w:r>
          </w:p>
          <w:p w14:paraId="5669FB86" w14:textId="498701B9" w:rsidR="00980814" w:rsidRPr="006F5791" w:rsidRDefault="00543E9C" w:rsidP="00670C60">
            <w:pPr>
              <w:pStyle w:val="Tabletext0"/>
              <w:numPr>
                <w:ilvl w:val="0"/>
                <w:numId w:val="14"/>
              </w:numPr>
              <w:ind w:left="301" w:hanging="283"/>
            </w:pPr>
            <w:r w:rsidRPr="006F5791">
              <w:t>if symptoms of hyperglycaemia present and</w:t>
            </w:r>
          </w:p>
          <w:p w14:paraId="208B2BE5" w14:textId="65456638" w:rsidR="00314EBE" w:rsidRPr="006F5791" w:rsidRDefault="00543E9C" w:rsidP="00670C60">
            <w:pPr>
              <w:pStyle w:val="Tabletext0"/>
              <w:numPr>
                <w:ilvl w:val="1"/>
                <w:numId w:val="14"/>
              </w:numPr>
            </w:pPr>
            <w:r w:rsidRPr="006F5791" w:rsidDel="007911D3">
              <w:t xml:space="preserve">a </w:t>
            </w:r>
            <w:r w:rsidRPr="006F5791">
              <w:t>patient presenting with hyperglycaemic crisis, or</w:t>
            </w:r>
          </w:p>
          <w:p w14:paraId="65F224F5" w14:textId="136C8423" w:rsidR="00314EBE" w:rsidRPr="006F5791" w:rsidRDefault="00543E9C" w:rsidP="00670C60">
            <w:pPr>
              <w:pStyle w:val="Tabletext0"/>
              <w:numPr>
                <w:ilvl w:val="1"/>
                <w:numId w:val="14"/>
              </w:numPr>
            </w:pPr>
            <w:r w:rsidRPr="006F5791" w:rsidDel="007911D3">
              <w:t xml:space="preserve">a </w:t>
            </w:r>
            <w:r w:rsidRPr="006F5791">
              <w:t>single elevated FBG ≥7.0 mmol/L, or</w:t>
            </w:r>
          </w:p>
          <w:p w14:paraId="22C4F010" w14:textId="47EF1219" w:rsidR="00314EBE" w:rsidRPr="006F5791" w:rsidRDefault="00543E9C" w:rsidP="00670C60">
            <w:pPr>
              <w:pStyle w:val="Tabletext0"/>
              <w:numPr>
                <w:ilvl w:val="1"/>
                <w:numId w:val="14"/>
              </w:numPr>
            </w:pPr>
            <w:r w:rsidRPr="006F5791">
              <w:t>single HbA1c ≥6.5% (48 mmol/mol), or</w:t>
            </w:r>
          </w:p>
          <w:p w14:paraId="659CAA9D" w14:textId="39962D56" w:rsidR="00543E9C" w:rsidRPr="006F5791" w:rsidRDefault="00543E9C" w:rsidP="00670C60">
            <w:pPr>
              <w:pStyle w:val="Tabletext0"/>
              <w:numPr>
                <w:ilvl w:val="1"/>
                <w:numId w:val="14"/>
              </w:numPr>
            </w:pPr>
            <w:r w:rsidRPr="006F5791" w:rsidDel="007911D3">
              <w:t xml:space="preserve">a </w:t>
            </w:r>
            <w:r w:rsidRPr="006F5791">
              <w:t>random blood glucose ≥11.1 mmol/L.</w:t>
            </w:r>
          </w:p>
        </w:tc>
      </w:tr>
      <w:tr w:rsidR="009F7595" w:rsidRPr="00543E9C" w14:paraId="00C3D297" w14:textId="77777777">
        <w:tc>
          <w:tcPr>
            <w:tcW w:w="2002" w:type="dxa"/>
          </w:tcPr>
          <w:p w14:paraId="2A10E488" w14:textId="77777777" w:rsidR="00543E9C" w:rsidRPr="00894AE7" w:rsidRDefault="00543E9C" w:rsidP="000E2889">
            <w:pPr>
              <w:pStyle w:val="Tabletext0"/>
            </w:pPr>
            <w:r w:rsidRPr="00894AE7">
              <w:t>Intervention</w:t>
            </w:r>
          </w:p>
        </w:tc>
        <w:tc>
          <w:tcPr>
            <w:tcW w:w="7070" w:type="dxa"/>
          </w:tcPr>
          <w:p w14:paraId="651C10F7" w14:textId="5C9E799E" w:rsidR="00543E9C" w:rsidRPr="00894AE7" w:rsidRDefault="00543E9C" w:rsidP="000E2889">
            <w:pPr>
              <w:pStyle w:val="Tabletext0"/>
            </w:pPr>
            <w:r w:rsidRPr="00894AE7">
              <w:t xml:space="preserve">Dexcom ONE+ CGM </w:t>
            </w:r>
            <w:r w:rsidRPr="00894AE7" w:rsidDel="007911D3">
              <w:t>S</w:t>
            </w:r>
            <w:r w:rsidRPr="00894AE7">
              <w:t>ystem</w:t>
            </w:r>
            <w:r w:rsidRPr="00894AE7" w:rsidDel="007911D3">
              <w:t>.</w:t>
            </w:r>
          </w:p>
        </w:tc>
      </w:tr>
      <w:tr w:rsidR="009F7595" w:rsidRPr="00543E9C" w14:paraId="7247E521" w14:textId="77777777">
        <w:tc>
          <w:tcPr>
            <w:tcW w:w="2002" w:type="dxa"/>
          </w:tcPr>
          <w:p w14:paraId="0C6AF480" w14:textId="6457D664" w:rsidR="00543E9C" w:rsidRPr="00894AE7" w:rsidRDefault="00543E9C" w:rsidP="000E2889">
            <w:pPr>
              <w:pStyle w:val="Tabletext0"/>
            </w:pPr>
            <w:r w:rsidRPr="00894AE7">
              <w:t>Comparator</w:t>
            </w:r>
          </w:p>
        </w:tc>
        <w:tc>
          <w:tcPr>
            <w:tcW w:w="7070" w:type="dxa"/>
          </w:tcPr>
          <w:p w14:paraId="7E327F3B" w14:textId="46AC8527" w:rsidR="00543E9C" w:rsidRPr="00894AE7" w:rsidRDefault="00543E9C" w:rsidP="000E2889">
            <w:pPr>
              <w:pStyle w:val="Tabletext0"/>
            </w:pPr>
            <w:r w:rsidRPr="00894AE7">
              <w:t>SMBG using</w:t>
            </w:r>
            <w:r w:rsidRPr="00894AE7" w:rsidDel="007911D3">
              <w:t xml:space="preserve"> a</w:t>
            </w:r>
            <w:r w:rsidRPr="00894AE7">
              <w:t xml:space="preserve"> finger</w:t>
            </w:r>
            <w:r w:rsidRPr="00894AE7" w:rsidDel="007911D3">
              <w:t xml:space="preserve"> </w:t>
            </w:r>
            <w:r w:rsidRPr="00894AE7">
              <w:t>prick blood sample</w:t>
            </w:r>
            <w:r w:rsidRPr="00894AE7" w:rsidDel="007911D3">
              <w:t>.</w:t>
            </w:r>
          </w:p>
        </w:tc>
      </w:tr>
      <w:tr w:rsidR="009F7595" w:rsidRPr="00543E9C" w14:paraId="53326E76" w14:textId="77777777">
        <w:tc>
          <w:tcPr>
            <w:tcW w:w="2002" w:type="dxa"/>
          </w:tcPr>
          <w:p w14:paraId="4B2E1601" w14:textId="37B97DF1" w:rsidR="00543E9C" w:rsidRPr="00894AE7" w:rsidRDefault="00314EBE" w:rsidP="000E2889">
            <w:pPr>
              <w:pStyle w:val="Tabletext0"/>
            </w:pPr>
            <w:r w:rsidRPr="00894AE7">
              <w:t>Reference standard</w:t>
            </w:r>
          </w:p>
        </w:tc>
        <w:tc>
          <w:tcPr>
            <w:tcW w:w="7070" w:type="dxa"/>
          </w:tcPr>
          <w:p w14:paraId="420EF74F" w14:textId="637D1271" w:rsidR="00543E9C" w:rsidRPr="00894AE7" w:rsidRDefault="00543E9C" w:rsidP="000E2889">
            <w:pPr>
              <w:pStyle w:val="Tabletext0"/>
            </w:pPr>
            <w:r w:rsidRPr="00894AE7">
              <w:t>Laboratory</w:t>
            </w:r>
            <w:r w:rsidRPr="00894AE7" w:rsidDel="007911D3">
              <w:t xml:space="preserve"> </w:t>
            </w:r>
            <w:r w:rsidRPr="00894AE7">
              <w:t>conducted plasma venous blood glucose test</w:t>
            </w:r>
            <w:r w:rsidRPr="00894AE7" w:rsidDel="007911D3">
              <w:t>.</w:t>
            </w:r>
          </w:p>
        </w:tc>
      </w:tr>
      <w:tr w:rsidR="009F7595" w:rsidRPr="00543E9C" w14:paraId="450EEC8A" w14:textId="77777777">
        <w:tc>
          <w:tcPr>
            <w:tcW w:w="2002" w:type="dxa"/>
          </w:tcPr>
          <w:p w14:paraId="50C479C3" w14:textId="77777777" w:rsidR="00543E9C" w:rsidRPr="00894AE7" w:rsidRDefault="00543E9C" w:rsidP="000E2889">
            <w:pPr>
              <w:pStyle w:val="Tabletext0"/>
            </w:pPr>
            <w:r w:rsidRPr="00894AE7">
              <w:t>Outcomes</w:t>
            </w:r>
          </w:p>
        </w:tc>
        <w:tc>
          <w:tcPr>
            <w:tcW w:w="7070" w:type="dxa"/>
          </w:tcPr>
          <w:p w14:paraId="1C7FFFF7" w14:textId="50395AC2" w:rsidR="00543E9C" w:rsidRPr="00894AE7" w:rsidRDefault="00543E9C" w:rsidP="000E2889">
            <w:pPr>
              <w:pStyle w:val="Tabletext0"/>
              <w:rPr>
                <w:b/>
                <w:bCs/>
                <w:u w:val="single"/>
                <w:lang w:val="en-GB"/>
              </w:rPr>
            </w:pPr>
            <w:r w:rsidRPr="00894AE7">
              <w:rPr>
                <w:b/>
                <w:u w:val="single"/>
                <w:lang w:val="en-GB"/>
              </w:rPr>
              <w:t>P</w:t>
            </w:r>
            <w:r w:rsidRPr="00894AE7">
              <w:rPr>
                <w:b/>
                <w:bCs/>
                <w:u w:val="single"/>
                <w:lang w:val="en-GB"/>
              </w:rPr>
              <w:t>atient</w:t>
            </w:r>
            <w:r w:rsidRPr="00894AE7" w:rsidDel="007911D3">
              <w:rPr>
                <w:b/>
                <w:bCs/>
                <w:u w:val="single"/>
                <w:lang w:val="en-GB"/>
              </w:rPr>
              <w:t xml:space="preserve"> </w:t>
            </w:r>
            <w:r w:rsidRPr="00894AE7">
              <w:rPr>
                <w:b/>
                <w:bCs/>
                <w:u w:val="single"/>
                <w:lang w:val="en-GB"/>
              </w:rPr>
              <w:t>relevant outcomes</w:t>
            </w:r>
          </w:p>
          <w:p w14:paraId="758B5D33" w14:textId="2C04FE27" w:rsidR="00543E9C" w:rsidRPr="00894AE7" w:rsidRDefault="00543E9C" w:rsidP="000E2889">
            <w:pPr>
              <w:pStyle w:val="Tabletext0"/>
              <w:rPr>
                <w:i/>
                <w:iCs/>
                <w:lang w:val="en-GB"/>
              </w:rPr>
            </w:pPr>
            <w:r w:rsidRPr="00894AE7">
              <w:rPr>
                <w:i/>
                <w:lang w:val="en-GB"/>
              </w:rPr>
              <w:t>Direct evidence for safety and effectiveness:</w:t>
            </w:r>
          </w:p>
          <w:p w14:paraId="7E836FC0" w14:textId="77777777" w:rsidR="00543E9C" w:rsidRPr="00894AE7" w:rsidRDefault="00543E9C" w:rsidP="000E2889">
            <w:pPr>
              <w:pStyle w:val="Tabletext0"/>
              <w:rPr>
                <w:b/>
              </w:rPr>
            </w:pPr>
            <w:r w:rsidRPr="00894AE7">
              <w:rPr>
                <w:b/>
              </w:rPr>
              <w:t>Intermediate/surrogate outcomes:</w:t>
            </w:r>
          </w:p>
          <w:p w14:paraId="13630D44" w14:textId="77777777" w:rsidR="00543E9C" w:rsidRPr="00894AE7" w:rsidRDefault="00543E9C" w:rsidP="00670C60">
            <w:pPr>
              <w:pStyle w:val="Tabletext0"/>
              <w:numPr>
                <w:ilvl w:val="0"/>
                <w:numId w:val="15"/>
              </w:numPr>
            </w:pPr>
            <w:r w:rsidRPr="00894AE7" w:rsidDel="007911D3">
              <w:t>glycated haemoglobin (</w:t>
            </w:r>
            <w:r w:rsidRPr="00894AE7">
              <w:t>HbA1c</w:t>
            </w:r>
            <w:r w:rsidRPr="00894AE7" w:rsidDel="007911D3">
              <w:t>)</w:t>
            </w:r>
          </w:p>
          <w:p w14:paraId="5A00AE90" w14:textId="77777777" w:rsidR="00543E9C" w:rsidRPr="00894AE7" w:rsidRDefault="00543E9C" w:rsidP="000E2889">
            <w:pPr>
              <w:pStyle w:val="Tabletext0"/>
              <w:rPr>
                <w:b/>
                <w:u w:val="single"/>
              </w:rPr>
            </w:pPr>
            <w:r w:rsidRPr="00894AE7">
              <w:rPr>
                <w:b/>
                <w:u w:val="single"/>
              </w:rPr>
              <w:t>Healthcare system outcomes</w:t>
            </w:r>
          </w:p>
          <w:p w14:paraId="5D3E0A14" w14:textId="6ED71347" w:rsidR="00314EBE" w:rsidRPr="00894AE7" w:rsidRDefault="00543E9C" w:rsidP="00670C60">
            <w:pPr>
              <w:pStyle w:val="Tabletext0"/>
              <w:numPr>
                <w:ilvl w:val="0"/>
                <w:numId w:val="15"/>
              </w:numPr>
              <w:jc w:val="left"/>
            </w:pPr>
            <w:r w:rsidRPr="00894AE7">
              <w:t xml:space="preserve">Cost, cost-effectiveness </w:t>
            </w:r>
          </w:p>
          <w:p w14:paraId="0F7CE2A1" w14:textId="77777777" w:rsidR="00543E9C" w:rsidRPr="00314EBE" w:rsidRDefault="00543E9C" w:rsidP="00670C60">
            <w:pPr>
              <w:pStyle w:val="Tabletext0"/>
              <w:numPr>
                <w:ilvl w:val="0"/>
                <w:numId w:val="15"/>
              </w:numPr>
              <w:jc w:val="left"/>
              <w:rPr>
                <w:b/>
                <w:u w:val="single"/>
              </w:rPr>
            </w:pPr>
            <w:r w:rsidRPr="00894AE7">
              <w:t>Financial implications (financial impact, overall healthcare costs</w:t>
            </w:r>
            <w:r w:rsidRPr="00894AE7" w:rsidDel="007911D3">
              <w:t>,</w:t>
            </w:r>
            <w:r w:rsidRPr="00894AE7">
              <w:t xml:space="preserve"> etc.)</w:t>
            </w:r>
          </w:p>
        </w:tc>
      </w:tr>
      <w:tr w:rsidR="00922B43" w:rsidRPr="00543E9C" w14:paraId="514BE592" w14:textId="77777777">
        <w:trPr>
          <w:trHeight w:val="71"/>
        </w:trPr>
        <w:tc>
          <w:tcPr>
            <w:tcW w:w="9072" w:type="dxa"/>
            <w:gridSpan w:val="2"/>
          </w:tcPr>
          <w:p w14:paraId="689550DB" w14:textId="50D56518" w:rsidR="00543E9C" w:rsidRPr="006F5791" w:rsidRDefault="00543E9C" w:rsidP="000E2889">
            <w:pPr>
              <w:pStyle w:val="Tabletext0"/>
            </w:pPr>
            <w:r w:rsidRPr="005941A2">
              <w:rPr>
                <w:b/>
              </w:rPr>
              <w:t>Systematic review question:</w:t>
            </w:r>
          </w:p>
          <w:p w14:paraId="434BE2E3" w14:textId="77777777" w:rsidR="00543E9C" w:rsidRPr="006F5791" w:rsidRDefault="00543E9C" w:rsidP="000E2889">
            <w:pPr>
              <w:pStyle w:val="Tabletext0"/>
            </w:pPr>
            <w:r w:rsidRPr="006F5791">
              <w:t>What is the safety, effectiveness and cost-effectiveness of the Dexcom ONE+ CGM system versus SMBG in people aged ≥2 years with T2D and suboptimal glycaemic control who require insulin therapy?</w:t>
            </w:r>
          </w:p>
        </w:tc>
      </w:tr>
    </w:tbl>
    <w:p w14:paraId="3074191A" w14:textId="34DD7105" w:rsidR="007464A8" w:rsidRPr="000E2889" w:rsidRDefault="007464A8" w:rsidP="000E2889">
      <w:pPr>
        <w:pStyle w:val="TableFooter"/>
        <w:rPr>
          <w:rFonts w:eastAsia="Arial Narrow" w:cs="Arial Narrow"/>
        </w:rPr>
      </w:pPr>
      <w:bookmarkStart w:id="22" w:name="_Toc69491420"/>
      <w:r w:rsidRPr="000E2889">
        <w:rPr>
          <w:rFonts w:eastAsia="Arial Narrow"/>
          <w:b/>
        </w:rPr>
        <w:t>A</w:t>
      </w:r>
      <w:r w:rsidRPr="000E2889">
        <w:rPr>
          <w:rFonts w:eastAsia="Arial Narrow" w:cs="Arial Narrow"/>
          <w:b/>
        </w:rPr>
        <w:t>bbreviations</w:t>
      </w:r>
      <w:r w:rsidRPr="0AA6AF1A">
        <w:rPr>
          <w:rFonts w:eastAsia="Arial Narrow" w:cs="Arial Narrow"/>
        </w:rPr>
        <w:t xml:space="preserve">: AUSDRISK = Australian </w:t>
      </w:r>
      <w:r w:rsidR="00B13667">
        <w:rPr>
          <w:rFonts w:eastAsia="Arial Narrow" w:cs="Arial Narrow"/>
        </w:rPr>
        <w:t>t</w:t>
      </w:r>
      <w:r w:rsidRPr="0AA6AF1A">
        <w:rPr>
          <w:rFonts w:eastAsia="Arial Narrow" w:cs="Arial Narrow"/>
        </w:rPr>
        <w:t xml:space="preserve">ype 2 </w:t>
      </w:r>
      <w:r w:rsidR="00B13667">
        <w:rPr>
          <w:rFonts w:eastAsia="Arial Narrow" w:cs="Arial Narrow"/>
        </w:rPr>
        <w:t>d</w:t>
      </w:r>
      <w:r w:rsidRPr="0AA6AF1A">
        <w:rPr>
          <w:rFonts w:eastAsia="Arial Narrow" w:cs="Arial Narrow"/>
        </w:rPr>
        <w:t xml:space="preserve">iabetes </w:t>
      </w:r>
      <w:r w:rsidR="00B13667">
        <w:rPr>
          <w:rFonts w:eastAsia="Arial Narrow" w:cs="Arial Narrow"/>
        </w:rPr>
        <w:t>r</w:t>
      </w:r>
      <w:r w:rsidRPr="0AA6AF1A">
        <w:rPr>
          <w:rFonts w:eastAsia="Arial Narrow" w:cs="Arial Narrow"/>
        </w:rPr>
        <w:t xml:space="preserve">isk </w:t>
      </w:r>
      <w:r w:rsidR="00B13667">
        <w:rPr>
          <w:rFonts w:eastAsia="Arial Narrow" w:cs="Arial Narrow"/>
        </w:rPr>
        <w:t>a</w:t>
      </w:r>
      <w:r w:rsidRPr="0AA6AF1A">
        <w:rPr>
          <w:rFonts w:eastAsia="Arial Narrow" w:cs="Arial Narrow"/>
        </w:rPr>
        <w:t xml:space="preserve">ssessment </w:t>
      </w:r>
      <w:r w:rsidR="00B13667">
        <w:rPr>
          <w:rFonts w:eastAsia="Arial Narrow" w:cs="Arial Narrow"/>
        </w:rPr>
        <w:t>t</w:t>
      </w:r>
      <w:r w:rsidRPr="0AA6AF1A">
        <w:rPr>
          <w:rFonts w:eastAsia="Arial Narrow" w:cs="Arial Narrow"/>
        </w:rPr>
        <w:t>ool; CGM</w:t>
      </w:r>
      <w:r w:rsidR="004B5983" w:rsidRPr="0AA6AF1A">
        <w:rPr>
          <w:rFonts w:eastAsia="Arial Narrow" w:cs="Arial Narrow"/>
        </w:rPr>
        <w:t xml:space="preserve"> = </w:t>
      </w:r>
      <w:r w:rsidR="00B13667">
        <w:rPr>
          <w:rFonts w:eastAsia="Arial Narrow" w:cs="Arial Narrow"/>
        </w:rPr>
        <w:t>c</w:t>
      </w:r>
      <w:r w:rsidRPr="0AA6AF1A">
        <w:rPr>
          <w:rFonts w:eastAsia="Arial Narrow" w:cs="Arial Narrow"/>
        </w:rPr>
        <w:t xml:space="preserve">ontinuous </w:t>
      </w:r>
      <w:r w:rsidR="00B13667">
        <w:rPr>
          <w:rFonts w:eastAsia="Arial Narrow" w:cs="Arial Narrow"/>
        </w:rPr>
        <w:t>g</w:t>
      </w:r>
      <w:r w:rsidRPr="0AA6AF1A">
        <w:rPr>
          <w:rFonts w:eastAsia="Arial Narrow" w:cs="Arial Narrow"/>
        </w:rPr>
        <w:t xml:space="preserve">lucose </w:t>
      </w:r>
      <w:r w:rsidR="00B13667">
        <w:rPr>
          <w:rFonts w:eastAsia="Arial Narrow" w:cs="Arial Narrow"/>
        </w:rPr>
        <w:t>m</w:t>
      </w:r>
      <w:r w:rsidRPr="0AA6AF1A">
        <w:rPr>
          <w:rFonts w:eastAsia="Arial Narrow" w:cs="Arial Narrow"/>
        </w:rPr>
        <w:t>onitoring; FBG</w:t>
      </w:r>
      <w:r w:rsidR="004B5983" w:rsidRPr="0AA6AF1A">
        <w:rPr>
          <w:rFonts w:eastAsia="Arial Narrow" w:cs="Arial Narrow"/>
        </w:rPr>
        <w:t xml:space="preserve"> =</w:t>
      </w:r>
      <w:r w:rsidRPr="0AA6AF1A">
        <w:rPr>
          <w:rFonts w:eastAsia="Arial Narrow" w:cs="Arial Narrow"/>
        </w:rPr>
        <w:t xml:space="preserve"> </w:t>
      </w:r>
      <w:r w:rsidR="00B13667">
        <w:rPr>
          <w:rFonts w:eastAsia="Arial Narrow" w:cs="Arial Narrow"/>
        </w:rPr>
        <w:t>f</w:t>
      </w:r>
      <w:r w:rsidRPr="0AA6AF1A">
        <w:rPr>
          <w:rFonts w:eastAsia="Arial Narrow" w:cs="Arial Narrow"/>
        </w:rPr>
        <w:t xml:space="preserve">asting </w:t>
      </w:r>
      <w:r w:rsidR="00B13667">
        <w:rPr>
          <w:rFonts w:eastAsia="Arial Narrow" w:cs="Arial Narrow"/>
        </w:rPr>
        <w:t>b</w:t>
      </w:r>
      <w:r w:rsidRPr="0AA6AF1A">
        <w:rPr>
          <w:rFonts w:eastAsia="Arial Narrow" w:cs="Arial Narrow"/>
        </w:rPr>
        <w:t xml:space="preserve">lood </w:t>
      </w:r>
      <w:r w:rsidR="00B13667">
        <w:rPr>
          <w:rFonts w:eastAsia="Arial Narrow" w:cs="Arial Narrow"/>
        </w:rPr>
        <w:t>g</w:t>
      </w:r>
      <w:r w:rsidRPr="0AA6AF1A">
        <w:rPr>
          <w:rFonts w:eastAsia="Arial Narrow" w:cs="Arial Narrow"/>
        </w:rPr>
        <w:t>lucose; HbA1c</w:t>
      </w:r>
      <w:r w:rsidR="004B5983" w:rsidRPr="0AA6AF1A">
        <w:rPr>
          <w:rFonts w:eastAsia="Arial Narrow" w:cs="Arial Narrow"/>
        </w:rPr>
        <w:t xml:space="preserve"> = </w:t>
      </w:r>
      <w:r w:rsidR="00B13667">
        <w:rPr>
          <w:rFonts w:eastAsia="Arial Narrow" w:cs="Arial Narrow"/>
        </w:rPr>
        <w:t>g</w:t>
      </w:r>
      <w:r w:rsidRPr="0AA6AF1A">
        <w:rPr>
          <w:rFonts w:eastAsia="Arial Narrow" w:cs="Arial Narrow"/>
        </w:rPr>
        <w:t xml:space="preserve">lycated </w:t>
      </w:r>
      <w:r w:rsidR="00B13667">
        <w:rPr>
          <w:rFonts w:eastAsia="Arial Narrow" w:cs="Arial Narrow"/>
        </w:rPr>
        <w:t>h</w:t>
      </w:r>
      <w:r w:rsidRPr="0AA6AF1A">
        <w:rPr>
          <w:rFonts w:eastAsia="Arial Narrow" w:cs="Arial Narrow"/>
        </w:rPr>
        <w:t>aemoglobin; IIT</w:t>
      </w:r>
      <w:r w:rsidR="004B5983" w:rsidRPr="0AA6AF1A">
        <w:rPr>
          <w:rFonts w:eastAsia="Arial Narrow" w:cs="Arial Narrow"/>
        </w:rPr>
        <w:t xml:space="preserve"> =</w:t>
      </w:r>
      <w:r w:rsidRPr="0AA6AF1A">
        <w:rPr>
          <w:rFonts w:eastAsia="Arial Narrow" w:cs="Arial Narrow"/>
        </w:rPr>
        <w:t xml:space="preserve"> intensive insulin t</w:t>
      </w:r>
      <w:r w:rsidR="00B13667">
        <w:rPr>
          <w:rFonts w:eastAsia="Arial Narrow" w:cs="Arial Narrow"/>
        </w:rPr>
        <w:t>herapy</w:t>
      </w:r>
      <w:r w:rsidRPr="0AA6AF1A">
        <w:rPr>
          <w:rFonts w:eastAsia="Arial Narrow" w:cs="Arial Narrow"/>
        </w:rPr>
        <w:t>; OGTT</w:t>
      </w:r>
      <w:r w:rsidR="004B5983" w:rsidRPr="0AA6AF1A">
        <w:rPr>
          <w:rFonts w:eastAsia="Arial Narrow" w:cs="Arial Narrow"/>
        </w:rPr>
        <w:t xml:space="preserve"> = </w:t>
      </w:r>
      <w:r w:rsidR="00B13667">
        <w:rPr>
          <w:rFonts w:eastAsia="Arial Narrow" w:cs="Arial Narrow"/>
        </w:rPr>
        <w:t>o</w:t>
      </w:r>
      <w:r w:rsidRPr="0AA6AF1A">
        <w:rPr>
          <w:rFonts w:eastAsia="Arial Narrow" w:cs="Arial Narrow"/>
        </w:rPr>
        <w:t xml:space="preserve">ral </w:t>
      </w:r>
      <w:r w:rsidR="00B13667">
        <w:rPr>
          <w:rFonts w:eastAsia="Arial Narrow" w:cs="Arial Narrow"/>
        </w:rPr>
        <w:t>g</w:t>
      </w:r>
      <w:r w:rsidRPr="0AA6AF1A">
        <w:rPr>
          <w:rFonts w:eastAsia="Arial Narrow" w:cs="Arial Narrow"/>
        </w:rPr>
        <w:t xml:space="preserve">lucose </w:t>
      </w:r>
      <w:r w:rsidR="00B13667">
        <w:rPr>
          <w:rFonts w:eastAsia="Arial Narrow" w:cs="Arial Narrow"/>
        </w:rPr>
        <w:t>t</w:t>
      </w:r>
      <w:r w:rsidRPr="0AA6AF1A">
        <w:rPr>
          <w:rFonts w:eastAsia="Arial Narrow" w:cs="Arial Narrow"/>
        </w:rPr>
        <w:t xml:space="preserve">olerance </w:t>
      </w:r>
      <w:r w:rsidR="00B13667">
        <w:rPr>
          <w:rFonts w:eastAsia="Arial Narrow" w:cs="Arial Narrow"/>
        </w:rPr>
        <w:t>t</w:t>
      </w:r>
      <w:r w:rsidRPr="0AA6AF1A">
        <w:rPr>
          <w:rFonts w:eastAsia="Arial Narrow" w:cs="Arial Narrow"/>
        </w:rPr>
        <w:t>est; SMBG</w:t>
      </w:r>
      <w:r w:rsidR="004B5983" w:rsidRPr="0AA6AF1A">
        <w:rPr>
          <w:rFonts w:eastAsia="Arial Narrow" w:cs="Arial Narrow"/>
        </w:rPr>
        <w:t xml:space="preserve"> = </w:t>
      </w:r>
      <w:r w:rsidR="00B13667">
        <w:rPr>
          <w:rFonts w:eastAsia="Arial Narrow" w:cs="Arial Narrow"/>
        </w:rPr>
        <w:t>s</w:t>
      </w:r>
      <w:r w:rsidRPr="0AA6AF1A">
        <w:rPr>
          <w:rFonts w:eastAsia="Arial Narrow" w:cs="Arial Narrow"/>
        </w:rPr>
        <w:t>elf-</w:t>
      </w:r>
      <w:r w:rsidR="00B13667">
        <w:rPr>
          <w:rFonts w:eastAsia="Arial Narrow" w:cs="Arial Narrow"/>
        </w:rPr>
        <w:t>m</w:t>
      </w:r>
      <w:r w:rsidRPr="0AA6AF1A">
        <w:rPr>
          <w:rFonts w:eastAsia="Arial Narrow" w:cs="Arial Narrow"/>
        </w:rPr>
        <w:t xml:space="preserve">onitoring of </w:t>
      </w:r>
      <w:r w:rsidR="00B13667">
        <w:rPr>
          <w:rFonts w:eastAsia="Arial Narrow" w:cs="Arial Narrow"/>
        </w:rPr>
        <w:t>b</w:t>
      </w:r>
      <w:r w:rsidRPr="0AA6AF1A">
        <w:rPr>
          <w:rFonts w:eastAsia="Arial Narrow" w:cs="Arial Narrow"/>
        </w:rPr>
        <w:t xml:space="preserve">lood </w:t>
      </w:r>
      <w:r w:rsidR="00B13667">
        <w:rPr>
          <w:rFonts w:eastAsia="Arial Narrow" w:cs="Arial Narrow"/>
        </w:rPr>
        <w:t>g</w:t>
      </w:r>
      <w:r w:rsidRPr="0AA6AF1A">
        <w:rPr>
          <w:rFonts w:eastAsia="Arial Narrow" w:cs="Arial Narrow"/>
        </w:rPr>
        <w:t>lucose; T2D</w:t>
      </w:r>
      <w:r w:rsidR="004B5983" w:rsidRPr="0AA6AF1A">
        <w:rPr>
          <w:rFonts w:eastAsia="Arial Narrow" w:cs="Arial Narrow"/>
        </w:rPr>
        <w:t xml:space="preserve"> = </w:t>
      </w:r>
      <w:r w:rsidR="00B13667">
        <w:rPr>
          <w:rFonts w:eastAsia="Arial Narrow" w:cs="Arial Narrow"/>
        </w:rPr>
        <w:t>t</w:t>
      </w:r>
      <w:r w:rsidRPr="0AA6AF1A">
        <w:rPr>
          <w:rFonts w:eastAsia="Arial Narrow" w:cs="Arial Narrow"/>
        </w:rPr>
        <w:t xml:space="preserve">ype 2 </w:t>
      </w:r>
      <w:r w:rsidR="00B13667">
        <w:rPr>
          <w:rFonts w:eastAsia="Arial Narrow" w:cs="Arial Narrow"/>
        </w:rPr>
        <w:t>d</w:t>
      </w:r>
      <w:r w:rsidRPr="0AA6AF1A">
        <w:rPr>
          <w:rFonts w:eastAsia="Arial Narrow" w:cs="Arial Narrow"/>
        </w:rPr>
        <w:t>iabetes.</w:t>
      </w:r>
    </w:p>
    <w:p w14:paraId="66BDFCC1" w14:textId="72504D02" w:rsidR="00772829" w:rsidRPr="00CE28E3" w:rsidRDefault="00772829" w:rsidP="00670C60">
      <w:pPr>
        <w:pStyle w:val="Heading2"/>
        <w:numPr>
          <w:ilvl w:val="0"/>
          <w:numId w:val="32"/>
        </w:numPr>
        <w:ind w:hanging="720"/>
      </w:pPr>
      <w:r w:rsidRPr="00CE28E3">
        <w:lastRenderedPageBreak/>
        <w:t>Comparator</w:t>
      </w:r>
      <w:bookmarkEnd w:id="22"/>
    </w:p>
    <w:p w14:paraId="29A24220" w14:textId="00AE56F1" w:rsidR="00CE5E88" w:rsidRPr="00CE5E88" w:rsidRDefault="00CE5E88" w:rsidP="00E76AE0">
      <w:pPr>
        <w:pStyle w:val="Instructionaltext"/>
        <w:rPr>
          <w:color w:val="auto"/>
        </w:rPr>
      </w:pPr>
      <w:r w:rsidRPr="00CE5E88">
        <w:rPr>
          <w:color w:val="auto"/>
        </w:rPr>
        <w:t xml:space="preserve">The nominated comparator is </w:t>
      </w:r>
      <w:r w:rsidR="007D40CE">
        <w:rPr>
          <w:color w:val="auto"/>
        </w:rPr>
        <w:t xml:space="preserve">SMBG, as in </w:t>
      </w:r>
      <w:r w:rsidRPr="00CE5E88">
        <w:rPr>
          <w:color w:val="auto"/>
        </w:rPr>
        <w:t xml:space="preserve">the </w:t>
      </w:r>
      <w:r w:rsidR="007D40CE" w:rsidRPr="00CE5E88">
        <w:rPr>
          <w:color w:val="auto"/>
        </w:rPr>
        <w:t>original</w:t>
      </w:r>
      <w:r w:rsidRPr="00CE5E88">
        <w:rPr>
          <w:color w:val="auto"/>
        </w:rPr>
        <w:t xml:space="preserve"> ADAR</w:t>
      </w:r>
      <w:r w:rsidR="00E93C83">
        <w:rPr>
          <w:color w:val="auto"/>
        </w:rPr>
        <w:t xml:space="preserve">. </w:t>
      </w:r>
      <w:r>
        <w:rPr>
          <w:color w:val="auto"/>
        </w:rPr>
        <w:t xml:space="preserve">This </w:t>
      </w:r>
      <w:r w:rsidR="00A90313">
        <w:rPr>
          <w:color w:val="auto"/>
        </w:rPr>
        <w:t>comparator was assessed by MSAC as</w:t>
      </w:r>
      <w:r w:rsidRPr="00CE5E88">
        <w:rPr>
          <w:color w:val="auto"/>
        </w:rPr>
        <w:t xml:space="preserve"> appropriate</w:t>
      </w:r>
      <w:r>
        <w:rPr>
          <w:color w:val="auto"/>
        </w:rPr>
        <w:t xml:space="preserve"> </w:t>
      </w:r>
      <w:r w:rsidR="007911D3">
        <w:rPr>
          <w:color w:val="auto"/>
        </w:rPr>
        <w:t>during</w:t>
      </w:r>
      <w:r w:rsidR="00A90313">
        <w:rPr>
          <w:color w:val="auto"/>
        </w:rPr>
        <w:t xml:space="preserve"> assessment of the original </w:t>
      </w:r>
      <w:r w:rsidR="000B62E1">
        <w:rPr>
          <w:color w:val="auto"/>
        </w:rPr>
        <w:t>ADAR</w:t>
      </w:r>
      <w:r w:rsidR="00A90313">
        <w:rPr>
          <w:color w:val="auto"/>
        </w:rPr>
        <w:t xml:space="preserve"> </w:t>
      </w:r>
      <w:r>
        <w:rPr>
          <w:color w:val="auto"/>
        </w:rPr>
        <w:t xml:space="preserve">and is the </w:t>
      </w:r>
      <w:r w:rsidRPr="00CE5E88">
        <w:rPr>
          <w:color w:val="auto"/>
        </w:rPr>
        <w:t xml:space="preserve">current standard of care for blood glucose testing for the proposed </w:t>
      </w:r>
      <w:r w:rsidR="00807B42" w:rsidRPr="00CE5E88">
        <w:rPr>
          <w:color w:val="auto"/>
        </w:rPr>
        <w:t>populations</w:t>
      </w:r>
      <w:r w:rsidRPr="00CE5E88">
        <w:rPr>
          <w:color w:val="auto"/>
        </w:rPr>
        <w:t xml:space="preserve"> in Australia </w:t>
      </w:r>
      <w:r w:rsidRPr="00D16DCF">
        <w:rPr>
          <w:color w:val="auto"/>
        </w:rPr>
        <w:t xml:space="preserve">(PSD for ADAR 1785, </w:t>
      </w:r>
      <w:r w:rsidR="009F5B5D">
        <w:rPr>
          <w:color w:val="auto"/>
        </w:rPr>
        <w:t>p.</w:t>
      </w:r>
      <w:r w:rsidRPr="00D16DCF">
        <w:rPr>
          <w:color w:val="auto"/>
        </w:rPr>
        <w:t xml:space="preserve"> 16)</w:t>
      </w:r>
      <w:r w:rsidR="001203EE" w:rsidRPr="00D16DCF">
        <w:rPr>
          <w:color w:val="auto"/>
        </w:rPr>
        <w:t>.</w:t>
      </w:r>
    </w:p>
    <w:p w14:paraId="46E87FF3" w14:textId="3B4A04C3" w:rsidR="00CE5E88" w:rsidRPr="00CE5E88" w:rsidRDefault="00CE5E88" w:rsidP="000E2889">
      <w:pPr>
        <w:pStyle w:val="Instructionaltext"/>
        <w:rPr>
          <w:color w:val="auto"/>
        </w:rPr>
      </w:pPr>
      <w:r w:rsidRPr="00CE5E88">
        <w:rPr>
          <w:color w:val="auto"/>
        </w:rPr>
        <w:t xml:space="preserve">In the PSD for the </w:t>
      </w:r>
      <w:r w:rsidR="003F2658">
        <w:rPr>
          <w:color w:val="auto"/>
        </w:rPr>
        <w:t>original</w:t>
      </w:r>
      <w:r w:rsidR="003F2658" w:rsidRPr="00CE5E88">
        <w:rPr>
          <w:color w:val="auto"/>
        </w:rPr>
        <w:t xml:space="preserve"> </w:t>
      </w:r>
      <w:r w:rsidRPr="00CE5E88">
        <w:rPr>
          <w:color w:val="auto"/>
        </w:rPr>
        <w:t xml:space="preserve">ADAR, MSAC highlighted other aspects of the comparator to bear in mind when </w:t>
      </w:r>
      <w:r w:rsidR="00807B42" w:rsidRPr="00CE5E88">
        <w:rPr>
          <w:color w:val="auto"/>
        </w:rPr>
        <w:t>considering</w:t>
      </w:r>
      <w:r w:rsidRPr="00CE5E88">
        <w:rPr>
          <w:color w:val="auto"/>
        </w:rPr>
        <w:t xml:space="preserve"> the merits of the application for Dexcom ONE+ </w:t>
      </w:r>
      <w:r w:rsidR="003F2658">
        <w:rPr>
          <w:color w:val="auto"/>
        </w:rPr>
        <w:t xml:space="preserve">CGM </w:t>
      </w:r>
      <w:r w:rsidR="009F664E">
        <w:rPr>
          <w:color w:val="auto"/>
        </w:rPr>
        <w:t>s</w:t>
      </w:r>
      <w:r w:rsidRPr="00CE5E88">
        <w:rPr>
          <w:color w:val="auto"/>
        </w:rPr>
        <w:t>ystem funding</w:t>
      </w:r>
      <w:r w:rsidR="003F2658">
        <w:rPr>
          <w:color w:val="auto"/>
        </w:rPr>
        <w:t>:</w:t>
      </w:r>
      <w:r w:rsidRPr="00CE5E88">
        <w:rPr>
          <w:color w:val="auto"/>
        </w:rPr>
        <w:t xml:space="preserve"> </w:t>
      </w:r>
    </w:p>
    <w:p w14:paraId="702BC867" w14:textId="659CE4D0" w:rsidR="00D3194F" w:rsidRDefault="00092F70" w:rsidP="00670C60">
      <w:pPr>
        <w:pStyle w:val="Instructionaltext"/>
        <w:numPr>
          <w:ilvl w:val="0"/>
          <w:numId w:val="13"/>
        </w:numPr>
        <w:rPr>
          <w:color w:val="auto"/>
        </w:rPr>
      </w:pPr>
      <w:r w:rsidRPr="00CE5E88">
        <w:rPr>
          <w:color w:val="auto"/>
        </w:rPr>
        <w:t>The frequency of SMBG is individualised, but international guidelines suggest that SMBG is needed 6</w:t>
      </w:r>
      <w:r w:rsidR="008D7AFF">
        <w:rPr>
          <w:color w:val="auto"/>
        </w:rPr>
        <w:t>–</w:t>
      </w:r>
      <w:r w:rsidRPr="00CE5E88">
        <w:rPr>
          <w:color w:val="auto"/>
        </w:rPr>
        <w:t xml:space="preserve">10 times per day for people with IIT regiments. People with T2D requiring IIT are usually </w:t>
      </w:r>
      <w:r w:rsidRPr="00D3194F">
        <w:rPr>
          <w:color w:val="auto"/>
        </w:rPr>
        <w:t xml:space="preserve">required to test their blood glucose more frequently than those </w:t>
      </w:r>
      <w:r w:rsidR="003D1820">
        <w:rPr>
          <w:color w:val="auto"/>
        </w:rPr>
        <w:t xml:space="preserve">not </w:t>
      </w:r>
      <w:r w:rsidRPr="00D3194F">
        <w:rPr>
          <w:color w:val="auto"/>
        </w:rPr>
        <w:t>receiving IIT. The ADAR quote</w:t>
      </w:r>
      <w:r w:rsidR="000E6294">
        <w:rPr>
          <w:color w:val="auto"/>
        </w:rPr>
        <w:t>s</w:t>
      </w:r>
      <w:r w:rsidRPr="00D3194F">
        <w:rPr>
          <w:color w:val="auto"/>
        </w:rPr>
        <w:t xml:space="preserve"> evidence </w:t>
      </w:r>
      <w:r w:rsidR="000E6294">
        <w:rPr>
          <w:color w:val="auto"/>
        </w:rPr>
        <w:t>to</w:t>
      </w:r>
      <w:r w:rsidRPr="00D3194F">
        <w:rPr>
          <w:color w:val="auto"/>
        </w:rPr>
        <w:t xml:space="preserve"> suggest an increased frequency of SMBG correlate</w:t>
      </w:r>
      <w:r w:rsidR="009C789D">
        <w:rPr>
          <w:color w:val="auto"/>
        </w:rPr>
        <w:t>s</w:t>
      </w:r>
      <w:r w:rsidRPr="00D3194F">
        <w:rPr>
          <w:color w:val="auto"/>
        </w:rPr>
        <w:t xml:space="preserve"> with improved HbA1c in T1D and T2D</w:t>
      </w:r>
      <w:r w:rsidRPr="00CE5E88">
        <w:rPr>
          <w:color w:val="auto"/>
        </w:rPr>
        <w:t>.</w:t>
      </w:r>
    </w:p>
    <w:p w14:paraId="0DF92489" w14:textId="5316857D" w:rsidR="00CE5E88" w:rsidRDefault="00CE5E88" w:rsidP="00670C60">
      <w:pPr>
        <w:pStyle w:val="Instructionaltext"/>
        <w:numPr>
          <w:ilvl w:val="0"/>
          <w:numId w:val="13"/>
        </w:numPr>
        <w:rPr>
          <w:color w:val="auto"/>
        </w:rPr>
      </w:pPr>
      <w:r w:rsidRPr="00CE5E88">
        <w:rPr>
          <w:color w:val="auto"/>
        </w:rPr>
        <w:t xml:space="preserve">The NDSS provides subsidised blood glucose monitoring strips for SMBG for a 6-month period after initial diagnosis of T2D. Ongoing access, in 6-monthly increments, is available when assessed as clinically necessary and authorised by a </w:t>
      </w:r>
      <w:r w:rsidR="009867FD">
        <w:rPr>
          <w:color w:val="auto"/>
        </w:rPr>
        <w:t>GP</w:t>
      </w:r>
      <w:r w:rsidRPr="00CE5E88">
        <w:rPr>
          <w:color w:val="auto"/>
        </w:rPr>
        <w:t xml:space="preserve"> or diabetes educator. </w:t>
      </w:r>
      <w:r w:rsidR="004B21EB">
        <w:rPr>
          <w:color w:val="auto"/>
        </w:rPr>
        <w:t>S</w:t>
      </w:r>
      <w:r w:rsidRPr="00CE5E88">
        <w:rPr>
          <w:color w:val="auto"/>
        </w:rPr>
        <w:t>ubsidised SMBG products vary substantially in cost.</w:t>
      </w:r>
    </w:p>
    <w:p w14:paraId="25E740B8" w14:textId="20CC4B23" w:rsidR="00CE5E88" w:rsidRPr="00CE5E88" w:rsidRDefault="00CE5E88" w:rsidP="00670C60">
      <w:pPr>
        <w:pStyle w:val="Instructionaltext"/>
        <w:numPr>
          <w:ilvl w:val="0"/>
          <w:numId w:val="13"/>
        </w:numPr>
        <w:rPr>
          <w:color w:val="auto"/>
        </w:rPr>
      </w:pPr>
      <w:r w:rsidRPr="00CE5E88">
        <w:rPr>
          <w:color w:val="auto"/>
        </w:rPr>
        <w:t>The number of subsidised glucose test strips that a person with T2D can purchase from the NDSS in a 180-day period is 900 strips</w:t>
      </w:r>
      <w:r w:rsidR="00F338CF">
        <w:rPr>
          <w:color w:val="auto"/>
        </w:rPr>
        <w:t xml:space="preserve">. </w:t>
      </w:r>
      <w:r w:rsidR="00DE3184">
        <w:rPr>
          <w:color w:val="auto"/>
        </w:rPr>
        <w:t>T</w:t>
      </w:r>
      <w:r w:rsidRPr="00CE5E88">
        <w:rPr>
          <w:color w:val="auto"/>
        </w:rPr>
        <w:t xml:space="preserve">his </w:t>
      </w:r>
      <w:r w:rsidR="00DE3184">
        <w:rPr>
          <w:color w:val="auto"/>
        </w:rPr>
        <w:t>is</w:t>
      </w:r>
      <w:r w:rsidRPr="00CE5E88">
        <w:rPr>
          <w:color w:val="auto"/>
        </w:rPr>
        <w:t xml:space="preserve"> sufficient to </w:t>
      </w:r>
      <w:r w:rsidR="00DE3184">
        <w:rPr>
          <w:color w:val="auto"/>
        </w:rPr>
        <w:t>perform</w:t>
      </w:r>
      <w:r w:rsidRPr="00CE5E88">
        <w:rPr>
          <w:color w:val="auto"/>
        </w:rPr>
        <w:t xml:space="preserve"> SMBG 5 times per day, which may not meet the needs of people with T2D using IIT. Typically, additional strips purchased during that period would not be subsidised, </w:t>
      </w:r>
      <w:r w:rsidR="00593FE0">
        <w:rPr>
          <w:color w:val="auto"/>
        </w:rPr>
        <w:t xml:space="preserve">although </w:t>
      </w:r>
      <w:r w:rsidRPr="00CE5E88">
        <w:rPr>
          <w:color w:val="auto"/>
        </w:rPr>
        <w:t xml:space="preserve">registrants can access more product if their limit has been reached and unique circumstances are present. This restriction on glucose testing strips may encourage people with T2D to deviate from the recommended frequency of SMBG, potentially increasing the risk that glycaemic targets would not be achieved. </w:t>
      </w:r>
    </w:p>
    <w:p w14:paraId="1D20DD02" w14:textId="7A8EDFE1" w:rsidR="00CE5E88" w:rsidRPr="00CE5E88" w:rsidRDefault="00CE5E88" w:rsidP="00670C60">
      <w:pPr>
        <w:pStyle w:val="Instructionaltext"/>
        <w:numPr>
          <w:ilvl w:val="0"/>
          <w:numId w:val="13"/>
        </w:numPr>
        <w:rPr>
          <w:color w:val="auto"/>
        </w:rPr>
      </w:pPr>
      <w:r w:rsidRPr="00CE5E88">
        <w:rPr>
          <w:color w:val="auto"/>
        </w:rPr>
        <w:t>Access to NDSS-subsidised glucose test</w:t>
      </w:r>
      <w:r w:rsidR="004100B1">
        <w:rPr>
          <w:color w:val="auto"/>
        </w:rPr>
        <w:t>ing</w:t>
      </w:r>
      <w:r w:rsidRPr="00CE5E88">
        <w:rPr>
          <w:color w:val="auto"/>
        </w:rPr>
        <w:t xml:space="preserve"> strips would still be required </w:t>
      </w:r>
      <w:r w:rsidR="00B316B0">
        <w:rPr>
          <w:color w:val="auto"/>
        </w:rPr>
        <w:t>for people</w:t>
      </w:r>
      <w:r w:rsidRPr="00CE5E88">
        <w:rPr>
          <w:color w:val="auto"/>
        </w:rPr>
        <w:t xml:space="preserve"> with T2D</w:t>
      </w:r>
      <w:r w:rsidRPr="00CE5E88" w:rsidDel="00B316B0">
        <w:rPr>
          <w:color w:val="auto"/>
        </w:rPr>
        <w:t xml:space="preserve"> </w:t>
      </w:r>
      <w:r w:rsidRPr="00CE5E88">
        <w:rPr>
          <w:color w:val="auto"/>
        </w:rPr>
        <w:t>using CGM</w:t>
      </w:r>
      <w:r w:rsidR="00B316B0">
        <w:rPr>
          <w:color w:val="auto"/>
        </w:rPr>
        <w:t>,</w:t>
      </w:r>
      <w:r w:rsidRPr="00CE5E88">
        <w:rPr>
          <w:color w:val="auto"/>
        </w:rPr>
        <w:t xml:space="preserve"> to account for those circumstances when SMBG is recommended during CGM use</w:t>
      </w:r>
      <w:r w:rsidR="00B316B0">
        <w:rPr>
          <w:color w:val="auto"/>
        </w:rPr>
        <w:t xml:space="preserve"> (e.g.</w:t>
      </w:r>
      <w:r w:rsidRPr="00CE5E88" w:rsidDel="00B316B0">
        <w:rPr>
          <w:color w:val="auto"/>
        </w:rPr>
        <w:t xml:space="preserve"> </w:t>
      </w:r>
      <w:r w:rsidRPr="00CE5E88">
        <w:rPr>
          <w:color w:val="auto"/>
        </w:rPr>
        <w:t>diabetes symptoms do not match</w:t>
      </w:r>
      <w:r w:rsidRPr="00CE5E88" w:rsidDel="00B316B0">
        <w:rPr>
          <w:color w:val="auto"/>
        </w:rPr>
        <w:t xml:space="preserve"> </w:t>
      </w:r>
      <w:r w:rsidRPr="00CE5E88">
        <w:rPr>
          <w:color w:val="auto"/>
        </w:rPr>
        <w:t>CGM glucose readings, CGM malfunctions, or sensor becomes lost or detached</w:t>
      </w:r>
      <w:r w:rsidR="00B316B0">
        <w:rPr>
          <w:color w:val="auto"/>
        </w:rPr>
        <w:t>)</w:t>
      </w:r>
      <w:r w:rsidRPr="00CE5E88">
        <w:rPr>
          <w:color w:val="auto"/>
        </w:rPr>
        <w:t>.</w:t>
      </w:r>
    </w:p>
    <w:p w14:paraId="7358B73A" w14:textId="23EC17EC" w:rsidR="00765A1E" w:rsidRPr="00765A1E" w:rsidRDefault="00CE5E88" w:rsidP="00765A1E">
      <w:pPr>
        <w:pStyle w:val="Instructionaltext"/>
        <w:rPr>
          <w:color w:val="auto"/>
        </w:rPr>
      </w:pPr>
      <w:r w:rsidRPr="00CE5E88">
        <w:rPr>
          <w:color w:val="auto"/>
        </w:rPr>
        <w:t>Regarding</w:t>
      </w:r>
      <w:r w:rsidR="00F22366" w:rsidRPr="00F22366">
        <w:rPr>
          <w:color w:val="auto"/>
        </w:rPr>
        <w:t xml:space="preserve"> </w:t>
      </w:r>
      <w:r w:rsidR="00F22366" w:rsidRPr="00CE5E88">
        <w:rPr>
          <w:color w:val="auto"/>
        </w:rPr>
        <w:t>current fund</w:t>
      </w:r>
      <w:r w:rsidR="00F22366">
        <w:rPr>
          <w:color w:val="auto"/>
        </w:rPr>
        <w:t>ing</w:t>
      </w:r>
      <w:r w:rsidR="003F14C2" w:rsidRPr="00CE5E88">
        <w:rPr>
          <w:color w:val="auto"/>
        </w:rPr>
        <w:t xml:space="preserve"> </w:t>
      </w:r>
      <w:r w:rsidR="00F22366">
        <w:rPr>
          <w:color w:val="auto"/>
        </w:rPr>
        <w:t>for</w:t>
      </w:r>
      <w:r w:rsidR="003F14C2" w:rsidRPr="00CE5E88">
        <w:rPr>
          <w:color w:val="auto"/>
        </w:rPr>
        <w:t xml:space="preserve"> the comparator</w:t>
      </w:r>
      <w:r w:rsidRPr="00CE5E88">
        <w:rPr>
          <w:color w:val="auto"/>
        </w:rPr>
        <w:t xml:space="preserve">, there are no subsidised CGM systems for T2D </w:t>
      </w:r>
      <w:r w:rsidR="002C55BA" w:rsidRPr="00CE5E88">
        <w:rPr>
          <w:color w:val="auto"/>
        </w:rPr>
        <w:t xml:space="preserve">available </w:t>
      </w:r>
      <w:r w:rsidR="002C55BA">
        <w:rPr>
          <w:color w:val="auto"/>
        </w:rPr>
        <w:t>via</w:t>
      </w:r>
      <w:r w:rsidR="002C55BA" w:rsidRPr="00CE5E88">
        <w:rPr>
          <w:color w:val="auto"/>
        </w:rPr>
        <w:t xml:space="preserve"> </w:t>
      </w:r>
      <w:r w:rsidRPr="00CE5E88">
        <w:rPr>
          <w:color w:val="auto"/>
        </w:rPr>
        <w:t xml:space="preserve">the NDSS in Australia. Some people with T2D may be able to obtain CGM systems privately or </w:t>
      </w:r>
      <w:r w:rsidR="00346410">
        <w:rPr>
          <w:color w:val="auto"/>
        </w:rPr>
        <w:t>via</w:t>
      </w:r>
      <w:r w:rsidR="00346410" w:rsidRPr="00CE5E88">
        <w:rPr>
          <w:color w:val="auto"/>
        </w:rPr>
        <w:t xml:space="preserve"> </w:t>
      </w:r>
      <w:r w:rsidRPr="00CE5E88">
        <w:rPr>
          <w:color w:val="auto"/>
        </w:rPr>
        <w:t>their private health insurance plan</w:t>
      </w:r>
      <w:r w:rsidR="003F14C2" w:rsidRPr="00CE5E88">
        <w:rPr>
          <w:color w:val="auto"/>
        </w:rPr>
        <w:t xml:space="preserve"> (e.g.</w:t>
      </w:r>
      <w:r w:rsidR="0092470E" w:rsidRPr="00CE5E88">
        <w:rPr>
          <w:color w:val="auto"/>
        </w:rPr>
        <w:t> </w:t>
      </w:r>
      <w:r w:rsidR="003F14C2" w:rsidRPr="00CE5E88">
        <w:rPr>
          <w:color w:val="auto"/>
        </w:rPr>
        <w:t xml:space="preserve">public or private hospital, MBS, other funding source) </w:t>
      </w:r>
      <w:r w:rsidRPr="00CE5E88">
        <w:rPr>
          <w:color w:val="auto"/>
        </w:rPr>
        <w:t xml:space="preserve">(PSD for ADAR 1785, </w:t>
      </w:r>
      <w:r w:rsidR="009F5B5D">
        <w:rPr>
          <w:color w:val="auto"/>
        </w:rPr>
        <w:t>p.</w:t>
      </w:r>
      <w:r w:rsidRPr="00CE5E88">
        <w:rPr>
          <w:color w:val="auto"/>
        </w:rPr>
        <w:t xml:space="preserve"> 16)</w:t>
      </w:r>
      <w:r w:rsidR="001E2F0F">
        <w:rPr>
          <w:color w:val="auto"/>
        </w:rPr>
        <w:t>.</w:t>
      </w:r>
      <w:r w:rsidR="00765A1E">
        <w:rPr>
          <w:color w:val="auto"/>
        </w:rPr>
        <w:br w:type="page"/>
      </w:r>
    </w:p>
    <w:p w14:paraId="578D55B9" w14:textId="77777777" w:rsidR="00B9467A" w:rsidRPr="005B6EFD" w:rsidRDefault="00B9467A" w:rsidP="00670C60">
      <w:pPr>
        <w:pStyle w:val="Heading2"/>
        <w:numPr>
          <w:ilvl w:val="0"/>
          <w:numId w:val="32"/>
        </w:numPr>
        <w:ind w:hanging="720"/>
      </w:pPr>
      <w:r w:rsidRPr="005B6EFD">
        <w:lastRenderedPageBreak/>
        <w:t xml:space="preserve">Summary of public consultation input </w:t>
      </w:r>
    </w:p>
    <w:p w14:paraId="641E70AC" w14:textId="77777777" w:rsidR="00B9467A" w:rsidRPr="00C65E80" w:rsidRDefault="00B9467A" w:rsidP="00B9467A">
      <w:pPr>
        <w:keepNext/>
        <w:keepLines/>
      </w:pPr>
      <w:r w:rsidRPr="005B6EFD">
        <w:t xml:space="preserve">Consultation input was welcomed from: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70"/>
        <w:gridCol w:w="1230"/>
      </w:tblGrid>
      <w:tr w:rsidR="005D1E29" w:rsidRPr="009B5B11" w14:paraId="37428C51" w14:textId="77777777" w:rsidTr="009B5B11">
        <w:trPr>
          <w:trHeight w:val="645"/>
        </w:trPr>
        <w:tc>
          <w:tcPr>
            <w:tcW w:w="7770" w:type="dxa"/>
            <w:tcBorders>
              <w:top w:val="single" w:sz="6" w:space="0" w:color="auto"/>
              <w:left w:val="single" w:sz="6" w:space="0" w:color="auto"/>
              <w:bottom w:val="single" w:sz="6" w:space="0" w:color="auto"/>
              <w:right w:val="single" w:sz="6" w:space="0" w:color="auto"/>
            </w:tcBorders>
            <w:shd w:val="clear" w:color="auto" w:fill="D1D1D1"/>
            <w:vAlign w:val="center"/>
            <w:hideMark/>
          </w:tcPr>
          <w:p w14:paraId="4EF403C8" w14:textId="77777777" w:rsidR="005D1E29" w:rsidRPr="009B5B11" w:rsidRDefault="005D1E29" w:rsidP="005D1E29">
            <w:pPr>
              <w:pStyle w:val="Instructionaltext"/>
              <w:spacing w:before="0" w:after="0"/>
              <w:rPr>
                <w:color w:val="auto"/>
              </w:rPr>
            </w:pPr>
            <w:r w:rsidRPr="009B5B11">
              <w:rPr>
                <w:b/>
                <w:bCs/>
                <w:color w:val="auto"/>
              </w:rPr>
              <w:t>1785 – Dexcom ONE continuous glucose monitoring system for people with insulin dependent type 2 diabetes</w:t>
            </w:r>
            <w:r w:rsidRPr="009B5B11">
              <w:rPr>
                <w:color w:val="auto"/>
              </w:rPr>
              <w:t> </w:t>
            </w:r>
          </w:p>
        </w:tc>
        <w:tc>
          <w:tcPr>
            <w:tcW w:w="1230" w:type="dxa"/>
            <w:tcBorders>
              <w:top w:val="single" w:sz="6" w:space="0" w:color="auto"/>
              <w:left w:val="nil"/>
              <w:bottom w:val="single" w:sz="6" w:space="0" w:color="auto"/>
              <w:right w:val="single" w:sz="6" w:space="0" w:color="auto"/>
            </w:tcBorders>
            <w:shd w:val="clear" w:color="auto" w:fill="D1D1D1"/>
            <w:vAlign w:val="center"/>
            <w:hideMark/>
          </w:tcPr>
          <w:p w14:paraId="0241F437" w14:textId="77777777" w:rsidR="005D1E29" w:rsidRPr="009B5B11" w:rsidRDefault="005D1E29" w:rsidP="005D1E29">
            <w:pPr>
              <w:pStyle w:val="Instructionaltext"/>
              <w:spacing w:before="0" w:after="0"/>
              <w:rPr>
                <w:color w:val="auto"/>
              </w:rPr>
            </w:pPr>
            <w:r w:rsidRPr="009B5B11">
              <w:rPr>
                <w:b/>
                <w:bCs/>
                <w:color w:val="auto"/>
              </w:rPr>
              <w:t>Inputs Received</w:t>
            </w:r>
            <w:r w:rsidRPr="009B5B11">
              <w:rPr>
                <w:rFonts w:ascii="Arial" w:hAnsi="Arial" w:cs="Arial"/>
                <w:color w:val="auto"/>
              </w:rPr>
              <w:t>  </w:t>
            </w:r>
            <w:r w:rsidRPr="009B5B11">
              <w:rPr>
                <w:color w:val="auto"/>
              </w:rPr>
              <w:t> </w:t>
            </w:r>
          </w:p>
        </w:tc>
      </w:tr>
      <w:tr w:rsidR="005D1E29" w:rsidRPr="009B5B11" w14:paraId="1F2FE715" w14:textId="77777777" w:rsidTr="009B5B11">
        <w:trPr>
          <w:trHeight w:val="257"/>
        </w:trPr>
        <w:tc>
          <w:tcPr>
            <w:tcW w:w="9000" w:type="dxa"/>
            <w:gridSpan w:val="2"/>
            <w:tcBorders>
              <w:top w:val="single" w:sz="6" w:space="0" w:color="auto"/>
              <w:left w:val="single" w:sz="6" w:space="0" w:color="auto"/>
              <w:bottom w:val="single" w:sz="6" w:space="0" w:color="auto"/>
              <w:right w:val="single" w:sz="6" w:space="0" w:color="auto"/>
            </w:tcBorders>
            <w:shd w:val="clear" w:color="auto" w:fill="E8E8E8"/>
            <w:vAlign w:val="center"/>
            <w:hideMark/>
          </w:tcPr>
          <w:p w14:paraId="0F0DCAF6" w14:textId="77777777" w:rsidR="005D1E29" w:rsidRPr="009B5B11" w:rsidRDefault="005D1E29" w:rsidP="005D1E29">
            <w:pPr>
              <w:pStyle w:val="Instructionaltext"/>
              <w:spacing w:before="0" w:after="0"/>
              <w:rPr>
                <w:color w:val="auto"/>
              </w:rPr>
            </w:pPr>
            <w:r w:rsidRPr="009B5B11">
              <w:rPr>
                <w:b/>
                <w:bCs/>
                <w:color w:val="auto"/>
              </w:rPr>
              <w:t>Organisations (12)</w:t>
            </w:r>
            <w:r w:rsidRPr="009B5B11">
              <w:rPr>
                <w:rFonts w:ascii="Arial" w:hAnsi="Arial" w:cs="Arial"/>
                <w:color w:val="auto"/>
              </w:rPr>
              <w:t>  </w:t>
            </w:r>
            <w:r w:rsidRPr="009B5B11">
              <w:rPr>
                <w:color w:val="auto"/>
              </w:rPr>
              <w:t> </w:t>
            </w:r>
          </w:p>
        </w:tc>
      </w:tr>
      <w:tr w:rsidR="005D1E29" w:rsidRPr="009B5B11" w14:paraId="2A1089FC" w14:textId="77777777" w:rsidTr="009B5B11">
        <w:trPr>
          <w:trHeight w:val="735"/>
        </w:trPr>
        <w:tc>
          <w:tcPr>
            <w:tcW w:w="7770" w:type="dxa"/>
            <w:tcBorders>
              <w:top w:val="nil"/>
              <w:left w:val="single" w:sz="6" w:space="0" w:color="auto"/>
              <w:bottom w:val="single" w:sz="6" w:space="0" w:color="auto"/>
              <w:right w:val="single" w:sz="6" w:space="0" w:color="auto"/>
            </w:tcBorders>
            <w:vAlign w:val="center"/>
            <w:hideMark/>
          </w:tcPr>
          <w:p w14:paraId="0BC0CE73" w14:textId="77777777" w:rsidR="005D1E29" w:rsidRPr="009B5B11" w:rsidRDefault="005D1E29" w:rsidP="005D1E29">
            <w:pPr>
              <w:pStyle w:val="Instructionaltext"/>
              <w:spacing w:before="0" w:after="0"/>
              <w:rPr>
                <w:color w:val="auto"/>
              </w:rPr>
            </w:pPr>
            <w:r w:rsidRPr="009B5B11">
              <w:rPr>
                <w:color w:val="auto"/>
              </w:rPr>
              <w:t>I am providing input on behalf of a consumer group or organisation. Consumer organisations are not-for-profit organisations</w:t>
            </w:r>
            <w:r w:rsidRPr="009B5B11">
              <w:rPr>
                <w:rFonts w:ascii="Arial" w:hAnsi="Arial" w:cs="Arial"/>
                <w:color w:val="auto"/>
              </w:rPr>
              <w:t> </w:t>
            </w:r>
            <w:r w:rsidRPr="009B5B11">
              <w:rPr>
                <w:color w:val="auto"/>
              </w:rPr>
              <w:t>representing</w:t>
            </w:r>
            <w:r w:rsidRPr="009B5B11">
              <w:rPr>
                <w:rFonts w:ascii="Arial" w:hAnsi="Arial" w:cs="Arial"/>
                <w:color w:val="auto"/>
              </w:rPr>
              <w:t> </w:t>
            </w:r>
            <w:r w:rsidRPr="009B5B11">
              <w:rPr>
                <w:color w:val="auto"/>
              </w:rPr>
              <w:t>the interests of healthcare consumers, their</w:t>
            </w:r>
            <w:r w:rsidRPr="009B5B11">
              <w:rPr>
                <w:rFonts w:ascii="Arial" w:hAnsi="Arial" w:cs="Arial"/>
                <w:color w:val="auto"/>
              </w:rPr>
              <w:t> </w:t>
            </w:r>
            <w:r w:rsidRPr="009B5B11">
              <w:rPr>
                <w:color w:val="auto"/>
              </w:rPr>
              <w:t>families</w:t>
            </w:r>
            <w:r w:rsidRPr="009B5B11">
              <w:rPr>
                <w:rFonts w:ascii="Arial" w:hAnsi="Arial" w:cs="Arial"/>
                <w:color w:val="auto"/>
              </w:rPr>
              <w:t> </w:t>
            </w:r>
            <w:r w:rsidRPr="009B5B11">
              <w:rPr>
                <w:color w:val="auto"/>
              </w:rPr>
              <w:t>and carers.</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7EBCBFA1" w14:textId="77777777" w:rsidR="005D1E29" w:rsidRPr="009B5B11" w:rsidRDefault="005D1E29" w:rsidP="005D1E29">
            <w:pPr>
              <w:pStyle w:val="Instructionaltext"/>
              <w:spacing w:before="0" w:after="0"/>
              <w:rPr>
                <w:color w:val="auto"/>
              </w:rPr>
            </w:pPr>
            <w:r w:rsidRPr="009B5B11">
              <w:rPr>
                <w:color w:val="auto"/>
              </w:rPr>
              <w:t>4 </w:t>
            </w:r>
          </w:p>
        </w:tc>
      </w:tr>
      <w:tr w:rsidR="005D1E29" w:rsidRPr="009B5B11" w14:paraId="6995D0FA" w14:textId="77777777" w:rsidTr="009B5B11">
        <w:trPr>
          <w:trHeight w:val="735"/>
        </w:trPr>
        <w:tc>
          <w:tcPr>
            <w:tcW w:w="7770" w:type="dxa"/>
            <w:tcBorders>
              <w:top w:val="nil"/>
              <w:left w:val="single" w:sz="6" w:space="0" w:color="auto"/>
              <w:bottom w:val="single" w:sz="6" w:space="0" w:color="auto"/>
              <w:right w:val="single" w:sz="6" w:space="0" w:color="auto"/>
            </w:tcBorders>
            <w:vAlign w:val="center"/>
            <w:hideMark/>
          </w:tcPr>
          <w:p w14:paraId="578A642F" w14:textId="77777777" w:rsidR="005D1E29" w:rsidRPr="009B5B11" w:rsidRDefault="005D1E29" w:rsidP="005D1E29">
            <w:pPr>
              <w:pStyle w:val="Instructionaltext"/>
              <w:spacing w:before="0" w:after="0"/>
              <w:rPr>
                <w:color w:val="auto"/>
              </w:rPr>
            </w:pPr>
            <w:r w:rsidRPr="009B5B11">
              <w:rPr>
                <w:color w:val="auto"/>
              </w:rPr>
              <w:t>I am providing input on behalf of a medical, health, or other (non-consumer) organisation. For example, input on behalf of a group of clinicians, research organisation, professional college, or from an organisation that produces a similar service or technology.</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73323E88" w14:textId="77777777" w:rsidR="005D1E29" w:rsidRPr="009B5B11" w:rsidRDefault="005D1E29" w:rsidP="005D1E29">
            <w:pPr>
              <w:pStyle w:val="Instructionaltext"/>
              <w:spacing w:before="0" w:after="0"/>
              <w:rPr>
                <w:color w:val="auto"/>
              </w:rPr>
            </w:pPr>
            <w:r w:rsidRPr="009B5B11">
              <w:rPr>
                <w:color w:val="auto"/>
              </w:rPr>
              <w:t>8 </w:t>
            </w:r>
          </w:p>
        </w:tc>
      </w:tr>
      <w:tr w:rsidR="005D1E29" w:rsidRPr="009B5B11" w14:paraId="2ADB8740" w14:textId="77777777" w:rsidTr="009B5B11">
        <w:trPr>
          <w:trHeight w:val="285"/>
        </w:trPr>
        <w:tc>
          <w:tcPr>
            <w:tcW w:w="9000" w:type="dxa"/>
            <w:gridSpan w:val="2"/>
            <w:tcBorders>
              <w:top w:val="single" w:sz="6" w:space="0" w:color="auto"/>
              <w:left w:val="single" w:sz="6" w:space="0" w:color="auto"/>
              <w:bottom w:val="single" w:sz="6" w:space="0" w:color="auto"/>
              <w:right w:val="single" w:sz="6" w:space="0" w:color="auto"/>
            </w:tcBorders>
            <w:shd w:val="clear" w:color="auto" w:fill="E8E8E8"/>
            <w:vAlign w:val="center"/>
            <w:hideMark/>
          </w:tcPr>
          <w:p w14:paraId="337F047A" w14:textId="77777777" w:rsidR="005D1E29" w:rsidRPr="009B5B11" w:rsidRDefault="005D1E29" w:rsidP="005D1E29">
            <w:pPr>
              <w:pStyle w:val="Instructionaltext"/>
              <w:spacing w:before="0" w:after="0"/>
              <w:rPr>
                <w:color w:val="auto"/>
              </w:rPr>
            </w:pPr>
            <w:r w:rsidRPr="009B5B11">
              <w:rPr>
                <w:b/>
                <w:bCs/>
                <w:color w:val="auto"/>
              </w:rPr>
              <w:t>Individual input *</w:t>
            </w:r>
            <w:r w:rsidRPr="009B5B11">
              <w:rPr>
                <w:color w:val="auto"/>
              </w:rPr>
              <w:t> </w:t>
            </w:r>
          </w:p>
        </w:tc>
      </w:tr>
      <w:tr w:rsidR="005D1E29" w:rsidRPr="009B5B11" w14:paraId="593FDA0D" w14:textId="77777777" w:rsidTr="009B5B11">
        <w:trPr>
          <w:trHeight w:val="285"/>
        </w:trPr>
        <w:tc>
          <w:tcPr>
            <w:tcW w:w="7770" w:type="dxa"/>
            <w:tcBorders>
              <w:top w:val="nil"/>
              <w:left w:val="single" w:sz="6" w:space="0" w:color="auto"/>
              <w:bottom w:val="single" w:sz="6" w:space="0" w:color="auto"/>
              <w:right w:val="single" w:sz="6" w:space="0" w:color="auto"/>
            </w:tcBorders>
            <w:vAlign w:val="center"/>
            <w:hideMark/>
          </w:tcPr>
          <w:p w14:paraId="42E06E4D" w14:textId="77777777" w:rsidR="005D1E29" w:rsidRPr="009B5B11" w:rsidRDefault="005D1E29" w:rsidP="005D1E29">
            <w:pPr>
              <w:pStyle w:val="Instructionaltext"/>
              <w:spacing w:before="0" w:after="0"/>
              <w:rPr>
                <w:color w:val="auto"/>
              </w:rPr>
            </w:pPr>
            <w:r w:rsidRPr="009B5B11">
              <w:rPr>
                <w:color w:val="auto"/>
              </w:rPr>
              <w:t>I am a health professional or health academic working in the area.</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36F467D3" w14:textId="77777777" w:rsidR="005D1E29" w:rsidRPr="009B5B11" w:rsidRDefault="005D1E29" w:rsidP="005D1E29">
            <w:pPr>
              <w:pStyle w:val="Instructionaltext"/>
              <w:spacing w:before="0" w:after="0"/>
              <w:rPr>
                <w:color w:val="auto"/>
              </w:rPr>
            </w:pPr>
            <w:r w:rsidRPr="009B5B11">
              <w:rPr>
                <w:color w:val="auto"/>
              </w:rPr>
              <w:t>44 </w:t>
            </w:r>
          </w:p>
        </w:tc>
      </w:tr>
      <w:tr w:rsidR="005D1E29" w:rsidRPr="009B5B11" w14:paraId="7E4C1294" w14:textId="77777777" w:rsidTr="009B5B11">
        <w:trPr>
          <w:trHeight w:val="285"/>
        </w:trPr>
        <w:tc>
          <w:tcPr>
            <w:tcW w:w="9000" w:type="dxa"/>
            <w:gridSpan w:val="2"/>
            <w:tcBorders>
              <w:top w:val="single" w:sz="6" w:space="0" w:color="auto"/>
              <w:left w:val="single" w:sz="6" w:space="0" w:color="auto"/>
              <w:bottom w:val="single" w:sz="6" w:space="0" w:color="auto"/>
              <w:right w:val="single" w:sz="6" w:space="0" w:color="auto"/>
            </w:tcBorders>
            <w:shd w:val="clear" w:color="auto" w:fill="E8E8E8"/>
            <w:vAlign w:val="center"/>
            <w:hideMark/>
          </w:tcPr>
          <w:p w14:paraId="019CFABF" w14:textId="77777777" w:rsidR="005D1E29" w:rsidRPr="009B5B11" w:rsidRDefault="005D1E29" w:rsidP="005D1E29">
            <w:pPr>
              <w:pStyle w:val="Instructionaltext"/>
              <w:spacing w:before="0" w:after="0"/>
              <w:rPr>
                <w:color w:val="auto"/>
              </w:rPr>
            </w:pPr>
            <w:r w:rsidRPr="009B5B11">
              <w:rPr>
                <w:color w:val="auto"/>
              </w:rPr>
              <w:t> </w:t>
            </w:r>
          </w:p>
        </w:tc>
      </w:tr>
      <w:tr w:rsidR="005D1E29" w:rsidRPr="009B5B11" w14:paraId="659BD686" w14:textId="77777777" w:rsidTr="009B5B11">
        <w:trPr>
          <w:trHeight w:val="285"/>
        </w:trPr>
        <w:tc>
          <w:tcPr>
            <w:tcW w:w="7770" w:type="dxa"/>
            <w:tcBorders>
              <w:top w:val="nil"/>
              <w:left w:val="single" w:sz="6" w:space="0" w:color="auto"/>
              <w:bottom w:val="single" w:sz="6" w:space="0" w:color="auto"/>
              <w:right w:val="single" w:sz="6" w:space="0" w:color="auto"/>
            </w:tcBorders>
            <w:vAlign w:val="center"/>
            <w:hideMark/>
          </w:tcPr>
          <w:p w14:paraId="4771A383" w14:textId="77777777" w:rsidR="005D1E29" w:rsidRPr="009B5B11" w:rsidRDefault="005D1E29" w:rsidP="005D1E29">
            <w:pPr>
              <w:pStyle w:val="Instructionaltext"/>
              <w:spacing w:before="0" w:after="0"/>
              <w:rPr>
                <w:color w:val="auto"/>
              </w:rPr>
            </w:pPr>
            <w:r w:rsidRPr="009B5B11">
              <w:rPr>
                <w:color w:val="auto"/>
              </w:rPr>
              <w:t>I have the health condition that this health service or technology is for.</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6D9AC59C" w14:textId="77777777" w:rsidR="005D1E29" w:rsidRPr="009B5B11" w:rsidRDefault="005D1E29" w:rsidP="005D1E29">
            <w:pPr>
              <w:pStyle w:val="Instructionaltext"/>
              <w:spacing w:before="0" w:after="0"/>
              <w:rPr>
                <w:color w:val="auto"/>
              </w:rPr>
            </w:pPr>
            <w:r w:rsidRPr="009B5B11">
              <w:rPr>
                <w:color w:val="auto"/>
              </w:rPr>
              <w:t>120 </w:t>
            </w:r>
          </w:p>
        </w:tc>
      </w:tr>
      <w:tr w:rsidR="005D1E29" w:rsidRPr="009B5B11" w14:paraId="2B8E6EC0" w14:textId="77777777" w:rsidTr="009B5B11">
        <w:trPr>
          <w:trHeight w:val="495"/>
        </w:trPr>
        <w:tc>
          <w:tcPr>
            <w:tcW w:w="7770" w:type="dxa"/>
            <w:tcBorders>
              <w:top w:val="nil"/>
              <w:left w:val="single" w:sz="6" w:space="0" w:color="auto"/>
              <w:bottom w:val="single" w:sz="6" w:space="0" w:color="auto"/>
              <w:right w:val="single" w:sz="6" w:space="0" w:color="auto"/>
            </w:tcBorders>
            <w:vAlign w:val="center"/>
            <w:hideMark/>
          </w:tcPr>
          <w:p w14:paraId="2681BF67" w14:textId="77777777" w:rsidR="005D1E29" w:rsidRPr="009B5B11" w:rsidRDefault="005D1E29" w:rsidP="005D1E29">
            <w:pPr>
              <w:pStyle w:val="Instructionaltext"/>
              <w:spacing w:before="0" w:after="0"/>
              <w:rPr>
                <w:color w:val="auto"/>
              </w:rPr>
            </w:pPr>
            <w:r w:rsidRPr="009B5B11">
              <w:rPr>
                <w:color w:val="auto"/>
              </w:rPr>
              <w:t>I have the health condition that this health service or technology is for and have experience with the proposed health service or technology.</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5A989B66" w14:textId="77777777" w:rsidR="005D1E29" w:rsidRPr="009B5B11" w:rsidRDefault="005D1E29" w:rsidP="005D1E29">
            <w:pPr>
              <w:pStyle w:val="Instructionaltext"/>
              <w:spacing w:before="0" w:after="0"/>
              <w:rPr>
                <w:color w:val="auto"/>
              </w:rPr>
            </w:pPr>
            <w:r w:rsidRPr="009B5B11">
              <w:rPr>
                <w:color w:val="auto"/>
              </w:rPr>
              <w:t>368 </w:t>
            </w:r>
          </w:p>
        </w:tc>
      </w:tr>
      <w:tr w:rsidR="005D1E29" w:rsidRPr="009B5B11" w14:paraId="0A2A348F" w14:textId="77777777" w:rsidTr="009B5B11">
        <w:trPr>
          <w:trHeight w:val="495"/>
        </w:trPr>
        <w:tc>
          <w:tcPr>
            <w:tcW w:w="7770" w:type="dxa"/>
            <w:tcBorders>
              <w:top w:val="nil"/>
              <w:left w:val="single" w:sz="6" w:space="0" w:color="auto"/>
              <w:bottom w:val="single" w:sz="6" w:space="0" w:color="auto"/>
              <w:right w:val="single" w:sz="6" w:space="0" w:color="auto"/>
            </w:tcBorders>
            <w:vAlign w:val="center"/>
            <w:hideMark/>
          </w:tcPr>
          <w:p w14:paraId="123B754C" w14:textId="77777777" w:rsidR="005D1E29" w:rsidRPr="009B5B11" w:rsidRDefault="005D1E29" w:rsidP="005D1E29">
            <w:pPr>
              <w:pStyle w:val="Instructionaltext"/>
              <w:spacing w:before="0" w:after="0"/>
              <w:rPr>
                <w:color w:val="auto"/>
              </w:rPr>
            </w:pPr>
            <w:r w:rsidRPr="009B5B11">
              <w:rPr>
                <w:color w:val="auto"/>
              </w:rPr>
              <w:t>I am a parent, partner or another person caring for someone from the above two groups.</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0E0FAB45" w14:textId="77777777" w:rsidR="005D1E29" w:rsidRPr="009B5B11" w:rsidRDefault="005D1E29" w:rsidP="005D1E29">
            <w:pPr>
              <w:pStyle w:val="Instructionaltext"/>
              <w:spacing w:before="0" w:after="0"/>
              <w:rPr>
                <w:color w:val="auto"/>
              </w:rPr>
            </w:pPr>
            <w:r w:rsidRPr="009B5B11">
              <w:rPr>
                <w:color w:val="auto"/>
              </w:rPr>
              <w:t>48 </w:t>
            </w:r>
          </w:p>
        </w:tc>
      </w:tr>
      <w:tr w:rsidR="005D1E29" w:rsidRPr="009B5B11" w14:paraId="1FD7B120" w14:textId="77777777" w:rsidTr="009B5B11">
        <w:trPr>
          <w:trHeight w:val="285"/>
        </w:trPr>
        <w:tc>
          <w:tcPr>
            <w:tcW w:w="7770" w:type="dxa"/>
            <w:tcBorders>
              <w:top w:val="nil"/>
              <w:left w:val="single" w:sz="6" w:space="0" w:color="auto"/>
              <w:bottom w:val="single" w:sz="6" w:space="0" w:color="auto"/>
              <w:right w:val="single" w:sz="6" w:space="0" w:color="auto"/>
            </w:tcBorders>
            <w:vAlign w:val="center"/>
            <w:hideMark/>
          </w:tcPr>
          <w:p w14:paraId="102F1829" w14:textId="77777777" w:rsidR="005D1E29" w:rsidRPr="009B5B11" w:rsidRDefault="005D1E29" w:rsidP="005D1E29">
            <w:pPr>
              <w:pStyle w:val="Instructionaltext"/>
              <w:spacing w:before="0" w:after="0"/>
              <w:rPr>
                <w:color w:val="auto"/>
              </w:rPr>
            </w:pPr>
            <w:r w:rsidRPr="009B5B11">
              <w:rPr>
                <w:color w:val="auto"/>
              </w:rPr>
              <w:t>I am an interested individual who does not fall into any of the above categories.</w:t>
            </w:r>
            <w:r w:rsidRPr="009B5B11">
              <w:rPr>
                <w:rFonts w:ascii="Arial" w:hAnsi="Arial" w:cs="Arial"/>
                <w:color w:val="auto"/>
              </w:rPr>
              <w:t>  </w:t>
            </w:r>
            <w:r w:rsidRPr="009B5B11">
              <w:rPr>
                <w:rFonts w:cs="Franklin Gothic Book"/>
                <w:color w:val="auto"/>
              </w:rPr>
              <w:t> </w:t>
            </w:r>
          </w:p>
        </w:tc>
        <w:tc>
          <w:tcPr>
            <w:tcW w:w="1230" w:type="dxa"/>
            <w:tcBorders>
              <w:top w:val="nil"/>
              <w:left w:val="nil"/>
              <w:bottom w:val="single" w:sz="6" w:space="0" w:color="auto"/>
              <w:right w:val="single" w:sz="6" w:space="0" w:color="auto"/>
            </w:tcBorders>
            <w:vAlign w:val="center"/>
            <w:hideMark/>
          </w:tcPr>
          <w:p w14:paraId="79BE97EF" w14:textId="77777777" w:rsidR="005D1E29" w:rsidRPr="009B5B11" w:rsidRDefault="005D1E29" w:rsidP="005D1E29">
            <w:pPr>
              <w:pStyle w:val="Instructionaltext"/>
              <w:spacing w:before="0" w:after="0"/>
              <w:rPr>
                <w:color w:val="auto"/>
              </w:rPr>
            </w:pPr>
            <w:r w:rsidRPr="009B5B11">
              <w:rPr>
                <w:color w:val="auto"/>
              </w:rPr>
              <w:t>26 </w:t>
            </w:r>
          </w:p>
        </w:tc>
      </w:tr>
      <w:tr w:rsidR="005D1E29" w:rsidRPr="009B5B11" w14:paraId="6019C76A" w14:textId="77777777" w:rsidTr="009B5B11">
        <w:trPr>
          <w:trHeight w:val="285"/>
        </w:trPr>
        <w:tc>
          <w:tcPr>
            <w:tcW w:w="7770" w:type="dxa"/>
            <w:tcBorders>
              <w:top w:val="nil"/>
              <w:left w:val="single" w:sz="6" w:space="0" w:color="auto"/>
              <w:bottom w:val="single" w:sz="6" w:space="0" w:color="auto"/>
              <w:right w:val="single" w:sz="6" w:space="0" w:color="auto"/>
            </w:tcBorders>
            <w:vAlign w:val="center"/>
            <w:hideMark/>
          </w:tcPr>
          <w:p w14:paraId="30B2D17F" w14:textId="77777777" w:rsidR="005D1E29" w:rsidRPr="009B5B11" w:rsidRDefault="005D1E29" w:rsidP="005D1E29">
            <w:pPr>
              <w:pStyle w:val="Instructionaltext"/>
              <w:spacing w:before="0" w:after="0"/>
              <w:rPr>
                <w:color w:val="auto"/>
              </w:rPr>
            </w:pPr>
            <w:r w:rsidRPr="009B5B11">
              <w:rPr>
                <w:b/>
                <w:bCs/>
                <w:color w:val="auto"/>
              </w:rPr>
              <w:t>Total number of inputs received </w:t>
            </w:r>
            <w:r w:rsidRPr="009B5B11">
              <w:rPr>
                <w:rFonts w:ascii="Arial" w:hAnsi="Arial" w:cs="Arial"/>
                <w:color w:val="auto"/>
              </w:rPr>
              <w:t> </w:t>
            </w:r>
            <w:r w:rsidRPr="009B5B11">
              <w:rPr>
                <w:color w:val="auto"/>
              </w:rPr>
              <w:t> </w:t>
            </w:r>
          </w:p>
        </w:tc>
        <w:tc>
          <w:tcPr>
            <w:tcW w:w="1230" w:type="dxa"/>
            <w:tcBorders>
              <w:top w:val="nil"/>
              <w:left w:val="nil"/>
              <w:bottom w:val="single" w:sz="6" w:space="0" w:color="auto"/>
              <w:right w:val="single" w:sz="6" w:space="0" w:color="auto"/>
            </w:tcBorders>
            <w:vAlign w:val="center"/>
            <w:hideMark/>
          </w:tcPr>
          <w:p w14:paraId="571BC9CE" w14:textId="77777777" w:rsidR="005D1E29" w:rsidRPr="009B5B11" w:rsidRDefault="005D1E29" w:rsidP="005D1E29">
            <w:pPr>
              <w:pStyle w:val="Instructionaltext"/>
              <w:spacing w:before="0" w:after="0"/>
              <w:rPr>
                <w:color w:val="auto"/>
              </w:rPr>
            </w:pPr>
            <w:r w:rsidRPr="009B5B11">
              <w:rPr>
                <w:b/>
                <w:bCs/>
                <w:color w:val="auto"/>
              </w:rPr>
              <w:t>573</w:t>
            </w:r>
            <w:r w:rsidRPr="009B5B11">
              <w:rPr>
                <w:color w:val="auto"/>
              </w:rPr>
              <w:t> </w:t>
            </w:r>
          </w:p>
        </w:tc>
      </w:tr>
      <w:tr w:rsidR="005D1E29" w:rsidRPr="009B5B11" w14:paraId="2FE7F87E" w14:textId="77777777" w:rsidTr="009B5B11">
        <w:trPr>
          <w:trHeight w:val="285"/>
        </w:trPr>
        <w:tc>
          <w:tcPr>
            <w:tcW w:w="9000" w:type="dxa"/>
            <w:gridSpan w:val="2"/>
            <w:tcBorders>
              <w:top w:val="single" w:sz="6" w:space="0" w:color="auto"/>
              <w:left w:val="single" w:sz="6" w:space="0" w:color="auto"/>
              <w:bottom w:val="single" w:sz="6" w:space="0" w:color="auto"/>
              <w:right w:val="single" w:sz="6" w:space="0" w:color="auto"/>
            </w:tcBorders>
            <w:vAlign w:val="center"/>
            <w:hideMark/>
          </w:tcPr>
          <w:p w14:paraId="580416B5" w14:textId="77777777" w:rsidR="005D1E29" w:rsidRPr="009B5B11" w:rsidRDefault="005D1E29" w:rsidP="005D1E29">
            <w:pPr>
              <w:pStyle w:val="Instructionaltext"/>
              <w:spacing w:before="0" w:after="0"/>
              <w:rPr>
                <w:color w:val="auto"/>
              </w:rPr>
            </w:pPr>
            <w:r w:rsidRPr="009B5B11">
              <w:rPr>
                <w:color w:val="auto"/>
              </w:rPr>
              <w:t>*NOTE:  Approximately half (52%) of respondents selected more than one category so the totals for each individual category when added together will be greater than the total number of inputs. That is, some of the people who indicated that they have the health condition will also have been counted as parents, health workers etc.   </w:t>
            </w:r>
          </w:p>
        </w:tc>
      </w:tr>
    </w:tbl>
    <w:p w14:paraId="58FF9413" w14:textId="3EE86462" w:rsidR="005D1E29" w:rsidRPr="009B5B11" w:rsidRDefault="005D1E29" w:rsidP="00CE7EA9">
      <w:pPr>
        <w:pStyle w:val="Instructionaltext"/>
        <w:spacing w:before="240"/>
        <w:rPr>
          <w:color w:val="auto"/>
        </w:rPr>
      </w:pPr>
      <w:r w:rsidRPr="009B5B11">
        <w:rPr>
          <w:color w:val="auto"/>
        </w:rPr>
        <w:t>The Medical Services Advisory Committee (MSAC)</w:t>
      </w:r>
      <w:r w:rsidR="00442429" w:rsidRPr="009B5B11">
        <w:rPr>
          <w:color w:val="auto"/>
        </w:rPr>
        <w:t xml:space="preserve"> </w:t>
      </w:r>
      <w:r w:rsidRPr="009B5B11">
        <w:rPr>
          <w:color w:val="auto"/>
        </w:rPr>
        <w:t>received</w:t>
      </w:r>
      <w:r w:rsidRPr="009B5B11">
        <w:rPr>
          <w:rFonts w:ascii="Arial" w:hAnsi="Arial" w:cs="Arial"/>
          <w:color w:val="auto"/>
        </w:rPr>
        <w:t> </w:t>
      </w:r>
      <w:r w:rsidRPr="009B5B11">
        <w:rPr>
          <w:color w:val="auto"/>
        </w:rPr>
        <w:t>consultation input</w:t>
      </w:r>
      <w:r w:rsidR="00442429" w:rsidRPr="009B5B11">
        <w:rPr>
          <w:color w:val="auto"/>
        </w:rPr>
        <w:t xml:space="preserve"> </w:t>
      </w:r>
      <w:r w:rsidRPr="009B5B11">
        <w:rPr>
          <w:color w:val="auto"/>
        </w:rPr>
        <w:t>from</w:t>
      </w:r>
      <w:r w:rsidRPr="009B5B11">
        <w:rPr>
          <w:rFonts w:ascii="Arial" w:hAnsi="Arial" w:cs="Arial"/>
          <w:color w:val="auto"/>
        </w:rPr>
        <w:t> </w:t>
      </w:r>
      <w:r w:rsidRPr="009B5B11">
        <w:rPr>
          <w:color w:val="auto"/>
        </w:rPr>
        <w:t>12</w:t>
      </w:r>
      <w:r w:rsidRPr="009B5B11">
        <w:rPr>
          <w:rFonts w:ascii="Arial" w:hAnsi="Arial" w:cs="Arial"/>
          <w:color w:val="auto"/>
        </w:rPr>
        <w:t> </w:t>
      </w:r>
      <w:r w:rsidRPr="009B5B11">
        <w:rPr>
          <w:color w:val="auto"/>
        </w:rPr>
        <w:t>organisations</w:t>
      </w:r>
      <w:r w:rsidR="00442429" w:rsidRPr="009B5B11">
        <w:rPr>
          <w:rFonts w:cs="Franklin Gothic Book"/>
          <w:color w:val="auto"/>
        </w:rPr>
        <w:t xml:space="preserve"> </w:t>
      </w:r>
      <w:r w:rsidRPr="009B5B11">
        <w:rPr>
          <w:color w:val="auto"/>
        </w:rPr>
        <w:t>(4</w:t>
      </w:r>
      <w:r w:rsidR="00442429" w:rsidRPr="009B5B11">
        <w:rPr>
          <w:rFonts w:cs="Franklin Gothic Book"/>
          <w:color w:val="auto"/>
        </w:rPr>
        <w:t xml:space="preserve"> </w:t>
      </w:r>
      <w:r w:rsidRPr="009B5B11">
        <w:rPr>
          <w:color w:val="auto"/>
        </w:rPr>
        <w:t>consumer organisation and</w:t>
      </w:r>
      <w:r w:rsidR="00442429" w:rsidRPr="009B5B11">
        <w:rPr>
          <w:rFonts w:cs="Franklin Gothic Book"/>
          <w:color w:val="auto"/>
        </w:rPr>
        <w:t xml:space="preserve"> </w:t>
      </w:r>
      <w:r w:rsidRPr="009B5B11">
        <w:rPr>
          <w:color w:val="auto"/>
        </w:rPr>
        <w:t>8</w:t>
      </w:r>
      <w:r w:rsidR="00442429" w:rsidRPr="009B5B11">
        <w:rPr>
          <w:rFonts w:cs="Franklin Gothic Book"/>
          <w:color w:val="auto"/>
        </w:rPr>
        <w:t xml:space="preserve"> </w:t>
      </w:r>
      <w:r w:rsidRPr="009B5B11">
        <w:rPr>
          <w:color w:val="auto"/>
        </w:rPr>
        <w:t>health organisations)</w:t>
      </w:r>
      <w:r w:rsidR="00442429" w:rsidRPr="009B5B11">
        <w:rPr>
          <w:rFonts w:cs="Franklin Gothic Book"/>
          <w:color w:val="auto"/>
        </w:rPr>
        <w:t xml:space="preserve"> </w:t>
      </w:r>
      <w:r w:rsidRPr="009B5B11">
        <w:rPr>
          <w:color w:val="auto"/>
        </w:rPr>
        <w:t>and</w:t>
      </w:r>
      <w:r w:rsidR="00442429" w:rsidRPr="009B5B11">
        <w:rPr>
          <w:rFonts w:cs="Franklin Gothic Book"/>
          <w:color w:val="auto"/>
        </w:rPr>
        <w:t xml:space="preserve"> </w:t>
      </w:r>
      <w:r w:rsidRPr="009B5B11">
        <w:rPr>
          <w:color w:val="auto"/>
        </w:rPr>
        <w:t>561individuals.</w:t>
      </w:r>
      <w:r w:rsidR="00442429" w:rsidRPr="009B5B11">
        <w:rPr>
          <w:rFonts w:cs="Franklin Gothic Book"/>
          <w:color w:val="auto"/>
        </w:rPr>
        <w:t xml:space="preserve"> </w:t>
      </w:r>
      <w:r w:rsidRPr="009B5B11">
        <w:rPr>
          <w:color w:val="auto"/>
        </w:rPr>
        <w:t>Approximately</w:t>
      </w:r>
      <w:r w:rsidR="00442429" w:rsidRPr="009B5B11">
        <w:rPr>
          <w:rFonts w:cs="Franklin Gothic Book"/>
          <w:color w:val="auto"/>
        </w:rPr>
        <w:t xml:space="preserve"> </w:t>
      </w:r>
      <w:r w:rsidRPr="009B5B11">
        <w:rPr>
          <w:color w:val="auto"/>
        </w:rPr>
        <w:t>half</w:t>
      </w:r>
      <w:r w:rsidR="00D267EA">
        <w:rPr>
          <w:rFonts w:cs="Franklin Gothic Book"/>
          <w:color w:val="auto"/>
        </w:rPr>
        <w:t xml:space="preserve"> </w:t>
      </w:r>
      <w:r w:rsidRPr="009B5B11">
        <w:rPr>
          <w:color w:val="auto"/>
        </w:rPr>
        <w:t>of respondents (52%) selected multiple response categories. For example,</w:t>
      </w:r>
      <w:r w:rsidR="00442429" w:rsidRPr="009B5B11">
        <w:rPr>
          <w:color w:val="auto"/>
        </w:rPr>
        <w:t xml:space="preserve"> </w:t>
      </w:r>
      <w:r w:rsidRPr="009B5B11">
        <w:rPr>
          <w:color w:val="auto"/>
        </w:rPr>
        <w:t>they</w:t>
      </w:r>
      <w:r w:rsidR="00D267EA">
        <w:rPr>
          <w:color w:val="auto"/>
        </w:rPr>
        <w:t xml:space="preserve"> </w:t>
      </w:r>
      <w:r w:rsidRPr="009B5B11">
        <w:rPr>
          <w:color w:val="auto"/>
        </w:rPr>
        <w:t>indicated that they had the condition of interest and were also a health practitioner or academic</w:t>
      </w:r>
      <w:r w:rsidR="00D267EA">
        <w:rPr>
          <w:color w:val="auto"/>
        </w:rPr>
        <w:t xml:space="preserve"> </w:t>
      </w:r>
      <w:r w:rsidRPr="009B5B11">
        <w:rPr>
          <w:color w:val="auto"/>
        </w:rPr>
        <w:t>and/or a parent or carer of someone with diabetes. Approximately 87% of individual respondents identified as having diabetes and around three quarters of these had used a continuous glucose monitor (CGM). In addition, ~9% indicated that they were a parent or carer of someone with diabetes; ~8% indicated that they were a health practitioner or health academic; and ~4% indicated that they were another interested party. Many respondents who selected one or more individual respondent types also indicated that they were submitting on behalf of an organisation. In many cases this was because they were acting in response to email advice they received</w:t>
      </w:r>
      <w:r w:rsidR="005C01DA">
        <w:rPr>
          <w:color w:val="auto"/>
        </w:rPr>
        <w:t xml:space="preserve"> </w:t>
      </w:r>
      <w:r w:rsidRPr="009B5B11">
        <w:rPr>
          <w:color w:val="auto"/>
        </w:rPr>
        <w:t>from the applicant about the MSAC consultation. For the purposes of this summary, these</w:t>
      </w:r>
      <w:r w:rsidR="005C01DA">
        <w:rPr>
          <w:color w:val="auto"/>
        </w:rPr>
        <w:t xml:space="preserve"> </w:t>
      </w:r>
      <w:r w:rsidRPr="009B5B11">
        <w:rPr>
          <w:color w:val="auto"/>
        </w:rPr>
        <w:t>inputs have been treated as input from individuals. </w:t>
      </w:r>
    </w:p>
    <w:p w14:paraId="4551597E" w14:textId="45F3239E" w:rsidR="005D1E29" w:rsidRPr="009B5B11" w:rsidRDefault="005D1E29" w:rsidP="005D1E29">
      <w:pPr>
        <w:pStyle w:val="Instructionaltext"/>
        <w:rPr>
          <w:color w:val="auto"/>
        </w:rPr>
      </w:pPr>
      <w:r w:rsidRPr="009B5B11">
        <w:rPr>
          <w:color w:val="auto"/>
        </w:rPr>
        <w:t>The organisations that provided input were: </w:t>
      </w:r>
    </w:p>
    <w:p w14:paraId="5CE30825" w14:textId="77777777" w:rsidR="005D1E29" w:rsidRPr="009B5B11" w:rsidRDefault="005D1E29" w:rsidP="00670C60">
      <w:pPr>
        <w:pStyle w:val="Instructionaltext"/>
        <w:numPr>
          <w:ilvl w:val="0"/>
          <w:numId w:val="33"/>
        </w:numPr>
        <w:spacing w:before="0" w:after="0"/>
        <w:ind w:left="714" w:hanging="357"/>
        <w:rPr>
          <w:color w:val="auto"/>
        </w:rPr>
      </w:pPr>
      <w:r w:rsidRPr="009B5B11">
        <w:rPr>
          <w:color w:val="auto"/>
        </w:rPr>
        <w:t>DPV Health  </w:t>
      </w:r>
    </w:p>
    <w:p w14:paraId="0CBC5753" w14:textId="77777777" w:rsidR="005D1E29" w:rsidRPr="009B5B11" w:rsidRDefault="005D1E29" w:rsidP="00670C60">
      <w:pPr>
        <w:pStyle w:val="Instructionaltext"/>
        <w:numPr>
          <w:ilvl w:val="0"/>
          <w:numId w:val="34"/>
        </w:numPr>
        <w:spacing w:before="0" w:after="0"/>
        <w:ind w:left="714" w:hanging="357"/>
        <w:rPr>
          <w:color w:val="auto"/>
        </w:rPr>
      </w:pPr>
      <w:r w:rsidRPr="009B5B11">
        <w:rPr>
          <w:color w:val="auto"/>
        </w:rPr>
        <w:t>Cystic Fibrosis Qld, which noted its submission was informed by direct engagement with people living with cystic fibrosis, families, service providers and clinicians </w:t>
      </w:r>
    </w:p>
    <w:p w14:paraId="306EC380" w14:textId="77777777" w:rsidR="005D1E29" w:rsidRPr="009B5B11" w:rsidRDefault="005D1E29" w:rsidP="00670C60">
      <w:pPr>
        <w:pStyle w:val="Instructionaltext"/>
        <w:numPr>
          <w:ilvl w:val="0"/>
          <w:numId w:val="35"/>
        </w:numPr>
        <w:spacing w:before="0" w:after="0"/>
        <w:ind w:left="714" w:hanging="357"/>
        <w:rPr>
          <w:color w:val="auto"/>
        </w:rPr>
      </w:pPr>
      <w:r w:rsidRPr="009B5B11">
        <w:rPr>
          <w:color w:val="auto"/>
        </w:rPr>
        <w:t>Western Sydney Diabetes</w:t>
      </w:r>
      <w:r w:rsidRPr="009B5B11">
        <w:rPr>
          <w:color w:val="auto"/>
          <w:vertAlign w:val="superscript"/>
        </w:rPr>
        <w:t>1</w:t>
      </w:r>
      <w:r w:rsidRPr="009B5B11">
        <w:rPr>
          <w:color w:val="auto"/>
        </w:rPr>
        <w:t> </w:t>
      </w:r>
    </w:p>
    <w:p w14:paraId="244ECFC2" w14:textId="77777777" w:rsidR="005D1E29" w:rsidRPr="009B5B11" w:rsidRDefault="005D1E29" w:rsidP="00670C60">
      <w:pPr>
        <w:pStyle w:val="Instructionaltext"/>
        <w:numPr>
          <w:ilvl w:val="0"/>
          <w:numId w:val="36"/>
        </w:numPr>
        <w:spacing w:before="0" w:after="0"/>
        <w:ind w:left="714" w:hanging="357"/>
        <w:rPr>
          <w:color w:val="auto"/>
        </w:rPr>
      </w:pPr>
      <w:r w:rsidRPr="009B5B11">
        <w:rPr>
          <w:color w:val="auto"/>
        </w:rPr>
        <w:t>Queensland Diabetes Clinical Network </w:t>
      </w:r>
    </w:p>
    <w:p w14:paraId="7E84F92C" w14:textId="77777777" w:rsidR="005D1E29" w:rsidRPr="009B5B11" w:rsidRDefault="005D1E29" w:rsidP="00670C60">
      <w:pPr>
        <w:pStyle w:val="Instructionaltext"/>
        <w:numPr>
          <w:ilvl w:val="0"/>
          <w:numId w:val="37"/>
        </w:numPr>
        <w:spacing w:before="0" w:after="0"/>
        <w:ind w:left="714" w:hanging="357"/>
        <w:rPr>
          <w:color w:val="auto"/>
        </w:rPr>
      </w:pPr>
      <w:r w:rsidRPr="009B5B11">
        <w:rPr>
          <w:color w:val="auto"/>
        </w:rPr>
        <w:t>Diabetes Australia  </w:t>
      </w:r>
    </w:p>
    <w:p w14:paraId="4E5819ED" w14:textId="77777777" w:rsidR="005D1E29" w:rsidRPr="009B5B11" w:rsidRDefault="005D1E29" w:rsidP="00670C60">
      <w:pPr>
        <w:pStyle w:val="Instructionaltext"/>
        <w:numPr>
          <w:ilvl w:val="0"/>
          <w:numId w:val="38"/>
        </w:numPr>
        <w:spacing w:before="0" w:after="0"/>
        <w:ind w:left="714" w:hanging="357"/>
        <w:rPr>
          <w:color w:val="auto"/>
        </w:rPr>
      </w:pPr>
      <w:r w:rsidRPr="009B5B11">
        <w:rPr>
          <w:color w:val="auto"/>
        </w:rPr>
        <w:lastRenderedPageBreak/>
        <w:t>Australasian Diabetes in Pregnancy Society </w:t>
      </w:r>
    </w:p>
    <w:p w14:paraId="24E76633" w14:textId="77777777" w:rsidR="005D1E29" w:rsidRPr="009B5B11" w:rsidRDefault="005D1E29" w:rsidP="00670C60">
      <w:pPr>
        <w:pStyle w:val="Instructionaltext"/>
        <w:numPr>
          <w:ilvl w:val="0"/>
          <w:numId w:val="39"/>
        </w:numPr>
        <w:spacing w:before="0" w:after="0"/>
        <w:ind w:left="714" w:hanging="357"/>
        <w:rPr>
          <w:color w:val="auto"/>
        </w:rPr>
      </w:pPr>
      <w:r w:rsidRPr="009B5B11">
        <w:rPr>
          <w:color w:val="auto"/>
        </w:rPr>
        <w:t>The Prince Charles Hospital, Queensland Lung Transplant Service and Advanced Heart Failure and Heart Transplant Unit </w:t>
      </w:r>
    </w:p>
    <w:p w14:paraId="5C4888D8" w14:textId="77777777" w:rsidR="005D1E29" w:rsidRPr="009B5B11" w:rsidRDefault="005D1E29" w:rsidP="00670C60">
      <w:pPr>
        <w:pStyle w:val="Instructionaltext"/>
        <w:numPr>
          <w:ilvl w:val="0"/>
          <w:numId w:val="40"/>
        </w:numPr>
        <w:spacing w:before="0" w:after="0"/>
        <w:ind w:left="714" w:hanging="357"/>
        <w:rPr>
          <w:color w:val="auto"/>
        </w:rPr>
      </w:pPr>
      <w:r w:rsidRPr="009B5B11">
        <w:rPr>
          <w:color w:val="auto"/>
        </w:rPr>
        <w:t>CF Together (2 inputs) </w:t>
      </w:r>
    </w:p>
    <w:p w14:paraId="65B6A9E6" w14:textId="77777777" w:rsidR="005D1E29" w:rsidRPr="009B5B11" w:rsidRDefault="005D1E29" w:rsidP="00670C60">
      <w:pPr>
        <w:pStyle w:val="Instructionaltext"/>
        <w:numPr>
          <w:ilvl w:val="0"/>
          <w:numId w:val="41"/>
        </w:numPr>
        <w:spacing w:before="0" w:after="0"/>
        <w:ind w:left="714" w:hanging="357"/>
        <w:rPr>
          <w:color w:val="auto"/>
        </w:rPr>
      </w:pPr>
      <w:r w:rsidRPr="009B5B11">
        <w:rPr>
          <w:color w:val="auto"/>
        </w:rPr>
        <w:t>Australian Diabetes Society </w:t>
      </w:r>
    </w:p>
    <w:p w14:paraId="2BA0B7D2" w14:textId="77777777" w:rsidR="005D1E29" w:rsidRPr="009B5B11" w:rsidRDefault="005D1E29" w:rsidP="00670C60">
      <w:pPr>
        <w:pStyle w:val="Instructionaltext"/>
        <w:numPr>
          <w:ilvl w:val="0"/>
          <w:numId w:val="42"/>
        </w:numPr>
        <w:spacing w:before="0" w:after="0"/>
        <w:ind w:left="714" w:hanging="357"/>
        <w:rPr>
          <w:color w:val="auto"/>
        </w:rPr>
      </w:pPr>
      <w:r w:rsidRPr="009B5B11">
        <w:rPr>
          <w:color w:val="auto"/>
        </w:rPr>
        <w:t>Medtronic </w:t>
      </w:r>
    </w:p>
    <w:p w14:paraId="7B412F18" w14:textId="7293F6FC" w:rsidR="005D1E29" w:rsidRPr="009B5B11" w:rsidRDefault="005D1E29" w:rsidP="00670C60">
      <w:pPr>
        <w:pStyle w:val="Instructionaltext"/>
        <w:numPr>
          <w:ilvl w:val="0"/>
          <w:numId w:val="43"/>
        </w:numPr>
        <w:spacing w:before="0" w:after="0"/>
        <w:ind w:left="714" w:hanging="357"/>
        <w:rPr>
          <w:color w:val="auto"/>
        </w:rPr>
      </w:pPr>
      <w:r w:rsidRPr="009B5B11">
        <w:rPr>
          <w:color w:val="auto"/>
        </w:rPr>
        <w:t>Diabetes Health Network, WA </w:t>
      </w:r>
    </w:p>
    <w:p w14:paraId="5CFBD63D" w14:textId="2B9DB13D" w:rsidR="005D1E29" w:rsidRPr="009B5B11" w:rsidRDefault="005D1E29" w:rsidP="005D1E29">
      <w:pPr>
        <w:pStyle w:val="Instructionaltext"/>
        <w:rPr>
          <w:color w:val="auto"/>
        </w:rPr>
      </w:pPr>
      <w:r w:rsidRPr="009B5B11">
        <w:rPr>
          <w:color w:val="auto"/>
        </w:rPr>
        <w:t>A tailored survey was used for the consultation, seeking stakeholder views on issues raised by the MSAC when it considered the application in July 2025. Survey responses included opinions, reflections and insights informed by lived and practice-based experiences.  </w:t>
      </w:r>
    </w:p>
    <w:p w14:paraId="520094EF" w14:textId="5DF6C293" w:rsidR="005D1E29" w:rsidRPr="009B5B11" w:rsidRDefault="005D1E29" w:rsidP="005D1E29">
      <w:pPr>
        <w:pStyle w:val="Instructionaltext"/>
        <w:rPr>
          <w:color w:val="auto"/>
        </w:rPr>
      </w:pPr>
      <w:r w:rsidRPr="009B5B11">
        <w:rPr>
          <w:color w:val="auto"/>
        </w:rPr>
        <w:t>Responses were</w:t>
      </w:r>
      <w:r w:rsidR="008C204E" w:rsidRPr="009B5B11">
        <w:rPr>
          <w:color w:val="auto"/>
        </w:rPr>
        <w:t xml:space="preserve"> </w:t>
      </w:r>
      <w:r w:rsidRPr="009B5B11">
        <w:rPr>
          <w:color w:val="auto"/>
        </w:rPr>
        <w:t>overwhelmingly supportive of expanded NDSS access to continuous glucose monitoring (CGM) for people with diabetes, particularly those using insulin. Contributors</w:t>
      </w:r>
      <w:r w:rsidR="008C204E" w:rsidRPr="009B5B11">
        <w:rPr>
          <w:color w:val="auto"/>
        </w:rPr>
        <w:t xml:space="preserve"> </w:t>
      </w:r>
      <w:r w:rsidRPr="009B5B11">
        <w:rPr>
          <w:color w:val="auto"/>
        </w:rPr>
        <w:t>described</w:t>
      </w:r>
      <w:r w:rsidR="008C204E" w:rsidRPr="009B5B11">
        <w:rPr>
          <w:color w:val="auto"/>
        </w:rPr>
        <w:t xml:space="preserve"> </w:t>
      </w:r>
      <w:r w:rsidRPr="009B5B11">
        <w:rPr>
          <w:color w:val="auto"/>
        </w:rPr>
        <w:t>CGM as a practical, preventative tool that reduces the burden and pain of frequent finger-prick testing, improves day-to-day decision-making about food, activity and medication, and provides real-time trend information and alerts that can be responded to, to prevent dangerous hypoglycaemia and hyperglycaemia. A recurrent theme was that cost should not be a barrier to safety, and people experiencing financial hardship / low-income households cannot afford to pay</w:t>
      </w:r>
      <w:r w:rsidR="008C204E" w:rsidRPr="009B5B11">
        <w:rPr>
          <w:color w:val="auto"/>
        </w:rPr>
        <w:t xml:space="preserve"> </w:t>
      </w:r>
      <w:r w:rsidRPr="009B5B11">
        <w:rPr>
          <w:color w:val="auto"/>
        </w:rPr>
        <w:t>privately for CGM.   </w:t>
      </w:r>
    </w:p>
    <w:p w14:paraId="71A59778" w14:textId="3A7787AE" w:rsidR="005D1E29" w:rsidRPr="009B5B11" w:rsidRDefault="005D1E29" w:rsidP="005D1E29">
      <w:pPr>
        <w:pStyle w:val="Instructionaltext"/>
        <w:rPr>
          <w:color w:val="auto"/>
        </w:rPr>
      </w:pPr>
      <w:r w:rsidRPr="009B5B11">
        <w:rPr>
          <w:color w:val="auto"/>
        </w:rPr>
        <w:t>A summary of responses against each survey question is provided below.  </w:t>
      </w:r>
    </w:p>
    <w:p w14:paraId="318F347B" w14:textId="0703CDF0" w:rsidR="005D1E29" w:rsidRPr="009B5B11" w:rsidRDefault="005D1E29" w:rsidP="005D1E29">
      <w:pPr>
        <w:pStyle w:val="Instructionaltext"/>
        <w:rPr>
          <w:color w:val="auto"/>
        </w:rPr>
      </w:pPr>
      <w:r w:rsidRPr="009B5B11">
        <w:rPr>
          <w:b/>
          <w:bCs/>
          <w:color w:val="auto"/>
        </w:rPr>
        <w:t>Type 2 diabetes requiring insulin – groups who may benefit more from CGM </w:t>
      </w:r>
      <w:r w:rsidRPr="009B5B11">
        <w:rPr>
          <w:color w:val="auto"/>
        </w:rPr>
        <w:t> </w:t>
      </w:r>
    </w:p>
    <w:p w14:paraId="5DDD1EBC" w14:textId="1BD3563B" w:rsidR="005D1E29" w:rsidRPr="009B5B11" w:rsidRDefault="005D1E29" w:rsidP="005D1E29">
      <w:pPr>
        <w:pStyle w:val="Instructionaltext"/>
        <w:rPr>
          <w:color w:val="auto"/>
        </w:rPr>
      </w:pPr>
      <w:r w:rsidRPr="009B5B11">
        <w:rPr>
          <w:color w:val="auto"/>
        </w:rPr>
        <w:t>Approximately 76% of respondents agreed that some groups of people with type 2 diabetes requiring insulin would benefit more than others from CGM. Many still advocated for universal eligibility,</w:t>
      </w:r>
      <w:r w:rsidR="008C204E" w:rsidRPr="009B5B11">
        <w:rPr>
          <w:color w:val="auto"/>
        </w:rPr>
        <w:t xml:space="preserve"> </w:t>
      </w:r>
      <w:r w:rsidRPr="009B5B11">
        <w:rPr>
          <w:color w:val="auto"/>
        </w:rPr>
        <w:t>arguing that all people with type 2 on insulin (and even those not on insulin)</w:t>
      </w:r>
      <w:r w:rsidR="008C204E" w:rsidRPr="009B5B11">
        <w:rPr>
          <w:color w:val="auto"/>
        </w:rPr>
        <w:t xml:space="preserve"> </w:t>
      </w:r>
      <w:r w:rsidRPr="009B5B11">
        <w:rPr>
          <w:color w:val="auto"/>
        </w:rPr>
        <w:t>would</w:t>
      </w:r>
      <w:r w:rsidR="008C204E" w:rsidRPr="009B5B11">
        <w:rPr>
          <w:color w:val="auto"/>
        </w:rPr>
        <w:t xml:space="preserve"> </w:t>
      </w:r>
      <w:r w:rsidRPr="009B5B11">
        <w:rPr>
          <w:color w:val="auto"/>
        </w:rPr>
        <w:t>benefit</w:t>
      </w:r>
      <w:r w:rsidR="008C204E" w:rsidRPr="009B5B11">
        <w:rPr>
          <w:color w:val="auto"/>
        </w:rPr>
        <w:t xml:space="preserve"> </w:t>
      </w:r>
      <w:r w:rsidRPr="009B5B11">
        <w:rPr>
          <w:color w:val="auto"/>
        </w:rPr>
        <w:t>from the educational, monitoring, and safety aspects of a CGM. However, respondents highlighted groups who they believed would benefit most, including:  </w:t>
      </w:r>
    </w:p>
    <w:p w14:paraId="06F0FA27" w14:textId="77777777" w:rsidR="005D1E29" w:rsidRPr="009B5B11" w:rsidRDefault="005D1E29" w:rsidP="00670C60">
      <w:pPr>
        <w:pStyle w:val="Instructionaltext"/>
        <w:numPr>
          <w:ilvl w:val="0"/>
          <w:numId w:val="44"/>
        </w:numPr>
        <w:rPr>
          <w:color w:val="auto"/>
        </w:rPr>
      </w:pPr>
      <w:r w:rsidRPr="009B5B11">
        <w:rPr>
          <w:color w:val="auto"/>
        </w:rPr>
        <w:t>People who require multiple daily insulin injections or both long and short-acting insulin.  </w:t>
      </w:r>
    </w:p>
    <w:p w14:paraId="65B95433" w14:textId="77777777" w:rsidR="005D1E29" w:rsidRPr="009B5B11" w:rsidRDefault="005D1E29" w:rsidP="00670C60">
      <w:pPr>
        <w:pStyle w:val="Instructionaltext"/>
        <w:numPr>
          <w:ilvl w:val="0"/>
          <w:numId w:val="45"/>
        </w:numPr>
        <w:rPr>
          <w:color w:val="auto"/>
        </w:rPr>
      </w:pPr>
      <w:r w:rsidRPr="009B5B11">
        <w:rPr>
          <w:color w:val="auto"/>
        </w:rPr>
        <w:t>People with high HbA1c or other indicators of poorly controlled diabetes such as recurrent hypo- or hyperglycaemic episodes.  </w:t>
      </w:r>
    </w:p>
    <w:p w14:paraId="11E024E9" w14:textId="411F6BDB" w:rsidR="005D1E29" w:rsidRPr="009B5B11" w:rsidRDefault="005D1E29" w:rsidP="00670C60">
      <w:pPr>
        <w:pStyle w:val="Instructionaltext"/>
        <w:numPr>
          <w:ilvl w:val="0"/>
          <w:numId w:val="46"/>
        </w:numPr>
        <w:rPr>
          <w:color w:val="auto"/>
        </w:rPr>
      </w:pPr>
      <w:r w:rsidRPr="009B5B11">
        <w:rPr>
          <w:color w:val="auto"/>
        </w:rPr>
        <w:t>Young people (not necessarily on insulin) who develop type 2 diabetes, to help</w:t>
      </w:r>
      <w:r w:rsidR="008C204E" w:rsidRPr="009B5B11">
        <w:rPr>
          <w:color w:val="auto"/>
        </w:rPr>
        <w:t xml:space="preserve"> </w:t>
      </w:r>
      <w:r w:rsidRPr="009B5B11">
        <w:rPr>
          <w:color w:val="auto"/>
        </w:rPr>
        <w:t>establish</w:t>
      </w:r>
      <w:r w:rsidR="008C204E" w:rsidRPr="009B5B11">
        <w:rPr>
          <w:color w:val="auto"/>
        </w:rPr>
        <w:t xml:space="preserve"> </w:t>
      </w:r>
      <w:r w:rsidRPr="009B5B11">
        <w:rPr>
          <w:color w:val="auto"/>
        </w:rPr>
        <w:t>lifelong preventive habits.  </w:t>
      </w:r>
    </w:p>
    <w:p w14:paraId="5EF4C633" w14:textId="77777777" w:rsidR="005D1E29" w:rsidRPr="009B5B11" w:rsidRDefault="005D1E29" w:rsidP="00670C60">
      <w:pPr>
        <w:pStyle w:val="Instructionaltext"/>
        <w:numPr>
          <w:ilvl w:val="0"/>
          <w:numId w:val="47"/>
        </w:numPr>
        <w:rPr>
          <w:color w:val="auto"/>
        </w:rPr>
      </w:pPr>
      <w:r w:rsidRPr="009B5B11">
        <w:rPr>
          <w:color w:val="auto"/>
        </w:rPr>
        <w:t>Older people, or people with disability, who have reduced vision, dexterity or cognitive or communication impairments or differences;  </w:t>
      </w:r>
    </w:p>
    <w:p w14:paraId="6F647E46" w14:textId="77777777" w:rsidR="005D1E29" w:rsidRPr="009B5B11" w:rsidRDefault="005D1E29" w:rsidP="00670C60">
      <w:pPr>
        <w:pStyle w:val="Instructionaltext"/>
        <w:numPr>
          <w:ilvl w:val="0"/>
          <w:numId w:val="48"/>
        </w:numPr>
        <w:rPr>
          <w:color w:val="auto"/>
        </w:rPr>
      </w:pPr>
      <w:r w:rsidRPr="009B5B11">
        <w:rPr>
          <w:color w:val="auto"/>
        </w:rPr>
        <w:t>Neurodivergent people, people with complex comorbidities or mental health conditions who have impairments in memory and/or other cognitive functions that make it challenging to recognise and communicate about symptoms of concern, and/or manage the work of monitoring and recording blood glucose levels without CGM.  </w:t>
      </w:r>
    </w:p>
    <w:p w14:paraId="7D4D24E8" w14:textId="77777777" w:rsidR="005D1E29" w:rsidRPr="009B5B11" w:rsidRDefault="005D1E29" w:rsidP="005D1E29">
      <w:pPr>
        <w:pStyle w:val="Instructionaltext"/>
        <w:rPr>
          <w:color w:val="auto"/>
        </w:rPr>
      </w:pPr>
      <w:r w:rsidRPr="009B5B11">
        <w:rPr>
          <w:color w:val="auto"/>
        </w:rPr>
        <w:t>The benefits of CGM identified as most significant for people in these groups, and for carers of people in these groups, included:  </w:t>
      </w:r>
    </w:p>
    <w:p w14:paraId="138DE4A0" w14:textId="77777777" w:rsidR="005D1E29" w:rsidRPr="009B5B11" w:rsidRDefault="005D1E29" w:rsidP="00670C60">
      <w:pPr>
        <w:pStyle w:val="Instructionaltext"/>
        <w:numPr>
          <w:ilvl w:val="0"/>
          <w:numId w:val="49"/>
        </w:numPr>
        <w:rPr>
          <w:color w:val="auto"/>
        </w:rPr>
      </w:pPr>
      <w:r w:rsidRPr="009B5B11">
        <w:rPr>
          <w:color w:val="auto"/>
        </w:rPr>
        <w:t>Safety – CGM makes it is easier to avoid/identify/communicate about and/or respond to hypo- or hyperglycaemic episodes and achieve improved overall diabetes control. </w:t>
      </w:r>
    </w:p>
    <w:p w14:paraId="458889D8" w14:textId="77777777" w:rsidR="005D1E29" w:rsidRPr="009B5B11" w:rsidRDefault="005D1E29" w:rsidP="00670C60">
      <w:pPr>
        <w:pStyle w:val="Instructionaltext"/>
        <w:numPr>
          <w:ilvl w:val="0"/>
          <w:numId w:val="50"/>
        </w:numPr>
        <w:rPr>
          <w:color w:val="auto"/>
        </w:rPr>
      </w:pPr>
      <w:r w:rsidRPr="009B5B11">
        <w:rPr>
          <w:color w:val="auto"/>
        </w:rPr>
        <w:t>Ease – CGM reduces how much work it takes, and how hard and/or complex and/or demanding this work is, of monitoring, record keeping, and, when needed, communicating about one’s data to carers and health professionals. </w:t>
      </w:r>
    </w:p>
    <w:p w14:paraId="221CF465" w14:textId="77777777" w:rsidR="005D1E29" w:rsidRPr="009B5B11" w:rsidRDefault="005D1E29" w:rsidP="00670C60">
      <w:pPr>
        <w:pStyle w:val="Instructionaltext"/>
        <w:numPr>
          <w:ilvl w:val="0"/>
          <w:numId w:val="51"/>
        </w:numPr>
        <w:rPr>
          <w:color w:val="auto"/>
        </w:rPr>
      </w:pPr>
      <w:r w:rsidRPr="009B5B11">
        <w:rPr>
          <w:color w:val="auto"/>
        </w:rPr>
        <w:lastRenderedPageBreak/>
        <w:t>Enhanced learning – CGM can provide accessible, effective learning experiences for people who might otherwise find it challenging to learn how to manage their blood glucose levels or provide support to someone else.  </w:t>
      </w:r>
    </w:p>
    <w:p w14:paraId="4BD880C3" w14:textId="77777777" w:rsidR="005D1E29" w:rsidRPr="009B5B11" w:rsidRDefault="005D1E29" w:rsidP="00670C60">
      <w:pPr>
        <w:pStyle w:val="Instructionaltext"/>
        <w:numPr>
          <w:ilvl w:val="0"/>
          <w:numId w:val="52"/>
        </w:numPr>
        <w:rPr>
          <w:color w:val="auto"/>
        </w:rPr>
      </w:pPr>
      <w:r w:rsidRPr="009B5B11">
        <w:rPr>
          <w:color w:val="auto"/>
        </w:rPr>
        <w:t>Agency – Some people who need to rely on a carer without CGM are, or can become able to manage independently with CGM, or can be supported to participate in these processes with a carer. </w:t>
      </w:r>
    </w:p>
    <w:p w14:paraId="4BD089E9" w14:textId="77777777" w:rsidR="005D1E29" w:rsidRPr="009B5B11" w:rsidRDefault="005D1E29" w:rsidP="005D1E29">
      <w:pPr>
        <w:pStyle w:val="Instructionaltext"/>
        <w:rPr>
          <w:color w:val="auto"/>
        </w:rPr>
      </w:pPr>
      <w:r w:rsidRPr="009B5B11">
        <w:rPr>
          <w:color w:val="auto"/>
        </w:rPr>
        <w:t>Relevant examples include: </w:t>
      </w:r>
    </w:p>
    <w:p w14:paraId="1A479E04" w14:textId="77777777" w:rsidR="005D1E29" w:rsidRPr="009B5B11" w:rsidRDefault="005D1E29" w:rsidP="00670C60">
      <w:pPr>
        <w:pStyle w:val="Instructionaltext"/>
        <w:numPr>
          <w:ilvl w:val="0"/>
          <w:numId w:val="53"/>
        </w:numPr>
        <w:rPr>
          <w:color w:val="auto"/>
        </w:rPr>
      </w:pPr>
      <w:r w:rsidRPr="009B5B11">
        <w:rPr>
          <w:color w:val="auto"/>
        </w:rPr>
        <w:t>A respondent who provides disability support to a client who is non-verbal explained the client may not be able to readily communicate symptoms of concern to staff between finger prick tests, but CGM could provide alerts. </w:t>
      </w:r>
    </w:p>
    <w:p w14:paraId="4885C849" w14:textId="77777777" w:rsidR="005D1E29" w:rsidRPr="009B5B11" w:rsidRDefault="005D1E29" w:rsidP="00670C60">
      <w:pPr>
        <w:pStyle w:val="Instructionaltext"/>
        <w:numPr>
          <w:ilvl w:val="0"/>
          <w:numId w:val="54"/>
        </w:numPr>
        <w:rPr>
          <w:color w:val="auto"/>
        </w:rPr>
      </w:pPr>
      <w:r w:rsidRPr="009B5B11">
        <w:rPr>
          <w:color w:val="auto"/>
        </w:rPr>
        <w:t>A parent of a person with intellectual disability described how access to CGM and the real time data could support their daughter to learn about how to manage her diabetes independently, or together with support workers.  </w:t>
      </w:r>
    </w:p>
    <w:p w14:paraId="4F616146" w14:textId="77777777" w:rsidR="005D1E29" w:rsidRPr="009B5B11" w:rsidRDefault="005D1E29" w:rsidP="00670C60">
      <w:pPr>
        <w:pStyle w:val="Instructionaltext"/>
        <w:numPr>
          <w:ilvl w:val="0"/>
          <w:numId w:val="55"/>
        </w:numPr>
        <w:rPr>
          <w:color w:val="auto"/>
        </w:rPr>
      </w:pPr>
      <w:r w:rsidRPr="009B5B11">
        <w:rPr>
          <w:color w:val="auto"/>
        </w:rPr>
        <w:t>Working parents with busy lives reported it’s difficult to manage or prioritise regular finger prick testing.  </w:t>
      </w:r>
    </w:p>
    <w:p w14:paraId="65DDA294" w14:textId="77777777" w:rsidR="005D1E29" w:rsidRPr="009B5B11" w:rsidRDefault="005D1E29" w:rsidP="00670C60">
      <w:pPr>
        <w:pStyle w:val="Instructionaltext"/>
        <w:numPr>
          <w:ilvl w:val="0"/>
          <w:numId w:val="56"/>
        </w:numPr>
        <w:rPr>
          <w:color w:val="auto"/>
        </w:rPr>
      </w:pPr>
      <w:r w:rsidRPr="009B5B11">
        <w:rPr>
          <w:color w:val="auto"/>
        </w:rPr>
        <w:t>Elderly people reported that age-related vision-impairments and arthritis make it physically difficult to finger prick.  </w:t>
      </w:r>
    </w:p>
    <w:p w14:paraId="2648E92B" w14:textId="149C3693" w:rsidR="005D1E29" w:rsidRPr="009B5B11" w:rsidRDefault="005D1E29" w:rsidP="005D1E29">
      <w:pPr>
        <w:pStyle w:val="Instructionaltext"/>
        <w:rPr>
          <w:color w:val="auto"/>
        </w:rPr>
      </w:pPr>
      <w:r w:rsidRPr="009B5B11">
        <w:rPr>
          <w:color w:val="auto"/>
        </w:rPr>
        <w:t>Some respondents also identified people with type 3c diabetes, including cystic fibrosis related</w:t>
      </w:r>
      <w:r w:rsidR="00B745CF" w:rsidRPr="009B5B11">
        <w:rPr>
          <w:color w:val="auto"/>
        </w:rPr>
        <w:t xml:space="preserve"> </w:t>
      </w:r>
      <w:r w:rsidRPr="009B5B11">
        <w:rPr>
          <w:color w:val="auto"/>
        </w:rPr>
        <w:t>and</w:t>
      </w:r>
      <w:r w:rsidR="00B745CF" w:rsidRPr="009B5B11">
        <w:rPr>
          <w:color w:val="auto"/>
        </w:rPr>
        <w:t xml:space="preserve"> </w:t>
      </w:r>
      <w:r w:rsidRPr="009B5B11">
        <w:rPr>
          <w:color w:val="auto"/>
        </w:rPr>
        <w:t>other atypical forms of diabetes, and gestational diabetes as particularly benefiting from CGMs.</w:t>
      </w:r>
      <w:r w:rsidR="00B745CF" w:rsidRPr="009B5B11">
        <w:rPr>
          <w:color w:val="auto"/>
        </w:rPr>
        <w:t xml:space="preserve"> </w:t>
      </w:r>
      <w:r w:rsidR="00591249" w:rsidRPr="009B5B11">
        <w:rPr>
          <w:color w:val="auto"/>
        </w:rPr>
        <w:t>The Australian Cystic Fibrosis Data Registry was cited as an important source of real-world evidence that could support identification of people with Cystic Fibrosis who could most benefit from CGM. </w:t>
      </w:r>
      <w:r w:rsidRPr="009B5B11">
        <w:rPr>
          <w:color w:val="auto"/>
        </w:rPr>
        <w:t>People in safety-critical roles, such as drivers, frontline workers and shift-workers; and those at risk of nocturnal hypoglycaemia were also identified as groups that may benefit from more access to CGM, due to the serious risks associated with severe glycaemic events and complications. </w:t>
      </w:r>
    </w:p>
    <w:p w14:paraId="0602E484" w14:textId="6D7A2D58" w:rsidR="005D1E29" w:rsidRPr="009B5B11" w:rsidRDefault="005D1E29" w:rsidP="005D1E29">
      <w:pPr>
        <w:pStyle w:val="Instructionaltext"/>
        <w:rPr>
          <w:color w:val="auto"/>
        </w:rPr>
      </w:pPr>
      <w:r w:rsidRPr="009B5B11">
        <w:rPr>
          <w:color w:val="auto"/>
        </w:rPr>
        <w:t>Around 13% of respondents did not agree that some groups would benefit from a CGM more than others, stating that ‘all people with diabetes’ or ‘anyone on insulin’ would benefit. Many also said targeting only certain groups would be inequitable, could unfairly exclude people who are managing well (or create perverse incentives not to manage well) and ignores the fact that cost is a major barrier for many who could benefit. A small number expressed the view that funding would be better directed towards insulin pumps or enhanced subsidy for people with type 1 diabetes.</w:t>
      </w:r>
      <w:r w:rsidR="00B745CF" w:rsidRPr="009B5B11">
        <w:rPr>
          <w:color w:val="auto"/>
        </w:rPr>
        <w:t xml:space="preserve"> </w:t>
      </w:r>
      <w:r w:rsidRPr="009B5B11">
        <w:rPr>
          <w:color w:val="auto"/>
        </w:rPr>
        <w:t>MSAC was encouraged to consider how registry data could be more formally incorporated into evaluation frameworks.  </w:t>
      </w:r>
    </w:p>
    <w:p w14:paraId="3DB3ECEB" w14:textId="24414696" w:rsidR="005D1E29" w:rsidRPr="009B5B11" w:rsidRDefault="005D1E29" w:rsidP="005D1E29">
      <w:pPr>
        <w:pStyle w:val="Instructionaltext"/>
        <w:rPr>
          <w:color w:val="auto"/>
        </w:rPr>
      </w:pPr>
      <w:r w:rsidRPr="009B5B11">
        <w:rPr>
          <w:b/>
          <w:bCs/>
          <w:color w:val="auto"/>
        </w:rPr>
        <w:t>Short term or intermittent use</w:t>
      </w:r>
      <w:r w:rsidRPr="009B5B11">
        <w:rPr>
          <w:color w:val="auto"/>
        </w:rPr>
        <w:t> </w:t>
      </w:r>
    </w:p>
    <w:p w14:paraId="7AADF57C" w14:textId="54AA3F8B" w:rsidR="005D1E29" w:rsidRPr="009B5B11" w:rsidRDefault="005D1E29" w:rsidP="005D1E29">
      <w:pPr>
        <w:pStyle w:val="Instructionaltext"/>
        <w:rPr>
          <w:color w:val="auto"/>
        </w:rPr>
      </w:pPr>
      <w:r w:rsidRPr="009B5B11">
        <w:rPr>
          <w:color w:val="auto"/>
        </w:rPr>
        <w:t>Most respondents (~97%) answered the question about whether people would still benefit from intermittent or short-term use of a CGM. Approximately 58% of these respondents agreed people would still benefit; ~ 20% did not agree; and the remainder (~ 19%) were unsure. Many respondents stressed that ongoing CGM access would be preferable but still viewed intermittent CGM as</w:t>
      </w:r>
      <w:r w:rsidR="00B745CF" w:rsidRPr="009B5B11">
        <w:rPr>
          <w:color w:val="auto"/>
        </w:rPr>
        <w:t xml:space="preserve"> </w:t>
      </w:r>
      <w:r w:rsidRPr="009B5B11">
        <w:rPr>
          <w:color w:val="auto"/>
        </w:rPr>
        <w:t>‘better than no access.’ Respondents considered intermittent or short-term CGM use beneficial because it provides continuous, real-time glucose data that can reveal patterns not captured by finger-prick testing, including overnight high and low glucose levels, post-meal spikes, hypoglycaemia, hyperglycaemia and glycaemic variability. Respondents said this can support safer insulin initiation and titration, guide medication use, diet and exercise changes, and help clinicians tailor treatment during periods of change such as new diagnosis, illness,</w:t>
      </w:r>
      <w:r w:rsidR="005C01DA">
        <w:rPr>
          <w:color w:val="auto"/>
        </w:rPr>
        <w:t xml:space="preserve"> </w:t>
      </w:r>
      <w:r w:rsidRPr="009B5B11">
        <w:rPr>
          <w:color w:val="auto"/>
        </w:rPr>
        <w:t>pregnancy</w:t>
      </w:r>
      <w:r w:rsidR="005C01DA">
        <w:rPr>
          <w:color w:val="auto"/>
        </w:rPr>
        <w:t xml:space="preserve"> </w:t>
      </w:r>
      <w:r w:rsidRPr="009B5B11">
        <w:rPr>
          <w:color w:val="auto"/>
        </w:rPr>
        <w:t xml:space="preserve">or hospital discharge. It was also viewed as a useful educational tool that helps </w:t>
      </w:r>
      <w:r w:rsidRPr="009B5B11">
        <w:rPr>
          <w:color w:val="auto"/>
        </w:rPr>
        <w:lastRenderedPageBreak/>
        <w:t>people understand how food, activity, stress and medication affect their glucose levels, motivating behaviour change, improving self-management, reducing finger-prick burden and diabetes distress, and offering a more affordable or practical option for people who may not need or cannot sustain continuous CGM use. </w:t>
      </w:r>
    </w:p>
    <w:p w14:paraId="2D6C71BB" w14:textId="22BCD1E1" w:rsidR="005D1E29" w:rsidRPr="009B5B11" w:rsidRDefault="005D1E29" w:rsidP="005D1E29">
      <w:pPr>
        <w:pStyle w:val="Instructionaltext"/>
        <w:rPr>
          <w:color w:val="auto"/>
        </w:rPr>
      </w:pPr>
      <w:r w:rsidRPr="009B5B11">
        <w:rPr>
          <w:color w:val="auto"/>
        </w:rPr>
        <w:t>In terms of the duration of short-term use, health practitioners noted that this would vary for</w:t>
      </w:r>
      <w:r w:rsidR="00B745CF" w:rsidRPr="009B5B11">
        <w:rPr>
          <w:color w:val="auto"/>
        </w:rPr>
        <w:t xml:space="preserve"> </w:t>
      </w:r>
      <w:r w:rsidRPr="009B5B11">
        <w:rPr>
          <w:color w:val="auto"/>
        </w:rPr>
        <w:t>different groups. For example, a pregnant person with diabetes may only need a CGM for the duration of the pregnancy, while someone on steroid treatment may only need it while taking the</w:t>
      </w:r>
      <w:r w:rsidR="00B745CF" w:rsidRPr="009B5B11">
        <w:rPr>
          <w:color w:val="auto"/>
        </w:rPr>
        <w:t xml:space="preserve"> </w:t>
      </w:r>
      <w:r w:rsidRPr="009B5B11">
        <w:rPr>
          <w:color w:val="auto"/>
        </w:rPr>
        <w:t>steroid.</w:t>
      </w:r>
      <w:r w:rsidR="00B745CF" w:rsidRPr="009B5B11">
        <w:rPr>
          <w:color w:val="auto"/>
        </w:rPr>
        <w:t xml:space="preserve"> </w:t>
      </w:r>
      <w:r w:rsidRPr="009B5B11">
        <w:rPr>
          <w:color w:val="auto"/>
        </w:rPr>
        <w:t>A needs-based eligibility framework rather than one restricted by diabetes classification alone was suggested to ensure CGM is used where it has the greatest impact. The most common periods cited by both health practitioners and other respondents was three or six</w:t>
      </w:r>
      <w:r w:rsidR="00B745CF" w:rsidRPr="009B5B11">
        <w:rPr>
          <w:color w:val="auto"/>
        </w:rPr>
        <w:t xml:space="preserve"> </w:t>
      </w:r>
      <w:r w:rsidRPr="009B5B11">
        <w:rPr>
          <w:color w:val="auto"/>
        </w:rPr>
        <w:t>months, on the basis that it gives enough time for people to learn how to use CGM, understand glucose patterns, adjust treatment or behaviour, and demonstrate whether the technology is clinically useful. Some people with diabetes felt that even a fortnight of use would be beneficial, supporting targeted education, allowing the effectiveness of treatment or behaviour changes to be</w:t>
      </w:r>
      <w:r w:rsidR="00B745CF" w:rsidRPr="009B5B11">
        <w:rPr>
          <w:color w:val="auto"/>
        </w:rPr>
        <w:t xml:space="preserve"> </w:t>
      </w:r>
      <w:r w:rsidRPr="009B5B11">
        <w:rPr>
          <w:color w:val="auto"/>
        </w:rPr>
        <w:t>monitored,</w:t>
      </w:r>
      <w:r w:rsidR="005C01DA">
        <w:rPr>
          <w:color w:val="auto"/>
        </w:rPr>
        <w:t xml:space="preserve"> </w:t>
      </w:r>
      <w:r w:rsidRPr="009B5B11">
        <w:rPr>
          <w:color w:val="auto"/>
        </w:rPr>
        <w:t>and supporting periodic treatment reviews. </w:t>
      </w:r>
    </w:p>
    <w:p w14:paraId="1014579C" w14:textId="6744A21C" w:rsidR="005D1E29" w:rsidRPr="009B5B11" w:rsidRDefault="005D1E29" w:rsidP="005D1E29">
      <w:pPr>
        <w:pStyle w:val="Instructionaltext"/>
        <w:rPr>
          <w:color w:val="auto"/>
        </w:rPr>
      </w:pPr>
      <w:r w:rsidRPr="009B5B11">
        <w:rPr>
          <w:color w:val="auto"/>
        </w:rPr>
        <w:t>For intermittent use, the most common suggestions were for regular intermittent use tied to quarterly or six-monthly review cycles, followed by blocks of around two to three months per year. Many respondents proposed one month every three months (quarterly) or every six months because these intervals align with HbA1c testing, routine clinical reviews, and the need to reassess glucose patterns after changes in diet, activity or medication. Respondents said these schedules would help people “stay on track”, check whether blood glucose was remaining stable, and provide enough data to identify patterns, troubleshoot problems and adjust treatment before the next review period. Some respondents preferred smaller, repeated blocks across the year rather than one long period, to capture seasonal, lifestyle, and health changes over time.  </w:t>
      </w:r>
    </w:p>
    <w:p w14:paraId="5ED4DC6D" w14:textId="6891FBB8" w:rsidR="005D1E29" w:rsidRPr="009B5B11" w:rsidRDefault="005D1E29" w:rsidP="005D1E29">
      <w:pPr>
        <w:pStyle w:val="Instructionaltext"/>
        <w:rPr>
          <w:color w:val="auto"/>
        </w:rPr>
      </w:pPr>
      <w:r w:rsidRPr="009B5B11">
        <w:rPr>
          <w:color w:val="auto"/>
        </w:rPr>
        <w:t>Many emphasised that the optimal duration would vary by individual and clinical need, with higher-risk groups—such as people using insulin, experiencing hypoglycaemia, pregnancy or unstable diabetes—often seen as needing more frequent or continuous access rather than intermittent use. Some respondents described their lived or practice-based experiences to</w:t>
      </w:r>
      <w:r w:rsidR="00B745CF" w:rsidRPr="009B5B11">
        <w:rPr>
          <w:color w:val="auto"/>
        </w:rPr>
        <w:t xml:space="preserve"> </w:t>
      </w:r>
      <w:r w:rsidRPr="009B5B11">
        <w:rPr>
          <w:color w:val="auto"/>
        </w:rPr>
        <w:t>demonstrate</w:t>
      </w:r>
      <w:r w:rsidR="00B745CF" w:rsidRPr="009B5B11">
        <w:rPr>
          <w:color w:val="auto"/>
        </w:rPr>
        <w:t xml:space="preserve"> </w:t>
      </w:r>
      <w:r w:rsidRPr="009B5B11">
        <w:rPr>
          <w:color w:val="auto"/>
        </w:rPr>
        <w:t>how short-term or intermittent use may be very beneficial for some people, but not for others, due to other personal or clinical factors. For example, for someone with ADHD, or another condition that impairs executive functioning, intermittent use may have little or no durable benefits, but continual use may. </w:t>
      </w:r>
    </w:p>
    <w:p w14:paraId="08D6EE05" w14:textId="4E14BE57" w:rsidR="005D1E29" w:rsidRPr="009B5B11" w:rsidRDefault="005D1E29" w:rsidP="005D1E29">
      <w:pPr>
        <w:pStyle w:val="Instructionaltext"/>
        <w:rPr>
          <w:color w:val="auto"/>
        </w:rPr>
      </w:pPr>
      <w:r w:rsidRPr="009B5B11">
        <w:rPr>
          <w:color w:val="auto"/>
        </w:rPr>
        <w:t>Respondents who did not see benefit in intermittent or short-term CGM use noted that glucose levels can be impacted by multiple factors and fluctuate daily, so effective management may require ongoing rather than episodic monitoring. Several</w:t>
      </w:r>
      <w:r w:rsidR="00B745CF" w:rsidRPr="009B5B11">
        <w:rPr>
          <w:color w:val="auto"/>
        </w:rPr>
        <w:t xml:space="preserve"> </w:t>
      </w:r>
      <w:r w:rsidRPr="009B5B11">
        <w:rPr>
          <w:color w:val="auto"/>
        </w:rPr>
        <w:t>people</w:t>
      </w:r>
      <w:r w:rsidR="00B745CF" w:rsidRPr="009B5B11">
        <w:rPr>
          <w:color w:val="auto"/>
        </w:rPr>
        <w:t xml:space="preserve"> </w:t>
      </w:r>
      <w:r w:rsidRPr="009B5B11">
        <w:rPr>
          <w:color w:val="auto"/>
        </w:rPr>
        <w:t>expressed</w:t>
      </w:r>
      <w:r w:rsidR="00B745CF" w:rsidRPr="009B5B11">
        <w:rPr>
          <w:color w:val="auto"/>
        </w:rPr>
        <w:t xml:space="preserve"> </w:t>
      </w:r>
      <w:r w:rsidRPr="009B5B11">
        <w:rPr>
          <w:color w:val="auto"/>
        </w:rPr>
        <w:t>that it felt cruel, and could exacerbate stress-related conditions, to grant people who otherwise could not afford it, the ability to view real-time data about their ‘full time health condition’ for a short term, then take it away again.  </w:t>
      </w:r>
    </w:p>
    <w:p w14:paraId="1DAEFD7E" w14:textId="5B9857C4" w:rsidR="005D1E29" w:rsidRPr="009B5B11" w:rsidRDefault="005D1E29" w:rsidP="005D1E29">
      <w:pPr>
        <w:pStyle w:val="Instructionaltext"/>
        <w:rPr>
          <w:color w:val="auto"/>
        </w:rPr>
      </w:pPr>
      <w:r w:rsidRPr="009B5B11">
        <w:rPr>
          <w:color w:val="auto"/>
        </w:rPr>
        <w:t>Most respondents (~ 79%) agreed that the groups of people identified by MSAC as</w:t>
      </w:r>
      <w:r w:rsidR="00B745CF" w:rsidRPr="009B5B11">
        <w:rPr>
          <w:color w:val="auto"/>
        </w:rPr>
        <w:t xml:space="preserve"> </w:t>
      </w:r>
      <w:r w:rsidRPr="009B5B11">
        <w:rPr>
          <w:color w:val="auto"/>
        </w:rPr>
        <w:t>benefiting</w:t>
      </w:r>
      <w:r w:rsidR="00B745CF" w:rsidRPr="009B5B11">
        <w:rPr>
          <w:color w:val="auto"/>
        </w:rPr>
        <w:t xml:space="preserve"> </w:t>
      </w:r>
      <w:r w:rsidRPr="009B5B11">
        <w:rPr>
          <w:color w:val="auto"/>
        </w:rPr>
        <w:t>from short term or intermittent use would do so. Approximately nine percent did not agree that these groups would benefit, and the remainder were unsure (~ 9%) or did not answer the question (~3%). Responses frequently referred to the benefits of short-term of intermittent CGM for people with type 2 diabetes not requiring insulin, especially where glucose levels are poorly controlled, multiple medications are required, or where insulin use is being considered as the next step. Other groups cited in responses about intermittent or short-term CGM included people newly diagnosed, those starting insulin for the first time, people with pre-diabetes or insulin resistance, pregnant people with diabetes and those who develop gestational diabetes, and people with impairments related to ageing or disability that make finger-prick testing difficult. </w:t>
      </w:r>
    </w:p>
    <w:p w14:paraId="677F330F" w14:textId="7E8D6D0F" w:rsidR="005D1E29" w:rsidRPr="009B5B11" w:rsidRDefault="005D1E29" w:rsidP="005D1E29">
      <w:pPr>
        <w:pStyle w:val="Instructionaltext"/>
        <w:rPr>
          <w:color w:val="auto"/>
        </w:rPr>
      </w:pPr>
      <w:r w:rsidRPr="009B5B11">
        <w:rPr>
          <w:color w:val="auto"/>
        </w:rPr>
        <w:lastRenderedPageBreak/>
        <w:t>Respondents said short-term or intermittent CGM could support early education and safer treatment adjustment, help people review the impact of diet and lifestyle before diabetes progresses, improve glucose control during pregnancy, and increase safety and independence for people at risk of unnoticed highs or lows or who cannot self-monitor. </w:t>
      </w:r>
    </w:p>
    <w:p w14:paraId="6842AC5C" w14:textId="627CF434" w:rsidR="005D1E29" w:rsidRPr="009B5B11" w:rsidRDefault="005D1E29" w:rsidP="005D1E29">
      <w:pPr>
        <w:pStyle w:val="Instructionaltext"/>
        <w:rPr>
          <w:color w:val="auto"/>
        </w:rPr>
      </w:pPr>
      <w:r w:rsidRPr="009B5B11">
        <w:rPr>
          <w:b/>
          <w:bCs/>
          <w:color w:val="auto"/>
        </w:rPr>
        <w:t>Co-payments</w:t>
      </w:r>
      <w:r w:rsidRPr="009B5B11">
        <w:rPr>
          <w:color w:val="auto"/>
        </w:rPr>
        <w:t> </w:t>
      </w:r>
    </w:p>
    <w:p w14:paraId="5492793F" w14:textId="3CEE75CF" w:rsidR="005D1E29" w:rsidRPr="009B5B11" w:rsidRDefault="005D1E29" w:rsidP="005D1E29">
      <w:pPr>
        <w:pStyle w:val="Instructionaltext"/>
        <w:rPr>
          <w:color w:val="auto"/>
        </w:rPr>
      </w:pPr>
      <w:r w:rsidRPr="009B5B11">
        <w:rPr>
          <w:color w:val="auto"/>
        </w:rPr>
        <w:t>Approximately 80% of respondents agreed that, if funded, the approach to co-payments should reflect current arrangements for people with type 1 diabetes who are eligible to access a CGM through the National Diabetes Services Scheme (NDSS). Respondents who provided comment noted that this approach would provide fairness, consistency and equity across people with similar clinical needs. Many respondents said that a co-payment would make CGM substantially more</w:t>
      </w:r>
      <w:r w:rsidR="00B745CF" w:rsidRPr="009B5B11">
        <w:rPr>
          <w:color w:val="auto"/>
        </w:rPr>
        <w:t xml:space="preserve"> </w:t>
      </w:r>
      <w:r w:rsidRPr="009B5B11">
        <w:rPr>
          <w:color w:val="auto"/>
        </w:rPr>
        <w:t>affordable and accessible, compared with current out-of-pocket costs, which were often described as prohibitive. Several also argued that improved access could reduce long-term complications and health system costs. </w:t>
      </w:r>
    </w:p>
    <w:p w14:paraId="1625AB1F" w14:textId="30DAA31E" w:rsidR="005D1E29" w:rsidRPr="009B5B11" w:rsidRDefault="005D1E29" w:rsidP="005D1E29">
      <w:pPr>
        <w:pStyle w:val="Instructionaltext"/>
        <w:rPr>
          <w:color w:val="auto"/>
        </w:rPr>
      </w:pPr>
      <w:r w:rsidRPr="009B5B11">
        <w:rPr>
          <w:color w:val="auto"/>
        </w:rPr>
        <w:t>Around 8% of respondents did not support a co-payment that reflected the funding available to people with type 1 diabetes, ~9% were unsure, and ~3% did not answer the question.  A small number of respondents noted that people with type 1 diabetes do not produce insulin at all and therefore</w:t>
      </w:r>
      <w:r w:rsidR="00B745CF" w:rsidRPr="009B5B11">
        <w:rPr>
          <w:color w:val="auto"/>
        </w:rPr>
        <w:t xml:space="preserve"> </w:t>
      </w:r>
      <w:r w:rsidRPr="009B5B11">
        <w:rPr>
          <w:color w:val="auto"/>
        </w:rPr>
        <w:t>are at higher clinical risk and should receive a greater subsidy.  Others argued that CGM</w:t>
      </w:r>
      <w:r w:rsidR="00B745CF" w:rsidRPr="009B5B11">
        <w:rPr>
          <w:color w:val="auto"/>
        </w:rPr>
        <w:t xml:space="preserve"> </w:t>
      </w:r>
      <w:r w:rsidRPr="009B5B11">
        <w:rPr>
          <w:color w:val="auto"/>
        </w:rPr>
        <w:t>was a ‘life saving’ tool and should be provided free of charge to everyone on insulin.   </w:t>
      </w:r>
    </w:p>
    <w:p w14:paraId="3019B2E4" w14:textId="6EC36966" w:rsidR="005D1E29" w:rsidRPr="009B5B11" w:rsidRDefault="005D1E29" w:rsidP="005D1E29">
      <w:pPr>
        <w:pStyle w:val="Instructionaltext"/>
        <w:rPr>
          <w:color w:val="auto"/>
        </w:rPr>
      </w:pPr>
      <w:r w:rsidRPr="009B5B11">
        <w:rPr>
          <w:color w:val="auto"/>
        </w:rPr>
        <w:t>Affordability remained a key concern of respondents, regardless of whether they supported a copayment. There were responses that supported concessional rates, means testing, or waived co-payments for higher-risk or financially vulnerable groups. Many respondents stressed that a co-payment could disproportionately impact access and have long-term financial impacts for people on low incomes, including those who don’t qualify for concessions but have very high</w:t>
      </w:r>
      <w:r w:rsidR="00B745CF" w:rsidRPr="009B5B11">
        <w:rPr>
          <w:color w:val="auto"/>
        </w:rPr>
        <w:t xml:space="preserve"> </w:t>
      </w:r>
      <w:r w:rsidRPr="009B5B11">
        <w:rPr>
          <w:color w:val="auto"/>
        </w:rPr>
        <w:t>costs related to medical treatment of multiple conditions or for multiple family members. Many respondents who did not agree with a co-payment said that the current type 1 rate would still mean CGM is too expensive for many people. Many raised that the financial impact would be greatest for groups experiencing multiple other forms of intersecting marginalisation, including First Nation’s people, pensioners, and people who need to travel long distances to see their specialists and argued CGM should be fully subsidised when clinically recommended. </w:t>
      </w:r>
    </w:p>
    <w:p w14:paraId="7F7B1286" w14:textId="5AD179DB" w:rsidR="005D1E29" w:rsidRPr="009B5B11" w:rsidRDefault="005D1E29" w:rsidP="005D1E29">
      <w:pPr>
        <w:pStyle w:val="Instructionaltext"/>
        <w:rPr>
          <w:color w:val="auto"/>
        </w:rPr>
      </w:pPr>
      <w:r w:rsidRPr="009B5B11">
        <w:rPr>
          <w:b/>
          <w:bCs/>
          <w:color w:val="auto"/>
        </w:rPr>
        <w:t>Role of general practitioners (GPs)</w:t>
      </w:r>
      <w:r w:rsidRPr="009B5B11">
        <w:rPr>
          <w:color w:val="auto"/>
        </w:rPr>
        <w:t> </w:t>
      </w:r>
    </w:p>
    <w:p w14:paraId="40893C43" w14:textId="01674DBB" w:rsidR="005D1E29" w:rsidRPr="009B5B11" w:rsidRDefault="005D1E29" w:rsidP="005D1E29">
      <w:pPr>
        <w:pStyle w:val="Instructionaltext"/>
        <w:rPr>
          <w:color w:val="auto"/>
        </w:rPr>
      </w:pPr>
      <w:r w:rsidRPr="009B5B11">
        <w:rPr>
          <w:color w:val="auto"/>
        </w:rPr>
        <w:t>Approximately 87% of respondents were supportive of GPs being able to certify eligibility for CGM products through the NDSS. This dropped to ~ 66% of those who identified as health practitioners or health academics. Around 7% of respondents did not support GP involvement, while</w:t>
      </w:r>
      <w:r w:rsidR="00B745CF" w:rsidRPr="009B5B11">
        <w:rPr>
          <w:color w:val="auto"/>
        </w:rPr>
        <w:t xml:space="preserve"> </w:t>
      </w:r>
      <w:r w:rsidRPr="009B5B11">
        <w:rPr>
          <w:color w:val="auto"/>
        </w:rPr>
        <w:t>~4% were unsure and ~2% did not answer the question.   </w:t>
      </w:r>
    </w:p>
    <w:p w14:paraId="17125FDD" w14:textId="31EDA9BA" w:rsidR="005D1E29" w:rsidRPr="009B5B11" w:rsidRDefault="005D1E29" w:rsidP="005D1E29">
      <w:pPr>
        <w:pStyle w:val="Instructionaltext"/>
        <w:rPr>
          <w:color w:val="auto"/>
        </w:rPr>
      </w:pPr>
      <w:r w:rsidRPr="009B5B11">
        <w:rPr>
          <w:color w:val="auto"/>
        </w:rPr>
        <w:t>The most common reasons for supporting GP involvement in CGM certification was improved access and reduced delays. Respondents noted that it can take months to see an endocrinologist, especially in rural, regional, and remote Australia, and the cost may be prohibitive, creating unnecessary barriers to access. Access to diabetes educators can also be limited.</w:t>
      </w:r>
      <w:r w:rsidR="00B745CF" w:rsidRPr="009B5B11">
        <w:rPr>
          <w:color w:val="auto"/>
        </w:rPr>
        <w:t xml:space="preserve"> </w:t>
      </w:r>
      <w:r w:rsidRPr="009B5B11">
        <w:rPr>
          <w:color w:val="auto"/>
        </w:rPr>
        <w:t>Allowing GPs to certify CGM access was seen as reducing out-of-pocket costs and administrative hurdles, making access faster, simpler and more equitable.   </w:t>
      </w:r>
    </w:p>
    <w:p w14:paraId="5744C46C" w14:textId="165959BD" w:rsidR="005D1E29" w:rsidRPr="009B5B11" w:rsidRDefault="005D1E29" w:rsidP="005D1E29">
      <w:pPr>
        <w:pStyle w:val="Instructionaltext"/>
        <w:rPr>
          <w:color w:val="auto"/>
        </w:rPr>
      </w:pPr>
      <w:r w:rsidRPr="009B5B11">
        <w:rPr>
          <w:color w:val="auto"/>
        </w:rPr>
        <w:t>Many respondents also noted that their GP manages their diabetes day to day, monitors test results, prescribes insulin and medications, and understands their broader health needs and circumstances better than a specialist who is seen only occasionally. Supporters argued that allowing GPs to certify eligibility would better reflect how diabetes care is delivered in Australia, improve continuity of care, and ease pressure on specialist services. However, respondents noted</w:t>
      </w:r>
      <w:r w:rsidR="00B745CF" w:rsidRPr="009B5B11">
        <w:rPr>
          <w:color w:val="auto"/>
        </w:rPr>
        <w:t xml:space="preserve"> </w:t>
      </w:r>
      <w:r w:rsidRPr="009B5B11">
        <w:rPr>
          <w:color w:val="auto"/>
        </w:rPr>
        <w:t>the need for appropriate training, clear guidance, and referral pathways for complex cases.  </w:t>
      </w:r>
    </w:p>
    <w:p w14:paraId="4D24AB39" w14:textId="22FCE02D" w:rsidR="005D1E29" w:rsidRPr="009B5B11" w:rsidRDefault="005D1E29" w:rsidP="005D1E29">
      <w:pPr>
        <w:pStyle w:val="Instructionaltext"/>
        <w:rPr>
          <w:color w:val="auto"/>
        </w:rPr>
      </w:pPr>
      <w:r w:rsidRPr="009B5B11">
        <w:rPr>
          <w:color w:val="auto"/>
        </w:rPr>
        <w:lastRenderedPageBreak/>
        <w:t>Respondents who did not support GP involvement generally argued that GPs may lack the specialist</w:t>
      </w:r>
      <w:r w:rsidR="00B745CF" w:rsidRPr="009B5B11">
        <w:rPr>
          <w:color w:val="auto"/>
        </w:rPr>
        <w:t xml:space="preserve"> </w:t>
      </w:r>
      <w:r w:rsidRPr="009B5B11">
        <w:rPr>
          <w:color w:val="auto"/>
        </w:rPr>
        <w:t>expertise, time, and up-to-date knowledge needed to assess CGM eligibility and support effective use. Many preferred certification to remain with endocrinologists and diabetes educators, who were seen as better placed to provide appropriate oversight, education, and ongoing management, while also reducing the risk of inappropriate access or misuse. </w:t>
      </w:r>
    </w:p>
    <w:p w14:paraId="12C995AF" w14:textId="77777777" w:rsidR="005D1E29" w:rsidRPr="009B5B11" w:rsidRDefault="005D1E29" w:rsidP="005D1E29">
      <w:pPr>
        <w:pStyle w:val="Instructionaltext"/>
        <w:rPr>
          <w:color w:val="auto"/>
        </w:rPr>
      </w:pPr>
      <w:r w:rsidRPr="009B5B11">
        <w:rPr>
          <w:color w:val="auto"/>
        </w:rPr>
        <w:t>In terms of additional training that GPs may require to certify eligibility for CGM products through the NDSS, most respondents noted that GPs were experienced in managing diabetes, especially type 2 diabetes, and would only require targeted, practical training in CGMs. The main areas of training identified were:   </w:t>
      </w:r>
    </w:p>
    <w:p w14:paraId="5A80043C" w14:textId="3D5D4721" w:rsidR="005D1E29" w:rsidRPr="009B5B11" w:rsidRDefault="005D1E29" w:rsidP="00670C60">
      <w:pPr>
        <w:pStyle w:val="Instructionaltext"/>
        <w:numPr>
          <w:ilvl w:val="0"/>
          <w:numId w:val="57"/>
        </w:numPr>
        <w:rPr>
          <w:color w:val="auto"/>
        </w:rPr>
      </w:pPr>
      <w:r w:rsidRPr="009B5B11">
        <w:rPr>
          <w:color w:val="auto"/>
        </w:rPr>
        <w:t>training on the use of CGMs, including how the device works, how to apply it, how to read and</w:t>
      </w:r>
      <w:r w:rsidR="00B745CF" w:rsidRPr="009B5B11">
        <w:rPr>
          <w:color w:val="auto"/>
        </w:rPr>
        <w:t xml:space="preserve"> </w:t>
      </w:r>
      <w:r w:rsidRPr="009B5B11">
        <w:rPr>
          <w:color w:val="auto"/>
        </w:rPr>
        <w:t>interpret the results and how to explain the results to patients.  </w:t>
      </w:r>
    </w:p>
    <w:p w14:paraId="7C2F4B55" w14:textId="77777777" w:rsidR="005D1E29" w:rsidRPr="009B5B11" w:rsidRDefault="005D1E29" w:rsidP="00670C60">
      <w:pPr>
        <w:pStyle w:val="Instructionaltext"/>
        <w:numPr>
          <w:ilvl w:val="0"/>
          <w:numId w:val="58"/>
        </w:numPr>
        <w:rPr>
          <w:color w:val="auto"/>
        </w:rPr>
      </w:pPr>
      <w:r w:rsidRPr="009B5B11">
        <w:rPr>
          <w:color w:val="auto"/>
        </w:rPr>
        <w:t>refresher training on diabetes subtypes, insulin management, glucose variability, and the benefits and limitations of CGMs.  </w:t>
      </w:r>
    </w:p>
    <w:p w14:paraId="3D69FE68" w14:textId="77777777" w:rsidR="005D1E29" w:rsidRPr="009B5B11" w:rsidRDefault="005D1E29" w:rsidP="00670C60">
      <w:pPr>
        <w:pStyle w:val="Instructionaltext"/>
        <w:numPr>
          <w:ilvl w:val="0"/>
          <w:numId w:val="59"/>
        </w:numPr>
        <w:rPr>
          <w:color w:val="auto"/>
        </w:rPr>
      </w:pPr>
      <w:r w:rsidRPr="009B5B11">
        <w:rPr>
          <w:color w:val="auto"/>
        </w:rPr>
        <w:t>clear, simple guidance on how to assess eligibility for a CGM, with respondents wanting standardised criteria, decision tools, and straightforward information on available products, policies and referral thresholds. </w:t>
      </w:r>
    </w:p>
    <w:p w14:paraId="26519F72" w14:textId="77777777" w:rsidR="005D1E29" w:rsidRPr="009B5B11" w:rsidRDefault="005D1E29" w:rsidP="005D1E29">
      <w:pPr>
        <w:pStyle w:val="Instructionaltext"/>
        <w:rPr>
          <w:color w:val="auto"/>
        </w:rPr>
      </w:pPr>
      <w:r w:rsidRPr="009B5B11">
        <w:rPr>
          <w:color w:val="auto"/>
        </w:rPr>
        <w:t>In addition, respondents noted that GPs should have ready access to support from specialists and diabetes educators. Many favoured shared care with, or referral pathways to, endocrinologists, diabetes educators/nurses and dietitians/nutritionists. A small number of respondents felt that GPs were too time poor to take on this role and had poor understanding of managing people with insulin dependent diabetes. </w:t>
      </w:r>
    </w:p>
    <w:p w14:paraId="5A491A13" w14:textId="5E9E6754" w:rsidR="005D1E29" w:rsidRPr="009B5B11" w:rsidRDefault="005D1E29" w:rsidP="005D1E29">
      <w:pPr>
        <w:pStyle w:val="Instructionaltext"/>
        <w:rPr>
          <w:color w:val="auto"/>
        </w:rPr>
      </w:pPr>
      <w:r w:rsidRPr="009B5B11">
        <w:rPr>
          <w:b/>
          <w:bCs/>
          <w:color w:val="auto"/>
        </w:rPr>
        <w:t>Additional comments/themes</w:t>
      </w:r>
      <w:r w:rsidRPr="009B5B11">
        <w:rPr>
          <w:color w:val="auto"/>
        </w:rPr>
        <w:t> </w:t>
      </w:r>
    </w:p>
    <w:p w14:paraId="0A83894A" w14:textId="2C13B7EE" w:rsidR="005D1E29" w:rsidRPr="009B5B11" w:rsidRDefault="005D1E29" w:rsidP="005D1E29">
      <w:pPr>
        <w:pStyle w:val="Instructionaltext"/>
        <w:rPr>
          <w:color w:val="auto"/>
        </w:rPr>
      </w:pPr>
      <w:r w:rsidRPr="009B5B11">
        <w:rPr>
          <w:color w:val="auto"/>
        </w:rPr>
        <w:t>Several key themes emerged from comments received by MSAC on this application. The first theme relates to people’s experiences using a CGM, with many describing it as ‘life-changing’</w:t>
      </w:r>
      <w:r w:rsidR="009B5B11" w:rsidRPr="009B5B11">
        <w:rPr>
          <w:color w:val="auto"/>
        </w:rPr>
        <w:t xml:space="preserve"> </w:t>
      </w:r>
      <w:r w:rsidRPr="009B5B11">
        <w:rPr>
          <w:color w:val="auto"/>
        </w:rPr>
        <w:t>or</w:t>
      </w:r>
      <w:r w:rsidR="009B5B11" w:rsidRPr="009B5B11">
        <w:rPr>
          <w:color w:val="auto"/>
        </w:rPr>
        <w:t xml:space="preserve"> </w:t>
      </w:r>
      <w:r w:rsidRPr="009B5B11">
        <w:rPr>
          <w:color w:val="auto"/>
        </w:rPr>
        <w:t>‘lifesaving’.</w:t>
      </w:r>
      <w:r w:rsidR="009B5B11" w:rsidRPr="009B5B11">
        <w:rPr>
          <w:color w:val="auto"/>
        </w:rPr>
        <w:t xml:space="preserve"> </w:t>
      </w:r>
      <w:r w:rsidRPr="009B5B11">
        <w:rPr>
          <w:color w:val="auto"/>
        </w:rPr>
        <w:t>Benefits that respondents highlighted include improved glucose control, better understanding of how food, exercise and medication affect blood glucose, and greater ability to detect and prevent hypoglycaemic events, especially overnight. </w:t>
      </w:r>
    </w:p>
    <w:p w14:paraId="733680E5" w14:textId="77777777" w:rsidR="005D1E29" w:rsidRPr="009B5B11" w:rsidRDefault="005D1E29" w:rsidP="005D1E29">
      <w:pPr>
        <w:pStyle w:val="Instructionaltext"/>
        <w:rPr>
          <w:color w:val="auto"/>
        </w:rPr>
      </w:pPr>
      <w:r w:rsidRPr="009B5B11">
        <w:rPr>
          <w:color w:val="auto"/>
        </w:rPr>
        <w:t>The second major theme concerns affordability and equity. Many respondents indicated that the current cost of continuous glucose monitoring (CGM) devices is unsustainable, particularly for pensioners, low-income households, older adults, and individuals with multiple health conditions. Some reported being forced to ration their usage, forgo access entirely, or make significant personal sacrifices to maintain access. Additionally, there was a strong perception that existing eligibility criteria are unfair and discriminatory, as people with similar clinical needs may be treated differently due to an ‘outdated classification system’. Criteria based on diabetes type were seen as potentially excluding high-risk individuals with complex clinical needs from receiving subsidised CGM access. </w:t>
      </w:r>
    </w:p>
    <w:p w14:paraId="7B3BB5E6" w14:textId="161205F2" w:rsidR="00B9467A" w:rsidRPr="009B5B11" w:rsidRDefault="005D1E29" w:rsidP="00E76AE0">
      <w:pPr>
        <w:pStyle w:val="Instructionaltext"/>
        <w:rPr>
          <w:color w:val="auto"/>
        </w:rPr>
      </w:pPr>
      <w:r w:rsidRPr="009B5B11">
        <w:rPr>
          <w:color w:val="auto"/>
        </w:rPr>
        <w:t>Respondents also frequently argued that broader access would be a preventive investment, reducing hospitalisations and long-term complications, although a smaller number raised concerns about cost-effectiveness, evidence of benefit for some groups, supply capacity, and the influence of manufacturers.</w:t>
      </w:r>
    </w:p>
    <w:p w14:paraId="03C7A1F1" w14:textId="1D000077" w:rsidR="00772829" w:rsidRPr="00CE28E3" w:rsidRDefault="00772829" w:rsidP="00670C60">
      <w:pPr>
        <w:pStyle w:val="Heading2"/>
        <w:numPr>
          <w:ilvl w:val="0"/>
          <w:numId w:val="32"/>
        </w:numPr>
        <w:ind w:hanging="720"/>
      </w:pPr>
      <w:bookmarkStart w:id="23" w:name="_Toc69491422"/>
      <w:r w:rsidRPr="00CE28E3">
        <w:t>Characteristics of the evidence base</w:t>
      </w:r>
      <w:bookmarkEnd w:id="23"/>
    </w:p>
    <w:p w14:paraId="22E3561E" w14:textId="4CBFC0FB" w:rsidR="002321B3" w:rsidRDefault="00557FEB" w:rsidP="002034AE">
      <w:pPr>
        <w:pStyle w:val="Instructionaltext"/>
        <w:rPr>
          <w:color w:val="auto"/>
        </w:rPr>
      </w:pPr>
      <w:r>
        <w:rPr>
          <w:color w:val="auto"/>
        </w:rPr>
        <w:t>T</w:t>
      </w:r>
      <w:r w:rsidR="00AC77CE" w:rsidRPr="00AC77CE">
        <w:rPr>
          <w:color w:val="auto"/>
        </w:rPr>
        <w:t xml:space="preserve">he updated literature search </w:t>
      </w:r>
      <w:r w:rsidR="0070103C">
        <w:rPr>
          <w:color w:val="auto"/>
        </w:rPr>
        <w:t>did not i</w:t>
      </w:r>
      <w:r w:rsidR="0070103C" w:rsidRPr="00AC77CE">
        <w:rPr>
          <w:color w:val="auto"/>
        </w:rPr>
        <w:t>dentif</w:t>
      </w:r>
      <w:r w:rsidR="0070103C">
        <w:rPr>
          <w:color w:val="auto"/>
        </w:rPr>
        <w:t xml:space="preserve">y any </w:t>
      </w:r>
      <w:r w:rsidR="00AC77CE" w:rsidRPr="00AC77CE">
        <w:rPr>
          <w:color w:val="auto"/>
        </w:rPr>
        <w:t>new</w:t>
      </w:r>
      <w:r>
        <w:rPr>
          <w:color w:val="auto"/>
        </w:rPr>
        <w:t xml:space="preserve"> </w:t>
      </w:r>
      <w:r w:rsidR="00281363">
        <w:rPr>
          <w:color w:val="auto"/>
        </w:rPr>
        <w:t xml:space="preserve">comparative </w:t>
      </w:r>
      <w:r w:rsidR="0002791E">
        <w:rPr>
          <w:color w:val="auto"/>
        </w:rPr>
        <w:t>studies</w:t>
      </w:r>
      <w:r w:rsidR="00281363">
        <w:rPr>
          <w:color w:val="auto"/>
        </w:rPr>
        <w:t xml:space="preserve">, as </w:t>
      </w:r>
      <w:r w:rsidR="0070103C">
        <w:rPr>
          <w:color w:val="auto"/>
        </w:rPr>
        <w:t>acknowledged</w:t>
      </w:r>
      <w:r w:rsidR="00534381">
        <w:rPr>
          <w:color w:val="auto"/>
        </w:rPr>
        <w:t xml:space="preserve"> by</w:t>
      </w:r>
      <w:r w:rsidR="00281363">
        <w:rPr>
          <w:color w:val="auto"/>
        </w:rPr>
        <w:t xml:space="preserve"> the applicant </w:t>
      </w:r>
      <w:r w:rsidR="00CF1EDD">
        <w:rPr>
          <w:color w:val="auto"/>
        </w:rPr>
        <w:t>in the section of the ADAR resubmission describ</w:t>
      </w:r>
      <w:r w:rsidR="00C700D2">
        <w:rPr>
          <w:color w:val="auto"/>
        </w:rPr>
        <w:t>ing</w:t>
      </w:r>
      <w:r w:rsidR="00CF1EDD">
        <w:rPr>
          <w:color w:val="auto"/>
        </w:rPr>
        <w:t xml:space="preserve"> the results of the search and study selection</w:t>
      </w:r>
      <w:r w:rsidR="002321B3">
        <w:rPr>
          <w:color w:val="auto"/>
        </w:rPr>
        <w:t xml:space="preserve"> (</w:t>
      </w:r>
      <w:r w:rsidR="00A215B1" w:rsidRPr="00DB7D45">
        <w:rPr>
          <w:color w:val="auto"/>
        </w:rPr>
        <w:t>ADAR 1785 resubmission</w:t>
      </w:r>
      <w:r w:rsidR="00A215B1">
        <w:rPr>
          <w:color w:val="auto"/>
        </w:rPr>
        <w:t xml:space="preserve">, </w:t>
      </w:r>
      <w:r w:rsidR="009F5B5D">
        <w:rPr>
          <w:color w:val="auto"/>
        </w:rPr>
        <w:t>p.</w:t>
      </w:r>
      <w:r w:rsidR="00772B56" w:rsidRPr="00772B56">
        <w:rPr>
          <w:color w:val="auto"/>
        </w:rPr>
        <w:t xml:space="preserve"> 52)</w:t>
      </w:r>
      <w:r w:rsidR="0013476E">
        <w:rPr>
          <w:color w:val="auto"/>
        </w:rPr>
        <w:t>.</w:t>
      </w:r>
      <w:r w:rsidR="008A5A4B">
        <w:rPr>
          <w:color w:val="auto"/>
        </w:rPr>
        <w:t xml:space="preserve"> </w:t>
      </w:r>
    </w:p>
    <w:p w14:paraId="4DA9F4C4" w14:textId="48B8351D" w:rsidR="007E3DF5" w:rsidRDefault="008A5A4B" w:rsidP="002034AE">
      <w:pPr>
        <w:pStyle w:val="Instructionaltext"/>
        <w:rPr>
          <w:color w:val="auto"/>
        </w:rPr>
      </w:pPr>
      <w:r>
        <w:rPr>
          <w:color w:val="auto"/>
        </w:rPr>
        <w:lastRenderedPageBreak/>
        <w:t xml:space="preserve">The clinical claim in the </w:t>
      </w:r>
      <w:r w:rsidR="007D30C2">
        <w:rPr>
          <w:color w:val="auto"/>
        </w:rPr>
        <w:t>ADAR resubmission</w:t>
      </w:r>
      <w:r>
        <w:rPr>
          <w:color w:val="auto"/>
        </w:rPr>
        <w:t xml:space="preserve"> is </w:t>
      </w:r>
      <w:r w:rsidR="00A215B1">
        <w:rPr>
          <w:color w:val="auto"/>
        </w:rPr>
        <w:t>based on</w:t>
      </w:r>
      <w:r w:rsidR="00747E9C">
        <w:rPr>
          <w:color w:val="auto"/>
        </w:rPr>
        <w:t xml:space="preserve">: 1) </w:t>
      </w:r>
      <w:r w:rsidR="008A289D">
        <w:rPr>
          <w:color w:val="auto"/>
        </w:rPr>
        <w:t xml:space="preserve">Hba1c </w:t>
      </w:r>
      <w:r w:rsidR="00747E9C">
        <w:rPr>
          <w:color w:val="auto"/>
        </w:rPr>
        <w:t xml:space="preserve">outcomes </w:t>
      </w:r>
      <w:r w:rsidR="00904DE4">
        <w:rPr>
          <w:color w:val="auto"/>
        </w:rPr>
        <w:t xml:space="preserve">from </w:t>
      </w:r>
      <w:r w:rsidR="00D45A5B">
        <w:rPr>
          <w:color w:val="auto"/>
        </w:rPr>
        <w:t>2</w:t>
      </w:r>
      <w:r w:rsidR="008961BA">
        <w:rPr>
          <w:color w:val="auto"/>
        </w:rPr>
        <w:t xml:space="preserve"> </w:t>
      </w:r>
      <w:r w:rsidR="006B64B8">
        <w:rPr>
          <w:color w:val="auto"/>
        </w:rPr>
        <w:t>RCT</w:t>
      </w:r>
      <w:r w:rsidR="006E1B7E">
        <w:rPr>
          <w:color w:val="auto"/>
        </w:rPr>
        <w:t>s</w:t>
      </w:r>
      <w:r w:rsidR="00904DE4">
        <w:rPr>
          <w:color w:val="auto"/>
        </w:rPr>
        <w:t xml:space="preserve"> </w:t>
      </w:r>
      <w:r w:rsidR="000B50D3">
        <w:rPr>
          <w:color w:val="auto"/>
        </w:rPr>
        <w:t>(</w:t>
      </w:r>
      <w:r w:rsidR="00F06958">
        <w:rPr>
          <w:color w:val="auto"/>
        </w:rPr>
        <w:t>not pooled</w:t>
      </w:r>
      <w:r w:rsidR="000B50D3">
        <w:rPr>
          <w:color w:val="auto"/>
        </w:rPr>
        <w:t>)</w:t>
      </w:r>
      <w:r w:rsidR="00FC238B">
        <w:rPr>
          <w:color w:val="auto"/>
        </w:rPr>
        <w:t>—</w:t>
      </w:r>
      <w:r w:rsidR="007E720D">
        <w:rPr>
          <w:color w:val="auto"/>
        </w:rPr>
        <w:t xml:space="preserve">one </w:t>
      </w:r>
      <w:r w:rsidR="004909AA">
        <w:rPr>
          <w:color w:val="auto"/>
        </w:rPr>
        <w:t>assessing the non</w:t>
      </w:r>
      <w:r w:rsidR="00874196">
        <w:rPr>
          <w:color w:val="auto"/>
        </w:rPr>
        <w:t>-</w:t>
      </w:r>
      <w:r w:rsidR="004909AA">
        <w:rPr>
          <w:color w:val="auto"/>
        </w:rPr>
        <w:t>IIT population, the other the IIT population</w:t>
      </w:r>
      <w:r w:rsidR="00FC238B">
        <w:rPr>
          <w:color w:val="auto"/>
        </w:rPr>
        <w:t>—</w:t>
      </w:r>
      <w:r w:rsidR="005D743C" w:rsidRPr="005D743C">
        <w:rPr>
          <w:color w:val="auto"/>
        </w:rPr>
        <w:t>which constitutes the primary evidence base</w:t>
      </w:r>
      <w:r w:rsidR="009534CC">
        <w:rPr>
          <w:color w:val="auto"/>
        </w:rPr>
        <w:t xml:space="preserve">; </w:t>
      </w:r>
      <w:r w:rsidR="001E71FE">
        <w:rPr>
          <w:color w:val="auto"/>
        </w:rPr>
        <w:t xml:space="preserve">and </w:t>
      </w:r>
      <w:r w:rsidR="009534CC">
        <w:rPr>
          <w:color w:val="auto"/>
        </w:rPr>
        <w:t xml:space="preserve">2) </w:t>
      </w:r>
      <w:r w:rsidR="00FC238B">
        <w:rPr>
          <w:color w:val="auto"/>
        </w:rPr>
        <w:t>r</w:t>
      </w:r>
      <w:r w:rsidR="006B13D8">
        <w:rPr>
          <w:color w:val="auto"/>
        </w:rPr>
        <w:t>esults of a meta-analysis performed</w:t>
      </w:r>
      <w:r w:rsidR="0097510A">
        <w:rPr>
          <w:color w:val="auto"/>
        </w:rPr>
        <w:t xml:space="preserve"> specifically for the</w:t>
      </w:r>
      <w:r w:rsidR="006B13D8">
        <w:rPr>
          <w:color w:val="auto"/>
        </w:rPr>
        <w:t xml:space="preserve"> </w:t>
      </w:r>
      <w:r w:rsidR="00022C21">
        <w:rPr>
          <w:color w:val="auto"/>
        </w:rPr>
        <w:t>ADAR</w:t>
      </w:r>
      <w:r w:rsidR="00874196">
        <w:rPr>
          <w:color w:val="auto"/>
        </w:rPr>
        <w:t xml:space="preserve"> resubmission</w:t>
      </w:r>
      <w:r w:rsidR="005635A9">
        <w:rPr>
          <w:color w:val="auto"/>
        </w:rPr>
        <w:t xml:space="preserve">, which pooled HbA1c outcomes </w:t>
      </w:r>
      <w:r w:rsidR="0019226D">
        <w:rPr>
          <w:color w:val="auto"/>
        </w:rPr>
        <w:t>from</w:t>
      </w:r>
      <w:r w:rsidR="005635A9">
        <w:rPr>
          <w:color w:val="auto"/>
        </w:rPr>
        <w:t xml:space="preserve"> various studies, </w:t>
      </w:r>
      <w:r w:rsidR="00EE52C3" w:rsidRPr="00EE52C3">
        <w:rPr>
          <w:color w:val="auto"/>
        </w:rPr>
        <w:t>including a subset of studies previously included in</w:t>
      </w:r>
      <w:r w:rsidR="00EE52C3">
        <w:rPr>
          <w:color w:val="auto"/>
        </w:rPr>
        <w:t xml:space="preserve"> </w:t>
      </w:r>
      <w:r w:rsidR="002F27FB">
        <w:rPr>
          <w:color w:val="auto"/>
        </w:rPr>
        <w:t xml:space="preserve">the </w:t>
      </w:r>
      <w:r w:rsidR="00874196">
        <w:rPr>
          <w:color w:val="auto"/>
        </w:rPr>
        <w:t>original</w:t>
      </w:r>
      <w:r w:rsidR="00EE52C3">
        <w:rPr>
          <w:color w:val="auto"/>
        </w:rPr>
        <w:t xml:space="preserve"> </w:t>
      </w:r>
      <w:r w:rsidR="00EE1477">
        <w:rPr>
          <w:color w:val="auto"/>
        </w:rPr>
        <w:t xml:space="preserve">ADAR </w:t>
      </w:r>
      <w:r w:rsidR="002E55DF">
        <w:rPr>
          <w:color w:val="auto"/>
        </w:rPr>
        <w:t xml:space="preserve">and studies included in </w:t>
      </w:r>
      <w:r w:rsidR="00211442">
        <w:rPr>
          <w:color w:val="auto"/>
        </w:rPr>
        <w:t xml:space="preserve">application </w:t>
      </w:r>
      <w:r w:rsidR="002E55DF">
        <w:rPr>
          <w:color w:val="auto"/>
        </w:rPr>
        <w:t>1786</w:t>
      </w:r>
      <w:r w:rsidR="00E456FE">
        <w:rPr>
          <w:color w:val="auto"/>
        </w:rPr>
        <w:t xml:space="preserve"> (</w:t>
      </w:r>
      <w:r w:rsidR="000519A9">
        <w:rPr>
          <w:color w:val="auto"/>
        </w:rPr>
        <w:t>F</w:t>
      </w:r>
      <w:r w:rsidR="00E456FE">
        <w:rPr>
          <w:color w:val="auto"/>
        </w:rPr>
        <w:t>SL)</w:t>
      </w:r>
      <w:r w:rsidR="00EE1477">
        <w:rPr>
          <w:color w:val="auto"/>
        </w:rPr>
        <w:t xml:space="preserve">.  </w:t>
      </w:r>
    </w:p>
    <w:p w14:paraId="552164AB" w14:textId="5683E4A4" w:rsidR="00320617" w:rsidRPr="00386077" w:rsidRDefault="000B083E" w:rsidP="00D86A7D">
      <w:pPr>
        <w:pStyle w:val="Instructionaltext"/>
        <w:keepNext/>
        <w:keepLines/>
        <w:rPr>
          <w:b/>
          <w:bCs/>
          <w:i/>
          <w:iCs/>
          <w:color w:val="auto"/>
        </w:rPr>
      </w:pPr>
      <w:r>
        <w:rPr>
          <w:b/>
          <w:bCs/>
          <w:i/>
          <w:iCs/>
          <w:color w:val="auto"/>
        </w:rPr>
        <w:t>P</w:t>
      </w:r>
      <w:r w:rsidR="00285BC0" w:rsidRPr="00386077">
        <w:rPr>
          <w:b/>
          <w:bCs/>
          <w:i/>
          <w:iCs/>
          <w:color w:val="auto"/>
        </w:rPr>
        <w:t>rimary</w:t>
      </w:r>
      <w:r w:rsidR="005C1FF3">
        <w:rPr>
          <w:b/>
          <w:bCs/>
          <w:i/>
          <w:iCs/>
          <w:color w:val="auto"/>
        </w:rPr>
        <w:t xml:space="preserve"> </w:t>
      </w:r>
      <w:r w:rsidR="003D08FA">
        <w:rPr>
          <w:b/>
          <w:bCs/>
          <w:i/>
          <w:iCs/>
          <w:color w:val="auto"/>
        </w:rPr>
        <w:t>evidence</w:t>
      </w:r>
      <w:r w:rsidR="00603056">
        <w:rPr>
          <w:b/>
          <w:bCs/>
          <w:i/>
          <w:iCs/>
          <w:color w:val="auto"/>
        </w:rPr>
        <w:t xml:space="preserve"> – </w:t>
      </w:r>
      <w:r w:rsidR="006D018A">
        <w:rPr>
          <w:b/>
          <w:bCs/>
          <w:i/>
          <w:iCs/>
          <w:color w:val="auto"/>
        </w:rPr>
        <w:t xml:space="preserve">HbA1c outcomes </w:t>
      </w:r>
      <w:r w:rsidR="00B467AC">
        <w:rPr>
          <w:b/>
          <w:bCs/>
          <w:i/>
          <w:iCs/>
          <w:color w:val="auto"/>
        </w:rPr>
        <w:t xml:space="preserve">evaluating RT-CGM </w:t>
      </w:r>
      <w:r w:rsidR="002657D3" w:rsidRPr="002657D3">
        <w:rPr>
          <w:b/>
          <w:bCs/>
          <w:i/>
          <w:iCs/>
          <w:color w:val="auto"/>
        </w:rPr>
        <w:t>vs</w:t>
      </w:r>
      <w:r w:rsidR="00B467AC">
        <w:rPr>
          <w:b/>
          <w:bCs/>
          <w:i/>
          <w:iCs/>
          <w:color w:val="auto"/>
        </w:rPr>
        <w:t xml:space="preserve"> SMBG </w:t>
      </w:r>
      <w:r w:rsidR="00D852D3">
        <w:rPr>
          <w:b/>
          <w:bCs/>
          <w:i/>
          <w:iCs/>
          <w:color w:val="auto"/>
        </w:rPr>
        <w:t xml:space="preserve">in the non-IIT </w:t>
      </w:r>
      <w:r w:rsidR="00047786">
        <w:rPr>
          <w:b/>
          <w:bCs/>
          <w:i/>
          <w:iCs/>
          <w:color w:val="auto"/>
        </w:rPr>
        <w:t xml:space="preserve">(1 RCT) </w:t>
      </w:r>
      <w:r w:rsidR="00D852D3">
        <w:rPr>
          <w:b/>
          <w:bCs/>
          <w:i/>
          <w:iCs/>
          <w:color w:val="auto"/>
        </w:rPr>
        <w:t xml:space="preserve">and IIT subpopulations </w:t>
      </w:r>
      <w:r w:rsidR="00047786">
        <w:rPr>
          <w:b/>
          <w:bCs/>
          <w:i/>
          <w:iCs/>
          <w:color w:val="auto"/>
        </w:rPr>
        <w:t>(1 RCT)</w:t>
      </w:r>
    </w:p>
    <w:p w14:paraId="118D33C7" w14:textId="05984B0D" w:rsidR="00CF47DA" w:rsidRDefault="002666D2" w:rsidP="00D86A7D">
      <w:pPr>
        <w:keepNext/>
        <w:keepLines/>
      </w:pPr>
      <w:r>
        <w:t xml:space="preserve">In the ADAR </w:t>
      </w:r>
      <w:r w:rsidR="00C53ACA">
        <w:t>resubmission</w:t>
      </w:r>
      <w:r>
        <w:t xml:space="preserve">, </w:t>
      </w:r>
      <w:r w:rsidR="001D37E9">
        <w:t xml:space="preserve">results for </w:t>
      </w:r>
      <w:r w:rsidR="00FA4403">
        <w:t xml:space="preserve">the primary outcome </w:t>
      </w:r>
      <w:r w:rsidR="008D3F0F">
        <w:t>(</w:t>
      </w:r>
      <w:r w:rsidR="00183158">
        <w:t xml:space="preserve">change in </w:t>
      </w:r>
      <w:r w:rsidR="00124993">
        <w:t>%</w:t>
      </w:r>
      <w:r w:rsidR="00183158">
        <w:t>HbA1c</w:t>
      </w:r>
      <w:r w:rsidR="00176F7D">
        <w:t>)</w:t>
      </w:r>
      <w:r w:rsidR="00F55036">
        <w:t xml:space="preserve"> reported</w:t>
      </w:r>
      <w:r w:rsidR="00183158">
        <w:t xml:space="preserve"> </w:t>
      </w:r>
      <w:r w:rsidR="009E0E94">
        <w:t>in</w:t>
      </w:r>
      <w:r w:rsidR="00F55036">
        <w:t xml:space="preserve"> </w:t>
      </w:r>
      <w:r w:rsidR="00C60BA0">
        <w:t xml:space="preserve">2 </w:t>
      </w:r>
      <w:r w:rsidR="00A94174">
        <w:t xml:space="preserve">RCTs </w:t>
      </w:r>
      <w:r w:rsidR="009E0E94">
        <w:t>(</w:t>
      </w:r>
      <w:r w:rsidR="006D2066">
        <w:t>DIAMOND</w:t>
      </w:r>
      <w:r w:rsidR="00A94174">
        <w:t xml:space="preserve"> </w:t>
      </w:r>
      <w:r w:rsidR="004F65D6">
        <w:t xml:space="preserve">and </w:t>
      </w:r>
      <w:r w:rsidR="00DF7E30">
        <w:t>MOBILE</w:t>
      </w:r>
      <w:r w:rsidR="009E0E94">
        <w:t>)</w:t>
      </w:r>
      <w:r w:rsidR="00DF7E30">
        <w:t xml:space="preserve"> </w:t>
      </w:r>
      <w:r w:rsidR="00F55036">
        <w:t>constitute</w:t>
      </w:r>
      <w:r w:rsidR="00183158">
        <w:t xml:space="preserve"> the primary</w:t>
      </w:r>
      <w:r w:rsidR="00F55036">
        <w:t xml:space="preserve"> evidence base </w:t>
      </w:r>
      <w:r w:rsidR="00CF47DA">
        <w:t>underpinning</w:t>
      </w:r>
      <w:r w:rsidR="00183158">
        <w:t xml:space="preserve"> the cli</w:t>
      </w:r>
      <w:r w:rsidR="00DF7E30">
        <w:t xml:space="preserve">nical </w:t>
      </w:r>
      <w:r w:rsidR="00886D74">
        <w:t xml:space="preserve">effectiveness </w:t>
      </w:r>
      <w:r w:rsidR="00DF7E30">
        <w:t>claim.</w:t>
      </w:r>
      <w:r w:rsidR="00614F46">
        <w:t xml:space="preserve"> The DIAMOND trial </w:t>
      </w:r>
      <w:r w:rsidR="004F1BB7">
        <w:t xml:space="preserve">contributed </w:t>
      </w:r>
      <w:r w:rsidR="00FA248B">
        <w:t xml:space="preserve">the </w:t>
      </w:r>
      <w:r w:rsidR="004F1BB7">
        <w:t>outcome</w:t>
      </w:r>
      <w:r w:rsidR="00664A02">
        <w:t>s</w:t>
      </w:r>
      <w:r w:rsidR="004F1BB7">
        <w:t xml:space="preserve"> data </w:t>
      </w:r>
      <w:r w:rsidR="004F1BB7" w:rsidRPr="0097510A">
        <w:t xml:space="preserve">for </w:t>
      </w:r>
      <w:r w:rsidR="00614F46" w:rsidRPr="0097510A">
        <w:t>evaluat</w:t>
      </w:r>
      <w:r w:rsidR="004F1BB7" w:rsidRPr="0097510A">
        <w:t>ion of comparative effectiveness for</w:t>
      </w:r>
      <w:r w:rsidR="00614F46" w:rsidRPr="0097510A">
        <w:t xml:space="preserve"> the</w:t>
      </w:r>
      <w:r w:rsidR="00DF7E30" w:rsidRPr="0097510A">
        <w:t xml:space="preserve"> </w:t>
      </w:r>
      <w:r w:rsidR="00614F46" w:rsidRPr="0097510A">
        <w:t>IIT subpopulation (i.e. those who require treatment with basal insulin and bolus insulin)</w:t>
      </w:r>
      <w:r w:rsidR="004F1BB7" w:rsidRPr="0097510A">
        <w:t xml:space="preserve">. </w:t>
      </w:r>
      <w:r w:rsidR="00CF47DA">
        <w:t xml:space="preserve">The </w:t>
      </w:r>
      <w:r w:rsidR="00886D74">
        <w:t xml:space="preserve">MOBILE </w:t>
      </w:r>
      <w:r w:rsidR="00CF47DA">
        <w:t>trial</w:t>
      </w:r>
      <w:r w:rsidR="00886D74">
        <w:t xml:space="preserve"> </w:t>
      </w:r>
      <w:r w:rsidR="00450BFF">
        <w:t xml:space="preserve">contributed data for </w:t>
      </w:r>
      <w:r w:rsidR="00886D74">
        <w:t>assess</w:t>
      </w:r>
      <w:r w:rsidR="00450BFF">
        <w:t>ment of</w:t>
      </w:r>
      <w:r w:rsidR="00886D74">
        <w:t xml:space="preserve"> the </w:t>
      </w:r>
      <w:r w:rsidR="00B60D68" w:rsidRPr="0097510A">
        <w:t>non-IIT subpopulation.</w:t>
      </w:r>
      <w:r w:rsidR="00B60D68">
        <w:t xml:space="preserve"> </w:t>
      </w:r>
    </w:p>
    <w:p w14:paraId="6340E1F8" w14:textId="6D9DEB4B" w:rsidR="007303FA" w:rsidRDefault="00886D74" w:rsidP="00EB17EA">
      <w:r>
        <w:t>No stud</w:t>
      </w:r>
      <w:r w:rsidR="001452C5">
        <w:t>ies</w:t>
      </w:r>
      <w:r>
        <w:t xml:space="preserve"> evaluated </w:t>
      </w:r>
      <w:r w:rsidR="001452C5">
        <w:t xml:space="preserve">the </w:t>
      </w:r>
      <w:r w:rsidR="00432242">
        <w:t xml:space="preserve">comparative effectiveness of the Dexcom ONE+ </w:t>
      </w:r>
      <w:r w:rsidR="001452C5">
        <w:t xml:space="preserve">CGM </w:t>
      </w:r>
      <w:r w:rsidR="00664A02">
        <w:t>s</w:t>
      </w:r>
      <w:r w:rsidR="001452C5">
        <w:t xml:space="preserve">ystem </w:t>
      </w:r>
      <w:r w:rsidR="00432242">
        <w:t xml:space="preserve">compared to SMBG </w:t>
      </w:r>
      <w:r w:rsidR="001452C5">
        <w:t>in</w:t>
      </w:r>
      <w:r w:rsidR="00432242">
        <w:t xml:space="preserve"> the First Nations subpopulation proposed for public funding. </w:t>
      </w:r>
    </w:p>
    <w:p w14:paraId="069DA4FB" w14:textId="5E722339" w:rsidR="00DF7E30" w:rsidRPr="00151401" w:rsidRDefault="00DF7E30" w:rsidP="00EB17EA">
      <w:r w:rsidRPr="00DF7E30">
        <w:t xml:space="preserve">Key characteristics of the </w:t>
      </w:r>
      <w:r>
        <w:t xml:space="preserve">trials </w:t>
      </w:r>
      <w:r w:rsidR="007303FA">
        <w:t xml:space="preserve">included </w:t>
      </w:r>
      <w:r w:rsidR="00126D6D">
        <w:t xml:space="preserve">to inform the comparative effectiveness claim </w:t>
      </w:r>
      <w:r>
        <w:t xml:space="preserve">are </w:t>
      </w:r>
      <w:r w:rsidR="001452C5">
        <w:t>presented</w:t>
      </w:r>
      <w:r>
        <w:t xml:space="preserve"> </w:t>
      </w:r>
      <w:r w:rsidRPr="00DF7E30">
        <w:t xml:space="preserve">in </w:t>
      </w:r>
      <w:r w:rsidR="00887B4E">
        <w:fldChar w:fldCharType="begin"/>
      </w:r>
      <w:r w:rsidR="00887B4E">
        <w:instrText xml:space="preserve"> REF _Ref226721474 \h </w:instrText>
      </w:r>
      <w:r w:rsidR="00EB17EA">
        <w:instrText xml:space="preserve"> \* MERGEFORMAT </w:instrText>
      </w:r>
      <w:r w:rsidR="00887B4E">
        <w:fldChar w:fldCharType="separate"/>
      </w:r>
      <w:r w:rsidR="0098516D" w:rsidRPr="00CE28E3">
        <w:t>Table</w:t>
      </w:r>
      <w:r w:rsidR="0098516D" w:rsidRPr="00887B4E">
        <w:t xml:space="preserve"> </w:t>
      </w:r>
      <w:r w:rsidR="0098516D">
        <w:t>7</w:t>
      </w:r>
      <w:r w:rsidR="00887B4E">
        <w:fldChar w:fldCharType="end"/>
      </w:r>
      <w:r w:rsidRPr="00DF7E30">
        <w:t>.</w:t>
      </w:r>
    </w:p>
    <w:p w14:paraId="228DF8A6" w14:textId="77777777" w:rsidR="00D93AA0" w:rsidRDefault="00D93AA0" w:rsidP="009A06F4">
      <w:pPr>
        <w:pStyle w:val="Caption"/>
        <w:sectPr w:rsidR="00D93AA0" w:rsidSect="00D93AA0">
          <w:pgSz w:w="11906" w:h="16838"/>
          <w:pgMar w:top="1440" w:right="1440" w:bottom="1440" w:left="1440" w:header="708" w:footer="708" w:gutter="0"/>
          <w:cols w:space="708"/>
          <w:docGrid w:linePitch="360"/>
        </w:sectPr>
      </w:pPr>
    </w:p>
    <w:p w14:paraId="692BCA4B" w14:textId="4B8BB080" w:rsidR="00956ACE" w:rsidRPr="00887B4E" w:rsidRDefault="00956ACE" w:rsidP="009A06F4">
      <w:pPr>
        <w:pStyle w:val="Caption"/>
      </w:pPr>
      <w:bookmarkStart w:id="24" w:name="_Ref226721474"/>
      <w:r w:rsidRPr="00CE28E3">
        <w:lastRenderedPageBreak/>
        <w:t>Table</w:t>
      </w:r>
      <w:r w:rsidR="00887B4E" w:rsidRPr="00887B4E">
        <w:t xml:space="preserve"> </w:t>
      </w:r>
      <w:r>
        <w:fldChar w:fldCharType="begin"/>
      </w:r>
      <w:r>
        <w:instrText>SEQ Table \* ARABIC</w:instrText>
      </w:r>
      <w:r>
        <w:fldChar w:fldCharType="separate"/>
      </w:r>
      <w:r w:rsidR="0098516D">
        <w:rPr>
          <w:noProof/>
        </w:rPr>
        <w:t>7</w:t>
      </w:r>
      <w:r>
        <w:fldChar w:fldCharType="end"/>
      </w:r>
      <w:bookmarkEnd w:id="24"/>
      <w:r w:rsidR="00887B4E" w:rsidRPr="00887B4E">
        <w:t xml:space="preserve">: </w:t>
      </w:r>
      <w:r w:rsidRPr="00CE28E3">
        <w:t>Key features of the</w:t>
      </w:r>
      <w:r w:rsidR="0074037F">
        <w:t xml:space="preserve"> </w:t>
      </w:r>
      <w:r w:rsidR="001E3318">
        <w:t>primary evidence used to a</w:t>
      </w:r>
      <w:r w:rsidR="00A50E04">
        <w:t>ssess</w:t>
      </w:r>
      <w:r w:rsidR="00721B83">
        <w:t xml:space="preserve"> </w:t>
      </w:r>
      <w:r w:rsidR="00A50E04">
        <w:t>comparative</w:t>
      </w:r>
      <w:r w:rsidR="00721B83">
        <w:t xml:space="preserve"> effectiveness</w:t>
      </w:r>
      <w:r w:rsidR="00543429">
        <w:t xml:space="preserve"> in</w:t>
      </w:r>
      <w:r w:rsidR="00884317">
        <w:t xml:space="preserve"> the</w:t>
      </w:r>
      <w:r w:rsidR="009355E3">
        <w:t xml:space="preserve"> </w:t>
      </w:r>
      <w:r w:rsidR="009355E3" w:rsidRPr="009355E3">
        <w:t xml:space="preserve">ADAR </w:t>
      </w:r>
      <w:r w:rsidR="00145AB8">
        <w:t>r</w:t>
      </w:r>
      <w:r w:rsidR="009355E3" w:rsidRPr="00887B4E">
        <w:t>esubmission</w:t>
      </w:r>
      <w:r w:rsidR="009355E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14"/>
        <w:gridCol w:w="2834"/>
        <w:gridCol w:w="1417"/>
        <w:gridCol w:w="1615"/>
        <w:gridCol w:w="1674"/>
        <w:gridCol w:w="1668"/>
        <w:gridCol w:w="1797"/>
        <w:gridCol w:w="1529"/>
      </w:tblGrid>
      <w:tr w:rsidR="00AB68B4" w:rsidRPr="00CE28E3" w14:paraId="475D8C60" w14:textId="77777777" w:rsidTr="004A32F7">
        <w:trPr>
          <w:cantSplit/>
          <w:tblHeader/>
        </w:trPr>
        <w:tc>
          <w:tcPr>
            <w:tcW w:w="507" w:type="pct"/>
            <w:shd w:val="clear" w:color="auto" w:fill="E7E6E6" w:themeFill="background2"/>
            <w:vAlign w:val="center"/>
          </w:tcPr>
          <w:p w14:paraId="4FFC981B" w14:textId="77777777" w:rsidR="00956ACE" w:rsidRPr="00CE28E3" w:rsidRDefault="00956ACE" w:rsidP="00AD701B">
            <w:pPr>
              <w:pStyle w:val="In-tableHeading"/>
            </w:pPr>
            <w:bookmarkStart w:id="25" w:name="ColumnTitle_Table3"/>
            <w:bookmarkStart w:id="26" w:name="_Hlk68276112"/>
            <w:bookmarkEnd w:id="25"/>
            <w:r w:rsidRPr="00CE28E3">
              <w:t>References</w:t>
            </w:r>
          </w:p>
        </w:tc>
        <w:tc>
          <w:tcPr>
            <w:tcW w:w="1016" w:type="pct"/>
            <w:shd w:val="clear" w:color="auto" w:fill="E7E6E6" w:themeFill="background2"/>
            <w:vAlign w:val="center"/>
          </w:tcPr>
          <w:p w14:paraId="28641D20" w14:textId="5668A148" w:rsidR="00956ACE" w:rsidRPr="00CE28E3" w:rsidRDefault="001B19BA" w:rsidP="00AD701B">
            <w:pPr>
              <w:pStyle w:val="In-tableHeading"/>
            </w:pPr>
            <w:r>
              <w:t>E</w:t>
            </w:r>
            <w:r w:rsidR="00BC6CEB">
              <w:t>ligibility criteria (</w:t>
            </w:r>
            <w:r w:rsidR="004D3062" w:rsidRPr="006F1056">
              <w:t>N</w:t>
            </w:r>
            <w:r w:rsidR="00BC6CEB">
              <w:t>)</w:t>
            </w:r>
          </w:p>
        </w:tc>
        <w:tc>
          <w:tcPr>
            <w:tcW w:w="508" w:type="pct"/>
            <w:shd w:val="clear" w:color="auto" w:fill="E7E6E6" w:themeFill="background2"/>
            <w:vAlign w:val="center"/>
          </w:tcPr>
          <w:p w14:paraId="69F5F524" w14:textId="3B0AB9AE" w:rsidR="00847ADB" w:rsidRDefault="00847ADB" w:rsidP="00AD701B">
            <w:pPr>
              <w:pStyle w:val="In-tableHeading"/>
            </w:pPr>
            <w:r>
              <w:t>Setting</w:t>
            </w:r>
          </w:p>
        </w:tc>
        <w:tc>
          <w:tcPr>
            <w:tcW w:w="579" w:type="pct"/>
            <w:shd w:val="clear" w:color="auto" w:fill="E7E6E6" w:themeFill="background2"/>
            <w:vAlign w:val="center"/>
          </w:tcPr>
          <w:p w14:paraId="23BE1BE2" w14:textId="2D7933E0" w:rsidR="00956ACE" w:rsidRPr="00CE28E3" w:rsidRDefault="00956ACE" w:rsidP="00AD701B">
            <w:pPr>
              <w:pStyle w:val="In-tableHeading"/>
            </w:pPr>
            <w:r w:rsidRPr="00CE28E3">
              <w:t>Design/duration</w:t>
            </w:r>
          </w:p>
        </w:tc>
        <w:tc>
          <w:tcPr>
            <w:tcW w:w="600" w:type="pct"/>
            <w:shd w:val="clear" w:color="auto" w:fill="E7E6E6" w:themeFill="background2"/>
            <w:vAlign w:val="center"/>
          </w:tcPr>
          <w:p w14:paraId="4F407CF9" w14:textId="7005F469" w:rsidR="00956ACE" w:rsidRPr="00CE28E3" w:rsidRDefault="00956ACE" w:rsidP="00824458">
            <w:pPr>
              <w:pStyle w:val="In-tableHeading"/>
              <w:jc w:val="center"/>
            </w:pPr>
            <w:r w:rsidRPr="00CE28E3">
              <w:t>Risk of bias</w:t>
            </w:r>
            <w:r w:rsidR="00AC15B0">
              <w:t xml:space="preserve"> </w:t>
            </w:r>
            <w:r w:rsidR="00A0696E">
              <w:t>*</w:t>
            </w:r>
          </w:p>
        </w:tc>
        <w:tc>
          <w:tcPr>
            <w:tcW w:w="598" w:type="pct"/>
            <w:shd w:val="clear" w:color="auto" w:fill="E7E6E6" w:themeFill="background2"/>
            <w:vAlign w:val="center"/>
          </w:tcPr>
          <w:p w14:paraId="78074E6B" w14:textId="77777777" w:rsidR="00956ACE" w:rsidRPr="00CE28E3" w:rsidRDefault="00956ACE" w:rsidP="00824458">
            <w:pPr>
              <w:pStyle w:val="In-tableHeading"/>
              <w:jc w:val="center"/>
            </w:pPr>
            <w:r w:rsidRPr="00CE28E3">
              <w:t>Patient population</w:t>
            </w:r>
          </w:p>
        </w:tc>
        <w:tc>
          <w:tcPr>
            <w:tcW w:w="644" w:type="pct"/>
            <w:shd w:val="clear" w:color="auto" w:fill="E7E6E6" w:themeFill="background2"/>
            <w:vAlign w:val="center"/>
          </w:tcPr>
          <w:p w14:paraId="4B5869A3" w14:textId="77777777" w:rsidR="00956ACE" w:rsidRPr="00CE28E3" w:rsidRDefault="00956ACE" w:rsidP="00824458">
            <w:pPr>
              <w:pStyle w:val="In-tableHeading"/>
              <w:jc w:val="center"/>
            </w:pPr>
            <w:r w:rsidRPr="00CE28E3">
              <w:t>Outcome(s)</w:t>
            </w:r>
          </w:p>
        </w:tc>
        <w:tc>
          <w:tcPr>
            <w:tcW w:w="548" w:type="pct"/>
            <w:shd w:val="clear" w:color="auto" w:fill="E7E6E6" w:themeFill="background2"/>
            <w:vAlign w:val="center"/>
          </w:tcPr>
          <w:p w14:paraId="19D97B58" w14:textId="77777777" w:rsidR="00956ACE" w:rsidRPr="00CE28E3" w:rsidRDefault="00956ACE" w:rsidP="00824458">
            <w:pPr>
              <w:pStyle w:val="In-tableHeading"/>
              <w:jc w:val="center"/>
            </w:pPr>
            <w:r w:rsidRPr="00CE28E3">
              <w:t>Use in modelled evaluation</w:t>
            </w:r>
          </w:p>
        </w:tc>
      </w:tr>
      <w:tr w:rsidR="005450A7" w:rsidRPr="00CE28E3" w14:paraId="0C31313E" w14:textId="77777777" w:rsidTr="00992DB1">
        <w:trPr>
          <w:cantSplit/>
        </w:trPr>
        <w:tc>
          <w:tcPr>
            <w:tcW w:w="5000" w:type="pct"/>
            <w:gridSpan w:val="8"/>
            <w:shd w:val="clear" w:color="auto" w:fill="E7E6E6" w:themeFill="background2"/>
            <w:vAlign w:val="center"/>
          </w:tcPr>
          <w:p w14:paraId="6ADF1B8F" w14:textId="5CBE603B" w:rsidR="00956ACE" w:rsidRPr="00CE28E3" w:rsidRDefault="003A189F" w:rsidP="00AD701B">
            <w:pPr>
              <w:pStyle w:val="In-tableHeading"/>
            </w:pPr>
            <w:r>
              <w:t xml:space="preserve">Dexcom ONE+ </w:t>
            </w:r>
            <w:r w:rsidR="00C04EB7">
              <w:t>CGM</w:t>
            </w:r>
            <w:r w:rsidR="00F91BD5">
              <w:t xml:space="preserve"> </w:t>
            </w:r>
            <w:r w:rsidR="00956ACE" w:rsidRPr="00CE28E3">
              <w:t xml:space="preserve">vs </w:t>
            </w:r>
            <w:r>
              <w:t>SMBG</w:t>
            </w:r>
          </w:p>
        </w:tc>
      </w:tr>
      <w:tr w:rsidR="00BE58DC" w:rsidRPr="00CE28E3" w14:paraId="7E776818" w14:textId="77777777" w:rsidTr="004A32F7">
        <w:trPr>
          <w:cantSplit/>
        </w:trPr>
        <w:tc>
          <w:tcPr>
            <w:tcW w:w="507" w:type="pct"/>
          </w:tcPr>
          <w:p w14:paraId="136862A4" w14:textId="64C4FADE" w:rsidR="003B5AE9" w:rsidRDefault="003B5AE9" w:rsidP="00513BF3">
            <w:pPr>
              <w:pStyle w:val="TableText"/>
            </w:pPr>
            <w:r>
              <w:t>DIAMOND</w:t>
            </w:r>
            <w:r w:rsidR="00E111B4">
              <w:t xml:space="preserve"> trial</w:t>
            </w:r>
          </w:p>
          <w:p w14:paraId="0D706DDB" w14:textId="73AE08F6" w:rsidR="004D3062" w:rsidRPr="00513BF3" w:rsidRDefault="003B5AE9" w:rsidP="00513BF3">
            <w:pPr>
              <w:pStyle w:val="TableText"/>
            </w:pPr>
            <w:r>
              <w:t>(</w:t>
            </w:r>
            <w:r w:rsidR="004D3062" w:rsidRPr="00513BF3">
              <w:t>Beck 2017 [primary publication</w:t>
            </w:r>
            <w:r w:rsidR="00FD7EE2" w:rsidRPr="00513BF3">
              <w:t>]</w:t>
            </w:r>
            <w:r w:rsidR="008E5149">
              <w:t>;</w:t>
            </w:r>
          </w:p>
          <w:p w14:paraId="1D866EF5" w14:textId="39E2E897" w:rsidR="004D3062" w:rsidRPr="00513BF3" w:rsidRDefault="004D3062" w:rsidP="00513BF3">
            <w:pPr>
              <w:pStyle w:val="TableText"/>
            </w:pPr>
            <w:r w:rsidRPr="00513BF3">
              <w:t>Billings 2018 [post-hoc analysis]</w:t>
            </w:r>
            <w:r>
              <w:t>)</w:t>
            </w:r>
          </w:p>
          <w:p w14:paraId="34FE6986" w14:textId="77777777" w:rsidR="001F7F6B" w:rsidRPr="00513BF3" w:rsidRDefault="001F7F6B" w:rsidP="00513BF3">
            <w:pPr>
              <w:pStyle w:val="TableText"/>
            </w:pPr>
          </w:p>
          <w:p w14:paraId="563AC767" w14:textId="0230587B" w:rsidR="00956ACE" w:rsidRPr="00513BF3" w:rsidRDefault="00C03620" w:rsidP="00513BF3">
            <w:pPr>
              <w:pStyle w:val="TableText"/>
            </w:pPr>
            <w:r w:rsidRPr="00513BF3">
              <w:t>Protocol regist</w:t>
            </w:r>
            <w:r w:rsidR="005B62D4" w:rsidRPr="00513BF3">
              <w:t xml:space="preserve">ration </w:t>
            </w:r>
            <w:r w:rsidR="00343C79" w:rsidRPr="00513BF3">
              <w:t>at</w:t>
            </w:r>
            <w:r w:rsidR="005B62D4" w:rsidRPr="00513BF3">
              <w:t xml:space="preserve"> </w:t>
            </w:r>
            <w:r w:rsidR="00C9623A" w:rsidRPr="00513BF3">
              <w:t>ClinicalTrials.gov: NCT02282397</w:t>
            </w:r>
          </w:p>
        </w:tc>
        <w:tc>
          <w:tcPr>
            <w:tcW w:w="1016" w:type="pct"/>
          </w:tcPr>
          <w:p w14:paraId="54610D02" w14:textId="6E2E27C3" w:rsidR="001C5CFE" w:rsidRPr="00513BF3" w:rsidRDefault="001C5CFE" w:rsidP="00513BF3">
            <w:pPr>
              <w:pStyle w:val="TableText"/>
            </w:pPr>
            <w:r w:rsidRPr="00513BF3">
              <w:t xml:space="preserve">Age </w:t>
            </w:r>
            <w:r w:rsidR="001B19BA" w:rsidRPr="00513BF3">
              <w:t>≥</w:t>
            </w:r>
            <w:r w:rsidRPr="00513BF3">
              <w:t>25 years, T2D treated with multiple daily injections of insulin for at least 1</w:t>
            </w:r>
            <w:r w:rsidR="009F4C1B">
              <w:t xml:space="preserve"> </w:t>
            </w:r>
            <w:r w:rsidRPr="00513BF3">
              <w:t>year, central laboratory</w:t>
            </w:r>
            <w:r w:rsidR="00873957">
              <w:t xml:space="preserve"> </w:t>
            </w:r>
            <w:r w:rsidRPr="00513BF3">
              <w:t xml:space="preserve">measured HbA1c levels of 7.5% to 10.0%, stable diabetes medication regimen and weight over the prior 3 months, self-reported </w:t>
            </w:r>
            <w:r w:rsidR="000C5FC9">
              <w:t>BGM</w:t>
            </w:r>
            <w:r w:rsidRPr="00513BF3">
              <w:t xml:space="preserve"> averaging 2 or more times per day and estimated glomerular filtration rate of at least 45 mL/min/1.73 m</w:t>
            </w:r>
            <w:r w:rsidRPr="004A32F7">
              <w:rPr>
                <w:vertAlign w:val="superscript"/>
              </w:rPr>
              <w:t>2</w:t>
            </w:r>
            <w:r w:rsidRPr="00513BF3">
              <w:t>.</w:t>
            </w:r>
          </w:p>
          <w:p w14:paraId="2F526965" w14:textId="77777777" w:rsidR="00B45DE6" w:rsidRPr="00513BF3" w:rsidRDefault="00B45DE6" w:rsidP="00513BF3">
            <w:pPr>
              <w:pStyle w:val="TableText"/>
            </w:pPr>
          </w:p>
          <w:p w14:paraId="280096E2" w14:textId="516615D9" w:rsidR="00956ACE" w:rsidRPr="00513BF3" w:rsidRDefault="00BC6CEB" w:rsidP="00513BF3">
            <w:pPr>
              <w:pStyle w:val="TableText"/>
            </w:pPr>
            <w:r w:rsidRPr="00513BF3">
              <w:t>(</w:t>
            </w:r>
            <w:r w:rsidR="004506BC" w:rsidRPr="00513BF3">
              <w:t>N=</w:t>
            </w:r>
            <w:r w:rsidR="006A0B8C" w:rsidRPr="00513BF3">
              <w:t xml:space="preserve">158 </w:t>
            </w:r>
            <w:r w:rsidR="002E6C9C" w:rsidRPr="00513BF3">
              <w:t>randomi</w:t>
            </w:r>
            <w:r w:rsidR="006F1056" w:rsidRPr="00513BF3">
              <w:t>s</w:t>
            </w:r>
            <w:r w:rsidR="002E6C9C" w:rsidRPr="00513BF3">
              <w:t xml:space="preserve">ed, </w:t>
            </w:r>
            <w:r w:rsidR="00C86B35" w:rsidRPr="00513BF3">
              <w:t>Dexcom ONE+</w:t>
            </w:r>
            <w:r w:rsidR="002E6C9C" w:rsidRPr="00513BF3">
              <w:t xml:space="preserve"> </w:t>
            </w:r>
            <w:r w:rsidR="00140004" w:rsidRPr="00513BF3">
              <w:t>arm</w:t>
            </w:r>
            <w:r w:rsidR="00C60835" w:rsidRPr="00513BF3">
              <w:t xml:space="preserve"> </w:t>
            </w:r>
            <w:r w:rsidR="003D5F8D" w:rsidRPr="00513BF3">
              <w:t>79</w:t>
            </w:r>
            <w:r w:rsidR="00D90CB1" w:rsidRPr="00513BF3">
              <w:t xml:space="preserve">, </w:t>
            </w:r>
            <w:r w:rsidR="00C60835" w:rsidRPr="00513BF3">
              <w:t>SMBG arm</w:t>
            </w:r>
            <w:r w:rsidR="00D90CB1" w:rsidRPr="00513BF3">
              <w:t xml:space="preserve"> 79</w:t>
            </w:r>
            <w:r w:rsidRPr="00513BF3">
              <w:t>)</w:t>
            </w:r>
          </w:p>
        </w:tc>
        <w:tc>
          <w:tcPr>
            <w:tcW w:w="508" w:type="pct"/>
          </w:tcPr>
          <w:p w14:paraId="62005500" w14:textId="753892FA" w:rsidR="00347326" w:rsidRPr="00513BF3" w:rsidRDefault="00347326" w:rsidP="00513BF3">
            <w:pPr>
              <w:pStyle w:val="TableText"/>
            </w:pPr>
            <w:r w:rsidRPr="00513BF3">
              <w:t>25 endocrinology practices in</w:t>
            </w:r>
            <w:r w:rsidR="00DD415F">
              <w:t xml:space="preserve"> </w:t>
            </w:r>
            <w:r w:rsidRPr="00513BF3">
              <w:t>North America (22 US</w:t>
            </w:r>
            <w:r w:rsidR="00673812">
              <w:t>,</w:t>
            </w:r>
            <w:r w:rsidRPr="00513BF3">
              <w:t xml:space="preserve"> 3 Canada), of which 19 were community-based and 6 were</w:t>
            </w:r>
            <w:r w:rsidR="00DD415F">
              <w:t xml:space="preserve"> </w:t>
            </w:r>
            <w:r w:rsidRPr="00513BF3">
              <w:t xml:space="preserve">academic </w:t>
            </w:r>
            <w:r w:rsidR="00DD415F" w:rsidRPr="00513BF3">
              <w:t>centres</w:t>
            </w:r>
            <w:r w:rsidRPr="00513BF3">
              <w:t xml:space="preserve"> (4 additional sites screened but did</w:t>
            </w:r>
            <w:r w:rsidR="00DD415F">
              <w:t xml:space="preserve"> </w:t>
            </w:r>
            <w:r w:rsidRPr="00513BF3">
              <w:t xml:space="preserve">not </w:t>
            </w:r>
            <w:r w:rsidR="00DD415F" w:rsidRPr="00513BF3">
              <w:t>enrol</w:t>
            </w:r>
            <w:r w:rsidRPr="00513BF3">
              <w:t xml:space="preserve"> patients).</w:t>
            </w:r>
          </w:p>
        </w:tc>
        <w:tc>
          <w:tcPr>
            <w:tcW w:w="579" w:type="pct"/>
          </w:tcPr>
          <w:p w14:paraId="39A9151F" w14:textId="7BB85102" w:rsidR="00956ACE" w:rsidRPr="00513BF3" w:rsidRDefault="004D3062" w:rsidP="00513BF3">
            <w:pPr>
              <w:pStyle w:val="TableText"/>
            </w:pPr>
            <w:r w:rsidRPr="00513BF3">
              <w:t>RCT</w:t>
            </w:r>
            <w:r w:rsidR="00DB281A" w:rsidRPr="00513BF3">
              <w:t xml:space="preserve"> </w:t>
            </w:r>
            <w:r w:rsidR="000F74C8" w:rsidRPr="00513BF3">
              <w:t>(OL, r</w:t>
            </w:r>
            <w:r w:rsidR="00AE5E25" w:rsidRPr="00513BF3">
              <w:t xml:space="preserve">eferred to as </w:t>
            </w:r>
            <w:r w:rsidR="00DB281A" w:rsidRPr="00513BF3">
              <w:t>DIAMOND</w:t>
            </w:r>
            <w:r w:rsidR="002E0123" w:rsidRPr="00513BF3">
              <w:t xml:space="preserve"> trial</w:t>
            </w:r>
            <w:r w:rsidR="000F74C8" w:rsidRPr="00513BF3">
              <w:t>)</w:t>
            </w:r>
          </w:p>
        </w:tc>
        <w:tc>
          <w:tcPr>
            <w:tcW w:w="600" w:type="pct"/>
          </w:tcPr>
          <w:p w14:paraId="269C28DF" w14:textId="54BBDE2A" w:rsidR="00956ACE" w:rsidRPr="00513BF3" w:rsidRDefault="00AD0BE8" w:rsidP="00513BF3">
            <w:pPr>
              <w:pStyle w:val="TableText"/>
            </w:pPr>
            <w:r>
              <w:t>Low</w:t>
            </w:r>
          </w:p>
        </w:tc>
        <w:tc>
          <w:tcPr>
            <w:tcW w:w="598" w:type="pct"/>
          </w:tcPr>
          <w:p w14:paraId="4FD8A7FC" w14:textId="57361EDC" w:rsidR="00956ACE" w:rsidRPr="00513BF3" w:rsidRDefault="004D3062" w:rsidP="00513BF3">
            <w:pPr>
              <w:pStyle w:val="TableText"/>
            </w:pPr>
            <w:r w:rsidRPr="00513BF3">
              <w:t>IIT subpopulation (i.e. those who require treatment with basal insulin and bolus insulin)</w:t>
            </w:r>
          </w:p>
        </w:tc>
        <w:tc>
          <w:tcPr>
            <w:tcW w:w="644" w:type="pct"/>
          </w:tcPr>
          <w:p w14:paraId="41BE8ECF" w14:textId="29D8D3D6" w:rsidR="00835E88" w:rsidRPr="00513BF3" w:rsidRDefault="00DD089B" w:rsidP="00513BF3">
            <w:pPr>
              <w:pStyle w:val="TableText"/>
            </w:pPr>
            <w:r w:rsidRPr="00513BF3">
              <w:t xml:space="preserve">Difference in </w:t>
            </w:r>
            <w:r w:rsidR="00320773" w:rsidRPr="00513BF3">
              <w:t xml:space="preserve">mean </w:t>
            </w:r>
            <w:r w:rsidR="00204E29" w:rsidRPr="00513BF3">
              <w:t>c</w:t>
            </w:r>
            <w:r w:rsidR="004D3062" w:rsidRPr="00513BF3">
              <w:t xml:space="preserve">hange in </w:t>
            </w:r>
            <w:r w:rsidR="002A4546">
              <w:t>%</w:t>
            </w:r>
            <w:r w:rsidR="004D3062" w:rsidRPr="00513BF3">
              <w:t>HbA1c</w:t>
            </w:r>
          </w:p>
          <w:p w14:paraId="6FE6515B" w14:textId="77777777" w:rsidR="00B77E03" w:rsidRPr="00513BF3" w:rsidRDefault="00B77E03" w:rsidP="00513BF3">
            <w:pPr>
              <w:pStyle w:val="TableText"/>
            </w:pPr>
          </w:p>
          <w:p w14:paraId="5658630C" w14:textId="48854B34" w:rsidR="00F10180" w:rsidRPr="00513BF3" w:rsidRDefault="00361D9E" w:rsidP="00513BF3">
            <w:pPr>
              <w:pStyle w:val="TableText"/>
            </w:pPr>
            <w:r w:rsidRPr="00513BF3">
              <w:t>H</w:t>
            </w:r>
            <w:r w:rsidR="00AC406D" w:rsidRPr="00513BF3">
              <w:t>b</w:t>
            </w:r>
            <w:r w:rsidRPr="00513BF3">
              <w:t>A1c</w:t>
            </w:r>
            <w:r w:rsidRPr="00513BF3" w:rsidDel="00862648">
              <w:t xml:space="preserve"> </w:t>
            </w:r>
            <w:r w:rsidR="005A040C" w:rsidRPr="00513BF3">
              <w:t xml:space="preserve">categories, including </w:t>
            </w:r>
            <w:r w:rsidRPr="00513BF3">
              <w:t>&lt;</w:t>
            </w:r>
            <w:r w:rsidR="00CA1B2A" w:rsidRPr="00513BF3">
              <w:t>7.0%</w:t>
            </w:r>
            <w:r w:rsidR="00FC2358" w:rsidRPr="00513BF3">
              <w:t xml:space="preserve"> </w:t>
            </w:r>
            <w:r w:rsidR="005A040C" w:rsidRPr="00513BF3">
              <w:t xml:space="preserve">and </w:t>
            </w:r>
            <w:r w:rsidR="009A1438" w:rsidRPr="00513BF3">
              <w:t xml:space="preserve">&lt;7.5% </w:t>
            </w:r>
          </w:p>
          <w:p w14:paraId="2341D9BE" w14:textId="77777777" w:rsidR="00B77E03" w:rsidRPr="00513BF3" w:rsidRDefault="00B77E03" w:rsidP="00513BF3">
            <w:pPr>
              <w:pStyle w:val="TableText"/>
            </w:pPr>
          </w:p>
          <w:p w14:paraId="20160FAD" w14:textId="3698E97B" w:rsidR="00BC7CF3" w:rsidRPr="00513BF3" w:rsidRDefault="000813A9" w:rsidP="00513BF3">
            <w:pPr>
              <w:pStyle w:val="TableText"/>
            </w:pPr>
            <w:r w:rsidRPr="00513BF3">
              <w:t>Reduction in HbA1c level</w:t>
            </w:r>
            <w:r w:rsidR="0089697F" w:rsidRPr="00513BF3">
              <w:t xml:space="preserve">, </w:t>
            </w:r>
            <w:r w:rsidR="00F56D91" w:rsidRPr="00513BF3">
              <w:t xml:space="preserve">various </w:t>
            </w:r>
            <w:r w:rsidR="0089697F" w:rsidRPr="00513BF3">
              <w:t xml:space="preserve">categories, </w:t>
            </w:r>
            <w:r w:rsidR="00BC06CE" w:rsidRPr="00513BF3">
              <w:t>including</w:t>
            </w:r>
            <w:r w:rsidR="00D5546E" w:rsidRPr="00513BF3">
              <w:t xml:space="preserve"> ≥10</w:t>
            </w:r>
            <w:r w:rsidR="000D61EB" w:rsidRPr="00513BF3">
              <w:t xml:space="preserve">%, </w:t>
            </w:r>
            <w:r w:rsidR="00B16063" w:rsidRPr="00513BF3">
              <w:t>≥1%</w:t>
            </w:r>
            <w:r w:rsidR="00BE3D8F" w:rsidRPr="00513BF3">
              <w:t>, ≥0.5%</w:t>
            </w:r>
          </w:p>
          <w:p w14:paraId="7B110824" w14:textId="77777777" w:rsidR="00BC7CF3" w:rsidRPr="00513BF3" w:rsidRDefault="00BC7CF3" w:rsidP="00513BF3">
            <w:pPr>
              <w:pStyle w:val="TableText"/>
            </w:pPr>
          </w:p>
          <w:p w14:paraId="2437BD7B" w14:textId="0818C054" w:rsidR="00BC4FAD" w:rsidRPr="00513BF3" w:rsidRDefault="002C204D" w:rsidP="00513BF3">
            <w:pPr>
              <w:pStyle w:val="TableText"/>
            </w:pPr>
            <w:r w:rsidRPr="00513BF3">
              <w:t>Reduction in H</w:t>
            </w:r>
            <w:r w:rsidR="003A38C5">
              <w:t>b</w:t>
            </w:r>
            <w:r w:rsidRPr="00513BF3">
              <w:t xml:space="preserve">A1c level </w:t>
            </w:r>
            <w:r w:rsidR="006B3618" w:rsidRPr="00513BF3">
              <w:t>≥</w:t>
            </w:r>
            <w:r w:rsidR="001B5F3C" w:rsidRPr="00513BF3">
              <w:t xml:space="preserve">1% or </w:t>
            </w:r>
            <w:r w:rsidR="001D176B" w:rsidRPr="00513BF3">
              <w:t>HbA1c level &lt;</w:t>
            </w:r>
            <w:r w:rsidR="002A0E95" w:rsidRPr="00513BF3">
              <w:t>7%</w:t>
            </w:r>
          </w:p>
          <w:p w14:paraId="64E46E79" w14:textId="54A2A714" w:rsidR="00F56D91" w:rsidRPr="00513BF3" w:rsidRDefault="00F56D91" w:rsidP="00B77E03">
            <w:pPr>
              <w:pStyle w:val="TableText"/>
            </w:pPr>
          </w:p>
          <w:p w14:paraId="45B1587F" w14:textId="5B625955" w:rsidR="00956ACE" w:rsidRPr="00513BF3" w:rsidRDefault="002933FD" w:rsidP="00513BF3">
            <w:pPr>
              <w:pStyle w:val="TableText"/>
            </w:pPr>
            <w:r w:rsidRPr="00513BF3">
              <w:t>Follow up</w:t>
            </w:r>
            <w:r w:rsidR="00E4002F" w:rsidRPr="00513BF3">
              <w:t xml:space="preserve"> at </w:t>
            </w:r>
            <w:r w:rsidR="003B4F26" w:rsidRPr="00513BF3">
              <w:t>3 months</w:t>
            </w:r>
            <w:r w:rsidR="00784787" w:rsidRPr="00513BF3">
              <w:t xml:space="preserve"> and</w:t>
            </w:r>
            <w:r w:rsidR="00784787" w:rsidRPr="00513BF3" w:rsidDel="00597743">
              <w:t xml:space="preserve"> </w:t>
            </w:r>
            <w:r w:rsidR="00784787" w:rsidRPr="00513BF3">
              <w:t>6 month</w:t>
            </w:r>
            <w:r w:rsidR="00784787">
              <w:t>s</w:t>
            </w:r>
          </w:p>
        </w:tc>
        <w:tc>
          <w:tcPr>
            <w:tcW w:w="548" w:type="pct"/>
          </w:tcPr>
          <w:p w14:paraId="3DB0CAA7" w14:textId="77777777" w:rsidR="004D3062" w:rsidRPr="00513BF3" w:rsidRDefault="004D3062" w:rsidP="00513BF3">
            <w:pPr>
              <w:pStyle w:val="TableText"/>
            </w:pPr>
            <w:r w:rsidRPr="00513BF3">
              <w:t>Used</w:t>
            </w:r>
          </w:p>
          <w:p w14:paraId="3F9CD3D5" w14:textId="3DFAF286" w:rsidR="00956ACE" w:rsidRPr="00513BF3" w:rsidRDefault="00577CFE" w:rsidP="00513BF3">
            <w:pPr>
              <w:pStyle w:val="TableText"/>
            </w:pPr>
            <w:r w:rsidRPr="00513BF3">
              <w:t xml:space="preserve">(point effect estimate of </w:t>
            </w:r>
            <w:r w:rsidR="00597743">
              <w:t>−</w:t>
            </w:r>
            <w:r w:rsidRPr="00513BF3">
              <w:t>0.3</w:t>
            </w:r>
            <w:r w:rsidR="00B371C8" w:rsidRPr="00513BF3">
              <w:t>%</w:t>
            </w:r>
            <w:r w:rsidR="00316A59" w:rsidRPr="00513BF3">
              <w:t xml:space="preserve"> change </w:t>
            </w:r>
            <w:r w:rsidR="00E55693" w:rsidRPr="00513BF3">
              <w:t xml:space="preserve">in </w:t>
            </w:r>
            <w:r w:rsidR="00E17926" w:rsidRPr="00513BF3">
              <w:t>Hb</w:t>
            </w:r>
            <w:r w:rsidR="00D0509C" w:rsidRPr="00513BF3">
              <w:t>A1c</w:t>
            </w:r>
            <w:r w:rsidR="00B371C8" w:rsidRPr="00513BF3">
              <w:t xml:space="preserve"> </w:t>
            </w:r>
            <w:r w:rsidR="00D00020" w:rsidRPr="00513BF3">
              <w:t xml:space="preserve">was used for </w:t>
            </w:r>
            <w:r w:rsidR="00A34E60" w:rsidRPr="00513BF3">
              <w:t>the II</w:t>
            </w:r>
            <w:r w:rsidR="008D3514" w:rsidRPr="00513BF3">
              <w:t>T</w:t>
            </w:r>
            <w:r w:rsidR="008D3514">
              <w:t xml:space="preserve"> </w:t>
            </w:r>
            <w:r w:rsidR="008D3514" w:rsidRPr="00513BF3">
              <w:t>subpopulation in the cost effectiveness modelling)</w:t>
            </w:r>
          </w:p>
        </w:tc>
      </w:tr>
      <w:tr w:rsidR="00BE58DC" w:rsidRPr="00CE28E3" w14:paraId="6E4E23A7" w14:textId="77777777" w:rsidTr="004A32F7">
        <w:trPr>
          <w:cantSplit/>
          <w:trHeight w:val="4207"/>
        </w:trPr>
        <w:tc>
          <w:tcPr>
            <w:tcW w:w="507" w:type="pct"/>
          </w:tcPr>
          <w:p w14:paraId="58E01B15" w14:textId="6AD5E306" w:rsidR="003B5AE9" w:rsidRDefault="003B5AE9" w:rsidP="00513BF3">
            <w:pPr>
              <w:pStyle w:val="TableText"/>
              <w:rPr>
                <w:lang w:val="en-US"/>
              </w:rPr>
            </w:pPr>
            <w:r>
              <w:rPr>
                <w:lang w:val="en-US"/>
              </w:rPr>
              <w:lastRenderedPageBreak/>
              <w:t>MOBILE</w:t>
            </w:r>
            <w:r w:rsidR="00E111B4">
              <w:rPr>
                <w:lang w:val="en-US"/>
              </w:rPr>
              <w:t xml:space="preserve"> trial</w:t>
            </w:r>
          </w:p>
          <w:p w14:paraId="079F7D7B" w14:textId="7DC2D810" w:rsidR="004D3062" w:rsidRDefault="003B5AE9" w:rsidP="00513BF3">
            <w:pPr>
              <w:pStyle w:val="TableText"/>
              <w:rPr>
                <w:lang w:val="en-US"/>
              </w:rPr>
            </w:pPr>
            <w:r>
              <w:rPr>
                <w:lang w:val="en-US"/>
              </w:rPr>
              <w:t>(</w:t>
            </w:r>
            <w:r w:rsidR="004D3062">
              <w:rPr>
                <w:lang w:val="en-US"/>
              </w:rPr>
              <w:t>Martens 2021</w:t>
            </w:r>
          </w:p>
          <w:p w14:paraId="2E8CB272" w14:textId="21D47B0A" w:rsidR="004D3062" w:rsidRDefault="00C74417" w:rsidP="00513BF3">
            <w:pPr>
              <w:pStyle w:val="TableText"/>
              <w:rPr>
                <w:lang w:val="en-US"/>
              </w:rPr>
            </w:pPr>
            <w:r>
              <w:rPr>
                <w:lang w:val="en-US"/>
              </w:rPr>
              <w:t>[primary publication]</w:t>
            </w:r>
            <w:r w:rsidR="00071285">
              <w:rPr>
                <w:lang w:val="en-US"/>
              </w:rPr>
              <w:t>;</w:t>
            </w:r>
          </w:p>
          <w:p w14:paraId="0B38347F" w14:textId="4B3638E5" w:rsidR="004D3062" w:rsidRDefault="004D3062" w:rsidP="00513BF3">
            <w:pPr>
              <w:pStyle w:val="TableText"/>
              <w:rPr>
                <w:lang w:val="en-US"/>
              </w:rPr>
            </w:pPr>
            <w:r w:rsidRPr="009D10AB">
              <w:rPr>
                <w:lang w:val="en-US"/>
              </w:rPr>
              <w:t>Martens 20</w:t>
            </w:r>
            <w:r w:rsidR="00071285">
              <w:rPr>
                <w:lang w:val="en-US"/>
              </w:rPr>
              <w:t>25</w:t>
            </w:r>
            <w:r w:rsidRPr="009D10AB">
              <w:rPr>
                <w:lang w:val="en-US"/>
              </w:rPr>
              <w:t xml:space="preserve"> [post-hoc analysis]; Davis 2022 [post-hoc analysis]</w:t>
            </w:r>
            <w:r w:rsidR="003B5AE9">
              <w:rPr>
                <w:lang w:val="en-US"/>
              </w:rPr>
              <w:t>)</w:t>
            </w:r>
          </w:p>
          <w:p w14:paraId="46ACC7CA" w14:textId="77777777" w:rsidR="005B62D4" w:rsidRDefault="005B62D4" w:rsidP="00513BF3">
            <w:pPr>
              <w:pStyle w:val="TableText"/>
              <w:rPr>
                <w:lang w:val="en-US"/>
              </w:rPr>
            </w:pPr>
          </w:p>
          <w:p w14:paraId="45E15921" w14:textId="3D7ED467" w:rsidR="00956ACE" w:rsidRPr="00CE28E3" w:rsidRDefault="005B62D4" w:rsidP="00513BF3">
            <w:pPr>
              <w:pStyle w:val="TableText"/>
              <w:rPr>
                <w:lang w:val="en-US"/>
              </w:rPr>
            </w:pPr>
            <w:r w:rsidRPr="000E493F">
              <w:rPr>
                <w:lang w:val="en-US"/>
              </w:rPr>
              <w:t xml:space="preserve">Protocol registration </w:t>
            </w:r>
            <w:r w:rsidR="00343C79">
              <w:rPr>
                <w:lang w:val="en-US"/>
              </w:rPr>
              <w:t>at</w:t>
            </w:r>
            <w:r w:rsidR="00343C79">
              <w:t xml:space="preserve"> </w:t>
            </w:r>
            <w:r w:rsidR="00ED6C0A" w:rsidRPr="00ED6C0A">
              <w:rPr>
                <w:lang w:val="en-US"/>
              </w:rPr>
              <w:t>ClinicalTrials.gov</w:t>
            </w:r>
            <w:r w:rsidRPr="000E493F">
              <w:rPr>
                <w:lang w:val="en-US"/>
              </w:rPr>
              <w:t>:</w:t>
            </w:r>
            <w:hyperlink r:id="rId21" w:history="1">
              <w:r w:rsidR="000E493F" w:rsidRPr="006B5C04">
                <w:rPr>
                  <w:lang w:val="en-US"/>
                </w:rPr>
                <w:t xml:space="preserve"> NCT03566693  </w:t>
              </w:r>
            </w:hyperlink>
          </w:p>
        </w:tc>
        <w:tc>
          <w:tcPr>
            <w:tcW w:w="1016" w:type="pct"/>
          </w:tcPr>
          <w:p w14:paraId="5FAE820A" w14:textId="1FE75B78" w:rsidR="007F71FF" w:rsidRDefault="007F71FF" w:rsidP="00513BF3">
            <w:pPr>
              <w:pStyle w:val="TableText"/>
              <w:rPr>
                <w:lang w:val="en-US"/>
              </w:rPr>
            </w:pPr>
            <w:r>
              <w:rPr>
                <w:lang w:val="en-US"/>
              </w:rPr>
              <w:t>A</w:t>
            </w:r>
            <w:r w:rsidRPr="007F71FF">
              <w:rPr>
                <w:lang w:val="en-US"/>
              </w:rPr>
              <w:t>ge</w:t>
            </w:r>
            <w:r w:rsidR="008D04CE">
              <w:rPr>
                <w:lang w:val="en-US"/>
              </w:rPr>
              <w:t xml:space="preserve"> </w:t>
            </w:r>
            <w:r>
              <w:rPr>
                <w:lang w:val="en-US"/>
              </w:rPr>
              <w:t>≥</w:t>
            </w:r>
            <w:r w:rsidRPr="007F71FF">
              <w:rPr>
                <w:lang w:val="en-US"/>
              </w:rPr>
              <w:t>30 years, diagnosis of</w:t>
            </w:r>
            <w:r>
              <w:rPr>
                <w:lang w:val="en-US"/>
              </w:rPr>
              <w:t xml:space="preserve"> </w:t>
            </w:r>
            <w:r w:rsidR="00F7540A">
              <w:rPr>
                <w:lang w:val="en-US"/>
              </w:rPr>
              <w:t>T2D</w:t>
            </w:r>
            <w:r w:rsidRPr="007F71FF">
              <w:rPr>
                <w:lang w:val="en-US"/>
              </w:rPr>
              <w:t xml:space="preserve"> treated with 1 or 2</w:t>
            </w:r>
            <w:r w:rsidR="00DB3FBA">
              <w:rPr>
                <w:lang w:val="en-US"/>
              </w:rPr>
              <w:t xml:space="preserve"> </w:t>
            </w:r>
            <w:r w:rsidRPr="007F71FF">
              <w:rPr>
                <w:lang w:val="en-US"/>
              </w:rPr>
              <w:t>daily injections of long- or intermediate-acting basal insulin for at least 6 months, locally measured HbA1c level of 7.8</w:t>
            </w:r>
            <w:r w:rsidR="00F7540A">
              <w:rPr>
                <w:lang w:val="en-US"/>
              </w:rPr>
              <w:t>–</w:t>
            </w:r>
            <w:r w:rsidRPr="007F71FF">
              <w:rPr>
                <w:lang w:val="en-US"/>
              </w:rPr>
              <w:t>11.5% (lower limit changed during study from 8.0</w:t>
            </w:r>
            <w:r w:rsidR="00035BDF">
              <w:rPr>
                <w:lang w:val="en-US"/>
              </w:rPr>
              <w:t>–</w:t>
            </w:r>
            <w:r w:rsidRPr="007F71FF">
              <w:rPr>
                <w:lang w:val="en-US"/>
              </w:rPr>
              <w:t>7.8% to</w:t>
            </w:r>
            <w:r>
              <w:rPr>
                <w:lang w:val="en-US"/>
              </w:rPr>
              <w:t xml:space="preserve"> </w:t>
            </w:r>
            <w:r w:rsidRPr="007F71FF">
              <w:rPr>
                <w:lang w:val="en-US"/>
              </w:rPr>
              <w:t xml:space="preserve">enhance recruitment), self-reported BGM testing averaging </w:t>
            </w:r>
            <w:r w:rsidR="00492AF4">
              <w:rPr>
                <w:lang w:val="en-US"/>
              </w:rPr>
              <w:t>≥</w:t>
            </w:r>
            <w:r w:rsidRPr="007F71FF">
              <w:rPr>
                <w:lang w:val="en-US"/>
              </w:rPr>
              <w:t>3 per week, and availability of a smart phone compatible with the CGM device for data uploading. Participants could be using any other antidiabetic medication in addition to basal insulin</w:t>
            </w:r>
            <w:r w:rsidR="00445C0A">
              <w:rPr>
                <w:lang w:val="en-US"/>
              </w:rPr>
              <w:t xml:space="preserve"> (</w:t>
            </w:r>
            <w:r w:rsidRPr="007F71FF">
              <w:rPr>
                <w:lang w:val="en-US"/>
              </w:rPr>
              <w:t>provided the regimen had been stable for at least 3 months</w:t>
            </w:r>
            <w:r w:rsidR="00445C0A">
              <w:rPr>
                <w:lang w:val="en-US"/>
              </w:rPr>
              <w:t>)</w:t>
            </w:r>
            <w:r w:rsidRPr="007F71FF">
              <w:rPr>
                <w:lang w:val="en-US"/>
              </w:rPr>
              <w:t>, but not prandial insulin</w:t>
            </w:r>
            <w:r w:rsidR="00093E65">
              <w:rPr>
                <w:lang w:val="en-US"/>
              </w:rPr>
              <w:t>.</w:t>
            </w:r>
          </w:p>
          <w:p w14:paraId="78682E48" w14:textId="77777777" w:rsidR="00992DB1" w:rsidRDefault="00992DB1" w:rsidP="00513BF3">
            <w:pPr>
              <w:pStyle w:val="TableText"/>
              <w:rPr>
                <w:lang w:val="en-US"/>
              </w:rPr>
            </w:pPr>
          </w:p>
          <w:p w14:paraId="71251CEE" w14:textId="4052081E" w:rsidR="00956ACE" w:rsidRPr="00CE28E3" w:rsidRDefault="00BC6CEB" w:rsidP="00513BF3">
            <w:pPr>
              <w:pStyle w:val="TableText"/>
              <w:rPr>
                <w:lang w:val="en-US"/>
              </w:rPr>
            </w:pPr>
            <w:r>
              <w:rPr>
                <w:lang w:val="en-US"/>
              </w:rPr>
              <w:t>(</w:t>
            </w:r>
            <w:r w:rsidR="00D90CB1">
              <w:rPr>
                <w:lang w:val="en-US"/>
              </w:rPr>
              <w:t>N=</w:t>
            </w:r>
            <w:r w:rsidR="00FD4C5B" w:rsidRPr="00FD4C5B">
              <w:rPr>
                <w:lang w:val="en-US"/>
              </w:rPr>
              <w:t xml:space="preserve">175 </w:t>
            </w:r>
            <w:r w:rsidR="00D90CB1">
              <w:rPr>
                <w:lang w:val="en-US"/>
              </w:rPr>
              <w:t>randomi</w:t>
            </w:r>
            <w:r w:rsidR="00AD3AB0">
              <w:rPr>
                <w:lang w:val="en-US"/>
              </w:rPr>
              <w:t>s</w:t>
            </w:r>
            <w:r w:rsidR="00D90CB1">
              <w:rPr>
                <w:lang w:val="en-US"/>
              </w:rPr>
              <w:t xml:space="preserve">ed, </w:t>
            </w:r>
            <w:r w:rsidR="00C86B35" w:rsidRPr="006F1056">
              <w:rPr>
                <w:lang w:val="en-US"/>
              </w:rPr>
              <w:t xml:space="preserve">Dexcom ONE+ </w:t>
            </w:r>
            <w:r w:rsidR="00FD4C5B" w:rsidRPr="00FD4C5B">
              <w:rPr>
                <w:lang w:val="en-US"/>
              </w:rPr>
              <w:t>arm 116, SMBG 59)</w:t>
            </w:r>
          </w:p>
        </w:tc>
        <w:tc>
          <w:tcPr>
            <w:tcW w:w="508" w:type="pct"/>
          </w:tcPr>
          <w:p w14:paraId="46B112BF" w14:textId="232D876D" w:rsidR="004D3062" w:rsidRDefault="00A25918" w:rsidP="00513BF3">
            <w:pPr>
              <w:pStyle w:val="TableText"/>
              <w:rPr>
                <w:lang w:val="en-US"/>
              </w:rPr>
            </w:pPr>
            <w:r>
              <w:rPr>
                <w:lang w:val="en-US"/>
              </w:rPr>
              <w:t xml:space="preserve">15 </w:t>
            </w:r>
            <w:r w:rsidR="00F22A4C">
              <w:rPr>
                <w:lang w:val="en-US"/>
              </w:rPr>
              <w:t>sites</w:t>
            </w:r>
            <w:r w:rsidR="00DE6C36">
              <w:rPr>
                <w:lang w:val="en-US"/>
              </w:rPr>
              <w:t xml:space="preserve"> in U</w:t>
            </w:r>
            <w:r w:rsidR="00D726AC">
              <w:rPr>
                <w:lang w:val="en-US"/>
              </w:rPr>
              <w:t>S</w:t>
            </w:r>
          </w:p>
          <w:p w14:paraId="494E3DAD" w14:textId="77777777" w:rsidR="00D87DB5" w:rsidRDefault="00D87DB5" w:rsidP="00513BF3">
            <w:pPr>
              <w:pStyle w:val="TableText"/>
              <w:rPr>
                <w:lang w:val="en-US"/>
              </w:rPr>
            </w:pPr>
          </w:p>
          <w:p w14:paraId="562FCA68" w14:textId="1E382AFE" w:rsidR="00A25918" w:rsidRDefault="00A25918" w:rsidP="00513BF3">
            <w:pPr>
              <w:pStyle w:val="TableText"/>
              <w:rPr>
                <w:lang w:val="en-US"/>
              </w:rPr>
            </w:pPr>
          </w:p>
        </w:tc>
        <w:tc>
          <w:tcPr>
            <w:tcW w:w="579" w:type="pct"/>
          </w:tcPr>
          <w:p w14:paraId="37D3BD6A" w14:textId="6908AC97" w:rsidR="00956ACE" w:rsidRPr="00CE28E3" w:rsidRDefault="004D3062" w:rsidP="00513BF3">
            <w:pPr>
              <w:pStyle w:val="TableText"/>
              <w:rPr>
                <w:lang w:val="en-US"/>
              </w:rPr>
            </w:pPr>
            <w:r>
              <w:rPr>
                <w:lang w:val="en-US"/>
              </w:rPr>
              <w:t>RCT</w:t>
            </w:r>
            <w:r w:rsidR="000F74C8">
              <w:rPr>
                <w:lang w:val="en-US"/>
              </w:rPr>
              <w:t xml:space="preserve"> (OL, referred</w:t>
            </w:r>
            <w:r w:rsidR="00AE5E25">
              <w:rPr>
                <w:lang w:val="en-US"/>
              </w:rPr>
              <w:t xml:space="preserve"> to as </w:t>
            </w:r>
            <w:r w:rsidR="00154480">
              <w:rPr>
                <w:lang w:val="en-US"/>
              </w:rPr>
              <w:t>MOBILE</w:t>
            </w:r>
            <w:r w:rsidR="002E0123">
              <w:rPr>
                <w:lang w:val="en-US"/>
              </w:rPr>
              <w:t xml:space="preserve"> trial</w:t>
            </w:r>
            <w:r>
              <w:rPr>
                <w:lang w:val="en-US"/>
              </w:rPr>
              <w:t>)</w:t>
            </w:r>
          </w:p>
        </w:tc>
        <w:tc>
          <w:tcPr>
            <w:tcW w:w="600" w:type="pct"/>
          </w:tcPr>
          <w:p w14:paraId="51165529" w14:textId="77DFFEEC" w:rsidR="00AD0BE8" w:rsidRPr="006732BD" w:rsidRDefault="00AD0BE8" w:rsidP="00513BF3">
            <w:pPr>
              <w:pStyle w:val="TableText"/>
              <w:rPr>
                <w:lang w:val="en-US"/>
              </w:rPr>
            </w:pPr>
            <w:r>
              <w:rPr>
                <w:lang w:val="en-US"/>
              </w:rPr>
              <w:t>Some concerns</w:t>
            </w:r>
          </w:p>
        </w:tc>
        <w:tc>
          <w:tcPr>
            <w:tcW w:w="598" w:type="pct"/>
          </w:tcPr>
          <w:p w14:paraId="60CDF4F0" w14:textId="1060BC3A" w:rsidR="00956ACE" w:rsidRPr="00CE28E3" w:rsidRDefault="004D3062" w:rsidP="00513BF3">
            <w:pPr>
              <w:pStyle w:val="TableText"/>
              <w:rPr>
                <w:lang w:val="en-US"/>
              </w:rPr>
            </w:pPr>
            <w:r>
              <w:rPr>
                <w:lang w:val="en-US"/>
              </w:rPr>
              <w:t>Non-IIT subpopulation (</w:t>
            </w:r>
            <w:r w:rsidRPr="000C1C39">
              <w:rPr>
                <w:lang w:val="en-US"/>
              </w:rPr>
              <w:t>those who require treatment with basal insulin (including pre-mixed regimens)</w:t>
            </w:r>
          </w:p>
        </w:tc>
        <w:tc>
          <w:tcPr>
            <w:tcW w:w="644" w:type="pct"/>
          </w:tcPr>
          <w:p w14:paraId="2FBE53DF" w14:textId="0FDCC99E" w:rsidR="0041750C" w:rsidRDefault="0028038D" w:rsidP="00513BF3">
            <w:pPr>
              <w:pStyle w:val="TableText"/>
              <w:rPr>
                <w:lang w:val="en-US"/>
              </w:rPr>
            </w:pPr>
            <w:r>
              <w:rPr>
                <w:lang w:val="en-US"/>
              </w:rPr>
              <w:t xml:space="preserve">Difference in mean change in </w:t>
            </w:r>
            <w:r w:rsidR="00A1124E">
              <w:rPr>
                <w:lang w:val="en-US"/>
              </w:rPr>
              <w:t>%</w:t>
            </w:r>
            <w:r w:rsidR="0041750C">
              <w:rPr>
                <w:lang w:val="en-US"/>
              </w:rPr>
              <w:t>HbA1c</w:t>
            </w:r>
          </w:p>
          <w:p w14:paraId="34E1BAD9" w14:textId="77777777" w:rsidR="007D7B29" w:rsidRDefault="007D7B29" w:rsidP="00513BF3">
            <w:pPr>
              <w:pStyle w:val="TableText"/>
              <w:rPr>
                <w:lang w:val="en-US"/>
              </w:rPr>
            </w:pPr>
          </w:p>
          <w:p w14:paraId="583A7C5E" w14:textId="70927E12" w:rsidR="00956ACE" w:rsidRPr="00CE28E3" w:rsidRDefault="00001E1F" w:rsidP="00513BF3">
            <w:pPr>
              <w:pStyle w:val="TableText"/>
              <w:rPr>
                <w:lang w:val="en-US"/>
              </w:rPr>
            </w:pPr>
            <w:r>
              <w:rPr>
                <w:lang w:val="en-US"/>
              </w:rPr>
              <w:t>Follow up</w:t>
            </w:r>
            <w:r w:rsidR="00B95E99">
              <w:rPr>
                <w:lang w:val="en-US"/>
              </w:rPr>
              <w:t xml:space="preserve"> </w:t>
            </w:r>
            <w:r>
              <w:rPr>
                <w:lang w:val="en-US"/>
              </w:rPr>
              <w:t xml:space="preserve">at 3 months and </w:t>
            </w:r>
            <w:r w:rsidR="00F30F71">
              <w:rPr>
                <w:lang w:val="en-US"/>
              </w:rPr>
              <w:t>8 months</w:t>
            </w:r>
            <w:r w:rsidR="00C26A13">
              <w:rPr>
                <w:lang w:val="en-US"/>
              </w:rPr>
              <w:t xml:space="preserve"> for all outcomes</w:t>
            </w:r>
          </w:p>
        </w:tc>
        <w:tc>
          <w:tcPr>
            <w:tcW w:w="548" w:type="pct"/>
          </w:tcPr>
          <w:p w14:paraId="04F27561" w14:textId="77777777" w:rsidR="00A1124E" w:rsidRDefault="004D3062" w:rsidP="00513BF3">
            <w:pPr>
              <w:pStyle w:val="TableText"/>
              <w:rPr>
                <w:lang w:val="en-US"/>
              </w:rPr>
            </w:pPr>
            <w:r w:rsidRPr="009A1562">
              <w:rPr>
                <w:lang w:val="en-US"/>
              </w:rPr>
              <w:t>Used</w:t>
            </w:r>
            <w:r w:rsidR="009A1562" w:rsidRPr="009A1562">
              <w:rPr>
                <w:lang w:val="en-US"/>
              </w:rPr>
              <w:t xml:space="preserve"> </w:t>
            </w:r>
          </w:p>
          <w:p w14:paraId="56C2128A" w14:textId="658CB468" w:rsidR="00956ACE" w:rsidRPr="00CE28E3" w:rsidRDefault="009A1562" w:rsidP="00513BF3">
            <w:pPr>
              <w:pStyle w:val="TableText"/>
              <w:rPr>
                <w:lang w:val="en-US"/>
              </w:rPr>
            </w:pPr>
            <w:r>
              <w:rPr>
                <w:lang w:val="en-US"/>
              </w:rPr>
              <w:t xml:space="preserve">(point effect estimate of </w:t>
            </w:r>
            <w:r w:rsidR="00A1124E">
              <w:t>−</w:t>
            </w:r>
            <w:r>
              <w:rPr>
                <w:lang w:val="en-US"/>
              </w:rPr>
              <w:t>0.4% change in HbA1c was used for the non-IIT subpopulation in the cost effectiveness modelling)</w:t>
            </w:r>
          </w:p>
        </w:tc>
      </w:tr>
    </w:tbl>
    <w:p w14:paraId="6BB3C7FD" w14:textId="1999267A" w:rsidR="002D5FCF" w:rsidRDefault="002D5FCF" w:rsidP="00985963">
      <w:pPr>
        <w:pStyle w:val="TableFooter"/>
        <w:spacing w:before="0"/>
      </w:pPr>
      <w:bookmarkStart w:id="27" w:name="_Hlk68276176"/>
      <w:bookmarkEnd w:id="26"/>
      <w:r w:rsidRPr="007365BF">
        <w:rPr>
          <w:b/>
        </w:rPr>
        <w:t>Abbreviations</w:t>
      </w:r>
      <w:r>
        <w:t xml:space="preserve">: </w:t>
      </w:r>
      <w:r w:rsidR="001136CA">
        <w:t>BGM = blood glucose monitoring;</w:t>
      </w:r>
      <w:r>
        <w:t xml:space="preserve"> </w:t>
      </w:r>
      <w:r w:rsidR="00C04EB7">
        <w:t>CGM</w:t>
      </w:r>
      <w:r w:rsidR="00985963">
        <w:t xml:space="preserve"> =</w:t>
      </w:r>
      <w:r w:rsidR="00C04EB7">
        <w:t xml:space="preserve"> continuous glucose monitoring; </w:t>
      </w:r>
      <w:r w:rsidR="00956ACE" w:rsidRPr="00CE28E3">
        <w:t>DB</w:t>
      </w:r>
      <w:r w:rsidR="00985963">
        <w:t xml:space="preserve"> =</w:t>
      </w:r>
      <w:r w:rsidR="00956ACE" w:rsidRPr="00CE28E3">
        <w:t xml:space="preserve"> double blind; </w:t>
      </w:r>
      <w:r w:rsidR="00FF3C29" w:rsidRPr="00FF3C29">
        <w:t xml:space="preserve">HbA1c = </w:t>
      </w:r>
      <w:r w:rsidR="00E248CF">
        <w:t>g</w:t>
      </w:r>
      <w:r w:rsidR="00FF3C29" w:rsidRPr="00FF3C29">
        <w:t xml:space="preserve">lycated </w:t>
      </w:r>
      <w:r w:rsidR="00E248CF">
        <w:t>h</w:t>
      </w:r>
      <w:r w:rsidR="00FF3C29" w:rsidRPr="00FF3C29">
        <w:t>aemoglobin</w:t>
      </w:r>
      <w:r w:rsidR="00FF3C29">
        <w:t>;</w:t>
      </w:r>
      <w:r w:rsidR="00F079B3" w:rsidRPr="00F079B3">
        <w:t xml:space="preserve"> IIT = intensive insulin t</w:t>
      </w:r>
      <w:r w:rsidR="00B13667">
        <w:t>herapy</w:t>
      </w:r>
      <w:r w:rsidR="00F079B3">
        <w:t>;</w:t>
      </w:r>
      <w:r w:rsidR="00956ACE" w:rsidRPr="00CE28E3">
        <w:t xml:space="preserve"> MC</w:t>
      </w:r>
      <w:r w:rsidR="00985963">
        <w:t xml:space="preserve"> =</w:t>
      </w:r>
      <w:r w:rsidR="00956ACE" w:rsidRPr="00CE28E3">
        <w:t xml:space="preserve"> multicentre; OL</w:t>
      </w:r>
      <w:r w:rsidR="00985963">
        <w:t xml:space="preserve"> =</w:t>
      </w:r>
      <w:r w:rsidR="00063976">
        <w:t xml:space="preserve"> </w:t>
      </w:r>
      <w:r w:rsidR="00956ACE" w:rsidRPr="00CE28E3">
        <w:t>open label</w:t>
      </w:r>
      <w:r w:rsidR="00A17680">
        <w:t>;</w:t>
      </w:r>
      <w:r w:rsidR="00956ACE" w:rsidRPr="00CE28E3">
        <w:t xml:space="preserve"> R</w:t>
      </w:r>
      <w:r w:rsidR="008E4DF8">
        <w:t>CT</w:t>
      </w:r>
      <w:r w:rsidR="00956ACE" w:rsidRPr="00CE28E3">
        <w:t xml:space="preserve"> = randomised</w:t>
      </w:r>
      <w:r w:rsidR="008E4DF8">
        <w:t xml:space="preserve"> controlled trial</w:t>
      </w:r>
      <w:r w:rsidR="0057020C">
        <w:t xml:space="preserve">; SMBL </w:t>
      </w:r>
      <w:r w:rsidR="00840561">
        <w:t>= self-monitoring of blood glucose</w:t>
      </w:r>
      <w:r w:rsidR="00DB6573">
        <w:t xml:space="preserve">; </w:t>
      </w:r>
      <w:r w:rsidR="0008031A" w:rsidRPr="0008031A">
        <w:t xml:space="preserve">T2D = </w:t>
      </w:r>
      <w:r w:rsidR="000E3C48">
        <w:t>t</w:t>
      </w:r>
      <w:r w:rsidR="0008031A" w:rsidRPr="0008031A">
        <w:t xml:space="preserve">ype 2 </w:t>
      </w:r>
      <w:r w:rsidR="000E3C48">
        <w:t>d</w:t>
      </w:r>
      <w:r w:rsidR="0008031A" w:rsidRPr="0008031A">
        <w:t>iabetes</w:t>
      </w:r>
      <w:r w:rsidR="0008031A">
        <w:t>.</w:t>
      </w:r>
    </w:p>
    <w:p w14:paraId="4BE9963A" w14:textId="516B2D9A" w:rsidR="00151401" w:rsidRDefault="00DC7F84" w:rsidP="00A855DA">
      <w:pPr>
        <w:pStyle w:val="TableFooter"/>
        <w:spacing w:before="0"/>
        <w:rPr>
          <w:highlight w:val="yellow"/>
        </w:rPr>
        <w:sectPr w:rsidR="00151401" w:rsidSect="0001504D">
          <w:pgSz w:w="16838" w:h="11906" w:orient="landscape"/>
          <w:pgMar w:top="1440" w:right="1440" w:bottom="1440" w:left="1440" w:header="708" w:footer="708" w:gutter="0"/>
          <w:cols w:space="708"/>
          <w:docGrid w:linePitch="360"/>
        </w:sectPr>
      </w:pPr>
      <w:r w:rsidRPr="004622C2">
        <w:rPr>
          <w:b/>
          <w:bCs/>
        </w:rPr>
        <w:t>Note</w:t>
      </w:r>
      <w:r>
        <w:t>: *Assessed using the</w:t>
      </w:r>
      <w:r w:rsidR="004622C2">
        <w:t xml:space="preserve"> </w:t>
      </w:r>
      <w:r w:rsidR="00FF5FC3">
        <w:t>r</w:t>
      </w:r>
      <w:r w:rsidR="004622C2">
        <w:t>evised Cochrane risk-of-bias tool for randomi</w:t>
      </w:r>
      <w:r w:rsidR="00FF5FC3">
        <w:t>s</w:t>
      </w:r>
      <w:r w:rsidR="004622C2">
        <w:t>ed trials (RoB2)</w:t>
      </w:r>
      <w:r w:rsidR="00DE3B7B">
        <w:t xml:space="preserve"> by the commentary</w:t>
      </w:r>
      <w:r w:rsidR="00E83ED9">
        <w:t>.</w:t>
      </w:r>
    </w:p>
    <w:p w14:paraId="577418D7" w14:textId="3D2513C1" w:rsidR="000B2946" w:rsidRDefault="008A3390" w:rsidP="005C1FF3">
      <w:pPr>
        <w:pStyle w:val="TableFigureFooter"/>
        <w:spacing w:after="120"/>
        <w:rPr>
          <w:rFonts w:ascii="Franklin Gothic Book" w:eastAsiaTheme="minorHAnsi" w:hAnsi="Franklin Gothic Book" w:cstheme="minorBidi"/>
          <w:snapToGrid/>
          <w:color w:val="000000" w:themeColor="text1"/>
          <w:sz w:val="22"/>
          <w:lang w:eastAsia="en-US"/>
        </w:rPr>
      </w:pPr>
      <w:r w:rsidRPr="0064197B">
        <w:rPr>
          <w:rFonts w:ascii="Franklin Gothic Book" w:eastAsiaTheme="minorHAnsi" w:hAnsi="Franklin Gothic Book" w:cstheme="minorBidi"/>
          <w:snapToGrid/>
          <w:color w:val="000000" w:themeColor="text1"/>
          <w:sz w:val="22"/>
          <w:lang w:eastAsia="en-US"/>
        </w:rPr>
        <w:lastRenderedPageBreak/>
        <w:t>T</w:t>
      </w:r>
      <w:r w:rsidR="00151401" w:rsidRPr="0064197B">
        <w:rPr>
          <w:rFonts w:ascii="Franklin Gothic Book" w:eastAsiaTheme="minorHAnsi" w:hAnsi="Franklin Gothic Book" w:cstheme="minorBidi"/>
          <w:snapToGrid/>
          <w:color w:val="000000" w:themeColor="text1"/>
          <w:sz w:val="22"/>
          <w:lang w:eastAsia="en-US"/>
        </w:rPr>
        <w:t>wo trials</w:t>
      </w:r>
      <w:r w:rsidR="00032586">
        <w:rPr>
          <w:rFonts w:ascii="Franklin Gothic Book" w:eastAsiaTheme="minorHAnsi" w:hAnsi="Franklin Gothic Book" w:cstheme="minorBidi"/>
          <w:snapToGrid/>
          <w:color w:val="000000" w:themeColor="text1"/>
          <w:sz w:val="22"/>
          <w:lang w:eastAsia="en-US"/>
        </w:rPr>
        <w:t xml:space="preserve"> (</w:t>
      </w:r>
      <w:r w:rsidR="00BE52E2" w:rsidRPr="003641B2">
        <w:rPr>
          <w:rFonts w:ascii="Franklin Gothic Book" w:eastAsiaTheme="minorHAnsi" w:hAnsi="Franklin Gothic Book" w:cstheme="minorBidi"/>
          <w:snapToGrid/>
          <w:color w:val="000000" w:themeColor="text1"/>
          <w:sz w:val="22"/>
          <w:lang w:eastAsia="en-US"/>
        </w:rPr>
        <w:t>Steno</w:t>
      </w:r>
      <w:r w:rsidR="003641B2" w:rsidRPr="003641B2">
        <w:rPr>
          <w:rFonts w:ascii="Franklin Gothic Book" w:eastAsiaTheme="minorHAnsi" w:hAnsi="Franklin Gothic Book" w:cstheme="minorBidi"/>
          <w:snapToGrid/>
          <w:color w:val="000000" w:themeColor="text1"/>
          <w:sz w:val="22"/>
          <w:lang w:eastAsia="en-US"/>
        </w:rPr>
        <w:t>2tech (Lind 2024) and 2GO-CGM (Lever 2024)</w:t>
      </w:r>
      <w:r w:rsidR="00032586">
        <w:rPr>
          <w:rFonts w:ascii="Franklin Gothic Book" w:eastAsiaTheme="minorHAnsi" w:hAnsi="Franklin Gothic Book" w:cstheme="minorBidi"/>
          <w:snapToGrid/>
          <w:color w:val="000000" w:themeColor="text1"/>
          <w:sz w:val="22"/>
          <w:lang w:eastAsia="en-US"/>
        </w:rPr>
        <w:t>)</w:t>
      </w:r>
      <w:r w:rsidR="003641B2">
        <w:rPr>
          <w:rFonts w:ascii="Franklin Gothic Book" w:eastAsiaTheme="minorHAnsi" w:hAnsi="Franklin Gothic Book" w:cstheme="minorBidi"/>
          <w:snapToGrid/>
          <w:color w:val="000000" w:themeColor="text1"/>
          <w:sz w:val="22"/>
          <w:lang w:eastAsia="en-US"/>
        </w:rPr>
        <w:t>,</w:t>
      </w:r>
      <w:r w:rsidR="00151401" w:rsidRPr="0064197B">
        <w:rPr>
          <w:rFonts w:ascii="Franklin Gothic Book" w:eastAsiaTheme="minorHAnsi" w:hAnsi="Franklin Gothic Book" w:cstheme="minorBidi"/>
          <w:snapToGrid/>
          <w:color w:val="000000" w:themeColor="text1"/>
          <w:sz w:val="22"/>
          <w:lang w:eastAsia="en-US"/>
        </w:rPr>
        <w:t xml:space="preserve"> </w:t>
      </w:r>
      <w:r w:rsidR="00232DE3">
        <w:rPr>
          <w:rFonts w:ascii="Franklin Gothic Book" w:eastAsiaTheme="minorHAnsi" w:hAnsi="Franklin Gothic Book" w:cstheme="minorBidi"/>
          <w:snapToGrid/>
          <w:color w:val="000000" w:themeColor="text1"/>
          <w:sz w:val="22"/>
          <w:lang w:eastAsia="en-US"/>
        </w:rPr>
        <w:t xml:space="preserve">included </w:t>
      </w:r>
      <w:r w:rsidR="00151401" w:rsidRPr="0064197B">
        <w:rPr>
          <w:rFonts w:ascii="Franklin Gothic Book" w:eastAsiaTheme="minorHAnsi" w:hAnsi="Franklin Gothic Book" w:cstheme="minorBidi"/>
          <w:snapToGrid/>
          <w:color w:val="000000" w:themeColor="text1"/>
          <w:sz w:val="22"/>
          <w:lang w:eastAsia="en-US"/>
        </w:rPr>
        <w:t xml:space="preserve">in the original </w:t>
      </w:r>
      <w:r w:rsidR="00271D2E">
        <w:rPr>
          <w:rFonts w:ascii="Franklin Gothic Book" w:eastAsiaTheme="minorHAnsi" w:hAnsi="Franklin Gothic Book" w:cstheme="minorBidi"/>
          <w:snapToGrid/>
          <w:color w:val="000000" w:themeColor="text1"/>
          <w:sz w:val="22"/>
          <w:lang w:eastAsia="en-US"/>
        </w:rPr>
        <w:t>ADAR</w:t>
      </w:r>
      <w:r w:rsidR="00151401" w:rsidRPr="0064197B">
        <w:rPr>
          <w:rFonts w:ascii="Franklin Gothic Book" w:eastAsiaTheme="minorHAnsi" w:hAnsi="Franklin Gothic Book" w:cstheme="minorBidi"/>
          <w:snapToGrid/>
          <w:color w:val="000000" w:themeColor="text1"/>
          <w:sz w:val="22"/>
          <w:lang w:eastAsia="en-US"/>
        </w:rPr>
        <w:t xml:space="preserve"> were excluded from the </w:t>
      </w:r>
      <w:r w:rsidR="00232DE3">
        <w:rPr>
          <w:rFonts w:ascii="Franklin Gothic Book" w:eastAsiaTheme="minorHAnsi" w:hAnsi="Franklin Gothic Book" w:cstheme="minorBidi"/>
          <w:snapToGrid/>
          <w:color w:val="000000" w:themeColor="text1"/>
          <w:sz w:val="22"/>
          <w:lang w:eastAsia="en-US"/>
        </w:rPr>
        <w:t>synthesis/results</w:t>
      </w:r>
      <w:r w:rsidR="00232DE3" w:rsidRPr="0064197B">
        <w:rPr>
          <w:rFonts w:ascii="Franklin Gothic Book" w:eastAsiaTheme="minorHAnsi" w:hAnsi="Franklin Gothic Book" w:cstheme="minorBidi"/>
          <w:snapToGrid/>
          <w:color w:val="000000" w:themeColor="text1"/>
          <w:sz w:val="22"/>
          <w:lang w:eastAsia="en-US"/>
        </w:rPr>
        <w:t xml:space="preserve"> </w:t>
      </w:r>
      <w:r w:rsidR="00232DE3">
        <w:rPr>
          <w:rFonts w:ascii="Franklin Gothic Book" w:eastAsiaTheme="minorHAnsi" w:hAnsi="Franklin Gothic Book" w:cstheme="minorBidi"/>
          <w:snapToGrid/>
          <w:color w:val="000000" w:themeColor="text1"/>
          <w:sz w:val="22"/>
          <w:lang w:eastAsia="en-US"/>
        </w:rPr>
        <w:t>of</w:t>
      </w:r>
      <w:r w:rsidR="00151401" w:rsidRPr="0064197B">
        <w:rPr>
          <w:rFonts w:ascii="Franklin Gothic Book" w:eastAsiaTheme="minorHAnsi" w:hAnsi="Franklin Gothic Book" w:cstheme="minorBidi"/>
          <w:snapToGrid/>
          <w:color w:val="000000" w:themeColor="text1"/>
          <w:sz w:val="22"/>
          <w:lang w:eastAsia="en-US"/>
        </w:rPr>
        <w:t xml:space="preserve"> </w:t>
      </w:r>
      <w:r w:rsidR="00232DE3" w:rsidRPr="0064197B">
        <w:rPr>
          <w:rFonts w:ascii="Franklin Gothic Book" w:eastAsiaTheme="minorHAnsi" w:hAnsi="Franklin Gothic Book" w:cstheme="minorBidi"/>
          <w:snapToGrid/>
          <w:color w:val="000000" w:themeColor="text1"/>
          <w:sz w:val="22"/>
          <w:lang w:eastAsia="en-US"/>
        </w:rPr>
        <w:t>th</w:t>
      </w:r>
      <w:r w:rsidR="00232DE3">
        <w:rPr>
          <w:rFonts w:ascii="Franklin Gothic Book" w:eastAsiaTheme="minorHAnsi" w:hAnsi="Franklin Gothic Book" w:cstheme="minorBidi"/>
          <w:snapToGrid/>
          <w:color w:val="000000" w:themeColor="text1"/>
          <w:sz w:val="22"/>
          <w:lang w:eastAsia="en-US"/>
        </w:rPr>
        <w:t xml:space="preserve">e </w:t>
      </w:r>
      <w:r w:rsidR="009B1E6E">
        <w:rPr>
          <w:rFonts w:ascii="Franklin Gothic Book" w:eastAsiaTheme="minorHAnsi" w:hAnsi="Franklin Gothic Book" w:cstheme="minorBidi"/>
          <w:snapToGrid/>
          <w:color w:val="000000" w:themeColor="text1"/>
          <w:sz w:val="22"/>
          <w:lang w:eastAsia="en-US"/>
        </w:rPr>
        <w:t xml:space="preserve">ADAR </w:t>
      </w:r>
      <w:r w:rsidR="00232DE3">
        <w:rPr>
          <w:rFonts w:ascii="Franklin Gothic Book" w:eastAsiaTheme="minorHAnsi" w:hAnsi="Franklin Gothic Book" w:cstheme="minorBidi"/>
          <w:snapToGrid/>
          <w:color w:val="000000" w:themeColor="text1"/>
          <w:sz w:val="22"/>
          <w:lang w:eastAsia="en-US"/>
        </w:rPr>
        <w:t>re</w:t>
      </w:r>
      <w:r w:rsidR="00151401" w:rsidRPr="0064197B">
        <w:rPr>
          <w:rFonts w:ascii="Franklin Gothic Book" w:eastAsiaTheme="minorHAnsi" w:hAnsi="Franklin Gothic Book" w:cstheme="minorBidi"/>
          <w:snapToGrid/>
          <w:color w:val="000000" w:themeColor="text1"/>
          <w:sz w:val="22"/>
          <w:lang w:eastAsia="en-US"/>
        </w:rPr>
        <w:t>submission. The</w:t>
      </w:r>
      <w:r w:rsidR="00993683">
        <w:rPr>
          <w:rFonts w:ascii="Franklin Gothic Book" w:eastAsiaTheme="minorHAnsi" w:hAnsi="Franklin Gothic Book" w:cstheme="minorBidi"/>
          <w:snapToGrid/>
          <w:color w:val="000000" w:themeColor="text1"/>
          <w:sz w:val="22"/>
          <w:lang w:eastAsia="en-US"/>
        </w:rPr>
        <w:t xml:space="preserve"> applicant report</w:t>
      </w:r>
      <w:r w:rsidR="006F2C03">
        <w:rPr>
          <w:rFonts w:ascii="Franklin Gothic Book" w:eastAsiaTheme="minorHAnsi" w:hAnsi="Franklin Gothic Book" w:cstheme="minorBidi"/>
          <w:snapToGrid/>
          <w:color w:val="000000" w:themeColor="text1"/>
          <w:sz w:val="22"/>
          <w:lang w:eastAsia="en-US"/>
        </w:rPr>
        <w:t>ed</w:t>
      </w:r>
      <w:r w:rsidR="00993683">
        <w:rPr>
          <w:rFonts w:ascii="Franklin Gothic Book" w:eastAsiaTheme="minorHAnsi" w:hAnsi="Franklin Gothic Book" w:cstheme="minorBidi"/>
          <w:snapToGrid/>
          <w:color w:val="000000" w:themeColor="text1"/>
          <w:sz w:val="22"/>
          <w:lang w:eastAsia="en-US"/>
        </w:rPr>
        <w:t xml:space="preserve"> the reasons for these </w:t>
      </w:r>
      <w:r w:rsidR="00206C3D">
        <w:rPr>
          <w:rFonts w:ascii="Franklin Gothic Book" w:eastAsiaTheme="minorHAnsi" w:hAnsi="Franklin Gothic Book" w:cstheme="minorBidi"/>
          <w:snapToGrid/>
          <w:color w:val="000000" w:themeColor="text1"/>
          <w:sz w:val="22"/>
          <w:lang w:eastAsia="en-US"/>
        </w:rPr>
        <w:t>study</w:t>
      </w:r>
      <w:r w:rsidR="00993683">
        <w:rPr>
          <w:rFonts w:ascii="Franklin Gothic Book" w:eastAsiaTheme="minorHAnsi" w:hAnsi="Franklin Gothic Book" w:cstheme="minorBidi"/>
          <w:snapToGrid/>
          <w:color w:val="000000" w:themeColor="text1"/>
          <w:sz w:val="22"/>
          <w:lang w:eastAsia="en-US"/>
        </w:rPr>
        <w:t xml:space="preserve"> exclusions as follows</w:t>
      </w:r>
      <w:r w:rsidR="006F2C03">
        <w:rPr>
          <w:rFonts w:ascii="Franklin Gothic Book" w:eastAsiaTheme="minorHAnsi" w:hAnsi="Franklin Gothic Book" w:cstheme="minorBidi"/>
          <w:snapToGrid/>
          <w:color w:val="000000" w:themeColor="text1"/>
          <w:sz w:val="22"/>
          <w:lang w:eastAsia="en-US"/>
        </w:rPr>
        <w:t>.</w:t>
      </w:r>
      <w:r w:rsidR="00151401" w:rsidRPr="0064197B">
        <w:rPr>
          <w:rFonts w:ascii="Franklin Gothic Book" w:eastAsiaTheme="minorHAnsi" w:hAnsi="Franklin Gothic Book" w:cstheme="minorBidi"/>
          <w:snapToGrid/>
          <w:color w:val="000000" w:themeColor="text1"/>
          <w:sz w:val="22"/>
          <w:lang w:eastAsia="en-US"/>
        </w:rPr>
        <w:t xml:space="preserve"> </w:t>
      </w:r>
    </w:p>
    <w:p w14:paraId="7272CD11" w14:textId="5BF5963E" w:rsidR="006039A4" w:rsidRDefault="00030381" w:rsidP="00670C60">
      <w:pPr>
        <w:pStyle w:val="TableFigureFooter"/>
        <w:numPr>
          <w:ilvl w:val="0"/>
          <w:numId w:val="19"/>
        </w:numPr>
        <w:spacing w:after="120"/>
        <w:rPr>
          <w:rFonts w:ascii="Franklin Gothic Book" w:eastAsiaTheme="minorHAnsi" w:hAnsi="Franklin Gothic Book" w:cstheme="minorBidi"/>
          <w:snapToGrid/>
          <w:color w:val="000000" w:themeColor="text1"/>
          <w:sz w:val="22"/>
          <w:lang w:eastAsia="en-US"/>
        </w:rPr>
      </w:pPr>
      <w:r>
        <w:rPr>
          <w:rFonts w:ascii="Franklin Gothic Book" w:eastAsiaTheme="minorHAnsi" w:hAnsi="Franklin Gothic Book" w:cstheme="minorBidi"/>
          <w:snapToGrid/>
          <w:color w:val="000000" w:themeColor="text1"/>
          <w:sz w:val="22"/>
          <w:lang w:eastAsia="en-US"/>
        </w:rPr>
        <w:t>Steno2tech</w:t>
      </w:r>
      <w:r w:rsidR="00757172">
        <w:rPr>
          <w:rFonts w:ascii="Franklin Gothic Book" w:eastAsiaTheme="minorHAnsi" w:hAnsi="Franklin Gothic Book" w:cstheme="minorBidi"/>
          <w:snapToGrid/>
          <w:color w:val="000000" w:themeColor="text1"/>
          <w:sz w:val="22"/>
          <w:lang w:eastAsia="en-US"/>
        </w:rPr>
        <w:t>:</w:t>
      </w:r>
      <w:r w:rsidR="00AF2ED5" w:rsidRPr="00AF2ED5">
        <w:rPr>
          <w:rFonts w:ascii="Franklin Gothic Book" w:eastAsiaTheme="minorHAnsi" w:hAnsi="Franklin Gothic Book" w:cstheme="minorBidi"/>
          <w:snapToGrid/>
          <w:sz w:val="22"/>
          <w:lang w:eastAsia="en-US"/>
        </w:rPr>
        <w:t xml:space="preserve"> </w:t>
      </w:r>
      <w:r w:rsidR="00AF2ED5">
        <w:rPr>
          <w:rFonts w:ascii="Franklin Gothic Book" w:eastAsiaTheme="minorHAnsi" w:hAnsi="Franklin Gothic Book" w:cstheme="minorBidi"/>
          <w:snapToGrid/>
          <w:sz w:val="22"/>
          <w:lang w:eastAsia="en-US"/>
        </w:rPr>
        <w:t>“</w:t>
      </w:r>
      <w:r w:rsidR="00AF2ED5" w:rsidRPr="00AF2ED5">
        <w:rPr>
          <w:rFonts w:ascii="Franklin Gothic Book" w:eastAsiaTheme="minorHAnsi" w:hAnsi="Franklin Gothic Book" w:cstheme="minorBidi"/>
          <w:snapToGrid/>
          <w:color w:val="000000" w:themeColor="text1"/>
          <w:sz w:val="22"/>
          <w:lang w:eastAsia="en-US"/>
        </w:rPr>
        <w:t>MSAC raised concerns relating to the magnitude of HbA1c benefit and statistical power of this trial in their evaluation of Application 1785</w:t>
      </w:r>
      <w:r w:rsidR="00AF2ED5">
        <w:rPr>
          <w:rFonts w:ascii="Franklin Gothic Book" w:eastAsiaTheme="minorHAnsi" w:hAnsi="Franklin Gothic Book" w:cstheme="minorBidi"/>
          <w:snapToGrid/>
          <w:color w:val="000000" w:themeColor="text1"/>
          <w:sz w:val="22"/>
          <w:lang w:eastAsia="en-US"/>
        </w:rPr>
        <w:t>”</w:t>
      </w:r>
      <w:r w:rsidR="00191D85">
        <w:rPr>
          <w:rFonts w:ascii="Franklin Gothic Book" w:eastAsiaTheme="minorHAnsi" w:hAnsi="Franklin Gothic Book" w:cstheme="minorBidi"/>
          <w:snapToGrid/>
          <w:color w:val="000000" w:themeColor="text1"/>
          <w:sz w:val="22"/>
          <w:lang w:eastAsia="en-US"/>
        </w:rPr>
        <w:t xml:space="preserve"> </w:t>
      </w:r>
      <w:r w:rsidR="003A2D14">
        <w:rPr>
          <w:rFonts w:ascii="Franklin Gothic Book" w:eastAsiaTheme="minorHAnsi" w:hAnsi="Franklin Gothic Book" w:cstheme="minorBidi"/>
          <w:snapToGrid/>
          <w:color w:val="000000" w:themeColor="text1"/>
          <w:sz w:val="22"/>
          <w:lang w:eastAsia="en-US"/>
        </w:rPr>
        <w:t>(</w:t>
      </w:r>
      <w:r w:rsidR="00867153">
        <w:rPr>
          <w:rFonts w:ascii="Franklin Gothic Book" w:eastAsiaTheme="minorHAnsi" w:hAnsi="Franklin Gothic Book" w:cstheme="minorBidi"/>
          <w:snapToGrid/>
          <w:color w:val="000000" w:themeColor="text1"/>
          <w:sz w:val="22"/>
          <w:lang w:eastAsia="en-US"/>
        </w:rPr>
        <w:t>ADAR 1785</w:t>
      </w:r>
      <w:r w:rsidR="005B7262">
        <w:rPr>
          <w:rFonts w:ascii="Franklin Gothic Book" w:eastAsiaTheme="minorHAnsi" w:hAnsi="Franklin Gothic Book" w:cstheme="minorBidi"/>
          <w:snapToGrid/>
          <w:color w:val="000000" w:themeColor="text1"/>
          <w:sz w:val="22"/>
          <w:lang w:eastAsia="en-US"/>
        </w:rPr>
        <w:t xml:space="preserve"> resubmission, </w:t>
      </w:r>
      <w:r w:rsidR="009F5B5D">
        <w:rPr>
          <w:rFonts w:ascii="Franklin Gothic Book" w:eastAsiaTheme="minorHAnsi" w:hAnsi="Franklin Gothic Book" w:cstheme="minorBidi"/>
          <w:snapToGrid/>
          <w:color w:val="000000" w:themeColor="text1"/>
          <w:sz w:val="22"/>
          <w:lang w:eastAsia="en-US"/>
        </w:rPr>
        <w:t>p.</w:t>
      </w:r>
      <w:r w:rsidR="005B7262">
        <w:rPr>
          <w:rFonts w:ascii="Franklin Gothic Book" w:eastAsiaTheme="minorHAnsi" w:hAnsi="Franklin Gothic Book" w:cstheme="minorBidi"/>
          <w:snapToGrid/>
          <w:color w:val="000000" w:themeColor="text1"/>
          <w:sz w:val="22"/>
          <w:lang w:eastAsia="en-US"/>
        </w:rPr>
        <w:t xml:space="preserve"> </w:t>
      </w:r>
      <w:r w:rsidR="00EA0E3B">
        <w:rPr>
          <w:rFonts w:ascii="Franklin Gothic Book" w:eastAsiaTheme="minorHAnsi" w:hAnsi="Franklin Gothic Book" w:cstheme="minorBidi"/>
          <w:snapToGrid/>
          <w:color w:val="000000" w:themeColor="text1"/>
          <w:sz w:val="22"/>
          <w:lang w:eastAsia="en-US"/>
        </w:rPr>
        <w:t>56)</w:t>
      </w:r>
      <w:r w:rsidR="00AF2ED5">
        <w:rPr>
          <w:rFonts w:ascii="Franklin Gothic Book" w:eastAsiaTheme="minorHAnsi" w:hAnsi="Franklin Gothic Book" w:cstheme="minorBidi"/>
          <w:snapToGrid/>
          <w:color w:val="000000" w:themeColor="text1"/>
          <w:sz w:val="22"/>
          <w:lang w:eastAsia="en-US"/>
        </w:rPr>
        <w:t xml:space="preserve">. </w:t>
      </w:r>
      <w:r w:rsidR="00757172">
        <w:rPr>
          <w:rFonts w:ascii="Franklin Gothic Book" w:eastAsiaTheme="minorHAnsi" w:hAnsi="Franklin Gothic Book" w:cstheme="minorBidi"/>
          <w:snapToGrid/>
          <w:color w:val="000000" w:themeColor="text1"/>
          <w:sz w:val="22"/>
          <w:lang w:eastAsia="en-US"/>
        </w:rPr>
        <w:t xml:space="preserve"> </w:t>
      </w:r>
    </w:p>
    <w:p w14:paraId="7DBD8DB1" w14:textId="4C2BDC7C" w:rsidR="005C1FF3" w:rsidRPr="0064197B" w:rsidRDefault="0065779F" w:rsidP="00670C60">
      <w:pPr>
        <w:pStyle w:val="TableFigureFooter"/>
        <w:numPr>
          <w:ilvl w:val="0"/>
          <w:numId w:val="19"/>
        </w:numPr>
        <w:spacing w:after="120"/>
        <w:rPr>
          <w:rFonts w:ascii="Franklin Gothic Book" w:eastAsiaTheme="minorHAnsi" w:hAnsi="Franklin Gothic Book" w:cstheme="minorBidi"/>
          <w:snapToGrid/>
          <w:color w:val="000000" w:themeColor="text1"/>
          <w:sz w:val="22"/>
          <w:lang w:eastAsia="en-US"/>
        </w:rPr>
      </w:pPr>
      <w:r>
        <w:rPr>
          <w:rFonts w:ascii="Franklin Gothic Book" w:eastAsiaTheme="minorHAnsi" w:hAnsi="Franklin Gothic Book" w:cstheme="minorBidi"/>
          <w:snapToGrid/>
          <w:color w:val="000000" w:themeColor="text1"/>
          <w:sz w:val="22"/>
          <w:lang w:eastAsia="en-US"/>
        </w:rPr>
        <w:t>2G</w:t>
      </w:r>
      <w:r w:rsidR="002257E2">
        <w:rPr>
          <w:rFonts w:ascii="Franklin Gothic Book" w:eastAsiaTheme="minorHAnsi" w:hAnsi="Franklin Gothic Book" w:cstheme="minorBidi"/>
          <w:snapToGrid/>
          <w:color w:val="000000" w:themeColor="text1"/>
          <w:sz w:val="22"/>
          <w:lang w:eastAsia="en-US"/>
        </w:rPr>
        <w:t>O</w:t>
      </w:r>
      <w:r w:rsidR="00E512A0">
        <w:rPr>
          <w:rFonts w:ascii="Franklin Gothic Book" w:eastAsiaTheme="minorHAnsi" w:hAnsi="Franklin Gothic Book" w:cstheme="minorBidi"/>
          <w:snapToGrid/>
          <w:color w:val="000000" w:themeColor="text1"/>
          <w:sz w:val="22"/>
          <w:lang w:eastAsia="en-US"/>
        </w:rPr>
        <w:t>-CGM</w:t>
      </w:r>
      <w:r w:rsidR="006039A4">
        <w:rPr>
          <w:rFonts w:ascii="Franklin Gothic Book" w:eastAsiaTheme="minorHAnsi" w:hAnsi="Franklin Gothic Book" w:cstheme="minorBidi"/>
          <w:snapToGrid/>
          <w:color w:val="000000" w:themeColor="text1"/>
          <w:sz w:val="22"/>
          <w:lang w:eastAsia="en-US"/>
        </w:rPr>
        <w:t xml:space="preserve">: </w:t>
      </w:r>
      <w:r w:rsidR="00ED27F9">
        <w:rPr>
          <w:rFonts w:ascii="Franklin Gothic Book" w:eastAsiaTheme="minorHAnsi" w:hAnsi="Franklin Gothic Book" w:cstheme="minorBidi"/>
          <w:snapToGrid/>
          <w:color w:val="000000" w:themeColor="text1"/>
          <w:sz w:val="22"/>
          <w:lang w:eastAsia="en-US"/>
        </w:rPr>
        <w:t>“</w:t>
      </w:r>
      <w:r w:rsidR="00ED27F9" w:rsidRPr="00ED27F9">
        <w:rPr>
          <w:rFonts w:ascii="Franklin Gothic Book" w:eastAsiaTheme="minorHAnsi" w:hAnsi="Franklin Gothic Book" w:cstheme="minorBidi"/>
          <w:snapToGrid/>
          <w:color w:val="000000" w:themeColor="text1"/>
          <w:sz w:val="22"/>
          <w:lang w:eastAsia="en-US"/>
        </w:rPr>
        <w:t>The overall trial population (~50% of patients were using basal insulin only while ~50% were using basal-bolus insulin) was deemed not applicable to proposed subpopulations (Section 1) as subgroup analyses were not reported for intensive and non-intensive cohorts. It was not applicable to the proposed use of RT-CGM in Australia, as patients in this study were generally younger and had higher baseline HbA1c levels than is likely to be observed in Australian clinical practice. This study is predominantly (54%) in an Indigenous Māori population</w:t>
      </w:r>
      <w:r w:rsidR="00ED27F9">
        <w:rPr>
          <w:rFonts w:ascii="Franklin Gothic Book" w:eastAsiaTheme="minorHAnsi" w:hAnsi="Franklin Gothic Book" w:cstheme="minorBidi"/>
          <w:snapToGrid/>
          <w:color w:val="000000" w:themeColor="text1"/>
          <w:sz w:val="22"/>
          <w:lang w:eastAsia="en-US"/>
        </w:rPr>
        <w:t>” (</w:t>
      </w:r>
      <w:r w:rsidR="00887616">
        <w:rPr>
          <w:rFonts w:ascii="Franklin Gothic Book" w:eastAsiaTheme="minorHAnsi" w:hAnsi="Franklin Gothic Book" w:cstheme="minorBidi"/>
          <w:snapToGrid/>
          <w:color w:val="000000" w:themeColor="text1"/>
          <w:sz w:val="22"/>
          <w:lang w:eastAsia="en-US"/>
        </w:rPr>
        <w:t xml:space="preserve">ADAR 1785 resubmission, </w:t>
      </w:r>
      <w:r w:rsidR="009F5B5D">
        <w:rPr>
          <w:rFonts w:ascii="Franklin Gothic Book" w:eastAsiaTheme="minorHAnsi" w:hAnsi="Franklin Gothic Book" w:cstheme="minorBidi"/>
          <w:snapToGrid/>
          <w:color w:val="000000" w:themeColor="text1"/>
          <w:sz w:val="22"/>
          <w:lang w:eastAsia="en-US"/>
        </w:rPr>
        <w:t>p.</w:t>
      </w:r>
      <w:r w:rsidR="00887616">
        <w:rPr>
          <w:rFonts w:ascii="Franklin Gothic Book" w:eastAsiaTheme="minorHAnsi" w:hAnsi="Franklin Gothic Book" w:cstheme="minorBidi"/>
          <w:snapToGrid/>
          <w:color w:val="000000" w:themeColor="text1"/>
          <w:sz w:val="22"/>
          <w:lang w:eastAsia="en-US"/>
        </w:rPr>
        <w:t xml:space="preserve"> 56)</w:t>
      </w:r>
    </w:p>
    <w:p w14:paraId="219112FA" w14:textId="0D70EE08" w:rsidR="005A3222" w:rsidRPr="005C1FF3" w:rsidRDefault="009874F7" w:rsidP="005C1FF3">
      <w:pPr>
        <w:pStyle w:val="TableFigureFooter"/>
        <w:spacing w:after="120"/>
        <w:rPr>
          <w:rFonts w:ascii="Franklin Gothic Book" w:eastAsiaTheme="minorHAnsi" w:hAnsi="Franklin Gothic Book" w:cstheme="minorBidi"/>
          <w:b/>
          <w:i/>
          <w:snapToGrid/>
          <w:color w:val="000000" w:themeColor="text1"/>
          <w:sz w:val="22"/>
          <w:lang w:eastAsia="en-US"/>
        </w:rPr>
      </w:pPr>
      <w:r>
        <w:rPr>
          <w:rFonts w:ascii="Franklin Gothic Book" w:eastAsiaTheme="minorHAnsi" w:hAnsi="Franklin Gothic Book" w:cstheme="minorBidi"/>
          <w:b/>
          <w:bCs/>
          <w:i/>
          <w:iCs/>
          <w:snapToGrid/>
          <w:color w:val="000000" w:themeColor="text1"/>
          <w:sz w:val="22"/>
          <w:lang w:eastAsia="en-US"/>
        </w:rPr>
        <w:t xml:space="preserve">Secondary </w:t>
      </w:r>
      <w:r w:rsidR="00D11430" w:rsidRPr="005C1FF3">
        <w:rPr>
          <w:rFonts w:ascii="Franklin Gothic Book" w:eastAsiaTheme="minorHAnsi" w:hAnsi="Franklin Gothic Book" w:cstheme="minorBidi"/>
          <w:b/>
          <w:bCs/>
          <w:i/>
          <w:iCs/>
          <w:snapToGrid/>
          <w:color w:val="000000" w:themeColor="text1"/>
          <w:sz w:val="22"/>
          <w:lang w:eastAsia="en-US"/>
        </w:rPr>
        <w:t>evidence</w:t>
      </w:r>
      <w:r w:rsidR="00BD667B">
        <w:rPr>
          <w:rFonts w:ascii="Franklin Gothic Book" w:eastAsiaTheme="minorHAnsi" w:hAnsi="Franklin Gothic Book" w:cstheme="minorBidi"/>
          <w:b/>
          <w:bCs/>
          <w:i/>
          <w:iCs/>
          <w:snapToGrid/>
          <w:color w:val="000000" w:themeColor="text1"/>
          <w:sz w:val="22"/>
          <w:lang w:eastAsia="en-US"/>
        </w:rPr>
        <w:t xml:space="preserve"> – </w:t>
      </w:r>
      <w:r w:rsidR="00077DB1">
        <w:rPr>
          <w:rFonts w:ascii="Franklin Gothic Book" w:eastAsiaTheme="minorHAnsi" w:hAnsi="Franklin Gothic Book" w:cstheme="minorBidi"/>
          <w:b/>
          <w:bCs/>
          <w:i/>
          <w:iCs/>
          <w:snapToGrid/>
          <w:color w:val="000000" w:themeColor="text1"/>
          <w:sz w:val="22"/>
          <w:lang w:eastAsia="en-US"/>
        </w:rPr>
        <w:t>M</w:t>
      </w:r>
      <w:r w:rsidR="00AB6C0B">
        <w:rPr>
          <w:rFonts w:ascii="Franklin Gothic Book" w:eastAsiaTheme="minorHAnsi" w:hAnsi="Franklin Gothic Book" w:cstheme="minorBidi"/>
          <w:b/>
          <w:bCs/>
          <w:i/>
          <w:iCs/>
          <w:snapToGrid/>
          <w:color w:val="000000" w:themeColor="text1"/>
          <w:sz w:val="22"/>
          <w:lang w:eastAsia="en-US"/>
        </w:rPr>
        <w:t xml:space="preserve">eta-analysis of </w:t>
      </w:r>
      <w:r w:rsidR="00D33062">
        <w:rPr>
          <w:rFonts w:ascii="Franklin Gothic Book" w:eastAsiaTheme="minorHAnsi" w:hAnsi="Franklin Gothic Book" w:cstheme="minorBidi"/>
          <w:b/>
          <w:bCs/>
          <w:i/>
          <w:iCs/>
          <w:snapToGrid/>
          <w:color w:val="000000" w:themeColor="text1"/>
          <w:sz w:val="22"/>
          <w:lang w:eastAsia="en-US"/>
        </w:rPr>
        <w:t xml:space="preserve">HbA1c </w:t>
      </w:r>
      <w:r w:rsidR="00C4297D">
        <w:rPr>
          <w:rFonts w:ascii="Franklin Gothic Book" w:eastAsiaTheme="minorHAnsi" w:hAnsi="Franklin Gothic Book" w:cstheme="minorBidi"/>
          <w:b/>
          <w:bCs/>
          <w:i/>
          <w:iCs/>
          <w:snapToGrid/>
          <w:color w:val="000000" w:themeColor="text1"/>
          <w:sz w:val="22"/>
          <w:lang w:eastAsia="en-US"/>
        </w:rPr>
        <w:t xml:space="preserve">outcomes </w:t>
      </w:r>
      <w:r w:rsidR="00560D60">
        <w:rPr>
          <w:rFonts w:ascii="Franklin Gothic Book" w:eastAsiaTheme="minorHAnsi" w:hAnsi="Franklin Gothic Book" w:cstheme="minorBidi"/>
          <w:b/>
          <w:bCs/>
          <w:i/>
          <w:iCs/>
          <w:snapToGrid/>
          <w:color w:val="000000" w:themeColor="text1"/>
          <w:sz w:val="22"/>
          <w:lang w:eastAsia="en-US"/>
        </w:rPr>
        <w:t xml:space="preserve">assessing </w:t>
      </w:r>
      <w:r w:rsidR="00326847">
        <w:rPr>
          <w:rFonts w:ascii="Franklin Gothic Book" w:eastAsiaTheme="minorHAnsi" w:hAnsi="Franklin Gothic Book" w:cstheme="minorBidi"/>
          <w:b/>
          <w:bCs/>
          <w:i/>
          <w:iCs/>
          <w:snapToGrid/>
          <w:color w:val="000000" w:themeColor="text1"/>
          <w:sz w:val="22"/>
          <w:lang w:eastAsia="en-US"/>
        </w:rPr>
        <w:t xml:space="preserve">RT-CGM vs </w:t>
      </w:r>
      <w:r w:rsidR="00124A41">
        <w:rPr>
          <w:rFonts w:ascii="Franklin Gothic Book" w:eastAsiaTheme="minorHAnsi" w:hAnsi="Franklin Gothic Book" w:cstheme="minorBidi"/>
          <w:b/>
          <w:bCs/>
          <w:i/>
          <w:iCs/>
          <w:snapToGrid/>
          <w:color w:val="000000" w:themeColor="text1"/>
          <w:sz w:val="22"/>
          <w:lang w:eastAsia="en-US"/>
        </w:rPr>
        <w:t>SM</w:t>
      </w:r>
      <w:r w:rsidR="00652685">
        <w:rPr>
          <w:rFonts w:ascii="Franklin Gothic Book" w:eastAsiaTheme="minorHAnsi" w:hAnsi="Franklin Gothic Book" w:cstheme="minorBidi"/>
          <w:b/>
          <w:bCs/>
          <w:i/>
          <w:iCs/>
          <w:snapToGrid/>
          <w:color w:val="000000" w:themeColor="text1"/>
          <w:sz w:val="22"/>
          <w:lang w:eastAsia="en-US"/>
        </w:rPr>
        <w:t>B</w:t>
      </w:r>
      <w:r w:rsidR="00124A41">
        <w:rPr>
          <w:rFonts w:ascii="Franklin Gothic Book" w:eastAsiaTheme="minorHAnsi" w:hAnsi="Franklin Gothic Book" w:cstheme="minorBidi"/>
          <w:b/>
          <w:bCs/>
          <w:i/>
          <w:iCs/>
          <w:snapToGrid/>
          <w:color w:val="000000" w:themeColor="text1"/>
          <w:sz w:val="22"/>
          <w:lang w:eastAsia="en-US"/>
        </w:rPr>
        <w:t xml:space="preserve">G </w:t>
      </w:r>
      <w:r w:rsidR="00124A41" w:rsidDel="00253C2E">
        <w:rPr>
          <w:rFonts w:ascii="Franklin Gothic Book" w:eastAsiaTheme="minorHAnsi" w:hAnsi="Franklin Gothic Book" w:cstheme="minorBidi"/>
          <w:b/>
          <w:bCs/>
          <w:i/>
          <w:iCs/>
          <w:snapToGrid/>
          <w:color w:val="000000" w:themeColor="text1"/>
          <w:sz w:val="22"/>
          <w:lang w:eastAsia="en-US"/>
        </w:rPr>
        <w:t>across</w:t>
      </w:r>
      <w:r w:rsidR="006176CF" w:rsidDel="00253C2E">
        <w:rPr>
          <w:rFonts w:ascii="Franklin Gothic Book" w:eastAsiaTheme="minorHAnsi" w:hAnsi="Franklin Gothic Book" w:cstheme="minorBidi"/>
          <w:b/>
          <w:bCs/>
          <w:i/>
          <w:iCs/>
          <w:snapToGrid/>
          <w:color w:val="000000" w:themeColor="text1"/>
          <w:sz w:val="22"/>
          <w:lang w:eastAsia="en-US"/>
        </w:rPr>
        <w:t xml:space="preserve"> </w:t>
      </w:r>
      <w:r w:rsidR="006176CF">
        <w:rPr>
          <w:rFonts w:ascii="Franklin Gothic Book" w:eastAsiaTheme="minorHAnsi" w:hAnsi="Franklin Gothic Book" w:cstheme="minorBidi"/>
          <w:b/>
          <w:bCs/>
          <w:i/>
          <w:iCs/>
          <w:snapToGrid/>
          <w:color w:val="000000" w:themeColor="text1"/>
          <w:sz w:val="22"/>
          <w:lang w:eastAsia="en-US"/>
        </w:rPr>
        <w:t xml:space="preserve">IIT </w:t>
      </w:r>
      <w:r w:rsidR="00A97AF8">
        <w:rPr>
          <w:rFonts w:ascii="Franklin Gothic Book" w:eastAsiaTheme="minorHAnsi" w:hAnsi="Franklin Gothic Book" w:cstheme="minorBidi"/>
          <w:b/>
          <w:bCs/>
          <w:i/>
          <w:iCs/>
          <w:snapToGrid/>
          <w:color w:val="000000" w:themeColor="text1"/>
          <w:sz w:val="22"/>
          <w:lang w:eastAsia="en-US"/>
        </w:rPr>
        <w:t>and non</w:t>
      </w:r>
      <w:r w:rsidR="00600AE5">
        <w:rPr>
          <w:rFonts w:ascii="Franklin Gothic Book" w:eastAsiaTheme="minorHAnsi" w:hAnsi="Franklin Gothic Book" w:cstheme="minorBidi"/>
          <w:b/>
          <w:bCs/>
          <w:i/>
          <w:iCs/>
          <w:snapToGrid/>
          <w:color w:val="000000" w:themeColor="text1"/>
          <w:sz w:val="22"/>
          <w:lang w:eastAsia="en-US"/>
        </w:rPr>
        <w:t>-</w:t>
      </w:r>
      <w:r w:rsidR="00A97AF8">
        <w:rPr>
          <w:rFonts w:ascii="Franklin Gothic Book" w:eastAsiaTheme="minorHAnsi" w:hAnsi="Franklin Gothic Book" w:cstheme="minorBidi"/>
          <w:b/>
          <w:bCs/>
          <w:i/>
          <w:iCs/>
          <w:snapToGrid/>
          <w:color w:val="000000" w:themeColor="text1"/>
          <w:sz w:val="22"/>
          <w:lang w:eastAsia="en-US"/>
        </w:rPr>
        <w:t>IIT</w:t>
      </w:r>
      <w:r w:rsidR="00942DCC">
        <w:rPr>
          <w:rFonts w:ascii="Franklin Gothic Book" w:eastAsiaTheme="minorHAnsi" w:hAnsi="Franklin Gothic Book" w:cstheme="minorBidi"/>
          <w:b/>
          <w:bCs/>
          <w:i/>
          <w:iCs/>
          <w:snapToGrid/>
          <w:color w:val="000000" w:themeColor="text1"/>
          <w:sz w:val="22"/>
          <w:lang w:eastAsia="en-US"/>
        </w:rPr>
        <w:t xml:space="preserve"> </w:t>
      </w:r>
      <w:r w:rsidR="00266E76">
        <w:rPr>
          <w:rFonts w:ascii="Franklin Gothic Book" w:eastAsiaTheme="minorHAnsi" w:hAnsi="Franklin Gothic Book" w:cstheme="minorBidi"/>
          <w:b/>
          <w:bCs/>
          <w:i/>
          <w:iCs/>
          <w:snapToGrid/>
          <w:color w:val="000000" w:themeColor="text1"/>
          <w:sz w:val="22"/>
          <w:lang w:eastAsia="en-US"/>
        </w:rPr>
        <w:t>subpopulations</w:t>
      </w:r>
    </w:p>
    <w:p w14:paraId="27D0BA1F" w14:textId="01E4C0FD" w:rsidR="00B53314" w:rsidRPr="00B53314" w:rsidRDefault="00825729" w:rsidP="00B53314">
      <w:pPr>
        <w:pStyle w:val="Instructionaltext"/>
        <w:rPr>
          <w:color w:val="000000" w:themeColor="text1"/>
        </w:rPr>
      </w:pPr>
      <w:r>
        <w:rPr>
          <w:color w:val="000000" w:themeColor="text1"/>
        </w:rPr>
        <w:t xml:space="preserve">In the </w:t>
      </w:r>
      <w:r w:rsidR="00652685">
        <w:rPr>
          <w:color w:val="000000" w:themeColor="text1"/>
        </w:rPr>
        <w:t>ADAR</w:t>
      </w:r>
      <w:r>
        <w:rPr>
          <w:color w:val="000000" w:themeColor="text1"/>
        </w:rPr>
        <w:t xml:space="preserve"> resubmission, </w:t>
      </w:r>
      <w:r w:rsidR="00FB7C70">
        <w:rPr>
          <w:color w:val="000000" w:themeColor="text1"/>
        </w:rPr>
        <w:t xml:space="preserve">results of </w:t>
      </w:r>
      <w:r w:rsidR="005D46C7">
        <w:rPr>
          <w:color w:val="000000" w:themeColor="text1"/>
        </w:rPr>
        <w:t xml:space="preserve">a </w:t>
      </w:r>
      <w:r w:rsidR="00FB7C70">
        <w:rPr>
          <w:color w:val="000000" w:themeColor="text1"/>
        </w:rPr>
        <w:t>m</w:t>
      </w:r>
      <w:r w:rsidR="008E58EC" w:rsidRPr="00B55C6B">
        <w:rPr>
          <w:color w:val="000000" w:themeColor="text1"/>
        </w:rPr>
        <w:t>eta-analysis</w:t>
      </w:r>
      <w:r w:rsidR="00C443F6">
        <w:rPr>
          <w:color w:val="000000" w:themeColor="text1"/>
        </w:rPr>
        <w:t xml:space="preserve"> that pooled </w:t>
      </w:r>
      <w:r w:rsidR="0013054D">
        <w:rPr>
          <w:color w:val="000000" w:themeColor="text1"/>
        </w:rPr>
        <w:t>change in %</w:t>
      </w:r>
      <w:r w:rsidR="00C443F6">
        <w:rPr>
          <w:color w:val="000000" w:themeColor="text1"/>
        </w:rPr>
        <w:t>HbA1c outcomes</w:t>
      </w:r>
      <w:r w:rsidR="00643922">
        <w:rPr>
          <w:color w:val="000000" w:themeColor="text1"/>
        </w:rPr>
        <w:t xml:space="preserve"> </w:t>
      </w:r>
      <w:r w:rsidR="00A53465">
        <w:rPr>
          <w:color w:val="000000" w:themeColor="text1"/>
        </w:rPr>
        <w:t>from</w:t>
      </w:r>
      <w:r w:rsidR="00362781" w:rsidDel="00082E41">
        <w:rPr>
          <w:color w:val="000000" w:themeColor="text1"/>
        </w:rPr>
        <w:t xml:space="preserve"> </w:t>
      </w:r>
      <w:r w:rsidR="00A6304C" w:rsidRPr="00A6304C">
        <w:rPr>
          <w:color w:val="000000" w:themeColor="text1"/>
        </w:rPr>
        <w:t xml:space="preserve">RCT and </w:t>
      </w:r>
      <w:r w:rsidR="00E75137" w:rsidRPr="00E75137">
        <w:rPr>
          <w:color w:val="000000" w:themeColor="text1"/>
        </w:rPr>
        <w:t xml:space="preserve">real-world evidence </w:t>
      </w:r>
      <w:r w:rsidR="00E75137">
        <w:rPr>
          <w:color w:val="000000" w:themeColor="text1"/>
        </w:rPr>
        <w:t>(</w:t>
      </w:r>
      <w:r w:rsidR="00A6304C" w:rsidRPr="00A6304C">
        <w:rPr>
          <w:color w:val="000000" w:themeColor="text1"/>
        </w:rPr>
        <w:t>RWE</w:t>
      </w:r>
      <w:r w:rsidR="00E75137">
        <w:rPr>
          <w:color w:val="000000" w:themeColor="text1"/>
        </w:rPr>
        <w:t>)</w:t>
      </w:r>
      <w:r w:rsidR="00A6304C" w:rsidRPr="00A6304C">
        <w:rPr>
          <w:color w:val="000000" w:themeColor="text1"/>
        </w:rPr>
        <w:t xml:space="preserve"> studies (n=9 in total) to </w:t>
      </w:r>
      <w:r w:rsidR="00A76299">
        <w:rPr>
          <w:color w:val="000000" w:themeColor="text1"/>
        </w:rPr>
        <w:t xml:space="preserve">assess </w:t>
      </w:r>
      <w:r w:rsidR="00C67B31">
        <w:rPr>
          <w:color w:val="000000" w:themeColor="text1"/>
        </w:rPr>
        <w:t>RT-CGM against SMBG across both IIT and non-IIIT subpopulations</w:t>
      </w:r>
      <w:r w:rsidR="00D225D9">
        <w:rPr>
          <w:color w:val="000000" w:themeColor="text1"/>
        </w:rPr>
        <w:t xml:space="preserve"> </w:t>
      </w:r>
      <w:r w:rsidR="00A3692B">
        <w:rPr>
          <w:color w:val="000000" w:themeColor="text1"/>
        </w:rPr>
        <w:t>we</w:t>
      </w:r>
      <w:r w:rsidR="00D225D9">
        <w:rPr>
          <w:color w:val="000000" w:themeColor="text1"/>
        </w:rPr>
        <w:t>re also presented</w:t>
      </w:r>
      <w:r w:rsidR="002C28E3">
        <w:rPr>
          <w:color w:val="000000" w:themeColor="text1"/>
        </w:rPr>
        <w:t>.</w:t>
      </w:r>
      <w:r w:rsidR="002C28E3" w:rsidRPr="002C28E3">
        <w:rPr>
          <w:color w:val="000000" w:themeColor="text1"/>
        </w:rPr>
        <w:t xml:space="preserve"> </w:t>
      </w:r>
      <w:r w:rsidR="00B47054">
        <w:rPr>
          <w:color w:val="000000" w:themeColor="text1"/>
        </w:rPr>
        <w:t>Four of the</w:t>
      </w:r>
      <w:r w:rsidR="007F0BDD">
        <w:rPr>
          <w:color w:val="000000" w:themeColor="text1"/>
        </w:rPr>
        <w:t xml:space="preserve"> in</w:t>
      </w:r>
      <w:r w:rsidR="00A21F75">
        <w:rPr>
          <w:color w:val="000000" w:themeColor="text1"/>
        </w:rPr>
        <w:t>cl</w:t>
      </w:r>
      <w:r w:rsidR="007F0BDD">
        <w:rPr>
          <w:color w:val="000000" w:themeColor="text1"/>
        </w:rPr>
        <w:t>u</w:t>
      </w:r>
      <w:r w:rsidR="00A21F75">
        <w:rPr>
          <w:color w:val="000000" w:themeColor="text1"/>
        </w:rPr>
        <w:t>d</w:t>
      </w:r>
      <w:r w:rsidR="007F0BDD">
        <w:rPr>
          <w:color w:val="000000" w:themeColor="text1"/>
        </w:rPr>
        <w:t>ed</w:t>
      </w:r>
      <w:r w:rsidR="001B49E9">
        <w:rPr>
          <w:color w:val="000000" w:themeColor="text1"/>
        </w:rPr>
        <w:t xml:space="preserve"> </w:t>
      </w:r>
      <w:r w:rsidR="00B47054">
        <w:rPr>
          <w:color w:val="000000" w:themeColor="text1"/>
        </w:rPr>
        <w:t xml:space="preserve">studies </w:t>
      </w:r>
      <w:r w:rsidR="001B49E9">
        <w:rPr>
          <w:color w:val="000000" w:themeColor="text1"/>
        </w:rPr>
        <w:t xml:space="preserve">reported </w:t>
      </w:r>
      <w:r w:rsidR="0047578D">
        <w:rPr>
          <w:color w:val="000000" w:themeColor="text1"/>
        </w:rPr>
        <w:t xml:space="preserve">change in HbA1c </w:t>
      </w:r>
      <w:r w:rsidR="001B49E9">
        <w:rPr>
          <w:color w:val="000000" w:themeColor="text1"/>
        </w:rPr>
        <w:t xml:space="preserve">results from </w:t>
      </w:r>
      <w:r w:rsidR="00F448F7">
        <w:rPr>
          <w:color w:val="000000" w:themeColor="text1"/>
        </w:rPr>
        <w:t>comparisons of</w:t>
      </w:r>
      <w:r w:rsidR="003C5D29">
        <w:rPr>
          <w:color w:val="000000" w:themeColor="text1"/>
        </w:rPr>
        <w:t xml:space="preserve"> Dexcom RT-CGM </w:t>
      </w:r>
      <w:r w:rsidR="00F448F7">
        <w:rPr>
          <w:color w:val="000000" w:themeColor="text1"/>
        </w:rPr>
        <w:t xml:space="preserve">against </w:t>
      </w:r>
      <w:r w:rsidR="003C5D29">
        <w:rPr>
          <w:color w:val="000000" w:themeColor="text1"/>
        </w:rPr>
        <w:t>SM</w:t>
      </w:r>
      <w:r w:rsidR="001B49E9">
        <w:rPr>
          <w:color w:val="000000" w:themeColor="text1"/>
        </w:rPr>
        <w:t>B</w:t>
      </w:r>
      <w:r w:rsidR="00680413">
        <w:rPr>
          <w:color w:val="000000" w:themeColor="text1"/>
        </w:rPr>
        <w:t>G</w:t>
      </w:r>
      <w:r w:rsidR="002C50CA">
        <w:rPr>
          <w:color w:val="000000" w:themeColor="text1"/>
        </w:rPr>
        <w:t>,</w:t>
      </w:r>
      <w:r w:rsidR="00680413">
        <w:rPr>
          <w:color w:val="000000" w:themeColor="text1"/>
        </w:rPr>
        <w:t xml:space="preserve"> </w:t>
      </w:r>
      <w:r w:rsidR="00F448F7">
        <w:rPr>
          <w:color w:val="000000" w:themeColor="text1"/>
        </w:rPr>
        <w:t>whil</w:t>
      </w:r>
      <w:r w:rsidR="002C50CA">
        <w:rPr>
          <w:color w:val="000000" w:themeColor="text1"/>
        </w:rPr>
        <w:t>e</w:t>
      </w:r>
      <w:r w:rsidR="00A34EDB" w:rsidDel="001C6943">
        <w:rPr>
          <w:color w:val="000000" w:themeColor="text1"/>
        </w:rPr>
        <w:t xml:space="preserve"> </w:t>
      </w:r>
      <w:r w:rsidR="001C6943">
        <w:rPr>
          <w:color w:val="000000" w:themeColor="text1"/>
        </w:rPr>
        <w:t xml:space="preserve">5 </w:t>
      </w:r>
      <w:r w:rsidR="00995148">
        <w:rPr>
          <w:color w:val="000000" w:themeColor="text1"/>
        </w:rPr>
        <w:t>reported these outcomes</w:t>
      </w:r>
      <w:r w:rsidR="009C51C0">
        <w:rPr>
          <w:color w:val="000000" w:themeColor="text1"/>
        </w:rPr>
        <w:t xml:space="preserve"> from comparisons</w:t>
      </w:r>
      <w:r w:rsidR="0077216E">
        <w:rPr>
          <w:color w:val="000000" w:themeColor="text1"/>
        </w:rPr>
        <w:t xml:space="preserve"> of </w:t>
      </w:r>
      <w:r w:rsidR="008813C1">
        <w:rPr>
          <w:color w:val="000000" w:themeColor="text1"/>
        </w:rPr>
        <w:t>FSL/</w:t>
      </w:r>
      <w:r w:rsidR="00274D54">
        <w:rPr>
          <w:color w:val="000000" w:themeColor="text1"/>
        </w:rPr>
        <w:t>Flash Glucose Monitoring (</w:t>
      </w:r>
      <w:r w:rsidR="008813C1">
        <w:rPr>
          <w:color w:val="000000" w:themeColor="text1"/>
        </w:rPr>
        <w:t>FGM</w:t>
      </w:r>
      <w:r w:rsidR="00274D54">
        <w:rPr>
          <w:color w:val="000000" w:themeColor="text1"/>
        </w:rPr>
        <w:t>)</w:t>
      </w:r>
      <w:r w:rsidR="008813C1">
        <w:rPr>
          <w:color w:val="000000" w:themeColor="text1"/>
        </w:rPr>
        <w:t xml:space="preserve"> </w:t>
      </w:r>
      <w:r w:rsidR="0077216E">
        <w:rPr>
          <w:color w:val="000000" w:themeColor="text1"/>
        </w:rPr>
        <w:t>against</w:t>
      </w:r>
      <w:r w:rsidR="008813C1">
        <w:rPr>
          <w:color w:val="000000" w:themeColor="text1"/>
        </w:rPr>
        <w:t xml:space="preserve"> SMBG</w:t>
      </w:r>
      <w:r w:rsidR="0077216E">
        <w:rPr>
          <w:color w:val="000000" w:themeColor="text1"/>
        </w:rPr>
        <w:t>. The studies were</w:t>
      </w:r>
      <w:r w:rsidR="00A5171D">
        <w:rPr>
          <w:color w:val="000000" w:themeColor="text1"/>
        </w:rPr>
        <w:t xml:space="preserve"> identified from the </w:t>
      </w:r>
      <w:r w:rsidR="0023494A">
        <w:rPr>
          <w:color w:val="000000" w:themeColor="text1"/>
        </w:rPr>
        <w:t>original ADAR 1785 and original ADAR 1786</w:t>
      </w:r>
      <w:r w:rsidR="00602021">
        <w:rPr>
          <w:color w:val="000000" w:themeColor="text1"/>
        </w:rPr>
        <w:t xml:space="preserve"> (as discussed in the 1786 PSD)</w:t>
      </w:r>
      <w:r w:rsidR="0086779F">
        <w:rPr>
          <w:color w:val="000000" w:themeColor="text1"/>
        </w:rPr>
        <w:t>, respectively.</w:t>
      </w:r>
      <w:r w:rsidR="00DD7DEE">
        <w:rPr>
          <w:color w:val="000000" w:themeColor="text1"/>
        </w:rPr>
        <w:t xml:space="preserve"> </w:t>
      </w:r>
      <w:r w:rsidR="00B53314" w:rsidRPr="00B53314">
        <w:rPr>
          <w:color w:val="000000" w:themeColor="text1"/>
        </w:rPr>
        <w:t>The length of follow-up prior to HbA1c</w:t>
      </w:r>
      <w:r w:rsidR="00B53314" w:rsidRPr="00B53314" w:rsidDel="00117FAA">
        <w:rPr>
          <w:color w:val="000000" w:themeColor="text1"/>
        </w:rPr>
        <w:t xml:space="preserve"> </w:t>
      </w:r>
      <w:r w:rsidR="00B53314" w:rsidRPr="00B53314">
        <w:rPr>
          <w:color w:val="000000" w:themeColor="text1"/>
        </w:rPr>
        <w:t>assessment varied across the studies included in the meta-analysis (10 weeks to 3</w:t>
      </w:r>
      <w:r w:rsidR="002A6DFB">
        <w:rPr>
          <w:color w:val="000000" w:themeColor="text1"/>
        </w:rPr>
        <w:t>–</w:t>
      </w:r>
      <w:r w:rsidR="00B53314" w:rsidRPr="00B53314">
        <w:rPr>
          <w:color w:val="000000" w:themeColor="text1"/>
        </w:rPr>
        <w:t xml:space="preserve">6 months). Five of the studies were IIT population assessments, </w:t>
      </w:r>
      <w:r w:rsidR="00602021">
        <w:rPr>
          <w:color w:val="000000" w:themeColor="text1"/>
        </w:rPr>
        <w:t xml:space="preserve">and </w:t>
      </w:r>
      <w:r w:rsidR="00FD50B7">
        <w:rPr>
          <w:color w:val="000000" w:themeColor="text1"/>
        </w:rPr>
        <w:t>4 were</w:t>
      </w:r>
      <w:r w:rsidR="00B53314" w:rsidRPr="00B53314">
        <w:rPr>
          <w:color w:val="000000" w:themeColor="text1"/>
        </w:rPr>
        <w:t xml:space="preserve"> non-IIT population </w:t>
      </w:r>
      <w:r w:rsidR="00E533D8">
        <w:rPr>
          <w:color w:val="000000" w:themeColor="text1"/>
        </w:rPr>
        <w:t>assessments</w:t>
      </w:r>
      <w:r w:rsidR="00E533D8" w:rsidRPr="00B53314">
        <w:rPr>
          <w:color w:val="000000" w:themeColor="text1"/>
        </w:rPr>
        <w:t xml:space="preserve"> </w:t>
      </w:r>
      <w:r w:rsidR="00B53314" w:rsidRPr="00B53314">
        <w:rPr>
          <w:color w:val="000000" w:themeColor="text1"/>
        </w:rPr>
        <w:t>(or mostly).</w:t>
      </w:r>
    </w:p>
    <w:p w14:paraId="00BADD2D" w14:textId="427EA032" w:rsidR="005A27A2" w:rsidRDefault="00492F9F" w:rsidP="008E58EC">
      <w:pPr>
        <w:pStyle w:val="Instructionaltext"/>
        <w:rPr>
          <w:color w:val="000000" w:themeColor="text1"/>
          <w:highlight w:val="yellow"/>
        </w:rPr>
      </w:pPr>
      <w:r>
        <w:rPr>
          <w:color w:val="000000" w:themeColor="text1"/>
        </w:rPr>
        <w:t>Outcomes</w:t>
      </w:r>
      <w:r w:rsidR="002800B0">
        <w:rPr>
          <w:color w:val="000000" w:themeColor="text1"/>
        </w:rPr>
        <w:t xml:space="preserve"> of </w:t>
      </w:r>
      <w:r>
        <w:rPr>
          <w:color w:val="000000" w:themeColor="text1"/>
        </w:rPr>
        <w:t xml:space="preserve">subsets of the </w:t>
      </w:r>
      <w:r w:rsidR="002800B0">
        <w:rPr>
          <w:color w:val="000000" w:themeColor="text1"/>
        </w:rPr>
        <w:t xml:space="preserve">studies </w:t>
      </w:r>
      <w:r w:rsidR="00DD2061">
        <w:rPr>
          <w:color w:val="000000" w:themeColor="text1"/>
        </w:rPr>
        <w:t>we</w:t>
      </w:r>
      <w:r w:rsidR="002800B0">
        <w:rPr>
          <w:color w:val="000000" w:themeColor="text1"/>
        </w:rPr>
        <w:t xml:space="preserve">re also </w:t>
      </w:r>
      <w:r>
        <w:rPr>
          <w:color w:val="000000" w:themeColor="text1"/>
        </w:rPr>
        <w:t>pooled</w:t>
      </w:r>
      <w:r w:rsidR="002800B0">
        <w:rPr>
          <w:color w:val="000000" w:themeColor="text1"/>
        </w:rPr>
        <w:t xml:space="preserve"> to </w:t>
      </w:r>
      <w:r w:rsidR="004D67EA">
        <w:rPr>
          <w:color w:val="000000" w:themeColor="text1"/>
        </w:rPr>
        <w:t>investigate</w:t>
      </w:r>
      <w:r w:rsidR="004045D2">
        <w:rPr>
          <w:color w:val="000000" w:themeColor="text1"/>
        </w:rPr>
        <w:t xml:space="preserve"> </w:t>
      </w:r>
      <w:r w:rsidR="002800B0">
        <w:rPr>
          <w:color w:val="000000" w:themeColor="text1"/>
        </w:rPr>
        <w:t xml:space="preserve">whether </w:t>
      </w:r>
      <w:r w:rsidR="00D6362B">
        <w:rPr>
          <w:color w:val="000000" w:themeColor="text1"/>
        </w:rPr>
        <w:t xml:space="preserve">the treatment effect is greater for Dexcom ONE+ than for </w:t>
      </w:r>
      <w:r w:rsidR="00F157F1">
        <w:rPr>
          <w:color w:val="000000" w:themeColor="text1"/>
        </w:rPr>
        <w:t>FSL/FGM</w:t>
      </w:r>
      <w:r w:rsidR="00451143">
        <w:rPr>
          <w:color w:val="000000" w:themeColor="text1"/>
        </w:rPr>
        <w:t>.</w:t>
      </w:r>
      <w:r w:rsidR="00E559E4" w:rsidRPr="00C16A07">
        <w:rPr>
          <w:color w:val="000000" w:themeColor="text1"/>
          <w:highlight w:val="yellow"/>
        </w:rPr>
        <w:t xml:space="preserve"> </w:t>
      </w:r>
      <w:r w:rsidR="002F5F10">
        <w:rPr>
          <w:color w:val="000000" w:themeColor="text1"/>
          <w:highlight w:val="yellow"/>
        </w:rPr>
        <w:t xml:space="preserve"> </w:t>
      </w:r>
    </w:p>
    <w:p w14:paraId="0B3B428A" w14:textId="7E381B6B" w:rsidR="007C2DF5" w:rsidRPr="00B55C6B" w:rsidRDefault="008E7064" w:rsidP="008E58EC">
      <w:pPr>
        <w:pStyle w:val="Instructionaltext"/>
        <w:rPr>
          <w:color w:val="000000" w:themeColor="text1"/>
        </w:rPr>
      </w:pPr>
      <w:r w:rsidRPr="00B52382">
        <w:rPr>
          <w:color w:val="auto"/>
        </w:rPr>
        <w:fldChar w:fldCharType="begin"/>
      </w:r>
      <w:r w:rsidRPr="00B52382">
        <w:rPr>
          <w:color w:val="auto"/>
        </w:rPr>
        <w:instrText xml:space="preserve"> REF _Ref229048417 \h </w:instrText>
      </w:r>
      <w:r w:rsidRPr="00B52382">
        <w:rPr>
          <w:color w:val="auto"/>
        </w:rPr>
      </w:r>
      <w:r w:rsidRPr="00B52382">
        <w:rPr>
          <w:color w:val="auto"/>
        </w:rPr>
        <w:fldChar w:fldCharType="separate"/>
      </w:r>
      <w:r w:rsidR="0098516D" w:rsidRPr="00B52382">
        <w:rPr>
          <w:color w:val="auto"/>
        </w:rPr>
        <w:t xml:space="preserve">Table </w:t>
      </w:r>
      <w:r w:rsidR="0098516D" w:rsidRPr="00B52382">
        <w:rPr>
          <w:noProof/>
          <w:color w:val="auto"/>
        </w:rPr>
        <w:t>8</w:t>
      </w:r>
      <w:r w:rsidRPr="00B52382">
        <w:rPr>
          <w:color w:val="auto"/>
        </w:rPr>
        <w:fldChar w:fldCharType="end"/>
      </w:r>
      <w:r w:rsidRPr="002F603A">
        <w:rPr>
          <w:color w:val="auto"/>
        </w:rPr>
        <w:t xml:space="preserve"> </w:t>
      </w:r>
      <w:r w:rsidR="008E6CF8" w:rsidRPr="00C07445">
        <w:rPr>
          <w:color w:val="000000" w:themeColor="text1"/>
        </w:rPr>
        <w:t xml:space="preserve">provides </w:t>
      </w:r>
      <w:r w:rsidR="00D9765A" w:rsidRPr="00C07445">
        <w:rPr>
          <w:color w:val="000000" w:themeColor="text1"/>
        </w:rPr>
        <w:t xml:space="preserve">the </w:t>
      </w:r>
      <w:r w:rsidR="009D797D">
        <w:rPr>
          <w:color w:val="000000" w:themeColor="text1"/>
        </w:rPr>
        <w:t xml:space="preserve">ADAR resubmission’s </w:t>
      </w:r>
      <w:r w:rsidR="008E6CF8" w:rsidRPr="00C07445">
        <w:rPr>
          <w:color w:val="000000" w:themeColor="text1"/>
        </w:rPr>
        <w:t xml:space="preserve">description of </w:t>
      </w:r>
      <w:r w:rsidR="00D9765A" w:rsidRPr="00C07445">
        <w:rPr>
          <w:color w:val="000000" w:themeColor="text1"/>
        </w:rPr>
        <w:t>the studies in th</w:t>
      </w:r>
      <w:r w:rsidR="005A27A2" w:rsidRPr="00C07445">
        <w:rPr>
          <w:color w:val="000000" w:themeColor="text1"/>
        </w:rPr>
        <w:t>ese meta-</w:t>
      </w:r>
      <w:r w:rsidR="00B3771F" w:rsidRPr="00C07445">
        <w:rPr>
          <w:color w:val="000000" w:themeColor="text1"/>
        </w:rPr>
        <w:t>analyses</w:t>
      </w:r>
      <w:r w:rsidR="009B05EB">
        <w:rPr>
          <w:color w:val="000000" w:themeColor="text1"/>
        </w:rPr>
        <w:t>, includ</w:t>
      </w:r>
      <w:r w:rsidR="000F46F5">
        <w:rPr>
          <w:color w:val="000000" w:themeColor="text1"/>
        </w:rPr>
        <w:t>ing</w:t>
      </w:r>
      <w:r w:rsidR="009B05EB">
        <w:rPr>
          <w:color w:val="000000" w:themeColor="text1"/>
        </w:rPr>
        <w:t xml:space="preserve"> the point effect estimates of the summary HbA1c measures</w:t>
      </w:r>
      <w:r w:rsidR="00B87A7C">
        <w:rPr>
          <w:color w:val="000000" w:themeColor="text1"/>
        </w:rPr>
        <w:t xml:space="preserve">. The </w:t>
      </w:r>
      <w:r w:rsidR="001A7B20">
        <w:rPr>
          <w:color w:val="000000" w:themeColor="text1"/>
        </w:rPr>
        <w:t>f</w:t>
      </w:r>
      <w:r w:rsidR="009B05EB">
        <w:rPr>
          <w:color w:val="000000" w:themeColor="text1"/>
        </w:rPr>
        <w:t xml:space="preserve">orest </w:t>
      </w:r>
      <w:r w:rsidR="001A7B20">
        <w:rPr>
          <w:color w:val="000000" w:themeColor="text1"/>
        </w:rPr>
        <w:t>p</w:t>
      </w:r>
      <w:r w:rsidR="009B05EB">
        <w:rPr>
          <w:color w:val="000000" w:themeColor="text1"/>
        </w:rPr>
        <w:t xml:space="preserve">lot </w:t>
      </w:r>
      <w:r w:rsidR="00562220">
        <w:rPr>
          <w:color w:val="000000" w:themeColor="text1"/>
        </w:rPr>
        <w:t xml:space="preserve">of the </w:t>
      </w:r>
      <w:r w:rsidR="0073123B">
        <w:rPr>
          <w:color w:val="000000" w:themeColor="text1"/>
        </w:rPr>
        <w:t>meta-</w:t>
      </w:r>
      <w:r w:rsidR="00562220">
        <w:rPr>
          <w:color w:val="000000" w:themeColor="text1"/>
        </w:rPr>
        <w:t xml:space="preserve">analyses </w:t>
      </w:r>
      <w:r w:rsidR="00E109B9">
        <w:rPr>
          <w:color w:val="000000" w:themeColor="text1"/>
        </w:rPr>
        <w:t>presented</w:t>
      </w:r>
      <w:r w:rsidR="00562220">
        <w:rPr>
          <w:color w:val="000000" w:themeColor="text1"/>
        </w:rPr>
        <w:t xml:space="preserve"> in the resubmission is provided </w:t>
      </w:r>
      <w:r w:rsidR="00F31FE9">
        <w:rPr>
          <w:color w:val="000000" w:themeColor="text1"/>
        </w:rPr>
        <w:t xml:space="preserve">in </w:t>
      </w:r>
      <w:r w:rsidR="00BC7BEB" w:rsidRPr="00B52382">
        <w:rPr>
          <w:color w:val="auto"/>
        </w:rPr>
        <w:fldChar w:fldCharType="begin"/>
      </w:r>
      <w:r w:rsidR="00BC7BEB" w:rsidRPr="00B52382">
        <w:rPr>
          <w:color w:val="auto"/>
        </w:rPr>
        <w:instrText xml:space="preserve"> REF _Ref226729851 \h </w:instrText>
      </w:r>
      <w:r w:rsidR="00BC7BEB" w:rsidRPr="00B52382">
        <w:rPr>
          <w:color w:val="auto"/>
        </w:rPr>
      </w:r>
      <w:r w:rsidR="00BC7BEB" w:rsidRPr="00B52382">
        <w:rPr>
          <w:color w:val="auto"/>
        </w:rPr>
        <w:fldChar w:fldCharType="separate"/>
      </w:r>
      <w:r w:rsidR="0098516D" w:rsidRPr="00B52382">
        <w:rPr>
          <w:color w:val="auto"/>
        </w:rPr>
        <w:t xml:space="preserve">Figure </w:t>
      </w:r>
      <w:r w:rsidR="0098516D" w:rsidRPr="00B52382">
        <w:rPr>
          <w:noProof/>
          <w:color w:val="auto"/>
        </w:rPr>
        <w:t>1</w:t>
      </w:r>
      <w:r w:rsidR="00BC7BEB" w:rsidRPr="00B52382">
        <w:rPr>
          <w:color w:val="auto"/>
        </w:rPr>
        <w:fldChar w:fldCharType="end"/>
      </w:r>
      <w:r w:rsidR="00562220">
        <w:rPr>
          <w:color w:val="000000" w:themeColor="text1"/>
        </w:rPr>
        <w:t>.</w:t>
      </w:r>
      <w:r w:rsidR="00B87A7C">
        <w:rPr>
          <w:color w:val="000000" w:themeColor="text1"/>
        </w:rPr>
        <w:t xml:space="preserve"> </w:t>
      </w:r>
    </w:p>
    <w:p w14:paraId="730484DF" w14:textId="77777777" w:rsidR="005A10EC" w:rsidRDefault="005A10EC" w:rsidP="008E58EC">
      <w:pPr>
        <w:pStyle w:val="Instructionaltext"/>
        <w:rPr>
          <w:color w:val="000000" w:themeColor="text1"/>
        </w:rPr>
        <w:sectPr w:rsidR="005A10EC" w:rsidSect="00756A0E">
          <w:pgSz w:w="11906" w:h="16838"/>
          <w:pgMar w:top="1440" w:right="1440" w:bottom="1440" w:left="1440" w:header="708" w:footer="708" w:gutter="0"/>
          <w:cols w:space="708"/>
          <w:docGrid w:linePitch="360"/>
        </w:sectPr>
      </w:pPr>
      <w:bookmarkStart w:id="28" w:name="_Toc69491423"/>
      <w:bookmarkEnd w:id="27"/>
    </w:p>
    <w:p w14:paraId="7A5BA2AE" w14:textId="4054F9A0" w:rsidR="003A5CDD" w:rsidRPr="00101AE3" w:rsidRDefault="003A5CDD" w:rsidP="00702717">
      <w:pPr>
        <w:pStyle w:val="Caption"/>
      </w:pPr>
      <w:bookmarkStart w:id="29" w:name="_Ref229048417"/>
      <w:bookmarkStart w:id="30" w:name="_Ref229049323"/>
      <w:r>
        <w:lastRenderedPageBreak/>
        <w:t xml:space="preserve">Table </w:t>
      </w:r>
      <w:r>
        <w:fldChar w:fldCharType="begin"/>
      </w:r>
      <w:r>
        <w:instrText>SEQ Table \* ARABIC</w:instrText>
      </w:r>
      <w:r>
        <w:fldChar w:fldCharType="separate"/>
      </w:r>
      <w:r w:rsidR="0098516D">
        <w:rPr>
          <w:noProof/>
        </w:rPr>
        <w:t>8</w:t>
      </w:r>
      <w:r>
        <w:fldChar w:fldCharType="end"/>
      </w:r>
      <w:bookmarkEnd w:id="29"/>
      <w:r w:rsidR="008E7064">
        <w:t xml:space="preserve">: </w:t>
      </w:r>
      <w:r w:rsidRPr="00101AE3">
        <w:t>Scenario analyses presented in meta-analysis for Dexcom RT-CGM and FSL/FGM</w:t>
      </w:r>
      <w:bookmarkEnd w:id="30"/>
      <w:r w:rsidR="008A5682" w:rsidRPr="00101AE3">
        <w:t xml:space="preserve"> </w:t>
      </w:r>
    </w:p>
    <w:tbl>
      <w:tblPr>
        <w:tblStyle w:val="TableGrid"/>
        <w:tblW w:w="5000" w:type="pct"/>
        <w:tblLook w:val="04A0" w:firstRow="1" w:lastRow="0" w:firstColumn="1" w:lastColumn="0" w:noHBand="0" w:noVBand="1"/>
      </w:tblPr>
      <w:tblGrid>
        <w:gridCol w:w="1743"/>
        <w:gridCol w:w="937"/>
        <w:gridCol w:w="1424"/>
        <w:gridCol w:w="1650"/>
        <w:gridCol w:w="1196"/>
        <w:gridCol w:w="777"/>
        <w:gridCol w:w="777"/>
        <w:gridCol w:w="777"/>
        <w:gridCol w:w="778"/>
        <w:gridCol w:w="778"/>
        <w:gridCol w:w="778"/>
        <w:gridCol w:w="778"/>
        <w:gridCol w:w="778"/>
        <w:gridCol w:w="777"/>
      </w:tblGrid>
      <w:tr w:rsidR="00E91B84" w:rsidRPr="00307FE3" w14:paraId="59D5B361" w14:textId="77777777">
        <w:tc>
          <w:tcPr>
            <w:tcW w:w="625" w:type="pct"/>
            <w:vMerge w:val="restart"/>
            <w:shd w:val="clear" w:color="auto" w:fill="D9D9D9" w:themeFill="background1" w:themeFillShade="D9"/>
          </w:tcPr>
          <w:p w14:paraId="2016E59B"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 xml:space="preserve">Study ID </w:t>
            </w:r>
          </w:p>
        </w:tc>
        <w:tc>
          <w:tcPr>
            <w:tcW w:w="336" w:type="pct"/>
            <w:vMerge w:val="restart"/>
            <w:shd w:val="clear" w:color="auto" w:fill="D9D9D9" w:themeFill="background1" w:themeFillShade="D9"/>
          </w:tcPr>
          <w:p w14:paraId="2973302B"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Evidence type</w:t>
            </w:r>
          </w:p>
        </w:tc>
        <w:tc>
          <w:tcPr>
            <w:tcW w:w="511" w:type="pct"/>
            <w:vMerge w:val="restart"/>
            <w:shd w:val="clear" w:color="auto" w:fill="D9D9D9" w:themeFill="background1" w:themeFillShade="D9"/>
          </w:tcPr>
          <w:p w14:paraId="430BB8B0" w14:textId="0FAAB832"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Timepoint</w:t>
            </w:r>
          </w:p>
        </w:tc>
        <w:tc>
          <w:tcPr>
            <w:tcW w:w="592" w:type="pct"/>
            <w:vMerge w:val="restart"/>
            <w:shd w:val="clear" w:color="auto" w:fill="D9D9D9" w:themeFill="background1" w:themeFillShade="D9"/>
          </w:tcPr>
          <w:p w14:paraId="33B91453"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T2D population</w:t>
            </w:r>
          </w:p>
        </w:tc>
        <w:tc>
          <w:tcPr>
            <w:tcW w:w="429" w:type="pct"/>
            <w:vMerge w:val="restart"/>
            <w:shd w:val="clear" w:color="auto" w:fill="D9D9D9" w:themeFill="background1" w:themeFillShade="D9"/>
          </w:tcPr>
          <w:p w14:paraId="5E4D8C91"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Change in HbA1c</w:t>
            </w:r>
          </w:p>
        </w:tc>
        <w:tc>
          <w:tcPr>
            <w:tcW w:w="2507" w:type="pct"/>
            <w:gridSpan w:val="9"/>
            <w:shd w:val="clear" w:color="auto" w:fill="D9D9D9" w:themeFill="background1" w:themeFillShade="D9"/>
          </w:tcPr>
          <w:p w14:paraId="60167D67"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 xml:space="preserve">Scenario analyses </w:t>
            </w:r>
          </w:p>
        </w:tc>
      </w:tr>
      <w:tr w:rsidR="00E91B84" w:rsidRPr="00307FE3" w14:paraId="3E63558F" w14:textId="77777777">
        <w:tc>
          <w:tcPr>
            <w:tcW w:w="625" w:type="pct"/>
            <w:vMerge/>
            <w:shd w:val="clear" w:color="auto" w:fill="D9D9D9" w:themeFill="background1" w:themeFillShade="D9"/>
          </w:tcPr>
          <w:p w14:paraId="764F7DB5"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p>
        </w:tc>
        <w:tc>
          <w:tcPr>
            <w:tcW w:w="336" w:type="pct"/>
            <w:vMerge/>
            <w:shd w:val="clear" w:color="auto" w:fill="D9D9D9" w:themeFill="background1" w:themeFillShade="D9"/>
          </w:tcPr>
          <w:p w14:paraId="6296710D"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p>
        </w:tc>
        <w:tc>
          <w:tcPr>
            <w:tcW w:w="511" w:type="pct"/>
            <w:vMerge/>
            <w:shd w:val="clear" w:color="auto" w:fill="D9D9D9" w:themeFill="background1" w:themeFillShade="D9"/>
          </w:tcPr>
          <w:p w14:paraId="407BF9EE"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p>
        </w:tc>
        <w:tc>
          <w:tcPr>
            <w:tcW w:w="592" w:type="pct"/>
            <w:vMerge/>
            <w:shd w:val="clear" w:color="auto" w:fill="D9D9D9" w:themeFill="background1" w:themeFillShade="D9"/>
          </w:tcPr>
          <w:p w14:paraId="6F30031D"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p>
        </w:tc>
        <w:tc>
          <w:tcPr>
            <w:tcW w:w="429" w:type="pct"/>
            <w:vMerge/>
            <w:shd w:val="clear" w:color="auto" w:fill="D9D9D9" w:themeFill="background1" w:themeFillShade="D9"/>
          </w:tcPr>
          <w:p w14:paraId="1FF45FB5"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p>
        </w:tc>
        <w:tc>
          <w:tcPr>
            <w:tcW w:w="279" w:type="pct"/>
            <w:shd w:val="clear" w:color="auto" w:fill="D9D9D9" w:themeFill="background1" w:themeFillShade="D9"/>
          </w:tcPr>
          <w:p w14:paraId="7D085314"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#1</w:t>
            </w:r>
          </w:p>
        </w:tc>
        <w:tc>
          <w:tcPr>
            <w:tcW w:w="279" w:type="pct"/>
            <w:shd w:val="clear" w:color="auto" w:fill="D9D9D9" w:themeFill="background1" w:themeFillShade="D9"/>
          </w:tcPr>
          <w:p w14:paraId="43682C8A"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#2</w:t>
            </w:r>
          </w:p>
        </w:tc>
        <w:tc>
          <w:tcPr>
            <w:tcW w:w="279" w:type="pct"/>
            <w:shd w:val="clear" w:color="auto" w:fill="D9D9D9" w:themeFill="background1" w:themeFillShade="D9"/>
          </w:tcPr>
          <w:p w14:paraId="0E8170CB"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#3</w:t>
            </w:r>
          </w:p>
        </w:tc>
        <w:tc>
          <w:tcPr>
            <w:tcW w:w="279" w:type="pct"/>
            <w:shd w:val="clear" w:color="auto" w:fill="D9D9D9" w:themeFill="background1" w:themeFillShade="D9"/>
          </w:tcPr>
          <w:p w14:paraId="16D0DA3D"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#4</w:t>
            </w:r>
          </w:p>
        </w:tc>
        <w:tc>
          <w:tcPr>
            <w:tcW w:w="279" w:type="pct"/>
            <w:shd w:val="clear" w:color="auto" w:fill="D9D9D9" w:themeFill="background1" w:themeFillShade="D9"/>
          </w:tcPr>
          <w:p w14:paraId="65511C5E"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#5</w:t>
            </w:r>
          </w:p>
        </w:tc>
        <w:tc>
          <w:tcPr>
            <w:tcW w:w="279" w:type="pct"/>
            <w:shd w:val="clear" w:color="auto" w:fill="D9D9D9" w:themeFill="background1" w:themeFillShade="D9"/>
          </w:tcPr>
          <w:p w14:paraId="73BA238D"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#6</w:t>
            </w:r>
          </w:p>
        </w:tc>
        <w:tc>
          <w:tcPr>
            <w:tcW w:w="279" w:type="pct"/>
            <w:shd w:val="clear" w:color="auto" w:fill="D9D9D9" w:themeFill="background1" w:themeFillShade="D9"/>
          </w:tcPr>
          <w:p w14:paraId="46F2DD85"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#7</w:t>
            </w:r>
          </w:p>
        </w:tc>
        <w:tc>
          <w:tcPr>
            <w:tcW w:w="279" w:type="pct"/>
            <w:shd w:val="clear" w:color="auto" w:fill="D9D9D9" w:themeFill="background1" w:themeFillShade="D9"/>
          </w:tcPr>
          <w:p w14:paraId="6E29168C"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#8</w:t>
            </w:r>
          </w:p>
        </w:tc>
        <w:tc>
          <w:tcPr>
            <w:tcW w:w="279" w:type="pct"/>
            <w:shd w:val="clear" w:color="auto" w:fill="D9D9D9" w:themeFill="background1" w:themeFillShade="D9"/>
          </w:tcPr>
          <w:p w14:paraId="3952F3E4"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#9</w:t>
            </w:r>
          </w:p>
        </w:tc>
      </w:tr>
      <w:tr w:rsidR="00E91B84" w:rsidRPr="00307FE3" w14:paraId="488BCEB4" w14:textId="77777777" w:rsidTr="00095CDB">
        <w:tc>
          <w:tcPr>
            <w:tcW w:w="5000" w:type="pct"/>
            <w:gridSpan w:val="14"/>
            <w:shd w:val="clear" w:color="auto" w:fill="FFFFFF" w:themeFill="background1"/>
          </w:tcPr>
          <w:p w14:paraId="03D61FBA"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b/>
                <w:color w:val="000000" w:themeColor="text1"/>
                <w:sz w:val="20"/>
                <w:szCs w:val="20"/>
              </w:rPr>
              <w:t>Dexcom RT-CGM</w:t>
            </w:r>
          </w:p>
        </w:tc>
      </w:tr>
      <w:tr w:rsidR="00E91B84" w:rsidRPr="00F31FE9" w14:paraId="3B0CFA3F" w14:textId="77777777" w:rsidTr="00371FE0">
        <w:tc>
          <w:tcPr>
            <w:tcW w:w="625" w:type="pct"/>
          </w:tcPr>
          <w:p w14:paraId="3685A8B5"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 xml:space="preserve">DIAMOND </w:t>
            </w:r>
          </w:p>
        </w:tc>
        <w:tc>
          <w:tcPr>
            <w:tcW w:w="336" w:type="pct"/>
          </w:tcPr>
          <w:p w14:paraId="40A5EF03"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 xml:space="preserve">RCT </w:t>
            </w:r>
          </w:p>
        </w:tc>
        <w:tc>
          <w:tcPr>
            <w:tcW w:w="511" w:type="pct"/>
          </w:tcPr>
          <w:p w14:paraId="38CF15F7"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 xml:space="preserve">3 months </w:t>
            </w:r>
          </w:p>
        </w:tc>
        <w:tc>
          <w:tcPr>
            <w:tcW w:w="592" w:type="pct"/>
          </w:tcPr>
          <w:p w14:paraId="7B8A7054"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 xml:space="preserve">IIT </w:t>
            </w:r>
          </w:p>
        </w:tc>
        <w:tc>
          <w:tcPr>
            <w:tcW w:w="429" w:type="pct"/>
          </w:tcPr>
          <w:p w14:paraId="09045149"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color w:val="000000" w:themeColor="text1"/>
                <w:sz w:val="20"/>
                <w:szCs w:val="20"/>
              </w:rPr>
              <w:t>−0.3%</w:t>
            </w:r>
          </w:p>
        </w:tc>
        <w:tc>
          <w:tcPr>
            <w:tcW w:w="279" w:type="pct"/>
            <w:shd w:val="clear" w:color="auto" w:fill="FFFFFF" w:themeFill="background1"/>
          </w:tcPr>
          <w:p w14:paraId="05AF2049" w14:textId="77777777" w:rsidR="00E91B84" w:rsidRPr="0092240A" w:rsidRDefault="00E91B84" w:rsidP="00152336">
            <w:pPr>
              <w:pStyle w:val="Instructionaltext"/>
              <w:spacing w:before="0" w:line="259" w:lineRule="auto"/>
              <w:rPr>
                <w:rFonts w:ascii="Arial Narrow" w:hAnsi="Arial Narrow"/>
                <w:color w:val="000000" w:themeColor="text1"/>
                <w:sz w:val="20"/>
                <w:szCs w:val="20"/>
              </w:rPr>
            </w:pPr>
            <w:r w:rsidRPr="0092240A">
              <w:rPr>
                <w:rFonts w:ascii="Segoe UI Symbol" w:hAnsi="Segoe UI Symbol" w:cs="Segoe UI Symbol"/>
                <w:color w:val="000000" w:themeColor="text1"/>
                <w:sz w:val="20"/>
                <w:szCs w:val="20"/>
              </w:rPr>
              <w:t>✓</w:t>
            </w:r>
          </w:p>
        </w:tc>
        <w:tc>
          <w:tcPr>
            <w:tcW w:w="279" w:type="pct"/>
            <w:shd w:val="clear" w:color="auto" w:fill="FFFFFF" w:themeFill="background1"/>
          </w:tcPr>
          <w:p w14:paraId="2A763DED" w14:textId="77777777" w:rsidR="00E91B84" w:rsidRPr="0092240A" w:rsidRDefault="00E91B84" w:rsidP="00152336">
            <w:pPr>
              <w:pStyle w:val="Instructionaltext"/>
              <w:spacing w:before="0" w:line="259" w:lineRule="auto"/>
              <w:rPr>
                <w:rFonts w:ascii="Arial Narrow" w:hAnsi="Arial Narrow"/>
                <w:color w:val="000000" w:themeColor="text1"/>
                <w:sz w:val="20"/>
                <w:szCs w:val="20"/>
              </w:rPr>
            </w:pPr>
            <w:r w:rsidRPr="0092240A">
              <w:rPr>
                <w:rFonts w:ascii="Segoe UI Symbol" w:hAnsi="Segoe UI Symbol" w:cs="Segoe UI Symbol"/>
                <w:color w:val="000000" w:themeColor="text1"/>
                <w:sz w:val="20"/>
                <w:szCs w:val="20"/>
              </w:rPr>
              <w:t>✓</w:t>
            </w:r>
          </w:p>
        </w:tc>
        <w:tc>
          <w:tcPr>
            <w:tcW w:w="279" w:type="pct"/>
            <w:shd w:val="clear" w:color="auto" w:fill="FFFFFF" w:themeFill="background1"/>
          </w:tcPr>
          <w:p w14:paraId="153289C9"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92240A">
              <w:rPr>
                <w:rFonts w:ascii="Arial Narrow" w:hAnsi="Arial Narrow"/>
                <w:color w:val="000000" w:themeColor="text1"/>
                <w:sz w:val="20"/>
                <w:szCs w:val="20"/>
              </w:rPr>
              <w:t>x</w:t>
            </w:r>
          </w:p>
        </w:tc>
        <w:tc>
          <w:tcPr>
            <w:tcW w:w="279" w:type="pct"/>
            <w:shd w:val="clear" w:color="auto" w:fill="FFFFFF" w:themeFill="background1"/>
          </w:tcPr>
          <w:p w14:paraId="4EDCB1F2"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1E35FA">
              <w:rPr>
                <w:rFonts w:ascii="Arial Narrow" w:hAnsi="Arial Narrow"/>
                <w:color w:val="000000" w:themeColor="text1"/>
                <w:sz w:val="20"/>
                <w:szCs w:val="20"/>
              </w:rPr>
              <w:t>x</w:t>
            </w:r>
          </w:p>
        </w:tc>
        <w:tc>
          <w:tcPr>
            <w:tcW w:w="279" w:type="pct"/>
            <w:shd w:val="clear" w:color="auto" w:fill="FFFFFF" w:themeFill="background1"/>
          </w:tcPr>
          <w:p w14:paraId="03A36729"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1E35FA">
              <w:rPr>
                <w:rFonts w:ascii="Segoe UI Symbol" w:hAnsi="Segoe UI Symbol" w:cs="Segoe UI Symbol"/>
                <w:color w:val="000000" w:themeColor="text1"/>
                <w:sz w:val="20"/>
                <w:szCs w:val="20"/>
              </w:rPr>
              <w:t>✓</w:t>
            </w:r>
          </w:p>
        </w:tc>
        <w:tc>
          <w:tcPr>
            <w:tcW w:w="279" w:type="pct"/>
            <w:shd w:val="clear" w:color="auto" w:fill="FFFFFF" w:themeFill="background1"/>
          </w:tcPr>
          <w:p w14:paraId="2EB945FF"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182DD5">
              <w:rPr>
                <w:rFonts w:ascii="Segoe UI Symbol" w:hAnsi="Segoe UI Symbol" w:cs="Segoe UI Symbol"/>
                <w:color w:val="000000" w:themeColor="text1"/>
                <w:sz w:val="20"/>
                <w:szCs w:val="20"/>
              </w:rPr>
              <w:t>✓</w:t>
            </w:r>
          </w:p>
        </w:tc>
        <w:tc>
          <w:tcPr>
            <w:tcW w:w="279" w:type="pct"/>
            <w:shd w:val="clear" w:color="auto" w:fill="FFFFFF" w:themeFill="background1"/>
          </w:tcPr>
          <w:p w14:paraId="14BF00A9"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182DD5">
              <w:rPr>
                <w:rFonts w:ascii="Arial Narrow" w:hAnsi="Arial Narrow"/>
                <w:color w:val="000000" w:themeColor="text1"/>
                <w:sz w:val="20"/>
                <w:szCs w:val="20"/>
              </w:rPr>
              <w:t>x</w:t>
            </w:r>
          </w:p>
        </w:tc>
        <w:tc>
          <w:tcPr>
            <w:tcW w:w="279" w:type="pct"/>
            <w:shd w:val="clear" w:color="auto" w:fill="FFFFFF" w:themeFill="background1"/>
          </w:tcPr>
          <w:p w14:paraId="7E890FA2"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182DD5">
              <w:rPr>
                <w:rFonts w:ascii="Arial Narrow" w:hAnsi="Arial Narrow"/>
                <w:color w:val="000000" w:themeColor="text1"/>
                <w:sz w:val="20"/>
                <w:szCs w:val="20"/>
              </w:rPr>
              <w:t>x</w:t>
            </w:r>
          </w:p>
        </w:tc>
        <w:tc>
          <w:tcPr>
            <w:tcW w:w="279" w:type="pct"/>
            <w:shd w:val="clear" w:color="auto" w:fill="FFFFFF" w:themeFill="background1"/>
          </w:tcPr>
          <w:p w14:paraId="6B29BB8D"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92240A">
              <w:rPr>
                <w:rFonts w:ascii="Arial Narrow" w:hAnsi="Arial Narrow"/>
                <w:color w:val="000000" w:themeColor="text1"/>
                <w:sz w:val="20"/>
                <w:szCs w:val="20"/>
              </w:rPr>
              <w:t>x</w:t>
            </w:r>
          </w:p>
        </w:tc>
      </w:tr>
      <w:tr w:rsidR="00E91B84" w:rsidRPr="00307FE3" w14:paraId="735906D9" w14:textId="77777777" w:rsidTr="00371FE0">
        <w:trPr>
          <w:trHeight w:val="123"/>
        </w:trPr>
        <w:tc>
          <w:tcPr>
            <w:tcW w:w="625" w:type="pct"/>
          </w:tcPr>
          <w:p w14:paraId="7BE91D9F"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MOBILE</w:t>
            </w:r>
          </w:p>
        </w:tc>
        <w:tc>
          <w:tcPr>
            <w:tcW w:w="336" w:type="pct"/>
          </w:tcPr>
          <w:p w14:paraId="39225BB1"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RCT</w:t>
            </w:r>
          </w:p>
        </w:tc>
        <w:tc>
          <w:tcPr>
            <w:tcW w:w="511" w:type="pct"/>
          </w:tcPr>
          <w:p w14:paraId="762463BF"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8 months </w:t>
            </w:r>
          </w:p>
        </w:tc>
        <w:tc>
          <w:tcPr>
            <w:tcW w:w="592" w:type="pct"/>
          </w:tcPr>
          <w:p w14:paraId="6D139D68"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Non-IIT </w:t>
            </w:r>
          </w:p>
        </w:tc>
        <w:tc>
          <w:tcPr>
            <w:tcW w:w="429" w:type="pct"/>
          </w:tcPr>
          <w:p w14:paraId="248A84E9" w14:textId="77777777" w:rsidR="00E91B84" w:rsidRPr="00101AE3" w:rsidRDefault="00E91B84" w:rsidP="00152336">
            <w:pPr>
              <w:pStyle w:val="Instructionaltext"/>
              <w:spacing w:before="0" w:line="259" w:lineRule="auto"/>
              <w:rPr>
                <w:rFonts w:ascii="Arial Narrow" w:hAnsi="Arial Narrow"/>
                <w:b/>
                <w:color w:val="000000" w:themeColor="text1"/>
                <w:sz w:val="20"/>
                <w:szCs w:val="20"/>
              </w:rPr>
            </w:pPr>
            <w:r w:rsidRPr="00101AE3">
              <w:rPr>
                <w:rFonts w:ascii="Arial Narrow" w:hAnsi="Arial Narrow"/>
                <w:color w:val="000000" w:themeColor="text1"/>
                <w:sz w:val="20"/>
                <w:szCs w:val="20"/>
              </w:rPr>
              <w:t>−0.4%</w:t>
            </w:r>
          </w:p>
        </w:tc>
        <w:tc>
          <w:tcPr>
            <w:tcW w:w="279" w:type="pct"/>
            <w:shd w:val="clear" w:color="auto" w:fill="FFFFFF" w:themeFill="background1"/>
          </w:tcPr>
          <w:p w14:paraId="7119A84C"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05A5AA8"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25549A00"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39A4C9F8"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1E4FA67"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4866E396"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2E35C4BE"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1E35FA">
              <w:rPr>
                <w:rFonts w:ascii="Segoe UI Symbol" w:hAnsi="Segoe UI Symbol" w:cs="Segoe UI Symbol"/>
                <w:color w:val="000000" w:themeColor="text1"/>
                <w:sz w:val="20"/>
                <w:szCs w:val="20"/>
              </w:rPr>
              <w:t>✓</w:t>
            </w:r>
          </w:p>
        </w:tc>
        <w:tc>
          <w:tcPr>
            <w:tcW w:w="279" w:type="pct"/>
            <w:shd w:val="clear" w:color="auto" w:fill="FFFFFF" w:themeFill="background1"/>
          </w:tcPr>
          <w:p w14:paraId="5FC96FEF"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4DD80588"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r>
      <w:tr w:rsidR="00E91B84" w:rsidRPr="00702717" w14:paraId="133E72F1" w14:textId="77777777" w:rsidTr="00371FE0">
        <w:tc>
          <w:tcPr>
            <w:tcW w:w="625" w:type="pct"/>
          </w:tcPr>
          <w:p w14:paraId="3968A7DF"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 xml:space="preserve">Steno2tech </w:t>
            </w:r>
          </w:p>
        </w:tc>
        <w:tc>
          <w:tcPr>
            <w:tcW w:w="336" w:type="pct"/>
          </w:tcPr>
          <w:p w14:paraId="7EFCE55B"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RCT</w:t>
            </w:r>
          </w:p>
        </w:tc>
        <w:tc>
          <w:tcPr>
            <w:tcW w:w="511" w:type="pct"/>
          </w:tcPr>
          <w:p w14:paraId="46F7E1F9"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 xml:space="preserve">12 months </w:t>
            </w:r>
          </w:p>
        </w:tc>
        <w:tc>
          <w:tcPr>
            <w:tcW w:w="592" w:type="pct"/>
          </w:tcPr>
          <w:p w14:paraId="2EA4E87F"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307FE3">
              <w:rPr>
                <w:rFonts w:ascii="Arial Narrow" w:hAnsi="Arial Narrow"/>
                <w:color w:val="000000" w:themeColor="text1"/>
                <w:sz w:val="20"/>
                <w:szCs w:val="20"/>
              </w:rPr>
              <w:t>Non-IIT (83%)</w:t>
            </w:r>
          </w:p>
        </w:tc>
        <w:tc>
          <w:tcPr>
            <w:tcW w:w="429" w:type="pct"/>
          </w:tcPr>
          <w:p w14:paraId="07781E37" w14:textId="77777777" w:rsidR="00E91B84" w:rsidRPr="00307FE3" w:rsidRDefault="00E91B84" w:rsidP="00152336">
            <w:pPr>
              <w:pStyle w:val="Instructionaltext"/>
              <w:spacing w:before="0" w:line="259" w:lineRule="auto"/>
              <w:rPr>
                <w:rFonts w:ascii="Arial Narrow" w:hAnsi="Arial Narrow"/>
                <w:b/>
                <w:color w:val="000000" w:themeColor="text1"/>
                <w:sz w:val="20"/>
                <w:szCs w:val="20"/>
              </w:rPr>
            </w:pPr>
            <w:r w:rsidRPr="00307FE3">
              <w:rPr>
                <w:rFonts w:ascii="Arial Narrow" w:hAnsi="Arial Narrow"/>
                <w:color w:val="000000" w:themeColor="text1"/>
                <w:sz w:val="20"/>
                <w:szCs w:val="20"/>
              </w:rPr>
              <w:t>−0.9%</w:t>
            </w:r>
          </w:p>
        </w:tc>
        <w:tc>
          <w:tcPr>
            <w:tcW w:w="279" w:type="pct"/>
            <w:shd w:val="clear" w:color="auto" w:fill="FFFFFF" w:themeFill="background1"/>
          </w:tcPr>
          <w:p w14:paraId="262BE1CC"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7C822353"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27922DA7"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2DEE14F2"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21A64103"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218D34E"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D6F0831"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B1084">
              <w:rPr>
                <w:rFonts w:ascii="Segoe UI Symbol" w:hAnsi="Segoe UI Symbol" w:cs="Segoe UI Symbol"/>
                <w:color w:val="000000" w:themeColor="text1"/>
                <w:sz w:val="20"/>
                <w:szCs w:val="20"/>
              </w:rPr>
              <w:t>✓</w:t>
            </w:r>
          </w:p>
        </w:tc>
        <w:tc>
          <w:tcPr>
            <w:tcW w:w="279" w:type="pct"/>
            <w:shd w:val="clear" w:color="auto" w:fill="FFFFFF" w:themeFill="background1"/>
          </w:tcPr>
          <w:p w14:paraId="779A03C3"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6A8F3704"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182DD5">
              <w:rPr>
                <w:rFonts w:ascii="Segoe UI Symbol" w:hAnsi="Segoe UI Symbol" w:cs="Segoe UI Symbol"/>
                <w:color w:val="000000" w:themeColor="text1"/>
                <w:sz w:val="20"/>
                <w:szCs w:val="20"/>
              </w:rPr>
              <w:t>✓</w:t>
            </w:r>
          </w:p>
        </w:tc>
      </w:tr>
      <w:tr w:rsidR="00E91B84" w:rsidRPr="00131861" w14:paraId="459023C8" w14:textId="77777777" w:rsidTr="00371FE0">
        <w:tc>
          <w:tcPr>
            <w:tcW w:w="625" w:type="pct"/>
          </w:tcPr>
          <w:p w14:paraId="5DCC3CE6"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Karter (2021)</w:t>
            </w:r>
          </w:p>
        </w:tc>
        <w:tc>
          <w:tcPr>
            <w:tcW w:w="336" w:type="pct"/>
          </w:tcPr>
          <w:p w14:paraId="7F4929FA"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RWE</w:t>
            </w:r>
          </w:p>
        </w:tc>
        <w:tc>
          <w:tcPr>
            <w:tcW w:w="511" w:type="pct"/>
          </w:tcPr>
          <w:p w14:paraId="34DC67A3"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 xml:space="preserve">12 months </w:t>
            </w:r>
          </w:p>
        </w:tc>
        <w:tc>
          <w:tcPr>
            <w:tcW w:w="592" w:type="pct"/>
          </w:tcPr>
          <w:p w14:paraId="0680AFF6"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 xml:space="preserve">IIT </w:t>
            </w:r>
          </w:p>
        </w:tc>
        <w:tc>
          <w:tcPr>
            <w:tcW w:w="429" w:type="pct"/>
          </w:tcPr>
          <w:p w14:paraId="11EB1862"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−0.56%</w:t>
            </w:r>
          </w:p>
        </w:tc>
        <w:tc>
          <w:tcPr>
            <w:tcW w:w="279" w:type="pct"/>
            <w:shd w:val="clear" w:color="auto" w:fill="FFFFFF" w:themeFill="background1"/>
          </w:tcPr>
          <w:p w14:paraId="03131AEE"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EFCE033"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1631BFCD"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D97D997"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15833F96"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672B2D24"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7E6F9B23"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1A9F7E7C"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73C41CC2"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r>
      <w:tr w:rsidR="00E91B84" w:rsidRPr="00131861" w14:paraId="776FBABD" w14:textId="77777777" w:rsidTr="00095CDB">
        <w:tc>
          <w:tcPr>
            <w:tcW w:w="5000" w:type="pct"/>
            <w:gridSpan w:val="14"/>
            <w:shd w:val="clear" w:color="auto" w:fill="FFFFFF" w:themeFill="background1"/>
          </w:tcPr>
          <w:p w14:paraId="45B97950" w14:textId="77777777" w:rsidR="00E91B84" w:rsidRPr="00131861" w:rsidRDefault="00E91B84" w:rsidP="00152336">
            <w:pPr>
              <w:pStyle w:val="Instructionaltext"/>
              <w:spacing w:before="0" w:line="259" w:lineRule="auto"/>
              <w:rPr>
                <w:rFonts w:ascii="Arial Narrow" w:hAnsi="Arial Narrow"/>
                <w:b/>
                <w:color w:val="000000" w:themeColor="text1"/>
                <w:sz w:val="20"/>
                <w:szCs w:val="20"/>
              </w:rPr>
            </w:pPr>
            <w:r w:rsidRPr="00131861">
              <w:rPr>
                <w:rFonts w:ascii="Arial Narrow" w:hAnsi="Arial Narrow"/>
                <w:b/>
                <w:color w:val="000000" w:themeColor="text1"/>
                <w:sz w:val="20"/>
                <w:szCs w:val="20"/>
              </w:rPr>
              <w:t>FSL/FGM</w:t>
            </w:r>
          </w:p>
        </w:tc>
      </w:tr>
      <w:tr w:rsidR="00E91B84" w:rsidRPr="00F31FE9" w14:paraId="662A1144" w14:textId="77777777" w:rsidTr="00371FE0">
        <w:tc>
          <w:tcPr>
            <w:tcW w:w="625" w:type="pct"/>
          </w:tcPr>
          <w:p w14:paraId="145BEC35"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Haak (2017)</w:t>
            </w:r>
          </w:p>
        </w:tc>
        <w:tc>
          <w:tcPr>
            <w:tcW w:w="336" w:type="pct"/>
          </w:tcPr>
          <w:p w14:paraId="2581775C"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RCT</w:t>
            </w:r>
          </w:p>
        </w:tc>
        <w:tc>
          <w:tcPr>
            <w:tcW w:w="511" w:type="pct"/>
          </w:tcPr>
          <w:p w14:paraId="72CCD08C"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6 months</w:t>
            </w:r>
          </w:p>
        </w:tc>
        <w:tc>
          <w:tcPr>
            <w:tcW w:w="592" w:type="pct"/>
          </w:tcPr>
          <w:p w14:paraId="366979AE"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 xml:space="preserve">IIT </w:t>
            </w:r>
          </w:p>
        </w:tc>
        <w:tc>
          <w:tcPr>
            <w:tcW w:w="429" w:type="pct"/>
          </w:tcPr>
          <w:p w14:paraId="076DD491"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0.03%</w:t>
            </w:r>
          </w:p>
        </w:tc>
        <w:tc>
          <w:tcPr>
            <w:tcW w:w="279" w:type="pct"/>
            <w:shd w:val="clear" w:color="auto" w:fill="FFFFFF" w:themeFill="background1"/>
          </w:tcPr>
          <w:p w14:paraId="1B8075AD"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2A2F2DC3"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6EFB695B"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3E05A7E4"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1E35FA">
              <w:rPr>
                <w:rFonts w:ascii="Segoe UI Symbol" w:hAnsi="Segoe UI Symbol" w:cs="Segoe UI Symbol"/>
                <w:color w:val="000000" w:themeColor="text1"/>
                <w:sz w:val="20"/>
                <w:szCs w:val="20"/>
              </w:rPr>
              <w:t>✓</w:t>
            </w:r>
          </w:p>
        </w:tc>
        <w:tc>
          <w:tcPr>
            <w:tcW w:w="279" w:type="pct"/>
            <w:shd w:val="clear" w:color="auto" w:fill="FFFFFF" w:themeFill="background1"/>
          </w:tcPr>
          <w:p w14:paraId="7A06BBF4" w14:textId="77777777" w:rsidR="00E91B84" w:rsidRPr="00307FE3" w:rsidRDefault="00E91B84" w:rsidP="00152336">
            <w:pPr>
              <w:pStyle w:val="Instructionaltext"/>
              <w:spacing w:before="0" w:line="259" w:lineRule="auto"/>
              <w:rPr>
                <w:rFonts w:ascii="Arial Narrow" w:hAnsi="Arial Narrow"/>
                <w:color w:val="000000" w:themeColor="text1"/>
                <w:sz w:val="20"/>
                <w:szCs w:val="20"/>
              </w:rPr>
            </w:pPr>
            <w:r w:rsidRPr="001E35FA">
              <w:rPr>
                <w:rFonts w:ascii="Segoe UI Symbol" w:hAnsi="Segoe UI Symbol" w:cs="Segoe UI Symbol"/>
                <w:color w:val="000000" w:themeColor="text1"/>
                <w:sz w:val="20"/>
                <w:szCs w:val="20"/>
              </w:rPr>
              <w:t>✓</w:t>
            </w:r>
          </w:p>
        </w:tc>
        <w:tc>
          <w:tcPr>
            <w:tcW w:w="279" w:type="pct"/>
            <w:shd w:val="clear" w:color="auto" w:fill="FFFFFF" w:themeFill="background1"/>
          </w:tcPr>
          <w:p w14:paraId="6F656F95"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21768F5B"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C666302"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82DD5">
              <w:rPr>
                <w:rFonts w:ascii="Arial Narrow" w:hAnsi="Arial Narrow"/>
                <w:color w:val="000000" w:themeColor="text1"/>
                <w:sz w:val="20"/>
                <w:szCs w:val="20"/>
              </w:rPr>
              <w:t>x</w:t>
            </w:r>
          </w:p>
        </w:tc>
        <w:tc>
          <w:tcPr>
            <w:tcW w:w="279" w:type="pct"/>
            <w:shd w:val="clear" w:color="auto" w:fill="FFFFFF" w:themeFill="background1"/>
          </w:tcPr>
          <w:p w14:paraId="5EF13278"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82DD5">
              <w:rPr>
                <w:rFonts w:ascii="Arial Narrow" w:hAnsi="Arial Narrow"/>
                <w:color w:val="000000" w:themeColor="text1"/>
                <w:sz w:val="20"/>
                <w:szCs w:val="20"/>
              </w:rPr>
              <w:t>x</w:t>
            </w:r>
          </w:p>
        </w:tc>
      </w:tr>
      <w:tr w:rsidR="00E91B84" w:rsidRPr="00F31FE9" w14:paraId="25B10A9E" w14:textId="77777777" w:rsidTr="00371FE0">
        <w:tc>
          <w:tcPr>
            <w:tcW w:w="625" w:type="pct"/>
          </w:tcPr>
          <w:p w14:paraId="76E53837"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Yaron (2019)</w:t>
            </w:r>
          </w:p>
        </w:tc>
        <w:tc>
          <w:tcPr>
            <w:tcW w:w="336" w:type="pct"/>
          </w:tcPr>
          <w:p w14:paraId="52AA8001"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RCT </w:t>
            </w:r>
          </w:p>
        </w:tc>
        <w:tc>
          <w:tcPr>
            <w:tcW w:w="511" w:type="pct"/>
          </w:tcPr>
          <w:p w14:paraId="71FD8119"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10 weeks </w:t>
            </w:r>
          </w:p>
        </w:tc>
        <w:tc>
          <w:tcPr>
            <w:tcW w:w="592" w:type="pct"/>
          </w:tcPr>
          <w:p w14:paraId="254E9B03"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IIT </w:t>
            </w:r>
          </w:p>
        </w:tc>
        <w:tc>
          <w:tcPr>
            <w:tcW w:w="429" w:type="pct"/>
          </w:tcPr>
          <w:p w14:paraId="539D908A"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−0.49%</w:t>
            </w:r>
          </w:p>
        </w:tc>
        <w:tc>
          <w:tcPr>
            <w:tcW w:w="279" w:type="pct"/>
            <w:shd w:val="clear" w:color="auto" w:fill="FFFFFF" w:themeFill="background1"/>
          </w:tcPr>
          <w:p w14:paraId="5EBEDECA" w14:textId="77777777" w:rsidR="00E91B84" w:rsidRPr="00182DD5" w:rsidRDefault="00E91B84" w:rsidP="00152336">
            <w:pPr>
              <w:pStyle w:val="Instructionaltext"/>
              <w:spacing w:before="0" w:line="259" w:lineRule="auto"/>
              <w:rPr>
                <w:rFonts w:ascii="Arial Narrow" w:hAnsi="Arial Narrow"/>
                <w:color w:val="000000" w:themeColor="text1"/>
                <w:sz w:val="20"/>
                <w:szCs w:val="20"/>
              </w:rPr>
            </w:pPr>
            <w:r w:rsidRPr="00182DD5">
              <w:rPr>
                <w:rFonts w:ascii="Arial Narrow" w:hAnsi="Arial Narrow"/>
                <w:color w:val="000000" w:themeColor="text1"/>
                <w:sz w:val="20"/>
                <w:szCs w:val="20"/>
              </w:rPr>
              <w:t>x</w:t>
            </w:r>
          </w:p>
        </w:tc>
        <w:tc>
          <w:tcPr>
            <w:tcW w:w="279" w:type="pct"/>
            <w:shd w:val="clear" w:color="auto" w:fill="FFFFFF" w:themeFill="background1"/>
          </w:tcPr>
          <w:p w14:paraId="5B75D15C" w14:textId="77777777" w:rsidR="00E91B84" w:rsidRPr="00182DD5" w:rsidRDefault="00E91B84" w:rsidP="00152336">
            <w:pPr>
              <w:pStyle w:val="Instructionaltext"/>
              <w:spacing w:before="0" w:line="259" w:lineRule="auto"/>
              <w:rPr>
                <w:rFonts w:ascii="Arial Narrow" w:hAnsi="Arial Narrow"/>
                <w:color w:val="000000" w:themeColor="text1"/>
                <w:sz w:val="20"/>
                <w:szCs w:val="20"/>
              </w:rPr>
            </w:pPr>
            <w:r w:rsidRPr="00182DD5">
              <w:rPr>
                <w:rFonts w:ascii="Arial Narrow" w:hAnsi="Arial Narrow"/>
                <w:color w:val="000000" w:themeColor="text1"/>
                <w:sz w:val="20"/>
                <w:szCs w:val="20"/>
              </w:rPr>
              <w:t>x</w:t>
            </w:r>
          </w:p>
        </w:tc>
        <w:tc>
          <w:tcPr>
            <w:tcW w:w="279" w:type="pct"/>
            <w:shd w:val="clear" w:color="auto" w:fill="FFFFFF" w:themeFill="background1"/>
          </w:tcPr>
          <w:p w14:paraId="51ED986D"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82DD5">
              <w:rPr>
                <w:rFonts w:ascii="Segoe UI Symbol" w:hAnsi="Segoe UI Symbol" w:cs="Segoe UI Symbol"/>
                <w:color w:val="000000" w:themeColor="text1"/>
                <w:sz w:val="20"/>
                <w:szCs w:val="20"/>
              </w:rPr>
              <w:t>✓</w:t>
            </w:r>
          </w:p>
        </w:tc>
        <w:tc>
          <w:tcPr>
            <w:tcW w:w="279" w:type="pct"/>
            <w:shd w:val="clear" w:color="auto" w:fill="FFFFFF" w:themeFill="background1"/>
          </w:tcPr>
          <w:p w14:paraId="22FD7DEB"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82DD5">
              <w:rPr>
                <w:rFonts w:ascii="Segoe UI Symbol" w:hAnsi="Segoe UI Symbol" w:cs="Segoe UI Symbol"/>
                <w:color w:val="000000" w:themeColor="text1"/>
                <w:sz w:val="20"/>
                <w:szCs w:val="20"/>
              </w:rPr>
              <w:t>✓</w:t>
            </w:r>
          </w:p>
        </w:tc>
        <w:tc>
          <w:tcPr>
            <w:tcW w:w="279" w:type="pct"/>
            <w:shd w:val="clear" w:color="auto" w:fill="FFFFFF" w:themeFill="background1"/>
          </w:tcPr>
          <w:p w14:paraId="71D45E8F"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182DD5">
              <w:rPr>
                <w:rFonts w:ascii="Segoe UI Symbol" w:hAnsi="Segoe UI Symbol" w:cs="Segoe UI Symbol"/>
                <w:color w:val="000000" w:themeColor="text1"/>
                <w:sz w:val="20"/>
                <w:szCs w:val="20"/>
              </w:rPr>
              <w:t>✓</w:t>
            </w:r>
          </w:p>
        </w:tc>
        <w:tc>
          <w:tcPr>
            <w:tcW w:w="279" w:type="pct"/>
            <w:shd w:val="clear" w:color="auto" w:fill="FFFFFF" w:themeFill="background1"/>
          </w:tcPr>
          <w:p w14:paraId="7B3C8B02"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5CADBDB1"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105313C8"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E2AA962"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r>
      <w:tr w:rsidR="00E91B84" w:rsidRPr="00702717" w14:paraId="62003B4A" w14:textId="77777777" w:rsidTr="00371FE0">
        <w:tc>
          <w:tcPr>
            <w:tcW w:w="625" w:type="pct"/>
          </w:tcPr>
          <w:p w14:paraId="13F10619"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Bosi (2022)</w:t>
            </w:r>
          </w:p>
        </w:tc>
        <w:tc>
          <w:tcPr>
            <w:tcW w:w="336" w:type="pct"/>
          </w:tcPr>
          <w:p w14:paraId="2083B77D"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RWE </w:t>
            </w:r>
          </w:p>
        </w:tc>
        <w:tc>
          <w:tcPr>
            <w:tcW w:w="511" w:type="pct"/>
          </w:tcPr>
          <w:p w14:paraId="7822F80B" w14:textId="236919FA"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3</w:t>
            </w:r>
            <w:r w:rsidR="00717101">
              <w:rPr>
                <w:rFonts w:ascii="Arial Narrow" w:hAnsi="Arial Narrow"/>
                <w:color w:val="000000" w:themeColor="text1"/>
                <w:sz w:val="20"/>
                <w:szCs w:val="20"/>
              </w:rPr>
              <w:t>–</w:t>
            </w:r>
            <w:r w:rsidRPr="00101AE3">
              <w:rPr>
                <w:rFonts w:ascii="Arial Narrow" w:hAnsi="Arial Narrow"/>
                <w:color w:val="000000" w:themeColor="text1"/>
                <w:sz w:val="20"/>
                <w:szCs w:val="20"/>
              </w:rPr>
              <w:t>6 months</w:t>
            </w:r>
          </w:p>
        </w:tc>
        <w:tc>
          <w:tcPr>
            <w:tcW w:w="592" w:type="pct"/>
          </w:tcPr>
          <w:p w14:paraId="7092C2B1"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 xml:space="preserve">Non-IIT </w:t>
            </w:r>
          </w:p>
        </w:tc>
        <w:tc>
          <w:tcPr>
            <w:tcW w:w="429" w:type="pct"/>
          </w:tcPr>
          <w:p w14:paraId="4943F484"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101AE3">
              <w:rPr>
                <w:rFonts w:ascii="Arial Narrow" w:hAnsi="Arial Narrow"/>
                <w:color w:val="000000" w:themeColor="text1"/>
                <w:sz w:val="20"/>
                <w:szCs w:val="20"/>
              </w:rPr>
              <w:t>−0.3%</w:t>
            </w:r>
          </w:p>
        </w:tc>
        <w:tc>
          <w:tcPr>
            <w:tcW w:w="279" w:type="pct"/>
            <w:shd w:val="clear" w:color="auto" w:fill="FFFFFF" w:themeFill="background1"/>
          </w:tcPr>
          <w:p w14:paraId="4F083B4D"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9D7E087"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39CD4F92"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1472542E"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01142EC6"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7E530F08"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374B372" w14:textId="77777777" w:rsidR="00E91B84" w:rsidRPr="00101AE3"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3F150670"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24A4D15A"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r>
      <w:tr w:rsidR="00E91B84" w:rsidRPr="00131861" w14:paraId="3EFDCCE9" w14:textId="77777777" w:rsidTr="00371FE0">
        <w:tc>
          <w:tcPr>
            <w:tcW w:w="625" w:type="pct"/>
          </w:tcPr>
          <w:p w14:paraId="3DEF7EAB"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Nathanson (2025a)</w:t>
            </w:r>
          </w:p>
        </w:tc>
        <w:tc>
          <w:tcPr>
            <w:tcW w:w="336" w:type="pct"/>
          </w:tcPr>
          <w:p w14:paraId="27DB3878"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RWE</w:t>
            </w:r>
          </w:p>
        </w:tc>
        <w:tc>
          <w:tcPr>
            <w:tcW w:w="511" w:type="pct"/>
          </w:tcPr>
          <w:p w14:paraId="20121EF9"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24 months</w:t>
            </w:r>
          </w:p>
        </w:tc>
        <w:tc>
          <w:tcPr>
            <w:tcW w:w="592" w:type="pct"/>
          </w:tcPr>
          <w:p w14:paraId="723B05F4"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 xml:space="preserve">IIT </w:t>
            </w:r>
          </w:p>
        </w:tc>
        <w:tc>
          <w:tcPr>
            <w:tcW w:w="429" w:type="pct"/>
          </w:tcPr>
          <w:p w14:paraId="5D605720"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−0.33%</w:t>
            </w:r>
          </w:p>
        </w:tc>
        <w:tc>
          <w:tcPr>
            <w:tcW w:w="279" w:type="pct"/>
            <w:shd w:val="clear" w:color="auto" w:fill="FFFFFF" w:themeFill="background1"/>
          </w:tcPr>
          <w:p w14:paraId="53FB5FA2"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6D90B11A" w14:textId="77777777" w:rsidR="00E91B84" w:rsidRPr="004366F5"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62E717D2"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689CA59"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7F24AA38" w14:textId="77777777" w:rsidR="00E91B84" w:rsidRPr="00702717"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3CA32A25"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5A949466"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110DE76C"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D73CFF5" w14:textId="77777777" w:rsidR="00E91B84" w:rsidRPr="00131861" w:rsidRDefault="00E91B84" w:rsidP="00152336">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r>
      <w:tr w:rsidR="00E91B84" w:rsidRPr="00702717" w14:paraId="1707C0FF" w14:textId="77777777" w:rsidTr="00371FE0">
        <w:tc>
          <w:tcPr>
            <w:tcW w:w="625" w:type="pct"/>
          </w:tcPr>
          <w:p w14:paraId="29AAD77E"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Nathanson (2025a)</w:t>
            </w:r>
          </w:p>
        </w:tc>
        <w:tc>
          <w:tcPr>
            <w:tcW w:w="336" w:type="pct"/>
          </w:tcPr>
          <w:p w14:paraId="1A19D63E"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 xml:space="preserve">RWE </w:t>
            </w:r>
          </w:p>
        </w:tc>
        <w:tc>
          <w:tcPr>
            <w:tcW w:w="511" w:type="pct"/>
          </w:tcPr>
          <w:p w14:paraId="6C3CB75A"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24 months</w:t>
            </w:r>
          </w:p>
        </w:tc>
        <w:tc>
          <w:tcPr>
            <w:tcW w:w="592" w:type="pct"/>
          </w:tcPr>
          <w:p w14:paraId="7052E5B0"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Non-IIT</w:t>
            </w:r>
          </w:p>
        </w:tc>
        <w:tc>
          <w:tcPr>
            <w:tcW w:w="429" w:type="pct"/>
          </w:tcPr>
          <w:p w14:paraId="374283A7"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131861">
              <w:rPr>
                <w:rFonts w:ascii="Arial Narrow" w:hAnsi="Arial Narrow"/>
                <w:color w:val="000000" w:themeColor="text1"/>
                <w:sz w:val="20"/>
                <w:szCs w:val="20"/>
              </w:rPr>
              <w:t>−0.34%</w:t>
            </w:r>
          </w:p>
        </w:tc>
        <w:tc>
          <w:tcPr>
            <w:tcW w:w="279" w:type="pct"/>
            <w:shd w:val="clear" w:color="auto" w:fill="FFFFFF" w:themeFill="background1"/>
          </w:tcPr>
          <w:p w14:paraId="0DC17B1B"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29C81B1"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92836B2"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76C72ADE"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51C48F8B"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7CC39BF0"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77423B39" w14:textId="77777777" w:rsidR="00E91B84" w:rsidRPr="00131861"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x</w:t>
            </w:r>
          </w:p>
        </w:tc>
        <w:tc>
          <w:tcPr>
            <w:tcW w:w="279" w:type="pct"/>
            <w:shd w:val="clear" w:color="auto" w:fill="FFFFFF" w:themeFill="background1"/>
          </w:tcPr>
          <w:p w14:paraId="42E6EF6B" w14:textId="77777777" w:rsidR="00E91B84" w:rsidRPr="00307FE3" w:rsidRDefault="00E91B84" w:rsidP="00D852D3">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c>
          <w:tcPr>
            <w:tcW w:w="279" w:type="pct"/>
            <w:shd w:val="clear" w:color="auto" w:fill="FFFFFF" w:themeFill="background1"/>
          </w:tcPr>
          <w:p w14:paraId="307BC380"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4366F5">
              <w:rPr>
                <w:rFonts w:ascii="Segoe UI Symbol" w:hAnsi="Segoe UI Symbol" w:cs="Segoe UI Symbol"/>
                <w:color w:val="000000" w:themeColor="text1"/>
                <w:sz w:val="20"/>
                <w:szCs w:val="20"/>
              </w:rPr>
              <w:t>✓</w:t>
            </w:r>
          </w:p>
        </w:tc>
      </w:tr>
      <w:tr w:rsidR="00E91B84" w:rsidRPr="00702717" w14:paraId="4FF64E14" w14:textId="77777777" w:rsidTr="00371FE0">
        <w:tc>
          <w:tcPr>
            <w:tcW w:w="2064" w:type="pct"/>
            <w:gridSpan w:val="4"/>
          </w:tcPr>
          <w:p w14:paraId="1F83B2A8" w14:textId="77777777" w:rsidR="00E91B84" w:rsidRPr="00046556" w:rsidRDefault="00E91B84" w:rsidP="00D852D3">
            <w:pPr>
              <w:pStyle w:val="Instructionaltext"/>
              <w:spacing w:before="0" w:line="259" w:lineRule="auto"/>
              <w:rPr>
                <w:rFonts w:ascii="Arial Narrow" w:hAnsi="Arial Narrow"/>
                <w:color w:val="000000" w:themeColor="text1"/>
                <w:sz w:val="20"/>
                <w:szCs w:val="20"/>
              </w:rPr>
            </w:pPr>
            <w:r w:rsidRPr="00046556">
              <w:rPr>
                <w:rFonts w:ascii="Arial Narrow" w:hAnsi="Arial Narrow"/>
                <w:color w:val="000000" w:themeColor="text1"/>
                <w:sz w:val="20"/>
                <w:szCs w:val="20"/>
              </w:rPr>
              <w:t xml:space="preserve">Total number (N) of studies included </w:t>
            </w:r>
          </w:p>
        </w:tc>
        <w:tc>
          <w:tcPr>
            <w:tcW w:w="429" w:type="pct"/>
          </w:tcPr>
          <w:p w14:paraId="1A699D77"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9</w:t>
            </w:r>
          </w:p>
        </w:tc>
        <w:tc>
          <w:tcPr>
            <w:tcW w:w="279" w:type="pct"/>
            <w:shd w:val="clear" w:color="auto" w:fill="FFFFFF" w:themeFill="background1"/>
          </w:tcPr>
          <w:p w14:paraId="60CAAE2D"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1</w:t>
            </w:r>
          </w:p>
        </w:tc>
        <w:tc>
          <w:tcPr>
            <w:tcW w:w="279" w:type="pct"/>
            <w:shd w:val="clear" w:color="auto" w:fill="FFFFFF" w:themeFill="background1"/>
          </w:tcPr>
          <w:p w14:paraId="5A88ED48"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2</w:t>
            </w:r>
          </w:p>
        </w:tc>
        <w:tc>
          <w:tcPr>
            <w:tcW w:w="279" w:type="pct"/>
            <w:shd w:val="clear" w:color="auto" w:fill="FFFFFF" w:themeFill="background1"/>
          </w:tcPr>
          <w:p w14:paraId="5203C370"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2</w:t>
            </w:r>
          </w:p>
        </w:tc>
        <w:tc>
          <w:tcPr>
            <w:tcW w:w="279" w:type="pct"/>
            <w:shd w:val="clear" w:color="auto" w:fill="FFFFFF" w:themeFill="background1"/>
          </w:tcPr>
          <w:p w14:paraId="756D892F"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3</w:t>
            </w:r>
          </w:p>
        </w:tc>
        <w:tc>
          <w:tcPr>
            <w:tcW w:w="279" w:type="pct"/>
            <w:shd w:val="clear" w:color="auto" w:fill="FFFFFF" w:themeFill="background1"/>
          </w:tcPr>
          <w:p w14:paraId="0634C6B1"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3</w:t>
            </w:r>
          </w:p>
        </w:tc>
        <w:tc>
          <w:tcPr>
            <w:tcW w:w="279" w:type="pct"/>
            <w:shd w:val="clear" w:color="auto" w:fill="FFFFFF" w:themeFill="background1"/>
          </w:tcPr>
          <w:p w14:paraId="31B71618"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5</w:t>
            </w:r>
          </w:p>
        </w:tc>
        <w:tc>
          <w:tcPr>
            <w:tcW w:w="279" w:type="pct"/>
            <w:shd w:val="clear" w:color="auto" w:fill="FFFFFF" w:themeFill="background1"/>
          </w:tcPr>
          <w:p w14:paraId="57D76D7C"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2</w:t>
            </w:r>
          </w:p>
        </w:tc>
        <w:tc>
          <w:tcPr>
            <w:tcW w:w="279" w:type="pct"/>
            <w:shd w:val="clear" w:color="auto" w:fill="FFFFFF" w:themeFill="background1"/>
          </w:tcPr>
          <w:p w14:paraId="7E9014EC"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2</w:t>
            </w:r>
          </w:p>
        </w:tc>
        <w:tc>
          <w:tcPr>
            <w:tcW w:w="279" w:type="pct"/>
            <w:shd w:val="clear" w:color="auto" w:fill="FFFFFF" w:themeFill="background1"/>
          </w:tcPr>
          <w:p w14:paraId="787F8AA2" w14:textId="77777777" w:rsidR="00E91B84" w:rsidRPr="00702717" w:rsidRDefault="00E91B84" w:rsidP="00D852D3">
            <w:pPr>
              <w:pStyle w:val="Instructionaltext"/>
              <w:spacing w:before="0" w:line="259" w:lineRule="auto"/>
              <w:rPr>
                <w:rFonts w:ascii="Arial Narrow" w:hAnsi="Arial Narrow"/>
                <w:color w:val="000000" w:themeColor="text1"/>
                <w:sz w:val="20"/>
                <w:szCs w:val="20"/>
              </w:rPr>
            </w:pPr>
            <w:r w:rsidRPr="00702717">
              <w:rPr>
                <w:rFonts w:ascii="Arial Narrow" w:hAnsi="Arial Narrow"/>
                <w:color w:val="000000" w:themeColor="text1"/>
                <w:sz w:val="20"/>
                <w:szCs w:val="20"/>
              </w:rPr>
              <w:t>4</w:t>
            </w:r>
          </w:p>
        </w:tc>
      </w:tr>
      <w:tr w:rsidR="00E91B84" w:rsidRPr="00702717" w14:paraId="54BAC00D" w14:textId="77777777">
        <w:tc>
          <w:tcPr>
            <w:tcW w:w="2064" w:type="pct"/>
            <w:gridSpan w:val="4"/>
          </w:tcPr>
          <w:p w14:paraId="371E3E64" w14:textId="4428465C" w:rsidR="00E91B84" w:rsidRPr="00046556" w:rsidRDefault="00E91B84" w:rsidP="00D852D3">
            <w:pPr>
              <w:pStyle w:val="Instructionaltext"/>
              <w:spacing w:before="0" w:line="259" w:lineRule="auto"/>
              <w:rPr>
                <w:rFonts w:ascii="Arial Narrow" w:hAnsi="Arial Narrow"/>
                <w:color w:val="000000" w:themeColor="text1"/>
                <w:sz w:val="20"/>
                <w:szCs w:val="20"/>
              </w:rPr>
            </w:pPr>
            <w:r w:rsidRPr="00046556">
              <w:rPr>
                <w:rFonts w:ascii="Arial Narrow" w:hAnsi="Arial Narrow"/>
                <w:color w:val="000000" w:themeColor="text1"/>
                <w:sz w:val="20"/>
                <w:szCs w:val="20"/>
              </w:rPr>
              <w:t xml:space="preserve">Meta-analysed result of change in </w:t>
            </w:r>
            <w:r w:rsidR="00717101" w:rsidRPr="00046556">
              <w:rPr>
                <w:rFonts w:ascii="Arial Narrow" w:hAnsi="Arial Narrow"/>
                <w:color w:val="000000" w:themeColor="text1"/>
                <w:sz w:val="20"/>
                <w:szCs w:val="20"/>
              </w:rPr>
              <w:t>%</w:t>
            </w:r>
            <w:r w:rsidRPr="00046556">
              <w:rPr>
                <w:rFonts w:ascii="Arial Narrow" w:hAnsi="Arial Narrow"/>
                <w:color w:val="000000" w:themeColor="text1"/>
                <w:sz w:val="20"/>
                <w:szCs w:val="20"/>
              </w:rPr>
              <w:t>HbA1c</w:t>
            </w:r>
          </w:p>
        </w:tc>
        <w:tc>
          <w:tcPr>
            <w:tcW w:w="429" w:type="pct"/>
          </w:tcPr>
          <w:p w14:paraId="1E4C561A" w14:textId="77777777" w:rsidR="00E91B84" w:rsidRPr="00046556" w:rsidRDefault="00E91B84" w:rsidP="00D852D3">
            <w:pPr>
              <w:pStyle w:val="Instructionaltext"/>
              <w:spacing w:before="0" w:line="259" w:lineRule="auto"/>
              <w:rPr>
                <w:rFonts w:ascii="Arial Narrow" w:hAnsi="Arial Narrow"/>
                <w:color w:val="000000" w:themeColor="text1"/>
                <w:sz w:val="20"/>
                <w:szCs w:val="20"/>
              </w:rPr>
            </w:pPr>
            <w:r w:rsidRPr="00046556">
              <w:rPr>
                <w:rFonts w:ascii="Arial Narrow" w:hAnsi="Arial Narrow"/>
                <w:color w:val="000000" w:themeColor="text1"/>
                <w:sz w:val="20"/>
                <w:szCs w:val="20"/>
              </w:rPr>
              <w:t>−0.35%</w:t>
            </w:r>
          </w:p>
        </w:tc>
        <w:tc>
          <w:tcPr>
            <w:tcW w:w="279" w:type="pct"/>
          </w:tcPr>
          <w:p w14:paraId="718FD9C4"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−0.30%</w:t>
            </w:r>
          </w:p>
        </w:tc>
        <w:tc>
          <w:tcPr>
            <w:tcW w:w="279" w:type="pct"/>
          </w:tcPr>
          <w:p w14:paraId="36A2287E"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−0.45%</w:t>
            </w:r>
          </w:p>
        </w:tc>
        <w:tc>
          <w:tcPr>
            <w:tcW w:w="279" w:type="pct"/>
          </w:tcPr>
          <w:p w14:paraId="05F84005"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−0.22%</w:t>
            </w:r>
          </w:p>
        </w:tc>
        <w:tc>
          <w:tcPr>
            <w:tcW w:w="279" w:type="pct"/>
          </w:tcPr>
          <w:p w14:paraId="1FBCB5EB"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−0.25%</w:t>
            </w:r>
          </w:p>
        </w:tc>
        <w:tc>
          <w:tcPr>
            <w:tcW w:w="279" w:type="pct"/>
          </w:tcPr>
          <w:p w14:paraId="259BB165"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−0.24%</w:t>
            </w:r>
          </w:p>
        </w:tc>
        <w:tc>
          <w:tcPr>
            <w:tcW w:w="279" w:type="pct"/>
          </w:tcPr>
          <w:p w14:paraId="60F12BEF"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−0.33%</w:t>
            </w:r>
          </w:p>
        </w:tc>
        <w:tc>
          <w:tcPr>
            <w:tcW w:w="279" w:type="pct"/>
          </w:tcPr>
          <w:p w14:paraId="1F2F4B2A"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−0.60%</w:t>
            </w:r>
          </w:p>
        </w:tc>
        <w:tc>
          <w:tcPr>
            <w:tcW w:w="279" w:type="pct"/>
          </w:tcPr>
          <w:p w14:paraId="74634DD7"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−0.34%</w:t>
            </w:r>
          </w:p>
        </w:tc>
        <w:tc>
          <w:tcPr>
            <w:tcW w:w="279" w:type="pct"/>
          </w:tcPr>
          <w:p w14:paraId="20AE2B2A" w14:textId="77777777" w:rsidR="00E91B84" w:rsidRPr="004366F5" w:rsidRDefault="00E91B84" w:rsidP="00D852D3">
            <w:pPr>
              <w:pStyle w:val="Instructionaltext"/>
              <w:spacing w:before="0" w:line="259" w:lineRule="auto"/>
              <w:rPr>
                <w:rFonts w:ascii="Arial Narrow" w:hAnsi="Arial Narrow"/>
                <w:color w:val="000000" w:themeColor="text1"/>
                <w:sz w:val="20"/>
                <w:szCs w:val="20"/>
              </w:rPr>
            </w:pPr>
            <w:r w:rsidRPr="004366F5">
              <w:rPr>
                <w:rFonts w:ascii="Arial Narrow" w:hAnsi="Arial Narrow"/>
                <w:color w:val="000000" w:themeColor="text1"/>
                <w:sz w:val="20"/>
                <w:szCs w:val="20"/>
              </w:rPr>
              <w:t>−0.37%</w:t>
            </w:r>
          </w:p>
        </w:tc>
      </w:tr>
    </w:tbl>
    <w:p w14:paraId="75D49D2A" w14:textId="740600B9" w:rsidR="0020228C" w:rsidRPr="00C43BA3" w:rsidRDefault="0020228C" w:rsidP="008E58EC">
      <w:pPr>
        <w:pStyle w:val="Instructionaltext"/>
        <w:rPr>
          <w:rFonts w:ascii="Arial Narrow" w:eastAsia="Times New Roman" w:hAnsi="Arial Narrow" w:cs="Arial"/>
          <w:color w:val="auto"/>
          <w:sz w:val="18"/>
          <w:szCs w:val="20"/>
        </w:rPr>
        <w:sectPr w:rsidR="0020228C" w:rsidRPr="00C43BA3" w:rsidSect="00E91B84">
          <w:pgSz w:w="16838" w:h="11906" w:orient="landscape"/>
          <w:pgMar w:top="1440" w:right="1440" w:bottom="1440" w:left="1440" w:header="708" w:footer="708" w:gutter="0"/>
          <w:cols w:space="708"/>
          <w:docGrid w:linePitch="360"/>
        </w:sectPr>
      </w:pPr>
      <w:r w:rsidRPr="00101AE3">
        <w:rPr>
          <w:rFonts w:ascii="Arial Narrow" w:eastAsia="Times New Roman" w:hAnsi="Arial Narrow" w:cs="Arial"/>
          <w:b/>
          <w:color w:val="auto"/>
          <w:sz w:val="18"/>
          <w:szCs w:val="20"/>
        </w:rPr>
        <w:t>Abbreviations:</w:t>
      </w:r>
      <w:r w:rsidRPr="00075D8C">
        <w:rPr>
          <w:rFonts w:ascii="Arial Narrow" w:eastAsia="Times New Roman" w:hAnsi="Arial Narrow" w:cs="Arial"/>
          <w:color w:val="auto"/>
          <w:sz w:val="18"/>
          <w:szCs w:val="20"/>
        </w:rPr>
        <w:t xml:space="preserve"> FSL/FGM</w:t>
      </w:r>
      <w:r w:rsidR="003F159F">
        <w:rPr>
          <w:rFonts w:ascii="Arial Narrow" w:eastAsia="Times New Roman" w:hAnsi="Arial Narrow" w:cs="Arial"/>
          <w:color w:val="auto"/>
          <w:sz w:val="18"/>
          <w:szCs w:val="20"/>
        </w:rPr>
        <w:t xml:space="preserve"> =</w:t>
      </w:r>
      <w:r w:rsidRPr="00075D8C">
        <w:rPr>
          <w:rFonts w:ascii="Arial Narrow" w:eastAsia="Times New Roman" w:hAnsi="Arial Narrow" w:cs="Arial"/>
          <w:color w:val="auto"/>
          <w:sz w:val="18"/>
          <w:szCs w:val="20"/>
        </w:rPr>
        <w:t xml:space="preserve"> FreeStyle Libre/Flash </w:t>
      </w:r>
      <w:r w:rsidR="00717101">
        <w:rPr>
          <w:rFonts w:ascii="Arial Narrow" w:eastAsia="Times New Roman" w:hAnsi="Arial Narrow" w:cs="Arial"/>
          <w:color w:val="auto"/>
          <w:sz w:val="18"/>
          <w:szCs w:val="20"/>
        </w:rPr>
        <w:t>g</w:t>
      </w:r>
      <w:r w:rsidRPr="00075D8C">
        <w:rPr>
          <w:rFonts w:ascii="Arial Narrow" w:eastAsia="Times New Roman" w:hAnsi="Arial Narrow" w:cs="Arial"/>
          <w:color w:val="auto"/>
          <w:sz w:val="18"/>
          <w:szCs w:val="20"/>
        </w:rPr>
        <w:t xml:space="preserve">lucose </w:t>
      </w:r>
      <w:r w:rsidR="00717101">
        <w:rPr>
          <w:rFonts w:ascii="Arial Narrow" w:eastAsia="Times New Roman" w:hAnsi="Arial Narrow" w:cs="Arial"/>
          <w:color w:val="auto"/>
          <w:sz w:val="18"/>
          <w:szCs w:val="20"/>
        </w:rPr>
        <w:t>m</w:t>
      </w:r>
      <w:r w:rsidRPr="00075D8C">
        <w:rPr>
          <w:rFonts w:ascii="Arial Narrow" w:eastAsia="Times New Roman" w:hAnsi="Arial Narrow" w:cs="Arial"/>
          <w:color w:val="auto"/>
          <w:sz w:val="18"/>
          <w:szCs w:val="20"/>
        </w:rPr>
        <w:t>onitoring; IIT</w:t>
      </w:r>
      <w:r w:rsidR="003F159F">
        <w:rPr>
          <w:rFonts w:ascii="Arial Narrow" w:eastAsia="Times New Roman" w:hAnsi="Arial Narrow" w:cs="Arial"/>
          <w:color w:val="auto"/>
          <w:sz w:val="18"/>
          <w:szCs w:val="20"/>
        </w:rPr>
        <w:t xml:space="preserve"> =</w:t>
      </w:r>
      <w:r w:rsidRPr="00075D8C">
        <w:rPr>
          <w:rFonts w:ascii="Arial Narrow" w:eastAsia="Times New Roman" w:hAnsi="Arial Narrow" w:cs="Arial"/>
          <w:color w:val="auto"/>
          <w:sz w:val="18"/>
          <w:szCs w:val="20"/>
        </w:rPr>
        <w:t xml:space="preserve"> intensive insulin treatment; RCT</w:t>
      </w:r>
      <w:r w:rsidR="003F159F">
        <w:rPr>
          <w:rFonts w:ascii="Arial Narrow" w:eastAsia="Times New Roman" w:hAnsi="Arial Narrow" w:cs="Arial"/>
          <w:color w:val="auto"/>
          <w:sz w:val="18"/>
          <w:szCs w:val="20"/>
        </w:rPr>
        <w:t xml:space="preserve"> =</w:t>
      </w:r>
      <w:r w:rsidRPr="00075D8C">
        <w:rPr>
          <w:rFonts w:ascii="Arial Narrow" w:eastAsia="Times New Roman" w:hAnsi="Arial Narrow" w:cs="Arial"/>
          <w:color w:val="auto"/>
          <w:sz w:val="18"/>
          <w:szCs w:val="20"/>
        </w:rPr>
        <w:t xml:space="preserve"> </w:t>
      </w:r>
      <w:r w:rsidR="00717101">
        <w:rPr>
          <w:rFonts w:ascii="Arial Narrow" w:eastAsia="Times New Roman" w:hAnsi="Arial Narrow" w:cs="Arial"/>
          <w:color w:val="auto"/>
          <w:sz w:val="18"/>
          <w:szCs w:val="20"/>
        </w:rPr>
        <w:t>r</w:t>
      </w:r>
      <w:r w:rsidRPr="00075D8C">
        <w:rPr>
          <w:rFonts w:ascii="Arial Narrow" w:eastAsia="Times New Roman" w:hAnsi="Arial Narrow" w:cs="Arial"/>
          <w:color w:val="auto"/>
          <w:sz w:val="18"/>
          <w:szCs w:val="20"/>
        </w:rPr>
        <w:t xml:space="preserve">andomised </w:t>
      </w:r>
      <w:r w:rsidR="00717101">
        <w:rPr>
          <w:rFonts w:ascii="Arial Narrow" w:eastAsia="Times New Roman" w:hAnsi="Arial Narrow" w:cs="Arial"/>
          <w:color w:val="auto"/>
          <w:sz w:val="18"/>
          <w:szCs w:val="20"/>
        </w:rPr>
        <w:t>c</w:t>
      </w:r>
      <w:r w:rsidRPr="00075D8C">
        <w:rPr>
          <w:rFonts w:ascii="Arial Narrow" w:eastAsia="Times New Roman" w:hAnsi="Arial Narrow" w:cs="Arial"/>
          <w:color w:val="auto"/>
          <w:sz w:val="18"/>
          <w:szCs w:val="20"/>
        </w:rPr>
        <w:t xml:space="preserve">ontrolled </w:t>
      </w:r>
      <w:r w:rsidR="00717101">
        <w:rPr>
          <w:rFonts w:ascii="Arial Narrow" w:eastAsia="Times New Roman" w:hAnsi="Arial Narrow" w:cs="Arial"/>
          <w:color w:val="auto"/>
          <w:sz w:val="18"/>
          <w:szCs w:val="20"/>
        </w:rPr>
        <w:t>t</w:t>
      </w:r>
      <w:r w:rsidRPr="00075D8C">
        <w:rPr>
          <w:rFonts w:ascii="Arial Narrow" w:eastAsia="Times New Roman" w:hAnsi="Arial Narrow" w:cs="Arial"/>
          <w:color w:val="auto"/>
          <w:sz w:val="18"/>
          <w:szCs w:val="20"/>
        </w:rPr>
        <w:t>rial; RWE</w:t>
      </w:r>
      <w:r w:rsidR="003F159F">
        <w:rPr>
          <w:rFonts w:ascii="Arial Narrow" w:eastAsia="Times New Roman" w:hAnsi="Arial Narrow" w:cs="Arial"/>
          <w:color w:val="auto"/>
          <w:sz w:val="18"/>
          <w:szCs w:val="20"/>
        </w:rPr>
        <w:t xml:space="preserve"> =</w:t>
      </w:r>
      <w:r w:rsidRPr="00075D8C">
        <w:rPr>
          <w:rFonts w:ascii="Arial Narrow" w:eastAsia="Times New Roman" w:hAnsi="Arial Narrow" w:cs="Arial"/>
          <w:color w:val="auto"/>
          <w:sz w:val="18"/>
          <w:szCs w:val="20"/>
        </w:rPr>
        <w:t xml:space="preserve"> </w:t>
      </w:r>
      <w:r w:rsidR="00717101">
        <w:rPr>
          <w:rFonts w:ascii="Arial Narrow" w:eastAsia="Times New Roman" w:hAnsi="Arial Narrow" w:cs="Arial"/>
          <w:color w:val="auto"/>
          <w:sz w:val="18"/>
          <w:szCs w:val="20"/>
        </w:rPr>
        <w:t>r</w:t>
      </w:r>
      <w:r w:rsidRPr="00075D8C">
        <w:rPr>
          <w:rFonts w:ascii="Arial Narrow" w:eastAsia="Times New Roman" w:hAnsi="Arial Narrow" w:cs="Arial"/>
          <w:color w:val="auto"/>
          <w:sz w:val="18"/>
          <w:szCs w:val="20"/>
        </w:rPr>
        <w:t>eal-</w:t>
      </w:r>
      <w:r w:rsidR="00717101">
        <w:rPr>
          <w:rFonts w:ascii="Arial Narrow" w:eastAsia="Times New Roman" w:hAnsi="Arial Narrow" w:cs="Arial"/>
          <w:color w:val="auto"/>
          <w:sz w:val="18"/>
          <w:szCs w:val="20"/>
        </w:rPr>
        <w:t>w</w:t>
      </w:r>
      <w:r w:rsidRPr="00075D8C">
        <w:rPr>
          <w:rFonts w:ascii="Arial Narrow" w:eastAsia="Times New Roman" w:hAnsi="Arial Narrow" w:cs="Arial"/>
          <w:color w:val="auto"/>
          <w:sz w:val="18"/>
          <w:szCs w:val="20"/>
        </w:rPr>
        <w:t xml:space="preserve">orld </w:t>
      </w:r>
      <w:r w:rsidR="00717101">
        <w:rPr>
          <w:rFonts w:ascii="Arial Narrow" w:eastAsia="Times New Roman" w:hAnsi="Arial Narrow" w:cs="Arial"/>
          <w:color w:val="auto"/>
          <w:sz w:val="18"/>
          <w:szCs w:val="20"/>
        </w:rPr>
        <w:t>e</w:t>
      </w:r>
      <w:r w:rsidRPr="00075D8C">
        <w:rPr>
          <w:rFonts w:ascii="Arial Narrow" w:eastAsia="Times New Roman" w:hAnsi="Arial Narrow" w:cs="Arial"/>
          <w:color w:val="auto"/>
          <w:sz w:val="18"/>
          <w:szCs w:val="20"/>
        </w:rPr>
        <w:t>vidence; RT-CGM</w:t>
      </w:r>
      <w:r w:rsidR="003F159F">
        <w:rPr>
          <w:rFonts w:ascii="Arial Narrow" w:eastAsia="Times New Roman" w:hAnsi="Arial Narrow" w:cs="Arial"/>
          <w:color w:val="auto"/>
          <w:sz w:val="18"/>
          <w:szCs w:val="20"/>
        </w:rPr>
        <w:t xml:space="preserve"> =</w:t>
      </w:r>
      <w:r w:rsidRPr="00075D8C">
        <w:rPr>
          <w:rFonts w:ascii="Arial Narrow" w:eastAsia="Times New Roman" w:hAnsi="Arial Narrow" w:cs="Arial"/>
          <w:color w:val="auto"/>
          <w:sz w:val="18"/>
          <w:szCs w:val="20"/>
        </w:rPr>
        <w:t xml:space="preserve"> </w:t>
      </w:r>
      <w:r w:rsidR="00717101">
        <w:rPr>
          <w:rFonts w:ascii="Arial Narrow" w:eastAsia="Times New Roman" w:hAnsi="Arial Narrow" w:cs="Arial"/>
          <w:color w:val="auto"/>
          <w:sz w:val="18"/>
          <w:szCs w:val="20"/>
        </w:rPr>
        <w:t>r</w:t>
      </w:r>
      <w:r w:rsidRPr="00075D8C">
        <w:rPr>
          <w:rFonts w:ascii="Arial Narrow" w:eastAsia="Times New Roman" w:hAnsi="Arial Narrow" w:cs="Arial"/>
          <w:color w:val="auto"/>
          <w:sz w:val="18"/>
          <w:szCs w:val="20"/>
        </w:rPr>
        <w:t>eal-</w:t>
      </w:r>
      <w:r w:rsidR="00717101">
        <w:rPr>
          <w:rFonts w:ascii="Arial Narrow" w:eastAsia="Times New Roman" w:hAnsi="Arial Narrow" w:cs="Arial"/>
          <w:color w:val="auto"/>
          <w:sz w:val="18"/>
          <w:szCs w:val="20"/>
        </w:rPr>
        <w:t>t</w:t>
      </w:r>
      <w:r w:rsidRPr="00075D8C">
        <w:rPr>
          <w:rFonts w:ascii="Arial Narrow" w:eastAsia="Times New Roman" w:hAnsi="Arial Narrow" w:cs="Arial"/>
          <w:color w:val="auto"/>
          <w:sz w:val="18"/>
          <w:szCs w:val="20"/>
        </w:rPr>
        <w:t xml:space="preserve">ime </w:t>
      </w:r>
      <w:r w:rsidR="00717101">
        <w:rPr>
          <w:rFonts w:ascii="Arial Narrow" w:eastAsia="Times New Roman" w:hAnsi="Arial Narrow" w:cs="Arial"/>
          <w:color w:val="auto"/>
          <w:sz w:val="18"/>
          <w:szCs w:val="20"/>
        </w:rPr>
        <w:t>c</w:t>
      </w:r>
      <w:r w:rsidRPr="00075D8C">
        <w:rPr>
          <w:rFonts w:ascii="Arial Narrow" w:eastAsia="Times New Roman" w:hAnsi="Arial Narrow" w:cs="Arial"/>
          <w:color w:val="auto"/>
          <w:sz w:val="18"/>
          <w:szCs w:val="20"/>
        </w:rPr>
        <w:t xml:space="preserve">ontinuous </w:t>
      </w:r>
      <w:r w:rsidR="00717101">
        <w:rPr>
          <w:rFonts w:ascii="Arial Narrow" w:eastAsia="Times New Roman" w:hAnsi="Arial Narrow" w:cs="Arial"/>
          <w:color w:val="auto"/>
          <w:sz w:val="18"/>
          <w:szCs w:val="20"/>
        </w:rPr>
        <w:t>g</w:t>
      </w:r>
      <w:r w:rsidRPr="00075D8C">
        <w:rPr>
          <w:rFonts w:ascii="Arial Narrow" w:eastAsia="Times New Roman" w:hAnsi="Arial Narrow" w:cs="Arial"/>
          <w:color w:val="auto"/>
          <w:sz w:val="18"/>
          <w:szCs w:val="20"/>
        </w:rPr>
        <w:t xml:space="preserve">lucose </w:t>
      </w:r>
      <w:r w:rsidR="00717101">
        <w:rPr>
          <w:rFonts w:ascii="Arial Narrow" w:eastAsia="Times New Roman" w:hAnsi="Arial Narrow" w:cs="Arial"/>
          <w:color w:val="auto"/>
          <w:sz w:val="18"/>
          <w:szCs w:val="20"/>
        </w:rPr>
        <w:t>m</w:t>
      </w:r>
      <w:r w:rsidRPr="00075D8C">
        <w:rPr>
          <w:rFonts w:ascii="Arial Narrow" w:eastAsia="Times New Roman" w:hAnsi="Arial Narrow" w:cs="Arial"/>
          <w:color w:val="auto"/>
          <w:sz w:val="18"/>
          <w:szCs w:val="20"/>
        </w:rPr>
        <w:t>onitoring; T2D</w:t>
      </w:r>
      <w:r w:rsidR="003F159F">
        <w:rPr>
          <w:rFonts w:ascii="Arial Narrow" w:eastAsia="Times New Roman" w:hAnsi="Arial Narrow" w:cs="Arial"/>
          <w:color w:val="auto"/>
          <w:sz w:val="18"/>
          <w:szCs w:val="20"/>
        </w:rPr>
        <w:t xml:space="preserve"> =</w:t>
      </w:r>
      <w:r w:rsidRPr="00075D8C">
        <w:rPr>
          <w:rFonts w:ascii="Arial Narrow" w:eastAsia="Times New Roman" w:hAnsi="Arial Narrow" w:cs="Arial"/>
          <w:color w:val="auto"/>
          <w:sz w:val="18"/>
          <w:szCs w:val="20"/>
        </w:rPr>
        <w:t xml:space="preserve"> </w:t>
      </w:r>
      <w:r w:rsidR="00237A7B">
        <w:rPr>
          <w:rFonts w:ascii="Arial Narrow" w:eastAsia="Times New Roman" w:hAnsi="Arial Narrow" w:cs="Arial"/>
          <w:color w:val="auto"/>
          <w:sz w:val="18"/>
          <w:szCs w:val="20"/>
        </w:rPr>
        <w:t>t</w:t>
      </w:r>
      <w:r w:rsidRPr="00075D8C">
        <w:rPr>
          <w:rFonts w:ascii="Arial Narrow" w:eastAsia="Times New Roman" w:hAnsi="Arial Narrow" w:cs="Arial"/>
          <w:color w:val="auto"/>
          <w:sz w:val="18"/>
          <w:szCs w:val="20"/>
        </w:rPr>
        <w:t xml:space="preserve">ype 2 </w:t>
      </w:r>
      <w:r w:rsidR="00237A7B">
        <w:rPr>
          <w:rFonts w:ascii="Arial Narrow" w:eastAsia="Times New Roman" w:hAnsi="Arial Narrow" w:cs="Arial"/>
          <w:color w:val="auto"/>
          <w:sz w:val="18"/>
          <w:szCs w:val="20"/>
        </w:rPr>
        <w:t>d</w:t>
      </w:r>
      <w:r w:rsidRPr="00075D8C">
        <w:rPr>
          <w:rFonts w:ascii="Arial Narrow" w:eastAsia="Times New Roman" w:hAnsi="Arial Narrow" w:cs="Arial"/>
          <w:color w:val="auto"/>
          <w:sz w:val="18"/>
          <w:szCs w:val="20"/>
        </w:rPr>
        <w:t>iabetes.</w:t>
      </w:r>
    </w:p>
    <w:p w14:paraId="3B9FC2AD" w14:textId="08704772" w:rsidR="00772829" w:rsidRPr="00CE28E3" w:rsidRDefault="00772829" w:rsidP="00670C60">
      <w:pPr>
        <w:pStyle w:val="Heading2"/>
        <w:numPr>
          <w:ilvl w:val="0"/>
          <w:numId w:val="32"/>
        </w:numPr>
        <w:ind w:hanging="720"/>
      </w:pPr>
      <w:r w:rsidRPr="00CE28E3">
        <w:lastRenderedPageBreak/>
        <w:t>Comparative safety</w:t>
      </w:r>
      <w:bookmarkEnd w:id="28"/>
    </w:p>
    <w:p w14:paraId="1A74C7B5" w14:textId="2285CC7B" w:rsidR="001D74A7" w:rsidRPr="0023665D" w:rsidRDefault="00EC1E7E" w:rsidP="00E76AE0">
      <w:pPr>
        <w:pStyle w:val="Instructionaltext"/>
        <w:rPr>
          <w:color w:val="000000" w:themeColor="text1"/>
        </w:rPr>
      </w:pPr>
      <w:r>
        <w:rPr>
          <w:color w:val="000000" w:themeColor="text1"/>
        </w:rPr>
        <w:t>No</w:t>
      </w:r>
      <w:r w:rsidR="00F23728">
        <w:rPr>
          <w:color w:val="000000" w:themeColor="text1"/>
        </w:rPr>
        <w:t xml:space="preserve"> comparative </w:t>
      </w:r>
      <w:r w:rsidR="00070414">
        <w:rPr>
          <w:color w:val="000000" w:themeColor="text1"/>
        </w:rPr>
        <w:t xml:space="preserve">safety </w:t>
      </w:r>
      <w:r w:rsidR="00F23728">
        <w:rPr>
          <w:color w:val="000000" w:themeColor="text1"/>
        </w:rPr>
        <w:t xml:space="preserve">data </w:t>
      </w:r>
      <w:r w:rsidR="00925F18">
        <w:rPr>
          <w:color w:val="000000" w:themeColor="text1"/>
        </w:rPr>
        <w:t xml:space="preserve">were included for assessment </w:t>
      </w:r>
      <w:r w:rsidR="001C5E99">
        <w:rPr>
          <w:color w:val="000000" w:themeColor="text1"/>
        </w:rPr>
        <w:t>in the</w:t>
      </w:r>
      <w:r>
        <w:rPr>
          <w:color w:val="000000" w:themeColor="text1"/>
        </w:rPr>
        <w:t xml:space="preserve"> </w:t>
      </w:r>
      <w:r w:rsidR="000B30AD">
        <w:rPr>
          <w:color w:val="000000" w:themeColor="text1"/>
        </w:rPr>
        <w:t>ADAR</w:t>
      </w:r>
      <w:r w:rsidR="00F1008D">
        <w:rPr>
          <w:color w:val="000000" w:themeColor="text1"/>
        </w:rPr>
        <w:t xml:space="preserve"> </w:t>
      </w:r>
      <w:r w:rsidR="00F446D6">
        <w:rPr>
          <w:color w:val="000000" w:themeColor="text1"/>
        </w:rPr>
        <w:t>resubmission</w:t>
      </w:r>
      <w:r w:rsidR="0081569E">
        <w:rPr>
          <w:color w:val="000000" w:themeColor="text1"/>
        </w:rPr>
        <w:t xml:space="preserve">. </w:t>
      </w:r>
      <w:r w:rsidR="0052627D">
        <w:rPr>
          <w:color w:val="000000" w:themeColor="text1"/>
        </w:rPr>
        <w:t xml:space="preserve">The ADAR resubmission stated </w:t>
      </w:r>
      <w:r w:rsidR="00427A3E">
        <w:rPr>
          <w:color w:val="000000" w:themeColor="text1"/>
        </w:rPr>
        <w:t>t</w:t>
      </w:r>
      <w:r w:rsidR="0081569E">
        <w:rPr>
          <w:color w:val="000000" w:themeColor="text1"/>
        </w:rPr>
        <w:t xml:space="preserve">his is </w:t>
      </w:r>
      <w:r w:rsidR="00925F18">
        <w:rPr>
          <w:color w:val="000000" w:themeColor="text1"/>
        </w:rPr>
        <w:t xml:space="preserve">because </w:t>
      </w:r>
      <w:r w:rsidR="00AB2B74">
        <w:rPr>
          <w:color w:val="000000" w:themeColor="text1"/>
        </w:rPr>
        <w:t xml:space="preserve">the conclusion </w:t>
      </w:r>
      <w:r w:rsidR="008821F3">
        <w:rPr>
          <w:color w:val="000000" w:themeColor="text1"/>
        </w:rPr>
        <w:t>that Dexcom</w:t>
      </w:r>
      <w:r w:rsidR="00D325E6">
        <w:rPr>
          <w:color w:val="000000" w:themeColor="text1"/>
        </w:rPr>
        <w:t xml:space="preserve"> ONE+</w:t>
      </w:r>
      <w:r w:rsidR="008821F3">
        <w:rPr>
          <w:color w:val="000000" w:themeColor="text1"/>
        </w:rPr>
        <w:t xml:space="preserve"> compar</w:t>
      </w:r>
      <w:r w:rsidR="00F67F65">
        <w:rPr>
          <w:color w:val="000000" w:themeColor="text1"/>
        </w:rPr>
        <w:t>ed</w:t>
      </w:r>
      <w:r w:rsidR="008821F3">
        <w:rPr>
          <w:color w:val="000000" w:themeColor="text1"/>
        </w:rPr>
        <w:t xml:space="preserve"> to</w:t>
      </w:r>
      <w:r w:rsidR="00D325E6" w:rsidDel="00F67F65">
        <w:rPr>
          <w:color w:val="000000" w:themeColor="text1"/>
        </w:rPr>
        <w:t xml:space="preserve"> </w:t>
      </w:r>
      <w:r w:rsidR="00D325E6">
        <w:rPr>
          <w:color w:val="000000" w:themeColor="text1"/>
        </w:rPr>
        <w:t>SMBG</w:t>
      </w:r>
      <w:r w:rsidR="008821F3">
        <w:rPr>
          <w:color w:val="000000" w:themeColor="text1"/>
        </w:rPr>
        <w:t xml:space="preserve"> h</w:t>
      </w:r>
      <w:r w:rsidR="00503794">
        <w:rPr>
          <w:color w:val="000000" w:themeColor="text1"/>
        </w:rPr>
        <w:t xml:space="preserve">as </w:t>
      </w:r>
      <w:r w:rsidR="0079656A">
        <w:rPr>
          <w:color w:val="000000" w:themeColor="text1"/>
        </w:rPr>
        <w:t>non-inferior safety</w:t>
      </w:r>
      <w:r w:rsidR="00D325E6">
        <w:rPr>
          <w:color w:val="000000" w:themeColor="text1"/>
        </w:rPr>
        <w:t xml:space="preserve"> </w:t>
      </w:r>
      <w:r w:rsidR="00A34148">
        <w:rPr>
          <w:color w:val="000000" w:themeColor="text1"/>
        </w:rPr>
        <w:t>was not disputed</w:t>
      </w:r>
      <w:r w:rsidR="00D325E6">
        <w:rPr>
          <w:color w:val="000000" w:themeColor="text1"/>
        </w:rPr>
        <w:t xml:space="preserve"> by the ESC or MSAC</w:t>
      </w:r>
      <w:r w:rsidR="00070414">
        <w:rPr>
          <w:color w:val="000000" w:themeColor="text1"/>
        </w:rPr>
        <w:t>.</w:t>
      </w:r>
      <w:r w:rsidR="00D325E6">
        <w:rPr>
          <w:color w:val="000000" w:themeColor="text1"/>
        </w:rPr>
        <w:t xml:space="preserve"> </w:t>
      </w:r>
    </w:p>
    <w:p w14:paraId="79C4778E" w14:textId="17DE37B3" w:rsidR="00B67ADA" w:rsidRPr="00712E33" w:rsidRDefault="00B67ADA" w:rsidP="00670C60">
      <w:pPr>
        <w:pStyle w:val="Heading2"/>
        <w:numPr>
          <w:ilvl w:val="0"/>
          <w:numId w:val="32"/>
        </w:numPr>
        <w:ind w:hanging="720"/>
      </w:pPr>
      <w:r w:rsidRPr="00141803">
        <w:t xml:space="preserve">Comparative effectiveness </w:t>
      </w:r>
    </w:p>
    <w:p w14:paraId="55E3E30F" w14:textId="0B534E00" w:rsidR="00065EE9" w:rsidRDefault="00824458" w:rsidP="006B24AE">
      <w:pPr>
        <w:pStyle w:val="Instructionaltext"/>
        <w:rPr>
          <w:color w:val="auto"/>
        </w:rPr>
      </w:pPr>
      <w:r w:rsidRPr="00C242A2">
        <w:rPr>
          <w:color w:val="auto"/>
        </w:rPr>
        <w:t xml:space="preserve">The </w:t>
      </w:r>
      <w:r w:rsidR="00433408">
        <w:rPr>
          <w:color w:val="auto"/>
        </w:rPr>
        <w:t xml:space="preserve">main comparative effectiveness </w:t>
      </w:r>
      <w:r w:rsidR="00062A4E">
        <w:rPr>
          <w:color w:val="auto"/>
        </w:rPr>
        <w:t>outcomes presented</w:t>
      </w:r>
      <w:r w:rsidR="00433408">
        <w:rPr>
          <w:color w:val="auto"/>
        </w:rPr>
        <w:t xml:space="preserve"> </w:t>
      </w:r>
      <w:r w:rsidR="006C71B1" w:rsidRPr="00C242A2">
        <w:rPr>
          <w:color w:val="auto"/>
        </w:rPr>
        <w:t xml:space="preserve">in the ADAR </w:t>
      </w:r>
      <w:r w:rsidR="0026120D">
        <w:rPr>
          <w:color w:val="auto"/>
        </w:rPr>
        <w:t>re</w:t>
      </w:r>
      <w:r w:rsidR="007F14E3">
        <w:rPr>
          <w:color w:val="auto"/>
        </w:rPr>
        <w:t>submission</w:t>
      </w:r>
      <w:r w:rsidR="00497BED">
        <w:rPr>
          <w:color w:val="auto"/>
        </w:rPr>
        <w:t xml:space="preserve"> </w:t>
      </w:r>
      <w:r w:rsidR="00062A4E">
        <w:rPr>
          <w:color w:val="auto"/>
        </w:rPr>
        <w:t>(described</w:t>
      </w:r>
      <w:r w:rsidR="00497BED">
        <w:rPr>
          <w:color w:val="auto"/>
        </w:rPr>
        <w:t xml:space="preserve"> </w:t>
      </w:r>
      <w:r w:rsidR="00B2312B">
        <w:rPr>
          <w:color w:val="auto"/>
        </w:rPr>
        <w:t>as the ‘primary evidence’</w:t>
      </w:r>
      <w:r w:rsidR="00062A4E">
        <w:rPr>
          <w:color w:val="auto"/>
        </w:rPr>
        <w:t>)</w:t>
      </w:r>
      <w:r w:rsidR="001B589C">
        <w:rPr>
          <w:color w:val="auto"/>
        </w:rPr>
        <w:t xml:space="preserve"> </w:t>
      </w:r>
      <w:r w:rsidR="00836E57">
        <w:rPr>
          <w:color w:val="auto"/>
        </w:rPr>
        <w:t xml:space="preserve">are </w:t>
      </w:r>
      <w:r w:rsidR="00E538EC">
        <w:rPr>
          <w:color w:val="auto"/>
        </w:rPr>
        <w:t>summarised</w:t>
      </w:r>
      <w:r w:rsidR="00161B5A">
        <w:rPr>
          <w:color w:val="auto"/>
        </w:rPr>
        <w:t xml:space="preserve"> in </w:t>
      </w:r>
      <w:r w:rsidR="00C17404" w:rsidRPr="00C17404">
        <w:rPr>
          <w:color w:val="auto"/>
        </w:rPr>
        <w:fldChar w:fldCharType="begin"/>
      </w:r>
      <w:r w:rsidR="00C17404" w:rsidRPr="00C17404">
        <w:rPr>
          <w:color w:val="auto"/>
        </w:rPr>
        <w:instrText xml:space="preserve"> REF _Ref229049793 \h  \* MERGEFORMAT </w:instrText>
      </w:r>
      <w:r w:rsidR="00C17404" w:rsidRPr="00C17404">
        <w:rPr>
          <w:color w:val="auto"/>
        </w:rPr>
      </w:r>
      <w:r w:rsidR="00C17404" w:rsidRPr="00C17404">
        <w:rPr>
          <w:color w:val="auto"/>
        </w:rPr>
        <w:fldChar w:fldCharType="separate"/>
      </w:r>
      <w:r w:rsidR="0098516D" w:rsidRPr="0098516D">
        <w:rPr>
          <w:color w:val="auto"/>
        </w:rPr>
        <w:t>Table 9</w:t>
      </w:r>
      <w:r w:rsidR="00C17404" w:rsidRPr="00C17404">
        <w:rPr>
          <w:color w:val="auto"/>
        </w:rPr>
        <w:fldChar w:fldCharType="end"/>
      </w:r>
      <w:r w:rsidR="00C17404" w:rsidRPr="00C17404">
        <w:rPr>
          <w:color w:val="auto"/>
        </w:rPr>
        <w:t xml:space="preserve"> </w:t>
      </w:r>
      <w:r w:rsidR="00161B5A" w:rsidRPr="00C17404">
        <w:rPr>
          <w:color w:val="auto"/>
        </w:rPr>
        <w:t xml:space="preserve">and </w:t>
      </w:r>
      <w:r w:rsidR="00C17404" w:rsidRPr="00C17404">
        <w:rPr>
          <w:color w:val="auto"/>
        </w:rPr>
        <w:fldChar w:fldCharType="begin"/>
      </w:r>
      <w:r w:rsidR="00C17404" w:rsidRPr="00C17404">
        <w:rPr>
          <w:color w:val="auto"/>
        </w:rPr>
        <w:instrText xml:space="preserve"> REF _Ref229049801 \h  \* MERGEFORMAT </w:instrText>
      </w:r>
      <w:r w:rsidR="00C17404" w:rsidRPr="00C17404">
        <w:rPr>
          <w:color w:val="auto"/>
        </w:rPr>
      </w:r>
      <w:r w:rsidR="00C17404" w:rsidRPr="00C17404">
        <w:rPr>
          <w:color w:val="auto"/>
        </w:rPr>
        <w:fldChar w:fldCharType="separate"/>
      </w:r>
      <w:r w:rsidR="0098516D" w:rsidRPr="0098516D">
        <w:rPr>
          <w:color w:val="auto"/>
        </w:rPr>
        <w:t>Table 10</w:t>
      </w:r>
      <w:r w:rsidR="00C17404" w:rsidRPr="00C17404">
        <w:rPr>
          <w:color w:val="auto"/>
        </w:rPr>
        <w:fldChar w:fldCharType="end"/>
      </w:r>
      <w:r w:rsidR="00E538EC" w:rsidRPr="00C17404">
        <w:rPr>
          <w:color w:val="auto"/>
        </w:rPr>
        <w:t>.</w:t>
      </w:r>
      <w:r w:rsidR="00836E57">
        <w:rPr>
          <w:color w:val="auto"/>
        </w:rPr>
        <w:t xml:space="preserve"> </w:t>
      </w:r>
      <w:r w:rsidR="00D700AF" w:rsidRPr="00D700AF">
        <w:rPr>
          <w:color w:val="auto"/>
        </w:rPr>
        <w:t xml:space="preserve">The </w:t>
      </w:r>
      <w:r w:rsidR="00850513">
        <w:rPr>
          <w:color w:val="auto"/>
        </w:rPr>
        <w:t xml:space="preserve">quality of </w:t>
      </w:r>
      <w:r w:rsidR="00D700AF" w:rsidRPr="00D700AF">
        <w:rPr>
          <w:color w:val="auto"/>
        </w:rPr>
        <w:t>th</w:t>
      </w:r>
      <w:r w:rsidR="00DA57C7">
        <w:rPr>
          <w:color w:val="auto"/>
        </w:rPr>
        <w:t>e</w:t>
      </w:r>
      <w:r w:rsidR="00D700AF" w:rsidRPr="00D700AF">
        <w:rPr>
          <w:color w:val="auto"/>
        </w:rPr>
        <w:t xml:space="preserve"> evidence </w:t>
      </w:r>
      <w:r w:rsidR="00DA57C7">
        <w:rPr>
          <w:color w:val="auto"/>
        </w:rPr>
        <w:t>was</w:t>
      </w:r>
      <w:r w:rsidR="00D700AF" w:rsidRPr="00D700AF">
        <w:rPr>
          <w:color w:val="auto"/>
        </w:rPr>
        <w:t xml:space="preserve"> </w:t>
      </w:r>
      <w:r w:rsidR="00E6408F">
        <w:rPr>
          <w:color w:val="auto"/>
        </w:rPr>
        <w:t xml:space="preserve">reevaluated </w:t>
      </w:r>
      <w:r w:rsidR="008809BF">
        <w:rPr>
          <w:color w:val="auto"/>
        </w:rPr>
        <w:t xml:space="preserve">by the </w:t>
      </w:r>
      <w:r w:rsidR="00E6408F">
        <w:rPr>
          <w:color w:val="auto"/>
        </w:rPr>
        <w:t>assessment group</w:t>
      </w:r>
      <w:r w:rsidR="00C3120E">
        <w:rPr>
          <w:color w:val="auto"/>
        </w:rPr>
        <w:t xml:space="preserve"> </w:t>
      </w:r>
      <w:r w:rsidR="00AA37E7">
        <w:rPr>
          <w:color w:val="auto"/>
        </w:rPr>
        <w:t xml:space="preserve">using </w:t>
      </w:r>
      <w:r w:rsidR="00D700AF" w:rsidRPr="00D700AF">
        <w:rPr>
          <w:color w:val="auto"/>
        </w:rPr>
        <w:t xml:space="preserve">the </w:t>
      </w:r>
      <w:r w:rsidR="00AA37E7">
        <w:rPr>
          <w:color w:val="auto"/>
        </w:rPr>
        <w:t xml:space="preserve">GRADE approach and </w:t>
      </w:r>
      <w:r w:rsidR="004F1179">
        <w:rPr>
          <w:color w:val="auto"/>
        </w:rPr>
        <w:t xml:space="preserve">is </w:t>
      </w:r>
      <w:r w:rsidR="00D700AF" w:rsidRPr="00D700AF">
        <w:rPr>
          <w:color w:val="auto"/>
        </w:rPr>
        <w:t xml:space="preserve">incorporated into the </w:t>
      </w:r>
      <w:r w:rsidR="00F57C2B">
        <w:rPr>
          <w:color w:val="auto"/>
        </w:rPr>
        <w:t xml:space="preserve">interpretation </w:t>
      </w:r>
      <w:r w:rsidR="00D700AF" w:rsidRPr="00D700AF">
        <w:rPr>
          <w:color w:val="auto"/>
        </w:rPr>
        <w:t xml:space="preserve">of the evidence </w:t>
      </w:r>
      <w:r w:rsidR="00903A71">
        <w:rPr>
          <w:color w:val="auto"/>
        </w:rPr>
        <w:t>(see Section 2A</w:t>
      </w:r>
      <w:r w:rsidR="00AE1025">
        <w:rPr>
          <w:color w:val="auto"/>
        </w:rPr>
        <w:t>.3</w:t>
      </w:r>
      <w:r w:rsidR="00D700AF" w:rsidRPr="00D700AF">
        <w:rPr>
          <w:color w:val="auto"/>
        </w:rPr>
        <w:t xml:space="preserve">). </w:t>
      </w:r>
    </w:p>
    <w:p w14:paraId="60188E23" w14:textId="0EB723FD" w:rsidR="00713E61" w:rsidRDefault="009914CB" w:rsidP="006B24AE">
      <w:pPr>
        <w:pStyle w:val="Instructionaltext"/>
        <w:rPr>
          <w:color w:val="auto"/>
        </w:rPr>
      </w:pPr>
      <w:r w:rsidRPr="009914CB">
        <w:rPr>
          <w:color w:val="auto"/>
        </w:rPr>
        <w:t>Application of</w:t>
      </w:r>
      <w:r w:rsidR="0077615A">
        <w:rPr>
          <w:color w:val="auto"/>
        </w:rPr>
        <w:t xml:space="preserve"> the GRADE </w:t>
      </w:r>
      <w:r w:rsidRPr="009914CB">
        <w:rPr>
          <w:color w:val="auto"/>
        </w:rPr>
        <w:t>framework was informed</w:t>
      </w:r>
      <w:r w:rsidR="0077615A">
        <w:rPr>
          <w:color w:val="auto"/>
        </w:rPr>
        <w:t xml:space="preserve"> by MSAC guidance, </w:t>
      </w:r>
      <w:r w:rsidRPr="009914CB">
        <w:rPr>
          <w:color w:val="auto"/>
        </w:rPr>
        <w:t>alongside recently published GRADE</w:t>
      </w:r>
      <w:r w:rsidR="0077615A">
        <w:rPr>
          <w:color w:val="auto"/>
        </w:rPr>
        <w:t xml:space="preserve"> guidance </w:t>
      </w:r>
      <w:r w:rsidRPr="009914CB">
        <w:rPr>
          <w:color w:val="auto"/>
        </w:rPr>
        <w:t>on rating</w:t>
      </w:r>
      <w:r w:rsidR="0077615A">
        <w:rPr>
          <w:color w:val="auto"/>
        </w:rPr>
        <w:t xml:space="preserve"> imprecision</w:t>
      </w:r>
      <w:r w:rsidR="0002610D">
        <w:rPr>
          <w:color w:val="auto"/>
        </w:rPr>
        <w:t>.</w:t>
      </w:r>
      <w:r w:rsidR="00C7348A">
        <w:rPr>
          <w:rStyle w:val="FootnoteReference"/>
          <w:color w:val="auto"/>
        </w:rPr>
        <w:footnoteReference w:id="3"/>
      </w:r>
      <w:r w:rsidR="00363B30">
        <w:rPr>
          <w:color w:val="auto"/>
        </w:rPr>
        <w:t xml:space="preserve"> </w:t>
      </w:r>
      <w:r w:rsidR="00C7348A">
        <w:rPr>
          <w:rStyle w:val="FootnoteReference"/>
          <w:color w:val="auto"/>
        </w:rPr>
        <w:footnoteReference w:id="4"/>
      </w:r>
      <w:r w:rsidR="001079A8">
        <w:rPr>
          <w:color w:val="auto"/>
        </w:rPr>
        <w:t xml:space="preserve"> </w:t>
      </w:r>
      <w:r w:rsidR="00F802AA">
        <w:rPr>
          <w:color w:val="auto"/>
        </w:rPr>
        <w:t>The</w:t>
      </w:r>
      <w:r w:rsidR="00C22ECB">
        <w:rPr>
          <w:color w:val="auto"/>
        </w:rPr>
        <w:t xml:space="preserve"> </w:t>
      </w:r>
      <w:r w:rsidR="00CD7A42">
        <w:rPr>
          <w:color w:val="auto"/>
        </w:rPr>
        <w:t>rationale</w:t>
      </w:r>
      <w:r w:rsidR="002838BF">
        <w:rPr>
          <w:color w:val="auto"/>
        </w:rPr>
        <w:t xml:space="preserve"> that informed the downgrading of the </w:t>
      </w:r>
      <w:r w:rsidR="00CD7A42">
        <w:rPr>
          <w:color w:val="auto"/>
        </w:rPr>
        <w:t xml:space="preserve">certainty of </w:t>
      </w:r>
      <w:r w:rsidR="002838BF">
        <w:rPr>
          <w:color w:val="auto"/>
        </w:rPr>
        <w:t>evidence</w:t>
      </w:r>
      <w:r w:rsidR="00CD7A42">
        <w:rPr>
          <w:color w:val="auto"/>
        </w:rPr>
        <w:t xml:space="preserve"> (</w:t>
      </w:r>
      <w:r w:rsidR="001079A8">
        <w:rPr>
          <w:color w:val="auto"/>
        </w:rPr>
        <w:t xml:space="preserve">from high to </w:t>
      </w:r>
      <w:r w:rsidR="006A27A7">
        <w:rPr>
          <w:color w:val="auto"/>
        </w:rPr>
        <w:t xml:space="preserve">low or </w:t>
      </w:r>
      <w:r w:rsidR="001079A8">
        <w:rPr>
          <w:color w:val="auto"/>
        </w:rPr>
        <w:t>very low</w:t>
      </w:r>
      <w:r w:rsidR="006A27A7">
        <w:rPr>
          <w:color w:val="auto"/>
        </w:rPr>
        <w:t>)</w:t>
      </w:r>
      <w:r w:rsidR="002838BF">
        <w:rPr>
          <w:color w:val="auto"/>
        </w:rPr>
        <w:t xml:space="preserve"> </w:t>
      </w:r>
      <w:r w:rsidR="007E7EDF" w:rsidRPr="007E7EDF">
        <w:rPr>
          <w:color w:val="auto"/>
        </w:rPr>
        <w:t xml:space="preserve">is detailed in </w:t>
      </w:r>
      <w:r w:rsidR="002838BF">
        <w:rPr>
          <w:color w:val="auto"/>
        </w:rPr>
        <w:t xml:space="preserve">notes </w:t>
      </w:r>
      <w:r w:rsidR="007E7EDF" w:rsidRPr="007E7EDF">
        <w:rPr>
          <w:color w:val="auto"/>
        </w:rPr>
        <w:t>accompanying</w:t>
      </w:r>
      <w:r w:rsidR="002838BF">
        <w:rPr>
          <w:color w:val="auto"/>
        </w:rPr>
        <w:t xml:space="preserve"> each </w:t>
      </w:r>
      <w:r w:rsidR="00E804B5">
        <w:rPr>
          <w:color w:val="auto"/>
        </w:rPr>
        <w:t xml:space="preserve">of the </w:t>
      </w:r>
      <w:r w:rsidR="002838BF">
        <w:rPr>
          <w:color w:val="auto"/>
        </w:rPr>
        <w:t>table</w:t>
      </w:r>
      <w:r w:rsidR="00E804B5">
        <w:rPr>
          <w:color w:val="auto"/>
        </w:rPr>
        <w:t>s presenting the</w:t>
      </w:r>
      <w:r w:rsidR="0029631A">
        <w:rPr>
          <w:color w:val="auto"/>
        </w:rPr>
        <w:t xml:space="preserve"> primary </w:t>
      </w:r>
      <w:r w:rsidR="004016BA">
        <w:rPr>
          <w:color w:val="auto"/>
        </w:rPr>
        <w:t>outcome</w:t>
      </w:r>
      <w:r w:rsidR="0029631A">
        <w:rPr>
          <w:color w:val="auto"/>
        </w:rPr>
        <w:t xml:space="preserve"> </w:t>
      </w:r>
      <w:r w:rsidR="002951D9">
        <w:rPr>
          <w:color w:val="auto"/>
        </w:rPr>
        <w:t>results</w:t>
      </w:r>
      <w:r w:rsidR="0029631A">
        <w:rPr>
          <w:color w:val="auto"/>
        </w:rPr>
        <w:t xml:space="preserve"> which are presented directly below</w:t>
      </w:r>
      <w:r w:rsidR="002838BF">
        <w:rPr>
          <w:color w:val="auto"/>
        </w:rPr>
        <w:t>.</w:t>
      </w:r>
      <w:r w:rsidR="000A757D">
        <w:rPr>
          <w:color w:val="auto"/>
        </w:rPr>
        <w:t xml:space="preserve"> </w:t>
      </w:r>
    </w:p>
    <w:p w14:paraId="44903722" w14:textId="24DB8E75" w:rsidR="00B86B46" w:rsidRPr="00137887" w:rsidRDefault="00D05292" w:rsidP="006B24AE">
      <w:pPr>
        <w:pStyle w:val="Instructionaltext"/>
        <w:rPr>
          <w:b/>
          <w:color w:val="auto"/>
        </w:rPr>
      </w:pPr>
      <w:r>
        <w:rPr>
          <w:b/>
          <w:bCs/>
          <w:color w:val="auto"/>
        </w:rPr>
        <w:t>RT-CGM</w:t>
      </w:r>
      <w:r w:rsidR="00391EA4">
        <w:rPr>
          <w:b/>
          <w:bCs/>
          <w:color w:val="auto"/>
        </w:rPr>
        <w:t xml:space="preserve"> versus </w:t>
      </w:r>
      <w:r w:rsidR="00077810">
        <w:rPr>
          <w:b/>
          <w:bCs/>
          <w:color w:val="auto"/>
        </w:rPr>
        <w:t>SMBG</w:t>
      </w:r>
      <w:r w:rsidR="00671762">
        <w:rPr>
          <w:b/>
          <w:bCs/>
          <w:color w:val="auto"/>
        </w:rPr>
        <w:t xml:space="preserve"> </w:t>
      </w:r>
    </w:p>
    <w:p w14:paraId="756E4F80" w14:textId="7DBF0D3B" w:rsidR="001F00C4" w:rsidRPr="00A96AFC" w:rsidRDefault="001F00C4" w:rsidP="006B24AE">
      <w:pPr>
        <w:pStyle w:val="Instructionaltext"/>
        <w:rPr>
          <w:color w:val="auto"/>
          <w:u w:val="single"/>
        </w:rPr>
      </w:pPr>
      <w:r w:rsidRPr="00A96AFC">
        <w:rPr>
          <w:color w:val="auto"/>
          <w:u w:val="single"/>
        </w:rPr>
        <w:t>IIT subpopulation</w:t>
      </w:r>
      <w:r w:rsidR="00752573">
        <w:rPr>
          <w:color w:val="auto"/>
          <w:u w:val="single"/>
        </w:rPr>
        <w:t xml:space="preserve"> </w:t>
      </w:r>
    </w:p>
    <w:p w14:paraId="57AE574E" w14:textId="70B29F2E" w:rsidR="006B24AE" w:rsidRDefault="004065D2" w:rsidP="006B24AE">
      <w:pPr>
        <w:pStyle w:val="Instructionaltext"/>
        <w:rPr>
          <w:color w:val="auto"/>
        </w:rPr>
      </w:pPr>
      <w:r>
        <w:rPr>
          <w:color w:val="auto"/>
        </w:rPr>
        <w:t>T</w:t>
      </w:r>
      <w:r w:rsidR="00FB5823">
        <w:rPr>
          <w:color w:val="auto"/>
        </w:rPr>
        <w:t>he DIAMOND trial</w:t>
      </w:r>
      <w:r w:rsidR="00501D33">
        <w:rPr>
          <w:color w:val="auto"/>
        </w:rPr>
        <w:t xml:space="preserve"> </w:t>
      </w:r>
      <w:r w:rsidR="001B22D5">
        <w:rPr>
          <w:color w:val="auto"/>
        </w:rPr>
        <w:t xml:space="preserve">change in </w:t>
      </w:r>
      <w:r w:rsidR="00077810">
        <w:rPr>
          <w:color w:val="auto"/>
        </w:rPr>
        <w:t>%</w:t>
      </w:r>
      <w:r w:rsidR="001B22D5">
        <w:rPr>
          <w:color w:val="auto"/>
        </w:rPr>
        <w:t>HbA1c</w:t>
      </w:r>
      <w:r w:rsidR="00B366B0" w:rsidDel="00077810">
        <w:rPr>
          <w:color w:val="auto"/>
        </w:rPr>
        <w:t xml:space="preserve"> </w:t>
      </w:r>
      <w:r w:rsidR="00B366B0">
        <w:rPr>
          <w:color w:val="auto"/>
        </w:rPr>
        <w:t>results</w:t>
      </w:r>
      <w:r w:rsidR="002E557F">
        <w:rPr>
          <w:color w:val="auto"/>
        </w:rPr>
        <w:t xml:space="preserve"> </w:t>
      </w:r>
      <w:r w:rsidR="00CA365F">
        <w:rPr>
          <w:color w:val="auto"/>
        </w:rPr>
        <w:t>suggest</w:t>
      </w:r>
      <w:r w:rsidR="00A8161F">
        <w:rPr>
          <w:color w:val="auto"/>
        </w:rPr>
        <w:t xml:space="preserve"> tha</w:t>
      </w:r>
      <w:r w:rsidR="005D6F62">
        <w:rPr>
          <w:color w:val="auto"/>
        </w:rPr>
        <w:t xml:space="preserve">t compared to SMBG, </w:t>
      </w:r>
      <w:r w:rsidR="0016704C">
        <w:rPr>
          <w:color w:val="auto"/>
        </w:rPr>
        <w:t>RT-CGM may lead to a greater reduction in HbA1c</w:t>
      </w:r>
      <w:r w:rsidR="008D4761">
        <w:rPr>
          <w:color w:val="auto"/>
        </w:rPr>
        <w:t xml:space="preserve"> </w:t>
      </w:r>
      <w:r w:rsidR="003C192D">
        <w:rPr>
          <w:color w:val="auto"/>
        </w:rPr>
        <w:t>a</w:t>
      </w:r>
      <w:r w:rsidR="003D735E">
        <w:rPr>
          <w:color w:val="auto"/>
        </w:rPr>
        <w:t xml:space="preserve">t 3 months </w:t>
      </w:r>
      <w:r w:rsidR="00A96AFC">
        <w:rPr>
          <w:color w:val="auto"/>
        </w:rPr>
        <w:t>and possibly</w:t>
      </w:r>
      <w:r w:rsidR="003C192D">
        <w:rPr>
          <w:color w:val="auto"/>
        </w:rPr>
        <w:t xml:space="preserve"> </w:t>
      </w:r>
      <w:r w:rsidR="00EC3376">
        <w:rPr>
          <w:color w:val="auto"/>
        </w:rPr>
        <w:t xml:space="preserve">a similar treatment </w:t>
      </w:r>
      <w:r w:rsidR="00731EFC">
        <w:rPr>
          <w:color w:val="auto"/>
        </w:rPr>
        <w:t>effect at</w:t>
      </w:r>
      <w:r w:rsidR="00113121">
        <w:rPr>
          <w:color w:val="auto"/>
        </w:rPr>
        <w:t xml:space="preserve"> </w:t>
      </w:r>
      <w:r w:rsidR="0085337A">
        <w:rPr>
          <w:color w:val="auto"/>
        </w:rPr>
        <w:t>6 months</w:t>
      </w:r>
      <w:r w:rsidR="000A6313">
        <w:rPr>
          <w:color w:val="auto"/>
        </w:rPr>
        <w:t xml:space="preserve"> in the IIT subpopulation</w:t>
      </w:r>
      <w:r w:rsidR="006A38DA">
        <w:rPr>
          <w:color w:val="auto"/>
        </w:rPr>
        <w:t xml:space="preserve">. </w:t>
      </w:r>
      <w:r w:rsidR="00714F48">
        <w:rPr>
          <w:color w:val="auto"/>
        </w:rPr>
        <w:t>However, i</w:t>
      </w:r>
      <w:r w:rsidR="0026214E">
        <w:rPr>
          <w:color w:val="auto"/>
        </w:rPr>
        <w:t>t must</w:t>
      </w:r>
      <w:r w:rsidR="00B04208">
        <w:rPr>
          <w:color w:val="auto"/>
        </w:rPr>
        <w:t xml:space="preserve"> be noted that </w:t>
      </w:r>
      <w:r w:rsidR="005345FA">
        <w:rPr>
          <w:color w:val="auto"/>
        </w:rPr>
        <w:t>the</w:t>
      </w:r>
      <w:r w:rsidR="002C1049">
        <w:rPr>
          <w:color w:val="auto"/>
        </w:rPr>
        <w:t xml:space="preserve"> </w:t>
      </w:r>
      <w:r w:rsidR="005345FA">
        <w:rPr>
          <w:color w:val="auto"/>
        </w:rPr>
        <w:t xml:space="preserve">differences indicated are </w:t>
      </w:r>
      <w:r w:rsidR="00BF4892">
        <w:rPr>
          <w:color w:val="auto"/>
        </w:rPr>
        <w:t xml:space="preserve">lower than </w:t>
      </w:r>
      <w:r w:rsidR="0026214E">
        <w:rPr>
          <w:color w:val="auto"/>
        </w:rPr>
        <w:t>that</w:t>
      </w:r>
      <w:r w:rsidR="007041E9" w:rsidDel="00C1738E">
        <w:rPr>
          <w:color w:val="auto"/>
        </w:rPr>
        <w:t xml:space="preserve"> </w:t>
      </w:r>
      <w:r w:rsidR="00B87A8B">
        <w:rPr>
          <w:color w:val="auto"/>
        </w:rPr>
        <w:t xml:space="preserve">generally </w:t>
      </w:r>
      <w:r w:rsidR="007041E9">
        <w:rPr>
          <w:color w:val="auto"/>
        </w:rPr>
        <w:t>accepted</w:t>
      </w:r>
      <w:r w:rsidR="00745EE1">
        <w:rPr>
          <w:color w:val="auto"/>
        </w:rPr>
        <w:t xml:space="preserve"> by PBAC in the past</w:t>
      </w:r>
      <w:r w:rsidR="00745EE1" w:rsidDel="00714F48">
        <w:rPr>
          <w:color w:val="auto"/>
        </w:rPr>
        <w:t xml:space="preserve"> </w:t>
      </w:r>
      <w:r w:rsidR="00ED77C9">
        <w:rPr>
          <w:color w:val="auto"/>
        </w:rPr>
        <w:t xml:space="preserve">as sufficient to </w:t>
      </w:r>
      <w:r w:rsidR="000A0879">
        <w:rPr>
          <w:color w:val="auto"/>
        </w:rPr>
        <w:t>imply clinical significance</w:t>
      </w:r>
      <w:r w:rsidR="00C1738E">
        <w:rPr>
          <w:color w:val="auto"/>
        </w:rPr>
        <w:t xml:space="preserve"> (0.5% difference)</w:t>
      </w:r>
      <w:r w:rsidR="005C0065">
        <w:rPr>
          <w:color w:val="auto"/>
        </w:rPr>
        <w:t xml:space="preserve"> – as noted in </w:t>
      </w:r>
      <w:r w:rsidR="00E6223B">
        <w:rPr>
          <w:color w:val="auto"/>
        </w:rPr>
        <w:t xml:space="preserve">Table 1, the ADAR resubmission did not supply any justification for adopting a lower </w:t>
      </w:r>
      <w:r w:rsidR="00D345E1">
        <w:rPr>
          <w:color w:val="auto"/>
        </w:rPr>
        <w:t>MCID of 0.3%</w:t>
      </w:r>
      <w:r w:rsidR="009F64A8">
        <w:rPr>
          <w:color w:val="auto"/>
        </w:rPr>
        <w:t>.</w:t>
      </w:r>
      <w:r w:rsidR="00E445A9">
        <w:rPr>
          <w:color w:val="auto"/>
        </w:rPr>
        <w:t xml:space="preserve"> </w:t>
      </w:r>
      <w:r w:rsidR="00A92A66">
        <w:rPr>
          <w:color w:val="auto"/>
        </w:rPr>
        <w:t>Additionally,</w:t>
      </w:r>
      <w:r w:rsidR="00F92845">
        <w:rPr>
          <w:color w:val="auto"/>
        </w:rPr>
        <w:t xml:space="preserve"> </w:t>
      </w:r>
      <w:r w:rsidR="00731EFC">
        <w:rPr>
          <w:color w:val="auto"/>
        </w:rPr>
        <w:t xml:space="preserve">there is </w:t>
      </w:r>
      <w:r w:rsidR="00E5075B">
        <w:rPr>
          <w:color w:val="auto"/>
        </w:rPr>
        <w:t xml:space="preserve">imprecision </w:t>
      </w:r>
      <w:r w:rsidR="00731EFC">
        <w:rPr>
          <w:color w:val="auto"/>
        </w:rPr>
        <w:t xml:space="preserve">in the results, </w:t>
      </w:r>
      <w:r w:rsidR="00E5075B">
        <w:rPr>
          <w:color w:val="auto"/>
        </w:rPr>
        <w:t xml:space="preserve">due to </w:t>
      </w:r>
      <w:r w:rsidR="00714F48">
        <w:rPr>
          <w:color w:val="auto"/>
        </w:rPr>
        <w:t xml:space="preserve">the </w:t>
      </w:r>
      <w:r w:rsidR="002F76F6">
        <w:rPr>
          <w:color w:val="auto"/>
        </w:rPr>
        <w:t>small sample sizes</w:t>
      </w:r>
      <w:r w:rsidR="0019286F">
        <w:rPr>
          <w:color w:val="auto"/>
        </w:rPr>
        <w:t xml:space="preserve"> </w:t>
      </w:r>
      <w:r w:rsidR="00E825E0">
        <w:rPr>
          <w:color w:val="auto"/>
        </w:rPr>
        <w:t>included in the analysis</w:t>
      </w:r>
      <w:r w:rsidR="0019286F">
        <w:rPr>
          <w:color w:val="auto"/>
        </w:rPr>
        <w:t>.</w:t>
      </w:r>
      <w:r w:rsidR="00E825E0">
        <w:rPr>
          <w:color w:val="auto"/>
        </w:rPr>
        <w:t xml:space="preserve"> </w:t>
      </w:r>
      <w:r w:rsidR="00D345E1">
        <w:rPr>
          <w:color w:val="auto"/>
        </w:rPr>
        <w:t>Accordingly, t</w:t>
      </w:r>
      <w:r w:rsidR="0073373A">
        <w:rPr>
          <w:color w:val="auto"/>
        </w:rPr>
        <w:t>h</w:t>
      </w:r>
      <w:r w:rsidR="00E12304">
        <w:rPr>
          <w:color w:val="auto"/>
        </w:rPr>
        <w:t xml:space="preserve">e evidence </w:t>
      </w:r>
      <w:r w:rsidR="00AE021F">
        <w:rPr>
          <w:color w:val="auto"/>
        </w:rPr>
        <w:t>supporting these findings is</w:t>
      </w:r>
      <w:r w:rsidR="00C7730E">
        <w:rPr>
          <w:color w:val="auto"/>
        </w:rPr>
        <w:t xml:space="preserve"> </w:t>
      </w:r>
      <w:r w:rsidR="00D345E1">
        <w:rPr>
          <w:color w:val="auto"/>
        </w:rPr>
        <w:t xml:space="preserve">rated as </w:t>
      </w:r>
      <w:r w:rsidR="00C7730E">
        <w:rPr>
          <w:color w:val="auto"/>
        </w:rPr>
        <w:t>low to very low</w:t>
      </w:r>
      <w:r w:rsidR="00AE021F">
        <w:rPr>
          <w:color w:val="auto"/>
        </w:rPr>
        <w:t xml:space="preserve"> certainty</w:t>
      </w:r>
      <w:r w:rsidR="0073373A">
        <w:rPr>
          <w:color w:val="auto"/>
        </w:rPr>
        <w:t xml:space="preserve"> </w:t>
      </w:r>
      <w:r w:rsidR="00D345E1">
        <w:rPr>
          <w:color w:val="auto"/>
        </w:rPr>
        <w:t>by the commentary</w:t>
      </w:r>
      <w:r w:rsidR="0073373A">
        <w:rPr>
          <w:color w:val="auto"/>
        </w:rPr>
        <w:t xml:space="preserve"> </w:t>
      </w:r>
      <w:r w:rsidR="000763CB" w:rsidRPr="00386849">
        <w:rPr>
          <w:color w:val="auto"/>
        </w:rPr>
        <w:t>(</w:t>
      </w:r>
      <w:r w:rsidR="002B6B8F" w:rsidRPr="002B6B8F">
        <w:rPr>
          <w:color w:val="auto"/>
        </w:rPr>
        <w:fldChar w:fldCharType="begin"/>
      </w:r>
      <w:r w:rsidR="002B6B8F" w:rsidRPr="002B6B8F">
        <w:rPr>
          <w:color w:val="auto"/>
        </w:rPr>
        <w:instrText xml:space="preserve"> REF _Ref229049793 \h </w:instrText>
      </w:r>
      <w:r w:rsidR="002B6B8F">
        <w:rPr>
          <w:color w:val="auto"/>
        </w:rPr>
        <w:instrText xml:space="preserve"> \* MERGEFORMAT </w:instrText>
      </w:r>
      <w:r w:rsidR="002B6B8F" w:rsidRPr="002B6B8F">
        <w:rPr>
          <w:color w:val="auto"/>
        </w:rPr>
      </w:r>
      <w:r w:rsidR="002B6B8F" w:rsidRPr="002B6B8F">
        <w:rPr>
          <w:color w:val="auto"/>
        </w:rPr>
        <w:fldChar w:fldCharType="separate"/>
      </w:r>
      <w:r w:rsidR="0098516D" w:rsidRPr="0098516D">
        <w:rPr>
          <w:color w:val="auto"/>
        </w:rPr>
        <w:t xml:space="preserve">Table </w:t>
      </w:r>
      <w:r w:rsidR="0098516D" w:rsidRPr="0098516D">
        <w:rPr>
          <w:noProof/>
          <w:color w:val="auto"/>
        </w:rPr>
        <w:t>9</w:t>
      </w:r>
      <w:r w:rsidR="002B6B8F" w:rsidRPr="002B6B8F">
        <w:rPr>
          <w:color w:val="auto"/>
        </w:rPr>
        <w:fldChar w:fldCharType="end"/>
      </w:r>
      <w:r w:rsidR="000763CB" w:rsidRPr="002B6B8F">
        <w:rPr>
          <w:color w:val="auto"/>
        </w:rPr>
        <w:t>)</w:t>
      </w:r>
      <w:r w:rsidR="00683A8A" w:rsidRPr="002B6B8F">
        <w:rPr>
          <w:color w:val="auto"/>
        </w:rPr>
        <w:t>.</w:t>
      </w:r>
    </w:p>
    <w:p w14:paraId="4AE8ECBD" w14:textId="7026A6DA" w:rsidR="00B805FC" w:rsidRPr="0047798A" w:rsidRDefault="00983B05" w:rsidP="006B24AE">
      <w:pPr>
        <w:pStyle w:val="Instructionaltext"/>
        <w:rPr>
          <w:color w:val="auto"/>
        </w:rPr>
      </w:pPr>
      <w:r>
        <w:rPr>
          <w:color w:val="auto"/>
        </w:rPr>
        <w:t>A</w:t>
      </w:r>
      <w:r w:rsidR="00727077">
        <w:rPr>
          <w:color w:val="auto"/>
        </w:rPr>
        <w:t xml:space="preserve">nother finding from the </w:t>
      </w:r>
      <w:r w:rsidR="00961A1E">
        <w:rPr>
          <w:color w:val="auto"/>
        </w:rPr>
        <w:t xml:space="preserve">DIAMOND </w:t>
      </w:r>
      <w:r w:rsidR="006C65EE">
        <w:rPr>
          <w:color w:val="auto"/>
        </w:rPr>
        <w:t xml:space="preserve">trial </w:t>
      </w:r>
      <w:r>
        <w:rPr>
          <w:color w:val="auto"/>
        </w:rPr>
        <w:t>is</w:t>
      </w:r>
      <w:r w:rsidR="00683A8A">
        <w:rPr>
          <w:color w:val="auto"/>
        </w:rPr>
        <w:t xml:space="preserve"> </w:t>
      </w:r>
      <w:r w:rsidR="00DC6A3C">
        <w:rPr>
          <w:color w:val="auto"/>
        </w:rPr>
        <w:t xml:space="preserve">that </w:t>
      </w:r>
      <w:r w:rsidR="00BA0736">
        <w:rPr>
          <w:color w:val="auto"/>
        </w:rPr>
        <w:t xml:space="preserve">a greater proportion of patients </w:t>
      </w:r>
      <w:r w:rsidR="000B2D5A">
        <w:rPr>
          <w:color w:val="auto"/>
        </w:rPr>
        <w:t>using RT-CGM achieved an improvement in HbA1c of ≥</w:t>
      </w:r>
      <w:r w:rsidR="00A31329">
        <w:rPr>
          <w:color w:val="auto"/>
        </w:rPr>
        <w:t xml:space="preserve">0.5% </w:t>
      </w:r>
      <w:r w:rsidR="00BB03A2">
        <w:rPr>
          <w:color w:val="auto"/>
        </w:rPr>
        <w:t xml:space="preserve">(assessed </w:t>
      </w:r>
      <w:r w:rsidR="00BB03A2" w:rsidRPr="009C39A4">
        <w:rPr>
          <w:color w:val="auto"/>
        </w:rPr>
        <w:t xml:space="preserve">at </w:t>
      </w:r>
      <w:r w:rsidR="00026753" w:rsidRPr="009C39A4">
        <w:rPr>
          <w:color w:val="auto"/>
        </w:rPr>
        <w:t>6</w:t>
      </w:r>
      <w:r w:rsidR="00BB03A2">
        <w:rPr>
          <w:color w:val="auto"/>
        </w:rPr>
        <w:t xml:space="preserve"> </w:t>
      </w:r>
      <w:r w:rsidR="007379DF">
        <w:rPr>
          <w:color w:val="auto"/>
        </w:rPr>
        <w:t xml:space="preserve">months) </w:t>
      </w:r>
      <w:r w:rsidR="00643AAF">
        <w:rPr>
          <w:color w:val="auto"/>
        </w:rPr>
        <w:t xml:space="preserve">than </w:t>
      </w:r>
      <w:r w:rsidR="000552D9">
        <w:rPr>
          <w:color w:val="auto"/>
        </w:rPr>
        <w:t xml:space="preserve">patients </w:t>
      </w:r>
      <w:r w:rsidR="00CA597B">
        <w:rPr>
          <w:color w:val="auto"/>
        </w:rPr>
        <w:t xml:space="preserve">using </w:t>
      </w:r>
      <w:r w:rsidR="00BD63E8">
        <w:rPr>
          <w:color w:val="auto"/>
        </w:rPr>
        <w:t xml:space="preserve">SMBG. </w:t>
      </w:r>
      <w:r w:rsidR="00CB5ACA">
        <w:rPr>
          <w:color w:val="auto"/>
        </w:rPr>
        <w:t>I</w:t>
      </w:r>
      <w:r w:rsidR="004C74FD" w:rsidRPr="004C74FD">
        <w:rPr>
          <w:color w:val="auto"/>
        </w:rPr>
        <w:t xml:space="preserve">n the DIAMOND trial, 73% (n=56/79) of patients in the RT-CGM arm achieved an improvement in HbA1c of ≥0.5% compared with only 49% (n=37/79) of patients in the SMBG arm (p=0.007). </w:t>
      </w:r>
      <w:r w:rsidR="005A6616">
        <w:rPr>
          <w:color w:val="auto"/>
        </w:rPr>
        <w:t>This means</w:t>
      </w:r>
      <w:r w:rsidR="004C74FD" w:rsidRPr="0047798A">
        <w:rPr>
          <w:color w:val="auto"/>
        </w:rPr>
        <w:t xml:space="preserve"> </w:t>
      </w:r>
      <w:r w:rsidR="004C74FD" w:rsidRPr="004B69C3">
        <w:rPr>
          <w:color w:val="auto"/>
        </w:rPr>
        <w:t xml:space="preserve">an additional 24% of patients managed with RT-CGM </w:t>
      </w:r>
      <w:r w:rsidR="005A6616">
        <w:rPr>
          <w:color w:val="auto"/>
        </w:rPr>
        <w:t>(</w:t>
      </w:r>
      <w:r w:rsidR="004C74FD" w:rsidRPr="004B69C3">
        <w:rPr>
          <w:color w:val="auto"/>
        </w:rPr>
        <w:t>compared with SMBG</w:t>
      </w:r>
      <w:r w:rsidR="005A6616">
        <w:rPr>
          <w:color w:val="auto"/>
        </w:rPr>
        <w:t>)</w:t>
      </w:r>
      <w:r w:rsidR="004C74FD" w:rsidRPr="004B69C3">
        <w:rPr>
          <w:color w:val="auto"/>
        </w:rPr>
        <w:t xml:space="preserve"> achieve</w:t>
      </w:r>
      <w:r w:rsidR="000E4CD7">
        <w:rPr>
          <w:color w:val="auto"/>
        </w:rPr>
        <w:t>d</w:t>
      </w:r>
      <w:r w:rsidR="004C74FD" w:rsidRPr="004B69C3">
        <w:rPr>
          <w:color w:val="auto"/>
        </w:rPr>
        <w:t xml:space="preserve"> a clinically important improvement in health outcomes measured by HbA1</w:t>
      </w:r>
      <w:r w:rsidR="00192838">
        <w:rPr>
          <w:color w:val="auto"/>
        </w:rPr>
        <w:t>c</w:t>
      </w:r>
      <w:r w:rsidR="004C74FD" w:rsidRPr="004B69C3">
        <w:rPr>
          <w:color w:val="auto"/>
        </w:rPr>
        <w:t xml:space="preserve"> change</w:t>
      </w:r>
      <w:r w:rsidR="004C74FD" w:rsidRPr="0047798A">
        <w:rPr>
          <w:color w:val="auto"/>
        </w:rPr>
        <w:t>.</w:t>
      </w:r>
      <w:r w:rsidR="000E4CD7">
        <w:rPr>
          <w:color w:val="auto"/>
        </w:rPr>
        <w:t xml:space="preserve"> </w:t>
      </w:r>
      <w:r w:rsidR="007F0302">
        <w:rPr>
          <w:color w:val="auto"/>
        </w:rPr>
        <w:t>However, t</w:t>
      </w:r>
      <w:r w:rsidR="00986C2F">
        <w:rPr>
          <w:color w:val="auto"/>
        </w:rPr>
        <w:t xml:space="preserve">his finding is subject to uncertainty </w:t>
      </w:r>
      <w:r w:rsidR="007F0302">
        <w:rPr>
          <w:color w:val="auto"/>
        </w:rPr>
        <w:t>as it is</w:t>
      </w:r>
      <w:r w:rsidR="00211D9A">
        <w:rPr>
          <w:color w:val="auto"/>
        </w:rPr>
        <w:t xml:space="preserve"> based on one small trial</w:t>
      </w:r>
      <w:r w:rsidR="007F0302">
        <w:rPr>
          <w:color w:val="auto"/>
        </w:rPr>
        <w:t xml:space="preserve"> (n=79 in each arm)</w:t>
      </w:r>
      <w:r w:rsidR="00211D9A">
        <w:rPr>
          <w:color w:val="auto"/>
        </w:rPr>
        <w:t>.</w:t>
      </w:r>
    </w:p>
    <w:p w14:paraId="3DF4722E" w14:textId="14537B42" w:rsidR="00603AD4" w:rsidRDefault="000763CB" w:rsidP="000E2889">
      <w:pPr>
        <w:spacing w:before="0"/>
        <w:rPr>
          <w:u w:val="single"/>
        </w:rPr>
      </w:pPr>
      <w:r w:rsidRPr="00830B07">
        <w:rPr>
          <w:u w:val="single"/>
        </w:rPr>
        <w:t xml:space="preserve">Non-IIT population </w:t>
      </w:r>
      <w:r w:rsidR="002031E2">
        <w:rPr>
          <w:u w:val="single"/>
        </w:rPr>
        <w:t xml:space="preserve"> </w:t>
      </w:r>
    </w:p>
    <w:p w14:paraId="192BB247" w14:textId="1DB299C2" w:rsidR="006B24AE" w:rsidRDefault="00BB562B" w:rsidP="000E2889">
      <w:pPr>
        <w:spacing w:before="0"/>
      </w:pPr>
      <w:r w:rsidRPr="00A92A66">
        <w:t>The MOBILE trial results</w:t>
      </w:r>
      <w:r w:rsidR="00E81B7C">
        <w:t xml:space="preserve"> </w:t>
      </w:r>
      <w:r w:rsidR="00EF5A4E" w:rsidRPr="00A92A66">
        <w:t>indicat</w:t>
      </w:r>
      <w:r w:rsidR="00736B5D">
        <w:t xml:space="preserve">e </w:t>
      </w:r>
      <w:r w:rsidR="00EF5A4E" w:rsidRPr="00A92A66">
        <w:t xml:space="preserve">that </w:t>
      </w:r>
      <w:r w:rsidR="00FE2708" w:rsidRPr="00A92A66">
        <w:t xml:space="preserve">RT-CGM compared to SMBG </w:t>
      </w:r>
      <w:r w:rsidR="00946891" w:rsidRPr="00A92A66">
        <w:t xml:space="preserve">may </w:t>
      </w:r>
      <w:r w:rsidR="00FE00F5">
        <w:t xml:space="preserve">result in </w:t>
      </w:r>
      <w:r w:rsidR="00FE2708" w:rsidRPr="00A92A66">
        <w:t xml:space="preserve">a greater </w:t>
      </w:r>
      <w:r w:rsidR="00946891" w:rsidRPr="00A92A66">
        <w:t xml:space="preserve">reduction in HbA1c </w:t>
      </w:r>
      <w:r w:rsidR="00EF5A4E" w:rsidRPr="00A92A66">
        <w:t xml:space="preserve">at 3 months and 8 months </w:t>
      </w:r>
      <w:r w:rsidR="00946891" w:rsidRPr="00A92A66">
        <w:t>in</w:t>
      </w:r>
      <w:r w:rsidR="000A6313" w:rsidRPr="00A92A66">
        <w:t xml:space="preserve"> the non-IIT subpopulation</w:t>
      </w:r>
      <w:r w:rsidR="00EF5A4E" w:rsidRPr="00A92A66">
        <w:t xml:space="preserve">. </w:t>
      </w:r>
      <w:r w:rsidR="00C757D5">
        <w:t>C</w:t>
      </w:r>
      <w:r w:rsidR="00EF5A4E" w:rsidRPr="00A92A66">
        <w:t>oncerns underlying the certainty of the</w:t>
      </w:r>
      <w:r w:rsidR="008A6444" w:rsidRPr="00A92A66">
        <w:t xml:space="preserve"> </w:t>
      </w:r>
      <w:r w:rsidR="00E13039">
        <w:t xml:space="preserve">evidence </w:t>
      </w:r>
      <w:r w:rsidR="00671FD9">
        <w:t>are the same as those</w:t>
      </w:r>
      <w:r w:rsidR="00F2304D">
        <w:t xml:space="preserve"> in</w:t>
      </w:r>
      <w:r w:rsidR="00E13039">
        <w:t xml:space="preserve"> the </w:t>
      </w:r>
      <w:r w:rsidR="008A6444" w:rsidRPr="00A92A66">
        <w:t>IIT subpopulation</w:t>
      </w:r>
      <w:r w:rsidR="003853A6">
        <w:t>; h</w:t>
      </w:r>
      <w:r w:rsidR="002C7559">
        <w:t>owever</w:t>
      </w:r>
      <w:r w:rsidR="00E81B7C">
        <w:t>,</w:t>
      </w:r>
      <w:r w:rsidR="00E1319D" w:rsidRPr="00A92A66">
        <w:t xml:space="preserve"> </w:t>
      </w:r>
      <w:r w:rsidR="002C7559">
        <w:t xml:space="preserve">in the </w:t>
      </w:r>
      <w:r w:rsidR="001A0AEC">
        <w:lastRenderedPageBreak/>
        <w:t xml:space="preserve">MOBILE trial </w:t>
      </w:r>
      <w:r w:rsidR="006A6F06">
        <w:t>(</w:t>
      </w:r>
      <w:r w:rsidR="002C7559">
        <w:t>non-IIT population</w:t>
      </w:r>
      <w:r w:rsidR="006A6F06">
        <w:t>)</w:t>
      </w:r>
      <w:r w:rsidR="00E1319D" w:rsidRPr="00A92A66">
        <w:t xml:space="preserve"> bias </w:t>
      </w:r>
      <w:r w:rsidR="0057099C" w:rsidRPr="00A92A66">
        <w:t xml:space="preserve">due to </w:t>
      </w:r>
      <w:r w:rsidR="007A336D" w:rsidRPr="00A92A66">
        <w:t xml:space="preserve">imbalance between the groups </w:t>
      </w:r>
      <w:r w:rsidR="00E43836" w:rsidRPr="00A92A66">
        <w:t>is a low-level additional concern.</w:t>
      </w:r>
      <w:r w:rsidR="007550B4">
        <w:t xml:space="preserve"> Assessed using GRADE, this evidence is very low certainty </w:t>
      </w:r>
      <w:r w:rsidR="00FE00F5">
        <w:t>(</w:t>
      </w:r>
      <w:r w:rsidR="00B1524F">
        <w:fldChar w:fldCharType="begin"/>
      </w:r>
      <w:r w:rsidR="00B1524F">
        <w:instrText xml:space="preserve"> REF _Ref229049793 \h </w:instrText>
      </w:r>
      <w:r w:rsidR="00B1524F">
        <w:fldChar w:fldCharType="separate"/>
      </w:r>
      <w:r w:rsidR="0098516D">
        <w:t xml:space="preserve">Table </w:t>
      </w:r>
      <w:r w:rsidR="0098516D">
        <w:rPr>
          <w:noProof/>
        </w:rPr>
        <w:t>9</w:t>
      </w:r>
      <w:r w:rsidR="00B1524F">
        <w:fldChar w:fldCharType="end"/>
      </w:r>
      <w:r w:rsidR="00FE00F5">
        <w:t>)</w:t>
      </w:r>
      <w:r w:rsidR="00C25AAA">
        <w:t>.</w:t>
      </w:r>
    </w:p>
    <w:p w14:paraId="391AC4C3" w14:textId="17E3FA01" w:rsidR="00CC30E5" w:rsidRPr="00A92A66" w:rsidRDefault="00736B5D" w:rsidP="000E2889">
      <w:pPr>
        <w:spacing w:before="0"/>
      </w:pPr>
      <w:r w:rsidRPr="006E12FD">
        <w:rPr>
          <w:lang w:val="en"/>
        </w:rPr>
        <w:t xml:space="preserve">The </w:t>
      </w:r>
      <w:r w:rsidR="00531A08" w:rsidRPr="006E12FD">
        <w:rPr>
          <w:lang w:val="en"/>
        </w:rPr>
        <w:t>change in HbA1c for RT-CGM v</w:t>
      </w:r>
      <w:r w:rsidR="009128E0" w:rsidRPr="006E12FD">
        <w:rPr>
          <w:lang w:val="en"/>
        </w:rPr>
        <w:t>ersu</w:t>
      </w:r>
      <w:r w:rsidR="00531A08" w:rsidRPr="006E12FD">
        <w:rPr>
          <w:lang w:val="en"/>
        </w:rPr>
        <w:t xml:space="preserve">s SMBG </w:t>
      </w:r>
      <w:r w:rsidR="006E12FD" w:rsidRPr="006E12FD">
        <w:rPr>
          <w:lang w:val="en"/>
        </w:rPr>
        <w:t>(i.e.</w:t>
      </w:r>
      <w:r w:rsidR="00476D54" w:rsidRPr="006E12FD">
        <w:rPr>
          <w:lang w:val="en"/>
        </w:rPr>
        <w:t xml:space="preserve"> ≥</w:t>
      </w:r>
      <w:r w:rsidR="00A16BDA" w:rsidRPr="006E12FD">
        <w:rPr>
          <w:lang w:val="en"/>
        </w:rPr>
        <w:t>8.5%, ≥</w:t>
      </w:r>
      <w:r w:rsidR="00F4069F" w:rsidRPr="006E12FD">
        <w:rPr>
          <w:lang w:val="en"/>
        </w:rPr>
        <w:t>9.5</w:t>
      </w:r>
      <w:r w:rsidR="006E12FD" w:rsidRPr="006E12FD">
        <w:rPr>
          <w:lang w:val="en"/>
        </w:rPr>
        <w:t>%) gives</w:t>
      </w:r>
      <w:r w:rsidR="00F4069F" w:rsidRPr="006E12FD">
        <w:rPr>
          <w:lang w:val="en"/>
        </w:rPr>
        <w:t xml:space="preserve"> the impression </w:t>
      </w:r>
      <w:r w:rsidR="006E12FD" w:rsidRPr="006E12FD">
        <w:rPr>
          <w:lang w:val="en"/>
        </w:rPr>
        <w:t xml:space="preserve">of </w:t>
      </w:r>
      <w:r w:rsidR="00E462E6" w:rsidRPr="006E12FD">
        <w:rPr>
          <w:lang w:val="en"/>
        </w:rPr>
        <w:t>a</w:t>
      </w:r>
      <w:r w:rsidR="00CE1FAA" w:rsidRPr="006E12FD">
        <w:rPr>
          <w:lang w:val="en"/>
        </w:rPr>
        <w:t xml:space="preserve"> </w:t>
      </w:r>
      <w:r w:rsidR="006E12FD" w:rsidRPr="006E12FD">
        <w:rPr>
          <w:lang w:val="en"/>
        </w:rPr>
        <w:t xml:space="preserve">small </w:t>
      </w:r>
      <w:r w:rsidR="00CE1FAA" w:rsidRPr="006E12FD">
        <w:rPr>
          <w:lang w:val="en"/>
        </w:rPr>
        <w:t>superior treatment effect</w:t>
      </w:r>
      <w:r w:rsidR="00173EA0" w:rsidRPr="006E12FD">
        <w:rPr>
          <w:lang w:val="en"/>
        </w:rPr>
        <w:t xml:space="preserve"> at 8 months</w:t>
      </w:r>
      <w:r w:rsidR="00CE1FAA" w:rsidRPr="006E12FD">
        <w:rPr>
          <w:lang w:val="en"/>
        </w:rPr>
        <w:t xml:space="preserve"> </w:t>
      </w:r>
      <w:r w:rsidR="00E462E6" w:rsidRPr="006E12FD">
        <w:rPr>
          <w:lang w:val="en"/>
        </w:rPr>
        <w:t>favouring RT-CGM</w:t>
      </w:r>
      <w:r w:rsidR="006E12FD" w:rsidRPr="006E12FD">
        <w:rPr>
          <w:lang w:val="en"/>
        </w:rPr>
        <w:t>, which</w:t>
      </w:r>
      <w:r w:rsidR="00E462E6" w:rsidRPr="006E12FD">
        <w:rPr>
          <w:lang w:val="en"/>
        </w:rPr>
        <w:t xml:space="preserve"> increases </w:t>
      </w:r>
      <w:r w:rsidR="00A67D3C" w:rsidRPr="006E12FD">
        <w:rPr>
          <w:lang w:val="en"/>
        </w:rPr>
        <w:t>as baseline HbA1c increases.</w:t>
      </w:r>
      <w:r w:rsidR="00A67D3C">
        <w:t xml:space="preserve"> Whil</w:t>
      </w:r>
      <w:r w:rsidR="002B3BF4">
        <w:t>e</w:t>
      </w:r>
      <w:r w:rsidR="00A67D3C">
        <w:t xml:space="preserve"> this is </w:t>
      </w:r>
      <w:r w:rsidR="008C4230">
        <w:t>encouraging</w:t>
      </w:r>
      <w:r w:rsidR="00746F4B">
        <w:t>,</w:t>
      </w:r>
      <w:r w:rsidR="008C4230">
        <w:t xml:space="preserve"> and could be useful to inform targeting of funding, </w:t>
      </w:r>
      <w:r w:rsidR="00C57E3E">
        <w:t xml:space="preserve">confidence in this finding is still affected by </w:t>
      </w:r>
      <w:r w:rsidR="001531FE">
        <w:t>imprecision</w:t>
      </w:r>
      <w:r w:rsidR="00C57E3E">
        <w:t xml:space="preserve"> </w:t>
      </w:r>
      <w:r w:rsidR="00C22A43">
        <w:t>relat</w:t>
      </w:r>
      <w:r w:rsidR="00D90E1C">
        <w:t>ing</w:t>
      </w:r>
      <w:r w:rsidR="00C22A43">
        <w:t xml:space="preserve"> to small </w:t>
      </w:r>
      <w:r w:rsidR="00A37332">
        <w:t>sample sizes</w:t>
      </w:r>
      <w:r w:rsidR="007813AD">
        <w:t xml:space="preserve"> (</w:t>
      </w:r>
      <w:r w:rsidR="00FA708F">
        <w:fldChar w:fldCharType="begin"/>
      </w:r>
      <w:r w:rsidR="00FA708F">
        <w:instrText xml:space="preserve"> REF _Ref229049801 \h </w:instrText>
      </w:r>
      <w:r w:rsidR="00FA708F">
        <w:fldChar w:fldCharType="separate"/>
      </w:r>
      <w:r w:rsidR="0098516D">
        <w:t xml:space="preserve">Table </w:t>
      </w:r>
      <w:r w:rsidR="0098516D">
        <w:rPr>
          <w:noProof/>
        </w:rPr>
        <w:t>10</w:t>
      </w:r>
      <w:r w:rsidR="00FA708F">
        <w:fldChar w:fldCharType="end"/>
      </w:r>
      <w:r w:rsidR="007813AD">
        <w:t>)</w:t>
      </w:r>
      <w:r w:rsidR="00D90E1C">
        <w:t>.</w:t>
      </w:r>
    </w:p>
    <w:p w14:paraId="5E9CAFC0" w14:textId="35889C74" w:rsidR="007A3320" w:rsidRPr="007A3320" w:rsidRDefault="00E738D6" w:rsidP="00C21C1E">
      <w:pPr>
        <w:pStyle w:val="Caption"/>
      </w:pPr>
      <w:bookmarkStart w:id="31" w:name="_Ref229049793"/>
      <w:bookmarkStart w:id="32" w:name="_Ref220400236"/>
      <w:bookmarkStart w:id="33" w:name="_Toc224815299"/>
      <w:r>
        <w:t xml:space="preserve">Table </w:t>
      </w:r>
      <w:r>
        <w:fldChar w:fldCharType="begin"/>
      </w:r>
      <w:r>
        <w:instrText>SEQ Table \* ARABIC</w:instrText>
      </w:r>
      <w:r>
        <w:fldChar w:fldCharType="separate"/>
      </w:r>
      <w:r w:rsidR="0098516D">
        <w:rPr>
          <w:noProof/>
        </w:rPr>
        <w:t>9</w:t>
      </w:r>
      <w:r>
        <w:fldChar w:fldCharType="end"/>
      </w:r>
      <w:bookmarkEnd w:id="31"/>
      <w:r>
        <w:t xml:space="preserve">: </w:t>
      </w:r>
      <w:bookmarkEnd w:id="32"/>
      <w:r w:rsidR="007A3320" w:rsidRPr="007A3320">
        <w:t xml:space="preserve">Clinical trial results for change in HbA1c for RT-CGM vs SMBG (DIAMOND and MOBILE) </w:t>
      </w:r>
      <w:bookmarkEnd w:id="33"/>
    </w:p>
    <w:tbl>
      <w:tblPr>
        <w:tblStyle w:val="TableGrid"/>
        <w:tblW w:w="5000" w:type="pct"/>
        <w:tblLook w:val="04A0" w:firstRow="1" w:lastRow="0" w:firstColumn="1" w:lastColumn="0" w:noHBand="0" w:noVBand="1"/>
      </w:tblPr>
      <w:tblGrid>
        <w:gridCol w:w="1019"/>
        <w:gridCol w:w="1953"/>
        <w:gridCol w:w="1985"/>
        <w:gridCol w:w="2126"/>
        <w:gridCol w:w="1933"/>
      </w:tblGrid>
      <w:tr w:rsidR="007A3320" w:rsidRPr="007A3320" w14:paraId="14EF0529" w14:textId="77777777" w:rsidTr="00B67228">
        <w:trPr>
          <w:trHeight w:val="20"/>
          <w:tblHeader/>
        </w:trPr>
        <w:tc>
          <w:tcPr>
            <w:tcW w:w="565" w:type="pct"/>
            <w:shd w:val="clear" w:color="auto" w:fill="D9D9D9" w:themeFill="background1" w:themeFillShade="D9"/>
          </w:tcPr>
          <w:p w14:paraId="3C0F495E" w14:textId="5AAC9628" w:rsidR="007A3320" w:rsidRPr="00B67228" w:rsidRDefault="007A3320" w:rsidP="00B67228">
            <w:pPr>
              <w:pStyle w:val="In-tableHeading"/>
            </w:pPr>
            <w:r w:rsidRPr="00B67228">
              <w:t>Timepoint</w:t>
            </w:r>
          </w:p>
        </w:tc>
        <w:tc>
          <w:tcPr>
            <w:tcW w:w="1083" w:type="pct"/>
            <w:shd w:val="clear" w:color="auto" w:fill="D9D9D9" w:themeFill="background1" w:themeFillShade="D9"/>
          </w:tcPr>
          <w:p w14:paraId="317E7537" w14:textId="6E296882" w:rsidR="007A3320" w:rsidRPr="00B67228" w:rsidRDefault="00BA41D6" w:rsidP="00B67228">
            <w:pPr>
              <w:pStyle w:val="In-tableHeading"/>
            </w:pPr>
            <w:r w:rsidRPr="00B67228">
              <w:t>RT-CGM</w:t>
            </w:r>
            <w:r w:rsidR="003A6567" w:rsidRPr="00B67228">
              <w:t xml:space="preserve"> [</w:t>
            </w:r>
            <w:r w:rsidR="00861AC5" w:rsidRPr="00B67228">
              <w:t>Dexcom ONE</w:t>
            </w:r>
            <w:r w:rsidR="00A149E1" w:rsidRPr="00B67228">
              <w:t>+ system]</w:t>
            </w:r>
          </w:p>
        </w:tc>
        <w:tc>
          <w:tcPr>
            <w:tcW w:w="1101" w:type="pct"/>
            <w:shd w:val="clear" w:color="auto" w:fill="D9D9D9" w:themeFill="background1" w:themeFillShade="D9"/>
          </w:tcPr>
          <w:p w14:paraId="5B637F31" w14:textId="77777777" w:rsidR="007A3320" w:rsidRPr="00B67228" w:rsidRDefault="007A3320" w:rsidP="00B67228">
            <w:pPr>
              <w:pStyle w:val="In-tableHeading"/>
            </w:pPr>
            <w:r w:rsidRPr="00B67228">
              <w:t>SMBG</w:t>
            </w:r>
          </w:p>
        </w:tc>
        <w:tc>
          <w:tcPr>
            <w:tcW w:w="1179" w:type="pct"/>
            <w:shd w:val="clear" w:color="auto" w:fill="D9D9D9" w:themeFill="background1" w:themeFillShade="D9"/>
          </w:tcPr>
          <w:p w14:paraId="13136E32" w14:textId="2A09698E" w:rsidR="007A3320" w:rsidRPr="00B67228" w:rsidRDefault="007A3320" w:rsidP="00B67228">
            <w:pPr>
              <w:pStyle w:val="In-tableHeading"/>
            </w:pPr>
            <w:r w:rsidRPr="00B67228">
              <w:t>Mean (95% CI) adjusted difference; p</w:t>
            </w:r>
            <w:r w:rsidR="00F443E3">
              <w:t xml:space="preserve"> </w:t>
            </w:r>
            <w:r w:rsidRPr="00B67228">
              <w:t>value</w:t>
            </w:r>
          </w:p>
        </w:tc>
        <w:tc>
          <w:tcPr>
            <w:tcW w:w="1072" w:type="pct"/>
            <w:shd w:val="clear" w:color="auto" w:fill="D9D9D9" w:themeFill="background1" w:themeFillShade="D9"/>
          </w:tcPr>
          <w:p w14:paraId="0E255A8A" w14:textId="4777DD30" w:rsidR="00BA41D6" w:rsidRPr="00363B30" w:rsidRDefault="00BA41D6" w:rsidP="00B67228">
            <w:pPr>
              <w:pStyle w:val="In-tableHeading"/>
              <w:rPr>
                <w:b w:val="0"/>
                <w:szCs w:val="20"/>
              </w:rPr>
            </w:pPr>
            <w:r w:rsidRPr="00B67228">
              <w:t>Quality</w:t>
            </w:r>
            <w:r w:rsidR="00C43E7F" w:rsidRPr="00363B30">
              <w:rPr>
                <w:b w:val="0"/>
                <w:szCs w:val="20"/>
              </w:rPr>
              <w:t xml:space="preserve"> </w:t>
            </w:r>
            <w:r w:rsidR="00C43E7F" w:rsidRPr="00424F59">
              <w:t>of evidence</w:t>
            </w:r>
          </w:p>
          <w:p w14:paraId="2780D819" w14:textId="0A49F96C" w:rsidR="007A3320" w:rsidRPr="00B67228" w:rsidRDefault="007A3320" w:rsidP="00B67228">
            <w:pPr>
              <w:pStyle w:val="In-tableHeading"/>
            </w:pPr>
            <w:r w:rsidRPr="00B67228">
              <w:t>[Reassessment]</w:t>
            </w:r>
            <w:r w:rsidR="00003C02">
              <w:t xml:space="preserve"> **</w:t>
            </w:r>
          </w:p>
        </w:tc>
      </w:tr>
      <w:tr w:rsidR="007A3320" w:rsidRPr="007A3320" w14:paraId="00C7C061" w14:textId="77777777">
        <w:trPr>
          <w:trHeight w:val="20"/>
        </w:trPr>
        <w:tc>
          <w:tcPr>
            <w:tcW w:w="5000" w:type="pct"/>
            <w:gridSpan w:val="5"/>
            <w:shd w:val="clear" w:color="auto" w:fill="DEEAF6" w:themeFill="accent1" w:themeFillTint="33"/>
          </w:tcPr>
          <w:p w14:paraId="5FEC2156" w14:textId="20AAF75D" w:rsidR="007A3320" w:rsidRPr="007A3320" w:rsidRDefault="00BA41D6" w:rsidP="00B67228">
            <w:pPr>
              <w:pStyle w:val="In-tableHeading"/>
            </w:pPr>
            <w:r w:rsidRPr="007A3320">
              <w:t xml:space="preserve">IIT subpopulation: DIAMOND (ITT) </w:t>
            </w:r>
          </w:p>
        </w:tc>
      </w:tr>
      <w:tr w:rsidR="007A3320" w:rsidRPr="007A3320" w14:paraId="11719D1B" w14:textId="77777777" w:rsidTr="00B67228">
        <w:trPr>
          <w:trHeight w:val="20"/>
        </w:trPr>
        <w:tc>
          <w:tcPr>
            <w:tcW w:w="565" w:type="pct"/>
          </w:tcPr>
          <w:p w14:paraId="0A2BFE71" w14:textId="77777777" w:rsidR="007A3320" w:rsidRPr="007A3320" w:rsidRDefault="007A3320" w:rsidP="00B67228">
            <w:pPr>
              <w:pStyle w:val="Tabletext0"/>
              <w:jc w:val="left"/>
              <w:rPr>
                <w:lang w:val="en-US"/>
              </w:rPr>
            </w:pPr>
            <w:r w:rsidRPr="007A3320">
              <w:rPr>
                <w:lang w:val="en-US"/>
              </w:rPr>
              <w:t>Baseline</w:t>
            </w:r>
          </w:p>
        </w:tc>
        <w:tc>
          <w:tcPr>
            <w:tcW w:w="1083" w:type="pct"/>
          </w:tcPr>
          <w:p w14:paraId="54CCE72E" w14:textId="77777777" w:rsidR="007A3320" w:rsidRPr="007A3320" w:rsidRDefault="007A3320" w:rsidP="00B67228">
            <w:pPr>
              <w:pStyle w:val="Tabletext0"/>
              <w:jc w:val="left"/>
              <w:rPr>
                <w:lang w:val="en-US"/>
              </w:rPr>
            </w:pPr>
            <w:r w:rsidRPr="007A3320">
              <w:rPr>
                <w:lang w:val="en-US"/>
              </w:rPr>
              <w:t>8.5 (0.6) (n=79)</w:t>
            </w:r>
          </w:p>
        </w:tc>
        <w:tc>
          <w:tcPr>
            <w:tcW w:w="1101" w:type="pct"/>
          </w:tcPr>
          <w:p w14:paraId="53CDA28B" w14:textId="77777777" w:rsidR="007A3320" w:rsidRPr="007A3320" w:rsidRDefault="007A3320" w:rsidP="00B67228">
            <w:pPr>
              <w:pStyle w:val="Tabletext0"/>
              <w:jc w:val="left"/>
              <w:rPr>
                <w:lang w:val="en-US"/>
              </w:rPr>
            </w:pPr>
            <w:r w:rsidRPr="007A3320">
              <w:rPr>
                <w:lang w:val="en-US"/>
              </w:rPr>
              <w:t>8.5 (0.7) (n=79)</w:t>
            </w:r>
          </w:p>
        </w:tc>
        <w:tc>
          <w:tcPr>
            <w:tcW w:w="1179" w:type="pct"/>
          </w:tcPr>
          <w:p w14:paraId="12E193F4" w14:textId="77777777" w:rsidR="007A3320" w:rsidRPr="007A3320" w:rsidRDefault="007A3320" w:rsidP="00B67228">
            <w:pPr>
              <w:pStyle w:val="Tabletext0"/>
              <w:jc w:val="left"/>
              <w:rPr>
                <w:lang w:val="en-US"/>
              </w:rPr>
            </w:pPr>
            <w:r w:rsidRPr="007A3320">
              <w:rPr>
                <w:lang w:val="en-US"/>
              </w:rPr>
              <w:t>-</w:t>
            </w:r>
          </w:p>
        </w:tc>
        <w:tc>
          <w:tcPr>
            <w:tcW w:w="1072" w:type="pct"/>
          </w:tcPr>
          <w:p w14:paraId="4D2EA4B5" w14:textId="77777777" w:rsidR="007A3320" w:rsidRPr="007A3320" w:rsidRDefault="007A3320" w:rsidP="00B67228">
            <w:pPr>
              <w:pStyle w:val="Tabletext0"/>
              <w:jc w:val="left"/>
              <w:rPr>
                <w:lang w:val="en-US"/>
              </w:rPr>
            </w:pPr>
          </w:p>
        </w:tc>
      </w:tr>
      <w:tr w:rsidR="007A3320" w:rsidRPr="007A3320" w14:paraId="289F85F5" w14:textId="77777777" w:rsidTr="00B67228">
        <w:trPr>
          <w:trHeight w:val="20"/>
        </w:trPr>
        <w:tc>
          <w:tcPr>
            <w:tcW w:w="565" w:type="pct"/>
          </w:tcPr>
          <w:p w14:paraId="4EA4D71F" w14:textId="77777777" w:rsidR="007A3320" w:rsidRPr="007A3320" w:rsidRDefault="007A3320" w:rsidP="00B67228">
            <w:pPr>
              <w:pStyle w:val="Tabletext0"/>
              <w:jc w:val="left"/>
              <w:rPr>
                <w:lang w:val="en-US"/>
              </w:rPr>
            </w:pPr>
            <w:r w:rsidRPr="007A3320">
              <w:rPr>
                <w:lang w:val="en-US"/>
              </w:rPr>
              <w:t xml:space="preserve">3 months </w:t>
            </w:r>
          </w:p>
        </w:tc>
        <w:tc>
          <w:tcPr>
            <w:tcW w:w="1083" w:type="pct"/>
          </w:tcPr>
          <w:p w14:paraId="24DD9096" w14:textId="77777777" w:rsidR="007A3320" w:rsidRPr="007A3320" w:rsidRDefault="007A3320" w:rsidP="00B67228">
            <w:pPr>
              <w:pStyle w:val="Tabletext0"/>
              <w:jc w:val="left"/>
              <w:rPr>
                <w:lang w:val="en-US"/>
              </w:rPr>
            </w:pPr>
            <w:r w:rsidRPr="007A3320">
              <w:rPr>
                <w:lang w:val="en-US"/>
              </w:rPr>
              <w:t>−1.0 (−1.2, −0.8) (n=77)</w:t>
            </w:r>
          </w:p>
        </w:tc>
        <w:tc>
          <w:tcPr>
            <w:tcW w:w="1101" w:type="pct"/>
          </w:tcPr>
          <w:p w14:paraId="6300998A" w14:textId="77777777" w:rsidR="007A3320" w:rsidRPr="007A3320" w:rsidRDefault="007A3320" w:rsidP="00B67228">
            <w:pPr>
              <w:pStyle w:val="Tabletext0"/>
              <w:jc w:val="left"/>
              <w:rPr>
                <w:lang w:val="en-US"/>
              </w:rPr>
            </w:pPr>
            <w:r w:rsidRPr="007A3320">
              <w:rPr>
                <w:lang w:val="en-US"/>
              </w:rPr>
              <w:t>−0.6 (−0.8, −0.4) (n=75)</w:t>
            </w:r>
          </w:p>
        </w:tc>
        <w:tc>
          <w:tcPr>
            <w:tcW w:w="1179" w:type="pct"/>
          </w:tcPr>
          <w:p w14:paraId="290F352D" w14:textId="77777777" w:rsidR="007A3320" w:rsidRPr="007A3320" w:rsidRDefault="007A3320" w:rsidP="00B67228">
            <w:pPr>
              <w:pStyle w:val="Tabletext0"/>
              <w:jc w:val="left"/>
              <w:rPr>
                <w:lang w:val="en-US"/>
              </w:rPr>
            </w:pPr>
            <w:r w:rsidRPr="007A3320">
              <w:rPr>
                <w:lang w:val="en-US"/>
              </w:rPr>
              <w:t>−0.3 (−0.6, −0.1); p=0.005</w:t>
            </w:r>
          </w:p>
        </w:tc>
        <w:tc>
          <w:tcPr>
            <w:tcW w:w="1072" w:type="pct"/>
          </w:tcPr>
          <w:p w14:paraId="58B4BC10" w14:textId="03705436" w:rsidR="007A3320" w:rsidRPr="007A3320" w:rsidRDefault="007A3320" w:rsidP="00B67228">
            <w:pPr>
              <w:pStyle w:val="Tabletext0"/>
              <w:jc w:val="left"/>
              <w:rPr>
                <w:lang w:val="en-US"/>
              </w:rPr>
            </w:pPr>
            <w:r w:rsidRPr="007A3320">
              <w:rPr>
                <w:rFonts w:ascii="Cambria Math" w:hAnsi="Cambria Math" w:cs="Cambria Math"/>
                <w:lang w:val="en-US"/>
              </w:rPr>
              <w:t>⨁</w:t>
            </w:r>
            <w:r w:rsidR="00855A54" w:rsidRPr="00855A54">
              <w:rPr>
                <w:rFonts w:ascii="Cambria Math" w:hAnsi="Cambria Math" w:cs="Cambria Math"/>
                <w:lang w:val="en-US"/>
              </w:rPr>
              <w:t>⨁</w:t>
            </w:r>
            <w:r w:rsidRPr="007A3320">
              <w:rPr>
                <w:rFonts w:ascii="Cambria Math" w:hAnsi="Cambria Math" w:cs="Cambria Math"/>
                <w:lang w:val="en-US"/>
              </w:rPr>
              <w:t>⨀⨀</w:t>
            </w:r>
            <w:r w:rsidRPr="007A3320">
              <w:rPr>
                <w:lang w:val="en-US"/>
              </w:rPr>
              <w:t xml:space="preserve"> LOW </w:t>
            </w:r>
            <w:r w:rsidR="00785207">
              <w:rPr>
                <w:vertAlign w:val="superscript"/>
                <w:lang w:val="en-US"/>
              </w:rPr>
              <w:t>a</w:t>
            </w:r>
          </w:p>
        </w:tc>
      </w:tr>
      <w:tr w:rsidR="007A3320" w:rsidRPr="007A3320" w14:paraId="34FD94C4" w14:textId="77777777" w:rsidTr="00B67228">
        <w:trPr>
          <w:trHeight w:val="20"/>
        </w:trPr>
        <w:tc>
          <w:tcPr>
            <w:tcW w:w="565" w:type="pct"/>
          </w:tcPr>
          <w:p w14:paraId="0AE2E12C" w14:textId="77777777" w:rsidR="007A3320" w:rsidRPr="007A3320" w:rsidRDefault="007A3320" w:rsidP="00B67228">
            <w:pPr>
              <w:pStyle w:val="Tabletext0"/>
              <w:jc w:val="left"/>
              <w:rPr>
                <w:lang w:val="en-US"/>
              </w:rPr>
            </w:pPr>
            <w:r w:rsidRPr="007A3320">
              <w:rPr>
                <w:lang w:val="en-US"/>
              </w:rPr>
              <w:t xml:space="preserve">6 months </w:t>
            </w:r>
          </w:p>
        </w:tc>
        <w:tc>
          <w:tcPr>
            <w:tcW w:w="1083" w:type="pct"/>
          </w:tcPr>
          <w:p w14:paraId="3CE50E4E" w14:textId="77777777" w:rsidR="007A3320" w:rsidRPr="007A3320" w:rsidRDefault="007A3320" w:rsidP="00B67228">
            <w:pPr>
              <w:pStyle w:val="Tabletext0"/>
              <w:jc w:val="left"/>
              <w:rPr>
                <w:lang w:val="en-US"/>
              </w:rPr>
            </w:pPr>
            <w:r w:rsidRPr="007A3320">
              <w:rPr>
                <w:lang w:val="en-US"/>
              </w:rPr>
              <w:t>−0.8 (−1.0, −0.7) (n=77)</w:t>
            </w:r>
          </w:p>
        </w:tc>
        <w:tc>
          <w:tcPr>
            <w:tcW w:w="1101" w:type="pct"/>
          </w:tcPr>
          <w:p w14:paraId="3A629E74" w14:textId="77777777" w:rsidR="007A3320" w:rsidRPr="007A3320" w:rsidRDefault="007A3320" w:rsidP="00B67228">
            <w:pPr>
              <w:pStyle w:val="Tabletext0"/>
              <w:jc w:val="left"/>
              <w:rPr>
                <w:lang w:val="en-US"/>
              </w:rPr>
            </w:pPr>
            <w:r w:rsidRPr="007A3320">
              <w:rPr>
                <w:lang w:val="en-US"/>
              </w:rPr>
              <w:t>−0.5 (−0.7, −0.3) (n=75)</w:t>
            </w:r>
          </w:p>
        </w:tc>
        <w:tc>
          <w:tcPr>
            <w:tcW w:w="1179" w:type="pct"/>
          </w:tcPr>
          <w:p w14:paraId="746592FE" w14:textId="77777777" w:rsidR="007A3320" w:rsidRPr="007A3320" w:rsidRDefault="007A3320" w:rsidP="00B67228">
            <w:pPr>
              <w:pStyle w:val="Tabletext0"/>
              <w:jc w:val="left"/>
              <w:rPr>
                <w:lang w:val="en-US"/>
              </w:rPr>
            </w:pPr>
            <w:r w:rsidRPr="007A3320">
              <w:rPr>
                <w:lang w:val="en-US"/>
              </w:rPr>
              <w:t>−0.3 (−0.5, 0.0); p=0.022</w:t>
            </w:r>
          </w:p>
        </w:tc>
        <w:tc>
          <w:tcPr>
            <w:tcW w:w="1072" w:type="pct"/>
          </w:tcPr>
          <w:p w14:paraId="5C794FF7" w14:textId="614A5B77" w:rsidR="007A3320" w:rsidRPr="007A3320" w:rsidRDefault="007A3320" w:rsidP="00B67228">
            <w:pPr>
              <w:pStyle w:val="Tabletext0"/>
              <w:jc w:val="left"/>
              <w:rPr>
                <w:lang w:val="en-US"/>
              </w:rPr>
            </w:pPr>
            <w:r w:rsidRPr="007A3320">
              <w:rPr>
                <w:rFonts w:ascii="Cambria Math" w:hAnsi="Cambria Math" w:cs="Cambria Math"/>
                <w:lang w:val="en-US"/>
              </w:rPr>
              <w:t>⨁⨀⨀⨀</w:t>
            </w:r>
            <w:r w:rsidRPr="007A3320">
              <w:rPr>
                <w:lang w:val="en-US"/>
              </w:rPr>
              <w:t xml:space="preserve"> VERY LOW </w:t>
            </w:r>
            <w:r w:rsidR="0016026E">
              <w:rPr>
                <w:vertAlign w:val="superscript"/>
                <w:lang w:val="en-US"/>
              </w:rPr>
              <w:t>b</w:t>
            </w:r>
          </w:p>
        </w:tc>
      </w:tr>
      <w:tr w:rsidR="007A3320" w:rsidRPr="007A3320" w14:paraId="311AA9E2" w14:textId="77777777" w:rsidTr="00BA41D6">
        <w:trPr>
          <w:trHeight w:val="20"/>
        </w:trPr>
        <w:tc>
          <w:tcPr>
            <w:tcW w:w="5000" w:type="pct"/>
            <w:gridSpan w:val="5"/>
            <w:shd w:val="clear" w:color="auto" w:fill="DEEAF6" w:themeFill="accent1" w:themeFillTint="33"/>
          </w:tcPr>
          <w:p w14:paraId="7AFC0361" w14:textId="4BAE6A5E" w:rsidR="007A3320" w:rsidRPr="007A3320" w:rsidRDefault="001279BF" w:rsidP="00B67228">
            <w:pPr>
              <w:pStyle w:val="In-tableHeading"/>
            </w:pPr>
            <w:r w:rsidRPr="007A3320">
              <w:t xml:space="preserve">Non-IIT subpopulation: MOBILE (primary analysis set) </w:t>
            </w:r>
          </w:p>
        </w:tc>
      </w:tr>
      <w:tr w:rsidR="007A3320" w:rsidRPr="007A3320" w14:paraId="063ACAF2" w14:textId="77777777" w:rsidTr="00B67228">
        <w:trPr>
          <w:trHeight w:val="20"/>
        </w:trPr>
        <w:tc>
          <w:tcPr>
            <w:tcW w:w="565" w:type="pct"/>
          </w:tcPr>
          <w:p w14:paraId="66F41080" w14:textId="77777777" w:rsidR="007A3320" w:rsidRPr="007A3320" w:rsidRDefault="007A3320" w:rsidP="00B67228">
            <w:pPr>
              <w:pStyle w:val="Tabletext0"/>
              <w:jc w:val="left"/>
              <w:rPr>
                <w:lang w:val="en-US"/>
              </w:rPr>
            </w:pPr>
            <w:r w:rsidRPr="007A3320">
              <w:rPr>
                <w:lang w:val="en-US"/>
              </w:rPr>
              <w:t xml:space="preserve">Baseline </w:t>
            </w:r>
          </w:p>
        </w:tc>
        <w:tc>
          <w:tcPr>
            <w:tcW w:w="1083" w:type="pct"/>
          </w:tcPr>
          <w:p w14:paraId="3C29F0B1" w14:textId="77777777" w:rsidR="007A3320" w:rsidRPr="007A3320" w:rsidRDefault="007A3320" w:rsidP="00B67228">
            <w:pPr>
              <w:pStyle w:val="Tabletext0"/>
              <w:jc w:val="left"/>
              <w:rPr>
                <w:lang w:val="en-US"/>
              </w:rPr>
            </w:pPr>
            <w:r w:rsidRPr="007A3320">
              <w:rPr>
                <w:lang w:val="en-US"/>
              </w:rPr>
              <w:t>9.1 (1.0) (n=115)</w:t>
            </w:r>
          </w:p>
        </w:tc>
        <w:tc>
          <w:tcPr>
            <w:tcW w:w="1101" w:type="pct"/>
          </w:tcPr>
          <w:p w14:paraId="3003893F" w14:textId="77777777" w:rsidR="007A3320" w:rsidRPr="007A3320" w:rsidRDefault="007A3320" w:rsidP="00B67228">
            <w:pPr>
              <w:pStyle w:val="Tabletext0"/>
              <w:jc w:val="left"/>
              <w:rPr>
                <w:lang w:val="en-US"/>
              </w:rPr>
            </w:pPr>
            <w:r w:rsidRPr="007A3320">
              <w:rPr>
                <w:lang w:val="en-US"/>
              </w:rPr>
              <w:t>9.0 (0.9) (n=58)</w:t>
            </w:r>
          </w:p>
        </w:tc>
        <w:tc>
          <w:tcPr>
            <w:tcW w:w="1179" w:type="pct"/>
          </w:tcPr>
          <w:p w14:paraId="12B512A7" w14:textId="77777777" w:rsidR="007A3320" w:rsidRPr="007A3320" w:rsidRDefault="007A3320" w:rsidP="00B67228">
            <w:pPr>
              <w:pStyle w:val="Tabletext0"/>
              <w:jc w:val="left"/>
              <w:rPr>
                <w:lang w:val="en-US"/>
              </w:rPr>
            </w:pPr>
            <w:r w:rsidRPr="007A3320">
              <w:rPr>
                <w:lang w:val="en-US"/>
              </w:rPr>
              <w:t>-</w:t>
            </w:r>
          </w:p>
        </w:tc>
        <w:tc>
          <w:tcPr>
            <w:tcW w:w="1072" w:type="pct"/>
          </w:tcPr>
          <w:p w14:paraId="56EE1224" w14:textId="77777777" w:rsidR="007A3320" w:rsidRPr="007A3320" w:rsidRDefault="007A3320" w:rsidP="00B67228">
            <w:pPr>
              <w:pStyle w:val="Tabletext0"/>
              <w:jc w:val="left"/>
              <w:rPr>
                <w:lang w:val="en-US"/>
              </w:rPr>
            </w:pPr>
          </w:p>
        </w:tc>
      </w:tr>
      <w:tr w:rsidR="007A3320" w:rsidRPr="007A3320" w14:paraId="03EA6A9C" w14:textId="77777777" w:rsidTr="00B67228">
        <w:trPr>
          <w:trHeight w:val="20"/>
        </w:trPr>
        <w:tc>
          <w:tcPr>
            <w:tcW w:w="565" w:type="pct"/>
          </w:tcPr>
          <w:p w14:paraId="18884D8E" w14:textId="23DD9916" w:rsidR="007A3320" w:rsidRPr="007A3320" w:rsidRDefault="007A3320" w:rsidP="00B67228">
            <w:pPr>
              <w:pStyle w:val="Tabletext0"/>
              <w:jc w:val="left"/>
              <w:rPr>
                <w:lang w:val="en-US"/>
              </w:rPr>
            </w:pPr>
            <w:r w:rsidRPr="007A3320">
              <w:rPr>
                <w:lang w:val="en-US"/>
              </w:rPr>
              <w:t xml:space="preserve">3 months </w:t>
            </w:r>
            <w:r w:rsidR="002A5380">
              <w:rPr>
                <w:vertAlign w:val="superscript"/>
                <w:lang w:val="en-US"/>
              </w:rPr>
              <w:t>*</w:t>
            </w:r>
          </w:p>
        </w:tc>
        <w:tc>
          <w:tcPr>
            <w:tcW w:w="1083" w:type="pct"/>
          </w:tcPr>
          <w:p w14:paraId="4013F76F" w14:textId="77777777" w:rsidR="007A3320" w:rsidRPr="007A3320" w:rsidRDefault="007A3320" w:rsidP="00B67228">
            <w:pPr>
              <w:pStyle w:val="Tabletext0"/>
              <w:jc w:val="left"/>
              <w:rPr>
                <w:lang w:val="en-US"/>
              </w:rPr>
            </w:pPr>
            <w:r w:rsidRPr="007A3320">
              <w:rPr>
                <w:lang w:val="en-US"/>
              </w:rPr>
              <w:t>−1.2 (1.2) (n=108)</w:t>
            </w:r>
          </w:p>
        </w:tc>
        <w:tc>
          <w:tcPr>
            <w:tcW w:w="1101" w:type="pct"/>
          </w:tcPr>
          <w:p w14:paraId="590835AA" w14:textId="77777777" w:rsidR="007A3320" w:rsidRPr="007A3320" w:rsidRDefault="007A3320" w:rsidP="00B67228">
            <w:pPr>
              <w:pStyle w:val="Tabletext0"/>
              <w:jc w:val="left"/>
              <w:rPr>
                <w:lang w:val="en-US"/>
              </w:rPr>
            </w:pPr>
            <w:r w:rsidRPr="007A3320">
              <w:rPr>
                <w:lang w:val="en-US"/>
              </w:rPr>
              <w:t>−0.6 (1.2) (n=57)</w:t>
            </w:r>
          </w:p>
        </w:tc>
        <w:tc>
          <w:tcPr>
            <w:tcW w:w="1179" w:type="pct"/>
          </w:tcPr>
          <w:p w14:paraId="2AFF9A85" w14:textId="77777777" w:rsidR="007A3320" w:rsidRPr="007A3320" w:rsidRDefault="007A3320" w:rsidP="00B67228">
            <w:pPr>
              <w:pStyle w:val="Tabletext0"/>
              <w:jc w:val="left"/>
              <w:rPr>
                <w:lang w:val="en-US"/>
              </w:rPr>
            </w:pPr>
            <w:r w:rsidRPr="007A3320">
              <w:rPr>
                <w:lang w:val="en-US"/>
              </w:rPr>
              <w:t>−0.5 (−0.9, −0.3); p&lt;0.001</w:t>
            </w:r>
          </w:p>
        </w:tc>
        <w:tc>
          <w:tcPr>
            <w:tcW w:w="1072" w:type="pct"/>
          </w:tcPr>
          <w:p w14:paraId="2C16DB5E" w14:textId="7CA3C81C" w:rsidR="007A3320" w:rsidRPr="007A3320" w:rsidRDefault="007A3320" w:rsidP="00B67228">
            <w:pPr>
              <w:pStyle w:val="Tabletext0"/>
              <w:jc w:val="left"/>
              <w:rPr>
                <w:lang w:val="en-US"/>
              </w:rPr>
            </w:pPr>
            <w:r w:rsidRPr="007A3320">
              <w:rPr>
                <w:rFonts w:ascii="Cambria Math" w:hAnsi="Cambria Math" w:cs="Cambria Math"/>
                <w:lang w:val="en-US"/>
              </w:rPr>
              <w:t>⨁⨀⨀⨀</w:t>
            </w:r>
            <w:r w:rsidRPr="007A3320">
              <w:rPr>
                <w:lang w:val="en-US"/>
              </w:rPr>
              <w:t xml:space="preserve"> VERY LOW </w:t>
            </w:r>
            <w:r w:rsidR="0016026E">
              <w:rPr>
                <w:vertAlign w:val="superscript"/>
                <w:lang w:val="en-US"/>
              </w:rPr>
              <w:t>c</w:t>
            </w:r>
          </w:p>
        </w:tc>
      </w:tr>
      <w:tr w:rsidR="007A3320" w:rsidRPr="007A3320" w14:paraId="4C34F013" w14:textId="77777777" w:rsidTr="00B67228">
        <w:trPr>
          <w:trHeight w:val="77"/>
        </w:trPr>
        <w:tc>
          <w:tcPr>
            <w:tcW w:w="565" w:type="pct"/>
          </w:tcPr>
          <w:p w14:paraId="5308A4C2" w14:textId="77777777" w:rsidR="007A3320" w:rsidRPr="007A3320" w:rsidRDefault="007A3320" w:rsidP="00B67228">
            <w:pPr>
              <w:pStyle w:val="Tabletext0"/>
              <w:jc w:val="left"/>
              <w:rPr>
                <w:lang w:val="en-US"/>
              </w:rPr>
            </w:pPr>
            <w:r w:rsidRPr="007A3320">
              <w:rPr>
                <w:lang w:val="en-US"/>
              </w:rPr>
              <w:t xml:space="preserve">8 months </w:t>
            </w:r>
          </w:p>
        </w:tc>
        <w:tc>
          <w:tcPr>
            <w:tcW w:w="1083" w:type="pct"/>
          </w:tcPr>
          <w:p w14:paraId="0DA58843" w14:textId="77777777" w:rsidR="007A3320" w:rsidRPr="007A3320" w:rsidRDefault="007A3320" w:rsidP="00B67228">
            <w:pPr>
              <w:pStyle w:val="Tabletext0"/>
              <w:jc w:val="left"/>
              <w:rPr>
                <w:lang w:val="en-US"/>
              </w:rPr>
            </w:pPr>
            <w:r w:rsidRPr="007A3320">
              <w:rPr>
                <w:lang w:val="en-US"/>
              </w:rPr>
              <w:t>−1.1 (1.5) (n=105)</w:t>
            </w:r>
          </w:p>
        </w:tc>
        <w:tc>
          <w:tcPr>
            <w:tcW w:w="1101" w:type="pct"/>
          </w:tcPr>
          <w:p w14:paraId="22692764" w14:textId="77777777" w:rsidR="007A3320" w:rsidRPr="007A3320" w:rsidRDefault="007A3320" w:rsidP="00B67228">
            <w:pPr>
              <w:pStyle w:val="Tabletext0"/>
              <w:jc w:val="left"/>
              <w:rPr>
                <w:lang w:val="en-US"/>
              </w:rPr>
            </w:pPr>
            <w:r w:rsidRPr="007A3320">
              <w:rPr>
                <w:lang w:val="en-US"/>
              </w:rPr>
              <w:t>−0.6 (1.2) (n=51)</w:t>
            </w:r>
          </w:p>
        </w:tc>
        <w:tc>
          <w:tcPr>
            <w:tcW w:w="1179" w:type="pct"/>
          </w:tcPr>
          <w:p w14:paraId="3718F1E2" w14:textId="77777777" w:rsidR="007A3320" w:rsidRPr="007A3320" w:rsidRDefault="007A3320" w:rsidP="00B67228">
            <w:pPr>
              <w:pStyle w:val="Tabletext0"/>
              <w:jc w:val="left"/>
              <w:rPr>
                <w:lang w:val="en-US"/>
              </w:rPr>
            </w:pPr>
            <w:r w:rsidRPr="007A3320">
              <w:rPr>
                <w:lang w:val="en-US"/>
              </w:rPr>
              <w:t>−0.4 (−0.8, −0.1); p=0.02</w:t>
            </w:r>
          </w:p>
        </w:tc>
        <w:tc>
          <w:tcPr>
            <w:tcW w:w="1072" w:type="pct"/>
          </w:tcPr>
          <w:p w14:paraId="644BD4F0" w14:textId="3240C745" w:rsidR="007A3320" w:rsidRPr="007A3320" w:rsidRDefault="007A3320" w:rsidP="00B67228">
            <w:pPr>
              <w:pStyle w:val="Tabletext0"/>
              <w:jc w:val="left"/>
              <w:rPr>
                <w:lang w:val="en-US"/>
              </w:rPr>
            </w:pPr>
            <w:r w:rsidRPr="007A3320">
              <w:rPr>
                <w:rFonts w:ascii="Cambria Math" w:hAnsi="Cambria Math" w:cs="Cambria Math"/>
                <w:lang w:val="en-US"/>
              </w:rPr>
              <w:t>⨁⨀⨀⨀</w:t>
            </w:r>
            <w:r w:rsidRPr="007A3320">
              <w:rPr>
                <w:lang w:val="en-US"/>
              </w:rPr>
              <w:t xml:space="preserve"> VERY LOW </w:t>
            </w:r>
            <w:r w:rsidR="0016026E">
              <w:rPr>
                <w:vertAlign w:val="superscript"/>
                <w:lang w:val="en-US"/>
              </w:rPr>
              <w:t>d</w:t>
            </w:r>
          </w:p>
        </w:tc>
      </w:tr>
    </w:tbl>
    <w:p w14:paraId="25EAF088" w14:textId="16F15488" w:rsidR="007A3320" w:rsidRPr="007A3320" w:rsidRDefault="007A3320" w:rsidP="000F1FBB">
      <w:pPr>
        <w:pStyle w:val="Tablenotes0"/>
        <w:rPr>
          <w:sz w:val="20"/>
        </w:rPr>
      </w:pPr>
      <w:r w:rsidRPr="007A3320">
        <w:rPr>
          <w:b/>
        </w:rPr>
        <w:t xml:space="preserve">Abbreviations: </w:t>
      </w:r>
      <w:r w:rsidR="00E248CF" w:rsidRPr="000B4DCD">
        <w:rPr>
          <w:bCs/>
        </w:rPr>
        <w:t>CI = confidence interval;</w:t>
      </w:r>
      <w:r w:rsidR="00E248CF">
        <w:rPr>
          <w:bCs/>
        </w:rPr>
        <w:t xml:space="preserve"> </w:t>
      </w:r>
      <w:r w:rsidRPr="007A3320">
        <w:t>IIT</w:t>
      </w:r>
      <w:r w:rsidR="00985963">
        <w:t xml:space="preserve"> =</w:t>
      </w:r>
      <w:r w:rsidRPr="007A3320">
        <w:t xml:space="preserve"> intensive insulin t</w:t>
      </w:r>
      <w:r w:rsidR="00B13667">
        <w:t>herapy</w:t>
      </w:r>
      <w:r w:rsidRPr="007A3320">
        <w:t>; ITT</w:t>
      </w:r>
      <w:r w:rsidR="00985963">
        <w:t xml:space="preserve"> =</w:t>
      </w:r>
      <w:r w:rsidRPr="007A3320">
        <w:t xml:space="preserve"> intention-to-treat; RT-CGM</w:t>
      </w:r>
      <w:r w:rsidR="00985963">
        <w:t xml:space="preserve"> = r</w:t>
      </w:r>
      <w:r w:rsidRPr="007A3320">
        <w:t>eal-</w:t>
      </w:r>
      <w:r w:rsidR="00985963">
        <w:t>t</w:t>
      </w:r>
      <w:r w:rsidRPr="007A3320">
        <w:t xml:space="preserve">ime </w:t>
      </w:r>
      <w:r w:rsidR="00985963">
        <w:t>c</w:t>
      </w:r>
      <w:r w:rsidRPr="007A3320">
        <w:t xml:space="preserve">ontinuous </w:t>
      </w:r>
      <w:r w:rsidR="00985963">
        <w:t>g</w:t>
      </w:r>
      <w:r w:rsidRPr="007A3320">
        <w:t xml:space="preserve">lucose </w:t>
      </w:r>
      <w:r w:rsidR="00985963">
        <w:t>m</w:t>
      </w:r>
      <w:r w:rsidRPr="007A3320">
        <w:t>onitoring; SMBG</w:t>
      </w:r>
      <w:r w:rsidR="00985963">
        <w:t xml:space="preserve"> = s</w:t>
      </w:r>
      <w:r w:rsidRPr="007A3320">
        <w:t xml:space="preserve">tandard </w:t>
      </w:r>
      <w:r w:rsidR="00985963">
        <w:t>m</w:t>
      </w:r>
      <w:r w:rsidRPr="007A3320">
        <w:t xml:space="preserve">onitoring of </w:t>
      </w:r>
      <w:r w:rsidR="00985963">
        <w:t>b</w:t>
      </w:r>
      <w:r w:rsidRPr="007A3320">
        <w:t xml:space="preserve">lood </w:t>
      </w:r>
      <w:r w:rsidR="00985963">
        <w:t>g</w:t>
      </w:r>
      <w:r w:rsidRPr="007A3320">
        <w:t xml:space="preserve">lucose. </w:t>
      </w:r>
    </w:p>
    <w:p w14:paraId="411A4CE6" w14:textId="5B555E61" w:rsidR="007A3320" w:rsidRPr="007A3320" w:rsidRDefault="00604362" w:rsidP="000F1FBB">
      <w:pPr>
        <w:pStyle w:val="Tablenotes0"/>
        <w:rPr>
          <w:sz w:val="20"/>
        </w:rPr>
      </w:pPr>
      <w:r w:rsidRPr="00604362">
        <w:rPr>
          <w:b/>
          <w:bCs/>
        </w:rPr>
        <w:t>Note</w:t>
      </w:r>
      <w:r w:rsidR="00E358C9">
        <w:rPr>
          <w:b/>
          <w:bCs/>
        </w:rPr>
        <w:t>s</w:t>
      </w:r>
      <w:r w:rsidRPr="00604362">
        <w:rPr>
          <w:b/>
          <w:bCs/>
        </w:rPr>
        <w:t>:</w:t>
      </w:r>
      <w:r>
        <w:t xml:space="preserve"> </w:t>
      </w:r>
      <w:r w:rsidR="002A5380">
        <w:t>*</w:t>
      </w:r>
      <w:r>
        <w:t xml:space="preserve"> analyses</w:t>
      </w:r>
      <w:r w:rsidR="007A3320" w:rsidRPr="007A3320">
        <w:t xml:space="preserve"> conducted </w:t>
      </w:r>
      <w:r w:rsidR="007A3320" w:rsidRPr="000F1FBB">
        <w:t>post-hoc.</w:t>
      </w:r>
      <w:r w:rsidR="007A3320" w:rsidRPr="007A3320">
        <w:rPr>
          <w:sz w:val="20"/>
        </w:rPr>
        <w:t xml:space="preserve"> </w:t>
      </w:r>
    </w:p>
    <w:p w14:paraId="0289E536" w14:textId="0604F83B" w:rsidR="00604362" w:rsidRDefault="00003C02" w:rsidP="000F1FBB">
      <w:pPr>
        <w:pStyle w:val="Tablenotes0"/>
      </w:pPr>
      <w:r w:rsidRPr="000E2889">
        <w:rPr>
          <w:bCs/>
        </w:rPr>
        <w:t>**</w:t>
      </w:r>
      <w:r w:rsidR="00B70FD4" w:rsidRPr="000E2889">
        <w:t xml:space="preserve"> </w:t>
      </w:r>
      <w:r w:rsidR="00B70FD4" w:rsidRPr="009B678C">
        <w:rPr>
          <w:bCs/>
        </w:rPr>
        <w:t>The applicant rated the evidence quality for all outcomes</w:t>
      </w:r>
      <w:r w:rsidR="00EF7B71">
        <w:rPr>
          <w:bCs/>
        </w:rPr>
        <w:t xml:space="preserve"> </w:t>
      </w:r>
      <w:r w:rsidR="00E13729">
        <w:rPr>
          <w:bCs/>
        </w:rPr>
        <w:t xml:space="preserve">as </w:t>
      </w:r>
      <w:r w:rsidR="00B70FD4" w:rsidRPr="009B678C">
        <w:rPr>
          <w:bCs/>
        </w:rPr>
        <w:t>MODERATE in the ADAR 1785 res</w:t>
      </w:r>
      <w:r w:rsidR="00B50B66" w:rsidRPr="009B678C">
        <w:rPr>
          <w:bCs/>
        </w:rPr>
        <w:t>ubmission and stated that</w:t>
      </w:r>
      <w:r w:rsidR="007A3320" w:rsidRPr="009B678C">
        <w:rPr>
          <w:bCs/>
        </w:rPr>
        <w:t xml:space="preserve"> </w:t>
      </w:r>
      <w:r w:rsidR="00B50B66" w:rsidRPr="009B678C">
        <w:rPr>
          <w:bCs/>
        </w:rPr>
        <w:t>“</w:t>
      </w:r>
      <w:r w:rsidR="007A3320" w:rsidRPr="009B678C">
        <w:rPr>
          <w:bCs/>
        </w:rPr>
        <w:t>RCTs were graded as per the ESC evaluation of Application 1785</w:t>
      </w:r>
      <w:r w:rsidR="00B50B66" w:rsidRPr="009B678C">
        <w:rPr>
          <w:bCs/>
        </w:rPr>
        <w:t xml:space="preserve">” (refer to </w:t>
      </w:r>
      <w:r w:rsidR="009F5B5D">
        <w:rPr>
          <w:bCs/>
        </w:rPr>
        <w:t>p.</w:t>
      </w:r>
      <w:r w:rsidR="00B50B66" w:rsidRPr="009B678C">
        <w:rPr>
          <w:bCs/>
        </w:rPr>
        <w:t xml:space="preserve"> 69</w:t>
      </w:r>
      <w:r w:rsidR="00882438" w:rsidRPr="009B678C">
        <w:rPr>
          <w:bCs/>
        </w:rPr>
        <w:t xml:space="preserve"> of the current </w:t>
      </w:r>
      <w:r w:rsidR="00892032">
        <w:rPr>
          <w:bCs/>
        </w:rPr>
        <w:t>ADAR</w:t>
      </w:r>
      <w:r w:rsidR="00B50B66" w:rsidRPr="009B678C">
        <w:rPr>
          <w:bCs/>
        </w:rPr>
        <w:t>)</w:t>
      </w:r>
      <w:r w:rsidR="009B678C" w:rsidRPr="009B678C">
        <w:rPr>
          <w:bCs/>
        </w:rPr>
        <w:t>.</w:t>
      </w:r>
      <w:r w:rsidR="00F94A1F">
        <w:rPr>
          <w:bCs/>
        </w:rPr>
        <w:t xml:space="preserve"> D</w:t>
      </w:r>
      <w:r w:rsidR="00707AE9">
        <w:rPr>
          <w:bCs/>
        </w:rPr>
        <w:t xml:space="preserve">uring evaluation, </w:t>
      </w:r>
      <w:r w:rsidR="002E03B9">
        <w:rPr>
          <w:bCs/>
        </w:rPr>
        <w:t xml:space="preserve">the quality of evidence </w:t>
      </w:r>
      <w:r w:rsidR="00F443E3">
        <w:rPr>
          <w:bCs/>
        </w:rPr>
        <w:t xml:space="preserve">was </w:t>
      </w:r>
      <w:r w:rsidR="00F84CAD">
        <w:rPr>
          <w:bCs/>
        </w:rPr>
        <w:t>reassessed.</w:t>
      </w:r>
    </w:p>
    <w:p w14:paraId="31AB00EF" w14:textId="121D8030" w:rsidR="00572B5E" w:rsidRDefault="00BE4BEF" w:rsidP="000F1FBB">
      <w:pPr>
        <w:pStyle w:val="Tablenotes0"/>
        <w:rPr>
          <w:b/>
        </w:rPr>
      </w:pPr>
      <w:r w:rsidRPr="00C14F23">
        <w:t>Reasons for downgrading</w:t>
      </w:r>
      <w:r w:rsidR="00572B5E">
        <w:rPr>
          <w:b/>
        </w:rPr>
        <w:t>:</w:t>
      </w:r>
    </w:p>
    <w:p w14:paraId="6091DBE6" w14:textId="57605EEF" w:rsidR="00785207" w:rsidRPr="00785207" w:rsidRDefault="00785207" w:rsidP="000F1FBB">
      <w:pPr>
        <w:pStyle w:val="Tablenotes0"/>
        <w:rPr>
          <w:bCs/>
        </w:rPr>
      </w:pPr>
      <w:r w:rsidRPr="000E2889">
        <w:rPr>
          <w:vertAlign w:val="superscript"/>
        </w:rPr>
        <w:t>a</w:t>
      </w:r>
      <w:r w:rsidRPr="00785207">
        <w:rPr>
          <w:bCs/>
        </w:rPr>
        <w:t xml:space="preserve"> Risk of bias: lack of blinding of participants may have result</w:t>
      </w:r>
      <w:r w:rsidR="007C5D88">
        <w:rPr>
          <w:bCs/>
        </w:rPr>
        <w:t xml:space="preserve">ed </w:t>
      </w:r>
      <w:r w:rsidRPr="00785207">
        <w:rPr>
          <w:bCs/>
        </w:rPr>
        <w:t xml:space="preserve">in performance bias (although </w:t>
      </w:r>
      <w:r w:rsidR="00F10AEF">
        <w:rPr>
          <w:bCs/>
        </w:rPr>
        <w:t xml:space="preserve">this is </w:t>
      </w:r>
      <w:r w:rsidRPr="00785207">
        <w:rPr>
          <w:bCs/>
        </w:rPr>
        <w:t>a low-level concern)</w:t>
      </w:r>
      <w:r w:rsidR="007C5D88">
        <w:rPr>
          <w:bCs/>
        </w:rPr>
        <w:t>, no downgrading</w:t>
      </w:r>
      <w:r w:rsidRPr="00785207">
        <w:rPr>
          <w:bCs/>
        </w:rPr>
        <w:t>; Imprecision (</w:t>
      </w:r>
      <w:r w:rsidR="003032FB" w:rsidRPr="007A3320">
        <w:rPr>
          <w:lang w:val="en-US"/>
        </w:rPr>
        <w:t>−</w:t>
      </w:r>
      <w:r w:rsidRPr="00785207">
        <w:rPr>
          <w:bCs/>
        </w:rPr>
        <w:t>2): 1 trial only with few participants</w:t>
      </w:r>
      <w:r w:rsidR="003032FB">
        <w:rPr>
          <w:bCs/>
        </w:rPr>
        <w:t>. T</w:t>
      </w:r>
      <w:r w:rsidRPr="00785207">
        <w:rPr>
          <w:bCs/>
        </w:rPr>
        <w:t xml:space="preserve">he magnitude of the difference indicated by the point effect estimate is less than the level (0.5%) generally accepted </w:t>
      </w:r>
      <w:r w:rsidR="003032FB" w:rsidRPr="00785207">
        <w:rPr>
          <w:bCs/>
        </w:rPr>
        <w:t>(including by PBAC)</w:t>
      </w:r>
      <w:r w:rsidR="003032FB">
        <w:rPr>
          <w:bCs/>
        </w:rPr>
        <w:t xml:space="preserve"> </w:t>
      </w:r>
      <w:r w:rsidRPr="00785207">
        <w:rPr>
          <w:bCs/>
        </w:rPr>
        <w:t>as sufficient to indicate a meaningful difference between groups in this outcome, and the confidence interval included the MCID threshold value Indirectness of evidence: follow</w:t>
      </w:r>
      <w:r w:rsidR="00170C0C">
        <w:rPr>
          <w:bCs/>
        </w:rPr>
        <w:t>-</w:t>
      </w:r>
      <w:r w:rsidRPr="00785207">
        <w:rPr>
          <w:bCs/>
        </w:rPr>
        <w:t>up time is relatively short, however we have not downgraded for this concern.</w:t>
      </w:r>
    </w:p>
    <w:p w14:paraId="56ADFA65" w14:textId="2726CCD8" w:rsidR="00785207" w:rsidRPr="00785207" w:rsidRDefault="00785207" w:rsidP="000F1FBB">
      <w:pPr>
        <w:pStyle w:val="Tablenotes0"/>
        <w:rPr>
          <w:bCs/>
        </w:rPr>
      </w:pPr>
      <w:r w:rsidRPr="000E2889">
        <w:rPr>
          <w:vertAlign w:val="superscript"/>
        </w:rPr>
        <w:t>b</w:t>
      </w:r>
      <w:r w:rsidRPr="00785207">
        <w:rPr>
          <w:bCs/>
        </w:rPr>
        <w:t xml:space="preserve"> Risk of bias: lack of blinding of participants may have result</w:t>
      </w:r>
      <w:r w:rsidR="00170C0C">
        <w:rPr>
          <w:bCs/>
        </w:rPr>
        <w:t>ed</w:t>
      </w:r>
      <w:r w:rsidRPr="00785207">
        <w:rPr>
          <w:bCs/>
        </w:rPr>
        <w:t xml:space="preserve"> in performance bias (although a low</w:t>
      </w:r>
      <w:r w:rsidR="00170C0C">
        <w:rPr>
          <w:bCs/>
        </w:rPr>
        <w:t>-</w:t>
      </w:r>
      <w:r w:rsidRPr="00785207">
        <w:rPr>
          <w:bCs/>
        </w:rPr>
        <w:t>level concern); Imprecision (</w:t>
      </w:r>
      <w:r w:rsidR="00170C0C" w:rsidRPr="007A3320">
        <w:rPr>
          <w:lang w:val="en-US"/>
        </w:rPr>
        <w:t>−</w:t>
      </w:r>
      <w:r w:rsidR="00334292">
        <w:rPr>
          <w:bCs/>
        </w:rPr>
        <w:t>3</w:t>
      </w:r>
      <w:r w:rsidRPr="00785207">
        <w:rPr>
          <w:bCs/>
        </w:rPr>
        <w:t xml:space="preserve">): 1 trial only with few participants, the magnitude of the difference indicated by the point effect estimate is less than the level (0.5%) generally accepted as sufficient </w:t>
      </w:r>
      <w:r w:rsidR="00D82644" w:rsidRPr="00785207">
        <w:rPr>
          <w:bCs/>
        </w:rPr>
        <w:t>(including by PBAC)</w:t>
      </w:r>
      <w:r w:rsidR="00D82644">
        <w:rPr>
          <w:bCs/>
        </w:rPr>
        <w:t xml:space="preserve"> </w:t>
      </w:r>
      <w:r w:rsidRPr="00785207">
        <w:rPr>
          <w:bCs/>
        </w:rPr>
        <w:t>to indicate a meaningful difference between groups in this outcome, and the confidence interval included the MCID threshold value</w:t>
      </w:r>
      <w:r w:rsidR="00D82644">
        <w:rPr>
          <w:bCs/>
        </w:rPr>
        <w:t>.</w:t>
      </w:r>
      <w:r w:rsidRPr="00785207">
        <w:rPr>
          <w:bCs/>
        </w:rPr>
        <w:t xml:space="preserve"> Indirectness of evidence: follow</w:t>
      </w:r>
      <w:r w:rsidR="00D82644">
        <w:rPr>
          <w:bCs/>
        </w:rPr>
        <w:t>-</w:t>
      </w:r>
      <w:r w:rsidRPr="00785207">
        <w:rPr>
          <w:bCs/>
        </w:rPr>
        <w:t>up time is relatively short, however we have not downgraded for this</w:t>
      </w:r>
      <w:r w:rsidR="00E038B8">
        <w:rPr>
          <w:bCs/>
        </w:rPr>
        <w:t xml:space="preserve"> concern</w:t>
      </w:r>
      <w:r w:rsidRPr="00785207">
        <w:rPr>
          <w:bCs/>
        </w:rPr>
        <w:t>.</w:t>
      </w:r>
    </w:p>
    <w:p w14:paraId="6B6BC77C" w14:textId="168D4207" w:rsidR="00785207" w:rsidRPr="00785207" w:rsidRDefault="00785207" w:rsidP="000F1FBB">
      <w:pPr>
        <w:pStyle w:val="Tablenotes0"/>
        <w:rPr>
          <w:bCs/>
        </w:rPr>
      </w:pPr>
      <w:r w:rsidRPr="000E2889">
        <w:rPr>
          <w:vertAlign w:val="superscript"/>
        </w:rPr>
        <w:t>c</w:t>
      </w:r>
      <w:r w:rsidRPr="00785207">
        <w:rPr>
          <w:bCs/>
        </w:rPr>
        <w:t xml:space="preserve"> Risk of bias (</w:t>
      </w:r>
      <w:r w:rsidR="00D82644" w:rsidRPr="007A3320">
        <w:rPr>
          <w:lang w:val="en-US"/>
        </w:rPr>
        <w:t>−</w:t>
      </w:r>
      <w:r w:rsidRPr="00785207">
        <w:rPr>
          <w:bCs/>
        </w:rPr>
        <w:t>1): lack of blinding of participants may have resulted in performance bias (although this is a low</w:t>
      </w:r>
      <w:r w:rsidR="00D82644">
        <w:rPr>
          <w:bCs/>
        </w:rPr>
        <w:t>-</w:t>
      </w:r>
      <w:r w:rsidRPr="00785207">
        <w:rPr>
          <w:bCs/>
        </w:rPr>
        <w:t>level concern)</w:t>
      </w:r>
      <w:r w:rsidR="00D82644">
        <w:rPr>
          <w:bCs/>
        </w:rPr>
        <w:t>. I</w:t>
      </w:r>
      <w:r w:rsidRPr="00785207">
        <w:rPr>
          <w:bCs/>
        </w:rPr>
        <w:t>mbalance in the number of participants randomly assigned to the groups (CGM n=116, SMBG n=59) is a concern</w:t>
      </w:r>
      <w:r w:rsidR="00D82644">
        <w:rPr>
          <w:bCs/>
        </w:rPr>
        <w:t>.</w:t>
      </w:r>
      <w:r w:rsidRPr="00785207">
        <w:rPr>
          <w:bCs/>
        </w:rPr>
        <w:t xml:space="preserve"> Imprecision (</w:t>
      </w:r>
      <w:r w:rsidR="00D82644" w:rsidRPr="007A3320">
        <w:rPr>
          <w:lang w:val="en-US"/>
        </w:rPr>
        <w:t>−</w:t>
      </w:r>
      <w:r w:rsidRPr="00785207">
        <w:rPr>
          <w:bCs/>
        </w:rPr>
        <w:t>2): 1 trial only with few participants, whil</w:t>
      </w:r>
      <w:r w:rsidR="002B3BF4">
        <w:rPr>
          <w:bCs/>
        </w:rPr>
        <w:t>e</w:t>
      </w:r>
      <w:r w:rsidRPr="00785207">
        <w:rPr>
          <w:bCs/>
        </w:rPr>
        <w:t xml:space="preserve"> the difference indicated by the point effect estimate is sufficient to indicate a meaningful difference, upper CI value less than MCID value, signalling uncertainty about whether the magnitude of difference required for a clinically important effect is indicated for the general population</w:t>
      </w:r>
      <w:r w:rsidR="00D82644">
        <w:rPr>
          <w:bCs/>
        </w:rPr>
        <w:t>.</w:t>
      </w:r>
      <w:r w:rsidRPr="00785207">
        <w:rPr>
          <w:bCs/>
        </w:rPr>
        <w:t xml:space="preserve"> Indirectness of evidence: follow</w:t>
      </w:r>
      <w:r w:rsidR="00D82644">
        <w:rPr>
          <w:bCs/>
        </w:rPr>
        <w:t>-</w:t>
      </w:r>
      <w:r w:rsidRPr="00785207">
        <w:rPr>
          <w:bCs/>
        </w:rPr>
        <w:t>up time is relatively short, however we have not downgraded for this concern.</w:t>
      </w:r>
    </w:p>
    <w:p w14:paraId="35C221F1" w14:textId="38DE2495" w:rsidR="001A6B6E" w:rsidRPr="00785207" w:rsidRDefault="00785207" w:rsidP="000F1FBB">
      <w:pPr>
        <w:pStyle w:val="Tablenotes0"/>
      </w:pPr>
      <w:r w:rsidRPr="000E2889">
        <w:rPr>
          <w:vertAlign w:val="superscript"/>
        </w:rPr>
        <w:t>d</w:t>
      </w:r>
      <w:r w:rsidRPr="00785207">
        <w:rPr>
          <w:bCs/>
        </w:rPr>
        <w:t xml:space="preserve"> Risk of bias (</w:t>
      </w:r>
      <w:r w:rsidR="00D82644" w:rsidRPr="007A3320">
        <w:rPr>
          <w:lang w:val="en-US"/>
        </w:rPr>
        <w:t>−</w:t>
      </w:r>
      <w:r w:rsidRPr="00785207">
        <w:rPr>
          <w:bCs/>
        </w:rPr>
        <w:t>1): lack of blinding of participants may have result</w:t>
      </w:r>
      <w:r w:rsidR="00644561">
        <w:rPr>
          <w:bCs/>
        </w:rPr>
        <w:t>ed</w:t>
      </w:r>
      <w:r w:rsidRPr="00785207">
        <w:rPr>
          <w:bCs/>
        </w:rPr>
        <w:t xml:space="preserve"> in performance bias (although a low</w:t>
      </w:r>
      <w:r w:rsidR="00D82644">
        <w:rPr>
          <w:bCs/>
        </w:rPr>
        <w:t>-</w:t>
      </w:r>
      <w:r w:rsidRPr="00785207">
        <w:rPr>
          <w:bCs/>
        </w:rPr>
        <w:t>level concern) and imbalance in the number of participants assigned to the groups is a concern</w:t>
      </w:r>
      <w:r w:rsidR="00D82644">
        <w:rPr>
          <w:bCs/>
        </w:rPr>
        <w:t>.</w:t>
      </w:r>
      <w:r w:rsidRPr="00785207">
        <w:rPr>
          <w:bCs/>
        </w:rPr>
        <w:t xml:space="preserve"> Imprecision (</w:t>
      </w:r>
      <w:r w:rsidR="00D82644" w:rsidRPr="007A3320">
        <w:rPr>
          <w:lang w:val="en-US"/>
        </w:rPr>
        <w:t>−</w:t>
      </w:r>
      <w:r w:rsidRPr="00785207">
        <w:rPr>
          <w:bCs/>
        </w:rPr>
        <w:t>2): 1 trial only with few participants</w:t>
      </w:r>
      <w:r w:rsidR="00D82644">
        <w:rPr>
          <w:bCs/>
        </w:rPr>
        <w:t>. T</w:t>
      </w:r>
      <w:r w:rsidRPr="00785207">
        <w:rPr>
          <w:bCs/>
        </w:rPr>
        <w:t xml:space="preserve">he magnitude of the difference indicated by the point effect estimate is less than the level (0.5%) generally accepted as sufficient </w:t>
      </w:r>
      <w:r w:rsidR="00D82644" w:rsidRPr="00785207">
        <w:rPr>
          <w:bCs/>
        </w:rPr>
        <w:t>(including by PBAC)</w:t>
      </w:r>
      <w:r w:rsidR="00D82644">
        <w:rPr>
          <w:bCs/>
        </w:rPr>
        <w:t xml:space="preserve"> </w:t>
      </w:r>
      <w:r w:rsidRPr="00785207">
        <w:rPr>
          <w:bCs/>
        </w:rPr>
        <w:t xml:space="preserve">to indicate a meaningful difference between groups, and </w:t>
      </w:r>
      <w:r w:rsidR="00D82644">
        <w:rPr>
          <w:bCs/>
        </w:rPr>
        <w:t xml:space="preserve">the </w:t>
      </w:r>
      <w:r w:rsidRPr="00785207">
        <w:rPr>
          <w:bCs/>
        </w:rPr>
        <w:t>upper CI value is less than the commonly accepted MCID value (0.5%)</w:t>
      </w:r>
      <w:r w:rsidR="004B294E">
        <w:rPr>
          <w:bCs/>
        </w:rPr>
        <w:t>.</w:t>
      </w:r>
    </w:p>
    <w:p w14:paraId="32A241A5" w14:textId="18B50722" w:rsidR="006A39AC" w:rsidRPr="006A39AC" w:rsidRDefault="00E738D6" w:rsidP="00D86A7D">
      <w:pPr>
        <w:pStyle w:val="Caption"/>
        <w:keepLines/>
      </w:pPr>
      <w:bookmarkStart w:id="34" w:name="_Ref229049801"/>
      <w:bookmarkStart w:id="35" w:name="_Toc224815300"/>
      <w:r>
        <w:lastRenderedPageBreak/>
        <w:t xml:space="preserve">Table </w:t>
      </w:r>
      <w:r>
        <w:fldChar w:fldCharType="begin"/>
      </w:r>
      <w:r>
        <w:instrText>SEQ Table \* ARABIC</w:instrText>
      </w:r>
      <w:r>
        <w:fldChar w:fldCharType="separate"/>
      </w:r>
      <w:r w:rsidR="0098516D">
        <w:rPr>
          <w:noProof/>
        </w:rPr>
        <w:t>10</w:t>
      </w:r>
      <w:r>
        <w:fldChar w:fldCharType="end"/>
      </w:r>
      <w:bookmarkEnd w:id="34"/>
      <w:r>
        <w:t xml:space="preserve">: </w:t>
      </w:r>
      <w:r w:rsidR="006A39AC" w:rsidRPr="006A39AC">
        <w:t xml:space="preserve">Clinical trial results conducted </w:t>
      </w:r>
      <w:r w:rsidR="006A39AC" w:rsidRPr="0037593B">
        <w:t>post-hoc</w:t>
      </w:r>
      <w:r w:rsidR="006A39AC" w:rsidRPr="006A39AC">
        <w:t xml:space="preserve"> and stratified by baseline </w:t>
      </w:r>
      <w:r w:rsidR="003C5961">
        <w:t>%</w:t>
      </w:r>
      <w:r w:rsidR="006A39AC" w:rsidRPr="006A39AC">
        <w:t>HbA1c change</w:t>
      </w:r>
      <w:r w:rsidR="002674E9">
        <w:t xml:space="preserve"> </w:t>
      </w:r>
      <w:r w:rsidR="006A39AC" w:rsidRPr="006A39AC">
        <w:t xml:space="preserve">for RT-CGM vs SMBG at 8 months (MOBILE) </w:t>
      </w:r>
      <w:bookmarkEnd w:id="35"/>
    </w:p>
    <w:tbl>
      <w:tblPr>
        <w:tblStyle w:val="TableGrid"/>
        <w:tblW w:w="5000" w:type="pct"/>
        <w:tblLook w:val="04A0" w:firstRow="1" w:lastRow="0" w:firstColumn="1" w:lastColumn="0" w:noHBand="0" w:noVBand="1"/>
      </w:tblPr>
      <w:tblGrid>
        <w:gridCol w:w="1280"/>
        <w:gridCol w:w="1125"/>
        <w:gridCol w:w="1327"/>
        <w:gridCol w:w="2101"/>
        <w:gridCol w:w="3183"/>
      </w:tblGrid>
      <w:tr w:rsidR="00242E03" w:rsidRPr="006A39AC" w14:paraId="39C00D1A" w14:textId="77777777" w:rsidTr="00242E03">
        <w:trPr>
          <w:trHeight w:val="20"/>
          <w:tblHeader/>
        </w:trPr>
        <w:tc>
          <w:tcPr>
            <w:tcW w:w="710" w:type="pct"/>
            <w:vMerge w:val="restart"/>
            <w:shd w:val="clear" w:color="auto" w:fill="D9D9D9" w:themeFill="background1" w:themeFillShade="D9"/>
          </w:tcPr>
          <w:p w14:paraId="15BD259E" w14:textId="77777777" w:rsidR="00242E03" w:rsidRPr="00F11331" w:rsidRDefault="00242E03" w:rsidP="00D86A7D">
            <w:pPr>
              <w:pStyle w:val="In-tableHeading"/>
              <w:keepLines/>
            </w:pPr>
            <w:r w:rsidRPr="00F11331">
              <w:t xml:space="preserve">Baseline HbA1c </w:t>
            </w:r>
          </w:p>
        </w:tc>
        <w:tc>
          <w:tcPr>
            <w:tcW w:w="1360" w:type="pct"/>
            <w:gridSpan w:val="2"/>
            <w:shd w:val="clear" w:color="auto" w:fill="D9D9D9" w:themeFill="background1" w:themeFillShade="D9"/>
          </w:tcPr>
          <w:p w14:paraId="1458ED9A" w14:textId="77777777" w:rsidR="00242E03" w:rsidRPr="00F11331" w:rsidRDefault="00242E03" w:rsidP="00D86A7D">
            <w:pPr>
              <w:pStyle w:val="In-tableHeading"/>
              <w:keepLines/>
            </w:pPr>
            <w:r w:rsidRPr="00F11331">
              <w:t>Mean change from baseline</w:t>
            </w:r>
          </w:p>
        </w:tc>
        <w:tc>
          <w:tcPr>
            <w:tcW w:w="1165" w:type="pct"/>
            <w:vMerge w:val="restart"/>
            <w:shd w:val="clear" w:color="auto" w:fill="D9D9D9" w:themeFill="background1" w:themeFillShade="D9"/>
          </w:tcPr>
          <w:p w14:paraId="329FE033" w14:textId="2B17DB4B" w:rsidR="00242E03" w:rsidRPr="00945C43" w:rsidRDefault="00242E03" w:rsidP="00D86A7D">
            <w:pPr>
              <w:pStyle w:val="In-tableHeading"/>
              <w:keepLines/>
            </w:pPr>
            <w:r w:rsidRPr="00F11331">
              <w:t>Mean (95% CI) adjusted difference</w:t>
            </w:r>
            <w:r w:rsidR="006854E8">
              <w:rPr>
                <w:vertAlign w:val="superscript"/>
              </w:rPr>
              <w:t>*</w:t>
            </w:r>
            <w:r w:rsidRPr="00945C43">
              <w:t>; p</w:t>
            </w:r>
            <w:r w:rsidR="005D11CB">
              <w:t xml:space="preserve"> </w:t>
            </w:r>
            <w:r w:rsidRPr="00945C43">
              <w:t>value</w:t>
            </w:r>
          </w:p>
        </w:tc>
        <w:tc>
          <w:tcPr>
            <w:tcW w:w="1765" w:type="pct"/>
            <w:vMerge w:val="restart"/>
            <w:shd w:val="clear" w:color="auto" w:fill="D9D9D9" w:themeFill="background1" w:themeFillShade="D9"/>
          </w:tcPr>
          <w:p w14:paraId="6FF07AE1" w14:textId="77777777" w:rsidR="00B80C07" w:rsidRPr="00B67228" w:rsidRDefault="00B80C07" w:rsidP="00D86A7D">
            <w:pPr>
              <w:pStyle w:val="In-tableHeading"/>
              <w:keepLines/>
            </w:pPr>
            <w:r w:rsidRPr="00B67228">
              <w:t>Quality of evidence</w:t>
            </w:r>
          </w:p>
          <w:p w14:paraId="5FCC3FFF" w14:textId="01C332B7" w:rsidR="00242E03" w:rsidRPr="00F11331" w:rsidRDefault="005E79B0" w:rsidP="00D86A7D">
            <w:pPr>
              <w:pStyle w:val="In-tableHeading"/>
              <w:keepLines/>
            </w:pPr>
            <w:r w:rsidRPr="00F11331">
              <w:t>[Reassessment]</w:t>
            </w:r>
            <w:r w:rsidR="00B80C07">
              <w:t xml:space="preserve"> **</w:t>
            </w:r>
          </w:p>
        </w:tc>
      </w:tr>
      <w:tr w:rsidR="00242E03" w:rsidRPr="006A39AC" w14:paraId="60C2D030" w14:textId="77777777" w:rsidTr="00945C43">
        <w:trPr>
          <w:trHeight w:val="20"/>
          <w:tblHeader/>
        </w:trPr>
        <w:tc>
          <w:tcPr>
            <w:tcW w:w="710" w:type="pct"/>
            <w:vMerge/>
            <w:shd w:val="clear" w:color="auto" w:fill="D9D9D9" w:themeFill="background1" w:themeFillShade="D9"/>
          </w:tcPr>
          <w:p w14:paraId="17C374C4" w14:textId="77777777" w:rsidR="00242E03" w:rsidRPr="006A39AC" w:rsidRDefault="00242E03" w:rsidP="00D86A7D">
            <w:pPr>
              <w:pStyle w:val="Instructionaltext"/>
              <w:keepNext/>
              <w:keepLines/>
              <w:spacing w:after="160" w:line="259" w:lineRule="auto"/>
              <w:rPr>
                <w:b/>
                <w:bCs/>
              </w:rPr>
            </w:pPr>
          </w:p>
        </w:tc>
        <w:tc>
          <w:tcPr>
            <w:tcW w:w="624" w:type="pct"/>
            <w:shd w:val="clear" w:color="auto" w:fill="D9D9D9" w:themeFill="background1" w:themeFillShade="D9"/>
          </w:tcPr>
          <w:p w14:paraId="40634045" w14:textId="77777777" w:rsidR="00242E03" w:rsidRPr="006A39AC" w:rsidRDefault="00242E03" w:rsidP="00D86A7D">
            <w:pPr>
              <w:pStyle w:val="In-tableHeading"/>
              <w:keepLines/>
            </w:pPr>
            <w:r w:rsidRPr="006A39AC">
              <w:t>RT-CGM</w:t>
            </w:r>
          </w:p>
        </w:tc>
        <w:tc>
          <w:tcPr>
            <w:tcW w:w="736" w:type="pct"/>
            <w:shd w:val="clear" w:color="auto" w:fill="D9D9D9" w:themeFill="background1" w:themeFillShade="D9"/>
          </w:tcPr>
          <w:p w14:paraId="3AA57254" w14:textId="77777777" w:rsidR="00242E03" w:rsidRPr="006A39AC" w:rsidRDefault="00242E03" w:rsidP="00D86A7D">
            <w:pPr>
              <w:pStyle w:val="In-tableHeading"/>
              <w:keepLines/>
            </w:pPr>
            <w:r w:rsidRPr="006A39AC">
              <w:t>SMBG</w:t>
            </w:r>
          </w:p>
        </w:tc>
        <w:tc>
          <w:tcPr>
            <w:tcW w:w="1165" w:type="pct"/>
            <w:vMerge/>
            <w:shd w:val="clear" w:color="auto" w:fill="D9D9D9" w:themeFill="background1" w:themeFillShade="D9"/>
          </w:tcPr>
          <w:p w14:paraId="781FE37E" w14:textId="77777777" w:rsidR="00242E03" w:rsidRPr="006A39AC" w:rsidRDefault="00242E03" w:rsidP="00D86A7D">
            <w:pPr>
              <w:pStyle w:val="Instructionaltext"/>
              <w:keepNext/>
              <w:keepLines/>
              <w:spacing w:after="160" w:line="259" w:lineRule="auto"/>
              <w:rPr>
                <w:b/>
                <w:bCs/>
              </w:rPr>
            </w:pPr>
          </w:p>
        </w:tc>
        <w:tc>
          <w:tcPr>
            <w:tcW w:w="1765" w:type="pct"/>
            <w:vMerge/>
            <w:shd w:val="clear" w:color="auto" w:fill="D9D9D9" w:themeFill="background1" w:themeFillShade="D9"/>
          </w:tcPr>
          <w:p w14:paraId="697FA3FB" w14:textId="77777777" w:rsidR="00242E03" w:rsidRPr="006A39AC" w:rsidRDefault="00242E03" w:rsidP="00D86A7D">
            <w:pPr>
              <w:pStyle w:val="Instructionaltext"/>
              <w:keepNext/>
              <w:keepLines/>
              <w:spacing w:after="160" w:line="259" w:lineRule="auto"/>
              <w:rPr>
                <w:b/>
                <w:bCs/>
              </w:rPr>
            </w:pPr>
          </w:p>
        </w:tc>
      </w:tr>
      <w:tr w:rsidR="006A39AC" w:rsidRPr="006A39AC" w14:paraId="68D02E2D" w14:textId="77777777">
        <w:trPr>
          <w:trHeight w:val="20"/>
        </w:trPr>
        <w:tc>
          <w:tcPr>
            <w:tcW w:w="5000" w:type="pct"/>
            <w:gridSpan w:val="5"/>
            <w:shd w:val="clear" w:color="auto" w:fill="DEEAF6" w:themeFill="accent1" w:themeFillTint="33"/>
          </w:tcPr>
          <w:p w14:paraId="6B103BBA" w14:textId="603943F6" w:rsidR="006A39AC" w:rsidRPr="006A39AC" w:rsidRDefault="00A83B08" w:rsidP="00D86A7D">
            <w:pPr>
              <w:pStyle w:val="In-tableHeading"/>
              <w:keepLines/>
            </w:pPr>
            <w:r w:rsidRPr="006A39AC">
              <w:t xml:space="preserve">Non-IIT subpopulation: MOBILE (8 months) </w:t>
            </w:r>
          </w:p>
        </w:tc>
      </w:tr>
      <w:tr w:rsidR="006A39AC" w:rsidRPr="006A39AC" w14:paraId="48B2E819" w14:textId="77777777" w:rsidTr="00F24F68">
        <w:trPr>
          <w:trHeight w:val="20"/>
        </w:trPr>
        <w:tc>
          <w:tcPr>
            <w:tcW w:w="710" w:type="pct"/>
          </w:tcPr>
          <w:p w14:paraId="15886BDC" w14:textId="0ADA37C4" w:rsidR="006A39AC" w:rsidRPr="006A39AC" w:rsidRDefault="00F71D5C" w:rsidP="00D86A7D">
            <w:pPr>
              <w:pStyle w:val="Tabletext0"/>
              <w:keepNext/>
              <w:keepLines/>
              <w:rPr>
                <w:lang w:val="en-US"/>
              </w:rPr>
            </w:pPr>
            <w:r>
              <w:rPr>
                <w:lang w:val="en-US"/>
              </w:rPr>
              <w:t>≥</w:t>
            </w:r>
            <w:r w:rsidR="00700DDD">
              <w:rPr>
                <w:lang w:val="en-US"/>
              </w:rPr>
              <w:t>8.5%</w:t>
            </w:r>
            <w:r w:rsidR="000D436E">
              <w:rPr>
                <w:lang w:val="en-US"/>
              </w:rPr>
              <w:t xml:space="preserve"> </w:t>
            </w:r>
          </w:p>
        </w:tc>
        <w:tc>
          <w:tcPr>
            <w:tcW w:w="624" w:type="pct"/>
          </w:tcPr>
          <w:p w14:paraId="2D9EA5E6" w14:textId="77777777" w:rsidR="006A39AC" w:rsidRPr="006A39AC" w:rsidRDefault="006A39AC" w:rsidP="00D86A7D">
            <w:pPr>
              <w:pStyle w:val="Tabletext0"/>
              <w:keepNext/>
              <w:keepLines/>
              <w:rPr>
                <w:lang w:val="en-US"/>
              </w:rPr>
            </w:pPr>
            <w:r w:rsidRPr="006A39AC">
              <w:rPr>
                <w:lang w:val="en-US"/>
              </w:rPr>
              <w:t>−1.4 (n=74)</w:t>
            </w:r>
          </w:p>
        </w:tc>
        <w:tc>
          <w:tcPr>
            <w:tcW w:w="736" w:type="pct"/>
          </w:tcPr>
          <w:p w14:paraId="3A4F2D44" w14:textId="77777777" w:rsidR="006A39AC" w:rsidRPr="006A39AC" w:rsidRDefault="006A39AC" w:rsidP="00D86A7D">
            <w:pPr>
              <w:pStyle w:val="Tabletext0"/>
              <w:keepNext/>
              <w:keepLines/>
              <w:rPr>
                <w:lang w:val="en-US"/>
              </w:rPr>
            </w:pPr>
            <w:r w:rsidRPr="006A39AC">
              <w:rPr>
                <w:lang w:val="en-US"/>
              </w:rPr>
              <w:t>−0.9 (n=35)</w:t>
            </w:r>
          </w:p>
        </w:tc>
        <w:tc>
          <w:tcPr>
            <w:tcW w:w="1165" w:type="pct"/>
          </w:tcPr>
          <w:p w14:paraId="0A8852D6" w14:textId="77777777" w:rsidR="006A39AC" w:rsidRPr="006A39AC" w:rsidRDefault="006A39AC" w:rsidP="00D86A7D">
            <w:pPr>
              <w:pStyle w:val="Tabletext0"/>
              <w:keepNext/>
              <w:keepLines/>
              <w:rPr>
                <w:lang w:val="en-US"/>
              </w:rPr>
            </w:pPr>
            <w:r w:rsidRPr="006A39AC">
              <w:rPr>
                <w:lang w:val="en-US"/>
              </w:rPr>
              <w:t>−0.4 (−0.8, 0.1); p=0.10</w:t>
            </w:r>
          </w:p>
        </w:tc>
        <w:tc>
          <w:tcPr>
            <w:tcW w:w="1765" w:type="pct"/>
          </w:tcPr>
          <w:p w14:paraId="38C71665" w14:textId="7AACCD10" w:rsidR="006A39AC" w:rsidRPr="006A39AC" w:rsidRDefault="006A39AC" w:rsidP="00D86A7D">
            <w:pPr>
              <w:pStyle w:val="Tabletext0"/>
              <w:keepNext/>
              <w:keepLines/>
              <w:rPr>
                <w:lang w:val="en-US"/>
              </w:rPr>
            </w:pPr>
            <w:r w:rsidRPr="006A39AC">
              <w:rPr>
                <w:rFonts w:ascii="Cambria Math" w:hAnsi="Cambria Math" w:cs="Cambria Math"/>
                <w:lang w:val="en-US"/>
              </w:rPr>
              <w:t>⨁⨀⨀⨀</w:t>
            </w:r>
            <w:r w:rsidRPr="006A39AC">
              <w:rPr>
                <w:lang w:val="en-US"/>
              </w:rPr>
              <w:t xml:space="preserve"> VERY LOW </w:t>
            </w:r>
            <w:r w:rsidR="0016026E">
              <w:rPr>
                <w:vertAlign w:val="superscript"/>
                <w:lang w:val="en-US"/>
              </w:rPr>
              <w:t>a</w:t>
            </w:r>
          </w:p>
        </w:tc>
      </w:tr>
      <w:tr w:rsidR="006A39AC" w:rsidRPr="006A39AC" w14:paraId="76DE877A" w14:textId="77777777" w:rsidTr="00F24F68">
        <w:trPr>
          <w:trHeight w:val="20"/>
        </w:trPr>
        <w:tc>
          <w:tcPr>
            <w:tcW w:w="710" w:type="pct"/>
          </w:tcPr>
          <w:p w14:paraId="127EE4E5" w14:textId="77777777" w:rsidR="006A39AC" w:rsidRPr="006A39AC" w:rsidRDefault="006A39AC" w:rsidP="00D86A7D">
            <w:pPr>
              <w:pStyle w:val="Tabletext0"/>
              <w:keepNext/>
              <w:keepLines/>
              <w:rPr>
                <w:lang w:val="en-US"/>
              </w:rPr>
            </w:pPr>
            <w:r w:rsidRPr="006A39AC">
              <w:rPr>
                <w:lang w:val="en-US"/>
              </w:rPr>
              <w:t>≥9.0%</w:t>
            </w:r>
          </w:p>
        </w:tc>
        <w:tc>
          <w:tcPr>
            <w:tcW w:w="624" w:type="pct"/>
          </w:tcPr>
          <w:p w14:paraId="291FE88E" w14:textId="77777777" w:rsidR="006A39AC" w:rsidRPr="006A39AC" w:rsidRDefault="006A39AC" w:rsidP="00D86A7D">
            <w:pPr>
              <w:pStyle w:val="Tabletext0"/>
              <w:keepNext/>
              <w:keepLines/>
              <w:rPr>
                <w:lang w:val="en-US"/>
              </w:rPr>
            </w:pPr>
            <w:r w:rsidRPr="006A39AC">
              <w:rPr>
                <w:lang w:val="en-US"/>
              </w:rPr>
              <w:t>−1.4 (n=53)</w:t>
            </w:r>
          </w:p>
        </w:tc>
        <w:tc>
          <w:tcPr>
            <w:tcW w:w="736" w:type="pct"/>
          </w:tcPr>
          <w:p w14:paraId="48294E60" w14:textId="77777777" w:rsidR="006A39AC" w:rsidRPr="006A39AC" w:rsidRDefault="006A39AC" w:rsidP="00D86A7D">
            <w:pPr>
              <w:pStyle w:val="Tabletext0"/>
              <w:keepNext/>
              <w:keepLines/>
              <w:rPr>
                <w:lang w:val="en-US"/>
              </w:rPr>
            </w:pPr>
            <w:r w:rsidRPr="006A39AC">
              <w:rPr>
                <w:lang w:val="en-US"/>
              </w:rPr>
              <w:t>−1.0 (n=27)</w:t>
            </w:r>
          </w:p>
        </w:tc>
        <w:tc>
          <w:tcPr>
            <w:tcW w:w="1165" w:type="pct"/>
          </w:tcPr>
          <w:p w14:paraId="73B09AF4" w14:textId="77777777" w:rsidR="006A39AC" w:rsidRPr="006A39AC" w:rsidRDefault="006A39AC" w:rsidP="00D86A7D">
            <w:pPr>
              <w:pStyle w:val="Tabletext0"/>
              <w:keepNext/>
              <w:keepLines/>
              <w:rPr>
                <w:lang w:val="en-US"/>
              </w:rPr>
            </w:pPr>
            <w:r w:rsidRPr="006A39AC">
              <w:rPr>
                <w:lang w:val="en-US"/>
              </w:rPr>
              <w:t>−0.3 (−0.8, 0.3); p=0.37</w:t>
            </w:r>
          </w:p>
        </w:tc>
        <w:tc>
          <w:tcPr>
            <w:tcW w:w="1765" w:type="pct"/>
          </w:tcPr>
          <w:p w14:paraId="73935987" w14:textId="5243D293" w:rsidR="006A39AC" w:rsidRPr="006A39AC" w:rsidRDefault="006A39AC" w:rsidP="00D86A7D">
            <w:pPr>
              <w:pStyle w:val="Tabletext0"/>
              <w:keepNext/>
              <w:keepLines/>
              <w:rPr>
                <w:lang w:val="en-US"/>
              </w:rPr>
            </w:pPr>
            <w:r w:rsidRPr="006A39AC">
              <w:rPr>
                <w:rFonts w:ascii="Cambria Math" w:hAnsi="Cambria Math" w:cs="Cambria Math"/>
                <w:lang w:val="en-US"/>
              </w:rPr>
              <w:t>⨁⨀⨀⨀</w:t>
            </w:r>
            <w:r w:rsidRPr="006A39AC">
              <w:rPr>
                <w:lang w:val="en-US"/>
              </w:rPr>
              <w:t xml:space="preserve"> VERY LOW </w:t>
            </w:r>
            <w:r w:rsidR="0016026E">
              <w:rPr>
                <w:vertAlign w:val="superscript"/>
                <w:lang w:val="en-US"/>
              </w:rPr>
              <w:t>a</w:t>
            </w:r>
          </w:p>
        </w:tc>
      </w:tr>
      <w:tr w:rsidR="006A39AC" w:rsidRPr="006A39AC" w14:paraId="7633CF30" w14:textId="77777777" w:rsidTr="00F24F68">
        <w:trPr>
          <w:trHeight w:val="75"/>
        </w:trPr>
        <w:tc>
          <w:tcPr>
            <w:tcW w:w="710" w:type="pct"/>
          </w:tcPr>
          <w:p w14:paraId="520041D7" w14:textId="77777777" w:rsidR="006A39AC" w:rsidRPr="006A39AC" w:rsidRDefault="006A39AC" w:rsidP="00D86A7D">
            <w:pPr>
              <w:pStyle w:val="Tabletext0"/>
              <w:keepNext/>
              <w:keepLines/>
              <w:rPr>
                <w:lang w:val="en-US"/>
              </w:rPr>
            </w:pPr>
            <w:r w:rsidRPr="006A39AC">
              <w:rPr>
                <w:lang w:val="en-US"/>
              </w:rPr>
              <w:t>≥9.5%</w:t>
            </w:r>
          </w:p>
        </w:tc>
        <w:tc>
          <w:tcPr>
            <w:tcW w:w="624" w:type="pct"/>
          </w:tcPr>
          <w:p w14:paraId="6EEAABF2" w14:textId="77777777" w:rsidR="006A39AC" w:rsidRPr="006A39AC" w:rsidRDefault="006A39AC" w:rsidP="00D86A7D">
            <w:pPr>
              <w:pStyle w:val="Tabletext0"/>
              <w:keepNext/>
              <w:keepLines/>
              <w:rPr>
                <w:lang w:val="en-US"/>
              </w:rPr>
            </w:pPr>
            <w:r w:rsidRPr="006A39AC">
              <w:rPr>
                <w:lang w:val="en-US"/>
              </w:rPr>
              <w:t>−1.7 (n=39)</w:t>
            </w:r>
          </w:p>
        </w:tc>
        <w:tc>
          <w:tcPr>
            <w:tcW w:w="736" w:type="pct"/>
          </w:tcPr>
          <w:p w14:paraId="3BD350C2" w14:textId="77777777" w:rsidR="006A39AC" w:rsidRPr="006A39AC" w:rsidRDefault="006A39AC" w:rsidP="00D86A7D">
            <w:pPr>
              <w:pStyle w:val="Tabletext0"/>
              <w:keepNext/>
              <w:keepLines/>
              <w:rPr>
                <w:lang w:val="en-US"/>
              </w:rPr>
            </w:pPr>
            <w:r w:rsidRPr="006A39AC">
              <w:rPr>
                <w:lang w:val="en-US"/>
              </w:rPr>
              <w:t>−0.9 (n=13)</w:t>
            </w:r>
          </w:p>
        </w:tc>
        <w:tc>
          <w:tcPr>
            <w:tcW w:w="1165" w:type="pct"/>
          </w:tcPr>
          <w:p w14:paraId="34CE0768" w14:textId="77777777" w:rsidR="006A39AC" w:rsidRPr="006A39AC" w:rsidRDefault="006A39AC" w:rsidP="00D86A7D">
            <w:pPr>
              <w:pStyle w:val="Tabletext0"/>
              <w:keepNext/>
              <w:keepLines/>
              <w:rPr>
                <w:lang w:val="en-US"/>
              </w:rPr>
            </w:pPr>
            <w:r w:rsidRPr="006A39AC">
              <w:rPr>
                <w:lang w:val="en-US"/>
              </w:rPr>
              <w:t>−0.8 (−1.6, 0.1); p=0.06</w:t>
            </w:r>
          </w:p>
        </w:tc>
        <w:tc>
          <w:tcPr>
            <w:tcW w:w="1765" w:type="pct"/>
          </w:tcPr>
          <w:p w14:paraId="74FBAD49" w14:textId="0EF243AC" w:rsidR="006A39AC" w:rsidRPr="006A39AC" w:rsidRDefault="006A39AC" w:rsidP="00D86A7D">
            <w:pPr>
              <w:pStyle w:val="Tabletext0"/>
              <w:keepNext/>
              <w:keepLines/>
              <w:rPr>
                <w:lang w:val="en-US"/>
              </w:rPr>
            </w:pPr>
            <w:r w:rsidRPr="006A39AC">
              <w:rPr>
                <w:rFonts w:ascii="Cambria Math" w:hAnsi="Cambria Math" w:cs="Cambria Math"/>
                <w:lang w:val="en-US"/>
              </w:rPr>
              <w:t>⨁⨀⨀⨀</w:t>
            </w:r>
            <w:r w:rsidRPr="006A39AC">
              <w:rPr>
                <w:lang w:val="en-US"/>
              </w:rPr>
              <w:t xml:space="preserve"> VERY LOW </w:t>
            </w:r>
            <w:r w:rsidR="0016026E">
              <w:rPr>
                <w:vertAlign w:val="superscript"/>
                <w:lang w:val="en-US"/>
              </w:rPr>
              <w:t>b</w:t>
            </w:r>
          </w:p>
        </w:tc>
      </w:tr>
      <w:tr w:rsidR="006A39AC" w:rsidRPr="006A39AC" w14:paraId="29AD6D2C" w14:textId="77777777" w:rsidTr="00F24F68">
        <w:trPr>
          <w:trHeight w:val="20"/>
        </w:trPr>
        <w:tc>
          <w:tcPr>
            <w:tcW w:w="710" w:type="pct"/>
          </w:tcPr>
          <w:p w14:paraId="3CA06670" w14:textId="77777777" w:rsidR="006A39AC" w:rsidRPr="006A39AC" w:rsidRDefault="006A39AC" w:rsidP="00D86A7D">
            <w:pPr>
              <w:pStyle w:val="Tabletext0"/>
              <w:keepNext/>
              <w:keepLines/>
              <w:rPr>
                <w:lang w:val="en-US"/>
              </w:rPr>
            </w:pPr>
            <w:r w:rsidRPr="006A39AC">
              <w:rPr>
                <w:lang w:val="en-US"/>
              </w:rPr>
              <w:t>≥10.0%</w:t>
            </w:r>
          </w:p>
        </w:tc>
        <w:tc>
          <w:tcPr>
            <w:tcW w:w="624" w:type="pct"/>
          </w:tcPr>
          <w:p w14:paraId="7086B638" w14:textId="77777777" w:rsidR="006A39AC" w:rsidRPr="006A39AC" w:rsidRDefault="006A39AC" w:rsidP="00D86A7D">
            <w:pPr>
              <w:pStyle w:val="Tabletext0"/>
              <w:keepNext/>
              <w:keepLines/>
              <w:rPr>
                <w:lang w:val="en-US"/>
              </w:rPr>
            </w:pPr>
            <w:r w:rsidRPr="006A39AC">
              <w:rPr>
                <w:lang w:val="en-US"/>
              </w:rPr>
              <w:t>−2.1 (n=22)</w:t>
            </w:r>
          </w:p>
        </w:tc>
        <w:tc>
          <w:tcPr>
            <w:tcW w:w="736" w:type="pct"/>
          </w:tcPr>
          <w:p w14:paraId="7B0972E2" w14:textId="77777777" w:rsidR="006A39AC" w:rsidRPr="006A39AC" w:rsidRDefault="006A39AC" w:rsidP="00D86A7D">
            <w:pPr>
              <w:pStyle w:val="Tabletext0"/>
              <w:keepNext/>
              <w:keepLines/>
              <w:rPr>
                <w:lang w:val="en-US"/>
              </w:rPr>
            </w:pPr>
            <w:r w:rsidRPr="006A39AC">
              <w:rPr>
                <w:lang w:val="en-US"/>
              </w:rPr>
              <w:t>−0.4 (n=8)</w:t>
            </w:r>
          </w:p>
        </w:tc>
        <w:tc>
          <w:tcPr>
            <w:tcW w:w="1165" w:type="pct"/>
          </w:tcPr>
          <w:p w14:paraId="348941B6" w14:textId="77777777" w:rsidR="006A39AC" w:rsidRPr="006A39AC" w:rsidRDefault="006A39AC" w:rsidP="00D86A7D">
            <w:pPr>
              <w:pStyle w:val="Tabletext0"/>
              <w:keepNext/>
              <w:keepLines/>
              <w:rPr>
                <w:lang w:val="en-US"/>
              </w:rPr>
            </w:pPr>
            <w:r w:rsidRPr="006A39AC">
              <w:rPr>
                <w:lang w:val="en-US"/>
              </w:rPr>
              <w:t>−1.5 (−2.6, −0.5); p=0.005</w:t>
            </w:r>
          </w:p>
        </w:tc>
        <w:tc>
          <w:tcPr>
            <w:tcW w:w="1765" w:type="pct"/>
          </w:tcPr>
          <w:p w14:paraId="0000619D" w14:textId="7F1AD108" w:rsidR="006A39AC" w:rsidRPr="006A39AC" w:rsidRDefault="006A39AC" w:rsidP="00D86A7D">
            <w:pPr>
              <w:pStyle w:val="Tabletext0"/>
              <w:keepNext/>
              <w:keepLines/>
              <w:rPr>
                <w:lang w:val="en-US"/>
              </w:rPr>
            </w:pPr>
            <w:r w:rsidRPr="006A39AC">
              <w:rPr>
                <w:rFonts w:ascii="Cambria Math" w:hAnsi="Cambria Math" w:cs="Cambria Math"/>
                <w:lang w:val="en-US"/>
              </w:rPr>
              <w:t>⨁⨀⨀⨀</w:t>
            </w:r>
            <w:r w:rsidRPr="006A39AC">
              <w:rPr>
                <w:lang w:val="en-US"/>
              </w:rPr>
              <w:t xml:space="preserve"> VERY LOW </w:t>
            </w:r>
            <w:r w:rsidR="0016026E">
              <w:rPr>
                <w:vertAlign w:val="superscript"/>
                <w:lang w:val="en-US"/>
              </w:rPr>
              <w:t>c</w:t>
            </w:r>
          </w:p>
        </w:tc>
      </w:tr>
    </w:tbl>
    <w:p w14:paraId="7D42001B" w14:textId="35F6E0A1" w:rsidR="006A39AC" w:rsidRPr="001371C3" w:rsidRDefault="006A39AC" w:rsidP="00D86A7D">
      <w:pPr>
        <w:pStyle w:val="Tablenotes0"/>
        <w:keepNext/>
        <w:keepLines/>
      </w:pPr>
      <w:r w:rsidRPr="00604362">
        <w:rPr>
          <w:b/>
          <w:bCs/>
        </w:rPr>
        <w:t>Abbreviations</w:t>
      </w:r>
      <w:r w:rsidRPr="001371C3">
        <w:t xml:space="preserve">: </w:t>
      </w:r>
      <w:r w:rsidR="002B12AF" w:rsidRPr="000B4DCD">
        <w:rPr>
          <w:bCs/>
        </w:rPr>
        <w:t>CI = confidence interval;</w:t>
      </w:r>
      <w:r w:rsidR="002B12AF">
        <w:rPr>
          <w:bCs/>
        </w:rPr>
        <w:t xml:space="preserve"> </w:t>
      </w:r>
      <w:r w:rsidRPr="001371C3">
        <w:t>IIT</w:t>
      </w:r>
      <w:r w:rsidR="00604362" w:rsidRPr="001371C3">
        <w:t xml:space="preserve"> =</w:t>
      </w:r>
      <w:r w:rsidRPr="001371C3">
        <w:t xml:space="preserve"> intensive insulin t</w:t>
      </w:r>
      <w:r w:rsidR="00B13667">
        <w:t>herapy</w:t>
      </w:r>
      <w:r w:rsidRPr="001371C3">
        <w:t>; RT-CGM</w:t>
      </w:r>
      <w:r w:rsidR="00414A7C" w:rsidRPr="001371C3">
        <w:t xml:space="preserve"> = r</w:t>
      </w:r>
      <w:r w:rsidRPr="001371C3">
        <w:t>eal-</w:t>
      </w:r>
      <w:r w:rsidR="00414A7C" w:rsidRPr="001371C3">
        <w:t>t</w:t>
      </w:r>
      <w:r w:rsidRPr="001371C3">
        <w:t xml:space="preserve">ime </w:t>
      </w:r>
      <w:r w:rsidR="00414A7C" w:rsidRPr="001371C3">
        <w:t>c</w:t>
      </w:r>
      <w:r w:rsidRPr="001371C3">
        <w:t xml:space="preserve">ontinuous </w:t>
      </w:r>
      <w:r w:rsidR="00414A7C" w:rsidRPr="001371C3">
        <w:t>g</w:t>
      </w:r>
      <w:r w:rsidRPr="001371C3">
        <w:t xml:space="preserve">lucose </w:t>
      </w:r>
      <w:r w:rsidR="00414A7C" w:rsidRPr="001371C3">
        <w:t>m</w:t>
      </w:r>
      <w:r w:rsidRPr="001371C3">
        <w:t>onitoring; SMBG</w:t>
      </w:r>
      <w:r w:rsidR="00414A7C" w:rsidRPr="001371C3">
        <w:t xml:space="preserve"> =</w:t>
      </w:r>
      <w:r w:rsidRPr="001371C3">
        <w:t xml:space="preserve"> </w:t>
      </w:r>
      <w:r w:rsidR="00414A7C" w:rsidRPr="001371C3">
        <w:t>s</w:t>
      </w:r>
      <w:r w:rsidRPr="001371C3">
        <w:t xml:space="preserve">tandard </w:t>
      </w:r>
      <w:r w:rsidR="00414A7C" w:rsidRPr="001371C3">
        <w:t>m</w:t>
      </w:r>
      <w:r w:rsidRPr="001371C3">
        <w:t xml:space="preserve">onitoring of </w:t>
      </w:r>
      <w:r w:rsidR="00414A7C" w:rsidRPr="001371C3">
        <w:t>b</w:t>
      </w:r>
      <w:r w:rsidRPr="001371C3">
        <w:t xml:space="preserve">lood </w:t>
      </w:r>
      <w:r w:rsidR="00414A7C" w:rsidRPr="001371C3">
        <w:t>g</w:t>
      </w:r>
      <w:r w:rsidRPr="001371C3">
        <w:t xml:space="preserve">lucose. </w:t>
      </w:r>
    </w:p>
    <w:p w14:paraId="6FE89BBA" w14:textId="77777777" w:rsidR="00854540" w:rsidRPr="000E2889" w:rsidRDefault="00324CDF" w:rsidP="00D86A7D">
      <w:pPr>
        <w:pStyle w:val="Tablenotes0"/>
        <w:keepNext/>
        <w:keepLines/>
        <w:rPr>
          <w:b/>
        </w:rPr>
      </w:pPr>
      <w:r w:rsidRPr="000E2889">
        <w:rPr>
          <w:b/>
        </w:rPr>
        <w:t>Notes:</w:t>
      </w:r>
    </w:p>
    <w:p w14:paraId="0BD59576" w14:textId="52DCD940" w:rsidR="006A39AC" w:rsidRPr="001371C3" w:rsidRDefault="006854E8" w:rsidP="00D86A7D">
      <w:pPr>
        <w:pStyle w:val="Tablenotes0"/>
        <w:keepNext/>
        <w:keepLines/>
      </w:pPr>
      <w:r>
        <w:rPr>
          <w:vertAlign w:val="superscript"/>
        </w:rPr>
        <w:t>*</w:t>
      </w:r>
      <w:r w:rsidR="006A39AC" w:rsidRPr="001371C3">
        <w:t xml:space="preserve"> Adjusted for baseline HbA1c and clinical site. Analyses conducted post-hoc. </w:t>
      </w:r>
    </w:p>
    <w:p w14:paraId="1BD3787B" w14:textId="4CFD2429" w:rsidR="006A39AC" w:rsidRPr="001371C3" w:rsidRDefault="00B80C07" w:rsidP="00D86A7D">
      <w:pPr>
        <w:pStyle w:val="Tablenotes0"/>
        <w:keepNext/>
        <w:keepLines/>
      </w:pPr>
      <w:r w:rsidRPr="000E2889">
        <w:rPr>
          <w:bCs/>
        </w:rPr>
        <w:t>**</w:t>
      </w:r>
      <w:r w:rsidR="006A39AC" w:rsidRPr="006A39AC">
        <w:t xml:space="preserve"> </w:t>
      </w:r>
      <w:r>
        <w:t>T</w:t>
      </w:r>
      <w:r w:rsidR="00AC2DDE" w:rsidRPr="001371C3">
        <w:t xml:space="preserve">he applicant </w:t>
      </w:r>
      <w:r w:rsidR="00946A6B" w:rsidRPr="001371C3">
        <w:t xml:space="preserve">assessed the first </w:t>
      </w:r>
      <w:r w:rsidR="005D11CB">
        <w:t>3</w:t>
      </w:r>
      <w:r w:rsidR="005D11CB" w:rsidRPr="001371C3">
        <w:t xml:space="preserve"> </w:t>
      </w:r>
      <w:r w:rsidR="00946A6B" w:rsidRPr="001371C3">
        <w:t xml:space="preserve">outcomes listed in the table as LOW quality and </w:t>
      </w:r>
      <w:r w:rsidR="00E13729">
        <w:t xml:space="preserve">the </w:t>
      </w:r>
      <w:r w:rsidR="00D2425A" w:rsidRPr="001371C3">
        <w:t>last as VERY LOW quality and made a note that</w:t>
      </w:r>
      <w:r w:rsidR="005D11CB">
        <w:t>:</w:t>
      </w:r>
      <w:r w:rsidR="00D2425A" w:rsidRPr="001371C3">
        <w:t xml:space="preserve"> “</w:t>
      </w:r>
      <w:r w:rsidR="006A39AC" w:rsidRPr="001371C3">
        <w:t>post-hoc analyses have been regraded due to low sample sizes and post-hoc nature of the analyses</w:t>
      </w:r>
      <w:r w:rsidR="00D2425A" w:rsidRPr="001371C3">
        <w:t>”</w:t>
      </w:r>
      <w:r w:rsidR="006A39AC" w:rsidRPr="001371C3">
        <w:t xml:space="preserve"> </w:t>
      </w:r>
      <w:r w:rsidR="00D2425A" w:rsidRPr="001371C3">
        <w:t>(</w:t>
      </w:r>
      <w:r w:rsidR="009F5B5D">
        <w:t>p.</w:t>
      </w:r>
      <w:r w:rsidR="009946C6" w:rsidRPr="001371C3">
        <w:t xml:space="preserve"> 70, </w:t>
      </w:r>
      <w:r w:rsidR="0074398A" w:rsidRPr="001371C3">
        <w:t>Table 23)</w:t>
      </w:r>
      <w:r w:rsidR="00F84CAD">
        <w:t xml:space="preserve">. </w:t>
      </w:r>
      <w:r w:rsidR="00F84CAD">
        <w:rPr>
          <w:bCs/>
        </w:rPr>
        <w:t xml:space="preserve">During evaluation, the quality of evidence </w:t>
      </w:r>
      <w:r w:rsidR="005D11CB">
        <w:rPr>
          <w:bCs/>
        </w:rPr>
        <w:t>was</w:t>
      </w:r>
      <w:r w:rsidR="00F84CAD">
        <w:rPr>
          <w:bCs/>
        </w:rPr>
        <w:t xml:space="preserve"> reassessed</w:t>
      </w:r>
      <w:r w:rsidR="00956779">
        <w:rPr>
          <w:bCs/>
        </w:rPr>
        <w:t>,</w:t>
      </w:r>
      <w:r w:rsidR="00B05B00">
        <w:rPr>
          <w:bCs/>
        </w:rPr>
        <w:t xml:space="preserve"> and the overall</w:t>
      </w:r>
      <w:r w:rsidR="00B05B00" w:rsidDel="00CC30E5">
        <w:rPr>
          <w:bCs/>
        </w:rPr>
        <w:t xml:space="preserve"> </w:t>
      </w:r>
      <w:r w:rsidR="00B05B00">
        <w:rPr>
          <w:bCs/>
        </w:rPr>
        <w:t>assessment was similar</w:t>
      </w:r>
      <w:r w:rsidR="00F84CAD">
        <w:rPr>
          <w:bCs/>
        </w:rPr>
        <w:t>.</w:t>
      </w:r>
    </w:p>
    <w:p w14:paraId="65A26C10" w14:textId="5D13093F" w:rsidR="006A39AC" w:rsidRPr="00965390" w:rsidRDefault="006A39AC" w:rsidP="00D86A7D">
      <w:pPr>
        <w:pStyle w:val="Tablenotes0"/>
        <w:keepNext/>
        <w:keepLines/>
      </w:pPr>
      <w:r w:rsidRPr="00965390">
        <w:t>Reasons for downgrading:</w:t>
      </w:r>
    </w:p>
    <w:p w14:paraId="44665769" w14:textId="4EEAF371" w:rsidR="007D7FF7" w:rsidRPr="007D7FF7" w:rsidRDefault="007D7FF7" w:rsidP="00D86A7D">
      <w:pPr>
        <w:pStyle w:val="Tablenotes0"/>
        <w:keepNext/>
        <w:keepLines/>
        <w:shd w:val="clear" w:color="auto" w:fill="FFFFFF" w:themeFill="background1"/>
        <w:rPr>
          <w:bCs/>
        </w:rPr>
      </w:pPr>
      <w:r w:rsidRPr="00612C66">
        <w:rPr>
          <w:bCs/>
          <w:vertAlign w:val="superscript"/>
        </w:rPr>
        <w:t>a</w:t>
      </w:r>
      <w:r w:rsidRPr="007D7FF7">
        <w:rPr>
          <w:bCs/>
        </w:rPr>
        <w:t xml:space="preserve"> Risk of bias (-1</w:t>
      </w:r>
      <w:r w:rsidR="00D91A73">
        <w:rPr>
          <w:bCs/>
        </w:rPr>
        <w:t xml:space="preserve">): </w:t>
      </w:r>
      <w:r w:rsidRPr="007D7FF7">
        <w:rPr>
          <w:bCs/>
        </w:rPr>
        <w:t>imbalance in number randomised to groups is a concern, and lack of blinding of participants may have resulted in performance bias (although the latter is a low level concern); Imprecision (-2): one trial only with few participants, the magnitude of the difference indicated by the point estimate is less than the level (of 0.5%) generally accepted as sufficient to indicate a meaningful difference between groups in this outcome (including by PBAC), the wide confidence interval includes the MCID threshold value and null value.</w:t>
      </w:r>
    </w:p>
    <w:p w14:paraId="2534310F" w14:textId="77777777" w:rsidR="007D7FF7" w:rsidRPr="007D7FF7" w:rsidRDefault="007D7FF7" w:rsidP="00D86A7D">
      <w:pPr>
        <w:pStyle w:val="Tablenotes0"/>
        <w:keepNext/>
        <w:keepLines/>
        <w:shd w:val="clear" w:color="auto" w:fill="FFFFFF" w:themeFill="background1"/>
        <w:rPr>
          <w:bCs/>
        </w:rPr>
      </w:pPr>
      <w:r w:rsidRPr="00612C66">
        <w:rPr>
          <w:bCs/>
          <w:vertAlign w:val="superscript"/>
        </w:rPr>
        <w:t xml:space="preserve">b </w:t>
      </w:r>
      <w:r w:rsidRPr="007D7FF7">
        <w:rPr>
          <w:bCs/>
        </w:rPr>
        <w:t>Risk of bias (-1): imbalance in number randomised to groups is a concern, and lack of blinding of participants may have resulted in performance bias (although the latter is a low-level concern); Imprecision (-2): one trial only with few participants, the wide confidence interval includes the MCID threshold value and null value.</w:t>
      </w:r>
    </w:p>
    <w:p w14:paraId="7C86B66C" w14:textId="5E4AE516" w:rsidR="0016026E" w:rsidRPr="007D7FF7" w:rsidRDefault="007D7FF7" w:rsidP="00D86A7D">
      <w:pPr>
        <w:pStyle w:val="Tablenotes0"/>
        <w:keepNext/>
        <w:keepLines/>
        <w:shd w:val="clear" w:color="auto" w:fill="FFFFFF" w:themeFill="background1"/>
      </w:pPr>
      <w:r w:rsidRPr="00612C66">
        <w:rPr>
          <w:bCs/>
          <w:vertAlign w:val="superscript"/>
        </w:rPr>
        <w:t>c</w:t>
      </w:r>
      <w:r w:rsidRPr="007D7FF7">
        <w:rPr>
          <w:bCs/>
        </w:rPr>
        <w:t xml:space="preserve"> Risk of bias (-1): imbalance in number randomised to groups is a concern, and lack of blinding of participants may have resulted in performance bias (although the latter is a low-level concern); Imprecision (-2): one trial only with very few participants.</w:t>
      </w:r>
    </w:p>
    <w:p w14:paraId="1AFDC1A0" w14:textId="466AB8B5" w:rsidR="00215DFE" w:rsidRPr="00A679A0" w:rsidRDefault="00B6253D" w:rsidP="00C41193">
      <w:pPr>
        <w:rPr>
          <w:color w:val="000000" w:themeColor="text1"/>
        </w:rPr>
      </w:pPr>
      <w:r w:rsidRPr="00C41193">
        <w:rPr>
          <w:snapToGrid w:val="0"/>
          <w:u w:val="single"/>
        </w:rPr>
        <w:t xml:space="preserve">Overall </w:t>
      </w:r>
      <w:r w:rsidR="00F332B4" w:rsidRPr="00C41193">
        <w:rPr>
          <w:snapToGrid w:val="0"/>
          <w:u w:val="single"/>
        </w:rPr>
        <w:t xml:space="preserve">T2D </w:t>
      </w:r>
      <w:r w:rsidRPr="00C41193">
        <w:rPr>
          <w:snapToGrid w:val="0"/>
          <w:u w:val="single"/>
        </w:rPr>
        <w:t>population (</w:t>
      </w:r>
      <w:r w:rsidR="00426F67" w:rsidRPr="00C41193">
        <w:rPr>
          <w:snapToGrid w:val="0"/>
          <w:u w:val="single"/>
        </w:rPr>
        <w:t>n</w:t>
      </w:r>
      <w:r w:rsidR="00B22777" w:rsidRPr="00C41193">
        <w:rPr>
          <w:snapToGrid w:val="0"/>
          <w:u w:val="single"/>
        </w:rPr>
        <w:t>on</w:t>
      </w:r>
      <w:r w:rsidR="009A23B7">
        <w:rPr>
          <w:snapToGrid w:val="0"/>
          <w:u w:val="single"/>
        </w:rPr>
        <w:t>-</w:t>
      </w:r>
      <w:r w:rsidR="00B22777" w:rsidRPr="00C41193">
        <w:rPr>
          <w:snapToGrid w:val="0"/>
          <w:u w:val="single"/>
        </w:rPr>
        <w:t xml:space="preserve">IIT or </w:t>
      </w:r>
      <w:r w:rsidR="003E3CEC" w:rsidRPr="00C41193">
        <w:rPr>
          <w:snapToGrid w:val="0"/>
          <w:u w:val="single"/>
        </w:rPr>
        <w:t>IIT</w:t>
      </w:r>
      <w:r w:rsidR="008D212B">
        <w:rPr>
          <w:snapToGrid w:val="0"/>
          <w:u w:val="single"/>
        </w:rPr>
        <w:t xml:space="preserve"> subpopu</w:t>
      </w:r>
      <w:r w:rsidR="00801F0A">
        <w:rPr>
          <w:snapToGrid w:val="0"/>
          <w:u w:val="single"/>
        </w:rPr>
        <w:t>lations</w:t>
      </w:r>
      <w:r w:rsidR="00426F67" w:rsidRPr="00C41193">
        <w:rPr>
          <w:snapToGrid w:val="0"/>
          <w:u w:val="single"/>
        </w:rPr>
        <w:t>)</w:t>
      </w:r>
    </w:p>
    <w:p w14:paraId="1B0DC16D" w14:textId="3ECB7893" w:rsidR="007C2DF5" w:rsidRDefault="002F0EC0" w:rsidP="002F0EC0">
      <w:r>
        <w:t xml:space="preserve">In </w:t>
      </w:r>
      <w:r w:rsidR="002436CD">
        <w:t xml:space="preserve">the </w:t>
      </w:r>
      <w:r w:rsidR="00957C08" w:rsidRPr="00AD0AE8">
        <w:t>T2D population</w:t>
      </w:r>
      <w:r w:rsidR="00067842">
        <w:t xml:space="preserve"> with suboptimal glucose control (</w:t>
      </w:r>
      <w:r w:rsidR="00957C08" w:rsidRPr="00AD0AE8">
        <w:t xml:space="preserve">IIT </w:t>
      </w:r>
      <w:r w:rsidR="00067842">
        <w:t xml:space="preserve">or </w:t>
      </w:r>
      <w:r w:rsidR="00957C08" w:rsidRPr="00AD0AE8">
        <w:t>non-IIT</w:t>
      </w:r>
      <w:r w:rsidR="000F2DDF">
        <w:t xml:space="preserve"> subpopulations</w:t>
      </w:r>
      <w:r w:rsidR="00A32F2A">
        <w:t>)</w:t>
      </w:r>
      <w:r w:rsidR="002436CD">
        <w:t xml:space="preserve"> t</w:t>
      </w:r>
      <w:r w:rsidR="00532041" w:rsidRPr="00EE6B43">
        <w:t xml:space="preserve">he overall pooled effect </w:t>
      </w:r>
      <w:r w:rsidR="00996E68">
        <w:t xml:space="preserve">from </w:t>
      </w:r>
      <w:r w:rsidR="00532041" w:rsidRPr="00EE6B43">
        <w:t xml:space="preserve">9 studies favoured CGM (Dexcom and Flash) over </w:t>
      </w:r>
      <w:r w:rsidR="00D1598B" w:rsidRPr="00EE6B43">
        <w:t>SMBG</w:t>
      </w:r>
      <w:r w:rsidR="00532041" w:rsidRPr="00EE6B43">
        <w:t>, with a mean HbA1c reduction of −0.35% (95% CI: −0.45, −0.25</w:t>
      </w:r>
      <w:r w:rsidR="00312F72" w:rsidRPr="00EE6B43">
        <w:t>; I</w:t>
      </w:r>
      <w:r w:rsidR="00312F72" w:rsidRPr="0057328D">
        <w:rPr>
          <w:vertAlign w:val="superscript"/>
        </w:rPr>
        <w:t>2</w:t>
      </w:r>
      <w:r w:rsidR="00312F72" w:rsidRPr="00EE6B43">
        <w:t xml:space="preserve"> = </w:t>
      </w:r>
      <w:r w:rsidR="00040CE0" w:rsidRPr="00EE6B43">
        <w:t>66%</w:t>
      </w:r>
      <w:r w:rsidR="00532041" w:rsidRPr="00EE6B43">
        <w:t>)</w:t>
      </w:r>
      <w:r w:rsidR="006C4575">
        <w:t xml:space="preserve"> (</w:t>
      </w:r>
      <w:r w:rsidR="006C4575">
        <w:fldChar w:fldCharType="begin"/>
      </w:r>
      <w:r w:rsidR="006C4575">
        <w:instrText xml:space="preserve"> REF _Ref226729851 \h </w:instrText>
      </w:r>
      <w:r w:rsidR="006C4575">
        <w:fldChar w:fldCharType="separate"/>
      </w:r>
      <w:r w:rsidR="0098516D">
        <w:t xml:space="preserve">Figure </w:t>
      </w:r>
      <w:r w:rsidR="0098516D">
        <w:rPr>
          <w:noProof/>
        </w:rPr>
        <w:t>1</w:t>
      </w:r>
      <w:r w:rsidR="006C4575">
        <w:fldChar w:fldCharType="end"/>
      </w:r>
      <w:r w:rsidR="00FF5A64">
        <w:rPr>
          <w:rStyle w:val="CommentReference"/>
          <w:sz w:val="22"/>
          <w:szCs w:val="22"/>
        </w:rPr>
        <w:t xml:space="preserve">, </w:t>
      </w:r>
      <w:r w:rsidR="00012B59">
        <w:rPr>
          <w:rStyle w:val="CommentReference"/>
          <w:sz w:val="22"/>
          <w:szCs w:val="22"/>
        </w:rPr>
        <w:fldChar w:fldCharType="begin"/>
      </w:r>
      <w:r w:rsidR="00012B59">
        <w:rPr>
          <w:rStyle w:val="CommentReference"/>
          <w:sz w:val="22"/>
          <w:szCs w:val="22"/>
        </w:rPr>
        <w:instrText xml:space="preserve"> REF _Ref229065054 \h </w:instrText>
      </w:r>
      <w:r w:rsidR="00012B59">
        <w:rPr>
          <w:rStyle w:val="CommentReference"/>
          <w:sz w:val="22"/>
          <w:szCs w:val="22"/>
        </w:rPr>
      </w:r>
      <w:r w:rsidR="00012B59">
        <w:rPr>
          <w:rStyle w:val="CommentReference"/>
          <w:sz w:val="22"/>
          <w:szCs w:val="22"/>
        </w:rPr>
        <w:fldChar w:fldCharType="separate"/>
      </w:r>
      <w:r w:rsidR="0098516D">
        <w:t xml:space="preserve">Table </w:t>
      </w:r>
      <w:r w:rsidR="0098516D">
        <w:rPr>
          <w:noProof/>
        </w:rPr>
        <w:t>11</w:t>
      </w:r>
      <w:r w:rsidR="00012B59">
        <w:rPr>
          <w:rStyle w:val="CommentReference"/>
          <w:sz w:val="22"/>
          <w:szCs w:val="22"/>
        </w:rPr>
        <w:fldChar w:fldCharType="end"/>
      </w:r>
      <w:r w:rsidR="00012B59">
        <w:rPr>
          <w:rStyle w:val="CommentReference"/>
          <w:sz w:val="22"/>
          <w:szCs w:val="22"/>
        </w:rPr>
        <w:t>)</w:t>
      </w:r>
      <w:r w:rsidR="00532041" w:rsidRPr="00EE6B43">
        <w:t>.</w:t>
      </w:r>
    </w:p>
    <w:p w14:paraId="399F6CB0" w14:textId="77777777" w:rsidR="00D86A7D" w:rsidRDefault="00FF5A64" w:rsidP="00D86A7D">
      <w:bookmarkStart w:id="36" w:name="_Ref229065054"/>
      <w:r w:rsidRPr="00FF5A64">
        <w:t xml:space="preserve">The </w:t>
      </w:r>
      <w:r w:rsidR="00E15D14">
        <w:t>methods</w:t>
      </w:r>
      <w:r w:rsidR="00AE453E">
        <w:t xml:space="preserve"> of the meta-analysis</w:t>
      </w:r>
      <w:r w:rsidR="00E15D14">
        <w:t xml:space="preserve"> </w:t>
      </w:r>
      <w:r w:rsidR="000E760A">
        <w:t xml:space="preserve">and details </w:t>
      </w:r>
      <w:r w:rsidR="0078015C">
        <w:t xml:space="preserve">of </w:t>
      </w:r>
      <w:r w:rsidR="000E760A">
        <w:t>the studies included</w:t>
      </w:r>
      <w:r w:rsidRPr="00FF5A64">
        <w:t xml:space="preserve"> </w:t>
      </w:r>
      <w:r w:rsidR="00C7029A">
        <w:t xml:space="preserve">in the meta-analysis </w:t>
      </w:r>
      <w:r w:rsidR="00F50D31">
        <w:t>are</w:t>
      </w:r>
      <w:r w:rsidR="00F50D31" w:rsidRPr="00FF5A64">
        <w:t xml:space="preserve"> </w:t>
      </w:r>
      <w:r w:rsidRPr="00FF5A64">
        <w:t>poorly reported</w:t>
      </w:r>
      <w:r w:rsidR="0012522C">
        <w:t xml:space="preserve"> in the ADAR</w:t>
      </w:r>
      <w:r w:rsidRPr="00FF5A64">
        <w:t xml:space="preserve">. </w:t>
      </w:r>
      <w:r w:rsidR="007661B4">
        <w:t>T</w:t>
      </w:r>
      <w:r w:rsidRPr="00FF5A64">
        <w:t xml:space="preserve">he summary results produced should be interpreted as </w:t>
      </w:r>
      <w:r w:rsidR="00ED66ED">
        <w:t xml:space="preserve">being </w:t>
      </w:r>
      <w:r w:rsidRPr="00FF5A64">
        <w:t>supported by very low certainty evidence</w:t>
      </w:r>
      <w:r w:rsidR="00AF6532">
        <w:t xml:space="preserve"> and t</w:t>
      </w:r>
      <w:r w:rsidR="00ED66ED">
        <w:t>here is</w:t>
      </w:r>
      <w:r w:rsidRPr="00FF5A64">
        <w:t xml:space="preserve"> limited confidence in </w:t>
      </w:r>
      <w:r w:rsidR="00BB5D38" w:rsidRPr="00FF5A64">
        <w:t>the</w:t>
      </w:r>
      <w:r w:rsidR="00BB5D38">
        <w:t xml:space="preserve"> presented </w:t>
      </w:r>
      <w:r w:rsidRPr="00FF5A64">
        <w:t>results</w:t>
      </w:r>
      <w:r w:rsidR="00FA3650" w:rsidRPr="00FA3650">
        <w:t>. This is</w:t>
      </w:r>
      <w:r w:rsidRPr="00FF5A64">
        <w:t xml:space="preserve"> due to the pooling of RWE and RCT HbA1c outcomes, </w:t>
      </w:r>
      <w:r w:rsidR="00FA3650" w:rsidRPr="00FA3650">
        <w:t xml:space="preserve">the </w:t>
      </w:r>
      <w:r w:rsidRPr="00FF5A64">
        <w:t xml:space="preserve">number of participants contributing </w:t>
      </w:r>
      <w:r w:rsidR="009B6A75">
        <w:t xml:space="preserve">data </w:t>
      </w:r>
      <w:r w:rsidRPr="00FF5A64">
        <w:t xml:space="preserve">to each individual study estimate </w:t>
      </w:r>
      <w:r w:rsidR="00FA3650" w:rsidRPr="00FA3650">
        <w:t xml:space="preserve">is </w:t>
      </w:r>
      <w:r w:rsidRPr="00FF5A64">
        <w:t>not provided</w:t>
      </w:r>
      <w:r w:rsidR="00FA3650" w:rsidRPr="00FA3650">
        <w:t xml:space="preserve">, </w:t>
      </w:r>
      <w:r w:rsidR="00554CC4">
        <w:t>the lack of</w:t>
      </w:r>
      <w:r w:rsidRPr="00FF5A64">
        <w:t xml:space="preserve"> information on whether or how analyses of RWE/observational studies adjusted for potential confounders (or what were considered to be the main prognostic factors that needed </w:t>
      </w:r>
      <w:r w:rsidR="00FA3650" w:rsidRPr="00FA3650">
        <w:t>adjustment</w:t>
      </w:r>
      <w:r w:rsidRPr="00FF5A64">
        <w:t xml:space="preserve"> by the studies to ensure groups compared were similar across the included studies</w:t>
      </w:r>
      <w:r w:rsidR="00FA3650" w:rsidRPr="00FA3650">
        <w:t>),</w:t>
      </w:r>
      <w:r w:rsidRPr="00FF5A64">
        <w:t xml:space="preserve"> and </w:t>
      </w:r>
      <w:r w:rsidR="00FA3650" w:rsidRPr="00FA3650">
        <w:t xml:space="preserve">no reporting of </w:t>
      </w:r>
      <w:r w:rsidRPr="00FF5A64">
        <w:t>risk of bias assessments for the included studies</w:t>
      </w:r>
      <w:r w:rsidR="00FA3650" w:rsidRPr="00FA3650">
        <w:t>.</w:t>
      </w:r>
    </w:p>
    <w:p w14:paraId="22DE637C" w14:textId="3A1102A6" w:rsidR="00AB468A" w:rsidRPr="00D86A7D" w:rsidRDefault="00E738D6" w:rsidP="00D86A7D">
      <w:pPr>
        <w:keepNext/>
        <w:keepLines/>
        <w:rPr>
          <w:rFonts w:ascii="Arial Narrow" w:hAnsi="Arial Narrow"/>
          <w:b/>
          <w:bCs/>
          <w:sz w:val="20"/>
          <w:szCs w:val="20"/>
        </w:rPr>
      </w:pPr>
      <w:r w:rsidRPr="00D86A7D">
        <w:rPr>
          <w:rFonts w:ascii="Arial Narrow" w:hAnsi="Arial Narrow"/>
          <w:b/>
          <w:bCs/>
          <w:sz w:val="20"/>
          <w:szCs w:val="20"/>
        </w:rPr>
        <w:lastRenderedPageBreak/>
        <w:t xml:space="preserve">Table </w:t>
      </w:r>
      <w:r w:rsidRPr="00D86A7D">
        <w:rPr>
          <w:rFonts w:ascii="Arial Narrow" w:hAnsi="Arial Narrow"/>
          <w:b/>
          <w:bCs/>
          <w:sz w:val="20"/>
          <w:szCs w:val="20"/>
        </w:rPr>
        <w:fldChar w:fldCharType="begin"/>
      </w:r>
      <w:r w:rsidRPr="00D86A7D">
        <w:rPr>
          <w:rFonts w:ascii="Arial Narrow" w:hAnsi="Arial Narrow"/>
          <w:b/>
          <w:bCs/>
          <w:sz w:val="20"/>
          <w:szCs w:val="20"/>
        </w:rPr>
        <w:instrText xml:space="preserve"> SEQ Table \* ARABIC </w:instrText>
      </w:r>
      <w:r w:rsidRPr="00D86A7D">
        <w:rPr>
          <w:rFonts w:ascii="Arial Narrow" w:hAnsi="Arial Narrow"/>
          <w:b/>
          <w:bCs/>
          <w:sz w:val="20"/>
          <w:szCs w:val="20"/>
        </w:rPr>
        <w:fldChar w:fldCharType="separate"/>
      </w:r>
      <w:r w:rsidR="0098516D" w:rsidRPr="00D86A7D">
        <w:rPr>
          <w:rFonts w:ascii="Arial Narrow" w:hAnsi="Arial Narrow"/>
          <w:b/>
          <w:bCs/>
          <w:noProof/>
          <w:sz w:val="20"/>
          <w:szCs w:val="20"/>
        </w:rPr>
        <w:t>11</w:t>
      </w:r>
      <w:r w:rsidRPr="00D86A7D">
        <w:rPr>
          <w:rFonts w:ascii="Arial Narrow" w:hAnsi="Arial Narrow"/>
          <w:b/>
          <w:bCs/>
          <w:sz w:val="20"/>
          <w:szCs w:val="20"/>
        </w:rPr>
        <w:fldChar w:fldCharType="end"/>
      </w:r>
      <w:bookmarkEnd w:id="36"/>
      <w:r w:rsidRPr="00D86A7D">
        <w:rPr>
          <w:rFonts w:ascii="Arial Narrow" w:hAnsi="Arial Narrow"/>
          <w:b/>
          <w:bCs/>
          <w:sz w:val="20"/>
          <w:szCs w:val="20"/>
        </w:rPr>
        <w:t xml:space="preserve">: </w:t>
      </w:r>
      <w:r w:rsidR="003F1034" w:rsidRPr="00D86A7D">
        <w:rPr>
          <w:rFonts w:ascii="Arial Narrow" w:hAnsi="Arial Narrow"/>
          <w:b/>
          <w:bCs/>
          <w:sz w:val="20"/>
          <w:szCs w:val="20"/>
        </w:rPr>
        <w:t>Summary result</w:t>
      </w:r>
      <w:r w:rsidR="00D15839" w:rsidRPr="00D86A7D">
        <w:rPr>
          <w:rFonts w:ascii="Arial Narrow" w:hAnsi="Arial Narrow"/>
          <w:b/>
          <w:bCs/>
          <w:sz w:val="20"/>
          <w:szCs w:val="20"/>
        </w:rPr>
        <w:t xml:space="preserve"> </w:t>
      </w:r>
      <w:r w:rsidR="0012001D" w:rsidRPr="00D86A7D">
        <w:rPr>
          <w:rFonts w:ascii="Arial Narrow" w:hAnsi="Arial Narrow"/>
          <w:b/>
          <w:bCs/>
          <w:sz w:val="20"/>
          <w:szCs w:val="20"/>
        </w:rPr>
        <w:t>for change in HbA1c for RT-CGM vs SMBG (9 studies</w:t>
      </w:r>
      <w:r w:rsidR="007D75D8" w:rsidRPr="00D86A7D">
        <w:rPr>
          <w:rFonts w:ascii="Arial Narrow" w:hAnsi="Arial Narrow"/>
          <w:b/>
          <w:bCs/>
          <w:sz w:val="20"/>
          <w:szCs w:val="20"/>
        </w:rPr>
        <w:t>)</w:t>
      </w:r>
    </w:p>
    <w:tbl>
      <w:tblPr>
        <w:tblStyle w:val="TableGrid"/>
        <w:tblW w:w="5000" w:type="pct"/>
        <w:tblLook w:val="04A0" w:firstRow="1" w:lastRow="0" w:firstColumn="1" w:lastColumn="0" w:noHBand="0" w:noVBand="1"/>
      </w:tblPr>
      <w:tblGrid>
        <w:gridCol w:w="913"/>
        <w:gridCol w:w="1222"/>
        <w:gridCol w:w="1188"/>
        <w:gridCol w:w="1773"/>
        <w:gridCol w:w="1310"/>
        <w:gridCol w:w="836"/>
        <w:gridCol w:w="1774"/>
      </w:tblGrid>
      <w:tr w:rsidR="00F74364" w:rsidRPr="00F74364" w14:paraId="2F3FC88C" w14:textId="77777777" w:rsidTr="00490258">
        <w:trPr>
          <w:trHeight w:val="20"/>
          <w:tblHeader/>
        </w:trPr>
        <w:tc>
          <w:tcPr>
            <w:tcW w:w="517" w:type="pct"/>
            <w:shd w:val="clear" w:color="auto" w:fill="D9D9D9" w:themeFill="background1" w:themeFillShade="D9"/>
          </w:tcPr>
          <w:p w14:paraId="2209E6C8" w14:textId="77777777" w:rsidR="00F74364" w:rsidRPr="00F74364" w:rsidRDefault="00F74364" w:rsidP="00D86A7D">
            <w:pPr>
              <w:pStyle w:val="In-tableHeading"/>
              <w:keepLines/>
            </w:pPr>
            <w:r w:rsidRPr="00F74364">
              <w:t>Time point</w:t>
            </w:r>
          </w:p>
        </w:tc>
        <w:tc>
          <w:tcPr>
            <w:tcW w:w="688" w:type="pct"/>
            <w:shd w:val="clear" w:color="auto" w:fill="D9D9D9" w:themeFill="background1" w:themeFillShade="D9"/>
          </w:tcPr>
          <w:p w14:paraId="70E740B9" w14:textId="26DBB0CB" w:rsidR="00F74364" w:rsidRPr="00F74364" w:rsidRDefault="00F74364" w:rsidP="00D86A7D">
            <w:pPr>
              <w:pStyle w:val="In-tableHeading"/>
              <w:keepLines/>
            </w:pPr>
            <w:r w:rsidRPr="00F74364">
              <w:t xml:space="preserve">RT-CGM </w:t>
            </w:r>
            <w:r>
              <w:t>[Dexcom ONE+ or other type of CGM device]</w:t>
            </w:r>
          </w:p>
        </w:tc>
        <w:tc>
          <w:tcPr>
            <w:tcW w:w="669" w:type="pct"/>
            <w:shd w:val="clear" w:color="auto" w:fill="D9D9D9" w:themeFill="background1" w:themeFillShade="D9"/>
          </w:tcPr>
          <w:p w14:paraId="72AAF0A4" w14:textId="77777777" w:rsidR="00F74364" w:rsidRPr="00F74364" w:rsidRDefault="00F74364" w:rsidP="00D86A7D">
            <w:pPr>
              <w:pStyle w:val="In-tableHeading"/>
              <w:keepLines/>
            </w:pPr>
            <w:r w:rsidRPr="00F74364">
              <w:t>SMBG</w:t>
            </w:r>
          </w:p>
        </w:tc>
        <w:tc>
          <w:tcPr>
            <w:tcW w:w="993" w:type="pct"/>
            <w:shd w:val="clear" w:color="auto" w:fill="D9D9D9" w:themeFill="background1" w:themeFillShade="D9"/>
          </w:tcPr>
          <w:p w14:paraId="22DEB219" w14:textId="07BBE33E" w:rsidR="00F74364" w:rsidRPr="00F74364" w:rsidRDefault="00F74364" w:rsidP="00D86A7D">
            <w:pPr>
              <w:pStyle w:val="In-tableHeading"/>
              <w:keepLines/>
            </w:pPr>
            <w:r w:rsidRPr="00F74364">
              <w:t>Mean (95% CI) adjusted difference; p</w:t>
            </w:r>
            <w:r w:rsidR="000C4574">
              <w:t xml:space="preserve"> </w:t>
            </w:r>
            <w:r w:rsidRPr="00F74364">
              <w:t>value</w:t>
            </w:r>
          </w:p>
        </w:tc>
        <w:tc>
          <w:tcPr>
            <w:tcW w:w="726" w:type="pct"/>
            <w:shd w:val="clear" w:color="auto" w:fill="D9D9D9" w:themeFill="background1" w:themeFillShade="D9"/>
          </w:tcPr>
          <w:p w14:paraId="67FD412C" w14:textId="3E126F93" w:rsidR="00021314" w:rsidRPr="004D5F44" w:rsidRDefault="00021314" w:rsidP="00D86A7D">
            <w:pPr>
              <w:pStyle w:val="In-tableHeading"/>
              <w:keepLines/>
            </w:pPr>
            <w:r w:rsidRPr="004D5F44">
              <w:t>Heterogeneity (Cochrane I</w:t>
            </w:r>
            <w:r w:rsidRPr="004D5F44">
              <w:rPr>
                <w:vertAlign w:val="superscript"/>
              </w:rPr>
              <w:t>2</w:t>
            </w:r>
            <w:r w:rsidRPr="004D5F44">
              <w:t xml:space="preserve"> statistic)</w:t>
            </w:r>
          </w:p>
        </w:tc>
        <w:tc>
          <w:tcPr>
            <w:tcW w:w="413" w:type="pct"/>
            <w:shd w:val="clear" w:color="auto" w:fill="D9D9D9" w:themeFill="background1" w:themeFillShade="D9"/>
          </w:tcPr>
          <w:p w14:paraId="0FC36333" w14:textId="1161B240" w:rsidR="008666E9" w:rsidRPr="004D5F44" w:rsidRDefault="008666E9" w:rsidP="00D86A7D">
            <w:pPr>
              <w:pStyle w:val="In-tableHeading"/>
              <w:keepLines/>
            </w:pPr>
            <w:r w:rsidRPr="004D5F44">
              <w:t xml:space="preserve">Method </w:t>
            </w:r>
          </w:p>
        </w:tc>
        <w:tc>
          <w:tcPr>
            <w:tcW w:w="993" w:type="pct"/>
            <w:shd w:val="clear" w:color="auto" w:fill="D9D9D9" w:themeFill="background1" w:themeFillShade="D9"/>
          </w:tcPr>
          <w:p w14:paraId="7E982E93" w14:textId="0940B58B" w:rsidR="00F74364" w:rsidRPr="00F74364" w:rsidRDefault="00F74364" w:rsidP="00D86A7D">
            <w:pPr>
              <w:pStyle w:val="In-tableHeading"/>
              <w:keepLines/>
            </w:pPr>
            <w:r w:rsidRPr="00F74364">
              <w:t>Quality of evidence</w:t>
            </w:r>
            <w:r w:rsidR="00DE24CC">
              <w:t xml:space="preserve"> *</w:t>
            </w:r>
          </w:p>
        </w:tc>
      </w:tr>
      <w:tr w:rsidR="00F74364" w:rsidRPr="00F74364" w14:paraId="5FAC1E7B" w14:textId="77777777" w:rsidTr="00A61E18">
        <w:trPr>
          <w:trHeight w:val="315"/>
        </w:trPr>
        <w:tc>
          <w:tcPr>
            <w:tcW w:w="5000" w:type="pct"/>
            <w:gridSpan w:val="7"/>
            <w:shd w:val="clear" w:color="auto" w:fill="DEEAF6" w:themeFill="accent1" w:themeFillTint="33"/>
          </w:tcPr>
          <w:p w14:paraId="3CFD622D" w14:textId="1B2C3B5D" w:rsidR="00F74364" w:rsidRPr="00312A0D" w:rsidRDefault="00F74364" w:rsidP="00D86A7D">
            <w:pPr>
              <w:pStyle w:val="In-tableHeading"/>
              <w:keepLines/>
            </w:pPr>
            <w:r w:rsidRPr="00312A0D">
              <w:t xml:space="preserve">IIT or non-IIT </w:t>
            </w:r>
            <w:r w:rsidR="00B1469C" w:rsidRPr="00312A0D">
              <w:t>subpopulation</w:t>
            </w:r>
          </w:p>
        </w:tc>
      </w:tr>
      <w:tr w:rsidR="00F74364" w:rsidRPr="00F74364" w14:paraId="4D09864F" w14:textId="77777777" w:rsidTr="00490258">
        <w:trPr>
          <w:trHeight w:val="20"/>
        </w:trPr>
        <w:tc>
          <w:tcPr>
            <w:tcW w:w="517" w:type="pct"/>
          </w:tcPr>
          <w:p w14:paraId="691A2F1F" w14:textId="68186308" w:rsidR="00F74364" w:rsidRPr="00200DD3" w:rsidRDefault="00021314" w:rsidP="00D86A7D">
            <w:pPr>
              <w:pStyle w:val="Tabletext0"/>
              <w:keepNext/>
              <w:keepLines/>
              <w:jc w:val="left"/>
            </w:pPr>
            <w:r w:rsidRPr="00200DD3">
              <w:t>Up to 2 years</w:t>
            </w:r>
          </w:p>
        </w:tc>
        <w:tc>
          <w:tcPr>
            <w:tcW w:w="688" w:type="pct"/>
          </w:tcPr>
          <w:p w14:paraId="2C8E9B52" w14:textId="15E6CE1F" w:rsidR="00F74364" w:rsidRPr="00200DD3" w:rsidRDefault="00021314" w:rsidP="00D86A7D">
            <w:pPr>
              <w:pStyle w:val="Tabletext0"/>
              <w:keepNext/>
              <w:keepLines/>
              <w:jc w:val="left"/>
            </w:pPr>
            <w:r w:rsidRPr="00200DD3">
              <w:t>Not reported</w:t>
            </w:r>
          </w:p>
        </w:tc>
        <w:tc>
          <w:tcPr>
            <w:tcW w:w="669" w:type="pct"/>
          </w:tcPr>
          <w:p w14:paraId="75E95135" w14:textId="450075D4" w:rsidR="00F74364" w:rsidRPr="00200DD3" w:rsidRDefault="00021314" w:rsidP="00D86A7D">
            <w:pPr>
              <w:pStyle w:val="Tabletext0"/>
              <w:keepNext/>
              <w:keepLines/>
              <w:jc w:val="left"/>
            </w:pPr>
            <w:r w:rsidRPr="00200DD3">
              <w:t>Not reported</w:t>
            </w:r>
          </w:p>
        </w:tc>
        <w:tc>
          <w:tcPr>
            <w:tcW w:w="993" w:type="pct"/>
          </w:tcPr>
          <w:p w14:paraId="12DD55D8" w14:textId="4DC681D5" w:rsidR="00F74364" w:rsidRPr="00200DD3" w:rsidRDefault="00670E67" w:rsidP="00D86A7D">
            <w:pPr>
              <w:pStyle w:val="Tabletext0"/>
              <w:keepNext/>
              <w:keepLines/>
              <w:jc w:val="left"/>
            </w:pPr>
            <w:r>
              <w:t>−</w:t>
            </w:r>
            <w:r w:rsidR="00021314" w:rsidRPr="00200DD3">
              <w:t>0.35 (</w:t>
            </w:r>
            <w:r>
              <w:t>−</w:t>
            </w:r>
            <w:r w:rsidR="00021314" w:rsidRPr="00200DD3">
              <w:t>0.45 to</w:t>
            </w:r>
            <w:r>
              <w:t xml:space="preserve"> −</w:t>
            </w:r>
            <w:r w:rsidR="00021314" w:rsidRPr="00200DD3">
              <w:t>0.25)</w:t>
            </w:r>
          </w:p>
        </w:tc>
        <w:tc>
          <w:tcPr>
            <w:tcW w:w="726" w:type="pct"/>
          </w:tcPr>
          <w:p w14:paraId="75D343E9" w14:textId="7B41B2FB" w:rsidR="008666E9" w:rsidRPr="00200DD3" w:rsidRDefault="008666E9" w:rsidP="00D86A7D">
            <w:pPr>
              <w:pStyle w:val="Tabletext0"/>
              <w:keepNext/>
              <w:keepLines/>
              <w:jc w:val="left"/>
            </w:pPr>
            <w:r w:rsidRPr="00200DD3">
              <w:t>66%</w:t>
            </w:r>
          </w:p>
        </w:tc>
        <w:tc>
          <w:tcPr>
            <w:tcW w:w="413" w:type="pct"/>
          </w:tcPr>
          <w:p w14:paraId="0B51A479" w14:textId="4CE7FF72" w:rsidR="008666E9" w:rsidRPr="00200DD3" w:rsidRDefault="008666E9" w:rsidP="00D86A7D">
            <w:pPr>
              <w:pStyle w:val="Tabletext0"/>
              <w:keepNext/>
              <w:keepLines/>
              <w:jc w:val="left"/>
            </w:pPr>
            <w:r w:rsidRPr="00200DD3">
              <w:t>Random effects</w:t>
            </w:r>
          </w:p>
        </w:tc>
        <w:tc>
          <w:tcPr>
            <w:tcW w:w="993" w:type="pct"/>
          </w:tcPr>
          <w:p w14:paraId="5032EF0C" w14:textId="3C3099E9" w:rsidR="00F74364" w:rsidRPr="00200DD3" w:rsidRDefault="00021314" w:rsidP="00D86A7D">
            <w:pPr>
              <w:pStyle w:val="Tabletext0"/>
              <w:keepNext/>
              <w:keepLines/>
              <w:jc w:val="left"/>
            </w:pPr>
            <w:r w:rsidRPr="00200DD3">
              <w:rPr>
                <w:rFonts w:ascii="Cambria Math" w:hAnsi="Cambria Math" w:cs="Cambria Math"/>
              </w:rPr>
              <w:t>⨁⨀⨀⨀</w:t>
            </w:r>
            <w:r w:rsidRPr="00200DD3">
              <w:t xml:space="preserve"> VERY LOW </w:t>
            </w:r>
            <w:r w:rsidR="00A538A6" w:rsidRPr="00490258">
              <w:rPr>
                <w:vertAlign w:val="superscript"/>
              </w:rPr>
              <w:t>a</w:t>
            </w:r>
          </w:p>
        </w:tc>
      </w:tr>
    </w:tbl>
    <w:p w14:paraId="7E1E966D" w14:textId="4E33B014" w:rsidR="00552639" w:rsidRPr="001371C3" w:rsidRDefault="00552639" w:rsidP="00D86A7D">
      <w:pPr>
        <w:pStyle w:val="Tablenotes0"/>
        <w:keepNext/>
        <w:keepLines/>
      </w:pPr>
      <w:r w:rsidRPr="00604362">
        <w:rPr>
          <w:b/>
          <w:bCs/>
        </w:rPr>
        <w:t>Abbreviations</w:t>
      </w:r>
      <w:r w:rsidRPr="001371C3">
        <w:t xml:space="preserve">: </w:t>
      </w:r>
      <w:r w:rsidR="00A66C15">
        <w:t>Assessment Group = AG;</w:t>
      </w:r>
      <w:r w:rsidRPr="001371C3">
        <w:t xml:space="preserve"> </w:t>
      </w:r>
      <w:r w:rsidR="00D4681F" w:rsidRPr="000B4DCD">
        <w:rPr>
          <w:bCs/>
        </w:rPr>
        <w:t>CI = confidence interval;</w:t>
      </w:r>
      <w:r w:rsidR="00D4681F">
        <w:rPr>
          <w:bCs/>
        </w:rPr>
        <w:t xml:space="preserve"> </w:t>
      </w:r>
      <w:r w:rsidRPr="001371C3">
        <w:t>IIT = intensive insulin t</w:t>
      </w:r>
      <w:r w:rsidR="00B13667">
        <w:t>herapy</w:t>
      </w:r>
      <w:r w:rsidRPr="001371C3">
        <w:t xml:space="preserve">; RT-CGM = real-time continuous glucose monitoring; SMBG = standard monitoring of blood glucose. </w:t>
      </w:r>
    </w:p>
    <w:p w14:paraId="69F4EEC1" w14:textId="77777777" w:rsidR="00552639" w:rsidRPr="000E2889" w:rsidRDefault="00552639" w:rsidP="00D86A7D">
      <w:pPr>
        <w:pStyle w:val="Tablenotes0"/>
        <w:keepNext/>
        <w:keepLines/>
        <w:rPr>
          <w:b/>
        </w:rPr>
      </w:pPr>
      <w:r w:rsidRPr="000E2889">
        <w:rPr>
          <w:b/>
        </w:rPr>
        <w:t>Notes:</w:t>
      </w:r>
    </w:p>
    <w:p w14:paraId="05D1F909" w14:textId="26383190" w:rsidR="00490258" w:rsidRDefault="00490258" w:rsidP="00D86A7D">
      <w:pPr>
        <w:pStyle w:val="Tablenotes0"/>
        <w:keepNext/>
        <w:keepLines/>
      </w:pPr>
      <w:r>
        <w:t xml:space="preserve">* </w:t>
      </w:r>
      <w:r w:rsidR="00881A88">
        <w:t>Assessed by the AG</w:t>
      </w:r>
      <w:r w:rsidR="00DE24CC">
        <w:rPr>
          <w:bCs/>
        </w:rPr>
        <w:t>.</w:t>
      </w:r>
    </w:p>
    <w:p w14:paraId="5C87CBA6" w14:textId="58D1DB2B" w:rsidR="00A538A6" w:rsidRDefault="004D5F44" w:rsidP="00D86A7D">
      <w:pPr>
        <w:pStyle w:val="Tablenotes0"/>
        <w:keepNext/>
        <w:keepLines/>
      </w:pPr>
      <w:r w:rsidRPr="004D5F44">
        <w:t>Reasons for downgrading:</w:t>
      </w:r>
      <w:r w:rsidR="00A538A6" w:rsidRPr="00A538A6">
        <w:t xml:space="preserve"> </w:t>
      </w:r>
    </w:p>
    <w:p w14:paraId="31083A12" w14:textId="4ABE37C9" w:rsidR="004D5F44" w:rsidRDefault="00A538A6" w:rsidP="00D86A7D">
      <w:pPr>
        <w:pStyle w:val="Tablenotes0"/>
        <w:keepNext/>
        <w:keepLines/>
      </w:pPr>
      <w:r w:rsidRPr="009D1291">
        <w:rPr>
          <w:vertAlign w:val="superscript"/>
        </w:rPr>
        <w:t>a</w:t>
      </w:r>
      <w:r w:rsidRPr="00A538A6">
        <w:t xml:space="preserve"> Risk of bias (</w:t>
      </w:r>
      <w:r w:rsidR="00670E67">
        <w:t>−</w:t>
      </w:r>
      <w:r w:rsidRPr="00A538A6">
        <w:t>1): possible performance bias is a concern due to lack of blinding of participants in the trials (all were open label trials)</w:t>
      </w:r>
      <w:r w:rsidR="00670E67">
        <w:t>. I</w:t>
      </w:r>
      <w:r w:rsidRPr="00A538A6">
        <w:t>n</w:t>
      </w:r>
      <w:r w:rsidRPr="00A538A6" w:rsidDel="00670E67">
        <w:t xml:space="preserve"> </w:t>
      </w:r>
      <w:r w:rsidR="00670E67">
        <w:t>3</w:t>
      </w:r>
      <w:r w:rsidR="00670E67" w:rsidRPr="00A538A6">
        <w:t xml:space="preserve"> </w:t>
      </w:r>
      <w:r w:rsidRPr="00A538A6">
        <w:t>trials (MOBILE, Yaron 2019, Haak 2017)</w:t>
      </w:r>
      <w:r w:rsidRPr="00A538A6" w:rsidDel="004C2990">
        <w:t xml:space="preserve"> </w:t>
      </w:r>
      <w:r w:rsidRPr="00A538A6">
        <w:t>bias related to imbalance between the groups is a concern</w:t>
      </w:r>
      <w:r w:rsidR="00670E67">
        <w:t>. I</w:t>
      </w:r>
      <w:r w:rsidRPr="00A538A6">
        <w:t>n the Steno2tech trial bias due to missing outcome data is a concern</w:t>
      </w:r>
      <w:r w:rsidR="00670E67">
        <w:t>. F</w:t>
      </w:r>
      <w:r w:rsidRPr="00A538A6">
        <w:t>or the RWE observational studies</w:t>
      </w:r>
      <w:r w:rsidR="00670E67">
        <w:t>,</w:t>
      </w:r>
      <w:r w:rsidRPr="00A538A6">
        <w:t xml:space="preserve"> adjustment was poorly reported and no details </w:t>
      </w:r>
      <w:r w:rsidR="00670E67">
        <w:t>we</w:t>
      </w:r>
      <w:r w:rsidRPr="00A538A6">
        <w:t xml:space="preserve">re provided about how the groups compared were selected, </w:t>
      </w:r>
      <w:r w:rsidR="004628B6">
        <w:t xml:space="preserve">therefore </w:t>
      </w:r>
      <w:r w:rsidRPr="00A538A6">
        <w:t>selection bias and confounding are concerns</w:t>
      </w:r>
      <w:r w:rsidR="00670E67">
        <w:t>.</w:t>
      </w:r>
      <w:r w:rsidRPr="00A538A6">
        <w:t xml:space="preserve"> Imprecision (</w:t>
      </w:r>
      <w:r w:rsidR="00670E67">
        <w:t>−</w:t>
      </w:r>
      <w:r w:rsidRPr="00A538A6">
        <w:t>1): point estimate of effect is less than the value generally accepted as sufficient to indicate a clinically meaningful difference</w:t>
      </w:r>
      <w:r w:rsidR="00670E67">
        <w:t>.</w:t>
      </w:r>
      <w:r w:rsidRPr="00A538A6">
        <w:t xml:space="preserve"> Inconsistency (</w:t>
      </w:r>
      <w:r w:rsidR="00670E67">
        <w:t>−</w:t>
      </w:r>
      <w:r w:rsidRPr="00A538A6">
        <w:t>1): I</w:t>
      </w:r>
      <w:r w:rsidRPr="00C10A19">
        <w:rPr>
          <w:vertAlign w:val="superscript"/>
        </w:rPr>
        <w:t>2</w:t>
      </w:r>
      <w:r w:rsidRPr="00A538A6">
        <w:t xml:space="preserve"> &gt;50%</w:t>
      </w:r>
      <w:r w:rsidR="00130B0B">
        <w:t>.</w:t>
      </w:r>
      <w:r w:rsidRPr="00A538A6">
        <w:t xml:space="preserve"> Indirectness of evidence (</w:t>
      </w:r>
      <w:r w:rsidR="00670E67">
        <w:t>−</w:t>
      </w:r>
      <w:r w:rsidRPr="00A538A6">
        <w:t>1): length of follow-up highly variable across the studies included, and lack of clarity about similarities/differences in key characteristics of the T2D subpopulations included</w:t>
      </w:r>
      <w:r w:rsidR="00130B0B">
        <w:t>.</w:t>
      </w:r>
      <w:r w:rsidRPr="00A538A6">
        <w:t xml:space="preserve"> Publication bias (</w:t>
      </w:r>
      <w:r w:rsidR="00670E67">
        <w:t>−</w:t>
      </w:r>
      <w:r w:rsidRPr="00A538A6">
        <w:t>1): search reported in the ADAR 1785</w:t>
      </w:r>
      <w:r w:rsidR="004628B6">
        <w:t xml:space="preserve"> resubmission</w:t>
      </w:r>
      <w:r w:rsidRPr="00A538A6">
        <w:t xml:space="preserve"> states clearly that RCTs that evaluated Dexcom ONE+ vs SMG were sought.</w:t>
      </w:r>
    </w:p>
    <w:p w14:paraId="0619394D" w14:textId="77777777" w:rsidR="00244E71" w:rsidRDefault="00244E71" w:rsidP="00244E71">
      <w:pPr>
        <w:keepNext/>
        <w:tabs>
          <w:tab w:val="left" w:pos="720"/>
          <w:tab w:val="left" w:pos="1140"/>
        </w:tabs>
        <w:spacing w:before="240" w:after="120"/>
      </w:pPr>
      <w:r>
        <w:rPr>
          <w:b/>
          <w:bCs/>
          <w:noProof/>
        </w:rPr>
        <w:lastRenderedPageBreak/>
        <w:drawing>
          <wp:inline distT="0" distB="0" distL="0" distR="0" wp14:anchorId="66AA3441" wp14:editId="69B689AA">
            <wp:extent cx="5112805" cy="7210425"/>
            <wp:effectExtent l="0" t="0" r="0" b="0"/>
            <wp:docPr id="744002550" name="Picture 2" descr="Forest plot of meta-analysis assessing RT-CGM vs SM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002550" name="Picture 2" descr="Forest plot of meta-analysis assessing RT-CGM vs SMB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61271" cy="7278775"/>
                    </a:xfrm>
                    <a:prstGeom prst="rect">
                      <a:avLst/>
                    </a:prstGeom>
                    <a:noFill/>
                  </pic:spPr>
                </pic:pic>
              </a:graphicData>
            </a:graphic>
          </wp:inline>
        </w:drawing>
      </w:r>
    </w:p>
    <w:p w14:paraId="17729865" w14:textId="0E8087D7" w:rsidR="002968EF" w:rsidRDefault="00244E71" w:rsidP="00244E71">
      <w:pPr>
        <w:pStyle w:val="Caption"/>
      </w:pPr>
      <w:bookmarkStart w:id="37" w:name="_Ref226729851"/>
      <w:r>
        <w:t xml:space="preserve">Figure </w:t>
      </w:r>
      <w:r>
        <w:fldChar w:fldCharType="begin"/>
      </w:r>
      <w:r>
        <w:instrText>SEQ Figure \* ARABIC</w:instrText>
      </w:r>
      <w:r>
        <w:fldChar w:fldCharType="separate"/>
      </w:r>
      <w:r w:rsidR="0098516D">
        <w:rPr>
          <w:noProof/>
        </w:rPr>
        <w:t>1</w:t>
      </w:r>
      <w:r>
        <w:fldChar w:fldCharType="end"/>
      </w:r>
      <w:bookmarkEnd w:id="37"/>
      <w:r w:rsidR="00996E68">
        <w:rPr>
          <w:noProof/>
        </w:rPr>
        <w:t>:</w:t>
      </w:r>
      <w:r>
        <w:t xml:space="preserve"> Forest plot of meta-analysis assessing RT-CGM vs SMBG</w:t>
      </w:r>
    </w:p>
    <w:p w14:paraId="2CA4BB74" w14:textId="7F8ADECA" w:rsidR="00E002C5" w:rsidRDefault="00C07DE1" w:rsidP="00C07DE1">
      <w:pPr>
        <w:rPr>
          <w:rFonts w:ascii="Arial Narrow" w:hAnsi="Arial Narrow" w:cs="Arial"/>
          <w:sz w:val="18"/>
        </w:rPr>
        <w:sectPr w:rsidR="00E002C5" w:rsidSect="00756A0E">
          <w:pgSz w:w="11906" w:h="16838"/>
          <w:pgMar w:top="1440" w:right="1440" w:bottom="1440" w:left="1440" w:header="708" w:footer="708" w:gutter="0"/>
          <w:cols w:space="708"/>
          <w:docGrid w:linePitch="360"/>
        </w:sectPr>
      </w:pPr>
      <w:r w:rsidRPr="00FE30E7">
        <w:rPr>
          <w:rFonts w:ascii="Arial Narrow" w:hAnsi="Arial Narrow" w:cs="Arial"/>
          <w:b/>
          <w:bCs/>
          <w:sz w:val="18"/>
        </w:rPr>
        <w:t>Abbreviations</w:t>
      </w:r>
      <w:r w:rsidRPr="00B3279A">
        <w:rPr>
          <w:rFonts w:ascii="Arial Narrow" w:hAnsi="Arial Narrow" w:cs="Arial"/>
          <w:sz w:val="18"/>
        </w:rPr>
        <w:t xml:space="preserve">: FSL/FGM, FreeStyle Libre/Flash Glucose Monitoring; IIT, intensive insulin treatment; RCT, Randomised Controlled Trial; RWE, Real-World Evidence; RT-CGM, Real-Time Continuous Glucose Monitoring; T2D, Type 2 Diabetes. </w:t>
      </w:r>
      <w:r w:rsidR="00FE30E7">
        <w:rPr>
          <w:rFonts w:ascii="Arial Narrow" w:hAnsi="Arial Narrow" w:cs="Arial"/>
          <w:sz w:val="18"/>
        </w:rPr>
        <w:br/>
      </w:r>
      <w:r w:rsidRPr="00FE30E7">
        <w:rPr>
          <w:rFonts w:ascii="Arial Narrow" w:hAnsi="Arial Narrow" w:cs="Arial"/>
          <w:b/>
          <w:bCs/>
          <w:sz w:val="18"/>
        </w:rPr>
        <w:t>Source:</w:t>
      </w:r>
      <w:r w:rsidRPr="00B3279A">
        <w:rPr>
          <w:rFonts w:ascii="Arial Narrow" w:hAnsi="Arial Narrow" w:cs="Arial"/>
          <w:sz w:val="18"/>
        </w:rPr>
        <w:t xml:space="preserve"> </w:t>
      </w:r>
      <w:r w:rsidR="008173CA" w:rsidRPr="00B3279A">
        <w:rPr>
          <w:rFonts w:ascii="Arial Narrow" w:hAnsi="Arial Narrow" w:cs="Arial"/>
          <w:sz w:val="18"/>
        </w:rPr>
        <w:t xml:space="preserve"> </w:t>
      </w:r>
      <w:r w:rsidR="00484B52" w:rsidRPr="00B3279A">
        <w:rPr>
          <w:rFonts w:ascii="Arial Narrow" w:hAnsi="Arial Narrow" w:cs="Arial"/>
          <w:sz w:val="18"/>
        </w:rPr>
        <w:t xml:space="preserve">ADAR 1785 Resubmission, </w:t>
      </w:r>
      <w:r w:rsidR="009F5B5D">
        <w:rPr>
          <w:rFonts w:ascii="Arial Narrow" w:hAnsi="Arial Narrow" w:cs="Arial"/>
          <w:sz w:val="18"/>
        </w:rPr>
        <w:t>p.</w:t>
      </w:r>
      <w:r w:rsidR="00484B52" w:rsidRPr="00B3279A">
        <w:rPr>
          <w:rFonts w:ascii="Arial Narrow" w:hAnsi="Arial Narrow" w:cs="Arial"/>
          <w:sz w:val="18"/>
        </w:rPr>
        <w:t xml:space="preserve"> </w:t>
      </w:r>
      <w:r w:rsidR="00D90164" w:rsidRPr="00B3279A">
        <w:rPr>
          <w:rFonts w:ascii="Arial Narrow" w:hAnsi="Arial Narrow" w:cs="Arial"/>
          <w:sz w:val="18"/>
        </w:rPr>
        <w:t>67 (</w:t>
      </w:r>
      <w:r w:rsidRPr="00B3279A">
        <w:rPr>
          <w:rFonts w:ascii="Arial Narrow" w:hAnsi="Arial Narrow" w:cs="Arial"/>
          <w:sz w:val="18"/>
        </w:rPr>
        <w:t>Attachment 2</w:t>
      </w:r>
      <w:r w:rsidR="00344531" w:rsidRPr="00B3279A">
        <w:rPr>
          <w:rFonts w:ascii="Arial Narrow" w:hAnsi="Arial Narrow" w:cs="Arial"/>
          <w:sz w:val="18"/>
        </w:rPr>
        <w:t xml:space="preserve"> </w:t>
      </w:r>
      <w:r w:rsidR="005E7957" w:rsidRPr="00B3279A">
        <w:rPr>
          <w:rFonts w:ascii="Arial Narrow" w:hAnsi="Arial Narrow" w:cs="Arial"/>
          <w:sz w:val="18"/>
        </w:rPr>
        <w:t xml:space="preserve">- Note that this attachment is a </w:t>
      </w:r>
      <w:r w:rsidR="004067F4" w:rsidRPr="00B3279A">
        <w:rPr>
          <w:rFonts w:ascii="Arial Narrow" w:hAnsi="Arial Narrow" w:cs="Arial"/>
          <w:sz w:val="18"/>
        </w:rPr>
        <w:t>Re</w:t>
      </w:r>
      <w:r w:rsidR="00FE30E7">
        <w:rPr>
          <w:rFonts w:ascii="Arial Narrow" w:hAnsi="Arial Narrow" w:cs="Arial"/>
          <w:sz w:val="18"/>
        </w:rPr>
        <w:t>v</w:t>
      </w:r>
      <w:r w:rsidR="004067F4" w:rsidRPr="00B3279A">
        <w:rPr>
          <w:rFonts w:ascii="Arial Narrow" w:hAnsi="Arial Narrow" w:cs="Arial"/>
          <w:sz w:val="18"/>
        </w:rPr>
        <w:t xml:space="preserve">Man file that </w:t>
      </w:r>
      <w:r w:rsidR="00CB3F1D" w:rsidRPr="00B3279A">
        <w:rPr>
          <w:rFonts w:ascii="Arial Narrow" w:hAnsi="Arial Narrow" w:cs="Arial"/>
          <w:sz w:val="18"/>
        </w:rPr>
        <w:t>is zipped, which</w:t>
      </w:r>
      <w:r w:rsidR="001B6C75" w:rsidRPr="00B3279A">
        <w:rPr>
          <w:rFonts w:ascii="Arial Narrow" w:hAnsi="Arial Narrow" w:cs="Arial"/>
          <w:sz w:val="18"/>
        </w:rPr>
        <w:t xml:space="preserve"> </w:t>
      </w:r>
      <w:r w:rsidR="001F71F2" w:rsidRPr="00B3279A">
        <w:rPr>
          <w:rFonts w:ascii="Arial Narrow" w:hAnsi="Arial Narrow" w:cs="Arial"/>
          <w:sz w:val="18"/>
        </w:rPr>
        <w:t xml:space="preserve">the </w:t>
      </w:r>
      <w:r w:rsidR="001121CC">
        <w:rPr>
          <w:rFonts w:ascii="Arial Narrow" w:hAnsi="Arial Narrow" w:cs="Arial"/>
          <w:sz w:val="18"/>
        </w:rPr>
        <w:t>assessment group</w:t>
      </w:r>
      <w:r w:rsidR="00CB3F1D" w:rsidRPr="00B3279A">
        <w:rPr>
          <w:rFonts w:ascii="Arial Narrow" w:hAnsi="Arial Narrow" w:cs="Arial"/>
          <w:sz w:val="18"/>
        </w:rPr>
        <w:t xml:space="preserve"> </w:t>
      </w:r>
      <w:r w:rsidR="00130B0B">
        <w:rPr>
          <w:rFonts w:ascii="Arial Narrow" w:hAnsi="Arial Narrow" w:cs="Arial"/>
          <w:sz w:val="18"/>
        </w:rPr>
        <w:t>was</w:t>
      </w:r>
      <w:r w:rsidR="00130B0B" w:rsidRPr="00B3279A">
        <w:rPr>
          <w:rFonts w:ascii="Arial Narrow" w:hAnsi="Arial Narrow" w:cs="Arial"/>
          <w:sz w:val="18"/>
        </w:rPr>
        <w:t xml:space="preserve"> </w:t>
      </w:r>
      <w:r w:rsidR="00CB3F1D" w:rsidRPr="00B3279A">
        <w:rPr>
          <w:rFonts w:ascii="Arial Narrow" w:hAnsi="Arial Narrow" w:cs="Arial"/>
          <w:sz w:val="18"/>
        </w:rPr>
        <w:t>unable to open</w:t>
      </w:r>
      <w:r w:rsidR="005A1AE8">
        <w:rPr>
          <w:rFonts w:ascii="Arial Narrow" w:hAnsi="Arial Narrow" w:cs="Arial"/>
          <w:sz w:val="18"/>
        </w:rPr>
        <w:t>,</w:t>
      </w:r>
      <w:r w:rsidR="001673D1">
        <w:rPr>
          <w:rFonts w:ascii="Arial Narrow" w:hAnsi="Arial Narrow" w:cs="Arial"/>
          <w:sz w:val="18"/>
        </w:rPr>
        <w:t xml:space="preserve"> but were able to source from the ADAR resubmission</w:t>
      </w:r>
      <w:r w:rsidR="005A1AE8">
        <w:rPr>
          <w:rFonts w:ascii="Arial Narrow" w:hAnsi="Arial Narrow" w:cs="Arial"/>
          <w:sz w:val="18"/>
        </w:rPr>
        <w:t xml:space="preserve"> </w:t>
      </w:r>
      <w:r w:rsidR="00D06D4B">
        <w:rPr>
          <w:rFonts w:ascii="Arial Narrow" w:hAnsi="Arial Narrow" w:cs="Arial"/>
          <w:sz w:val="18"/>
        </w:rPr>
        <w:t>document</w:t>
      </w:r>
      <w:r w:rsidR="00CB3F1D" w:rsidRPr="00B3279A">
        <w:rPr>
          <w:rFonts w:ascii="Arial Narrow" w:hAnsi="Arial Narrow" w:cs="Arial"/>
          <w:sz w:val="18"/>
        </w:rPr>
        <w:t>)</w:t>
      </w:r>
      <w:r w:rsidRPr="00B3279A">
        <w:rPr>
          <w:rFonts w:ascii="Arial Narrow" w:hAnsi="Arial Narrow" w:cs="Arial"/>
          <w:sz w:val="18"/>
        </w:rPr>
        <w:t xml:space="preserve">.  </w:t>
      </w:r>
    </w:p>
    <w:p w14:paraId="07FB3563" w14:textId="09CA5040" w:rsidR="00130D30" w:rsidRPr="00130D30" w:rsidRDefault="00130B0B" w:rsidP="00E002C5">
      <w:pPr>
        <w:spacing w:before="0"/>
        <w:rPr>
          <w:b/>
          <w:bCs/>
        </w:rPr>
      </w:pPr>
      <w:r>
        <w:rPr>
          <w:b/>
          <w:bCs/>
        </w:rPr>
        <w:lastRenderedPageBreak/>
        <w:t>RT-CGM</w:t>
      </w:r>
      <w:r w:rsidR="00B46818">
        <w:rPr>
          <w:b/>
          <w:bCs/>
        </w:rPr>
        <w:t xml:space="preserve"> using </w:t>
      </w:r>
      <w:r w:rsidR="00130D30" w:rsidRPr="00130D30">
        <w:rPr>
          <w:b/>
          <w:bCs/>
        </w:rPr>
        <w:t xml:space="preserve">Dexcom ONE+ </w:t>
      </w:r>
      <w:r w:rsidR="00B46818">
        <w:rPr>
          <w:b/>
          <w:bCs/>
        </w:rPr>
        <w:t xml:space="preserve">versus </w:t>
      </w:r>
      <w:r w:rsidR="00555D0F">
        <w:rPr>
          <w:b/>
          <w:bCs/>
        </w:rPr>
        <w:t>F</w:t>
      </w:r>
      <w:r w:rsidR="001A6E8E">
        <w:rPr>
          <w:b/>
          <w:bCs/>
        </w:rPr>
        <w:t>ree</w:t>
      </w:r>
      <w:r w:rsidR="00555D0F">
        <w:rPr>
          <w:b/>
          <w:bCs/>
        </w:rPr>
        <w:t>S</w:t>
      </w:r>
      <w:r w:rsidR="001A6E8E">
        <w:rPr>
          <w:b/>
          <w:bCs/>
        </w:rPr>
        <w:t xml:space="preserve">tyle </w:t>
      </w:r>
      <w:r w:rsidR="00C0239C">
        <w:rPr>
          <w:b/>
          <w:bCs/>
        </w:rPr>
        <w:t>Libre</w:t>
      </w:r>
      <w:r w:rsidR="00571281">
        <w:rPr>
          <w:b/>
          <w:bCs/>
        </w:rPr>
        <w:t>/Flash Glucose Monitoring</w:t>
      </w:r>
      <w:r w:rsidR="00C0239C">
        <w:rPr>
          <w:b/>
          <w:bCs/>
        </w:rPr>
        <w:t xml:space="preserve"> </w:t>
      </w:r>
    </w:p>
    <w:p w14:paraId="09229E11" w14:textId="540FB71B" w:rsidR="009D7045" w:rsidRPr="009D7045" w:rsidRDefault="00555D0F" w:rsidP="009D7045">
      <w:r>
        <w:t>As the applicant report</w:t>
      </w:r>
      <w:r w:rsidR="00130B0B">
        <w:t>ed</w:t>
      </w:r>
      <w:r w:rsidR="009D7045">
        <w:t>, a</w:t>
      </w:r>
      <w:r w:rsidR="009D7045" w:rsidRPr="009D7045">
        <w:t xml:space="preserve">cross the pooled analyses, RT-CGM was consistently associated with greater reductions in HbA1c compared with FSL/FGM across both IIT and non-IIT T2D populations. </w:t>
      </w:r>
    </w:p>
    <w:p w14:paraId="1016B4F1" w14:textId="498C4596" w:rsidR="009D7045" w:rsidRPr="009D7045" w:rsidRDefault="009D7045" w:rsidP="009D7045">
      <w:r w:rsidRPr="009D7045">
        <w:t xml:space="preserve">When analyses </w:t>
      </w:r>
      <w:r w:rsidR="00072FB9">
        <w:t>were</w:t>
      </w:r>
      <w:r w:rsidRPr="009D7045">
        <w:t xml:space="preserve"> restricted to studies directly compa</w:t>
      </w:r>
      <w:r w:rsidR="00130B0B">
        <w:t>ring</w:t>
      </w:r>
      <w:r w:rsidRPr="009D7045">
        <w:t xml:space="preserve"> RT-CGM (Dexcom) with FSL/FGM </w:t>
      </w:r>
      <w:r w:rsidR="00255783">
        <w:t xml:space="preserve">(refer to </w:t>
      </w:r>
      <w:r w:rsidR="00840219">
        <w:fldChar w:fldCharType="begin"/>
      </w:r>
      <w:r w:rsidR="00840219">
        <w:instrText xml:space="preserve"> REF _Ref229048417 \h </w:instrText>
      </w:r>
      <w:r w:rsidR="00840219">
        <w:fldChar w:fldCharType="separate"/>
      </w:r>
      <w:r w:rsidR="0098516D">
        <w:t xml:space="preserve">Table </w:t>
      </w:r>
      <w:r w:rsidR="0098516D">
        <w:rPr>
          <w:noProof/>
        </w:rPr>
        <w:t>8</w:t>
      </w:r>
      <w:r w:rsidR="00840219">
        <w:fldChar w:fldCharType="end"/>
      </w:r>
      <w:r w:rsidR="00AF1935">
        <w:t xml:space="preserve"> for the </w:t>
      </w:r>
      <w:r w:rsidR="00255783">
        <w:t>scenarios</w:t>
      </w:r>
      <w:r w:rsidRPr="009D7045">
        <w:t>), the pooled estimates consistently favour</w:t>
      </w:r>
      <w:r w:rsidR="00130B0B">
        <w:t>ed</w:t>
      </w:r>
      <w:r w:rsidRPr="009D7045">
        <w:t xml:space="preserve"> RT-CGM (Dexcom)</w:t>
      </w:r>
      <w:r w:rsidR="00130B0B">
        <w:t>,</w:t>
      </w:r>
      <w:r w:rsidRPr="009D7045">
        <w:t xml:space="preserve"> in terms of HbA1c reduction across both insulin-treated subgroups:</w:t>
      </w:r>
    </w:p>
    <w:p w14:paraId="52282EF5" w14:textId="190B9B7F" w:rsidR="009D7045" w:rsidRPr="009D7045" w:rsidRDefault="009D7045" w:rsidP="00670C60">
      <w:pPr>
        <w:numPr>
          <w:ilvl w:val="0"/>
          <w:numId w:val="20"/>
        </w:numPr>
      </w:pPr>
      <w:r w:rsidRPr="00C0239C">
        <w:t>In the IIT population</w:t>
      </w:r>
      <w:r w:rsidRPr="009D7045">
        <w:t>, combining RCT and RWE evidence for RT-CGM (DIAMOND; Karter 2021) vs FSL/FGM (Haak 2017; Nathanson 2025a; Yaron 2019) yields a numerical HbA1c benefit in favour of Dexcom RT-CGM (MD: −0.45% [Scenario #2] vs −0.25% [Scenario #4]), equating to a HbA1c difference of 0.2%.</w:t>
      </w:r>
    </w:p>
    <w:p w14:paraId="6A9E49B0" w14:textId="0BB6DDAF" w:rsidR="009D7045" w:rsidRPr="009D7045" w:rsidRDefault="009D7045" w:rsidP="00670C60">
      <w:pPr>
        <w:numPr>
          <w:ilvl w:val="0"/>
          <w:numId w:val="20"/>
        </w:numPr>
      </w:pPr>
      <w:r w:rsidRPr="00C0239C">
        <w:t>In the non-IIT population</w:t>
      </w:r>
      <w:r w:rsidRPr="009D7045">
        <w:t>, comparing RCT for Dexcom RT-CGM (MOBILE; Steno2tech) vs RWE evidence for FSL/FGM (Bosi 2022; Nathanson 2025b) resulted in a numerical HbA1c benefit in favour of Dexcom RT-CGM (MD: −0.60% [Scenario #7] vs −0.34% [Scenario #8]), equating to a HbA1c difference of 0.26%.</w:t>
      </w:r>
    </w:p>
    <w:p w14:paraId="3C3CBCEA" w14:textId="5E971AD6" w:rsidR="00182884" w:rsidRDefault="00555D0F" w:rsidP="00B04F79">
      <w:r>
        <w:t xml:space="preserve"> </w:t>
      </w:r>
      <w:r w:rsidR="009E2D2B">
        <w:t>(</w:t>
      </w:r>
      <w:r>
        <w:t>ADAR 1785 resubmission</w:t>
      </w:r>
      <w:r w:rsidR="009E2D2B">
        <w:t xml:space="preserve">, </w:t>
      </w:r>
      <w:r w:rsidR="009F5B5D">
        <w:t>p.</w:t>
      </w:r>
      <w:r w:rsidR="009E2D2B">
        <w:t xml:space="preserve"> 66)</w:t>
      </w:r>
      <w:r w:rsidR="00182884">
        <w:t>.</w:t>
      </w:r>
    </w:p>
    <w:p w14:paraId="6E36FCFC" w14:textId="34CEF10C" w:rsidR="00130D30" w:rsidRDefault="00093647" w:rsidP="00B04F79">
      <w:r>
        <w:t xml:space="preserve">However, </w:t>
      </w:r>
      <w:r w:rsidR="001C4FCE">
        <w:t>the commentary considered that there were</w:t>
      </w:r>
      <w:r w:rsidR="00A30E80">
        <w:t xml:space="preserve"> </w:t>
      </w:r>
      <w:r w:rsidR="00E22016">
        <w:t>two</w:t>
      </w:r>
      <w:r w:rsidR="00262BDC">
        <w:t xml:space="preserve"> main</w:t>
      </w:r>
      <w:r w:rsidR="00A30E80">
        <w:t xml:space="preserve"> reasons why the</w:t>
      </w:r>
      <w:r w:rsidR="00B82739">
        <w:t>se</w:t>
      </w:r>
      <w:r w:rsidR="004D633A">
        <w:t xml:space="preserve"> </w:t>
      </w:r>
      <w:r w:rsidR="00897AF7">
        <w:t xml:space="preserve">results should not be interpreted as supporting </w:t>
      </w:r>
      <w:r w:rsidR="001C4FCE">
        <w:t xml:space="preserve">the claim </w:t>
      </w:r>
      <w:r w:rsidR="00897AF7">
        <w:t>that Dexcom ONE+ is superior to FSL</w:t>
      </w:r>
      <w:r w:rsidR="006558B1">
        <w:t>. Firstly</w:t>
      </w:r>
      <w:r w:rsidR="00051BD6">
        <w:t>,</w:t>
      </w:r>
      <w:r w:rsidR="00B04E36">
        <w:t xml:space="preserve"> the </w:t>
      </w:r>
      <w:r w:rsidR="004F7E71">
        <w:t>meta-analyses</w:t>
      </w:r>
      <w:r w:rsidR="00F24178">
        <w:t xml:space="preserve"> </w:t>
      </w:r>
      <w:r w:rsidR="00614200">
        <w:t xml:space="preserve">underpinning the results </w:t>
      </w:r>
      <w:r>
        <w:t>are</w:t>
      </w:r>
      <w:r w:rsidR="00614200">
        <w:t xml:space="preserve"> subject to methodological </w:t>
      </w:r>
      <w:r w:rsidR="00822887">
        <w:t xml:space="preserve">flaws, including pooling of </w:t>
      </w:r>
      <w:r w:rsidR="008C5CBF">
        <w:t xml:space="preserve">outcomes from studies </w:t>
      </w:r>
      <w:r w:rsidR="00F40E4A">
        <w:t>with</w:t>
      </w:r>
      <w:r w:rsidR="008C5CBF">
        <w:t xml:space="preserve"> different designs</w:t>
      </w:r>
      <w:r w:rsidR="00CD3D0D">
        <w:t xml:space="preserve"> and</w:t>
      </w:r>
      <w:r w:rsidR="00E6718F">
        <w:t xml:space="preserve"> </w:t>
      </w:r>
      <w:r w:rsidR="00AC715E">
        <w:t>assess</w:t>
      </w:r>
      <w:r w:rsidR="00155677">
        <w:t>ment</w:t>
      </w:r>
      <w:r w:rsidR="00AC715E">
        <w:t xml:space="preserve"> at different timepoints.</w:t>
      </w:r>
      <w:r w:rsidR="00E6718F" w:rsidDel="009453F6">
        <w:t xml:space="preserve"> </w:t>
      </w:r>
      <w:r w:rsidR="00F301F2">
        <w:t>The</w:t>
      </w:r>
      <w:r w:rsidR="009453F6">
        <w:t>se</w:t>
      </w:r>
      <w:r w:rsidR="00F301F2">
        <w:t xml:space="preserve"> methodological flaws </w:t>
      </w:r>
      <w:r w:rsidR="00DC0470">
        <w:t xml:space="preserve">are acknowledged in the </w:t>
      </w:r>
      <w:r w:rsidR="0073664C">
        <w:t>resubmission (</w:t>
      </w:r>
      <w:r w:rsidR="009F5B5D">
        <w:t>p.</w:t>
      </w:r>
      <w:r w:rsidR="0073664C">
        <w:t xml:space="preserve"> </w:t>
      </w:r>
      <w:r w:rsidR="00350CC0">
        <w:t>64 of ADAR 1785 resubmission).</w:t>
      </w:r>
      <w:r w:rsidR="00051BD6">
        <w:t xml:space="preserve"> </w:t>
      </w:r>
      <w:r w:rsidR="00907055">
        <w:t>Secondly,</w:t>
      </w:r>
      <w:r w:rsidR="00013D0A">
        <w:t xml:space="preserve"> th</w:t>
      </w:r>
      <w:r w:rsidR="00CB51A0">
        <w:t xml:space="preserve">is </w:t>
      </w:r>
      <w:r w:rsidR="00F103D7">
        <w:t xml:space="preserve">is </w:t>
      </w:r>
      <w:r w:rsidR="005973EB">
        <w:t>indi</w:t>
      </w:r>
      <w:r w:rsidR="00AB2E8B">
        <w:t>rect</w:t>
      </w:r>
      <w:r w:rsidR="00890334">
        <w:t xml:space="preserve"> </w:t>
      </w:r>
      <w:r w:rsidR="00262BDC">
        <w:t>(</w:t>
      </w:r>
      <w:r w:rsidR="00890334">
        <w:t>not direct</w:t>
      </w:r>
      <w:r w:rsidR="00262BDC">
        <w:t>)</w:t>
      </w:r>
      <w:r w:rsidR="00AB2E8B">
        <w:t xml:space="preserve"> </w:t>
      </w:r>
      <w:r w:rsidR="00013D0A">
        <w:t xml:space="preserve">pooled </w:t>
      </w:r>
      <w:r w:rsidR="00AB2E8B">
        <w:t>comp</w:t>
      </w:r>
      <w:r w:rsidR="00BC0169">
        <w:t xml:space="preserve">arative </w:t>
      </w:r>
      <w:r w:rsidR="00954AC6">
        <w:t>evidence</w:t>
      </w:r>
      <w:r w:rsidR="00DE7E64">
        <w:t>.</w:t>
      </w:r>
      <w:r w:rsidR="004D2C06">
        <w:t xml:space="preserve"> Specifically,</w:t>
      </w:r>
      <w:r w:rsidR="00363B99">
        <w:t xml:space="preserve"> </w:t>
      </w:r>
      <w:r w:rsidR="00781FBF">
        <w:t xml:space="preserve">effects shown by </w:t>
      </w:r>
      <w:r w:rsidR="00120C35">
        <w:t xml:space="preserve">sets of </w:t>
      </w:r>
      <w:r w:rsidR="00781FBF">
        <w:t xml:space="preserve">studies that compared </w:t>
      </w:r>
      <w:r w:rsidR="00193A54">
        <w:t xml:space="preserve">RT-CGM Dexcom ONE+ against </w:t>
      </w:r>
      <w:r w:rsidR="00A07687">
        <w:t xml:space="preserve">SMBG </w:t>
      </w:r>
      <w:r w:rsidR="001E3E10">
        <w:t xml:space="preserve">were pooled </w:t>
      </w:r>
      <w:r w:rsidR="00A011E3">
        <w:t xml:space="preserve">to produce summary effect measures, </w:t>
      </w:r>
      <w:r w:rsidR="005A0B3B">
        <w:t xml:space="preserve">and </w:t>
      </w:r>
      <w:r w:rsidR="00A07687">
        <w:t xml:space="preserve">effects </w:t>
      </w:r>
      <w:r w:rsidR="00A011E3">
        <w:t xml:space="preserve">observed </w:t>
      </w:r>
      <w:r w:rsidR="00385A85">
        <w:t>by studies compar</w:t>
      </w:r>
      <w:r w:rsidR="00F929F9">
        <w:t>ing</w:t>
      </w:r>
      <w:r w:rsidR="00385A85">
        <w:t xml:space="preserve"> RT-CGM </w:t>
      </w:r>
      <w:r w:rsidR="006049A6">
        <w:t>FSL/FGM against SMBG</w:t>
      </w:r>
      <w:r w:rsidR="00402EE8">
        <w:t xml:space="preserve"> were pooled</w:t>
      </w:r>
      <w:r w:rsidR="00A011E3">
        <w:t xml:space="preserve"> to produce summary effect measures</w:t>
      </w:r>
      <w:r w:rsidR="00695661">
        <w:t>;</w:t>
      </w:r>
      <w:r w:rsidR="00A011E3">
        <w:t xml:space="preserve"> which were</w:t>
      </w:r>
      <w:r w:rsidR="00946CE3">
        <w:t xml:space="preserve"> subsequently compared to draw conclusion</w:t>
      </w:r>
      <w:r w:rsidR="00F266A2">
        <w:t>s</w:t>
      </w:r>
      <w:r w:rsidR="00946CE3">
        <w:t xml:space="preserve"> about </w:t>
      </w:r>
      <w:r w:rsidR="00F266A2">
        <w:t xml:space="preserve">the </w:t>
      </w:r>
      <w:r w:rsidR="00946CE3">
        <w:t xml:space="preserve">relative </w:t>
      </w:r>
      <w:r w:rsidR="00FF6B1F">
        <w:t>effectiveness</w:t>
      </w:r>
      <w:r w:rsidR="00A011E3">
        <w:t xml:space="preserve"> of one device type over </w:t>
      </w:r>
      <w:r w:rsidR="00F266A2">
        <w:t>an</w:t>
      </w:r>
      <w:r w:rsidR="00A011E3">
        <w:t>other</w:t>
      </w:r>
      <w:r w:rsidR="00FF6B1F">
        <w:t>. Th</w:t>
      </w:r>
      <w:r w:rsidR="00274707">
        <w:t>is use of indirect comparative evidence is problematic</w:t>
      </w:r>
      <w:r w:rsidR="00F266A2">
        <w:t>,</w:t>
      </w:r>
      <w:r w:rsidR="00274707">
        <w:t xml:space="preserve"> </w:t>
      </w:r>
      <w:r w:rsidR="0064271A">
        <w:t>in that th</w:t>
      </w:r>
      <w:r w:rsidR="00282EE0">
        <w:t xml:space="preserve">ere </w:t>
      </w:r>
      <w:r w:rsidR="00185A8D">
        <w:t>is unclear risk of</w:t>
      </w:r>
      <w:r w:rsidR="0064271A">
        <w:t xml:space="preserve"> con</w:t>
      </w:r>
      <w:r w:rsidR="00282EE0">
        <w:t>founding</w:t>
      </w:r>
      <w:r w:rsidR="00274707">
        <w:t xml:space="preserve"> </w:t>
      </w:r>
      <w:r w:rsidR="00185A8D">
        <w:t>by other factors.</w:t>
      </w:r>
      <w:r w:rsidR="00274707">
        <w:t xml:space="preserve"> </w:t>
      </w:r>
    </w:p>
    <w:p w14:paraId="4E629964" w14:textId="0F980782" w:rsidR="00EC7BE2" w:rsidRPr="00655AE0" w:rsidRDefault="00EC7BE2" w:rsidP="00E002C5">
      <w:pPr>
        <w:tabs>
          <w:tab w:val="left" w:pos="720"/>
          <w:tab w:val="left" w:pos="1140"/>
        </w:tabs>
        <w:spacing w:before="0" w:after="120"/>
        <w:rPr>
          <w:b/>
          <w:bCs/>
        </w:rPr>
      </w:pPr>
      <w:r w:rsidRPr="00655AE0">
        <w:rPr>
          <w:b/>
          <w:bCs/>
        </w:rPr>
        <w:t>Interpretation</w:t>
      </w:r>
      <w:r w:rsidR="003071A5">
        <w:rPr>
          <w:b/>
          <w:bCs/>
        </w:rPr>
        <w:t xml:space="preserve"> – </w:t>
      </w:r>
      <w:r w:rsidRPr="00655AE0">
        <w:rPr>
          <w:b/>
          <w:bCs/>
        </w:rPr>
        <w:t xml:space="preserve">clinical claim </w:t>
      </w:r>
    </w:p>
    <w:p w14:paraId="5476DC87" w14:textId="548407F1" w:rsidR="00B5181A" w:rsidRDefault="00AA252A" w:rsidP="00AA252A">
      <w:pPr>
        <w:tabs>
          <w:tab w:val="left" w:pos="720"/>
          <w:tab w:val="left" w:pos="1140"/>
        </w:tabs>
        <w:spacing w:before="240" w:after="120"/>
      </w:pPr>
      <w:r w:rsidRPr="000351F3">
        <w:t xml:space="preserve">The applicant </w:t>
      </w:r>
      <w:r w:rsidR="00747772">
        <w:t>states</w:t>
      </w:r>
      <w:r w:rsidR="0029625D">
        <w:t xml:space="preserve"> that, </w:t>
      </w:r>
      <w:r w:rsidRPr="000351F3">
        <w:t xml:space="preserve">based on </w:t>
      </w:r>
      <w:r w:rsidR="00ED101D" w:rsidRPr="000351F3">
        <w:t>th</w:t>
      </w:r>
      <w:r w:rsidR="00ED101D">
        <w:t>e presented</w:t>
      </w:r>
      <w:r w:rsidR="00ED101D" w:rsidRPr="000351F3">
        <w:t xml:space="preserve"> </w:t>
      </w:r>
      <w:r w:rsidRPr="000351F3">
        <w:t>evidence and in answer to the systematic review question</w:t>
      </w:r>
      <w:r w:rsidR="0029625D">
        <w:t>,</w:t>
      </w:r>
      <w:r w:rsidRPr="002E7195">
        <w:t xml:space="preserve"> it is reasonable to conclude </w:t>
      </w:r>
      <w:r w:rsidR="002E4D40" w:rsidRPr="002E7195">
        <w:t>RT-CGM</w:t>
      </w:r>
      <w:r w:rsidR="002E4D40" w:rsidRPr="002E7195" w:rsidDel="0029625D">
        <w:t xml:space="preserve"> </w:t>
      </w:r>
      <w:r w:rsidR="000E474B" w:rsidRPr="002E7195">
        <w:t xml:space="preserve">has superior efficacy </w:t>
      </w:r>
      <w:r w:rsidR="0029625D">
        <w:t>compared</w:t>
      </w:r>
      <w:r w:rsidR="0029625D" w:rsidRPr="002E7195">
        <w:t xml:space="preserve"> to SMBG </w:t>
      </w:r>
      <w:r w:rsidR="000E474B" w:rsidRPr="002E7195">
        <w:t xml:space="preserve">in </w:t>
      </w:r>
      <w:r w:rsidRPr="002E7195">
        <w:t>IIT and non-IIT patients aged ≥2 years with T2D who have suboptimal glycaemic control</w:t>
      </w:r>
      <w:r w:rsidR="002E7195" w:rsidRPr="002E7195">
        <w:t>.</w:t>
      </w:r>
    </w:p>
    <w:p w14:paraId="419BD9E5" w14:textId="0662A602" w:rsidR="00AA252A" w:rsidRPr="000351F3" w:rsidRDefault="00AA252A" w:rsidP="00AA252A">
      <w:pPr>
        <w:tabs>
          <w:tab w:val="left" w:pos="720"/>
          <w:tab w:val="left" w:pos="1140"/>
        </w:tabs>
        <w:spacing w:before="240" w:after="120"/>
      </w:pPr>
      <w:r w:rsidRPr="000351F3">
        <w:t>T</w:t>
      </w:r>
      <w:r w:rsidR="00DD0B4A">
        <w:t>he commentary considered t</w:t>
      </w:r>
      <w:r w:rsidR="00FF674D">
        <w:t>wo</w:t>
      </w:r>
      <w:r w:rsidRPr="000351F3">
        <w:t xml:space="preserve"> aspects of th</w:t>
      </w:r>
      <w:r w:rsidR="000C59A3">
        <w:t>is</w:t>
      </w:r>
      <w:r w:rsidRPr="000351F3">
        <w:t xml:space="preserve"> claim </w:t>
      </w:r>
      <w:r w:rsidR="00DD0B4A">
        <w:t>to be</w:t>
      </w:r>
      <w:r w:rsidR="00DD0B4A" w:rsidRPr="000351F3">
        <w:t xml:space="preserve"> </w:t>
      </w:r>
      <w:r w:rsidR="00A242A5">
        <w:t>of concern</w:t>
      </w:r>
      <w:r w:rsidR="004B494F">
        <w:t>:</w:t>
      </w:r>
    </w:p>
    <w:p w14:paraId="2B70F642" w14:textId="1FFC90C2" w:rsidR="005936C6" w:rsidRDefault="005936C6" w:rsidP="00670C60">
      <w:pPr>
        <w:pStyle w:val="ListParagraph"/>
        <w:numPr>
          <w:ilvl w:val="0"/>
          <w:numId w:val="16"/>
        </w:numPr>
      </w:pPr>
      <w:r w:rsidRPr="005F7BBE">
        <w:t xml:space="preserve">The ‘superior </w:t>
      </w:r>
      <w:r w:rsidR="00322A26">
        <w:t>efficacy/</w:t>
      </w:r>
      <w:r w:rsidRPr="005F7BBE">
        <w:t xml:space="preserve">effectiveness’ </w:t>
      </w:r>
      <w:r>
        <w:t>clinical claim</w:t>
      </w:r>
      <w:r w:rsidRPr="002A4B90">
        <w:t xml:space="preserve"> </w:t>
      </w:r>
      <w:r w:rsidRPr="005F7BBE">
        <w:t xml:space="preserve">is not </w:t>
      </w:r>
      <w:r w:rsidR="00E11829">
        <w:t>justified</w:t>
      </w:r>
      <w:r w:rsidR="00E11829" w:rsidRPr="005F7BBE">
        <w:t xml:space="preserve"> </w:t>
      </w:r>
      <w:r w:rsidRPr="005F7BBE">
        <w:t>based on the comparative evidence presented to support it.</w:t>
      </w:r>
      <w:r w:rsidRPr="005F7BBE" w:rsidDel="00A97535">
        <w:t xml:space="preserve"> </w:t>
      </w:r>
      <w:r w:rsidRPr="005F7BBE">
        <w:t>Considering the effect measures</w:t>
      </w:r>
      <w:r w:rsidRPr="002A4B90">
        <w:t xml:space="preserve"> </w:t>
      </w:r>
      <w:r w:rsidRPr="005F7BBE">
        <w:t>and quality of the evidence for each outcome</w:t>
      </w:r>
      <w:r w:rsidR="004F6EBD">
        <w:t xml:space="preserve"> (</w:t>
      </w:r>
      <w:r w:rsidR="00A6710C">
        <w:t xml:space="preserve">low to </w:t>
      </w:r>
      <w:r w:rsidRPr="005F7BBE">
        <w:t>very low quality</w:t>
      </w:r>
      <w:r w:rsidR="004F6EBD">
        <w:t xml:space="preserve">), </w:t>
      </w:r>
      <w:r w:rsidRPr="005F7BBE">
        <w:t xml:space="preserve">a non-inferiority </w:t>
      </w:r>
      <w:r>
        <w:t>clinical claim</w:t>
      </w:r>
      <w:r w:rsidRPr="002A4B90">
        <w:t xml:space="preserve"> </w:t>
      </w:r>
      <w:r w:rsidRPr="005F7BBE">
        <w:t>is appropriate</w:t>
      </w:r>
      <w:r>
        <w:t xml:space="preserve"> </w:t>
      </w:r>
      <w:r w:rsidRPr="005F7BBE">
        <w:t xml:space="preserve">for both Dexcom ONE+ vs SMBG and RT-CGM vs SMBG, </w:t>
      </w:r>
      <w:r w:rsidR="0033134C">
        <w:t xml:space="preserve">along </w:t>
      </w:r>
      <w:r w:rsidRPr="005F7BBE">
        <w:t xml:space="preserve">with a cautionary interpretive note </w:t>
      </w:r>
      <w:r w:rsidR="005D2231">
        <w:t>of</w:t>
      </w:r>
      <w:r w:rsidRPr="005F7BBE">
        <w:t xml:space="preserve"> low-level confidence in the comparative effectiveness findings.</w:t>
      </w:r>
    </w:p>
    <w:p w14:paraId="244AC6D2" w14:textId="14CF79C8" w:rsidR="00590EFC" w:rsidRDefault="005936C6" w:rsidP="00670C60">
      <w:pPr>
        <w:pStyle w:val="ListParagraph"/>
        <w:numPr>
          <w:ilvl w:val="0"/>
          <w:numId w:val="16"/>
        </w:numPr>
      </w:pPr>
      <w:r w:rsidRPr="002A4B90">
        <w:t xml:space="preserve">The </w:t>
      </w:r>
      <w:r>
        <w:t xml:space="preserve">clinical </w:t>
      </w:r>
      <w:r w:rsidRPr="005F7BBE">
        <w:t xml:space="preserve">claim is silent </w:t>
      </w:r>
      <w:r w:rsidR="004C4ED2">
        <w:t>on</w:t>
      </w:r>
      <w:r w:rsidR="004C4ED2" w:rsidRPr="005F7BBE">
        <w:t xml:space="preserve"> </w:t>
      </w:r>
      <w:r w:rsidRPr="005F7BBE">
        <w:t>comparative effectiveness among one high</w:t>
      </w:r>
      <w:r w:rsidR="004C0258">
        <w:t>-</w:t>
      </w:r>
      <w:r w:rsidRPr="005F7BBE">
        <w:t xml:space="preserve">priority population group included in the PICO and </w:t>
      </w:r>
      <w:r w:rsidR="004C0258" w:rsidRPr="005F7BBE">
        <w:t xml:space="preserve">funding </w:t>
      </w:r>
      <w:r w:rsidRPr="005F7BBE">
        <w:t>proposal</w:t>
      </w:r>
      <w:r w:rsidRPr="005F7BBE" w:rsidDel="004C0258">
        <w:t xml:space="preserve">, namely </w:t>
      </w:r>
      <w:r w:rsidRPr="005F7BBE">
        <w:t>the First Nations T2D subpopulation. A</w:t>
      </w:r>
      <w:r w:rsidRPr="005F7BBE" w:rsidDel="00BE500B">
        <w:t xml:space="preserve"> </w:t>
      </w:r>
      <w:r>
        <w:t>statement</w:t>
      </w:r>
      <w:r w:rsidRPr="005F7BBE">
        <w:t xml:space="preserve"> is made that the results are generalisable to this population</w:t>
      </w:r>
      <w:r w:rsidR="004C0258">
        <w:t>;</w:t>
      </w:r>
      <w:r w:rsidRPr="005F7BBE">
        <w:t xml:space="preserve"> however</w:t>
      </w:r>
      <w:r w:rsidR="004C0258">
        <w:t>,</w:t>
      </w:r>
      <w:r w:rsidRPr="005F7BBE">
        <w:t xml:space="preserve"> this is questionable</w:t>
      </w:r>
      <w:r w:rsidR="004C0258">
        <w:t>,</w:t>
      </w:r>
      <w:r w:rsidRPr="005F7BBE">
        <w:t xml:space="preserve"> considering unique features of this population that may imply differences in utilisation and adherence </w:t>
      </w:r>
      <w:r w:rsidR="00AB2A24">
        <w:t>compared to other</w:t>
      </w:r>
      <w:r w:rsidRPr="005F7BBE">
        <w:t xml:space="preserve"> population</w:t>
      </w:r>
      <w:r w:rsidR="00AB2A24">
        <w:t>s.</w:t>
      </w:r>
    </w:p>
    <w:p w14:paraId="66200C0B" w14:textId="1735B437" w:rsidR="00830DAD" w:rsidRPr="00830DAD" w:rsidRDefault="00830DAD" w:rsidP="0039095A">
      <w:pPr>
        <w:pStyle w:val="ListParagraph"/>
        <w:keepNext/>
        <w:keepLines/>
        <w:ind w:left="0"/>
        <w:rPr>
          <w:b/>
          <w:bCs/>
        </w:rPr>
      </w:pPr>
      <w:r>
        <w:rPr>
          <w:b/>
          <w:bCs/>
        </w:rPr>
        <w:lastRenderedPageBreak/>
        <w:t xml:space="preserve">Additional evidence to inform the </w:t>
      </w:r>
      <w:r w:rsidRPr="00830DAD">
        <w:rPr>
          <w:b/>
          <w:bCs/>
        </w:rPr>
        <w:t xml:space="preserve">clinical claim </w:t>
      </w:r>
    </w:p>
    <w:p w14:paraId="69683984" w14:textId="1A592BC5" w:rsidR="00D94366" w:rsidRDefault="00B11A75" w:rsidP="0039095A">
      <w:pPr>
        <w:keepNext/>
        <w:keepLines/>
      </w:pPr>
      <w:r>
        <w:t>Other evidence</w:t>
      </w:r>
      <w:r w:rsidR="002810AA" w:rsidRPr="002810AA">
        <w:t xml:space="preserve"> evaluating the clinical claim (</w:t>
      </w:r>
      <w:r w:rsidR="004F327D">
        <w:t xml:space="preserve">additional to the HbA1c </w:t>
      </w:r>
      <w:r w:rsidR="00D47B7C">
        <w:t>outcomes data</w:t>
      </w:r>
      <w:r w:rsidR="00C65BBC">
        <w:t xml:space="preserve"> presented</w:t>
      </w:r>
      <w:r w:rsidR="002810AA" w:rsidRPr="002810AA">
        <w:t xml:space="preserve">) </w:t>
      </w:r>
      <w:r>
        <w:t>is important to note</w:t>
      </w:r>
      <w:r w:rsidR="00913A5E">
        <w:t>.</w:t>
      </w:r>
    </w:p>
    <w:p w14:paraId="647793C6" w14:textId="29BC422D" w:rsidR="009C6125" w:rsidRDefault="00C35B11" w:rsidP="00A173F4">
      <w:r>
        <w:t>A</w:t>
      </w:r>
      <w:r w:rsidR="00F65749">
        <w:t xml:space="preserve"> high</w:t>
      </w:r>
      <w:r w:rsidR="00F92CC6">
        <w:t>-</w:t>
      </w:r>
      <w:r w:rsidR="00F65749">
        <w:t>quality observational study</w:t>
      </w:r>
      <w:r w:rsidR="008817E7">
        <w:t xml:space="preserve"> by </w:t>
      </w:r>
      <w:r w:rsidR="00A82199">
        <w:t>Reaven et al</w:t>
      </w:r>
      <w:r>
        <w:t>.</w:t>
      </w:r>
      <w:r w:rsidR="00A82199">
        <w:t xml:space="preserve"> (</w:t>
      </w:r>
      <w:r w:rsidR="002B2C8C">
        <w:t>2025)</w:t>
      </w:r>
      <w:r w:rsidR="008817E7">
        <w:t xml:space="preserve"> was included by the applicant in the ADAR 1785 resubmission.</w:t>
      </w:r>
      <w:r w:rsidR="00531D64">
        <w:rPr>
          <w:rStyle w:val="FootnoteReference"/>
        </w:rPr>
        <w:footnoteReference w:id="5"/>
      </w:r>
      <w:r w:rsidR="008817E7">
        <w:t xml:space="preserve"> </w:t>
      </w:r>
      <w:r w:rsidR="005E7244">
        <w:t>Reaven et al. (2025) presents indirect evidence linking RT-CGM to improvement in long-term direct, critical patient outcomes from a large observational study. This</w:t>
      </w:r>
      <w:r w:rsidR="008817E7">
        <w:t xml:space="preserve"> </w:t>
      </w:r>
      <w:r w:rsidR="00431BCF">
        <w:rPr>
          <w:bCs/>
        </w:rPr>
        <w:t>population</w:t>
      </w:r>
      <w:r w:rsidR="005E0447">
        <w:rPr>
          <w:bCs/>
        </w:rPr>
        <w:t>-</w:t>
      </w:r>
      <w:r w:rsidR="00431BCF">
        <w:rPr>
          <w:bCs/>
        </w:rPr>
        <w:t>based retrospective study</w:t>
      </w:r>
      <w:r w:rsidR="005A2180" w:rsidRPr="005A2180">
        <w:rPr>
          <w:bCs/>
        </w:rPr>
        <w:t xml:space="preserve"> analys</w:t>
      </w:r>
      <w:r w:rsidR="003932E4">
        <w:rPr>
          <w:bCs/>
        </w:rPr>
        <w:t>ed</w:t>
      </w:r>
      <w:r w:rsidR="005A2180" w:rsidRPr="005A2180">
        <w:rPr>
          <w:bCs/>
        </w:rPr>
        <w:t xml:space="preserve"> US claims data from the Veterans Affairs Health Care System. Th</w:t>
      </w:r>
      <w:r w:rsidR="005E0447">
        <w:rPr>
          <w:bCs/>
        </w:rPr>
        <w:t>e</w:t>
      </w:r>
      <w:r w:rsidR="005A2180" w:rsidRPr="005A2180">
        <w:rPr>
          <w:bCs/>
        </w:rPr>
        <w:t xml:space="preserve"> study used propensity score matching of data from 12,729 patients with T2D who use</w:t>
      </w:r>
      <w:r w:rsidR="002B6A8C">
        <w:rPr>
          <w:bCs/>
        </w:rPr>
        <w:t>d</w:t>
      </w:r>
      <w:r w:rsidR="005A2180" w:rsidRPr="005A2180">
        <w:rPr>
          <w:bCs/>
        </w:rPr>
        <w:t xml:space="preserve"> insulin </w:t>
      </w:r>
      <w:r w:rsidR="00F619EA">
        <w:rPr>
          <w:bCs/>
        </w:rPr>
        <w:t>plus</w:t>
      </w:r>
      <w:r w:rsidR="00F619EA" w:rsidRPr="005A2180">
        <w:rPr>
          <w:bCs/>
        </w:rPr>
        <w:t xml:space="preserve"> </w:t>
      </w:r>
      <w:r w:rsidR="005A2180" w:rsidRPr="005A2180">
        <w:rPr>
          <w:bCs/>
        </w:rPr>
        <w:t>R</w:t>
      </w:r>
      <w:r w:rsidR="007A370A">
        <w:rPr>
          <w:bCs/>
        </w:rPr>
        <w:t>T</w:t>
      </w:r>
      <w:r w:rsidR="005A2180" w:rsidRPr="005A2180">
        <w:rPr>
          <w:bCs/>
        </w:rPr>
        <w:t>-CGM</w:t>
      </w:r>
      <w:r w:rsidR="00F241E5">
        <w:rPr>
          <w:bCs/>
        </w:rPr>
        <w:t xml:space="preserve"> compared to </w:t>
      </w:r>
      <w:r w:rsidR="00840642">
        <w:rPr>
          <w:bCs/>
        </w:rPr>
        <w:t>those who</w:t>
      </w:r>
      <w:r w:rsidR="005A2180" w:rsidRPr="005A2180">
        <w:rPr>
          <w:bCs/>
        </w:rPr>
        <w:t xml:space="preserve"> used insulin </w:t>
      </w:r>
      <w:r w:rsidR="00F619EA">
        <w:rPr>
          <w:bCs/>
        </w:rPr>
        <w:t>without</w:t>
      </w:r>
      <w:r w:rsidR="005A2180" w:rsidRPr="005A2180">
        <w:rPr>
          <w:bCs/>
        </w:rPr>
        <w:t xml:space="preserve"> RT-CGM</w:t>
      </w:r>
      <w:r w:rsidR="00840642">
        <w:rPr>
          <w:bCs/>
        </w:rPr>
        <w:t>,</w:t>
      </w:r>
      <w:r w:rsidR="005A2180" w:rsidRPr="005A2180">
        <w:rPr>
          <w:bCs/>
        </w:rPr>
        <w:t xml:space="preserve"> to assess the effect of RT-CGM on mortality. The data showed a significant reduction in risk of mortality for RT-CGM users (hazard ratio [HR]: 0.79</w:t>
      </w:r>
      <w:r w:rsidR="00EF4A14">
        <w:rPr>
          <w:bCs/>
        </w:rPr>
        <w:t xml:space="preserve">; </w:t>
      </w:r>
      <w:r w:rsidR="005A2180" w:rsidRPr="005A2180">
        <w:rPr>
          <w:bCs/>
        </w:rPr>
        <w:t>95% CI: 0.73, 0.86)</w:t>
      </w:r>
      <w:r w:rsidR="005A2180" w:rsidRPr="005A2180">
        <w:t xml:space="preserve"> </w:t>
      </w:r>
      <w:r w:rsidR="005A2180" w:rsidRPr="005A2180">
        <w:rPr>
          <w:bCs/>
        </w:rPr>
        <w:t>This analysis also showed RT-CGM use was associated with lower all-cause hospitalisation, severe cardiovascular disease</w:t>
      </w:r>
      <w:r w:rsidR="00EC1029">
        <w:rPr>
          <w:bCs/>
        </w:rPr>
        <w:t>,</w:t>
      </w:r>
      <w:r w:rsidR="005A2180" w:rsidRPr="005A2180">
        <w:rPr>
          <w:bCs/>
        </w:rPr>
        <w:t xml:space="preserve"> and admissions related to hyperglycaemia. </w:t>
      </w:r>
      <w:r w:rsidR="00840642" w:rsidRPr="005A2180">
        <w:rPr>
          <w:bCs/>
        </w:rPr>
        <w:t>The</w:t>
      </w:r>
      <w:r w:rsidR="00840642">
        <w:rPr>
          <w:bCs/>
        </w:rPr>
        <w:t xml:space="preserve"> study showed</w:t>
      </w:r>
      <w:r w:rsidR="005A2180" w:rsidRPr="005A2180">
        <w:rPr>
          <w:bCs/>
        </w:rPr>
        <w:t xml:space="preserve"> a modest but significant difference in HbA1c between groups.</w:t>
      </w:r>
    </w:p>
    <w:p w14:paraId="0728D5CB" w14:textId="0A51B909" w:rsidR="00531D64" w:rsidRDefault="008D2498" w:rsidP="00A94F2F">
      <w:r>
        <w:t>Another relevant study identified is the r</w:t>
      </w:r>
      <w:r w:rsidR="005A3E50">
        <w:t xml:space="preserve">ecently published </w:t>
      </w:r>
      <w:r w:rsidR="005B777A">
        <w:t xml:space="preserve">%HbA1c </w:t>
      </w:r>
      <w:r w:rsidR="005A3E50">
        <w:t>resu</w:t>
      </w:r>
      <w:r w:rsidR="005B777A">
        <w:t xml:space="preserve">lts for </w:t>
      </w:r>
      <w:r w:rsidR="00F54D7E">
        <w:t xml:space="preserve">CGM versus SMBG </w:t>
      </w:r>
      <w:r w:rsidR="005B777A">
        <w:t xml:space="preserve">from </w:t>
      </w:r>
      <w:r w:rsidR="0074249A">
        <w:t>the FreeDM2</w:t>
      </w:r>
      <w:r w:rsidR="00F54D7E">
        <w:t xml:space="preserve"> trial </w:t>
      </w:r>
      <w:r w:rsidR="007D74A7">
        <w:t xml:space="preserve">in individuals with T2D </w:t>
      </w:r>
      <w:r w:rsidR="00A04AD2">
        <w:t xml:space="preserve">on basal insulin plus modern therapies </w:t>
      </w:r>
      <w:r w:rsidR="007E13C9">
        <w:t>(</w:t>
      </w:r>
      <w:r w:rsidR="00A04AD2">
        <w:t xml:space="preserve">published </w:t>
      </w:r>
      <w:r w:rsidR="009C722F">
        <w:t>after the applicant</w:t>
      </w:r>
      <w:r w:rsidR="007E7A42">
        <w:t>’</w:t>
      </w:r>
      <w:r w:rsidR="009C722F">
        <w:t>s literature search date</w:t>
      </w:r>
      <w:r w:rsidR="00F4037E">
        <w:t>)</w:t>
      </w:r>
      <w:r w:rsidR="00162EB5">
        <w:t>.</w:t>
      </w:r>
      <w:r w:rsidR="0057058A">
        <w:rPr>
          <w:rStyle w:val="FootnoteReference"/>
        </w:rPr>
        <w:footnoteReference w:id="6"/>
      </w:r>
      <w:r w:rsidR="004176CB">
        <w:t xml:space="preserve"> </w:t>
      </w:r>
      <w:r w:rsidR="003666A8">
        <w:t xml:space="preserve">Modern therapies included </w:t>
      </w:r>
      <w:r w:rsidR="00C90280">
        <w:t xml:space="preserve">sodium-glucose co-transporter </w:t>
      </w:r>
      <w:r w:rsidR="000F0955">
        <w:t>2 (</w:t>
      </w:r>
      <w:r w:rsidR="00336465">
        <w:t>SGLT-2</w:t>
      </w:r>
      <w:r w:rsidR="000F0955">
        <w:t>)</w:t>
      </w:r>
      <w:r w:rsidR="00336465">
        <w:t xml:space="preserve"> inhibitors and/or </w:t>
      </w:r>
      <w:r w:rsidR="001A7B47">
        <w:t>glucagon-like peptide (</w:t>
      </w:r>
      <w:r w:rsidR="000B1F66">
        <w:t>GLP</w:t>
      </w:r>
      <w:r w:rsidR="00403218">
        <w:t>)</w:t>
      </w:r>
      <w:r w:rsidR="000B1F66">
        <w:t>-1</w:t>
      </w:r>
      <w:r w:rsidR="004176CB">
        <w:t xml:space="preserve"> </w:t>
      </w:r>
      <w:r w:rsidR="00403218">
        <w:t>and/</w:t>
      </w:r>
      <w:r w:rsidR="00B10332">
        <w:t>or dual gas</w:t>
      </w:r>
      <w:r w:rsidR="00496EDD">
        <w:t>t</w:t>
      </w:r>
      <w:r w:rsidR="00B10332">
        <w:t>ric inhibitor polypeptide/GLP-1 ag</w:t>
      </w:r>
      <w:r w:rsidR="00B27A4B">
        <w:t>onist.</w:t>
      </w:r>
      <w:r w:rsidR="004176CB">
        <w:t xml:space="preserve"> </w:t>
      </w:r>
      <w:r w:rsidR="00F22BCC">
        <w:t>The p</w:t>
      </w:r>
      <w:r w:rsidR="004847A7">
        <w:t xml:space="preserve">rimary </w:t>
      </w:r>
      <w:r w:rsidR="0018088E">
        <w:t xml:space="preserve">outcome </w:t>
      </w:r>
      <w:r w:rsidR="004847A7">
        <w:t>differe</w:t>
      </w:r>
      <w:r w:rsidR="00F22BCC">
        <w:t>d</w:t>
      </w:r>
      <w:r w:rsidR="004847A7">
        <w:t xml:space="preserve"> between groups in </w:t>
      </w:r>
      <w:r w:rsidR="00F22BCC">
        <w:t>%</w:t>
      </w:r>
      <w:r w:rsidR="004847A7">
        <w:t>HbA1c concentrations in this trial</w:t>
      </w:r>
      <w:r w:rsidR="00A407F1">
        <w:t>.</w:t>
      </w:r>
      <w:r w:rsidR="009A0C05">
        <w:t xml:space="preserve"> </w:t>
      </w:r>
      <w:r w:rsidR="009A0C05" w:rsidRPr="009A0C05">
        <w:rPr>
          <w:lang w:val="en"/>
        </w:rPr>
        <w:t>The treatment effect favoured RT-CGM over SMBG. Importantly, the magnitude of the mean differences in %HbA1c between groups (indicated by the point estimate of effects) was greater than that seen in the MOBILE trial’s measurement of this relative effect in the non-IIT T2D population with suboptimal glucose control (adjusted mean difference between groups in HbA1c concentration from baseline to week 32 was −0.5; 95% CI −0.7 to −0.2).</w:t>
      </w:r>
      <w:r w:rsidR="004847A7">
        <w:t xml:space="preserve"> </w:t>
      </w:r>
      <w:r w:rsidR="00A94F2F">
        <w:t>The incidence of non-device-related adverse events in both groups</w:t>
      </w:r>
      <w:r w:rsidR="0052088B">
        <w:t xml:space="preserve"> was similar</w:t>
      </w:r>
      <w:r w:rsidR="00A94F2F">
        <w:t>, and t</w:t>
      </w:r>
      <w:r w:rsidR="0052088B">
        <w:t>here were 2</w:t>
      </w:r>
      <w:r w:rsidR="00A94F2F">
        <w:t xml:space="preserve"> instances of severe hypoglycaemia in the control group.</w:t>
      </w:r>
      <w:r w:rsidR="009537D8">
        <w:t xml:space="preserve"> Th</w:t>
      </w:r>
      <w:r w:rsidR="00C6211D">
        <w:t xml:space="preserve">is HbA1c outcome result </w:t>
      </w:r>
      <w:r w:rsidR="008E2D63">
        <w:t>from the FreeDM2</w:t>
      </w:r>
      <w:r w:rsidR="006936DD">
        <w:t xml:space="preserve"> </w:t>
      </w:r>
      <w:r w:rsidR="009537D8">
        <w:t>trial presents</w:t>
      </w:r>
      <w:r w:rsidR="00904B2A">
        <w:t xml:space="preserve"> important </w:t>
      </w:r>
      <w:r w:rsidR="00F2166B">
        <w:t>additional evidence</w:t>
      </w:r>
      <w:r w:rsidR="009537D8">
        <w:t xml:space="preserve"> </w:t>
      </w:r>
      <w:r w:rsidR="008C76FB">
        <w:t xml:space="preserve">in support of </w:t>
      </w:r>
      <w:r w:rsidR="00C140C1">
        <w:t>RT-</w:t>
      </w:r>
      <w:r w:rsidR="00F147AD" w:rsidRPr="00F147AD">
        <w:t>CGM</w:t>
      </w:r>
      <w:r w:rsidR="00884B26">
        <w:t xml:space="preserve"> offering</w:t>
      </w:r>
      <w:r w:rsidR="00F147AD" w:rsidRPr="00F147AD">
        <w:t xml:space="preserve"> improved glycaemic control versus SMBG during self-management and under clinician-supported managemen</w:t>
      </w:r>
      <w:r w:rsidR="00F147AD">
        <w:t>t</w:t>
      </w:r>
      <w:r w:rsidR="000B7353">
        <w:t xml:space="preserve"> in people with T2D </w:t>
      </w:r>
      <w:r w:rsidR="000B7353" w:rsidRPr="00F147AD">
        <w:t>on basal insulin plus modern therapies</w:t>
      </w:r>
      <w:r w:rsidR="00626122">
        <w:t>.</w:t>
      </w:r>
      <w:r w:rsidR="001B39FA">
        <w:t xml:space="preserve">  </w:t>
      </w:r>
    </w:p>
    <w:p w14:paraId="4B70A771" w14:textId="5AC17E29" w:rsidR="00915A63" w:rsidRDefault="00D55195" w:rsidP="00A94F2F">
      <w:r>
        <w:t xml:space="preserve">The </w:t>
      </w:r>
      <w:r w:rsidR="007274EC">
        <w:t>trial</w:t>
      </w:r>
      <w:r>
        <w:t>’s authors summarised the implications of the FreeDM2 trial</w:t>
      </w:r>
      <w:r w:rsidR="00065253">
        <w:t>, stating</w:t>
      </w:r>
      <w:r w:rsidR="00E4161A">
        <w:t>:</w:t>
      </w:r>
    </w:p>
    <w:p w14:paraId="22F5EEEF" w14:textId="1B3F4A59" w:rsidR="001B39FA" w:rsidRPr="00101AE3" w:rsidRDefault="00D0052C" w:rsidP="00101AE3">
      <w:pPr>
        <w:ind w:left="284" w:right="284"/>
        <w:rPr>
          <w:sz w:val="20"/>
          <w:szCs w:val="20"/>
        </w:rPr>
      </w:pPr>
      <w:r w:rsidRPr="00101AE3">
        <w:rPr>
          <w:sz w:val="20"/>
          <w:szCs w:val="20"/>
        </w:rPr>
        <w:t xml:space="preserve">The FreeDM2 trial provides robust evidence that real-time CGM statistically and clinically significantly improves glycaemic control in people with type 2 diabetes and suboptimal glucose concentrations, despite treatment with basal insulin, SGLT2 inhibitors, GLP-1 receptor agonists, or dual GIP/GLP-1 receptor agonists. Improvements were achieved through </w:t>
      </w:r>
      <w:r w:rsidR="00545999" w:rsidRPr="00101AE3">
        <w:rPr>
          <w:sz w:val="20"/>
          <w:szCs w:val="20"/>
        </w:rPr>
        <w:t>self-management</w:t>
      </w:r>
      <w:r w:rsidRPr="00101AE3">
        <w:rPr>
          <w:sz w:val="20"/>
          <w:szCs w:val="20"/>
        </w:rPr>
        <w:t xml:space="preserve"> and sustained after clinician intervention with additional therapies. This randomised controlled trial establishes the utility of real-time CGM in the management of type 2 diabetes and provides rationale for updating treatment guidelines to support wider use of the technology</w:t>
      </w:r>
      <w:r w:rsidRPr="00E9459C">
        <w:rPr>
          <w:sz w:val="20"/>
          <w:szCs w:val="20"/>
        </w:rPr>
        <w:t>.</w:t>
      </w:r>
      <w:r w:rsidR="00545999" w:rsidRPr="00101AE3">
        <w:rPr>
          <w:rStyle w:val="FootnoteReference"/>
          <w:sz w:val="20"/>
          <w:szCs w:val="20"/>
        </w:rPr>
        <w:footnoteReference w:id="7"/>
      </w:r>
    </w:p>
    <w:p w14:paraId="6F290799" w14:textId="6613F360" w:rsidR="00C32D02" w:rsidRDefault="00C32D02" w:rsidP="00A94F2F">
      <w:r>
        <w:lastRenderedPageBreak/>
        <w:t xml:space="preserve">Overall, this evidence strengthens the case for </w:t>
      </w:r>
      <w:r w:rsidR="00F76FEF">
        <w:t>RT-CGM being superior</w:t>
      </w:r>
      <w:r w:rsidR="004217A0">
        <w:t xml:space="preserve"> in</w:t>
      </w:r>
      <w:r w:rsidR="00F76FEF">
        <w:t xml:space="preserve"> effectiveness to SMBG</w:t>
      </w:r>
      <w:r w:rsidR="005708A3">
        <w:t xml:space="preserve"> in the non-IIT </w:t>
      </w:r>
      <w:r w:rsidR="0056287C">
        <w:t>T2D</w:t>
      </w:r>
      <w:r w:rsidR="005708A3">
        <w:t xml:space="preserve"> subpopulation with </w:t>
      </w:r>
      <w:r w:rsidR="0056287C">
        <w:t>suboptimal glucose control</w:t>
      </w:r>
      <w:r w:rsidR="00136A90">
        <w:t>.</w:t>
      </w:r>
    </w:p>
    <w:p w14:paraId="0D09C9E4" w14:textId="493BE4CB" w:rsidR="00772829" w:rsidRPr="00CE28E3" w:rsidRDefault="00772829" w:rsidP="00670C60">
      <w:pPr>
        <w:pStyle w:val="Heading2"/>
        <w:numPr>
          <w:ilvl w:val="0"/>
          <w:numId w:val="32"/>
        </w:numPr>
        <w:ind w:hanging="720"/>
      </w:pPr>
      <w:bookmarkStart w:id="38" w:name="_Toc69491425"/>
      <w:r w:rsidRPr="00CE28E3">
        <w:t>Economic evaluation</w:t>
      </w:r>
      <w:bookmarkEnd w:id="38"/>
    </w:p>
    <w:p w14:paraId="5EE8CB8A" w14:textId="3E83EFFD" w:rsidR="0099618C" w:rsidRPr="00302E12" w:rsidRDefault="0099618C" w:rsidP="0099618C">
      <w:pPr>
        <w:pStyle w:val="Instructionaltext"/>
        <w:rPr>
          <w:color w:val="auto"/>
        </w:rPr>
      </w:pPr>
      <w:r w:rsidRPr="00302E12">
        <w:rPr>
          <w:color w:val="auto"/>
        </w:rPr>
        <w:t xml:space="preserve">A revised economic evaluation was presented to address uncertainties associated with the cost-effectiveness of Dexcom RT-CGM identified at the July 2025 </w:t>
      </w:r>
      <w:r w:rsidR="003A5C8D">
        <w:rPr>
          <w:color w:val="auto"/>
        </w:rPr>
        <w:t xml:space="preserve">MSAC </w:t>
      </w:r>
      <w:r w:rsidRPr="00302E12">
        <w:rPr>
          <w:color w:val="auto"/>
        </w:rPr>
        <w:t xml:space="preserve">meeting. A cost-utility analysis was conducted comparing Dexcom RT-CGM to SMBG for the management of suboptimally controlled insulin-dependent T2D in Australia. </w:t>
      </w:r>
    </w:p>
    <w:p w14:paraId="23D54DF1" w14:textId="77777777" w:rsidR="0099618C" w:rsidRPr="00302E12" w:rsidRDefault="0099618C" w:rsidP="0099618C">
      <w:pPr>
        <w:pStyle w:val="Instructionaltext"/>
        <w:rPr>
          <w:b/>
          <w:bCs/>
          <w:color w:val="auto"/>
        </w:rPr>
      </w:pPr>
      <w:r w:rsidRPr="00302E12">
        <w:rPr>
          <w:b/>
          <w:bCs/>
          <w:color w:val="auto"/>
        </w:rPr>
        <w:t>Overview of cost-utility analysis</w:t>
      </w:r>
    </w:p>
    <w:p w14:paraId="491BE41A" w14:textId="287F0870" w:rsidR="0099618C" w:rsidRPr="00302E12" w:rsidRDefault="0099618C" w:rsidP="0099618C">
      <w:pPr>
        <w:pStyle w:val="Instructionaltext"/>
        <w:rPr>
          <w:color w:val="auto"/>
        </w:rPr>
      </w:pPr>
      <w:r w:rsidRPr="00302E12">
        <w:rPr>
          <w:color w:val="auto"/>
        </w:rPr>
        <w:t xml:space="preserve">The cost-utility analysis presented in the </w:t>
      </w:r>
      <w:r w:rsidR="00C51E91">
        <w:rPr>
          <w:color w:val="auto"/>
        </w:rPr>
        <w:t>re</w:t>
      </w:r>
      <w:r w:rsidRPr="00302E12">
        <w:rPr>
          <w:color w:val="auto"/>
        </w:rPr>
        <w:t>submission compare</w:t>
      </w:r>
      <w:r w:rsidR="00C63630">
        <w:rPr>
          <w:color w:val="auto"/>
        </w:rPr>
        <w:t>d</w:t>
      </w:r>
      <w:r w:rsidRPr="00302E12">
        <w:rPr>
          <w:color w:val="auto"/>
        </w:rPr>
        <w:t xml:space="preserve"> Dexcom RT-CGM to SMBG for the management of T2D among IIT and non-IIT subpopulation</w:t>
      </w:r>
      <w:r w:rsidR="005A2163">
        <w:rPr>
          <w:color w:val="auto"/>
        </w:rPr>
        <w:t>s</w:t>
      </w:r>
      <w:r w:rsidRPr="00302E12">
        <w:rPr>
          <w:color w:val="auto"/>
        </w:rPr>
        <w:t xml:space="preserve"> over </w:t>
      </w:r>
      <w:r w:rsidR="005A2163">
        <w:rPr>
          <w:color w:val="auto"/>
        </w:rPr>
        <w:t xml:space="preserve">a </w:t>
      </w:r>
      <w:r w:rsidRPr="00302E12">
        <w:rPr>
          <w:color w:val="auto"/>
        </w:rPr>
        <w:t>lifetime horizon from an Australian healthcare system perspective. This approach is considered reasonable, given the clinical claim of superior efficacy and non-inferior safety. A IQV</w:t>
      </w:r>
      <w:r w:rsidR="00535ABE">
        <w:rPr>
          <w:color w:val="auto"/>
        </w:rPr>
        <w:t>I</w:t>
      </w:r>
      <w:r w:rsidRPr="00302E12">
        <w:rPr>
          <w:color w:val="auto"/>
        </w:rPr>
        <w:t xml:space="preserve">A core diabetes model (CDM) (version 10) was applied to estimate the incremental cost per </w:t>
      </w:r>
      <w:r w:rsidR="00521E6E" w:rsidRPr="00521E6E">
        <w:rPr>
          <w:color w:val="auto"/>
        </w:rPr>
        <w:t xml:space="preserve">quality-adjusted life year </w:t>
      </w:r>
      <w:r w:rsidR="00521E6E">
        <w:rPr>
          <w:color w:val="auto"/>
        </w:rPr>
        <w:t>(</w:t>
      </w:r>
      <w:r w:rsidRPr="00302E12">
        <w:rPr>
          <w:color w:val="auto"/>
        </w:rPr>
        <w:t>QALY</w:t>
      </w:r>
      <w:r w:rsidR="00521E6E">
        <w:rPr>
          <w:color w:val="auto"/>
        </w:rPr>
        <w:t>)</w:t>
      </w:r>
      <w:r w:rsidRPr="00302E12">
        <w:rPr>
          <w:color w:val="auto"/>
        </w:rPr>
        <w:t xml:space="preserve"> gained for T2D patients treated with insulin. The IQVIA CDM is a generic web</w:t>
      </w:r>
      <w:r w:rsidR="00FA58C3">
        <w:rPr>
          <w:color w:val="auto"/>
        </w:rPr>
        <w:t>-</w:t>
      </w:r>
      <w:r w:rsidRPr="00302E12">
        <w:rPr>
          <w:color w:val="auto"/>
        </w:rPr>
        <w:t>based</w:t>
      </w:r>
      <w:r w:rsidR="00316F2D">
        <w:rPr>
          <w:color w:val="auto"/>
        </w:rPr>
        <w:t xml:space="preserve"> </w:t>
      </w:r>
      <w:r w:rsidRPr="00302E12">
        <w:rPr>
          <w:color w:val="auto"/>
        </w:rPr>
        <w:t xml:space="preserve">microsimulation model designed to estimate the cost-effectiveness of diabetes care interventions with adaptability to </w:t>
      </w:r>
      <w:r w:rsidR="00DE4C2D">
        <w:rPr>
          <w:color w:val="auto"/>
        </w:rPr>
        <w:t>rural</w:t>
      </w:r>
      <w:r w:rsidR="00DE4C2D" w:rsidRPr="00302E12">
        <w:rPr>
          <w:color w:val="auto"/>
        </w:rPr>
        <w:t xml:space="preserve"> </w:t>
      </w:r>
      <w:r w:rsidRPr="00302E12">
        <w:rPr>
          <w:color w:val="auto"/>
        </w:rPr>
        <w:t xml:space="preserve">and regional care-specific settings. The IQVIA CDM has been extensively evaluated and validated, and its reliability in informing reimbursement decisions has been internationally tested and accepted. Therefore, </w:t>
      </w:r>
      <w:r w:rsidR="00F858C0" w:rsidRPr="00F858C0">
        <w:rPr>
          <w:color w:val="auto"/>
        </w:rPr>
        <w:t>the commentary considered that the IQVIA CDM is appropriate for</w:t>
      </w:r>
      <w:r w:rsidR="00F858C0">
        <w:rPr>
          <w:color w:val="auto"/>
        </w:rPr>
        <w:t xml:space="preserve"> modelling</w:t>
      </w:r>
      <w:r w:rsidR="00F858C0" w:rsidRPr="00F858C0">
        <w:rPr>
          <w:color w:val="auto"/>
        </w:rPr>
        <w:t xml:space="preserve"> diabetes care interventions such as CGM; however, for the purposes of MSAC evaluations, it is limited by access/editing restrictions, so was unable to be fully evaluated by the commentary</w:t>
      </w:r>
      <w:r w:rsidR="0095451A">
        <w:rPr>
          <w:color w:val="auto"/>
        </w:rPr>
        <w:t>.</w:t>
      </w:r>
    </w:p>
    <w:p w14:paraId="4E0A9335" w14:textId="2F6C7842" w:rsidR="0099618C" w:rsidRPr="00302E12" w:rsidRDefault="00C32EC0" w:rsidP="0099618C">
      <w:pPr>
        <w:pStyle w:val="Instructionaltext"/>
        <w:rPr>
          <w:color w:val="auto"/>
        </w:rPr>
      </w:pPr>
      <w:r>
        <w:rPr>
          <w:color w:val="auto"/>
        </w:rPr>
        <w:t xml:space="preserve">The ADAR resubmission </w:t>
      </w:r>
      <w:r w:rsidR="0099618C" w:rsidRPr="00302E12">
        <w:rPr>
          <w:color w:val="auto"/>
        </w:rPr>
        <w:t xml:space="preserve">revised the definition of subpopulations </w:t>
      </w:r>
      <w:r w:rsidR="00B44F4A">
        <w:rPr>
          <w:color w:val="auto"/>
        </w:rPr>
        <w:t xml:space="preserve">to be </w:t>
      </w:r>
      <w:r w:rsidR="0099618C" w:rsidRPr="00302E12">
        <w:rPr>
          <w:color w:val="auto"/>
        </w:rPr>
        <w:t>IIT and non-IIT and performed health economic evaluation</w:t>
      </w:r>
      <w:r w:rsidR="00B07144">
        <w:rPr>
          <w:color w:val="auto"/>
        </w:rPr>
        <w:t>s</w:t>
      </w:r>
      <w:r w:rsidR="0099618C" w:rsidRPr="00302E12">
        <w:rPr>
          <w:color w:val="auto"/>
        </w:rPr>
        <w:t xml:space="preserve"> across each subpopulation. T2D patients treated with both basal and bolus insulin</w:t>
      </w:r>
      <w:r w:rsidR="005F1216">
        <w:rPr>
          <w:color w:val="auto"/>
        </w:rPr>
        <w:t xml:space="preserve"> </w:t>
      </w:r>
      <w:r w:rsidR="009F1BC5">
        <w:rPr>
          <w:color w:val="auto"/>
        </w:rPr>
        <w:t xml:space="preserve">who exhibit </w:t>
      </w:r>
      <w:r w:rsidR="0099618C" w:rsidRPr="00302E12">
        <w:rPr>
          <w:color w:val="auto"/>
        </w:rPr>
        <w:t>suboptimal glycaemic control</w:t>
      </w:r>
      <w:r w:rsidR="00FA2599">
        <w:rPr>
          <w:color w:val="auto"/>
        </w:rPr>
        <w:t xml:space="preserve"> (</w:t>
      </w:r>
      <w:r w:rsidR="009F1BC5">
        <w:rPr>
          <w:color w:val="auto"/>
        </w:rPr>
        <w:t>as</w:t>
      </w:r>
      <w:r w:rsidR="005F1216">
        <w:rPr>
          <w:color w:val="auto"/>
        </w:rPr>
        <w:t xml:space="preserve"> </w:t>
      </w:r>
      <w:r w:rsidR="0099618C" w:rsidRPr="00302E12">
        <w:rPr>
          <w:color w:val="auto"/>
        </w:rPr>
        <w:t>confirmed by laboratory</w:t>
      </w:r>
      <w:r w:rsidR="00FA2599">
        <w:rPr>
          <w:color w:val="auto"/>
        </w:rPr>
        <w:t>-</w:t>
      </w:r>
      <w:r w:rsidR="0099618C" w:rsidRPr="00302E12">
        <w:rPr>
          <w:color w:val="auto"/>
        </w:rPr>
        <w:t>measured HbA1c levels &gt;7.0% for adults and &gt;6.5% for children and adolescents</w:t>
      </w:r>
      <w:r w:rsidR="00FA2599">
        <w:rPr>
          <w:color w:val="auto"/>
        </w:rPr>
        <w:t>)</w:t>
      </w:r>
      <w:r w:rsidR="0099618C" w:rsidRPr="00302E12">
        <w:rPr>
          <w:color w:val="auto"/>
        </w:rPr>
        <w:t xml:space="preserve"> were </w:t>
      </w:r>
      <w:r w:rsidR="00B50D06">
        <w:rPr>
          <w:color w:val="auto"/>
        </w:rPr>
        <w:t>classified</w:t>
      </w:r>
      <w:r w:rsidR="0099618C" w:rsidRPr="00302E12">
        <w:rPr>
          <w:color w:val="auto"/>
        </w:rPr>
        <w:t xml:space="preserve"> </w:t>
      </w:r>
      <w:r w:rsidR="009F1BC5">
        <w:rPr>
          <w:color w:val="auto"/>
        </w:rPr>
        <w:t>as the</w:t>
      </w:r>
      <w:r w:rsidR="0099618C" w:rsidRPr="00302E12">
        <w:rPr>
          <w:color w:val="auto"/>
        </w:rPr>
        <w:t xml:space="preserve"> IIT subpopulation</w:t>
      </w:r>
      <w:r w:rsidR="001F64EE">
        <w:rPr>
          <w:color w:val="auto"/>
        </w:rPr>
        <w:t>.</w:t>
      </w:r>
      <w:r w:rsidR="0099618C" w:rsidRPr="00302E12">
        <w:rPr>
          <w:color w:val="auto"/>
        </w:rPr>
        <w:t xml:space="preserve"> </w:t>
      </w:r>
      <w:r w:rsidR="0094080E">
        <w:rPr>
          <w:color w:val="auto"/>
        </w:rPr>
        <w:t>T2D</w:t>
      </w:r>
      <w:r w:rsidR="0099618C" w:rsidRPr="00302E12">
        <w:rPr>
          <w:color w:val="auto"/>
        </w:rPr>
        <w:t xml:space="preserve"> </w:t>
      </w:r>
      <w:r w:rsidR="0094080E">
        <w:rPr>
          <w:color w:val="auto"/>
        </w:rPr>
        <w:t>p</w:t>
      </w:r>
      <w:r w:rsidR="0099618C" w:rsidRPr="00302E12">
        <w:rPr>
          <w:color w:val="auto"/>
        </w:rPr>
        <w:t xml:space="preserve">atients treated with insulin </w:t>
      </w:r>
      <w:r w:rsidR="00055C95">
        <w:rPr>
          <w:color w:val="auto"/>
        </w:rPr>
        <w:t>who</w:t>
      </w:r>
      <w:r w:rsidR="009F1BC5">
        <w:rPr>
          <w:color w:val="auto"/>
        </w:rPr>
        <w:t xml:space="preserve"> d</w:t>
      </w:r>
      <w:r w:rsidR="00AE259D">
        <w:rPr>
          <w:color w:val="auto"/>
        </w:rPr>
        <w:t>id</w:t>
      </w:r>
      <w:r w:rsidR="009F1BC5">
        <w:rPr>
          <w:color w:val="auto"/>
        </w:rPr>
        <w:t xml:space="preserve"> not meet the criteria for </w:t>
      </w:r>
      <w:r w:rsidR="000F15EA">
        <w:rPr>
          <w:color w:val="auto"/>
        </w:rPr>
        <w:t>inclusion in</w:t>
      </w:r>
      <w:r w:rsidR="009F1BC5">
        <w:rPr>
          <w:color w:val="auto"/>
        </w:rPr>
        <w:t xml:space="preserve"> the </w:t>
      </w:r>
      <w:r w:rsidR="0099618C" w:rsidRPr="00302E12">
        <w:rPr>
          <w:color w:val="auto"/>
        </w:rPr>
        <w:t>IIT subpopulation</w:t>
      </w:r>
      <w:r w:rsidR="00AA79C2">
        <w:rPr>
          <w:color w:val="auto"/>
        </w:rPr>
        <w:t>,</w:t>
      </w:r>
      <w:r w:rsidR="0099618C" w:rsidRPr="00302E12">
        <w:rPr>
          <w:color w:val="auto"/>
        </w:rPr>
        <w:t xml:space="preserve"> </w:t>
      </w:r>
      <w:r w:rsidR="00F25B6E">
        <w:rPr>
          <w:color w:val="auto"/>
        </w:rPr>
        <w:t>but</w:t>
      </w:r>
      <w:r w:rsidR="00F25B6E" w:rsidRPr="00302E12">
        <w:rPr>
          <w:color w:val="auto"/>
        </w:rPr>
        <w:t xml:space="preserve"> </w:t>
      </w:r>
      <w:r w:rsidR="000F15EA">
        <w:rPr>
          <w:color w:val="auto"/>
        </w:rPr>
        <w:t>exhibit</w:t>
      </w:r>
      <w:r w:rsidR="000F15EA" w:rsidRPr="00302E12">
        <w:rPr>
          <w:color w:val="auto"/>
        </w:rPr>
        <w:t xml:space="preserve"> </w:t>
      </w:r>
      <w:r w:rsidR="0099618C" w:rsidRPr="00302E12">
        <w:rPr>
          <w:color w:val="auto"/>
        </w:rPr>
        <w:t>suboptimal glycaemic control</w:t>
      </w:r>
      <w:r w:rsidR="00F25B6E">
        <w:rPr>
          <w:color w:val="auto"/>
        </w:rPr>
        <w:t xml:space="preserve"> (</w:t>
      </w:r>
      <w:r w:rsidR="000F15EA">
        <w:rPr>
          <w:color w:val="auto"/>
        </w:rPr>
        <w:t>as</w:t>
      </w:r>
      <w:r w:rsidR="0099618C" w:rsidRPr="00302E12">
        <w:rPr>
          <w:color w:val="auto"/>
        </w:rPr>
        <w:t xml:space="preserve"> confirmed by laboratory</w:t>
      </w:r>
      <w:r w:rsidR="00F25B6E">
        <w:rPr>
          <w:color w:val="auto"/>
        </w:rPr>
        <w:t>-</w:t>
      </w:r>
      <w:r w:rsidR="0099618C" w:rsidRPr="00302E12">
        <w:rPr>
          <w:color w:val="auto"/>
        </w:rPr>
        <w:t>measured HbA1c levels &gt;8.0% for adults and &gt;6.5% for children and adolescents</w:t>
      </w:r>
      <w:r w:rsidR="00174C2C">
        <w:rPr>
          <w:color w:val="auto"/>
        </w:rPr>
        <w:t>)</w:t>
      </w:r>
      <w:r w:rsidR="0099618C" w:rsidRPr="00302E12">
        <w:rPr>
          <w:color w:val="auto"/>
        </w:rPr>
        <w:t xml:space="preserve"> were </w:t>
      </w:r>
      <w:r w:rsidR="000F15EA">
        <w:rPr>
          <w:color w:val="auto"/>
        </w:rPr>
        <w:t>classified</w:t>
      </w:r>
      <w:r w:rsidR="000F15EA" w:rsidRPr="00302E12">
        <w:rPr>
          <w:color w:val="auto"/>
        </w:rPr>
        <w:t xml:space="preserve"> </w:t>
      </w:r>
      <w:r w:rsidR="000F15EA">
        <w:rPr>
          <w:color w:val="auto"/>
        </w:rPr>
        <w:t>as the</w:t>
      </w:r>
      <w:r w:rsidR="0099618C" w:rsidRPr="00302E12">
        <w:rPr>
          <w:color w:val="auto"/>
        </w:rPr>
        <w:t xml:space="preserve"> non-IIT subpopulation. </w:t>
      </w:r>
    </w:p>
    <w:p w14:paraId="06BE4953" w14:textId="1817C4BE" w:rsidR="0099618C" w:rsidRPr="00302E12" w:rsidRDefault="0099618C" w:rsidP="0099618C">
      <w:pPr>
        <w:pStyle w:val="Instructionaltext"/>
        <w:rPr>
          <w:color w:val="auto"/>
        </w:rPr>
      </w:pPr>
      <w:r w:rsidRPr="00302E12">
        <w:rPr>
          <w:color w:val="auto"/>
        </w:rPr>
        <w:t xml:space="preserve">In the resubmission, baseline characteristics for the IIT and non-IIT subpopulations were informed by </w:t>
      </w:r>
      <w:r w:rsidR="000F15EA">
        <w:rPr>
          <w:color w:val="auto"/>
        </w:rPr>
        <w:t xml:space="preserve">the </w:t>
      </w:r>
      <w:r w:rsidRPr="00D97DEC">
        <w:rPr>
          <w:color w:val="auto"/>
        </w:rPr>
        <w:t>DIAMOND</w:t>
      </w:r>
      <w:bookmarkStart w:id="39" w:name="_Ref226546296"/>
      <w:r w:rsidR="00733450" w:rsidRPr="00D97DEC">
        <w:rPr>
          <w:rStyle w:val="FootnoteReference"/>
          <w:color w:val="auto"/>
        </w:rPr>
        <w:footnoteReference w:id="8"/>
      </w:r>
      <w:bookmarkEnd w:id="39"/>
      <w:r w:rsidRPr="00D97DEC">
        <w:rPr>
          <w:color w:val="auto"/>
        </w:rPr>
        <w:t xml:space="preserve"> and</w:t>
      </w:r>
      <w:bookmarkStart w:id="40" w:name="_Ref226546248"/>
      <w:r w:rsidRPr="00D97DEC">
        <w:rPr>
          <w:color w:val="auto"/>
        </w:rPr>
        <w:t xml:space="preserve"> </w:t>
      </w:r>
      <w:bookmarkEnd w:id="40"/>
      <w:r w:rsidRPr="00D97DEC">
        <w:rPr>
          <w:color w:val="auto"/>
        </w:rPr>
        <w:t>MOBILE</w:t>
      </w:r>
      <w:bookmarkStart w:id="41" w:name="_Ref226546980"/>
      <w:r w:rsidR="00D97DEC" w:rsidRPr="00D97DEC">
        <w:rPr>
          <w:rStyle w:val="FootnoteReference"/>
          <w:color w:val="auto"/>
        </w:rPr>
        <w:footnoteReference w:id="9"/>
      </w:r>
      <w:bookmarkEnd w:id="41"/>
      <w:r w:rsidRPr="00302E12">
        <w:rPr>
          <w:color w:val="auto"/>
        </w:rPr>
        <w:t xml:space="preserve"> trial</w:t>
      </w:r>
      <w:r w:rsidR="000F15EA">
        <w:rPr>
          <w:color w:val="auto"/>
        </w:rPr>
        <w:t>s</w:t>
      </w:r>
      <w:r w:rsidRPr="00302E12">
        <w:rPr>
          <w:color w:val="auto"/>
        </w:rPr>
        <w:t xml:space="preserve">, respectively. This revision was made to improve the internal consistency of </w:t>
      </w:r>
      <w:r w:rsidR="001A3D71">
        <w:rPr>
          <w:color w:val="auto"/>
        </w:rPr>
        <w:t xml:space="preserve">the </w:t>
      </w:r>
      <w:r w:rsidRPr="00302E12">
        <w:rPr>
          <w:color w:val="auto"/>
        </w:rPr>
        <w:t xml:space="preserve">clinical evidence and cost-effectiveness evaluation for these subpopulations, and to address applicability issues to the Australian patient populations </w:t>
      </w:r>
      <w:r w:rsidR="00D323B4">
        <w:rPr>
          <w:color w:val="auto"/>
        </w:rPr>
        <w:t xml:space="preserve">as </w:t>
      </w:r>
      <w:r w:rsidRPr="00302E12">
        <w:rPr>
          <w:color w:val="auto"/>
        </w:rPr>
        <w:t xml:space="preserve">raised by MSAC in the </w:t>
      </w:r>
      <w:r w:rsidR="00A9174A">
        <w:rPr>
          <w:color w:val="auto"/>
        </w:rPr>
        <w:t>original</w:t>
      </w:r>
      <w:r w:rsidR="00A9174A" w:rsidRPr="00302E12">
        <w:rPr>
          <w:color w:val="auto"/>
        </w:rPr>
        <w:t xml:space="preserve"> </w:t>
      </w:r>
      <w:r w:rsidRPr="00302E12">
        <w:rPr>
          <w:color w:val="auto"/>
        </w:rPr>
        <w:t xml:space="preserve">submission (1785 PSD; </w:t>
      </w:r>
      <w:r w:rsidR="009F5B5D">
        <w:rPr>
          <w:color w:val="auto"/>
        </w:rPr>
        <w:t>p.</w:t>
      </w:r>
      <w:r w:rsidRPr="00302E12">
        <w:rPr>
          <w:color w:val="auto"/>
        </w:rPr>
        <w:t xml:space="preserve"> 33). </w:t>
      </w:r>
      <w:r w:rsidR="00782972">
        <w:rPr>
          <w:color w:val="auto"/>
        </w:rPr>
        <w:t>Nevertheless</w:t>
      </w:r>
      <w:r w:rsidRPr="00302E12">
        <w:rPr>
          <w:color w:val="auto"/>
        </w:rPr>
        <w:t xml:space="preserve">, these trials </w:t>
      </w:r>
      <w:r w:rsidR="00373417" w:rsidRPr="00302E12">
        <w:rPr>
          <w:color w:val="auto"/>
        </w:rPr>
        <w:t>may not reflect</w:t>
      </w:r>
      <w:r w:rsidR="000340DA" w:rsidRPr="00302E12">
        <w:rPr>
          <w:color w:val="auto"/>
        </w:rPr>
        <w:t xml:space="preserve"> </w:t>
      </w:r>
      <w:r w:rsidR="00373417" w:rsidRPr="00302E12">
        <w:rPr>
          <w:color w:val="auto"/>
        </w:rPr>
        <w:t xml:space="preserve">the Australian setting </w:t>
      </w:r>
      <w:r w:rsidR="00373417">
        <w:rPr>
          <w:color w:val="auto"/>
        </w:rPr>
        <w:t>as they</w:t>
      </w:r>
      <w:r w:rsidRPr="00302E12">
        <w:rPr>
          <w:color w:val="auto"/>
        </w:rPr>
        <w:t xml:space="preserve"> were </w:t>
      </w:r>
      <w:r w:rsidR="004C76C4">
        <w:rPr>
          <w:color w:val="auto"/>
        </w:rPr>
        <w:t>con</w:t>
      </w:r>
      <w:r w:rsidR="00162462">
        <w:rPr>
          <w:color w:val="auto"/>
        </w:rPr>
        <w:t xml:space="preserve">ducted in </w:t>
      </w:r>
      <w:r w:rsidR="00373417">
        <w:rPr>
          <w:color w:val="auto"/>
        </w:rPr>
        <w:t>a</w:t>
      </w:r>
      <w:r w:rsidR="00162462">
        <w:rPr>
          <w:color w:val="auto"/>
        </w:rPr>
        <w:t xml:space="preserve"> </w:t>
      </w:r>
      <w:r w:rsidRPr="00302E12">
        <w:rPr>
          <w:color w:val="auto"/>
        </w:rPr>
        <w:t>US</w:t>
      </w:r>
      <w:r w:rsidR="00903C30">
        <w:rPr>
          <w:color w:val="auto"/>
        </w:rPr>
        <w:t xml:space="preserve"> setting</w:t>
      </w:r>
      <w:r w:rsidRPr="00302E12">
        <w:rPr>
          <w:color w:val="auto"/>
        </w:rPr>
        <w:t xml:space="preserve">. Further, </w:t>
      </w:r>
      <w:r w:rsidR="00D033DE">
        <w:rPr>
          <w:color w:val="auto"/>
        </w:rPr>
        <w:t xml:space="preserve">the </w:t>
      </w:r>
      <w:r w:rsidRPr="00302E12">
        <w:rPr>
          <w:color w:val="auto"/>
        </w:rPr>
        <w:t xml:space="preserve">PICO clearly stated that patients aged ≥2 years with T2D and with </w:t>
      </w:r>
      <w:r w:rsidR="00D033DE">
        <w:rPr>
          <w:color w:val="auto"/>
        </w:rPr>
        <w:t xml:space="preserve">a </w:t>
      </w:r>
      <w:r w:rsidRPr="00302E12">
        <w:rPr>
          <w:color w:val="auto"/>
        </w:rPr>
        <w:t>certain glycaemic profile were eligible for the application</w:t>
      </w:r>
      <w:r w:rsidR="0089036E">
        <w:rPr>
          <w:color w:val="auto"/>
        </w:rPr>
        <w:t>,</w:t>
      </w:r>
      <w:r w:rsidRPr="00302E12">
        <w:rPr>
          <w:color w:val="auto"/>
        </w:rPr>
        <w:t xml:space="preserve"> </w:t>
      </w:r>
      <w:r w:rsidR="00E72815">
        <w:rPr>
          <w:color w:val="auto"/>
        </w:rPr>
        <w:t>whereas</w:t>
      </w:r>
      <w:r w:rsidR="008C4B31" w:rsidRPr="00302E12">
        <w:rPr>
          <w:color w:val="auto"/>
        </w:rPr>
        <w:t xml:space="preserve"> </w:t>
      </w:r>
      <w:r w:rsidRPr="00302E12">
        <w:rPr>
          <w:color w:val="auto"/>
        </w:rPr>
        <w:t xml:space="preserve">most of the </w:t>
      </w:r>
      <w:r w:rsidR="00F632DB">
        <w:rPr>
          <w:color w:val="auto"/>
        </w:rPr>
        <w:t xml:space="preserve">model </w:t>
      </w:r>
      <w:r w:rsidRPr="00302E12">
        <w:rPr>
          <w:color w:val="auto"/>
        </w:rPr>
        <w:t>inputs were derived from the trial</w:t>
      </w:r>
      <w:r w:rsidR="00E72815">
        <w:rPr>
          <w:color w:val="auto"/>
        </w:rPr>
        <w:t>,</w:t>
      </w:r>
      <w:r w:rsidRPr="00302E12">
        <w:rPr>
          <w:color w:val="auto"/>
        </w:rPr>
        <w:t xml:space="preserve"> which included </w:t>
      </w:r>
      <w:r w:rsidR="00F632DB">
        <w:rPr>
          <w:color w:val="auto"/>
        </w:rPr>
        <w:t xml:space="preserve">an </w:t>
      </w:r>
      <w:r w:rsidRPr="00302E12">
        <w:rPr>
          <w:color w:val="auto"/>
        </w:rPr>
        <w:lastRenderedPageBreak/>
        <w:t xml:space="preserve">adult population. Therefore, the concern raised by MSAC in the </w:t>
      </w:r>
      <w:r w:rsidR="005500C9">
        <w:rPr>
          <w:color w:val="auto"/>
        </w:rPr>
        <w:t>original</w:t>
      </w:r>
      <w:r w:rsidRPr="00302E12">
        <w:rPr>
          <w:color w:val="auto"/>
        </w:rPr>
        <w:t xml:space="preserve"> </w:t>
      </w:r>
      <w:r w:rsidR="00387D92">
        <w:rPr>
          <w:color w:val="auto"/>
        </w:rPr>
        <w:t xml:space="preserve">ADAR </w:t>
      </w:r>
      <w:r w:rsidR="00A37BE5">
        <w:rPr>
          <w:color w:val="auto"/>
        </w:rPr>
        <w:t xml:space="preserve">regarding the lack of </w:t>
      </w:r>
      <w:r w:rsidR="003A1FF5">
        <w:rPr>
          <w:color w:val="auto"/>
        </w:rPr>
        <w:t>applicability to the broader population inclusive of paediatric patients</w:t>
      </w:r>
      <w:r w:rsidR="00387D92">
        <w:rPr>
          <w:color w:val="auto"/>
        </w:rPr>
        <w:t xml:space="preserve"> </w:t>
      </w:r>
      <w:r w:rsidRPr="00302E12">
        <w:rPr>
          <w:color w:val="auto"/>
        </w:rPr>
        <w:t>remains</w:t>
      </w:r>
      <w:r w:rsidR="00BD6ED8">
        <w:rPr>
          <w:color w:val="auto"/>
        </w:rPr>
        <w:t xml:space="preserve"> </w:t>
      </w:r>
      <w:r w:rsidRPr="00302E12">
        <w:rPr>
          <w:color w:val="auto"/>
        </w:rPr>
        <w:t xml:space="preserve">unaddressed. </w:t>
      </w:r>
    </w:p>
    <w:p w14:paraId="4D0FAC4D" w14:textId="3B736842" w:rsidR="0099618C" w:rsidRPr="00302E12" w:rsidRDefault="0099618C" w:rsidP="0099618C">
      <w:pPr>
        <w:pStyle w:val="Instructionaltext"/>
        <w:rPr>
          <w:color w:val="auto"/>
        </w:rPr>
      </w:pPr>
      <w:r w:rsidRPr="00302E12">
        <w:rPr>
          <w:color w:val="auto"/>
        </w:rPr>
        <w:t>No economic evaluation was conducted for the proposed First Nations subpopulation</w:t>
      </w:r>
      <w:r w:rsidR="00F632DB">
        <w:rPr>
          <w:color w:val="auto"/>
        </w:rPr>
        <w:t>,</w:t>
      </w:r>
      <w:r w:rsidRPr="00302E12">
        <w:rPr>
          <w:color w:val="auto"/>
        </w:rPr>
        <w:t xml:space="preserve"> </w:t>
      </w:r>
      <w:r w:rsidR="00F632DB">
        <w:rPr>
          <w:color w:val="auto"/>
        </w:rPr>
        <w:t>nor</w:t>
      </w:r>
      <w:r w:rsidRPr="00302E12">
        <w:rPr>
          <w:color w:val="auto"/>
        </w:rPr>
        <w:t xml:space="preserve"> for pregnant women with GDM or other types of diabetes</w:t>
      </w:r>
      <w:r w:rsidR="00333CB6">
        <w:rPr>
          <w:color w:val="auto"/>
        </w:rPr>
        <w:t>,</w:t>
      </w:r>
      <w:r w:rsidRPr="00302E12">
        <w:rPr>
          <w:color w:val="auto"/>
        </w:rPr>
        <w:t xml:space="preserve"> due to the lack of clinical evidence. However, </w:t>
      </w:r>
      <w:r w:rsidR="00950DC5">
        <w:rPr>
          <w:color w:val="auto"/>
        </w:rPr>
        <w:t>the ADAR</w:t>
      </w:r>
      <w:r w:rsidRPr="00302E12">
        <w:rPr>
          <w:color w:val="auto"/>
        </w:rPr>
        <w:t xml:space="preserve"> indicated that reductions in HbA1c observed among individuals with comparable glycaemic profiles, insulin regimens and disease burden, particularly those receiving IIT, support the generalisability of these outcomes to First Nations people</w:t>
      </w:r>
      <w:r w:rsidR="006C30BE">
        <w:rPr>
          <w:color w:val="auto"/>
        </w:rPr>
        <w:t>,</w:t>
      </w:r>
      <w:r w:rsidRPr="00302E12">
        <w:rPr>
          <w:color w:val="auto"/>
        </w:rPr>
        <w:t xml:space="preserve"> which </w:t>
      </w:r>
      <w:r w:rsidR="000B11DB">
        <w:rPr>
          <w:color w:val="auto"/>
        </w:rPr>
        <w:t xml:space="preserve">was </w:t>
      </w:r>
      <w:r w:rsidR="00950DC5">
        <w:rPr>
          <w:color w:val="auto"/>
        </w:rPr>
        <w:t>not consider</w:t>
      </w:r>
      <w:r w:rsidR="000B11DB">
        <w:rPr>
          <w:color w:val="auto"/>
        </w:rPr>
        <w:t xml:space="preserve">ed </w:t>
      </w:r>
      <w:r w:rsidR="00B421BF">
        <w:rPr>
          <w:color w:val="auto"/>
        </w:rPr>
        <w:t xml:space="preserve">a </w:t>
      </w:r>
      <w:r w:rsidRPr="00302E12">
        <w:rPr>
          <w:color w:val="auto"/>
        </w:rPr>
        <w:t>reasonable</w:t>
      </w:r>
      <w:r w:rsidR="00B421BF">
        <w:rPr>
          <w:color w:val="auto"/>
        </w:rPr>
        <w:t xml:space="preserve"> assumption</w:t>
      </w:r>
      <w:r w:rsidR="00D76DB7">
        <w:rPr>
          <w:color w:val="auto"/>
        </w:rPr>
        <w:t xml:space="preserve"> </w:t>
      </w:r>
      <w:r w:rsidR="00D1555A">
        <w:rPr>
          <w:color w:val="auto"/>
        </w:rPr>
        <w:t xml:space="preserve">by the </w:t>
      </w:r>
      <w:r w:rsidR="00D33BA6">
        <w:rPr>
          <w:color w:val="auto"/>
        </w:rPr>
        <w:t>assessment group</w:t>
      </w:r>
      <w:r w:rsidRPr="00302E12">
        <w:rPr>
          <w:color w:val="auto"/>
        </w:rPr>
        <w:t xml:space="preserve">. </w:t>
      </w:r>
    </w:p>
    <w:p w14:paraId="553D9DA2" w14:textId="77777777" w:rsidR="0039095A" w:rsidRDefault="0099618C" w:rsidP="0039095A">
      <w:r w:rsidRPr="00302E12">
        <w:t xml:space="preserve">A brief overview of </w:t>
      </w:r>
      <w:r w:rsidR="00D819D5">
        <w:t xml:space="preserve">the </w:t>
      </w:r>
      <w:r w:rsidRPr="00302E12">
        <w:t xml:space="preserve">model elements </w:t>
      </w:r>
      <w:r w:rsidR="00D819D5">
        <w:t>appears</w:t>
      </w:r>
      <w:r w:rsidRPr="00B421BF">
        <w:t xml:space="preserve"> in </w:t>
      </w:r>
      <w:r w:rsidR="00B421BF" w:rsidRPr="000E2889">
        <w:fldChar w:fldCharType="begin"/>
      </w:r>
      <w:r w:rsidR="00B421BF" w:rsidRPr="000E2889">
        <w:instrText xml:space="preserve"> REF _Ref226731005 \h  \* MERGEFORMAT </w:instrText>
      </w:r>
      <w:r w:rsidR="00B421BF" w:rsidRPr="000E2889">
        <w:fldChar w:fldCharType="separate"/>
      </w:r>
      <w:r w:rsidR="0098516D" w:rsidRPr="00CE28E3">
        <w:t>Table</w:t>
      </w:r>
      <w:r w:rsidR="0098516D">
        <w:t xml:space="preserve"> </w:t>
      </w:r>
      <w:r w:rsidR="0098516D">
        <w:rPr>
          <w:noProof/>
        </w:rPr>
        <w:t>12</w:t>
      </w:r>
      <w:r w:rsidR="00B421BF" w:rsidRPr="000E2889">
        <w:fldChar w:fldCharType="end"/>
      </w:r>
      <w:bookmarkStart w:id="42" w:name="_Ref226731005"/>
      <w:r w:rsidR="00B421BF" w:rsidRPr="000E2889">
        <w:t>.</w:t>
      </w:r>
    </w:p>
    <w:p w14:paraId="773814EC" w14:textId="762A70FD" w:rsidR="0099618C" w:rsidRPr="0039095A" w:rsidRDefault="0099618C" w:rsidP="0039095A">
      <w:pPr>
        <w:rPr>
          <w:rFonts w:ascii="Arial Narrow" w:hAnsi="Arial Narrow" w:cs="Arial"/>
          <w:b/>
          <w:bCs/>
          <w:sz w:val="20"/>
          <w:szCs w:val="20"/>
        </w:rPr>
      </w:pPr>
      <w:r w:rsidRPr="0039095A">
        <w:rPr>
          <w:rFonts w:ascii="Arial Narrow" w:hAnsi="Arial Narrow" w:cs="Arial"/>
          <w:b/>
          <w:bCs/>
          <w:sz w:val="20"/>
          <w:szCs w:val="20"/>
        </w:rPr>
        <w:t>Table</w:t>
      </w:r>
      <w:r w:rsidR="00B421BF" w:rsidRPr="0039095A">
        <w:rPr>
          <w:rFonts w:ascii="Arial Narrow" w:hAnsi="Arial Narrow" w:cs="Arial"/>
          <w:b/>
          <w:bCs/>
          <w:sz w:val="20"/>
          <w:szCs w:val="20"/>
        </w:rPr>
        <w:t xml:space="preserve"> </w:t>
      </w:r>
      <w:r w:rsidR="00B421BF" w:rsidRPr="0039095A">
        <w:rPr>
          <w:rFonts w:ascii="Arial Narrow" w:hAnsi="Arial Narrow" w:cs="Arial"/>
          <w:b/>
          <w:bCs/>
          <w:sz w:val="20"/>
          <w:szCs w:val="20"/>
        </w:rPr>
        <w:fldChar w:fldCharType="begin"/>
      </w:r>
      <w:r w:rsidR="00B421BF" w:rsidRPr="0039095A">
        <w:rPr>
          <w:rFonts w:ascii="Arial Narrow" w:hAnsi="Arial Narrow" w:cs="Arial"/>
          <w:b/>
          <w:bCs/>
          <w:sz w:val="20"/>
          <w:szCs w:val="20"/>
        </w:rPr>
        <w:instrText xml:space="preserve"> SEQ Table \* ARABIC </w:instrText>
      </w:r>
      <w:r w:rsidR="00B421BF" w:rsidRPr="0039095A">
        <w:rPr>
          <w:rFonts w:ascii="Arial Narrow" w:hAnsi="Arial Narrow" w:cs="Arial"/>
          <w:b/>
          <w:bCs/>
          <w:sz w:val="20"/>
          <w:szCs w:val="20"/>
        </w:rPr>
        <w:fldChar w:fldCharType="separate"/>
      </w:r>
      <w:r w:rsidR="0098516D" w:rsidRPr="0039095A">
        <w:rPr>
          <w:rFonts w:ascii="Arial Narrow" w:hAnsi="Arial Narrow" w:cs="Arial"/>
          <w:b/>
          <w:bCs/>
          <w:noProof/>
          <w:sz w:val="20"/>
          <w:szCs w:val="20"/>
        </w:rPr>
        <w:t>12</w:t>
      </w:r>
      <w:r w:rsidR="00B421BF" w:rsidRPr="0039095A">
        <w:rPr>
          <w:rFonts w:ascii="Arial Narrow" w:hAnsi="Arial Narrow" w:cs="Arial"/>
          <w:b/>
          <w:bCs/>
          <w:sz w:val="20"/>
          <w:szCs w:val="20"/>
        </w:rPr>
        <w:fldChar w:fldCharType="end"/>
      </w:r>
      <w:bookmarkEnd w:id="42"/>
      <w:r w:rsidR="00B421BF" w:rsidRPr="0039095A">
        <w:rPr>
          <w:rFonts w:ascii="Arial Narrow" w:hAnsi="Arial Narrow" w:cs="Arial"/>
          <w:b/>
          <w:bCs/>
          <w:sz w:val="20"/>
          <w:szCs w:val="20"/>
        </w:rPr>
        <w:t xml:space="preserve">: </w:t>
      </w:r>
      <w:r w:rsidRPr="0039095A">
        <w:rPr>
          <w:rFonts w:ascii="Arial Narrow" w:hAnsi="Arial Narrow" w:cs="Arial"/>
          <w:b/>
          <w:bCs/>
          <w:sz w:val="20"/>
          <w:szCs w:val="20"/>
        </w:rPr>
        <w:t xml:space="preserve">Summary of economic evaluation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ummary of the economic evaluation "/>
        <w:tblDescription w:val="This table describes the key constructs of the economic evaluation that is provided in the assessment report."/>
      </w:tblPr>
      <w:tblGrid>
        <w:gridCol w:w="2317"/>
        <w:gridCol w:w="6699"/>
      </w:tblGrid>
      <w:tr w:rsidR="00FC7C1B" w:rsidRPr="00CE28E3" w14:paraId="6B41D01F" w14:textId="77777777" w:rsidTr="000E2889">
        <w:trPr>
          <w:tblHeader/>
        </w:trPr>
        <w:tc>
          <w:tcPr>
            <w:tcW w:w="1285" w:type="pct"/>
            <w:shd w:val="clear" w:color="auto" w:fill="D9D9D9" w:themeFill="background1" w:themeFillShade="D9"/>
          </w:tcPr>
          <w:p w14:paraId="3D87A8D5" w14:textId="77777777" w:rsidR="0099618C" w:rsidRPr="000449D1" w:rsidRDefault="0099618C" w:rsidP="000E2889">
            <w:pPr>
              <w:pStyle w:val="In-tableHeading"/>
            </w:pPr>
            <w:r w:rsidRPr="000449D1">
              <w:t>Component</w:t>
            </w:r>
          </w:p>
        </w:tc>
        <w:tc>
          <w:tcPr>
            <w:tcW w:w="3715" w:type="pct"/>
            <w:shd w:val="clear" w:color="auto" w:fill="D9D9D9" w:themeFill="background1" w:themeFillShade="D9"/>
          </w:tcPr>
          <w:p w14:paraId="1864BA0A" w14:textId="77777777" w:rsidR="0099618C" w:rsidRPr="000449D1" w:rsidRDefault="0099618C" w:rsidP="000E2889">
            <w:pPr>
              <w:pStyle w:val="In-tableHeading"/>
            </w:pPr>
            <w:r w:rsidRPr="000449D1">
              <w:t>Description</w:t>
            </w:r>
          </w:p>
        </w:tc>
      </w:tr>
      <w:tr w:rsidR="00FC7C1B" w:rsidRPr="000449D1" w14:paraId="7B5CE2D2" w14:textId="77777777">
        <w:tc>
          <w:tcPr>
            <w:tcW w:w="1285" w:type="pct"/>
          </w:tcPr>
          <w:p w14:paraId="56DA21D5" w14:textId="77777777" w:rsidR="0099618C" w:rsidRPr="000449D1" w:rsidRDefault="0099618C" w:rsidP="00302E12">
            <w:pPr>
              <w:pStyle w:val="TableText"/>
              <w:rPr>
                <w:szCs w:val="20"/>
              </w:rPr>
            </w:pPr>
            <w:r w:rsidRPr="000449D1">
              <w:rPr>
                <w:szCs w:val="20"/>
              </w:rPr>
              <w:t>Perspective</w:t>
            </w:r>
          </w:p>
        </w:tc>
        <w:tc>
          <w:tcPr>
            <w:tcW w:w="3715" w:type="pct"/>
          </w:tcPr>
          <w:p w14:paraId="0950C9DD" w14:textId="77777777" w:rsidR="0099618C" w:rsidRPr="000449D1" w:rsidRDefault="0099618C" w:rsidP="00302E12">
            <w:pPr>
              <w:pStyle w:val="TableText"/>
              <w:rPr>
                <w:szCs w:val="20"/>
              </w:rPr>
            </w:pPr>
            <w:r w:rsidRPr="000449D1">
              <w:rPr>
                <w:szCs w:val="20"/>
              </w:rPr>
              <w:t xml:space="preserve"> </w:t>
            </w:r>
            <w:r w:rsidRPr="00F66A14">
              <w:rPr>
                <w:szCs w:val="20"/>
              </w:rPr>
              <w:t>Australian healthcare system perspective </w:t>
            </w:r>
          </w:p>
        </w:tc>
      </w:tr>
      <w:tr w:rsidR="00FC7C1B" w:rsidRPr="000449D1" w14:paraId="472C5FAC" w14:textId="77777777">
        <w:trPr>
          <w:tblHeader/>
        </w:trPr>
        <w:tc>
          <w:tcPr>
            <w:tcW w:w="1285" w:type="pct"/>
          </w:tcPr>
          <w:p w14:paraId="357693B1" w14:textId="77777777" w:rsidR="0099618C" w:rsidRPr="000449D1" w:rsidRDefault="0099618C" w:rsidP="00302E12">
            <w:pPr>
              <w:pStyle w:val="TableText"/>
              <w:rPr>
                <w:szCs w:val="20"/>
              </w:rPr>
            </w:pPr>
            <w:r w:rsidRPr="000449D1">
              <w:rPr>
                <w:szCs w:val="20"/>
              </w:rPr>
              <w:t>Population</w:t>
            </w:r>
          </w:p>
        </w:tc>
        <w:tc>
          <w:tcPr>
            <w:tcW w:w="3715" w:type="pct"/>
          </w:tcPr>
          <w:p w14:paraId="210CBB74" w14:textId="08779067" w:rsidR="0099618C" w:rsidRPr="00360F06" w:rsidRDefault="0099618C" w:rsidP="00302E12">
            <w:pPr>
              <w:pStyle w:val="TableText"/>
            </w:pPr>
            <w:r>
              <w:t>Insulin</w:t>
            </w:r>
            <w:r w:rsidR="00D819D5">
              <w:t>-</w:t>
            </w:r>
            <w:r>
              <w:t>dependent T2D patients</w:t>
            </w:r>
          </w:p>
          <w:p w14:paraId="008015EE" w14:textId="7A2289B3" w:rsidR="0099618C" w:rsidRPr="00186567" w:rsidRDefault="0099618C" w:rsidP="00670C60">
            <w:pPr>
              <w:pStyle w:val="TableText"/>
              <w:numPr>
                <w:ilvl w:val="0"/>
                <w:numId w:val="9"/>
              </w:numPr>
            </w:pPr>
            <w:r w:rsidRPr="00186567">
              <w:t>IIT: T2D patients treated with both basal insulin and bolus insulin, with suboptimal glycaemic control confirmed by laboratory measured HbA1c levels &gt;7.0% for adults and &gt;6.5% for children and adolescents.</w:t>
            </w:r>
          </w:p>
          <w:p w14:paraId="4CD5F532" w14:textId="7CD164CC" w:rsidR="0099618C" w:rsidRPr="000449D1" w:rsidRDefault="0099618C" w:rsidP="00670C60">
            <w:pPr>
              <w:pStyle w:val="TableText"/>
              <w:numPr>
                <w:ilvl w:val="0"/>
                <w:numId w:val="9"/>
              </w:numPr>
              <w:rPr>
                <w:szCs w:val="20"/>
              </w:rPr>
            </w:pPr>
            <w:r w:rsidRPr="00186567">
              <w:t>non-IIT</w:t>
            </w:r>
            <w:r w:rsidRPr="00A56885">
              <w:t>: T2D patients treated with insulin</w:t>
            </w:r>
            <w:r>
              <w:t xml:space="preserve"> n</w:t>
            </w:r>
            <w:r w:rsidRPr="004774DC">
              <w:t>ot otherwise included in the IIT subpopulation</w:t>
            </w:r>
            <w:r>
              <w:t>,</w:t>
            </w:r>
            <w:r w:rsidRPr="00A56885">
              <w:t xml:space="preserve"> with suboptimal glycaemic control confirmed by laboratory measured HbA1c levels </w:t>
            </w:r>
            <w:r w:rsidRPr="00A14065">
              <w:t xml:space="preserve">&gt;8.0% </w:t>
            </w:r>
            <w:r w:rsidRPr="00A56885">
              <w:t>for adults and &gt;6.5% for children and adolescents.</w:t>
            </w:r>
          </w:p>
        </w:tc>
      </w:tr>
      <w:tr w:rsidR="00FC7C1B" w:rsidRPr="000449D1" w14:paraId="5503EBF0" w14:textId="77777777">
        <w:trPr>
          <w:tblHeader/>
        </w:trPr>
        <w:tc>
          <w:tcPr>
            <w:tcW w:w="1285" w:type="pct"/>
          </w:tcPr>
          <w:p w14:paraId="0C5F2CFE" w14:textId="77777777" w:rsidR="0099618C" w:rsidRPr="000449D1" w:rsidRDefault="0099618C" w:rsidP="00302E12">
            <w:pPr>
              <w:pStyle w:val="TableText"/>
              <w:rPr>
                <w:szCs w:val="20"/>
              </w:rPr>
            </w:pPr>
            <w:r>
              <w:rPr>
                <w:szCs w:val="20"/>
              </w:rPr>
              <w:t>Intervention</w:t>
            </w:r>
          </w:p>
        </w:tc>
        <w:tc>
          <w:tcPr>
            <w:tcW w:w="3715" w:type="pct"/>
          </w:tcPr>
          <w:p w14:paraId="3A4DC824" w14:textId="77777777" w:rsidR="0099618C" w:rsidRDefault="0099618C" w:rsidP="00302E12">
            <w:pPr>
              <w:pStyle w:val="TableText"/>
            </w:pPr>
            <w:r>
              <w:t>RT-CGM using the Dexcom ONE+ CGM system</w:t>
            </w:r>
          </w:p>
        </w:tc>
      </w:tr>
      <w:tr w:rsidR="00FC7C1B" w:rsidRPr="000449D1" w14:paraId="405253C7" w14:textId="77777777">
        <w:tc>
          <w:tcPr>
            <w:tcW w:w="1285" w:type="pct"/>
          </w:tcPr>
          <w:p w14:paraId="127F2E62" w14:textId="77777777" w:rsidR="0099618C" w:rsidRPr="000449D1" w:rsidRDefault="0099618C" w:rsidP="00302E12">
            <w:pPr>
              <w:pStyle w:val="TableText"/>
              <w:rPr>
                <w:szCs w:val="20"/>
              </w:rPr>
            </w:pPr>
            <w:r w:rsidRPr="000449D1">
              <w:rPr>
                <w:szCs w:val="20"/>
              </w:rPr>
              <w:t>Prior testing</w:t>
            </w:r>
          </w:p>
        </w:tc>
        <w:tc>
          <w:tcPr>
            <w:tcW w:w="3715" w:type="pct"/>
          </w:tcPr>
          <w:p w14:paraId="34231110" w14:textId="77777777" w:rsidR="0099618C" w:rsidRPr="000449D1" w:rsidRDefault="0099618C" w:rsidP="00302E12">
            <w:pPr>
              <w:pStyle w:val="TableText"/>
              <w:rPr>
                <w:szCs w:val="20"/>
              </w:rPr>
            </w:pPr>
            <w:r w:rsidRPr="00A56885">
              <w:t>Not relevant to the economic model</w:t>
            </w:r>
          </w:p>
        </w:tc>
      </w:tr>
      <w:tr w:rsidR="00FC7C1B" w:rsidRPr="000449D1" w14:paraId="1758CF8C" w14:textId="77777777">
        <w:tc>
          <w:tcPr>
            <w:tcW w:w="1285" w:type="pct"/>
          </w:tcPr>
          <w:p w14:paraId="3164BF47" w14:textId="77777777" w:rsidR="0099618C" w:rsidRPr="000449D1" w:rsidRDefault="0099618C" w:rsidP="00302E12">
            <w:pPr>
              <w:pStyle w:val="TableText"/>
              <w:rPr>
                <w:szCs w:val="20"/>
              </w:rPr>
            </w:pPr>
            <w:r w:rsidRPr="000449D1">
              <w:rPr>
                <w:szCs w:val="20"/>
              </w:rPr>
              <w:t>Comparator</w:t>
            </w:r>
          </w:p>
        </w:tc>
        <w:tc>
          <w:tcPr>
            <w:tcW w:w="3715" w:type="pct"/>
          </w:tcPr>
          <w:p w14:paraId="010AD34D" w14:textId="77777777" w:rsidR="0099618C" w:rsidRPr="000449D1" w:rsidRDefault="0099618C" w:rsidP="00302E12">
            <w:pPr>
              <w:pStyle w:val="TableText"/>
              <w:rPr>
                <w:szCs w:val="20"/>
              </w:rPr>
            </w:pPr>
            <w:r w:rsidRPr="00A56885">
              <w:t>SMBG</w:t>
            </w:r>
          </w:p>
        </w:tc>
      </w:tr>
      <w:tr w:rsidR="00FC7C1B" w:rsidRPr="000449D1" w14:paraId="55BA5D62" w14:textId="77777777">
        <w:tc>
          <w:tcPr>
            <w:tcW w:w="1285" w:type="pct"/>
          </w:tcPr>
          <w:p w14:paraId="451EE588" w14:textId="77777777" w:rsidR="0099618C" w:rsidRPr="000449D1" w:rsidRDefault="0099618C" w:rsidP="00302E12">
            <w:pPr>
              <w:pStyle w:val="TableText"/>
              <w:rPr>
                <w:szCs w:val="20"/>
              </w:rPr>
            </w:pPr>
            <w:r w:rsidRPr="000449D1">
              <w:rPr>
                <w:szCs w:val="20"/>
              </w:rPr>
              <w:t>Type(s) of analysis</w:t>
            </w:r>
          </w:p>
        </w:tc>
        <w:tc>
          <w:tcPr>
            <w:tcW w:w="3715" w:type="pct"/>
          </w:tcPr>
          <w:p w14:paraId="4D58762C" w14:textId="77777777" w:rsidR="0099618C" w:rsidRPr="000449D1" w:rsidRDefault="0099618C" w:rsidP="00302E12">
            <w:pPr>
              <w:pStyle w:val="TableText"/>
              <w:rPr>
                <w:szCs w:val="20"/>
              </w:rPr>
            </w:pPr>
            <w:r>
              <w:rPr>
                <w:szCs w:val="20"/>
              </w:rPr>
              <w:t>C</w:t>
            </w:r>
            <w:r w:rsidRPr="000449D1">
              <w:rPr>
                <w:szCs w:val="20"/>
              </w:rPr>
              <w:t>ost-utility analysis</w:t>
            </w:r>
          </w:p>
        </w:tc>
      </w:tr>
      <w:tr w:rsidR="00FC7C1B" w:rsidRPr="000449D1" w14:paraId="150B576D" w14:textId="77777777">
        <w:tc>
          <w:tcPr>
            <w:tcW w:w="1285" w:type="pct"/>
          </w:tcPr>
          <w:p w14:paraId="699D6BEA" w14:textId="77777777" w:rsidR="0099618C" w:rsidRPr="000449D1" w:rsidRDefault="0099618C" w:rsidP="00302E12">
            <w:pPr>
              <w:pStyle w:val="TableText"/>
              <w:rPr>
                <w:szCs w:val="20"/>
              </w:rPr>
            </w:pPr>
            <w:r w:rsidRPr="000449D1">
              <w:rPr>
                <w:szCs w:val="20"/>
              </w:rPr>
              <w:t>Outcomes</w:t>
            </w:r>
          </w:p>
        </w:tc>
        <w:tc>
          <w:tcPr>
            <w:tcW w:w="3715" w:type="pct"/>
          </w:tcPr>
          <w:p w14:paraId="5741DEC0" w14:textId="77777777" w:rsidR="0099618C" w:rsidRPr="000449D1" w:rsidRDefault="0099618C" w:rsidP="00302E12">
            <w:pPr>
              <w:pStyle w:val="TableText"/>
              <w:rPr>
                <w:szCs w:val="20"/>
              </w:rPr>
            </w:pPr>
            <w:r w:rsidRPr="00A56885">
              <w:t xml:space="preserve">Life years </w:t>
            </w:r>
            <w:r>
              <w:t>and</w:t>
            </w:r>
            <w:r w:rsidRPr="00A56885">
              <w:t xml:space="preserve"> quality</w:t>
            </w:r>
            <w:r>
              <w:t>-</w:t>
            </w:r>
            <w:r w:rsidRPr="00A56885">
              <w:t>adjusted life years</w:t>
            </w:r>
            <w:r>
              <w:t xml:space="preserve"> gained</w:t>
            </w:r>
          </w:p>
        </w:tc>
      </w:tr>
      <w:tr w:rsidR="00FC7C1B" w:rsidRPr="000449D1" w14:paraId="0E2B1FE3" w14:textId="77777777">
        <w:tc>
          <w:tcPr>
            <w:tcW w:w="1285" w:type="pct"/>
          </w:tcPr>
          <w:p w14:paraId="6F25A4BF" w14:textId="77777777" w:rsidR="0099618C" w:rsidRPr="000449D1" w:rsidRDefault="0099618C" w:rsidP="00302E12">
            <w:pPr>
              <w:pStyle w:val="TableText"/>
              <w:rPr>
                <w:szCs w:val="20"/>
              </w:rPr>
            </w:pPr>
            <w:r w:rsidRPr="000449D1">
              <w:rPr>
                <w:szCs w:val="20"/>
              </w:rPr>
              <w:t>Time horizon</w:t>
            </w:r>
          </w:p>
        </w:tc>
        <w:tc>
          <w:tcPr>
            <w:tcW w:w="3715" w:type="pct"/>
          </w:tcPr>
          <w:p w14:paraId="122E1D6A" w14:textId="77777777" w:rsidR="0099618C" w:rsidRPr="000449D1" w:rsidRDefault="0099618C" w:rsidP="00302E12">
            <w:pPr>
              <w:pStyle w:val="TableText"/>
              <w:rPr>
                <w:szCs w:val="20"/>
              </w:rPr>
            </w:pPr>
            <w:r>
              <w:rPr>
                <w:szCs w:val="20"/>
              </w:rPr>
              <w:t>Lifetime for the base case; 10, 20 and 30 years in sensitivity analysis</w:t>
            </w:r>
          </w:p>
        </w:tc>
      </w:tr>
      <w:tr w:rsidR="00FC7C1B" w:rsidRPr="000449D1" w14:paraId="4E8178F4" w14:textId="77777777">
        <w:tc>
          <w:tcPr>
            <w:tcW w:w="1285" w:type="pct"/>
          </w:tcPr>
          <w:p w14:paraId="2772F9AB" w14:textId="77777777" w:rsidR="0099618C" w:rsidRPr="000449D1" w:rsidRDefault="0099618C" w:rsidP="00302E12">
            <w:pPr>
              <w:pStyle w:val="TableText"/>
              <w:rPr>
                <w:szCs w:val="20"/>
              </w:rPr>
            </w:pPr>
            <w:r w:rsidRPr="000449D1">
              <w:rPr>
                <w:szCs w:val="20"/>
              </w:rPr>
              <w:t>Computational method</w:t>
            </w:r>
          </w:p>
        </w:tc>
        <w:tc>
          <w:tcPr>
            <w:tcW w:w="3715" w:type="pct"/>
          </w:tcPr>
          <w:p w14:paraId="00E0E36D" w14:textId="77777777" w:rsidR="0099618C" w:rsidRPr="000449D1" w:rsidRDefault="0099618C" w:rsidP="00302E12">
            <w:pPr>
              <w:pStyle w:val="TableText"/>
              <w:rPr>
                <w:szCs w:val="20"/>
              </w:rPr>
            </w:pPr>
            <w:r w:rsidRPr="00A56885">
              <w:t>Microsimulation</w:t>
            </w:r>
          </w:p>
        </w:tc>
      </w:tr>
      <w:tr w:rsidR="00FC7C1B" w:rsidRPr="000449D1" w14:paraId="46D29CEC" w14:textId="77777777">
        <w:tc>
          <w:tcPr>
            <w:tcW w:w="1285" w:type="pct"/>
          </w:tcPr>
          <w:p w14:paraId="580A16DC" w14:textId="77777777" w:rsidR="0099618C" w:rsidRPr="000449D1" w:rsidRDefault="0099618C" w:rsidP="00302E12">
            <w:pPr>
              <w:pStyle w:val="TableText"/>
              <w:rPr>
                <w:szCs w:val="20"/>
              </w:rPr>
            </w:pPr>
            <w:r w:rsidRPr="000449D1">
              <w:rPr>
                <w:szCs w:val="20"/>
              </w:rPr>
              <w:t>Generation of the base case</w:t>
            </w:r>
          </w:p>
        </w:tc>
        <w:tc>
          <w:tcPr>
            <w:tcW w:w="3715" w:type="pct"/>
          </w:tcPr>
          <w:p w14:paraId="161BE2A5" w14:textId="77777777" w:rsidR="0099618C" w:rsidRPr="000449D1" w:rsidRDefault="0099618C" w:rsidP="00302E12">
            <w:pPr>
              <w:pStyle w:val="TableText"/>
              <w:rPr>
                <w:szCs w:val="20"/>
              </w:rPr>
            </w:pPr>
            <w:r w:rsidRPr="00A56885">
              <w:t>A modelled approach using the IQVIA CDM</w:t>
            </w:r>
          </w:p>
        </w:tc>
      </w:tr>
      <w:tr w:rsidR="00FC7C1B" w:rsidRPr="000449D1" w14:paraId="05D462E3" w14:textId="77777777">
        <w:tc>
          <w:tcPr>
            <w:tcW w:w="1285" w:type="pct"/>
          </w:tcPr>
          <w:p w14:paraId="18DAE06E" w14:textId="77777777" w:rsidR="0099618C" w:rsidRPr="000449D1" w:rsidRDefault="0099618C" w:rsidP="00302E12">
            <w:pPr>
              <w:pStyle w:val="TableText"/>
              <w:rPr>
                <w:szCs w:val="20"/>
              </w:rPr>
            </w:pPr>
            <w:r w:rsidRPr="000449D1">
              <w:rPr>
                <w:szCs w:val="20"/>
              </w:rPr>
              <w:t>Health states</w:t>
            </w:r>
          </w:p>
        </w:tc>
        <w:tc>
          <w:tcPr>
            <w:tcW w:w="3715" w:type="pct"/>
          </w:tcPr>
          <w:p w14:paraId="1FE09582" w14:textId="0814ED22" w:rsidR="0099618C" w:rsidRPr="000449D1" w:rsidRDefault="0099618C" w:rsidP="00302E12">
            <w:pPr>
              <w:pStyle w:val="TableText"/>
              <w:rPr>
                <w:szCs w:val="20"/>
              </w:rPr>
            </w:pPr>
            <w:r w:rsidRPr="00A56885">
              <w:t>As specified in CDM; 17 inter</w:t>
            </w:r>
            <w:r>
              <w:t>dependent</w:t>
            </w:r>
            <w:r w:rsidRPr="00A56885">
              <w:t xml:space="preserve"> sub-models inform the modelling of complication incidences (</w:t>
            </w:r>
            <w:r>
              <w:t>MI</w:t>
            </w:r>
            <w:r w:rsidRPr="00A56885">
              <w:t>, congestive heart failure, stroke, neuropathy, ulcer/amputation/hypoglycaemia, ketoacidosis, lactic acidosis, angina, peripheral vascular disease, retinopathy, macular oedema, cataract, neuropathy, depression, oedema, and non-specific mortality</w:t>
            </w:r>
            <w:r>
              <w:t>)</w:t>
            </w:r>
          </w:p>
        </w:tc>
      </w:tr>
      <w:tr w:rsidR="00FC7C1B" w:rsidRPr="000449D1" w14:paraId="3F439E06" w14:textId="77777777">
        <w:tc>
          <w:tcPr>
            <w:tcW w:w="1285" w:type="pct"/>
          </w:tcPr>
          <w:p w14:paraId="3FE25CF5" w14:textId="77777777" w:rsidR="0099618C" w:rsidRPr="000449D1" w:rsidRDefault="0099618C" w:rsidP="00302E12">
            <w:pPr>
              <w:pStyle w:val="TableText"/>
              <w:rPr>
                <w:szCs w:val="20"/>
              </w:rPr>
            </w:pPr>
            <w:r w:rsidRPr="000449D1">
              <w:rPr>
                <w:szCs w:val="20"/>
              </w:rPr>
              <w:t>Cycle length</w:t>
            </w:r>
          </w:p>
        </w:tc>
        <w:tc>
          <w:tcPr>
            <w:tcW w:w="3715" w:type="pct"/>
          </w:tcPr>
          <w:p w14:paraId="6A14E936" w14:textId="77777777" w:rsidR="0099618C" w:rsidRPr="000449D1" w:rsidRDefault="0099618C" w:rsidP="00302E12">
            <w:pPr>
              <w:pStyle w:val="TableText"/>
              <w:rPr>
                <w:szCs w:val="20"/>
              </w:rPr>
            </w:pPr>
            <w:r w:rsidRPr="00A56885">
              <w:t>Annual</w:t>
            </w:r>
          </w:p>
        </w:tc>
      </w:tr>
      <w:tr w:rsidR="00FC7C1B" w:rsidRPr="000449D1" w14:paraId="2B95385E" w14:textId="77777777">
        <w:tc>
          <w:tcPr>
            <w:tcW w:w="1285" w:type="pct"/>
          </w:tcPr>
          <w:p w14:paraId="20122B1E" w14:textId="77777777" w:rsidR="0099618C" w:rsidRPr="000449D1" w:rsidRDefault="0099618C" w:rsidP="00302E12">
            <w:pPr>
              <w:pStyle w:val="TableText"/>
              <w:rPr>
                <w:szCs w:val="20"/>
              </w:rPr>
            </w:pPr>
            <w:r w:rsidRPr="000449D1">
              <w:rPr>
                <w:szCs w:val="20"/>
              </w:rPr>
              <w:t>Transition probabilities</w:t>
            </w:r>
          </w:p>
        </w:tc>
        <w:tc>
          <w:tcPr>
            <w:tcW w:w="3715" w:type="pct"/>
          </w:tcPr>
          <w:p w14:paraId="740CD6B1" w14:textId="25D9F11E" w:rsidR="0099618C" w:rsidRPr="000449D1" w:rsidRDefault="0099618C" w:rsidP="00302E12">
            <w:pPr>
              <w:pStyle w:val="TableText"/>
              <w:rPr>
                <w:szCs w:val="20"/>
              </w:rPr>
            </w:pPr>
            <w:r w:rsidRPr="00A56885">
              <w:t>HbA1c reductions offered by RT-CGM vs SMBG result in less complication risks as modelled by CDM</w:t>
            </w:r>
          </w:p>
        </w:tc>
      </w:tr>
      <w:tr w:rsidR="00FC7C1B" w:rsidRPr="000449D1" w14:paraId="27EB032A" w14:textId="77777777">
        <w:tc>
          <w:tcPr>
            <w:tcW w:w="1285" w:type="pct"/>
          </w:tcPr>
          <w:p w14:paraId="16A02F90" w14:textId="77777777" w:rsidR="0099618C" w:rsidRPr="000449D1" w:rsidRDefault="0099618C" w:rsidP="00302E12">
            <w:pPr>
              <w:pStyle w:val="TableText"/>
              <w:rPr>
                <w:szCs w:val="20"/>
              </w:rPr>
            </w:pPr>
            <w:r w:rsidRPr="000449D1">
              <w:rPr>
                <w:szCs w:val="20"/>
              </w:rPr>
              <w:t>Discount rate</w:t>
            </w:r>
          </w:p>
        </w:tc>
        <w:tc>
          <w:tcPr>
            <w:tcW w:w="3715" w:type="pct"/>
          </w:tcPr>
          <w:p w14:paraId="1A4D70BF" w14:textId="77777777" w:rsidR="0099618C" w:rsidRPr="000449D1" w:rsidRDefault="0099618C" w:rsidP="00302E12">
            <w:pPr>
              <w:pStyle w:val="TableText"/>
              <w:rPr>
                <w:szCs w:val="20"/>
              </w:rPr>
            </w:pPr>
            <w:r w:rsidRPr="00F66A14">
              <w:rPr>
                <w:szCs w:val="20"/>
              </w:rPr>
              <w:t>5% for both costs and effects </w:t>
            </w:r>
          </w:p>
        </w:tc>
      </w:tr>
      <w:tr w:rsidR="00FC7C1B" w:rsidRPr="000449D1" w14:paraId="7D5932CD" w14:textId="77777777">
        <w:tc>
          <w:tcPr>
            <w:tcW w:w="1285" w:type="pct"/>
          </w:tcPr>
          <w:p w14:paraId="7DE52970" w14:textId="77777777" w:rsidR="0099618C" w:rsidRPr="000449D1" w:rsidRDefault="0099618C" w:rsidP="00302E12">
            <w:pPr>
              <w:pStyle w:val="TableText"/>
              <w:rPr>
                <w:szCs w:val="20"/>
              </w:rPr>
            </w:pPr>
            <w:r w:rsidRPr="000449D1">
              <w:rPr>
                <w:szCs w:val="20"/>
              </w:rPr>
              <w:t>Software</w:t>
            </w:r>
          </w:p>
        </w:tc>
        <w:tc>
          <w:tcPr>
            <w:tcW w:w="3715" w:type="pct"/>
          </w:tcPr>
          <w:p w14:paraId="5B739CF4" w14:textId="77777777" w:rsidR="0099618C" w:rsidRPr="000449D1" w:rsidRDefault="0099618C" w:rsidP="00302E12">
            <w:pPr>
              <w:pStyle w:val="TableText"/>
              <w:rPr>
                <w:szCs w:val="20"/>
              </w:rPr>
            </w:pPr>
            <w:r w:rsidRPr="00A56885">
              <w:t xml:space="preserve">IQVIA </w:t>
            </w:r>
            <w:r>
              <w:t>CDM</w:t>
            </w:r>
            <w:r w:rsidRPr="00A56885">
              <w:t xml:space="preserve"> (CDM, v10)</w:t>
            </w:r>
          </w:p>
        </w:tc>
      </w:tr>
    </w:tbl>
    <w:p w14:paraId="61FECD78" w14:textId="2A34D053" w:rsidR="0099618C" w:rsidRDefault="00C46238" w:rsidP="00A95451">
      <w:pPr>
        <w:pStyle w:val="TableFooter"/>
        <w:rPr>
          <w:rFonts w:eastAsia="Arial Narrow" w:cs="Arial Narrow"/>
          <w:szCs w:val="18"/>
        </w:rPr>
      </w:pPr>
      <w:r w:rsidRPr="00C46238">
        <w:rPr>
          <w:rFonts w:eastAsia="Arial Narrow"/>
          <w:b/>
          <w:bCs/>
        </w:rPr>
        <w:t xml:space="preserve">Abbreviations: </w:t>
      </w:r>
      <w:r w:rsidR="0099618C" w:rsidRPr="3C378D00">
        <w:rPr>
          <w:rFonts w:eastAsia="Arial Narrow" w:cs="Arial Narrow"/>
          <w:szCs w:val="18"/>
        </w:rPr>
        <w:t>CDM</w:t>
      </w:r>
      <w:r w:rsidR="0099618C">
        <w:rPr>
          <w:rFonts w:eastAsia="Arial Narrow" w:cs="Arial Narrow"/>
          <w:szCs w:val="18"/>
        </w:rPr>
        <w:t xml:space="preserve"> =</w:t>
      </w:r>
      <w:r w:rsidR="0099618C" w:rsidRPr="3C378D00">
        <w:rPr>
          <w:rFonts w:eastAsia="Arial Narrow" w:cs="Arial Narrow"/>
          <w:szCs w:val="18"/>
        </w:rPr>
        <w:t xml:space="preserve"> C</w:t>
      </w:r>
      <w:r w:rsidR="0099618C">
        <w:rPr>
          <w:rFonts w:eastAsia="Arial Narrow" w:cs="Arial Narrow"/>
          <w:szCs w:val="18"/>
        </w:rPr>
        <w:t>ORE</w:t>
      </w:r>
      <w:r w:rsidR="0099618C" w:rsidRPr="3C378D00">
        <w:rPr>
          <w:rFonts w:eastAsia="Arial Narrow" w:cs="Arial Narrow"/>
          <w:szCs w:val="18"/>
        </w:rPr>
        <w:t xml:space="preserve"> </w:t>
      </w:r>
      <w:r w:rsidR="00D52739">
        <w:rPr>
          <w:rFonts w:eastAsia="Arial Narrow" w:cs="Arial Narrow"/>
          <w:szCs w:val="18"/>
        </w:rPr>
        <w:t>d</w:t>
      </w:r>
      <w:r w:rsidR="0099618C" w:rsidRPr="3C378D00">
        <w:rPr>
          <w:rFonts w:eastAsia="Arial Narrow" w:cs="Arial Narrow"/>
          <w:szCs w:val="18"/>
        </w:rPr>
        <w:t xml:space="preserve">iabetes </w:t>
      </w:r>
      <w:r w:rsidR="00D52739">
        <w:rPr>
          <w:rFonts w:eastAsia="Arial Narrow" w:cs="Arial Narrow"/>
          <w:szCs w:val="18"/>
        </w:rPr>
        <w:t>m</w:t>
      </w:r>
      <w:r w:rsidR="0099618C" w:rsidRPr="3C378D00">
        <w:rPr>
          <w:rFonts w:eastAsia="Arial Narrow" w:cs="Arial Narrow"/>
          <w:szCs w:val="18"/>
        </w:rPr>
        <w:t xml:space="preserve">odel; </w:t>
      </w:r>
      <w:r w:rsidR="0099618C">
        <w:rPr>
          <w:rFonts w:eastAsia="Arial Narrow" w:cs="Arial Narrow"/>
          <w:szCs w:val="18"/>
        </w:rPr>
        <w:t xml:space="preserve">HbA1c = glycated haemoglobin; </w:t>
      </w:r>
      <w:r w:rsidR="0099618C" w:rsidRPr="3C378D00">
        <w:rPr>
          <w:rFonts w:eastAsia="Arial Narrow" w:cs="Arial Narrow"/>
          <w:szCs w:val="18"/>
        </w:rPr>
        <w:t>IIT</w:t>
      </w:r>
      <w:r w:rsidR="0099618C">
        <w:rPr>
          <w:rFonts w:eastAsia="Arial Narrow" w:cs="Arial Narrow"/>
          <w:szCs w:val="18"/>
        </w:rPr>
        <w:t xml:space="preserve"> =</w:t>
      </w:r>
      <w:r w:rsidR="0099618C" w:rsidRPr="3C378D00">
        <w:rPr>
          <w:rFonts w:eastAsia="Arial Narrow" w:cs="Arial Narrow"/>
          <w:szCs w:val="18"/>
        </w:rPr>
        <w:t xml:space="preserve"> </w:t>
      </w:r>
      <w:r w:rsidR="00D52739">
        <w:rPr>
          <w:rFonts w:eastAsia="Arial Narrow" w:cs="Arial Narrow"/>
          <w:szCs w:val="18"/>
        </w:rPr>
        <w:t>i</w:t>
      </w:r>
      <w:r w:rsidR="0099618C" w:rsidRPr="3C378D00">
        <w:rPr>
          <w:rFonts w:eastAsia="Arial Narrow" w:cs="Arial Narrow"/>
          <w:szCs w:val="18"/>
        </w:rPr>
        <w:t xml:space="preserve">ntensive </w:t>
      </w:r>
      <w:r w:rsidR="00D52739">
        <w:rPr>
          <w:rFonts w:eastAsia="Arial Narrow" w:cs="Arial Narrow"/>
          <w:szCs w:val="18"/>
        </w:rPr>
        <w:t>i</w:t>
      </w:r>
      <w:r w:rsidR="0099618C" w:rsidRPr="3C378D00">
        <w:rPr>
          <w:rFonts w:eastAsia="Arial Narrow" w:cs="Arial Narrow"/>
          <w:szCs w:val="18"/>
        </w:rPr>
        <w:t xml:space="preserve">nsulin </w:t>
      </w:r>
      <w:r w:rsidR="00D52739">
        <w:rPr>
          <w:rFonts w:eastAsia="Arial Narrow" w:cs="Arial Narrow"/>
          <w:szCs w:val="18"/>
        </w:rPr>
        <w:t>t</w:t>
      </w:r>
      <w:r w:rsidR="000F39B0">
        <w:rPr>
          <w:rFonts w:eastAsia="Arial Narrow" w:cs="Arial Narrow"/>
          <w:szCs w:val="18"/>
        </w:rPr>
        <w:t>herapy</w:t>
      </w:r>
      <w:r w:rsidR="0099618C" w:rsidRPr="3C378D00">
        <w:rPr>
          <w:rFonts w:eastAsia="Arial Narrow" w:cs="Arial Narrow"/>
          <w:szCs w:val="18"/>
        </w:rPr>
        <w:t xml:space="preserve">; </w:t>
      </w:r>
      <w:r w:rsidR="00C745DC">
        <w:rPr>
          <w:rFonts w:eastAsia="Arial Narrow" w:cs="Arial Narrow"/>
          <w:szCs w:val="18"/>
        </w:rPr>
        <w:t xml:space="preserve">MI = </w:t>
      </w:r>
      <w:r w:rsidR="00CE1479">
        <w:rPr>
          <w:rFonts w:eastAsia="Arial Narrow" w:cs="Arial Narrow"/>
          <w:szCs w:val="18"/>
        </w:rPr>
        <w:t xml:space="preserve">myocardial infarction; </w:t>
      </w:r>
      <w:r w:rsidR="0099618C" w:rsidRPr="3C378D00">
        <w:rPr>
          <w:rFonts w:eastAsia="Arial Narrow" w:cs="Arial Narrow"/>
          <w:szCs w:val="18"/>
        </w:rPr>
        <w:t>SMBG</w:t>
      </w:r>
      <w:r w:rsidR="0099618C">
        <w:rPr>
          <w:rFonts w:eastAsia="Arial Narrow" w:cs="Arial Narrow"/>
          <w:szCs w:val="18"/>
        </w:rPr>
        <w:t xml:space="preserve"> =</w:t>
      </w:r>
      <w:r w:rsidR="0099618C" w:rsidRPr="3C378D00">
        <w:rPr>
          <w:rFonts w:eastAsia="Arial Narrow" w:cs="Arial Narrow"/>
          <w:szCs w:val="18"/>
        </w:rPr>
        <w:t xml:space="preserve"> </w:t>
      </w:r>
      <w:r w:rsidR="00D52739">
        <w:rPr>
          <w:rFonts w:eastAsia="Arial Narrow" w:cs="Arial Narrow"/>
          <w:szCs w:val="18"/>
        </w:rPr>
        <w:t>s</w:t>
      </w:r>
      <w:r w:rsidR="0099618C" w:rsidRPr="3C378D00">
        <w:rPr>
          <w:rFonts w:eastAsia="Arial Narrow" w:cs="Arial Narrow"/>
          <w:szCs w:val="18"/>
        </w:rPr>
        <w:t>elf-</w:t>
      </w:r>
      <w:r w:rsidR="00D52739">
        <w:rPr>
          <w:rFonts w:eastAsia="Arial Narrow" w:cs="Arial Narrow"/>
          <w:szCs w:val="18"/>
        </w:rPr>
        <w:t>m</w:t>
      </w:r>
      <w:r w:rsidR="0099618C" w:rsidRPr="3C378D00">
        <w:rPr>
          <w:rFonts w:eastAsia="Arial Narrow" w:cs="Arial Narrow"/>
          <w:szCs w:val="18"/>
        </w:rPr>
        <w:t xml:space="preserve">onitoring of </w:t>
      </w:r>
      <w:r w:rsidR="00D52739">
        <w:rPr>
          <w:rFonts w:eastAsia="Arial Narrow" w:cs="Arial Narrow"/>
          <w:szCs w:val="18"/>
        </w:rPr>
        <w:t>b</w:t>
      </w:r>
      <w:r w:rsidR="0099618C" w:rsidRPr="3C378D00">
        <w:rPr>
          <w:rFonts w:eastAsia="Arial Narrow" w:cs="Arial Narrow"/>
          <w:szCs w:val="18"/>
        </w:rPr>
        <w:t xml:space="preserve">lood </w:t>
      </w:r>
      <w:r w:rsidR="00D52739">
        <w:rPr>
          <w:rFonts w:eastAsia="Arial Narrow" w:cs="Arial Narrow"/>
          <w:szCs w:val="18"/>
        </w:rPr>
        <w:t>g</w:t>
      </w:r>
      <w:r w:rsidR="0099618C" w:rsidRPr="3C378D00">
        <w:rPr>
          <w:rFonts w:eastAsia="Arial Narrow" w:cs="Arial Narrow"/>
          <w:szCs w:val="18"/>
        </w:rPr>
        <w:t>lucose; RT-CGM</w:t>
      </w:r>
      <w:r w:rsidR="0099618C">
        <w:rPr>
          <w:rFonts w:eastAsia="Arial Narrow" w:cs="Arial Narrow"/>
          <w:szCs w:val="18"/>
        </w:rPr>
        <w:t xml:space="preserve"> =</w:t>
      </w:r>
      <w:r w:rsidR="0099618C" w:rsidRPr="3C378D00">
        <w:rPr>
          <w:rFonts w:eastAsia="Arial Narrow" w:cs="Arial Narrow"/>
          <w:szCs w:val="18"/>
        </w:rPr>
        <w:t xml:space="preserve"> </w:t>
      </w:r>
      <w:r w:rsidR="00D52739">
        <w:rPr>
          <w:rFonts w:eastAsia="Arial Narrow" w:cs="Arial Narrow"/>
          <w:szCs w:val="18"/>
        </w:rPr>
        <w:t>r</w:t>
      </w:r>
      <w:r w:rsidR="0099618C" w:rsidRPr="3C378D00">
        <w:rPr>
          <w:rFonts w:eastAsia="Arial Narrow" w:cs="Arial Narrow"/>
          <w:szCs w:val="18"/>
        </w:rPr>
        <w:t>eal-</w:t>
      </w:r>
      <w:r w:rsidR="00D52739">
        <w:rPr>
          <w:rFonts w:eastAsia="Arial Narrow" w:cs="Arial Narrow"/>
          <w:szCs w:val="18"/>
        </w:rPr>
        <w:t>t</w:t>
      </w:r>
      <w:r w:rsidR="0099618C" w:rsidRPr="3C378D00">
        <w:rPr>
          <w:rFonts w:eastAsia="Arial Narrow" w:cs="Arial Narrow"/>
          <w:szCs w:val="18"/>
        </w:rPr>
        <w:t xml:space="preserve">ime </w:t>
      </w:r>
      <w:r w:rsidR="00D52739">
        <w:rPr>
          <w:rFonts w:eastAsia="Arial Narrow" w:cs="Arial Narrow"/>
          <w:szCs w:val="18"/>
        </w:rPr>
        <w:t>c</w:t>
      </w:r>
      <w:r w:rsidR="0099618C" w:rsidRPr="3C378D00">
        <w:rPr>
          <w:rFonts w:eastAsia="Arial Narrow" w:cs="Arial Narrow"/>
          <w:szCs w:val="18"/>
        </w:rPr>
        <w:t xml:space="preserve">ontinuous </w:t>
      </w:r>
      <w:r w:rsidR="00D52739">
        <w:rPr>
          <w:rFonts w:eastAsia="Arial Narrow" w:cs="Arial Narrow"/>
          <w:szCs w:val="18"/>
        </w:rPr>
        <w:t>g</w:t>
      </w:r>
      <w:r w:rsidR="0099618C" w:rsidRPr="3C378D00">
        <w:rPr>
          <w:rFonts w:eastAsia="Arial Narrow" w:cs="Arial Narrow"/>
          <w:szCs w:val="18"/>
        </w:rPr>
        <w:t xml:space="preserve">lucose </w:t>
      </w:r>
      <w:r w:rsidR="00D52739">
        <w:rPr>
          <w:rFonts w:eastAsia="Arial Narrow" w:cs="Arial Narrow"/>
          <w:szCs w:val="18"/>
        </w:rPr>
        <w:t>m</w:t>
      </w:r>
      <w:r w:rsidR="0099618C" w:rsidRPr="3C378D00">
        <w:rPr>
          <w:rFonts w:eastAsia="Arial Narrow" w:cs="Arial Narrow"/>
          <w:szCs w:val="18"/>
        </w:rPr>
        <w:t>onitoring</w:t>
      </w:r>
      <w:r w:rsidR="0099618C">
        <w:rPr>
          <w:rFonts w:eastAsia="Arial Narrow" w:cs="Arial Narrow"/>
          <w:szCs w:val="18"/>
        </w:rPr>
        <w:t>; T2D = type 2 diabetes; v10= version 10.</w:t>
      </w:r>
    </w:p>
    <w:p w14:paraId="52BDB375" w14:textId="628D3616" w:rsidR="00C46238" w:rsidRPr="00C46238" w:rsidRDefault="00C46238" w:rsidP="00A95451">
      <w:pPr>
        <w:pStyle w:val="TableFooter"/>
        <w:rPr>
          <w:lang w:eastAsia="en-AU"/>
        </w:rPr>
      </w:pPr>
      <w:r w:rsidRPr="00A95451">
        <w:rPr>
          <w:b/>
          <w:bCs/>
          <w:lang w:eastAsia="en-AU"/>
        </w:rPr>
        <w:t>Source:</w:t>
      </w:r>
      <w:r>
        <w:rPr>
          <w:lang w:eastAsia="en-AU"/>
        </w:rPr>
        <w:t xml:space="preserve"> </w:t>
      </w:r>
      <w:r w:rsidR="00C81E0C" w:rsidRPr="00C81E0C">
        <w:rPr>
          <w:lang w:eastAsia="en-AU"/>
        </w:rPr>
        <w:t>Adapted from Table </w:t>
      </w:r>
      <w:r w:rsidR="00EC2FF2">
        <w:rPr>
          <w:lang w:eastAsia="en-AU"/>
        </w:rPr>
        <w:t>25</w:t>
      </w:r>
      <w:r w:rsidR="00C81E0C" w:rsidRPr="00C81E0C">
        <w:rPr>
          <w:lang w:eastAsia="en-AU"/>
        </w:rPr>
        <w:t>, p</w:t>
      </w:r>
      <w:r w:rsidR="00EC2FF2">
        <w:rPr>
          <w:lang w:eastAsia="en-AU"/>
        </w:rPr>
        <w:t>78</w:t>
      </w:r>
      <w:r w:rsidR="00C81E0C" w:rsidRPr="00C81E0C">
        <w:rPr>
          <w:lang w:eastAsia="en-AU"/>
        </w:rPr>
        <w:t> of the MSAC 17</w:t>
      </w:r>
      <w:r w:rsidR="00680D0A">
        <w:rPr>
          <w:lang w:eastAsia="en-AU"/>
        </w:rPr>
        <w:t>85</w:t>
      </w:r>
      <w:r w:rsidR="00C81E0C" w:rsidRPr="00C81E0C">
        <w:rPr>
          <w:lang w:eastAsia="en-AU"/>
        </w:rPr>
        <w:t> ADAR</w:t>
      </w:r>
      <w:r w:rsidR="00A95451">
        <w:rPr>
          <w:lang w:eastAsia="en-AU"/>
        </w:rPr>
        <w:t xml:space="preserve"> </w:t>
      </w:r>
      <w:r w:rsidR="00C81E0C" w:rsidRPr="00C81E0C">
        <w:rPr>
          <w:lang w:eastAsia="en-AU"/>
        </w:rPr>
        <w:t>+</w:t>
      </w:r>
      <w:r w:rsidR="00A95451">
        <w:rPr>
          <w:lang w:eastAsia="en-AU"/>
        </w:rPr>
        <w:t xml:space="preserve"> </w:t>
      </w:r>
      <w:r w:rsidR="00C81E0C" w:rsidRPr="00C81E0C">
        <w:rPr>
          <w:lang w:eastAsia="en-AU"/>
        </w:rPr>
        <w:t>in-line commentary</w:t>
      </w:r>
      <w:r w:rsidR="00A95451">
        <w:rPr>
          <w:lang w:eastAsia="en-AU"/>
        </w:rPr>
        <w:t>.</w:t>
      </w:r>
      <w:r w:rsidR="00C81E0C" w:rsidRPr="00C81E0C">
        <w:rPr>
          <w:lang w:eastAsia="en-AU"/>
        </w:rPr>
        <w:t> </w:t>
      </w:r>
    </w:p>
    <w:p w14:paraId="3A922445" w14:textId="4F84ECA9" w:rsidR="00DE398F" w:rsidRPr="007D2073" w:rsidRDefault="00DE398F" w:rsidP="00DE398F">
      <w:pPr>
        <w:pStyle w:val="Instructionaltext-afterfiguretable"/>
        <w:rPr>
          <w:color w:val="auto"/>
        </w:rPr>
      </w:pPr>
      <w:r w:rsidRPr="007D2073">
        <w:rPr>
          <w:color w:val="auto"/>
        </w:rPr>
        <w:t>The use of Dexcom ONE+ was based on data from the G</w:t>
      </w:r>
      <w:r w:rsidR="00C17777" w:rsidRPr="007D2073">
        <w:rPr>
          <w:color w:val="auto"/>
        </w:rPr>
        <w:t>4</w:t>
      </w:r>
      <w:r w:rsidR="00C21388" w:rsidRPr="007D2073">
        <w:rPr>
          <w:color w:val="auto"/>
        </w:rPr>
        <w:t>-Plat</w:t>
      </w:r>
      <w:r w:rsidR="00CA23E6" w:rsidRPr="007D2073">
        <w:rPr>
          <w:color w:val="auto"/>
        </w:rPr>
        <w:t>inum</w:t>
      </w:r>
      <w:r w:rsidR="00AE1BCD" w:rsidRPr="007D2073">
        <w:rPr>
          <w:color w:val="auto"/>
        </w:rPr>
        <w:t xml:space="preserve"> </w:t>
      </w:r>
      <w:r w:rsidR="00A946DA" w:rsidRPr="007D2073">
        <w:rPr>
          <w:color w:val="auto"/>
        </w:rPr>
        <w:t>(</w:t>
      </w:r>
      <w:r w:rsidR="009B7483" w:rsidRPr="007D2073">
        <w:rPr>
          <w:color w:val="auto"/>
        </w:rPr>
        <w:t>DIAMOND</w:t>
      </w:r>
      <w:r w:rsidR="003E6A63" w:rsidRPr="007D2073">
        <w:rPr>
          <w:color w:val="auto"/>
        </w:rPr>
        <w:t xml:space="preserve"> tria</w:t>
      </w:r>
      <w:r w:rsidR="003E6A63" w:rsidRPr="000D0E40">
        <w:rPr>
          <w:color w:val="auto"/>
        </w:rPr>
        <w:t>l</w:t>
      </w:r>
      <w:r w:rsidR="007656FE" w:rsidRPr="000D0E40">
        <w:rPr>
          <w:color w:val="auto"/>
        </w:rPr>
        <w:fldChar w:fldCharType="begin"/>
      </w:r>
      <w:r w:rsidR="007656FE" w:rsidRPr="000D0E40">
        <w:rPr>
          <w:color w:val="auto"/>
        </w:rPr>
        <w:instrText xml:space="preserve"> NOTEREF _Ref226546296 \f \h </w:instrText>
      </w:r>
      <w:r w:rsidR="007656FE" w:rsidRPr="000D0E40">
        <w:rPr>
          <w:color w:val="auto"/>
        </w:rPr>
      </w:r>
      <w:r w:rsidR="007656FE" w:rsidRPr="000D0E40">
        <w:rPr>
          <w:color w:val="auto"/>
        </w:rPr>
        <w:fldChar w:fldCharType="separate"/>
      </w:r>
      <w:r w:rsidR="0098516D" w:rsidRPr="000D0E40">
        <w:rPr>
          <w:rStyle w:val="FootnoteReference"/>
          <w:color w:val="auto"/>
        </w:rPr>
        <w:t>8</w:t>
      </w:r>
      <w:r w:rsidR="007656FE" w:rsidRPr="000D0E40">
        <w:rPr>
          <w:color w:val="auto"/>
        </w:rPr>
        <w:fldChar w:fldCharType="end"/>
      </w:r>
      <w:r w:rsidR="009B7483" w:rsidRPr="007D2073">
        <w:rPr>
          <w:color w:val="auto"/>
        </w:rPr>
        <w:t>)</w:t>
      </w:r>
      <w:r w:rsidR="005C018D" w:rsidRPr="007D2073">
        <w:rPr>
          <w:color w:val="auto"/>
        </w:rPr>
        <w:t xml:space="preserve"> and </w:t>
      </w:r>
      <w:r w:rsidR="00FE6EB4" w:rsidRPr="007D2073">
        <w:rPr>
          <w:color w:val="auto"/>
        </w:rPr>
        <w:t>G6</w:t>
      </w:r>
      <w:r w:rsidR="00B2480C" w:rsidRPr="007D2073">
        <w:rPr>
          <w:color w:val="auto"/>
        </w:rPr>
        <w:t xml:space="preserve"> RT-CGM (MOBILE trial</w:t>
      </w:r>
      <w:r w:rsidR="003E6A63" w:rsidRPr="000D0E40">
        <w:rPr>
          <w:color w:val="auto"/>
        </w:rPr>
        <w:fldChar w:fldCharType="begin"/>
      </w:r>
      <w:r w:rsidR="003E6A63" w:rsidRPr="000D0E40">
        <w:rPr>
          <w:color w:val="auto"/>
        </w:rPr>
        <w:instrText xml:space="preserve"> NOTEREF _Ref226546980 \f \h </w:instrText>
      </w:r>
      <w:r w:rsidR="003E6A63" w:rsidRPr="000D0E40">
        <w:rPr>
          <w:color w:val="auto"/>
        </w:rPr>
      </w:r>
      <w:r w:rsidR="003E6A63" w:rsidRPr="000D0E40">
        <w:rPr>
          <w:color w:val="auto"/>
        </w:rPr>
        <w:fldChar w:fldCharType="separate"/>
      </w:r>
      <w:r w:rsidR="0098516D" w:rsidRPr="000D0E40">
        <w:rPr>
          <w:rStyle w:val="FootnoteReference"/>
          <w:color w:val="auto"/>
        </w:rPr>
        <w:t>9</w:t>
      </w:r>
      <w:r w:rsidR="003E6A63" w:rsidRPr="000D0E40">
        <w:rPr>
          <w:color w:val="auto"/>
        </w:rPr>
        <w:fldChar w:fldCharType="end"/>
      </w:r>
      <w:r w:rsidR="00B2480C" w:rsidRPr="000D0E40">
        <w:rPr>
          <w:color w:val="auto"/>
        </w:rPr>
        <w:t>)</w:t>
      </w:r>
      <w:r w:rsidRPr="000D0E40">
        <w:rPr>
          <w:color w:val="auto"/>
        </w:rPr>
        <w:t xml:space="preserve">, </w:t>
      </w:r>
      <w:r w:rsidRPr="007D2073">
        <w:rPr>
          <w:color w:val="auto"/>
        </w:rPr>
        <w:t xml:space="preserve">which </w:t>
      </w:r>
      <w:r w:rsidR="00CE49F5">
        <w:rPr>
          <w:color w:val="auto"/>
        </w:rPr>
        <w:t xml:space="preserve">are Dexcom CGM systems that </w:t>
      </w:r>
      <w:r w:rsidRPr="007D2073">
        <w:rPr>
          <w:color w:val="auto"/>
        </w:rPr>
        <w:t>offer broader integration with insulin pumps and automated insulin delivery systems</w:t>
      </w:r>
      <w:r w:rsidR="005B4955">
        <w:rPr>
          <w:color w:val="auto"/>
        </w:rPr>
        <w:t xml:space="preserve">. </w:t>
      </w:r>
      <w:r w:rsidRPr="007D2073">
        <w:rPr>
          <w:color w:val="auto"/>
        </w:rPr>
        <w:t>Dexcom ONE+ is primarily focused on CGM without advanced connectivity options. This may introduce uncertainty in terms of treatment effectiveness</w:t>
      </w:r>
      <w:r w:rsidR="005B4955">
        <w:rPr>
          <w:color w:val="auto"/>
        </w:rPr>
        <w:t>. A</w:t>
      </w:r>
      <w:r w:rsidRPr="007D2073">
        <w:rPr>
          <w:color w:val="auto"/>
        </w:rPr>
        <w:t>s such, the outcome should be interpreted with caution when informing decision making.</w:t>
      </w:r>
      <w:r w:rsidRPr="007D2073">
        <w:rPr>
          <w:i/>
          <w:iCs/>
          <w:color w:val="auto"/>
        </w:rPr>
        <w:t xml:space="preserve">  </w:t>
      </w:r>
    </w:p>
    <w:p w14:paraId="1386511F" w14:textId="77777777" w:rsidR="00DE398F" w:rsidRPr="00302E12" w:rsidRDefault="00DE398F" w:rsidP="00DE398F">
      <w:pPr>
        <w:pStyle w:val="Instructionaltext-afterfiguretable"/>
        <w:rPr>
          <w:b/>
          <w:bCs/>
          <w:color w:val="auto"/>
        </w:rPr>
      </w:pPr>
      <w:r w:rsidRPr="00302E12">
        <w:rPr>
          <w:b/>
          <w:bCs/>
          <w:color w:val="auto"/>
        </w:rPr>
        <w:lastRenderedPageBreak/>
        <w:t>Transition probabilities and extrapolation</w:t>
      </w:r>
    </w:p>
    <w:p w14:paraId="5B9FDD83" w14:textId="277F380D" w:rsidR="00684C3D" w:rsidRPr="007D2073" w:rsidRDefault="00DE398F" w:rsidP="00DE398F">
      <w:pPr>
        <w:pStyle w:val="Instructionaltext-afterfiguretable"/>
        <w:rPr>
          <w:color w:val="auto"/>
        </w:rPr>
      </w:pPr>
      <w:r w:rsidRPr="00302E12">
        <w:rPr>
          <w:color w:val="auto"/>
        </w:rPr>
        <w:t xml:space="preserve">The </w:t>
      </w:r>
      <w:r w:rsidRPr="007D2073">
        <w:rPr>
          <w:color w:val="auto"/>
        </w:rPr>
        <w:t xml:space="preserve">revised base case analysis for both subpopulations used the UKPDS-82 cardiovascular (CV) risk equation as well as </w:t>
      </w:r>
      <w:r w:rsidR="005B4955">
        <w:rPr>
          <w:color w:val="auto"/>
        </w:rPr>
        <w:t xml:space="preserve">the </w:t>
      </w:r>
      <w:r w:rsidRPr="007D2073">
        <w:rPr>
          <w:color w:val="auto"/>
        </w:rPr>
        <w:t xml:space="preserve">Fremantle CV </w:t>
      </w:r>
      <w:r w:rsidR="005B4955">
        <w:rPr>
          <w:color w:val="auto"/>
        </w:rPr>
        <w:t>r</w:t>
      </w:r>
      <w:r w:rsidRPr="007D2073">
        <w:rPr>
          <w:color w:val="auto"/>
        </w:rPr>
        <w:t xml:space="preserve">isk </w:t>
      </w:r>
      <w:r w:rsidR="005B4955">
        <w:rPr>
          <w:color w:val="auto"/>
        </w:rPr>
        <w:t>e</w:t>
      </w:r>
      <w:r w:rsidRPr="007D2073">
        <w:rPr>
          <w:color w:val="auto"/>
        </w:rPr>
        <w:t>quation</w:t>
      </w:r>
      <w:r w:rsidR="00907611" w:rsidRPr="007D2073">
        <w:rPr>
          <w:rStyle w:val="FootnoteReference"/>
          <w:color w:val="auto"/>
        </w:rPr>
        <w:footnoteReference w:id="10"/>
      </w:r>
      <w:r w:rsidRPr="007D2073">
        <w:rPr>
          <w:color w:val="auto"/>
        </w:rPr>
        <w:t xml:space="preserve"> and presented the base case results separately. Similarly, mortality risk equation includes the UKPDS </w:t>
      </w:r>
      <w:r w:rsidR="005B4955">
        <w:rPr>
          <w:color w:val="auto"/>
        </w:rPr>
        <w:t>r</w:t>
      </w:r>
      <w:r w:rsidRPr="007D2073">
        <w:rPr>
          <w:color w:val="auto"/>
        </w:rPr>
        <w:t xml:space="preserve">isk </w:t>
      </w:r>
      <w:r w:rsidR="005B4955">
        <w:rPr>
          <w:color w:val="auto"/>
        </w:rPr>
        <w:t>e</w:t>
      </w:r>
      <w:r w:rsidRPr="007D2073">
        <w:rPr>
          <w:color w:val="auto"/>
        </w:rPr>
        <w:t xml:space="preserve">quation for mortality (in combination with the UKPDS-82 CV </w:t>
      </w:r>
      <w:r w:rsidR="005B4955">
        <w:rPr>
          <w:color w:val="auto"/>
        </w:rPr>
        <w:t>r</w:t>
      </w:r>
      <w:r w:rsidRPr="007D2073">
        <w:rPr>
          <w:color w:val="auto"/>
        </w:rPr>
        <w:t xml:space="preserve">isk </w:t>
      </w:r>
      <w:r w:rsidR="005B4955">
        <w:rPr>
          <w:color w:val="auto"/>
        </w:rPr>
        <w:t>e</w:t>
      </w:r>
      <w:r w:rsidRPr="007D2073">
        <w:rPr>
          <w:color w:val="auto"/>
        </w:rPr>
        <w:t xml:space="preserve">quation) as well as </w:t>
      </w:r>
      <w:r w:rsidR="005B4955">
        <w:rPr>
          <w:color w:val="auto"/>
        </w:rPr>
        <w:t>the r</w:t>
      </w:r>
      <w:r w:rsidRPr="007D2073">
        <w:rPr>
          <w:color w:val="auto"/>
        </w:rPr>
        <w:t xml:space="preserve">isk </w:t>
      </w:r>
      <w:r w:rsidR="005B4955">
        <w:rPr>
          <w:color w:val="auto"/>
        </w:rPr>
        <w:t>e</w:t>
      </w:r>
      <w:r w:rsidRPr="007D2073">
        <w:rPr>
          <w:color w:val="auto"/>
        </w:rPr>
        <w:t xml:space="preserve">quation published by Hayes </w:t>
      </w:r>
      <w:r w:rsidR="00A04E21" w:rsidRPr="007D2073">
        <w:rPr>
          <w:color w:val="auto"/>
        </w:rPr>
        <w:t>et al</w:t>
      </w:r>
      <w:r w:rsidR="00412242" w:rsidRPr="007D2073">
        <w:rPr>
          <w:color w:val="auto"/>
        </w:rPr>
        <w:t xml:space="preserve"> in </w:t>
      </w:r>
      <w:r w:rsidR="0097680B" w:rsidRPr="007D2073">
        <w:rPr>
          <w:color w:val="auto"/>
        </w:rPr>
        <w:t>2013</w:t>
      </w:r>
      <w:r w:rsidR="007D1DB1" w:rsidRPr="007D2073">
        <w:rPr>
          <w:rStyle w:val="FootnoteReference"/>
          <w:color w:val="auto"/>
        </w:rPr>
        <w:footnoteReference w:id="11"/>
      </w:r>
      <w:r w:rsidRPr="007D2073">
        <w:rPr>
          <w:color w:val="auto"/>
        </w:rPr>
        <w:t xml:space="preserve"> (in combination with the Fremantle CV </w:t>
      </w:r>
      <w:r w:rsidR="005B4955">
        <w:rPr>
          <w:color w:val="auto"/>
        </w:rPr>
        <w:t>r</w:t>
      </w:r>
      <w:r w:rsidRPr="007D2073">
        <w:rPr>
          <w:color w:val="auto"/>
        </w:rPr>
        <w:t xml:space="preserve">isk </w:t>
      </w:r>
      <w:r w:rsidR="005B4955">
        <w:rPr>
          <w:color w:val="auto"/>
        </w:rPr>
        <w:t>e</w:t>
      </w:r>
      <w:r w:rsidRPr="007D2073">
        <w:rPr>
          <w:color w:val="auto"/>
        </w:rPr>
        <w:t>quation).</w:t>
      </w:r>
      <w:r w:rsidR="005B4955">
        <w:rPr>
          <w:color w:val="auto"/>
        </w:rPr>
        <w:t xml:space="preserve"> A</w:t>
      </w:r>
      <w:r w:rsidR="00CD1BA8">
        <w:rPr>
          <w:color w:val="auto"/>
        </w:rPr>
        <w:t>dditional descriptions of these risk calculation</w:t>
      </w:r>
      <w:r w:rsidR="00684C3D">
        <w:rPr>
          <w:color w:val="auto"/>
        </w:rPr>
        <w:t>s</w:t>
      </w:r>
      <w:r w:rsidR="00CD1BA8">
        <w:rPr>
          <w:color w:val="auto"/>
        </w:rPr>
        <w:t xml:space="preserve"> </w:t>
      </w:r>
      <w:r w:rsidR="005B4955">
        <w:rPr>
          <w:color w:val="auto"/>
        </w:rPr>
        <w:t>were</w:t>
      </w:r>
      <w:r w:rsidR="00CD1BA8">
        <w:rPr>
          <w:color w:val="auto"/>
        </w:rPr>
        <w:t xml:space="preserve"> </w:t>
      </w:r>
      <w:r w:rsidR="00085A0E">
        <w:rPr>
          <w:color w:val="auto"/>
        </w:rPr>
        <w:t>included in the resubmission</w:t>
      </w:r>
      <w:r w:rsidR="00684C3D">
        <w:rPr>
          <w:color w:val="auto"/>
        </w:rPr>
        <w:t>,</w:t>
      </w:r>
      <w:r w:rsidR="00085A0E">
        <w:rPr>
          <w:color w:val="auto"/>
        </w:rPr>
        <w:t xml:space="preserve"> </w:t>
      </w:r>
      <w:r w:rsidR="00684C3D">
        <w:rPr>
          <w:color w:val="auto"/>
        </w:rPr>
        <w:t xml:space="preserve">which </w:t>
      </w:r>
      <w:r w:rsidR="00084D91">
        <w:rPr>
          <w:color w:val="auto"/>
        </w:rPr>
        <w:t xml:space="preserve">the commentary </w:t>
      </w:r>
      <w:r w:rsidR="00684C3D">
        <w:rPr>
          <w:color w:val="auto"/>
        </w:rPr>
        <w:t>considered reasonable.</w:t>
      </w:r>
    </w:p>
    <w:p w14:paraId="730D5B35" w14:textId="1F321D8E" w:rsidR="00DE398F" w:rsidRPr="00302E12" w:rsidRDefault="00DE398F" w:rsidP="00DE398F">
      <w:pPr>
        <w:pStyle w:val="Instructionaltext-afterfiguretable"/>
        <w:spacing w:before="0"/>
        <w:rPr>
          <w:color w:val="auto"/>
        </w:rPr>
      </w:pPr>
      <w:r w:rsidRPr="007D2073">
        <w:rPr>
          <w:color w:val="auto"/>
        </w:rPr>
        <w:t xml:space="preserve">For </w:t>
      </w:r>
      <w:r w:rsidR="0066027C">
        <w:rPr>
          <w:color w:val="auto"/>
        </w:rPr>
        <w:t xml:space="preserve">the </w:t>
      </w:r>
      <w:r w:rsidRPr="007D2073">
        <w:rPr>
          <w:color w:val="auto"/>
        </w:rPr>
        <w:t>IIT subpopulation, the revised base case analysis used clinical data from the DIAMOND</w:t>
      </w:r>
      <w:r w:rsidR="008F78C3" w:rsidRPr="007D2073">
        <w:rPr>
          <w:color w:val="auto"/>
        </w:rPr>
        <w:t xml:space="preserve"> trial</w:t>
      </w:r>
      <w:r w:rsidR="00CF0BCB" w:rsidRPr="000D0E40">
        <w:rPr>
          <w:color w:val="auto"/>
        </w:rPr>
        <w:t>,</w:t>
      </w:r>
      <w:r w:rsidR="00A338DB" w:rsidRPr="000D0E40">
        <w:rPr>
          <w:color w:val="auto"/>
        </w:rPr>
        <w:fldChar w:fldCharType="begin"/>
      </w:r>
      <w:r w:rsidR="00A338DB" w:rsidRPr="000D0E40">
        <w:rPr>
          <w:color w:val="auto"/>
        </w:rPr>
        <w:instrText xml:space="preserve"> NOTEREF _Ref226546296 \f \h </w:instrText>
      </w:r>
      <w:r w:rsidR="00A338DB" w:rsidRPr="000D0E40">
        <w:rPr>
          <w:color w:val="auto"/>
        </w:rPr>
      </w:r>
      <w:r w:rsidR="00A338DB" w:rsidRPr="000D0E40">
        <w:rPr>
          <w:color w:val="auto"/>
        </w:rPr>
        <w:fldChar w:fldCharType="separate"/>
      </w:r>
      <w:r w:rsidR="0098516D" w:rsidRPr="000D0E40">
        <w:rPr>
          <w:rStyle w:val="FootnoteReference"/>
          <w:color w:val="auto"/>
        </w:rPr>
        <w:t>8</w:t>
      </w:r>
      <w:r w:rsidR="00A338DB" w:rsidRPr="000D0E40">
        <w:rPr>
          <w:color w:val="auto"/>
        </w:rPr>
        <w:fldChar w:fldCharType="end"/>
      </w:r>
      <w:r w:rsidR="003A5328" w:rsidRPr="000D0E40">
        <w:rPr>
          <w:color w:val="auto"/>
        </w:rPr>
        <w:t xml:space="preserve"> </w:t>
      </w:r>
      <w:r w:rsidR="003A5328">
        <w:rPr>
          <w:color w:val="auto"/>
        </w:rPr>
        <w:t>from which</w:t>
      </w:r>
      <w:r w:rsidRPr="007D2073">
        <w:rPr>
          <w:color w:val="auto"/>
        </w:rPr>
        <w:t xml:space="preserve"> the adjusted mean difference between RT-CGM and SMBG</w:t>
      </w:r>
      <w:r w:rsidR="00CF0BCB">
        <w:rPr>
          <w:color w:val="auto"/>
        </w:rPr>
        <w:t>—</w:t>
      </w:r>
      <w:r w:rsidRPr="007D2073">
        <w:rPr>
          <w:color w:val="auto"/>
        </w:rPr>
        <w:t>HbA1c reduction of −0.3% (net change in HbA1c) in the RT-CGM arm</w:t>
      </w:r>
      <w:r w:rsidR="00CF0BCB">
        <w:rPr>
          <w:color w:val="auto"/>
        </w:rPr>
        <w:t>—</w:t>
      </w:r>
      <w:r w:rsidRPr="007D2073">
        <w:rPr>
          <w:color w:val="auto"/>
        </w:rPr>
        <w:t>was applied. The duration of the RT-CGM treatment effect is sustained for 7 years</w:t>
      </w:r>
      <w:r w:rsidR="00D63358">
        <w:rPr>
          <w:color w:val="auto"/>
        </w:rPr>
        <w:t>, as indicated by the COM</w:t>
      </w:r>
      <w:r w:rsidR="00F65EC9">
        <w:rPr>
          <w:color w:val="auto"/>
        </w:rPr>
        <w:t>ISAIR trial</w:t>
      </w:r>
      <w:r w:rsidR="00F713DC">
        <w:rPr>
          <w:color w:val="auto"/>
        </w:rPr>
        <w:t>,</w:t>
      </w:r>
      <w:r w:rsidR="006952D7" w:rsidRPr="00007DA7">
        <w:rPr>
          <w:color w:val="auto"/>
          <w:vertAlign w:val="superscript"/>
        </w:rPr>
        <w:fldChar w:fldCharType="begin"/>
      </w:r>
      <w:r w:rsidR="006952D7" w:rsidRPr="00007DA7">
        <w:rPr>
          <w:color w:val="auto"/>
          <w:vertAlign w:val="superscript"/>
        </w:rPr>
        <w:instrText xml:space="preserve"> NOTEREF _Ref228440153 \h </w:instrText>
      </w:r>
      <w:r w:rsidR="006952D7">
        <w:rPr>
          <w:color w:val="auto"/>
          <w:vertAlign w:val="superscript"/>
        </w:rPr>
        <w:instrText xml:space="preserve"> \* MERGEFORMAT </w:instrText>
      </w:r>
      <w:r w:rsidR="006952D7" w:rsidRPr="00007DA7">
        <w:rPr>
          <w:color w:val="auto"/>
          <w:vertAlign w:val="superscript"/>
        </w:rPr>
      </w:r>
      <w:r w:rsidR="006952D7" w:rsidRPr="00007DA7">
        <w:rPr>
          <w:color w:val="auto"/>
          <w:vertAlign w:val="superscript"/>
        </w:rPr>
        <w:fldChar w:fldCharType="separate"/>
      </w:r>
      <w:r w:rsidR="0098516D">
        <w:rPr>
          <w:color w:val="auto"/>
          <w:vertAlign w:val="superscript"/>
        </w:rPr>
        <w:t>14</w:t>
      </w:r>
      <w:r w:rsidR="006952D7" w:rsidRPr="00007DA7">
        <w:rPr>
          <w:color w:val="auto"/>
          <w:vertAlign w:val="superscript"/>
        </w:rPr>
        <w:fldChar w:fldCharType="end"/>
      </w:r>
      <w:r w:rsidRPr="007D2073">
        <w:rPr>
          <w:color w:val="auto"/>
        </w:rPr>
        <w:t xml:space="preserve"> while HbA1c progression in the SMBG arm remains constant </w:t>
      </w:r>
      <w:r w:rsidR="00F713DC">
        <w:rPr>
          <w:color w:val="auto"/>
        </w:rPr>
        <w:t>over</w:t>
      </w:r>
      <w:r w:rsidR="00F713DC" w:rsidRPr="007D2073">
        <w:rPr>
          <w:color w:val="auto"/>
        </w:rPr>
        <w:t xml:space="preserve"> </w:t>
      </w:r>
      <w:r w:rsidRPr="007D2073">
        <w:rPr>
          <w:color w:val="auto"/>
        </w:rPr>
        <w:t xml:space="preserve">the same </w:t>
      </w:r>
      <w:r w:rsidRPr="00302E12">
        <w:rPr>
          <w:color w:val="auto"/>
        </w:rPr>
        <w:t xml:space="preserve">period. The long-term increase of HbA1c </w:t>
      </w:r>
      <w:r w:rsidR="00F77302">
        <w:rPr>
          <w:color w:val="auto"/>
        </w:rPr>
        <w:t xml:space="preserve">(0.05%) </w:t>
      </w:r>
      <w:r w:rsidRPr="00302E12">
        <w:rPr>
          <w:color w:val="auto"/>
        </w:rPr>
        <w:t>in the SMBG and RT-CGM arm</w:t>
      </w:r>
      <w:r w:rsidR="003A64A6">
        <w:rPr>
          <w:color w:val="auto"/>
        </w:rPr>
        <w:t>s</w:t>
      </w:r>
      <w:r w:rsidRPr="00302E12">
        <w:rPr>
          <w:color w:val="auto"/>
        </w:rPr>
        <w:t xml:space="preserve"> after 7 years is </w:t>
      </w:r>
      <w:r w:rsidR="00F77302">
        <w:rPr>
          <w:color w:val="auto"/>
        </w:rPr>
        <w:t xml:space="preserve">assumed to be </w:t>
      </w:r>
      <w:r w:rsidRPr="00302E12">
        <w:rPr>
          <w:color w:val="auto"/>
        </w:rPr>
        <w:t xml:space="preserve">identical. However, long-term data are </w:t>
      </w:r>
      <w:r w:rsidR="007C2D4B">
        <w:rPr>
          <w:color w:val="auto"/>
        </w:rPr>
        <w:t>un</w:t>
      </w:r>
      <w:r w:rsidRPr="00302E12">
        <w:rPr>
          <w:color w:val="auto"/>
        </w:rPr>
        <w:t>available in the T2D population</w:t>
      </w:r>
      <w:r w:rsidR="004C5BF4">
        <w:rPr>
          <w:color w:val="auto"/>
        </w:rPr>
        <w:t>. T</w:t>
      </w:r>
      <w:r w:rsidRPr="00302E12">
        <w:rPr>
          <w:color w:val="auto"/>
        </w:rPr>
        <w:t xml:space="preserve">he HbA1c effect of RT-CGM has been shown to be maintained for upwards of </w:t>
      </w:r>
      <w:r w:rsidR="00B421BF">
        <w:rPr>
          <w:color w:val="auto"/>
        </w:rPr>
        <w:t>7</w:t>
      </w:r>
      <w:r w:rsidRPr="00302E12">
        <w:rPr>
          <w:color w:val="auto"/>
        </w:rPr>
        <w:t xml:space="preserve"> </w:t>
      </w:r>
      <w:r w:rsidRPr="000E2889">
        <w:rPr>
          <w:color w:val="auto"/>
        </w:rPr>
        <w:t>years</w:t>
      </w:r>
      <w:r w:rsidRPr="00302E12">
        <w:rPr>
          <w:color w:val="auto"/>
        </w:rPr>
        <w:t xml:space="preserve"> in at least </w:t>
      </w:r>
      <w:r w:rsidR="009D39E3">
        <w:rPr>
          <w:color w:val="auto"/>
        </w:rPr>
        <w:t>2</w:t>
      </w:r>
      <w:r w:rsidR="009D39E3" w:rsidRPr="00302E12">
        <w:rPr>
          <w:color w:val="auto"/>
        </w:rPr>
        <w:t xml:space="preserve"> </w:t>
      </w:r>
      <w:r w:rsidRPr="00302E12">
        <w:rPr>
          <w:color w:val="auto"/>
        </w:rPr>
        <w:t>different T1D populations</w:t>
      </w:r>
      <w:r w:rsidR="0088692F">
        <w:rPr>
          <w:color w:val="auto"/>
        </w:rPr>
        <w:t>,</w:t>
      </w:r>
      <w:r w:rsidR="0007523A">
        <w:rPr>
          <w:rStyle w:val="FootnoteReference"/>
          <w:color w:val="auto"/>
        </w:rPr>
        <w:footnoteReference w:id="12"/>
      </w:r>
      <w:r w:rsidR="00302A5E" w:rsidRPr="00302A5E">
        <w:rPr>
          <w:color w:val="auto"/>
          <w:vertAlign w:val="superscript"/>
        </w:rPr>
        <w:t>,</w:t>
      </w:r>
      <w:r w:rsidR="00302A5E">
        <w:rPr>
          <w:rStyle w:val="FootnoteReference"/>
          <w:color w:val="auto"/>
        </w:rPr>
        <w:footnoteReference w:id="13"/>
      </w:r>
      <w:r w:rsidRPr="00302E12">
        <w:rPr>
          <w:color w:val="auto"/>
        </w:rPr>
        <w:t xml:space="preserve"> with the COMISAIR study</w:t>
      </w:r>
      <w:bookmarkStart w:id="43" w:name="_Ref228440153"/>
      <w:r w:rsidR="003945E8">
        <w:rPr>
          <w:rStyle w:val="FootnoteReference"/>
          <w:color w:val="auto"/>
        </w:rPr>
        <w:footnoteReference w:id="14"/>
      </w:r>
      <w:bookmarkEnd w:id="43"/>
      <w:r w:rsidRPr="00302E12">
        <w:rPr>
          <w:color w:val="auto"/>
        </w:rPr>
        <w:t xml:space="preserve"> reporting similar characteristics to the proposed IIT subpopulation. Further, two hypothetical scenarios were </w:t>
      </w:r>
      <w:r w:rsidR="0027507F">
        <w:rPr>
          <w:color w:val="auto"/>
        </w:rPr>
        <w:t>evaluated</w:t>
      </w:r>
      <w:r w:rsidR="0037591B">
        <w:rPr>
          <w:color w:val="auto"/>
        </w:rPr>
        <w:t>:</w:t>
      </w:r>
      <w:r w:rsidR="00355EF5">
        <w:rPr>
          <w:color w:val="auto"/>
        </w:rPr>
        <w:t xml:space="preserve"> a</w:t>
      </w:r>
      <w:r w:rsidRPr="00302E12" w:rsidDel="00355EF5">
        <w:rPr>
          <w:color w:val="auto"/>
        </w:rPr>
        <w:t xml:space="preserve"> </w:t>
      </w:r>
      <w:r w:rsidRPr="00302E12">
        <w:rPr>
          <w:color w:val="auto"/>
        </w:rPr>
        <w:t xml:space="preserve">constant </w:t>
      </w:r>
      <w:r w:rsidR="00923E63">
        <w:rPr>
          <w:color w:val="auto"/>
        </w:rPr>
        <w:t xml:space="preserve">treatment </w:t>
      </w:r>
      <w:r w:rsidRPr="00302E12">
        <w:rPr>
          <w:color w:val="auto"/>
        </w:rPr>
        <w:t>effect for 7 years</w:t>
      </w:r>
      <w:r w:rsidR="00EF3388">
        <w:rPr>
          <w:color w:val="auto"/>
        </w:rPr>
        <w:t xml:space="preserve"> followed by a</w:t>
      </w:r>
      <w:r w:rsidRPr="00302E12">
        <w:rPr>
          <w:color w:val="auto"/>
        </w:rPr>
        <w:t xml:space="preserve"> decline </w:t>
      </w:r>
      <w:r w:rsidR="00A31FA5">
        <w:rPr>
          <w:color w:val="auto"/>
        </w:rPr>
        <w:t>(</w:t>
      </w:r>
      <w:r w:rsidR="00B14417">
        <w:rPr>
          <w:color w:val="auto"/>
        </w:rPr>
        <w:t>co</w:t>
      </w:r>
      <w:r w:rsidR="007B7A2F">
        <w:rPr>
          <w:color w:val="auto"/>
        </w:rPr>
        <w:t>nverg</w:t>
      </w:r>
      <w:r w:rsidR="00A81380">
        <w:rPr>
          <w:color w:val="auto"/>
        </w:rPr>
        <w:t>ing to 0</w:t>
      </w:r>
      <w:r w:rsidR="007B7A2F">
        <w:rPr>
          <w:color w:val="auto"/>
        </w:rPr>
        <w:t>)</w:t>
      </w:r>
      <w:r w:rsidRPr="00302E12">
        <w:rPr>
          <w:color w:val="auto"/>
        </w:rPr>
        <w:t xml:space="preserve"> </w:t>
      </w:r>
      <w:r w:rsidR="001B6E97">
        <w:rPr>
          <w:color w:val="auto"/>
        </w:rPr>
        <w:t xml:space="preserve">in treatment effect </w:t>
      </w:r>
      <w:r w:rsidRPr="00302E12">
        <w:rPr>
          <w:color w:val="auto"/>
        </w:rPr>
        <w:t xml:space="preserve">at </w:t>
      </w:r>
      <w:r w:rsidR="00B0568E">
        <w:rPr>
          <w:color w:val="auto"/>
        </w:rPr>
        <w:t xml:space="preserve">years </w:t>
      </w:r>
      <w:r w:rsidRPr="00302E12">
        <w:rPr>
          <w:color w:val="auto"/>
        </w:rPr>
        <w:t>8 and 14 (</w:t>
      </w:r>
      <w:r w:rsidR="00F8637E">
        <w:rPr>
          <w:color w:val="auto"/>
        </w:rPr>
        <w:t xml:space="preserve">resulting </w:t>
      </w:r>
      <w:r w:rsidR="009857C3">
        <w:rPr>
          <w:color w:val="auto"/>
        </w:rPr>
        <w:t>in</w:t>
      </w:r>
      <w:r w:rsidR="00F8637E">
        <w:rPr>
          <w:color w:val="auto"/>
        </w:rPr>
        <w:t xml:space="preserve"> </w:t>
      </w:r>
      <w:r w:rsidR="00532B38" w:rsidRPr="00532B38">
        <w:rPr>
          <w:color w:val="auto"/>
          <w:lang w:val="en-US"/>
        </w:rPr>
        <w:t xml:space="preserve">incremental cost effectiveness ratio </w:t>
      </w:r>
      <w:r w:rsidR="00532B38">
        <w:rPr>
          <w:color w:val="auto"/>
          <w:lang w:val="en-US"/>
        </w:rPr>
        <w:t>[</w:t>
      </w:r>
      <w:r w:rsidRPr="00302E12">
        <w:rPr>
          <w:color w:val="auto"/>
        </w:rPr>
        <w:t>ICER</w:t>
      </w:r>
      <w:r w:rsidR="00532B38">
        <w:rPr>
          <w:color w:val="auto"/>
        </w:rPr>
        <w:t>]</w:t>
      </w:r>
      <w:r w:rsidRPr="00302E12">
        <w:rPr>
          <w:color w:val="auto"/>
        </w:rPr>
        <w:t xml:space="preserve"> increases of 18.71% and 13.27%, respectively)</w:t>
      </w:r>
      <w:r w:rsidR="00F8637E">
        <w:rPr>
          <w:color w:val="auto"/>
        </w:rPr>
        <w:t>;</w:t>
      </w:r>
      <w:r w:rsidRPr="00302E12">
        <w:rPr>
          <w:color w:val="auto"/>
        </w:rPr>
        <w:t xml:space="preserve"> and </w:t>
      </w:r>
      <w:r w:rsidR="00F8637E">
        <w:rPr>
          <w:color w:val="auto"/>
        </w:rPr>
        <w:t xml:space="preserve">a variation </w:t>
      </w:r>
      <w:r w:rsidR="00AB7C92">
        <w:rPr>
          <w:color w:val="auto"/>
        </w:rPr>
        <w:t xml:space="preserve">in </w:t>
      </w:r>
      <w:r w:rsidR="00602A05">
        <w:rPr>
          <w:color w:val="auto"/>
        </w:rPr>
        <w:t xml:space="preserve">HbA1c treatment effects </w:t>
      </w:r>
      <w:r w:rsidR="009E4146">
        <w:rPr>
          <w:color w:val="auto"/>
        </w:rPr>
        <w:t>with</w:t>
      </w:r>
      <w:r w:rsidR="0067548D">
        <w:rPr>
          <w:color w:val="auto"/>
        </w:rPr>
        <w:t xml:space="preserve">in the </w:t>
      </w:r>
      <w:r w:rsidRPr="00302E12">
        <w:rPr>
          <w:color w:val="auto"/>
        </w:rPr>
        <w:t>95% CI (−0.8% to 0.0%)</w:t>
      </w:r>
      <w:r w:rsidR="00130CBB">
        <w:rPr>
          <w:color w:val="auto"/>
        </w:rPr>
        <w:t xml:space="preserve">, which </w:t>
      </w:r>
      <w:r w:rsidR="0064383D">
        <w:rPr>
          <w:color w:val="auto"/>
        </w:rPr>
        <w:t xml:space="preserve">resulted in ICER </w:t>
      </w:r>
      <w:r w:rsidR="00F91FB8">
        <w:rPr>
          <w:color w:val="auto"/>
        </w:rPr>
        <w:t xml:space="preserve">changes ranging from </w:t>
      </w:r>
      <w:r w:rsidRPr="00302E12">
        <w:rPr>
          <w:color w:val="auto"/>
        </w:rPr>
        <w:t>−26.6% to 53.72%</w:t>
      </w:r>
      <w:r w:rsidR="004537FE">
        <w:rPr>
          <w:color w:val="auto"/>
        </w:rPr>
        <w:t xml:space="preserve">. </w:t>
      </w:r>
      <w:r w:rsidR="0016030D">
        <w:rPr>
          <w:color w:val="auto"/>
        </w:rPr>
        <w:t>These findings</w:t>
      </w:r>
      <w:r w:rsidRPr="00302E12">
        <w:rPr>
          <w:color w:val="auto"/>
        </w:rPr>
        <w:t xml:space="preserve"> indicate</w:t>
      </w:r>
      <w:r w:rsidR="00FE3E57">
        <w:rPr>
          <w:color w:val="auto"/>
        </w:rPr>
        <w:t xml:space="preserve"> </w:t>
      </w:r>
      <w:r w:rsidR="0079737B">
        <w:rPr>
          <w:color w:val="auto"/>
        </w:rPr>
        <w:t>HbA1c</w:t>
      </w:r>
      <w:r w:rsidR="00336A05">
        <w:rPr>
          <w:color w:val="auto"/>
        </w:rPr>
        <w:t xml:space="preserve"> </w:t>
      </w:r>
      <w:r w:rsidR="007177CC">
        <w:rPr>
          <w:color w:val="auto"/>
        </w:rPr>
        <w:t xml:space="preserve">treatment effect </w:t>
      </w:r>
      <w:r w:rsidR="00336A05">
        <w:rPr>
          <w:color w:val="auto"/>
        </w:rPr>
        <w:t xml:space="preserve">is </w:t>
      </w:r>
      <w:r w:rsidRPr="00302E12">
        <w:rPr>
          <w:color w:val="auto"/>
        </w:rPr>
        <w:t xml:space="preserve">a key </w:t>
      </w:r>
      <w:r w:rsidR="00336A05">
        <w:rPr>
          <w:color w:val="auto"/>
        </w:rPr>
        <w:t xml:space="preserve">driver of </w:t>
      </w:r>
      <w:r w:rsidR="00C87241">
        <w:rPr>
          <w:color w:val="auto"/>
        </w:rPr>
        <w:t xml:space="preserve">the </w:t>
      </w:r>
      <w:r w:rsidRPr="00302E12">
        <w:rPr>
          <w:color w:val="auto"/>
        </w:rPr>
        <w:t>model.</w:t>
      </w:r>
    </w:p>
    <w:p w14:paraId="6270E52E" w14:textId="516E2A6C" w:rsidR="00DE398F" w:rsidRPr="00302E12" w:rsidRDefault="00DE398F" w:rsidP="00DE398F">
      <w:r w:rsidRPr="00302E12">
        <w:t>For</w:t>
      </w:r>
      <w:r w:rsidR="00D43838">
        <w:t xml:space="preserve"> the</w:t>
      </w:r>
      <w:r w:rsidRPr="00302E12">
        <w:t xml:space="preserve"> non-IIT </w:t>
      </w:r>
      <w:r w:rsidR="00FF6934">
        <w:t>sub</w:t>
      </w:r>
      <w:r w:rsidRPr="00302E12">
        <w:t xml:space="preserve">population, </w:t>
      </w:r>
      <w:r w:rsidR="00D43838">
        <w:t xml:space="preserve">the </w:t>
      </w:r>
      <w:r w:rsidRPr="00302E12">
        <w:t>revised base case analysis used clinical data from the MOBILE</w:t>
      </w:r>
      <w:r w:rsidR="00F500F6">
        <w:t xml:space="preserve"> trial</w:t>
      </w:r>
      <w:r w:rsidR="0037591B">
        <w:t>,</w:t>
      </w:r>
      <w:r w:rsidR="00FF5739">
        <w:fldChar w:fldCharType="begin"/>
      </w:r>
      <w:r w:rsidR="00FF5739">
        <w:instrText xml:space="preserve"> NOTEREF _Ref226546980 \f \h </w:instrText>
      </w:r>
      <w:r w:rsidR="00FF5739">
        <w:fldChar w:fldCharType="separate"/>
      </w:r>
      <w:r w:rsidR="0098516D" w:rsidRPr="0098516D">
        <w:rPr>
          <w:rStyle w:val="FootnoteReference"/>
        </w:rPr>
        <w:t>9</w:t>
      </w:r>
      <w:r w:rsidR="00FF5739">
        <w:fldChar w:fldCharType="end"/>
      </w:r>
      <w:r w:rsidR="000F0B82">
        <w:t xml:space="preserve"> from which</w:t>
      </w:r>
      <w:r w:rsidR="004C4FB5">
        <w:t xml:space="preserve"> </w:t>
      </w:r>
      <w:r w:rsidRPr="00302E12">
        <w:t>the adjusted mean difference between RT-CGM and SMBG</w:t>
      </w:r>
      <w:r w:rsidR="0037591B">
        <w:t>—</w:t>
      </w:r>
      <w:r w:rsidRPr="00302E12">
        <w:t>HbA1c reduction of −0.4% (net change in HbA1c) in the RT-CGM arm and same duration of HbA1c treatment effect and annual HbA1c re-increase as for the IIT subpopulation</w:t>
      </w:r>
      <w:r w:rsidR="009116FC">
        <w:t>—wa</w:t>
      </w:r>
      <w:r w:rsidRPr="00302E12">
        <w:t>s applied (7 years</w:t>
      </w:r>
      <w:r w:rsidR="009116FC">
        <w:t>;</w:t>
      </w:r>
      <w:r w:rsidRPr="00302E12">
        <w:t xml:space="preserve"> 0.05% increase)</w:t>
      </w:r>
      <w:r w:rsidR="005F10C2">
        <w:t>.</w:t>
      </w:r>
      <w:r w:rsidRPr="00302E12">
        <w:t xml:space="preserve"> Similar</w:t>
      </w:r>
      <w:r w:rsidR="009116FC">
        <w:t>ly</w:t>
      </w:r>
      <w:r w:rsidRPr="00302E12">
        <w:t xml:space="preserve"> to the IIT subpopulation, </w:t>
      </w:r>
      <w:r w:rsidR="0063320E" w:rsidRPr="00302E12">
        <w:t xml:space="preserve">two hypothetical scenarios were </w:t>
      </w:r>
      <w:r w:rsidR="0063320E">
        <w:t>evaluated: a</w:t>
      </w:r>
      <w:r w:rsidR="0063320E" w:rsidRPr="00302E12" w:rsidDel="00355EF5">
        <w:t xml:space="preserve"> </w:t>
      </w:r>
      <w:r w:rsidR="0063320E" w:rsidRPr="00302E12">
        <w:t xml:space="preserve">constant </w:t>
      </w:r>
      <w:r w:rsidR="0063320E">
        <w:t xml:space="preserve">treatment </w:t>
      </w:r>
      <w:r w:rsidR="0063320E" w:rsidRPr="00302E12">
        <w:t>effect for 7 years</w:t>
      </w:r>
      <w:r w:rsidR="0063320E">
        <w:t xml:space="preserve"> followed by a</w:t>
      </w:r>
      <w:r w:rsidR="0063320E" w:rsidRPr="00302E12">
        <w:t xml:space="preserve"> decline </w:t>
      </w:r>
      <w:r w:rsidR="0063320E">
        <w:t>(converging to 0)</w:t>
      </w:r>
      <w:r w:rsidR="0063320E" w:rsidRPr="00302E12">
        <w:t xml:space="preserve"> </w:t>
      </w:r>
      <w:r w:rsidR="0063320E">
        <w:t xml:space="preserve">in treatment effect </w:t>
      </w:r>
      <w:r w:rsidR="0063320E" w:rsidRPr="00302E12">
        <w:t xml:space="preserve">at </w:t>
      </w:r>
      <w:r w:rsidR="0063320E">
        <w:t xml:space="preserve">years </w:t>
      </w:r>
      <w:r w:rsidR="0063320E" w:rsidRPr="00302E12">
        <w:t>8 and 14</w:t>
      </w:r>
      <w:r w:rsidRPr="00302E12">
        <w:t xml:space="preserve"> </w:t>
      </w:r>
      <w:r w:rsidR="004D2DBA">
        <w:t xml:space="preserve">– these resulted in </w:t>
      </w:r>
      <w:r w:rsidR="0039112A">
        <w:t>I</w:t>
      </w:r>
      <w:r w:rsidR="002F1B12">
        <w:t xml:space="preserve">CER </w:t>
      </w:r>
      <w:r w:rsidRPr="00302E12">
        <w:t xml:space="preserve">increases </w:t>
      </w:r>
      <w:r w:rsidR="00F66E54">
        <w:t>of</w:t>
      </w:r>
      <w:r w:rsidRPr="00302E12">
        <w:t xml:space="preserve"> 26.46% and 17.33%, respectively</w:t>
      </w:r>
      <w:r w:rsidR="00580EF3">
        <w:t xml:space="preserve">; </w:t>
      </w:r>
      <w:r w:rsidR="00C61E8A">
        <w:t xml:space="preserve">and a variation </w:t>
      </w:r>
      <w:r w:rsidR="00AB3467">
        <w:t xml:space="preserve">in HbA1c treatment effect within the </w:t>
      </w:r>
      <w:r w:rsidRPr="00302E12">
        <w:t>95% CI (−0.8% to −0.1%)</w:t>
      </w:r>
      <w:r w:rsidR="00EC12B7">
        <w:t xml:space="preserve">, which </w:t>
      </w:r>
      <w:r w:rsidRPr="00302E12">
        <w:t xml:space="preserve">resulted </w:t>
      </w:r>
      <w:r w:rsidR="00C375CA">
        <w:t xml:space="preserve">in </w:t>
      </w:r>
      <w:r w:rsidRPr="00302E12">
        <w:t xml:space="preserve">ICER </w:t>
      </w:r>
      <w:r w:rsidR="00B4064D">
        <w:t xml:space="preserve">changes ranging from </w:t>
      </w:r>
      <w:r w:rsidRPr="00302E12">
        <w:t>−53.49% and 57.64%</w:t>
      </w:r>
      <w:r w:rsidR="000F4822">
        <w:t>. These findings indicate HbA1c treatment effect is a key driver of the model.</w:t>
      </w:r>
    </w:p>
    <w:p w14:paraId="2596040F" w14:textId="0613C27E" w:rsidR="00B2567C" w:rsidRPr="00302E12" w:rsidRDefault="00965B6F" w:rsidP="00DE398F">
      <w:r>
        <w:lastRenderedPageBreak/>
        <w:t>Similar</w:t>
      </w:r>
      <w:r w:rsidR="009137E9">
        <w:t>ly</w:t>
      </w:r>
      <w:r>
        <w:t xml:space="preserve"> to the </w:t>
      </w:r>
      <w:r w:rsidR="00101F06">
        <w:t>original</w:t>
      </w:r>
      <w:r>
        <w:t xml:space="preserve"> </w:t>
      </w:r>
      <w:r w:rsidR="00473A44">
        <w:t>ADAR</w:t>
      </w:r>
      <w:r>
        <w:t xml:space="preserve">, </w:t>
      </w:r>
      <w:r w:rsidR="00C065F3">
        <w:t>the</w:t>
      </w:r>
      <w:r>
        <w:t xml:space="preserve"> </w:t>
      </w:r>
      <w:r w:rsidR="00C065F3">
        <w:t>r</w:t>
      </w:r>
      <w:r w:rsidRPr="00302E12">
        <w:t>isk of severe hypo</w:t>
      </w:r>
      <w:r w:rsidR="009C66D1">
        <w:t xml:space="preserve">- and </w:t>
      </w:r>
      <w:r w:rsidRPr="00302E12">
        <w:t xml:space="preserve">hyperglycaemia events </w:t>
      </w:r>
      <w:r w:rsidR="00735420">
        <w:t>was</w:t>
      </w:r>
      <w:r w:rsidR="00735420" w:rsidRPr="00302E12">
        <w:t xml:space="preserve"> </w:t>
      </w:r>
      <w:r w:rsidRPr="00302E12">
        <w:t xml:space="preserve">informed by US claims data </w:t>
      </w:r>
      <w:r w:rsidR="00471A11">
        <w:t>of</w:t>
      </w:r>
      <w:r w:rsidR="00471A11" w:rsidRPr="00302E12">
        <w:t> </w:t>
      </w:r>
      <w:r w:rsidRPr="00A3113B">
        <w:t>Karter et al</w:t>
      </w:r>
      <w:r w:rsidR="00471A11">
        <w:t>,</w:t>
      </w:r>
      <w:r w:rsidRPr="00A3113B">
        <w:t xml:space="preserve"> 2021</w:t>
      </w:r>
      <w:r w:rsidR="00471A11">
        <w:t>.</w:t>
      </w:r>
      <w:bookmarkStart w:id="44" w:name="_Ref229148172"/>
      <w:r w:rsidRPr="00A3113B">
        <w:rPr>
          <w:rStyle w:val="FootnoteReference"/>
        </w:rPr>
        <w:footnoteReference w:id="15"/>
      </w:r>
      <w:bookmarkEnd w:id="44"/>
      <w:r w:rsidR="00471A11">
        <w:t xml:space="preserve"> N</w:t>
      </w:r>
      <w:r w:rsidRPr="00302E12">
        <w:t xml:space="preserve">o change was made in the </w:t>
      </w:r>
      <w:r w:rsidR="00967852">
        <w:t>resubmission</w:t>
      </w:r>
      <w:r w:rsidRPr="00302E12">
        <w:t xml:space="preserve">. As such, the concerns raised in the </w:t>
      </w:r>
      <w:r w:rsidR="00101F06">
        <w:t>original</w:t>
      </w:r>
      <w:r w:rsidRPr="00302E12">
        <w:t xml:space="preserve"> </w:t>
      </w:r>
      <w:r w:rsidR="00333C4F">
        <w:t>ADAR</w:t>
      </w:r>
      <w:r w:rsidR="00333C4F" w:rsidRPr="00302E12">
        <w:t xml:space="preserve"> </w:t>
      </w:r>
      <w:r w:rsidRPr="00302E12">
        <w:t xml:space="preserve">by MSAC remain unaddressed. </w:t>
      </w:r>
    </w:p>
    <w:p w14:paraId="62139968" w14:textId="420E1E11" w:rsidR="00DE398F" w:rsidRPr="00302E12" w:rsidRDefault="00DE398F" w:rsidP="00DF486F">
      <w:pPr>
        <w:spacing w:before="0"/>
        <w:rPr>
          <w:b/>
          <w:bCs/>
        </w:rPr>
      </w:pPr>
      <w:r w:rsidRPr="00302E12">
        <w:rPr>
          <w:b/>
          <w:bCs/>
        </w:rPr>
        <w:t xml:space="preserve">Health outcomes </w:t>
      </w:r>
    </w:p>
    <w:p w14:paraId="4A1D47E9" w14:textId="1BF4C531" w:rsidR="00E92B6F" w:rsidRDefault="00DE398F" w:rsidP="00DE398F">
      <w:r w:rsidRPr="00302E12">
        <w:t>In the resubmission, baseline utility score and utility decrement due to associated complications were informed by a published systematic review and meta-analysis</w:t>
      </w:r>
      <w:r w:rsidR="005044C1">
        <w:t>,</w:t>
      </w:r>
      <w:r w:rsidR="00ED76CC">
        <w:rPr>
          <w:rStyle w:val="FootnoteReference"/>
        </w:rPr>
        <w:footnoteReference w:id="16"/>
      </w:r>
      <w:r w:rsidRPr="00302E12">
        <w:t xml:space="preserve"> supplemented by a study by </w:t>
      </w:r>
      <w:r w:rsidRPr="005E6E3B">
        <w:t>Zhao et al</w:t>
      </w:r>
      <w:r w:rsidR="005044C1">
        <w:t xml:space="preserve">, </w:t>
      </w:r>
      <w:r w:rsidRPr="005E6E3B">
        <w:t>2021</w:t>
      </w:r>
      <w:r w:rsidR="005044C1">
        <w:t>.</w:t>
      </w:r>
      <w:r w:rsidR="005E6E3B" w:rsidRPr="005E6E3B">
        <w:rPr>
          <w:rStyle w:val="FootnoteReference"/>
        </w:rPr>
        <w:footnoteReference w:id="17"/>
      </w:r>
      <w:r w:rsidRPr="00302E12">
        <w:t xml:space="preserve"> </w:t>
      </w:r>
    </w:p>
    <w:p w14:paraId="24F105F9" w14:textId="153CE245" w:rsidR="00DE398F" w:rsidRPr="00302E12" w:rsidRDefault="00DE398F" w:rsidP="00DE398F">
      <w:r w:rsidRPr="00302E12">
        <w:t xml:space="preserve">The applicant assumed an equivalent baseline utility value in both IIT and non-IIT </w:t>
      </w:r>
      <w:r w:rsidR="000E08CB">
        <w:t>sub</w:t>
      </w:r>
      <w:r w:rsidRPr="00302E12">
        <w:t>populations</w:t>
      </w:r>
      <w:r w:rsidR="000074F1">
        <w:t>.</w:t>
      </w:r>
      <w:r w:rsidRPr="00302E12">
        <w:t xml:space="preserve"> </w:t>
      </w:r>
      <w:r w:rsidR="000074F1">
        <w:t>This</w:t>
      </w:r>
      <w:r w:rsidR="000074F1" w:rsidRPr="00302E12">
        <w:t xml:space="preserve"> </w:t>
      </w:r>
      <w:r w:rsidRPr="00302E12">
        <w:t>may be inappropriate, given that patients receiving intensive treatment in</w:t>
      </w:r>
      <w:r w:rsidR="00190D63">
        <w:t xml:space="preserve"> the</w:t>
      </w:r>
      <w:r w:rsidRPr="00302E12">
        <w:t xml:space="preserve"> IIT group may have more severe disease and </w:t>
      </w:r>
      <w:r w:rsidR="00190D63">
        <w:t>be</w:t>
      </w:r>
      <w:r w:rsidR="00190D63" w:rsidRPr="00302E12">
        <w:t xml:space="preserve"> </w:t>
      </w:r>
      <w:r w:rsidRPr="00302E12">
        <w:t xml:space="preserve">at high risk of complications. These utility values may differ from </w:t>
      </w:r>
      <w:r w:rsidR="00D808AD">
        <w:t>that of</w:t>
      </w:r>
      <w:r w:rsidRPr="00302E12">
        <w:t xml:space="preserve"> patients in the non-IIT group.</w:t>
      </w:r>
    </w:p>
    <w:p w14:paraId="4D7ED71B" w14:textId="770CD684" w:rsidR="00DE398F" w:rsidRPr="00302E12" w:rsidRDefault="00DE398F" w:rsidP="00DE398F">
      <w:r w:rsidRPr="00302E12">
        <w:t xml:space="preserve">The key concerns raised by MSAC in the </w:t>
      </w:r>
      <w:r w:rsidR="00101F06">
        <w:t>original</w:t>
      </w:r>
      <w:r w:rsidRPr="00302E12">
        <w:t xml:space="preserve"> </w:t>
      </w:r>
      <w:r w:rsidR="00387D92">
        <w:t xml:space="preserve">ADAR </w:t>
      </w:r>
      <w:r w:rsidRPr="00302E12">
        <w:t>submission remain unaddressed. For instance, none of the referred studies applied the Australian tariff</w:t>
      </w:r>
      <w:r w:rsidR="00EF156C">
        <w:t>,</w:t>
      </w:r>
      <w:r w:rsidRPr="00302E12">
        <w:t xml:space="preserve"> which may be significantly differ</w:t>
      </w:r>
      <w:r w:rsidR="00691FB5">
        <w:t>ent</w:t>
      </w:r>
      <w:r w:rsidRPr="00302E12">
        <w:t xml:space="preserve"> to UK and US population norms. Further, </w:t>
      </w:r>
      <w:r w:rsidR="00CF0F0F">
        <w:t>the ADAR lacks detail on</w:t>
      </w:r>
      <w:r w:rsidRPr="00302E12">
        <w:t xml:space="preserve"> how the decrement </w:t>
      </w:r>
      <w:r w:rsidR="00084982">
        <w:t>was</w:t>
      </w:r>
      <w:r w:rsidR="00084982" w:rsidRPr="00302E12">
        <w:t xml:space="preserve"> </w:t>
      </w:r>
      <w:r w:rsidRPr="00302E12">
        <w:t>applied for a person who ha</w:t>
      </w:r>
      <w:r w:rsidR="00084982">
        <w:t>s</w:t>
      </w:r>
      <w:r w:rsidRPr="00302E12">
        <w:t xml:space="preserve"> more than one event </w:t>
      </w:r>
      <w:r w:rsidR="0052449E">
        <w:t>per</w:t>
      </w:r>
      <w:r w:rsidRPr="00302E12">
        <w:t xml:space="preserve"> year. </w:t>
      </w:r>
    </w:p>
    <w:p w14:paraId="160F02C0" w14:textId="77777777" w:rsidR="00DE398F" w:rsidRPr="00302E12" w:rsidRDefault="00DE398F" w:rsidP="00DE398F">
      <w:pPr>
        <w:rPr>
          <w:b/>
          <w:bCs/>
        </w:rPr>
      </w:pPr>
      <w:r w:rsidRPr="00302E12">
        <w:rPr>
          <w:b/>
          <w:bCs/>
        </w:rPr>
        <w:t>Healthcare resource use and costs</w:t>
      </w:r>
    </w:p>
    <w:p w14:paraId="58E92E5B" w14:textId="0D2784E7" w:rsidR="00DE398F" w:rsidRPr="00302E12" w:rsidRDefault="00154BB7" w:rsidP="00DE398F">
      <w:r>
        <w:t>T</w:t>
      </w:r>
      <w:r w:rsidR="00DE398F" w:rsidRPr="00302E12">
        <w:t xml:space="preserve">he resubmission </w:t>
      </w:r>
      <w:r>
        <w:t>had</w:t>
      </w:r>
      <w:r w:rsidR="006A6892" w:rsidRPr="00302E12">
        <w:t xml:space="preserve"> </w:t>
      </w:r>
      <w:r w:rsidR="00DE398F" w:rsidRPr="00302E12">
        <w:t>no major update</w:t>
      </w:r>
      <w:r w:rsidR="006A6892">
        <w:t>s</w:t>
      </w:r>
      <w:r w:rsidR="00DE398F" w:rsidRPr="00302E12">
        <w:t xml:space="preserve"> on healthcare resource use costs</w:t>
      </w:r>
      <w:r>
        <w:t>, a</w:t>
      </w:r>
      <w:r w:rsidR="004952F5">
        <w:t>lthough</w:t>
      </w:r>
      <w:r w:rsidR="00DE398F" w:rsidRPr="00302E12">
        <w:t xml:space="preserve"> the price of glucose test strip</w:t>
      </w:r>
      <w:r w:rsidR="00084982">
        <w:t>s</w:t>
      </w:r>
      <w:r w:rsidR="00DE398F" w:rsidRPr="00302E12">
        <w:t xml:space="preserve"> ($15</w:t>
      </w:r>
      <w:r w:rsidR="00B24E23">
        <w:t xml:space="preserve"> </w:t>
      </w:r>
      <w:r w:rsidR="006602EA">
        <w:t>per</w:t>
      </w:r>
      <w:r w:rsidR="003C57B2">
        <w:t xml:space="preserve"> pack of </w:t>
      </w:r>
      <w:r w:rsidR="00D71816">
        <w:t>100 strip</w:t>
      </w:r>
      <w:r w:rsidR="008871C6">
        <w:t>s</w:t>
      </w:r>
      <w:r w:rsidR="00D948D8">
        <w:t xml:space="preserve"> </w:t>
      </w:r>
      <w:r w:rsidR="00FA104E">
        <w:t xml:space="preserve">i.e. </w:t>
      </w:r>
      <w:r w:rsidR="00DE398F" w:rsidRPr="00302E12">
        <w:t xml:space="preserve">$0.15 per strip in the </w:t>
      </w:r>
      <w:r w:rsidR="00101F06">
        <w:t>original</w:t>
      </w:r>
      <w:r w:rsidR="00DE398F" w:rsidRPr="00302E12">
        <w:t xml:space="preserve"> </w:t>
      </w:r>
      <w:r w:rsidR="00387D92">
        <w:t xml:space="preserve">ADAR </w:t>
      </w:r>
      <w:r w:rsidR="00DE398F" w:rsidRPr="00302E12">
        <w:t xml:space="preserve">submission) </w:t>
      </w:r>
      <w:r>
        <w:t>was</w:t>
      </w:r>
      <w:r w:rsidR="00DE398F" w:rsidRPr="00302E12">
        <w:t xml:space="preserve"> changed to $19.10</w:t>
      </w:r>
      <w:r w:rsidR="00D948D8">
        <w:t xml:space="preserve"> per pack</w:t>
      </w:r>
      <w:r w:rsidR="00DE398F" w:rsidRPr="00302E12">
        <w:t>. The estimated annualised SMBG cost was $264.92 and $139.43 per patient for the IIT and non-IIT subpopulations</w:t>
      </w:r>
      <w:r w:rsidR="0080659E">
        <w:t xml:space="preserve">, </w:t>
      </w:r>
      <w:r w:rsidR="0080659E" w:rsidRPr="00302E12">
        <w:t>respectively</w:t>
      </w:r>
      <w:r w:rsidR="00DE398F" w:rsidRPr="00302E12">
        <w:t xml:space="preserve"> (based on assumed daily test frequency of 3.8 and 2,</w:t>
      </w:r>
      <w:r w:rsidR="0080659E" w:rsidRPr="0080659E">
        <w:t xml:space="preserve"> </w:t>
      </w:r>
      <w:r w:rsidR="0080659E" w:rsidRPr="00302E12">
        <w:t>respectively</w:t>
      </w:r>
      <w:r w:rsidR="0080659E">
        <w:t>)</w:t>
      </w:r>
      <w:r w:rsidR="00DE398F" w:rsidRPr="00302E12">
        <w:t xml:space="preserve">. </w:t>
      </w:r>
    </w:p>
    <w:p w14:paraId="04A43227" w14:textId="62BBC654" w:rsidR="00DE398F" w:rsidRPr="00302E12" w:rsidRDefault="00DE398F" w:rsidP="00DE398F">
      <w:r w:rsidRPr="00302E12">
        <w:t xml:space="preserve">The annual treatment cost of RT-CGM is </w:t>
      </w:r>
      <w:r w:rsidR="00F75231">
        <w:t>$</w:t>
      </w:r>
      <w:r w:rsidR="00F75231">
        <w:rPr>
          <w:b/>
          <w:bCs/>
        </w:rPr>
        <w:t>redacted</w:t>
      </w:r>
      <w:r w:rsidR="005768F1">
        <w:t>. The</w:t>
      </w:r>
      <w:r w:rsidRPr="00302E12">
        <w:t xml:space="preserve"> same cost was applied to </w:t>
      </w:r>
      <w:r w:rsidR="005768F1">
        <w:t>each</w:t>
      </w:r>
      <w:r w:rsidRPr="00302E12">
        <w:t xml:space="preserve"> subpopulation.</w:t>
      </w:r>
    </w:p>
    <w:p w14:paraId="42671890" w14:textId="2FAED9FF" w:rsidR="006B327B" w:rsidRPr="00302E12" w:rsidRDefault="00DE398F" w:rsidP="00DE398F">
      <w:r w:rsidRPr="00302E12">
        <w:t xml:space="preserve">No change was made </w:t>
      </w:r>
      <w:r w:rsidR="00EE0940" w:rsidRPr="00302E12">
        <w:t xml:space="preserve">in the resubmission </w:t>
      </w:r>
      <w:r w:rsidRPr="00302E12">
        <w:t>for the cost of diabetes</w:t>
      </w:r>
      <w:r w:rsidR="00EE0940">
        <w:t>-</w:t>
      </w:r>
      <w:r w:rsidRPr="00302E12">
        <w:t>related complications. The</w:t>
      </w:r>
      <w:r w:rsidR="00EE0940">
        <w:t>se</w:t>
      </w:r>
      <w:r w:rsidRPr="00302E12">
        <w:t xml:space="preserve"> costs were informed by Australian publications on the modelled cost-effectiveness of </w:t>
      </w:r>
      <w:r w:rsidR="00195EBC">
        <w:br/>
      </w:r>
      <w:r w:rsidRPr="00302E12">
        <w:t>RT-CGM</w:t>
      </w:r>
      <w:r w:rsidR="00EE0940">
        <w:t>,</w:t>
      </w:r>
      <w:r w:rsidR="00032BE7">
        <w:rPr>
          <w:rStyle w:val="FootnoteReference"/>
        </w:rPr>
        <w:footnoteReference w:id="18"/>
      </w:r>
      <w:r w:rsidR="000708F5" w:rsidRPr="000708F5">
        <w:rPr>
          <w:vertAlign w:val="superscript"/>
        </w:rPr>
        <w:t>,</w:t>
      </w:r>
      <w:r w:rsidR="005F7912">
        <w:rPr>
          <w:rStyle w:val="FootnoteReference"/>
        </w:rPr>
        <w:footnoteReference w:id="19"/>
      </w:r>
      <w:r w:rsidRPr="00302E12">
        <w:t xml:space="preserve"> supplemented by </w:t>
      </w:r>
      <w:r w:rsidR="005F7912">
        <w:t xml:space="preserve">a study by </w:t>
      </w:r>
      <w:r w:rsidRPr="00E55F72">
        <w:t xml:space="preserve">Zhang </w:t>
      </w:r>
      <w:r w:rsidR="005F7912" w:rsidRPr="00E55F72">
        <w:t>et al</w:t>
      </w:r>
      <w:r w:rsidR="00EE0940">
        <w:t xml:space="preserve">, </w:t>
      </w:r>
      <w:r w:rsidR="005F7912" w:rsidRPr="00E55F72">
        <w:t>2023</w:t>
      </w:r>
      <w:r w:rsidR="00E55F72" w:rsidRPr="00E55F72">
        <w:rPr>
          <w:rStyle w:val="FootnoteReference"/>
        </w:rPr>
        <w:footnoteReference w:id="20"/>
      </w:r>
      <w:r w:rsidR="00456848">
        <w:t xml:space="preserve"> </w:t>
      </w:r>
      <w:r w:rsidRPr="00302E12">
        <w:t xml:space="preserve">for peripheral arterial disease of </w:t>
      </w:r>
      <w:r w:rsidR="00EE0940">
        <w:t xml:space="preserve">the </w:t>
      </w:r>
      <w:r w:rsidRPr="00302E12">
        <w:t>lower extremities (i.e. ulcer and amputation). Therefore, concerns raised</w:t>
      </w:r>
      <w:r w:rsidR="00433912">
        <w:t xml:space="preserve"> </w:t>
      </w:r>
      <w:r w:rsidR="00433912" w:rsidRPr="00302E12">
        <w:t>by MSAC</w:t>
      </w:r>
      <w:r w:rsidRPr="00302E12">
        <w:t xml:space="preserve"> in the </w:t>
      </w:r>
      <w:r w:rsidR="00101F06">
        <w:t>original</w:t>
      </w:r>
      <w:r w:rsidRPr="00302E12">
        <w:t xml:space="preserve"> </w:t>
      </w:r>
      <w:r w:rsidR="00387D92">
        <w:t xml:space="preserve">ADAR </w:t>
      </w:r>
      <w:r w:rsidRPr="00302E12">
        <w:t xml:space="preserve">submission remain unresolved. </w:t>
      </w:r>
    </w:p>
    <w:p w14:paraId="447719C2" w14:textId="63CAF227" w:rsidR="00091EF0" w:rsidRPr="00302E12" w:rsidRDefault="00091EF0" w:rsidP="006B327B">
      <w:pPr>
        <w:rPr>
          <w:b/>
          <w:bCs/>
        </w:rPr>
      </w:pPr>
      <w:r>
        <w:rPr>
          <w:b/>
          <w:bCs/>
        </w:rPr>
        <w:lastRenderedPageBreak/>
        <w:t>Results</w:t>
      </w:r>
    </w:p>
    <w:p w14:paraId="0E00650F" w14:textId="69E712CD" w:rsidR="000630E3" w:rsidRPr="0039095A" w:rsidRDefault="006B327B" w:rsidP="0039095A">
      <w:r w:rsidRPr="00302E12">
        <w:t xml:space="preserve">In the resubmission, the base case outcomes for both subpopulations (IIT and non-IIT) using the UKPDS and Fremantle risk equations were presented separately. </w:t>
      </w:r>
    </w:p>
    <w:p w14:paraId="4C2D6D08" w14:textId="4155A74F" w:rsidR="006B327B" w:rsidRPr="00302E12" w:rsidRDefault="006B327B" w:rsidP="006B327B">
      <w:pPr>
        <w:spacing w:before="0"/>
        <w:rPr>
          <w:b/>
          <w:bCs/>
        </w:rPr>
      </w:pPr>
      <w:r w:rsidRPr="00302E12">
        <w:rPr>
          <w:b/>
          <w:bCs/>
        </w:rPr>
        <w:t>ITT subpopulation</w:t>
      </w:r>
    </w:p>
    <w:p w14:paraId="05BCA9CC" w14:textId="56876CFD" w:rsidR="006B327B" w:rsidRPr="00302E12" w:rsidRDefault="006B327B" w:rsidP="006B327B">
      <w:pPr>
        <w:pStyle w:val="Instructionaltext-afterfiguretable"/>
        <w:spacing w:before="0"/>
        <w:rPr>
          <w:color w:val="auto"/>
        </w:rPr>
      </w:pPr>
      <w:r w:rsidRPr="00302E12">
        <w:rPr>
          <w:color w:val="auto"/>
        </w:rPr>
        <w:t>Based on the UKPDS risk estimations, the ICER for the use of Dexcom RT-CGM compared with SMBG was $</w:t>
      </w:r>
      <w:r w:rsidR="001F39DB">
        <w:rPr>
          <w:color w:val="auto"/>
        </w:rPr>
        <w:t>5,000 to &lt; $15,000</w:t>
      </w:r>
      <w:r w:rsidRPr="00302E12">
        <w:rPr>
          <w:color w:val="auto"/>
        </w:rPr>
        <w:t xml:space="preserve"> per QALY gained</w:t>
      </w:r>
      <w:r w:rsidR="00C93354">
        <w:rPr>
          <w:color w:val="auto"/>
        </w:rPr>
        <w:t>,</w:t>
      </w:r>
      <w:r w:rsidRPr="00302E12">
        <w:rPr>
          <w:color w:val="auto"/>
        </w:rPr>
        <w:t xml:space="preserve"> with an additional 0.511 QALYs and </w:t>
      </w:r>
      <w:r w:rsidRPr="008B254C">
        <w:rPr>
          <w:color w:val="auto"/>
        </w:rPr>
        <w:t>$</w:t>
      </w:r>
      <w:r w:rsidR="001F39DB" w:rsidRPr="008B254C">
        <w:rPr>
          <w:b/>
          <w:bCs/>
          <w:color w:val="auto"/>
        </w:rPr>
        <w:t>r</w:t>
      </w:r>
      <w:r w:rsidR="001F39DB">
        <w:rPr>
          <w:b/>
          <w:bCs/>
          <w:color w:val="auto"/>
        </w:rPr>
        <w:t>edacted</w:t>
      </w:r>
      <w:r w:rsidRPr="00302E12">
        <w:rPr>
          <w:color w:val="auto"/>
        </w:rPr>
        <w:t xml:space="preserve"> </w:t>
      </w:r>
      <w:r w:rsidR="0020532A">
        <w:rPr>
          <w:color w:val="auto"/>
        </w:rPr>
        <w:t xml:space="preserve">in </w:t>
      </w:r>
      <w:r w:rsidRPr="00302E12">
        <w:rPr>
          <w:color w:val="auto"/>
        </w:rPr>
        <w:t>costs for the T2D IIT subpopulation over</w:t>
      </w:r>
      <w:r w:rsidR="00C93354">
        <w:rPr>
          <w:color w:val="auto"/>
        </w:rPr>
        <w:t xml:space="preserve"> a</w:t>
      </w:r>
      <w:r w:rsidRPr="00302E12">
        <w:rPr>
          <w:color w:val="auto"/>
        </w:rPr>
        <w:t xml:space="preserve"> lifetime horizon</w:t>
      </w:r>
      <w:r w:rsidR="00C93354">
        <w:rPr>
          <w:color w:val="auto"/>
        </w:rPr>
        <w:t xml:space="preserve"> (</w:t>
      </w:r>
      <w:r w:rsidR="00C93354" w:rsidRPr="00C93354">
        <w:rPr>
          <w:color w:val="auto"/>
        </w:rPr>
        <w:fldChar w:fldCharType="begin"/>
      </w:r>
      <w:r w:rsidR="00C93354" w:rsidRPr="00C93354">
        <w:rPr>
          <w:color w:val="auto"/>
        </w:rPr>
        <w:instrText xml:space="preserve"> REF _Ref226731441 \h  \* MERGEFORMAT </w:instrText>
      </w:r>
      <w:r w:rsidR="00C93354" w:rsidRPr="00C93354">
        <w:rPr>
          <w:color w:val="auto"/>
        </w:rPr>
      </w:r>
      <w:r w:rsidR="00C93354" w:rsidRPr="00C93354">
        <w:rPr>
          <w:color w:val="auto"/>
        </w:rPr>
        <w:fldChar w:fldCharType="separate"/>
      </w:r>
      <w:r w:rsidR="0098516D" w:rsidRPr="0098516D">
        <w:rPr>
          <w:color w:val="auto"/>
        </w:rPr>
        <w:t>Table 13</w:t>
      </w:r>
      <w:r w:rsidR="00C93354" w:rsidRPr="00C93354">
        <w:rPr>
          <w:color w:val="auto"/>
        </w:rPr>
        <w:fldChar w:fldCharType="end"/>
      </w:r>
      <w:r w:rsidR="00C93354">
        <w:rPr>
          <w:color w:val="auto"/>
        </w:rPr>
        <w:t>)</w:t>
      </w:r>
      <w:r w:rsidRPr="00302E12">
        <w:rPr>
          <w:color w:val="auto"/>
        </w:rPr>
        <w:t xml:space="preserve">. </w:t>
      </w:r>
    </w:p>
    <w:p w14:paraId="31CA9B13" w14:textId="7E87B69A" w:rsidR="006B327B" w:rsidRPr="00302E12" w:rsidRDefault="006B327B" w:rsidP="006B327B">
      <w:pPr>
        <w:pStyle w:val="Instructionaltext-afterfiguretable"/>
        <w:spacing w:before="0"/>
        <w:rPr>
          <w:color w:val="auto"/>
        </w:rPr>
      </w:pPr>
      <w:r w:rsidRPr="00302E12">
        <w:rPr>
          <w:color w:val="auto"/>
        </w:rPr>
        <w:t>Based on the Fremantle risk estimations, the ICER for the use of Dexcom RT-CGM compared with SMBG was $</w:t>
      </w:r>
      <w:r w:rsidR="001F39DB">
        <w:rPr>
          <w:color w:val="auto"/>
        </w:rPr>
        <w:t>5,000 to &lt; $15,000</w:t>
      </w:r>
      <w:r w:rsidRPr="00302E12">
        <w:rPr>
          <w:color w:val="auto"/>
        </w:rPr>
        <w:t xml:space="preserve"> per QALY gained</w:t>
      </w:r>
      <w:r w:rsidR="00C93354">
        <w:rPr>
          <w:color w:val="auto"/>
        </w:rPr>
        <w:t>,</w:t>
      </w:r>
      <w:r w:rsidRPr="00302E12">
        <w:rPr>
          <w:color w:val="auto"/>
        </w:rPr>
        <w:t xml:space="preserve"> with an additional 0.579 QALYs and $</w:t>
      </w:r>
      <w:r w:rsidR="001F39DB">
        <w:rPr>
          <w:b/>
          <w:bCs/>
          <w:color w:val="auto"/>
        </w:rPr>
        <w:t>redacted</w:t>
      </w:r>
      <w:r w:rsidRPr="00302E12">
        <w:rPr>
          <w:color w:val="auto"/>
        </w:rPr>
        <w:t xml:space="preserve"> </w:t>
      </w:r>
      <w:r w:rsidR="0020532A">
        <w:rPr>
          <w:color w:val="auto"/>
        </w:rPr>
        <w:t>in</w:t>
      </w:r>
      <w:r w:rsidRPr="00302E12">
        <w:rPr>
          <w:color w:val="auto"/>
        </w:rPr>
        <w:t xml:space="preserve"> costs for the T2D IIT subpopulation over</w:t>
      </w:r>
      <w:r w:rsidR="00C93354">
        <w:rPr>
          <w:color w:val="auto"/>
        </w:rPr>
        <w:t xml:space="preserve"> a</w:t>
      </w:r>
      <w:r w:rsidRPr="00302E12">
        <w:rPr>
          <w:color w:val="auto"/>
        </w:rPr>
        <w:t xml:space="preserve"> lifetime horizon. </w:t>
      </w:r>
    </w:p>
    <w:p w14:paraId="16DF9B48" w14:textId="18C4BD7E" w:rsidR="006B327B" w:rsidRDefault="00E92B6F" w:rsidP="006B327B">
      <w:pPr>
        <w:pStyle w:val="Caption"/>
      </w:pPr>
      <w:bookmarkStart w:id="45" w:name="_Ref226731441"/>
      <w:r>
        <w:t xml:space="preserve">Table </w:t>
      </w:r>
      <w:r>
        <w:fldChar w:fldCharType="begin"/>
      </w:r>
      <w:r>
        <w:instrText>SEQ Table \* ARABIC</w:instrText>
      </w:r>
      <w:r>
        <w:fldChar w:fldCharType="separate"/>
      </w:r>
      <w:r w:rsidR="0098516D">
        <w:rPr>
          <w:noProof/>
        </w:rPr>
        <w:t>13</w:t>
      </w:r>
      <w:r>
        <w:fldChar w:fldCharType="end"/>
      </w:r>
      <w:bookmarkEnd w:id="45"/>
      <w:r>
        <w:t xml:space="preserve">: </w:t>
      </w:r>
      <w:r w:rsidR="006B327B" w:rsidRPr="00CE28E3">
        <w:t>Results of economic evaluation</w:t>
      </w:r>
      <w:r w:rsidR="006B327B">
        <w:t xml:space="preserve"> for IIT subpopulation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9"/>
        <w:gridCol w:w="1424"/>
        <w:gridCol w:w="845"/>
        <w:gridCol w:w="936"/>
        <w:gridCol w:w="845"/>
        <w:gridCol w:w="845"/>
        <w:gridCol w:w="936"/>
      </w:tblGrid>
      <w:tr w:rsidR="00183DE0" w:rsidRPr="003C486E" w14:paraId="555E30EC" w14:textId="77777777" w:rsidTr="004F2B92">
        <w:trPr>
          <w:trHeight w:val="300"/>
        </w:trPr>
        <w:tc>
          <w:tcPr>
            <w:tcW w:w="1823" w:type="pct"/>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4E68F" w14:textId="77777777" w:rsidR="006B327B" w:rsidRPr="003C486E" w:rsidRDefault="006B327B" w:rsidP="000E2889">
            <w:pPr>
              <w:pStyle w:val="In-tableHeading"/>
              <w:jc w:val="center"/>
              <w:rPr>
                <w:b w:val="0"/>
              </w:rPr>
            </w:pPr>
            <w:r w:rsidRPr="003C486E">
              <w:t>Parameter</w:t>
            </w:r>
          </w:p>
        </w:tc>
        <w:tc>
          <w:tcPr>
            <w:tcW w:w="1812"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31DC7C7" w14:textId="77777777" w:rsidR="006B327B" w:rsidRPr="003C486E" w:rsidRDefault="006B327B" w:rsidP="000E2889">
            <w:pPr>
              <w:pStyle w:val="In-tableHeading"/>
              <w:jc w:val="center"/>
              <w:rPr>
                <w:b w:val="0"/>
              </w:rPr>
            </w:pPr>
            <w:r w:rsidRPr="003C486E">
              <w:t>UKPDS</w:t>
            </w:r>
          </w:p>
        </w:tc>
        <w:tc>
          <w:tcPr>
            <w:tcW w:w="1365"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885F03D" w14:textId="77777777" w:rsidR="006B327B" w:rsidRPr="003C486E" w:rsidRDefault="006B327B" w:rsidP="000E2889">
            <w:pPr>
              <w:pStyle w:val="In-tableHeading"/>
              <w:jc w:val="center"/>
              <w:rPr>
                <w:b w:val="0"/>
              </w:rPr>
            </w:pPr>
            <w:r w:rsidRPr="003C486E">
              <w:t>Fremantle</w:t>
            </w:r>
          </w:p>
        </w:tc>
      </w:tr>
      <w:tr w:rsidR="00641FFE" w:rsidRPr="003C486E" w14:paraId="3E1BBED6" w14:textId="77777777" w:rsidTr="004F2B92">
        <w:trPr>
          <w:trHeight w:val="300"/>
        </w:trPr>
        <w:tc>
          <w:tcPr>
            <w:tcW w:w="1823" w:type="pct"/>
            <w:vMerge/>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87A2A1" w14:textId="77777777" w:rsidR="006B327B" w:rsidRPr="003C486E" w:rsidRDefault="006B327B" w:rsidP="000E2889">
            <w:pPr>
              <w:pStyle w:val="In-tableHeading"/>
              <w:jc w:val="center"/>
            </w:pPr>
          </w:p>
        </w:tc>
        <w:tc>
          <w:tcPr>
            <w:tcW w:w="849"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376CC9D" w14:textId="77777777" w:rsidR="006B327B" w:rsidRPr="003C486E" w:rsidRDefault="006B327B" w:rsidP="000E2889">
            <w:pPr>
              <w:pStyle w:val="In-tableHeading"/>
              <w:jc w:val="center"/>
              <w:rPr>
                <w:b w:val="0"/>
              </w:rPr>
            </w:pPr>
            <w:r w:rsidRPr="003C486E">
              <w:t>RT-CGM</w:t>
            </w:r>
          </w:p>
        </w:tc>
        <w:tc>
          <w:tcPr>
            <w:tcW w:w="402"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F945981" w14:textId="77777777" w:rsidR="006B327B" w:rsidRPr="003C486E" w:rsidRDefault="006B327B" w:rsidP="000E2889">
            <w:pPr>
              <w:pStyle w:val="In-tableHeading"/>
              <w:jc w:val="center"/>
              <w:rPr>
                <w:b w:val="0"/>
              </w:rPr>
            </w:pPr>
            <w:r w:rsidRPr="003C486E">
              <w:t>SMBG</w:t>
            </w:r>
          </w:p>
        </w:tc>
        <w:tc>
          <w:tcPr>
            <w:tcW w:w="561"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93AAC16" w14:textId="77777777" w:rsidR="006B327B" w:rsidRPr="003C486E" w:rsidRDefault="006B327B" w:rsidP="000E2889">
            <w:pPr>
              <w:pStyle w:val="In-tableHeading"/>
              <w:jc w:val="center"/>
              <w:rPr>
                <w:b w:val="0"/>
              </w:rPr>
            </w:pPr>
            <w:r w:rsidRPr="003C486E">
              <w:t>Incremental</w:t>
            </w:r>
          </w:p>
        </w:tc>
        <w:tc>
          <w:tcPr>
            <w:tcW w:w="402"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AE8BC81" w14:textId="77777777" w:rsidR="006B327B" w:rsidRPr="003C486E" w:rsidRDefault="006B327B" w:rsidP="000E2889">
            <w:pPr>
              <w:pStyle w:val="In-tableHeading"/>
              <w:jc w:val="center"/>
              <w:rPr>
                <w:b w:val="0"/>
              </w:rPr>
            </w:pPr>
            <w:r w:rsidRPr="003C486E">
              <w:t>RT-CGM</w:t>
            </w:r>
          </w:p>
        </w:tc>
        <w:tc>
          <w:tcPr>
            <w:tcW w:w="402"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948C16" w14:textId="77777777" w:rsidR="006B327B" w:rsidRPr="003C486E" w:rsidRDefault="006B327B" w:rsidP="000E2889">
            <w:pPr>
              <w:pStyle w:val="In-tableHeading"/>
              <w:jc w:val="center"/>
              <w:rPr>
                <w:b w:val="0"/>
              </w:rPr>
            </w:pPr>
            <w:r w:rsidRPr="003C486E">
              <w:t>SMBG</w:t>
            </w:r>
          </w:p>
        </w:tc>
        <w:tc>
          <w:tcPr>
            <w:tcW w:w="560"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6CEFF0F" w14:textId="77777777" w:rsidR="006B327B" w:rsidRPr="003C486E" w:rsidRDefault="006B327B" w:rsidP="000E2889">
            <w:pPr>
              <w:pStyle w:val="In-tableHeading"/>
              <w:jc w:val="center"/>
              <w:rPr>
                <w:b w:val="0"/>
              </w:rPr>
            </w:pPr>
            <w:r w:rsidRPr="003C486E">
              <w:t>Incremental</w:t>
            </w:r>
          </w:p>
        </w:tc>
      </w:tr>
      <w:tr w:rsidR="004F2B92" w:rsidRPr="003C486E" w14:paraId="0C6B2418" w14:textId="77777777" w:rsidTr="004F2B92">
        <w:trPr>
          <w:trHeight w:val="300"/>
        </w:trPr>
        <w:tc>
          <w:tcPr>
            <w:tcW w:w="1823" w:type="pct"/>
            <w:tcBorders>
              <w:top w:val="single" w:sz="6" w:space="0" w:color="auto"/>
              <w:left w:val="single" w:sz="6" w:space="0" w:color="auto"/>
              <w:bottom w:val="single" w:sz="6" w:space="0" w:color="auto"/>
              <w:right w:val="single" w:sz="6" w:space="0" w:color="auto"/>
            </w:tcBorders>
            <w:hideMark/>
          </w:tcPr>
          <w:p w14:paraId="4974F028" w14:textId="77777777" w:rsidR="004F2B92" w:rsidRPr="003C486E" w:rsidRDefault="004F2B92" w:rsidP="004F2B92">
            <w:pPr>
              <w:pStyle w:val="TableText"/>
              <w:keepNext/>
            </w:pPr>
            <w:r w:rsidRPr="003C486E">
              <w:t>Costs</w:t>
            </w:r>
          </w:p>
        </w:tc>
        <w:tc>
          <w:tcPr>
            <w:tcW w:w="849" w:type="pct"/>
            <w:tcBorders>
              <w:top w:val="single" w:sz="6" w:space="0" w:color="auto"/>
              <w:left w:val="single" w:sz="6" w:space="0" w:color="auto"/>
              <w:bottom w:val="single" w:sz="6" w:space="0" w:color="auto"/>
              <w:right w:val="single" w:sz="6" w:space="0" w:color="auto"/>
            </w:tcBorders>
            <w:hideMark/>
          </w:tcPr>
          <w:p w14:paraId="262E1543" w14:textId="7FF26A95" w:rsidR="004F2B92" w:rsidRPr="008B254C" w:rsidRDefault="004F2B92" w:rsidP="004F2B92">
            <w:pPr>
              <w:pStyle w:val="TableText"/>
              <w:keepNext/>
              <w:jc w:val="center"/>
              <w:rPr>
                <w:b/>
                <w:bCs/>
                <w:highlight w:val="yellow"/>
              </w:rPr>
            </w:pPr>
            <w:r w:rsidRPr="008B254C">
              <w:t>$</w:t>
            </w:r>
            <w:r w:rsidRPr="008B254C">
              <w:rPr>
                <w:b/>
                <w:bCs/>
              </w:rPr>
              <w:t>Redacted</w:t>
            </w:r>
          </w:p>
        </w:tc>
        <w:tc>
          <w:tcPr>
            <w:tcW w:w="402" w:type="pct"/>
            <w:tcBorders>
              <w:top w:val="single" w:sz="6" w:space="0" w:color="auto"/>
              <w:left w:val="single" w:sz="6" w:space="0" w:color="auto"/>
              <w:bottom w:val="single" w:sz="6" w:space="0" w:color="auto"/>
              <w:right w:val="single" w:sz="6" w:space="0" w:color="auto"/>
            </w:tcBorders>
            <w:hideMark/>
          </w:tcPr>
          <w:p w14:paraId="50F25FF0" w14:textId="77835F14" w:rsidR="004F2B92" w:rsidRPr="008B254C" w:rsidRDefault="004F2B92" w:rsidP="004F2B92">
            <w:pPr>
              <w:pStyle w:val="TableText"/>
              <w:keepNext/>
              <w:jc w:val="center"/>
              <w:rPr>
                <w:highlight w:val="yellow"/>
              </w:rPr>
            </w:pPr>
            <w:r w:rsidRPr="00B53A52">
              <w:t>$</w:t>
            </w:r>
            <w:r w:rsidRPr="00B53A52">
              <w:rPr>
                <w:b/>
                <w:bCs/>
              </w:rPr>
              <w:t>Redacted</w:t>
            </w:r>
          </w:p>
        </w:tc>
        <w:tc>
          <w:tcPr>
            <w:tcW w:w="561" w:type="pct"/>
            <w:tcBorders>
              <w:top w:val="single" w:sz="6" w:space="0" w:color="auto"/>
              <w:left w:val="single" w:sz="6" w:space="0" w:color="auto"/>
              <w:bottom w:val="single" w:sz="6" w:space="0" w:color="auto"/>
              <w:right w:val="single" w:sz="6" w:space="0" w:color="auto"/>
            </w:tcBorders>
            <w:hideMark/>
          </w:tcPr>
          <w:p w14:paraId="7D5767A8" w14:textId="5B3ACB9F" w:rsidR="004F2B92" w:rsidRPr="008B254C" w:rsidRDefault="004F2B92" w:rsidP="004F2B92">
            <w:pPr>
              <w:pStyle w:val="TableText"/>
              <w:keepNext/>
              <w:jc w:val="center"/>
              <w:rPr>
                <w:highlight w:val="yellow"/>
              </w:rPr>
            </w:pPr>
            <w:r w:rsidRPr="00B53A52">
              <w:t>$</w:t>
            </w:r>
            <w:r w:rsidRPr="00B53A52">
              <w:rPr>
                <w:b/>
                <w:bCs/>
              </w:rPr>
              <w:t>Redacted</w:t>
            </w:r>
          </w:p>
        </w:tc>
        <w:tc>
          <w:tcPr>
            <w:tcW w:w="402" w:type="pct"/>
            <w:tcBorders>
              <w:top w:val="single" w:sz="6" w:space="0" w:color="auto"/>
              <w:left w:val="single" w:sz="6" w:space="0" w:color="auto"/>
              <w:bottom w:val="single" w:sz="6" w:space="0" w:color="auto"/>
              <w:right w:val="single" w:sz="6" w:space="0" w:color="auto"/>
            </w:tcBorders>
            <w:hideMark/>
          </w:tcPr>
          <w:p w14:paraId="1D308055" w14:textId="7E1CCCF7" w:rsidR="004F2B92" w:rsidRPr="008B254C" w:rsidRDefault="004F2B92" w:rsidP="004F2B92">
            <w:pPr>
              <w:pStyle w:val="TableText"/>
              <w:keepNext/>
              <w:jc w:val="center"/>
              <w:rPr>
                <w:highlight w:val="yellow"/>
              </w:rPr>
            </w:pPr>
            <w:r w:rsidRPr="00B53A52">
              <w:t>$</w:t>
            </w:r>
            <w:r w:rsidRPr="00B53A52">
              <w:rPr>
                <w:b/>
                <w:bCs/>
              </w:rPr>
              <w:t>Redacted</w:t>
            </w:r>
          </w:p>
        </w:tc>
        <w:tc>
          <w:tcPr>
            <w:tcW w:w="402" w:type="pct"/>
            <w:tcBorders>
              <w:top w:val="single" w:sz="6" w:space="0" w:color="auto"/>
              <w:left w:val="single" w:sz="6" w:space="0" w:color="auto"/>
              <w:bottom w:val="single" w:sz="6" w:space="0" w:color="auto"/>
              <w:right w:val="single" w:sz="6" w:space="0" w:color="auto"/>
            </w:tcBorders>
            <w:hideMark/>
          </w:tcPr>
          <w:p w14:paraId="68B810B9" w14:textId="4BE718F6" w:rsidR="004F2B92" w:rsidRPr="008B254C" w:rsidRDefault="004F2B92" w:rsidP="004F2B92">
            <w:pPr>
              <w:pStyle w:val="TableText"/>
              <w:keepNext/>
              <w:jc w:val="center"/>
              <w:rPr>
                <w:highlight w:val="yellow"/>
              </w:rPr>
            </w:pPr>
            <w:r w:rsidRPr="00B53A52">
              <w:t>$</w:t>
            </w:r>
            <w:r w:rsidRPr="00B53A52">
              <w:rPr>
                <w:b/>
                <w:bCs/>
              </w:rPr>
              <w:t>Redacted</w:t>
            </w:r>
          </w:p>
        </w:tc>
        <w:tc>
          <w:tcPr>
            <w:tcW w:w="560" w:type="pct"/>
            <w:tcBorders>
              <w:top w:val="single" w:sz="6" w:space="0" w:color="auto"/>
              <w:left w:val="single" w:sz="6" w:space="0" w:color="auto"/>
              <w:bottom w:val="single" w:sz="6" w:space="0" w:color="auto"/>
              <w:right w:val="single" w:sz="6" w:space="0" w:color="auto"/>
            </w:tcBorders>
            <w:hideMark/>
          </w:tcPr>
          <w:p w14:paraId="78666CDC" w14:textId="685E89CB" w:rsidR="004F2B92" w:rsidRPr="008B254C" w:rsidRDefault="004F2B92" w:rsidP="004F2B92">
            <w:pPr>
              <w:pStyle w:val="TableText"/>
              <w:keepNext/>
              <w:jc w:val="center"/>
              <w:rPr>
                <w:highlight w:val="yellow"/>
              </w:rPr>
            </w:pPr>
            <w:r w:rsidRPr="00B53A52">
              <w:t>$</w:t>
            </w:r>
            <w:r w:rsidRPr="00B53A52">
              <w:rPr>
                <w:b/>
                <w:bCs/>
              </w:rPr>
              <w:t>Redacted</w:t>
            </w:r>
          </w:p>
        </w:tc>
      </w:tr>
      <w:tr w:rsidR="000921F2" w:rsidRPr="003C486E" w14:paraId="12D82B30" w14:textId="77777777" w:rsidTr="004F2B92">
        <w:trPr>
          <w:trHeight w:val="300"/>
        </w:trPr>
        <w:tc>
          <w:tcPr>
            <w:tcW w:w="1823" w:type="pct"/>
            <w:tcBorders>
              <w:top w:val="single" w:sz="6" w:space="0" w:color="auto"/>
              <w:left w:val="single" w:sz="6" w:space="0" w:color="auto"/>
              <w:bottom w:val="single" w:sz="6" w:space="0" w:color="auto"/>
              <w:right w:val="single" w:sz="6" w:space="0" w:color="auto"/>
            </w:tcBorders>
            <w:hideMark/>
          </w:tcPr>
          <w:p w14:paraId="05545D0D" w14:textId="77777777" w:rsidR="006B327B" w:rsidRPr="003C486E" w:rsidRDefault="006B327B">
            <w:pPr>
              <w:pStyle w:val="TableText"/>
              <w:keepNext/>
            </w:pPr>
            <w:r w:rsidRPr="003C486E">
              <w:t>LYs</w:t>
            </w:r>
          </w:p>
        </w:tc>
        <w:tc>
          <w:tcPr>
            <w:tcW w:w="849" w:type="pct"/>
            <w:tcBorders>
              <w:top w:val="single" w:sz="6" w:space="0" w:color="auto"/>
              <w:left w:val="single" w:sz="6" w:space="0" w:color="auto"/>
              <w:bottom w:val="single" w:sz="6" w:space="0" w:color="auto"/>
              <w:right w:val="single" w:sz="6" w:space="0" w:color="auto"/>
            </w:tcBorders>
            <w:hideMark/>
          </w:tcPr>
          <w:p w14:paraId="10827545" w14:textId="77777777" w:rsidR="006B327B" w:rsidRPr="003C486E" w:rsidRDefault="006B327B">
            <w:pPr>
              <w:pStyle w:val="TableText"/>
              <w:keepNext/>
              <w:jc w:val="center"/>
            </w:pPr>
            <w:r w:rsidRPr="005C0CB4">
              <w:t>9.979</w:t>
            </w:r>
          </w:p>
        </w:tc>
        <w:tc>
          <w:tcPr>
            <w:tcW w:w="402" w:type="pct"/>
            <w:tcBorders>
              <w:top w:val="single" w:sz="6" w:space="0" w:color="auto"/>
              <w:left w:val="single" w:sz="6" w:space="0" w:color="auto"/>
              <w:bottom w:val="single" w:sz="6" w:space="0" w:color="auto"/>
              <w:right w:val="single" w:sz="6" w:space="0" w:color="auto"/>
            </w:tcBorders>
            <w:hideMark/>
          </w:tcPr>
          <w:p w14:paraId="77D99EB9" w14:textId="77777777" w:rsidR="006B327B" w:rsidRPr="003C486E" w:rsidRDefault="006B327B">
            <w:pPr>
              <w:pStyle w:val="TableText"/>
              <w:keepNext/>
              <w:jc w:val="center"/>
            </w:pPr>
            <w:r w:rsidRPr="008F28A4">
              <w:t>9.924</w:t>
            </w:r>
          </w:p>
        </w:tc>
        <w:tc>
          <w:tcPr>
            <w:tcW w:w="561" w:type="pct"/>
            <w:tcBorders>
              <w:top w:val="single" w:sz="6" w:space="0" w:color="auto"/>
              <w:left w:val="single" w:sz="6" w:space="0" w:color="auto"/>
              <w:bottom w:val="single" w:sz="6" w:space="0" w:color="auto"/>
              <w:right w:val="single" w:sz="6" w:space="0" w:color="auto"/>
            </w:tcBorders>
            <w:hideMark/>
          </w:tcPr>
          <w:p w14:paraId="72AB040F" w14:textId="77777777" w:rsidR="006B327B" w:rsidRPr="003C486E" w:rsidRDefault="006B327B">
            <w:pPr>
              <w:pStyle w:val="TableText"/>
              <w:keepNext/>
              <w:jc w:val="center"/>
            </w:pPr>
            <w:r w:rsidRPr="008F28A4">
              <w:t>0.055</w:t>
            </w:r>
          </w:p>
        </w:tc>
        <w:tc>
          <w:tcPr>
            <w:tcW w:w="402" w:type="pct"/>
            <w:tcBorders>
              <w:top w:val="single" w:sz="6" w:space="0" w:color="auto"/>
              <w:left w:val="single" w:sz="6" w:space="0" w:color="auto"/>
              <w:bottom w:val="single" w:sz="6" w:space="0" w:color="auto"/>
              <w:right w:val="single" w:sz="6" w:space="0" w:color="auto"/>
            </w:tcBorders>
            <w:hideMark/>
          </w:tcPr>
          <w:p w14:paraId="25C7A02C" w14:textId="77777777" w:rsidR="006B327B" w:rsidRPr="003C486E" w:rsidRDefault="006B327B">
            <w:pPr>
              <w:pStyle w:val="TableText"/>
              <w:keepNext/>
              <w:jc w:val="center"/>
            </w:pPr>
            <w:r w:rsidRPr="003A46F5">
              <w:t>11.897</w:t>
            </w:r>
          </w:p>
        </w:tc>
        <w:tc>
          <w:tcPr>
            <w:tcW w:w="402" w:type="pct"/>
            <w:tcBorders>
              <w:top w:val="single" w:sz="6" w:space="0" w:color="auto"/>
              <w:left w:val="single" w:sz="6" w:space="0" w:color="auto"/>
              <w:bottom w:val="single" w:sz="6" w:space="0" w:color="auto"/>
              <w:right w:val="single" w:sz="6" w:space="0" w:color="auto"/>
            </w:tcBorders>
            <w:hideMark/>
          </w:tcPr>
          <w:p w14:paraId="76588109" w14:textId="77777777" w:rsidR="006B327B" w:rsidRPr="003C486E" w:rsidRDefault="006B327B">
            <w:pPr>
              <w:pStyle w:val="TableText"/>
              <w:keepNext/>
              <w:jc w:val="center"/>
            </w:pPr>
            <w:r w:rsidRPr="003A46F5">
              <w:t>11.857</w:t>
            </w:r>
          </w:p>
        </w:tc>
        <w:tc>
          <w:tcPr>
            <w:tcW w:w="560" w:type="pct"/>
            <w:tcBorders>
              <w:top w:val="single" w:sz="6" w:space="0" w:color="auto"/>
              <w:left w:val="single" w:sz="6" w:space="0" w:color="auto"/>
              <w:bottom w:val="single" w:sz="6" w:space="0" w:color="auto"/>
              <w:right w:val="single" w:sz="6" w:space="0" w:color="auto"/>
            </w:tcBorders>
            <w:hideMark/>
          </w:tcPr>
          <w:p w14:paraId="3C5B3A4B" w14:textId="77777777" w:rsidR="006B327B" w:rsidRPr="003C486E" w:rsidRDefault="006B327B">
            <w:pPr>
              <w:pStyle w:val="TableText"/>
              <w:keepNext/>
              <w:jc w:val="center"/>
            </w:pPr>
            <w:r w:rsidRPr="003A46F5">
              <w:t>0.04</w:t>
            </w:r>
          </w:p>
        </w:tc>
      </w:tr>
      <w:tr w:rsidR="000921F2" w:rsidRPr="003C486E" w14:paraId="24060154" w14:textId="77777777" w:rsidTr="004F2B92">
        <w:trPr>
          <w:trHeight w:val="300"/>
        </w:trPr>
        <w:tc>
          <w:tcPr>
            <w:tcW w:w="1823" w:type="pct"/>
            <w:tcBorders>
              <w:top w:val="single" w:sz="6" w:space="0" w:color="auto"/>
              <w:left w:val="single" w:sz="6" w:space="0" w:color="auto"/>
              <w:bottom w:val="single" w:sz="6" w:space="0" w:color="auto"/>
              <w:right w:val="single" w:sz="6" w:space="0" w:color="auto"/>
            </w:tcBorders>
            <w:hideMark/>
          </w:tcPr>
          <w:p w14:paraId="09FD7F0C" w14:textId="77777777" w:rsidR="006B327B" w:rsidRPr="003C486E" w:rsidRDefault="006B327B">
            <w:pPr>
              <w:pStyle w:val="TableText"/>
              <w:keepNext/>
            </w:pPr>
            <w:r w:rsidRPr="003C486E">
              <w:t>QALYs</w:t>
            </w:r>
          </w:p>
        </w:tc>
        <w:tc>
          <w:tcPr>
            <w:tcW w:w="849" w:type="pct"/>
            <w:tcBorders>
              <w:top w:val="single" w:sz="6" w:space="0" w:color="auto"/>
              <w:left w:val="single" w:sz="6" w:space="0" w:color="auto"/>
              <w:bottom w:val="single" w:sz="6" w:space="0" w:color="auto"/>
              <w:right w:val="single" w:sz="6" w:space="0" w:color="auto"/>
            </w:tcBorders>
            <w:hideMark/>
          </w:tcPr>
          <w:p w14:paraId="5CFFA216" w14:textId="77777777" w:rsidR="006B327B" w:rsidRPr="003C486E" w:rsidRDefault="006B327B">
            <w:pPr>
              <w:pStyle w:val="TableText"/>
              <w:keepNext/>
              <w:jc w:val="center"/>
            </w:pPr>
            <w:r w:rsidRPr="008F28A4">
              <w:t>7.497</w:t>
            </w:r>
          </w:p>
        </w:tc>
        <w:tc>
          <w:tcPr>
            <w:tcW w:w="402" w:type="pct"/>
            <w:tcBorders>
              <w:top w:val="single" w:sz="6" w:space="0" w:color="auto"/>
              <w:left w:val="single" w:sz="6" w:space="0" w:color="auto"/>
              <w:bottom w:val="single" w:sz="6" w:space="0" w:color="auto"/>
              <w:right w:val="single" w:sz="6" w:space="0" w:color="auto"/>
            </w:tcBorders>
            <w:hideMark/>
          </w:tcPr>
          <w:p w14:paraId="55F9FEB5" w14:textId="77777777" w:rsidR="006B327B" w:rsidRPr="003C486E" w:rsidRDefault="006B327B">
            <w:pPr>
              <w:pStyle w:val="TableText"/>
              <w:keepNext/>
              <w:jc w:val="center"/>
            </w:pPr>
            <w:r w:rsidRPr="00E52826">
              <w:t>6.986</w:t>
            </w:r>
          </w:p>
        </w:tc>
        <w:tc>
          <w:tcPr>
            <w:tcW w:w="561" w:type="pct"/>
            <w:tcBorders>
              <w:top w:val="single" w:sz="6" w:space="0" w:color="auto"/>
              <w:left w:val="single" w:sz="6" w:space="0" w:color="auto"/>
              <w:bottom w:val="single" w:sz="6" w:space="0" w:color="auto"/>
              <w:right w:val="single" w:sz="6" w:space="0" w:color="auto"/>
            </w:tcBorders>
            <w:hideMark/>
          </w:tcPr>
          <w:p w14:paraId="72AD41FD" w14:textId="77777777" w:rsidR="006B327B" w:rsidRPr="003C486E" w:rsidRDefault="006B327B">
            <w:pPr>
              <w:pStyle w:val="TableText"/>
              <w:keepNext/>
              <w:jc w:val="center"/>
            </w:pPr>
            <w:r w:rsidRPr="00E52826">
              <w:t>0.511</w:t>
            </w:r>
          </w:p>
        </w:tc>
        <w:tc>
          <w:tcPr>
            <w:tcW w:w="402" w:type="pct"/>
            <w:tcBorders>
              <w:top w:val="single" w:sz="6" w:space="0" w:color="auto"/>
              <w:left w:val="single" w:sz="6" w:space="0" w:color="auto"/>
              <w:bottom w:val="single" w:sz="6" w:space="0" w:color="auto"/>
              <w:right w:val="single" w:sz="6" w:space="0" w:color="auto"/>
            </w:tcBorders>
            <w:hideMark/>
          </w:tcPr>
          <w:p w14:paraId="7BC977C0" w14:textId="77777777" w:rsidR="006B327B" w:rsidRPr="003C486E" w:rsidRDefault="006B327B">
            <w:pPr>
              <w:pStyle w:val="TableText"/>
              <w:keepNext/>
              <w:jc w:val="center"/>
            </w:pPr>
            <w:r w:rsidRPr="006D01CA">
              <w:t>8.828</w:t>
            </w:r>
          </w:p>
        </w:tc>
        <w:tc>
          <w:tcPr>
            <w:tcW w:w="402" w:type="pct"/>
            <w:tcBorders>
              <w:top w:val="single" w:sz="6" w:space="0" w:color="auto"/>
              <w:left w:val="single" w:sz="6" w:space="0" w:color="auto"/>
              <w:bottom w:val="single" w:sz="6" w:space="0" w:color="auto"/>
              <w:right w:val="single" w:sz="6" w:space="0" w:color="auto"/>
            </w:tcBorders>
            <w:hideMark/>
          </w:tcPr>
          <w:p w14:paraId="7B03EFDE" w14:textId="77777777" w:rsidR="006B327B" w:rsidRPr="003C486E" w:rsidRDefault="006B327B">
            <w:pPr>
              <w:pStyle w:val="TableText"/>
              <w:keepNext/>
              <w:jc w:val="center"/>
            </w:pPr>
            <w:r w:rsidRPr="006D01CA">
              <w:t>8.249</w:t>
            </w:r>
          </w:p>
        </w:tc>
        <w:tc>
          <w:tcPr>
            <w:tcW w:w="560" w:type="pct"/>
            <w:tcBorders>
              <w:top w:val="single" w:sz="6" w:space="0" w:color="auto"/>
              <w:left w:val="single" w:sz="6" w:space="0" w:color="auto"/>
              <w:bottom w:val="single" w:sz="6" w:space="0" w:color="auto"/>
              <w:right w:val="single" w:sz="6" w:space="0" w:color="auto"/>
            </w:tcBorders>
            <w:hideMark/>
          </w:tcPr>
          <w:p w14:paraId="6115FFDF" w14:textId="77777777" w:rsidR="006B327B" w:rsidRPr="003C486E" w:rsidRDefault="006B327B">
            <w:pPr>
              <w:pStyle w:val="TableText"/>
              <w:keepNext/>
              <w:jc w:val="center"/>
            </w:pPr>
            <w:r w:rsidRPr="006D01CA">
              <w:t>0.579</w:t>
            </w:r>
          </w:p>
        </w:tc>
      </w:tr>
      <w:tr w:rsidR="00183DE0" w:rsidRPr="003C486E" w14:paraId="0F4D5723" w14:textId="77777777" w:rsidTr="004F2B92">
        <w:trPr>
          <w:trHeight w:val="300"/>
        </w:trPr>
        <w:tc>
          <w:tcPr>
            <w:tcW w:w="1823" w:type="pct"/>
            <w:tcBorders>
              <w:top w:val="single" w:sz="6" w:space="0" w:color="auto"/>
              <w:left w:val="single" w:sz="6" w:space="0" w:color="auto"/>
              <w:bottom w:val="single" w:sz="6" w:space="0" w:color="auto"/>
              <w:right w:val="single" w:sz="6" w:space="0" w:color="auto"/>
            </w:tcBorders>
            <w:hideMark/>
          </w:tcPr>
          <w:p w14:paraId="156DBBE6" w14:textId="77777777" w:rsidR="006B327B" w:rsidRPr="003C486E" w:rsidRDefault="006B327B">
            <w:pPr>
              <w:pStyle w:val="TableText"/>
              <w:keepNext/>
              <w:rPr>
                <w:b/>
                <w:bCs/>
              </w:rPr>
            </w:pPr>
            <w:r w:rsidRPr="003C486E">
              <w:rPr>
                <w:b/>
                <w:bCs/>
              </w:rPr>
              <w:t>Incremental costs per QALY gained</w:t>
            </w:r>
          </w:p>
        </w:tc>
        <w:tc>
          <w:tcPr>
            <w:tcW w:w="1812" w:type="pct"/>
            <w:gridSpan w:val="3"/>
            <w:tcBorders>
              <w:top w:val="single" w:sz="6" w:space="0" w:color="auto"/>
              <w:left w:val="single" w:sz="6" w:space="0" w:color="auto"/>
              <w:bottom w:val="single" w:sz="6" w:space="0" w:color="auto"/>
              <w:right w:val="single" w:sz="6" w:space="0" w:color="auto"/>
            </w:tcBorders>
            <w:hideMark/>
          </w:tcPr>
          <w:p w14:paraId="2DCE2BDD" w14:textId="6E6F435B" w:rsidR="006B327B" w:rsidRPr="008B254C" w:rsidRDefault="004F2B92">
            <w:pPr>
              <w:pStyle w:val="TableText"/>
              <w:keepNext/>
              <w:jc w:val="center"/>
              <w:rPr>
                <w:highlight w:val="yellow"/>
              </w:rPr>
            </w:pPr>
            <w:r w:rsidRPr="00F8701B">
              <w:t>$</w:t>
            </w:r>
            <w:r w:rsidRPr="00F8701B">
              <w:rPr>
                <w:b/>
                <w:bCs/>
              </w:rPr>
              <w:t>Redacted</w:t>
            </w:r>
            <w:r w:rsidRPr="008B254C">
              <w:rPr>
                <w:vertAlign w:val="superscript"/>
              </w:rPr>
              <w:t>1</w:t>
            </w:r>
          </w:p>
        </w:tc>
        <w:tc>
          <w:tcPr>
            <w:tcW w:w="1365" w:type="pct"/>
            <w:gridSpan w:val="3"/>
            <w:tcBorders>
              <w:top w:val="single" w:sz="6" w:space="0" w:color="auto"/>
              <w:left w:val="single" w:sz="6" w:space="0" w:color="auto"/>
              <w:bottom w:val="single" w:sz="6" w:space="0" w:color="auto"/>
              <w:right w:val="single" w:sz="6" w:space="0" w:color="auto"/>
            </w:tcBorders>
            <w:hideMark/>
          </w:tcPr>
          <w:p w14:paraId="597597CC" w14:textId="5FAF9780" w:rsidR="006B327B" w:rsidRPr="008B254C" w:rsidRDefault="004F2B92">
            <w:pPr>
              <w:pStyle w:val="TableText"/>
              <w:keepNext/>
              <w:jc w:val="center"/>
              <w:rPr>
                <w:highlight w:val="yellow"/>
              </w:rPr>
            </w:pPr>
            <w:r w:rsidRPr="00F8701B">
              <w:t>$</w:t>
            </w:r>
            <w:r w:rsidRPr="00F8701B">
              <w:rPr>
                <w:b/>
                <w:bCs/>
              </w:rPr>
              <w:t>Redacted</w:t>
            </w:r>
            <w:r w:rsidRPr="00F8701B">
              <w:rPr>
                <w:vertAlign w:val="superscript"/>
              </w:rPr>
              <w:t>1</w:t>
            </w:r>
          </w:p>
        </w:tc>
      </w:tr>
    </w:tbl>
    <w:p w14:paraId="25148E04" w14:textId="0AD890F3" w:rsidR="006B327B" w:rsidRPr="004C00B5" w:rsidRDefault="00A95451" w:rsidP="007523E9">
      <w:pPr>
        <w:pStyle w:val="TableFooter"/>
        <w:rPr>
          <w:rFonts w:eastAsia="Arial Narrow" w:cs="Arial Narrow"/>
          <w:szCs w:val="18"/>
        </w:rPr>
      </w:pPr>
      <w:r w:rsidRPr="007523E9">
        <w:rPr>
          <w:rFonts w:eastAsia="Arial Narrow"/>
          <w:b/>
          <w:bCs/>
        </w:rPr>
        <w:t>Abb</w:t>
      </w:r>
      <w:r w:rsidR="007523E9" w:rsidRPr="007523E9">
        <w:rPr>
          <w:rFonts w:eastAsia="Arial Narrow"/>
          <w:b/>
          <w:bCs/>
        </w:rPr>
        <w:t>reviations:</w:t>
      </w:r>
      <w:r w:rsidR="007523E9">
        <w:rPr>
          <w:rFonts w:eastAsia="Arial Narrow"/>
        </w:rPr>
        <w:t xml:space="preserve"> </w:t>
      </w:r>
      <w:r w:rsidR="006B327B" w:rsidRPr="004C00B5">
        <w:rPr>
          <w:rFonts w:eastAsia="Arial Narrow"/>
        </w:rPr>
        <w:t>IIT= intensive insulin therapy</w:t>
      </w:r>
      <w:r w:rsidR="006B327B">
        <w:rPr>
          <w:rFonts w:eastAsia="Arial Narrow" w:cs="Arial Narrow"/>
          <w:szCs w:val="18"/>
        </w:rPr>
        <w:t>;</w:t>
      </w:r>
      <w:r w:rsidR="006B327B" w:rsidRPr="004C00B5">
        <w:rPr>
          <w:rFonts w:eastAsia="Arial Narrow" w:cs="Arial Narrow"/>
          <w:szCs w:val="18"/>
        </w:rPr>
        <w:t> </w:t>
      </w:r>
      <w:r w:rsidR="006B327B">
        <w:rPr>
          <w:rFonts w:eastAsia="Arial Narrow" w:cs="Arial Narrow"/>
          <w:szCs w:val="18"/>
        </w:rPr>
        <w:t xml:space="preserve">LY = life year; </w:t>
      </w:r>
      <w:r w:rsidR="006B327B" w:rsidRPr="004C00B5">
        <w:rPr>
          <w:rFonts w:eastAsia="Arial Narrow" w:cs="Arial Narrow"/>
          <w:szCs w:val="18"/>
        </w:rPr>
        <w:t>QALY = quality-adjusted life year</w:t>
      </w:r>
      <w:r w:rsidR="006B327B">
        <w:rPr>
          <w:rFonts w:eastAsia="Arial Narrow" w:cs="Arial Narrow"/>
          <w:szCs w:val="18"/>
        </w:rPr>
        <w:t>;</w:t>
      </w:r>
      <w:r w:rsidR="006B327B" w:rsidRPr="004C00B5">
        <w:rPr>
          <w:rFonts w:eastAsia="Arial Narrow" w:cs="Arial Narrow"/>
          <w:szCs w:val="18"/>
        </w:rPr>
        <w:t> RT-CGM = real-time continuous glucose monitoring</w:t>
      </w:r>
      <w:r w:rsidR="006B327B">
        <w:rPr>
          <w:rFonts w:eastAsia="Arial Narrow" w:cs="Arial Narrow"/>
          <w:szCs w:val="18"/>
        </w:rPr>
        <w:t>;</w:t>
      </w:r>
      <w:r w:rsidR="006B327B" w:rsidRPr="004C00B5">
        <w:rPr>
          <w:rFonts w:eastAsia="Arial Narrow" w:cs="Arial Narrow"/>
          <w:szCs w:val="18"/>
        </w:rPr>
        <w:t> SMBG = self-monitoring of blood glucose</w:t>
      </w:r>
      <w:r w:rsidR="006B327B">
        <w:rPr>
          <w:rFonts w:eastAsia="Arial Narrow" w:cs="Arial Narrow"/>
          <w:szCs w:val="18"/>
        </w:rPr>
        <w:t>; UKPDS = UK prospective diabetes study</w:t>
      </w:r>
      <w:r w:rsidR="006B327B" w:rsidRPr="004C00B5">
        <w:rPr>
          <w:rFonts w:eastAsia="Arial Narrow" w:cs="Arial Narrow"/>
          <w:szCs w:val="18"/>
        </w:rPr>
        <w:t>. </w:t>
      </w:r>
    </w:p>
    <w:p w14:paraId="34F4E1D7" w14:textId="77777777" w:rsidR="00A9174E" w:rsidRDefault="00A95451" w:rsidP="00FA19FC">
      <w:pPr>
        <w:pStyle w:val="TableFooter"/>
        <w:rPr>
          <w:lang w:eastAsia="en-AU"/>
        </w:rPr>
      </w:pPr>
      <w:r w:rsidRPr="00A95451">
        <w:rPr>
          <w:b/>
          <w:bCs/>
          <w:lang w:eastAsia="en-AU"/>
        </w:rPr>
        <w:t>Source:</w:t>
      </w:r>
      <w:r>
        <w:rPr>
          <w:lang w:eastAsia="en-AU"/>
        </w:rPr>
        <w:t xml:space="preserve"> </w:t>
      </w:r>
      <w:r w:rsidRPr="00C81E0C">
        <w:rPr>
          <w:lang w:eastAsia="en-AU"/>
        </w:rPr>
        <w:t>Adapted from Table</w:t>
      </w:r>
      <w:r w:rsidR="003837FC">
        <w:rPr>
          <w:lang w:eastAsia="en-AU"/>
        </w:rPr>
        <w:t>s 31 and 32</w:t>
      </w:r>
      <w:r w:rsidRPr="00C81E0C">
        <w:rPr>
          <w:lang w:eastAsia="en-AU"/>
        </w:rPr>
        <w:t>, p</w:t>
      </w:r>
      <w:r w:rsidR="003837FC">
        <w:rPr>
          <w:lang w:eastAsia="en-AU"/>
        </w:rPr>
        <w:t>p</w:t>
      </w:r>
      <w:r w:rsidR="00D67F63">
        <w:rPr>
          <w:lang w:eastAsia="en-AU"/>
        </w:rPr>
        <w:t>. 96-98</w:t>
      </w:r>
      <w:r w:rsidRPr="00C81E0C">
        <w:rPr>
          <w:lang w:eastAsia="en-AU"/>
        </w:rPr>
        <w:t> of the MSAC 17</w:t>
      </w:r>
      <w:r>
        <w:rPr>
          <w:lang w:eastAsia="en-AU"/>
        </w:rPr>
        <w:t>85</w:t>
      </w:r>
      <w:r w:rsidRPr="00C81E0C">
        <w:rPr>
          <w:lang w:eastAsia="en-AU"/>
        </w:rPr>
        <w:t> ADAR</w:t>
      </w:r>
      <w:r>
        <w:rPr>
          <w:lang w:eastAsia="en-AU"/>
        </w:rPr>
        <w:t xml:space="preserve"> </w:t>
      </w:r>
      <w:r w:rsidRPr="00C81E0C">
        <w:rPr>
          <w:lang w:eastAsia="en-AU"/>
        </w:rPr>
        <w:t>+</w:t>
      </w:r>
      <w:r>
        <w:rPr>
          <w:lang w:eastAsia="en-AU"/>
        </w:rPr>
        <w:t xml:space="preserve"> </w:t>
      </w:r>
      <w:r w:rsidRPr="00C81E0C">
        <w:rPr>
          <w:lang w:eastAsia="en-AU"/>
        </w:rPr>
        <w:t>in-line commentary</w:t>
      </w:r>
      <w:r>
        <w:rPr>
          <w:lang w:eastAsia="en-AU"/>
        </w:rPr>
        <w:t>.</w:t>
      </w:r>
    </w:p>
    <w:p w14:paraId="72004368" w14:textId="77777777" w:rsidR="00A9174E" w:rsidRDefault="00A9174E" w:rsidP="00FA19FC">
      <w:pPr>
        <w:pStyle w:val="TableFooter"/>
        <w:rPr>
          <w:lang w:eastAsia="en-AU"/>
        </w:rPr>
      </w:pPr>
      <w:r>
        <w:rPr>
          <w:lang w:eastAsia="en-AU"/>
        </w:rPr>
        <w:t>The redacted values correspond to the following ranges:</w:t>
      </w:r>
    </w:p>
    <w:p w14:paraId="6B99BFC0" w14:textId="53DD896E" w:rsidR="007E7BA0" w:rsidRDefault="00A9174E" w:rsidP="00FA19FC">
      <w:pPr>
        <w:pStyle w:val="TableFooter"/>
        <w:rPr>
          <w:lang w:eastAsia="en-AU"/>
        </w:rPr>
      </w:pPr>
      <w:r>
        <w:rPr>
          <w:vertAlign w:val="superscript"/>
          <w:lang w:eastAsia="en-AU"/>
        </w:rPr>
        <w:t>1</w:t>
      </w:r>
      <w:r>
        <w:rPr>
          <w:lang w:eastAsia="en-AU"/>
        </w:rPr>
        <w:t xml:space="preserve"> $5,000 to &lt; $15,000</w:t>
      </w:r>
      <w:r w:rsidR="00A95451" w:rsidRPr="00C81E0C">
        <w:rPr>
          <w:lang w:eastAsia="en-AU"/>
        </w:rPr>
        <w:t>  </w:t>
      </w:r>
    </w:p>
    <w:p w14:paraId="2D133B70" w14:textId="7E37F318" w:rsidR="007E7BA0" w:rsidRDefault="000A56D9" w:rsidP="00101AE3">
      <w:pPr>
        <w:rPr>
          <w:lang w:eastAsia="en-AU"/>
        </w:rPr>
      </w:pPr>
      <w:r>
        <w:t xml:space="preserve">The </w:t>
      </w:r>
      <w:r w:rsidR="005C528C">
        <w:t>disaggregated</w:t>
      </w:r>
      <w:r>
        <w:t xml:space="preserve"> base case costs </w:t>
      </w:r>
      <w:r w:rsidR="00A944B2">
        <w:t>for</w:t>
      </w:r>
      <w:r w:rsidR="00897E7A">
        <w:t xml:space="preserve"> the</w:t>
      </w:r>
      <w:r w:rsidR="00A944B2">
        <w:t xml:space="preserve"> IIT subpopulation are presented in </w:t>
      </w:r>
      <w:r w:rsidR="00A944B2">
        <w:fldChar w:fldCharType="begin"/>
      </w:r>
      <w:r w:rsidR="00A944B2">
        <w:instrText xml:space="preserve"> REF _Ref228797109 \h  \* MERGEFORMAT </w:instrText>
      </w:r>
      <w:r w:rsidR="00A944B2">
        <w:fldChar w:fldCharType="separate"/>
      </w:r>
      <w:r w:rsidR="0098516D" w:rsidRPr="00C42F98">
        <w:t xml:space="preserve">Table </w:t>
      </w:r>
      <w:r w:rsidR="0098516D">
        <w:t>14</w:t>
      </w:r>
      <w:r w:rsidR="00A944B2">
        <w:fldChar w:fldCharType="end"/>
      </w:r>
      <w:r w:rsidR="00A944B2">
        <w:t>.</w:t>
      </w:r>
    </w:p>
    <w:p w14:paraId="12448A31" w14:textId="1BF79D0B" w:rsidR="006036F6" w:rsidRPr="00101AE3" w:rsidRDefault="00C42F98" w:rsidP="00101AE3">
      <w:pPr>
        <w:pStyle w:val="Caption"/>
      </w:pPr>
      <w:bookmarkStart w:id="46" w:name="_Ref228797109"/>
      <w:r w:rsidRPr="00C42F98">
        <w:lastRenderedPageBreak/>
        <w:t xml:space="preserve">Table </w:t>
      </w:r>
      <w:r>
        <w:fldChar w:fldCharType="begin"/>
      </w:r>
      <w:r>
        <w:instrText>SEQ Table \* ARABIC</w:instrText>
      </w:r>
      <w:r>
        <w:fldChar w:fldCharType="separate"/>
      </w:r>
      <w:r w:rsidR="0098516D">
        <w:rPr>
          <w:noProof/>
        </w:rPr>
        <w:t>14</w:t>
      </w:r>
      <w:r>
        <w:fldChar w:fldCharType="end"/>
      </w:r>
      <w:bookmarkEnd w:id="46"/>
      <w:r w:rsidRPr="00C42F98">
        <w:t xml:space="preserve">: </w:t>
      </w:r>
      <w:r w:rsidR="004E7A0E">
        <w:t>D</w:t>
      </w:r>
      <w:r w:rsidR="007C636A">
        <w:t>isaggrega</w:t>
      </w:r>
      <w:r w:rsidR="00254B03">
        <w:t>ted</w:t>
      </w:r>
      <w:r w:rsidR="007C636A">
        <w:t xml:space="preserve"> b</w:t>
      </w:r>
      <w:r w:rsidR="005B45A6" w:rsidRPr="00101AE3">
        <w:t xml:space="preserve">ase case cost </w:t>
      </w:r>
      <w:r w:rsidR="00E06DBA" w:rsidRPr="00101AE3">
        <w:t xml:space="preserve">for </w:t>
      </w:r>
      <w:r w:rsidR="00AA7F73" w:rsidRPr="00101AE3">
        <w:t xml:space="preserve">RT-CGM vs SMBG </w:t>
      </w:r>
      <w:r w:rsidR="004912E5" w:rsidRPr="00101AE3">
        <w:t>for IIT population</w:t>
      </w:r>
    </w:p>
    <w:tbl>
      <w:tblPr>
        <w:tblStyle w:val="TableGrid"/>
        <w:tblW w:w="5000" w:type="pct"/>
        <w:tblLayout w:type="fixed"/>
        <w:tblLook w:val="04A0" w:firstRow="1" w:lastRow="0" w:firstColumn="1" w:lastColumn="0" w:noHBand="0" w:noVBand="1"/>
      </w:tblPr>
      <w:tblGrid>
        <w:gridCol w:w="1417"/>
        <w:gridCol w:w="951"/>
        <w:gridCol w:w="950"/>
        <w:gridCol w:w="950"/>
        <w:gridCol w:w="950"/>
        <w:gridCol w:w="950"/>
        <w:gridCol w:w="950"/>
        <w:gridCol w:w="950"/>
        <w:gridCol w:w="948"/>
      </w:tblGrid>
      <w:tr w:rsidR="00371FE0" w:rsidRPr="00E25AB2" w14:paraId="3E054BE0" w14:textId="77777777" w:rsidTr="00030059">
        <w:tc>
          <w:tcPr>
            <w:tcW w:w="785" w:type="pct"/>
            <w:vMerge w:val="restart"/>
            <w:shd w:val="clear" w:color="auto" w:fill="D9D9D9" w:themeFill="background1" w:themeFillShade="D9"/>
            <w:vAlign w:val="center"/>
          </w:tcPr>
          <w:p w14:paraId="382F0700" w14:textId="49520272" w:rsidR="007E7BA0" w:rsidRPr="009A3411" w:rsidRDefault="00933DC4" w:rsidP="00101AE3">
            <w:pPr>
              <w:pStyle w:val="In-tableHeading"/>
              <w:jc w:val="center"/>
            </w:pPr>
            <w:r w:rsidRPr="009A3411">
              <w:t>Base</w:t>
            </w:r>
            <w:r w:rsidR="00C42F98" w:rsidRPr="00A41C72">
              <w:t xml:space="preserve"> </w:t>
            </w:r>
            <w:r w:rsidRPr="00A41C72">
              <w:t>case costs &amp; outcomes</w:t>
            </w:r>
          </w:p>
        </w:tc>
        <w:tc>
          <w:tcPr>
            <w:tcW w:w="2107" w:type="pct"/>
            <w:gridSpan w:val="4"/>
            <w:shd w:val="clear" w:color="auto" w:fill="D9D9D9" w:themeFill="background1" w:themeFillShade="D9"/>
            <w:vAlign w:val="center"/>
          </w:tcPr>
          <w:p w14:paraId="6C2B1F5F" w14:textId="7BC5D0B5" w:rsidR="007E7BA0" w:rsidRPr="009A3411" w:rsidRDefault="00933DC4" w:rsidP="00101AE3">
            <w:pPr>
              <w:pStyle w:val="In-tableHeading"/>
              <w:jc w:val="center"/>
            </w:pPr>
            <w:r w:rsidRPr="009A3411">
              <w:t>UKPDS</w:t>
            </w:r>
          </w:p>
        </w:tc>
        <w:tc>
          <w:tcPr>
            <w:tcW w:w="2108" w:type="pct"/>
            <w:gridSpan w:val="4"/>
            <w:shd w:val="clear" w:color="auto" w:fill="D9D9D9" w:themeFill="background1" w:themeFillShade="D9"/>
          </w:tcPr>
          <w:p w14:paraId="3715AAE2" w14:textId="7F8DC1A6" w:rsidR="00933DC4" w:rsidRPr="00101AE3" w:rsidRDefault="00933DC4" w:rsidP="00101AE3">
            <w:pPr>
              <w:pStyle w:val="In-tableHeading"/>
              <w:jc w:val="center"/>
              <w:rPr>
                <w:b w:val="0"/>
              </w:rPr>
            </w:pPr>
            <w:r w:rsidRPr="009A3411">
              <w:t>Fremantle</w:t>
            </w:r>
          </w:p>
        </w:tc>
      </w:tr>
      <w:tr w:rsidR="001865E0" w:rsidRPr="00E25AB2" w14:paraId="5D03D69D" w14:textId="77777777" w:rsidTr="00030059">
        <w:tc>
          <w:tcPr>
            <w:tcW w:w="785" w:type="pct"/>
            <w:vMerge/>
            <w:shd w:val="clear" w:color="auto" w:fill="D9D9D9" w:themeFill="background1" w:themeFillShade="D9"/>
          </w:tcPr>
          <w:p w14:paraId="3D99345C" w14:textId="77777777" w:rsidR="00933DC4" w:rsidRPr="009A3411" w:rsidRDefault="00933DC4" w:rsidP="00101AE3">
            <w:pPr>
              <w:pStyle w:val="In-tableHeading"/>
              <w:jc w:val="center"/>
            </w:pPr>
          </w:p>
        </w:tc>
        <w:tc>
          <w:tcPr>
            <w:tcW w:w="527" w:type="pct"/>
            <w:shd w:val="clear" w:color="auto" w:fill="D9D9D9" w:themeFill="background1" w:themeFillShade="D9"/>
            <w:vAlign w:val="center"/>
          </w:tcPr>
          <w:p w14:paraId="397A8C48" w14:textId="77246E90" w:rsidR="00933DC4" w:rsidRPr="009A3411" w:rsidRDefault="00933DC4" w:rsidP="00101AE3">
            <w:pPr>
              <w:pStyle w:val="In-tableHeading"/>
              <w:jc w:val="center"/>
            </w:pPr>
            <w:r w:rsidRPr="009A3411">
              <w:t>RT-CGM</w:t>
            </w:r>
          </w:p>
        </w:tc>
        <w:tc>
          <w:tcPr>
            <w:tcW w:w="527" w:type="pct"/>
            <w:shd w:val="clear" w:color="auto" w:fill="D9D9D9" w:themeFill="background1" w:themeFillShade="D9"/>
            <w:vAlign w:val="center"/>
          </w:tcPr>
          <w:p w14:paraId="2D647E59" w14:textId="4BB28FFD" w:rsidR="00933DC4" w:rsidRPr="009A3411" w:rsidRDefault="00933DC4" w:rsidP="00101AE3">
            <w:pPr>
              <w:pStyle w:val="In-tableHeading"/>
              <w:jc w:val="center"/>
            </w:pPr>
            <w:r w:rsidRPr="009A3411">
              <w:t>SMBG</w:t>
            </w:r>
          </w:p>
        </w:tc>
        <w:tc>
          <w:tcPr>
            <w:tcW w:w="527" w:type="pct"/>
            <w:shd w:val="clear" w:color="auto" w:fill="D9D9D9" w:themeFill="background1" w:themeFillShade="D9"/>
            <w:vAlign w:val="center"/>
          </w:tcPr>
          <w:p w14:paraId="034FEE28" w14:textId="1C4AA944" w:rsidR="00933DC4" w:rsidRPr="009A3411" w:rsidRDefault="00933DC4" w:rsidP="00101AE3">
            <w:pPr>
              <w:pStyle w:val="In-tableHeading"/>
              <w:jc w:val="center"/>
            </w:pPr>
            <w:r w:rsidRPr="009A3411">
              <w:t>Difference</w:t>
            </w:r>
          </w:p>
        </w:tc>
        <w:tc>
          <w:tcPr>
            <w:tcW w:w="527" w:type="pct"/>
            <w:shd w:val="clear" w:color="auto" w:fill="D9D9D9" w:themeFill="background1" w:themeFillShade="D9"/>
          </w:tcPr>
          <w:p w14:paraId="2C70357F" w14:textId="774C4CB3" w:rsidR="00933DC4" w:rsidRPr="00101AE3" w:rsidRDefault="00933DC4" w:rsidP="00101AE3">
            <w:pPr>
              <w:pStyle w:val="In-tableHeading"/>
              <w:jc w:val="center"/>
              <w:rPr>
                <w:b w:val="0"/>
                <w:i/>
              </w:rPr>
            </w:pPr>
            <w:r w:rsidRPr="00101AE3">
              <w:rPr>
                <w:i/>
              </w:rPr>
              <w:t>% of incremental cost</w:t>
            </w:r>
          </w:p>
        </w:tc>
        <w:tc>
          <w:tcPr>
            <w:tcW w:w="527" w:type="pct"/>
            <w:shd w:val="clear" w:color="auto" w:fill="D9D9D9" w:themeFill="background1" w:themeFillShade="D9"/>
            <w:vAlign w:val="center"/>
          </w:tcPr>
          <w:p w14:paraId="67C10F1F" w14:textId="766A06C3" w:rsidR="00933DC4" w:rsidRPr="009A3411" w:rsidRDefault="00933DC4" w:rsidP="00101AE3">
            <w:pPr>
              <w:pStyle w:val="In-tableHeading"/>
              <w:jc w:val="center"/>
            </w:pPr>
            <w:r w:rsidRPr="009A3411">
              <w:t>RT-CGM</w:t>
            </w:r>
          </w:p>
        </w:tc>
        <w:tc>
          <w:tcPr>
            <w:tcW w:w="527" w:type="pct"/>
            <w:shd w:val="clear" w:color="auto" w:fill="D9D9D9" w:themeFill="background1" w:themeFillShade="D9"/>
            <w:vAlign w:val="center"/>
          </w:tcPr>
          <w:p w14:paraId="746DFBC3" w14:textId="5C924F5D" w:rsidR="00933DC4" w:rsidRPr="009A3411" w:rsidRDefault="00933DC4" w:rsidP="00101AE3">
            <w:pPr>
              <w:pStyle w:val="In-tableHeading"/>
              <w:jc w:val="center"/>
            </w:pPr>
            <w:r w:rsidRPr="009A3411">
              <w:t>SMBG</w:t>
            </w:r>
          </w:p>
        </w:tc>
        <w:tc>
          <w:tcPr>
            <w:tcW w:w="527" w:type="pct"/>
            <w:shd w:val="clear" w:color="auto" w:fill="D9D9D9" w:themeFill="background1" w:themeFillShade="D9"/>
            <w:vAlign w:val="center"/>
          </w:tcPr>
          <w:p w14:paraId="02E6A55F" w14:textId="73FB8B9B" w:rsidR="00933DC4" w:rsidRPr="009A3411" w:rsidRDefault="00933DC4" w:rsidP="00101AE3">
            <w:pPr>
              <w:pStyle w:val="In-tableHeading"/>
              <w:jc w:val="center"/>
            </w:pPr>
            <w:r w:rsidRPr="009A3411">
              <w:t>Difference</w:t>
            </w:r>
          </w:p>
        </w:tc>
        <w:tc>
          <w:tcPr>
            <w:tcW w:w="527" w:type="pct"/>
            <w:shd w:val="clear" w:color="auto" w:fill="D9D9D9" w:themeFill="background1" w:themeFillShade="D9"/>
          </w:tcPr>
          <w:p w14:paraId="1734DBA7" w14:textId="1427BDEF" w:rsidR="00933DC4" w:rsidRPr="00101AE3" w:rsidRDefault="00933DC4" w:rsidP="00101AE3">
            <w:pPr>
              <w:pStyle w:val="In-tableHeading"/>
              <w:jc w:val="center"/>
              <w:rPr>
                <w:b w:val="0"/>
                <w:i/>
              </w:rPr>
            </w:pPr>
            <w:r w:rsidRPr="00101AE3">
              <w:rPr>
                <w:i/>
              </w:rPr>
              <w:t>% of incremental cost</w:t>
            </w:r>
          </w:p>
        </w:tc>
      </w:tr>
      <w:tr w:rsidR="007B1316" w:rsidRPr="00E25AB2" w14:paraId="4A6E4AD6" w14:textId="77777777" w:rsidTr="00030059">
        <w:tc>
          <w:tcPr>
            <w:tcW w:w="785" w:type="pct"/>
            <w:vAlign w:val="center"/>
          </w:tcPr>
          <w:p w14:paraId="20C63143" w14:textId="645D7C56" w:rsidR="007B1316" w:rsidRPr="00092265" w:rsidRDefault="007B1316" w:rsidP="007B1316">
            <w:pPr>
              <w:pStyle w:val="TableText"/>
              <w:keepNext/>
              <w:rPr>
                <w:lang w:eastAsia="en-AU"/>
              </w:rPr>
            </w:pPr>
            <w:r w:rsidRPr="009A3411">
              <w:t>Glucose monitoring costs</w:t>
            </w:r>
          </w:p>
        </w:tc>
        <w:tc>
          <w:tcPr>
            <w:tcW w:w="527" w:type="pct"/>
          </w:tcPr>
          <w:p w14:paraId="6E5C9022" w14:textId="02DC02B3" w:rsidR="007B1316" w:rsidRPr="008B254C" w:rsidRDefault="007B1316" w:rsidP="007B1316">
            <w:pPr>
              <w:pStyle w:val="TableText"/>
              <w:keepNext/>
              <w:rPr>
                <w:highlight w:val="yellow"/>
                <w:lang w:eastAsia="en-AU"/>
              </w:rPr>
            </w:pPr>
            <w:r w:rsidRPr="008B254C">
              <w:t>$</w:t>
            </w:r>
            <w:r w:rsidRPr="008B254C">
              <w:rPr>
                <w:b/>
                <w:bCs/>
              </w:rPr>
              <w:t>Redacted</w:t>
            </w:r>
          </w:p>
        </w:tc>
        <w:tc>
          <w:tcPr>
            <w:tcW w:w="527" w:type="pct"/>
          </w:tcPr>
          <w:p w14:paraId="70125C6A" w14:textId="35058F29" w:rsidR="007B1316" w:rsidRPr="008B254C" w:rsidRDefault="007B1316" w:rsidP="007B1316">
            <w:pPr>
              <w:pStyle w:val="TableText"/>
              <w:keepNext/>
              <w:rPr>
                <w:highlight w:val="yellow"/>
                <w:lang w:eastAsia="en-AU"/>
              </w:rPr>
            </w:pPr>
            <w:r w:rsidRPr="00626297">
              <w:t>$</w:t>
            </w:r>
            <w:r w:rsidRPr="00626297">
              <w:rPr>
                <w:b/>
                <w:bCs/>
              </w:rPr>
              <w:t>Redacted</w:t>
            </w:r>
          </w:p>
        </w:tc>
        <w:tc>
          <w:tcPr>
            <w:tcW w:w="527" w:type="pct"/>
          </w:tcPr>
          <w:p w14:paraId="0B703649" w14:textId="21D90EEA" w:rsidR="007B1316" w:rsidRPr="008B254C" w:rsidRDefault="007B1316" w:rsidP="007B1316">
            <w:pPr>
              <w:pStyle w:val="TableText"/>
              <w:keepNext/>
              <w:rPr>
                <w:highlight w:val="yellow"/>
                <w:lang w:eastAsia="en-AU"/>
              </w:rPr>
            </w:pPr>
            <w:r w:rsidRPr="00626297">
              <w:t>$</w:t>
            </w:r>
            <w:r w:rsidRPr="00626297">
              <w:rPr>
                <w:b/>
                <w:bCs/>
              </w:rPr>
              <w:t>Redacted</w:t>
            </w:r>
          </w:p>
        </w:tc>
        <w:tc>
          <w:tcPr>
            <w:tcW w:w="527" w:type="pct"/>
          </w:tcPr>
          <w:p w14:paraId="6ADF5806" w14:textId="333BB90B" w:rsidR="007B1316" w:rsidRPr="008B254C" w:rsidRDefault="007B1316" w:rsidP="007B1316">
            <w:pPr>
              <w:pStyle w:val="TableText"/>
              <w:keepNext/>
              <w:rPr>
                <w:i/>
                <w:highlight w:val="yellow"/>
                <w:lang w:eastAsia="en-AU"/>
              </w:rPr>
            </w:pPr>
            <w:r w:rsidRPr="008B254C">
              <w:rPr>
                <w:b/>
                <w:bCs/>
                <w:i/>
              </w:rPr>
              <w:t>Redacted</w:t>
            </w:r>
            <w:r w:rsidRPr="008B254C">
              <w:rPr>
                <w:i/>
              </w:rPr>
              <w:t>%</w:t>
            </w:r>
          </w:p>
        </w:tc>
        <w:tc>
          <w:tcPr>
            <w:tcW w:w="527" w:type="pct"/>
          </w:tcPr>
          <w:p w14:paraId="1540BF4A" w14:textId="62367EDA" w:rsidR="007B1316" w:rsidRPr="008B254C" w:rsidRDefault="007B1316" w:rsidP="007B1316">
            <w:pPr>
              <w:pStyle w:val="TableText"/>
              <w:keepNext/>
              <w:rPr>
                <w:highlight w:val="yellow"/>
                <w:lang w:eastAsia="en-AU"/>
              </w:rPr>
            </w:pPr>
            <w:r w:rsidRPr="00F32B98">
              <w:t>$</w:t>
            </w:r>
            <w:r w:rsidRPr="00F32B98">
              <w:rPr>
                <w:b/>
                <w:bCs/>
              </w:rPr>
              <w:t>Redacted</w:t>
            </w:r>
          </w:p>
        </w:tc>
        <w:tc>
          <w:tcPr>
            <w:tcW w:w="527" w:type="pct"/>
          </w:tcPr>
          <w:p w14:paraId="6FF73CF1" w14:textId="639E0F48" w:rsidR="007B1316" w:rsidRPr="008B254C" w:rsidRDefault="007B1316" w:rsidP="007B1316">
            <w:pPr>
              <w:pStyle w:val="TableText"/>
              <w:keepNext/>
              <w:rPr>
                <w:highlight w:val="yellow"/>
                <w:lang w:eastAsia="en-AU"/>
              </w:rPr>
            </w:pPr>
            <w:r w:rsidRPr="00F32B98">
              <w:t>$</w:t>
            </w:r>
            <w:r w:rsidRPr="00F32B98">
              <w:rPr>
                <w:b/>
                <w:bCs/>
              </w:rPr>
              <w:t>Redacted</w:t>
            </w:r>
          </w:p>
        </w:tc>
        <w:tc>
          <w:tcPr>
            <w:tcW w:w="527" w:type="pct"/>
          </w:tcPr>
          <w:p w14:paraId="48841F9A" w14:textId="1C552B61" w:rsidR="007B1316" w:rsidRPr="008B254C" w:rsidRDefault="007B1316" w:rsidP="007B1316">
            <w:pPr>
              <w:pStyle w:val="TableText"/>
              <w:keepNext/>
              <w:rPr>
                <w:highlight w:val="yellow"/>
                <w:lang w:eastAsia="en-AU"/>
              </w:rPr>
            </w:pPr>
            <w:r w:rsidRPr="00F32B98">
              <w:t>$</w:t>
            </w:r>
            <w:r w:rsidRPr="00F32B98">
              <w:rPr>
                <w:b/>
                <w:bCs/>
              </w:rPr>
              <w:t>Redacted</w:t>
            </w:r>
          </w:p>
        </w:tc>
        <w:tc>
          <w:tcPr>
            <w:tcW w:w="527" w:type="pct"/>
          </w:tcPr>
          <w:p w14:paraId="0AC8F83D" w14:textId="2779D7D5" w:rsidR="007B1316" w:rsidRPr="008B254C" w:rsidRDefault="007B1316" w:rsidP="007B1316">
            <w:pPr>
              <w:pStyle w:val="TableText"/>
              <w:keepNext/>
              <w:rPr>
                <w:i/>
                <w:highlight w:val="yellow"/>
                <w:lang w:eastAsia="en-AU"/>
              </w:rPr>
            </w:pPr>
            <w:r w:rsidRPr="000470EF">
              <w:rPr>
                <w:b/>
                <w:bCs/>
                <w:i/>
              </w:rPr>
              <w:t>Redacted</w:t>
            </w:r>
            <w:r w:rsidRPr="000470EF">
              <w:rPr>
                <w:i/>
              </w:rPr>
              <w:t>%</w:t>
            </w:r>
          </w:p>
        </w:tc>
      </w:tr>
      <w:tr w:rsidR="007B1316" w:rsidRPr="00E25AB2" w14:paraId="3FE49D2F" w14:textId="77777777" w:rsidTr="00030059">
        <w:tc>
          <w:tcPr>
            <w:tcW w:w="785" w:type="pct"/>
            <w:vAlign w:val="center"/>
          </w:tcPr>
          <w:p w14:paraId="783E1F83" w14:textId="2C2369A1" w:rsidR="007B1316" w:rsidRPr="00092265" w:rsidRDefault="007B1316" w:rsidP="007B1316">
            <w:pPr>
              <w:pStyle w:val="TableText"/>
              <w:keepNext/>
              <w:rPr>
                <w:lang w:eastAsia="en-AU"/>
              </w:rPr>
            </w:pPr>
            <w:r w:rsidRPr="009A3411">
              <w:t>Management (preventative screening, medication) costs</w:t>
            </w:r>
          </w:p>
        </w:tc>
        <w:tc>
          <w:tcPr>
            <w:tcW w:w="527" w:type="pct"/>
          </w:tcPr>
          <w:p w14:paraId="024BE865" w14:textId="1DE2C796" w:rsidR="007B1316" w:rsidRPr="00092265" w:rsidRDefault="007B1316" w:rsidP="007B1316">
            <w:pPr>
              <w:pStyle w:val="TableText"/>
              <w:keepNext/>
              <w:rPr>
                <w:lang w:eastAsia="en-AU"/>
              </w:rPr>
            </w:pPr>
            <w:r w:rsidRPr="009A3411">
              <w:t>$2,873</w:t>
            </w:r>
          </w:p>
        </w:tc>
        <w:tc>
          <w:tcPr>
            <w:tcW w:w="527" w:type="pct"/>
          </w:tcPr>
          <w:p w14:paraId="351F0B49" w14:textId="200F7C7E" w:rsidR="007B1316" w:rsidRPr="00092265" w:rsidRDefault="007B1316" w:rsidP="007B1316">
            <w:pPr>
              <w:pStyle w:val="TableText"/>
              <w:keepNext/>
              <w:rPr>
                <w:lang w:eastAsia="en-AU"/>
              </w:rPr>
            </w:pPr>
            <w:r w:rsidRPr="009A3411">
              <w:t>$2,856</w:t>
            </w:r>
          </w:p>
        </w:tc>
        <w:tc>
          <w:tcPr>
            <w:tcW w:w="527" w:type="pct"/>
          </w:tcPr>
          <w:p w14:paraId="0300C9E4" w14:textId="0D27ADB1" w:rsidR="007B1316" w:rsidRPr="00092265" w:rsidRDefault="007B1316" w:rsidP="007B1316">
            <w:pPr>
              <w:pStyle w:val="TableText"/>
              <w:keepNext/>
              <w:rPr>
                <w:lang w:eastAsia="en-AU"/>
              </w:rPr>
            </w:pPr>
            <w:r w:rsidRPr="009A3411">
              <w:t>$17</w:t>
            </w:r>
          </w:p>
        </w:tc>
        <w:tc>
          <w:tcPr>
            <w:tcW w:w="527" w:type="pct"/>
          </w:tcPr>
          <w:p w14:paraId="504DD631" w14:textId="1BF8216C" w:rsidR="007B1316" w:rsidRPr="00451CF1" w:rsidRDefault="007B1316" w:rsidP="007B1316">
            <w:pPr>
              <w:pStyle w:val="TableText"/>
              <w:keepNext/>
              <w:rPr>
                <w:i/>
                <w:highlight w:val="yellow"/>
                <w:lang w:eastAsia="en-AU"/>
              </w:rPr>
            </w:pPr>
            <w:r w:rsidRPr="00131857">
              <w:rPr>
                <w:b/>
                <w:bCs/>
                <w:i/>
              </w:rPr>
              <w:t>Redacted</w:t>
            </w:r>
            <w:r w:rsidRPr="00131857">
              <w:rPr>
                <w:i/>
              </w:rPr>
              <w:t>%</w:t>
            </w:r>
          </w:p>
        </w:tc>
        <w:tc>
          <w:tcPr>
            <w:tcW w:w="527" w:type="pct"/>
          </w:tcPr>
          <w:p w14:paraId="551EEFA4" w14:textId="38C7A6B4" w:rsidR="007B1316" w:rsidRPr="00092265" w:rsidRDefault="007B1316" w:rsidP="007B1316">
            <w:pPr>
              <w:pStyle w:val="TableText"/>
              <w:keepNext/>
              <w:rPr>
                <w:lang w:eastAsia="en-AU"/>
              </w:rPr>
            </w:pPr>
            <w:r w:rsidRPr="009A3411">
              <w:t>$3,439</w:t>
            </w:r>
          </w:p>
        </w:tc>
        <w:tc>
          <w:tcPr>
            <w:tcW w:w="527" w:type="pct"/>
          </w:tcPr>
          <w:p w14:paraId="1EDC4F41" w14:textId="5E5317CA" w:rsidR="007B1316" w:rsidRPr="00092265" w:rsidRDefault="007B1316" w:rsidP="007B1316">
            <w:pPr>
              <w:pStyle w:val="TableText"/>
              <w:keepNext/>
              <w:rPr>
                <w:lang w:eastAsia="en-AU"/>
              </w:rPr>
            </w:pPr>
            <w:r w:rsidRPr="009A3411">
              <w:t>$3,423</w:t>
            </w:r>
          </w:p>
        </w:tc>
        <w:tc>
          <w:tcPr>
            <w:tcW w:w="527" w:type="pct"/>
          </w:tcPr>
          <w:p w14:paraId="186886FA" w14:textId="34C47667" w:rsidR="007B1316" w:rsidRPr="00092265" w:rsidRDefault="007B1316" w:rsidP="007B1316">
            <w:pPr>
              <w:pStyle w:val="TableText"/>
              <w:keepNext/>
              <w:rPr>
                <w:lang w:eastAsia="en-AU"/>
              </w:rPr>
            </w:pPr>
            <w:r w:rsidRPr="009A3411">
              <w:t>$16</w:t>
            </w:r>
          </w:p>
        </w:tc>
        <w:tc>
          <w:tcPr>
            <w:tcW w:w="527" w:type="pct"/>
          </w:tcPr>
          <w:p w14:paraId="2DEAECC1" w14:textId="6D68355E" w:rsidR="007B1316" w:rsidRPr="0018484B" w:rsidRDefault="007B1316" w:rsidP="007B1316">
            <w:pPr>
              <w:pStyle w:val="TableText"/>
              <w:keepNext/>
              <w:rPr>
                <w:i/>
                <w:highlight w:val="yellow"/>
                <w:lang w:eastAsia="en-AU"/>
              </w:rPr>
            </w:pPr>
            <w:r w:rsidRPr="000470EF">
              <w:rPr>
                <w:b/>
                <w:bCs/>
                <w:i/>
              </w:rPr>
              <w:t>Redacted</w:t>
            </w:r>
            <w:r w:rsidRPr="000470EF">
              <w:rPr>
                <w:i/>
              </w:rPr>
              <w:t>%</w:t>
            </w:r>
          </w:p>
        </w:tc>
      </w:tr>
      <w:tr w:rsidR="007B1316" w:rsidRPr="00E25AB2" w14:paraId="5986231A" w14:textId="77777777" w:rsidTr="00030059">
        <w:tc>
          <w:tcPr>
            <w:tcW w:w="785" w:type="pct"/>
            <w:vAlign w:val="center"/>
          </w:tcPr>
          <w:p w14:paraId="1D9D063D" w14:textId="79D79002" w:rsidR="007B1316" w:rsidRPr="00092265" w:rsidRDefault="007B1316" w:rsidP="007B1316">
            <w:pPr>
              <w:pStyle w:val="TableText"/>
              <w:keepNext/>
              <w:rPr>
                <w:lang w:eastAsia="en-AU"/>
              </w:rPr>
            </w:pPr>
            <w:r w:rsidRPr="009A3411">
              <w:t>CV complications</w:t>
            </w:r>
          </w:p>
        </w:tc>
        <w:tc>
          <w:tcPr>
            <w:tcW w:w="527" w:type="pct"/>
          </w:tcPr>
          <w:p w14:paraId="2C051DD7" w14:textId="19296383" w:rsidR="007B1316" w:rsidRPr="00092265" w:rsidRDefault="007B1316" w:rsidP="007B1316">
            <w:pPr>
              <w:pStyle w:val="TableText"/>
              <w:keepNext/>
              <w:rPr>
                <w:lang w:eastAsia="en-AU"/>
              </w:rPr>
            </w:pPr>
            <w:r w:rsidRPr="009A3411">
              <w:t>$78,315</w:t>
            </w:r>
          </w:p>
        </w:tc>
        <w:tc>
          <w:tcPr>
            <w:tcW w:w="527" w:type="pct"/>
          </w:tcPr>
          <w:p w14:paraId="5B56861D" w14:textId="63DB5B59" w:rsidR="007B1316" w:rsidRPr="00092265" w:rsidRDefault="007B1316" w:rsidP="007B1316">
            <w:pPr>
              <w:pStyle w:val="TableText"/>
              <w:keepNext/>
              <w:rPr>
                <w:lang w:eastAsia="en-AU"/>
              </w:rPr>
            </w:pPr>
            <w:r w:rsidRPr="009A3411">
              <w:t>$78,489</w:t>
            </w:r>
          </w:p>
        </w:tc>
        <w:tc>
          <w:tcPr>
            <w:tcW w:w="527" w:type="pct"/>
          </w:tcPr>
          <w:p w14:paraId="2163EB8A" w14:textId="5ADE70B5" w:rsidR="007B1316" w:rsidRPr="00092265" w:rsidRDefault="007B1316" w:rsidP="007B1316">
            <w:pPr>
              <w:pStyle w:val="TableText"/>
              <w:keepNext/>
              <w:rPr>
                <w:lang w:eastAsia="en-AU"/>
              </w:rPr>
            </w:pPr>
            <w:r w:rsidRPr="00101AE3">
              <w:t>−</w:t>
            </w:r>
            <w:r w:rsidRPr="009A3411">
              <w:t>$174</w:t>
            </w:r>
          </w:p>
        </w:tc>
        <w:tc>
          <w:tcPr>
            <w:tcW w:w="527" w:type="pct"/>
          </w:tcPr>
          <w:p w14:paraId="114FE148" w14:textId="42A3132A" w:rsidR="007B1316" w:rsidRPr="00451CF1" w:rsidRDefault="008B254C" w:rsidP="007B1316">
            <w:pPr>
              <w:pStyle w:val="TableText"/>
              <w:keepNext/>
              <w:rPr>
                <w:i/>
                <w:highlight w:val="yellow"/>
                <w:lang w:eastAsia="en-AU"/>
              </w:rPr>
            </w:pPr>
            <w:r>
              <w:rPr>
                <w:b/>
                <w:bCs/>
                <w:i/>
              </w:rPr>
              <w:t>-</w:t>
            </w:r>
            <w:r w:rsidR="007B1316" w:rsidRPr="00131857">
              <w:rPr>
                <w:b/>
                <w:bCs/>
                <w:i/>
              </w:rPr>
              <w:t>Redacted</w:t>
            </w:r>
            <w:r w:rsidR="007B1316" w:rsidRPr="00131857">
              <w:rPr>
                <w:i/>
              </w:rPr>
              <w:t>%</w:t>
            </w:r>
          </w:p>
        </w:tc>
        <w:tc>
          <w:tcPr>
            <w:tcW w:w="527" w:type="pct"/>
          </w:tcPr>
          <w:p w14:paraId="408239F5" w14:textId="27D48035" w:rsidR="007B1316" w:rsidRPr="00092265" w:rsidRDefault="007B1316" w:rsidP="007B1316">
            <w:pPr>
              <w:pStyle w:val="TableText"/>
              <w:keepNext/>
              <w:rPr>
                <w:lang w:eastAsia="en-AU"/>
              </w:rPr>
            </w:pPr>
            <w:r w:rsidRPr="009A3411">
              <w:t>$139,244</w:t>
            </w:r>
          </w:p>
        </w:tc>
        <w:tc>
          <w:tcPr>
            <w:tcW w:w="527" w:type="pct"/>
          </w:tcPr>
          <w:p w14:paraId="5EF64BB0" w14:textId="1E472C86" w:rsidR="007B1316" w:rsidRPr="00092265" w:rsidRDefault="007B1316" w:rsidP="007B1316">
            <w:pPr>
              <w:pStyle w:val="TableText"/>
              <w:keepNext/>
              <w:rPr>
                <w:lang w:eastAsia="en-AU"/>
              </w:rPr>
            </w:pPr>
            <w:r w:rsidRPr="009A3411">
              <w:t>$140,931</w:t>
            </w:r>
          </w:p>
        </w:tc>
        <w:tc>
          <w:tcPr>
            <w:tcW w:w="527" w:type="pct"/>
          </w:tcPr>
          <w:p w14:paraId="3EF5A50C" w14:textId="35C111D3" w:rsidR="007B1316" w:rsidRPr="00092265" w:rsidRDefault="007B1316" w:rsidP="007B1316">
            <w:pPr>
              <w:pStyle w:val="TableText"/>
              <w:keepNext/>
              <w:rPr>
                <w:lang w:eastAsia="en-AU"/>
              </w:rPr>
            </w:pPr>
            <w:r w:rsidRPr="00101AE3">
              <w:t>−</w:t>
            </w:r>
            <w:r w:rsidRPr="009A3411">
              <w:t>$1,687</w:t>
            </w:r>
          </w:p>
        </w:tc>
        <w:tc>
          <w:tcPr>
            <w:tcW w:w="527" w:type="pct"/>
          </w:tcPr>
          <w:p w14:paraId="4D8EF98D" w14:textId="2CC124C3" w:rsidR="007B1316" w:rsidRPr="0018484B" w:rsidRDefault="007B1316" w:rsidP="007B1316">
            <w:pPr>
              <w:pStyle w:val="TableText"/>
              <w:keepNext/>
              <w:rPr>
                <w:i/>
                <w:highlight w:val="yellow"/>
                <w:lang w:eastAsia="en-AU"/>
              </w:rPr>
            </w:pPr>
            <w:r>
              <w:rPr>
                <w:b/>
                <w:bCs/>
                <w:i/>
              </w:rPr>
              <w:t>-</w:t>
            </w:r>
            <w:r w:rsidRPr="000470EF">
              <w:rPr>
                <w:b/>
                <w:bCs/>
                <w:i/>
              </w:rPr>
              <w:t>Redacted</w:t>
            </w:r>
            <w:r w:rsidRPr="000470EF">
              <w:rPr>
                <w:i/>
              </w:rPr>
              <w:t>%</w:t>
            </w:r>
          </w:p>
        </w:tc>
      </w:tr>
      <w:tr w:rsidR="007B1316" w:rsidRPr="00E25AB2" w14:paraId="7D1BA59A" w14:textId="77777777" w:rsidTr="00030059">
        <w:tc>
          <w:tcPr>
            <w:tcW w:w="785" w:type="pct"/>
            <w:vAlign w:val="center"/>
          </w:tcPr>
          <w:p w14:paraId="245E1EF1" w14:textId="6897C5D9" w:rsidR="007B1316" w:rsidRPr="00092265" w:rsidRDefault="007B1316" w:rsidP="007B1316">
            <w:pPr>
              <w:pStyle w:val="TableText"/>
              <w:keepNext/>
              <w:rPr>
                <w:lang w:eastAsia="en-AU"/>
              </w:rPr>
            </w:pPr>
            <w:r w:rsidRPr="009A3411">
              <w:t>Renal complications</w:t>
            </w:r>
          </w:p>
        </w:tc>
        <w:tc>
          <w:tcPr>
            <w:tcW w:w="527" w:type="pct"/>
          </w:tcPr>
          <w:p w14:paraId="49D5C8A2" w14:textId="4CC6BEB9" w:rsidR="007B1316" w:rsidRPr="00092265" w:rsidRDefault="007B1316" w:rsidP="007B1316">
            <w:pPr>
              <w:pStyle w:val="TableText"/>
              <w:keepNext/>
              <w:rPr>
                <w:lang w:eastAsia="en-AU"/>
              </w:rPr>
            </w:pPr>
            <w:r w:rsidRPr="009A3411">
              <w:t>$23,726</w:t>
            </w:r>
          </w:p>
        </w:tc>
        <w:tc>
          <w:tcPr>
            <w:tcW w:w="527" w:type="pct"/>
          </w:tcPr>
          <w:p w14:paraId="297EDAD3" w14:textId="7F8F978B" w:rsidR="007B1316" w:rsidRPr="00092265" w:rsidRDefault="007B1316" w:rsidP="007B1316">
            <w:pPr>
              <w:pStyle w:val="TableText"/>
              <w:keepNext/>
              <w:rPr>
                <w:lang w:eastAsia="en-AU"/>
              </w:rPr>
            </w:pPr>
            <w:r w:rsidRPr="009A3411">
              <w:t>$25,112</w:t>
            </w:r>
          </w:p>
        </w:tc>
        <w:tc>
          <w:tcPr>
            <w:tcW w:w="527" w:type="pct"/>
          </w:tcPr>
          <w:p w14:paraId="029DA0AE" w14:textId="5E8546E8" w:rsidR="007B1316" w:rsidRPr="00092265" w:rsidRDefault="007B1316" w:rsidP="007B1316">
            <w:pPr>
              <w:pStyle w:val="TableText"/>
              <w:keepNext/>
              <w:rPr>
                <w:lang w:eastAsia="en-AU"/>
              </w:rPr>
            </w:pPr>
            <w:r w:rsidRPr="00101AE3">
              <w:t>−</w:t>
            </w:r>
            <w:r w:rsidRPr="009A3411">
              <w:t>$1,386</w:t>
            </w:r>
          </w:p>
        </w:tc>
        <w:tc>
          <w:tcPr>
            <w:tcW w:w="527" w:type="pct"/>
          </w:tcPr>
          <w:p w14:paraId="7429E662" w14:textId="20D4F222" w:rsidR="007B1316" w:rsidRPr="00451CF1" w:rsidRDefault="007B1316" w:rsidP="007B1316">
            <w:pPr>
              <w:pStyle w:val="TableText"/>
              <w:keepNext/>
              <w:rPr>
                <w:i/>
                <w:highlight w:val="yellow"/>
                <w:lang w:eastAsia="en-AU"/>
              </w:rPr>
            </w:pPr>
            <w:r>
              <w:rPr>
                <w:b/>
                <w:bCs/>
                <w:i/>
              </w:rPr>
              <w:t>-</w:t>
            </w:r>
            <w:r w:rsidRPr="00131857">
              <w:rPr>
                <w:b/>
                <w:bCs/>
                <w:i/>
              </w:rPr>
              <w:t>Redacted</w:t>
            </w:r>
            <w:r w:rsidRPr="00131857">
              <w:rPr>
                <w:i/>
              </w:rPr>
              <w:t>%</w:t>
            </w:r>
          </w:p>
        </w:tc>
        <w:tc>
          <w:tcPr>
            <w:tcW w:w="527" w:type="pct"/>
          </w:tcPr>
          <w:p w14:paraId="06784022" w14:textId="6364A057" w:rsidR="007B1316" w:rsidRPr="00092265" w:rsidRDefault="007B1316" w:rsidP="007B1316">
            <w:pPr>
              <w:pStyle w:val="TableText"/>
              <w:keepNext/>
              <w:rPr>
                <w:lang w:eastAsia="en-AU"/>
              </w:rPr>
            </w:pPr>
            <w:r w:rsidRPr="009A3411">
              <w:t>$43,519</w:t>
            </w:r>
          </w:p>
        </w:tc>
        <w:tc>
          <w:tcPr>
            <w:tcW w:w="527" w:type="pct"/>
          </w:tcPr>
          <w:p w14:paraId="4E410C93" w14:textId="266806BE" w:rsidR="007B1316" w:rsidRPr="00092265" w:rsidRDefault="007B1316" w:rsidP="007B1316">
            <w:pPr>
              <w:pStyle w:val="TableText"/>
              <w:keepNext/>
              <w:rPr>
                <w:lang w:eastAsia="en-AU"/>
              </w:rPr>
            </w:pPr>
            <w:r w:rsidRPr="009A3411">
              <w:t>$47,164</w:t>
            </w:r>
          </w:p>
        </w:tc>
        <w:tc>
          <w:tcPr>
            <w:tcW w:w="527" w:type="pct"/>
          </w:tcPr>
          <w:p w14:paraId="0899EF4E" w14:textId="141888B8" w:rsidR="007B1316" w:rsidRPr="00092265" w:rsidRDefault="007B1316" w:rsidP="007B1316">
            <w:pPr>
              <w:pStyle w:val="TableText"/>
              <w:keepNext/>
              <w:rPr>
                <w:lang w:eastAsia="en-AU"/>
              </w:rPr>
            </w:pPr>
            <w:r w:rsidRPr="00101AE3">
              <w:t>−</w:t>
            </w:r>
            <w:r w:rsidRPr="009A3411">
              <w:t>$3,645</w:t>
            </w:r>
          </w:p>
        </w:tc>
        <w:tc>
          <w:tcPr>
            <w:tcW w:w="527" w:type="pct"/>
          </w:tcPr>
          <w:p w14:paraId="2B41E992" w14:textId="3C2F7875" w:rsidR="007B1316" w:rsidRPr="0018484B" w:rsidRDefault="007B1316" w:rsidP="007B1316">
            <w:pPr>
              <w:pStyle w:val="TableText"/>
              <w:keepNext/>
              <w:rPr>
                <w:i/>
                <w:highlight w:val="yellow"/>
                <w:lang w:eastAsia="en-AU"/>
              </w:rPr>
            </w:pPr>
            <w:r>
              <w:rPr>
                <w:b/>
                <w:bCs/>
                <w:i/>
              </w:rPr>
              <w:t>-</w:t>
            </w:r>
            <w:r w:rsidRPr="000470EF">
              <w:rPr>
                <w:b/>
                <w:bCs/>
                <w:i/>
              </w:rPr>
              <w:t>Redacted</w:t>
            </w:r>
            <w:r w:rsidRPr="000470EF">
              <w:rPr>
                <w:i/>
              </w:rPr>
              <w:t>%</w:t>
            </w:r>
          </w:p>
        </w:tc>
      </w:tr>
      <w:tr w:rsidR="007B1316" w:rsidRPr="00E25AB2" w14:paraId="5A51218F" w14:textId="77777777" w:rsidTr="00030059">
        <w:tc>
          <w:tcPr>
            <w:tcW w:w="785" w:type="pct"/>
            <w:vAlign w:val="center"/>
          </w:tcPr>
          <w:p w14:paraId="69428861" w14:textId="12BF7EC1" w:rsidR="007B1316" w:rsidRPr="00092265" w:rsidRDefault="007B1316" w:rsidP="007B1316">
            <w:pPr>
              <w:pStyle w:val="TableText"/>
              <w:keepNext/>
              <w:rPr>
                <w:lang w:eastAsia="en-AU"/>
              </w:rPr>
            </w:pPr>
            <w:r w:rsidRPr="009A3411">
              <w:t>Ulcer/amputation/neuropathy complications</w:t>
            </w:r>
          </w:p>
        </w:tc>
        <w:tc>
          <w:tcPr>
            <w:tcW w:w="527" w:type="pct"/>
          </w:tcPr>
          <w:p w14:paraId="3876E980" w14:textId="2AA015E6" w:rsidR="007B1316" w:rsidRPr="00092265" w:rsidRDefault="007B1316" w:rsidP="007B1316">
            <w:pPr>
              <w:pStyle w:val="TableText"/>
              <w:keepNext/>
              <w:rPr>
                <w:lang w:eastAsia="en-AU"/>
              </w:rPr>
            </w:pPr>
            <w:r w:rsidRPr="009A3411">
              <w:t>$8,656</w:t>
            </w:r>
          </w:p>
        </w:tc>
        <w:tc>
          <w:tcPr>
            <w:tcW w:w="527" w:type="pct"/>
          </w:tcPr>
          <w:p w14:paraId="44E89B6E" w14:textId="5A74DB77" w:rsidR="007B1316" w:rsidRPr="00092265" w:rsidRDefault="007B1316" w:rsidP="007B1316">
            <w:pPr>
              <w:pStyle w:val="TableText"/>
              <w:keepNext/>
              <w:rPr>
                <w:lang w:eastAsia="en-AU"/>
              </w:rPr>
            </w:pPr>
            <w:r w:rsidRPr="009A3411">
              <w:t>$8,877</w:t>
            </w:r>
          </w:p>
        </w:tc>
        <w:tc>
          <w:tcPr>
            <w:tcW w:w="527" w:type="pct"/>
          </w:tcPr>
          <w:p w14:paraId="2A9FB330" w14:textId="4866BBBE" w:rsidR="007B1316" w:rsidRPr="00092265" w:rsidRDefault="007B1316" w:rsidP="007B1316">
            <w:pPr>
              <w:pStyle w:val="TableText"/>
              <w:keepNext/>
              <w:rPr>
                <w:lang w:eastAsia="en-AU"/>
              </w:rPr>
            </w:pPr>
            <w:r w:rsidRPr="00101AE3">
              <w:t>−</w:t>
            </w:r>
            <w:r w:rsidRPr="009A3411">
              <w:t>$221</w:t>
            </w:r>
          </w:p>
        </w:tc>
        <w:tc>
          <w:tcPr>
            <w:tcW w:w="527" w:type="pct"/>
          </w:tcPr>
          <w:p w14:paraId="4BAA0550" w14:textId="243949DE" w:rsidR="007B1316" w:rsidRPr="00451CF1" w:rsidRDefault="007B1316" w:rsidP="007B1316">
            <w:pPr>
              <w:pStyle w:val="TableText"/>
              <w:keepNext/>
              <w:rPr>
                <w:i/>
                <w:highlight w:val="yellow"/>
                <w:lang w:eastAsia="en-AU"/>
              </w:rPr>
            </w:pPr>
            <w:r>
              <w:rPr>
                <w:b/>
                <w:bCs/>
                <w:i/>
              </w:rPr>
              <w:t>-</w:t>
            </w:r>
            <w:r w:rsidRPr="00131857">
              <w:rPr>
                <w:b/>
                <w:bCs/>
                <w:i/>
              </w:rPr>
              <w:t>Redacted</w:t>
            </w:r>
            <w:r w:rsidRPr="00131857">
              <w:rPr>
                <w:i/>
              </w:rPr>
              <w:t>%</w:t>
            </w:r>
          </w:p>
        </w:tc>
        <w:tc>
          <w:tcPr>
            <w:tcW w:w="527" w:type="pct"/>
          </w:tcPr>
          <w:p w14:paraId="549AB5D6" w14:textId="18FA25D3" w:rsidR="007B1316" w:rsidRPr="00092265" w:rsidRDefault="007B1316" w:rsidP="007B1316">
            <w:pPr>
              <w:pStyle w:val="TableText"/>
              <w:keepNext/>
              <w:rPr>
                <w:lang w:eastAsia="en-AU"/>
              </w:rPr>
            </w:pPr>
            <w:r w:rsidRPr="009A3411">
              <w:t>$13,818</w:t>
            </w:r>
          </w:p>
        </w:tc>
        <w:tc>
          <w:tcPr>
            <w:tcW w:w="527" w:type="pct"/>
          </w:tcPr>
          <w:p w14:paraId="4E3EC289" w14:textId="4F89E0E0" w:rsidR="007B1316" w:rsidRPr="00092265" w:rsidRDefault="007B1316" w:rsidP="007B1316">
            <w:pPr>
              <w:pStyle w:val="TableText"/>
              <w:keepNext/>
              <w:rPr>
                <w:lang w:eastAsia="en-AU"/>
              </w:rPr>
            </w:pPr>
            <w:r w:rsidRPr="009A3411">
              <w:t>$14,217</w:t>
            </w:r>
          </w:p>
        </w:tc>
        <w:tc>
          <w:tcPr>
            <w:tcW w:w="527" w:type="pct"/>
          </w:tcPr>
          <w:p w14:paraId="58B9DBE8" w14:textId="3F96CE27" w:rsidR="007B1316" w:rsidRPr="00092265" w:rsidRDefault="007B1316" w:rsidP="007B1316">
            <w:pPr>
              <w:pStyle w:val="TableText"/>
              <w:keepNext/>
              <w:rPr>
                <w:lang w:eastAsia="en-AU"/>
              </w:rPr>
            </w:pPr>
            <w:r w:rsidRPr="00101AE3">
              <w:t>−</w:t>
            </w:r>
            <w:r w:rsidRPr="009A3411">
              <w:t>$399</w:t>
            </w:r>
          </w:p>
        </w:tc>
        <w:tc>
          <w:tcPr>
            <w:tcW w:w="527" w:type="pct"/>
          </w:tcPr>
          <w:p w14:paraId="6D3640D3" w14:textId="74B79D89" w:rsidR="007B1316" w:rsidRPr="0018484B" w:rsidRDefault="007B1316" w:rsidP="007B1316">
            <w:pPr>
              <w:pStyle w:val="TableText"/>
              <w:keepNext/>
              <w:rPr>
                <w:i/>
                <w:highlight w:val="yellow"/>
                <w:lang w:eastAsia="en-AU"/>
              </w:rPr>
            </w:pPr>
            <w:r>
              <w:rPr>
                <w:b/>
                <w:bCs/>
                <w:i/>
              </w:rPr>
              <w:t>-</w:t>
            </w:r>
            <w:r w:rsidRPr="000470EF">
              <w:rPr>
                <w:b/>
                <w:bCs/>
                <w:i/>
              </w:rPr>
              <w:t>Redacted</w:t>
            </w:r>
            <w:r w:rsidRPr="000470EF">
              <w:rPr>
                <w:i/>
              </w:rPr>
              <w:t>%</w:t>
            </w:r>
          </w:p>
        </w:tc>
      </w:tr>
      <w:tr w:rsidR="007B1316" w:rsidRPr="00E25AB2" w14:paraId="06DF9509" w14:textId="77777777" w:rsidTr="00030059">
        <w:tc>
          <w:tcPr>
            <w:tcW w:w="785" w:type="pct"/>
            <w:vAlign w:val="center"/>
          </w:tcPr>
          <w:p w14:paraId="358C5CDC" w14:textId="015E6431" w:rsidR="007B1316" w:rsidRPr="00092265" w:rsidRDefault="007B1316" w:rsidP="007B1316">
            <w:pPr>
              <w:pStyle w:val="TableText"/>
              <w:keepNext/>
              <w:rPr>
                <w:lang w:eastAsia="en-AU"/>
              </w:rPr>
            </w:pPr>
            <w:r w:rsidRPr="009A3411">
              <w:t>Ophthalmic complications</w:t>
            </w:r>
          </w:p>
        </w:tc>
        <w:tc>
          <w:tcPr>
            <w:tcW w:w="527" w:type="pct"/>
          </w:tcPr>
          <w:p w14:paraId="64D3288E" w14:textId="1233673F" w:rsidR="007B1316" w:rsidRPr="00092265" w:rsidRDefault="007B1316" w:rsidP="007B1316">
            <w:pPr>
              <w:pStyle w:val="TableText"/>
              <w:keepNext/>
              <w:rPr>
                <w:lang w:eastAsia="en-AU"/>
              </w:rPr>
            </w:pPr>
            <w:r w:rsidRPr="009A3411">
              <w:t>$27,303</w:t>
            </w:r>
          </w:p>
        </w:tc>
        <w:tc>
          <w:tcPr>
            <w:tcW w:w="527" w:type="pct"/>
          </w:tcPr>
          <w:p w14:paraId="13C7B81D" w14:textId="590C8F23" w:rsidR="007B1316" w:rsidRPr="00092265" w:rsidRDefault="007B1316" w:rsidP="007B1316">
            <w:pPr>
              <w:pStyle w:val="TableText"/>
              <w:keepNext/>
              <w:rPr>
                <w:lang w:eastAsia="en-AU"/>
              </w:rPr>
            </w:pPr>
            <w:r w:rsidRPr="009A3411">
              <w:t>$28,663</w:t>
            </w:r>
          </w:p>
        </w:tc>
        <w:tc>
          <w:tcPr>
            <w:tcW w:w="527" w:type="pct"/>
          </w:tcPr>
          <w:p w14:paraId="6FEEF2EB" w14:textId="7A3682F9" w:rsidR="007B1316" w:rsidRPr="00092265" w:rsidRDefault="007B1316" w:rsidP="007B1316">
            <w:pPr>
              <w:pStyle w:val="TableText"/>
              <w:keepNext/>
              <w:rPr>
                <w:lang w:eastAsia="en-AU"/>
              </w:rPr>
            </w:pPr>
            <w:r w:rsidRPr="00101AE3">
              <w:t>−</w:t>
            </w:r>
            <w:r w:rsidRPr="009A3411">
              <w:t>$1,359</w:t>
            </w:r>
          </w:p>
        </w:tc>
        <w:tc>
          <w:tcPr>
            <w:tcW w:w="527" w:type="pct"/>
          </w:tcPr>
          <w:p w14:paraId="3CEA1F07" w14:textId="7BEADAAD" w:rsidR="007B1316" w:rsidRPr="00451CF1" w:rsidRDefault="007B1316" w:rsidP="007B1316">
            <w:pPr>
              <w:pStyle w:val="TableText"/>
              <w:keepNext/>
              <w:rPr>
                <w:i/>
                <w:highlight w:val="yellow"/>
                <w:lang w:eastAsia="en-AU"/>
              </w:rPr>
            </w:pPr>
            <w:r>
              <w:rPr>
                <w:b/>
                <w:bCs/>
                <w:i/>
              </w:rPr>
              <w:t>-</w:t>
            </w:r>
            <w:r w:rsidRPr="00131857">
              <w:rPr>
                <w:b/>
                <w:bCs/>
                <w:i/>
              </w:rPr>
              <w:t>Redacted</w:t>
            </w:r>
            <w:r w:rsidRPr="00131857">
              <w:rPr>
                <w:i/>
              </w:rPr>
              <w:t>%</w:t>
            </w:r>
          </w:p>
        </w:tc>
        <w:tc>
          <w:tcPr>
            <w:tcW w:w="527" w:type="pct"/>
          </w:tcPr>
          <w:p w14:paraId="7CB51A8B" w14:textId="01DB33E6" w:rsidR="007B1316" w:rsidRPr="00092265" w:rsidRDefault="007B1316" w:rsidP="007B1316">
            <w:pPr>
              <w:pStyle w:val="TableText"/>
              <w:keepNext/>
              <w:rPr>
                <w:lang w:eastAsia="en-AU"/>
              </w:rPr>
            </w:pPr>
            <w:r w:rsidRPr="009A3411">
              <w:t>$35,667</w:t>
            </w:r>
          </w:p>
        </w:tc>
        <w:tc>
          <w:tcPr>
            <w:tcW w:w="527" w:type="pct"/>
          </w:tcPr>
          <w:p w14:paraId="4AC83FE1" w14:textId="5162A0DF" w:rsidR="007B1316" w:rsidRPr="00092265" w:rsidRDefault="007B1316" w:rsidP="007B1316">
            <w:pPr>
              <w:pStyle w:val="TableText"/>
              <w:keepNext/>
              <w:rPr>
                <w:lang w:eastAsia="en-AU"/>
              </w:rPr>
            </w:pPr>
            <w:r w:rsidRPr="009A3411">
              <w:t>$37,738</w:t>
            </w:r>
          </w:p>
        </w:tc>
        <w:tc>
          <w:tcPr>
            <w:tcW w:w="527" w:type="pct"/>
          </w:tcPr>
          <w:p w14:paraId="7F477E77" w14:textId="713C3F2C" w:rsidR="007B1316" w:rsidRPr="00092265" w:rsidRDefault="007B1316" w:rsidP="007B1316">
            <w:pPr>
              <w:pStyle w:val="TableText"/>
              <w:keepNext/>
              <w:rPr>
                <w:lang w:eastAsia="en-AU"/>
              </w:rPr>
            </w:pPr>
            <w:r w:rsidRPr="00101AE3">
              <w:t>−</w:t>
            </w:r>
            <w:r w:rsidRPr="009A3411">
              <w:t>$2,071</w:t>
            </w:r>
          </w:p>
        </w:tc>
        <w:tc>
          <w:tcPr>
            <w:tcW w:w="527" w:type="pct"/>
          </w:tcPr>
          <w:p w14:paraId="74CB925D" w14:textId="1B57A366" w:rsidR="007B1316" w:rsidRPr="0018484B" w:rsidRDefault="007B1316" w:rsidP="007B1316">
            <w:pPr>
              <w:pStyle w:val="TableText"/>
              <w:keepNext/>
              <w:rPr>
                <w:i/>
                <w:highlight w:val="yellow"/>
                <w:lang w:eastAsia="en-AU"/>
              </w:rPr>
            </w:pPr>
            <w:r>
              <w:rPr>
                <w:b/>
                <w:bCs/>
                <w:i/>
              </w:rPr>
              <w:t>-</w:t>
            </w:r>
            <w:r w:rsidRPr="000470EF">
              <w:rPr>
                <w:b/>
                <w:bCs/>
                <w:i/>
              </w:rPr>
              <w:t>Redacted</w:t>
            </w:r>
            <w:r w:rsidRPr="000470EF">
              <w:rPr>
                <w:i/>
              </w:rPr>
              <w:t>%</w:t>
            </w:r>
          </w:p>
        </w:tc>
      </w:tr>
      <w:tr w:rsidR="007B1316" w:rsidRPr="00E25AB2" w14:paraId="66AA83B9" w14:textId="77777777" w:rsidTr="00030059">
        <w:tc>
          <w:tcPr>
            <w:tcW w:w="785" w:type="pct"/>
            <w:vAlign w:val="center"/>
          </w:tcPr>
          <w:p w14:paraId="1E71667F" w14:textId="45041879" w:rsidR="007B1316" w:rsidRPr="00092265" w:rsidRDefault="007B1316" w:rsidP="007B1316">
            <w:pPr>
              <w:pStyle w:val="TableText"/>
              <w:keepNext/>
              <w:rPr>
                <w:lang w:eastAsia="en-AU"/>
              </w:rPr>
            </w:pPr>
            <w:r w:rsidRPr="009A3411">
              <w:t>Severe hypoglycaemia (req. medical assistance)</w:t>
            </w:r>
          </w:p>
        </w:tc>
        <w:tc>
          <w:tcPr>
            <w:tcW w:w="527" w:type="pct"/>
          </w:tcPr>
          <w:p w14:paraId="7F75C676" w14:textId="1F813E85" w:rsidR="007B1316" w:rsidRPr="00092265" w:rsidRDefault="007B1316" w:rsidP="007B1316">
            <w:pPr>
              <w:pStyle w:val="TableText"/>
              <w:keepNext/>
              <w:rPr>
                <w:lang w:eastAsia="en-AU"/>
              </w:rPr>
            </w:pPr>
            <w:r w:rsidRPr="009A3411">
              <w:t>$0</w:t>
            </w:r>
          </w:p>
        </w:tc>
        <w:tc>
          <w:tcPr>
            <w:tcW w:w="527" w:type="pct"/>
          </w:tcPr>
          <w:p w14:paraId="644BA323" w14:textId="3C484863" w:rsidR="007B1316" w:rsidRPr="00092265" w:rsidRDefault="007B1316" w:rsidP="007B1316">
            <w:pPr>
              <w:pStyle w:val="TableText"/>
              <w:keepNext/>
              <w:rPr>
                <w:lang w:eastAsia="en-AU"/>
              </w:rPr>
            </w:pPr>
            <w:r w:rsidRPr="009A3411">
              <w:t>$3,710</w:t>
            </w:r>
          </w:p>
        </w:tc>
        <w:tc>
          <w:tcPr>
            <w:tcW w:w="527" w:type="pct"/>
          </w:tcPr>
          <w:p w14:paraId="44BE62BC" w14:textId="525C5411" w:rsidR="007B1316" w:rsidRPr="00092265" w:rsidRDefault="007B1316" w:rsidP="007B1316">
            <w:pPr>
              <w:pStyle w:val="TableText"/>
              <w:keepNext/>
              <w:rPr>
                <w:lang w:eastAsia="en-AU"/>
              </w:rPr>
            </w:pPr>
            <w:r w:rsidRPr="00101AE3">
              <w:t>−</w:t>
            </w:r>
            <w:r w:rsidRPr="009A3411">
              <w:t>$3,710</w:t>
            </w:r>
          </w:p>
        </w:tc>
        <w:tc>
          <w:tcPr>
            <w:tcW w:w="527" w:type="pct"/>
          </w:tcPr>
          <w:p w14:paraId="56DEAB26" w14:textId="6A3A1210" w:rsidR="007B1316" w:rsidRPr="00451CF1" w:rsidRDefault="007B1316" w:rsidP="007B1316">
            <w:pPr>
              <w:pStyle w:val="TableText"/>
              <w:keepNext/>
              <w:rPr>
                <w:i/>
                <w:highlight w:val="yellow"/>
                <w:lang w:eastAsia="en-AU"/>
              </w:rPr>
            </w:pPr>
            <w:r>
              <w:rPr>
                <w:b/>
                <w:bCs/>
                <w:i/>
              </w:rPr>
              <w:t>-</w:t>
            </w:r>
            <w:r w:rsidRPr="00131857">
              <w:rPr>
                <w:b/>
                <w:bCs/>
                <w:i/>
              </w:rPr>
              <w:t>Redacted</w:t>
            </w:r>
            <w:r w:rsidRPr="00131857">
              <w:rPr>
                <w:i/>
              </w:rPr>
              <w:t>%</w:t>
            </w:r>
          </w:p>
        </w:tc>
        <w:tc>
          <w:tcPr>
            <w:tcW w:w="527" w:type="pct"/>
          </w:tcPr>
          <w:p w14:paraId="3758BD60" w14:textId="34F7AF9F" w:rsidR="007B1316" w:rsidRPr="00092265" w:rsidRDefault="007B1316" w:rsidP="007B1316">
            <w:pPr>
              <w:pStyle w:val="TableText"/>
              <w:keepNext/>
              <w:rPr>
                <w:lang w:eastAsia="en-AU"/>
              </w:rPr>
            </w:pPr>
            <w:r w:rsidRPr="009A3411">
              <w:t>$0</w:t>
            </w:r>
          </w:p>
        </w:tc>
        <w:tc>
          <w:tcPr>
            <w:tcW w:w="527" w:type="pct"/>
          </w:tcPr>
          <w:p w14:paraId="6265ED48" w14:textId="1D193451" w:rsidR="007B1316" w:rsidRPr="00092265" w:rsidRDefault="007B1316" w:rsidP="007B1316">
            <w:pPr>
              <w:pStyle w:val="TableText"/>
              <w:keepNext/>
              <w:rPr>
                <w:lang w:eastAsia="en-AU"/>
              </w:rPr>
            </w:pPr>
            <w:r w:rsidRPr="009A3411">
              <w:t>$4,369</w:t>
            </w:r>
          </w:p>
        </w:tc>
        <w:tc>
          <w:tcPr>
            <w:tcW w:w="527" w:type="pct"/>
          </w:tcPr>
          <w:p w14:paraId="7B4CC216" w14:textId="24EF2BD1" w:rsidR="007B1316" w:rsidRPr="00092265" w:rsidRDefault="007B1316" w:rsidP="007B1316">
            <w:pPr>
              <w:pStyle w:val="TableText"/>
              <w:keepNext/>
              <w:rPr>
                <w:lang w:eastAsia="en-AU"/>
              </w:rPr>
            </w:pPr>
            <w:r w:rsidRPr="00101AE3">
              <w:t>−</w:t>
            </w:r>
            <w:r w:rsidRPr="009A3411">
              <w:t>$4,369</w:t>
            </w:r>
          </w:p>
        </w:tc>
        <w:tc>
          <w:tcPr>
            <w:tcW w:w="527" w:type="pct"/>
          </w:tcPr>
          <w:p w14:paraId="4ABECB84" w14:textId="7C775FD1" w:rsidR="007B1316" w:rsidRPr="0018484B" w:rsidRDefault="007B1316" w:rsidP="007B1316">
            <w:pPr>
              <w:pStyle w:val="TableText"/>
              <w:keepNext/>
              <w:rPr>
                <w:i/>
                <w:highlight w:val="yellow"/>
                <w:lang w:eastAsia="en-AU"/>
              </w:rPr>
            </w:pPr>
            <w:r>
              <w:rPr>
                <w:b/>
                <w:bCs/>
                <w:i/>
              </w:rPr>
              <w:t>-</w:t>
            </w:r>
            <w:r w:rsidRPr="000470EF">
              <w:rPr>
                <w:b/>
                <w:bCs/>
                <w:i/>
              </w:rPr>
              <w:t>Redacted</w:t>
            </w:r>
            <w:r w:rsidRPr="000470EF">
              <w:rPr>
                <w:i/>
              </w:rPr>
              <w:t>%</w:t>
            </w:r>
          </w:p>
        </w:tc>
      </w:tr>
      <w:tr w:rsidR="007B1316" w:rsidRPr="00E25AB2" w14:paraId="351A3FB8" w14:textId="77777777" w:rsidTr="00030059">
        <w:tc>
          <w:tcPr>
            <w:tcW w:w="785" w:type="pct"/>
            <w:vAlign w:val="center"/>
          </w:tcPr>
          <w:p w14:paraId="73590FD5" w14:textId="72FA57D8" w:rsidR="007B1316" w:rsidRPr="00092265" w:rsidRDefault="007B1316" w:rsidP="007B1316">
            <w:pPr>
              <w:pStyle w:val="TableText"/>
              <w:keepNext/>
              <w:rPr>
                <w:lang w:eastAsia="en-AU"/>
              </w:rPr>
            </w:pPr>
            <w:r w:rsidRPr="009A3411">
              <w:t>Hyperglycaemia &amp; DKA</w:t>
            </w:r>
          </w:p>
        </w:tc>
        <w:tc>
          <w:tcPr>
            <w:tcW w:w="527" w:type="pct"/>
          </w:tcPr>
          <w:p w14:paraId="3AC144E2" w14:textId="096D6E05" w:rsidR="007B1316" w:rsidRPr="00092265" w:rsidRDefault="007B1316" w:rsidP="007B1316">
            <w:pPr>
              <w:pStyle w:val="TableText"/>
              <w:keepNext/>
              <w:rPr>
                <w:lang w:eastAsia="en-AU"/>
              </w:rPr>
            </w:pPr>
            <w:r w:rsidRPr="009A3411">
              <w:t>$0</w:t>
            </w:r>
          </w:p>
        </w:tc>
        <w:tc>
          <w:tcPr>
            <w:tcW w:w="527" w:type="pct"/>
          </w:tcPr>
          <w:p w14:paraId="237C5829" w14:textId="4622701C" w:rsidR="007B1316" w:rsidRPr="00092265" w:rsidRDefault="007B1316" w:rsidP="007B1316">
            <w:pPr>
              <w:pStyle w:val="TableText"/>
              <w:keepNext/>
              <w:rPr>
                <w:lang w:eastAsia="en-AU"/>
              </w:rPr>
            </w:pPr>
            <w:r w:rsidRPr="009A3411">
              <w:t>$3,083</w:t>
            </w:r>
          </w:p>
        </w:tc>
        <w:tc>
          <w:tcPr>
            <w:tcW w:w="527" w:type="pct"/>
          </w:tcPr>
          <w:p w14:paraId="744EF05D" w14:textId="5567B7B6" w:rsidR="007B1316" w:rsidRPr="00092265" w:rsidRDefault="007B1316" w:rsidP="007B1316">
            <w:pPr>
              <w:pStyle w:val="TableText"/>
              <w:keepNext/>
              <w:rPr>
                <w:lang w:eastAsia="en-AU"/>
              </w:rPr>
            </w:pPr>
            <w:r w:rsidRPr="00101AE3">
              <w:t>−</w:t>
            </w:r>
            <w:r w:rsidRPr="009A3411">
              <w:t>$3,083</w:t>
            </w:r>
          </w:p>
        </w:tc>
        <w:tc>
          <w:tcPr>
            <w:tcW w:w="527" w:type="pct"/>
          </w:tcPr>
          <w:p w14:paraId="136806F7" w14:textId="61AABD57" w:rsidR="007B1316" w:rsidRPr="00451CF1" w:rsidRDefault="007B1316" w:rsidP="007B1316">
            <w:pPr>
              <w:pStyle w:val="TableText"/>
              <w:keepNext/>
              <w:rPr>
                <w:i/>
                <w:highlight w:val="yellow"/>
                <w:lang w:eastAsia="en-AU"/>
              </w:rPr>
            </w:pPr>
            <w:r>
              <w:rPr>
                <w:b/>
                <w:bCs/>
                <w:i/>
              </w:rPr>
              <w:t>-</w:t>
            </w:r>
            <w:r w:rsidRPr="00131857">
              <w:rPr>
                <w:b/>
                <w:bCs/>
                <w:i/>
              </w:rPr>
              <w:t>Redacted</w:t>
            </w:r>
            <w:r w:rsidRPr="00131857">
              <w:rPr>
                <w:i/>
              </w:rPr>
              <w:t>%</w:t>
            </w:r>
          </w:p>
        </w:tc>
        <w:tc>
          <w:tcPr>
            <w:tcW w:w="527" w:type="pct"/>
          </w:tcPr>
          <w:p w14:paraId="18DFE9DB" w14:textId="7C2E6D6D" w:rsidR="007B1316" w:rsidRPr="00092265" w:rsidRDefault="007B1316" w:rsidP="007B1316">
            <w:pPr>
              <w:pStyle w:val="TableText"/>
              <w:keepNext/>
              <w:rPr>
                <w:lang w:eastAsia="en-AU"/>
              </w:rPr>
            </w:pPr>
            <w:r w:rsidRPr="009A3411">
              <w:t>$0</w:t>
            </w:r>
          </w:p>
        </w:tc>
        <w:tc>
          <w:tcPr>
            <w:tcW w:w="527" w:type="pct"/>
          </w:tcPr>
          <w:p w14:paraId="611B2BE8" w14:textId="1C28E9C8" w:rsidR="007B1316" w:rsidRPr="00092265" w:rsidRDefault="007B1316" w:rsidP="007B1316">
            <w:pPr>
              <w:pStyle w:val="TableText"/>
              <w:keepNext/>
              <w:rPr>
                <w:lang w:eastAsia="en-AU"/>
              </w:rPr>
            </w:pPr>
            <w:r w:rsidRPr="009A3411">
              <w:t>$3,630</w:t>
            </w:r>
          </w:p>
        </w:tc>
        <w:tc>
          <w:tcPr>
            <w:tcW w:w="527" w:type="pct"/>
          </w:tcPr>
          <w:p w14:paraId="6A7049B5" w14:textId="003ABDAA" w:rsidR="007B1316" w:rsidRPr="00092265" w:rsidRDefault="007B1316" w:rsidP="007B1316">
            <w:pPr>
              <w:pStyle w:val="TableText"/>
              <w:keepNext/>
              <w:rPr>
                <w:lang w:eastAsia="en-AU"/>
              </w:rPr>
            </w:pPr>
            <w:r w:rsidRPr="00101AE3">
              <w:t>−</w:t>
            </w:r>
            <w:r w:rsidRPr="009A3411">
              <w:t>$3,630</w:t>
            </w:r>
          </w:p>
        </w:tc>
        <w:tc>
          <w:tcPr>
            <w:tcW w:w="527" w:type="pct"/>
          </w:tcPr>
          <w:p w14:paraId="70C88A34" w14:textId="051E6F8E" w:rsidR="007B1316" w:rsidRPr="0018484B" w:rsidRDefault="007B1316" w:rsidP="007B1316">
            <w:pPr>
              <w:pStyle w:val="TableText"/>
              <w:keepNext/>
              <w:rPr>
                <w:i/>
                <w:highlight w:val="yellow"/>
                <w:lang w:eastAsia="en-AU"/>
              </w:rPr>
            </w:pPr>
            <w:r>
              <w:rPr>
                <w:b/>
                <w:bCs/>
                <w:i/>
              </w:rPr>
              <w:t>-</w:t>
            </w:r>
            <w:r w:rsidRPr="000470EF">
              <w:rPr>
                <w:b/>
                <w:bCs/>
                <w:i/>
              </w:rPr>
              <w:t>Redacted</w:t>
            </w:r>
            <w:r w:rsidRPr="000470EF">
              <w:rPr>
                <w:i/>
              </w:rPr>
              <w:t>%</w:t>
            </w:r>
          </w:p>
        </w:tc>
      </w:tr>
      <w:tr w:rsidR="007B1316" w:rsidRPr="00E25AB2" w14:paraId="08C035FB" w14:textId="77777777" w:rsidTr="00030059">
        <w:tc>
          <w:tcPr>
            <w:tcW w:w="785" w:type="pct"/>
            <w:vAlign w:val="center"/>
          </w:tcPr>
          <w:p w14:paraId="13722BB4" w14:textId="6CBD62FA" w:rsidR="007B1316" w:rsidRPr="00092265" w:rsidRDefault="007B1316" w:rsidP="007B1316">
            <w:pPr>
              <w:pStyle w:val="TableText"/>
              <w:keepNext/>
              <w:rPr>
                <w:lang w:eastAsia="en-AU"/>
              </w:rPr>
            </w:pPr>
            <w:r w:rsidRPr="009A3411">
              <w:rPr>
                <w:b/>
                <w:bCs/>
              </w:rPr>
              <w:t>Total direct (medical) cost</w:t>
            </w:r>
          </w:p>
        </w:tc>
        <w:tc>
          <w:tcPr>
            <w:tcW w:w="527" w:type="pct"/>
          </w:tcPr>
          <w:p w14:paraId="1E035D1A" w14:textId="7BAA50AE" w:rsidR="007B1316" w:rsidRPr="008B254C" w:rsidRDefault="007B1316" w:rsidP="007B1316">
            <w:pPr>
              <w:pStyle w:val="TableText"/>
              <w:keepNext/>
              <w:rPr>
                <w:highlight w:val="yellow"/>
                <w:lang w:eastAsia="en-AU"/>
              </w:rPr>
            </w:pPr>
            <w:r w:rsidRPr="002C06A6">
              <w:t>$</w:t>
            </w:r>
            <w:r w:rsidRPr="002C06A6">
              <w:rPr>
                <w:b/>
                <w:bCs/>
              </w:rPr>
              <w:t>Redacted</w:t>
            </w:r>
          </w:p>
        </w:tc>
        <w:tc>
          <w:tcPr>
            <w:tcW w:w="527" w:type="pct"/>
          </w:tcPr>
          <w:p w14:paraId="02177794" w14:textId="4FE628F5" w:rsidR="007B1316" w:rsidRPr="008B254C" w:rsidRDefault="007B1316" w:rsidP="007B1316">
            <w:pPr>
              <w:pStyle w:val="TableText"/>
              <w:keepNext/>
              <w:rPr>
                <w:highlight w:val="yellow"/>
                <w:lang w:eastAsia="en-AU"/>
              </w:rPr>
            </w:pPr>
            <w:r w:rsidRPr="002C06A6">
              <w:t>$</w:t>
            </w:r>
            <w:r w:rsidRPr="002C06A6">
              <w:rPr>
                <w:b/>
                <w:bCs/>
              </w:rPr>
              <w:t>Redacted</w:t>
            </w:r>
          </w:p>
        </w:tc>
        <w:tc>
          <w:tcPr>
            <w:tcW w:w="527" w:type="pct"/>
          </w:tcPr>
          <w:p w14:paraId="59532708" w14:textId="4BBE21AF" w:rsidR="007B1316" w:rsidRPr="008B254C" w:rsidRDefault="007B1316" w:rsidP="007B1316">
            <w:pPr>
              <w:pStyle w:val="TableText"/>
              <w:keepNext/>
              <w:rPr>
                <w:highlight w:val="yellow"/>
                <w:lang w:eastAsia="en-AU"/>
              </w:rPr>
            </w:pPr>
            <w:r w:rsidRPr="002C06A6">
              <w:t>$</w:t>
            </w:r>
            <w:r w:rsidRPr="002C06A6">
              <w:rPr>
                <w:b/>
                <w:bCs/>
              </w:rPr>
              <w:t>Redacted</w:t>
            </w:r>
          </w:p>
        </w:tc>
        <w:tc>
          <w:tcPr>
            <w:tcW w:w="527" w:type="pct"/>
          </w:tcPr>
          <w:p w14:paraId="660D3593" w14:textId="10564D6F" w:rsidR="007B1316" w:rsidRPr="008B254C" w:rsidRDefault="007B1316" w:rsidP="007B1316">
            <w:pPr>
              <w:pStyle w:val="TableText"/>
              <w:keepNext/>
              <w:rPr>
                <w:i/>
                <w:highlight w:val="yellow"/>
                <w:lang w:eastAsia="en-AU"/>
              </w:rPr>
            </w:pPr>
            <w:r w:rsidRPr="007B1316">
              <w:rPr>
                <w:b/>
                <w:i/>
              </w:rPr>
              <w:t>100%</w:t>
            </w:r>
          </w:p>
        </w:tc>
        <w:tc>
          <w:tcPr>
            <w:tcW w:w="527" w:type="pct"/>
          </w:tcPr>
          <w:p w14:paraId="23CD26D0" w14:textId="581F18E1" w:rsidR="007B1316" w:rsidRPr="008B254C" w:rsidRDefault="007B1316" w:rsidP="007B1316">
            <w:pPr>
              <w:pStyle w:val="TableText"/>
              <w:keepNext/>
              <w:rPr>
                <w:highlight w:val="yellow"/>
                <w:lang w:eastAsia="en-AU"/>
              </w:rPr>
            </w:pPr>
            <w:r w:rsidRPr="005E161A">
              <w:t>$</w:t>
            </w:r>
            <w:r w:rsidRPr="005E161A">
              <w:rPr>
                <w:b/>
                <w:bCs/>
              </w:rPr>
              <w:t>Redacted</w:t>
            </w:r>
          </w:p>
        </w:tc>
        <w:tc>
          <w:tcPr>
            <w:tcW w:w="527" w:type="pct"/>
          </w:tcPr>
          <w:p w14:paraId="1056CE4F" w14:textId="3C0A5591" w:rsidR="007B1316" w:rsidRPr="008B254C" w:rsidRDefault="007B1316" w:rsidP="007B1316">
            <w:pPr>
              <w:pStyle w:val="TableText"/>
              <w:keepNext/>
              <w:rPr>
                <w:highlight w:val="yellow"/>
                <w:lang w:eastAsia="en-AU"/>
              </w:rPr>
            </w:pPr>
            <w:r w:rsidRPr="005E161A">
              <w:t>$</w:t>
            </w:r>
            <w:r w:rsidRPr="005E161A">
              <w:rPr>
                <w:b/>
                <w:bCs/>
              </w:rPr>
              <w:t>Redacted</w:t>
            </w:r>
          </w:p>
        </w:tc>
        <w:tc>
          <w:tcPr>
            <w:tcW w:w="527" w:type="pct"/>
          </w:tcPr>
          <w:p w14:paraId="6D3570E2" w14:textId="73816FBE" w:rsidR="007B1316" w:rsidRPr="008B254C" w:rsidRDefault="007B1316" w:rsidP="007B1316">
            <w:pPr>
              <w:pStyle w:val="TableText"/>
              <w:keepNext/>
              <w:rPr>
                <w:highlight w:val="yellow"/>
                <w:lang w:eastAsia="en-AU"/>
              </w:rPr>
            </w:pPr>
            <w:r w:rsidRPr="005E161A">
              <w:t>$</w:t>
            </w:r>
            <w:r w:rsidRPr="005E161A">
              <w:rPr>
                <w:b/>
                <w:bCs/>
              </w:rPr>
              <w:t>Redacted</w:t>
            </w:r>
          </w:p>
        </w:tc>
        <w:tc>
          <w:tcPr>
            <w:tcW w:w="527" w:type="pct"/>
          </w:tcPr>
          <w:p w14:paraId="3638732E" w14:textId="5234E9AD" w:rsidR="007B1316" w:rsidRPr="008B254C" w:rsidRDefault="007B1316" w:rsidP="007B1316">
            <w:pPr>
              <w:pStyle w:val="TableText"/>
              <w:keepNext/>
              <w:rPr>
                <w:i/>
                <w:highlight w:val="yellow"/>
                <w:lang w:eastAsia="en-AU"/>
              </w:rPr>
            </w:pPr>
            <w:r w:rsidRPr="007B1316">
              <w:rPr>
                <w:b/>
                <w:i/>
              </w:rPr>
              <w:t>100.00%</w:t>
            </w:r>
          </w:p>
        </w:tc>
      </w:tr>
    </w:tbl>
    <w:p w14:paraId="7BF41D5E" w14:textId="77777777" w:rsidR="00951646" w:rsidRDefault="005C528C" w:rsidP="00101AE3">
      <w:pPr>
        <w:pStyle w:val="TableNote"/>
        <w:spacing w:after="0"/>
        <w:rPr>
          <w:rFonts w:ascii="Arial Narrow" w:eastAsia="Arial Narrow" w:hAnsi="Arial Narrow" w:cs="Arial Narrow"/>
          <w:sz w:val="18"/>
          <w:szCs w:val="18"/>
        </w:rPr>
      </w:pPr>
      <w:r w:rsidRPr="005C528C">
        <w:rPr>
          <w:b/>
          <w:bCs/>
        </w:rPr>
        <w:t>Abbreviations</w:t>
      </w:r>
      <w:r w:rsidR="002705CA" w:rsidRPr="00101AE3">
        <w:rPr>
          <w:b/>
        </w:rPr>
        <w:t xml:space="preserve">: </w:t>
      </w:r>
      <w:r w:rsidR="007919BC" w:rsidRPr="00D06194">
        <w:rPr>
          <w:rFonts w:ascii="Arial Narrow" w:eastAsia="Arial Narrow" w:hAnsi="Arial Narrow" w:cs="Arial Narrow"/>
          <w:sz w:val="18"/>
          <w:szCs w:val="18"/>
        </w:rPr>
        <w:t>CV</w:t>
      </w:r>
      <w:r w:rsidR="007919BC">
        <w:rPr>
          <w:rFonts w:ascii="Arial Narrow" w:eastAsia="Arial Narrow" w:hAnsi="Arial Narrow" w:cs="Arial Narrow"/>
          <w:sz w:val="18"/>
          <w:szCs w:val="18"/>
        </w:rPr>
        <w:t xml:space="preserve"> =</w:t>
      </w:r>
      <w:r w:rsidR="007919BC" w:rsidRPr="00D06194">
        <w:rPr>
          <w:rFonts w:ascii="Arial Narrow" w:eastAsia="Arial Narrow" w:hAnsi="Arial Narrow" w:cs="Arial Narrow"/>
          <w:sz w:val="18"/>
          <w:szCs w:val="18"/>
        </w:rPr>
        <w:t xml:space="preserve"> cardiovascular; DKA</w:t>
      </w:r>
      <w:r w:rsidR="007919BC">
        <w:rPr>
          <w:rFonts w:ascii="Arial Narrow" w:eastAsia="Arial Narrow" w:hAnsi="Arial Narrow" w:cs="Arial Narrow"/>
          <w:sz w:val="18"/>
          <w:szCs w:val="18"/>
        </w:rPr>
        <w:t xml:space="preserve"> = </w:t>
      </w:r>
      <w:r w:rsidR="007919BC" w:rsidRPr="00D06194">
        <w:rPr>
          <w:rFonts w:ascii="Arial Narrow" w:eastAsia="Arial Narrow" w:hAnsi="Arial Narrow" w:cs="Arial Narrow"/>
          <w:sz w:val="18"/>
          <w:szCs w:val="18"/>
        </w:rPr>
        <w:t>diabetic ketoacidosis, IIT</w:t>
      </w:r>
      <w:r w:rsidR="007919BC">
        <w:rPr>
          <w:rFonts w:ascii="Arial Narrow" w:eastAsia="Arial Narrow" w:hAnsi="Arial Narrow" w:cs="Arial Narrow"/>
          <w:sz w:val="18"/>
          <w:szCs w:val="18"/>
        </w:rPr>
        <w:t xml:space="preserve"> =</w:t>
      </w:r>
      <w:r w:rsidR="007919BC" w:rsidRPr="00D06194">
        <w:rPr>
          <w:rFonts w:ascii="Arial Narrow" w:eastAsia="Arial Narrow" w:hAnsi="Arial Narrow" w:cs="Arial Narrow"/>
          <w:sz w:val="18"/>
          <w:szCs w:val="18"/>
        </w:rPr>
        <w:t xml:space="preserve"> intensive insulin therapy; RT-CGM</w:t>
      </w:r>
      <w:r w:rsidR="007919BC">
        <w:rPr>
          <w:rFonts w:ascii="Arial Narrow" w:eastAsia="Arial Narrow" w:hAnsi="Arial Narrow" w:cs="Arial Narrow"/>
          <w:sz w:val="18"/>
          <w:szCs w:val="18"/>
        </w:rPr>
        <w:t xml:space="preserve"> =</w:t>
      </w:r>
      <w:r w:rsidR="007919BC" w:rsidRPr="00D06194">
        <w:rPr>
          <w:rFonts w:ascii="Arial Narrow" w:eastAsia="Arial Narrow" w:hAnsi="Arial Narrow" w:cs="Arial Narrow"/>
          <w:sz w:val="18"/>
          <w:szCs w:val="18"/>
        </w:rPr>
        <w:t xml:space="preserve"> real-time continuous glucose monitoring; SMBG</w:t>
      </w:r>
      <w:r w:rsidR="007919BC">
        <w:rPr>
          <w:rFonts w:ascii="Arial Narrow" w:eastAsia="Arial Narrow" w:hAnsi="Arial Narrow" w:cs="Arial Narrow"/>
          <w:sz w:val="18"/>
          <w:szCs w:val="18"/>
        </w:rPr>
        <w:t xml:space="preserve"> =</w:t>
      </w:r>
      <w:r w:rsidR="007919BC" w:rsidRPr="00D06194">
        <w:rPr>
          <w:rFonts w:ascii="Arial Narrow" w:eastAsia="Arial Narrow" w:hAnsi="Arial Narrow" w:cs="Arial Narrow"/>
          <w:sz w:val="18"/>
          <w:szCs w:val="18"/>
        </w:rPr>
        <w:t xml:space="preserve"> self-monitoring of blood glucose</w:t>
      </w:r>
    </w:p>
    <w:p w14:paraId="4D33E26A" w14:textId="3C35DF25" w:rsidR="007919BC" w:rsidRPr="00101AE3" w:rsidRDefault="00951646" w:rsidP="00101AE3">
      <w:pPr>
        <w:pStyle w:val="TableNote"/>
        <w:spacing w:after="0"/>
        <w:rPr>
          <w:rFonts w:ascii="Franklin Gothic Book" w:eastAsiaTheme="minorHAnsi" w:hAnsi="Franklin Gothic Book" w:cstheme="minorBidi"/>
          <w:sz w:val="22"/>
          <w:szCs w:val="22"/>
        </w:rPr>
      </w:pPr>
      <w:r w:rsidRPr="00A41C72">
        <w:rPr>
          <w:rFonts w:ascii="Arial Narrow" w:eastAsia="Arial Narrow" w:hAnsi="Arial Narrow" w:cs="Arial Narrow"/>
          <w:b/>
          <w:bCs/>
          <w:sz w:val="18"/>
          <w:szCs w:val="18"/>
        </w:rPr>
        <w:t xml:space="preserve">Note: </w:t>
      </w:r>
      <w:r w:rsidR="004E36FE" w:rsidRPr="00732F32">
        <w:rPr>
          <w:rFonts w:ascii="Arial Narrow" w:eastAsia="Arial Narrow" w:hAnsi="Arial Narrow" w:cs="Arial Narrow"/>
          <w:sz w:val="18"/>
          <w:szCs w:val="18"/>
        </w:rPr>
        <w:t>additional analyses conducted during the commentary are presented in </w:t>
      </w:r>
      <w:r w:rsidR="004E36FE" w:rsidRPr="00732F32">
        <w:rPr>
          <w:rFonts w:ascii="Arial Narrow" w:eastAsia="Arial Narrow" w:hAnsi="Arial Narrow" w:cs="Arial Narrow"/>
          <w:i/>
          <w:iCs/>
          <w:sz w:val="18"/>
          <w:szCs w:val="18"/>
        </w:rPr>
        <w:t>italics</w:t>
      </w:r>
      <w:r w:rsidR="007919BC" w:rsidRPr="00D06194">
        <w:rPr>
          <w:rFonts w:ascii="Arial Narrow" w:eastAsia="Arial Narrow" w:hAnsi="Arial Narrow" w:cs="Arial Narrow"/>
          <w:sz w:val="18"/>
          <w:szCs w:val="18"/>
        </w:rPr>
        <w:t>.</w:t>
      </w:r>
    </w:p>
    <w:p w14:paraId="109E2BFF" w14:textId="1688E0F2" w:rsidR="00905F74" w:rsidRPr="0039095A" w:rsidRDefault="00B33BD1" w:rsidP="0039095A">
      <w:pPr>
        <w:pStyle w:val="TableFooter"/>
        <w:spacing w:before="0" w:after="0"/>
        <w:rPr>
          <w:lang w:eastAsia="en-AU"/>
        </w:rPr>
      </w:pPr>
      <w:r w:rsidRPr="00A95451">
        <w:rPr>
          <w:b/>
          <w:bCs/>
          <w:lang w:eastAsia="en-AU"/>
        </w:rPr>
        <w:t>Source:</w:t>
      </w:r>
      <w:r>
        <w:rPr>
          <w:lang w:eastAsia="en-AU"/>
        </w:rPr>
        <w:t xml:space="preserve"> </w:t>
      </w:r>
      <w:r w:rsidRPr="00C81E0C">
        <w:rPr>
          <w:lang w:eastAsia="en-AU"/>
        </w:rPr>
        <w:t>Adapted from Table</w:t>
      </w:r>
      <w:r>
        <w:rPr>
          <w:lang w:eastAsia="en-AU"/>
        </w:rPr>
        <w:t>s 31 and 32</w:t>
      </w:r>
      <w:r w:rsidRPr="00C81E0C">
        <w:rPr>
          <w:lang w:eastAsia="en-AU"/>
        </w:rPr>
        <w:t>, p</w:t>
      </w:r>
      <w:r>
        <w:rPr>
          <w:lang w:eastAsia="en-AU"/>
        </w:rPr>
        <w:t xml:space="preserve">p. </w:t>
      </w:r>
      <w:r w:rsidR="004E7A0E">
        <w:rPr>
          <w:lang w:eastAsia="en-AU"/>
        </w:rPr>
        <w:t>100</w:t>
      </w:r>
      <w:r>
        <w:rPr>
          <w:lang w:eastAsia="en-AU"/>
        </w:rPr>
        <w:t>-</w:t>
      </w:r>
      <w:r w:rsidR="004E7A0E">
        <w:rPr>
          <w:lang w:eastAsia="en-AU"/>
        </w:rPr>
        <w:t>101</w:t>
      </w:r>
      <w:r w:rsidRPr="00C81E0C">
        <w:rPr>
          <w:lang w:eastAsia="en-AU"/>
        </w:rPr>
        <w:t> of the MSAC 17</w:t>
      </w:r>
      <w:r>
        <w:rPr>
          <w:lang w:eastAsia="en-AU"/>
        </w:rPr>
        <w:t>85</w:t>
      </w:r>
      <w:r w:rsidRPr="00C81E0C">
        <w:rPr>
          <w:lang w:eastAsia="en-AU"/>
        </w:rPr>
        <w:t> ADAR</w:t>
      </w:r>
      <w:r>
        <w:rPr>
          <w:lang w:eastAsia="en-AU"/>
        </w:rPr>
        <w:t xml:space="preserve"> </w:t>
      </w:r>
      <w:r w:rsidRPr="00C81E0C">
        <w:rPr>
          <w:lang w:eastAsia="en-AU"/>
        </w:rPr>
        <w:t>+</w:t>
      </w:r>
      <w:r>
        <w:rPr>
          <w:lang w:eastAsia="en-AU"/>
        </w:rPr>
        <w:t xml:space="preserve"> </w:t>
      </w:r>
      <w:r w:rsidRPr="00C81E0C">
        <w:rPr>
          <w:lang w:eastAsia="en-AU"/>
        </w:rPr>
        <w:t>in-line commentary</w:t>
      </w:r>
      <w:r>
        <w:rPr>
          <w:lang w:eastAsia="en-AU"/>
        </w:rPr>
        <w:t>.</w:t>
      </w:r>
      <w:r w:rsidRPr="00C81E0C">
        <w:rPr>
          <w:lang w:eastAsia="en-AU"/>
        </w:rPr>
        <w:t>  </w:t>
      </w:r>
    </w:p>
    <w:p w14:paraId="2099010D" w14:textId="56E0FEDC" w:rsidR="006B327B" w:rsidRPr="00302E12" w:rsidRDefault="006B327B" w:rsidP="0039095A">
      <w:pPr>
        <w:rPr>
          <w:b/>
          <w:bCs/>
        </w:rPr>
      </w:pPr>
      <w:r w:rsidRPr="00302E12">
        <w:rPr>
          <w:b/>
          <w:bCs/>
        </w:rPr>
        <w:t>Non-ITT subpopulation</w:t>
      </w:r>
    </w:p>
    <w:p w14:paraId="28CA2225" w14:textId="71292989" w:rsidR="006B327B" w:rsidRPr="00302E12" w:rsidRDefault="006B327B" w:rsidP="00905F74">
      <w:r w:rsidRPr="00302E12">
        <w:t>Based on the UKPDS risk estimations, the ICER for the use of Dexcom RT-CGM compared with SMBG was $</w:t>
      </w:r>
      <w:r w:rsidR="00780ACB">
        <w:t>35,000 to &lt; $45,000</w:t>
      </w:r>
      <w:r w:rsidRPr="00302E12">
        <w:t xml:space="preserve"> per QALY gained with an additional 0.287 QALYs and $</w:t>
      </w:r>
      <w:r w:rsidR="00780ACB">
        <w:t>5,000 to &lt; $15,000</w:t>
      </w:r>
      <w:r w:rsidRPr="00302E12">
        <w:t xml:space="preserve"> </w:t>
      </w:r>
      <w:r w:rsidR="00D8574B">
        <w:t xml:space="preserve">in </w:t>
      </w:r>
      <w:r w:rsidRPr="00302E12">
        <w:t xml:space="preserve">costs for the T2D non-IIT subpopulation over </w:t>
      </w:r>
      <w:r w:rsidR="005A4300">
        <w:t xml:space="preserve">a </w:t>
      </w:r>
      <w:r w:rsidRPr="00302E12">
        <w:t>lifetime horizon</w:t>
      </w:r>
      <w:r w:rsidR="005A4300">
        <w:t xml:space="preserve"> (</w:t>
      </w:r>
      <w:r w:rsidR="005A4300">
        <w:fldChar w:fldCharType="begin"/>
      </w:r>
      <w:r w:rsidR="005A4300">
        <w:instrText xml:space="preserve"> REF _Ref226731509 \h  \* MERGEFORMAT </w:instrText>
      </w:r>
      <w:r w:rsidR="005A4300">
        <w:fldChar w:fldCharType="separate"/>
      </w:r>
      <w:r w:rsidR="0098516D">
        <w:t xml:space="preserve">Table </w:t>
      </w:r>
      <w:r w:rsidR="0098516D">
        <w:rPr>
          <w:noProof/>
        </w:rPr>
        <w:t>15</w:t>
      </w:r>
      <w:r w:rsidR="005A4300">
        <w:fldChar w:fldCharType="end"/>
      </w:r>
      <w:r w:rsidR="005A4300">
        <w:t>).</w:t>
      </w:r>
    </w:p>
    <w:p w14:paraId="6D8CB7C9" w14:textId="405D081B" w:rsidR="006B327B" w:rsidRPr="00302E12" w:rsidRDefault="006B327B" w:rsidP="00A44B62">
      <w:pPr>
        <w:pStyle w:val="Instructionaltext-afterfiguretable"/>
        <w:spacing w:before="0"/>
        <w:rPr>
          <w:color w:val="auto"/>
        </w:rPr>
      </w:pPr>
      <w:r w:rsidRPr="00302E12">
        <w:rPr>
          <w:color w:val="auto"/>
        </w:rPr>
        <w:t>Based on the Fremantle risk estimations, the ICER for the use of Dexcom RT-CGM compared with SMBG was $</w:t>
      </w:r>
      <w:r w:rsidR="00780ACB">
        <w:rPr>
          <w:color w:val="auto"/>
        </w:rPr>
        <w:t>5,000 to &lt; $15,000</w:t>
      </w:r>
      <w:r w:rsidRPr="00302E12">
        <w:rPr>
          <w:color w:val="auto"/>
        </w:rPr>
        <w:t xml:space="preserve"> per QALY gained with an additional 0.314 QALYs and $</w:t>
      </w:r>
      <w:r w:rsidR="007B1316">
        <w:rPr>
          <w:color w:val="auto"/>
        </w:rPr>
        <w:t>0 to &lt; $5,000</w:t>
      </w:r>
      <w:r w:rsidRPr="00302E12">
        <w:rPr>
          <w:color w:val="auto"/>
        </w:rPr>
        <w:t xml:space="preserve"> </w:t>
      </w:r>
      <w:r w:rsidR="00D8574B">
        <w:rPr>
          <w:color w:val="auto"/>
        </w:rPr>
        <w:t xml:space="preserve">in </w:t>
      </w:r>
      <w:r w:rsidRPr="00302E12">
        <w:rPr>
          <w:color w:val="auto"/>
        </w:rPr>
        <w:t xml:space="preserve">costs for the T2D non-IIT subpopulation over </w:t>
      </w:r>
      <w:r w:rsidR="005A4300">
        <w:rPr>
          <w:color w:val="auto"/>
        </w:rPr>
        <w:t xml:space="preserve">a </w:t>
      </w:r>
      <w:r w:rsidRPr="00302E12">
        <w:rPr>
          <w:color w:val="auto"/>
        </w:rPr>
        <w:t xml:space="preserve">lifetime horizon. </w:t>
      </w:r>
    </w:p>
    <w:p w14:paraId="4DC5877D" w14:textId="165E6252" w:rsidR="006B327B" w:rsidRDefault="00CF19AC" w:rsidP="007A2FC2">
      <w:pPr>
        <w:pStyle w:val="Caption"/>
        <w:keepLines/>
      </w:pPr>
      <w:bookmarkStart w:id="47" w:name="_Ref226731509"/>
      <w:bookmarkStart w:id="48" w:name="_Ref225773985"/>
      <w:r>
        <w:lastRenderedPageBreak/>
        <w:t xml:space="preserve">Table </w:t>
      </w:r>
      <w:r>
        <w:fldChar w:fldCharType="begin"/>
      </w:r>
      <w:r>
        <w:instrText>SEQ Table \* ARABIC</w:instrText>
      </w:r>
      <w:r>
        <w:fldChar w:fldCharType="separate"/>
      </w:r>
      <w:r w:rsidR="0098516D">
        <w:rPr>
          <w:noProof/>
        </w:rPr>
        <w:t>15</w:t>
      </w:r>
      <w:r>
        <w:fldChar w:fldCharType="end"/>
      </w:r>
      <w:bookmarkEnd w:id="47"/>
      <w:r>
        <w:t xml:space="preserve">: </w:t>
      </w:r>
      <w:bookmarkEnd w:id="48"/>
      <w:r w:rsidR="006B327B" w:rsidRPr="00CE28E3">
        <w:t>Results of economic evaluation</w:t>
      </w:r>
      <w:r w:rsidR="006B327B">
        <w:t xml:space="preserve"> for non-IIT subpopulation</w:t>
      </w:r>
    </w:p>
    <w:tbl>
      <w:tblPr>
        <w:tblW w:w="545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
        <w:gridCol w:w="1528"/>
        <w:gridCol w:w="1529"/>
        <w:gridCol w:w="1438"/>
        <w:gridCol w:w="1529"/>
        <w:gridCol w:w="1529"/>
        <w:gridCol w:w="1348"/>
      </w:tblGrid>
      <w:tr w:rsidR="008B254C" w:rsidRPr="003C486E" w14:paraId="738AD591" w14:textId="77777777" w:rsidTr="008B254C">
        <w:trPr>
          <w:trHeight w:val="300"/>
        </w:trPr>
        <w:tc>
          <w:tcPr>
            <w:tcW w:w="476" w:type="pct"/>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EBA379" w14:textId="77777777" w:rsidR="008B254C" w:rsidRPr="003C486E" w:rsidRDefault="008B254C" w:rsidP="007A2FC2">
            <w:pPr>
              <w:pStyle w:val="In-tableHeading"/>
              <w:keepLines/>
              <w:jc w:val="center"/>
              <w:rPr>
                <w:b w:val="0"/>
              </w:rPr>
            </w:pPr>
            <w:r w:rsidRPr="003C486E">
              <w:t>Parameter</w:t>
            </w:r>
          </w:p>
        </w:tc>
        <w:tc>
          <w:tcPr>
            <w:tcW w:w="2285"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3EB235C" w14:textId="77777777" w:rsidR="008B254C" w:rsidRPr="003C486E" w:rsidRDefault="008B254C" w:rsidP="007A2FC2">
            <w:pPr>
              <w:pStyle w:val="In-tableHeading"/>
              <w:keepLines/>
              <w:jc w:val="center"/>
              <w:rPr>
                <w:b w:val="0"/>
              </w:rPr>
            </w:pPr>
            <w:r w:rsidRPr="003C486E">
              <w:t>UKPDS</w:t>
            </w:r>
          </w:p>
        </w:tc>
        <w:tc>
          <w:tcPr>
            <w:tcW w:w="2239"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EB8686C" w14:textId="77777777" w:rsidR="008B254C" w:rsidRPr="003C486E" w:rsidRDefault="008B254C" w:rsidP="007A2FC2">
            <w:pPr>
              <w:pStyle w:val="In-tableHeading"/>
              <w:keepLines/>
              <w:jc w:val="center"/>
              <w:rPr>
                <w:b w:val="0"/>
              </w:rPr>
            </w:pPr>
            <w:r w:rsidRPr="003C486E">
              <w:t>Fremantle</w:t>
            </w:r>
          </w:p>
        </w:tc>
      </w:tr>
      <w:tr w:rsidR="008B254C" w:rsidRPr="003C486E" w14:paraId="614AA58D" w14:textId="77777777" w:rsidTr="008B254C">
        <w:trPr>
          <w:trHeight w:val="300"/>
        </w:trPr>
        <w:tc>
          <w:tcPr>
            <w:tcW w:w="476" w:type="pct"/>
            <w:vMerge/>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0300FD1" w14:textId="77777777" w:rsidR="008B254C" w:rsidRPr="003C486E" w:rsidRDefault="008B254C" w:rsidP="007A2FC2">
            <w:pPr>
              <w:pStyle w:val="In-tableHeading"/>
              <w:keepLines/>
              <w:jc w:val="center"/>
            </w:pPr>
          </w:p>
        </w:tc>
        <w:tc>
          <w:tcPr>
            <w:tcW w:w="777"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EDB8D62" w14:textId="77777777" w:rsidR="008B254C" w:rsidRPr="003C486E" w:rsidRDefault="008B254C" w:rsidP="007A2FC2">
            <w:pPr>
              <w:pStyle w:val="In-tableHeading"/>
              <w:keepLines/>
              <w:jc w:val="center"/>
              <w:rPr>
                <w:b w:val="0"/>
              </w:rPr>
            </w:pPr>
            <w:r w:rsidRPr="003C486E">
              <w:t>RT-CGM</w:t>
            </w:r>
          </w:p>
        </w:tc>
        <w:tc>
          <w:tcPr>
            <w:tcW w:w="777"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7CBB4E2" w14:textId="77777777" w:rsidR="008B254C" w:rsidRPr="003C486E" w:rsidRDefault="008B254C" w:rsidP="007A2FC2">
            <w:pPr>
              <w:pStyle w:val="In-tableHeading"/>
              <w:keepLines/>
              <w:jc w:val="center"/>
              <w:rPr>
                <w:b w:val="0"/>
              </w:rPr>
            </w:pPr>
            <w:r w:rsidRPr="003C486E">
              <w:t>SMBG</w:t>
            </w:r>
          </w:p>
        </w:tc>
        <w:tc>
          <w:tcPr>
            <w:tcW w:w="731"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E6F222" w14:textId="77777777" w:rsidR="008B254C" w:rsidRPr="003C486E" w:rsidRDefault="008B254C" w:rsidP="007A2FC2">
            <w:pPr>
              <w:pStyle w:val="In-tableHeading"/>
              <w:keepLines/>
              <w:jc w:val="center"/>
              <w:rPr>
                <w:b w:val="0"/>
              </w:rPr>
            </w:pPr>
            <w:r w:rsidRPr="003C486E">
              <w:t>Incremental</w:t>
            </w:r>
          </w:p>
        </w:tc>
        <w:tc>
          <w:tcPr>
            <w:tcW w:w="777"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2E3C663" w14:textId="77777777" w:rsidR="008B254C" w:rsidRPr="003C486E" w:rsidRDefault="008B254C" w:rsidP="007A2FC2">
            <w:pPr>
              <w:pStyle w:val="In-tableHeading"/>
              <w:keepLines/>
              <w:jc w:val="center"/>
              <w:rPr>
                <w:b w:val="0"/>
              </w:rPr>
            </w:pPr>
            <w:r w:rsidRPr="003C486E">
              <w:t>RT-CGM</w:t>
            </w:r>
          </w:p>
        </w:tc>
        <w:tc>
          <w:tcPr>
            <w:tcW w:w="777"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73E9B1B" w14:textId="77777777" w:rsidR="008B254C" w:rsidRPr="003C486E" w:rsidRDefault="008B254C" w:rsidP="007A2FC2">
            <w:pPr>
              <w:pStyle w:val="In-tableHeading"/>
              <w:keepLines/>
              <w:jc w:val="center"/>
              <w:rPr>
                <w:b w:val="0"/>
              </w:rPr>
            </w:pPr>
            <w:r w:rsidRPr="003C486E">
              <w:t>SMBG</w:t>
            </w:r>
          </w:p>
        </w:tc>
        <w:tc>
          <w:tcPr>
            <w:tcW w:w="685"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7D13E29" w14:textId="77777777" w:rsidR="008B254C" w:rsidRPr="003C486E" w:rsidRDefault="008B254C" w:rsidP="007A2FC2">
            <w:pPr>
              <w:pStyle w:val="In-tableHeading"/>
              <w:keepLines/>
              <w:jc w:val="center"/>
              <w:rPr>
                <w:b w:val="0"/>
              </w:rPr>
            </w:pPr>
            <w:r w:rsidRPr="003C486E">
              <w:t>Incremental</w:t>
            </w:r>
          </w:p>
        </w:tc>
      </w:tr>
      <w:tr w:rsidR="008B254C" w:rsidRPr="003C486E" w14:paraId="1636E9FB" w14:textId="77777777" w:rsidTr="008B254C">
        <w:trPr>
          <w:trHeight w:val="300"/>
        </w:trPr>
        <w:tc>
          <w:tcPr>
            <w:tcW w:w="476" w:type="pct"/>
            <w:tcBorders>
              <w:top w:val="single" w:sz="6" w:space="0" w:color="auto"/>
              <w:left w:val="single" w:sz="6" w:space="0" w:color="auto"/>
              <w:bottom w:val="single" w:sz="6" w:space="0" w:color="auto"/>
              <w:right w:val="single" w:sz="6" w:space="0" w:color="auto"/>
            </w:tcBorders>
            <w:hideMark/>
          </w:tcPr>
          <w:p w14:paraId="07BDF954" w14:textId="77777777" w:rsidR="008B254C" w:rsidRPr="003C486E" w:rsidRDefault="008B254C" w:rsidP="007A2FC2">
            <w:pPr>
              <w:pStyle w:val="TableText"/>
              <w:keepNext/>
              <w:keepLines/>
            </w:pPr>
            <w:r w:rsidRPr="003C486E">
              <w:t>Costs</w:t>
            </w:r>
          </w:p>
        </w:tc>
        <w:tc>
          <w:tcPr>
            <w:tcW w:w="777" w:type="pct"/>
            <w:tcBorders>
              <w:top w:val="single" w:sz="6" w:space="0" w:color="auto"/>
              <w:left w:val="single" w:sz="6" w:space="0" w:color="auto"/>
              <w:bottom w:val="single" w:sz="6" w:space="0" w:color="auto"/>
              <w:right w:val="single" w:sz="6" w:space="0" w:color="auto"/>
            </w:tcBorders>
            <w:hideMark/>
          </w:tcPr>
          <w:p w14:paraId="1E12BC99" w14:textId="33B6969D" w:rsidR="008B254C" w:rsidRPr="008B254C" w:rsidRDefault="008B254C" w:rsidP="007A2FC2">
            <w:pPr>
              <w:pStyle w:val="TableText"/>
              <w:keepNext/>
              <w:keepLines/>
              <w:jc w:val="center"/>
              <w:rPr>
                <w:highlight w:val="yellow"/>
              </w:rPr>
            </w:pPr>
            <w:r w:rsidRPr="00637C8D">
              <w:t>$</w:t>
            </w:r>
            <w:r w:rsidRPr="00637C8D">
              <w:rPr>
                <w:b/>
                <w:bCs/>
              </w:rPr>
              <w:t>Redacted</w:t>
            </w:r>
          </w:p>
        </w:tc>
        <w:tc>
          <w:tcPr>
            <w:tcW w:w="777" w:type="pct"/>
            <w:tcBorders>
              <w:top w:val="single" w:sz="6" w:space="0" w:color="auto"/>
              <w:left w:val="single" w:sz="6" w:space="0" w:color="auto"/>
              <w:bottom w:val="single" w:sz="6" w:space="0" w:color="auto"/>
              <w:right w:val="single" w:sz="6" w:space="0" w:color="auto"/>
            </w:tcBorders>
            <w:hideMark/>
          </w:tcPr>
          <w:p w14:paraId="4FD9EC15" w14:textId="7EBCE53D" w:rsidR="008B254C" w:rsidRPr="008B254C" w:rsidRDefault="008B254C" w:rsidP="007A2FC2">
            <w:pPr>
              <w:pStyle w:val="TableText"/>
              <w:keepNext/>
              <w:keepLines/>
              <w:jc w:val="center"/>
              <w:rPr>
                <w:highlight w:val="yellow"/>
              </w:rPr>
            </w:pPr>
            <w:r w:rsidRPr="00B53A52">
              <w:t>$</w:t>
            </w:r>
            <w:r w:rsidRPr="00B53A52">
              <w:rPr>
                <w:b/>
                <w:bCs/>
              </w:rPr>
              <w:t>Redacted</w:t>
            </w:r>
          </w:p>
        </w:tc>
        <w:tc>
          <w:tcPr>
            <w:tcW w:w="731" w:type="pct"/>
            <w:tcBorders>
              <w:top w:val="single" w:sz="6" w:space="0" w:color="auto"/>
              <w:left w:val="single" w:sz="6" w:space="0" w:color="auto"/>
              <w:bottom w:val="single" w:sz="6" w:space="0" w:color="auto"/>
              <w:right w:val="single" w:sz="6" w:space="0" w:color="auto"/>
            </w:tcBorders>
            <w:hideMark/>
          </w:tcPr>
          <w:p w14:paraId="7642CBCD" w14:textId="2FB35E0E" w:rsidR="008B254C" w:rsidRPr="008B254C" w:rsidRDefault="008B254C" w:rsidP="007A2FC2">
            <w:pPr>
              <w:pStyle w:val="TableText"/>
              <w:keepNext/>
              <w:keepLines/>
              <w:jc w:val="center"/>
              <w:rPr>
                <w:highlight w:val="yellow"/>
              </w:rPr>
            </w:pPr>
            <w:r w:rsidRPr="00B53A52">
              <w:t>$</w:t>
            </w:r>
            <w:r w:rsidRPr="00B53A52">
              <w:rPr>
                <w:b/>
                <w:bCs/>
              </w:rPr>
              <w:t>Redacted</w:t>
            </w:r>
          </w:p>
        </w:tc>
        <w:tc>
          <w:tcPr>
            <w:tcW w:w="777" w:type="pct"/>
            <w:tcBorders>
              <w:top w:val="single" w:sz="6" w:space="0" w:color="auto"/>
              <w:left w:val="single" w:sz="6" w:space="0" w:color="auto"/>
              <w:bottom w:val="single" w:sz="6" w:space="0" w:color="auto"/>
              <w:right w:val="single" w:sz="6" w:space="0" w:color="auto"/>
            </w:tcBorders>
            <w:hideMark/>
          </w:tcPr>
          <w:p w14:paraId="7B916012" w14:textId="0F2C1389" w:rsidR="008B254C" w:rsidRPr="008B254C" w:rsidRDefault="008B254C" w:rsidP="007A2FC2">
            <w:pPr>
              <w:pStyle w:val="TableText"/>
              <w:keepNext/>
              <w:keepLines/>
              <w:jc w:val="center"/>
              <w:rPr>
                <w:highlight w:val="yellow"/>
              </w:rPr>
            </w:pPr>
            <w:r w:rsidRPr="00B53A52">
              <w:t>$</w:t>
            </w:r>
            <w:r w:rsidRPr="00B53A52">
              <w:rPr>
                <w:b/>
                <w:bCs/>
              </w:rPr>
              <w:t>Redacted</w:t>
            </w:r>
          </w:p>
        </w:tc>
        <w:tc>
          <w:tcPr>
            <w:tcW w:w="777" w:type="pct"/>
            <w:tcBorders>
              <w:top w:val="single" w:sz="6" w:space="0" w:color="auto"/>
              <w:left w:val="single" w:sz="6" w:space="0" w:color="auto"/>
              <w:bottom w:val="single" w:sz="6" w:space="0" w:color="auto"/>
              <w:right w:val="single" w:sz="6" w:space="0" w:color="auto"/>
            </w:tcBorders>
            <w:hideMark/>
          </w:tcPr>
          <w:p w14:paraId="131F8243" w14:textId="28F61715" w:rsidR="008B254C" w:rsidRPr="008B254C" w:rsidRDefault="008B254C" w:rsidP="007A2FC2">
            <w:pPr>
              <w:pStyle w:val="TableText"/>
              <w:keepNext/>
              <w:keepLines/>
              <w:jc w:val="center"/>
              <w:rPr>
                <w:highlight w:val="yellow"/>
              </w:rPr>
            </w:pPr>
            <w:r w:rsidRPr="00B53A52">
              <w:t>$</w:t>
            </w:r>
            <w:r w:rsidRPr="00B53A52">
              <w:rPr>
                <w:b/>
                <w:bCs/>
              </w:rPr>
              <w:t>Redacted</w:t>
            </w:r>
          </w:p>
        </w:tc>
        <w:tc>
          <w:tcPr>
            <w:tcW w:w="685" w:type="pct"/>
            <w:tcBorders>
              <w:top w:val="single" w:sz="6" w:space="0" w:color="auto"/>
              <w:left w:val="single" w:sz="6" w:space="0" w:color="auto"/>
              <w:bottom w:val="single" w:sz="6" w:space="0" w:color="auto"/>
              <w:right w:val="single" w:sz="6" w:space="0" w:color="auto"/>
            </w:tcBorders>
            <w:hideMark/>
          </w:tcPr>
          <w:p w14:paraId="3AD4F139" w14:textId="03E04FD5" w:rsidR="008B254C" w:rsidRPr="008B254C" w:rsidRDefault="008B254C" w:rsidP="007A2FC2">
            <w:pPr>
              <w:pStyle w:val="TableText"/>
              <w:keepNext/>
              <w:keepLines/>
              <w:jc w:val="center"/>
              <w:rPr>
                <w:highlight w:val="yellow"/>
              </w:rPr>
            </w:pPr>
            <w:r w:rsidRPr="00B53A52">
              <w:t>$</w:t>
            </w:r>
            <w:r w:rsidRPr="00B53A52">
              <w:rPr>
                <w:b/>
                <w:bCs/>
              </w:rPr>
              <w:t>Redacted</w:t>
            </w:r>
          </w:p>
        </w:tc>
      </w:tr>
      <w:tr w:rsidR="008B254C" w:rsidRPr="003C486E" w14:paraId="136C23F8" w14:textId="77777777" w:rsidTr="008B254C">
        <w:trPr>
          <w:trHeight w:val="300"/>
        </w:trPr>
        <w:tc>
          <w:tcPr>
            <w:tcW w:w="476" w:type="pct"/>
            <w:tcBorders>
              <w:top w:val="single" w:sz="6" w:space="0" w:color="auto"/>
              <w:left w:val="single" w:sz="6" w:space="0" w:color="auto"/>
              <w:bottom w:val="single" w:sz="6" w:space="0" w:color="auto"/>
              <w:right w:val="single" w:sz="6" w:space="0" w:color="auto"/>
            </w:tcBorders>
            <w:hideMark/>
          </w:tcPr>
          <w:p w14:paraId="53BB0698" w14:textId="77777777" w:rsidR="008B254C" w:rsidRPr="003C486E" w:rsidRDefault="008B254C" w:rsidP="007A2FC2">
            <w:pPr>
              <w:pStyle w:val="TableText"/>
              <w:keepNext/>
              <w:keepLines/>
            </w:pPr>
            <w:r w:rsidRPr="003C486E">
              <w:t>LYs</w:t>
            </w:r>
          </w:p>
        </w:tc>
        <w:tc>
          <w:tcPr>
            <w:tcW w:w="777" w:type="pct"/>
            <w:tcBorders>
              <w:top w:val="single" w:sz="6" w:space="0" w:color="auto"/>
              <w:left w:val="single" w:sz="6" w:space="0" w:color="auto"/>
              <w:bottom w:val="single" w:sz="6" w:space="0" w:color="auto"/>
              <w:right w:val="single" w:sz="6" w:space="0" w:color="auto"/>
            </w:tcBorders>
            <w:hideMark/>
          </w:tcPr>
          <w:p w14:paraId="48F8C8D7" w14:textId="77777777" w:rsidR="008B254C" w:rsidRPr="003C486E" w:rsidRDefault="008B254C" w:rsidP="007A2FC2">
            <w:pPr>
              <w:pStyle w:val="TableText"/>
              <w:keepNext/>
              <w:keepLines/>
              <w:jc w:val="center"/>
            </w:pPr>
            <w:r w:rsidRPr="00A53CF3">
              <w:t>9.95</w:t>
            </w:r>
            <w:r>
              <w:t>0</w:t>
            </w:r>
          </w:p>
        </w:tc>
        <w:tc>
          <w:tcPr>
            <w:tcW w:w="777" w:type="pct"/>
            <w:tcBorders>
              <w:top w:val="single" w:sz="6" w:space="0" w:color="auto"/>
              <w:left w:val="single" w:sz="6" w:space="0" w:color="auto"/>
              <w:bottom w:val="single" w:sz="6" w:space="0" w:color="auto"/>
              <w:right w:val="single" w:sz="6" w:space="0" w:color="auto"/>
            </w:tcBorders>
            <w:hideMark/>
          </w:tcPr>
          <w:p w14:paraId="0B3DAEDC" w14:textId="77777777" w:rsidR="008B254C" w:rsidRPr="003C486E" w:rsidRDefault="008B254C" w:rsidP="007A2FC2">
            <w:pPr>
              <w:pStyle w:val="TableText"/>
              <w:keepNext/>
              <w:keepLines/>
              <w:jc w:val="center"/>
            </w:pPr>
            <w:r w:rsidRPr="00A53CF3">
              <w:t>9.8</w:t>
            </w:r>
            <w:r>
              <w:t>78</w:t>
            </w:r>
          </w:p>
        </w:tc>
        <w:tc>
          <w:tcPr>
            <w:tcW w:w="731" w:type="pct"/>
            <w:tcBorders>
              <w:top w:val="single" w:sz="6" w:space="0" w:color="auto"/>
              <w:left w:val="single" w:sz="6" w:space="0" w:color="auto"/>
              <w:bottom w:val="single" w:sz="6" w:space="0" w:color="auto"/>
              <w:right w:val="single" w:sz="6" w:space="0" w:color="auto"/>
            </w:tcBorders>
            <w:hideMark/>
          </w:tcPr>
          <w:p w14:paraId="5869DDBA" w14:textId="77777777" w:rsidR="008B254C" w:rsidRPr="003C486E" w:rsidRDefault="008B254C" w:rsidP="007A2FC2">
            <w:pPr>
              <w:pStyle w:val="TableText"/>
              <w:keepNext/>
              <w:keepLines/>
              <w:jc w:val="center"/>
            </w:pPr>
            <w:r w:rsidRPr="00A53CF3">
              <w:t>0.07</w:t>
            </w:r>
            <w:r>
              <w:t>2</w:t>
            </w:r>
          </w:p>
        </w:tc>
        <w:tc>
          <w:tcPr>
            <w:tcW w:w="777" w:type="pct"/>
            <w:tcBorders>
              <w:top w:val="single" w:sz="6" w:space="0" w:color="auto"/>
              <w:left w:val="single" w:sz="6" w:space="0" w:color="auto"/>
              <w:bottom w:val="single" w:sz="6" w:space="0" w:color="auto"/>
              <w:right w:val="single" w:sz="6" w:space="0" w:color="auto"/>
            </w:tcBorders>
            <w:hideMark/>
          </w:tcPr>
          <w:p w14:paraId="706BFE10" w14:textId="77777777" w:rsidR="008B254C" w:rsidRPr="003C486E" w:rsidRDefault="008B254C" w:rsidP="007A2FC2">
            <w:pPr>
              <w:pStyle w:val="TableText"/>
              <w:keepNext/>
              <w:keepLines/>
              <w:jc w:val="center"/>
            </w:pPr>
            <w:r w:rsidRPr="00F7679A">
              <w:t>12.076</w:t>
            </w:r>
          </w:p>
        </w:tc>
        <w:tc>
          <w:tcPr>
            <w:tcW w:w="777" w:type="pct"/>
            <w:tcBorders>
              <w:top w:val="single" w:sz="6" w:space="0" w:color="auto"/>
              <w:left w:val="single" w:sz="6" w:space="0" w:color="auto"/>
              <w:bottom w:val="single" w:sz="6" w:space="0" w:color="auto"/>
              <w:right w:val="single" w:sz="6" w:space="0" w:color="auto"/>
            </w:tcBorders>
            <w:hideMark/>
          </w:tcPr>
          <w:p w14:paraId="79FE8F50" w14:textId="77777777" w:rsidR="008B254C" w:rsidRPr="003C486E" w:rsidRDefault="008B254C" w:rsidP="007A2FC2">
            <w:pPr>
              <w:pStyle w:val="TableText"/>
              <w:keepNext/>
              <w:keepLines/>
              <w:jc w:val="center"/>
            </w:pPr>
            <w:r w:rsidRPr="00F7679A">
              <w:t>12.036</w:t>
            </w:r>
          </w:p>
        </w:tc>
        <w:tc>
          <w:tcPr>
            <w:tcW w:w="685" w:type="pct"/>
            <w:tcBorders>
              <w:top w:val="single" w:sz="6" w:space="0" w:color="auto"/>
              <w:left w:val="single" w:sz="6" w:space="0" w:color="auto"/>
              <w:bottom w:val="single" w:sz="6" w:space="0" w:color="auto"/>
              <w:right w:val="single" w:sz="6" w:space="0" w:color="auto"/>
            </w:tcBorders>
            <w:hideMark/>
          </w:tcPr>
          <w:p w14:paraId="35CCF8A8" w14:textId="77777777" w:rsidR="008B254C" w:rsidRPr="003C486E" w:rsidRDefault="008B254C" w:rsidP="007A2FC2">
            <w:pPr>
              <w:pStyle w:val="TableText"/>
              <w:keepNext/>
              <w:keepLines/>
              <w:jc w:val="center"/>
            </w:pPr>
            <w:r w:rsidRPr="00F7679A">
              <w:t>0.04</w:t>
            </w:r>
          </w:p>
        </w:tc>
      </w:tr>
      <w:tr w:rsidR="008B254C" w:rsidRPr="003C486E" w14:paraId="05DD1B05" w14:textId="77777777" w:rsidTr="008B254C">
        <w:trPr>
          <w:trHeight w:val="300"/>
        </w:trPr>
        <w:tc>
          <w:tcPr>
            <w:tcW w:w="476" w:type="pct"/>
            <w:tcBorders>
              <w:top w:val="single" w:sz="6" w:space="0" w:color="auto"/>
              <w:left w:val="single" w:sz="6" w:space="0" w:color="auto"/>
              <w:bottom w:val="single" w:sz="6" w:space="0" w:color="auto"/>
              <w:right w:val="single" w:sz="6" w:space="0" w:color="auto"/>
            </w:tcBorders>
            <w:hideMark/>
          </w:tcPr>
          <w:p w14:paraId="36AC99E4" w14:textId="77777777" w:rsidR="008B254C" w:rsidRPr="003C486E" w:rsidRDefault="008B254C" w:rsidP="007A2FC2">
            <w:pPr>
              <w:pStyle w:val="TableText"/>
              <w:keepNext/>
              <w:keepLines/>
            </w:pPr>
            <w:r w:rsidRPr="003C486E">
              <w:t>QALYs</w:t>
            </w:r>
          </w:p>
        </w:tc>
        <w:tc>
          <w:tcPr>
            <w:tcW w:w="777" w:type="pct"/>
            <w:tcBorders>
              <w:top w:val="single" w:sz="6" w:space="0" w:color="auto"/>
              <w:left w:val="single" w:sz="6" w:space="0" w:color="auto"/>
              <w:bottom w:val="single" w:sz="6" w:space="0" w:color="auto"/>
              <w:right w:val="single" w:sz="6" w:space="0" w:color="auto"/>
            </w:tcBorders>
            <w:hideMark/>
          </w:tcPr>
          <w:p w14:paraId="16988D88" w14:textId="77777777" w:rsidR="008B254C" w:rsidRPr="003C486E" w:rsidRDefault="008B254C" w:rsidP="007A2FC2">
            <w:pPr>
              <w:pStyle w:val="TableText"/>
              <w:keepNext/>
              <w:keepLines/>
              <w:jc w:val="center"/>
            </w:pPr>
            <w:r w:rsidRPr="00006DAE">
              <w:t>7.231</w:t>
            </w:r>
          </w:p>
        </w:tc>
        <w:tc>
          <w:tcPr>
            <w:tcW w:w="777" w:type="pct"/>
            <w:tcBorders>
              <w:top w:val="single" w:sz="6" w:space="0" w:color="auto"/>
              <w:left w:val="single" w:sz="6" w:space="0" w:color="auto"/>
              <w:bottom w:val="single" w:sz="6" w:space="0" w:color="auto"/>
              <w:right w:val="single" w:sz="6" w:space="0" w:color="auto"/>
            </w:tcBorders>
            <w:hideMark/>
          </w:tcPr>
          <w:p w14:paraId="757A5BBE" w14:textId="77777777" w:rsidR="008B254C" w:rsidRPr="003C486E" w:rsidRDefault="008B254C" w:rsidP="007A2FC2">
            <w:pPr>
              <w:pStyle w:val="TableText"/>
              <w:keepNext/>
              <w:keepLines/>
              <w:jc w:val="center"/>
            </w:pPr>
            <w:r w:rsidRPr="00006DAE">
              <w:t>6.944</w:t>
            </w:r>
          </w:p>
        </w:tc>
        <w:tc>
          <w:tcPr>
            <w:tcW w:w="731" w:type="pct"/>
            <w:tcBorders>
              <w:top w:val="single" w:sz="6" w:space="0" w:color="auto"/>
              <w:left w:val="single" w:sz="6" w:space="0" w:color="auto"/>
              <w:bottom w:val="single" w:sz="6" w:space="0" w:color="auto"/>
              <w:right w:val="single" w:sz="6" w:space="0" w:color="auto"/>
            </w:tcBorders>
            <w:hideMark/>
          </w:tcPr>
          <w:p w14:paraId="721E70D8" w14:textId="77777777" w:rsidR="008B254C" w:rsidRPr="003C486E" w:rsidRDefault="008B254C" w:rsidP="007A2FC2">
            <w:pPr>
              <w:pStyle w:val="TableText"/>
              <w:keepNext/>
              <w:keepLines/>
              <w:jc w:val="center"/>
            </w:pPr>
            <w:r w:rsidRPr="00006DAE">
              <w:t>0.287</w:t>
            </w:r>
          </w:p>
        </w:tc>
        <w:tc>
          <w:tcPr>
            <w:tcW w:w="777" w:type="pct"/>
            <w:tcBorders>
              <w:top w:val="single" w:sz="6" w:space="0" w:color="auto"/>
              <w:left w:val="single" w:sz="6" w:space="0" w:color="auto"/>
              <w:bottom w:val="single" w:sz="6" w:space="0" w:color="auto"/>
              <w:right w:val="single" w:sz="6" w:space="0" w:color="auto"/>
            </w:tcBorders>
            <w:hideMark/>
          </w:tcPr>
          <w:p w14:paraId="14DC132B" w14:textId="77777777" w:rsidR="008B254C" w:rsidRPr="003C486E" w:rsidRDefault="008B254C" w:rsidP="007A2FC2">
            <w:pPr>
              <w:pStyle w:val="TableText"/>
              <w:keepNext/>
              <w:keepLines/>
              <w:jc w:val="center"/>
            </w:pPr>
            <w:r w:rsidRPr="005A1BB3">
              <w:t>8.677</w:t>
            </w:r>
          </w:p>
        </w:tc>
        <w:tc>
          <w:tcPr>
            <w:tcW w:w="777" w:type="pct"/>
            <w:tcBorders>
              <w:top w:val="single" w:sz="6" w:space="0" w:color="auto"/>
              <w:left w:val="single" w:sz="6" w:space="0" w:color="auto"/>
              <w:bottom w:val="single" w:sz="6" w:space="0" w:color="auto"/>
              <w:right w:val="single" w:sz="6" w:space="0" w:color="auto"/>
            </w:tcBorders>
            <w:hideMark/>
          </w:tcPr>
          <w:p w14:paraId="59D82678" w14:textId="77777777" w:rsidR="008B254C" w:rsidRPr="003C486E" w:rsidRDefault="008B254C" w:rsidP="007A2FC2">
            <w:pPr>
              <w:pStyle w:val="TableText"/>
              <w:keepNext/>
              <w:keepLines/>
              <w:jc w:val="center"/>
            </w:pPr>
            <w:r w:rsidRPr="005A1BB3">
              <w:t>8.363</w:t>
            </w:r>
          </w:p>
        </w:tc>
        <w:tc>
          <w:tcPr>
            <w:tcW w:w="685" w:type="pct"/>
            <w:tcBorders>
              <w:top w:val="single" w:sz="6" w:space="0" w:color="auto"/>
              <w:left w:val="single" w:sz="6" w:space="0" w:color="auto"/>
              <w:bottom w:val="single" w:sz="6" w:space="0" w:color="auto"/>
              <w:right w:val="single" w:sz="6" w:space="0" w:color="auto"/>
            </w:tcBorders>
            <w:hideMark/>
          </w:tcPr>
          <w:p w14:paraId="5448BF3B" w14:textId="77777777" w:rsidR="008B254C" w:rsidRPr="003C486E" w:rsidRDefault="008B254C" w:rsidP="007A2FC2">
            <w:pPr>
              <w:pStyle w:val="TableText"/>
              <w:keepNext/>
              <w:keepLines/>
              <w:jc w:val="center"/>
            </w:pPr>
            <w:r w:rsidRPr="005A1BB3">
              <w:t>0.314</w:t>
            </w:r>
          </w:p>
        </w:tc>
      </w:tr>
      <w:tr w:rsidR="008B254C" w:rsidRPr="003C486E" w14:paraId="6D45BD34" w14:textId="12511F29" w:rsidTr="008B254C">
        <w:trPr>
          <w:trHeight w:val="300"/>
        </w:trPr>
        <w:tc>
          <w:tcPr>
            <w:tcW w:w="476" w:type="pct"/>
            <w:tcBorders>
              <w:top w:val="single" w:sz="6" w:space="0" w:color="auto"/>
              <w:left w:val="single" w:sz="6" w:space="0" w:color="auto"/>
              <w:bottom w:val="single" w:sz="6" w:space="0" w:color="auto"/>
              <w:right w:val="single" w:sz="6" w:space="0" w:color="auto"/>
            </w:tcBorders>
            <w:hideMark/>
          </w:tcPr>
          <w:p w14:paraId="0E624777" w14:textId="77777777" w:rsidR="008B254C" w:rsidRPr="003C486E" w:rsidRDefault="008B254C" w:rsidP="007A2FC2">
            <w:pPr>
              <w:pStyle w:val="TableText"/>
              <w:keepNext/>
              <w:keepLines/>
              <w:rPr>
                <w:b/>
                <w:bCs/>
              </w:rPr>
            </w:pPr>
            <w:r w:rsidRPr="003C486E">
              <w:rPr>
                <w:b/>
                <w:bCs/>
              </w:rPr>
              <w:t>Incremental costs per QALY gained</w:t>
            </w:r>
          </w:p>
        </w:tc>
        <w:tc>
          <w:tcPr>
            <w:tcW w:w="2285" w:type="pct"/>
            <w:gridSpan w:val="3"/>
            <w:tcBorders>
              <w:top w:val="single" w:sz="6" w:space="0" w:color="auto"/>
              <w:left w:val="single" w:sz="6" w:space="0" w:color="auto"/>
              <w:bottom w:val="single" w:sz="6" w:space="0" w:color="auto"/>
              <w:right w:val="single" w:sz="6" w:space="0" w:color="auto"/>
            </w:tcBorders>
            <w:hideMark/>
          </w:tcPr>
          <w:p w14:paraId="6B5C5FFE" w14:textId="303F709F" w:rsidR="008B254C" w:rsidRPr="008B254C" w:rsidRDefault="008B254C" w:rsidP="007A2FC2">
            <w:pPr>
              <w:pStyle w:val="TableText"/>
              <w:keepNext/>
              <w:keepLines/>
              <w:jc w:val="center"/>
              <w:rPr>
                <w:highlight w:val="yellow"/>
              </w:rPr>
            </w:pPr>
            <w:r w:rsidRPr="00637C8D">
              <w:t>$</w:t>
            </w:r>
            <w:r w:rsidRPr="00637C8D">
              <w:rPr>
                <w:b/>
                <w:bCs/>
              </w:rPr>
              <w:t>Redacted</w:t>
            </w:r>
            <w:r w:rsidRPr="008B254C">
              <w:rPr>
                <w:vertAlign w:val="superscript"/>
              </w:rPr>
              <w:t>1</w:t>
            </w:r>
          </w:p>
        </w:tc>
        <w:tc>
          <w:tcPr>
            <w:tcW w:w="2239" w:type="pct"/>
            <w:gridSpan w:val="3"/>
            <w:tcBorders>
              <w:top w:val="single" w:sz="6" w:space="0" w:color="auto"/>
              <w:left w:val="single" w:sz="6" w:space="0" w:color="auto"/>
              <w:bottom w:val="single" w:sz="6" w:space="0" w:color="auto"/>
              <w:right w:val="single" w:sz="6" w:space="0" w:color="auto"/>
            </w:tcBorders>
            <w:hideMark/>
          </w:tcPr>
          <w:p w14:paraId="51DB8337" w14:textId="0CD04328" w:rsidR="008B254C" w:rsidRPr="008B254C" w:rsidRDefault="008B254C" w:rsidP="007A2FC2">
            <w:pPr>
              <w:pStyle w:val="TableText"/>
              <w:keepNext/>
              <w:keepLines/>
              <w:jc w:val="center"/>
              <w:rPr>
                <w:highlight w:val="yellow"/>
              </w:rPr>
            </w:pPr>
            <w:r w:rsidRPr="00B53A52">
              <w:t>$</w:t>
            </w:r>
            <w:r w:rsidRPr="00B53A52">
              <w:rPr>
                <w:b/>
                <w:bCs/>
              </w:rPr>
              <w:t>Redacted</w:t>
            </w:r>
            <w:r>
              <w:rPr>
                <w:vertAlign w:val="superscript"/>
              </w:rPr>
              <w:t>2</w:t>
            </w:r>
          </w:p>
        </w:tc>
      </w:tr>
    </w:tbl>
    <w:p w14:paraId="6FEC968D" w14:textId="3C08DA3F" w:rsidR="006B327B" w:rsidRPr="0080067E" w:rsidRDefault="00C43A56" w:rsidP="007A2FC2">
      <w:pPr>
        <w:pStyle w:val="TableFooter"/>
        <w:keepNext/>
        <w:keepLines/>
        <w:spacing w:before="0"/>
        <w:rPr>
          <w:rFonts w:eastAsia="Arial Narrow" w:cs="Arial Narrow"/>
          <w:szCs w:val="18"/>
        </w:rPr>
      </w:pPr>
      <w:r w:rsidRPr="00C43A56">
        <w:rPr>
          <w:rFonts w:eastAsia="Arial Narrow"/>
          <w:b/>
          <w:bCs/>
        </w:rPr>
        <w:t>Abbreviations:</w:t>
      </w:r>
      <w:r>
        <w:rPr>
          <w:rFonts w:eastAsia="Arial Narrow"/>
        </w:rPr>
        <w:t xml:space="preserve"> </w:t>
      </w:r>
      <w:r w:rsidR="006B327B" w:rsidRPr="004C00B5">
        <w:rPr>
          <w:rFonts w:eastAsia="Arial Narrow"/>
        </w:rPr>
        <w:t>IIT= intensive insulin therapy</w:t>
      </w:r>
      <w:r w:rsidR="006B327B">
        <w:rPr>
          <w:rFonts w:eastAsia="Arial Narrow" w:cs="Arial Narrow"/>
          <w:szCs w:val="18"/>
        </w:rPr>
        <w:t>;</w:t>
      </w:r>
      <w:r w:rsidR="006B327B" w:rsidRPr="004C00B5">
        <w:rPr>
          <w:rFonts w:eastAsia="Arial Narrow" w:cs="Arial Narrow"/>
          <w:szCs w:val="18"/>
        </w:rPr>
        <w:t> </w:t>
      </w:r>
      <w:r w:rsidR="006B327B">
        <w:rPr>
          <w:rFonts w:eastAsia="Arial Narrow" w:cs="Arial Narrow"/>
          <w:szCs w:val="18"/>
        </w:rPr>
        <w:t xml:space="preserve">LY = life year; </w:t>
      </w:r>
      <w:r w:rsidR="006B327B" w:rsidRPr="004C00B5">
        <w:rPr>
          <w:rFonts w:eastAsia="Arial Narrow" w:cs="Arial Narrow"/>
          <w:szCs w:val="18"/>
        </w:rPr>
        <w:t>QALY = quality-adjusted life year</w:t>
      </w:r>
      <w:r w:rsidR="006B327B">
        <w:rPr>
          <w:rFonts w:eastAsia="Arial Narrow" w:cs="Arial Narrow"/>
          <w:szCs w:val="18"/>
        </w:rPr>
        <w:t>;</w:t>
      </w:r>
      <w:r w:rsidR="006B327B" w:rsidRPr="004C00B5">
        <w:rPr>
          <w:rFonts w:eastAsia="Arial Narrow" w:cs="Arial Narrow"/>
          <w:szCs w:val="18"/>
        </w:rPr>
        <w:t> RT-CGM = real-time continuous glucose monitoring</w:t>
      </w:r>
      <w:r w:rsidR="006B327B">
        <w:rPr>
          <w:rFonts w:eastAsia="Arial Narrow" w:cs="Arial Narrow"/>
          <w:szCs w:val="18"/>
        </w:rPr>
        <w:t>;</w:t>
      </w:r>
      <w:r w:rsidR="006B327B" w:rsidRPr="004C00B5">
        <w:rPr>
          <w:rFonts w:eastAsia="Arial Narrow" w:cs="Arial Narrow"/>
          <w:szCs w:val="18"/>
        </w:rPr>
        <w:t> SMBG = self-monitoring of blood glucose</w:t>
      </w:r>
      <w:r w:rsidR="006B327B">
        <w:rPr>
          <w:rFonts w:eastAsia="Arial Narrow" w:cs="Arial Narrow"/>
          <w:szCs w:val="18"/>
        </w:rPr>
        <w:t>; UKPDS = UK prospective diabetes study</w:t>
      </w:r>
      <w:r w:rsidR="006B327B" w:rsidRPr="004C00B5">
        <w:rPr>
          <w:rFonts w:eastAsia="Arial Narrow" w:cs="Arial Narrow"/>
          <w:szCs w:val="18"/>
        </w:rPr>
        <w:t>. </w:t>
      </w:r>
    </w:p>
    <w:p w14:paraId="43F7A253" w14:textId="0FB604B1" w:rsidR="00C43A56" w:rsidRDefault="00C43A56" w:rsidP="007A2FC2">
      <w:pPr>
        <w:pStyle w:val="TableFooter"/>
        <w:keepNext/>
        <w:keepLines/>
        <w:spacing w:before="0"/>
        <w:rPr>
          <w:lang w:eastAsia="en-AU"/>
        </w:rPr>
      </w:pPr>
      <w:r w:rsidRPr="00A95451">
        <w:rPr>
          <w:b/>
          <w:bCs/>
          <w:lang w:eastAsia="en-AU"/>
        </w:rPr>
        <w:t>Source:</w:t>
      </w:r>
      <w:r>
        <w:rPr>
          <w:lang w:eastAsia="en-AU"/>
        </w:rPr>
        <w:t xml:space="preserve"> </w:t>
      </w:r>
      <w:r w:rsidRPr="00C81E0C">
        <w:rPr>
          <w:lang w:eastAsia="en-AU"/>
        </w:rPr>
        <w:t>Adapted from Table</w:t>
      </w:r>
      <w:r>
        <w:rPr>
          <w:lang w:eastAsia="en-AU"/>
        </w:rPr>
        <w:t>s</w:t>
      </w:r>
      <w:r w:rsidRPr="00C81E0C">
        <w:rPr>
          <w:lang w:eastAsia="en-AU"/>
        </w:rPr>
        <w:t> </w:t>
      </w:r>
      <w:r>
        <w:rPr>
          <w:lang w:eastAsia="en-AU"/>
        </w:rPr>
        <w:t xml:space="preserve">33 and </w:t>
      </w:r>
      <w:r w:rsidR="00610B69">
        <w:rPr>
          <w:lang w:eastAsia="en-AU"/>
        </w:rPr>
        <w:t>34</w:t>
      </w:r>
      <w:r w:rsidRPr="00C81E0C">
        <w:rPr>
          <w:lang w:eastAsia="en-AU"/>
        </w:rPr>
        <w:t>, p</w:t>
      </w:r>
      <w:r w:rsidR="00610B69">
        <w:rPr>
          <w:lang w:eastAsia="en-AU"/>
        </w:rPr>
        <w:t xml:space="preserve">p. </w:t>
      </w:r>
      <w:r w:rsidR="00CC69DF">
        <w:rPr>
          <w:lang w:eastAsia="en-AU"/>
        </w:rPr>
        <w:t>103</w:t>
      </w:r>
      <w:r w:rsidR="00610B69">
        <w:rPr>
          <w:lang w:eastAsia="en-AU"/>
        </w:rPr>
        <w:t>-1</w:t>
      </w:r>
      <w:r w:rsidR="00CC69DF">
        <w:rPr>
          <w:lang w:eastAsia="en-AU"/>
        </w:rPr>
        <w:t>05</w:t>
      </w:r>
      <w:r w:rsidRPr="00C81E0C">
        <w:rPr>
          <w:lang w:eastAsia="en-AU"/>
        </w:rPr>
        <w:t> of the MSAC 17</w:t>
      </w:r>
      <w:r>
        <w:rPr>
          <w:lang w:eastAsia="en-AU"/>
        </w:rPr>
        <w:t>85</w:t>
      </w:r>
      <w:r w:rsidRPr="00C81E0C">
        <w:rPr>
          <w:lang w:eastAsia="en-AU"/>
        </w:rPr>
        <w:t> ADAR</w:t>
      </w:r>
      <w:r>
        <w:rPr>
          <w:lang w:eastAsia="en-AU"/>
        </w:rPr>
        <w:t xml:space="preserve"> </w:t>
      </w:r>
      <w:r w:rsidRPr="00C81E0C">
        <w:rPr>
          <w:lang w:eastAsia="en-AU"/>
        </w:rPr>
        <w:t>+</w:t>
      </w:r>
      <w:r>
        <w:rPr>
          <w:lang w:eastAsia="en-AU"/>
        </w:rPr>
        <w:t xml:space="preserve"> </w:t>
      </w:r>
      <w:r w:rsidRPr="00C81E0C">
        <w:rPr>
          <w:lang w:eastAsia="en-AU"/>
        </w:rPr>
        <w:t>in-line commentary</w:t>
      </w:r>
      <w:r>
        <w:rPr>
          <w:lang w:eastAsia="en-AU"/>
        </w:rPr>
        <w:t>.</w:t>
      </w:r>
      <w:r w:rsidRPr="00C81E0C">
        <w:rPr>
          <w:lang w:eastAsia="en-AU"/>
        </w:rPr>
        <w:t>  </w:t>
      </w:r>
    </w:p>
    <w:p w14:paraId="59E4D3DC" w14:textId="77777777" w:rsidR="009F5902" w:rsidRDefault="009F5902" w:rsidP="007A2FC2">
      <w:pPr>
        <w:pStyle w:val="TableFooter"/>
        <w:keepNext/>
        <w:keepLines/>
        <w:rPr>
          <w:lang w:eastAsia="en-AU"/>
        </w:rPr>
      </w:pPr>
      <w:r>
        <w:rPr>
          <w:lang w:eastAsia="en-AU"/>
        </w:rPr>
        <w:t>The redacted values correspond to the following ranges:</w:t>
      </w:r>
    </w:p>
    <w:p w14:paraId="4723F6D5" w14:textId="5B56516C" w:rsidR="009F5902" w:rsidRDefault="009F5902" w:rsidP="007A2FC2">
      <w:pPr>
        <w:pStyle w:val="TableFooter"/>
        <w:keepNext/>
        <w:keepLines/>
        <w:rPr>
          <w:lang w:eastAsia="en-AU"/>
        </w:rPr>
      </w:pPr>
      <w:r>
        <w:rPr>
          <w:vertAlign w:val="superscript"/>
          <w:lang w:eastAsia="en-AU"/>
        </w:rPr>
        <w:t>1</w:t>
      </w:r>
      <w:r>
        <w:rPr>
          <w:lang w:eastAsia="en-AU"/>
        </w:rPr>
        <w:t xml:space="preserve"> $</w:t>
      </w:r>
      <w:r w:rsidR="005E611A">
        <w:rPr>
          <w:lang w:eastAsia="en-AU"/>
        </w:rPr>
        <w:t>35,000 to &lt;$45,000</w:t>
      </w:r>
    </w:p>
    <w:p w14:paraId="1061BA0F" w14:textId="21727055" w:rsidR="009F5902" w:rsidRPr="00610B69" w:rsidRDefault="005E611A" w:rsidP="007A2FC2">
      <w:pPr>
        <w:pStyle w:val="TableFooter"/>
        <w:rPr>
          <w:lang w:eastAsia="en-AU"/>
        </w:rPr>
      </w:pPr>
      <w:r w:rsidRPr="008B254C">
        <w:rPr>
          <w:vertAlign w:val="superscript"/>
          <w:lang w:eastAsia="en-AU"/>
        </w:rPr>
        <w:t>2</w:t>
      </w:r>
      <w:r>
        <w:rPr>
          <w:lang w:eastAsia="en-AU"/>
        </w:rPr>
        <w:t xml:space="preserve"> </w:t>
      </w:r>
      <w:r w:rsidR="00E31DEF">
        <w:rPr>
          <w:lang w:eastAsia="en-AU"/>
        </w:rPr>
        <w:t>$</w:t>
      </w:r>
      <w:r w:rsidR="009F5902">
        <w:rPr>
          <w:lang w:eastAsia="en-AU"/>
        </w:rPr>
        <w:t>5,000 to &lt; $15,000</w:t>
      </w:r>
      <w:r w:rsidR="009F5902" w:rsidRPr="00C81E0C">
        <w:rPr>
          <w:lang w:eastAsia="en-AU"/>
        </w:rPr>
        <w:t>  </w:t>
      </w:r>
    </w:p>
    <w:p w14:paraId="4CFD9081" w14:textId="0A05D8DC" w:rsidR="00696134" w:rsidRDefault="00696134" w:rsidP="00696134">
      <w:pPr>
        <w:rPr>
          <w:lang w:eastAsia="en-AU"/>
        </w:rPr>
      </w:pPr>
      <w:bookmarkStart w:id="49" w:name="_Ref228797258"/>
      <w:r>
        <w:t xml:space="preserve">The </w:t>
      </w:r>
      <w:r w:rsidR="00825F8D">
        <w:t>disaggregated</w:t>
      </w:r>
      <w:r>
        <w:t xml:space="preserve"> base case costs for</w:t>
      </w:r>
      <w:r w:rsidR="00455815">
        <w:t xml:space="preserve"> the</w:t>
      </w:r>
      <w:r>
        <w:t xml:space="preserve"> IIT subpopulation are presented in </w:t>
      </w:r>
      <w:r>
        <w:fldChar w:fldCharType="begin"/>
      </w:r>
      <w:r>
        <w:instrText xml:space="preserve"> REF _Ref228797277 \h </w:instrText>
      </w:r>
      <w:r>
        <w:fldChar w:fldCharType="separate"/>
      </w:r>
      <w:r w:rsidR="0098516D">
        <w:t xml:space="preserve">Table </w:t>
      </w:r>
      <w:r w:rsidR="0098516D">
        <w:rPr>
          <w:noProof/>
        </w:rPr>
        <w:t>16</w:t>
      </w:r>
      <w:r>
        <w:fldChar w:fldCharType="end"/>
      </w:r>
      <w:r>
        <w:t>.</w:t>
      </w:r>
    </w:p>
    <w:p w14:paraId="369D866C" w14:textId="5362014E" w:rsidR="00696134" w:rsidRPr="006B754D" w:rsidRDefault="00696134" w:rsidP="00696134">
      <w:pPr>
        <w:pStyle w:val="Caption"/>
      </w:pPr>
      <w:bookmarkStart w:id="50" w:name="_Ref228797277"/>
      <w:r>
        <w:lastRenderedPageBreak/>
        <w:t xml:space="preserve">Table </w:t>
      </w:r>
      <w:r>
        <w:fldChar w:fldCharType="begin"/>
      </w:r>
      <w:r>
        <w:instrText>SEQ Table \* ARABIC</w:instrText>
      </w:r>
      <w:r>
        <w:fldChar w:fldCharType="separate"/>
      </w:r>
      <w:r w:rsidR="0098516D">
        <w:rPr>
          <w:noProof/>
        </w:rPr>
        <w:t>16</w:t>
      </w:r>
      <w:r>
        <w:fldChar w:fldCharType="end"/>
      </w:r>
      <w:bookmarkEnd w:id="49"/>
      <w:bookmarkEnd w:id="50"/>
      <w:r w:rsidRPr="00C42F98">
        <w:t xml:space="preserve">: </w:t>
      </w:r>
      <w:r>
        <w:t>Disaggregated b</w:t>
      </w:r>
      <w:r w:rsidRPr="006B754D">
        <w:t xml:space="preserve">ase case cost for RT-CGM vs SMBG for </w:t>
      </w:r>
      <w:r>
        <w:t>non-</w:t>
      </w:r>
      <w:r w:rsidRPr="006B754D">
        <w:t>IIT population</w:t>
      </w:r>
    </w:p>
    <w:tbl>
      <w:tblPr>
        <w:tblStyle w:val="TableGrid"/>
        <w:tblW w:w="0" w:type="auto"/>
        <w:tblLayout w:type="fixed"/>
        <w:tblLook w:val="04A0" w:firstRow="1" w:lastRow="0" w:firstColumn="1" w:lastColumn="0" w:noHBand="0" w:noVBand="1"/>
      </w:tblPr>
      <w:tblGrid>
        <w:gridCol w:w="1413"/>
        <w:gridCol w:w="950"/>
        <w:gridCol w:w="950"/>
        <w:gridCol w:w="951"/>
        <w:gridCol w:w="950"/>
        <w:gridCol w:w="950"/>
        <w:gridCol w:w="951"/>
        <w:gridCol w:w="950"/>
        <w:gridCol w:w="951"/>
      </w:tblGrid>
      <w:tr w:rsidR="00F337A3" w:rsidRPr="006B754D" w14:paraId="5019D2A8" w14:textId="77777777" w:rsidTr="00030059">
        <w:tc>
          <w:tcPr>
            <w:tcW w:w="1413" w:type="dxa"/>
            <w:vMerge w:val="restart"/>
            <w:shd w:val="clear" w:color="auto" w:fill="D9D9D9" w:themeFill="background1" w:themeFillShade="D9"/>
            <w:vAlign w:val="center"/>
          </w:tcPr>
          <w:p w14:paraId="543AA3BE" w14:textId="77777777" w:rsidR="00696134" w:rsidRPr="006B754D" w:rsidRDefault="00696134" w:rsidP="00101AE3">
            <w:pPr>
              <w:pStyle w:val="In-tableHeading"/>
              <w:jc w:val="center"/>
            </w:pPr>
            <w:r w:rsidRPr="009A3411">
              <w:t>Base case costs &amp; outcomes</w:t>
            </w:r>
          </w:p>
        </w:tc>
        <w:tc>
          <w:tcPr>
            <w:tcW w:w="3801" w:type="dxa"/>
            <w:gridSpan w:val="4"/>
            <w:shd w:val="clear" w:color="auto" w:fill="D9D9D9" w:themeFill="background1" w:themeFillShade="D9"/>
            <w:vAlign w:val="center"/>
          </w:tcPr>
          <w:p w14:paraId="68A886F0" w14:textId="77777777" w:rsidR="00696134" w:rsidRPr="006B754D" w:rsidRDefault="00696134" w:rsidP="00101AE3">
            <w:pPr>
              <w:pStyle w:val="In-tableHeading"/>
              <w:jc w:val="center"/>
            </w:pPr>
            <w:r w:rsidRPr="009A3411">
              <w:t>UKPDS</w:t>
            </w:r>
          </w:p>
        </w:tc>
        <w:tc>
          <w:tcPr>
            <w:tcW w:w="3802" w:type="dxa"/>
            <w:gridSpan w:val="4"/>
            <w:shd w:val="clear" w:color="auto" w:fill="D9D9D9" w:themeFill="background1" w:themeFillShade="D9"/>
          </w:tcPr>
          <w:p w14:paraId="244D9A01" w14:textId="77777777" w:rsidR="00696134" w:rsidRPr="006B754D" w:rsidRDefault="00696134" w:rsidP="00101AE3">
            <w:pPr>
              <w:pStyle w:val="In-tableHeading"/>
              <w:jc w:val="center"/>
            </w:pPr>
            <w:r w:rsidRPr="009A3411">
              <w:t>Fremantle</w:t>
            </w:r>
          </w:p>
        </w:tc>
      </w:tr>
      <w:tr w:rsidR="001865E0" w:rsidRPr="006B754D" w14:paraId="2E778CEB" w14:textId="77777777" w:rsidTr="00030059">
        <w:tc>
          <w:tcPr>
            <w:tcW w:w="1413" w:type="dxa"/>
            <w:vMerge/>
            <w:shd w:val="clear" w:color="auto" w:fill="D9D9D9" w:themeFill="background1" w:themeFillShade="D9"/>
          </w:tcPr>
          <w:p w14:paraId="09B35D03" w14:textId="77777777" w:rsidR="00696134" w:rsidRPr="009A3411" w:rsidRDefault="00696134" w:rsidP="00101AE3">
            <w:pPr>
              <w:pStyle w:val="In-tableHeading"/>
              <w:jc w:val="center"/>
            </w:pPr>
          </w:p>
        </w:tc>
        <w:tc>
          <w:tcPr>
            <w:tcW w:w="950" w:type="dxa"/>
            <w:shd w:val="clear" w:color="auto" w:fill="D9D9D9" w:themeFill="background1" w:themeFillShade="D9"/>
            <w:vAlign w:val="center"/>
          </w:tcPr>
          <w:p w14:paraId="4103F7BC" w14:textId="77777777" w:rsidR="00696134" w:rsidRPr="006B754D" w:rsidRDefault="00696134" w:rsidP="00101AE3">
            <w:pPr>
              <w:pStyle w:val="In-tableHeading"/>
              <w:jc w:val="center"/>
            </w:pPr>
            <w:r w:rsidRPr="009A3411">
              <w:t>RT-CGM</w:t>
            </w:r>
          </w:p>
        </w:tc>
        <w:tc>
          <w:tcPr>
            <w:tcW w:w="950" w:type="dxa"/>
            <w:shd w:val="clear" w:color="auto" w:fill="D9D9D9" w:themeFill="background1" w:themeFillShade="D9"/>
            <w:vAlign w:val="center"/>
          </w:tcPr>
          <w:p w14:paraId="5043B140" w14:textId="77777777" w:rsidR="00696134" w:rsidRPr="006B754D" w:rsidRDefault="00696134" w:rsidP="00101AE3">
            <w:pPr>
              <w:pStyle w:val="In-tableHeading"/>
              <w:jc w:val="center"/>
            </w:pPr>
            <w:r w:rsidRPr="009A3411">
              <w:t>SMBG</w:t>
            </w:r>
          </w:p>
        </w:tc>
        <w:tc>
          <w:tcPr>
            <w:tcW w:w="951" w:type="dxa"/>
            <w:shd w:val="clear" w:color="auto" w:fill="D9D9D9" w:themeFill="background1" w:themeFillShade="D9"/>
            <w:vAlign w:val="center"/>
          </w:tcPr>
          <w:p w14:paraId="4FF3C8CE" w14:textId="77777777" w:rsidR="00696134" w:rsidRPr="006B754D" w:rsidRDefault="00696134" w:rsidP="00101AE3">
            <w:pPr>
              <w:pStyle w:val="In-tableHeading"/>
              <w:jc w:val="center"/>
            </w:pPr>
            <w:r w:rsidRPr="009A3411">
              <w:t>Difference</w:t>
            </w:r>
          </w:p>
        </w:tc>
        <w:tc>
          <w:tcPr>
            <w:tcW w:w="950" w:type="dxa"/>
            <w:shd w:val="clear" w:color="auto" w:fill="D9D9D9" w:themeFill="background1" w:themeFillShade="D9"/>
          </w:tcPr>
          <w:p w14:paraId="566B5788" w14:textId="77777777" w:rsidR="00696134" w:rsidRPr="006B754D" w:rsidRDefault="00696134" w:rsidP="00101AE3">
            <w:pPr>
              <w:pStyle w:val="In-tableHeading"/>
              <w:jc w:val="center"/>
              <w:rPr>
                <w:i/>
              </w:rPr>
            </w:pPr>
            <w:r w:rsidRPr="009A3411">
              <w:rPr>
                <w:i/>
              </w:rPr>
              <w:t>% of incremental cost</w:t>
            </w:r>
          </w:p>
        </w:tc>
        <w:tc>
          <w:tcPr>
            <w:tcW w:w="950" w:type="dxa"/>
            <w:shd w:val="clear" w:color="auto" w:fill="D9D9D9" w:themeFill="background1" w:themeFillShade="D9"/>
            <w:vAlign w:val="center"/>
          </w:tcPr>
          <w:p w14:paraId="6F09EE4B" w14:textId="77777777" w:rsidR="00696134" w:rsidRPr="006B754D" w:rsidRDefault="00696134" w:rsidP="00101AE3">
            <w:pPr>
              <w:pStyle w:val="In-tableHeading"/>
              <w:jc w:val="center"/>
            </w:pPr>
            <w:r w:rsidRPr="009A3411">
              <w:t>RT-CGM</w:t>
            </w:r>
          </w:p>
        </w:tc>
        <w:tc>
          <w:tcPr>
            <w:tcW w:w="951" w:type="dxa"/>
            <w:shd w:val="clear" w:color="auto" w:fill="D9D9D9" w:themeFill="background1" w:themeFillShade="D9"/>
            <w:vAlign w:val="center"/>
          </w:tcPr>
          <w:p w14:paraId="6B07B70B" w14:textId="77777777" w:rsidR="00696134" w:rsidRPr="006B754D" w:rsidRDefault="00696134" w:rsidP="00101AE3">
            <w:pPr>
              <w:pStyle w:val="In-tableHeading"/>
              <w:jc w:val="center"/>
            </w:pPr>
            <w:r w:rsidRPr="009A3411">
              <w:t>SMBG</w:t>
            </w:r>
          </w:p>
        </w:tc>
        <w:tc>
          <w:tcPr>
            <w:tcW w:w="950" w:type="dxa"/>
            <w:shd w:val="clear" w:color="auto" w:fill="D9D9D9" w:themeFill="background1" w:themeFillShade="D9"/>
            <w:vAlign w:val="center"/>
          </w:tcPr>
          <w:p w14:paraId="22060E52" w14:textId="77777777" w:rsidR="00696134" w:rsidRPr="006B754D" w:rsidRDefault="00696134" w:rsidP="00101AE3">
            <w:pPr>
              <w:pStyle w:val="In-tableHeading"/>
              <w:jc w:val="center"/>
            </w:pPr>
            <w:r w:rsidRPr="009A3411">
              <w:t>Difference</w:t>
            </w:r>
          </w:p>
        </w:tc>
        <w:tc>
          <w:tcPr>
            <w:tcW w:w="951" w:type="dxa"/>
            <w:shd w:val="clear" w:color="auto" w:fill="D9D9D9" w:themeFill="background1" w:themeFillShade="D9"/>
          </w:tcPr>
          <w:p w14:paraId="5D6013DD" w14:textId="77777777" w:rsidR="00696134" w:rsidRPr="006B754D" w:rsidRDefault="00696134" w:rsidP="00101AE3">
            <w:pPr>
              <w:pStyle w:val="In-tableHeading"/>
              <w:jc w:val="center"/>
              <w:rPr>
                <w:i/>
              </w:rPr>
            </w:pPr>
            <w:r w:rsidRPr="009A3411">
              <w:rPr>
                <w:i/>
              </w:rPr>
              <w:t>% of incremental cost</w:t>
            </w:r>
          </w:p>
        </w:tc>
      </w:tr>
      <w:tr w:rsidR="00903611" w:rsidRPr="006B754D" w14:paraId="4162283E" w14:textId="77777777" w:rsidTr="00030059">
        <w:tc>
          <w:tcPr>
            <w:tcW w:w="1413" w:type="dxa"/>
            <w:vAlign w:val="center"/>
          </w:tcPr>
          <w:p w14:paraId="3A6C3064" w14:textId="6C4DB70E" w:rsidR="00903611" w:rsidRPr="006B754D" w:rsidRDefault="00903611" w:rsidP="00903611">
            <w:pPr>
              <w:pStyle w:val="TableText"/>
              <w:keepNext/>
              <w:rPr>
                <w:lang w:eastAsia="en-AU"/>
              </w:rPr>
            </w:pPr>
            <w:r w:rsidRPr="006B754D">
              <w:t>Glucose monitoring costs</w:t>
            </w:r>
          </w:p>
        </w:tc>
        <w:tc>
          <w:tcPr>
            <w:tcW w:w="950" w:type="dxa"/>
          </w:tcPr>
          <w:p w14:paraId="63893D8C" w14:textId="6F2BD44B" w:rsidR="00903611" w:rsidRPr="00E70EEE" w:rsidRDefault="00903611" w:rsidP="00903611">
            <w:pPr>
              <w:pStyle w:val="TableText"/>
              <w:keepNext/>
              <w:rPr>
                <w:highlight w:val="yellow"/>
                <w:lang w:eastAsia="en-AU"/>
              </w:rPr>
            </w:pPr>
            <w:r w:rsidRPr="00637C8D">
              <w:t>$</w:t>
            </w:r>
            <w:r w:rsidRPr="00637C8D">
              <w:rPr>
                <w:b/>
                <w:bCs/>
              </w:rPr>
              <w:t>Redacted</w:t>
            </w:r>
          </w:p>
        </w:tc>
        <w:tc>
          <w:tcPr>
            <w:tcW w:w="950" w:type="dxa"/>
          </w:tcPr>
          <w:p w14:paraId="230B202B" w14:textId="7F7C37C7" w:rsidR="00903611" w:rsidRPr="00E70EEE" w:rsidRDefault="00903611" w:rsidP="00903611">
            <w:pPr>
              <w:pStyle w:val="TableText"/>
              <w:keepNext/>
              <w:rPr>
                <w:highlight w:val="yellow"/>
                <w:lang w:eastAsia="en-AU"/>
              </w:rPr>
            </w:pPr>
            <w:r w:rsidRPr="00626297">
              <w:t>$</w:t>
            </w:r>
            <w:r w:rsidRPr="00626297">
              <w:rPr>
                <w:b/>
                <w:bCs/>
              </w:rPr>
              <w:t>Redacted</w:t>
            </w:r>
          </w:p>
        </w:tc>
        <w:tc>
          <w:tcPr>
            <w:tcW w:w="951" w:type="dxa"/>
          </w:tcPr>
          <w:p w14:paraId="7CDDD235" w14:textId="5B74DB48" w:rsidR="00903611" w:rsidRPr="00E70EEE" w:rsidRDefault="00903611" w:rsidP="00903611">
            <w:pPr>
              <w:pStyle w:val="TableText"/>
              <w:keepNext/>
              <w:rPr>
                <w:highlight w:val="yellow"/>
                <w:lang w:eastAsia="en-AU"/>
              </w:rPr>
            </w:pPr>
            <w:r w:rsidRPr="00626297">
              <w:t>$</w:t>
            </w:r>
            <w:r w:rsidRPr="00626297">
              <w:rPr>
                <w:b/>
                <w:bCs/>
              </w:rPr>
              <w:t>Redacted</w:t>
            </w:r>
          </w:p>
        </w:tc>
        <w:tc>
          <w:tcPr>
            <w:tcW w:w="950" w:type="dxa"/>
          </w:tcPr>
          <w:p w14:paraId="64D62B1F" w14:textId="2D0D3B17" w:rsidR="00903611" w:rsidRPr="00E70EEE" w:rsidRDefault="00903611" w:rsidP="00903611">
            <w:pPr>
              <w:pStyle w:val="TableText"/>
              <w:keepNext/>
              <w:rPr>
                <w:i/>
                <w:highlight w:val="yellow"/>
                <w:lang w:eastAsia="en-AU"/>
              </w:rPr>
            </w:pPr>
            <w:r w:rsidRPr="00637C8D">
              <w:rPr>
                <w:b/>
                <w:bCs/>
                <w:i/>
              </w:rPr>
              <w:t>Redacted</w:t>
            </w:r>
            <w:r w:rsidRPr="00637C8D">
              <w:rPr>
                <w:i/>
              </w:rPr>
              <w:t>%</w:t>
            </w:r>
          </w:p>
        </w:tc>
        <w:tc>
          <w:tcPr>
            <w:tcW w:w="950" w:type="dxa"/>
          </w:tcPr>
          <w:p w14:paraId="07412573" w14:textId="6FA0A457" w:rsidR="00903611" w:rsidRPr="00E70EEE" w:rsidRDefault="00903611" w:rsidP="00903611">
            <w:pPr>
              <w:pStyle w:val="TableText"/>
              <w:keepNext/>
              <w:rPr>
                <w:highlight w:val="yellow"/>
                <w:lang w:eastAsia="en-AU"/>
              </w:rPr>
            </w:pPr>
            <w:r w:rsidRPr="00F32B98">
              <w:t>$</w:t>
            </w:r>
            <w:r w:rsidRPr="00F32B98">
              <w:rPr>
                <w:b/>
                <w:bCs/>
              </w:rPr>
              <w:t>Redacted</w:t>
            </w:r>
          </w:p>
        </w:tc>
        <w:tc>
          <w:tcPr>
            <w:tcW w:w="951" w:type="dxa"/>
          </w:tcPr>
          <w:p w14:paraId="69465071" w14:textId="00CD8649" w:rsidR="00903611" w:rsidRPr="00E70EEE" w:rsidRDefault="00903611" w:rsidP="00903611">
            <w:pPr>
              <w:pStyle w:val="TableText"/>
              <w:keepNext/>
              <w:rPr>
                <w:highlight w:val="yellow"/>
                <w:lang w:eastAsia="en-AU"/>
              </w:rPr>
            </w:pPr>
            <w:r w:rsidRPr="00F32B98">
              <w:t>$</w:t>
            </w:r>
            <w:r w:rsidRPr="00F32B98">
              <w:rPr>
                <w:b/>
                <w:bCs/>
              </w:rPr>
              <w:t>Redacted</w:t>
            </w:r>
          </w:p>
        </w:tc>
        <w:tc>
          <w:tcPr>
            <w:tcW w:w="950" w:type="dxa"/>
          </w:tcPr>
          <w:p w14:paraId="4988EA93" w14:textId="67A5488D" w:rsidR="00903611" w:rsidRPr="00E70EEE" w:rsidRDefault="00903611" w:rsidP="00903611">
            <w:pPr>
              <w:pStyle w:val="TableText"/>
              <w:keepNext/>
              <w:rPr>
                <w:highlight w:val="yellow"/>
                <w:lang w:eastAsia="en-AU"/>
              </w:rPr>
            </w:pPr>
            <w:r w:rsidRPr="00F32B98">
              <w:t>$</w:t>
            </w:r>
            <w:r w:rsidRPr="00F32B98">
              <w:rPr>
                <w:b/>
                <w:bCs/>
              </w:rPr>
              <w:t>Redacted</w:t>
            </w:r>
          </w:p>
        </w:tc>
        <w:tc>
          <w:tcPr>
            <w:tcW w:w="951" w:type="dxa"/>
          </w:tcPr>
          <w:p w14:paraId="249BD5FB" w14:textId="25C41E55" w:rsidR="00903611" w:rsidRPr="00E70EEE" w:rsidRDefault="00903611" w:rsidP="00903611">
            <w:pPr>
              <w:pStyle w:val="TableText"/>
              <w:keepNext/>
              <w:rPr>
                <w:i/>
                <w:highlight w:val="yellow"/>
                <w:lang w:eastAsia="en-AU"/>
              </w:rPr>
            </w:pPr>
            <w:r w:rsidRPr="000470EF">
              <w:rPr>
                <w:b/>
                <w:bCs/>
                <w:i/>
              </w:rPr>
              <w:t>Redacted</w:t>
            </w:r>
            <w:r w:rsidRPr="000470EF">
              <w:rPr>
                <w:i/>
              </w:rPr>
              <w:t>%</w:t>
            </w:r>
          </w:p>
        </w:tc>
      </w:tr>
      <w:tr w:rsidR="00903611" w:rsidRPr="006B754D" w14:paraId="2CBCCDCA" w14:textId="77777777" w:rsidTr="00030059">
        <w:tc>
          <w:tcPr>
            <w:tcW w:w="1413" w:type="dxa"/>
            <w:vAlign w:val="center"/>
          </w:tcPr>
          <w:p w14:paraId="2D9187E8" w14:textId="7BE16EBD" w:rsidR="00903611" w:rsidRPr="006B754D" w:rsidRDefault="00903611" w:rsidP="00903611">
            <w:pPr>
              <w:pStyle w:val="TableText"/>
              <w:keepNext/>
              <w:rPr>
                <w:lang w:eastAsia="en-AU"/>
              </w:rPr>
            </w:pPr>
            <w:r w:rsidRPr="006B754D">
              <w:t>Management (preventative screening, medication) costs</w:t>
            </w:r>
          </w:p>
        </w:tc>
        <w:tc>
          <w:tcPr>
            <w:tcW w:w="950" w:type="dxa"/>
          </w:tcPr>
          <w:p w14:paraId="4317A7EC" w14:textId="16426A06" w:rsidR="00903611" w:rsidRPr="006B754D" w:rsidRDefault="00903611" w:rsidP="00903611">
            <w:pPr>
              <w:pStyle w:val="TableText"/>
              <w:keepNext/>
              <w:rPr>
                <w:lang w:eastAsia="en-AU"/>
              </w:rPr>
            </w:pPr>
            <w:r w:rsidRPr="00F77995">
              <w:t xml:space="preserve"> $2,863 </w:t>
            </w:r>
          </w:p>
        </w:tc>
        <w:tc>
          <w:tcPr>
            <w:tcW w:w="950" w:type="dxa"/>
          </w:tcPr>
          <w:p w14:paraId="7D91DE00" w14:textId="104FDE60" w:rsidR="00903611" w:rsidRPr="006B754D" w:rsidRDefault="00903611" w:rsidP="00903611">
            <w:pPr>
              <w:pStyle w:val="TableText"/>
              <w:keepNext/>
              <w:rPr>
                <w:lang w:eastAsia="en-AU"/>
              </w:rPr>
            </w:pPr>
            <w:r w:rsidRPr="00F77995">
              <w:t xml:space="preserve"> $2,839 </w:t>
            </w:r>
          </w:p>
        </w:tc>
        <w:tc>
          <w:tcPr>
            <w:tcW w:w="951" w:type="dxa"/>
          </w:tcPr>
          <w:p w14:paraId="5FFE9AF6" w14:textId="5EEDB018" w:rsidR="00903611" w:rsidRPr="006B754D" w:rsidRDefault="00903611" w:rsidP="00903611">
            <w:pPr>
              <w:pStyle w:val="TableText"/>
              <w:keepNext/>
              <w:rPr>
                <w:lang w:eastAsia="en-AU"/>
              </w:rPr>
            </w:pPr>
            <w:r w:rsidRPr="00903260">
              <w:t>$24</w:t>
            </w:r>
          </w:p>
        </w:tc>
        <w:tc>
          <w:tcPr>
            <w:tcW w:w="950" w:type="dxa"/>
          </w:tcPr>
          <w:p w14:paraId="458BBE09" w14:textId="0A39230B" w:rsidR="00903611" w:rsidRPr="009A3988" w:rsidRDefault="00903611" w:rsidP="00903611">
            <w:pPr>
              <w:pStyle w:val="TableText"/>
              <w:keepNext/>
              <w:rPr>
                <w:i/>
                <w:highlight w:val="yellow"/>
                <w:lang w:eastAsia="en-AU"/>
              </w:rPr>
            </w:pPr>
            <w:r w:rsidRPr="00131857">
              <w:rPr>
                <w:b/>
                <w:bCs/>
                <w:i/>
              </w:rPr>
              <w:t>Redacted</w:t>
            </w:r>
            <w:r w:rsidRPr="00131857">
              <w:rPr>
                <w:i/>
              </w:rPr>
              <w:t>%</w:t>
            </w:r>
          </w:p>
        </w:tc>
        <w:tc>
          <w:tcPr>
            <w:tcW w:w="950" w:type="dxa"/>
          </w:tcPr>
          <w:p w14:paraId="1D0643FA" w14:textId="1C3A7B3C" w:rsidR="00903611" w:rsidRPr="006B754D" w:rsidRDefault="00903611" w:rsidP="00903611">
            <w:pPr>
              <w:pStyle w:val="TableText"/>
              <w:keepNext/>
              <w:rPr>
                <w:lang w:eastAsia="en-AU"/>
              </w:rPr>
            </w:pPr>
            <w:r w:rsidRPr="00CC69DF">
              <w:t>$3,478</w:t>
            </w:r>
          </w:p>
        </w:tc>
        <w:tc>
          <w:tcPr>
            <w:tcW w:w="951" w:type="dxa"/>
          </w:tcPr>
          <w:p w14:paraId="146A8618" w14:textId="466E09CD" w:rsidR="00903611" w:rsidRPr="006B754D" w:rsidRDefault="00903611" w:rsidP="00903611">
            <w:pPr>
              <w:pStyle w:val="TableText"/>
              <w:keepNext/>
              <w:rPr>
                <w:lang w:eastAsia="en-AU"/>
              </w:rPr>
            </w:pPr>
            <w:r w:rsidRPr="00CC69DF">
              <w:t>$3,458</w:t>
            </w:r>
          </w:p>
        </w:tc>
        <w:tc>
          <w:tcPr>
            <w:tcW w:w="950" w:type="dxa"/>
          </w:tcPr>
          <w:p w14:paraId="55A70A01" w14:textId="2F3EA548" w:rsidR="00903611" w:rsidRPr="006B754D" w:rsidRDefault="00903611" w:rsidP="00903611">
            <w:pPr>
              <w:pStyle w:val="TableText"/>
              <w:keepNext/>
              <w:rPr>
                <w:lang w:eastAsia="en-AU"/>
              </w:rPr>
            </w:pPr>
            <w:r w:rsidRPr="00CC69DF">
              <w:t>$20</w:t>
            </w:r>
          </w:p>
        </w:tc>
        <w:tc>
          <w:tcPr>
            <w:tcW w:w="951" w:type="dxa"/>
          </w:tcPr>
          <w:p w14:paraId="0437A68D" w14:textId="151FDB4F" w:rsidR="00903611" w:rsidRPr="009A3988" w:rsidRDefault="00903611" w:rsidP="00903611">
            <w:pPr>
              <w:pStyle w:val="TableText"/>
              <w:keepNext/>
              <w:rPr>
                <w:i/>
                <w:highlight w:val="yellow"/>
                <w:lang w:eastAsia="en-AU"/>
              </w:rPr>
            </w:pPr>
            <w:r w:rsidRPr="00131857">
              <w:rPr>
                <w:b/>
                <w:bCs/>
                <w:i/>
              </w:rPr>
              <w:t>Redacted</w:t>
            </w:r>
            <w:r w:rsidRPr="00131857">
              <w:rPr>
                <w:i/>
              </w:rPr>
              <w:t>%</w:t>
            </w:r>
          </w:p>
        </w:tc>
      </w:tr>
      <w:tr w:rsidR="00903611" w:rsidRPr="006B754D" w14:paraId="1F54884E" w14:textId="77777777" w:rsidTr="00030059">
        <w:tc>
          <w:tcPr>
            <w:tcW w:w="1413" w:type="dxa"/>
            <w:vAlign w:val="center"/>
          </w:tcPr>
          <w:p w14:paraId="3D03495C" w14:textId="0E2A89EA" w:rsidR="00903611" w:rsidRPr="006B754D" w:rsidRDefault="00903611" w:rsidP="00903611">
            <w:pPr>
              <w:pStyle w:val="TableText"/>
              <w:keepNext/>
              <w:rPr>
                <w:lang w:eastAsia="en-AU"/>
              </w:rPr>
            </w:pPr>
            <w:r w:rsidRPr="006B754D">
              <w:t>CV complications</w:t>
            </w:r>
          </w:p>
        </w:tc>
        <w:tc>
          <w:tcPr>
            <w:tcW w:w="950" w:type="dxa"/>
          </w:tcPr>
          <w:p w14:paraId="42223260" w14:textId="3416840B" w:rsidR="00903611" w:rsidRPr="006B754D" w:rsidRDefault="00903611" w:rsidP="00903611">
            <w:pPr>
              <w:pStyle w:val="TableText"/>
              <w:keepNext/>
              <w:rPr>
                <w:lang w:eastAsia="en-AU"/>
              </w:rPr>
            </w:pPr>
            <w:r w:rsidRPr="00F77995">
              <w:t xml:space="preserve"> $84,638 </w:t>
            </w:r>
          </w:p>
        </w:tc>
        <w:tc>
          <w:tcPr>
            <w:tcW w:w="950" w:type="dxa"/>
          </w:tcPr>
          <w:p w14:paraId="34F3728E" w14:textId="174FEBB6" w:rsidR="00903611" w:rsidRPr="006B754D" w:rsidRDefault="00903611" w:rsidP="00903611">
            <w:pPr>
              <w:pStyle w:val="TableText"/>
              <w:keepNext/>
              <w:rPr>
                <w:lang w:eastAsia="en-AU"/>
              </w:rPr>
            </w:pPr>
            <w:r w:rsidRPr="00F77995">
              <w:t xml:space="preserve"> $84,648 </w:t>
            </w:r>
          </w:p>
        </w:tc>
        <w:tc>
          <w:tcPr>
            <w:tcW w:w="951" w:type="dxa"/>
          </w:tcPr>
          <w:p w14:paraId="7A7E77B7" w14:textId="13162D7A" w:rsidR="00903611" w:rsidRPr="006B754D" w:rsidRDefault="00903611" w:rsidP="00903611">
            <w:pPr>
              <w:pStyle w:val="TableText"/>
              <w:keepNext/>
              <w:rPr>
                <w:lang w:eastAsia="en-AU"/>
              </w:rPr>
            </w:pPr>
            <w:r w:rsidRPr="00101AE3">
              <w:t>−</w:t>
            </w:r>
            <w:r w:rsidRPr="00CC69DF">
              <w:t>$</w:t>
            </w:r>
            <w:r w:rsidRPr="00903260">
              <w:t>10</w:t>
            </w:r>
          </w:p>
        </w:tc>
        <w:tc>
          <w:tcPr>
            <w:tcW w:w="950" w:type="dxa"/>
          </w:tcPr>
          <w:p w14:paraId="60C3A848" w14:textId="371CD948"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c>
          <w:tcPr>
            <w:tcW w:w="950" w:type="dxa"/>
          </w:tcPr>
          <w:p w14:paraId="4D1BB549" w14:textId="7E7E5EFE" w:rsidR="00903611" w:rsidRPr="006B754D" w:rsidRDefault="00903611" w:rsidP="00903611">
            <w:pPr>
              <w:pStyle w:val="TableText"/>
              <w:keepNext/>
              <w:rPr>
                <w:lang w:eastAsia="en-AU"/>
              </w:rPr>
            </w:pPr>
            <w:r w:rsidRPr="00CC69DF">
              <w:t>$148,613</w:t>
            </w:r>
          </w:p>
        </w:tc>
        <w:tc>
          <w:tcPr>
            <w:tcW w:w="951" w:type="dxa"/>
          </w:tcPr>
          <w:p w14:paraId="3B069746" w14:textId="4E6AA659" w:rsidR="00903611" w:rsidRPr="006B754D" w:rsidRDefault="00903611" w:rsidP="00903611">
            <w:pPr>
              <w:pStyle w:val="TableText"/>
              <w:keepNext/>
              <w:rPr>
                <w:lang w:eastAsia="en-AU"/>
              </w:rPr>
            </w:pPr>
            <w:r w:rsidRPr="00CC69DF">
              <w:t>$151,217</w:t>
            </w:r>
          </w:p>
        </w:tc>
        <w:tc>
          <w:tcPr>
            <w:tcW w:w="950" w:type="dxa"/>
          </w:tcPr>
          <w:p w14:paraId="06E62589" w14:textId="43E8F59D" w:rsidR="00903611" w:rsidRPr="006B754D" w:rsidRDefault="00903611" w:rsidP="00903611">
            <w:pPr>
              <w:pStyle w:val="TableText"/>
              <w:keepNext/>
              <w:rPr>
                <w:lang w:eastAsia="en-AU"/>
              </w:rPr>
            </w:pPr>
            <w:r w:rsidRPr="00101AE3">
              <w:t>−</w:t>
            </w:r>
            <w:r w:rsidRPr="00CC69DF">
              <w:t>$2,604</w:t>
            </w:r>
          </w:p>
        </w:tc>
        <w:tc>
          <w:tcPr>
            <w:tcW w:w="951" w:type="dxa"/>
          </w:tcPr>
          <w:p w14:paraId="463AA8B9" w14:textId="42B3E2C4"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r>
      <w:tr w:rsidR="00903611" w:rsidRPr="006B754D" w14:paraId="7184F027" w14:textId="77777777" w:rsidTr="00030059">
        <w:tc>
          <w:tcPr>
            <w:tcW w:w="1413" w:type="dxa"/>
            <w:vAlign w:val="center"/>
          </w:tcPr>
          <w:p w14:paraId="4A23DC7A" w14:textId="23052B40" w:rsidR="00903611" w:rsidRPr="006B754D" w:rsidRDefault="00903611" w:rsidP="00903611">
            <w:pPr>
              <w:pStyle w:val="TableText"/>
              <w:keepNext/>
              <w:rPr>
                <w:lang w:eastAsia="en-AU"/>
              </w:rPr>
            </w:pPr>
            <w:r w:rsidRPr="006B754D">
              <w:t>Renal complications</w:t>
            </w:r>
          </w:p>
        </w:tc>
        <w:tc>
          <w:tcPr>
            <w:tcW w:w="950" w:type="dxa"/>
          </w:tcPr>
          <w:p w14:paraId="5CCE174D" w14:textId="1C6AE2C6" w:rsidR="00903611" w:rsidRPr="006B754D" w:rsidRDefault="00903611" w:rsidP="00903611">
            <w:pPr>
              <w:pStyle w:val="TableText"/>
              <w:keepNext/>
              <w:rPr>
                <w:lang w:eastAsia="en-AU"/>
              </w:rPr>
            </w:pPr>
            <w:r w:rsidRPr="00F77995">
              <w:t xml:space="preserve"> $27,882 </w:t>
            </w:r>
          </w:p>
        </w:tc>
        <w:tc>
          <w:tcPr>
            <w:tcW w:w="950" w:type="dxa"/>
          </w:tcPr>
          <w:p w14:paraId="6960BCC9" w14:textId="1AF5D5BB" w:rsidR="00903611" w:rsidRPr="006B754D" w:rsidRDefault="00903611" w:rsidP="00903611">
            <w:pPr>
              <w:pStyle w:val="TableText"/>
              <w:keepNext/>
              <w:rPr>
                <w:lang w:eastAsia="en-AU"/>
              </w:rPr>
            </w:pPr>
            <w:r w:rsidRPr="00F77995">
              <w:t xml:space="preserve"> $30,388 </w:t>
            </w:r>
          </w:p>
        </w:tc>
        <w:tc>
          <w:tcPr>
            <w:tcW w:w="951" w:type="dxa"/>
          </w:tcPr>
          <w:p w14:paraId="3F3766BA" w14:textId="7E1E7B57" w:rsidR="00903611" w:rsidRPr="006B754D" w:rsidRDefault="00903611" w:rsidP="00903611">
            <w:pPr>
              <w:pStyle w:val="TableText"/>
              <w:keepNext/>
              <w:rPr>
                <w:lang w:eastAsia="en-AU"/>
              </w:rPr>
            </w:pPr>
            <w:r w:rsidRPr="00101AE3">
              <w:t>−</w:t>
            </w:r>
            <w:r w:rsidRPr="00CC69DF">
              <w:t>$</w:t>
            </w:r>
            <w:r w:rsidRPr="00903260">
              <w:t>2,506</w:t>
            </w:r>
          </w:p>
        </w:tc>
        <w:tc>
          <w:tcPr>
            <w:tcW w:w="950" w:type="dxa"/>
          </w:tcPr>
          <w:p w14:paraId="4B6CC323" w14:textId="00EFE1CD"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c>
          <w:tcPr>
            <w:tcW w:w="950" w:type="dxa"/>
          </w:tcPr>
          <w:p w14:paraId="26870031" w14:textId="6EA27B29" w:rsidR="00903611" w:rsidRPr="006B754D" w:rsidRDefault="00903611" w:rsidP="00903611">
            <w:pPr>
              <w:pStyle w:val="TableText"/>
              <w:keepNext/>
              <w:rPr>
                <w:lang w:eastAsia="en-AU"/>
              </w:rPr>
            </w:pPr>
            <w:r w:rsidRPr="00CC69DF">
              <w:t>$53,998</w:t>
            </w:r>
          </w:p>
        </w:tc>
        <w:tc>
          <w:tcPr>
            <w:tcW w:w="951" w:type="dxa"/>
          </w:tcPr>
          <w:p w14:paraId="241F0F8D" w14:textId="5F3DDC54" w:rsidR="00903611" w:rsidRPr="006B754D" w:rsidRDefault="00903611" w:rsidP="00903611">
            <w:pPr>
              <w:pStyle w:val="TableText"/>
              <w:keepNext/>
              <w:rPr>
                <w:lang w:eastAsia="en-AU"/>
              </w:rPr>
            </w:pPr>
            <w:r w:rsidRPr="00CC69DF">
              <w:t>$61,205</w:t>
            </w:r>
          </w:p>
        </w:tc>
        <w:tc>
          <w:tcPr>
            <w:tcW w:w="950" w:type="dxa"/>
          </w:tcPr>
          <w:p w14:paraId="56A44D18" w14:textId="32AA14A4" w:rsidR="00903611" w:rsidRPr="006B754D" w:rsidRDefault="00903611" w:rsidP="00903611">
            <w:pPr>
              <w:pStyle w:val="TableText"/>
              <w:keepNext/>
              <w:rPr>
                <w:lang w:eastAsia="en-AU"/>
              </w:rPr>
            </w:pPr>
            <w:r w:rsidRPr="00101AE3">
              <w:t>−</w:t>
            </w:r>
            <w:r w:rsidRPr="00CC69DF">
              <w:t>$7,207</w:t>
            </w:r>
          </w:p>
        </w:tc>
        <w:tc>
          <w:tcPr>
            <w:tcW w:w="951" w:type="dxa"/>
          </w:tcPr>
          <w:p w14:paraId="782E6662" w14:textId="21E8D175"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r>
      <w:tr w:rsidR="00903611" w:rsidRPr="006B754D" w14:paraId="08BA347A" w14:textId="77777777" w:rsidTr="00030059">
        <w:tc>
          <w:tcPr>
            <w:tcW w:w="1413" w:type="dxa"/>
            <w:vAlign w:val="center"/>
          </w:tcPr>
          <w:p w14:paraId="496608C5" w14:textId="22B96A52" w:rsidR="00903611" w:rsidRPr="006B754D" w:rsidRDefault="00903611" w:rsidP="00903611">
            <w:pPr>
              <w:pStyle w:val="TableText"/>
              <w:keepNext/>
              <w:rPr>
                <w:lang w:eastAsia="en-AU"/>
              </w:rPr>
            </w:pPr>
            <w:r w:rsidRPr="006B754D">
              <w:t>Ulcer/amputation/neuropathy complications</w:t>
            </w:r>
          </w:p>
        </w:tc>
        <w:tc>
          <w:tcPr>
            <w:tcW w:w="950" w:type="dxa"/>
          </w:tcPr>
          <w:p w14:paraId="6A6B4F45" w14:textId="63246019" w:rsidR="00903611" w:rsidRPr="006B754D" w:rsidRDefault="00903611" w:rsidP="00903611">
            <w:pPr>
              <w:pStyle w:val="TableText"/>
              <w:keepNext/>
              <w:rPr>
                <w:lang w:eastAsia="en-AU"/>
              </w:rPr>
            </w:pPr>
            <w:r w:rsidRPr="00F77995">
              <w:t xml:space="preserve"> $9,135 </w:t>
            </w:r>
          </w:p>
        </w:tc>
        <w:tc>
          <w:tcPr>
            <w:tcW w:w="950" w:type="dxa"/>
          </w:tcPr>
          <w:p w14:paraId="31CD04E0" w14:textId="3E8F09D9" w:rsidR="00903611" w:rsidRPr="006B754D" w:rsidRDefault="00903611" w:rsidP="00903611">
            <w:pPr>
              <w:pStyle w:val="TableText"/>
              <w:keepNext/>
              <w:rPr>
                <w:lang w:eastAsia="en-AU"/>
              </w:rPr>
            </w:pPr>
            <w:r w:rsidRPr="00F77995">
              <w:t xml:space="preserve"> $9,322 </w:t>
            </w:r>
          </w:p>
        </w:tc>
        <w:tc>
          <w:tcPr>
            <w:tcW w:w="951" w:type="dxa"/>
          </w:tcPr>
          <w:p w14:paraId="2140D40D" w14:textId="04088CED" w:rsidR="00903611" w:rsidRPr="006B754D" w:rsidRDefault="00903611" w:rsidP="00903611">
            <w:pPr>
              <w:pStyle w:val="TableText"/>
              <w:keepNext/>
              <w:rPr>
                <w:lang w:eastAsia="en-AU"/>
              </w:rPr>
            </w:pPr>
            <w:r w:rsidRPr="00101AE3">
              <w:t>−</w:t>
            </w:r>
            <w:r w:rsidRPr="00CC69DF">
              <w:t>$</w:t>
            </w:r>
            <w:r w:rsidRPr="00903260">
              <w:t>187</w:t>
            </w:r>
          </w:p>
        </w:tc>
        <w:tc>
          <w:tcPr>
            <w:tcW w:w="950" w:type="dxa"/>
          </w:tcPr>
          <w:p w14:paraId="4F13C5EC" w14:textId="4F764E2E"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c>
          <w:tcPr>
            <w:tcW w:w="950" w:type="dxa"/>
          </w:tcPr>
          <w:p w14:paraId="449CC859" w14:textId="5674DCCC" w:rsidR="00903611" w:rsidRPr="006B754D" w:rsidRDefault="00903611" w:rsidP="00903611">
            <w:pPr>
              <w:pStyle w:val="TableText"/>
              <w:keepNext/>
              <w:rPr>
                <w:lang w:eastAsia="en-AU"/>
              </w:rPr>
            </w:pPr>
            <w:r w:rsidRPr="00CC69DF">
              <w:t>$15,063</w:t>
            </w:r>
          </w:p>
        </w:tc>
        <w:tc>
          <w:tcPr>
            <w:tcW w:w="951" w:type="dxa"/>
          </w:tcPr>
          <w:p w14:paraId="4DBEE176" w14:textId="36B865F4" w:rsidR="00903611" w:rsidRPr="006B754D" w:rsidRDefault="00903611" w:rsidP="00903611">
            <w:pPr>
              <w:pStyle w:val="TableText"/>
              <w:keepNext/>
              <w:rPr>
                <w:lang w:eastAsia="en-AU"/>
              </w:rPr>
            </w:pPr>
            <w:r w:rsidRPr="00CC69DF">
              <w:t>$15,617</w:t>
            </w:r>
          </w:p>
        </w:tc>
        <w:tc>
          <w:tcPr>
            <w:tcW w:w="950" w:type="dxa"/>
          </w:tcPr>
          <w:p w14:paraId="2EDC519F" w14:textId="75E1E422" w:rsidR="00903611" w:rsidRPr="006B754D" w:rsidRDefault="00903611" w:rsidP="00903611">
            <w:pPr>
              <w:pStyle w:val="TableText"/>
              <w:keepNext/>
              <w:rPr>
                <w:lang w:eastAsia="en-AU"/>
              </w:rPr>
            </w:pPr>
            <w:r w:rsidRPr="00101AE3">
              <w:t>−</w:t>
            </w:r>
            <w:r w:rsidRPr="00CC69DF">
              <w:t>$554</w:t>
            </w:r>
          </w:p>
        </w:tc>
        <w:tc>
          <w:tcPr>
            <w:tcW w:w="951" w:type="dxa"/>
          </w:tcPr>
          <w:p w14:paraId="55340DDD" w14:textId="3109B4CA"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r>
      <w:tr w:rsidR="00903611" w:rsidRPr="006B754D" w14:paraId="3D304EB5" w14:textId="77777777" w:rsidTr="00030059">
        <w:tc>
          <w:tcPr>
            <w:tcW w:w="1413" w:type="dxa"/>
            <w:vAlign w:val="center"/>
          </w:tcPr>
          <w:p w14:paraId="5384D060" w14:textId="7833076B" w:rsidR="00903611" w:rsidRPr="006B754D" w:rsidRDefault="00903611" w:rsidP="00903611">
            <w:pPr>
              <w:pStyle w:val="TableText"/>
              <w:keepNext/>
              <w:rPr>
                <w:lang w:eastAsia="en-AU"/>
              </w:rPr>
            </w:pPr>
            <w:r w:rsidRPr="006B754D">
              <w:t>Ophthalmic complications</w:t>
            </w:r>
          </w:p>
        </w:tc>
        <w:tc>
          <w:tcPr>
            <w:tcW w:w="950" w:type="dxa"/>
          </w:tcPr>
          <w:p w14:paraId="293ACE24" w14:textId="210C389D" w:rsidR="00903611" w:rsidRPr="006B754D" w:rsidRDefault="00903611" w:rsidP="00903611">
            <w:pPr>
              <w:pStyle w:val="TableText"/>
              <w:keepNext/>
              <w:rPr>
                <w:lang w:eastAsia="en-AU"/>
              </w:rPr>
            </w:pPr>
            <w:r w:rsidRPr="00F77995">
              <w:t xml:space="preserve"> $29,934 </w:t>
            </w:r>
          </w:p>
        </w:tc>
        <w:tc>
          <w:tcPr>
            <w:tcW w:w="950" w:type="dxa"/>
          </w:tcPr>
          <w:p w14:paraId="5002F7B2" w14:textId="1C98466E" w:rsidR="00903611" w:rsidRPr="006B754D" w:rsidRDefault="00903611" w:rsidP="00903611">
            <w:pPr>
              <w:pStyle w:val="TableText"/>
              <w:keepNext/>
              <w:rPr>
                <w:lang w:eastAsia="en-AU"/>
              </w:rPr>
            </w:pPr>
            <w:r w:rsidRPr="00F77995">
              <w:t xml:space="preserve"> $31,738 </w:t>
            </w:r>
          </w:p>
        </w:tc>
        <w:tc>
          <w:tcPr>
            <w:tcW w:w="951" w:type="dxa"/>
          </w:tcPr>
          <w:p w14:paraId="1CE53F7C" w14:textId="0787E80F" w:rsidR="00903611" w:rsidRPr="006B754D" w:rsidRDefault="00903611" w:rsidP="00903611">
            <w:pPr>
              <w:pStyle w:val="TableText"/>
              <w:keepNext/>
              <w:rPr>
                <w:lang w:eastAsia="en-AU"/>
              </w:rPr>
            </w:pPr>
            <w:r w:rsidRPr="00101AE3">
              <w:t>−</w:t>
            </w:r>
            <w:r w:rsidRPr="00CC69DF">
              <w:t>$</w:t>
            </w:r>
            <w:r w:rsidRPr="00903260">
              <w:t>1,804</w:t>
            </w:r>
          </w:p>
        </w:tc>
        <w:tc>
          <w:tcPr>
            <w:tcW w:w="950" w:type="dxa"/>
          </w:tcPr>
          <w:p w14:paraId="21C12707" w14:textId="24826195"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c>
          <w:tcPr>
            <w:tcW w:w="950" w:type="dxa"/>
          </w:tcPr>
          <w:p w14:paraId="0A030D1D" w14:textId="1F80FBB4" w:rsidR="00903611" w:rsidRPr="006B754D" w:rsidRDefault="00903611" w:rsidP="00903611">
            <w:pPr>
              <w:pStyle w:val="TableText"/>
              <w:keepNext/>
              <w:rPr>
                <w:lang w:eastAsia="en-AU"/>
              </w:rPr>
            </w:pPr>
            <w:r w:rsidRPr="00CC69DF">
              <w:t>$40,728</w:t>
            </w:r>
          </w:p>
        </w:tc>
        <w:tc>
          <w:tcPr>
            <w:tcW w:w="951" w:type="dxa"/>
          </w:tcPr>
          <w:p w14:paraId="321AD5A5" w14:textId="1865B1CB" w:rsidR="00903611" w:rsidRPr="006B754D" w:rsidRDefault="00903611" w:rsidP="00903611">
            <w:pPr>
              <w:pStyle w:val="TableText"/>
              <w:keepNext/>
              <w:rPr>
                <w:lang w:eastAsia="en-AU"/>
              </w:rPr>
            </w:pPr>
            <w:r w:rsidRPr="00CC69DF">
              <w:t>$43,966</w:t>
            </w:r>
          </w:p>
        </w:tc>
        <w:tc>
          <w:tcPr>
            <w:tcW w:w="950" w:type="dxa"/>
          </w:tcPr>
          <w:p w14:paraId="4A82F90D" w14:textId="7986E2D7" w:rsidR="00903611" w:rsidRPr="006B754D" w:rsidRDefault="00903611" w:rsidP="00903611">
            <w:pPr>
              <w:pStyle w:val="TableText"/>
              <w:keepNext/>
              <w:rPr>
                <w:lang w:eastAsia="en-AU"/>
              </w:rPr>
            </w:pPr>
            <w:r w:rsidRPr="00101AE3">
              <w:t>−</w:t>
            </w:r>
            <w:r w:rsidRPr="00CC69DF">
              <w:t>$3,239</w:t>
            </w:r>
          </w:p>
        </w:tc>
        <w:tc>
          <w:tcPr>
            <w:tcW w:w="951" w:type="dxa"/>
          </w:tcPr>
          <w:p w14:paraId="1D9946F5" w14:textId="60913C62"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r>
      <w:tr w:rsidR="00903611" w:rsidRPr="006B754D" w14:paraId="70EBDF3B" w14:textId="77777777" w:rsidTr="00030059">
        <w:tc>
          <w:tcPr>
            <w:tcW w:w="1413" w:type="dxa"/>
            <w:vAlign w:val="center"/>
          </w:tcPr>
          <w:p w14:paraId="76CE1F10" w14:textId="6D70ECC6" w:rsidR="00903611" w:rsidRPr="006B754D" w:rsidRDefault="00903611" w:rsidP="00903611">
            <w:pPr>
              <w:pStyle w:val="TableText"/>
              <w:keepNext/>
              <w:rPr>
                <w:lang w:eastAsia="en-AU"/>
              </w:rPr>
            </w:pPr>
            <w:r w:rsidRPr="006B754D">
              <w:t>Severe hypoglycaemia (req. medical assistance)</w:t>
            </w:r>
          </w:p>
        </w:tc>
        <w:tc>
          <w:tcPr>
            <w:tcW w:w="950" w:type="dxa"/>
          </w:tcPr>
          <w:p w14:paraId="5C8A9203" w14:textId="77777777" w:rsidR="00903611" w:rsidRPr="006B754D" w:rsidRDefault="00903611" w:rsidP="00903611">
            <w:pPr>
              <w:pStyle w:val="TableText"/>
              <w:keepNext/>
              <w:rPr>
                <w:lang w:eastAsia="en-AU"/>
              </w:rPr>
            </w:pPr>
            <w:r w:rsidRPr="005C1E81">
              <w:t>$0</w:t>
            </w:r>
          </w:p>
        </w:tc>
        <w:tc>
          <w:tcPr>
            <w:tcW w:w="950" w:type="dxa"/>
          </w:tcPr>
          <w:p w14:paraId="4B1057D4" w14:textId="1A92A56C" w:rsidR="00903611" w:rsidRPr="006B754D" w:rsidRDefault="00903611" w:rsidP="00903611">
            <w:pPr>
              <w:pStyle w:val="TableText"/>
              <w:keepNext/>
              <w:rPr>
                <w:lang w:eastAsia="en-AU"/>
              </w:rPr>
            </w:pPr>
            <w:r w:rsidRPr="005C1E81">
              <w:t>$1,848</w:t>
            </w:r>
          </w:p>
        </w:tc>
        <w:tc>
          <w:tcPr>
            <w:tcW w:w="951" w:type="dxa"/>
          </w:tcPr>
          <w:p w14:paraId="4D063895" w14:textId="44DCAF72" w:rsidR="00903611" w:rsidRPr="006B754D" w:rsidRDefault="00903611" w:rsidP="00903611">
            <w:pPr>
              <w:pStyle w:val="TableText"/>
              <w:keepNext/>
              <w:rPr>
                <w:lang w:eastAsia="en-AU"/>
              </w:rPr>
            </w:pPr>
            <w:r w:rsidRPr="00101AE3">
              <w:t>−</w:t>
            </w:r>
            <w:r w:rsidRPr="00CC69DF">
              <w:t>$</w:t>
            </w:r>
            <w:r w:rsidRPr="004D419C">
              <w:t>1,848</w:t>
            </w:r>
          </w:p>
        </w:tc>
        <w:tc>
          <w:tcPr>
            <w:tcW w:w="950" w:type="dxa"/>
          </w:tcPr>
          <w:p w14:paraId="02B57A6F" w14:textId="570E888B"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c>
          <w:tcPr>
            <w:tcW w:w="950" w:type="dxa"/>
          </w:tcPr>
          <w:p w14:paraId="0726A0B0" w14:textId="77777777" w:rsidR="00903611" w:rsidRPr="006B754D" w:rsidRDefault="00903611" w:rsidP="00903611">
            <w:pPr>
              <w:pStyle w:val="TableText"/>
              <w:keepNext/>
              <w:rPr>
                <w:lang w:eastAsia="en-AU"/>
              </w:rPr>
            </w:pPr>
            <w:r w:rsidRPr="00CC69DF">
              <w:t>$0</w:t>
            </w:r>
          </w:p>
        </w:tc>
        <w:tc>
          <w:tcPr>
            <w:tcW w:w="951" w:type="dxa"/>
          </w:tcPr>
          <w:p w14:paraId="6FEF216E" w14:textId="2C84F103" w:rsidR="00903611" w:rsidRPr="006B754D" w:rsidRDefault="00903611" w:rsidP="00903611">
            <w:pPr>
              <w:pStyle w:val="TableText"/>
              <w:keepNext/>
              <w:rPr>
                <w:lang w:eastAsia="en-AU"/>
              </w:rPr>
            </w:pPr>
            <w:r w:rsidRPr="00CC69DF">
              <w:t>$2,221</w:t>
            </w:r>
          </w:p>
        </w:tc>
        <w:tc>
          <w:tcPr>
            <w:tcW w:w="950" w:type="dxa"/>
          </w:tcPr>
          <w:p w14:paraId="43E27136" w14:textId="0BC0DE9F" w:rsidR="00903611" w:rsidRPr="006B754D" w:rsidRDefault="00903611" w:rsidP="00903611">
            <w:pPr>
              <w:pStyle w:val="TableText"/>
              <w:keepNext/>
              <w:rPr>
                <w:lang w:eastAsia="en-AU"/>
              </w:rPr>
            </w:pPr>
            <w:r w:rsidRPr="00101AE3">
              <w:t>−</w:t>
            </w:r>
            <w:r w:rsidRPr="00CC69DF">
              <w:t>$2,221</w:t>
            </w:r>
          </w:p>
        </w:tc>
        <w:tc>
          <w:tcPr>
            <w:tcW w:w="951" w:type="dxa"/>
          </w:tcPr>
          <w:p w14:paraId="611E03B3" w14:textId="36F8440C"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r>
      <w:tr w:rsidR="00903611" w:rsidRPr="006B754D" w14:paraId="5B62A519" w14:textId="77777777" w:rsidTr="00030059">
        <w:tc>
          <w:tcPr>
            <w:tcW w:w="1413" w:type="dxa"/>
            <w:vAlign w:val="center"/>
          </w:tcPr>
          <w:p w14:paraId="04C9AC16" w14:textId="2FECA2B1" w:rsidR="00903611" w:rsidRPr="006B754D" w:rsidRDefault="00903611" w:rsidP="00903611">
            <w:pPr>
              <w:pStyle w:val="TableText"/>
              <w:keepNext/>
              <w:rPr>
                <w:lang w:eastAsia="en-AU"/>
              </w:rPr>
            </w:pPr>
            <w:r w:rsidRPr="006B754D">
              <w:t>Hyperglycaemia &amp; DKA</w:t>
            </w:r>
          </w:p>
        </w:tc>
        <w:tc>
          <w:tcPr>
            <w:tcW w:w="950" w:type="dxa"/>
          </w:tcPr>
          <w:p w14:paraId="47DB8A14" w14:textId="77777777" w:rsidR="00903611" w:rsidRPr="006B754D" w:rsidRDefault="00903611" w:rsidP="00903611">
            <w:pPr>
              <w:pStyle w:val="TableText"/>
              <w:keepNext/>
              <w:rPr>
                <w:lang w:eastAsia="en-AU"/>
              </w:rPr>
            </w:pPr>
            <w:r w:rsidRPr="005C1E81">
              <w:t>$0</w:t>
            </w:r>
          </w:p>
        </w:tc>
        <w:tc>
          <w:tcPr>
            <w:tcW w:w="950" w:type="dxa"/>
          </w:tcPr>
          <w:p w14:paraId="4C4D030C" w14:textId="3AEE8C59" w:rsidR="00903611" w:rsidRPr="006B754D" w:rsidRDefault="00903611" w:rsidP="00903611">
            <w:pPr>
              <w:pStyle w:val="TableText"/>
              <w:keepNext/>
              <w:rPr>
                <w:lang w:eastAsia="en-AU"/>
              </w:rPr>
            </w:pPr>
            <w:r w:rsidRPr="005C1E81">
              <w:t>$2,053</w:t>
            </w:r>
          </w:p>
        </w:tc>
        <w:tc>
          <w:tcPr>
            <w:tcW w:w="951" w:type="dxa"/>
          </w:tcPr>
          <w:p w14:paraId="417ABEC6" w14:textId="17104FF8" w:rsidR="00903611" w:rsidRPr="006B754D" w:rsidRDefault="00903611" w:rsidP="00903611">
            <w:pPr>
              <w:pStyle w:val="TableText"/>
              <w:keepNext/>
              <w:rPr>
                <w:lang w:eastAsia="en-AU"/>
              </w:rPr>
            </w:pPr>
            <w:r w:rsidRPr="00101AE3">
              <w:t>−</w:t>
            </w:r>
            <w:r w:rsidRPr="00CC69DF">
              <w:t>$</w:t>
            </w:r>
            <w:r w:rsidRPr="004D419C">
              <w:t>2,053</w:t>
            </w:r>
          </w:p>
        </w:tc>
        <w:tc>
          <w:tcPr>
            <w:tcW w:w="950" w:type="dxa"/>
          </w:tcPr>
          <w:p w14:paraId="1CF57C7C" w14:textId="2B35C713"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c>
          <w:tcPr>
            <w:tcW w:w="950" w:type="dxa"/>
          </w:tcPr>
          <w:p w14:paraId="10B570A0" w14:textId="77777777" w:rsidR="00903611" w:rsidRPr="006B754D" w:rsidRDefault="00903611" w:rsidP="00903611">
            <w:pPr>
              <w:pStyle w:val="TableText"/>
              <w:keepNext/>
              <w:rPr>
                <w:lang w:eastAsia="en-AU"/>
              </w:rPr>
            </w:pPr>
            <w:r w:rsidRPr="00CC69DF">
              <w:t>$0</w:t>
            </w:r>
          </w:p>
        </w:tc>
        <w:tc>
          <w:tcPr>
            <w:tcW w:w="951" w:type="dxa"/>
          </w:tcPr>
          <w:p w14:paraId="1BAE59DB" w14:textId="7282BB70" w:rsidR="00903611" w:rsidRPr="006B754D" w:rsidRDefault="00903611" w:rsidP="00903611">
            <w:pPr>
              <w:pStyle w:val="TableText"/>
              <w:keepNext/>
              <w:rPr>
                <w:lang w:eastAsia="en-AU"/>
              </w:rPr>
            </w:pPr>
            <w:r w:rsidRPr="00CC69DF">
              <w:t>$2,454</w:t>
            </w:r>
          </w:p>
        </w:tc>
        <w:tc>
          <w:tcPr>
            <w:tcW w:w="950" w:type="dxa"/>
          </w:tcPr>
          <w:p w14:paraId="0AB9F516" w14:textId="2BD5A237" w:rsidR="00903611" w:rsidRPr="006B754D" w:rsidRDefault="00903611" w:rsidP="00903611">
            <w:pPr>
              <w:pStyle w:val="TableText"/>
              <w:keepNext/>
              <w:rPr>
                <w:lang w:eastAsia="en-AU"/>
              </w:rPr>
            </w:pPr>
            <w:r w:rsidRPr="00101AE3">
              <w:t>−</w:t>
            </w:r>
            <w:r w:rsidRPr="00CC69DF">
              <w:t>$2,454</w:t>
            </w:r>
          </w:p>
        </w:tc>
        <w:tc>
          <w:tcPr>
            <w:tcW w:w="951" w:type="dxa"/>
          </w:tcPr>
          <w:p w14:paraId="1AFC0E42" w14:textId="5984B5C9" w:rsidR="00903611" w:rsidRPr="009A3988" w:rsidRDefault="00903611" w:rsidP="00903611">
            <w:pPr>
              <w:pStyle w:val="TableText"/>
              <w:keepNext/>
              <w:rPr>
                <w:i/>
                <w:highlight w:val="yellow"/>
                <w:lang w:eastAsia="en-AU"/>
              </w:rPr>
            </w:pPr>
            <w:r>
              <w:rPr>
                <w:b/>
                <w:bCs/>
                <w:i/>
              </w:rPr>
              <w:t>-</w:t>
            </w:r>
            <w:r w:rsidRPr="00131857">
              <w:rPr>
                <w:b/>
                <w:bCs/>
                <w:i/>
              </w:rPr>
              <w:t>Redacted</w:t>
            </w:r>
            <w:r w:rsidRPr="00131857">
              <w:rPr>
                <w:i/>
              </w:rPr>
              <w:t>%</w:t>
            </w:r>
          </w:p>
        </w:tc>
      </w:tr>
      <w:tr w:rsidR="00903611" w:rsidRPr="006B754D" w14:paraId="641F0F34" w14:textId="77777777" w:rsidTr="00030059">
        <w:tc>
          <w:tcPr>
            <w:tcW w:w="1413" w:type="dxa"/>
            <w:vAlign w:val="center"/>
          </w:tcPr>
          <w:p w14:paraId="062D9EFA" w14:textId="1BE91DB9" w:rsidR="00903611" w:rsidRPr="006B754D" w:rsidRDefault="00903611" w:rsidP="00903611">
            <w:pPr>
              <w:pStyle w:val="TableText"/>
              <w:keepNext/>
              <w:rPr>
                <w:lang w:eastAsia="en-AU"/>
              </w:rPr>
            </w:pPr>
            <w:r w:rsidRPr="009A3411">
              <w:rPr>
                <w:b/>
                <w:bCs/>
              </w:rPr>
              <w:t>Total direct (medical) cost</w:t>
            </w:r>
          </w:p>
        </w:tc>
        <w:tc>
          <w:tcPr>
            <w:tcW w:w="950" w:type="dxa"/>
          </w:tcPr>
          <w:p w14:paraId="1F38A341" w14:textId="533ECB3E" w:rsidR="00903611" w:rsidRPr="00E70EEE" w:rsidRDefault="00903611" w:rsidP="00903611">
            <w:pPr>
              <w:pStyle w:val="TableText"/>
              <w:keepNext/>
              <w:rPr>
                <w:highlight w:val="yellow"/>
                <w:lang w:eastAsia="en-AU"/>
              </w:rPr>
            </w:pPr>
            <w:r w:rsidRPr="002C06A6">
              <w:t>$</w:t>
            </w:r>
            <w:r w:rsidRPr="002C06A6">
              <w:rPr>
                <w:b/>
                <w:bCs/>
              </w:rPr>
              <w:t>Redacted</w:t>
            </w:r>
          </w:p>
        </w:tc>
        <w:tc>
          <w:tcPr>
            <w:tcW w:w="950" w:type="dxa"/>
          </w:tcPr>
          <w:p w14:paraId="5ADBC48F" w14:textId="2B07E097" w:rsidR="00903611" w:rsidRPr="00E70EEE" w:rsidRDefault="00903611" w:rsidP="00903611">
            <w:pPr>
              <w:pStyle w:val="TableText"/>
              <w:keepNext/>
              <w:rPr>
                <w:highlight w:val="yellow"/>
                <w:lang w:eastAsia="en-AU"/>
              </w:rPr>
            </w:pPr>
            <w:r w:rsidRPr="002C06A6">
              <w:t>$</w:t>
            </w:r>
            <w:r w:rsidRPr="002C06A6">
              <w:rPr>
                <w:b/>
                <w:bCs/>
              </w:rPr>
              <w:t>Redacted</w:t>
            </w:r>
          </w:p>
        </w:tc>
        <w:tc>
          <w:tcPr>
            <w:tcW w:w="951" w:type="dxa"/>
          </w:tcPr>
          <w:p w14:paraId="3C109AE2" w14:textId="683FDD3D" w:rsidR="00903611" w:rsidRPr="00E70EEE" w:rsidRDefault="00903611" w:rsidP="00903611">
            <w:pPr>
              <w:pStyle w:val="TableText"/>
              <w:keepNext/>
              <w:rPr>
                <w:highlight w:val="yellow"/>
                <w:lang w:eastAsia="en-AU"/>
              </w:rPr>
            </w:pPr>
            <w:r w:rsidRPr="002C06A6">
              <w:t>$</w:t>
            </w:r>
            <w:r w:rsidRPr="002C06A6">
              <w:rPr>
                <w:b/>
                <w:bCs/>
              </w:rPr>
              <w:t>Redacted</w:t>
            </w:r>
          </w:p>
        </w:tc>
        <w:tc>
          <w:tcPr>
            <w:tcW w:w="950" w:type="dxa"/>
          </w:tcPr>
          <w:p w14:paraId="6412B062" w14:textId="77777777" w:rsidR="00903611" w:rsidRPr="00E70EEE" w:rsidRDefault="00903611" w:rsidP="00903611">
            <w:pPr>
              <w:pStyle w:val="TableText"/>
              <w:keepNext/>
              <w:rPr>
                <w:i/>
                <w:highlight w:val="yellow"/>
                <w:lang w:eastAsia="en-AU"/>
              </w:rPr>
            </w:pPr>
            <w:r w:rsidRPr="00903611">
              <w:rPr>
                <w:b/>
                <w:bCs/>
                <w:i/>
                <w:iCs/>
              </w:rPr>
              <w:t>100%</w:t>
            </w:r>
          </w:p>
        </w:tc>
        <w:tc>
          <w:tcPr>
            <w:tcW w:w="950" w:type="dxa"/>
          </w:tcPr>
          <w:p w14:paraId="3C05891A" w14:textId="75176BF0" w:rsidR="00903611" w:rsidRPr="00E70EEE" w:rsidRDefault="00903611" w:rsidP="00903611">
            <w:pPr>
              <w:pStyle w:val="TableText"/>
              <w:keepNext/>
              <w:rPr>
                <w:highlight w:val="yellow"/>
                <w:lang w:eastAsia="en-AU"/>
              </w:rPr>
            </w:pPr>
            <w:r w:rsidRPr="002C06A6">
              <w:t>$</w:t>
            </w:r>
            <w:r w:rsidRPr="002C06A6">
              <w:rPr>
                <w:b/>
                <w:bCs/>
              </w:rPr>
              <w:t>Redacted</w:t>
            </w:r>
          </w:p>
        </w:tc>
        <w:tc>
          <w:tcPr>
            <w:tcW w:w="951" w:type="dxa"/>
          </w:tcPr>
          <w:p w14:paraId="3B697AB2" w14:textId="1E94BCEB" w:rsidR="00903611" w:rsidRPr="00E70EEE" w:rsidRDefault="00903611" w:rsidP="00903611">
            <w:pPr>
              <w:pStyle w:val="TableText"/>
              <w:keepNext/>
              <w:rPr>
                <w:highlight w:val="yellow"/>
                <w:lang w:eastAsia="en-AU"/>
              </w:rPr>
            </w:pPr>
            <w:r w:rsidRPr="002C06A6">
              <w:t>$</w:t>
            </w:r>
            <w:r w:rsidRPr="002C06A6">
              <w:rPr>
                <w:b/>
                <w:bCs/>
              </w:rPr>
              <w:t>Redacted</w:t>
            </w:r>
          </w:p>
        </w:tc>
        <w:tc>
          <w:tcPr>
            <w:tcW w:w="950" w:type="dxa"/>
          </w:tcPr>
          <w:p w14:paraId="5894C6BE" w14:textId="4B20380C" w:rsidR="00903611" w:rsidRPr="00E70EEE" w:rsidRDefault="00903611" w:rsidP="00903611">
            <w:pPr>
              <w:pStyle w:val="TableText"/>
              <w:keepNext/>
              <w:rPr>
                <w:highlight w:val="yellow"/>
                <w:lang w:eastAsia="en-AU"/>
              </w:rPr>
            </w:pPr>
            <w:r w:rsidRPr="002C06A6">
              <w:t>$</w:t>
            </w:r>
            <w:r w:rsidRPr="002C06A6">
              <w:rPr>
                <w:b/>
                <w:bCs/>
              </w:rPr>
              <w:t>Redacted</w:t>
            </w:r>
          </w:p>
        </w:tc>
        <w:tc>
          <w:tcPr>
            <w:tcW w:w="951" w:type="dxa"/>
          </w:tcPr>
          <w:p w14:paraId="5E995D2F" w14:textId="14382FDB" w:rsidR="00903611" w:rsidRPr="00E70EEE" w:rsidRDefault="00903611" w:rsidP="00903611">
            <w:pPr>
              <w:pStyle w:val="TableText"/>
              <w:keepNext/>
              <w:rPr>
                <w:i/>
                <w:highlight w:val="yellow"/>
                <w:lang w:eastAsia="en-AU"/>
              </w:rPr>
            </w:pPr>
            <w:r w:rsidRPr="00903611">
              <w:rPr>
                <w:b/>
                <w:bCs/>
                <w:i/>
                <w:iCs/>
              </w:rPr>
              <w:t>100%</w:t>
            </w:r>
          </w:p>
        </w:tc>
      </w:tr>
    </w:tbl>
    <w:p w14:paraId="66B44917" w14:textId="77777777" w:rsidR="00D0608A" w:rsidRDefault="005C528C" w:rsidP="00696134">
      <w:pPr>
        <w:pStyle w:val="TableNote"/>
        <w:spacing w:after="0"/>
        <w:rPr>
          <w:rFonts w:ascii="Arial Narrow" w:eastAsia="Arial Narrow" w:hAnsi="Arial Narrow" w:cs="Arial Narrow"/>
          <w:sz w:val="18"/>
          <w:szCs w:val="18"/>
        </w:rPr>
      </w:pPr>
      <w:r w:rsidRPr="006B754D">
        <w:rPr>
          <w:b/>
          <w:bCs/>
          <w:lang w:eastAsia="en-AU"/>
        </w:rPr>
        <w:t>Abbreviations</w:t>
      </w:r>
      <w:r w:rsidR="00696134" w:rsidRPr="006B754D">
        <w:rPr>
          <w:b/>
          <w:bCs/>
          <w:lang w:eastAsia="en-AU"/>
        </w:rPr>
        <w:t xml:space="preserve">: </w:t>
      </w:r>
      <w:r w:rsidR="00696134" w:rsidRPr="00D06194">
        <w:rPr>
          <w:rFonts w:ascii="Arial Narrow" w:eastAsia="Arial Narrow" w:hAnsi="Arial Narrow" w:cs="Arial Narrow"/>
          <w:sz w:val="18"/>
          <w:szCs w:val="18"/>
        </w:rPr>
        <w:t>CV</w:t>
      </w:r>
      <w:r w:rsidR="00696134">
        <w:rPr>
          <w:rFonts w:ascii="Arial Narrow" w:eastAsia="Arial Narrow" w:hAnsi="Arial Narrow" w:cs="Arial Narrow"/>
          <w:sz w:val="18"/>
          <w:szCs w:val="18"/>
        </w:rPr>
        <w:t xml:space="preserve"> =</w:t>
      </w:r>
      <w:r w:rsidR="00696134" w:rsidRPr="00D06194">
        <w:rPr>
          <w:rFonts w:ascii="Arial Narrow" w:eastAsia="Arial Narrow" w:hAnsi="Arial Narrow" w:cs="Arial Narrow"/>
          <w:sz w:val="18"/>
          <w:szCs w:val="18"/>
        </w:rPr>
        <w:t xml:space="preserve"> cardiovascular; DKA</w:t>
      </w:r>
      <w:r w:rsidR="00696134">
        <w:rPr>
          <w:rFonts w:ascii="Arial Narrow" w:eastAsia="Arial Narrow" w:hAnsi="Arial Narrow" w:cs="Arial Narrow"/>
          <w:sz w:val="18"/>
          <w:szCs w:val="18"/>
        </w:rPr>
        <w:t xml:space="preserve"> = </w:t>
      </w:r>
      <w:r w:rsidR="00696134" w:rsidRPr="00D06194">
        <w:rPr>
          <w:rFonts w:ascii="Arial Narrow" w:eastAsia="Arial Narrow" w:hAnsi="Arial Narrow" w:cs="Arial Narrow"/>
          <w:sz w:val="18"/>
          <w:szCs w:val="18"/>
        </w:rPr>
        <w:t>diabetic ketoacidosis, IIT</w:t>
      </w:r>
      <w:r w:rsidR="00696134">
        <w:rPr>
          <w:rFonts w:ascii="Arial Narrow" w:eastAsia="Arial Narrow" w:hAnsi="Arial Narrow" w:cs="Arial Narrow"/>
          <w:sz w:val="18"/>
          <w:szCs w:val="18"/>
        </w:rPr>
        <w:t xml:space="preserve"> =</w:t>
      </w:r>
      <w:r w:rsidR="00696134" w:rsidRPr="00D06194">
        <w:rPr>
          <w:rFonts w:ascii="Arial Narrow" w:eastAsia="Arial Narrow" w:hAnsi="Arial Narrow" w:cs="Arial Narrow"/>
          <w:sz w:val="18"/>
          <w:szCs w:val="18"/>
        </w:rPr>
        <w:t xml:space="preserve"> intensive insulin therapy; RT-CGM</w:t>
      </w:r>
      <w:r w:rsidR="00696134">
        <w:rPr>
          <w:rFonts w:ascii="Arial Narrow" w:eastAsia="Arial Narrow" w:hAnsi="Arial Narrow" w:cs="Arial Narrow"/>
          <w:sz w:val="18"/>
          <w:szCs w:val="18"/>
        </w:rPr>
        <w:t xml:space="preserve"> =</w:t>
      </w:r>
      <w:r w:rsidR="00696134" w:rsidRPr="00D06194">
        <w:rPr>
          <w:rFonts w:ascii="Arial Narrow" w:eastAsia="Arial Narrow" w:hAnsi="Arial Narrow" w:cs="Arial Narrow"/>
          <w:sz w:val="18"/>
          <w:szCs w:val="18"/>
        </w:rPr>
        <w:t xml:space="preserve"> real-time continuous glucose monitoring; SMBG</w:t>
      </w:r>
      <w:r w:rsidR="00696134">
        <w:rPr>
          <w:rFonts w:ascii="Arial Narrow" w:eastAsia="Arial Narrow" w:hAnsi="Arial Narrow" w:cs="Arial Narrow"/>
          <w:sz w:val="18"/>
          <w:szCs w:val="18"/>
        </w:rPr>
        <w:t xml:space="preserve"> =</w:t>
      </w:r>
      <w:r w:rsidR="00696134" w:rsidRPr="00D06194">
        <w:rPr>
          <w:rFonts w:ascii="Arial Narrow" w:eastAsia="Arial Narrow" w:hAnsi="Arial Narrow" w:cs="Arial Narrow"/>
          <w:sz w:val="18"/>
          <w:szCs w:val="18"/>
        </w:rPr>
        <w:t xml:space="preserve"> self-monitoring of blood glucose</w:t>
      </w:r>
    </w:p>
    <w:p w14:paraId="4AE6FE10" w14:textId="34816102" w:rsidR="00696134" w:rsidRDefault="00D0608A" w:rsidP="00696134">
      <w:pPr>
        <w:pStyle w:val="TableNote"/>
        <w:spacing w:after="0"/>
        <w:rPr>
          <w:rFonts w:ascii="Arial Narrow" w:eastAsia="Arial Narrow" w:hAnsi="Arial Narrow" w:cs="Arial Narrow"/>
          <w:sz w:val="18"/>
          <w:szCs w:val="18"/>
        </w:rPr>
      </w:pPr>
      <w:r w:rsidRPr="00A41C72">
        <w:rPr>
          <w:rFonts w:ascii="Arial Narrow" w:eastAsia="Arial Narrow" w:hAnsi="Arial Narrow" w:cs="Arial Narrow"/>
          <w:b/>
          <w:bCs/>
          <w:sz w:val="18"/>
          <w:szCs w:val="18"/>
        </w:rPr>
        <w:t xml:space="preserve">Note: </w:t>
      </w:r>
      <w:r w:rsidR="00696134" w:rsidRPr="00732F32">
        <w:rPr>
          <w:rFonts w:ascii="Arial Narrow" w:eastAsia="Arial Narrow" w:hAnsi="Arial Narrow" w:cs="Arial Narrow"/>
          <w:sz w:val="18"/>
          <w:szCs w:val="18"/>
        </w:rPr>
        <w:t>additional analyses conducted during the commentary are presented in </w:t>
      </w:r>
      <w:r w:rsidR="00696134" w:rsidRPr="00732F32">
        <w:rPr>
          <w:rFonts w:ascii="Arial Narrow" w:eastAsia="Arial Narrow" w:hAnsi="Arial Narrow" w:cs="Arial Narrow"/>
          <w:i/>
          <w:iCs/>
          <w:sz w:val="18"/>
          <w:szCs w:val="18"/>
        </w:rPr>
        <w:t>italics</w:t>
      </w:r>
      <w:r w:rsidR="00696134" w:rsidRPr="00732F32">
        <w:rPr>
          <w:rFonts w:ascii="Arial Narrow" w:eastAsia="Arial Narrow" w:hAnsi="Arial Narrow" w:cs="Arial Narrow"/>
          <w:sz w:val="18"/>
          <w:szCs w:val="18"/>
        </w:rPr>
        <w:t>.</w:t>
      </w:r>
    </w:p>
    <w:p w14:paraId="6DA0CBEB" w14:textId="736E49E0" w:rsidR="00E43EC0" w:rsidRDefault="00696134" w:rsidP="0039095A">
      <w:pPr>
        <w:pStyle w:val="TableFooter"/>
        <w:spacing w:before="0" w:after="0"/>
        <w:rPr>
          <w:lang w:eastAsia="en-AU"/>
        </w:rPr>
      </w:pPr>
      <w:r w:rsidRPr="00A95451">
        <w:rPr>
          <w:b/>
          <w:bCs/>
          <w:lang w:eastAsia="en-AU"/>
        </w:rPr>
        <w:t>Source:</w:t>
      </w:r>
      <w:r>
        <w:rPr>
          <w:lang w:eastAsia="en-AU"/>
        </w:rPr>
        <w:t xml:space="preserve"> </w:t>
      </w:r>
      <w:r w:rsidRPr="00C81E0C">
        <w:rPr>
          <w:lang w:eastAsia="en-AU"/>
        </w:rPr>
        <w:t>Adapted from Table</w:t>
      </w:r>
      <w:r>
        <w:rPr>
          <w:lang w:eastAsia="en-AU"/>
        </w:rPr>
        <w:t>s 3</w:t>
      </w:r>
      <w:r w:rsidR="00CC69DF">
        <w:rPr>
          <w:lang w:eastAsia="en-AU"/>
        </w:rPr>
        <w:t>3</w:t>
      </w:r>
      <w:r>
        <w:rPr>
          <w:lang w:eastAsia="en-AU"/>
        </w:rPr>
        <w:t xml:space="preserve"> and 3</w:t>
      </w:r>
      <w:r w:rsidR="00CC69DF">
        <w:rPr>
          <w:lang w:eastAsia="en-AU"/>
        </w:rPr>
        <w:t>4</w:t>
      </w:r>
      <w:r w:rsidRPr="00C81E0C">
        <w:rPr>
          <w:lang w:eastAsia="en-AU"/>
        </w:rPr>
        <w:t>, p</w:t>
      </w:r>
      <w:r>
        <w:rPr>
          <w:lang w:eastAsia="en-AU"/>
        </w:rPr>
        <w:t>p. 10</w:t>
      </w:r>
      <w:r w:rsidR="00CC69DF">
        <w:rPr>
          <w:lang w:eastAsia="en-AU"/>
        </w:rPr>
        <w:t>3</w:t>
      </w:r>
      <w:r>
        <w:rPr>
          <w:lang w:eastAsia="en-AU"/>
        </w:rPr>
        <w:t>-10</w:t>
      </w:r>
      <w:r w:rsidR="00CC69DF">
        <w:rPr>
          <w:lang w:eastAsia="en-AU"/>
        </w:rPr>
        <w:t>5</w:t>
      </w:r>
      <w:r w:rsidRPr="00C81E0C">
        <w:rPr>
          <w:lang w:eastAsia="en-AU"/>
        </w:rPr>
        <w:t> of the MSAC 17</w:t>
      </w:r>
      <w:r>
        <w:rPr>
          <w:lang w:eastAsia="en-AU"/>
        </w:rPr>
        <w:t>85</w:t>
      </w:r>
      <w:r w:rsidRPr="00C81E0C">
        <w:rPr>
          <w:lang w:eastAsia="en-AU"/>
        </w:rPr>
        <w:t> ADAR</w:t>
      </w:r>
      <w:r>
        <w:rPr>
          <w:lang w:eastAsia="en-AU"/>
        </w:rPr>
        <w:t xml:space="preserve"> </w:t>
      </w:r>
      <w:r w:rsidRPr="00C81E0C">
        <w:rPr>
          <w:lang w:eastAsia="en-AU"/>
        </w:rPr>
        <w:t>+</w:t>
      </w:r>
      <w:r>
        <w:rPr>
          <w:lang w:eastAsia="en-AU"/>
        </w:rPr>
        <w:t xml:space="preserve"> </w:t>
      </w:r>
      <w:r w:rsidRPr="00C81E0C">
        <w:rPr>
          <w:lang w:eastAsia="en-AU"/>
        </w:rPr>
        <w:t>in-line commentary</w:t>
      </w:r>
      <w:r>
        <w:rPr>
          <w:lang w:eastAsia="en-AU"/>
        </w:rPr>
        <w:t>.</w:t>
      </w:r>
      <w:r w:rsidRPr="00C81E0C">
        <w:rPr>
          <w:lang w:eastAsia="en-AU"/>
        </w:rPr>
        <w:t>  </w:t>
      </w:r>
    </w:p>
    <w:p w14:paraId="1209E610" w14:textId="0856DC3C" w:rsidR="007A2FC2" w:rsidRDefault="00D0608A" w:rsidP="007A2FC2">
      <w:r>
        <w:t>M</w:t>
      </w:r>
      <w:r w:rsidR="0080067E" w:rsidRPr="008E4D7E">
        <w:t xml:space="preserve">odel impacts using UKPDS risk equations are further explored and key drivers summarised in </w:t>
      </w:r>
      <w:r w:rsidR="008E4D7E" w:rsidRPr="000E2889">
        <w:fldChar w:fldCharType="begin"/>
      </w:r>
      <w:r w:rsidR="008E4D7E" w:rsidRPr="000E2889">
        <w:instrText xml:space="preserve"> REF _Ref226731582 \h </w:instrText>
      </w:r>
      <w:r w:rsidR="008E4D7E">
        <w:instrText xml:space="preserve"> \* MERGEFORMAT</w:instrText>
      </w:r>
      <w:r w:rsidR="008E4D7E" w:rsidRPr="00754303">
        <w:instrText xml:space="preserve"> </w:instrText>
      </w:r>
      <w:r w:rsidR="008E4D7E" w:rsidRPr="000E2889">
        <w:fldChar w:fldCharType="separate"/>
      </w:r>
      <w:r w:rsidR="0098516D">
        <w:t xml:space="preserve">Table </w:t>
      </w:r>
      <w:r w:rsidR="0098516D">
        <w:rPr>
          <w:noProof/>
        </w:rPr>
        <w:t>17</w:t>
      </w:r>
      <w:r w:rsidR="008E4D7E" w:rsidRPr="000E2889">
        <w:fldChar w:fldCharType="end"/>
      </w:r>
      <w:r w:rsidR="0080067E" w:rsidRPr="008E4D7E">
        <w:t>.</w:t>
      </w:r>
      <w:r w:rsidR="007A2FC2">
        <w:br w:type="page"/>
      </w:r>
    </w:p>
    <w:p w14:paraId="0E8553F1" w14:textId="4944BFAD" w:rsidR="0080067E" w:rsidRPr="00CE28E3" w:rsidRDefault="008E4D7E" w:rsidP="000E2889">
      <w:pPr>
        <w:pStyle w:val="Caption"/>
      </w:pPr>
      <w:bookmarkStart w:id="51" w:name="_Ref226731582"/>
      <w:r>
        <w:lastRenderedPageBreak/>
        <w:t xml:space="preserve">Table </w:t>
      </w:r>
      <w:r>
        <w:fldChar w:fldCharType="begin"/>
      </w:r>
      <w:r>
        <w:instrText>SEQ Table \* ARABIC</w:instrText>
      </w:r>
      <w:r>
        <w:fldChar w:fldCharType="separate"/>
      </w:r>
      <w:r w:rsidR="0098516D">
        <w:rPr>
          <w:noProof/>
        </w:rPr>
        <w:t>17</w:t>
      </w:r>
      <w:r>
        <w:fldChar w:fldCharType="end"/>
      </w:r>
      <w:bookmarkEnd w:id="51"/>
      <w:r>
        <w:t xml:space="preserve">: </w:t>
      </w:r>
      <w:r w:rsidR="0080067E" w:rsidRPr="00CE28E3">
        <w:t>Key drivers of the model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43"/>
        <w:gridCol w:w="3780"/>
        <w:gridCol w:w="2993"/>
      </w:tblGrid>
      <w:tr w:rsidR="0080067E" w:rsidRPr="00CE28E3" w14:paraId="7CC7D615" w14:textId="77777777" w:rsidTr="000E2889">
        <w:tc>
          <w:tcPr>
            <w:tcW w:w="5000" w:type="pct"/>
            <w:gridSpan w:val="3"/>
            <w:shd w:val="clear" w:color="auto" w:fill="D9D9D9" w:themeFill="background1" w:themeFillShade="D9"/>
            <w:vAlign w:val="center"/>
          </w:tcPr>
          <w:p w14:paraId="2BF1F81A" w14:textId="77777777" w:rsidR="0080067E" w:rsidRPr="00CE28E3" w:rsidRDefault="0080067E" w:rsidP="000E2889">
            <w:pPr>
              <w:pStyle w:val="In-tableHeading"/>
              <w:jc w:val="center"/>
            </w:pPr>
            <w:r>
              <w:t>IIT subpopulation</w:t>
            </w:r>
          </w:p>
        </w:tc>
      </w:tr>
      <w:tr w:rsidR="0080067E" w:rsidRPr="00CE28E3" w14:paraId="014A5CFF" w14:textId="77777777" w:rsidTr="000E2889">
        <w:tc>
          <w:tcPr>
            <w:tcW w:w="1244" w:type="pct"/>
            <w:shd w:val="clear" w:color="auto" w:fill="D9D9D9" w:themeFill="background1" w:themeFillShade="D9"/>
            <w:vAlign w:val="center"/>
          </w:tcPr>
          <w:p w14:paraId="196CDF43" w14:textId="77777777" w:rsidR="0080067E" w:rsidRPr="00CE28E3" w:rsidRDefault="0080067E" w:rsidP="000E2889">
            <w:pPr>
              <w:pStyle w:val="In-tableHeading"/>
              <w:jc w:val="center"/>
            </w:pPr>
            <w:r w:rsidRPr="00CE28E3">
              <w:t>Description</w:t>
            </w:r>
          </w:p>
        </w:tc>
        <w:tc>
          <w:tcPr>
            <w:tcW w:w="2096" w:type="pct"/>
            <w:shd w:val="clear" w:color="auto" w:fill="D9D9D9" w:themeFill="background1" w:themeFillShade="D9"/>
            <w:vAlign w:val="center"/>
          </w:tcPr>
          <w:p w14:paraId="00BDDC18" w14:textId="77777777" w:rsidR="0080067E" w:rsidRPr="00CE28E3" w:rsidRDefault="0080067E" w:rsidP="000E2889">
            <w:pPr>
              <w:pStyle w:val="In-tableHeading"/>
              <w:jc w:val="center"/>
            </w:pPr>
            <w:r w:rsidRPr="00CE28E3">
              <w:t>Method/Value</w:t>
            </w:r>
          </w:p>
        </w:tc>
        <w:tc>
          <w:tcPr>
            <w:tcW w:w="1660" w:type="pct"/>
            <w:shd w:val="clear" w:color="auto" w:fill="D9D9D9" w:themeFill="background1" w:themeFillShade="D9"/>
            <w:vAlign w:val="center"/>
          </w:tcPr>
          <w:p w14:paraId="0EB13487" w14:textId="77777777" w:rsidR="0080067E" w:rsidRPr="00CE28E3" w:rsidRDefault="0080067E" w:rsidP="000E2889">
            <w:pPr>
              <w:pStyle w:val="In-tableHeading"/>
              <w:jc w:val="center"/>
            </w:pPr>
            <w:r w:rsidRPr="00CE28E3">
              <w:t>Impact</w:t>
            </w:r>
          </w:p>
          <w:p w14:paraId="3F38CE2D" w14:textId="173F60AC" w:rsidR="0080067E" w:rsidRPr="00CE28E3" w:rsidRDefault="0080067E" w:rsidP="000E2889">
            <w:pPr>
              <w:pStyle w:val="In-tableHeading"/>
              <w:jc w:val="center"/>
            </w:pPr>
            <w:r w:rsidRPr="008E4D7E">
              <w:t>Base case: $</w:t>
            </w:r>
            <w:r w:rsidR="00DE10E4" w:rsidRPr="00E31DEF">
              <w:t>Redacted</w:t>
            </w:r>
            <w:r w:rsidR="00E31DEF" w:rsidRPr="00E70EEE">
              <w:rPr>
                <w:b w:val="0"/>
                <w:bCs/>
                <w:vertAlign w:val="superscript"/>
              </w:rPr>
              <w:t>1</w:t>
            </w:r>
            <w:r w:rsidRPr="008E4D7E">
              <w:t>/QALY gained</w:t>
            </w:r>
          </w:p>
        </w:tc>
      </w:tr>
      <w:tr w:rsidR="0080067E" w:rsidRPr="00FC2A87" w14:paraId="010A4EF3" w14:textId="77777777">
        <w:trPr>
          <w:trHeight w:val="323"/>
        </w:trPr>
        <w:tc>
          <w:tcPr>
            <w:tcW w:w="1244" w:type="pct"/>
            <w:vAlign w:val="center"/>
          </w:tcPr>
          <w:p w14:paraId="1CDE46C1" w14:textId="77777777" w:rsidR="0080067E" w:rsidRPr="00CE28E3" w:rsidRDefault="0080067E">
            <w:pPr>
              <w:pStyle w:val="TableText"/>
              <w:rPr>
                <w:lang w:val="en-US"/>
              </w:rPr>
            </w:pPr>
            <w:r>
              <w:t>Time horizon</w:t>
            </w:r>
          </w:p>
        </w:tc>
        <w:tc>
          <w:tcPr>
            <w:tcW w:w="2096" w:type="pct"/>
            <w:vAlign w:val="center"/>
          </w:tcPr>
          <w:p w14:paraId="164D22B9" w14:textId="13A308A2" w:rsidR="0080067E" w:rsidRPr="00CE28E3" w:rsidRDefault="0080067E">
            <w:pPr>
              <w:pStyle w:val="TableText"/>
              <w:rPr>
                <w:lang w:val="en-US"/>
              </w:rPr>
            </w:pPr>
            <w:r>
              <w:rPr>
                <w:lang w:val="en-US"/>
              </w:rPr>
              <w:t>Lifetime time horizon was applied for the base case model. The time horizons on 10-year, 20-year and 30-year were varied. The 20-year and 30-year time horizons reported favorable outcomes. Extrapolation on short-term (i.e. 10-year) time horizons remain</w:t>
            </w:r>
            <w:r w:rsidR="00D552BF">
              <w:rPr>
                <w:lang w:val="en-US"/>
              </w:rPr>
              <w:t>s</w:t>
            </w:r>
            <w:r>
              <w:rPr>
                <w:lang w:val="en-US"/>
              </w:rPr>
              <w:t xml:space="preserve"> uncertain.</w:t>
            </w:r>
          </w:p>
        </w:tc>
        <w:tc>
          <w:tcPr>
            <w:tcW w:w="1660" w:type="pct"/>
            <w:vAlign w:val="center"/>
          </w:tcPr>
          <w:p w14:paraId="2839D290" w14:textId="1CE1E5F5" w:rsidR="0080067E" w:rsidRPr="00FC2A87" w:rsidRDefault="0080067E">
            <w:pPr>
              <w:pStyle w:val="TableText"/>
              <w:spacing w:after="160"/>
              <w:rPr>
                <w:i/>
                <w:lang w:val="en-US"/>
              </w:rPr>
            </w:pPr>
            <w:r w:rsidRPr="00FC2A87">
              <w:rPr>
                <w:i/>
                <w:lang w:val="en-US"/>
              </w:rPr>
              <w:t xml:space="preserve">High, favours Dexcom ONE+ </w:t>
            </w:r>
            <w:r w:rsidR="00D8574B">
              <w:rPr>
                <w:i/>
                <w:lang w:val="en-US"/>
              </w:rPr>
              <w:br/>
            </w:r>
            <w:r w:rsidRPr="00FC2A87">
              <w:rPr>
                <w:i/>
                <w:lang w:val="en-US"/>
              </w:rPr>
              <w:t xml:space="preserve">RT-CGM procedure. </w:t>
            </w:r>
          </w:p>
          <w:p w14:paraId="4D4F94BF" w14:textId="3E471895" w:rsidR="0080067E" w:rsidRPr="00FC2A87" w:rsidRDefault="0080067E">
            <w:pPr>
              <w:pStyle w:val="TableText"/>
              <w:spacing w:after="160"/>
              <w:rPr>
                <w:i/>
              </w:rPr>
            </w:pPr>
            <w:r w:rsidRPr="00FC2A87">
              <w:rPr>
                <w:i/>
              </w:rPr>
              <w:t xml:space="preserve">The base case, 30-year and 20-year extrapolation may favour RT-CGM, </w:t>
            </w:r>
            <w:r w:rsidRPr="003D4685">
              <w:rPr>
                <w:i/>
              </w:rPr>
              <w:t xml:space="preserve">yielding </w:t>
            </w:r>
            <w:r w:rsidR="00E82023">
              <w:rPr>
                <w:b/>
                <w:bCs/>
                <w:i/>
              </w:rPr>
              <w:t>redacted</w:t>
            </w:r>
            <w:r w:rsidRPr="00FC2A87">
              <w:rPr>
                <w:i/>
              </w:rPr>
              <w:t xml:space="preserve">% higher ICER </w:t>
            </w:r>
            <w:r w:rsidRPr="00E70EEE">
              <w:rPr>
                <w:i/>
              </w:rPr>
              <w:t>(</w:t>
            </w:r>
            <w:r w:rsidR="00E31DEF">
              <w:rPr>
                <w:i/>
              </w:rPr>
              <w:t>$</w:t>
            </w:r>
            <w:r w:rsidR="00E31DEF" w:rsidRPr="00E70EEE">
              <w:rPr>
                <w:b/>
                <w:bCs/>
                <w:i/>
              </w:rPr>
              <w:t>Redacted</w:t>
            </w:r>
            <w:r w:rsidR="00E31DEF" w:rsidRPr="00E70EEE">
              <w:rPr>
                <w:i/>
                <w:vertAlign w:val="superscript"/>
              </w:rPr>
              <w:t>2</w:t>
            </w:r>
            <w:r w:rsidRPr="00E70EEE">
              <w:rPr>
                <w:i/>
              </w:rPr>
              <w:t xml:space="preserve"> per QALY gained</w:t>
            </w:r>
            <w:r w:rsidR="00B725FB" w:rsidRPr="00E70EEE">
              <w:rPr>
                <w:i/>
              </w:rPr>
              <w:t>)</w:t>
            </w:r>
            <w:r w:rsidRPr="00E70EEE">
              <w:rPr>
                <w:i/>
              </w:rPr>
              <w:t xml:space="preserve"> and </w:t>
            </w:r>
            <w:r w:rsidR="006677A3">
              <w:rPr>
                <w:b/>
                <w:bCs/>
                <w:i/>
              </w:rPr>
              <w:t>redacted</w:t>
            </w:r>
            <w:r w:rsidRPr="00E70EEE">
              <w:rPr>
                <w:i/>
              </w:rPr>
              <w:t>%</w:t>
            </w:r>
            <w:r w:rsidRPr="00FC2A87">
              <w:rPr>
                <w:i/>
              </w:rPr>
              <w:t xml:space="preserve"> </w:t>
            </w:r>
            <w:r w:rsidR="00853ED9" w:rsidRPr="00FC2A87">
              <w:rPr>
                <w:i/>
              </w:rPr>
              <w:t xml:space="preserve">higher ICER </w:t>
            </w:r>
            <w:r w:rsidRPr="00FC2A87">
              <w:rPr>
                <w:i/>
              </w:rPr>
              <w:t>($</w:t>
            </w:r>
            <w:r w:rsidR="00E31DEF">
              <w:rPr>
                <w:i/>
              </w:rPr>
              <w:t>$</w:t>
            </w:r>
            <w:r w:rsidR="00E31DEF" w:rsidRPr="00637C8D">
              <w:rPr>
                <w:b/>
                <w:bCs/>
                <w:i/>
              </w:rPr>
              <w:t>Redacted</w:t>
            </w:r>
            <w:r w:rsidR="00E31DEF" w:rsidRPr="00637C8D">
              <w:rPr>
                <w:i/>
                <w:vertAlign w:val="superscript"/>
              </w:rPr>
              <w:t>2</w:t>
            </w:r>
            <w:r w:rsidRPr="00FC2A87">
              <w:rPr>
                <w:i/>
              </w:rPr>
              <w:t xml:space="preserve">per QALY gained) compared to base case, respectively. Use of 10-year time horizons generates higher ICER of </w:t>
            </w:r>
            <w:r w:rsidR="00E82023">
              <w:rPr>
                <w:b/>
                <w:bCs/>
                <w:i/>
              </w:rPr>
              <w:t>redacted</w:t>
            </w:r>
            <w:r w:rsidR="00E82023" w:rsidRPr="00FC2A87">
              <w:rPr>
                <w:i/>
              </w:rPr>
              <w:t xml:space="preserve">% </w:t>
            </w:r>
            <w:r w:rsidRPr="00E70EEE">
              <w:rPr>
                <w:i/>
              </w:rPr>
              <w:t>(</w:t>
            </w:r>
            <w:r w:rsidR="00E31DEF">
              <w:rPr>
                <w:i/>
              </w:rPr>
              <w:t>$</w:t>
            </w:r>
            <w:r w:rsidR="00E31DEF" w:rsidRPr="00637C8D">
              <w:rPr>
                <w:b/>
                <w:bCs/>
                <w:i/>
              </w:rPr>
              <w:t>Redacted</w:t>
            </w:r>
            <w:r w:rsidR="00E31DEF" w:rsidRPr="00637C8D">
              <w:rPr>
                <w:i/>
                <w:vertAlign w:val="superscript"/>
              </w:rPr>
              <w:t>2</w:t>
            </w:r>
            <w:r w:rsidRPr="00FC2A87">
              <w:rPr>
                <w:i/>
              </w:rPr>
              <w:t xml:space="preserve">per QALY gained) compared to base case. </w:t>
            </w:r>
          </w:p>
        </w:tc>
      </w:tr>
      <w:tr w:rsidR="0080067E" w:rsidRPr="00FC2A87" w14:paraId="27B69CF3" w14:textId="77777777">
        <w:trPr>
          <w:trHeight w:val="323"/>
        </w:trPr>
        <w:tc>
          <w:tcPr>
            <w:tcW w:w="1244" w:type="pct"/>
            <w:vAlign w:val="center"/>
          </w:tcPr>
          <w:p w14:paraId="03837D20" w14:textId="77777777" w:rsidR="0080067E" w:rsidRDefault="0080067E">
            <w:pPr>
              <w:pStyle w:val="TableText"/>
              <w:rPr>
                <w:lang w:val="en-US"/>
              </w:rPr>
            </w:pPr>
            <w:r>
              <w:rPr>
                <w:lang w:val="en-US"/>
              </w:rPr>
              <w:t>HbA1c treatment effects</w:t>
            </w:r>
          </w:p>
        </w:tc>
        <w:tc>
          <w:tcPr>
            <w:tcW w:w="2096" w:type="pct"/>
            <w:vAlign w:val="center"/>
          </w:tcPr>
          <w:p w14:paraId="6663D49E" w14:textId="72AF9B78" w:rsidR="0080067E" w:rsidRPr="00CE28E3" w:rsidRDefault="0080067E">
            <w:pPr>
              <w:pStyle w:val="TableText"/>
              <w:rPr>
                <w:lang w:val="en-US"/>
              </w:rPr>
            </w:pPr>
            <w:r>
              <w:rPr>
                <w:lang w:val="en-US"/>
              </w:rPr>
              <w:t xml:space="preserve">Resubmitted base case applied −0.3% as informed by </w:t>
            </w:r>
            <w:r w:rsidRPr="005968FE">
              <w:rPr>
                <w:lang w:val="en-US"/>
              </w:rPr>
              <w:t>DIAMOND</w:t>
            </w:r>
            <w:r w:rsidR="005E2EAA" w:rsidRPr="005968FE">
              <w:rPr>
                <w:lang w:val="en-US"/>
              </w:rPr>
              <w:fldChar w:fldCharType="begin"/>
            </w:r>
            <w:r w:rsidR="005E2EAA" w:rsidRPr="005968FE">
              <w:rPr>
                <w:lang w:val="en-US"/>
              </w:rPr>
              <w:instrText xml:space="preserve"> NOTEREF _Ref226546296 \f \h </w:instrText>
            </w:r>
            <w:r w:rsidR="005968FE">
              <w:rPr>
                <w:lang w:val="en-US"/>
              </w:rPr>
              <w:instrText xml:space="preserve"> \* MERGEFORMAT </w:instrText>
            </w:r>
            <w:r w:rsidR="005E2EAA" w:rsidRPr="005968FE">
              <w:rPr>
                <w:lang w:val="en-US"/>
              </w:rPr>
            </w:r>
            <w:r w:rsidR="005E2EAA" w:rsidRPr="005968FE">
              <w:rPr>
                <w:lang w:val="en-US"/>
              </w:rPr>
              <w:fldChar w:fldCharType="separate"/>
            </w:r>
            <w:r w:rsidR="0098516D" w:rsidRPr="0098516D">
              <w:rPr>
                <w:rStyle w:val="FootnoteReference"/>
              </w:rPr>
              <w:t>8</w:t>
            </w:r>
            <w:r w:rsidR="005E2EAA" w:rsidRPr="005968FE">
              <w:rPr>
                <w:lang w:val="en-US"/>
              </w:rPr>
              <w:fldChar w:fldCharType="end"/>
            </w:r>
            <w:r w:rsidR="005E2EAA">
              <w:rPr>
                <w:lang w:val="en-US"/>
              </w:rPr>
              <w:t xml:space="preserve"> </w:t>
            </w:r>
            <w:r>
              <w:rPr>
                <w:lang w:val="en-US"/>
              </w:rPr>
              <w:t>clinical trial. The effect of 95% CIs for base case (i.e. upper (−0.0%) and lower (−0.5%)) estimates was explored in sensitivity analysis.</w:t>
            </w:r>
          </w:p>
        </w:tc>
        <w:tc>
          <w:tcPr>
            <w:tcW w:w="1660" w:type="pct"/>
            <w:vAlign w:val="center"/>
          </w:tcPr>
          <w:p w14:paraId="1EE0AC3E" w14:textId="77777777" w:rsidR="0080067E" w:rsidRPr="00FC2A87" w:rsidRDefault="0080067E">
            <w:pPr>
              <w:pStyle w:val="TableText"/>
              <w:rPr>
                <w:i/>
                <w:noProof/>
              </w:rPr>
            </w:pPr>
            <w:r w:rsidRPr="00FC2A87">
              <w:rPr>
                <w:i/>
                <w:noProof/>
              </w:rPr>
              <w:t xml:space="preserve">Potentially high impact; direction of effect unclear; limited uncertainty in the inputs. </w:t>
            </w:r>
          </w:p>
          <w:p w14:paraId="2C3C7DE6" w14:textId="19D98847" w:rsidR="0080067E" w:rsidRPr="00FC2A87" w:rsidRDefault="0080067E">
            <w:pPr>
              <w:pStyle w:val="TableText"/>
              <w:spacing w:after="160"/>
              <w:rPr>
                <w:i/>
              </w:rPr>
            </w:pPr>
            <w:r w:rsidRPr="00FC2A87">
              <w:rPr>
                <w:i/>
              </w:rPr>
              <w:t xml:space="preserve">Use of upper CI value generates higher </w:t>
            </w:r>
            <w:r w:rsidRPr="003D4685">
              <w:rPr>
                <w:i/>
              </w:rPr>
              <w:t xml:space="preserve">ICER </w:t>
            </w:r>
            <w:r w:rsidRPr="00E70EEE">
              <w:rPr>
                <w:i/>
              </w:rPr>
              <w:t xml:space="preserve">by </w:t>
            </w:r>
            <w:r w:rsidR="00E82023">
              <w:rPr>
                <w:b/>
                <w:bCs/>
                <w:i/>
              </w:rPr>
              <w:t>redacted</w:t>
            </w:r>
            <w:r w:rsidR="00E82023" w:rsidRPr="00FC2A87">
              <w:rPr>
                <w:i/>
              </w:rPr>
              <w:t xml:space="preserve">% </w:t>
            </w:r>
            <w:r w:rsidRPr="00FC2A87">
              <w:rPr>
                <w:i/>
              </w:rPr>
              <w:t>(</w:t>
            </w:r>
            <w:r w:rsidR="00E31DEF">
              <w:rPr>
                <w:i/>
              </w:rPr>
              <w:t>$</w:t>
            </w:r>
            <w:r w:rsidR="00E31DEF" w:rsidRPr="00637C8D">
              <w:rPr>
                <w:b/>
                <w:bCs/>
                <w:i/>
              </w:rPr>
              <w:t>Redacted</w:t>
            </w:r>
            <w:r w:rsidR="00E31DEF" w:rsidRPr="00637C8D">
              <w:rPr>
                <w:i/>
                <w:vertAlign w:val="superscript"/>
              </w:rPr>
              <w:t>2</w:t>
            </w:r>
            <w:r w:rsidRPr="00FC2A87">
              <w:rPr>
                <w:i/>
              </w:rPr>
              <w:t xml:space="preserve">per QALY gained) and lower CI generates lower ICER </w:t>
            </w:r>
            <w:r w:rsidRPr="003D4685">
              <w:rPr>
                <w:i/>
              </w:rPr>
              <w:t xml:space="preserve">by </w:t>
            </w:r>
            <w:r w:rsidR="00E82023">
              <w:rPr>
                <w:b/>
                <w:bCs/>
                <w:i/>
              </w:rPr>
              <w:t>redacted</w:t>
            </w:r>
            <w:r w:rsidR="00E82023" w:rsidRPr="00FC2A87">
              <w:rPr>
                <w:i/>
              </w:rPr>
              <w:t xml:space="preserve">% </w:t>
            </w:r>
            <w:r w:rsidRPr="00FC2A87">
              <w:rPr>
                <w:i/>
              </w:rPr>
              <w:t>(</w:t>
            </w:r>
            <w:r w:rsidR="00E31DEF">
              <w:rPr>
                <w:i/>
              </w:rPr>
              <w:t>$</w:t>
            </w:r>
            <w:r w:rsidR="00E31DEF" w:rsidRPr="00637C8D">
              <w:rPr>
                <w:b/>
                <w:bCs/>
                <w:i/>
              </w:rPr>
              <w:t>Redacted</w:t>
            </w:r>
            <w:r w:rsidR="00E31DEF">
              <w:rPr>
                <w:i/>
                <w:vertAlign w:val="superscript"/>
              </w:rPr>
              <w:t>1</w:t>
            </w:r>
            <w:r w:rsidRPr="00FC2A87">
              <w:rPr>
                <w:i/>
              </w:rPr>
              <w:t xml:space="preserve"> per QALY gained) compared to base case. </w:t>
            </w:r>
          </w:p>
        </w:tc>
      </w:tr>
      <w:tr w:rsidR="0080067E" w:rsidRPr="00FC2A87" w14:paraId="0311FA48" w14:textId="77777777">
        <w:tc>
          <w:tcPr>
            <w:tcW w:w="1244" w:type="pct"/>
            <w:vAlign w:val="center"/>
          </w:tcPr>
          <w:p w14:paraId="23AFD931" w14:textId="77777777" w:rsidR="0080067E" w:rsidRPr="00CE28E3" w:rsidRDefault="0080067E">
            <w:pPr>
              <w:pStyle w:val="TableText"/>
              <w:rPr>
                <w:lang w:val="en-US"/>
              </w:rPr>
            </w:pPr>
            <w:r>
              <w:rPr>
                <w:lang w:val="en-US"/>
              </w:rPr>
              <w:t>Duration of HbA1c effects</w:t>
            </w:r>
          </w:p>
        </w:tc>
        <w:tc>
          <w:tcPr>
            <w:tcW w:w="2096" w:type="pct"/>
            <w:vAlign w:val="center"/>
          </w:tcPr>
          <w:p w14:paraId="2C2BE825" w14:textId="735F5259" w:rsidR="0080067E" w:rsidRPr="00CE28E3" w:rsidRDefault="0080067E">
            <w:pPr>
              <w:pStyle w:val="TableText"/>
              <w:rPr>
                <w:lang w:val="en-US"/>
              </w:rPr>
            </w:pPr>
            <w:r>
              <w:rPr>
                <w:lang w:val="en-US"/>
              </w:rPr>
              <w:t xml:space="preserve">The duration of </w:t>
            </w:r>
            <w:r w:rsidRPr="009B783E">
              <w:t xml:space="preserve">RT-CGM treatment effect </w:t>
            </w:r>
            <w:r>
              <w:t>was</w:t>
            </w:r>
            <w:r w:rsidRPr="009B783E">
              <w:t xml:space="preserve"> sustained for </w:t>
            </w:r>
            <w:r>
              <w:t>7-</w:t>
            </w:r>
            <w:r w:rsidRPr="009B783E">
              <w:t>year</w:t>
            </w:r>
            <w:r w:rsidR="002A2538">
              <w:t>s</w:t>
            </w:r>
            <w:r>
              <w:t xml:space="preserve"> and increased steadily by 0.05% beyond 7-year in the base case. For SMBG, the duration of treatment effect remains constant up to 7-year and long-term increase was identical to RT-CGM. Alternative scenarios analyses with constant effect for 7-years and converging to zero at 8-year and 14-year, resulted </w:t>
            </w:r>
            <w:r w:rsidR="00162234">
              <w:t xml:space="preserve">in </w:t>
            </w:r>
            <w:r>
              <w:t>higher cost</w:t>
            </w:r>
            <w:r w:rsidR="00162234">
              <w:t>s</w:t>
            </w:r>
            <w:r>
              <w:t xml:space="preserve"> and lower effects. </w:t>
            </w:r>
          </w:p>
        </w:tc>
        <w:tc>
          <w:tcPr>
            <w:tcW w:w="1660" w:type="pct"/>
            <w:vAlign w:val="center"/>
          </w:tcPr>
          <w:p w14:paraId="2B75A7E3" w14:textId="12457B8A" w:rsidR="0080067E" w:rsidRPr="00FC2A87" w:rsidRDefault="0080067E">
            <w:pPr>
              <w:pStyle w:val="TableText"/>
              <w:spacing w:after="160"/>
              <w:rPr>
                <w:i/>
                <w:lang w:val="en-US"/>
              </w:rPr>
            </w:pPr>
            <w:r w:rsidRPr="00FC2A87">
              <w:rPr>
                <w:i/>
                <w:lang w:val="en-US"/>
              </w:rPr>
              <w:t xml:space="preserve">Moderate, favours Dexcom ONE+ RT-CGM procedure. </w:t>
            </w:r>
          </w:p>
          <w:p w14:paraId="5BB67E23" w14:textId="2D9B38DA" w:rsidR="0080067E" w:rsidRPr="00FC2A87" w:rsidRDefault="0080067E">
            <w:pPr>
              <w:pStyle w:val="TableText"/>
              <w:spacing w:after="160"/>
              <w:rPr>
                <w:i/>
                <w:lang w:val="en-US"/>
              </w:rPr>
            </w:pPr>
            <w:r w:rsidRPr="00FC2A87">
              <w:rPr>
                <w:i/>
                <w:lang w:val="en-US"/>
              </w:rPr>
              <w:t xml:space="preserve">Use of 7-year constant and converging to zero at 8-year and 14-year increased ICER by </w:t>
            </w:r>
            <w:r w:rsidR="00E82023">
              <w:rPr>
                <w:b/>
                <w:bCs/>
                <w:i/>
              </w:rPr>
              <w:t>redacted</w:t>
            </w:r>
            <w:r w:rsidR="00E82023" w:rsidRPr="00FC2A87">
              <w:rPr>
                <w:i/>
              </w:rPr>
              <w:t xml:space="preserve">% </w:t>
            </w:r>
            <w:r w:rsidRPr="003D4685">
              <w:rPr>
                <w:i/>
                <w:lang w:val="en-US"/>
              </w:rPr>
              <w:t>(</w:t>
            </w:r>
            <w:r w:rsidR="00E31DEF">
              <w:rPr>
                <w:i/>
              </w:rPr>
              <w:t>$</w:t>
            </w:r>
            <w:r w:rsidR="00E31DEF" w:rsidRPr="00637C8D">
              <w:rPr>
                <w:b/>
                <w:bCs/>
                <w:i/>
              </w:rPr>
              <w:t>Redacted</w:t>
            </w:r>
            <w:r w:rsidR="00E31DEF" w:rsidRPr="00637C8D">
              <w:rPr>
                <w:i/>
                <w:vertAlign w:val="superscript"/>
              </w:rPr>
              <w:t>2</w:t>
            </w:r>
            <w:r w:rsidR="00E31DEF">
              <w:rPr>
                <w:i/>
                <w:vertAlign w:val="superscript"/>
              </w:rPr>
              <w:t xml:space="preserve"> </w:t>
            </w:r>
            <w:r w:rsidRPr="00FC2A87">
              <w:rPr>
                <w:i/>
                <w:lang w:val="en-US"/>
              </w:rPr>
              <w:t xml:space="preserve">per QALY gained) </w:t>
            </w:r>
            <w:r w:rsidRPr="003D4685">
              <w:rPr>
                <w:i/>
                <w:lang w:val="en-US"/>
              </w:rPr>
              <w:t xml:space="preserve">and </w:t>
            </w:r>
            <w:r w:rsidR="00E82023">
              <w:rPr>
                <w:b/>
                <w:bCs/>
                <w:i/>
              </w:rPr>
              <w:t>redacted</w:t>
            </w:r>
            <w:r w:rsidR="00E82023" w:rsidRPr="00FC2A87">
              <w:rPr>
                <w:i/>
              </w:rPr>
              <w:t xml:space="preserve">% </w:t>
            </w:r>
            <w:r w:rsidRPr="003D4685">
              <w:rPr>
                <w:i/>
                <w:lang w:val="en-US"/>
              </w:rPr>
              <w:t>(</w:t>
            </w:r>
            <w:r w:rsidR="00E31DEF">
              <w:rPr>
                <w:i/>
              </w:rPr>
              <w:t>$</w:t>
            </w:r>
            <w:r w:rsidR="00E31DEF" w:rsidRPr="00637C8D">
              <w:rPr>
                <w:b/>
                <w:bCs/>
                <w:i/>
              </w:rPr>
              <w:t>Redacted</w:t>
            </w:r>
            <w:r w:rsidR="00E31DEF" w:rsidRPr="00637C8D">
              <w:rPr>
                <w:i/>
                <w:vertAlign w:val="superscript"/>
              </w:rPr>
              <w:t>2</w:t>
            </w:r>
            <w:r w:rsidRPr="00FC2A87">
              <w:rPr>
                <w:i/>
                <w:lang w:val="en-US"/>
              </w:rPr>
              <w:t xml:space="preserve">per QALY gained), respectively. </w:t>
            </w:r>
          </w:p>
        </w:tc>
      </w:tr>
      <w:tr w:rsidR="0080067E" w:rsidRPr="00FC2A87" w14:paraId="0918F649" w14:textId="77777777">
        <w:tc>
          <w:tcPr>
            <w:tcW w:w="1244" w:type="pct"/>
            <w:vAlign w:val="center"/>
          </w:tcPr>
          <w:p w14:paraId="63BB4F68" w14:textId="6D065D5C" w:rsidR="0080067E" w:rsidRPr="00CE28E3" w:rsidRDefault="002447F8">
            <w:pPr>
              <w:pStyle w:val="TableText"/>
              <w:rPr>
                <w:lang w:val="en-US"/>
              </w:rPr>
            </w:pPr>
            <w:r>
              <w:rPr>
                <w:lang w:val="en-US"/>
              </w:rPr>
              <w:t xml:space="preserve">Fear of </w:t>
            </w:r>
            <w:r w:rsidRPr="002B079E">
              <w:t>hypoglycaemia</w:t>
            </w:r>
            <w:r>
              <w:t xml:space="preserve"> (</w:t>
            </w:r>
            <w:r w:rsidR="0080067E">
              <w:rPr>
                <w:lang w:val="en-US"/>
              </w:rPr>
              <w:t>FoH</w:t>
            </w:r>
            <w:r>
              <w:rPr>
                <w:lang w:val="en-US"/>
              </w:rPr>
              <w:t>)</w:t>
            </w:r>
            <w:r w:rsidR="00312488">
              <w:rPr>
                <w:lang w:val="en-US"/>
              </w:rPr>
              <w:t xml:space="preserve"> </w:t>
            </w:r>
            <w:r w:rsidR="0080067E">
              <w:rPr>
                <w:lang w:val="en-US"/>
              </w:rPr>
              <w:t xml:space="preserve"> utility</w:t>
            </w:r>
          </w:p>
        </w:tc>
        <w:tc>
          <w:tcPr>
            <w:tcW w:w="2096" w:type="pct"/>
            <w:vAlign w:val="center"/>
          </w:tcPr>
          <w:p w14:paraId="23E22BEA" w14:textId="65C49CDB" w:rsidR="0080067E" w:rsidRPr="00CE28E3" w:rsidRDefault="00902671">
            <w:pPr>
              <w:pStyle w:val="TableText"/>
              <w:rPr>
                <w:lang w:val="en-US"/>
              </w:rPr>
            </w:pPr>
            <w:r>
              <w:rPr>
                <w:lang w:val="en-US"/>
              </w:rPr>
              <w:t>D</w:t>
            </w:r>
            <w:r w:rsidR="0080067E">
              <w:rPr>
                <w:lang w:val="en-US"/>
              </w:rPr>
              <w:t xml:space="preserve">isutility associated </w:t>
            </w:r>
            <w:r w:rsidR="00915D29">
              <w:rPr>
                <w:lang w:val="en-US"/>
              </w:rPr>
              <w:t>with</w:t>
            </w:r>
            <w:r w:rsidR="0080067E">
              <w:rPr>
                <w:lang w:val="en-US"/>
              </w:rPr>
              <w:t xml:space="preserve"> FoH was 0.0155, which was indicated by </w:t>
            </w:r>
            <w:r w:rsidR="0080067E" w:rsidRPr="007A6A46">
              <w:rPr>
                <w:lang w:val="en-US"/>
              </w:rPr>
              <w:t xml:space="preserve">Soriano </w:t>
            </w:r>
            <w:r w:rsidR="00BA20B2">
              <w:rPr>
                <w:lang w:val="en-US"/>
              </w:rPr>
              <w:t xml:space="preserve">and </w:t>
            </w:r>
            <w:r w:rsidR="007A6A46">
              <w:rPr>
                <w:lang w:val="en-US"/>
              </w:rPr>
              <w:t>Polonsky</w:t>
            </w:r>
            <w:r w:rsidR="007A6A46">
              <w:rPr>
                <w:rStyle w:val="FootnoteReference"/>
                <w:lang w:val="en-US"/>
              </w:rPr>
              <w:footnoteReference w:id="21"/>
            </w:r>
            <w:r w:rsidR="00F25C58">
              <w:rPr>
                <w:lang w:val="en-US"/>
              </w:rPr>
              <w:t xml:space="preserve"> </w:t>
            </w:r>
            <w:r w:rsidR="0080067E">
              <w:rPr>
                <w:lang w:val="en-US"/>
              </w:rPr>
              <w:t xml:space="preserve">for the base case. Alternative scenarios based on </w:t>
            </w:r>
            <w:r w:rsidR="0080067E" w:rsidRPr="005968FE">
              <w:rPr>
                <w:lang w:val="en-US"/>
              </w:rPr>
              <w:t>DIAMOND</w:t>
            </w:r>
            <w:r w:rsidR="005E2EAA" w:rsidRPr="005968FE">
              <w:rPr>
                <w:lang w:val="en-US"/>
              </w:rPr>
              <w:fldChar w:fldCharType="begin"/>
            </w:r>
            <w:r w:rsidR="005E2EAA" w:rsidRPr="005968FE">
              <w:rPr>
                <w:lang w:val="en-US"/>
              </w:rPr>
              <w:instrText xml:space="preserve"> NOTEREF _Ref226546296 \f \h </w:instrText>
            </w:r>
            <w:r w:rsidR="005968FE">
              <w:rPr>
                <w:lang w:val="en-US"/>
              </w:rPr>
              <w:instrText xml:space="preserve"> \* MERGEFORMAT </w:instrText>
            </w:r>
            <w:r w:rsidR="005E2EAA" w:rsidRPr="005968FE">
              <w:rPr>
                <w:lang w:val="en-US"/>
              </w:rPr>
            </w:r>
            <w:r w:rsidR="005E2EAA" w:rsidRPr="005968FE">
              <w:rPr>
                <w:lang w:val="en-US"/>
              </w:rPr>
              <w:fldChar w:fldCharType="separate"/>
            </w:r>
            <w:r w:rsidR="0098516D" w:rsidRPr="0098516D">
              <w:rPr>
                <w:rStyle w:val="FootnoteReference"/>
              </w:rPr>
              <w:t>8</w:t>
            </w:r>
            <w:r w:rsidR="005E2EAA" w:rsidRPr="005968FE">
              <w:rPr>
                <w:lang w:val="en-US"/>
              </w:rPr>
              <w:fldChar w:fldCharType="end"/>
            </w:r>
            <w:r w:rsidR="0080067E">
              <w:rPr>
                <w:lang w:val="en-US"/>
              </w:rPr>
              <w:t xml:space="preserve"> trial data (0.025) and exclusion of FoH was explored. </w:t>
            </w:r>
          </w:p>
        </w:tc>
        <w:tc>
          <w:tcPr>
            <w:tcW w:w="1660" w:type="pct"/>
            <w:vAlign w:val="center"/>
          </w:tcPr>
          <w:p w14:paraId="36BB8667" w14:textId="44216A36" w:rsidR="0080067E" w:rsidRPr="00FC2A87" w:rsidRDefault="0080067E">
            <w:pPr>
              <w:pStyle w:val="TableText"/>
              <w:rPr>
                <w:i/>
                <w:lang w:val="en-US"/>
              </w:rPr>
            </w:pPr>
            <w:r w:rsidRPr="00FC2A87">
              <w:rPr>
                <w:i/>
                <w:lang w:val="en-US"/>
              </w:rPr>
              <w:t xml:space="preserve">High, favours Dexcom ONE+ RT-CGM procedure. </w:t>
            </w:r>
          </w:p>
          <w:p w14:paraId="531FE174" w14:textId="38A3112A" w:rsidR="0080067E" w:rsidRPr="00FC2A87" w:rsidRDefault="0080067E">
            <w:pPr>
              <w:pStyle w:val="TableText"/>
              <w:rPr>
                <w:i/>
                <w:lang w:val="en-US"/>
              </w:rPr>
            </w:pPr>
            <w:r w:rsidRPr="00FC2A87">
              <w:rPr>
                <w:i/>
                <w:lang w:val="en-US"/>
              </w:rPr>
              <w:t xml:space="preserve">Use of alternative disutility </w:t>
            </w:r>
            <w:r w:rsidR="00810A36">
              <w:rPr>
                <w:i/>
                <w:lang w:val="en-US"/>
              </w:rPr>
              <w:t>for</w:t>
            </w:r>
            <w:r w:rsidRPr="00FC2A87">
              <w:rPr>
                <w:i/>
                <w:lang w:val="en-US"/>
              </w:rPr>
              <w:t xml:space="preserve"> FoH as indicated by DIAMOND trial (0.025) reduced the </w:t>
            </w:r>
            <w:r w:rsidRPr="003D4685">
              <w:rPr>
                <w:i/>
                <w:lang w:val="en-US"/>
              </w:rPr>
              <w:t xml:space="preserve">ICER by </w:t>
            </w:r>
            <w:r w:rsidR="00E82023">
              <w:rPr>
                <w:b/>
                <w:bCs/>
                <w:i/>
              </w:rPr>
              <w:t>redacted</w:t>
            </w:r>
            <w:r w:rsidR="00E82023" w:rsidRPr="00FC2A87">
              <w:rPr>
                <w:i/>
              </w:rPr>
              <w:t xml:space="preserve">% </w:t>
            </w:r>
            <w:r w:rsidRPr="00FC2A87">
              <w:rPr>
                <w:i/>
                <w:lang w:val="en-US"/>
              </w:rPr>
              <w:t>(</w:t>
            </w:r>
            <w:r w:rsidR="00E31DEF">
              <w:rPr>
                <w:i/>
              </w:rPr>
              <w:t>$</w:t>
            </w:r>
            <w:r w:rsidR="00E31DEF" w:rsidRPr="00637C8D">
              <w:rPr>
                <w:b/>
                <w:bCs/>
                <w:i/>
              </w:rPr>
              <w:t>Redacted</w:t>
            </w:r>
            <w:r w:rsidR="00E31DEF">
              <w:rPr>
                <w:i/>
                <w:vertAlign w:val="superscript"/>
              </w:rPr>
              <w:t>1</w:t>
            </w:r>
            <w:r w:rsidRPr="00FC2A87">
              <w:rPr>
                <w:i/>
                <w:lang w:val="en-US"/>
              </w:rPr>
              <w:t xml:space="preserve">per QALY gained) compared to base case. However, exclusion of FoH generated around </w:t>
            </w:r>
            <w:r w:rsidR="00E82023">
              <w:rPr>
                <w:b/>
                <w:bCs/>
                <w:i/>
              </w:rPr>
              <w:t>redacted</w:t>
            </w:r>
            <w:r w:rsidR="00E82023" w:rsidRPr="00FC2A87">
              <w:rPr>
                <w:i/>
              </w:rPr>
              <w:t xml:space="preserve">% </w:t>
            </w:r>
            <w:r w:rsidRPr="003D4685">
              <w:rPr>
                <w:i/>
                <w:lang w:val="en-US"/>
              </w:rPr>
              <w:t xml:space="preserve"> </w:t>
            </w:r>
            <w:r w:rsidR="00B61232" w:rsidRPr="003D4685">
              <w:rPr>
                <w:i/>
                <w:lang w:val="en-US"/>
              </w:rPr>
              <w:t>higher</w:t>
            </w:r>
            <w:r w:rsidR="00B61232" w:rsidRPr="00FC2A87">
              <w:rPr>
                <w:i/>
                <w:lang w:val="en-US"/>
              </w:rPr>
              <w:t xml:space="preserve"> ICER </w:t>
            </w:r>
            <w:r w:rsidRPr="00E31DEF">
              <w:rPr>
                <w:i/>
                <w:lang w:val="en-US"/>
              </w:rPr>
              <w:t>(</w:t>
            </w:r>
            <w:r w:rsidR="00E31DEF">
              <w:rPr>
                <w:i/>
              </w:rPr>
              <w:t>$</w:t>
            </w:r>
            <w:r w:rsidR="00E31DEF" w:rsidRPr="00637C8D">
              <w:rPr>
                <w:b/>
                <w:bCs/>
                <w:i/>
              </w:rPr>
              <w:t>Redacted</w:t>
            </w:r>
            <w:r w:rsidR="00E31DEF" w:rsidRPr="00637C8D">
              <w:rPr>
                <w:i/>
                <w:vertAlign w:val="superscript"/>
              </w:rPr>
              <w:t>2</w:t>
            </w:r>
            <w:r w:rsidRPr="00FC2A87">
              <w:rPr>
                <w:i/>
                <w:lang w:val="en-US"/>
              </w:rPr>
              <w:t xml:space="preserve"> per QALY gained) compared to base case.</w:t>
            </w:r>
          </w:p>
        </w:tc>
      </w:tr>
      <w:tr w:rsidR="0080067E" w:rsidRPr="00FC2A87" w14:paraId="701DBDC3" w14:textId="77777777">
        <w:tc>
          <w:tcPr>
            <w:tcW w:w="1244" w:type="pct"/>
            <w:vAlign w:val="center"/>
          </w:tcPr>
          <w:p w14:paraId="1DAD0B83" w14:textId="32A5234C" w:rsidR="0080067E" w:rsidRPr="00C347B1" w:rsidRDefault="0080067E">
            <w:pPr>
              <w:pStyle w:val="TableText"/>
              <w:rPr>
                <w:lang w:val="en-US"/>
              </w:rPr>
            </w:pPr>
            <w:r w:rsidRPr="00C347B1">
              <w:t xml:space="preserve">DKA </w:t>
            </w:r>
            <w:r>
              <w:t xml:space="preserve">and </w:t>
            </w:r>
            <w:r w:rsidR="00495EC6">
              <w:t xml:space="preserve">severe </w:t>
            </w:r>
            <w:r w:rsidR="006A0552">
              <w:t>hypoglycaemic</w:t>
            </w:r>
            <w:r w:rsidR="007B558E">
              <w:t xml:space="preserve"> events</w:t>
            </w:r>
            <w:r w:rsidR="006A0552">
              <w:t xml:space="preserve"> (SHE</w:t>
            </w:r>
            <w:r w:rsidRPr="00C347B1">
              <w:t xml:space="preserve"> </w:t>
            </w:r>
            <w:r>
              <w:t>i</w:t>
            </w:r>
            <w:r w:rsidRPr="00C347B1">
              <w:t xml:space="preserve">ncidence </w:t>
            </w:r>
            <w:r>
              <w:t>a</w:t>
            </w:r>
            <w:r w:rsidRPr="00C347B1">
              <w:t>nd FoH</w:t>
            </w:r>
          </w:p>
        </w:tc>
        <w:tc>
          <w:tcPr>
            <w:tcW w:w="2096" w:type="pct"/>
            <w:vAlign w:val="center"/>
          </w:tcPr>
          <w:p w14:paraId="129F74E3" w14:textId="3E6C5291" w:rsidR="0080067E" w:rsidRDefault="0080067E">
            <w:pPr>
              <w:pStyle w:val="TableText"/>
              <w:rPr>
                <w:lang w:val="en-US"/>
              </w:rPr>
            </w:pPr>
            <w:r>
              <w:rPr>
                <w:lang w:val="en-US"/>
              </w:rPr>
              <w:t xml:space="preserve">Similar to </w:t>
            </w:r>
            <w:r w:rsidR="005500C9">
              <w:rPr>
                <w:lang w:val="en-US"/>
              </w:rPr>
              <w:t>original</w:t>
            </w:r>
            <w:r>
              <w:rPr>
                <w:lang w:val="en-US"/>
              </w:rPr>
              <w:t xml:space="preserve"> </w:t>
            </w:r>
            <w:r w:rsidR="00387D92">
              <w:rPr>
                <w:lang w:val="en-US"/>
              </w:rPr>
              <w:t xml:space="preserve">ADAR </w:t>
            </w:r>
            <w:r>
              <w:rPr>
                <w:lang w:val="en-US"/>
              </w:rPr>
              <w:t>submission, risk of DKA and SHE for base case was 2.5% and 4%, respectively. This evidence was informed by Kater et al (2021)</w:t>
            </w:r>
            <w:r w:rsidR="009233CC" w:rsidRPr="009233CC">
              <w:rPr>
                <w:vertAlign w:val="superscript"/>
                <w:lang w:val="en-US"/>
              </w:rPr>
              <w:fldChar w:fldCharType="begin"/>
            </w:r>
            <w:r w:rsidR="009233CC" w:rsidRPr="009233CC">
              <w:rPr>
                <w:vertAlign w:val="superscript"/>
                <w:lang w:val="en-US"/>
              </w:rPr>
              <w:instrText xml:space="preserve"> NOTEREF _Ref229148172 \h </w:instrText>
            </w:r>
            <w:r w:rsidR="009233CC">
              <w:rPr>
                <w:vertAlign w:val="superscript"/>
                <w:lang w:val="en-US"/>
              </w:rPr>
              <w:instrText xml:space="preserve"> \* MERGEFORMAT </w:instrText>
            </w:r>
            <w:r w:rsidR="009233CC" w:rsidRPr="009233CC">
              <w:rPr>
                <w:vertAlign w:val="superscript"/>
                <w:lang w:val="en-US"/>
              </w:rPr>
            </w:r>
            <w:r w:rsidR="009233CC" w:rsidRPr="009233CC">
              <w:rPr>
                <w:vertAlign w:val="superscript"/>
                <w:lang w:val="en-US"/>
              </w:rPr>
              <w:fldChar w:fldCharType="separate"/>
            </w:r>
            <w:r w:rsidR="009233CC" w:rsidRPr="009233CC">
              <w:rPr>
                <w:vertAlign w:val="superscript"/>
                <w:lang w:val="en-US"/>
              </w:rPr>
              <w:t>15</w:t>
            </w:r>
            <w:r w:rsidR="009233CC" w:rsidRPr="009233CC">
              <w:rPr>
                <w:vertAlign w:val="superscript"/>
                <w:lang w:val="en-US"/>
              </w:rPr>
              <w:fldChar w:fldCharType="end"/>
            </w:r>
            <w:r>
              <w:rPr>
                <w:lang w:val="en-US"/>
              </w:rPr>
              <w:t xml:space="preserve">. </w:t>
            </w:r>
          </w:p>
          <w:p w14:paraId="378CBDC2" w14:textId="77777777" w:rsidR="00D14597" w:rsidRDefault="0080067E">
            <w:pPr>
              <w:pStyle w:val="TableText"/>
              <w:rPr>
                <w:lang w:val="en-US"/>
              </w:rPr>
            </w:pPr>
            <w:r w:rsidRPr="00692CE0">
              <w:rPr>
                <w:lang w:val="en-US"/>
              </w:rPr>
              <w:lastRenderedPageBreak/>
              <w:t>An alternative scenario was tested by assuming 50% reduction of incidence on DKA</w:t>
            </w:r>
            <w:r>
              <w:rPr>
                <w:lang w:val="en-US"/>
              </w:rPr>
              <w:t xml:space="preserve"> and </w:t>
            </w:r>
            <w:r w:rsidRPr="00692CE0">
              <w:rPr>
                <w:lang w:val="en-US"/>
              </w:rPr>
              <w:t>SHE</w:t>
            </w:r>
            <w:r>
              <w:rPr>
                <w:lang w:val="en-US"/>
              </w:rPr>
              <w:t xml:space="preserve"> in SMBG arm</w:t>
            </w:r>
            <w:r w:rsidRPr="00692CE0">
              <w:rPr>
                <w:lang w:val="en-US"/>
              </w:rPr>
              <w:t xml:space="preserve"> and FoH in the RT-CGM arm. </w:t>
            </w:r>
          </w:p>
          <w:p w14:paraId="0A53E935" w14:textId="41B1C174" w:rsidR="0080067E" w:rsidRPr="00692CE0" w:rsidRDefault="00D14597">
            <w:pPr>
              <w:pStyle w:val="TableText"/>
              <w:rPr>
                <w:highlight w:val="yellow"/>
                <w:lang w:val="en-US"/>
              </w:rPr>
            </w:pPr>
            <w:r>
              <w:rPr>
                <w:lang w:val="en-US"/>
              </w:rPr>
              <w:t>A</w:t>
            </w:r>
            <w:r w:rsidR="0080067E" w:rsidRPr="00692CE0">
              <w:rPr>
                <w:lang w:val="en-US"/>
              </w:rPr>
              <w:t xml:space="preserve">nother scenario was </w:t>
            </w:r>
            <w:r w:rsidR="0080067E">
              <w:rPr>
                <w:lang w:val="en-US"/>
              </w:rPr>
              <w:t>tested</w:t>
            </w:r>
            <w:r w:rsidR="0080067E" w:rsidRPr="00692CE0">
              <w:rPr>
                <w:lang w:val="en-US"/>
              </w:rPr>
              <w:t xml:space="preserve"> with the exclusion of incidence on DKA, SHE and FoH in the RT-CGM arm.</w:t>
            </w:r>
          </w:p>
        </w:tc>
        <w:tc>
          <w:tcPr>
            <w:tcW w:w="1660" w:type="pct"/>
            <w:vAlign w:val="center"/>
          </w:tcPr>
          <w:p w14:paraId="50264755" w14:textId="121092AE" w:rsidR="0080067E" w:rsidRPr="00FC2A87" w:rsidRDefault="0080067E">
            <w:pPr>
              <w:pStyle w:val="TableText"/>
              <w:rPr>
                <w:i/>
                <w:lang w:val="en-US"/>
              </w:rPr>
            </w:pPr>
            <w:r w:rsidRPr="00FC2A87">
              <w:rPr>
                <w:i/>
                <w:lang w:val="en-US"/>
              </w:rPr>
              <w:lastRenderedPageBreak/>
              <w:t xml:space="preserve">High, favours SMBG arm. </w:t>
            </w:r>
          </w:p>
          <w:p w14:paraId="678B60BE" w14:textId="0DD11A6A" w:rsidR="0080067E" w:rsidRPr="00FC2A87" w:rsidRDefault="0080067E">
            <w:pPr>
              <w:pStyle w:val="TableText"/>
              <w:rPr>
                <w:i/>
                <w:lang w:val="en-US"/>
              </w:rPr>
            </w:pPr>
            <w:r w:rsidRPr="00FC2A87">
              <w:rPr>
                <w:i/>
                <w:lang w:val="en-US"/>
              </w:rPr>
              <w:t>Use of 50% reduction of DKA</w:t>
            </w:r>
            <w:r>
              <w:rPr>
                <w:i/>
                <w:lang w:val="en-US"/>
              </w:rPr>
              <w:t xml:space="preserve"> and </w:t>
            </w:r>
            <w:r w:rsidRPr="00FC2A87">
              <w:rPr>
                <w:i/>
                <w:lang w:val="en-US"/>
              </w:rPr>
              <w:t>SHE</w:t>
            </w:r>
            <w:r>
              <w:rPr>
                <w:i/>
                <w:lang w:val="en-US"/>
              </w:rPr>
              <w:t xml:space="preserve"> in SMBG arm </w:t>
            </w:r>
            <w:r w:rsidRPr="00FC2A87">
              <w:rPr>
                <w:i/>
                <w:lang w:val="en-US"/>
              </w:rPr>
              <w:t xml:space="preserve">and FoH in the RT-CGM arm increased the </w:t>
            </w:r>
            <w:r w:rsidRPr="003D4685">
              <w:rPr>
                <w:i/>
                <w:lang w:val="en-US"/>
              </w:rPr>
              <w:t xml:space="preserve">ICER by </w:t>
            </w:r>
            <w:r w:rsidR="00E82023">
              <w:rPr>
                <w:b/>
                <w:bCs/>
                <w:i/>
              </w:rPr>
              <w:t>redacted</w:t>
            </w:r>
            <w:r w:rsidR="00E82023" w:rsidRPr="00FC2A87">
              <w:rPr>
                <w:i/>
              </w:rPr>
              <w:t xml:space="preserve">% </w:t>
            </w:r>
            <w:r w:rsidRPr="003D4685">
              <w:rPr>
                <w:i/>
                <w:lang w:val="en-US"/>
              </w:rPr>
              <w:lastRenderedPageBreak/>
              <w:t>(</w:t>
            </w:r>
            <w:r w:rsidR="00E31DEF">
              <w:rPr>
                <w:i/>
              </w:rPr>
              <w:t>$</w:t>
            </w:r>
            <w:r w:rsidR="00E31DEF" w:rsidRPr="00637C8D">
              <w:rPr>
                <w:b/>
                <w:bCs/>
                <w:i/>
              </w:rPr>
              <w:t>Redacted</w:t>
            </w:r>
            <w:r w:rsidR="00E31DEF" w:rsidRPr="00637C8D">
              <w:rPr>
                <w:i/>
                <w:vertAlign w:val="superscript"/>
              </w:rPr>
              <w:t>2</w:t>
            </w:r>
            <w:r w:rsidRPr="00FC2A87">
              <w:rPr>
                <w:i/>
                <w:lang w:val="en-US"/>
              </w:rPr>
              <w:t xml:space="preserve">per QALY gained) compared to base case. </w:t>
            </w:r>
          </w:p>
          <w:p w14:paraId="690B4332" w14:textId="6C649D75" w:rsidR="0080067E" w:rsidRPr="00FC2A87" w:rsidRDefault="0080067E">
            <w:pPr>
              <w:pStyle w:val="TableText"/>
              <w:rPr>
                <w:i/>
                <w:lang w:val="en-US"/>
              </w:rPr>
            </w:pPr>
            <w:r w:rsidRPr="00FC2A87">
              <w:rPr>
                <w:i/>
                <w:lang w:val="en-US"/>
              </w:rPr>
              <w:t xml:space="preserve">An alternative scenario with the exclusion of those events increased the ICER </w:t>
            </w:r>
            <w:r w:rsidRPr="003D4685">
              <w:rPr>
                <w:i/>
                <w:lang w:val="en-US"/>
              </w:rPr>
              <w:t xml:space="preserve">by </w:t>
            </w:r>
            <w:r w:rsidR="00E82023">
              <w:rPr>
                <w:b/>
                <w:bCs/>
                <w:i/>
              </w:rPr>
              <w:t>redacted</w:t>
            </w:r>
            <w:r w:rsidR="00E82023" w:rsidRPr="00FC2A87">
              <w:rPr>
                <w:i/>
              </w:rPr>
              <w:t xml:space="preserve">% </w:t>
            </w:r>
            <w:r w:rsidRPr="003D4685">
              <w:rPr>
                <w:i/>
                <w:lang w:val="en-US"/>
              </w:rPr>
              <w:t>(</w:t>
            </w:r>
            <w:r w:rsidR="00E31DEF">
              <w:rPr>
                <w:i/>
              </w:rPr>
              <w:t>$</w:t>
            </w:r>
            <w:r w:rsidR="00E31DEF" w:rsidRPr="00637C8D">
              <w:rPr>
                <w:b/>
                <w:bCs/>
                <w:i/>
              </w:rPr>
              <w:t>Redacted</w:t>
            </w:r>
            <w:r w:rsidR="00E31DEF">
              <w:rPr>
                <w:i/>
                <w:vertAlign w:val="superscript"/>
              </w:rPr>
              <w:t>3</w:t>
            </w:r>
            <w:r w:rsidRPr="00E70EEE">
              <w:rPr>
                <w:i/>
                <w:lang w:val="en-US"/>
              </w:rPr>
              <w:t xml:space="preserve"> per</w:t>
            </w:r>
            <w:r w:rsidRPr="00FC2A87">
              <w:rPr>
                <w:i/>
                <w:lang w:val="en-US"/>
              </w:rPr>
              <w:t xml:space="preserve"> QALY gained) compared to base case. </w:t>
            </w:r>
          </w:p>
        </w:tc>
      </w:tr>
      <w:tr w:rsidR="0080067E" w:rsidRPr="00FC2A87" w14:paraId="1AA5BB1A" w14:textId="77777777">
        <w:tc>
          <w:tcPr>
            <w:tcW w:w="1244" w:type="pct"/>
            <w:vAlign w:val="center"/>
          </w:tcPr>
          <w:p w14:paraId="4005D18F" w14:textId="77777777" w:rsidR="0080067E" w:rsidRPr="00C347B1" w:rsidRDefault="0080067E">
            <w:pPr>
              <w:pStyle w:val="TableText"/>
            </w:pPr>
            <w:r w:rsidRPr="001A0218">
              <w:lastRenderedPageBreak/>
              <w:t>Renal complications</w:t>
            </w:r>
          </w:p>
        </w:tc>
        <w:tc>
          <w:tcPr>
            <w:tcW w:w="2096" w:type="pct"/>
            <w:vAlign w:val="center"/>
          </w:tcPr>
          <w:p w14:paraId="3A452E32" w14:textId="14144E9A" w:rsidR="0080067E" w:rsidRDefault="0080067E">
            <w:pPr>
              <w:pStyle w:val="TableText"/>
              <w:rPr>
                <w:lang w:val="en-US"/>
              </w:rPr>
            </w:pPr>
            <w:r w:rsidRPr="001A0218">
              <w:rPr>
                <w:lang w:val="en-US"/>
              </w:rPr>
              <w:t xml:space="preserve">Similar to the </w:t>
            </w:r>
            <w:r w:rsidR="005500C9">
              <w:rPr>
                <w:lang w:val="en-US"/>
              </w:rPr>
              <w:t>original</w:t>
            </w:r>
            <w:r w:rsidRPr="001A0218">
              <w:rPr>
                <w:lang w:val="en-US"/>
              </w:rPr>
              <w:t xml:space="preserve"> </w:t>
            </w:r>
            <w:r w:rsidR="00387D92">
              <w:rPr>
                <w:lang w:val="en-US"/>
              </w:rPr>
              <w:t>ADAR</w:t>
            </w:r>
            <w:r w:rsidRPr="001A0218">
              <w:rPr>
                <w:lang w:val="en-US"/>
              </w:rPr>
              <w:t xml:space="preserve"> submission, the renal complication was not tested in the uncertainty analysis. The relative risk of end stage renal disease was 15% lower in RT-CGM arm compared to SMBG arm; however, the incremental cost of renal complications was $1,386</w:t>
            </w:r>
            <w:r>
              <w:rPr>
                <w:lang w:val="en-US"/>
              </w:rPr>
              <w:t xml:space="preserve"> (i.e. 19.03% of total incremental cost)</w:t>
            </w:r>
            <w:r w:rsidRPr="001A0218">
              <w:rPr>
                <w:lang w:val="en-US"/>
              </w:rPr>
              <w:t xml:space="preserve">, instrumental in offsetting the higher cost of RT-CGM. </w:t>
            </w:r>
          </w:p>
        </w:tc>
        <w:tc>
          <w:tcPr>
            <w:tcW w:w="1660" w:type="pct"/>
            <w:vAlign w:val="center"/>
          </w:tcPr>
          <w:p w14:paraId="0B0A0670" w14:textId="664A6060" w:rsidR="0080067E" w:rsidRPr="00FC2A87" w:rsidRDefault="0080067E">
            <w:pPr>
              <w:pStyle w:val="TableText"/>
              <w:rPr>
                <w:i/>
                <w:lang w:val="en-US"/>
              </w:rPr>
            </w:pPr>
            <w:r w:rsidRPr="00FC2A87">
              <w:rPr>
                <w:i/>
                <w:lang w:val="en-US"/>
              </w:rPr>
              <w:t xml:space="preserve">Potentially high impact; </w:t>
            </w:r>
            <w:r w:rsidRPr="00FC2A87">
              <w:rPr>
                <w:i/>
              </w:rPr>
              <w:t>direction of effect unclear. Risk of renal complication and incremental cost are directly associated (i.e. with each increasing incidence of renal complication, estimated cost saving increases), indicating renal complication</w:t>
            </w:r>
            <w:r w:rsidR="00D4157F">
              <w:rPr>
                <w:i/>
              </w:rPr>
              <w:t>s</w:t>
            </w:r>
            <w:r w:rsidRPr="00FC2A87">
              <w:rPr>
                <w:i/>
              </w:rPr>
              <w:t xml:space="preserve"> could be significant drivers. </w:t>
            </w:r>
          </w:p>
        </w:tc>
      </w:tr>
      <w:tr w:rsidR="0080067E" w:rsidRPr="00CE28E3" w14:paraId="3207A524" w14:textId="77777777" w:rsidTr="000E2889">
        <w:tc>
          <w:tcPr>
            <w:tcW w:w="5000" w:type="pct"/>
            <w:gridSpan w:val="3"/>
            <w:shd w:val="clear" w:color="auto" w:fill="D9D9D9" w:themeFill="background1" w:themeFillShade="D9"/>
          </w:tcPr>
          <w:p w14:paraId="630781B3" w14:textId="77777777" w:rsidR="0080067E" w:rsidRPr="002F28BD" w:rsidRDefault="0080067E" w:rsidP="000E2889">
            <w:pPr>
              <w:pStyle w:val="In-tableHeading"/>
              <w:jc w:val="center"/>
            </w:pPr>
            <w:r>
              <w:t>Non-</w:t>
            </w:r>
            <w:r w:rsidRPr="002F28BD">
              <w:t>IIT subpopulation</w:t>
            </w:r>
          </w:p>
        </w:tc>
      </w:tr>
      <w:tr w:rsidR="0080067E" w:rsidRPr="00CE28E3" w14:paraId="68666941" w14:textId="77777777" w:rsidTr="000E2889">
        <w:tc>
          <w:tcPr>
            <w:tcW w:w="1244" w:type="pct"/>
            <w:shd w:val="clear" w:color="auto" w:fill="D9D9D9" w:themeFill="background1" w:themeFillShade="D9"/>
          </w:tcPr>
          <w:p w14:paraId="6A572C3E" w14:textId="77777777" w:rsidR="0080067E" w:rsidRPr="00C347B1" w:rsidRDefault="0080067E" w:rsidP="000E2889">
            <w:pPr>
              <w:pStyle w:val="In-tableHeading"/>
              <w:jc w:val="center"/>
            </w:pPr>
            <w:r w:rsidRPr="00C347B1">
              <w:t>Description</w:t>
            </w:r>
          </w:p>
        </w:tc>
        <w:tc>
          <w:tcPr>
            <w:tcW w:w="2096" w:type="pct"/>
            <w:shd w:val="clear" w:color="auto" w:fill="D9D9D9" w:themeFill="background1" w:themeFillShade="D9"/>
          </w:tcPr>
          <w:p w14:paraId="2D494262" w14:textId="77777777" w:rsidR="0080067E" w:rsidRPr="00C347B1" w:rsidRDefault="0080067E" w:rsidP="000E2889">
            <w:pPr>
              <w:pStyle w:val="In-tableHeading"/>
              <w:jc w:val="center"/>
            </w:pPr>
            <w:r w:rsidRPr="00C347B1">
              <w:t>Method/Value</w:t>
            </w:r>
          </w:p>
        </w:tc>
        <w:tc>
          <w:tcPr>
            <w:tcW w:w="1660" w:type="pct"/>
            <w:shd w:val="clear" w:color="auto" w:fill="D9D9D9" w:themeFill="background1" w:themeFillShade="D9"/>
          </w:tcPr>
          <w:p w14:paraId="6E8466BE" w14:textId="5EBD4D87" w:rsidR="0080067E" w:rsidRPr="00C347B1" w:rsidRDefault="0080067E" w:rsidP="000E2889">
            <w:pPr>
              <w:pStyle w:val="In-tableHeading"/>
              <w:jc w:val="center"/>
            </w:pPr>
            <w:r w:rsidRPr="00C347B1">
              <w:rPr>
                <w:rFonts w:cs="Arial"/>
                <w:szCs w:val="20"/>
              </w:rPr>
              <w:t>Base case:</w:t>
            </w:r>
            <w:r w:rsidR="00B335C5">
              <w:rPr>
                <w:rFonts w:cs="Arial"/>
                <w:szCs w:val="20"/>
              </w:rPr>
              <w:t xml:space="preserve"> $Redacted</w:t>
            </w:r>
            <w:r w:rsidR="00B335C5" w:rsidRPr="00E70EEE">
              <w:rPr>
                <w:rFonts w:cs="Arial"/>
                <w:b w:val="0"/>
                <w:bCs/>
                <w:szCs w:val="20"/>
                <w:vertAlign w:val="superscript"/>
              </w:rPr>
              <w:t>3</w:t>
            </w:r>
            <w:r w:rsidRPr="00E70EEE">
              <w:rPr>
                <w:rFonts w:cs="Arial"/>
                <w:szCs w:val="20"/>
              </w:rPr>
              <w:t>/QALY</w:t>
            </w:r>
            <w:r w:rsidRPr="00C347B1">
              <w:rPr>
                <w:rFonts w:cs="Arial"/>
                <w:szCs w:val="20"/>
              </w:rPr>
              <w:t xml:space="preserve"> gained</w:t>
            </w:r>
          </w:p>
        </w:tc>
      </w:tr>
      <w:tr w:rsidR="0080067E" w:rsidRPr="00CE28E3" w14:paraId="59DA0A7E" w14:textId="77777777">
        <w:tc>
          <w:tcPr>
            <w:tcW w:w="1244" w:type="pct"/>
            <w:vAlign w:val="center"/>
          </w:tcPr>
          <w:p w14:paraId="3BE0C18C" w14:textId="77777777" w:rsidR="0080067E" w:rsidRPr="00C347B1" w:rsidRDefault="0080067E">
            <w:pPr>
              <w:pStyle w:val="TableText"/>
              <w:rPr>
                <w:b/>
                <w:bCs/>
              </w:rPr>
            </w:pPr>
            <w:r>
              <w:t>Time horizon</w:t>
            </w:r>
          </w:p>
        </w:tc>
        <w:tc>
          <w:tcPr>
            <w:tcW w:w="2096" w:type="pct"/>
            <w:vAlign w:val="center"/>
          </w:tcPr>
          <w:p w14:paraId="386DF705" w14:textId="77777777" w:rsidR="0080067E" w:rsidRPr="00C347B1" w:rsidRDefault="0080067E">
            <w:pPr>
              <w:pStyle w:val="TableText"/>
              <w:rPr>
                <w:b/>
                <w:bCs/>
              </w:rPr>
            </w:pPr>
            <w:r>
              <w:rPr>
                <w:lang w:val="en-US"/>
              </w:rPr>
              <w:t>Lifetime time horizon was applied for the base case model. The time horizons on 10-year, 20-year and 30-year were varied. The 20-year and 30-year time horizons reported favorable outcomes. Extrapolation on short-term (i.e. 10-year) time horizons remain uncertain.</w:t>
            </w:r>
          </w:p>
        </w:tc>
        <w:tc>
          <w:tcPr>
            <w:tcW w:w="1660" w:type="pct"/>
            <w:vAlign w:val="center"/>
          </w:tcPr>
          <w:p w14:paraId="6DAA4884" w14:textId="6A1824FD" w:rsidR="0080067E" w:rsidRDefault="0080067E">
            <w:pPr>
              <w:pStyle w:val="TableText"/>
              <w:spacing w:after="160"/>
              <w:rPr>
                <w:i/>
                <w:lang w:val="en-US"/>
              </w:rPr>
            </w:pPr>
            <w:r>
              <w:rPr>
                <w:i/>
                <w:lang w:val="en-US"/>
              </w:rPr>
              <w:t xml:space="preserve">High, favours Dexcom ONE+ RT-CGM procedure. </w:t>
            </w:r>
          </w:p>
          <w:p w14:paraId="38ACD7A8" w14:textId="0D01D3D3" w:rsidR="0080067E" w:rsidRPr="00C347B1" w:rsidRDefault="0080067E">
            <w:pPr>
              <w:pStyle w:val="TableText"/>
              <w:rPr>
                <w:rFonts w:cs="Arial"/>
                <w:b/>
                <w:bCs/>
                <w:szCs w:val="20"/>
              </w:rPr>
            </w:pPr>
            <w:r w:rsidRPr="00683F37">
              <w:rPr>
                <w:i/>
              </w:rPr>
              <w:t>The base case</w:t>
            </w:r>
            <w:r>
              <w:rPr>
                <w:i/>
              </w:rPr>
              <w:t xml:space="preserve">, 30-year and 20-year </w:t>
            </w:r>
            <w:r w:rsidRPr="00683F37">
              <w:rPr>
                <w:i/>
              </w:rPr>
              <w:t xml:space="preserve">extrapolation may favour </w:t>
            </w:r>
            <w:r>
              <w:rPr>
                <w:i/>
              </w:rPr>
              <w:t>RT-CGM, yielding equivalent ICER (</w:t>
            </w:r>
            <w:r w:rsidR="00B335C5">
              <w:rPr>
                <w:i/>
              </w:rPr>
              <w:t>$</w:t>
            </w:r>
            <w:r w:rsidR="00B335C5" w:rsidRPr="00637C8D">
              <w:rPr>
                <w:b/>
                <w:bCs/>
                <w:i/>
              </w:rPr>
              <w:t>Redacted</w:t>
            </w:r>
            <w:r w:rsidR="00B335C5">
              <w:rPr>
                <w:i/>
                <w:vertAlign w:val="superscript"/>
              </w:rPr>
              <w:t>3</w:t>
            </w:r>
            <w:r>
              <w:rPr>
                <w:i/>
              </w:rPr>
              <w:t xml:space="preserve">per QALY gained) </w:t>
            </w:r>
            <w:r w:rsidRPr="00E70EEE">
              <w:rPr>
                <w:i/>
              </w:rPr>
              <w:t xml:space="preserve">and </w:t>
            </w:r>
            <w:r w:rsidR="00E82023">
              <w:rPr>
                <w:b/>
                <w:bCs/>
                <w:i/>
              </w:rPr>
              <w:t>redacted</w:t>
            </w:r>
            <w:r w:rsidR="00E82023" w:rsidRPr="00FC2A87">
              <w:rPr>
                <w:i/>
              </w:rPr>
              <w:t xml:space="preserve">% </w:t>
            </w:r>
            <w:r w:rsidR="009024C7">
              <w:rPr>
                <w:i/>
              </w:rPr>
              <w:t xml:space="preserve">higher ICER </w:t>
            </w:r>
            <w:r>
              <w:rPr>
                <w:i/>
              </w:rPr>
              <w:t>(</w:t>
            </w:r>
            <w:r w:rsidR="00B335C5">
              <w:rPr>
                <w:i/>
              </w:rPr>
              <w:t>$</w:t>
            </w:r>
            <w:r w:rsidR="00B335C5" w:rsidRPr="00637C8D">
              <w:rPr>
                <w:b/>
                <w:bCs/>
                <w:i/>
              </w:rPr>
              <w:t>Redacted</w:t>
            </w:r>
            <w:r w:rsidR="00B335C5">
              <w:rPr>
                <w:i/>
                <w:vertAlign w:val="superscript"/>
              </w:rPr>
              <w:t>3</w:t>
            </w:r>
            <w:r>
              <w:rPr>
                <w:i/>
              </w:rPr>
              <w:t xml:space="preserve">per QALY gained) compared to base case, respectively. Use of 10-year time horizons generates higher ICER </w:t>
            </w:r>
            <w:r w:rsidRPr="003D4685">
              <w:rPr>
                <w:i/>
              </w:rPr>
              <w:t xml:space="preserve">of </w:t>
            </w:r>
            <w:r w:rsidR="00E82023">
              <w:rPr>
                <w:b/>
                <w:bCs/>
                <w:i/>
              </w:rPr>
              <w:t>redacted</w:t>
            </w:r>
            <w:r w:rsidR="00E82023" w:rsidRPr="00FC2A87">
              <w:rPr>
                <w:i/>
              </w:rPr>
              <w:t xml:space="preserve">% </w:t>
            </w:r>
            <w:r>
              <w:rPr>
                <w:i/>
              </w:rPr>
              <w:t>(</w:t>
            </w:r>
            <w:r w:rsidR="00CC572C">
              <w:rPr>
                <w:i/>
              </w:rPr>
              <w:t>$</w:t>
            </w:r>
            <w:r w:rsidR="00CC572C" w:rsidRPr="00637C8D">
              <w:rPr>
                <w:b/>
                <w:bCs/>
                <w:i/>
              </w:rPr>
              <w:t>Redacted</w:t>
            </w:r>
            <w:r w:rsidR="00CC572C">
              <w:rPr>
                <w:i/>
                <w:vertAlign w:val="superscript"/>
              </w:rPr>
              <w:t xml:space="preserve">4 </w:t>
            </w:r>
            <w:r>
              <w:rPr>
                <w:i/>
              </w:rPr>
              <w:t xml:space="preserve">per QALY gained) compared to base case. </w:t>
            </w:r>
          </w:p>
        </w:tc>
      </w:tr>
      <w:tr w:rsidR="0080067E" w:rsidRPr="00CE28E3" w14:paraId="251D89A5" w14:textId="77777777">
        <w:tc>
          <w:tcPr>
            <w:tcW w:w="1244" w:type="pct"/>
            <w:vAlign w:val="center"/>
          </w:tcPr>
          <w:p w14:paraId="1CD16209" w14:textId="77777777" w:rsidR="0080067E" w:rsidRPr="00CE28E3" w:rsidRDefault="0080067E">
            <w:pPr>
              <w:pStyle w:val="TableText"/>
              <w:rPr>
                <w:lang w:val="en-US"/>
              </w:rPr>
            </w:pPr>
            <w:r>
              <w:rPr>
                <w:lang w:val="en-US"/>
              </w:rPr>
              <w:t>HbA1c treatment effects</w:t>
            </w:r>
          </w:p>
        </w:tc>
        <w:tc>
          <w:tcPr>
            <w:tcW w:w="2096" w:type="pct"/>
            <w:vAlign w:val="center"/>
          </w:tcPr>
          <w:p w14:paraId="27AABA14" w14:textId="26E27BBB" w:rsidR="0080067E" w:rsidRPr="00CE28E3" w:rsidRDefault="0080067E">
            <w:pPr>
              <w:pStyle w:val="TableText"/>
              <w:rPr>
                <w:lang w:val="en-US"/>
              </w:rPr>
            </w:pPr>
            <w:r>
              <w:rPr>
                <w:lang w:val="en-US"/>
              </w:rPr>
              <w:t xml:space="preserve">Resubmitted base case applied −0.4% as informed by </w:t>
            </w:r>
            <w:r w:rsidRPr="006C5E84">
              <w:rPr>
                <w:lang w:val="en-US"/>
              </w:rPr>
              <w:t>MOBILE</w:t>
            </w:r>
            <w:r w:rsidR="006C5E84" w:rsidRPr="006C5E84">
              <w:rPr>
                <w:lang w:val="en-US"/>
              </w:rPr>
              <w:fldChar w:fldCharType="begin"/>
            </w:r>
            <w:r w:rsidR="006C5E84" w:rsidRPr="006C5E84">
              <w:rPr>
                <w:lang w:val="en-US"/>
              </w:rPr>
              <w:instrText xml:space="preserve"> NOTEREF _Ref226546980 \f \h </w:instrText>
            </w:r>
            <w:r w:rsidR="006C5E84">
              <w:rPr>
                <w:lang w:val="en-US"/>
              </w:rPr>
              <w:instrText xml:space="preserve"> \* MERGEFORMAT </w:instrText>
            </w:r>
            <w:r w:rsidR="006C5E84" w:rsidRPr="006C5E84">
              <w:rPr>
                <w:lang w:val="en-US"/>
              </w:rPr>
            </w:r>
            <w:r w:rsidR="006C5E84" w:rsidRPr="006C5E84">
              <w:rPr>
                <w:lang w:val="en-US"/>
              </w:rPr>
              <w:fldChar w:fldCharType="separate"/>
            </w:r>
            <w:r w:rsidR="0098516D" w:rsidRPr="0098516D">
              <w:rPr>
                <w:rStyle w:val="FootnoteReference"/>
              </w:rPr>
              <w:t>9</w:t>
            </w:r>
            <w:r w:rsidR="006C5E84" w:rsidRPr="006C5E84">
              <w:rPr>
                <w:lang w:val="en-US"/>
              </w:rPr>
              <w:fldChar w:fldCharType="end"/>
            </w:r>
            <w:r>
              <w:rPr>
                <w:lang w:val="en-US"/>
              </w:rPr>
              <w:t xml:space="preserve"> clinical trial. The effect of 95% CIs for base case (i.e. </w:t>
            </w:r>
            <w:r w:rsidR="00F6379D">
              <w:rPr>
                <w:lang w:val="en-US"/>
              </w:rPr>
              <w:t>lower</w:t>
            </w:r>
            <w:r>
              <w:rPr>
                <w:lang w:val="en-US"/>
              </w:rPr>
              <w:t xml:space="preserve"> (−0.8%) and </w:t>
            </w:r>
            <w:r w:rsidR="00F6379D">
              <w:rPr>
                <w:lang w:val="en-US"/>
              </w:rPr>
              <w:t>upper</w:t>
            </w:r>
            <w:r>
              <w:rPr>
                <w:lang w:val="en-US"/>
              </w:rPr>
              <w:t xml:space="preserve"> (−0.1%)) estimates was explored in sensitivity analysis.</w:t>
            </w:r>
          </w:p>
        </w:tc>
        <w:tc>
          <w:tcPr>
            <w:tcW w:w="1660" w:type="pct"/>
            <w:vAlign w:val="center"/>
          </w:tcPr>
          <w:p w14:paraId="5BB15DB1" w14:textId="5127D4A7" w:rsidR="0080067E" w:rsidRDefault="0080067E">
            <w:pPr>
              <w:pStyle w:val="TableText"/>
              <w:rPr>
                <w:noProof/>
              </w:rPr>
            </w:pPr>
            <w:r w:rsidRPr="00A41C72">
              <w:rPr>
                <w:i/>
              </w:rPr>
              <w:t>Potentially high impact; direction of effect unclear; limited certainty in the inputs</w:t>
            </w:r>
            <w:r>
              <w:rPr>
                <w:noProof/>
              </w:rPr>
              <w:t xml:space="preserve">. </w:t>
            </w:r>
          </w:p>
          <w:p w14:paraId="3E6433A1" w14:textId="06E3CB14" w:rsidR="0080067E" w:rsidRPr="00CE28E3" w:rsidRDefault="0080067E">
            <w:pPr>
              <w:pStyle w:val="TableText"/>
              <w:rPr>
                <w:lang w:val="en-US"/>
              </w:rPr>
            </w:pPr>
            <w:r>
              <w:rPr>
                <w:i/>
              </w:rPr>
              <w:t xml:space="preserve">Use of upper CI value generates higher </w:t>
            </w:r>
            <w:r w:rsidRPr="003D4685">
              <w:rPr>
                <w:i/>
              </w:rPr>
              <w:t xml:space="preserve">ICER </w:t>
            </w:r>
            <w:r w:rsidRPr="00E70EEE">
              <w:rPr>
                <w:i/>
              </w:rPr>
              <w:t xml:space="preserve">by </w:t>
            </w:r>
            <w:r w:rsidR="00E82023">
              <w:rPr>
                <w:b/>
                <w:bCs/>
                <w:i/>
              </w:rPr>
              <w:t>redacted</w:t>
            </w:r>
            <w:r w:rsidR="00E82023" w:rsidRPr="00FC2A87">
              <w:rPr>
                <w:i/>
              </w:rPr>
              <w:t xml:space="preserve">% </w:t>
            </w:r>
            <w:r w:rsidRPr="00E70EEE">
              <w:rPr>
                <w:i/>
              </w:rPr>
              <w:t>(</w:t>
            </w:r>
            <w:r w:rsidR="00CC572C">
              <w:rPr>
                <w:i/>
              </w:rPr>
              <w:t>$</w:t>
            </w:r>
            <w:r w:rsidR="00CC572C" w:rsidRPr="00637C8D">
              <w:rPr>
                <w:b/>
                <w:bCs/>
                <w:i/>
              </w:rPr>
              <w:t>Redacted</w:t>
            </w:r>
            <w:r w:rsidR="00CC572C">
              <w:rPr>
                <w:i/>
                <w:vertAlign w:val="superscript"/>
              </w:rPr>
              <w:t>5</w:t>
            </w:r>
            <w:r>
              <w:rPr>
                <w:i/>
              </w:rPr>
              <w:t xml:space="preserve">per QALY gained) and lower CI generates lower ICER by </w:t>
            </w:r>
            <w:r w:rsidR="00E82023">
              <w:rPr>
                <w:b/>
                <w:bCs/>
                <w:i/>
              </w:rPr>
              <w:t>redacted</w:t>
            </w:r>
            <w:r w:rsidR="00E82023" w:rsidRPr="00FC2A87">
              <w:rPr>
                <w:i/>
              </w:rPr>
              <w:t xml:space="preserve">% </w:t>
            </w:r>
            <w:r>
              <w:rPr>
                <w:i/>
              </w:rPr>
              <w:t xml:space="preserve"> (</w:t>
            </w:r>
            <w:r w:rsidR="00CC572C">
              <w:rPr>
                <w:i/>
              </w:rPr>
              <w:t>$</w:t>
            </w:r>
            <w:r w:rsidR="00CC572C" w:rsidRPr="00637C8D">
              <w:rPr>
                <w:b/>
                <w:bCs/>
                <w:i/>
              </w:rPr>
              <w:t>Redacted</w:t>
            </w:r>
            <w:r w:rsidR="00CC572C">
              <w:rPr>
                <w:i/>
                <w:vertAlign w:val="superscript"/>
              </w:rPr>
              <w:t>2</w:t>
            </w:r>
            <w:r>
              <w:rPr>
                <w:i/>
              </w:rPr>
              <w:t xml:space="preserve"> per QALY gained) compared to base case. </w:t>
            </w:r>
          </w:p>
        </w:tc>
      </w:tr>
      <w:tr w:rsidR="0080067E" w:rsidRPr="00CE28E3" w14:paraId="04156264" w14:textId="77777777">
        <w:tc>
          <w:tcPr>
            <w:tcW w:w="1244" w:type="pct"/>
            <w:vAlign w:val="center"/>
          </w:tcPr>
          <w:p w14:paraId="793656D4" w14:textId="77777777" w:rsidR="0080067E" w:rsidRPr="00CE28E3" w:rsidRDefault="0080067E">
            <w:pPr>
              <w:pStyle w:val="TableText"/>
              <w:rPr>
                <w:lang w:val="en-US"/>
              </w:rPr>
            </w:pPr>
            <w:r>
              <w:rPr>
                <w:lang w:val="en-US"/>
              </w:rPr>
              <w:t>Duration of HbA1c effects</w:t>
            </w:r>
          </w:p>
        </w:tc>
        <w:tc>
          <w:tcPr>
            <w:tcW w:w="2096" w:type="pct"/>
            <w:vAlign w:val="center"/>
          </w:tcPr>
          <w:p w14:paraId="34AE05B1" w14:textId="01D829A2" w:rsidR="0080067E" w:rsidRPr="00CE28E3" w:rsidRDefault="0080067E">
            <w:pPr>
              <w:pStyle w:val="TableText"/>
              <w:rPr>
                <w:lang w:val="en-US"/>
              </w:rPr>
            </w:pPr>
            <w:r>
              <w:rPr>
                <w:lang w:val="en-US"/>
              </w:rPr>
              <w:t xml:space="preserve">The duration of </w:t>
            </w:r>
            <w:r w:rsidRPr="009B783E">
              <w:t xml:space="preserve">RT-CGM treatment effect </w:t>
            </w:r>
            <w:r>
              <w:t>was</w:t>
            </w:r>
            <w:r w:rsidRPr="009B783E">
              <w:t xml:space="preserve"> sustained for </w:t>
            </w:r>
            <w:r>
              <w:t>7-</w:t>
            </w:r>
            <w:r w:rsidRPr="009B783E">
              <w:t>year</w:t>
            </w:r>
            <w:r>
              <w:t xml:space="preserve"> and increased steadily by 0.05% beyond 7-year in the base case. For SMBG, the duration of treatment effect remains constant up to 7-year and long-term increase was identical to RT-CGM. Alternative scenarios analyses with constant effect for 7-years and converging to zero at 8-year and 14-year, resulted </w:t>
            </w:r>
            <w:r w:rsidR="0049453E">
              <w:t xml:space="preserve">in </w:t>
            </w:r>
            <w:r>
              <w:t xml:space="preserve">higher cost and lower effects. </w:t>
            </w:r>
          </w:p>
        </w:tc>
        <w:tc>
          <w:tcPr>
            <w:tcW w:w="1660" w:type="pct"/>
            <w:vAlign w:val="center"/>
          </w:tcPr>
          <w:p w14:paraId="131D28C0" w14:textId="5CC1D330" w:rsidR="0080067E" w:rsidRDefault="0080067E">
            <w:pPr>
              <w:pStyle w:val="TableText"/>
              <w:spacing w:after="160"/>
              <w:rPr>
                <w:i/>
                <w:lang w:val="en-US"/>
              </w:rPr>
            </w:pPr>
            <w:r>
              <w:rPr>
                <w:i/>
                <w:lang w:val="en-US"/>
              </w:rPr>
              <w:t xml:space="preserve">Moderate, favours Dexcom ONE+ RT-CGM procedure. </w:t>
            </w:r>
          </w:p>
          <w:p w14:paraId="60B1123C" w14:textId="1695D825" w:rsidR="0080067E" w:rsidRPr="00CE28E3" w:rsidRDefault="0080067E">
            <w:pPr>
              <w:pStyle w:val="TableText"/>
              <w:rPr>
                <w:lang w:val="en-US"/>
              </w:rPr>
            </w:pPr>
            <w:r>
              <w:rPr>
                <w:i/>
                <w:lang w:val="en-US"/>
              </w:rPr>
              <w:t xml:space="preserve">Use of 7-year constant and converging to zero at 8-year and 14-year increased ICER by </w:t>
            </w:r>
            <w:r w:rsidR="00E82023">
              <w:rPr>
                <w:b/>
                <w:bCs/>
                <w:i/>
              </w:rPr>
              <w:t>redacted</w:t>
            </w:r>
            <w:r w:rsidR="00E82023" w:rsidRPr="00FC2A87">
              <w:rPr>
                <w:i/>
              </w:rPr>
              <w:t xml:space="preserve">% </w:t>
            </w:r>
            <w:r w:rsidRPr="003D4685">
              <w:rPr>
                <w:i/>
                <w:lang w:val="en-US"/>
              </w:rPr>
              <w:t>(</w:t>
            </w:r>
            <w:r w:rsidR="003271C5">
              <w:rPr>
                <w:i/>
              </w:rPr>
              <w:t>$</w:t>
            </w:r>
            <w:r w:rsidR="003271C5" w:rsidRPr="00637C8D">
              <w:rPr>
                <w:b/>
                <w:bCs/>
                <w:i/>
              </w:rPr>
              <w:t>Redacted</w:t>
            </w:r>
            <w:r w:rsidR="003271C5">
              <w:rPr>
                <w:i/>
                <w:vertAlign w:val="superscript"/>
              </w:rPr>
              <w:t>3</w:t>
            </w:r>
            <w:r>
              <w:rPr>
                <w:i/>
                <w:lang w:val="en-US"/>
              </w:rPr>
              <w:t xml:space="preserve">per QALY gained) and </w:t>
            </w:r>
            <w:r w:rsidR="00E82023">
              <w:rPr>
                <w:b/>
                <w:bCs/>
                <w:i/>
              </w:rPr>
              <w:t>redacted</w:t>
            </w:r>
            <w:r w:rsidR="00E82023" w:rsidRPr="00FC2A87">
              <w:rPr>
                <w:i/>
              </w:rPr>
              <w:t xml:space="preserve">% </w:t>
            </w:r>
            <w:r w:rsidRPr="003D4685">
              <w:rPr>
                <w:i/>
                <w:lang w:val="en-US"/>
              </w:rPr>
              <w:t>(</w:t>
            </w:r>
            <w:r w:rsidR="003271C5">
              <w:rPr>
                <w:i/>
              </w:rPr>
              <w:t>$</w:t>
            </w:r>
            <w:r w:rsidR="003271C5" w:rsidRPr="00637C8D">
              <w:rPr>
                <w:b/>
                <w:bCs/>
                <w:i/>
              </w:rPr>
              <w:t>Redacted</w:t>
            </w:r>
            <w:r w:rsidR="003271C5">
              <w:rPr>
                <w:i/>
                <w:vertAlign w:val="superscript"/>
              </w:rPr>
              <w:t>3</w:t>
            </w:r>
            <w:r>
              <w:rPr>
                <w:i/>
                <w:lang w:val="en-US"/>
              </w:rPr>
              <w:t xml:space="preserve"> per QALY gained), respectively. </w:t>
            </w:r>
          </w:p>
        </w:tc>
      </w:tr>
      <w:tr w:rsidR="0080067E" w:rsidRPr="00CE28E3" w14:paraId="6CA3A9F8" w14:textId="77777777">
        <w:tc>
          <w:tcPr>
            <w:tcW w:w="1244" w:type="pct"/>
            <w:vAlign w:val="center"/>
          </w:tcPr>
          <w:p w14:paraId="436C3A98" w14:textId="77777777" w:rsidR="0080067E" w:rsidRPr="00CE28E3" w:rsidRDefault="0080067E">
            <w:pPr>
              <w:pStyle w:val="TableText"/>
              <w:rPr>
                <w:lang w:val="en-US"/>
              </w:rPr>
            </w:pPr>
            <w:r>
              <w:rPr>
                <w:lang w:val="en-US"/>
              </w:rPr>
              <w:t>FoH utility</w:t>
            </w:r>
          </w:p>
        </w:tc>
        <w:tc>
          <w:tcPr>
            <w:tcW w:w="2096" w:type="pct"/>
            <w:vAlign w:val="center"/>
          </w:tcPr>
          <w:p w14:paraId="2A10AFC3" w14:textId="1E711AEC" w:rsidR="0080067E" w:rsidRPr="00CE28E3" w:rsidRDefault="0080067E">
            <w:pPr>
              <w:pStyle w:val="TableText"/>
              <w:rPr>
                <w:lang w:val="en-US"/>
              </w:rPr>
            </w:pPr>
            <w:r>
              <w:rPr>
                <w:lang w:val="en-US"/>
              </w:rPr>
              <w:t xml:space="preserve">The disutility associated to FoH was 0.00775, which was half of IIT subpopulation for the base case. Alternative scenarios based on the </w:t>
            </w:r>
            <w:r w:rsidRPr="006C5E84">
              <w:rPr>
                <w:lang w:val="en-US"/>
              </w:rPr>
              <w:t>DIAMOND</w:t>
            </w:r>
            <w:r w:rsidR="005E2EAA" w:rsidRPr="006C5E84">
              <w:rPr>
                <w:lang w:val="en-US"/>
              </w:rPr>
              <w:fldChar w:fldCharType="begin"/>
            </w:r>
            <w:r w:rsidR="005E2EAA" w:rsidRPr="006C5E84">
              <w:rPr>
                <w:lang w:val="en-US"/>
              </w:rPr>
              <w:instrText xml:space="preserve"> NOTEREF _Ref226546296 \f \h </w:instrText>
            </w:r>
            <w:r w:rsidR="006C5E84">
              <w:rPr>
                <w:lang w:val="en-US"/>
              </w:rPr>
              <w:instrText xml:space="preserve"> \* MERGEFORMAT </w:instrText>
            </w:r>
            <w:r w:rsidR="005E2EAA" w:rsidRPr="006C5E84">
              <w:rPr>
                <w:lang w:val="en-US"/>
              </w:rPr>
            </w:r>
            <w:r w:rsidR="005E2EAA" w:rsidRPr="006C5E84">
              <w:rPr>
                <w:lang w:val="en-US"/>
              </w:rPr>
              <w:fldChar w:fldCharType="separate"/>
            </w:r>
            <w:r w:rsidR="0098516D" w:rsidRPr="0098516D">
              <w:rPr>
                <w:rStyle w:val="FootnoteReference"/>
              </w:rPr>
              <w:t>8</w:t>
            </w:r>
            <w:r w:rsidR="005E2EAA" w:rsidRPr="006C5E84">
              <w:rPr>
                <w:lang w:val="en-US"/>
              </w:rPr>
              <w:fldChar w:fldCharType="end"/>
            </w:r>
            <w:r>
              <w:rPr>
                <w:lang w:val="en-US"/>
              </w:rPr>
              <w:t xml:space="preserve"> trial data (0.025) and exclusion of FoH was explored. </w:t>
            </w:r>
          </w:p>
        </w:tc>
        <w:tc>
          <w:tcPr>
            <w:tcW w:w="1660" w:type="pct"/>
            <w:vAlign w:val="center"/>
          </w:tcPr>
          <w:p w14:paraId="5D339DCF" w14:textId="470AFE8B" w:rsidR="0080067E" w:rsidRPr="00D10ABA" w:rsidRDefault="0080067E">
            <w:pPr>
              <w:pStyle w:val="TableText"/>
              <w:rPr>
                <w:i/>
                <w:iCs/>
                <w:lang w:val="en-US"/>
              </w:rPr>
            </w:pPr>
            <w:r w:rsidRPr="00D10ABA">
              <w:rPr>
                <w:i/>
                <w:iCs/>
                <w:lang w:val="en-US"/>
              </w:rPr>
              <w:t xml:space="preserve">High, favours Dexcom ONE+ RT-CGM procedure. </w:t>
            </w:r>
          </w:p>
          <w:p w14:paraId="203A0377" w14:textId="32400069" w:rsidR="0080067E" w:rsidRPr="00D10ABA" w:rsidRDefault="0080067E" w:rsidP="00051030">
            <w:pPr>
              <w:pStyle w:val="TableText"/>
              <w:jc w:val="center"/>
              <w:rPr>
                <w:i/>
                <w:iCs/>
                <w:lang w:val="en-US"/>
              </w:rPr>
            </w:pPr>
            <w:r w:rsidRPr="00D10ABA">
              <w:rPr>
                <w:i/>
                <w:iCs/>
                <w:lang w:val="en-US"/>
              </w:rPr>
              <w:t xml:space="preserve">Use of alternative disutility </w:t>
            </w:r>
            <w:r w:rsidR="00010558">
              <w:rPr>
                <w:i/>
                <w:iCs/>
                <w:lang w:val="en-US"/>
              </w:rPr>
              <w:t>for</w:t>
            </w:r>
            <w:r w:rsidRPr="00D10ABA">
              <w:rPr>
                <w:i/>
                <w:iCs/>
                <w:lang w:val="en-US"/>
              </w:rPr>
              <w:t xml:space="preserve"> FoH as indicated by DIAMON</w:t>
            </w:r>
            <w:r w:rsidRPr="003D4685">
              <w:rPr>
                <w:i/>
                <w:iCs/>
                <w:lang w:val="en-US"/>
              </w:rPr>
              <w:t xml:space="preserve">D trial (0.025) reduced the ICER by </w:t>
            </w:r>
            <w:r w:rsidR="00E82023">
              <w:rPr>
                <w:b/>
                <w:bCs/>
                <w:i/>
              </w:rPr>
              <w:t>redacted</w:t>
            </w:r>
            <w:r w:rsidR="00E82023" w:rsidRPr="00FC2A87">
              <w:rPr>
                <w:i/>
              </w:rPr>
              <w:t xml:space="preserve">% </w:t>
            </w:r>
            <w:r w:rsidRPr="00D10ABA">
              <w:rPr>
                <w:i/>
                <w:iCs/>
                <w:lang w:val="en-US"/>
              </w:rPr>
              <w:t>(</w:t>
            </w:r>
            <w:r w:rsidR="00B968FA">
              <w:rPr>
                <w:i/>
              </w:rPr>
              <w:t>$</w:t>
            </w:r>
            <w:r w:rsidR="00B968FA" w:rsidRPr="00637C8D">
              <w:rPr>
                <w:b/>
                <w:bCs/>
                <w:i/>
              </w:rPr>
              <w:t>Redacted</w:t>
            </w:r>
            <w:r w:rsidR="00B968FA">
              <w:rPr>
                <w:i/>
                <w:vertAlign w:val="superscript"/>
              </w:rPr>
              <w:t>6</w:t>
            </w:r>
            <w:r w:rsidRPr="00D10ABA">
              <w:rPr>
                <w:i/>
                <w:iCs/>
                <w:lang w:val="en-US"/>
              </w:rPr>
              <w:t xml:space="preserve"> per QALY gained) compared to base case. </w:t>
            </w:r>
            <w:r w:rsidRPr="003D4685">
              <w:rPr>
                <w:i/>
                <w:iCs/>
                <w:lang w:val="en-US"/>
              </w:rPr>
              <w:t xml:space="preserve">However, exclusion of FoH generated </w:t>
            </w:r>
            <w:r w:rsidR="00E82023">
              <w:rPr>
                <w:b/>
                <w:bCs/>
                <w:i/>
              </w:rPr>
              <w:t>redacted</w:t>
            </w:r>
            <w:r w:rsidR="00E82023" w:rsidRPr="00FC2A87">
              <w:rPr>
                <w:i/>
              </w:rPr>
              <w:t xml:space="preserve">% </w:t>
            </w:r>
            <w:r w:rsidR="00B83537" w:rsidRPr="00D10ABA">
              <w:rPr>
                <w:i/>
                <w:iCs/>
                <w:lang w:val="en-US"/>
              </w:rPr>
              <w:lastRenderedPageBreak/>
              <w:t xml:space="preserve">higher ICER </w:t>
            </w:r>
            <w:r w:rsidRPr="00D10ABA">
              <w:rPr>
                <w:i/>
                <w:iCs/>
                <w:lang w:val="en-US"/>
              </w:rPr>
              <w:t>(</w:t>
            </w:r>
            <w:r w:rsidR="00CC572C">
              <w:rPr>
                <w:i/>
              </w:rPr>
              <w:t>$</w:t>
            </w:r>
            <w:r w:rsidR="00CC572C" w:rsidRPr="00637C8D">
              <w:rPr>
                <w:b/>
                <w:bCs/>
                <w:i/>
              </w:rPr>
              <w:t>Redacted</w:t>
            </w:r>
            <w:r w:rsidR="00CC572C">
              <w:rPr>
                <w:i/>
                <w:vertAlign w:val="superscript"/>
              </w:rPr>
              <w:t>4</w:t>
            </w:r>
            <w:r w:rsidRPr="00D10ABA">
              <w:rPr>
                <w:i/>
                <w:iCs/>
                <w:lang w:val="en-US"/>
              </w:rPr>
              <w:t xml:space="preserve"> per QALY gained) compared to base case.</w:t>
            </w:r>
          </w:p>
        </w:tc>
      </w:tr>
      <w:tr w:rsidR="0080067E" w:rsidRPr="00CE28E3" w14:paraId="0CEEEFA1" w14:textId="77777777">
        <w:tc>
          <w:tcPr>
            <w:tcW w:w="1244" w:type="pct"/>
            <w:vAlign w:val="center"/>
          </w:tcPr>
          <w:p w14:paraId="5DBC82B5" w14:textId="1C903A14" w:rsidR="0080067E" w:rsidRPr="00CE28E3" w:rsidRDefault="0080067E">
            <w:pPr>
              <w:pStyle w:val="TableText"/>
              <w:rPr>
                <w:lang w:val="en-US"/>
              </w:rPr>
            </w:pPr>
            <w:r w:rsidRPr="00C347B1">
              <w:lastRenderedPageBreak/>
              <w:t xml:space="preserve">DKA </w:t>
            </w:r>
            <w:r>
              <w:t xml:space="preserve">and </w:t>
            </w:r>
            <w:r w:rsidRPr="00C347B1">
              <w:t xml:space="preserve">SHE </w:t>
            </w:r>
            <w:r>
              <w:t>i</w:t>
            </w:r>
            <w:r w:rsidRPr="00C347B1">
              <w:t xml:space="preserve">ncidence </w:t>
            </w:r>
            <w:r>
              <w:t>a</w:t>
            </w:r>
            <w:r w:rsidRPr="00C347B1">
              <w:t>nd FoH</w:t>
            </w:r>
          </w:p>
        </w:tc>
        <w:tc>
          <w:tcPr>
            <w:tcW w:w="2096" w:type="pct"/>
            <w:vAlign w:val="center"/>
          </w:tcPr>
          <w:p w14:paraId="23EF3E16" w14:textId="5FBF3D2D" w:rsidR="0080067E" w:rsidRDefault="0080067E">
            <w:pPr>
              <w:pStyle w:val="TableText"/>
              <w:rPr>
                <w:lang w:val="en-US"/>
              </w:rPr>
            </w:pPr>
            <w:r>
              <w:rPr>
                <w:lang w:val="en-US"/>
              </w:rPr>
              <w:t xml:space="preserve">Similar to the </w:t>
            </w:r>
            <w:r w:rsidR="005500C9">
              <w:rPr>
                <w:lang w:val="en-US"/>
              </w:rPr>
              <w:t>original</w:t>
            </w:r>
            <w:r>
              <w:rPr>
                <w:lang w:val="en-US"/>
              </w:rPr>
              <w:t xml:space="preserve"> </w:t>
            </w:r>
            <w:r w:rsidR="00387D92">
              <w:rPr>
                <w:lang w:val="en-US"/>
              </w:rPr>
              <w:t xml:space="preserve">ADAR </w:t>
            </w:r>
            <w:r>
              <w:rPr>
                <w:lang w:val="en-US"/>
              </w:rPr>
              <w:t xml:space="preserve">submission, risk of DKA and SHE for base case was 1.25% and 2%, respectively. This evidence was assumed to be half of the IIT subpopulation. </w:t>
            </w:r>
          </w:p>
          <w:p w14:paraId="34C8F9D6" w14:textId="469AC4B5" w:rsidR="00F92950" w:rsidRDefault="0080067E">
            <w:pPr>
              <w:pStyle w:val="TableText"/>
              <w:rPr>
                <w:lang w:val="en-US"/>
              </w:rPr>
            </w:pPr>
            <w:r w:rsidRPr="00692CE0">
              <w:rPr>
                <w:lang w:val="en-US"/>
              </w:rPr>
              <w:t>Alternative scenario was tested by assuming 50% reduction of incidence on DKA,</w:t>
            </w:r>
            <w:r>
              <w:rPr>
                <w:lang w:val="en-US"/>
              </w:rPr>
              <w:t xml:space="preserve"> and</w:t>
            </w:r>
            <w:r w:rsidRPr="00692CE0">
              <w:rPr>
                <w:lang w:val="en-US"/>
              </w:rPr>
              <w:t xml:space="preserve"> SHE</w:t>
            </w:r>
            <w:r>
              <w:rPr>
                <w:lang w:val="en-US"/>
              </w:rPr>
              <w:t xml:space="preserve"> in SMBG arm</w:t>
            </w:r>
            <w:r w:rsidRPr="00692CE0">
              <w:rPr>
                <w:lang w:val="en-US"/>
              </w:rPr>
              <w:t xml:space="preserve"> and FoH in the RT-CGM arm.</w:t>
            </w:r>
          </w:p>
          <w:p w14:paraId="2C2D8DC9" w14:textId="7DEDE13A" w:rsidR="0080067E" w:rsidRPr="00CE28E3" w:rsidRDefault="00F92950">
            <w:pPr>
              <w:pStyle w:val="TableText"/>
              <w:rPr>
                <w:lang w:val="en-US"/>
              </w:rPr>
            </w:pPr>
            <w:r>
              <w:rPr>
                <w:lang w:val="en-US"/>
              </w:rPr>
              <w:t>A</w:t>
            </w:r>
            <w:r w:rsidR="0080067E" w:rsidRPr="00692CE0">
              <w:rPr>
                <w:lang w:val="en-US"/>
              </w:rPr>
              <w:t xml:space="preserve">nother scenario was </w:t>
            </w:r>
            <w:r w:rsidR="0080067E">
              <w:rPr>
                <w:lang w:val="en-US"/>
              </w:rPr>
              <w:t>tested</w:t>
            </w:r>
            <w:r w:rsidR="0080067E" w:rsidRPr="00692CE0">
              <w:rPr>
                <w:lang w:val="en-US"/>
              </w:rPr>
              <w:t xml:space="preserve"> with the exclusion of incidence on DKA, SHE and FoH in the RT-CGM arm.</w:t>
            </w:r>
          </w:p>
        </w:tc>
        <w:tc>
          <w:tcPr>
            <w:tcW w:w="1660" w:type="pct"/>
            <w:vAlign w:val="center"/>
          </w:tcPr>
          <w:p w14:paraId="6AA52FE8" w14:textId="3FA11204" w:rsidR="0080067E" w:rsidRPr="00D10ABA" w:rsidRDefault="0080067E">
            <w:pPr>
              <w:pStyle w:val="TableText"/>
              <w:rPr>
                <w:i/>
                <w:iCs/>
                <w:lang w:val="en-US"/>
              </w:rPr>
            </w:pPr>
            <w:r w:rsidRPr="00D10ABA">
              <w:rPr>
                <w:i/>
                <w:iCs/>
                <w:lang w:val="en-US"/>
              </w:rPr>
              <w:t xml:space="preserve">High, favours SMBG arm. </w:t>
            </w:r>
          </w:p>
          <w:p w14:paraId="5E2BD9F4" w14:textId="4FE50C04" w:rsidR="0080067E" w:rsidRPr="00D10ABA" w:rsidRDefault="0080067E">
            <w:pPr>
              <w:pStyle w:val="TableText"/>
              <w:rPr>
                <w:i/>
                <w:iCs/>
                <w:lang w:val="en-US"/>
              </w:rPr>
            </w:pPr>
            <w:r w:rsidRPr="00D10ABA">
              <w:rPr>
                <w:i/>
                <w:iCs/>
                <w:lang w:val="en-US"/>
              </w:rPr>
              <w:t>Use of 50% reduction of DKA</w:t>
            </w:r>
            <w:r>
              <w:rPr>
                <w:i/>
                <w:iCs/>
                <w:lang w:val="en-US"/>
              </w:rPr>
              <w:t xml:space="preserve"> and</w:t>
            </w:r>
            <w:r w:rsidRPr="00D10ABA">
              <w:rPr>
                <w:i/>
                <w:iCs/>
                <w:lang w:val="en-US"/>
              </w:rPr>
              <w:t xml:space="preserve"> SHE</w:t>
            </w:r>
            <w:r>
              <w:rPr>
                <w:i/>
                <w:iCs/>
                <w:lang w:val="en-US"/>
              </w:rPr>
              <w:t xml:space="preserve"> in SMBG arm</w:t>
            </w:r>
            <w:r w:rsidRPr="00D10ABA">
              <w:rPr>
                <w:i/>
                <w:iCs/>
                <w:lang w:val="en-US"/>
              </w:rPr>
              <w:t xml:space="preserve"> and FoH in the RT-CGM arm increased the ICER </w:t>
            </w:r>
            <w:r w:rsidRPr="003D4685">
              <w:rPr>
                <w:i/>
                <w:iCs/>
                <w:lang w:val="en-US"/>
              </w:rPr>
              <w:t xml:space="preserve">by </w:t>
            </w:r>
            <w:r w:rsidR="00E82023">
              <w:rPr>
                <w:b/>
                <w:bCs/>
                <w:i/>
              </w:rPr>
              <w:t>redacted</w:t>
            </w:r>
            <w:r w:rsidR="00E82023" w:rsidRPr="00FC2A87">
              <w:rPr>
                <w:i/>
              </w:rPr>
              <w:t xml:space="preserve">% </w:t>
            </w:r>
            <w:r w:rsidRPr="00D10ABA">
              <w:rPr>
                <w:i/>
                <w:iCs/>
                <w:lang w:val="en-US"/>
              </w:rPr>
              <w:t>(</w:t>
            </w:r>
            <w:r w:rsidR="00CC572C">
              <w:rPr>
                <w:i/>
              </w:rPr>
              <w:t>$</w:t>
            </w:r>
            <w:r w:rsidR="00CC572C" w:rsidRPr="00637C8D">
              <w:rPr>
                <w:b/>
                <w:bCs/>
                <w:i/>
              </w:rPr>
              <w:t>Redacted</w:t>
            </w:r>
            <w:r w:rsidR="00CC572C">
              <w:rPr>
                <w:i/>
                <w:vertAlign w:val="superscript"/>
              </w:rPr>
              <w:t>4</w:t>
            </w:r>
            <w:r w:rsidRPr="00D10ABA">
              <w:rPr>
                <w:i/>
                <w:iCs/>
                <w:lang w:val="en-US"/>
              </w:rPr>
              <w:t xml:space="preserve"> per QALY gained) compared to base case. </w:t>
            </w:r>
          </w:p>
          <w:p w14:paraId="53555D73" w14:textId="5BC7F108" w:rsidR="0080067E" w:rsidRPr="00D10ABA" w:rsidRDefault="0080067E">
            <w:pPr>
              <w:pStyle w:val="TableText"/>
              <w:rPr>
                <w:i/>
                <w:iCs/>
                <w:lang w:val="en-US"/>
              </w:rPr>
            </w:pPr>
            <w:r w:rsidRPr="00D10ABA">
              <w:rPr>
                <w:i/>
                <w:iCs/>
                <w:lang w:val="en-US"/>
              </w:rPr>
              <w:t xml:space="preserve">Alternative scenario with the exclusion of those events increased the ICER by </w:t>
            </w:r>
            <w:r w:rsidR="00E82023">
              <w:rPr>
                <w:b/>
                <w:bCs/>
                <w:i/>
              </w:rPr>
              <w:t>redacted</w:t>
            </w:r>
            <w:r w:rsidR="00E82023" w:rsidRPr="00FC2A87">
              <w:rPr>
                <w:i/>
              </w:rPr>
              <w:t xml:space="preserve">% </w:t>
            </w:r>
            <w:r w:rsidRPr="00D10ABA">
              <w:rPr>
                <w:i/>
                <w:iCs/>
                <w:lang w:val="en-US"/>
              </w:rPr>
              <w:t>(</w:t>
            </w:r>
            <w:r w:rsidR="00B968FA">
              <w:rPr>
                <w:i/>
              </w:rPr>
              <w:t>$</w:t>
            </w:r>
            <w:r w:rsidR="00B968FA" w:rsidRPr="00637C8D">
              <w:rPr>
                <w:b/>
                <w:bCs/>
                <w:i/>
              </w:rPr>
              <w:t>Redacted</w:t>
            </w:r>
            <w:r w:rsidR="00B968FA">
              <w:rPr>
                <w:i/>
                <w:vertAlign w:val="superscript"/>
              </w:rPr>
              <w:t>5</w:t>
            </w:r>
            <w:r w:rsidRPr="00D10ABA">
              <w:rPr>
                <w:i/>
                <w:iCs/>
                <w:lang w:val="en-US"/>
              </w:rPr>
              <w:t xml:space="preserve"> per QALY gained) compared to base case. </w:t>
            </w:r>
          </w:p>
        </w:tc>
      </w:tr>
      <w:tr w:rsidR="0080067E" w:rsidRPr="00CE28E3" w14:paraId="1E489874" w14:textId="77777777">
        <w:tc>
          <w:tcPr>
            <w:tcW w:w="1244" w:type="pct"/>
            <w:vAlign w:val="center"/>
          </w:tcPr>
          <w:p w14:paraId="456BA7B7" w14:textId="77777777" w:rsidR="0080067E" w:rsidRPr="00CE28E3" w:rsidRDefault="0080067E">
            <w:pPr>
              <w:pStyle w:val="TableText"/>
              <w:rPr>
                <w:lang w:val="en-US"/>
              </w:rPr>
            </w:pPr>
            <w:r w:rsidRPr="001A0218">
              <w:t>Renal complications</w:t>
            </w:r>
          </w:p>
        </w:tc>
        <w:tc>
          <w:tcPr>
            <w:tcW w:w="2096" w:type="pct"/>
            <w:vAlign w:val="center"/>
          </w:tcPr>
          <w:p w14:paraId="4E0DE21C" w14:textId="49635E00" w:rsidR="0080067E" w:rsidRPr="00CE28E3" w:rsidRDefault="0080067E">
            <w:pPr>
              <w:pStyle w:val="TableText"/>
              <w:rPr>
                <w:lang w:val="en-US"/>
              </w:rPr>
            </w:pPr>
            <w:r w:rsidRPr="001A0218">
              <w:rPr>
                <w:lang w:val="en-US"/>
              </w:rPr>
              <w:t xml:space="preserve">Similar to the </w:t>
            </w:r>
            <w:r w:rsidR="005500C9">
              <w:rPr>
                <w:lang w:val="en-US"/>
              </w:rPr>
              <w:t>original</w:t>
            </w:r>
            <w:r w:rsidRPr="001A0218">
              <w:rPr>
                <w:lang w:val="en-US"/>
              </w:rPr>
              <w:t xml:space="preserve"> </w:t>
            </w:r>
            <w:r w:rsidR="00387D92">
              <w:rPr>
                <w:lang w:val="en-US"/>
              </w:rPr>
              <w:t>ADAR</w:t>
            </w:r>
            <w:r w:rsidRPr="001A0218">
              <w:rPr>
                <w:lang w:val="en-US"/>
              </w:rPr>
              <w:t xml:space="preserve"> submission, renal complication was not tested in the uncertainty analysis. The relative risk of end stage renal disease was 1</w:t>
            </w:r>
            <w:r>
              <w:rPr>
                <w:lang w:val="en-US"/>
              </w:rPr>
              <w:t>8</w:t>
            </w:r>
            <w:r w:rsidRPr="001A0218">
              <w:rPr>
                <w:lang w:val="en-US"/>
              </w:rPr>
              <w:t>% lower in RT-CGM arm compared to SMBG arm; however, the incremental cost of renal complications was $</w:t>
            </w:r>
            <w:r>
              <w:rPr>
                <w:lang w:val="en-US"/>
              </w:rPr>
              <w:t>2,506 (i.e. 25% of total incremental cost)</w:t>
            </w:r>
            <w:r w:rsidRPr="001A0218">
              <w:rPr>
                <w:lang w:val="en-US"/>
              </w:rPr>
              <w:t>, instrumental in offsetting the higher cost of RT-CGM.</w:t>
            </w:r>
          </w:p>
        </w:tc>
        <w:tc>
          <w:tcPr>
            <w:tcW w:w="1660" w:type="pct"/>
            <w:vAlign w:val="center"/>
          </w:tcPr>
          <w:p w14:paraId="05A822B8" w14:textId="3C4D4EF5" w:rsidR="0080067E" w:rsidRPr="00D10ABA" w:rsidRDefault="0080067E">
            <w:pPr>
              <w:pStyle w:val="TableText"/>
              <w:rPr>
                <w:i/>
                <w:iCs/>
                <w:lang w:val="en-US"/>
              </w:rPr>
            </w:pPr>
            <w:r w:rsidRPr="00D10ABA">
              <w:rPr>
                <w:i/>
                <w:iCs/>
                <w:lang w:val="en-US"/>
              </w:rPr>
              <w:t xml:space="preserve">Potentially high impact; </w:t>
            </w:r>
            <w:r w:rsidRPr="00D10ABA">
              <w:rPr>
                <w:i/>
                <w:iCs/>
              </w:rPr>
              <w:t>direction of effect unclear. Risk of renal complication and incremental cost are directly associated (i.e. with each increasing incidence of renal complication, estimated cost saving increases), indicating renal complication</w:t>
            </w:r>
            <w:r w:rsidR="00247F58">
              <w:rPr>
                <w:i/>
                <w:iCs/>
              </w:rPr>
              <w:t>s</w:t>
            </w:r>
            <w:r w:rsidRPr="00D10ABA">
              <w:rPr>
                <w:i/>
                <w:iCs/>
              </w:rPr>
              <w:t xml:space="preserve"> could be significant drivers. </w:t>
            </w:r>
          </w:p>
        </w:tc>
      </w:tr>
    </w:tbl>
    <w:p w14:paraId="51DFD791" w14:textId="041A03BD" w:rsidR="001D327C" w:rsidRDefault="00610B69" w:rsidP="001D327C">
      <w:pPr>
        <w:pStyle w:val="TableNotes1"/>
        <w:spacing w:after="0"/>
        <w:rPr>
          <w:rFonts w:ascii="Arial Narrow" w:eastAsia="Arial Narrow" w:hAnsi="Arial Narrow" w:cs="Arial Narrow"/>
          <w:sz w:val="18"/>
          <w:szCs w:val="18"/>
        </w:rPr>
      </w:pPr>
      <w:r w:rsidRPr="00610B69">
        <w:rPr>
          <w:rFonts w:ascii="Arial Narrow" w:eastAsia="Arial Narrow" w:hAnsi="Arial Narrow" w:cs="Arial Narrow"/>
          <w:b/>
          <w:bCs/>
          <w:sz w:val="18"/>
          <w:szCs w:val="18"/>
        </w:rPr>
        <w:t>Abbreviations:</w:t>
      </w:r>
      <w:r>
        <w:rPr>
          <w:rFonts w:ascii="Arial Narrow" w:eastAsia="Arial Narrow" w:hAnsi="Arial Narrow" w:cs="Arial Narrow"/>
          <w:sz w:val="18"/>
          <w:szCs w:val="18"/>
        </w:rPr>
        <w:t xml:space="preserve"> </w:t>
      </w:r>
      <w:r w:rsidR="0080067E">
        <w:rPr>
          <w:rFonts w:ascii="Arial Narrow" w:eastAsia="Arial Narrow" w:hAnsi="Arial Narrow" w:cs="Arial Narrow"/>
          <w:sz w:val="18"/>
          <w:szCs w:val="18"/>
        </w:rPr>
        <w:t xml:space="preserve">CIs = confidence intervals; DKA, diabetic ketoacidosis; FoH = fear of hypoglycaemia; </w:t>
      </w:r>
      <w:r w:rsidR="0080067E" w:rsidRPr="00D10ABA">
        <w:rPr>
          <w:rFonts w:ascii="Arial Narrow" w:eastAsia="Arial Narrow" w:hAnsi="Arial Narrow" w:cs="Arial Narrow"/>
          <w:sz w:val="18"/>
          <w:szCs w:val="18"/>
        </w:rPr>
        <w:t>HbA1c = glycated haemoglobin</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ICER = incremental cost-effectiveness ratio</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IIT = intensive insulin therapy</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w:t>
      </w:r>
      <w:r w:rsidR="0080067E">
        <w:rPr>
          <w:rFonts w:ascii="Arial Narrow" w:eastAsia="Arial Narrow" w:hAnsi="Arial Narrow" w:cs="Arial Narrow"/>
          <w:sz w:val="18"/>
          <w:szCs w:val="18"/>
        </w:rPr>
        <w:t xml:space="preserve">LCL = lower control limit; </w:t>
      </w:r>
      <w:r w:rsidR="0080067E" w:rsidRPr="00D10ABA">
        <w:rPr>
          <w:rFonts w:ascii="Arial Narrow" w:eastAsia="Arial Narrow" w:hAnsi="Arial Narrow" w:cs="Arial Narrow"/>
          <w:sz w:val="18"/>
          <w:szCs w:val="18"/>
        </w:rPr>
        <w:t>non-IIT = non-intensive insulin therapy</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SMBG = self-monitoring of blood glucose</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RT-CGM = real-time continuous glucose monitoring</w:t>
      </w:r>
      <w:r w:rsidR="0080067E">
        <w:rPr>
          <w:rFonts w:ascii="Arial Narrow" w:eastAsia="Arial Narrow" w:hAnsi="Arial Narrow" w:cs="Arial Narrow"/>
          <w:sz w:val="18"/>
          <w:szCs w:val="18"/>
        </w:rPr>
        <w:t xml:space="preserve">; </w:t>
      </w:r>
      <w:r w:rsidR="0080067E" w:rsidRPr="00D10ABA">
        <w:rPr>
          <w:rFonts w:ascii="Arial Narrow" w:eastAsia="Arial Narrow" w:hAnsi="Arial Narrow" w:cs="Arial Narrow"/>
          <w:sz w:val="18"/>
          <w:szCs w:val="18"/>
        </w:rPr>
        <w:t>QALY = quality-adjusted life year</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SHE, severe hypoglyc</w:t>
      </w:r>
      <w:r w:rsidR="0080067E">
        <w:rPr>
          <w:rFonts w:ascii="Arial Narrow" w:eastAsia="Arial Narrow" w:hAnsi="Arial Narrow" w:cs="Arial Narrow"/>
          <w:sz w:val="18"/>
          <w:szCs w:val="18"/>
        </w:rPr>
        <w:t>aemic</w:t>
      </w:r>
      <w:r w:rsidR="0080067E" w:rsidRPr="7330CE97">
        <w:rPr>
          <w:rFonts w:ascii="Arial Narrow" w:eastAsia="Arial Narrow" w:hAnsi="Arial Narrow" w:cs="Arial Narrow"/>
          <w:sz w:val="18"/>
          <w:szCs w:val="18"/>
        </w:rPr>
        <w:t xml:space="preserve"> event</w:t>
      </w:r>
      <w:r w:rsidR="0080067E">
        <w:rPr>
          <w:rFonts w:ascii="Arial Narrow" w:eastAsia="Arial Narrow" w:hAnsi="Arial Narrow" w:cs="Arial Narrow"/>
          <w:sz w:val="18"/>
          <w:szCs w:val="18"/>
        </w:rPr>
        <w:t>; UCL = upper control limit.</w:t>
      </w:r>
    </w:p>
    <w:p w14:paraId="3E564191" w14:textId="77777777" w:rsidR="00E31DEF" w:rsidRDefault="00610B69" w:rsidP="00421A78">
      <w:pPr>
        <w:pStyle w:val="TableFooter"/>
        <w:spacing w:before="0" w:after="0"/>
      </w:pPr>
      <w:r w:rsidRPr="001D327C">
        <w:rPr>
          <w:b/>
          <w:bCs/>
        </w:rPr>
        <w:t>Source:</w:t>
      </w:r>
      <w:r w:rsidRPr="00610B69">
        <w:t xml:space="preserve"> Adapted from Table</w:t>
      </w:r>
      <w:r w:rsidR="00AD0776">
        <w:t>s</w:t>
      </w:r>
      <w:r w:rsidRPr="00610B69">
        <w:t> </w:t>
      </w:r>
      <w:r w:rsidR="00AD0776">
        <w:t>37 and 38</w:t>
      </w:r>
      <w:r w:rsidRPr="00610B69">
        <w:t>, p</w:t>
      </w:r>
      <w:r w:rsidR="008C4698">
        <w:t>p. 107-109</w:t>
      </w:r>
      <w:r w:rsidRPr="00610B69">
        <w:t> of the MSAC 1785 ADAR + in-line commentary</w:t>
      </w:r>
      <w:r w:rsidR="008C4698">
        <w:t xml:space="preserve"> and </w:t>
      </w:r>
      <w:r w:rsidR="00421A78">
        <w:t>generated during the evaluation</w:t>
      </w:r>
      <w:r w:rsidRPr="00610B69">
        <w:t>. </w:t>
      </w:r>
    </w:p>
    <w:p w14:paraId="3DD09BFA" w14:textId="77777777" w:rsidR="00E31DEF" w:rsidRDefault="00E31DEF" w:rsidP="00E31DEF">
      <w:pPr>
        <w:pStyle w:val="TableFooter"/>
        <w:rPr>
          <w:lang w:eastAsia="en-AU"/>
        </w:rPr>
      </w:pPr>
      <w:r>
        <w:rPr>
          <w:lang w:eastAsia="en-AU"/>
        </w:rPr>
        <w:t>The redacted values correspond to the following ranges:</w:t>
      </w:r>
    </w:p>
    <w:p w14:paraId="06FCADAD" w14:textId="0F17B9EE" w:rsidR="00E31DEF" w:rsidRDefault="00E31DEF" w:rsidP="00E31DEF">
      <w:pPr>
        <w:pStyle w:val="TableFooter"/>
        <w:rPr>
          <w:lang w:eastAsia="en-AU"/>
        </w:rPr>
      </w:pPr>
      <w:r>
        <w:rPr>
          <w:vertAlign w:val="superscript"/>
          <w:lang w:eastAsia="en-AU"/>
        </w:rPr>
        <w:t>1</w:t>
      </w:r>
      <w:r>
        <w:rPr>
          <w:lang w:eastAsia="en-AU"/>
        </w:rPr>
        <w:t xml:space="preserve"> $5,000 to &lt;</w:t>
      </w:r>
      <w:r w:rsidR="00CC572C">
        <w:rPr>
          <w:lang w:eastAsia="en-AU"/>
        </w:rPr>
        <w:t xml:space="preserve"> </w:t>
      </w:r>
      <w:r>
        <w:rPr>
          <w:lang w:eastAsia="en-AU"/>
        </w:rPr>
        <w:t>$15,000</w:t>
      </w:r>
    </w:p>
    <w:p w14:paraId="28277D1A" w14:textId="77777777" w:rsidR="00E31DEF" w:rsidRDefault="00E31DEF" w:rsidP="00E31DEF">
      <w:pPr>
        <w:pStyle w:val="TableFooter"/>
        <w:rPr>
          <w:lang w:eastAsia="en-AU"/>
        </w:rPr>
      </w:pPr>
      <w:r w:rsidRPr="00637C8D">
        <w:rPr>
          <w:vertAlign w:val="superscript"/>
          <w:lang w:eastAsia="en-AU"/>
        </w:rPr>
        <w:t>2</w:t>
      </w:r>
      <w:r>
        <w:rPr>
          <w:lang w:eastAsia="en-AU"/>
        </w:rPr>
        <w:t xml:space="preserve"> $15,000 to &lt; $25,000</w:t>
      </w:r>
      <w:r w:rsidRPr="00C81E0C">
        <w:rPr>
          <w:lang w:eastAsia="en-AU"/>
        </w:rPr>
        <w:t> </w:t>
      </w:r>
    </w:p>
    <w:p w14:paraId="269F6FE2" w14:textId="519877E0" w:rsidR="00E31DEF" w:rsidRDefault="00E31DEF" w:rsidP="00E31DEF">
      <w:pPr>
        <w:pStyle w:val="TableFooter"/>
        <w:rPr>
          <w:lang w:eastAsia="en-AU"/>
        </w:rPr>
      </w:pPr>
      <w:r>
        <w:rPr>
          <w:vertAlign w:val="superscript"/>
          <w:lang w:eastAsia="en-AU"/>
        </w:rPr>
        <w:t>3</w:t>
      </w:r>
      <w:r>
        <w:rPr>
          <w:lang w:eastAsia="en-AU"/>
        </w:rPr>
        <w:t xml:space="preserve"> $</w:t>
      </w:r>
      <w:r w:rsidR="00B335C5">
        <w:rPr>
          <w:lang w:eastAsia="en-AU"/>
        </w:rPr>
        <w:t>35,000 to &lt; $45,000</w:t>
      </w:r>
      <w:r w:rsidRPr="00C81E0C">
        <w:rPr>
          <w:lang w:eastAsia="en-AU"/>
        </w:rPr>
        <w:t> </w:t>
      </w:r>
    </w:p>
    <w:p w14:paraId="32F910D9" w14:textId="6E4F6A53" w:rsidR="00CC572C" w:rsidRDefault="00CC572C" w:rsidP="00E31DEF">
      <w:pPr>
        <w:pStyle w:val="TableFooter"/>
        <w:rPr>
          <w:lang w:eastAsia="en-AU"/>
        </w:rPr>
      </w:pPr>
      <w:r>
        <w:rPr>
          <w:vertAlign w:val="superscript"/>
          <w:lang w:eastAsia="en-AU"/>
        </w:rPr>
        <w:t>4</w:t>
      </w:r>
      <w:r>
        <w:rPr>
          <w:lang w:eastAsia="en-AU"/>
        </w:rPr>
        <w:t xml:space="preserve"> $45,000 to &lt; $55,000</w:t>
      </w:r>
    </w:p>
    <w:p w14:paraId="431871AC" w14:textId="17E1E298" w:rsidR="00CC572C" w:rsidRDefault="00CC572C" w:rsidP="00E31DEF">
      <w:pPr>
        <w:pStyle w:val="TableFooter"/>
        <w:rPr>
          <w:lang w:eastAsia="en-AU"/>
        </w:rPr>
      </w:pPr>
      <w:r>
        <w:rPr>
          <w:vertAlign w:val="superscript"/>
          <w:lang w:eastAsia="en-AU"/>
        </w:rPr>
        <w:t>5</w:t>
      </w:r>
      <w:r>
        <w:rPr>
          <w:lang w:eastAsia="en-AU"/>
        </w:rPr>
        <w:t xml:space="preserve"> $55,000 to &lt; $</w:t>
      </w:r>
      <w:r w:rsidR="00B968FA">
        <w:rPr>
          <w:lang w:eastAsia="en-AU"/>
        </w:rPr>
        <w:t>7</w:t>
      </w:r>
      <w:r>
        <w:rPr>
          <w:lang w:eastAsia="en-AU"/>
        </w:rPr>
        <w:t>5,000</w:t>
      </w:r>
    </w:p>
    <w:p w14:paraId="3717097D" w14:textId="57E5EA27" w:rsidR="00610B69" w:rsidRPr="007A2FC2" w:rsidRDefault="00B968FA" w:rsidP="007A2FC2">
      <w:pPr>
        <w:pStyle w:val="TableFooter"/>
        <w:rPr>
          <w:lang w:eastAsia="en-AU"/>
        </w:rPr>
      </w:pPr>
      <w:r>
        <w:rPr>
          <w:vertAlign w:val="superscript"/>
          <w:lang w:eastAsia="en-AU"/>
        </w:rPr>
        <w:t>6</w:t>
      </w:r>
      <w:r>
        <w:rPr>
          <w:lang w:eastAsia="en-AU"/>
        </w:rPr>
        <w:t xml:space="preserve"> $25,000 to &lt; $35,000</w:t>
      </w:r>
    </w:p>
    <w:p w14:paraId="0CFB4679" w14:textId="519A3D76" w:rsidR="002364BF" w:rsidRDefault="00F8249B" w:rsidP="0039095A">
      <w:pPr>
        <w:keepNext/>
        <w:keepLines/>
      </w:pPr>
      <w:r>
        <w:t xml:space="preserve">Overall, higher baseline </w:t>
      </w:r>
      <w:r w:rsidR="00CD1627">
        <w:t xml:space="preserve">risk is associated with </w:t>
      </w:r>
      <w:r w:rsidR="00A36AEE">
        <w:t>slightly greater treatment effect</w:t>
      </w:r>
      <w:r w:rsidR="0086066E">
        <w:t>s</w:t>
      </w:r>
      <w:r w:rsidR="00A46508">
        <w:t>, corr</w:t>
      </w:r>
      <w:r w:rsidR="00993181">
        <w:t>espond</w:t>
      </w:r>
      <w:r w:rsidR="001E0851">
        <w:t>ing</w:t>
      </w:r>
      <w:r w:rsidR="00993181">
        <w:t xml:space="preserve"> to higher ICERs. </w:t>
      </w:r>
      <w:r w:rsidR="00CB3FC8">
        <w:t>For instance</w:t>
      </w:r>
      <w:r w:rsidR="00E177D0">
        <w:t>,</w:t>
      </w:r>
      <w:r w:rsidR="00CB3FC8">
        <w:t xml:space="preserve"> </w:t>
      </w:r>
      <w:r w:rsidR="00342054">
        <w:t>among the non-IIT subpopulation</w:t>
      </w:r>
      <w:r w:rsidR="00D61F91">
        <w:t xml:space="preserve">, </w:t>
      </w:r>
      <w:r w:rsidR="008D20F8">
        <w:t xml:space="preserve">which had a higher baseline </w:t>
      </w:r>
      <w:r w:rsidR="002405F1">
        <w:t>HbA1c of 9.1%</w:t>
      </w:r>
      <w:r w:rsidR="000752F6">
        <w:t xml:space="preserve">, the treatment effect was </w:t>
      </w:r>
      <w:r w:rsidR="00E67475">
        <w:t>−</w:t>
      </w:r>
      <w:r w:rsidR="000E1506">
        <w:t>0.40%</w:t>
      </w:r>
      <w:r w:rsidR="003B65BC">
        <w:t xml:space="preserve">, resulting in an ICER of </w:t>
      </w:r>
      <w:r w:rsidR="00BB5EF8">
        <w:t>$35,000 to &lt; $45,000</w:t>
      </w:r>
      <w:r w:rsidR="00F751B4">
        <w:t xml:space="preserve"> per QALY gained</w:t>
      </w:r>
      <w:r w:rsidR="007C750C">
        <w:t xml:space="preserve"> </w:t>
      </w:r>
      <w:r w:rsidR="00A22BF8">
        <w:t>(</w:t>
      </w:r>
      <w:r w:rsidR="007C750C">
        <w:t xml:space="preserve">based on UKPDS risk </w:t>
      </w:r>
      <w:r w:rsidR="00CB769D">
        <w:t>equations</w:t>
      </w:r>
      <w:r w:rsidR="00A22BF8">
        <w:t>)</w:t>
      </w:r>
      <w:r w:rsidR="00CB769D">
        <w:t xml:space="preserve">. In contrast, </w:t>
      </w:r>
      <w:r w:rsidR="00B63F64">
        <w:t xml:space="preserve">the IIT subpopulation had a lower baseline HbA1c of </w:t>
      </w:r>
      <w:r w:rsidR="00DE288F">
        <w:t xml:space="preserve">8.5% and treatment effect </w:t>
      </w:r>
      <w:r w:rsidR="00CF3669">
        <w:t xml:space="preserve">of </w:t>
      </w:r>
      <w:r w:rsidR="00E67475">
        <w:t>−</w:t>
      </w:r>
      <w:r w:rsidR="00CF3669">
        <w:t xml:space="preserve">0.3%, </w:t>
      </w:r>
      <w:r w:rsidR="007B7458">
        <w:t xml:space="preserve">with a comparatively lower ICER </w:t>
      </w:r>
      <w:r w:rsidR="0040112B">
        <w:t>of $</w:t>
      </w:r>
      <w:r w:rsidR="00BB5EF8">
        <w:t>5,000 to &lt; $15,000</w:t>
      </w:r>
      <w:r w:rsidR="0040112B">
        <w:t xml:space="preserve"> per QALY </w:t>
      </w:r>
      <w:r w:rsidR="00B12A5E">
        <w:t xml:space="preserve">gained using the same risk equations. </w:t>
      </w:r>
    </w:p>
    <w:p w14:paraId="378388BD" w14:textId="068886B4" w:rsidR="0080067E" w:rsidRPr="0080067E" w:rsidRDefault="00166FBA" w:rsidP="000E2889">
      <w:r>
        <w:t>S</w:t>
      </w:r>
      <w:r w:rsidR="0080067E" w:rsidRPr="0080067E">
        <w:t xml:space="preserve">ome uncertainties and missing evidence </w:t>
      </w:r>
      <w:r>
        <w:t xml:space="preserve">exist </w:t>
      </w:r>
      <w:r w:rsidR="0080067E" w:rsidRPr="0080067E">
        <w:t xml:space="preserve">within the model-based cost-utility analysis. The disutility associated with the fear of hypoglycaemia </w:t>
      </w:r>
      <w:r w:rsidR="004E0DA1">
        <w:t xml:space="preserve">(FoH) </w:t>
      </w:r>
      <w:r w:rsidR="00187A6F">
        <w:t>had a</w:t>
      </w:r>
      <w:r w:rsidR="0080067E" w:rsidRPr="0080067E">
        <w:t xml:space="preserve"> minor impact on QALY</w:t>
      </w:r>
      <w:r w:rsidR="00547E0A">
        <w:t>s</w:t>
      </w:r>
      <w:r w:rsidR="0080067E" w:rsidRPr="0080067E">
        <w:t xml:space="preserve"> in the </w:t>
      </w:r>
      <w:r w:rsidR="00187A6F">
        <w:br/>
      </w:r>
      <w:r w:rsidR="0080067E" w:rsidRPr="0080067E">
        <w:t>RT-CGM arm; however, it ha</w:t>
      </w:r>
      <w:r w:rsidR="00C37065">
        <w:t>d</w:t>
      </w:r>
      <w:r w:rsidR="0080067E" w:rsidRPr="0080067E">
        <w:t xml:space="preserve"> no impact on the SMBG arm, indicat</w:t>
      </w:r>
      <w:r w:rsidR="007B4396">
        <w:t>ing the</w:t>
      </w:r>
      <w:r w:rsidR="0080067E" w:rsidRPr="0080067E">
        <w:t xml:space="preserve"> assumption made to inform transition probability on the RT-CGM arm </w:t>
      </w:r>
      <w:r w:rsidR="008D6623">
        <w:t xml:space="preserve">only (i.e. disutility </w:t>
      </w:r>
      <w:r w:rsidR="00B50AF7">
        <w:t>of 0.0155</w:t>
      </w:r>
      <w:r w:rsidR="000F6BEB">
        <w:t xml:space="preserve">) </w:t>
      </w:r>
      <w:r w:rsidR="0080067E" w:rsidRPr="0080067E">
        <w:t xml:space="preserve">may have considerable influence over the cost-utility outcomes. </w:t>
      </w:r>
      <w:r w:rsidR="00A57BF7">
        <w:t xml:space="preserve">The model </w:t>
      </w:r>
      <w:r w:rsidR="0071010A">
        <w:t xml:space="preserve">implicitly </w:t>
      </w:r>
      <w:r w:rsidR="00982C04">
        <w:t xml:space="preserve">applied </w:t>
      </w:r>
      <w:r w:rsidR="00873759">
        <w:t xml:space="preserve">no change in </w:t>
      </w:r>
      <w:r w:rsidR="000474A8">
        <w:t xml:space="preserve">the </w:t>
      </w:r>
      <w:r w:rsidR="00873759">
        <w:t>psychological burden of S</w:t>
      </w:r>
      <w:r w:rsidR="00A41C4D">
        <w:t>MBG users</w:t>
      </w:r>
      <w:r w:rsidR="000474A8">
        <w:t>,</w:t>
      </w:r>
      <w:r w:rsidR="00A41C4D">
        <w:t xml:space="preserve"> </w:t>
      </w:r>
      <w:r w:rsidR="00DF0E6D">
        <w:t xml:space="preserve">which may bias the incremental QALY gain in favour </w:t>
      </w:r>
      <w:r w:rsidR="004749C4">
        <w:t xml:space="preserve">of RT-CGM.  </w:t>
      </w:r>
    </w:p>
    <w:p w14:paraId="3D67D9E6" w14:textId="466F1BEA" w:rsidR="0080067E" w:rsidRPr="0080067E" w:rsidRDefault="0080067E" w:rsidP="000E2889">
      <w:r w:rsidRPr="0080067E">
        <w:t xml:space="preserve">The assumed duration of HbA1c treatment effects (maintained up to 7 years, with gradual waning to zero </w:t>
      </w:r>
      <w:r w:rsidR="008A1452">
        <w:t>at</w:t>
      </w:r>
      <w:r w:rsidR="008A1452" w:rsidRPr="0080067E">
        <w:t xml:space="preserve"> </w:t>
      </w:r>
      <w:r w:rsidRPr="0080067E">
        <w:t>8</w:t>
      </w:r>
      <w:r w:rsidR="008A1452">
        <w:t>–</w:t>
      </w:r>
      <w:r w:rsidRPr="0080067E">
        <w:t>14 years) impact only the RT-CGM arm</w:t>
      </w:r>
      <w:r w:rsidR="001E2933">
        <w:t>. T</w:t>
      </w:r>
      <w:r w:rsidRPr="0080067E">
        <w:t>here was no impact on the SMBG arm</w:t>
      </w:r>
      <w:r w:rsidR="001E2933">
        <w:t>,</w:t>
      </w:r>
      <w:r w:rsidRPr="0080067E">
        <w:t xml:space="preserve"> which introduces structural uncertainty. As such, the model outcomes are sensitive to the assumed duration of effects. The uncertainty analyses were conducted using more conservative UKPDS-based risk equations </w:t>
      </w:r>
      <w:r w:rsidR="001E2933">
        <w:t>(</w:t>
      </w:r>
      <w:r w:rsidR="00195FCB">
        <w:fldChar w:fldCharType="begin"/>
      </w:r>
      <w:r w:rsidR="00195FCB">
        <w:instrText xml:space="preserve"> REF _Ref226731734 \h  \* MERGEFORMAT </w:instrText>
      </w:r>
      <w:r w:rsidR="00195FCB">
        <w:fldChar w:fldCharType="separate"/>
      </w:r>
      <w:r w:rsidR="0098516D">
        <w:t xml:space="preserve">Table </w:t>
      </w:r>
      <w:r w:rsidR="0098516D">
        <w:rPr>
          <w:noProof/>
        </w:rPr>
        <w:t>18</w:t>
      </w:r>
      <w:r w:rsidR="00195FCB">
        <w:fldChar w:fldCharType="end"/>
      </w:r>
      <w:r w:rsidR="001E2933">
        <w:t>)</w:t>
      </w:r>
      <w:r w:rsidRPr="0080067E">
        <w:t>.</w:t>
      </w:r>
    </w:p>
    <w:p w14:paraId="541F27BE" w14:textId="1B5D14A3" w:rsidR="0080067E" w:rsidRPr="00CE28E3" w:rsidRDefault="00195FCB" w:rsidP="000E2889">
      <w:pPr>
        <w:pStyle w:val="Caption"/>
      </w:pPr>
      <w:bookmarkStart w:id="52" w:name="_Ref226731734"/>
      <w:r>
        <w:lastRenderedPageBreak/>
        <w:t xml:space="preserve">Table </w:t>
      </w:r>
      <w:r>
        <w:fldChar w:fldCharType="begin"/>
      </w:r>
      <w:r>
        <w:instrText>SEQ Table \* ARABIC</w:instrText>
      </w:r>
      <w:r>
        <w:fldChar w:fldCharType="separate"/>
      </w:r>
      <w:r w:rsidR="0098516D">
        <w:rPr>
          <w:noProof/>
        </w:rPr>
        <w:t>18</w:t>
      </w:r>
      <w:r>
        <w:fldChar w:fldCharType="end"/>
      </w:r>
      <w:bookmarkEnd w:id="52"/>
      <w:r>
        <w:t xml:space="preserve">: </w:t>
      </w:r>
      <w:r w:rsidR="000F0FEC" w:rsidRPr="00CE28E3">
        <w:t>S</w:t>
      </w:r>
      <w:r w:rsidR="0046770A">
        <w:t>cenario</w:t>
      </w:r>
      <w:r w:rsidR="000F0FEC" w:rsidRPr="00CE28E3">
        <w:t xml:space="preserve"> analyses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668"/>
        <w:gridCol w:w="1401"/>
        <w:gridCol w:w="1401"/>
        <w:gridCol w:w="1401"/>
      </w:tblGrid>
      <w:tr w:rsidR="00641FFE" w:rsidRPr="00732F32" w14:paraId="48013AC2" w14:textId="77777777" w:rsidTr="000E2889">
        <w:trPr>
          <w:cantSplit/>
          <w:trHeight w:val="420"/>
        </w:trPr>
        <w:tc>
          <w:tcPr>
            <w:tcW w:w="1744" w:type="pct"/>
            <w:shd w:val="clear" w:color="auto" w:fill="D9D9D9" w:themeFill="background1" w:themeFillShade="D9"/>
            <w:vAlign w:val="center"/>
          </w:tcPr>
          <w:p w14:paraId="4A448009" w14:textId="77777777" w:rsidR="0080067E" w:rsidRPr="00732F32" w:rsidRDefault="0080067E" w:rsidP="000E2889">
            <w:pPr>
              <w:pStyle w:val="In-tableHeading"/>
            </w:pPr>
            <w:r w:rsidRPr="00732F32">
              <w:t>Analyses</w:t>
            </w:r>
          </w:p>
        </w:tc>
        <w:tc>
          <w:tcPr>
            <w:tcW w:w="925" w:type="pct"/>
            <w:shd w:val="clear" w:color="auto" w:fill="D9D9D9" w:themeFill="background1" w:themeFillShade="D9"/>
            <w:vAlign w:val="center"/>
          </w:tcPr>
          <w:p w14:paraId="40F0B535" w14:textId="77777777" w:rsidR="0080067E" w:rsidRPr="00732F32" w:rsidRDefault="0080067E" w:rsidP="000E2889">
            <w:pPr>
              <w:pStyle w:val="In-tableHeading"/>
            </w:pPr>
            <w:r w:rsidRPr="00732F32">
              <w:t>Incremental cost</w:t>
            </w:r>
          </w:p>
        </w:tc>
        <w:tc>
          <w:tcPr>
            <w:tcW w:w="777" w:type="pct"/>
            <w:shd w:val="clear" w:color="auto" w:fill="D9D9D9" w:themeFill="background1" w:themeFillShade="D9"/>
            <w:vAlign w:val="center"/>
          </w:tcPr>
          <w:p w14:paraId="6D648738" w14:textId="77777777" w:rsidR="0080067E" w:rsidRPr="00732F32" w:rsidRDefault="0080067E" w:rsidP="000E2889">
            <w:pPr>
              <w:pStyle w:val="In-tableHeading"/>
            </w:pPr>
            <w:r w:rsidRPr="00732F32">
              <w:t>Incremental QALY</w:t>
            </w:r>
          </w:p>
        </w:tc>
        <w:tc>
          <w:tcPr>
            <w:tcW w:w="777" w:type="pct"/>
            <w:shd w:val="clear" w:color="auto" w:fill="D9D9D9" w:themeFill="background1" w:themeFillShade="D9"/>
            <w:vAlign w:val="center"/>
          </w:tcPr>
          <w:p w14:paraId="44A46ECC" w14:textId="77777777" w:rsidR="0080067E" w:rsidRPr="00732F32" w:rsidRDefault="0080067E" w:rsidP="000E2889">
            <w:pPr>
              <w:pStyle w:val="In-tableHeading"/>
            </w:pPr>
            <w:r w:rsidRPr="00732F32">
              <w:t>ICER ($/QALY gained)</w:t>
            </w:r>
          </w:p>
        </w:tc>
        <w:tc>
          <w:tcPr>
            <w:tcW w:w="777" w:type="pct"/>
            <w:shd w:val="clear" w:color="auto" w:fill="D9D9D9" w:themeFill="background1" w:themeFillShade="D9"/>
          </w:tcPr>
          <w:p w14:paraId="733B60E6" w14:textId="77777777" w:rsidR="0080067E" w:rsidRPr="000E2889" w:rsidRDefault="0080067E" w:rsidP="000E2889">
            <w:pPr>
              <w:pStyle w:val="In-tableHeading"/>
            </w:pPr>
            <w:r w:rsidRPr="000E2889">
              <w:t>% change from base case</w:t>
            </w:r>
          </w:p>
        </w:tc>
      </w:tr>
      <w:tr w:rsidR="0080067E" w:rsidRPr="00732F32" w14:paraId="6BF89A81" w14:textId="77777777" w:rsidTr="000E2889">
        <w:trPr>
          <w:cantSplit/>
          <w:trHeight w:val="260"/>
        </w:trPr>
        <w:tc>
          <w:tcPr>
            <w:tcW w:w="5000" w:type="pct"/>
            <w:gridSpan w:val="5"/>
            <w:shd w:val="clear" w:color="auto" w:fill="D9D9D9" w:themeFill="background1" w:themeFillShade="D9"/>
            <w:vAlign w:val="center"/>
          </w:tcPr>
          <w:p w14:paraId="72381132" w14:textId="77777777" w:rsidR="0080067E" w:rsidRPr="00732F32" w:rsidRDefault="0080067E" w:rsidP="000E2889">
            <w:pPr>
              <w:pStyle w:val="In-tableHeading"/>
            </w:pPr>
            <w:r w:rsidRPr="00732F32">
              <w:t>IIT subpopulation</w:t>
            </w:r>
          </w:p>
        </w:tc>
      </w:tr>
      <w:tr w:rsidR="0080067E" w:rsidRPr="00732F32" w14:paraId="78EB72A2" w14:textId="77777777">
        <w:trPr>
          <w:cantSplit/>
        </w:trPr>
        <w:tc>
          <w:tcPr>
            <w:tcW w:w="1744" w:type="pct"/>
          </w:tcPr>
          <w:p w14:paraId="3B4C4412" w14:textId="77777777" w:rsidR="0080067E" w:rsidRPr="00732F32" w:rsidRDefault="0080067E">
            <w:pPr>
              <w:pStyle w:val="TableText"/>
              <w:rPr>
                <w:b/>
              </w:rPr>
            </w:pPr>
            <w:r w:rsidRPr="00732F32">
              <w:rPr>
                <w:b/>
              </w:rPr>
              <w:t>Base case</w:t>
            </w:r>
          </w:p>
        </w:tc>
        <w:tc>
          <w:tcPr>
            <w:tcW w:w="925" w:type="pct"/>
          </w:tcPr>
          <w:p w14:paraId="77DC2E18" w14:textId="31FA876E" w:rsidR="0080067E" w:rsidRPr="00051030" w:rsidRDefault="007C6786">
            <w:pPr>
              <w:pStyle w:val="TableText"/>
              <w:jc w:val="center"/>
              <w:rPr>
                <w:b/>
                <w:highlight w:val="yellow"/>
              </w:rPr>
            </w:pPr>
            <w:r w:rsidRPr="00051030">
              <w:rPr>
                <w:b/>
              </w:rPr>
              <w:t>$Redacted</w:t>
            </w:r>
          </w:p>
        </w:tc>
        <w:tc>
          <w:tcPr>
            <w:tcW w:w="777" w:type="pct"/>
          </w:tcPr>
          <w:p w14:paraId="54E13A77" w14:textId="77777777" w:rsidR="0080067E" w:rsidRPr="006644E5" w:rsidRDefault="0080067E">
            <w:pPr>
              <w:pStyle w:val="TableText"/>
              <w:jc w:val="center"/>
              <w:rPr>
                <w:b/>
              </w:rPr>
            </w:pPr>
            <w:r w:rsidRPr="006644E5">
              <w:rPr>
                <w:b/>
              </w:rPr>
              <w:t>0.511</w:t>
            </w:r>
          </w:p>
        </w:tc>
        <w:tc>
          <w:tcPr>
            <w:tcW w:w="777" w:type="pct"/>
          </w:tcPr>
          <w:p w14:paraId="5F8CC8DC" w14:textId="3B18726C" w:rsidR="0080067E" w:rsidRPr="00051030" w:rsidRDefault="00136810">
            <w:pPr>
              <w:pStyle w:val="TableText"/>
              <w:jc w:val="center"/>
              <w:rPr>
                <w:b/>
                <w:highlight w:val="yellow"/>
              </w:rPr>
            </w:pPr>
            <w:r w:rsidRPr="00D46BF9">
              <w:rPr>
                <w:b/>
              </w:rPr>
              <w:t>$Redacted</w:t>
            </w:r>
            <w:r w:rsidRPr="00051030">
              <w:rPr>
                <w:bCs/>
                <w:vertAlign w:val="superscript"/>
              </w:rPr>
              <w:t>1</w:t>
            </w:r>
          </w:p>
        </w:tc>
        <w:tc>
          <w:tcPr>
            <w:tcW w:w="777" w:type="pct"/>
          </w:tcPr>
          <w:p w14:paraId="370293C3" w14:textId="77777777" w:rsidR="0080067E" w:rsidRPr="00732F32" w:rsidRDefault="0080067E">
            <w:pPr>
              <w:pStyle w:val="TableText"/>
              <w:jc w:val="center"/>
              <w:rPr>
                <w:b/>
                <w:bCs/>
                <w:i/>
                <w:iCs/>
              </w:rPr>
            </w:pPr>
            <w:r w:rsidRPr="00116359">
              <w:rPr>
                <w:b/>
                <w:bCs/>
                <w:i/>
                <w:iCs/>
              </w:rPr>
              <w:t>─</w:t>
            </w:r>
          </w:p>
        </w:tc>
      </w:tr>
      <w:tr w:rsidR="0080067E" w:rsidRPr="00732F32" w14:paraId="5083AAC5" w14:textId="77777777">
        <w:trPr>
          <w:cantSplit/>
        </w:trPr>
        <w:tc>
          <w:tcPr>
            <w:tcW w:w="5000" w:type="pct"/>
            <w:gridSpan w:val="5"/>
          </w:tcPr>
          <w:p w14:paraId="7B99A609" w14:textId="4C6D1F68" w:rsidR="0080067E" w:rsidRPr="006644E5" w:rsidRDefault="0080067E">
            <w:pPr>
              <w:pStyle w:val="TableText"/>
              <w:rPr>
                <w:i/>
                <w:vertAlign w:val="superscript"/>
              </w:rPr>
            </w:pPr>
            <w:r w:rsidRPr="006644E5">
              <w:rPr>
                <w:b/>
                <w:bCs/>
              </w:rPr>
              <w:t>Time horizon (base case lifetime)</w:t>
            </w:r>
            <w:r w:rsidR="000101BD" w:rsidRPr="006644E5">
              <w:rPr>
                <w:b/>
                <w:bCs/>
                <w:vertAlign w:val="superscript"/>
              </w:rPr>
              <w:t>*</w:t>
            </w:r>
          </w:p>
        </w:tc>
      </w:tr>
      <w:tr w:rsidR="00E82023" w:rsidRPr="00732F32" w14:paraId="5E94FCD7" w14:textId="77777777">
        <w:trPr>
          <w:cantSplit/>
        </w:trPr>
        <w:tc>
          <w:tcPr>
            <w:tcW w:w="1744" w:type="pct"/>
            <w:vAlign w:val="center"/>
          </w:tcPr>
          <w:p w14:paraId="663B1903" w14:textId="77777777" w:rsidR="00E82023" w:rsidRPr="00732F32" w:rsidRDefault="00E82023" w:rsidP="00E82023">
            <w:pPr>
              <w:pStyle w:val="TableText"/>
            </w:pPr>
            <w:r w:rsidRPr="00732F32">
              <w:t>10 years</w:t>
            </w:r>
          </w:p>
        </w:tc>
        <w:tc>
          <w:tcPr>
            <w:tcW w:w="925" w:type="pct"/>
          </w:tcPr>
          <w:p w14:paraId="043B72F1" w14:textId="33EA6DFB" w:rsidR="00E82023" w:rsidRPr="00051030" w:rsidRDefault="00E82023" w:rsidP="00E82023">
            <w:pPr>
              <w:pStyle w:val="TableText"/>
              <w:jc w:val="center"/>
              <w:rPr>
                <w:highlight w:val="yellow"/>
              </w:rPr>
            </w:pPr>
            <w:r w:rsidRPr="00051030">
              <w:rPr>
                <w:bCs/>
              </w:rPr>
              <w:t>$</w:t>
            </w:r>
            <w:r w:rsidRPr="00D46BF9">
              <w:rPr>
                <w:b/>
              </w:rPr>
              <w:t>Redacted</w:t>
            </w:r>
          </w:p>
        </w:tc>
        <w:tc>
          <w:tcPr>
            <w:tcW w:w="777" w:type="pct"/>
          </w:tcPr>
          <w:p w14:paraId="77B53BC6" w14:textId="77777777" w:rsidR="00E82023" w:rsidRPr="006644E5" w:rsidRDefault="00E82023" w:rsidP="00E82023">
            <w:pPr>
              <w:pStyle w:val="TableText"/>
              <w:jc w:val="center"/>
            </w:pPr>
            <w:r w:rsidRPr="006644E5">
              <w:t>0.320</w:t>
            </w:r>
          </w:p>
        </w:tc>
        <w:tc>
          <w:tcPr>
            <w:tcW w:w="777" w:type="pct"/>
          </w:tcPr>
          <w:p w14:paraId="7EC30BEB" w14:textId="4389FA5E" w:rsidR="00E82023" w:rsidRPr="00051030" w:rsidRDefault="00E82023" w:rsidP="00E82023">
            <w:pPr>
              <w:pStyle w:val="TableText"/>
              <w:jc w:val="center"/>
              <w:rPr>
                <w:highlight w:val="yellow"/>
              </w:rPr>
            </w:pPr>
            <w:r w:rsidRPr="00D46BF9">
              <w:rPr>
                <w:bCs/>
              </w:rPr>
              <w:t>$</w:t>
            </w:r>
            <w:r w:rsidRPr="00D46BF9">
              <w:rPr>
                <w:b/>
              </w:rPr>
              <w:t>Redacted</w:t>
            </w:r>
            <w:r>
              <w:rPr>
                <w:bCs/>
                <w:vertAlign w:val="superscript"/>
              </w:rPr>
              <w:t>2</w:t>
            </w:r>
          </w:p>
        </w:tc>
        <w:tc>
          <w:tcPr>
            <w:tcW w:w="777" w:type="pct"/>
          </w:tcPr>
          <w:p w14:paraId="1BAD3347" w14:textId="1F56CD3B" w:rsidR="00E82023" w:rsidRPr="00051030" w:rsidRDefault="00E82023" w:rsidP="00E82023">
            <w:pPr>
              <w:pStyle w:val="TableText"/>
              <w:jc w:val="center"/>
              <w:rPr>
                <w:rFonts w:eastAsia="Calibri"/>
                <w:i/>
                <w:iCs/>
                <w:szCs w:val="20"/>
                <w:highlight w:val="yellow"/>
              </w:rPr>
            </w:pPr>
            <w:r w:rsidRPr="00C809B5">
              <w:rPr>
                <w:b/>
                <w:bCs/>
                <w:i/>
              </w:rPr>
              <w:t>redacted</w:t>
            </w:r>
            <w:r w:rsidRPr="00C809B5">
              <w:rPr>
                <w:i/>
              </w:rPr>
              <w:t xml:space="preserve">% </w:t>
            </w:r>
          </w:p>
        </w:tc>
      </w:tr>
      <w:tr w:rsidR="00E82023" w:rsidRPr="00732F32" w14:paraId="7BE00C00" w14:textId="77777777">
        <w:trPr>
          <w:cantSplit/>
          <w:trHeight w:val="283"/>
        </w:trPr>
        <w:tc>
          <w:tcPr>
            <w:tcW w:w="1744" w:type="pct"/>
            <w:vAlign w:val="center"/>
          </w:tcPr>
          <w:p w14:paraId="14B499FA" w14:textId="77777777" w:rsidR="00E82023" w:rsidRPr="00732F32" w:rsidRDefault="00E82023" w:rsidP="00E82023">
            <w:pPr>
              <w:pStyle w:val="TableText"/>
            </w:pPr>
            <w:r w:rsidRPr="00732F32">
              <w:t>20 years</w:t>
            </w:r>
          </w:p>
        </w:tc>
        <w:tc>
          <w:tcPr>
            <w:tcW w:w="925" w:type="pct"/>
          </w:tcPr>
          <w:p w14:paraId="6F83C570" w14:textId="600C052E" w:rsidR="00E82023" w:rsidRPr="00051030" w:rsidRDefault="00E82023" w:rsidP="00E82023">
            <w:pPr>
              <w:pStyle w:val="TableText"/>
              <w:jc w:val="center"/>
              <w:rPr>
                <w:highlight w:val="yellow"/>
              </w:rPr>
            </w:pPr>
            <w:r w:rsidRPr="004E5D2B">
              <w:rPr>
                <w:bCs/>
              </w:rPr>
              <w:t>$</w:t>
            </w:r>
            <w:r w:rsidRPr="004E5D2B">
              <w:rPr>
                <w:b/>
              </w:rPr>
              <w:t>Redacted</w:t>
            </w:r>
          </w:p>
        </w:tc>
        <w:tc>
          <w:tcPr>
            <w:tcW w:w="777" w:type="pct"/>
          </w:tcPr>
          <w:p w14:paraId="2D3A4DAE" w14:textId="77777777" w:rsidR="00E82023" w:rsidRPr="006644E5" w:rsidRDefault="00E82023" w:rsidP="00E82023">
            <w:pPr>
              <w:pStyle w:val="TableText"/>
              <w:jc w:val="center"/>
            </w:pPr>
            <w:r w:rsidRPr="006644E5">
              <w:t>0.448</w:t>
            </w:r>
          </w:p>
        </w:tc>
        <w:tc>
          <w:tcPr>
            <w:tcW w:w="777" w:type="pct"/>
          </w:tcPr>
          <w:p w14:paraId="30C2C695" w14:textId="482FB11E" w:rsidR="00E82023" w:rsidRPr="00051030" w:rsidRDefault="00E82023" w:rsidP="00E82023">
            <w:pPr>
              <w:pStyle w:val="TableText"/>
              <w:jc w:val="center"/>
              <w:rPr>
                <w:highlight w:val="yellow"/>
              </w:rPr>
            </w:pPr>
            <w:r w:rsidRPr="00A53977">
              <w:rPr>
                <w:bCs/>
              </w:rPr>
              <w:t>$</w:t>
            </w:r>
            <w:r w:rsidRPr="00A53977">
              <w:rPr>
                <w:b/>
              </w:rPr>
              <w:t>Redacted</w:t>
            </w:r>
            <w:r w:rsidRPr="00A53977">
              <w:rPr>
                <w:bCs/>
                <w:vertAlign w:val="superscript"/>
              </w:rPr>
              <w:t>2</w:t>
            </w:r>
          </w:p>
        </w:tc>
        <w:tc>
          <w:tcPr>
            <w:tcW w:w="777" w:type="pct"/>
          </w:tcPr>
          <w:p w14:paraId="3B4908B6" w14:textId="68AAABF4" w:rsidR="00E82023" w:rsidRPr="00051030" w:rsidRDefault="00E82023" w:rsidP="00E82023">
            <w:pPr>
              <w:pStyle w:val="TableText"/>
              <w:jc w:val="center"/>
              <w:rPr>
                <w:rFonts w:eastAsia="Calibri"/>
                <w:i/>
                <w:iCs/>
                <w:szCs w:val="20"/>
                <w:highlight w:val="yellow"/>
              </w:rPr>
            </w:pPr>
            <w:r w:rsidRPr="00C809B5">
              <w:rPr>
                <w:b/>
                <w:bCs/>
                <w:i/>
              </w:rPr>
              <w:t>redacted</w:t>
            </w:r>
            <w:r w:rsidRPr="00C809B5">
              <w:rPr>
                <w:i/>
              </w:rPr>
              <w:t xml:space="preserve">% </w:t>
            </w:r>
          </w:p>
        </w:tc>
      </w:tr>
      <w:tr w:rsidR="00E82023" w:rsidRPr="00732F32" w14:paraId="7C613B4A" w14:textId="77777777">
        <w:trPr>
          <w:cantSplit/>
          <w:trHeight w:val="283"/>
        </w:trPr>
        <w:tc>
          <w:tcPr>
            <w:tcW w:w="1744" w:type="pct"/>
          </w:tcPr>
          <w:p w14:paraId="5D394CB1" w14:textId="77777777" w:rsidR="00E82023" w:rsidRPr="00732F32" w:rsidRDefault="00E82023" w:rsidP="00E82023">
            <w:pPr>
              <w:pStyle w:val="TableText"/>
            </w:pPr>
            <w:r w:rsidRPr="00732F32">
              <w:t>30 years</w:t>
            </w:r>
          </w:p>
        </w:tc>
        <w:tc>
          <w:tcPr>
            <w:tcW w:w="925" w:type="pct"/>
          </w:tcPr>
          <w:p w14:paraId="7A400354" w14:textId="7693AA98" w:rsidR="00E82023" w:rsidRPr="00051030" w:rsidRDefault="00E82023" w:rsidP="00E82023">
            <w:pPr>
              <w:pStyle w:val="TableText"/>
              <w:jc w:val="center"/>
              <w:rPr>
                <w:rFonts w:eastAsia="Calibri"/>
                <w:szCs w:val="20"/>
                <w:highlight w:val="yellow"/>
              </w:rPr>
            </w:pPr>
            <w:r w:rsidRPr="004E5D2B">
              <w:rPr>
                <w:bCs/>
              </w:rPr>
              <w:t>$</w:t>
            </w:r>
            <w:r w:rsidRPr="004E5D2B">
              <w:rPr>
                <w:b/>
              </w:rPr>
              <w:t>Redacted</w:t>
            </w:r>
          </w:p>
        </w:tc>
        <w:tc>
          <w:tcPr>
            <w:tcW w:w="777" w:type="pct"/>
          </w:tcPr>
          <w:p w14:paraId="04CCB657" w14:textId="77777777" w:rsidR="00E82023" w:rsidRPr="006644E5" w:rsidRDefault="00E82023" w:rsidP="00E82023">
            <w:pPr>
              <w:pStyle w:val="TableText"/>
              <w:jc w:val="center"/>
              <w:rPr>
                <w:rFonts w:eastAsia="Calibri"/>
                <w:szCs w:val="20"/>
              </w:rPr>
            </w:pPr>
            <w:r w:rsidRPr="006644E5">
              <w:t>0.496</w:t>
            </w:r>
          </w:p>
        </w:tc>
        <w:tc>
          <w:tcPr>
            <w:tcW w:w="777" w:type="pct"/>
          </w:tcPr>
          <w:p w14:paraId="3C7BCECB" w14:textId="1A048C32" w:rsidR="00E82023" w:rsidRPr="00051030" w:rsidRDefault="00E82023" w:rsidP="00E82023">
            <w:pPr>
              <w:pStyle w:val="TableText"/>
              <w:jc w:val="center"/>
              <w:rPr>
                <w:rFonts w:eastAsia="Calibri"/>
                <w:szCs w:val="20"/>
                <w:highlight w:val="yellow"/>
              </w:rPr>
            </w:pPr>
            <w:r w:rsidRPr="00A53977">
              <w:rPr>
                <w:bCs/>
              </w:rPr>
              <w:t>$</w:t>
            </w:r>
            <w:r w:rsidRPr="00A53977">
              <w:rPr>
                <w:b/>
              </w:rPr>
              <w:t>Redacted</w:t>
            </w:r>
            <w:r w:rsidRPr="00A53977">
              <w:rPr>
                <w:bCs/>
                <w:vertAlign w:val="superscript"/>
              </w:rPr>
              <w:t>2</w:t>
            </w:r>
          </w:p>
        </w:tc>
        <w:tc>
          <w:tcPr>
            <w:tcW w:w="777" w:type="pct"/>
          </w:tcPr>
          <w:p w14:paraId="74B91B82" w14:textId="3B83211F" w:rsidR="00E82023" w:rsidRPr="00051030" w:rsidRDefault="00E82023" w:rsidP="00E82023">
            <w:pPr>
              <w:pStyle w:val="TableText"/>
              <w:jc w:val="center"/>
              <w:rPr>
                <w:rFonts w:eastAsia="Calibri"/>
                <w:i/>
                <w:iCs/>
                <w:szCs w:val="20"/>
                <w:highlight w:val="yellow"/>
              </w:rPr>
            </w:pPr>
            <w:r w:rsidRPr="00C809B5">
              <w:rPr>
                <w:b/>
                <w:bCs/>
                <w:i/>
              </w:rPr>
              <w:t>redacted</w:t>
            </w:r>
            <w:r w:rsidRPr="00C809B5">
              <w:rPr>
                <w:i/>
              </w:rPr>
              <w:t xml:space="preserve">% </w:t>
            </w:r>
          </w:p>
        </w:tc>
      </w:tr>
      <w:tr w:rsidR="0080067E" w:rsidRPr="00732F32" w14:paraId="7CB08545" w14:textId="77777777">
        <w:trPr>
          <w:cantSplit/>
          <w:trHeight w:val="283"/>
        </w:trPr>
        <w:tc>
          <w:tcPr>
            <w:tcW w:w="5000" w:type="pct"/>
            <w:gridSpan w:val="5"/>
            <w:vAlign w:val="center"/>
          </w:tcPr>
          <w:p w14:paraId="392C89D5" w14:textId="77777777" w:rsidR="0080067E" w:rsidRPr="00051030" w:rsidRDefault="0080067E">
            <w:pPr>
              <w:pStyle w:val="TableText"/>
              <w:rPr>
                <w:rFonts w:eastAsia="Calibri"/>
                <w:szCs w:val="20"/>
                <w:highlight w:val="yellow"/>
              </w:rPr>
            </w:pPr>
            <w:r w:rsidRPr="003742E5">
              <w:rPr>
                <w:b/>
                <w:bCs/>
              </w:rPr>
              <w:t>HbA1c treatment effect (base case −0.3%)</w:t>
            </w:r>
          </w:p>
        </w:tc>
      </w:tr>
      <w:tr w:rsidR="00E82023" w:rsidRPr="00732F32" w14:paraId="7D1C7D84" w14:textId="77777777">
        <w:trPr>
          <w:cantSplit/>
          <w:trHeight w:val="283"/>
        </w:trPr>
        <w:tc>
          <w:tcPr>
            <w:tcW w:w="1744" w:type="pct"/>
            <w:vAlign w:val="center"/>
          </w:tcPr>
          <w:p w14:paraId="1AF5A08E" w14:textId="77777777" w:rsidR="00E82023" w:rsidRPr="00732F32" w:rsidRDefault="00E82023" w:rsidP="00E82023">
            <w:pPr>
              <w:pStyle w:val="TableText"/>
            </w:pPr>
            <w:r w:rsidRPr="00732F32">
              <w:t>HbA1c treatment effect −0.5% (95% LCL)</w:t>
            </w:r>
            <w:r w:rsidRPr="00732F32" w:rsidDel="007B13FE">
              <w:t xml:space="preserve"> </w:t>
            </w:r>
            <w:r w:rsidRPr="00732F32">
              <w:t xml:space="preserve"> </w:t>
            </w:r>
          </w:p>
        </w:tc>
        <w:tc>
          <w:tcPr>
            <w:tcW w:w="925" w:type="pct"/>
          </w:tcPr>
          <w:p w14:paraId="5C1D1E0F" w14:textId="309A7CA0" w:rsidR="00E82023" w:rsidRPr="00051030" w:rsidRDefault="00E82023" w:rsidP="00E82023">
            <w:pPr>
              <w:pStyle w:val="TableText"/>
              <w:jc w:val="center"/>
              <w:rPr>
                <w:rFonts w:eastAsia="Calibri"/>
                <w:szCs w:val="20"/>
                <w:highlight w:val="yellow"/>
              </w:rPr>
            </w:pPr>
            <w:r w:rsidRPr="00AA0E06">
              <w:rPr>
                <w:bCs/>
              </w:rPr>
              <w:t>$</w:t>
            </w:r>
            <w:r w:rsidRPr="00AA0E06">
              <w:rPr>
                <w:b/>
              </w:rPr>
              <w:t>Redacted</w:t>
            </w:r>
          </w:p>
        </w:tc>
        <w:tc>
          <w:tcPr>
            <w:tcW w:w="777" w:type="pct"/>
          </w:tcPr>
          <w:p w14:paraId="6417014F" w14:textId="77777777" w:rsidR="00E82023" w:rsidRPr="006644E5" w:rsidRDefault="00E82023" w:rsidP="00E82023">
            <w:pPr>
              <w:pStyle w:val="TableText"/>
              <w:jc w:val="center"/>
              <w:rPr>
                <w:rFonts w:eastAsia="Calibri"/>
                <w:szCs w:val="20"/>
              </w:rPr>
            </w:pPr>
            <w:r w:rsidRPr="006644E5">
              <w:t>0.536</w:t>
            </w:r>
          </w:p>
        </w:tc>
        <w:tc>
          <w:tcPr>
            <w:tcW w:w="777" w:type="pct"/>
          </w:tcPr>
          <w:p w14:paraId="619A2810" w14:textId="31ABE237" w:rsidR="00E82023" w:rsidRPr="00051030" w:rsidRDefault="00E82023" w:rsidP="00E82023">
            <w:pPr>
              <w:pStyle w:val="TableText"/>
              <w:jc w:val="center"/>
              <w:rPr>
                <w:rFonts w:eastAsia="Calibri"/>
                <w:szCs w:val="20"/>
                <w:highlight w:val="yellow"/>
              </w:rPr>
            </w:pPr>
            <w:r w:rsidRPr="00051030">
              <w:rPr>
                <w:bCs/>
              </w:rPr>
              <w:t>$</w:t>
            </w:r>
            <w:r w:rsidRPr="00D46BF9">
              <w:rPr>
                <w:b/>
              </w:rPr>
              <w:t>Redacted</w:t>
            </w:r>
            <w:r w:rsidRPr="00D46BF9">
              <w:rPr>
                <w:bCs/>
                <w:vertAlign w:val="superscript"/>
              </w:rPr>
              <w:t>1</w:t>
            </w:r>
          </w:p>
        </w:tc>
        <w:tc>
          <w:tcPr>
            <w:tcW w:w="777" w:type="pct"/>
          </w:tcPr>
          <w:p w14:paraId="71FFCB05" w14:textId="12AA2988" w:rsidR="00E82023" w:rsidRPr="00051030" w:rsidRDefault="00E82023" w:rsidP="00E82023">
            <w:pPr>
              <w:pStyle w:val="TableText"/>
              <w:jc w:val="center"/>
              <w:rPr>
                <w:rFonts w:eastAsia="Calibri"/>
                <w:i/>
                <w:iCs/>
                <w:szCs w:val="20"/>
                <w:highlight w:val="yellow"/>
              </w:rPr>
            </w:pPr>
            <w:r w:rsidRPr="00C418E6">
              <w:rPr>
                <w:b/>
                <w:bCs/>
                <w:i/>
              </w:rPr>
              <w:t>redacted</w:t>
            </w:r>
            <w:r w:rsidRPr="00C418E6">
              <w:rPr>
                <w:i/>
              </w:rPr>
              <w:t xml:space="preserve">% </w:t>
            </w:r>
          </w:p>
        </w:tc>
      </w:tr>
      <w:tr w:rsidR="00E82023" w:rsidRPr="00732F32" w14:paraId="35D096EC" w14:textId="77777777">
        <w:trPr>
          <w:cantSplit/>
          <w:trHeight w:val="283"/>
        </w:trPr>
        <w:tc>
          <w:tcPr>
            <w:tcW w:w="1744" w:type="pct"/>
            <w:vAlign w:val="center"/>
          </w:tcPr>
          <w:p w14:paraId="49083726" w14:textId="77777777" w:rsidR="00E82023" w:rsidRPr="00732F32" w:rsidRDefault="00E82023" w:rsidP="00E82023">
            <w:pPr>
              <w:pStyle w:val="TableText"/>
            </w:pPr>
            <w:r w:rsidRPr="00732F32">
              <w:t>HbA1c treatment effect −0.0% (95% UCL)</w:t>
            </w:r>
            <w:r w:rsidRPr="00732F32" w:rsidDel="007B13FE">
              <w:t xml:space="preserve"> </w:t>
            </w:r>
          </w:p>
        </w:tc>
        <w:tc>
          <w:tcPr>
            <w:tcW w:w="925" w:type="pct"/>
          </w:tcPr>
          <w:p w14:paraId="5B3892EE" w14:textId="2507F982" w:rsidR="00E82023" w:rsidRPr="00051030" w:rsidRDefault="00E82023" w:rsidP="00E82023">
            <w:pPr>
              <w:pStyle w:val="TableText"/>
              <w:jc w:val="center"/>
              <w:rPr>
                <w:rFonts w:eastAsia="Calibri"/>
                <w:szCs w:val="20"/>
                <w:highlight w:val="yellow"/>
              </w:rPr>
            </w:pPr>
            <w:r w:rsidRPr="00AA0E06">
              <w:rPr>
                <w:bCs/>
              </w:rPr>
              <w:t>$</w:t>
            </w:r>
            <w:r w:rsidRPr="00AA0E06">
              <w:rPr>
                <w:b/>
              </w:rPr>
              <w:t>Redacted</w:t>
            </w:r>
          </w:p>
        </w:tc>
        <w:tc>
          <w:tcPr>
            <w:tcW w:w="777" w:type="pct"/>
          </w:tcPr>
          <w:p w14:paraId="2469A468" w14:textId="77777777" w:rsidR="00E82023" w:rsidRPr="006644E5" w:rsidRDefault="00E82023" w:rsidP="00E82023">
            <w:pPr>
              <w:pStyle w:val="TableText"/>
              <w:jc w:val="center"/>
              <w:rPr>
                <w:rFonts w:eastAsia="Calibri"/>
                <w:szCs w:val="20"/>
              </w:rPr>
            </w:pPr>
            <w:r w:rsidRPr="006644E5">
              <w:t>0.459</w:t>
            </w:r>
          </w:p>
        </w:tc>
        <w:tc>
          <w:tcPr>
            <w:tcW w:w="777" w:type="pct"/>
          </w:tcPr>
          <w:p w14:paraId="03D4EB7F" w14:textId="3DFBC56C"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2</w:t>
            </w:r>
          </w:p>
        </w:tc>
        <w:tc>
          <w:tcPr>
            <w:tcW w:w="777" w:type="pct"/>
          </w:tcPr>
          <w:p w14:paraId="1A5B2614" w14:textId="7ED187DD" w:rsidR="00E82023" w:rsidRPr="00051030" w:rsidRDefault="00E82023" w:rsidP="00E82023">
            <w:pPr>
              <w:pStyle w:val="TableText"/>
              <w:jc w:val="center"/>
              <w:rPr>
                <w:rFonts w:eastAsia="Calibri"/>
                <w:i/>
                <w:iCs/>
                <w:szCs w:val="20"/>
                <w:highlight w:val="yellow"/>
              </w:rPr>
            </w:pPr>
            <w:r w:rsidRPr="00C418E6">
              <w:rPr>
                <w:b/>
                <w:bCs/>
                <w:i/>
              </w:rPr>
              <w:t>redacted</w:t>
            </w:r>
            <w:r w:rsidRPr="00C418E6">
              <w:rPr>
                <w:i/>
              </w:rPr>
              <w:t xml:space="preserve">% </w:t>
            </w:r>
          </w:p>
        </w:tc>
      </w:tr>
      <w:tr w:rsidR="0080067E" w:rsidRPr="00732F32" w14:paraId="4AC257B1" w14:textId="77777777">
        <w:trPr>
          <w:cantSplit/>
          <w:trHeight w:val="283"/>
        </w:trPr>
        <w:tc>
          <w:tcPr>
            <w:tcW w:w="5000" w:type="pct"/>
            <w:gridSpan w:val="5"/>
            <w:vAlign w:val="center"/>
          </w:tcPr>
          <w:p w14:paraId="1E3AA46B" w14:textId="2A97C816" w:rsidR="0080067E" w:rsidRPr="003742E5" w:rsidRDefault="0080067E">
            <w:pPr>
              <w:pStyle w:val="TableText"/>
              <w:rPr>
                <w:rFonts w:eastAsia="Calibri"/>
                <w:b/>
                <w:bCs/>
                <w:szCs w:val="20"/>
              </w:rPr>
            </w:pPr>
            <w:r w:rsidRPr="003742E5">
              <w:rPr>
                <w:b/>
                <w:bCs/>
              </w:rPr>
              <w:t>Duration of HbA1c effects (base case 7 years constant and increased steadily by 0.05% beyond 7</w:t>
            </w:r>
            <w:r w:rsidR="00052D88" w:rsidRPr="003742E5">
              <w:rPr>
                <w:b/>
                <w:bCs/>
              </w:rPr>
              <w:t xml:space="preserve"> </w:t>
            </w:r>
            <w:r w:rsidRPr="003742E5">
              <w:rPr>
                <w:b/>
                <w:bCs/>
              </w:rPr>
              <w:t>year</w:t>
            </w:r>
            <w:r w:rsidR="00052D88" w:rsidRPr="003742E5">
              <w:rPr>
                <w:b/>
                <w:bCs/>
              </w:rPr>
              <w:t>s</w:t>
            </w:r>
            <w:r w:rsidRPr="003742E5">
              <w:rPr>
                <w:b/>
                <w:bCs/>
              </w:rPr>
              <w:t>)</w:t>
            </w:r>
          </w:p>
        </w:tc>
      </w:tr>
      <w:tr w:rsidR="00E82023" w:rsidRPr="00732F32" w14:paraId="2243C013" w14:textId="77777777">
        <w:trPr>
          <w:cantSplit/>
          <w:trHeight w:val="283"/>
        </w:trPr>
        <w:tc>
          <w:tcPr>
            <w:tcW w:w="1744" w:type="pct"/>
            <w:vAlign w:val="center"/>
          </w:tcPr>
          <w:p w14:paraId="1CAAEB55" w14:textId="77777777" w:rsidR="00E82023" w:rsidRPr="00732F32" w:rsidRDefault="00E82023" w:rsidP="00E82023">
            <w:pPr>
              <w:pStyle w:val="TableText"/>
            </w:pPr>
            <w:r w:rsidRPr="00732F32">
              <w:t xml:space="preserve">7 years constant converging at 8 years </w:t>
            </w:r>
          </w:p>
        </w:tc>
        <w:tc>
          <w:tcPr>
            <w:tcW w:w="925" w:type="pct"/>
          </w:tcPr>
          <w:p w14:paraId="6412E109" w14:textId="47561C00" w:rsidR="00E82023" w:rsidRPr="00051030" w:rsidRDefault="00E82023" w:rsidP="00E82023">
            <w:pPr>
              <w:pStyle w:val="TableText"/>
              <w:jc w:val="center"/>
              <w:rPr>
                <w:rFonts w:eastAsia="Calibri"/>
                <w:szCs w:val="20"/>
                <w:highlight w:val="yellow"/>
              </w:rPr>
            </w:pPr>
            <w:r w:rsidRPr="00E25D57">
              <w:rPr>
                <w:bCs/>
              </w:rPr>
              <w:t>$</w:t>
            </w:r>
            <w:r w:rsidRPr="00E25D57">
              <w:rPr>
                <w:b/>
              </w:rPr>
              <w:t>Redacted</w:t>
            </w:r>
          </w:p>
        </w:tc>
        <w:tc>
          <w:tcPr>
            <w:tcW w:w="777" w:type="pct"/>
          </w:tcPr>
          <w:p w14:paraId="43500936" w14:textId="77777777" w:rsidR="00E82023" w:rsidRPr="006644E5" w:rsidRDefault="00E82023" w:rsidP="00E82023">
            <w:pPr>
              <w:pStyle w:val="TableText"/>
              <w:jc w:val="center"/>
              <w:rPr>
                <w:rFonts w:eastAsia="Calibri"/>
                <w:szCs w:val="20"/>
              </w:rPr>
            </w:pPr>
            <w:r w:rsidRPr="006644E5">
              <w:t>0.485</w:t>
            </w:r>
          </w:p>
        </w:tc>
        <w:tc>
          <w:tcPr>
            <w:tcW w:w="777" w:type="pct"/>
          </w:tcPr>
          <w:p w14:paraId="707E2884" w14:textId="4D7D096F" w:rsidR="00E82023" w:rsidRPr="00051030" w:rsidRDefault="00E82023" w:rsidP="00E82023">
            <w:pPr>
              <w:pStyle w:val="TableText"/>
              <w:jc w:val="center"/>
              <w:rPr>
                <w:rFonts w:eastAsia="Calibri"/>
                <w:szCs w:val="20"/>
                <w:highlight w:val="yellow"/>
              </w:rPr>
            </w:pPr>
            <w:r w:rsidRPr="00D8026C">
              <w:rPr>
                <w:bCs/>
              </w:rPr>
              <w:t>$</w:t>
            </w:r>
            <w:r w:rsidRPr="00D8026C">
              <w:rPr>
                <w:b/>
              </w:rPr>
              <w:t>Redacted</w:t>
            </w:r>
            <w:r w:rsidRPr="00D8026C">
              <w:rPr>
                <w:bCs/>
                <w:vertAlign w:val="superscript"/>
              </w:rPr>
              <w:t>2</w:t>
            </w:r>
          </w:p>
        </w:tc>
        <w:tc>
          <w:tcPr>
            <w:tcW w:w="777" w:type="pct"/>
          </w:tcPr>
          <w:p w14:paraId="32E5503B" w14:textId="50DFD492" w:rsidR="00E82023" w:rsidRPr="00051030" w:rsidRDefault="00E82023" w:rsidP="00E82023">
            <w:pPr>
              <w:pStyle w:val="TableText"/>
              <w:jc w:val="center"/>
              <w:rPr>
                <w:rFonts w:eastAsia="Calibri"/>
                <w:i/>
                <w:iCs/>
                <w:szCs w:val="20"/>
                <w:highlight w:val="yellow"/>
              </w:rPr>
            </w:pPr>
            <w:r w:rsidRPr="00C9059D">
              <w:rPr>
                <w:b/>
                <w:bCs/>
                <w:i/>
              </w:rPr>
              <w:t>redacted</w:t>
            </w:r>
            <w:r w:rsidRPr="00C9059D">
              <w:rPr>
                <w:i/>
              </w:rPr>
              <w:t xml:space="preserve">% </w:t>
            </w:r>
          </w:p>
        </w:tc>
      </w:tr>
      <w:tr w:rsidR="00E82023" w:rsidRPr="00732F32" w14:paraId="118BC59D" w14:textId="77777777">
        <w:trPr>
          <w:cantSplit/>
          <w:trHeight w:val="283"/>
        </w:trPr>
        <w:tc>
          <w:tcPr>
            <w:tcW w:w="1744" w:type="pct"/>
            <w:vAlign w:val="center"/>
          </w:tcPr>
          <w:p w14:paraId="1C2C6E2C" w14:textId="77777777" w:rsidR="00E82023" w:rsidRPr="00732F32" w:rsidRDefault="00E82023" w:rsidP="00E82023">
            <w:pPr>
              <w:pStyle w:val="TableText"/>
            </w:pPr>
            <w:r w:rsidRPr="00732F32">
              <w:t xml:space="preserve">7 years constant converging at 14 years </w:t>
            </w:r>
          </w:p>
        </w:tc>
        <w:tc>
          <w:tcPr>
            <w:tcW w:w="925" w:type="pct"/>
          </w:tcPr>
          <w:p w14:paraId="6F8B5C95" w14:textId="35EAB86F" w:rsidR="00E82023" w:rsidRPr="00051030" w:rsidRDefault="00E82023" w:rsidP="00E82023">
            <w:pPr>
              <w:pStyle w:val="TableText"/>
              <w:jc w:val="center"/>
              <w:rPr>
                <w:rFonts w:eastAsia="Calibri"/>
                <w:szCs w:val="20"/>
                <w:highlight w:val="yellow"/>
              </w:rPr>
            </w:pPr>
            <w:r w:rsidRPr="00E25D57">
              <w:rPr>
                <w:bCs/>
              </w:rPr>
              <w:t>$</w:t>
            </w:r>
            <w:r w:rsidRPr="00E25D57">
              <w:rPr>
                <w:b/>
              </w:rPr>
              <w:t>Redacted</w:t>
            </w:r>
          </w:p>
        </w:tc>
        <w:tc>
          <w:tcPr>
            <w:tcW w:w="777" w:type="pct"/>
          </w:tcPr>
          <w:p w14:paraId="506BAEB9" w14:textId="77777777" w:rsidR="00E82023" w:rsidRPr="006644E5" w:rsidRDefault="00E82023" w:rsidP="00E82023">
            <w:pPr>
              <w:pStyle w:val="TableText"/>
              <w:jc w:val="center"/>
              <w:rPr>
                <w:rFonts w:eastAsia="Calibri"/>
                <w:szCs w:val="20"/>
              </w:rPr>
            </w:pPr>
            <w:r w:rsidRPr="006644E5">
              <w:t>0.490</w:t>
            </w:r>
          </w:p>
        </w:tc>
        <w:tc>
          <w:tcPr>
            <w:tcW w:w="777" w:type="pct"/>
          </w:tcPr>
          <w:p w14:paraId="4E1ACCF1" w14:textId="08B25A89" w:rsidR="00E82023" w:rsidRPr="00051030" w:rsidRDefault="00E82023" w:rsidP="00E82023">
            <w:pPr>
              <w:pStyle w:val="TableText"/>
              <w:jc w:val="center"/>
              <w:rPr>
                <w:rFonts w:eastAsia="Calibri"/>
                <w:szCs w:val="20"/>
                <w:highlight w:val="yellow"/>
              </w:rPr>
            </w:pPr>
            <w:r w:rsidRPr="00D8026C">
              <w:rPr>
                <w:bCs/>
              </w:rPr>
              <w:t>$</w:t>
            </w:r>
            <w:r w:rsidRPr="00D8026C">
              <w:rPr>
                <w:b/>
              </w:rPr>
              <w:t>Redacted</w:t>
            </w:r>
            <w:r w:rsidRPr="00D8026C">
              <w:rPr>
                <w:bCs/>
                <w:vertAlign w:val="superscript"/>
              </w:rPr>
              <w:t>2</w:t>
            </w:r>
          </w:p>
        </w:tc>
        <w:tc>
          <w:tcPr>
            <w:tcW w:w="777" w:type="pct"/>
          </w:tcPr>
          <w:p w14:paraId="75351C4E" w14:textId="3D47F5F0" w:rsidR="00E82023" w:rsidRPr="00051030" w:rsidRDefault="00E82023" w:rsidP="00E82023">
            <w:pPr>
              <w:pStyle w:val="TableText"/>
              <w:jc w:val="center"/>
              <w:rPr>
                <w:rFonts w:eastAsia="Calibri"/>
                <w:i/>
                <w:iCs/>
                <w:szCs w:val="20"/>
                <w:highlight w:val="yellow"/>
              </w:rPr>
            </w:pPr>
            <w:r w:rsidRPr="00C9059D">
              <w:rPr>
                <w:b/>
                <w:bCs/>
                <w:i/>
              </w:rPr>
              <w:t>redacted</w:t>
            </w:r>
            <w:r w:rsidRPr="00C9059D">
              <w:rPr>
                <w:i/>
              </w:rPr>
              <w:t xml:space="preserve">% </w:t>
            </w:r>
          </w:p>
        </w:tc>
      </w:tr>
      <w:tr w:rsidR="0080067E" w:rsidRPr="00732F32" w14:paraId="4B44E48E" w14:textId="77777777">
        <w:trPr>
          <w:cantSplit/>
          <w:trHeight w:val="283"/>
        </w:trPr>
        <w:tc>
          <w:tcPr>
            <w:tcW w:w="5000" w:type="pct"/>
            <w:gridSpan w:val="5"/>
            <w:vAlign w:val="center"/>
          </w:tcPr>
          <w:p w14:paraId="3A28D374" w14:textId="77777777" w:rsidR="0080067E" w:rsidRPr="003742E5" w:rsidRDefault="0080067E">
            <w:pPr>
              <w:pStyle w:val="TableText"/>
              <w:rPr>
                <w:rFonts w:eastAsia="Calibri"/>
                <w:b/>
                <w:bCs/>
                <w:szCs w:val="20"/>
              </w:rPr>
            </w:pPr>
            <w:r w:rsidRPr="003742E5">
              <w:rPr>
                <w:b/>
                <w:bCs/>
              </w:rPr>
              <w:t xml:space="preserve">FoH utility (base case </w:t>
            </w:r>
            <w:r w:rsidRPr="003742E5">
              <w:rPr>
                <w:b/>
                <w:bCs/>
                <w:lang w:val="en-US"/>
              </w:rPr>
              <w:t>0.0155)</w:t>
            </w:r>
          </w:p>
        </w:tc>
      </w:tr>
      <w:tr w:rsidR="00E82023" w:rsidRPr="00732F32" w14:paraId="0713E601" w14:textId="77777777">
        <w:trPr>
          <w:cantSplit/>
          <w:trHeight w:val="283"/>
        </w:trPr>
        <w:tc>
          <w:tcPr>
            <w:tcW w:w="1744" w:type="pct"/>
            <w:vAlign w:val="center"/>
          </w:tcPr>
          <w:p w14:paraId="2D00E624" w14:textId="15378611" w:rsidR="00E82023" w:rsidRPr="00732F32" w:rsidRDefault="00E82023" w:rsidP="00E82023">
            <w:pPr>
              <w:pStyle w:val="TableText"/>
            </w:pPr>
            <w:r w:rsidRPr="00FB143E">
              <w:t>DIAMOND</w:t>
            </w:r>
            <w:r w:rsidRPr="00FB143E">
              <w:fldChar w:fldCharType="begin"/>
            </w:r>
            <w:r w:rsidRPr="00FB143E">
              <w:instrText xml:space="preserve"> NOTEREF _Ref226546296 \f \h </w:instrText>
            </w:r>
            <w:r>
              <w:instrText xml:space="preserve"> \* MERGEFORMAT </w:instrText>
            </w:r>
            <w:r w:rsidRPr="00FB143E">
              <w:fldChar w:fldCharType="separate"/>
            </w:r>
            <w:r w:rsidRPr="0098516D">
              <w:rPr>
                <w:rStyle w:val="FootnoteReference"/>
              </w:rPr>
              <w:t>8</w:t>
            </w:r>
            <w:r w:rsidRPr="00FB143E">
              <w:fldChar w:fldCharType="end"/>
            </w:r>
            <w:r w:rsidRPr="00FB143E">
              <w:t xml:space="preserve"> FoH utility</w:t>
            </w:r>
            <w:r w:rsidRPr="00732F32">
              <w:t xml:space="preserve"> (0.025)</w:t>
            </w:r>
          </w:p>
        </w:tc>
        <w:tc>
          <w:tcPr>
            <w:tcW w:w="925" w:type="pct"/>
          </w:tcPr>
          <w:p w14:paraId="1689C2A8" w14:textId="0CB2CC8F" w:rsidR="00E82023" w:rsidRPr="00051030" w:rsidRDefault="00E82023" w:rsidP="00E82023">
            <w:pPr>
              <w:pStyle w:val="TableText"/>
              <w:jc w:val="center"/>
              <w:rPr>
                <w:rFonts w:eastAsia="Calibri"/>
                <w:szCs w:val="20"/>
                <w:highlight w:val="yellow"/>
              </w:rPr>
            </w:pPr>
            <w:r w:rsidRPr="00AF28F2">
              <w:rPr>
                <w:bCs/>
              </w:rPr>
              <w:t>$</w:t>
            </w:r>
            <w:r w:rsidRPr="00AF28F2">
              <w:rPr>
                <w:b/>
              </w:rPr>
              <w:t>Redacted</w:t>
            </w:r>
          </w:p>
        </w:tc>
        <w:tc>
          <w:tcPr>
            <w:tcW w:w="777" w:type="pct"/>
          </w:tcPr>
          <w:p w14:paraId="3DFD56C3" w14:textId="77777777" w:rsidR="00E82023" w:rsidRPr="006644E5" w:rsidRDefault="00E82023" w:rsidP="00E82023">
            <w:pPr>
              <w:pStyle w:val="TableText"/>
              <w:jc w:val="center"/>
              <w:rPr>
                <w:rFonts w:eastAsia="Calibri"/>
                <w:szCs w:val="20"/>
              </w:rPr>
            </w:pPr>
            <w:r w:rsidRPr="006644E5">
              <w:t>0.607</w:t>
            </w:r>
          </w:p>
        </w:tc>
        <w:tc>
          <w:tcPr>
            <w:tcW w:w="777" w:type="pct"/>
          </w:tcPr>
          <w:p w14:paraId="3AF6455E" w14:textId="425E51A8"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sidRPr="00D46BF9">
              <w:rPr>
                <w:bCs/>
                <w:vertAlign w:val="superscript"/>
              </w:rPr>
              <w:t>1</w:t>
            </w:r>
          </w:p>
        </w:tc>
        <w:tc>
          <w:tcPr>
            <w:tcW w:w="777" w:type="pct"/>
          </w:tcPr>
          <w:p w14:paraId="14CFE86A" w14:textId="48C2EEEF" w:rsidR="00E82023" w:rsidRPr="00051030" w:rsidRDefault="00E82023" w:rsidP="00E82023">
            <w:pPr>
              <w:pStyle w:val="TableText"/>
              <w:jc w:val="center"/>
              <w:rPr>
                <w:rFonts w:eastAsia="Calibri"/>
                <w:i/>
                <w:iCs/>
                <w:szCs w:val="20"/>
                <w:highlight w:val="yellow"/>
              </w:rPr>
            </w:pPr>
            <w:r w:rsidRPr="00C036AE">
              <w:rPr>
                <w:b/>
                <w:bCs/>
                <w:i/>
              </w:rPr>
              <w:t>redacted</w:t>
            </w:r>
            <w:r w:rsidRPr="00C036AE">
              <w:rPr>
                <w:i/>
              </w:rPr>
              <w:t xml:space="preserve">% </w:t>
            </w:r>
          </w:p>
        </w:tc>
      </w:tr>
      <w:tr w:rsidR="00E82023" w:rsidRPr="00732F32" w14:paraId="16B8C662" w14:textId="77777777">
        <w:trPr>
          <w:cantSplit/>
          <w:trHeight w:val="283"/>
        </w:trPr>
        <w:tc>
          <w:tcPr>
            <w:tcW w:w="1744" w:type="pct"/>
            <w:vAlign w:val="center"/>
          </w:tcPr>
          <w:p w14:paraId="216B7062" w14:textId="77777777" w:rsidR="00E82023" w:rsidRPr="00732F32" w:rsidRDefault="00E82023" w:rsidP="00E82023">
            <w:pPr>
              <w:pStyle w:val="TableText"/>
            </w:pPr>
            <w:r w:rsidRPr="00732F32">
              <w:t>No FoH utility</w:t>
            </w:r>
          </w:p>
        </w:tc>
        <w:tc>
          <w:tcPr>
            <w:tcW w:w="925" w:type="pct"/>
          </w:tcPr>
          <w:p w14:paraId="31C32609" w14:textId="79552D79" w:rsidR="00E82023" w:rsidRPr="00051030" w:rsidRDefault="00E82023" w:rsidP="00E82023">
            <w:pPr>
              <w:pStyle w:val="TableText"/>
              <w:jc w:val="center"/>
              <w:rPr>
                <w:rFonts w:eastAsia="Calibri"/>
                <w:szCs w:val="20"/>
                <w:highlight w:val="yellow"/>
              </w:rPr>
            </w:pPr>
            <w:r w:rsidRPr="00AF28F2">
              <w:rPr>
                <w:bCs/>
              </w:rPr>
              <w:t>$</w:t>
            </w:r>
            <w:r w:rsidRPr="00AF28F2">
              <w:rPr>
                <w:b/>
              </w:rPr>
              <w:t>Redacted</w:t>
            </w:r>
          </w:p>
        </w:tc>
        <w:tc>
          <w:tcPr>
            <w:tcW w:w="777" w:type="pct"/>
          </w:tcPr>
          <w:p w14:paraId="2696F738" w14:textId="77777777" w:rsidR="00E82023" w:rsidRPr="006644E5" w:rsidRDefault="00E82023" w:rsidP="00E82023">
            <w:pPr>
              <w:pStyle w:val="TableText"/>
              <w:jc w:val="center"/>
              <w:rPr>
                <w:rFonts w:eastAsia="Calibri"/>
                <w:szCs w:val="20"/>
              </w:rPr>
            </w:pPr>
            <w:r w:rsidRPr="006644E5">
              <w:t>0.360</w:t>
            </w:r>
          </w:p>
        </w:tc>
        <w:tc>
          <w:tcPr>
            <w:tcW w:w="777" w:type="pct"/>
          </w:tcPr>
          <w:p w14:paraId="0896F1EB" w14:textId="53BE7550"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2</w:t>
            </w:r>
          </w:p>
        </w:tc>
        <w:tc>
          <w:tcPr>
            <w:tcW w:w="777" w:type="pct"/>
          </w:tcPr>
          <w:p w14:paraId="21CB7E4B" w14:textId="4CA76FBA" w:rsidR="00E82023" w:rsidRPr="00051030" w:rsidRDefault="00E82023" w:rsidP="00E82023">
            <w:pPr>
              <w:pStyle w:val="TableText"/>
              <w:jc w:val="center"/>
              <w:rPr>
                <w:rFonts w:eastAsia="Calibri"/>
                <w:i/>
                <w:iCs/>
                <w:szCs w:val="20"/>
                <w:highlight w:val="yellow"/>
              </w:rPr>
            </w:pPr>
            <w:r w:rsidRPr="00C036AE">
              <w:rPr>
                <w:b/>
                <w:bCs/>
                <w:i/>
              </w:rPr>
              <w:t>redacted</w:t>
            </w:r>
            <w:r w:rsidRPr="00C036AE">
              <w:rPr>
                <w:i/>
              </w:rPr>
              <w:t xml:space="preserve">% </w:t>
            </w:r>
          </w:p>
        </w:tc>
      </w:tr>
      <w:tr w:rsidR="0080067E" w:rsidRPr="00732F32" w14:paraId="04460C48" w14:textId="77777777">
        <w:trPr>
          <w:cantSplit/>
          <w:trHeight w:val="283"/>
        </w:trPr>
        <w:tc>
          <w:tcPr>
            <w:tcW w:w="5000" w:type="pct"/>
            <w:gridSpan w:val="5"/>
            <w:vAlign w:val="center"/>
          </w:tcPr>
          <w:p w14:paraId="499F6DD9" w14:textId="77777777" w:rsidR="0080067E" w:rsidRPr="003742E5" w:rsidRDefault="0080067E">
            <w:pPr>
              <w:pStyle w:val="TableText"/>
              <w:rPr>
                <w:rFonts w:eastAsia="Calibri"/>
                <w:b/>
                <w:bCs/>
                <w:szCs w:val="20"/>
              </w:rPr>
            </w:pPr>
            <w:r w:rsidRPr="003742E5">
              <w:rPr>
                <w:b/>
                <w:bCs/>
              </w:rPr>
              <w:t xml:space="preserve">DKA, SHE incidence and FoH (base case </w:t>
            </w:r>
            <w:r w:rsidRPr="003742E5">
              <w:rPr>
                <w:b/>
                <w:bCs/>
                <w:lang w:val="en-US"/>
              </w:rPr>
              <w:t>2.5%, 4% and 0.0155)</w:t>
            </w:r>
          </w:p>
        </w:tc>
      </w:tr>
      <w:tr w:rsidR="00E82023" w:rsidRPr="00732F32" w14:paraId="51D0CC68" w14:textId="77777777">
        <w:trPr>
          <w:cantSplit/>
          <w:trHeight w:val="283"/>
        </w:trPr>
        <w:tc>
          <w:tcPr>
            <w:tcW w:w="1744" w:type="pct"/>
            <w:vAlign w:val="center"/>
          </w:tcPr>
          <w:p w14:paraId="0E51CF98" w14:textId="1BE3B3E9" w:rsidR="00E82023" w:rsidRPr="00732F32" w:rsidRDefault="00E82023" w:rsidP="00E82023">
            <w:pPr>
              <w:pStyle w:val="TableText"/>
            </w:pPr>
            <w:r w:rsidRPr="00732F32">
              <w:t xml:space="preserve">50% </w:t>
            </w:r>
            <w:r>
              <w:t xml:space="preserve">reduction </w:t>
            </w:r>
            <w:r w:rsidRPr="00732F32">
              <w:t>for all DKA and SHE in SMBG arm and FoH utility in RT-CGM arm</w:t>
            </w:r>
          </w:p>
        </w:tc>
        <w:tc>
          <w:tcPr>
            <w:tcW w:w="925" w:type="pct"/>
          </w:tcPr>
          <w:p w14:paraId="7395BEDA" w14:textId="4E762177" w:rsidR="00E82023" w:rsidRPr="00051030" w:rsidRDefault="00E82023" w:rsidP="00E82023">
            <w:pPr>
              <w:pStyle w:val="TableText"/>
              <w:jc w:val="center"/>
              <w:rPr>
                <w:rFonts w:eastAsia="Calibri"/>
                <w:szCs w:val="20"/>
                <w:highlight w:val="yellow"/>
              </w:rPr>
            </w:pPr>
            <w:r w:rsidRPr="003271AC">
              <w:rPr>
                <w:bCs/>
              </w:rPr>
              <w:t>$</w:t>
            </w:r>
            <w:r w:rsidRPr="003271AC">
              <w:rPr>
                <w:b/>
              </w:rPr>
              <w:t>Redacted</w:t>
            </w:r>
          </w:p>
        </w:tc>
        <w:tc>
          <w:tcPr>
            <w:tcW w:w="777" w:type="pct"/>
          </w:tcPr>
          <w:p w14:paraId="52C799B8" w14:textId="77777777" w:rsidR="00E82023" w:rsidRPr="006644E5" w:rsidRDefault="00E82023" w:rsidP="00E82023">
            <w:pPr>
              <w:pStyle w:val="TableText"/>
              <w:jc w:val="center"/>
              <w:rPr>
                <w:rFonts w:eastAsia="Calibri"/>
                <w:szCs w:val="20"/>
              </w:rPr>
            </w:pPr>
            <w:r w:rsidRPr="006644E5">
              <w:t>0.426</w:t>
            </w:r>
          </w:p>
        </w:tc>
        <w:tc>
          <w:tcPr>
            <w:tcW w:w="777" w:type="pct"/>
          </w:tcPr>
          <w:p w14:paraId="4E6110AB" w14:textId="24EEA57A"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2</w:t>
            </w:r>
          </w:p>
        </w:tc>
        <w:tc>
          <w:tcPr>
            <w:tcW w:w="777" w:type="pct"/>
          </w:tcPr>
          <w:p w14:paraId="7CC94E61" w14:textId="724F0B97" w:rsidR="00E82023" w:rsidRPr="00051030" w:rsidRDefault="00E82023" w:rsidP="00E82023">
            <w:pPr>
              <w:pStyle w:val="TableText"/>
              <w:jc w:val="center"/>
              <w:rPr>
                <w:rFonts w:eastAsia="Calibri"/>
                <w:i/>
                <w:iCs/>
                <w:szCs w:val="20"/>
                <w:highlight w:val="yellow"/>
              </w:rPr>
            </w:pPr>
            <w:r w:rsidRPr="00994739">
              <w:rPr>
                <w:b/>
                <w:bCs/>
                <w:i/>
              </w:rPr>
              <w:t>redacted</w:t>
            </w:r>
            <w:r w:rsidRPr="00994739">
              <w:rPr>
                <w:i/>
              </w:rPr>
              <w:t xml:space="preserve">% </w:t>
            </w:r>
          </w:p>
        </w:tc>
      </w:tr>
      <w:tr w:rsidR="00E82023" w:rsidRPr="00732F32" w14:paraId="2A4945F5" w14:textId="77777777">
        <w:trPr>
          <w:cantSplit/>
          <w:trHeight w:val="283"/>
        </w:trPr>
        <w:tc>
          <w:tcPr>
            <w:tcW w:w="1744" w:type="pct"/>
            <w:vAlign w:val="center"/>
          </w:tcPr>
          <w:p w14:paraId="523EA4A5" w14:textId="77777777" w:rsidR="00E82023" w:rsidRPr="00732F32" w:rsidRDefault="00E82023" w:rsidP="00E82023">
            <w:pPr>
              <w:pStyle w:val="TableText"/>
            </w:pPr>
            <w:r w:rsidRPr="00732F32">
              <w:t xml:space="preserve">No DKA or SHE in SMBG arm and no FoH utility for RT-CGM </w:t>
            </w:r>
          </w:p>
        </w:tc>
        <w:tc>
          <w:tcPr>
            <w:tcW w:w="925" w:type="pct"/>
          </w:tcPr>
          <w:p w14:paraId="483F393D" w14:textId="5D7C8AA0" w:rsidR="00E82023" w:rsidRPr="00051030" w:rsidRDefault="00E82023" w:rsidP="00E82023">
            <w:pPr>
              <w:pStyle w:val="TableText"/>
              <w:jc w:val="center"/>
              <w:rPr>
                <w:rFonts w:eastAsia="Calibri"/>
                <w:szCs w:val="20"/>
                <w:highlight w:val="yellow"/>
              </w:rPr>
            </w:pPr>
            <w:r w:rsidRPr="003271AC">
              <w:rPr>
                <w:bCs/>
              </w:rPr>
              <w:t>$</w:t>
            </w:r>
            <w:r w:rsidRPr="003271AC">
              <w:rPr>
                <w:b/>
              </w:rPr>
              <w:t>Redacted</w:t>
            </w:r>
          </w:p>
        </w:tc>
        <w:tc>
          <w:tcPr>
            <w:tcW w:w="777" w:type="pct"/>
          </w:tcPr>
          <w:p w14:paraId="3C83B732" w14:textId="77777777" w:rsidR="00E82023" w:rsidRPr="006644E5" w:rsidRDefault="00E82023" w:rsidP="00E82023">
            <w:pPr>
              <w:pStyle w:val="TableText"/>
              <w:jc w:val="center"/>
              <w:rPr>
                <w:rFonts w:eastAsia="Calibri"/>
                <w:szCs w:val="20"/>
              </w:rPr>
            </w:pPr>
            <w:r w:rsidRPr="006644E5">
              <w:t>0.341</w:t>
            </w:r>
          </w:p>
        </w:tc>
        <w:tc>
          <w:tcPr>
            <w:tcW w:w="777" w:type="pct"/>
          </w:tcPr>
          <w:p w14:paraId="2417D16E" w14:textId="0DDF1630"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3</w:t>
            </w:r>
          </w:p>
        </w:tc>
        <w:tc>
          <w:tcPr>
            <w:tcW w:w="777" w:type="pct"/>
          </w:tcPr>
          <w:p w14:paraId="40CA41C0" w14:textId="4262DECB" w:rsidR="00E82023" w:rsidRPr="00051030" w:rsidRDefault="00E82023" w:rsidP="00E82023">
            <w:pPr>
              <w:pStyle w:val="TableText"/>
              <w:jc w:val="center"/>
              <w:rPr>
                <w:rFonts w:eastAsia="Calibri"/>
                <w:i/>
                <w:iCs/>
                <w:szCs w:val="20"/>
                <w:highlight w:val="yellow"/>
              </w:rPr>
            </w:pPr>
            <w:r w:rsidRPr="00994739">
              <w:rPr>
                <w:b/>
                <w:bCs/>
                <w:i/>
              </w:rPr>
              <w:t>redacted</w:t>
            </w:r>
            <w:r w:rsidRPr="00994739">
              <w:rPr>
                <w:i/>
              </w:rPr>
              <w:t xml:space="preserve">% </w:t>
            </w:r>
          </w:p>
        </w:tc>
      </w:tr>
      <w:tr w:rsidR="0080067E" w:rsidRPr="00732F32" w14:paraId="1B1B4EC5" w14:textId="77777777" w:rsidTr="000E2889">
        <w:trPr>
          <w:cantSplit/>
          <w:trHeight w:val="283"/>
        </w:trPr>
        <w:tc>
          <w:tcPr>
            <w:tcW w:w="5000" w:type="pct"/>
            <w:gridSpan w:val="5"/>
            <w:shd w:val="clear" w:color="auto" w:fill="D9D9D9" w:themeFill="background1" w:themeFillShade="D9"/>
            <w:vAlign w:val="center"/>
          </w:tcPr>
          <w:p w14:paraId="580D8E5C" w14:textId="77777777" w:rsidR="0080067E" w:rsidRPr="00732F32" w:rsidRDefault="0080067E" w:rsidP="000E2889">
            <w:pPr>
              <w:pStyle w:val="In-tableHeading"/>
              <w:rPr>
                <w:rFonts w:eastAsia="Calibri"/>
                <w:szCs w:val="20"/>
              </w:rPr>
            </w:pPr>
            <w:r w:rsidRPr="00732F32">
              <w:t>Non-IIT subpopulation</w:t>
            </w:r>
          </w:p>
        </w:tc>
      </w:tr>
      <w:tr w:rsidR="0080067E" w:rsidRPr="00732F32" w14:paraId="7829C563" w14:textId="77777777">
        <w:trPr>
          <w:cantSplit/>
          <w:trHeight w:val="283"/>
        </w:trPr>
        <w:tc>
          <w:tcPr>
            <w:tcW w:w="1744" w:type="pct"/>
          </w:tcPr>
          <w:p w14:paraId="01A98BE6" w14:textId="77777777" w:rsidR="0080067E" w:rsidRPr="00732F32" w:rsidRDefault="0080067E">
            <w:pPr>
              <w:pStyle w:val="TableText"/>
            </w:pPr>
            <w:r w:rsidRPr="00732F32">
              <w:rPr>
                <w:b/>
              </w:rPr>
              <w:t>Base case</w:t>
            </w:r>
          </w:p>
        </w:tc>
        <w:tc>
          <w:tcPr>
            <w:tcW w:w="925" w:type="pct"/>
          </w:tcPr>
          <w:p w14:paraId="6068B019" w14:textId="6609E3CA" w:rsidR="0080067E" w:rsidRPr="00732F32" w:rsidRDefault="007C6786">
            <w:pPr>
              <w:pStyle w:val="TableText"/>
              <w:jc w:val="center"/>
              <w:rPr>
                <w:rFonts w:eastAsia="Calibri"/>
                <w:szCs w:val="20"/>
              </w:rPr>
            </w:pPr>
            <w:r w:rsidRPr="00D46BF9">
              <w:rPr>
                <w:b/>
              </w:rPr>
              <w:t>$Redacted</w:t>
            </w:r>
          </w:p>
        </w:tc>
        <w:tc>
          <w:tcPr>
            <w:tcW w:w="777" w:type="pct"/>
          </w:tcPr>
          <w:p w14:paraId="2B389C1B" w14:textId="77777777" w:rsidR="0080067E" w:rsidRPr="00732F32" w:rsidRDefault="0080067E">
            <w:pPr>
              <w:pStyle w:val="TableText"/>
              <w:jc w:val="center"/>
              <w:rPr>
                <w:rFonts w:eastAsia="Calibri"/>
                <w:szCs w:val="20"/>
              </w:rPr>
            </w:pPr>
            <w:r w:rsidRPr="00732F32">
              <w:rPr>
                <w:b/>
              </w:rPr>
              <w:t>0.287</w:t>
            </w:r>
          </w:p>
        </w:tc>
        <w:tc>
          <w:tcPr>
            <w:tcW w:w="777" w:type="pct"/>
          </w:tcPr>
          <w:p w14:paraId="35C981C4" w14:textId="2CDB3F05" w:rsidR="0080067E" w:rsidRPr="00732F32" w:rsidRDefault="00136810">
            <w:pPr>
              <w:pStyle w:val="TableText"/>
              <w:jc w:val="center"/>
              <w:rPr>
                <w:rFonts w:eastAsia="Calibri"/>
                <w:szCs w:val="20"/>
              </w:rPr>
            </w:pPr>
            <w:r w:rsidRPr="00051030">
              <w:rPr>
                <w:b/>
              </w:rPr>
              <w:t>$</w:t>
            </w:r>
            <w:r w:rsidRPr="00D46BF9">
              <w:rPr>
                <w:b/>
              </w:rPr>
              <w:t>Redacted</w:t>
            </w:r>
            <w:r>
              <w:rPr>
                <w:bCs/>
                <w:vertAlign w:val="superscript"/>
              </w:rPr>
              <w:t>3</w:t>
            </w:r>
          </w:p>
        </w:tc>
        <w:tc>
          <w:tcPr>
            <w:tcW w:w="777" w:type="pct"/>
          </w:tcPr>
          <w:p w14:paraId="0E83FA66" w14:textId="77777777" w:rsidR="0080067E" w:rsidRPr="00732F32" w:rsidRDefault="0080067E">
            <w:pPr>
              <w:pStyle w:val="TableText"/>
              <w:jc w:val="center"/>
              <w:rPr>
                <w:rFonts w:eastAsia="Calibri"/>
                <w:szCs w:val="20"/>
              </w:rPr>
            </w:pPr>
            <w:r w:rsidRPr="00732F32">
              <w:rPr>
                <w:rFonts w:eastAsia="Calibri"/>
                <w:szCs w:val="20"/>
              </w:rPr>
              <w:t>─</w:t>
            </w:r>
          </w:p>
        </w:tc>
      </w:tr>
      <w:tr w:rsidR="0080067E" w:rsidRPr="00732F32" w14:paraId="67C770E2" w14:textId="77777777">
        <w:trPr>
          <w:cantSplit/>
          <w:trHeight w:val="283"/>
        </w:trPr>
        <w:tc>
          <w:tcPr>
            <w:tcW w:w="1744" w:type="pct"/>
          </w:tcPr>
          <w:p w14:paraId="758658DA" w14:textId="0C7F23CF" w:rsidR="0080067E" w:rsidRPr="00101AE3" w:rsidRDefault="0080067E">
            <w:pPr>
              <w:pStyle w:val="TableText"/>
              <w:rPr>
                <w:b/>
                <w:vertAlign w:val="superscript"/>
              </w:rPr>
            </w:pPr>
            <w:r w:rsidRPr="00732F32">
              <w:rPr>
                <w:b/>
                <w:bCs/>
              </w:rPr>
              <w:t>Time horizon (base case lifetime)</w:t>
            </w:r>
            <w:r w:rsidR="00C373F6">
              <w:rPr>
                <w:b/>
                <w:vertAlign w:val="superscript"/>
              </w:rPr>
              <w:t>*</w:t>
            </w:r>
          </w:p>
        </w:tc>
        <w:tc>
          <w:tcPr>
            <w:tcW w:w="925" w:type="pct"/>
          </w:tcPr>
          <w:p w14:paraId="3E0BA6FF" w14:textId="77777777" w:rsidR="0080067E" w:rsidRPr="00732F32" w:rsidRDefault="0080067E">
            <w:pPr>
              <w:pStyle w:val="TableText"/>
              <w:jc w:val="center"/>
              <w:rPr>
                <w:rFonts w:eastAsia="Calibri"/>
                <w:szCs w:val="20"/>
              </w:rPr>
            </w:pPr>
          </w:p>
        </w:tc>
        <w:tc>
          <w:tcPr>
            <w:tcW w:w="777" w:type="pct"/>
          </w:tcPr>
          <w:p w14:paraId="60124B98" w14:textId="77777777" w:rsidR="0080067E" w:rsidRPr="00732F32" w:rsidRDefault="0080067E">
            <w:pPr>
              <w:pStyle w:val="TableText"/>
              <w:jc w:val="center"/>
              <w:rPr>
                <w:rFonts w:eastAsia="Calibri"/>
                <w:szCs w:val="20"/>
              </w:rPr>
            </w:pPr>
          </w:p>
        </w:tc>
        <w:tc>
          <w:tcPr>
            <w:tcW w:w="777" w:type="pct"/>
          </w:tcPr>
          <w:p w14:paraId="38EAE095" w14:textId="77777777" w:rsidR="0080067E" w:rsidRPr="00732F32" w:rsidRDefault="0080067E">
            <w:pPr>
              <w:pStyle w:val="TableText"/>
              <w:jc w:val="center"/>
              <w:rPr>
                <w:rFonts w:eastAsia="Calibri"/>
                <w:szCs w:val="20"/>
              </w:rPr>
            </w:pPr>
          </w:p>
        </w:tc>
        <w:tc>
          <w:tcPr>
            <w:tcW w:w="777" w:type="pct"/>
          </w:tcPr>
          <w:p w14:paraId="25B69038" w14:textId="77777777" w:rsidR="0080067E" w:rsidRPr="00732F32" w:rsidRDefault="0080067E">
            <w:pPr>
              <w:pStyle w:val="TableText"/>
              <w:jc w:val="center"/>
              <w:rPr>
                <w:rFonts w:eastAsia="Calibri"/>
                <w:szCs w:val="20"/>
              </w:rPr>
            </w:pPr>
          </w:p>
        </w:tc>
      </w:tr>
      <w:tr w:rsidR="00E82023" w:rsidRPr="00732F32" w14:paraId="478F9E71" w14:textId="77777777">
        <w:trPr>
          <w:cantSplit/>
          <w:trHeight w:val="283"/>
        </w:trPr>
        <w:tc>
          <w:tcPr>
            <w:tcW w:w="1744" w:type="pct"/>
            <w:vAlign w:val="center"/>
          </w:tcPr>
          <w:p w14:paraId="6942854F" w14:textId="77777777" w:rsidR="00E82023" w:rsidRPr="00732F32" w:rsidRDefault="00E82023" w:rsidP="00E82023">
            <w:pPr>
              <w:pStyle w:val="TableText"/>
            </w:pPr>
            <w:r w:rsidRPr="00732F32">
              <w:t>10 years</w:t>
            </w:r>
          </w:p>
        </w:tc>
        <w:tc>
          <w:tcPr>
            <w:tcW w:w="925" w:type="pct"/>
          </w:tcPr>
          <w:p w14:paraId="38012787" w14:textId="7F311EE2" w:rsidR="00E82023" w:rsidRPr="00051030" w:rsidRDefault="00E82023" w:rsidP="00E82023">
            <w:pPr>
              <w:pStyle w:val="TableText"/>
              <w:jc w:val="center"/>
              <w:rPr>
                <w:rFonts w:eastAsia="Calibri"/>
                <w:szCs w:val="20"/>
                <w:highlight w:val="yellow"/>
              </w:rPr>
            </w:pPr>
            <w:r w:rsidRPr="00254BC6">
              <w:rPr>
                <w:bCs/>
              </w:rPr>
              <w:t>$</w:t>
            </w:r>
            <w:r w:rsidRPr="00254BC6">
              <w:rPr>
                <w:b/>
              </w:rPr>
              <w:t>Redacted</w:t>
            </w:r>
          </w:p>
        </w:tc>
        <w:tc>
          <w:tcPr>
            <w:tcW w:w="777" w:type="pct"/>
          </w:tcPr>
          <w:p w14:paraId="1F563B3D" w14:textId="77777777" w:rsidR="00E82023" w:rsidRPr="006644E5" w:rsidRDefault="00E82023" w:rsidP="00E82023">
            <w:pPr>
              <w:pStyle w:val="TableText"/>
              <w:jc w:val="center"/>
              <w:rPr>
                <w:rFonts w:eastAsia="Calibri"/>
                <w:szCs w:val="20"/>
              </w:rPr>
            </w:pPr>
            <w:r w:rsidRPr="006644E5">
              <w:t>0.168</w:t>
            </w:r>
          </w:p>
        </w:tc>
        <w:tc>
          <w:tcPr>
            <w:tcW w:w="777" w:type="pct"/>
          </w:tcPr>
          <w:p w14:paraId="4A2B5ACB" w14:textId="1A7AAF07"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4</w:t>
            </w:r>
          </w:p>
        </w:tc>
        <w:tc>
          <w:tcPr>
            <w:tcW w:w="777" w:type="pct"/>
          </w:tcPr>
          <w:p w14:paraId="7C46EA18" w14:textId="6F995ACF" w:rsidR="00E82023" w:rsidRPr="00051030" w:rsidRDefault="00E82023" w:rsidP="00E82023">
            <w:pPr>
              <w:pStyle w:val="TableText"/>
              <w:jc w:val="center"/>
              <w:rPr>
                <w:rFonts w:eastAsia="Calibri"/>
                <w:i/>
                <w:iCs/>
                <w:szCs w:val="20"/>
                <w:highlight w:val="yellow"/>
              </w:rPr>
            </w:pPr>
            <w:r w:rsidRPr="00150CEB">
              <w:rPr>
                <w:b/>
                <w:bCs/>
                <w:i/>
              </w:rPr>
              <w:t>redacted</w:t>
            </w:r>
            <w:r w:rsidRPr="00150CEB">
              <w:rPr>
                <w:i/>
              </w:rPr>
              <w:t xml:space="preserve">% </w:t>
            </w:r>
          </w:p>
        </w:tc>
      </w:tr>
      <w:tr w:rsidR="00E82023" w:rsidRPr="00732F32" w14:paraId="01CFC0AA" w14:textId="77777777">
        <w:trPr>
          <w:cantSplit/>
          <w:trHeight w:val="283"/>
        </w:trPr>
        <w:tc>
          <w:tcPr>
            <w:tcW w:w="1744" w:type="pct"/>
            <w:vAlign w:val="center"/>
          </w:tcPr>
          <w:p w14:paraId="6BBE3B7A" w14:textId="77777777" w:rsidR="00E82023" w:rsidRPr="00732F32" w:rsidRDefault="00E82023" w:rsidP="00E82023">
            <w:pPr>
              <w:pStyle w:val="TableText"/>
            </w:pPr>
            <w:r w:rsidRPr="00732F32">
              <w:t>20 years</w:t>
            </w:r>
          </w:p>
        </w:tc>
        <w:tc>
          <w:tcPr>
            <w:tcW w:w="925" w:type="pct"/>
          </w:tcPr>
          <w:p w14:paraId="7BFC9CC5" w14:textId="693DAB09" w:rsidR="00E82023" w:rsidRPr="00051030" w:rsidRDefault="00E82023" w:rsidP="00E82023">
            <w:pPr>
              <w:pStyle w:val="TableText"/>
              <w:jc w:val="center"/>
              <w:rPr>
                <w:rFonts w:eastAsia="Calibri"/>
                <w:szCs w:val="20"/>
                <w:highlight w:val="yellow"/>
              </w:rPr>
            </w:pPr>
            <w:r w:rsidRPr="00254BC6">
              <w:rPr>
                <w:bCs/>
              </w:rPr>
              <w:t>$</w:t>
            </w:r>
            <w:r w:rsidRPr="00254BC6">
              <w:rPr>
                <w:b/>
              </w:rPr>
              <w:t>Redacted</w:t>
            </w:r>
          </w:p>
        </w:tc>
        <w:tc>
          <w:tcPr>
            <w:tcW w:w="777" w:type="pct"/>
          </w:tcPr>
          <w:p w14:paraId="25172FAC" w14:textId="77777777" w:rsidR="00E82023" w:rsidRPr="006644E5" w:rsidRDefault="00E82023" w:rsidP="00E82023">
            <w:pPr>
              <w:pStyle w:val="TableText"/>
              <w:jc w:val="center"/>
              <w:rPr>
                <w:rFonts w:eastAsia="Calibri"/>
                <w:szCs w:val="20"/>
              </w:rPr>
            </w:pPr>
            <w:r w:rsidRPr="006644E5">
              <w:t>0.250</w:t>
            </w:r>
          </w:p>
        </w:tc>
        <w:tc>
          <w:tcPr>
            <w:tcW w:w="777" w:type="pct"/>
          </w:tcPr>
          <w:p w14:paraId="058CA7F0" w14:textId="7DD77193"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3</w:t>
            </w:r>
          </w:p>
        </w:tc>
        <w:tc>
          <w:tcPr>
            <w:tcW w:w="777" w:type="pct"/>
          </w:tcPr>
          <w:p w14:paraId="00135C7C" w14:textId="4D2D1787" w:rsidR="00E82023" w:rsidRPr="00051030" w:rsidRDefault="00E82023" w:rsidP="00E82023">
            <w:pPr>
              <w:pStyle w:val="TableText"/>
              <w:jc w:val="center"/>
              <w:rPr>
                <w:rFonts w:eastAsia="Calibri"/>
                <w:i/>
                <w:iCs/>
                <w:szCs w:val="20"/>
                <w:highlight w:val="yellow"/>
              </w:rPr>
            </w:pPr>
            <w:r w:rsidRPr="00150CEB">
              <w:rPr>
                <w:b/>
                <w:bCs/>
                <w:i/>
              </w:rPr>
              <w:t>redacted</w:t>
            </w:r>
            <w:r w:rsidRPr="00150CEB">
              <w:rPr>
                <w:i/>
              </w:rPr>
              <w:t xml:space="preserve">% </w:t>
            </w:r>
          </w:p>
        </w:tc>
      </w:tr>
      <w:tr w:rsidR="0080067E" w:rsidRPr="00732F32" w14:paraId="30B94807" w14:textId="77777777">
        <w:trPr>
          <w:cantSplit/>
          <w:trHeight w:val="283"/>
        </w:trPr>
        <w:tc>
          <w:tcPr>
            <w:tcW w:w="5000" w:type="pct"/>
            <w:gridSpan w:val="5"/>
            <w:vAlign w:val="center"/>
          </w:tcPr>
          <w:p w14:paraId="1A1EF568" w14:textId="77777777" w:rsidR="0080067E" w:rsidRPr="00704E6F" w:rsidRDefault="0080067E">
            <w:pPr>
              <w:pStyle w:val="TableText"/>
              <w:rPr>
                <w:rFonts w:eastAsia="Calibri"/>
                <w:szCs w:val="20"/>
              </w:rPr>
            </w:pPr>
            <w:r w:rsidRPr="00704E6F">
              <w:rPr>
                <w:b/>
                <w:bCs/>
              </w:rPr>
              <w:t>HbA1c treatment effect (base case −0.4%)</w:t>
            </w:r>
          </w:p>
        </w:tc>
      </w:tr>
      <w:tr w:rsidR="00E82023" w:rsidRPr="00732F32" w14:paraId="17395E68" w14:textId="77777777">
        <w:trPr>
          <w:cantSplit/>
          <w:trHeight w:val="283"/>
        </w:trPr>
        <w:tc>
          <w:tcPr>
            <w:tcW w:w="1744" w:type="pct"/>
            <w:vAlign w:val="center"/>
          </w:tcPr>
          <w:p w14:paraId="4F0D137F" w14:textId="77777777" w:rsidR="00E82023" w:rsidRPr="00732F32" w:rsidRDefault="00E82023" w:rsidP="00E82023">
            <w:pPr>
              <w:pStyle w:val="TableText"/>
            </w:pPr>
            <w:r w:rsidRPr="00732F32">
              <w:t>HbA1c treatment effect −0.8% (95% LCL)</w:t>
            </w:r>
            <w:r w:rsidRPr="00732F32" w:rsidDel="007B13FE">
              <w:t xml:space="preserve"> </w:t>
            </w:r>
            <w:r w:rsidRPr="00732F32">
              <w:t xml:space="preserve"> </w:t>
            </w:r>
          </w:p>
        </w:tc>
        <w:tc>
          <w:tcPr>
            <w:tcW w:w="925" w:type="pct"/>
          </w:tcPr>
          <w:p w14:paraId="43B1C66E" w14:textId="55EC6B16" w:rsidR="00E82023" w:rsidRPr="00051030" w:rsidRDefault="00E82023" w:rsidP="00E82023">
            <w:pPr>
              <w:pStyle w:val="TableText"/>
              <w:jc w:val="center"/>
              <w:rPr>
                <w:rFonts w:eastAsia="Calibri"/>
                <w:szCs w:val="20"/>
                <w:highlight w:val="yellow"/>
              </w:rPr>
            </w:pPr>
            <w:r w:rsidRPr="00351880">
              <w:rPr>
                <w:bCs/>
              </w:rPr>
              <w:t>$</w:t>
            </w:r>
            <w:r w:rsidRPr="00351880">
              <w:rPr>
                <w:b/>
              </w:rPr>
              <w:t>Redacted</w:t>
            </w:r>
          </w:p>
        </w:tc>
        <w:tc>
          <w:tcPr>
            <w:tcW w:w="777" w:type="pct"/>
          </w:tcPr>
          <w:p w14:paraId="161634E4" w14:textId="77777777" w:rsidR="00E82023" w:rsidRPr="006644E5" w:rsidRDefault="00E82023" w:rsidP="00E82023">
            <w:pPr>
              <w:pStyle w:val="TableText"/>
              <w:jc w:val="center"/>
              <w:rPr>
                <w:rFonts w:eastAsia="Calibri"/>
                <w:szCs w:val="20"/>
              </w:rPr>
            </w:pPr>
            <w:r w:rsidRPr="006644E5">
              <w:t>0.348</w:t>
            </w:r>
          </w:p>
        </w:tc>
        <w:tc>
          <w:tcPr>
            <w:tcW w:w="777" w:type="pct"/>
          </w:tcPr>
          <w:p w14:paraId="6CF7DAE1" w14:textId="69D50B0C"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2</w:t>
            </w:r>
          </w:p>
        </w:tc>
        <w:tc>
          <w:tcPr>
            <w:tcW w:w="777" w:type="pct"/>
          </w:tcPr>
          <w:p w14:paraId="7B94D196" w14:textId="3765EE0A" w:rsidR="00E82023" w:rsidRPr="00051030" w:rsidRDefault="00E82023" w:rsidP="00E82023">
            <w:pPr>
              <w:pStyle w:val="TableText"/>
              <w:jc w:val="center"/>
              <w:rPr>
                <w:rFonts w:eastAsia="Calibri"/>
                <w:i/>
                <w:iCs/>
                <w:szCs w:val="20"/>
                <w:highlight w:val="yellow"/>
              </w:rPr>
            </w:pPr>
            <w:r w:rsidRPr="001E657D">
              <w:rPr>
                <w:b/>
                <w:bCs/>
                <w:i/>
              </w:rPr>
              <w:t>redacted</w:t>
            </w:r>
            <w:r w:rsidRPr="001E657D">
              <w:rPr>
                <w:i/>
              </w:rPr>
              <w:t xml:space="preserve">% </w:t>
            </w:r>
          </w:p>
        </w:tc>
      </w:tr>
      <w:tr w:rsidR="00E82023" w:rsidRPr="00732F32" w14:paraId="7681F874" w14:textId="77777777">
        <w:trPr>
          <w:cantSplit/>
          <w:trHeight w:val="283"/>
        </w:trPr>
        <w:tc>
          <w:tcPr>
            <w:tcW w:w="1744" w:type="pct"/>
            <w:vAlign w:val="center"/>
          </w:tcPr>
          <w:p w14:paraId="0EE77973" w14:textId="77777777" w:rsidR="00E82023" w:rsidRPr="00732F32" w:rsidRDefault="00E82023" w:rsidP="00E82023">
            <w:pPr>
              <w:pStyle w:val="TableText"/>
            </w:pPr>
            <w:r w:rsidRPr="00732F32">
              <w:t>HbA1c treatment effect −0.1% (95% UCL)</w:t>
            </w:r>
            <w:r w:rsidRPr="00732F32" w:rsidDel="007B13FE">
              <w:t xml:space="preserve"> </w:t>
            </w:r>
          </w:p>
        </w:tc>
        <w:tc>
          <w:tcPr>
            <w:tcW w:w="925" w:type="pct"/>
          </w:tcPr>
          <w:p w14:paraId="612AF70F" w14:textId="5C69BC97" w:rsidR="00E82023" w:rsidRPr="00051030" w:rsidRDefault="00E82023" w:rsidP="00E82023">
            <w:pPr>
              <w:pStyle w:val="TableText"/>
              <w:jc w:val="center"/>
              <w:rPr>
                <w:rFonts w:eastAsia="Calibri"/>
                <w:szCs w:val="20"/>
                <w:highlight w:val="yellow"/>
              </w:rPr>
            </w:pPr>
            <w:r w:rsidRPr="00351880">
              <w:rPr>
                <w:bCs/>
              </w:rPr>
              <w:t>$</w:t>
            </w:r>
            <w:r w:rsidRPr="00351880">
              <w:rPr>
                <w:b/>
              </w:rPr>
              <w:t>Redacted</w:t>
            </w:r>
          </w:p>
        </w:tc>
        <w:tc>
          <w:tcPr>
            <w:tcW w:w="777" w:type="pct"/>
          </w:tcPr>
          <w:p w14:paraId="4854E2D3" w14:textId="77777777" w:rsidR="00E82023" w:rsidRPr="006644E5" w:rsidRDefault="00E82023" w:rsidP="00E82023">
            <w:pPr>
              <w:pStyle w:val="TableText"/>
              <w:jc w:val="center"/>
              <w:rPr>
                <w:rFonts w:eastAsia="Calibri"/>
                <w:szCs w:val="20"/>
              </w:rPr>
            </w:pPr>
            <w:r w:rsidRPr="006644E5">
              <w:t>0.243</w:t>
            </w:r>
          </w:p>
        </w:tc>
        <w:tc>
          <w:tcPr>
            <w:tcW w:w="777" w:type="pct"/>
          </w:tcPr>
          <w:p w14:paraId="7B8E9376" w14:textId="5F74C738"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5</w:t>
            </w:r>
          </w:p>
        </w:tc>
        <w:tc>
          <w:tcPr>
            <w:tcW w:w="777" w:type="pct"/>
          </w:tcPr>
          <w:p w14:paraId="27BC1BC4" w14:textId="1E0B8B6F" w:rsidR="00E82023" w:rsidRPr="00051030" w:rsidRDefault="00E82023" w:rsidP="00E82023">
            <w:pPr>
              <w:pStyle w:val="TableText"/>
              <w:jc w:val="center"/>
              <w:rPr>
                <w:rFonts w:eastAsia="Calibri"/>
                <w:i/>
                <w:iCs/>
                <w:szCs w:val="20"/>
                <w:highlight w:val="yellow"/>
              </w:rPr>
            </w:pPr>
            <w:r w:rsidRPr="001E657D">
              <w:rPr>
                <w:b/>
                <w:bCs/>
                <w:i/>
              </w:rPr>
              <w:t>redacted</w:t>
            </w:r>
            <w:r w:rsidRPr="001E657D">
              <w:rPr>
                <w:i/>
              </w:rPr>
              <w:t xml:space="preserve">% </w:t>
            </w:r>
          </w:p>
        </w:tc>
      </w:tr>
      <w:tr w:rsidR="0080067E" w:rsidRPr="00732F32" w14:paraId="7FDBF366" w14:textId="77777777">
        <w:trPr>
          <w:cantSplit/>
          <w:trHeight w:val="283"/>
        </w:trPr>
        <w:tc>
          <w:tcPr>
            <w:tcW w:w="5000" w:type="pct"/>
            <w:gridSpan w:val="5"/>
            <w:vAlign w:val="center"/>
          </w:tcPr>
          <w:p w14:paraId="73257A91" w14:textId="0979A2CD" w:rsidR="0080067E" w:rsidRPr="00704E6F" w:rsidRDefault="0080067E">
            <w:pPr>
              <w:pStyle w:val="TableText"/>
              <w:rPr>
                <w:rFonts w:eastAsia="Calibri"/>
                <w:szCs w:val="20"/>
              </w:rPr>
            </w:pPr>
            <w:r w:rsidRPr="00704E6F">
              <w:rPr>
                <w:b/>
                <w:bCs/>
              </w:rPr>
              <w:t>Duration of HbA1c effects (base case 7 years constant and increased steadily by 0.05% beyond 7</w:t>
            </w:r>
            <w:r w:rsidR="00A5119E" w:rsidRPr="00704E6F">
              <w:rPr>
                <w:b/>
                <w:bCs/>
              </w:rPr>
              <w:t xml:space="preserve"> </w:t>
            </w:r>
            <w:r w:rsidRPr="00704E6F">
              <w:rPr>
                <w:b/>
                <w:bCs/>
              </w:rPr>
              <w:t>year</w:t>
            </w:r>
            <w:r w:rsidR="00A5119E" w:rsidRPr="00704E6F">
              <w:rPr>
                <w:b/>
                <w:bCs/>
              </w:rPr>
              <w:t>s</w:t>
            </w:r>
            <w:r w:rsidRPr="00704E6F">
              <w:rPr>
                <w:b/>
                <w:bCs/>
              </w:rPr>
              <w:t>)</w:t>
            </w:r>
          </w:p>
        </w:tc>
      </w:tr>
      <w:tr w:rsidR="00E82023" w:rsidRPr="00732F32" w14:paraId="4726DFD9" w14:textId="77777777">
        <w:trPr>
          <w:cantSplit/>
          <w:trHeight w:val="283"/>
        </w:trPr>
        <w:tc>
          <w:tcPr>
            <w:tcW w:w="1744" w:type="pct"/>
            <w:vAlign w:val="center"/>
          </w:tcPr>
          <w:p w14:paraId="34159175" w14:textId="77777777" w:rsidR="00E82023" w:rsidRPr="00732F32" w:rsidRDefault="00E82023" w:rsidP="00E82023">
            <w:pPr>
              <w:pStyle w:val="TableText"/>
            </w:pPr>
            <w:r w:rsidRPr="00732F32">
              <w:t xml:space="preserve">7 years constant converging at 8 years </w:t>
            </w:r>
          </w:p>
        </w:tc>
        <w:tc>
          <w:tcPr>
            <w:tcW w:w="925" w:type="pct"/>
          </w:tcPr>
          <w:p w14:paraId="3A7A03A8" w14:textId="3BF0DDDE" w:rsidR="00E82023" w:rsidRPr="00051030" w:rsidRDefault="00E82023" w:rsidP="00E82023">
            <w:pPr>
              <w:pStyle w:val="TableText"/>
              <w:jc w:val="center"/>
              <w:rPr>
                <w:rFonts w:eastAsia="Calibri"/>
                <w:szCs w:val="20"/>
                <w:highlight w:val="yellow"/>
              </w:rPr>
            </w:pPr>
            <w:r w:rsidRPr="00106402">
              <w:rPr>
                <w:bCs/>
              </w:rPr>
              <w:t>$</w:t>
            </w:r>
            <w:r w:rsidRPr="00106402">
              <w:rPr>
                <w:b/>
              </w:rPr>
              <w:t>Redacted</w:t>
            </w:r>
          </w:p>
        </w:tc>
        <w:tc>
          <w:tcPr>
            <w:tcW w:w="777" w:type="pct"/>
          </w:tcPr>
          <w:p w14:paraId="75EB08D0" w14:textId="77777777" w:rsidR="00E82023" w:rsidRPr="006644E5" w:rsidRDefault="00E82023" w:rsidP="00E82023">
            <w:pPr>
              <w:pStyle w:val="TableText"/>
              <w:jc w:val="center"/>
              <w:rPr>
                <w:rFonts w:eastAsia="Calibri"/>
                <w:szCs w:val="20"/>
              </w:rPr>
            </w:pPr>
            <w:r w:rsidRPr="006644E5">
              <w:t>0.265</w:t>
            </w:r>
          </w:p>
        </w:tc>
        <w:tc>
          <w:tcPr>
            <w:tcW w:w="777" w:type="pct"/>
          </w:tcPr>
          <w:p w14:paraId="54BE0A06" w14:textId="227C5E80" w:rsidR="00E82023" w:rsidRPr="00051030" w:rsidRDefault="00E82023" w:rsidP="00E82023">
            <w:pPr>
              <w:pStyle w:val="TableText"/>
              <w:jc w:val="center"/>
              <w:rPr>
                <w:rFonts w:eastAsia="Calibri"/>
                <w:szCs w:val="20"/>
                <w:highlight w:val="yellow"/>
              </w:rPr>
            </w:pPr>
            <w:r w:rsidRPr="00405DA8">
              <w:rPr>
                <w:bCs/>
              </w:rPr>
              <w:t>$</w:t>
            </w:r>
            <w:r w:rsidRPr="00405DA8">
              <w:rPr>
                <w:b/>
              </w:rPr>
              <w:t>Redacted</w:t>
            </w:r>
            <w:r w:rsidRPr="00405DA8">
              <w:rPr>
                <w:bCs/>
                <w:vertAlign w:val="superscript"/>
              </w:rPr>
              <w:t>3</w:t>
            </w:r>
          </w:p>
        </w:tc>
        <w:tc>
          <w:tcPr>
            <w:tcW w:w="777" w:type="pct"/>
          </w:tcPr>
          <w:p w14:paraId="199368C4" w14:textId="1842079B" w:rsidR="00E82023" w:rsidRPr="00051030" w:rsidRDefault="00E82023" w:rsidP="00E82023">
            <w:pPr>
              <w:pStyle w:val="TableText"/>
              <w:jc w:val="center"/>
              <w:rPr>
                <w:rFonts w:eastAsia="Calibri"/>
                <w:i/>
                <w:iCs/>
                <w:szCs w:val="20"/>
                <w:highlight w:val="yellow"/>
              </w:rPr>
            </w:pPr>
            <w:r w:rsidRPr="00F32665">
              <w:rPr>
                <w:b/>
                <w:bCs/>
                <w:i/>
              </w:rPr>
              <w:t>redacted</w:t>
            </w:r>
            <w:r w:rsidRPr="00F32665">
              <w:rPr>
                <w:i/>
              </w:rPr>
              <w:t xml:space="preserve">% </w:t>
            </w:r>
          </w:p>
        </w:tc>
      </w:tr>
      <w:tr w:rsidR="00E82023" w:rsidRPr="00732F32" w14:paraId="21498DE6" w14:textId="77777777">
        <w:trPr>
          <w:cantSplit/>
          <w:trHeight w:val="283"/>
        </w:trPr>
        <w:tc>
          <w:tcPr>
            <w:tcW w:w="1744" w:type="pct"/>
            <w:vAlign w:val="center"/>
          </w:tcPr>
          <w:p w14:paraId="39666DF6" w14:textId="77777777" w:rsidR="00E82023" w:rsidRPr="00732F32" w:rsidRDefault="00E82023" w:rsidP="00E82023">
            <w:pPr>
              <w:pStyle w:val="TableText"/>
            </w:pPr>
            <w:r w:rsidRPr="00732F32">
              <w:t xml:space="preserve">7 years constant converging at 14 years </w:t>
            </w:r>
          </w:p>
        </w:tc>
        <w:tc>
          <w:tcPr>
            <w:tcW w:w="925" w:type="pct"/>
          </w:tcPr>
          <w:p w14:paraId="29953FF3" w14:textId="382A7424" w:rsidR="00E82023" w:rsidRPr="00051030" w:rsidRDefault="00E82023" w:rsidP="00E82023">
            <w:pPr>
              <w:pStyle w:val="TableText"/>
              <w:jc w:val="center"/>
              <w:rPr>
                <w:rFonts w:eastAsia="Calibri"/>
                <w:szCs w:val="20"/>
                <w:highlight w:val="yellow"/>
              </w:rPr>
            </w:pPr>
            <w:r w:rsidRPr="00106402">
              <w:rPr>
                <w:bCs/>
              </w:rPr>
              <w:t>$</w:t>
            </w:r>
            <w:r w:rsidRPr="00106402">
              <w:rPr>
                <w:b/>
              </w:rPr>
              <w:t>Redacted</w:t>
            </w:r>
          </w:p>
        </w:tc>
        <w:tc>
          <w:tcPr>
            <w:tcW w:w="777" w:type="pct"/>
          </w:tcPr>
          <w:p w14:paraId="5DC30EFD" w14:textId="77777777" w:rsidR="00E82023" w:rsidRPr="006644E5" w:rsidRDefault="00E82023" w:rsidP="00E82023">
            <w:pPr>
              <w:pStyle w:val="TableText"/>
              <w:jc w:val="center"/>
              <w:rPr>
                <w:rFonts w:eastAsia="Calibri"/>
                <w:szCs w:val="20"/>
              </w:rPr>
            </w:pPr>
            <w:r w:rsidRPr="006644E5">
              <w:t>0.273</w:t>
            </w:r>
          </w:p>
        </w:tc>
        <w:tc>
          <w:tcPr>
            <w:tcW w:w="777" w:type="pct"/>
          </w:tcPr>
          <w:p w14:paraId="1F22E537" w14:textId="4FB650B5" w:rsidR="00E82023" w:rsidRPr="00051030" w:rsidRDefault="00E82023" w:rsidP="00E82023">
            <w:pPr>
              <w:pStyle w:val="TableText"/>
              <w:jc w:val="center"/>
              <w:rPr>
                <w:rFonts w:eastAsia="Calibri"/>
                <w:szCs w:val="20"/>
                <w:highlight w:val="yellow"/>
              </w:rPr>
            </w:pPr>
            <w:r w:rsidRPr="00405DA8">
              <w:rPr>
                <w:bCs/>
              </w:rPr>
              <w:t>$</w:t>
            </w:r>
            <w:r w:rsidRPr="00405DA8">
              <w:rPr>
                <w:b/>
              </w:rPr>
              <w:t>Redacted</w:t>
            </w:r>
            <w:r w:rsidRPr="00405DA8">
              <w:rPr>
                <w:bCs/>
                <w:vertAlign w:val="superscript"/>
              </w:rPr>
              <w:t>3</w:t>
            </w:r>
          </w:p>
        </w:tc>
        <w:tc>
          <w:tcPr>
            <w:tcW w:w="777" w:type="pct"/>
          </w:tcPr>
          <w:p w14:paraId="18C038A3" w14:textId="20432279" w:rsidR="00E82023" w:rsidRPr="00051030" w:rsidRDefault="00E82023" w:rsidP="00E82023">
            <w:pPr>
              <w:pStyle w:val="TableText"/>
              <w:jc w:val="center"/>
              <w:rPr>
                <w:rFonts w:eastAsia="Calibri"/>
                <w:i/>
                <w:iCs/>
                <w:szCs w:val="20"/>
                <w:highlight w:val="yellow"/>
              </w:rPr>
            </w:pPr>
            <w:r w:rsidRPr="00F32665">
              <w:rPr>
                <w:b/>
                <w:bCs/>
                <w:i/>
              </w:rPr>
              <w:t>redacted</w:t>
            </w:r>
            <w:r w:rsidRPr="00F32665">
              <w:rPr>
                <w:i/>
              </w:rPr>
              <w:t xml:space="preserve">% </w:t>
            </w:r>
          </w:p>
        </w:tc>
      </w:tr>
      <w:tr w:rsidR="0080067E" w:rsidRPr="00732F32" w14:paraId="1F850BE8" w14:textId="77777777">
        <w:trPr>
          <w:cantSplit/>
          <w:trHeight w:val="283"/>
        </w:trPr>
        <w:tc>
          <w:tcPr>
            <w:tcW w:w="5000" w:type="pct"/>
            <w:gridSpan w:val="5"/>
            <w:vAlign w:val="center"/>
          </w:tcPr>
          <w:p w14:paraId="1DD56B60" w14:textId="77777777" w:rsidR="0080067E" w:rsidRPr="00704E6F" w:rsidRDefault="0080067E">
            <w:pPr>
              <w:pStyle w:val="TableText"/>
              <w:rPr>
                <w:rFonts w:eastAsia="Calibri"/>
                <w:szCs w:val="20"/>
              </w:rPr>
            </w:pPr>
            <w:r w:rsidRPr="00704E6F">
              <w:rPr>
                <w:b/>
                <w:bCs/>
              </w:rPr>
              <w:t xml:space="preserve">FoH utility (base case </w:t>
            </w:r>
            <w:r w:rsidRPr="00704E6F">
              <w:rPr>
                <w:b/>
                <w:bCs/>
                <w:lang w:val="en-US"/>
              </w:rPr>
              <w:t>0.00775)</w:t>
            </w:r>
          </w:p>
        </w:tc>
      </w:tr>
      <w:tr w:rsidR="00E82023" w:rsidRPr="00732F32" w14:paraId="2E500C9A" w14:textId="77777777">
        <w:trPr>
          <w:cantSplit/>
          <w:trHeight w:val="283"/>
        </w:trPr>
        <w:tc>
          <w:tcPr>
            <w:tcW w:w="1744" w:type="pct"/>
            <w:vAlign w:val="center"/>
          </w:tcPr>
          <w:p w14:paraId="4E268871" w14:textId="53F48CD0" w:rsidR="00E82023" w:rsidRPr="00732F32" w:rsidRDefault="00E82023" w:rsidP="00E82023">
            <w:pPr>
              <w:pStyle w:val="TableText"/>
            </w:pPr>
            <w:r w:rsidRPr="00FB143E">
              <w:t>DIAMOND</w:t>
            </w:r>
            <w:r w:rsidRPr="00FB143E">
              <w:fldChar w:fldCharType="begin"/>
            </w:r>
            <w:r w:rsidRPr="00FB143E">
              <w:instrText xml:space="preserve"> NOTEREF _Ref226546296 \f \h </w:instrText>
            </w:r>
            <w:r>
              <w:instrText xml:space="preserve"> \* MERGEFORMAT </w:instrText>
            </w:r>
            <w:r w:rsidRPr="00FB143E">
              <w:fldChar w:fldCharType="separate"/>
            </w:r>
            <w:r w:rsidRPr="0098516D">
              <w:rPr>
                <w:rStyle w:val="FootnoteReference"/>
              </w:rPr>
              <w:t>8</w:t>
            </w:r>
            <w:r w:rsidRPr="00FB143E">
              <w:fldChar w:fldCharType="end"/>
            </w:r>
            <w:r w:rsidRPr="00FB143E">
              <w:t xml:space="preserve"> FoH utility</w:t>
            </w:r>
            <w:r w:rsidRPr="00732F32">
              <w:t xml:space="preserve"> (0.025)</w:t>
            </w:r>
          </w:p>
        </w:tc>
        <w:tc>
          <w:tcPr>
            <w:tcW w:w="925" w:type="pct"/>
          </w:tcPr>
          <w:p w14:paraId="374D23A1" w14:textId="4A8E32F4" w:rsidR="00E82023" w:rsidRPr="00051030" w:rsidRDefault="00E82023" w:rsidP="00E82023">
            <w:pPr>
              <w:pStyle w:val="TableText"/>
              <w:jc w:val="center"/>
              <w:rPr>
                <w:rFonts w:eastAsia="Calibri"/>
                <w:szCs w:val="20"/>
                <w:highlight w:val="yellow"/>
              </w:rPr>
            </w:pPr>
            <w:r w:rsidRPr="006F618B">
              <w:rPr>
                <w:bCs/>
              </w:rPr>
              <w:t>$</w:t>
            </w:r>
            <w:r w:rsidRPr="006F618B">
              <w:rPr>
                <w:b/>
              </w:rPr>
              <w:t>Redacted</w:t>
            </w:r>
          </w:p>
        </w:tc>
        <w:tc>
          <w:tcPr>
            <w:tcW w:w="777" w:type="pct"/>
          </w:tcPr>
          <w:p w14:paraId="255CA365" w14:textId="77777777" w:rsidR="00E82023" w:rsidRPr="006644E5" w:rsidRDefault="00E82023" w:rsidP="00E82023">
            <w:pPr>
              <w:pStyle w:val="TableText"/>
              <w:jc w:val="center"/>
              <w:rPr>
                <w:rFonts w:eastAsia="Calibri"/>
                <w:szCs w:val="20"/>
              </w:rPr>
            </w:pPr>
            <w:r w:rsidRPr="006644E5">
              <w:t>0.335</w:t>
            </w:r>
          </w:p>
        </w:tc>
        <w:tc>
          <w:tcPr>
            <w:tcW w:w="777" w:type="pct"/>
          </w:tcPr>
          <w:p w14:paraId="6DF50D3D" w14:textId="4C45A0EB"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3</w:t>
            </w:r>
          </w:p>
        </w:tc>
        <w:tc>
          <w:tcPr>
            <w:tcW w:w="777" w:type="pct"/>
          </w:tcPr>
          <w:p w14:paraId="6D09DC29" w14:textId="47829A4C" w:rsidR="00E82023" w:rsidRPr="00051030" w:rsidRDefault="00E82023" w:rsidP="00E82023">
            <w:pPr>
              <w:pStyle w:val="TableText"/>
              <w:jc w:val="center"/>
              <w:rPr>
                <w:rFonts w:eastAsia="Calibri"/>
                <w:i/>
                <w:iCs/>
                <w:szCs w:val="20"/>
                <w:highlight w:val="yellow"/>
              </w:rPr>
            </w:pPr>
            <w:r w:rsidRPr="00135CEA">
              <w:rPr>
                <w:b/>
                <w:bCs/>
                <w:i/>
              </w:rPr>
              <w:t>redacted</w:t>
            </w:r>
            <w:r w:rsidRPr="00135CEA">
              <w:rPr>
                <w:i/>
              </w:rPr>
              <w:t xml:space="preserve">% </w:t>
            </w:r>
          </w:p>
        </w:tc>
      </w:tr>
      <w:tr w:rsidR="00E82023" w:rsidRPr="00732F32" w14:paraId="7D0F3D53" w14:textId="77777777">
        <w:trPr>
          <w:cantSplit/>
          <w:trHeight w:val="283"/>
        </w:trPr>
        <w:tc>
          <w:tcPr>
            <w:tcW w:w="1744" w:type="pct"/>
            <w:vAlign w:val="center"/>
          </w:tcPr>
          <w:p w14:paraId="50004596" w14:textId="77777777" w:rsidR="00E82023" w:rsidRPr="00732F32" w:rsidRDefault="00E82023" w:rsidP="00E82023">
            <w:pPr>
              <w:pStyle w:val="TableText"/>
            </w:pPr>
            <w:r w:rsidRPr="00732F32">
              <w:t>No FoH utility</w:t>
            </w:r>
          </w:p>
        </w:tc>
        <w:tc>
          <w:tcPr>
            <w:tcW w:w="925" w:type="pct"/>
          </w:tcPr>
          <w:p w14:paraId="357A7CEF" w14:textId="47EDC80C" w:rsidR="00E82023" w:rsidRPr="00051030" w:rsidRDefault="00E82023" w:rsidP="00E82023">
            <w:pPr>
              <w:pStyle w:val="TableText"/>
              <w:jc w:val="center"/>
              <w:rPr>
                <w:rFonts w:eastAsia="Calibri"/>
                <w:szCs w:val="20"/>
                <w:highlight w:val="yellow"/>
              </w:rPr>
            </w:pPr>
            <w:r w:rsidRPr="006F618B">
              <w:rPr>
                <w:bCs/>
              </w:rPr>
              <w:t>$</w:t>
            </w:r>
            <w:r w:rsidRPr="006F618B">
              <w:rPr>
                <w:b/>
              </w:rPr>
              <w:t>Redacted</w:t>
            </w:r>
          </w:p>
        </w:tc>
        <w:tc>
          <w:tcPr>
            <w:tcW w:w="777" w:type="pct"/>
          </w:tcPr>
          <w:p w14:paraId="3717B6D0" w14:textId="77777777" w:rsidR="00E82023" w:rsidRPr="006644E5" w:rsidRDefault="00E82023" w:rsidP="00E82023">
            <w:pPr>
              <w:pStyle w:val="TableText"/>
              <w:jc w:val="center"/>
              <w:rPr>
                <w:rFonts w:eastAsia="Calibri"/>
                <w:szCs w:val="20"/>
              </w:rPr>
            </w:pPr>
            <w:r w:rsidRPr="006644E5">
              <w:t>0.212</w:t>
            </w:r>
          </w:p>
        </w:tc>
        <w:tc>
          <w:tcPr>
            <w:tcW w:w="777" w:type="pct"/>
          </w:tcPr>
          <w:p w14:paraId="23CD292C" w14:textId="08204450"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4</w:t>
            </w:r>
          </w:p>
        </w:tc>
        <w:tc>
          <w:tcPr>
            <w:tcW w:w="777" w:type="pct"/>
          </w:tcPr>
          <w:p w14:paraId="10B14E23" w14:textId="58E95D45" w:rsidR="00E82023" w:rsidRPr="00051030" w:rsidRDefault="00E82023" w:rsidP="00E82023">
            <w:pPr>
              <w:pStyle w:val="TableText"/>
              <w:jc w:val="center"/>
              <w:rPr>
                <w:rFonts w:eastAsia="Calibri"/>
                <w:i/>
                <w:iCs/>
                <w:szCs w:val="20"/>
                <w:highlight w:val="yellow"/>
              </w:rPr>
            </w:pPr>
            <w:r w:rsidRPr="00135CEA">
              <w:rPr>
                <w:b/>
                <w:bCs/>
                <w:i/>
              </w:rPr>
              <w:t>redacted</w:t>
            </w:r>
            <w:r w:rsidRPr="00135CEA">
              <w:rPr>
                <w:i/>
              </w:rPr>
              <w:t xml:space="preserve">% </w:t>
            </w:r>
          </w:p>
        </w:tc>
      </w:tr>
      <w:tr w:rsidR="0080067E" w:rsidRPr="00732F32" w14:paraId="2ACD6E47" w14:textId="77777777">
        <w:trPr>
          <w:cantSplit/>
          <w:trHeight w:val="283"/>
        </w:trPr>
        <w:tc>
          <w:tcPr>
            <w:tcW w:w="5000" w:type="pct"/>
            <w:gridSpan w:val="5"/>
            <w:vAlign w:val="center"/>
          </w:tcPr>
          <w:p w14:paraId="4CB08439" w14:textId="77777777" w:rsidR="0080067E" w:rsidRPr="00704E6F" w:rsidRDefault="0080067E">
            <w:pPr>
              <w:pStyle w:val="TableText"/>
              <w:rPr>
                <w:rFonts w:eastAsia="Calibri"/>
                <w:szCs w:val="20"/>
              </w:rPr>
            </w:pPr>
            <w:r w:rsidRPr="00704E6F">
              <w:rPr>
                <w:b/>
                <w:bCs/>
              </w:rPr>
              <w:t>DKA, SHE incidence and FoH (base case 1.25</w:t>
            </w:r>
            <w:r w:rsidRPr="00704E6F">
              <w:rPr>
                <w:b/>
                <w:bCs/>
                <w:lang w:val="en-US"/>
              </w:rPr>
              <w:t>%, 2% and 0.00775)</w:t>
            </w:r>
          </w:p>
        </w:tc>
      </w:tr>
      <w:tr w:rsidR="00E82023" w:rsidRPr="00732F32" w14:paraId="30101AB6" w14:textId="77777777" w:rsidTr="00A41C72">
        <w:trPr>
          <w:cantSplit/>
          <w:trHeight w:val="283"/>
        </w:trPr>
        <w:tc>
          <w:tcPr>
            <w:tcW w:w="1744" w:type="pct"/>
            <w:vAlign w:val="center"/>
          </w:tcPr>
          <w:p w14:paraId="260C5F07" w14:textId="1A674BF2" w:rsidR="00E82023" w:rsidRPr="00732F32" w:rsidRDefault="00E82023" w:rsidP="00E82023">
            <w:pPr>
              <w:pStyle w:val="TableText"/>
            </w:pPr>
            <w:r w:rsidRPr="00732F32">
              <w:t>50%</w:t>
            </w:r>
            <w:r>
              <w:t xml:space="preserve"> reduction</w:t>
            </w:r>
            <w:r w:rsidRPr="00732F32">
              <w:t xml:space="preserve"> for all DKA and SHE in SMBG arm and FoH utility in RT-CGM arm</w:t>
            </w:r>
          </w:p>
        </w:tc>
        <w:tc>
          <w:tcPr>
            <w:tcW w:w="925" w:type="pct"/>
          </w:tcPr>
          <w:p w14:paraId="43A66317" w14:textId="0BAC005A" w:rsidR="00E82023" w:rsidRPr="00051030" w:rsidRDefault="00E82023" w:rsidP="00E82023">
            <w:pPr>
              <w:pStyle w:val="TableText"/>
              <w:jc w:val="center"/>
              <w:rPr>
                <w:rFonts w:eastAsia="Calibri"/>
                <w:szCs w:val="20"/>
                <w:highlight w:val="yellow"/>
              </w:rPr>
            </w:pPr>
            <w:r w:rsidRPr="009C4CFC">
              <w:rPr>
                <w:bCs/>
              </w:rPr>
              <w:t>$</w:t>
            </w:r>
            <w:r w:rsidRPr="009C4CFC">
              <w:rPr>
                <w:b/>
              </w:rPr>
              <w:t>Redacted</w:t>
            </w:r>
          </w:p>
        </w:tc>
        <w:tc>
          <w:tcPr>
            <w:tcW w:w="777" w:type="pct"/>
          </w:tcPr>
          <w:p w14:paraId="61343123" w14:textId="1FD99EF7" w:rsidR="00E82023" w:rsidRPr="006644E5" w:rsidRDefault="00E82023" w:rsidP="00E82023">
            <w:pPr>
              <w:pStyle w:val="TableText"/>
              <w:jc w:val="center"/>
              <w:rPr>
                <w:rFonts w:eastAsia="Calibri"/>
                <w:szCs w:val="20"/>
              </w:rPr>
            </w:pPr>
            <w:r w:rsidRPr="006644E5">
              <w:t>0.212</w:t>
            </w:r>
          </w:p>
        </w:tc>
        <w:tc>
          <w:tcPr>
            <w:tcW w:w="777" w:type="pct"/>
          </w:tcPr>
          <w:p w14:paraId="2A4DE601" w14:textId="60963FD4"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4</w:t>
            </w:r>
          </w:p>
        </w:tc>
        <w:tc>
          <w:tcPr>
            <w:tcW w:w="777" w:type="pct"/>
          </w:tcPr>
          <w:p w14:paraId="097D897C" w14:textId="7F1B9EA0" w:rsidR="00E82023" w:rsidRPr="00051030" w:rsidRDefault="00E82023" w:rsidP="00E82023">
            <w:pPr>
              <w:pStyle w:val="TableText"/>
              <w:jc w:val="center"/>
              <w:rPr>
                <w:rFonts w:eastAsia="Calibri"/>
                <w:i/>
                <w:iCs/>
                <w:szCs w:val="20"/>
                <w:highlight w:val="yellow"/>
              </w:rPr>
            </w:pPr>
            <w:r w:rsidRPr="00A35F10">
              <w:rPr>
                <w:b/>
                <w:bCs/>
                <w:i/>
              </w:rPr>
              <w:t>redacted</w:t>
            </w:r>
            <w:r w:rsidRPr="00A35F10">
              <w:rPr>
                <w:i/>
              </w:rPr>
              <w:t xml:space="preserve">% </w:t>
            </w:r>
          </w:p>
        </w:tc>
      </w:tr>
      <w:tr w:rsidR="00E82023" w:rsidRPr="00732F32" w14:paraId="46D6269D" w14:textId="77777777">
        <w:trPr>
          <w:cantSplit/>
          <w:trHeight w:val="283"/>
        </w:trPr>
        <w:tc>
          <w:tcPr>
            <w:tcW w:w="1744" w:type="pct"/>
            <w:vAlign w:val="center"/>
          </w:tcPr>
          <w:p w14:paraId="74DD8896" w14:textId="77777777" w:rsidR="00E82023" w:rsidRPr="00732F32" w:rsidRDefault="00E82023" w:rsidP="00E82023">
            <w:pPr>
              <w:pStyle w:val="TableText"/>
            </w:pPr>
            <w:r w:rsidRPr="00732F32">
              <w:lastRenderedPageBreak/>
              <w:t xml:space="preserve">No DKA or SHE in SMBG arm and no FoH utility for RT-CGM </w:t>
            </w:r>
          </w:p>
        </w:tc>
        <w:tc>
          <w:tcPr>
            <w:tcW w:w="925" w:type="pct"/>
          </w:tcPr>
          <w:p w14:paraId="71CDE5D7" w14:textId="61A14E91" w:rsidR="00E82023" w:rsidRPr="00051030" w:rsidRDefault="00E82023" w:rsidP="00E82023">
            <w:pPr>
              <w:pStyle w:val="TableText"/>
              <w:jc w:val="center"/>
              <w:rPr>
                <w:rFonts w:eastAsia="Calibri"/>
                <w:szCs w:val="20"/>
                <w:highlight w:val="yellow"/>
              </w:rPr>
            </w:pPr>
            <w:r w:rsidRPr="009C4CFC">
              <w:rPr>
                <w:bCs/>
              </w:rPr>
              <w:t>$</w:t>
            </w:r>
            <w:r w:rsidRPr="009C4CFC">
              <w:rPr>
                <w:b/>
              </w:rPr>
              <w:t>Redacted</w:t>
            </w:r>
          </w:p>
        </w:tc>
        <w:tc>
          <w:tcPr>
            <w:tcW w:w="777" w:type="pct"/>
          </w:tcPr>
          <w:p w14:paraId="02F752FC" w14:textId="77777777" w:rsidR="00E82023" w:rsidRPr="006644E5" w:rsidRDefault="00E82023" w:rsidP="00E82023">
            <w:pPr>
              <w:pStyle w:val="TableText"/>
              <w:jc w:val="center"/>
              <w:rPr>
                <w:rFonts w:eastAsia="Calibri"/>
                <w:szCs w:val="20"/>
              </w:rPr>
            </w:pPr>
            <w:r w:rsidRPr="006644E5">
              <w:t>0.200</w:t>
            </w:r>
          </w:p>
        </w:tc>
        <w:tc>
          <w:tcPr>
            <w:tcW w:w="777" w:type="pct"/>
          </w:tcPr>
          <w:p w14:paraId="653733FC" w14:textId="045006FE" w:rsidR="00E82023" w:rsidRPr="00051030" w:rsidRDefault="00E82023" w:rsidP="00E82023">
            <w:pPr>
              <w:pStyle w:val="TableText"/>
              <w:jc w:val="center"/>
              <w:rPr>
                <w:rFonts w:eastAsia="Calibri"/>
                <w:szCs w:val="20"/>
                <w:highlight w:val="yellow"/>
              </w:rPr>
            </w:pPr>
            <w:r w:rsidRPr="00D46BF9">
              <w:rPr>
                <w:bCs/>
              </w:rPr>
              <w:t>$</w:t>
            </w:r>
            <w:r w:rsidRPr="00D46BF9">
              <w:rPr>
                <w:b/>
              </w:rPr>
              <w:t>Redacted</w:t>
            </w:r>
            <w:r>
              <w:rPr>
                <w:bCs/>
                <w:vertAlign w:val="superscript"/>
              </w:rPr>
              <w:t>5</w:t>
            </w:r>
          </w:p>
        </w:tc>
        <w:tc>
          <w:tcPr>
            <w:tcW w:w="777" w:type="pct"/>
          </w:tcPr>
          <w:p w14:paraId="11D22B5C" w14:textId="75B850F7" w:rsidR="00E82023" w:rsidRPr="00051030" w:rsidRDefault="00E82023" w:rsidP="00E82023">
            <w:pPr>
              <w:pStyle w:val="TableText"/>
              <w:jc w:val="center"/>
              <w:rPr>
                <w:rFonts w:eastAsia="Calibri"/>
                <w:i/>
                <w:iCs/>
                <w:szCs w:val="20"/>
                <w:highlight w:val="yellow"/>
              </w:rPr>
            </w:pPr>
            <w:r w:rsidRPr="00A35F10">
              <w:rPr>
                <w:b/>
                <w:bCs/>
                <w:i/>
              </w:rPr>
              <w:t>redacted</w:t>
            </w:r>
            <w:r w:rsidRPr="00A35F10">
              <w:rPr>
                <w:i/>
              </w:rPr>
              <w:t xml:space="preserve">% </w:t>
            </w:r>
          </w:p>
        </w:tc>
      </w:tr>
    </w:tbl>
    <w:p w14:paraId="497AFC35" w14:textId="77777777" w:rsidR="00C50422" w:rsidRDefault="00195FCB" w:rsidP="0080067E">
      <w:pPr>
        <w:pStyle w:val="TableNote"/>
        <w:spacing w:after="0"/>
        <w:rPr>
          <w:rFonts w:ascii="Arial Narrow" w:eastAsia="Arial Narrow" w:hAnsi="Arial Narrow" w:cs="Arial Narrow"/>
          <w:sz w:val="18"/>
          <w:szCs w:val="18"/>
        </w:rPr>
      </w:pPr>
      <w:r w:rsidRPr="00421A78">
        <w:rPr>
          <w:rFonts w:ascii="Arial Narrow" w:eastAsia="Arial Narrow" w:hAnsi="Arial Narrow" w:cs="Arial Narrow"/>
          <w:b/>
          <w:bCs/>
          <w:sz w:val="18"/>
          <w:szCs w:val="18"/>
        </w:rPr>
        <w:t>Abbreviations</w:t>
      </w:r>
      <w:r w:rsidR="00421A78" w:rsidRPr="00421A78">
        <w:rPr>
          <w:rFonts w:ascii="Arial Narrow" w:eastAsia="Arial Narrow" w:hAnsi="Arial Narrow" w:cs="Arial Narrow"/>
          <w:b/>
          <w:bCs/>
          <w:sz w:val="18"/>
          <w:szCs w:val="18"/>
        </w:rPr>
        <w:t>:</w:t>
      </w:r>
      <w:r w:rsidR="00421A78">
        <w:rPr>
          <w:rFonts w:ascii="Arial Narrow" w:eastAsia="Arial Narrow" w:hAnsi="Arial Narrow" w:cs="Arial Narrow"/>
          <w:sz w:val="18"/>
          <w:szCs w:val="18"/>
        </w:rPr>
        <w:t xml:space="preserve"> </w:t>
      </w:r>
      <w:r w:rsidR="0080067E">
        <w:rPr>
          <w:rFonts w:ascii="Arial Narrow" w:eastAsia="Arial Narrow" w:hAnsi="Arial Narrow" w:cs="Arial Narrow"/>
          <w:sz w:val="18"/>
          <w:szCs w:val="18"/>
        </w:rPr>
        <w:t xml:space="preserve">DKA = diabetic ketoacidosis; </w:t>
      </w:r>
      <w:r w:rsidR="0080067E" w:rsidRPr="7330CE97">
        <w:rPr>
          <w:rFonts w:ascii="Arial Narrow" w:eastAsia="Arial Narrow" w:hAnsi="Arial Narrow" w:cs="Arial Narrow"/>
          <w:sz w:val="18"/>
          <w:szCs w:val="18"/>
        </w:rPr>
        <w:t>FoH</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fear of hypoglyc</w:t>
      </w:r>
      <w:r w:rsidR="0080067E">
        <w:rPr>
          <w:rFonts w:ascii="Arial Narrow" w:eastAsia="Arial Narrow" w:hAnsi="Arial Narrow" w:cs="Arial Narrow"/>
          <w:sz w:val="18"/>
          <w:szCs w:val="18"/>
        </w:rPr>
        <w:t>a</w:t>
      </w:r>
      <w:r w:rsidR="0080067E" w:rsidRPr="7330CE97">
        <w:rPr>
          <w:rFonts w:ascii="Arial Narrow" w:eastAsia="Arial Narrow" w:hAnsi="Arial Narrow" w:cs="Arial Narrow"/>
          <w:sz w:val="18"/>
          <w:szCs w:val="18"/>
        </w:rPr>
        <w:t>emia; HbA1c</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glycated h</w:t>
      </w:r>
      <w:r w:rsidR="0080067E">
        <w:rPr>
          <w:rFonts w:ascii="Arial Narrow" w:eastAsia="Arial Narrow" w:hAnsi="Arial Narrow" w:cs="Arial Narrow"/>
          <w:sz w:val="18"/>
          <w:szCs w:val="18"/>
        </w:rPr>
        <w:t>aemoglobin</w:t>
      </w:r>
      <w:r w:rsidR="0080067E" w:rsidRPr="7330CE97">
        <w:rPr>
          <w:rFonts w:ascii="Arial Narrow" w:eastAsia="Arial Narrow" w:hAnsi="Arial Narrow" w:cs="Arial Narrow"/>
          <w:sz w:val="18"/>
          <w:szCs w:val="18"/>
        </w:rPr>
        <w:t>; IC</w:t>
      </w:r>
      <w:r w:rsidR="0080067E">
        <w:rPr>
          <w:rFonts w:ascii="Arial Narrow" w:eastAsia="Arial Narrow" w:hAnsi="Arial Narrow" w:cs="Arial Narrow"/>
          <w:sz w:val="18"/>
          <w:szCs w:val="18"/>
        </w:rPr>
        <w:t>E</w:t>
      </w:r>
      <w:r w:rsidR="0080067E" w:rsidRPr="7330CE97">
        <w:rPr>
          <w:rFonts w:ascii="Arial Narrow" w:eastAsia="Arial Narrow" w:hAnsi="Arial Narrow" w:cs="Arial Narrow"/>
          <w:sz w:val="18"/>
          <w:szCs w:val="18"/>
        </w:rPr>
        <w:t>R</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incremental cost-</w:t>
      </w:r>
      <w:r w:rsidR="0080067E">
        <w:rPr>
          <w:rFonts w:ascii="Arial Narrow" w:eastAsia="Arial Narrow" w:hAnsi="Arial Narrow" w:cs="Arial Narrow"/>
          <w:sz w:val="18"/>
          <w:szCs w:val="18"/>
        </w:rPr>
        <w:t>effectiveness ra</w:t>
      </w:r>
      <w:r w:rsidR="0080067E" w:rsidRPr="7330CE97">
        <w:rPr>
          <w:rFonts w:ascii="Arial Narrow" w:eastAsia="Arial Narrow" w:hAnsi="Arial Narrow" w:cs="Arial Narrow"/>
          <w:sz w:val="18"/>
          <w:szCs w:val="18"/>
        </w:rPr>
        <w:t xml:space="preserve">tio; </w:t>
      </w:r>
      <w:r w:rsidR="0080067E" w:rsidRPr="00D10ABA">
        <w:rPr>
          <w:rFonts w:ascii="Arial Narrow" w:eastAsia="Arial Narrow" w:hAnsi="Arial Narrow" w:cs="Arial Narrow"/>
          <w:sz w:val="18"/>
          <w:szCs w:val="18"/>
        </w:rPr>
        <w:t>IIT = intensive insulin therapy</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w:t>
      </w:r>
      <w:r w:rsidR="0080067E">
        <w:rPr>
          <w:rFonts w:ascii="Arial Narrow" w:eastAsia="Arial Narrow" w:hAnsi="Arial Narrow" w:cs="Arial Narrow"/>
          <w:sz w:val="18"/>
          <w:szCs w:val="18"/>
        </w:rPr>
        <w:t>LCL = lower control limit; non-</w:t>
      </w:r>
      <w:r w:rsidR="0080067E" w:rsidRPr="00D10ABA">
        <w:rPr>
          <w:rFonts w:ascii="Arial Narrow" w:eastAsia="Arial Narrow" w:hAnsi="Arial Narrow" w:cs="Arial Narrow"/>
          <w:sz w:val="18"/>
          <w:szCs w:val="18"/>
        </w:rPr>
        <w:t>IIT = </w:t>
      </w:r>
      <w:r w:rsidR="0080067E">
        <w:rPr>
          <w:rFonts w:ascii="Arial Narrow" w:eastAsia="Arial Narrow" w:hAnsi="Arial Narrow" w:cs="Arial Narrow"/>
          <w:sz w:val="18"/>
          <w:szCs w:val="18"/>
        </w:rPr>
        <w:t>non-</w:t>
      </w:r>
      <w:r w:rsidR="0080067E" w:rsidRPr="00D10ABA">
        <w:rPr>
          <w:rFonts w:ascii="Arial Narrow" w:eastAsia="Arial Narrow" w:hAnsi="Arial Narrow" w:cs="Arial Narrow"/>
          <w:sz w:val="18"/>
          <w:szCs w:val="18"/>
        </w:rPr>
        <w:t>intensive insulin therapy</w:t>
      </w:r>
      <w:r w:rsidR="0080067E">
        <w:rPr>
          <w:rFonts w:ascii="Arial Narrow" w:eastAsia="Arial Narrow" w:hAnsi="Arial Narrow" w:cs="Arial Narrow"/>
          <w:sz w:val="18"/>
          <w:szCs w:val="18"/>
        </w:rPr>
        <w:t>;</w:t>
      </w:r>
      <w:r w:rsidR="0080067E" w:rsidRPr="00D10ABA">
        <w:rPr>
          <w:rFonts w:ascii="Arial Narrow" w:eastAsia="Arial Narrow" w:hAnsi="Arial Narrow" w:cs="Arial Narrow"/>
          <w:sz w:val="18"/>
          <w:szCs w:val="18"/>
        </w:rPr>
        <w:t> </w:t>
      </w:r>
      <w:r w:rsidR="0080067E" w:rsidRPr="7330CE97">
        <w:rPr>
          <w:rFonts w:ascii="Arial Narrow" w:eastAsia="Arial Narrow" w:hAnsi="Arial Narrow" w:cs="Arial Narrow"/>
          <w:sz w:val="18"/>
          <w:szCs w:val="18"/>
        </w:rPr>
        <w:t>QALY</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quality-adjusted life year; RT-CGM</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real-time continuous glucose monitoring; SHE</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severe hypoglyc</w:t>
      </w:r>
      <w:r w:rsidR="0080067E">
        <w:rPr>
          <w:rFonts w:ascii="Arial Narrow" w:eastAsia="Arial Narrow" w:hAnsi="Arial Narrow" w:cs="Arial Narrow"/>
          <w:sz w:val="18"/>
          <w:szCs w:val="18"/>
        </w:rPr>
        <w:t>aemic</w:t>
      </w:r>
      <w:r w:rsidR="0080067E" w:rsidRPr="7330CE97">
        <w:rPr>
          <w:rFonts w:ascii="Arial Narrow" w:eastAsia="Arial Narrow" w:hAnsi="Arial Narrow" w:cs="Arial Narrow"/>
          <w:sz w:val="18"/>
          <w:szCs w:val="18"/>
        </w:rPr>
        <w:t xml:space="preserve"> events; SMBG</w:t>
      </w:r>
      <w:r w:rsidR="0080067E">
        <w:rPr>
          <w:rFonts w:ascii="Arial Narrow" w:eastAsia="Arial Narrow" w:hAnsi="Arial Narrow" w:cs="Arial Narrow"/>
          <w:sz w:val="18"/>
          <w:szCs w:val="18"/>
        </w:rPr>
        <w:t xml:space="preserve"> =</w:t>
      </w:r>
      <w:r w:rsidR="0080067E" w:rsidRPr="7330CE97">
        <w:rPr>
          <w:rFonts w:ascii="Arial Narrow" w:eastAsia="Arial Narrow" w:hAnsi="Arial Narrow" w:cs="Arial Narrow"/>
          <w:sz w:val="18"/>
          <w:szCs w:val="18"/>
        </w:rPr>
        <w:t xml:space="preserve"> self-monitoring of blood glucose</w:t>
      </w:r>
      <w:r w:rsidR="0080067E">
        <w:rPr>
          <w:rFonts w:ascii="Arial Narrow" w:eastAsiaTheme="minorHAnsi" w:hAnsi="Arial Narrow" w:cstheme="minorBidi"/>
          <w:color w:val="000000"/>
          <w:sz w:val="18"/>
          <w:szCs w:val="18"/>
          <w:shd w:val="clear" w:color="auto" w:fill="FFFFFF"/>
        </w:rPr>
        <w:t xml:space="preserve">; </w:t>
      </w:r>
      <w:r w:rsidR="0080067E">
        <w:rPr>
          <w:rFonts w:ascii="Arial Narrow" w:eastAsia="Arial Narrow" w:hAnsi="Arial Narrow" w:cs="Arial Narrow"/>
          <w:sz w:val="18"/>
          <w:szCs w:val="18"/>
        </w:rPr>
        <w:t>UCL = upper control limit</w:t>
      </w:r>
    </w:p>
    <w:p w14:paraId="209425BC" w14:textId="07D9429B" w:rsidR="0080067E" w:rsidRPr="0045293F" w:rsidRDefault="00C50422" w:rsidP="0080067E">
      <w:pPr>
        <w:pStyle w:val="TableNote"/>
        <w:spacing w:after="0"/>
        <w:rPr>
          <w:rFonts w:ascii="Arial Narrow" w:eastAsia="Arial Narrow" w:hAnsi="Arial Narrow" w:cs="Arial Narrow"/>
          <w:sz w:val="18"/>
          <w:szCs w:val="18"/>
        </w:rPr>
      </w:pPr>
      <w:r w:rsidRPr="00A41C72">
        <w:rPr>
          <w:rFonts w:ascii="Arial Narrow" w:eastAsia="Arial Narrow" w:hAnsi="Arial Narrow" w:cs="Arial Narrow"/>
          <w:b/>
          <w:bCs/>
          <w:sz w:val="18"/>
          <w:szCs w:val="18"/>
        </w:rPr>
        <w:t>Note:</w:t>
      </w:r>
      <w:r>
        <w:rPr>
          <w:rFonts w:ascii="Arial Narrow" w:eastAsia="Arial Narrow" w:hAnsi="Arial Narrow" w:cs="Arial Narrow"/>
          <w:sz w:val="18"/>
          <w:szCs w:val="18"/>
        </w:rPr>
        <w:t xml:space="preserve"> </w:t>
      </w:r>
      <w:r w:rsidR="0080067E" w:rsidRPr="00732F32">
        <w:rPr>
          <w:rFonts w:ascii="Arial Narrow" w:eastAsia="Arial Narrow" w:hAnsi="Arial Narrow" w:cs="Arial Narrow"/>
          <w:sz w:val="18"/>
          <w:szCs w:val="18"/>
        </w:rPr>
        <w:t>additional analyses conducted during the commentary are presented in </w:t>
      </w:r>
      <w:r w:rsidR="0080067E" w:rsidRPr="00732F32">
        <w:rPr>
          <w:rFonts w:ascii="Arial Narrow" w:eastAsia="Arial Narrow" w:hAnsi="Arial Narrow" w:cs="Arial Narrow"/>
          <w:i/>
          <w:iCs/>
          <w:sz w:val="18"/>
          <w:szCs w:val="18"/>
        </w:rPr>
        <w:t>italics</w:t>
      </w:r>
      <w:r w:rsidR="0080067E" w:rsidRPr="00732F32">
        <w:rPr>
          <w:rFonts w:ascii="Arial Narrow" w:eastAsia="Arial Narrow" w:hAnsi="Arial Narrow" w:cs="Arial Narrow"/>
          <w:sz w:val="18"/>
          <w:szCs w:val="18"/>
        </w:rPr>
        <w:t>.</w:t>
      </w:r>
    </w:p>
    <w:p w14:paraId="3560C17E" w14:textId="1BF98192" w:rsidR="00C373F6" w:rsidRPr="0045293F" w:rsidRDefault="00E42928" w:rsidP="0080067E">
      <w:pPr>
        <w:pStyle w:val="TableNote"/>
        <w:spacing w:after="0"/>
        <w:rPr>
          <w:rFonts w:ascii="Arial Narrow" w:eastAsia="Arial Narrow" w:hAnsi="Arial Narrow" w:cs="Arial Narrow"/>
          <w:sz w:val="18"/>
          <w:szCs w:val="18"/>
        </w:rPr>
      </w:pPr>
      <w:r>
        <w:rPr>
          <w:rFonts w:ascii="Arial Narrow" w:eastAsia="Arial Narrow" w:hAnsi="Arial Narrow" w:cs="Arial Narrow"/>
          <w:sz w:val="18"/>
          <w:szCs w:val="18"/>
        </w:rPr>
        <w:t>*</w:t>
      </w:r>
      <w:r w:rsidR="009F1EEB">
        <w:rPr>
          <w:rFonts w:ascii="Arial Narrow" w:eastAsia="Arial Narrow" w:hAnsi="Arial Narrow" w:cs="Arial Narrow"/>
          <w:sz w:val="18"/>
          <w:szCs w:val="18"/>
        </w:rPr>
        <w:t xml:space="preserve">Lifetime was modelled </w:t>
      </w:r>
      <w:r w:rsidR="0025655D">
        <w:rPr>
          <w:rFonts w:ascii="Arial Narrow" w:eastAsia="Arial Narrow" w:hAnsi="Arial Narrow" w:cs="Arial Narrow"/>
          <w:sz w:val="18"/>
          <w:szCs w:val="18"/>
        </w:rPr>
        <w:t>using a 50</w:t>
      </w:r>
      <w:r w:rsidR="00DF6F39">
        <w:rPr>
          <w:rFonts w:ascii="Arial Narrow" w:eastAsia="Arial Narrow" w:hAnsi="Arial Narrow" w:cs="Arial Narrow"/>
          <w:sz w:val="18"/>
          <w:szCs w:val="18"/>
        </w:rPr>
        <w:t xml:space="preserve">-year time horizon </w:t>
      </w:r>
      <w:r w:rsidR="002F6EF7">
        <w:rPr>
          <w:rFonts w:ascii="Arial Narrow" w:eastAsia="Arial Narrow" w:hAnsi="Arial Narrow" w:cs="Arial Narrow"/>
          <w:sz w:val="18"/>
          <w:szCs w:val="18"/>
        </w:rPr>
        <w:t xml:space="preserve">applied from cohort entry </w:t>
      </w:r>
      <w:r w:rsidR="00D253A4">
        <w:rPr>
          <w:rFonts w:ascii="Arial Narrow" w:eastAsia="Arial Narrow" w:hAnsi="Arial Narrow" w:cs="Arial Narrow"/>
          <w:sz w:val="18"/>
          <w:szCs w:val="18"/>
        </w:rPr>
        <w:t xml:space="preserve">(mean age 60 years for IIT </w:t>
      </w:r>
      <w:r w:rsidR="007B6C6A">
        <w:rPr>
          <w:rFonts w:ascii="Arial Narrow" w:eastAsia="Arial Narrow" w:hAnsi="Arial Narrow" w:cs="Arial Narrow"/>
          <w:sz w:val="18"/>
          <w:szCs w:val="18"/>
        </w:rPr>
        <w:t>subpopulation</w:t>
      </w:r>
      <w:r w:rsidR="009A7A68">
        <w:rPr>
          <w:rFonts w:ascii="Arial Narrow" w:eastAsia="Arial Narrow" w:hAnsi="Arial Narrow" w:cs="Arial Narrow"/>
          <w:sz w:val="18"/>
          <w:szCs w:val="18"/>
        </w:rPr>
        <w:t xml:space="preserve">; </w:t>
      </w:r>
      <w:r w:rsidR="00D253A4">
        <w:rPr>
          <w:rFonts w:ascii="Arial Narrow" w:eastAsia="Arial Narrow" w:hAnsi="Arial Narrow" w:cs="Arial Narrow"/>
          <w:sz w:val="18"/>
          <w:szCs w:val="18"/>
        </w:rPr>
        <w:t>59.9 years for non-IIT</w:t>
      </w:r>
      <w:r w:rsidR="007B6C6A">
        <w:rPr>
          <w:rFonts w:ascii="Arial Narrow" w:eastAsia="Arial Narrow" w:hAnsi="Arial Narrow" w:cs="Arial Narrow"/>
          <w:sz w:val="18"/>
          <w:szCs w:val="18"/>
        </w:rPr>
        <w:t xml:space="preserve"> subpopulation</w:t>
      </w:r>
      <w:r w:rsidR="00D253A4">
        <w:rPr>
          <w:rFonts w:ascii="Arial Narrow" w:eastAsia="Arial Narrow" w:hAnsi="Arial Narrow" w:cs="Arial Narrow"/>
          <w:sz w:val="18"/>
          <w:szCs w:val="18"/>
        </w:rPr>
        <w:t>)</w:t>
      </w:r>
      <w:r w:rsidR="00D80367">
        <w:rPr>
          <w:rFonts w:ascii="Arial Narrow" w:eastAsia="Arial Narrow" w:hAnsi="Arial Narrow" w:cs="Arial Narrow"/>
          <w:sz w:val="18"/>
          <w:szCs w:val="18"/>
        </w:rPr>
        <w:t xml:space="preserve">. </w:t>
      </w:r>
    </w:p>
    <w:p w14:paraId="05D50135" w14:textId="77777777" w:rsidR="00136810" w:rsidRDefault="00B852B9" w:rsidP="00B852B9">
      <w:pPr>
        <w:pStyle w:val="TableFooter"/>
        <w:spacing w:before="0"/>
        <w:rPr>
          <w:lang w:eastAsia="en-AU"/>
        </w:rPr>
      </w:pPr>
      <w:r w:rsidRPr="00A95451">
        <w:rPr>
          <w:b/>
          <w:bCs/>
          <w:lang w:eastAsia="en-AU"/>
        </w:rPr>
        <w:t>Source:</w:t>
      </w:r>
      <w:r>
        <w:rPr>
          <w:lang w:eastAsia="en-AU"/>
        </w:rPr>
        <w:t xml:space="preserve"> </w:t>
      </w:r>
      <w:r w:rsidRPr="00610B69">
        <w:t>Adapted from Table</w:t>
      </w:r>
      <w:r>
        <w:t>s</w:t>
      </w:r>
      <w:r w:rsidRPr="00610B69">
        <w:t> </w:t>
      </w:r>
      <w:r>
        <w:t>37 and 38</w:t>
      </w:r>
      <w:r w:rsidRPr="00610B69">
        <w:t>, p</w:t>
      </w:r>
      <w:r>
        <w:t>p. 107-109</w:t>
      </w:r>
      <w:r w:rsidRPr="00610B69">
        <w:t> of the MSAC 1785 ADAR + in-line commentary</w:t>
      </w:r>
      <w:r>
        <w:rPr>
          <w:lang w:eastAsia="en-AU"/>
        </w:rPr>
        <w:t>.</w:t>
      </w:r>
      <w:r w:rsidRPr="00C81E0C">
        <w:rPr>
          <w:lang w:eastAsia="en-AU"/>
        </w:rPr>
        <w:t> </w:t>
      </w:r>
    </w:p>
    <w:p w14:paraId="6F274A67" w14:textId="77777777" w:rsidR="00136810" w:rsidRDefault="00136810" w:rsidP="00136810">
      <w:pPr>
        <w:pStyle w:val="TableFooter"/>
        <w:rPr>
          <w:lang w:eastAsia="en-AU"/>
        </w:rPr>
      </w:pPr>
      <w:r>
        <w:rPr>
          <w:lang w:eastAsia="en-AU"/>
        </w:rPr>
        <w:t>The redacted values correspond to the following ranges:</w:t>
      </w:r>
    </w:p>
    <w:p w14:paraId="515E3C0A" w14:textId="77777777" w:rsidR="00136810" w:rsidRDefault="00136810" w:rsidP="00136810">
      <w:pPr>
        <w:pStyle w:val="TableFooter"/>
        <w:rPr>
          <w:lang w:eastAsia="en-AU"/>
        </w:rPr>
      </w:pPr>
      <w:r>
        <w:rPr>
          <w:vertAlign w:val="superscript"/>
          <w:lang w:eastAsia="en-AU"/>
        </w:rPr>
        <w:t>1</w:t>
      </w:r>
      <w:r>
        <w:rPr>
          <w:lang w:eastAsia="en-AU"/>
        </w:rPr>
        <w:t xml:space="preserve"> $5,000 to &lt; $15,000</w:t>
      </w:r>
    </w:p>
    <w:p w14:paraId="273237C2" w14:textId="77777777" w:rsidR="00136810" w:rsidRDefault="00136810" w:rsidP="00136810">
      <w:pPr>
        <w:pStyle w:val="TableFooter"/>
        <w:rPr>
          <w:lang w:eastAsia="en-AU"/>
        </w:rPr>
      </w:pPr>
      <w:r w:rsidRPr="00637C8D">
        <w:rPr>
          <w:vertAlign w:val="superscript"/>
          <w:lang w:eastAsia="en-AU"/>
        </w:rPr>
        <w:t>2</w:t>
      </w:r>
      <w:r>
        <w:rPr>
          <w:lang w:eastAsia="en-AU"/>
        </w:rPr>
        <w:t xml:space="preserve"> $15,000 to &lt; $25,000</w:t>
      </w:r>
      <w:r w:rsidRPr="00C81E0C">
        <w:rPr>
          <w:lang w:eastAsia="en-AU"/>
        </w:rPr>
        <w:t> </w:t>
      </w:r>
    </w:p>
    <w:p w14:paraId="4C91C513" w14:textId="77777777" w:rsidR="00136810" w:rsidRDefault="00136810" w:rsidP="00136810">
      <w:pPr>
        <w:pStyle w:val="TableFooter"/>
        <w:rPr>
          <w:lang w:eastAsia="en-AU"/>
        </w:rPr>
      </w:pPr>
      <w:r>
        <w:rPr>
          <w:vertAlign w:val="superscript"/>
          <w:lang w:eastAsia="en-AU"/>
        </w:rPr>
        <w:t>3</w:t>
      </w:r>
      <w:r>
        <w:rPr>
          <w:lang w:eastAsia="en-AU"/>
        </w:rPr>
        <w:t xml:space="preserve"> $35,000 to &lt; $45,000</w:t>
      </w:r>
      <w:r w:rsidRPr="00C81E0C">
        <w:rPr>
          <w:lang w:eastAsia="en-AU"/>
        </w:rPr>
        <w:t> </w:t>
      </w:r>
    </w:p>
    <w:p w14:paraId="0F423B34" w14:textId="77777777" w:rsidR="00136810" w:rsidRDefault="00136810" w:rsidP="00136810">
      <w:pPr>
        <w:pStyle w:val="TableFooter"/>
        <w:rPr>
          <w:lang w:eastAsia="en-AU"/>
        </w:rPr>
      </w:pPr>
      <w:r>
        <w:rPr>
          <w:vertAlign w:val="superscript"/>
          <w:lang w:eastAsia="en-AU"/>
        </w:rPr>
        <w:t>4</w:t>
      </w:r>
      <w:r>
        <w:rPr>
          <w:lang w:eastAsia="en-AU"/>
        </w:rPr>
        <w:t xml:space="preserve"> $45,000 to &lt; $55,000</w:t>
      </w:r>
    </w:p>
    <w:p w14:paraId="146B11AD" w14:textId="265F2DD1" w:rsidR="006B327B" w:rsidRPr="00B852B9" w:rsidRDefault="00136810" w:rsidP="00E43714">
      <w:pPr>
        <w:pStyle w:val="TableFooter"/>
        <w:rPr>
          <w:lang w:eastAsia="en-AU"/>
        </w:rPr>
      </w:pPr>
      <w:r>
        <w:rPr>
          <w:vertAlign w:val="superscript"/>
          <w:lang w:eastAsia="en-AU"/>
        </w:rPr>
        <w:t>5</w:t>
      </w:r>
      <w:r>
        <w:rPr>
          <w:lang w:eastAsia="en-AU"/>
        </w:rPr>
        <w:t xml:space="preserve"> $55,000 to &lt; $75,000</w:t>
      </w:r>
    </w:p>
    <w:p w14:paraId="49FE821F" w14:textId="77777777" w:rsidR="00445252" w:rsidRDefault="005C25A0" w:rsidP="005C25A0">
      <w:r>
        <w:t>Although the model was described as fully editable</w:t>
      </w:r>
      <w:r w:rsidR="007A2EB7">
        <w:t xml:space="preserve"> </w:t>
      </w:r>
      <w:r w:rsidR="00B0682B">
        <w:t xml:space="preserve">and </w:t>
      </w:r>
      <w:r w:rsidR="007A2EB7">
        <w:t>login access was provided</w:t>
      </w:r>
      <w:r>
        <w:t>, the</w:t>
      </w:r>
      <w:r w:rsidR="007A2EB7">
        <w:t xml:space="preserve"> </w:t>
      </w:r>
      <w:r w:rsidR="007E7AF6">
        <w:t>version provided</w:t>
      </w:r>
      <w:r w:rsidR="00B0682B">
        <w:t xml:space="preserve"> </w:t>
      </w:r>
      <w:r>
        <w:t xml:space="preserve">was </w:t>
      </w:r>
      <w:r w:rsidR="00746670">
        <w:t>‘</w:t>
      </w:r>
      <w:r>
        <w:t>public but not modifiable</w:t>
      </w:r>
      <w:r w:rsidR="00B0682B">
        <w:t>,</w:t>
      </w:r>
      <w:r w:rsidR="00746670">
        <w:t>’</w:t>
      </w:r>
      <w:r w:rsidR="00755300">
        <w:t xml:space="preserve"> </w:t>
      </w:r>
      <w:r>
        <w:t xml:space="preserve">which restricted </w:t>
      </w:r>
      <w:r w:rsidR="00B0682B">
        <w:t xml:space="preserve">modification of input parameters </w:t>
      </w:r>
      <w:r w:rsidR="00C006F6">
        <w:t xml:space="preserve">and limited </w:t>
      </w:r>
      <w:r w:rsidR="00D5277D">
        <w:t xml:space="preserve">the ability </w:t>
      </w:r>
      <w:r>
        <w:t>to conduct additional uncertainty analysis</w:t>
      </w:r>
      <w:r w:rsidR="00C636E3">
        <w:t xml:space="preserve"> </w:t>
      </w:r>
      <w:r>
        <w:t>during the evaluation</w:t>
      </w:r>
      <w:r w:rsidR="00746670">
        <w:t>.</w:t>
      </w:r>
      <w:r w:rsidR="00F35609">
        <w:t xml:space="preserve"> </w:t>
      </w:r>
      <w:r w:rsidR="00746670">
        <w:t>Nevertheless,</w:t>
      </w:r>
      <w:r w:rsidR="00F35609">
        <w:t xml:space="preserve"> existing scenarios c</w:t>
      </w:r>
      <w:r w:rsidR="00755300">
        <w:t>ould</w:t>
      </w:r>
      <w:r w:rsidR="00F35609">
        <w:t xml:space="preserve"> be </w:t>
      </w:r>
      <w:r w:rsidR="00AC09ED">
        <w:t>rerun</w:t>
      </w:r>
      <w:r w:rsidR="00755300">
        <w:t xml:space="preserve"> to validate the model outcomes</w:t>
      </w:r>
      <w:r w:rsidR="00AC09ED">
        <w:t xml:space="preserve">. </w:t>
      </w:r>
    </w:p>
    <w:p w14:paraId="51A1E2A6" w14:textId="698679EB" w:rsidR="005C25A0" w:rsidRPr="00C54615" w:rsidRDefault="00DF1C10" w:rsidP="005C25A0">
      <w:pPr>
        <w:rPr>
          <w:bCs/>
          <w:i/>
        </w:rPr>
      </w:pPr>
      <w:r w:rsidRPr="00C54615">
        <w:rPr>
          <w:bCs/>
          <w:i/>
        </w:rPr>
        <w:t xml:space="preserve">The commentary requested </w:t>
      </w:r>
      <w:r w:rsidR="00CD1E76" w:rsidRPr="00C54615">
        <w:rPr>
          <w:bCs/>
          <w:i/>
          <w:iCs/>
        </w:rPr>
        <w:t xml:space="preserve">the following additional information from </w:t>
      </w:r>
      <w:r w:rsidRPr="00C54615">
        <w:rPr>
          <w:bCs/>
          <w:i/>
        </w:rPr>
        <w:t xml:space="preserve">the </w:t>
      </w:r>
      <w:r w:rsidR="00445252" w:rsidRPr="00C54615">
        <w:rPr>
          <w:bCs/>
          <w:i/>
        </w:rPr>
        <w:t>applicant</w:t>
      </w:r>
      <w:r w:rsidR="00CD1E76" w:rsidRPr="00C54615">
        <w:rPr>
          <w:bCs/>
          <w:i/>
          <w:iCs/>
        </w:rPr>
        <w:t xml:space="preserve"> (if possible in its pre-ESC response)</w:t>
      </w:r>
      <w:r w:rsidR="00AF6406" w:rsidRPr="00C54615">
        <w:rPr>
          <w:bCs/>
          <w:i/>
          <w:iCs/>
        </w:rPr>
        <w:t>:</w:t>
      </w:r>
    </w:p>
    <w:p w14:paraId="4A80DEB5" w14:textId="5CC4CEDD" w:rsidR="005C25A0" w:rsidRPr="00C54615" w:rsidRDefault="005C25A0" w:rsidP="00670C60">
      <w:pPr>
        <w:pStyle w:val="ListParagraph"/>
        <w:numPr>
          <w:ilvl w:val="0"/>
          <w:numId w:val="17"/>
        </w:numPr>
        <w:rPr>
          <w:bCs/>
          <w:i/>
        </w:rPr>
      </w:pPr>
      <w:r w:rsidRPr="00C54615">
        <w:rPr>
          <w:bCs/>
          <w:i/>
        </w:rPr>
        <w:t xml:space="preserve">The </w:t>
      </w:r>
      <w:r w:rsidR="00445252" w:rsidRPr="00C54615">
        <w:rPr>
          <w:bCs/>
          <w:i/>
        </w:rPr>
        <w:t>AD</w:t>
      </w:r>
      <w:r w:rsidR="00984E9E" w:rsidRPr="00C54615">
        <w:rPr>
          <w:bCs/>
          <w:i/>
          <w:iCs/>
        </w:rPr>
        <w:t>A</w:t>
      </w:r>
      <w:r w:rsidR="00445252" w:rsidRPr="00C54615">
        <w:rPr>
          <w:bCs/>
          <w:i/>
        </w:rPr>
        <w:t xml:space="preserve">R </w:t>
      </w:r>
      <w:r w:rsidR="00445252" w:rsidRPr="00C54615">
        <w:rPr>
          <w:bCs/>
          <w:i/>
          <w:iCs/>
        </w:rPr>
        <w:t>resubmission</w:t>
      </w:r>
      <w:r w:rsidRPr="00C54615">
        <w:rPr>
          <w:bCs/>
          <w:i/>
        </w:rPr>
        <w:t xml:space="preserve"> performed sensitivity analyses based on the UKPDS risk equation and presented results for both IIT and non-IIT populations. However, the base case analysis </w:t>
      </w:r>
      <w:r w:rsidR="00236B87" w:rsidRPr="00C54615">
        <w:rPr>
          <w:bCs/>
          <w:i/>
        </w:rPr>
        <w:t>wa</w:t>
      </w:r>
      <w:r w:rsidRPr="00C54615">
        <w:rPr>
          <w:bCs/>
          <w:i/>
        </w:rPr>
        <w:t>s presented based on both UKPDS and Fremantle risk equations. To maintain consistency to the base case results and explore the economic impact based on Australia</w:t>
      </w:r>
      <w:r w:rsidR="00DF4F2A" w:rsidRPr="00C54615">
        <w:rPr>
          <w:bCs/>
          <w:i/>
        </w:rPr>
        <w:t>n</w:t>
      </w:r>
      <w:r w:rsidRPr="00C54615">
        <w:rPr>
          <w:bCs/>
          <w:i/>
        </w:rPr>
        <w:t xml:space="preserve"> risk equations (i.e. Fremantle equations), additional sensitivity analyses for both populations would be valuable.</w:t>
      </w:r>
    </w:p>
    <w:p w14:paraId="4CECAEE1" w14:textId="3CCD73D6" w:rsidR="005C25A0" w:rsidRPr="00C54615" w:rsidRDefault="005C25A0" w:rsidP="00670C60">
      <w:pPr>
        <w:pStyle w:val="ListParagraph"/>
        <w:numPr>
          <w:ilvl w:val="0"/>
          <w:numId w:val="17"/>
        </w:numPr>
        <w:rPr>
          <w:bCs/>
          <w:i/>
        </w:rPr>
      </w:pPr>
      <w:r w:rsidRPr="00C54615">
        <w:rPr>
          <w:bCs/>
          <w:i/>
        </w:rPr>
        <w:t>Variations (±10%) for the key cost drivers</w:t>
      </w:r>
      <w:r w:rsidR="00A50481" w:rsidRPr="00C54615">
        <w:rPr>
          <w:bCs/>
          <w:i/>
        </w:rPr>
        <w:t>,</w:t>
      </w:r>
      <w:r w:rsidRPr="00C54615">
        <w:rPr>
          <w:bCs/>
          <w:i/>
        </w:rPr>
        <w:t xml:space="preserve"> such as renal and ophthalmic complications. </w:t>
      </w:r>
    </w:p>
    <w:p w14:paraId="2EFDC182" w14:textId="07F75BA1" w:rsidR="005C25A0" w:rsidRPr="00C54615" w:rsidRDefault="00AB204B" w:rsidP="00670C60">
      <w:pPr>
        <w:pStyle w:val="ListParagraph"/>
        <w:numPr>
          <w:ilvl w:val="0"/>
          <w:numId w:val="17"/>
        </w:numPr>
        <w:rPr>
          <w:bCs/>
          <w:i/>
        </w:rPr>
      </w:pPr>
      <w:r w:rsidRPr="00C54615">
        <w:rPr>
          <w:bCs/>
          <w:i/>
        </w:rPr>
        <w:t>F</w:t>
      </w:r>
      <w:r w:rsidR="005C25A0" w:rsidRPr="00C54615">
        <w:rPr>
          <w:bCs/>
          <w:i/>
        </w:rPr>
        <w:t>urther variation (±10%) around the treatment effects</w:t>
      </w:r>
      <w:r w:rsidRPr="00C54615">
        <w:rPr>
          <w:bCs/>
          <w:i/>
        </w:rPr>
        <w:t xml:space="preserve">, as indicated in </w:t>
      </w:r>
      <w:r w:rsidR="00423D09" w:rsidRPr="00C54615">
        <w:rPr>
          <w:bCs/>
          <w:i/>
        </w:rPr>
        <w:fldChar w:fldCharType="begin"/>
      </w:r>
      <w:r w:rsidR="00423D09" w:rsidRPr="00C54615">
        <w:rPr>
          <w:bCs/>
          <w:i/>
        </w:rPr>
        <w:instrText xml:space="preserve"> REF _Ref69480768 \h </w:instrText>
      </w:r>
      <w:r w:rsidR="005F0EBE" w:rsidRPr="00C54615">
        <w:rPr>
          <w:bCs/>
          <w:i/>
        </w:rPr>
        <w:instrText xml:space="preserve"> \* MERGEFORMAT </w:instrText>
      </w:r>
      <w:r w:rsidR="00423D09" w:rsidRPr="00C54615">
        <w:rPr>
          <w:bCs/>
          <w:i/>
        </w:rPr>
      </w:r>
      <w:r w:rsidR="00423D09" w:rsidRPr="00C54615">
        <w:rPr>
          <w:bCs/>
          <w:i/>
        </w:rPr>
        <w:fldChar w:fldCharType="separate"/>
      </w:r>
      <w:r w:rsidR="0098516D" w:rsidRPr="00C54615">
        <w:rPr>
          <w:bCs/>
          <w:i/>
        </w:rPr>
        <w:t>Table 1</w:t>
      </w:r>
      <w:r w:rsidR="00423D09" w:rsidRPr="00C54615">
        <w:rPr>
          <w:bCs/>
          <w:i/>
        </w:rPr>
        <w:fldChar w:fldCharType="end"/>
      </w:r>
      <w:r w:rsidR="009B256F" w:rsidRPr="00C54615">
        <w:rPr>
          <w:bCs/>
          <w:i/>
        </w:rPr>
        <w:t>.</w:t>
      </w:r>
    </w:p>
    <w:p w14:paraId="57F574E9" w14:textId="2E0D8B55" w:rsidR="005C25A0" w:rsidRPr="00C54615" w:rsidRDefault="005C25A0" w:rsidP="005C25A0">
      <w:pPr>
        <w:spacing w:before="0" w:after="0"/>
        <w:jc w:val="both"/>
        <w:rPr>
          <w:bCs/>
          <w:i/>
          <w:color w:val="0070C0"/>
        </w:rPr>
      </w:pPr>
      <w:r w:rsidRPr="00C54615">
        <w:rPr>
          <w:bCs/>
          <w:i/>
        </w:rPr>
        <w:t xml:space="preserve">Sensitivity analyses show that most of the QALYs gained were accumulated within </w:t>
      </w:r>
      <w:r w:rsidR="00761AB1" w:rsidRPr="00C54615">
        <w:rPr>
          <w:bCs/>
          <w:i/>
        </w:rPr>
        <w:t xml:space="preserve">a </w:t>
      </w:r>
      <w:r w:rsidRPr="00C54615">
        <w:rPr>
          <w:bCs/>
          <w:i/>
        </w:rPr>
        <w:t xml:space="preserve">20-year time horizon for both populations. As such, performing multivariate analyses considering the following parameters over a 20-year time horizon may provide more precise estimates </w:t>
      </w:r>
      <w:r w:rsidR="00761AB1" w:rsidRPr="00C54615">
        <w:rPr>
          <w:bCs/>
          <w:i/>
        </w:rPr>
        <w:t>for</w:t>
      </w:r>
      <w:r w:rsidRPr="00C54615">
        <w:rPr>
          <w:bCs/>
          <w:i/>
        </w:rPr>
        <w:t xml:space="preserve"> decision</w:t>
      </w:r>
      <w:r w:rsidR="00761AB1" w:rsidRPr="00C54615">
        <w:rPr>
          <w:bCs/>
          <w:i/>
        </w:rPr>
        <w:t>-</w:t>
      </w:r>
      <w:r w:rsidRPr="00C54615">
        <w:rPr>
          <w:bCs/>
          <w:i/>
        </w:rPr>
        <w:t>making.</w:t>
      </w:r>
    </w:p>
    <w:p w14:paraId="7E9302EE" w14:textId="77777777" w:rsidR="005C25A0" w:rsidRPr="00C54615" w:rsidRDefault="005C25A0" w:rsidP="00670C60">
      <w:pPr>
        <w:pStyle w:val="ListParagraph"/>
        <w:numPr>
          <w:ilvl w:val="0"/>
          <w:numId w:val="18"/>
        </w:numPr>
        <w:rPr>
          <w:bCs/>
          <w:i/>
        </w:rPr>
      </w:pPr>
      <w:r w:rsidRPr="00C54615">
        <w:rPr>
          <w:bCs/>
          <w:i/>
        </w:rPr>
        <w:t>Upper and lower limits of HbA1c</w:t>
      </w:r>
    </w:p>
    <w:p w14:paraId="68E46111" w14:textId="77777777" w:rsidR="005C25A0" w:rsidRPr="00C54615" w:rsidRDefault="005C25A0" w:rsidP="00670C60">
      <w:pPr>
        <w:pStyle w:val="ListParagraph"/>
        <w:numPr>
          <w:ilvl w:val="0"/>
          <w:numId w:val="18"/>
        </w:numPr>
        <w:rPr>
          <w:bCs/>
          <w:i/>
        </w:rPr>
      </w:pPr>
      <w:r w:rsidRPr="00C54615">
        <w:rPr>
          <w:bCs/>
          <w:i/>
        </w:rPr>
        <w:t>Mean diabetes duration to 14.1 years</w:t>
      </w:r>
    </w:p>
    <w:p w14:paraId="4340732D" w14:textId="2EF3A7DB" w:rsidR="005C25A0" w:rsidRPr="00C54615" w:rsidRDefault="004E0DA1" w:rsidP="00670C60">
      <w:pPr>
        <w:pStyle w:val="ListParagraph"/>
        <w:numPr>
          <w:ilvl w:val="0"/>
          <w:numId w:val="18"/>
        </w:numPr>
        <w:rPr>
          <w:bCs/>
          <w:i/>
        </w:rPr>
      </w:pPr>
      <w:r w:rsidRPr="00C54615">
        <w:rPr>
          <w:bCs/>
          <w:i/>
        </w:rPr>
        <w:t>Omit</w:t>
      </w:r>
      <w:r w:rsidR="005C25A0" w:rsidRPr="00C54615">
        <w:rPr>
          <w:bCs/>
          <w:i/>
        </w:rPr>
        <w:t xml:space="preserve"> FoH utilities in RT-CGM arm</w:t>
      </w:r>
    </w:p>
    <w:p w14:paraId="45955AC0" w14:textId="2B38002E" w:rsidR="00E43714" w:rsidRDefault="00D55263">
      <w:pPr>
        <w:spacing w:before="0"/>
      </w:pPr>
      <w:bookmarkStart w:id="53" w:name="_Toc69491426"/>
      <w:r>
        <w:t>The applicant provided the requested sensitivity analyses in Tables 19 and 20.</w:t>
      </w:r>
      <w:r w:rsidR="00E43714">
        <w:br w:type="page"/>
      </w:r>
    </w:p>
    <w:p w14:paraId="0F0CBCB6" w14:textId="4ED8F600" w:rsidR="00826297" w:rsidRPr="00A21958" w:rsidRDefault="003322E6" w:rsidP="00A21958">
      <w:pPr>
        <w:spacing w:after="0"/>
        <w:rPr>
          <w:rFonts w:ascii="Arial Narrow" w:hAnsi="Arial Narrow" w:cstheme="minorHAnsi"/>
          <w:b/>
          <w:bCs/>
          <w:sz w:val="20"/>
          <w:szCs w:val="20"/>
        </w:rPr>
      </w:pPr>
      <w:r w:rsidRPr="00C54615">
        <w:rPr>
          <w:rFonts w:ascii="Arial Narrow" w:hAnsi="Arial Narrow" w:cstheme="minorHAnsi"/>
          <w:b/>
          <w:bCs/>
          <w:sz w:val="20"/>
          <w:szCs w:val="20"/>
        </w:rPr>
        <w:lastRenderedPageBreak/>
        <w:t>Table 1</w:t>
      </w:r>
      <w:r w:rsidR="00826297" w:rsidRPr="00C54615">
        <w:rPr>
          <w:rFonts w:ascii="Arial Narrow" w:hAnsi="Arial Narrow" w:cstheme="minorHAnsi"/>
          <w:b/>
          <w:bCs/>
          <w:sz w:val="20"/>
          <w:szCs w:val="20"/>
        </w:rPr>
        <w:t>9</w:t>
      </w:r>
      <w:r w:rsidRPr="00C54615">
        <w:rPr>
          <w:rFonts w:ascii="Arial Narrow" w:hAnsi="Arial Narrow" w:cstheme="minorHAnsi"/>
          <w:b/>
          <w:bCs/>
          <w:sz w:val="20"/>
          <w:szCs w:val="20"/>
        </w:rPr>
        <w:t>:</w:t>
      </w:r>
      <w:r w:rsidRPr="00C54615">
        <w:rPr>
          <w:rFonts w:ascii="Arial Narrow" w:hAnsi="Arial Narrow" w:cstheme="minorHAnsi"/>
          <w:b/>
          <w:bCs/>
          <w:sz w:val="20"/>
          <w:szCs w:val="20"/>
        </w:rPr>
        <w:tab/>
      </w:r>
      <w:r w:rsidR="00AB1ABA" w:rsidRPr="00C54615">
        <w:rPr>
          <w:rFonts w:ascii="Arial Narrow" w:hAnsi="Arial Narrow" w:cstheme="minorHAnsi"/>
          <w:b/>
          <w:bCs/>
          <w:sz w:val="20"/>
          <w:szCs w:val="20"/>
        </w:rPr>
        <w:t>Additional sensitivity analyses</w:t>
      </w:r>
      <w:r w:rsidRPr="00C54615">
        <w:rPr>
          <w:rFonts w:ascii="Arial Narrow" w:hAnsi="Arial Narrow" w:cstheme="minorHAnsi"/>
          <w:b/>
          <w:bCs/>
          <w:sz w:val="20"/>
          <w:szCs w:val="20"/>
        </w:rPr>
        <w:t xml:space="preserve"> </w:t>
      </w:r>
      <w:r w:rsidR="001D2AC1">
        <w:rPr>
          <w:rFonts w:ascii="Arial Narrow" w:hAnsi="Arial Narrow" w:cstheme="minorHAnsi"/>
          <w:b/>
          <w:bCs/>
          <w:sz w:val="20"/>
          <w:szCs w:val="20"/>
        </w:rPr>
        <w:t xml:space="preserve">requested </w:t>
      </w:r>
      <w:r w:rsidRPr="00C54615">
        <w:rPr>
          <w:rFonts w:ascii="Arial Narrow" w:hAnsi="Arial Narrow" w:cstheme="minorHAnsi"/>
          <w:b/>
          <w:bCs/>
          <w:sz w:val="20"/>
          <w:szCs w:val="20"/>
        </w:rPr>
        <w:t>on the Fremantle base-case</w:t>
      </w:r>
      <w:r w:rsidR="009466DB" w:rsidRPr="00C54615">
        <w:rPr>
          <w:rFonts w:ascii="Arial Narrow" w:hAnsi="Arial Narrow" w:cstheme="minorHAnsi"/>
          <w:b/>
          <w:bCs/>
          <w:sz w:val="20"/>
          <w:szCs w:val="20"/>
        </w:rPr>
        <w:t xml:space="preserve"> </w:t>
      </w:r>
      <w:r w:rsidRPr="00C54615">
        <w:rPr>
          <w:rFonts w:ascii="Arial Narrow" w:hAnsi="Arial Narrow" w:cstheme="minorHAnsi"/>
          <w:b/>
          <w:bCs/>
          <w:sz w:val="20"/>
          <w:szCs w:val="20"/>
        </w:rPr>
        <w:t>- IIT and non-IIT subpopulation</w:t>
      </w:r>
    </w:p>
    <w:tbl>
      <w:tblPr>
        <w:tblW w:w="5000" w:type="pct"/>
        <w:tblLook w:val="04A0" w:firstRow="1" w:lastRow="0" w:firstColumn="1" w:lastColumn="0" w:noHBand="0" w:noVBand="1"/>
      </w:tblPr>
      <w:tblGrid>
        <w:gridCol w:w="1532"/>
        <w:gridCol w:w="1028"/>
        <w:gridCol w:w="18"/>
        <w:gridCol w:w="1009"/>
        <w:gridCol w:w="358"/>
        <w:gridCol w:w="668"/>
        <w:gridCol w:w="623"/>
        <w:gridCol w:w="405"/>
        <w:gridCol w:w="314"/>
        <w:gridCol w:w="715"/>
        <w:gridCol w:w="6"/>
        <w:gridCol w:w="1024"/>
        <w:gridCol w:w="1316"/>
      </w:tblGrid>
      <w:tr w:rsidR="003322E6" w:rsidRPr="00AB1ABA" w14:paraId="2A9D27D2" w14:textId="77777777" w:rsidTr="00030059">
        <w:trPr>
          <w:trHeight w:val="20"/>
          <w:tblHeader/>
        </w:trPr>
        <w:tc>
          <w:tcPr>
            <w:tcW w:w="85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C9A77E" w14:textId="77777777" w:rsidR="003322E6" w:rsidRPr="00C54615" w:rsidRDefault="003322E6" w:rsidP="00AD51B4">
            <w:pPr>
              <w:pStyle w:val="TableText"/>
              <w:spacing w:before="0" w:after="0"/>
              <w:rPr>
                <w:rFonts w:cstheme="minorHAnsi"/>
                <w:b/>
                <w:bCs/>
                <w:szCs w:val="20"/>
              </w:rPr>
            </w:pPr>
            <w:r w:rsidRPr="00C54615">
              <w:rPr>
                <w:rFonts w:cstheme="minorHAnsi"/>
                <w:b/>
                <w:bCs/>
                <w:szCs w:val="20"/>
              </w:rPr>
              <w:t>Analysis</w:t>
            </w:r>
          </w:p>
        </w:tc>
        <w:tc>
          <w:tcPr>
            <w:tcW w:w="1709" w:type="pct"/>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2B4A37"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Total costs, AUD</w:t>
            </w:r>
          </w:p>
        </w:tc>
        <w:tc>
          <w:tcPr>
            <w:tcW w:w="1709" w:type="pct"/>
            <w:gridSpan w:val="6"/>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5CAF7BA"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QALY</w:t>
            </w:r>
          </w:p>
        </w:tc>
        <w:tc>
          <w:tcPr>
            <w:tcW w:w="73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8E4295"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ICER per QALY gained</w:t>
            </w:r>
          </w:p>
        </w:tc>
      </w:tr>
      <w:tr w:rsidR="003322E6" w:rsidRPr="00AB1ABA" w14:paraId="752A370E" w14:textId="77777777" w:rsidTr="00030059">
        <w:trPr>
          <w:trHeight w:val="20"/>
          <w:tblHeader/>
        </w:trPr>
        <w:tc>
          <w:tcPr>
            <w:tcW w:w="850" w:type="pct"/>
            <w:vMerge/>
            <w:tcBorders>
              <w:top w:val="single" w:sz="4" w:space="0" w:color="auto"/>
              <w:left w:val="single" w:sz="4" w:space="0" w:color="auto"/>
              <w:bottom w:val="single" w:sz="4" w:space="0" w:color="auto"/>
              <w:right w:val="single" w:sz="4" w:space="0" w:color="auto"/>
            </w:tcBorders>
            <w:vAlign w:val="center"/>
            <w:hideMark/>
          </w:tcPr>
          <w:p w14:paraId="6A0D6706" w14:textId="77777777" w:rsidR="003322E6" w:rsidRPr="00C54615" w:rsidRDefault="003322E6" w:rsidP="00AD51B4">
            <w:pPr>
              <w:pStyle w:val="TableText"/>
              <w:spacing w:before="0" w:after="0"/>
              <w:rPr>
                <w:rFonts w:cstheme="minorHAnsi"/>
                <w:b/>
                <w:bCs/>
                <w:szCs w:val="20"/>
              </w:rPr>
            </w:pPr>
          </w:p>
        </w:tc>
        <w:tc>
          <w:tcPr>
            <w:tcW w:w="570" w:type="pct"/>
            <w:tcBorders>
              <w:top w:val="nil"/>
              <w:left w:val="nil"/>
              <w:bottom w:val="single" w:sz="4" w:space="0" w:color="auto"/>
              <w:right w:val="single" w:sz="4" w:space="0" w:color="auto"/>
            </w:tcBorders>
            <w:shd w:val="clear" w:color="auto" w:fill="D9D9D9" w:themeFill="background1" w:themeFillShade="D9"/>
            <w:vAlign w:val="center"/>
            <w:hideMark/>
          </w:tcPr>
          <w:p w14:paraId="1F3632D0"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RT-CGM</w:t>
            </w:r>
          </w:p>
        </w:tc>
        <w:tc>
          <w:tcPr>
            <w:tcW w:w="570" w:type="pct"/>
            <w:gridSpan w:val="2"/>
            <w:tcBorders>
              <w:top w:val="nil"/>
              <w:left w:val="nil"/>
              <w:bottom w:val="single" w:sz="4" w:space="0" w:color="auto"/>
              <w:right w:val="single" w:sz="4" w:space="0" w:color="auto"/>
            </w:tcBorders>
            <w:shd w:val="clear" w:color="auto" w:fill="D9D9D9" w:themeFill="background1" w:themeFillShade="D9"/>
            <w:vAlign w:val="center"/>
            <w:hideMark/>
          </w:tcPr>
          <w:p w14:paraId="7D482309"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SMBG</w:t>
            </w:r>
          </w:p>
        </w:tc>
        <w:tc>
          <w:tcPr>
            <w:tcW w:w="570" w:type="pct"/>
            <w:gridSpan w:val="2"/>
            <w:tcBorders>
              <w:top w:val="nil"/>
              <w:left w:val="nil"/>
              <w:bottom w:val="single" w:sz="4" w:space="0" w:color="auto"/>
              <w:right w:val="single" w:sz="4" w:space="0" w:color="auto"/>
            </w:tcBorders>
            <w:shd w:val="clear" w:color="auto" w:fill="D9D9D9" w:themeFill="background1" w:themeFillShade="D9"/>
            <w:vAlign w:val="center"/>
            <w:hideMark/>
          </w:tcPr>
          <w:p w14:paraId="5375096D"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Difference</w:t>
            </w:r>
          </w:p>
        </w:tc>
        <w:tc>
          <w:tcPr>
            <w:tcW w:w="570" w:type="pct"/>
            <w:gridSpan w:val="2"/>
            <w:tcBorders>
              <w:top w:val="nil"/>
              <w:left w:val="nil"/>
              <w:bottom w:val="single" w:sz="4" w:space="0" w:color="auto"/>
              <w:right w:val="single" w:sz="4" w:space="0" w:color="auto"/>
            </w:tcBorders>
            <w:shd w:val="clear" w:color="auto" w:fill="D9D9D9" w:themeFill="background1" w:themeFillShade="D9"/>
            <w:vAlign w:val="center"/>
            <w:hideMark/>
          </w:tcPr>
          <w:p w14:paraId="4BF78FDC"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RT-CGM</w:t>
            </w:r>
          </w:p>
        </w:tc>
        <w:tc>
          <w:tcPr>
            <w:tcW w:w="570" w:type="pct"/>
            <w:gridSpan w:val="2"/>
            <w:tcBorders>
              <w:top w:val="nil"/>
              <w:left w:val="nil"/>
              <w:bottom w:val="single" w:sz="4" w:space="0" w:color="auto"/>
              <w:right w:val="single" w:sz="4" w:space="0" w:color="auto"/>
            </w:tcBorders>
            <w:shd w:val="clear" w:color="auto" w:fill="D9D9D9" w:themeFill="background1" w:themeFillShade="D9"/>
            <w:vAlign w:val="center"/>
            <w:hideMark/>
          </w:tcPr>
          <w:p w14:paraId="7356CF06"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SMBG</w:t>
            </w:r>
          </w:p>
        </w:tc>
        <w:tc>
          <w:tcPr>
            <w:tcW w:w="570" w:type="pct"/>
            <w:gridSpan w:val="2"/>
            <w:tcBorders>
              <w:top w:val="nil"/>
              <w:left w:val="nil"/>
              <w:bottom w:val="single" w:sz="4" w:space="0" w:color="auto"/>
              <w:right w:val="single" w:sz="4" w:space="0" w:color="auto"/>
            </w:tcBorders>
            <w:shd w:val="clear" w:color="auto" w:fill="D9D9D9" w:themeFill="background1" w:themeFillShade="D9"/>
            <w:vAlign w:val="center"/>
            <w:hideMark/>
          </w:tcPr>
          <w:p w14:paraId="64510CCB" w14:textId="77777777" w:rsidR="003322E6" w:rsidRPr="00C54615" w:rsidRDefault="003322E6" w:rsidP="00AD51B4">
            <w:pPr>
              <w:pStyle w:val="TableText"/>
              <w:spacing w:before="0" w:after="0"/>
              <w:jc w:val="center"/>
              <w:rPr>
                <w:rFonts w:cstheme="minorHAnsi"/>
                <w:b/>
                <w:bCs/>
                <w:szCs w:val="20"/>
              </w:rPr>
            </w:pPr>
            <w:r w:rsidRPr="00C54615">
              <w:rPr>
                <w:rFonts w:cstheme="minorHAnsi"/>
                <w:b/>
                <w:bCs/>
                <w:szCs w:val="20"/>
              </w:rPr>
              <w:t>Difference</w:t>
            </w: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1464AC14" w14:textId="77777777" w:rsidR="003322E6" w:rsidRPr="00C54615" w:rsidRDefault="003322E6" w:rsidP="00AD51B4">
            <w:pPr>
              <w:pStyle w:val="TableText"/>
              <w:spacing w:before="0" w:after="0"/>
              <w:jc w:val="center"/>
              <w:rPr>
                <w:rFonts w:cstheme="minorHAnsi"/>
                <w:b/>
                <w:bCs/>
                <w:szCs w:val="20"/>
              </w:rPr>
            </w:pPr>
          </w:p>
        </w:tc>
      </w:tr>
      <w:tr w:rsidR="003322E6" w:rsidRPr="00AB1ABA" w14:paraId="5EBF6FFE" w14:textId="77777777" w:rsidTr="00AD51B4">
        <w:trPr>
          <w:trHeight w:val="20"/>
          <w:tblHeader/>
        </w:trPr>
        <w:tc>
          <w:tcPr>
            <w:tcW w:w="5000" w:type="pct"/>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8F1256" w14:textId="77777777" w:rsidR="003322E6" w:rsidRPr="00C54615" w:rsidRDefault="003322E6" w:rsidP="00AD51B4">
            <w:pPr>
              <w:pStyle w:val="TableText"/>
              <w:spacing w:before="0" w:after="0"/>
              <w:rPr>
                <w:rFonts w:cstheme="minorHAnsi"/>
                <w:b/>
                <w:bCs/>
                <w:szCs w:val="20"/>
              </w:rPr>
            </w:pPr>
            <w:r w:rsidRPr="00C54615">
              <w:rPr>
                <w:rFonts w:cstheme="minorHAnsi"/>
                <w:b/>
                <w:bCs/>
                <w:szCs w:val="20"/>
              </w:rPr>
              <w:t xml:space="preserve">IIT subpopulation </w:t>
            </w:r>
          </w:p>
        </w:tc>
      </w:tr>
      <w:tr w:rsidR="00E82023" w:rsidRPr="00AB1ABA" w14:paraId="24D2D382" w14:textId="77777777" w:rsidTr="00030059">
        <w:trPr>
          <w:trHeight w:val="20"/>
          <w:tblHeader/>
        </w:trPr>
        <w:tc>
          <w:tcPr>
            <w:tcW w:w="8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383BC3" w14:textId="77777777" w:rsidR="00E82023" w:rsidRPr="00C54615" w:rsidRDefault="00E82023" w:rsidP="00E82023">
            <w:pPr>
              <w:pStyle w:val="TableText"/>
              <w:spacing w:before="0" w:after="0"/>
              <w:rPr>
                <w:rFonts w:cstheme="minorHAnsi"/>
                <w:b/>
                <w:bCs/>
                <w:szCs w:val="20"/>
              </w:rPr>
            </w:pPr>
            <w:r w:rsidRPr="00C54615">
              <w:rPr>
                <w:rFonts w:cstheme="minorHAnsi"/>
                <w:b/>
                <w:bCs/>
                <w:szCs w:val="20"/>
              </w:rPr>
              <w:t xml:space="preserve">Base-case (Fremantle) </w:t>
            </w:r>
          </w:p>
        </w:tc>
        <w:tc>
          <w:tcPr>
            <w:tcW w:w="580" w:type="pct"/>
            <w:gridSpan w:val="2"/>
            <w:tcBorders>
              <w:top w:val="nil"/>
              <w:left w:val="nil"/>
              <w:bottom w:val="single" w:sz="4" w:space="0" w:color="auto"/>
              <w:right w:val="single" w:sz="4" w:space="0" w:color="auto"/>
            </w:tcBorders>
            <w:shd w:val="clear" w:color="auto" w:fill="FFFFFF" w:themeFill="background1"/>
            <w:hideMark/>
          </w:tcPr>
          <w:p w14:paraId="1559958A" w14:textId="271884B7" w:rsidR="00E82023" w:rsidRPr="00051030" w:rsidRDefault="00E82023" w:rsidP="00E82023">
            <w:pPr>
              <w:pStyle w:val="TableText"/>
              <w:spacing w:before="0" w:after="0"/>
              <w:jc w:val="center"/>
              <w:rPr>
                <w:rFonts w:cstheme="minorHAnsi"/>
                <w:b/>
                <w:bCs/>
                <w:szCs w:val="20"/>
                <w:highlight w:val="yellow"/>
              </w:rPr>
            </w:pPr>
            <w:r w:rsidRPr="00051030">
              <w:rPr>
                <w:rFonts w:cstheme="minorHAnsi"/>
                <w:b/>
                <w:bCs/>
                <w:szCs w:val="20"/>
              </w:rPr>
              <w:t>$Redacted</w:t>
            </w:r>
          </w:p>
        </w:tc>
        <w:tc>
          <w:tcPr>
            <w:tcW w:w="759" w:type="pct"/>
            <w:gridSpan w:val="2"/>
            <w:tcBorders>
              <w:top w:val="nil"/>
              <w:left w:val="nil"/>
              <w:bottom w:val="single" w:sz="4" w:space="0" w:color="auto"/>
              <w:right w:val="single" w:sz="4" w:space="0" w:color="auto"/>
            </w:tcBorders>
            <w:shd w:val="clear" w:color="auto" w:fill="FFFFFF" w:themeFill="background1"/>
            <w:hideMark/>
          </w:tcPr>
          <w:p w14:paraId="28CA7F9D" w14:textId="72A82723" w:rsidR="00E82023" w:rsidRPr="00051030" w:rsidRDefault="00E82023" w:rsidP="00E82023">
            <w:pPr>
              <w:pStyle w:val="TableText"/>
              <w:spacing w:before="0" w:after="0"/>
              <w:jc w:val="center"/>
              <w:rPr>
                <w:rFonts w:cstheme="minorHAnsi"/>
                <w:b/>
                <w:bCs/>
                <w:szCs w:val="20"/>
                <w:highlight w:val="yellow"/>
              </w:rPr>
            </w:pPr>
            <w:r w:rsidRPr="00C917E1">
              <w:rPr>
                <w:rFonts w:cstheme="minorHAnsi"/>
                <w:b/>
                <w:bCs/>
                <w:szCs w:val="20"/>
              </w:rPr>
              <w:t>$Redacted</w:t>
            </w:r>
          </w:p>
        </w:tc>
        <w:tc>
          <w:tcPr>
            <w:tcW w:w="717" w:type="pct"/>
            <w:gridSpan w:val="2"/>
            <w:tcBorders>
              <w:top w:val="nil"/>
              <w:left w:val="nil"/>
              <w:bottom w:val="single" w:sz="4" w:space="0" w:color="auto"/>
              <w:right w:val="single" w:sz="4" w:space="0" w:color="auto"/>
            </w:tcBorders>
            <w:shd w:val="clear" w:color="auto" w:fill="FFFFFF" w:themeFill="background1"/>
            <w:hideMark/>
          </w:tcPr>
          <w:p w14:paraId="7B8E7183" w14:textId="37F24E92" w:rsidR="00E82023" w:rsidRPr="00051030" w:rsidRDefault="00E82023" w:rsidP="00E82023">
            <w:pPr>
              <w:pStyle w:val="TableText"/>
              <w:spacing w:before="0" w:after="0"/>
              <w:jc w:val="center"/>
              <w:rPr>
                <w:rFonts w:cstheme="minorHAnsi"/>
                <w:b/>
                <w:bCs/>
                <w:szCs w:val="20"/>
                <w:highlight w:val="yellow"/>
              </w:rPr>
            </w:pPr>
            <w:r w:rsidRPr="00C917E1">
              <w:rPr>
                <w:rFonts w:cstheme="minorHAnsi"/>
                <w:b/>
                <w:bCs/>
                <w:szCs w:val="20"/>
              </w:rPr>
              <w:t>$Redacted</w:t>
            </w:r>
          </w:p>
        </w:tc>
        <w:tc>
          <w:tcPr>
            <w:tcW w:w="398" w:type="pct"/>
            <w:gridSpan w:val="2"/>
            <w:tcBorders>
              <w:top w:val="nil"/>
              <w:left w:val="nil"/>
              <w:bottom w:val="single" w:sz="4" w:space="0" w:color="auto"/>
              <w:right w:val="single" w:sz="4" w:space="0" w:color="auto"/>
            </w:tcBorders>
            <w:shd w:val="clear" w:color="auto" w:fill="FFFFFF" w:themeFill="background1"/>
            <w:hideMark/>
          </w:tcPr>
          <w:p w14:paraId="22A5B9BC" w14:textId="77777777" w:rsidR="00E82023" w:rsidRPr="00C54615" w:rsidRDefault="00E82023" w:rsidP="00E82023">
            <w:pPr>
              <w:pStyle w:val="TableText"/>
              <w:spacing w:before="0" w:after="0"/>
              <w:jc w:val="center"/>
              <w:rPr>
                <w:rFonts w:cstheme="minorHAnsi"/>
                <w:b/>
                <w:bCs/>
                <w:szCs w:val="20"/>
              </w:rPr>
            </w:pPr>
            <w:r w:rsidRPr="00C54615">
              <w:rPr>
                <w:rFonts w:cstheme="minorHAnsi"/>
                <w:b/>
                <w:bCs/>
                <w:szCs w:val="20"/>
              </w:rPr>
              <w:t>8.828</w:t>
            </w:r>
          </w:p>
        </w:tc>
        <w:tc>
          <w:tcPr>
            <w:tcW w:w="398" w:type="pct"/>
            <w:gridSpan w:val="2"/>
            <w:tcBorders>
              <w:top w:val="nil"/>
              <w:left w:val="nil"/>
              <w:bottom w:val="single" w:sz="4" w:space="0" w:color="auto"/>
              <w:right w:val="single" w:sz="4" w:space="0" w:color="auto"/>
            </w:tcBorders>
            <w:shd w:val="clear" w:color="auto" w:fill="FFFFFF" w:themeFill="background1"/>
            <w:hideMark/>
          </w:tcPr>
          <w:p w14:paraId="4AD3209C" w14:textId="77777777" w:rsidR="00E82023" w:rsidRPr="00C54615" w:rsidRDefault="00E82023" w:rsidP="00E82023">
            <w:pPr>
              <w:pStyle w:val="TableText"/>
              <w:spacing w:before="0" w:after="0"/>
              <w:jc w:val="center"/>
              <w:rPr>
                <w:rFonts w:cstheme="minorHAnsi"/>
                <w:b/>
                <w:bCs/>
                <w:szCs w:val="20"/>
              </w:rPr>
            </w:pPr>
            <w:r w:rsidRPr="00C54615">
              <w:rPr>
                <w:rFonts w:cstheme="minorHAnsi"/>
                <w:b/>
                <w:bCs/>
                <w:szCs w:val="20"/>
              </w:rPr>
              <w:t>8.249</w:t>
            </w:r>
          </w:p>
        </w:tc>
        <w:tc>
          <w:tcPr>
            <w:tcW w:w="565" w:type="pct"/>
            <w:tcBorders>
              <w:top w:val="nil"/>
              <w:left w:val="nil"/>
              <w:bottom w:val="single" w:sz="4" w:space="0" w:color="auto"/>
              <w:right w:val="single" w:sz="4" w:space="0" w:color="auto"/>
            </w:tcBorders>
            <w:shd w:val="clear" w:color="auto" w:fill="FFFFFF" w:themeFill="background1"/>
            <w:hideMark/>
          </w:tcPr>
          <w:p w14:paraId="2096ED2C" w14:textId="77777777" w:rsidR="00E82023" w:rsidRPr="00C54615" w:rsidRDefault="00E82023" w:rsidP="00E82023">
            <w:pPr>
              <w:pStyle w:val="TableText"/>
              <w:spacing w:before="0" w:after="0"/>
              <w:jc w:val="center"/>
              <w:rPr>
                <w:rFonts w:cstheme="minorHAnsi"/>
                <w:b/>
                <w:bCs/>
                <w:szCs w:val="20"/>
              </w:rPr>
            </w:pPr>
            <w:r w:rsidRPr="00C54615">
              <w:rPr>
                <w:rFonts w:cstheme="minorHAnsi"/>
                <w:b/>
                <w:bCs/>
                <w:szCs w:val="20"/>
              </w:rPr>
              <w:t>0.579</w:t>
            </w:r>
          </w:p>
        </w:tc>
        <w:tc>
          <w:tcPr>
            <w:tcW w:w="733" w:type="pct"/>
            <w:tcBorders>
              <w:top w:val="nil"/>
              <w:left w:val="single" w:sz="4" w:space="0" w:color="auto"/>
              <w:bottom w:val="single" w:sz="4" w:space="0" w:color="auto"/>
              <w:right w:val="single" w:sz="4" w:space="0" w:color="auto"/>
            </w:tcBorders>
            <w:shd w:val="clear" w:color="auto" w:fill="FFFFFF" w:themeFill="background1"/>
            <w:hideMark/>
          </w:tcPr>
          <w:p w14:paraId="5915650F" w14:textId="65BCFD65" w:rsidR="00E82023" w:rsidRPr="00051030" w:rsidRDefault="00ED223E" w:rsidP="00E82023">
            <w:pPr>
              <w:pStyle w:val="TableText"/>
              <w:spacing w:before="0" w:after="0"/>
              <w:jc w:val="center"/>
              <w:rPr>
                <w:rFonts w:cstheme="minorHAnsi"/>
                <w:b/>
                <w:bCs/>
                <w:szCs w:val="20"/>
                <w:highlight w:val="yellow"/>
              </w:rPr>
            </w:pPr>
            <w:r w:rsidRPr="00051030">
              <w:rPr>
                <w:rFonts w:cstheme="minorHAnsi"/>
                <w:b/>
                <w:bCs/>
                <w:szCs w:val="20"/>
              </w:rPr>
              <w:t>$</w:t>
            </w:r>
            <w:r w:rsidRPr="00454A7D">
              <w:rPr>
                <w:rFonts w:cstheme="minorHAnsi"/>
                <w:b/>
                <w:bCs/>
                <w:szCs w:val="20"/>
              </w:rPr>
              <w:t>Redacted</w:t>
            </w:r>
            <w:r w:rsidRPr="00051030">
              <w:rPr>
                <w:rFonts w:cstheme="minorHAnsi"/>
                <w:szCs w:val="20"/>
                <w:vertAlign w:val="superscript"/>
              </w:rPr>
              <w:t>1</w:t>
            </w:r>
          </w:p>
        </w:tc>
      </w:tr>
      <w:tr w:rsidR="003322E6" w:rsidRPr="00AB1ABA" w14:paraId="39B8E387" w14:textId="77777777" w:rsidTr="00AD51B4">
        <w:trPr>
          <w:trHeight w:val="20"/>
        </w:trPr>
        <w:tc>
          <w:tcPr>
            <w:tcW w:w="5000" w:type="pct"/>
            <w:gridSpan w:val="13"/>
            <w:tcBorders>
              <w:top w:val="nil"/>
              <w:left w:val="single" w:sz="4" w:space="0" w:color="auto"/>
              <w:bottom w:val="single" w:sz="4" w:space="0" w:color="auto"/>
              <w:right w:val="single" w:sz="4" w:space="0" w:color="auto"/>
            </w:tcBorders>
            <w:vAlign w:val="center"/>
            <w:hideMark/>
          </w:tcPr>
          <w:p w14:paraId="4708DAA6" w14:textId="77777777" w:rsidR="003322E6" w:rsidRPr="00051030" w:rsidRDefault="003322E6" w:rsidP="00AD51B4">
            <w:pPr>
              <w:pStyle w:val="TableText"/>
              <w:spacing w:before="0" w:after="0"/>
              <w:rPr>
                <w:rFonts w:cstheme="minorHAnsi"/>
                <w:i/>
                <w:iCs/>
                <w:szCs w:val="20"/>
                <w:highlight w:val="yellow"/>
              </w:rPr>
            </w:pPr>
            <w:r w:rsidRPr="007722E4">
              <w:rPr>
                <w:rFonts w:cstheme="minorHAnsi"/>
                <w:i/>
                <w:iCs/>
                <w:szCs w:val="20"/>
              </w:rPr>
              <w:t>Discount Rate</w:t>
            </w:r>
          </w:p>
        </w:tc>
      </w:tr>
      <w:tr w:rsidR="00E82023" w:rsidRPr="00AB1ABA" w14:paraId="68C973CB"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04FD87FD" w14:textId="77777777" w:rsidR="00E82023" w:rsidRPr="00C54615" w:rsidRDefault="00E82023" w:rsidP="00E82023">
            <w:pPr>
              <w:pStyle w:val="TableText"/>
              <w:spacing w:before="0" w:after="0"/>
              <w:rPr>
                <w:rFonts w:cstheme="minorHAnsi"/>
                <w:szCs w:val="20"/>
              </w:rPr>
            </w:pPr>
            <w:r w:rsidRPr="00C54615">
              <w:rPr>
                <w:rFonts w:cstheme="minorHAnsi"/>
                <w:szCs w:val="20"/>
              </w:rPr>
              <w:t>3.50%</w:t>
            </w:r>
          </w:p>
        </w:tc>
        <w:tc>
          <w:tcPr>
            <w:tcW w:w="580" w:type="pct"/>
            <w:gridSpan w:val="2"/>
            <w:tcBorders>
              <w:top w:val="nil"/>
              <w:left w:val="nil"/>
              <w:bottom w:val="single" w:sz="4" w:space="0" w:color="auto"/>
              <w:right w:val="single" w:sz="4" w:space="0" w:color="auto"/>
            </w:tcBorders>
            <w:hideMark/>
          </w:tcPr>
          <w:p w14:paraId="0D56B580" w14:textId="6BA8E99B" w:rsidR="00E82023" w:rsidRPr="00051030" w:rsidRDefault="00E82023" w:rsidP="00E82023">
            <w:pPr>
              <w:pStyle w:val="TableText"/>
              <w:spacing w:before="0" w:after="0"/>
              <w:jc w:val="center"/>
              <w:rPr>
                <w:rFonts w:cstheme="minorHAnsi"/>
                <w:szCs w:val="20"/>
                <w:highlight w:val="yellow"/>
              </w:rPr>
            </w:pPr>
            <w:r w:rsidRPr="000C1228">
              <w:rPr>
                <w:rFonts w:cstheme="minorHAnsi"/>
                <w:szCs w:val="20"/>
              </w:rPr>
              <w:t>$</w:t>
            </w:r>
            <w:r w:rsidRPr="000C1228">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527DB901" w14:textId="3E3BA484" w:rsidR="00E82023" w:rsidRPr="00051030" w:rsidRDefault="00E82023" w:rsidP="00E82023">
            <w:pPr>
              <w:pStyle w:val="TableText"/>
              <w:spacing w:before="0" w:after="0"/>
              <w:jc w:val="center"/>
              <w:rPr>
                <w:rFonts w:cstheme="minorHAnsi"/>
                <w:szCs w:val="20"/>
                <w:highlight w:val="yellow"/>
              </w:rPr>
            </w:pPr>
            <w:r w:rsidRPr="000C1228">
              <w:rPr>
                <w:rFonts w:cstheme="minorHAnsi"/>
                <w:szCs w:val="20"/>
              </w:rPr>
              <w:t>$</w:t>
            </w:r>
            <w:r w:rsidRPr="000C1228">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3C2F3C79" w14:textId="7A1DA990" w:rsidR="00E82023" w:rsidRPr="00051030" w:rsidRDefault="00E82023" w:rsidP="00E82023">
            <w:pPr>
              <w:pStyle w:val="TableText"/>
              <w:spacing w:before="0" w:after="0"/>
              <w:jc w:val="center"/>
              <w:rPr>
                <w:rFonts w:cstheme="minorHAnsi"/>
                <w:szCs w:val="20"/>
                <w:highlight w:val="yellow"/>
              </w:rPr>
            </w:pPr>
            <w:r w:rsidRPr="000C1228">
              <w:rPr>
                <w:rFonts w:cstheme="minorHAnsi"/>
                <w:szCs w:val="20"/>
              </w:rPr>
              <w:t>$</w:t>
            </w:r>
            <w:r w:rsidRPr="000C1228">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7B2FB104"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10.121</w:t>
            </w:r>
          </w:p>
        </w:tc>
        <w:tc>
          <w:tcPr>
            <w:tcW w:w="398" w:type="pct"/>
            <w:gridSpan w:val="2"/>
            <w:tcBorders>
              <w:top w:val="nil"/>
              <w:left w:val="nil"/>
              <w:bottom w:val="single" w:sz="4" w:space="0" w:color="auto"/>
              <w:right w:val="single" w:sz="4" w:space="0" w:color="auto"/>
            </w:tcBorders>
            <w:hideMark/>
          </w:tcPr>
          <w:p w14:paraId="6FA6D618"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9.452</w:t>
            </w:r>
          </w:p>
        </w:tc>
        <w:tc>
          <w:tcPr>
            <w:tcW w:w="565" w:type="pct"/>
            <w:tcBorders>
              <w:top w:val="nil"/>
              <w:left w:val="nil"/>
              <w:bottom w:val="single" w:sz="4" w:space="0" w:color="auto"/>
              <w:right w:val="single" w:sz="4" w:space="0" w:color="auto"/>
            </w:tcBorders>
            <w:hideMark/>
          </w:tcPr>
          <w:p w14:paraId="6E70496E"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0.669</w:t>
            </w:r>
          </w:p>
        </w:tc>
        <w:tc>
          <w:tcPr>
            <w:tcW w:w="733" w:type="pct"/>
            <w:tcBorders>
              <w:top w:val="nil"/>
              <w:left w:val="nil"/>
              <w:bottom w:val="single" w:sz="4" w:space="0" w:color="auto"/>
              <w:right w:val="single" w:sz="4" w:space="0" w:color="auto"/>
            </w:tcBorders>
            <w:hideMark/>
          </w:tcPr>
          <w:p w14:paraId="64BE04C2" w14:textId="07E98EEA"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sidRPr="00D46BF9">
              <w:rPr>
                <w:rFonts w:cstheme="minorHAnsi"/>
                <w:szCs w:val="20"/>
                <w:vertAlign w:val="superscript"/>
              </w:rPr>
              <w:t>1</w:t>
            </w:r>
          </w:p>
        </w:tc>
      </w:tr>
      <w:tr w:rsidR="00E82023" w:rsidRPr="00AB1ABA" w14:paraId="3E191FE9"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136C337A" w14:textId="77777777" w:rsidR="00E82023" w:rsidRPr="00C54615" w:rsidRDefault="00E82023" w:rsidP="00E82023">
            <w:pPr>
              <w:pStyle w:val="TableText"/>
              <w:spacing w:before="0" w:after="0"/>
              <w:rPr>
                <w:rFonts w:cstheme="minorHAnsi"/>
                <w:szCs w:val="20"/>
              </w:rPr>
            </w:pPr>
            <w:r w:rsidRPr="00C54615">
              <w:rPr>
                <w:rFonts w:cstheme="minorHAnsi"/>
                <w:szCs w:val="20"/>
              </w:rPr>
              <w:t>0.00%</w:t>
            </w:r>
          </w:p>
        </w:tc>
        <w:tc>
          <w:tcPr>
            <w:tcW w:w="580" w:type="pct"/>
            <w:gridSpan w:val="2"/>
            <w:tcBorders>
              <w:top w:val="nil"/>
              <w:left w:val="nil"/>
              <w:bottom w:val="single" w:sz="4" w:space="0" w:color="auto"/>
              <w:right w:val="single" w:sz="4" w:space="0" w:color="auto"/>
            </w:tcBorders>
            <w:hideMark/>
          </w:tcPr>
          <w:p w14:paraId="38FF850B" w14:textId="33478854" w:rsidR="00E82023" w:rsidRPr="00051030" w:rsidRDefault="00E82023" w:rsidP="00E82023">
            <w:pPr>
              <w:pStyle w:val="TableText"/>
              <w:spacing w:before="0" w:after="0"/>
              <w:jc w:val="center"/>
              <w:rPr>
                <w:rFonts w:cstheme="minorHAnsi"/>
                <w:szCs w:val="20"/>
                <w:highlight w:val="yellow"/>
              </w:rPr>
            </w:pPr>
            <w:r w:rsidRPr="000C1228">
              <w:rPr>
                <w:rFonts w:cstheme="minorHAnsi"/>
                <w:szCs w:val="20"/>
              </w:rPr>
              <w:t>$</w:t>
            </w:r>
            <w:r w:rsidRPr="000C1228">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3D9FD9E7" w14:textId="4E0E7367" w:rsidR="00E82023" w:rsidRPr="00051030" w:rsidRDefault="00E82023" w:rsidP="00E82023">
            <w:pPr>
              <w:pStyle w:val="TableText"/>
              <w:spacing w:before="0" w:after="0"/>
              <w:jc w:val="center"/>
              <w:rPr>
                <w:rFonts w:cstheme="minorHAnsi"/>
                <w:szCs w:val="20"/>
                <w:highlight w:val="yellow"/>
              </w:rPr>
            </w:pPr>
            <w:r w:rsidRPr="000C1228">
              <w:rPr>
                <w:rFonts w:cstheme="minorHAnsi"/>
                <w:szCs w:val="20"/>
              </w:rPr>
              <w:t>$</w:t>
            </w:r>
            <w:r w:rsidRPr="000C1228">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387743C4" w14:textId="4977278B" w:rsidR="00E82023" w:rsidRPr="00051030" w:rsidRDefault="00E82023" w:rsidP="00E82023">
            <w:pPr>
              <w:pStyle w:val="TableText"/>
              <w:spacing w:before="0" w:after="0"/>
              <w:jc w:val="center"/>
              <w:rPr>
                <w:rFonts w:cstheme="minorHAnsi"/>
                <w:szCs w:val="20"/>
                <w:highlight w:val="yellow"/>
              </w:rPr>
            </w:pPr>
            <w:r w:rsidRPr="000C1228">
              <w:rPr>
                <w:rFonts w:cstheme="minorHAnsi"/>
                <w:szCs w:val="20"/>
              </w:rPr>
              <w:t>$</w:t>
            </w:r>
            <w:r w:rsidRPr="000C1228">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526F8FAB"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14.979</w:t>
            </w:r>
          </w:p>
        </w:tc>
        <w:tc>
          <w:tcPr>
            <w:tcW w:w="398" w:type="pct"/>
            <w:gridSpan w:val="2"/>
            <w:tcBorders>
              <w:top w:val="nil"/>
              <w:left w:val="nil"/>
              <w:bottom w:val="single" w:sz="4" w:space="0" w:color="auto"/>
              <w:right w:val="single" w:sz="4" w:space="0" w:color="auto"/>
            </w:tcBorders>
            <w:hideMark/>
          </w:tcPr>
          <w:p w14:paraId="1CE76851"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13.964</w:t>
            </w:r>
          </w:p>
        </w:tc>
        <w:tc>
          <w:tcPr>
            <w:tcW w:w="565" w:type="pct"/>
            <w:tcBorders>
              <w:top w:val="nil"/>
              <w:left w:val="nil"/>
              <w:bottom w:val="single" w:sz="4" w:space="0" w:color="auto"/>
              <w:right w:val="single" w:sz="4" w:space="0" w:color="auto"/>
            </w:tcBorders>
            <w:hideMark/>
          </w:tcPr>
          <w:p w14:paraId="7499B30E"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1.015</w:t>
            </w:r>
          </w:p>
        </w:tc>
        <w:tc>
          <w:tcPr>
            <w:tcW w:w="733" w:type="pct"/>
            <w:tcBorders>
              <w:top w:val="nil"/>
              <w:left w:val="nil"/>
              <w:bottom w:val="single" w:sz="4" w:space="0" w:color="auto"/>
              <w:right w:val="single" w:sz="4" w:space="0" w:color="auto"/>
            </w:tcBorders>
            <w:hideMark/>
          </w:tcPr>
          <w:p w14:paraId="477712CD" w14:textId="54E025EA"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Pr>
                <w:rFonts w:cstheme="minorHAnsi"/>
                <w:szCs w:val="20"/>
                <w:vertAlign w:val="superscript"/>
              </w:rPr>
              <w:t>2</w:t>
            </w:r>
          </w:p>
        </w:tc>
      </w:tr>
      <w:tr w:rsidR="003322E6" w:rsidRPr="00AB1ABA" w14:paraId="7E56B26F" w14:textId="77777777" w:rsidTr="00AD51B4">
        <w:trPr>
          <w:trHeight w:val="20"/>
        </w:trPr>
        <w:tc>
          <w:tcPr>
            <w:tcW w:w="5000" w:type="pct"/>
            <w:gridSpan w:val="13"/>
            <w:tcBorders>
              <w:top w:val="nil"/>
              <w:left w:val="single" w:sz="4" w:space="0" w:color="auto"/>
              <w:bottom w:val="single" w:sz="4" w:space="0" w:color="auto"/>
              <w:right w:val="single" w:sz="4" w:space="0" w:color="auto"/>
            </w:tcBorders>
            <w:vAlign w:val="center"/>
            <w:hideMark/>
          </w:tcPr>
          <w:p w14:paraId="64E9F486" w14:textId="77777777" w:rsidR="003322E6" w:rsidRPr="00051030" w:rsidRDefault="003322E6" w:rsidP="00AD51B4">
            <w:pPr>
              <w:pStyle w:val="TableText"/>
              <w:spacing w:before="0" w:after="0"/>
              <w:rPr>
                <w:rFonts w:cstheme="minorHAnsi"/>
                <w:szCs w:val="20"/>
                <w:highlight w:val="yellow"/>
              </w:rPr>
            </w:pPr>
            <w:r w:rsidRPr="007722E4">
              <w:rPr>
                <w:rFonts w:cstheme="minorHAnsi"/>
                <w:i/>
                <w:iCs/>
                <w:szCs w:val="20"/>
              </w:rPr>
              <w:t>HbA1c Effect</w:t>
            </w:r>
          </w:p>
        </w:tc>
      </w:tr>
      <w:tr w:rsidR="00E82023" w:rsidRPr="00AB1ABA" w14:paraId="443CF183"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5F0852E5"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HbA1c treatment effect −0.5% (95% LCL)  </w:t>
            </w:r>
          </w:p>
        </w:tc>
        <w:tc>
          <w:tcPr>
            <w:tcW w:w="580" w:type="pct"/>
            <w:gridSpan w:val="2"/>
            <w:tcBorders>
              <w:top w:val="nil"/>
              <w:left w:val="nil"/>
              <w:bottom w:val="single" w:sz="4" w:space="0" w:color="auto"/>
              <w:right w:val="single" w:sz="4" w:space="0" w:color="auto"/>
            </w:tcBorders>
            <w:hideMark/>
          </w:tcPr>
          <w:p w14:paraId="5D60FDB8" w14:textId="023C54E8" w:rsidR="00E82023" w:rsidRPr="00051030" w:rsidRDefault="00E82023" w:rsidP="00E82023">
            <w:pPr>
              <w:pStyle w:val="TableText"/>
              <w:spacing w:before="0" w:after="0"/>
              <w:jc w:val="center"/>
              <w:rPr>
                <w:rFonts w:cstheme="minorHAnsi"/>
                <w:szCs w:val="20"/>
                <w:highlight w:val="yellow"/>
              </w:rPr>
            </w:pPr>
            <w:r w:rsidRPr="00EC2263">
              <w:rPr>
                <w:rFonts w:cstheme="minorHAnsi"/>
                <w:szCs w:val="20"/>
              </w:rPr>
              <w:t>$</w:t>
            </w:r>
            <w:r w:rsidRPr="00EC2263">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6CF27693" w14:textId="403B91CF" w:rsidR="00E82023" w:rsidRPr="00051030" w:rsidRDefault="00E82023" w:rsidP="00E82023">
            <w:pPr>
              <w:pStyle w:val="TableText"/>
              <w:spacing w:before="0" w:after="0"/>
              <w:jc w:val="center"/>
              <w:rPr>
                <w:rFonts w:cstheme="minorHAnsi"/>
                <w:szCs w:val="20"/>
                <w:highlight w:val="yellow"/>
              </w:rPr>
            </w:pPr>
            <w:r w:rsidRPr="00EC2263">
              <w:rPr>
                <w:rFonts w:cstheme="minorHAnsi"/>
                <w:szCs w:val="20"/>
              </w:rPr>
              <w:t>$</w:t>
            </w:r>
            <w:r w:rsidRPr="00EC2263">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2CBBD379" w14:textId="5D8B4FA9" w:rsidR="00E82023" w:rsidRPr="00051030" w:rsidRDefault="00E82023" w:rsidP="00E82023">
            <w:pPr>
              <w:pStyle w:val="TableText"/>
              <w:spacing w:before="0" w:after="0"/>
              <w:jc w:val="center"/>
              <w:rPr>
                <w:rFonts w:cstheme="minorHAnsi"/>
                <w:szCs w:val="20"/>
                <w:highlight w:val="yellow"/>
              </w:rPr>
            </w:pPr>
            <w:r>
              <w:rPr>
                <w:rFonts w:cstheme="minorHAnsi"/>
                <w:szCs w:val="20"/>
              </w:rPr>
              <w:t>-</w:t>
            </w:r>
            <w:r w:rsidRPr="00EC2263">
              <w:rPr>
                <w:rFonts w:cstheme="minorHAnsi"/>
                <w:szCs w:val="20"/>
              </w:rPr>
              <w:t>$</w:t>
            </w:r>
            <w:r w:rsidRPr="00EC2263">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3CAC9C5A"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8.850</w:t>
            </w:r>
          </w:p>
        </w:tc>
        <w:tc>
          <w:tcPr>
            <w:tcW w:w="398" w:type="pct"/>
            <w:gridSpan w:val="2"/>
            <w:tcBorders>
              <w:top w:val="nil"/>
              <w:left w:val="nil"/>
              <w:bottom w:val="single" w:sz="4" w:space="0" w:color="auto"/>
              <w:right w:val="single" w:sz="4" w:space="0" w:color="auto"/>
            </w:tcBorders>
            <w:hideMark/>
          </w:tcPr>
          <w:p w14:paraId="44F708E7"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8.249</w:t>
            </w:r>
          </w:p>
        </w:tc>
        <w:tc>
          <w:tcPr>
            <w:tcW w:w="565" w:type="pct"/>
            <w:tcBorders>
              <w:top w:val="nil"/>
              <w:left w:val="nil"/>
              <w:bottom w:val="single" w:sz="4" w:space="0" w:color="auto"/>
              <w:right w:val="single" w:sz="4" w:space="0" w:color="auto"/>
            </w:tcBorders>
            <w:hideMark/>
          </w:tcPr>
          <w:p w14:paraId="541D6873"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0.601</w:t>
            </w:r>
          </w:p>
        </w:tc>
        <w:tc>
          <w:tcPr>
            <w:tcW w:w="733" w:type="pct"/>
            <w:tcBorders>
              <w:top w:val="nil"/>
              <w:left w:val="nil"/>
              <w:bottom w:val="single" w:sz="4" w:space="0" w:color="auto"/>
              <w:right w:val="single" w:sz="4" w:space="0" w:color="auto"/>
            </w:tcBorders>
            <w:hideMark/>
          </w:tcPr>
          <w:p w14:paraId="073CD827" w14:textId="77777777" w:rsidR="00E82023" w:rsidRPr="00E82023" w:rsidRDefault="00E82023" w:rsidP="00E82023">
            <w:pPr>
              <w:pStyle w:val="TableText"/>
              <w:spacing w:before="0" w:after="0"/>
              <w:jc w:val="center"/>
              <w:rPr>
                <w:rFonts w:cstheme="minorHAnsi"/>
                <w:szCs w:val="20"/>
              </w:rPr>
            </w:pPr>
            <w:r w:rsidRPr="00E82023">
              <w:rPr>
                <w:rFonts w:cstheme="minorHAnsi"/>
                <w:szCs w:val="20"/>
              </w:rPr>
              <w:t>Dominant</w:t>
            </w:r>
          </w:p>
        </w:tc>
      </w:tr>
      <w:tr w:rsidR="00E82023" w:rsidRPr="00AB1ABA" w14:paraId="7D7C1807"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710A01E8"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HbA1c treatment effect −0.0% (95% UCL) </w:t>
            </w:r>
          </w:p>
        </w:tc>
        <w:tc>
          <w:tcPr>
            <w:tcW w:w="580" w:type="pct"/>
            <w:gridSpan w:val="2"/>
            <w:tcBorders>
              <w:top w:val="nil"/>
              <w:left w:val="nil"/>
              <w:bottom w:val="single" w:sz="4" w:space="0" w:color="auto"/>
              <w:right w:val="single" w:sz="4" w:space="0" w:color="auto"/>
            </w:tcBorders>
            <w:hideMark/>
          </w:tcPr>
          <w:p w14:paraId="27F820E3" w14:textId="6291751B" w:rsidR="00E82023" w:rsidRPr="00051030" w:rsidRDefault="00E82023" w:rsidP="00E82023">
            <w:pPr>
              <w:pStyle w:val="TableText"/>
              <w:spacing w:before="0" w:after="0"/>
              <w:jc w:val="center"/>
              <w:rPr>
                <w:rFonts w:cstheme="minorHAnsi"/>
                <w:szCs w:val="20"/>
                <w:highlight w:val="yellow"/>
              </w:rPr>
            </w:pPr>
            <w:r w:rsidRPr="00EC2263">
              <w:rPr>
                <w:rFonts w:cstheme="minorHAnsi"/>
                <w:szCs w:val="20"/>
              </w:rPr>
              <w:t>$</w:t>
            </w:r>
            <w:r w:rsidRPr="00EC2263">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751264D3" w14:textId="4ED79A9E" w:rsidR="00E82023" w:rsidRPr="00051030" w:rsidRDefault="00E82023" w:rsidP="00E82023">
            <w:pPr>
              <w:pStyle w:val="TableText"/>
              <w:spacing w:before="0" w:after="0"/>
              <w:jc w:val="center"/>
              <w:rPr>
                <w:rFonts w:cstheme="minorHAnsi"/>
                <w:szCs w:val="20"/>
                <w:highlight w:val="yellow"/>
              </w:rPr>
            </w:pPr>
            <w:r w:rsidRPr="00EC2263">
              <w:rPr>
                <w:rFonts w:cstheme="minorHAnsi"/>
                <w:szCs w:val="20"/>
              </w:rPr>
              <w:t>$</w:t>
            </w:r>
            <w:r w:rsidRPr="00EC2263">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5DB2F3FA" w14:textId="7C4A5DF7" w:rsidR="00E82023" w:rsidRPr="00051030" w:rsidRDefault="00E82023" w:rsidP="00E82023">
            <w:pPr>
              <w:pStyle w:val="TableText"/>
              <w:spacing w:before="0" w:after="0"/>
              <w:jc w:val="center"/>
              <w:rPr>
                <w:rFonts w:cstheme="minorHAnsi"/>
                <w:szCs w:val="20"/>
                <w:highlight w:val="yellow"/>
              </w:rPr>
            </w:pPr>
            <w:r w:rsidRPr="00EC2263">
              <w:rPr>
                <w:rFonts w:cstheme="minorHAnsi"/>
                <w:szCs w:val="20"/>
              </w:rPr>
              <w:t>$</w:t>
            </w:r>
            <w:r w:rsidRPr="00EC2263">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3546AB71"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8.797</w:t>
            </w:r>
          </w:p>
        </w:tc>
        <w:tc>
          <w:tcPr>
            <w:tcW w:w="398" w:type="pct"/>
            <w:gridSpan w:val="2"/>
            <w:tcBorders>
              <w:top w:val="nil"/>
              <w:left w:val="nil"/>
              <w:bottom w:val="single" w:sz="4" w:space="0" w:color="auto"/>
              <w:right w:val="single" w:sz="4" w:space="0" w:color="auto"/>
            </w:tcBorders>
            <w:hideMark/>
          </w:tcPr>
          <w:p w14:paraId="732BDDEC"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8.249</w:t>
            </w:r>
          </w:p>
        </w:tc>
        <w:tc>
          <w:tcPr>
            <w:tcW w:w="565" w:type="pct"/>
            <w:tcBorders>
              <w:top w:val="nil"/>
              <w:left w:val="nil"/>
              <w:bottom w:val="single" w:sz="4" w:space="0" w:color="auto"/>
              <w:right w:val="single" w:sz="4" w:space="0" w:color="auto"/>
            </w:tcBorders>
            <w:hideMark/>
          </w:tcPr>
          <w:p w14:paraId="74ED98B3"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0.547</w:t>
            </w:r>
          </w:p>
        </w:tc>
        <w:tc>
          <w:tcPr>
            <w:tcW w:w="733" w:type="pct"/>
            <w:tcBorders>
              <w:top w:val="nil"/>
              <w:left w:val="nil"/>
              <w:bottom w:val="single" w:sz="4" w:space="0" w:color="auto"/>
              <w:right w:val="single" w:sz="4" w:space="0" w:color="auto"/>
            </w:tcBorders>
            <w:hideMark/>
          </w:tcPr>
          <w:p w14:paraId="5A07EF81" w14:textId="14198403"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Pr>
                <w:rFonts w:cstheme="minorHAnsi"/>
                <w:szCs w:val="20"/>
                <w:vertAlign w:val="superscript"/>
              </w:rPr>
              <w:t>3</w:t>
            </w:r>
          </w:p>
        </w:tc>
      </w:tr>
      <w:tr w:rsidR="003322E6" w:rsidRPr="00AB1ABA" w14:paraId="10B70A9F" w14:textId="77777777" w:rsidTr="00AD51B4">
        <w:trPr>
          <w:trHeight w:val="20"/>
        </w:trPr>
        <w:tc>
          <w:tcPr>
            <w:tcW w:w="5000" w:type="pct"/>
            <w:gridSpan w:val="13"/>
            <w:tcBorders>
              <w:top w:val="nil"/>
              <w:left w:val="single" w:sz="4" w:space="0" w:color="auto"/>
              <w:bottom w:val="single" w:sz="4" w:space="0" w:color="auto"/>
              <w:right w:val="single" w:sz="4" w:space="0" w:color="auto"/>
            </w:tcBorders>
            <w:vAlign w:val="center"/>
            <w:hideMark/>
          </w:tcPr>
          <w:p w14:paraId="1CB2C187" w14:textId="77777777" w:rsidR="003322E6" w:rsidRPr="007722E4" w:rsidRDefault="003322E6" w:rsidP="00AD51B4">
            <w:pPr>
              <w:pStyle w:val="TableText"/>
              <w:spacing w:before="0" w:after="0"/>
              <w:rPr>
                <w:rFonts w:cstheme="minorHAnsi"/>
                <w:i/>
                <w:iCs/>
                <w:szCs w:val="20"/>
              </w:rPr>
            </w:pPr>
            <w:r w:rsidRPr="007722E4">
              <w:rPr>
                <w:rFonts w:cstheme="minorHAnsi"/>
                <w:i/>
                <w:iCs/>
                <w:szCs w:val="20"/>
              </w:rPr>
              <w:t>Duration of Hba1c Effect (e.g., 7 years constant converging to zero at 8 years)</w:t>
            </w:r>
          </w:p>
        </w:tc>
      </w:tr>
      <w:tr w:rsidR="00ED223E" w:rsidRPr="00AB1ABA" w14:paraId="05C5C0CF"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591F408A" w14:textId="77777777" w:rsidR="00ED223E" w:rsidRPr="00C54615" w:rsidRDefault="00ED223E" w:rsidP="00ED223E">
            <w:pPr>
              <w:pStyle w:val="TableText"/>
              <w:spacing w:before="0" w:after="0"/>
              <w:rPr>
                <w:rFonts w:cstheme="minorHAnsi"/>
                <w:szCs w:val="20"/>
              </w:rPr>
            </w:pPr>
            <w:r w:rsidRPr="00C54615">
              <w:rPr>
                <w:rFonts w:cstheme="minorHAnsi"/>
                <w:szCs w:val="20"/>
              </w:rPr>
              <w:t xml:space="preserve">7 years constant converging at 8 years </w:t>
            </w:r>
          </w:p>
        </w:tc>
        <w:tc>
          <w:tcPr>
            <w:tcW w:w="580" w:type="pct"/>
            <w:gridSpan w:val="2"/>
            <w:tcBorders>
              <w:top w:val="nil"/>
              <w:left w:val="nil"/>
              <w:bottom w:val="single" w:sz="4" w:space="0" w:color="auto"/>
              <w:right w:val="single" w:sz="4" w:space="0" w:color="auto"/>
            </w:tcBorders>
            <w:shd w:val="clear" w:color="auto" w:fill="FFFFFF" w:themeFill="background1"/>
            <w:hideMark/>
          </w:tcPr>
          <w:p w14:paraId="1EFBD29D" w14:textId="24F38C44" w:rsidR="00ED223E" w:rsidRPr="00051030" w:rsidRDefault="00ED223E" w:rsidP="00ED223E">
            <w:pPr>
              <w:pStyle w:val="TableText"/>
              <w:spacing w:before="0" w:after="0"/>
              <w:jc w:val="center"/>
              <w:rPr>
                <w:rFonts w:cstheme="minorHAnsi"/>
                <w:szCs w:val="20"/>
                <w:highlight w:val="yellow"/>
              </w:rPr>
            </w:pPr>
            <w:r w:rsidRPr="00966D63">
              <w:rPr>
                <w:rFonts w:cstheme="minorHAnsi"/>
                <w:szCs w:val="20"/>
              </w:rPr>
              <w:t>$</w:t>
            </w:r>
            <w:r w:rsidRPr="00966D63">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3DCB9AC4" w14:textId="30A29A74" w:rsidR="00ED223E" w:rsidRPr="00051030" w:rsidRDefault="00ED223E" w:rsidP="00ED223E">
            <w:pPr>
              <w:pStyle w:val="TableText"/>
              <w:spacing w:before="0" w:after="0"/>
              <w:jc w:val="center"/>
              <w:rPr>
                <w:rFonts w:cstheme="minorHAnsi"/>
                <w:szCs w:val="20"/>
                <w:highlight w:val="yellow"/>
              </w:rPr>
            </w:pPr>
            <w:r w:rsidRPr="00966D63">
              <w:rPr>
                <w:rFonts w:cstheme="minorHAnsi"/>
                <w:szCs w:val="20"/>
              </w:rPr>
              <w:t>$</w:t>
            </w:r>
            <w:r w:rsidRPr="00966D63">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46FD20DA" w14:textId="76DDAC46" w:rsidR="00ED223E" w:rsidRPr="00051030" w:rsidRDefault="00ED223E" w:rsidP="00ED223E">
            <w:pPr>
              <w:pStyle w:val="TableText"/>
              <w:spacing w:before="0" w:after="0"/>
              <w:jc w:val="center"/>
              <w:rPr>
                <w:rFonts w:cstheme="minorHAnsi"/>
                <w:szCs w:val="20"/>
                <w:highlight w:val="yellow"/>
              </w:rPr>
            </w:pPr>
            <w:r w:rsidRPr="00966D63">
              <w:rPr>
                <w:rFonts w:cstheme="minorHAnsi"/>
                <w:szCs w:val="20"/>
              </w:rPr>
              <w:t>$</w:t>
            </w:r>
            <w:r w:rsidRPr="00966D63">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77E22841"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8.808</w:t>
            </w:r>
          </w:p>
        </w:tc>
        <w:tc>
          <w:tcPr>
            <w:tcW w:w="398" w:type="pct"/>
            <w:gridSpan w:val="2"/>
            <w:tcBorders>
              <w:top w:val="nil"/>
              <w:left w:val="nil"/>
              <w:bottom w:val="single" w:sz="4" w:space="0" w:color="auto"/>
              <w:right w:val="single" w:sz="4" w:space="0" w:color="auto"/>
            </w:tcBorders>
            <w:hideMark/>
          </w:tcPr>
          <w:p w14:paraId="3A2F3662"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8.249</w:t>
            </w:r>
          </w:p>
        </w:tc>
        <w:tc>
          <w:tcPr>
            <w:tcW w:w="565" w:type="pct"/>
            <w:tcBorders>
              <w:top w:val="nil"/>
              <w:left w:val="nil"/>
              <w:bottom w:val="single" w:sz="4" w:space="0" w:color="auto"/>
              <w:right w:val="single" w:sz="4" w:space="0" w:color="auto"/>
            </w:tcBorders>
            <w:hideMark/>
          </w:tcPr>
          <w:p w14:paraId="40460F50"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0.558</w:t>
            </w:r>
          </w:p>
        </w:tc>
        <w:tc>
          <w:tcPr>
            <w:tcW w:w="733" w:type="pct"/>
            <w:tcBorders>
              <w:top w:val="nil"/>
              <w:left w:val="nil"/>
              <w:bottom w:val="single" w:sz="4" w:space="0" w:color="auto"/>
              <w:right w:val="single" w:sz="4" w:space="0" w:color="auto"/>
            </w:tcBorders>
            <w:hideMark/>
          </w:tcPr>
          <w:p w14:paraId="5AC6555D" w14:textId="30FD5F97" w:rsidR="00ED223E" w:rsidRPr="00051030" w:rsidRDefault="00ED223E" w:rsidP="00ED223E">
            <w:pPr>
              <w:pStyle w:val="TableText"/>
              <w:spacing w:before="0" w:after="0"/>
              <w:jc w:val="center"/>
              <w:rPr>
                <w:rFonts w:cstheme="minorHAnsi"/>
                <w:szCs w:val="20"/>
                <w:highlight w:val="yellow"/>
              </w:rPr>
            </w:pPr>
            <w:r w:rsidRPr="00051030">
              <w:rPr>
                <w:rFonts w:cstheme="minorHAnsi"/>
                <w:szCs w:val="20"/>
              </w:rPr>
              <w:t>$</w:t>
            </w:r>
            <w:r w:rsidRPr="00FE3AFE">
              <w:rPr>
                <w:rFonts w:cstheme="minorHAnsi"/>
                <w:b/>
                <w:bCs/>
                <w:szCs w:val="20"/>
              </w:rPr>
              <w:t>Redacted</w:t>
            </w:r>
            <w:r w:rsidRPr="00FE3AFE">
              <w:rPr>
                <w:rFonts w:cstheme="minorHAnsi"/>
                <w:szCs w:val="20"/>
                <w:vertAlign w:val="superscript"/>
              </w:rPr>
              <w:t>1</w:t>
            </w:r>
          </w:p>
        </w:tc>
      </w:tr>
      <w:tr w:rsidR="00ED223E" w:rsidRPr="00AB1ABA" w14:paraId="3FF61186"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0E826785" w14:textId="77777777" w:rsidR="00ED223E" w:rsidRPr="00C54615" w:rsidRDefault="00ED223E" w:rsidP="00ED223E">
            <w:pPr>
              <w:pStyle w:val="TableText"/>
              <w:spacing w:before="0" w:after="0"/>
              <w:rPr>
                <w:rFonts w:cstheme="minorHAnsi"/>
                <w:szCs w:val="20"/>
              </w:rPr>
            </w:pPr>
            <w:r w:rsidRPr="00C54615">
              <w:rPr>
                <w:rFonts w:cstheme="minorHAnsi"/>
                <w:szCs w:val="20"/>
              </w:rPr>
              <w:t xml:space="preserve">7 years constant converging at 14 years </w:t>
            </w:r>
          </w:p>
        </w:tc>
        <w:tc>
          <w:tcPr>
            <w:tcW w:w="580" w:type="pct"/>
            <w:gridSpan w:val="2"/>
            <w:tcBorders>
              <w:top w:val="nil"/>
              <w:left w:val="nil"/>
              <w:bottom w:val="single" w:sz="4" w:space="0" w:color="auto"/>
              <w:right w:val="single" w:sz="4" w:space="0" w:color="auto"/>
            </w:tcBorders>
            <w:shd w:val="clear" w:color="auto" w:fill="FFFFFF" w:themeFill="background1"/>
            <w:hideMark/>
          </w:tcPr>
          <w:p w14:paraId="3BCA1423" w14:textId="501837D9" w:rsidR="00ED223E" w:rsidRPr="00051030" w:rsidRDefault="00ED223E" w:rsidP="00ED223E">
            <w:pPr>
              <w:pStyle w:val="TableText"/>
              <w:spacing w:before="0" w:after="0"/>
              <w:jc w:val="center"/>
              <w:rPr>
                <w:rFonts w:cstheme="minorHAnsi"/>
                <w:szCs w:val="20"/>
                <w:highlight w:val="yellow"/>
              </w:rPr>
            </w:pPr>
            <w:r w:rsidRPr="00966D63">
              <w:rPr>
                <w:rFonts w:cstheme="minorHAnsi"/>
                <w:szCs w:val="20"/>
              </w:rPr>
              <w:t>$</w:t>
            </w:r>
            <w:r w:rsidRPr="00966D63">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52734CBE" w14:textId="69DE611C" w:rsidR="00ED223E" w:rsidRPr="00051030" w:rsidRDefault="00ED223E" w:rsidP="00ED223E">
            <w:pPr>
              <w:pStyle w:val="TableText"/>
              <w:spacing w:before="0" w:after="0"/>
              <w:jc w:val="center"/>
              <w:rPr>
                <w:rFonts w:cstheme="minorHAnsi"/>
                <w:szCs w:val="20"/>
                <w:highlight w:val="yellow"/>
              </w:rPr>
            </w:pPr>
            <w:r w:rsidRPr="00966D63">
              <w:rPr>
                <w:rFonts w:cstheme="minorHAnsi"/>
                <w:szCs w:val="20"/>
              </w:rPr>
              <w:t>$</w:t>
            </w:r>
            <w:r w:rsidRPr="00966D63">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2C54008C" w14:textId="4453155D" w:rsidR="00ED223E" w:rsidRPr="00051030" w:rsidRDefault="00ED223E" w:rsidP="00ED223E">
            <w:pPr>
              <w:pStyle w:val="TableText"/>
              <w:spacing w:before="0" w:after="0"/>
              <w:jc w:val="center"/>
              <w:rPr>
                <w:rFonts w:cstheme="minorHAnsi"/>
                <w:szCs w:val="20"/>
                <w:highlight w:val="yellow"/>
              </w:rPr>
            </w:pPr>
            <w:r w:rsidRPr="00966D63">
              <w:rPr>
                <w:rFonts w:cstheme="minorHAnsi"/>
                <w:szCs w:val="20"/>
              </w:rPr>
              <w:t>$</w:t>
            </w:r>
            <w:r w:rsidRPr="00966D63">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2DA5C770"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8.817</w:t>
            </w:r>
          </w:p>
        </w:tc>
        <w:tc>
          <w:tcPr>
            <w:tcW w:w="398" w:type="pct"/>
            <w:gridSpan w:val="2"/>
            <w:tcBorders>
              <w:top w:val="nil"/>
              <w:left w:val="nil"/>
              <w:bottom w:val="single" w:sz="4" w:space="0" w:color="auto"/>
              <w:right w:val="single" w:sz="4" w:space="0" w:color="auto"/>
            </w:tcBorders>
            <w:hideMark/>
          </w:tcPr>
          <w:p w14:paraId="4BE0DF97"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8.249</w:t>
            </w:r>
          </w:p>
        </w:tc>
        <w:tc>
          <w:tcPr>
            <w:tcW w:w="565" w:type="pct"/>
            <w:tcBorders>
              <w:top w:val="nil"/>
              <w:left w:val="nil"/>
              <w:bottom w:val="single" w:sz="4" w:space="0" w:color="auto"/>
              <w:right w:val="single" w:sz="4" w:space="0" w:color="auto"/>
            </w:tcBorders>
            <w:hideMark/>
          </w:tcPr>
          <w:p w14:paraId="0CEE7DC6"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0.568</w:t>
            </w:r>
          </w:p>
        </w:tc>
        <w:tc>
          <w:tcPr>
            <w:tcW w:w="733" w:type="pct"/>
            <w:tcBorders>
              <w:top w:val="nil"/>
              <w:left w:val="nil"/>
              <w:bottom w:val="single" w:sz="4" w:space="0" w:color="auto"/>
              <w:right w:val="single" w:sz="4" w:space="0" w:color="auto"/>
            </w:tcBorders>
            <w:hideMark/>
          </w:tcPr>
          <w:p w14:paraId="345BC735" w14:textId="334FF5CD" w:rsidR="00ED223E" w:rsidRPr="00051030" w:rsidRDefault="00ED223E" w:rsidP="00ED223E">
            <w:pPr>
              <w:pStyle w:val="TableText"/>
              <w:spacing w:before="0" w:after="0"/>
              <w:jc w:val="center"/>
              <w:rPr>
                <w:rFonts w:cstheme="minorHAnsi"/>
                <w:szCs w:val="20"/>
                <w:highlight w:val="yellow"/>
              </w:rPr>
            </w:pPr>
            <w:r w:rsidRPr="00051030">
              <w:rPr>
                <w:rFonts w:cstheme="minorHAnsi"/>
                <w:szCs w:val="20"/>
              </w:rPr>
              <w:t>$</w:t>
            </w:r>
            <w:r w:rsidRPr="00FE3AFE">
              <w:rPr>
                <w:rFonts w:cstheme="minorHAnsi"/>
                <w:b/>
                <w:bCs/>
                <w:szCs w:val="20"/>
              </w:rPr>
              <w:t>Redacted</w:t>
            </w:r>
            <w:r w:rsidRPr="00FE3AFE">
              <w:rPr>
                <w:rFonts w:cstheme="minorHAnsi"/>
                <w:szCs w:val="20"/>
                <w:vertAlign w:val="superscript"/>
              </w:rPr>
              <w:t>1</w:t>
            </w:r>
          </w:p>
        </w:tc>
      </w:tr>
      <w:tr w:rsidR="003322E6" w:rsidRPr="00AB1ABA" w14:paraId="697C6263" w14:textId="77777777" w:rsidTr="00AD51B4">
        <w:trPr>
          <w:trHeight w:val="20"/>
        </w:trPr>
        <w:tc>
          <w:tcPr>
            <w:tcW w:w="5000" w:type="pct"/>
            <w:gridSpan w:val="13"/>
            <w:tcBorders>
              <w:top w:val="nil"/>
              <w:left w:val="single" w:sz="4" w:space="0" w:color="auto"/>
              <w:bottom w:val="single" w:sz="4" w:space="0" w:color="auto"/>
              <w:right w:val="single" w:sz="4" w:space="0" w:color="auto"/>
            </w:tcBorders>
            <w:vAlign w:val="center"/>
            <w:hideMark/>
          </w:tcPr>
          <w:p w14:paraId="5E0B1047" w14:textId="77777777" w:rsidR="003322E6" w:rsidRPr="007722E4" w:rsidRDefault="003322E6" w:rsidP="00AD51B4">
            <w:pPr>
              <w:pStyle w:val="TableText"/>
              <w:spacing w:before="0" w:after="0"/>
              <w:rPr>
                <w:rFonts w:cstheme="minorHAnsi"/>
                <w:szCs w:val="20"/>
              </w:rPr>
            </w:pPr>
            <w:r w:rsidRPr="007722E4">
              <w:rPr>
                <w:rFonts w:cstheme="minorHAnsi"/>
                <w:i/>
                <w:iCs/>
                <w:szCs w:val="20"/>
              </w:rPr>
              <w:t>FoH Utility</w:t>
            </w:r>
          </w:p>
        </w:tc>
      </w:tr>
      <w:tr w:rsidR="00ED223E" w:rsidRPr="00AB1ABA" w14:paraId="6C32AC77"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63D74DB3" w14:textId="77777777" w:rsidR="00ED223E" w:rsidRPr="00C54615" w:rsidRDefault="00ED223E" w:rsidP="00ED223E">
            <w:pPr>
              <w:pStyle w:val="TableText"/>
              <w:spacing w:before="0" w:after="0"/>
              <w:rPr>
                <w:rFonts w:cstheme="minorHAnsi"/>
                <w:szCs w:val="20"/>
              </w:rPr>
            </w:pPr>
            <w:r w:rsidRPr="00C54615">
              <w:rPr>
                <w:rFonts w:cstheme="minorHAnsi"/>
                <w:szCs w:val="20"/>
              </w:rPr>
              <w:t>DIAMOND FoH utility (0.025)</w:t>
            </w:r>
          </w:p>
        </w:tc>
        <w:tc>
          <w:tcPr>
            <w:tcW w:w="580" w:type="pct"/>
            <w:gridSpan w:val="2"/>
            <w:tcBorders>
              <w:top w:val="nil"/>
              <w:left w:val="nil"/>
              <w:bottom w:val="single" w:sz="4" w:space="0" w:color="auto"/>
              <w:right w:val="single" w:sz="4" w:space="0" w:color="auto"/>
            </w:tcBorders>
            <w:hideMark/>
          </w:tcPr>
          <w:p w14:paraId="55CCAEC8" w14:textId="2DD777EF" w:rsidR="00ED223E" w:rsidRPr="00051030" w:rsidRDefault="00ED223E" w:rsidP="00ED223E">
            <w:pPr>
              <w:pStyle w:val="TableText"/>
              <w:spacing w:before="0" w:after="0"/>
              <w:jc w:val="center"/>
              <w:rPr>
                <w:rFonts w:cstheme="minorHAnsi"/>
                <w:szCs w:val="20"/>
                <w:highlight w:val="yellow"/>
              </w:rPr>
            </w:pPr>
            <w:r w:rsidRPr="004142B6">
              <w:rPr>
                <w:rFonts w:cstheme="minorHAnsi"/>
                <w:szCs w:val="20"/>
              </w:rPr>
              <w:t>$</w:t>
            </w:r>
            <w:r w:rsidRPr="004142B6">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285A17EF" w14:textId="47AB9536" w:rsidR="00ED223E" w:rsidRPr="00051030" w:rsidRDefault="00ED223E" w:rsidP="00ED223E">
            <w:pPr>
              <w:pStyle w:val="TableText"/>
              <w:spacing w:before="0" w:after="0"/>
              <w:jc w:val="center"/>
              <w:rPr>
                <w:rFonts w:cstheme="minorHAnsi"/>
                <w:szCs w:val="20"/>
                <w:highlight w:val="yellow"/>
              </w:rPr>
            </w:pPr>
            <w:r w:rsidRPr="004142B6">
              <w:rPr>
                <w:rFonts w:cstheme="minorHAnsi"/>
                <w:szCs w:val="20"/>
              </w:rPr>
              <w:t>$</w:t>
            </w:r>
            <w:r w:rsidRPr="004142B6">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2354E72B" w14:textId="6F31EDE2" w:rsidR="00ED223E" w:rsidRPr="00051030" w:rsidRDefault="00ED223E" w:rsidP="00ED223E">
            <w:pPr>
              <w:pStyle w:val="TableText"/>
              <w:spacing w:before="0" w:after="0"/>
              <w:jc w:val="center"/>
              <w:rPr>
                <w:rFonts w:cstheme="minorHAnsi"/>
                <w:szCs w:val="20"/>
                <w:highlight w:val="yellow"/>
              </w:rPr>
            </w:pPr>
            <w:r w:rsidRPr="004142B6">
              <w:rPr>
                <w:rFonts w:cstheme="minorHAnsi"/>
                <w:szCs w:val="20"/>
              </w:rPr>
              <w:t>$</w:t>
            </w:r>
            <w:r w:rsidRPr="004142B6">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0B353112"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8.940</w:t>
            </w:r>
          </w:p>
        </w:tc>
        <w:tc>
          <w:tcPr>
            <w:tcW w:w="398" w:type="pct"/>
            <w:gridSpan w:val="2"/>
            <w:tcBorders>
              <w:top w:val="nil"/>
              <w:left w:val="nil"/>
              <w:bottom w:val="single" w:sz="4" w:space="0" w:color="auto"/>
              <w:right w:val="single" w:sz="4" w:space="0" w:color="auto"/>
            </w:tcBorders>
            <w:hideMark/>
          </w:tcPr>
          <w:p w14:paraId="12A827DB"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8.249</w:t>
            </w:r>
          </w:p>
        </w:tc>
        <w:tc>
          <w:tcPr>
            <w:tcW w:w="565" w:type="pct"/>
            <w:tcBorders>
              <w:top w:val="nil"/>
              <w:left w:val="nil"/>
              <w:bottom w:val="single" w:sz="4" w:space="0" w:color="auto"/>
              <w:right w:val="single" w:sz="4" w:space="0" w:color="auto"/>
            </w:tcBorders>
            <w:hideMark/>
          </w:tcPr>
          <w:p w14:paraId="580DA565"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0.691</w:t>
            </w:r>
          </w:p>
        </w:tc>
        <w:tc>
          <w:tcPr>
            <w:tcW w:w="733" w:type="pct"/>
            <w:tcBorders>
              <w:top w:val="nil"/>
              <w:left w:val="nil"/>
              <w:bottom w:val="single" w:sz="4" w:space="0" w:color="auto"/>
              <w:right w:val="single" w:sz="4" w:space="0" w:color="auto"/>
            </w:tcBorders>
            <w:hideMark/>
          </w:tcPr>
          <w:p w14:paraId="1E8EED4F" w14:textId="7054D314" w:rsidR="00ED223E" w:rsidRPr="00051030" w:rsidRDefault="00ED223E" w:rsidP="00ED223E">
            <w:pPr>
              <w:pStyle w:val="TableText"/>
              <w:spacing w:before="0" w:after="0"/>
              <w:jc w:val="center"/>
              <w:rPr>
                <w:rFonts w:cstheme="minorHAnsi"/>
                <w:szCs w:val="20"/>
                <w:highlight w:val="yellow"/>
              </w:rPr>
            </w:pPr>
            <w:r w:rsidRPr="00051030">
              <w:rPr>
                <w:rFonts w:cstheme="minorHAnsi"/>
                <w:szCs w:val="20"/>
              </w:rPr>
              <w:t>$</w:t>
            </w:r>
            <w:r w:rsidRPr="00633249">
              <w:rPr>
                <w:rFonts w:cstheme="minorHAnsi"/>
                <w:b/>
                <w:bCs/>
                <w:szCs w:val="20"/>
              </w:rPr>
              <w:t>Redacted</w:t>
            </w:r>
            <w:r w:rsidRPr="00633249">
              <w:rPr>
                <w:rFonts w:cstheme="minorHAnsi"/>
                <w:szCs w:val="20"/>
                <w:vertAlign w:val="superscript"/>
              </w:rPr>
              <w:t>1</w:t>
            </w:r>
          </w:p>
        </w:tc>
      </w:tr>
      <w:tr w:rsidR="00ED223E" w:rsidRPr="00AB1ABA" w14:paraId="6D14DE99"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6F0F36FB" w14:textId="77777777" w:rsidR="00ED223E" w:rsidRPr="00C54615" w:rsidRDefault="00ED223E" w:rsidP="00ED223E">
            <w:pPr>
              <w:pStyle w:val="TableText"/>
              <w:spacing w:before="0" w:after="0"/>
              <w:rPr>
                <w:rFonts w:cstheme="minorHAnsi"/>
                <w:szCs w:val="20"/>
              </w:rPr>
            </w:pPr>
            <w:r w:rsidRPr="00C54615">
              <w:rPr>
                <w:rFonts w:cstheme="minorHAnsi"/>
                <w:szCs w:val="20"/>
              </w:rPr>
              <w:t>No FoH utility</w:t>
            </w:r>
          </w:p>
        </w:tc>
        <w:tc>
          <w:tcPr>
            <w:tcW w:w="580" w:type="pct"/>
            <w:gridSpan w:val="2"/>
            <w:tcBorders>
              <w:top w:val="nil"/>
              <w:left w:val="nil"/>
              <w:bottom w:val="single" w:sz="4" w:space="0" w:color="auto"/>
              <w:right w:val="single" w:sz="4" w:space="0" w:color="auto"/>
            </w:tcBorders>
            <w:hideMark/>
          </w:tcPr>
          <w:p w14:paraId="35BD2ECD" w14:textId="4FE13215" w:rsidR="00ED223E" w:rsidRPr="00051030" w:rsidRDefault="00ED223E" w:rsidP="00ED223E">
            <w:pPr>
              <w:pStyle w:val="TableText"/>
              <w:spacing w:before="0" w:after="0"/>
              <w:jc w:val="center"/>
              <w:rPr>
                <w:rFonts w:cstheme="minorHAnsi"/>
                <w:szCs w:val="20"/>
                <w:highlight w:val="yellow"/>
              </w:rPr>
            </w:pPr>
            <w:r w:rsidRPr="004142B6">
              <w:rPr>
                <w:rFonts w:cstheme="minorHAnsi"/>
                <w:szCs w:val="20"/>
              </w:rPr>
              <w:t>$</w:t>
            </w:r>
            <w:r w:rsidRPr="004142B6">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35B92C70" w14:textId="64ED6A08" w:rsidR="00ED223E" w:rsidRPr="00051030" w:rsidRDefault="00ED223E" w:rsidP="00ED223E">
            <w:pPr>
              <w:pStyle w:val="TableText"/>
              <w:spacing w:before="0" w:after="0"/>
              <w:jc w:val="center"/>
              <w:rPr>
                <w:rFonts w:cstheme="minorHAnsi"/>
                <w:szCs w:val="20"/>
                <w:highlight w:val="yellow"/>
              </w:rPr>
            </w:pPr>
            <w:r w:rsidRPr="004142B6">
              <w:rPr>
                <w:rFonts w:cstheme="minorHAnsi"/>
                <w:szCs w:val="20"/>
              </w:rPr>
              <w:t>$</w:t>
            </w:r>
            <w:r w:rsidRPr="004142B6">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1BEAA6D9" w14:textId="0B696220" w:rsidR="00ED223E" w:rsidRPr="00051030" w:rsidRDefault="00ED223E" w:rsidP="00ED223E">
            <w:pPr>
              <w:pStyle w:val="TableText"/>
              <w:spacing w:before="0" w:after="0"/>
              <w:jc w:val="center"/>
              <w:rPr>
                <w:rFonts w:cstheme="minorHAnsi"/>
                <w:szCs w:val="20"/>
                <w:highlight w:val="yellow"/>
              </w:rPr>
            </w:pPr>
            <w:r w:rsidRPr="004142B6">
              <w:rPr>
                <w:rFonts w:cstheme="minorHAnsi"/>
                <w:szCs w:val="20"/>
              </w:rPr>
              <w:t>$</w:t>
            </w:r>
            <w:r w:rsidRPr="004142B6">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140F845D"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8.653</w:t>
            </w:r>
          </w:p>
        </w:tc>
        <w:tc>
          <w:tcPr>
            <w:tcW w:w="398" w:type="pct"/>
            <w:gridSpan w:val="2"/>
            <w:tcBorders>
              <w:top w:val="nil"/>
              <w:left w:val="nil"/>
              <w:bottom w:val="single" w:sz="4" w:space="0" w:color="auto"/>
              <w:right w:val="single" w:sz="4" w:space="0" w:color="auto"/>
            </w:tcBorders>
            <w:hideMark/>
          </w:tcPr>
          <w:p w14:paraId="325599BC"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8.249</w:t>
            </w:r>
          </w:p>
        </w:tc>
        <w:tc>
          <w:tcPr>
            <w:tcW w:w="565" w:type="pct"/>
            <w:tcBorders>
              <w:top w:val="nil"/>
              <w:left w:val="nil"/>
              <w:bottom w:val="single" w:sz="4" w:space="0" w:color="auto"/>
              <w:right w:val="single" w:sz="4" w:space="0" w:color="auto"/>
            </w:tcBorders>
            <w:hideMark/>
          </w:tcPr>
          <w:p w14:paraId="18F792BF"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0.403</w:t>
            </w:r>
          </w:p>
        </w:tc>
        <w:tc>
          <w:tcPr>
            <w:tcW w:w="733" w:type="pct"/>
            <w:tcBorders>
              <w:top w:val="nil"/>
              <w:left w:val="nil"/>
              <w:bottom w:val="single" w:sz="4" w:space="0" w:color="auto"/>
              <w:right w:val="single" w:sz="4" w:space="0" w:color="auto"/>
            </w:tcBorders>
            <w:hideMark/>
          </w:tcPr>
          <w:p w14:paraId="6CC56DDE" w14:textId="0F376F86" w:rsidR="00ED223E" w:rsidRPr="00051030" w:rsidRDefault="00ED223E" w:rsidP="00ED223E">
            <w:pPr>
              <w:pStyle w:val="TableText"/>
              <w:spacing w:before="0" w:after="0"/>
              <w:jc w:val="center"/>
              <w:rPr>
                <w:rFonts w:cstheme="minorHAnsi"/>
                <w:szCs w:val="20"/>
                <w:highlight w:val="yellow"/>
              </w:rPr>
            </w:pPr>
            <w:r w:rsidRPr="00051030">
              <w:rPr>
                <w:rFonts w:cstheme="minorHAnsi"/>
                <w:szCs w:val="20"/>
              </w:rPr>
              <w:t>$</w:t>
            </w:r>
            <w:r w:rsidRPr="00633249">
              <w:rPr>
                <w:rFonts w:cstheme="minorHAnsi"/>
                <w:b/>
                <w:bCs/>
                <w:szCs w:val="20"/>
              </w:rPr>
              <w:t>Redacted</w:t>
            </w:r>
            <w:r w:rsidRPr="00633249">
              <w:rPr>
                <w:rFonts w:cstheme="minorHAnsi"/>
                <w:szCs w:val="20"/>
                <w:vertAlign w:val="superscript"/>
              </w:rPr>
              <w:t>1</w:t>
            </w:r>
          </w:p>
        </w:tc>
      </w:tr>
      <w:tr w:rsidR="003322E6" w:rsidRPr="00AB1ABA" w14:paraId="7969B1E3" w14:textId="77777777" w:rsidTr="00AD51B4">
        <w:trPr>
          <w:trHeight w:val="20"/>
        </w:trPr>
        <w:tc>
          <w:tcPr>
            <w:tcW w:w="5000" w:type="pct"/>
            <w:gridSpan w:val="13"/>
            <w:tcBorders>
              <w:top w:val="nil"/>
              <w:left w:val="single" w:sz="4" w:space="0" w:color="auto"/>
              <w:bottom w:val="single" w:sz="4" w:space="0" w:color="auto"/>
              <w:right w:val="single" w:sz="4" w:space="0" w:color="auto"/>
            </w:tcBorders>
            <w:vAlign w:val="center"/>
            <w:hideMark/>
          </w:tcPr>
          <w:p w14:paraId="54AC84A6" w14:textId="77777777" w:rsidR="003322E6" w:rsidRPr="007722E4" w:rsidRDefault="003322E6" w:rsidP="00AD51B4">
            <w:pPr>
              <w:pStyle w:val="TableText"/>
              <w:spacing w:before="0" w:after="0"/>
              <w:rPr>
                <w:rFonts w:cstheme="minorHAnsi"/>
                <w:szCs w:val="20"/>
              </w:rPr>
            </w:pPr>
            <w:r w:rsidRPr="007722E4">
              <w:rPr>
                <w:rFonts w:cstheme="minorHAnsi"/>
                <w:i/>
                <w:iCs/>
                <w:szCs w:val="20"/>
              </w:rPr>
              <w:t>DKA And SHE Incidence And FoH</w:t>
            </w:r>
          </w:p>
        </w:tc>
      </w:tr>
      <w:tr w:rsidR="00E82023" w:rsidRPr="00AB1ABA" w14:paraId="0B634484"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66DA4CA5" w14:textId="77777777" w:rsidR="00E82023" w:rsidRPr="00C54615" w:rsidRDefault="00E82023" w:rsidP="00E82023">
            <w:pPr>
              <w:pStyle w:val="TableText"/>
              <w:spacing w:before="0" w:after="0"/>
              <w:rPr>
                <w:rFonts w:cstheme="minorHAnsi"/>
                <w:szCs w:val="20"/>
              </w:rPr>
            </w:pPr>
            <w:r w:rsidRPr="00C54615">
              <w:rPr>
                <w:rFonts w:cstheme="minorHAnsi"/>
                <w:szCs w:val="20"/>
              </w:rPr>
              <w:t>-50% DKA and SHE in SMBG arm and -50% FoH utility in RT-CGM arm</w:t>
            </w:r>
          </w:p>
        </w:tc>
        <w:tc>
          <w:tcPr>
            <w:tcW w:w="580" w:type="pct"/>
            <w:gridSpan w:val="2"/>
            <w:tcBorders>
              <w:top w:val="nil"/>
              <w:left w:val="nil"/>
              <w:bottom w:val="single" w:sz="4" w:space="0" w:color="auto"/>
              <w:right w:val="single" w:sz="4" w:space="0" w:color="auto"/>
            </w:tcBorders>
            <w:hideMark/>
          </w:tcPr>
          <w:p w14:paraId="5FBB4775" w14:textId="1CBB3755" w:rsidR="00E82023" w:rsidRPr="00051030" w:rsidRDefault="00E82023" w:rsidP="00E82023">
            <w:pPr>
              <w:pStyle w:val="TableText"/>
              <w:spacing w:before="0" w:after="0"/>
              <w:jc w:val="center"/>
              <w:rPr>
                <w:rFonts w:cstheme="minorHAnsi"/>
                <w:szCs w:val="20"/>
                <w:highlight w:val="yellow"/>
              </w:rPr>
            </w:pPr>
            <w:r w:rsidRPr="00DB7DC0">
              <w:rPr>
                <w:rFonts w:cstheme="minorHAnsi"/>
                <w:szCs w:val="20"/>
              </w:rPr>
              <w:t>$</w:t>
            </w:r>
            <w:r w:rsidRPr="00DB7DC0">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2EB13476" w14:textId="11DE5B42" w:rsidR="00E82023" w:rsidRPr="00051030" w:rsidRDefault="00E82023" w:rsidP="00E82023">
            <w:pPr>
              <w:pStyle w:val="TableText"/>
              <w:spacing w:before="0" w:after="0"/>
              <w:jc w:val="center"/>
              <w:rPr>
                <w:rFonts w:cstheme="minorHAnsi"/>
                <w:szCs w:val="20"/>
                <w:highlight w:val="yellow"/>
              </w:rPr>
            </w:pPr>
            <w:r w:rsidRPr="00DB7DC0">
              <w:rPr>
                <w:rFonts w:cstheme="minorHAnsi"/>
                <w:szCs w:val="20"/>
              </w:rPr>
              <w:t>$</w:t>
            </w:r>
            <w:r w:rsidRPr="00DB7DC0">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5F366E5A" w14:textId="51C5D1EC" w:rsidR="00E82023" w:rsidRPr="00051030" w:rsidRDefault="00E82023" w:rsidP="00E82023">
            <w:pPr>
              <w:pStyle w:val="TableText"/>
              <w:spacing w:before="0" w:after="0"/>
              <w:jc w:val="center"/>
              <w:rPr>
                <w:rFonts w:cstheme="minorHAnsi"/>
                <w:szCs w:val="20"/>
                <w:highlight w:val="yellow"/>
              </w:rPr>
            </w:pPr>
            <w:r w:rsidRPr="00DB7DC0">
              <w:rPr>
                <w:rFonts w:cstheme="minorHAnsi"/>
                <w:szCs w:val="20"/>
              </w:rPr>
              <w:t>$</w:t>
            </w:r>
            <w:r w:rsidRPr="00DB7DC0">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46346A95"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8.741</w:t>
            </w:r>
          </w:p>
        </w:tc>
        <w:tc>
          <w:tcPr>
            <w:tcW w:w="398" w:type="pct"/>
            <w:gridSpan w:val="2"/>
            <w:tcBorders>
              <w:top w:val="nil"/>
              <w:left w:val="nil"/>
              <w:bottom w:val="single" w:sz="4" w:space="0" w:color="auto"/>
              <w:right w:val="single" w:sz="4" w:space="0" w:color="auto"/>
            </w:tcBorders>
            <w:hideMark/>
          </w:tcPr>
          <w:p w14:paraId="63E9A194"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8.269</w:t>
            </w:r>
          </w:p>
        </w:tc>
        <w:tc>
          <w:tcPr>
            <w:tcW w:w="565" w:type="pct"/>
            <w:tcBorders>
              <w:top w:val="nil"/>
              <w:left w:val="nil"/>
              <w:bottom w:val="single" w:sz="4" w:space="0" w:color="auto"/>
              <w:right w:val="single" w:sz="4" w:space="0" w:color="auto"/>
            </w:tcBorders>
            <w:hideMark/>
          </w:tcPr>
          <w:p w14:paraId="14E8A799"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0.471</w:t>
            </w:r>
          </w:p>
        </w:tc>
        <w:tc>
          <w:tcPr>
            <w:tcW w:w="733" w:type="pct"/>
            <w:tcBorders>
              <w:top w:val="nil"/>
              <w:left w:val="nil"/>
              <w:bottom w:val="single" w:sz="4" w:space="0" w:color="auto"/>
              <w:right w:val="single" w:sz="4" w:space="0" w:color="auto"/>
            </w:tcBorders>
            <w:hideMark/>
          </w:tcPr>
          <w:p w14:paraId="3C726396" w14:textId="33C5566A"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Pr>
                <w:rFonts w:cstheme="minorHAnsi"/>
                <w:szCs w:val="20"/>
                <w:vertAlign w:val="superscript"/>
              </w:rPr>
              <w:t>3</w:t>
            </w:r>
          </w:p>
        </w:tc>
      </w:tr>
      <w:tr w:rsidR="00E82023" w:rsidRPr="00AB1ABA" w14:paraId="12C3663B"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7A483951"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No DKA or SHE in SMBG arm and no FoH utility for RT-CGM </w:t>
            </w:r>
          </w:p>
        </w:tc>
        <w:tc>
          <w:tcPr>
            <w:tcW w:w="580" w:type="pct"/>
            <w:gridSpan w:val="2"/>
            <w:tcBorders>
              <w:top w:val="nil"/>
              <w:left w:val="nil"/>
              <w:bottom w:val="single" w:sz="4" w:space="0" w:color="auto"/>
              <w:right w:val="single" w:sz="4" w:space="0" w:color="auto"/>
            </w:tcBorders>
            <w:hideMark/>
          </w:tcPr>
          <w:p w14:paraId="3FCBCF90" w14:textId="76208012" w:rsidR="00E82023" w:rsidRPr="00051030" w:rsidRDefault="00E82023" w:rsidP="00E82023">
            <w:pPr>
              <w:pStyle w:val="TableText"/>
              <w:spacing w:before="0" w:after="0"/>
              <w:jc w:val="center"/>
              <w:rPr>
                <w:rFonts w:cstheme="minorHAnsi"/>
                <w:szCs w:val="20"/>
                <w:highlight w:val="yellow"/>
              </w:rPr>
            </w:pPr>
            <w:r w:rsidRPr="00DB7DC0">
              <w:rPr>
                <w:rFonts w:cstheme="minorHAnsi"/>
                <w:szCs w:val="20"/>
              </w:rPr>
              <w:t>$</w:t>
            </w:r>
            <w:r w:rsidRPr="00DB7DC0">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08E699F6" w14:textId="3C1E0C57" w:rsidR="00E82023" w:rsidRPr="00051030" w:rsidRDefault="00E82023" w:rsidP="00E82023">
            <w:pPr>
              <w:pStyle w:val="TableText"/>
              <w:spacing w:before="0" w:after="0"/>
              <w:jc w:val="center"/>
              <w:rPr>
                <w:rFonts w:cstheme="minorHAnsi"/>
                <w:szCs w:val="20"/>
                <w:highlight w:val="yellow"/>
              </w:rPr>
            </w:pPr>
            <w:r w:rsidRPr="00DB7DC0">
              <w:rPr>
                <w:rFonts w:cstheme="minorHAnsi"/>
                <w:szCs w:val="20"/>
              </w:rPr>
              <w:t>$</w:t>
            </w:r>
            <w:r w:rsidRPr="00DB7DC0">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11AD3342" w14:textId="644A05CB" w:rsidR="00E82023" w:rsidRPr="00051030" w:rsidRDefault="00E82023" w:rsidP="00E82023">
            <w:pPr>
              <w:pStyle w:val="TableText"/>
              <w:spacing w:before="0" w:after="0"/>
              <w:jc w:val="center"/>
              <w:rPr>
                <w:rFonts w:cstheme="minorHAnsi"/>
                <w:szCs w:val="20"/>
                <w:highlight w:val="yellow"/>
              </w:rPr>
            </w:pPr>
            <w:r w:rsidRPr="00DB7DC0">
              <w:rPr>
                <w:rFonts w:cstheme="minorHAnsi"/>
                <w:szCs w:val="20"/>
              </w:rPr>
              <w:t>$</w:t>
            </w:r>
            <w:r w:rsidRPr="00DB7DC0">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3C9429FE"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8.653</w:t>
            </w:r>
          </w:p>
        </w:tc>
        <w:tc>
          <w:tcPr>
            <w:tcW w:w="398" w:type="pct"/>
            <w:gridSpan w:val="2"/>
            <w:tcBorders>
              <w:top w:val="nil"/>
              <w:left w:val="nil"/>
              <w:bottom w:val="single" w:sz="4" w:space="0" w:color="auto"/>
              <w:right w:val="single" w:sz="4" w:space="0" w:color="auto"/>
            </w:tcBorders>
            <w:hideMark/>
          </w:tcPr>
          <w:p w14:paraId="1B1BC5E6"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8.282</w:t>
            </w:r>
          </w:p>
        </w:tc>
        <w:tc>
          <w:tcPr>
            <w:tcW w:w="565" w:type="pct"/>
            <w:tcBorders>
              <w:top w:val="nil"/>
              <w:left w:val="nil"/>
              <w:bottom w:val="single" w:sz="4" w:space="0" w:color="auto"/>
              <w:right w:val="single" w:sz="4" w:space="0" w:color="auto"/>
            </w:tcBorders>
            <w:hideMark/>
          </w:tcPr>
          <w:p w14:paraId="1383CD1E"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0.370</w:t>
            </w:r>
          </w:p>
        </w:tc>
        <w:tc>
          <w:tcPr>
            <w:tcW w:w="733" w:type="pct"/>
            <w:tcBorders>
              <w:top w:val="nil"/>
              <w:left w:val="nil"/>
              <w:bottom w:val="single" w:sz="4" w:space="0" w:color="auto"/>
              <w:right w:val="single" w:sz="4" w:space="0" w:color="auto"/>
            </w:tcBorders>
            <w:hideMark/>
          </w:tcPr>
          <w:p w14:paraId="4260B318" w14:textId="54AA4FB4"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Pr>
                <w:rFonts w:cstheme="minorHAnsi"/>
                <w:szCs w:val="20"/>
                <w:vertAlign w:val="superscript"/>
              </w:rPr>
              <w:t>4</w:t>
            </w:r>
          </w:p>
        </w:tc>
      </w:tr>
      <w:tr w:rsidR="003322E6" w:rsidRPr="00AB1ABA" w14:paraId="3BC7D95C" w14:textId="77777777" w:rsidTr="00AD51B4">
        <w:trPr>
          <w:trHeight w:val="20"/>
        </w:trPr>
        <w:tc>
          <w:tcPr>
            <w:tcW w:w="5000" w:type="pct"/>
            <w:gridSpan w:val="13"/>
            <w:tcBorders>
              <w:top w:val="nil"/>
              <w:left w:val="single" w:sz="4" w:space="0" w:color="auto"/>
              <w:bottom w:val="single" w:sz="4" w:space="0" w:color="auto"/>
              <w:right w:val="single" w:sz="4" w:space="0" w:color="auto"/>
            </w:tcBorders>
            <w:vAlign w:val="center"/>
            <w:hideMark/>
          </w:tcPr>
          <w:p w14:paraId="6D3595FC" w14:textId="77777777" w:rsidR="003322E6" w:rsidRPr="007722E4" w:rsidRDefault="003322E6" w:rsidP="00AD51B4">
            <w:pPr>
              <w:pStyle w:val="TableText"/>
              <w:spacing w:before="0" w:after="0"/>
              <w:rPr>
                <w:rFonts w:cstheme="minorHAnsi"/>
                <w:szCs w:val="20"/>
              </w:rPr>
            </w:pPr>
            <w:r w:rsidRPr="007722E4">
              <w:rPr>
                <w:rFonts w:cstheme="minorHAnsi"/>
                <w:i/>
                <w:iCs/>
                <w:szCs w:val="20"/>
              </w:rPr>
              <w:t>Time Horizon</w:t>
            </w:r>
          </w:p>
        </w:tc>
      </w:tr>
      <w:tr w:rsidR="00E82023" w:rsidRPr="00AB1ABA" w14:paraId="76D2E423"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7CEA7F27" w14:textId="77777777" w:rsidR="00E82023" w:rsidRPr="00C54615" w:rsidRDefault="00E82023" w:rsidP="00E82023">
            <w:pPr>
              <w:pStyle w:val="TableText"/>
              <w:spacing w:before="0" w:after="0"/>
              <w:rPr>
                <w:rFonts w:cstheme="minorHAnsi"/>
                <w:szCs w:val="20"/>
              </w:rPr>
            </w:pPr>
            <w:r w:rsidRPr="00C54615">
              <w:rPr>
                <w:rFonts w:cstheme="minorHAnsi"/>
                <w:szCs w:val="20"/>
              </w:rPr>
              <w:t>10 years</w:t>
            </w:r>
          </w:p>
        </w:tc>
        <w:tc>
          <w:tcPr>
            <w:tcW w:w="580" w:type="pct"/>
            <w:gridSpan w:val="2"/>
            <w:tcBorders>
              <w:top w:val="nil"/>
              <w:left w:val="nil"/>
              <w:bottom w:val="single" w:sz="4" w:space="0" w:color="auto"/>
              <w:right w:val="single" w:sz="4" w:space="0" w:color="auto"/>
            </w:tcBorders>
            <w:hideMark/>
          </w:tcPr>
          <w:p w14:paraId="4B1CE81D" w14:textId="6A3CDB37" w:rsidR="00E82023" w:rsidRPr="00051030" w:rsidRDefault="00E82023" w:rsidP="00E82023">
            <w:pPr>
              <w:pStyle w:val="TableText"/>
              <w:spacing w:before="0" w:after="0"/>
              <w:jc w:val="center"/>
              <w:rPr>
                <w:rFonts w:cstheme="minorHAnsi"/>
                <w:szCs w:val="20"/>
                <w:highlight w:val="yellow"/>
              </w:rPr>
            </w:pPr>
            <w:r w:rsidRPr="00454A7D">
              <w:rPr>
                <w:rFonts w:cstheme="minorHAnsi"/>
                <w:szCs w:val="20"/>
              </w:rPr>
              <w:t>$</w:t>
            </w:r>
            <w:r w:rsidRPr="00454A7D">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2F017E92" w14:textId="232D87F4" w:rsidR="00E82023" w:rsidRPr="00051030" w:rsidRDefault="00E82023" w:rsidP="00E82023">
            <w:pPr>
              <w:pStyle w:val="TableText"/>
              <w:spacing w:before="0" w:after="0"/>
              <w:jc w:val="center"/>
              <w:rPr>
                <w:rFonts w:cstheme="minorHAnsi"/>
                <w:szCs w:val="20"/>
                <w:highlight w:val="yellow"/>
              </w:rPr>
            </w:pPr>
            <w:r w:rsidRPr="00454A7D">
              <w:rPr>
                <w:rFonts w:cstheme="minorHAnsi"/>
                <w:szCs w:val="20"/>
              </w:rPr>
              <w:t>$</w:t>
            </w:r>
            <w:r w:rsidRPr="00454A7D">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67617F4D" w14:textId="24280598" w:rsidR="00E82023" w:rsidRPr="00051030" w:rsidRDefault="00E82023" w:rsidP="00E82023">
            <w:pPr>
              <w:pStyle w:val="TableText"/>
              <w:spacing w:before="0" w:after="0"/>
              <w:jc w:val="center"/>
              <w:rPr>
                <w:rFonts w:cstheme="minorHAnsi"/>
                <w:szCs w:val="20"/>
                <w:highlight w:val="yellow"/>
              </w:rPr>
            </w:pPr>
            <w:r w:rsidRPr="00454A7D">
              <w:rPr>
                <w:rFonts w:cstheme="minorHAnsi"/>
                <w:szCs w:val="20"/>
              </w:rPr>
              <w:t>$</w:t>
            </w:r>
            <w:r w:rsidRPr="00454A7D">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225DAC21"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5.441</w:t>
            </w:r>
          </w:p>
        </w:tc>
        <w:tc>
          <w:tcPr>
            <w:tcW w:w="398" w:type="pct"/>
            <w:gridSpan w:val="2"/>
            <w:tcBorders>
              <w:top w:val="nil"/>
              <w:left w:val="nil"/>
              <w:bottom w:val="single" w:sz="4" w:space="0" w:color="auto"/>
              <w:right w:val="single" w:sz="4" w:space="0" w:color="auto"/>
            </w:tcBorders>
            <w:hideMark/>
          </w:tcPr>
          <w:p w14:paraId="7EA12AD4"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5.100</w:t>
            </w:r>
          </w:p>
        </w:tc>
        <w:tc>
          <w:tcPr>
            <w:tcW w:w="565" w:type="pct"/>
            <w:tcBorders>
              <w:top w:val="nil"/>
              <w:left w:val="nil"/>
              <w:bottom w:val="single" w:sz="4" w:space="0" w:color="auto"/>
              <w:right w:val="single" w:sz="4" w:space="0" w:color="auto"/>
            </w:tcBorders>
            <w:hideMark/>
          </w:tcPr>
          <w:p w14:paraId="07F4F3BE"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0.341</w:t>
            </w:r>
          </w:p>
        </w:tc>
        <w:tc>
          <w:tcPr>
            <w:tcW w:w="733" w:type="pct"/>
            <w:tcBorders>
              <w:top w:val="nil"/>
              <w:left w:val="nil"/>
              <w:bottom w:val="single" w:sz="4" w:space="0" w:color="auto"/>
              <w:right w:val="single" w:sz="4" w:space="0" w:color="auto"/>
            </w:tcBorders>
            <w:hideMark/>
          </w:tcPr>
          <w:p w14:paraId="5B3762B7" w14:textId="4FF2E74D"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Pr>
                <w:rFonts w:cstheme="minorHAnsi"/>
                <w:szCs w:val="20"/>
                <w:vertAlign w:val="superscript"/>
              </w:rPr>
              <w:t>3</w:t>
            </w:r>
          </w:p>
        </w:tc>
      </w:tr>
      <w:tr w:rsidR="00ED223E" w:rsidRPr="00AB1ABA" w14:paraId="696C5FC6" w14:textId="77777777" w:rsidTr="00030059">
        <w:trPr>
          <w:trHeight w:val="20"/>
        </w:trPr>
        <w:tc>
          <w:tcPr>
            <w:tcW w:w="850" w:type="pct"/>
            <w:tcBorders>
              <w:top w:val="nil"/>
              <w:left w:val="single" w:sz="4" w:space="0" w:color="auto"/>
              <w:bottom w:val="single" w:sz="4" w:space="0" w:color="auto"/>
              <w:right w:val="single" w:sz="4" w:space="0" w:color="auto"/>
            </w:tcBorders>
            <w:vAlign w:val="center"/>
            <w:hideMark/>
          </w:tcPr>
          <w:p w14:paraId="138714DE" w14:textId="77777777" w:rsidR="00ED223E" w:rsidRPr="00C54615" w:rsidRDefault="00ED223E" w:rsidP="00ED223E">
            <w:pPr>
              <w:pStyle w:val="TableText"/>
              <w:spacing w:before="0" w:after="0"/>
              <w:rPr>
                <w:rFonts w:cstheme="minorHAnsi"/>
                <w:szCs w:val="20"/>
              </w:rPr>
            </w:pPr>
            <w:r w:rsidRPr="00C54615">
              <w:rPr>
                <w:rFonts w:cstheme="minorHAnsi"/>
                <w:szCs w:val="20"/>
              </w:rPr>
              <w:t>20 years</w:t>
            </w:r>
          </w:p>
        </w:tc>
        <w:tc>
          <w:tcPr>
            <w:tcW w:w="580" w:type="pct"/>
            <w:gridSpan w:val="2"/>
            <w:tcBorders>
              <w:top w:val="nil"/>
              <w:left w:val="nil"/>
              <w:bottom w:val="single" w:sz="4" w:space="0" w:color="auto"/>
              <w:right w:val="single" w:sz="4" w:space="0" w:color="auto"/>
            </w:tcBorders>
            <w:hideMark/>
          </w:tcPr>
          <w:p w14:paraId="40384FC1" w14:textId="5E06ECE1" w:rsidR="00ED223E" w:rsidRPr="00051030" w:rsidRDefault="00ED223E" w:rsidP="00ED223E">
            <w:pPr>
              <w:pStyle w:val="TableText"/>
              <w:spacing w:before="0" w:after="0"/>
              <w:jc w:val="center"/>
              <w:rPr>
                <w:rFonts w:cstheme="minorHAnsi"/>
                <w:szCs w:val="20"/>
                <w:highlight w:val="yellow"/>
              </w:rPr>
            </w:pPr>
            <w:r w:rsidRPr="00454A7D">
              <w:rPr>
                <w:rFonts w:cstheme="minorHAnsi"/>
                <w:szCs w:val="20"/>
              </w:rPr>
              <w:t>$</w:t>
            </w:r>
            <w:r w:rsidRPr="00454A7D">
              <w:rPr>
                <w:rFonts w:cstheme="minorHAnsi"/>
                <w:b/>
                <w:bCs/>
                <w:szCs w:val="20"/>
              </w:rPr>
              <w:t>Redacted</w:t>
            </w:r>
          </w:p>
        </w:tc>
        <w:tc>
          <w:tcPr>
            <w:tcW w:w="759" w:type="pct"/>
            <w:gridSpan w:val="2"/>
            <w:tcBorders>
              <w:top w:val="nil"/>
              <w:left w:val="nil"/>
              <w:bottom w:val="single" w:sz="4" w:space="0" w:color="auto"/>
              <w:right w:val="single" w:sz="4" w:space="0" w:color="auto"/>
            </w:tcBorders>
            <w:hideMark/>
          </w:tcPr>
          <w:p w14:paraId="4B58876A" w14:textId="5E277CF2" w:rsidR="00ED223E" w:rsidRPr="00051030" w:rsidRDefault="00ED223E" w:rsidP="00ED223E">
            <w:pPr>
              <w:pStyle w:val="TableText"/>
              <w:spacing w:before="0" w:after="0"/>
              <w:jc w:val="center"/>
              <w:rPr>
                <w:rFonts w:cstheme="minorHAnsi"/>
                <w:szCs w:val="20"/>
                <w:highlight w:val="yellow"/>
              </w:rPr>
            </w:pPr>
            <w:r w:rsidRPr="00454A7D">
              <w:rPr>
                <w:rFonts w:cstheme="minorHAnsi"/>
                <w:szCs w:val="20"/>
              </w:rPr>
              <w:t>$</w:t>
            </w:r>
            <w:r w:rsidRPr="00454A7D">
              <w:rPr>
                <w:rFonts w:cstheme="minorHAnsi"/>
                <w:b/>
                <w:bCs/>
                <w:szCs w:val="20"/>
              </w:rPr>
              <w:t>Redacted</w:t>
            </w:r>
          </w:p>
        </w:tc>
        <w:tc>
          <w:tcPr>
            <w:tcW w:w="717" w:type="pct"/>
            <w:gridSpan w:val="2"/>
            <w:tcBorders>
              <w:top w:val="nil"/>
              <w:left w:val="nil"/>
              <w:bottom w:val="single" w:sz="4" w:space="0" w:color="auto"/>
              <w:right w:val="single" w:sz="4" w:space="0" w:color="auto"/>
            </w:tcBorders>
            <w:hideMark/>
          </w:tcPr>
          <w:p w14:paraId="1E4FC15B" w14:textId="3FF45B72" w:rsidR="00ED223E" w:rsidRPr="00051030" w:rsidRDefault="00ED223E" w:rsidP="00ED223E">
            <w:pPr>
              <w:pStyle w:val="TableText"/>
              <w:spacing w:before="0" w:after="0"/>
              <w:jc w:val="center"/>
              <w:rPr>
                <w:rFonts w:cstheme="minorHAnsi"/>
                <w:szCs w:val="20"/>
                <w:highlight w:val="yellow"/>
              </w:rPr>
            </w:pPr>
            <w:r w:rsidRPr="00454A7D">
              <w:rPr>
                <w:rFonts w:cstheme="minorHAnsi"/>
                <w:szCs w:val="20"/>
              </w:rPr>
              <w:t>$</w:t>
            </w:r>
            <w:r w:rsidRPr="00454A7D">
              <w:rPr>
                <w:rFonts w:cstheme="minorHAnsi"/>
                <w:b/>
                <w:bCs/>
                <w:szCs w:val="20"/>
              </w:rPr>
              <w:t>Redacted</w:t>
            </w:r>
          </w:p>
        </w:tc>
        <w:tc>
          <w:tcPr>
            <w:tcW w:w="398" w:type="pct"/>
            <w:gridSpan w:val="2"/>
            <w:tcBorders>
              <w:top w:val="nil"/>
              <w:left w:val="nil"/>
              <w:bottom w:val="single" w:sz="4" w:space="0" w:color="auto"/>
              <w:right w:val="single" w:sz="4" w:space="0" w:color="auto"/>
            </w:tcBorders>
            <w:hideMark/>
          </w:tcPr>
          <w:p w14:paraId="74B97D59"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7.814</w:t>
            </w:r>
          </w:p>
        </w:tc>
        <w:tc>
          <w:tcPr>
            <w:tcW w:w="398" w:type="pct"/>
            <w:gridSpan w:val="2"/>
            <w:tcBorders>
              <w:top w:val="nil"/>
              <w:left w:val="nil"/>
              <w:bottom w:val="single" w:sz="4" w:space="0" w:color="auto"/>
              <w:right w:val="single" w:sz="4" w:space="0" w:color="auto"/>
            </w:tcBorders>
            <w:hideMark/>
          </w:tcPr>
          <w:p w14:paraId="0B0AAF81"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7.315</w:t>
            </w:r>
          </w:p>
        </w:tc>
        <w:tc>
          <w:tcPr>
            <w:tcW w:w="565" w:type="pct"/>
            <w:tcBorders>
              <w:top w:val="nil"/>
              <w:left w:val="nil"/>
              <w:bottom w:val="single" w:sz="4" w:space="0" w:color="auto"/>
              <w:right w:val="single" w:sz="4" w:space="0" w:color="auto"/>
            </w:tcBorders>
            <w:hideMark/>
          </w:tcPr>
          <w:p w14:paraId="33FB9831"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0.498</w:t>
            </w:r>
          </w:p>
        </w:tc>
        <w:tc>
          <w:tcPr>
            <w:tcW w:w="733" w:type="pct"/>
            <w:tcBorders>
              <w:top w:val="nil"/>
              <w:left w:val="nil"/>
              <w:bottom w:val="single" w:sz="4" w:space="0" w:color="auto"/>
              <w:right w:val="single" w:sz="4" w:space="0" w:color="auto"/>
            </w:tcBorders>
            <w:hideMark/>
          </w:tcPr>
          <w:p w14:paraId="560A6FB5" w14:textId="618C9F23" w:rsidR="00ED223E" w:rsidRPr="00051030" w:rsidRDefault="00ED223E" w:rsidP="00ED223E">
            <w:pPr>
              <w:pStyle w:val="TableText"/>
              <w:spacing w:before="0" w:after="0"/>
              <w:jc w:val="center"/>
              <w:rPr>
                <w:rFonts w:cstheme="minorHAnsi"/>
                <w:szCs w:val="20"/>
                <w:highlight w:val="yellow"/>
              </w:rPr>
            </w:pPr>
            <w:r w:rsidRPr="00051030">
              <w:rPr>
                <w:rFonts w:cstheme="minorHAnsi"/>
                <w:szCs w:val="20"/>
              </w:rPr>
              <w:t>$</w:t>
            </w:r>
            <w:r w:rsidRPr="00D773C8">
              <w:rPr>
                <w:rFonts w:cstheme="minorHAnsi"/>
                <w:b/>
                <w:bCs/>
                <w:szCs w:val="20"/>
              </w:rPr>
              <w:t>Redacted</w:t>
            </w:r>
            <w:r w:rsidRPr="00D773C8">
              <w:rPr>
                <w:rFonts w:cstheme="minorHAnsi"/>
                <w:szCs w:val="20"/>
                <w:vertAlign w:val="superscript"/>
              </w:rPr>
              <w:t>1</w:t>
            </w:r>
          </w:p>
        </w:tc>
      </w:tr>
      <w:tr w:rsidR="00ED223E" w:rsidRPr="00AB1ABA" w14:paraId="178FE18E"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hideMark/>
          </w:tcPr>
          <w:p w14:paraId="7DA313C8" w14:textId="77777777" w:rsidR="00ED223E" w:rsidRPr="00C54615" w:rsidRDefault="00ED223E" w:rsidP="00ED223E">
            <w:pPr>
              <w:pStyle w:val="TableText"/>
              <w:spacing w:before="0" w:after="0"/>
              <w:rPr>
                <w:rFonts w:cstheme="minorHAnsi"/>
                <w:szCs w:val="20"/>
              </w:rPr>
            </w:pPr>
            <w:r w:rsidRPr="00C54615">
              <w:rPr>
                <w:rFonts w:cstheme="minorHAnsi"/>
                <w:szCs w:val="20"/>
              </w:rPr>
              <w:t>30 years</w:t>
            </w:r>
          </w:p>
        </w:tc>
        <w:tc>
          <w:tcPr>
            <w:tcW w:w="580" w:type="pct"/>
            <w:gridSpan w:val="2"/>
            <w:tcBorders>
              <w:top w:val="single" w:sz="4" w:space="0" w:color="auto"/>
              <w:left w:val="nil"/>
              <w:bottom w:val="single" w:sz="4" w:space="0" w:color="auto"/>
              <w:right w:val="single" w:sz="4" w:space="0" w:color="auto"/>
            </w:tcBorders>
            <w:hideMark/>
          </w:tcPr>
          <w:p w14:paraId="743ACC39" w14:textId="59F0F2B7" w:rsidR="00ED223E" w:rsidRPr="00051030" w:rsidRDefault="00ED223E" w:rsidP="00ED223E">
            <w:pPr>
              <w:pStyle w:val="TableText"/>
              <w:spacing w:before="0" w:after="0"/>
              <w:jc w:val="center"/>
              <w:rPr>
                <w:rFonts w:cstheme="minorHAnsi"/>
                <w:szCs w:val="20"/>
                <w:highlight w:val="yellow"/>
              </w:rPr>
            </w:pPr>
            <w:r w:rsidRPr="002F1B7C">
              <w:rPr>
                <w:rFonts w:cstheme="minorHAnsi"/>
                <w:szCs w:val="20"/>
              </w:rPr>
              <w:t>$</w:t>
            </w:r>
            <w:r w:rsidRPr="002F1B7C">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hideMark/>
          </w:tcPr>
          <w:p w14:paraId="0EB9AE8E" w14:textId="4FAA8176" w:rsidR="00ED223E" w:rsidRPr="00051030" w:rsidRDefault="00ED223E" w:rsidP="00ED223E">
            <w:pPr>
              <w:pStyle w:val="TableText"/>
              <w:spacing w:before="0" w:after="0"/>
              <w:jc w:val="center"/>
              <w:rPr>
                <w:rFonts w:cstheme="minorHAnsi"/>
                <w:szCs w:val="20"/>
                <w:highlight w:val="yellow"/>
              </w:rPr>
            </w:pPr>
            <w:r w:rsidRPr="002F1B7C">
              <w:rPr>
                <w:rFonts w:cstheme="minorHAnsi"/>
                <w:szCs w:val="20"/>
              </w:rPr>
              <w:t>$</w:t>
            </w:r>
            <w:r w:rsidRPr="002F1B7C">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hideMark/>
          </w:tcPr>
          <w:p w14:paraId="046A3D34" w14:textId="05D230BF" w:rsidR="00ED223E" w:rsidRPr="00051030" w:rsidRDefault="00ED223E" w:rsidP="00ED223E">
            <w:pPr>
              <w:pStyle w:val="TableText"/>
              <w:spacing w:before="0" w:after="0"/>
              <w:jc w:val="center"/>
              <w:rPr>
                <w:rFonts w:cstheme="minorHAnsi"/>
                <w:szCs w:val="20"/>
                <w:highlight w:val="yellow"/>
              </w:rPr>
            </w:pPr>
            <w:r w:rsidRPr="002F1B7C">
              <w:rPr>
                <w:rFonts w:cstheme="minorHAnsi"/>
                <w:szCs w:val="20"/>
              </w:rPr>
              <w:t>$</w:t>
            </w:r>
            <w:r w:rsidRPr="002F1B7C">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hideMark/>
          </w:tcPr>
          <w:p w14:paraId="7ABAAF88"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8.619</w:t>
            </w:r>
          </w:p>
        </w:tc>
        <w:tc>
          <w:tcPr>
            <w:tcW w:w="398" w:type="pct"/>
            <w:gridSpan w:val="2"/>
            <w:tcBorders>
              <w:top w:val="single" w:sz="4" w:space="0" w:color="auto"/>
              <w:left w:val="nil"/>
              <w:bottom w:val="single" w:sz="4" w:space="0" w:color="auto"/>
              <w:right w:val="single" w:sz="4" w:space="0" w:color="auto"/>
            </w:tcBorders>
            <w:hideMark/>
          </w:tcPr>
          <w:p w14:paraId="66ECE4B9"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8.063</w:t>
            </w:r>
          </w:p>
        </w:tc>
        <w:tc>
          <w:tcPr>
            <w:tcW w:w="565" w:type="pct"/>
            <w:tcBorders>
              <w:top w:val="single" w:sz="4" w:space="0" w:color="auto"/>
              <w:left w:val="nil"/>
              <w:bottom w:val="single" w:sz="4" w:space="0" w:color="auto"/>
              <w:right w:val="single" w:sz="4" w:space="0" w:color="auto"/>
            </w:tcBorders>
            <w:hideMark/>
          </w:tcPr>
          <w:p w14:paraId="290F71D6" w14:textId="77777777" w:rsidR="00ED223E" w:rsidRPr="00C54615" w:rsidRDefault="00ED223E" w:rsidP="00ED223E">
            <w:pPr>
              <w:pStyle w:val="TableText"/>
              <w:spacing w:before="0" w:after="0"/>
              <w:jc w:val="center"/>
              <w:rPr>
                <w:rFonts w:cstheme="minorHAnsi"/>
                <w:szCs w:val="20"/>
              </w:rPr>
            </w:pPr>
            <w:r w:rsidRPr="00C54615">
              <w:rPr>
                <w:rFonts w:cstheme="minorHAnsi"/>
                <w:szCs w:val="20"/>
              </w:rPr>
              <w:t>0.557</w:t>
            </w:r>
          </w:p>
        </w:tc>
        <w:tc>
          <w:tcPr>
            <w:tcW w:w="733" w:type="pct"/>
            <w:tcBorders>
              <w:top w:val="single" w:sz="4" w:space="0" w:color="auto"/>
              <w:left w:val="nil"/>
              <w:bottom w:val="single" w:sz="4" w:space="0" w:color="auto"/>
              <w:right w:val="single" w:sz="4" w:space="0" w:color="auto"/>
            </w:tcBorders>
            <w:hideMark/>
          </w:tcPr>
          <w:p w14:paraId="508EF668" w14:textId="1414B006" w:rsidR="00ED223E" w:rsidRPr="00051030" w:rsidRDefault="00ED223E" w:rsidP="00ED223E">
            <w:pPr>
              <w:pStyle w:val="TableText"/>
              <w:spacing w:before="0" w:after="0"/>
              <w:jc w:val="center"/>
              <w:rPr>
                <w:rFonts w:cstheme="minorHAnsi"/>
                <w:szCs w:val="20"/>
                <w:highlight w:val="yellow"/>
              </w:rPr>
            </w:pPr>
            <w:r w:rsidRPr="00051030">
              <w:rPr>
                <w:rFonts w:cstheme="minorHAnsi"/>
                <w:szCs w:val="20"/>
              </w:rPr>
              <w:t>$</w:t>
            </w:r>
            <w:r w:rsidRPr="00D773C8">
              <w:rPr>
                <w:rFonts w:cstheme="minorHAnsi"/>
                <w:b/>
                <w:bCs/>
                <w:szCs w:val="20"/>
              </w:rPr>
              <w:t>Redacted</w:t>
            </w:r>
            <w:r w:rsidRPr="00D773C8">
              <w:rPr>
                <w:rFonts w:cstheme="minorHAnsi"/>
                <w:szCs w:val="20"/>
                <w:vertAlign w:val="superscript"/>
              </w:rPr>
              <w:t>1</w:t>
            </w:r>
          </w:p>
        </w:tc>
      </w:tr>
      <w:tr w:rsidR="003322E6" w:rsidRPr="00AB1ABA" w14:paraId="1A5668A2"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CCBC09" w14:textId="77777777" w:rsidR="003322E6" w:rsidRPr="007722E4" w:rsidRDefault="003322E6" w:rsidP="00AD51B4">
            <w:pPr>
              <w:pStyle w:val="TableText"/>
              <w:spacing w:before="0" w:after="0"/>
              <w:rPr>
                <w:rFonts w:cstheme="minorHAnsi"/>
                <w:b/>
                <w:bCs/>
                <w:szCs w:val="20"/>
              </w:rPr>
            </w:pPr>
            <w:r w:rsidRPr="007722E4">
              <w:rPr>
                <w:rFonts w:cstheme="minorHAnsi"/>
                <w:b/>
                <w:bCs/>
                <w:szCs w:val="20"/>
              </w:rPr>
              <w:t xml:space="preserve">Non-IIT subpopulation </w:t>
            </w:r>
          </w:p>
        </w:tc>
      </w:tr>
      <w:tr w:rsidR="00E82023" w:rsidRPr="00AB1ABA" w14:paraId="628826E1"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7FF8CDA3" w14:textId="77777777" w:rsidR="00E82023" w:rsidRPr="00C54615" w:rsidRDefault="00E82023" w:rsidP="00E82023">
            <w:pPr>
              <w:pStyle w:val="TableText"/>
              <w:spacing w:before="0" w:after="0"/>
              <w:rPr>
                <w:rFonts w:cstheme="minorHAnsi"/>
                <w:szCs w:val="20"/>
              </w:rPr>
            </w:pPr>
            <w:r w:rsidRPr="00C54615">
              <w:rPr>
                <w:rFonts w:cstheme="minorHAnsi"/>
                <w:b/>
                <w:bCs/>
                <w:szCs w:val="20"/>
              </w:rPr>
              <w:t>Base-case (Fremantle)</w:t>
            </w:r>
          </w:p>
        </w:tc>
        <w:tc>
          <w:tcPr>
            <w:tcW w:w="580" w:type="pct"/>
            <w:gridSpan w:val="2"/>
            <w:tcBorders>
              <w:top w:val="single" w:sz="4" w:space="0" w:color="auto"/>
              <w:left w:val="nil"/>
              <w:bottom w:val="single" w:sz="4" w:space="0" w:color="auto"/>
              <w:right w:val="single" w:sz="4" w:space="0" w:color="auto"/>
            </w:tcBorders>
          </w:tcPr>
          <w:p w14:paraId="06F5EEAA" w14:textId="0F6911AA" w:rsidR="00E82023" w:rsidRPr="00051030" w:rsidRDefault="00E82023" w:rsidP="00E82023">
            <w:pPr>
              <w:pStyle w:val="TableText"/>
              <w:spacing w:before="0" w:after="0"/>
              <w:jc w:val="center"/>
              <w:rPr>
                <w:rFonts w:cstheme="minorHAnsi"/>
                <w:b/>
                <w:bCs/>
                <w:szCs w:val="20"/>
                <w:highlight w:val="yellow"/>
              </w:rPr>
            </w:pPr>
            <w:r w:rsidRPr="00051030">
              <w:rPr>
                <w:rFonts w:cstheme="minorHAnsi"/>
                <w:b/>
                <w:bCs/>
                <w:szCs w:val="20"/>
              </w:rPr>
              <w:t>$</w:t>
            </w:r>
            <w:r w:rsidRPr="00E82023">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23D19A65" w14:textId="464AE584" w:rsidR="00E82023" w:rsidRPr="00051030" w:rsidRDefault="00E82023" w:rsidP="00E82023">
            <w:pPr>
              <w:pStyle w:val="TableText"/>
              <w:spacing w:before="0" w:after="0"/>
              <w:jc w:val="center"/>
              <w:rPr>
                <w:rFonts w:cstheme="minorHAnsi"/>
                <w:b/>
                <w:bCs/>
                <w:szCs w:val="20"/>
                <w:highlight w:val="yellow"/>
              </w:rPr>
            </w:pPr>
            <w:r w:rsidRPr="00051030">
              <w:rPr>
                <w:rFonts w:cstheme="minorHAnsi"/>
                <w:b/>
                <w:bCs/>
                <w:szCs w:val="20"/>
              </w:rPr>
              <w:t>$</w:t>
            </w:r>
            <w:r w:rsidRPr="00E82023">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3B1CD5BB" w14:textId="303EAFF8" w:rsidR="00E82023" w:rsidRPr="00051030" w:rsidRDefault="00E82023" w:rsidP="00E82023">
            <w:pPr>
              <w:pStyle w:val="TableText"/>
              <w:spacing w:before="0" w:after="0"/>
              <w:jc w:val="center"/>
              <w:rPr>
                <w:rFonts w:cstheme="minorHAnsi"/>
                <w:b/>
                <w:bCs/>
                <w:szCs w:val="20"/>
                <w:highlight w:val="yellow"/>
              </w:rPr>
            </w:pPr>
            <w:r w:rsidRPr="00051030">
              <w:rPr>
                <w:rFonts w:cstheme="minorHAnsi"/>
                <w:b/>
                <w:bCs/>
                <w:szCs w:val="20"/>
              </w:rPr>
              <w:t>$</w:t>
            </w:r>
            <w:r w:rsidRPr="00E82023">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5C4033E2" w14:textId="77777777" w:rsidR="00E82023" w:rsidRPr="00C54615" w:rsidRDefault="00E82023" w:rsidP="00E82023">
            <w:pPr>
              <w:pStyle w:val="TableText"/>
              <w:spacing w:before="0" w:after="0"/>
              <w:jc w:val="center"/>
              <w:rPr>
                <w:rFonts w:cstheme="minorHAnsi"/>
                <w:szCs w:val="20"/>
              </w:rPr>
            </w:pPr>
            <w:r w:rsidRPr="00C54615">
              <w:rPr>
                <w:rFonts w:cstheme="minorHAnsi"/>
                <w:b/>
                <w:bCs/>
                <w:szCs w:val="20"/>
              </w:rPr>
              <w:t>8.677</w:t>
            </w:r>
          </w:p>
        </w:tc>
        <w:tc>
          <w:tcPr>
            <w:tcW w:w="398" w:type="pct"/>
            <w:gridSpan w:val="2"/>
            <w:tcBorders>
              <w:top w:val="single" w:sz="4" w:space="0" w:color="auto"/>
              <w:left w:val="nil"/>
              <w:bottom w:val="single" w:sz="4" w:space="0" w:color="auto"/>
              <w:right w:val="single" w:sz="4" w:space="0" w:color="auto"/>
            </w:tcBorders>
          </w:tcPr>
          <w:p w14:paraId="261353D9" w14:textId="77777777" w:rsidR="00E82023" w:rsidRPr="00C54615" w:rsidRDefault="00E82023" w:rsidP="00E82023">
            <w:pPr>
              <w:pStyle w:val="TableText"/>
              <w:spacing w:before="0" w:after="0"/>
              <w:jc w:val="center"/>
              <w:rPr>
                <w:rFonts w:cstheme="minorHAnsi"/>
                <w:szCs w:val="20"/>
              </w:rPr>
            </w:pPr>
            <w:r w:rsidRPr="00C54615">
              <w:rPr>
                <w:rFonts w:cstheme="minorHAnsi"/>
                <w:b/>
                <w:bCs/>
                <w:szCs w:val="20"/>
              </w:rPr>
              <w:t>8.363</w:t>
            </w:r>
          </w:p>
        </w:tc>
        <w:tc>
          <w:tcPr>
            <w:tcW w:w="565" w:type="pct"/>
            <w:tcBorders>
              <w:top w:val="single" w:sz="4" w:space="0" w:color="auto"/>
              <w:left w:val="nil"/>
              <w:bottom w:val="single" w:sz="4" w:space="0" w:color="auto"/>
              <w:right w:val="single" w:sz="4" w:space="0" w:color="auto"/>
            </w:tcBorders>
          </w:tcPr>
          <w:p w14:paraId="4E847124" w14:textId="77777777" w:rsidR="00E82023" w:rsidRPr="00C54615" w:rsidRDefault="00E82023" w:rsidP="00E82023">
            <w:pPr>
              <w:pStyle w:val="TableText"/>
              <w:spacing w:before="0" w:after="0"/>
              <w:jc w:val="center"/>
              <w:rPr>
                <w:rFonts w:cstheme="minorHAnsi"/>
                <w:szCs w:val="20"/>
              </w:rPr>
            </w:pPr>
            <w:r w:rsidRPr="00C54615">
              <w:rPr>
                <w:rFonts w:cstheme="minorHAnsi"/>
                <w:b/>
                <w:bCs/>
                <w:szCs w:val="20"/>
              </w:rPr>
              <w:t>0.314</w:t>
            </w:r>
          </w:p>
        </w:tc>
        <w:tc>
          <w:tcPr>
            <w:tcW w:w="733" w:type="pct"/>
            <w:tcBorders>
              <w:top w:val="single" w:sz="4" w:space="0" w:color="auto"/>
              <w:left w:val="nil"/>
              <w:bottom w:val="single" w:sz="4" w:space="0" w:color="auto"/>
              <w:right w:val="single" w:sz="4" w:space="0" w:color="auto"/>
            </w:tcBorders>
          </w:tcPr>
          <w:p w14:paraId="49F54C97" w14:textId="6553871C" w:rsidR="00E82023" w:rsidRPr="00051030" w:rsidRDefault="00ED223E" w:rsidP="00E82023">
            <w:pPr>
              <w:pStyle w:val="TableText"/>
              <w:spacing w:before="0" w:after="0"/>
              <w:jc w:val="center"/>
              <w:rPr>
                <w:rFonts w:cstheme="minorHAnsi"/>
                <w:szCs w:val="20"/>
                <w:highlight w:val="yellow"/>
              </w:rPr>
            </w:pPr>
            <w:r w:rsidRPr="00D46BF9">
              <w:rPr>
                <w:rFonts w:cstheme="minorHAnsi"/>
                <w:b/>
                <w:bCs/>
                <w:szCs w:val="20"/>
              </w:rPr>
              <w:t>$</w:t>
            </w:r>
            <w:r w:rsidRPr="00454A7D">
              <w:rPr>
                <w:rFonts w:cstheme="minorHAnsi"/>
                <w:b/>
                <w:bCs/>
                <w:szCs w:val="20"/>
              </w:rPr>
              <w:t>Redacted</w:t>
            </w:r>
            <w:r w:rsidRPr="00D46BF9">
              <w:rPr>
                <w:rFonts w:cstheme="minorHAnsi"/>
                <w:szCs w:val="20"/>
                <w:vertAlign w:val="superscript"/>
              </w:rPr>
              <w:t>1</w:t>
            </w:r>
          </w:p>
        </w:tc>
      </w:tr>
      <w:tr w:rsidR="003322E6" w:rsidRPr="00AB1ABA" w14:paraId="1FA72104"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1C486067" w14:textId="77777777" w:rsidR="003322E6" w:rsidRPr="007722E4" w:rsidRDefault="003322E6" w:rsidP="00AD51B4">
            <w:pPr>
              <w:pStyle w:val="TableText"/>
              <w:spacing w:before="0" w:after="0"/>
              <w:rPr>
                <w:rFonts w:cstheme="minorHAnsi"/>
                <w:szCs w:val="20"/>
              </w:rPr>
            </w:pPr>
            <w:r w:rsidRPr="007722E4">
              <w:rPr>
                <w:rFonts w:cstheme="minorHAnsi"/>
                <w:szCs w:val="20"/>
              </w:rPr>
              <w:t>Discount Rate</w:t>
            </w:r>
          </w:p>
        </w:tc>
      </w:tr>
      <w:tr w:rsidR="00E82023" w:rsidRPr="00AB1ABA" w14:paraId="6420CDAE"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69AA68DF" w14:textId="77777777" w:rsidR="00E82023" w:rsidRPr="00C54615" w:rsidRDefault="00E82023" w:rsidP="00E82023">
            <w:pPr>
              <w:pStyle w:val="TableText"/>
              <w:spacing w:before="0" w:after="0"/>
              <w:rPr>
                <w:rFonts w:cstheme="minorHAnsi"/>
                <w:szCs w:val="20"/>
              </w:rPr>
            </w:pPr>
            <w:r w:rsidRPr="00C54615">
              <w:rPr>
                <w:rFonts w:cstheme="minorHAnsi"/>
                <w:szCs w:val="20"/>
              </w:rPr>
              <w:t>3.50%</w:t>
            </w:r>
          </w:p>
        </w:tc>
        <w:tc>
          <w:tcPr>
            <w:tcW w:w="580" w:type="pct"/>
            <w:gridSpan w:val="2"/>
            <w:tcBorders>
              <w:top w:val="single" w:sz="4" w:space="0" w:color="auto"/>
              <w:left w:val="nil"/>
              <w:bottom w:val="single" w:sz="4" w:space="0" w:color="auto"/>
              <w:right w:val="single" w:sz="4" w:space="0" w:color="auto"/>
            </w:tcBorders>
          </w:tcPr>
          <w:p w14:paraId="49862BB9" w14:textId="010DC40B" w:rsidR="00E82023" w:rsidRPr="00051030" w:rsidRDefault="00E82023" w:rsidP="00E82023">
            <w:pPr>
              <w:pStyle w:val="TableText"/>
              <w:spacing w:before="0" w:after="0"/>
              <w:jc w:val="center"/>
              <w:rPr>
                <w:rFonts w:cstheme="minorHAnsi"/>
                <w:szCs w:val="20"/>
                <w:highlight w:val="yellow"/>
              </w:rPr>
            </w:pPr>
            <w:r w:rsidRPr="002429BE">
              <w:rPr>
                <w:rFonts w:cstheme="minorHAnsi"/>
                <w:szCs w:val="20"/>
              </w:rPr>
              <w:t>$</w:t>
            </w:r>
            <w:r w:rsidRPr="002429BE">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3B482396" w14:textId="688C9FAD" w:rsidR="00E82023" w:rsidRPr="00051030" w:rsidRDefault="00E82023" w:rsidP="00E82023">
            <w:pPr>
              <w:pStyle w:val="TableText"/>
              <w:spacing w:before="0" w:after="0"/>
              <w:jc w:val="center"/>
              <w:rPr>
                <w:rFonts w:cstheme="minorHAnsi"/>
                <w:szCs w:val="20"/>
                <w:highlight w:val="yellow"/>
              </w:rPr>
            </w:pPr>
            <w:r w:rsidRPr="002429BE">
              <w:rPr>
                <w:rFonts w:cstheme="minorHAnsi"/>
                <w:szCs w:val="20"/>
              </w:rPr>
              <w:t>$</w:t>
            </w:r>
            <w:r w:rsidRPr="002429BE">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598A00FD" w14:textId="0DC40534" w:rsidR="00E82023" w:rsidRPr="00051030" w:rsidRDefault="00E82023" w:rsidP="00E82023">
            <w:pPr>
              <w:pStyle w:val="TableText"/>
              <w:spacing w:before="0" w:after="0"/>
              <w:jc w:val="center"/>
              <w:rPr>
                <w:rFonts w:cstheme="minorHAnsi"/>
                <w:szCs w:val="20"/>
                <w:highlight w:val="yellow"/>
              </w:rPr>
            </w:pPr>
            <w:r w:rsidRPr="002429BE">
              <w:rPr>
                <w:rFonts w:cstheme="minorHAnsi"/>
                <w:szCs w:val="20"/>
              </w:rPr>
              <w:t>$</w:t>
            </w:r>
            <w:r w:rsidRPr="002429BE">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1E54DF66"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9.971</w:t>
            </w:r>
          </w:p>
        </w:tc>
        <w:tc>
          <w:tcPr>
            <w:tcW w:w="398" w:type="pct"/>
            <w:gridSpan w:val="2"/>
            <w:tcBorders>
              <w:top w:val="single" w:sz="4" w:space="0" w:color="auto"/>
              <w:left w:val="nil"/>
              <w:bottom w:val="single" w:sz="4" w:space="0" w:color="auto"/>
              <w:right w:val="single" w:sz="4" w:space="0" w:color="auto"/>
            </w:tcBorders>
          </w:tcPr>
          <w:p w14:paraId="390B1EB4"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9.606</w:t>
            </w:r>
          </w:p>
        </w:tc>
        <w:tc>
          <w:tcPr>
            <w:tcW w:w="565" w:type="pct"/>
            <w:tcBorders>
              <w:top w:val="single" w:sz="4" w:space="0" w:color="auto"/>
              <w:left w:val="nil"/>
              <w:bottom w:val="single" w:sz="4" w:space="0" w:color="auto"/>
              <w:right w:val="single" w:sz="4" w:space="0" w:color="auto"/>
            </w:tcBorders>
          </w:tcPr>
          <w:p w14:paraId="7AA5A046"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0.365</w:t>
            </w:r>
          </w:p>
        </w:tc>
        <w:tc>
          <w:tcPr>
            <w:tcW w:w="733" w:type="pct"/>
            <w:tcBorders>
              <w:top w:val="single" w:sz="4" w:space="0" w:color="auto"/>
              <w:left w:val="nil"/>
              <w:bottom w:val="single" w:sz="4" w:space="0" w:color="auto"/>
              <w:right w:val="single" w:sz="4" w:space="0" w:color="auto"/>
            </w:tcBorders>
          </w:tcPr>
          <w:p w14:paraId="3F02A92C" w14:textId="54146BB8"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sidRPr="00D46BF9">
              <w:rPr>
                <w:rFonts w:cstheme="minorHAnsi"/>
                <w:szCs w:val="20"/>
                <w:vertAlign w:val="superscript"/>
              </w:rPr>
              <w:t>1</w:t>
            </w:r>
          </w:p>
        </w:tc>
      </w:tr>
      <w:tr w:rsidR="00E82023" w:rsidRPr="00AB1ABA" w14:paraId="4F460FB4"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597F7E1A" w14:textId="77777777" w:rsidR="00E82023" w:rsidRPr="00C54615" w:rsidRDefault="00E82023" w:rsidP="00E82023">
            <w:pPr>
              <w:pStyle w:val="TableText"/>
              <w:spacing w:before="0" w:after="0"/>
              <w:rPr>
                <w:rFonts w:cstheme="minorHAnsi"/>
                <w:szCs w:val="20"/>
              </w:rPr>
            </w:pPr>
            <w:r w:rsidRPr="00C54615">
              <w:rPr>
                <w:rFonts w:cstheme="minorHAnsi"/>
                <w:szCs w:val="20"/>
              </w:rPr>
              <w:t>0.00%</w:t>
            </w:r>
          </w:p>
        </w:tc>
        <w:tc>
          <w:tcPr>
            <w:tcW w:w="580" w:type="pct"/>
            <w:gridSpan w:val="2"/>
            <w:tcBorders>
              <w:top w:val="single" w:sz="4" w:space="0" w:color="auto"/>
              <w:left w:val="nil"/>
              <w:bottom w:val="single" w:sz="4" w:space="0" w:color="auto"/>
              <w:right w:val="single" w:sz="4" w:space="0" w:color="auto"/>
            </w:tcBorders>
          </w:tcPr>
          <w:p w14:paraId="0B1588E2" w14:textId="4AB68D91" w:rsidR="00E82023" w:rsidRPr="00051030" w:rsidRDefault="00E82023" w:rsidP="00E82023">
            <w:pPr>
              <w:pStyle w:val="TableText"/>
              <w:spacing w:before="0" w:after="0"/>
              <w:jc w:val="center"/>
              <w:rPr>
                <w:rFonts w:cstheme="minorHAnsi"/>
                <w:szCs w:val="20"/>
                <w:highlight w:val="yellow"/>
              </w:rPr>
            </w:pPr>
            <w:r w:rsidRPr="002429BE">
              <w:rPr>
                <w:rFonts w:cstheme="minorHAnsi"/>
                <w:szCs w:val="20"/>
              </w:rPr>
              <w:t>$</w:t>
            </w:r>
            <w:r w:rsidRPr="002429BE">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54310CFC" w14:textId="25B17E10" w:rsidR="00E82023" w:rsidRPr="00051030" w:rsidRDefault="00E82023" w:rsidP="00E82023">
            <w:pPr>
              <w:pStyle w:val="TableText"/>
              <w:spacing w:before="0" w:after="0"/>
              <w:jc w:val="center"/>
              <w:rPr>
                <w:rFonts w:cstheme="minorHAnsi"/>
                <w:szCs w:val="20"/>
                <w:highlight w:val="yellow"/>
              </w:rPr>
            </w:pPr>
            <w:r w:rsidRPr="002429BE">
              <w:rPr>
                <w:rFonts w:cstheme="minorHAnsi"/>
                <w:szCs w:val="20"/>
              </w:rPr>
              <w:t>$</w:t>
            </w:r>
            <w:r w:rsidRPr="002429BE">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78CBF2F0" w14:textId="6980482C" w:rsidR="00E82023" w:rsidRPr="00051030" w:rsidRDefault="00E82023" w:rsidP="00E82023">
            <w:pPr>
              <w:pStyle w:val="TableText"/>
              <w:spacing w:before="0" w:after="0"/>
              <w:jc w:val="center"/>
              <w:rPr>
                <w:rFonts w:cstheme="minorHAnsi"/>
                <w:szCs w:val="20"/>
                <w:highlight w:val="yellow"/>
              </w:rPr>
            </w:pPr>
            <w:r>
              <w:rPr>
                <w:rFonts w:cstheme="minorHAnsi"/>
                <w:szCs w:val="20"/>
              </w:rPr>
              <w:t>-</w:t>
            </w:r>
            <w:r w:rsidRPr="002429BE">
              <w:rPr>
                <w:rFonts w:cstheme="minorHAnsi"/>
                <w:szCs w:val="20"/>
              </w:rPr>
              <w:t>$</w:t>
            </w:r>
            <w:r w:rsidRPr="002429BE">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4333E7C2"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14.875</w:t>
            </w:r>
          </w:p>
        </w:tc>
        <w:tc>
          <w:tcPr>
            <w:tcW w:w="398" w:type="pct"/>
            <w:gridSpan w:val="2"/>
            <w:tcBorders>
              <w:top w:val="single" w:sz="4" w:space="0" w:color="auto"/>
              <w:left w:val="nil"/>
              <w:bottom w:val="single" w:sz="4" w:space="0" w:color="auto"/>
              <w:right w:val="single" w:sz="4" w:space="0" w:color="auto"/>
            </w:tcBorders>
          </w:tcPr>
          <w:p w14:paraId="394EE002"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14.310</w:t>
            </w:r>
          </w:p>
        </w:tc>
        <w:tc>
          <w:tcPr>
            <w:tcW w:w="565" w:type="pct"/>
            <w:tcBorders>
              <w:top w:val="single" w:sz="4" w:space="0" w:color="auto"/>
              <w:left w:val="nil"/>
              <w:bottom w:val="single" w:sz="4" w:space="0" w:color="auto"/>
              <w:right w:val="single" w:sz="4" w:space="0" w:color="auto"/>
            </w:tcBorders>
          </w:tcPr>
          <w:p w14:paraId="21F48119"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0.566</w:t>
            </w:r>
          </w:p>
        </w:tc>
        <w:tc>
          <w:tcPr>
            <w:tcW w:w="733" w:type="pct"/>
            <w:tcBorders>
              <w:top w:val="single" w:sz="4" w:space="0" w:color="auto"/>
              <w:left w:val="nil"/>
              <w:bottom w:val="single" w:sz="4" w:space="0" w:color="auto"/>
              <w:right w:val="single" w:sz="4" w:space="0" w:color="auto"/>
            </w:tcBorders>
          </w:tcPr>
          <w:p w14:paraId="3C0963CA" w14:textId="77777777" w:rsidR="00E82023" w:rsidRPr="00051030" w:rsidRDefault="00E82023" w:rsidP="00E82023">
            <w:pPr>
              <w:pStyle w:val="TableText"/>
              <w:spacing w:before="0" w:after="0"/>
              <w:jc w:val="center"/>
              <w:rPr>
                <w:rFonts w:cstheme="minorHAnsi"/>
                <w:szCs w:val="20"/>
                <w:highlight w:val="yellow"/>
              </w:rPr>
            </w:pPr>
            <w:r w:rsidRPr="00E82023">
              <w:rPr>
                <w:rFonts w:cstheme="minorHAnsi"/>
                <w:szCs w:val="20"/>
              </w:rPr>
              <w:t xml:space="preserve">Dominant </w:t>
            </w:r>
          </w:p>
        </w:tc>
      </w:tr>
      <w:tr w:rsidR="003322E6" w:rsidRPr="00AB1ABA" w14:paraId="09DD1825"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4DD545A1" w14:textId="77777777" w:rsidR="003322E6" w:rsidRPr="007722E4" w:rsidRDefault="003322E6" w:rsidP="00AD51B4">
            <w:pPr>
              <w:pStyle w:val="TableText"/>
              <w:spacing w:before="0" w:after="0"/>
              <w:rPr>
                <w:rFonts w:cstheme="minorHAnsi"/>
                <w:szCs w:val="20"/>
              </w:rPr>
            </w:pPr>
            <w:r w:rsidRPr="007722E4">
              <w:rPr>
                <w:rFonts w:cstheme="minorHAnsi"/>
                <w:szCs w:val="20"/>
              </w:rPr>
              <w:t>HbA1c Effect</w:t>
            </w:r>
          </w:p>
        </w:tc>
      </w:tr>
      <w:tr w:rsidR="00E82023" w:rsidRPr="00AB1ABA" w14:paraId="309618DE"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01F3F114"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HbA1c treatment effect −0.8% (95% LCL)  </w:t>
            </w:r>
          </w:p>
        </w:tc>
        <w:tc>
          <w:tcPr>
            <w:tcW w:w="580" w:type="pct"/>
            <w:gridSpan w:val="2"/>
            <w:tcBorders>
              <w:top w:val="single" w:sz="4" w:space="0" w:color="auto"/>
              <w:left w:val="nil"/>
              <w:bottom w:val="single" w:sz="4" w:space="0" w:color="auto"/>
              <w:right w:val="single" w:sz="4" w:space="0" w:color="auto"/>
            </w:tcBorders>
          </w:tcPr>
          <w:p w14:paraId="06743122" w14:textId="7603D0F9" w:rsidR="00E82023" w:rsidRPr="00051030" w:rsidRDefault="00E82023" w:rsidP="00E82023">
            <w:pPr>
              <w:pStyle w:val="TableText"/>
              <w:spacing w:before="0" w:after="0"/>
              <w:jc w:val="center"/>
              <w:rPr>
                <w:rFonts w:cstheme="minorHAnsi"/>
                <w:szCs w:val="20"/>
                <w:highlight w:val="yellow"/>
              </w:rPr>
            </w:pPr>
            <w:r w:rsidRPr="00407A1E">
              <w:rPr>
                <w:rFonts w:cstheme="minorHAnsi"/>
                <w:szCs w:val="20"/>
              </w:rPr>
              <w:t>$</w:t>
            </w:r>
            <w:r w:rsidRPr="00407A1E">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328DA6EB" w14:textId="59C4371D" w:rsidR="00E82023" w:rsidRPr="00051030" w:rsidRDefault="00E82023" w:rsidP="00E82023">
            <w:pPr>
              <w:pStyle w:val="TableText"/>
              <w:spacing w:before="0" w:after="0"/>
              <w:jc w:val="center"/>
              <w:rPr>
                <w:rFonts w:cstheme="minorHAnsi"/>
                <w:szCs w:val="20"/>
                <w:highlight w:val="yellow"/>
              </w:rPr>
            </w:pPr>
            <w:r w:rsidRPr="00407A1E">
              <w:rPr>
                <w:rFonts w:cstheme="minorHAnsi"/>
                <w:szCs w:val="20"/>
              </w:rPr>
              <w:t>$</w:t>
            </w:r>
            <w:r w:rsidRPr="00407A1E">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7F494D5D" w14:textId="5A1C64D1" w:rsidR="00E82023" w:rsidRPr="00051030" w:rsidRDefault="00E82023" w:rsidP="00E82023">
            <w:pPr>
              <w:pStyle w:val="TableText"/>
              <w:spacing w:before="0" w:after="0"/>
              <w:jc w:val="center"/>
              <w:rPr>
                <w:rFonts w:cstheme="minorHAnsi"/>
                <w:szCs w:val="20"/>
                <w:highlight w:val="yellow"/>
              </w:rPr>
            </w:pPr>
            <w:r>
              <w:rPr>
                <w:rFonts w:cstheme="minorHAnsi"/>
                <w:szCs w:val="20"/>
              </w:rPr>
              <w:t>-</w:t>
            </w:r>
            <w:r w:rsidRPr="00407A1E">
              <w:rPr>
                <w:rFonts w:cstheme="minorHAnsi"/>
                <w:szCs w:val="20"/>
              </w:rPr>
              <w:t>$</w:t>
            </w:r>
            <w:r w:rsidRPr="00407A1E">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3A29EF18"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8.727</w:t>
            </w:r>
          </w:p>
        </w:tc>
        <w:tc>
          <w:tcPr>
            <w:tcW w:w="398" w:type="pct"/>
            <w:gridSpan w:val="2"/>
            <w:tcBorders>
              <w:top w:val="single" w:sz="4" w:space="0" w:color="auto"/>
              <w:left w:val="nil"/>
              <w:bottom w:val="single" w:sz="4" w:space="0" w:color="auto"/>
              <w:right w:val="single" w:sz="4" w:space="0" w:color="auto"/>
            </w:tcBorders>
          </w:tcPr>
          <w:p w14:paraId="75C64927"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8.363</w:t>
            </w:r>
          </w:p>
        </w:tc>
        <w:tc>
          <w:tcPr>
            <w:tcW w:w="565" w:type="pct"/>
            <w:tcBorders>
              <w:top w:val="single" w:sz="4" w:space="0" w:color="auto"/>
              <w:left w:val="nil"/>
              <w:bottom w:val="single" w:sz="4" w:space="0" w:color="auto"/>
              <w:right w:val="single" w:sz="4" w:space="0" w:color="auto"/>
            </w:tcBorders>
          </w:tcPr>
          <w:p w14:paraId="52F14A6A"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0.364</w:t>
            </w:r>
          </w:p>
        </w:tc>
        <w:tc>
          <w:tcPr>
            <w:tcW w:w="733" w:type="pct"/>
            <w:tcBorders>
              <w:top w:val="single" w:sz="4" w:space="0" w:color="auto"/>
              <w:left w:val="nil"/>
              <w:bottom w:val="single" w:sz="4" w:space="0" w:color="auto"/>
              <w:right w:val="single" w:sz="4" w:space="0" w:color="auto"/>
            </w:tcBorders>
          </w:tcPr>
          <w:p w14:paraId="0DC0980E" w14:textId="77777777" w:rsidR="00E82023" w:rsidRPr="00E82023" w:rsidRDefault="00E82023" w:rsidP="00E82023">
            <w:pPr>
              <w:pStyle w:val="TableText"/>
              <w:spacing w:before="0" w:after="0"/>
              <w:jc w:val="center"/>
              <w:rPr>
                <w:rFonts w:cstheme="minorHAnsi"/>
                <w:szCs w:val="20"/>
              </w:rPr>
            </w:pPr>
            <w:r w:rsidRPr="00E82023">
              <w:rPr>
                <w:rFonts w:cstheme="minorHAnsi"/>
                <w:szCs w:val="20"/>
              </w:rPr>
              <w:t>Dominant</w:t>
            </w:r>
          </w:p>
        </w:tc>
      </w:tr>
      <w:tr w:rsidR="00E82023" w:rsidRPr="00AB1ABA" w14:paraId="2B333290"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0944D6F1"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HbA1c treatment effect −0.1% (95% UCL) </w:t>
            </w:r>
          </w:p>
        </w:tc>
        <w:tc>
          <w:tcPr>
            <w:tcW w:w="580" w:type="pct"/>
            <w:gridSpan w:val="2"/>
            <w:tcBorders>
              <w:top w:val="single" w:sz="4" w:space="0" w:color="auto"/>
              <w:left w:val="nil"/>
              <w:bottom w:val="single" w:sz="4" w:space="0" w:color="auto"/>
              <w:right w:val="single" w:sz="4" w:space="0" w:color="auto"/>
            </w:tcBorders>
          </w:tcPr>
          <w:p w14:paraId="30F68A4F" w14:textId="62CB372B" w:rsidR="00E82023" w:rsidRPr="00051030" w:rsidRDefault="00E82023" w:rsidP="00E82023">
            <w:pPr>
              <w:pStyle w:val="TableText"/>
              <w:spacing w:before="0" w:after="0"/>
              <w:jc w:val="center"/>
              <w:rPr>
                <w:rFonts w:cstheme="minorHAnsi"/>
                <w:szCs w:val="20"/>
                <w:highlight w:val="yellow"/>
              </w:rPr>
            </w:pPr>
            <w:r w:rsidRPr="00407A1E">
              <w:rPr>
                <w:rFonts w:cstheme="minorHAnsi"/>
                <w:szCs w:val="20"/>
              </w:rPr>
              <w:t>$</w:t>
            </w:r>
            <w:r w:rsidRPr="00407A1E">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7D24B95C" w14:textId="31298518" w:rsidR="00E82023" w:rsidRPr="00051030" w:rsidRDefault="00E82023" w:rsidP="00E82023">
            <w:pPr>
              <w:pStyle w:val="TableText"/>
              <w:spacing w:before="0" w:after="0"/>
              <w:jc w:val="center"/>
              <w:rPr>
                <w:rFonts w:cstheme="minorHAnsi"/>
                <w:szCs w:val="20"/>
                <w:highlight w:val="yellow"/>
              </w:rPr>
            </w:pPr>
            <w:r w:rsidRPr="00407A1E">
              <w:rPr>
                <w:rFonts w:cstheme="minorHAnsi"/>
                <w:szCs w:val="20"/>
              </w:rPr>
              <w:t>$</w:t>
            </w:r>
            <w:r w:rsidRPr="00407A1E">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04E7F543" w14:textId="6A140BE5" w:rsidR="00E82023" w:rsidRPr="00051030" w:rsidRDefault="00E82023" w:rsidP="00E82023">
            <w:pPr>
              <w:pStyle w:val="TableText"/>
              <w:spacing w:before="0" w:after="0"/>
              <w:jc w:val="center"/>
              <w:rPr>
                <w:rFonts w:cstheme="minorHAnsi"/>
                <w:szCs w:val="20"/>
                <w:highlight w:val="yellow"/>
              </w:rPr>
            </w:pPr>
            <w:r w:rsidRPr="00407A1E">
              <w:rPr>
                <w:rFonts w:cstheme="minorHAnsi"/>
                <w:szCs w:val="20"/>
              </w:rPr>
              <w:t>$</w:t>
            </w:r>
            <w:r w:rsidRPr="00407A1E">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51B8C21D"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8.651</w:t>
            </w:r>
          </w:p>
        </w:tc>
        <w:tc>
          <w:tcPr>
            <w:tcW w:w="398" w:type="pct"/>
            <w:gridSpan w:val="2"/>
            <w:tcBorders>
              <w:top w:val="single" w:sz="4" w:space="0" w:color="auto"/>
              <w:left w:val="nil"/>
              <w:bottom w:val="single" w:sz="4" w:space="0" w:color="auto"/>
              <w:right w:val="single" w:sz="4" w:space="0" w:color="auto"/>
            </w:tcBorders>
          </w:tcPr>
          <w:p w14:paraId="37FBA3E8"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8.363</w:t>
            </w:r>
          </w:p>
        </w:tc>
        <w:tc>
          <w:tcPr>
            <w:tcW w:w="565" w:type="pct"/>
            <w:tcBorders>
              <w:top w:val="single" w:sz="4" w:space="0" w:color="auto"/>
              <w:left w:val="nil"/>
              <w:bottom w:val="single" w:sz="4" w:space="0" w:color="auto"/>
              <w:right w:val="single" w:sz="4" w:space="0" w:color="auto"/>
            </w:tcBorders>
          </w:tcPr>
          <w:p w14:paraId="4BCBDF29"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0.289</w:t>
            </w:r>
          </w:p>
        </w:tc>
        <w:tc>
          <w:tcPr>
            <w:tcW w:w="733" w:type="pct"/>
            <w:tcBorders>
              <w:top w:val="single" w:sz="4" w:space="0" w:color="auto"/>
              <w:left w:val="nil"/>
              <w:bottom w:val="single" w:sz="4" w:space="0" w:color="auto"/>
              <w:right w:val="single" w:sz="4" w:space="0" w:color="auto"/>
            </w:tcBorders>
          </w:tcPr>
          <w:p w14:paraId="673D069A" w14:textId="3C239750" w:rsidR="00E82023" w:rsidRPr="00051030" w:rsidRDefault="00ED223E" w:rsidP="00E82023">
            <w:pPr>
              <w:pStyle w:val="TableText"/>
              <w:spacing w:before="0" w:after="0"/>
              <w:jc w:val="center"/>
              <w:rPr>
                <w:rFonts w:cstheme="minorHAnsi"/>
                <w:szCs w:val="20"/>
                <w:highlight w:val="yellow"/>
              </w:rPr>
            </w:pPr>
            <w:r w:rsidRPr="00D46BF9">
              <w:rPr>
                <w:rFonts w:cstheme="minorHAnsi"/>
                <w:szCs w:val="20"/>
              </w:rPr>
              <w:t>$</w:t>
            </w:r>
            <w:r w:rsidRPr="00454A7D">
              <w:rPr>
                <w:rFonts w:cstheme="minorHAnsi"/>
                <w:b/>
                <w:bCs/>
                <w:szCs w:val="20"/>
              </w:rPr>
              <w:t>Redacted</w:t>
            </w:r>
            <w:r>
              <w:rPr>
                <w:rFonts w:cstheme="minorHAnsi"/>
                <w:szCs w:val="20"/>
                <w:vertAlign w:val="superscript"/>
              </w:rPr>
              <w:t>5</w:t>
            </w:r>
          </w:p>
        </w:tc>
      </w:tr>
      <w:tr w:rsidR="003322E6" w:rsidRPr="00AB1ABA" w14:paraId="180D8174"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66279860" w14:textId="77777777" w:rsidR="003322E6" w:rsidRPr="007722E4" w:rsidRDefault="003322E6" w:rsidP="00AD51B4">
            <w:pPr>
              <w:pStyle w:val="TableText"/>
              <w:spacing w:before="0" w:after="0"/>
              <w:rPr>
                <w:rFonts w:cstheme="minorHAnsi"/>
                <w:szCs w:val="20"/>
              </w:rPr>
            </w:pPr>
            <w:r w:rsidRPr="007722E4">
              <w:rPr>
                <w:rFonts w:cstheme="minorHAnsi"/>
                <w:szCs w:val="20"/>
              </w:rPr>
              <w:t>Duration of Hba1c Effect (e.g., 7 years constant converging to zero at 8 years)</w:t>
            </w:r>
          </w:p>
        </w:tc>
      </w:tr>
      <w:tr w:rsidR="00E82023" w:rsidRPr="00AB1ABA" w14:paraId="060FC2EE"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592C0C2A"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7 years constant converging at 8 years </w:t>
            </w:r>
          </w:p>
        </w:tc>
        <w:tc>
          <w:tcPr>
            <w:tcW w:w="580" w:type="pct"/>
            <w:gridSpan w:val="2"/>
            <w:tcBorders>
              <w:top w:val="single" w:sz="4" w:space="0" w:color="auto"/>
              <w:left w:val="nil"/>
              <w:bottom w:val="single" w:sz="4" w:space="0" w:color="auto"/>
              <w:right w:val="single" w:sz="4" w:space="0" w:color="auto"/>
            </w:tcBorders>
          </w:tcPr>
          <w:p w14:paraId="09DB9CF9" w14:textId="3769350C" w:rsidR="00E82023" w:rsidRPr="00051030" w:rsidRDefault="00E82023" w:rsidP="00E82023">
            <w:pPr>
              <w:pStyle w:val="TableText"/>
              <w:spacing w:before="0" w:after="0"/>
              <w:jc w:val="center"/>
              <w:rPr>
                <w:rFonts w:cstheme="minorHAnsi"/>
                <w:szCs w:val="20"/>
                <w:highlight w:val="yellow"/>
              </w:rPr>
            </w:pPr>
            <w:r w:rsidRPr="0002391E">
              <w:rPr>
                <w:rFonts w:cstheme="minorHAnsi"/>
                <w:szCs w:val="20"/>
              </w:rPr>
              <w:t>$</w:t>
            </w:r>
            <w:r w:rsidRPr="0002391E">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4921BDA5" w14:textId="74038F2C" w:rsidR="00E82023" w:rsidRPr="00051030" w:rsidRDefault="00E82023" w:rsidP="00E82023">
            <w:pPr>
              <w:pStyle w:val="TableText"/>
              <w:spacing w:before="0" w:after="0"/>
              <w:jc w:val="center"/>
              <w:rPr>
                <w:rFonts w:cstheme="minorHAnsi"/>
                <w:szCs w:val="20"/>
                <w:highlight w:val="yellow"/>
              </w:rPr>
            </w:pPr>
            <w:r w:rsidRPr="0002391E">
              <w:rPr>
                <w:rFonts w:cstheme="minorHAnsi"/>
                <w:szCs w:val="20"/>
              </w:rPr>
              <w:t>$</w:t>
            </w:r>
            <w:r w:rsidRPr="0002391E">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2E753DD5" w14:textId="2C8F043C" w:rsidR="00E82023" w:rsidRPr="00051030" w:rsidRDefault="00E82023" w:rsidP="00E82023">
            <w:pPr>
              <w:pStyle w:val="TableText"/>
              <w:spacing w:before="0" w:after="0"/>
              <w:jc w:val="center"/>
              <w:rPr>
                <w:rFonts w:cstheme="minorHAnsi"/>
                <w:szCs w:val="20"/>
                <w:highlight w:val="yellow"/>
              </w:rPr>
            </w:pPr>
            <w:r w:rsidRPr="0002391E">
              <w:rPr>
                <w:rFonts w:cstheme="minorHAnsi"/>
                <w:szCs w:val="20"/>
              </w:rPr>
              <w:t>$</w:t>
            </w:r>
            <w:r w:rsidRPr="0002391E">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62D1D484"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8.655</w:t>
            </w:r>
          </w:p>
        </w:tc>
        <w:tc>
          <w:tcPr>
            <w:tcW w:w="398" w:type="pct"/>
            <w:gridSpan w:val="2"/>
            <w:tcBorders>
              <w:top w:val="single" w:sz="4" w:space="0" w:color="auto"/>
              <w:left w:val="nil"/>
              <w:bottom w:val="single" w:sz="4" w:space="0" w:color="auto"/>
              <w:right w:val="single" w:sz="4" w:space="0" w:color="auto"/>
            </w:tcBorders>
          </w:tcPr>
          <w:p w14:paraId="26D2B860"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8.363</w:t>
            </w:r>
          </w:p>
        </w:tc>
        <w:tc>
          <w:tcPr>
            <w:tcW w:w="565" w:type="pct"/>
            <w:tcBorders>
              <w:top w:val="single" w:sz="4" w:space="0" w:color="auto"/>
              <w:left w:val="nil"/>
              <w:bottom w:val="single" w:sz="4" w:space="0" w:color="auto"/>
              <w:right w:val="single" w:sz="4" w:space="0" w:color="auto"/>
            </w:tcBorders>
          </w:tcPr>
          <w:p w14:paraId="7CF80E57"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0,292</w:t>
            </w:r>
          </w:p>
        </w:tc>
        <w:tc>
          <w:tcPr>
            <w:tcW w:w="733" w:type="pct"/>
            <w:tcBorders>
              <w:top w:val="single" w:sz="4" w:space="0" w:color="auto"/>
              <w:left w:val="nil"/>
              <w:bottom w:val="single" w:sz="4" w:space="0" w:color="auto"/>
              <w:right w:val="single" w:sz="4" w:space="0" w:color="auto"/>
            </w:tcBorders>
          </w:tcPr>
          <w:p w14:paraId="534B2D25" w14:textId="7A2152A3" w:rsidR="00E82023" w:rsidRPr="00051030" w:rsidRDefault="00ED223E" w:rsidP="00E82023">
            <w:pPr>
              <w:pStyle w:val="TableText"/>
              <w:spacing w:before="0" w:after="0"/>
              <w:jc w:val="center"/>
              <w:rPr>
                <w:rFonts w:cstheme="minorHAnsi"/>
                <w:szCs w:val="20"/>
                <w:highlight w:val="yellow"/>
              </w:rPr>
            </w:pPr>
            <w:r w:rsidRPr="00D46BF9">
              <w:rPr>
                <w:rFonts w:cstheme="minorHAnsi"/>
                <w:szCs w:val="20"/>
              </w:rPr>
              <w:t>$</w:t>
            </w:r>
            <w:r w:rsidRPr="00454A7D">
              <w:rPr>
                <w:rFonts w:cstheme="minorHAnsi"/>
                <w:b/>
                <w:bCs/>
                <w:szCs w:val="20"/>
              </w:rPr>
              <w:t>Redacted</w:t>
            </w:r>
            <w:r>
              <w:rPr>
                <w:rFonts w:cstheme="minorHAnsi"/>
                <w:szCs w:val="20"/>
                <w:vertAlign w:val="superscript"/>
              </w:rPr>
              <w:t>6</w:t>
            </w:r>
          </w:p>
        </w:tc>
      </w:tr>
      <w:tr w:rsidR="00E82023" w:rsidRPr="00AB1ABA" w14:paraId="171C834F"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25B5D9D0" w14:textId="77777777" w:rsidR="00E82023" w:rsidRPr="00C54615" w:rsidRDefault="00E82023" w:rsidP="00E82023">
            <w:pPr>
              <w:pStyle w:val="TableText"/>
              <w:spacing w:before="0" w:after="0"/>
              <w:rPr>
                <w:rFonts w:cstheme="minorHAnsi"/>
                <w:szCs w:val="20"/>
              </w:rPr>
            </w:pPr>
            <w:r w:rsidRPr="00C54615">
              <w:rPr>
                <w:rFonts w:cstheme="minorHAnsi"/>
                <w:szCs w:val="20"/>
              </w:rPr>
              <w:lastRenderedPageBreak/>
              <w:t xml:space="preserve">7 years constant converging at 14 years </w:t>
            </w:r>
          </w:p>
        </w:tc>
        <w:tc>
          <w:tcPr>
            <w:tcW w:w="580" w:type="pct"/>
            <w:gridSpan w:val="2"/>
            <w:tcBorders>
              <w:top w:val="single" w:sz="4" w:space="0" w:color="auto"/>
              <w:left w:val="nil"/>
              <w:bottom w:val="single" w:sz="4" w:space="0" w:color="auto"/>
              <w:right w:val="single" w:sz="4" w:space="0" w:color="auto"/>
            </w:tcBorders>
          </w:tcPr>
          <w:p w14:paraId="4C71C0A0" w14:textId="138B6069" w:rsidR="00E82023" w:rsidRPr="00051030" w:rsidRDefault="00E82023" w:rsidP="00E82023">
            <w:pPr>
              <w:pStyle w:val="TableText"/>
              <w:spacing w:before="0" w:after="0"/>
              <w:jc w:val="center"/>
              <w:rPr>
                <w:rFonts w:cstheme="minorHAnsi"/>
                <w:szCs w:val="20"/>
                <w:highlight w:val="yellow"/>
              </w:rPr>
            </w:pPr>
            <w:r w:rsidRPr="0002391E">
              <w:rPr>
                <w:rFonts w:cstheme="minorHAnsi"/>
                <w:szCs w:val="20"/>
              </w:rPr>
              <w:t>$</w:t>
            </w:r>
            <w:r w:rsidRPr="0002391E">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42F79F94" w14:textId="42658D8A" w:rsidR="00E82023" w:rsidRPr="00051030" w:rsidRDefault="00E82023" w:rsidP="00E82023">
            <w:pPr>
              <w:pStyle w:val="TableText"/>
              <w:spacing w:before="0" w:after="0"/>
              <w:jc w:val="center"/>
              <w:rPr>
                <w:rFonts w:cstheme="minorHAnsi"/>
                <w:szCs w:val="20"/>
                <w:highlight w:val="yellow"/>
              </w:rPr>
            </w:pPr>
            <w:r w:rsidRPr="0002391E">
              <w:rPr>
                <w:rFonts w:cstheme="minorHAnsi"/>
                <w:szCs w:val="20"/>
              </w:rPr>
              <w:t>$</w:t>
            </w:r>
            <w:r w:rsidRPr="0002391E">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30B1C85C" w14:textId="130C41E9" w:rsidR="00E82023" w:rsidRPr="00051030" w:rsidRDefault="00E82023" w:rsidP="00E82023">
            <w:pPr>
              <w:pStyle w:val="TableText"/>
              <w:spacing w:before="0" w:after="0"/>
              <w:jc w:val="center"/>
              <w:rPr>
                <w:rFonts w:cstheme="minorHAnsi"/>
                <w:szCs w:val="20"/>
                <w:highlight w:val="yellow"/>
              </w:rPr>
            </w:pPr>
            <w:r w:rsidRPr="0002391E">
              <w:rPr>
                <w:rFonts w:cstheme="minorHAnsi"/>
                <w:szCs w:val="20"/>
              </w:rPr>
              <w:t>$</w:t>
            </w:r>
            <w:r w:rsidRPr="0002391E">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2F6031DD"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8.662</w:t>
            </w:r>
          </w:p>
        </w:tc>
        <w:tc>
          <w:tcPr>
            <w:tcW w:w="398" w:type="pct"/>
            <w:gridSpan w:val="2"/>
            <w:tcBorders>
              <w:top w:val="single" w:sz="4" w:space="0" w:color="auto"/>
              <w:left w:val="nil"/>
              <w:bottom w:val="single" w:sz="4" w:space="0" w:color="auto"/>
              <w:right w:val="single" w:sz="4" w:space="0" w:color="auto"/>
            </w:tcBorders>
          </w:tcPr>
          <w:p w14:paraId="1865A6DB"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8.363</w:t>
            </w:r>
          </w:p>
        </w:tc>
        <w:tc>
          <w:tcPr>
            <w:tcW w:w="565" w:type="pct"/>
            <w:tcBorders>
              <w:top w:val="single" w:sz="4" w:space="0" w:color="auto"/>
              <w:left w:val="nil"/>
              <w:bottom w:val="single" w:sz="4" w:space="0" w:color="auto"/>
              <w:right w:val="single" w:sz="4" w:space="0" w:color="auto"/>
            </w:tcBorders>
          </w:tcPr>
          <w:p w14:paraId="0EBEE28C"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0.299</w:t>
            </w:r>
          </w:p>
        </w:tc>
        <w:tc>
          <w:tcPr>
            <w:tcW w:w="733" w:type="pct"/>
            <w:tcBorders>
              <w:top w:val="single" w:sz="4" w:space="0" w:color="auto"/>
              <w:left w:val="nil"/>
              <w:bottom w:val="single" w:sz="4" w:space="0" w:color="auto"/>
              <w:right w:val="single" w:sz="4" w:space="0" w:color="auto"/>
            </w:tcBorders>
          </w:tcPr>
          <w:p w14:paraId="4C05D72C" w14:textId="0D8DB266" w:rsidR="00E82023" w:rsidRPr="00051030" w:rsidRDefault="00ED223E" w:rsidP="00E82023">
            <w:pPr>
              <w:pStyle w:val="TableText"/>
              <w:spacing w:before="0" w:after="0"/>
              <w:jc w:val="center"/>
              <w:rPr>
                <w:rFonts w:cstheme="minorHAnsi"/>
                <w:szCs w:val="20"/>
                <w:highlight w:val="yellow"/>
              </w:rPr>
            </w:pPr>
            <w:r w:rsidRPr="00D46BF9">
              <w:rPr>
                <w:rFonts w:cstheme="minorHAnsi"/>
                <w:szCs w:val="20"/>
              </w:rPr>
              <w:t>$</w:t>
            </w:r>
            <w:r w:rsidRPr="00454A7D">
              <w:rPr>
                <w:rFonts w:cstheme="minorHAnsi"/>
                <w:b/>
                <w:bCs/>
                <w:szCs w:val="20"/>
              </w:rPr>
              <w:t>Redacted</w:t>
            </w:r>
            <w:r>
              <w:rPr>
                <w:rFonts w:cstheme="minorHAnsi"/>
                <w:szCs w:val="20"/>
                <w:vertAlign w:val="superscript"/>
              </w:rPr>
              <w:t>4</w:t>
            </w:r>
          </w:p>
        </w:tc>
      </w:tr>
      <w:tr w:rsidR="003322E6" w:rsidRPr="00AB1ABA" w14:paraId="0AB55D6E"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3BE63CC0" w14:textId="77777777" w:rsidR="003322E6" w:rsidRPr="007722E4" w:rsidRDefault="003322E6" w:rsidP="00AD51B4">
            <w:pPr>
              <w:pStyle w:val="TableText"/>
              <w:spacing w:before="0" w:after="0"/>
              <w:rPr>
                <w:rFonts w:cstheme="minorHAnsi"/>
                <w:szCs w:val="20"/>
              </w:rPr>
            </w:pPr>
            <w:r w:rsidRPr="007722E4">
              <w:rPr>
                <w:rFonts w:cstheme="minorHAnsi"/>
                <w:szCs w:val="20"/>
              </w:rPr>
              <w:t>FoH Utility</w:t>
            </w:r>
          </w:p>
        </w:tc>
      </w:tr>
      <w:tr w:rsidR="00E82023" w:rsidRPr="00AB1ABA" w14:paraId="5F72D275"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6ACE09F8" w14:textId="77777777" w:rsidR="00E82023" w:rsidRPr="00C54615" w:rsidRDefault="00E82023" w:rsidP="00E82023">
            <w:pPr>
              <w:pStyle w:val="TableText"/>
              <w:spacing w:before="0" w:after="0"/>
              <w:rPr>
                <w:rFonts w:cstheme="minorHAnsi"/>
                <w:i/>
                <w:iCs/>
                <w:szCs w:val="20"/>
              </w:rPr>
            </w:pPr>
            <w:r w:rsidRPr="00C54615">
              <w:rPr>
                <w:rFonts w:cstheme="minorHAnsi"/>
                <w:szCs w:val="20"/>
              </w:rPr>
              <w:t>DIAMOND FoH utility (0.025)</w:t>
            </w:r>
          </w:p>
        </w:tc>
        <w:tc>
          <w:tcPr>
            <w:tcW w:w="580" w:type="pct"/>
            <w:gridSpan w:val="2"/>
            <w:tcBorders>
              <w:top w:val="single" w:sz="4" w:space="0" w:color="auto"/>
              <w:left w:val="nil"/>
              <w:bottom w:val="single" w:sz="4" w:space="0" w:color="auto"/>
              <w:right w:val="single" w:sz="4" w:space="0" w:color="auto"/>
            </w:tcBorders>
          </w:tcPr>
          <w:p w14:paraId="7D615418" w14:textId="0D3BD40C" w:rsidR="00E82023" w:rsidRPr="00051030" w:rsidRDefault="00E82023" w:rsidP="00E82023">
            <w:pPr>
              <w:pStyle w:val="TableText"/>
              <w:spacing w:before="0" w:after="0"/>
              <w:jc w:val="center"/>
              <w:rPr>
                <w:rFonts w:cstheme="minorHAnsi"/>
                <w:szCs w:val="20"/>
                <w:highlight w:val="yellow"/>
              </w:rPr>
            </w:pPr>
            <w:r w:rsidRPr="00C864B6">
              <w:rPr>
                <w:rFonts w:cstheme="minorHAnsi"/>
                <w:szCs w:val="20"/>
              </w:rPr>
              <w:t>$</w:t>
            </w:r>
            <w:r w:rsidRPr="00C864B6">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19E4173B" w14:textId="29B6B4AA" w:rsidR="00E82023" w:rsidRPr="00051030" w:rsidRDefault="00E82023" w:rsidP="00E82023">
            <w:pPr>
              <w:pStyle w:val="TableText"/>
              <w:spacing w:before="0" w:after="0"/>
              <w:jc w:val="center"/>
              <w:rPr>
                <w:rFonts w:cstheme="minorHAnsi"/>
                <w:szCs w:val="20"/>
                <w:highlight w:val="yellow"/>
              </w:rPr>
            </w:pPr>
            <w:r w:rsidRPr="00C864B6">
              <w:rPr>
                <w:rFonts w:cstheme="minorHAnsi"/>
                <w:szCs w:val="20"/>
              </w:rPr>
              <w:t>$</w:t>
            </w:r>
            <w:r w:rsidRPr="00C864B6">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5E5BE54F" w14:textId="589947CD" w:rsidR="00E82023" w:rsidRPr="00051030" w:rsidRDefault="00E82023" w:rsidP="00E82023">
            <w:pPr>
              <w:pStyle w:val="TableText"/>
              <w:spacing w:before="0" w:after="0"/>
              <w:jc w:val="center"/>
              <w:rPr>
                <w:rFonts w:cstheme="minorHAnsi"/>
                <w:szCs w:val="20"/>
                <w:highlight w:val="yellow"/>
              </w:rPr>
            </w:pPr>
            <w:r w:rsidRPr="00C864B6">
              <w:rPr>
                <w:rFonts w:cstheme="minorHAnsi"/>
                <w:szCs w:val="20"/>
              </w:rPr>
              <w:t>$</w:t>
            </w:r>
            <w:r w:rsidRPr="00C864B6">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0678EE5B"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8.733</w:t>
            </w:r>
          </w:p>
        </w:tc>
        <w:tc>
          <w:tcPr>
            <w:tcW w:w="398" w:type="pct"/>
            <w:gridSpan w:val="2"/>
            <w:tcBorders>
              <w:top w:val="single" w:sz="4" w:space="0" w:color="auto"/>
              <w:left w:val="nil"/>
              <w:bottom w:val="single" w:sz="4" w:space="0" w:color="auto"/>
              <w:right w:val="single" w:sz="4" w:space="0" w:color="auto"/>
            </w:tcBorders>
          </w:tcPr>
          <w:p w14:paraId="685CC6B0"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8.363</w:t>
            </w:r>
          </w:p>
        </w:tc>
        <w:tc>
          <w:tcPr>
            <w:tcW w:w="565" w:type="pct"/>
            <w:tcBorders>
              <w:top w:val="single" w:sz="4" w:space="0" w:color="auto"/>
              <w:left w:val="nil"/>
              <w:bottom w:val="single" w:sz="4" w:space="0" w:color="auto"/>
              <w:right w:val="single" w:sz="4" w:space="0" w:color="auto"/>
            </w:tcBorders>
          </w:tcPr>
          <w:p w14:paraId="4A3F3F87"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0.371</w:t>
            </w:r>
          </w:p>
        </w:tc>
        <w:tc>
          <w:tcPr>
            <w:tcW w:w="733" w:type="pct"/>
            <w:tcBorders>
              <w:top w:val="single" w:sz="4" w:space="0" w:color="auto"/>
              <w:left w:val="nil"/>
              <w:bottom w:val="single" w:sz="4" w:space="0" w:color="auto"/>
              <w:right w:val="single" w:sz="4" w:space="0" w:color="auto"/>
            </w:tcBorders>
          </w:tcPr>
          <w:p w14:paraId="777505F7" w14:textId="7B7CB780" w:rsidR="00E82023" w:rsidRPr="00051030" w:rsidRDefault="00ED223E" w:rsidP="00E82023">
            <w:pPr>
              <w:pStyle w:val="TableText"/>
              <w:spacing w:before="0" w:after="0"/>
              <w:jc w:val="center"/>
              <w:rPr>
                <w:rFonts w:cstheme="minorHAnsi"/>
                <w:szCs w:val="20"/>
                <w:highlight w:val="yellow"/>
              </w:rPr>
            </w:pPr>
            <w:r w:rsidRPr="00051030">
              <w:rPr>
                <w:rFonts w:cstheme="minorHAnsi"/>
                <w:szCs w:val="20"/>
              </w:rPr>
              <w:t>$</w:t>
            </w:r>
            <w:r w:rsidRPr="00454A7D">
              <w:rPr>
                <w:rFonts w:cstheme="minorHAnsi"/>
                <w:b/>
                <w:bCs/>
                <w:szCs w:val="20"/>
              </w:rPr>
              <w:t>Redacted</w:t>
            </w:r>
            <w:r w:rsidRPr="00D46BF9">
              <w:rPr>
                <w:rFonts w:cstheme="minorHAnsi"/>
                <w:szCs w:val="20"/>
                <w:vertAlign w:val="superscript"/>
              </w:rPr>
              <w:t>1</w:t>
            </w:r>
          </w:p>
        </w:tc>
      </w:tr>
      <w:tr w:rsidR="00E82023" w:rsidRPr="00AB1ABA" w14:paraId="1987A549"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5300CAEA" w14:textId="77777777" w:rsidR="00E82023" w:rsidRPr="00C54615" w:rsidRDefault="00E82023" w:rsidP="00E82023">
            <w:pPr>
              <w:pStyle w:val="TableText"/>
              <w:spacing w:before="0" w:after="0"/>
              <w:rPr>
                <w:rFonts w:cstheme="minorHAnsi"/>
                <w:szCs w:val="20"/>
              </w:rPr>
            </w:pPr>
            <w:r w:rsidRPr="00C54615">
              <w:rPr>
                <w:rFonts w:cstheme="minorHAnsi"/>
                <w:szCs w:val="20"/>
              </w:rPr>
              <w:t>No FoH utility</w:t>
            </w:r>
          </w:p>
        </w:tc>
        <w:tc>
          <w:tcPr>
            <w:tcW w:w="580" w:type="pct"/>
            <w:gridSpan w:val="2"/>
            <w:tcBorders>
              <w:top w:val="single" w:sz="4" w:space="0" w:color="auto"/>
              <w:left w:val="nil"/>
              <w:bottom w:val="single" w:sz="4" w:space="0" w:color="auto"/>
              <w:right w:val="single" w:sz="4" w:space="0" w:color="auto"/>
            </w:tcBorders>
          </w:tcPr>
          <w:p w14:paraId="607548E0" w14:textId="0043A2B0" w:rsidR="00E82023" w:rsidRPr="00051030" w:rsidRDefault="00E82023" w:rsidP="00E82023">
            <w:pPr>
              <w:pStyle w:val="TableText"/>
              <w:spacing w:before="0" w:after="0"/>
              <w:jc w:val="center"/>
              <w:rPr>
                <w:rFonts w:cstheme="minorHAnsi"/>
                <w:szCs w:val="20"/>
                <w:highlight w:val="yellow"/>
              </w:rPr>
            </w:pPr>
            <w:r w:rsidRPr="00C864B6">
              <w:rPr>
                <w:rFonts w:cstheme="minorHAnsi"/>
                <w:szCs w:val="20"/>
              </w:rPr>
              <w:t>$</w:t>
            </w:r>
            <w:r w:rsidRPr="00C864B6">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0E79995D" w14:textId="27FDFAB6" w:rsidR="00E82023" w:rsidRPr="00051030" w:rsidRDefault="00E82023" w:rsidP="00E82023">
            <w:pPr>
              <w:pStyle w:val="TableText"/>
              <w:spacing w:before="0" w:after="0"/>
              <w:jc w:val="center"/>
              <w:rPr>
                <w:rFonts w:cstheme="minorHAnsi"/>
                <w:szCs w:val="20"/>
                <w:highlight w:val="yellow"/>
              </w:rPr>
            </w:pPr>
            <w:r w:rsidRPr="00C864B6">
              <w:rPr>
                <w:rFonts w:cstheme="minorHAnsi"/>
                <w:szCs w:val="20"/>
              </w:rPr>
              <w:t>$</w:t>
            </w:r>
            <w:r w:rsidRPr="00C864B6">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69FD2C0C" w14:textId="1501460D" w:rsidR="00E82023" w:rsidRPr="00051030" w:rsidRDefault="00E82023" w:rsidP="00E82023">
            <w:pPr>
              <w:pStyle w:val="TableText"/>
              <w:spacing w:before="0" w:after="0"/>
              <w:jc w:val="center"/>
              <w:rPr>
                <w:rFonts w:cstheme="minorHAnsi"/>
                <w:szCs w:val="20"/>
                <w:highlight w:val="yellow"/>
              </w:rPr>
            </w:pPr>
            <w:r w:rsidRPr="00C864B6">
              <w:rPr>
                <w:rFonts w:cstheme="minorHAnsi"/>
                <w:szCs w:val="20"/>
              </w:rPr>
              <w:t>$</w:t>
            </w:r>
            <w:r w:rsidRPr="00C864B6">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308FA918"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8.588</w:t>
            </w:r>
          </w:p>
        </w:tc>
        <w:tc>
          <w:tcPr>
            <w:tcW w:w="398" w:type="pct"/>
            <w:gridSpan w:val="2"/>
            <w:tcBorders>
              <w:top w:val="single" w:sz="4" w:space="0" w:color="auto"/>
              <w:left w:val="nil"/>
              <w:bottom w:val="single" w:sz="4" w:space="0" w:color="auto"/>
              <w:right w:val="single" w:sz="4" w:space="0" w:color="auto"/>
            </w:tcBorders>
          </w:tcPr>
          <w:p w14:paraId="1256C44E"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8.363</w:t>
            </w:r>
          </w:p>
        </w:tc>
        <w:tc>
          <w:tcPr>
            <w:tcW w:w="565" w:type="pct"/>
            <w:tcBorders>
              <w:top w:val="single" w:sz="4" w:space="0" w:color="auto"/>
              <w:left w:val="nil"/>
              <w:bottom w:val="single" w:sz="4" w:space="0" w:color="auto"/>
              <w:right w:val="single" w:sz="4" w:space="0" w:color="auto"/>
            </w:tcBorders>
          </w:tcPr>
          <w:p w14:paraId="25B59BDC"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0.225</w:t>
            </w:r>
          </w:p>
        </w:tc>
        <w:tc>
          <w:tcPr>
            <w:tcW w:w="733" w:type="pct"/>
            <w:tcBorders>
              <w:top w:val="single" w:sz="4" w:space="0" w:color="auto"/>
              <w:left w:val="nil"/>
              <w:bottom w:val="single" w:sz="4" w:space="0" w:color="auto"/>
              <w:right w:val="single" w:sz="4" w:space="0" w:color="auto"/>
            </w:tcBorders>
          </w:tcPr>
          <w:p w14:paraId="43291140" w14:textId="39FF3BBB" w:rsidR="00E82023" w:rsidRPr="00051030" w:rsidRDefault="00ED223E" w:rsidP="00E82023">
            <w:pPr>
              <w:pStyle w:val="TableText"/>
              <w:spacing w:before="0" w:after="0"/>
              <w:jc w:val="center"/>
              <w:rPr>
                <w:rFonts w:cstheme="minorHAnsi"/>
                <w:szCs w:val="20"/>
                <w:highlight w:val="yellow"/>
              </w:rPr>
            </w:pPr>
            <w:r w:rsidRPr="00D46BF9">
              <w:rPr>
                <w:rFonts w:cstheme="minorHAnsi"/>
                <w:b/>
                <w:bCs/>
                <w:szCs w:val="20"/>
              </w:rPr>
              <w:t>$</w:t>
            </w:r>
            <w:r w:rsidRPr="00454A7D">
              <w:rPr>
                <w:rFonts w:cstheme="minorHAnsi"/>
                <w:b/>
                <w:bCs/>
                <w:szCs w:val="20"/>
              </w:rPr>
              <w:t>Redacted</w:t>
            </w:r>
            <w:r>
              <w:rPr>
                <w:rFonts w:cstheme="minorHAnsi"/>
                <w:szCs w:val="20"/>
                <w:vertAlign w:val="superscript"/>
              </w:rPr>
              <w:t>3</w:t>
            </w:r>
          </w:p>
        </w:tc>
      </w:tr>
      <w:tr w:rsidR="003322E6" w:rsidRPr="00AB1ABA" w14:paraId="41975D70"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03DC9D9E" w14:textId="77777777" w:rsidR="003322E6" w:rsidRPr="007722E4" w:rsidRDefault="003322E6" w:rsidP="00AD51B4">
            <w:pPr>
              <w:pStyle w:val="TableText"/>
              <w:spacing w:before="0" w:after="0"/>
              <w:rPr>
                <w:rFonts w:cstheme="minorHAnsi"/>
                <w:szCs w:val="20"/>
              </w:rPr>
            </w:pPr>
            <w:r w:rsidRPr="007722E4">
              <w:rPr>
                <w:rFonts w:cstheme="minorHAnsi"/>
                <w:szCs w:val="20"/>
              </w:rPr>
              <w:t>DKA And SHE Incidence And FoH</w:t>
            </w:r>
          </w:p>
        </w:tc>
      </w:tr>
      <w:tr w:rsidR="00E82023" w:rsidRPr="00AB1ABA" w14:paraId="4768965A"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66E85D83" w14:textId="77777777" w:rsidR="00E82023" w:rsidRPr="00C54615" w:rsidRDefault="00E82023" w:rsidP="00E82023">
            <w:pPr>
              <w:pStyle w:val="TableText"/>
              <w:spacing w:before="0" w:after="0"/>
              <w:rPr>
                <w:rFonts w:cstheme="minorHAnsi"/>
                <w:i/>
                <w:iCs/>
                <w:szCs w:val="20"/>
              </w:rPr>
            </w:pPr>
            <w:r w:rsidRPr="00C54615">
              <w:rPr>
                <w:rFonts w:cstheme="minorHAnsi"/>
                <w:szCs w:val="20"/>
              </w:rPr>
              <w:t>-50% DKA and SHE in SMBG arm and -50% FoH utility in RT-CGM arm</w:t>
            </w:r>
          </w:p>
        </w:tc>
        <w:tc>
          <w:tcPr>
            <w:tcW w:w="580" w:type="pct"/>
            <w:gridSpan w:val="2"/>
            <w:tcBorders>
              <w:top w:val="single" w:sz="4" w:space="0" w:color="auto"/>
              <w:left w:val="nil"/>
              <w:bottom w:val="single" w:sz="4" w:space="0" w:color="auto"/>
              <w:right w:val="single" w:sz="4" w:space="0" w:color="auto"/>
            </w:tcBorders>
          </w:tcPr>
          <w:p w14:paraId="7B5863E5" w14:textId="5593F185" w:rsidR="00E82023" w:rsidRPr="00051030" w:rsidRDefault="00E82023" w:rsidP="00E82023">
            <w:pPr>
              <w:pStyle w:val="TableText"/>
              <w:spacing w:before="0" w:after="0"/>
              <w:jc w:val="center"/>
              <w:rPr>
                <w:rFonts w:cstheme="minorHAnsi"/>
                <w:szCs w:val="20"/>
                <w:highlight w:val="yellow"/>
              </w:rPr>
            </w:pPr>
            <w:r w:rsidRPr="0009492A">
              <w:rPr>
                <w:rFonts w:cstheme="minorHAnsi"/>
                <w:szCs w:val="20"/>
              </w:rPr>
              <w:t>$</w:t>
            </w:r>
            <w:r w:rsidRPr="0009492A">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08FD4B52" w14:textId="74DC9A10" w:rsidR="00E82023" w:rsidRPr="00051030" w:rsidRDefault="00E82023" w:rsidP="00E82023">
            <w:pPr>
              <w:pStyle w:val="TableText"/>
              <w:spacing w:before="0" w:after="0"/>
              <w:jc w:val="center"/>
              <w:rPr>
                <w:rFonts w:cstheme="minorHAnsi"/>
                <w:szCs w:val="20"/>
                <w:highlight w:val="yellow"/>
              </w:rPr>
            </w:pPr>
            <w:r w:rsidRPr="0009492A">
              <w:rPr>
                <w:rFonts w:cstheme="minorHAnsi"/>
                <w:szCs w:val="20"/>
              </w:rPr>
              <w:t>$</w:t>
            </w:r>
            <w:r w:rsidRPr="0009492A">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783F3777" w14:textId="1BD8F287" w:rsidR="00E82023" w:rsidRPr="00051030" w:rsidRDefault="00E82023" w:rsidP="00E82023">
            <w:pPr>
              <w:pStyle w:val="TableText"/>
              <w:spacing w:before="0" w:after="0"/>
              <w:jc w:val="center"/>
              <w:rPr>
                <w:rFonts w:cstheme="minorHAnsi"/>
                <w:szCs w:val="20"/>
                <w:highlight w:val="yellow"/>
              </w:rPr>
            </w:pPr>
            <w:r w:rsidRPr="0009492A">
              <w:rPr>
                <w:rFonts w:cstheme="minorHAnsi"/>
                <w:szCs w:val="20"/>
              </w:rPr>
              <w:t>$</w:t>
            </w:r>
            <w:r w:rsidRPr="0009492A">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2C3FD6A7"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8.632</w:t>
            </w:r>
          </w:p>
        </w:tc>
        <w:tc>
          <w:tcPr>
            <w:tcW w:w="398" w:type="pct"/>
            <w:gridSpan w:val="2"/>
            <w:tcBorders>
              <w:top w:val="single" w:sz="4" w:space="0" w:color="auto"/>
              <w:left w:val="nil"/>
              <w:bottom w:val="single" w:sz="4" w:space="0" w:color="auto"/>
              <w:right w:val="single" w:sz="4" w:space="0" w:color="auto"/>
            </w:tcBorders>
          </w:tcPr>
          <w:p w14:paraId="281A996A"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8.373</w:t>
            </w:r>
          </w:p>
        </w:tc>
        <w:tc>
          <w:tcPr>
            <w:tcW w:w="565" w:type="pct"/>
            <w:tcBorders>
              <w:top w:val="single" w:sz="4" w:space="0" w:color="auto"/>
              <w:left w:val="nil"/>
              <w:bottom w:val="single" w:sz="4" w:space="0" w:color="auto"/>
              <w:right w:val="single" w:sz="4" w:space="0" w:color="auto"/>
            </w:tcBorders>
          </w:tcPr>
          <w:p w14:paraId="1F7C3BB2"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0.260</w:t>
            </w:r>
          </w:p>
        </w:tc>
        <w:tc>
          <w:tcPr>
            <w:tcW w:w="733" w:type="pct"/>
            <w:tcBorders>
              <w:top w:val="single" w:sz="4" w:space="0" w:color="auto"/>
              <w:left w:val="nil"/>
              <w:bottom w:val="single" w:sz="4" w:space="0" w:color="auto"/>
              <w:right w:val="single" w:sz="4" w:space="0" w:color="auto"/>
            </w:tcBorders>
          </w:tcPr>
          <w:p w14:paraId="7C0ADA60" w14:textId="63401840" w:rsidR="00E82023" w:rsidRPr="00051030" w:rsidRDefault="00ED223E" w:rsidP="00E82023">
            <w:pPr>
              <w:pStyle w:val="TableText"/>
              <w:spacing w:before="0" w:after="0"/>
              <w:jc w:val="center"/>
              <w:rPr>
                <w:rFonts w:cstheme="minorHAnsi"/>
                <w:szCs w:val="20"/>
                <w:highlight w:val="yellow"/>
              </w:rPr>
            </w:pPr>
            <w:r w:rsidRPr="00D46BF9">
              <w:rPr>
                <w:rFonts w:cstheme="minorHAnsi"/>
                <w:b/>
                <w:bCs/>
                <w:szCs w:val="20"/>
              </w:rPr>
              <w:t>$</w:t>
            </w:r>
            <w:r w:rsidRPr="00454A7D">
              <w:rPr>
                <w:rFonts w:cstheme="minorHAnsi"/>
                <w:b/>
                <w:bCs/>
                <w:szCs w:val="20"/>
              </w:rPr>
              <w:t>Redacted</w:t>
            </w:r>
            <w:r>
              <w:rPr>
                <w:rFonts w:cstheme="minorHAnsi"/>
                <w:szCs w:val="20"/>
                <w:vertAlign w:val="superscript"/>
              </w:rPr>
              <w:t>3</w:t>
            </w:r>
          </w:p>
        </w:tc>
      </w:tr>
      <w:tr w:rsidR="00E82023" w:rsidRPr="00AB1ABA" w14:paraId="22BA4D9E"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125CCFBE" w14:textId="77777777" w:rsidR="00E82023" w:rsidRPr="00C54615" w:rsidRDefault="00E82023" w:rsidP="00E82023">
            <w:pPr>
              <w:pStyle w:val="TableText"/>
              <w:spacing w:before="0" w:after="0"/>
              <w:rPr>
                <w:rFonts w:cstheme="minorHAnsi"/>
                <w:szCs w:val="20"/>
              </w:rPr>
            </w:pPr>
            <w:r w:rsidRPr="00C54615">
              <w:rPr>
                <w:rFonts w:cstheme="minorHAnsi"/>
                <w:szCs w:val="20"/>
              </w:rPr>
              <w:t xml:space="preserve">No DKA or SHE in SMBG arm and no FoH utility for RT-CGM </w:t>
            </w:r>
          </w:p>
        </w:tc>
        <w:tc>
          <w:tcPr>
            <w:tcW w:w="580" w:type="pct"/>
            <w:gridSpan w:val="2"/>
            <w:tcBorders>
              <w:top w:val="single" w:sz="4" w:space="0" w:color="auto"/>
              <w:left w:val="nil"/>
              <w:bottom w:val="single" w:sz="4" w:space="0" w:color="auto"/>
              <w:right w:val="single" w:sz="4" w:space="0" w:color="auto"/>
            </w:tcBorders>
          </w:tcPr>
          <w:p w14:paraId="0D9A65B9" w14:textId="0EC7E0E8" w:rsidR="00E82023" w:rsidRPr="00051030" w:rsidRDefault="00E82023" w:rsidP="00E82023">
            <w:pPr>
              <w:pStyle w:val="TableText"/>
              <w:spacing w:before="0" w:after="0"/>
              <w:jc w:val="center"/>
              <w:rPr>
                <w:rFonts w:cstheme="minorHAnsi"/>
                <w:szCs w:val="20"/>
                <w:highlight w:val="yellow"/>
              </w:rPr>
            </w:pPr>
            <w:r w:rsidRPr="0009492A">
              <w:rPr>
                <w:rFonts w:cstheme="minorHAnsi"/>
                <w:szCs w:val="20"/>
              </w:rPr>
              <w:t>$</w:t>
            </w:r>
            <w:r w:rsidRPr="0009492A">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773D186F" w14:textId="1628FCCF" w:rsidR="00E82023" w:rsidRPr="00051030" w:rsidRDefault="00E82023" w:rsidP="00E82023">
            <w:pPr>
              <w:pStyle w:val="TableText"/>
              <w:spacing w:before="0" w:after="0"/>
              <w:jc w:val="center"/>
              <w:rPr>
                <w:rFonts w:cstheme="minorHAnsi"/>
                <w:szCs w:val="20"/>
                <w:highlight w:val="yellow"/>
              </w:rPr>
            </w:pPr>
            <w:r w:rsidRPr="0009492A">
              <w:rPr>
                <w:rFonts w:cstheme="minorHAnsi"/>
                <w:szCs w:val="20"/>
              </w:rPr>
              <w:t>$</w:t>
            </w:r>
            <w:r w:rsidRPr="0009492A">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7DDF5D4C" w14:textId="39C5FC00" w:rsidR="00E82023" w:rsidRPr="00051030" w:rsidRDefault="00E82023" w:rsidP="00E82023">
            <w:pPr>
              <w:pStyle w:val="TableText"/>
              <w:spacing w:before="0" w:after="0"/>
              <w:jc w:val="center"/>
              <w:rPr>
                <w:rFonts w:cstheme="minorHAnsi"/>
                <w:szCs w:val="20"/>
                <w:highlight w:val="yellow"/>
              </w:rPr>
            </w:pPr>
            <w:r w:rsidRPr="0009492A">
              <w:rPr>
                <w:rFonts w:cstheme="minorHAnsi"/>
                <w:szCs w:val="20"/>
              </w:rPr>
              <w:t>$</w:t>
            </w:r>
            <w:r w:rsidRPr="0009492A">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7D0B19ED"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8.588</w:t>
            </w:r>
          </w:p>
        </w:tc>
        <w:tc>
          <w:tcPr>
            <w:tcW w:w="398" w:type="pct"/>
            <w:gridSpan w:val="2"/>
            <w:tcBorders>
              <w:top w:val="single" w:sz="4" w:space="0" w:color="auto"/>
              <w:left w:val="nil"/>
              <w:bottom w:val="single" w:sz="4" w:space="0" w:color="auto"/>
              <w:right w:val="single" w:sz="4" w:space="0" w:color="auto"/>
            </w:tcBorders>
          </w:tcPr>
          <w:p w14:paraId="2DEE99E7"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8.380</w:t>
            </w:r>
          </w:p>
        </w:tc>
        <w:tc>
          <w:tcPr>
            <w:tcW w:w="565" w:type="pct"/>
            <w:tcBorders>
              <w:top w:val="single" w:sz="4" w:space="0" w:color="auto"/>
              <w:left w:val="nil"/>
              <w:bottom w:val="single" w:sz="4" w:space="0" w:color="auto"/>
              <w:right w:val="single" w:sz="4" w:space="0" w:color="auto"/>
            </w:tcBorders>
          </w:tcPr>
          <w:p w14:paraId="3592EFB0"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0.208</w:t>
            </w:r>
          </w:p>
        </w:tc>
        <w:tc>
          <w:tcPr>
            <w:tcW w:w="733" w:type="pct"/>
            <w:tcBorders>
              <w:top w:val="single" w:sz="4" w:space="0" w:color="auto"/>
              <w:left w:val="nil"/>
              <w:bottom w:val="single" w:sz="4" w:space="0" w:color="auto"/>
              <w:right w:val="single" w:sz="4" w:space="0" w:color="auto"/>
            </w:tcBorders>
          </w:tcPr>
          <w:p w14:paraId="6101F253" w14:textId="33B1C4B7" w:rsidR="00E82023" w:rsidRPr="00051030" w:rsidRDefault="00ED223E" w:rsidP="00E82023">
            <w:pPr>
              <w:pStyle w:val="TableText"/>
              <w:spacing w:before="0" w:after="0"/>
              <w:jc w:val="center"/>
              <w:rPr>
                <w:rFonts w:cstheme="minorHAnsi"/>
                <w:szCs w:val="20"/>
                <w:highlight w:val="yellow"/>
              </w:rPr>
            </w:pPr>
            <w:r w:rsidRPr="00D46BF9">
              <w:rPr>
                <w:rFonts w:cstheme="minorHAnsi"/>
                <w:szCs w:val="20"/>
              </w:rPr>
              <w:t>$</w:t>
            </w:r>
            <w:r w:rsidRPr="00454A7D">
              <w:rPr>
                <w:rFonts w:cstheme="minorHAnsi"/>
                <w:b/>
                <w:bCs/>
                <w:szCs w:val="20"/>
              </w:rPr>
              <w:t>Redacted</w:t>
            </w:r>
            <w:r>
              <w:rPr>
                <w:rFonts w:cstheme="minorHAnsi"/>
                <w:szCs w:val="20"/>
                <w:vertAlign w:val="superscript"/>
              </w:rPr>
              <w:t>6</w:t>
            </w:r>
          </w:p>
        </w:tc>
      </w:tr>
      <w:tr w:rsidR="003322E6" w:rsidRPr="00AB1ABA" w14:paraId="24FD5BEA" w14:textId="77777777" w:rsidTr="00AD51B4">
        <w:trPr>
          <w:trHeight w:val="20"/>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60407CB7" w14:textId="77777777" w:rsidR="003322E6" w:rsidRPr="00C54615" w:rsidRDefault="003322E6" w:rsidP="00AD51B4">
            <w:pPr>
              <w:pStyle w:val="TableText"/>
              <w:spacing w:before="0" w:after="0"/>
              <w:rPr>
                <w:rFonts w:cstheme="minorHAnsi"/>
                <w:szCs w:val="20"/>
              </w:rPr>
            </w:pPr>
            <w:r w:rsidRPr="00C54615">
              <w:rPr>
                <w:rFonts w:cstheme="minorHAnsi"/>
                <w:szCs w:val="20"/>
              </w:rPr>
              <w:t>Time Horizon</w:t>
            </w:r>
          </w:p>
        </w:tc>
      </w:tr>
      <w:tr w:rsidR="00E82023" w:rsidRPr="00AB1ABA" w14:paraId="1D9C7392"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26BBD4E9" w14:textId="77777777" w:rsidR="00E82023" w:rsidRPr="00C54615" w:rsidRDefault="00E82023" w:rsidP="00E82023">
            <w:pPr>
              <w:pStyle w:val="TableText"/>
              <w:spacing w:before="0" w:after="0"/>
              <w:rPr>
                <w:rFonts w:cstheme="minorHAnsi"/>
                <w:i/>
                <w:iCs/>
                <w:szCs w:val="20"/>
              </w:rPr>
            </w:pPr>
            <w:r w:rsidRPr="00C54615">
              <w:rPr>
                <w:rFonts w:cstheme="minorHAnsi"/>
                <w:szCs w:val="20"/>
              </w:rPr>
              <w:t>10 years</w:t>
            </w:r>
          </w:p>
        </w:tc>
        <w:tc>
          <w:tcPr>
            <w:tcW w:w="580" w:type="pct"/>
            <w:gridSpan w:val="2"/>
            <w:tcBorders>
              <w:top w:val="single" w:sz="4" w:space="0" w:color="auto"/>
              <w:left w:val="nil"/>
              <w:bottom w:val="single" w:sz="4" w:space="0" w:color="auto"/>
              <w:right w:val="single" w:sz="4" w:space="0" w:color="auto"/>
            </w:tcBorders>
          </w:tcPr>
          <w:p w14:paraId="0EE3AB44" w14:textId="02CA4A1A"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4F2E0128" w14:textId="5728BDC3"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32EF30E0" w14:textId="2C772131"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1D32D6F2"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5.292</w:t>
            </w:r>
          </w:p>
        </w:tc>
        <w:tc>
          <w:tcPr>
            <w:tcW w:w="398" w:type="pct"/>
            <w:gridSpan w:val="2"/>
            <w:tcBorders>
              <w:top w:val="single" w:sz="4" w:space="0" w:color="auto"/>
              <w:left w:val="nil"/>
              <w:bottom w:val="single" w:sz="4" w:space="0" w:color="auto"/>
              <w:right w:val="single" w:sz="4" w:space="0" w:color="auto"/>
            </w:tcBorders>
          </w:tcPr>
          <w:p w14:paraId="426CC606"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5.112</w:t>
            </w:r>
          </w:p>
        </w:tc>
        <w:tc>
          <w:tcPr>
            <w:tcW w:w="565" w:type="pct"/>
            <w:tcBorders>
              <w:top w:val="single" w:sz="4" w:space="0" w:color="auto"/>
              <w:left w:val="nil"/>
              <w:bottom w:val="single" w:sz="4" w:space="0" w:color="auto"/>
              <w:right w:val="single" w:sz="4" w:space="0" w:color="auto"/>
            </w:tcBorders>
          </w:tcPr>
          <w:p w14:paraId="61F5B24A"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0.180</w:t>
            </w:r>
          </w:p>
        </w:tc>
        <w:tc>
          <w:tcPr>
            <w:tcW w:w="733" w:type="pct"/>
            <w:tcBorders>
              <w:top w:val="single" w:sz="4" w:space="0" w:color="auto"/>
              <w:left w:val="nil"/>
              <w:bottom w:val="single" w:sz="4" w:space="0" w:color="auto"/>
              <w:right w:val="single" w:sz="4" w:space="0" w:color="auto"/>
            </w:tcBorders>
          </w:tcPr>
          <w:p w14:paraId="29C5A01E" w14:textId="408A5449" w:rsidR="00E82023" w:rsidRPr="00051030" w:rsidRDefault="00ED223E" w:rsidP="00E82023">
            <w:pPr>
              <w:pStyle w:val="TableText"/>
              <w:spacing w:before="0" w:after="0"/>
              <w:jc w:val="center"/>
              <w:rPr>
                <w:rFonts w:cstheme="minorHAnsi"/>
                <w:szCs w:val="20"/>
                <w:highlight w:val="yellow"/>
              </w:rPr>
            </w:pPr>
            <w:r w:rsidRPr="00D46BF9">
              <w:rPr>
                <w:rFonts w:cstheme="minorHAnsi"/>
                <w:szCs w:val="20"/>
              </w:rPr>
              <w:t>$</w:t>
            </w:r>
            <w:r w:rsidRPr="00454A7D">
              <w:rPr>
                <w:rFonts w:cstheme="minorHAnsi"/>
                <w:b/>
                <w:bCs/>
                <w:szCs w:val="20"/>
              </w:rPr>
              <w:t>Redacted</w:t>
            </w:r>
            <w:r>
              <w:rPr>
                <w:rFonts w:cstheme="minorHAnsi"/>
                <w:szCs w:val="20"/>
                <w:vertAlign w:val="superscript"/>
              </w:rPr>
              <w:t>6</w:t>
            </w:r>
          </w:p>
        </w:tc>
      </w:tr>
      <w:tr w:rsidR="00E82023" w:rsidRPr="00AB1ABA" w14:paraId="33D6644F"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160A6542" w14:textId="77777777" w:rsidR="00E82023" w:rsidRPr="00C54615" w:rsidRDefault="00E82023" w:rsidP="00E82023">
            <w:pPr>
              <w:pStyle w:val="TableText"/>
              <w:spacing w:before="0" w:after="0"/>
              <w:rPr>
                <w:rFonts w:cstheme="minorHAnsi"/>
                <w:szCs w:val="20"/>
              </w:rPr>
            </w:pPr>
            <w:r w:rsidRPr="00C54615">
              <w:rPr>
                <w:rFonts w:cstheme="minorHAnsi"/>
                <w:szCs w:val="20"/>
              </w:rPr>
              <w:t>20 years</w:t>
            </w:r>
          </w:p>
        </w:tc>
        <w:tc>
          <w:tcPr>
            <w:tcW w:w="580" w:type="pct"/>
            <w:gridSpan w:val="2"/>
            <w:tcBorders>
              <w:top w:val="single" w:sz="4" w:space="0" w:color="auto"/>
              <w:left w:val="nil"/>
              <w:bottom w:val="single" w:sz="4" w:space="0" w:color="auto"/>
              <w:right w:val="single" w:sz="4" w:space="0" w:color="auto"/>
            </w:tcBorders>
          </w:tcPr>
          <w:p w14:paraId="27DB57D0" w14:textId="04A4013A"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24C4A14D" w14:textId="1615A11A"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266CDF8A" w14:textId="43ED42E8"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39C87F6F"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7.633</w:t>
            </w:r>
          </w:p>
        </w:tc>
        <w:tc>
          <w:tcPr>
            <w:tcW w:w="398" w:type="pct"/>
            <w:gridSpan w:val="2"/>
            <w:tcBorders>
              <w:top w:val="single" w:sz="4" w:space="0" w:color="auto"/>
              <w:left w:val="nil"/>
              <w:bottom w:val="single" w:sz="4" w:space="0" w:color="auto"/>
              <w:right w:val="single" w:sz="4" w:space="0" w:color="auto"/>
            </w:tcBorders>
          </w:tcPr>
          <w:p w14:paraId="5BCD980B"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7.367</w:t>
            </w:r>
          </w:p>
        </w:tc>
        <w:tc>
          <w:tcPr>
            <w:tcW w:w="565" w:type="pct"/>
            <w:tcBorders>
              <w:top w:val="single" w:sz="4" w:space="0" w:color="auto"/>
              <w:left w:val="nil"/>
              <w:bottom w:val="single" w:sz="4" w:space="0" w:color="auto"/>
              <w:right w:val="single" w:sz="4" w:space="0" w:color="auto"/>
            </w:tcBorders>
          </w:tcPr>
          <w:p w14:paraId="794ECC36"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0.266</w:t>
            </w:r>
          </w:p>
        </w:tc>
        <w:tc>
          <w:tcPr>
            <w:tcW w:w="733" w:type="pct"/>
            <w:tcBorders>
              <w:top w:val="single" w:sz="4" w:space="0" w:color="auto"/>
              <w:left w:val="nil"/>
              <w:bottom w:val="single" w:sz="4" w:space="0" w:color="auto"/>
              <w:right w:val="single" w:sz="4" w:space="0" w:color="auto"/>
            </w:tcBorders>
          </w:tcPr>
          <w:p w14:paraId="5EFD3B3C" w14:textId="1E034187" w:rsidR="00E82023" w:rsidRPr="00051030" w:rsidRDefault="00ED223E" w:rsidP="00E82023">
            <w:pPr>
              <w:pStyle w:val="TableText"/>
              <w:spacing w:before="0" w:after="0"/>
              <w:jc w:val="center"/>
              <w:rPr>
                <w:rFonts w:cstheme="minorHAnsi"/>
                <w:szCs w:val="20"/>
                <w:highlight w:val="yellow"/>
              </w:rPr>
            </w:pPr>
            <w:r w:rsidRPr="00D46BF9">
              <w:rPr>
                <w:rFonts w:cstheme="minorHAnsi"/>
                <w:szCs w:val="20"/>
              </w:rPr>
              <w:t>$</w:t>
            </w:r>
            <w:r w:rsidRPr="00454A7D">
              <w:rPr>
                <w:rFonts w:cstheme="minorHAnsi"/>
                <w:b/>
                <w:bCs/>
                <w:szCs w:val="20"/>
              </w:rPr>
              <w:t>Redacted</w:t>
            </w:r>
            <w:r>
              <w:rPr>
                <w:rFonts w:cstheme="minorHAnsi"/>
                <w:szCs w:val="20"/>
                <w:vertAlign w:val="superscript"/>
              </w:rPr>
              <w:t>4</w:t>
            </w:r>
          </w:p>
        </w:tc>
      </w:tr>
      <w:tr w:rsidR="00E82023" w:rsidRPr="00AB1ABA" w14:paraId="7DF0E686" w14:textId="77777777" w:rsidTr="00030059">
        <w:trPr>
          <w:trHeight w:val="20"/>
        </w:trPr>
        <w:tc>
          <w:tcPr>
            <w:tcW w:w="850" w:type="pct"/>
            <w:tcBorders>
              <w:top w:val="single" w:sz="4" w:space="0" w:color="auto"/>
              <w:left w:val="single" w:sz="4" w:space="0" w:color="auto"/>
              <w:bottom w:val="single" w:sz="4" w:space="0" w:color="auto"/>
              <w:right w:val="single" w:sz="4" w:space="0" w:color="auto"/>
            </w:tcBorders>
            <w:vAlign w:val="center"/>
          </w:tcPr>
          <w:p w14:paraId="42D2F9AC" w14:textId="77777777" w:rsidR="00E82023" w:rsidRPr="00C54615" w:rsidRDefault="00E82023" w:rsidP="00E82023">
            <w:pPr>
              <w:pStyle w:val="TableText"/>
              <w:spacing w:before="0" w:after="0"/>
              <w:rPr>
                <w:rFonts w:cstheme="minorHAnsi"/>
                <w:szCs w:val="20"/>
              </w:rPr>
            </w:pPr>
            <w:r w:rsidRPr="00C54615">
              <w:rPr>
                <w:rFonts w:cstheme="minorHAnsi"/>
                <w:szCs w:val="20"/>
              </w:rPr>
              <w:t>30 years</w:t>
            </w:r>
          </w:p>
        </w:tc>
        <w:tc>
          <w:tcPr>
            <w:tcW w:w="580" w:type="pct"/>
            <w:gridSpan w:val="2"/>
            <w:tcBorders>
              <w:top w:val="single" w:sz="4" w:space="0" w:color="auto"/>
              <w:left w:val="nil"/>
              <w:bottom w:val="single" w:sz="4" w:space="0" w:color="auto"/>
              <w:right w:val="single" w:sz="4" w:space="0" w:color="auto"/>
            </w:tcBorders>
          </w:tcPr>
          <w:p w14:paraId="32C1268F" w14:textId="13EE752C"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759" w:type="pct"/>
            <w:gridSpan w:val="2"/>
            <w:tcBorders>
              <w:top w:val="single" w:sz="4" w:space="0" w:color="auto"/>
              <w:left w:val="nil"/>
              <w:bottom w:val="single" w:sz="4" w:space="0" w:color="auto"/>
              <w:right w:val="single" w:sz="4" w:space="0" w:color="auto"/>
            </w:tcBorders>
          </w:tcPr>
          <w:p w14:paraId="36F10515" w14:textId="48A3ACE8"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717" w:type="pct"/>
            <w:gridSpan w:val="2"/>
            <w:tcBorders>
              <w:top w:val="single" w:sz="4" w:space="0" w:color="auto"/>
              <w:left w:val="nil"/>
              <w:bottom w:val="single" w:sz="4" w:space="0" w:color="auto"/>
              <w:right w:val="single" w:sz="4" w:space="0" w:color="auto"/>
            </w:tcBorders>
          </w:tcPr>
          <w:p w14:paraId="575CB4E5" w14:textId="059B4D1F" w:rsidR="00E82023" w:rsidRPr="00051030" w:rsidRDefault="00E82023" w:rsidP="00E82023">
            <w:pPr>
              <w:pStyle w:val="TableText"/>
              <w:spacing w:before="0" w:after="0"/>
              <w:jc w:val="center"/>
              <w:rPr>
                <w:rFonts w:cstheme="minorHAnsi"/>
                <w:szCs w:val="20"/>
                <w:highlight w:val="yellow"/>
              </w:rPr>
            </w:pPr>
            <w:r w:rsidRPr="00B4624D">
              <w:rPr>
                <w:rFonts w:cstheme="minorHAnsi"/>
                <w:szCs w:val="20"/>
              </w:rPr>
              <w:t>$</w:t>
            </w:r>
            <w:r w:rsidRPr="00B4624D">
              <w:rPr>
                <w:rFonts w:cstheme="minorHAnsi"/>
                <w:b/>
                <w:bCs/>
                <w:szCs w:val="20"/>
              </w:rPr>
              <w:t>Redacted</w:t>
            </w:r>
          </w:p>
        </w:tc>
        <w:tc>
          <w:tcPr>
            <w:tcW w:w="398" w:type="pct"/>
            <w:gridSpan w:val="2"/>
            <w:tcBorders>
              <w:top w:val="single" w:sz="4" w:space="0" w:color="auto"/>
              <w:left w:val="nil"/>
              <w:bottom w:val="single" w:sz="4" w:space="0" w:color="auto"/>
              <w:right w:val="single" w:sz="4" w:space="0" w:color="auto"/>
            </w:tcBorders>
          </w:tcPr>
          <w:p w14:paraId="1A948CDC"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8.452</w:t>
            </w:r>
          </w:p>
        </w:tc>
        <w:tc>
          <w:tcPr>
            <w:tcW w:w="398" w:type="pct"/>
            <w:gridSpan w:val="2"/>
            <w:tcBorders>
              <w:top w:val="single" w:sz="4" w:space="0" w:color="auto"/>
              <w:left w:val="nil"/>
              <w:bottom w:val="single" w:sz="4" w:space="0" w:color="auto"/>
              <w:right w:val="single" w:sz="4" w:space="0" w:color="auto"/>
            </w:tcBorders>
          </w:tcPr>
          <w:p w14:paraId="4FEC9B54"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8.149</w:t>
            </w:r>
          </w:p>
        </w:tc>
        <w:tc>
          <w:tcPr>
            <w:tcW w:w="565" w:type="pct"/>
            <w:tcBorders>
              <w:top w:val="single" w:sz="4" w:space="0" w:color="auto"/>
              <w:left w:val="nil"/>
              <w:bottom w:val="single" w:sz="4" w:space="0" w:color="auto"/>
              <w:right w:val="single" w:sz="4" w:space="0" w:color="auto"/>
            </w:tcBorders>
          </w:tcPr>
          <w:p w14:paraId="430FC353" w14:textId="77777777" w:rsidR="00E82023" w:rsidRPr="00C54615" w:rsidRDefault="00E82023" w:rsidP="00E82023">
            <w:pPr>
              <w:pStyle w:val="TableText"/>
              <w:spacing w:before="0" w:after="0"/>
              <w:jc w:val="center"/>
              <w:rPr>
                <w:rFonts w:cstheme="minorHAnsi"/>
                <w:szCs w:val="20"/>
              </w:rPr>
            </w:pPr>
            <w:r w:rsidRPr="00C54615">
              <w:rPr>
                <w:rFonts w:cstheme="minorHAnsi"/>
                <w:szCs w:val="20"/>
              </w:rPr>
              <w:t>0.304</w:t>
            </w:r>
          </w:p>
        </w:tc>
        <w:tc>
          <w:tcPr>
            <w:tcW w:w="733" w:type="pct"/>
            <w:tcBorders>
              <w:top w:val="single" w:sz="4" w:space="0" w:color="auto"/>
              <w:left w:val="nil"/>
              <w:bottom w:val="single" w:sz="4" w:space="0" w:color="auto"/>
              <w:right w:val="single" w:sz="4" w:space="0" w:color="auto"/>
            </w:tcBorders>
          </w:tcPr>
          <w:p w14:paraId="4EC530E0" w14:textId="485B290F" w:rsidR="00E82023" w:rsidRPr="00051030" w:rsidRDefault="00ED223E" w:rsidP="00E82023">
            <w:pPr>
              <w:pStyle w:val="TableText"/>
              <w:spacing w:before="0" w:after="0"/>
              <w:jc w:val="center"/>
              <w:rPr>
                <w:rFonts w:cstheme="minorHAnsi"/>
                <w:szCs w:val="20"/>
                <w:highlight w:val="yellow"/>
              </w:rPr>
            </w:pPr>
            <w:r w:rsidRPr="00D46BF9">
              <w:rPr>
                <w:rFonts w:cstheme="minorHAnsi"/>
                <w:b/>
                <w:bCs/>
                <w:szCs w:val="20"/>
              </w:rPr>
              <w:t>$</w:t>
            </w:r>
            <w:r w:rsidRPr="00454A7D">
              <w:rPr>
                <w:rFonts w:cstheme="minorHAnsi"/>
                <w:b/>
                <w:bCs/>
                <w:szCs w:val="20"/>
              </w:rPr>
              <w:t>Redacted</w:t>
            </w:r>
            <w:r>
              <w:rPr>
                <w:rFonts w:cstheme="minorHAnsi"/>
                <w:szCs w:val="20"/>
                <w:vertAlign w:val="superscript"/>
              </w:rPr>
              <w:t>3</w:t>
            </w:r>
          </w:p>
        </w:tc>
      </w:tr>
    </w:tbl>
    <w:p w14:paraId="48973F33" w14:textId="77777777" w:rsidR="00ED223E" w:rsidRDefault="00ED223E" w:rsidP="00ED223E">
      <w:pPr>
        <w:pStyle w:val="TableFooter"/>
        <w:rPr>
          <w:lang w:eastAsia="en-AU"/>
        </w:rPr>
      </w:pPr>
      <w:r>
        <w:rPr>
          <w:lang w:eastAsia="en-AU"/>
        </w:rPr>
        <w:t>The redacted values correspond to the following ranges:</w:t>
      </w:r>
    </w:p>
    <w:p w14:paraId="6D60621D" w14:textId="77777777" w:rsidR="00ED223E" w:rsidRDefault="00ED223E" w:rsidP="00ED223E">
      <w:pPr>
        <w:pStyle w:val="TableFooter"/>
        <w:rPr>
          <w:lang w:eastAsia="en-AU"/>
        </w:rPr>
      </w:pPr>
      <w:r>
        <w:rPr>
          <w:vertAlign w:val="superscript"/>
          <w:lang w:eastAsia="en-AU"/>
        </w:rPr>
        <w:t>1</w:t>
      </w:r>
      <w:r>
        <w:rPr>
          <w:lang w:eastAsia="en-AU"/>
        </w:rPr>
        <w:t xml:space="preserve"> $5,000 to &lt; $15,000</w:t>
      </w:r>
    </w:p>
    <w:p w14:paraId="25A0E387" w14:textId="396E66D3" w:rsidR="00ED223E" w:rsidRDefault="00ED223E" w:rsidP="00ED223E">
      <w:pPr>
        <w:pStyle w:val="TableFooter"/>
        <w:rPr>
          <w:lang w:eastAsia="en-AU"/>
        </w:rPr>
      </w:pPr>
      <w:r w:rsidRPr="00637C8D">
        <w:rPr>
          <w:vertAlign w:val="superscript"/>
          <w:lang w:eastAsia="en-AU"/>
        </w:rPr>
        <w:t>2</w:t>
      </w:r>
      <w:r>
        <w:rPr>
          <w:lang w:eastAsia="en-AU"/>
        </w:rPr>
        <w:t xml:space="preserve"> $0 to &lt; $5,000</w:t>
      </w:r>
      <w:r w:rsidRPr="00C81E0C">
        <w:rPr>
          <w:lang w:eastAsia="en-AU"/>
        </w:rPr>
        <w:t> </w:t>
      </w:r>
    </w:p>
    <w:p w14:paraId="28458896" w14:textId="7284B8D4" w:rsidR="00ED223E" w:rsidRDefault="00ED223E" w:rsidP="00ED223E">
      <w:pPr>
        <w:pStyle w:val="TableFooter"/>
        <w:rPr>
          <w:lang w:eastAsia="en-AU"/>
        </w:rPr>
      </w:pPr>
      <w:r>
        <w:rPr>
          <w:vertAlign w:val="superscript"/>
          <w:lang w:eastAsia="en-AU"/>
        </w:rPr>
        <w:t>3</w:t>
      </w:r>
      <w:r>
        <w:rPr>
          <w:lang w:eastAsia="en-AU"/>
        </w:rPr>
        <w:t xml:space="preserve"> $15,000 to &lt; $25,000</w:t>
      </w:r>
      <w:r w:rsidRPr="00C81E0C">
        <w:rPr>
          <w:lang w:eastAsia="en-AU"/>
        </w:rPr>
        <w:t> </w:t>
      </w:r>
    </w:p>
    <w:p w14:paraId="0E95B478" w14:textId="3A6F9C8C" w:rsidR="00ED223E" w:rsidRDefault="00ED223E" w:rsidP="00ED223E">
      <w:pPr>
        <w:pStyle w:val="TableFooter"/>
        <w:rPr>
          <w:lang w:eastAsia="en-AU"/>
        </w:rPr>
      </w:pPr>
      <w:r>
        <w:rPr>
          <w:vertAlign w:val="superscript"/>
          <w:lang w:eastAsia="en-AU"/>
        </w:rPr>
        <w:t>4</w:t>
      </w:r>
      <w:r>
        <w:rPr>
          <w:lang w:eastAsia="en-AU"/>
        </w:rPr>
        <w:t xml:space="preserve"> $25,000 to &lt; $35,000</w:t>
      </w:r>
    </w:p>
    <w:p w14:paraId="20390822" w14:textId="7F8CDE2C" w:rsidR="00ED223E" w:rsidRDefault="00ED223E" w:rsidP="00ED223E">
      <w:pPr>
        <w:pStyle w:val="TableFooter"/>
        <w:rPr>
          <w:lang w:eastAsia="en-AU"/>
        </w:rPr>
      </w:pPr>
      <w:r>
        <w:rPr>
          <w:vertAlign w:val="superscript"/>
          <w:lang w:eastAsia="en-AU"/>
        </w:rPr>
        <w:t>5</w:t>
      </w:r>
      <w:r>
        <w:rPr>
          <w:lang w:eastAsia="en-AU"/>
        </w:rPr>
        <w:t xml:space="preserve"> $45,000 to &lt; $55,000</w:t>
      </w:r>
    </w:p>
    <w:p w14:paraId="6A991B92" w14:textId="681F99A3" w:rsidR="00ED223E" w:rsidRPr="00E43714" w:rsidRDefault="00ED223E" w:rsidP="00E43714">
      <w:pPr>
        <w:pStyle w:val="TableFooter"/>
        <w:rPr>
          <w:lang w:eastAsia="en-AU"/>
        </w:rPr>
      </w:pPr>
      <w:r>
        <w:rPr>
          <w:vertAlign w:val="superscript"/>
          <w:lang w:eastAsia="en-AU"/>
        </w:rPr>
        <w:t>6</w:t>
      </w:r>
      <w:r>
        <w:rPr>
          <w:lang w:eastAsia="en-AU"/>
        </w:rPr>
        <w:t xml:space="preserve"> $35,000 to &lt; $45.000</w:t>
      </w:r>
    </w:p>
    <w:p w14:paraId="61A17974" w14:textId="03D3ACCE" w:rsidR="009525F1" w:rsidRPr="00C54615" w:rsidRDefault="009525F1" w:rsidP="00A21958">
      <w:pPr>
        <w:pStyle w:val="In-tableHeading"/>
        <w:spacing w:before="240"/>
        <w:rPr>
          <w:rFonts w:cstheme="minorHAnsi"/>
          <w:szCs w:val="20"/>
        </w:rPr>
      </w:pPr>
      <w:r w:rsidRPr="00C54615">
        <w:rPr>
          <w:rFonts w:cstheme="minorHAnsi"/>
          <w:szCs w:val="20"/>
        </w:rPr>
        <w:t>Table 2</w:t>
      </w:r>
      <w:r w:rsidR="00C259B0" w:rsidRPr="00C54615">
        <w:rPr>
          <w:rFonts w:cstheme="minorHAnsi"/>
          <w:szCs w:val="20"/>
        </w:rPr>
        <w:t>0</w:t>
      </w:r>
      <w:r w:rsidRPr="00C54615">
        <w:rPr>
          <w:rFonts w:cstheme="minorHAnsi"/>
          <w:szCs w:val="20"/>
        </w:rPr>
        <w:t xml:space="preserve">: </w:t>
      </w:r>
      <w:r w:rsidRPr="00C54615">
        <w:rPr>
          <w:rFonts w:cstheme="minorHAnsi"/>
          <w:szCs w:val="20"/>
        </w:rPr>
        <w:tab/>
      </w:r>
      <w:r w:rsidR="001D2AC1" w:rsidRPr="00C54615">
        <w:rPr>
          <w:rFonts w:cstheme="minorHAnsi"/>
          <w:szCs w:val="20"/>
        </w:rPr>
        <w:t>Additional sensitivity analyses</w:t>
      </w:r>
      <w:r w:rsidR="00A4779E" w:rsidRPr="00C54615">
        <w:rPr>
          <w:rFonts w:cstheme="minorHAnsi"/>
          <w:szCs w:val="20"/>
        </w:rPr>
        <w:t xml:space="preserve"> requested based on </w:t>
      </w:r>
      <w:r w:rsidR="00873DD7" w:rsidRPr="00C54615">
        <w:rPr>
          <w:rFonts w:cstheme="minorHAnsi"/>
          <w:szCs w:val="20"/>
        </w:rPr>
        <w:t>varying complication costs (#1), varying treatment effects (#2) and multiva</w:t>
      </w:r>
      <w:r w:rsidR="00C259B0" w:rsidRPr="00C54615">
        <w:rPr>
          <w:rFonts w:cstheme="minorHAnsi"/>
          <w:szCs w:val="20"/>
        </w:rPr>
        <w:t xml:space="preserve">riate analysis </w:t>
      </w:r>
      <w:r w:rsidRPr="00C54615">
        <w:rPr>
          <w:rFonts w:cstheme="minorHAnsi"/>
          <w:szCs w:val="20"/>
        </w:rPr>
        <w:t xml:space="preserve">– IIT and non-IIT subpopulations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9"/>
        <w:gridCol w:w="1962"/>
        <w:gridCol w:w="1646"/>
        <w:gridCol w:w="1699"/>
      </w:tblGrid>
      <w:tr w:rsidR="009525F1" w:rsidRPr="00C259B0" w14:paraId="6F3785AF" w14:textId="77777777" w:rsidTr="00037488">
        <w:trPr>
          <w:cantSplit/>
          <w:trHeight w:val="50"/>
        </w:trPr>
        <w:tc>
          <w:tcPr>
            <w:tcW w:w="2057" w:type="pct"/>
            <w:shd w:val="clear" w:color="auto" w:fill="D9D9D9" w:themeFill="background1" w:themeFillShade="D9"/>
            <w:vAlign w:val="center"/>
          </w:tcPr>
          <w:p w14:paraId="0ABD333B" w14:textId="77777777" w:rsidR="009525F1" w:rsidRPr="00C54615" w:rsidRDefault="009525F1" w:rsidP="00AD51B4">
            <w:pPr>
              <w:pStyle w:val="In-tableHeading"/>
              <w:rPr>
                <w:rFonts w:cstheme="minorHAnsi"/>
                <w:szCs w:val="20"/>
              </w:rPr>
            </w:pPr>
            <w:r w:rsidRPr="00C54615">
              <w:rPr>
                <w:rFonts w:cstheme="minorHAnsi"/>
                <w:szCs w:val="20"/>
              </w:rPr>
              <w:t>Analyses</w:t>
            </w:r>
          </w:p>
        </w:tc>
        <w:tc>
          <w:tcPr>
            <w:tcW w:w="1088" w:type="pct"/>
            <w:shd w:val="clear" w:color="auto" w:fill="D9D9D9" w:themeFill="background1" w:themeFillShade="D9"/>
            <w:vAlign w:val="center"/>
          </w:tcPr>
          <w:p w14:paraId="17631AFA" w14:textId="77777777" w:rsidR="009525F1" w:rsidRPr="00C54615" w:rsidRDefault="009525F1" w:rsidP="00AD51B4">
            <w:pPr>
              <w:pStyle w:val="In-tableHeading"/>
              <w:jc w:val="center"/>
              <w:rPr>
                <w:rFonts w:cstheme="minorHAnsi"/>
                <w:szCs w:val="20"/>
              </w:rPr>
            </w:pPr>
            <w:r w:rsidRPr="00C54615">
              <w:rPr>
                <w:rFonts w:cstheme="minorHAnsi"/>
                <w:szCs w:val="20"/>
              </w:rPr>
              <w:t>Incremental cost</w:t>
            </w:r>
          </w:p>
        </w:tc>
        <w:tc>
          <w:tcPr>
            <w:tcW w:w="913" w:type="pct"/>
            <w:shd w:val="clear" w:color="auto" w:fill="D9D9D9" w:themeFill="background1" w:themeFillShade="D9"/>
            <w:vAlign w:val="center"/>
          </w:tcPr>
          <w:p w14:paraId="500EB9AB" w14:textId="77777777" w:rsidR="009525F1" w:rsidRPr="00C54615" w:rsidRDefault="009525F1" w:rsidP="00AD51B4">
            <w:pPr>
              <w:pStyle w:val="In-tableHeading"/>
              <w:jc w:val="center"/>
              <w:rPr>
                <w:rFonts w:cstheme="minorHAnsi"/>
                <w:szCs w:val="20"/>
              </w:rPr>
            </w:pPr>
            <w:r w:rsidRPr="00C54615">
              <w:rPr>
                <w:rFonts w:cstheme="minorHAnsi"/>
                <w:szCs w:val="20"/>
              </w:rPr>
              <w:t>Incremental QALY</w:t>
            </w:r>
          </w:p>
        </w:tc>
        <w:tc>
          <w:tcPr>
            <w:tcW w:w="942" w:type="pct"/>
            <w:shd w:val="clear" w:color="auto" w:fill="D9D9D9" w:themeFill="background1" w:themeFillShade="D9"/>
            <w:vAlign w:val="center"/>
          </w:tcPr>
          <w:p w14:paraId="5FF5AE95" w14:textId="77777777" w:rsidR="009525F1" w:rsidRPr="00C54615" w:rsidRDefault="009525F1" w:rsidP="00AD51B4">
            <w:pPr>
              <w:pStyle w:val="In-tableHeading"/>
              <w:jc w:val="center"/>
              <w:rPr>
                <w:rFonts w:cstheme="minorHAnsi"/>
                <w:szCs w:val="20"/>
              </w:rPr>
            </w:pPr>
            <w:r w:rsidRPr="00C54615">
              <w:rPr>
                <w:rFonts w:cstheme="minorHAnsi"/>
                <w:szCs w:val="20"/>
              </w:rPr>
              <w:t>ICER ($/QALY gained)</w:t>
            </w:r>
          </w:p>
        </w:tc>
      </w:tr>
      <w:tr w:rsidR="009525F1" w:rsidRPr="00C259B0" w14:paraId="52EE4564" w14:textId="77777777" w:rsidTr="00AD51B4">
        <w:trPr>
          <w:cantSplit/>
          <w:trHeight w:val="50"/>
        </w:trPr>
        <w:tc>
          <w:tcPr>
            <w:tcW w:w="5000" w:type="pct"/>
            <w:gridSpan w:val="4"/>
            <w:shd w:val="clear" w:color="auto" w:fill="DEEAF6" w:themeFill="accent1" w:themeFillTint="33"/>
          </w:tcPr>
          <w:p w14:paraId="40107892" w14:textId="77777777" w:rsidR="009525F1" w:rsidRPr="00C54615" w:rsidRDefault="009525F1" w:rsidP="00AD51B4">
            <w:pPr>
              <w:pStyle w:val="TableText"/>
              <w:spacing w:before="0" w:after="0"/>
              <w:rPr>
                <w:rFonts w:cstheme="minorHAnsi"/>
                <w:b/>
                <w:szCs w:val="20"/>
              </w:rPr>
            </w:pPr>
            <w:r w:rsidRPr="00C54615">
              <w:rPr>
                <w:rFonts w:cstheme="minorHAnsi"/>
                <w:b/>
                <w:szCs w:val="20"/>
              </w:rPr>
              <w:t xml:space="preserve">Sensitivity analysis #1 </w:t>
            </w:r>
            <w:r w:rsidRPr="00C54615">
              <w:rPr>
                <w:rFonts w:cstheme="minorHAnsi"/>
                <w:b/>
                <w:szCs w:val="20"/>
                <w:vertAlign w:val="superscript"/>
              </w:rPr>
              <w:t>a</w:t>
            </w:r>
          </w:p>
        </w:tc>
      </w:tr>
      <w:tr w:rsidR="009525F1" w:rsidRPr="00C259B0" w14:paraId="17804838" w14:textId="77777777" w:rsidTr="00AD51B4">
        <w:trPr>
          <w:cantSplit/>
          <w:trHeight w:val="50"/>
        </w:trPr>
        <w:tc>
          <w:tcPr>
            <w:tcW w:w="5000" w:type="pct"/>
            <w:gridSpan w:val="4"/>
            <w:shd w:val="clear" w:color="auto" w:fill="FFFFFF" w:themeFill="background1"/>
          </w:tcPr>
          <w:p w14:paraId="19E8EAB1" w14:textId="77777777" w:rsidR="009525F1" w:rsidRPr="00C54615" w:rsidRDefault="009525F1" w:rsidP="00AD51B4">
            <w:pPr>
              <w:pStyle w:val="TableText"/>
              <w:spacing w:before="0" w:after="0"/>
              <w:rPr>
                <w:rFonts w:cstheme="minorHAnsi"/>
                <w:b/>
                <w:bCs/>
                <w:szCs w:val="20"/>
              </w:rPr>
            </w:pPr>
            <w:r w:rsidRPr="00C54615">
              <w:rPr>
                <w:rFonts w:cstheme="minorHAnsi"/>
                <w:b/>
                <w:szCs w:val="20"/>
              </w:rPr>
              <w:t xml:space="preserve">IIT subpopulation </w:t>
            </w:r>
          </w:p>
        </w:tc>
      </w:tr>
      <w:tr w:rsidR="00FA786A" w:rsidRPr="00C259B0" w14:paraId="65909272" w14:textId="77777777" w:rsidTr="00037488">
        <w:trPr>
          <w:cantSplit/>
        </w:trPr>
        <w:tc>
          <w:tcPr>
            <w:tcW w:w="2057" w:type="pct"/>
          </w:tcPr>
          <w:p w14:paraId="2F5F3D80" w14:textId="77777777" w:rsidR="00FA786A" w:rsidRPr="00C54615" w:rsidRDefault="00FA786A" w:rsidP="00FA786A">
            <w:pPr>
              <w:pStyle w:val="TableText"/>
              <w:spacing w:before="0" w:after="0"/>
              <w:rPr>
                <w:rFonts w:cstheme="minorHAnsi"/>
                <w:b/>
                <w:szCs w:val="20"/>
              </w:rPr>
            </w:pPr>
            <w:r w:rsidRPr="00C54615">
              <w:rPr>
                <w:rFonts w:cstheme="minorHAnsi"/>
                <w:b/>
                <w:szCs w:val="20"/>
              </w:rPr>
              <w:t>Base case (UKPDS)</w:t>
            </w:r>
          </w:p>
        </w:tc>
        <w:tc>
          <w:tcPr>
            <w:tcW w:w="1088" w:type="pct"/>
          </w:tcPr>
          <w:p w14:paraId="73C710F8" w14:textId="580B6704" w:rsidR="00FA786A" w:rsidRPr="00051030" w:rsidRDefault="00FA786A" w:rsidP="00FA786A">
            <w:pPr>
              <w:pStyle w:val="TableText"/>
              <w:spacing w:before="0" w:after="0"/>
              <w:jc w:val="center"/>
              <w:rPr>
                <w:rFonts w:cstheme="minorHAnsi"/>
                <w:b/>
                <w:szCs w:val="20"/>
                <w:highlight w:val="yellow"/>
              </w:rPr>
            </w:pPr>
            <w:r w:rsidRPr="004A46C2">
              <w:rPr>
                <w:rFonts w:cstheme="minorHAnsi"/>
                <w:szCs w:val="20"/>
              </w:rPr>
              <w:t>$</w:t>
            </w:r>
            <w:r w:rsidRPr="004A46C2">
              <w:rPr>
                <w:rFonts w:cstheme="minorHAnsi"/>
                <w:b/>
                <w:bCs/>
                <w:szCs w:val="20"/>
              </w:rPr>
              <w:t>Redacted</w:t>
            </w:r>
          </w:p>
        </w:tc>
        <w:tc>
          <w:tcPr>
            <w:tcW w:w="913" w:type="pct"/>
          </w:tcPr>
          <w:p w14:paraId="36E2E026" w14:textId="77777777" w:rsidR="00FA786A" w:rsidRPr="00C54615" w:rsidRDefault="00FA786A" w:rsidP="00FA786A">
            <w:pPr>
              <w:pStyle w:val="TableText"/>
              <w:spacing w:before="0" w:after="0"/>
              <w:jc w:val="center"/>
              <w:rPr>
                <w:rFonts w:cstheme="minorHAnsi"/>
                <w:b/>
                <w:szCs w:val="20"/>
              </w:rPr>
            </w:pPr>
            <w:r w:rsidRPr="00C54615">
              <w:rPr>
                <w:rFonts w:cstheme="minorHAnsi"/>
                <w:b/>
                <w:szCs w:val="20"/>
              </w:rPr>
              <w:t>0.511</w:t>
            </w:r>
          </w:p>
        </w:tc>
        <w:tc>
          <w:tcPr>
            <w:tcW w:w="942" w:type="pct"/>
          </w:tcPr>
          <w:p w14:paraId="38BDD491" w14:textId="0ACD77FF" w:rsidR="00FA786A" w:rsidRPr="00051030" w:rsidRDefault="00037488" w:rsidP="00FA786A">
            <w:pPr>
              <w:pStyle w:val="TableText"/>
              <w:spacing w:before="0" w:after="0"/>
              <w:jc w:val="center"/>
              <w:rPr>
                <w:rFonts w:cstheme="minorHAnsi"/>
                <w:b/>
                <w:szCs w:val="20"/>
                <w:highlight w:val="yellow"/>
              </w:rPr>
            </w:pPr>
            <w:r w:rsidRPr="004A46C2">
              <w:rPr>
                <w:rFonts w:cstheme="minorHAnsi"/>
                <w:szCs w:val="20"/>
              </w:rPr>
              <w:t>$</w:t>
            </w:r>
            <w:r w:rsidRPr="004A46C2">
              <w:rPr>
                <w:rFonts w:cstheme="minorHAnsi"/>
                <w:b/>
                <w:bCs/>
                <w:szCs w:val="20"/>
              </w:rPr>
              <w:t>Redacted</w:t>
            </w:r>
            <w:r w:rsidRPr="00051030">
              <w:rPr>
                <w:rFonts w:cstheme="minorHAnsi"/>
                <w:szCs w:val="20"/>
                <w:vertAlign w:val="superscript"/>
              </w:rPr>
              <w:t>1</w:t>
            </w:r>
          </w:p>
        </w:tc>
      </w:tr>
      <w:tr w:rsidR="00037488" w:rsidRPr="00C259B0" w14:paraId="5996EBC9" w14:textId="77777777" w:rsidTr="00037488">
        <w:trPr>
          <w:cantSplit/>
          <w:trHeight w:val="50"/>
        </w:trPr>
        <w:tc>
          <w:tcPr>
            <w:tcW w:w="2057" w:type="pct"/>
            <w:vAlign w:val="center"/>
          </w:tcPr>
          <w:p w14:paraId="764EFC19" w14:textId="77777777" w:rsidR="00037488" w:rsidRPr="00C54615" w:rsidRDefault="00037488" w:rsidP="00037488">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4F2A3F5F" w14:textId="0D483A7A" w:rsidR="00037488" w:rsidRPr="00051030" w:rsidRDefault="00037488" w:rsidP="00037488">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p>
        </w:tc>
        <w:tc>
          <w:tcPr>
            <w:tcW w:w="913" w:type="pct"/>
          </w:tcPr>
          <w:p w14:paraId="22CDF5C2" w14:textId="77777777" w:rsidR="00037488" w:rsidRPr="00C54615" w:rsidRDefault="00037488" w:rsidP="00037488">
            <w:pPr>
              <w:pStyle w:val="TableText"/>
              <w:spacing w:before="0" w:after="0"/>
              <w:jc w:val="center"/>
              <w:rPr>
                <w:rFonts w:eastAsia="Calibri" w:cstheme="minorHAnsi"/>
                <w:szCs w:val="20"/>
              </w:rPr>
            </w:pPr>
            <w:r w:rsidRPr="00C54615">
              <w:rPr>
                <w:rFonts w:eastAsia="Calibri" w:cstheme="minorHAnsi"/>
                <w:szCs w:val="20"/>
              </w:rPr>
              <w:t>0.511</w:t>
            </w:r>
          </w:p>
        </w:tc>
        <w:tc>
          <w:tcPr>
            <w:tcW w:w="942" w:type="pct"/>
          </w:tcPr>
          <w:p w14:paraId="5259C993" w14:textId="6D4E908C" w:rsidR="00037488" w:rsidRPr="00051030" w:rsidRDefault="00037488" w:rsidP="00037488">
            <w:pPr>
              <w:pStyle w:val="TableText"/>
              <w:spacing w:before="0" w:after="0"/>
              <w:jc w:val="center"/>
              <w:rPr>
                <w:rFonts w:eastAsia="Calibri" w:cstheme="minorHAnsi"/>
                <w:szCs w:val="20"/>
                <w:highlight w:val="yellow"/>
              </w:rPr>
            </w:pPr>
            <w:r w:rsidRPr="00232828">
              <w:rPr>
                <w:rFonts w:cstheme="minorHAnsi"/>
                <w:szCs w:val="20"/>
              </w:rPr>
              <w:t>$</w:t>
            </w:r>
            <w:r w:rsidRPr="00232828">
              <w:rPr>
                <w:rFonts w:cstheme="minorHAnsi"/>
                <w:b/>
                <w:bCs/>
                <w:szCs w:val="20"/>
              </w:rPr>
              <w:t>Redacted</w:t>
            </w:r>
            <w:r w:rsidRPr="00232828">
              <w:rPr>
                <w:rFonts w:cstheme="minorHAnsi"/>
                <w:szCs w:val="20"/>
                <w:vertAlign w:val="superscript"/>
              </w:rPr>
              <w:t>1</w:t>
            </w:r>
          </w:p>
        </w:tc>
      </w:tr>
      <w:tr w:rsidR="00037488" w:rsidRPr="00C259B0" w14:paraId="48DDBB39" w14:textId="77777777" w:rsidTr="00037488">
        <w:trPr>
          <w:cantSplit/>
          <w:trHeight w:val="50"/>
        </w:trPr>
        <w:tc>
          <w:tcPr>
            <w:tcW w:w="2057" w:type="pct"/>
            <w:vAlign w:val="center"/>
          </w:tcPr>
          <w:p w14:paraId="0DE060A1" w14:textId="77777777" w:rsidR="00037488" w:rsidRPr="00C54615" w:rsidRDefault="00037488" w:rsidP="00037488">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73E7B576" w14:textId="5AA81BE9" w:rsidR="00037488" w:rsidRPr="00051030" w:rsidRDefault="00037488" w:rsidP="00037488">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p>
        </w:tc>
        <w:tc>
          <w:tcPr>
            <w:tcW w:w="913" w:type="pct"/>
          </w:tcPr>
          <w:p w14:paraId="1B2959D2" w14:textId="77777777" w:rsidR="00037488" w:rsidRPr="00C54615" w:rsidRDefault="00037488" w:rsidP="00037488">
            <w:pPr>
              <w:pStyle w:val="TableText"/>
              <w:spacing w:before="0" w:after="0"/>
              <w:jc w:val="center"/>
              <w:rPr>
                <w:rFonts w:eastAsia="Calibri" w:cstheme="minorHAnsi"/>
                <w:szCs w:val="20"/>
              </w:rPr>
            </w:pPr>
            <w:r w:rsidRPr="00C54615">
              <w:rPr>
                <w:rFonts w:eastAsia="Calibri" w:cstheme="minorHAnsi"/>
                <w:szCs w:val="20"/>
              </w:rPr>
              <w:t>0.511</w:t>
            </w:r>
          </w:p>
        </w:tc>
        <w:tc>
          <w:tcPr>
            <w:tcW w:w="942" w:type="pct"/>
          </w:tcPr>
          <w:p w14:paraId="1C677AC6" w14:textId="7E439BDF" w:rsidR="00037488" w:rsidRPr="00051030" w:rsidRDefault="00037488" w:rsidP="00037488">
            <w:pPr>
              <w:pStyle w:val="TableText"/>
              <w:spacing w:before="0" w:after="0"/>
              <w:jc w:val="center"/>
              <w:rPr>
                <w:rFonts w:eastAsia="Calibri" w:cstheme="minorHAnsi"/>
                <w:szCs w:val="20"/>
                <w:highlight w:val="yellow"/>
              </w:rPr>
            </w:pPr>
            <w:r w:rsidRPr="00232828">
              <w:rPr>
                <w:rFonts w:cstheme="minorHAnsi"/>
                <w:szCs w:val="20"/>
              </w:rPr>
              <w:t>$</w:t>
            </w:r>
            <w:r w:rsidRPr="00232828">
              <w:rPr>
                <w:rFonts w:cstheme="minorHAnsi"/>
                <w:b/>
                <w:bCs/>
                <w:szCs w:val="20"/>
              </w:rPr>
              <w:t>Redacted</w:t>
            </w:r>
            <w:r w:rsidRPr="00232828">
              <w:rPr>
                <w:rFonts w:cstheme="minorHAnsi"/>
                <w:szCs w:val="20"/>
                <w:vertAlign w:val="superscript"/>
              </w:rPr>
              <w:t>1</w:t>
            </w:r>
          </w:p>
        </w:tc>
      </w:tr>
      <w:tr w:rsidR="00037488" w:rsidRPr="00C259B0" w14:paraId="29E5CF08" w14:textId="77777777" w:rsidTr="00037488">
        <w:trPr>
          <w:cantSplit/>
          <w:trHeight w:val="50"/>
        </w:trPr>
        <w:tc>
          <w:tcPr>
            <w:tcW w:w="2057" w:type="pct"/>
            <w:vAlign w:val="center"/>
          </w:tcPr>
          <w:p w14:paraId="7D644382" w14:textId="77777777" w:rsidR="00037488" w:rsidRPr="00C54615" w:rsidRDefault="00037488" w:rsidP="00037488">
            <w:pPr>
              <w:pStyle w:val="TableText"/>
              <w:spacing w:before="0" w:after="0"/>
              <w:rPr>
                <w:rFonts w:cstheme="minorHAnsi"/>
                <w:szCs w:val="20"/>
              </w:rPr>
            </w:pPr>
            <w:r w:rsidRPr="00C54615">
              <w:rPr>
                <w:rFonts w:cstheme="minorHAnsi"/>
                <w:b/>
                <w:szCs w:val="20"/>
              </w:rPr>
              <w:t>Base case (Fremantle)</w:t>
            </w:r>
          </w:p>
        </w:tc>
        <w:tc>
          <w:tcPr>
            <w:tcW w:w="1088" w:type="pct"/>
          </w:tcPr>
          <w:p w14:paraId="0A7ECF36" w14:textId="02BFBF3D" w:rsidR="00037488" w:rsidRPr="00051030" w:rsidRDefault="00037488" w:rsidP="00037488">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p>
        </w:tc>
        <w:tc>
          <w:tcPr>
            <w:tcW w:w="913" w:type="pct"/>
          </w:tcPr>
          <w:p w14:paraId="3DDFFD32" w14:textId="77777777" w:rsidR="00037488" w:rsidRPr="00C54615" w:rsidRDefault="00037488" w:rsidP="00037488">
            <w:pPr>
              <w:pStyle w:val="TableText"/>
              <w:spacing w:before="0" w:after="0"/>
              <w:jc w:val="center"/>
              <w:rPr>
                <w:rFonts w:eastAsia="Calibri" w:cstheme="minorHAnsi"/>
                <w:szCs w:val="20"/>
              </w:rPr>
            </w:pPr>
            <w:r w:rsidRPr="00C54615">
              <w:rPr>
                <w:rFonts w:eastAsia="Calibri" w:cstheme="minorHAnsi"/>
                <w:b/>
                <w:bCs/>
                <w:szCs w:val="20"/>
              </w:rPr>
              <w:t>0.579</w:t>
            </w:r>
          </w:p>
        </w:tc>
        <w:tc>
          <w:tcPr>
            <w:tcW w:w="942" w:type="pct"/>
          </w:tcPr>
          <w:p w14:paraId="550131F1" w14:textId="11183924" w:rsidR="00037488" w:rsidRPr="00051030" w:rsidRDefault="00037488" w:rsidP="00037488">
            <w:pPr>
              <w:pStyle w:val="TableText"/>
              <w:spacing w:before="0" w:after="0"/>
              <w:jc w:val="center"/>
              <w:rPr>
                <w:rFonts w:eastAsia="Calibri" w:cstheme="minorHAnsi"/>
                <w:szCs w:val="20"/>
                <w:highlight w:val="yellow"/>
              </w:rPr>
            </w:pPr>
            <w:r w:rsidRPr="00232828">
              <w:rPr>
                <w:rFonts w:cstheme="minorHAnsi"/>
                <w:szCs w:val="20"/>
              </w:rPr>
              <w:t>$</w:t>
            </w:r>
            <w:r w:rsidRPr="00232828">
              <w:rPr>
                <w:rFonts w:cstheme="minorHAnsi"/>
                <w:b/>
                <w:bCs/>
                <w:szCs w:val="20"/>
              </w:rPr>
              <w:t>Redacted</w:t>
            </w:r>
            <w:r w:rsidRPr="00232828">
              <w:rPr>
                <w:rFonts w:cstheme="minorHAnsi"/>
                <w:szCs w:val="20"/>
                <w:vertAlign w:val="superscript"/>
              </w:rPr>
              <w:t>1</w:t>
            </w:r>
          </w:p>
        </w:tc>
      </w:tr>
      <w:tr w:rsidR="00037488" w:rsidRPr="00C259B0" w14:paraId="5A43D32E" w14:textId="77777777" w:rsidTr="00037488">
        <w:trPr>
          <w:cantSplit/>
          <w:trHeight w:val="50"/>
        </w:trPr>
        <w:tc>
          <w:tcPr>
            <w:tcW w:w="2057" w:type="pct"/>
            <w:vAlign w:val="center"/>
          </w:tcPr>
          <w:p w14:paraId="70442FA2" w14:textId="77777777" w:rsidR="00037488" w:rsidRPr="00C54615" w:rsidRDefault="00037488" w:rsidP="00037488">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02E44FDE" w14:textId="6954D379" w:rsidR="00037488" w:rsidRPr="00051030" w:rsidRDefault="00037488" w:rsidP="00037488">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p>
        </w:tc>
        <w:tc>
          <w:tcPr>
            <w:tcW w:w="913" w:type="pct"/>
          </w:tcPr>
          <w:p w14:paraId="0BD8AE6D" w14:textId="77777777" w:rsidR="00037488" w:rsidRPr="00C54615" w:rsidRDefault="00037488" w:rsidP="00037488">
            <w:pPr>
              <w:pStyle w:val="TableText"/>
              <w:spacing w:before="0" w:after="0"/>
              <w:jc w:val="center"/>
              <w:rPr>
                <w:rFonts w:eastAsia="Calibri" w:cstheme="minorHAnsi"/>
                <w:szCs w:val="20"/>
              </w:rPr>
            </w:pPr>
            <w:r w:rsidRPr="00C54615">
              <w:rPr>
                <w:rFonts w:eastAsia="Calibri" w:cstheme="minorHAnsi"/>
                <w:szCs w:val="20"/>
              </w:rPr>
              <w:t>0.579</w:t>
            </w:r>
          </w:p>
        </w:tc>
        <w:tc>
          <w:tcPr>
            <w:tcW w:w="942" w:type="pct"/>
          </w:tcPr>
          <w:p w14:paraId="12A8369D" w14:textId="7641BF0B" w:rsidR="00037488" w:rsidRPr="00051030" w:rsidRDefault="00037488" w:rsidP="00037488">
            <w:pPr>
              <w:pStyle w:val="TableText"/>
              <w:spacing w:before="0" w:after="0"/>
              <w:jc w:val="center"/>
              <w:rPr>
                <w:rFonts w:eastAsia="Calibri" w:cstheme="minorHAnsi"/>
                <w:szCs w:val="20"/>
                <w:highlight w:val="yellow"/>
              </w:rPr>
            </w:pPr>
            <w:r w:rsidRPr="00232828">
              <w:rPr>
                <w:rFonts w:cstheme="minorHAnsi"/>
                <w:szCs w:val="20"/>
              </w:rPr>
              <w:t>$</w:t>
            </w:r>
            <w:r w:rsidRPr="00232828">
              <w:rPr>
                <w:rFonts w:cstheme="minorHAnsi"/>
                <w:b/>
                <w:bCs/>
                <w:szCs w:val="20"/>
              </w:rPr>
              <w:t>Redacted</w:t>
            </w:r>
            <w:r w:rsidRPr="00232828">
              <w:rPr>
                <w:rFonts w:cstheme="minorHAnsi"/>
                <w:szCs w:val="20"/>
                <w:vertAlign w:val="superscript"/>
              </w:rPr>
              <w:t>1</w:t>
            </w:r>
          </w:p>
        </w:tc>
      </w:tr>
      <w:tr w:rsidR="00037488" w:rsidRPr="00C259B0" w14:paraId="0EFA3662" w14:textId="77777777" w:rsidTr="00037488">
        <w:trPr>
          <w:cantSplit/>
          <w:trHeight w:val="50"/>
        </w:trPr>
        <w:tc>
          <w:tcPr>
            <w:tcW w:w="2057" w:type="pct"/>
            <w:vAlign w:val="center"/>
          </w:tcPr>
          <w:p w14:paraId="77097877" w14:textId="77777777" w:rsidR="00037488" w:rsidRPr="00C54615" w:rsidRDefault="00037488" w:rsidP="00037488">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415F7334" w14:textId="534AED06" w:rsidR="00037488" w:rsidRPr="00051030" w:rsidRDefault="00037488" w:rsidP="00037488">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p>
        </w:tc>
        <w:tc>
          <w:tcPr>
            <w:tcW w:w="913" w:type="pct"/>
          </w:tcPr>
          <w:p w14:paraId="05D3630B" w14:textId="77777777" w:rsidR="00037488" w:rsidRPr="00C54615" w:rsidRDefault="00037488" w:rsidP="00037488">
            <w:pPr>
              <w:pStyle w:val="TableText"/>
              <w:spacing w:before="0" w:after="0"/>
              <w:jc w:val="center"/>
              <w:rPr>
                <w:rFonts w:eastAsia="Calibri" w:cstheme="minorHAnsi"/>
                <w:szCs w:val="20"/>
              </w:rPr>
            </w:pPr>
            <w:r w:rsidRPr="00C54615">
              <w:rPr>
                <w:rFonts w:eastAsia="Calibri" w:cstheme="minorHAnsi"/>
                <w:szCs w:val="20"/>
              </w:rPr>
              <w:t>0.579</w:t>
            </w:r>
          </w:p>
        </w:tc>
        <w:tc>
          <w:tcPr>
            <w:tcW w:w="942" w:type="pct"/>
          </w:tcPr>
          <w:p w14:paraId="198B459C" w14:textId="7C73EBE6" w:rsidR="00037488" w:rsidRPr="00051030" w:rsidRDefault="00037488" w:rsidP="00037488">
            <w:pPr>
              <w:pStyle w:val="TableText"/>
              <w:spacing w:before="0" w:after="0"/>
              <w:jc w:val="center"/>
              <w:rPr>
                <w:rFonts w:eastAsia="Calibri" w:cstheme="minorHAnsi"/>
                <w:szCs w:val="20"/>
                <w:highlight w:val="yellow"/>
              </w:rPr>
            </w:pPr>
            <w:r w:rsidRPr="00232828">
              <w:rPr>
                <w:rFonts w:cstheme="minorHAnsi"/>
                <w:szCs w:val="20"/>
              </w:rPr>
              <w:t>$</w:t>
            </w:r>
            <w:r w:rsidRPr="00232828">
              <w:rPr>
                <w:rFonts w:cstheme="minorHAnsi"/>
                <w:b/>
                <w:bCs/>
                <w:szCs w:val="20"/>
              </w:rPr>
              <w:t>Redacted</w:t>
            </w:r>
            <w:r w:rsidRPr="00232828">
              <w:rPr>
                <w:rFonts w:cstheme="minorHAnsi"/>
                <w:szCs w:val="20"/>
                <w:vertAlign w:val="superscript"/>
              </w:rPr>
              <w:t>1</w:t>
            </w:r>
          </w:p>
        </w:tc>
      </w:tr>
      <w:tr w:rsidR="009525F1" w:rsidRPr="00C259B0" w14:paraId="4E45E890" w14:textId="77777777" w:rsidTr="00AD51B4">
        <w:trPr>
          <w:cantSplit/>
          <w:trHeight w:val="50"/>
        </w:trPr>
        <w:tc>
          <w:tcPr>
            <w:tcW w:w="5000" w:type="pct"/>
            <w:gridSpan w:val="4"/>
            <w:shd w:val="clear" w:color="auto" w:fill="FFFFFF" w:themeFill="background1"/>
          </w:tcPr>
          <w:p w14:paraId="300516BC" w14:textId="77777777" w:rsidR="009525F1" w:rsidRPr="007722E4" w:rsidRDefault="009525F1" w:rsidP="00AD51B4">
            <w:pPr>
              <w:pStyle w:val="TableText"/>
              <w:spacing w:before="0" w:after="0"/>
              <w:rPr>
                <w:rFonts w:cstheme="minorHAnsi"/>
                <w:b/>
                <w:bCs/>
                <w:szCs w:val="20"/>
              </w:rPr>
            </w:pPr>
            <w:r w:rsidRPr="007722E4">
              <w:rPr>
                <w:rFonts w:cstheme="minorHAnsi"/>
                <w:b/>
                <w:szCs w:val="20"/>
              </w:rPr>
              <w:t>Non-IIT subpopulation</w:t>
            </w:r>
          </w:p>
        </w:tc>
      </w:tr>
      <w:tr w:rsidR="00FA786A" w:rsidRPr="00C259B0" w14:paraId="4D47B9BA" w14:textId="77777777" w:rsidTr="00037488">
        <w:trPr>
          <w:cantSplit/>
          <w:trHeight w:val="50"/>
        </w:trPr>
        <w:tc>
          <w:tcPr>
            <w:tcW w:w="2057" w:type="pct"/>
          </w:tcPr>
          <w:p w14:paraId="6AF7B3FA" w14:textId="77777777" w:rsidR="00FA786A" w:rsidRPr="00C54615" w:rsidRDefault="00FA786A" w:rsidP="00FA786A">
            <w:pPr>
              <w:pStyle w:val="TableText"/>
              <w:spacing w:before="0" w:after="0"/>
              <w:rPr>
                <w:rFonts w:cstheme="minorHAnsi"/>
                <w:szCs w:val="20"/>
              </w:rPr>
            </w:pPr>
            <w:r w:rsidRPr="00C54615">
              <w:rPr>
                <w:rFonts w:cstheme="minorHAnsi"/>
                <w:b/>
                <w:szCs w:val="20"/>
              </w:rPr>
              <w:t>Base case (UKPDS)</w:t>
            </w:r>
          </w:p>
        </w:tc>
        <w:tc>
          <w:tcPr>
            <w:tcW w:w="1088" w:type="pct"/>
          </w:tcPr>
          <w:p w14:paraId="3BC06B97" w14:textId="062DC5E7" w:rsidR="00FA786A" w:rsidRPr="00051030" w:rsidRDefault="00FA786A" w:rsidP="00FA786A">
            <w:pPr>
              <w:pStyle w:val="TableText"/>
              <w:spacing w:before="0" w:after="0"/>
              <w:jc w:val="center"/>
              <w:rPr>
                <w:rFonts w:eastAsia="Calibri" w:cstheme="minorHAnsi"/>
                <w:szCs w:val="20"/>
                <w:highlight w:val="yellow"/>
              </w:rPr>
            </w:pPr>
            <w:r w:rsidRPr="00F06050">
              <w:rPr>
                <w:rFonts w:cstheme="minorHAnsi"/>
                <w:szCs w:val="20"/>
              </w:rPr>
              <w:t>$</w:t>
            </w:r>
            <w:r w:rsidRPr="00F06050">
              <w:rPr>
                <w:rFonts w:cstheme="minorHAnsi"/>
                <w:b/>
                <w:bCs/>
                <w:szCs w:val="20"/>
              </w:rPr>
              <w:t>Redacted</w:t>
            </w:r>
          </w:p>
        </w:tc>
        <w:tc>
          <w:tcPr>
            <w:tcW w:w="913" w:type="pct"/>
          </w:tcPr>
          <w:p w14:paraId="5FEC5DBD" w14:textId="77777777" w:rsidR="00FA786A" w:rsidRPr="00C54615" w:rsidRDefault="00FA786A" w:rsidP="00FA786A">
            <w:pPr>
              <w:pStyle w:val="TableText"/>
              <w:spacing w:before="0" w:after="0"/>
              <w:jc w:val="center"/>
              <w:rPr>
                <w:rFonts w:eastAsia="Calibri" w:cstheme="minorHAnsi"/>
                <w:szCs w:val="20"/>
              </w:rPr>
            </w:pPr>
            <w:r w:rsidRPr="00C54615">
              <w:rPr>
                <w:rFonts w:cstheme="minorHAnsi"/>
                <w:b/>
                <w:szCs w:val="20"/>
              </w:rPr>
              <w:t>0.287</w:t>
            </w:r>
          </w:p>
        </w:tc>
        <w:tc>
          <w:tcPr>
            <w:tcW w:w="942" w:type="pct"/>
          </w:tcPr>
          <w:p w14:paraId="09D50C5B" w14:textId="2040138A"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2</w:t>
            </w:r>
          </w:p>
        </w:tc>
      </w:tr>
      <w:tr w:rsidR="00FA786A" w:rsidRPr="00C259B0" w14:paraId="584FF0DB" w14:textId="77777777" w:rsidTr="00037488">
        <w:trPr>
          <w:cantSplit/>
          <w:trHeight w:val="50"/>
        </w:trPr>
        <w:tc>
          <w:tcPr>
            <w:tcW w:w="2057" w:type="pct"/>
            <w:vAlign w:val="center"/>
          </w:tcPr>
          <w:p w14:paraId="53ACF706" w14:textId="77777777" w:rsidR="00FA786A" w:rsidRPr="00C54615" w:rsidRDefault="00FA786A" w:rsidP="00FA786A">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2D8D94F2" w14:textId="553A538C" w:rsidR="00FA786A" w:rsidRPr="00051030" w:rsidRDefault="00FA786A" w:rsidP="00FA786A">
            <w:pPr>
              <w:pStyle w:val="TableText"/>
              <w:spacing w:before="0" w:after="0"/>
              <w:jc w:val="center"/>
              <w:rPr>
                <w:rFonts w:eastAsia="Calibri" w:cstheme="minorHAnsi"/>
                <w:szCs w:val="20"/>
                <w:highlight w:val="yellow"/>
              </w:rPr>
            </w:pPr>
            <w:r w:rsidRPr="00F06050">
              <w:rPr>
                <w:rFonts w:cstheme="minorHAnsi"/>
                <w:szCs w:val="20"/>
              </w:rPr>
              <w:t>$</w:t>
            </w:r>
            <w:r w:rsidRPr="00F06050">
              <w:rPr>
                <w:rFonts w:cstheme="minorHAnsi"/>
                <w:b/>
                <w:bCs/>
                <w:szCs w:val="20"/>
              </w:rPr>
              <w:t>Redacted</w:t>
            </w:r>
          </w:p>
        </w:tc>
        <w:tc>
          <w:tcPr>
            <w:tcW w:w="913" w:type="pct"/>
          </w:tcPr>
          <w:p w14:paraId="2B97D3BE" w14:textId="77777777" w:rsidR="00FA786A" w:rsidRPr="00C54615" w:rsidRDefault="00FA786A" w:rsidP="00FA786A">
            <w:pPr>
              <w:pStyle w:val="TableText"/>
              <w:spacing w:before="0" w:after="0"/>
              <w:jc w:val="center"/>
              <w:rPr>
                <w:rFonts w:eastAsia="Calibri" w:cstheme="minorHAnsi"/>
                <w:szCs w:val="20"/>
              </w:rPr>
            </w:pPr>
            <w:r w:rsidRPr="00C54615">
              <w:rPr>
                <w:rFonts w:eastAsia="Calibri" w:cstheme="minorHAnsi"/>
                <w:szCs w:val="20"/>
              </w:rPr>
              <w:t>0.287</w:t>
            </w:r>
          </w:p>
        </w:tc>
        <w:tc>
          <w:tcPr>
            <w:tcW w:w="942" w:type="pct"/>
          </w:tcPr>
          <w:p w14:paraId="7AA2F2F7" w14:textId="39A40776"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2</w:t>
            </w:r>
          </w:p>
        </w:tc>
      </w:tr>
      <w:tr w:rsidR="00FA786A" w:rsidRPr="00C259B0" w14:paraId="4E5E9F5B" w14:textId="77777777" w:rsidTr="00037488">
        <w:trPr>
          <w:cantSplit/>
          <w:trHeight w:val="50"/>
        </w:trPr>
        <w:tc>
          <w:tcPr>
            <w:tcW w:w="2057" w:type="pct"/>
            <w:vAlign w:val="center"/>
          </w:tcPr>
          <w:p w14:paraId="0DD7D69B" w14:textId="77777777" w:rsidR="00FA786A" w:rsidRPr="00C54615" w:rsidRDefault="00FA786A" w:rsidP="00FA786A">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2C50B201" w14:textId="64BF1F65" w:rsidR="00FA786A" w:rsidRPr="00051030" w:rsidRDefault="00FA786A" w:rsidP="00FA786A">
            <w:pPr>
              <w:pStyle w:val="TableText"/>
              <w:spacing w:before="0" w:after="0"/>
              <w:jc w:val="center"/>
              <w:rPr>
                <w:rFonts w:eastAsia="Calibri" w:cstheme="minorHAnsi"/>
                <w:szCs w:val="20"/>
                <w:highlight w:val="yellow"/>
              </w:rPr>
            </w:pPr>
            <w:r w:rsidRPr="00F06050">
              <w:rPr>
                <w:rFonts w:cstheme="minorHAnsi"/>
                <w:szCs w:val="20"/>
              </w:rPr>
              <w:t>$</w:t>
            </w:r>
            <w:r w:rsidRPr="00F06050">
              <w:rPr>
                <w:rFonts w:cstheme="minorHAnsi"/>
                <w:b/>
                <w:bCs/>
                <w:szCs w:val="20"/>
              </w:rPr>
              <w:t>Redacted</w:t>
            </w:r>
          </w:p>
        </w:tc>
        <w:tc>
          <w:tcPr>
            <w:tcW w:w="913" w:type="pct"/>
          </w:tcPr>
          <w:p w14:paraId="2EC9A4F5" w14:textId="77777777" w:rsidR="00FA786A" w:rsidRPr="00C54615" w:rsidRDefault="00FA786A" w:rsidP="00FA786A">
            <w:pPr>
              <w:pStyle w:val="TableText"/>
              <w:spacing w:before="0" w:after="0"/>
              <w:jc w:val="center"/>
              <w:rPr>
                <w:rFonts w:eastAsia="Calibri" w:cstheme="minorHAnsi"/>
                <w:szCs w:val="20"/>
              </w:rPr>
            </w:pPr>
            <w:r w:rsidRPr="00C54615">
              <w:rPr>
                <w:rFonts w:eastAsia="Calibri" w:cstheme="minorHAnsi"/>
                <w:szCs w:val="20"/>
              </w:rPr>
              <w:t>0.287</w:t>
            </w:r>
          </w:p>
        </w:tc>
        <w:tc>
          <w:tcPr>
            <w:tcW w:w="942" w:type="pct"/>
          </w:tcPr>
          <w:p w14:paraId="08CA279E" w14:textId="13244441"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3</w:t>
            </w:r>
          </w:p>
        </w:tc>
      </w:tr>
      <w:tr w:rsidR="00FA786A" w:rsidRPr="00C259B0" w14:paraId="53B7E70E" w14:textId="77777777" w:rsidTr="00037488">
        <w:trPr>
          <w:cantSplit/>
          <w:trHeight w:val="50"/>
        </w:trPr>
        <w:tc>
          <w:tcPr>
            <w:tcW w:w="2057" w:type="pct"/>
            <w:vAlign w:val="center"/>
          </w:tcPr>
          <w:p w14:paraId="1F14406D" w14:textId="77777777" w:rsidR="00FA786A" w:rsidRPr="00C54615" w:rsidRDefault="00FA786A" w:rsidP="00FA786A">
            <w:pPr>
              <w:pStyle w:val="TableText"/>
              <w:spacing w:before="0" w:after="0"/>
              <w:rPr>
                <w:rFonts w:cstheme="minorHAnsi"/>
                <w:szCs w:val="20"/>
              </w:rPr>
            </w:pPr>
            <w:r w:rsidRPr="00C54615">
              <w:rPr>
                <w:rFonts w:cstheme="minorHAnsi"/>
                <w:b/>
                <w:szCs w:val="20"/>
              </w:rPr>
              <w:t>Base case (Fremantle)</w:t>
            </w:r>
          </w:p>
        </w:tc>
        <w:tc>
          <w:tcPr>
            <w:tcW w:w="1088" w:type="pct"/>
          </w:tcPr>
          <w:p w14:paraId="66F84B52" w14:textId="715B2DEE" w:rsidR="00FA786A" w:rsidRPr="00051030" w:rsidRDefault="00FA786A" w:rsidP="00FA786A">
            <w:pPr>
              <w:pStyle w:val="TableText"/>
              <w:spacing w:before="0" w:after="0"/>
              <w:jc w:val="center"/>
              <w:rPr>
                <w:rFonts w:eastAsia="Calibri" w:cstheme="minorHAnsi"/>
                <w:szCs w:val="20"/>
                <w:highlight w:val="yellow"/>
              </w:rPr>
            </w:pPr>
            <w:r w:rsidRPr="00F06050">
              <w:rPr>
                <w:rFonts w:cstheme="minorHAnsi"/>
                <w:szCs w:val="20"/>
              </w:rPr>
              <w:t>$</w:t>
            </w:r>
            <w:r w:rsidRPr="00F06050">
              <w:rPr>
                <w:rFonts w:cstheme="minorHAnsi"/>
                <w:b/>
                <w:bCs/>
                <w:szCs w:val="20"/>
              </w:rPr>
              <w:t>Redacted</w:t>
            </w:r>
          </w:p>
        </w:tc>
        <w:tc>
          <w:tcPr>
            <w:tcW w:w="913" w:type="pct"/>
          </w:tcPr>
          <w:p w14:paraId="5E6E6BB1" w14:textId="77777777" w:rsidR="00FA786A" w:rsidRPr="00C54615" w:rsidRDefault="00FA786A" w:rsidP="00FA786A">
            <w:pPr>
              <w:pStyle w:val="TableText"/>
              <w:spacing w:before="0" w:after="0"/>
              <w:jc w:val="center"/>
              <w:rPr>
                <w:rFonts w:eastAsia="Calibri" w:cstheme="minorHAnsi"/>
                <w:b/>
                <w:bCs/>
                <w:szCs w:val="20"/>
              </w:rPr>
            </w:pPr>
            <w:r w:rsidRPr="00C54615">
              <w:rPr>
                <w:rFonts w:eastAsia="Calibri" w:cstheme="minorHAnsi"/>
                <w:b/>
                <w:bCs/>
                <w:szCs w:val="20"/>
              </w:rPr>
              <w:t>0.314</w:t>
            </w:r>
          </w:p>
        </w:tc>
        <w:tc>
          <w:tcPr>
            <w:tcW w:w="942" w:type="pct"/>
          </w:tcPr>
          <w:p w14:paraId="4D265C83" w14:textId="51FDE5C4"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sidRPr="00D46BF9">
              <w:rPr>
                <w:rFonts w:cstheme="minorHAnsi"/>
                <w:szCs w:val="20"/>
                <w:vertAlign w:val="superscript"/>
              </w:rPr>
              <w:t>1</w:t>
            </w:r>
          </w:p>
        </w:tc>
      </w:tr>
      <w:tr w:rsidR="00FA786A" w:rsidRPr="00C259B0" w14:paraId="3D56BAD9" w14:textId="77777777" w:rsidTr="00037488">
        <w:trPr>
          <w:cantSplit/>
          <w:trHeight w:val="50"/>
        </w:trPr>
        <w:tc>
          <w:tcPr>
            <w:tcW w:w="2057" w:type="pct"/>
            <w:vAlign w:val="center"/>
          </w:tcPr>
          <w:p w14:paraId="5127D947" w14:textId="77777777" w:rsidR="00FA786A" w:rsidRPr="00C54615" w:rsidRDefault="00FA786A" w:rsidP="00FA786A">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00C766CB" w14:textId="14647609" w:rsidR="00FA786A" w:rsidRPr="00051030" w:rsidRDefault="00FA786A" w:rsidP="00FA786A">
            <w:pPr>
              <w:pStyle w:val="TableText"/>
              <w:spacing w:before="0" w:after="0"/>
              <w:jc w:val="center"/>
              <w:rPr>
                <w:rFonts w:eastAsia="Calibri" w:cstheme="minorHAnsi"/>
                <w:szCs w:val="20"/>
                <w:highlight w:val="yellow"/>
              </w:rPr>
            </w:pPr>
            <w:r w:rsidRPr="00F06050">
              <w:rPr>
                <w:rFonts w:cstheme="minorHAnsi"/>
                <w:szCs w:val="20"/>
              </w:rPr>
              <w:t>$</w:t>
            </w:r>
            <w:r w:rsidRPr="00F06050">
              <w:rPr>
                <w:rFonts w:cstheme="minorHAnsi"/>
                <w:b/>
                <w:bCs/>
                <w:szCs w:val="20"/>
              </w:rPr>
              <w:t>Redacted</w:t>
            </w:r>
          </w:p>
        </w:tc>
        <w:tc>
          <w:tcPr>
            <w:tcW w:w="913" w:type="pct"/>
          </w:tcPr>
          <w:p w14:paraId="7CBF1FBB" w14:textId="77777777" w:rsidR="00FA786A" w:rsidRPr="00C54615" w:rsidRDefault="00FA786A" w:rsidP="00FA786A">
            <w:pPr>
              <w:pStyle w:val="TableText"/>
              <w:spacing w:before="0" w:after="0"/>
              <w:jc w:val="center"/>
              <w:rPr>
                <w:rFonts w:eastAsia="Calibri" w:cstheme="minorHAnsi"/>
                <w:szCs w:val="20"/>
              </w:rPr>
            </w:pPr>
            <w:r w:rsidRPr="00C54615">
              <w:rPr>
                <w:rFonts w:eastAsia="Calibri" w:cstheme="minorHAnsi"/>
                <w:szCs w:val="20"/>
              </w:rPr>
              <w:t>0.314</w:t>
            </w:r>
          </w:p>
        </w:tc>
        <w:tc>
          <w:tcPr>
            <w:tcW w:w="942" w:type="pct"/>
          </w:tcPr>
          <w:p w14:paraId="4B314CA9" w14:textId="6D10E4F9"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4</w:t>
            </w:r>
          </w:p>
        </w:tc>
      </w:tr>
      <w:tr w:rsidR="00FA786A" w:rsidRPr="00C259B0" w14:paraId="18922385" w14:textId="77777777" w:rsidTr="00037488">
        <w:trPr>
          <w:cantSplit/>
          <w:trHeight w:val="50"/>
        </w:trPr>
        <w:tc>
          <w:tcPr>
            <w:tcW w:w="2057" w:type="pct"/>
            <w:vAlign w:val="center"/>
          </w:tcPr>
          <w:p w14:paraId="434AED4D" w14:textId="77777777" w:rsidR="00FA786A" w:rsidRPr="00C54615" w:rsidRDefault="00FA786A" w:rsidP="00FA786A">
            <w:pPr>
              <w:pStyle w:val="TableText"/>
              <w:spacing w:before="0" w:after="0"/>
              <w:rPr>
                <w:rFonts w:cstheme="minorHAnsi"/>
                <w:szCs w:val="20"/>
              </w:rPr>
            </w:pPr>
            <w:r w:rsidRPr="00C54615">
              <w:rPr>
                <w:rFonts w:cstheme="minorHAnsi"/>
                <w:szCs w:val="20"/>
              </w:rPr>
              <w:t xml:space="preserve">   +10% eye and kidney complication costs</w:t>
            </w:r>
          </w:p>
        </w:tc>
        <w:tc>
          <w:tcPr>
            <w:tcW w:w="1088" w:type="pct"/>
          </w:tcPr>
          <w:p w14:paraId="2C7E6DFA" w14:textId="3C2D1D04" w:rsidR="00FA786A" w:rsidRPr="00051030" w:rsidRDefault="00FA786A" w:rsidP="00FA786A">
            <w:pPr>
              <w:pStyle w:val="TableText"/>
              <w:spacing w:before="0" w:after="0"/>
              <w:jc w:val="center"/>
              <w:rPr>
                <w:rFonts w:eastAsia="Calibri"/>
                <w:szCs w:val="20"/>
                <w:highlight w:val="yellow"/>
              </w:rPr>
            </w:pPr>
            <w:r w:rsidRPr="00F06050">
              <w:rPr>
                <w:rFonts w:cstheme="minorHAnsi"/>
                <w:szCs w:val="20"/>
              </w:rPr>
              <w:t>$</w:t>
            </w:r>
            <w:r w:rsidRPr="00F06050">
              <w:rPr>
                <w:rFonts w:cstheme="minorHAnsi"/>
                <w:b/>
                <w:bCs/>
                <w:szCs w:val="20"/>
              </w:rPr>
              <w:t>Redacted</w:t>
            </w:r>
          </w:p>
        </w:tc>
        <w:tc>
          <w:tcPr>
            <w:tcW w:w="913" w:type="pct"/>
          </w:tcPr>
          <w:p w14:paraId="094DE2D8" w14:textId="77777777" w:rsidR="00FA786A" w:rsidRPr="00C54615" w:rsidRDefault="00FA786A" w:rsidP="00FA786A">
            <w:pPr>
              <w:pStyle w:val="TableText"/>
              <w:spacing w:before="0" w:after="0"/>
              <w:jc w:val="center"/>
              <w:rPr>
                <w:rFonts w:eastAsia="Calibri" w:cstheme="minorHAnsi"/>
                <w:szCs w:val="20"/>
              </w:rPr>
            </w:pPr>
            <w:r w:rsidRPr="00C54615">
              <w:rPr>
                <w:rFonts w:eastAsia="Calibri" w:cstheme="minorHAnsi"/>
                <w:szCs w:val="20"/>
              </w:rPr>
              <w:t>0.314</w:t>
            </w:r>
          </w:p>
        </w:tc>
        <w:tc>
          <w:tcPr>
            <w:tcW w:w="942" w:type="pct"/>
          </w:tcPr>
          <w:p w14:paraId="0C0435D7" w14:textId="29BF0656"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sidRPr="00D46BF9">
              <w:rPr>
                <w:rFonts w:cstheme="minorHAnsi"/>
                <w:szCs w:val="20"/>
                <w:vertAlign w:val="superscript"/>
              </w:rPr>
              <w:t>1</w:t>
            </w:r>
          </w:p>
        </w:tc>
      </w:tr>
      <w:tr w:rsidR="009525F1" w:rsidRPr="00C259B0" w14:paraId="18668218" w14:textId="77777777" w:rsidTr="00AD51B4">
        <w:trPr>
          <w:cantSplit/>
          <w:trHeight w:val="50"/>
        </w:trPr>
        <w:tc>
          <w:tcPr>
            <w:tcW w:w="5000" w:type="pct"/>
            <w:gridSpan w:val="4"/>
            <w:shd w:val="clear" w:color="auto" w:fill="DEEAF6" w:themeFill="accent1" w:themeFillTint="33"/>
            <w:vAlign w:val="center"/>
          </w:tcPr>
          <w:p w14:paraId="39695173" w14:textId="77777777" w:rsidR="009525F1" w:rsidRPr="007722E4" w:rsidRDefault="009525F1" w:rsidP="00AD51B4">
            <w:pPr>
              <w:pStyle w:val="TableText"/>
              <w:spacing w:before="0" w:after="0"/>
              <w:rPr>
                <w:rFonts w:eastAsia="Calibri" w:cstheme="minorHAnsi"/>
                <w:szCs w:val="20"/>
              </w:rPr>
            </w:pPr>
            <w:r w:rsidRPr="007722E4">
              <w:rPr>
                <w:rFonts w:cstheme="minorHAnsi"/>
                <w:b/>
                <w:bCs/>
                <w:szCs w:val="20"/>
              </w:rPr>
              <w:t xml:space="preserve">Sensitivity analysis #2 </w:t>
            </w:r>
            <w:r w:rsidRPr="007722E4">
              <w:rPr>
                <w:rFonts w:cstheme="minorHAnsi"/>
                <w:b/>
                <w:bCs/>
                <w:szCs w:val="20"/>
                <w:vertAlign w:val="superscript"/>
              </w:rPr>
              <w:t>b</w:t>
            </w:r>
          </w:p>
        </w:tc>
      </w:tr>
      <w:tr w:rsidR="009525F1" w:rsidRPr="00C259B0" w14:paraId="32B4DBB2" w14:textId="77777777" w:rsidTr="00AD51B4">
        <w:trPr>
          <w:cantSplit/>
          <w:trHeight w:val="50"/>
        </w:trPr>
        <w:tc>
          <w:tcPr>
            <w:tcW w:w="5000" w:type="pct"/>
            <w:gridSpan w:val="4"/>
            <w:shd w:val="clear" w:color="auto" w:fill="FFFFFF" w:themeFill="background1"/>
          </w:tcPr>
          <w:p w14:paraId="2F9999FA" w14:textId="77777777" w:rsidR="009525F1" w:rsidRPr="007722E4" w:rsidRDefault="009525F1" w:rsidP="00AD51B4">
            <w:pPr>
              <w:pStyle w:val="TableText"/>
              <w:spacing w:before="0" w:after="0"/>
              <w:rPr>
                <w:rFonts w:eastAsia="Calibri" w:cstheme="minorHAnsi"/>
                <w:szCs w:val="20"/>
              </w:rPr>
            </w:pPr>
            <w:r w:rsidRPr="007722E4">
              <w:rPr>
                <w:rFonts w:cstheme="minorHAnsi"/>
                <w:b/>
                <w:szCs w:val="20"/>
              </w:rPr>
              <w:t xml:space="preserve">IIT subpopulation </w:t>
            </w:r>
          </w:p>
        </w:tc>
      </w:tr>
      <w:tr w:rsidR="00037488" w:rsidRPr="00C259B0" w14:paraId="0C39EBE9" w14:textId="77777777" w:rsidTr="00037488">
        <w:trPr>
          <w:cantSplit/>
          <w:trHeight w:val="50"/>
        </w:trPr>
        <w:tc>
          <w:tcPr>
            <w:tcW w:w="2057" w:type="pct"/>
            <w:shd w:val="clear" w:color="auto" w:fill="FFFFFF" w:themeFill="background1"/>
          </w:tcPr>
          <w:p w14:paraId="5F5D0744" w14:textId="77777777" w:rsidR="00037488" w:rsidRPr="00C54615" w:rsidRDefault="00037488" w:rsidP="00037488">
            <w:pPr>
              <w:pStyle w:val="TableText"/>
              <w:spacing w:before="0" w:after="0"/>
              <w:rPr>
                <w:rFonts w:cstheme="minorHAnsi"/>
                <w:b/>
                <w:szCs w:val="20"/>
              </w:rPr>
            </w:pPr>
            <w:r w:rsidRPr="00C54615">
              <w:rPr>
                <w:rFonts w:cstheme="minorHAnsi"/>
                <w:b/>
                <w:szCs w:val="20"/>
              </w:rPr>
              <w:t>Base case - HbA1c treatment effect −0.3% (UKPDS)</w:t>
            </w:r>
          </w:p>
        </w:tc>
        <w:tc>
          <w:tcPr>
            <w:tcW w:w="1088" w:type="pct"/>
            <w:shd w:val="clear" w:color="auto" w:fill="FFFFFF" w:themeFill="background1"/>
          </w:tcPr>
          <w:p w14:paraId="0EECA01C" w14:textId="2062C997" w:rsidR="00037488" w:rsidRPr="00051030" w:rsidRDefault="00037488" w:rsidP="00037488">
            <w:pPr>
              <w:pStyle w:val="TableText"/>
              <w:spacing w:before="0" w:after="0"/>
              <w:jc w:val="center"/>
              <w:rPr>
                <w:rFonts w:eastAsia="Calibri" w:cstheme="minorHAnsi"/>
                <w:szCs w:val="20"/>
                <w:highlight w:val="yellow"/>
              </w:rPr>
            </w:pPr>
            <w:r w:rsidRPr="002337D2">
              <w:rPr>
                <w:rFonts w:cstheme="minorHAnsi"/>
                <w:szCs w:val="20"/>
              </w:rPr>
              <w:t>$</w:t>
            </w:r>
            <w:r w:rsidRPr="002337D2">
              <w:rPr>
                <w:rFonts w:cstheme="minorHAnsi"/>
                <w:b/>
                <w:bCs/>
                <w:szCs w:val="20"/>
              </w:rPr>
              <w:t>Redacted</w:t>
            </w:r>
          </w:p>
        </w:tc>
        <w:tc>
          <w:tcPr>
            <w:tcW w:w="913" w:type="pct"/>
            <w:shd w:val="clear" w:color="auto" w:fill="FFFFFF" w:themeFill="background1"/>
          </w:tcPr>
          <w:p w14:paraId="26C714EF" w14:textId="77777777" w:rsidR="00037488" w:rsidRPr="00C54615" w:rsidRDefault="00037488" w:rsidP="00037488">
            <w:pPr>
              <w:pStyle w:val="TableText"/>
              <w:spacing w:before="0" w:after="0"/>
              <w:jc w:val="center"/>
              <w:rPr>
                <w:rFonts w:eastAsia="Calibri" w:cstheme="minorHAnsi"/>
                <w:szCs w:val="20"/>
              </w:rPr>
            </w:pPr>
            <w:r w:rsidRPr="00C54615">
              <w:rPr>
                <w:rFonts w:cstheme="minorHAnsi"/>
                <w:b/>
                <w:szCs w:val="20"/>
              </w:rPr>
              <w:t>0.511</w:t>
            </w:r>
          </w:p>
        </w:tc>
        <w:tc>
          <w:tcPr>
            <w:tcW w:w="942" w:type="pct"/>
            <w:shd w:val="clear" w:color="auto" w:fill="FFFFFF" w:themeFill="background1"/>
          </w:tcPr>
          <w:p w14:paraId="3E7AE898" w14:textId="08DC701D" w:rsidR="00037488" w:rsidRPr="00051030" w:rsidRDefault="00037488" w:rsidP="00037488">
            <w:pPr>
              <w:pStyle w:val="TableText"/>
              <w:spacing w:before="0" w:after="0"/>
              <w:jc w:val="center"/>
              <w:rPr>
                <w:rFonts w:eastAsia="Calibri" w:cstheme="minorHAnsi"/>
                <w:szCs w:val="20"/>
                <w:highlight w:val="yellow"/>
              </w:rPr>
            </w:pPr>
            <w:r w:rsidRPr="00A74770">
              <w:rPr>
                <w:rFonts w:cstheme="minorHAnsi"/>
                <w:szCs w:val="20"/>
              </w:rPr>
              <w:t>$</w:t>
            </w:r>
            <w:r w:rsidRPr="00A74770">
              <w:rPr>
                <w:rFonts w:cstheme="minorHAnsi"/>
                <w:b/>
                <w:bCs/>
                <w:szCs w:val="20"/>
              </w:rPr>
              <w:t>Redacted</w:t>
            </w:r>
            <w:r w:rsidRPr="00A74770">
              <w:rPr>
                <w:rFonts w:cstheme="minorHAnsi"/>
                <w:szCs w:val="20"/>
                <w:vertAlign w:val="superscript"/>
              </w:rPr>
              <w:t>1</w:t>
            </w:r>
          </w:p>
        </w:tc>
      </w:tr>
      <w:tr w:rsidR="00037488" w:rsidRPr="00C259B0" w14:paraId="2C7FAA56" w14:textId="77777777" w:rsidTr="00037488">
        <w:trPr>
          <w:cantSplit/>
          <w:trHeight w:val="50"/>
        </w:trPr>
        <w:tc>
          <w:tcPr>
            <w:tcW w:w="2057" w:type="pct"/>
            <w:shd w:val="clear" w:color="auto" w:fill="FFFFFF" w:themeFill="background1"/>
            <w:vAlign w:val="center"/>
          </w:tcPr>
          <w:p w14:paraId="251BF135" w14:textId="77777777" w:rsidR="00037488" w:rsidRPr="00C54615" w:rsidRDefault="00037488" w:rsidP="00037488">
            <w:pPr>
              <w:pStyle w:val="TableText"/>
              <w:spacing w:before="0" w:after="0"/>
              <w:rPr>
                <w:rFonts w:cstheme="minorHAnsi"/>
                <w:b/>
                <w:szCs w:val="20"/>
              </w:rPr>
            </w:pPr>
            <w:r w:rsidRPr="00C54615">
              <w:rPr>
                <w:rFonts w:cstheme="minorHAnsi"/>
                <w:bCs/>
                <w:szCs w:val="20"/>
              </w:rPr>
              <w:t xml:space="preserve">   HbA1c treatment effect +10% of upper CI (= -0.55%) </w:t>
            </w:r>
          </w:p>
        </w:tc>
        <w:tc>
          <w:tcPr>
            <w:tcW w:w="1088" w:type="pct"/>
            <w:shd w:val="clear" w:color="auto" w:fill="FFFFFF" w:themeFill="background1"/>
          </w:tcPr>
          <w:p w14:paraId="3C01547F" w14:textId="0BC5BC3D" w:rsidR="00037488" w:rsidRPr="00051030" w:rsidRDefault="00037488" w:rsidP="00037488">
            <w:pPr>
              <w:pStyle w:val="TableText"/>
              <w:spacing w:before="0" w:after="0"/>
              <w:jc w:val="center"/>
              <w:rPr>
                <w:rFonts w:cstheme="minorHAnsi"/>
                <w:b/>
                <w:szCs w:val="20"/>
                <w:highlight w:val="yellow"/>
              </w:rPr>
            </w:pPr>
            <w:r w:rsidRPr="002337D2">
              <w:rPr>
                <w:rFonts w:cstheme="minorHAnsi"/>
                <w:szCs w:val="20"/>
              </w:rPr>
              <w:t>$</w:t>
            </w:r>
            <w:r w:rsidRPr="002337D2">
              <w:rPr>
                <w:rFonts w:cstheme="minorHAnsi"/>
                <w:b/>
                <w:bCs/>
                <w:szCs w:val="20"/>
              </w:rPr>
              <w:t>Redacted</w:t>
            </w:r>
          </w:p>
        </w:tc>
        <w:tc>
          <w:tcPr>
            <w:tcW w:w="913" w:type="pct"/>
            <w:shd w:val="clear" w:color="auto" w:fill="FFFFFF" w:themeFill="background1"/>
          </w:tcPr>
          <w:p w14:paraId="1A13689A" w14:textId="77777777" w:rsidR="00037488" w:rsidRPr="00C54615" w:rsidRDefault="00037488" w:rsidP="00037488">
            <w:pPr>
              <w:pStyle w:val="TableText"/>
              <w:spacing w:before="0" w:after="0"/>
              <w:jc w:val="center"/>
              <w:rPr>
                <w:rFonts w:cstheme="minorHAnsi"/>
                <w:b/>
                <w:szCs w:val="20"/>
              </w:rPr>
            </w:pPr>
            <w:r w:rsidRPr="00C54615">
              <w:rPr>
                <w:rFonts w:cstheme="minorHAnsi"/>
                <w:bCs/>
                <w:szCs w:val="20"/>
              </w:rPr>
              <w:t>0.539</w:t>
            </w:r>
          </w:p>
        </w:tc>
        <w:tc>
          <w:tcPr>
            <w:tcW w:w="942" w:type="pct"/>
            <w:shd w:val="clear" w:color="auto" w:fill="FFFFFF" w:themeFill="background1"/>
          </w:tcPr>
          <w:p w14:paraId="75A094F6" w14:textId="3BD33060" w:rsidR="00037488" w:rsidRPr="00051030" w:rsidRDefault="00037488" w:rsidP="00037488">
            <w:pPr>
              <w:pStyle w:val="TableText"/>
              <w:spacing w:before="0" w:after="0"/>
              <w:jc w:val="center"/>
              <w:rPr>
                <w:rFonts w:cstheme="minorHAnsi"/>
                <w:b/>
                <w:bCs/>
                <w:szCs w:val="20"/>
                <w:highlight w:val="yellow"/>
              </w:rPr>
            </w:pPr>
            <w:r w:rsidRPr="00A74770">
              <w:rPr>
                <w:rFonts w:cstheme="minorHAnsi"/>
                <w:szCs w:val="20"/>
              </w:rPr>
              <w:t>$</w:t>
            </w:r>
            <w:r w:rsidRPr="00A74770">
              <w:rPr>
                <w:rFonts w:cstheme="minorHAnsi"/>
                <w:b/>
                <w:bCs/>
                <w:szCs w:val="20"/>
              </w:rPr>
              <w:t>Redacted</w:t>
            </w:r>
            <w:r w:rsidRPr="00A74770">
              <w:rPr>
                <w:rFonts w:cstheme="minorHAnsi"/>
                <w:szCs w:val="20"/>
                <w:vertAlign w:val="superscript"/>
              </w:rPr>
              <w:t>1</w:t>
            </w:r>
          </w:p>
        </w:tc>
      </w:tr>
      <w:tr w:rsidR="00037488" w:rsidRPr="00C259B0" w14:paraId="44245539" w14:textId="77777777" w:rsidTr="00037488">
        <w:trPr>
          <w:cantSplit/>
          <w:trHeight w:val="50"/>
        </w:trPr>
        <w:tc>
          <w:tcPr>
            <w:tcW w:w="2057" w:type="pct"/>
            <w:shd w:val="clear" w:color="auto" w:fill="FFFFFF" w:themeFill="background1"/>
          </w:tcPr>
          <w:p w14:paraId="38B68095" w14:textId="77777777" w:rsidR="00037488" w:rsidRPr="00C54615" w:rsidRDefault="00037488" w:rsidP="00037488">
            <w:pPr>
              <w:pStyle w:val="TableText"/>
              <w:spacing w:before="0" w:after="0"/>
              <w:rPr>
                <w:rFonts w:cstheme="minorHAnsi"/>
                <w:szCs w:val="20"/>
              </w:rPr>
            </w:pPr>
            <w:r w:rsidRPr="00C54615">
              <w:rPr>
                <w:rFonts w:cstheme="minorHAnsi"/>
                <w:b/>
                <w:szCs w:val="20"/>
              </w:rPr>
              <w:lastRenderedPageBreak/>
              <w:t>Base case - HbA1c treatment effect −0.3% (Fremantle)</w:t>
            </w:r>
          </w:p>
        </w:tc>
        <w:tc>
          <w:tcPr>
            <w:tcW w:w="1088" w:type="pct"/>
            <w:shd w:val="clear" w:color="auto" w:fill="FFFFFF" w:themeFill="background1"/>
          </w:tcPr>
          <w:p w14:paraId="4C6F97B7" w14:textId="2FF39FE7" w:rsidR="00037488" w:rsidRPr="00051030" w:rsidRDefault="00037488" w:rsidP="00037488">
            <w:pPr>
              <w:pStyle w:val="TableText"/>
              <w:spacing w:before="0" w:after="0"/>
              <w:jc w:val="center"/>
              <w:rPr>
                <w:rFonts w:eastAsia="Calibri" w:cstheme="minorHAnsi"/>
                <w:szCs w:val="20"/>
                <w:highlight w:val="yellow"/>
              </w:rPr>
            </w:pPr>
            <w:r w:rsidRPr="002337D2">
              <w:rPr>
                <w:rFonts w:cstheme="minorHAnsi"/>
                <w:szCs w:val="20"/>
              </w:rPr>
              <w:t>$</w:t>
            </w:r>
            <w:r w:rsidRPr="002337D2">
              <w:rPr>
                <w:rFonts w:cstheme="minorHAnsi"/>
                <w:b/>
                <w:bCs/>
                <w:szCs w:val="20"/>
              </w:rPr>
              <w:t>Redacted</w:t>
            </w:r>
          </w:p>
        </w:tc>
        <w:tc>
          <w:tcPr>
            <w:tcW w:w="913" w:type="pct"/>
            <w:shd w:val="clear" w:color="auto" w:fill="FFFFFF" w:themeFill="background1"/>
          </w:tcPr>
          <w:p w14:paraId="701C1B2C" w14:textId="77777777" w:rsidR="00037488" w:rsidRPr="00C54615" w:rsidRDefault="00037488" w:rsidP="00037488">
            <w:pPr>
              <w:pStyle w:val="TableText"/>
              <w:spacing w:before="0" w:after="0"/>
              <w:jc w:val="center"/>
              <w:rPr>
                <w:rFonts w:eastAsia="Calibri" w:cstheme="minorHAnsi"/>
                <w:szCs w:val="20"/>
              </w:rPr>
            </w:pPr>
            <w:r w:rsidRPr="00C54615">
              <w:rPr>
                <w:rFonts w:cstheme="minorHAnsi"/>
                <w:b/>
                <w:szCs w:val="20"/>
              </w:rPr>
              <w:t>0.579</w:t>
            </w:r>
          </w:p>
        </w:tc>
        <w:tc>
          <w:tcPr>
            <w:tcW w:w="942" w:type="pct"/>
            <w:shd w:val="clear" w:color="auto" w:fill="FFFFFF" w:themeFill="background1"/>
          </w:tcPr>
          <w:p w14:paraId="014B6312" w14:textId="304A3045" w:rsidR="00037488" w:rsidRPr="00051030" w:rsidRDefault="00037488" w:rsidP="00037488">
            <w:pPr>
              <w:pStyle w:val="TableText"/>
              <w:spacing w:before="0" w:after="0"/>
              <w:jc w:val="center"/>
              <w:rPr>
                <w:rFonts w:eastAsia="Calibri" w:cstheme="minorHAnsi"/>
                <w:szCs w:val="20"/>
                <w:highlight w:val="yellow"/>
              </w:rPr>
            </w:pPr>
            <w:r w:rsidRPr="00A74770">
              <w:rPr>
                <w:rFonts w:cstheme="minorHAnsi"/>
                <w:szCs w:val="20"/>
              </w:rPr>
              <w:t>$</w:t>
            </w:r>
            <w:r w:rsidRPr="00A74770">
              <w:rPr>
                <w:rFonts w:cstheme="minorHAnsi"/>
                <w:b/>
                <w:bCs/>
                <w:szCs w:val="20"/>
              </w:rPr>
              <w:t>Redacted</w:t>
            </w:r>
            <w:r w:rsidRPr="00A74770">
              <w:rPr>
                <w:rFonts w:cstheme="minorHAnsi"/>
                <w:szCs w:val="20"/>
                <w:vertAlign w:val="superscript"/>
              </w:rPr>
              <w:t>1</w:t>
            </w:r>
          </w:p>
        </w:tc>
      </w:tr>
      <w:tr w:rsidR="00FA786A" w:rsidRPr="00C259B0" w14:paraId="731DC275" w14:textId="77777777" w:rsidTr="00037488">
        <w:trPr>
          <w:cantSplit/>
          <w:trHeight w:val="50"/>
        </w:trPr>
        <w:tc>
          <w:tcPr>
            <w:tcW w:w="2057" w:type="pct"/>
            <w:shd w:val="clear" w:color="auto" w:fill="FFFFFF" w:themeFill="background1"/>
            <w:vAlign w:val="center"/>
          </w:tcPr>
          <w:p w14:paraId="40E64194" w14:textId="77777777" w:rsidR="00FA786A" w:rsidRPr="00C54615" w:rsidRDefault="00FA786A" w:rsidP="00FA786A">
            <w:pPr>
              <w:pStyle w:val="TableText"/>
              <w:spacing w:before="0" w:after="0"/>
              <w:rPr>
                <w:rFonts w:cstheme="minorHAnsi"/>
                <w:szCs w:val="20"/>
              </w:rPr>
            </w:pPr>
            <w:r w:rsidRPr="00C54615">
              <w:rPr>
                <w:rFonts w:cstheme="minorHAnsi"/>
                <w:bCs/>
                <w:szCs w:val="20"/>
              </w:rPr>
              <w:t xml:space="preserve">   HbA1c treatment effect +10% of upper CI (= -0.55%)</w:t>
            </w:r>
          </w:p>
        </w:tc>
        <w:tc>
          <w:tcPr>
            <w:tcW w:w="1088" w:type="pct"/>
            <w:shd w:val="clear" w:color="auto" w:fill="FFFFFF" w:themeFill="background1"/>
          </w:tcPr>
          <w:p w14:paraId="5C6E8FD9" w14:textId="292A8841" w:rsidR="00FA786A" w:rsidRPr="00051030" w:rsidRDefault="00FA786A" w:rsidP="00FA786A">
            <w:pPr>
              <w:pStyle w:val="TableText"/>
              <w:spacing w:before="0" w:after="0"/>
              <w:jc w:val="center"/>
              <w:rPr>
                <w:rFonts w:eastAsia="Calibri" w:cstheme="minorHAnsi"/>
                <w:szCs w:val="20"/>
                <w:highlight w:val="yellow"/>
              </w:rPr>
            </w:pPr>
            <w:r>
              <w:rPr>
                <w:rFonts w:cstheme="minorHAnsi"/>
                <w:szCs w:val="20"/>
              </w:rPr>
              <w:t>-</w:t>
            </w:r>
            <w:r w:rsidRPr="002337D2">
              <w:rPr>
                <w:rFonts w:cstheme="minorHAnsi"/>
                <w:szCs w:val="20"/>
              </w:rPr>
              <w:t>$</w:t>
            </w:r>
            <w:r w:rsidRPr="002337D2">
              <w:rPr>
                <w:rFonts w:cstheme="minorHAnsi"/>
                <w:b/>
                <w:bCs/>
                <w:szCs w:val="20"/>
              </w:rPr>
              <w:t>Redacted</w:t>
            </w:r>
          </w:p>
        </w:tc>
        <w:tc>
          <w:tcPr>
            <w:tcW w:w="913" w:type="pct"/>
            <w:shd w:val="clear" w:color="auto" w:fill="FFFFFF" w:themeFill="background1"/>
          </w:tcPr>
          <w:p w14:paraId="189163CE" w14:textId="77777777" w:rsidR="00FA786A" w:rsidRPr="00C54615" w:rsidRDefault="00FA786A" w:rsidP="00FA786A">
            <w:pPr>
              <w:pStyle w:val="TableText"/>
              <w:spacing w:before="0" w:after="0"/>
              <w:jc w:val="center"/>
              <w:rPr>
                <w:rFonts w:eastAsia="Calibri" w:cstheme="minorHAnsi"/>
                <w:szCs w:val="20"/>
              </w:rPr>
            </w:pPr>
            <w:r w:rsidRPr="00C54615">
              <w:rPr>
                <w:rFonts w:cstheme="minorHAnsi"/>
                <w:bCs/>
                <w:szCs w:val="20"/>
              </w:rPr>
              <w:t>0.605</w:t>
            </w:r>
          </w:p>
        </w:tc>
        <w:tc>
          <w:tcPr>
            <w:tcW w:w="942" w:type="pct"/>
            <w:shd w:val="clear" w:color="auto" w:fill="FFFFFF" w:themeFill="background1"/>
          </w:tcPr>
          <w:p w14:paraId="1CAEA5DD" w14:textId="77777777" w:rsidR="00FA786A" w:rsidRPr="00051030" w:rsidRDefault="00FA786A" w:rsidP="00FA786A">
            <w:pPr>
              <w:pStyle w:val="TableText"/>
              <w:spacing w:before="0" w:after="0"/>
              <w:jc w:val="center"/>
              <w:rPr>
                <w:rFonts w:eastAsia="Calibri" w:cstheme="minorHAnsi"/>
                <w:szCs w:val="20"/>
                <w:highlight w:val="yellow"/>
              </w:rPr>
            </w:pPr>
            <w:r w:rsidRPr="00FA786A">
              <w:rPr>
                <w:rFonts w:cstheme="minorHAnsi"/>
                <w:bCs/>
                <w:szCs w:val="20"/>
              </w:rPr>
              <w:t>Dominant</w:t>
            </w:r>
          </w:p>
        </w:tc>
      </w:tr>
      <w:tr w:rsidR="009525F1" w:rsidRPr="00C259B0" w14:paraId="165FC792" w14:textId="77777777" w:rsidTr="00AD51B4">
        <w:trPr>
          <w:cantSplit/>
          <w:trHeight w:val="50"/>
        </w:trPr>
        <w:tc>
          <w:tcPr>
            <w:tcW w:w="5000" w:type="pct"/>
            <w:gridSpan w:val="4"/>
            <w:shd w:val="clear" w:color="auto" w:fill="FFFFFF" w:themeFill="background1"/>
          </w:tcPr>
          <w:p w14:paraId="57BA0507" w14:textId="77777777" w:rsidR="009525F1" w:rsidRPr="007722E4" w:rsidRDefault="009525F1" w:rsidP="00AD51B4">
            <w:pPr>
              <w:pStyle w:val="TableText"/>
              <w:spacing w:before="0" w:after="0"/>
              <w:rPr>
                <w:rFonts w:eastAsia="Calibri" w:cstheme="minorHAnsi"/>
                <w:szCs w:val="20"/>
              </w:rPr>
            </w:pPr>
            <w:r w:rsidRPr="007722E4">
              <w:rPr>
                <w:rFonts w:cstheme="minorHAnsi"/>
                <w:b/>
                <w:szCs w:val="20"/>
              </w:rPr>
              <w:t>Non-IIT subpopulation</w:t>
            </w:r>
          </w:p>
        </w:tc>
      </w:tr>
      <w:tr w:rsidR="00FA786A" w:rsidRPr="00C259B0" w14:paraId="69CF9069" w14:textId="77777777" w:rsidTr="00037488">
        <w:trPr>
          <w:cantSplit/>
          <w:trHeight w:val="50"/>
        </w:trPr>
        <w:tc>
          <w:tcPr>
            <w:tcW w:w="2057" w:type="pct"/>
          </w:tcPr>
          <w:p w14:paraId="7377E056" w14:textId="77777777" w:rsidR="00FA786A" w:rsidRPr="00C54615" w:rsidRDefault="00FA786A" w:rsidP="00FA786A">
            <w:pPr>
              <w:pStyle w:val="TableText"/>
              <w:spacing w:before="0" w:after="0"/>
              <w:rPr>
                <w:rFonts w:cstheme="minorHAnsi"/>
                <w:b/>
                <w:szCs w:val="20"/>
              </w:rPr>
            </w:pPr>
            <w:r w:rsidRPr="00C54615">
              <w:rPr>
                <w:rFonts w:cstheme="minorHAnsi"/>
                <w:b/>
                <w:szCs w:val="20"/>
              </w:rPr>
              <w:t>Base case - HbA1c treatment effect −0.4% (UKPDS)</w:t>
            </w:r>
          </w:p>
        </w:tc>
        <w:tc>
          <w:tcPr>
            <w:tcW w:w="1088" w:type="pct"/>
          </w:tcPr>
          <w:p w14:paraId="58E63B34" w14:textId="5FBA0080" w:rsidR="00FA786A" w:rsidRPr="00051030" w:rsidRDefault="00FA786A" w:rsidP="00FA786A">
            <w:pPr>
              <w:pStyle w:val="TableText"/>
              <w:spacing w:before="0" w:after="0"/>
              <w:jc w:val="center"/>
              <w:rPr>
                <w:rFonts w:eastAsia="Calibri" w:cstheme="minorHAnsi"/>
                <w:szCs w:val="20"/>
                <w:highlight w:val="yellow"/>
              </w:rPr>
            </w:pPr>
            <w:r w:rsidRPr="00C56209">
              <w:rPr>
                <w:rFonts w:cstheme="minorHAnsi"/>
                <w:szCs w:val="20"/>
              </w:rPr>
              <w:t>$</w:t>
            </w:r>
            <w:r w:rsidRPr="00C56209">
              <w:rPr>
                <w:rFonts w:cstheme="minorHAnsi"/>
                <w:b/>
                <w:bCs/>
                <w:szCs w:val="20"/>
              </w:rPr>
              <w:t>Redacted</w:t>
            </w:r>
          </w:p>
        </w:tc>
        <w:tc>
          <w:tcPr>
            <w:tcW w:w="913" w:type="pct"/>
          </w:tcPr>
          <w:p w14:paraId="137A0C64" w14:textId="77777777" w:rsidR="00FA786A" w:rsidRPr="00C54615" w:rsidRDefault="00FA786A" w:rsidP="00FA786A">
            <w:pPr>
              <w:pStyle w:val="TableText"/>
              <w:spacing w:before="0" w:after="0"/>
              <w:jc w:val="center"/>
              <w:rPr>
                <w:rFonts w:eastAsia="Calibri" w:cstheme="minorHAnsi"/>
                <w:szCs w:val="20"/>
              </w:rPr>
            </w:pPr>
            <w:r w:rsidRPr="00C54615">
              <w:rPr>
                <w:rFonts w:cstheme="minorHAnsi"/>
                <w:b/>
                <w:szCs w:val="20"/>
              </w:rPr>
              <w:t>0.287</w:t>
            </w:r>
          </w:p>
        </w:tc>
        <w:tc>
          <w:tcPr>
            <w:tcW w:w="942" w:type="pct"/>
          </w:tcPr>
          <w:p w14:paraId="4C3A0B47" w14:textId="7DB21500"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2</w:t>
            </w:r>
          </w:p>
        </w:tc>
      </w:tr>
      <w:tr w:rsidR="00FA786A" w:rsidRPr="00C259B0" w14:paraId="338A4E48" w14:textId="77777777" w:rsidTr="00037488">
        <w:trPr>
          <w:cantSplit/>
          <w:trHeight w:val="50"/>
        </w:trPr>
        <w:tc>
          <w:tcPr>
            <w:tcW w:w="2057" w:type="pct"/>
            <w:vAlign w:val="center"/>
          </w:tcPr>
          <w:p w14:paraId="5AE40261" w14:textId="77777777" w:rsidR="00FA786A" w:rsidRPr="00C54615" w:rsidRDefault="00FA786A" w:rsidP="00FA786A">
            <w:pPr>
              <w:pStyle w:val="TableText"/>
              <w:spacing w:before="0" w:after="0"/>
              <w:rPr>
                <w:rFonts w:cstheme="minorHAnsi"/>
                <w:b/>
                <w:szCs w:val="20"/>
              </w:rPr>
            </w:pPr>
            <w:r w:rsidRPr="00C54615">
              <w:rPr>
                <w:rFonts w:cstheme="minorHAnsi"/>
                <w:bCs/>
                <w:szCs w:val="20"/>
              </w:rPr>
              <w:t xml:space="preserve">   HbA1c treatment effect +10% of upper CI (= -0.88%) </w:t>
            </w:r>
          </w:p>
        </w:tc>
        <w:tc>
          <w:tcPr>
            <w:tcW w:w="1088" w:type="pct"/>
          </w:tcPr>
          <w:p w14:paraId="783C3533" w14:textId="33DC8D6C" w:rsidR="00FA786A" w:rsidRPr="00051030" w:rsidRDefault="00FA786A" w:rsidP="00FA786A">
            <w:pPr>
              <w:pStyle w:val="TableText"/>
              <w:spacing w:before="0" w:after="0"/>
              <w:jc w:val="center"/>
              <w:rPr>
                <w:rFonts w:cstheme="minorHAnsi"/>
                <w:b/>
                <w:szCs w:val="20"/>
                <w:highlight w:val="yellow"/>
              </w:rPr>
            </w:pPr>
            <w:r w:rsidRPr="00C56209">
              <w:rPr>
                <w:rFonts w:cstheme="minorHAnsi"/>
                <w:szCs w:val="20"/>
              </w:rPr>
              <w:t>$</w:t>
            </w:r>
            <w:r w:rsidRPr="00C56209">
              <w:rPr>
                <w:rFonts w:cstheme="minorHAnsi"/>
                <w:b/>
                <w:bCs/>
                <w:szCs w:val="20"/>
              </w:rPr>
              <w:t>Redacted</w:t>
            </w:r>
          </w:p>
        </w:tc>
        <w:tc>
          <w:tcPr>
            <w:tcW w:w="913" w:type="pct"/>
          </w:tcPr>
          <w:p w14:paraId="38D1F04C" w14:textId="77777777" w:rsidR="00FA786A" w:rsidRPr="00C54615" w:rsidRDefault="00FA786A" w:rsidP="00FA786A">
            <w:pPr>
              <w:pStyle w:val="TableText"/>
              <w:spacing w:before="0" w:after="0"/>
              <w:jc w:val="center"/>
              <w:rPr>
                <w:rFonts w:cstheme="minorHAnsi"/>
                <w:b/>
                <w:szCs w:val="20"/>
              </w:rPr>
            </w:pPr>
            <w:r w:rsidRPr="00C54615">
              <w:rPr>
                <w:rFonts w:cstheme="minorHAnsi"/>
                <w:bCs/>
                <w:szCs w:val="20"/>
              </w:rPr>
              <w:t>0.362</w:t>
            </w:r>
          </w:p>
        </w:tc>
        <w:tc>
          <w:tcPr>
            <w:tcW w:w="942" w:type="pct"/>
          </w:tcPr>
          <w:p w14:paraId="68FC565E" w14:textId="2F2A3BC8" w:rsidR="00FA786A" w:rsidRPr="00051030" w:rsidRDefault="00037488" w:rsidP="00FA786A">
            <w:pPr>
              <w:pStyle w:val="TableText"/>
              <w:spacing w:before="0" w:after="0"/>
              <w:jc w:val="center"/>
              <w:rPr>
                <w:rFonts w:cstheme="minorHAnsi"/>
                <w:b/>
                <w:bCs/>
                <w:szCs w:val="20"/>
                <w:highlight w:val="yellow"/>
              </w:rPr>
            </w:pPr>
            <w:r w:rsidRPr="004A46C2">
              <w:rPr>
                <w:rFonts w:cstheme="minorHAnsi"/>
                <w:szCs w:val="20"/>
              </w:rPr>
              <w:t>$</w:t>
            </w:r>
            <w:r w:rsidRPr="004A46C2">
              <w:rPr>
                <w:rFonts w:cstheme="minorHAnsi"/>
                <w:b/>
                <w:bCs/>
                <w:szCs w:val="20"/>
              </w:rPr>
              <w:t>Redacted</w:t>
            </w:r>
            <w:r w:rsidRPr="00D46BF9">
              <w:rPr>
                <w:rFonts w:cstheme="minorHAnsi"/>
                <w:szCs w:val="20"/>
                <w:vertAlign w:val="superscript"/>
              </w:rPr>
              <w:t>1</w:t>
            </w:r>
          </w:p>
        </w:tc>
      </w:tr>
      <w:tr w:rsidR="00FA786A" w:rsidRPr="00C259B0" w14:paraId="712EF8E7" w14:textId="77777777" w:rsidTr="00037488">
        <w:trPr>
          <w:cantSplit/>
          <w:trHeight w:val="50"/>
        </w:trPr>
        <w:tc>
          <w:tcPr>
            <w:tcW w:w="2057" w:type="pct"/>
            <w:vAlign w:val="center"/>
          </w:tcPr>
          <w:p w14:paraId="5BE9FCD7" w14:textId="77777777" w:rsidR="00FA786A" w:rsidRPr="00C54615" w:rsidRDefault="00FA786A" w:rsidP="00FA786A">
            <w:pPr>
              <w:pStyle w:val="TableText"/>
              <w:spacing w:before="0" w:after="0"/>
              <w:rPr>
                <w:rFonts w:cstheme="minorHAnsi"/>
                <w:szCs w:val="20"/>
              </w:rPr>
            </w:pPr>
            <w:r w:rsidRPr="00C54615">
              <w:rPr>
                <w:rFonts w:cstheme="minorHAnsi"/>
                <w:bCs/>
                <w:szCs w:val="20"/>
              </w:rPr>
              <w:t xml:space="preserve">   HbA1c treatment effect −10% of lower CI (= -0.09%)</w:t>
            </w:r>
          </w:p>
        </w:tc>
        <w:tc>
          <w:tcPr>
            <w:tcW w:w="1088" w:type="pct"/>
          </w:tcPr>
          <w:p w14:paraId="3A95B865" w14:textId="02442F71" w:rsidR="00FA786A" w:rsidRPr="00051030" w:rsidRDefault="00FA786A" w:rsidP="00FA786A">
            <w:pPr>
              <w:pStyle w:val="TableText"/>
              <w:spacing w:before="0" w:after="0"/>
              <w:jc w:val="center"/>
              <w:rPr>
                <w:rFonts w:eastAsia="Calibri" w:cstheme="minorHAnsi"/>
                <w:szCs w:val="20"/>
                <w:highlight w:val="yellow"/>
              </w:rPr>
            </w:pPr>
            <w:r w:rsidRPr="00C56209">
              <w:rPr>
                <w:rFonts w:cstheme="minorHAnsi"/>
                <w:szCs w:val="20"/>
              </w:rPr>
              <w:t>$</w:t>
            </w:r>
            <w:r w:rsidRPr="00C56209">
              <w:rPr>
                <w:rFonts w:cstheme="minorHAnsi"/>
                <w:b/>
                <w:bCs/>
                <w:szCs w:val="20"/>
              </w:rPr>
              <w:t>Redacted</w:t>
            </w:r>
          </w:p>
        </w:tc>
        <w:tc>
          <w:tcPr>
            <w:tcW w:w="913" w:type="pct"/>
          </w:tcPr>
          <w:p w14:paraId="1CCFD0F0" w14:textId="77777777" w:rsidR="00FA786A" w:rsidRPr="00C54615" w:rsidRDefault="00FA786A" w:rsidP="00FA786A">
            <w:pPr>
              <w:pStyle w:val="TableText"/>
              <w:spacing w:before="0" w:after="0"/>
              <w:jc w:val="center"/>
              <w:rPr>
                <w:rFonts w:eastAsia="Calibri" w:cstheme="minorHAnsi"/>
                <w:szCs w:val="20"/>
              </w:rPr>
            </w:pPr>
            <w:r w:rsidRPr="00C54615">
              <w:rPr>
                <w:rFonts w:cstheme="minorHAnsi"/>
                <w:bCs/>
                <w:szCs w:val="20"/>
              </w:rPr>
              <w:t>0.245</w:t>
            </w:r>
          </w:p>
        </w:tc>
        <w:tc>
          <w:tcPr>
            <w:tcW w:w="942" w:type="pct"/>
          </w:tcPr>
          <w:p w14:paraId="6B8F3D49" w14:textId="0CDCB5FB"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5</w:t>
            </w:r>
          </w:p>
        </w:tc>
      </w:tr>
      <w:tr w:rsidR="00FA786A" w:rsidRPr="00C259B0" w14:paraId="5C8F4FD3" w14:textId="77777777" w:rsidTr="00037488">
        <w:trPr>
          <w:cantSplit/>
          <w:trHeight w:val="50"/>
        </w:trPr>
        <w:tc>
          <w:tcPr>
            <w:tcW w:w="2057" w:type="pct"/>
          </w:tcPr>
          <w:p w14:paraId="320F989A" w14:textId="77777777" w:rsidR="00FA786A" w:rsidRPr="00C54615" w:rsidRDefault="00FA786A" w:rsidP="00FA786A">
            <w:pPr>
              <w:pStyle w:val="TableText"/>
              <w:spacing w:before="0" w:after="0"/>
              <w:rPr>
                <w:rFonts w:cstheme="minorHAnsi"/>
                <w:szCs w:val="20"/>
              </w:rPr>
            </w:pPr>
            <w:r w:rsidRPr="00C54615">
              <w:rPr>
                <w:rFonts w:cstheme="minorHAnsi"/>
                <w:b/>
                <w:szCs w:val="20"/>
              </w:rPr>
              <w:t>Base case - HbA1c treatment effect −0.4% (Fremantle)</w:t>
            </w:r>
          </w:p>
        </w:tc>
        <w:tc>
          <w:tcPr>
            <w:tcW w:w="1088" w:type="pct"/>
          </w:tcPr>
          <w:p w14:paraId="1B5E07F7" w14:textId="0A3E0CF2" w:rsidR="00FA786A" w:rsidRPr="00051030" w:rsidRDefault="00FA786A" w:rsidP="00FA786A">
            <w:pPr>
              <w:pStyle w:val="TableText"/>
              <w:spacing w:before="0" w:after="0"/>
              <w:jc w:val="center"/>
              <w:rPr>
                <w:rFonts w:eastAsia="Calibri" w:cstheme="minorHAnsi"/>
                <w:szCs w:val="20"/>
                <w:highlight w:val="yellow"/>
              </w:rPr>
            </w:pPr>
            <w:r w:rsidRPr="00C56209">
              <w:rPr>
                <w:rFonts w:cstheme="minorHAnsi"/>
                <w:szCs w:val="20"/>
              </w:rPr>
              <w:t>$</w:t>
            </w:r>
            <w:r w:rsidRPr="00C56209">
              <w:rPr>
                <w:rFonts w:cstheme="minorHAnsi"/>
                <w:b/>
                <w:bCs/>
                <w:szCs w:val="20"/>
              </w:rPr>
              <w:t>Redacted</w:t>
            </w:r>
          </w:p>
        </w:tc>
        <w:tc>
          <w:tcPr>
            <w:tcW w:w="913" w:type="pct"/>
          </w:tcPr>
          <w:p w14:paraId="0164552B" w14:textId="77777777" w:rsidR="00FA786A" w:rsidRPr="00C54615" w:rsidRDefault="00FA786A" w:rsidP="00FA786A">
            <w:pPr>
              <w:pStyle w:val="TableText"/>
              <w:spacing w:before="0" w:after="0"/>
              <w:jc w:val="center"/>
              <w:rPr>
                <w:rFonts w:eastAsia="Calibri" w:cstheme="minorHAnsi"/>
                <w:szCs w:val="20"/>
              </w:rPr>
            </w:pPr>
            <w:r w:rsidRPr="00C54615">
              <w:rPr>
                <w:rFonts w:cstheme="minorHAnsi"/>
                <w:b/>
                <w:szCs w:val="20"/>
              </w:rPr>
              <w:t>0.314</w:t>
            </w:r>
          </w:p>
        </w:tc>
        <w:tc>
          <w:tcPr>
            <w:tcW w:w="942" w:type="pct"/>
          </w:tcPr>
          <w:p w14:paraId="0123FC36" w14:textId="09835136" w:rsidR="00FA786A" w:rsidRPr="00051030" w:rsidRDefault="00037488" w:rsidP="00FA786A">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sidRPr="00D46BF9">
              <w:rPr>
                <w:rFonts w:cstheme="minorHAnsi"/>
                <w:szCs w:val="20"/>
                <w:vertAlign w:val="superscript"/>
              </w:rPr>
              <w:t>1</w:t>
            </w:r>
          </w:p>
        </w:tc>
      </w:tr>
      <w:tr w:rsidR="009525F1" w:rsidRPr="00C259B0" w14:paraId="75E21E79" w14:textId="77777777" w:rsidTr="00037488">
        <w:trPr>
          <w:cantSplit/>
          <w:trHeight w:val="50"/>
        </w:trPr>
        <w:tc>
          <w:tcPr>
            <w:tcW w:w="2057" w:type="pct"/>
            <w:vAlign w:val="center"/>
          </w:tcPr>
          <w:p w14:paraId="00F63D70" w14:textId="77777777" w:rsidR="009525F1" w:rsidRPr="00C54615" w:rsidRDefault="009525F1" w:rsidP="00AD51B4">
            <w:pPr>
              <w:pStyle w:val="TableText"/>
              <w:spacing w:before="0" w:after="0"/>
              <w:rPr>
                <w:rFonts w:cstheme="minorHAnsi"/>
                <w:b/>
                <w:szCs w:val="20"/>
              </w:rPr>
            </w:pPr>
            <w:r w:rsidRPr="00C54615">
              <w:rPr>
                <w:rFonts w:cstheme="minorHAnsi"/>
                <w:bCs/>
                <w:szCs w:val="20"/>
              </w:rPr>
              <w:t xml:space="preserve">   HbA1c treatment effect +10% of upper CI (= -0.88%) </w:t>
            </w:r>
          </w:p>
        </w:tc>
        <w:tc>
          <w:tcPr>
            <w:tcW w:w="1088" w:type="pct"/>
          </w:tcPr>
          <w:p w14:paraId="019FAC83" w14:textId="0DCF3CC5" w:rsidR="009525F1" w:rsidRPr="00051030" w:rsidRDefault="00FA786A" w:rsidP="00AD51B4">
            <w:pPr>
              <w:pStyle w:val="TableText"/>
              <w:spacing w:before="0" w:after="0"/>
              <w:jc w:val="center"/>
              <w:rPr>
                <w:rFonts w:cstheme="minorHAnsi"/>
                <w:b/>
                <w:bCs/>
                <w:szCs w:val="20"/>
                <w:highlight w:val="yellow"/>
              </w:rPr>
            </w:pPr>
            <w:r>
              <w:rPr>
                <w:rFonts w:cstheme="minorHAnsi"/>
                <w:szCs w:val="20"/>
              </w:rPr>
              <w:t>-</w:t>
            </w:r>
            <w:r w:rsidRPr="00D46BF9">
              <w:rPr>
                <w:rFonts w:cstheme="minorHAnsi"/>
                <w:szCs w:val="20"/>
              </w:rPr>
              <w:t>$</w:t>
            </w:r>
            <w:r w:rsidRPr="00D46BF9">
              <w:rPr>
                <w:rFonts w:cstheme="minorHAnsi"/>
                <w:b/>
                <w:bCs/>
                <w:szCs w:val="20"/>
              </w:rPr>
              <w:t>Redacted</w:t>
            </w:r>
          </w:p>
        </w:tc>
        <w:tc>
          <w:tcPr>
            <w:tcW w:w="913" w:type="pct"/>
          </w:tcPr>
          <w:p w14:paraId="65A9C141" w14:textId="77777777" w:rsidR="009525F1" w:rsidRPr="00C54615" w:rsidRDefault="009525F1" w:rsidP="00AD51B4">
            <w:pPr>
              <w:pStyle w:val="TableText"/>
              <w:spacing w:before="0" w:after="0"/>
              <w:jc w:val="center"/>
              <w:rPr>
                <w:rFonts w:eastAsia="Calibri" w:cstheme="minorHAnsi"/>
                <w:b/>
                <w:bCs/>
                <w:szCs w:val="20"/>
              </w:rPr>
            </w:pPr>
            <w:r w:rsidRPr="00C54615">
              <w:rPr>
                <w:rFonts w:cstheme="minorHAnsi"/>
                <w:bCs/>
                <w:szCs w:val="20"/>
              </w:rPr>
              <w:t>0.367</w:t>
            </w:r>
          </w:p>
        </w:tc>
        <w:tc>
          <w:tcPr>
            <w:tcW w:w="942" w:type="pct"/>
          </w:tcPr>
          <w:p w14:paraId="3C67D1A3" w14:textId="77777777" w:rsidR="009525F1" w:rsidRPr="00051030" w:rsidRDefault="009525F1" w:rsidP="00AD51B4">
            <w:pPr>
              <w:pStyle w:val="TableText"/>
              <w:spacing w:before="0" w:after="0"/>
              <w:jc w:val="center"/>
              <w:rPr>
                <w:rFonts w:cstheme="minorHAnsi"/>
                <w:b/>
                <w:szCs w:val="20"/>
                <w:highlight w:val="yellow"/>
              </w:rPr>
            </w:pPr>
            <w:r w:rsidRPr="00FA786A">
              <w:rPr>
                <w:rFonts w:cstheme="minorHAnsi"/>
                <w:bCs/>
                <w:szCs w:val="20"/>
              </w:rPr>
              <w:t>Dominant</w:t>
            </w:r>
          </w:p>
        </w:tc>
      </w:tr>
      <w:tr w:rsidR="009525F1" w:rsidRPr="00C259B0" w14:paraId="0F5B1315" w14:textId="77777777" w:rsidTr="00037488">
        <w:trPr>
          <w:cantSplit/>
          <w:trHeight w:val="50"/>
        </w:trPr>
        <w:tc>
          <w:tcPr>
            <w:tcW w:w="2057" w:type="pct"/>
            <w:vAlign w:val="center"/>
          </w:tcPr>
          <w:p w14:paraId="7EB7F400" w14:textId="77777777" w:rsidR="009525F1" w:rsidRPr="00C54615" w:rsidRDefault="009525F1" w:rsidP="00AD51B4">
            <w:pPr>
              <w:pStyle w:val="TableText"/>
              <w:spacing w:before="0" w:after="0"/>
              <w:rPr>
                <w:rFonts w:cstheme="minorHAnsi"/>
                <w:szCs w:val="20"/>
              </w:rPr>
            </w:pPr>
            <w:r w:rsidRPr="00C54615">
              <w:rPr>
                <w:rFonts w:cstheme="minorHAnsi"/>
                <w:bCs/>
                <w:szCs w:val="20"/>
              </w:rPr>
              <w:t xml:space="preserve">   HbA1c treatment effect −10% of lower CI (= -0.09%)</w:t>
            </w:r>
          </w:p>
        </w:tc>
        <w:tc>
          <w:tcPr>
            <w:tcW w:w="1088" w:type="pct"/>
          </w:tcPr>
          <w:p w14:paraId="7218A181" w14:textId="625B0E52" w:rsidR="009525F1" w:rsidRPr="00051030" w:rsidRDefault="00FA786A" w:rsidP="00AD51B4">
            <w:pPr>
              <w:pStyle w:val="TableText"/>
              <w:spacing w:before="0" w:after="0"/>
              <w:jc w:val="center"/>
              <w:rPr>
                <w:rFonts w:eastAsia="Calibri" w:cstheme="minorHAnsi"/>
                <w:szCs w:val="20"/>
                <w:highlight w:val="yellow"/>
              </w:rPr>
            </w:pPr>
            <w:r w:rsidRPr="00D46BF9">
              <w:rPr>
                <w:rFonts w:cstheme="minorHAnsi"/>
                <w:szCs w:val="20"/>
              </w:rPr>
              <w:t>$</w:t>
            </w:r>
            <w:r w:rsidRPr="00D46BF9">
              <w:rPr>
                <w:rFonts w:cstheme="minorHAnsi"/>
                <w:b/>
                <w:bCs/>
                <w:szCs w:val="20"/>
              </w:rPr>
              <w:t>Redacted</w:t>
            </w:r>
          </w:p>
        </w:tc>
        <w:tc>
          <w:tcPr>
            <w:tcW w:w="913" w:type="pct"/>
          </w:tcPr>
          <w:p w14:paraId="35F8B54B" w14:textId="77777777" w:rsidR="009525F1" w:rsidRPr="00C54615" w:rsidRDefault="009525F1" w:rsidP="00AD51B4">
            <w:pPr>
              <w:pStyle w:val="TableText"/>
              <w:spacing w:before="0" w:after="0"/>
              <w:jc w:val="center"/>
              <w:rPr>
                <w:rFonts w:eastAsia="Calibri" w:cstheme="minorHAnsi"/>
                <w:szCs w:val="20"/>
              </w:rPr>
            </w:pPr>
            <w:r w:rsidRPr="00C54615">
              <w:rPr>
                <w:rFonts w:cstheme="minorHAnsi"/>
                <w:bCs/>
                <w:szCs w:val="20"/>
              </w:rPr>
              <w:t>0.290</w:t>
            </w:r>
          </w:p>
        </w:tc>
        <w:tc>
          <w:tcPr>
            <w:tcW w:w="942" w:type="pct"/>
          </w:tcPr>
          <w:p w14:paraId="214FD996" w14:textId="5A415CA8" w:rsidR="009525F1" w:rsidRPr="00051030" w:rsidRDefault="00037488" w:rsidP="00AD51B4">
            <w:pPr>
              <w:pStyle w:val="TableText"/>
              <w:spacing w:before="0" w:after="0"/>
              <w:jc w:val="center"/>
              <w:rPr>
                <w:rFonts w:eastAsia="Calibri" w:cstheme="minorHAnsi"/>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5</w:t>
            </w:r>
          </w:p>
        </w:tc>
      </w:tr>
      <w:tr w:rsidR="009525F1" w:rsidRPr="00C259B0" w14:paraId="353E057C" w14:textId="77777777" w:rsidTr="00037488">
        <w:trPr>
          <w:cantSplit/>
          <w:trHeight w:val="50"/>
        </w:trPr>
        <w:tc>
          <w:tcPr>
            <w:tcW w:w="2057" w:type="pct"/>
            <w:shd w:val="clear" w:color="auto" w:fill="DEEAF6" w:themeFill="accent1" w:themeFillTint="33"/>
            <w:vAlign w:val="center"/>
          </w:tcPr>
          <w:p w14:paraId="33F7B9F6" w14:textId="4C00D4A3" w:rsidR="009525F1" w:rsidRPr="00C54615" w:rsidRDefault="009525F1" w:rsidP="00AD51B4">
            <w:pPr>
              <w:pStyle w:val="TableText"/>
              <w:spacing w:before="0" w:after="0"/>
              <w:rPr>
                <w:rFonts w:cstheme="minorHAnsi"/>
                <w:bCs/>
                <w:szCs w:val="20"/>
              </w:rPr>
            </w:pPr>
            <w:r w:rsidRPr="00C54615">
              <w:rPr>
                <w:rFonts w:cstheme="minorHAnsi"/>
                <w:b/>
                <w:bCs/>
                <w:szCs w:val="20"/>
              </w:rPr>
              <w:t xml:space="preserve">Multivariate analysis </w:t>
            </w:r>
            <w:r w:rsidRPr="00C54615">
              <w:rPr>
                <w:rFonts w:cstheme="minorHAnsi"/>
                <w:b/>
                <w:bCs/>
                <w:szCs w:val="20"/>
                <w:vertAlign w:val="superscript"/>
              </w:rPr>
              <w:t>c</w:t>
            </w:r>
          </w:p>
        </w:tc>
        <w:tc>
          <w:tcPr>
            <w:tcW w:w="1088" w:type="pct"/>
            <w:shd w:val="clear" w:color="auto" w:fill="DEEAF6" w:themeFill="accent1" w:themeFillTint="33"/>
          </w:tcPr>
          <w:p w14:paraId="41A5E816" w14:textId="77777777" w:rsidR="009525F1" w:rsidRPr="00051030" w:rsidRDefault="009525F1" w:rsidP="00AD51B4">
            <w:pPr>
              <w:pStyle w:val="TableText"/>
              <w:spacing w:before="0" w:after="0"/>
              <w:jc w:val="center"/>
              <w:rPr>
                <w:rFonts w:cstheme="minorHAnsi"/>
                <w:bCs/>
                <w:szCs w:val="20"/>
                <w:highlight w:val="yellow"/>
              </w:rPr>
            </w:pPr>
          </w:p>
        </w:tc>
        <w:tc>
          <w:tcPr>
            <w:tcW w:w="913" w:type="pct"/>
            <w:shd w:val="clear" w:color="auto" w:fill="DEEAF6" w:themeFill="accent1" w:themeFillTint="33"/>
          </w:tcPr>
          <w:p w14:paraId="14C5660B" w14:textId="77777777" w:rsidR="009525F1" w:rsidRPr="00C54615" w:rsidRDefault="009525F1" w:rsidP="00AD51B4">
            <w:pPr>
              <w:pStyle w:val="TableText"/>
              <w:spacing w:before="0" w:after="0"/>
              <w:jc w:val="center"/>
              <w:rPr>
                <w:rFonts w:cstheme="minorHAnsi"/>
                <w:bCs/>
                <w:szCs w:val="20"/>
              </w:rPr>
            </w:pPr>
          </w:p>
        </w:tc>
        <w:tc>
          <w:tcPr>
            <w:tcW w:w="942" w:type="pct"/>
            <w:shd w:val="clear" w:color="auto" w:fill="DEEAF6" w:themeFill="accent1" w:themeFillTint="33"/>
          </w:tcPr>
          <w:p w14:paraId="73E8637F" w14:textId="77777777" w:rsidR="009525F1" w:rsidRPr="00051030" w:rsidRDefault="009525F1" w:rsidP="00AD51B4">
            <w:pPr>
              <w:pStyle w:val="TableText"/>
              <w:spacing w:before="0" w:after="0"/>
              <w:jc w:val="center"/>
              <w:rPr>
                <w:rFonts w:cstheme="minorHAnsi"/>
                <w:bCs/>
                <w:szCs w:val="20"/>
                <w:highlight w:val="yellow"/>
              </w:rPr>
            </w:pPr>
          </w:p>
        </w:tc>
      </w:tr>
      <w:tr w:rsidR="009525F1" w:rsidRPr="00C259B0" w14:paraId="707F0E16" w14:textId="77777777" w:rsidTr="00AD51B4">
        <w:trPr>
          <w:cantSplit/>
          <w:trHeight w:val="50"/>
        </w:trPr>
        <w:tc>
          <w:tcPr>
            <w:tcW w:w="5000" w:type="pct"/>
            <w:gridSpan w:val="4"/>
          </w:tcPr>
          <w:p w14:paraId="276533C0" w14:textId="77777777" w:rsidR="009525F1" w:rsidRPr="007722E4" w:rsidRDefault="009525F1" w:rsidP="00AD51B4">
            <w:pPr>
              <w:pStyle w:val="TableText"/>
              <w:spacing w:before="0" w:after="0"/>
              <w:rPr>
                <w:rFonts w:cstheme="minorHAnsi"/>
                <w:bCs/>
                <w:szCs w:val="20"/>
              </w:rPr>
            </w:pPr>
            <w:r w:rsidRPr="007722E4">
              <w:rPr>
                <w:rFonts w:cstheme="minorHAnsi"/>
                <w:b/>
                <w:szCs w:val="20"/>
              </w:rPr>
              <w:t xml:space="preserve">IIT subpopulation </w:t>
            </w:r>
          </w:p>
        </w:tc>
      </w:tr>
      <w:tr w:rsidR="00FA786A" w:rsidRPr="00C259B0" w14:paraId="7DBE2C55" w14:textId="77777777" w:rsidTr="00037488">
        <w:trPr>
          <w:cantSplit/>
          <w:trHeight w:val="50"/>
        </w:trPr>
        <w:tc>
          <w:tcPr>
            <w:tcW w:w="2057" w:type="pct"/>
          </w:tcPr>
          <w:p w14:paraId="554C4AD1" w14:textId="77777777" w:rsidR="00FA786A" w:rsidRPr="00C54615" w:rsidRDefault="00FA786A" w:rsidP="00FA786A">
            <w:pPr>
              <w:pStyle w:val="TableText"/>
              <w:spacing w:before="0" w:after="0"/>
              <w:rPr>
                <w:rFonts w:cstheme="minorHAnsi"/>
                <w:b/>
                <w:szCs w:val="20"/>
              </w:rPr>
            </w:pPr>
            <w:r w:rsidRPr="00C54615">
              <w:rPr>
                <w:rFonts w:cstheme="minorHAnsi"/>
                <w:b/>
                <w:szCs w:val="20"/>
              </w:rPr>
              <w:t>Base case (UKPDS)</w:t>
            </w:r>
          </w:p>
        </w:tc>
        <w:tc>
          <w:tcPr>
            <w:tcW w:w="1088" w:type="pct"/>
          </w:tcPr>
          <w:p w14:paraId="6ADF1242" w14:textId="7A0C4DC2" w:rsidR="00FA786A" w:rsidRPr="00051030" w:rsidRDefault="00FA786A" w:rsidP="00FA786A">
            <w:pPr>
              <w:pStyle w:val="TableText"/>
              <w:spacing w:before="0" w:after="0"/>
              <w:jc w:val="center"/>
              <w:rPr>
                <w:rFonts w:cstheme="minorHAnsi"/>
                <w:bCs/>
                <w:szCs w:val="20"/>
                <w:highlight w:val="yellow"/>
              </w:rPr>
            </w:pPr>
            <w:r w:rsidRPr="0095346C">
              <w:rPr>
                <w:rFonts w:cstheme="minorHAnsi"/>
                <w:szCs w:val="20"/>
              </w:rPr>
              <w:t>$</w:t>
            </w:r>
            <w:r w:rsidRPr="0095346C">
              <w:rPr>
                <w:rFonts w:cstheme="minorHAnsi"/>
                <w:b/>
                <w:bCs/>
                <w:szCs w:val="20"/>
              </w:rPr>
              <w:t>Redacted</w:t>
            </w:r>
          </w:p>
        </w:tc>
        <w:tc>
          <w:tcPr>
            <w:tcW w:w="913" w:type="pct"/>
          </w:tcPr>
          <w:p w14:paraId="0ACC621E" w14:textId="77777777" w:rsidR="00FA786A" w:rsidRPr="00C54615" w:rsidRDefault="00FA786A" w:rsidP="00FA786A">
            <w:pPr>
              <w:pStyle w:val="TableText"/>
              <w:spacing w:before="0" w:after="0"/>
              <w:jc w:val="center"/>
              <w:rPr>
                <w:rFonts w:cstheme="minorHAnsi"/>
                <w:bCs/>
                <w:szCs w:val="20"/>
              </w:rPr>
            </w:pPr>
            <w:r w:rsidRPr="00C54615">
              <w:rPr>
                <w:rFonts w:cstheme="minorHAnsi"/>
                <w:b/>
                <w:szCs w:val="20"/>
              </w:rPr>
              <w:t>0.511</w:t>
            </w:r>
          </w:p>
        </w:tc>
        <w:tc>
          <w:tcPr>
            <w:tcW w:w="942" w:type="pct"/>
          </w:tcPr>
          <w:p w14:paraId="5DDCE15A" w14:textId="450FF1E7" w:rsidR="00FA786A" w:rsidRPr="00051030" w:rsidRDefault="00037488" w:rsidP="00FA786A">
            <w:pPr>
              <w:pStyle w:val="TableText"/>
              <w:spacing w:before="0" w:after="0"/>
              <w:jc w:val="center"/>
              <w:rPr>
                <w:rFonts w:cstheme="minorHAnsi"/>
                <w:bCs/>
                <w:szCs w:val="20"/>
                <w:highlight w:val="yellow"/>
              </w:rPr>
            </w:pPr>
            <w:r w:rsidRPr="004A46C2">
              <w:rPr>
                <w:rFonts w:cstheme="minorHAnsi"/>
                <w:szCs w:val="20"/>
              </w:rPr>
              <w:t>$</w:t>
            </w:r>
            <w:r w:rsidRPr="004A46C2">
              <w:rPr>
                <w:rFonts w:cstheme="minorHAnsi"/>
                <w:b/>
                <w:bCs/>
                <w:szCs w:val="20"/>
              </w:rPr>
              <w:t>Redacted</w:t>
            </w:r>
            <w:r w:rsidRPr="00D46BF9">
              <w:rPr>
                <w:rFonts w:cstheme="minorHAnsi"/>
                <w:szCs w:val="20"/>
                <w:vertAlign w:val="superscript"/>
              </w:rPr>
              <w:t>1</w:t>
            </w:r>
          </w:p>
        </w:tc>
      </w:tr>
      <w:tr w:rsidR="00FA786A" w:rsidRPr="00C259B0" w14:paraId="0C4F7913" w14:textId="77777777" w:rsidTr="00037488">
        <w:trPr>
          <w:cantSplit/>
          <w:trHeight w:val="50"/>
        </w:trPr>
        <w:tc>
          <w:tcPr>
            <w:tcW w:w="2057" w:type="pct"/>
          </w:tcPr>
          <w:p w14:paraId="03B7B5A3" w14:textId="77777777" w:rsidR="00FA786A" w:rsidRPr="00C54615" w:rsidRDefault="00FA786A" w:rsidP="00FA786A">
            <w:pPr>
              <w:pStyle w:val="TableText"/>
              <w:spacing w:before="0" w:after="0"/>
              <w:rPr>
                <w:b/>
                <w:bCs/>
                <w:szCs w:val="20"/>
              </w:rPr>
            </w:pPr>
            <w:r w:rsidRPr="00C54615">
              <w:rPr>
                <w:szCs w:val="20"/>
              </w:rPr>
              <w:t xml:space="preserve">   Baseline HbA1c of 8.3% &amp; 14.1 years &amp; no FoH &amp; 20 yrs duration</w:t>
            </w:r>
          </w:p>
        </w:tc>
        <w:tc>
          <w:tcPr>
            <w:tcW w:w="1088" w:type="pct"/>
          </w:tcPr>
          <w:p w14:paraId="39BFF253" w14:textId="0FC01073" w:rsidR="00FA786A" w:rsidRPr="00051030" w:rsidRDefault="00FA786A" w:rsidP="00FA786A">
            <w:pPr>
              <w:pStyle w:val="TableText"/>
              <w:spacing w:before="0" w:after="0"/>
              <w:jc w:val="center"/>
              <w:rPr>
                <w:rFonts w:cstheme="minorHAnsi"/>
                <w:b/>
                <w:szCs w:val="20"/>
                <w:highlight w:val="yellow"/>
              </w:rPr>
            </w:pPr>
            <w:r w:rsidRPr="0095346C">
              <w:rPr>
                <w:rFonts w:cstheme="minorHAnsi"/>
                <w:szCs w:val="20"/>
              </w:rPr>
              <w:t>$</w:t>
            </w:r>
            <w:r w:rsidRPr="0095346C">
              <w:rPr>
                <w:rFonts w:cstheme="minorHAnsi"/>
                <w:b/>
                <w:bCs/>
                <w:szCs w:val="20"/>
              </w:rPr>
              <w:t>Redacted</w:t>
            </w:r>
          </w:p>
        </w:tc>
        <w:tc>
          <w:tcPr>
            <w:tcW w:w="913" w:type="pct"/>
          </w:tcPr>
          <w:p w14:paraId="13C03844" w14:textId="77777777" w:rsidR="00FA786A" w:rsidRPr="00C54615" w:rsidRDefault="00FA786A" w:rsidP="00FA786A">
            <w:pPr>
              <w:pStyle w:val="TableText"/>
              <w:spacing w:before="0" w:after="0"/>
              <w:jc w:val="center"/>
              <w:rPr>
                <w:rFonts w:cstheme="minorHAnsi"/>
                <w:b/>
                <w:szCs w:val="20"/>
              </w:rPr>
            </w:pPr>
            <w:r w:rsidRPr="00C54615">
              <w:rPr>
                <w:rFonts w:cstheme="minorHAnsi"/>
                <w:szCs w:val="20"/>
              </w:rPr>
              <w:t>0.355</w:t>
            </w:r>
          </w:p>
        </w:tc>
        <w:tc>
          <w:tcPr>
            <w:tcW w:w="942" w:type="pct"/>
          </w:tcPr>
          <w:p w14:paraId="503B4193" w14:textId="5643C3F9" w:rsidR="00FA786A" w:rsidRPr="00051030" w:rsidRDefault="00037488" w:rsidP="00FA786A">
            <w:pPr>
              <w:pStyle w:val="TableText"/>
              <w:spacing w:before="0" w:after="0"/>
              <w:jc w:val="center"/>
              <w:rPr>
                <w:rFonts w:cstheme="minorHAnsi"/>
                <w:b/>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4</w:t>
            </w:r>
          </w:p>
        </w:tc>
      </w:tr>
      <w:tr w:rsidR="00037488" w:rsidRPr="00C259B0" w14:paraId="2C3D53DC" w14:textId="77777777" w:rsidTr="00051030">
        <w:trPr>
          <w:cantSplit/>
          <w:trHeight w:val="50"/>
        </w:trPr>
        <w:tc>
          <w:tcPr>
            <w:tcW w:w="2057" w:type="pct"/>
            <w:vAlign w:val="center"/>
          </w:tcPr>
          <w:p w14:paraId="5FE48B1E" w14:textId="77777777" w:rsidR="00037488" w:rsidRPr="00C54615" w:rsidRDefault="00037488" w:rsidP="00037488">
            <w:pPr>
              <w:pStyle w:val="TableText"/>
              <w:rPr>
                <w:b/>
                <w:bCs/>
                <w:szCs w:val="20"/>
              </w:rPr>
            </w:pPr>
            <w:r w:rsidRPr="00C54615">
              <w:rPr>
                <w:b/>
                <w:bCs/>
                <w:szCs w:val="20"/>
              </w:rPr>
              <w:t>Base case (Fremantle)</w:t>
            </w:r>
          </w:p>
        </w:tc>
        <w:tc>
          <w:tcPr>
            <w:tcW w:w="1088" w:type="pct"/>
          </w:tcPr>
          <w:p w14:paraId="5DB9E719" w14:textId="00C20A24" w:rsidR="00037488" w:rsidRPr="00051030" w:rsidRDefault="00037488" w:rsidP="00037488">
            <w:pPr>
              <w:pStyle w:val="TableText"/>
              <w:spacing w:before="0" w:after="0"/>
              <w:jc w:val="center"/>
              <w:rPr>
                <w:rFonts w:eastAsia="Calibri"/>
                <w:szCs w:val="20"/>
                <w:highlight w:val="yellow"/>
              </w:rPr>
            </w:pPr>
            <w:r w:rsidRPr="0095346C">
              <w:rPr>
                <w:rFonts w:cstheme="minorHAnsi"/>
                <w:szCs w:val="20"/>
              </w:rPr>
              <w:t>$</w:t>
            </w:r>
            <w:r w:rsidRPr="0095346C">
              <w:rPr>
                <w:rFonts w:cstheme="minorHAnsi"/>
                <w:b/>
                <w:bCs/>
                <w:szCs w:val="20"/>
              </w:rPr>
              <w:t>Redacted</w:t>
            </w:r>
          </w:p>
        </w:tc>
        <w:tc>
          <w:tcPr>
            <w:tcW w:w="913" w:type="pct"/>
            <w:vAlign w:val="center"/>
          </w:tcPr>
          <w:p w14:paraId="3FE384D2" w14:textId="77777777" w:rsidR="00037488" w:rsidRPr="00C54615" w:rsidRDefault="00037488" w:rsidP="00037488">
            <w:pPr>
              <w:pStyle w:val="TableText"/>
              <w:spacing w:before="0" w:after="0"/>
              <w:jc w:val="center"/>
              <w:rPr>
                <w:rFonts w:eastAsia="Calibri"/>
                <w:szCs w:val="20"/>
              </w:rPr>
            </w:pPr>
            <w:r w:rsidRPr="00C54615">
              <w:rPr>
                <w:b/>
                <w:bCs/>
                <w:szCs w:val="20"/>
              </w:rPr>
              <w:t>0.579</w:t>
            </w:r>
          </w:p>
        </w:tc>
        <w:tc>
          <w:tcPr>
            <w:tcW w:w="942" w:type="pct"/>
          </w:tcPr>
          <w:p w14:paraId="166B44DB" w14:textId="2F0BC306" w:rsidR="00037488" w:rsidRPr="00051030" w:rsidRDefault="00037488" w:rsidP="00037488">
            <w:pPr>
              <w:pStyle w:val="TableText"/>
              <w:spacing w:before="0" w:after="0"/>
              <w:jc w:val="center"/>
              <w:rPr>
                <w:rFonts w:eastAsia="Calibri"/>
                <w:szCs w:val="20"/>
                <w:highlight w:val="yellow"/>
              </w:rPr>
            </w:pPr>
            <w:r w:rsidRPr="004A4092">
              <w:rPr>
                <w:rFonts w:cstheme="minorHAnsi"/>
                <w:szCs w:val="20"/>
              </w:rPr>
              <w:t>$</w:t>
            </w:r>
            <w:r w:rsidRPr="004A4092">
              <w:rPr>
                <w:rFonts w:cstheme="minorHAnsi"/>
                <w:b/>
                <w:bCs/>
                <w:szCs w:val="20"/>
              </w:rPr>
              <w:t>Redacted</w:t>
            </w:r>
            <w:r w:rsidRPr="004A4092">
              <w:rPr>
                <w:rFonts w:cstheme="minorHAnsi"/>
                <w:szCs w:val="20"/>
                <w:vertAlign w:val="superscript"/>
              </w:rPr>
              <w:t>1</w:t>
            </w:r>
          </w:p>
        </w:tc>
      </w:tr>
      <w:tr w:rsidR="00037488" w:rsidRPr="00C259B0" w14:paraId="140BEED8" w14:textId="77777777" w:rsidTr="00037488">
        <w:trPr>
          <w:cantSplit/>
          <w:trHeight w:val="50"/>
        </w:trPr>
        <w:tc>
          <w:tcPr>
            <w:tcW w:w="2057" w:type="pct"/>
            <w:vAlign w:val="center"/>
          </w:tcPr>
          <w:p w14:paraId="47C6F1A4" w14:textId="77777777" w:rsidR="00037488" w:rsidRPr="00C54615" w:rsidRDefault="00037488" w:rsidP="00037488">
            <w:pPr>
              <w:pStyle w:val="TableText"/>
              <w:spacing w:before="0" w:after="0"/>
              <w:rPr>
                <w:szCs w:val="20"/>
              </w:rPr>
            </w:pPr>
            <w:r w:rsidRPr="00C54615">
              <w:rPr>
                <w:szCs w:val="20"/>
              </w:rPr>
              <w:t xml:space="preserve">   Baseline HbA1c of 8.3% &amp; 14.1 years &amp; no FoH &amp; 20 yrs duration </w:t>
            </w:r>
          </w:p>
        </w:tc>
        <w:tc>
          <w:tcPr>
            <w:tcW w:w="1088" w:type="pct"/>
          </w:tcPr>
          <w:p w14:paraId="36310ECC" w14:textId="71457CA4" w:rsidR="00037488" w:rsidRPr="00051030" w:rsidRDefault="00037488" w:rsidP="00037488">
            <w:pPr>
              <w:pStyle w:val="TableText"/>
              <w:spacing w:before="0" w:after="0"/>
              <w:jc w:val="center"/>
              <w:rPr>
                <w:rFonts w:cstheme="minorHAnsi"/>
                <w:bCs/>
                <w:szCs w:val="20"/>
                <w:highlight w:val="yellow"/>
              </w:rPr>
            </w:pPr>
            <w:r w:rsidRPr="0095346C">
              <w:rPr>
                <w:rFonts w:cstheme="minorHAnsi"/>
                <w:szCs w:val="20"/>
              </w:rPr>
              <w:t>$</w:t>
            </w:r>
            <w:r w:rsidRPr="0095346C">
              <w:rPr>
                <w:rFonts w:cstheme="minorHAnsi"/>
                <w:b/>
                <w:bCs/>
                <w:szCs w:val="20"/>
              </w:rPr>
              <w:t>Redacted</w:t>
            </w:r>
          </w:p>
        </w:tc>
        <w:tc>
          <w:tcPr>
            <w:tcW w:w="913" w:type="pct"/>
          </w:tcPr>
          <w:p w14:paraId="1311895F" w14:textId="77777777" w:rsidR="00037488" w:rsidRPr="00C54615" w:rsidRDefault="00037488" w:rsidP="00037488">
            <w:pPr>
              <w:pStyle w:val="TableText"/>
              <w:spacing w:before="0" w:after="0"/>
              <w:jc w:val="center"/>
              <w:rPr>
                <w:rFonts w:cstheme="minorHAnsi"/>
                <w:bCs/>
                <w:szCs w:val="20"/>
              </w:rPr>
            </w:pPr>
            <w:r w:rsidRPr="00C54615">
              <w:rPr>
                <w:rFonts w:cstheme="minorHAnsi"/>
                <w:szCs w:val="20"/>
              </w:rPr>
              <w:t>0.401</w:t>
            </w:r>
          </w:p>
        </w:tc>
        <w:tc>
          <w:tcPr>
            <w:tcW w:w="942" w:type="pct"/>
          </w:tcPr>
          <w:p w14:paraId="22CFAC26" w14:textId="11CBA584" w:rsidR="00037488" w:rsidRPr="00051030" w:rsidRDefault="00037488" w:rsidP="00037488">
            <w:pPr>
              <w:pStyle w:val="TableText"/>
              <w:spacing w:before="0" w:after="0"/>
              <w:jc w:val="center"/>
              <w:rPr>
                <w:rFonts w:cstheme="minorHAnsi"/>
                <w:bCs/>
                <w:szCs w:val="20"/>
                <w:highlight w:val="yellow"/>
              </w:rPr>
            </w:pPr>
            <w:r w:rsidRPr="004A4092">
              <w:rPr>
                <w:rFonts w:cstheme="minorHAnsi"/>
                <w:szCs w:val="20"/>
              </w:rPr>
              <w:t>$</w:t>
            </w:r>
            <w:r w:rsidRPr="004A4092">
              <w:rPr>
                <w:rFonts w:cstheme="minorHAnsi"/>
                <w:b/>
                <w:bCs/>
                <w:szCs w:val="20"/>
              </w:rPr>
              <w:t>Redacted</w:t>
            </w:r>
            <w:r w:rsidRPr="004A4092">
              <w:rPr>
                <w:rFonts w:cstheme="minorHAnsi"/>
                <w:szCs w:val="20"/>
                <w:vertAlign w:val="superscript"/>
              </w:rPr>
              <w:t>1</w:t>
            </w:r>
          </w:p>
        </w:tc>
      </w:tr>
      <w:tr w:rsidR="009525F1" w:rsidRPr="00C259B0" w14:paraId="4CFB749D" w14:textId="77777777" w:rsidTr="00AD51B4">
        <w:trPr>
          <w:cantSplit/>
          <w:trHeight w:val="50"/>
        </w:trPr>
        <w:tc>
          <w:tcPr>
            <w:tcW w:w="5000" w:type="pct"/>
            <w:gridSpan w:val="4"/>
          </w:tcPr>
          <w:p w14:paraId="28D6A16C" w14:textId="77777777" w:rsidR="009525F1" w:rsidRPr="007722E4" w:rsidRDefault="009525F1" w:rsidP="00AD51B4">
            <w:pPr>
              <w:pStyle w:val="TableText"/>
              <w:spacing w:before="0" w:after="0"/>
              <w:rPr>
                <w:rFonts w:cstheme="minorHAnsi"/>
                <w:b/>
                <w:szCs w:val="20"/>
              </w:rPr>
            </w:pPr>
            <w:r w:rsidRPr="007722E4">
              <w:rPr>
                <w:rFonts w:cstheme="minorHAnsi"/>
                <w:b/>
                <w:szCs w:val="20"/>
              </w:rPr>
              <w:t>Non-IIT subpopulation</w:t>
            </w:r>
          </w:p>
        </w:tc>
      </w:tr>
      <w:tr w:rsidR="00FA786A" w:rsidRPr="00C259B0" w14:paraId="67843A65" w14:textId="77777777" w:rsidTr="00037488">
        <w:trPr>
          <w:cantSplit/>
          <w:trHeight w:val="50"/>
        </w:trPr>
        <w:tc>
          <w:tcPr>
            <w:tcW w:w="2057" w:type="pct"/>
          </w:tcPr>
          <w:p w14:paraId="65B596B5" w14:textId="77777777" w:rsidR="00FA786A" w:rsidRPr="00C54615" w:rsidRDefault="00FA786A" w:rsidP="00FA786A">
            <w:pPr>
              <w:pStyle w:val="TableText"/>
              <w:spacing w:before="0" w:after="0"/>
              <w:rPr>
                <w:rFonts w:cstheme="minorHAnsi"/>
                <w:bCs/>
                <w:szCs w:val="20"/>
              </w:rPr>
            </w:pPr>
            <w:r w:rsidRPr="00C54615">
              <w:rPr>
                <w:rFonts w:cstheme="minorHAnsi"/>
                <w:b/>
                <w:szCs w:val="20"/>
              </w:rPr>
              <w:t>Base case (UKPDS)</w:t>
            </w:r>
          </w:p>
        </w:tc>
        <w:tc>
          <w:tcPr>
            <w:tcW w:w="1088" w:type="pct"/>
          </w:tcPr>
          <w:p w14:paraId="02637845" w14:textId="4C997379" w:rsidR="00FA786A" w:rsidRPr="00051030" w:rsidRDefault="00FA786A" w:rsidP="00FA786A">
            <w:pPr>
              <w:pStyle w:val="TableText"/>
              <w:spacing w:before="0" w:after="0"/>
              <w:jc w:val="center"/>
              <w:rPr>
                <w:rFonts w:cstheme="minorHAnsi"/>
                <w:bCs/>
                <w:szCs w:val="20"/>
                <w:highlight w:val="yellow"/>
              </w:rPr>
            </w:pPr>
            <w:r w:rsidRPr="00A707A2">
              <w:rPr>
                <w:rFonts w:cstheme="minorHAnsi"/>
                <w:szCs w:val="20"/>
              </w:rPr>
              <w:t>$</w:t>
            </w:r>
            <w:r w:rsidRPr="00A707A2">
              <w:rPr>
                <w:rFonts w:cstheme="minorHAnsi"/>
                <w:b/>
                <w:bCs/>
                <w:szCs w:val="20"/>
              </w:rPr>
              <w:t>Redacted</w:t>
            </w:r>
          </w:p>
        </w:tc>
        <w:tc>
          <w:tcPr>
            <w:tcW w:w="913" w:type="pct"/>
          </w:tcPr>
          <w:p w14:paraId="3D09B2BA" w14:textId="77777777" w:rsidR="00FA786A" w:rsidRPr="00C54615" w:rsidRDefault="00FA786A" w:rsidP="00FA786A">
            <w:pPr>
              <w:pStyle w:val="TableText"/>
              <w:spacing w:before="0" w:after="0"/>
              <w:jc w:val="center"/>
              <w:rPr>
                <w:rFonts w:cstheme="minorHAnsi"/>
                <w:bCs/>
                <w:szCs w:val="20"/>
              </w:rPr>
            </w:pPr>
            <w:r w:rsidRPr="00C54615">
              <w:rPr>
                <w:rFonts w:cstheme="minorHAnsi"/>
                <w:b/>
                <w:szCs w:val="20"/>
              </w:rPr>
              <w:t>0.287</w:t>
            </w:r>
          </w:p>
        </w:tc>
        <w:tc>
          <w:tcPr>
            <w:tcW w:w="942" w:type="pct"/>
          </w:tcPr>
          <w:p w14:paraId="381A643D" w14:textId="35EFBD7A" w:rsidR="00FA786A" w:rsidRPr="00051030" w:rsidRDefault="00037488" w:rsidP="00FA786A">
            <w:pPr>
              <w:pStyle w:val="TableText"/>
              <w:spacing w:before="0" w:after="0"/>
              <w:jc w:val="center"/>
              <w:rPr>
                <w:rFonts w:cstheme="minorHAnsi"/>
                <w:bCs/>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2</w:t>
            </w:r>
          </w:p>
        </w:tc>
      </w:tr>
      <w:tr w:rsidR="00FA786A" w:rsidRPr="00C259B0" w14:paraId="053F8B7B" w14:textId="77777777" w:rsidTr="00037488">
        <w:trPr>
          <w:cantSplit/>
          <w:trHeight w:val="50"/>
        </w:trPr>
        <w:tc>
          <w:tcPr>
            <w:tcW w:w="2057" w:type="pct"/>
          </w:tcPr>
          <w:p w14:paraId="56C12469" w14:textId="77777777" w:rsidR="00FA786A" w:rsidRPr="00C54615" w:rsidRDefault="00FA786A" w:rsidP="00FA786A">
            <w:pPr>
              <w:pStyle w:val="TableText"/>
              <w:spacing w:before="0" w:after="0"/>
              <w:rPr>
                <w:b/>
                <w:bCs/>
                <w:szCs w:val="20"/>
              </w:rPr>
            </w:pPr>
            <w:r w:rsidRPr="00C54615">
              <w:rPr>
                <w:szCs w:val="20"/>
              </w:rPr>
              <w:t xml:space="preserve">   Baseline HbA1c of 8.3% &amp; 14.1 years &amp; no FoH &amp; 20 yrs duration</w:t>
            </w:r>
          </w:p>
        </w:tc>
        <w:tc>
          <w:tcPr>
            <w:tcW w:w="1088" w:type="pct"/>
          </w:tcPr>
          <w:p w14:paraId="4A9EA351" w14:textId="4944C6F7" w:rsidR="00FA786A" w:rsidRPr="00051030" w:rsidRDefault="00FA786A" w:rsidP="00FA786A">
            <w:pPr>
              <w:pStyle w:val="TableText"/>
              <w:spacing w:before="0" w:after="0"/>
              <w:jc w:val="center"/>
              <w:rPr>
                <w:rFonts w:cstheme="minorHAnsi"/>
                <w:bCs/>
                <w:szCs w:val="20"/>
                <w:highlight w:val="yellow"/>
              </w:rPr>
            </w:pPr>
            <w:r w:rsidRPr="00A707A2">
              <w:rPr>
                <w:rFonts w:cstheme="minorHAnsi"/>
                <w:szCs w:val="20"/>
              </w:rPr>
              <w:t>$</w:t>
            </w:r>
            <w:r w:rsidRPr="00A707A2">
              <w:rPr>
                <w:rFonts w:cstheme="minorHAnsi"/>
                <w:b/>
                <w:bCs/>
                <w:szCs w:val="20"/>
              </w:rPr>
              <w:t>Redacted</w:t>
            </w:r>
          </w:p>
        </w:tc>
        <w:tc>
          <w:tcPr>
            <w:tcW w:w="913" w:type="pct"/>
          </w:tcPr>
          <w:p w14:paraId="42EC25BB" w14:textId="77777777" w:rsidR="00FA786A" w:rsidRPr="00C54615" w:rsidRDefault="00FA786A" w:rsidP="00FA786A">
            <w:pPr>
              <w:pStyle w:val="TableText"/>
              <w:spacing w:before="0" w:after="0"/>
              <w:jc w:val="center"/>
              <w:rPr>
                <w:rFonts w:cstheme="minorHAnsi"/>
                <w:bCs/>
                <w:szCs w:val="20"/>
              </w:rPr>
            </w:pPr>
            <w:r w:rsidRPr="00C54615">
              <w:rPr>
                <w:rFonts w:cstheme="minorHAnsi"/>
                <w:szCs w:val="20"/>
              </w:rPr>
              <w:t>0.213</w:t>
            </w:r>
          </w:p>
        </w:tc>
        <w:tc>
          <w:tcPr>
            <w:tcW w:w="942" w:type="pct"/>
          </w:tcPr>
          <w:p w14:paraId="78703F76" w14:textId="6E91BCCE" w:rsidR="00FA786A" w:rsidRPr="00051030" w:rsidRDefault="00037488" w:rsidP="00FA786A">
            <w:pPr>
              <w:pStyle w:val="TableText"/>
              <w:spacing w:before="0" w:after="0"/>
              <w:jc w:val="center"/>
              <w:rPr>
                <w:rFonts w:cstheme="minorHAnsi"/>
                <w:bCs/>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5</w:t>
            </w:r>
          </w:p>
        </w:tc>
      </w:tr>
      <w:tr w:rsidR="00FA786A" w:rsidRPr="00C259B0" w14:paraId="42BE130D" w14:textId="77777777" w:rsidTr="00051030">
        <w:trPr>
          <w:cantSplit/>
          <w:trHeight w:val="50"/>
        </w:trPr>
        <w:tc>
          <w:tcPr>
            <w:tcW w:w="2057" w:type="pct"/>
            <w:vAlign w:val="center"/>
          </w:tcPr>
          <w:p w14:paraId="71D699AA" w14:textId="77777777" w:rsidR="00FA786A" w:rsidRPr="00C54615" w:rsidRDefault="00FA786A" w:rsidP="00FA786A">
            <w:pPr>
              <w:pStyle w:val="TableText"/>
              <w:rPr>
                <w:b/>
                <w:bCs/>
                <w:szCs w:val="20"/>
              </w:rPr>
            </w:pPr>
            <w:r w:rsidRPr="00C54615">
              <w:rPr>
                <w:b/>
                <w:bCs/>
                <w:szCs w:val="20"/>
              </w:rPr>
              <w:t>Base case (Fremantle)</w:t>
            </w:r>
          </w:p>
        </w:tc>
        <w:tc>
          <w:tcPr>
            <w:tcW w:w="1088" w:type="pct"/>
          </w:tcPr>
          <w:p w14:paraId="50D20080" w14:textId="68052B30" w:rsidR="00FA786A" w:rsidRPr="00051030" w:rsidRDefault="00FA786A" w:rsidP="00FA786A">
            <w:pPr>
              <w:pStyle w:val="TableText"/>
              <w:spacing w:before="0" w:after="0"/>
              <w:jc w:val="center"/>
              <w:rPr>
                <w:rFonts w:eastAsia="Calibri"/>
                <w:szCs w:val="20"/>
                <w:highlight w:val="yellow"/>
              </w:rPr>
            </w:pPr>
            <w:r w:rsidRPr="00A707A2">
              <w:rPr>
                <w:rFonts w:cstheme="minorHAnsi"/>
                <w:szCs w:val="20"/>
              </w:rPr>
              <w:t>$</w:t>
            </w:r>
            <w:r w:rsidRPr="00A707A2">
              <w:rPr>
                <w:rFonts w:cstheme="minorHAnsi"/>
                <w:b/>
                <w:bCs/>
                <w:szCs w:val="20"/>
              </w:rPr>
              <w:t>Redacted</w:t>
            </w:r>
          </w:p>
        </w:tc>
        <w:tc>
          <w:tcPr>
            <w:tcW w:w="913" w:type="pct"/>
          </w:tcPr>
          <w:p w14:paraId="2369FE27" w14:textId="77777777" w:rsidR="00FA786A" w:rsidRPr="00C54615" w:rsidRDefault="00FA786A" w:rsidP="00FA786A">
            <w:pPr>
              <w:pStyle w:val="TableText"/>
              <w:spacing w:before="0" w:after="0"/>
              <w:jc w:val="center"/>
              <w:rPr>
                <w:rFonts w:eastAsia="Calibri"/>
                <w:szCs w:val="20"/>
              </w:rPr>
            </w:pPr>
            <w:r w:rsidRPr="00C54615">
              <w:rPr>
                <w:b/>
                <w:bCs/>
                <w:szCs w:val="20"/>
              </w:rPr>
              <w:t>0.314</w:t>
            </w:r>
          </w:p>
        </w:tc>
        <w:tc>
          <w:tcPr>
            <w:tcW w:w="942" w:type="pct"/>
          </w:tcPr>
          <w:p w14:paraId="3447D4DE" w14:textId="2956B01F" w:rsidR="00FA786A" w:rsidRPr="00051030" w:rsidRDefault="00037488" w:rsidP="00FA786A">
            <w:pPr>
              <w:pStyle w:val="TableText"/>
              <w:spacing w:before="0" w:after="0"/>
              <w:jc w:val="center"/>
              <w:rPr>
                <w:rFonts w:eastAsia="Calibri"/>
                <w:szCs w:val="20"/>
                <w:highlight w:val="yellow"/>
              </w:rPr>
            </w:pPr>
            <w:r w:rsidRPr="004A46C2">
              <w:rPr>
                <w:rFonts w:cstheme="minorHAnsi"/>
                <w:szCs w:val="20"/>
              </w:rPr>
              <w:t>$</w:t>
            </w:r>
            <w:r w:rsidRPr="004A46C2">
              <w:rPr>
                <w:rFonts w:cstheme="minorHAnsi"/>
                <w:b/>
                <w:bCs/>
                <w:szCs w:val="20"/>
              </w:rPr>
              <w:t>Redacted</w:t>
            </w:r>
            <w:r w:rsidRPr="00D46BF9">
              <w:rPr>
                <w:rFonts w:cstheme="minorHAnsi"/>
                <w:szCs w:val="20"/>
                <w:vertAlign w:val="superscript"/>
              </w:rPr>
              <w:t>1</w:t>
            </w:r>
          </w:p>
        </w:tc>
      </w:tr>
      <w:tr w:rsidR="00FA786A" w:rsidRPr="00C259B0" w14:paraId="3461D800" w14:textId="77777777" w:rsidTr="00037488">
        <w:trPr>
          <w:cantSplit/>
          <w:trHeight w:val="50"/>
        </w:trPr>
        <w:tc>
          <w:tcPr>
            <w:tcW w:w="2057" w:type="pct"/>
            <w:vAlign w:val="center"/>
          </w:tcPr>
          <w:p w14:paraId="10EDC1BA" w14:textId="77777777" w:rsidR="00FA786A" w:rsidRPr="00C54615" w:rsidRDefault="00FA786A" w:rsidP="00FA786A">
            <w:pPr>
              <w:pStyle w:val="TableText"/>
              <w:spacing w:before="0" w:after="0"/>
              <w:rPr>
                <w:b/>
                <w:bCs/>
                <w:szCs w:val="20"/>
              </w:rPr>
            </w:pPr>
            <w:r w:rsidRPr="00C54615">
              <w:rPr>
                <w:szCs w:val="20"/>
              </w:rPr>
              <w:t xml:space="preserve">   Baseline HbA1c of 8.3% &amp; 14.1 years &amp; no FoH &amp; 20 yrs duration</w:t>
            </w:r>
          </w:p>
        </w:tc>
        <w:tc>
          <w:tcPr>
            <w:tcW w:w="1088" w:type="pct"/>
          </w:tcPr>
          <w:p w14:paraId="0C2DB48C" w14:textId="7DAF6D60" w:rsidR="00FA786A" w:rsidRPr="00051030" w:rsidRDefault="00FA786A" w:rsidP="00FA786A">
            <w:pPr>
              <w:pStyle w:val="TableText"/>
              <w:spacing w:before="0" w:after="0"/>
              <w:jc w:val="center"/>
              <w:rPr>
                <w:rFonts w:cstheme="minorHAnsi"/>
                <w:b/>
                <w:szCs w:val="20"/>
                <w:highlight w:val="yellow"/>
              </w:rPr>
            </w:pPr>
            <w:r w:rsidRPr="00A707A2">
              <w:rPr>
                <w:rFonts w:cstheme="minorHAnsi"/>
                <w:szCs w:val="20"/>
              </w:rPr>
              <w:t>$</w:t>
            </w:r>
            <w:r w:rsidRPr="00A707A2">
              <w:rPr>
                <w:rFonts w:cstheme="minorHAnsi"/>
                <w:b/>
                <w:bCs/>
                <w:szCs w:val="20"/>
              </w:rPr>
              <w:t>Redacted</w:t>
            </w:r>
          </w:p>
        </w:tc>
        <w:tc>
          <w:tcPr>
            <w:tcW w:w="913" w:type="pct"/>
          </w:tcPr>
          <w:p w14:paraId="50740645" w14:textId="77777777" w:rsidR="00FA786A" w:rsidRPr="00C54615" w:rsidRDefault="00FA786A" w:rsidP="00FA786A">
            <w:pPr>
              <w:pStyle w:val="TableText"/>
              <w:spacing w:before="0" w:after="0"/>
              <w:jc w:val="center"/>
              <w:rPr>
                <w:rFonts w:cstheme="minorHAnsi"/>
                <w:b/>
                <w:szCs w:val="20"/>
              </w:rPr>
            </w:pPr>
            <w:r w:rsidRPr="00C54615">
              <w:rPr>
                <w:rFonts w:cstheme="minorHAnsi"/>
                <w:szCs w:val="20"/>
              </w:rPr>
              <w:t>0.216</w:t>
            </w:r>
          </w:p>
        </w:tc>
        <w:tc>
          <w:tcPr>
            <w:tcW w:w="942" w:type="pct"/>
          </w:tcPr>
          <w:p w14:paraId="0E2173BD" w14:textId="4E03ED17" w:rsidR="00FA786A" w:rsidRPr="00051030" w:rsidRDefault="00037488" w:rsidP="00FA786A">
            <w:pPr>
              <w:pStyle w:val="TableText"/>
              <w:spacing w:before="0" w:after="0"/>
              <w:jc w:val="center"/>
              <w:rPr>
                <w:rFonts w:cstheme="minorHAnsi"/>
                <w:b/>
                <w:szCs w:val="20"/>
                <w:highlight w:val="yellow"/>
              </w:rPr>
            </w:pPr>
            <w:r w:rsidRPr="004A46C2">
              <w:rPr>
                <w:rFonts w:cstheme="minorHAnsi"/>
                <w:szCs w:val="20"/>
              </w:rPr>
              <w:t>$</w:t>
            </w:r>
            <w:r w:rsidRPr="004A46C2">
              <w:rPr>
                <w:rFonts w:cstheme="minorHAnsi"/>
                <w:b/>
                <w:bCs/>
                <w:szCs w:val="20"/>
              </w:rPr>
              <w:t>Redacted</w:t>
            </w:r>
            <w:r>
              <w:rPr>
                <w:rFonts w:cstheme="minorHAnsi"/>
                <w:szCs w:val="20"/>
                <w:vertAlign w:val="superscript"/>
              </w:rPr>
              <w:t>2</w:t>
            </w:r>
          </w:p>
        </w:tc>
      </w:tr>
    </w:tbl>
    <w:p w14:paraId="6C4A2930" w14:textId="10878963" w:rsidR="009525F1" w:rsidRDefault="009525F1" w:rsidP="00A21958">
      <w:pPr>
        <w:pStyle w:val="In-tableHeading"/>
        <w:rPr>
          <w:rFonts w:cstheme="minorHAnsi"/>
          <w:b w:val="0"/>
          <w:bCs/>
          <w:szCs w:val="20"/>
        </w:rPr>
      </w:pPr>
      <w:r w:rsidRPr="00C54615">
        <w:rPr>
          <w:rFonts w:cstheme="minorHAnsi"/>
          <w:b w:val="0"/>
          <w:bCs/>
          <w:szCs w:val="20"/>
          <w:vertAlign w:val="superscript"/>
        </w:rPr>
        <w:t>a</w:t>
      </w:r>
      <w:r w:rsidRPr="00C54615">
        <w:rPr>
          <w:rFonts w:cstheme="minorHAnsi"/>
          <w:b w:val="0"/>
          <w:bCs/>
          <w:szCs w:val="20"/>
        </w:rPr>
        <w:t xml:space="preserve"> Eye and Kidney cost items included: Haemodialysis each year; Peritoneal Dialysis, Year of Onset; Peritoneal Dialysis, each Subsequent Year; Renal transplant, Year of Event; Renal transplant, Each Subsequent Year; Laser treatment ; Severe Vision Loss/Blindness, Year of Onset; Severe Vision Loss/Blindness, Subsequent Year; Cataract surgery; Cataract, each subsequent year; Neuropathy each year. b HbA1c treatment effect −10% of lower CI for the IIT subpopulation were not considered as it crosses 0% (negative effect). c Other scenarios were considered non</w:t>
      </w:r>
      <w:r w:rsidR="007733F5">
        <w:rPr>
          <w:rFonts w:cstheme="minorHAnsi"/>
          <w:b w:val="0"/>
          <w:bCs/>
          <w:szCs w:val="20"/>
        </w:rPr>
        <w:t>-informative.</w:t>
      </w:r>
    </w:p>
    <w:p w14:paraId="3D88FF67" w14:textId="77777777" w:rsidR="00B2495D" w:rsidRDefault="00B2495D" w:rsidP="00B2495D">
      <w:pPr>
        <w:pStyle w:val="TableFooter"/>
        <w:rPr>
          <w:lang w:eastAsia="en-AU"/>
        </w:rPr>
      </w:pPr>
      <w:r>
        <w:rPr>
          <w:lang w:eastAsia="en-AU"/>
        </w:rPr>
        <w:t>The redacted values correspond to the following ranges:</w:t>
      </w:r>
    </w:p>
    <w:p w14:paraId="4BBAF732" w14:textId="77777777" w:rsidR="00B2495D" w:rsidRDefault="00B2495D" w:rsidP="00B2495D">
      <w:pPr>
        <w:pStyle w:val="TableFooter"/>
        <w:rPr>
          <w:lang w:eastAsia="en-AU"/>
        </w:rPr>
      </w:pPr>
      <w:r>
        <w:rPr>
          <w:vertAlign w:val="superscript"/>
          <w:lang w:eastAsia="en-AU"/>
        </w:rPr>
        <w:t>1</w:t>
      </w:r>
      <w:r>
        <w:rPr>
          <w:lang w:eastAsia="en-AU"/>
        </w:rPr>
        <w:t xml:space="preserve"> $5,000 to &lt; $15,000</w:t>
      </w:r>
    </w:p>
    <w:p w14:paraId="5EAA1EC4" w14:textId="6FA731B6" w:rsidR="00B2495D" w:rsidRDefault="00B2495D" w:rsidP="00B2495D">
      <w:pPr>
        <w:pStyle w:val="TableFooter"/>
        <w:rPr>
          <w:lang w:eastAsia="en-AU"/>
        </w:rPr>
      </w:pPr>
      <w:r w:rsidRPr="00637C8D">
        <w:rPr>
          <w:vertAlign w:val="superscript"/>
          <w:lang w:eastAsia="en-AU"/>
        </w:rPr>
        <w:t>2</w:t>
      </w:r>
      <w:r>
        <w:rPr>
          <w:lang w:eastAsia="en-AU"/>
        </w:rPr>
        <w:t xml:space="preserve"> $</w:t>
      </w:r>
      <w:r w:rsidR="00037488">
        <w:rPr>
          <w:lang w:eastAsia="en-AU"/>
        </w:rPr>
        <w:t>35,000</w:t>
      </w:r>
      <w:r>
        <w:rPr>
          <w:lang w:eastAsia="en-AU"/>
        </w:rPr>
        <w:t xml:space="preserve"> to &lt; $</w:t>
      </w:r>
      <w:r w:rsidR="00037488">
        <w:rPr>
          <w:lang w:eastAsia="en-AU"/>
        </w:rPr>
        <w:t>4</w:t>
      </w:r>
      <w:r>
        <w:rPr>
          <w:lang w:eastAsia="en-AU"/>
        </w:rPr>
        <w:t>5,000</w:t>
      </w:r>
      <w:r w:rsidRPr="00C81E0C">
        <w:rPr>
          <w:lang w:eastAsia="en-AU"/>
        </w:rPr>
        <w:t> </w:t>
      </w:r>
    </w:p>
    <w:p w14:paraId="3F6B2ABB" w14:textId="1912D1B5" w:rsidR="00B2495D" w:rsidRDefault="00B2495D" w:rsidP="00B2495D">
      <w:pPr>
        <w:pStyle w:val="TableFooter"/>
        <w:rPr>
          <w:lang w:eastAsia="en-AU"/>
        </w:rPr>
      </w:pPr>
      <w:r>
        <w:rPr>
          <w:vertAlign w:val="superscript"/>
          <w:lang w:eastAsia="en-AU"/>
        </w:rPr>
        <w:t>3</w:t>
      </w:r>
      <w:r>
        <w:rPr>
          <w:lang w:eastAsia="en-AU"/>
        </w:rPr>
        <w:t xml:space="preserve"> $</w:t>
      </w:r>
      <w:r w:rsidR="00037488">
        <w:rPr>
          <w:lang w:eastAsia="en-AU"/>
        </w:rPr>
        <w:t>2</w:t>
      </w:r>
      <w:r>
        <w:rPr>
          <w:lang w:eastAsia="en-AU"/>
        </w:rPr>
        <w:t>5,000 to &lt; $</w:t>
      </w:r>
      <w:r w:rsidR="00037488">
        <w:rPr>
          <w:lang w:eastAsia="en-AU"/>
        </w:rPr>
        <w:t>3</w:t>
      </w:r>
      <w:r>
        <w:rPr>
          <w:lang w:eastAsia="en-AU"/>
        </w:rPr>
        <w:t>5,000</w:t>
      </w:r>
      <w:r w:rsidRPr="00C81E0C">
        <w:rPr>
          <w:lang w:eastAsia="en-AU"/>
        </w:rPr>
        <w:t> </w:t>
      </w:r>
    </w:p>
    <w:p w14:paraId="0D53267F" w14:textId="17BABECD" w:rsidR="00B2495D" w:rsidRDefault="00B2495D" w:rsidP="00B2495D">
      <w:pPr>
        <w:pStyle w:val="TableFooter"/>
        <w:rPr>
          <w:lang w:eastAsia="en-AU"/>
        </w:rPr>
      </w:pPr>
      <w:r>
        <w:rPr>
          <w:vertAlign w:val="superscript"/>
          <w:lang w:eastAsia="en-AU"/>
        </w:rPr>
        <w:t>4</w:t>
      </w:r>
      <w:r>
        <w:rPr>
          <w:lang w:eastAsia="en-AU"/>
        </w:rPr>
        <w:t xml:space="preserve"> $</w:t>
      </w:r>
      <w:r w:rsidR="00037488">
        <w:rPr>
          <w:lang w:eastAsia="en-AU"/>
        </w:rPr>
        <w:t>1</w:t>
      </w:r>
      <w:r>
        <w:rPr>
          <w:lang w:eastAsia="en-AU"/>
        </w:rPr>
        <w:t>5,000 to &lt; $</w:t>
      </w:r>
      <w:r w:rsidR="00037488">
        <w:rPr>
          <w:lang w:eastAsia="en-AU"/>
        </w:rPr>
        <w:t>2</w:t>
      </w:r>
      <w:r>
        <w:rPr>
          <w:lang w:eastAsia="en-AU"/>
        </w:rPr>
        <w:t>5,000</w:t>
      </w:r>
    </w:p>
    <w:p w14:paraId="2B8F05D4" w14:textId="3C01AD73" w:rsidR="00B2495D" w:rsidRPr="00E43714" w:rsidRDefault="00B2495D" w:rsidP="00E43714">
      <w:pPr>
        <w:pStyle w:val="TableFooter"/>
        <w:rPr>
          <w:lang w:eastAsia="en-AU"/>
        </w:rPr>
      </w:pPr>
      <w:r>
        <w:rPr>
          <w:vertAlign w:val="superscript"/>
          <w:lang w:eastAsia="en-AU"/>
        </w:rPr>
        <w:t>5</w:t>
      </w:r>
      <w:r>
        <w:rPr>
          <w:lang w:eastAsia="en-AU"/>
        </w:rPr>
        <w:t xml:space="preserve"> $45,000 to &lt; $55,000</w:t>
      </w:r>
    </w:p>
    <w:p w14:paraId="25AE2BAC" w14:textId="192D5709" w:rsidR="00772829" w:rsidRPr="00CE28E3" w:rsidRDefault="00772829" w:rsidP="00670C60">
      <w:pPr>
        <w:pStyle w:val="Heading2"/>
        <w:numPr>
          <w:ilvl w:val="0"/>
          <w:numId w:val="32"/>
        </w:numPr>
        <w:ind w:hanging="720"/>
      </w:pPr>
      <w:r w:rsidRPr="00CE28E3">
        <w:t>Financial/budgetary impacts</w:t>
      </w:r>
      <w:bookmarkEnd w:id="53"/>
    </w:p>
    <w:p w14:paraId="6CED561F" w14:textId="54B84DAD" w:rsidR="00072D95" w:rsidRDefault="004F4778" w:rsidP="000E2889">
      <w:r w:rsidRPr="00302E12">
        <w:t>This ADAR presents associated financial implications to expand the subsidisation coverage of Dexcom ONE+ RT-CGM among people living with insulin-</w:t>
      </w:r>
      <w:r w:rsidR="00FF7633" w:rsidRPr="00302E12">
        <w:t>depende</w:t>
      </w:r>
      <w:r w:rsidR="00FF7633">
        <w:t xml:space="preserve">nt </w:t>
      </w:r>
      <w:r w:rsidRPr="00302E12">
        <w:t xml:space="preserve">T2D. An epidemiological approach was taken due to the absence of reliable </w:t>
      </w:r>
      <w:r w:rsidR="0097263C">
        <w:t>usage</w:t>
      </w:r>
      <w:r w:rsidRPr="00302E12">
        <w:t xml:space="preserve"> data for SMBG for the market share approach. The RT-CGM is assumed to substitute SMBG. </w:t>
      </w:r>
      <w:r w:rsidR="002A0F88">
        <w:t>E</w:t>
      </w:r>
      <w:r w:rsidRPr="00302E12">
        <w:t xml:space="preserve">stimated utilisation was calculated </w:t>
      </w:r>
      <w:r w:rsidR="00742604">
        <w:t xml:space="preserve">for </w:t>
      </w:r>
      <w:r w:rsidR="00250FF7">
        <w:t>the following populations</w:t>
      </w:r>
      <w:r w:rsidR="0091092A">
        <w:t>:</w:t>
      </w:r>
      <w:r w:rsidRPr="00302E12">
        <w:t xml:space="preserve"> IIT, non-IIT, First Nations, GDM and other diabetes</w:t>
      </w:r>
      <w:r w:rsidR="00EC37AF">
        <w:t>,</w:t>
      </w:r>
      <w:r w:rsidRPr="00302E12">
        <w:t xml:space="preserve"> using epidemiological data from </w:t>
      </w:r>
      <w:r w:rsidR="002A0F88">
        <w:t xml:space="preserve">the </w:t>
      </w:r>
      <w:r w:rsidR="00B050B3">
        <w:t>Australian D</w:t>
      </w:r>
      <w:r w:rsidR="00A62DF9">
        <w:t xml:space="preserve">iabetes Clinical Quality Registry </w:t>
      </w:r>
      <w:r w:rsidRPr="00CF760B">
        <w:t>(2024)</w:t>
      </w:r>
      <w:r w:rsidR="00097307">
        <w:t>,</w:t>
      </w:r>
      <w:r w:rsidR="006664FA" w:rsidRPr="00CF760B">
        <w:rPr>
          <w:rStyle w:val="FootnoteReference"/>
        </w:rPr>
        <w:footnoteReference w:id="22"/>
      </w:r>
      <w:r w:rsidRPr="00CF760B">
        <w:t xml:space="preserve"> </w:t>
      </w:r>
      <w:r w:rsidR="00097307">
        <w:t>the</w:t>
      </w:r>
      <w:r w:rsidRPr="00CF760B">
        <w:t xml:space="preserve"> </w:t>
      </w:r>
      <w:r w:rsidR="006925DC">
        <w:lastRenderedPageBreak/>
        <w:t xml:space="preserve">Australian Institute of Health and Welfare </w:t>
      </w:r>
      <w:r w:rsidR="004A7104">
        <w:t>and the</w:t>
      </w:r>
      <w:r w:rsidR="00CE5F51" w:rsidRPr="00CF760B">
        <w:t xml:space="preserve"> </w:t>
      </w:r>
      <w:r w:rsidR="00D22C9F">
        <w:t xml:space="preserve">National </w:t>
      </w:r>
      <w:r w:rsidR="000C53AB">
        <w:t>Indigenous</w:t>
      </w:r>
      <w:r w:rsidR="004D48BC">
        <w:t xml:space="preserve"> Australia</w:t>
      </w:r>
      <w:r w:rsidR="004A7104">
        <w:t>ns</w:t>
      </w:r>
      <w:r w:rsidR="004D48BC">
        <w:t xml:space="preserve"> </w:t>
      </w:r>
      <w:r w:rsidR="000C53AB">
        <w:t xml:space="preserve">Agency </w:t>
      </w:r>
      <w:r w:rsidRPr="00CF760B">
        <w:t>(2023)</w:t>
      </w:r>
      <w:r w:rsidR="00DD3F83">
        <w:t>,</w:t>
      </w:r>
      <w:r w:rsidR="00CE5F51" w:rsidRPr="00CF760B">
        <w:rPr>
          <w:rStyle w:val="FootnoteReference"/>
        </w:rPr>
        <w:footnoteReference w:id="23"/>
      </w:r>
      <w:r w:rsidRPr="00CF760B">
        <w:t xml:space="preserve"> and </w:t>
      </w:r>
      <w:r w:rsidR="00DD3F83">
        <w:t>the</w:t>
      </w:r>
      <w:r w:rsidRPr="00CF760B">
        <w:t xml:space="preserve"> </w:t>
      </w:r>
      <w:r w:rsidR="000C53AB">
        <w:t>Australian Bureau of Stat</w:t>
      </w:r>
      <w:r w:rsidR="003E63EE">
        <w:t xml:space="preserve">istics </w:t>
      </w:r>
      <w:r w:rsidRPr="00CF760B">
        <w:t>(2021)</w:t>
      </w:r>
      <w:r w:rsidR="00DD3F83">
        <w:t>,</w:t>
      </w:r>
      <w:r w:rsidR="00CF760B" w:rsidRPr="00CF760B">
        <w:rPr>
          <w:rStyle w:val="FootnoteReference"/>
        </w:rPr>
        <w:footnoteReference w:id="24"/>
      </w:r>
      <w:r w:rsidR="00E237A1">
        <w:t xml:space="preserve"> </w:t>
      </w:r>
      <w:r w:rsidR="000A3D7F">
        <w:t xml:space="preserve">which is </w:t>
      </w:r>
      <w:r w:rsidR="001941F9">
        <w:t>reasonable</w:t>
      </w:r>
      <w:r w:rsidRPr="00CF760B">
        <w:t>.</w:t>
      </w:r>
      <w:r w:rsidRPr="00302E12">
        <w:t xml:space="preserve"> </w:t>
      </w:r>
    </w:p>
    <w:p w14:paraId="3F525A18" w14:textId="26DA5595" w:rsidR="009347C8" w:rsidRDefault="009347C8" w:rsidP="000E2889">
      <w:r>
        <w:t>In the resubmission, the number of T2D patients requiring insulin treatment was estimated using Prospection data</w:t>
      </w:r>
      <w:r w:rsidR="00C66C6F">
        <w:t xml:space="preserve"> analysis (2022)</w:t>
      </w:r>
      <w:r w:rsidR="00F77121">
        <w:rPr>
          <w:rStyle w:val="FootnoteReference"/>
        </w:rPr>
        <w:footnoteReference w:id="25"/>
      </w:r>
      <w:r>
        <w:t xml:space="preserve">. </w:t>
      </w:r>
      <w:r w:rsidRPr="009C72A5">
        <w:t xml:space="preserve">A proportion of 15.9% was estimated by dividing the number of people with T2D </w:t>
      </w:r>
      <w:r w:rsidR="00AF5951">
        <w:t>(</w:t>
      </w:r>
      <w:r w:rsidRPr="009C72A5">
        <w:t>NDSS 2022 data</w:t>
      </w:r>
      <w:r w:rsidR="00AF5951">
        <w:t>)</w:t>
      </w:r>
      <w:r w:rsidRPr="009C72A5">
        <w:t xml:space="preserve"> by the number of T2D patients receiving insulin treatment</w:t>
      </w:r>
      <w:r w:rsidR="00AF5951">
        <w:t xml:space="preserve"> (</w:t>
      </w:r>
      <w:r w:rsidRPr="009C72A5">
        <w:t>based on Prospection data for 2022</w:t>
      </w:r>
      <w:r w:rsidR="00795852">
        <w:t xml:space="preserve"> (</w:t>
      </w:r>
      <w:r w:rsidR="00117C38">
        <w:t xml:space="preserve">1786 PSD, </w:t>
      </w:r>
      <w:r w:rsidR="009F5B5D">
        <w:t>p.</w:t>
      </w:r>
      <w:r w:rsidR="00117C38">
        <w:t xml:space="preserve"> 63)</w:t>
      </w:r>
      <w:r w:rsidR="00AF5951">
        <w:t>)</w:t>
      </w:r>
      <w:r w:rsidRPr="009C72A5">
        <w:t>.</w:t>
      </w:r>
      <w:r>
        <w:t xml:space="preserve"> This source is considered appropriate</w:t>
      </w:r>
      <w:r w:rsidR="007C198B">
        <w:t>,</w:t>
      </w:r>
      <w:r>
        <w:t xml:space="preserve"> and consistent with MSAC advice that the PBS data </w:t>
      </w:r>
      <w:r w:rsidR="007C198B">
        <w:t>are</w:t>
      </w:r>
      <w:r>
        <w:t xml:space="preserve"> more accurate than the NDSS data. However, assum</w:t>
      </w:r>
      <w:r w:rsidR="00AF5EAC">
        <w:t>ing</w:t>
      </w:r>
      <w:r>
        <w:t xml:space="preserve"> this proportion (15.9%) remains constant from 2022 to 2032 may be </w:t>
      </w:r>
      <w:r w:rsidR="00AF5EAC">
        <w:t>un</w:t>
      </w:r>
      <w:r>
        <w:t xml:space="preserve">realistic. </w:t>
      </w:r>
    </w:p>
    <w:p w14:paraId="782B3291" w14:textId="4F60FAD9" w:rsidR="004F4778" w:rsidRPr="00302E12" w:rsidRDefault="000E762F" w:rsidP="000E2889">
      <w:r>
        <w:t>NDSS T2D d</w:t>
      </w:r>
      <w:r w:rsidR="004F4778" w:rsidRPr="00302E12">
        <w:t>ata from 2017</w:t>
      </w:r>
      <w:r w:rsidR="007C1C57">
        <w:t>–</w:t>
      </w:r>
      <w:r w:rsidR="004F4778" w:rsidRPr="00302E12">
        <w:t>2024 w</w:t>
      </w:r>
      <w:r>
        <w:t>ere</w:t>
      </w:r>
      <w:r w:rsidR="004F4778" w:rsidRPr="00302E12">
        <w:t xml:space="preserve"> used to derive a linear equation to estimate the future prevalence of insulin-dependent T2D. The applicant-estimated uptake of RT-CGM ranges from 18</w:t>
      </w:r>
      <w:r w:rsidR="00652AD6" w:rsidRPr="00652AD6">
        <w:t>–</w:t>
      </w:r>
      <w:r w:rsidR="004F4778" w:rsidRPr="00302E12">
        <w:t>60% in year 1 increasing to 35</w:t>
      </w:r>
      <w:r w:rsidR="00652AD6" w:rsidRPr="00652AD6">
        <w:t>–</w:t>
      </w:r>
      <w:r w:rsidR="004F4778" w:rsidRPr="00302E12">
        <w:t xml:space="preserve">80% in year 6; however, no expert consultation was undertaken to inform these estimates. </w:t>
      </w:r>
    </w:p>
    <w:p w14:paraId="5431C671" w14:textId="1AD28742" w:rsidR="0099582C" w:rsidRPr="00302E12" w:rsidRDefault="009F6ED9" w:rsidP="000E2889">
      <w:r>
        <w:t>The resubmission estimated the daily number of test</w:t>
      </w:r>
      <w:r w:rsidR="00013DF6">
        <w:t xml:space="preserve"> strips</w:t>
      </w:r>
      <w:r w:rsidR="0086650C">
        <w:t xml:space="preserve"> to be 3.8 for IIT, 2 for </w:t>
      </w:r>
      <w:r w:rsidR="007C1C57">
        <w:t>n</w:t>
      </w:r>
      <w:r w:rsidR="0086650C">
        <w:t xml:space="preserve">on-IIT, </w:t>
      </w:r>
      <w:r w:rsidR="009460FB">
        <w:t>4 for GDM populations</w:t>
      </w:r>
      <w:r w:rsidR="003D0480">
        <w:t xml:space="preserve">, and 2.5 for First Nations and other </w:t>
      </w:r>
      <w:r w:rsidR="003D0480" w:rsidRPr="00302E12">
        <w:t>diabetes</w:t>
      </w:r>
      <w:r w:rsidR="00F10C5E">
        <w:t xml:space="preserve"> </w:t>
      </w:r>
      <w:r w:rsidR="004E5715">
        <w:t>patients</w:t>
      </w:r>
      <w:r w:rsidR="00F10C5E">
        <w:t xml:space="preserve"> if </w:t>
      </w:r>
      <w:r w:rsidR="00E12AD6" w:rsidRPr="00E12AD6">
        <w:t>Dexcom ONE+</w:t>
      </w:r>
      <w:r w:rsidR="00C82807">
        <w:t xml:space="preserve"> is </w:t>
      </w:r>
      <w:r w:rsidR="007C097C">
        <w:t>not used</w:t>
      </w:r>
      <w:r w:rsidR="00980165">
        <w:t xml:space="preserve"> (SMBG arm)</w:t>
      </w:r>
      <w:r w:rsidR="007C097C">
        <w:t>.</w:t>
      </w:r>
      <w:r w:rsidR="00487211">
        <w:t xml:space="preserve"> Although wastage</w:t>
      </w:r>
      <w:r w:rsidR="00D2477D">
        <w:t xml:space="preserve"> was considered and </w:t>
      </w:r>
      <w:r w:rsidR="007A6127">
        <w:t xml:space="preserve">the </w:t>
      </w:r>
      <w:r w:rsidR="004F3F28">
        <w:t>cost</w:t>
      </w:r>
      <w:r w:rsidR="00B86286">
        <w:t xml:space="preserve"> per pack of 100 strips</w:t>
      </w:r>
      <w:r w:rsidR="00C30019">
        <w:t xml:space="preserve"> was applied to calculate </w:t>
      </w:r>
      <w:r w:rsidR="008C1981">
        <w:t>cost offsets</w:t>
      </w:r>
      <w:r w:rsidR="001102CF">
        <w:t xml:space="preserve">, </w:t>
      </w:r>
      <w:r w:rsidR="009A7E29" w:rsidRPr="009A7E29">
        <w:t xml:space="preserve">Dexcom ONE+ </w:t>
      </w:r>
      <w:r w:rsidR="009A7E29">
        <w:t xml:space="preserve">users </w:t>
      </w:r>
      <w:r w:rsidR="00431BB5">
        <w:t xml:space="preserve">may still </w:t>
      </w:r>
      <w:r w:rsidR="00972E8F">
        <w:t xml:space="preserve">require </w:t>
      </w:r>
      <w:r w:rsidR="001C0BF4">
        <w:t xml:space="preserve">some </w:t>
      </w:r>
      <w:r w:rsidR="0099582C" w:rsidRPr="0099582C">
        <w:t>glucose test strips</w:t>
      </w:r>
      <w:r w:rsidR="00431BB5" w:rsidRPr="00431BB5">
        <w:t xml:space="preserve"> at follow</w:t>
      </w:r>
      <w:r w:rsidR="004E5715">
        <w:t>-</w:t>
      </w:r>
      <w:r w:rsidR="00431BB5" w:rsidRPr="00431BB5">
        <w:t>up</w:t>
      </w:r>
      <w:r w:rsidR="00B44D1D">
        <w:t xml:space="preserve">. </w:t>
      </w:r>
      <w:r w:rsidR="007F2967" w:rsidRPr="007F2967">
        <w:t>However, the</w:t>
      </w:r>
      <w:r w:rsidR="002D4C8E">
        <w:t xml:space="preserve"> applicant assumed </w:t>
      </w:r>
      <w:r w:rsidR="007F2967">
        <w:t xml:space="preserve">zero </w:t>
      </w:r>
      <w:r w:rsidR="00C6727D">
        <w:t>test strip</w:t>
      </w:r>
      <w:r w:rsidR="00E857BB">
        <w:t xml:space="preserve"> </w:t>
      </w:r>
      <w:r w:rsidR="00003F01">
        <w:t>use in</w:t>
      </w:r>
      <w:r w:rsidR="00E857BB">
        <w:t xml:space="preserve"> </w:t>
      </w:r>
      <w:r w:rsidR="000D0AC9">
        <w:t>the</w:t>
      </w:r>
      <w:r w:rsidR="00E857BB">
        <w:t xml:space="preserve"> </w:t>
      </w:r>
      <w:r w:rsidR="00BD200E" w:rsidRPr="009A7E29">
        <w:t>Dexcom ONE+</w:t>
      </w:r>
      <w:r w:rsidR="00BD200E">
        <w:t xml:space="preserve"> arm</w:t>
      </w:r>
      <w:r w:rsidR="00516CBE">
        <w:t xml:space="preserve"> without </w:t>
      </w:r>
      <w:r w:rsidR="002F0F1F" w:rsidRPr="002F0F1F">
        <w:t>justification</w:t>
      </w:r>
      <w:r w:rsidR="009A117A">
        <w:t>. T</w:t>
      </w:r>
      <w:r w:rsidR="00B05864" w:rsidRPr="00B05864">
        <w:t>his</w:t>
      </w:r>
      <w:r w:rsidR="00BD200E">
        <w:t xml:space="preserve"> </w:t>
      </w:r>
      <w:r w:rsidR="00B05864" w:rsidRPr="00B05864">
        <w:t xml:space="preserve">uncertainty may result in an overestimation of </w:t>
      </w:r>
      <w:r w:rsidR="0067617C">
        <w:t xml:space="preserve">the </w:t>
      </w:r>
      <w:r w:rsidR="00860349">
        <w:t xml:space="preserve">overall </w:t>
      </w:r>
      <w:r w:rsidR="00B05864" w:rsidRPr="00B05864">
        <w:t>financial impact.</w:t>
      </w:r>
    </w:p>
    <w:p w14:paraId="2C3FECE6" w14:textId="5975E1E7" w:rsidR="004F4778" w:rsidRPr="00302E12" w:rsidRDefault="004F4778" w:rsidP="000E2889">
      <w:r w:rsidRPr="00302E12">
        <w:t xml:space="preserve">As indicated in the </w:t>
      </w:r>
      <w:r w:rsidR="005500C9">
        <w:t>original</w:t>
      </w:r>
      <w:r w:rsidRPr="00302E12">
        <w:t xml:space="preserve"> </w:t>
      </w:r>
      <w:r w:rsidR="00387D92">
        <w:t>ADAR</w:t>
      </w:r>
      <w:r w:rsidRPr="00302E12">
        <w:t xml:space="preserve"> submission, each patient would require 12.17 packs of sensor</w:t>
      </w:r>
      <w:r w:rsidR="00250FF7">
        <w:t>s</w:t>
      </w:r>
      <w:r w:rsidRPr="00302E12">
        <w:t xml:space="preserve"> annually</w:t>
      </w:r>
      <w:r w:rsidR="00250FF7">
        <w:t>,</w:t>
      </w:r>
      <w:r w:rsidRPr="00302E12">
        <w:t xml:space="preserve"> </w:t>
      </w:r>
      <w:r w:rsidR="00E93951">
        <w:t>with packs</w:t>
      </w:r>
      <w:r w:rsidR="00E93951" w:rsidRPr="00302E12">
        <w:t xml:space="preserve"> </w:t>
      </w:r>
      <w:r w:rsidRPr="00302E12">
        <w:t>contain</w:t>
      </w:r>
      <w:r w:rsidR="00E93951">
        <w:t>ing</w:t>
      </w:r>
      <w:r w:rsidRPr="00302E12">
        <w:t xml:space="preserve"> 3 sensors </w:t>
      </w:r>
      <w:r w:rsidR="00E93951">
        <w:t>and</w:t>
      </w:r>
      <w:r w:rsidR="00E93951" w:rsidRPr="00302E12">
        <w:t xml:space="preserve"> </w:t>
      </w:r>
      <w:r w:rsidRPr="00302E12">
        <w:t>each sensor last</w:t>
      </w:r>
      <w:r w:rsidR="00250FF7">
        <w:t>ing</w:t>
      </w:r>
      <w:r w:rsidRPr="00302E12">
        <w:t xml:space="preserve"> 10 days. </w:t>
      </w:r>
      <w:r w:rsidR="00590683" w:rsidRPr="00590683">
        <w:t xml:space="preserve">However, </w:t>
      </w:r>
      <w:r w:rsidR="00590683">
        <w:t xml:space="preserve">annual </w:t>
      </w:r>
      <w:r w:rsidR="0026034E">
        <w:t>pack</w:t>
      </w:r>
      <w:r w:rsidR="0026034E" w:rsidRPr="00590683">
        <w:t xml:space="preserve"> </w:t>
      </w:r>
      <w:r w:rsidR="00590683" w:rsidRPr="00590683">
        <w:t>number</w:t>
      </w:r>
      <w:r w:rsidR="0026034E">
        <w:t>s</w:t>
      </w:r>
      <w:r w:rsidR="00590683" w:rsidRPr="00590683">
        <w:t xml:space="preserve"> may be </w:t>
      </w:r>
      <w:r w:rsidR="0086787A">
        <w:t>over</w:t>
      </w:r>
      <w:r w:rsidR="00590683" w:rsidRPr="00590683">
        <w:t>estimated</w:t>
      </w:r>
      <w:r w:rsidR="00E77900">
        <w:t>,</w:t>
      </w:r>
      <w:r w:rsidR="003E7ABE">
        <w:t xml:space="preserve"> as </w:t>
      </w:r>
      <w:r w:rsidR="00586AFD">
        <w:t>the E</w:t>
      </w:r>
      <w:r w:rsidR="00557640">
        <w:t xml:space="preserve">valuation </w:t>
      </w:r>
      <w:r w:rsidR="007B6C86">
        <w:t>S</w:t>
      </w:r>
      <w:r w:rsidR="00557640">
        <w:t>ubcommittee (</w:t>
      </w:r>
      <w:r w:rsidR="003E7ABE">
        <w:t>ESC</w:t>
      </w:r>
      <w:r w:rsidR="00557640">
        <w:t>)</w:t>
      </w:r>
      <w:r w:rsidR="003E7ABE" w:rsidRPr="003E7ABE">
        <w:t xml:space="preserve"> previously noted</w:t>
      </w:r>
      <w:r w:rsidR="0035305C">
        <w:t xml:space="preserve"> </w:t>
      </w:r>
      <w:r w:rsidR="00E77900">
        <w:t xml:space="preserve">that a </w:t>
      </w:r>
      <w:r w:rsidR="00F55E53">
        <w:t>90% adherence rate</w:t>
      </w:r>
      <w:r w:rsidR="002F0B6F">
        <w:t xml:space="preserve"> </w:t>
      </w:r>
      <w:r w:rsidR="00E77900">
        <w:t xml:space="preserve">is </w:t>
      </w:r>
      <w:r w:rsidR="002F0B6F">
        <w:t>more appropriate than 100%</w:t>
      </w:r>
      <w:r w:rsidR="00C7037E">
        <w:t>. T</w:t>
      </w:r>
      <w:r w:rsidR="000341D5">
        <w:t>his was not addressed in the resubmission</w:t>
      </w:r>
      <w:r w:rsidR="00E77900">
        <w:t>.</w:t>
      </w:r>
      <w:r w:rsidRPr="00302E12">
        <w:t xml:space="preserve"> The cost of Dexcom ONE+ was estimated to be</w:t>
      </w:r>
      <w:r w:rsidR="00FA786A">
        <w:t xml:space="preserve"> $</w:t>
      </w:r>
      <w:r w:rsidR="00051030">
        <w:rPr>
          <w:b/>
          <w:bCs/>
        </w:rPr>
        <w:t>r</w:t>
      </w:r>
      <w:r w:rsidR="00FA786A">
        <w:rPr>
          <w:b/>
          <w:bCs/>
        </w:rPr>
        <w:t>edacted</w:t>
      </w:r>
      <w:r w:rsidRPr="00302E12">
        <w:t xml:space="preserve"> </w:t>
      </w:r>
      <w:r w:rsidR="00174631">
        <w:t>p</w:t>
      </w:r>
      <w:r w:rsidRPr="00302E12">
        <w:t xml:space="preserve">er annum. In the resubmission, </w:t>
      </w:r>
      <w:r w:rsidR="005843BB">
        <w:t>based on the</w:t>
      </w:r>
      <w:r w:rsidR="008B5E5F">
        <w:t xml:space="preserve"> </w:t>
      </w:r>
      <w:r w:rsidR="00855327">
        <w:t xml:space="preserve">estimated </w:t>
      </w:r>
      <w:r w:rsidR="00834ECB">
        <w:t xml:space="preserve">cost to the </w:t>
      </w:r>
      <w:r w:rsidR="005843BB" w:rsidRPr="00302E12">
        <w:t>NDSS</w:t>
      </w:r>
      <w:r w:rsidR="00196ECE">
        <w:t>,</w:t>
      </w:r>
      <w:r w:rsidR="008B5E5F">
        <w:t xml:space="preserve"> </w:t>
      </w:r>
      <w:r w:rsidRPr="00302E12">
        <w:t>the cost of glucose test strips was updated from $15 to $19.10 per 100 strips</w:t>
      </w:r>
      <w:r w:rsidR="00196ECE">
        <w:t xml:space="preserve">. </w:t>
      </w:r>
      <w:r w:rsidR="00251FCB">
        <w:t>T</w:t>
      </w:r>
      <w:r w:rsidRPr="00302E12">
        <w:t xml:space="preserve">he total annual cost of the test strips </w:t>
      </w:r>
      <w:r w:rsidR="00250FF7">
        <w:t xml:space="preserve">for each population </w:t>
      </w:r>
      <w:r w:rsidRPr="00302E12">
        <w:t>was estimated to be $264.92, $139.43, $173.56, $68.76, $13.56 for IIT, non-IIT, First Nations, GDM and other diabetes patients, respectively. Furthermore, based on PBS data on insulin us</w:t>
      </w:r>
      <w:r w:rsidR="00E41263">
        <w:t>age</w:t>
      </w:r>
      <w:r w:rsidRPr="00302E12">
        <w:t xml:space="preserve">, 67% of patients accessing subsidised use of Dexcom ONE+ </w:t>
      </w:r>
      <w:r w:rsidR="00743A7E">
        <w:t>a</w:t>
      </w:r>
      <w:r w:rsidR="00867441" w:rsidRPr="00302E12">
        <w:t>re</w:t>
      </w:r>
      <w:r w:rsidRPr="00302E12">
        <w:t xml:space="preserve"> assumed to be concessional card holders and </w:t>
      </w:r>
      <w:r w:rsidR="00B943EA">
        <w:t xml:space="preserve">the </w:t>
      </w:r>
      <w:r w:rsidRPr="00302E12">
        <w:t xml:space="preserve">remaining 33% assumed </w:t>
      </w:r>
      <w:r w:rsidR="00977A88">
        <w:t xml:space="preserve">to be eligible </w:t>
      </w:r>
      <w:r w:rsidRPr="00302E12">
        <w:t xml:space="preserve">for co-payment. </w:t>
      </w:r>
      <w:r w:rsidR="00977A88">
        <w:t>C</w:t>
      </w:r>
      <w:r w:rsidRPr="00302E12">
        <w:t>o-payment was $35.90</w:t>
      </w:r>
      <w:r w:rsidR="00977A88">
        <w:t>,</w:t>
      </w:r>
      <w:r w:rsidRPr="00302E12">
        <w:t xml:space="preserve"> as indicated by MSAC in the </w:t>
      </w:r>
      <w:r w:rsidR="005500C9">
        <w:t>original</w:t>
      </w:r>
      <w:r w:rsidRPr="00302E12">
        <w:t xml:space="preserve"> </w:t>
      </w:r>
      <w:r w:rsidR="00387D92">
        <w:t xml:space="preserve">ADAR </w:t>
      </w:r>
      <w:r w:rsidRPr="00302E12">
        <w:t xml:space="preserve">submission (1785 PSD, </w:t>
      </w:r>
      <w:r w:rsidR="009F5B5D">
        <w:t>p.</w:t>
      </w:r>
      <w:r w:rsidRPr="00302E12">
        <w:t xml:space="preserve"> 60)</w:t>
      </w:r>
      <w:r w:rsidR="00743A7E">
        <w:t xml:space="preserve">. </w:t>
      </w:r>
      <w:r w:rsidRPr="00302E12">
        <w:t xml:space="preserve">First Nations populations </w:t>
      </w:r>
      <w:r w:rsidR="000304CC">
        <w:t>were</w:t>
      </w:r>
      <w:r w:rsidR="000304CC" w:rsidRPr="00302E12">
        <w:t xml:space="preserve"> </w:t>
      </w:r>
      <w:r w:rsidRPr="00302E12">
        <w:t>eligible for a full concession.</w:t>
      </w:r>
    </w:p>
    <w:p w14:paraId="2B6FEFB9" w14:textId="5E7D0DE4" w:rsidR="004F4778" w:rsidRPr="00302E12" w:rsidRDefault="004F4778" w:rsidP="000E2889">
      <w:r w:rsidRPr="00302E12">
        <w:t>The concern regarding broader healthcare cost saving</w:t>
      </w:r>
      <w:r w:rsidR="00743A7E">
        <w:t>s</w:t>
      </w:r>
      <w:r w:rsidRPr="00302E12">
        <w:t xml:space="preserve"> in the </w:t>
      </w:r>
      <w:r w:rsidR="005500C9">
        <w:t>original</w:t>
      </w:r>
      <w:r w:rsidRPr="00302E12">
        <w:t xml:space="preserve"> </w:t>
      </w:r>
      <w:r w:rsidR="00387D92">
        <w:t xml:space="preserve">ADAR </w:t>
      </w:r>
      <w:r w:rsidRPr="00302E12">
        <w:t xml:space="preserve">submission has been addressed by using model-based estimates of average 6-year healthcare cost savings associated with complication avoidance </w:t>
      </w:r>
      <w:r w:rsidR="00231898">
        <w:t>(</w:t>
      </w:r>
      <w:r w:rsidR="00556048">
        <w:t>$</w:t>
      </w:r>
      <w:r w:rsidR="00224DF6">
        <w:t>726.</w:t>
      </w:r>
      <w:r w:rsidR="007C7793">
        <w:t>3</w:t>
      </w:r>
      <w:r w:rsidR="00FB4521">
        <w:t>0 for IIT</w:t>
      </w:r>
      <w:r w:rsidR="00BE57BD">
        <w:t xml:space="preserve"> and </w:t>
      </w:r>
      <w:r w:rsidR="006E14BC" w:rsidRPr="006E14BC">
        <w:t>First Nations</w:t>
      </w:r>
      <w:r w:rsidR="008174A3">
        <w:t xml:space="preserve">; </w:t>
      </w:r>
      <w:r w:rsidR="00FB4521">
        <w:t>$</w:t>
      </w:r>
      <w:r w:rsidR="007060B5">
        <w:t>487.95 for non-IIT</w:t>
      </w:r>
      <w:r w:rsidR="00BE57BD">
        <w:t xml:space="preserve">) </w:t>
      </w:r>
      <w:r w:rsidRPr="00302E12">
        <w:t xml:space="preserve">following introduction </w:t>
      </w:r>
      <w:r w:rsidR="006E14BC" w:rsidRPr="00302E12">
        <w:t>o</w:t>
      </w:r>
      <w:r w:rsidR="006E14BC">
        <w:t xml:space="preserve">f </w:t>
      </w:r>
      <w:r w:rsidRPr="00302E12">
        <w:t xml:space="preserve">RT-CGM vs SMBG. </w:t>
      </w:r>
      <w:r w:rsidR="00011264">
        <w:t>However the AD</w:t>
      </w:r>
      <w:r w:rsidR="00B03EB2">
        <w:t>A</w:t>
      </w:r>
      <w:r w:rsidR="00FD3681">
        <w:t xml:space="preserve">R resubmission took the conservative approach of omitting cost savings </w:t>
      </w:r>
      <w:r w:rsidR="00011264" w:rsidRPr="00011264">
        <w:t>for the GDM and other diabetes populations (due to the lack of relevant evidence</w:t>
      </w:r>
      <w:r w:rsidR="00FD3681">
        <w:t xml:space="preserve">). </w:t>
      </w:r>
    </w:p>
    <w:p w14:paraId="218C93B8" w14:textId="3F452A32" w:rsidR="004F4778" w:rsidRPr="00302E12" w:rsidRDefault="006745D6" w:rsidP="000E2889">
      <w:r>
        <w:lastRenderedPageBreak/>
        <w:t>F</w:t>
      </w:r>
      <w:r w:rsidR="004F4778" w:rsidRPr="00302E12">
        <w:t>inancial implications to the NDSS resulting from the proposed listing of RT-CGM</w:t>
      </w:r>
      <w:r w:rsidR="008E1521">
        <w:t>, including expected uptake and costs for each subgroup,</w:t>
      </w:r>
      <w:r w:rsidR="004F4778" w:rsidRPr="00302E12">
        <w:t xml:space="preserve"> are summarised in </w:t>
      </w:r>
      <w:r w:rsidR="00195FCB">
        <w:fldChar w:fldCharType="begin"/>
      </w:r>
      <w:r w:rsidR="00195FCB">
        <w:instrText xml:space="preserve"> REF _Ref226731836 \h  \* MERGEFORMAT </w:instrText>
      </w:r>
      <w:r w:rsidR="00195FCB">
        <w:fldChar w:fldCharType="separate"/>
      </w:r>
      <w:r w:rsidR="00C54615">
        <w:t xml:space="preserve">Table </w:t>
      </w:r>
      <w:r w:rsidR="00C54615">
        <w:rPr>
          <w:noProof/>
        </w:rPr>
        <w:t>21</w:t>
      </w:r>
      <w:r w:rsidR="00195FCB">
        <w:fldChar w:fldCharType="end"/>
      </w:r>
      <w:r w:rsidR="004F4778" w:rsidRPr="00302E12">
        <w:t xml:space="preserve">. </w:t>
      </w:r>
    </w:p>
    <w:p w14:paraId="290BB3C4" w14:textId="2A5B3A15" w:rsidR="004F4778" w:rsidRPr="00302E12" w:rsidRDefault="00195FCB" w:rsidP="004F4778">
      <w:pPr>
        <w:pStyle w:val="Caption"/>
      </w:pPr>
      <w:bookmarkStart w:id="54" w:name="_Ref226731836"/>
      <w:r>
        <w:t>Table</w:t>
      </w:r>
      <w:r w:rsidR="00603A88">
        <w:t xml:space="preserve"> 21</w:t>
      </w:r>
      <w:bookmarkEnd w:id="54"/>
      <w:r>
        <w:t xml:space="preserve">: </w:t>
      </w:r>
      <w:r w:rsidR="004F4778" w:rsidRPr="00302E12">
        <w:t>Net financial implications of RT-CGM use to NDSS</w:t>
      </w:r>
    </w:p>
    <w:tbl>
      <w:tblPr>
        <w:tblStyle w:val="TableGrid1"/>
        <w:tblW w:w="5422" w:type="pct"/>
        <w:tblLook w:val="04A0" w:firstRow="1" w:lastRow="0" w:firstColumn="1" w:lastColumn="0" w:noHBand="0" w:noVBand="1"/>
      </w:tblPr>
      <w:tblGrid>
        <w:gridCol w:w="1990"/>
        <w:gridCol w:w="1298"/>
        <w:gridCol w:w="1300"/>
        <w:gridCol w:w="1298"/>
        <w:gridCol w:w="1300"/>
        <w:gridCol w:w="1298"/>
        <w:gridCol w:w="1293"/>
      </w:tblGrid>
      <w:tr w:rsidR="00FC2BF2" w:rsidRPr="00302E12" w14:paraId="7757279B" w14:textId="77777777" w:rsidTr="00177E31">
        <w:trPr>
          <w:cnfStyle w:val="100000000000" w:firstRow="1" w:lastRow="0" w:firstColumn="0" w:lastColumn="0" w:oddVBand="0" w:evenVBand="0" w:oddHBand="0" w:evenHBand="0" w:firstRowFirstColumn="0" w:firstRowLastColumn="0" w:lastRowFirstColumn="0" w:lastRowLastColumn="0"/>
        </w:trPr>
        <w:tc>
          <w:tcPr>
            <w:tcW w:w="1017" w:type="pct"/>
            <w:shd w:val="clear" w:color="auto" w:fill="D9D9D9" w:themeFill="background1" w:themeFillShade="D9"/>
          </w:tcPr>
          <w:p w14:paraId="40FC2957" w14:textId="77777777" w:rsidR="004F4778" w:rsidRPr="00302E12" w:rsidRDefault="004F4778">
            <w:pPr>
              <w:pStyle w:val="TableText"/>
              <w:rPr>
                <w:b/>
                <w:bCs/>
              </w:rPr>
            </w:pPr>
            <w:r w:rsidRPr="00302E12">
              <w:rPr>
                <w:b/>
                <w:bCs/>
              </w:rPr>
              <w:t xml:space="preserve">Parameter </w:t>
            </w:r>
          </w:p>
        </w:tc>
        <w:tc>
          <w:tcPr>
            <w:tcW w:w="664" w:type="pct"/>
            <w:shd w:val="clear" w:color="auto" w:fill="D9D9D9" w:themeFill="background1" w:themeFillShade="D9"/>
            <w:hideMark/>
          </w:tcPr>
          <w:p w14:paraId="24CABEDB" w14:textId="77777777" w:rsidR="004F4778" w:rsidRPr="00302E12" w:rsidRDefault="004F4778">
            <w:pPr>
              <w:pStyle w:val="TableText"/>
              <w:rPr>
                <w:b/>
                <w:bCs/>
              </w:rPr>
            </w:pPr>
            <w:r w:rsidRPr="00302E12">
              <w:rPr>
                <w:b/>
                <w:bCs/>
              </w:rPr>
              <w:t>Year 1</w:t>
            </w:r>
          </w:p>
        </w:tc>
        <w:tc>
          <w:tcPr>
            <w:tcW w:w="665" w:type="pct"/>
            <w:shd w:val="clear" w:color="auto" w:fill="D9D9D9" w:themeFill="background1" w:themeFillShade="D9"/>
            <w:hideMark/>
          </w:tcPr>
          <w:p w14:paraId="11089FA5" w14:textId="77777777" w:rsidR="004F4778" w:rsidRPr="00302E12" w:rsidRDefault="004F4778">
            <w:pPr>
              <w:pStyle w:val="TableText"/>
              <w:rPr>
                <w:b/>
                <w:bCs/>
              </w:rPr>
            </w:pPr>
            <w:r w:rsidRPr="00302E12">
              <w:rPr>
                <w:b/>
                <w:bCs/>
              </w:rPr>
              <w:t>Year 2</w:t>
            </w:r>
          </w:p>
        </w:tc>
        <w:tc>
          <w:tcPr>
            <w:tcW w:w="664" w:type="pct"/>
            <w:shd w:val="clear" w:color="auto" w:fill="D9D9D9" w:themeFill="background1" w:themeFillShade="D9"/>
            <w:hideMark/>
          </w:tcPr>
          <w:p w14:paraId="12E12661" w14:textId="77777777" w:rsidR="004F4778" w:rsidRPr="00302E12" w:rsidRDefault="004F4778">
            <w:pPr>
              <w:pStyle w:val="TableText"/>
              <w:rPr>
                <w:b/>
                <w:bCs/>
              </w:rPr>
            </w:pPr>
            <w:r w:rsidRPr="00302E12">
              <w:rPr>
                <w:b/>
                <w:bCs/>
              </w:rPr>
              <w:t>Year 3</w:t>
            </w:r>
          </w:p>
        </w:tc>
        <w:tc>
          <w:tcPr>
            <w:tcW w:w="665" w:type="pct"/>
            <w:shd w:val="clear" w:color="auto" w:fill="D9D9D9" w:themeFill="background1" w:themeFillShade="D9"/>
            <w:hideMark/>
          </w:tcPr>
          <w:p w14:paraId="628A1BDF" w14:textId="77777777" w:rsidR="004F4778" w:rsidRPr="00302E12" w:rsidRDefault="004F4778">
            <w:pPr>
              <w:pStyle w:val="TableText"/>
              <w:rPr>
                <w:b/>
                <w:bCs/>
              </w:rPr>
            </w:pPr>
            <w:r w:rsidRPr="00302E12">
              <w:rPr>
                <w:b/>
                <w:bCs/>
              </w:rPr>
              <w:t>Year 4</w:t>
            </w:r>
          </w:p>
        </w:tc>
        <w:tc>
          <w:tcPr>
            <w:tcW w:w="664" w:type="pct"/>
            <w:shd w:val="clear" w:color="auto" w:fill="D9D9D9" w:themeFill="background1" w:themeFillShade="D9"/>
            <w:hideMark/>
          </w:tcPr>
          <w:p w14:paraId="675C2289" w14:textId="77777777" w:rsidR="004F4778" w:rsidRPr="00302E12" w:rsidRDefault="004F4778">
            <w:pPr>
              <w:pStyle w:val="TableText"/>
              <w:rPr>
                <w:b/>
                <w:bCs/>
              </w:rPr>
            </w:pPr>
            <w:r w:rsidRPr="00302E12">
              <w:rPr>
                <w:b/>
                <w:bCs/>
              </w:rPr>
              <w:t>Year 5</w:t>
            </w:r>
          </w:p>
        </w:tc>
        <w:tc>
          <w:tcPr>
            <w:tcW w:w="661" w:type="pct"/>
            <w:shd w:val="clear" w:color="auto" w:fill="D9D9D9" w:themeFill="background1" w:themeFillShade="D9"/>
            <w:hideMark/>
          </w:tcPr>
          <w:p w14:paraId="54A5CA85" w14:textId="77777777" w:rsidR="004F4778" w:rsidRPr="00302E12" w:rsidRDefault="004F4778">
            <w:pPr>
              <w:pStyle w:val="TableText"/>
              <w:rPr>
                <w:b/>
                <w:bCs/>
              </w:rPr>
            </w:pPr>
            <w:r w:rsidRPr="00302E12">
              <w:rPr>
                <w:b/>
                <w:bCs/>
              </w:rPr>
              <w:t>Year 6</w:t>
            </w:r>
          </w:p>
        </w:tc>
      </w:tr>
      <w:tr w:rsidR="00985D8B" w:rsidRPr="00302E12" w14:paraId="79E21DFF" w14:textId="77777777" w:rsidTr="00030059">
        <w:tc>
          <w:tcPr>
            <w:tcW w:w="5000" w:type="pct"/>
            <w:gridSpan w:val="7"/>
            <w:shd w:val="clear" w:color="auto" w:fill="D9D9D9" w:themeFill="background1" w:themeFillShade="D9"/>
            <w:hideMark/>
          </w:tcPr>
          <w:p w14:paraId="65975699" w14:textId="77777777" w:rsidR="004F4778" w:rsidRPr="00302E12" w:rsidRDefault="004F4778">
            <w:pPr>
              <w:pStyle w:val="TableText"/>
              <w:rPr>
                <w:b/>
                <w:bCs/>
              </w:rPr>
            </w:pPr>
            <w:r w:rsidRPr="00302E12">
              <w:rPr>
                <w:b/>
                <w:bCs/>
              </w:rPr>
              <w:t>Estimated use and cost of the proposed health technology</w:t>
            </w:r>
          </w:p>
        </w:tc>
      </w:tr>
      <w:tr w:rsidR="00985D8B" w:rsidRPr="00302E12" w14:paraId="581736F5" w14:textId="77777777" w:rsidTr="00030059">
        <w:tc>
          <w:tcPr>
            <w:tcW w:w="5000" w:type="pct"/>
            <w:gridSpan w:val="7"/>
            <w:shd w:val="clear" w:color="auto" w:fill="D9D9D9" w:themeFill="background1" w:themeFillShade="D9"/>
          </w:tcPr>
          <w:p w14:paraId="72A5A77C" w14:textId="77777777" w:rsidR="004F4778" w:rsidRPr="00302E12" w:rsidRDefault="004F4778">
            <w:pPr>
              <w:pStyle w:val="TableText"/>
              <w:jc w:val="center"/>
              <w:rPr>
                <w:b/>
                <w:bCs/>
              </w:rPr>
            </w:pPr>
            <w:r w:rsidRPr="00302E12">
              <w:rPr>
                <w:b/>
                <w:bCs/>
              </w:rPr>
              <w:t>IIT subpopulation</w:t>
            </w:r>
          </w:p>
        </w:tc>
      </w:tr>
      <w:tr w:rsidR="00FC2BF2" w:rsidRPr="00302E12" w14:paraId="4C425E78" w14:textId="77777777" w:rsidTr="00177E31">
        <w:tc>
          <w:tcPr>
            <w:tcW w:w="1017" w:type="pct"/>
            <w:hideMark/>
          </w:tcPr>
          <w:p w14:paraId="0DA43909" w14:textId="77777777" w:rsidR="004F4778" w:rsidRPr="00302E12" w:rsidRDefault="004F4778">
            <w:pPr>
              <w:pStyle w:val="TableText"/>
            </w:pPr>
            <w:r w:rsidRPr="00302E12">
              <w:t>Number of people eligible for RT-CGM</w:t>
            </w:r>
          </w:p>
        </w:tc>
        <w:tc>
          <w:tcPr>
            <w:tcW w:w="664" w:type="pct"/>
          </w:tcPr>
          <w:p w14:paraId="702CD48D" w14:textId="77777777" w:rsidR="004F4778" w:rsidRPr="00302E12" w:rsidRDefault="004F4778" w:rsidP="00A41C72">
            <w:pPr>
              <w:pStyle w:val="TableText"/>
              <w:jc w:val="center"/>
            </w:pPr>
            <w:r w:rsidRPr="00302E12">
              <w:t>43,035</w:t>
            </w:r>
          </w:p>
        </w:tc>
        <w:tc>
          <w:tcPr>
            <w:tcW w:w="665" w:type="pct"/>
          </w:tcPr>
          <w:p w14:paraId="02E30D9A" w14:textId="77777777" w:rsidR="004F4778" w:rsidRPr="00302E12" w:rsidRDefault="004F4778" w:rsidP="00A41C72">
            <w:pPr>
              <w:pStyle w:val="TableText"/>
              <w:jc w:val="center"/>
            </w:pPr>
            <w:r w:rsidRPr="00302E12">
              <w:t>43,980</w:t>
            </w:r>
          </w:p>
        </w:tc>
        <w:tc>
          <w:tcPr>
            <w:tcW w:w="664" w:type="pct"/>
          </w:tcPr>
          <w:p w14:paraId="5B8D8178" w14:textId="77777777" w:rsidR="004F4778" w:rsidRPr="00302E12" w:rsidRDefault="004F4778" w:rsidP="00A41C72">
            <w:pPr>
              <w:pStyle w:val="TableText"/>
              <w:jc w:val="center"/>
            </w:pPr>
            <w:r w:rsidRPr="00302E12">
              <w:t>44,925</w:t>
            </w:r>
          </w:p>
        </w:tc>
        <w:tc>
          <w:tcPr>
            <w:tcW w:w="665" w:type="pct"/>
          </w:tcPr>
          <w:p w14:paraId="5EACBF19" w14:textId="77777777" w:rsidR="004F4778" w:rsidRPr="00302E12" w:rsidRDefault="004F4778" w:rsidP="00A41C72">
            <w:pPr>
              <w:pStyle w:val="TableText"/>
              <w:jc w:val="center"/>
            </w:pPr>
            <w:r w:rsidRPr="00302E12">
              <w:t>45,870</w:t>
            </w:r>
          </w:p>
        </w:tc>
        <w:tc>
          <w:tcPr>
            <w:tcW w:w="664" w:type="pct"/>
          </w:tcPr>
          <w:p w14:paraId="242BFF25" w14:textId="77777777" w:rsidR="004F4778" w:rsidRPr="00302E12" w:rsidRDefault="004F4778" w:rsidP="00A41C72">
            <w:pPr>
              <w:pStyle w:val="TableText"/>
              <w:jc w:val="center"/>
            </w:pPr>
            <w:r w:rsidRPr="00302E12">
              <w:t>46,815</w:t>
            </w:r>
          </w:p>
        </w:tc>
        <w:tc>
          <w:tcPr>
            <w:tcW w:w="661" w:type="pct"/>
          </w:tcPr>
          <w:p w14:paraId="46E7F8D8" w14:textId="77777777" w:rsidR="004F4778" w:rsidRPr="00302E12" w:rsidRDefault="004F4778" w:rsidP="00A41C72">
            <w:pPr>
              <w:pStyle w:val="TableText"/>
              <w:jc w:val="center"/>
            </w:pPr>
            <w:r w:rsidRPr="00302E12">
              <w:t>47,759</w:t>
            </w:r>
          </w:p>
        </w:tc>
      </w:tr>
      <w:tr w:rsidR="00FC2BF2" w:rsidRPr="00302E12" w14:paraId="508E95E6" w14:textId="77777777" w:rsidTr="00177E31">
        <w:tc>
          <w:tcPr>
            <w:tcW w:w="1017" w:type="pct"/>
            <w:hideMark/>
          </w:tcPr>
          <w:p w14:paraId="292EFFEE" w14:textId="77777777" w:rsidR="004F4778" w:rsidRPr="00302E12" w:rsidRDefault="004F4778">
            <w:pPr>
              <w:pStyle w:val="TableText"/>
            </w:pPr>
            <w:r w:rsidRPr="00302E12">
              <w:t>Number of people who receive RT-CGM</w:t>
            </w:r>
          </w:p>
        </w:tc>
        <w:tc>
          <w:tcPr>
            <w:tcW w:w="664" w:type="pct"/>
          </w:tcPr>
          <w:p w14:paraId="0B1D1B3D" w14:textId="77777777" w:rsidR="004F4778" w:rsidRPr="00302E12" w:rsidRDefault="004F4778" w:rsidP="00A41C72">
            <w:pPr>
              <w:pStyle w:val="TableText"/>
              <w:jc w:val="center"/>
            </w:pPr>
            <w:r w:rsidRPr="00302E12">
              <w:t>15,062</w:t>
            </w:r>
          </w:p>
        </w:tc>
        <w:tc>
          <w:tcPr>
            <w:tcW w:w="665" w:type="pct"/>
          </w:tcPr>
          <w:p w14:paraId="76AABB77" w14:textId="77777777" w:rsidR="004F4778" w:rsidRPr="00302E12" w:rsidRDefault="004F4778" w:rsidP="00A41C72">
            <w:pPr>
              <w:pStyle w:val="TableText"/>
              <w:jc w:val="center"/>
            </w:pPr>
            <w:r w:rsidRPr="00302E12">
              <w:t>19,791</w:t>
            </w:r>
          </w:p>
        </w:tc>
        <w:tc>
          <w:tcPr>
            <w:tcW w:w="664" w:type="pct"/>
          </w:tcPr>
          <w:p w14:paraId="0EE6A8F0" w14:textId="77777777" w:rsidR="004F4778" w:rsidRPr="00302E12" w:rsidRDefault="004F4778" w:rsidP="00A41C72">
            <w:pPr>
              <w:pStyle w:val="TableText"/>
              <w:jc w:val="center"/>
            </w:pPr>
            <w:r w:rsidRPr="00302E12">
              <w:t>24,709</w:t>
            </w:r>
          </w:p>
        </w:tc>
        <w:tc>
          <w:tcPr>
            <w:tcW w:w="665" w:type="pct"/>
          </w:tcPr>
          <w:p w14:paraId="41EBB775" w14:textId="77777777" w:rsidR="004F4778" w:rsidRPr="00302E12" w:rsidRDefault="004F4778" w:rsidP="00A41C72">
            <w:pPr>
              <w:pStyle w:val="TableText"/>
              <w:jc w:val="center"/>
            </w:pPr>
            <w:r w:rsidRPr="00302E12">
              <w:t>27,522</w:t>
            </w:r>
          </w:p>
        </w:tc>
        <w:tc>
          <w:tcPr>
            <w:tcW w:w="664" w:type="pct"/>
          </w:tcPr>
          <w:p w14:paraId="0AE9ED28" w14:textId="77777777" w:rsidR="004F4778" w:rsidRPr="00302E12" w:rsidRDefault="004F4778" w:rsidP="00A41C72">
            <w:pPr>
              <w:pStyle w:val="TableText"/>
              <w:jc w:val="center"/>
            </w:pPr>
            <w:r w:rsidRPr="00302E12">
              <w:t>30,429</w:t>
            </w:r>
          </w:p>
        </w:tc>
        <w:tc>
          <w:tcPr>
            <w:tcW w:w="661" w:type="pct"/>
          </w:tcPr>
          <w:p w14:paraId="4B3BCF5A" w14:textId="77777777" w:rsidR="004F4778" w:rsidRPr="00302E12" w:rsidRDefault="004F4778" w:rsidP="00A41C72">
            <w:pPr>
              <w:pStyle w:val="TableText"/>
              <w:jc w:val="center"/>
            </w:pPr>
            <w:r w:rsidRPr="00302E12">
              <w:t>33,432</w:t>
            </w:r>
          </w:p>
        </w:tc>
      </w:tr>
      <w:tr w:rsidR="00FC2BF2" w:rsidRPr="00302E12" w14:paraId="773BF839" w14:textId="77777777" w:rsidTr="00177E31">
        <w:tc>
          <w:tcPr>
            <w:tcW w:w="1017" w:type="pct"/>
            <w:hideMark/>
          </w:tcPr>
          <w:p w14:paraId="0919691B" w14:textId="77777777" w:rsidR="004F4778" w:rsidRPr="00302E12" w:rsidRDefault="004F4778">
            <w:pPr>
              <w:pStyle w:val="TableText"/>
            </w:pPr>
            <w:r w:rsidRPr="00302E12">
              <w:t>Number of Dexcom ONE+ sensor packs</w:t>
            </w:r>
          </w:p>
        </w:tc>
        <w:tc>
          <w:tcPr>
            <w:tcW w:w="664" w:type="pct"/>
          </w:tcPr>
          <w:p w14:paraId="2EE1EE67" w14:textId="77777777" w:rsidR="004F4778" w:rsidRPr="00302E12" w:rsidRDefault="004F4778" w:rsidP="00A41C72">
            <w:pPr>
              <w:pStyle w:val="TableText"/>
              <w:jc w:val="center"/>
            </w:pPr>
            <w:r w:rsidRPr="00302E12">
              <w:t>183,258</w:t>
            </w:r>
          </w:p>
        </w:tc>
        <w:tc>
          <w:tcPr>
            <w:tcW w:w="665" w:type="pct"/>
          </w:tcPr>
          <w:p w14:paraId="2C83A4BC" w14:textId="77777777" w:rsidR="004F4778" w:rsidRPr="00302E12" w:rsidRDefault="004F4778" w:rsidP="00A41C72">
            <w:pPr>
              <w:pStyle w:val="TableText"/>
              <w:jc w:val="center"/>
            </w:pPr>
            <w:r w:rsidRPr="00302E12">
              <w:t>240,790</w:t>
            </w:r>
          </w:p>
        </w:tc>
        <w:tc>
          <w:tcPr>
            <w:tcW w:w="664" w:type="pct"/>
          </w:tcPr>
          <w:p w14:paraId="5153866E" w14:textId="77777777" w:rsidR="004F4778" w:rsidRPr="00302E12" w:rsidRDefault="004F4778" w:rsidP="00A41C72">
            <w:pPr>
              <w:pStyle w:val="TableText"/>
              <w:jc w:val="center"/>
            </w:pPr>
            <w:r w:rsidRPr="00302E12">
              <w:t>300,622</w:t>
            </w:r>
          </w:p>
        </w:tc>
        <w:tc>
          <w:tcPr>
            <w:tcW w:w="665" w:type="pct"/>
          </w:tcPr>
          <w:p w14:paraId="0C590467" w14:textId="77777777" w:rsidR="004F4778" w:rsidRPr="00302E12" w:rsidRDefault="004F4778" w:rsidP="00A41C72">
            <w:pPr>
              <w:pStyle w:val="TableText"/>
              <w:jc w:val="center"/>
            </w:pPr>
            <w:r w:rsidRPr="00302E12">
              <w:t>334,849</w:t>
            </w:r>
          </w:p>
        </w:tc>
        <w:tc>
          <w:tcPr>
            <w:tcW w:w="664" w:type="pct"/>
          </w:tcPr>
          <w:p w14:paraId="4E0AA01C" w14:textId="77777777" w:rsidR="004F4778" w:rsidRPr="00302E12" w:rsidRDefault="004F4778" w:rsidP="00A41C72">
            <w:pPr>
              <w:pStyle w:val="TableText"/>
              <w:jc w:val="center"/>
            </w:pPr>
            <w:r w:rsidRPr="00302E12">
              <w:t>370,225</w:t>
            </w:r>
          </w:p>
        </w:tc>
        <w:tc>
          <w:tcPr>
            <w:tcW w:w="661" w:type="pct"/>
          </w:tcPr>
          <w:p w14:paraId="08AD30F6" w14:textId="77777777" w:rsidR="004F4778" w:rsidRPr="00302E12" w:rsidRDefault="004F4778" w:rsidP="00A41C72">
            <w:pPr>
              <w:pStyle w:val="TableText"/>
              <w:jc w:val="center"/>
            </w:pPr>
            <w:r w:rsidRPr="00302E12">
              <w:t>406,751</w:t>
            </w:r>
          </w:p>
        </w:tc>
      </w:tr>
      <w:tr w:rsidR="00F931E9" w:rsidRPr="00302E12" w14:paraId="07EF11AD" w14:textId="77777777" w:rsidTr="00177E31">
        <w:tc>
          <w:tcPr>
            <w:tcW w:w="1017" w:type="pct"/>
            <w:hideMark/>
          </w:tcPr>
          <w:p w14:paraId="52AE9F03" w14:textId="2AA34EF1" w:rsidR="00F931E9" w:rsidRPr="00302E12" w:rsidRDefault="00F931E9" w:rsidP="00F931E9">
            <w:pPr>
              <w:pStyle w:val="TableText"/>
            </w:pPr>
            <w:r w:rsidRPr="00302E12">
              <w:t xml:space="preserve">Cost </w:t>
            </w:r>
            <w:r>
              <w:t xml:space="preserve">in millions </w:t>
            </w:r>
            <w:r w:rsidRPr="00302E12">
              <w:t>to the NDSS (without co-payment)</w:t>
            </w:r>
          </w:p>
        </w:tc>
        <w:tc>
          <w:tcPr>
            <w:tcW w:w="664" w:type="pct"/>
          </w:tcPr>
          <w:p w14:paraId="10171D1F" w14:textId="449C9641" w:rsidR="00F931E9" w:rsidRPr="00051030" w:rsidRDefault="00F931E9" w:rsidP="00F931E9">
            <w:pPr>
              <w:pStyle w:val="TableText"/>
              <w:jc w:val="center"/>
              <w:rPr>
                <w:highlight w:val="yellow"/>
              </w:rPr>
            </w:pPr>
            <w:r w:rsidRPr="00051030">
              <w:t>$</w:t>
            </w:r>
            <w:r w:rsidRPr="00051030">
              <w:rPr>
                <w:b/>
                <w:bCs/>
              </w:rPr>
              <w:t>Redacted</w:t>
            </w:r>
            <w:r w:rsidRPr="00051030">
              <w:rPr>
                <w:vertAlign w:val="superscript"/>
              </w:rPr>
              <w:t>1</w:t>
            </w:r>
          </w:p>
        </w:tc>
        <w:tc>
          <w:tcPr>
            <w:tcW w:w="665" w:type="pct"/>
          </w:tcPr>
          <w:p w14:paraId="61C4D85F" w14:textId="2B37AC63" w:rsidR="00F931E9" w:rsidRPr="00051030" w:rsidRDefault="00F931E9" w:rsidP="00F931E9">
            <w:pPr>
              <w:pStyle w:val="TableText"/>
              <w:jc w:val="center"/>
              <w:rPr>
                <w:highlight w:val="yellow"/>
              </w:rPr>
            </w:pPr>
            <w:r w:rsidRPr="00D46BF9">
              <w:t>$</w:t>
            </w:r>
            <w:r w:rsidRPr="00D46BF9">
              <w:rPr>
                <w:b/>
                <w:bCs/>
              </w:rPr>
              <w:t>Redacted</w:t>
            </w:r>
            <w:r>
              <w:rPr>
                <w:vertAlign w:val="superscript"/>
              </w:rPr>
              <w:t>2</w:t>
            </w:r>
          </w:p>
        </w:tc>
        <w:tc>
          <w:tcPr>
            <w:tcW w:w="664" w:type="pct"/>
          </w:tcPr>
          <w:p w14:paraId="57AD917F" w14:textId="11DD13AE" w:rsidR="00F931E9" w:rsidRPr="00051030" w:rsidRDefault="00F931E9" w:rsidP="00F931E9">
            <w:pPr>
              <w:pStyle w:val="TableText"/>
              <w:jc w:val="center"/>
              <w:rPr>
                <w:highlight w:val="yellow"/>
              </w:rPr>
            </w:pPr>
            <w:r w:rsidRPr="00BD62BB">
              <w:t>$</w:t>
            </w:r>
            <w:r w:rsidRPr="00BD62BB">
              <w:rPr>
                <w:b/>
                <w:bCs/>
              </w:rPr>
              <w:t>Redacted</w:t>
            </w:r>
            <w:r w:rsidRPr="00BD62BB">
              <w:rPr>
                <w:vertAlign w:val="superscript"/>
              </w:rPr>
              <w:t>3</w:t>
            </w:r>
          </w:p>
        </w:tc>
        <w:tc>
          <w:tcPr>
            <w:tcW w:w="665" w:type="pct"/>
          </w:tcPr>
          <w:p w14:paraId="38B39EF0" w14:textId="6948B926" w:rsidR="00F931E9" w:rsidRPr="00051030" w:rsidRDefault="00F931E9" w:rsidP="00F931E9">
            <w:pPr>
              <w:pStyle w:val="TableText"/>
              <w:jc w:val="center"/>
              <w:rPr>
                <w:highlight w:val="yellow"/>
              </w:rPr>
            </w:pPr>
            <w:r w:rsidRPr="00D46BF9">
              <w:t>$</w:t>
            </w:r>
            <w:r w:rsidRPr="00D46BF9">
              <w:rPr>
                <w:b/>
                <w:bCs/>
              </w:rPr>
              <w:t>Redacted</w:t>
            </w:r>
            <w:r>
              <w:rPr>
                <w:vertAlign w:val="superscript"/>
              </w:rPr>
              <w:t>4</w:t>
            </w:r>
          </w:p>
        </w:tc>
        <w:tc>
          <w:tcPr>
            <w:tcW w:w="664" w:type="pct"/>
          </w:tcPr>
          <w:p w14:paraId="5DE522F2" w14:textId="25F3D6D3" w:rsidR="00F931E9" w:rsidRPr="00051030" w:rsidRDefault="00F931E9" w:rsidP="00F931E9">
            <w:pPr>
              <w:pStyle w:val="TableText"/>
              <w:jc w:val="center"/>
              <w:rPr>
                <w:highlight w:val="yellow"/>
              </w:rPr>
            </w:pPr>
            <w:r w:rsidRPr="00DF170D">
              <w:t>$</w:t>
            </w:r>
            <w:r w:rsidRPr="00DF170D">
              <w:rPr>
                <w:b/>
                <w:bCs/>
              </w:rPr>
              <w:t>Redacted</w:t>
            </w:r>
            <w:r w:rsidRPr="00DF170D">
              <w:rPr>
                <w:vertAlign w:val="superscript"/>
              </w:rPr>
              <w:t>4</w:t>
            </w:r>
          </w:p>
        </w:tc>
        <w:tc>
          <w:tcPr>
            <w:tcW w:w="661" w:type="pct"/>
          </w:tcPr>
          <w:p w14:paraId="3A7A7BE0" w14:textId="16852556" w:rsidR="00F931E9" w:rsidRPr="00051030" w:rsidRDefault="00202C96" w:rsidP="00F931E9">
            <w:pPr>
              <w:pStyle w:val="TableText"/>
              <w:jc w:val="center"/>
              <w:rPr>
                <w:highlight w:val="yellow"/>
              </w:rPr>
            </w:pPr>
            <w:r w:rsidRPr="00D46BF9">
              <w:t>$</w:t>
            </w:r>
            <w:r w:rsidRPr="00D46BF9">
              <w:rPr>
                <w:b/>
                <w:bCs/>
              </w:rPr>
              <w:t>Redacted</w:t>
            </w:r>
            <w:r>
              <w:rPr>
                <w:vertAlign w:val="superscript"/>
              </w:rPr>
              <w:t>5</w:t>
            </w:r>
          </w:p>
        </w:tc>
      </w:tr>
      <w:tr w:rsidR="00F931E9" w:rsidRPr="00302E12" w14:paraId="1D209367" w14:textId="77777777" w:rsidTr="00177E31">
        <w:tc>
          <w:tcPr>
            <w:tcW w:w="1017" w:type="pct"/>
          </w:tcPr>
          <w:p w14:paraId="7985D064" w14:textId="730F1A66" w:rsidR="00F931E9" w:rsidRPr="00302E12" w:rsidRDefault="00F931E9" w:rsidP="00F931E9">
            <w:pPr>
              <w:pStyle w:val="TableText"/>
            </w:pPr>
            <w:r w:rsidRPr="00302E12">
              <w:t xml:space="preserve">Cost </w:t>
            </w:r>
            <w:r>
              <w:t xml:space="preserve">in millions </w:t>
            </w:r>
            <w:r w:rsidRPr="00302E12">
              <w:t>to the NDSS (with co-payment adjusted)</w:t>
            </w:r>
          </w:p>
        </w:tc>
        <w:tc>
          <w:tcPr>
            <w:tcW w:w="664" w:type="pct"/>
          </w:tcPr>
          <w:p w14:paraId="1D989586" w14:textId="0CF60F10" w:rsidR="00F931E9" w:rsidRPr="00051030" w:rsidRDefault="00F931E9" w:rsidP="00F931E9">
            <w:pPr>
              <w:pStyle w:val="TableText"/>
              <w:jc w:val="center"/>
              <w:rPr>
                <w:highlight w:val="yellow"/>
              </w:rPr>
            </w:pPr>
            <w:r w:rsidRPr="00D46BF9">
              <w:t>$</w:t>
            </w:r>
            <w:r w:rsidRPr="00D46BF9">
              <w:rPr>
                <w:b/>
                <w:bCs/>
              </w:rPr>
              <w:t>Redacted</w:t>
            </w:r>
            <w:r w:rsidRPr="00D46BF9">
              <w:rPr>
                <w:vertAlign w:val="superscript"/>
              </w:rPr>
              <w:t>1</w:t>
            </w:r>
          </w:p>
        </w:tc>
        <w:tc>
          <w:tcPr>
            <w:tcW w:w="665" w:type="pct"/>
          </w:tcPr>
          <w:p w14:paraId="01ACFFA3" w14:textId="56ACA2D7" w:rsidR="00F931E9" w:rsidRPr="00051030" w:rsidRDefault="00F931E9" w:rsidP="00F931E9">
            <w:pPr>
              <w:pStyle w:val="TableText"/>
              <w:jc w:val="center"/>
              <w:rPr>
                <w:highlight w:val="yellow"/>
              </w:rPr>
            </w:pPr>
            <w:r w:rsidRPr="00D46BF9">
              <w:t>$</w:t>
            </w:r>
            <w:r w:rsidRPr="00D46BF9">
              <w:rPr>
                <w:b/>
                <w:bCs/>
              </w:rPr>
              <w:t>Redacted</w:t>
            </w:r>
            <w:r>
              <w:rPr>
                <w:vertAlign w:val="superscript"/>
              </w:rPr>
              <w:t>2</w:t>
            </w:r>
          </w:p>
        </w:tc>
        <w:tc>
          <w:tcPr>
            <w:tcW w:w="664" w:type="pct"/>
          </w:tcPr>
          <w:p w14:paraId="64D7CE67" w14:textId="37EFFDA1" w:rsidR="00F931E9" w:rsidRPr="00051030" w:rsidRDefault="00F931E9" w:rsidP="00F931E9">
            <w:pPr>
              <w:pStyle w:val="TableText"/>
              <w:jc w:val="center"/>
              <w:rPr>
                <w:highlight w:val="yellow"/>
              </w:rPr>
            </w:pPr>
            <w:r w:rsidRPr="00BD62BB">
              <w:t>$</w:t>
            </w:r>
            <w:r w:rsidRPr="00BD62BB">
              <w:rPr>
                <w:b/>
                <w:bCs/>
              </w:rPr>
              <w:t>Redacted</w:t>
            </w:r>
            <w:r w:rsidRPr="00BD62BB">
              <w:rPr>
                <w:vertAlign w:val="superscript"/>
              </w:rPr>
              <w:t>3</w:t>
            </w:r>
          </w:p>
        </w:tc>
        <w:tc>
          <w:tcPr>
            <w:tcW w:w="665" w:type="pct"/>
          </w:tcPr>
          <w:p w14:paraId="46163C7B" w14:textId="0CE1D612" w:rsidR="00F931E9" w:rsidRPr="00051030" w:rsidRDefault="00F931E9" w:rsidP="00F931E9">
            <w:pPr>
              <w:pStyle w:val="TableText"/>
              <w:jc w:val="center"/>
              <w:rPr>
                <w:highlight w:val="yellow"/>
              </w:rPr>
            </w:pPr>
            <w:r w:rsidRPr="00D46BF9">
              <w:t>$</w:t>
            </w:r>
            <w:r w:rsidRPr="00D46BF9">
              <w:rPr>
                <w:b/>
                <w:bCs/>
              </w:rPr>
              <w:t>Redacted</w:t>
            </w:r>
            <w:r>
              <w:rPr>
                <w:vertAlign w:val="superscript"/>
              </w:rPr>
              <w:t>3</w:t>
            </w:r>
          </w:p>
        </w:tc>
        <w:tc>
          <w:tcPr>
            <w:tcW w:w="664" w:type="pct"/>
          </w:tcPr>
          <w:p w14:paraId="5E1B1D36" w14:textId="4EDE1614" w:rsidR="00F931E9" w:rsidRPr="00051030" w:rsidRDefault="00F931E9" w:rsidP="00F931E9">
            <w:pPr>
              <w:pStyle w:val="TableText"/>
              <w:jc w:val="center"/>
              <w:rPr>
                <w:highlight w:val="yellow"/>
              </w:rPr>
            </w:pPr>
            <w:r w:rsidRPr="00DF170D">
              <w:t>$</w:t>
            </w:r>
            <w:r w:rsidRPr="00DF170D">
              <w:rPr>
                <w:b/>
                <w:bCs/>
              </w:rPr>
              <w:t>Redacted</w:t>
            </w:r>
            <w:r w:rsidRPr="00DF170D">
              <w:rPr>
                <w:vertAlign w:val="superscript"/>
              </w:rPr>
              <w:t>4</w:t>
            </w:r>
          </w:p>
        </w:tc>
        <w:tc>
          <w:tcPr>
            <w:tcW w:w="661" w:type="pct"/>
          </w:tcPr>
          <w:p w14:paraId="513C9B59" w14:textId="3901D72E" w:rsidR="00F931E9" w:rsidRPr="00051030" w:rsidRDefault="00F931E9" w:rsidP="00F931E9">
            <w:pPr>
              <w:pStyle w:val="TableText"/>
              <w:jc w:val="center"/>
              <w:rPr>
                <w:highlight w:val="yellow"/>
              </w:rPr>
            </w:pPr>
            <w:r w:rsidRPr="00D46BF9">
              <w:t>$</w:t>
            </w:r>
            <w:r w:rsidRPr="00D46BF9">
              <w:rPr>
                <w:b/>
                <w:bCs/>
              </w:rPr>
              <w:t>Redacted</w:t>
            </w:r>
            <w:r>
              <w:rPr>
                <w:vertAlign w:val="superscript"/>
              </w:rPr>
              <w:t>4</w:t>
            </w:r>
          </w:p>
        </w:tc>
      </w:tr>
      <w:tr w:rsidR="00985D8B" w:rsidRPr="00302E12" w14:paraId="3E5390E6" w14:textId="77777777" w:rsidTr="00030059">
        <w:tc>
          <w:tcPr>
            <w:tcW w:w="5000" w:type="pct"/>
            <w:gridSpan w:val="7"/>
            <w:hideMark/>
          </w:tcPr>
          <w:p w14:paraId="05C3A9BE" w14:textId="77777777" w:rsidR="004F4778" w:rsidRPr="00302E12" w:rsidRDefault="004F4778">
            <w:pPr>
              <w:pStyle w:val="TableText"/>
              <w:rPr>
                <w:b/>
                <w:bCs/>
              </w:rPr>
            </w:pPr>
            <w:r w:rsidRPr="00302E12">
              <w:rPr>
                <w:b/>
                <w:bCs/>
              </w:rPr>
              <w:t>Change in use and cost of other health technologies</w:t>
            </w:r>
          </w:p>
        </w:tc>
      </w:tr>
      <w:tr w:rsidR="00FC2BF2" w:rsidRPr="00302E12" w14:paraId="75F6178A" w14:textId="77777777" w:rsidTr="00177E31">
        <w:tc>
          <w:tcPr>
            <w:tcW w:w="1017" w:type="pct"/>
            <w:hideMark/>
          </w:tcPr>
          <w:p w14:paraId="26EAAE35" w14:textId="77777777" w:rsidR="004F4778" w:rsidRPr="00302E12" w:rsidRDefault="004F4778">
            <w:pPr>
              <w:pStyle w:val="TableText"/>
            </w:pPr>
            <w:r w:rsidRPr="00302E12">
              <w:t>Total 100-strip pack replaced</w:t>
            </w:r>
          </w:p>
        </w:tc>
        <w:tc>
          <w:tcPr>
            <w:tcW w:w="664" w:type="pct"/>
          </w:tcPr>
          <w:p w14:paraId="1429FB40" w14:textId="77777777" w:rsidR="004F4778" w:rsidRPr="00302E12" w:rsidRDefault="004F4778" w:rsidP="00A41C72">
            <w:pPr>
              <w:pStyle w:val="TableText"/>
              <w:jc w:val="center"/>
            </w:pPr>
            <w:r w:rsidRPr="00302E12">
              <w:t>208,914</w:t>
            </w:r>
          </w:p>
        </w:tc>
        <w:tc>
          <w:tcPr>
            <w:tcW w:w="665" w:type="pct"/>
          </w:tcPr>
          <w:p w14:paraId="2998917B" w14:textId="77777777" w:rsidR="004F4778" w:rsidRPr="00302E12" w:rsidRDefault="004F4778" w:rsidP="00A41C72">
            <w:pPr>
              <w:pStyle w:val="TableText"/>
              <w:jc w:val="center"/>
            </w:pPr>
            <w:r w:rsidRPr="00302E12">
              <w:t>274,501</w:t>
            </w:r>
          </w:p>
        </w:tc>
        <w:tc>
          <w:tcPr>
            <w:tcW w:w="664" w:type="pct"/>
          </w:tcPr>
          <w:p w14:paraId="5D11DD3F" w14:textId="77777777" w:rsidR="004F4778" w:rsidRPr="00302E12" w:rsidRDefault="004F4778" w:rsidP="00A41C72">
            <w:pPr>
              <w:pStyle w:val="TableText"/>
              <w:jc w:val="center"/>
            </w:pPr>
            <w:r w:rsidRPr="00302E12">
              <w:t>342,709</w:t>
            </w:r>
          </w:p>
        </w:tc>
        <w:tc>
          <w:tcPr>
            <w:tcW w:w="665" w:type="pct"/>
          </w:tcPr>
          <w:p w14:paraId="11619142" w14:textId="77777777" w:rsidR="004F4778" w:rsidRPr="00302E12" w:rsidRDefault="004F4778" w:rsidP="00A41C72">
            <w:pPr>
              <w:pStyle w:val="TableText"/>
              <w:jc w:val="center"/>
            </w:pPr>
            <w:r w:rsidRPr="00302E12">
              <w:t>381,728</w:t>
            </w:r>
          </w:p>
        </w:tc>
        <w:tc>
          <w:tcPr>
            <w:tcW w:w="664" w:type="pct"/>
          </w:tcPr>
          <w:p w14:paraId="670E3C82" w14:textId="77777777" w:rsidR="004F4778" w:rsidRPr="00302E12" w:rsidRDefault="004F4778" w:rsidP="00A41C72">
            <w:pPr>
              <w:pStyle w:val="TableText"/>
              <w:jc w:val="center"/>
            </w:pPr>
            <w:r w:rsidRPr="00302E12">
              <w:t>422,057</w:t>
            </w:r>
          </w:p>
        </w:tc>
        <w:tc>
          <w:tcPr>
            <w:tcW w:w="661" w:type="pct"/>
          </w:tcPr>
          <w:p w14:paraId="28343586" w14:textId="77777777" w:rsidR="004F4778" w:rsidRPr="00302E12" w:rsidRDefault="004F4778" w:rsidP="00A41C72">
            <w:pPr>
              <w:pStyle w:val="TableText"/>
              <w:jc w:val="center"/>
            </w:pPr>
            <w:r w:rsidRPr="00302E12">
              <w:t>463,696</w:t>
            </w:r>
          </w:p>
        </w:tc>
      </w:tr>
      <w:tr w:rsidR="00FC2BF2" w:rsidRPr="00302E12" w14:paraId="40A462FB" w14:textId="77777777" w:rsidTr="00177E31">
        <w:tc>
          <w:tcPr>
            <w:tcW w:w="1017" w:type="pct"/>
            <w:hideMark/>
          </w:tcPr>
          <w:p w14:paraId="7CF1FC5F" w14:textId="2821FE6E" w:rsidR="004F4778" w:rsidRPr="00302E12" w:rsidRDefault="004F4778">
            <w:pPr>
              <w:pStyle w:val="TableText"/>
            </w:pPr>
            <w:r w:rsidRPr="00302E12">
              <w:t>Total cost saving</w:t>
            </w:r>
            <w:r w:rsidR="00635C6E">
              <w:t xml:space="preserve"> (</w:t>
            </w:r>
            <w:r w:rsidR="006B6040">
              <w:t xml:space="preserve">cost </w:t>
            </w:r>
            <w:r w:rsidR="00EF5527">
              <w:t xml:space="preserve">in </w:t>
            </w:r>
            <w:r w:rsidR="00635C6E">
              <w:t>millions)</w:t>
            </w:r>
          </w:p>
        </w:tc>
        <w:tc>
          <w:tcPr>
            <w:tcW w:w="664" w:type="pct"/>
          </w:tcPr>
          <w:p w14:paraId="6A6BB06F" w14:textId="3B2A7DC1" w:rsidR="004F4778" w:rsidRPr="00302E12" w:rsidRDefault="004F4778" w:rsidP="00A41C72">
            <w:pPr>
              <w:pStyle w:val="TableText"/>
              <w:jc w:val="center"/>
            </w:pPr>
            <w:r w:rsidRPr="00302E12">
              <w:t>$3</w:t>
            </w:r>
            <w:r w:rsidR="00635C6E">
              <w:t>.9</w:t>
            </w:r>
          </w:p>
        </w:tc>
        <w:tc>
          <w:tcPr>
            <w:tcW w:w="665" w:type="pct"/>
          </w:tcPr>
          <w:p w14:paraId="405C9021" w14:textId="68272D01" w:rsidR="004F4778" w:rsidRPr="00302E12" w:rsidRDefault="004F4778" w:rsidP="00A41C72">
            <w:pPr>
              <w:pStyle w:val="TableText"/>
              <w:jc w:val="center"/>
            </w:pPr>
            <w:r w:rsidRPr="00302E12">
              <w:t>$5</w:t>
            </w:r>
            <w:r w:rsidR="00635C6E">
              <w:t>.2</w:t>
            </w:r>
          </w:p>
        </w:tc>
        <w:tc>
          <w:tcPr>
            <w:tcW w:w="664" w:type="pct"/>
          </w:tcPr>
          <w:p w14:paraId="3A121ADB" w14:textId="41F65BAD" w:rsidR="004F4778" w:rsidRPr="00302E12" w:rsidRDefault="004F4778" w:rsidP="00A41C72">
            <w:pPr>
              <w:pStyle w:val="TableText"/>
              <w:jc w:val="center"/>
            </w:pPr>
            <w:r w:rsidRPr="00302E12">
              <w:t>$6</w:t>
            </w:r>
            <w:r w:rsidR="00635C6E">
              <w:t>.5</w:t>
            </w:r>
          </w:p>
        </w:tc>
        <w:tc>
          <w:tcPr>
            <w:tcW w:w="665" w:type="pct"/>
          </w:tcPr>
          <w:p w14:paraId="639D075E" w14:textId="2327CD4C" w:rsidR="004F4778" w:rsidRPr="00302E12" w:rsidRDefault="004F4778" w:rsidP="00A41C72">
            <w:pPr>
              <w:pStyle w:val="TableText"/>
              <w:jc w:val="center"/>
            </w:pPr>
            <w:r w:rsidRPr="00302E12">
              <w:t>$7</w:t>
            </w:r>
            <w:r w:rsidR="00635C6E">
              <w:t>.3</w:t>
            </w:r>
          </w:p>
        </w:tc>
        <w:tc>
          <w:tcPr>
            <w:tcW w:w="664" w:type="pct"/>
          </w:tcPr>
          <w:p w14:paraId="1A3089C0" w14:textId="48FBA118" w:rsidR="004F4778" w:rsidRPr="00302E12" w:rsidRDefault="004F4778" w:rsidP="00A41C72">
            <w:pPr>
              <w:pStyle w:val="TableText"/>
              <w:jc w:val="center"/>
            </w:pPr>
            <w:r w:rsidRPr="00302E12">
              <w:t>$8</w:t>
            </w:r>
            <w:r w:rsidR="00635C6E">
              <w:t>.1</w:t>
            </w:r>
          </w:p>
        </w:tc>
        <w:tc>
          <w:tcPr>
            <w:tcW w:w="661" w:type="pct"/>
          </w:tcPr>
          <w:p w14:paraId="5321541B" w14:textId="785FF04E" w:rsidR="004F4778" w:rsidRPr="00302E12" w:rsidRDefault="004F4778" w:rsidP="00A41C72">
            <w:pPr>
              <w:pStyle w:val="TableText"/>
              <w:jc w:val="center"/>
            </w:pPr>
            <w:r w:rsidRPr="00302E12">
              <w:t>$8</w:t>
            </w:r>
            <w:r w:rsidR="00635C6E">
              <w:t>.9</w:t>
            </w:r>
          </w:p>
        </w:tc>
      </w:tr>
      <w:tr w:rsidR="00F931E9" w:rsidRPr="00302E12" w14:paraId="2AFF61E4" w14:textId="77777777" w:rsidTr="00177E31">
        <w:tc>
          <w:tcPr>
            <w:tcW w:w="1017" w:type="pct"/>
          </w:tcPr>
          <w:p w14:paraId="7D76027C" w14:textId="429C46FE" w:rsidR="00F931E9" w:rsidRPr="00302E12" w:rsidRDefault="00F931E9" w:rsidP="00F931E9">
            <w:pPr>
              <w:pStyle w:val="TableText"/>
            </w:pPr>
            <w:r w:rsidRPr="00302E12">
              <w:rPr>
                <w:b/>
                <w:bCs/>
              </w:rPr>
              <w:t>Net financial impact to the NDSS</w:t>
            </w:r>
            <w:r>
              <w:rPr>
                <w:b/>
                <w:bCs/>
              </w:rPr>
              <w:t xml:space="preserve"> (cost in millions)</w:t>
            </w:r>
          </w:p>
        </w:tc>
        <w:tc>
          <w:tcPr>
            <w:tcW w:w="664" w:type="pct"/>
          </w:tcPr>
          <w:p w14:paraId="334A3DF1" w14:textId="60936070" w:rsidR="00F931E9" w:rsidRPr="00051030" w:rsidRDefault="00F931E9" w:rsidP="00F931E9">
            <w:pPr>
              <w:pStyle w:val="TableText"/>
              <w:jc w:val="center"/>
              <w:rPr>
                <w:b/>
                <w:bCs/>
                <w:highlight w:val="yellow"/>
              </w:rPr>
            </w:pPr>
            <w:r w:rsidRPr="00FC127F">
              <w:t>$</w:t>
            </w:r>
            <w:r w:rsidRPr="00FC127F">
              <w:rPr>
                <w:b/>
                <w:bCs/>
              </w:rPr>
              <w:t>Redacted</w:t>
            </w:r>
            <w:r w:rsidRPr="00FC127F">
              <w:rPr>
                <w:vertAlign w:val="superscript"/>
              </w:rPr>
              <w:t>1</w:t>
            </w:r>
          </w:p>
        </w:tc>
        <w:tc>
          <w:tcPr>
            <w:tcW w:w="665" w:type="pct"/>
          </w:tcPr>
          <w:p w14:paraId="423719CC" w14:textId="10E78D18" w:rsidR="00F931E9" w:rsidRPr="00051030" w:rsidRDefault="00F931E9" w:rsidP="00F931E9">
            <w:pPr>
              <w:pStyle w:val="TableText"/>
              <w:jc w:val="center"/>
              <w:rPr>
                <w:b/>
                <w:bCs/>
                <w:highlight w:val="yellow"/>
              </w:rPr>
            </w:pPr>
            <w:r w:rsidRPr="00FC127F">
              <w:t>$</w:t>
            </w:r>
            <w:r w:rsidRPr="00FC127F">
              <w:rPr>
                <w:b/>
                <w:bCs/>
              </w:rPr>
              <w:t>Redacted</w:t>
            </w:r>
            <w:r w:rsidRPr="00FC127F">
              <w:rPr>
                <w:vertAlign w:val="superscript"/>
              </w:rPr>
              <w:t>1</w:t>
            </w:r>
          </w:p>
        </w:tc>
        <w:tc>
          <w:tcPr>
            <w:tcW w:w="664" w:type="pct"/>
          </w:tcPr>
          <w:p w14:paraId="56E57961" w14:textId="1E1C947B" w:rsidR="00F931E9" w:rsidRPr="00051030" w:rsidRDefault="00F931E9" w:rsidP="00F931E9">
            <w:pPr>
              <w:pStyle w:val="TableText"/>
              <w:jc w:val="center"/>
              <w:rPr>
                <w:b/>
                <w:bCs/>
                <w:highlight w:val="yellow"/>
              </w:rPr>
            </w:pPr>
            <w:r w:rsidRPr="00D46BF9">
              <w:t>$</w:t>
            </w:r>
            <w:r w:rsidRPr="00D46BF9">
              <w:rPr>
                <w:b/>
                <w:bCs/>
              </w:rPr>
              <w:t>Redacted</w:t>
            </w:r>
            <w:r>
              <w:rPr>
                <w:vertAlign w:val="superscript"/>
              </w:rPr>
              <w:t>2</w:t>
            </w:r>
          </w:p>
        </w:tc>
        <w:tc>
          <w:tcPr>
            <w:tcW w:w="665" w:type="pct"/>
          </w:tcPr>
          <w:p w14:paraId="3C6E6903" w14:textId="49790674" w:rsidR="00F931E9" w:rsidRPr="00051030" w:rsidRDefault="00F931E9" w:rsidP="00F931E9">
            <w:pPr>
              <w:pStyle w:val="TableText"/>
              <w:jc w:val="center"/>
              <w:rPr>
                <w:b/>
                <w:bCs/>
                <w:highlight w:val="yellow"/>
              </w:rPr>
            </w:pPr>
            <w:r w:rsidRPr="00937C90">
              <w:t>$</w:t>
            </w:r>
            <w:r w:rsidRPr="00937C90">
              <w:rPr>
                <w:b/>
                <w:bCs/>
              </w:rPr>
              <w:t>Redacted</w:t>
            </w:r>
            <w:r w:rsidRPr="00937C90">
              <w:rPr>
                <w:vertAlign w:val="superscript"/>
              </w:rPr>
              <w:t>3</w:t>
            </w:r>
          </w:p>
        </w:tc>
        <w:tc>
          <w:tcPr>
            <w:tcW w:w="664" w:type="pct"/>
          </w:tcPr>
          <w:p w14:paraId="72BF6BB5" w14:textId="42F96CD4" w:rsidR="00F931E9" w:rsidRPr="00051030" w:rsidRDefault="00F931E9" w:rsidP="00F931E9">
            <w:pPr>
              <w:pStyle w:val="TableText"/>
              <w:jc w:val="center"/>
              <w:rPr>
                <w:b/>
                <w:bCs/>
                <w:highlight w:val="yellow"/>
              </w:rPr>
            </w:pPr>
            <w:r w:rsidRPr="00937C90">
              <w:t>$</w:t>
            </w:r>
            <w:r w:rsidRPr="00937C90">
              <w:rPr>
                <w:b/>
                <w:bCs/>
              </w:rPr>
              <w:t>Redacted</w:t>
            </w:r>
            <w:r w:rsidRPr="00937C90">
              <w:rPr>
                <w:vertAlign w:val="superscript"/>
              </w:rPr>
              <w:t>3</w:t>
            </w:r>
          </w:p>
        </w:tc>
        <w:tc>
          <w:tcPr>
            <w:tcW w:w="661" w:type="pct"/>
          </w:tcPr>
          <w:p w14:paraId="3493F3DE" w14:textId="75D0CEF0" w:rsidR="00F931E9" w:rsidRPr="00051030" w:rsidRDefault="00F931E9" w:rsidP="00F931E9">
            <w:pPr>
              <w:pStyle w:val="TableText"/>
              <w:jc w:val="center"/>
              <w:rPr>
                <w:b/>
                <w:bCs/>
                <w:highlight w:val="yellow"/>
              </w:rPr>
            </w:pPr>
            <w:r w:rsidRPr="00937C90">
              <w:t>$</w:t>
            </w:r>
            <w:r w:rsidRPr="00937C90">
              <w:rPr>
                <w:b/>
                <w:bCs/>
              </w:rPr>
              <w:t>Redacted</w:t>
            </w:r>
            <w:r w:rsidRPr="00937C90">
              <w:rPr>
                <w:vertAlign w:val="superscript"/>
              </w:rPr>
              <w:t>3</w:t>
            </w:r>
          </w:p>
        </w:tc>
      </w:tr>
      <w:tr w:rsidR="00202C96" w:rsidRPr="00302E12" w14:paraId="5054F9BE" w14:textId="77777777" w:rsidTr="00177E31">
        <w:tc>
          <w:tcPr>
            <w:tcW w:w="1017" w:type="pct"/>
          </w:tcPr>
          <w:p w14:paraId="225B444B" w14:textId="3049B2CD" w:rsidR="00202C96" w:rsidRPr="00302E12" w:rsidRDefault="00202C96" w:rsidP="00202C96">
            <w:pPr>
              <w:pStyle w:val="TableText"/>
              <w:rPr>
                <w:b/>
                <w:bCs/>
              </w:rPr>
            </w:pPr>
            <w:r w:rsidRPr="00302E12">
              <w:rPr>
                <w:b/>
                <w:bCs/>
              </w:rPr>
              <w:t>Overall net impact to NDSS (inclu</w:t>
            </w:r>
            <w:r>
              <w:rPr>
                <w:b/>
                <w:bCs/>
              </w:rPr>
              <w:t>ding</w:t>
            </w:r>
            <w:r w:rsidRPr="00302E12">
              <w:rPr>
                <w:b/>
                <w:bCs/>
              </w:rPr>
              <w:t xml:space="preserve"> complication avoidance cost saving)*</w:t>
            </w:r>
            <w:r>
              <w:rPr>
                <w:b/>
                <w:bCs/>
              </w:rPr>
              <w:t xml:space="preserve"> (cost in millions)</w:t>
            </w:r>
          </w:p>
        </w:tc>
        <w:tc>
          <w:tcPr>
            <w:tcW w:w="664" w:type="pct"/>
          </w:tcPr>
          <w:p w14:paraId="2257AA45" w14:textId="669FC9CB"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6</w:t>
            </w:r>
          </w:p>
        </w:tc>
        <w:tc>
          <w:tcPr>
            <w:tcW w:w="665" w:type="pct"/>
          </w:tcPr>
          <w:p w14:paraId="182BD550" w14:textId="1B0D4D49" w:rsidR="00202C96" w:rsidRPr="00051030" w:rsidRDefault="00202C96" w:rsidP="00202C96">
            <w:pPr>
              <w:pStyle w:val="TableText"/>
              <w:jc w:val="center"/>
              <w:rPr>
                <w:b/>
                <w:bCs/>
                <w:highlight w:val="yellow"/>
              </w:rPr>
            </w:pPr>
            <w:r w:rsidRPr="003331B4">
              <w:t>$</w:t>
            </w:r>
            <w:r w:rsidRPr="003331B4">
              <w:rPr>
                <w:b/>
                <w:bCs/>
              </w:rPr>
              <w:t>Redacted</w:t>
            </w:r>
            <w:r w:rsidRPr="003331B4">
              <w:rPr>
                <w:vertAlign w:val="superscript"/>
              </w:rPr>
              <w:t>6</w:t>
            </w:r>
          </w:p>
        </w:tc>
        <w:tc>
          <w:tcPr>
            <w:tcW w:w="664" w:type="pct"/>
          </w:tcPr>
          <w:p w14:paraId="64A31309" w14:textId="685AA982" w:rsidR="00202C96" w:rsidRPr="00051030" w:rsidRDefault="00202C96" w:rsidP="00202C96">
            <w:pPr>
              <w:pStyle w:val="TableText"/>
              <w:jc w:val="center"/>
              <w:rPr>
                <w:b/>
                <w:bCs/>
                <w:highlight w:val="yellow"/>
              </w:rPr>
            </w:pPr>
            <w:r w:rsidRPr="003331B4">
              <w:t>$</w:t>
            </w:r>
            <w:r w:rsidRPr="003331B4">
              <w:rPr>
                <w:b/>
                <w:bCs/>
              </w:rPr>
              <w:t>Redacted</w:t>
            </w:r>
            <w:r w:rsidRPr="003331B4">
              <w:rPr>
                <w:vertAlign w:val="superscript"/>
              </w:rPr>
              <w:t>6</w:t>
            </w:r>
          </w:p>
        </w:tc>
        <w:tc>
          <w:tcPr>
            <w:tcW w:w="665" w:type="pct"/>
          </w:tcPr>
          <w:p w14:paraId="5F1E2A37" w14:textId="7925BEB5" w:rsidR="00202C96" w:rsidRPr="00051030" w:rsidRDefault="00202C96" w:rsidP="00202C96">
            <w:pPr>
              <w:pStyle w:val="TableText"/>
              <w:jc w:val="center"/>
              <w:rPr>
                <w:b/>
                <w:bCs/>
                <w:highlight w:val="yellow"/>
              </w:rPr>
            </w:pPr>
            <w:r w:rsidRPr="00DE7976">
              <w:t>$</w:t>
            </w:r>
            <w:r w:rsidRPr="00DE7976">
              <w:rPr>
                <w:b/>
                <w:bCs/>
              </w:rPr>
              <w:t>Redacted</w:t>
            </w:r>
            <w:r w:rsidRPr="00DE7976">
              <w:rPr>
                <w:vertAlign w:val="superscript"/>
              </w:rPr>
              <w:t>1</w:t>
            </w:r>
          </w:p>
        </w:tc>
        <w:tc>
          <w:tcPr>
            <w:tcW w:w="664" w:type="pct"/>
          </w:tcPr>
          <w:p w14:paraId="23467A0A" w14:textId="381227D5" w:rsidR="00202C96" w:rsidRPr="00051030" w:rsidRDefault="00202C96" w:rsidP="00202C96">
            <w:pPr>
              <w:pStyle w:val="TableText"/>
              <w:jc w:val="center"/>
              <w:rPr>
                <w:b/>
                <w:bCs/>
                <w:highlight w:val="yellow"/>
              </w:rPr>
            </w:pPr>
            <w:r w:rsidRPr="00DE7976">
              <w:t>$</w:t>
            </w:r>
            <w:r w:rsidRPr="00DE7976">
              <w:rPr>
                <w:b/>
                <w:bCs/>
              </w:rPr>
              <w:t>Redacted</w:t>
            </w:r>
            <w:r w:rsidRPr="00DE7976">
              <w:rPr>
                <w:vertAlign w:val="superscript"/>
              </w:rPr>
              <w:t>1</w:t>
            </w:r>
          </w:p>
        </w:tc>
        <w:tc>
          <w:tcPr>
            <w:tcW w:w="661" w:type="pct"/>
          </w:tcPr>
          <w:p w14:paraId="61C4A759" w14:textId="2B8ED672" w:rsidR="00202C96" w:rsidRPr="00051030" w:rsidRDefault="00202C96" w:rsidP="00202C96">
            <w:pPr>
              <w:pStyle w:val="TableText"/>
              <w:jc w:val="center"/>
              <w:rPr>
                <w:b/>
                <w:bCs/>
                <w:highlight w:val="yellow"/>
              </w:rPr>
            </w:pPr>
            <w:r w:rsidRPr="00DE7976">
              <w:t>$</w:t>
            </w:r>
            <w:r w:rsidRPr="00DE7976">
              <w:rPr>
                <w:b/>
                <w:bCs/>
              </w:rPr>
              <w:t>Redacted</w:t>
            </w:r>
            <w:r w:rsidRPr="00DE7976">
              <w:rPr>
                <w:vertAlign w:val="superscript"/>
              </w:rPr>
              <w:t>1</w:t>
            </w:r>
          </w:p>
        </w:tc>
      </w:tr>
      <w:tr w:rsidR="00985D8B" w:rsidRPr="00302E12" w14:paraId="3050E1D0" w14:textId="77777777" w:rsidTr="00030059">
        <w:tc>
          <w:tcPr>
            <w:tcW w:w="5000" w:type="pct"/>
            <w:gridSpan w:val="7"/>
            <w:shd w:val="clear" w:color="auto" w:fill="D9D9D9" w:themeFill="background1" w:themeFillShade="D9"/>
          </w:tcPr>
          <w:p w14:paraId="66FDC3E4" w14:textId="77777777" w:rsidR="004F4778" w:rsidRPr="00302E12" w:rsidRDefault="004F4778">
            <w:pPr>
              <w:pStyle w:val="TableText"/>
              <w:jc w:val="center"/>
            </w:pPr>
            <w:r w:rsidRPr="00302E12">
              <w:rPr>
                <w:b/>
                <w:bCs/>
              </w:rPr>
              <w:t>Non-IIT subpopulation (HbA1c&gt;8%)</w:t>
            </w:r>
          </w:p>
        </w:tc>
      </w:tr>
      <w:tr w:rsidR="00FC2BF2" w:rsidRPr="00302E12" w14:paraId="6B71CE63" w14:textId="77777777" w:rsidTr="00177E31">
        <w:tc>
          <w:tcPr>
            <w:tcW w:w="1017" w:type="pct"/>
          </w:tcPr>
          <w:p w14:paraId="29F3B631" w14:textId="77777777" w:rsidR="004F4778" w:rsidRPr="00302E12" w:rsidRDefault="004F4778">
            <w:pPr>
              <w:pStyle w:val="TableText"/>
            </w:pPr>
            <w:r w:rsidRPr="00302E12">
              <w:t>Number of people eligible for RT-CGM</w:t>
            </w:r>
          </w:p>
        </w:tc>
        <w:tc>
          <w:tcPr>
            <w:tcW w:w="664" w:type="pct"/>
          </w:tcPr>
          <w:p w14:paraId="05A1302C" w14:textId="77777777" w:rsidR="004F4778" w:rsidRPr="00302E12" w:rsidRDefault="004F4778" w:rsidP="00A41C72">
            <w:pPr>
              <w:pStyle w:val="TableText"/>
              <w:jc w:val="center"/>
            </w:pPr>
            <w:r w:rsidRPr="00302E12">
              <w:t>74,691</w:t>
            </w:r>
          </w:p>
        </w:tc>
        <w:tc>
          <w:tcPr>
            <w:tcW w:w="665" w:type="pct"/>
          </w:tcPr>
          <w:p w14:paraId="13C1CE92" w14:textId="77777777" w:rsidR="004F4778" w:rsidRPr="00302E12" w:rsidRDefault="004F4778" w:rsidP="00A41C72">
            <w:pPr>
              <w:pStyle w:val="TableText"/>
              <w:jc w:val="center"/>
            </w:pPr>
            <w:r w:rsidRPr="00302E12">
              <w:t>76,331</w:t>
            </w:r>
          </w:p>
        </w:tc>
        <w:tc>
          <w:tcPr>
            <w:tcW w:w="664" w:type="pct"/>
          </w:tcPr>
          <w:p w14:paraId="0D1E6E90" w14:textId="77777777" w:rsidR="004F4778" w:rsidRPr="00302E12" w:rsidRDefault="004F4778" w:rsidP="00A41C72">
            <w:pPr>
              <w:pStyle w:val="TableText"/>
              <w:jc w:val="center"/>
            </w:pPr>
            <w:r w:rsidRPr="00302E12">
              <w:t>77,971</w:t>
            </w:r>
          </w:p>
        </w:tc>
        <w:tc>
          <w:tcPr>
            <w:tcW w:w="665" w:type="pct"/>
          </w:tcPr>
          <w:p w14:paraId="638454A4" w14:textId="77777777" w:rsidR="004F4778" w:rsidRPr="00302E12" w:rsidRDefault="004F4778" w:rsidP="00A41C72">
            <w:pPr>
              <w:pStyle w:val="TableText"/>
              <w:jc w:val="center"/>
            </w:pPr>
            <w:r w:rsidRPr="00302E12">
              <w:t>79,611</w:t>
            </w:r>
          </w:p>
        </w:tc>
        <w:tc>
          <w:tcPr>
            <w:tcW w:w="664" w:type="pct"/>
          </w:tcPr>
          <w:p w14:paraId="66AFF89C" w14:textId="77777777" w:rsidR="004F4778" w:rsidRPr="00302E12" w:rsidRDefault="004F4778" w:rsidP="00A41C72">
            <w:pPr>
              <w:pStyle w:val="TableText"/>
              <w:jc w:val="center"/>
            </w:pPr>
            <w:r w:rsidRPr="00302E12">
              <w:t>81,251</w:t>
            </w:r>
          </w:p>
        </w:tc>
        <w:tc>
          <w:tcPr>
            <w:tcW w:w="661" w:type="pct"/>
          </w:tcPr>
          <w:p w14:paraId="07E15B22" w14:textId="77777777" w:rsidR="004F4778" w:rsidRPr="00302E12" w:rsidRDefault="004F4778" w:rsidP="00A41C72">
            <w:pPr>
              <w:pStyle w:val="TableText"/>
              <w:jc w:val="center"/>
            </w:pPr>
            <w:r w:rsidRPr="00302E12">
              <w:t>82,891</w:t>
            </w:r>
          </w:p>
        </w:tc>
      </w:tr>
      <w:tr w:rsidR="00FC2BF2" w:rsidRPr="00302E12" w14:paraId="04BF4177" w14:textId="77777777" w:rsidTr="00177E31">
        <w:tc>
          <w:tcPr>
            <w:tcW w:w="1017" w:type="pct"/>
          </w:tcPr>
          <w:p w14:paraId="08079E29" w14:textId="77777777" w:rsidR="004F4778" w:rsidRPr="00302E12" w:rsidRDefault="004F4778">
            <w:pPr>
              <w:pStyle w:val="TableText"/>
            </w:pPr>
            <w:r w:rsidRPr="00302E12">
              <w:t>Number of people who receive RT-CGM</w:t>
            </w:r>
          </w:p>
        </w:tc>
        <w:tc>
          <w:tcPr>
            <w:tcW w:w="664" w:type="pct"/>
          </w:tcPr>
          <w:p w14:paraId="274B377B" w14:textId="77777777" w:rsidR="004F4778" w:rsidRPr="00302E12" w:rsidRDefault="004F4778" w:rsidP="00A41C72">
            <w:pPr>
              <w:pStyle w:val="TableText"/>
              <w:jc w:val="center"/>
            </w:pPr>
            <w:r w:rsidRPr="00302E12">
              <w:t>13,071</w:t>
            </w:r>
          </w:p>
        </w:tc>
        <w:tc>
          <w:tcPr>
            <w:tcW w:w="665" w:type="pct"/>
          </w:tcPr>
          <w:p w14:paraId="0B9C2016" w14:textId="77777777" w:rsidR="004F4778" w:rsidRPr="00302E12" w:rsidRDefault="004F4778" w:rsidP="00A41C72">
            <w:pPr>
              <w:pStyle w:val="TableText"/>
              <w:jc w:val="center"/>
            </w:pPr>
            <w:r w:rsidRPr="00302E12">
              <w:t>17,175</w:t>
            </w:r>
          </w:p>
        </w:tc>
        <w:tc>
          <w:tcPr>
            <w:tcW w:w="664" w:type="pct"/>
          </w:tcPr>
          <w:p w14:paraId="7F879A85" w14:textId="77777777" w:rsidR="004F4778" w:rsidRPr="00302E12" w:rsidRDefault="004F4778" w:rsidP="00A41C72">
            <w:pPr>
              <w:pStyle w:val="TableText"/>
              <w:jc w:val="center"/>
            </w:pPr>
            <w:r w:rsidRPr="00302E12">
              <w:t>21,442</w:t>
            </w:r>
          </w:p>
        </w:tc>
        <w:tc>
          <w:tcPr>
            <w:tcW w:w="665" w:type="pct"/>
          </w:tcPr>
          <w:p w14:paraId="103FD8CE" w14:textId="77777777" w:rsidR="004F4778" w:rsidRPr="00302E12" w:rsidRDefault="004F4778" w:rsidP="00A41C72">
            <w:pPr>
              <w:pStyle w:val="TableText"/>
              <w:jc w:val="center"/>
            </w:pPr>
            <w:r w:rsidRPr="00302E12">
              <w:t>23,883</w:t>
            </w:r>
          </w:p>
        </w:tc>
        <w:tc>
          <w:tcPr>
            <w:tcW w:w="664" w:type="pct"/>
          </w:tcPr>
          <w:p w14:paraId="7C6D0D4E" w14:textId="77777777" w:rsidR="004F4778" w:rsidRPr="00302E12" w:rsidRDefault="004F4778" w:rsidP="00A41C72">
            <w:pPr>
              <w:pStyle w:val="TableText"/>
              <w:jc w:val="center"/>
            </w:pPr>
            <w:r w:rsidRPr="00302E12">
              <w:t>26,407</w:t>
            </w:r>
          </w:p>
        </w:tc>
        <w:tc>
          <w:tcPr>
            <w:tcW w:w="661" w:type="pct"/>
          </w:tcPr>
          <w:p w14:paraId="7EA46B8F" w14:textId="77777777" w:rsidR="004F4778" w:rsidRPr="00302E12" w:rsidRDefault="004F4778" w:rsidP="00A41C72">
            <w:pPr>
              <w:pStyle w:val="TableText"/>
              <w:jc w:val="center"/>
            </w:pPr>
            <w:r w:rsidRPr="00302E12">
              <w:t>29,012</w:t>
            </w:r>
          </w:p>
        </w:tc>
      </w:tr>
      <w:tr w:rsidR="00FC2BF2" w:rsidRPr="00302E12" w14:paraId="58198DBA" w14:textId="77777777" w:rsidTr="00177E31">
        <w:tc>
          <w:tcPr>
            <w:tcW w:w="1017" w:type="pct"/>
          </w:tcPr>
          <w:p w14:paraId="383F3717" w14:textId="77777777" w:rsidR="004F4778" w:rsidRPr="00302E12" w:rsidRDefault="004F4778">
            <w:pPr>
              <w:pStyle w:val="TableText"/>
            </w:pPr>
            <w:r w:rsidRPr="00302E12">
              <w:t>Number of Dexcom ONE+ sensor packs</w:t>
            </w:r>
          </w:p>
        </w:tc>
        <w:tc>
          <w:tcPr>
            <w:tcW w:w="664" w:type="pct"/>
          </w:tcPr>
          <w:p w14:paraId="6C31446B" w14:textId="77777777" w:rsidR="004F4778" w:rsidRPr="00302E12" w:rsidRDefault="004F4778" w:rsidP="00A41C72">
            <w:pPr>
              <w:pStyle w:val="TableText"/>
              <w:jc w:val="center"/>
            </w:pPr>
            <w:r w:rsidRPr="00302E12">
              <w:t>159,030</w:t>
            </w:r>
          </w:p>
        </w:tc>
        <w:tc>
          <w:tcPr>
            <w:tcW w:w="665" w:type="pct"/>
          </w:tcPr>
          <w:p w14:paraId="391ABF9F" w14:textId="77777777" w:rsidR="004F4778" w:rsidRPr="00302E12" w:rsidRDefault="004F4778" w:rsidP="00A41C72">
            <w:pPr>
              <w:pStyle w:val="TableText"/>
              <w:jc w:val="center"/>
            </w:pPr>
            <w:r w:rsidRPr="00302E12">
              <w:t>208,957</w:t>
            </w:r>
          </w:p>
        </w:tc>
        <w:tc>
          <w:tcPr>
            <w:tcW w:w="664" w:type="pct"/>
          </w:tcPr>
          <w:p w14:paraId="52360F40" w14:textId="77777777" w:rsidR="004F4778" w:rsidRPr="00302E12" w:rsidRDefault="004F4778" w:rsidP="00A41C72">
            <w:pPr>
              <w:pStyle w:val="TableText"/>
              <w:jc w:val="center"/>
            </w:pPr>
            <w:r w:rsidRPr="00302E12">
              <w:t>260,879</w:t>
            </w:r>
          </w:p>
        </w:tc>
        <w:tc>
          <w:tcPr>
            <w:tcW w:w="665" w:type="pct"/>
          </w:tcPr>
          <w:p w14:paraId="7EF3F7F1" w14:textId="77777777" w:rsidR="004F4778" w:rsidRPr="00302E12" w:rsidRDefault="004F4778" w:rsidP="00A41C72">
            <w:pPr>
              <w:pStyle w:val="TableText"/>
              <w:jc w:val="center"/>
            </w:pPr>
            <w:r w:rsidRPr="00302E12">
              <w:t>290,580</w:t>
            </w:r>
          </w:p>
        </w:tc>
        <w:tc>
          <w:tcPr>
            <w:tcW w:w="664" w:type="pct"/>
          </w:tcPr>
          <w:p w14:paraId="707BD5C1" w14:textId="77777777" w:rsidR="004F4778" w:rsidRPr="00302E12" w:rsidRDefault="004F4778" w:rsidP="00A41C72">
            <w:pPr>
              <w:pStyle w:val="TableText"/>
              <w:jc w:val="center"/>
            </w:pPr>
            <w:r w:rsidRPr="00302E12">
              <w:t>321,280</w:t>
            </w:r>
          </w:p>
        </w:tc>
        <w:tc>
          <w:tcPr>
            <w:tcW w:w="661" w:type="pct"/>
          </w:tcPr>
          <w:p w14:paraId="59C43B08" w14:textId="77777777" w:rsidR="004F4778" w:rsidRPr="00302E12" w:rsidRDefault="004F4778" w:rsidP="00A41C72">
            <w:pPr>
              <w:pStyle w:val="TableText"/>
              <w:jc w:val="center"/>
            </w:pPr>
            <w:r w:rsidRPr="00302E12">
              <w:t>352,977</w:t>
            </w:r>
          </w:p>
        </w:tc>
      </w:tr>
      <w:tr w:rsidR="00F931E9" w:rsidRPr="00302E12" w14:paraId="3C0E784C" w14:textId="77777777" w:rsidTr="00177E31">
        <w:tc>
          <w:tcPr>
            <w:tcW w:w="1017" w:type="pct"/>
          </w:tcPr>
          <w:p w14:paraId="675F0105" w14:textId="59BC14DC" w:rsidR="00F931E9" w:rsidRPr="00302E12" w:rsidRDefault="00F931E9" w:rsidP="00F931E9">
            <w:pPr>
              <w:pStyle w:val="TableText"/>
            </w:pPr>
            <w:r w:rsidRPr="00302E12">
              <w:t xml:space="preserve">Cost </w:t>
            </w:r>
            <w:r>
              <w:t xml:space="preserve">in millions </w:t>
            </w:r>
            <w:r w:rsidRPr="00302E12">
              <w:t>to the NDSS (without co-payment)</w:t>
            </w:r>
          </w:p>
        </w:tc>
        <w:tc>
          <w:tcPr>
            <w:tcW w:w="664" w:type="pct"/>
          </w:tcPr>
          <w:p w14:paraId="42B6FE99" w14:textId="73BBBA4E" w:rsidR="00F931E9" w:rsidRPr="00051030" w:rsidRDefault="00F931E9" w:rsidP="00F931E9">
            <w:pPr>
              <w:pStyle w:val="TableText"/>
              <w:jc w:val="center"/>
              <w:rPr>
                <w:highlight w:val="yellow"/>
              </w:rPr>
            </w:pPr>
            <w:r w:rsidRPr="00F96892">
              <w:t>$</w:t>
            </w:r>
            <w:r w:rsidRPr="00F96892">
              <w:rPr>
                <w:b/>
                <w:bCs/>
              </w:rPr>
              <w:t>Redacted</w:t>
            </w:r>
            <w:r w:rsidRPr="00F96892">
              <w:rPr>
                <w:vertAlign w:val="superscript"/>
              </w:rPr>
              <w:t>1</w:t>
            </w:r>
          </w:p>
        </w:tc>
        <w:tc>
          <w:tcPr>
            <w:tcW w:w="665" w:type="pct"/>
          </w:tcPr>
          <w:p w14:paraId="01520F00" w14:textId="03E7282B" w:rsidR="00F931E9" w:rsidRPr="00051030" w:rsidRDefault="00F931E9" w:rsidP="00F931E9">
            <w:pPr>
              <w:pStyle w:val="TableText"/>
              <w:jc w:val="center"/>
              <w:rPr>
                <w:highlight w:val="yellow"/>
              </w:rPr>
            </w:pPr>
            <w:r w:rsidRPr="00390D70">
              <w:t>$</w:t>
            </w:r>
            <w:r w:rsidRPr="00390D70">
              <w:rPr>
                <w:b/>
                <w:bCs/>
              </w:rPr>
              <w:t>Redacted</w:t>
            </w:r>
            <w:r w:rsidRPr="00390D70">
              <w:rPr>
                <w:vertAlign w:val="superscript"/>
              </w:rPr>
              <w:t>2</w:t>
            </w:r>
          </w:p>
        </w:tc>
        <w:tc>
          <w:tcPr>
            <w:tcW w:w="664" w:type="pct"/>
          </w:tcPr>
          <w:p w14:paraId="44161731" w14:textId="55FCA767" w:rsidR="00F931E9" w:rsidRPr="00051030" w:rsidRDefault="00F931E9" w:rsidP="00F931E9">
            <w:pPr>
              <w:pStyle w:val="TableText"/>
              <w:jc w:val="center"/>
              <w:rPr>
                <w:highlight w:val="yellow"/>
              </w:rPr>
            </w:pPr>
            <w:r w:rsidRPr="00D46BF9">
              <w:t>$</w:t>
            </w:r>
            <w:r w:rsidRPr="00D46BF9">
              <w:rPr>
                <w:b/>
                <w:bCs/>
              </w:rPr>
              <w:t>Redacted</w:t>
            </w:r>
            <w:r>
              <w:rPr>
                <w:vertAlign w:val="superscript"/>
              </w:rPr>
              <w:t>3</w:t>
            </w:r>
          </w:p>
        </w:tc>
        <w:tc>
          <w:tcPr>
            <w:tcW w:w="665" w:type="pct"/>
          </w:tcPr>
          <w:p w14:paraId="1E848261" w14:textId="58AEF395" w:rsidR="00F931E9" w:rsidRPr="00051030" w:rsidRDefault="00F931E9" w:rsidP="00F931E9">
            <w:pPr>
              <w:pStyle w:val="TableText"/>
              <w:jc w:val="center"/>
              <w:rPr>
                <w:highlight w:val="yellow"/>
              </w:rPr>
            </w:pPr>
            <w:r w:rsidRPr="00C52334">
              <w:t>$</w:t>
            </w:r>
            <w:r w:rsidRPr="00C52334">
              <w:rPr>
                <w:b/>
                <w:bCs/>
              </w:rPr>
              <w:t>Redacted</w:t>
            </w:r>
            <w:r w:rsidRPr="00C52334">
              <w:rPr>
                <w:vertAlign w:val="superscript"/>
              </w:rPr>
              <w:t>3</w:t>
            </w:r>
          </w:p>
        </w:tc>
        <w:tc>
          <w:tcPr>
            <w:tcW w:w="664" w:type="pct"/>
          </w:tcPr>
          <w:p w14:paraId="5C8A7E6E" w14:textId="4AC37AD0" w:rsidR="00F931E9" w:rsidRPr="00051030" w:rsidRDefault="00F931E9" w:rsidP="00F931E9">
            <w:pPr>
              <w:pStyle w:val="TableText"/>
              <w:jc w:val="center"/>
              <w:rPr>
                <w:highlight w:val="yellow"/>
              </w:rPr>
            </w:pPr>
            <w:r w:rsidRPr="00B21966">
              <w:t>$</w:t>
            </w:r>
            <w:r w:rsidRPr="00B21966">
              <w:rPr>
                <w:b/>
                <w:bCs/>
              </w:rPr>
              <w:t>Redacted</w:t>
            </w:r>
            <w:r w:rsidRPr="00B21966">
              <w:rPr>
                <w:vertAlign w:val="superscript"/>
              </w:rPr>
              <w:t>4</w:t>
            </w:r>
          </w:p>
        </w:tc>
        <w:tc>
          <w:tcPr>
            <w:tcW w:w="661" w:type="pct"/>
          </w:tcPr>
          <w:p w14:paraId="48212ED5" w14:textId="484B55AE" w:rsidR="00F931E9" w:rsidRPr="00051030" w:rsidRDefault="00F931E9" w:rsidP="00F931E9">
            <w:pPr>
              <w:pStyle w:val="TableText"/>
              <w:jc w:val="center"/>
              <w:rPr>
                <w:highlight w:val="yellow"/>
              </w:rPr>
            </w:pPr>
            <w:r w:rsidRPr="00B21966">
              <w:t>$</w:t>
            </w:r>
            <w:r w:rsidRPr="00B21966">
              <w:rPr>
                <w:b/>
                <w:bCs/>
              </w:rPr>
              <w:t>Redacted</w:t>
            </w:r>
            <w:r w:rsidRPr="00B21966">
              <w:rPr>
                <w:vertAlign w:val="superscript"/>
              </w:rPr>
              <w:t>4</w:t>
            </w:r>
          </w:p>
        </w:tc>
      </w:tr>
      <w:tr w:rsidR="002B3BBC" w:rsidRPr="00302E12" w14:paraId="3B83C9CD" w14:textId="77777777" w:rsidTr="00177E31">
        <w:tc>
          <w:tcPr>
            <w:tcW w:w="1017" w:type="pct"/>
          </w:tcPr>
          <w:p w14:paraId="1229CA10" w14:textId="7ECF9413" w:rsidR="002B3BBC" w:rsidRPr="00B5706D" w:rsidRDefault="002B3BBC" w:rsidP="002B3BBC">
            <w:pPr>
              <w:pStyle w:val="TableText"/>
            </w:pPr>
            <w:r w:rsidRPr="00B5706D">
              <w:t>Cost in millions to the NDSS (with co-payment adjusted)</w:t>
            </w:r>
          </w:p>
        </w:tc>
        <w:tc>
          <w:tcPr>
            <w:tcW w:w="664" w:type="pct"/>
          </w:tcPr>
          <w:p w14:paraId="6839821B" w14:textId="0D22BF11" w:rsidR="002B3BBC" w:rsidRPr="00051030" w:rsidRDefault="002B3BBC" w:rsidP="002B3BBC">
            <w:pPr>
              <w:pStyle w:val="TableText"/>
              <w:jc w:val="center"/>
              <w:rPr>
                <w:highlight w:val="yellow"/>
              </w:rPr>
            </w:pPr>
            <w:r w:rsidRPr="00F96892">
              <w:t>$</w:t>
            </w:r>
            <w:r w:rsidRPr="00F96892">
              <w:rPr>
                <w:b/>
                <w:bCs/>
              </w:rPr>
              <w:t>Redacted</w:t>
            </w:r>
            <w:r w:rsidRPr="00F96892">
              <w:rPr>
                <w:vertAlign w:val="superscript"/>
              </w:rPr>
              <w:t>1</w:t>
            </w:r>
          </w:p>
        </w:tc>
        <w:tc>
          <w:tcPr>
            <w:tcW w:w="665" w:type="pct"/>
          </w:tcPr>
          <w:p w14:paraId="01412BCA" w14:textId="0908B443" w:rsidR="002B3BBC" w:rsidRPr="00051030" w:rsidRDefault="002B3BBC" w:rsidP="002B3BBC">
            <w:pPr>
              <w:pStyle w:val="TableText"/>
              <w:jc w:val="center"/>
              <w:rPr>
                <w:highlight w:val="yellow"/>
              </w:rPr>
            </w:pPr>
            <w:r w:rsidRPr="00390D70">
              <w:t>$</w:t>
            </w:r>
            <w:r w:rsidRPr="00390D70">
              <w:rPr>
                <w:b/>
                <w:bCs/>
              </w:rPr>
              <w:t>Redacted</w:t>
            </w:r>
            <w:r w:rsidRPr="00390D70">
              <w:rPr>
                <w:vertAlign w:val="superscript"/>
              </w:rPr>
              <w:t>2</w:t>
            </w:r>
          </w:p>
        </w:tc>
        <w:tc>
          <w:tcPr>
            <w:tcW w:w="664" w:type="pct"/>
          </w:tcPr>
          <w:p w14:paraId="3C39A007" w14:textId="2DF833F3" w:rsidR="002B3BBC" w:rsidRPr="00051030" w:rsidRDefault="002B3BBC" w:rsidP="002B3BBC">
            <w:pPr>
              <w:pStyle w:val="TableText"/>
              <w:jc w:val="center"/>
              <w:rPr>
                <w:highlight w:val="yellow"/>
              </w:rPr>
            </w:pPr>
            <w:r w:rsidRPr="00D46BF9">
              <w:t>$</w:t>
            </w:r>
            <w:r w:rsidRPr="00D46BF9">
              <w:rPr>
                <w:b/>
                <w:bCs/>
              </w:rPr>
              <w:t>Redacted</w:t>
            </w:r>
            <w:r>
              <w:rPr>
                <w:vertAlign w:val="superscript"/>
              </w:rPr>
              <w:t>2</w:t>
            </w:r>
          </w:p>
        </w:tc>
        <w:tc>
          <w:tcPr>
            <w:tcW w:w="665" w:type="pct"/>
          </w:tcPr>
          <w:p w14:paraId="09BCF681" w14:textId="25EDC14D" w:rsidR="002B3BBC" w:rsidRPr="00051030" w:rsidRDefault="002B3BBC" w:rsidP="002B3BBC">
            <w:pPr>
              <w:pStyle w:val="TableText"/>
              <w:jc w:val="center"/>
              <w:rPr>
                <w:highlight w:val="yellow"/>
              </w:rPr>
            </w:pPr>
            <w:r w:rsidRPr="00C52334">
              <w:t>$</w:t>
            </w:r>
            <w:r w:rsidRPr="00C52334">
              <w:rPr>
                <w:b/>
                <w:bCs/>
              </w:rPr>
              <w:t>Redacted</w:t>
            </w:r>
            <w:r w:rsidRPr="00C52334">
              <w:rPr>
                <w:vertAlign w:val="superscript"/>
              </w:rPr>
              <w:t>3</w:t>
            </w:r>
          </w:p>
        </w:tc>
        <w:tc>
          <w:tcPr>
            <w:tcW w:w="664" w:type="pct"/>
          </w:tcPr>
          <w:p w14:paraId="31495628" w14:textId="2D1D8083" w:rsidR="002B3BBC" w:rsidRPr="00051030" w:rsidRDefault="002B3BBC" w:rsidP="002B3BBC">
            <w:pPr>
              <w:pStyle w:val="TableText"/>
              <w:jc w:val="center"/>
              <w:rPr>
                <w:highlight w:val="yellow"/>
              </w:rPr>
            </w:pPr>
            <w:r w:rsidRPr="00D46BF9">
              <w:t>$</w:t>
            </w:r>
            <w:r w:rsidRPr="00D46BF9">
              <w:rPr>
                <w:b/>
                <w:bCs/>
              </w:rPr>
              <w:t>Redacted</w:t>
            </w:r>
            <w:r>
              <w:rPr>
                <w:vertAlign w:val="superscript"/>
              </w:rPr>
              <w:t>3</w:t>
            </w:r>
          </w:p>
        </w:tc>
        <w:tc>
          <w:tcPr>
            <w:tcW w:w="661" w:type="pct"/>
          </w:tcPr>
          <w:p w14:paraId="657B0536" w14:textId="5FD7FDC0" w:rsidR="002B3BBC" w:rsidRPr="00051030" w:rsidRDefault="00F931E9" w:rsidP="002B3BBC">
            <w:pPr>
              <w:pStyle w:val="TableText"/>
              <w:jc w:val="center"/>
              <w:rPr>
                <w:highlight w:val="yellow"/>
              </w:rPr>
            </w:pPr>
            <w:r w:rsidRPr="00D46BF9">
              <w:t>$</w:t>
            </w:r>
            <w:r w:rsidRPr="00D46BF9">
              <w:rPr>
                <w:b/>
                <w:bCs/>
              </w:rPr>
              <w:t>Redacted</w:t>
            </w:r>
            <w:r>
              <w:rPr>
                <w:vertAlign w:val="superscript"/>
              </w:rPr>
              <w:t>4</w:t>
            </w:r>
          </w:p>
        </w:tc>
      </w:tr>
      <w:tr w:rsidR="00985D8B" w:rsidRPr="00302E12" w14:paraId="6C182505" w14:textId="77777777" w:rsidTr="00030059">
        <w:tc>
          <w:tcPr>
            <w:tcW w:w="5000" w:type="pct"/>
            <w:gridSpan w:val="7"/>
          </w:tcPr>
          <w:p w14:paraId="49E18780" w14:textId="77777777" w:rsidR="004F4778" w:rsidRPr="00302E12" w:rsidRDefault="004F4778">
            <w:pPr>
              <w:pStyle w:val="TableText"/>
            </w:pPr>
            <w:r w:rsidRPr="00302E12">
              <w:rPr>
                <w:b/>
                <w:bCs/>
              </w:rPr>
              <w:t>Change in use and cost of other health technologies</w:t>
            </w:r>
          </w:p>
        </w:tc>
      </w:tr>
      <w:tr w:rsidR="00FC2BF2" w:rsidRPr="00302E12" w14:paraId="2FF2F1A5" w14:textId="77777777" w:rsidTr="00177E31">
        <w:tc>
          <w:tcPr>
            <w:tcW w:w="1017" w:type="pct"/>
          </w:tcPr>
          <w:p w14:paraId="755123C1" w14:textId="77777777" w:rsidR="004F4778" w:rsidRPr="00302E12" w:rsidRDefault="004F4778">
            <w:pPr>
              <w:pStyle w:val="TableText"/>
            </w:pPr>
            <w:r w:rsidRPr="00302E12">
              <w:t>Total 100-strip pack replaced</w:t>
            </w:r>
          </w:p>
        </w:tc>
        <w:tc>
          <w:tcPr>
            <w:tcW w:w="664" w:type="pct"/>
          </w:tcPr>
          <w:p w14:paraId="44D59587" w14:textId="77777777" w:rsidR="004F4778" w:rsidRPr="00302E12" w:rsidRDefault="004F4778" w:rsidP="00A41C72">
            <w:pPr>
              <w:pStyle w:val="TableText"/>
              <w:jc w:val="center"/>
            </w:pPr>
            <w:r w:rsidRPr="00302E12">
              <w:t>95,418</w:t>
            </w:r>
          </w:p>
        </w:tc>
        <w:tc>
          <w:tcPr>
            <w:tcW w:w="665" w:type="pct"/>
          </w:tcPr>
          <w:p w14:paraId="50D643F8" w14:textId="77777777" w:rsidR="004F4778" w:rsidRPr="00302E12" w:rsidRDefault="004F4778" w:rsidP="00A41C72">
            <w:pPr>
              <w:pStyle w:val="TableText"/>
              <w:jc w:val="center"/>
            </w:pPr>
            <w:r w:rsidRPr="00302E12">
              <w:t>125,374</w:t>
            </w:r>
          </w:p>
        </w:tc>
        <w:tc>
          <w:tcPr>
            <w:tcW w:w="664" w:type="pct"/>
          </w:tcPr>
          <w:p w14:paraId="46FA5876" w14:textId="77777777" w:rsidR="004F4778" w:rsidRPr="00302E12" w:rsidRDefault="004F4778" w:rsidP="00A41C72">
            <w:pPr>
              <w:pStyle w:val="TableText"/>
              <w:jc w:val="center"/>
            </w:pPr>
            <w:r w:rsidRPr="00302E12">
              <w:t>156,527</w:t>
            </w:r>
          </w:p>
        </w:tc>
        <w:tc>
          <w:tcPr>
            <w:tcW w:w="665" w:type="pct"/>
          </w:tcPr>
          <w:p w14:paraId="0D2078C4" w14:textId="77777777" w:rsidR="004F4778" w:rsidRPr="00302E12" w:rsidRDefault="004F4778" w:rsidP="00A41C72">
            <w:pPr>
              <w:pStyle w:val="TableText"/>
              <w:jc w:val="center"/>
            </w:pPr>
            <w:r w:rsidRPr="00302E12">
              <w:t>174,348</w:t>
            </w:r>
          </w:p>
        </w:tc>
        <w:tc>
          <w:tcPr>
            <w:tcW w:w="664" w:type="pct"/>
          </w:tcPr>
          <w:p w14:paraId="31C5BF23" w14:textId="77777777" w:rsidR="004F4778" w:rsidRPr="00302E12" w:rsidRDefault="004F4778" w:rsidP="00A41C72">
            <w:pPr>
              <w:pStyle w:val="TableText"/>
              <w:jc w:val="center"/>
            </w:pPr>
            <w:r w:rsidRPr="00302E12">
              <w:t>192,768</w:t>
            </w:r>
          </w:p>
        </w:tc>
        <w:tc>
          <w:tcPr>
            <w:tcW w:w="661" w:type="pct"/>
          </w:tcPr>
          <w:p w14:paraId="0A426395" w14:textId="77777777" w:rsidR="004F4778" w:rsidRPr="00302E12" w:rsidRDefault="004F4778" w:rsidP="00A41C72">
            <w:pPr>
              <w:pStyle w:val="TableText"/>
              <w:jc w:val="center"/>
            </w:pPr>
            <w:r w:rsidRPr="00302E12">
              <w:t>211,786</w:t>
            </w:r>
          </w:p>
        </w:tc>
      </w:tr>
      <w:tr w:rsidR="00FC2BF2" w:rsidRPr="00302E12" w14:paraId="1FADE6A8" w14:textId="77777777" w:rsidTr="00177E31">
        <w:tc>
          <w:tcPr>
            <w:tcW w:w="1017" w:type="pct"/>
          </w:tcPr>
          <w:p w14:paraId="162D085B" w14:textId="103DB3BB" w:rsidR="004F4778" w:rsidRPr="00302E12" w:rsidRDefault="004F4778">
            <w:pPr>
              <w:pStyle w:val="TableText"/>
            </w:pPr>
            <w:r w:rsidRPr="00302E12">
              <w:lastRenderedPageBreak/>
              <w:t>Total cost saving</w:t>
            </w:r>
            <w:r w:rsidR="00D72D49">
              <w:t xml:space="preserve"> (millions)</w:t>
            </w:r>
          </w:p>
        </w:tc>
        <w:tc>
          <w:tcPr>
            <w:tcW w:w="664" w:type="pct"/>
          </w:tcPr>
          <w:p w14:paraId="58A6547D" w14:textId="2A24CE0C" w:rsidR="004F4778" w:rsidRPr="00302E12" w:rsidRDefault="004F4778" w:rsidP="00A41C72">
            <w:pPr>
              <w:pStyle w:val="TableText"/>
              <w:jc w:val="center"/>
            </w:pPr>
            <w:r w:rsidRPr="00302E12">
              <w:t>$1</w:t>
            </w:r>
            <w:r w:rsidR="00D72D49">
              <w:t>.8</w:t>
            </w:r>
          </w:p>
        </w:tc>
        <w:tc>
          <w:tcPr>
            <w:tcW w:w="665" w:type="pct"/>
          </w:tcPr>
          <w:p w14:paraId="0004198E" w14:textId="10236C6B" w:rsidR="004F4778" w:rsidRPr="00302E12" w:rsidRDefault="004F4778" w:rsidP="00A41C72">
            <w:pPr>
              <w:pStyle w:val="TableText"/>
              <w:jc w:val="center"/>
            </w:pPr>
            <w:r w:rsidRPr="00302E12">
              <w:t>$2</w:t>
            </w:r>
            <w:r w:rsidR="00541D65">
              <w:t>.4</w:t>
            </w:r>
          </w:p>
        </w:tc>
        <w:tc>
          <w:tcPr>
            <w:tcW w:w="664" w:type="pct"/>
          </w:tcPr>
          <w:p w14:paraId="3854FD68" w14:textId="3A030A8E" w:rsidR="004F4778" w:rsidRPr="00302E12" w:rsidRDefault="004F4778" w:rsidP="00A41C72">
            <w:pPr>
              <w:pStyle w:val="TableText"/>
              <w:jc w:val="center"/>
            </w:pPr>
            <w:r w:rsidRPr="00302E12">
              <w:t>$2</w:t>
            </w:r>
            <w:r w:rsidR="00541D65">
              <w:t>.9</w:t>
            </w:r>
          </w:p>
        </w:tc>
        <w:tc>
          <w:tcPr>
            <w:tcW w:w="665" w:type="pct"/>
          </w:tcPr>
          <w:p w14:paraId="2F8A47B0" w14:textId="21B8C094" w:rsidR="004F4778" w:rsidRPr="00302E12" w:rsidRDefault="004F4778" w:rsidP="00A41C72">
            <w:pPr>
              <w:pStyle w:val="TableText"/>
              <w:jc w:val="center"/>
            </w:pPr>
            <w:r w:rsidRPr="00302E12">
              <w:t>$3</w:t>
            </w:r>
            <w:r w:rsidR="00541D65">
              <w:t>.3</w:t>
            </w:r>
          </w:p>
        </w:tc>
        <w:tc>
          <w:tcPr>
            <w:tcW w:w="664" w:type="pct"/>
          </w:tcPr>
          <w:p w14:paraId="66ED0885" w14:textId="47C0C32F" w:rsidR="004F4778" w:rsidRPr="00302E12" w:rsidRDefault="004F4778" w:rsidP="00A41C72">
            <w:pPr>
              <w:pStyle w:val="TableText"/>
              <w:jc w:val="center"/>
            </w:pPr>
            <w:r w:rsidRPr="00302E12">
              <w:t>$3</w:t>
            </w:r>
            <w:r w:rsidR="00541D65">
              <w:t>.7</w:t>
            </w:r>
          </w:p>
        </w:tc>
        <w:tc>
          <w:tcPr>
            <w:tcW w:w="661" w:type="pct"/>
          </w:tcPr>
          <w:p w14:paraId="2E6CD180" w14:textId="490CBE9C" w:rsidR="004F4778" w:rsidRPr="00302E12" w:rsidRDefault="004F4778" w:rsidP="00A41C72">
            <w:pPr>
              <w:pStyle w:val="TableText"/>
              <w:jc w:val="center"/>
            </w:pPr>
            <w:r w:rsidRPr="00302E12">
              <w:t>$4</w:t>
            </w:r>
            <w:r w:rsidR="00541D65">
              <w:t>.1</w:t>
            </w:r>
          </w:p>
        </w:tc>
      </w:tr>
      <w:tr w:rsidR="002B3BBC" w:rsidRPr="00302E12" w14:paraId="1D99A20B" w14:textId="77777777" w:rsidTr="00177E31">
        <w:tc>
          <w:tcPr>
            <w:tcW w:w="1017" w:type="pct"/>
          </w:tcPr>
          <w:p w14:paraId="6D76759F" w14:textId="57FB0D2F" w:rsidR="002B3BBC" w:rsidRPr="00302E12" w:rsidRDefault="002B3BBC" w:rsidP="002B3BBC">
            <w:pPr>
              <w:pStyle w:val="TableText"/>
            </w:pPr>
            <w:r w:rsidRPr="00302E12">
              <w:rPr>
                <w:b/>
                <w:bCs/>
              </w:rPr>
              <w:t>Net financial impact to the NDSS</w:t>
            </w:r>
            <w:r>
              <w:rPr>
                <w:b/>
                <w:bCs/>
              </w:rPr>
              <w:t xml:space="preserve"> (cost in millions)</w:t>
            </w:r>
          </w:p>
        </w:tc>
        <w:tc>
          <w:tcPr>
            <w:tcW w:w="664" w:type="pct"/>
          </w:tcPr>
          <w:p w14:paraId="748B569C" w14:textId="1D86C566" w:rsidR="002B3BBC" w:rsidRPr="00051030" w:rsidRDefault="002B3BBC" w:rsidP="002B3BBC">
            <w:pPr>
              <w:pStyle w:val="TableText"/>
              <w:jc w:val="center"/>
              <w:rPr>
                <w:b/>
                <w:bCs/>
                <w:highlight w:val="yellow"/>
              </w:rPr>
            </w:pPr>
            <w:r w:rsidRPr="00CC7733">
              <w:t>$</w:t>
            </w:r>
            <w:r w:rsidRPr="00CC7733">
              <w:rPr>
                <w:b/>
                <w:bCs/>
              </w:rPr>
              <w:t>Redacted</w:t>
            </w:r>
            <w:r w:rsidRPr="00CC7733">
              <w:rPr>
                <w:vertAlign w:val="superscript"/>
              </w:rPr>
              <w:t>1</w:t>
            </w:r>
          </w:p>
        </w:tc>
        <w:tc>
          <w:tcPr>
            <w:tcW w:w="665" w:type="pct"/>
          </w:tcPr>
          <w:p w14:paraId="208696A2" w14:textId="564FAECC" w:rsidR="002B3BBC" w:rsidRPr="00051030" w:rsidRDefault="002B3BBC" w:rsidP="002B3BBC">
            <w:pPr>
              <w:pStyle w:val="TableText"/>
              <w:jc w:val="center"/>
              <w:rPr>
                <w:b/>
                <w:bCs/>
                <w:highlight w:val="yellow"/>
              </w:rPr>
            </w:pPr>
            <w:r w:rsidRPr="00CC7733">
              <w:t>$</w:t>
            </w:r>
            <w:r w:rsidRPr="00CC7733">
              <w:rPr>
                <w:b/>
                <w:bCs/>
              </w:rPr>
              <w:t>Redacted</w:t>
            </w:r>
            <w:r w:rsidRPr="00CC7733">
              <w:rPr>
                <w:vertAlign w:val="superscript"/>
              </w:rPr>
              <w:t>1</w:t>
            </w:r>
          </w:p>
        </w:tc>
        <w:tc>
          <w:tcPr>
            <w:tcW w:w="664" w:type="pct"/>
          </w:tcPr>
          <w:p w14:paraId="664D9758" w14:textId="49F1B2A8" w:rsidR="002B3BBC" w:rsidRPr="00051030" w:rsidRDefault="002B3BBC" w:rsidP="002B3BBC">
            <w:pPr>
              <w:pStyle w:val="TableText"/>
              <w:jc w:val="center"/>
              <w:rPr>
                <w:b/>
                <w:bCs/>
                <w:highlight w:val="yellow"/>
              </w:rPr>
            </w:pPr>
            <w:r w:rsidRPr="007307BF">
              <w:t>$</w:t>
            </w:r>
            <w:r w:rsidRPr="007307BF">
              <w:rPr>
                <w:b/>
                <w:bCs/>
              </w:rPr>
              <w:t>Redacted</w:t>
            </w:r>
            <w:r w:rsidRPr="007307BF">
              <w:rPr>
                <w:vertAlign w:val="superscript"/>
              </w:rPr>
              <w:t>2</w:t>
            </w:r>
          </w:p>
        </w:tc>
        <w:tc>
          <w:tcPr>
            <w:tcW w:w="665" w:type="pct"/>
          </w:tcPr>
          <w:p w14:paraId="49B40AA5" w14:textId="585FBC1C" w:rsidR="002B3BBC" w:rsidRPr="00051030" w:rsidRDefault="002B3BBC" w:rsidP="002B3BBC">
            <w:pPr>
              <w:pStyle w:val="TableText"/>
              <w:jc w:val="center"/>
              <w:rPr>
                <w:b/>
                <w:bCs/>
                <w:highlight w:val="yellow"/>
              </w:rPr>
            </w:pPr>
            <w:r w:rsidRPr="007307BF">
              <w:t>$</w:t>
            </w:r>
            <w:r w:rsidRPr="007307BF">
              <w:rPr>
                <w:b/>
                <w:bCs/>
              </w:rPr>
              <w:t>Redacted</w:t>
            </w:r>
            <w:r w:rsidRPr="007307BF">
              <w:rPr>
                <w:vertAlign w:val="superscript"/>
              </w:rPr>
              <w:t>2</w:t>
            </w:r>
          </w:p>
        </w:tc>
        <w:tc>
          <w:tcPr>
            <w:tcW w:w="664" w:type="pct"/>
          </w:tcPr>
          <w:p w14:paraId="1B094990" w14:textId="6BC05948" w:rsidR="002B3BBC" w:rsidRPr="00051030" w:rsidRDefault="002B3BBC" w:rsidP="002B3BBC">
            <w:pPr>
              <w:pStyle w:val="TableText"/>
              <w:jc w:val="center"/>
              <w:rPr>
                <w:b/>
                <w:bCs/>
                <w:highlight w:val="yellow"/>
              </w:rPr>
            </w:pPr>
            <w:r w:rsidRPr="00661DC0">
              <w:t>$</w:t>
            </w:r>
            <w:r w:rsidRPr="00661DC0">
              <w:rPr>
                <w:b/>
                <w:bCs/>
              </w:rPr>
              <w:t>Redacted</w:t>
            </w:r>
            <w:r w:rsidRPr="00661DC0">
              <w:rPr>
                <w:vertAlign w:val="superscript"/>
              </w:rPr>
              <w:t>3</w:t>
            </w:r>
          </w:p>
        </w:tc>
        <w:tc>
          <w:tcPr>
            <w:tcW w:w="661" w:type="pct"/>
          </w:tcPr>
          <w:p w14:paraId="4E57E92F" w14:textId="4D2E1A90" w:rsidR="002B3BBC" w:rsidRPr="00051030" w:rsidRDefault="002B3BBC" w:rsidP="002B3BBC">
            <w:pPr>
              <w:pStyle w:val="TableText"/>
              <w:jc w:val="center"/>
              <w:rPr>
                <w:b/>
                <w:bCs/>
                <w:highlight w:val="yellow"/>
              </w:rPr>
            </w:pPr>
            <w:r w:rsidRPr="00661DC0">
              <w:t>$</w:t>
            </w:r>
            <w:r w:rsidRPr="00661DC0">
              <w:rPr>
                <w:b/>
                <w:bCs/>
              </w:rPr>
              <w:t>Redacted</w:t>
            </w:r>
            <w:r w:rsidRPr="00661DC0">
              <w:rPr>
                <w:vertAlign w:val="superscript"/>
              </w:rPr>
              <w:t>3</w:t>
            </w:r>
          </w:p>
        </w:tc>
      </w:tr>
      <w:tr w:rsidR="00202C96" w:rsidRPr="00302E12" w14:paraId="052AFB7E" w14:textId="77777777" w:rsidTr="00177E31">
        <w:tc>
          <w:tcPr>
            <w:tcW w:w="1017" w:type="pct"/>
          </w:tcPr>
          <w:p w14:paraId="29EA3E0A" w14:textId="105FC70D" w:rsidR="00202C96" w:rsidRPr="00302E12" w:rsidRDefault="00202C96" w:rsidP="00202C96">
            <w:pPr>
              <w:pStyle w:val="TableText"/>
              <w:rPr>
                <w:b/>
                <w:bCs/>
              </w:rPr>
            </w:pPr>
            <w:r w:rsidRPr="00302E12">
              <w:rPr>
                <w:b/>
                <w:bCs/>
              </w:rPr>
              <w:t>Overall net impact to NDSS (includ</w:t>
            </w:r>
            <w:r>
              <w:rPr>
                <w:b/>
                <w:bCs/>
              </w:rPr>
              <w:t>ing</w:t>
            </w:r>
            <w:r w:rsidRPr="00302E12">
              <w:rPr>
                <w:b/>
                <w:bCs/>
              </w:rPr>
              <w:t xml:space="preserve"> complication avoidance cost saving)*</w:t>
            </w:r>
            <w:r>
              <w:rPr>
                <w:b/>
                <w:bCs/>
              </w:rPr>
              <w:t xml:space="preserve"> (cost in millions)</w:t>
            </w:r>
          </w:p>
        </w:tc>
        <w:tc>
          <w:tcPr>
            <w:tcW w:w="664" w:type="pct"/>
          </w:tcPr>
          <w:p w14:paraId="1A5AC866" w14:textId="7CBDE671" w:rsidR="00202C96" w:rsidRPr="00051030" w:rsidRDefault="00202C96" w:rsidP="00202C96">
            <w:pPr>
              <w:pStyle w:val="TableText"/>
              <w:jc w:val="center"/>
              <w:rPr>
                <w:b/>
                <w:bCs/>
                <w:highlight w:val="yellow"/>
              </w:rPr>
            </w:pPr>
            <w:r w:rsidRPr="008D0D7E">
              <w:t>$</w:t>
            </w:r>
            <w:r w:rsidRPr="008D0D7E">
              <w:rPr>
                <w:b/>
                <w:bCs/>
              </w:rPr>
              <w:t>Redacted</w:t>
            </w:r>
            <w:r w:rsidRPr="008D0D7E">
              <w:rPr>
                <w:vertAlign w:val="superscript"/>
              </w:rPr>
              <w:t>6</w:t>
            </w:r>
          </w:p>
        </w:tc>
        <w:tc>
          <w:tcPr>
            <w:tcW w:w="665" w:type="pct"/>
          </w:tcPr>
          <w:p w14:paraId="27C69E77" w14:textId="1C3E7EFB" w:rsidR="00202C96" w:rsidRPr="00051030" w:rsidRDefault="00202C96" w:rsidP="00202C96">
            <w:pPr>
              <w:pStyle w:val="TableText"/>
              <w:jc w:val="center"/>
              <w:rPr>
                <w:b/>
                <w:bCs/>
                <w:highlight w:val="yellow"/>
              </w:rPr>
            </w:pPr>
            <w:r w:rsidRPr="008D0D7E">
              <w:t>$</w:t>
            </w:r>
            <w:r w:rsidRPr="008D0D7E">
              <w:rPr>
                <w:b/>
                <w:bCs/>
              </w:rPr>
              <w:t>Redacted</w:t>
            </w:r>
            <w:r w:rsidRPr="008D0D7E">
              <w:rPr>
                <w:vertAlign w:val="superscript"/>
              </w:rPr>
              <w:t>6</w:t>
            </w:r>
          </w:p>
        </w:tc>
        <w:tc>
          <w:tcPr>
            <w:tcW w:w="664" w:type="pct"/>
          </w:tcPr>
          <w:p w14:paraId="09B9F18F" w14:textId="249A1576" w:rsidR="00202C96" w:rsidRPr="00051030" w:rsidRDefault="00202C96" w:rsidP="00202C96">
            <w:pPr>
              <w:pStyle w:val="TableText"/>
              <w:jc w:val="center"/>
              <w:rPr>
                <w:b/>
                <w:bCs/>
                <w:highlight w:val="yellow"/>
              </w:rPr>
            </w:pPr>
            <w:r w:rsidRPr="004C79EC">
              <w:t>$</w:t>
            </w:r>
            <w:r w:rsidRPr="004C79EC">
              <w:rPr>
                <w:b/>
                <w:bCs/>
              </w:rPr>
              <w:t>Redacted</w:t>
            </w:r>
            <w:r w:rsidRPr="004C79EC">
              <w:rPr>
                <w:vertAlign w:val="superscript"/>
              </w:rPr>
              <w:t>1</w:t>
            </w:r>
          </w:p>
        </w:tc>
        <w:tc>
          <w:tcPr>
            <w:tcW w:w="665" w:type="pct"/>
          </w:tcPr>
          <w:p w14:paraId="3D74A283" w14:textId="46362523" w:rsidR="00202C96" w:rsidRPr="00051030" w:rsidRDefault="00202C96" w:rsidP="00202C96">
            <w:pPr>
              <w:pStyle w:val="TableText"/>
              <w:jc w:val="center"/>
              <w:rPr>
                <w:b/>
                <w:bCs/>
                <w:highlight w:val="yellow"/>
              </w:rPr>
            </w:pPr>
            <w:r w:rsidRPr="004C79EC">
              <w:t>$</w:t>
            </w:r>
            <w:r w:rsidRPr="004C79EC">
              <w:rPr>
                <w:b/>
                <w:bCs/>
              </w:rPr>
              <w:t>Redacted</w:t>
            </w:r>
            <w:r w:rsidRPr="004C79EC">
              <w:rPr>
                <w:vertAlign w:val="superscript"/>
              </w:rPr>
              <w:t>1</w:t>
            </w:r>
          </w:p>
        </w:tc>
        <w:tc>
          <w:tcPr>
            <w:tcW w:w="664" w:type="pct"/>
          </w:tcPr>
          <w:p w14:paraId="3E8B51D5" w14:textId="263B7E51" w:rsidR="00202C96" w:rsidRPr="00051030" w:rsidRDefault="00202C96" w:rsidP="00202C96">
            <w:pPr>
              <w:pStyle w:val="TableText"/>
              <w:jc w:val="center"/>
              <w:rPr>
                <w:b/>
                <w:bCs/>
                <w:highlight w:val="yellow"/>
              </w:rPr>
            </w:pPr>
            <w:r w:rsidRPr="004C79EC">
              <w:t>$</w:t>
            </w:r>
            <w:r w:rsidRPr="004C79EC">
              <w:rPr>
                <w:b/>
                <w:bCs/>
              </w:rPr>
              <w:t>Redacted</w:t>
            </w:r>
            <w:r w:rsidRPr="004C79EC">
              <w:rPr>
                <w:vertAlign w:val="superscript"/>
              </w:rPr>
              <w:t>1</w:t>
            </w:r>
          </w:p>
        </w:tc>
        <w:tc>
          <w:tcPr>
            <w:tcW w:w="661" w:type="pct"/>
          </w:tcPr>
          <w:p w14:paraId="01CF34D8" w14:textId="5369B1A8"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2</w:t>
            </w:r>
          </w:p>
        </w:tc>
      </w:tr>
      <w:tr w:rsidR="00985D8B" w:rsidRPr="00302E12" w14:paraId="360C04C9" w14:textId="77777777" w:rsidTr="00030059">
        <w:tc>
          <w:tcPr>
            <w:tcW w:w="5000" w:type="pct"/>
            <w:gridSpan w:val="7"/>
            <w:shd w:val="clear" w:color="auto" w:fill="D9D9D9" w:themeFill="background1" w:themeFillShade="D9"/>
          </w:tcPr>
          <w:p w14:paraId="5CFECD04" w14:textId="77777777" w:rsidR="004F4778" w:rsidRPr="00302E12" w:rsidRDefault="004F4778">
            <w:pPr>
              <w:pStyle w:val="TableText"/>
              <w:jc w:val="center"/>
            </w:pPr>
            <w:r w:rsidRPr="00302E12">
              <w:rPr>
                <w:b/>
                <w:bCs/>
              </w:rPr>
              <w:t>First Nations</w:t>
            </w:r>
          </w:p>
        </w:tc>
      </w:tr>
      <w:tr w:rsidR="00FC2BF2" w:rsidRPr="00302E12" w14:paraId="4574B1E9" w14:textId="77777777" w:rsidTr="00177E31">
        <w:tc>
          <w:tcPr>
            <w:tcW w:w="1017" w:type="pct"/>
          </w:tcPr>
          <w:p w14:paraId="0620649F" w14:textId="77777777" w:rsidR="004F4778" w:rsidRPr="00302E12" w:rsidRDefault="004F4778">
            <w:pPr>
              <w:pStyle w:val="TableText"/>
            </w:pPr>
            <w:r w:rsidRPr="00302E12">
              <w:t>Number of people eligible for RT-CGM</w:t>
            </w:r>
          </w:p>
        </w:tc>
        <w:tc>
          <w:tcPr>
            <w:tcW w:w="664" w:type="pct"/>
          </w:tcPr>
          <w:p w14:paraId="23C0D3D2" w14:textId="77777777" w:rsidR="004F4778" w:rsidRPr="00302E12" w:rsidRDefault="004F4778" w:rsidP="00A41C72">
            <w:pPr>
              <w:pStyle w:val="TableText"/>
              <w:jc w:val="center"/>
            </w:pPr>
            <w:r w:rsidRPr="00302E12">
              <w:t>16,821</w:t>
            </w:r>
          </w:p>
        </w:tc>
        <w:tc>
          <w:tcPr>
            <w:tcW w:w="665" w:type="pct"/>
          </w:tcPr>
          <w:p w14:paraId="378AF1A3" w14:textId="77777777" w:rsidR="004F4778" w:rsidRPr="00302E12" w:rsidRDefault="004F4778" w:rsidP="00A41C72">
            <w:pPr>
              <w:pStyle w:val="TableText"/>
              <w:jc w:val="center"/>
            </w:pPr>
            <w:r w:rsidRPr="00302E12">
              <w:t>17,190</w:t>
            </w:r>
          </w:p>
        </w:tc>
        <w:tc>
          <w:tcPr>
            <w:tcW w:w="664" w:type="pct"/>
          </w:tcPr>
          <w:p w14:paraId="6864C597" w14:textId="77777777" w:rsidR="004F4778" w:rsidRPr="00302E12" w:rsidRDefault="004F4778" w:rsidP="00A41C72">
            <w:pPr>
              <w:pStyle w:val="TableText"/>
              <w:jc w:val="center"/>
            </w:pPr>
            <w:r w:rsidRPr="00302E12">
              <w:t>17,560</w:t>
            </w:r>
          </w:p>
        </w:tc>
        <w:tc>
          <w:tcPr>
            <w:tcW w:w="665" w:type="pct"/>
          </w:tcPr>
          <w:p w14:paraId="7CFD27B7" w14:textId="77777777" w:rsidR="004F4778" w:rsidRPr="00302E12" w:rsidRDefault="004F4778" w:rsidP="00A41C72">
            <w:pPr>
              <w:pStyle w:val="TableText"/>
              <w:jc w:val="center"/>
            </w:pPr>
            <w:r w:rsidRPr="00302E12">
              <w:t>17,929</w:t>
            </w:r>
          </w:p>
        </w:tc>
        <w:tc>
          <w:tcPr>
            <w:tcW w:w="664" w:type="pct"/>
          </w:tcPr>
          <w:p w14:paraId="16E98CF9" w14:textId="77777777" w:rsidR="004F4778" w:rsidRPr="00302E12" w:rsidRDefault="004F4778" w:rsidP="00A41C72">
            <w:pPr>
              <w:pStyle w:val="TableText"/>
              <w:jc w:val="center"/>
            </w:pPr>
            <w:r w:rsidRPr="00302E12">
              <w:t>18,298</w:t>
            </w:r>
          </w:p>
        </w:tc>
        <w:tc>
          <w:tcPr>
            <w:tcW w:w="661" w:type="pct"/>
          </w:tcPr>
          <w:p w14:paraId="18D1D8BE" w14:textId="77777777" w:rsidR="004F4778" w:rsidRPr="00302E12" w:rsidRDefault="004F4778" w:rsidP="00A41C72">
            <w:pPr>
              <w:pStyle w:val="TableText"/>
              <w:jc w:val="center"/>
            </w:pPr>
            <w:r w:rsidRPr="00302E12">
              <w:t>18,667</w:t>
            </w:r>
          </w:p>
        </w:tc>
      </w:tr>
      <w:tr w:rsidR="00FC2BF2" w:rsidRPr="00302E12" w14:paraId="40A6E6BC" w14:textId="77777777" w:rsidTr="00177E31">
        <w:tc>
          <w:tcPr>
            <w:tcW w:w="1017" w:type="pct"/>
          </w:tcPr>
          <w:p w14:paraId="28DA1D06" w14:textId="77777777" w:rsidR="004F4778" w:rsidRPr="00302E12" w:rsidRDefault="004F4778">
            <w:pPr>
              <w:pStyle w:val="TableText"/>
            </w:pPr>
            <w:r w:rsidRPr="00302E12">
              <w:t>Number of people who receive RT-CGM</w:t>
            </w:r>
          </w:p>
        </w:tc>
        <w:tc>
          <w:tcPr>
            <w:tcW w:w="664" w:type="pct"/>
          </w:tcPr>
          <w:p w14:paraId="52983FCD" w14:textId="77777777" w:rsidR="004F4778" w:rsidRPr="00302E12" w:rsidRDefault="004F4778" w:rsidP="00A41C72">
            <w:pPr>
              <w:pStyle w:val="TableText"/>
              <w:jc w:val="center"/>
            </w:pPr>
            <w:r w:rsidRPr="00302E12">
              <w:t>5,887</w:t>
            </w:r>
          </w:p>
        </w:tc>
        <w:tc>
          <w:tcPr>
            <w:tcW w:w="665" w:type="pct"/>
          </w:tcPr>
          <w:p w14:paraId="35D48665" w14:textId="77777777" w:rsidR="004F4778" w:rsidRPr="00302E12" w:rsidRDefault="004F4778" w:rsidP="00A41C72">
            <w:pPr>
              <w:pStyle w:val="TableText"/>
              <w:jc w:val="center"/>
            </w:pPr>
            <w:r w:rsidRPr="00302E12">
              <w:t>7,736</w:t>
            </w:r>
          </w:p>
        </w:tc>
        <w:tc>
          <w:tcPr>
            <w:tcW w:w="664" w:type="pct"/>
          </w:tcPr>
          <w:p w14:paraId="3534B240" w14:textId="77777777" w:rsidR="004F4778" w:rsidRPr="00302E12" w:rsidRDefault="004F4778" w:rsidP="00A41C72">
            <w:pPr>
              <w:pStyle w:val="TableText"/>
              <w:jc w:val="center"/>
            </w:pPr>
            <w:r w:rsidRPr="00302E12">
              <w:t>9,658</w:t>
            </w:r>
          </w:p>
        </w:tc>
        <w:tc>
          <w:tcPr>
            <w:tcW w:w="665" w:type="pct"/>
          </w:tcPr>
          <w:p w14:paraId="41A707C2" w14:textId="77777777" w:rsidR="004F4778" w:rsidRPr="00302E12" w:rsidRDefault="004F4778" w:rsidP="00A41C72">
            <w:pPr>
              <w:pStyle w:val="TableText"/>
              <w:jc w:val="center"/>
            </w:pPr>
            <w:r w:rsidRPr="00302E12">
              <w:t>10,757</w:t>
            </w:r>
          </w:p>
        </w:tc>
        <w:tc>
          <w:tcPr>
            <w:tcW w:w="664" w:type="pct"/>
          </w:tcPr>
          <w:p w14:paraId="3FE17465" w14:textId="77777777" w:rsidR="004F4778" w:rsidRPr="00302E12" w:rsidRDefault="004F4778" w:rsidP="00A41C72">
            <w:pPr>
              <w:pStyle w:val="TableText"/>
              <w:jc w:val="center"/>
            </w:pPr>
            <w:r w:rsidRPr="00302E12">
              <w:t>11,894</w:t>
            </w:r>
          </w:p>
        </w:tc>
        <w:tc>
          <w:tcPr>
            <w:tcW w:w="661" w:type="pct"/>
          </w:tcPr>
          <w:p w14:paraId="473B1524" w14:textId="77777777" w:rsidR="004F4778" w:rsidRPr="00302E12" w:rsidRDefault="004F4778" w:rsidP="00A41C72">
            <w:pPr>
              <w:pStyle w:val="TableText"/>
              <w:jc w:val="center"/>
            </w:pPr>
            <w:r w:rsidRPr="00302E12">
              <w:t>13,067</w:t>
            </w:r>
          </w:p>
        </w:tc>
      </w:tr>
      <w:tr w:rsidR="00FC2BF2" w:rsidRPr="00302E12" w14:paraId="5AA48EE5" w14:textId="77777777" w:rsidTr="00177E31">
        <w:tc>
          <w:tcPr>
            <w:tcW w:w="1017" w:type="pct"/>
          </w:tcPr>
          <w:p w14:paraId="5DEEA046" w14:textId="77777777" w:rsidR="004F4778" w:rsidRPr="00302E12" w:rsidRDefault="004F4778">
            <w:pPr>
              <w:pStyle w:val="TableText"/>
            </w:pPr>
            <w:r w:rsidRPr="00302E12">
              <w:t>Number of Dexcom ONE+ sensor packs</w:t>
            </w:r>
          </w:p>
        </w:tc>
        <w:tc>
          <w:tcPr>
            <w:tcW w:w="664" w:type="pct"/>
          </w:tcPr>
          <w:p w14:paraId="26877F70" w14:textId="77777777" w:rsidR="004F4778" w:rsidRPr="00302E12" w:rsidRDefault="004F4778" w:rsidP="00A41C72">
            <w:pPr>
              <w:pStyle w:val="TableText"/>
              <w:jc w:val="center"/>
            </w:pPr>
            <w:r w:rsidRPr="00302E12">
              <w:t>71,629</w:t>
            </w:r>
          </w:p>
        </w:tc>
        <w:tc>
          <w:tcPr>
            <w:tcW w:w="665" w:type="pct"/>
          </w:tcPr>
          <w:p w14:paraId="3730B5A5" w14:textId="77777777" w:rsidR="004F4778" w:rsidRPr="00302E12" w:rsidRDefault="004F4778" w:rsidP="00A41C72">
            <w:pPr>
              <w:pStyle w:val="TableText"/>
              <w:jc w:val="center"/>
            </w:pPr>
            <w:r w:rsidRPr="00302E12">
              <w:t>94,116</w:t>
            </w:r>
          </w:p>
        </w:tc>
        <w:tc>
          <w:tcPr>
            <w:tcW w:w="664" w:type="pct"/>
          </w:tcPr>
          <w:p w14:paraId="62B53921" w14:textId="77777777" w:rsidR="004F4778" w:rsidRPr="00302E12" w:rsidRDefault="004F4778" w:rsidP="00A41C72">
            <w:pPr>
              <w:pStyle w:val="TableText"/>
              <w:jc w:val="center"/>
            </w:pPr>
            <w:r w:rsidRPr="00302E12">
              <w:t>117,502</w:t>
            </w:r>
          </w:p>
        </w:tc>
        <w:tc>
          <w:tcPr>
            <w:tcW w:w="665" w:type="pct"/>
          </w:tcPr>
          <w:p w14:paraId="5D5D9E0C" w14:textId="77777777" w:rsidR="004F4778" w:rsidRPr="00302E12" w:rsidRDefault="004F4778" w:rsidP="00A41C72">
            <w:pPr>
              <w:pStyle w:val="TableText"/>
              <w:jc w:val="center"/>
            </w:pPr>
            <w:r w:rsidRPr="00302E12">
              <w:t>130,880</w:t>
            </w:r>
          </w:p>
        </w:tc>
        <w:tc>
          <w:tcPr>
            <w:tcW w:w="664" w:type="pct"/>
          </w:tcPr>
          <w:p w14:paraId="6B85243F" w14:textId="77777777" w:rsidR="004F4778" w:rsidRPr="00302E12" w:rsidRDefault="004F4778" w:rsidP="00A41C72">
            <w:pPr>
              <w:pStyle w:val="TableText"/>
              <w:jc w:val="center"/>
            </w:pPr>
            <w:r w:rsidRPr="00302E12">
              <w:t>144,708</w:t>
            </w:r>
          </w:p>
        </w:tc>
        <w:tc>
          <w:tcPr>
            <w:tcW w:w="661" w:type="pct"/>
          </w:tcPr>
          <w:p w14:paraId="6DCC88AF" w14:textId="77777777" w:rsidR="004F4778" w:rsidRPr="00302E12" w:rsidRDefault="004F4778" w:rsidP="00A41C72">
            <w:pPr>
              <w:pStyle w:val="TableText"/>
              <w:jc w:val="center"/>
            </w:pPr>
            <w:r w:rsidRPr="00302E12">
              <w:t>158,984</w:t>
            </w:r>
          </w:p>
        </w:tc>
      </w:tr>
      <w:tr w:rsidR="00202C96" w:rsidRPr="00302E12" w14:paraId="0FAD6843" w14:textId="77777777" w:rsidTr="00177E31">
        <w:tc>
          <w:tcPr>
            <w:tcW w:w="1017" w:type="pct"/>
          </w:tcPr>
          <w:p w14:paraId="760AC1A0" w14:textId="35A7A2C9" w:rsidR="00202C96" w:rsidRPr="00302E12" w:rsidRDefault="00202C96" w:rsidP="00202C96">
            <w:pPr>
              <w:pStyle w:val="TableText"/>
            </w:pPr>
            <w:r w:rsidRPr="00302E12">
              <w:t xml:space="preserve">Cost </w:t>
            </w:r>
            <w:r>
              <w:t xml:space="preserve">in millions </w:t>
            </w:r>
            <w:r w:rsidRPr="00302E12">
              <w:t>to the NDSS (without co-payment)</w:t>
            </w:r>
          </w:p>
        </w:tc>
        <w:tc>
          <w:tcPr>
            <w:tcW w:w="664" w:type="pct"/>
          </w:tcPr>
          <w:p w14:paraId="15B3208C" w14:textId="4974B429" w:rsidR="00202C96" w:rsidRPr="00051030" w:rsidRDefault="00202C96" w:rsidP="00202C96">
            <w:pPr>
              <w:pStyle w:val="TableText"/>
              <w:jc w:val="center"/>
              <w:rPr>
                <w:highlight w:val="yellow"/>
              </w:rPr>
            </w:pPr>
            <w:r w:rsidRPr="00DD7B4E">
              <w:t>$</w:t>
            </w:r>
            <w:r w:rsidRPr="00DD7B4E">
              <w:rPr>
                <w:b/>
                <w:bCs/>
              </w:rPr>
              <w:t>Redacted</w:t>
            </w:r>
            <w:r w:rsidRPr="00DD7B4E">
              <w:rPr>
                <w:vertAlign w:val="superscript"/>
              </w:rPr>
              <w:t>6</w:t>
            </w:r>
          </w:p>
        </w:tc>
        <w:tc>
          <w:tcPr>
            <w:tcW w:w="665" w:type="pct"/>
          </w:tcPr>
          <w:p w14:paraId="13F4536F" w14:textId="1D305EB1" w:rsidR="00202C96" w:rsidRPr="00051030" w:rsidRDefault="00202C96" w:rsidP="00202C96">
            <w:pPr>
              <w:pStyle w:val="TableText"/>
              <w:jc w:val="center"/>
              <w:rPr>
                <w:highlight w:val="yellow"/>
              </w:rPr>
            </w:pPr>
            <w:r w:rsidRPr="00DD7B4E">
              <w:t>$</w:t>
            </w:r>
            <w:r w:rsidRPr="00DD7B4E">
              <w:rPr>
                <w:b/>
                <w:bCs/>
              </w:rPr>
              <w:t>Redacted</w:t>
            </w:r>
            <w:r w:rsidRPr="00DD7B4E">
              <w:rPr>
                <w:vertAlign w:val="superscript"/>
              </w:rPr>
              <w:t>6</w:t>
            </w:r>
          </w:p>
        </w:tc>
        <w:tc>
          <w:tcPr>
            <w:tcW w:w="664" w:type="pct"/>
          </w:tcPr>
          <w:p w14:paraId="1F31821F" w14:textId="63AD5EF3" w:rsidR="00202C96" w:rsidRPr="00051030" w:rsidRDefault="00202C96" w:rsidP="00202C96">
            <w:pPr>
              <w:pStyle w:val="TableText"/>
              <w:jc w:val="center"/>
              <w:rPr>
                <w:highlight w:val="yellow"/>
              </w:rPr>
            </w:pPr>
            <w:r w:rsidRPr="00DD7B4E">
              <w:t>$</w:t>
            </w:r>
            <w:r w:rsidRPr="00DD7B4E">
              <w:rPr>
                <w:b/>
                <w:bCs/>
              </w:rPr>
              <w:t>Redacted</w:t>
            </w:r>
            <w:r w:rsidRPr="00DD7B4E">
              <w:rPr>
                <w:vertAlign w:val="superscript"/>
              </w:rPr>
              <w:t>6</w:t>
            </w:r>
          </w:p>
        </w:tc>
        <w:tc>
          <w:tcPr>
            <w:tcW w:w="665" w:type="pct"/>
          </w:tcPr>
          <w:p w14:paraId="4959ACF6" w14:textId="0D208864" w:rsidR="00202C96" w:rsidRPr="00051030" w:rsidRDefault="00202C96" w:rsidP="00202C96">
            <w:pPr>
              <w:pStyle w:val="TableText"/>
              <w:jc w:val="center"/>
              <w:rPr>
                <w:highlight w:val="yellow"/>
              </w:rPr>
            </w:pPr>
            <w:r w:rsidRPr="004960D9">
              <w:t>$</w:t>
            </w:r>
            <w:r w:rsidRPr="004960D9">
              <w:rPr>
                <w:b/>
                <w:bCs/>
              </w:rPr>
              <w:t>Redacted</w:t>
            </w:r>
            <w:r w:rsidRPr="004960D9">
              <w:rPr>
                <w:vertAlign w:val="superscript"/>
              </w:rPr>
              <w:t>1</w:t>
            </w:r>
          </w:p>
        </w:tc>
        <w:tc>
          <w:tcPr>
            <w:tcW w:w="664" w:type="pct"/>
          </w:tcPr>
          <w:p w14:paraId="104D4112" w14:textId="341D1E53" w:rsidR="00202C96" w:rsidRPr="00051030" w:rsidRDefault="00202C96" w:rsidP="00202C96">
            <w:pPr>
              <w:pStyle w:val="TableText"/>
              <w:jc w:val="center"/>
              <w:rPr>
                <w:highlight w:val="yellow"/>
              </w:rPr>
            </w:pPr>
            <w:r w:rsidRPr="004960D9">
              <w:t>$</w:t>
            </w:r>
            <w:r w:rsidRPr="004960D9">
              <w:rPr>
                <w:b/>
                <w:bCs/>
              </w:rPr>
              <w:t>Redacted</w:t>
            </w:r>
            <w:r w:rsidRPr="004960D9">
              <w:rPr>
                <w:vertAlign w:val="superscript"/>
              </w:rPr>
              <w:t>1</w:t>
            </w:r>
          </w:p>
        </w:tc>
        <w:tc>
          <w:tcPr>
            <w:tcW w:w="661" w:type="pct"/>
          </w:tcPr>
          <w:p w14:paraId="7EC611FF" w14:textId="5C212041" w:rsidR="00202C96" w:rsidRPr="00051030" w:rsidRDefault="00202C96" w:rsidP="00202C96">
            <w:pPr>
              <w:pStyle w:val="TableText"/>
              <w:jc w:val="center"/>
              <w:rPr>
                <w:highlight w:val="yellow"/>
              </w:rPr>
            </w:pPr>
            <w:r w:rsidRPr="004960D9">
              <w:t>$</w:t>
            </w:r>
            <w:r w:rsidRPr="004960D9">
              <w:rPr>
                <w:b/>
                <w:bCs/>
              </w:rPr>
              <w:t>Redacted</w:t>
            </w:r>
            <w:r w:rsidRPr="004960D9">
              <w:rPr>
                <w:vertAlign w:val="superscript"/>
              </w:rPr>
              <w:t>1</w:t>
            </w:r>
          </w:p>
        </w:tc>
      </w:tr>
      <w:tr w:rsidR="00202C96" w:rsidRPr="00302E12" w14:paraId="089B4690" w14:textId="77777777" w:rsidTr="00177E31">
        <w:tc>
          <w:tcPr>
            <w:tcW w:w="1017" w:type="pct"/>
          </w:tcPr>
          <w:p w14:paraId="0A85994D" w14:textId="6E8A1FE5" w:rsidR="00202C96" w:rsidRPr="00302E12" w:rsidRDefault="00202C96" w:rsidP="00202C96">
            <w:pPr>
              <w:pStyle w:val="TableText"/>
            </w:pPr>
            <w:r w:rsidRPr="00302E12">
              <w:t xml:space="preserve">Cost </w:t>
            </w:r>
            <w:r>
              <w:t xml:space="preserve">in millions </w:t>
            </w:r>
            <w:r w:rsidRPr="00302E12">
              <w:t>to the NDSS (with co-payment adjusted)</w:t>
            </w:r>
          </w:p>
        </w:tc>
        <w:tc>
          <w:tcPr>
            <w:tcW w:w="664" w:type="pct"/>
          </w:tcPr>
          <w:p w14:paraId="4256D2F9" w14:textId="7DDF501A" w:rsidR="00202C96" w:rsidRPr="00051030" w:rsidRDefault="00202C96" w:rsidP="00202C96">
            <w:pPr>
              <w:pStyle w:val="TableText"/>
              <w:jc w:val="center"/>
              <w:rPr>
                <w:highlight w:val="yellow"/>
              </w:rPr>
            </w:pPr>
            <w:r w:rsidRPr="00DD7B4E">
              <w:t>$</w:t>
            </w:r>
            <w:r w:rsidRPr="00DD7B4E">
              <w:rPr>
                <w:b/>
                <w:bCs/>
              </w:rPr>
              <w:t>Redacted</w:t>
            </w:r>
            <w:r w:rsidRPr="00DD7B4E">
              <w:rPr>
                <w:vertAlign w:val="superscript"/>
              </w:rPr>
              <w:t>6</w:t>
            </w:r>
          </w:p>
        </w:tc>
        <w:tc>
          <w:tcPr>
            <w:tcW w:w="665" w:type="pct"/>
          </w:tcPr>
          <w:p w14:paraId="17E8768C" w14:textId="7B10E443" w:rsidR="00202C96" w:rsidRPr="00051030" w:rsidRDefault="00202C96" w:rsidP="00202C96">
            <w:pPr>
              <w:pStyle w:val="TableText"/>
              <w:jc w:val="center"/>
              <w:rPr>
                <w:highlight w:val="yellow"/>
              </w:rPr>
            </w:pPr>
            <w:r w:rsidRPr="00DD7B4E">
              <w:t>$</w:t>
            </w:r>
            <w:r w:rsidRPr="00DD7B4E">
              <w:rPr>
                <w:b/>
                <w:bCs/>
              </w:rPr>
              <w:t>Redacted</w:t>
            </w:r>
            <w:r w:rsidRPr="00DD7B4E">
              <w:rPr>
                <w:vertAlign w:val="superscript"/>
              </w:rPr>
              <w:t>6</w:t>
            </w:r>
          </w:p>
        </w:tc>
        <w:tc>
          <w:tcPr>
            <w:tcW w:w="664" w:type="pct"/>
          </w:tcPr>
          <w:p w14:paraId="4C189567" w14:textId="5211D10E" w:rsidR="00202C96" w:rsidRPr="00051030" w:rsidRDefault="00202C96" w:rsidP="00202C96">
            <w:pPr>
              <w:pStyle w:val="TableText"/>
              <w:jc w:val="center"/>
              <w:rPr>
                <w:highlight w:val="yellow"/>
              </w:rPr>
            </w:pPr>
            <w:r w:rsidRPr="00DD7B4E">
              <w:t>$</w:t>
            </w:r>
            <w:r w:rsidRPr="00DD7B4E">
              <w:rPr>
                <w:b/>
                <w:bCs/>
              </w:rPr>
              <w:t>Redacted</w:t>
            </w:r>
            <w:r w:rsidRPr="00DD7B4E">
              <w:rPr>
                <w:vertAlign w:val="superscript"/>
              </w:rPr>
              <w:t>6</w:t>
            </w:r>
          </w:p>
        </w:tc>
        <w:tc>
          <w:tcPr>
            <w:tcW w:w="665" w:type="pct"/>
          </w:tcPr>
          <w:p w14:paraId="66286143" w14:textId="108DE386" w:rsidR="00202C96" w:rsidRPr="00051030" w:rsidRDefault="00202C96" w:rsidP="00202C96">
            <w:pPr>
              <w:pStyle w:val="TableText"/>
              <w:jc w:val="center"/>
              <w:rPr>
                <w:highlight w:val="yellow"/>
              </w:rPr>
            </w:pPr>
            <w:r w:rsidRPr="003423B9">
              <w:t>$</w:t>
            </w:r>
            <w:r w:rsidRPr="003423B9">
              <w:rPr>
                <w:b/>
                <w:bCs/>
              </w:rPr>
              <w:t>Redacted</w:t>
            </w:r>
            <w:r w:rsidRPr="003423B9">
              <w:rPr>
                <w:vertAlign w:val="superscript"/>
              </w:rPr>
              <w:t>1</w:t>
            </w:r>
          </w:p>
        </w:tc>
        <w:tc>
          <w:tcPr>
            <w:tcW w:w="664" w:type="pct"/>
          </w:tcPr>
          <w:p w14:paraId="3628472B" w14:textId="2E5E5290" w:rsidR="00202C96" w:rsidRPr="00051030" w:rsidRDefault="00202C96" w:rsidP="00202C96">
            <w:pPr>
              <w:pStyle w:val="TableText"/>
              <w:jc w:val="center"/>
              <w:rPr>
                <w:highlight w:val="yellow"/>
              </w:rPr>
            </w:pPr>
            <w:r w:rsidRPr="003423B9">
              <w:t>$</w:t>
            </w:r>
            <w:r w:rsidRPr="003423B9">
              <w:rPr>
                <w:b/>
                <w:bCs/>
              </w:rPr>
              <w:t>Redacted</w:t>
            </w:r>
            <w:r w:rsidRPr="003423B9">
              <w:rPr>
                <w:vertAlign w:val="superscript"/>
              </w:rPr>
              <w:t>1</w:t>
            </w:r>
          </w:p>
        </w:tc>
        <w:tc>
          <w:tcPr>
            <w:tcW w:w="661" w:type="pct"/>
          </w:tcPr>
          <w:p w14:paraId="423F11D1" w14:textId="739231B4" w:rsidR="00202C96" w:rsidRPr="00051030" w:rsidRDefault="00202C96" w:rsidP="00202C96">
            <w:pPr>
              <w:pStyle w:val="TableText"/>
              <w:jc w:val="center"/>
              <w:rPr>
                <w:highlight w:val="yellow"/>
              </w:rPr>
            </w:pPr>
            <w:r w:rsidRPr="003423B9">
              <w:t>$</w:t>
            </w:r>
            <w:r w:rsidRPr="003423B9">
              <w:rPr>
                <w:b/>
                <w:bCs/>
              </w:rPr>
              <w:t>Redacted</w:t>
            </w:r>
            <w:r w:rsidRPr="003423B9">
              <w:rPr>
                <w:vertAlign w:val="superscript"/>
              </w:rPr>
              <w:t>1</w:t>
            </w:r>
          </w:p>
        </w:tc>
      </w:tr>
      <w:tr w:rsidR="00985D8B" w:rsidRPr="00302E12" w14:paraId="29BB6F56" w14:textId="77777777" w:rsidTr="00030059">
        <w:tc>
          <w:tcPr>
            <w:tcW w:w="5000" w:type="pct"/>
            <w:gridSpan w:val="7"/>
          </w:tcPr>
          <w:p w14:paraId="47EEA84D" w14:textId="77777777" w:rsidR="004F4778" w:rsidRPr="00302E12" w:rsidRDefault="004F4778">
            <w:pPr>
              <w:pStyle w:val="TableText"/>
            </w:pPr>
            <w:r w:rsidRPr="00302E12">
              <w:rPr>
                <w:b/>
                <w:bCs/>
              </w:rPr>
              <w:t>Change in use and cost of other health technologies</w:t>
            </w:r>
          </w:p>
        </w:tc>
      </w:tr>
      <w:tr w:rsidR="00FC2BF2" w:rsidRPr="00302E12" w14:paraId="743F42BB" w14:textId="77777777" w:rsidTr="00177E31">
        <w:tc>
          <w:tcPr>
            <w:tcW w:w="1017" w:type="pct"/>
          </w:tcPr>
          <w:p w14:paraId="16AAF629" w14:textId="77777777" w:rsidR="004F4778" w:rsidRPr="00302E12" w:rsidRDefault="004F4778">
            <w:pPr>
              <w:pStyle w:val="TableText"/>
            </w:pPr>
            <w:r w:rsidRPr="00302E12">
              <w:t>Total 100-strip pack replaced</w:t>
            </w:r>
          </w:p>
        </w:tc>
        <w:tc>
          <w:tcPr>
            <w:tcW w:w="664" w:type="pct"/>
          </w:tcPr>
          <w:p w14:paraId="37B2340C" w14:textId="77777777" w:rsidR="004F4778" w:rsidRPr="00302E12" w:rsidRDefault="004F4778" w:rsidP="00A41C72">
            <w:pPr>
              <w:pStyle w:val="TableText"/>
              <w:jc w:val="center"/>
            </w:pPr>
            <w:r w:rsidRPr="00302E12">
              <w:t>53,498</w:t>
            </w:r>
          </w:p>
        </w:tc>
        <w:tc>
          <w:tcPr>
            <w:tcW w:w="665" w:type="pct"/>
          </w:tcPr>
          <w:p w14:paraId="4A839031" w14:textId="77777777" w:rsidR="004F4778" w:rsidRPr="00302E12" w:rsidRDefault="004F4778" w:rsidP="00A41C72">
            <w:pPr>
              <w:pStyle w:val="TableText"/>
              <w:jc w:val="center"/>
            </w:pPr>
            <w:r w:rsidRPr="00302E12">
              <w:t>70,294</w:t>
            </w:r>
          </w:p>
        </w:tc>
        <w:tc>
          <w:tcPr>
            <w:tcW w:w="664" w:type="pct"/>
          </w:tcPr>
          <w:p w14:paraId="343F8DDB" w14:textId="77777777" w:rsidR="004F4778" w:rsidRPr="00302E12" w:rsidRDefault="004F4778" w:rsidP="00A41C72">
            <w:pPr>
              <w:pStyle w:val="TableText"/>
              <w:jc w:val="center"/>
            </w:pPr>
            <w:r w:rsidRPr="00302E12">
              <w:t>87,760</w:t>
            </w:r>
          </w:p>
        </w:tc>
        <w:tc>
          <w:tcPr>
            <w:tcW w:w="665" w:type="pct"/>
          </w:tcPr>
          <w:p w14:paraId="0531CD2C" w14:textId="77777777" w:rsidR="004F4778" w:rsidRPr="00302E12" w:rsidRDefault="004F4778" w:rsidP="00A41C72">
            <w:pPr>
              <w:pStyle w:val="TableText"/>
              <w:jc w:val="center"/>
            </w:pPr>
            <w:r w:rsidRPr="00302E12">
              <w:t>97,752</w:t>
            </w:r>
          </w:p>
        </w:tc>
        <w:tc>
          <w:tcPr>
            <w:tcW w:w="664" w:type="pct"/>
          </w:tcPr>
          <w:p w14:paraId="6298D6D1" w14:textId="77777777" w:rsidR="004F4778" w:rsidRPr="00302E12" w:rsidRDefault="004F4778" w:rsidP="00A41C72">
            <w:pPr>
              <w:pStyle w:val="TableText"/>
              <w:jc w:val="center"/>
            </w:pPr>
            <w:r w:rsidRPr="00302E12">
              <w:t>108,079</w:t>
            </w:r>
          </w:p>
        </w:tc>
        <w:tc>
          <w:tcPr>
            <w:tcW w:w="661" w:type="pct"/>
          </w:tcPr>
          <w:p w14:paraId="1C75F4DB" w14:textId="77777777" w:rsidR="004F4778" w:rsidRPr="00302E12" w:rsidRDefault="004F4778" w:rsidP="00A41C72">
            <w:pPr>
              <w:pStyle w:val="TableText"/>
              <w:jc w:val="center"/>
            </w:pPr>
            <w:r w:rsidRPr="00302E12">
              <w:t>118,742</w:t>
            </w:r>
          </w:p>
        </w:tc>
      </w:tr>
      <w:tr w:rsidR="00FC2BF2" w:rsidRPr="00302E12" w14:paraId="4F10CFE5" w14:textId="77777777" w:rsidTr="00177E31">
        <w:tc>
          <w:tcPr>
            <w:tcW w:w="1017" w:type="pct"/>
          </w:tcPr>
          <w:p w14:paraId="39F00395" w14:textId="58A401AF" w:rsidR="004F4778" w:rsidRPr="00302E12" w:rsidRDefault="004F4778">
            <w:pPr>
              <w:pStyle w:val="TableText"/>
            </w:pPr>
            <w:r w:rsidRPr="00302E12">
              <w:t>Total cost saving</w:t>
            </w:r>
            <w:r w:rsidR="00037022">
              <w:t xml:space="preserve"> (millions)</w:t>
            </w:r>
          </w:p>
        </w:tc>
        <w:tc>
          <w:tcPr>
            <w:tcW w:w="664" w:type="pct"/>
          </w:tcPr>
          <w:p w14:paraId="47C64A83" w14:textId="26E17E94" w:rsidR="004F4778" w:rsidRPr="00302E12" w:rsidRDefault="004F4778" w:rsidP="00A41C72">
            <w:pPr>
              <w:pStyle w:val="TableText"/>
              <w:jc w:val="center"/>
            </w:pPr>
            <w:r w:rsidRPr="00302E12">
              <w:t>$1</w:t>
            </w:r>
            <w:r w:rsidR="00F22D3A">
              <w:t>.0</w:t>
            </w:r>
          </w:p>
        </w:tc>
        <w:tc>
          <w:tcPr>
            <w:tcW w:w="665" w:type="pct"/>
          </w:tcPr>
          <w:p w14:paraId="1D256633" w14:textId="33C1ABBD" w:rsidR="004F4778" w:rsidRPr="00302E12" w:rsidRDefault="004F4778" w:rsidP="00A41C72">
            <w:pPr>
              <w:pStyle w:val="TableText"/>
              <w:jc w:val="center"/>
            </w:pPr>
            <w:r w:rsidRPr="00302E12">
              <w:t>$1</w:t>
            </w:r>
            <w:r w:rsidR="00F22D3A">
              <w:t>.3</w:t>
            </w:r>
          </w:p>
        </w:tc>
        <w:tc>
          <w:tcPr>
            <w:tcW w:w="664" w:type="pct"/>
          </w:tcPr>
          <w:p w14:paraId="3ECE6781" w14:textId="27E63F70" w:rsidR="004F4778" w:rsidRPr="00302E12" w:rsidRDefault="004F4778" w:rsidP="00A41C72">
            <w:pPr>
              <w:pStyle w:val="TableText"/>
              <w:jc w:val="center"/>
            </w:pPr>
            <w:r w:rsidRPr="00302E12">
              <w:t>$1</w:t>
            </w:r>
            <w:r w:rsidR="00F22D3A">
              <w:t>.7</w:t>
            </w:r>
          </w:p>
        </w:tc>
        <w:tc>
          <w:tcPr>
            <w:tcW w:w="665" w:type="pct"/>
          </w:tcPr>
          <w:p w14:paraId="0F658374" w14:textId="471C73FE" w:rsidR="004F4778" w:rsidRPr="00302E12" w:rsidRDefault="004F4778" w:rsidP="00A41C72">
            <w:pPr>
              <w:pStyle w:val="TableText"/>
              <w:jc w:val="center"/>
            </w:pPr>
            <w:r w:rsidRPr="00302E12">
              <w:t>$1</w:t>
            </w:r>
            <w:r w:rsidR="00F22D3A">
              <w:t>.9</w:t>
            </w:r>
          </w:p>
        </w:tc>
        <w:tc>
          <w:tcPr>
            <w:tcW w:w="664" w:type="pct"/>
          </w:tcPr>
          <w:p w14:paraId="4470A679" w14:textId="299ABBFB" w:rsidR="004F4778" w:rsidRPr="00302E12" w:rsidRDefault="004F4778" w:rsidP="00A41C72">
            <w:pPr>
              <w:pStyle w:val="TableText"/>
              <w:jc w:val="center"/>
            </w:pPr>
            <w:r w:rsidRPr="00302E12">
              <w:t>$2</w:t>
            </w:r>
            <w:r w:rsidR="00F22D3A">
              <w:t>.1</w:t>
            </w:r>
          </w:p>
        </w:tc>
        <w:tc>
          <w:tcPr>
            <w:tcW w:w="661" w:type="pct"/>
          </w:tcPr>
          <w:p w14:paraId="30AF45AD" w14:textId="302A4475" w:rsidR="004F4778" w:rsidRPr="00302E12" w:rsidRDefault="004F4778" w:rsidP="00A41C72">
            <w:pPr>
              <w:pStyle w:val="TableText"/>
              <w:jc w:val="center"/>
            </w:pPr>
            <w:r w:rsidRPr="00302E12">
              <w:t>$2</w:t>
            </w:r>
            <w:r w:rsidR="00501569">
              <w:t>.3</w:t>
            </w:r>
          </w:p>
        </w:tc>
      </w:tr>
      <w:tr w:rsidR="00202C96" w:rsidRPr="00302E12" w14:paraId="44118F23" w14:textId="77777777" w:rsidTr="00177E31">
        <w:tc>
          <w:tcPr>
            <w:tcW w:w="1017" w:type="pct"/>
          </w:tcPr>
          <w:p w14:paraId="53045A0F" w14:textId="5FF58EFE" w:rsidR="00202C96" w:rsidRPr="00302E12" w:rsidRDefault="00202C96" w:rsidP="00202C96">
            <w:pPr>
              <w:pStyle w:val="TableText"/>
            </w:pPr>
            <w:r w:rsidRPr="00302E12">
              <w:rPr>
                <w:b/>
                <w:bCs/>
              </w:rPr>
              <w:t>Net financial impact to the NDSS</w:t>
            </w:r>
            <w:r>
              <w:rPr>
                <w:b/>
                <w:bCs/>
              </w:rPr>
              <w:t xml:space="preserve"> (cost in millions)</w:t>
            </w:r>
          </w:p>
        </w:tc>
        <w:tc>
          <w:tcPr>
            <w:tcW w:w="664" w:type="pct"/>
          </w:tcPr>
          <w:p w14:paraId="68FFD16E" w14:textId="78F013D0" w:rsidR="00202C96" w:rsidRPr="00051030" w:rsidRDefault="00202C96" w:rsidP="00202C96">
            <w:pPr>
              <w:pStyle w:val="TableText"/>
              <w:jc w:val="center"/>
              <w:rPr>
                <w:b/>
                <w:bCs/>
                <w:highlight w:val="yellow"/>
              </w:rPr>
            </w:pPr>
            <w:r w:rsidRPr="00D44D49">
              <w:t>$</w:t>
            </w:r>
            <w:r w:rsidRPr="00D44D49">
              <w:rPr>
                <w:b/>
                <w:bCs/>
              </w:rPr>
              <w:t>Redacted</w:t>
            </w:r>
            <w:r w:rsidRPr="00D44D49">
              <w:rPr>
                <w:vertAlign w:val="superscript"/>
              </w:rPr>
              <w:t>6</w:t>
            </w:r>
          </w:p>
        </w:tc>
        <w:tc>
          <w:tcPr>
            <w:tcW w:w="665" w:type="pct"/>
          </w:tcPr>
          <w:p w14:paraId="39125CF3" w14:textId="2D350C8C" w:rsidR="00202C96" w:rsidRPr="00051030" w:rsidRDefault="00202C96" w:rsidP="00202C96">
            <w:pPr>
              <w:pStyle w:val="TableText"/>
              <w:jc w:val="center"/>
              <w:rPr>
                <w:b/>
                <w:bCs/>
                <w:highlight w:val="yellow"/>
              </w:rPr>
            </w:pPr>
            <w:r w:rsidRPr="00D44D49">
              <w:t>$</w:t>
            </w:r>
            <w:r w:rsidRPr="00D44D49">
              <w:rPr>
                <w:b/>
                <w:bCs/>
              </w:rPr>
              <w:t>Redacted</w:t>
            </w:r>
            <w:r w:rsidRPr="00D44D49">
              <w:rPr>
                <w:vertAlign w:val="superscript"/>
              </w:rPr>
              <w:t>6</w:t>
            </w:r>
          </w:p>
        </w:tc>
        <w:tc>
          <w:tcPr>
            <w:tcW w:w="664" w:type="pct"/>
          </w:tcPr>
          <w:p w14:paraId="1084B703" w14:textId="672F259B" w:rsidR="00202C96" w:rsidRPr="00051030" w:rsidRDefault="00202C96" w:rsidP="00202C96">
            <w:pPr>
              <w:pStyle w:val="TableText"/>
              <w:jc w:val="center"/>
              <w:rPr>
                <w:b/>
                <w:bCs/>
                <w:highlight w:val="yellow"/>
              </w:rPr>
            </w:pPr>
            <w:r w:rsidRPr="00D44D49">
              <w:t>$</w:t>
            </w:r>
            <w:r w:rsidRPr="00D44D49">
              <w:rPr>
                <w:b/>
                <w:bCs/>
              </w:rPr>
              <w:t>Redacted</w:t>
            </w:r>
            <w:r w:rsidRPr="00D44D49">
              <w:rPr>
                <w:vertAlign w:val="superscript"/>
              </w:rPr>
              <w:t>6</w:t>
            </w:r>
          </w:p>
        </w:tc>
        <w:tc>
          <w:tcPr>
            <w:tcW w:w="665" w:type="pct"/>
          </w:tcPr>
          <w:p w14:paraId="4E6DB4AC" w14:textId="16C2A7D8" w:rsidR="00202C96" w:rsidRPr="00051030" w:rsidRDefault="00202C96" w:rsidP="00202C96">
            <w:pPr>
              <w:pStyle w:val="TableText"/>
              <w:jc w:val="center"/>
              <w:rPr>
                <w:b/>
                <w:bCs/>
                <w:highlight w:val="yellow"/>
              </w:rPr>
            </w:pPr>
            <w:r w:rsidRPr="00D44D49">
              <w:t>$</w:t>
            </w:r>
            <w:r w:rsidRPr="00D44D49">
              <w:rPr>
                <w:b/>
                <w:bCs/>
              </w:rPr>
              <w:t>Redacted</w:t>
            </w:r>
            <w:r w:rsidRPr="00D44D49">
              <w:rPr>
                <w:vertAlign w:val="superscript"/>
              </w:rPr>
              <w:t>6</w:t>
            </w:r>
          </w:p>
        </w:tc>
        <w:tc>
          <w:tcPr>
            <w:tcW w:w="664" w:type="pct"/>
          </w:tcPr>
          <w:p w14:paraId="61B9085E" w14:textId="44ADB899" w:rsidR="00202C96" w:rsidRPr="00051030" w:rsidRDefault="00202C96" w:rsidP="00202C96">
            <w:pPr>
              <w:pStyle w:val="TableText"/>
              <w:jc w:val="center"/>
              <w:rPr>
                <w:b/>
                <w:bCs/>
                <w:highlight w:val="yellow"/>
              </w:rPr>
            </w:pPr>
            <w:r w:rsidRPr="00865E21">
              <w:t>$</w:t>
            </w:r>
            <w:r w:rsidRPr="00865E21">
              <w:rPr>
                <w:b/>
                <w:bCs/>
              </w:rPr>
              <w:t>Redacted</w:t>
            </w:r>
            <w:r w:rsidRPr="00865E21">
              <w:rPr>
                <w:vertAlign w:val="superscript"/>
              </w:rPr>
              <w:t>1</w:t>
            </w:r>
          </w:p>
        </w:tc>
        <w:tc>
          <w:tcPr>
            <w:tcW w:w="661" w:type="pct"/>
          </w:tcPr>
          <w:p w14:paraId="1282EED8" w14:textId="578FA916" w:rsidR="00202C96" w:rsidRPr="00051030" w:rsidRDefault="00202C96" w:rsidP="00202C96">
            <w:pPr>
              <w:pStyle w:val="TableText"/>
              <w:jc w:val="center"/>
              <w:rPr>
                <w:b/>
                <w:bCs/>
                <w:highlight w:val="yellow"/>
              </w:rPr>
            </w:pPr>
            <w:r w:rsidRPr="00865E21">
              <w:t>$</w:t>
            </w:r>
            <w:r w:rsidRPr="00865E21">
              <w:rPr>
                <w:b/>
                <w:bCs/>
              </w:rPr>
              <w:t>Redacted</w:t>
            </w:r>
            <w:r w:rsidRPr="00865E21">
              <w:rPr>
                <w:vertAlign w:val="superscript"/>
              </w:rPr>
              <w:t>1</w:t>
            </w:r>
          </w:p>
        </w:tc>
      </w:tr>
      <w:tr w:rsidR="00202C96" w:rsidRPr="00302E12" w14:paraId="0423E31F" w14:textId="77777777" w:rsidTr="00177E31">
        <w:tc>
          <w:tcPr>
            <w:tcW w:w="1017" w:type="pct"/>
          </w:tcPr>
          <w:p w14:paraId="70AD142B" w14:textId="029FAF85" w:rsidR="00202C96" w:rsidRPr="00302E12" w:rsidRDefault="00202C96" w:rsidP="00202C96">
            <w:pPr>
              <w:pStyle w:val="TableText"/>
              <w:rPr>
                <w:b/>
                <w:bCs/>
              </w:rPr>
            </w:pPr>
            <w:r w:rsidRPr="00302E12">
              <w:rPr>
                <w:b/>
                <w:bCs/>
              </w:rPr>
              <w:t>Overall net impact to NDSS (inclu</w:t>
            </w:r>
            <w:r>
              <w:rPr>
                <w:b/>
                <w:bCs/>
              </w:rPr>
              <w:t>ding</w:t>
            </w:r>
            <w:r w:rsidRPr="00302E12">
              <w:rPr>
                <w:b/>
                <w:bCs/>
              </w:rPr>
              <w:t xml:space="preserve"> complication avoidance cost saving)*</w:t>
            </w:r>
            <w:r>
              <w:rPr>
                <w:b/>
                <w:bCs/>
              </w:rPr>
              <w:t xml:space="preserve"> (cost in millions)</w:t>
            </w:r>
          </w:p>
        </w:tc>
        <w:tc>
          <w:tcPr>
            <w:tcW w:w="664" w:type="pct"/>
          </w:tcPr>
          <w:p w14:paraId="3AEBA963" w14:textId="3D569339"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7</w:t>
            </w:r>
          </w:p>
        </w:tc>
        <w:tc>
          <w:tcPr>
            <w:tcW w:w="665" w:type="pct"/>
          </w:tcPr>
          <w:p w14:paraId="7DCE06DD" w14:textId="3D5AD091" w:rsidR="00202C96" w:rsidRPr="00051030" w:rsidRDefault="00202C96" w:rsidP="00202C96">
            <w:pPr>
              <w:pStyle w:val="TableText"/>
              <w:jc w:val="center"/>
              <w:rPr>
                <w:b/>
                <w:bCs/>
                <w:highlight w:val="yellow"/>
              </w:rPr>
            </w:pPr>
            <w:r w:rsidRPr="00F03F09">
              <w:t>$</w:t>
            </w:r>
            <w:r w:rsidRPr="00F03F09">
              <w:rPr>
                <w:b/>
                <w:bCs/>
              </w:rPr>
              <w:t>Redacted</w:t>
            </w:r>
            <w:r w:rsidRPr="00F03F09">
              <w:rPr>
                <w:vertAlign w:val="superscript"/>
              </w:rPr>
              <w:t>7</w:t>
            </w:r>
          </w:p>
        </w:tc>
        <w:tc>
          <w:tcPr>
            <w:tcW w:w="664" w:type="pct"/>
          </w:tcPr>
          <w:p w14:paraId="63EA4C8F" w14:textId="600022DD" w:rsidR="00202C96" w:rsidRPr="00051030" w:rsidRDefault="00202C96" w:rsidP="00202C96">
            <w:pPr>
              <w:pStyle w:val="TableText"/>
              <w:jc w:val="center"/>
              <w:rPr>
                <w:b/>
                <w:bCs/>
                <w:highlight w:val="yellow"/>
              </w:rPr>
            </w:pPr>
            <w:r w:rsidRPr="00F03F09">
              <w:t>$</w:t>
            </w:r>
            <w:r w:rsidRPr="00F03F09">
              <w:rPr>
                <w:b/>
                <w:bCs/>
              </w:rPr>
              <w:t>Redacted</w:t>
            </w:r>
            <w:r w:rsidRPr="00F03F09">
              <w:rPr>
                <w:vertAlign w:val="superscript"/>
              </w:rPr>
              <w:t>7</w:t>
            </w:r>
          </w:p>
        </w:tc>
        <w:tc>
          <w:tcPr>
            <w:tcW w:w="665" w:type="pct"/>
          </w:tcPr>
          <w:p w14:paraId="2E8808F4" w14:textId="00467079" w:rsidR="00202C96" w:rsidRPr="00051030" w:rsidRDefault="00202C96" w:rsidP="00202C96">
            <w:pPr>
              <w:pStyle w:val="TableText"/>
              <w:jc w:val="center"/>
              <w:rPr>
                <w:b/>
                <w:bCs/>
                <w:highlight w:val="yellow"/>
              </w:rPr>
            </w:pPr>
            <w:r w:rsidRPr="00D00A1B">
              <w:t>$</w:t>
            </w:r>
            <w:r w:rsidRPr="00D00A1B">
              <w:rPr>
                <w:b/>
                <w:bCs/>
              </w:rPr>
              <w:t>Redacted</w:t>
            </w:r>
            <w:r w:rsidRPr="00D00A1B">
              <w:rPr>
                <w:vertAlign w:val="superscript"/>
              </w:rPr>
              <w:t>6</w:t>
            </w:r>
          </w:p>
        </w:tc>
        <w:tc>
          <w:tcPr>
            <w:tcW w:w="664" w:type="pct"/>
          </w:tcPr>
          <w:p w14:paraId="33CC4DE9" w14:textId="295592EC" w:rsidR="00202C96" w:rsidRPr="00051030" w:rsidRDefault="00202C96" w:rsidP="00202C96">
            <w:pPr>
              <w:pStyle w:val="TableText"/>
              <w:jc w:val="center"/>
              <w:rPr>
                <w:b/>
                <w:bCs/>
                <w:highlight w:val="yellow"/>
              </w:rPr>
            </w:pPr>
            <w:r w:rsidRPr="00D00A1B">
              <w:t>$</w:t>
            </w:r>
            <w:r w:rsidRPr="00D00A1B">
              <w:rPr>
                <w:b/>
                <w:bCs/>
              </w:rPr>
              <w:t>Redacted</w:t>
            </w:r>
            <w:r w:rsidRPr="00D00A1B">
              <w:rPr>
                <w:vertAlign w:val="superscript"/>
              </w:rPr>
              <w:t>6</w:t>
            </w:r>
          </w:p>
        </w:tc>
        <w:tc>
          <w:tcPr>
            <w:tcW w:w="661" w:type="pct"/>
          </w:tcPr>
          <w:p w14:paraId="3FD5B23F" w14:textId="52F22DB8" w:rsidR="00202C96" w:rsidRPr="00051030" w:rsidRDefault="00202C96" w:rsidP="00202C96">
            <w:pPr>
              <w:pStyle w:val="TableText"/>
              <w:jc w:val="center"/>
              <w:rPr>
                <w:b/>
                <w:bCs/>
                <w:highlight w:val="yellow"/>
              </w:rPr>
            </w:pPr>
            <w:r w:rsidRPr="00D00A1B">
              <w:t>$</w:t>
            </w:r>
            <w:r w:rsidRPr="00D00A1B">
              <w:rPr>
                <w:b/>
                <w:bCs/>
              </w:rPr>
              <w:t>Redacted</w:t>
            </w:r>
            <w:r w:rsidRPr="00D00A1B">
              <w:rPr>
                <w:vertAlign w:val="superscript"/>
              </w:rPr>
              <w:t>6</w:t>
            </w:r>
          </w:p>
        </w:tc>
      </w:tr>
      <w:tr w:rsidR="00985D8B" w:rsidRPr="00302E12" w14:paraId="1FDFD09C" w14:textId="77777777" w:rsidTr="00030059">
        <w:tc>
          <w:tcPr>
            <w:tcW w:w="5000" w:type="pct"/>
            <w:gridSpan w:val="7"/>
            <w:shd w:val="clear" w:color="auto" w:fill="D9D9D9" w:themeFill="background1" w:themeFillShade="D9"/>
          </w:tcPr>
          <w:p w14:paraId="6FCCD3A2" w14:textId="2404D6EA" w:rsidR="004F4778" w:rsidRPr="00302E12" w:rsidRDefault="004F4778">
            <w:pPr>
              <w:pStyle w:val="TableText"/>
              <w:jc w:val="center"/>
            </w:pPr>
            <w:r w:rsidRPr="00302E12">
              <w:rPr>
                <w:b/>
                <w:bCs/>
              </w:rPr>
              <w:t>GDM</w:t>
            </w:r>
          </w:p>
        </w:tc>
      </w:tr>
      <w:tr w:rsidR="00FC2BF2" w:rsidRPr="00302E12" w14:paraId="0F1BDE88" w14:textId="77777777" w:rsidTr="00177E31">
        <w:tc>
          <w:tcPr>
            <w:tcW w:w="1017" w:type="pct"/>
          </w:tcPr>
          <w:p w14:paraId="6852B3BB" w14:textId="77777777" w:rsidR="004F4778" w:rsidRPr="00302E12" w:rsidRDefault="004F4778">
            <w:pPr>
              <w:pStyle w:val="TableText"/>
            </w:pPr>
            <w:r w:rsidRPr="00302E12">
              <w:t>Number of people eligible for RT-CGM</w:t>
            </w:r>
          </w:p>
        </w:tc>
        <w:tc>
          <w:tcPr>
            <w:tcW w:w="664" w:type="pct"/>
          </w:tcPr>
          <w:p w14:paraId="47C5FC94" w14:textId="77777777" w:rsidR="004F4778" w:rsidRPr="00302E12" w:rsidRDefault="004F4778" w:rsidP="00A41C72">
            <w:pPr>
              <w:pStyle w:val="TableText"/>
              <w:jc w:val="center"/>
            </w:pPr>
            <w:r w:rsidRPr="00302E12">
              <w:t>33,405</w:t>
            </w:r>
          </w:p>
        </w:tc>
        <w:tc>
          <w:tcPr>
            <w:tcW w:w="665" w:type="pct"/>
          </w:tcPr>
          <w:p w14:paraId="117785F9" w14:textId="77777777" w:rsidR="004F4778" w:rsidRPr="00302E12" w:rsidRDefault="004F4778" w:rsidP="00A41C72">
            <w:pPr>
              <w:pStyle w:val="TableText"/>
              <w:jc w:val="center"/>
            </w:pPr>
            <w:r w:rsidRPr="00302E12">
              <w:t>33,405</w:t>
            </w:r>
          </w:p>
        </w:tc>
        <w:tc>
          <w:tcPr>
            <w:tcW w:w="664" w:type="pct"/>
          </w:tcPr>
          <w:p w14:paraId="315B4A85" w14:textId="77777777" w:rsidR="004F4778" w:rsidRPr="00302E12" w:rsidRDefault="004F4778" w:rsidP="00A41C72">
            <w:pPr>
              <w:pStyle w:val="TableText"/>
              <w:jc w:val="center"/>
            </w:pPr>
            <w:r w:rsidRPr="00302E12">
              <w:t>33,405</w:t>
            </w:r>
          </w:p>
        </w:tc>
        <w:tc>
          <w:tcPr>
            <w:tcW w:w="665" w:type="pct"/>
          </w:tcPr>
          <w:p w14:paraId="1646987A" w14:textId="77777777" w:rsidR="004F4778" w:rsidRPr="00302E12" w:rsidRDefault="004F4778" w:rsidP="00A41C72">
            <w:pPr>
              <w:pStyle w:val="TableText"/>
              <w:jc w:val="center"/>
            </w:pPr>
            <w:r w:rsidRPr="00302E12">
              <w:t>33,405</w:t>
            </w:r>
          </w:p>
        </w:tc>
        <w:tc>
          <w:tcPr>
            <w:tcW w:w="664" w:type="pct"/>
          </w:tcPr>
          <w:p w14:paraId="2D5430BA" w14:textId="77777777" w:rsidR="004F4778" w:rsidRPr="00302E12" w:rsidRDefault="004F4778" w:rsidP="00A41C72">
            <w:pPr>
              <w:pStyle w:val="TableText"/>
              <w:jc w:val="center"/>
            </w:pPr>
            <w:r w:rsidRPr="00302E12">
              <w:t>33,405</w:t>
            </w:r>
          </w:p>
        </w:tc>
        <w:tc>
          <w:tcPr>
            <w:tcW w:w="661" w:type="pct"/>
          </w:tcPr>
          <w:p w14:paraId="11DE1016" w14:textId="77777777" w:rsidR="004F4778" w:rsidRPr="00302E12" w:rsidRDefault="004F4778" w:rsidP="00A41C72">
            <w:pPr>
              <w:pStyle w:val="TableText"/>
              <w:jc w:val="center"/>
            </w:pPr>
            <w:r w:rsidRPr="00302E12">
              <w:t>33,405</w:t>
            </w:r>
          </w:p>
        </w:tc>
      </w:tr>
      <w:tr w:rsidR="00FC2BF2" w:rsidRPr="00302E12" w14:paraId="35DEC3A0" w14:textId="77777777" w:rsidTr="00177E31">
        <w:tc>
          <w:tcPr>
            <w:tcW w:w="1017" w:type="pct"/>
          </w:tcPr>
          <w:p w14:paraId="3B34C646" w14:textId="77777777" w:rsidR="004F4778" w:rsidRPr="00302E12" w:rsidRDefault="004F4778">
            <w:pPr>
              <w:pStyle w:val="TableText"/>
            </w:pPr>
            <w:r w:rsidRPr="00302E12">
              <w:t>Number of people who receive RT-CGM</w:t>
            </w:r>
          </w:p>
        </w:tc>
        <w:tc>
          <w:tcPr>
            <w:tcW w:w="664" w:type="pct"/>
          </w:tcPr>
          <w:p w14:paraId="72A72E1D" w14:textId="77777777" w:rsidR="004F4778" w:rsidRPr="00302E12" w:rsidRDefault="004F4778" w:rsidP="00A41C72">
            <w:pPr>
              <w:pStyle w:val="TableText"/>
              <w:jc w:val="center"/>
            </w:pPr>
            <w:r w:rsidRPr="00302E12">
              <w:t>20,043</w:t>
            </w:r>
          </w:p>
        </w:tc>
        <w:tc>
          <w:tcPr>
            <w:tcW w:w="665" w:type="pct"/>
          </w:tcPr>
          <w:p w14:paraId="12A101B4" w14:textId="77777777" w:rsidR="004F4778" w:rsidRPr="00302E12" w:rsidRDefault="004F4778" w:rsidP="00A41C72">
            <w:pPr>
              <w:pStyle w:val="TableText"/>
              <w:jc w:val="center"/>
            </w:pPr>
            <w:r w:rsidRPr="00302E12">
              <w:t>22,715</w:t>
            </w:r>
          </w:p>
        </w:tc>
        <w:tc>
          <w:tcPr>
            <w:tcW w:w="664" w:type="pct"/>
          </w:tcPr>
          <w:p w14:paraId="45CB10E9" w14:textId="77777777" w:rsidR="004F4778" w:rsidRPr="00302E12" w:rsidRDefault="004F4778" w:rsidP="00A41C72">
            <w:pPr>
              <w:pStyle w:val="TableText"/>
              <w:jc w:val="center"/>
            </w:pPr>
            <w:r w:rsidRPr="00302E12">
              <w:t>24,052</w:t>
            </w:r>
          </w:p>
        </w:tc>
        <w:tc>
          <w:tcPr>
            <w:tcW w:w="665" w:type="pct"/>
          </w:tcPr>
          <w:p w14:paraId="1A548F2B" w14:textId="77777777" w:rsidR="004F4778" w:rsidRPr="00302E12" w:rsidRDefault="004F4778" w:rsidP="00A41C72">
            <w:pPr>
              <w:pStyle w:val="TableText"/>
              <w:jc w:val="center"/>
            </w:pPr>
            <w:r w:rsidRPr="00302E12">
              <w:t>25,054</w:t>
            </w:r>
          </w:p>
        </w:tc>
        <w:tc>
          <w:tcPr>
            <w:tcW w:w="664" w:type="pct"/>
          </w:tcPr>
          <w:p w14:paraId="390513E7" w14:textId="77777777" w:rsidR="004F4778" w:rsidRPr="00302E12" w:rsidRDefault="004F4778" w:rsidP="00A41C72">
            <w:pPr>
              <w:pStyle w:val="TableText"/>
              <w:jc w:val="center"/>
            </w:pPr>
            <w:r w:rsidRPr="00302E12">
              <w:t>26,390</w:t>
            </w:r>
          </w:p>
        </w:tc>
        <w:tc>
          <w:tcPr>
            <w:tcW w:w="661" w:type="pct"/>
          </w:tcPr>
          <w:p w14:paraId="12D95000" w14:textId="77777777" w:rsidR="004F4778" w:rsidRPr="00302E12" w:rsidRDefault="004F4778" w:rsidP="00A41C72">
            <w:pPr>
              <w:pStyle w:val="TableText"/>
              <w:jc w:val="center"/>
            </w:pPr>
            <w:r w:rsidRPr="00302E12">
              <w:t>26,724</w:t>
            </w:r>
          </w:p>
        </w:tc>
      </w:tr>
      <w:tr w:rsidR="00FC2BF2" w:rsidRPr="00302E12" w14:paraId="30366FBF" w14:textId="77777777" w:rsidTr="00177E31">
        <w:tc>
          <w:tcPr>
            <w:tcW w:w="1017" w:type="pct"/>
          </w:tcPr>
          <w:p w14:paraId="3E03B0BC" w14:textId="77777777" w:rsidR="004F4778" w:rsidRPr="00302E12" w:rsidRDefault="004F4778">
            <w:pPr>
              <w:pStyle w:val="TableText"/>
            </w:pPr>
            <w:r w:rsidRPr="00302E12">
              <w:t>Number of Dexcom ONE+ sensor packs</w:t>
            </w:r>
          </w:p>
        </w:tc>
        <w:tc>
          <w:tcPr>
            <w:tcW w:w="664" w:type="pct"/>
          </w:tcPr>
          <w:p w14:paraId="2E9FED72" w14:textId="77777777" w:rsidR="004F4778" w:rsidRPr="00302E12" w:rsidRDefault="004F4778" w:rsidP="00A41C72">
            <w:pPr>
              <w:pStyle w:val="TableText"/>
              <w:jc w:val="center"/>
            </w:pPr>
            <w:r w:rsidRPr="00302E12">
              <w:t>60,129</w:t>
            </w:r>
          </w:p>
        </w:tc>
        <w:tc>
          <w:tcPr>
            <w:tcW w:w="665" w:type="pct"/>
          </w:tcPr>
          <w:p w14:paraId="4864FD63" w14:textId="77777777" w:rsidR="004F4778" w:rsidRPr="00302E12" w:rsidRDefault="004F4778" w:rsidP="00A41C72">
            <w:pPr>
              <w:pStyle w:val="TableText"/>
              <w:jc w:val="center"/>
            </w:pPr>
            <w:r w:rsidRPr="00302E12">
              <w:t>68,146</w:t>
            </w:r>
          </w:p>
        </w:tc>
        <w:tc>
          <w:tcPr>
            <w:tcW w:w="664" w:type="pct"/>
          </w:tcPr>
          <w:p w14:paraId="6559AA09" w14:textId="77777777" w:rsidR="004F4778" w:rsidRPr="00302E12" w:rsidRDefault="004F4778" w:rsidP="00A41C72">
            <w:pPr>
              <w:pStyle w:val="TableText"/>
              <w:jc w:val="center"/>
            </w:pPr>
            <w:r w:rsidRPr="00302E12">
              <w:t>72,155</w:t>
            </w:r>
          </w:p>
        </w:tc>
        <w:tc>
          <w:tcPr>
            <w:tcW w:w="665" w:type="pct"/>
          </w:tcPr>
          <w:p w14:paraId="3BDD0AC3" w14:textId="77777777" w:rsidR="004F4778" w:rsidRPr="00302E12" w:rsidRDefault="004F4778" w:rsidP="00A41C72">
            <w:pPr>
              <w:pStyle w:val="TableText"/>
              <w:jc w:val="center"/>
            </w:pPr>
            <w:r w:rsidRPr="00302E12">
              <w:t>75,161</w:t>
            </w:r>
          </w:p>
        </w:tc>
        <w:tc>
          <w:tcPr>
            <w:tcW w:w="664" w:type="pct"/>
          </w:tcPr>
          <w:p w14:paraId="29F2BF78" w14:textId="77777777" w:rsidR="004F4778" w:rsidRPr="00302E12" w:rsidRDefault="004F4778" w:rsidP="00A41C72">
            <w:pPr>
              <w:pStyle w:val="TableText"/>
              <w:jc w:val="center"/>
            </w:pPr>
            <w:r w:rsidRPr="00302E12">
              <w:t>79,170</w:t>
            </w:r>
          </w:p>
        </w:tc>
        <w:tc>
          <w:tcPr>
            <w:tcW w:w="661" w:type="pct"/>
          </w:tcPr>
          <w:p w14:paraId="60A83642" w14:textId="77777777" w:rsidR="004F4778" w:rsidRPr="00302E12" w:rsidRDefault="004F4778" w:rsidP="00A41C72">
            <w:pPr>
              <w:pStyle w:val="TableText"/>
              <w:jc w:val="center"/>
            </w:pPr>
            <w:r w:rsidRPr="00302E12">
              <w:t>80,172</w:t>
            </w:r>
          </w:p>
        </w:tc>
      </w:tr>
      <w:tr w:rsidR="00202C96" w:rsidRPr="00302E12" w14:paraId="36244FD4" w14:textId="77777777" w:rsidTr="00177E31">
        <w:tc>
          <w:tcPr>
            <w:tcW w:w="1017" w:type="pct"/>
          </w:tcPr>
          <w:p w14:paraId="3369D033" w14:textId="45828885" w:rsidR="00202C96" w:rsidRPr="00302E12" w:rsidRDefault="00202C96" w:rsidP="00202C96">
            <w:pPr>
              <w:pStyle w:val="TableText"/>
            </w:pPr>
            <w:r w:rsidRPr="00302E12">
              <w:t xml:space="preserve">Cost </w:t>
            </w:r>
            <w:r>
              <w:t xml:space="preserve">in millions </w:t>
            </w:r>
            <w:r w:rsidRPr="00302E12">
              <w:t>to the NDSS (without co-payment)</w:t>
            </w:r>
          </w:p>
        </w:tc>
        <w:tc>
          <w:tcPr>
            <w:tcW w:w="664" w:type="pct"/>
          </w:tcPr>
          <w:p w14:paraId="7D64F7E2" w14:textId="379DF606" w:rsidR="00202C96" w:rsidRPr="00051030" w:rsidRDefault="00202C96" w:rsidP="00202C96">
            <w:pPr>
              <w:pStyle w:val="TableText"/>
              <w:jc w:val="center"/>
              <w:rPr>
                <w:highlight w:val="yellow"/>
              </w:rPr>
            </w:pPr>
            <w:r w:rsidRPr="006B30CE">
              <w:t>$</w:t>
            </w:r>
            <w:r w:rsidRPr="006B30CE">
              <w:rPr>
                <w:b/>
                <w:bCs/>
              </w:rPr>
              <w:t>Redacted</w:t>
            </w:r>
            <w:r w:rsidRPr="006B30CE">
              <w:rPr>
                <w:vertAlign w:val="superscript"/>
              </w:rPr>
              <w:t>7</w:t>
            </w:r>
          </w:p>
        </w:tc>
        <w:tc>
          <w:tcPr>
            <w:tcW w:w="665" w:type="pct"/>
          </w:tcPr>
          <w:p w14:paraId="2586A49F" w14:textId="41F421D7" w:rsidR="00202C96" w:rsidRPr="00051030" w:rsidRDefault="00202C96" w:rsidP="00202C96">
            <w:pPr>
              <w:pStyle w:val="TableText"/>
              <w:jc w:val="center"/>
              <w:rPr>
                <w:highlight w:val="yellow"/>
              </w:rPr>
            </w:pPr>
            <w:r w:rsidRPr="00240B2E">
              <w:t>$</w:t>
            </w:r>
            <w:r w:rsidRPr="00240B2E">
              <w:rPr>
                <w:b/>
                <w:bCs/>
              </w:rPr>
              <w:t>Redacted</w:t>
            </w:r>
            <w:r w:rsidRPr="00240B2E">
              <w:rPr>
                <w:vertAlign w:val="superscript"/>
              </w:rPr>
              <w:t>6</w:t>
            </w:r>
          </w:p>
        </w:tc>
        <w:tc>
          <w:tcPr>
            <w:tcW w:w="664" w:type="pct"/>
          </w:tcPr>
          <w:p w14:paraId="396623A1" w14:textId="4DC310E4" w:rsidR="00202C96" w:rsidRPr="00051030" w:rsidRDefault="00202C96" w:rsidP="00202C96">
            <w:pPr>
              <w:pStyle w:val="TableText"/>
              <w:jc w:val="center"/>
              <w:rPr>
                <w:highlight w:val="yellow"/>
              </w:rPr>
            </w:pPr>
            <w:r w:rsidRPr="00240B2E">
              <w:t>$</w:t>
            </w:r>
            <w:r w:rsidRPr="00240B2E">
              <w:rPr>
                <w:b/>
                <w:bCs/>
              </w:rPr>
              <w:t>Redacted</w:t>
            </w:r>
            <w:r w:rsidRPr="00240B2E">
              <w:rPr>
                <w:vertAlign w:val="superscript"/>
              </w:rPr>
              <w:t>6</w:t>
            </w:r>
          </w:p>
        </w:tc>
        <w:tc>
          <w:tcPr>
            <w:tcW w:w="665" w:type="pct"/>
          </w:tcPr>
          <w:p w14:paraId="1E71B65A" w14:textId="4F6BE839" w:rsidR="00202C96" w:rsidRPr="00051030" w:rsidRDefault="00202C96" w:rsidP="00202C96">
            <w:pPr>
              <w:pStyle w:val="TableText"/>
              <w:jc w:val="center"/>
              <w:rPr>
                <w:highlight w:val="yellow"/>
              </w:rPr>
            </w:pPr>
            <w:r w:rsidRPr="00240B2E">
              <w:t>$</w:t>
            </w:r>
            <w:r w:rsidRPr="00240B2E">
              <w:rPr>
                <w:b/>
                <w:bCs/>
              </w:rPr>
              <w:t>Redacted</w:t>
            </w:r>
            <w:r w:rsidRPr="00240B2E">
              <w:rPr>
                <w:vertAlign w:val="superscript"/>
              </w:rPr>
              <w:t>6</w:t>
            </w:r>
          </w:p>
        </w:tc>
        <w:tc>
          <w:tcPr>
            <w:tcW w:w="664" w:type="pct"/>
          </w:tcPr>
          <w:p w14:paraId="0B6D4C87" w14:textId="79B8B409" w:rsidR="00202C96" w:rsidRPr="00051030" w:rsidRDefault="00202C96" w:rsidP="00202C96">
            <w:pPr>
              <w:pStyle w:val="TableText"/>
              <w:jc w:val="center"/>
              <w:rPr>
                <w:highlight w:val="yellow"/>
              </w:rPr>
            </w:pPr>
            <w:r w:rsidRPr="00240B2E">
              <w:t>$</w:t>
            </w:r>
            <w:r w:rsidRPr="00240B2E">
              <w:rPr>
                <w:b/>
                <w:bCs/>
              </w:rPr>
              <w:t>Redacted</w:t>
            </w:r>
            <w:r w:rsidRPr="00240B2E">
              <w:rPr>
                <w:vertAlign w:val="superscript"/>
              </w:rPr>
              <w:t>6</w:t>
            </w:r>
          </w:p>
        </w:tc>
        <w:tc>
          <w:tcPr>
            <w:tcW w:w="661" w:type="pct"/>
          </w:tcPr>
          <w:p w14:paraId="7B1D8280" w14:textId="3DDFBB99" w:rsidR="00202C96" w:rsidRPr="00051030" w:rsidRDefault="00202C96" w:rsidP="00202C96">
            <w:pPr>
              <w:pStyle w:val="TableText"/>
              <w:jc w:val="center"/>
              <w:rPr>
                <w:highlight w:val="yellow"/>
              </w:rPr>
            </w:pPr>
            <w:r w:rsidRPr="00240B2E">
              <w:t>$</w:t>
            </w:r>
            <w:r w:rsidRPr="00240B2E">
              <w:rPr>
                <w:b/>
                <w:bCs/>
              </w:rPr>
              <w:t>Redacted</w:t>
            </w:r>
            <w:r w:rsidRPr="00240B2E">
              <w:rPr>
                <w:vertAlign w:val="superscript"/>
              </w:rPr>
              <w:t>6</w:t>
            </w:r>
          </w:p>
        </w:tc>
      </w:tr>
      <w:tr w:rsidR="00202C96" w:rsidRPr="00302E12" w14:paraId="187225AD" w14:textId="77777777" w:rsidTr="00177E31">
        <w:tc>
          <w:tcPr>
            <w:tcW w:w="1017" w:type="pct"/>
          </w:tcPr>
          <w:p w14:paraId="2A173E13" w14:textId="4D7901D4" w:rsidR="00202C96" w:rsidRPr="00302E12" w:rsidRDefault="00202C96" w:rsidP="00202C96">
            <w:pPr>
              <w:pStyle w:val="TableText"/>
            </w:pPr>
            <w:r w:rsidRPr="00302E12">
              <w:t xml:space="preserve">Cost </w:t>
            </w:r>
            <w:r>
              <w:t xml:space="preserve">in millions </w:t>
            </w:r>
            <w:r w:rsidRPr="00302E12">
              <w:t>to the NDSS (with co-payment adjusted)</w:t>
            </w:r>
          </w:p>
        </w:tc>
        <w:tc>
          <w:tcPr>
            <w:tcW w:w="664" w:type="pct"/>
          </w:tcPr>
          <w:p w14:paraId="58B5325F" w14:textId="4B2CC003" w:rsidR="00202C96" w:rsidRPr="00051030" w:rsidRDefault="00202C96" w:rsidP="00202C96">
            <w:pPr>
              <w:pStyle w:val="TableText"/>
              <w:jc w:val="center"/>
              <w:rPr>
                <w:highlight w:val="yellow"/>
              </w:rPr>
            </w:pPr>
            <w:r w:rsidRPr="006B30CE">
              <w:t>$</w:t>
            </w:r>
            <w:r w:rsidRPr="006B30CE">
              <w:rPr>
                <w:b/>
                <w:bCs/>
              </w:rPr>
              <w:t>Redacted</w:t>
            </w:r>
            <w:r w:rsidRPr="006B30CE">
              <w:rPr>
                <w:vertAlign w:val="superscript"/>
              </w:rPr>
              <w:t>7</w:t>
            </w:r>
          </w:p>
        </w:tc>
        <w:tc>
          <w:tcPr>
            <w:tcW w:w="665" w:type="pct"/>
          </w:tcPr>
          <w:p w14:paraId="3A5A4DB0" w14:textId="0ECF0E5B" w:rsidR="00202C96" w:rsidRPr="00051030" w:rsidRDefault="00202C96" w:rsidP="00202C96">
            <w:pPr>
              <w:pStyle w:val="TableText"/>
              <w:jc w:val="center"/>
              <w:rPr>
                <w:highlight w:val="yellow"/>
              </w:rPr>
            </w:pPr>
            <w:r w:rsidRPr="0084159F">
              <w:t>$</w:t>
            </w:r>
            <w:r w:rsidRPr="0084159F">
              <w:rPr>
                <w:b/>
                <w:bCs/>
              </w:rPr>
              <w:t>Redacted</w:t>
            </w:r>
            <w:r w:rsidRPr="0084159F">
              <w:rPr>
                <w:vertAlign w:val="superscript"/>
              </w:rPr>
              <w:t>7</w:t>
            </w:r>
          </w:p>
        </w:tc>
        <w:tc>
          <w:tcPr>
            <w:tcW w:w="664" w:type="pct"/>
          </w:tcPr>
          <w:p w14:paraId="35633759" w14:textId="386675AD" w:rsidR="00202C96" w:rsidRPr="00051030" w:rsidRDefault="00202C96" w:rsidP="00202C96">
            <w:pPr>
              <w:pStyle w:val="TableText"/>
              <w:jc w:val="center"/>
              <w:rPr>
                <w:highlight w:val="yellow"/>
              </w:rPr>
            </w:pPr>
            <w:r w:rsidRPr="0084159F">
              <w:t>$</w:t>
            </w:r>
            <w:r w:rsidRPr="0084159F">
              <w:rPr>
                <w:b/>
                <w:bCs/>
              </w:rPr>
              <w:t>Redacted</w:t>
            </w:r>
            <w:r w:rsidRPr="0084159F">
              <w:rPr>
                <w:vertAlign w:val="superscript"/>
              </w:rPr>
              <w:t>7</w:t>
            </w:r>
          </w:p>
        </w:tc>
        <w:tc>
          <w:tcPr>
            <w:tcW w:w="665" w:type="pct"/>
          </w:tcPr>
          <w:p w14:paraId="3A4F2614" w14:textId="4DBD45AA" w:rsidR="00202C96" w:rsidRPr="00051030" w:rsidRDefault="00202C96" w:rsidP="00202C96">
            <w:pPr>
              <w:pStyle w:val="TableText"/>
              <w:jc w:val="center"/>
              <w:rPr>
                <w:highlight w:val="yellow"/>
              </w:rPr>
            </w:pPr>
            <w:r w:rsidRPr="0084159F">
              <w:t>$</w:t>
            </w:r>
            <w:r w:rsidRPr="0084159F">
              <w:rPr>
                <w:b/>
                <w:bCs/>
              </w:rPr>
              <w:t>Redacted</w:t>
            </w:r>
            <w:r w:rsidRPr="0084159F">
              <w:rPr>
                <w:vertAlign w:val="superscript"/>
              </w:rPr>
              <w:t>7</w:t>
            </w:r>
          </w:p>
        </w:tc>
        <w:tc>
          <w:tcPr>
            <w:tcW w:w="664" w:type="pct"/>
          </w:tcPr>
          <w:p w14:paraId="09749174" w14:textId="71266019" w:rsidR="00202C96" w:rsidRPr="00051030" w:rsidRDefault="00202C96" w:rsidP="00202C96">
            <w:pPr>
              <w:pStyle w:val="TableText"/>
              <w:jc w:val="center"/>
              <w:rPr>
                <w:highlight w:val="yellow"/>
              </w:rPr>
            </w:pPr>
            <w:r w:rsidRPr="00091AB3">
              <w:t>$</w:t>
            </w:r>
            <w:r w:rsidRPr="00091AB3">
              <w:rPr>
                <w:b/>
                <w:bCs/>
              </w:rPr>
              <w:t>Redacted</w:t>
            </w:r>
            <w:r w:rsidRPr="00091AB3">
              <w:rPr>
                <w:vertAlign w:val="superscript"/>
              </w:rPr>
              <w:t>6</w:t>
            </w:r>
          </w:p>
        </w:tc>
        <w:tc>
          <w:tcPr>
            <w:tcW w:w="661" w:type="pct"/>
          </w:tcPr>
          <w:p w14:paraId="57FCCDDB" w14:textId="68419B03" w:rsidR="00202C96" w:rsidRPr="00051030" w:rsidRDefault="00202C96" w:rsidP="00202C96">
            <w:pPr>
              <w:pStyle w:val="TableText"/>
              <w:jc w:val="center"/>
              <w:rPr>
                <w:highlight w:val="yellow"/>
              </w:rPr>
            </w:pPr>
            <w:r w:rsidRPr="00091AB3">
              <w:t>$</w:t>
            </w:r>
            <w:r w:rsidRPr="00091AB3">
              <w:rPr>
                <w:b/>
                <w:bCs/>
              </w:rPr>
              <w:t>Redacted</w:t>
            </w:r>
            <w:r w:rsidRPr="00091AB3">
              <w:rPr>
                <w:vertAlign w:val="superscript"/>
              </w:rPr>
              <w:t>6</w:t>
            </w:r>
          </w:p>
        </w:tc>
      </w:tr>
      <w:tr w:rsidR="00985D8B" w:rsidRPr="00302E12" w14:paraId="4519771A" w14:textId="77777777" w:rsidTr="00030059">
        <w:tc>
          <w:tcPr>
            <w:tcW w:w="5000" w:type="pct"/>
            <w:gridSpan w:val="7"/>
          </w:tcPr>
          <w:p w14:paraId="6E1C0C87" w14:textId="77777777" w:rsidR="004F4778" w:rsidRPr="00302E12" w:rsidRDefault="004F4778">
            <w:pPr>
              <w:pStyle w:val="TableText"/>
            </w:pPr>
            <w:r w:rsidRPr="00302E12">
              <w:rPr>
                <w:b/>
                <w:bCs/>
              </w:rPr>
              <w:t>Change in use and cost of other health technologies</w:t>
            </w:r>
          </w:p>
        </w:tc>
      </w:tr>
      <w:tr w:rsidR="00FC2BF2" w:rsidRPr="00302E12" w14:paraId="03E5D371" w14:textId="77777777" w:rsidTr="00177E31">
        <w:tc>
          <w:tcPr>
            <w:tcW w:w="1017" w:type="pct"/>
          </w:tcPr>
          <w:p w14:paraId="7CFAF530" w14:textId="77777777" w:rsidR="004F4778" w:rsidRPr="00302E12" w:rsidRDefault="004F4778">
            <w:pPr>
              <w:pStyle w:val="TableText"/>
            </w:pPr>
            <w:r w:rsidRPr="00302E12">
              <w:lastRenderedPageBreak/>
              <w:t>Total 100-strip pack replaced</w:t>
            </w:r>
          </w:p>
        </w:tc>
        <w:tc>
          <w:tcPr>
            <w:tcW w:w="664" w:type="pct"/>
          </w:tcPr>
          <w:p w14:paraId="429D1CFC" w14:textId="77777777" w:rsidR="004F4778" w:rsidRPr="00302E12" w:rsidRDefault="004F4778" w:rsidP="00A41C72">
            <w:pPr>
              <w:pStyle w:val="TableText"/>
              <w:jc w:val="center"/>
            </w:pPr>
            <w:r w:rsidRPr="00302E12">
              <w:t>20,043</w:t>
            </w:r>
          </w:p>
        </w:tc>
        <w:tc>
          <w:tcPr>
            <w:tcW w:w="665" w:type="pct"/>
          </w:tcPr>
          <w:p w14:paraId="206DD4C7" w14:textId="77777777" w:rsidR="004F4778" w:rsidRPr="00302E12" w:rsidRDefault="004F4778" w:rsidP="00A41C72">
            <w:pPr>
              <w:pStyle w:val="TableText"/>
              <w:jc w:val="center"/>
            </w:pPr>
            <w:r w:rsidRPr="00302E12">
              <w:t>22,715</w:t>
            </w:r>
          </w:p>
        </w:tc>
        <w:tc>
          <w:tcPr>
            <w:tcW w:w="664" w:type="pct"/>
          </w:tcPr>
          <w:p w14:paraId="308898FB" w14:textId="77777777" w:rsidR="004F4778" w:rsidRPr="00302E12" w:rsidRDefault="004F4778" w:rsidP="00A41C72">
            <w:pPr>
              <w:pStyle w:val="TableText"/>
              <w:jc w:val="center"/>
            </w:pPr>
            <w:r w:rsidRPr="00302E12">
              <w:t>24,052</w:t>
            </w:r>
          </w:p>
        </w:tc>
        <w:tc>
          <w:tcPr>
            <w:tcW w:w="665" w:type="pct"/>
          </w:tcPr>
          <w:p w14:paraId="0361A1FD" w14:textId="77777777" w:rsidR="004F4778" w:rsidRPr="00302E12" w:rsidRDefault="004F4778" w:rsidP="00A41C72">
            <w:pPr>
              <w:pStyle w:val="TableText"/>
              <w:jc w:val="center"/>
            </w:pPr>
            <w:r w:rsidRPr="00302E12">
              <w:t>25,054</w:t>
            </w:r>
          </w:p>
        </w:tc>
        <w:tc>
          <w:tcPr>
            <w:tcW w:w="664" w:type="pct"/>
          </w:tcPr>
          <w:p w14:paraId="5390215A" w14:textId="77777777" w:rsidR="004F4778" w:rsidRPr="00302E12" w:rsidRDefault="004F4778" w:rsidP="00A41C72">
            <w:pPr>
              <w:pStyle w:val="TableText"/>
              <w:jc w:val="center"/>
            </w:pPr>
            <w:r w:rsidRPr="00302E12">
              <w:t>26,390</w:t>
            </w:r>
          </w:p>
        </w:tc>
        <w:tc>
          <w:tcPr>
            <w:tcW w:w="661" w:type="pct"/>
          </w:tcPr>
          <w:p w14:paraId="5B5C6D9C" w14:textId="77777777" w:rsidR="004F4778" w:rsidRPr="00302E12" w:rsidRDefault="004F4778" w:rsidP="00A41C72">
            <w:pPr>
              <w:pStyle w:val="TableText"/>
              <w:jc w:val="center"/>
            </w:pPr>
            <w:r w:rsidRPr="00302E12">
              <w:t>26,724</w:t>
            </w:r>
          </w:p>
        </w:tc>
      </w:tr>
      <w:tr w:rsidR="00FC2BF2" w:rsidRPr="00302E12" w14:paraId="1109EA78" w14:textId="77777777" w:rsidTr="00177E31">
        <w:tc>
          <w:tcPr>
            <w:tcW w:w="1017" w:type="pct"/>
          </w:tcPr>
          <w:p w14:paraId="22ED3A65" w14:textId="0EE4D4CA" w:rsidR="004F4778" w:rsidRPr="00302E12" w:rsidRDefault="004F4778">
            <w:pPr>
              <w:pStyle w:val="TableText"/>
            </w:pPr>
            <w:r w:rsidRPr="00302E12">
              <w:t>Total cost saving</w:t>
            </w:r>
            <w:r w:rsidR="009B6E3B">
              <w:t xml:space="preserve"> (millions)</w:t>
            </w:r>
          </w:p>
        </w:tc>
        <w:tc>
          <w:tcPr>
            <w:tcW w:w="664" w:type="pct"/>
          </w:tcPr>
          <w:p w14:paraId="01E5EBD8" w14:textId="7BC40B51" w:rsidR="004F4778" w:rsidRPr="00302E12" w:rsidRDefault="004F4778" w:rsidP="00A41C72">
            <w:pPr>
              <w:pStyle w:val="TableText"/>
              <w:jc w:val="center"/>
            </w:pPr>
            <w:r w:rsidRPr="00302E12">
              <w:t>$1</w:t>
            </w:r>
            <w:r w:rsidR="001034CD">
              <w:t>.4</w:t>
            </w:r>
          </w:p>
        </w:tc>
        <w:tc>
          <w:tcPr>
            <w:tcW w:w="665" w:type="pct"/>
          </w:tcPr>
          <w:p w14:paraId="6C9564F4" w14:textId="2AF31CA3" w:rsidR="004F4778" w:rsidRPr="00302E12" w:rsidRDefault="004F4778" w:rsidP="00A41C72">
            <w:pPr>
              <w:pStyle w:val="TableText"/>
              <w:jc w:val="center"/>
            </w:pPr>
            <w:r w:rsidRPr="00302E12">
              <w:t>$1</w:t>
            </w:r>
            <w:r w:rsidR="001034CD">
              <w:t>.6</w:t>
            </w:r>
          </w:p>
        </w:tc>
        <w:tc>
          <w:tcPr>
            <w:tcW w:w="664" w:type="pct"/>
          </w:tcPr>
          <w:p w14:paraId="3A4EDA48" w14:textId="4B9E5695" w:rsidR="004F4778" w:rsidRPr="00302E12" w:rsidRDefault="004F4778" w:rsidP="00A41C72">
            <w:pPr>
              <w:pStyle w:val="TableText"/>
              <w:jc w:val="center"/>
            </w:pPr>
            <w:r w:rsidRPr="00302E12">
              <w:t>$1</w:t>
            </w:r>
            <w:r w:rsidR="001034CD">
              <w:t>.7</w:t>
            </w:r>
          </w:p>
        </w:tc>
        <w:tc>
          <w:tcPr>
            <w:tcW w:w="665" w:type="pct"/>
          </w:tcPr>
          <w:p w14:paraId="7E18CD73" w14:textId="146C62E8" w:rsidR="004F4778" w:rsidRPr="00302E12" w:rsidRDefault="004F4778" w:rsidP="00A41C72">
            <w:pPr>
              <w:pStyle w:val="TableText"/>
              <w:jc w:val="center"/>
            </w:pPr>
            <w:r w:rsidRPr="00302E12">
              <w:t>$1</w:t>
            </w:r>
            <w:r w:rsidR="001034CD">
              <w:t>.7</w:t>
            </w:r>
          </w:p>
        </w:tc>
        <w:tc>
          <w:tcPr>
            <w:tcW w:w="664" w:type="pct"/>
          </w:tcPr>
          <w:p w14:paraId="188EB80E" w14:textId="1D1B0A6B" w:rsidR="004F4778" w:rsidRPr="00302E12" w:rsidRDefault="004F4778" w:rsidP="00A41C72">
            <w:pPr>
              <w:pStyle w:val="TableText"/>
              <w:jc w:val="center"/>
            </w:pPr>
            <w:r w:rsidRPr="00302E12">
              <w:t>$1</w:t>
            </w:r>
            <w:r w:rsidR="001034CD">
              <w:t>.8</w:t>
            </w:r>
          </w:p>
        </w:tc>
        <w:tc>
          <w:tcPr>
            <w:tcW w:w="661" w:type="pct"/>
          </w:tcPr>
          <w:p w14:paraId="3637AD8E" w14:textId="316B5DD3" w:rsidR="004F4778" w:rsidRPr="00302E12" w:rsidRDefault="004F4778" w:rsidP="00A41C72">
            <w:pPr>
              <w:pStyle w:val="TableText"/>
              <w:jc w:val="center"/>
            </w:pPr>
            <w:r w:rsidRPr="00302E12">
              <w:t>$1</w:t>
            </w:r>
            <w:r w:rsidR="001034CD">
              <w:t>.8</w:t>
            </w:r>
          </w:p>
        </w:tc>
      </w:tr>
      <w:tr w:rsidR="00202C96" w:rsidRPr="00302E12" w14:paraId="0E37081E" w14:textId="77777777" w:rsidTr="00177E31">
        <w:tc>
          <w:tcPr>
            <w:tcW w:w="1017" w:type="pct"/>
          </w:tcPr>
          <w:p w14:paraId="4474B4D1" w14:textId="2ECEC580" w:rsidR="00202C96" w:rsidRPr="00302E12" w:rsidRDefault="00202C96" w:rsidP="00202C96">
            <w:pPr>
              <w:pStyle w:val="TableText"/>
            </w:pPr>
            <w:r w:rsidRPr="00302E12">
              <w:rPr>
                <w:b/>
                <w:bCs/>
              </w:rPr>
              <w:t>Net financial impact to the NDSS</w:t>
            </w:r>
            <w:r>
              <w:rPr>
                <w:b/>
                <w:bCs/>
              </w:rPr>
              <w:t xml:space="preserve"> (cost in millions)</w:t>
            </w:r>
          </w:p>
        </w:tc>
        <w:tc>
          <w:tcPr>
            <w:tcW w:w="664" w:type="pct"/>
          </w:tcPr>
          <w:p w14:paraId="4C498ABF" w14:textId="37E4ACB7" w:rsidR="00202C96" w:rsidRPr="00051030" w:rsidRDefault="00202C96" w:rsidP="00202C96">
            <w:pPr>
              <w:pStyle w:val="TableText"/>
              <w:jc w:val="center"/>
              <w:rPr>
                <w:highlight w:val="yellow"/>
              </w:rPr>
            </w:pPr>
            <w:r w:rsidRPr="00193018">
              <w:t>$</w:t>
            </w:r>
            <w:r w:rsidRPr="00193018">
              <w:rPr>
                <w:b/>
                <w:bCs/>
              </w:rPr>
              <w:t>Redacted</w:t>
            </w:r>
            <w:r w:rsidRPr="00193018">
              <w:rPr>
                <w:vertAlign w:val="superscript"/>
              </w:rPr>
              <w:t>7</w:t>
            </w:r>
          </w:p>
        </w:tc>
        <w:tc>
          <w:tcPr>
            <w:tcW w:w="665" w:type="pct"/>
          </w:tcPr>
          <w:p w14:paraId="3C5C8C8A" w14:textId="5AC2AE2A" w:rsidR="00202C96" w:rsidRPr="00051030" w:rsidRDefault="00202C96" w:rsidP="00202C96">
            <w:pPr>
              <w:pStyle w:val="TableText"/>
              <w:jc w:val="center"/>
              <w:rPr>
                <w:highlight w:val="yellow"/>
              </w:rPr>
            </w:pPr>
            <w:r w:rsidRPr="00193018">
              <w:t>$</w:t>
            </w:r>
            <w:r w:rsidRPr="00193018">
              <w:rPr>
                <w:b/>
                <w:bCs/>
              </w:rPr>
              <w:t>Redacted</w:t>
            </w:r>
            <w:r w:rsidRPr="00193018">
              <w:rPr>
                <w:vertAlign w:val="superscript"/>
              </w:rPr>
              <w:t>7</w:t>
            </w:r>
          </w:p>
        </w:tc>
        <w:tc>
          <w:tcPr>
            <w:tcW w:w="664" w:type="pct"/>
          </w:tcPr>
          <w:p w14:paraId="45886B17" w14:textId="79A0583F" w:rsidR="00202C96" w:rsidRPr="00051030" w:rsidRDefault="00202C96" w:rsidP="00202C96">
            <w:pPr>
              <w:pStyle w:val="TableText"/>
              <w:jc w:val="center"/>
              <w:rPr>
                <w:highlight w:val="yellow"/>
              </w:rPr>
            </w:pPr>
            <w:r w:rsidRPr="00193018">
              <w:t>$</w:t>
            </w:r>
            <w:r w:rsidRPr="00193018">
              <w:rPr>
                <w:b/>
                <w:bCs/>
              </w:rPr>
              <w:t>Redacted</w:t>
            </w:r>
            <w:r w:rsidRPr="00193018">
              <w:rPr>
                <w:vertAlign w:val="superscript"/>
              </w:rPr>
              <w:t>7</w:t>
            </w:r>
          </w:p>
        </w:tc>
        <w:tc>
          <w:tcPr>
            <w:tcW w:w="665" w:type="pct"/>
          </w:tcPr>
          <w:p w14:paraId="1D812CD8" w14:textId="176664AC" w:rsidR="00202C96" w:rsidRPr="00051030" w:rsidRDefault="00202C96" w:rsidP="00202C96">
            <w:pPr>
              <w:pStyle w:val="TableText"/>
              <w:jc w:val="center"/>
              <w:rPr>
                <w:highlight w:val="yellow"/>
              </w:rPr>
            </w:pPr>
            <w:r w:rsidRPr="00193018">
              <w:t>$</w:t>
            </w:r>
            <w:r w:rsidRPr="00193018">
              <w:rPr>
                <w:b/>
                <w:bCs/>
              </w:rPr>
              <w:t>Redacted</w:t>
            </w:r>
            <w:r w:rsidRPr="00193018">
              <w:rPr>
                <w:vertAlign w:val="superscript"/>
              </w:rPr>
              <w:t>7</w:t>
            </w:r>
          </w:p>
        </w:tc>
        <w:tc>
          <w:tcPr>
            <w:tcW w:w="664" w:type="pct"/>
          </w:tcPr>
          <w:p w14:paraId="7FA22BFD" w14:textId="4E30D0A8" w:rsidR="00202C96" w:rsidRPr="00051030" w:rsidRDefault="00202C96" w:rsidP="00202C96">
            <w:pPr>
              <w:pStyle w:val="TableText"/>
              <w:jc w:val="center"/>
              <w:rPr>
                <w:highlight w:val="yellow"/>
              </w:rPr>
            </w:pPr>
            <w:r w:rsidRPr="00193018">
              <w:t>$</w:t>
            </w:r>
            <w:r w:rsidRPr="00193018">
              <w:rPr>
                <w:b/>
                <w:bCs/>
              </w:rPr>
              <w:t>Redacted</w:t>
            </w:r>
            <w:r w:rsidRPr="00193018">
              <w:rPr>
                <w:vertAlign w:val="superscript"/>
              </w:rPr>
              <w:t>7</w:t>
            </w:r>
          </w:p>
        </w:tc>
        <w:tc>
          <w:tcPr>
            <w:tcW w:w="661" w:type="pct"/>
          </w:tcPr>
          <w:p w14:paraId="0B7E7ABB" w14:textId="41C1A362" w:rsidR="00202C96" w:rsidRPr="00051030" w:rsidRDefault="00202C96" w:rsidP="00202C96">
            <w:pPr>
              <w:pStyle w:val="TableText"/>
              <w:jc w:val="center"/>
              <w:rPr>
                <w:highlight w:val="yellow"/>
              </w:rPr>
            </w:pPr>
            <w:r w:rsidRPr="00193018">
              <w:t>$</w:t>
            </w:r>
            <w:r w:rsidRPr="00193018">
              <w:rPr>
                <w:b/>
                <w:bCs/>
              </w:rPr>
              <w:t>Redacted</w:t>
            </w:r>
            <w:r w:rsidRPr="00193018">
              <w:rPr>
                <w:vertAlign w:val="superscript"/>
              </w:rPr>
              <w:t>7</w:t>
            </w:r>
          </w:p>
        </w:tc>
      </w:tr>
      <w:tr w:rsidR="00985D8B" w:rsidRPr="00302E12" w14:paraId="3EB5D420" w14:textId="77777777" w:rsidTr="00030059">
        <w:tc>
          <w:tcPr>
            <w:tcW w:w="5000" w:type="pct"/>
            <w:gridSpan w:val="7"/>
            <w:shd w:val="clear" w:color="auto" w:fill="D9D9D9" w:themeFill="background1" w:themeFillShade="D9"/>
          </w:tcPr>
          <w:p w14:paraId="703F1281" w14:textId="77777777" w:rsidR="004F4778" w:rsidRPr="00302E12" w:rsidRDefault="004F4778">
            <w:pPr>
              <w:pStyle w:val="TableText"/>
              <w:jc w:val="center"/>
            </w:pPr>
            <w:r w:rsidRPr="00302E12">
              <w:rPr>
                <w:b/>
                <w:bCs/>
              </w:rPr>
              <w:t>Other Diabetes</w:t>
            </w:r>
          </w:p>
        </w:tc>
      </w:tr>
      <w:tr w:rsidR="00FC2BF2" w:rsidRPr="00302E12" w14:paraId="54A0048E" w14:textId="77777777" w:rsidTr="00177E31">
        <w:tc>
          <w:tcPr>
            <w:tcW w:w="1017" w:type="pct"/>
          </w:tcPr>
          <w:p w14:paraId="6097B3CD" w14:textId="77777777" w:rsidR="004F4778" w:rsidRPr="00302E12" w:rsidRDefault="004F4778">
            <w:pPr>
              <w:pStyle w:val="TableText"/>
            </w:pPr>
            <w:r w:rsidRPr="00302E12">
              <w:t>Number of people eligible for RT-CGM</w:t>
            </w:r>
          </w:p>
        </w:tc>
        <w:tc>
          <w:tcPr>
            <w:tcW w:w="664" w:type="pct"/>
          </w:tcPr>
          <w:p w14:paraId="36D9BA0E" w14:textId="77777777" w:rsidR="004F4778" w:rsidRPr="00302E12" w:rsidRDefault="004F4778" w:rsidP="00A41C72">
            <w:pPr>
              <w:pStyle w:val="TableText"/>
              <w:jc w:val="center"/>
            </w:pPr>
            <w:r w:rsidRPr="00302E12">
              <w:t>9,325</w:t>
            </w:r>
          </w:p>
        </w:tc>
        <w:tc>
          <w:tcPr>
            <w:tcW w:w="665" w:type="pct"/>
          </w:tcPr>
          <w:p w14:paraId="59C38B38" w14:textId="77777777" w:rsidR="004F4778" w:rsidRPr="00302E12" w:rsidRDefault="004F4778" w:rsidP="00A41C72">
            <w:pPr>
              <w:pStyle w:val="TableText"/>
              <w:jc w:val="center"/>
            </w:pPr>
            <w:r w:rsidRPr="00302E12">
              <w:t>9,859</w:t>
            </w:r>
          </w:p>
        </w:tc>
        <w:tc>
          <w:tcPr>
            <w:tcW w:w="664" w:type="pct"/>
          </w:tcPr>
          <w:p w14:paraId="3DC0BEE8" w14:textId="77777777" w:rsidR="004F4778" w:rsidRPr="00302E12" w:rsidRDefault="004F4778" w:rsidP="00A41C72">
            <w:pPr>
              <w:pStyle w:val="TableText"/>
              <w:jc w:val="center"/>
            </w:pPr>
            <w:r w:rsidRPr="00302E12">
              <w:t>10,394</w:t>
            </w:r>
          </w:p>
        </w:tc>
        <w:tc>
          <w:tcPr>
            <w:tcW w:w="665" w:type="pct"/>
          </w:tcPr>
          <w:p w14:paraId="2668A2C6" w14:textId="77777777" w:rsidR="004F4778" w:rsidRPr="00302E12" w:rsidRDefault="004F4778" w:rsidP="00A41C72">
            <w:pPr>
              <w:pStyle w:val="TableText"/>
              <w:jc w:val="center"/>
            </w:pPr>
            <w:r w:rsidRPr="00302E12">
              <w:t>10,928</w:t>
            </w:r>
          </w:p>
        </w:tc>
        <w:tc>
          <w:tcPr>
            <w:tcW w:w="664" w:type="pct"/>
          </w:tcPr>
          <w:p w14:paraId="17394D44" w14:textId="77777777" w:rsidR="004F4778" w:rsidRPr="00302E12" w:rsidRDefault="004F4778" w:rsidP="00A41C72">
            <w:pPr>
              <w:pStyle w:val="TableText"/>
              <w:jc w:val="center"/>
            </w:pPr>
            <w:r w:rsidRPr="00302E12">
              <w:t>11,462</w:t>
            </w:r>
          </w:p>
        </w:tc>
        <w:tc>
          <w:tcPr>
            <w:tcW w:w="661" w:type="pct"/>
          </w:tcPr>
          <w:p w14:paraId="0C55DA2F" w14:textId="77777777" w:rsidR="004F4778" w:rsidRPr="00302E12" w:rsidRDefault="004F4778" w:rsidP="00A41C72">
            <w:pPr>
              <w:pStyle w:val="TableText"/>
              <w:jc w:val="center"/>
            </w:pPr>
            <w:r w:rsidRPr="00302E12">
              <w:t>11,996</w:t>
            </w:r>
          </w:p>
        </w:tc>
      </w:tr>
      <w:tr w:rsidR="00FC2BF2" w:rsidRPr="00302E12" w14:paraId="3680B11F" w14:textId="77777777" w:rsidTr="00177E31">
        <w:tc>
          <w:tcPr>
            <w:tcW w:w="1017" w:type="pct"/>
          </w:tcPr>
          <w:p w14:paraId="19DBA05E" w14:textId="77777777" w:rsidR="004F4778" w:rsidRPr="00302E12" w:rsidRDefault="004F4778">
            <w:pPr>
              <w:pStyle w:val="TableText"/>
            </w:pPr>
            <w:r w:rsidRPr="00302E12">
              <w:t>Number of people who receive RT-CGM</w:t>
            </w:r>
          </w:p>
        </w:tc>
        <w:tc>
          <w:tcPr>
            <w:tcW w:w="664" w:type="pct"/>
          </w:tcPr>
          <w:p w14:paraId="19A3F564" w14:textId="77777777" w:rsidR="004F4778" w:rsidRPr="00302E12" w:rsidRDefault="004F4778" w:rsidP="00A41C72">
            <w:pPr>
              <w:pStyle w:val="TableText"/>
              <w:jc w:val="center"/>
            </w:pPr>
            <w:r w:rsidRPr="00302E12">
              <w:t>5,595</w:t>
            </w:r>
          </w:p>
        </w:tc>
        <w:tc>
          <w:tcPr>
            <w:tcW w:w="665" w:type="pct"/>
          </w:tcPr>
          <w:p w14:paraId="4209BC7E" w14:textId="77777777" w:rsidR="004F4778" w:rsidRPr="00302E12" w:rsidRDefault="004F4778" w:rsidP="00A41C72">
            <w:pPr>
              <w:pStyle w:val="TableText"/>
              <w:jc w:val="center"/>
            </w:pPr>
            <w:r w:rsidRPr="00302E12">
              <w:t>6,704</w:t>
            </w:r>
          </w:p>
        </w:tc>
        <w:tc>
          <w:tcPr>
            <w:tcW w:w="664" w:type="pct"/>
          </w:tcPr>
          <w:p w14:paraId="0A910C56" w14:textId="77777777" w:rsidR="004F4778" w:rsidRPr="00302E12" w:rsidRDefault="004F4778" w:rsidP="00A41C72">
            <w:pPr>
              <w:pStyle w:val="TableText"/>
              <w:jc w:val="center"/>
            </w:pPr>
            <w:r w:rsidRPr="00302E12">
              <w:t>7,483</w:t>
            </w:r>
          </w:p>
        </w:tc>
        <w:tc>
          <w:tcPr>
            <w:tcW w:w="665" w:type="pct"/>
          </w:tcPr>
          <w:p w14:paraId="7992FB8E" w14:textId="77777777" w:rsidR="004F4778" w:rsidRPr="00302E12" w:rsidRDefault="004F4778" w:rsidP="00A41C72">
            <w:pPr>
              <w:pStyle w:val="TableText"/>
              <w:jc w:val="center"/>
            </w:pPr>
            <w:r w:rsidRPr="00302E12">
              <w:t>8,196</w:t>
            </w:r>
          </w:p>
        </w:tc>
        <w:tc>
          <w:tcPr>
            <w:tcW w:w="664" w:type="pct"/>
          </w:tcPr>
          <w:p w14:paraId="16C97F42" w14:textId="77777777" w:rsidR="004F4778" w:rsidRPr="00302E12" w:rsidRDefault="004F4778" w:rsidP="00A41C72">
            <w:pPr>
              <w:pStyle w:val="TableText"/>
              <w:jc w:val="center"/>
            </w:pPr>
            <w:r w:rsidRPr="00302E12">
              <w:t>9,055</w:t>
            </w:r>
          </w:p>
        </w:tc>
        <w:tc>
          <w:tcPr>
            <w:tcW w:w="661" w:type="pct"/>
          </w:tcPr>
          <w:p w14:paraId="4B23C671" w14:textId="77777777" w:rsidR="004F4778" w:rsidRPr="00302E12" w:rsidRDefault="004F4778" w:rsidP="00A41C72">
            <w:pPr>
              <w:pStyle w:val="TableText"/>
              <w:jc w:val="center"/>
            </w:pPr>
            <w:r w:rsidRPr="00302E12">
              <w:t>9,597</w:t>
            </w:r>
          </w:p>
        </w:tc>
      </w:tr>
      <w:tr w:rsidR="00FC2BF2" w:rsidRPr="00302E12" w14:paraId="1F8351AB" w14:textId="77777777" w:rsidTr="00177E31">
        <w:tc>
          <w:tcPr>
            <w:tcW w:w="1017" w:type="pct"/>
          </w:tcPr>
          <w:p w14:paraId="0217C476" w14:textId="77777777" w:rsidR="004F4778" w:rsidRPr="00302E12" w:rsidRDefault="004F4778">
            <w:pPr>
              <w:pStyle w:val="TableText"/>
            </w:pPr>
            <w:r w:rsidRPr="00302E12">
              <w:t>Number of Dexcom ONE+ sensor packs</w:t>
            </w:r>
          </w:p>
        </w:tc>
        <w:tc>
          <w:tcPr>
            <w:tcW w:w="664" w:type="pct"/>
          </w:tcPr>
          <w:p w14:paraId="64D8A04E" w14:textId="77777777" w:rsidR="004F4778" w:rsidRPr="00302E12" w:rsidRDefault="004F4778" w:rsidP="00A41C72">
            <w:pPr>
              <w:pStyle w:val="TableText"/>
              <w:jc w:val="center"/>
            </w:pPr>
            <w:r w:rsidRPr="00302E12">
              <w:t>68,074</w:t>
            </w:r>
          </w:p>
        </w:tc>
        <w:tc>
          <w:tcPr>
            <w:tcW w:w="665" w:type="pct"/>
          </w:tcPr>
          <w:p w14:paraId="658ACE71" w14:textId="77777777" w:rsidR="004F4778" w:rsidRPr="00302E12" w:rsidRDefault="004F4778" w:rsidP="00A41C72">
            <w:pPr>
              <w:pStyle w:val="TableText"/>
              <w:jc w:val="center"/>
            </w:pPr>
            <w:r w:rsidRPr="00302E12">
              <w:t>81,570</w:t>
            </w:r>
          </w:p>
        </w:tc>
        <w:tc>
          <w:tcPr>
            <w:tcW w:w="664" w:type="pct"/>
          </w:tcPr>
          <w:p w14:paraId="191EAA6E" w14:textId="77777777" w:rsidR="004F4778" w:rsidRPr="00302E12" w:rsidRDefault="004F4778" w:rsidP="00A41C72">
            <w:pPr>
              <w:pStyle w:val="TableText"/>
              <w:jc w:val="center"/>
            </w:pPr>
            <w:r w:rsidRPr="00302E12">
              <w:t>91,048</w:t>
            </w:r>
          </w:p>
        </w:tc>
        <w:tc>
          <w:tcPr>
            <w:tcW w:w="665" w:type="pct"/>
          </w:tcPr>
          <w:p w14:paraId="487D0E95" w14:textId="77777777" w:rsidR="004F4778" w:rsidRPr="00302E12" w:rsidRDefault="004F4778" w:rsidP="00A41C72">
            <w:pPr>
              <w:pStyle w:val="TableText"/>
              <w:jc w:val="center"/>
            </w:pPr>
            <w:r w:rsidRPr="00302E12">
              <w:t>99,716</w:t>
            </w:r>
          </w:p>
        </w:tc>
        <w:tc>
          <w:tcPr>
            <w:tcW w:w="664" w:type="pct"/>
          </w:tcPr>
          <w:p w14:paraId="00A5550E" w14:textId="77777777" w:rsidR="004F4778" w:rsidRPr="00302E12" w:rsidRDefault="004F4778" w:rsidP="00A41C72">
            <w:pPr>
              <w:pStyle w:val="TableText"/>
              <w:jc w:val="center"/>
            </w:pPr>
            <w:r w:rsidRPr="00302E12">
              <w:t>110,169</w:t>
            </w:r>
          </w:p>
        </w:tc>
        <w:tc>
          <w:tcPr>
            <w:tcW w:w="661" w:type="pct"/>
          </w:tcPr>
          <w:p w14:paraId="61BCB547" w14:textId="77777777" w:rsidR="004F4778" w:rsidRPr="00302E12" w:rsidRDefault="004F4778" w:rsidP="00A41C72">
            <w:pPr>
              <w:pStyle w:val="TableText"/>
              <w:jc w:val="center"/>
            </w:pPr>
            <w:r w:rsidRPr="00302E12">
              <w:t>116,763</w:t>
            </w:r>
          </w:p>
        </w:tc>
      </w:tr>
      <w:tr w:rsidR="00202C96" w:rsidRPr="00302E12" w14:paraId="694A3230" w14:textId="77777777" w:rsidTr="00177E31">
        <w:tc>
          <w:tcPr>
            <w:tcW w:w="1017" w:type="pct"/>
          </w:tcPr>
          <w:p w14:paraId="0BE0C924" w14:textId="3B684F72" w:rsidR="00202C96" w:rsidRPr="00302E12" w:rsidRDefault="00202C96" w:rsidP="00202C96">
            <w:pPr>
              <w:pStyle w:val="TableText"/>
            </w:pPr>
            <w:r w:rsidRPr="00302E12">
              <w:t xml:space="preserve">Cost </w:t>
            </w:r>
            <w:r>
              <w:t xml:space="preserve">in millions </w:t>
            </w:r>
            <w:r w:rsidRPr="00302E12">
              <w:t>to the NDSS (without co-payment)</w:t>
            </w:r>
          </w:p>
        </w:tc>
        <w:tc>
          <w:tcPr>
            <w:tcW w:w="664" w:type="pct"/>
          </w:tcPr>
          <w:p w14:paraId="49913083" w14:textId="54A9569F" w:rsidR="00202C96" w:rsidRPr="00051030" w:rsidRDefault="00202C96" w:rsidP="00202C96">
            <w:pPr>
              <w:pStyle w:val="TableText"/>
              <w:jc w:val="center"/>
              <w:rPr>
                <w:highlight w:val="yellow"/>
              </w:rPr>
            </w:pPr>
            <w:r w:rsidRPr="00D66F90">
              <w:t>$</w:t>
            </w:r>
            <w:r w:rsidRPr="00D66F90">
              <w:rPr>
                <w:b/>
                <w:bCs/>
              </w:rPr>
              <w:t>Redacted</w:t>
            </w:r>
            <w:r w:rsidRPr="00D66F90">
              <w:rPr>
                <w:vertAlign w:val="superscript"/>
              </w:rPr>
              <w:t>6</w:t>
            </w:r>
          </w:p>
        </w:tc>
        <w:tc>
          <w:tcPr>
            <w:tcW w:w="665" w:type="pct"/>
          </w:tcPr>
          <w:p w14:paraId="61FEE189" w14:textId="7F6D012D" w:rsidR="00202C96" w:rsidRPr="00051030" w:rsidRDefault="00202C96" w:rsidP="00202C96">
            <w:pPr>
              <w:pStyle w:val="TableText"/>
              <w:jc w:val="center"/>
              <w:rPr>
                <w:highlight w:val="yellow"/>
              </w:rPr>
            </w:pPr>
            <w:r w:rsidRPr="00D66F90">
              <w:t>$</w:t>
            </w:r>
            <w:r w:rsidRPr="00D66F90">
              <w:rPr>
                <w:b/>
                <w:bCs/>
              </w:rPr>
              <w:t>Redacted</w:t>
            </w:r>
            <w:r w:rsidRPr="00D66F90">
              <w:rPr>
                <w:vertAlign w:val="superscript"/>
              </w:rPr>
              <w:t>6</w:t>
            </w:r>
          </w:p>
        </w:tc>
        <w:tc>
          <w:tcPr>
            <w:tcW w:w="664" w:type="pct"/>
          </w:tcPr>
          <w:p w14:paraId="0A1F3DB5" w14:textId="13D31F60" w:rsidR="00202C96" w:rsidRPr="00051030" w:rsidRDefault="00202C96" w:rsidP="00202C96">
            <w:pPr>
              <w:pStyle w:val="TableText"/>
              <w:jc w:val="center"/>
              <w:rPr>
                <w:highlight w:val="yellow"/>
              </w:rPr>
            </w:pPr>
            <w:r w:rsidRPr="00D66F90">
              <w:t>$</w:t>
            </w:r>
            <w:r w:rsidRPr="00D66F90">
              <w:rPr>
                <w:b/>
                <w:bCs/>
              </w:rPr>
              <w:t>Redacted</w:t>
            </w:r>
            <w:r w:rsidRPr="00D66F90">
              <w:rPr>
                <w:vertAlign w:val="superscript"/>
              </w:rPr>
              <w:t>6</w:t>
            </w:r>
          </w:p>
        </w:tc>
        <w:tc>
          <w:tcPr>
            <w:tcW w:w="665" w:type="pct"/>
          </w:tcPr>
          <w:p w14:paraId="6B8F02AC" w14:textId="25675B73" w:rsidR="00202C96" w:rsidRPr="00051030" w:rsidRDefault="00202C96" w:rsidP="00202C96">
            <w:pPr>
              <w:pStyle w:val="TableText"/>
              <w:jc w:val="center"/>
              <w:rPr>
                <w:highlight w:val="yellow"/>
              </w:rPr>
            </w:pPr>
            <w:r w:rsidRPr="00D66F90">
              <w:t>$</w:t>
            </w:r>
            <w:r w:rsidRPr="00D66F90">
              <w:rPr>
                <w:b/>
                <w:bCs/>
              </w:rPr>
              <w:t>Redacted</w:t>
            </w:r>
            <w:r w:rsidRPr="00D66F90">
              <w:rPr>
                <w:vertAlign w:val="superscript"/>
              </w:rPr>
              <w:t>6</w:t>
            </w:r>
          </w:p>
        </w:tc>
        <w:tc>
          <w:tcPr>
            <w:tcW w:w="664" w:type="pct"/>
          </w:tcPr>
          <w:p w14:paraId="686669FB" w14:textId="092C1FC0" w:rsidR="00202C96" w:rsidRPr="00051030" w:rsidRDefault="00202C96" w:rsidP="00202C96">
            <w:pPr>
              <w:pStyle w:val="TableText"/>
              <w:jc w:val="center"/>
              <w:rPr>
                <w:highlight w:val="yellow"/>
              </w:rPr>
            </w:pPr>
            <w:r w:rsidRPr="00D66F90">
              <w:t>$</w:t>
            </w:r>
            <w:r w:rsidRPr="00D66F90">
              <w:rPr>
                <w:b/>
                <w:bCs/>
              </w:rPr>
              <w:t>Redacted</w:t>
            </w:r>
            <w:r w:rsidRPr="00D66F90">
              <w:rPr>
                <w:vertAlign w:val="superscript"/>
              </w:rPr>
              <w:t>6</w:t>
            </w:r>
          </w:p>
        </w:tc>
        <w:tc>
          <w:tcPr>
            <w:tcW w:w="661" w:type="pct"/>
          </w:tcPr>
          <w:p w14:paraId="3BFCB8CC" w14:textId="7CCABB79" w:rsidR="00202C96" w:rsidRPr="00051030" w:rsidRDefault="00202C96" w:rsidP="00202C96">
            <w:pPr>
              <w:pStyle w:val="TableText"/>
              <w:jc w:val="center"/>
              <w:rPr>
                <w:highlight w:val="yellow"/>
              </w:rPr>
            </w:pPr>
            <w:r w:rsidRPr="00D66F90">
              <w:t>$</w:t>
            </w:r>
            <w:r w:rsidRPr="00D66F90">
              <w:rPr>
                <w:b/>
                <w:bCs/>
              </w:rPr>
              <w:t>Redacted</w:t>
            </w:r>
            <w:r w:rsidRPr="00D66F90">
              <w:rPr>
                <w:vertAlign w:val="superscript"/>
              </w:rPr>
              <w:t>6</w:t>
            </w:r>
          </w:p>
        </w:tc>
      </w:tr>
      <w:tr w:rsidR="00202C96" w:rsidRPr="00302E12" w14:paraId="4D8ECA2A" w14:textId="77777777" w:rsidTr="00177E31">
        <w:tc>
          <w:tcPr>
            <w:tcW w:w="1017" w:type="pct"/>
          </w:tcPr>
          <w:p w14:paraId="5E745199" w14:textId="05F68D7D" w:rsidR="00202C96" w:rsidRPr="00302E12" w:rsidRDefault="00202C96" w:rsidP="00202C96">
            <w:pPr>
              <w:pStyle w:val="TableText"/>
            </w:pPr>
            <w:r w:rsidRPr="00302E12">
              <w:t xml:space="preserve">Cost </w:t>
            </w:r>
            <w:r>
              <w:t xml:space="preserve">in millions </w:t>
            </w:r>
            <w:r w:rsidRPr="00302E12">
              <w:t>to the NDSS (with co-payment adjusted)</w:t>
            </w:r>
          </w:p>
        </w:tc>
        <w:tc>
          <w:tcPr>
            <w:tcW w:w="664" w:type="pct"/>
          </w:tcPr>
          <w:p w14:paraId="2F6B4595" w14:textId="0887100A" w:rsidR="00202C96" w:rsidRPr="00051030" w:rsidRDefault="00202C96" w:rsidP="00202C96">
            <w:pPr>
              <w:pStyle w:val="TableText"/>
              <w:jc w:val="center"/>
              <w:rPr>
                <w:highlight w:val="yellow"/>
              </w:rPr>
            </w:pPr>
            <w:r w:rsidRPr="00D46BF9">
              <w:t>$</w:t>
            </w:r>
            <w:r w:rsidRPr="00D46BF9">
              <w:rPr>
                <w:b/>
                <w:bCs/>
              </w:rPr>
              <w:t>Redacted</w:t>
            </w:r>
            <w:r>
              <w:rPr>
                <w:vertAlign w:val="superscript"/>
              </w:rPr>
              <w:t>7</w:t>
            </w:r>
          </w:p>
        </w:tc>
        <w:tc>
          <w:tcPr>
            <w:tcW w:w="665" w:type="pct"/>
          </w:tcPr>
          <w:p w14:paraId="4159274A" w14:textId="407F0582" w:rsidR="00202C96" w:rsidRPr="00051030" w:rsidRDefault="00202C96" w:rsidP="00202C96">
            <w:pPr>
              <w:pStyle w:val="TableText"/>
              <w:jc w:val="center"/>
              <w:rPr>
                <w:highlight w:val="yellow"/>
              </w:rPr>
            </w:pPr>
            <w:r w:rsidRPr="00926A0D">
              <w:t>$</w:t>
            </w:r>
            <w:r w:rsidRPr="00926A0D">
              <w:rPr>
                <w:b/>
                <w:bCs/>
              </w:rPr>
              <w:t>Redacted</w:t>
            </w:r>
            <w:r w:rsidRPr="00926A0D">
              <w:rPr>
                <w:vertAlign w:val="superscript"/>
              </w:rPr>
              <w:t>6</w:t>
            </w:r>
          </w:p>
        </w:tc>
        <w:tc>
          <w:tcPr>
            <w:tcW w:w="664" w:type="pct"/>
          </w:tcPr>
          <w:p w14:paraId="14452AA3" w14:textId="640316B4" w:rsidR="00202C96" w:rsidRPr="00051030" w:rsidRDefault="00202C96" w:rsidP="00202C96">
            <w:pPr>
              <w:pStyle w:val="TableText"/>
              <w:jc w:val="center"/>
              <w:rPr>
                <w:highlight w:val="yellow"/>
              </w:rPr>
            </w:pPr>
            <w:r w:rsidRPr="00926A0D">
              <w:t>$</w:t>
            </w:r>
            <w:r w:rsidRPr="00926A0D">
              <w:rPr>
                <w:b/>
                <w:bCs/>
              </w:rPr>
              <w:t>Redacted</w:t>
            </w:r>
            <w:r w:rsidRPr="00926A0D">
              <w:rPr>
                <w:vertAlign w:val="superscript"/>
              </w:rPr>
              <w:t>6</w:t>
            </w:r>
          </w:p>
        </w:tc>
        <w:tc>
          <w:tcPr>
            <w:tcW w:w="665" w:type="pct"/>
          </w:tcPr>
          <w:p w14:paraId="3C816025" w14:textId="658AE65C" w:rsidR="00202C96" w:rsidRPr="00051030" w:rsidRDefault="00202C96" w:rsidP="00202C96">
            <w:pPr>
              <w:pStyle w:val="TableText"/>
              <w:jc w:val="center"/>
              <w:rPr>
                <w:highlight w:val="yellow"/>
              </w:rPr>
            </w:pPr>
            <w:r w:rsidRPr="00926A0D">
              <w:t>$</w:t>
            </w:r>
            <w:r w:rsidRPr="00926A0D">
              <w:rPr>
                <w:b/>
                <w:bCs/>
              </w:rPr>
              <w:t>Redacted</w:t>
            </w:r>
            <w:r w:rsidRPr="00926A0D">
              <w:rPr>
                <w:vertAlign w:val="superscript"/>
              </w:rPr>
              <w:t>6</w:t>
            </w:r>
          </w:p>
        </w:tc>
        <w:tc>
          <w:tcPr>
            <w:tcW w:w="664" w:type="pct"/>
          </w:tcPr>
          <w:p w14:paraId="4A52365F" w14:textId="1CB431A3" w:rsidR="00202C96" w:rsidRPr="00051030" w:rsidRDefault="00202C96" w:rsidP="00202C96">
            <w:pPr>
              <w:pStyle w:val="TableText"/>
              <w:jc w:val="center"/>
              <w:rPr>
                <w:highlight w:val="yellow"/>
              </w:rPr>
            </w:pPr>
            <w:r w:rsidRPr="00926A0D">
              <w:t>$</w:t>
            </w:r>
            <w:r w:rsidRPr="00926A0D">
              <w:rPr>
                <w:b/>
                <w:bCs/>
              </w:rPr>
              <w:t>Redacted</w:t>
            </w:r>
            <w:r w:rsidRPr="00926A0D">
              <w:rPr>
                <w:vertAlign w:val="superscript"/>
              </w:rPr>
              <w:t>6</w:t>
            </w:r>
          </w:p>
        </w:tc>
        <w:tc>
          <w:tcPr>
            <w:tcW w:w="661" w:type="pct"/>
          </w:tcPr>
          <w:p w14:paraId="4EFCA690" w14:textId="47E1085D" w:rsidR="00202C96" w:rsidRPr="00051030" w:rsidRDefault="00202C96" w:rsidP="00202C96">
            <w:pPr>
              <w:pStyle w:val="TableText"/>
              <w:jc w:val="center"/>
              <w:rPr>
                <w:highlight w:val="yellow"/>
              </w:rPr>
            </w:pPr>
            <w:r w:rsidRPr="00926A0D">
              <w:t>$</w:t>
            </w:r>
            <w:r w:rsidRPr="00926A0D">
              <w:rPr>
                <w:b/>
                <w:bCs/>
              </w:rPr>
              <w:t>Redacted</w:t>
            </w:r>
            <w:r w:rsidRPr="00926A0D">
              <w:rPr>
                <w:vertAlign w:val="superscript"/>
              </w:rPr>
              <w:t>6</w:t>
            </w:r>
          </w:p>
        </w:tc>
      </w:tr>
      <w:tr w:rsidR="00985D8B" w:rsidRPr="00302E12" w14:paraId="4D576C0C" w14:textId="77777777" w:rsidTr="00030059">
        <w:tc>
          <w:tcPr>
            <w:tcW w:w="5000" w:type="pct"/>
            <w:gridSpan w:val="7"/>
          </w:tcPr>
          <w:p w14:paraId="79EE7DA7" w14:textId="77777777" w:rsidR="004F4778" w:rsidRPr="00302E12" w:rsidRDefault="004F4778">
            <w:pPr>
              <w:pStyle w:val="TableText"/>
            </w:pPr>
            <w:r w:rsidRPr="00302E12">
              <w:rPr>
                <w:b/>
                <w:bCs/>
              </w:rPr>
              <w:t>Change in use and cost of other health technologies</w:t>
            </w:r>
          </w:p>
        </w:tc>
      </w:tr>
      <w:tr w:rsidR="00FC2BF2" w:rsidRPr="00302E12" w14:paraId="6A125759" w14:textId="77777777" w:rsidTr="00177E31">
        <w:tc>
          <w:tcPr>
            <w:tcW w:w="1017" w:type="pct"/>
          </w:tcPr>
          <w:p w14:paraId="2DD8F648" w14:textId="77777777" w:rsidR="004F4778" w:rsidRPr="00302E12" w:rsidRDefault="004F4778">
            <w:pPr>
              <w:pStyle w:val="TableText"/>
            </w:pPr>
            <w:r w:rsidRPr="00302E12">
              <w:t>Total 100-strip pack replaced</w:t>
            </w:r>
          </w:p>
        </w:tc>
        <w:tc>
          <w:tcPr>
            <w:tcW w:w="664" w:type="pct"/>
          </w:tcPr>
          <w:p w14:paraId="776CED89" w14:textId="77777777" w:rsidR="004F4778" w:rsidRPr="00302E12" w:rsidRDefault="004F4778" w:rsidP="00A41C72">
            <w:pPr>
              <w:pStyle w:val="TableText"/>
              <w:jc w:val="center"/>
            </w:pPr>
            <w:r w:rsidRPr="00302E12">
              <w:t>5,595</w:t>
            </w:r>
          </w:p>
        </w:tc>
        <w:tc>
          <w:tcPr>
            <w:tcW w:w="665" w:type="pct"/>
          </w:tcPr>
          <w:p w14:paraId="28E1A89E" w14:textId="77777777" w:rsidR="004F4778" w:rsidRPr="00302E12" w:rsidRDefault="004F4778" w:rsidP="00A41C72">
            <w:pPr>
              <w:pStyle w:val="TableText"/>
              <w:jc w:val="center"/>
            </w:pPr>
            <w:r w:rsidRPr="00302E12">
              <w:t>6,704</w:t>
            </w:r>
          </w:p>
        </w:tc>
        <w:tc>
          <w:tcPr>
            <w:tcW w:w="664" w:type="pct"/>
          </w:tcPr>
          <w:p w14:paraId="740E7502" w14:textId="77777777" w:rsidR="004F4778" w:rsidRPr="00302E12" w:rsidRDefault="004F4778" w:rsidP="00A41C72">
            <w:pPr>
              <w:pStyle w:val="TableText"/>
              <w:jc w:val="center"/>
            </w:pPr>
            <w:r w:rsidRPr="00302E12">
              <w:t>7,483</w:t>
            </w:r>
          </w:p>
        </w:tc>
        <w:tc>
          <w:tcPr>
            <w:tcW w:w="665" w:type="pct"/>
          </w:tcPr>
          <w:p w14:paraId="69ABD618" w14:textId="77777777" w:rsidR="004F4778" w:rsidRPr="00302E12" w:rsidRDefault="004F4778" w:rsidP="00A41C72">
            <w:pPr>
              <w:pStyle w:val="TableText"/>
              <w:jc w:val="center"/>
            </w:pPr>
            <w:r w:rsidRPr="00302E12">
              <w:t>8,196</w:t>
            </w:r>
          </w:p>
        </w:tc>
        <w:tc>
          <w:tcPr>
            <w:tcW w:w="664" w:type="pct"/>
          </w:tcPr>
          <w:p w14:paraId="0041470A" w14:textId="77777777" w:rsidR="004F4778" w:rsidRPr="00302E12" w:rsidRDefault="004F4778" w:rsidP="00A41C72">
            <w:pPr>
              <w:pStyle w:val="TableText"/>
              <w:jc w:val="center"/>
            </w:pPr>
            <w:r w:rsidRPr="00302E12">
              <w:t>9,055</w:t>
            </w:r>
          </w:p>
        </w:tc>
        <w:tc>
          <w:tcPr>
            <w:tcW w:w="661" w:type="pct"/>
          </w:tcPr>
          <w:p w14:paraId="634F08D2" w14:textId="77777777" w:rsidR="004F4778" w:rsidRPr="00302E12" w:rsidRDefault="004F4778" w:rsidP="00A41C72">
            <w:pPr>
              <w:pStyle w:val="TableText"/>
              <w:jc w:val="center"/>
            </w:pPr>
            <w:r w:rsidRPr="00302E12">
              <w:t>9,597</w:t>
            </w:r>
          </w:p>
        </w:tc>
      </w:tr>
      <w:tr w:rsidR="00FC2BF2" w:rsidRPr="00302E12" w14:paraId="224DF192" w14:textId="77777777" w:rsidTr="00177E31">
        <w:tc>
          <w:tcPr>
            <w:tcW w:w="1017" w:type="pct"/>
          </w:tcPr>
          <w:p w14:paraId="5CADF19C" w14:textId="3A7F1F2C" w:rsidR="004F4778" w:rsidRPr="00302E12" w:rsidRDefault="004F4778">
            <w:pPr>
              <w:pStyle w:val="TableText"/>
            </w:pPr>
            <w:r w:rsidRPr="00302E12">
              <w:t>Total cost saving</w:t>
            </w:r>
            <w:r w:rsidR="00A5693E">
              <w:t xml:space="preserve"> (</w:t>
            </w:r>
            <w:r w:rsidR="00F50C65">
              <w:t>millions)</w:t>
            </w:r>
          </w:p>
        </w:tc>
        <w:tc>
          <w:tcPr>
            <w:tcW w:w="664" w:type="pct"/>
          </w:tcPr>
          <w:p w14:paraId="181AC651" w14:textId="39DB9F52" w:rsidR="004F4778" w:rsidRPr="00302E12" w:rsidRDefault="004F4778" w:rsidP="00A41C72">
            <w:pPr>
              <w:pStyle w:val="TableText"/>
              <w:jc w:val="center"/>
            </w:pPr>
            <w:r w:rsidRPr="00302E12">
              <w:t>$</w:t>
            </w:r>
            <w:r w:rsidR="004A6891">
              <w:t>1.0</w:t>
            </w:r>
          </w:p>
        </w:tc>
        <w:tc>
          <w:tcPr>
            <w:tcW w:w="665" w:type="pct"/>
          </w:tcPr>
          <w:p w14:paraId="5636C054" w14:textId="5F5196EB" w:rsidR="004F4778" w:rsidRPr="00302E12" w:rsidRDefault="004F4778" w:rsidP="00A41C72">
            <w:pPr>
              <w:pStyle w:val="TableText"/>
              <w:jc w:val="center"/>
            </w:pPr>
            <w:r w:rsidRPr="00302E12">
              <w:t>$1</w:t>
            </w:r>
            <w:r w:rsidR="004A6891">
              <w:t>.2</w:t>
            </w:r>
          </w:p>
        </w:tc>
        <w:tc>
          <w:tcPr>
            <w:tcW w:w="664" w:type="pct"/>
          </w:tcPr>
          <w:p w14:paraId="0D7D4B7B" w14:textId="5817B187" w:rsidR="004F4778" w:rsidRPr="00302E12" w:rsidRDefault="004F4778" w:rsidP="00A41C72">
            <w:pPr>
              <w:pStyle w:val="TableText"/>
              <w:jc w:val="center"/>
            </w:pPr>
            <w:r w:rsidRPr="00302E12">
              <w:t>$1</w:t>
            </w:r>
            <w:r w:rsidR="004A6891">
              <w:t>.3</w:t>
            </w:r>
          </w:p>
        </w:tc>
        <w:tc>
          <w:tcPr>
            <w:tcW w:w="665" w:type="pct"/>
          </w:tcPr>
          <w:p w14:paraId="1AC575EB" w14:textId="2002610F" w:rsidR="004F4778" w:rsidRPr="00302E12" w:rsidRDefault="004F4778" w:rsidP="00A41C72">
            <w:pPr>
              <w:pStyle w:val="TableText"/>
              <w:jc w:val="center"/>
            </w:pPr>
            <w:r w:rsidRPr="00302E12">
              <w:t>$1</w:t>
            </w:r>
            <w:r w:rsidR="004A6891">
              <w:t>.4</w:t>
            </w:r>
          </w:p>
        </w:tc>
        <w:tc>
          <w:tcPr>
            <w:tcW w:w="664" w:type="pct"/>
          </w:tcPr>
          <w:p w14:paraId="24496FBF" w14:textId="16524E33" w:rsidR="004F4778" w:rsidRPr="00302E12" w:rsidRDefault="004F4778" w:rsidP="00A41C72">
            <w:pPr>
              <w:pStyle w:val="TableText"/>
              <w:jc w:val="center"/>
            </w:pPr>
            <w:r w:rsidRPr="00302E12">
              <w:t>$1</w:t>
            </w:r>
            <w:r w:rsidR="004A6891">
              <w:t>.6</w:t>
            </w:r>
          </w:p>
        </w:tc>
        <w:tc>
          <w:tcPr>
            <w:tcW w:w="661" w:type="pct"/>
          </w:tcPr>
          <w:p w14:paraId="3050AEC8" w14:textId="6E8EB485" w:rsidR="004F4778" w:rsidRPr="00302E12" w:rsidRDefault="004F4778" w:rsidP="00A41C72">
            <w:pPr>
              <w:pStyle w:val="TableText"/>
              <w:jc w:val="center"/>
            </w:pPr>
            <w:r w:rsidRPr="00302E12">
              <w:t>$1</w:t>
            </w:r>
            <w:r w:rsidR="004A6891">
              <w:t>.7</w:t>
            </w:r>
          </w:p>
        </w:tc>
      </w:tr>
      <w:tr w:rsidR="00202C96" w:rsidRPr="00302E12" w14:paraId="11B1E671" w14:textId="77777777" w:rsidTr="00177E31">
        <w:tc>
          <w:tcPr>
            <w:tcW w:w="1017" w:type="pct"/>
          </w:tcPr>
          <w:p w14:paraId="23392962" w14:textId="1FB0638D" w:rsidR="00202C96" w:rsidRPr="00302E12" w:rsidRDefault="00202C96" w:rsidP="00202C96">
            <w:pPr>
              <w:pStyle w:val="TableText"/>
            </w:pPr>
            <w:r w:rsidRPr="00302E12">
              <w:rPr>
                <w:b/>
                <w:bCs/>
              </w:rPr>
              <w:t>Net financial impact to the NDSS</w:t>
            </w:r>
            <w:r>
              <w:rPr>
                <w:b/>
                <w:bCs/>
              </w:rPr>
              <w:t xml:space="preserve"> (cost in millions)</w:t>
            </w:r>
          </w:p>
        </w:tc>
        <w:tc>
          <w:tcPr>
            <w:tcW w:w="664" w:type="pct"/>
          </w:tcPr>
          <w:p w14:paraId="62F5690B" w14:textId="1F0AC2EF" w:rsidR="00202C96" w:rsidRPr="00051030" w:rsidRDefault="00202C96" w:rsidP="00202C96">
            <w:pPr>
              <w:pStyle w:val="TableText"/>
              <w:jc w:val="center"/>
              <w:rPr>
                <w:highlight w:val="yellow"/>
              </w:rPr>
            </w:pPr>
            <w:r w:rsidRPr="00D46BF9">
              <w:t>$</w:t>
            </w:r>
            <w:r w:rsidRPr="00D46BF9">
              <w:rPr>
                <w:b/>
                <w:bCs/>
              </w:rPr>
              <w:t>Redacted</w:t>
            </w:r>
            <w:r>
              <w:rPr>
                <w:vertAlign w:val="superscript"/>
              </w:rPr>
              <w:t>7</w:t>
            </w:r>
          </w:p>
        </w:tc>
        <w:tc>
          <w:tcPr>
            <w:tcW w:w="665" w:type="pct"/>
          </w:tcPr>
          <w:p w14:paraId="7BCBC008" w14:textId="7AE51AEB" w:rsidR="00202C96" w:rsidRPr="00051030" w:rsidRDefault="00202C96" w:rsidP="00202C96">
            <w:pPr>
              <w:pStyle w:val="TableText"/>
              <w:jc w:val="center"/>
              <w:rPr>
                <w:highlight w:val="yellow"/>
              </w:rPr>
            </w:pPr>
            <w:r w:rsidRPr="00B26656">
              <w:t>$</w:t>
            </w:r>
            <w:r w:rsidRPr="00B26656">
              <w:rPr>
                <w:b/>
                <w:bCs/>
              </w:rPr>
              <w:t>Redacted</w:t>
            </w:r>
            <w:r w:rsidRPr="00B26656">
              <w:rPr>
                <w:vertAlign w:val="superscript"/>
              </w:rPr>
              <w:t>6</w:t>
            </w:r>
          </w:p>
        </w:tc>
        <w:tc>
          <w:tcPr>
            <w:tcW w:w="664" w:type="pct"/>
          </w:tcPr>
          <w:p w14:paraId="5292E878" w14:textId="4246B03E" w:rsidR="00202C96" w:rsidRPr="00051030" w:rsidRDefault="00202C96" w:rsidP="00202C96">
            <w:pPr>
              <w:pStyle w:val="TableText"/>
              <w:jc w:val="center"/>
              <w:rPr>
                <w:highlight w:val="yellow"/>
              </w:rPr>
            </w:pPr>
            <w:r w:rsidRPr="00B26656">
              <w:t>$</w:t>
            </w:r>
            <w:r w:rsidRPr="00B26656">
              <w:rPr>
                <w:b/>
                <w:bCs/>
              </w:rPr>
              <w:t>Redacted</w:t>
            </w:r>
            <w:r w:rsidRPr="00B26656">
              <w:rPr>
                <w:vertAlign w:val="superscript"/>
              </w:rPr>
              <w:t>6</w:t>
            </w:r>
          </w:p>
        </w:tc>
        <w:tc>
          <w:tcPr>
            <w:tcW w:w="665" w:type="pct"/>
          </w:tcPr>
          <w:p w14:paraId="68ED1D48" w14:textId="2CE41291" w:rsidR="00202C96" w:rsidRPr="00051030" w:rsidRDefault="00202C96" w:rsidP="00202C96">
            <w:pPr>
              <w:pStyle w:val="TableText"/>
              <w:jc w:val="center"/>
              <w:rPr>
                <w:highlight w:val="yellow"/>
              </w:rPr>
            </w:pPr>
            <w:r w:rsidRPr="00B26656">
              <w:t>$</w:t>
            </w:r>
            <w:r w:rsidRPr="00B26656">
              <w:rPr>
                <w:b/>
                <w:bCs/>
              </w:rPr>
              <w:t>Redacted</w:t>
            </w:r>
            <w:r w:rsidRPr="00B26656">
              <w:rPr>
                <w:vertAlign w:val="superscript"/>
              </w:rPr>
              <w:t>6</w:t>
            </w:r>
          </w:p>
        </w:tc>
        <w:tc>
          <w:tcPr>
            <w:tcW w:w="664" w:type="pct"/>
          </w:tcPr>
          <w:p w14:paraId="6B893D41" w14:textId="44A90890" w:rsidR="00202C96" w:rsidRPr="00051030" w:rsidRDefault="00202C96" w:rsidP="00202C96">
            <w:pPr>
              <w:pStyle w:val="TableText"/>
              <w:jc w:val="center"/>
              <w:rPr>
                <w:highlight w:val="yellow"/>
              </w:rPr>
            </w:pPr>
            <w:r w:rsidRPr="00B26656">
              <w:t>$</w:t>
            </w:r>
            <w:r w:rsidRPr="00B26656">
              <w:rPr>
                <w:b/>
                <w:bCs/>
              </w:rPr>
              <w:t>Redacted</w:t>
            </w:r>
            <w:r w:rsidRPr="00B26656">
              <w:rPr>
                <w:vertAlign w:val="superscript"/>
              </w:rPr>
              <w:t>6</w:t>
            </w:r>
          </w:p>
        </w:tc>
        <w:tc>
          <w:tcPr>
            <w:tcW w:w="661" w:type="pct"/>
          </w:tcPr>
          <w:p w14:paraId="0AFFC840" w14:textId="23BA4585" w:rsidR="00202C96" w:rsidRPr="00051030" w:rsidRDefault="00202C96" w:rsidP="00202C96">
            <w:pPr>
              <w:pStyle w:val="TableText"/>
              <w:jc w:val="center"/>
              <w:rPr>
                <w:highlight w:val="yellow"/>
              </w:rPr>
            </w:pPr>
            <w:r w:rsidRPr="00B26656">
              <w:t>$</w:t>
            </w:r>
            <w:r w:rsidRPr="00B26656">
              <w:rPr>
                <w:b/>
                <w:bCs/>
              </w:rPr>
              <w:t>Redacted</w:t>
            </w:r>
            <w:r w:rsidRPr="00B26656">
              <w:rPr>
                <w:vertAlign w:val="superscript"/>
              </w:rPr>
              <w:t>6</w:t>
            </w:r>
          </w:p>
        </w:tc>
      </w:tr>
      <w:tr w:rsidR="00985D8B" w:rsidRPr="00302E12" w14:paraId="30699CD8" w14:textId="77777777" w:rsidTr="00030059">
        <w:tc>
          <w:tcPr>
            <w:tcW w:w="5000" w:type="pct"/>
            <w:gridSpan w:val="7"/>
            <w:shd w:val="clear" w:color="auto" w:fill="D9D9D9" w:themeFill="background1" w:themeFillShade="D9"/>
          </w:tcPr>
          <w:p w14:paraId="70E23073" w14:textId="6B7E6594" w:rsidR="004F4778" w:rsidRPr="00302E12" w:rsidRDefault="004F4778">
            <w:pPr>
              <w:pStyle w:val="TableText"/>
              <w:jc w:val="center"/>
              <w:rPr>
                <w:b/>
              </w:rPr>
            </w:pPr>
            <w:r w:rsidRPr="00302E12">
              <w:rPr>
                <w:b/>
              </w:rPr>
              <w:t>Overall (all subpopulation</w:t>
            </w:r>
            <w:r w:rsidR="00F065FA">
              <w:rPr>
                <w:b/>
              </w:rPr>
              <w:t>s</w:t>
            </w:r>
            <w:r w:rsidRPr="00302E12">
              <w:rPr>
                <w:b/>
              </w:rPr>
              <w:t xml:space="preserve"> combined)</w:t>
            </w:r>
          </w:p>
        </w:tc>
      </w:tr>
      <w:tr w:rsidR="00202C96" w:rsidRPr="00302E12" w14:paraId="38E778EF" w14:textId="77777777" w:rsidTr="00177E31">
        <w:tc>
          <w:tcPr>
            <w:tcW w:w="1017" w:type="pct"/>
          </w:tcPr>
          <w:p w14:paraId="5EB2E80D" w14:textId="741653F8" w:rsidR="00202C96" w:rsidRPr="00302E12" w:rsidRDefault="00202C96" w:rsidP="00202C96">
            <w:pPr>
              <w:pStyle w:val="TableText"/>
              <w:rPr>
                <w:b/>
                <w:bCs/>
              </w:rPr>
            </w:pPr>
            <w:r w:rsidRPr="00302E12">
              <w:rPr>
                <w:b/>
                <w:bCs/>
              </w:rPr>
              <w:t xml:space="preserve">Overall total cost </w:t>
            </w:r>
            <w:r>
              <w:rPr>
                <w:b/>
                <w:bCs/>
              </w:rPr>
              <w:t xml:space="preserve">in millions </w:t>
            </w:r>
            <w:r w:rsidRPr="00302E12">
              <w:rPr>
                <w:b/>
                <w:bCs/>
              </w:rPr>
              <w:t>to NDSS</w:t>
            </w:r>
          </w:p>
        </w:tc>
        <w:tc>
          <w:tcPr>
            <w:tcW w:w="664" w:type="pct"/>
          </w:tcPr>
          <w:p w14:paraId="107D35E8" w14:textId="3C09C48D"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8</w:t>
            </w:r>
          </w:p>
        </w:tc>
        <w:tc>
          <w:tcPr>
            <w:tcW w:w="664" w:type="pct"/>
          </w:tcPr>
          <w:p w14:paraId="2E89D070" w14:textId="5DC628C4"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9</w:t>
            </w:r>
          </w:p>
        </w:tc>
        <w:tc>
          <w:tcPr>
            <w:tcW w:w="664" w:type="pct"/>
          </w:tcPr>
          <w:p w14:paraId="780E1347" w14:textId="1616D55A"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11</w:t>
            </w:r>
          </w:p>
        </w:tc>
        <w:tc>
          <w:tcPr>
            <w:tcW w:w="664" w:type="pct"/>
          </w:tcPr>
          <w:p w14:paraId="4F068CA5" w14:textId="050391A0" w:rsidR="00202C96" w:rsidRPr="00051030" w:rsidRDefault="00202C96" w:rsidP="00202C96">
            <w:pPr>
              <w:pStyle w:val="TableText"/>
              <w:jc w:val="center"/>
              <w:rPr>
                <w:b/>
                <w:bCs/>
                <w:highlight w:val="yellow"/>
              </w:rPr>
            </w:pPr>
            <w:r w:rsidRPr="006A2E99">
              <w:t>$</w:t>
            </w:r>
            <w:r w:rsidRPr="006A2E99">
              <w:rPr>
                <w:b/>
                <w:bCs/>
              </w:rPr>
              <w:t>Redacted</w:t>
            </w:r>
            <w:r w:rsidRPr="006A2E99">
              <w:rPr>
                <w:vertAlign w:val="superscript"/>
              </w:rPr>
              <w:t>11</w:t>
            </w:r>
          </w:p>
        </w:tc>
        <w:tc>
          <w:tcPr>
            <w:tcW w:w="664" w:type="pct"/>
          </w:tcPr>
          <w:p w14:paraId="494E678A" w14:textId="74F655E1" w:rsidR="00202C96" w:rsidRPr="00051030" w:rsidRDefault="00202C96" w:rsidP="00202C96">
            <w:pPr>
              <w:pStyle w:val="TableText"/>
              <w:jc w:val="center"/>
              <w:rPr>
                <w:b/>
                <w:bCs/>
                <w:highlight w:val="yellow"/>
              </w:rPr>
            </w:pPr>
            <w:r w:rsidRPr="006A2E99">
              <w:t>$</w:t>
            </w:r>
            <w:r w:rsidRPr="006A2E99">
              <w:rPr>
                <w:b/>
                <w:bCs/>
              </w:rPr>
              <w:t>Redacted</w:t>
            </w:r>
            <w:r w:rsidRPr="006A2E99">
              <w:rPr>
                <w:vertAlign w:val="superscript"/>
              </w:rPr>
              <w:t>11</w:t>
            </w:r>
          </w:p>
        </w:tc>
        <w:tc>
          <w:tcPr>
            <w:tcW w:w="664" w:type="pct"/>
          </w:tcPr>
          <w:p w14:paraId="5FE6EB8D" w14:textId="29497FC4" w:rsidR="00202C96" w:rsidRPr="00051030" w:rsidRDefault="00202C96" w:rsidP="00202C96">
            <w:pPr>
              <w:pStyle w:val="TableText"/>
              <w:jc w:val="center"/>
              <w:rPr>
                <w:b/>
                <w:bCs/>
                <w:highlight w:val="yellow"/>
              </w:rPr>
            </w:pPr>
            <w:r w:rsidRPr="006A2E99">
              <w:t>$</w:t>
            </w:r>
            <w:r w:rsidRPr="006A2E99">
              <w:rPr>
                <w:b/>
                <w:bCs/>
              </w:rPr>
              <w:t>Redacted</w:t>
            </w:r>
            <w:r w:rsidRPr="006A2E99">
              <w:rPr>
                <w:vertAlign w:val="superscript"/>
              </w:rPr>
              <w:t>11</w:t>
            </w:r>
          </w:p>
        </w:tc>
      </w:tr>
      <w:tr w:rsidR="00202C96" w:rsidRPr="00302E12" w14:paraId="63E60D65" w14:textId="77777777" w:rsidTr="00177E31">
        <w:tc>
          <w:tcPr>
            <w:tcW w:w="1017" w:type="pct"/>
          </w:tcPr>
          <w:p w14:paraId="23173434" w14:textId="4E245CC5" w:rsidR="00202C96" w:rsidRPr="00302E12" w:rsidRDefault="00202C96" w:rsidP="00202C96">
            <w:pPr>
              <w:pStyle w:val="TableText"/>
              <w:rPr>
                <w:b/>
                <w:bCs/>
              </w:rPr>
            </w:pPr>
            <w:r w:rsidRPr="00302E12">
              <w:rPr>
                <w:b/>
                <w:bCs/>
              </w:rPr>
              <w:t>Overall total cost saving</w:t>
            </w:r>
            <w:r>
              <w:rPr>
                <w:b/>
                <w:bCs/>
              </w:rPr>
              <w:t xml:space="preserve"> (millions)</w:t>
            </w:r>
          </w:p>
        </w:tc>
        <w:tc>
          <w:tcPr>
            <w:tcW w:w="664" w:type="pct"/>
          </w:tcPr>
          <w:p w14:paraId="4C3A7E64" w14:textId="03B752C1" w:rsidR="00202C96" w:rsidRPr="00051030" w:rsidRDefault="00202C96" w:rsidP="00202C96">
            <w:pPr>
              <w:pStyle w:val="TableText"/>
              <w:jc w:val="center"/>
              <w:rPr>
                <w:b/>
                <w:highlight w:val="yellow"/>
              </w:rPr>
            </w:pPr>
            <w:r w:rsidRPr="00D46BF9">
              <w:t>$</w:t>
            </w:r>
            <w:r w:rsidRPr="00D46BF9">
              <w:rPr>
                <w:b/>
                <w:bCs/>
              </w:rPr>
              <w:t>Redacted</w:t>
            </w:r>
            <w:r>
              <w:rPr>
                <w:vertAlign w:val="superscript"/>
              </w:rPr>
              <w:t>7</w:t>
            </w:r>
          </w:p>
        </w:tc>
        <w:tc>
          <w:tcPr>
            <w:tcW w:w="664" w:type="pct"/>
          </w:tcPr>
          <w:p w14:paraId="7B0F9173" w14:textId="2AEE73B5" w:rsidR="00202C96" w:rsidRPr="00051030" w:rsidRDefault="00202C96" w:rsidP="00202C96">
            <w:pPr>
              <w:pStyle w:val="TableText"/>
              <w:jc w:val="center"/>
              <w:rPr>
                <w:b/>
                <w:highlight w:val="yellow"/>
              </w:rPr>
            </w:pPr>
            <w:r w:rsidRPr="002D7996">
              <w:t>$</w:t>
            </w:r>
            <w:r w:rsidRPr="002D7996">
              <w:rPr>
                <w:b/>
                <w:bCs/>
              </w:rPr>
              <w:t>Redacted</w:t>
            </w:r>
            <w:r w:rsidRPr="002D7996">
              <w:rPr>
                <w:vertAlign w:val="superscript"/>
              </w:rPr>
              <w:t>6</w:t>
            </w:r>
          </w:p>
        </w:tc>
        <w:tc>
          <w:tcPr>
            <w:tcW w:w="664" w:type="pct"/>
          </w:tcPr>
          <w:p w14:paraId="1F4BE1CA" w14:textId="18D9A612" w:rsidR="00202C96" w:rsidRPr="00051030" w:rsidRDefault="00202C96" w:rsidP="00202C96">
            <w:pPr>
              <w:pStyle w:val="TableText"/>
              <w:jc w:val="center"/>
              <w:rPr>
                <w:b/>
                <w:highlight w:val="yellow"/>
              </w:rPr>
            </w:pPr>
            <w:r w:rsidRPr="002D7996">
              <w:t>$</w:t>
            </w:r>
            <w:r w:rsidRPr="002D7996">
              <w:rPr>
                <w:b/>
                <w:bCs/>
              </w:rPr>
              <w:t>Redacted</w:t>
            </w:r>
            <w:r w:rsidRPr="002D7996">
              <w:rPr>
                <w:vertAlign w:val="superscript"/>
              </w:rPr>
              <w:t>6</w:t>
            </w:r>
          </w:p>
        </w:tc>
        <w:tc>
          <w:tcPr>
            <w:tcW w:w="664" w:type="pct"/>
          </w:tcPr>
          <w:p w14:paraId="3D21C359" w14:textId="70C4C6AB" w:rsidR="00202C96" w:rsidRPr="00051030" w:rsidRDefault="00202C96" w:rsidP="00202C96">
            <w:pPr>
              <w:pStyle w:val="TableText"/>
              <w:jc w:val="center"/>
              <w:rPr>
                <w:b/>
                <w:highlight w:val="yellow"/>
              </w:rPr>
            </w:pPr>
            <w:r w:rsidRPr="002D7996">
              <w:t>$</w:t>
            </w:r>
            <w:r w:rsidRPr="002D7996">
              <w:rPr>
                <w:b/>
                <w:bCs/>
              </w:rPr>
              <w:t>Redacted</w:t>
            </w:r>
            <w:r w:rsidRPr="002D7996">
              <w:rPr>
                <w:vertAlign w:val="superscript"/>
              </w:rPr>
              <w:t>6</w:t>
            </w:r>
          </w:p>
        </w:tc>
        <w:tc>
          <w:tcPr>
            <w:tcW w:w="664" w:type="pct"/>
          </w:tcPr>
          <w:p w14:paraId="534FF350" w14:textId="48068EEC" w:rsidR="00202C96" w:rsidRPr="00051030" w:rsidRDefault="00202C96" w:rsidP="00202C96">
            <w:pPr>
              <w:pStyle w:val="TableText"/>
              <w:jc w:val="center"/>
              <w:rPr>
                <w:b/>
                <w:highlight w:val="yellow"/>
              </w:rPr>
            </w:pPr>
            <w:r w:rsidRPr="002D7996">
              <w:t>$</w:t>
            </w:r>
            <w:r w:rsidRPr="002D7996">
              <w:rPr>
                <w:b/>
                <w:bCs/>
              </w:rPr>
              <w:t>Redacted</w:t>
            </w:r>
            <w:r w:rsidRPr="002D7996">
              <w:rPr>
                <w:vertAlign w:val="superscript"/>
              </w:rPr>
              <w:t>6</w:t>
            </w:r>
          </w:p>
        </w:tc>
        <w:tc>
          <w:tcPr>
            <w:tcW w:w="664" w:type="pct"/>
          </w:tcPr>
          <w:p w14:paraId="3D3636EE" w14:textId="3EA5D6DD" w:rsidR="00202C96" w:rsidRPr="00051030" w:rsidRDefault="00202C96" w:rsidP="00202C96">
            <w:pPr>
              <w:pStyle w:val="TableText"/>
              <w:jc w:val="center"/>
              <w:rPr>
                <w:b/>
                <w:highlight w:val="yellow"/>
              </w:rPr>
            </w:pPr>
            <w:r w:rsidRPr="002D7996">
              <w:t>$</w:t>
            </w:r>
            <w:r w:rsidRPr="002D7996">
              <w:rPr>
                <w:b/>
                <w:bCs/>
              </w:rPr>
              <w:t>Redacted</w:t>
            </w:r>
            <w:r w:rsidRPr="002D7996">
              <w:rPr>
                <w:vertAlign w:val="superscript"/>
              </w:rPr>
              <w:t>6</w:t>
            </w:r>
          </w:p>
        </w:tc>
      </w:tr>
      <w:tr w:rsidR="00202C96" w:rsidRPr="00302E12" w14:paraId="213DDD55" w14:textId="77777777" w:rsidTr="00177E31">
        <w:tc>
          <w:tcPr>
            <w:tcW w:w="1017" w:type="pct"/>
          </w:tcPr>
          <w:p w14:paraId="0B9CB9BB" w14:textId="6C1D8007" w:rsidR="00202C96" w:rsidRPr="00302E12" w:rsidRDefault="00202C96" w:rsidP="00202C96">
            <w:pPr>
              <w:pStyle w:val="TableText"/>
              <w:rPr>
                <w:b/>
                <w:bCs/>
              </w:rPr>
            </w:pPr>
            <w:r w:rsidRPr="00302E12">
              <w:rPr>
                <w:b/>
                <w:bCs/>
              </w:rPr>
              <w:t>Overall net financial impact to the NDSS</w:t>
            </w:r>
            <w:r>
              <w:rPr>
                <w:b/>
                <w:bCs/>
              </w:rPr>
              <w:t xml:space="preserve"> (cost in millions)</w:t>
            </w:r>
          </w:p>
        </w:tc>
        <w:tc>
          <w:tcPr>
            <w:tcW w:w="664" w:type="pct"/>
          </w:tcPr>
          <w:p w14:paraId="168DECD7" w14:textId="7B30C209"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5</w:t>
            </w:r>
          </w:p>
        </w:tc>
        <w:tc>
          <w:tcPr>
            <w:tcW w:w="664" w:type="pct"/>
          </w:tcPr>
          <w:p w14:paraId="5DC3A688" w14:textId="1890C6BD" w:rsidR="00202C96" w:rsidRPr="00051030" w:rsidRDefault="00202C96" w:rsidP="00202C96">
            <w:pPr>
              <w:pStyle w:val="TableText"/>
              <w:jc w:val="center"/>
              <w:rPr>
                <w:b/>
                <w:bCs/>
                <w:highlight w:val="yellow"/>
              </w:rPr>
            </w:pPr>
            <w:r w:rsidRPr="00D46BF9">
              <w:t>$</w:t>
            </w:r>
            <w:r w:rsidRPr="00D46BF9">
              <w:rPr>
                <w:b/>
                <w:bCs/>
              </w:rPr>
              <w:t>Redacted</w:t>
            </w:r>
            <w:r>
              <w:rPr>
                <w:vertAlign w:val="superscript"/>
              </w:rPr>
              <w:t>10</w:t>
            </w:r>
          </w:p>
        </w:tc>
        <w:tc>
          <w:tcPr>
            <w:tcW w:w="664" w:type="pct"/>
          </w:tcPr>
          <w:p w14:paraId="35D8929D" w14:textId="0524F0B1" w:rsidR="00202C96" w:rsidRPr="00051030" w:rsidRDefault="00202C96" w:rsidP="00202C96">
            <w:pPr>
              <w:pStyle w:val="TableText"/>
              <w:jc w:val="center"/>
              <w:rPr>
                <w:b/>
                <w:bCs/>
                <w:highlight w:val="yellow"/>
              </w:rPr>
            </w:pPr>
            <w:r w:rsidRPr="00E53DE8">
              <w:t>$</w:t>
            </w:r>
            <w:r w:rsidRPr="00E53DE8">
              <w:rPr>
                <w:b/>
                <w:bCs/>
              </w:rPr>
              <w:t>Redacted</w:t>
            </w:r>
            <w:r w:rsidRPr="00E53DE8">
              <w:rPr>
                <w:vertAlign w:val="superscript"/>
              </w:rPr>
              <w:t>11</w:t>
            </w:r>
          </w:p>
        </w:tc>
        <w:tc>
          <w:tcPr>
            <w:tcW w:w="664" w:type="pct"/>
          </w:tcPr>
          <w:p w14:paraId="507D5764" w14:textId="75327A55" w:rsidR="00202C96" w:rsidRPr="00051030" w:rsidRDefault="00202C96" w:rsidP="00202C96">
            <w:pPr>
              <w:pStyle w:val="TableText"/>
              <w:jc w:val="center"/>
              <w:rPr>
                <w:b/>
                <w:bCs/>
                <w:highlight w:val="yellow"/>
              </w:rPr>
            </w:pPr>
            <w:r w:rsidRPr="00E53DE8">
              <w:t>$</w:t>
            </w:r>
            <w:r w:rsidRPr="00E53DE8">
              <w:rPr>
                <w:b/>
                <w:bCs/>
              </w:rPr>
              <w:t>Redacted</w:t>
            </w:r>
            <w:r w:rsidRPr="00E53DE8">
              <w:rPr>
                <w:vertAlign w:val="superscript"/>
              </w:rPr>
              <w:t>11</w:t>
            </w:r>
          </w:p>
        </w:tc>
        <w:tc>
          <w:tcPr>
            <w:tcW w:w="664" w:type="pct"/>
          </w:tcPr>
          <w:p w14:paraId="738E86AB" w14:textId="2C8C0C63" w:rsidR="00202C96" w:rsidRPr="00051030" w:rsidRDefault="00202C96" w:rsidP="00202C96">
            <w:pPr>
              <w:pStyle w:val="TableText"/>
              <w:jc w:val="center"/>
              <w:rPr>
                <w:b/>
                <w:bCs/>
                <w:highlight w:val="yellow"/>
              </w:rPr>
            </w:pPr>
            <w:r w:rsidRPr="00E53DE8">
              <w:t>$</w:t>
            </w:r>
            <w:r w:rsidRPr="00E53DE8">
              <w:rPr>
                <w:b/>
                <w:bCs/>
              </w:rPr>
              <w:t>Redacted</w:t>
            </w:r>
            <w:r w:rsidRPr="00E53DE8">
              <w:rPr>
                <w:vertAlign w:val="superscript"/>
              </w:rPr>
              <w:t>11</w:t>
            </w:r>
          </w:p>
        </w:tc>
        <w:tc>
          <w:tcPr>
            <w:tcW w:w="664" w:type="pct"/>
          </w:tcPr>
          <w:p w14:paraId="3DD14B2D" w14:textId="13C3EF09" w:rsidR="00202C96" w:rsidRPr="00051030" w:rsidRDefault="00202C96" w:rsidP="00202C96">
            <w:pPr>
              <w:pStyle w:val="TableText"/>
              <w:jc w:val="center"/>
              <w:rPr>
                <w:b/>
                <w:bCs/>
                <w:highlight w:val="yellow"/>
              </w:rPr>
            </w:pPr>
            <w:r w:rsidRPr="00E53DE8">
              <w:t>$</w:t>
            </w:r>
            <w:r w:rsidRPr="00E53DE8">
              <w:rPr>
                <w:b/>
                <w:bCs/>
              </w:rPr>
              <w:t>Redacted</w:t>
            </w:r>
            <w:r w:rsidRPr="00E53DE8">
              <w:rPr>
                <w:vertAlign w:val="superscript"/>
              </w:rPr>
              <w:t>11</w:t>
            </w:r>
          </w:p>
        </w:tc>
      </w:tr>
    </w:tbl>
    <w:p w14:paraId="5D60D381" w14:textId="4147B584" w:rsidR="004F4778" w:rsidRDefault="00B852B9" w:rsidP="004F4778">
      <w:pPr>
        <w:pStyle w:val="TableNote"/>
        <w:spacing w:after="0"/>
        <w:rPr>
          <w:rFonts w:ascii="Franklin Gothic Book" w:eastAsiaTheme="minorHAnsi" w:hAnsi="Franklin Gothic Book" w:cstheme="minorBidi"/>
          <w:sz w:val="22"/>
          <w:szCs w:val="22"/>
        </w:rPr>
      </w:pPr>
      <w:r w:rsidRPr="00B852B9">
        <w:rPr>
          <w:rFonts w:ascii="Arial Narrow" w:eastAsia="Arial Narrow" w:hAnsi="Arial Narrow" w:cs="Arial Narrow"/>
          <w:b/>
          <w:bCs/>
          <w:sz w:val="18"/>
          <w:szCs w:val="18"/>
        </w:rPr>
        <w:t>Abbreviations:</w:t>
      </w:r>
      <w:r>
        <w:rPr>
          <w:rFonts w:ascii="Arial Narrow" w:eastAsia="Arial Narrow" w:hAnsi="Arial Narrow" w:cs="Arial Narrow"/>
          <w:sz w:val="18"/>
          <w:szCs w:val="18"/>
        </w:rPr>
        <w:t xml:space="preserve"> </w:t>
      </w:r>
      <w:r w:rsidR="000C0214">
        <w:rPr>
          <w:rFonts w:ascii="Arial Narrow" w:eastAsia="Arial Narrow" w:hAnsi="Arial Narrow" w:cs="Arial Narrow"/>
          <w:sz w:val="18"/>
          <w:szCs w:val="18"/>
        </w:rPr>
        <w:t xml:space="preserve">GDM </w:t>
      </w:r>
      <w:r w:rsidR="00AE0CE9">
        <w:rPr>
          <w:rFonts w:ascii="Arial Narrow" w:eastAsia="Arial Narrow" w:hAnsi="Arial Narrow" w:cs="Arial Narrow"/>
          <w:sz w:val="18"/>
          <w:szCs w:val="18"/>
        </w:rPr>
        <w:t>= gestational diabetes mellitus;</w:t>
      </w:r>
      <w:r>
        <w:rPr>
          <w:rFonts w:ascii="Arial Narrow" w:eastAsia="Arial Narrow" w:hAnsi="Arial Narrow" w:cs="Arial Narrow"/>
          <w:sz w:val="18"/>
          <w:szCs w:val="18"/>
        </w:rPr>
        <w:t xml:space="preserve"> </w:t>
      </w:r>
      <w:r w:rsidR="004F4778" w:rsidRPr="00302E12">
        <w:rPr>
          <w:rFonts w:ascii="Arial Narrow" w:eastAsia="Arial Narrow" w:hAnsi="Arial Narrow" w:cs="Arial Narrow"/>
          <w:sz w:val="18"/>
          <w:szCs w:val="18"/>
        </w:rPr>
        <w:t>HbA1c = glycated haemoglobin; IIT = intensive insulin t</w:t>
      </w:r>
      <w:r w:rsidR="00B13667">
        <w:rPr>
          <w:rFonts w:ascii="Arial Narrow" w:eastAsia="Arial Narrow" w:hAnsi="Arial Narrow" w:cs="Arial Narrow"/>
          <w:sz w:val="18"/>
          <w:szCs w:val="18"/>
        </w:rPr>
        <w:t>herapy</w:t>
      </w:r>
      <w:r w:rsidR="004F4778" w:rsidRPr="00302E12">
        <w:rPr>
          <w:rFonts w:ascii="Arial Narrow" w:eastAsia="Arial Narrow" w:hAnsi="Arial Narrow" w:cs="Arial Narrow"/>
          <w:sz w:val="18"/>
          <w:szCs w:val="18"/>
        </w:rPr>
        <w:t xml:space="preserve">; non-IIT = non-intensive insulin treatment; NDSS = National Diabetes Services Scheme; RT-CGM = real time continuous glucose monitoring; T2D = type 2 diabetes.  </w:t>
      </w:r>
      <w:r w:rsidR="004F4778" w:rsidRPr="00302E12">
        <w:rPr>
          <w:rFonts w:ascii="Arial Narrow" w:eastAsia="Arial Narrow" w:hAnsi="Arial Narrow" w:cs="Arial Narrow"/>
          <w:sz w:val="18"/>
          <w:szCs w:val="18"/>
        </w:rPr>
        <w:br/>
        <w:t xml:space="preserve">*Applied model-based estimates of average 6-year healthcare cost savings associated with complication avoidance following introduction of RT-CGM vs SMBG. The average 6-year estimated saving for </w:t>
      </w:r>
      <w:r w:rsidR="007E0A5F">
        <w:rPr>
          <w:rFonts w:ascii="Arial Narrow" w:eastAsia="Arial Narrow" w:hAnsi="Arial Narrow" w:cs="Arial Narrow"/>
          <w:sz w:val="18"/>
          <w:szCs w:val="18"/>
        </w:rPr>
        <w:t>the</w:t>
      </w:r>
      <w:r w:rsidR="004F4778" w:rsidRPr="00302E12">
        <w:rPr>
          <w:rFonts w:ascii="Arial Narrow" w:eastAsia="Arial Narrow" w:hAnsi="Arial Narrow" w:cs="Arial Narrow"/>
          <w:sz w:val="18"/>
          <w:szCs w:val="18"/>
        </w:rPr>
        <w:t xml:space="preserve"> IIT population and </w:t>
      </w:r>
      <w:r w:rsidR="007E0A5F">
        <w:rPr>
          <w:rFonts w:ascii="Arial Narrow" w:eastAsia="Arial Narrow" w:hAnsi="Arial Narrow" w:cs="Arial Narrow"/>
          <w:sz w:val="18"/>
          <w:szCs w:val="18"/>
        </w:rPr>
        <w:t>the</w:t>
      </w:r>
      <w:r w:rsidR="004F4778" w:rsidRPr="00302E12">
        <w:rPr>
          <w:rFonts w:ascii="Arial Narrow" w:eastAsia="Arial Narrow" w:hAnsi="Arial Narrow" w:cs="Arial Narrow"/>
          <w:sz w:val="18"/>
          <w:szCs w:val="18"/>
        </w:rPr>
        <w:t xml:space="preserve"> First Nations subpopulation was $726.30 and for non-IIT was $487.95.</w:t>
      </w:r>
      <w:r w:rsidR="004F4778" w:rsidRPr="00302E12">
        <w:rPr>
          <w:rFonts w:ascii="Franklin Gothic Book" w:eastAsiaTheme="minorHAnsi" w:hAnsi="Franklin Gothic Book" w:cstheme="minorBidi"/>
          <w:sz w:val="22"/>
          <w:szCs w:val="22"/>
        </w:rPr>
        <w:t xml:space="preserve"> </w:t>
      </w:r>
    </w:p>
    <w:p w14:paraId="1AFAB69A" w14:textId="0DF20F1A" w:rsidR="00B852B9" w:rsidRDefault="00B852B9" w:rsidP="004F4778">
      <w:pPr>
        <w:pStyle w:val="TableNote"/>
        <w:spacing w:after="0"/>
        <w:rPr>
          <w:rFonts w:ascii="Arial Narrow" w:eastAsia="Arial Narrow" w:hAnsi="Arial Narrow" w:cs="Arial Narrow"/>
          <w:sz w:val="18"/>
          <w:szCs w:val="18"/>
        </w:rPr>
      </w:pPr>
      <w:r w:rsidRPr="007A73CE">
        <w:rPr>
          <w:rFonts w:ascii="Arial Narrow" w:eastAsia="Arial Narrow" w:hAnsi="Arial Narrow" w:cs="Arial Narrow"/>
          <w:b/>
          <w:bCs/>
          <w:sz w:val="18"/>
          <w:szCs w:val="18"/>
        </w:rPr>
        <w:t>Source:</w:t>
      </w:r>
      <w:r w:rsidRPr="007A73CE">
        <w:rPr>
          <w:rFonts w:ascii="Arial Narrow" w:eastAsia="Arial Narrow" w:hAnsi="Arial Narrow" w:cs="Arial Narrow"/>
          <w:sz w:val="18"/>
          <w:szCs w:val="18"/>
        </w:rPr>
        <w:t xml:space="preserve"> Adapted from Tables </w:t>
      </w:r>
      <w:r w:rsidR="008F6BE0" w:rsidRPr="007A73CE">
        <w:rPr>
          <w:rFonts w:ascii="Arial Narrow" w:eastAsia="Arial Narrow" w:hAnsi="Arial Narrow" w:cs="Arial Narrow"/>
          <w:sz w:val="18"/>
          <w:szCs w:val="18"/>
        </w:rPr>
        <w:t>5</w:t>
      </w:r>
      <w:r w:rsidR="007A73CE" w:rsidRPr="007A73CE">
        <w:rPr>
          <w:rFonts w:ascii="Arial Narrow" w:eastAsia="Arial Narrow" w:hAnsi="Arial Narrow" w:cs="Arial Narrow"/>
          <w:sz w:val="18"/>
          <w:szCs w:val="18"/>
        </w:rPr>
        <w:t>5</w:t>
      </w:r>
      <w:r w:rsidR="008F6BE0" w:rsidRPr="007A73CE">
        <w:rPr>
          <w:rFonts w:ascii="Arial Narrow" w:eastAsia="Arial Narrow" w:hAnsi="Arial Narrow" w:cs="Arial Narrow"/>
          <w:sz w:val="18"/>
          <w:szCs w:val="18"/>
        </w:rPr>
        <w:t>-63</w:t>
      </w:r>
      <w:r w:rsidRPr="007A73CE">
        <w:rPr>
          <w:rFonts w:ascii="Arial Narrow" w:eastAsia="Arial Narrow" w:hAnsi="Arial Narrow" w:cs="Arial Narrow"/>
          <w:sz w:val="18"/>
          <w:szCs w:val="18"/>
        </w:rPr>
        <w:t>, pp. 1</w:t>
      </w:r>
      <w:r w:rsidR="007A73CE" w:rsidRPr="007A73CE">
        <w:rPr>
          <w:rFonts w:ascii="Arial Narrow" w:eastAsia="Arial Narrow" w:hAnsi="Arial Narrow" w:cs="Arial Narrow"/>
          <w:sz w:val="18"/>
          <w:szCs w:val="18"/>
        </w:rPr>
        <w:t>25</w:t>
      </w:r>
      <w:r w:rsidRPr="007A73CE">
        <w:rPr>
          <w:rFonts w:ascii="Arial Narrow" w:eastAsia="Arial Narrow" w:hAnsi="Arial Narrow" w:cs="Arial Narrow"/>
          <w:sz w:val="18"/>
          <w:szCs w:val="18"/>
        </w:rPr>
        <w:t>-1</w:t>
      </w:r>
      <w:r w:rsidR="007A73CE" w:rsidRPr="007A73CE">
        <w:rPr>
          <w:rFonts w:ascii="Arial Narrow" w:eastAsia="Arial Narrow" w:hAnsi="Arial Narrow" w:cs="Arial Narrow"/>
          <w:sz w:val="18"/>
          <w:szCs w:val="18"/>
        </w:rPr>
        <w:t>33</w:t>
      </w:r>
      <w:r w:rsidRPr="007A73CE">
        <w:rPr>
          <w:rFonts w:ascii="Arial Narrow" w:eastAsia="Arial Narrow" w:hAnsi="Arial Narrow" w:cs="Arial Narrow"/>
          <w:sz w:val="18"/>
          <w:szCs w:val="18"/>
        </w:rPr>
        <w:t> of the MSAC 1785 ADAR + in-line commentary</w:t>
      </w:r>
    </w:p>
    <w:p w14:paraId="532EDC6D" w14:textId="77777777" w:rsidR="009A7448" w:rsidRDefault="009A7448" w:rsidP="009A7448">
      <w:pPr>
        <w:pStyle w:val="TableFooter"/>
        <w:rPr>
          <w:lang w:eastAsia="en-AU"/>
        </w:rPr>
      </w:pPr>
      <w:r>
        <w:rPr>
          <w:lang w:eastAsia="en-AU"/>
        </w:rPr>
        <w:t>The redacted values correspond to the following ranges:</w:t>
      </w:r>
    </w:p>
    <w:p w14:paraId="47CB34EA" w14:textId="0BD1AB3A" w:rsidR="009A7448" w:rsidRDefault="009A7448" w:rsidP="009A7448">
      <w:pPr>
        <w:pStyle w:val="TableFooter"/>
        <w:rPr>
          <w:lang w:eastAsia="en-AU"/>
        </w:rPr>
      </w:pPr>
      <w:r>
        <w:rPr>
          <w:vertAlign w:val="superscript"/>
          <w:lang w:eastAsia="en-AU"/>
        </w:rPr>
        <w:t>1</w:t>
      </w:r>
      <w:r>
        <w:rPr>
          <w:lang w:eastAsia="en-AU"/>
        </w:rPr>
        <w:t xml:space="preserve"> $20 million to &lt; $30 million</w:t>
      </w:r>
    </w:p>
    <w:p w14:paraId="59B9BD63" w14:textId="3019F657" w:rsidR="009A7448" w:rsidRDefault="009A7448" w:rsidP="009A7448">
      <w:pPr>
        <w:pStyle w:val="TableFooter"/>
        <w:rPr>
          <w:lang w:eastAsia="en-AU"/>
        </w:rPr>
      </w:pPr>
      <w:r w:rsidRPr="00637C8D">
        <w:rPr>
          <w:vertAlign w:val="superscript"/>
          <w:lang w:eastAsia="en-AU"/>
        </w:rPr>
        <w:t>2</w:t>
      </w:r>
      <w:r>
        <w:rPr>
          <w:lang w:eastAsia="en-AU"/>
        </w:rPr>
        <w:t xml:space="preserve"> $30 million to &lt; $40 million</w:t>
      </w:r>
    </w:p>
    <w:p w14:paraId="45A36AA3" w14:textId="1507A2A9" w:rsidR="009A7448" w:rsidRDefault="009A7448" w:rsidP="009A7448">
      <w:pPr>
        <w:pStyle w:val="TableFooter"/>
        <w:rPr>
          <w:lang w:eastAsia="en-AU"/>
        </w:rPr>
      </w:pPr>
      <w:r>
        <w:rPr>
          <w:vertAlign w:val="superscript"/>
          <w:lang w:eastAsia="en-AU"/>
        </w:rPr>
        <w:t>3</w:t>
      </w:r>
      <w:r>
        <w:rPr>
          <w:lang w:eastAsia="en-AU"/>
        </w:rPr>
        <w:t xml:space="preserve"> $40 million to &lt; $50 million</w:t>
      </w:r>
    </w:p>
    <w:p w14:paraId="68CDCE97" w14:textId="0D7365B9" w:rsidR="009A7448" w:rsidRDefault="009A7448" w:rsidP="009A7448">
      <w:pPr>
        <w:pStyle w:val="TableFooter"/>
        <w:rPr>
          <w:lang w:eastAsia="en-AU"/>
        </w:rPr>
      </w:pPr>
      <w:r>
        <w:rPr>
          <w:vertAlign w:val="superscript"/>
          <w:lang w:eastAsia="en-AU"/>
        </w:rPr>
        <w:t>4</w:t>
      </w:r>
      <w:r>
        <w:rPr>
          <w:lang w:eastAsia="en-AU"/>
        </w:rPr>
        <w:t xml:space="preserve"> $50 million to &lt; $60 million</w:t>
      </w:r>
    </w:p>
    <w:p w14:paraId="2AD66A56" w14:textId="7564A874" w:rsidR="00202C96" w:rsidRDefault="00202C96" w:rsidP="009A7448">
      <w:pPr>
        <w:pStyle w:val="TableFooter"/>
        <w:rPr>
          <w:lang w:eastAsia="en-AU"/>
        </w:rPr>
      </w:pPr>
      <w:r>
        <w:rPr>
          <w:vertAlign w:val="superscript"/>
          <w:lang w:eastAsia="en-AU"/>
        </w:rPr>
        <w:t>5</w:t>
      </w:r>
      <w:r>
        <w:rPr>
          <w:lang w:eastAsia="en-AU"/>
        </w:rPr>
        <w:t xml:space="preserve"> $60 million to &lt; $70 million</w:t>
      </w:r>
    </w:p>
    <w:p w14:paraId="140FAB0A" w14:textId="67DB035B" w:rsidR="00202C96" w:rsidRDefault="00202C96" w:rsidP="009A7448">
      <w:pPr>
        <w:pStyle w:val="TableFooter"/>
        <w:rPr>
          <w:lang w:eastAsia="en-AU"/>
        </w:rPr>
      </w:pPr>
      <w:r>
        <w:rPr>
          <w:vertAlign w:val="superscript"/>
          <w:lang w:eastAsia="en-AU"/>
        </w:rPr>
        <w:t>6</w:t>
      </w:r>
      <w:r>
        <w:rPr>
          <w:lang w:eastAsia="en-AU"/>
        </w:rPr>
        <w:t xml:space="preserve"> $10 million to &lt; $20 million</w:t>
      </w:r>
    </w:p>
    <w:p w14:paraId="4BFE8DAC" w14:textId="26CBCEFF" w:rsidR="00202C96" w:rsidRDefault="00202C96" w:rsidP="009A7448">
      <w:pPr>
        <w:pStyle w:val="TableFooter"/>
        <w:rPr>
          <w:lang w:eastAsia="en-AU"/>
        </w:rPr>
      </w:pPr>
      <w:r>
        <w:rPr>
          <w:vertAlign w:val="superscript"/>
          <w:lang w:eastAsia="en-AU"/>
        </w:rPr>
        <w:t>7</w:t>
      </w:r>
      <w:r>
        <w:rPr>
          <w:lang w:eastAsia="en-AU"/>
        </w:rPr>
        <w:t xml:space="preserve"> $0 to &lt; $10 million</w:t>
      </w:r>
    </w:p>
    <w:p w14:paraId="41F88915" w14:textId="6A02A8EF" w:rsidR="00202C96" w:rsidRDefault="00202C96" w:rsidP="009A7448">
      <w:pPr>
        <w:pStyle w:val="TableFooter"/>
        <w:rPr>
          <w:lang w:eastAsia="en-AU"/>
        </w:rPr>
      </w:pPr>
      <w:r>
        <w:rPr>
          <w:vertAlign w:val="superscript"/>
          <w:lang w:eastAsia="en-AU"/>
        </w:rPr>
        <w:t xml:space="preserve">8 </w:t>
      </w:r>
      <w:r w:rsidRPr="00051030">
        <w:rPr>
          <w:lang w:eastAsia="en-AU"/>
        </w:rPr>
        <w:t>$70 million to &lt; $80 million</w:t>
      </w:r>
    </w:p>
    <w:p w14:paraId="737AEEDF" w14:textId="21452288" w:rsidR="00202C96" w:rsidRPr="00051030" w:rsidRDefault="00202C96" w:rsidP="009A7448">
      <w:pPr>
        <w:pStyle w:val="TableFooter"/>
        <w:rPr>
          <w:lang w:eastAsia="en-AU"/>
        </w:rPr>
      </w:pPr>
      <w:r>
        <w:rPr>
          <w:vertAlign w:val="superscript"/>
          <w:lang w:eastAsia="en-AU"/>
        </w:rPr>
        <w:t>9</w:t>
      </w:r>
      <w:r>
        <w:rPr>
          <w:lang w:eastAsia="en-AU"/>
        </w:rPr>
        <w:t xml:space="preserve"> $90 million to &lt; $100 million</w:t>
      </w:r>
    </w:p>
    <w:p w14:paraId="26B1CCCD" w14:textId="678DDF47" w:rsidR="00202C96" w:rsidRPr="00051030" w:rsidRDefault="00202C96" w:rsidP="009A7448">
      <w:pPr>
        <w:pStyle w:val="TableFooter"/>
        <w:rPr>
          <w:lang w:eastAsia="en-AU"/>
        </w:rPr>
      </w:pPr>
      <w:r>
        <w:rPr>
          <w:vertAlign w:val="superscript"/>
          <w:lang w:eastAsia="en-AU"/>
        </w:rPr>
        <w:t>10</w:t>
      </w:r>
      <w:r w:rsidRPr="00051030">
        <w:rPr>
          <w:lang w:eastAsia="en-AU"/>
        </w:rPr>
        <w:t xml:space="preserve"> $80 million to &lt; $90 million</w:t>
      </w:r>
    </w:p>
    <w:p w14:paraId="7EEA0164" w14:textId="1A69BA99" w:rsidR="00202C96" w:rsidRPr="00202C96" w:rsidRDefault="00202C96" w:rsidP="009A7448">
      <w:pPr>
        <w:pStyle w:val="TableFooter"/>
        <w:rPr>
          <w:lang w:eastAsia="en-AU"/>
        </w:rPr>
      </w:pPr>
      <w:r>
        <w:rPr>
          <w:vertAlign w:val="superscript"/>
          <w:lang w:eastAsia="en-AU"/>
        </w:rPr>
        <w:t>11</w:t>
      </w:r>
      <w:r w:rsidRPr="00051030">
        <w:rPr>
          <w:lang w:eastAsia="en-AU"/>
        </w:rPr>
        <w:t xml:space="preserve"> $100 million to &lt; $200 million</w:t>
      </w:r>
    </w:p>
    <w:p w14:paraId="669EDC98" w14:textId="665EC7E1" w:rsidR="004F4778" w:rsidRPr="00302E12" w:rsidRDefault="004F4778" w:rsidP="000E2889">
      <w:r w:rsidRPr="00302E12">
        <w:lastRenderedPageBreak/>
        <w:t>Overall, most of the concern</w:t>
      </w:r>
      <w:r w:rsidR="0068114C">
        <w:t>s</w:t>
      </w:r>
      <w:r w:rsidRPr="00302E12">
        <w:t xml:space="preserve"> raised by MSAC in the </w:t>
      </w:r>
      <w:r w:rsidR="005500C9">
        <w:t>original</w:t>
      </w:r>
      <w:r w:rsidRPr="00302E12">
        <w:t xml:space="preserve"> </w:t>
      </w:r>
      <w:r w:rsidR="00387D92">
        <w:t xml:space="preserve">ADAR </w:t>
      </w:r>
      <w:r w:rsidRPr="00302E12">
        <w:t xml:space="preserve">submission </w:t>
      </w:r>
      <w:r w:rsidR="0068114C">
        <w:t>have</w:t>
      </w:r>
      <w:r w:rsidR="0068114C" w:rsidRPr="00302E12">
        <w:t xml:space="preserve"> </w:t>
      </w:r>
      <w:r w:rsidRPr="00302E12">
        <w:t xml:space="preserve">been resolved in the resubmission; however, some uncertainties remain and certain aspects of </w:t>
      </w:r>
      <w:r w:rsidR="008D4E4C">
        <w:t xml:space="preserve">the </w:t>
      </w:r>
      <w:r w:rsidRPr="00302E12">
        <w:t xml:space="preserve">calculations </w:t>
      </w:r>
      <w:r w:rsidR="00EA3EDF">
        <w:t xml:space="preserve">presented </w:t>
      </w:r>
      <w:r w:rsidRPr="00302E12">
        <w:t>lack sufficient supporting evidence in the financial impact analysis. For instance, uptake rate was assumed without consultation with experts</w:t>
      </w:r>
      <w:r w:rsidR="0075408C">
        <w:t>. T</w:t>
      </w:r>
      <w:r w:rsidR="00D0196C">
        <w:t>he criteria underlying this</w:t>
      </w:r>
      <w:r w:rsidRPr="00302E12">
        <w:t xml:space="preserve"> assumption and </w:t>
      </w:r>
      <w:r w:rsidR="00D0196C">
        <w:t xml:space="preserve">the </w:t>
      </w:r>
      <w:r w:rsidRPr="00302E12">
        <w:t xml:space="preserve">robustness of the </w:t>
      </w:r>
      <w:r w:rsidR="00D0196C">
        <w:t xml:space="preserve">estimation </w:t>
      </w:r>
      <w:r w:rsidRPr="00302E12">
        <w:t xml:space="preserve">process </w:t>
      </w:r>
      <w:r w:rsidR="00D0196C">
        <w:t>were not clearly described by the applicant</w:t>
      </w:r>
      <w:r w:rsidRPr="00302E12">
        <w:t xml:space="preserve">. </w:t>
      </w:r>
    </w:p>
    <w:p w14:paraId="7781A029" w14:textId="15DAFD79" w:rsidR="004F4778" w:rsidRPr="00302E12" w:rsidRDefault="001E08D7" w:rsidP="000E2889">
      <w:r>
        <w:t xml:space="preserve">In the </w:t>
      </w:r>
      <w:r w:rsidR="004F4778" w:rsidRPr="00302E12">
        <w:t>analysis</w:t>
      </w:r>
      <w:r w:rsidR="006E5F49">
        <w:t xml:space="preserve"> within the ADAR</w:t>
      </w:r>
      <w:r w:rsidR="004F4778" w:rsidRPr="00302E12">
        <w:t>, the annual incidence of GDM was assumed</w:t>
      </w:r>
      <w:r w:rsidR="006F251C">
        <w:t xml:space="preserve"> decline in 2026 and then</w:t>
      </w:r>
      <w:r w:rsidR="004F4778" w:rsidRPr="00302E12">
        <w:t xml:space="preserve"> remain stable at 33,4</w:t>
      </w:r>
      <w:r w:rsidR="0082281E">
        <w:t>05</w:t>
      </w:r>
      <w:r w:rsidR="004F4778" w:rsidRPr="00302E12">
        <w:t xml:space="preserve"> cases</w:t>
      </w:r>
      <w:r w:rsidR="00FA25F8">
        <w:t xml:space="preserve"> from 2026 to 2032</w:t>
      </w:r>
      <w:r w:rsidR="004F4778" w:rsidRPr="00302E12">
        <w:t>. However, the trend</w:t>
      </w:r>
      <w:r w:rsidR="002A78EF">
        <w:t xml:space="preserve"> </w:t>
      </w:r>
      <w:r w:rsidR="00E47772">
        <w:t>in</w:t>
      </w:r>
      <w:r w:rsidR="008720B4">
        <w:t xml:space="preserve"> GDM cases </w:t>
      </w:r>
      <w:r w:rsidR="002A78EF">
        <w:t>vari</w:t>
      </w:r>
      <w:r w:rsidR="00D63846">
        <w:t>es</w:t>
      </w:r>
      <w:r w:rsidR="002A78EF">
        <w:t xml:space="preserve"> rather than consistently declining. For instance, cases increased in 2020 and 2021, followed by a slight decrease in 2022, then rose again in subsequent year before declining again in 2025. This pattern indicates fluctuations over time rather than a sustained declining trend. </w:t>
      </w:r>
      <w:r w:rsidR="003E47CA">
        <w:t>G</w:t>
      </w:r>
      <w:r w:rsidR="00EF5085">
        <w:t>iven</w:t>
      </w:r>
      <w:r w:rsidR="0056532D">
        <w:t xml:space="preserve"> this</w:t>
      </w:r>
      <w:r w:rsidR="0056532D" w:rsidDel="004E5AD6">
        <w:t xml:space="preserve">, </w:t>
      </w:r>
      <w:r w:rsidR="003E47CA">
        <w:t xml:space="preserve">the </w:t>
      </w:r>
      <w:r w:rsidR="003E47CA" w:rsidRPr="00302E12">
        <w:t xml:space="preserve">assumption </w:t>
      </w:r>
      <w:r w:rsidR="003E47CA">
        <w:t>in the</w:t>
      </w:r>
      <w:r w:rsidR="0056532D" w:rsidDel="004E5AD6">
        <w:t xml:space="preserve"> </w:t>
      </w:r>
      <w:r w:rsidR="001F62E0" w:rsidDel="004E5AD6">
        <w:t>ADAR</w:t>
      </w:r>
      <w:r w:rsidR="0017511F">
        <w:t xml:space="preserve"> </w:t>
      </w:r>
      <w:r w:rsidR="004F4778" w:rsidRPr="00302E12">
        <w:t xml:space="preserve">of a </w:t>
      </w:r>
      <w:r w:rsidR="0056532D">
        <w:t xml:space="preserve">sharp </w:t>
      </w:r>
      <w:r w:rsidR="004F4778" w:rsidRPr="00302E12">
        <w:t xml:space="preserve">27% reduction in 2026, followed by a constant rate </w:t>
      </w:r>
      <w:r w:rsidR="00942210">
        <w:t xml:space="preserve">(plateau) </w:t>
      </w:r>
      <w:r w:rsidR="004F4778" w:rsidRPr="00302E12">
        <w:t xml:space="preserve">through 2032, is not plausible. The reduction rate </w:t>
      </w:r>
      <w:r w:rsidR="003E47CA">
        <w:t>i</w:t>
      </w:r>
      <w:r w:rsidR="004F4778" w:rsidRPr="00302E12">
        <w:t xml:space="preserve">n the </w:t>
      </w:r>
      <w:r w:rsidR="004D31C2">
        <w:t xml:space="preserve">ADAR </w:t>
      </w:r>
      <w:r w:rsidR="004F4778" w:rsidRPr="00302E12">
        <w:t xml:space="preserve">sensitivity analysis during the evaluation </w:t>
      </w:r>
      <w:r w:rsidR="003E47CA">
        <w:t>is</w:t>
      </w:r>
      <w:r w:rsidR="003E47CA" w:rsidRPr="00302E12">
        <w:t xml:space="preserve"> </w:t>
      </w:r>
      <w:r w:rsidR="004F4778" w:rsidRPr="00302E12">
        <w:t>arbitrary</w:t>
      </w:r>
      <w:r w:rsidR="003E47CA">
        <w:t>,</w:t>
      </w:r>
      <w:r w:rsidR="004F4778" w:rsidRPr="00302E12">
        <w:t xml:space="preserve"> which may exert higher uncertainties on the budget impact. </w:t>
      </w:r>
    </w:p>
    <w:p w14:paraId="64060B3A" w14:textId="4AE3F1DC" w:rsidR="00F030D7" w:rsidRPr="00257A04" w:rsidRDefault="009012A6" w:rsidP="000E2889">
      <w:r>
        <w:t xml:space="preserve">Omitting users of pre-mixed </w:t>
      </w:r>
      <w:r w:rsidR="00D27183">
        <w:t xml:space="preserve">insulin </w:t>
      </w:r>
      <w:r w:rsidR="004F4778" w:rsidRPr="00302E12">
        <w:t xml:space="preserve">from the IIT definition reduced the IIT proportion </w:t>
      </w:r>
      <w:r w:rsidR="006F251C">
        <w:t xml:space="preserve">of the proposed population </w:t>
      </w:r>
      <w:r w:rsidR="004F4778" w:rsidRPr="00302E12">
        <w:t xml:space="preserve">from 70.1% (assumed in the </w:t>
      </w:r>
      <w:r w:rsidR="005500C9">
        <w:t>original</w:t>
      </w:r>
      <w:r w:rsidR="004F4778" w:rsidRPr="00302E12">
        <w:t xml:space="preserve"> </w:t>
      </w:r>
      <w:r w:rsidR="00387D92">
        <w:t xml:space="preserve">ADAR </w:t>
      </w:r>
      <w:r w:rsidR="004F4778" w:rsidRPr="00302E12">
        <w:t xml:space="preserve">submission) to 27.2%, </w:t>
      </w:r>
      <w:r w:rsidR="003F44C8">
        <w:t>a</w:t>
      </w:r>
      <w:r w:rsidR="003F44C8" w:rsidRPr="00302E12">
        <w:t xml:space="preserve"> </w:t>
      </w:r>
      <w:r w:rsidR="004F4778" w:rsidRPr="00302E12">
        <w:t>reduc</w:t>
      </w:r>
      <w:r w:rsidR="003F44C8">
        <w:t>tion of</w:t>
      </w:r>
      <w:r w:rsidR="004F4778" w:rsidRPr="00302E12">
        <w:t xml:space="preserve"> </w:t>
      </w:r>
      <w:r w:rsidR="003F44C8">
        <w:t>42.9</w:t>
      </w:r>
      <w:r w:rsidR="004F4778" w:rsidRPr="00302E12">
        <w:t xml:space="preserve">%. This reduction may introduce uncertainty into the estimates. To address this, </w:t>
      </w:r>
      <w:r w:rsidR="00510507">
        <w:t>a</w:t>
      </w:r>
      <w:r w:rsidR="004F4778" w:rsidRPr="00302E12">
        <w:t xml:space="preserve"> sensitivity analysis using an arbitrary 50% value was performed during the evaluation. However, the absence of robust empirical evidence to support these assumptions may increase uncertainty in the budget impact model results.</w:t>
      </w:r>
    </w:p>
    <w:p w14:paraId="7838A9FF" w14:textId="27D8352B" w:rsidR="00772829" w:rsidRPr="00CE28E3" w:rsidRDefault="00772829" w:rsidP="00670C60">
      <w:pPr>
        <w:pStyle w:val="Heading2"/>
        <w:numPr>
          <w:ilvl w:val="0"/>
          <w:numId w:val="32"/>
        </w:numPr>
        <w:ind w:hanging="720"/>
      </w:pPr>
      <w:bookmarkStart w:id="55" w:name="_Toc69491427"/>
      <w:r w:rsidRPr="00CE28E3">
        <w:t xml:space="preserve">Other relevant </w:t>
      </w:r>
      <w:bookmarkEnd w:id="55"/>
      <w:r w:rsidR="00FA5766">
        <w:t>information</w:t>
      </w:r>
    </w:p>
    <w:p w14:paraId="65488F33" w14:textId="608936CA" w:rsidR="00FE5D64" w:rsidRPr="00C54615" w:rsidRDefault="00FE5D64" w:rsidP="00FE5D64">
      <w:pPr>
        <w:rPr>
          <w:rFonts w:eastAsia="Calibri" w:cs="Arial"/>
        </w:rPr>
      </w:pPr>
      <w:r>
        <w:t xml:space="preserve">ESC considered that it would be informative for MSAC to consider a </w:t>
      </w:r>
      <w:r w:rsidR="005B1139">
        <w:t xml:space="preserve">respecified multivariate base case </w:t>
      </w:r>
      <w:r w:rsidR="00785FE2">
        <w:t xml:space="preserve">based on the UK-PDS risk equations </w:t>
      </w:r>
      <w:r>
        <w:t>with the following elements</w:t>
      </w:r>
      <w:r w:rsidR="00D21148">
        <w:t>:</w:t>
      </w:r>
    </w:p>
    <w:p w14:paraId="2BAA842D" w14:textId="77777777" w:rsidR="00FE5D64" w:rsidRDefault="00FE5D64" w:rsidP="00670C60">
      <w:pPr>
        <w:pStyle w:val="ListParagraph"/>
        <w:numPr>
          <w:ilvl w:val="0"/>
          <w:numId w:val="31"/>
        </w:numPr>
        <w:spacing w:before="0"/>
      </w:pPr>
      <w:r>
        <w:t>Convergence of HbA1c levels between 7 and 8 years</w:t>
      </w:r>
    </w:p>
    <w:p w14:paraId="479D745C" w14:textId="77777777" w:rsidR="00FE5D64" w:rsidRDefault="00FE5D64" w:rsidP="00670C60">
      <w:pPr>
        <w:pStyle w:val="ListParagraph"/>
        <w:numPr>
          <w:ilvl w:val="0"/>
          <w:numId w:val="31"/>
        </w:numPr>
        <w:spacing w:before="0"/>
      </w:pPr>
      <w:r>
        <w:t>Halving of finger-prick disutility</w:t>
      </w:r>
    </w:p>
    <w:p w14:paraId="276BA915" w14:textId="7C13DA29" w:rsidR="00E7123A" w:rsidRDefault="00E7123A" w:rsidP="00670C60">
      <w:pPr>
        <w:pStyle w:val="ListParagraph"/>
        <w:numPr>
          <w:ilvl w:val="0"/>
          <w:numId w:val="31"/>
        </w:numPr>
        <w:spacing w:before="0"/>
      </w:pPr>
      <w:r>
        <w:t>Removing the fear of hypoglycaemia disutility</w:t>
      </w:r>
    </w:p>
    <w:p w14:paraId="7E85C83B" w14:textId="77777777" w:rsidR="00FE5D64" w:rsidRDefault="00FE5D64" w:rsidP="00670C60">
      <w:pPr>
        <w:pStyle w:val="ListParagraph"/>
        <w:numPr>
          <w:ilvl w:val="0"/>
          <w:numId w:val="31"/>
        </w:numPr>
        <w:spacing w:before="0"/>
      </w:pPr>
      <w:r>
        <w:t xml:space="preserve">Halving of DKA and SHE costs and disutilities </w:t>
      </w:r>
    </w:p>
    <w:p w14:paraId="43BED586" w14:textId="68627F12" w:rsidR="00603A88" w:rsidRDefault="00FE5D64" w:rsidP="00FE5D64">
      <w:r>
        <w:t>An estimate of th</w:t>
      </w:r>
      <w:r w:rsidR="00A61499">
        <w:t>e</w:t>
      </w:r>
      <w:r>
        <w:t xml:space="preserve"> </w:t>
      </w:r>
      <w:r w:rsidR="005D10AB" w:rsidRPr="0093656B">
        <w:t>analysis</w:t>
      </w:r>
      <w:r>
        <w:t xml:space="preserve"> </w:t>
      </w:r>
      <w:r w:rsidR="00A61499">
        <w:t xml:space="preserve">requested by ESC </w:t>
      </w:r>
      <w:r>
        <w:t xml:space="preserve">using previously generated outputs of sensitivity and scenario analyses is presented below with the caveat that this is an approximation which is not based on directly inputting changes into the model. The results of the </w:t>
      </w:r>
      <w:r w:rsidR="001F0C4B">
        <w:t>analyses</w:t>
      </w:r>
      <w:r w:rsidR="00CF09B6">
        <w:t xml:space="preserve"> </w:t>
      </w:r>
      <w:r>
        <w:t>up to but excluding the change in device cost is presented separately from the results including the change in device cost. The applicant is invited to comment on the former.</w:t>
      </w:r>
    </w:p>
    <w:p w14:paraId="6771E13B" w14:textId="3933F5D9" w:rsidR="00603A88" w:rsidRPr="00C54615" w:rsidRDefault="00603A88" w:rsidP="00A21958">
      <w:pPr>
        <w:keepNext/>
        <w:keepLines/>
        <w:rPr>
          <w:rFonts w:ascii="Arial Narrow" w:hAnsi="Arial Narrow"/>
          <w:b/>
          <w:bCs/>
          <w:sz w:val="20"/>
          <w:szCs w:val="20"/>
          <w:u w:val="single"/>
        </w:rPr>
      </w:pPr>
      <w:r w:rsidRPr="00C54615">
        <w:rPr>
          <w:rFonts w:ascii="Arial Narrow" w:hAnsi="Arial Narrow"/>
          <w:b/>
          <w:bCs/>
          <w:sz w:val="20"/>
          <w:szCs w:val="20"/>
          <w:u w:val="single"/>
        </w:rPr>
        <w:lastRenderedPageBreak/>
        <w:t>Table 22: IIT subpopulation</w:t>
      </w:r>
      <w:r w:rsidR="00785FE2">
        <w:rPr>
          <w:rFonts w:ascii="Arial Narrow" w:hAnsi="Arial Narrow"/>
          <w:b/>
          <w:bCs/>
          <w:sz w:val="20"/>
          <w:szCs w:val="20"/>
          <w:u w:val="single"/>
        </w:rPr>
        <w:t xml:space="preserve"> (</w:t>
      </w:r>
      <w:r w:rsidR="00785FE2">
        <w:t>UK-PDS risk equations)</w:t>
      </w:r>
    </w:p>
    <w:tbl>
      <w:tblPr>
        <w:tblStyle w:val="TableGrid"/>
        <w:tblW w:w="0" w:type="auto"/>
        <w:tblLook w:val="04A0" w:firstRow="1" w:lastRow="0" w:firstColumn="1" w:lastColumn="0" w:noHBand="0" w:noVBand="1"/>
      </w:tblPr>
      <w:tblGrid>
        <w:gridCol w:w="3005"/>
        <w:gridCol w:w="3005"/>
        <w:gridCol w:w="3006"/>
      </w:tblGrid>
      <w:tr w:rsidR="00603A88" w:rsidRPr="00603A88" w14:paraId="7B045FFF" w14:textId="77777777" w:rsidTr="00AD51B4">
        <w:tc>
          <w:tcPr>
            <w:tcW w:w="3005" w:type="dxa"/>
          </w:tcPr>
          <w:p w14:paraId="16DA84D4" w14:textId="77777777" w:rsidR="00603A88" w:rsidRPr="00C54615" w:rsidRDefault="00603A88" w:rsidP="00A21958">
            <w:pPr>
              <w:keepNext/>
              <w:keepLines/>
              <w:rPr>
                <w:rFonts w:ascii="Arial Narrow" w:hAnsi="Arial Narrow"/>
                <w:sz w:val="20"/>
                <w:szCs w:val="20"/>
              </w:rPr>
            </w:pPr>
          </w:p>
        </w:tc>
        <w:tc>
          <w:tcPr>
            <w:tcW w:w="3005" w:type="dxa"/>
          </w:tcPr>
          <w:p w14:paraId="58267E2C" w14:textId="77777777" w:rsidR="00603A88" w:rsidRPr="00C54615" w:rsidRDefault="00603A88" w:rsidP="00670C60">
            <w:pPr>
              <w:pStyle w:val="ListParagraph"/>
              <w:keepNext/>
              <w:keepLines/>
              <w:numPr>
                <w:ilvl w:val="0"/>
                <w:numId w:val="28"/>
              </w:numPr>
              <w:spacing w:before="0"/>
              <w:rPr>
                <w:rFonts w:ascii="Arial Narrow" w:hAnsi="Arial Narrow"/>
                <w:b/>
                <w:bCs/>
                <w:sz w:val="20"/>
                <w:szCs w:val="20"/>
              </w:rPr>
            </w:pPr>
            <w:r w:rsidRPr="00C54615">
              <w:rPr>
                <w:rFonts w:ascii="Arial Narrow" w:hAnsi="Arial Narrow"/>
                <w:b/>
                <w:bCs/>
                <w:sz w:val="20"/>
                <w:szCs w:val="20"/>
              </w:rPr>
              <w:t>Incremental cost ($)</w:t>
            </w:r>
          </w:p>
        </w:tc>
        <w:tc>
          <w:tcPr>
            <w:tcW w:w="3006" w:type="dxa"/>
          </w:tcPr>
          <w:p w14:paraId="57C350EC" w14:textId="77777777" w:rsidR="00603A88" w:rsidRPr="00C54615" w:rsidRDefault="00603A88" w:rsidP="00670C60">
            <w:pPr>
              <w:pStyle w:val="ListParagraph"/>
              <w:keepNext/>
              <w:keepLines/>
              <w:numPr>
                <w:ilvl w:val="0"/>
                <w:numId w:val="28"/>
              </w:numPr>
              <w:spacing w:before="0"/>
              <w:rPr>
                <w:rFonts w:ascii="Arial Narrow" w:hAnsi="Arial Narrow"/>
                <w:b/>
                <w:bCs/>
                <w:sz w:val="20"/>
                <w:szCs w:val="20"/>
              </w:rPr>
            </w:pPr>
            <w:r w:rsidRPr="00C54615">
              <w:rPr>
                <w:rFonts w:ascii="Arial Narrow" w:hAnsi="Arial Narrow"/>
                <w:b/>
                <w:bCs/>
                <w:sz w:val="20"/>
                <w:szCs w:val="20"/>
              </w:rPr>
              <w:t>Incremental QALY</w:t>
            </w:r>
          </w:p>
        </w:tc>
      </w:tr>
      <w:tr w:rsidR="00603A88" w:rsidRPr="00603A88" w14:paraId="3C5404E0" w14:textId="77777777" w:rsidTr="00AD51B4">
        <w:tc>
          <w:tcPr>
            <w:tcW w:w="3005" w:type="dxa"/>
          </w:tcPr>
          <w:p w14:paraId="71E3B9E9" w14:textId="77777777" w:rsidR="00603A88" w:rsidRPr="00C54615" w:rsidRDefault="00603A88" w:rsidP="00670C60">
            <w:pPr>
              <w:pStyle w:val="ListParagraph"/>
              <w:keepNext/>
              <w:keepLines/>
              <w:numPr>
                <w:ilvl w:val="0"/>
                <w:numId w:val="29"/>
              </w:numPr>
              <w:spacing w:before="0"/>
              <w:rPr>
                <w:rFonts w:ascii="Arial Narrow" w:hAnsi="Arial Narrow"/>
                <w:sz w:val="20"/>
                <w:szCs w:val="20"/>
              </w:rPr>
            </w:pPr>
            <w:r w:rsidRPr="00C54615">
              <w:rPr>
                <w:rFonts w:ascii="Arial Narrow" w:hAnsi="Arial Narrow"/>
                <w:sz w:val="20"/>
                <w:szCs w:val="20"/>
              </w:rPr>
              <w:t xml:space="preserve">7 years constant converging at 8 years </w:t>
            </w:r>
            <w:r w:rsidRPr="00C54615">
              <w:rPr>
                <w:rFonts w:ascii="Arial Narrow" w:hAnsi="Arial Narrow"/>
                <w:sz w:val="20"/>
                <w:szCs w:val="20"/>
                <w:vertAlign w:val="superscript"/>
              </w:rPr>
              <w:t>1</w:t>
            </w:r>
            <w:r w:rsidRPr="00C54615">
              <w:rPr>
                <w:rFonts w:ascii="Arial Narrow" w:hAnsi="Arial Narrow"/>
                <w:sz w:val="20"/>
                <w:szCs w:val="20"/>
              </w:rPr>
              <w:t xml:space="preserve"> </w:t>
            </w:r>
          </w:p>
        </w:tc>
        <w:tc>
          <w:tcPr>
            <w:tcW w:w="3005" w:type="dxa"/>
          </w:tcPr>
          <w:p w14:paraId="48601EA6" w14:textId="7182907F" w:rsidR="00603A88" w:rsidRPr="00C31874" w:rsidRDefault="00202C96" w:rsidP="00A21958">
            <w:pPr>
              <w:keepNext/>
              <w:keepLines/>
              <w:rPr>
                <w:rFonts w:ascii="Arial Narrow" w:hAnsi="Arial Narrow"/>
                <w:sz w:val="20"/>
                <w:szCs w:val="20"/>
                <w:highlight w:val="yellow"/>
              </w:rPr>
            </w:pPr>
            <w:r w:rsidRPr="00C31874">
              <w:rPr>
                <w:rFonts w:ascii="Arial Narrow" w:hAnsi="Arial Narrow"/>
                <w:b/>
                <w:bCs/>
                <w:sz w:val="20"/>
                <w:szCs w:val="20"/>
              </w:rPr>
              <w:t>Redacted</w:t>
            </w:r>
          </w:p>
        </w:tc>
        <w:tc>
          <w:tcPr>
            <w:tcW w:w="3006" w:type="dxa"/>
          </w:tcPr>
          <w:p w14:paraId="2A849BA6" w14:textId="77777777" w:rsidR="00603A88" w:rsidRPr="00C54615" w:rsidRDefault="00603A88" w:rsidP="00A21958">
            <w:pPr>
              <w:keepNext/>
              <w:keepLines/>
              <w:rPr>
                <w:rFonts w:ascii="Arial Narrow" w:hAnsi="Arial Narrow"/>
                <w:sz w:val="20"/>
                <w:szCs w:val="20"/>
              </w:rPr>
            </w:pPr>
            <w:r w:rsidRPr="00C54615">
              <w:rPr>
                <w:rFonts w:ascii="Arial Narrow" w:hAnsi="Arial Narrow"/>
                <w:sz w:val="20"/>
                <w:szCs w:val="20"/>
              </w:rPr>
              <w:t>0.485</w:t>
            </w:r>
          </w:p>
        </w:tc>
      </w:tr>
      <w:tr w:rsidR="00202C96" w:rsidRPr="00603A88" w14:paraId="65EDB4DF" w14:textId="77777777" w:rsidTr="00AD51B4">
        <w:tc>
          <w:tcPr>
            <w:tcW w:w="3005" w:type="dxa"/>
          </w:tcPr>
          <w:p w14:paraId="7E4BC97B" w14:textId="77777777" w:rsidR="00202C96" w:rsidRPr="00C54615" w:rsidRDefault="00202C96" w:rsidP="00202C96">
            <w:pPr>
              <w:pStyle w:val="ListParagraph"/>
              <w:keepNext/>
              <w:keepLines/>
              <w:numPr>
                <w:ilvl w:val="0"/>
                <w:numId w:val="29"/>
              </w:numPr>
              <w:spacing w:before="0"/>
              <w:rPr>
                <w:rFonts w:ascii="Arial Narrow" w:hAnsi="Arial Narrow"/>
                <w:sz w:val="20"/>
                <w:szCs w:val="20"/>
              </w:rPr>
            </w:pPr>
            <w:r w:rsidRPr="00C54615">
              <w:rPr>
                <w:rFonts w:ascii="Arial Narrow" w:hAnsi="Arial Narrow"/>
                <w:sz w:val="20"/>
                <w:szCs w:val="20"/>
              </w:rPr>
              <w:t>Base case</w:t>
            </w:r>
          </w:p>
        </w:tc>
        <w:tc>
          <w:tcPr>
            <w:tcW w:w="3005" w:type="dxa"/>
          </w:tcPr>
          <w:p w14:paraId="3C7D7828" w14:textId="38EE3E31" w:rsidR="00202C96" w:rsidRPr="00C31874" w:rsidRDefault="00202C96" w:rsidP="00202C96">
            <w:pPr>
              <w:keepNext/>
              <w:keepLines/>
              <w:rPr>
                <w:rFonts w:ascii="Arial Narrow" w:hAnsi="Arial Narrow"/>
                <w:sz w:val="20"/>
                <w:szCs w:val="20"/>
                <w:highlight w:val="yellow"/>
              </w:rPr>
            </w:pPr>
            <w:r w:rsidRPr="00BD5199">
              <w:rPr>
                <w:rFonts w:ascii="Arial Narrow" w:hAnsi="Arial Narrow"/>
                <w:b/>
                <w:bCs/>
                <w:sz w:val="20"/>
                <w:szCs w:val="20"/>
              </w:rPr>
              <w:t>Redacted</w:t>
            </w:r>
          </w:p>
        </w:tc>
        <w:tc>
          <w:tcPr>
            <w:tcW w:w="3006" w:type="dxa"/>
          </w:tcPr>
          <w:p w14:paraId="347775C4"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0.511</w:t>
            </w:r>
          </w:p>
        </w:tc>
      </w:tr>
      <w:tr w:rsidR="00202C96" w:rsidRPr="00603A88" w14:paraId="02C99239" w14:textId="77777777" w:rsidTr="00AD51B4">
        <w:tc>
          <w:tcPr>
            <w:tcW w:w="3005" w:type="dxa"/>
          </w:tcPr>
          <w:p w14:paraId="6B40B297" w14:textId="77777777" w:rsidR="00202C96" w:rsidRPr="00C54615" w:rsidRDefault="00202C96" w:rsidP="00202C96">
            <w:pPr>
              <w:pStyle w:val="ListParagraph"/>
              <w:keepNext/>
              <w:keepLines/>
              <w:numPr>
                <w:ilvl w:val="0"/>
                <w:numId w:val="29"/>
              </w:numPr>
              <w:spacing w:before="0"/>
              <w:rPr>
                <w:rFonts w:ascii="Arial Narrow" w:hAnsi="Arial Narrow"/>
                <w:b/>
                <w:bCs/>
                <w:sz w:val="20"/>
                <w:szCs w:val="20"/>
              </w:rPr>
            </w:pPr>
            <w:r w:rsidRPr="00C54615">
              <w:rPr>
                <w:rFonts w:ascii="Arial Narrow" w:hAnsi="Arial Narrow"/>
                <w:b/>
                <w:bCs/>
                <w:sz w:val="20"/>
                <w:szCs w:val="20"/>
              </w:rPr>
              <w:t>Contribution of convergence of HbA1C between Y7 and Y8 to base case (0.5*B-A)</w:t>
            </w:r>
          </w:p>
        </w:tc>
        <w:tc>
          <w:tcPr>
            <w:tcW w:w="3005" w:type="dxa"/>
          </w:tcPr>
          <w:p w14:paraId="2C10340E" w14:textId="26D4A090" w:rsidR="00202C96" w:rsidRPr="00C31874" w:rsidRDefault="00202C96" w:rsidP="00202C96">
            <w:pPr>
              <w:keepNext/>
              <w:keepLines/>
              <w:rPr>
                <w:rFonts w:ascii="Arial Narrow" w:hAnsi="Arial Narrow"/>
                <w:sz w:val="20"/>
                <w:szCs w:val="20"/>
                <w:highlight w:val="yellow"/>
              </w:rPr>
            </w:pPr>
            <w:r>
              <w:rPr>
                <w:rFonts w:ascii="Arial Narrow" w:hAnsi="Arial Narrow"/>
                <w:b/>
                <w:bCs/>
                <w:sz w:val="20"/>
                <w:szCs w:val="20"/>
              </w:rPr>
              <w:t>-</w:t>
            </w:r>
            <w:r w:rsidRPr="00BD5199">
              <w:rPr>
                <w:rFonts w:ascii="Arial Narrow" w:hAnsi="Arial Narrow"/>
                <w:b/>
                <w:bCs/>
                <w:sz w:val="20"/>
                <w:szCs w:val="20"/>
              </w:rPr>
              <w:t>Redacted</w:t>
            </w:r>
          </w:p>
        </w:tc>
        <w:tc>
          <w:tcPr>
            <w:tcW w:w="3006" w:type="dxa"/>
          </w:tcPr>
          <w:p w14:paraId="04A9D7D4"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0.013</w:t>
            </w:r>
          </w:p>
        </w:tc>
      </w:tr>
      <w:tr w:rsidR="00202C96" w:rsidRPr="00603A88" w14:paraId="12C1399C" w14:textId="77777777" w:rsidTr="00AD51B4">
        <w:tc>
          <w:tcPr>
            <w:tcW w:w="3005" w:type="dxa"/>
          </w:tcPr>
          <w:p w14:paraId="09FB3CA6" w14:textId="77777777" w:rsidR="00202C96" w:rsidRPr="00C54615" w:rsidRDefault="00202C96" w:rsidP="00202C96">
            <w:pPr>
              <w:pStyle w:val="ListParagraph"/>
              <w:keepNext/>
              <w:keepLines/>
              <w:numPr>
                <w:ilvl w:val="0"/>
                <w:numId w:val="29"/>
              </w:numPr>
              <w:spacing w:before="0"/>
              <w:rPr>
                <w:rFonts w:ascii="Arial Narrow" w:hAnsi="Arial Narrow"/>
                <w:sz w:val="20"/>
                <w:szCs w:val="20"/>
              </w:rPr>
            </w:pPr>
            <w:r w:rsidRPr="00C54615">
              <w:rPr>
                <w:rFonts w:ascii="Arial Narrow" w:hAnsi="Arial Narrow"/>
                <w:sz w:val="20"/>
                <w:szCs w:val="20"/>
              </w:rPr>
              <w:t>FOH set to zero</w:t>
            </w:r>
            <w:r w:rsidRPr="00C54615">
              <w:rPr>
                <w:rFonts w:ascii="Arial Narrow" w:hAnsi="Arial Narrow"/>
                <w:sz w:val="20"/>
                <w:szCs w:val="20"/>
                <w:vertAlign w:val="superscript"/>
              </w:rPr>
              <w:t>1</w:t>
            </w:r>
          </w:p>
        </w:tc>
        <w:tc>
          <w:tcPr>
            <w:tcW w:w="3005" w:type="dxa"/>
          </w:tcPr>
          <w:p w14:paraId="065258AB" w14:textId="46208815" w:rsidR="00202C96" w:rsidRPr="00C31874" w:rsidRDefault="00202C96" w:rsidP="00202C96">
            <w:pPr>
              <w:keepNext/>
              <w:keepLines/>
              <w:rPr>
                <w:rFonts w:ascii="Arial Narrow" w:hAnsi="Arial Narrow"/>
                <w:sz w:val="20"/>
                <w:szCs w:val="20"/>
                <w:highlight w:val="yellow"/>
              </w:rPr>
            </w:pPr>
            <w:r w:rsidRPr="00BD5199">
              <w:rPr>
                <w:rFonts w:ascii="Arial Narrow" w:hAnsi="Arial Narrow"/>
                <w:b/>
                <w:bCs/>
                <w:sz w:val="20"/>
                <w:szCs w:val="20"/>
              </w:rPr>
              <w:t>Redacted</w:t>
            </w:r>
          </w:p>
        </w:tc>
        <w:tc>
          <w:tcPr>
            <w:tcW w:w="3006" w:type="dxa"/>
          </w:tcPr>
          <w:p w14:paraId="2020509C"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0.360</w:t>
            </w:r>
          </w:p>
        </w:tc>
      </w:tr>
      <w:tr w:rsidR="00202C96" w:rsidRPr="00603A88" w14:paraId="27E4920B" w14:textId="77777777" w:rsidTr="00AD51B4">
        <w:tc>
          <w:tcPr>
            <w:tcW w:w="3005" w:type="dxa"/>
          </w:tcPr>
          <w:p w14:paraId="19CBC674" w14:textId="77777777" w:rsidR="00202C96" w:rsidRPr="00C54615" w:rsidRDefault="00202C96" w:rsidP="00202C96">
            <w:pPr>
              <w:pStyle w:val="ListParagraph"/>
              <w:keepNext/>
              <w:keepLines/>
              <w:numPr>
                <w:ilvl w:val="0"/>
                <w:numId w:val="29"/>
              </w:numPr>
              <w:spacing w:before="0"/>
              <w:rPr>
                <w:rFonts w:ascii="Arial Narrow" w:hAnsi="Arial Narrow"/>
                <w:b/>
                <w:bCs/>
                <w:sz w:val="20"/>
                <w:szCs w:val="20"/>
              </w:rPr>
            </w:pPr>
            <w:r w:rsidRPr="00C54615">
              <w:rPr>
                <w:rFonts w:ascii="Arial Narrow" w:hAnsi="Arial Narrow"/>
                <w:b/>
                <w:bCs/>
                <w:sz w:val="20"/>
                <w:szCs w:val="20"/>
              </w:rPr>
              <w:t>Contribution of FOH to base case  (B-D)</w:t>
            </w:r>
          </w:p>
        </w:tc>
        <w:tc>
          <w:tcPr>
            <w:tcW w:w="3005" w:type="dxa"/>
          </w:tcPr>
          <w:p w14:paraId="39890D22" w14:textId="69116A50" w:rsidR="00202C96" w:rsidRPr="00C31874" w:rsidRDefault="00202C96" w:rsidP="00202C96">
            <w:pPr>
              <w:keepNext/>
              <w:keepLines/>
              <w:rPr>
                <w:rFonts w:ascii="Arial Narrow" w:hAnsi="Arial Narrow"/>
                <w:sz w:val="20"/>
                <w:szCs w:val="20"/>
                <w:highlight w:val="yellow"/>
              </w:rPr>
            </w:pPr>
            <w:r w:rsidRPr="00BD5199">
              <w:rPr>
                <w:rFonts w:ascii="Arial Narrow" w:hAnsi="Arial Narrow"/>
                <w:b/>
                <w:bCs/>
                <w:sz w:val="20"/>
                <w:szCs w:val="20"/>
              </w:rPr>
              <w:t>Redacted</w:t>
            </w:r>
          </w:p>
        </w:tc>
        <w:tc>
          <w:tcPr>
            <w:tcW w:w="3006" w:type="dxa"/>
          </w:tcPr>
          <w:p w14:paraId="59C9A5A5"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0.151</w:t>
            </w:r>
          </w:p>
        </w:tc>
      </w:tr>
      <w:tr w:rsidR="00202C96" w:rsidRPr="00603A88" w14:paraId="7586164A" w14:textId="77777777" w:rsidTr="00AD51B4">
        <w:tc>
          <w:tcPr>
            <w:tcW w:w="3005" w:type="dxa"/>
          </w:tcPr>
          <w:p w14:paraId="06C38771" w14:textId="29A76826" w:rsidR="00202C96" w:rsidRPr="00C54615" w:rsidRDefault="00202C96" w:rsidP="00202C96">
            <w:pPr>
              <w:pStyle w:val="ListParagraph"/>
              <w:keepNext/>
              <w:keepLines/>
              <w:numPr>
                <w:ilvl w:val="0"/>
                <w:numId w:val="29"/>
              </w:numPr>
              <w:spacing w:before="0"/>
              <w:rPr>
                <w:rFonts w:ascii="Arial Narrow" w:hAnsi="Arial Narrow"/>
                <w:sz w:val="20"/>
                <w:szCs w:val="20"/>
              </w:rPr>
            </w:pPr>
            <w:r w:rsidRPr="00C54615">
              <w:rPr>
                <w:rFonts w:ascii="Arial Narrow" w:hAnsi="Arial Narrow"/>
                <w:sz w:val="20"/>
                <w:szCs w:val="20"/>
              </w:rPr>
              <w:t>No DKA,</w:t>
            </w:r>
            <w:r>
              <w:rPr>
                <w:rFonts w:ascii="Arial Narrow" w:hAnsi="Arial Narrow"/>
                <w:sz w:val="20"/>
                <w:szCs w:val="20"/>
              </w:rPr>
              <w:t xml:space="preserve"> </w:t>
            </w:r>
            <w:r w:rsidRPr="00C54615">
              <w:rPr>
                <w:rFonts w:ascii="Arial Narrow" w:hAnsi="Arial Narrow"/>
                <w:sz w:val="20"/>
                <w:szCs w:val="20"/>
              </w:rPr>
              <w:t>SHE offset or FOH utility</w:t>
            </w:r>
            <w:r w:rsidRPr="00C54615">
              <w:rPr>
                <w:rFonts w:ascii="Arial Narrow" w:hAnsi="Arial Narrow"/>
                <w:sz w:val="20"/>
                <w:szCs w:val="20"/>
                <w:vertAlign w:val="superscript"/>
              </w:rPr>
              <w:t>1</w:t>
            </w:r>
          </w:p>
        </w:tc>
        <w:tc>
          <w:tcPr>
            <w:tcW w:w="3005" w:type="dxa"/>
          </w:tcPr>
          <w:p w14:paraId="162FAC8E" w14:textId="5C28735A" w:rsidR="00202C96" w:rsidRPr="00C31874" w:rsidRDefault="00202C96" w:rsidP="00202C96">
            <w:pPr>
              <w:keepNext/>
              <w:keepLines/>
              <w:rPr>
                <w:rFonts w:ascii="Arial Narrow" w:hAnsi="Arial Narrow"/>
                <w:sz w:val="20"/>
                <w:szCs w:val="20"/>
                <w:highlight w:val="yellow"/>
              </w:rPr>
            </w:pPr>
            <w:r w:rsidRPr="00BD5199">
              <w:rPr>
                <w:rFonts w:ascii="Arial Narrow" w:hAnsi="Arial Narrow"/>
                <w:b/>
                <w:bCs/>
                <w:sz w:val="20"/>
                <w:szCs w:val="20"/>
              </w:rPr>
              <w:t>Redacted</w:t>
            </w:r>
          </w:p>
        </w:tc>
        <w:tc>
          <w:tcPr>
            <w:tcW w:w="3006" w:type="dxa"/>
          </w:tcPr>
          <w:p w14:paraId="3DFB8766"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0.341</w:t>
            </w:r>
          </w:p>
        </w:tc>
      </w:tr>
      <w:tr w:rsidR="00202C96" w:rsidRPr="00603A88" w14:paraId="7CD4524F" w14:textId="77777777" w:rsidTr="00AD51B4">
        <w:tc>
          <w:tcPr>
            <w:tcW w:w="3005" w:type="dxa"/>
          </w:tcPr>
          <w:p w14:paraId="3412049A" w14:textId="234DE29C" w:rsidR="00202C96" w:rsidRPr="00C54615" w:rsidRDefault="00202C96" w:rsidP="00202C96">
            <w:pPr>
              <w:pStyle w:val="ListParagraph"/>
              <w:keepNext/>
              <w:keepLines/>
              <w:numPr>
                <w:ilvl w:val="0"/>
                <w:numId w:val="29"/>
              </w:numPr>
              <w:spacing w:before="0"/>
              <w:rPr>
                <w:rFonts w:ascii="Arial Narrow" w:hAnsi="Arial Narrow"/>
                <w:sz w:val="20"/>
                <w:szCs w:val="20"/>
              </w:rPr>
            </w:pPr>
            <w:r w:rsidRPr="00C54615">
              <w:rPr>
                <w:rFonts w:ascii="Arial Narrow" w:hAnsi="Arial Narrow"/>
                <w:sz w:val="20"/>
                <w:szCs w:val="20"/>
              </w:rPr>
              <w:t>Contribution of DKA, SHE and FOH to base case (B-F)</w:t>
            </w:r>
          </w:p>
        </w:tc>
        <w:tc>
          <w:tcPr>
            <w:tcW w:w="3005" w:type="dxa"/>
          </w:tcPr>
          <w:p w14:paraId="32475B31" w14:textId="16DE19F1" w:rsidR="00202C96" w:rsidRPr="00C31874" w:rsidRDefault="00202C96" w:rsidP="00202C96">
            <w:pPr>
              <w:keepNext/>
              <w:keepLines/>
              <w:rPr>
                <w:rFonts w:ascii="Arial Narrow" w:hAnsi="Arial Narrow"/>
                <w:sz w:val="20"/>
                <w:szCs w:val="20"/>
                <w:highlight w:val="yellow"/>
              </w:rPr>
            </w:pPr>
            <w:r>
              <w:rPr>
                <w:rFonts w:ascii="Arial Narrow" w:hAnsi="Arial Narrow"/>
                <w:b/>
                <w:bCs/>
                <w:sz w:val="20"/>
                <w:szCs w:val="20"/>
              </w:rPr>
              <w:t>-</w:t>
            </w:r>
            <w:r w:rsidRPr="00BD5199">
              <w:rPr>
                <w:rFonts w:ascii="Arial Narrow" w:hAnsi="Arial Narrow"/>
                <w:b/>
                <w:bCs/>
                <w:sz w:val="20"/>
                <w:szCs w:val="20"/>
              </w:rPr>
              <w:t>Redacted</w:t>
            </w:r>
          </w:p>
        </w:tc>
        <w:tc>
          <w:tcPr>
            <w:tcW w:w="3006" w:type="dxa"/>
          </w:tcPr>
          <w:p w14:paraId="76823912"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0.170</w:t>
            </w:r>
          </w:p>
        </w:tc>
      </w:tr>
      <w:tr w:rsidR="00202C96" w:rsidRPr="00603A88" w14:paraId="301F713F" w14:textId="77777777" w:rsidTr="00AD51B4">
        <w:tc>
          <w:tcPr>
            <w:tcW w:w="3005" w:type="dxa"/>
          </w:tcPr>
          <w:p w14:paraId="78669AC1" w14:textId="77777777" w:rsidR="00202C96" w:rsidRPr="00C54615" w:rsidRDefault="00202C96" w:rsidP="00202C96">
            <w:pPr>
              <w:pStyle w:val="ListParagraph"/>
              <w:keepNext/>
              <w:keepLines/>
              <w:numPr>
                <w:ilvl w:val="0"/>
                <w:numId w:val="29"/>
              </w:numPr>
              <w:spacing w:before="0"/>
              <w:rPr>
                <w:rFonts w:ascii="Arial Narrow" w:hAnsi="Arial Narrow"/>
                <w:b/>
                <w:bCs/>
                <w:sz w:val="20"/>
                <w:szCs w:val="20"/>
              </w:rPr>
            </w:pPr>
            <w:r w:rsidRPr="00C54615">
              <w:rPr>
                <w:rFonts w:ascii="Arial Narrow" w:hAnsi="Arial Narrow"/>
                <w:b/>
                <w:bCs/>
                <w:sz w:val="20"/>
                <w:szCs w:val="20"/>
              </w:rPr>
              <w:t xml:space="preserve">Contribution of </w:t>
            </w:r>
            <w:r w:rsidRPr="00C54615">
              <w:rPr>
                <w:rFonts w:ascii="Arial Narrow" w:hAnsi="Arial Narrow"/>
                <w:b/>
                <w:bCs/>
                <w:sz w:val="20"/>
                <w:szCs w:val="20"/>
                <w:u w:val="single"/>
              </w:rPr>
              <w:t>DKA and SHE only</w:t>
            </w:r>
            <w:r w:rsidRPr="00C54615">
              <w:rPr>
                <w:rFonts w:ascii="Arial Narrow" w:hAnsi="Arial Narrow"/>
                <w:b/>
                <w:bCs/>
                <w:sz w:val="20"/>
                <w:szCs w:val="20"/>
              </w:rPr>
              <w:t xml:space="preserve"> to base case (G-E)</w:t>
            </w:r>
          </w:p>
        </w:tc>
        <w:tc>
          <w:tcPr>
            <w:tcW w:w="3005" w:type="dxa"/>
          </w:tcPr>
          <w:p w14:paraId="134BDA46" w14:textId="6195E8A6" w:rsidR="00202C96" w:rsidRPr="00C31874" w:rsidRDefault="00202C96" w:rsidP="00202C96">
            <w:pPr>
              <w:keepNext/>
              <w:keepLines/>
              <w:rPr>
                <w:rFonts w:ascii="Arial Narrow" w:hAnsi="Arial Narrow"/>
                <w:sz w:val="20"/>
                <w:szCs w:val="20"/>
                <w:highlight w:val="yellow"/>
              </w:rPr>
            </w:pPr>
            <w:r>
              <w:rPr>
                <w:rFonts w:ascii="Arial Narrow" w:hAnsi="Arial Narrow"/>
                <w:b/>
                <w:bCs/>
                <w:sz w:val="20"/>
                <w:szCs w:val="20"/>
              </w:rPr>
              <w:t>-</w:t>
            </w:r>
            <w:r w:rsidRPr="00BD5199">
              <w:rPr>
                <w:rFonts w:ascii="Arial Narrow" w:hAnsi="Arial Narrow"/>
                <w:b/>
                <w:bCs/>
                <w:sz w:val="20"/>
                <w:szCs w:val="20"/>
              </w:rPr>
              <w:t>Redacted</w:t>
            </w:r>
          </w:p>
        </w:tc>
        <w:tc>
          <w:tcPr>
            <w:tcW w:w="3006" w:type="dxa"/>
          </w:tcPr>
          <w:p w14:paraId="60016228"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0.019</w:t>
            </w:r>
          </w:p>
        </w:tc>
      </w:tr>
      <w:tr w:rsidR="00202C96" w:rsidRPr="00603A88" w14:paraId="10F848BA" w14:textId="77777777" w:rsidTr="00AD51B4">
        <w:tc>
          <w:tcPr>
            <w:tcW w:w="3005" w:type="dxa"/>
          </w:tcPr>
          <w:p w14:paraId="41485A20" w14:textId="77777777" w:rsidR="00202C96" w:rsidRPr="00C54615" w:rsidRDefault="00202C96" w:rsidP="00202C96">
            <w:pPr>
              <w:pStyle w:val="ListParagraph"/>
              <w:keepNext/>
              <w:keepLines/>
              <w:numPr>
                <w:ilvl w:val="0"/>
                <w:numId w:val="29"/>
              </w:numPr>
              <w:spacing w:before="0"/>
              <w:rPr>
                <w:rFonts w:ascii="Arial Narrow" w:hAnsi="Arial Narrow"/>
                <w:sz w:val="20"/>
                <w:szCs w:val="20"/>
              </w:rPr>
            </w:pPr>
            <w:r w:rsidRPr="00C54615">
              <w:rPr>
                <w:rFonts w:ascii="Arial Narrow" w:hAnsi="Arial Narrow"/>
                <w:sz w:val="20"/>
                <w:szCs w:val="20"/>
              </w:rPr>
              <w:t>HbA1C treatment effect</w:t>
            </w:r>
            <w:r w:rsidRPr="00C54615">
              <w:rPr>
                <w:rFonts w:ascii="Arial Narrow" w:hAnsi="Arial Narrow"/>
                <w:sz w:val="20"/>
                <w:szCs w:val="20"/>
                <w:vertAlign w:val="superscript"/>
              </w:rPr>
              <w:t>1</w:t>
            </w:r>
            <w:r w:rsidRPr="00C54615">
              <w:rPr>
                <w:rFonts w:ascii="Arial Narrow" w:hAnsi="Arial Narrow"/>
                <w:sz w:val="20"/>
                <w:szCs w:val="20"/>
              </w:rPr>
              <w:t xml:space="preserve"> </w:t>
            </w:r>
          </w:p>
        </w:tc>
        <w:tc>
          <w:tcPr>
            <w:tcW w:w="3005" w:type="dxa"/>
          </w:tcPr>
          <w:p w14:paraId="0FB6481B" w14:textId="4F0B07B0" w:rsidR="00202C96" w:rsidRPr="00C31874" w:rsidRDefault="00202C96" w:rsidP="00202C96">
            <w:pPr>
              <w:keepNext/>
              <w:keepLines/>
              <w:rPr>
                <w:rFonts w:ascii="Arial Narrow" w:hAnsi="Arial Narrow"/>
                <w:sz w:val="20"/>
                <w:szCs w:val="20"/>
                <w:highlight w:val="yellow"/>
              </w:rPr>
            </w:pPr>
            <w:r w:rsidRPr="00BD5199">
              <w:rPr>
                <w:rFonts w:ascii="Arial Narrow" w:hAnsi="Arial Narrow"/>
                <w:b/>
                <w:bCs/>
                <w:sz w:val="20"/>
                <w:szCs w:val="20"/>
              </w:rPr>
              <w:t>Redacted</w:t>
            </w:r>
          </w:p>
        </w:tc>
        <w:tc>
          <w:tcPr>
            <w:tcW w:w="3006" w:type="dxa"/>
          </w:tcPr>
          <w:p w14:paraId="5EF8FC6A"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0.459</w:t>
            </w:r>
          </w:p>
        </w:tc>
      </w:tr>
      <w:tr w:rsidR="00202C96" w:rsidRPr="00603A88" w14:paraId="10E76335" w14:textId="77777777" w:rsidTr="00AD51B4">
        <w:tc>
          <w:tcPr>
            <w:tcW w:w="3005" w:type="dxa"/>
          </w:tcPr>
          <w:p w14:paraId="200AAF5C" w14:textId="77777777" w:rsidR="00202C96" w:rsidRPr="00C54615" w:rsidRDefault="00202C96" w:rsidP="00202C96">
            <w:pPr>
              <w:pStyle w:val="ListParagraph"/>
              <w:keepNext/>
              <w:keepLines/>
              <w:numPr>
                <w:ilvl w:val="0"/>
                <w:numId w:val="29"/>
              </w:numPr>
              <w:spacing w:before="0"/>
              <w:rPr>
                <w:rFonts w:ascii="Arial Narrow" w:hAnsi="Arial Narrow"/>
                <w:b/>
                <w:bCs/>
                <w:sz w:val="20"/>
                <w:szCs w:val="20"/>
              </w:rPr>
            </w:pPr>
            <w:r w:rsidRPr="00C54615">
              <w:rPr>
                <w:rFonts w:ascii="Arial Narrow" w:hAnsi="Arial Narrow"/>
                <w:b/>
                <w:bCs/>
                <w:sz w:val="20"/>
                <w:szCs w:val="20"/>
              </w:rPr>
              <w:t>Contribution of HbA1C to base case (B-I)</w:t>
            </w:r>
          </w:p>
        </w:tc>
        <w:tc>
          <w:tcPr>
            <w:tcW w:w="3005" w:type="dxa"/>
          </w:tcPr>
          <w:p w14:paraId="54F62135" w14:textId="7532CD8A" w:rsidR="00202C96" w:rsidRPr="00C31874" w:rsidRDefault="00202C96" w:rsidP="00202C96">
            <w:pPr>
              <w:keepNext/>
              <w:keepLines/>
              <w:rPr>
                <w:rFonts w:ascii="Arial Narrow" w:hAnsi="Arial Narrow"/>
                <w:sz w:val="20"/>
                <w:szCs w:val="20"/>
                <w:highlight w:val="yellow"/>
              </w:rPr>
            </w:pPr>
            <w:r>
              <w:rPr>
                <w:rFonts w:ascii="Arial Narrow" w:hAnsi="Arial Narrow"/>
                <w:b/>
                <w:bCs/>
                <w:sz w:val="20"/>
                <w:szCs w:val="20"/>
              </w:rPr>
              <w:t>-</w:t>
            </w:r>
            <w:r w:rsidRPr="00BD5199">
              <w:rPr>
                <w:rFonts w:ascii="Arial Narrow" w:hAnsi="Arial Narrow"/>
                <w:b/>
                <w:bCs/>
                <w:sz w:val="20"/>
                <w:szCs w:val="20"/>
              </w:rPr>
              <w:t>Redacted</w:t>
            </w:r>
          </w:p>
        </w:tc>
        <w:tc>
          <w:tcPr>
            <w:tcW w:w="3006" w:type="dxa"/>
          </w:tcPr>
          <w:p w14:paraId="0164BE5B" w14:textId="77777777" w:rsidR="00202C96" w:rsidRPr="00C54615" w:rsidRDefault="00202C96" w:rsidP="00202C96">
            <w:pPr>
              <w:keepNext/>
              <w:keepLines/>
              <w:rPr>
                <w:rFonts w:ascii="Arial Narrow" w:hAnsi="Arial Narrow"/>
                <w:sz w:val="20"/>
                <w:szCs w:val="20"/>
              </w:rPr>
            </w:pPr>
            <w:r w:rsidRPr="00C54615">
              <w:rPr>
                <w:rFonts w:ascii="Arial Narrow" w:hAnsi="Arial Narrow"/>
                <w:sz w:val="20"/>
                <w:szCs w:val="20"/>
              </w:rPr>
              <w:t>0.052</w:t>
            </w:r>
          </w:p>
        </w:tc>
      </w:tr>
      <w:tr w:rsidR="00603A88" w:rsidRPr="00603A88" w14:paraId="1E3557B8" w14:textId="77777777" w:rsidTr="00AD51B4">
        <w:tc>
          <w:tcPr>
            <w:tcW w:w="3005" w:type="dxa"/>
          </w:tcPr>
          <w:p w14:paraId="17D599EF" w14:textId="77777777" w:rsidR="00603A88" w:rsidRPr="00C54615" w:rsidRDefault="00603A88" w:rsidP="00670C60">
            <w:pPr>
              <w:pStyle w:val="ListParagraph"/>
              <w:keepNext/>
              <w:keepLines/>
              <w:numPr>
                <w:ilvl w:val="0"/>
                <w:numId w:val="29"/>
              </w:numPr>
              <w:spacing w:before="0"/>
              <w:rPr>
                <w:rFonts w:ascii="Arial Narrow" w:hAnsi="Arial Narrow"/>
                <w:b/>
                <w:bCs/>
                <w:sz w:val="20"/>
                <w:szCs w:val="20"/>
              </w:rPr>
            </w:pPr>
            <w:r w:rsidRPr="00C54615">
              <w:rPr>
                <w:rFonts w:ascii="Arial Narrow" w:hAnsi="Arial Narrow"/>
                <w:b/>
                <w:bCs/>
                <w:sz w:val="20"/>
                <w:szCs w:val="20"/>
              </w:rPr>
              <w:t>Contribution of skin-prick disutility to base case (B2-E2-H2-J2)</w:t>
            </w:r>
          </w:p>
        </w:tc>
        <w:tc>
          <w:tcPr>
            <w:tcW w:w="3005" w:type="dxa"/>
          </w:tcPr>
          <w:p w14:paraId="787F3535" w14:textId="77777777" w:rsidR="00603A88" w:rsidRPr="00C31874" w:rsidRDefault="00603A88" w:rsidP="00A21958">
            <w:pPr>
              <w:keepNext/>
              <w:keepLines/>
              <w:rPr>
                <w:rFonts w:ascii="Arial Narrow" w:hAnsi="Arial Narrow"/>
                <w:sz w:val="20"/>
                <w:szCs w:val="20"/>
                <w:highlight w:val="yellow"/>
              </w:rPr>
            </w:pPr>
            <w:r w:rsidRPr="00202C96">
              <w:rPr>
                <w:rFonts w:ascii="Arial Narrow" w:hAnsi="Arial Narrow"/>
                <w:sz w:val="20"/>
                <w:szCs w:val="20"/>
              </w:rPr>
              <w:t>n.a.</w:t>
            </w:r>
          </w:p>
        </w:tc>
        <w:tc>
          <w:tcPr>
            <w:tcW w:w="3006" w:type="dxa"/>
          </w:tcPr>
          <w:p w14:paraId="43293079" w14:textId="77777777" w:rsidR="00603A88" w:rsidRPr="00C54615" w:rsidRDefault="00603A88" w:rsidP="00A21958">
            <w:pPr>
              <w:keepNext/>
              <w:keepLines/>
              <w:rPr>
                <w:rFonts w:ascii="Arial Narrow" w:hAnsi="Arial Narrow"/>
                <w:sz w:val="20"/>
                <w:szCs w:val="20"/>
              </w:rPr>
            </w:pPr>
            <w:r w:rsidRPr="00C54615">
              <w:rPr>
                <w:rFonts w:ascii="Arial Narrow" w:hAnsi="Arial Narrow"/>
                <w:sz w:val="20"/>
                <w:szCs w:val="20"/>
              </w:rPr>
              <w:t>0.289</w:t>
            </w:r>
          </w:p>
        </w:tc>
      </w:tr>
    </w:tbl>
    <w:p w14:paraId="7F72E570" w14:textId="77777777" w:rsidR="00603A88" w:rsidRPr="00C54615" w:rsidRDefault="00603A88" w:rsidP="00A21958">
      <w:pPr>
        <w:keepNext/>
        <w:keepLines/>
        <w:rPr>
          <w:rFonts w:ascii="Arial Narrow" w:hAnsi="Arial Narrow"/>
          <w:sz w:val="20"/>
          <w:szCs w:val="20"/>
        </w:rPr>
      </w:pPr>
      <w:r w:rsidRPr="00C54615">
        <w:rPr>
          <w:rFonts w:ascii="Arial Narrow" w:hAnsi="Arial Narrow"/>
          <w:sz w:val="20"/>
          <w:szCs w:val="20"/>
        </w:rPr>
        <w:t>Abbreviations: QALY= Quality Adjusted Life Years; FOH=fear of hypoglycemia; DKA= diabetic ketoacidosis; SHE=severe hypoglycaemic events</w:t>
      </w:r>
    </w:p>
    <w:p w14:paraId="75D8F158" w14:textId="77777777" w:rsidR="00603A88" w:rsidRPr="00C54615" w:rsidRDefault="00603A88" w:rsidP="00670C60">
      <w:pPr>
        <w:pStyle w:val="ListParagraph"/>
        <w:numPr>
          <w:ilvl w:val="0"/>
          <w:numId w:val="30"/>
        </w:numPr>
        <w:spacing w:before="0"/>
        <w:rPr>
          <w:rFonts w:ascii="Arial Narrow" w:hAnsi="Arial Narrow"/>
          <w:sz w:val="20"/>
          <w:szCs w:val="20"/>
        </w:rPr>
      </w:pPr>
      <w:r w:rsidRPr="00C54615">
        <w:rPr>
          <w:rFonts w:ascii="Arial Narrow" w:hAnsi="Arial Narrow"/>
          <w:sz w:val="20"/>
          <w:szCs w:val="20"/>
        </w:rPr>
        <w:t>Table 37 of ADAR</w:t>
      </w:r>
    </w:p>
    <w:p w14:paraId="5771CD4C" w14:textId="390428D6" w:rsidR="00603A88" w:rsidRPr="00603A88" w:rsidRDefault="00603A88" w:rsidP="00603A88">
      <w:r w:rsidRPr="00603A88">
        <w:t xml:space="preserve">Incremental cost of </w:t>
      </w:r>
      <w:r w:rsidR="00602343" w:rsidRPr="00B36997">
        <w:t>ESC-requested</w:t>
      </w:r>
      <w:r w:rsidRPr="00B36997">
        <w:t xml:space="preserve"> </w:t>
      </w:r>
      <w:r w:rsidR="003B05F3" w:rsidRPr="00B36997">
        <w:t>analysis</w:t>
      </w:r>
      <w:r w:rsidRPr="00B36997">
        <w:t xml:space="preserve"> =</w:t>
      </w:r>
      <w:r w:rsidRPr="00603A88">
        <w:t xml:space="preserve"> B1-C1-(0.5*H1))=$</w:t>
      </w:r>
      <w:r w:rsidR="00202C96">
        <w:rPr>
          <w:b/>
          <w:bCs/>
        </w:rPr>
        <w:t>Redacted</w:t>
      </w:r>
    </w:p>
    <w:p w14:paraId="43DDCFB3" w14:textId="4646ED7C" w:rsidR="00603A88" w:rsidRPr="00603A88" w:rsidRDefault="00603A88" w:rsidP="00603A88">
      <w:r w:rsidRPr="00603A88">
        <w:t xml:space="preserve">Incremental QALY of </w:t>
      </w:r>
      <w:r w:rsidR="00602343">
        <w:t>ESC-</w:t>
      </w:r>
      <w:r w:rsidR="00602343" w:rsidRPr="00B36997">
        <w:t>requested</w:t>
      </w:r>
      <w:r w:rsidR="00CA5231">
        <w:t xml:space="preserve"> </w:t>
      </w:r>
      <w:r w:rsidR="003B05F3">
        <w:t xml:space="preserve">analysis </w:t>
      </w:r>
      <w:r w:rsidRPr="00603A88">
        <w:t>=B2-C2-D2-(0.5*H2)-(0.5*K2)=0.193 QALY</w:t>
      </w:r>
    </w:p>
    <w:p w14:paraId="2F75DFDE" w14:textId="4FCF1315" w:rsidR="00603A88" w:rsidRPr="00C31874" w:rsidRDefault="00603A88" w:rsidP="00603A88">
      <w:pPr>
        <w:rPr>
          <w:b/>
          <w:bCs/>
          <w:u w:val="single"/>
        </w:rPr>
      </w:pPr>
      <w:r w:rsidRPr="00603A88">
        <w:t>Revised ICER</w:t>
      </w:r>
      <w:r w:rsidR="00202C96">
        <w:t xml:space="preserve"> = $55,000 to &lt; $</w:t>
      </w:r>
      <w:r w:rsidR="00B65F02">
        <w:t>75,000 per QALY</w:t>
      </w:r>
    </w:p>
    <w:p w14:paraId="5D926A7D" w14:textId="5B214BF2" w:rsidR="00FE5D64" w:rsidRPr="00C54615" w:rsidRDefault="00603A88" w:rsidP="00F121BE">
      <w:pPr>
        <w:keepNext/>
        <w:keepLines/>
        <w:rPr>
          <w:rFonts w:ascii="Arial Narrow" w:hAnsi="Arial Narrow"/>
          <w:b/>
          <w:bCs/>
          <w:sz w:val="20"/>
          <w:szCs w:val="20"/>
          <w:u w:val="single"/>
        </w:rPr>
      </w:pPr>
      <w:r w:rsidRPr="00C54615">
        <w:rPr>
          <w:rFonts w:ascii="Arial Narrow" w:hAnsi="Arial Narrow"/>
          <w:b/>
          <w:bCs/>
          <w:sz w:val="20"/>
          <w:szCs w:val="20"/>
          <w:u w:val="single"/>
        </w:rPr>
        <w:lastRenderedPageBreak/>
        <w:t xml:space="preserve">Table 23: </w:t>
      </w:r>
      <w:r w:rsidR="00FE5D64" w:rsidRPr="00C54615">
        <w:rPr>
          <w:rFonts w:ascii="Arial Narrow" w:hAnsi="Arial Narrow"/>
          <w:b/>
          <w:bCs/>
          <w:sz w:val="20"/>
          <w:szCs w:val="20"/>
          <w:u w:val="single"/>
        </w:rPr>
        <w:t>Non-IIT subpopulation</w:t>
      </w:r>
      <w:r w:rsidR="00785FE2">
        <w:rPr>
          <w:rFonts w:ascii="Arial Narrow" w:hAnsi="Arial Narrow"/>
          <w:b/>
          <w:bCs/>
          <w:sz w:val="20"/>
          <w:szCs w:val="20"/>
          <w:u w:val="single"/>
        </w:rPr>
        <w:t xml:space="preserve"> (</w:t>
      </w:r>
      <w:r w:rsidR="00785FE2">
        <w:t>UK-PDS risk equations)</w:t>
      </w:r>
    </w:p>
    <w:tbl>
      <w:tblPr>
        <w:tblStyle w:val="TableGrid"/>
        <w:tblW w:w="0" w:type="auto"/>
        <w:tblLook w:val="04A0" w:firstRow="1" w:lastRow="0" w:firstColumn="1" w:lastColumn="0" w:noHBand="0" w:noVBand="1"/>
      </w:tblPr>
      <w:tblGrid>
        <w:gridCol w:w="3005"/>
        <w:gridCol w:w="3005"/>
        <w:gridCol w:w="3006"/>
      </w:tblGrid>
      <w:tr w:rsidR="00FE5D64" w:rsidRPr="00603A88" w14:paraId="7EBA152D" w14:textId="77777777" w:rsidTr="00AD51B4">
        <w:tc>
          <w:tcPr>
            <w:tcW w:w="3005" w:type="dxa"/>
          </w:tcPr>
          <w:p w14:paraId="550C2AF4" w14:textId="77777777" w:rsidR="00FE5D64" w:rsidRPr="00C54615" w:rsidRDefault="00FE5D64" w:rsidP="00F121BE">
            <w:pPr>
              <w:keepNext/>
              <w:keepLines/>
              <w:rPr>
                <w:rFonts w:ascii="Arial Narrow" w:hAnsi="Arial Narrow"/>
                <w:sz w:val="20"/>
                <w:szCs w:val="20"/>
              </w:rPr>
            </w:pPr>
          </w:p>
        </w:tc>
        <w:tc>
          <w:tcPr>
            <w:tcW w:w="3005" w:type="dxa"/>
          </w:tcPr>
          <w:p w14:paraId="4ED8C1E9" w14:textId="77777777" w:rsidR="00FE5D64" w:rsidRPr="00C54615" w:rsidRDefault="00FE5D64" w:rsidP="00670C60">
            <w:pPr>
              <w:pStyle w:val="ListParagraph"/>
              <w:keepNext/>
              <w:keepLines/>
              <w:numPr>
                <w:ilvl w:val="0"/>
                <w:numId w:val="25"/>
              </w:numPr>
              <w:spacing w:before="0"/>
              <w:rPr>
                <w:rFonts w:ascii="Arial Narrow" w:hAnsi="Arial Narrow"/>
                <w:b/>
                <w:bCs/>
                <w:sz w:val="20"/>
                <w:szCs w:val="20"/>
              </w:rPr>
            </w:pPr>
            <w:r w:rsidRPr="00C54615">
              <w:rPr>
                <w:rFonts w:ascii="Arial Narrow" w:hAnsi="Arial Narrow"/>
                <w:b/>
                <w:bCs/>
                <w:sz w:val="20"/>
                <w:szCs w:val="20"/>
              </w:rPr>
              <w:t>Incremental cost ($)</w:t>
            </w:r>
          </w:p>
        </w:tc>
        <w:tc>
          <w:tcPr>
            <w:tcW w:w="3006" w:type="dxa"/>
          </w:tcPr>
          <w:p w14:paraId="6C93D75E" w14:textId="77777777" w:rsidR="00FE5D64" w:rsidRPr="00C54615" w:rsidRDefault="00FE5D64" w:rsidP="00670C60">
            <w:pPr>
              <w:pStyle w:val="ListParagraph"/>
              <w:keepNext/>
              <w:keepLines/>
              <w:numPr>
                <w:ilvl w:val="0"/>
                <w:numId w:val="25"/>
              </w:numPr>
              <w:spacing w:before="0"/>
              <w:rPr>
                <w:rFonts w:ascii="Arial Narrow" w:hAnsi="Arial Narrow"/>
                <w:b/>
                <w:bCs/>
                <w:sz w:val="20"/>
                <w:szCs w:val="20"/>
              </w:rPr>
            </w:pPr>
            <w:r w:rsidRPr="00C54615">
              <w:rPr>
                <w:rFonts w:ascii="Arial Narrow" w:hAnsi="Arial Narrow"/>
                <w:b/>
                <w:bCs/>
                <w:sz w:val="20"/>
                <w:szCs w:val="20"/>
              </w:rPr>
              <w:t>Incremental QALY</w:t>
            </w:r>
          </w:p>
        </w:tc>
      </w:tr>
      <w:tr w:rsidR="00FE5D64" w:rsidRPr="00603A88" w14:paraId="7DC83686" w14:textId="77777777" w:rsidTr="00AD51B4">
        <w:tc>
          <w:tcPr>
            <w:tcW w:w="3005" w:type="dxa"/>
          </w:tcPr>
          <w:p w14:paraId="43CB4C12" w14:textId="77777777" w:rsidR="00FE5D64" w:rsidRPr="00C54615" w:rsidRDefault="00FE5D64" w:rsidP="00670C60">
            <w:pPr>
              <w:pStyle w:val="ListParagraph"/>
              <w:keepNext/>
              <w:keepLines/>
              <w:numPr>
                <w:ilvl w:val="0"/>
                <w:numId w:val="26"/>
              </w:numPr>
              <w:spacing w:before="0"/>
              <w:rPr>
                <w:rFonts w:ascii="Arial Narrow" w:hAnsi="Arial Narrow"/>
                <w:sz w:val="20"/>
                <w:szCs w:val="20"/>
              </w:rPr>
            </w:pPr>
            <w:r w:rsidRPr="00C54615">
              <w:rPr>
                <w:rFonts w:ascii="Arial Narrow" w:hAnsi="Arial Narrow"/>
                <w:sz w:val="20"/>
                <w:szCs w:val="20"/>
              </w:rPr>
              <w:t xml:space="preserve">7 years constant converging at 8 years </w:t>
            </w:r>
            <w:r w:rsidRPr="00C54615">
              <w:rPr>
                <w:rFonts w:ascii="Arial Narrow" w:hAnsi="Arial Narrow"/>
                <w:sz w:val="20"/>
                <w:szCs w:val="20"/>
                <w:vertAlign w:val="superscript"/>
              </w:rPr>
              <w:t>1</w:t>
            </w:r>
            <w:r w:rsidRPr="00C54615">
              <w:rPr>
                <w:rFonts w:ascii="Arial Narrow" w:hAnsi="Arial Narrow"/>
                <w:sz w:val="20"/>
                <w:szCs w:val="20"/>
              </w:rPr>
              <w:t xml:space="preserve"> </w:t>
            </w:r>
          </w:p>
        </w:tc>
        <w:tc>
          <w:tcPr>
            <w:tcW w:w="3005" w:type="dxa"/>
          </w:tcPr>
          <w:p w14:paraId="69321798" w14:textId="630DD140" w:rsidR="00FE5D64" w:rsidRPr="00C31874" w:rsidRDefault="00B65F02" w:rsidP="00F121BE">
            <w:pPr>
              <w:keepNext/>
              <w:keepLines/>
              <w:rPr>
                <w:rFonts w:ascii="Arial Narrow" w:hAnsi="Arial Narrow"/>
                <w:sz w:val="20"/>
                <w:szCs w:val="20"/>
                <w:highlight w:val="yellow"/>
              </w:rPr>
            </w:pPr>
            <w:r w:rsidRPr="00C31874">
              <w:rPr>
                <w:rFonts w:ascii="Arial Narrow" w:hAnsi="Arial Narrow"/>
                <w:b/>
                <w:bCs/>
                <w:sz w:val="20"/>
                <w:szCs w:val="20"/>
              </w:rPr>
              <w:t>Redacted</w:t>
            </w:r>
          </w:p>
        </w:tc>
        <w:tc>
          <w:tcPr>
            <w:tcW w:w="3006" w:type="dxa"/>
          </w:tcPr>
          <w:p w14:paraId="41BFFFE1" w14:textId="77777777" w:rsidR="00FE5D64" w:rsidRPr="00C54615" w:rsidRDefault="00FE5D64" w:rsidP="00F121BE">
            <w:pPr>
              <w:keepNext/>
              <w:keepLines/>
              <w:rPr>
                <w:rFonts w:ascii="Arial Narrow" w:hAnsi="Arial Narrow"/>
                <w:sz w:val="20"/>
                <w:szCs w:val="20"/>
              </w:rPr>
            </w:pPr>
            <w:r w:rsidRPr="00C54615">
              <w:rPr>
                <w:rFonts w:ascii="Arial Narrow" w:hAnsi="Arial Narrow"/>
                <w:sz w:val="20"/>
                <w:szCs w:val="20"/>
              </w:rPr>
              <w:t>0.265</w:t>
            </w:r>
          </w:p>
        </w:tc>
      </w:tr>
      <w:tr w:rsidR="00B65F02" w:rsidRPr="00603A88" w14:paraId="46C4A71F" w14:textId="77777777" w:rsidTr="00AD51B4">
        <w:tc>
          <w:tcPr>
            <w:tcW w:w="3005" w:type="dxa"/>
          </w:tcPr>
          <w:p w14:paraId="04E0A014" w14:textId="77777777" w:rsidR="00B65F02" w:rsidRPr="00C54615" w:rsidRDefault="00B65F02" w:rsidP="00B65F02">
            <w:pPr>
              <w:pStyle w:val="ListParagraph"/>
              <w:keepNext/>
              <w:keepLines/>
              <w:numPr>
                <w:ilvl w:val="0"/>
                <w:numId w:val="26"/>
              </w:numPr>
              <w:spacing w:before="0"/>
              <w:rPr>
                <w:rFonts w:ascii="Arial Narrow" w:hAnsi="Arial Narrow"/>
                <w:sz w:val="20"/>
                <w:szCs w:val="20"/>
              </w:rPr>
            </w:pPr>
            <w:r w:rsidRPr="00C54615">
              <w:rPr>
                <w:rFonts w:ascii="Arial Narrow" w:hAnsi="Arial Narrow"/>
                <w:sz w:val="20"/>
                <w:szCs w:val="20"/>
              </w:rPr>
              <w:t>Base case</w:t>
            </w:r>
          </w:p>
        </w:tc>
        <w:tc>
          <w:tcPr>
            <w:tcW w:w="3005" w:type="dxa"/>
          </w:tcPr>
          <w:p w14:paraId="3869DA3C" w14:textId="2421771E" w:rsidR="00B65F02" w:rsidRPr="00C31874" w:rsidRDefault="00B65F02" w:rsidP="00B65F02">
            <w:pPr>
              <w:keepNext/>
              <w:keepLines/>
              <w:rPr>
                <w:rFonts w:ascii="Arial Narrow" w:hAnsi="Arial Narrow"/>
                <w:sz w:val="20"/>
                <w:szCs w:val="20"/>
                <w:highlight w:val="yellow"/>
              </w:rPr>
            </w:pPr>
            <w:r w:rsidRPr="004E2A39">
              <w:rPr>
                <w:rFonts w:ascii="Arial Narrow" w:hAnsi="Arial Narrow"/>
                <w:b/>
                <w:bCs/>
                <w:sz w:val="20"/>
                <w:szCs w:val="20"/>
              </w:rPr>
              <w:t>Redacted</w:t>
            </w:r>
          </w:p>
        </w:tc>
        <w:tc>
          <w:tcPr>
            <w:tcW w:w="3006" w:type="dxa"/>
          </w:tcPr>
          <w:p w14:paraId="4FE607C3"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0.287</w:t>
            </w:r>
          </w:p>
        </w:tc>
      </w:tr>
      <w:tr w:rsidR="00B65F02" w:rsidRPr="00603A88" w14:paraId="223417B6" w14:textId="77777777" w:rsidTr="00AD51B4">
        <w:tc>
          <w:tcPr>
            <w:tcW w:w="3005" w:type="dxa"/>
          </w:tcPr>
          <w:p w14:paraId="014C1D98" w14:textId="77777777" w:rsidR="00B65F02" w:rsidRPr="00C54615" w:rsidRDefault="00B65F02" w:rsidP="00B65F02">
            <w:pPr>
              <w:pStyle w:val="ListParagraph"/>
              <w:keepNext/>
              <w:keepLines/>
              <w:numPr>
                <w:ilvl w:val="0"/>
                <w:numId w:val="26"/>
              </w:numPr>
              <w:spacing w:before="0"/>
              <w:rPr>
                <w:rFonts w:ascii="Arial Narrow" w:hAnsi="Arial Narrow"/>
                <w:b/>
                <w:bCs/>
                <w:sz w:val="20"/>
                <w:szCs w:val="20"/>
              </w:rPr>
            </w:pPr>
            <w:r w:rsidRPr="00C54615">
              <w:rPr>
                <w:rFonts w:ascii="Arial Narrow" w:hAnsi="Arial Narrow"/>
                <w:b/>
                <w:bCs/>
                <w:sz w:val="20"/>
                <w:szCs w:val="20"/>
              </w:rPr>
              <w:t>Contribution of convergence of HbA1C between Y7 and Y8 to base case (0.5*B-A)</w:t>
            </w:r>
          </w:p>
        </w:tc>
        <w:tc>
          <w:tcPr>
            <w:tcW w:w="3005" w:type="dxa"/>
          </w:tcPr>
          <w:p w14:paraId="6017EEB7" w14:textId="32E37ED5" w:rsidR="00B65F02" w:rsidRPr="00C31874" w:rsidRDefault="00B65F02" w:rsidP="00B65F02">
            <w:pPr>
              <w:keepNext/>
              <w:keepLines/>
              <w:rPr>
                <w:rFonts w:ascii="Arial Narrow" w:hAnsi="Arial Narrow"/>
                <w:sz w:val="20"/>
                <w:szCs w:val="20"/>
                <w:highlight w:val="yellow"/>
              </w:rPr>
            </w:pPr>
            <w:r>
              <w:rPr>
                <w:rFonts w:ascii="Arial Narrow" w:hAnsi="Arial Narrow"/>
                <w:b/>
                <w:bCs/>
                <w:sz w:val="20"/>
                <w:szCs w:val="20"/>
              </w:rPr>
              <w:t>-</w:t>
            </w:r>
            <w:r w:rsidRPr="004E2A39">
              <w:rPr>
                <w:rFonts w:ascii="Arial Narrow" w:hAnsi="Arial Narrow"/>
                <w:b/>
                <w:bCs/>
                <w:sz w:val="20"/>
                <w:szCs w:val="20"/>
              </w:rPr>
              <w:t>Redacted</w:t>
            </w:r>
          </w:p>
        </w:tc>
        <w:tc>
          <w:tcPr>
            <w:tcW w:w="3006" w:type="dxa"/>
          </w:tcPr>
          <w:p w14:paraId="112DB98D"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0.011</w:t>
            </w:r>
          </w:p>
        </w:tc>
      </w:tr>
      <w:tr w:rsidR="00B65F02" w:rsidRPr="00603A88" w14:paraId="2C1490D7" w14:textId="77777777" w:rsidTr="00AD51B4">
        <w:tc>
          <w:tcPr>
            <w:tcW w:w="3005" w:type="dxa"/>
          </w:tcPr>
          <w:p w14:paraId="437E7184" w14:textId="77777777" w:rsidR="00B65F02" w:rsidRPr="00C54615" w:rsidRDefault="00B65F02" w:rsidP="00B65F02">
            <w:pPr>
              <w:pStyle w:val="ListParagraph"/>
              <w:keepNext/>
              <w:keepLines/>
              <w:numPr>
                <w:ilvl w:val="0"/>
                <w:numId w:val="26"/>
              </w:numPr>
              <w:spacing w:before="0"/>
              <w:rPr>
                <w:rFonts w:ascii="Arial Narrow" w:hAnsi="Arial Narrow"/>
                <w:sz w:val="20"/>
                <w:szCs w:val="20"/>
              </w:rPr>
            </w:pPr>
            <w:r w:rsidRPr="00C54615">
              <w:rPr>
                <w:rFonts w:ascii="Arial Narrow" w:hAnsi="Arial Narrow"/>
                <w:sz w:val="20"/>
                <w:szCs w:val="20"/>
              </w:rPr>
              <w:t>FOH set to zero</w:t>
            </w:r>
            <w:r w:rsidRPr="00C54615">
              <w:rPr>
                <w:rFonts w:ascii="Arial Narrow" w:hAnsi="Arial Narrow"/>
                <w:sz w:val="20"/>
                <w:szCs w:val="20"/>
                <w:vertAlign w:val="superscript"/>
              </w:rPr>
              <w:t>1</w:t>
            </w:r>
          </w:p>
        </w:tc>
        <w:tc>
          <w:tcPr>
            <w:tcW w:w="3005" w:type="dxa"/>
          </w:tcPr>
          <w:p w14:paraId="64D5AAF8" w14:textId="5C858F6A" w:rsidR="00B65F02" w:rsidRPr="00C31874" w:rsidRDefault="00B65F02" w:rsidP="00B65F02">
            <w:pPr>
              <w:keepNext/>
              <w:keepLines/>
              <w:rPr>
                <w:rFonts w:ascii="Arial Narrow" w:hAnsi="Arial Narrow"/>
                <w:sz w:val="20"/>
                <w:szCs w:val="20"/>
                <w:highlight w:val="yellow"/>
              </w:rPr>
            </w:pPr>
            <w:r w:rsidRPr="004E2A39">
              <w:rPr>
                <w:rFonts w:ascii="Arial Narrow" w:hAnsi="Arial Narrow"/>
                <w:b/>
                <w:bCs/>
                <w:sz w:val="20"/>
                <w:szCs w:val="20"/>
              </w:rPr>
              <w:t>Redacted</w:t>
            </w:r>
          </w:p>
        </w:tc>
        <w:tc>
          <w:tcPr>
            <w:tcW w:w="3006" w:type="dxa"/>
          </w:tcPr>
          <w:p w14:paraId="740CDA03"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0.212</w:t>
            </w:r>
          </w:p>
        </w:tc>
      </w:tr>
      <w:tr w:rsidR="00B65F02" w:rsidRPr="00603A88" w14:paraId="37A36299" w14:textId="77777777" w:rsidTr="00AD51B4">
        <w:tc>
          <w:tcPr>
            <w:tcW w:w="3005" w:type="dxa"/>
          </w:tcPr>
          <w:p w14:paraId="2C054360" w14:textId="77777777" w:rsidR="00B65F02" w:rsidRPr="00C54615" w:rsidRDefault="00B65F02" w:rsidP="00B65F02">
            <w:pPr>
              <w:pStyle w:val="ListParagraph"/>
              <w:keepNext/>
              <w:keepLines/>
              <w:numPr>
                <w:ilvl w:val="0"/>
                <w:numId w:val="26"/>
              </w:numPr>
              <w:spacing w:before="0"/>
              <w:rPr>
                <w:rFonts w:ascii="Arial Narrow" w:hAnsi="Arial Narrow"/>
                <w:b/>
                <w:bCs/>
                <w:sz w:val="20"/>
                <w:szCs w:val="20"/>
              </w:rPr>
            </w:pPr>
            <w:r w:rsidRPr="00C54615">
              <w:rPr>
                <w:rFonts w:ascii="Arial Narrow" w:hAnsi="Arial Narrow"/>
                <w:b/>
                <w:bCs/>
                <w:sz w:val="20"/>
                <w:szCs w:val="20"/>
              </w:rPr>
              <w:t>Contribution of FOH to base case  (B-D)</w:t>
            </w:r>
          </w:p>
        </w:tc>
        <w:tc>
          <w:tcPr>
            <w:tcW w:w="3005" w:type="dxa"/>
          </w:tcPr>
          <w:p w14:paraId="60F68759" w14:textId="0ADBADC7" w:rsidR="00B65F02" w:rsidRPr="00C31874" w:rsidRDefault="00B65F02" w:rsidP="00B65F02">
            <w:pPr>
              <w:keepNext/>
              <w:keepLines/>
              <w:rPr>
                <w:rFonts w:ascii="Arial Narrow" w:hAnsi="Arial Narrow"/>
                <w:sz w:val="20"/>
                <w:szCs w:val="20"/>
                <w:highlight w:val="yellow"/>
              </w:rPr>
            </w:pPr>
            <w:r w:rsidRPr="004E2A39">
              <w:rPr>
                <w:rFonts w:ascii="Arial Narrow" w:hAnsi="Arial Narrow"/>
                <w:b/>
                <w:bCs/>
                <w:sz w:val="20"/>
                <w:szCs w:val="20"/>
              </w:rPr>
              <w:t>Redacted</w:t>
            </w:r>
          </w:p>
        </w:tc>
        <w:tc>
          <w:tcPr>
            <w:tcW w:w="3006" w:type="dxa"/>
          </w:tcPr>
          <w:p w14:paraId="6CB35A7D"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0.075</w:t>
            </w:r>
          </w:p>
        </w:tc>
      </w:tr>
      <w:tr w:rsidR="00B65F02" w:rsidRPr="00603A88" w14:paraId="399F4BA2" w14:textId="77777777" w:rsidTr="00AD51B4">
        <w:tc>
          <w:tcPr>
            <w:tcW w:w="3005" w:type="dxa"/>
          </w:tcPr>
          <w:p w14:paraId="120A64B9" w14:textId="77777777" w:rsidR="00B65F02" w:rsidRPr="00C54615" w:rsidRDefault="00B65F02" w:rsidP="00B65F02">
            <w:pPr>
              <w:pStyle w:val="ListParagraph"/>
              <w:keepNext/>
              <w:keepLines/>
              <w:numPr>
                <w:ilvl w:val="0"/>
                <w:numId w:val="26"/>
              </w:numPr>
              <w:spacing w:before="0"/>
              <w:rPr>
                <w:rFonts w:ascii="Arial Narrow" w:hAnsi="Arial Narrow"/>
                <w:sz w:val="20"/>
                <w:szCs w:val="20"/>
              </w:rPr>
            </w:pPr>
            <w:r w:rsidRPr="00C54615">
              <w:rPr>
                <w:rFonts w:ascii="Arial Narrow" w:hAnsi="Arial Narrow"/>
                <w:sz w:val="20"/>
                <w:szCs w:val="20"/>
              </w:rPr>
              <w:t>No DKA,SHE offset or FOH utility</w:t>
            </w:r>
            <w:r w:rsidRPr="00C54615">
              <w:rPr>
                <w:rFonts w:ascii="Arial Narrow" w:hAnsi="Arial Narrow"/>
                <w:sz w:val="20"/>
                <w:szCs w:val="20"/>
                <w:vertAlign w:val="superscript"/>
              </w:rPr>
              <w:t>1</w:t>
            </w:r>
          </w:p>
        </w:tc>
        <w:tc>
          <w:tcPr>
            <w:tcW w:w="3005" w:type="dxa"/>
          </w:tcPr>
          <w:p w14:paraId="33C6B838" w14:textId="28A65DB9" w:rsidR="00B65F02" w:rsidRPr="00C31874" w:rsidRDefault="00B65F02" w:rsidP="00B65F02">
            <w:pPr>
              <w:keepNext/>
              <w:keepLines/>
              <w:rPr>
                <w:rFonts w:ascii="Arial Narrow" w:hAnsi="Arial Narrow"/>
                <w:sz w:val="20"/>
                <w:szCs w:val="20"/>
                <w:highlight w:val="yellow"/>
              </w:rPr>
            </w:pPr>
            <w:r w:rsidRPr="004E2A39">
              <w:rPr>
                <w:rFonts w:ascii="Arial Narrow" w:hAnsi="Arial Narrow"/>
                <w:b/>
                <w:bCs/>
                <w:sz w:val="20"/>
                <w:szCs w:val="20"/>
              </w:rPr>
              <w:t>Redacted</w:t>
            </w:r>
          </w:p>
        </w:tc>
        <w:tc>
          <w:tcPr>
            <w:tcW w:w="3006" w:type="dxa"/>
          </w:tcPr>
          <w:p w14:paraId="6995F9DC"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0.200</w:t>
            </w:r>
          </w:p>
        </w:tc>
      </w:tr>
      <w:tr w:rsidR="00B65F02" w:rsidRPr="00603A88" w14:paraId="718C37E1" w14:textId="77777777" w:rsidTr="00AD51B4">
        <w:tc>
          <w:tcPr>
            <w:tcW w:w="3005" w:type="dxa"/>
          </w:tcPr>
          <w:p w14:paraId="2F25501B" w14:textId="77777777" w:rsidR="00B65F02" w:rsidRPr="00C54615" w:rsidRDefault="00B65F02" w:rsidP="00B65F02">
            <w:pPr>
              <w:pStyle w:val="ListParagraph"/>
              <w:keepNext/>
              <w:keepLines/>
              <w:numPr>
                <w:ilvl w:val="0"/>
                <w:numId w:val="26"/>
              </w:numPr>
              <w:spacing w:before="0"/>
              <w:rPr>
                <w:rFonts w:ascii="Arial Narrow" w:hAnsi="Arial Narrow"/>
                <w:sz w:val="20"/>
                <w:szCs w:val="20"/>
              </w:rPr>
            </w:pPr>
            <w:r w:rsidRPr="00C54615">
              <w:rPr>
                <w:rFonts w:ascii="Arial Narrow" w:hAnsi="Arial Narrow"/>
                <w:sz w:val="20"/>
                <w:szCs w:val="20"/>
              </w:rPr>
              <w:t>Contribution of DKA, SHE and FOH  to base case (B-F)</w:t>
            </w:r>
          </w:p>
        </w:tc>
        <w:tc>
          <w:tcPr>
            <w:tcW w:w="3005" w:type="dxa"/>
          </w:tcPr>
          <w:p w14:paraId="457EF5DF" w14:textId="11663F0D" w:rsidR="00B65F02" w:rsidRPr="00C31874" w:rsidRDefault="00B65F02" w:rsidP="00B65F02">
            <w:pPr>
              <w:keepNext/>
              <w:keepLines/>
              <w:rPr>
                <w:rFonts w:ascii="Arial Narrow" w:hAnsi="Arial Narrow"/>
                <w:sz w:val="20"/>
                <w:szCs w:val="20"/>
                <w:highlight w:val="yellow"/>
              </w:rPr>
            </w:pPr>
            <w:r>
              <w:rPr>
                <w:rFonts w:ascii="Arial Narrow" w:hAnsi="Arial Narrow"/>
                <w:b/>
                <w:bCs/>
                <w:sz w:val="20"/>
                <w:szCs w:val="20"/>
              </w:rPr>
              <w:t>-</w:t>
            </w:r>
            <w:r w:rsidRPr="004E2A39">
              <w:rPr>
                <w:rFonts w:ascii="Arial Narrow" w:hAnsi="Arial Narrow"/>
                <w:b/>
                <w:bCs/>
                <w:sz w:val="20"/>
                <w:szCs w:val="20"/>
              </w:rPr>
              <w:t>Redacted</w:t>
            </w:r>
          </w:p>
        </w:tc>
        <w:tc>
          <w:tcPr>
            <w:tcW w:w="3006" w:type="dxa"/>
          </w:tcPr>
          <w:p w14:paraId="32AB5297"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0.087</w:t>
            </w:r>
          </w:p>
        </w:tc>
      </w:tr>
      <w:tr w:rsidR="00B65F02" w:rsidRPr="00603A88" w14:paraId="63928FCF" w14:textId="77777777" w:rsidTr="00AD51B4">
        <w:tc>
          <w:tcPr>
            <w:tcW w:w="3005" w:type="dxa"/>
          </w:tcPr>
          <w:p w14:paraId="2B48A874" w14:textId="77777777" w:rsidR="00B65F02" w:rsidRPr="00C54615" w:rsidRDefault="00B65F02" w:rsidP="00B65F02">
            <w:pPr>
              <w:pStyle w:val="ListParagraph"/>
              <w:keepNext/>
              <w:keepLines/>
              <w:numPr>
                <w:ilvl w:val="0"/>
                <w:numId w:val="26"/>
              </w:numPr>
              <w:spacing w:before="0"/>
              <w:rPr>
                <w:rFonts w:ascii="Arial Narrow" w:hAnsi="Arial Narrow"/>
                <w:b/>
                <w:bCs/>
                <w:sz w:val="20"/>
                <w:szCs w:val="20"/>
              </w:rPr>
            </w:pPr>
            <w:r w:rsidRPr="00C54615">
              <w:rPr>
                <w:rFonts w:ascii="Arial Narrow" w:hAnsi="Arial Narrow"/>
                <w:b/>
                <w:bCs/>
                <w:sz w:val="20"/>
                <w:szCs w:val="20"/>
              </w:rPr>
              <w:t xml:space="preserve">Contribution of </w:t>
            </w:r>
            <w:r w:rsidRPr="00C54615">
              <w:rPr>
                <w:rFonts w:ascii="Arial Narrow" w:hAnsi="Arial Narrow"/>
                <w:b/>
                <w:bCs/>
                <w:sz w:val="20"/>
                <w:szCs w:val="20"/>
                <w:u w:val="single"/>
              </w:rPr>
              <w:t>DKA and SHE only</w:t>
            </w:r>
            <w:r w:rsidRPr="00C54615">
              <w:rPr>
                <w:rFonts w:ascii="Arial Narrow" w:hAnsi="Arial Narrow"/>
                <w:b/>
                <w:bCs/>
                <w:sz w:val="20"/>
                <w:szCs w:val="20"/>
              </w:rPr>
              <w:t xml:space="preserve"> to base case (G-E)</w:t>
            </w:r>
          </w:p>
        </w:tc>
        <w:tc>
          <w:tcPr>
            <w:tcW w:w="3005" w:type="dxa"/>
          </w:tcPr>
          <w:p w14:paraId="1D732B68" w14:textId="1A8D9C15" w:rsidR="00B65F02" w:rsidRPr="00C31874" w:rsidRDefault="00B65F02" w:rsidP="00B65F02">
            <w:pPr>
              <w:keepNext/>
              <w:keepLines/>
              <w:rPr>
                <w:rFonts w:ascii="Arial Narrow" w:hAnsi="Arial Narrow"/>
                <w:sz w:val="20"/>
                <w:szCs w:val="20"/>
                <w:highlight w:val="yellow"/>
              </w:rPr>
            </w:pPr>
            <w:r>
              <w:rPr>
                <w:rFonts w:ascii="Arial Narrow" w:hAnsi="Arial Narrow"/>
                <w:b/>
                <w:bCs/>
                <w:sz w:val="20"/>
                <w:szCs w:val="20"/>
              </w:rPr>
              <w:t>-</w:t>
            </w:r>
            <w:r w:rsidRPr="004E2A39">
              <w:rPr>
                <w:rFonts w:ascii="Arial Narrow" w:hAnsi="Arial Narrow"/>
                <w:b/>
                <w:bCs/>
                <w:sz w:val="20"/>
                <w:szCs w:val="20"/>
              </w:rPr>
              <w:t>Redacted</w:t>
            </w:r>
          </w:p>
        </w:tc>
        <w:tc>
          <w:tcPr>
            <w:tcW w:w="3006" w:type="dxa"/>
          </w:tcPr>
          <w:p w14:paraId="6654F046"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0.012</w:t>
            </w:r>
          </w:p>
        </w:tc>
      </w:tr>
      <w:tr w:rsidR="00B65F02" w:rsidRPr="00603A88" w14:paraId="56216918" w14:textId="77777777" w:rsidTr="00AD51B4">
        <w:tc>
          <w:tcPr>
            <w:tcW w:w="3005" w:type="dxa"/>
          </w:tcPr>
          <w:p w14:paraId="08A3E500" w14:textId="77777777" w:rsidR="00B65F02" w:rsidRPr="00C54615" w:rsidRDefault="00B65F02" w:rsidP="00B65F02">
            <w:pPr>
              <w:pStyle w:val="ListParagraph"/>
              <w:keepNext/>
              <w:keepLines/>
              <w:numPr>
                <w:ilvl w:val="0"/>
                <w:numId w:val="26"/>
              </w:numPr>
              <w:spacing w:before="0"/>
              <w:rPr>
                <w:rFonts w:ascii="Arial Narrow" w:hAnsi="Arial Narrow"/>
                <w:sz w:val="20"/>
                <w:szCs w:val="20"/>
              </w:rPr>
            </w:pPr>
            <w:r w:rsidRPr="00C54615">
              <w:rPr>
                <w:rFonts w:ascii="Arial Narrow" w:hAnsi="Arial Narrow"/>
                <w:sz w:val="20"/>
                <w:szCs w:val="20"/>
              </w:rPr>
              <w:t>HbA1C treatment effect</w:t>
            </w:r>
            <w:r w:rsidRPr="00C54615">
              <w:rPr>
                <w:rFonts w:ascii="Arial Narrow" w:hAnsi="Arial Narrow"/>
                <w:sz w:val="20"/>
                <w:szCs w:val="20"/>
                <w:vertAlign w:val="superscript"/>
              </w:rPr>
              <w:t>1</w:t>
            </w:r>
            <w:r w:rsidRPr="00C54615">
              <w:rPr>
                <w:rFonts w:ascii="Arial Narrow" w:hAnsi="Arial Narrow"/>
                <w:sz w:val="20"/>
                <w:szCs w:val="20"/>
              </w:rPr>
              <w:t xml:space="preserve"> </w:t>
            </w:r>
          </w:p>
        </w:tc>
        <w:tc>
          <w:tcPr>
            <w:tcW w:w="3005" w:type="dxa"/>
          </w:tcPr>
          <w:p w14:paraId="1294DA97" w14:textId="45A99A9C" w:rsidR="00B65F02" w:rsidRPr="00C31874" w:rsidRDefault="00B65F02" w:rsidP="00B65F02">
            <w:pPr>
              <w:keepNext/>
              <w:keepLines/>
              <w:rPr>
                <w:rFonts w:ascii="Arial Narrow" w:hAnsi="Arial Narrow"/>
                <w:sz w:val="20"/>
                <w:szCs w:val="20"/>
                <w:highlight w:val="yellow"/>
              </w:rPr>
            </w:pPr>
            <w:r w:rsidRPr="004E2A39">
              <w:rPr>
                <w:rFonts w:ascii="Arial Narrow" w:hAnsi="Arial Narrow"/>
                <w:b/>
                <w:bCs/>
                <w:sz w:val="20"/>
                <w:szCs w:val="20"/>
              </w:rPr>
              <w:t>Redacted</w:t>
            </w:r>
          </w:p>
        </w:tc>
        <w:tc>
          <w:tcPr>
            <w:tcW w:w="3006" w:type="dxa"/>
          </w:tcPr>
          <w:p w14:paraId="73927F0F"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0.243</w:t>
            </w:r>
          </w:p>
        </w:tc>
      </w:tr>
      <w:tr w:rsidR="00B65F02" w:rsidRPr="00603A88" w14:paraId="6DFBB3F9" w14:textId="77777777" w:rsidTr="00AD51B4">
        <w:tc>
          <w:tcPr>
            <w:tcW w:w="3005" w:type="dxa"/>
          </w:tcPr>
          <w:p w14:paraId="5AC9A74B" w14:textId="77777777" w:rsidR="00B65F02" w:rsidRPr="00C54615" w:rsidRDefault="00B65F02" w:rsidP="00B65F02">
            <w:pPr>
              <w:pStyle w:val="ListParagraph"/>
              <w:keepNext/>
              <w:keepLines/>
              <w:numPr>
                <w:ilvl w:val="0"/>
                <w:numId w:val="26"/>
              </w:numPr>
              <w:spacing w:before="0"/>
              <w:rPr>
                <w:rFonts w:ascii="Arial Narrow" w:hAnsi="Arial Narrow"/>
                <w:b/>
                <w:bCs/>
                <w:sz w:val="20"/>
                <w:szCs w:val="20"/>
              </w:rPr>
            </w:pPr>
            <w:r w:rsidRPr="00C54615">
              <w:rPr>
                <w:rFonts w:ascii="Arial Narrow" w:hAnsi="Arial Narrow"/>
                <w:b/>
                <w:bCs/>
                <w:sz w:val="20"/>
                <w:szCs w:val="20"/>
              </w:rPr>
              <w:t>Contribution of HbA1C to base case (B-I)</w:t>
            </w:r>
          </w:p>
        </w:tc>
        <w:tc>
          <w:tcPr>
            <w:tcW w:w="3005" w:type="dxa"/>
          </w:tcPr>
          <w:p w14:paraId="0523BF77" w14:textId="169D295E" w:rsidR="00B65F02" w:rsidRPr="00C31874" w:rsidRDefault="00B65F02" w:rsidP="00B65F02">
            <w:pPr>
              <w:keepNext/>
              <w:keepLines/>
              <w:rPr>
                <w:rFonts w:ascii="Arial Narrow" w:hAnsi="Arial Narrow"/>
                <w:sz w:val="20"/>
                <w:szCs w:val="20"/>
                <w:highlight w:val="yellow"/>
              </w:rPr>
            </w:pPr>
            <w:r>
              <w:rPr>
                <w:rFonts w:ascii="Arial Narrow" w:hAnsi="Arial Narrow"/>
                <w:b/>
                <w:bCs/>
                <w:sz w:val="20"/>
                <w:szCs w:val="20"/>
              </w:rPr>
              <w:t>-</w:t>
            </w:r>
            <w:r w:rsidRPr="004E2A39">
              <w:rPr>
                <w:rFonts w:ascii="Arial Narrow" w:hAnsi="Arial Narrow"/>
                <w:b/>
                <w:bCs/>
                <w:sz w:val="20"/>
                <w:szCs w:val="20"/>
              </w:rPr>
              <w:t>Redacted</w:t>
            </w:r>
          </w:p>
        </w:tc>
        <w:tc>
          <w:tcPr>
            <w:tcW w:w="3006" w:type="dxa"/>
          </w:tcPr>
          <w:p w14:paraId="4774FC31" w14:textId="77777777" w:rsidR="00B65F02" w:rsidRPr="00C54615" w:rsidRDefault="00B65F02" w:rsidP="00B65F02">
            <w:pPr>
              <w:keepNext/>
              <w:keepLines/>
              <w:rPr>
                <w:rFonts w:ascii="Arial Narrow" w:hAnsi="Arial Narrow"/>
                <w:sz w:val="20"/>
                <w:szCs w:val="20"/>
              </w:rPr>
            </w:pPr>
            <w:r w:rsidRPr="00C54615">
              <w:rPr>
                <w:rFonts w:ascii="Arial Narrow" w:hAnsi="Arial Narrow"/>
                <w:sz w:val="20"/>
                <w:szCs w:val="20"/>
              </w:rPr>
              <w:t>0.044</w:t>
            </w:r>
          </w:p>
        </w:tc>
      </w:tr>
      <w:tr w:rsidR="00FE5D64" w:rsidRPr="00603A88" w14:paraId="31E3E0C0" w14:textId="77777777" w:rsidTr="00AD51B4">
        <w:tc>
          <w:tcPr>
            <w:tcW w:w="3005" w:type="dxa"/>
          </w:tcPr>
          <w:p w14:paraId="6C343EEE" w14:textId="77777777" w:rsidR="00FE5D64" w:rsidRPr="00C54615" w:rsidRDefault="00FE5D64" w:rsidP="00670C60">
            <w:pPr>
              <w:pStyle w:val="ListParagraph"/>
              <w:keepNext/>
              <w:keepLines/>
              <w:numPr>
                <w:ilvl w:val="0"/>
                <w:numId w:val="26"/>
              </w:numPr>
              <w:spacing w:before="0"/>
              <w:rPr>
                <w:rFonts w:ascii="Arial Narrow" w:hAnsi="Arial Narrow"/>
                <w:b/>
                <w:bCs/>
                <w:sz w:val="20"/>
                <w:szCs w:val="20"/>
              </w:rPr>
            </w:pPr>
            <w:r w:rsidRPr="00C54615">
              <w:rPr>
                <w:rFonts w:ascii="Arial Narrow" w:hAnsi="Arial Narrow"/>
                <w:b/>
                <w:bCs/>
                <w:sz w:val="20"/>
                <w:szCs w:val="20"/>
              </w:rPr>
              <w:t>Contribution of skin-prick disutility to base case (B2-E2-H2-J2)</w:t>
            </w:r>
          </w:p>
        </w:tc>
        <w:tc>
          <w:tcPr>
            <w:tcW w:w="3005" w:type="dxa"/>
          </w:tcPr>
          <w:p w14:paraId="2B5F2AD2" w14:textId="77777777" w:rsidR="00FE5D64" w:rsidRPr="00B65F02" w:rsidRDefault="00FE5D64" w:rsidP="00F121BE">
            <w:pPr>
              <w:keepNext/>
              <w:keepLines/>
              <w:rPr>
                <w:rFonts w:ascii="Arial Narrow" w:hAnsi="Arial Narrow"/>
                <w:sz w:val="20"/>
                <w:szCs w:val="20"/>
              </w:rPr>
            </w:pPr>
            <w:r w:rsidRPr="00B65F02">
              <w:rPr>
                <w:rFonts w:ascii="Arial Narrow" w:hAnsi="Arial Narrow"/>
                <w:sz w:val="20"/>
                <w:szCs w:val="20"/>
              </w:rPr>
              <w:t>n.a.</w:t>
            </w:r>
          </w:p>
        </w:tc>
        <w:tc>
          <w:tcPr>
            <w:tcW w:w="3006" w:type="dxa"/>
          </w:tcPr>
          <w:p w14:paraId="7CFA8597" w14:textId="77777777" w:rsidR="00FE5D64" w:rsidRPr="00C54615" w:rsidRDefault="00FE5D64" w:rsidP="00F121BE">
            <w:pPr>
              <w:keepNext/>
              <w:keepLines/>
              <w:rPr>
                <w:rFonts w:ascii="Arial Narrow" w:hAnsi="Arial Narrow"/>
                <w:sz w:val="20"/>
                <w:szCs w:val="20"/>
              </w:rPr>
            </w:pPr>
            <w:r w:rsidRPr="00C54615">
              <w:rPr>
                <w:rFonts w:ascii="Arial Narrow" w:hAnsi="Arial Narrow"/>
                <w:sz w:val="20"/>
                <w:szCs w:val="20"/>
              </w:rPr>
              <w:t>0.156</w:t>
            </w:r>
          </w:p>
        </w:tc>
      </w:tr>
    </w:tbl>
    <w:p w14:paraId="0E31F900" w14:textId="77777777" w:rsidR="00FE5D64" w:rsidRPr="00C54615" w:rsidRDefault="00FE5D64" w:rsidP="00F121BE">
      <w:pPr>
        <w:keepNext/>
        <w:keepLines/>
        <w:rPr>
          <w:rFonts w:ascii="Arial Narrow" w:hAnsi="Arial Narrow"/>
          <w:sz w:val="20"/>
          <w:szCs w:val="20"/>
        </w:rPr>
      </w:pPr>
      <w:r w:rsidRPr="00C54615">
        <w:rPr>
          <w:rFonts w:ascii="Arial Narrow" w:hAnsi="Arial Narrow"/>
          <w:sz w:val="20"/>
          <w:szCs w:val="20"/>
        </w:rPr>
        <w:t>Abbreviations: QALY= Quality Adjusted Life Years; FOH=fear of hypoglycemia; DKA= diabetic ketoacidosis; SHE=severe hypoglycaemic events</w:t>
      </w:r>
    </w:p>
    <w:p w14:paraId="213D4F0E" w14:textId="110762D5" w:rsidR="00FE5D64" w:rsidRPr="00F121BE" w:rsidRDefault="00FE5D64" w:rsidP="00670C60">
      <w:pPr>
        <w:pStyle w:val="ListParagraph"/>
        <w:numPr>
          <w:ilvl w:val="0"/>
          <w:numId w:val="27"/>
        </w:numPr>
        <w:spacing w:before="0"/>
        <w:rPr>
          <w:rFonts w:ascii="Arial Narrow" w:hAnsi="Arial Narrow"/>
          <w:sz w:val="20"/>
          <w:szCs w:val="20"/>
        </w:rPr>
      </w:pPr>
      <w:r w:rsidRPr="00C54615">
        <w:rPr>
          <w:rFonts w:ascii="Arial Narrow" w:hAnsi="Arial Narrow"/>
          <w:sz w:val="20"/>
          <w:szCs w:val="20"/>
        </w:rPr>
        <w:t>Table 38 of ADAR</w:t>
      </w:r>
    </w:p>
    <w:p w14:paraId="480E9FB5" w14:textId="2648B4B2" w:rsidR="00FE5D64" w:rsidRDefault="00FE5D64" w:rsidP="00FE5D64">
      <w:pPr>
        <w:rPr>
          <w:szCs w:val="20"/>
        </w:rPr>
      </w:pPr>
      <w:r w:rsidRPr="00E8723B">
        <w:rPr>
          <w:szCs w:val="20"/>
        </w:rPr>
        <w:t xml:space="preserve">Incremental cost of </w:t>
      </w:r>
      <w:r w:rsidR="00602343">
        <w:rPr>
          <w:szCs w:val="20"/>
        </w:rPr>
        <w:t xml:space="preserve">ESC-requested </w:t>
      </w:r>
      <w:r w:rsidR="003B05F3" w:rsidRPr="001777F5">
        <w:rPr>
          <w:szCs w:val="20"/>
        </w:rPr>
        <w:t>analysis</w:t>
      </w:r>
      <w:r w:rsidRPr="00E8723B">
        <w:rPr>
          <w:szCs w:val="20"/>
        </w:rPr>
        <w:t xml:space="preserve"> = </w:t>
      </w:r>
      <w:r>
        <w:rPr>
          <w:szCs w:val="20"/>
        </w:rPr>
        <w:t>B1-C1-(0.5*</w:t>
      </w:r>
      <w:r w:rsidRPr="00B65F02">
        <w:rPr>
          <w:szCs w:val="20"/>
        </w:rPr>
        <w:t>H1))=$</w:t>
      </w:r>
      <w:r w:rsidR="00B65F02">
        <w:rPr>
          <w:b/>
          <w:bCs/>
          <w:szCs w:val="20"/>
        </w:rPr>
        <w:t>Redacted</w:t>
      </w:r>
    </w:p>
    <w:p w14:paraId="7411B180" w14:textId="190C22F7" w:rsidR="00FE5D64" w:rsidRDefault="00FE5D64" w:rsidP="00FE5D64">
      <w:pPr>
        <w:rPr>
          <w:szCs w:val="20"/>
        </w:rPr>
      </w:pPr>
      <w:r>
        <w:rPr>
          <w:szCs w:val="20"/>
        </w:rPr>
        <w:t xml:space="preserve">Incremental QALY of </w:t>
      </w:r>
      <w:r w:rsidR="00602343">
        <w:rPr>
          <w:szCs w:val="20"/>
        </w:rPr>
        <w:t xml:space="preserve">ESC-requested </w:t>
      </w:r>
      <w:r w:rsidR="003B05F3" w:rsidRPr="001777F5">
        <w:rPr>
          <w:szCs w:val="20"/>
        </w:rPr>
        <w:t>analysis</w:t>
      </w:r>
      <w:r w:rsidR="003B05F3">
        <w:rPr>
          <w:szCs w:val="20"/>
        </w:rPr>
        <w:t xml:space="preserve"> </w:t>
      </w:r>
      <w:r>
        <w:rPr>
          <w:szCs w:val="20"/>
        </w:rPr>
        <w:t>=B2-C2-D2-(0.5*H2)-(0.5*K2)=0.117 QALY</w:t>
      </w:r>
    </w:p>
    <w:p w14:paraId="64362741" w14:textId="5B7949A4" w:rsidR="00A87613" w:rsidRDefault="00FE5D64" w:rsidP="00A87613">
      <w:pPr>
        <w:rPr>
          <w:b/>
          <w:bCs/>
          <w:szCs w:val="20"/>
        </w:rPr>
      </w:pPr>
      <w:r>
        <w:rPr>
          <w:szCs w:val="20"/>
        </w:rPr>
        <w:t>Revised ICER</w:t>
      </w:r>
      <w:r w:rsidR="00B65F02">
        <w:rPr>
          <w:szCs w:val="20"/>
        </w:rPr>
        <w:t xml:space="preserve"> = </w:t>
      </w:r>
      <w:r w:rsidR="001D49B2">
        <w:rPr>
          <w:szCs w:val="20"/>
        </w:rPr>
        <w:t>$95,000 to &lt; $115,000 per QALY</w:t>
      </w:r>
      <w:r w:rsidR="00A87613">
        <w:rPr>
          <w:b/>
          <w:bCs/>
          <w:szCs w:val="20"/>
        </w:rPr>
        <w:br w:type="page"/>
      </w:r>
    </w:p>
    <w:p w14:paraId="245856AC" w14:textId="77777777" w:rsidR="002A5CD1" w:rsidRPr="005B6EFD" w:rsidRDefault="002A5CD1" w:rsidP="00670C60">
      <w:pPr>
        <w:pStyle w:val="Heading2"/>
        <w:numPr>
          <w:ilvl w:val="0"/>
          <w:numId w:val="32"/>
        </w:numPr>
        <w:ind w:hanging="720"/>
      </w:pPr>
      <w:r w:rsidRPr="005B6EFD">
        <w:lastRenderedPageBreak/>
        <w:t xml:space="preserve">Key issues from ESC to MSAC </w:t>
      </w:r>
    </w:p>
    <w:p w14:paraId="7E425F55" w14:textId="77777777" w:rsidR="007F49A2" w:rsidRDefault="007F49A2" w:rsidP="007F49A2">
      <w:pPr>
        <w:pStyle w:val="BoxName0"/>
      </w:pPr>
      <w:r>
        <w:t>Main issues for MSAC consideration</w:t>
      </w:r>
    </w:p>
    <w:p w14:paraId="53502A34" w14:textId="77777777" w:rsidR="007F49A2" w:rsidRDefault="007F49A2" w:rsidP="007F49A2">
      <w:pPr>
        <w:pStyle w:val="BoxName0"/>
      </w:pPr>
      <w:r>
        <w:t>Clinical issues:</w:t>
      </w:r>
    </w:p>
    <w:p w14:paraId="456FDD24" w14:textId="77777777" w:rsidR="007F49A2" w:rsidRPr="00F06758" w:rsidRDefault="007F49A2" w:rsidP="007F49A2">
      <w:pPr>
        <w:pStyle w:val="BoxBullet"/>
      </w:pPr>
      <w:r w:rsidRPr="00F06758">
        <w:t>The comparative effectiveness of real-time continuous glucose monitoring (CGM) versus self-monitoring of blood glucose (SMBG) for type 2 diabetes (T2D) was assessed in 2 subpopulations with suboptimal glycaemic control: people with T2D on intensive insulin therapy (IIT) with glycated haemoglobin (HbA1c) &gt;7%, and people with T2D on basal insulin only with HbA1c levels of &gt;8% or &gt;9% (non-IIT). According to the resubmission, other higher clinical need subgroups suggested by MSAC were not included in the resubmission Applicant Developed Assessment Report (ADAR) due to lack of subpopulation-specific data. ESC considered that the evidence presented on effectiveness in broader patient populations is likely to be applicable to specific subpopulations.</w:t>
      </w:r>
    </w:p>
    <w:p w14:paraId="6F837628" w14:textId="77777777" w:rsidR="007F49A2" w:rsidRDefault="007F49A2" w:rsidP="007F49A2">
      <w:pPr>
        <w:pStyle w:val="BoxBullet"/>
      </w:pPr>
      <w:r>
        <w:t xml:space="preserve">ESC noted the consultation advice received for the current and previous consideration of this application, and from the recently convened clinical stakeholder meeting, was broadly aligned with MSAC’s suggestions for identifying subpopulations of patients with T2D with the highest clinical need for CGM. </w:t>
      </w:r>
    </w:p>
    <w:p w14:paraId="2158D2B2" w14:textId="77777777" w:rsidR="007F49A2" w:rsidRDefault="007F49A2" w:rsidP="007F49A2">
      <w:pPr>
        <w:pStyle w:val="BoxBullet"/>
      </w:pPr>
      <w:r>
        <w:t>Clinical stakeholders were broadly supportive of intermittent CGM and limited evidence from the MOBILE trial extension suggests there is a possible benefit of intermittent CGM against SMBG.</w:t>
      </w:r>
    </w:p>
    <w:p w14:paraId="6797BB5F" w14:textId="77777777" w:rsidR="007F49A2" w:rsidRDefault="007F49A2" w:rsidP="007F49A2">
      <w:pPr>
        <w:pStyle w:val="BoxBullet"/>
      </w:pPr>
      <w:r>
        <w:t>The resubmission presented evidence that the applicant stated demonstrates individual CGM systems should be assessed based on their own outcomes data (rather than considered collectively). This was based on a meta-analysis of randomised and non-randomised studies presented as secondary evidence, which the commentary considered to be methodologically flawed.</w:t>
      </w:r>
    </w:p>
    <w:p w14:paraId="42FC1B01" w14:textId="77777777" w:rsidR="007F49A2" w:rsidRDefault="007F49A2" w:rsidP="007F49A2">
      <w:pPr>
        <w:pStyle w:val="BoxBullet"/>
      </w:pPr>
      <w:r>
        <w:t xml:space="preserve">HbA1c level subgroup results (derived </w:t>
      </w:r>
      <w:r w:rsidRPr="2B894DD6">
        <w:t>post-hoc</w:t>
      </w:r>
      <w:r>
        <w:t xml:space="preserve"> from the MOBILE trial) suggest that people with non-IIT T2D and higher levels of baseline HbA1c could possibly have a greater treatment effect (favouring CGM over SMBG). Small sample sizes in the analysis make this finding uncertain. An RCT in people with non-IIT T2D published since the applicant’s search for evidence also reported a difference between groups in HbA1c change from baseline favouring CGM over SMBG. This difference was greater than that observed in the MOBILE trial and strengthens the case for superior efficacy of CGM compared to SMBG in the non-IIT subpopulation.</w:t>
      </w:r>
    </w:p>
    <w:p w14:paraId="5CA4D9FE" w14:textId="77777777" w:rsidR="007F49A2" w:rsidRDefault="007F49A2" w:rsidP="007F49A2">
      <w:pPr>
        <w:pStyle w:val="BoxBullet"/>
      </w:pPr>
      <w:r>
        <w:t>Other relevant evidence includes a large population-based observational study (</w:t>
      </w:r>
      <w:r w:rsidRPr="2B894DD6">
        <w:rPr>
          <w:i/>
          <w:iCs/>
        </w:rPr>
        <w:t>n</w:t>
      </w:r>
      <w:r>
        <w:t xml:space="preserve"> = 12,792 participants) included in the ADAR resubmission linking CGM use to improvements in various longer-term patient outcomes and reductions in mortality in the T2D population. However, ESC noted there was a modest difference in HbA1c (0.15%) between the CGM and SMBG groups and queried the plausibility of the estimated size of effects on clinical outcomes, and whether residual confounding might be an alternative explanation for the observations. </w:t>
      </w:r>
    </w:p>
    <w:p w14:paraId="3B4BBCF1" w14:textId="77777777" w:rsidR="007F49A2" w:rsidRDefault="007F49A2" w:rsidP="007F49A2">
      <w:pPr>
        <w:pStyle w:val="BoxHeading"/>
      </w:pPr>
      <w:r>
        <w:t>Economic issues:</w:t>
      </w:r>
    </w:p>
    <w:p w14:paraId="639C30F5" w14:textId="7539C864" w:rsidR="007F49A2" w:rsidRDefault="007F49A2" w:rsidP="007F49A2">
      <w:pPr>
        <w:pStyle w:val="BoxBullet"/>
      </w:pPr>
      <w:r>
        <w:t xml:space="preserve">ESC remained concerned about (i) whether the disutilities associated with finger-prick testing and with the linked fear of hypoglycaemia both generating the relatively large quality adjusted life year (QALY) gains from avoiding finger-prick testing were overestimated, (ii) a lack of justification of use of a different method to estimate hospitalisations for severe hypoglycaemic events (SHE) and diabetic ketoacidosis (DKA), and (iii) the existence and extent of the translation of HbA1c levels to diabetic complications. ESC recommended that the applicant address these uncertainties by reporting a </w:t>
      </w:r>
      <w:r w:rsidR="00437359">
        <w:t>respecified multivariate base case</w:t>
      </w:r>
      <w:r w:rsidR="002168B1">
        <w:t xml:space="preserve"> </w:t>
      </w:r>
      <w:r>
        <w:t xml:space="preserve">including convergence of HbA1c between years 7 and 8, halving each finger-prick disutility, </w:t>
      </w:r>
      <w:r>
        <w:lastRenderedPageBreak/>
        <w:t>removing the fear of hypoglycaemia disutility, and halving diabetic ketoacidosis and severe hypoglycaemic event costs and disutilities.</w:t>
      </w:r>
    </w:p>
    <w:p w14:paraId="7A0F04D0" w14:textId="77777777" w:rsidR="007F49A2" w:rsidRDefault="007F49A2" w:rsidP="007F49A2">
      <w:pPr>
        <w:pStyle w:val="BoxHeading"/>
      </w:pPr>
      <w:r>
        <w:t>Financial issues:</w:t>
      </w:r>
    </w:p>
    <w:p w14:paraId="2D38894A" w14:textId="77777777" w:rsidR="007F49A2" w:rsidRDefault="007F49A2" w:rsidP="007F49A2">
      <w:pPr>
        <w:pStyle w:val="BoxBullet"/>
      </w:pPr>
      <w:r>
        <w:t>The exclusion of premixed insulin users from the definition of IIT reduced the estimated IIT subpopulation by 43% compared to the original ADAR (2025) submission. Given that the IIT subpopulation is a key cost driver in the model, this assumption is likely to underestimate the financial impact of CGM. Nevertheless, there remains substantial uncertainty for the appropriate definition and size of the IIT population.</w:t>
      </w:r>
    </w:p>
    <w:p w14:paraId="6CF79ABF" w14:textId="77777777" w:rsidR="007F49A2" w:rsidRDefault="007F49A2" w:rsidP="007F49A2">
      <w:pPr>
        <w:pStyle w:val="BoxBullet"/>
      </w:pPr>
      <w:r>
        <w:t>The robustness of the process used to derive the uptake rates for all subpopulations is unknown. Without details on the robustness of the estimation process, there is low confidence in the estimates.</w:t>
      </w:r>
    </w:p>
    <w:p w14:paraId="71F87A6F" w14:textId="77777777" w:rsidR="007F49A2" w:rsidRDefault="007F49A2" w:rsidP="007F49A2">
      <w:pPr>
        <w:pStyle w:val="BoxHeading"/>
      </w:pPr>
      <w:r>
        <w:t>Other relevant information:</w:t>
      </w:r>
    </w:p>
    <w:p w14:paraId="647DE7A3" w14:textId="77777777" w:rsidR="007F49A2" w:rsidRDefault="007F49A2" w:rsidP="007F49A2">
      <w:pPr>
        <w:pStyle w:val="BoxBullet"/>
      </w:pPr>
      <w:r>
        <w:t>Regarding a potential staged approach to implementation, ESC cautioned that the subpopulations who are most likely to benefit from access to CGM are also the least likely to have a strong evidence base to inform access.</w:t>
      </w:r>
    </w:p>
    <w:p w14:paraId="4D2C4709" w14:textId="77777777" w:rsidR="007F49A2" w:rsidRDefault="007F49A2" w:rsidP="007F49A2">
      <w:pPr>
        <w:keepNext/>
        <w:keepLines/>
        <w:rPr>
          <w:rStyle w:val="Strong"/>
        </w:rPr>
      </w:pPr>
      <w:r>
        <w:rPr>
          <w:rStyle w:val="Strong"/>
        </w:rPr>
        <w:t>ESC discussion</w:t>
      </w:r>
    </w:p>
    <w:p w14:paraId="36ADF08C" w14:textId="77777777" w:rsidR="007F49A2" w:rsidRDefault="007F49A2" w:rsidP="007F49A2">
      <w:pPr>
        <w:keepNext/>
        <w:keepLines/>
      </w:pPr>
      <w:r>
        <w:t xml:space="preserve">ESC noted that this resubmission from Australasian Medical &amp; Scientific Limited requested National Diabetes Services Scheme (NDSS) funding for the Dexcom ONE+ continuous glucose monitoring (CGM) system for people with insulin-dependent type 2 diabetes (T2D). </w:t>
      </w:r>
    </w:p>
    <w:p w14:paraId="49F20140" w14:textId="77777777" w:rsidR="007F49A2" w:rsidRDefault="007F49A2" w:rsidP="007F49A2">
      <w:pPr>
        <w:rPr>
          <w:rStyle w:val="Strong"/>
          <w:b w:val="0"/>
          <w:bCs w:val="0"/>
        </w:rPr>
      </w:pPr>
      <w:r>
        <w:t xml:space="preserve">MSAC previously considered this application at its July 2025 meeting but deferred its advice at that time (see the </w:t>
      </w:r>
      <w:hyperlink r:id="rId23">
        <w:r w:rsidRPr="7026CCDC">
          <w:rPr>
            <w:rStyle w:val="Hyperlink"/>
          </w:rPr>
          <w:t>public summary document for Application 1785</w:t>
        </w:r>
      </w:hyperlink>
      <w:r>
        <w:t xml:space="preserve"> from July 2025). MSAC advised that a resubmission should present a revised economic evaluation focused on the populations with higher clinical need, 2 different patterns of usage (continuous and intermittent), and any more recent clinical evidence of effectiveness, as well as addressing issues identified in the economic model. MSAC also considered revised estimates of utilisation would be required to more accurately estimate the size of the subpopulations. MSAC considered there was limited evidence available to suggest a significant difference in clinical outcomes between different brands of CGM devices with comparable functionality, and that further consideration should be given as to whether devices that have similar features should be considered equivalent.</w:t>
      </w:r>
    </w:p>
    <w:p w14:paraId="6426DEA5" w14:textId="77777777" w:rsidR="007F49A2" w:rsidRDefault="007F49A2" w:rsidP="007F49A2">
      <w:r>
        <w:t xml:space="preserve">In addition to Application 1785, MSAC also considered </w:t>
      </w:r>
      <w:hyperlink r:id="rId24" w:history="1">
        <w:r>
          <w:rPr>
            <w:rStyle w:val="Hyperlink"/>
          </w:rPr>
          <w:t>Application 1786</w:t>
        </w:r>
      </w:hyperlink>
      <w:r>
        <w:t xml:space="preserve"> for NDSS funding of the FreeStyle Libre 2 (FSL) CGM system for people with T2D requiring insulin and those with gestational diabetes and other types of diabetes (including type 3c) in July 2025. MSAC also deferred its advice on Application 1786.</w:t>
      </w:r>
    </w:p>
    <w:p w14:paraId="42385D72" w14:textId="07296BC9" w:rsidR="007F49A2" w:rsidRDefault="007F49A2" w:rsidP="007F49A2">
      <w:r>
        <w:t>ESC noted and welcomed public consultation on this a</w:t>
      </w:r>
      <w:r w:rsidRPr="00AA4D64">
        <w:t xml:space="preserve">pplication from </w:t>
      </w:r>
      <w:r w:rsidRPr="00165EF7">
        <w:t>561</w:t>
      </w:r>
      <w:r w:rsidRPr="00AA4D64">
        <w:t xml:space="preserve"> individuals and </w:t>
      </w:r>
      <w:r w:rsidRPr="00165EF7">
        <w:t>1</w:t>
      </w:r>
      <w:r>
        <w:t>2</w:t>
      </w:r>
      <w:r w:rsidR="002A5CD1">
        <w:t> </w:t>
      </w:r>
      <w:r w:rsidRPr="00AA4D64">
        <w:t>organisations. Consultation input noted benefits</w:t>
      </w:r>
      <w:r>
        <w:t xml:space="preserve"> for subgroups including people with multiple daily insulin injections, bolus regimens, high levels of glycated haemoglobin (HbA1c), marked glucose variability, high risk of hypoglycaemia (especially overnight), disability, neurodivergence, people living alone, drivers and shift workers, and people in rural and remote areas who may lack access to specialist care. Key benefits identified included real-time feedback leading to behaviour change, safer titration of insulin, identification of overnight trends to inform management, and the educational value of constant monitoring. A large proportion of respondents supported access to CGM for gestational diabetes, noting that time-limited access during pregnancy could have benefits for maternal and neonatal outcomes. Consultation feedback overwhelmingly preferred continuous access to CGM, although around half of respondents said people would benefit from intermittent or short-term use. ESC noted the consultation advice received for the current and previous consideration of this application, and from the recently convened clinical stakeholder meeting, was broadly aligned with MSAC’s </w:t>
      </w:r>
      <w:r>
        <w:lastRenderedPageBreak/>
        <w:t>suggestions for identifying subpopulations of patients with T2D with the highest clinical need for CGM.</w:t>
      </w:r>
    </w:p>
    <w:p w14:paraId="0765C1C6" w14:textId="77777777" w:rsidR="007F49A2" w:rsidRDefault="007F49A2" w:rsidP="007F49A2">
      <w:r>
        <w:t>Respondents noted that current costs for CGM can be prohibitive for many people, and access based on diabetes type is perceived as inequitable. Around 80% of respondents supported copayments consistent with existing NDSS arrangements for people with T1D, noting that this would be fair, consistent and equitable. However, respondents also noted that Aboriginal and Torres Strait Islander people and people managing multiple expenses may need different considerations regarding copayments.</w:t>
      </w:r>
    </w:p>
    <w:p w14:paraId="65C776DC" w14:textId="41F1AC6A" w:rsidR="007F49A2" w:rsidRDefault="007F49A2" w:rsidP="007F49A2">
      <w:r>
        <w:t xml:space="preserve">Consultation inputs overall indicated strong support for the role of general practitioners (GPs) in certifying eligibility for CGM, noting that this </w:t>
      </w:r>
      <w:r w:rsidR="00EF0FF0">
        <w:t>w</w:t>
      </w:r>
      <w:r>
        <w:t>ould reduce out-of-pocket costs, GPs have deeper knowledge of patients both clinically and personally, and access to specialists can be slow, costly and geographically limited. However, this support was substantially lower in respondents who identified as health professionals or health academics. These respondents noted that GPs lack specialist knowledge to interpret CGM data and provide adequate patient education, GP access may constitute a missed referral to diabetes-specific support services, and that patient education is optimally provided through credentialled diabetes educators.</w:t>
      </w:r>
    </w:p>
    <w:p w14:paraId="3027BD06" w14:textId="77777777" w:rsidR="007F49A2" w:rsidRDefault="007F49A2" w:rsidP="007F49A2">
      <w:r>
        <w:t>ESC noted that MSAC members attended a meeting with clinical stakeholders regarding Applications 1785 and 1786 on 20 May 2026. Participants broadly supported intermittent use of CGM, noting that intermittent access was preferable to no access. Participants also raised the option of a stepped care model in which observation of patients using CGM continuously over a shorter period of initial use could identify those requiring longer-term continuous use. Participants had concerns around using HbA1c levels to determine eligibility, but could not identify an appropriate alternative. ESC considered that, in the absence of another suitable biomarker, HbA1c level remains the most appropriate way to determine eligibility. Participants considered that subpopulations should be identified on the basis of those who might benefit most from intensified treatment (such as people with diabetic foot or kidney disease, or other clinical factors indicating severity) or those most at risk of harm from hypoglycaemic episodes (such as people with a higher risk of hypoglycaemic episodes due to higher doses of insulin, or people with intercurrent illness). Stakeholders had mixed opinions on the type of clinician who could authorise access to CGM. ESC noted that GP involvement had been raised but remained unresolved and was characterised by the applicant as a policy issue.</w:t>
      </w:r>
    </w:p>
    <w:p w14:paraId="7F8B669E" w14:textId="77777777" w:rsidR="007F49A2" w:rsidRDefault="007F49A2" w:rsidP="007F49A2">
      <w:r>
        <w:t>ESC recalled that MSAC had considered there was insufficient evidence to support the applicant’s use of a 0.3% reduction in HbA1c as the minimal clinically important difference (MCID). MSAC had noted that this was lower than the generally accepted MCID of 0.5% reduction in HbA1c, which is used by the Pharmaceutical Benefits Advisory Committee and regulatory agencies. ESC noted that the applicant did not address this issue in the resubmission and no further justification for an MCID of 0.3% was provided. However, ESC considered that this issue was less central to decision-making than in the previous submission because the revised model used the smaller RCT-based HbA1c treatment effects of –0.30% and –0.40%, and because the broader evidence base suggested potential patient-relevant benefits beyond HbA1c alone.</w:t>
      </w:r>
    </w:p>
    <w:p w14:paraId="21ECBAA1" w14:textId="77777777" w:rsidR="007F49A2" w:rsidRDefault="007F49A2" w:rsidP="007F49A2">
      <w:r>
        <w:t xml:space="preserve">ESC recalled that </w:t>
      </w:r>
      <w:r w:rsidRPr="7026CCDC">
        <w:rPr>
          <w:rStyle w:val="Strong"/>
          <w:b w:val="0"/>
          <w:bCs w:val="0"/>
        </w:rPr>
        <w:t xml:space="preserve">MSAC had advised that the resubmission should focus on subpopulations with higher clinical need. These included people </w:t>
      </w:r>
      <w:r>
        <w:t xml:space="preserve">using insulin with higher baseline levels of HbA1c (e.g. &gt;8% and &gt;9%); Aboriginal and Torres Strait Islander people (e.g. with baseline HbA1c &gt;7%); people who use long-acting and short-acting insulin; people with disability; people with intercurrent illness; people who are pregnant and have type 2 diabetes or gestational diabetes; people who are starting insulin therapy and require frequent blood glucose level measurements; and people in whom nocturnal hypoglycaemic events are suspected. The applicant partially addressed this request in the resubmission by including evaluation of people with T2D on </w:t>
      </w:r>
      <w:r>
        <w:lastRenderedPageBreak/>
        <w:t>intensive insulin therapy (IIT) with HbA1c &gt;7%, and people with T2D on basal insulin only with HbA1c levels of &gt;8% or &gt;9%. The applicant stated that other populations were not evaluated due to the lack of comparative studies in these groups. However, the applicant noted in its pre-ESC response that it is reasonable to expect that CGM will provide similar clinical benefits in all these subgroups. ESC noted that there was little incentive to collect such data and considered that the evidence presented on the effectiveness in the broader population is likely to be applicable specific subpopulations.</w:t>
      </w:r>
    </w:p>
    <w:p w14:paraId="11C07674" w14:textId="77777777" w:rsidR="007F49A2" w:rsidRDefault="007F49A2" w:rsidP="007F49A2">
      <w:pPr>
        <w:rPr>
          <w:rStyle w:val="Strong"/>
          <w:b w:val="0"/>
          <w:bCs w:val="0"/>
        </w:rPr>
      </w:pPr>
      <w:r w:rsidRPr="66A118A9">
        <w:rPr>
          <w:rStyle w:val="Strong"/>
          <w:b w:val="0"/>
          <w:bCs w:val="0"/>
        </w:rPr>
        <w:t>ESC noted that many subgroups who are likely to benefit involve small numbers of patients (such as people with type 3c diabetes (T3cD) and other types of diabetes similar to type 1, Aboriginal and Torres Strait Islander people, and people with youth-onset T2D (i.e. those diagnosed at age &lt;25 years)). ESC considered that it may be reasonable to extrapolate the overall effect size to these groups, given there are no reasons to expect that effectiveness will be substantially less in these group</w:t>
      </w:r>
      <w:r>
        <w:rPr>
          <w:rStyle w:val="Strong"/>
          <w:b w:val="0"/>
          <w:bCs w:val="0"/>
        </w:rPr>
        <w:t xml:space="preserve">s. </w:t>
      </w:r>
      <w:r>
        <w:t xml:space="preserve">ESC considered that the groups with the greatest clinical need, </w:t>
      </w:r>
      <w:r w:rsidRPr="66A118A9">
        <w:rPr>
          <w:rStyle w:val="Strong"/>
          <w:b w:val="0"/>
          <w:bCs w:val="0"/>
        </w:rPr>
        <w:t>who often have worse outcomes from diabetes</w:t>
      </w:r>
      <w:r>
        <w:rPr>
          <w:rStyle w:val="Strong"/>
          <w:b w:val="0"/>
          <w:bCs w:val="0"/>
        </w:rPr>
        <w:t xml:space="preserve">, </w:t>
      </w:r>
      <w:r>
        <w:t>may not be those with the strongest direct evidence, and that this would need to be taken into account in any staged implementation approach.</w:t>
      </w:r>
    </w:p>
    <w:p w14:paraId="1F8CE9F4" w14:textId="77777777" w:rsidR="007F49A2" w:rsidRDefault="007F49A2" w:rsidP="007F49A2">
      <w:r>
        <w:t xml:space="preserve">ESC recalled that MSAC had advised that the resubmission should include patient-relevant outcomes, including quality of life (QoL) and end-organ outcomes. The applicant had included a large retrospective cohort study using data from the United States Veterans Affairs Health Care System and propensity score matching to link use of real-time CGM to change in longer-term health outcomes, including mortality. The results showed lower mortality risk for CGM users, as well as lower all-cause hospitalisation, severe cardiovascular disease and admissions related to hyperglycaemia. However, ESC considered that residual confounding could not be excluded and noted that the observed between-group difference in HbA1c was modest. ESC queried the plausibility of the estimated size of effects on clinical outcomes given the small HbA1c difference undermining the postulated mechanism of action. </w:t>
      </w:r>
    </w:p>
    <w:p w14:paraId="7BF7F6C0" w14:textId="77777777" w:rsidR="007F49A2" w:rsidRDefault="007F49A2" w:rsidP="007F49A2">
      <w:r>
        <w:t>ESC noted that public consultation and the clinical stakeholder meeting provided qualitative input of perceived quality-of-life benefits, including reduced burden of finger-prick testing, and improved confidence in self-management.</w:t>
      </w:r>
    </w:p>
    <w:p w14:paraId="72C21E08" w14:textId="77777777" w:rsidR="007F49A2" w:rsidRDefault="007F49A2" w:rsidP="007F49A2">
      <w:r>
        <w:t xml:space="preserve">The applicant stated that no new studies on comparative clinical effectiveness were available. </w:t>
      </w:r>
      <w:r w:rsidRPr="000E793F">
        <w:t xml:space="preserve">The core comparative evidence remained the DIAMOND and MOBILE randomised trials, supplemented by post-hoc analyses, a pooled meta-analysis, and observational evidence, including </w:t>
      </w:r>
      <w:r>
        <w:t>the</w:t>
      </w:r>
      <w:r w:rsidRPr="000E793F">
        <w:t xml:space="preserve"> large propensity-matched Veterans Affairs cohort study</w:t>
      </w:r>
      <w:r>
        <w:t xml:space="preserve"> discussed above. </w:t>
      </w:r>
    </w:p>
    <w:p w14:paraId="1C070388" w14:textId="77777777" w:rsidR="007F49A2" w:rsidRDefault="007F49A2" w:rsidP="007F49A2">
      <w:r>
        <w:t>ESC noted that the post-hoc analyses of the MOBILE trial for the non-IIT subpopulation results suggested a statistically significant mean reduction in HbA1c for people using Dexcom ONE+ compared with SMBG at 3 months and 8 months, with greater reductions seen in people with higher baseline HbA1c levels. However, ESC noted that the commentary had assessed the quality of this study and these analyses as very low. The commentary also identified an additional trial that assessed CGM against SMBG in the same subpopulation (non-IIT) in the MOBILE trial. The commentary considered that evidence from this very recently published trial strengthens the clinical effectiveness claim in the non-IIT subpopulation.</w:t>
      </w:r>
    </w:p>
    <w:p w14:paraId="541F3E2A" w14:textId="77777777" w:rsidR="007F49A2" w:rsidRDefault="007F49A2" w:rsidP="007F49A2">
      <w:r>
        <w:t>ESC noted that this trial was a randomised controlled trial (RCT) evaluating the FreeStyle Libre 2 CGM device (FreeDM2 trial, published since the applicant’s literature search). This reported an adjusted mean difference in HbA1c between the CGM group and the SMBG group of –0.5%. ESC considered that this evidence was directionally consistent with MOBILE and strengthened the case for superior effectiveness of CGM compared with SMBG in the non-IIT subpopulation.</w:t>
      </w:r>
    </w:p>
    <w:p w14:paraId="4DA0AF38" w14:textId="77777777" w:rsidR="007F49A2" w:rsidRDefault="007F49A2" w:rsidP="007F49A2">
      <w:r>
        <w:t xml:space="preserve">The resubmission also included a meta-analysis of real-time CGM compared with SMBG, but ESC noted there were methodological flaws in pooling studies with different designs and timepoints </w:t>
      </w:r>
      <w:r>
        <w:lastRenderedPageBreak/>
        <w:t xml:space="preserve">for outcome measurement. The commentary also noted the issues with indirect comparisons and risk of confounding in this analysis. The applicant’s pre-ESC response included real-world evidence on the use of CGMs that suggested a larger mean reduction in HbA1c of 1.31%. However, ESC noted that the included studies were single-arm (non-comparative) studies, mostly using administrative data and before-and-after analysis, and therefore had a high risk of bias. </w:t>
      </w:r>
    </w:p>
    <w:p w14:paraId="286EC8A5" w14:textId="77777777" w:rsidR="007F49A2" w:rsidRDefault="007F49A2" w:rsidP="007F49A2">
      <w:r>
        <w:rPr>
          <w:rStyle w:val="Strong"/>
          <w:b w:val="0"/>
          <w:bCs w:val="0"/>
        </w:rPr>
        <w:t xml:space="preserve">The applicant’s pre-ESC response also noted a range of international guidelines and funding decisions that support CGM use. </w:t>
      </w:r>
    </w:p>
    <w:p w14:paraId="3D14187D" w14:textId="77777777" w:rsidR="007F49A2" w:rsidRDefault="007F49A2" w:rsidP="007F49A2">
      <w:pPr>
        <w:rPr>
          <w:rStyle w:val="Strong"/>
          <w:b w:val="0"/>
          <w:bCs w:val="0"/>
        </w:rPr>
      </w:pPr>
      <w:r>
        <w:rPr>
          <w:rStyle w:val="Strong"/>
          <w:b w:val="0"/>
          <w:bCs w:val="0"/>
        </w:rPr>
        <w:t>ESC noted the applicant’s claim that Dexcom ONE+ was superior to other CGM devices. In its previous consideration of this application, MSAC did not consider that this claim was supported by the evidence in the original submission, and the commentary did not consider that this was supported by the methodologically flawed meta-analysis in the resubmission. ESC noted the applicant’s clarification in its pre-ESC response that the meta-analysis was intended to demonstrate that individual brands of CGMs differ from one another and should be assessed on their own outcomes data.</w:t>
      </w:r>
    </w:p>
    <w:p w14:paraId="46FC563E" w14:textId="77777777" w:rsidR="007F49A2" w:rsidRDefault="007F49A2" w:rsidP="007F49A2">
      <w:pPr>
        <w:rPr>
          <w:rStyle w:val="Strong"/>
          <w:b w:val="0"/>
          <w:bCs w:val="0"/>
        </w:rPr>
      </w:pPr>
      <w:r>
        <w:rPr>
          <w:rStyle w:val="Strong"/>
          <w:b w:val="0"/>
          <w:bCs w:val="0"/>
        </w:rPr>
        <w:t>ESC noted the applicant’s statement that intermittent use of Dexcom ONE+ was not a viable option, while continuous use of CGM systems is clinically justified to maintain glycaemic outcomes. Data were provided on mean time in range and mean HbA1c from a 6-month extension phase of the MOBILE trial, in which 53 participants continued CGM and 53 participants discontinued and returned to SMBG. ESC noted the small numbers of participants and overlapping confidence intervals in these data but considered that the extension study could be interpreted as demonstrating a benefit of intermittent CGM compared with SMBG.</w:t>
      </w:r>
    </w:p>
    <w:p w14:paraId="59855267" w14:textId="77777777" w:rsidR="007F49A2" w:rsidRDefault="007F49A2" w:rsidP="007F49A2">
      <w:r w:rsidRPr="2B894DD6">
        <w:rPr>
          <w:rStyle w:val="Strong"/>
          <w:b w:val="0"/>
          <w:bCs w:val="0"/>
        </w:rPr>
        <w:t xml:space="preserve">ESC noted the resubmission did not include comparative safety data, as the </w:t>
      </w:r>
      <w:r>
        <w:rPr>
          <w:rStyle w:val="Strong"/>
          <w:b w:val="0"/>
          <w:bCs w:val="0"/>
        </w:rPr>
        <w:t>Applicant Developed Assessment Report</w:t>
      </w:r>
      <w:r w:rsidRPr="2B894DD6">
        <w:rPr>
          <w:rStyle w:val="Strong"/>
          <w:b w:val="0"/>
          <w:bCs w:val="0"/>
        </w:rPr>
        <w:t xml:space="preserve"> </w:t>
      </w:r>
      <w:r>
        <w:rPr>
          <w:rStyle w:val="Strong"/>
          <w:b w:val="0"/>
          <w:bCs w:val="0"/>
        </w:rPr>
        <w:t>(</w:t>
      </w:r>
      <w:r w:rsidRPr="2B894DD6">
        <w:rPr>
          <w:rStyle w:val="Strong"/>
          <w:b w:val="0"/>
          <w:bCs w:val="0"/>
        </w:rPr>
        <w:t>ADAR</w:t>
      </w:r>
      <w:r>
        <w:rPr>
          <w:rStyle w:val="Strong"/>
          <w:b w:val="0"/>
          <w:bCs w:val="0"/>
        </w:rPr>
        <w:t>)</w:t>
      </w:r>
      <w:r w:rsidRPr="2B894DD6">
        <w:rPr>
          <w:rStyle w:val="Strong"/>
          <w:b w:val="0"/>
          <w:bCs w:val="0"/>
        </w:rPr>
        <w:t xml:space="preserve"> stated that the claim of non-inferior safety had previously been accepted by MSAC. ESC considered there may be a potential safety concern </w:t>
      </w:r>
      <w:r>
        <w:t xml:space="preserve">relating to the analytical performance of CGM devices, in that if observed blood glucose (according to CGM) overestimates the true level, then patients may self-administer a higher dose of insulin than needed and cause a hypoglycaemic event. The applicant’s pre-ESC response referred to the Australian Diabetes Society’s statement on the need for minimum quality standards for CGMs and noted that current TGA processes may fall short of this. ESC agreed that a robust quality assurance system should be in place, </w:t>
      </w:r>
      <w:r w:rsidRPr="2B894DD6">
        <w:rPr>
          <w:rStyle w:val="Strong"/>
          <w:b w:val="0"/>
          <w:bCs w:val="0"/>
        </w:rPr>
        <w:t xml:space="preserve">while </w:t>
      </w:r>
      <w:r>
        <w:t>also noting that each sensor is only worn for up to 2 weeks before being replaced, helping to minimise potential safety risks associated with the performance of individual sensors. ESC further noted that the safety concern regarding analytical performance of continuous glucose monitoring devices had not been incorporated into the economic analyses, despite the potential for overestimation of glucose values to result in accidental insulin overdosing and hypoglycaemic events. ESC considered that, if the application progressed, quality assurance and minimum performance standards for subsidised devices would remain an important implementation consideration.</w:t>
      </w:r>
    </w:p>
    <w:p w14:paraId="6AB71700" w14:textId="77777777" w:rsidR="007F49A2" w:rsidRDefault="007F49A2" w:rsidP="007F49A2">
      <w:r>
        <w:t>For the original ADAR, MSAC had noted multiple issues with the economic model. ESC considered that only some issues had been adequately addressed in the resubmission. These were as follows:</w:t>
      </w:r>
    </w:p>
    <w:p w14:paraId="0CFA5630" w14:textId="77777777" w:rsidR="007F49A2" w:rsidRDefault="007F49A2" w:rsidP="00670C60">
      <w:pPr>
        <w:pStyle w:val="ListParagraph"/>
        <w:numPr>
          <w:ilvl w:val="0"/>
          <w:numId w:val="24"/>
        </w:numPr>
        <w:spacing w:before="0" w:after="240" w:line="240" w:lineRule="auto"/>
      </w:pPr>
      <w:r>
        <w:t>The ADAR presented the results using the Western Australia (Fremantle) risk equations separately to the model-validated UKPDS risk equations.</w:t>
      </w:r>
    </w:p>
    <w:p w14:paraId="7AC91439" w14:textId="77777777" w:rsidR="007F49A2" w:rsidRDefault="007F49A2" w:rsidP="00670C60">
      <w:pPr>
        <w:pStyle w:val="ListParagraph"/>
        <w:numPr>
          <w:ilvl w:val="0"/>
          <w:numId w:val="24"/>
        </w:numPr>
        <w:spacing w:before="0" w:after="240" w:line="240" w:lineRule="auto"/>
      </w:pPr>
      <w:r>
        <w:t>The result of using a shorter HbA1c treatment effect had been addressed in sensitivity analyses. ESC also noted that the applicant now used smaller randomised controlled trial–based HbA1c treatment effects rather than observational study estimates.</w:t>
      </w:r>
    </w:p>
    <w:p w14:paraId="0F19D608" w14:textId="77777777" w:rsidR="007F49A2" w:rsidRDefault="007F49A2" w:rsidP="00670C60">
      <w:pPr>
        <w:pStyle w:val="ListParagraph"/>
        <w:numPr>
          <w:ilvl w:val="0"/>
          <w:numId w:val="24"/>
        </w:numPr>
        <w:spacing w:before="0" w:after="240" w:line="240" w:lineRule="auto"/>
      </w:pPr>
      <w:r>
        <w:t>The applicant had reduced the background increase in HbA1c to a more plausible rate of 0.05% per year (compared to 0.15% per year in the previous ADAR).</w:t>
      </w:r>
    </w:p>
    <w:p w14:paraId="6D34A62E" w14:textId="77777777" w:rsidR="007F49A2" w:rsidRDefault="007F49A2" w:rsidP="00670C60">
      <w:pPr>
        <w:pStyle w:val="ListParagraph"/>
        <w:numPr>
          <w:ilvl w:val="0"/>
          <w:numId w:val="24"/>
        </w:numPr>
        <w:spacing w:before="0" w:after="240" w:line="240" w:lineRule="auto"/>
      </w:pPr>
      <w:r>
        <w:lastRenderedPageBreak/>
        <w:t>The applicant had reduced the hospital-related cost offsets assumed from CGM use, which MSAC had previously considered overestimated.</w:t>
      </w:r>
    </w:p>
    <w:p w14:paraId="17D8122C" w14:textId="77777777" w:rsidR="007F49A2" w:rsidRDefault="007F49A2" w:rsidP="007F49A2">
      <w:r>
        <w:t>ESC noted the applicant’s reasoning that data were not available for many of the subpopulations proposed by MSAC, and so these groups were not included in the economic analysis. ESC considered that the changes to the economic modelling led to results for the previously proposed subpopulations that were more realistic than those presented in the previous ADAR.</w:t>
      </w:r>
    </w:p>
    <w:p w14:paraId="573DE558" w14:textId="77777777" w:rsidR="007F49A2" w:rsidRDefault="007F49A2" w:rsidP="007F49A2">
      <w:r>
        <w:t>However, ESC also noted that several residual structural and parameter uncertainties in the model remained unaddressed, leading to overall uncertainty in the economic value of the proposal for NDSS funding of Dexcom ONE. These were as follows:</w:t>
      </w:r>
    </w:p>
    <w:p w14:paraId="7C94461E" w14:textId="77777777" w:rsidR="007F49A2" w:rsidRDefault="007F49A2" w:rsidP="00670C60">
      <w:pPr>
        <w:pStyle w:val="ListParagraph"/>
        <w:numPr>
          <w:ilvl w:val="0"/>
          <w:numId w:val="24"/>
        </w:numPr>
        <w:spacing w:before="0" w:after="240" w:line="240" w:lineRule="auto"/>
      </w:pPr>
      <w:r>
        <w:t xml:space="preserve">The change in model structure from 17 health states to 10 health states required validation or clarification. </w:t>
      </w:r>
    </w:p>
    <w:p w14:paraId="5F52F557" w14:textId="77777777" w:rsidR="007F49A2" w:rsidRDefault="007F49A2" w:rsidP="00670C60">
      <w:pPr>
        <w:pStyle w:val="ListParagraph"/>
        <w:numPr>
          <w:ilvl w:val="0"/>
          <w:numId w:val="24"/>
        </w:numPr>
        <w:spacing w:before="0" w:after="240" w:line="240" w:lineRule="auto"/>
      </w:pPr>
      <w:r>
        <w:t>Concerns with utility estimates identified in the previous ADAR were unaddressed - in particular, the assumed finger-prick testing disutilities (as discussed further below) and the failure to multiply EQ5D-5L scores by Australian values.</w:t>
      </w:r>
    </w:p>
    <w:p w14:paraId="0C9B01F8" w14:textId="77777777" w:rsidR="007F49A2" w:rsidRDefault="007F49A2" w:rsidP="00670C60">
      <w:pPr>
        <w:pStyle w:val="ListParagraph"/>
        <w:numPr>
          <w:ilvl w:val="0"/>
          <w:numId w:val="24"/>
        </w:numPr>
        <w:spacing w:before="0" w:after="240" w:line="240" w:lineRule="auto"/>
      </w:pPr>
      <w:r>
        <w:rPr>
          <w:lang w:val="en-US"/>
        </w:rPr>
        <w:t>The effect of expected lags in onset of the treatment effect on diabetic complications was not assessed.</w:t>
      </w:r>
    </w:p>
    <w:p w14:paraId="31A74822" w14:textId="77777777" w:rsidR="007F49A2" w:rsidRDefault="007F49A2" w:rsidP="00670C60">
      <w:pPr>
        <w:pStyle w:val="ListParagraph"/>
        <w:numPr>
          <w:ilvl w:val="0"/>
          <w:numId w:val="24"/>
        </w:numPr>
        <w:spacing w:before="0" w:after="240" w:line="240" w:lineRule="auto"/>
      </w:pPr>
      <w:r>
        <w:t>There was a lack of justification of use of a different method to estimate hospitalisations for severe hypoglycaemic events (SHE) and diabetic ketoacidosis (DKA).</w:t>
      </w:r>
    </w:p>
    <w:p w14:paraId="79870D4D" w14:textId="77777777" w:rsidR="007F49A2" w:rsidRDefault="007F49A2" w:rsidP="00670C60">
      <w:pPr>
        <w:pStyle w:val="ListParagraph"/>
        <w:numPr>
          <w:ilvl w:val="0"/>
          <w:numId w:val="24"/>
        </w:numPr>
        <w:spacing w:before="0" w:after="240" w:line="240" w:lineRule="auto"/>
      </w:pPr>
      <w:r>
        <w:t>There was a lack of justification for applying US-sourced data to populate baseline characteristics.</w:t>
      </w:r>
    </w:p>
    <w:p w14:paraId="4D1631B7" w14:textId="77777777" w:rsidR="007F49A2" w:rsidRDefault="007F49A2" w:rsidP="00670C60">
      <w:pPr>
        <w:pStyle w:val="ListParagraph"/>
        <w:numPr>
          <w:ilvl w:val="0"/>
          <w:numId w:val="24"/>
        </w:numPr>
        <w:spacing w:before="0" w:after="240" w:line="240" w:lineRule="auto"/>
      </w:pPr>
      <w:r>
        <w:t>No sensitivity analyses using a shorter base case time horizon were conducted.</w:t>
      </w:r>
    </w:p>
    <w:p w14:paraId="677E254D" w14:textId="77777777" w:rsidR="007F49A2" w:rsidRDefault="007F49A2" w:rsidP="00670C60">
      <w:pPr>
        <w:pStyle w:val="ListParagraph"/>
        <w:numPr>
          <w:ilvl w:val="0"/>
          <w:numId w:val="24"/>
        </w:numPr>
        <w:spacing w:before="0" w:after="240" w:line="240" w:lineRule="auto"/>
      </w:pPr>
      <w:r>
        <w:t xml:space="preserve">The lack of sensitivity analyses varying the subtypes of renal complications avoided. </w:t>
      </w:r>
    </w:p>
    <w:p w14:paraId="6D69E36C" w14:textId="77777777" w:rsidR="007F49A2" w:rsidRDefault="007F49A2" w:rsidP="00670C60">
      <w:pPr>
        <w:pStyle w:val="ListParagraph"/>
        <w:numPr>
          <w:ilvl w:val="0"/>
          <w:numId w:val="24"/>
        </w:numPr>
        <w:spacing w:before="0" w:after="240" w:line="240" w:lineRule="auto"/>
      </w:pPr>
      <w:r>
        <w:t>The life expectancy anomaly across the 2 sets of risk equations was unexplained.</w:t>
      </w:r>
    </w:p>
    <w:p w14:paraId="12468805" w14:textId="77777777" w:rsidR="007F49A2" w:rsidRDefault="007F49A2" w:rsidP="00670C60">
      <w:pPr>
        <w:pStyle w:val="ListParagraph"/>
        <w:numPr>
          <w:ilvl w:val="0"/>
          <w:numId w:val="24"/>
        </w:numPr>
        <w:spacing w:before="0" w:after="240" w:line="240" w:lineRule="auto"/>
      </w:pPr>
      <w:r>
        <w:t xml:space="preserve">No sensitivity analyses of the age and duration of T2D were conducted.  </w:t>
      </w:r>
    </w:p>
    <w:p w14:paraId="36DCDCF1" w14:textId="77777777" w:rsidR="007F49A2" w:rsidRDefault="007F49A2" w:rsidP="007F49A2">
      <w:r>
        <w:t>ESC considered that the direction and magnitude of these multiple sources of uncertainty were mostly unclear, leading to little confidence in the model outputs.</w:t>
      </w:r>
    </w:p>
    <w:p w14:paraId="5214DB12" w14:textId="77777777" w:rsidR="007F49A2" w:rsidRDefault="007F49A2" w:rsidP="007F49A2">
      <w:r>
        <w:t xml:space="preserve">ESC noted the model presented a cost-utility analysis using patient-level microsimulations. ESC considered that this type of analysis was appropriate if MSAC was to accept the claim of superior effectiveness. The IIT subpopulation was treated with ≥2 daily insulin injections (basal–bolus) and had HbA1c levels of &gt;7.0% for adults and &gt;6.5% for children and adolescents. ESC noted that this population now excluded those using premixed insulin, which affected the financial estimates. The non-IIT subpopulation was treated with ≥1 daily insulin injection (not otherwise included in the IIT subpopulation) and had HbA1c levels of &gt;8% or &gt;9% for adults and &gt;6.5% for children and adolescents. ESC noted that the HbA1c thresholds for adults in the non-IIT population were higher than in the previous submission. </w:t>
      </w:r>
    </w:p>
    <w:p w14:paraId="0525335C" w14:textId="77777777" w:rsidR="007F49A2" w:rsidRDefault="007F49A2" w:rsidP="007F49A2">
      <w:r>
        <w:t>Modelling was not conducted for the subpopulation of Aboriginal and Torres Strait Islander people, and the ADAR assumed that this would be similar to the IIT population, although no evidence was provided to support this. The model did not include short-term use of CGM except for gestational diabetes or pregnant people with T2D. ESC noted that the applicant’s pre-ESC response stated that, despite the lack of available evidence, it was reasonable to expect that CGM would provide similar clinical benefits for gestational diabetes, First Nations people, people with a disability, and those with T3cD and other types of diabetes. ESC agreed that it was reasonable to assume a similar treatment effect in these populations to the broader T2D population.</w:t>
      </w:r>
    </w:p>
    <w:p w14:paraId="7F300086" w14:textId="77777777" w:rsidR="007F49A2" w:rsidRDefault="007F49A2" w:rsidP="007F49A2">
      <w:r>
        <w:t xml:space="preserve">ESC also noted that the economic evaluations, consistent with use of RCT-based treatment effects, now used RCT-based population characteristics in preference to those from the US-based </w:t>
      </w:r>
      <w:r>
        <w:lastRenderedPageBreak/>
        <w:t>retrospective cohort study (Karter 2021)</w:t>
      </w:r>
      <w:r w:rsidRPr="66A118A9">
        <w:rPr>
          <w:rStyle w:val="FootnoteReference"/>
        </w:rPr>
        <w:footnoteReference w:id="26"/>
      </w:r>
      <w:r>
        <w:t xml:space="preserve"> where possible. ESC noted that this improved the internal validity of diabetic complication-related costs and quality-adjusted life-years (QALYs), but made it difficult to discern the drivers from these multiple changes to the results of the economic evaluation. ESC also noted that using RCT data may still overestimate the HbA1c treatment effects; however, the reduction in HbA1c remained smaller in the IIT population than in the non-IIT population, which MSAC may consider more plausible if it accepts that this is due to the increased baseline HbA1c in the non-IIT model. </w:t>
      </w:r>
    </w:p>
    <w:p w14:paraId="6F91060B" w14:textId="17D27B39" w:rsidR="007F49A2" w:rsidRDefault="007F49A2" w:rsidP="007F49A2">
      <w:r>
        <w:t>ESC noted that, for the IIT population, based on the UKPDS risk estimations, the incremental cost-effectiveness ratio (ICER) for the use of Dexcom ONE+ CGM compared with SMBG was $</w:t>
      </w:r>
      <w:r w:rsidR="008A7E07">
        <w:t>5,000 to &lt; $15,000</w:t>
      </w:r>
      <w:r>
        <w:t xml:space="preserve"> per QALY gained, with an additional 0.511 QALYs and $</w:t>
      </w:r>
      <w:r w:rsidR="008A7E07">
        <w:rPr>
          <w:b/>
          <w:bCs/>
        </w:rPr>
        <w:t>redacted</w:t>
      </w:r>
      <w:r>
        <w:t xml:space="preserve"> in costs over a lifetime horizon. Based on the Fremantle risk estimations, the ICER for the use of Dexcom ONE+ CGM compared with SMBG was $</w:t>
      </w:r>
      <w:r w:rsidR="008A7E07">
        <w:t>5,000 to &lt; $15,000</w:t>
      </w:r>
      <w:r>
        <w:t xml:space="preserve"> per QALY gained, with an additional 0.579 QALYs and $</w:t>
      </w:r>
      <w:r w:rsidR="008A7E07">
        <w:rPr>
          <w:b/>
          <w:bCs/>
        </w:rPr>
        <w:t>redacted</w:t>
      </w:r>
      <w:r>
        <w:t xml:space="preserve"> in costs over a lifetime horizon. </w:t>
      </w:r>
    </w:p>
    <w:p w14:paraId="29A1CD75" w14:textId="3322EB1E" w:rsidR="007F49A2" w:rsidRDefault="007F49A2" w:rsidP="007F49A2">
      <w:r>
        <w:t>ESC noted that, for the non-IIT population, based on the UKPDS risk estimations, the ICER for the use of Dexcom ONE+ CGM compared with SMBG was $</w:t>
      </w:r>
      <w:r w:rsidR="008A7E07">
        <w:t>35,000 to &lt; $45,000</w:t>
      </w:r>
      <w:r>
        <w:t xml:space="preserve"> per QALY gained with an additional 0.287 QALYs and $</w:t>
      </w:r>
      <w:r w:rsidR="008A7E07">
        <w:rPr>
          <w:b/>
          <w:bCs/>
        </w:rPr>
        <w:t>redacted</w:t>
      </w:r>
      <w:r>
        <w:t xml:space="preserve"> in costs over a lifetime horizon. Based on the Fremantle risk estimations, the ICER for the use of Dexcom ONE+ CGM compared with SMBG was $</w:t>
      </w:r>
      <w:r w:rsidR="001874A2">
        <w:t>5,000 to &lt; $15,000</w:t>
      </w:r>
      <w:r>
        <w:t xml:space="preserve"> per QALY gained with an additional 0.314 QALYs and $</w:t>
      </w:r>
      <w:r w:rsidR="001874A2">
        <w:rPr>
          <w:b/>
          <w:bCs/>
        </w:rPr>
        <w:t>redacted</w:t>
      </w:r>
      <w:r>
        <w:t xml:space="preserve"> in costs over a lifetime horizon. </w:t>
      </w:r>
    </w:p>
    <w:p w14:paraId="3F53C5EA" w14:textId="6D05DB0B" w:rsidR="007F49A2" w:rsidRDefault="007F49A2" w:rsidP="007F49A2">
      <w:r>
        <w:t xml:space="preserve">In the base case results of the economic evaluation, ESC noted that incremental QALYs for each population were driven by incremental changes in QoL rather than life-years. ESC remained concerned that the disutility associated with finger-prick testing and </w:t>
      </w:r>
      <w:r w:rsidRPr="006756E2">
        <w:t xml:space="preserve">with the linked fear of hypoglycaemia both generating </w:t>
      </w:r>
      <w:r>
        <w:t xml:space="preserve">the relatively large QALY gains from avoiding finger-prick testing were overestimated. ESC noted that using the general population to derive these utilities, rather than people with diabetes, may overestimate the QALY loss relating to finger-prick testing. This is because the general population is poor at estimating a </w:t>
      </w:r>
      <w:r w:rsidRPr="004201DD">
        <w:rPr>
          <w:i/>
          <w:iCs/>
        </w:rPr>
        <w:t>loss</w:t>
      </w:r>
      <w:r>
        <w:t xml:space="preserve"> of QoL in worse health states that they have not experienced. The general guidance from HTA agencies to use the general population is appropriate for minimising a patient’s incentive to overestimate the </w:t>
      </w:r>
      <w:r w:rsidRPr="004201DD">
        <w:rPr>
          <w:i/>
          <w:iCs/>
        </w:rPr>
        <w:t>gain</w:t>
      </w:r>
      <w:r>
        <w:t xml:space="preserve"> of QoL in better health states. ESC also considered that this may overlap with the disutility associated with fear of hypoglycaemia. ESC noted that simply halving the finger-prick QALY gain increased the ICER to $</w:t>
      </w:r>
      <w:r w:rsidR="001874A2">
        <w:t>15,000 to &lt; $25,000</w:t>
      </w:r>
      <w:r>
        <w:t xml:space="preserve"> per QALY gained for the IIT subpopulation</w:t>
      </w:r>
      <w:r>
        <w:rPr>
          <w:rStyle w:val="FootnoteReference"/>
        </w:rPr>
        <w:footnoteReference w:id="27"/>
      </w:r>
      <w:r>
        <w:t>.</w:t>
      </w:r>
    </w:p>
    <w:p w14:paraId="0BDC75A2" w14:textId="14B12FF5" w:rsidR="007F49A2" w:rsidRDefault="007F49A2" w:rsidP="007F49A2">
      <w:r>
        <w:t xml:space="preserve">ESC noted that the sensitivity analyses showed that, even where the HbA1c treatment effect converged over time or a reduced time horizon was applied, the model continued to generate divergent risks of diabetes complications and other sources of incremental QALYs. ESC noted that, by partitioning the incremental QALY (0.511 for the IIT subpopulation using the UKPDS model), the drivers were mainly the avoidance of finger-prick testing (approximately 0.289 QALYs) and reduced fear of hypoglycaemia (0.151 QALYs), with smaller contributions from avoidance of SHE and DKA (0.019 QALYs) and diabetes complications (0.052 QALYs). ESC also noted that, with reference to the same IIT subpopulation and UKPDS model, incremental glucose monitoring costs </w:t>
      </w:r>
      <w:r w:rsidRPr="001874A2">
        <w:t>(+$</w:t>
      </w:r>
      <w:r w:rsidR="001874A2">
        <w:rPr>
          <w:b/>
          <w:bCs/>
        </w:rPr>
        <w:t>redacted</w:t>
      </w:r>
      <w:r>
        <w:t xml:space="preserve">) were partly offset by reductions in SHE costs (−$3,710), DKA costs (−$3,083) and diabetes complication costs (−$3,140), but that the SHE and DKA estimates were generated separately from a United States–based retrospective cohort study, adding uncertainty about </w:t>
      </w:r>
      <w:r>
        <w:lastRenderedPageBreak/>
        <w:t>residual bias and applicability to the Australian setting. Similar conclusions were drawn by partitioning the non-IIT UKPDS model.</w:t>
      </w:r>
    </w:p>
    <w:p w14:paraId="2399703D" w14:textId="0F43EC99" w:rsidR="007F49A2" w:rsidRDefault="007F49A2" w:rsidP="007F49A2">
      <w:r>
        <w:t>ESC noted that a re-estimate of the ICERs which (a) ignored any changes in hospitalisation and complications costs and (b) focused only on the benefit of avoiding finger-prick disutility resulted in ICERs of $</w:t>
      </w:r>
      <w:r w:rsidR="001874A2">
        <w:t>55,000 to &lt; $75,000</w:t>
      </w:r>
      <w:r>
        <w:t xml:space="preserve"> per QALY</w:t>
      </w:r>
      <w:r w:rsidRPr="5FFA0E7B">
        <w:rPr>
          <w:rStyle w:val="FootnoteReference"/>
        </w:rPr>
        <w:footnoteReference w:id="28"/>
      </w:r>
      <w:r>
        <w:t xml:space="preserve"> for the IIT subpopulation and $</w:t>
      </w:r>
      <w:r w:rsidR="007B707D">
        <w:t>115,000 to &lt; $135,000</w:t>
      </w:r>
      <w:r>
        <w:t xml:space="preserve"> per QALY</w:t>
      </w:r>
      <w:r w:rsidRPr="5FFA0E7B">
        <w:rPr>
          <w:rStyle w:val="FootnoteReference"/>
        </w:rPr>
        <w:footnoteReference w:id="29"/>
      </w:r>
      <w:r>
        <w:t xml:space="preserve"> for the non-IIT subpopulation. </w:t>
      </w:r>
    </w:p>
    <w:p w14:paraId="5073AA54" w14:textId="760F5EC6" w:rsidR="007F49A2" w:rsidRDefault="007F49A2" w:rsidP="007F49A2">
      <w:r>
        <w:t xml:space="preserve">ESC suggested that a respecified multivariate UKPDS base case, including convergence of HbA1c between years 7 and 8, halving each finger-prick disutility, removing the fear of hypoglycaemia disutility, and halving diabetic ketoacidosis and severe hypoglycaemic event costs and disutilities would be beneficial for MSAC’s consideration. ESC considered that this </w:t>
      </w:r>
      <w:r w:rsidR="00400176" w:rsidRPr="00621189">
        <w:rPr>
          <w:szCs w:val="20"/>
        </w:rPr>
        <w:t>analysis</w:t>
      </w:r>
      <w:r w:rsidR="00400176" w:rsidRPr="00E8723B">
        <w:rPr>
          <w:szCs w:val="20"/>
        </w:rPr>
        <w:t xml:space="preserve"> </w:t>
      </w:r>
      <w:r>
        <w:t>would help address the following remaining key uncertainties in the modelling already discussed: (i) whether the disutility associated with finger-prick testing and the relatively large QALY gains from avoiding finger-prick testing was overestimated and double-counted with the fear of hypoglycaemia disutility, (ii) lack of justification of use of a different method to estimate hospitalisations for SHE and DKA, and (iii) the existence and extent of the translation of decreases in HbA1c levels to decreases in diabetic complications. ESC noted that an approximation of these ICERs generated indirectly by relying on results from previously reported sensitivity analyses indicated that</w:t>
      </w:r>
      <w:r w:rsidR="00F406D5">
        <w:t xml:space="preserve"> </w:t>
      </w:r>
      <w:r>
        <w:t>an ICER of around $</w:t>
      </w:r>
      <w:r w:rsidR="007B707D">
        <w:t>55,000 to &lt; $75,000</w:t>
      </w:r>
      <w:r>
        <w:t xml:space="preserve"> per QALY for the IIT subpopulation and around $</w:t>
      </w:r>
      <w:r w:rsidR="007B707D">
        <w:t>95,000 to &lt; $115,000</w:t>
      </w:r>
      <w:r>
        <w:t xml:space="preserve"> per QALY for the non-IIT subpopulation</w:t>
      </w:r>
      <w:r w:rsidR="00CA6848">
        <w:t xml:space="preserve"> would be generated</w:t>
      </w:r>
      <w:r>
        <w:t>.</w:t>
      </w:r>
      <w:r>
        <w:rPr>
          <w:rStyle w:val="FootnoteReference"/>
        </w:rPr>
        <w:footnoteReference w:id="30"/>
      </w:r>
    </w:p>
    <w:p w14:paraId="005A2E03" w14:textId="77777777" w:rsidR="007F49A2" w:rsidRDefault="007F49A2" w:rsidP="007F49A2">
      <w:r>
        <w:t xml:space="preserve">ESC noted the revised financial analysis. ESC noted that the epidemiological estimates for utilisation continue to rely on NDSS data to estimate the number of people living with T2D although they now more appropriately also use the MSAC-preferred number of people with T2D using insulin as per Pharmaceutical Benefits Scheme utilisation (PBS; 201,880 people in 2022 who had used insulin over the previous 12 months), rather than NDSS data to estimate the percentage of people with T2D who had used insulin. </w:t>
      </w:r>
    </w:p>
    <w:p w14:paraId="1EA3E63C" w14:textId="77777777" w:rsidR="007F49A2" w:rsidRDefault="007F49A2" w:rsidP="007F49A2">
      <w:r>
        <w:t>ESC noted the reassignment of premixed insulin users from the IIT subpopulation to the non-IIT subpopulation reduced the estimated IIT subpopulation by 43% compared to the original ADAR (2025) submission. Given that the IIT subpopulation is assumed to generate larger diabetes strip cost offsets, this reassignment may overestimate the financial implications of CGM. Nevertheless, there remains substantial uncertainty for the appropriate definition and size of the IIT subpopulation. ESC considered the robustness of the process used to derive the uptake rates for all subpopulations is also unknown, which also reduces confidence in the assumed estimates. ESC considered that the uncertainty in uptake rates could be better evaluated by presenting observed uptake rates in Australia for T1D or in any other market(s) with similar subsidy support for T2D. ESC noted that the ADAR then added on top of this main T2D population estimates associated with other subpopulations (First Nations with T2D, gestational diabetes mellitus (GDM), and other types of diabetes) but accounted for the overlap between First Nations with T2D subpopulation and other T2D subpopulations by assuming (applying various data sources) that 10.63% of patients with T2D are First Nations people.</w:t>
      </w:r>
    </w:p>
    <w:p w14:paraId="10C447AB" w14:textId="38ABC6B3" w:rsidR="007F49A2" w:rsidRDefault="007F49A2" w:rsidP="007F49A2">
      <w:r>
        <w:t>ESC noted that, for all subpopulations combined, the net financial impact to the NDSS for subsidising CGM would be $</w:t>
      </w:r>
      <w:r w:rsidR="00175F47">
        <w:t>60 million to &lt; $70 million</w:t>
      </w:r>
      <w:r>
        <w:t xml:space="preserve"> in year 1, increasing to $</w:t>
      </w:r>
      <w:r w:rsidR="00175F47">
        <w:t>100 million to &lt; $200 million</w:t>
      </w:r>
      <w:r>
        <w:t xml:space="preserve"> by year 6. ESC noted that the net financial impact over six years increased by 36% </w:t>
      </w:r>
      <w:r>
        <w:lastRenderedPageBreak/>
        <w:t>when higher uptake rates were assumed, as presented in a sensitivity analysis by the commentary</w:t>
      </w:r>
      <w:r>
        <w:rPr>
          <w:rStyle w:val="FootnoteReference"/>
        </w:rPr>
        <w:footnoteReference w:id="31"/>
      </w:r>
      <w:r>
        <w:t xml:space="preserve">; increased by 22% when the IIT to non IIT split was amended to 50%/50%; increased by 11% when the percentage of patients with insulin dependent T2D assumed to be First Nations was increased by 10%; and reduced by 15% when there is assumed to be a reduction in the GDM population over time. ESC considered that the appropriate assumption on reduction in the GDM population over time was uncertain given the impact of the new definition of GDM in recent Australian clinical guidelines. </w:t>
      </w:r>
    </w:p>
    <w:p w14:paraId="54FE3201" w14:textId="77777777" w:rsidR="007F49A2" w:rsidRDefault="007F49A2" w:rsidP="007F49A2">
      <w:r>
        <w:t>ESC noted that implementation issues, if CGM funding were to be supported for the identified subpopulations, were the same as those raised for application 1786 and included whether any implementation should be staged, whether an open tender process should apply, whether price reductions from a tender process would apply to current CGM populations subsidised by the NDSS, and how any future access arrangements should be designed to target those most likely to benefit while remaining practical to administer.</w:t>
      </w:r>
    </w:p>
    <w:p w14:paraId="36D123C2" w14:textId="77777777" w:rsidR="007F49A2" w:rsidRDefault="007F49A2" w:rsidP="007F49A2">
      <w:pPr>
        <w:rPr>
          <w:rStyle w:val="Strong"/>
          <w:b w:val="0"/>
          <w:bCs w:val="0"/>
        </w:rPr>
      </w:pPr>
      <w:r w:rsidRPr="7026CCDC">
        <w:rPr>
          <w:rStyle w:val="Strong"/>
          <w:b w:val="0"/>
          <w:bCs w:val="0"/>
        </w:rPr>
        <w:t>ESC noted that people with T2D generally undergo HbA1c testing 4 times each year to coincide with clinical appointments. ESC considered whether a staged approach m</w:t>
      </w:r>
      <w:r>
        <w:rPr>
          <w:rStyle w:val="Strong"/>
          <w:b w:val="0"/>
          <w:bCs w:val="0"/>
        </w:rPr>
        <w:t>ight</w:t>
      </w:r>
      <w:r w:rsidRPr="7026CCDC">
        <w:rPr>
          <w:rStyle w:val="Strong"/>
          <w:b w:val="0"/>
          <w:bCs w:val="0"/>
        </w:rPr>
        <w:t xml:space="preserve"> include 4 CGM sensor packs per year for most patients who are not high risk, and potentially additional packs for patients at high risk. These options would need to be explored in the financial estimates. </w:t>
      </w:r>
    </w:p>
    <w:p w14:paraId="1CA642D1" w14:textId="77777777" w:rsidR="00A2668E" w:rsidRDefault="00A2668E" w:rsidP="00670C60">
      <w:pPr>
        <w:pStyle w:val="Heading2"/>
        <w:numPr>
          <w:ilvl w:val="0"/>
          <w:numId w:val="32"/>
        </w:numPr>
        <w:ind w:hanging="720"/>
      </w:pPr>
      <w:bookmarkStart w:id="56" w:name="_Hlk213745948"/>
      <w:r w:rsidRPr="005B6EFD">
        <w:t>Applicant comments on MSAC’s Public Summary Document</w:t>
      </w:r>
    </w:p>
    <w:p w14:paraId="013F662B" w14:textId="789F6EB9" w:rsidR="00717C17" w:rsidRPr="00E43714" w:rsidRDefault="004147B2" w:rsidP="00A2668E">
      <w:pPr>
        <w:spacing w:after="240"/>
      </w:pPr>
      <w:r w:rsidRPr="00E43714">
        <w:t xml:space="preserve">AMSL / Dexcom agree with the MSAC that there are </w:t>
      </w:r>
      <w:r w:rsidR="00717C17" w:rsidRPr="00E43714">
        <w:t xml:space="preserve">inequities in the access to </w:t>
      </w:r>
      <w:r w:rsidR="00575FBF" w:rsidRPr="00E43714">
        <w:t xml:space="preserve">subsidised </w:t>
      </w:r>
      <w:r w:rsidR="00717C17" w:rsidRPr="00E43714">
        <w:t xml:space="preserve">CGMs in Australia. </w:t>
      </w:r>
      <w:r w:rsidR="001912DA" w:rsidRPr="00E43714">
        <w:t>W</w:t>
      </w:r>
      <w:r w:rsidR="00575FBF" w:rsidRPr="00E43714">
        <w:t xml:space="preserve">e </w:t>
      </w:r>
      <w:r w:rsidR="008E601A" w:rsidRPr="00E43714">
        <w:t xml:space="preserve">commend the MSAC in </w:t>
      </w:r>
      <w:r w:rsidR="005704E8" w:rsidRPr="00E43714">
        <w:t>supporting</w:t>
      </w:r>
      <w:r w:rsidR="008E601A" w:rsidRPr="00E43714">
        <w:t xml:space="preserve"> that patients with conditions similar to Type 1 diabetes have access to CGMs on the NDSS past their 21</w:t>
      </w:r>
      <w:r w:rsidR="008E601A" w:rsidRPr="00E43714">
        <w:rPr>
          <w:vertAlign w:val="superscript"/>
        </w:rPr>
        <w:t>st</w:t>
      </w:r>
      <w:r w:rsidR="008E601A" w:rsidRPr="00E43714">
        <w:t xml:space="preserve"> birthday. However, </w:t>
      </w:r>
      <w:r w:rsidR="00575FBF" w:rsidRPr="00E43714">
        <w:t>th</w:t>
      </w:r>
      <w:r w:rsidR="005F6DBA" w:rsidRPr="00E43714">
        <w:t>e inequity</w:t>
      </w:r>
      <w:r w:rsidR="00575FBF" w:rsidRPr="00E43714">
        <w:t xml:space="preserve"> extends beyond age; a</w:t>
      </w:r>
      <w:r w:rsidR="00717C17" w:rsidRPr="00E43714">
        <w:t xml:space="preserve">ll patients </w:t>
      </w:r>
      <w:r w:rsidR="00FF2D5F" w:rsidRPr="00E43714">
        <w:t xml:space="preserve">requiring the use of </w:t>
      </w:r>
      <w:r w:rsidR="001912DA" w:rsidRPr="00E43714">
        <w:t xml:space="preserve">multiple daily </w:t>
      </w:r>
      <w:r w:rsidR="00FF2D5F" w:rsidRPr="00E43714">
        <w:t xml:space="preserve">insulin </w:t>
      </w:r>
      <w:r w:rsidR="001912DA" w:rsidRPr="00E43714">
        <w:t xml:space="preserve">injections </w:t>
      </w:r>
      <w:r w:rsidR="00FF2D5F" w:rsidRPr="00E43714">
        <w:t xml:space="preserve">should have </w:t>
      </w:r>
      <w:r w:rsidR="00E228C1" w:rsidRPr="00E43714">
        <w:t>equitable</w:t>
      </w:r>
      <w:r w:rsidR="00105254" w:rsidRPr="00E43714">
        <w:t xml:space="preserve"> access </w:t>
      </w:r>
      <w:r w:rsidR="00E13FAA" w:rsidRPr="00E43714">
        <w:t xml:space="preserve">and choice </w:t>
      </w:r>
      <w:r w:rsidR="005F6DBA" w:rsidRPr="00E43714">
        <w:t xml:space="preserve">of </w:t>
      </w:r>
      <w:r w:rsidR="00FF2D5F" w:rsidRPr="00E43714">
        <w:t>a</w:t>
      </w:r>
      <w:r w:rsidR="00B177B2" w:rsidRPr="00E43714">
        <w:t xml:space="preserve"> CGM that meets the ANZ quality use of CGM standards.</w:t>
      </w:r>
      <w:r w:rsidR="00FF2D5F" w:rsidRPr="00E43714">
        <w:t xml:space="preserve"> </w:t>
      </w:r>
    </w:p>
    <w:p w14:paraId="5D9BFFD9" w14:textId="18FB758A" w:rsidR="00717C17" w:rsidRDefault="00ED1E3D" w:rsidP="00A2668E">
      <w:pPr>
        <w:spacing w:after="240"/>
        <w:rPr>
          <w:color w:val="007BB8"/>
        </w:rPr>
      </w:pPr>
      <w:r w:rsidRPr="00E43714">
        <w:t>Dexcom ha</w:t>
      </w:r>
      <w:r w:rsidR="008E40AA" w:rsidRPr="00E43714">
        <w:t>s</w:t>
      </w:r>
      <w:r w:rsidRPr="00E43714">
        <w:t xml:space="preserve"> </w:t>
      </w:r>
      <w:r w:rsidR="009C4AD2" w:rsidRPr="00E43714">
        <w:t>addressed MSAC’s concerns</w:t>
      </w:r>
      <w:r w:rsidR="00406198" w:rsidRPr="00E43714">
        <w:t xml:space="preserve"> and requests for</w:t>
      </w:r>
      <w:r w:rsidRPr="00E43714">
        <w:t xml:space="preserve"> hypothetical modelling scenarios (such as the convergence of </w:t>
      </w:r>
      <w:r w:rsidR="007B066E" w:rsidRPr="00E43714">
        <w:t xml:space="preserve">CGM </w:t>
      </w:r>
      <w:r w:rsidRPr="00E43714">
        <w:t xml:space="preserve">treatment effect </w:t>
      </w:r>
      <w:r w:rsidR="007B066E" w:rsidRPr="00E43714">
        <w:t xml:space="preserve">to that of fingerprick testing </w:t>
      </w:r>
      <w:r w:rsidR="00F21752" w:rsidRPr="00E43714">
        <w:t>at 8 years or 14</w:t>
      </w:r>
      <w:r w:rsidR="00BF4F4F">
        <w:t> </w:t>
      </w:r>
      <w:r w:rsidR="00F21752" w:rsidRPr="00E43714">
        <w:t>years)</w:t>
      </w:r>
      <w:r w:rsidR="007B066E" w:rsidRPr="00E43714">
        <w:t>.</w:t>
      </w:r>
      <w:r w:rsidR="00F21752" w:rsidRPr="00E43714">
        <w:t xml:space="preserve"> </w:t>
      </w:r>
      <w:r w:rsidR="007B066E" w:rsidRPr="00E43714">
        <w:t>H</w:t>
      </w:r>
      <w:r w:rsidR="00F21752" w:rsidRPr="00E43714">
        <w:t xml:space="preserve">owever, we </w:t>
      </w:r>
      <w:r w:rsidR="00CD1FCE" w:rsidRPr="00E43714">
        <w:t xml:space="preserve">do not </w:t>
      </w:r>
      <w:r w:rsidR="00C102B5" w:rsidRPr="00E43714">
        <w:t>endorse</w:t>
      </w:r>
      <w:r w:rsidR="00F21752" w:rsidRPr="00E43714">
        <w:t xml:space="preserve"> a model of diabetes that re</w:t>
      </w:r>
      <w:r w:rsidR="00704E58" w:rsidRPr="00E43714">
        <w:t>duce</w:t>
      </w:r>
      <w:r w:rsidR="00F21752" w:rsidRPr="00E43714">
        <w:t xml:space="preserve">s </w:t>
      </w:r>
      <w:r w:rsidR="00704E58" w:rsidRPr="00E43714">
        <w:t xml:space="preserve">the </w:t>
      </w:r>
      <w:r w:rsidR="00CD1FCE" w:rsidRPr="00E43714">
        <w:t>QoL benefits from avoiding finger prick testing</w:t>
      </w:r>
      <w:r w:rsidR="00CA234E" w:rsidRPr="00E43714">
        <w:t xml:space="preserve"> and </w:t>
      </w:r>
      <w:r w:rsidR="00704E58" w:rsidRPr="00E43714">
        <w:t xml:space="preserve">removes the disutility of </w:t>
      </w:r>
      <w:r w:rsidR="00CD1FCE" w:rsidRPr="00E43714">
        <w:t>fear of hypoglycaemia a</w:t>
      </w:r>
      <w:r w:rsidR="000238DA" w:rsidRPr="00E43714">
        <w:t>s well as</w:t>
      </w:r>
      <w:r w:rsidR="00CD1FCE" w:rsidRPr="00E43714">
        <w:t xml:space="preserve"> </w:t>
      </w:r>
      <w:r w:rsidR="000238DA" w:rsidRPr="00E43714">
        <w:t>arbitrary reducing</w:t>
      </w:r>
      <w:r w:rsidR="00CD1FCE" w:rsidRPr="00E43714">
        <w:t xml:space="preserve"> the </w:t>
      </w:r>
      <w:r w:rsidR="000238DA" w:rsidRPr="00E43714">
        <w:t xml:space="preserve">costs and disutility of the </w:t>
      </w:r>
      <w:r w:rsidR="00CD1FCE" w:rsidRPr="00E43714">
        <w:t>clinical aspects of the condition that define the disease (that of hypoglycaemia and hyperglyc</w:t>
      </w:r>
      <w:r w:rsidR="00FB01B2" w:rsidRPr="00E43714">
        <w:t>a</w:t>
      </w:r>
      <w:r w:rsidR="00CD1FCE" w:rsidRPr="00E43714">
        <w:t xml:space="preserve">emia). </w:t>
      </w:r>
      <w:r w:rsidR="00893693" w:rsidRPr="00E43714">
        <w:t xml:space="preserve">Dexcom considers that </w:t>
      </w:r>
      <w:r w:rsidR="00B3544B" w:rsidRPr="00E43714">
        <w:t>ESC’s</w:t>
      </w:r>
      <w:r w:rsidR="0004135B" w:rsidRPr="00E43714">
        <w:t xml:space="preserve"> requested</w:t>
      </w:r>
      <w:r w:rsidR="00893693" w:rsidRPr="00E43714">
        <w:t xml:space="preserve"> multivariate sensitivity analyses relies on clinically implausible and deliberately conservative assumptions that lack face validity, are not reflective of the disease state, do not reflect the evidence presented in the ADAR and are contrary to what consumers stated they valued in CGMs during the feedback process. As such, these analyses </w:t>
      </w:r>
      <w:r w:rsidR="00CD3B73" w:rsidRPr="00E43714">
        <w:t>were</w:t>
      </w:r>
      <w:r w:rsidR="00893693" w:rsidRPr="00E43714">
        <w:t xml:space="preserve"> only provided as sensitivity analyses to satisfy the request of the ESC </w:t>
      </w:r>
      <w:r w:rsidR="00893693" w:rsidRPr="00F670EB">
        <w:t xml:space="preserve">and </w:t>
      </w:r>
      <w:r w:rsidR="00D703E3" w:rsidRPr="00F670EB">
        <w:t>are not</w:t>
      </w:r>
      <w:r w:rsidR="006E4A6E" w:rsidRPr="00F670EB">
        <w:t xml:space="preserve"> a</w:t>
      </w:r>
      <w:r w:rsidR="00893693" w:rsidRPr="00F670EB">
        <w:t xml:space="preserve"> base-case for decision-making.</w:t>
      </w:r>
      <w:r w:rsidR="00893693" w:rsidRPr="00E43714">
        <w:t> </w:t>
      </w:r>
      <w:r w:rsidR="00893693" w:rsidRPr="00893693">
        <w:rPr>
          <w:color w:val="007BB8"/>
        </w:rPr>
        <w:t> </w:t>
      </w:r>
    </w:p>
    <w:p w14:paraId="01F8B79B" w14:textId="77777777" w:rsidR="00A2668E" w:rsidRPr="005B6EFD" w:rsidRDefault="00A2668E" w:rsidP="00670C60">
      <w:pPr>
        <w:pStyle w:val="Heading2"/>
        <w:numPr>
          <w:ilvl w:val="0"/>
          <w:numId w:val="32"/>
        </w:numPr>
        <w:ind w:hanging="720"/>
      </w:pPr>
      <w:r w:rsidRPr="005B6EFD">
        <w:t>Further information on MSAC</w:t>
      </w:r>
    </w:p>
    <w:p w14:paraId="6FEAC2F3" w14:textId="724B2B27" w:rsidR="00FE5D64" w:rsidRPr="00A2668E" w:rsidRDefault="00A2668E" w:rsidP="00A2668E">
      <w:pPr>
        <w:keepLines/>
        <w:spacing w:before="0" w:line="269" w:lineRule="auto"/>
        <w:rPr>
          <w:rFonts w:eastAsia="Calibri" w:cs="Calibri"/>
        </w:rPr>
      </w:pPr>
      <w:r w:rsidRPr="005B6EFD">
        <w:rPr>
          <w:rFonts w:eastAsia="Calibri" w:cs="Calibri"/>
          <w:bCs/>
          <w:iCs/>
        </w:rPr>
        <w:t xml:space="preserve">MSAC Terms of Reference and other information are available on the MSAC Website: </w:t>
      </w:r>
      <w:hyperlink r:id="rId25" w:tooltip="Link to the MSAC website" w:history="1">
        <w:r w:rsidRPr="005B6EFD">
          <w:rPr>
            <w:rFonts w:eastAsia="Calibri" w:cs="Calibri"/>
            <w:iCs/>
            <w:color w:val="007BB8"/>
            <w:u w:val="single"/>
          </w:rPr>
          <w:t>visit the MSAC website</w:t>
        </w:r>
      </w:hyperlink>
      <w:bookmarkEnd w:id="56"/>
    </w:p>
    <w:sectPr w:rsidR="00FE5D64" w:rsidRPr="00A2668E" w:rsidSect="00756A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489A" w14:textId="77777777" w:rsidR="0004643A" w:rsidRDefault="0004643A" w:rsidP="00B62DF2">
      <w:pPr>
        <w:spacing w:after="0" w:line="240" w:lineRule="auto"/>
      </w:pPr>
      <w:r>
        <w:separator/>
      </w:r>
    </w:p>
  </w:endnote>
  <w:endnote w:type="continuationSeparator" w:id="0">
    <w:p w14:paraId="1D77E4A2" w14:textId="77777777" w:rsidR="0004643A" w:rsidRDefault="0004643A" w:rsidP="00B62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8038" w14:textId="06993655" w:rsidR="00A85CAB" w:rsidRDefault="000D6ED8">
    <w:pPr>
      <w:pStyle w:val="Footer"/>
      <w:jc w:val="right"/>
    </w:pPr>
    <w:r>
      <w:rPr>
        <w:noProof/>
      </w:rPr>
      <mc:AlternateContent>
        <mc:Choice Requires="wps">
          <w:drawing>
            <wp:anchor distT="0" distB="0" distL="0" distR="0" simplePos="0" relativeHeight="251663365" behindDoc="0" locked="0" layoutInCell="1" allowOverlap="1" wp14:anchorId="3EC5FF98" wp14:editId="495CE8C4">
              <wp:simplePos x="635" y="635"/>
              <wp:positionH relativeFrom="page">
                <wp:align>center</wp:align>
              </wp:positionH>
              <wp:positionV relativeFrom="page">
                <wp:align>bottom</wp:align>
              </wp:positionV>
              <wp:extent cx="622300" cy="467360"/>
              <wp:effectExtent l="0" t="0" r="6350" b="0"/>
              <wp:wrapNone/>
              <wp:docPr id="66804156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78A484DC" w14:textId="5A89E36E"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C5FF98" id="_x0000_t202" coordsize="21600,21600" o:spt="202" path="m,l,21600r21600,l21600,xe">
              <v:stroke joinstyle="miter"/>
              <v:path gradientshapeok="t" o:connecttype="rect"/>
            </v:shapetype>
            <v:shape id="Text Box 11" o:spid="_x0000_s1028" type="#_x0000_t202" alt="OFFICIAL" style="position:absolute;left:0;text-align:left;margin-left:0;margin-top:0;width:49pt;height:36.8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8DdtUDgIAABwE&#10;AAAOAAAAAAAAAAAAAAAAAC4CAABkcnMvZTJvRG9jLnhtbFBLAQItABQABgAIAAAAIQCQpICC2gAA&#10;AAMBAAAPAAAAAAAAAAAAAAAAAGgEAABkcnMvZG93bnJldi54bWxQSwUGAAAAAAQABADzAAAAbwUA&#10;AAAA&#10;" filled="f" stroked="f">
              <v:fill o:detectmouseclick="t"/>
              <v:textbox style="mso-fit-shape-to-text:t" inset="0,0,0,15pt">
                <w:txbxContent>
                  <w:p w14:paraId="78A484DC" w14:textId="5A89E36E"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v:textbox>
              <w10:wrap anchorx="page" anchory="page"/>
            </v:shape>
          </w:pict>
        </mc:Fallback>
      </mc:AlternateContent>
    </w:r>
    <w:sdt>
      <w:sdtPr>
        <w:id w:val="-1507204270"/>
        <w:docPartObj>
          <w:docPartGallery w:val="Page Numbers (Bottom of Page)"/>
          <w:docPartUnique/>
        </w:docPartObj>
      </w:sdtPr>
      <w:sdtEndPr/>
      <w:sdtContent>
        <w:r w:rsidR="00A85CAB">
          <w:fldChar w:fldCharType="begin"/>
        </w:r>
        <w:r w:rsidR="00A85CAB">
          <w:instrText>PAGE   \* MERGEFORMAT</w:instrText>
        </w:r>
        <w:r w:rsidR="00A85CAB">
          <w:fldChar w:fldCharType="separate"/>
        </w:r>
        <w:r w:rsidR="00A85CAB">
          <w:rPr>
            <w:lang w:val="en-GB"/>
          </w:rPr>
          <w:t>2</w:t>
        </w:r>
        <w:r w:rsidR="00A85CAB">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385A" w14:textId="06E756BE" w:rsidR="005947B5" w:rsidRDefault="000D6ED8" w:rsidP="00A85CAB">
    <w:pPr>
      <w:pStyle w:val="Footer"/>
      <w:jc w:val="right"/>
    </w:pPr>
    <w:r>
      <w:rPr>
        <w:noProof/>
      </w:rPr>
      <mc:AlternateContent>
        <mc:Choice Requires="wps">
          <w:drawing>
            <wp:anchor distT="0" distB="0" distL="0" distR="0" simplePos="0" relativeHeight="251664389" behindDoc="0" locked="0" layoutInCell="1" allowOverlap="1" wp14:anchorId="73F75F42" wp14:editId="20F44606">
              <wp:simplePos x="635" y="635"/>
              <wp:positionH relativeFrom="page">
                <wp:align>center</wp:align>
              </wp:positionH>
              <wp:positionV relativeFrom="page">
                <wp:align>bottom</wp:align>
              </wp:positionV>
              <wp:extent cx="622300" cy="467360"/>
              <wp:effectExtent l="0" t="0" r="6350" b="0"/>
              <wp:wrapNone/>
              <wp:docPr id="381994158"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4F59FC6" w14:textId="3DFF51C3"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F75F42" id="_x0000_t202" coordsize="21600,21600" o:spt="202" path="m,l,21600r21600,l21600,xe">
              <v:stroke joinstyle="miter"/>
              <v:path gradientshapeok="t" o:connecttype="rect"/>
            </v:shapetype>
            <v:shape id="Text Box 12" o:spid="_x0000_s1029" type="#_x0000_t202" alt="OFFICIAL" style="position:absolute;left:0;text-align:left;margin-left:0;margin-top:0;width:49pt;height:36.8pt;z-index:2516643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BRsmlpDgIAABwE&#10;AAAOAAAAAAAAAAAAAAAAAC4CAABkcnMvZTJvRG9jLnhtbFBLAQItABQABgAIAAAAIQCQpICC2gAA&#10;AAMBAAAPAAAAAAAAAAAAAAAAAGgEAABkcnMvZG93bnJldi54bWxQSwUGAAAAAAQABADzAAAAbwUA&#10;AAAA&#10;" filled="f" stroked="f">
              <v:fill o:detectmouseclick="t"/>
              <v:textbox style="mso-fit-shape-to-text:t" inset="0,0,0,15pt">
                <w:txbxContent>
                  <w:p w14:paraId="64F59FC6" w14:textId="3DFF51C3"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v:textbox>
              <w10:wrap anchorx="page" anchory="page"/>
            </v:shape>
          </w:pict>
        </mc:Fallback>
      </mc:AlternateContent>
    </w:r>
    <w:r w:rsidR="005947B5">
      <w:fldChar w:fldCharType="begin"/>
    </w:r>
    <w:r w:rsidR="005947B5">
      <w:instrText xml:space="preserve"> PAGE   \* MERGEFORMAT </w:instrText>
    </w:r>
    <w:r w:rsidR="005947B5">
      <w:fldChar w:fldCharType="separate"/>
    </w:r>
    <w:r w:rsidR="00120BD3">
      <w:rPr>
        <w:noProof/>
      </w:rPr>
      <w:t>21</w:t>
    </w:r>
    <w:r w:rsidR="005947B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0BE3" w14:textId="5B9AC3DE" w:rsidR="004716B9" w:rsidRDefault="000D6ED8">
    <w:pPr>
      <w:pStyle w:val="Footer"/>
    </w:pPr>
    <w:r>
      <w:rPr>
        <w:noProof/>
      </w:rPr>
      <mc:AlternateContent>
        <mc:Choice Requires="wps">
          <w:drawing>
            <wp:anchor distT="0" distB="0" distL="0" distR="0" simplePos="0" relativeHeight="251662341" behindDoc="0" locked="0" layoutInCell="1" allowOverlap="1" wp14:anchorId="5B58FFD4" wp14:editId="3A9DD26E">
              <wp:simplePos x="635" y="635"/>
              <wp:positionH relativeFrom="page">
                <wp:align>center</wp:align>
              </wp:positionH>
              <wp:positionV relativeFrom="page">
                <wp:align>bottom</wp:align>
              </wp:positionV>
              <wp:extent cx="622300" cy="467360"/>
              <wp:effectExtent l="0" t="0" r="6350" b="0"/>
              <wp:wrapNone/>
              <wp:docPr id="202954911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4722A9EE" w14:textId="17DDEB07"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58FFD4" id="_x0000_t202" coordsize="21600,21600" o:spt="202" path="m,l,21600r21600,l21600,xe">
              <v:stroke joinstyle="miter"/>
              <v:path gradientshapeok="t" o:connecttype="rect"/>
            </v:shapetype>
            <v:shape id="Text Box 10" o:spid="_x0000_s1031" type="#_x0000_t202" alt="OFFICIAL" style="position:absolute;margin-left:0;margin-top:0;width:49pt;height:36.8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McbkDgIAABwE&#10;AAAOAAAAAAAAAAAAAAAAAC4CAABkcnMvZTJvRG9jLnhtbFBLAQItABQABgAIAAAAIQCQpICC2gAA&#10;AAMBAAAPAAAAAAAAAAAAAAAAAGgEAABkcnMvZG93bnJldi54bWxQSwUGAAAAAAQABADzAAAAbwUA&#10;AAAA&#10;" filled="f" stroked="f">
              <v:fill o:detectmouseclick="t"/>
              <v:textbox style="mso-fit-shape-to-text:t" inset="0,0,0,15pt">
                <w:txbxContent>
                  <w:p w14:paraId="4722A9EE" w14:textId="17DDEB07"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9C691" w14:textId="77777777" w:rsidR="0004643A" w:rsidRDefault="0004643A" w:rsidP="00B62DF2">
      <w:pPr>
        <w:spacing w:after="0" w:line="240" w:lineRule="auto"/>
      </w:pPr>
      <w:r>
        <w:separator/>
      </w:r>
    </w:p>
  </w:footnote>
  <w:footnote w:type="continuationSeparator" w:id="0">
    <w:p w14:paraId="668BA926" w14:textId="77777777" w:rsidR="0004643A" w:rsidRDefault="0004643A" w:rsidP="00B62DF2">
      <w:pPr>
        <w:spacing w:after="0" w:line="240" w:lineRule="auto"/>
      </w:pPr>
      <w:r>
        <w:continuationSeparator/>
      </w:r>
    </w:p>
  </w:footnote>
  <w:footnote w:id="1">
    <w:p w14:paraId="0B89BA14" w14:textId="77777777" w:rsidR="004B5326" w:rsidRPr="00E00581" w:rsidRDefault="004B5326" w:rsidP="004B5326">
      <w:pPr>
        <w:pStyle w:val="FootnoteText"/>
      </w:pPr>
      <w:r>
        <w:rPr>
          <w:rStyle w:val="FootnoteReference"/>
        </w:rPr>
        <w:footnoteRef/>
      </w:r>
      <w:r>
        <w:t xml:space="preserve"> Nemlekar PM, Hannah KL, Green CR and Norman GJ, ‘</w:t>
      </w:r>
      <w:hyperlink r:id="rId1" w:history="1">
        <w:r w:rsidRPr="00381ECB">
          <w:rPr>
            <w:rStyle w:val="Hyperlink"/>
          </w:rPr>
          <w:t>Association between adherence, A1C improvement, and type of continuous glucose monitoring system in people with type 1 diabetes or type 2 diabetes treated with intensive insulin therapy</w:t>
        </w:r>
      </w:hyperlink>
      <w:r>
        <w:t xml:space="preserve">’, </w:t>
      </w:r>
      <w:r>
        <w:rPr>
          <w:i/>
          <w:iCs/>
        </w:rPr>
        <w:t>Diabetes Therapy</w:t>
      </w:r>
      <w:r>
        <w:t>, 2024, (15)3:639–636, doi:</w:t>
      </w:r>
      <w:r w:rsidRPr="00381ECB">
        <w:t>10.1007/s13300-023-01529-8</w:t>
      </w:r>
      <w:r>
        <w:t>.</w:t>
      </w:r>
    </w:p>
  </w:footnote>
  <w:footnote w:id="2">
    <w:p w14:paraId="01850F37" w14:textId="77777777" w:rsidR="008D1DDD" w:rsidRDefault="008D1DDD" w:rsidP="008D1DDD">
      <w:pPr>
        <w:pStyle w:val="FootnoteText"/>
      </w:pPr>
      <w:r>
        <w:rPr>
          <w:rStyle w:val="FootnoteReference"/>
        </w:rPr>
        <w:footnoteRef/>
      </w:r>
      <w:r>
        <w:t xml:space="preserve"> </w:t>
      </w:r>
      <w:r w:rsidRPr="00902625">
        <w:t>Medical Services Advisory Committee (MSAC) 2025, Public Summary Document: Application No. 1785 – Dexcom ONE+ continuous glucose monitoring system for people with insulin-dependent type 2 diabetes. Canberra: Australian Government Department of Health</w:t>
      </w:r>
      <w:r>
        <w:t xml:space="preserve">, </w:t>
      </w:r>
      <w:r w:rsidRPr="000728F0">
        <w:t>pg. 11.</w:t>
      </w:r>
    </w:p>
  </w:footnote>
  <w:footnote w:id="3">
    <w:p w14:paraId="3C65E82A" w14:textId="3B1ABAA3" w:rsidR="00C7348A" w:rsidRPr="00073BDC" w:rsidRDefault="00C7348A">
      <w:pPr>
        <w:pStyle w:val="FootnoteText"/>
        <w:rPr>
          <w:rStyle w:val="CommentReference"/>
          <w:sz w:val="18"/>
          <w:szCs w:val="18"/>
        </w:rPr>
      </w:pPr>
      <w:r w:rsidRPr="00073BDC">
        <w:rPr>
          <w:rStyle w:val="CommentReference"/>
          <w:sz w:val="18"/>
          <w:szCs w:val="18"/>
          <w:vertAlign w:val="superscript"/>
        </w:rPr>
        <w:footnoteRef/>
      </w:r>
      <w:r w:rsidRPr="00073BDC">
        <w:rPr>
          <w:rStyle w:val="CommentReference"/>
          <w:sz w:val="18"/>
          <w:szCs w:val="18"/>
          <w:vertAlign w:val="superscript"/>
        </w:rPr>
        <w:t xml:space="preserve"> </w:t>
      </w:r>
      <w:r w:rsidR="00652A22" w:rsidRPr="00073BDC">
        <w:rPr>
          <w:rStyle w:val="CommentReference"/>
          <w:sz w:val="18"/>
          <w:szCs w:val="18"/>
        </w:rPr>
        <w:t>Zeng L, Brignardello-Petersen R, Hultcrantz M, Mustafa RA, Murad MH, Iorio A, et al. GRADE Guidance 34: update on rating imprecision using a minimally contextualized approach. Journal of clinical epidemiology 2022;150: 216–24.</w:t>
      </w:r>
    </w:p>
  </w:footnote>
  <w:footnote w:id="4">
    <w:p w14:paraId="1E60D1E4" w14:textId="0B76D024" w:rsidR="00C7348A" w:rsidRDefault="00C7348A">
      <w:pPr>
        <w:pStyle w:val="FootnoteText"/>
      </w:pPr>
      <w:r w:rsidRPr="00073BDC">
        <w:rPr>
          <w:rStyle w:val="CommentReference"/>
          <w:sz w:val="18"/>
          <w:szCs w:val="18"/>
          <w:vertAlign w:val="superscript"/>
        </w:rPr>
        <w:footnoteRef/>
      </w:r>
      <w:r w:rsidR="008E2120" w:rsidRPr="00073BDC">
        <w:rPr>
          <w:rStyle w:val="CommentReference"/>
          <w:sz w:val="18"/>
          <w:szCs w:val="18"/>
          <w:vertAlign w:val="superscript"/>
          <w:lang w:val="en-US"/>
        </w:rPr>
        <w:t xml:space="preserve"> </w:t>
      </w:r>
      <w:r w:rsidR="008E2120" w:rsidRPr="00073BDC">
        <w:rPr>
          <w:rStyle w:val="CommentReference"/>
          <w:sz w:val="18"/>
          <w:szCs w:val="18"/>
          <w:lang w:val="en-US"/>
        </w:rPr>
        <w:t xml:space="preserve">Schünemann HJ, Neumann I, Hultcrantz M, Brignardello-Petersen R, Zeng L, Murad MH, et al. </w:t>
      </w:r>
      <w:r w:rsidR="008E2120" w:rsidRPr="00073BDC">
        <w:rPr>
          <w:rStyle w:val="CommentReference"/>
          <w:sz w:val="18"/>
          <w:szCs w:val="18"/>
        </w:rPr>
        <w:t>GRADE guidance 35: update on rating imprecision for assessing contextualized certainty of evidence and making decisions. Journal of clinical epidemiology 2022;150: 225–42.</w:t>
      </w:r>
    </w:p>
  </w:footnote>
  <w:footnote w:id="5">
    <w:p w14:paraId="6104C0C2" w14:textId="685AD182" w:rsidR="00531D64" w:rsidRPr="0040651A" w:rsidRDefault="00531D64">
      <w:pPr>
        <w:pStyle w:val="FootnoteText"/>
        <w:rPr>
          <w:highlight w:val="yellow"/>
        </w:rPr>
      </w:pPr>
      <w:r>
        <w:rPr>
          <w:rStyle w:val="FootnoteReference"/>
        </w:rPr>
        <w:footnoteRef/>
      </w:r>
      <w:r w:rsidR="00727619" w:rsidRPr="00727619">
        <w:t xml:space="preserve"> </w:t>
      </w:r>
      <w:r w:rsidR="00727619" w:rsidRPr="00BF789B">
        <w:t>Reaven</w:t>
      </w:r>
      <w:r w:rsidR="00BF789B" w:rsidRPr="00BF789B">
        <w:t xml:space="preserve"> PD,</w:t>
      </w:r>
      <w:r w:rsidR="00727619" w:rsidRPr="00BF789B">
        <w:t xml:space="preserve"> Macwan S</w:t>
      </w:r>
      <w:r w:rsidR="00BF789B" w:rsidRPr="00BF789B">
        <w:t>,</w:t>
      </w:r>
      <w:r w:rsidR="00727619" w:rsidRPr="00BF789B">
        <w:t xml:space="preserve"> Newell M</w:t>
      </w:r>
      <w:r w:rsidR="00BF789B" w:rsidRPr="00BF789B">
        <w:t>,</w:t>
      </w:r>
      <w:r w:rsidR="00727619" w:rsidRPr="00BF789B">
        <w:t xml:space="preserve"> Arani G</w:t>
      </w:r>
      <w:r w:rsidR="00BF789B" w:rsidRPr="00BF789B">
        <w:t>,</w:t>
      </w:r>
      <w:r w:rsidR="00727619" w:rsidRPr="00BF789B">
        <w:t xml:space="preserve"> Norman</w:t>
      </w:r>
      <w:r w:rsidR="00BF789B" w:rsidRPr="00BF789B">
        <w:t xml:space="preserve"> GJ,</w:t>
      </w:r>
      <w:r w:rsidR="00727619" w:rsidRPr="00BF789B">
        <w:t xml:space="preserve"> Miller</w:t>
      </w:r>
      <w:r w:rsidR="00BF789B" w:rsidRPr="00BF789B">
        <w:t xml:space="preserve"> DR,</w:t>
      </w:r>
      <w:r w:rsidR="00727619" w:rsidRPr="00BF789B">
        <w:t xml:space="preserve"> Zhou</w:t>
      </w:r>
      <w:r w:rsidR="00BF789B" w:rsidRPr="00BF789B">
        <w:t xml:space="preserve"> JJ.</w:t>
      </w:r>
      <w:r w:rsidR="00727619" w:rsidRPr="00BF789B">
        <w:t xml:space="preserve"> Initiation of Continuous Glucose Monitoring and Mortality in Type 2 Diabetes.</w:t>
      </w:r>
      <w:r w:rsidR="00F91242" w:rsidRPr="00BF789B">
        <w:t xml:space="preserve"> </w:t>
      </w:r>
      <w:r w:rsidR="00BF789B" w:rsidRPr="00BF789B">
        <w:t>Diabetes Technol Ther. 2025 Oct;27(10):778-789. doi: 10.1089/dia.2025.0227. Epub 2025 May 28. PMID: 40432529.</w:t>
      </w:r>
    </w:p>
  </w:footnote>
  <w:footnote w:id="6">
    <w:p w14:paraId="7FC74B9C" w14:textId="352CCC25" w:rsidR="0057058A" w:rsidRDefault="0057058A" w:rsidP="004D68DE">
      <w:pPr>
        <w:pStyle w:val="FootnoteText"/>
      </w:pPr>
      <w:r>
        <w:rPr>
          <w:rStyle w:val="FootnoteReference"/>
        </w:rPr>
        <w:footnoteRef/>
      </w:r>
      <w:r w:rsidR="003F3F48">
        <w:t xml:space="preserve"> </w:t>
      </w:r>
      <w:r w:rsidR="003F3F48" w:rsidRPr="003F3F48">
        <w:t xml:space="preserve">Wilmot EG, Moore P, Sathyapalan T, Choudhary P, Lim JZM, Neupane S, </w:t>
      </w:r>
      <w:r w:rsidR="008D0021">
        <w:t>et al</w:t>
      </w:r>
      <w:r w:rsidR="00966061">
        <w:t xml:space="preserve">. </w:t>
      </w:r>
      <w:r w:rsidR="003F3F48" w:rsidRPr="003F3F48">
        <w:t xml:space="preserve"> FreeDM2 Study Group. Continuous glucose monitoring versus self-monitoring of blood glucose in individuals with type 2 diabetes: a randomised, multicentre, open-label, superiority trial. Lancet Diabetes Endocrinol. 2026 Apr 23:S2213-8587(26)00076-8. doi: 10.1016/S2213-8587(26)00076-8. Epub ahead of print. PMID: 42035781.</w:t>
      </w:r>
    </w:p>
  </w:footnote>
  <w:footnote w:id="7">
    <w:p w14:paraId="36C64929" w14:textId="76E1B0E7" w:rsidR="00545999" w:rsidRDefault="00545999">
      <w:pPr>
        <w:pStyle w:val="FootnoteText"/>
      </w:pPr>
      <w:r>
        <w:rPr>
          <w:rStyle w:val="FootnoteReference"/>
        </w:rPr>
        <w:footnoteRef/>
      </w:r>
      <w:r>
        <w:t xml:space="preserve"> </w:t>
      </w:r>
      <w:r w:rsidR="00167DB7" w:rsidRPr="00167DB7">
        <w:t>Wilmot EG, Moore P, Sathyapalan T, Choudhary P, Lim JZM, Neupane S, et al.  FreeDM2 Study Group. Continuous glucose monitoring versus self-monitoring of blood glucose in individuals with type 2 diabetes: a randomised, multicentre, open-label, superiority trial. Lancet Diabetes Endocrinol. 2026 Apr 23:S2213-8587(26)00076-8. doi: 10.1016/S2213-8587(26)00076-8. Epub ahead of print. PMID: 42035781.</w:t>
      </w:r>
    </w:p>
  </w:footnote>
  <w:footnote w:id="8">
    <w:p w14:paraId="0C1AB3C5" w14:textId="03F78C03" w:rsidR="00733450" w:rsidRPr="0046767D" w:rsidRDefault="00733450">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Beck, RW, Riddlesworth, TD, Ruedy, K, Ahmann, A, Haller, S, Kruger, D, McGill, JB, Polonsky, W, Price, D, Aronoff, S, Aronson, R, Toschi, E, Kollman, C &amp; Bergenstal, R 2017, 'Continuous Glucose Monitoring Versus Usual Care in Patients With Type 2 Diabetes Receiving Multiple Daily Insulin Injections: A Randomized Trial', Ann Intern Med, vol. 167, no. 6, pp. 365-74.</w:t>
      </w:r>
    </w:p>
  </w:footnote>
  <w:footnote w:id="9">
    <w:p w14:paraId="5EC071D4" w14:textId="7DC962EE" w:rsidR="00D97DEC" w:rsidRPr="00D97DEC" w:rsidRDefault="00D97DEC">
      <w:pPr>
        <w:pStyle w:val="FootnoteText"/>
      </w:pPr>
      <w:r w:rsidRPr="0046767D">
        <w:rPr>
          <w:rStyle w:val="CommentReference"/>
          <w:sz w:val="18"/>
          <w:szCs w:val="18"/>
          <w:vertAlign w:val="superscript"/>
        </w:rPr>
        <w:footnoteRef/>
      </w:r>
      <w:r w:rsidRPr="0046767D">
        <w:rPr>
          <w:rStyle w:val="CommentReference"/>
          <w:sz w:val="18"/>
          <w:szCs w:val="18"/>
        </w:rPr>
        <w:t xml:space="preserve"> Martens, T, Beck, RW, Bailey, R, Ruedy, KJ, Calhoun, P, Peters, AL, Pop-Busui, R, Philis-Tsimikas, A, Bao, S, Umpierrez, G, Davis, G, Kruger, D, Bhargava, A, Young, L, McGill, JB, Aleppo, G, Nguyen, QT, Orozco, I, Biggs, W, Lucas, KJ, Polonsky, WH, Buse, JB, Price, D &amp; Bergenstal, RM 2021, 'Effect of Continuous Glucose Monitoring on Glycemic Control in Patients With Type 2 Diabetes Treated With Basal Insulin: A Randomized Clinical Trial', Jama, vol. 325, no. 22, pp. 2262-72.</w:t>
      </w:r>
    </w:p>
  </w:footnote>
  <w:footnote w:id="10">
    <w:p w14:paraId="545C9A50" w14:textId="681BBCEF" w:rsidR="00907611" w:rsidRPr="0046767D" w:rsidRDefault="00907611">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 xml:space="preserve">Davis, WA, </w:t>
      </w:r>
      <w:r w:rsidR="00FC01ED" w:rsidRPr="0046767D">
        <w:rPr>
          <w:rStyle w:val="CommentReference"/>
          <w:sz w:val="18"/>
          <w:szCs w:val="18"/>
        </w:rPr>
        <w:t>Khuman</w:t>
      </w:r>
      <w:r w:rsidRPr="0046767D">
        <w:rPr>
          <w:rStyle w:val="CommentReference"/>
          <w:sz w:val="18"/>
          <w:szCs w:val="18"/>
        </w:rPr>
        <w:t>, MW &amp; Davis, TM 2010, 'An Australian cardiovascular risk equation for type 2 diabetes: the Fremantle Diabetes Study', Intern Med J, vol. 40, no. 4, pp. 286-92.</w:t>
      </w:r>
    </w:p>
  </w:footnote>
  <w:footnote w:id="11">
    <w:p w14:paraId="3355AF73" w14:textId="59B2D582" w:rsidR="007D1DB1" w:rsidRPr="0046767D" w:rsidRDefault="007D1DB1">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Hayes, AJ, Davis, WA, Davis, TM &amp; Clarke, PM 2013, 'Adapting and validating diabetes simulation models across settings: accounting for mortality differences using administrative data', J Diabetes Complications, vol. 27, no. 4, pp. 351-6.</w:t>
      </w:r>
    </w:p>
  </w:footnote>
  <w:footnote w:id="12">
    <w:p w14:paraId="1B94EFD7" w14:textId="552118BF" w:rsidR="0007523A" w:rsidRPr="0046767D" w:rsidRDefault="0007523A">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006B3EB6" w:rsidRPr="0046767D">
        <w:rPr>
          <w:rStyle w:val="CommentReference"/>
          <w:sz w:val="18"/>
          <w:szCs w:val="18"/>
        </w:rPr>
        <w:t xml:space="preserve">Champakanath, A, Akturk, HK, Alonso, GT, Snell-Bergeon, JK &amp; Shah, VN 2022, 'Continuous Glucose Monitoring Initiation Within First Year of Type 1 Diabetes Diagnosis Is Associated </w:t>
      </w:r>
      <w:r w:rsidR="00E55F72" w:rsidRPr="0046767D">
        <w:rPr>
          <w:rStyle w:val="CommentReference"/>
          <w:sz w:val="18"/>
          <w:szCs w:val="18"/>
        </w:rPr>
        <w:t>with</w:t>
      </w:r>
      <w:r w:rsidR="006B3EB6" w:rsidRPr="0046767D">
        <w:rPr>
          <w:rStyle w:val="CommentReference"/>
          <w:sz w:val="18"/>
          <w:szCs w:val="18"/>
        </w:rPr>
        <w:t xml:space="preserve"> Improved Glycemic Outcomes: 7-Year Follow-Up Study', Diabetes Care, vol. 45, no. 3, pp. 750-3.</w:t>
      </w:r>
    </w:p>
  </w:footnote>
  <w:footnote w:id="13">
    <w:p w14:paraId="37CAE9B2" w14:textId="01193EA8" w:rsidR="00302A5E" w:rsidRPr="0046767D" w:rsidRDefault="00302A5E">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J., S 2023, 'Comparison of Different Treatment Modalities in 7 Years of Follow-up.', paper presented to EASD 2023, Hamburg, Germany, October 2, 2023.</w:t>
      </w:r>
    </w:p>
  </w:footnote>
  <w:footnote w:id="14">
    <w:p w14:paraId="459F9989" w14:textId="18DF6A31" w:rsidR="003945E8" w:rsidRPr="0046767D" w:rsidRDefault="003945E8">
      <w:pPr>
        <w:pStyle w:val="FootnoteText"/>
        <w:rPr>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Šoupal, J, Petruželková, L, Flekač, M, Pelcl, T, Matoulek, M, Daňková, M, Škrha, J, Svačina, Š &amp; Prázný, M 2016, 'Comparison of Different Treatment Modalities for Type 1 Diabetes, Including Sensor-Augmented Insulin Regimens, in 52 Weeks of Follow-Up: A COMISAIR Study', Diabetes Technol Ther, vol. 18, no. 9, pp. 532-8.</w:t>
      </w:r>
    </w:p>
  </w:footnote>
  <w:footnote w:id="15">
    <w:p w14:paraId="33F6E8A5" w14:textId="119B7C3B" w:rsidR="00965B6F" w:rsidRPr="0046767D" w:rsidRDefault="00965B6F" w:rsidP="00965B6F">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rPr>
        <w:t xml:space="preserve"> Karter, AJ, Parker, MM, Moffet, HH, Gilliam, LK &amp; Dlott, R 2021, 'Association of Real-time Continuous Glucose Monitoring with </w:t>
      </w:r>
      <w:r w:rsidR="005C528C" w:rsidRPr="0046767D">
        <w:rPr>
          <w:rStyle w:val="CommentReference"/>
          <w:sz w:val="18"/>
          <w:szCs w:val="18"/>
        </w:rPr>
        <w:t>Glycaemic</w:t>
      </w:r>
      <w:r w:rsidRPr="0046767D">
        <w:rPr>
          <w:rStyle w:val="CommentReference"/>
          <w:sz w:val="18"/>
          <w:szCs w:val="18"/>
        </w:rPr>
        <w:t xml:space="preserve"> Control and Acute Metabolic Events Among Patients with Insulin-Treated Diabetes', Jama, vol. 325, no. 22, pp. 2273-84.</w:t>
      </w:r>
    </w:p>
  </w:footnote>
  <w:footnote w:id="16">
    <w:p w14:paraId="044A9B6A" w14:textId="34F79361" w:rsidR="00ED76CC" w:rsidRPr="0046767D" w:rsidRDefault="00ED76CC">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rPr>
        <w:t xml:space="preserve"> Beaudet, A, Clegg, J, Thuresson, PO, Lloyd, A &amp; McEwan, P 2014, 'Review of utility values for economic modeling in type 2 diabetes', Value Health, vol. 17, no. 4, pp. 462-70.</w:t>
      </w:r>
    </w:p>
  </w:footnote>
  <w:footnote w:id="17">
    <w:p w14:paraId="3396CEB6" w14:textId="7A4F7FA6" w:rsidR="005E6E3B" w:rsidRPr="00905F74" w:rsidRDefault="005E6E3B">
      <w:pPr>
        <w:pStyle w:val="FootnoteText"/>
        <w:rPr>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Zhao, X, Ming, J, Qu, S, Li, HJ, Wu, J, Ji, L &amp; Chen, Y 2021, 'Cost-Effectiveness of Flash Glucose Monitoring for the Management of Patients with Type 1 and Patients with Type 2 Diabetes in China', Diabetes Ther, vol. 12, no. 12, pp. 3079-92.</w:t>
      </w:r>
    </w:p>
  </w:footnote>
  <w:footnote w:id="18">
    <w:p w14:paraId="5EB39B9D" w14:textId="54CD2F4B" w:rsidR="00032BE7" w:rsidRPr="0046767D" w:rsidRDefault="00032BE7">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Isitt, JJ, Roze, S, Sharland, H, Cogswell, G, Alshannaq, H, Norman, GJ &amp; Lynch, PM 2022, 'Cost-Effectiveness of a Real-Time Continuous Glucose Monitoring System Versus Self-Monitoring of Blood Glucose in People with Type 2 Diabetes on Insulin Therapy in the UK', Diabetes Ther, vol. 13, no. 11-12, pp. 1875-90.</w:t>
      </w:r>
    </w:p>
  </w:footnote>
  <w:footnote w:id="19">
    <w:p w14:paraId="6110CB52" w14:textId="5D73A1EA" w:rsidR="005F7912" w:rsidRPr="0046767D" w:rsidRDefault="005F7912">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Pease, A, Callander, E, Zomer, E, Abraham, MB, Davis, EA, Jones, TW, Liew, D &amp; Zoungas, S 2022, 'The Cost of Control: Cost-effectiveness Analysis of Hybrid Closed-Loop Therapy in Youth', Diabetes Care, vol. 45, no. 9, pp. 1971-80.</w:t>
      </w:r>
    </w:p>
  </w:footnote>
  <w:footnote w:id="20">
    <w:p w14:paraId="4F092A2B" w14:textId="4267A3F5" w:rsidR="00E55F72" w:rsidRPr="00E55F72" w:rsidRDefault="00E55F72">
      <w:pPr>
        <w:pStyle w:val="FootnoteText"/>
        <w:rPr>
          <w:lang w:val="en-US"/>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Zhang, Y, Carter, HE, Lazzarini, PA, Cramb, S, Pacella, R, van Netten, JJ, Cheng, Q, Derhy, PH, Kinnear, EM &amp; McPhail, SM 2023, 'Cost-effectiveness of guideline-based care provision for patients with diabetes-related foot ulcers: A modelled analysis using discrete event simulation', Diabet Med, vol. 40, no. 1, p. e14961.</w:t>
      </w:r>
    </w:p>
  </w:footnote>
  <w:footnote w:id="21">
    <w:p w14:paraId="4C13009C" w14:textId="29045EF2" w:rsidR="007A6A46" w:rsidRPr="0046767D" w:rsidRDefault="007A6A46">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Soriano, EC &amp; Polonsky, WH 2023, 'The Influence of Real-Time Continuous Glucose Monitoring on Psychosocial Outcomes in Insulin-Using Type 2 Diabetes', J Diabetes Sci Technol, vol. 17, no. 6, pp. 1614-22.</w:t>
      </w:r>
    </w:p>
  </w:footnote>
  <w:footnote w:id="22">
    <w:p w14:paraId="59E8D544" w14:textId="32FE1CFE" w:rsidR="006664FA" w:rsidRPr="0046767D" w:rsidRDefault="006664FA" w:rsidP="00CE5F51">
      <w:pPr>
        <w:pStyle w:val="FootnoteText"/>
        <w:spacing w:before="0"/>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Monash University, S</w:t>
      </w:r>
      <w:r w:rsidR="009F3E30" w:rsidRPr="0046767D">
        <w:rPr>
          <w:rStyle w:val="CommentReference"/>
          <w:sz w:val="18"/>
          <w:szCs w:val="18"/>
        </w:rPr>
        <w:t>chool of Public Health</w:t>
      </w:r>
      <w:r w:rsidRPr="0046767D">
        <w:rPr>
          <w:rStyle w:val="CommentReference"/>
          <w:sz w:val="18"/>
          <w:szCs w:val="18"/>
        </w:rPr>
        <w:t xml:space="preserve"> &amp; </w:t>
      </w:r>
      <w:r w:rsidR="009F3E30" w:rsidRPr="0046767D">
        <w:rPr>
          <w:rStyle w:val="CommentReference"/>
          <w:sz w:val="18"/>
          <w:szCs w:val="18"/>
        </w:rPr>
        <w:t xml:space="preserve">Preventive </w:t>
      </w:r>
      <w:r w:rsidRPr="0046767D">
        <w:rPr>
          <w:rStyle w:val="CommentReference"/>
          <w:sz w:val="18"/>
          <w:szCs w:val="18"/>
        </w:rPr>
        <w:t>Medicine, 2025, Australian Diabetes Clinical Quality Registry Annual Report 2024, Monash University, Australia, &lt;https://www.monash.edu/medicine/sphpm/adcqr/publications&gt;.</w:t>
      </w:r>
    </w:p>
  </w:footnote>
  <w:footnote w:id="23">
    <w:p w14:paraId="1B69BA29" w14:textId="0EA87B3E" w:rsidR="00CE5F51" w:rsidRPr="0046767D" w:rsidRDefault="00CE5F51">
      <w:pPr>
        <w:pStyle w:val="FootnoteText"/>
        <w:rPr>
          <w:rStyle w:val="CommentReference"/>
          <w:sz w:val="18"/>
          <w:szCs w:val="18"/>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Australian Institute of Health and Welfare &amp; National Indigenous Australians Agency 2023, Measure 1.09 Diabetes, Aboriginal and Torres Strait Islander Health Performance Framework Australian Government, viewed 18 December 2025.</w:t>
      </w:r>
    </w:p>
  </w:footnote>
  <w:footnote w:id="24">
    <w:p w14:paraId="32E0624F" w14:textId="149393A3" w:rsidR="00CF760B" w:rsidRPr="00CF760B" w:rsidRDefault="00CF760B">
      <w:pPr>
        <w:pStyle w:val="FootnoteText"/>
        <w:rPr>
          <w:lang w:val="en-US"/>
        </w:rPr>
      </w:pPr>
      <w:r w:rsidRPr="0046767D">
        <w:rPr>
          <w:rStyle w:val="CommentReference"/>
          <w:sz w:val="18"/>
          <w:szCs w:val="18"/>
          <w:vertAlign w:val="superscript"/>
        </w:rPr>
        <w:footnoteRef/>
      </w:r>
      <w:r w:rsidRPr="0046767D">
        <w:rPr>
          <w:rStyle w:val="CommentReference"/>
          <w:sz w:val="18"/>
          <w:szCs w:val="18"/>
          <w:vertAlign w:val="superscript"/>
        </w:rPr>
        <w:t xml:space="preserve"> </w:t>
      </w:r>
      <w:r w:rsidRPr="0046767D">
        <w:rPr>
          <w:rStyle w:val="CommentReference"/>
          <w:sz w:val="18"/>
          <w:szCs w:val="18"/>
        </w:rPr>
        <w:t>Australian Bureau of Statistics 2021, Estimates of Aboriginal and Torres Strait Islander Australians, Australian Government, viewed 18 December 2025.</w:t>
      </w:r>
    </w:p>
  </w:footnote>
  <w:footnote w:id="25">
    <w:p w14:paraId="5242355C" w14:textId="0837055C" w:rsidR="00F77121" w:rsidRPr="00A41C72" w:rsidRDefault="00F77121">
      <w:pPr>
        <w:pStyle w:val="FootnoteText"/>
        <w:rPr>
          <w:lang w:val="en-US"/>
        </w:rPr>
      </w:pPr>
      <w:r>
        <w:rPr>
          <w:rStyle w:val="FootnoteReference"/>
        </w:rPr>
        <w:footnoteRef/>
      </w:r>
      <w:r>
        <w:t xml:space="preserve"> P</w:t>
      </w:r>
      <w:r w:rsidRPr="00F77121">
        <w:t>rospection</w:t>
      </w:r>
      <w:r w:rsidR="00A65DAA">
        <w:t xml:space="preserve">, </w:t>
      </w:r>
      <w:r w:rsidRPr="00F77121">
        <w:t>2022</w:t>
      </w:r>
      <w:r w:rsidR="00A65DAA">
        <w:t>,</w:t>
      </w:r>
      <w:r w:rsidRPr="00F77121">
        <w:t xml:space="preserve"> Report on Australian insulin using type 2 diabetes patients</w:t>
      </w:r>
      <w:r w:rsidR="00A65DAA">
        <w:t xml:space="preserve"> 2022</w:t>
      </w:r>
      <w:r w:rsidRPr="00F77121">
        <w:t>.</w:t>
      </w:r>
    </w:p>
  </w:footnote>
  <w:footnote w:id="26">
    <w:p w14:paraId="415B811B" w14:textId="77777777" w:rsidR="007F49A2" w:rsidRDefault="007F49A2" w:rsidP="007F49A2">
      <w:pPr>
        <w:pStyle w:val="FootnoteText"/>
      </w:pPr>
      <w:r>
        <w:rPr>
          <w:rStyle w:val="FootnoteReference"/>
        </w:rPr>
        <w:footnoteRef/>
      </w:r>
      <w:r>
        <w:t xml:space="preserve"> </w:t>
      </w:r>
      <w:r w:rsidRPr="00E52FA0">
        <w:t>Karter, A. J., Parker, M. M., Moffet, H. H., Gilliam, L. K., &amp; Dlott, R. (2021). Association of real-time continuous glucose monitoring with glycemic control and acute metabolic events among patients with insulin-treated diabetes. Jama, 325(22), 2273-2284</w:t>
      </w:r>
      <w:r>
        <w:t>.</w:t>
      </w:r>
    </w:p>
  </w:footnote>
  <w:footnote w:id="27">
    <w:p w14:paraId="6E74BD2D" w14:textId="77777777" w:rsidR="007F49A2" w:rsidRDefault="007F49A2" w:rsidP="007F49A2">
      <w:pPr>
        <w:pStyle w:val="FootnoteText"/>
      </w:pPr>
      <w:r>
        <w:rPr>
          <w:rStyle w:val="FootnoteReference"/>
        </w:rPr>
        <w:footnoteRef/>
      </w:r>
      <w:r>
        <w:t xml:space="preserve"> Estimated as $7284/0.367 QALY where 0.367 QALY = base case incremental QALY of 0.511 minus 0.1445 (half of finger prick disutility estimated at approximately 0.289 QALYs). </w:t>
      </w:r>
    </w:p>
  </w:footnote>
  <w:footnote w:id="28">
    <w:p w14:paraId="0F8A556C" w14:textId="67D6FEBF" w:rsidR="007F49A2" w:rsidRDefault="007F49A2" w:rsidP="007F49A2">
      <w:pPr>
        <w:pStyle w:val="FootnoteText"/>
      </w:pPr>
      <w:r>
        <w:rPr>
          <w:rStyle w:val="FootnoteReference"/>
        </w:rPr>
        <w:footnoteRef/>
      </w:r>
      <w:r>
        <w:t xml:space="preserve"> This was estimated by dividing the incremental cost of </w:t>
      </w:r>
      <w:r w:rsidRPr="00175F47">
        <w:t>testing ($</w:t>
      </w:r>
      <w:r w:rsidR="00175F47">
        <w:rPr>
          <w:b/>
          <w:bCs/>
        </w:rPr>
        <w:t>redacted</w:t>
      </w:r>
      <w:r>
        <w:t>) by the residual incremental QALY solely attributable to avoided finger prick-disutility after excluding other QALY benefits (0.052).</w:t>
      </w:r>
    </w:p>
  </w:footnote>
  <w:footnote w:id="29">
    <w:p w14:paraId="48FBBD44" w14:textId="6797A166" w:rsidR="007F49A2" w:rsidRDefault="007F49A2" w:rsidP="007F49A2">
      <w:pPr>
        <w:pStyle w:val="FootnoteText"/>
      </w:pPr>
      <w:r>
        <w:rPr>
          <w:rStyle w:val="FootnoteReference"/>
        </w:rPr>
        <w:footnoteRef/>
      </w:r>
      <w:r>
        <w:t xml:space="preserve"> This was estimated by dividing the incremental cost of testing ($</w:t>
      </w:r>
      <w:r w:rsidR="00175F47">
        <w:rPr>
          <w:b/>
          <w:bCs/>
        </w:rPr>
        <w:t>redacted</w:t>
      </w:r>
      <w:r>
        <w:t>) by the residual incremental QALY solely attributable to avoided finger prick-disutility after excluding other QALY benefits (0.156).</w:t>
      </w:r>
    </w:p>
  </w:footnote>
  <w:footnote w:id="30">
    <w:p w14:paraId="7C98B9E8" w14:textId="77777777" w:rsidR="007F49A2" w:rsidRDefault="007F49A2" w:rsidP="007F49A2">
      <w:pPr>
        <w:pStyle w:val="FootnoteText"/>
      </w:pPr>
      <w:r>
        <w:rPr>
          <w:rStyle w:val="FootnoteReference"/>
        </w:rPr>
        <w:footnoteRef/>
      </w:r>
      <w:r>
        <w:t xml:space="preserve"> Refer to Section 12 for the steps used in this calculation.</w:t>
      </w:r>
    </w:p>
  </w:footnote>
  <w:footnote w:id="31">
    <w:p w14:paraId="0A21022E" w14:textId="77777777" w:rsidR="007F49A2" w:rsidRDefault="007F49A2" w:rsidP="007F49A2">
      <w:pPr>
        <w:pStyle w:val="FootnoteText"/>
      </w:pPr>
      <w:r>
        <w:rPr>
          <w:rStyle w:val="FootnoteReference"/>
        </w:rPr>
        <w:footnoteRef/>
      </w:r>
      <w:r>
        <w:t xml:space="preserve"> F</w:t>
      </w:r>
      <w:r w:rsidRPr="000B2E67">
        <w:t>rom 35%, 45%, 55%, 60%, 65% and 70% to 60%, 68%, 72%, 75%, 79% and 80% in years 1 to 6, respectively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15FC" w14:textId="25D40BB8" w:rsidR="004716B9" w:rsidRDefault="000D6ED8">
    <w:pPr>
      <w:pStyle w:val="Header"/>
    </w:pPr>
    <w:r>
      <w:rPr>
        <w:noProof/>
      </w:rPr>
      <mc:AlternateContent>
        <mc:Choice Requires="wps">
          <w:drawing>
            <wp:anchor distT="0" distB="0" distL="0" distR="0" simplePos="0" relativeHeight="251660293" behindDoc="0" locked="0" layoutInCell="1" allowOverlap="1" wp14:anchorId="52D25EA5" wp14:editId="05447682">
              <wp:simplePos x="635" y="635"/>
              <wp:positionH relativeFrom="page">
                <wp:align>center</wp:align>
              </wp:positionH>
              <wp:positionV relativeFrom="page">
                <wp:align>top</wp:align>
              </wp:positionV>
              <wp:extent cx="622300" cy="467360"/>
              <wp:effectExtent l="0" t="0" r="6350" b="8890"/>
              <wp:wrapNone/>
              <wp:docPr id="164718518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0540534E" w14:textId="0FC88AD1"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D25EA5" id="_x0000_t202" coordsize="21600,21600" o:spt="202" path="m,l,21600r21600,l21600,xe">
              <v:stroke joinstyle="miter"/>
              <v:path gradientshapeok="t" o:connecttype="rect"/>
            </v:shapetype>
            <v:shape id="Text Box 8" o:spid="_x0000_s1026" type="#_x0000_t202" alt="OFFICIAL" style="position:absolute;margin-left:0;margin-top:0;width:49pt;height:36.8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3KCQIAABU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" filled="f" stroked="f">
              <v:fill o:detectmouseclick="t"/>
              <v:textbox style="mso-fit-shape-to-text:t" inset="0,15pt,0,0">
                <w:txbxContent>
                  <w:p w14:paraId="0540534E" w14:textId="0FC88AD1"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B22E" w14:textId="742C4B54" w:rsidR="004716B9" w:rsidRDefault="000D6ED8">
    <w:pPr>
      <w:pStyle w:val="Header"/>
    </w:pPr>
    <w:r>
      <w:rPr>
        <w:noProof/>
      </w:rPr>
      <mc:AlternateContent>
        <mc:Choice Requires="wps">
          <w:drawing>
            <wp:anchor distT="0" distB="0" distL="0" distR="0" simplePos="0" relativeHeight="251661317" behindDoc="0" locked="0" layoutInCell="1" allowOverlap="1" wp14:anchorId="6252C3CF" wp14:editId="562A09E5">
              <wp:simplePos x="635" y="635"/>
              <wp:positionH relativeFrom="page">
                <wp:align>center</wp:align>
              </wp:positionH>
              <wp:positionV relativeFrom="page">
                <wp:align>top</wp:align>
              </wp:positionV>
              <wp:extent cx="622300" cy="467360"/>
              <wp:effectExtent l="0" t="0" r="6350" b="8890"/>
              <wp:wrapNone/>
              <wp:docPr id="135821563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49325679" w14:textId="2B2C47BC"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52C3CF" id="_x0000_t202" coordsize="21600,21600" o:spt="202" path="m,l,21600r21600,l21600,xe">
              <v:stroke joinstyle="miter"/>
              <v:path gradientshapeok="t" o:connecttype="rect"/>
            </v:shapetype>
            <v:shape id="Text Box 9" o:spid="_x0000_s1027" type="#_x0000_t202" alt="OFFICIAL" style="position:absolute;margin-left:0;margin-top:0;width:49pt;height:36.8pt;z-index:251661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" filled="f" stroked="f">
              <v:fill o:detectmouseclick="t"/>
              <v:textbox style="mso-fit-shape-to-text:t" inset="0,15pt,0,0">
                <w:txbxContent>
                  <w:p w14:paraId="49325679" w14:textId="2B2C47BC"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D893" w14:textId="04B656D5" w:rsidR="004716B9" w:rsidRDefault="000D6ED8">
    <w:pPr>
      <w:pStyle w:val="Header"/>
    </w:pPr>
    <w:r>
      <w:rPr>
        <w:noProof/>
      </w:rPr>
      <mc:AlternateContent>
        <mc:Choice Requires="wps">
          <w:drawing>
            <wp:anchor distT="0" distB="0" distL="0" distR="0" simplePos="0" relativeHeight="251659269" behindDoc="0" locked="0" layoutInCell="1" allowOverlap="1" wp14:anchorId="622DEC10" wp14:editId="3ADB06DB">
              <wp:simplePos x="635" y="635"/>
              <wp:positionH relativeFrom="page">
                <wp:align>center</wp:align>
              </wp:positionH>
              <wp:positionV relativeFrom="page">
                <wp:align>top</wp:align>
              </wp:positionV>
              <wp:extent cx="622300" cy="467360"/>
              <wp:effectExtent l="0" t="0" r="6350" b="8890"/>
              <wp:wrapNone/>
              <wp:docPr id="130131964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481F9BA1" w14:textId="7FA23D09"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2DEC10" id="_x0000_t202" coordsize="21600,21600" o:spt="202" path="m,l,21600r21600,l21600,xe">
              <v:stroke joinstyle="miter"/>
              <v:path gradientshapeok="t" o:connecttype="rect"/>
            </v:shapetype>
            <v:shape id="Text Box 7" o:spid="_x0000_s1030" type="#_x0000_t202" alt="OFFICIAL" style="position:absolute;margin-left:0;margin-top:0;width:49pt;height:36.8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VtDQIAABw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" filled="f" stroked="f">
              <v:fill o:detectmouseclick="t"/>
              <v:textbox style="mso-fit-shape-to-text:t" inset="0,15pt,0,0">
                <w:txbxContent>
                  <w:p w14:paraId="481F9BA1" w14:textId="7FA23D09" w:rsidR="000D6ED8" w:rsidRPr="000D6ED8" w:rsidRDefault="000D6ED8" w:rsidP="000D6ED8">
                    <w:pPr>
                      <w:spacing w:after="0"/>
                      <w:rPr>
                        <w:rFonts w:ascii="Aptos" w:eastAsia="Aptos" w:hAnsi="Aptos" w:cs="Aptos"/>
                        <w:noProof/>
                        <w:color w:val="FF0000"/>
                        <w:sz w:val="24"/>
                        <w:szCs w:val="24"/>
                      </w:rPr>
                    </w:pPr>
                    <w:r w:rsidRPr="000D6ED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BB2"/>
    <w:multiLevelType w:val="multilevel"/>
    <w:tmpl w:val="D626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5035D4"/>
    <w:multiLevelType w:val="multilevel"/>
    <w:tmpl w:val="96B6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EF1F78"/>
    <w:multiLevelType w:val="hybridMultilevel"/>
    <w:tmpl w:val="CE24CF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FF4E7C"/>
    <w:multiLevelType w:val="multilevel"/>
    <w:tmpl w:val="7D6E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E9522D"/>
    <w:multiLevelType w:val="hybridMultilevel"/>
    <w:tmpl w:val="F27AE3E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0F26CE"/>
    <w:multiLevelType w:val="multilevel"/>
    <w:tmpl w:val="CC94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365FFD"/>
    <w:multiLevelType w:val="hybridMultilevel"/>
    <w:tmpl w:val="F940C2D4"/>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7603C8"/>
    <w:multiLevelType w:val="hybridMultilevel"/>
    <w:tmpl w:val="4314E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FD3FA0"/>
    <w:multiLevelType w:val="multilevel"/>
    <w:tmpl w:val="42A2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B41448"/>
    <w:multiLevelType w:val="hybridMultilevel"/>
    <w:tmpl w:val="40C656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0D1D43C1"/>
    <w:multiLevelType w:val="multilevel"/>
    <w:tmpl w:val="0332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7A3E47"/>
    <w:multiLevelType w:val="hybridMultilevel"/>
    <w:tmpl w:val="B8C8866A"/>
    <w:lvl w:ilvl="0" w:tplc="D6283606">
      <w:start w:val="1"/>
      <w:numFmt w:val="bullet"/>
      <w:lvlText w:val=""/>
      <w:lvlJc w:val="left"/>
      <w:pPr>
        <w:ind w:left="720" w:hanging="360"/>
      </w:pPr>
      <w:rPr>
        <w:rFonts w:ascii="Symbol" w:hAnsi="Symbol" w:hint="default"/>
      </w:rPr>
    </w:lvl>
    <w:lvl w:ilvl="1" w:tplc="F4A89626">
      <w:start w:val="1"/>
      <w:numFmt w:val="bullet"/>
      <w:lvlText w:val="o"/>
      <w:lvlJc w:val="left"/>
      <w:pPr>
        <w:ind w:left="1440" w:hanging="360"/>
      </w:pPr>
      <w:rPr>
        <w:rFonts w:ascii="Courier New" w:hAnsi="Courier New" w:hint="default"/>
      </w:rPr>
    </w:lvl>
    <w:lvl w:ilvl="2" w:tplc="C674F906" w:tentative="1">
      <w:start w:val="1"/>
      <w:numFmt w:val="bullet"/>
      <w:lvlText w:val=""/>
      <w:lvlJc w:val="left"/>
      <w:pPr>
        <w:ind w:left="2160" w:hanging="360"/>
      </w:pPr>
      <w:rPr>
        <w:rFonts w:ascii="Wingdings" w:hAnsi="Wingdings" w:hint="default"/>
      </w:rPr>
    </w:lvl>
    <w:lvl w:ilvl="3" w:tplc="EBD88396" w:tentative="1">
      <w:start w:val="1"/>
      <w:numFmt w:val="bullet"/>
      <w:lvlText w:val=""/>
      <w:lvlJc w:val="left"/>
      <w:pPr>
        <w:ind w:left="2880" w:hanging="360"/>
      </w:pPr>
      <w:rPr>
        <w:rFonts w:ascii="Symbol" w:hAnsi="Symbol" w:hint="default"/>
      </w:rPr>
    </w:lvl>
    <w:lvl w:ilvl="4" w:tplc="B1E41F06" w:tentative="1">
      <w:start w:val="1"/>
      <w:numFmt w:val="bullet"/>
      <w:lvlText w:val="o"/>
      <w:lvlJc w:val="left"/>
      <w:pPr>
        <w:ind w:left="3600" w:hanging="360"/>
      </w:pPr>
      <w:rPr>
        <w:rFonts w:ascii="Courier New" w:hAnsi="Courier New" w:hint="default"/>
      </w:rPr>
    </w:lvl>
    <w:lvl w:ilvl="5" w:tplc="A65A445E" w:tentative="1">
      <w:start w:val="1"/>
      <w:numFmt w:val="bullet"/>
      <w:lvlText w:val=""/>
      <w:lvlJc w:val="left"/>
      <w:pPr>
        <w:ind w:left="4320" w:hanging="360"/>
      </w:pPr>
      <w:rPr>
        <w:rFonts w:ascii="Wingdings" w:hAnsi="Wingdings" w:hint="default"/>
      </w:rPr>
    </w:lvl>
    <w:lvl w:ilvl="6" w:tplc="5D56097E" w:tentative="1">
      <w:start w:val="1"/>
      <w:numFmt w:val="bullet"/>
      <w:lvlText w:val=""/>
      <w:lvlJc w:val="left"/>
      <w:pPr>
        <w:ind w:left="5040" w:hanging="360"/>
      </w:pPr>
      <w:rPr>
        <w:rFonts w:ascii="Symbol" w:hAnsi="Symbol" w:hint="default"/>
      </w:rPr>
    </w:lvl>
    <w:lvl w:ilvl="7" w:tplc="9640AA10" w:tentative="1">
      <w:start w:val="1"/>
      <w:numFmt w:val="bullet"/>
      <w:lvlText w:val="o"/>
      <w:lvlJc w:val="left"/>
      <w:pPr>
        <w:ind w:left="5760" w:hanging="360"/>
      </w:pPr>
      <w:rPr>
        <w:rFonts w:ascii="Courier New" w:hAnsi="Courier New" w:hint="default"/>
      </w:rPr>
    </w:lvl>
    <w:lvl w:ilvl="8" w:tplc="99302F6A" w:tentative="1">
      <w:start w:val="1"/>
      <w:numFmt w:val="bullet"/>
      <w:lvlText w:val=""/>
      <w:lvlJc w:val="left"/>
      <w:pPr>
        <w:ind w:left="6480" w:hanging="360"/>
      </w:pPr>
      <w:rPr>
        <w:rFonts w:ascii="Wingdings" w:hAnsi="Wingdings" w:hint="default"/>
      </w:rPr>
    </w:lvl>
  </w:abstractNum>
  <w:abstractNum w:abstractNumId="12" w15:restartNumberingAfterBreak="0">
    <w:nsid w:val="0FFF556F"/>
    <w:multiLevelType w:val="hybridMultilevel"/>
    <w:tmpl w:val="6BC035C4"/>
    <w:lvl w:ilvl="0" w:tplc="FB942214">
      <w:start w:val="1"/>
      <w:numFmt w:val="bullet"/>
      <w:pStyle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C55755"/>
    <w:multiLevelType w:val="multilevel"/>
    <w:tmpl w:val="4AD0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DA46B4"/>
    <w:multiLevelType w:val="multilevel"/>
    <w:tmpl w:val="3E76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AC0CCF"/>
    <w:multiLevelType w:val="hybridMultilevel"/>
    <w:tmpl w:val="2B106988"/>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16" w15:restartNumberingAfterBreak="0">
    <w:nsid w:val="16BB4224"/>
    <w:multiLevelType w:val="hybridMultilevel"/>
    <w:tmpl w:val="918088EA"/>
    <w:lvl w:ilvl="0" w:tplc="288E36DA">
      <w:start w:val="1"/>
      <w:numFmt w:val="bullet"/>
      <w:pStyle w:val="BoxBullet"/>
      <w:lvlText w:val=""/>
      <w:lvlJc w:val="left"/>
      <w:pPr>
        <w:tabs>
          <w:tab w:val="num" w:pos="357"/>
        </w:tabs>
        <w:ind w:left="357" w:hanging="357"/>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87B4F1C"/>
    <w:multiLevelType w:val="hybridMultilevel"/>
    <w:tmpl w:val="F2987BFC"/>
    <w:lvl w:ilvl="0" w:tplc="70DE8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A2066C2"/>
    <w:multiLevelType w:val="multilevel"/>
    <w:tmpl w:val="FDA4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A42935"/>
    <w:multiLevelType w:val="hybridMultilevel"/>
    <w:tmpl w:val="605636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D1F5809"/>
    <w:multiLevelType w:val="multilevel"/>
    <w:tmpl w:val="3D66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D766B4A"/>
    <w:multiLevelType w:val="multilevel"/>
    <w:tmpl w:val="9A36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D64B41"/>
    <w:multiLevelType w:val="hybridMultilevel"/>
    <w:tmpl w:val="61624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2F71238"/>
    <w:multiLevelType w:val="multilevel"/>
    <w:tmpl w:val="2312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37C0EE4"/>
    <w:multiLevelType w:val="multilevel"/>
    <w:tmpl w:val="FEE071C8"/>
    <w:styleLink w:val="ESSectionheading-numbered"/>
    <w:lvl w:ilvl="0">
      <w:start w:val="1"/>
      <w:numFmt w:val="none"/>
      <w:lvlText w:val="A.1"/>
      <w:lvlJc w:val="left"/>
      <w:pPr>
        <w:ind w:left="1134" w:hanging="1134"/>
      </w:pPr>
      <w:rPr>
        <w:rFonts w:ascii="Calibri" w:hAnsi="Calibri" w:hint="default"/>
        <w:b/>
        <w:i w:val="0"/>
        <w:color w:val="auto"/>
        <w:sz w:val="24"/>
      </w:rPr>
    </w:lvl>
    <w:lvl w:ilvl="1">
      <w:start w:val="1"/>
      <w:numFmt w:val="decimal"/>
      <w:lvlText w:val="B.%2."/>
      <w:lvlJc w:val="left"/>
      <w:pPr>
        <w:ind w:left="1134" w:hanging="1134"/>
      </w:pPr>
      <w:rPr>
        <w:rFonts w:ascii="Calibri" w:hAnsi="Calibri" w:hint="default"/>
        <w:b/>
        <w:i w:val="0"/>
        <w:sz w:val="24"/>
      </w:rPr>
    </w:lvl>
    <w:lvl w:ilvl="2">
      <w:start w:val="1"/>
      <w:numFmt w:val="decimal"/>
      <w:lvlText w:val="C.%3."/>
      <w:lvlJc w:val="left"/>
      <w:pPr>
        <w:ind w:left="1134" w:hanging="1134"/>
      </w:pPr>
      <w:rPr>
        <w:rFonts w:ascii="Calibri" w:hAnsi="Calibri" w:hint="default"/>
        <w:b/>
        <w:i w:val="0"/>
        <w:sz w:val="24"/>
      </w:rPr>
    </w:lvl>
    <w:lvl w:ilvl="3">
      <w:start w:val="1"/>
      <w:numFmt w:val="decimal"/>
      <w:lvlText w:val="D.%4."/>
      <w:lvlJc w:val="left"/>
      <w:pPr>
        <w:ind w:left="1134" w:hanging="1134"/>
      </w:pPr>
      <w:rPr>
        <w:rFonts w:ascii="Calibri" w:hAnsi="Calibri" w:hint="default"/>
        <w:b/>
        <w:i w:val="0"/>
        <w:sz w:val="24"/>
      </w:rPr>
    </w:lvl>
    <w:lvl w:ilvl="4">
      <w:start w:val="1"/>
      <w:numFmt w:val="decimal"/>
      <w:lvlText w:val="E.%5."/>
      <w:lvlJc w:val="left"/>
      <w:pPr>
        <w:ind w:left="1134" w:hanging="1134"/>
      </w:pPr>
      <w:rPr>
        <w:rFonts w:ascii="Calibri" w:hAnsi="Calibri" w:hint="default"/>
        <w:b/>
        <w:i w:val="0"/>
        <w:sz w:val="24"/>
      </w:rPr>
    </w:lvl>
    <w:lvl w:ilvl="5">
      <w:start w:val="1"/>
      <w:numFmt w:val="decimal"/>
      <w:lvlText w:val="A.%6"/>
      <w:lvlJc w:val="left"/>
      <w:pPr>
        <w:ind w:left="1134" w:hanging="1134"/>
      </w:pPr>
      <w:rPr>
        <w:rFonts w:ascii="Calibri" w:hAnsi="Calibri" w:hint="default"/>
        <w:b/>
        <w:i w:val="0"/>
        <w:color w:val="auto"/>
        <w:sz w:val="24"/>
      </w:rPr>
    </w:lvl>
    <w:lvl w:ilvl="6">
      <w:start w:val="1"/>
      <w:numFmt w:val="none"/>
      <w:lvlText w:val=""/>
      <w:lvlJc w:val="left"/>
      <w:pPr>
        <w:ind w:left="1134" w:hanging="1134"/>
      </w:pPr>
      <w:rPr>
        <w:rFonts w:ascii="Calibri" w:hAnsi="Calibri" w:hint="default"/>
        <w:b/>
        <w:i w:val="0"/>
        <w:sz w:val="24"/>
      </w:rPr>
    </w:lvl>
    <w:lvl w:ilvl="7">
      <w:start w:val="1"/>
      <w:numFmt w:val="none"/>
      <w:lvlText w:val="%8"/>
      <w:lvlJc w:val="left"/>
      <w:pPr>
        <w:ind w:left="1134" w:hanging="1134"/>
      </w:pPr>
      <w:rPr>
        <w:rFonts w:hint="default"/>
      </w:rPr>
    </w:lvl>
    <w:lvl w:ilvl="8">
      <w:start w:val="1"/>
      <w:numFmt w:val="none"/>
      <w:lvlText w:val="%9"/>
      <w:lvlJc w:val="right"/>
      <w:pPr>
        <w:ind w:left="1134" w:hanging="1134"/>
      </w:pPr>
      <w:rPr>
        <w:rFonts w:hint="default"/>
      </w:rPr>
    </w:lvl>
  </w:abstractNum>
  <w:abstractNum w:abstractNumId="25" w15:restartNumberingAfterBreak="0">
    <w:nsid w:val="273D7626"/>
    <w:multiLevelType w:val="hybridMultilevel"/>
    <w:tmpl w:val="CBDEB1AA"/>
    <w:lvl w:ilvl="0" w:tplc="3D14A0CE">
      <w:start w:val="1"/>
      <w:numFmt w:val="bullet"/>
      <w:lvlText w:val=""/>
      <w:lvlJc w:val="left"/>
      <w:pPr>
        <w:ind w:left="1060" w:hanging="360"/>
      </w:pPr>
      <w:rPr>
        <w:rFonts w:ascii="Symbol" w:hAnsi="Symbol"/>
      </w:rPr>
    </w:lvl>
    <w:lvl w:ilvl="1" w:tplc="8664138C">
      <w:start w:val="1"/>
      <w:numFmt w:val="bullet"/>
      <w:lvlText w:val=""/>
      <w:lvlJc w:val="left"/>
      <w:pPr>
        <w:ind w:left="1060" w:hanging="360"/>
      </w:pPr>
      <w:rPr>
        <w:rFonts w:ascii="Symbol" w:hAnsi="Symbol"/>
      </w:rPr>
    </w:lvl>
    <w:lvl w:ilvl="2" w:tplc="46D01286">
      <w:start w:val="1"/>
      <w:numFmt w:val="bullet"/>
      <w:lvlText w:val=""/>
      <w:lvlJc w:val="left"/>
      <w:pPr>
        <w:ind w:left="1060" w:hanging="360"/>
      </w:pPr>
      <w:rPr>
        <w:rFonts w:ascii="Symbol" w:hAnsi="Symbol"/>
      </w:rPr>
    </w:lvl>
    <w:lvl w:ilvl="3" w:tplc="F686F83E">
      <w:start w:val="1"/>
      <w:numFmt w:val="bullet"/>
      <w:lvlText w:val=""/>
      <w:lvlJc w:val="left"/>
      <w:pPr>
        <w:ind w:left="1060" w:hanging="360"/>
      </w:pPr>
      <w:rPr>
        <w:rFonts w:ascii="Symbol" w:hAnsi="Symbol"/>
      </w:rPr>
    </w:lvl>
    <w:lvl w:ilvl="4" w:tplc="EF0A013E">
      <w:start w:val="1"/>
      <w:numFmt w:val="bullet"/>
      <w:lvlText w:val=""/>
      <w:lvlJc w:val="left"/>
      <w:pPr>
        <w:ind w:left="1060" w:hanging="360"/>
      </w:pPr>
      <w:rPr>
        <w:rFonts w:ascii="Symbol" w:hAnsi="Symbol"/>
      </w:rPr>
    </w:lvl>
    <w:lvl w:ilvl="5" w:tplc="EA8240E8">
      <w:start w:val="1"/>
      <w:numFmt w:val="bullet"/>
      <w:lvlText w:val=""/>
      <w:lvlJc w:val="left"/>
      <w:pPr>
        <w:ind w:left="1060" w:hanging="360"/>
      </w:pPr>
      <w:rPr>
        <w:rFonts w:ascii="Symbol" w:hAnsi="Symbol"/>
      </w:rPr>
    </w:lvl>
    <w:lvl w:ilvl="6" w:tplc="74D0D0F2">
      <w:start w:val="1"/>
      <w:numFmt w:val="bullet"/>
      <w:lvlText w:val=""/>
      <w:lvlJc w:val="left"/>
      <w:pPr>
        <w:ind w:left="1060" w:hanging="360"/>
      </w:pPr>
      <w:rPr>
        <w:rFonts w:ascii="Symbol" w:hAnsi="Symbol"/>
      </w:rPr>
    </w:lvl>
    <w:lvl w:ilvl="7" w:tplc="661A4E04">
      <w:start w:val="1"/>
      <w:numFmt w:val="bullet"/>
      <w:lvlText w:val=""/>
      <w:lvlJc w:val="left"/>
      <w:pPr>
        <w:ind w:left="1060" w:hanging="360"/>
      </w:pPr>
      <w:rPr>
        <w:rFonts w:ascii="Symbol" w:hAnsi="Symbol"/>
      </w:rPr>
    </w:lvl>
    <w:lvl w:ilvl="8" w:tplc="84589FD4">
      <w:start w:val="1"/>
      <w:numFmt w:val="bullet"/>
      <w:lvlText w:val=""/>
      <w:lvlJc w:val="left"/>
      <w:pPr>
        <w:ind w:left="1060" w:hanging="360"/>
      </w:pPr>
      <w:rPr>
        <w:rFonts w:ascii="Symbol" w:hAnsi="Symbol"/>
      </w:rPr>
    </w:lvl>
  </w:abstractNum>
  <w:abstractNum w:abstractNumId="26" w15:restartNumberingAfterBreak="0">
    <w:nsid w:val="27575C58"/>
    <w:multiLevelType w:val="multilevel"/>
    <w:tmpl w:val="BE44A646"/>
    <w:lvl w:ilvl="0">
      <w:start w:val="1"/>
      <w:numFmt w:val="bullet"/>
      <w:pStyle w:val="InstructionBulletpoint"/>
      <w:lvlText w:val=""/>
      <w:lvlJc w:val="left"/>
      <w:pPr>
        <w:ind w:left="720" w:hanging="360"/>
      </w:pPr>
      <w:rPr>
        <w:rFonts w:ascii="Symbol" w:hAnsi="Symbol" w:hint="default"/>
      </w:rPr>
    </w:lvl>
    <w:lvl w:ilvl="1">
      <w:start w:val="1"/>
      <w:numFmt w:val="bullet"/>
      <w:lvlText w:val=""/>
      <w:lvlJc w:val="left"/>
      <w:pPr>
        <w:ind w:left="1440" w:hanging="476"/>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8574F72"/>
    <w:multiLevelType w:val="multilevel"/>
    <w:tmpl w:val="0020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8C71C81"/>
    <w:multiLevelType w:val="hybridMultilevel"/>
    <w:tmpl w:val="45CAAB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9CA7359"/>
    <w:multiLevelType w:val="hybridMultilevel"/>
    <w:tmpl w:val="D4B82ECE"/>
    <w:lvl w:ilvl="0" w:tplc="0C090017">
      <w:start w:val="1"/>
      <w:numFmt w:val="lowerLetter"/>
      <w:lvlText w:val="%1)"/>
      <w:lvlJc w:val="left"/>
      <w:pPr>
        <w:ind w:left="720" w:hanging="360"/>
      </w:pPr>
      <w:rPr>
        <w:rFonts w:hint="default"/>
      </w:r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A5E246B"/>
    <w:multiLevelType w:val="hybridMultilevel"/>
    <w:tmpl w:val="C4F2253C"/>
    <w:lvl w:ilvl="0" w:tplc="B0E28340">
      <w:start w:val="1"/>
      <w:numFmt w:val="decimal"/>
      <w:pStyle w:val="ESHeading1"/>
      <w:lvlText w:val="%1."/>
      <w:lvlJc w:val="left"/>
      <w:pPr>
        <w:ind w:left="216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2C4F0459"/>
    <w:multiLevelType w:val="hybridMultilevel"/>
    <w:tmpl w:val="DFE63740"/>
    <w:lvl w:ilvl="0" w:tplc="5704CF12">
      <w:start w:val="1"/>
      <w:numFmt w:val="bullet"/>
      <w:lvlText w:val=""/>
      <w:lvlJc w:val="left"/>
      <w:pPr>
        <w:ind w:left="720" w:hanging="360"/>
      </w:pPr>
      <w:rPr>
        <w:rFonts w:ascii="Symbol" w:hAnsi="Symbol" w:hint="default"/>
      </w:rPr>
    </w:lvl>
    <w:lvl w:ilvl="1" w:tplc="77740478">
      <w:start w:val="1"/>
      <w:numFmt w:val="bullet"/>
      <w:lvlText w:val="o"/>
      <w:lvlJc w:val="left"/>
      <w:pPr>
        <w:ind w:left="1440" w:hanging="360"/>
      </w:pPr>
      <w:rPr>
        <w:rFonts w:ascii="Courier New" w:hAnsi="Courier New" w:hint="default"/>
      </w:rPr>
    </w:lvl>
    <w:lvl w:ilvl="2" w:tplc="F1226EB0" w:tentative="1">
      <w:start w:val="1"/>
      <w:numFmt w:val="bullet"/>
      <w:lvlText w:val=""/>
      <w:lvlJc w:val="left"/>
      <w:pPr>
        <w:ind w:left="2160" w:hanging="360"/>
      </w:pPr>
      <w:rPr>
        <w:rFonts w:ascii="Wingdings" w:hAnsi="Wingdings" w:hint="default"/>
      </w:rPr>
    </w:lvl>
    <w:lvl w:ilvl="3" w:tplc="E93C5F08" w:tentative="1">
      <w:start w:val="1"/>
      <w:numFmt w:val="bullet"/>
      <w:lvlText w:val=""/>
      <w:lvlJc w:val="left"/>
      <w:pPr>
        <w:ind w:left="2880" w:hanging="360"/>
      </w:pPr>
      <w:rPr>
        <w:rFonts w:ascii="Symbol" w:hAnsi="Symbol" w:hint="default"/>
      </w:rPr>
    </w:lvl>
    <w:lvl w:ilvl="4" w:tplc="2180A84A" w:tentative="1">
      <w:start w:val="1"/>
      <w:numFmt w:val="bullet"/>
      <w:lvlText w:val="o"/>
      <w:lvlJc w:val="left"/>
      <w:pPr>
        <w:ind w:left="3600" w:hanging="360"/>
      </w:pPr>
      <w:rPr>
        <w:rFonts w:ascii="Courier New" w:hAnsi="Courier New" w:hint="default"/>
      </w:rPr>
    </w:lvl>
    <w:lvl w:ilvl="5" w:tplc="ABE057D2" w:tentative="1">
      <w:start w:val="1"/>
      <w:numFmt w:val="bullet"/>
      <w:lvlText w:val=""/>
      <w:lvlJc w:val="left"/>
      <w:pPr>
        <w:ind w:left="4320" w:hanging="360"/>
      </w:pPr>
      <w:rPr>
        <w:rFonts w:ascii="Wingdings" w:hAnsi="Wingdings" w:hint="default"/>
      </w:rPr>
    </w:lvl>
    <w:lvl w:ilvl="6" w:tplc="AC98C744" w:tentative="1">
      <w:start w:val="1"/>
      <w:numFmt w:val="bullet"/>
      <w:lvlText w:val=""/>
      <w:lvlJc w:val="left"/>
      <w:pPr>
        <w:ind w:left="5040" w:hanging="360"/>
      </w:pPr>
      <w:rPr>
        <w:rFonts w:ascii="Symbol" w:hAnsi="Symbol" w:hint="default"/>
      </w:rPr>
    </w:lvl>
    <w:lvl w:ilvl="7" w:tplc="31FCF49A" w:tentative="1">
      <w:start w:val="1"/>
      <w:numFmt w:val="bullet"/>
      <w:lvlText w:val="o"/>
      <w:lvlJc w:val="left"/>
      <w:pPr>
        <w:ind w:left="5760" w:hanging="360"/>
      </w:pPr>
      <w:rPr>
        <w:rFonts w:ascii="Courier New" w:hAnsi="Courier New" w:hint="default"/>
      </w:rPr>
    </w:lvl>
    <w:lvl w:ilvl="8" w:tplc="5B4846F6" w:tentative="1">
      <w:start w:val="1"/>
      <w:numFmt w:val="bullet"/>
      <w:lvlText w:val=""/>
      <w:lvlJc w:val="left"/>
      <w:pPr>
        <w:ind w:left="6480" w:hanging="360"/>
      </w:pPr>
      <w:rPr>
        <w:rFonts w:ascii="Wingdings" w:hAnsi="Wingdings" w:hint="default"/>
      </w:rPr>
    </w:lvl>
  </w:abstractNum>
  <w:abstractNum w:abstractNumId="32" w15:restartNumberingAfterBreak="0">
    <w:nsid w:val="312D5244"/>
    <w:multiLevelType w:val="hybridMultilevel"/>
    <w:tmpl w:val="00E250B2"/>
    <w:lvl w:ilvl="0" w:tplc="32AE89D0">
      <w:start w:val="1"/>
      <w:numFmt w:val="bullet"/>
      <w:pStyle w:val="Das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24371DC"/>
    <w:multiLevelType w:val="multilevel"/>
    <w:tmpl w:val="C250FF0C"/>
    <w:lvl w:ilvl="0">
      <w:start w:val="1"/>
      <w:numFmt w:val="decimal"/>
      <w:pStyle w:val="Heading1"/>
      <w:lvlText w:val="Section %1"/>
      <w:lvlJc w:val="left"/>
      <w:pPr>
        <w:ind w:left="786" w:hanging="360"/>
      </w:pPr>
      <w:rPr>
        <w:rFonts w:hint="default"/>
      </w:rPr>
    </w:lvl>
    <w:lvl w:ilvl="1">
      <w:start w:val="1"/>
      <w:numFmt w:val="decimal"/>
      <w:pStyle w:val="Heading2"/>
      <w:lvlText w:val="%1.%2"/>
      <w:lvlJc w:val="left"/>
      <w:pPr>
        <w:ind w:left="720" w:hanging="360"/>
      </w:pPr>
      <w:rPr>
        <w:specVanish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64B23B1"/>
    <w:multiLevelType w:val="hybridMultilevel"/>
    <w:tmpl w:val="FF04F2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70B6998"/>
    <w:multiLevelType w:val="hybridMultilevel"/>
    <w:tmpl w:val="641CE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A50436B"/>
    <w:multiLevelType w:val="multilevel"/>
    <w:tmpl w:val="53F8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2A0FB4"/>
    <w:multiLevelType w:val="multilevel"/>
    <w:tmpl w:val="2722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F19554F"/>
    <w:multiLevelType w:val="multilevel"/>
    <w:tmpl w:val="095E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33F053B"/>
    <w:multiLevelType w:val="hybridMultilevel"/>
    <w:tmpl w:val="237C8FC8"/>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47095746"/>
    <w:multiLevelType w:val="hybridMultilevel"/>
    <w:tmpl w:val="938869E4"/>
    <w:lvl w:ilvl="0" w:tplc="A26EFB64">
      <w:start w:val="1"/>
      <w:numFmt w:val="bullet"/>
      <w:pStyle w:val="Instructionaltext-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47A245F9"/>
    <w:multiLevelType w:val="multilevel"/>
    <w:tmpl w:val="53E86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0713A4D"/>
    <w:multiLevelType w:val="multilevel"/>
    <w:tmpl w:val="B972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B533689"/>
    <w:multiLevelType w:val="hybridMultilevel"/>
    <w:tmpl w:val="C714C5EC"/>
    <w:lvl w:ilvl="0" w:tplc="99F6DD88">
      <w:start w:val="1"/>
      <w:numFmt w:val="bullet"/>
      <w:lvlText w:val=""/>
      <w:lvlJc w:val="left"/>
      <w:pPr>
        <w:ind w:left="720" w:hanging="360"/>
      </w:pPr>
      <w:rPr>
        <w:rFonts w:ascii="Symbol" w:hAnsi="Symbol"/>
      </w:rPr>
    </w:lvl>
    <w:lvl w:ilvl="1" w:tplc="3A728DCC">
      <w:start w:val="1"/>
      <w:numFmt w:val="bullet"/>
      <w:lvlText w:val=""/>
      <w:lvlJc w:val="left"/>
      <w:pPr>
        <w:ind w:left="720" w:hanging="360"/>
      </w:pPr>
      <w:rPr>
        <w:rFonts w:ascii="Symbol" w:hAnsi="Symbol"/>
      </w:rPr>
    </w:lvl>
    <w:lvl w:ilvl="2" w:tplc="73D6529A">
      <w:start w:val="1"/>
      <w:numFmt w:val="bullet"/>
      <w:lvlText w:val=""/>
      <w:lvlJc w:val="left"/>
      <w:pPr>
        <w:ind w:left="720" w:hanging="360"/>
      </w:pPr>
      <w:rPr>
        <w:rFonts w:ascii="Symbol" w:hAnsi="Symbol"/>
      </w:rPr>
    </w:lvl>
    <w:lvl w:ilvl="3" w:tplc="3386FF9A">
      <w:start w:val="1"/>
      <w:numFmt w:val="bullet"/>
      <w:lvlText w:val=""/>
      <w:lvlJc w:val="left"/>
      <w:pPr>
        <w:ind w:left="720" w:hanging="360"/>
      </w:pPr>
      <w:rPr>
        <w:rFonts w:ascii="Symbol" w:hAnsi="Symbol"/>
      </w:rPr>
    </w:lvl>
    <w:lvl w:ilvl="4" w:tplc="5A200F84">
      <w:start w:val="1"/>
      <w:numFmt w:val="bullet"/>
      <w:lvlText w:val=""/>
      <w:lvlJc w:val="left"/>
      <w:pPr>
        <w:ind w:left="720" w:hanging="360"/>
      </w:pPr>
      <w:rPr>
        <w:rFonts w:ascii="Symbol" w:hAnsi="Symbol"/>
      </w:rPr>
    </w:lvl>
    <w:lvl w:ilvl="5" w:tplc="B07E520A">
      <w:start w:val="1"/>
      <w:numFmt w:val="bullet"/>
      <w:lvlText w:val=""/>
      <w:lvlJc w:val="left"/>
      <w:pPr>
        <w:ind w:left="720" w:hanging="360"/>
      </w:pPr>
      <w:rPr>
        <w:rFonts w:ascii="Symbol" w:hAnsi="Symbol"/>
      </w:rPr>
    </w:lvl>
    <w:lvl w:ilvl="6" w:tplc="CB7CECBE">
      <w:start w:val="1"/>
      <w:numFmt w:val="bullet"/>
      <w:lvlText w:val=""/>
      <w:lvlJc w:val="left"/>
      <w:pPr>
        <w:ind w:left="720" w:hanging="360"/>
      </w:pPr>
      <w:rPr>
        <w:rFonts w:ascii="Symbol" w:hAnsi="Symbol"/>
      </w:rPr>
    </w:lvl>
    <w:lvl w:ilvl="7" w:tplc="B952F1B6">
      <w:start w:val="1"/>
      <w:numFmt w:val="bullet"/>
      <w:lvlText w:val=""/>
      <w:lvlJc w:val="left"/>
      <w:pPr>
        <w:ind w:left="720" w:hanging="360"/>
      </w:pPr>
      <w:rPr>
        <w:rFonts w:ascii="Symbol" w:hAnsi="Symbol"/>
      </w:rPr>
    </w:lvl>
    <w:lvl w:ilvl="8" w:tplc="73528848">
      <w:start w:val="1"/>
      <w:numFmt w:val="bullet"/>
      <w:lvlText w:val=""/>
      <w:lvlJc w:val="left"/>
      <w:pPr>
        <w:ind w:left="720" w:hanging="360"/>
      </w:pPr>
      <w:rPr>
        <w:rFonts w:ascii="Symbol" w:hAnsi="Symbol"/>
      </w:rPr>
    </w:lvl>
  </w:abstractNum>
  <w:abstractNum w:abstractNumId="44" w15:restartNumberingAfterBreak="0">
    <w:nsid w:val="5DB07B32"/>
    <w:multiLevelType w:val="hybridMultilevel"/>
    <w:tmpl w:val="905479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6866F67"/>
    <w:multiLevelType w:val="multilevel"/>
    <w:tmpl w:val="4366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69F2641"/>
    <w:multiLevelType w:val="hybridMultilevel"/>
    <w:tmpl w:val="A66C00B2"/>
    <w:lvl w:ilvl="0" w:tplc="F41EA8EC">
      <w:start w:val="1"/>
      <w:numFmt w:val="bullet"/>
      <w:lvlText w:val=""/>
      <w:lvlJc w:val="left"/>
      <w:pPr>
        <w:ind w:left="360" w:hanging="360"/>
      </w:pPr>
      <w:rPr>
        <w:rFonts w:ascii="Symbol" w:hAnsi="Symbol" w:hint="default"/>
        <w:b/>
        <w:bCs/>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841479E"/>
    <w:multiLevelType w:val="hybridMultilevel"/>
    <w:tmpl w:val="07A20AD4"/>
    <w:lvl w:ilvl="0" w:tplc="0C090015">
      <w:start w:val="1"/>
      <w:numFmt w:val="upp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88A5122"/>
    <w:multiLevelType w:val="multilevel"/>
    <w:tmpl w:val="73AC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2E26AD"/>
    <w:multiLevelType w:val="multilevel"/>
    <w:tmpl w:val="D102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806451"/>
    <w:multiLevelType w:val="hybridMultilevel"/>
    <w:tmpl w:val="82044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C321614"/>
    <w:multiLevelType w:val="multilevel"/>
    <w:tmpl w:val="8052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596BDC"/>
    <w:multiLevelType w:val="multilevel"/>
    <w:tmpl w:val="4EC8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DD54911"/>
    <w:multiLevelType w:val="multilevel"/>
    <w:tmpl w:val="9B7E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E3B12FB"/>
    <w:multiLevelType w:val="hybridMultilevel"/>
    <w:tmpl w:val="32067E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6FF728EA"/>
    <w:multiLevelType w:val="hybridMultilevel"/>
    <w:tmpl w:val="8B328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02C2209"/>
    <w:multiLevelType w:val="multilevel"/>
    <w:tmpl w:val="ED5E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20C7E90"/>
    <w:multiLevelType w:val="hybridMultilevel"/>
    <w:tmpl w:val="8FBA7A6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8" w15:restartNumberingAfterBreak="0">
    <w:nsid w:val="784D033C"/>
    <w:multiLevelType w:val="multilevel"/>
    <w:tmpl w:val="45FC285E"/>
    <w:lvl w:ilvl="0">
      <w:start w:val="1"/>
      <w:numFmt w:val="decimal"/>
      <w:pStyle w:val="2-SectionHeading"/>
      <w:lvlText w:val="%1"/>
      <w:lvlJc w:val="left"/>
      <w:pPr>
        <w:ind w:left="720" w:hanging="720"/>
      </w:pPr>
      <w:rPr>
        <w:rFonts w:hint="default"/>
        <w:b/>
      </w:rPr>
    </w:lvl>
    <w:lvl w:ilvl="1">
      <w:start w:val="1"/>
      <w:numFmt w:val="decimal"/>
      <w:pStyle w:val="3-BodyText"/>
      <w:lvlText w:val="%1.%2"/>
      <w:lvlJc w:val="left"/>
      <w:pPr>
        <w:ind w:left="720" w:hanging="720"/>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892598A"/>
    <w:multiLevelType w:val="multilevel"/>
    <w:tmpl w:val="AE88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8E81FDC"/>
    <w:multiLevelType w:val="hybridMultilevel"/>
    <w:tmpl w:val="D5C698E8"/>
    <w:lvl w:ilvl="0" w:tplc="A79EC4F8">
      <w:start w:val="1"/>
      <w:numFmt w:val="bullet"/>
      <w:pStyle w:val="BulletBeforeDash"/>
      <w:lvlText w:val="•"/>
      <w:lvlJc w:val="left"/>
      <w:pPr>
        <w:tabs>
          <w:tab w:val="num" w:pos="360"/>
        </w:tabs>
        <w:ind w:left="36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A821B9E"/>
    <w:multiLevelType w:val="hybridMultilevel"/>
    <w:tmpl w:val="719E3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EAC5039"/>
    <w:multiLevelType w:val="hybridMultilevel"/>
    <w:tmpl w:val="3E00D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181516"/>
    <w:multiLevelType w:val="hybridMultilevel"/>
    <w:tmpl w:val="FF9EE7EA"/>
    <w:lvl w:ilvl="0" w:tplc="99525AAE">
      <w:start w:val="1"/>
      <w:numFmt w:val="decimal"/>
      <w:pStyle w:val="Nnumberedlist"/>
      <w:lvlText w:val="%1."/>
      <w:lvlJc w:val="left"/>
      <w:pPr>
        <w:tabs>
          <w:tab w:val="num" w:pos="1440"/>
        </w:tabs>
        <w:ind w:left="1440" w:hanging="360"/>
      </w:pPr>
    </w:lvl>
    <w:lvl w:ilvl="1" w:tplc="389C2200" w:tentative="1">
      <w:start w:val="1"/>
      <w:numFmt w:val="lowerLetter"/>
      <w:lvlText w:val="%2."/>
      <w:lvlJc w:val="left"/>
      <w:pPr>
        <w:tabs>
          <w:tab w:val="num" w:pos="2160"/>
        </w:tabs>
        <w:ind w:left="2160" w:hanging="360"/>
      </w:pPr>
    </w:lvl>
    <w:lvl w:ilvl="2" w:tplc="C3F8B188" w:tentative="1">
      <w:start w:val="1"/>
      <w:numFmt w:val="lowerRoman"/>
      <w:lvlText w:val="%3."/>
      <w:lvlJc w:val="right"/>
      <w:pPr>
        <w:tabs>
          <w:tab w:val="num" w:pos="2880"/>
        </w:tabs>
        <w:ind w:left="2880" w:hanging="180"/>
      </w:pPr>
    </w:lvl>
    <w:lvl w:ilvl="3" w:tplc="391E97F0" w:tentative="1">
      <w:start w:val="1"/>
      <w:numFmt w:val="decimal"/>
      <w:lvlText w:val="%4."/>
      <w:lvlJc w:val="left"/>
      <w:pPr>
        <w:tabs>
          <w:tab w:val="num" w:pos="3600"/>
        </w:tabs>
        <w:ind w:left="3600" w:hanging="360"/>
      </w:pPr>
    </w:lvl>
    <w:lvl w:ilvl="4" w:tplc="4F42265E" w:tentative="1">
      <w:start w:val="1"/>
      <w:numFmt w:val="lowerLetter"/>
      <w:lvlText w:val="%5."/>
      <w:lvlJc w:val="left"/>
      <w:pPr>
        <w:tabs>
          <w:tab w:val="num" w:pos="4320"/>
        </w:tabs>
        <w:ind w:left="4320" w:hanging="360"/>
      </w:pPr>
    </w:lvl>
    <w:lvl w:ilvl="5" w:tplc="30546058" w:tentative="1">
      <w:start w:val="1"/>
      <w:numFmt w:val="lowerRoman"/>
      <w:lvlText w:val="%6."/>
      <w:lvlJc w:val="right"/>
      <w:pPr>
        <w:tabs>
          <w:tab w:val="num" w:pos="5040"/>
        </w:tabs>
        <w:ind w:left="5040" w:hanging="180"/>
      </w:pPr>
    </w:lvl>
    <w:lvl w:ilvl="6" w:tplc="6E10F0C6" w:tentative="1">
      <w:start w:val="1"/>
      <w:numFmt w:val="decimal"/>
      <w:lvlText w:val="%7."/>
      <w:lvlJc w:val="left"/>
      <w:pPr>
        <w:tabs>
          <w:tab w:val="num" w:pos="5760"/>
        </w:tabs>
        <w:ind w:left="5760" w:hanging="360"/>
      </w:pPr>
    </w:lvl>
    <w:lvl w:ilvl="7" w:tplc="70B07B9C" w:tentative="1">
      <w:start w:val="1"/>
      <w:numFmt w:val="lowerLetter"/>
      <w:lvlText w:val="%8."/>
      <w:lvlJc w:val="left"/>
      <w:pPr>
        <w:tabs>
          <w:tab w:val="num" w:pos="6480"/>
        </w:tabs>
        <w:ind w:left="6480" w:hanging="360"/>
      </w:pPr>
    </w:lvl>
    <w:lvl w:ilvl="8" w:tplc="9BF48AAC" w:tentative="1">
      <w:start w:val="1"/>
      <w:numFmt w:val="lowerRoman"/>
      <w:lvlText w:val="%9."/>
      <w:lvlJc w:val="right"/>
      <w:pPr>
        <w:tabs>
          <w:tab w:val="num" w:pos="7200"/>
        </w:tabs>
        <w:ind w:left="7200" w:hanging="180"/>
      </w:pPr>
    </w:lvl>
  </w:abstractNum>
  <w:abstractNum w:abstractNumId="64" w15:restartNumberingAfterBreak="0">
    <w:nsid w:val="7FC443A5"/>
    <w:multiLevelType w:val="multilevel"/>
    <w:tmpl w:val="AB2A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0162788">
    <w:abstractNumId w:val="63"/>
  </w:num>
  <w:num w:numId="2" w16cid:durableId="1754930659">
    <w:abstractNumId w:val="12"/>
  </w:num>
  <w:num w:numId="3" w16cid:durableId="410388863">
    <w:abstractNumId w:val="24"/>
  </w:num>
  <w:num w:numId="4" w16cid:durableId="1821774551">
    <w:abstractNumId w:val="58"/>
  </w:num>
  <w:num w:numId="5" w16cid:durableId="758334604">
    <w:abstractNumId w:val="26"/>
  </w:num>
  <w:num w:numId="6" w16cid:durableId="1414619933">
    <w:abstractNumId w:val="30"/>
  </w:num>
  <w:num w:numId="7" w16cid:durableId="747844684">
    <w:abstractNumId w:val="32"/>
  </w:num>
  <w:num w:numId="8" w16cid:durableId="1180662619">
    <w:abstractNumId w:val="40"/>
  </w:num>
  <w:num w:numId="9" w16cid:durableId="2077386818">
    <w:abstractNumId w:val="46"/>
  </w:num>
  <w:num w:numId="10" w16cid:durableId="1501583229">
    <w:abstractNumId w:val="39"/>
  </w:num>
  <w:num w:numId="11" w16cid:durableId="1211261869">
    <w:abstractNumId w:val="31"/>
  </w:num>
  <w:num w:numId="12" w16cid:durableId="853302785">
    <w:abstractNumId w:val="11"/>
  </w:num>
  <w:num w:numId="13" w16cid:durableId="562377363">
    <w:abstractNumId w:val="50"/>
  </w:num>
  <w:num w:numId="14" w16cid:durableId="1663200642">
    <w:abstractNumId w:val="29"/>
  </w:num>
  <w:num w:numId="15" w16cid:durableId="538589514">
    <w:abstractNumId w:val="7"/>
  </w:num>
  <w:num w:numId="16" w16cid:durableId="431166526">
    <w:abstractNumId w:val="44"/>
  </w:num>
  <w:num w:numId="17" w16cid:durableId="1813252608">
    <w:abstractNumId w:val="57"/>
  </w:num>
  <w:num w:numId="18" w16cid:durableId="1980378615">
    <w:abstractNumId w:val="62"/>
  </w:num>
  <w:num w:numId="19" w16cid:durableId="939482985">
    <w:abstractNumId w:val="61"/>
  </w:num>
  <w:num w:numId="20" w16cid:durableId="479538686">
    <w:abstractNumId w:val="35"/>
  </w:num>
  <w:num w:numId="21" w16cid:durableId="214970238">
    <w:abstractNumId w:val="33"/>
  </w:num>
  <w:num w:numId="22" w16cid:durableId="1095906697">
    <w:abstractNumId w:val="6"/>
  </w:num>
  <w:num w:numId="23" w16cid:durableId="749735157">
    <w:abstractNumId w:val="16"/>
  </w:num>
  <w:num w:numId="24" w16cid:durableId="1381634135">
    <w:abstractNumId w:val="9"/>
  </w:num>
  <w:num w:numId="25" w16cid:durableId="445580241">
    <w:abstractNumId w:val="28"/>
  </w:num>
  <w:num w:numId="26" w16cid:durableId="969440521">
    <w:abstractNumId w:val="47"/>
  </w:num>
  <w:num w:numId="27" w16cid:durableId="203565572">
    <w:abstractNumId w:val="54"/>
  </w:num>
  <w:num w:numId="28" w16cid:durableId="1024867986">
    <w:abstractNumId w:val="19"/>
  </w:num>
  <w:num w:numId="29" w16cid:durableId="1629700016">
    <w:abstractNumId w:val="4"/>
  </w:num>
  <w:num w:numId="30" w16cid:durableId="548346737">
    <w:abstractNumId w:val="34"/>
  </w:num>
  <w:num w:numId="31" w16cid:durableId="1458139605">
    <w:abstractNumId w:val="17"/>
  </w:num>
  <w:num w:numId="32" w16cid:durableId="2113435492">
    <w:abstractNumId w:val="2"/>
  </w:num>
  <w:num w:numId="33" w16cid:durableId="865945619">
    <w:abstractNumId w:val="48"/>
  </w:num>
  <w:num w:numId="34" w16cid:durableId="1451166672">
    <w:abstractNumId w:val="37"/>
  </w:num>
  <w:num w:numId="35" w16cid:durableId="407656638">
    <w:abstractNumId w:val="51"/>
  </w:num>
  <w:num w:numId="36" w16cid:durableId="1853377977">
    <w:abstractNumId w:val="27"/>
  </w:num>
  <w:num w:numId="37" w16cid:durableId="1631322794">
    <w:abstractNumId w:val="0"/>
  </w:num>
  <w:num w:numId="38" w16cid:durableId="1514996701">
    <w:abstractNumId w:val="56"/>
  </w:num>
  <w:num w:numId="39" w16cid:durableId="1234925426">
    <w:abstractNumId w:val="53"/>
  </w:num>
  <w:num w:numId="40" w16cid:durableId="1769160098">
    <w:abstractNumId w:val="13"/>
  </w:num>
  <w:num w:numId="41" w16cid:durableId="1597981046">
    <w:abstractNumId w:val="23"/>
  </w:num>
  <w:num w:numId="42" w16cid:durableId="453597646">
    <w:abstractNumId w:val="21"/>
  </w:num>
  <w:num w:numId="43" w16cid:durableId="1292251291">
    <w:abstractNumId w:val="1"/>
  </w:num>
  <w:num w:numId="44" w16cid:durableId="1693529477">
    <w:abstractNumId w:val="52"/>
  </w:num>
  <w:num w:numId="45" w16cid:durableId="1557355827">
    <w:abstractNumId w:val="45"/>
  </w:num>
  <w:num w:numId="46" w16cid:durableId="1422215232">
    <w:abstractNumId w:val="36"/>
  </w:num>
  <w:num w:numId="47" w16cid:durableId="1112285711">
    <w:abstractNumId w:val="8"/>
  </w:num>
  <w:num w:numId="48" w16cid:durableId="1455056517">
    <w:abstractNumId w:val="41"/>
  </w:num>
  <w:num w:numId="49" w16cid:durableId="268926609">
    <w:abstractNumId w:val="38"/>
  </w:num>
  <w:num w:numId="50" w16cid:durableId="2068145025">
    <w:abstractNumId w:val="42"/>
  </w:num>
  <w:num w:numId="51" w16cid:durableId="1030492590">
    <w:abstractNumId w:val="20"/>
  </w:num>
  <w:num w:numId="52" w16cid:durableId="1886486069">
    <w:abstractNumId w:val="64"/>
  </w:num>
  <w:num w:numId="53" w16cid:durableId="1862937171">
    <w:abstractNumId w:val="3"/>
  </w:num>
  <w:num w:numId="54" w16cid:durableId="1091510831">
    <w:abstractNumId w:val="59"/>
  </w:num>
  <w:num w:numId="55" w16cid:durableId="1541164847">
    <w:abstractNumId w:val="18"/>
  </w:num>
  <w:num w:numId="56" w16cid:durableId="1768692093">
    <w:abstractNumId w:val="10"/>
  </w:num>
  <w:num w:numId="57" w16cid:durableId="924145643">
    <w:abstractNumId w:val="5"/>
  </w:num>
  <w:num w:numId="58" w16cid:durableId="607347724">
    <w:abstractNumId w:val="14"/>
  </w:num>
  <w:num w:numId="59" w16cid:durableId="1432046830">
    <w:abstractNumId w:val="49"/>
  </w:num>
  <w:num w:numId="60" w16cid:durableId="1904682246">
    <w:abstractNumId w:val="22"/>
  </w:num>
  <w:num w:numId="61" w16cid:durableId="814759832">
    <w:abstractNumId w:val="60"/>
  </w:num>
  <w:num w:numId="62" w16cid:durableId="1625189476">
    <w:abstractNumId w:val="15"/>
  </w:num>
  <w:num w:numId="63" w16cid:durableId="1076324945">
    <w:abstractNumId w:val="55"/>
  </w:num>
  <w:num w:numId="64" w16cid:durableId="118186047">
    <w:abstractNumId w:val="25"/>
  </w:num>
  <w:num w:numId="65" w16cid:durableId="1855920775">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7F1"/>
    <w:rsid w:val="000001DB"/>
    <w:rsid w:val="000004A7"/>
    <w:rsid w:val="000006A0"/>
    <w:rsid w:val="00000810"/>
    <w:rsid w:val="00000837"/>
    <w:rsid w:val="00000B60"/>
    <w:rsid w:val="00000CAB"/>
    <w:rsid w:val="00000D95"/>
    <w:rsid w:val="00000E13"/>
    <w:rsid w:val="00000E40"/>
    <w:rsid w:val="00000EFC"/>
    <w:rsid w:val="00000F52"/>
    <w:rsid w:val="00000F74"/>
    <w:rsid w:val="0000109A"/>
    <w:rsid w:val="000010C6"/>
    <w:rsid w:val="000010CE"/>
    <w:rsid w:val="00001177"/>
    <w:rsid w:val="00001210"/>
    <w:rsid w:val="0000131D"/>
    <w:rsid w:val="0000142A"/>
    <w:rsid w:val="00001436"/>
    <w:rsid w:val="0000145A"/>
    <w:rsid w:val="0000164B"/>
    <w:rsid w:val="000016B4"/>
    <w:rsid w:val="000016C1"/>
    <w:rsid w:val="0000179E"/>
    <w:rsid w:val="000017BE"/>
    <w:rsid w:val="00001839"/>
    <w:rsid w:val="00001885"/>
    <w:rsid w:val="0000195D"/>
    <w:rsid w:val="00001AE6"/>
    <w:rsid w:val="00001BB4"/>
    <w:rsid w:val="00001C30"/>
    <w:rsid w:val="00001C89"/>
    <w:rsid w:val="00001D55"/>
    <w:rsid w:val="00001E1F"/>
    <w:rsid w:val="0000213A"/>
    <w:rsid w:val="00002308"/>
    <w:rsid w:val="000023BD"/>
    <w:rsid w:val="000023CC"/>
    <w:rsid w:val="0000261D"/>
    <w:rsid w:val="0000262A"/>
    <w:rsid w:val="000026BA"/>
    <w:rsid w:val="00002973"/>
    <w:rsid w:val="000029A7"/>
    <w:rsid w:val="00002A21"/>
    <w:rsid w:val="00002AAE"/>
    <w:rsid w:val="00002B32"/>
    <w:rsid w:val="00002B98"/>
    <w:rsid w:val="00002C6C"/>
    <w:rsid w:val="00002D36"/>
    <w:rsid w:val="00002E0C"/>
    <w:rsid w:val="00002F13"/>
    <w:rsid w:val="00003031"/>
    <w:rsid w:val="0000323C"/>
    <w:rsid w:val="0000327D"/>
    <w:rsid w:val="00003316"/>
    <w:rsid w:val="00003349"/>
    <w:rsid w:val="0000335F"/>
    <w:rsid w:val="0000352D"/>
    <w:rsid w:val="00003545"/>
    <w:rsid w:val="000035A3"/>
    <w:rsid w:val="000035E3"/>
    <w:rsid w:val="0000391D"/>
    <w:rsid w:val="00003A88"/>
    <w:rsid w:val="00003AD8"/>
    <w:rsid w:val="00003B1F"/>
    <w:rsid w:val="00003C02"/>
    <w:rsid w:val="00003D55"/>
    <w:rsid w:val="00003F01"/>
    <w:rsid w:val="000041A4"/>
    <w:rsid w:val="000042D9"/>
    <w:rsid w:val="000042DD"/>
    <w:rsid w:val="000045B3"/>
    <w:rsid w:val="0000466F"/>
    <w:rsid w:val="00004751"/>
    <w:rsid w:val="0000491D"/>
    <w:rsid w:val="000049ED"/>
    <w:rsid w:val="00004A8B"/>
    <w:rsid w:val="00004AEC"/>
    <w:rsid w:val="00004B6B"/>
    <w:rsid w:val="00004B7F"/>
    <w:rsid w:val="00004BD3"/>
    <w:rsid w:val="00004C0F"/>
    <w:rsid w:val="00004C87"/>
    <w:rsid w:val="00004CFD"/>
    <w:rsid w:val="00004D69"/>
    <w:rsid w:val="00004DA5"/>
    <w:rsid w:val="00004DA9"/>
    <w:rsid w:val="00004EB7"/>
    <w:rsid w:val="00004F7F"/>
    <w:rsid w:val="00004FE3"/>
    <w:rsid w:val="0000507F"/>
    <w:rsid w:val="000050D8"/>
    <w:rsid w:val="00005249"/>
    <w:rsid w:val="00005260"/>
    <w:rsid w:val="000052C0"/>
    <w:rsid w:val="0000540F"/>
    <w:rsid w:val="000054C9"/>
    <w:rsid w:val="00005538"/>
    <w:rsid w:val="000055BE"/>
    <w:rsid w:val="000056E7"/>
    <w:rsid w:val="00005711"/>
    <w:rsid w:val="000058C4"/>
    <w:rsid w:val="00005C7E"/>
    <w:rsid w:val="00005CD2"/>
    <w:rsid w:val="00005D44"/>
    <w:rsid w:val="00005F0C"/>
    <w:rsid w:val="0000621B"/>
    <w:rsid w:val="000062B9"/>
    <w:rsid w:val="000062C0"/>
    <w:rsid w:val="00006374"/>
    <w:rsid w:val="00006375"/>
    <w:rsid w:val="000063EE"/>
    <w:rsid w:val="00006528"/>
    <w:rsid w:val="0000652B"/>
    <w:rsid w:val="0000656F"/>
    <w:rsid w:val="000065E5"/>
    <w:rsid w:val="0000694F"/>
    <w:rsid w:val="000069A3"/>
    <w:rsid w:val="00006A57"/>
    <w:rsid w:val="00006AFC"/>
    <w:rsid w:val="00006B3F"/>
    <w:rsid w:val="00006BFC"/>
    <w:rsid w:val="00006C74"/>
    <w:rsid w:val="00006CCE"/>
    <w:rsid w:val="00006D5F"/>
    <w:rsid w:val="00006D81"/>
    <w:rsid w:val="00006DF8"/>
    <w:rsid w:val="00006DFD"/>
    <w:rsid w:val="00006E50"/>
    <w:rsid w:val="00006ED8"/>
    <w:rsid w:val="00006F27"/>
    <w:rsid w:val="00006FBE"/>
    <w:rsid w:val="00006FC8"/>
    <w:rsid w:val="00006FCF"/>
    <w:rsid w:val="00006FED"/>
    <w:rsid w:val="00007001"/>
    <w:rsid w:val="000070F3"/>
    <w:rsid w:val="0000714A"/>
    <w:rsid w:val="00007198"/>
    <w:rsid w:val="00007211"/>
    <w:rsid w:val="0000724C"/>
    <w:rsid w:val="00007450"/>
    <w:rsid w:val="000074F1"/>
    <w:rsid w:val="00007826"/>
    <w:rsid w:val="000078DC"/>
    <w:rsid w:val="000079B1"/>
    <w:rsid w:val="00007A21"/>
    <w:rsid w:val="00007B15"/>
    <w:rsid w:val="00007C43"/>
    <w:rsid w:val="00007DA7"/>
    <w:rsid w:val="00007E80"/>
    <w:rsid w:val="00010011"/>
    <w:rsid w:val="00010023"/>
    <w:rsid w:val="000100DC"/>
    <w:rsid w:val="00010136"/>
    <w:rsid w:val="000101BD"/>
    <w:rsid w:val="000101E8"/>
    <w:rsid w:val="000102B8"/>
    <w:rsid w:val="00010332"/>
    <w:rsid w:val="00010350"/>
    <w:rsid w:val="000103E5"/>
    <w:rsid w:val="00010558"/>
    <w:rsid w:val="000106EC"/>
    <w:rsid w:val="0001072D"/>
    <w:rsid w:val="00010A60"/>
    <w:rsid w:val="00010B61"/>
    <w:rsid w:val="00010C9B"/>
    <w:rsid w:val="00010DDB"/>
    <w:rsid w:val="00010F50"/>
    <w:rsid w:val="00011067"/>
    <w:rsid w:val="000110A0"/>
    <w:rsid w:val="000110F7"/>
    <w:rsid w:val="0001117B"/>
    <w:rsid w:val="00011185"/>
    <w:rsid w:val="00011264"/>
    <w:rsid w:val="000112BE"/>
    <w:rsid w:val="00011364"/>
    <w:rsid w:val="0001139D"/>
    <w:rsid w:val="000113ED"/>
    <w:rsid w:val="0001141D"/>
    <w:rsid w:val="000114C1"/>
    <w:rsid w:val="000114EE"/>
    <w:rsid w:val="00011568"/>
    <w:rsid w:val="0001156E"/>
    <w:rsid w:val="0001187E"/>
    <w:rsid w:val="00011992"/>
    <w:rsid w:val="00011A72"/>
    <w:rsid w:val="00011B6B"/>
    <w:rsid w:val="00011C82"/>
    <w:rsid w:val="00011ED4"/>
    <w:rsid w:val="00012205"/>
    <w:rsid w:val="0001229A"/>
    <w:rsid w:val="0001231A"/>
    <w:rsid w:val="00012327"/>
    <w:rsid w:val="0001241E"/>
    <w:rsid w:val="00012494"/>
    <w:rsid w:val="000125CB"/>
    <w:rsid w:val="00012754"/>
    <w:rsid w:val="000129B2"/>
    <w:rsid w:val="00012B59"/>
    <w:rsid w:val="00012C15"/>
    <w:rsid w:val="00012D17"/>
    <w:rsid w:val="00012E4A"/>
    <w:rsid w:val="0001305D"/>
    <w:rsid w:val="00013115"/>
    <w:rsid w:val="00013574"/>
    <w:rsid w:val="000135A1"/>
    <w:rsid w:val="00013670"/>
    <w:rsid w:val="0001373A"/>
    <w:rsid w:val="000137B7"/>
    <w:rsid w:val="000137CC"/>
    <w:rsid w:val="000138C2"/>
    <w:rsid w:val="000138EC"/>
    <w:rsid w:val="00013A0F"/>
    <w:rsid w:val="00013A71"/>
    <w:rsid w:val="00013C35"/>
    <w:rsid w:val="00013D0A"/>
    <w:rsid w:val="00013DF6"/>
    <w:rsid w:val="00014010"/>
    <w:rsid w:val="0001418C"/>
    <w:rsid w:val="000141DD"/>
    <w:rsid w:val="00014239"/>
    <w:rsid w:val="00014301"/>
    <w:rsid w:val="000143CC"/>
    <w:rsid w:val="000144FD"/>
    <w:rsid w:val="000144FE"/>
    <w:rsid w:val="00014661"/>
    <w:rsid w:val="000146FD"/>
    <w:rsid w:val="0001483C"/>
    <w:rsid w:val="000148C4"/>
    <w:rsid w:val="00014974"/>
    <w:rsid w:val="00014A6B"/>
    <w:rsid w:val="00014AE9"/>
    <w:rsid w:val="00014CC0"/>
    <w:rsid w:val="00014D31"/>
    <w:rsid w:val="00014D48"/>
    <w:rsid w:val="00014E6A"/>
    <w:rsid w:val="0001504D"/>
    <w:rsid w:val="00015483"/>
    <w:rsid w:val="0001556C"/>
    <w:rsid w:val="000156C4"/>
    <w:rsid w:val="00015768"/>
    <w:rsid w:val="000157C5"/>
    <w:rsid w:val="00015858"/>
    <w:rsid w:val="00015931"/>
    <w:rsid w:val="000159AE"/>
    <w:rsid w:val="00015A66"/>
    <w:rsid w:val="00015D15"/>
    <w:rsid w:val="00015D3E"/>
    <w:rsid w:val="00015F6B"/>
    <w:rsid w:val="00016110"/>
    <w:rsid w:val="00016215"/>
    <w:rsid w:val="00016231"/>
    <w:rsid w:val="000165D6"/>
    <w:rsid w:val="000166A6"/>
    <w:rsid w:val="000166CE"/>
    <w:rsid w:val="00016933"/>
    <w:rsid w:val="000169E8"/>
    <w:rsid w:val="00016A8B"/>
    <w:rsid w:val="00016B4C"/>
    <w:rsid w:val="00016B91"/>
    <w:rsid w:val="00016C67"/>
    <w:rsid w:val="00016CF1"/>
    <w:rsid w:val="00016E16"/>
    <w:rsid w:val="000170B4"/>
    <w:rsid w:val="0001712E"/>
    <w:rsid w:val="000174F0"/>
    <w:rsid w:val="0001758B"/>
    <w:rsid w:val="0001759D"/>
    <w:rsid w:val="000177AC"/>
    <w:rsid w:val="000178F8"/>
    <w:rsid w:val="00017953"/>
    <w:rsid w:val="00017A4F"/>
    <w:rsid w:val="00017AF6"/>
    <w:rsid w:val="00017C1A"/>
    <w:rsid w:val="00017C85"/>
    <w:rsid w:val="00017CF3"/>
    <w:rsid w:val="00017D69"/>
    <w:rsid w:val="00017DB1"/>
    <w:rsid w:val="0002013D"/>
    <w:rsid w:val="0002027A"/>
    <w:rsid w:val="000203A4"/>
    <w:rsid w:val="0002041D"/>
    <w:rsid w:val="000204D9"/>
    <w:rsid w:val="00020578"/>
    <w:rsid w:val="000205D7"/>
    <w:rsid w:val="0002066A"/>
    <w:rsid w:val="00020727"/>
    <w:rsid w:val="000207D9"/>
    <w:rsid w:val="00020912"/>
    <w:rsid w:val="000209C4"/>
    <w:rsid w:val="00020A2E"/>
    <w:rsid w:val="00020B35"/>
    <w:rsid w:val="00020BB8"/>
    <w:rsid w:val="00020D03"/>
    <w:rsid w:val="00020D4F"/>
    <w:rsid w:val="00020D7D"/>
    <w:rsid w:val="00020D95"/>
    <w:rsid w:val="00020DA0"/>
    <w:rsid w:val="00020DD8"/>
    <w:rsid w:val="00020F0D"/>
    <w:rsid w:val="00020F93"/>
    <w:rsid w:val="0002115A"/>
    <w:rsid w:val="00021202"/>
    <w:rsid w:val="00021314"/>
    <w:rsid w:val="0002136A"/>
    <w:rsid w:val="00021389"/>
    <w:rsid w:val="00021456"/>
    <w:rsid w:val="00021843"/>
    <w:rsid w:val="000219EE"/>
    <w:rsid w:val="00021B20"/>
    <w:rsid w:val="00021B47"/>
    <w:rsid w:val="00021D0F"/>
    <w:rsid w:val="00021D41"/>
    <w:rsid w:val="00021D94"/>
    <w:rsid w:val="00021DB8"/>
    <w:rsid w:val="00021E1E"/>
    <w:rsid w:val="00021EC3"/>
    <w:rsid w:val="00022056"/>
    <w:rsid w:val="000224DF"/>
    <w:rsid w:val="00022507"/>
    <w:rsid w:val="00022574"/>
    <w:rsid w:val="00022625"/>
    <w:rsid w:val="00022791"/>
    <w:rsid w:val="000228B8"/>
    <w:rsid w:val="0002291D"/>
    <w:rsid w:val="00022927"/>
    <w:rsid w:val="00022B1D"/>
    <w:rsid w:val="00022BF9"/>
    <w:rsid w:val="00022C21"/>
    <w:rsid w:val="00022D04"/>
    <w:rsid w:val="00022EA1"/>
    <w:rsid w:val="000230BA"/>
    <w:rsid w:val="00023104"/>
    <w:rsid w:val="0002319D"/>
    <w:rsid w:val="000232E6"/>
    <w:rsid w:val="00023487"/>
    <w:rsid w:val="000234DC"/>
    <w:rsid w:val="000234F8"/>
    <w:rsid w:val="0002375A"/>
    <w:rsid w:val="000237DE"/>
    <w:rsid w:val="0002381B"/>
    <w:rsid w:val="000238DA"/>
    <w:rsid w:val="000239E5"/>
    <w:rsid w:val="00023C15"/>
    <w:rsid w:val="00023CC3"/>
    <w:rsid w:val="00023D2A"/>
    <w:rsid w:val="00023E06"/>
    <w:rsid w:val="00023EDD"/>
    <w:rsid w:val="0002433A"/>
    <w:rsid w:val="000244D4"/>
    <w:rsid w:val="000246BB"/>
    <w:rsid w:val="000247C3"/>
    <w:rsid w:val="00024805"/>
    <w:rsid w:val="00024924"/>
    <w:rsid w:val="0002492B"/>
    <w:rsid w:val="00024B21"/>
    <w:rsid w:val="00024B8A"/>
    <w:rsid w:val="00024BB2"/>
    <w:rsid w:val="00024C3B"/>
    <w:rsid w:val="00024CE2"/>
    <w:rsid w:val="00024EA5"/>
    <w:rsid w:val="00024F1B"/>
    <w:rsid w:val="00025278"/>
    <w:rsid w:val="00025398"/>
    <w:rsid w:val="000253E7"/>
    <w:rsid w:val="000254B8"/>
    <w:rsid w:val="00025528"/>
    <w:rsid w:val="000255DD"/>
    <w:rsid w:val="000256D5"/>
    <w:rsid w:val="00025713"/>
    <w:rsid w:val="00025792"/>
    <w:rsid w:val="00025794"/>
    <w:rsid w:val="00025823"/>
    <w:rsid w:val="00025848"/>
    <w:rsid w:val="0002586F"/>
    <w:rsid w:val="0002591B"/>
    <w:rsid w:val="0002599B"/>
    <w:rsid w:val="000259AB"/>
    <w:rsid w:val="00025A87"/>
    <w:rsid w:val="00025E48"/>
    <w:rsid w:val="00025E60"/>
    <w:rsid w:val="00025F9D"/>
    <w:rsid w:val="0002610D"/>
    <w:rsid w:val="00026169"/>
    <w:rsid w:val="0002618D"/>
    <w:rsid w:val="0002633C"/>
    <w:rsid w:val="00026461"/>
    <w:rsid w:val="00026489"/>
    <w:rsid w:val="000264A8"/>
    <w:rsid w:val="00026631"/>
    <w:rsid w:val="00026753"/>
    <w:rsid w:val="00026791"/>
    <w:rsid w:val="00026815"/>
    <w:rsid w:val="00026883"/>
    <w:rsid w:val="00026A86"/>
    <w:rsid w:val="00026A8A"/>
    <w:rsid w:val="00026A8E"/>
    <w:rsid w:val="00026AE3"/>
    <w:rsid w:val="00026D1F"/>
    <w:rsid w:val="00026D2C"/>
    <w:rsid w:val="00026DD3"/>
    <w:rsid w:val="00026EC0"/>
    <w:rsid w:val="00026F0E"/>
    <w:rsid w:val="00026FAF"/>
    <w:rsid w:val="0002701C"/>
    <w:rsid w:val="000270B9"/>
    <w:rsid w:val="000270DD"/>
    <w:rsid w:val="000272F0"/>
    <w:rsid w:val="0002755F"/>
    <w:rsid w:val="0002757B"/>
    <w:rsid w:val="000277DB"/>
    <w:rsid w:val="0002783E"/>
    <w:rsid w:val="0002791E"/>
    <w:rsid w:val="000279C5"/>
    <w:rsid w:val="00027BD6"/>
    <w:rsid w:val="00030037"/>
    <w:rsid w:val="00030059"/>
    <w:rsid w:val="00030105"/>
    <w:rsid w:val="000301AD"/>
    <w:rsid w:val="00030381"/>
    <w:rsid w:val="000304CC"/>
    <w:rsid w:val="000304F4"/>
    <w:rsid w:val="00030601"/>
    <w:rsid w:val="000306B7"/>
    <w:rsid w:val="000307C1"/>
    <w:rsid w:val="000307EC"/>
    <w:rsid w:val="0003089C"/>
    <w:rsid w:val="000309B7"/>
    <w:rsid w:val="00030AE1"/>
    <w:rsid w:val="00030B99"/>
    <w:rsid w:val="00030F6D"/>
    <w:rsid w:val="00030FE3"/>
    <w:rsid w:val="000310D5"/>
    <w:rsid w:val="000311A2"/>
    <w:rsid w:val="0003120A"/>
    <w:rsid w:val="0003123B"/>
    <w:rsid w:val="00031282"/>
    <w:rsid w:val="00031439"/>
    <w:rsid w:val="0003147B"/>
    <w:rsid w:val="00031482"/>
    <w:rsid w:val="0003166B"/>
    <w:rsid w:val="00031820"/>
    <w:rsid w:val="000318D2"/>
    <w:rsid w:val="00031939"/>
    <w:rsid w:val="000319CA"/>
    <w:rsid w:val="00031A78"/>
    <w:rsid w:val="00031AB1"/>
    <w:rsid w:val="00031AD7"/>
    <w:rsid w:val="00031B34"/>
    <w:rsid w:val="00031B5B"/>
    <w:rsid w:val="00031C05"/>
    <w:rsid w:val="00031DB6"/>
    <w:rsid w:val="00031F24"/>
    <w:rsid w:val="0003211D"/>
    <w:rsid w:val="00032242"/>
    <w:rsid w:val="0003226E"/>
    <w:rsid w:val="000322D0"/>
    <w:rsid w:val="00032313"/>
    <w:rsid w:val="00032396"/>
    <w:rsid w:val="00032586"/>
    <w:rsid w:val="00032587"/>
    <w:rsid w:val="000327F1"/>
    <w:rsid w:val="0003292F"/>
    <w:rsid w:val="00032B21"/>
    <w:rsid w:val="00032BA5"/>
    <w:rsid w:val="00032BDF"/>
    <w:rsid w:val="00032BE7"/>
    <w:rsid w:val="00032E63"/>
    <w:rsid w:val="00032F8A"/>
    <w:rsid w:val="00033013"/>
    <w:rsid w:val="00033076"/>
    <w:rsid w:val="00033090"/>
    <w:rsid w:val="00033192"/>
    <w:rsid w:val="00033209"/>
    <w:rsid w:val="000332BD"/>
    <w:rsid w:val="00033355"/>
    <w:rsid w:val="00033559"/>
    <w:rsid w:val="0003359A"/>
    <w:rsid w:val="00033638"/>
    <w:rsid w:val="00033692"/>
    <w:rsid w:val="000336FE"/>
    <w:rsid w:val="00033861"/>
    <w:rsid w:val="000338A9"/>
    <w:rsid w:val="0003396D"/>
    <w:rsid w:val="000339A2"/>
    <w:rsid w:val="00033A18"/>
    <w:rsid w:val="00033A24"/>
    <w:rsid w:val="00033C61"/>
    <w:rsid w:val="00033DE6"/>
    <w:rsid w:val="00033E30"/>
    <w:rsid w:val="00033F8D"/>
    <w:rsid w:val="00033FC3"/>
    <w:rsid w:val="00033FD0"/>
    <w:rsid w:val="000340DA"/>
    <w:rsid w:val="000341D5"/>
    <w:rsid w:val="0003423A"/>
    <w:rsid w:val="000342B2"/>
    <w:rsid w:val="00034561"/>
    <w:rsid w:val="00034634"/>
    <w:rsid w:val="00034764"/>
    <w:rsid w:val="0003477F"/>
    <w:rsid w:val="000347A9"/>
    <w:rsid w:val="0003494D"/>
    <w:rsid w:val="00034D11"/>
    <w:rsid w:val="00034E7C"/>
    <w:rsid w:val="00034E80"/>
    <w:rsid w:val="000350CC"/>
    <w:rsid w:val="000350D6"/>
    <w:rsid w:val="000351F3"/>
    <w:rsid w:val="00035388"/>
    <w:rsid w:val="00035454"/>
    <w:rsid w:val="0003561E"/>
    <w:rsid w:val="000356F6"/>
    <w:rsid w:val="00035AA3"/>
    <w:rsid w:val="00035BDF"/>
    <w:rsid w:val="00035BE8"/>
    <w:rsid w:val="00035ED2"/>
    <w:rsid w:val="00035FF1"/>
    <w:rsid w:val="00036047"/>
    <w:rsid w:val="00036181"/>
    <w:rsid w:val="000363C9"/>
    <w:rsid w:val="000366A4"/>
    <w:rsid w:val="00036877"/>
    <w:rsid w:val="000368F9"/>
    <w:rsid w:val="00036991"/>
    <w:rsid w:val="00036A3A"/>
    <w:rsid w:val="00036AD8"/>
    <w:rsid w:val="00036BCF"/>
    <w:rsid w:val="00036C26"/>
    <w:rsid w:val="00036D12"/>
    <w:rsid w:val="00036FB4"/>
    <w:rsid w:val="00037022"/>
    <w:rsid w:val="00037037"/>
    <w:rsid w:val="00037093"/>
    <w:rsid w:val="00037100"/>
    <w:rsid w:val="00037137"/>
    <w:rsid w:val="00037302"/>
    <w:rsid w:val="00037488"/>
    <w:rsid w:val="00037833"/>
    <w:rsid w:val="000379F3"/>
    <w:rsid w:val="00037A37"/>
    <w:rsid w:val="00037A7F"/>
    <w:rsid w:val="00037B30"/>
    <w:rsid w:val="00037C0F"/>
    <w:rsid w:val="00037C81"/>
    <w:rsid w:val="00037CC9"/>
    <w:rsid w:val="00037E43"/>
    <w:rsid w:val="00037FDD"/>
    <w:rsid w:val="00037FFC"/>
    <w:rsid w:val="0004005D"/>
    <w:rsid w:val="000401A5"/>
    <w:rsid w:val="00040227"/>
    <w:rsid w:val="00040274"/>
    <w:rsid w:val="0004051E"/>
    <w:rsid w:val="0004055D"/>
    <w:rsid w:val="00040638"/>
    <w:rsid w:val="0004071F"/>
    <w:rsid w:val="0004072A"/>
    <w:rsid w:val="000407A1"/>
    <w:rsid w:val="00040ADF"/>
    <w:rsid w:val="00040C3C"/>
    <w:rsid w:val="00040CE0"/>
    <w:rsid w:val="00040F72"/>
    <w:rsid w:val="00040FB0"/>
    <w:rsid w:val="00040FB4"/>
    <w:rsid w:val="00041156"/>
    <w:rsid w:val="00041274"/>
    <w:rsid w:val="0004135B"/>
    <w:rsid w:val="000415ED"/>
    <w:rsid w:val="0004178C"/>
    <w:rsid w:val="0004188E"/>
    <w:rsid w:val="00041921"/>
    <w:rsid w:val="0004193F"/>
    <w:rsid w:val="00041988"/>
    <w:rsid w:val="00041A68"/>
    <w:rsid w:val="00041B66"/>
    <w:rsid w:val="00041BD3"/>
    <w:rsid w:val="00041C5A"/>
    <w:rsid w:val="00041DEA"/>
    <w:rsid w:val="00041E75"/>
    <w:rsid w:val="00041F5D"/>
    <w:rsid w:val="00041FCC"/>
    <w:rsid w:val="00042155"/>
    <w:rsid w:val="00042173"/>
    <w:rsid w:val="000421F4"/>
    <w:rsid w:val="00042205"/>
    <w:rsid w:val="00042270"/>
    <w:rsid w:val="000422DC"/>
    <w:rsid w:val="000422FF"/>
    <w:rsid w:val="00042307"/>
    <w:rsid w:val="00042389"/>
    <w:rsid w:val="000426BA"/>
    <w:rsid w:val="000426CE"/>
    <w:rsid w:val="000428E3"/>
    <w:rsid w:val="000429A2"/>
    <w:rsid w:val="00042A4D"/>
    <w:rsid w:val="00042ADE"/>
    <w:rsid w:val="00042B39"/>
    <w:rsid w:val="00042C08"/>
    <w:rsid w:val="00042D7E"/>
    <w:rsid w:val="00043143"/>
    <w:rsid w:val="0004315E"/>
    <w:rsid w:val="00043209"/>
    <w:rsid w:val="0004335D"/>
    <w:rsid w:val="00043412"/>
    <w:rsid w:val="000434C3"/>
    <w:rsid w:val="0004358A"/>
    <w:rsid w:val="00043717"/>
    <w:rsid w:val="0004387B"/>
    <w:rsid w:val="00043887"/>
    <w:rsid w:val="00043B5E"/>
    <w:rsid w:val="00043C22"/>
    <w:rsid w:val="00043CE1"/>
    <w:rsid w:val="00043D59"/>
    <w:rsid w:val="00043D69"/>
    <w:rsid w:val="00043F95"/>
    <w:rsid w:val="00043FCE"/>
    <w:rsid w:val="00044102"/>
    <w:rsid w:val="000442FB"/>
    <w:rsid w:val="0004430E"/>
    <w:rsid w:val="00044357"/>
    <w:rsid w:val="000443A6"/>
    <w:rsid w:val="000443B2"/>
    <w:rsid w:val="000443F8"/>
    <w:rsid w:val="0004452E"/>
    <w:rsid w:val="00044570"/>
    <w:rsid w:val="00044574"/>
    <w:rsid w:val="000445C5"/>
    <w:rsid w:val="000445DF"/>
    <w:rsid w:val="00044674"/>
    <w:rsid w:val="0004473C"/>
    <w:rsid w:val="00044920"/>
    <w:rsid w:val="00044968"/>
    <w:rsid w:val="000449D1"/>
    <w:rsid w:val="00044C90"/>
    <w:rsid w:val="00044D7F"/>
    <w:rsid w:val="00044E9D"/>
    <w:rsid w:val="00044F16"/>
    <w:rsid w:val="00044F3F"/>
    <w:rsid w:val="00045172"/>
    <w:rsid w:val="0004537F"/>
    <w:rsid w:val="00045583"/>
    <w:rsid w:val="00045728"/>
    <w:rsid w:val="0004587A"/>
    <w:rsid w:val="00045A5A"/>
    <w:rsid w:val="00045AFF"/>
    <w:rsid w:val="00045B77"/>
    <w:rsid w:val="00045B8D"/>
    <w:rsid w:val="00045B98"/>
    <w:rsid w:val="00045C04"/>
    <w:rsid w:val="00045C55"/>
    <w:rsid w:val="00045CC5"/>
    <w:rsid w:val="00045DF8"/>
    <w:rsid w:val="00045E67"/>
    <w:rsid w:val="00045E8E"/>
    <w:rsid w:val="00045EC4"/>
    <w:rsid w:val="00045F1E"/>
    <w:rsid w:val="00045F4A"/>
    <w:rsid w:val="00045FD0"/>
    <w:rsid w:val="0004603F"/>
    <w:rsid w:val="0004643A"/>
    <w:rsid w:val="000464AF"/>
    <w:rsid w:val="00046556"/>
    <w:rsid w:val="000465D0"/>
    <w:rsid w:val="00046616"/>
    <w:rsid w:val="00046731"/>
    <w:rsid w:val="00046932"/>
    <w:rsid w:val="000469AF"/>
    <w:rsid w:val="00046A6F"/>
    <w:rsid w:val="00046B6A"/>
    <w:rsid w:val="00046D8B"/>
    <w:rsid w:val="00047060"/>
    <w:rsid w:val="00047068"/>
    <w:rsid w:val="00047170"/>
    <w:rsid w:val="000472D4"/>
    <w:rsid w:val="000472F4"/>
    <w:rsid w:val="00047373"/>
    <w:rsid w:val="000474A5"/>
    <w:rsid w:val="000474A8"/>
    <w:rsid w:val="00047786"/>
    <w:rsid w:val="000477AC"/>
    <w:rsid w:val="0004782B"/>
    <w:rsid w:val="000479DD"/>
    <w:rsid w:val="000479E7"/>
    <w:rsid w:val="00047A4C"/>
    <w:rsid w:val="00047C0E"/>
    <w:rsid w:val="00047C37"/>
    <w:rsid w:val="00047C6B"/>
    <w:rsid w:val="00047D50"/>
    <w:rsid w:val="00047DCF"/>
    <w:rsid w:val="00047DE7"/>
    <w:rsid w:val="00047EEA"/>
    <w:rsid w:val="00047F9A"/>
    <w:rsid w:val="00047FF2"/>
    <w:rsid w:val="00050178"/>
    <w:rsid w:val="0005024A"/>
    <w:rsid w:val="000502F6"/>
    <w:rsid w:val="000504D6"/>
    <w:rsid w:val="00050572"/>
    <w:rsid w:val="000505F8"/>
    <w:rsid w:val="00050663"/>
    <w:rsid w:val="000507B8"/>
    <w:rsid w:val="000507D6"/>
    <w:rsid w:val="000508A9"/>
    <w:rsid w:val="00050939"/>
    <w:rsid w:val="00050B8C"/>
    <w:rsid w:val="00050CE4"/>
    <w:rsid w:val="00050D22"/>
    <w:rsid w:val="00050E60"/>
    <w:rsid w:val="00050EDA"/>
    <w:rsid w:val="00050FA5"/>
    <w:rsid w:val="00050FC9"/>
    <w:rsid w:val="00051030"/>
    <w:rsid w:val="0005147F"/>
    <w:rsid w:val="000514D7"/>
    <w:rsid w:val="0005157C"/>
    <w:rsid w:val="00051680"/>
    <w:rsid w:val="000516C4"/>
    <w:rsid w:val="0005170D"/>
    <w:rsid w:val="000519A9"/>
    <w:rsid w:val="000519BB"/>
    <w:rsid w:val="00051AC9"/>
    <w:rsid w:val="00051BD6"/>
    <w:rsid w:val="00051CAD"/>
    <w:rsid w:val="00051CCC"/>
    <w:rsid w:val="00051D47"/>
    <w:rsid w:val="00051E08"/>
    <w:rsid w:val="00051E86"/>
    <w:rsid w:val="00051F3C"/>
    <w:rsid w:val="00051F6C"/>
    <w:rsid w:val="00051FA1"/>
    <w:rsid w:val="00051FC9"/>
    <w:rsid w:val="00051FCE"/>
    <w:rsid w:val="0005210E"/>
    <w:rsid w:val="00052346"/>
    <w:rsid w:val="00052378"/>
    <w:rsid w:val="0005251C"/>
    <w:rsid w:val="000525FE"/>
    <w:rsid w:val="000526E4"/>
    <w:rsid w:val="000527D8"/>
    <w:rsid w:val="00052862"/>
    <w:rsid w:val="000529BD"/>
    <w:rsid w:val="000529C4"/>
    <w:rsid w:val="00052A38"/>
    <w:rsid w:val="00052D71"/>
    <w:rsid w:val="00052D88"/>
    <w:rsid w:val="00052DB7"/>
    <w:rsid w:val="00052DD3"/>
    <w:rsid w:val="00053183"/>
    <w:rsid w:val="0005326A"/>
    <w:rsid w:val="0005326D"/>
    <w:rsid w:val="0005334E"/>
    <w:rsid w:val="000536A3"/>
    <w:rsid w:val="000537E9"/>
    <w:rsid w:val="00053BEB"/>
    <w:rsid w:val="00053C66"/>
    <w:rsid w:val="00053C95"/>
    <w:rsid w:val="00053CFC"/>
    <w:rsid w:val="00053D17"/>
    <w:rsid w:val="00053E27"/>
    <w:rsid w:val="00053EAC"/>
    <w:rsid w:val="00053EDD"/>
    <w:rsid w:val="00053F62"/>
    <w:rsid w:val="00053F6C"/>
    <w:rsid w:val="00053FF2"/>
    <w:rsid w:val="00054023"/>
    <w:rsid w:val="00054173"/>
    <w:rsid w:val="000541FB"/>
    <w:rsid w:val="00054249"/>
    <w:rsid w:val="00054863"/>
    <w:rsid w:val="00054AB2"/>
    <w:rsid w:val="00054AF1"/>
    <w:rsid w:val="00054B09"/>
    <w:rsid w:val="00054B9C"/>
    <w:rsid w:val="00054C3E"/>
    <w:rsid w:val="00054D79"/>
    <w:rsid w:val="00054DA1"/>
    <w:rsid w:val="00054DDF"/>
    <w:rsid w:val="00054E87"/>
    <w:rsid w:val="000550B2"/>
    <w:rsid w:val="0005511D"/>
    <w:rsid w:val="000551EF"/>
    <w:rsid w:val="00055263"/>
    <w:rsid w:val="000552D9"/>
    <w:rsid w:val="000553C7"/>
    <w:rsid w:val="0005553F"/>
    <w:rsid w:val="00055685"/>
    <w:rsid w:val="00055728"/>
    <w:rsid w:val="00055830"/>
    <w:rsid w:val="00055836"/>
    <w:rsid w:val="00055998"/>
    <w:rsid w:val="000559E5"/>
    <w:rsid w:val="00055AAD"/>
    <w:rsid w:val="00055C46"/>
    <w:rsid w:val="00055C77"/>
    <w:rsid w:val="00055C95"/>
    <w:rsid w:val="00055E1E"/>
    <w:rsid w:val="00055EDD"/>
    <w:rsid w:val="00056218"/>
    <w:rsid w:val="0005651D"/>
    <w:rsid w:val="00056548"/>
    <w:rsid w:val="000565B5"/>
    <w:rsid w:val="000565E2"/>
    <w:rsid w:val="0005664D"/>
    <w:rsid w:val="00056746"/>
    <w:rsid w:val="000568E1"/>
    <w:rsid w:val="00056989"/>
    <w:rsid w:val="00056A6D"/>
    <w:rsid w:val="00056B44"/>
    <w:rsid w:val="00056C92"/>
    <w:rsid w:val="00056D4F"/>
    <w:rsid w:val="00056DE4"/>
    <w:rsid w:val="00056E0C"/>
    <w:rsid w:val="00056E2E"/>
    <w:rsid w:val="0005711D"/>
    <w:rsid w:val="0005718E"/>
    <w:rsid w:val="00057401"/>
    <w:rsid w:val="0005757F"/>
    <w:rsid w:val="000577FE"/>
    <w:rsid w:val="00057823"/>
    <w:rsid w:val="0005782F"/>
    <w:rsid w:val="00057967"/>
    <w:rsid w:val="00057B7D"/>
    <w:rsid w:val="00057CF9"/>
    <w:rsid w:val="00057DEB"/>
    <w:rsid w:val="00057E80"/>
    <w:rsid w:val="00057EF9"/>
    <w:rsid w:val="00057F77"/>
    <w:rsid w:val="00057F9D"/>
    <w:rsid w:val="00057FBD"/>
    <w:rsid w:val="000601D7"/>
    <w:rsid w:val="0006029C"/>
    <w:rsid w:val="00060345"/>
    <w:rsid w:val="0006039B"/>
    <w:rsid w:val="00060423"/>
    <w:rsid w:val="0006045D"/>
    <w:rsid w:val="0006065C"/>
    <w:rsid w:val="00060696"/>
    <w:rsid w:val="00060998"/>
    <w:rsid w:val="00060A6B"/>
    <w:rsid w:val="00060AB1"/>
    <w:rsid w:val="00060B63"/>
    <w:rsid w:val="00060C2C"/>
    <w:rsid w:val="00060DEC"/>
    <w:rsid w:val="00060F33"/>
    <w:rsid w:val="000610B2"/>
    <w:rsid w:val="000613DC"/>
    <w:rsid w:val="000613FB"/>
    <w:rsid w:val="00061439"/>
    <w:rsid w:val="000617AE"/>
    <w:rsid w:val="000618E8"/>
    <w:rsid w:val="000619C8"/>
    <w:rsid w:val="00061B59"/>
    <w:rsid w:val="00061CB7"/>
    <w:rsid w:val="00061D33"/>
    <w:rsid w:val="00061E08"/>
    <w:rsid w:val="00061F07"/>
    <w:rsid w:val="00062301"/>
    <w:rsid w:val="00062A4E"/>
    <w:rsid w:val="00062E51"/>
    <w:rsid w:val="00062F48"/>
    <w:rsid w:val="00062F4B"/>
    <w:rsid w:val="00062FD0"/>
    <w:rsid w:val="00063079"/>
    <w:rsid w:val="000630E3"/>
    <w:rsid w:val="000631E5"/>
    <w:rsid w:val="0006334C"/>
    <w:rsid w:val="0006339C"/>
    <w:rsid w:val="00063702"/>
    <w:rsid w:val="000638D1"/>
    <w:rsid w:val="00063976"/>
    <w:rsid w:val="00063A6D"/>
    <w:rsid w:val="00063AE9"/>
    <w:rsid w:val="00063BE9"/>
    <w:rsid w:val="00063E75"/>
    <w:rsid w:val="00063EE9"/>
    <w:rsid w:val="00063F04"/>
    <w:rsid w:val="00063F44"/>
    <w:rsid w:val="00064338"/>
    <w:rsid w:val="00064408"/>
    <w:rsid w:val="000645DE"/>
    <w:rsid w:val="00064716"/>
    <w:rsid w:val="00064783"/>
    <w:rsid w:val="000647A3"/>
    <w:rsid w:val="000647C2"/>
    <w:rsid w:val="000648B0"/>
    <w:rsid w:val="000648F8"/>
    <w:rsid w:val="0006492A"/>
    <w:rsid w:val="00064ADB"/>
    <w:rsid w:val="00064AE7"/>
    <w:rsid w:val="00064D51"/>
    <w:rsid w:val="00064D84"/>
    <w:rsid w:val="00064DDE"/>
    <w:rsid w:val="00064F78"/>
    <w:rsid w:val="00065133"/>
    <w:rsid w:val="0006516A"/>
    <w:rsid w:val="00065241"/>
    <w:rsid w:val="0006524C"/>
    <w:rsid w:val="00065253"/>
    <w:rsid w:val="00065312"/>
    <w:rsid w:val="00065579"/>
    <w:rsid w:val="00065597"/>
    <w:rsid w:val="0006566F"/>
    <w:rsid w:val="000656B7"/>
    <w:rsid w:val="0006579C"/>
    <w:rsid w:val="0006588C"/>
    <w:rsid w:val="00065C86"/>
    <w:rsid w:val="00065D11"/>
    <w:rsid w:val="00065DD6"/>
    <w:rsid w:val="00065EE9"/>
    <w:rsid w:val="00065F21"/>
    <w:rsid w:val="00065F3B"/>
    <w:rsid w:val="00065FC7"/>
    <w:rsid w:val="00066002"/>
    <w:rsid w:val="0006601C"/>
    <w:rsid w:val="00066090"/>
    <w:rsid w:val="00066195"/>
    <w:rsid w:val="00066241"/>
    <w:rsid w:val="0006647E"/>
    <w:rsid w:val="00066830"/>
    <w:rsid w:val="00066877"/>
    <w:rsid w:val="000669BA"/>
    <w:rsid w:val="00066AFB"/>
    <w:rsid w:val="00066BD2"/>
    <w:rsid w:val="00066D0F"/>
    <w:rsid w:val="00066FB6"/>
    <w:rsid w:val="000670F0"/>
    <w:rsid w:val="000672EB"/>
    <w:rsid w:val="00067380"/>
    <w:rsid w:val="00067401"/>
    <w:rsid w:val="00067407"/>
    <w:rsid w:val="000675CE"/>
    <w:rsid w:val="000677A0"/>
    <w:rsid w:val="000677F5"/>
    <w:rsid w:val="00067842"/>
    <w:rsid w:val="0006792A"/>
    <w:rsid w:val="00067A15"/>
    <w:rsid w:val="00067B60"/>
    <w:rsid w:val="00067B63"/>
    <w:rsid w:val="00067BD1"/>
    <w:rsid w:val="00070025"/>
    <w:rsid w:val="0007021F"/>
    <w:rsid w:val="0007027F"/>
    <w:rsid w:val="00070414"/>
    <w:rsid w:val="0007047E"/>
    <w:rsid w:val="00070739"/>
    <w:rsid w:val="000708F5"/>
    <w:rsid w:val="0007099C"/>
    <w:rsid w:val="000709A0"/>
    <w:rsid w:val="000709B4"/>
    <w:rsid w:val="00070B43"/>
    <w:rsid w:val="00070FA8"/>
    <w:rsid w:val="00070FEC"/>
    <w:rsid w:val="00071126"/>
    <w:rsid w:val="00071285"/>
    <w:rsid w:val="0007139D"/>
    <w:rsid w:val="000714A2"/>
    <w:rsid w:val="00071AA2"/>
    <w:rsid w:val="00071BB0"/>
    <w:rsid w:val="000721CC"/>
    <w:rsid w:val="000722B9"/>
    <w:rsid w:val="00072367"/>
    <w:rsid w:val="0007263C"/>
    <w:rsid w:val="0007271E"/>
    <w:rsid w:val="000727A2"/>
    <w:rsid w:val="000727F6"/>
    <w:rsid w:val="000728F0"/>
    <w:rsid w:val="000729E3"/>
    <w:rsid w:val="00072D45"/>
    <w:rsid w:val="00072D95"/>
    <w:rsid w:val="00072DCB"/>
    <w:rsid w:val="00072FB9"/>
    <w:rsid w:val="00072FE3"/>
    <w:rsid w:val="000730FC"/>
    <w:rsid w:val="00073269"/>
    <w:rsid w:val="0007345D"/>
    <w:rsid w:val="000734B9"/>
    <w:rsid w:val="00073641"/>
    <w:rsid w:val="000736D2"/>
    <w:rsid w:val="0007373F"/>
    <w:rsid w:val="00073787"/>
    <w:rsid w:val="00073789"/>
    <w:rsid w:val="0007391A"/>
    <w:rsid w:val="000739AF"/>
    <w:rsid w:val="00073A6C"/>
    <w:rsid w:val="00073A9E"/>
    <w:rsid w:val="00073AD4"/>
    <w:rsid w:val="00073BDC"/>
    <w:rsid w:val="00073C81"/>
    <w:rsid w:val="00073D0E"/>
    <w:rsid w:val="00073DDA"/>
    <w:rsid w:val="00073EC4"/>
    <w:rsid w:val="00074199"/>
    <w:rsid w:val="00074266"/>
    <w:rsid w:val="0007445F"/>
    <w:rsid w:val="000744C2"/>
    <w:rsid w:val="0007457D"/>
    <w:rsid w:val="00074739"/>
    <w:rsid w:val="0007479B"/>
    <w:rsid w:val="000748A5"/>
    <w:rsid w:val="000749C5"/>
    <w:rsid w:val="00074ABA"/>
    <w:rsid w:val="00074C67"/>
    <w:rsid w:val="00074CC9"/>
    <w:rsid w:val="00074CFB"/>
    <w:rsid w:val="00075092"/>
    <w:rsid w:val="000751BE"/>
    <w:rsid w:val="000751E4"/>
    <w:rsid w:val="0007523A"/>
    <w:rsid w:val="000752F6"/>
    <w:rsid w:val="000753EA"/>
    <w:rsid w:val="0007547A"/>
    <w:rsid w:val="000755C4"/>
    <w:rsid w:val="00075622"/>
    <w:rsid w:val="0007567A"/>
    <w:rsid w:val="0007590F"/>
    <w:rsid w:val="0007599F"/>
    <w:rsid w:val="00075ADB"/>
    <w:rsid w:val="00075B2A"/>
    <w:rsid w:val="00075B41"/>
    <w:rsid w:val="00075C40"/>
    <w:rsid w:val="00075CB2"/>
    <w:rsid w:val="00075D66"/>
    <w:rsid w:val="00075D8C"/>
    <w:rsid w:val="00075EAB"/>
    <w:rsid w:val="00075F01"/>
    <w:rsid w:val="0007601F"/>
    <w:rsid w:val="00076058"/>
    <w:rsid w:val="000760D0"/>
    <w:rsid w:val="000760E1"/>
    <w:rsid w:val="00076204"/>
    <w:rsid w:val="0007629E"/>
    <w:rsid w:val="000763CB"/>
    <w:rsid w:val="0007670A"/>
    <w:rsid w:val="00076782"/>
    <w:rsid w:val="0007699C"/>
    <w:rsid w:val="00076A08"/>
    <w:rsid w:val="00076C67"/>
    <w:rsid w:val="00076E9A"/>
    <w:rsid w:val="00076F2C"/>
    <w:rsid w:val="0007715A"/>
    <w:rsid w:val="00077567"/>
    <w:rsid w:val="0007775C"/>
    <w:rsid w:val="00077810"/>
    <w:rsid w:val="0007792A"/>
    <w:rsid w:val="0007795F"/>
    <w:rsid w:val="00077972"/>
    <w:rsid w:val="000779C2"/>
    <w:rsid w:val="00077A87"/>
    <w:rsid w:val="00077D8E"/>
    <w:rsid w:val="00077DB1"/>
    <w:rsid w:val="00077E0E"/>
    <w:rsid w:val="0008001E"/>
    <w:rsid w:val="000800F3"/>
    <w:rsid w:val="00080145"/>
    <w:rsid w:val="00080241"/>
    <w:rsid w:val="0008031A"/>
    <w:rsid w:val="0008052C"/>
    <w:rsid w:val="00080709"/>
    <w:rsid w:val="000807AA"/>
    <w:rsid w:val="00080879"/>
    <w:rsid w:val="000808E0"/>
    <w:rsid w:val="00080918"/>
    <w:rsid w:val="000809CB"/>
    <w:rsid w:val="00080A98"/>
    <w:rsid w:val="00080AC1"/>
    <w:rsid w:val="00080AF7"/>
    <w:rsid w:val="00080B01"/>
    <w:rsid w:val="00080B17"/>
    <w:rsid w:val="00080CD6"/>
    <w:rsid w:val="00080CE1"/>
    <w:rsid w:val="00080D48"/>
    <w:rsid w:val="00080DD6"/>
    <w:rsid w:val="00080E03"/>
    <w:rsid w:val="00080ED6"/>
    <w:rsid w:val="00080F6B"/>
    <w:rsid w:val="000812F8"/>
    <w:rsid w:val="000813A8"/>
    <w:rsid w:val="000813A9"/>
    <w:rsid w:val="00081598"/>
    <w:rsid w:val="000815D6"/>
    <w:rsid w:val="00081695"/>
    <w:rsid w:val="00081742"/>
    <w:rsid w:val="00081778"/>
    <w:rsid w:val="000817CB"/>
    <w:rsid w:val="000817CF"/>
    <w:rsid w:val="00081860"/>
    <w:rsid w:val="00081862"/>
    <w:rsid w:val="00081905"/>
    <w:rsid w:val="00081CC7"/>
    <w:rsid w:val="00081D6C"/>
    <w:rsid w:val="00081DC0"/>
    <w:rsid w:val="00081E8C"/>
    <w:rsid w:val="00081F25"/>
    <w:rsid w:val="00081F2C"/>
    <w:rsid w:val="00081FD3"/>
    <w:rsid w:val="00082090"/>
    <w:rsid w:val="000820DD"/>
    <w:rsid w:val="00082234"/>
    <w:rsid w:val="00082498"/>
    <w:rsid w:val="000824C5"/>
    <w:rsid w:val="00082625"/>
    <w:rsid w:val="0008274B"/>
    <w:rsid w:val="0008288F"/>
    <w:rsid w:val="000828D1"/>
    <w:rsid w:val="0008295C"/>
    <w:rsid w:val="00082D43"/>
    <w:rsid w:val="00082DA0"/>
    <w:rsid w:val="00082DC5"/>
    <w:rsid w:val="00082E41"/>
    <w:rsid w:val="00082EB1"/>
    <w:rsid w:val="00082F0F"/>
    <w:rsid w:val="00082FC8"/>
    <w:rsid w:val="000831C4"/>
    <w:rsid w:val="000832F9"/>
    <w:rsid w:val="0008346A"/>
    <w:rsid w:val="0008369A"/>
    <w:rsid w:val="000836EC"/>
    <w:rsid w:val="00083891"/>
    <w:rsid w:val="000838A3"/>
    <w:rsid w:val="0008391A"/>
    <w:rsid w:val="000839B2"/>
    <w:rsid w:val="00083A1D"/>
    <w:rsid w:val="00083BC0"/>
    <w:rsid w:val="00083E85"/>
    <w:rsid w:val="000840BE"/>
    <w:rsid w:val="000840FE"/>
    <w:rsid w:val="000841C6"/>
    <w:rsid w:val="0008441E"/>
    <w:rsid w:val="0008446C"/>
    <w:rsid w:val="000844A1"/>
    <w:rsid w:val="000844C1"/>
    <w:rsid w:val="000846BA"/>
    <w:rsid w:val="00084767"/>
    <w:rsid w:val="00084823"/>
    <w:rsid w:val="00084982"/>
    <w:rsid w:val="000849A8"/>
    <w:rsid w:val="000849CA"/>
    <w:rsid w:val="00084B82"/>
    <w:rsid w:val="00084CE1"/>
    <w:rsid w:val="00084D91"/>
    <w:rsid w:val="00084DB8"/>
    <w:rsid w:val="00084F09"/>
    <w:rsid w:val="00084F35"/>
    <w:rsid w:val="000850B4"/>
    <w:rsid w:val="000850DA"/>
    <w:rsid w:val="00085224"/>
    <w:rsid w:val="000855F5"/>
    <w:rsid w:val="000859EE"/>
    <w:rsid w:val="00085A0E"/>
    <w:rsid w:val="00085D79"/>
    <w:rsid w:val="00085E07"/>
    <w:rsid w:val="00085F24"/>
    <w:rsid w:val="00085F93"/>
    <w:rsid w:val="00086105"/>
    <w:rsid w:val="000862E2"/>
    <w:rsid w:val="000863BE"/>
    <w:rsid w:val="000863FE"/>
    <w:rsid w:val="000864C3"/>
    <w:rsid w:val="000865A3"/>
    <w:rsid w:val="00086832"/>
    <w:rsid w:val="00086962"/>
    <w:rsid w:val="00086A05"/>
    <w:rsid w:val="00086A11"/>
    <w:rsid w:val="00086B85"/>
    <w:rsid w:val="00086C17"/>
    <w:rsid w:val="00086D7F"/>
    <w:rsid w:val="00086DC6"/>
    <w:rsid w:val="00086F49"/>
    <w:rsid w:val="00087060"/>
    <w:rsid w:val="000870B6"/>
    <w:rsid w:val="000871BE"/>
    <w:rsid w:val="00087263"/>
    <w:rsid w:val="0008738C"/>
    <w:rsid w:val="000873F8"/>
    <w:rsid w:val="00087545"/>
    <w:rsid w:val="00087613"/>
    <w:rsid w:val="000876EB"/>
    <w:rsid w:val="0008776E"/>
    <w:rsid w:val="0008781A"/>
    <w:rsid w:val="00087854"/>
    <w:rsid w:val="000879CD"/>
    <w:rsid w:val="00087ACB"/>
    <w:rsid w:val="00087B50"/>
    <w:rsid w:val="00087B78"/>
    <w:rsid w:val="00087B8A"/>
    <w:rsid w:val="00087BDD"/>
    <w:rsid w:val="00087C0A"/>
    <w:rsid w:val="00087C23"/>
    <w:rsid w:val="00087CE9"/>
    <w:rsid w:val="00087D7F"/>
    <w:rsid w:val="00087FB3"/>
    <w:rsid w:val="00087FF8"/>
    <w:rsid w:val="000900C7"/>
    <w:rsid w:val="00090151"/>
    <w:rsid w:val="00090161"/>
    <w:rsid w:val="00090162"/>
    <w:rsid w:val="00090216"/>
    <w:rsid w:val="000903BE"/>
    <w:rsid w:val="0009055B"/>
    <w:rsid w:val="000905B8"/>
    <w:rsid w:val="00090613"/>
    <w:rsid w:val="000906D1"/>
    <w:rsid w:val="000907B7"/>
    <w:rsid w:val="00090896"/>
    <w:rsid w:val="000908E9"/>
    <w:rsid w:val="00090BD1"/>
    <w:rsid w:val="00090D8F"/>
    <w:rsid w:val="00091003"/>
    <w:rsid w:val="000910E0"/>
    <w:rsid w:val="000910F6"/>
    <w:rsid w:val="00091267"/>
    <w:rsid w:val="00091331"/>
    <w:rsid w:val="000913D0"/>
    <w:rsid w:val="000914A1"/>
    <w:rsid w:val="00091512"/>
    <w:rsid w:val="00091513"/>
    <w:rsid w:val="000915AF"/>
    <w:rsid w:val="00091715"/>
    <w:rsid w:val="00091857"/>
    <w:rsid w:val="0009197F"/>
    <w:rsid w:val="00091B0C"/>
    <w:rsid w:val="00091BDB"/>
    <w:rsid w:val="00091C54"/>
    <w:rsid w:val="00091C59"/>
    <w:rsid w:val="00091E7E"/>
    <w:rsid w:val="00091EF0"/>
    <w:rsid w:val="00091FEE"/>
    <w:rsid w:val="00092012"/>
    <w:rsid w:val="000921F2"/>
    <w:rsid w:val="00092227"/>
    <w:rsid w:val="00092265"/>
    <w:rsid w:val="00092267"/>
    <w:rsid w:val="000923EE"/>
    <w:rsid w:val="00092640"/>
    <w:rsid w:val="00092973"/>
    <w:rsid w:val="000929F4"/>
    <w:rsid w:val="00092A21"/>
    <w:rsid w:val="00092A99"/>
    <w:rsid w:val="00092ADC"/>
    <w:rsid w:val="00092B4B"/>
    <w:rsid w:val="00092C55"/>
    <w:rsid w:val="00092D17"/>
    <w:rsid w:val="00092DE0"/>
    <w:rsid w:val="00092E4B"/>
    <w:rsid w:val="00092E65"/>
    <w:rsid w:val="00092F70"/>
    <w:rsid w:val="00092F73"/>
    <w:rsid w:val="00093023"/>
    <w:rsid w:val="0009311F"/>
    <w:rsid w:val="00093318"/>
    <w:rsid w:val="0009332D"/>
    <w:rsid w:val="0009342E"/>
    <w:rsid w:val="0009349E"/>
    <w:rsid w:val="000934BF"/>
    <w:rsid w:val="000934F7"/>
    <w:rsid w:val="000935DF"/>
    <w:rsid w:val="00093647"/>
    <w:rsid w:val="000936B8"/>
    <w:rsid w:val="000939B4"/>
    <w:rsid w:val="00093ACA"/>
    <w:rsid w:val="00093B70"/>
    <w:rsid w:val="00093D9A"/>
    <w:rsid w:val="00093E65"/>
    <w:rsid w:val="00094054"/>
    <w:rsid w:val="0009412A"/>
    <w:rsid w:val="0009413D"/>
    <w:rsid w:val="000941EA"/>
    <w:rsid w:val="0009429D"/>
    <w:rsid w:val="000943D8"/>
    <w:rsid w:val="0009443D"/>
    <w:rsid w:val="000944E1"/>
    <w:rsid w:val="00094506"/>
    <w:rsid w:val="0009451A"/>
    <w:rsid w:val="000945E5"/>
    <w:rsid w:val="00094610"/>
    <w:rsid w:val="00094614"/>
    <w:rsid w:val="00094656"/>
    <w:rsid w:val="00094693"/>
    <w:rsid w:val="00094880"/>
    <w:rsid w:val="000948D9"/>
    <w:rsid w:val="000949B7"/>
    <w:rsid w:val="00094ABB"/>
    <w:rsid w:val="00094B7C"/>
    <w:rsid w:val="00094BEE"/>
    <w:rsid w:val="00094E91"/>
    <w:rsid w:val="00094EC0"/>
    <w:rsid w:val="00094F41"/>
    <w:rsid w:val="00095191"/>
    <w:rsid w:val="000952A2"/>
    <w:rsid w:val="000952CB"/>
    <w:rsid w:val="00095342"/>
    <w:rsid w:val="00095400"/>
    <w:rsid w:val="00095430"/>
    <w:rsid w:val="000955AD"/>
    <w:rsid w:val="00095A08"/>
    <w:rsid w:val="00095A26"/>
    <w:rsid w:val="00095B0E"/>
    <w:rsid w:val="00095CDB"/>
    <w:rsid w:val="00095E88"/>
    <w:rsid w:val="00095EE2"/>
    <w:rsid w:val="00096066"/>
    <w:rsid w:val="00096166"/>
    <w:rsid w:val="000961C3"/>
    <w:rsid w:val="00096619"/>
    <w:rsid w:val="000967D4"/>
    <w:rsid w:val="00096916"/>
    <w:rsid w:val="00096969"/>
    <w:rsid w:val="00096A0D"/>
    <w:rsid w:val="00096AAA"/>
    <w:rsid w:val="00096AEA"/>
    <w:rsid w:val="00096B52"/>
    <w:rsid w:val="00096BF2"/>
    <w:rsid w:val="00096C62"/>
    <w:rsid w:val="00096D57"/>
    <w:rsid w:val="00096D94"/>
    <w:rsid w:val="000971DB"/>
    <w:rsid w:val="00097204"/>
    <w:rsid w:val="00097269"/>
    <w:rsid w:val="000972B0"/>
    <w:rsid w:val="00097307"/>
    <w:rsid w:val="000973B4"/>
    <w:rsid w:val="00097469"/>
    <w:rsid w:val="00097487"/>
    <w:rsid w:val="0009750A"/>
    <w:rsid w:val="00097511"/>
    <w:rsid w:val="0009780B"/>
    <w:rsid w:val="00097AEE"/>
    <w:rsid w:val="00097BEF"/>
    <w:rsid w:val="00097E37"/>
    <w:rsid w:val="00097F21"/>
    <w:rsid w:val="00097F60"/>
    <w:rsid w:val="00097F90"/>
    <w:rsid w:val="00097FE2"/>
    <w:rsid w:val="000A00D2"/>
    <w:rsid w:val="000A01B9"/>
    <w:rsid w:val="000A01FE"/>
    <w:rsid w:val="000A0200"/>
    <w:rsid w:val="000A0252"/>
    <w:rsid w:val="000A02B5"/>
    <w:rsid w:val="000A0440"/>
    <w:rsid w:val="000A050B"/>
    <w:rsid w:val="000A051E"/>
    <w:rsid w:val="000A0534"/>
    <w:rsid w:val="000A0674"/>
    <w:rsid w:val="000A06A1"/>
    <w:rsid w:val="000A074F"/>
    <w:rsid w:val="000A076D"/>
    <w:rsid w:val="000A083B"/>
    <w:rsid w:val="000A0879"/>
    <w:rsid w:val="000A089C"/>
    <w:rsid w:val="000A08FD"/>
    <w:rsid w:val="000A090A"/>
    <w:rsid w:val="000A091B"/>
    <w:rsid w:val="000A0A0C"/>
    <w:rsid w:val="000A0B06"/>
    <w:rsid w:val="000A0CD8"/>
    <w:rsid w:val="000A0DA4"/>
    <w:rsid w:val="000A0E5A"/>
    <w:rsid w:val="000A0EAE"/>
    <w:rsid w:val="000A0F52"/>
    <w:rsid w:val="000A104A"/>
    <w:rsid w:val="000A10BF"/>
    <w:rsid w:val="000A1183"/>
    <w:rsid w:val="000A129E"/>
    <w:rsid w:val="000A1334"/>
    <w:rsid w:val="000A1606"/>
    <w:rsid w:val="000A175A"/>
    <w:rsid w:val="000A18BB"/>
    <w:rsid w:val="000A1919"/>
    <w:rsid w:val="000A19BF"/>
    <w:rsid w:val="000A1A20"/>
    <w:rsid w:val="000A1A80"/>
    <w:rsid w:val="000A1E3A"/>
    <w:rsid w:val="000A1FAD"/>
    <w:rsid w:val="000A2075"/>
    <w:rsid w:val="000A2089"/>
    <w:rsid w:val="000A216E"/>
    <w:rsid w:val="000A23A8"/>
    <w:rsid w:val="000A23E7"/>
    <w:rsid w:val="000A2451"/>
    <w:rsid w:val="000A247D"/>
    <w:rsid w:val="000A2772"/>
    <w:rsid w:val="000A289D"/>
    <w:rsid w:val="000A28BE"/>
    <w:rsid w:val="000A2998"/>
    <w:rsid w:val="000A2ACD"/>
    <w:rsid w:val="000A2B65"/>
    <w:rsid w:val="000A2C94"/>
    <w:rsid w:val="000A2CA3"/>
    <w:rsid w:val="000A2CAD"/>
    <w:rsid w:val="000A2D1A"/>
    <w:rsid w:val="000A2D35"/>
    <w:rsid w:val="000A2DA8"/>
    <w:rsid w:val="000A2E97"/>
    <w:rsid w:val="000A2EA8"/>
    <w:rsid w:val="000A318C"/>
    <w:rsid w:val="000A318E"/>
    <w:rsid w:val="000A3203"/>
    <w:rsid w:val="000A337D"/>
    <w:rsid w:val="000A3567"/>
    <w:rsid w:val="000A384D"/>
    <w:rsid w:val="000A3A2A"/>
    <w:rsid w:val="000A3D29"/>
    <w:rsid w:val="000A3D7F"/>
    <w:rsid w:val="000A3E2B"/>
    <w:rsid w:val="000A3F06"/>
    <w:rsid w:val="000A3F09"/>
    <w:rsid w:val="000A4176"/>
    <w:rsid w:val="000A4252"/>
    <w:rsid w:val="000A439E"/>
    <w:rsid w:val="000A4580"/>
    <w:rsid w:val="000A471D"/>
    <w:rsid w:val="000A4A5A"/>
    <w:rsid w:val="000A4F3D"/>
    <w:rsid w:val="000A4FAA"/>
    <w:rsid w:val="000A5041"/>
    <w:rsid w:val="000A5496"/>
    <w:rsid w:val="000A56D9"/>
    <w:rsid w:val="000A56DC"/>
    <w:rsid w:val="000A56E6"/>
    <w:rsid w:val="000A57C9"/>
    <w:rsid w:val="000A5A7C"/>
    <w:rsid w:val="000A5BC0"/>
    <w:rsid w:val="000A5C05"/>
    <w:rsid w:val="000A5C47"/>
    <w:rsid w:val="000A5C73"/>
    <w:rsid w:val="000A5D74"/>
    <w:rsid w:val="000A5DD2"/>
    <w:rsid w:val="000A5F6D"/>
    <w:rsid w:val="000A5F73"/>
    <w:rsid w:val="000A5FAC"/>
    <w:rsid w:val="000A60C8"/>
    <w:rsid w:val="000A6156"/>
    <w:rsid w:val="000A622B"/>
    <w:rsid w:val="000A629E"/>
    <w:rsid w:val="000A62A0"/>
    <w:rsid w:val="000A6313"/>
    <w:rsid w:val="000A63D4"/>
    <w:rsid w:val="000A64BE"/>
    <w:rsid w:val="000A659E"/>
    <w:rsid w:val="000A65FC"/>
    <w:rsid w:val="000A6616"/>
    <w:rsid w:val="000A66B2"/>
    <w:rsid w:val="000A687D"/>
    <w:rsid w:val="000A6A16"/>
    <w:rsid w:val="000A6A67"/>
    <w:rsid w:val="000A6ABB"/>
    <w:rsid w:val="000A6B30"/>
    <w:rsid w:val="000A6BCE"/>
    <w:rsid w:val="000A6C06"/>
    <w:rsid w:val="000A6DDF"/>
    <w:rsid w:val="000A6EFB"/>
    <w:rsid w:val="000A7068"/>
    <w:rsid w:val="000A7088"/>
    <w:rsid w:val="000A70C8"/>
    <w:rsid w:val="000A7199"/>
    <w:rsid w:val="000A71F3"/>
    <w:rsid w:val="000A727B"/>
    <w:rsid w:val="000A73F9"/>
    <w:rsid w:val="000A7472"/>
    <w:rsid w:val="000A757D"/>
    <w:rsid w:val="000A75C8"/>
    <w:rsid w:val="000A762D"/>
    <w:rsid w:val="000A7638"/>
    <w:rsid w:val="000A7639"/>
    <w:rsid w:val="000A7756"/>
    <w:rsid w:val="000A77CE"/>
    <w:rsid w:val="000A7819"/>
    <w:rsid w:val="000A790F"/>
    <w:rsid w:val="000A7B5F"/>
    <w:rsid w:val="000A7DE7"/>
    <w:rsid w:val="000A7E3E"/>
    <w:rsid w:val="000A7EF6"/>
    <w:rsid w:val="000B0018"/>
    <w:rsid w:val="000B0036"/>
    <w:rsid w:val="000B017D"/>
    <w:rsid w:val="000B018E"/>
    <w:rsid w:val="000B019C"/>
    <w:rsid w:val="000B046D"/>
    <w:rsid w:val="000B04C9"/>
    <w:rsid w:val="000B0526"/>
    <w:rsid w:val="000B057E"/>
    <w:rsid w:val="000B075D"/>
    <w:rsid w:val="000B083E"/>
    <w:rsid w:val="000B08E4"/>
    <w:rsid w:val="000B0937"/>
    <w:rsid w:val="000B09A2"/>
    <w:rsid w:val="000B09A7"/>
    <w:rsid w:val="000B0BCA"/>
    <w:rsid w:val="000B0C35"/>
    <w:rsid w:val="000B11DB"/>
    <w:rsid w:val="000B1241"/>
    <w:rsid w:val="000B12FE"/>
    <w:rsid w:val="000B132B"/>
    <w:rsid w:val="000B1354"/>
    <w:rsid w:val="000B1558"/>
    <w:rsid w:val="000B1679"/>
    <w:rsid w:val="000B187F"/>
    <w:rsid w:val="000B190D"/>
    <w:rsid w:val="000B1A26"/>
    <w:rsid w:val="000B1A3B"/>
    <w:rsid w:val="000B1A62"/>
    <w:rsid w:val="000B1D40"/>
    <w:rsid w:val="000B1DAF"/>
    <w:rsid w:val="000B1DB2"/>
    <w:rsid w:val="000B1F66"/>
    <w:rsid w:val="000B203A"/>
    <w:rsid w:val="000B2294"/>
    <w:rsid w:val="000B2311"/>
    <w:rsid w:val="000B23EE"/>
    <w:rsid w:val="000B245A"/>
    <w:rsid w:val="000B2472"/>
    <w:rsid w:val="000B272A"/>
    <w:rsid w:val="000B27AD"/>
    <w:rsid w:val="000B284E"/>
    <w:rsid w:val="000B2946"/>
    <w:rsid w:val="000B2C12"/>
    <w:rsid w:val="000B2C20"/>
    <w:rsid w:val="000B2C26"/>
    <w:rsid w:val="000B2CCE"/>
    <w:rsid w:val="000B2D02"/>
    <w:rsid w:val="000B2D5A"/>
    <w:rsid w:val="000B2E0F"/>
    <w:rsid w:val="000B2E51"/>
    <w:rsid w:val="000B2E67"/>
    <w:rsid w:val="000B3002"/>
    <w:rsid w:val="000B30AD"/>
    <w:rsid w:val="000B30E0"/>
    <w:rsid w:val="000B3211"/>
    <w:rsid w:val="000B3297"/>
    <w:rsid w:val="000B32CF"/>
    <w:rsid w:val="000B3330"/>
    <w:rsid w:val="000B3385"/>
    <w:rsid w:val="000B35C2"/>
    <w:rsid w:val="000B35CF"/>
    <w:rsid w:val="000B3871"/>
    <w:rsid w:val="000B3898"/>
    <w:rsid w:val="000B3AD4"/>
    <w:rsid w:val="000B3BD7"/>
    <w:rsid w:val="000B3CD4"/>
    <w:rsid w:val="000B3DCB"/>
    <w:rsid w:val="000B3EC7"/>
    <w:rsid w:val="000B3ECB"/>
    <w:rsid w:val="000B3F3B"/>
    <w:rsid w:val="000B3F42"/>
    <w:rsid w:val="000B41BE"/>
    <w:rsid w:val="000B4211"/>
    <w:rsid w:val="000B421D"/>
    <w:rsid w:val="000B44C7"/>
    <w:rsid w:val="000B4540"/>
    <w:rsid w:val="000B455A"/>
    <w:rsid w:val="000B455B"/>
    <w:rsid w:val="000B464D"/>
    <w:rsid w:val="000B46EF"/>
    <w:rsid w:val="000B473F"/>
    <w:rsid w:val="000B4769"/>
    <w:rsid w:val="000B48AB"/>
    <w:rsid w:val="000B497A"/>
    <w:rsid w:val="000B4A53"/>
    <w:rsid w:val="000B4A7E"/>
    <w:rsid w:val="000B4B38"/>
    <w:rsid w:val="000B4BF3"/>
    <w:rsid w:val="000B4C0E"/>
    <w:rsid w:val="000B4C60"/>
    <w:rsid w:val="000B4D65"/>
    <w:rsid w:val="000B4DCD"/>
    <w:rsid w:val="000B4F9A"/>
    <w:rsid w:val="000B5073"/>
    <w:rsid w:val="000B50D3"/>
    <w:rsid w:val="000B50ED"/>
    <w:rsid w:val="000B515D"/>
    <w:rsid w:val="000B538E"/>
    <w:rsid w:val="000B5400"/>
    <w:rsid w:val="000B54F5"/>
    <w:rsid w:val="000B55D8"/>
    <w:rsid w:val="000B56E3"/>
    <w:rsid w:val="000B5831"/>
    <w:rsid w:val="000B598A"/>
    <w:rsid w:val="000B59CE"/>
    <w:rsid w:val="000B5A67"/>
    <w:rsid w:val="000B5DA3"/>
    <w:rsid w:val="000B5DCF"/>
    <w:rsid w:val="000B5E29"/>
    <w:rsid w:val="000B62E1"/>
    <w:rsid w:val="000B65CD"/>
    <w:rsid w:val="000B665C"/>
    <w:rsid w:val="000B684F"/>
    <w:rsid w:val="000B6876"/>
    <w:rsid w:val="000B69CE"/>
    <w:rsid w:val="000B6C11"/>
    <w:rsid w:val="000B6CF0"/>
    <w:rsid w:val="000B6EBF"/>
    <w:rsid w:val="000B6F5D"/>
    <w:rsid w:val="000B7038"/>
    <w:rsid w:val="000B70E3"/>
    <w:rsid w:val="000B720C"/>
    <w:rsid w:val="000B7353"/>
    <w:rsid w:val="000B74A7"/>
    <w:rsid w:val="000B755A"/>
    <w:rsid w:val="000B755E"/>
    <w:rsid w:val="000B7627"/>
    <w:rsid w:val="000B7643"/>
    <w:rsid w:val="000B7665"/>
    <w:rsid w:val="000B76FE"/>
    <w:rsid w:val="000B77C4"/>
    <w:rsid w:val="000B7848"/>
    <w:rsid w:val="000B7855"/>
    <w:rsid w:val="000B7996"/>
    <w:rsid w:val="000B7C8F"/>
    <w:rsid w:val="000B7DA9"/>
    <w:rsid w:val="000B7E6C"/>
    <w:rsid w:val="000B7EA6"/>
    <w:rsid w:val="000B7ED0"/>
    <w:rsid w:val="000B7EFA"/>
    <w:rsid w:val="000B7F37"/>
    <w:rsid w:val="000C0038"/>
    <w:rsid w:val="000C0214"/>
    <w:rsid w:val="000C0241"/>
    <w:rsid w:val="000C0282"/>
    <w:rsid w:val="000C02FE"/>
    <w:rsid w:val="000C0347"/>
    <w:rsid w:val="000C037C"/>
    <w:rsid w:val="000C04D1"/>
    <w:rsid w:val="000C0689"/>
    <w:rsid w:val="000C07BC"/>
    <w:rsid w:val="000C0866"/>
    <w:rsid w:val="000C0EB4"/>
    <w:rsid w:val="000C0F48"/>
    <w:rsid w:val="000C1251"/>
    <w:rsid w:val="000C12C3"/>
    <w:rsid w:val="000C138B"/>
    <w:rsid w:val="000C1430"/>
    <w:rsid w:val="000C14BD"/>
    <w:rsid w:val="000C14E1"/>
    <w:rsid w:val="000C1765"/>
    <w:rsid w:val="000C17F0"/>
    <w:rsid w:val="000C1858"/>
    <w:rsid w:val="000C1889"/>
    <w:rsid w:val="000C1952"/>
    <w:rsid w:val="000C19F7"/>
    <w:rsid w:val="000C1A04"/>
    <w:rsid w:val="000C1ACC"/>
    <w:rsid w:val="000C1B13"/>
    <w:rsid w:val="000C1B74"/>
    <w:rsid w:val="000C1BCA"/>
    <w:rsid w:val="000C1BDA"/>
    <w:rsid w:val="000C1C31"/>
    <w:rsid w:val="000C1C39"/>
    <w:rsid w:val="000C1D92"/>
    <w:rsid w:val="000C1DB1"/>
    <w:rsid w:val="000C1DCE"/>
    <w:rsid w:val="000C2303"/>
    <w:rsid w:val="000C2397"/>
    <w:rsid w:val="000C2699"/>
    <w:rsid w:val="000C2739"/>
    <w:rsid w:val="000C278E"/>
    <w:rsid w:val="000C289B"/>
    <w:rsid w:val="000C28B7"/>
    <w:rsid w:val="000C295C"/>
    <w:rsid w:val="000C2994"/>
    <w:rsid w:val="000C2ACB"/>
    <w:rsid w:val="000C2D56"/>
    <w:rsid w:val="000C2F60"/>
    <w:rsid w:val="000C312E"/>
    <w:rsid w:val="000C3167"/>
    <w:rsid w:val="000C31F8"/>
    <w:rsid w:val="000C32CF"/>
    <w:rsid w:val="000C3831"/>
    <w:rsid w:val="000C3C8C"/>
    <w:rsid w:val="000C3CDB"/>
    <w:rsid w:val="000C3E61"/>
    <w:rsid w:val="000C3EB7"/>
    <w:rsid w:val="000C3F03"/>
    <w:rsid w:val="000C3F4A"/>
    <w:rsid w:val="000C3FDA"/>
    <w:rsid w:val="000C4169"/>
    <w:rsid w:val="000C4574"/>
    <w:rsid w:val="000C471F"/>
    <w:rsid w:val="000C475F"/>
    <w:rsid w:val="000C4786"/>
    <w:rsid w:val="000C4788"/>
    <w:rsid w:val="000C4840"/>
    <w:rsid w:val="000C48E6"/>
    <w:rsid w:val="000C492F"/>
    <w:rsid w:val="000C4AF9"/>
    <w:rsid w:val="000C4BD9"/>
    <w:rsid w:val="000C4DBB"/>
    <w:rsid w:val="000C4E87"/>
    <w:rsid w:val="000C4E9B"/>
    <w:rsid w:val="000C5271"/>
    <w:rsid w:val="000C53AB"/>
    <w:rsid w:val="000C53C8"/>
    <w:rsid w:val="000C5455"/>
    <w:rsid w:val="000C548E"/>
    <w:rsid w:val="000C566D"/>
    <w:rsid w:val="000C590A"/>
    <w:rsid w:val="000C5990"/>
    <w:rsid w:val="000C59A3"/>
    <w:rsid w:val="000C5D24"/>
    <w:rsid w:val="000C5E69"/>
    <w:rsid w:val="000C5E6E"/>
    <w:rsid w:val="000C5EA4"/>
    <w:rsid w:val="000C5F96"/>
    <w:rsid w:val="000C5FC9"/>
    <w:rsid w:val="000C601F"/>
    <w:rsid w:val="000C60A9"/>
    <w:rsid w:val="000C617E"/>
    <w:rsid w:val="000C6185"/>
    <w:rsid w:val="000C6229"/>
    <w:rsid w:val="000C63E8"/>
    <w:rsid w:val="000C64B7"/>
    <w:rsid w:val="000C65A5"/>
    <w:rsid w:val="000C6778"/>
    <w:rsid w:val="000C678B"/>
    <w:rsid w:val="000C691A"/>
    <w:rsid w:val="000C6A38"/>
    <w:rsid w:val="000C6BD1"/>
    <w:rsid w:val="000C6D8D"/>
    <w:rsid w:val="000C6DA2"/>
    <w:rsid w:val="000C7055"/>
    <w:rsid w:val="000C706F"/>
    <w:rsid w:val="000C7200"/>
    <w:rsid w:val="000C7252"/>
    <w:rsid w:val="000C73C1"/>
    <w:rsid w:val="000C7407"/>
    <w:rsid w:val="000C742A"/>
    <w:rsid w:val="000C7454"/>
    <w:rsid w:val="000C7455"/>
    <w:rsid w:val="000C7483"/>
    <w:rsid w:val="000C74D7"/>
    <w:rsid w:val="000C74F5"/>
    <w:rsid w:val="000C75D0"/>
    <w:rsid w:val="000C77AA"/>
    <w:rsid w:val="000C78F1"/>
    <w:rsid w:val="000C7907"/>
    <w:rsid w:val="000C7A7B"/>
    <w:rsid w:val="000C7B37"/>
    <w:rsid w:val="000C7B4B"/>
    <w:rsid w:val="000C7C46"/>
    <w:rsid w:val="000C7C7B"/>
    <w:rsid w:val="000D02CB"/>
    <w:rsid w:val="000D04A3"/>
    <w:rsid w:val="000D09EE"/>
    <w:rsid w:val="000D0A21"/>
    <w:rsid w:val="000D0AC9"/>
    <w:rsid w:val="000D0B0B"/>
    <w:rsid w:val="000D0B8F"/>
    <w:rsid w:val="000D0BB3"/>
    <w:rsid w:val="000D0BBB"/>
    <w:rsid w:val="000D0D2B"/>
    <w:rsid w:val="000D0E40"/>
    <w:rsid w:val="000D0FE4"/>
    <w:rsid w:val="000D1177"/>
    <w:rsid w:val="000D1247"/>
    <w:rsid w:val="000D12FD"/>
    <w:rsid w:val="000D1328"/>
    <w:rsid w:val="000D1407"/>
    <w:rsid w:val="000D14A8"/>
    <w:rsid w:val="000D1516"/>
    <w:rsid w:val="000D15AB"/>
    <w:rsid w:val="000D15DE"/>
    <w:rsid w:val="000D16D9"/>
    <w:rsid w:val="000D172B"/>
    <w:rsid w:val="000D1757"/>
    <w:rsid w:val="000D1843"/>
    <w:rsid w:val="000D1886"/>
    <w:rsid w:val="000D18AD"/>
    <w:rsid w:val="000D1983"/>
    <w:rsid w:val="000D1995"/>
    <w:rsid w:val="000D19C8"/>
    <w:rsid w:val="000D1A18"/>
    <w:rsid w:val="000D1A3E"/>
    <w:rsid w:val="000D1B52"/>
    <w:rsid w:val="000D1D21"/>
    <w:rsid w:val="000D1D7E"/>
    <w:rsid w:val="000D1DDF"/>
    <w:rsid w:val="000D1ECE"/>
    <w:rsid w:val="000D1F8D"/>
    <w:rsid w:val="000D2008"/>
    <w:rsid w:val="000D2082"/>
    <w:rsid w:val="000D21E8"/>
    <w:rsid w:val="000D223B"/>
    <w:rsid w:val="000D235C"/>
    <w:rsid w:val="000D2506"/>
    <w:rsid w:val="000D2844"/>
    <w:rsid w:val="000D2982"/>
    <w:rsid w:val="000D2AF9"/>
    <w:rsid w:val="000D2C61"/>
    <w:rsid w:val="000D2D05"/>
    <w:rsid w:val="000D2D27"/>
    <w:rsid w:val="000D2DF6"/>
    <w:rsid w:val="000D2EBD"/>
    <w:rsid w:val="000D2FC6"/>
    <w:rsid w:val="000D317D"/>
    <w:rsid w:val="000D3459"/>
    <w:rsid w:val="000D35E4"/>
    <w:rsid w:val="000D36E6"/>
    <w:rsid w:val="000D3707"/>
    <w:rsid w:val="000D3745"/>
    <w:rsid w:val="000D380C"/>
    <w:rsid w:val="000D3A48"/>
    <w:rsid w:val="000D3A68"/>
    <w:rsid w:val="000D3F1E"/>
    <w:rsid w:val="000D3F4A"/>
    <w:rsid w:val="000D3F80"/>
    <w:rsid w:val="000D408C"/>
    <w:rsid w:val="000D424C"/>
    <w:rsid w:val="000D42A6"/>
    <w:rsid w:val="000D42CC"/>
    <w:rsid w:val="000D431A"/>
    <w:rsid w:val="000D436E"/>
    <w:rsid w:val="000D43AC"/>
    <w:rsid w:val="000D457B"/>
    <w:rsid w:val="000D45D2"/>
    <w:rsid w:val="000D4980"/>
    <w:rsid w:val="000D498E"/>
    <w:rsid w:val="000D4AE3"/>
    <w:rsid w:val="000D4BC7"/>
    <w:rsid w:val="000D4C1B"/>
    <w:rsid w:val="000D4CAB"/>
    <w:rsid w:val="000D4CDE"/>
    <w:rsid w:val="000D4F58"/>
    <w:rsid w:val="000D51D5"/>
    <w:rsid w:val="000D52E7"/>
    <w:rsid w:val="000D54E6"/>
    <w:rsid w:val="000D5523"/>
    <w:rsid w:val="000D56C6"/>
    <w:rsid w:val="000D56EB"/>
    <w:rsid w:val="000D5731"/>
    <w:rsid w:val="000D58D7"/>
    <w:rsid w:val="000D5947"/>
    <w:rsid w:val="000D59A4"/>
    <w:rsid w:val="000D5AB7"/>
    <w:rsid w:val="000D5E0A"/>
    <w:rsid w:val="000D607D"/>
    <w:rsid w:val="000D60E6"/>
    <w:rsid w:val="000D6129"/>
    <w:rsid w:val="000D61EB"/>
    <w:rsid w:val="000D63D6"/>
    <w:rsid w:val="000D645D"/>
    <w:rsid w:val="000D65CC"/>
    <w:rsid w:val="000D665F"/>
    <w:rsid w:val="000D66BC"/>
    <w:rsid w:val="000D684D"/>
    <w:rsid w:val="000D687A"/>
    <w:rsid w:val="000D69C7"/>
    <w:rsid w:val="000D69CE"/>
    <w:rsid w:val="000D6A23"/>
    <w:rsid w:val="000D6A63"/>
    <w:rsid w:val="000D6AAE"/>
    <w:rsid w:val="000D6AD4"/>
    <w:rsid w:val="000D6BA2"/>
    <w:rsid w:val="000D6C3C"/>
    <w:rsid w:val="000D6C3F"/>
    <w:rsid w:val="000D6C6B"/>
    <w:rsid w:val="000D6D79"/>
    <w:rsid w:val="000D6E25"/>
    <w:rsid w:val="000D6ECE"/>
    <w:rsid w:val="000D6ED8"/>
    <w:rsid w:val="000D6F93"/>
    <w:rsid w:val="000D7060"/>
    <w:rsid w:val="000D7071"/>
    <w:rsid w:val="000D7079"/>
    <w:rsid w:val="000D71E8"/>
    <w:rsid w:val="000D720D"/>
    <w:rsid w:val="000D73C6"/>
    <w:rsid w:val="000D7400"/>
    <w:rsid w:val="000D7443"/>
    <w:rsid w:val="000D75EA"/>
    <w:rsid w:val="000D76E2"/>
    <w:rsid w:val="000D78D9"/>
    <w:rsid w:val="000D791F"/>
    <w:rsid w:val="000D7929"/>
    <w:rsid w:val="000D796E"/>
    <w:rsid w:val="000D79E0"/>
    <w:rsid w:val="000D7A7F"/>
    <w:rsid w:val="000D7AC8"/>
    <w:rsid w:val="000D7BB2"/>
    <w:rsid w:val="000D7BCF"/>
    <w:rsid w:val="000D7BD9"/>
    <w:rsid w:val="000E00C9"/>
    <w:rsid w:val="000E03DC"/>
    <w:rsid w:val="000E04C4"/>
    <w:rsid w:val="000E054A"/>
    <w:rsid w:val="000E054D"/>
    <w:rsid w:val="000E0610"/>
    <w:rsid w:val="000E08CB"/>
    <w:rsid w:val="000E096B"/>
    <w:rsid w:val="000E09A4"/>
    <w:rsid w:val="000E0A80"/>
    <w:rsid w:val="000E0BB6"/>
    <w:rsid w:val="000E0BC9"/>
    <w:rsid w:val="000E0CBE"/>
    <w:rsid w:val="000E0DD1"/>
    <w:rsid w:val="000E0E2E"/>
    <w:rsid w:val="000E0F86"/>
    <w:rsid w:val="000E1124"/>
    <w:rsid w:val="000E116B"/>
    <w:rsid w:val="000E12F9"/>
    <w:rsid w:val="000E148C"/>
    <w:rsid w:val="000E14CC"/>
    <w:rsid w:val="000E1506"/>
    <w:rsid w:val="000E15CF"/>
    <w:rsid w:val="000E15DF"/>
    <w:rsid w:val="000E18E0"/>
    <w:rsid w:val="000E1AD1"/>
    <w:rsid w:val="000E1BB8"/>
    <w:rsid w:val="000E1C01"/>
    <w:rsid w:val="000E1C1D"/>
    <w:rsid w:val="000E1C23"/>
    <w:rsid w:val="000E1E0A"/>
    <w:rsid w:val="000E1E20"/>
    <w:rsid w:val="000E1F28"/>
    <w:rsid w:val="000E1F33"/>
    <w:rsid w:val="000E1FA8"/>
    <w:rsid w:val="000E1FEF"/>
    <w:rsid w:val="000E21E9"/>
    <w:rsid w:val="000E224D"/>
    <w:rsid w:val="000E2269"/>
    <w:rsid w:val="000E22BF"/>
    <w:rsid w:val="000E243D"/>
    <w:rsid w:val="000E25F6"/>
    <w:rsid w:val="000E263D"/>
    <w:rsid w:val="000E2889"/>
    <w:rsid w:val="000E2945"/>
    <w:rsid w:val="000E2A12"/>
    <w:rsid w:val="000E2C55"/>
    <w:rsid w:val="000E301C"/>
    <w:rsid w:val="000E30A3"/>
    <w:rsid w:val="000E3138"/>
    <w:rsid w:val="000E3146"/>
    <w:rsid w:val="000E36D9"/>
    <w:rsid w:val="000E37C2"/>
    <w:rsid w:val="000E3853"/>
    <w:rsid w:val="000E38B5"/>
    <w:rsid w:val="000E38C7"/>
    <w:rsid w:val="000E39EB"/>
    <w:rsid w:val="000E3AC0"/>
    <w:rsid w:val="000E3AD8"/>
    <w:rsid w:val="000E3B33"/>
    <w:rsid w:val="000E3C3D"/>
    <w:rsid w:val="000E3C48"/>
    <w:rsid w:val="000E3F83"/>
    <w:rsid w:val="000E3FC7"/>
    <w:rsid w:val="000E3FF0"/>
    <w:rsid w:val="000E4050"/>
    <w:rsid w:val="000E4073"/>
    <w:rsid w:val="000E40A5"/>
    <w:rsid w:val="000E4197"/>
    <w:rsid w:val="000E41DA"/>
    <w:rsid w:val="000E42C1"/>
    <w:rsid w:val="000E474B"/>
    <w:rsid w:val="000E493F"/>
    <w:rsid w:val="000E498A"/>
    <w:rsid w:val="000E4CD7"/>
    <w:rsid w:val="000E4F10"/>
    <w:rsid w:val="000E5139"/>
    <w:rsid w:val="000E5441"/>
    <w:rsid w:val="000E5531"/>
    <w:rsid w:val="000E555C"/>
    <w:rsid w:val="000E55A9"/>
    <w:rsid w:val="000E55DD"/>
    <w:rsid w:val="000E567A"/>
    <w:rsid w:val="000E56DB"/>
    <w:rsid w:val="000E576F"/>
    <w:rsid w:val="000E5A99"/>
    <w:rsid w:val="000E5AA5"/>
    <w:rsid w:val="000E60D3"/>
    <w:rsid w:val="000E6294"/>
    <w:rsid w:val="000E6356"/>
    <w:rsid w:val="000E6410"/>
    <w:rsid w:val="000E64EA"/>
    <w:rsid w:val="000E678B"/>
    <w:rsid w:val="000E682E"/>
    <w:rsid w:val="000E6887"/>
    <w:rsid w:val="000E68BE"/>
    <w:rsid w:val="000E68DD"/>
    <w:rsid w:val="000E692E"/>
    <w:rsid w:val="000E695A"/>
    <w:rsid w:val="000E6AA8"/>
    <w:rsid w:val="000E6BD6"/>
    <w:rsid w:val="000E6D84"/>
    <w:rsid w:val="000E6E54"/>
    <w:rsid w:val="000E70BC"/>
    <w:rsid w:val="000E75FE"/>
    <w:rsid w:val="000E760A"/>
    <w:rsid w:val="000E762F"/>
    <w:rsid w:val="000E7788"/>
    <w:rsid w:val="000E7817"/>
    <w:rsid w:val="000E7897"/>
    <w:rsid w:val="000E793F"/>
    <w:rsid w:val="000E7D70"/>
    <w:rsid w:val="000E7E03"/>
    <w:rsid w:val="000E7E38"/>
    <w:rsid w:val="000E7F57"/>
    <w:rsid w:val="000F0059"/>
    <w:rsid w:val="000F00C3"/>
    <w:rsid w:val="000F0282"/>
    <w:rsid w:val="000F0295"/>
    <w:rsid w:val="000F02EB"/>
    <w:rsid w:val="000F0342"/>
    <w:rsid w:val="000F0447"/>
    <w:rsid w:val="000F04D1"/>
    <w:rsid w:val="000F052E"/>
    <w:rsid w:val="000F0683"/>
    <w:rsid w:val="000F07B3"/>
    <w:rsid w:val="000F0955"/>
    <w:rsid w:val="000F09CE"/>
    <w:rsid w:val="000F0A47"/>
    <w:rsid w:val="000F0ACC"/>
    <w:rsid w:val="000F0B82"/>
    <w:rsid w:val="000F0BAB"/>
    <w:rsid w:val="000F0C20"/>
    <w:rsid w:val="000F0C4A"/>
    <w:rsid w:val="000F0D07"/>
    <w:rsid w:val="000F0E6B"/>
    <w:rsid w:val="000F0FEC"/>
    <w:rsid w:val="000F1052"/>
    <w:rsid w:val="000F1106"/>
    <w:rsid w:val="000F115D"/>
    <w:rsid w:val="000F11F5"/>
    <w:rsid w:val="000F129D"/>
    <w:rsid w:val="000F12C3"/>
    <w:rsid w:val="000F13D2"/>
    <w:rsid w:val="000F1441"/>
    <w:rsid w:val="000F14AE"/>
    <w:rsid w:val="000F1541"/>
    <w:rsid w:val="000F15EA"/>
    <w:rsid w:val="000F171E"/>
    <w:rsid w:val="000F17B7"/>
    <w:rsid w:val="000F1847"/>
    <w:rsid w:val="000F1900"/>
    <w:rsid w:val="000F1ADE"/>
    <w:rsid w:val="000F1B8C"/>
    <w:rsid w:val="000F1BA0"/>
    <w:rsid w:val="000F1BDC"/>
    <w:rsid w:val="000F1BE9"/>
    <w:rsid w:val="000F1C12"/>
    <w:rsid w:val="000F1C7C"/>
    <w:rsid w:val="000F1CCB"/>
    <w:rsid w:val="000F1D70"/>
    <w:rsid w:val="000F1E87"/>
    <w:rsid w:val="000F1FA1"/>
    <w:rsid w:val="000F1FBB"/>
    <w:rsid w:val="000F1FFB"/>
    <w:rsid w:val="000F209D"/>
    <w:rsid w:val="000F21EB"/>
    <w:rsid w:val="000F2465"/>
    <w:rsid w:val="000F2531"/>
    <w:rsid w:val="000F25D3"/>
    <w:rsid w:val="000F27A8"/>
    <w:rsid w:val="000F2918"/>
    <w:rsid w:val="000F2A2A"/>
    <w:rsid w:val="000F2A3D"/>
    <w:rsid w:val="000F2CCB"/>
    <w:rsid w:val="000F2D64"/>
    <w:rsid w:val="000F2DC0"/>
    <w:rsid w:val="000F2DDF"/>
    <w:rsid w:val="000F2E01"/>
    <w:rsid w:val="000F2E91"/>
    <w:rsid w:val="000F2EED"/>
    <w:rsid w:val="000F2EEE"/>
    <w:rsid w:val="000F30D4"/>
    <w:rsid w:val="000F329F"/>
    <w:rsid w:val="000F32CB"/>
    <w:rsid w:val="000F32FE"/>
    <w:rsid w:val="000F332E"/>
    <w:rsid w:val="000F34CE"/>
    <w:rsid w:val="000F35D6"/>
    <w:rsid w:val="000F365C"/>
    <w:rsid w:val="000F36CD"/>
    <w:rsid w:val="000F370E"/>
    <w:rsid w:val="000F3923"/>
    <w:rsid w:val="000F395B"/>
    <w:rsid w:val="000F399D"/>
    <w:rsid w:val="000F39B0"/>
    <w:rsid w:val="000F3A19"/>
    <w:rsid w:val="000F3C5A"/>
    <w:rsid w:val="000F3CBC"/>
    <w:rsid w:val="000F3EB4"/>
    <w:rsid w:val="000F4058"/>
    <w:rsid w:val="000F424A"/>
    <w:rsid w:val="000F4310"/>
    <w:rsid w:val="000F4327"/>
    <w:rsid w:val="000F445F"/>
    <w:rsid w:val="000F4589"/>
    <w:rsid w:val="000F465C"/>
    <w:rsid w:val="000F46F5"/>
    <w:rsid w:val="000F4723"/>
    <w:rsid w:val="000F4774"/>
    <w:rsid w:val="000F4822"/>
    <w:rsid w:val="000F48FE"/>
    <w:rsid w:val="000F491D"/>
    <w:rsid w:val="000F49F7"/>
    <w:rsid w:val="000F4A81"/>
    <w:rsid w:val="000F4A9C"/>
    <w:rsid w:val="000F4C2D"/>
    <w:rsid w:val="000F4D0C"/>
    <w:rsid w:val="000F4E4C"/>
    <w:rsid w:val="000F514D"/>
    <w:rsid w:val="000F52A7"/>
    <w:rsid w:val="000F5347"/>
    <w:rsid w:val="000F56ED"/>
    <w:rsid w:val="000F5725"/>
    <w:rsid w:val="000F5A54"/>
    <w:rsid w:val="000F5A5F"/>
    <w:rsid w:val="000F5A93"/>
    <w:rsid w:val="000F5BA3"/>
    <w:rsid w:val="000F5BA4"/>
    <w:rsid w:val="000F5C9A"/>
    <w:rsid w:val="000F5D22"/>
    <w:rsid w:val="000F5D41"/>
    <w:rsid w:val="000F5F67"/>
    <w:rsid w:val="000F600E"/>
    <w:rsid w:val="000F602B"/>
    <w:rsid w:val="000F603B"/>
    <w:rsid w:val="000F610C"/>
    <w:rsid w:val="000F61D1"/>
    <w:rsid w:val="000F624B"/>
    <w:rsid w:val="000F62C1"/>
    <w:rsid w:val="000F630A"/>
    <w:rsid w:val="000F6415"/>
    <w:rsid w:val="000F6486"/>
    <w:rsid w:val="000F6960"/>
    <w:rsid w:val="000F6997"/>
    <w:rsid w:val="000F6BD3"/>
    <w:rsid w:val="000F6BEB"/>
    <w:rsid w:val="000F6C34"/>
    <w:rsid w:val="000F6E6A"/>
    <w:rsid w:val="000F6EC5"/>
    <w:rsid w:val="000F6F07"/>
    <w:rsid w:val="000F717F"/>
    <w:rsid w:val="000F72C2"/>
    <w:rsid w:val="000F74C8"/>
    <w:rsid w:val="000F7648"/>
    <w:rsid w:val="000F771C"/>
    <w:rsid w:val="000F7763"/>
    <w:rsid w:val="000F785B"/>
    <w:rsid w:val="000F7987"/>
    <w:rsid w:val="000F7AE6"/>
    <w:rsid w:val="000F7AE9"/>
    <w:rsid w:val="000F7B49"/>
    <w:rsid w:val="000F7BCF"/>
    <w:rsid w:val="000F7C30"/>
    <w:rsid w:val="000F7CB5"/>
    <w:rsid w:val="000F7CE2"/>
    <w:rsid w:val="000F7EAF"/>
    <w:rsid w:val="000F7FFD"/>
    <w:rsid w:val="001000AC"/>
    <w:rsid w:val="001001D0"/>
    <w:rsid w:val="001002DC"/>
    <w:rsid w:val="0010037F"/>
    <w:rsid w:val="00100380"/>
    <w:rsid w:val="00100390"/>
    <w:rsid w:val="00100465"/>
    <w:rsid w:val="0010051C"/>
    <w:rsid w:val="001005BB"/>
    <w:rsid w:val="00100612"/>
    <w:rsid w:val="00100781"/>
    <w:rsid w:val="001008AC"/>
    <w:rsid w:val="001008F7"/>
    <w:rsid w:val="001009EC"/>
    <w:rsid w:val="00100A11"/>
    <w:rsid w:val="00100AB6"/>
    <w:rsid w:val="00100BD2"/>
    <w:rsid w:val="00100DB9"/>
    <w:rsid w:val="00100E05"/>
    <w:rsid w:val="00100FD9"/>
    <w:rsid w:val="00101124"/>
    <w:rsid w:val="00101167"/>
    <w:rsid w:val="0010119A"/>
    <w:rsid w:val="001011B1"/>
    <w:rsid w:val="00101218"/>
    <w:rsid w:val="0010130D"/>
    <w:rsid w:val="00101578"/>
    <w:rsid w:val="00101597"/>
    <w:rsid w:val="00101794"/>
    <w:rsid w:val="001017E6"/>
    <w:rsid w:val="00101AB0"/>
    <w:rsid w:val="00101AE3"/>
    <w:rsid w:val="00101B49"/>
    <w:rsid w:val="00101C6D"/>
    <w:rsid w:val="00101E03"/>
    <w:rsid w:val="00101E4A"/>
    <w:rsid w:val="00101F06"/>
    <w:rsid w:val="00101FF7"/>
    <w:rsid w:val="0010203F"/>
    <w:rsid w:val="00102420"/>
    <w:rsid w:val="0010247C"/>
    <w:rsid w:val="001024DC"/>
    <w:rsid w:val="001024EC"/>
    <w:rsid w:val="00102500"/>
    <w:rsid w:val="00102690"/>
    <w:rsid w:val="001026C2"/>
    <w:rsid w:val="00102746"/>
    <w:rsid w:val="00102902"/>
    <w:rsid w:val="00102BA9"/>
    <w:rsid w:val="00102C44"/>
    <w:rsid w:val="00102DD2"/>
    <w:rsid w:val="00103096"/>
    <w:rsid w:val="001031C9"/>
    <w:rsid w:val="0010334F"/>
    <w:rsid w:val="001034C7"/>
    <w:rsid w:val="001034CD"/>
    <w:rsid w:val="00103500"/>
    <w:rsid w:val="001035E7"/>
    <w:rsid w:val="001036BD"/>
    <w:rsid w:val="00103744"/>
    <w:rsid w:val="00103814"/>
    <w:rsid w:val="001039F1"/>
    <w:rsid w:val="00103B9D"/>
    <w:rsid w:val="00103BC2"/>
    <w:rsid w:val="00103C05"/>
    <w:rsid w:val="00103D18"/>
    <w:rsid w:val="00103DD6"/>
    <w:rsid w:val="00103E0D"/>
    <w:rsid w:val="00103E92"/>
    <w:rsid w:val="00103FA8"/>
    <w:rsid w:val="00104194"/>
    <w:rsid w:val="0010419B"/>
    <w:rsid w:val="0010429C"/>
    <w:rsid w:val="001042D0"/>
    <w:rsid w:val="0010448B"/>
    <w:rsid w:val="00104571"/>
    <w:rsid w:val="0010459D"/>
    <w:rsid w:val="00104708"/>
    <w:rsid w:val="00104ACE"/>
    <w:rsid w:val="00104F17"/>
    <w:rsid w:val="00104FE4"/>
    <w:rsid w:val="00104FE7"/>
    <w:rsid w:val="0010507D"/>
    <w:rsid w:val="0010508E"/>
    <w:rsid w:val="001050D6"/>
    <w:rsid w:val="001051F8"/>
    <w:rsid w:val="00105210"/>
    <w:rsid w:val="0010521F"/>
    <w:rsid w:val="0010524B"/>
    <w:rsid w:val="00105254"/>
    <w:rsid w:val="0010528A"/>
    <w:rsid w:val="00105462"/>
    <w:rsid w:val="00105495"/>
    <w:rsid w:val="0010563F"/>
    <w:rsid w:val="00105895"/>
    <w:rsid w:val="00105AB5"/>
    <w:rsid w:val="00105BCE"/>
    <w:rsid w:val="00105C59"/>
    <w:rsid w:val="00105D23"/>
    <w:rsid w:val="00105D3C"/>
    <w:rsid w:val="00105DAE"/>
    <w:rsid w:val="00105E28"/>
    <w:rsid w:val="00105F1B"/>
    <w:rsid w:val="00105FB6"/>
    <w:rsid w:val="0010610F"/>
    <w:rsid w:val="001061D1"/>
    <w:rsid w:val="001061DA"/>
    <w:rsid w:val="0010621E"/>
    <w:rsid w:val="0010625A"/>
    <w:rsid w:val="0010629A"/>
    <w:rsid w:val="001062A4"/>
    <w:rsid w:val="001062E6"/>
    <w:rsid w:val="00106310"/>
    <w:rsid w:val="00106321"/>
    <w:rsid w:val="0010653B"/>
    <w:rsid w:val="00106575"/>
    <w:rsid w:val="00106765"/>
    <w:rsid w:val="001067BC"/>
    <w:rsid w:val="00106A03"/>
    <w:rsid w:val="00106C70"/>
    <w:rsid w:val="00106DB3"/>
    <w:rsid w:val="00106F2D"/>
    <w:rsid w:val="00106F92"/>
    <w:rsid w:val="0010715C"/>
    <w:rsid w:val="00107240"/>
    <w:rsid w:val="001073BA"/>
    <w:rsid w:val="001073C5"/>
    <w:rsid w:val="001074A2"/>
    <w:rsid w:val="00107524"/>
    <w:rsid w:val="0010757A"/>
    <w:rsid w:val="00107895"/>
    <w:rsid w:val="0010796D"/>
    <w:rsid w:val="001079A8"/>
    <w:rsid w:val="00107A7B"/>
    <w:rsid w:val="00107AA0"/>
    <w:rsid w:val="00107AF3"/>
    <w:rsid w:val="00107CD5"/>
    <w:rsid w:val="00107DCD"/>
    <w:rsid w:val="00107DD6"/>
    <w:rsid w:val="00107EEA"/>
    <w:rsid w:val="00107EF0"/>
    <w:rsid w:val="00107F36"/>
    <w:rsid w:val="00107FD0"/>
    <w:rsid w:val="00107FF8"/>
    <w:rsid w:val="00110232"/>
    <w:rsid w:val="0011025D"/>
    <w:rsid w:val="001102CF"/>
    <w:rsid w:val="001102D5"/>
    <w:rsid w:val="0011033A"/>
    <w:rsid w:val="001103B9"/>
    <w:rsid w:val="001104A3"/>
    <w:rsid w:val="001106E7"/>
    <w:rsid w:val="00110A43"/>
    <w:rsid w:val="00110AC8"/>
    <w:rsid w:val="00110BBF"/>
    <w:rsid w:val="00110CFC"/>
    <w:rsid w:val="00110D2F"/>
    <w:rsid w:val="00110DF8"/>
    <w:rsid w:val="00111123"/>
    <w:rsid w:val="0011113C"/>
    <w:rsid w:val="00111164"/>
    <w:rsid w:val="001111B1"/>
    <w:rsid w:val="001111E3"/>
    <w:rsid w:val="00111275"/>
    <w:rsid w:val="001112CE"/>
    <w:rsid w:val="00111417"/>
    <w:rsid w:val="001114EE"/>
    <w:rsid w:val="001115A5"/>
    <w:rsid w:val="0011166C"/>
    <w:rsid w:val="0011169A"/>
    <w:rsid w:val="00111786"/>
    <w:rsid w:val="0011192B"/>
    <w:rsid w:val="00111ABB"/>
    <w:rsid w:val="00111C18"/>
    <w:rsid w:val="00111C37"/>
    <w:rsid w:val="00111C43"/>
    <w:rsid w:val="00111D6E"/>
    <w:rsid w:val="00111EB5"/>
    <w:rsid w:val="0011203E"/>
    <w:rsid w:val="001121C0"/>
    <w:rsid w:val="001121CC"/>
    <w:rsid w:val="001121E2"/>
    <w:rsid w:val="001122E5"/>
    <w:rsid w:val="00112337"/>
    <w:rsid w:val="001123CA"/>
    <w:rsid w:val="001124AB"/>
    <w:rsid w:val="001124F7"/>
    <w:rsid w:val="0011250D"/>
    <w:rsid w:val="00112517"/>
    <w:rsid w:val="001127AC"/>
    <w:rsid w:val="0011288F"/>
    <w:rsid w:val="00112910"/>
    <w:rsid w:val="001129AC"/>
    <w:rsid w:val="00112A67"/>
    <w:rsid w:val="00112B22"/>
    <w:rsid w:val="00112BB9"/>
    <w:rsid w:val="00112C84"/>
    <w:rsid w:val="00112DC2"/>
    <w:rsid w:val="00112EA4"/>
    <w:rsid w:val="00112ED7"/>
    <w:rsid w:val="00113121"/>
    <w:rsid w:val="00113156"/>
    <w:rsid w:val="001131F1"/>
    <w:rsid w:val="00113204"/>
    <w:rsid w:val="0011334A"/>
    <w:rsid w:val="0011349C"/>
    <w:rsid w:val="001134AE"/>
    <w:rsid w:val="001134B0"/>
    <w:rsid w:val="00113520"/>
    <w:rsid w:val="00113536"/>
    <w:rsid w:val="0011359D"/>
    <w:rsid w:val="001136CA"/>
    <w:rsid w:val="00113784"/>
    <w:rsid w:val="00113813"/>
    <w:rsid w:val="0011384D"/>
    <w:rsid w:val="00113895"/>
    <w:rsid w:val="00113951"/>
    <w:rsid w:val="00113ACC"/>
    <w:rsid w:val="00113BC8"/>
    <w:rsid w:val="00113C60"/>
    <w:rsid w:val="00113E79"/>
    <w:rsid w:val="00113EB7"/>
    <w:rsid w:val="001142B5"/>
    <w:rsid w:val="001142BE"/>
    <w:rsid w:val="001142CD"/>
    <w:rsid w:val="001142E8"/>
    <w:rsid w:val="00114392"/>
    <w:rsid w:val="00114593"/>
    <w:rsid w:val="0011459D"/>
    <w:rsid w:val="001145CC"/>
    <w:rsid w:val="00114615"/>
    <w:rsid w:val="0011462C"/>
    <w:rsid w:val="001146E6"/>
    <w:rsid w:val="00114791"/>
    <w:rsid w:val="0011480F"/>
    <w:rsid w:val="0011483C"/>
    <w:rsid w:val="001148D2"/>
    <w:rsid w:val="001149BA"/>
    <w:rsid w:val="00114AFB"/>
    <w:rsid w:val="00114B5B"/>
    <w:rsid w:val="00114B87"/>
    <w:rsid w:val="00114C3B"/>
    <w:rsid w:val="00114C66"/>
    <w:rsid w:val="00114CD8"/>
    <w:rsid w:val="00114E5C"/>
    <w:rsid w:val="00114EC2"/>
    <w:rsid w:val="00114EE8"/>
    <w:rsid w:val="001151FE"/>
    <w:rsid w:val="001152B4"/>
    <w:rsid w:val="001152D9"/>
    <w:rsid w:val="0011536E"/>
    <w:rsid w:val="001153C7"/>
    <w:rsid w:val="00115449"/>
    <w:rsid w:val="001154DA"/>
    <w:rsid w:val="0011557C"/>
    <w:rsid w:val="00115588"/>
    <w:rsid w:val="0011564B"/>
    <w:rsid w:val="00115691"/>
    <w:rsid w:val="0011585D"/>
    <w:rsid w:val="00115B6D"/>
    <w:rsid w:val="00115C9A"/>
    <w:rsid w:val="00115E26"/>
    <w:rsid w:val="001160D7"/>
    <w:rsid w:val="001162D1"/>
    <w:rsid w:val="001163C5"/>
    <w:rsid w:val="001163D8"/>
    <w:rsid w:val="001164BC"/>
    <w:rsid w:val="00116542"/>
    <w:rsid w:val="00116559"/>
    <w:rsid w:val="001166AC"/>
    <w:rsid w:val="0011674D"/>
    <w:rsid w:val="0011674F"/>
    <w:rsid w:val="00116805"/>
    <w:rsid w:val="0011697F"/>
    <w:rsid w:val="00116A2A"/>
    <w:rsid w:val="00116AB0"/>
    <w:rsid w:val="00116B31"/>
    <w:rsid w:val="00116C57"/>
    <w:rsid w:val="00116C60"/>
    <w:rsid w:val="00116E4D"/>
    <w:rsid w:val="00116F2E"/>
    <w:rsid w:val="00116F76"/>
    <w:rsid w:val="00117039"/>
    <w:rsid w:val="0011704E"/>
    <w:rsid w:val="00117189"/>
    <w:rsid w:val="0011719C"/>
    <w:rsid w:val="0011724B"/>
    <w:rsid w:val="0011728C"/>
    <w:rsid w:val="00117378"/>
    <w:rsid w:val="001173A5"/>
    <w:rsid w:val="0011741D"/>
    <w:rsid w:val="001174A9"/>
    <w:rsid w:val="00117547"/>
    <w:rsid w:val="0011756C"/>
    <w:rsid w:val="001176A2"/>
    <w:rsid w:val="001177B2"/>
    <w:rsid w:val="001178C7"/>
    <w:rsid w:val="0011794F"/>
    <w:rsid w:val="001179A7"/>
    <w:rsid w:val="00117A59"/>
    <w:rsid w:val="00117AE9"/>
    <w:rsid w:val="00117B82"/>
    <w:rsid w:val="00117C38"/>
    <w:rsid w:val="00117CD0"/>
    <w:rsid w:val="00117F04"/>
    <w:rsid w:val="00117F13"/>
    <w:rsid w:val="00117F64"/>
    <w:rsid w:val="00117FAA"/>
    <w:rsid w:val="0012001D"/>
    <w:rsid w:val="0012002A"/>
    <w:rsid w:val="00120034"/>
    <w:rsid w:val="00120203"/>
    <w:rsid w:val="001202BF"/>
    <w:rsid w:val="001203AE"/>
    <w:rsid w:val="001203EE"/>
    <w:rsid w:val="0012040A"/>
    <w:rsid w:val="00120526"/>
    <w:rsid w:val="001205BC"/>
    <w:rsid w:val="00120609"/>
    <w:rsid w:val="00120678"/>
    <w:rsid w:val="001206CD"/>
    <w:rsid w:val="001207C6"/>
    <w:rsid w:val="001208AE"/>
    <w:rsid w:val="0012092B"/>
    <w:rsid w:val="0012093B"/>
    <w:rsid w:val="00120A4B"/>
    <w:rsid w:val="00120BD3"/>
    <w:rsid w:val="00120C35"/>
    <w:rsid w:val="00120E9C"/>
    <w:rsid w:val="00120FB0"/>
    <w:rsid w:val="00121051"/>
    <w:rsid w:val="00121084"/>
    <w:rsid w:val="001210ED"/>
    <w:rsid w:val="001211BD"/>
    <w:rsid w:val="001211C4"/>
    <w:rsid w:val="0012123F"/>
    <w:rsid w:val="001212CC"/>
    <w:rsid w:val="00121331"/>
    <w:rsid w:val="00121460"/>
    <w:rsid w:val="001214A1"/>
    <w:rsid w:val="001217E3"/>
    <w:rsid w:val="00121A80"/>
    <w:rsid w:val="00121AC0"/>
    <w:rsid w:val="00121BF6"/>
    <w:rsid w:val="00121CD9"/>
    <w:rsid w:val="00121F96"/>
    <w:rsid w:val="00121F97"/>
    <w:rsid w:val="001220B3"/>
    <w:rsid w:val="001220C9"/>
    <w:rsid w:val="00122645"/>
    <w:rsid w:val="00122729"/>
    <w:rsid w:val="00122AE3"/>
    <w:rsid w:val="00122DAD"/>
    <w:rsid w:val="00122EE1"/>
    <w:rsid w:val="00122FFA"/>
    <w:rsid w:val="0012304C"/>
    <w:rsid w:val="00123131"/>
    <w:rsid w:val="00123333"/>
    <w:rsid w:val="001233DD"/>
    <w:rsid w:val="001235E9"/>
    <w:rsid w:val="00123658"/>
    <w:rsid w:val="0012379F"/>
    <w:rsid w:val="001237AF"/>
    <w:rsid w:val="001237D9"/>
    <w:rsid w:val="00123900"/>
    <w:rsid w:val="00123947"/>
    <w:rsid w:val="001239C6"/>
    <w:rsid w:val="00123A0A"/>
    <w:rsid w:val="00123D12"/>
    <w:rsid w:val="00123D5B"/>
    <w:rsid w:val="00123DD0"/>
    <w:rsid w:val="001240AE"/>
    <w:rsid w:val="001240B6"/>
    <w:rsid w:val="0012416D"/>
    <w:rsid w:val="001241E6"/>
    <w:rsid w:val="00124415"/>
    <w:rsid w:val="00124658"/>
    <w:rsid w:val="001247EB"/>
    <w:rsid w:val="00124993"/>
    <w:rsid w:val="00124A41"/>
    <w:rsid w:val="00124A6E"/>
    <w:rsid w:val="00124C4F"/>
    <w:rsid w:val="00124CC7"/>
    <w:rsid w:val="00124D36"/>
    <w:rsid w:val="00124DCC"/>
    <w:rsid w:val="00124DF1"/>
    <w:rsid w:val="00124E09"/>
    <w:rsid w:val="00124E28"/>
    <w:rsid w:val="00124ED9"/>
    <w:rsid w:val="00124F3C"/>
    <w:rsid w:val="0012509B"/>
    <w:rsid w:val="0012513D"/>
    <w:rsid w:val="00125147"/>
    <w:rsid w:val="0012522C"/>
    <w:rsid w:val="001252F7"/>
    <w:rsid w:val="0012533D"/>
    <w:rsid w:val="00125371"/>
    <w:rsid w:val="00125375"/>
    <w:rsid w:val="0012542D"/>
    <w:rsid w:val="00125444"/>
    <w:rsid w:val="00125595"/>
    <w:rsid w:val="00125630"/>
    <w:rsid w:val="001256EB"/>
    <w:rsid w:val="0012576A"/>
    <w:rsid w:val="001257BA"/>
    <w:rsid w:val="001259D0"/>
    <w:rsid w:val="00125AF5"/>
    <w:rsid w:val="00125B61"/>
    <w:rsid w:val="00125D01"/>
    <w:rsid w:val="00125E94"/>
    <w:rsid w:val="00125EB1"/>
    <w:rsid w:val="00125EEA"/>
    <w:rsid w:val="00125FEA"/>
    <w:rsid w:val="00126122"/>
    <w:rsid w:val="0012632E"/>
    <w:rsid w:val="001263D3"/>
    <w:rsid w:val="001265FA"/>
    <w:rsid w:val="001267D2"/>
    <w:rsid w:val="00126849"/>
    <w:rsid w:val="0012687D"/>
    <w:rsid w:val="00126881"/>
    <w:rsid w:val="001269DB"/>
    <w:rsid w:val="00126A3A"/>
    <w:rsid w:val="00126AB0"/>
    <w:rsid w:val="00126AD3"/>
    <w:rsid w:val="00126B3C"/>
    <w:rsid w:val="00126D6D"/>
    <w:rsid w:val="00126F75"/>
    <w:rsid w:val="00127004"/>
    <w:rsid w:val="00127169"/>
    <w:rsid w:val="001271C0"/>
    <w:rsid w:val="001274EE"/>
    <w:rsid w:val="0012758D"/>
    <w:rsid w:val="001275A4"/>
    <w:rsid w:val="0012777A"/>
    <w:rsid w:val="00127853"/>
    <w:rsid w:val="001279BF"/>
    <w:rsid w:val="00127BBE"/>
    <w:rsid w:val="00127BD9"/>
    <w:rsid w:val="00127D27"/>
    <w:rsid w:val="00127E3E"/>
    <w:rsid w:val="00127ECC"/>
    <w:rsid w:val="00127F48"/>
    <w:rsid w:val="00127F74"/>
    <w:rsid w:val="001300B4"/>
    <w:rsid w:val="001301D3"/>
    <w:rsid w:val="001302A5"/>
    <w:rsid w:val="00130510"/>
    <w:rsid w:val="0013054D"/>
    <w:rsid w:val="001307A1"/>
    <w:rsid w:val="00130841"/>
    <w:rsid w:val="00130932"/>
    <w:rsid w:val="00130973"/>
    <w:rsid w:val="001309BB"/>
    <w:rsid w:val="00130B0B"/>
    <w:rsid w:val="00130B37"/>
    <w:rsid w:val="00130BC8"/>
    <w:rsid w:val="00130CAC"/>
    <w:rsid w:val="00130CBB"/>
    <w:rsid w:val="00130D30"/>
    <w:rsid w:val="00130D5E"/>
    <w:rsid w:val="00130FD6"/>
    <w:rsid w:val="00131001"/>
    <w:rsid w:val="00131030"/>
    <w:rsid w:val="0013106C"/>
    <w:rsid w:val="001310B2"/>
    <w:rsid w:val="0013126E"/>
    <w:rsid w:val="001313F1"/>
    <w:rsid w:val="00131861"/>
    <w:rsid w:val="001318D9"/>
    <w:rsid w:val="001319AE"/>
    <w:rsid w:val="00131B97"/>
    <w:rsid w:val="00131D45"/>
    <w:rsid w:val="00131E72"/>
    <w:rsid w:val="00131FA6"/>
    <w:rsid w:val="001320F0"/>
    <w:rsid w:val="0013215D"/>
    <w:rsid w:val="00132186"/>
    <w:rsid w:val="00132332"/>
    <w:rsid w:val="0013257E"/>
    <w:rsid w:val="001326B6"/>
    <w:rsid w:val="00132948"/>
    <w:rsid w:val="00132B49"/>
    <w:rsid w:val="00132EDD"/>
    <w:rsid w:val="00132F2D"/>
    <w:rsid w:val="00132FB6"/>
    <w:rsid w:val="0013303F"/>
    <w:rsid w:val="001330F2"/>
    <w:rsid w:val="001333A3"/>
    <w:rsid w:val="0013360C"/>
    <w:rsid w:val="001336E0"/>
    <w:rsid w:val="00133744"/>
    <w:rsid w:val="0013374D"/>
    <w:rsid w:val="001337B2"/>
    <w:rsid w:val="001338F2"/>
    <w:rsid w:val="00133A8D"/>
    <w:rsid w:val="00133B0E"/>
    <w:rsid w:val="00133C08"/>
    <w:rsid w:val="00133DF1"/>
    <w:rsid w:val="00133F1F"/>
    <w:rsid w:val="00133F34"/>
    <w:rsid w:val="00134043"/>
    <w:rsid w:val="0013411F"/>
    <w:rsid w:val="001341D0"/>
    <w:rsid w:val="001343BD"/>
    <w:rsid w:val="0013457C"/>
    <w:rsid w:val="00134645"/>
    <w:rsid w:val="0013464E"/>
    <w:rsid w:val="00134670"/>
    <w:rsid w:val="001346F4"/>
    <w:rsid w:val="001346F9"/>
    <w:rsid w:val="00134746"/>
    <w:rsid w:val="0013476E"/>
    <w:rsid w:val="001348B8"/>
    <w:rsid w:val="00134A78"/>
    <w:rsid w:val="00134AD4"/>
    <w:rsid w:val="00134D12"/>
    <w:rsid w:val="00134F6C"/>
    <w:rsid w:val="001350BC"/>
    <w:rsid w:val="001350DA"/>
    <w:rsid w:val="00135273"/>
    <w:rsid w:val="001355C4"/>
    <w:rsid w:val="0013568E"/>
    <w:rsid w:val="00135823"/>
    <w:rsid w:val="00135894"/>
    <w:rsid w:val="001358C1"/>
    <w:rsid w:val="0013595F"/>
    <w:rsid w:val="00135A2D"/>
    <w:rsid w:val="00135CF1"/>
    <w:rsid w:val="00135D59"/>
    <w:rsid w:val="00135D83"/>
    <w:rsid w:val="00135E0E"/>
    <w:rsid w:val="00135E49"/>
    <w:rsid w:val="00135FC9"/>
    <w:rsid w:val="0013605E"/>
    <w:rsid w:val="001361B0"/>
    <w:rsid w:val="00136292"/>
    <w:rsid w:val="001362A5"/>
    <w:rsid w:val="001362FE"/>
    <w:rsid w:val="001364A3"/>
    <w:rsid w:val="001364E9"/>
    <w:rsid w:val="0013652F"/>
    <w:rsid w:val="001366ED"/>
    <w:rsid w:val="001367F0"/>
    <w:rsid w:val="00136810"/>
    <w:rsid w:val="0013685D"/>
    <w:rsid w:val="00136907"/>
    <w:rsid w:val="0013695E"/>
    <w:rsid w:val="00136A90"/>
    <w:rsid w:val="00136A9E"/>
    <w:rsid w:val="00136B5E"/>
    <w:rsid w:val="00136B96"/>
    <w:rsid w:val="00136FED"/>
    <w:rsid w:val="00137090"/>
    <w:rsid w:val="001371C3"/>
    <w:rsid w:val="00137249"/>
    <w:rsid w:val="001373EB"/>
    <w:rsid w:val="00137425"/>
    <w:rsid w:val="0013742A"/>
    <w:rsid w:val="0013767C"/>
    <w:rsid w:val="001376D2"/>
    <w:rsid w:val="00137728"/>
    <w:rsid w:val="00137856"/>
    <w:rsid w:val="00137887"/>
    <w:rsid w:val="00137A0A"/>
    <w:rsid w:val="00137A60"/>
    <w:rsid w:val="00137AAD"/>
    <w:rsid w:val="00137AF5"/>
    <w:rsid w:val="00137B1D"/>
    <w:rsid w:val="00137D6D"/>
    <w:rsid w:val="00137E7F"/>
    <w:rsid w:val="00140004"/>
    <w:rsid w:val="001400BE"/>
    <w:rsid w:val="001400C6"/>
    <w:rsid w:val="001400F4"/>
    <w:rsid w:val="00140193"/>
    <w:rsid w:val="001401A5"/>
    <w:rsid w:val="0014031B"/>
    <w:rsid w:val="001403E6"/>
    <w:rsid w:val="001404BE"/>
    <w:rsid w:val="00140543"/>
    <w:rsid w:val="001406CC"/>
    <w:rsid w:val="00140771"/>
    <w:rsid w:val="001408A2"/>
    <w:rsid w:val="001409D6"/>
    <w:rsid w:val="00140AE2"/>
    <w:rsid w:val="00140B22"/>
    <w:rsid w:val="00140B3F"/>
    <w:rsid w:val="00140B6D"/>
    <w:rsid w:val="00140C3F"/>
    <w:rsid w:val="00140D01"/>
    <w:rsid w:val="00140D32"/>
    <w:rsid w:val="00140EC4"/>
    <w:rsid w:val="00140FEE"/>
    <w:rsid w:val="001411E4"/>
    <w:rsid w:val="00141274"/>
    <w:rsid w:val="0014156D"/>
    <w:rsid w:val="001415C3"/>
    <w:rsid w:val="001415E6"/>
    <w:rsid w:val="00141695"/>
    <w:rsid w:val="001416CB"/>
    <w:rsid w:val="0014170E"/>
    <w:rsid w:val="00141803"/>
    <w:rsid w:val="00141938"/>
    <w:rsid w:val="00141AC7"/>
    <w:rsid w:val="00141ACF"/>
    <w:rsid w:val="00141D99"/>
    <w:rsid w:val="00141DA9"/>
    <w:rsid w:val="00141DF8"/>
    <w:rsid w:val="00141E21"/>
    <w:rsid w:val="00141E62"/>
    <w:rsid w:val="00141EF8"/>
    <w:rsid w:val="00141F9D"/>
    <w:rsid w:val="00142023"/>
    <w:rsid w:val="00142093"/>
    <w:rsid w:val="0014212C"/>
    <w:rsid w:val="00142456"/>
    <w:rsid w:val="001424FF"/>
    <w:rsid w:val="001425B5"/>
    <w:rsid w:val="0014278F"/>
    <w:rsid w:val="001427FE"/>
    <w:rsid w:val="0014292F"/>
    <w:rsid w:val="00142981"/>
    <w:rsid w:val="00142A45"/>
    <w:rsid w:val="00142ADE"/>
    <w:rsid w:val="00142C63"/>
    <w:rsid w:val="00142C75"/>
    <w:rsid w:val="00142E0D"/>
    <w:rsid w:val="00142E5D"/>
    <w:rsid w:val="001430AE"/>
    <w:rsid w:val="001431D6"/>
    <w:rsid w:val="0014326A"/>
    <w:rsid w:val="00143478"/>
    <w:rsid w:val="00143693"/>
    <w:rsid w:val="00143967"/>
    <w:rsid w:val="00143A3A"/>
    <w:rsid w:val="00143C42"/>
    <w:rsid w:val="00143CA7"/>
    <w:rsid w:val="00143E98"/>
    <w:rsid w:val="00143F1C"/>
    <w:rsid w:val="00143F2F"/>
    <w:rsid w:val="00144032"/>
    <w:rsid w:val="00144095"/>
    <w:rsid w:val="00144191"/>
    <w:rsid w:val="001441D4"/>
    <w:rsid w:val="0014453B"/>
    <w:rsid w:val="001446FD"/>
    <w:rsid w:val="001448A4"/>
    <w:rsid w:val="00144AB4"/>
    <w:rsid w:val="00144AC7"/>
    <w:rsid w:val="00144B0F"/>
    <w:rsid w:val="00144B21"/>
    <w:rsid w:val="00144BFA"/>
    <w:rsid w:val="00144D3F"/>
    <w:rsid w:val="00144E50"/>
    <w:rsid w:val="00144F88"/>
    <w:rsid w:val="001452C5"/>
    <w:rsid w:val="001452FA"/>
    <w:rsid w:val="00145346"/>
    <w:rsid w:val="001455A2"/>
    <w:rsid w:val="001456FC"/>
    <w:rsid w:val="001457A6"/>
    <w:rsid w:val="001457D2"/>
    <w:rsid w:val="00145829"/>
    <w:rsid w:val="00145859"/>
    <w:rsid w:val="001459BD"/>
    <w:rsid w:val="00145AB8"/>
    <w:rsid w:val="00145C4A"/>
    <w:rsid w:val="00145C6F"/>
    <w:rsid w:val="00145D41"/>
    <w:rsid w:val="00145D66"/>
    <w:rsid w:val="00145D68"/>
    <w:rsid w:val="00145DB0"/>
    <w:rsid w:val="001460B9"/>
    <w:rsid w:val="0014611A"/>
    <w:rsid w:val="00146124"/>
    <w:rsid w:val="00146127"/>
    <w:rsid w:val="00146186"/>
    <w:rsid w:val="00146198"/>
    <w:rsid w:val="001461FC"/>
    <w:rsid w:val="0014628F"/>
    <w:rsid w:val="00146475"/>
    <w:rsid w:val="0014651A"/>
    <w:rsid w:val="0014654D"/>
    <w:rsid w:val="00146575"/>
    <w:rsid w:val="0014657E"/>
    <w:rsid w:val="00146624"/>
    <w:rsid w:val="0014686E"/>
    <w:rsid w:val="001468C4"/>
    <w:rsid w:val="00146989"/>
    <w:rsid w:val="00146993"/>
    <w:rsid w:val="00146A3B"/>
    <w:rsid w:val="00146A5F"/>
    <w:rsid w:val="00146BE0"/>
    <w:rsid w:val="00146C9B"/>
    <w:rsid w:val="00146D48"/>
    <w:rsid w:val="00146E2B"/>
    <w:rsid w:val="00146E95"/>
    <w:rsid w:val="00147045"/>
    <w:rsid w:val="001470A6"/>
    <w:rsid w:val="00147233"/>
    <w:rsid w:val="001472BB"/>
    <w:rsid w:val="00147369"/>
    <w:rsid w:val="0014737D"/>
    <w:rsid w:val="001473ED"/>
    <w:rsid w:val="0014743B"/>
    <w:rsid w:val="001475CF"/>
    <w:rsid w:val="00147724"/>
    <w:rsid w:val="0014781E"/>
    <w:rsid w:val="00147A3B"/>
    <w:rsid w:val="00147A93"/>
    <w:rsid w:val="00147A96"/>
    <w:rsid w:val="00147ABA"/>
    <w:rsid w:val="00147B11"/>
    <w:rsid w:val="00147C44"/>
    <w:rsid w:val="00147E35"/>
    <w:rsid w:val="00147F92"/>
    <w:rsid w:val="001500AC"/>
    <w:rsid w:val="0015016F"/>
    <w:rsid w:val="001502B0"/>
    <w:rsid w:val="001502CD"/>
    <w:rsid w:val="0015031A"/>
    <w:rsid w:val="0015033C"/>
    <w:rsid w:val="00150376"/>
    <w:rsid w:val="0015046E"/>
    <w:rsid w:val="00150511"/>
    <w:rsid w:val="0015061B"/>
    <w:rsid w:val="0015070A"/>
    <w:rsid w:val="00150A15"/>
    <w:rsid w:val="00150A44"/>
    <w:rsid w:val="00150BFB"/>
    <w:rsid w:val="00150CDF"/>
    <w:rsid w:val="0015118E"/>
    <w:rsid w:val="001512EC"/>
    <w:rsid w:val="00151313"/>
    <w:rsid w:val="001513EB"/>
    <w:rsid w:val="00151401"/>
    <w:rsid w:val="001514B8"/>
    <w:rsid w:val="001515AA"/>
    <w:rsid w:val="00151603"/>
    <w:rsid w:val="0015165E"/>
    <w:rsid w:val="00151699"/>
    <w:rsid w:val="00151754"/>
    <w:rsid w:val="001517B4"/>
    <w:rsid w:val="001519E4"/>
    <w:rsid w:val="00151A30"/>
    <w:rsid w:val="00151A8D"/>
    <w:rsid w:val="00151A9D"/>
    <w:rsid w:val="00151B65"/>
    <w:rsid w:val="00151C50"/>
    <w:rsid w:val="00151DBD"/>
    <w:rsid w:val="00151F2C"/>
    <w:rsid w:val="00151F98"/>
    <w:rsid w:val="001520D4"/>
    <w:rsid w:val="001520F8"/>
    <w:rsid w:val="001521B7"/>
    <w:rsid w:val="001521DE"/>
    <w:rsid w:val="001522EB"/>
    <w:rsid w:val="00152336"/>
    <w:rsid w:val="001525EF"/>
    <w:rsid w:val="00152652"/>
    <w:rsid w:val="00152A58"/>
    <w:rsid w:val="00152B28"/>
    <w:rsid w:val="00152B2D"/>
    <w:rsid w:val="00152CB2"/>
    <w:rsid w:val="00152D79"/>
    <w:rsid w:val="00152DFC"/>
    <w:rsid w:val="00152EBD"/>
    <w:rsid w:val="00153141"/>
    <w:rsid w:val="0015314B"/>
    <w:rsid w:val="0015319A"/>
    <w:rsid w:val="001531D6"/>
    <w:rsid w:val="001531FE"/>
    <w:rsid w:val="00153294"/>
    <w:rsid w:val="001534A7"/>
    <w:rsid w:val="00153738"/>
    <w:rsid w:val="0015374D"/>
    <w:rsid w:val="001537D8"/>
    <w:rsid w:val="001538A4"/>
    <w:rsid w:val="00153A36"/>
    <w:rsid w:val="00153AA8"/>
    <w:rsid w:val="00153BAC"/>
    <w:rsid w:val="00153BFE"/>
    <w:rsid w:val="00153C69"/>
    <w:rsid w:val="00153D95"/>
    <w:rsid w:val="00153D9B"/>
    <w:rsid w:val="00153F7B"/>
    <w:rsid w:val="00153FBE"/>
    <w:rsid w:val="0015421A"/>
    <w:rsid w:val="00154480"/>
    <w:rsid w:val="0015451C"/>
    <w:rsid w:val="00154BB7"/>
    <w:rsid w:val="00154C16"/>
    <w:rsid w:val="00154C29"/>
    <w:rsid w:val="00154C3B"/>
    <w:rsid w:val="00154CB7"/>
    <w:rsid w:val="00154CD8"/>
    <w:rsid w:val="00154CE1"/>
    <w:rsid w:val="00154DC7"/>
    <w:rsid w:val="00154E6D"/>
    <w:rsid w:val="00154EAC"/>
    <w:rsid w:val="00154EF6"/>
    <w:rsid w:val="0015503D"/>
    <w:rsid w:val="0015516B"/>
    <w:rsid w:val="00155434"/>
    <w:rsid w:val="00155646"/>
    <w:rsid w:val="00155677"/>
    <w:rsid w:val="001556B9"/>
    <w:rsid w:val="001557C0"/>
    <w:rsid w:val="001558BC"/>
    <w:rsid w:val="00155A98"/>
    <w:rsid w:val="00155BDA"/>
    <w:rsid w:val="00155BE5"/>
    <w:rsid w:val="00155C8F"/>
    <w:rsid w:val="00155D55"/>
    <w:rsid w:val="00155EAB"/>
    <w:rsid w:val="00155EB2"/>
    <w:rsid w:val="00155EDD"/>
    <w:rsid w:val="0015619A"/>
    <w:rsid w:val="001561D2"/>
    <w:rsid w:val="0015626C"/>
    <w:rsid w:val="001563AC"/>
    <w:rsid w:val="00156423"/>
    <w:rsid w:val="00156479"/>
    <w:rsid w:val="001564A7"/>
    <w:rsid w:val="00156683"/>
    <w:rsid w:val="0015671A"/>
    <w:rsid w:val="001567CB"/>
    <w:rsid w:val="0015686D"/>
    <w:rsid w:val="001568DE"/>
    <w:rsid w:val="0015699E"/>
    <w:rsid w:val="001569C1"/>
    <w:rsid w:val="00156B69"/>
    <w:rsid w:val="00156EB2"/>
    <w:rsid w:val="00156FA7"/>
    <w:rsid w:val="001571EA"/>
    <w:rsid w:val="0015743B"/>
    <w:rsid w:val="00157626"/>
    <w:rsid w:val="001577B8"/>
    <w:rsid w:val="00157888"/>
    <w:rsid w:val="00157C4A"/>
    <w:rsid w:val="00160045"/>
    <w:rsid w:val="0016022B"/>
    <w:rsid w:val="0016023A"/>
    <w:rsid w:val="0016024A"/>
    <w:rsid w:val="0016026E"/>
    <w:rsid w:val="0016029A"/>
    <w:rsid w:val="0016030D"/>
    <w:rsid w:val="001604D5"/>
    <w:rsid w:val="001605E0"/>
    <w:rsid w:val="00160699"/>
    <w:rsid w:val="001608A7"/>
    <w:rsid w:val="00160901"/>
    <w:rsid w:val="0016091C"/>
    <w:rsid w:val="00160A6E"/>
    <w:rsid w:val="00160A85"/>
    <w:rsid w:val="00160B4D"/>
    <w:rsid w:val="00160BD6"/>
    <w:rsid w:val="00160CC3"/>
    <w:rsid w:val="00160F1D"/>
    <w:rsid w:val="00160F21"/>
    <w:rsid w:val="00160F50"/>
    <w:rsid w:val="00160F5A"/>
    <w:rsid w:val="00160FDD"/>
    <w:rsid w:val="001611F5"/>
    <w:rsid w:val="0016122F"/>
    <w:rsid w:val="00161291"/>
    <w:rsid w:val="00161662"/>
    <w:rsid w:val="001617D3"/>
    <w:rsid w:val="0016193D"/>
    <w:rsid w:val="00161A37"/>
    <w:rsid w:val="00161B5A"/>
    <w:rsid w:val="00161C04"/>
    <w:rsid w:val="00161C41"/>
    <w:rsid w:val="00161C43"/>
    <w:rsid w:val="00161C82"/>
    <w:rsid w:val="00161CE0"/>
    <w:rsid w:val="00161D79"/>
    <w:rsid w:val="00161EBF"/>
    <w:rsid w:val="00161EC8"/>
    <w:rsid w:val="00161F7B"/>
    <w:rsid w:val="001620E1"/>
    <w:rsid w:val="00162151"/>
    <w:rsid w:val="001621B1"/>
    <w:rsid w:val="00162234"/>
    <w:rsid w:val="00162462"/>
    <w:rsid w:val="0016255B"/>
    <w:rsid w:val="00162781"/>
    <w:rsid w:val="001629B7"/>
    <w:rsid w:val="00162AB6"/>
    <w:rsid w:val="00162BA0"/>
    <w:rsid w:val="00162BB5"/>
    <w:rsid w:val="00162BE2"/>
    <w:rsid w:val="00162D01"/>
    <w:rsid w:val="00162DBF"/>
    <w:rsid w:val="00162E3B"/>
    <w:rsid w:val="00162EB5"/>
    <w:rsid w:val="00162F5C"/>
    <w:rsid w:val="001631A2"/>
    <w:rsid w:val="0016335C"/>
    <w:rsid w:val="001636B6"/>
    <w:rsid w:val="00163832"/>
    <w:rsid w:val="001639BF"/>
    <w:rsid w:val="00163D7D"/>
    <w:rsid w:val="00163F9A"/>
    <w:rsid w:val="00163FC4"/>
    <w:rsid w:val="001643A0"/>
    <w:rsid w:val="0016462B"/>
    <w:rsid w:val="001646FF"/>
    <w:rsid w:val="0016479F"/>
    <w:rsid w:val="001647B7"/>
    <w:rsid w:val="001648E4"/>
    <w:rsid w:val="00164930"/>
    <w:rsid w:val="00164A51"/>
    <w:rsid w:val="00164CF8"/>
    <w:rsid w:val="00164D23"/>
    <w:rsid w:val="00164D2D"/>
    <w:rsid w:val="00164ED4"/>
    <w:rsid w:val="00164F62"/>
    <w:rsid w:val="00164F6C"/>
    <w:rsid w:val="00164FEA"/>
    <w:rsid w:val="001650D6"/>
    <w:rsid w:val="0016510F"/>
    <w:rsid w:val="001652D1"/>
    <w:rsid w:val="001652F7"/>
    <w:rsid w:val="001652F9"/>
    <w:rsid w:val="00165302"/>
    <w:rsid w:val="0016532D"/>
    <w:rsid w:val="001653A5"/>
    <w:rsid w:val="001653AE"/>
    <w:rsid w:val="001653B3"/>
    <w:rsid w:val="0016548D"/>
    <w:rsid w:val="0016550C"/>
    <w:rsid w:val="00165523"/>
    <w:rsid w:val="001657B9"/>
    <w:rsid w:val="001658B6"/>
    <w:rsid w:val="00165A9E"/>
    <w:rsid w:val="00165B53"/>
    <w:rsid w:val="00165C8F"/>
    <w:rsid w:val="00165D4E"/>
    <w:rsid w:val="00165DE2"/>
    <w:rsid w:val="00165EF7"/>
    <w:rsid w:val="00165F21"/>
    <w:rsid w:val="00166020"/>
    <w:rsid w:val="00166130"/>
    <w:rsid w:val="001661DF"/>
    <w:rsid w:val="00166248"/>
    <w:rsid w:val="0016627D"/>
    <w:rsid w:val="001665BE"/>
    <w:rsid w:val="001668BA"/>
    <w:rsid w:val="001669C2"/>
    <w:rsid w:val="00166C6A"/>
    <w:rsid w:val="00166CB1"/>
    <w:rsid w:val="00166D30"/>
    <w:rsid w:val="00166FBA"/>
    <w:rsid w:val="00166FF1"/>
    <w:rsid w:val="0016704C"/>
    <w:rsid w:val="001670BB"/>
    <w:rsid w:val="0016718E"/>
    <w:rsid w:val="001671D9"/>
    <w:rsid w:val="0016728B"/>
    <w:rsid w:val="001672C2"/>
    <w:rsid w:val="001672DB"/>
    <w:rsid w:val="00167304"/>
    <w:rsid w:val="001673D1"/>
    <w:rsid w:val="001674EF"/>
    <w:rsid w:val="001675EA"/>
    <w:rsid w:val="001677E2"/>
    <w:rsid w:val="00167BAC"/>
    <w:rsid w:val="00167DA2"/>
    <w:rsid w:val="00167DB7"/>
    <w:rsid w:val="00167F73"/>
    <w:rsid w:val="00170047"/>
    <w:rsid w:val="0017013A"/>
    <w:rsid w:val="00170185"/>
    <w:rsid w:val="001702CA"/>
    <w:rsid w:val="00170306"/>
    <w:rsid w:val="00170460"/>
    <w:rsid w:val="00170483"/>
    <w:rsid w:val="00170711"/>
    <w:rsid w:val="001707D5"/>
    <w:rsid w:val="00170A46"/>
    <w:rsid w:val="00170AB5"/>
    <w:rsid w:val="00170B80"/>
    <w:rsid w:val="00170BCF"/>
    <w:rsid w:val="00170BDC"/>
    <w:rsid w:val="00170C06"/>
    <w:rsid w:val="00170C0C"/>
    <w:rsid w:val="00170D12"/>
    <w:rsid w:val="00170D5B"/>
    <w:rsid w:val="00170DC2"/>
    <w:rsid w:val="00170E92"/>
    <w:rsid w:val="00170E95"/>
    <w:rsid w:val="00170ED7"/>
    <w:rsid w:val="00170F05"/>
    <w:rsid w:val="001710AB"/>
    <w:rsid w:val="001714AF"/>
    <w:rsid w:val="001714CC"/>
    <w:rsid w:val="00171514"/>
    <w:rsid w:val="00171565"/>
    <w:rsid w:val="00171B06"/>
    <w:rsid w:val="00171B7B"/>
    <w:rsid w:val="00171C50"/>
    <w:rsid w:val="00171D27"/>
    <w:rsid w:val="00171DAA"/>
    <w:rsid w:val="00171DDA"/>
    <w:rsid w:val="00171E01"/>
    <w:rsid w:val="00171EDF"/>
    <w:rsid w:val="00172010"/>
    <w:rsid w:val="0017209D"/>
    <w:rsid w:val="0017219B"/>
    <w:rsid w:val="0017220C"/>
    <w:rsid w:val="00172213"/>
    <w:rsid w:val="0017226A"/>
    <w:rsid w:val="0017235F"/>
    <w:rsid w:val="00172462"/>
    <w:rsid w:val="0017247D"/>
    <w:rsid w:val="001724A8"/>
    <w:rsid w:val="001724DD"/>
    <w:rsid w:val="00172541"/>
    <w:rsid w:val="0017254A"/>
    <w:rsid w:val="001725FB"/>
    <w:rsid w:val="0017270E"/>
    <w:rsid w:val="001727C2"/>
    <w:rsid w:val="0017282F"/>
    <w:rsid w:val="0017292D"/>
    <w:rsid w:val="00172991"/>
    <w:rsid w:val="00172B8F"/>
    <w:rsid w:val="00172D20"/>
    <w:rsid w:val="00172DF3"/>
    <w:rsid w:val="00172DFA"/>
    <w:rsid w:val="00172E09"/>
    <w:rsid w:val="00172E9F"/>
    <w:rsid w:val="00172FBA"/>
    <w:rsid w:val="00173038"/>
    <w:rsid w:val="001730AF"/>
    <w:rsid w:val="0017313A"/>
    <w:rsid w:val="0017316A"/>
    <w:rsid w:val="001731B7"/>
    <w:rsid w:val="0017320C"/>
    <w:rsid w:val="00173226"/>
    <w:rsid w:val="001732A2"/>
    <w:rsid w:val="001732D1"/>
    <w:rsid w:val="0017367E"/>
    <w:rsid w:val="001736F6"/>
    <w:rsid w:val="001736F8"/>
    <w:rsid w:val="0017391D"/>
    <w:rsid w:val="00173AF7"/>
    <w:rsid w:val="00173C3A"/>
    <w:rsid w:val="00173D85"/>
    <w:rsid w:val="00173E54"/>
    <w:rsid w:val="00173E9F"/>
    <w:rsid w:val="00173EA0"/>
    <w:rsid w:val="00173EE0"/>
    <w:rsid w:val="00173F61"/>
    <w:rsid w:val="00174010"/>
    <w:rsid w:val="001740BF"/>
    <w:rsid w:val="001740D7"/>
    <w:rsid w:val="001741A2"/>
    <w:rsid w:val="001743FA"/>
    <w:rsid w:val="001744CF"/>
    <w:rsid w:val="00174631"/>
    <w:rsid w:val="00174A24"/>
    <w:rsid w:val="00174BC6"/>
    <w:rsid w:val="00174BC8"/>
    <w:rsid w:val="00174C2C"/>
    <w:rsid w:val="00174CB0"/>
    <w:rsid w:val="00174D91"/>
    <w:rsid w:val="00174DE0"/>
    <w:rsid w:val="00174E79"/>
    <w:rsid w:val="00174FA0"/>
    <w:rsid w:val="00174FB3"/>
    <w:rsid w:val="00174FD4"/>
    <w:rsid w:val="0017511F"/>
    <w:rsid w:val="0017551A"/>
    <w:rsid w:val="001755A2"/>
    <w:rsid w:val="00175691"/>
    <w:rsid w:val="001757D7"/>
    <w:rsid w:val="00175932"/>
    <w:rsid w:val="001759F6"/>
    <w:rsid w:val="00175B2F"/>
    <w:rsid w:val="00175CDA"/>
    <w:rsid w:val="00175D1F"/>
    <w:rsid w:val="00175D77"/>
    <w:rsid w:val="00175E45"/>
    <w:rsid w:val="00175E4E"/>
    <w:rsid w:val="00175F45"/>
    <w:rsid w:val="00175F47"/>
    <w:rsid w:val="00176193"/>
    <w:rsid w:val="0017635F"/>
    <w:rsid w:val="0017669F"/>
    <w:rsid w:val="0017679E"/>
    <w:rsid w:val="001767D7"/>
    <w:rsid w:val="00176821"/>
    <w:rsid w:val="00176970"/>
    <w:rsid w:val="00176BC2"/>
    <w:rsid w:val="00176C1C"/>
    <w:rsid w:val="00176C86"/>
    <w:rsid w:val="00176D0B"/>
    <w:rsid w:val="00176D19"/>
    <w:rsid w:val="00176D63"/>
    <w:rsid w:val="00176DFC"/>
    <w:rsid w:val="00176F7D"/>
    <w:rsid w:val="00176FF4"/>
    <w:rsid w:val="00177070"/>
    <w:rsid w:val="001771A0"/>
    <w:rsid w:val="001771B4"/>
    <w:rsid w:val="001771CA"/>
    <w:rsid w:val="001771DF"/>
    <w:rsid w:val="00177251"/>
    <w:rsid w:val="0017728E"/>
    <w:rsid w:val="001774BF"/>
    <w:rsid w:val="0017751C"/>
    <w:rsid w:val="00177532"/>
    <w:rsid w:val="001775DB"/>
    <w:rsid w:val="001777BC"/>
    <w:rsid w:val="001777F5"/>
    <w:rsid w:val="00177819"/>
    <w:rsid w:val="0017786A"/>
    <w:rsid w:val="00177880"/>
    <w:rsid w:val="0017791C"/>
    <w:rsid w:val="00177A44"/>
    <w:rsid w:val="00177A4D"/>
    <w:rsid w:val="00177AB9"/>
    <w:rsid w:val="00177B80"/>
    <w:rsid w:val="00177D1D"/>
    <w:rsid w:val="00177D67"/>
    <w:rsid w:val="00177E31"/>
    <w:rsid w:val="00177FF9"/>
    <w:rsid w:val="001800D9"/>
    <w:rsid w:val="0018026D"/>
    <w:rsid w:val="0018042D"/>
    <w:rsid w:val="00180457"/>
    <w:rsid w:val="001804C3"/>
    <w:rsid w:val="001804DA"/>
    <w:rsid w:val="0018088E"/>
    <w:rsid w:val="00180E5B"/>
    <w:rsid w:val="00180E8A"/>
    <w:rsid w:val="0018103E"/>
    <w:rsid w:val="001811A9"/>
    <w:rsid w:val="001812BD"/>
    <w:rsid w:val="00181398"/>
    <w:rsid w:val="0018168D"/>
    <w:rsid w:val="0018180B"/>
    <w:rsid w:val="0018183F"/>
    <w:rsid w:val="0018184C"/>
    <w:rsid w:val="0018185D"/>
    <w:rsid w:val="00181915"/>
    <w:rsid w:val="00181CC8"/>
    <w:rsid w:val="00181D43"/>
    <w:rsid w:val="00181E25"/>
    <w:rsid w:val="00181E3F"/>
    <w:rsid w:val="0018217C"/>
    <w:rsid w:val="001821E9"/>
    <w:rsid w:val="00182263"/>
    <w:rsid w:val="001823C3"/>
    <w:rsid w:val="00182484"/>
    <w:rsid w:val="001824AC"/>
    <w:rsid w:val="001824BB"/>
    <w:rsid w:val="00182512"/>
    <w:rsid w:val="001825C9"/>
    <w:rsid w:val="00182633"/>
    <w:rsid w:val="00182648"/>
    <w:rsid w:val="001826CB"/>
    <w:rsid w:val="00182884"/>
    <w:rsid w:val="001828AE"/>
    <w:rsid w:val="00182975"/>
    <w:rsid w:val="00182B02"/>
    <w:rsid w:val="00182C42"/>
    <w:rsid w:val="00182DC9"/>
    <w:rsid w:val="00182DD5"/>
    <w:rsid w:val="00182E25"/>
    <w:rsid w:val="00182E2C"/>
    <w:rsid w:val="00182E55"/>
    <w:rsid w:val="00182F48"/>
    <w:rsid w:val="0018312B"/>
    <w:rsid w:val="00183158"/>
    <w:rsid w:val="00183214"/>
    <w:rsid w:val="00183609"/>
    <w:rsid w:val="001836BE"/>
    <w:rsid w:val="001837F5"/>
    <w:rsid w:val="001838F7"/>
    <w:rsid w:val="00183A5A"/>
    <w:rsid w:val="00183B65"/>
    <w:rsid w:val="00183BB9"/>
    <w:rsid w:val="00183BCD"/>
    <w:rsid w:val="00183CD7"/>
    <w:rsid w:val="00183D0A"/>
    <w:rsid w:val="00183DE0"/>
    <w:rsid w:val="00183EA1"/>
    <w:rsid w:val="00184118"/>
    <w:rsid w:val="0018412C"/>
    <w:rsid w:val="00184255"/>
    <w:rsid w:val="00184292"/>
    <w:rsid w:val="001843BB"/>
    <w:rsid w:val="001843EA"/>
    <w:rsid w:val="00184480"/>
    <w:rsid w:val="00184483"/>
    <w:rsid w:val="001845A0"/>
    <w:rsid w:val="001845DC"/>
    <w:rsid w:val="001845EE"/>
    <w:rsid w:val="0018469D"/>
    <w:rsid w:val="00184747"/>
    <w:rsid w:val="0018484B"/>
    <w:rsid w:val="00184A33"/>
    <w:rsid w:val="00184A5C"/>
    <w:rsid w:val="00184BAE"/>
    <w:rsid w:val="00184BCD"/>
    <w:rsid w:val="00184D01"/>
    <w:rsid w:val="00184D84"/>
    <w:rsid w:val="00184D94"/>
    <w:rsid w:val="00184E08"/>
    <w:rsid w:val="00185128"/>
    <w:rsid w:val="00185227"/>
    <w:rsid w:val="00185349"/>
    <w:rsid w:val="00185463"/>
    <w:rsid w:val="001855C0"/>
    <w:rsid w:val="001855EF"/>
    <w:rsid w:val="0018562C"/>
    <w:rsid w:val="00185A8D"/>
    <w:rsid w:val="00185B3E"/>
    <w:rsid w:val="00185E1C"/>
    <w:rsid w:val="00185F8F"/>
    <w:rsid w:val="00185FB9"/>
    <w:rsid w:val="00186034"/>
    <w:rsid w:val="0018609B"/>
    <w:rsid w:val="0018621A"/>
    <w:rsid w:val="001863C7"/>
    <w:rsid w:val="00186567"/>
    <w:rsid w:val="001865E0"/>
    <w:rsid w:val="0018664B"/>
    <w:rsid w:val="001866E8"/>
    <w:rsid w:val="0018671A"/>
    <w:rsid w:val="00186B69"/>
    <w:rsid w:val="00186BDC"/>
    <w:rsid w:val="00186DB0"/>
    <w:rsid w:val="00186F13"/>
    <w:rsid w:val="00186F41"/>
    <w:rsid w:val="00186F9A"/>
    <w:rsid w:val="001870B5"/>
    <w:rsid w:val="00187317"/>
    <w:rsid w:val="00187412"/>
    <w:rsid w:val="001874A2"/>
    <w:rsid w:val="0018751F"/>
    <w:rsid w:val="0018756C"/>
    <w:rsid w:val="001875B2"/>
    <w:rsid w:val="00187689"/>
    <w:rsid w:val="001877C4"/>
    <w:rsid w:val="00187A6F"/>
    <w:rsid w:val="00187D9B"/>
    <w:rsid w:val="0019008C"/>
    <w:rsid w:val="001900CC"/>
    <w:rsid w:val="001900E7"/>
    <w:rsid w:val="0019019A"/>
    <w:rsid w:val="00190218"/>
    <w:rsid w:val="00190387"/>
    <w:rsid w:val="001903DE"/>
    <w:rsid w:val="0019044E"/>
    <w:rsid w:val="001904E0"/>
    <w:rsid w:val="00190602"/>
    <w:rsid w:val="00190734"/>
    <w:rsid w:val="00190891"/>
    <w:rsid w:val="00190BC3"/>
    <w:rsid w:val="00190C64"/>
    <w:rsid w:val="00190CD8"/>
    <w:rsid w:val="00190D63"/>
    <w:rsid w:val="00190F67"/>
    <w:rsid w:val="001911B6"/>
    <w:rsid w:val="001912DA"/>
    <w:rsid w:val="001913CD"/>
    <w:rsid w:val="00191463"/>
    <w:rsid w:val="001917BB"/>
    <w:rsid w:val="001918A6"/>
    <w:rsid w:val="00191968"/>
    <w:rsid w:val="001919DF"/>
    <w:rsid w:val="00191B00"/>
    <w:rsid w:val="00191D52"/>
    <w:rsid w:val="00191D85"/>
    <w:rsid w:val="00191E17"/>
    <w:rsid w:val="00192084"/>
    <w:rsid w:val="00192094"/>
    <w:rsid w:val="00192097"/>
    <w:rsid w:val="0019215C"/>
    <w:rsid w:val="001921A9"/>
    <w:rsid w:val="0019226D"/>
    <w:rsid w:val="00192453"/>
    <w:rsid w:val="001924EC"/>
    <w:rsid w:val="001926A8"/>
    <w:rsid w:val="001926C3"/>
    <w:rsid w:val="001927C3"/>
    <w:rsid w:val="00192838"/>
    <w:rsid w:val="0019286F"/>
    <w:rsid w:val="001928F3"/>
    <w:rsid w:val="00192C3B"/>
    <w:rsid w:val="00192F81"/>
    <w:rsid w:val="00192FCB"/>
    <w:rsid w:val="00193064"/>
    <w:rsid w:val="00193292"/>
    <w:rsid w:val="001932D8"/>
    <w:rsid w:val="0019362A"/>
    <w:rsid w:val="00193709"/>
    <w:rsid w:val="0019370B"/>
    <w:rsid w:val="0019378E"/>
    <w:rsid w:val="001937C4"/>
    <w:rsid w:val="0019381B"/>
    <w:rsid w:val="0019387F"/>
    <w:rsid w:val="0019393E"/>
    <w:rsid w:val="001939E5"/>
    <w:rsid w:val="00193A42"/>
    <w:rsid w:val="00193A54"/>
    <w:rsid w:val="00193A63"/>
    <w:rsid w:val="00193BBC"/>
    <w:rsid w:val="00193C03"/>
    <w:rsid w:val="00193D8A"/>
    <w:rsid w:val="00193F72"/>
    <w:rsid w:val="0019408C"/>
    <w:rsid w:val="00194110"/>
    <w:rsid w:val="001941F9"/>
    <w:rsid w:val="001942F0"/>
    <w:rsid w:val="00194366"/>
    <w:rsid w:val="00194582"/>
    <w:rsid w:val="0019473C"/>
    <w:rsid w:val="0019474B"/>
    <w:rsid w:val="0019474E"/>
    <w:rsid w:val="00194854"/>
    <w:rsid w:val="00194995"/>
    <w:rsid w:val="00194B7B"/>
    <w:rsid w:val="00194B95"/>
    <w:rsid w:val="00194CA1"/>
    <w:rsid w:val="00194CF2"/>
    <w:rsid w:val="00194FAC"/>
    <w:rsid w:val="00195003"/>
    <w:rsid w:val="001950A1"/>
    <w:rsid w:val="0019522D"/>
    <w:rsid w:val="001954B1"/>
    <w:rsid w:val="001954EF"/>
    <w:rsid w:val="001956D2"/>
    <w:rsid w:val="00195728"/>
    <w:rsid w:val="00195AA9"/>
    <w:rsid w:val="00195C6F"/>
    <w:rsid w:val="00195EBC"/>
    <w:rsid w:val="00195EEC"/>
    <w:rsid w:val="00195FC1"/>
    <w:rsid w:val="00195FCB"/>
    <w:rsid w:val="001961A7"/>
    <w:rsid w:val="001962BF"/>
    <w:rsid w:val="001962C6"/>
    <w:rsid w:val="00196454"/>
    <w:rsid w:val="001964B7"/>
    <w:rsid w:val="00196588"/>
    <w:rsid w:val="001965CD"/>
    <w:rsid w:val="001967DC"/>
    <w:rsid w:val="00196914"/>
    <w:rsid w:val="001969E2"/>
    <w:rsid w:val="001969E3"/>
    <w:rsid w:val="00196C8F"/>
    <w:rsid w:val="00196ECE"/>
    <w:rsid w:val="00196F5D"/>
    <w:rsid w:val="001970C0"/>
    <w:rsid w:val="0019719A"/>
    <w:rsid w:val="001971EE"/>
    <w:rsid w:val="0019726F"/>
    <w:rsid w:val="0019736E"/>
    <w:rsid w:val="001973BE"/>
    <w:rsid w:val="001975A1"/>
    <w:rsid w:val="001975EA"/>
    <w:rsid w:val="0019765E"/>
    <w:rsid w:val="00197B46"/>
    <w:rsid w:val="00197C5F"/>
    <w:rsid w:val="00197E0F"/>
    <w:rsid w:val="001A0171"/>
    <w:rsid w:val="001A01FA"/>
    <w:rsid w:val="001A046B"/>
    <w:rsid w:val="001A065E"/>
    <w:rsid w:val="001A06BF"/>
    <w:rsid w:val="001A073A"/>
    <w:rsid w:val="001A073E"/>
    <w:rsid w:val="001A0846"/>
    <w:rsid w:val="001A0857"/>
    <w:rsid w:val="001A0965"/>
    <w:rsid w:val="001A0A70"/>
    <w:rsid w:val="001A0AAB"/>
    <w:rsid w:val="001A0AEC"/>
    <w:rsid w:val="001A0B0C"/>
    <w:rsid w:val="001A0B24"/>
    <w:rsid w:val="001A0BAA"/>
    <w:rsid w:val="001A0D6A"/>
    <w:rsid w:val="001A0DE8"/>
    <w:rsid w:val="001A0F66"/>
    <w:rsid w:val="001A0F83"/>
    <w:rsid w:val="001A0FAD"/>
    <w:rsid w:val="001A1128"/>
    <w:rsid w:val="001A11FF"/>
    <w:rsid w:val="001A1243"/>
    <w:rsid w:val="001A1297"/>
    <w:rsid w:val="001A14F2"/>
    <w:rsid w:val="001A1708"/>
    <w:rsid w:val="001A18BE"/>
    <w:rsid w:val="001A194C"/>
    <w:rsid w:val="001A195A"/>
    <w:rsid w:val="001A1991"/>
    <w:rsid w:val="001A19AF"/>
    <w:rsid w:val="001A1B43"/>
    <w:rsid w:val="001A1B88"/>
    <w:rsid w:val="001A1BAB"/>
    <w:rsid w:val="001A1BF2"/>
    <w:rsid w:val="001A1CB7"/>
    <w:rsid w:val="001A1D6F"/>
    <w:rsid w:val="001A1DBA"/>
    <w:rsid w:val="001A20D4"/>
    <w:rsid w:val="001A215A"/>
    <w:rsid w:val="001A22B9"/>
    <w:rsid w:val="001A22BF"/>
    <w:rsid w:val="001A22CB"/>
    <w:rsid w:val="001A2387"/>
    <w:rsid w:val="001A25C4"/>
    <w:rsid w:val="001A2637"/>
    <w:rsid w:val="001A281D"/>
    <w:rsid w:val="001A28C4"/>
    <w:rsid w:val="001A28CA"/>
    <w:rsid w:val="001A2A17"/>
    <w:rsid w:val="001A2A3E"/>
    <w:rsid w:val="001A2E43"/>
    <w:rsid w:val="001A2F08"/>
    <w:rsid w:val="001A2F4F"/>
    <w:rsid w:val="001A3010"/>
    <w:rsid w:val="001A3251"/>
    <w:rsid w:val="001A3270"/>
    <w:rsid w:val="001A32B3"/>
    <w:rsid w:val="001A32DB"/>
    <w:rsid w:val="001A334C"/>
    <w:rsid w:val="001A34F1"/>
    <w:rsid w:val="001A3619"/>
    <w:rsid w:val="001A36FE"/>
    <w:rsid w:val="001A3714"/>
    <w:rsid w:val="001A3795"/>
    <w:rsid w:val="001A38E8"/>
    <w:rsid w:val="001A39F2"/>
    <w:rsid w:val="001A3B13"/>
    <w:rsid w:val="001A3B39"/>
    <w:rsid w:val="001A3B4A"/>
    <w:rsid w:val="001A3B90"/>
    <w:rsid w:val="001A3C47"/>
    <w:rsid w:val="001A3D71"/>
    <w:rsid w:val="001A3E10"/>
    <w:rsid w:val="001A3E96"/>
    <w:rsid w:val="001A3E9C"/>
    <w:rsid w:val="001A40D0"/>
    <w:rsid w:val="001A420B"/>
    <w:rsid w:val="001A445A"/>
    <w:rsid w:val="001A4474"/>
    <w:rsid w:val="001A4523"/>
    <w:rsid w:val="001A45EF"/>
    <w:rsid w:val="001A4601"/>
    <w:rsid w:val="001A484B"/>
    <w:rsid w:val="001A48BF"/>
    <w:rsid w:val="001A4989"/>
    <w:rsid w:val="001A49D9"/>
    <w:rsid w:val="001A4AA0"/>
    <w:rsid w:val="001A4AB8"/>
    <w:rsid w:val="001A4ADD"/>
    <w:rsid w:val="001A4B97"/>
    <w:rsid w:val="001A4BE9"/>
    <w:rsid w:val="001A4D14"/>
    <w:rsid w:val="001A4D22"/>
    <w:rsid w:val="001A4EDE"/>
    <w:rsid w:val="001A4F7D"/>
    <w:rsid w:val="001A50AA"/>
    <w:rsid w:val="001A50D2"/>
    <w:rsid w:val="001A5135"/>
    <w:rsid w:val="001A520A"/>
    <w:rsid w:val="001A52BC"/>
    <w:rsid w:val="001A5351"/>
    <w:rsid w:val="001A53C1"/>
    <w:rsid w:val="001A5518"/>
    <w:rsid w:val="001A5587"/>
    <w:rsid w:val="001A55F9"/>
    <w:rsid w:val="001A582A"/>
    <w:rsid w:val="001A5860"/>
    <w:rsid w:val="001A5878"/>
    <w:rsid w:val="001A58EC"/>
    <w:rsid w:val="001A5922"/>
    <w:rsid w:val="001A5AE2"/>
    <w:rsid w:val="001A5B01"/>
    <w:rsid w:val="001A5B4C"/>
    <w:rsid w:val="001A5B8A"/>
    <w:rsid w:val="001A5D95"/>
    <w:rsid w:val="001A5E8C"/>
    <w:rsid w:val="001A5F8E"/>
    <w:rsid w:val="001A5FDA"/>
    <w:rsid w:val="001A5FFD"/>
    <w:rsid w:val="001A6013"/>
    <w:rsid w:val="001A6022"/>
    <w:rsid w:val="001A64D5"/>
    <w:rsid w:val="001A665B"/>
    <w:rsid w:val="001A6744"/>
    <w:rsid w:val="001A6B6E"/>
    <w:rsid w:val="001A6D8E"/>
    <w:rsid w:val="001A6E8E"/>
    <w:rsid w:val="001A6F29"/>
    <w:rsid w:val="001A7099"/>
    <w:rsid w:val="001A71AB"/>
    <w:rsid w:val="001A7291"/>
    <w:rsid w:val="001A72B7"/>
    <w:rsid w:val="001A72DC"/>
    <w:rsid w:val="001A7314"/>
    <w:rsid w:val="001A75E0"/>
    <w:rsid w:val="001A75EF"/>
    <w:rsid w:val="001A7643"/>
    <w:rsid w:val="001A78CB"/>
    <w:rsid w:val="001A7976"/>
    <w:rsid w:val="001A79CF"/>
    <w:rsid w:val="001A7A00"/>
    <w:rsid w:val="001A7B20"/>
    <w:rsid w:val="001A7B42"/>
    <w:rsid w:val="001A7B47"/>
    <w:rsid w:val="001A7D6E"/>
    <w:rsid w:val="001A7D8F"/>
    <w:rsid w:val="001A7DA7"/>
    <w:rsid w:val="001A7DFC"/>
    <w:rsid w:val="001A7E1A"/>
    <w:rsid w:val="001B01B7"/>
    <w:rsid w:val="001B02ED"/>
    <w:rsid w:val="001B0391"/>
    <w:rsid w:val="001B03A1"/>
    <w:rsid w:val="001B0603"/>
    <w:rsid w:val="001B0617"/>
    <w:rsid w:val="001B06CD"/>
    <w:rsid w:val="001B09C5"/>
    <w:rsid w:val="001B0BA4"/>
    <w:rsid w:val="001B0C66"/>
    <w:rsid w:val="001B0D58"/>
    <w:rsid w:val="001B0E98"/>
    <w:rsid w:val="001B0ED2"/>
    <w:rsid w:val="001B0F05"/>
    <w:rsid w:val="001B1248"/>
    <w:rsid w:val="001B1249"/>
    <w:rsid w:val="001B1495"/>
    <w:rsid w:val="001B14F4"/>
    <w:rsid w:val="001B151A"/>
    <w:rsid w:val="001B1557"/>
    <w:rsid w:val="001B15A0"/>
    <w:rsid w:val="001B15D4"/>
    <w:rsid w:val="001B18BE"/>
    <w:rsid w:val="001B19BA"/>
    <w:rsid w:val="001B1B3E"/>
    <w:rsid w:val="001B1BBB"/>
    <w:rsid w:val="001B1C56"/>
    <w:rsid w:val="001B1D62"/>
    <w:rsid w:val="001B1E47"/>
    <w:rsid w:val="001B1EF1"/>
    <w:rsid w:val="001B1F5B"/>
    <w:rsid w:val="001B2214"/>
    <w:rsid w:val="001B22D5"/>
    <w:rsid w:val="001B22DA"/>
    <w:rsid w:val="001B23B9"/>
    <w:rsid w:val="001B274A"/>
    <w:rsid w:val="001B2A5D"/>
    <w:rsid w:val="001B2A97"/>
    <w:rsid w:val="001B2ACB"/>
    <w:rsid w:val="001B2BCA"/>
    <w:rsid w:val="001B2CD4"/>
    <w:rsid w:val="001B305C"/>
    <w:rsid w:val="001B31E4"/>
    <w:rsid w:val="001B35A6"/>
    <w:rsid w:val="001B3629"/>
    <w:rsid w:val="001B362F"/>
    <w:rsid w:val="001B386F"/>
    <w:rsid w:val="001B39DE"/>
    <w:rsid w:val="001B39FA"/>
    <w:rsid w:val="001B3AA2"/>
    <w:rsid w:val="001B3BDD"/>
    <w:rsid w:val="001B3C40"/>
    <w:rsid w:val="001B3CE7"/>
    <w:rsid w:val="001B3D2B"/>
    <w:rsid w:val="001B3DA8"/>
    <w:rsid w:val="001B4019"/>
    <w:rsid w:val="001B40D0"/>
    <w:rsid w:val="001B43D8"/>
    <w:rsid w:val="001B4520"/>
    <w:rsid w:val="001B45C7"/>
    <w:rsid w:val="001B4729"/>
    <w:rsid w:val="001B4736"/>
    <w:rsid w:val="001B47BF"/>
    <w:rsid w:val="001B47EA"/>
    <w:rsid w:val="001B48D1"/>
    <w:rsid w:val="001B4962"/>
    <w:rsid w:val="001B49E9"/>
    <w:rsid w:val="001B4AA3"/>
    <w:rsid w:val="001B4D5A"/>
    <w:rsid w:val="001B4E21"/>
    <w:rsid w:val="001B4E25"/>
    <w:rsid w:val="001B4E53"/>
    <w:rsid w:val="001B4EB9"/>
    <w:rsid w:val="001B4F6F"/>
    <w:rsid w:val="001B5057"/>
    <w:rsid w:val="001B51E9"/>
    <w:rsid w:val="001B5216"/>
    <w:rsid w:val="001B5234"/>
    <w:rsid w:val="001B53D4"/>
    <w:rsid w:val="001B550B"/>
    <w:rsid w:val="001B55DF"/>
    <w:rsid w:val="001B589C"/>
    <w:rsid w:val="001B5ACE"/>
    <w:rsid w:val="001B5B01"/>
    <w:rsid w:val="001B5CC2"/>
    <w:rsid w:val="001B5DFC"/>
    <w:rsid w:val="001B5F3C"/>
    <w:rsid w:val="001B600F"/>
    <w:rsid w:val="001B6041"/>
    <w:rsid w:val="001B6100"/>
    <w:rsid w:val="001B6165"/>
    <w:rsid w:val="001B620A"/>
    <w:rsid w:val="001B6345"/>
    <w:rsid w:val="001B63A2"/>
    <w:rsid w:val="001B6449"/>
    <w:rsid w:val="001B65FF"/>
    <w:rsid w:val="001B661D"/>
    <w:rsid w:val="001B6678"/>
    <w:rsid w:val="001B6679"/>
    <w:rsid w:val="001B66D2"/>
    <w:rsid w:val="001B671C"/>
    <w:rsid w:val="001B6787"/>
    <w:rsid w:val="001B6792"/>
    <w:rsid w:val="001B682C"/>
    <w:rsid w:val="001B68CE"/>
    <w:rsid w:val="001B68F6"/>
    <w:rsid w:val="001B697D"/>
    <w:rsid w:val="001B69A1"/>
    <w:rsid w:val="001B6C75"/>
    <w:rsid w:val="001B6CAA"/>
    <w:rsid w:val="001B6DFF"/>
    <w:rsid w:val="001B6E63"/>
    <w:rsid w:val="001B6E97"/>
    <w:rsid w:val="001B6EAF"/>
    <w:rsid w:val="001B7029"/>
    <w:rsid w:val="001B7329"/>
    <w:rsid w:val="001B732F"/>
    <w:rsid w:val="001B7372"/>
    <w:rsid w:val="001B7381"/>
    <w:rsid w:val="001B7583"/>
    <w:rsid w:val="001B760E"/>
    <w:rsid w:val="001B76C8"/>
    <w:rsid w:val="001B7745"/>
    <w:rsid w:val="001B7765"/>
    <w:rsid w:val="001B779A"/>
    <w:rsid w:val="001B7858"/>
    <w:rsid w:val="001B78DF"/>
    <w:rsid w:val="001B78E3"/>
    <w:rsid w:val="001B7A5C"/>
    <w:rsid w:val="001B7B20"/>
    <w:rsid w:val="001B7B83"/>
    <w:rsid w:val="001B7C55"/>
    <w:rsid w:val="001B7CED"/>
    <w:rsid w:val="001B7D56"/>
    <w:rsid w:val="001B7F06"/>
    <w:rsid w:val="001C01E7"/>
    <w:rsid w:val="001C0499"/>
    <w:rsid w:val="001C0611"/>
    <w:rsid w:val="001C0630"/>
    <w:rsid w:val="001C06F0"/>
    <w:rsid w:val="001C0704"/>
    <w:rsid w:val="001C076C"/>
    <w:rsid w:val="001C07A4"/>
    <w:rsid w:val="001C0802"/>
    <w:rsid w:val="001C0936"/>
    <w:rsid w:val="001C0977"/>
    <w:rsid w:val="001C0980"/>
    <w:rsid w:val="001C09C0"/>
    <w:rsid w:val="001C09E5"/>
    <w:rsid w:val="001C09E6"/>
    <w:rsid w:val="001C0A2B"/>
    <w:rsid w:val="001C0BF4"/>
    <w:rsid w:val="001C0CD8"/>
    <w:rsid w:val="001C0D16"/>
    <w:rsid w:val="001C0D63"/>
    <w:rsid w:val="001C0F1A"/>
    <w:rsid w:val="001C0FC9"/>
    <w:rsid w:val="001C1425"/>
    <w:rsid w:val="001C148E"/>
    <w:rsid w:val="001C15AE"/>
    <w:rsid w:val="001C174A"/>
    <w:rsid w:val="001C1AEC"/>
    <w:rsid w:val="001C1BAE"/>
    <w:rsid w:val="001C1CD1"/>
    <w:rsid w:val="001C1D05"/>
    <w:rsid w:val="001C1E3A"/>
    <w:rsid w:val="001C1F36"/>
    <w:rsid w:val="001C20EC"/>
    <w:rsid w:val="001C22A2"/>
    <w:rsid w:val="001C2432"/>
    <w:rsid w:val="001C2548"/>
    <w:rsid w:val="001C26E8"/>
    <w:rsid w:val="001C287B"/>
    <w:rsid w:val="001C29CA"/>
    <w:rsid w:val="001C2A48"/>
    <w:rsid w:val="001C2B28"/>
    <w:rsid w:val="001C2B31"/>
    <w:rsid w:val="001C2C3F"/>
    <w:rsid w:val="001C2D7B"/>
    <w:rsid w:val="001C2DE2"/>
    <w:rsid w:val="001C2DFA"/>
    <w:rsid w:val="001C2E93"/>
    <w:rsid w:val="001C2EBF"/>
    <w:rsid w:val="001C2F2F"/>
    <w:rsid w:val="001C2FAD"/>
    <w:rsid w:val="001C30D3"/>
    <w:rsid w:val="001C3139"/>
    <w:rsid w:val="001C34C0"/>
    <w:rsid w:val="001C3579"/>
    <w:rsid w:val="001C359D"/>
    <w:rsid w:val="001C37B9"/>
    <w:rsid w:val="001C3AB2"/>
    <w:rsid w:val="001C3B81"/>
    <w:rsid w:val="001C3CAE"/>
    <w:rsid w:val="001C3DB1"/>
    <w:rsid w:val="001C3EA2"/>
    <w:rsid w:val="001C3EE3"/>
    <w:rsid w:val="001C3F95"/>
    <w:rsid w:val="001C4073"/>
    <w:rsid w:val="001C4085"/>
    <w:rsid w:val="001C409E"/>
    <w:rsid w:val="001C42B2"/>
    <w:rsid w:val="001C4308"/>
    <w:rsid w:val="001C44AE"/>
    <w:rsid w:val="001C4578"/>
    <w:rsid w:val="001C45AA"/>
    <w:rsid w:val="001C45DB"/>
    <w:rsid w:val="001C463B"/>
    <w:rsid w:val="001C48B5"/>
    <w:rsid w:val="001C4B60"/>
    <w:rsid w:val="001C4BE0"/>
    <w:rsid w:val="001C4CCE"/>
    <w:rsid w:val="001C4F93"/>
    <w:rsid w:val="001C4FCE"/>
    <w:rsid w:val="001C5058"/>
    <w:rsid w:val="001C5099"/>
    <w:rsid w:val="001C5150"/>
    <w:rsid w:val="001C51D2"/>
    <w:rsid w:val="001C540B"/>
    <w:rsid w:val="001C5468"/>
    <w:rsid w:val="001C5505"/>
    <w:rsid w:val="001C5757"/>
    <w:rsid w:val="001C581E"/>
    <w:rsid w:val="001C5903"/>
    <w:rsid w:val="001C593F"/>
    <w:rsid w:val="001C5A99"/>
    <w:rsid w:val="001C5AC1"/>
    <w:rsid w:val="001C5BB3"/>
    <w:rsid w:val="001C5C6D"/>
    <w:rsid w:val="001C5C82"/>
    <w:rsid w:val="001C5CFE"/>
    <w:rsid w:val="001C5E99"/>
    <w:rsid w:val="001C5EA9"/>
    <w:rsid w:val="001C6049"/>
    <w:rsid w:val="001C604B"/>
    <w:rsid w:val="001C6066"/>
    <w:rsid w:val="001C6082"/>
    <w:rsid w:val="001C61C2"/>
    <w:rsid w:val="001C631B"/>
    <w:rsid w:val="001C652A"/>
    <w:rsid w:val="001C65FE"/>
    <w:rsid w:val="001C66FF"/>
    <w:rsid w:val="001C67E8"/>
    <w:rsid w:val="001C6943"/>
    <w:rsid w:val="001C6987"/>
    <w:rsid w:val="001C69E3"/>
    <w:rsid w:val="001C6C19"/>
    <w:rsid w:val="001C6C32"/>
    <w:rsid w:val="001C6C66"/>
    <w:rsid w:val="001C6C8D"/>
    <w:rsid w:val="001C6DFD"/>
    <w:rsid w:val="001C6E7B"/>
    <w:rsid w:val="001C7008"/>
    <w:rsid w:val="001C700E"/>
    <w:rsid w:val="001C7029"/>
    <w:rsid w:val="001C70EC"/>
    <w:rsid w:val="001C711C"/>
    <w:rsid w:val="001C7168"/>
    <w:rsid w:val="001C71FB"/>
    <w:rsid w:val="001C7249"/>
    <w:rsid w:val="001C72F3"/>
    <w:rsid w:val="001C737D"/>
    <w:rsid w:val="001C7388"/>
    <w:rsid w:val="001C7395"/>
    <w:rsid w:val="001C7919"/>
    <w:rsid w:val="001C795B"/>
    <w:rsid w:val="001C7CA8"/>
    <w:rsid w:val="001C7D79"/>
    <w:rsid w:val="001C7F89"/>
    <w:rsid w:val="001D0077"/>
    <w:rsid w:val="001D00A2"/>
    <w:rsid w:val="001D00F7"/>
    <w:rsid w:val="001D018A"/>
    <w:rsid w:val="001D029A"/>
    <w:rsid w:val="001D03CA"/>
    <w:rsid w:val="001D03CE"/>
    <w:rsid w:val="001D0403"/>
    <w:rsid w:val="001D0531"/>
    <w:rsid w:val="001D06BA"/>
    <w:rsid w:val="001D0782"/>
    <w:rsid w:val="001D0BC5"/>
    <w:rsid w:val="001D0C4F"/>
    <w:rsid w:val="001D0CB5"/>
    <w:rsid w:val="001D0D29"/>
    <w:rsid w:val="001D0E37"/>
    <w:rsid w:val="001D0E9A"/>
    <w:rsid w:val="001D0FEC"/>
    <w:rsid w:val="001D0FFC"/>
    <w:rsid w:val="001D1086"/>
    <w:rsid w:val="001D128B"/>
    <w:rsid w:val="001D12F3"/>
    <w:rsid w:val="001D15A7"/>
    <w:rsid w:val="001D176B"/>
    <w:rsid w:val="001D177D"/>
    <w:rsid w:val="001D18AB"/>
    <w:rsid w:val="001D195C"/>
    <w:rsid w:val="001D19D6"/>
    <w:rsid w:val="001D1ADD"/>
    <w:rsid w:val="001D1C00"/>
    <w:rsid w:val="001D1CE6"/>
    <w:rsid w:val="001D1EC9"/>
    <w:rsid w:val="001D1FDB"/>
    <w:rsid w:val="001D2289"/>
    <w:rsid w:val="001D22E2"/>
    <w:rsid w:val="001D22F0"/>
    <w:rsid w:val="001D24D2"/>
    <w:rsid w:val="001D25C7"/>
    <w:rsid w:val="001D2629"/>
    <w:rsid w:val="001D26BB"/>
    <w:rsid w:val="001D2700"/>
    <w:rsid w:val="001D2801"/>
    <w:rsid w:val="001D2A18"/>
    <w:rsid w:val="001D2A69"/>
    <w:rsid w:val="001D2AC1"/>
    <w:rsid w:val="001D2B1A"/>
    <w:rsid w:val="001D2B4A"/>
    <w:rsid w:val="001D2C02"/>
    <w:rsid w:val="001D2D4B"/>
    <w:rsid w:val="001D2F9E"/>
    <w:rsid w:val="001D3101"/>
    <w:rsid w:val="001D327C"/>
    <w:rsid w:val="001D32C0"/>
    <w:rsid w:val="001D3401"/>
    <w:rsid w:val="001D3457"/>
    <w:rsid w:val="001D3731"/>
    <w:rsid w:val="001D37E9"/>
    <w:rsid w:val="001D387F"/>
    <w:rsid w:val="001D3900"/>
    <w:rsid w:val="001D3A5B"/>
    <w:rsid w:val="001D3A64"/>
    <w:rsid w:val="001D3AA2"/>
    <w:rsid w:val="001D3B88"/>
    <w:rsid w:val="001D3C3E"/>
    <w:rsid w:val="001D3D33"/>
    <w:rsid w:val="001D3D4F"/>
    <w:rsid w:val="001D3DD8"/>
    <w:rsid w:val="001D3E49"/>
    <w:rsid w:val="001D4083"/>
    <w:rsid w:val="001D41C8"/>
    <w:rsid w:val="001D4437"/>
    <w:rsid w:val="001D44D3"/>
    <w:rsid w:val="001D44FA"/>
    <w:rsid w:val="001D461A"/>
    <w:rsid w:val="001D46BE"/>
    <w:rsid w:val="001D47A3"/>
    <w:rsid w:val="001D48A9"/>
    <w:rsid w:val="001D496E"/>
    <w:rsid w:val="001D4995"/>
    <w:rsid w:val="001D49B2"/>
    <w:rsid w:val="001D4A70"/>
    <w:rsid w:val="001D4C24"/>
    <w:rsid w:val="001D4DBB"/>
    <w:rsid w:val="001D4DFA"/>
    <w:rsid w:val="001D4F53"/>
    <w:rsid w:val="001D518C"/>
    <w:rsid w:val="001D551E"/>
    <w:rsid w:val="001D55D2"/>
    <w:rsid w:val="001D56D5"/>
    <w:rsid w:val="001D5793"/>
    <w:rsid w:val="001D59A5"/>
    <w:rsid w:val="001D59D1"/>
    <w:rsid w:val="001D5A00"/>
    <w:rsid w:val="001D5A70"/>
    <w:rsid w:val="001D5B37"/>
    <w:rsid w:val="001D5BE8"/>
    <w:rsid w:val="001D5CF3"/>
    <w:rsid w:val="001D5ED7"/>
    <w:rsid w:val="001D617B"/>
    <w:rsid w:val="001D61CB"/>
    <w:rsid w:val="001D633C"/>
    <w:rsid w:val="001D6341"/>
    <w:rsid w:val="001D6449"/>
    <w:rsid w:val="001D64CE"/>
    <w:rsid w:val="001D64D3"/>
    <w:rsid w:val="001D6616"/>
    <w:rsid w:val="001D661D"/>
    <w:rsid w:val="001D6714"/>
    <w:rsid w:val="001D6754"/>
    <w:rsid w:val="001D68B6"/>
    <w:rsid w:val="001D6AD4"/>
    <w:rsid w:val="001D6C92"/>
    <w:rsid w:val="001D7092"/>
    <w:rsid w:val="001D7296"/>
    <w:rsid w:val="001D72E2"/>
    <w:rsid w:val="001D73A2"/>
    <w:rsid w:val="001D74A7"/>
    <w:rsid w:val="001D7697"/>
    <w:rsid w:val="001D76ED"/>
    <w:rsid w:val="001D7946"/>
    <w:rsid w:val="001D79BE"/>
    <w:rsid w:val="001D7BDA"/>
    <w:rsid w:val="001D7C9F"/>
    <w:rsid w:val="001D7E03"/>
    <w:rsid w:val="001D7E91"/>
    <w:rsid w:val="001E021E"/>
    <w:rsid w:val="001E029F"/>
    <w:rsid w:val="001E04C5"/>
    <w:rsid w:val="001E04EC"/>
    <w:rsid w:val="001E0502"/>
    <w:rsid w:val="001E0578"/>
    <w:rsid w:val="001E0851"/>
    <w:rsid w:val="001E08D7"/>
    <w:rsid w:val="001E09E8"/>
    <w:rsid w:val="001E0C09"/>
    <w:rsid w:val="001E0C16"/>
    <w:rsid w:val="001E0D84"/>
    <w:rsid w:val="001E0DD4"/>
    <w:rsid w:val="001E0E99"/>
    <w:rsid w:val="001E0EA7"/>
    <w:rsid w:val="001E1017"/>
    <w:rsid w:val="001E118C"/>
    <w:rsid w:val="001E12A8"/>
    <w:rsid w:val="001E1476"/>
    <w:rsid w:val="001E147F"/>
    <w:rsid w:val="001E1503"/>
    <w:rsid w:val="001E15F2"/>
    <w:rsid w:val="001E1791"/>
    <w:rsid w:val="001E193F"/>
    <w:rsid w:val="001E1962"/>
    <w:rsid w:val="001E198F"/>
    <w:rsid w:val="001E1ADC"/>
    <w:rsid w:val="001E1EBF"/>
    <w:rsid w:val="001E1FF5"/>
    <w:rsid w:val="001E2167"/>
    <w:rsid w:val="001E21FD"/>
    <w:rsid w:val="001E220E"/>
    <w:rsid w:val="001E22F7"/>
    <w:rsid w:val="001E233C"/>
    <w:rsid w:val="001E23C9"/>
    <w:rsid w:val="001E243B"/>
    <w:rsid w:val="001E2551"/>
    <w:rsid w:val="001E272F"/>
    <w:rsid w:val="001E2795"/>
    <w:rsid w:val="001E2933"/>
    <w:rsid w:val="001E2983"/>
    <w:rsid w:val="001E2C30"/>
    <w:rsid w:val="001E2D1A"/>
    <w:rsid w:val="001E2D56"/>
    <w:rsid w:val="001E2DA9"/>
    <w:rsid w:val="001E2F0F"/>
    <w:rsid w:val="001E2FE8"/>
    <w:rsid w:val="001E3076"/>
    <w:rsid w:val="001E31B8"/>
    <w:rsid w:val="001E31C0"/>
    <w:rsid w:val="001E322F"/>
    <w:rsid w:val="001E3284"/>
    <w:rsid w:val="001E3302"/>
    <w:rsid w:val="001E3318"/>
    <w:rsid w:val="001E3426"/>
    <w:rsid w:val="001E3464"/>
    <w:rsid w:val="001E34AB"/>
    <w:rsid w:val="001E3516"/>
    <w:rsid w:val="001E3579"/>
    <w:rsid w:val="001E35FA"/>
    <w:rsid w:val="001E3684"/>
    <w:rsid w:val="001E36A4"/>
    <w:rsid w:val="001E384F"/>
    <w:rsid w:val="001E3879"/>
    <w:rsid w:val="001E393F"/>
    <w:rsid w:val="001E3B6B"/>
    <w:rsid w:val="001E3BEB"/>
    <w:rsid w:val="001E3CF4"/>
    <w:rsid w:val="001E3D8B"/>
    <w:rsid w:val="001E3DE2"/>
    <w:rsid w:val="001E3E10"/>
    <w:rsid w:val="001E3F09"/>
    <w:rsid w:val="001E3F75"/>
    <w:rsid w:val="001E3FC9"/>
    <w:rsid w:val="001E3FEF"/>
    <w:rsid w:val="001E408E"/>
    <w:rsid w:val="001E41C6"/>
    <w:rsid w:val="001E4241"/>
    <w:rsid w:val="001E42F3"/>
    <w:rsid w:val="001E4455"/>
    <w:rsid w:val="001E447D"/>
    <w:rsid w:val="001E451E"/>
    <w:rsid w:val="001E4618"/>
    <w:rsid w:val="001E4639"/>
    <w:rsid w:val="001E4641"/>
    <w:rsid w:val="001E465F"/>
    <w:rsid w:val="001E46C7"/>
    <w:rsid w:val="001E484A"/>
    <w:rsid w:val="001E48F6"/>
    <w:rsid w:val="001E4943"/>
    <w:rsid w:val="001E4968"/>
    <w:rsid w:val="001E4A52"/>
    <w:rsid w:val="001E4B81"/>
    <w:rsid w:val="001E4B83"/>
    <w:rsid w:val="001E4BC1"/>
    <w:rsid w:val="001E4E56"/>
    <w:rsid w:val="001E4E7F"/>
    <w:rsid w:val="001E4E9C"/>
    <w:rsid w:val="001E4F71"/>
    <w:rsid w:val="001E502C"/>
    <w:rsid w:val="001E5041"/>
    <w:rsid w:val="001E5075"/>
    <w:rsid w:val="001E512E"/>
    <w:rsid w:val="001E527B"/>
    <w:rsid w:val="001E53A9"/>
    <w:rsid w:val="001E53FF"/>
    <w:rsid w:val="001E547A"/>
    <w:rsid w:val="001E569B"/>
    <w:rsid w:val="001E5B01"/>
    <w:rsid w:val="001E5BBA"/>
    <w:rsid w:val="001E5D6C"/>
    <w:rsid w:val="001E5E3C"/>
    <w:rsid w:val="001E5F5E"/>
    <w:rsid w:val="001E605D"/>
    <w:rsid w:val="001E61D1"/>
    <w:rsid w:val="001E62E8"/>
    <w:rsid w:val="001E6357"/>
    <w:rsid w:val="001E6530"/>
    <w:rsid w:val="001E6631"/>
    <w:rsid w:val="001E6639"/>
    <w:rsid w:val="001E66B6"/>
    <w:rsid w:val="001E6A0E"/>
    <w:rsid w:val="001E6BEE"/>
    <w:rsid w:val="001E6FC4"/>
    <w:rsid w:val="001E6FDF"/>
    <w:rsid w:val="001E7183"/>
    <w:rsid w:val="001E718D"/>
    <w:rsid w:val="001E71B8"/>
    <w:rsid w:val="001E71FE"/>
    <w:rsid w:val="001E7282"/>
    <w:rsid w:val="001E72A2"/>
    <w:rsid w:val="001E739F"/>
    <w:rsid w:val="001E73B8"/>
    <w:rsid w:val="001E73BD"/>
    <w:rsid w:val="001E75B4"/>
    <w:rsid w:val="001E7646"/>
    <w:rsid w:val="001E77E3"/>
    <w:rsid w:val="001E787A"/>
    <w:rsid w:val="001E7925"/>
    <w:rsid w:val="001E7983"/>
    <w:rsid w:val="001E79B9"/>
    <w:rsid w:val="001E7C02"/>
    <w:rsid w:val="001E7CD2"/>
    <w:rsid w:val="001E7E02"/>
    <w:rsid w:val="001E7E78"/>
    <w:rsid w:val="001E7EAA"/>
    <w:rsid w:val="001F00AC"/>
    <w:rsid w:val="001F00C4"/>
    <w:rsid w:val="001F0356"/>
    <w:rsid w:val="001F03C8"/>
    <w:rsid w:val="001F03F8"/>
    <w:rsid w:val="001F05ED"/>
    <w:rsid w:val="001F067F"/>
    <w:rsid w:val="001F085B"/>
    <w:rsid w:val="001F091B"/>
    <w:rsid w:val="001F0A6A"/>
    <w:rsid w:val="001F0ABE"/>
    <w:rsid w:val="001F0AFE"/>
    <w:rsid w:val="001F0B58"/>
    <w:rsid w:val="001F0C42"/>
    <w:rsid w:val="001F0C4B"/>
    <w:rsid w:val="001F0CB7"/>
    <w:rsid w:val="001F0D26"/>
    <w:rsid w:val="001F0D2B"/>
    <w:rsid w:val="001F0E63"/>
    <w:rsid w:val="001F107D"/>
    <w:rsid w:val="001F10BC"/>
    <w:rsid w:val="001F1261"/>
    <w:rsid w:val="001F12FA"/>
    <w:rsid w:val="001F1456"/>
    <w:rsid w:val="001F1723"/>
    <w:rsid w:val="001F1778"/>
    <w:rsid w:val="001F17AA"/>
    <w:rsid w:val="001F18DE"/>
    <w:rsid w:val="001F191E"/>
    <w:rsid w:val="001F1991"/>
    <w:rsid w:val="001F1AF1"/>
    <w:rsid w:val="001F1DF3"/>
    <w:rsid w:val="001F1E2A"/>
    <w:rsid w:val="001F1E42"/>
    <w:rsid w:val="001F20C8"/>
    <w:rsid w:val="001F2191"/>
    <w:rsid w:val="001F2218"/>
    <w:rsid w:val="001F22BB"/>
    <w:rsid w:val="001F2460"/>
    <w:rsid w:val="001F2465"/>
    <w:rsid w:val="001F250A"/>
    <w:rsid w:val="001F2585"/>
    <w:rsid w:val="001F2902"/>
    <w:rsid w:val="001F2936"/>
    <w:rsid w:val="001F2AB2"/>
    <w:rsid w:val="001F2B5B"/>
    <w:rsid w:val="001F2BF8"/>
    <w:rsid w:val="001F2C6A"/>
    <w:rsid w:val="001F2CE1"/>
    <w:rsid w:val="001F2F09"/>
    <w:rsid w:val="001F2F25"/>
    <w:rsid w:val="001F3084"/>
    <w:rsid w:val="001F33B9"/>
    <w:rsid w:val="001F33DE"/>
    <w:rsid w:val="001F349E"/>
    <w:rsid w:val="001F35D6"/>
    <w:rsid w:val="001F36D2"/>
    <w:rsid w:val="001F3750"/>
    <w:rsid w:val="001F3871"/>
    <w:rsid w:val="001F39DB"/>
    <w:rsid w:val="001F3B03"/>
    <w:rsid w:val="001F3B4B"/>
    <w:rsid w:val="001F3C54"/>
    <w:rsid w:val="001F3D01"/>
    <w:rsid w:val="001F3D8E"/>
    <w:rsid w:val="001F3E9C"/>
    <w:rsid w:val="001F3F36"/>
    <w:rsid w:val="001F3F97"/>
    <w:rsid w:val="001F3FC1"/>
    <w:rsid w:val="001F4029"/>
    <w:rsid w:val="001F4073"/>
    <w:rsid w:val="001F4191"/>
    <w:rsid w:val="001F4202"/>
    <w:rsid w:val="001F42ED"/>
    <w:rsid w:val="001F4477"/>
    <w:rsid w:val="001F4501"/>
    <w:rsid w:val="001F45A9"/>
    <w:rsid w:val="001F462F"/>
    <w:rsid w:val="001F475F"/>
    <w:rsid w:val="001F47DA"/>
    <w:rsid w:val="001F47F2"/>
    <w:rsid w:val="001F482C"/>
    <w:rsid w:val="001F49B4"/>
    <w:rsid w:val="001F4A9F"/>
    <w:rsid w:val="001F4D05"/>
    <w:rsid w:val="001F4D2B"/>
    <w:rsid w:val="001F4DAD"/>
    <w:rsid w:val="001F4E29"/>
    <w:rsid w:val="001F4ED5"/>
    <w:rsid w:val="001F5063"/>
    <w:rsid w:val="001F5096"/>
    <w:rsid w:val="001F511B"/>
    <w:rsid w:val="001F5225"/>
    <w:rsid w:val="001F527B"/>
    <w:rsid w:val="001F5341"/>
    <w:rsid w:val="001F54BF"/>
    <w:rsid w:val="001F54EF"/>
    <w:rsid w:val="001F557D"/>
    <w:rsid w:val="001F57A6"/>
    <w:rsid w:val="001F5922"/>
    <w:rsid w:val="001F5A38"/>
    <w:rsid w:val="001F5BA2"/>
    <w:rsid w:val="001F5C7F"/>
    <w:rsid w:val="001F5CBB"/>
    <w:rsid w:val="001F5E9B"/>
    <w:rsid w:val="001F5FB9"/>
    <w:rsid w:val="001F60E3"/>
    <w:rsid w:val="001F60F6"/>
    <w:rsid w:val="001F62E0"/>
    <w:rsid w:val="001F6394"/>
    <w:rsid w:val="001F64EE"/>
    <w:rsid w:val="001F658C"/>
    <w:rsid w:val="001F65BD"/>
    <w:rsid w:val="001F65F6"/>
    <w:rsid w:val="001F668A"/>
    <w:rsid w:val="001F675C"/>
    <w:rsid w:val="001F68B2"/>
    <w:rsid w:val="001F68BB"/>
    <w:rsid w:val="001F6A68"/>
    <w:rsid w:val="001F6BC5"/>
    <w:rsid w:val="001F6CCB"/>
    <w:rsid w:val="001F6D55"/>
    <w:rsid w:val="001F6E23"/>
    <w:rsid w:val="001F6E26"/>
    <w:rsid w:val="001F6F44"/>
    <w:rsid w:val="001F6F62"/>
    <w:rsid w:val="001F6F7F"/>
    <w:rsid w:val="001F711E"/>
    <w:rsid w:val="001F71A6"/>
    <w:rsid w:val="001F71F2"/>
    <w:rsid w:val="001F7320"/>
    <w:rsid w:val="001F7321"/>
    <w:rsid w:val="001F733D"/>
    <w:rsid w:val="001F7563"/>
    <w:rsid w:val="001F7572"/>
    <w:rsid w:val="001F75AB"/>
    <w:rsid w:val="001F779F"/>
    <w:rsid w:val="001F7CAD"/>
    <w:rsid w:val="001F7CBA"/>
    <w:rsid w:val="001F7F6B"/>
    <w:rsid w:val="001F7FD6"/>
    <w:rsid w:val="002000D1"/>
    <w:rsid w:val="002000D4"/>
    <w:rsid w:val="00200227"/>
    <w:rsid w:val="00200230"/>
    <w:rsid w:val="00200325"/>
    <w:rsid w:val="00200468"/>
    <w:rsid w:val="0020046B"/>
    <w:rsid w:val="0020047A"/>
    <w:rsid w:val="002004ED"/>
    <w:rsid w:val="002008DF"/>
    <w:rsid w:val="00200D4E"/>
    <w:rsid w:val="00200DD3"/>
    <w:rsid w:val="00200DE0"/>
    <w:rsid w:val="00200E30"/>
    <w:rsid w:val="00200EA9"/>
    <w:rsid w:val="00200F06"/>
    <w:rsid w:val="00200F1D"/>
    <w:rsid w:val="002014CA"/>
    <w:rsid w:val="0020156E"/>
    <w:rsid w:val="00201680"/>
    <w:rsid w:val="0020168C"/>
    <w:rsid w:val="00201844"/>
    <w:rsid w:val="00201910"/>
    <w:rsid w:val="00201BB7"/>
    <w:rsid w:val="00201D50"/>
    <w:rsid w:val="00201D6D"/>
    <w:rsid w:val="00201D70"/>
    <w:rsid w:val="00201DEA"/>
    <w:rsid w:val="00201F2E"/>
    <w:rsid w:val="002020D8"/>
    <w:rsid w:val="002021A1"/>
    <w:rsid w:val="0020228C"/>
    <w:rsid w:val="002024B0"/>
    <w:rsid w:val="002024D2"/>
    <w:rsid w:val="002024E8"/>
    <w:rsid w:val="002025A3"/>
    <w:rsid w:val="002025F7"/>
    <w:rsid w:val="002026DE"/>
    <w:rsid w:val="002027A5"/>
    <w:rsid w:val="002029EF"/>
    <w:rsid w:val="00202ACB"/>
    <w:rsid w:val="00202AF4"/>
    <w:rsid w:val="00202B95"/>
    <w:rsid w:val="00202C10"/>
    <w:rsid w:val="00202C5B"/>
    <w:rsid w:val="00202C5C"/>
    <w:rsid w:val="00202C61"/>
    <w:rsid w:val="00202C96"/>
    <w:rsid w:val="00202DA7"/>
    <w:rsid w:val="00202DB6"/>
    <w:rsid w:val="00202E35"/>
    <w:rsid w:val="00202F4C"/>
    <w:rsid w:val="00203174"/>
    <w:rsid w:val="002031E2"/>
    <w:rsid w:val="002033DD"/>
    <w:rsid w:val="002034AE"/>
    <w:rsid w:val="002034EB"/>
    <w:rsid w:val="00203566"/>
    <w:rsid w:val="0020356C"/>
    <w:rsid w:val="002036B8"/>
    <w:rsid w:val="00203760"/>
    <w:rsid w:val="002037D2"/>
    <w:rsid w:val="00203917"/>
    <w:rsid w:val="00203AD3"/>
    <w:rsid w:val="00203AE2"/>
    <w:rsid w:val="00203B7A"/>
    <w:rsid w:val="00203C6B"/>
    <w:rsid w:val="00203D7F"/>
    <w:rsid w:val="00203DB1"/>
    <w:rsid w:val="00203F02"/>
    <w:rsid w:val="00203FD2"/>
    <w:rsid w:val="002041F6"/>
    <w:rsid w:val="0020429E"/>
    <w:rsid w:val="0020454E"/>
    <w:rsid w:val="0020495D"/>
    <w:rsid w:val="00204AD7"/>
    <w:rsid w:val="00204B12"/>
    <w:rsid w:val="00204B39"/>
    <w:rsid w:val="00204BAD"/>
    <w:rsid w:val="00204C40"/>
    <w:rsid w:val="00204CB1"/>
    <w:rsid w:val="00204CDF"/>
    <w:rsid w:val="00204D04"/>
    <w:rsid w:val="00204D94"/>
    <w:rsid w:val="00204D9B"/>
    <w:rsid w:val="00204E29"/>
    <w:rsid w:val="00205137"/>
    <w:rsid w:val="0020532A"/>
    <w:rsid w:val="00205398"/>
    <w:rsid w:val="00205430"/>
    <w:rsid w:val="00205467"/>
    <w:rsid w:val="0020554D"/>
    <w:rsid w:val="0020557C"/>
    <w:rsid w:val="0020560A"/>
    <w:rsid w:val="0020560E"/>
    <w:rsid w:val="002056E0"/>
    <w:rsid w:val="0020574C"/>
    <w:rsid w:val="0020577C"/>
    <w:rsid w:val="002058C1"/>
    <w:rsid w:val="00205973"/>
    <w:rsid w:val="002059AD"/>
    <w:rsid w:val="00205A11"/>
    <w:rsid w:val="00205B17"/>
    <w:rsid w:val="00205DFA"/>
    <w:rsid w:val="00205ED4"/>
    <w:rsid w:val="00205F0B"/>
    <w:rsid w:val="00205F11"/>
    <w:rsid w:val="00206050"/>
    <w:rsid w:val="0020610B"/>
    <w:rsid w:val="00206110"/>
    <w:rsid w:val="0020621C"/>
    <w:rsid w:val="00206304"/>
    <w:rsid w:val="00206317"/>
    <w:rsid w:val="00206674"/>
    <w:rsid w:val="002066D4"/>
    <w:rsid w:val="00206748"/>
    <w:rsid w:val="00206812"/>
    <w:rsid w:val="0020682B"/>
    <w:rsid w:val="00206834"/>
    <w:rsid w:val="00206911"/>
    <w:rsid w:val="00206959"/>
    <w:rsid w:val="00206A02"/>
    <w:rsid w:val="00206B0C"/>
    <w:rsid w:val="00206C3D"/>
    <w:rsid w:val="00206DBA"/>
    <w:rsid w:val="00206E4A"/>
    <w:rsid w:val="00207000"/>
    <w:rsid w:val="00207102"/>
    <w:rsid w:val="00207143"/>
    <w:rsid w:val="002071DA"/>
    <w:rsid w:val="00207516"/>
    <w:rsid w:val="00207743"/>
    <w:rsid w:val="00207754"/>
    <w:rsid w:val="00207773"/>
    <w:rsid w:val="002077C8"/>
    <w:rsid w:val="00207B3D"/>
    <w:rsid w:val="00207CA3"/>
    <w:rsid w:val="00207EDC"/>
    <w:rsid w:val="00207F59"/>
    <w:rsid w:val="00207F6F"/>
    <w:rsid w:val="00207FAC"/>
    <w:rsid w:val="0021010D"/>
    <w:rsid w:val="00210126"/>
    <w:rsid w:val="002102D5"/>
    <w:rsid w:val="0021031A"/>
    <w:rsid w:val="00210615"/>
    <w:rsid w:val="002108E3"/>
    <w:rsid w:val="00210A17"/>
    <w:rsid w:val="00210A6A"/>
    <w:rsid w:val="00210A77"/>
    <w:rsid w:val="00210AE7"/>
    <w:rsid w:val="00210B81"/>
    <w:rsid w:val="00210C22"/>
    <w:rsid w:val="00210C59"/>
    <w:rsid w:val="00210CD3"/>
    <w:rsid w:val="00210D68"/>
    <w:rsid w:val="00210DCA"/>
    <w:rsid w:val="00210E36"/>
    <w:rsid w:val="00210E5E"/>
    <w:rsid w:val="00210EA8"/>
    <w:rsid w:val="00211154"/>
    <w:rsid w:val="00211191"/>
    <w:rsid w:val="002111B9"/>
    <w:rsid w:val="00211380"/>
    <w:rsid w:val="00211442"/>
    <w:rsid w:val="00211592"/>
    <w:rsid w:val="00211770"/>
    <w:rsid w:val="0021177F"/>
    <w:rsid w:val="002117E3"/>
    <w:rsid w:val="002119A8"/>
    <w:rsid w:val="00211B2E"/>
    <w:rsid w:val="00211C67"/>
    <w:rsid w:val="00211D9A"/>
    <w:rsid w:val="00211DC3"/>
    <w:rsid w:val="00211EE9"/>
    <w:rsid w:val="0021203F"/>
    <w:rsid w:val="00212139"/>
    <w:rsid w:val="002121EF"/>
    <w:rsid w:val="00212244"/>
    <w:rsid w:val="00212403"/>
    <w:rsid w:val="00212602"/>
    <w:rsid w:val="0021260B"/>
    <w:rsid w:val="0021268E"/>
    <w:rsid w:val="002126A3"/>
    <w:rsid w:val="002127C3"/>
    <w:rsid w:val="00212991"/>
    <w:rsid w:val="00212B9F"/>
    <w:rsid w:val="00212D63"/>
    <w:rsid w:val="00212E31"/>
    <w:rsid w:val="00212E41"/>
    <w:rsid w:val="00212E9F"/>
    <w:rsid w:val="00212ED7"/>
    <w:rsid w:val="00212EFD"/>
    <w:rsid w:val="00213228"/>
    <w:rsid w:val="00213415"/>
    <w:rsid w:val="0021345D"/>
    <w:rsid w:val="002134BC"/>
    <w:rsid w:val="002135DA"/>
    <w:rsid w:val="00213835"/>
    <w:rsid w:val="00213A4A"/>
    <w:rsid w:val="00213A97"/>
    <w:rsid w:val="00213AB8"/>
    <w:rsid w:val="00213B07"/>
    <w:rsid w:val="00213D3E"/>
    <w:rsid w:val="00213D47"/>
    <w:rsid w:val="00213E83"/>
    <w:rsid w:val="00213FD6"/>
    <w:rsid w:val="00214021"/>
    <w:rsid w:val="0021410C"/>
    <w:rsid w:val="002142A9"/>
    <w:rsid w:val="0021434A"/>
    <w:rsid w:val="00214359"/>
    <w:rsid w:val="002143C4"/>
    <w:rsid w:val="00214646"/>
    <w:rsid w:val="002146F5"/>
    <w:rsid w:val="002147D5"/>
    <w:rsid w:val="00214980"/>
    <w:rsid w:val="002149F7"/>
    <w:rsid w:val="00214AAF"/>
    <w:rsid w:val="00214C12"/>
    <w:rsid w:val="00214E4F"/>
    <w:rsid w:val="00215037"/>
    <w:rsid w:val="0021511C"/>
    <w:rsid w:val="002152CE"/>
    <w:rsid w:val="00215321"/>
    <w:rsid w:val="00215342"/>
    <w:rsid w:val="002153FF"/>
    <w:rsid w:val="00215475"/>
    <w:rsid w:val="002154C5"/>
    <w:rsid w:val="00215527"/>
    <w:rsid w:val="002155B6"/>
    <w:rsid w:val="002155CA"/>
    <w:rsid w:val="00215767"/>
    <w:rsid w:val="002157D7"/>
    <w:rsid w:val="002157E4"/>
    <w:rsid w:val="0021585E"/>
    <w:rsid w:val="00215AFB"/>
    <w:rsid w:val="00215B56"/>
    <w:rsid w:val="00215B79"/>
    <w:rsid w:val="00215BC7"/>
    <w:rsid w:val="00215CA8"/>
    <w:rsid w:val="00215DEA"/>
    <w:rsid w:val="00215DFE"/>
    <w:rsid w:val="00215EDC"/>
    <w:rsid w:val="00215F04"/>
    <w:rsid w:val="00216011"/>
    <w:rsid w:val="002160CE"/>
    <w:rsid w:val="002162C0"/>
    <w:rsid w:val="002164BF"/>
    <w:rsid w:val="00216512"/>
    <w:rsid w:val="00216524"/>
    <w:rsid w:val="0021664E"/>
    <w:rsid w:val="00216753"/>
    <w:rsid w:val="002168B1"/>
    <w:rsid w:val="00216B3B"/>
    <w:rsid w:val="00216BCA"/>
    <w:rsid w:val="00216F4E"/>
    <w:rsid w:val="00216FF7"/>
    <w:rsid w:val="00217218"/>
    <w:rsid w:val="00217243"/>
    <w:rsid w:val="002172F0"/>
    <w:rsid w:val="0021730F"/>
    <w:rsid w:val="00217593"/>
    <w:rsid w:val="00217621"/>
    <w:rsid w:val="00217655"/>
    <w:rsid w:val="002177CE"/>
    <w:rsid w:val="0021793C"/>
    <w:rsid w:val="002179A3"/>
    <w:rsid w:val="002179D9"/>
    <w:rsid w:val="002179E3"/>
    <w:rsid w:val="00217C18"/>
    <w:rsid w:val="00217E4D"/>
    <w:rsid w:val="00217E73"/>
    <w:rsid w:val="002200D8"/>
    <w:rsid w:val="00220335"/>
    <w:rsid w:val="002204F0"/>
    <w:rsid w:val="002205FA"/>
    <w:rsid w:val="0022066C"/>
    <w:rsid w:val="0022086F"/>
    <w:rsid w:val="00220962"/>
    <w:rsid w:val="00220B6D"/>
    <w:rsid w:val="00220BCA"/>
    <w:rsid w:val="00220BD4"/>
    <w:rsid w:val="00220ED3"/>
    <w:rsid w:val="00220FA3"/>
    <w:rsid w:val="0022101E"/>
    <w:rsid w:val="002212FB"/>
    <w:rsid w:val="002213F9"/>
    <w:rsid w:val="00221464"/>
    <w:rsid w:val="002215A4"/>
    <w:rsid w:val="002215BB"/>
    <w:rsid w:val="00221872"/>
    <w:rsid w:val="0022193A"/>
    <w:rsid w:val="00221A3E"/>
    <w:rsid w:val="00221C44"/>
    <w:rsid w:val="00221C47"/>
    <w:rsid w:val="00221C4A"/>
    <w:rsid w:val="00221D2A"/>
    <w:rsid w:val="00221F57"/>
    <w:rsid w:val="00221F8B"/>
    <w:rsid w:val="00222052"/>
    <w:rsid w:val="00222099"/>
    <w:rsid w:val="00222140"/>
    <w:rsid w:val="00222315"/>
    <w:rsid w:val="002223DC"/>
    <w:rsid w:val="00222412"/>
    <w:rsid w:val="002225D0"/>
    <w:rsid w:val="002225F5"/>
    <w:rsid w:val="0022283B"/>
    <w:rsid w:val="0022288B"/>
    <w:rsid w:val="002228E2"/>
    <w:rsid w:val="0022291C"/>
    <w:rsid w:val="00222A28"/>
    <w:rsid w:val="00222A74"/>
    <w:rsid w:val="00222D75"/>
    <w:rsid w:val="00222EBA"/>
    <w:rsid w:val="00222FE1"/>
    <w:rsid w:val="0022315B"/>
    <w:rsid w:val="00223380"/>
    <w:rsid w:val="002233B3"/>
    <w:rsid w:val="00223458"/>
    <w:rsid w:val="00223496"/>
    <w:rsid w:val="0022355A"/>
    <w:rsid w:val="002235D6"/>
    <w:rsid w:val="00223664"/>
    <w:rsid w:val="0022385D"/>
    <w:rsid w:val="002238EF"/>
    <w:rsid w:val="0022393D"/>
    <w:rsid w:val="00223A56"/>
    <w:rsid w:val="00223B29"/>
    <w:rsid w:val="00223C0F"/>
    <w:rsid w:val="00223C26"/>
    <w:rsid w:val="00223CD5"/>
    <w:rsid w:val="00223D23"/>
    <w:rsid w:val="00223DD9"/>
    <w:rsid w:val="00223E2D"/>
    <w:rsid w:val="00223E8E"/>
    <w:rsid w:val="00223F35"/>
    <w:rsid w:val="00223FCA"/>
    <w:rsid w:val="002240DB"/>
    <w:rsid w:val="0022419D"/>
    <w:rsid w:val="00224230"/>
    <w:rsid w:val="0022427E"/>
    <w:rsid w:val="002242C7"/>
    <w:rsid w:val="0022430F"/>
    <w:rsid w:val="00224479"/>
    <w:rsid w:val="002244D0"/>
    <w:rsid w:val="00224572"/>
    <w:rsid w:val="00224607"/>
    <w:rsid w:val="00224692"/>
    <w:rsid w:val="00224704"/>
    <w:rsid w:val="0022474E"/>
    <w:rsid w:val="00224A24"/>
    <w:rsid w:val="00224A28"/>
    <w:rsid w:val="00224B9C"/>
    <w:rsid w:val="00224DF6"/>
    <w:rsid w:val="00224EB5"/>
    <w:rsid w:val="00225010"/>
    <w:rsid w:val="002250DF"/>
    <w:rsid w:val="0022515D"/>
    <w:rsid w:val="00225347"/>
    <w:rsid w:val="00225404"/>
    <w:rsid w:val="0022560A"/>
    <w:rsid w:val="00225756"/>
    <w:rsid w:val="002257E2"/>
    <w:rsid w:val="00225833"/>
    <w:rsid w:val="00225988"/>
    <w:rsid w:val="00225B4D"/>
    <w:rsid w:val="00225BE3"/>
    <w:rsid w:val="00225D49"/>
    <w:rsid w:val="00225E6F"/>
    <w:rsid w:val="00226095"/>
    <w:rsid w:val="0022609F"/>
    <w:rsid w:val="002263EC"/>
    <w:rsid w:val="002264F7"/>
    <w:rsid w:val="002264F9"/>
    <w:rsid w:val="00226535"/>
    <w:rsid w:val="002266F9"/>
    <w:rsid w:val="00226714"/>
    <w:rsid w:val="002268AB"/>
    <w:rsid w:val="002268C9"/>
    <w:rsid w:val="002269C8"/>
    <w:rsid w:val="00226ABE"/>
    <w:rsid w:val="00226ADE"/>
    <w:rsid w:val="00226B48"/>
    <w:rsid w:val="00226C78"/>
    <w:rsid w:val="00226D95"/>
    <w:rsid w:val="00226F2A"/>
    <w:rsid w:val="002271E4"/>
    <w:rsid w:val="002272FE"/>
    <w:rsid w:val="00227481"/>
    <w:rsid w:val="002274B2"/>
    <w:rsid w:val="002274C2"/>
    <w:rsid w:val="0022762B"/>
    <w:rsid w:val="002276D8"/>
    <w:rsid w:val="00227804"/>
    <w:rsid w:val="00227872"/>
    <w:rsid w:val="00227A16"/>
    <w:rsid w:val="00227A83"/>
    <w:rsid w:val="00227AED"/>
    <w:rsid w:val="00227B89"/>
    <w:rsid w:val="00227D33"/>
    <w:rsid w:val="00227D97"/>
    <w:rsid w:val="00227F0F"/>
    <w:rsid w:val="00227F43"/>
    <w:rsid w:val="00227FAC"/>
    <w:rsid w:val="00230138"/>
    <w:rsid w:val="002301D4"/>
    <w:rsid w:val="002302C0"/>
    <w:rsid w:val="00230436"/>
    <w:rsid w:val="002305A0"/>
    <w:rsid w:val="0023075A"/>
    <w:rsid w:val="002307F8"/>
    <w:rsid w:val="00230836"/>
    <w:rsid w:val="0023088C"/>
    <w:rsid w:val="00230984"/>
    <w:rsid w:val="002309BA"/>
    <w:rsid w:val="00230FAB"/>
    <w:rsid w:val="00231008"/>
    <w:rsid w:val="0023118E"/>
    <w:rsid w:val="002311E4"/>
    <w:rsid w:val="00231217"/>
    <w:rsid w:val="002313D0"/>
    <w:rsid w:val="002314D6"/>
    <w:rsid w:val="00231543"/>
    <w:rsid w:val="00231600"/>
    <w:rsid w:val="0023160C"/>
    <w:rsid w:val="00231620"/>
    <w:rsid w:val="00231732"/>
    <w:rsid w:val="00231898"/>
    <w:rsid w:val="0023196A"/>
    <w:rsid w:val="002319A0"/>
    <w:rsid w:val="00231CEA"/>
    <w:rsid w:val="00231E41"/>
    <w:rsid w:val="00231E4A"/>
    <w:rsid w:val="00232059"/>
    <w:rsid w:val="00232118"/>
    <w:rsid w:val="0023217B"/>
    <w:rsid w:val="0023219B"/>
    <w:rsid w:val="002321A1"/>
    <w:rsid w:val="002321B3"/>
    <w:rsid w:val="00232298"/>
    <w:rsid w:val="002324B0"/>
    <w:rsid w:val="0023252B"/>
    <w:rsid w:val="00232547"/>
    <w:rsid w:val="0023266E"/>
    <w:rsid w:val="002329A7"/>
    <w:rsid w:val="002329FD"/>
    <w:rsid w:val="00232AC4"/>
    <w:rsid w:val="00232B1F"/>
    <w:rsid w:val="00232B5D"/>
    <w:rsid w:val="00232C28"/>
    <w:rsid w:val="00232D34"/>
    <w:rsid w:val="00232DE3"/>
    <w:rsid w:val="00232EF4"/>
    <w:rsid w:val="00232F4B"/>
    <w:rsid w:val="002330C0"/>
    <w:rsid w:val="00233111"/>
    <w:rsid w:val="0023313F"/>
    <w:rsid w:val="00233173"/>
    <w:rsid w:val="00233595"/>
    <w:rsid w:val="00233693"/>
    <w:rsid w:val="002337BF"/>
    <w:rsid w:val="00233916"/>
    <w:rsid w:val="00233964"/>
    <w:rsid w:val="002339DA"/>
    <w:rsid w:val="00233C8D"/>
    <w:rsid w:val="00233E0A"/>
    <w:rsid w:val="00234035"/>
    <w:rsid w:val="002340AC"/>
    <w:rsid w:val="002343C3"/>
    <w:rsid w:val="0023440C"/>
    <w:rsid w:val="002345F4"/>
    <w:rsid w:val="00234640"/>
    <w:rsid w:val="00234643"/>
    <w:rsid w:val="00234727"/>
    <w:rsid w:val="00234746"/>
    <w:rsid w:val="0023494A"/>
    <w:rsid w:val="00234B3D"/>
    <w:rsid w:val="00234C0F"/>
    <w:rsid w:val="00234C8B"/>
    <w:rsid w:val="00234CD2"/>
    <w:rsid w:val="00234D93"/>
    <w:rsid w:val="00234E1A"/>
    <w:rsid w:val="00234E1F"/>
    <w:rsid w:val="00234E35"/>
    <w:rsid w:val="00235138"/>
    <w:rsid w:val="00235192"/>
    <w:rsid w:val="002352B3"/>
    <w:rsid w:val="00235337"/>
    <w:rsid w:val="0023549E"/>
    <w:rsid w:val="002354EC"/>
    <w:rsid w:val="002354FE"/>
    <w:rsid w:val="00235579"/>
    <w:rsid w:val="00235740"/>
    <w:rsid w:val="00235809"/>
    <w:rsid w:val="00235870"/>
    <w:rsid w:val="00235891"/>
    <w:rsid w:val="0023594A"/>
    <w:rsid w:val="00235986"/>
    <w:rsid w:val="00235A08"/>
    <w:rsid w:val="00235B60"/>
    <w:rsid w:val="00235CC2"/>
    <w:rsid w:val="00235E00"/>
    <w:rsid w:val="00235E3E"/>
    <w:rsid w:val="00235E53"/>
    <w:rsid w:val="00235F34"/>
    <w:rsid w:val="0023607A"/>
    <w:rsid w:val="00236109"/>
    <w:rsid w:val="002364BF"/>
    <w:rsid w:val="00236509"/>
    <w:rsid w:val="0023650D"/>
    <w:rsid w:val="00236549"/>
    <w:rsid w:val="002365B2"/>
    <w:rsid w:val="0023665D"/>
    <w:rsid w:val="00236B22"/>
    <w:rsid w:val="00236B87"/>
    <w:rsid w:val="00236C2C"/>
    <w:rsid w:val="00236CB8"/>
    <w:rsid w:val="00236D3A"/>
    <w:rsid w:val="00236D6E"/>
    <w:rsid w:val="00236E4F"/>
    <w:rsid w:val="00237050"/>
    <w:rsid w:val="00237082"/>
    <w:rsid w:val="002370BD"/>
    <w:rsid w:val="0023746B"/>
    <w:rsid w:val="0023771A"/>
    <w:rsid w:val="002377CC"/>
    <w:rsid w:val="0023794C"/>
    <w:rsid w:val="002379A1"/>
    <w:rsid w:val="002379A4"/>
    <w:rsid w:val="00237A1F"/>
    <w:rsid w:val="00237A7B"/>
    <w:rsid w:val="00237B29"/>
    <w:rsid w:val="00237CC3"/>
    <w:rsid w:val="00237D3C"/>
    <w:rsid w:val="00237DFD"/>
    <w:rsid w:val="00237E02"/>
    <w:rsid w:val="00237EBF"/>
    <w:rsid w:val="00240106"/>
    <w:rsid w:val="0024015F"/>
    <w:rsid w:val="0024019D"/>
    <w:rsid w:val="00240221"/>
    <w:rsid w:val="0024028B"/>
    <w:rsid w:val="0024029F"/>
    <w:rsid w:val="0024041D"/>
    <w:rsid w:val="002405F1"/>
    <w:rsid w:val="002405FA"/>
    <w:rsid w:val="002406D5"/>
    <w:rsid w:val="00240784"/>
    <w:rsid w:val="00240849"/>
    <w:rsid w:val="002409C9"/>
    <w:rsid w:val="00240D3A"/>
    <w:rsid w:val="00240F8A"/>
    <w:rsid w:val="002410D3"/>
    <w:rsid w:val="002411C7"/>
    <w:rsid w:val="002412B5"/>
    <w:rsid w:val="002413FF"/>
    <w:rsid w:val="00241456"/>
    <w:rsid w:val="00241491"/>
    <w:rsid w:val="00241492"/>
    <w:rsid w:val="00241549"/>
    <w:rsid w:val="00241998"/>
    <w:rsid w:val="00241A88"/>
    <w:rsid w:val="00241AF2"/>
    <w:rsid w:val="00241B37"/>
    <w:rsid w:val="00241C18"/>
    <w:rsid w:val="00241DED"/>
    <w:rsid w:val="00241E4B"/>
    <w:rsid w:val="00242281"/>
    <w:rsid w:val="00242298"/>
    <w:rsid w:val="0024233E"/>
    <w:rsid w:val="00242422"/>
    <w:rsid w:val="00242531"/>
    <w:rsid w:val="00242540"/>
    <w:rsid w:val="0024264F"/>
    <w:rsid w:val="002426EE"/>
    <w:rsid w:val="00242754"/>
    <w:rsid w:val="0024278A"/>
    <w:rsid w:val="0024294E"/>
    <w:rsid w:val="00242BA0"/>
    <w:rsid w:val="00242CC6"/>
    <w:rsid w:val="00242D40"/>
    <w:rsid w:val="00242E03"/>
    <w:rsid w:val="00242E2F"/>
    <w:rsid w:val="00242F0D"/>
    <w:rsid w:val="00242F4E"/>
    <w:rsid w:val="00242F56"/>
    <w:rsid w:val="00242FA0"/>
    <w:rsid w:val="00243058"/>
    <w:rsid w:val="002432BD"/>
    <w:rsid w:val="002433AE"/>
    <w:rsid w:val="00243480"/>
    <w:rsid w:val="002434FF"/>
    <w:rsid w:val="00243543"/>
    <w:rsid w:val="002436C8"/>
    <w:rsid w:val="002436CD"/>
    <w:rsid w:val="00243805"/>
    <w:rsid w:val="002439B4"/>
    <w:rsid w:val="002439FF"/>
    <w:rsid w:val="00243AED"/>
    <w:rsid w:val="00243B6F"/>
    <w:rsid w:val="00243C57"/>
    <w:rsid w:val="00243D4D"/>
    <w:rsid w:val="00243D61"/>
    <w:rsid w:val="0024404C"/>
    <w:rsid w:val="0024415C"/>
    <w:rsid w:val="0024447A"/>
    <w:rsid w:val="00244620"/>
    <w:rsid w:val="0024479A"/>
    <w:rsid w:val="002447F8"/>
    <w:rsid w:val="00244896"/>
    <w:rsid w:val="002449FD"/>
    <w:rsid w:val="00244A76"/>
    <w:rsid w:val="00244B1D"/>
    <w:rsid w:val="00244D09"/>
    <w:rsid w:val="00244E71"/>
    <w:rsid w:val="00244F42"/>
    <w:rsid w:val="00244F7C"/>
    <w:rsid w:val="00244F9A"/>
    <w:rsid w:val="00244FF9"/>
    <w:rsid w:val="002451F0"/>
    <w:rsid w:val="00245240"/>
    <w:rsid w:val="002452A0"/>
    <w:rsid w:val="00245307"/>
    <w:rsid w:val="00245384"/>
    <w:rsid w:val="00245503"/>
    <w:rsid w:val="00245546"/>
    <w:rsid w:val="00245765"/>
    <w:rsid w:val="00245776"/>
    <w:rsid w:val="00245789"/>
    <w:rsid w:val="00245940"/>
    <w:rsid w:val="00245A29"/>
    <w:rsid w:val="00245A40"/>
    <w:rsid w:val="00245B50"/>
    <w:rsid w:val="00245C50"/>
    <w:rsid w:val="00245E2E"/>
    <w:rsid w:val="00246084"/>
    <w:rsid w:val="002461B4"/>
    <w:rsid w:val="002461E7"/>
    <w:rsid w:val="00246249"/>
    <w:rsid w:val="00246286"/>
    <w:rsid w:val="002463A6"/>
    <w:rsid w:val="0024650C"/>
    <w:rsid w:val="00246564"/>
    <w:rsid w:val="0024662C"/>
    <w:rsid w:val="002466EF"/>
    <w:rsid w:val="0024671F"/>
    <w:rsid w:val="0024682B"/>
    <w:rsid w:val="0024699A"/>
    <w:rsid w:val="002469A8"/>
    <w:rsid w:val="00246ADB"/>
    <w:rsid w:val="00246AF1"/>
    <w:rsid w:val="00246B9D"/>
    <w:rsid w:val="00246C95"/>
    <w:rsid w:val="002471E4"/>
    <w:rsid w:val="0024720D"/>
    <w:rsid w:val="002474B8"/>
    <w:rsid w:val="002476A4"/>
    <w:rsid w:val="002476F9"/>
    <w:rsid w:val="002477A1"/>
    <w:rsid w:val="00247866"/>
    <w:rsid w:val="002479A5"/>
    <w:rsid w:val="00247A94"/>
    <w:rsid w:val="00247AD1"/>
    <w:rsid w:val="00247B75"/>
    <w:rsid w:val="00247DE6"/>
    <w:rsid w:val="00247E04"/>
    <w:rsid w:val="00247F22"/>
    <w:rsid w:val="00247F58"/>
    <w:rsid w:val="00247FA5"/>
    <w:rsid w:val="00247FD7"/>
    <w:rsid w:val="0025002C"/>
    <w:rsid w:val="002502EC"/>
    <w:rsid w:val="002503A0"/>
    <w:rsid w:val="002503F5"/>
    <w:rsid w:val="0025043C"/>
    <w:rsid w:val="002504DC"/>
    <w:rsid w:val="00250621"/>
    <w:rsid w:val="002506A9"/>
    <w:rsid w:val="00250A8B"/>
    <w:rsid w:val="00250ACC"/>
    <w:rsid w:val="00250BC7"/>
    <w:rsid w:val="00250DB4"/>
    <w:rsid w:val="00250E8C"/>
    <w:rsid w:val="00250FF7"/>
    <w:rsid w:val="0025104F"/>
    <w:rsid w:val="0025108B"/>
    <w:rsid w:val="0025109B"/>
    <w:rsid w:val="002510A3"/>
    <w:rsid w:val="00251106"/>
    <w:rsid w:val="00251173"/>
    <w:rsid w:val="00251343"/>
    <w:rsid w:val="002513CE"/>
    <w:rsid w:val="002513DA"/>
    <w:rsid w:val="00251589"/>
    <w:rsid w:val="00251668"/>
    <w:rsid w:val="002516DB"/>
    <w:rsid w:val="00251777"/>
    <w:rsid w:val="002517A5"/>
    <w:rsid w:val="00251840"/>
    <w:rsid w:val="0025192D"/>
    <w:rsid w:val="00251930"/>
    <w:rsid w:val="002519D5"/>
    <w:rsid w:val="00251AD5"/>
    <w:rsid w:val="00251CE0"/>
    <w:rsid w:val="00251DAB"/>
    <w:rsid w:val="00251E61"/>
    <w:rsid w:val="00251E9E"/>
    <w:rsid w:val="00251F6C"/>
    <w:rsid w:val="00251FCB"/>
    <w:rsid w:val="0025207D"/>
    <w:rsid w:val="00252199"/>
    <w:rsid w:val="0025221B"/>
    <w:rsid w:val="0025225C"/>
    <w:rsid w:val="0025249C"/>
    <w:rsid w:val="002525C1"/>
    <w:rsid w:val="00252635"/>
    <w:rsid w:val="00252675"/>
    <w:rsid w:val="00252871"/>
    <w:rsid w:val="00252AED"/>
    <w:rsid w:val="00252B75"/>
    <w:rsid w:val="00252D2D"/>
    <w:rsid w:val="00252D80"/>
    <w:rsid w:val="00252DA3"/>
    <w:rsid w:val="00252E9C"/>
    <w:rsid w:val="00252ED1"/>
    <w:rsid w:val="00253014"/>
    <w:rsid w:val="00253033"/>
    <w:rsid w:val="00253247"/>
    <w:rsid w:val="00253251"/>
    <w:rsid w:val="002532B7"/>
    <w:rsid w:val="002533B9"/>
    <w:rsid w:val="0025344C"/>
    <w:rsid w:val="002534FE"/>
    <w:rsid w:val="00253663"/>
    <w:rsid w:val="00253700"/>
    <w:rsid w:val="00253829"/>
    <w:rsid w:val="00253856"/>
    <w:rsid w:val="0025389F"/>
    <w:rsid w:val="002539A7"/>
    <w:rsid w:val="002539ED"/>
    <w:rsid w:val="00253BE2"/>
    <w:rsid w:val="00253C2E"/>
    <w:rsid w:val="00253C8C"/>
    <w:rsid w:val="00253FED"/>
    <w:rsid w:val="00254138"/>
    <w:rsid w:val="00254238"/>
    <w:rsid w:val="002542FB"/>
    <w:rsid w:val="0025440D"/>
    <w:rsid w:val="00254452"/>
    <w:rsid w:val="0025448C"/>
    <w:rsid w:val="002544BC"/>
    <w:rsid w:val="002544E7"/>
    <w:rsid w:val="0025450E"/>
    <w:rsid w:val="002547A6"/>
    <w:rsid w:val="00254831"/>
    <w:rsid w:val="00254896"/>
    <w:rsid w:val="0025489C"/>
    <w:rsid w:val="002548FA"/>
    <w:rsid w:val="0025497F"/>
    <w:rsid w:val="00254B03"/>
    <w:rsid w:val="00254B7C"/>
    <w:rsid w:val="00254BDB"/>
    <w:rsid w:val="00254C2F"/>
    <w:rsid w:val="00254DC1"/>
    <w:rsid w:val="00254F0E"/>
    <w:rsid w:val="002550AE"/>
    <w:rsid w:val="002550F9"/>
    <w:rsid w:val="00255152"/>
    <w:rsid w:val="0025531D"/>
    <w:rsid w:val="002553FB"/>
    <w:rsid w:val="002554F0"/>
    <w:rsid w:val="0025554E"/>
    <w:rsid w:val="00255574"/>
    <w:rsid w:val="00255605"/>
    <w:rsid w:val="00255783"/>
    <w:rsid w:val="0025593D"/>
    <w:rsid w:val="00255FC8"/>
    <w:rsid w:val="00255FCE"/>
    <w:rsid w:val="0025631B"/>
    <w:rsid w:val="00256398"/>
    <w:rsid w:val="0025655D"/>
    <w:rsid w:val="0025667D"/>
    <w:rsid w:val="00256801"/>
    <w:rsid w:val="002568B3"/>
    <w:rsid w:val="00256B21"/>
    <w:rsid w:val="00256CD8"/>
    <w:rsid w:val="00256CEC"/>
    <w:rsid w:val="00256E51"/>
    <w:rsid w:val="00256E9B"/>
    <w:rsid w:val="00256ED1"/>
    <w:rsid w:val="0025717A"/>
    <w:rsid w:val="00257498"/>
    <w:rsid w:val="002575C3"/>
    <w:rsid w:val="0025771E"/>
    <w:rsid w:val="00257A04"/>
    <w:rsid w:val="00257ACC"/>
    <w:rsid w:val="00257AF7"/>
    <w:rsid w:val="00257B3D"/>
    <w:rsid w:val="00257C84"/>
    <w:rsid w:val="00257E0E"/>
    <w:rsid w:val="00257F0F"/>
    <w:rsid w:val="0026006B"/>
    <w:rsid w:val="002600AC"/>
    <w:rsid w:val="002600D3"/>
    <w:rsid w:val="00260179"/>
    <w:rsid w:val="0026018F"/>
    <w:rsid w:val="002601E4"/>
    <w:rsid w:val="0026034E"/>
    <w:rsid w:val="002603AB"/>
    <w:rsid w:val="00260476"/>
    <w:rsid w:val="002606A0"/>
    <w:rsid w:val="002606ED"/>
    <w:rsid w:val="00260826"/>
    <w:rsid w:val="0026097F"/>
    <w:rsid w:val="00260A19"/>
    <w:rsid w:val="00260A3B"/>
    <w:rsid w:val="00260AB6"/>
    <w:rsid w:val="00260BBC"/>
    <w:rsid w:val="00260C61"/>
    <w:rsid w:val="00260D7D"/>
    <w:rsid w:val="00260DC7"/>
    <w:rsid w:val="00260F45"/>
    <w:rsid w:val="00261195"/>
    <w:rsid w:val="0026120D"/>
    <w:rsid w:val="002612EE"/>
    <w:rsid w:val="0026132A"/>
    <w:rsid w:val="002613D6"/>
    <w:rsid w:val="00261569"/>
    <w:rsid w:val="002615E8"/>
    <w:rsid w:val="00261611"/>
    <w:rsid w:val="0026165A"/>
    <w:rsid w:val="0026176C"/>
    <w:rsid w:val="00261774"/>
    <w:rsid w:val="0026186E"/>
    <w:rsid w:val="00261AD4"/>
    <w:rsid w:val="00261B4D"/>
    <w:rsid w:val="00261C29"/>
    <w:rsid w:val="00261D63"/>
    <w:rsid w:val="00261E18"/>
    <w:rsid w:val="0026214E"/>
    <w:rsid w:val="00262248"/>
    <w:rsid w:val="002622AF"/>
    <w:rsid w:val="00262301"/>
    <w:rsid w:val="0026232B"/>
    <w:rsid w:val="00262399"/>
    <w:rsid w:val="0026241E"/>
    <w:rsid w:val="002625E3"/>
    <w:rsid w:val="002626B3"/>
    <w:rsid w:val="00262742"/>
    <w:rsid w:val="00262756"/>
    <w:rsid w:val="0026276F"/>
    <w:rsid w:val="00262793"/>
    <w:rsid w:val="00262864"/>
    <w:rsid w:val="00262A62"/>
    <w:rsid w:val="00262B51"/>
    <w:rsid w:val="00262BDC"/>
    <w:rsid w:val="00262C2E"/>
    <w:rsid w:val="00262CD4"/>
    <w:rsid w:val="00262E16"/>
    <w:rsid w:val="0026311C"/>
    <w:rsid w:val="00263415"/>
    <w:rsid w:val="0026355A"/>
    <w:rsid w:val="002635D8"/>
    <w:rsid w:val="002636A6"/>
    <w:rsid w:val="00263702"/>
    <w:rsid w:val="0026370C"/>
    <w:rsid w:val="002638F4"/>
    <w:rsid w:val="002638F7"/>
    <w:rsid w:val="0026399D"/>
    <w:rsid w:val="00263D12"/>
    <w:rsid w:val="00263DDD"/>
    <w:rsid w:val="00263DF1"/>
    <w:rsid w:val="00263EC1"/>
    <w:rsid w:val="002641B4"/>
    <w:rsid w:val="002641DF"/>
    <w:rsid w:val="0026429C"/>
    <w:rsid w:val="0026434B"/>
    <w:rsid w:val="00264588"/>
    <w:rsid w:val="0026458E"/>
    <w:rsid w:val="0026461E"/>
    <w:rsid w:val="002646AA"/>
    <w:rsid w:val="00264992"/>
    <w:rsid w:val="002649A6"/>
    <w:rsid w:val="00264B72"/>
    <w:rsid w:val="00264B7D"/>
    <w:rsid w:val="00264B89"/>
    <w:rsid w:val="00264BB9"/>
    <w:rsid w:val="00264BBA"/>
    <w:rsid w:val="00264CE2"/>
    <w:rsid w:val="00264ED4"/>
    <w:rsid w:val="00264F62"/>
    <w:rsid w:val="00264FC1"/>
    <w:rsid w:val="0026503A"/>
    <w:rsid w:val="00265078"/>
    <w:rsid w:val="00265163"/>
    <w:rsid w:val="002652F0"/>
    <w:rsid w:val="0026532A"/>
    <w:rsid w:val="00265386"/>
    <w:rsid w:val="00265426"/>
    <w:rsid w:val="00265433"/>
    <w:rsid w:val="00265552"/>
    <w:rsid w:val="002656CD"/>
    <w:rsid w:val="002657D3"/>
    <w:rsid w:val="002658A8"/>
    <w:rsid w:val="00265955"/>
    <w:rsid w:val="00265B32"/>
    <w:rsid w:val="00265B7E"/>
    <w:rsid w:val="00265BAF"/>
    <w:rsid w:val="00265BE8"/>
    <w:rsid w:val="00265C5C"/>
    <w:rsid w:val="00265DED"/>
    <w:rsid w:val="00265E46"/>
    <w:rsid w:val="00265ED3"/>
    <w:rsid w:val="00265F63"/>
    <w:rsid w:val="00266017"/>
    <w:rsid w:val="002660E8"/>
    <w:rsid w:val="002662B1"/>
    <w:rsid w:val="002662B4"/>
    <w:rsid w:val="002664DD"/>
    <w:rsid w:val="002665D5"/>
    <w:rsid w:val="002666D2"/>
    <w:rsid w:val="0026673C"/>
    <w:rsid w:val="002668E6"/>
    <w:rsid w:val="00266972"/>
    <w:rsid w:val="00266B67"/>
    <w:rsid w:val="00266D45"/>
    <w:rsid w:val="00266E76"/>
    <w:rsid w:val="00266F58"/>
    <w:rsid w:val="00266F75"/>
    <w:rsid w:val="00266F79"/>
    <w:rsid w:val="00266F96"/>
    <w:rsid w:val="00267088"/>
    <w:rsid w:val="002670EE"/>
    <w:rsid w:val="00267207"/>
    <w:rsid w:val="00267239"/>
    <w:rsid w:val="002672F9"/>
    <w:rsid w:val="0026730F"/>
    <w:rsid w:val="00267334"/>
    <w:rsid w:val="0026742D"/>
    <w:rsid w:val="002674D7"/>
    <w:rsid w:val="002674D8"/>
    <w:rsid w:val="002674E9"/>
    <w:rsid w:val="00267726"/>
    <w:rsid w:val="00267761"/>
    <w:rsid w:val="0026777B"/>
    <w:rsid w:val="0026783A"/>
    <w:rsid w:val="002678FB"/>
    <w:rsid w:val="002679E7"/>
    <w:rsid w:val="002679F6"/>
    <w:rsid w:val="00267C90"/>
    <w:rsid w:val="00267D26"/>
    <w:rsid w:val="00267E14"/>
    <w:rsid w:val="00267FD1"/>
    <w:rsid w:val="00267FF9"/>
    <w:rsid w:val="002700B9"/>
    <w:rsid w:val="00270186"/>
    <w:rsid w:val="002701F8"/>
    <w:rsid w:val="00270229"/>
    <w:rsid w:val="002702DE"/>
    <w:rsid w:val="002703A8"/>
    <w:rsid w:val="002704E8"/>
    <w:rsid w:val="00270508"/>
    <w:rsid w:val="002705CA"/>
    <w:rsid w:val="002705D3"/>
    <w:rsid w:val="002705E7"/>
    <w:rsid w:val="002707D3"/>
    <w:rsid w:val="00270855"/>
    <w:rsid w:val="00270860"/>
    <w:rsid w:val="00270929"/>
    <w:rsid w:val="00270A31"/>
    <w:rsid w:val="00270A82"/>
    <w:rsid w:val="00270A84"/>
    <w:rsid w:val="00270A85"/>
    <w:rsid w:val="00270AC7"/>
    <w:rsid w:val="00270B45"/>
    <w:rsid w:val="00270BC6"/>
    <w:rsid w:val="00270CEF"/>
    <w:rsid w:val="00270CFB"/>
    <w:rsid w:val="00270D3F"/>
    <w:rsid w:val="00270EDF"/>
    <w:rsid w:val="002710ED"/>
    <w:rsid w:val="002711F3"/>
    <w:rsid w:val="002712F8"/>
    <w:rsid w:val="00271475"/>
    <w:rsid w:val="0027156F"/>
    <w:rsid w:val="0027160C"/>
    <w:rsid w:val="0027173D"/>
    <w:rsid w:val="00271817"/>
    <w:rsid w:val="00271A73"/>
    <w:rsid w:val="00271A98"/>
    <w:rsid w:val="00271B4F"/>
    <w:rsid w:val="00271B67"/>
    <w:rsid w:val="00271D2E"/>
    <w:rsid w:val="00271D6B"/>
    <w:rsid w:val="00271DE6"/>
    <w:rsid w:val="00271E24"/>
    <w:rsid w:val="00271EF1"/>
    <w:rsid w:val="00271F11"/>
    <w:rsid w:val="00272238"/>
    <w:rsid w:val="00272347"/>
    <w:rsid w:val="00272360"/>
    <w:rsid w:val="0027236C"/>
    <w:rsid w:val="002723E1"/>
    <w:rsid w:val="002725E5"/>
    <w:rsid w:val="00272820"/>
    <w:rsid w:val="00272981"/>
    <w:rsid w:val="00272A72"/>
    <w:rsid w:val="00272DA0"/>
    <w:rsid w:val="00272F30"/>
    <w:rsid w:val="002730DA"/>
    <w:rsid w:val="002732F6"/>
    <w:rsid w:val="0027333E"/>
    <w:rsid w:val="0027336D"/>
    <w:rsid w:val="00273428"/>
    <w:rsid w:val="00273551"/>
    <w:rsid w:val="002738DF"/>
    <w:rsid w:val="00273BA1"/>
    <w:rsid w:val="00273CD6"/>
    <w:rsid w:val="00273E2F"/>
    <w:rsid w:val="00273EA5"/>
    <w:rsid w:val="002742EF"/>
    <w:rsid w:val="00274693"/>
    <w:rsid w:val="002746C5"/>
    <w:rsid w:val="00274707"/>
    <w:rsid w:val="0027471E"/>
    <w:rsid w:val="00274C06"/>
    <w:rsid w:val="00274D3F"/>
    <w:rsid w:val="00274D54"/>
    <w:rsid w:val="00274D83"/>
    <w:rsid w:val="00274E29"/>
    <w:rsid w:val="00274E51"/>
    <w:rsid w:val="0027507F"/>
    <w:rsid w:val="00275188"/>
    <w:rsid w:val="002751B9"/>
    <w:rsid w:val="002751D1"/>
    <w:rsid w:val="00275209"/>
    <w:rsid w:val="002752A1"/>
    <w:rsid w:val="002752C3"/>
    <w:rsid w:val="0027549A"/>
    <w:rsid w:val="00275603"/>
    <w:rsid w:val="0027561C"/>
    <w:rsid w:val="002757A0"/>
    <w:rsid w:val="0027584F"/>
    <w:rsid w:val="002759BB"/>
    <w:rsid w:val="00275B07"/>
    <w:rsid w:val="00275C2E"/>
    <w:rsid w:val="00275CD1"/>
    <w:rsid w:val="00275E03"/>
    <w:rsid w:val="00275F2A"/>
    <w:rsid w:val="002760D5"/>
    <w:rsid w:val="002763A5"/>
    <w:rsid w:val="00276427"/>
    <w:rsid w:val="00276582"/>
    <w:rsid w:val="002765F6"/>
    <w:rsid w:val="00276687"/>
    <w:rsid w:val="00276960"/>
    <w:rsid w:val="002769F5"/>
    <w:rsid w:val="00276A38"/>
    <w:rsid w:val="00276B50"/>
    <w:rsid w:val="00276BB6"/>
    <w:rsid w:val="00276D28"/>
    <w:rsid w:val="00276DAE"/>
    <w:rsid w:val="002770B5"/>
    <w:rsid w:val="00277357"/>
    <w:rsid w:val="00277382"/>
    <w:rsid w:val="00277415"/>
    <w:rsid w:val="00277495"/>
    <w:rsid w:val="002774FC"/>
    <w:rsid w:val="002775A3"/>
    <w:rsid w:val="0027765C"/>
    <w:rsid w:val="002776BA"/>
    <w:rsid w:val="00277725"/>
    <w:rsid w:val="00277743"/>
    <w:rsid w:val="002777CB"/>
    <w:rsid w:val="0027785C"/>
    <w:rsid w:val="002778FD"/>
    <w:rsid w:val="00277AC7"/>
    <w:rsid w:val="00277CB6"/>
    <w:rsid w:val="00277E09"/>
    <w:rsid w:val="002800B0"/>
    <w:rsid w:val="002800B9"/>
    <w:rsid w:val="00280188"/>
    <w:rsid w:val="0028030D"/>
    <w:rsid w:val="0028038D"/>
    <w:rsid w:val="002803CD"/>
    <w:rsid w:val="002805D4"/>
    <w:rsid w:val="00280682"/>
    <w:rsid w:val="0028068C"/>
    <w:rsid w:val="002807A0"/>
    <w:rsid w:val="00280BA5"/>
    <w:rsid w:val="00280C8E"/>
    <w:rsid w:val="00280DC6"/>
    <w:rsid w:val="00280E4B"/>
    <w:rsid w:val="00280FD0"/>
    <w:rsid w:val="00281084"/>
    <w:rsid w:val="002810AA"/>
    <w:rsid w:val="002810F1"/>
    <w:rsid w:val="002811D7"/>
    <w:rsid w:val="00281221"/>
    <w:rsid w:val="002812F3"/>
    <w:rsid w:val="00281347"/>
    <w:rsid w:val="00281355"/>
    <w:rsid w:val="0028135E"/>
    <w:rsid w:val="00281363"/>
    <w:rsid w:val="002813F0"/>
    <w:rsid w:val="0028167F"/>
    <w:rsid w:val="0028179B"/>
    <w:rsid w:val="002818FD"/>
    <w:rsid w:val="00281AA8"/>
    <w:rsid w:val="00281B35"/>
    <w:rsid w:val="00281B70"/>
    <w:rsid w:val="00281C17"/>
    <w:rsid w:val="00281C31"/>
    <w:rsid w:val="00281CAB"/>
    <w:rsid w:val="002820EC"/>
    <w:rsid w:val="002821BB"/>
    <w:rsid w:val="00282573"/>
    <w:rsid w:val="00282580"/>
    <w:rsid w:val="002826F0"/>
    <w:rsid w:val="002828A5"/>
    <w:rsid w:val="00282934"/>
    <w:rsid w:val="00282A26"/>
    <w:rsid w:val="00282A8A"/>
    <w:rsid w:val="00282ACF"/>
    <w:rsid w:val="00282EE0"/>
    <w:rsid w:val="002830B6"/>
    <w:rsid w:val="002830D4"/>
    <w:rsid w:val="00283182"/>
    <w:rsid w:val="0028323E"/>
    <w:rsid w:val="002832E8"/>
    <w:rsid w:val="00283632"/>
    <w:rsid w:val="002838BF"/>
    <w:rsid w:val="00283958"/>
    <w:rsid w:val="00283A44"/>
    <w:rsid w:val="00283A83"/>
    <w:rsid w:val="00283AD6"/>
    <w:rsid w:val="00283ADC"/>
    <w:rsid w:val="00283B33"/>
    <w:rsid w:val="00283B99"/>
    <w:rsid w:val="00283D75"/>
    <w:rsid w:val="00283DF0"/>
    <w:rsid w:val="00283E3F"/>
    <w:rsid w:val="00283E77"/>
    <w:rsid w:val="00283E78"/>
    <w:rsid w:val="00283E8B"/>
    <w:rsid w:val="00283F06"/>
    <w:rsid w:val="00283F4C"/>
    <w:rsid w:val="00283F8B"/>
    <w:rsid w:val="0028424F"/>
    <w:rsid w:val="0028429E"/>
    <w:rsid w:val="00284340"/>
    <w:rsid w:val="00284348"/>
    <w:rsid w:val="00284457"/>
    <w:rsid w:val="002844C0"/>
    <w:rsid w:val="002846B8"/>
    <w:rsid w:val="00284743"/>
    <w:rsid w:val="0028486B"/>
    <w:rsid w:val="00284974"/>
    <w:rsid w:val="00284A2E"/>
    <w:rsid w:val="00284A79"/>
    <w:rsid w:val="00284B49"/>
    <w:rsid w:val="00284C77"/>
    <w:rsid w:val="00284CB7"/>
    <w:rsid w:val="00284E99"/>
    <w:rsid w:val="00284FED"/>
    <w:rsid w:val="002850EF"/>
    <w:rsid w:val="00285154"/>
    <w:rsid w:val="0028526C"/>
    <w:rsid w:val="00285905"/>
    <w:rsid w:val="00285946"/>
    <w:rsid w:val="00285988"/>
    <w:rsid w:val="00285BC0"/>
    <w:rsid w:val="00285CC9"/>
    <w:rsid w:val="00285EA5"/>
    <w:rsid w:val="00286061"/>
    <w:rsid w:val="002860D9"/>
    <w:rsid w:val="0028656F"/>
    <w:rsid w:val="002865A4"/>
    <w:rsid w:val="002867C4"/>
    <w:rsid w:val="00286905"/>
    <w:rsid w:val="00286B41"/>
    <w:rsid w:val="00286C58"/>
    <w:rsid w:val="00286DB1"/>
    <w:rsid w:val="00286F88"/>
    <w:rsid w:val="00286FE0"/>
    <w:rsid w:val="00286FEF"/>
    <w:rsid w:val="002870ED"/>
    <w:rsid w:val="00287376"/>
    <w:rsid w:val="0028740E"/>
    <w:rsid w:val="0028742D"/>
    <w:rsid w:val="002874ED"/>
    <w:rsid w:val="00287556"/>
    <w:rsid w:val="00287612"/>
    <w:rsid w:val="0028764F"/>
    <w:rsid w:val="002876FF"/>
    <w:rsid w:val="00287710"/>
    <w:rsid w:val="002878D7"/>
    <w:rsid w:val="0028790B"/>
    <w:rsid w:val="00287CE5"/>
    <w:rsid w:val="00287D5A"/>
    <w:rsid w:val="00287DC5"/>
    <w:rsid w:val="00287E78"/>
    <w:rsid w:val="00290035"/>
    <w:rsid w:val="002902B1"/>
    <w:rsid w:val="00290531"/>
    <w:rsid w:val="00290559"/>
    <w:rsid w:val="00290641"/>
    <w:rsid w:val="00290676"/>
    <w:rsid w:val="0029068C"/>
    <w:rsid w:val="002906F8"/>
    <w:rsid w:val="00290889"/>
    <w:rsid w:val="00290890"/>
    <w:rsid w:val="002908D2"/>
    <w:rsid w:val="00290961"/>
    <w:rsid w:val="0029098F"/>
    <w:rsid w:val="002909ED"/>
    <w:rsid w:val="00290DD1"/>
    <w:rsid w:val="00290DED"/>
    <w:rsid w:val="00290FAB"/>
    <w:rsid w:val="0029115A"/>
    <w:rsid w:val="00291162"/>
    <w:rsid w:val="002911DD"/>
    <w:rsid w:val="002911E7"/>
    <w:rsid w:val="002913DB"/>
    <w:rsid w:val="00291444"/>
    <w:rsid w:val="00291451"/>
    <w:rsid w:val="00291462"/>
    <w:rsid w:val="00291541"/>
    <w:rsid w:val="00291572"/>
    <w:rsid w:val="00291611"/>
    <w:rsid w:val="00291672"/>
    <w:rsid w:val="002916DD"/>
    <w:rsid w:val="00291A00"/>
    <w:rsid w:val="00291A89"/>
    <w:rsid w:val="00291FFD"/>
    <w:rsid w:val="002920A1"/>
    <w:rsid w:val="002922A0"/>
    <w:rsid w:val="002923A9"/>
    <w:rsid w:val="00292425"/>
    <w:rsid w:val="0029249D"/>
    <w:rsid w:val="002924CE"/>
    <w:rsid w:val="002924D0"/>
    <w:rsid w:val="0029255F"/>
    <w:rsid w:val="002925CB"/>
    <w:rsid w:val="00292616"/>
    <w:rsid w:val="0029261D"/>
    <w:rsid w:val="00292669"/>
    <w:rsid w:val="00292732"/>
    <w:rsid w:val="002927D9"/>
    <w:rsid w:val="00292827"/>
    <w:rsid w:val="002929F9"/>
    <w:rsid w:val="00292A12"/>
    <w:rsid w:val="00292B13"/>
    <w:rsid w:val="00292B4E"/>
    <w:rsid w:val="00292D4D"/>
    <w:rsid w:val="00292DE0"/>
    <w:rsid w:val="00292F02"/>
    <w:rsid w:val="00293078"/>
    <w:rsid w:val="0029307E"/>
    <w:rsid w:val="002931B9"/>
    <w:rsid w:val="002932D7"/>
    <w:rsid w:val="0029338D"/>
    <w:rsid w:val="002933FD"/>
    <w:rsid w:val="002933FF"/>
    <w:rsid w:val="00293411"/>
    <w:rsid w:val="0029350E"/>
    <w:rsid w:val="0029371A"/>
    <w:rsid w:val="0029374B"/>
    <w:rsid w:val="00293753"/>
    <w:rsid w:val="002937DD"/>
    <w:rsid w:val="00293970"/>
    <w:rsid w:val="00293A1B"/>
    <w:rsid w:val="00293B06"/>
    <w:rsid w:val="00293B1B"/>
    <w:rsid w:val="00293BA4"/>
    <w:rsid w:val="00293C59"/>
    <w:rsid w:val="00293EB1"/>
    <w:rsid w:val="00293F33"/>
    <w:rsid w:val="00293F99"/>
    <w:rsid w:val="00294028"/>
    <w:rsid w:val="00294046"/>
    <w:rsid w:val="002940BD"/>
    <w:rsid w:val="002943F5"/>
    <w:rsid w:val="00294662"/>
    <w:rsid w:val="0029471E"/>
    <w:rsid w:val="00294722"/>
    <w:rsid w:val="00294731"/>
    <w:rsid w:val="002947D5"/>
    <w:rsid w:val="002947D7"/>
    <w:rsid w:val="00294C07"/>
    <w:rsid w:val="00294DA1"/>
    <w:rsid w:val="00294E62"/>
    <w:rsid w:val="00294F25"/>
    <w:rsid w:val="00294F5A"/>
    <w:rsid w:val="00295056"/>
    <w:rsid w:val="002951D9"/>
    <w:rsid w:val="00295526"/>
    <w:rsid w:val="002955AF"/>
    <w:rsid w:val="002955C1"/>
    <w:rsid w:val="00295632"/>
    <w:rsid w:val="0029591A"/>
    <w:rsid w:val="00295AB5"/>
    <w:rsid w:val="00295B1A"/>
    <w:rsid w:val="00295C15"/>
    <w:rsid w:val="00295D7B"/>
    <w:rsid w:val="00295DE1"/>
    <w:rsid w:val="00295E46"/>
    <w:rsid w:val="00295E5C"/>
    <w:rsid w:val="00295F18"/>
    <w:rsid w:val="00296090"/>
    <w:rsid w:val="0029614A"/>
    <w:rsid w:val="00296173"/>
    <w:rsid w:val="0029625D"/>
    <w:rsid w:val="0029631A"/>
    <w:rsid w:val="002967B5"/>
    <w:rsid w:val="002967E4"/>
    <w:rsid w:val="002967E8"/>
    <w:rsid w:val="002968EF"/>
    <w:rsid w:val="0029695C"/>
    <w:rsid w:val="00296C79"/>
    <w:rsid w:val="00296C92"/>
    <w:rsid w:val="00296CB0"/>
    <w:rsid w:val="00296CC3"/>
    <w:rsid w:val="00296E2E"/>
    <w:rsid w:val="00296EDA"/>
    <w:rsid w:val="00296FB7"/>
    <w:rsid w:val="002970B0"/>
    <w:rsid w:val="002971C5"/>
    <w:rsid w:val="00297242"/>
    <w:rsid w:val="00297258"/>
    <w:rsid w:val="002972E7"/>
    <w:rsid w:val="00297366"/>
    <w:rsid w:val="0029738E"/>
    <w:rsid w:val="002973BC"/>
    <w:rsid w:val="0029757D"/>
    <w:rsid w:val="002975A6"/>
    <w:rsid w:val="00297634"/>
    <w:rsid w:val="0029769B"/>
    <w:rsid w:val="0029777F"/>
    <w:rsid w:val="00297990"/>
    <w:rsid w:val="00297B64"/>
    <w:rsid w:val="00297B8D"/>
    <w:rsid w:val="00297BC1"/>
    <w:rsid w:val="00297E36"/>
    <w:rsid w:val="00297F71"/>
    <w:rsid w:val="002A011E"/>
    <w:rsid w:val="002A01BB"/>
    <w:rsid w:val="002A02F0"/>
    <w:rsid w:val="002A0358"/>
    <w:rsid w:val="002A03C8"/>
    <w:rsid w:val="002A04B4"/>
    <w:rsid w:val="002A050B"/>
    <w:rsid w:val="002A05BC"/>
    <w:rsid w:val="002A0668"/>
    <w:rsid w:val="002A06AE"/>
    <w:rsid w:val="002A0760"/>
    <w:rsid w:val="002A07B3"/>
    <w:rsid w:val="002A0802"/>
    <w:rsid w:val="002A0886"/>
    <w:rsid w:val="002A0B71"/>
    <w:rsid w:val="002A0B89"/>
    <w:rsid w:val="002A0C0F"/>
    <w:rsid w:val="002A0CD3"/>
    <w:rsid w:val="002A0E1C"/>
    <w:rsid w:val="002A0E76"/>
    <w:rsid w:val="002A0E95"/>
    <w:rsid w:val="002A0F88"/>
    <w:rsid w:val="002A0FB5"/>
    <w:rsid w:val="002A1001"/>
    <w:rsid w:val="002A109E"/>
    <w:rsid w:val="002A11E8"/>
    <w:rsid w:val="002A121D"/>
    <w:rsid w:val="002A13C4"/>
    <w:rsid w:val="002A145B"/>
    <w:rsid w:val="002A14BE"/>
    <w:rsid w:val="002A1580"/>
    <w:rsid w:val="002A16A9"/>
    <w:rsid w:val="002A16E3"/>
    <w:rsid w:val="002A16EA"/>
    <w:rsid w:val="002A1708"/>
    <w:rsid w:val="002A17FA"/>
    <w:rsid w:val="002A1817"/>
    <w:rsid w:val="002A181F"/>
    <w:rsid w:val="002A18BE"/>
    <w:rsid w:val="002A1988"/>
    <w:rsid w:val="002A1B5C"/>
    <w:rsid w:val="002A1E80"/>
    <w:rsid w:val="002A1EFD"/>
    <w:rsid w:val="002A1F86"/>
    <w:rsid w:val="002A1FBB"/>
    <w:rsid w:val="002A20CC"/>
    <w:rsid w:val="002A2296"/>
    <w:rsid w:val="002A2354"/>
    <w:rsid w:val="002A2473"/>
    <w:rsid w:val="002A2538"/>
    <w:rsid w:val="002A260E"/>
    <w:rsid w:val="002A2698"/>
    <w:rsid w:val="002A2A6E"/>
    <w:rsid w:val="002A2E45"/>
    <w:rsid w:val="002A2F07"/>
    <w:rsid w:val="002A2F2E"/>
    <w:rsid w:val="002A2FFF"/>
    <w:rsid w:val="002A316C"/>
    <w:rsid w:val="002A32A4"/>
    <w:rsid w:val="002A355F"/>
    <w:rsid w:val="002A3575"/>
    <w:rsid w:val="002A36F6"/>
    <w:rsid w:val="002A37A8"/>
    <w:rsid w:val="002A37CA"/>
    <w:rsid w:val="002A383C"/>
    <w:rsid w:val="002A38AC"/>
    <w:rsid w:val="002A3A33"/>
    <w:rsid w:val="002A3A84"/>
    <w:rsid w:val="002A3B75"/>
    <w:rsid w:val="002A3CB4"/>
    <w:rsid w:val="002A3CFB"/>
    <w:rsid w:val="002A3D74"/>
    <w:rsid w:val="002A3E5D"/>
    <w:rsid w:val="002A3F90"/>
    <w:rsid w:val="002A403C"/>
    <w:rsid w:val="002A4084"/>
    <w:rsid w:val="002A41C8"/>
    <w:rsid w:val="002A4273"/>
    <w:rsid w:val="002A4299"/>
    <w:rsid w:val="002A4458"/>
    <w:rsid w:val="002A452E"/>
    <w:rsid w:val="002A4546"/>
    <w:rsid w:val="002A45A0"/>
    <w:rsid w:val="002A45AC"/>
    <w:rsid w:val="002A4647"/>
    <w:rsid w:val="002A46DE"/>
    <w:rsid w:val="002A4896"/>
    <w:rsid w:val="002A48F7"/>
    <w:rsid w:val="002A494B"/>
    <w:rsid w:val="002A4A08"/>
    <w:rsid w:val="002A4AD6"/>
    <w:rsid w:val="002A4BC1"/>
    <w:rsid w:val="002A51F0"/>
    <w:rsid w:val="002A5380"/>
    <w:rsid w:val="002A53BD"/>
    <w:rsid w:val="002A53CC"/>
    <w:rsid w:val="002A5426"/>
    <w:rsid w:val="002A5429"/>
    <w:rsid w:val="002A552A"/>
    <w:rsid w:val="002A5989"/>
    <w:rsid w:val="002A59C3"/>
    <w:rsid w:val="002A5AA7"/>
    <w:rsid w:val="002A5CD1"/>
    <w:rsid w:val="002A5DF4"/>
    <w:rsid w:val="002A5E06"/>
    <w:rsid w:val="002A5E8A"/>
    <w:rsid w:val="002A5EB7"/>
    <w:rsid w:val="002A5F5F"/>
    <w:rsid w:val="002A6003"/>
    <w:rsid w:val="002A60B1"/>
    <w:rsid w:val="002A6134"/>
    <w:rsid w:val="002A61DB"/>
    <w:rsid w:val="002A61E1"/>
    <w:rsid w:val="002A63B6"/>
    <w:rsid w:val="002A6450"/>
    <w:rsid w:val="002A64FB"/>
    <w:rsid w:val="002A69A4"/>
    <w:rsid w:val="002A6A0B"/>
    <w:rsid w:val="002A6CB3"/>
    <w:rsid w:val="002A6CD0"/>
    <w:rsid w:val="002A6DFB"/>
    <w:rsid w:val="002A6E8C"/>
    <w:rsid w:val="002A6F6B"/>
    <w:rsid w:val="002A70A0"/>
    <w:rsid w:val="002A7153"/>
    <w:rsid w:val="002A7196"/>
    <w:rsid w:val="002A7270"/>
    <w:rsid w:val="002A72BF"/>
    <w:rsid w:val="002A74E9"/>
    <w:rsid w:val="002A7518"/>
    <w:rsid w:val="002A7553"/>
    <w:rsid w:val="002A75B0"/>
    <w:rsid w:val="002A7609"/>
    <w:rsid w:val="002A76AE"/>
    <w:rsid w:val="002A76CE"/>
    <w:rsid w:val="002A77E0"/>
    <w:rsid w:val="002A78D4"/>
    <w:rsid w:val="002A78EF"/>
    <w:rsid w:val="002A7E33"/>
    <w:rsid w:val="002A7E68"/>
    <w:rsid w:val="002A7F82"/>
    <w:rsid w:val="002B0145"/>
    <w:rsid w:val="002B017E"/>
    <w:rsid w:val="002B01C8"/>
    <w:rsid w:val="002B032E"/>
    <w:rsid w:val="002B0538"/>
    <w:rsid w:val="002B0620"/>
    <w:rsid w:val="002B066D"/>
    <w:rsid w:val="002B0680"/>
    <w:rsid w:val="002B0747"/>
    <w:rsid w:val="002B0917"/>
    <w:rsid w:val="002B094E"/>
    <w:rsid w:val="002B09E6"/>
    <w:rsid w:val="002B0A4E"/>
    <w:rsid w:val="002B0ABB"/>
    <w:rsid w:val="002B0B56"/>
    <w:rsid w:val="002B0BA6"/>
    <w:rsid w:val="002B0C0C"/>
    <w:rsid w:val="002B0CFE"/>
    <w:rsid w:val="002B0FC1"/>
    <w:rsid w:val="002B0FE6"/>
    <w:rsid w:val="002B1109"/>
    <w:rsid w:val="002B114D"/>
    <w:rsid w:val="002B1208"/>
    <w:rsid w:val="002B12AF"/>
    <w:rsid w:val="002B1384"/>
    <w:rsid w:val="002B13BF"/>
    <w:rsid w:val="002B14C0"/>
    <w:rsid w:val="002B15F6"/>
    <w:rsid w:val="002B1732"/>
    <w:rsid w:val="002B17B9"/>
    <w:rsid w:val="002B17E6"/>
    <w:rsid w:val="002B18FB"/>
    <w:rsid w:val="002B1920"/>
    <w:rsid w:val="002B1A53"/>
    <w:rsid w:val="002B1D85"/>
    <w:rsid w:val="002B1F68"/>
    <w:rsid w:val="002B1F72"/>
    <w:rsid w:val="002B2103"/>
    <w:rsid w:val="002B2254"/>
    <w:rsid w:val="002B2289"/>
    <w:rsid w:val="002B2290"/>
    <w:rsid w:val="002B23F4"/>
    <w:rsid w:val="002B2606"/>
    <w:rsid w:val="002B2673"/>
    <w:rsid w:val="002B27BE"/>
    <w:rsid w:val="002B2A45"/>
    <w:rsid w:val="002B2AB9"/>
    <w:rsid w:val="002B2AF3"/>
    <w:rsid w:val="002B2C8C"/>
    <w:rsid w:val="002B2D11"/>
    <w:rsid w:val="002B2D4E"/>
    <w:rsid w:val="002B2EB0"/>
    <w:rsid w:val="002B2FF1"/>
    <w:rsid w:val="002B2FFC"/>
    <w:rsid w:val="002B30F4"/>
    <w:rsid w:val="002B3178"/>
    <w:rsid w:val="002B320F"/>
    <w:rsid w:val="002B328E"/>
    <w:rsid w:val="002B3383"/>
    <w:rsid w:val="002B34EC"/>
    <w:rsid w:val="002B3681"/>
    <w:rsid w:val="002B374D"/>
    <w:rsid w:val="002B3789"/>
    <w:rsid w:val="002B379F"/>
    <w:rsid w:val="002B37A3"/>
    <w:rsid w:val="002B37A4"/>
    <w:rsid w:val="002B3A96"/>
    <w:rsid w:val="002B3B2D"/>
    <w:rsid w:val="002B3BBC"/>
    <w:rsid w:val="002B3BF4"/>
    <w:rsid w:val="002B3C56"/>
    <w:rsid w:val="002B3CEB"/>
    <w:rsid w:val="002B3D0B"/>
    <w:rsid w:val="002B3D3E"/>
    <w:rsid w:val="002B3DBD"/>
    <w:rsid w:val="002B3E3F"/>
    <w:rsid w:val="002B3E5C"/>
    <w:rsid w:val="002B3EDD"/>
    <w:rsid w:val="002B3EFC"/>
    <w:rsid w:val="002B418C"/>
    <w:rsid w:val="002B425E"/>
    <w:rsid w:val="002B42E6"/>
    <w:rsid w:val="002B44F7"/>
    <w:rsid w:val="002B4530"/>
    <w:rsid w:val="002B463F"/>
    <w:rsid w:val="002B48EE"/>
    <w:rsid w:val="002B4983"/>
    <w:rsid w:val="002B4AC7"/>
    <w:rsid w:val="002B4BBD"/>
    <w:rsid w:val="002B4BD8"/>
    <w:rsid w:val="002B4C2E"/>
    <w:rsid w:val="002B4C5A"/>
    <w:rsid w:val="002B4D5A"/>
    <w:rsid w:val="002B4D87"/>
    <w:rsid w:val="002B4E81"/>
    <w:rsid w:val="002B4FDB"/>
    <w:rsid w:val="002B51D0"/>
    <w:rsid w:val="002B5268"/>
    <w:rsid w:val="002B52F7"/>
    <w:rsid w:val="002B5473"/>
    <w:rsid w:val="002B5488"/>
    <w:rsid w:val="002B55E3"/>
    <w:rsid w:val="002B5685"/>
    <w:rsid w:val="002B56DD"/>
    <w:rsid w:val="002B5787"/>
    <w:rsid w:val="002B57A0"/>
    <w:rsid w:val="002B584E"/>
    <w:rsid w:val="002B5BEF"/>
    <w:rsid w:val="002B5CD1"/>
    <w:rsid w:val="002B5D0B"/>
    <w:rsid w:val="002B5DFF"/>
    <w:rsid w:val="002B60B7"/>
    <w:rsid w:val="002B60F8"/>
    <w:rsid w:val="002B61C8"/>
    <w:rsid w:val="002B643A"/>
    <w:rsid w:val="002B64B9"/>
    <w:rsid w:val="002B6634"/>
    <w:rsid w:val="002B667C"/>
    <w:rsid w:val="002B672C"/>
    <w:rsid w:val="002B672F"/>
    <w:rsid w:val="002B67BD"/>
    <w:rsid w:val="002B685A"/>
    <w:rsid w:val="002B68CA"/>
    <w:rsid w:val="002B6A03"/>
    <w:rsid w:val="002B6A8C"/>
    <w:rsid w:val="002B6B2A"/>
    <w:rsid w:val="002B6B8F"/>
    <w:rsid w:val="002B6BE6"/>
    <w:rsid w:val="002B6C3E"/>
    <w:rsid w:val="002B6D33"/>
    <w:rsid w:val="002B6E1B"/>
    <w:rsid w:val="002B7144"/>
    <w:rsid w:val="002B71C8"/>
    <w:rsid w:val="002B72BE"/>
    <w:rsid w:val="002B7483"/>
    <w:rsid w:val="002B74AB"/>
    <w:rsid w:val="002B75BE"/>
    <w:rsid w:val="002B76A7"/>
    <w:rsid w:val="002B76CA"/>
    <w:rsid w:val="002B7935"/>
    <w:rsid w:val="002B7B04"/>
    <w:rsid w:val="002B7EA8"/>
    <w:rsid w:val="002C006C"/>
    <w:rsid w:val="002C00BC"/>
    <w:rsid w:val="002C015B"/>
    <w:rsid w:val="002C0302"/>
    <w:rsid w:val="002C0402"/>
    <w:rsid w:val="002C04DF"/>
    <w:rsid w:val="002C054D"/>
    <w:rsid w:val="002C0604"/>
    <w:rsid w:val="002C0692"/>
    <w:rsid w:val="002C076B"/>
    <w:rsid w:val="002C0863"/>
    <w:rsid w:val="002C0BDD"/>
    <w:rsid w:val="002C0C57"/>
    <w:rsid w:val="002C0DE0"/>
    <w:rsid w:val="002C0DE4"/>
    <w:rsid w:val="002C0EBF"/>
    <w:rsid w:val="002C0F83"/>
    <w:rsid w:val="002C1049"/>
    <w:rsid w:val="002C1064"/>
    <w:rsid w:val="002C11CA"/>
    <w:rsid w:val="002C1295"/>
    <w:rsid w:val="002C12DE"/>
    <w:rsid w:val="002C13C6"/>
    <w:rsid w:val="002C145F"/>
    <w:rsid w:val="002C14D2"/>
    <w:rsid w:val="002C1526"/>
    <w:rsid w:val="002C1658"/>
    <w:rsid w:val="002C16A3"/>
    <w:rsid w:val="002C16DF"/>
    <w:rsid w:val="002C1A29"/>
    <w:rsid w:val="002C1D76"/>
    <w:rsid w:val="002C1D77"/>
    <w:rsid w:val="002C1DD3"/>
    <w:rsid w:val="002C1EBD"/>
    <w:rsid w:val="002C1EE9"/>
    <w:rsid w:val="002C204D"/>
    <w:rsid w:val="002C206C"/>
    <w:rsid w:val="002C2093"/>
    <w:rsid w:val="002C20D1"/>
    <w:rsid w:val="002C21DB"/>
    <w:rsid w:val="002C254C"/>
    <w:rsid w:val="002C2556"/>
    <w:rsid w:val="002C257B"/>
    <w:rsid w:val="002C25B7"/>
    <w:rsid w:val="002C2611"/>
    <w:rsid w:val="002C27F0"/>
    <w:rsid w:val="002C2815"/>
    <w:rsid w:val="002C28DD"/>
    <w:rsid w:val="002C28E3"/>
    <w:rsid w:val="002C29DB"/>
    <w:rsid w:val="002C2A8E"/>
    <w:rsid w:val="002C2CE9"/>
    <w:rsid w:val="002C2E31"/>
    <w:rsid w:val="002C2E35"/>
    <w:rsid w:val="002C2F67"/>
    <w:rsid w:val="002C2F73"/>
    <w:rsid w:val="002C2FCF"/>
    <w:rsid w:val="002C3082"/>
    <w:rsid w:val="002C30FD"/>
    <w:rsid w:val="002C311B"/>
    <w:rsid w:val="002C350C"/>
    <w:rsid w:val="002C37FF"/>
    <w:rsid w:val="002C38C6"/>
    <w:rsid w:val="002C397D"/>
    <w:rsid w:val="002C39CF"/>
    <w:rsid w:val="002C3A6F"/>
    <w:rsid w:val="002C3C81"/>
    <w:rsid w:val="002C3D47"/>
    <w:rsid w:val="002C3D9F"/>
    <w:rsid w:val="002C3DB1"/>
    <w:rsid w:val="002C4127"/>
    <w:rsid w:val="002C4178"/>
    <w:rsid w:val="002C41A0"/>
    <w:rsid w:val="002C4200"/>
    <w:rsid w:val="002C4389"/>
    <w:rsid w:val="002C445F"/>
    <w:rsid w:val="002C4586"/>
    <w:rsid w:val="002C45E8"/>
    <w:rsid w:val="002C460B"/>
    <w:rsid w:val="002C46BA"/>
    <w:rsid w:val="002C4877"/>
    <w:rsid w:val="002C4953"/>
    <w:rsid w:val="002C49E3"/>
    <w:rsid w:val="002C4B78"/>
    <w:rsid w:val="002C4C88"/>
    <w:rsid w:val="002C4D62"/>
    <w:rsid w:val="002C4E44"/>
    <w:rsid w:val="002C4F07"/>
    <w:rsid w:val="002C4F91"/>
    <w:rsid w:val="002C4F95"/>
    <w:rsid w:val="002C502A"/>
    <w:rsid w:val="002C509D"/>
    <w:rsid w:val="002C50CA"/>
    <w:rsid w:val="002C53C8"/>
    <w:rsid w:val="002C54F8"/>
    <w:rsid w:val="002C55BA"/>
    <w:rsid w:val="002C5629"/>
    <w:rsid w:val="002C5688"/>
    <w:rsid w:val="002C5794"/>
    <w:rsid w:val="002C57AC"/>
    <w:rsid w:val="002C57FD"/>
    <w:rsid w:val="002C5A67"/>
    <w:rsid w:val="002C5CF9"/>
    <w:rsid w:val="002C5E5E"/>
    <w:rsid w:val="002C5F57"/>
    <w:rsid w:val="002C5FA3"/>
    <w:rsid w:val="002C6125"/>
    <w:rsid w:val="002C6309"/>
    <w:rsid w:val="002C65E5"/>
    <w:rsid w:val="002C65FF"/>
    <w:rsid w:val="002C6789"/>
    <w:rsid w:val="002C678E"/>
    <w:rsid w:val="002C67D8"/>
    <w:rsid w:val="002C680C"/>
    <w:rsid w:val="002C683C"/>
    <w:rsid w:val="002C6A9C"/>
    <w:rsid w:val="002C6AAB"/>
    <w:rsid w:val="002C6CD4"/>
    <w:rsid w:val="002C6D1A"/>
    <w:rsid w:val="002C6E93"/>
    <w:rsid w:val="002C6F70"/>
    <w:rsid w:val="002C6FB0"/>
    <w:rsid w:val="002C6FBA"/>
    <w:rsid w:val="002C6FC8"/>
    <w:rsid w:val="002C70CE"/>
    <w:rsid w:val="002C751D"/>
    <w:rsid w:val="002C7559"/>
    <w:rsid w:val="002C75A1"/>
    <w:rsid w:val="002C7644"/>
    <w:rsid w:val="002C765C"/>
    <w:rsid w:val="002C76C8"/>
    <w:rsid w:val="002C77FA"/>
    <w:rsid w:val="002C7864"/>
    <w:rsid w:val="002C7925"/>
    <w:rsid w:val="002C7942"/>
    <w:rsid w:val="002C7B67"/>
    <w:rsid w:val="002C7BFF"/>
    <w:rsid w:val="002D00E4"/>
    <w:rsid w:val="002D0302"/>
    <w:rsid w:val="002D0453"/>
    <w:rsid w:val="002D068C"/>
    <w:rsid w:val="002D06CA"/>
    <w:rsid w:val="002D0841"/>
    <w:rsid w:val="002D0C12"/>
    <w:rsid w:val="002D0C2E"/>
    <w:rsid w:val="002D0D67"/>
    <w:rsid w:val="002D0DFA"/>
    <w:rsid w:val="002D0FAC"/>
    <w:rsid w:val="002D1045"/>
    <w:rsid w:val="002D10DA"/>
    <w:rsid w:val="002D112B"/>
    <w:rsid w:val="002D1245"/>
    <w:rsid w:val="002D12B5"/>
    <w:rsid w:val="002D1434"/>
    <w:rsid w:val="002D1599"/>
    <w:rsid w:val="002D15BF"/>
    <w:rsid w:val="002D161B"/>
    <w:rsid w:val="002D1672"/>
    <w:rsid w:val="002D17F0"/>
    <w:rsid w:val="002D1988"/>
    <w:rsid w:val="002D1DB2"/>
    <w:rsid w:val="002D2041"/>
    <w:rsid w:val="002D204B"/>
    <w:rsid w:val="002D227A"/>
    <w:rsid w:val="002D2299"/>
    <w:rsid w:val="002D234C"/>
    <w:rsid w:val="002D2493"/>
    <w:rsid w:val="002D258F"/>
    <w:rsid w:val="002D25C6"/>
    <w:rsid w:val="002D28CB"/>
    <w:rsid w:val="002D2901"/>
    <w:rsid w:val="002D297C"/>
    <w:rsid w:val="002D2B66"/>
    <w:rsid w:val="002D2C51"/>
    <w:rsid w:val="002D2D5F"/>
    <w:rsid w:val="002D2E6B"/>
    <w:rsid w:val="002D3174"/>
    <w:rsid w:val="002D32D2"/>
    <w:rsid w:val="002D3395"/>
    <w:rsid w:val="002D3404"/>
    <w:rsid w:val="002D36D6"/>
    <w:rsid w:val="002D37EE"/>
    <w:rsid w:val="002D3803"/>
    <w:rsid w:val="002D3832"/>
    <w:rsid w:val="002D387F"/>
    <w:rsid w:val="002D38DA"/>
    <w:rsid w:val="002D38FF"/>
    <w:rsid w:val="002D3AD1"/>
    <w:rsid w:val="002D3D6C"/>
    <w:rsid w:val="002D3F0B"/>
    <w:rsid w:val="002D3F93"/>
    <w:rsid w:val="002D3FCD"/>
    <w:rsid w:val="002D41D6"/>
    <w:rsid w:val="002D41F4"/>
    <w:rsid w:val="002D4210"/>
    <w:rsid w:val="002D4625"/>
    <w:rsid w:val="002D4864"/>
    <w:rsid w:val="002D4B90"/>
    <w:rsid w:val="002D4C30"/>
    <w:rsid w:val="002D4C8E"/>
    <w:rsid w:val="002D4D2F"/>
    <w:rsid w:val="002D4E2D"/>
    <w:rsid w:val="002D4EEA"/>
    <w:rsid w:val="002D4FC0"/>
    <w:rsid w:val="002D4FF7"/>
    <w:rsid w:val="002D508F"/>
    <w:rsid w:val="002D5097"/>
    <w:rsid w:val="002D5192"/>
    <w:rsid w:val="002D55A2"/>
    <w:rsid w:val="002D55A4"/>
    <w:rsid w:val="002D55E4"/>
    <w:rsid w:val="002D5753"/>
    <w:rsid w:val="002D5777"/>
    <w:rsid w:val="002D58B7"/>
    <w:rsid w:val="002D592E"/>
    <w:rsid w:val="002D593E"/>
    <w:rsid w:val="002D594A"/>
    <w:rsid w:val="002D5AD4"/>
    <w:rsid w:val="002D5C0C"/>
    <w:rsid w:val="002D5C1E"/>
    <w:rsid w:val="002D5D7D"/>
    <w:rsid w:val="002D5DC4"/>
    <w:rsid w:val="002D5E8C"/>
    <w:rsid w:val="002D5EB2"/>
    <w:rsid w:val="002D5FCF"/>
    <w:rsid w:val="002D60DE"/>
    <w:rsid w:val="002D6184"/>
    <w:rsid w:val="002D6227"/>
    <w:rsid w:val="002D623D"/>
    <w:rsid w:val="002D63C6"/>
    <w:rsid w:val="002D642B"/>
    <w:rsid w:val="002D650F"/>
    <w:rsid w:val="002D65E2"/>
    <w:rsid w:val="002D6649"/>
    <w:rsid w:val="002D6722"/>
    <w:rsid w:val="002D687A"/>
    <w:rsid w:val="002D690D"/>
    <w:rsid w:val="002D69C2"/>
    <w:rsid w:val="002D69CF"/>
    <w:rsid w:val="002D6A41"/>
    <w:rsid w:val="002D6D6C"/>
    <w:rsid w:val="002D6E53"/>
    <w:rsid w:val="002D7064"/>
    <w:rsid w:val="002D70D7"/>
    <w:rsid w:val="002D7174"/>
    <w:rsid w:val="002D7301"/>
    <w:rsid w:val="002D7360"/>
    <w:rsid w:val="002D74C2"/>
    <w:rsid w:val="002D74D3"/>
    <w:rsid w:val="002D74EB"/>
    <w:rsid w:val="002D75DC"/>
    <w:rsid w:val="002D76B1"/>
    <w:rsid w:val="002D7714"/>
    <w:rsid w:val="002D7841"/>
    <w:rsid w:val="002D78D0"/>
    <w:rsid w:val="002D7965"/>
    <w:rsid w:val="002D7A7D"/>
    <w:rsid w:val="002D7D62"/>
    <w:rsid w:val="002D7DA4"/>
    <w:rsid w:val="002D7E0B"/>
    <w:rsid w:val="002D7E8F"/>
    <w:rsid w:val="002D7E93"/>
    <w:rsid w:val="002E008F"/>
    <w:rsid w:val="002E0123"/>
    <w:rsid w:val="002E03B9"/>
    <w:rsid w:val="002E03C6"/>
    <w:rsid w:val="002E040E"/>
    <w:rsid w:val="002E0629"/>
    <w:rsid w:val="002E0689"/>
    <w:rsid w:val="002E06BA"/>
    <w:rsid w:val="002E06C8"/>
    <w:rsid w:val="002E07F0"/>
    <w:rsid w:val="002E084E"/>
    <w:rsid w:val="002E09E6"/>
    <w:rsid w:val="002E0A9B"/>
    <w:rsid w:val="002E0AAC"/>
    <w:rsid w:val="002E0B0F"/>
    <w:rsid w:val="002E0C3D"/>
    <w:rsid w:val="002E0CE6"/>
    <w:rsid w:val="002E0D73"/>
    <w:rsid w:val="002E0EA9"/>
    <w:rsid w:val="002E0FBE"/>
    <w:rsid w:val="002E1146"/>
    <w:rsid w:val="002E114A"/>
    <w:rsid w:val="002E1272"/>
    <w:rsid w:val="002E12B5"/>
    <w:rsid w:val="002E130D"/>
    <w:rsid w:val="002E1501"/>
    <w:rsid w:val="002E1574"/>
    <w:rsid w:val="002E16CF"/>
    <w:rsid w:val="002E1835"/>
    <w:rsid w:val="002E1A71"/>
    <w:rsid w:val="002E1AB9"/>
    <w:rsid w:val="002E1D0F"/>
    <w:rsid w:val="002E1D36"/>
    <w:rsid w:val="002E1E6A"/>
    <w:rsid w:val="002E1E82"/>
    <w:rsid w:val="002E1EF9"/>
    <w:rsid w:val="002E1F39"/>
    <w:rsid w:val="002E1F5A"/>
    <w:rsid w:val="002E1FB0"/>
    <w:rsid w:val="002E20C7"/>
    <w:rsid w:val="002E2128"/>
    <w:rsid w:val="002E2145"/>
    <w:rsid w:val="002E2449"/>
    <w:rsid w:val="002E2457"/>
    <w:rsid w:val="002E2471"/>
    <w:rsid w:val="002E2499"/>
    <w:rsid w:val="002E2602"/>
    <w:rsid w:val="002E2784"/>
    <w:rsid w:val="002E27A7"/>
    <w:rsid w:val="002E27D8"/>
    <w:rsid w:val="002E287D"/>
    <w:rsid w:val="002E2A57"/>
    <w:rsid w:val="002E2BD7"/>
    <w:rsid w:val="002E2C73"/>
    <w:rsid w:val="002E2CA7"/>
    <w:rsid w:val="002E3209"/>
    <w:rsid w:val="002E3213"/>
    <w:rsid w:val="002E3240"/>
    <w:rsid w:val="002E326E"/>
    <w:rsid w:val="002E3323"/>
    <w:rsid w:val="002E3567"/>
    <w:rsid w:val="002E35EC"/>
    <w:rsid w:val="002E3800"/>
    <w:rsid w:val="002E3B9D"/>
    <w:rsid w:val="002E3DFA"/>
    <w:rsid w:val="002E3EA9"/>
    <w:rsid w:val="002E3F3A"/>
    <w:rsid w:val="002E4094"/>
    <w:rsid w:val="002E4385"/>
    <w:rsid w:val="002E43B5"/>
    <w:rsid w:val="002E442C"/>
    <w:rsid w:val="002E44BC"/>
    <w:rsid w:val="002E452C"/>
    <w:rsid w:val="002E4749"/>
    <w:rsid w:val="002E4937"/>
    <w:rsid w:val="002E4B1A"/>
    <w:rsid w:val="002E4B4F"/>
    <w:rsid w:val="002E4B8C"/>
    <w:rsid w:val="002E4BC1"/>
    <w:rsid w:val="002E4BDE"/>
    <w:rsid w:val="002E4C3E"/>
    <w:rsid w:val="002E4CB3"/>
    <w:rsid w:val="002E4D40"/>
    <w:rsid w:val="002E4D63"/>
    <w:rsid w:val="002E4EDB"/>
    <w:rsid w:val="002E4FCA"/>
    <w:rsid w:val="002E4FD4"/>
    <w:rsid w:val="002E50F0"/>
    <w:rsid w:val="002E51BE"/>
    <w:rsid w:val="002E51FB"/>
    <w:rsid w:val="002E525C"/>
    <w:rsid w:val="002E525D"/>
    <w:rsid w:val="002E526E"/>
    <w:rsid w:val="002E528C"/>
    <w:rsid w:val="002E53CC"/>
    <w:rsid w:val="002E5473"/>
    <w:rsid w:val="002E557F"/>
    <w:rsid w:val="002E5581"/>
    <w:rsid w:val="002E55DA"/>
    <w:rsid w:val="002E55DF"/>
    <w:rsid w:val="002E5746"/>
    <w:rsid w:val="002E5849"/>
    <w:rsid w:val="002E593A"/>
    <w:rsid w:val="002E5983"/>
    <w:rsid w:val="002E59A5"/>
    <w:rsid w:val="002E5A2A"/>
    <w:rsid w:val="002E5A7B"/>
    <w:rsid w:val="002E5AEE"/>
    <w:rsid w:val="002E5B01"/>
    <w:rsid w:val="002E5E33"/>
    <w:rsid w:val="002E5F0C"/>
    <w:rsid w:val="002E602B"/>
    <w:rsid w:val="002E60CD"/>
    <w:rsid w:val="002E60F4"/>
    <w:rsid w:val="002E61EF"/>
    <w:rsid w:val="002E62E9"/>
    <w:rsid w:val="002E6314"/>
    <w:rsid w:val="002E6332"/>
    <w:rsid w:val="002E63BE"/>
    <w:rsid w:val="002E6527"/>
    <w:rsid w:val="002E673A"/>
    <w:rsid w:val="002E67B5"/>
    <w:rsid w:val="002E69B6"/>
    <w:rsid w:val="002E69C3"/>
    <w:rsid w:val="002E6A0A"/>
    <w:rsid w:val="002E6B75"/>
    <w:rsid w:val="002E6BC7"/>
    <w:rsid w:val="002E6C7B"/>
    <w:rsid w:val="002E6C9C"/>
    <w:rsid w:val="002E6D6B"/>
    <w:rsid w:val="002E6D7B"/>
    <w:rsid w:val="002E6E08"/>
    <w:rsid w:val="002E7066"/>
    <w:rsid w:val="002E70E3"/>
    <w:rsid w:val="002E7112"/>
    <w:rsid w:val="002E7191"/>
    <w:rsid w:val="002E7195"/>
    <w:rsid w:val="002E71BE"/>
    <w:rsid w:val="002E7233"/>
    <w:rsid w:val="002E729B"/>
    <w:rsid w:val="002E7305"/>
    <w:rsid w:val="002E7360"/>
    <w:rsid w:val="002E74DB"/>
    <w:rsid w:val="002E7775"/>
    <w:rsid w:val="002E784F"/>
    <w:rsid w:val="002E7891"/>
    <w:rsid w:val="002E78C0"/>
    <w:rsid w:val="002E7A56"/>
    <w:rsid w:val="002E7AD2"/>
    <w:rsid w:val="002E7BA2"/>
    <w:rsid w:val="002E7C89"/>
    <w:rsid w:val="002E7E28"/>
    <w:rsid w:val="002F0116"/>
    <w:rsid w:val="002F0212"/>
    <w:rsid w:val="002F02CA"/>
    <w:rsid w:val="002F02D0"/>
    <w:rsid w:val="002F03E1"/>
    <w:rsid w:val="002F0618"/>
    <w:rsid w:val="002F0638"/>
    <w:rsid w:val="002F0642"/>
    <w:rsid w:val="002F0643"/>
    <w:rsid w:val="002F07BC"/>
    <w:rsid w:val="002F0874"/>
    <w:rsid w:val="002F08EC"/>
    <w:rsid w:val="002F0A19"/>
    <w:rsid w:val="002F0A23"/>
    <w:rsid w:val="002F0A39"/>
    <w:rsid w:val="002F0A3C"/>
    <w:rsid w:val="002F0A6B"/>
    <w:rsid w:val="002F0AE6"/>
    <w:rsid w:val="002F0B09"/>
    <w:rsid w:val="002F0B65"/>
    <w:rsid w:val="002F0B6F"/>
    <w:rsid w:val="002F0CDB"/>
    <w:rsid w:val="002F0D25"/>
    <w:rsid w:val="002F0E93"/>
    <w:rsid w:val="002F0EBF"/>
    <w:rsid w:val="002F0EC0"/>
    <w:rsid w:val="002F0EE6"/>
    <w:rsid w:val="002F0F1F"/>
    <w:rsid w:val="002F0F21"/>
    <w:rsid w:val="002F0F36"/>
    <w:rsid w:val="002F0F6E"/>
    <w:rsid w:val="002F0FDF"/>
    <w:rsid w:val="002F0FE7"/>
    <w:rsid w:val="002F0FF0"/>
    <w:rsid w:val="002F10CC"/>
    <w:rsid w:val="002F1399"/>
    <w:rsid w:val="002F13F9"/>
    <w:rsid w:val="002F15C2"/>
    <w:rsid w:val="002F1603"/>
    <w:rsid w:val="002F16B1"/>
    <w:rsid w:val="002F16B7"/>
    <w:rsid w:val="002F16C6"/>
    <w:rsid w:val="002F174F"/>
    <w:rsid w:val="002F17BB"/>
    <w:rsid w:val="002F1852"/>
    <w:rsid w:val="002F187F"/>
    <w:rsid w:val="002F18E1"/>
    <w:rsid w:val="002F1B12"/>
    <w:rsid w:val="002F1D2C"/>
    <w:rsid w:val="002F1D64"/>
    <w:rsid w:val="002F1DA9"/>
    <w:rsid w:val="002F1E89"/>
    <w:rsid w:val="002F1EDA"/>
    <w:rsid w:val="002F1F07"/>
    <w:rsid w:val="002F1F33"/>
    <w:rsid w:val="002F1F7C"/>
    <w:rsid w:val="002F1FDC"/>
    <w:rsid w:val="002F215A"/>
    <w:rsid w:val="002F21BF"/>
    <w:rsid w:val="002F22C9"/>
    <w:rsid w:val="002F24BB"/>
    <w:rsid w:val="002F2549"/>
    <w:rsid w:val="002F25F4"/>
    <w:rsid w:val="002F270D"/>
    <w:rsid w:val="002F27FB"/>
    <w:rsid w:val="002F280A"/>
    <w:rsid w:val="002F296A"/>
    <w:rsid w:val="002F2A85"/>
    <w:rsid w:val="002F2B43"/>
    <w:rsid w:val="002F2C65"/>
    <w:rsid w:val="002F2D0C"/>
    <w:rsid w:val="002F2D47"/>
    <w:rsid w:val="002F2DF9"/>
    <w:rsid w:val="002F2E4C"/>
    <w:rsid w:val="002F2E97"/>
    <w:rsid w:val="002F3110"/>
    <w:rsid w:val="002F32AD"/>
    <w:rsid w:val="002F32FB"/>
    <w:rsid w:val="002F333C"/>
    <w:rsid w:val="002F3353"/>
    <w:rsid w:val="002F33D7"/>
    <w:rsid w:val="002F33FF"/>
    <w:rsid w:val="002F3440"/>
    <w:rsid w:val="002F352A"/>
    <w:rsid w:val="002F3576"/>
    <w:rsid w:val="002F35F4"/>
    <w:rsid w:val="002F3603"/>
    <w:rsid w:val="002F393F"/>
    <w:rsid w:val="002F39AB"/>
    <w:rsid w:val="002F3B40"/>
    <w:rsid w:val="002F3C4D"/>
    <w:rsid w:val="002F3D71"/>
    <w:rsid w:val="002F3F4A"/>
    <w:rsid w:val="002F3FC3"/>
    <w:rsid w:val="002F41CA"/>
    <w:rsid w:val="002F422C"/>
    <w:rsid w:val="002F4288"/>
    <w:rsid w:val="002F42CD"/>
    <w:rsid w:val="002F436F"/>
    <w:rsid w:val="002F438A"/>
    <w:rsid w:val="002F43C5"/>
    <w:rsid w:val="002F456F"/>
    <w:rsid w:val="002F46D5"/>
    <w:rsid w:val="002F4798"/>
    <w:rsid w:val="002F48CE"/>
    <w:rsid w:val="002F4920"/>
    <w:rsid w:val="002F497B"/>
    <w:rsid w:val="002F49B2"/>
    <w:rsid w:val="002F4A7E"/>
    <w:rsid w:val="002F4B14"/>
    <w:rsid w:val="002F4CD3"/>
    <w:rsid w:val="002F4CDB"/>
    <w:rsid w:val="002F4E2B"/>
    <w:rsid w:val="002F4EB7"/>
    <w:rsid w:val="002F4ECA"/>
    <w:rsid w:val="002F4EFD"/>
    <w:rsid w:val="002F4F08"/>
    <w:rsid w:val="002F4FA1"/>
    <w:rsid w:val="002F4FC2"/>
    <w:rsid w:val="002F518A"/>
    <w:rsid w:val="002F5206"/>
    <w:rsid w:val="002F5223"/>
    <w:rsid w:val="002F5344"/>
    <w:rsid w:val="002F55A8"/>
    <w:rsid w:val="002F55DB"/>
    <w:rsid w:val="002F5611"/>
    <w:rsid w:val="002F566E"/>
    <w:rsid w:val="002F574B"/>
    <w:rsid w:val="002F5793"/>
    <w:rsid w:val="002F57C7"/>
    <w:rsid w:val="002F59BD"/>
    <w:rsid w:val="002F59FC"/>
    <w:rsid w:val="002F5A0C"/>
    <w:rsid w:val="002F5BC4"/>
    <w:rsid w:val="002F5CC8"/>
    <w:rsid w:val="002F5F10"/>
    <w:rsid w:val="002F5F5E"/>
    <w:rsid w:val="002F5F85"/>
    <w:rsid w:val="002F5F97"/>
    <w:rsid w:val="002F603A"/>
    <w:rsid w:val="002F609A"/>
    <w:rsid w:val="002F6230"/>
    <w:rsid w:val="002F62D0"/>
    <w:rsid w:val="002F62E1"/>
    <w:rsid w:val="002F62EB"/>
    <w:rsid w:val="002F6618"/>
    <w:rsid w:val="002F6725"/>
    <w:rsid w:val="002F6787"/>
    <w:rsid w:val="002F67CC"/>
    <w:rsid w:val="002F67DE"/>
    <w:rsid w:val="002F693F"/>
    <w:rsid w:val="002F6B73"/>
    <w:rsid w:val="002F6C40"/>
    <w:rsid w:val="002F6CAD"/>
    <w:rsid w:val="002F6E53"/>
    <w:rsid w:val="002F6EF7"/>
    <w:rsid w:val="002F70F5"/>
    <w:rsid w:val="002F712F"/>
    <w:rsid w:val="002F7235"/>
    <w:rsid w:val="002F727A"/>
    <w:rsid w:val="002F73BA"/>
    <w:rsid w:val="002F73FC"/>
    <w:rsid w:val="002F7622"/>
    <w:rsid w:val="002F76EA"/>
    <w:rsid w:val="002F76F6"/>
    <w:rsid w:val="002F7721"/>
    <w:rsid w:val="002F7878"/>
    <w:rsid w:val="002F78E6"/>
    <w:rsid w:val="002F793E"/>
    <w:rsid w:val="002F7A13"/>
    <w:rsid w:val="002F7B20"/>
    <w:rsid w:val="002F7B7B"/>
    <w:rsid w:val="002F7BC1"/>
    <w:rsid w:val="002F7BFB"/>
    <w:rsid w:val="002F7C39"/>
    <w:rsid w:val="002F7C45"/>
    <w:rsid w:val="002F7C60"/>
    <w:rsid w:val="002F7E1E"/>
    <w:rsid w:val="002F7EEB"/>
    <w:rsid w:val="003000DB"/>
    <w:rsid w:val="003000F8"/>
    <w:rsid w:val="003001BD"/>
    <w:rsid w:val="00300209"/>
    <w:rsid w:val="0030047A"/>
    <w:rsid w:val="003006D4"/>
    <w:rsid w:val="00300749"/>
    <w:rsid w:val="003008CC"/>
    <w:rsid w:val="003009BF"/>
    <w:rsid w:val="003009E2"/>
    <w:rsid w:val="00300BEA"/>
    <w:rsid w:val="00300EDE"/>
    <w:rsid w:val="00300EF9"/>
    <w:rsid w:val="00300F98"/>
    <w:rsid w:val="003010C6"/>
    <w:rsid w:val="003010D3"/>
    <w:rsid w:val="00301167"/>
    <w:rsid w:val="00301224"/>
    <w:rsid w:val="00301415"/>
    <w:rsid w:val="00301643"/>
    <w:rsid w:val="003016BD"/>
    <w:rsid w:val="0030172D"/>
    <w:rsid w:val="00301747"/>
    <w:rsid w:val="00301763"/>
    <w:rsid w:val="003017B0"/>
    <w:rsid w:val="00301825"/>
    <w:rsid w:val="00301923"/>
    <w:rsid w:val="003019D9"/>
    <w:rsid w:val="00301A20"/>
    <w:rsid w:val="00301B98"/>
    <w:rsid w:val="00301C21"/>
    <w:rsid w:val="00301C44"/>
    <w:rsid w:val="00301C82"/>
    <w:rsid w:val="00301DE3"/>
    <w:rsid w:val="00301DF1"/>
    <w:rsid w:val="00302252"/>
    <w:rsid w:val="003022B4"/>
    <w:rsid w:val="00302353"/>
    <w:rsid w:val="0030253C"/>
    <w:rsid w:val="003025B3"/>
    <w:rsid w:val="00302755"/>
    <w:rsid w:val="0030275E"/>
    <w:rsid w:val="00302763"/>
    <w:rsid w:val="0030277B"/>
    <w:rsid w:val="003028D3"/>
    <w:rsid w:val="00302969"/>
    <w:rsid w:val="0030296C"/>
    <w:rsid w:val="00302A5E"/>
    <w:rsid w:val="00302A61"/>
    <w:rsid w:val="00302BFE"/>
    <w:rsid w:val="00302C37"/>
    <w:rsid w:val="00302CB1"/>
    <w:rsid w:val="00302D4F"/>
    <w:rsid w:val="00302D83"/>
    <w:rsid w:val="00302E12"/>
    <w:rsid w:val="00302F23"/>
    <w:rsid w:val="00302F4D"/>
    <w:rsid w:val="00302FE6"/>
    <w:rsid w:val="003030CD"/>
    <w:rsid w:val="003032A8"/>
    <w:rsid w:val="003032E3"/>
    <w:rsid w:val="003032FB"/>
    <w:rsid w:val="00303507"/>
    <w:rsid w:val="0030368A"/>
    <w:rsid w:val="0030369D"/>
    <w:rsid w:val="003036F3"/>
    <w:rsid w:val="0030384F"/>
    <w:rsid w:val="0030385B"/>
    <w:rsid w:val="00303AAB"/>
    <w:rsid w:val="00303C60"/>
    <w:rsid w:val="00303E1E"/>
    <w:rsid w:val="00303EF2"/>
    <w:rsid w:val="00303F8D"/>
    <w:rsid w:val="003040CC"/>
    <w:rsid w:val="0030422A"/>
    <w:rsid w:val="003042FC"/>
    <w:rsid w:val="003043E0"/>
    <w:rsid w:val="00304560"/>
    <w:rsid w:val="0030459A"/>
    <w:rsid w:val="00304688"/>
    <w:rsid w:val="00304A31"/>
    <w:rsid w:val="00304BEE"/>
    <w:rsid w:val="00304D0B"/>
    <w:rsid w:val="00304EE7"/>
    <w:rsid w:val="00304F2D"/>
    <w:rsid w:val="00304FA4"/>
    <w:rsid w:val="00304FB8"/>
    <w:rsid w:val="00304FBD"/>
    <w:rsid w:val="00305037"/>
    <w:rsid w:val="0030513A"/>
    <w:rsid w:val="003051F2"/>
    <w:rsid w:val="00305396"/>
    <w:rsid w:val="003053BD"/>
    <w:rsid w:val="00305419"/>
    <w:rsid w:val="00305817"/>
    <w:rsid w:val="0030585B"/>
    <w:rsid w:val="00305986"/>
    <w:rsid w:val="00305A45"/>
    <w:rsid w:val="00305DE6"/>
    <w:rsid w:val="00305E8D"/>
    <w:rsid w:val="00305F46"/>
    <w:rsid w:val="00305FFF"/>
    <w:rsid w:val="00306138"/>
    <w:rsid w:val="003061E4"/>
    <w:rsid w:val="00306223"/>
    <w:rsid w:val="00306254"/>
    <w:rsid w:val="00306332"/>
    <w:rsid w:val="003064E4"/>
    <w:rsid w:val="00306582"/>
    <w:rsid w:val="00306623"/>
    <w:rsid w:val="00306A81"/>
    <w:rsid w:val="00306C17"/>
    <w:rsid w:val="00306C9F"/>
    <w:rsid w:val="00306DBC"/>
    <w:rsid w:val="00306F1A"/>
    <w:rsid w:val="00306F63"/>
    <w:rsid w:val="00306F69"/>
    <w:rsid w:val="00307004"/>
    <w:rsid w:val="00307043"/>
    <w:rsid w:val="00307102"/>
    <w:rsid w:val="00307107"/>
    <w:rsid w:val="0030715B"/>
    <w:rsid w:val="003071A5"/>
    <w:rsid w:val="003071DC"/>
    <w:rsid w:val="00307207"/>
    <w:rsid w:val="00307270"/>
    <w:rsid w:val="00307299"/>
    <w:rsid w:val="00307338"/>
    <w:rsid w:val="00307651"/>
    <w:rsid w:val="003076E2"/>
    <w:rsid w:val="003078DC"/>
    <w:rsid w:val="00307918"/>
    <w:rsid w:val="00307B42"/>
    <w:rsid w:val="00307B8F"/>
    <w:rsid w:val="00307BAA"/>
    <w:rsid w:val="00307BBF"/>
    <w:rsid w:val="00307E0F"/>
    <w:rsid w:val="00307ECD"/>
    <w:rsid w:val="00307EF0"/>
    <w:rsid w:val="00307F74"/>
    <w:rsid w:val="00307FE3"/>
    <w:rsid w:val="00310009"/>
    <w:rsid w:val="003102D6"/>
    <w:rsid w:val="00310394"/>
    <w:rsid w:val="00310504"/>
    <w:rsid w:val="0031056E"/>
    <w:rsid w:val="003108B3"/>
    <w:rsid w:val="00310A85"/>
    <w:rsid w:val="00310B47"/>
    <w:rsid w:val="00310B9B"/>
    <w:rsid w:val="00310C3F"/>
    <w:rsid w:val="00310D79"/>
    <w:rsid w:val="00310EC5"/>
    <w:rsid w:val="00310F42"/>
    <w:rsid w:val="003110F6"/>
    <w:rsid w:val="0031111B"/>
    <w:rsid w:val="00311176"/>
    <w:rsid w:val="003111F4"/>
    <w:rsid w:val="0031125D"/>
    <w:rsid w:val="003112E1"/>
    <w:rsid w:val="00311366"/>
    <w:rsid w:val="003113FC"/>
    <w:rsid w:val="003115BA"/>
    <w:rsid w:val="00311635"/>
    <w:rsid w:val="0031166D"/>
    <w:rsid w:val="00311743"/>
    <w:rsid w:val="00311781"/>
    <w:rsid w:val="00311892"/>
    <w:rsid w:val="003118CC"/>
    <w:rsid w:val="00311966"/>
    <w:rsid w:val="003119ED"/>
    <w:rsid w:val="00311B4E"/>
    <w:rsid w:val="00311D28"/>
    <w:rsid w:val="00311D69"/>
    <w:rsid w:val="00311DD2"/>
    <w:rsid w:val="00311E13"/>
    <w:rsid w:val="00311E37"/>
    <w:rsid w:val="00311F49"/>
    <w:rsid w:val="0031226E"/>
    <w:rsid w:val="00312382"/>
    <w:rsid w:val="003123FB"/>
    <w:rsid w:val="00312437"/>
    <w:rsid w:val="00312445"/>
    <w:rsid w:val="0031244C"/>
    <w:rsid w:val="00312488"/>
    <w:rsid w:val="0031253E"/>
    <w:rsid w:val="003125A4"/>
    <w:rsid w:val="0031265D"/>
    <w:rsid w:val="0031267E"/>
    <w:rsid w:val="003127C8"/>
    <w:rsid w:val="00312A0D"/>
    <w:rsid w:val="00312A0E"/>
    <w:rsid w:val="00312A3A"/>
    <w:rsid w:val="00312A7C"/>
    <w:rsid w:val="00312B14"/>
    <w:rsid w:val="00312BDE"/>
    <w:rsid w:val="00312C76"/>
    <w:rsid w:val="00312DF9"/>
    <w:rsid w:val="00312EC3"/>
    <w:rsid w:val="00312F72"/>
    <w:rsid w:val="003130B0"/>
    <w:rsid w:val="003132C1"/>
    <w:rsid w:val="003132EC"/>
    <w:rsid w:val="0031339E"/>
    <w:rsid w:val="003133E5"/>
    <w:rsid w:val="003134D6"/>
    <w:rsid w:val="003135A9"/>
    <w:rsid w:val="0031364D"/>
    <w:rsid w:val="00313961"/>
    <w:rsid w:val="00313974"/>
    <w:rsid w:val="003139D3"/>
    <w:rsid w:val="00313A27"/>
    <w:rsid w:val="00313B42"/>
    <w:rsid w:val="00313B7F"/>
    <w:rsid w:val="00313C23"/>
    <w:rsid w:val="00313DA7"/>
    <w:rsid w:val="00313E9A"/>
    <w:rsid w:val="00313ED2"/>
    <w:rsid w:val="00313F8D"/>
    <w:rsid w:val="00313F9F"/>
    <w:rsid w:val="00313FD0"/>
    <w:rsid w:val="003140D2"/>
    <w:rsid w:val="003140F1"/>
    <w:rsid w:val="00314118"/>
    <w:rsid w:val="0031417A"/>
    <w:rsid w:val="0031418E"/>
    <w:rsid w:val="00314269"/>
    <w:rsid w:val="003142C8"/>
    <w:rsid w:val="00314356"/>
    <w:rsid w:val="003145D1"/>
    <w:rsid w:val="00314709"/>
    <w:rsid w:val="0031473A"/>
    <w:rsid w:val="003147B2"/>
    <w:rsid w:val="00314858"/>
    <w:rsid w:val="003148BB"/>
    <w:rsid w:val="00314A0B"/>
    <w:rsid w:val="00314A61"/>
    <w:rsid w:val="00314A92"/>
    <w:rsid w:val="00314C48"/>
    <w:rsid w:val="00314D09"/>
    <w:rsid w:val="00314D3E"/>
    <w:rsid w:val="00314E97"/>
    <w:rsid w:val="00314EBE"/>
    <w:rsid w:val="00314EC5"/>
    <w:rsid w:val="00314F17"/>
    <w:rsid w:val="00314F71"/>
    <w:rsid w:val="00314FC2"/>
    <w:rsid w:val="0031509D"/>
    <w:rsid w:val="003151DB"/>
    <w:rsid w:val="003152DF"/>
    <w:rsid w:val="00315311"/>
    <w:rsid w:val="00315494"/>
    <w:rsid w:val="003154CC"/>
    <w:rsid w:val="003154D7"/>
    <w:rsid w:val="003155C2"/>
    <w:rsid w:val="00315787"/>
    <w:rsid w:val="00315804"/>
    <w:rsid w:val="00315839"/>
    <w:rsid w:val="0031597B"/>
    <w:rsid w:val="00315A6D"/>
    <w:rsid w:val="00315AE6"/>
    <w:rsid w:val="00315B3B"/>
    <w:rsid w:val="00315B44"/>
    <w:rsid w:val="00315B8D"/>
    <w:rsid w:val="00315C6C"/>
    <w:rsid w:val="00315E09"/>
    <w:rsid w:val="00315E33"/>
    <w:rsid w:val="0031637E"/>
    <w:rsid w:val="003164D9"/>
    <w:rsid w:val="00316753"/>
    <w:rsid w:val="00316781"/>
    <w:rsid w:val="003168AC"/>
    <w:rsid w:val="00316908"/>
    <w:rsid w:val="00316A45"/>
    <w:rsid w:val="00316A59"/>
    <w:rsid w:val="00316C3F"/>
    <w:rsid w:val="00316CC7"/>
    <w:rsid w:val="00316DAE"/>
    <w:rsid w:val="00316E1E"/>
    <w:rsid w:val="00316EFF"/>
    <w:rsid w:val="00316F21"/>
    <w:rsid w:val="00316F2D"/>
    <w:rsid w:val="00316F6C"/>
    <w:rsid w:val="00316F71"/>
    <w:rsid w:val="003170A8"/>
    <w:rsid w:val="003171B1"/>
    <w:rsid w:val="0031722C"/>
    <w:rsid w:val="0031754E"/>
    <w:rsid w:val="003175E5"/>
    <w:rsid w:val="00317616"/>
    <w:rsid w:val="00317682"/>
    <w:rsid w:val="00317714"/>
    <w:rsid w:val="003178E1"/>
    <w:rsid w:val="00317976"/>
    <w:rsid w:val="00317AE4"/>
    <w:rsid w:val="00317C78"/>
    <w:rsid w:val="00317C94"/>
    <w:rsid w:val="00317CEC"/>
    <w:rsid w:val="00317D19"/>
    <w:rsid w:val="00317D28"/>
    <w:rsid w:val="00317DDB"/>
    <w:rsid w:val="00317E81"/>
    <w:rsid w:val="00317FCD"/>
    <w:rsid w:val="0032013D"/>
    <w:rsid w:val="003202D6"/>
    <w:rsid w:val="003202EA"/>
    <w:rsid w:val="0032035A"/>
    <w:rsid w:val="00320454"/>
    <w:rsid w:val="0032045A"/>
    <w:rsid w:val="003205DD"/>
    <w:rsid w:val="00320617"/>
    <w:rsid w:val="003206C7"/>
    <w:rsid w:val="00320773"/>
    <w:rsid w:val="003208DF"/>
    <w:rsid w:val="00320A17"/>
    <w:rsid w:val="00320B6F"/>
    <w:rsid w:val="00320B7D"/>
    <w:rsid w:val="00320C08"/>
    <w:rsid w:val="00320D0B"/>
    <w:rsid w:val="00320EC9"/>
    <w:rsid w:val="00320FF3"/>
    <w:rsid w:val="00321066"/>
    <w:rsid w:val="0032118B"/>
    <w:rsid w:val="003211B8"/>
    <w:rsid w:val="003211E2"/>
    <w:rsid w:val="003211EC"/>
    <w:rsid w:val="00321237"/>
    <w:rsid w:val="00321276"/>
    <w:rsid w:val="00321279"/>
    <w:rsid w:val="0032138F"/>
    <w:rsid w:val="00321513"/>
    <w:rsid w:val="003216BA"/>
    <w:rsid w:val="00321735"/>
    <w:rsid w:val="003217E1"/>
    <w:rsid w:val="003217EC"/>
    <w:rsid w:val="00321906"/>
    <w:rsid w:val="00321935"/>
    <w:rsid w:val="0032194B"/>
    <w:rsid w:val="00321997"/>
    <w:rsid w:val="00321A39"/>
    <w:rsid w:val="00321A8F"/>
    <w:rsid w:val="00321ACA"/>
    <w:rsid w:val="00321B0C"/>
    <w:rsid w:val="00321B10"/>
    <w:rsid w:val="00321C3B"/>
    <w:rsid w:val="00321C89"/>
    <w:rsid w:val="00321E75"/>
    <w:rsid w:val="00321ED0"/>
    <w:rsid w:val="00321F14"/>
    <w:rsid w:val="00321FBB"/>
    <w:rsid w:val="003220D6"/>
    <w:rsid w:val="0032217F"/>
    <w:rsid w:val="0032219A"/>
    <w:rsid w:val="003221A7"/>
    <w:rsid w:val="00322308"/>
    <w:rsid w:val="003223D7"/>
    <w:rsid w:val="003224D5"/>
    <w:rsid w:val="00322521"/>
    <w:rsid w:val="0032259C"/>
    <w:rsid w:val="0032264F"/>
    <w:rsid w:val="00322773"/>
    <w:rsid w:val="0032281B"/>
    <w:rsid w:val="00322839"/>
    <w:rsid w:val="0032299B"/>
    <w:rsid w:val="00322A26"/>
    <w:rsid w:val="00322A35"/>
    <w:rsid w:val="00322ACF"/>
    <w:rsid w:val="00322AFD"/>
    <w:rsid w:val="00322AFE"/>
    <w:rsid w:val="00322B91"/>
    <w:rsid w:val="00322DA9"/>
    <w:rsid w:val="00322E7A"/>
    <w:rsid w:val="00322ED4"/>
    <w:rsid w:val="00322FAA"/>
    <w:rsid w:val="00322FFF"/>
    <w:rsid w:val="00323115"/>
    <w:rsid w:val="0032315B"/>
    <w:rsid w:val="00323194"/>
    <w:rsid w:val="0032327F"/>
    <w:rsid w:val="003232C9"/>
    <w:rsid w:val="003232E5"/>
    <w:rsid w:val="003233FF"/>
    <w:rsid w:val="00323503"/>
    <w:rsid w:val="00323532"/>
    <w:rsid w:val="00323571"/>
    <w:rsid w:val="003237FA"/>
    <w:rsid w:val="00323AF6"/>
    <w:rsid w:val="00323B21"/>
    <w:rsid w:val="00323B65"/>
    <w:rsid w:val="00323B87"/>
    <w:rsid w:val="00323CD6"/>
    <w:rsid w:val="00323D14"/>
    <w:rsid w:val="00323E10"/>
    <w:rsid w:val="00323E1C"/>
    <w:rsid w:val="00323E9A"/>
    <w:rsid w:val="00323EA6"/>
    <w:rsid w:val="00323F60"/>
    <w:rsid w:val="00323FE9"/>
    <w:rsid w:val="003240B0"/>
    <w:rsid w:val="003240E9"/>
    <w:rsid w:val="0032419B"/>
    <w:rsid w:val="0032431B"/>
    <w:rsid w:val="00324360"/>
    <w:rsid w:val="0032455E"/>
    <w:rsid w:val="003245CF"/>
    <w:rsid w:val="003247F9"/>
    <w:rsid w:val="003248D0"/>
    <w:rsid w:val="00324C5A"/>
    <w:rsid w:val="00324CDF"/>
    <w:rsid w:val="00324D2F"/>
    <w:rsid w:val="00324D79"/>
    <w:rsid w:val="00324D7D"/>
    <w:rsid w:val="00324DD6"/>
    <w:rsid w:val="00324DE1"/>
    <w:rsid w:val="00324EBF"/>
    <w:rsid w:val="00324F15"/>
    <w:rsid w:val="003250CB"/>
    <w:rsid w:val="003251C2"/>
    <w:rsid w:val="00325314"/>
    <w:rsid w:val="0032542C"/>
    <w:rsid w:val="0032561E"/>
    <w:rsid w:val="00325678"/>
    <w:rsid w:val="003256E8"/>
    <w:rsid w:val="00325728"/>
    <w:rsid w:val="0032572E"/>
    <w:rsid w:val="003257C1"/>
    <w:rsid w:val="00325888"/>
    <w:rsid w:val="00325969"/>
    <w:rsid w:val="00325A32"/>
    <w:rsid w:val="00325A57"/>
    <w:rsid w:val="00325A93"/>
    <w:rsid w:val="00325B0D"/>
    <w:rsid w:val="00325E9B"/>
    <w:rsid w:val="00325FA0"/>
    <w:rsid w:val="00326115"/>
    <w:rsid w:val="003261F2"/>
    <w:rsid w:val="00326371"/>
    <w:rsid w:val="0032649B"/>
    <w:rsid w:val="0032656B"/>
    <w:rsid w:val="003266F7"/>
    <w:rsid w:val="00326723"/>
    <w:rsid w:val="00326752"/>
    <w:rsid w:val="00326847"/>
    <w:rsid w:val="0032699F"/>
    <w:rsid w:val="00326B13"/>
    <w:rsid w:val="00326BB1"/>
    <w:rsid w:val="00326BCA"/>
    <w:rsid w:val="00326CFB"/>
    <w:rsid w:val="00326CFD"/>
    <w:rsid w:val="00326F1C"/>
    <w:rsid w:val="00326F97"/>
    <w:rsid w:val="00327057"/>
    <w:rsid w:val="00327162"/>
    <w:rsid w:val="00327169"/>
    <w:rsid w:val="003271AF"/>
    <w:rsid w:val="003271C5"/>
    <w:rsid w:val="00327336"/>
    <w:rsid w:val="00327396"/>
    <w:rsid w:val="0032761C"/>
    <w:rsid w:val="0032762D"/>
    <w:rsid w:val="00327636"/>
    <w:rsid w:val="003277F5"/>
    <w:rsid w:val="0032781F"/>
    <w:rsid w:val="00327826"/>
    <w:rsid w:val="0032787A"/>
    <w:rsid w:val="00327958"/>
    <w:rsid w:val="00327A6C"/>
    <w:rsid w:val="00327A97"/>
    <w:rsid w:val="00327AAF"/>
    <w:rsid w:val="00327B4F"/>
    <w:rsid w:val="00327D2D"/>
    <w:rsid w:val="00327D3E"/>
    <w:rsid w:val="00327DD7"/>
    <w:rsid w:val="00327F98"/>
    <w:rsid w:val="00327FA2"/>
    <w:rsid w:val="00327FC1"/>
    <w:rsid w:val="0033001D"/>
    <w:rsid w:val="003300E3"/>
    <w:rsid w:val="00330104"/>
    <w:rsid w:val="00330333"/>
    <w:rsid w:val="0033076E"/>
    <w:rsid w:val="00330875"/>
    <w:rsid w:val="003308D8"/>
    <w:rsid w:val="0033095A"/>
    <w:rsid w:val="003309B9"/>
    <w:rsid w:val="00330A0A"/>
    <w:rsid w:val="00330C27"/>
    <w:rsid w:val="00330C5B"/>
    <w:rsid w:val="00330C5F"/>
    <w:rsid w:val="00330F02"/>
    <w:rsid w:val="003310A1"/>
    <w:rsid w:val="0033132C"/>
    <w:rsid w:val="0033134C"/>
    <w:rsid w:val="00331388"/>
    <w:rsid w:val="003313B6"/>
    <w:rsid w:val="0033146F"/>
    <w:rsid w:val="00331536"/>
    <w:rsid w:val="0033176B"/>
    <w:rsid w:val="003317B9"/>
    <w:rsid w:val="0033188B"/>
    <w:rsid w:val="003319D2"/>
    <w:rsid w:val="00331AC5"/>
    <w:rsid w:val="00331B5E"/>
    <w:rsid w:val="00331B90"/>
    <w:rsid w:val="00331CF8"/>
    <w:rsid w:val="00331DF2"/>
    <w:rsid w:val="00331EB4"/>
    <w:rsid w:val="00331FAB"/>
    <w:rsid w:val="003320F3"/>
    <w:rsid w:val="00332160"/>
    <w:rsid w:val="003321B4"/>
    <w:rsid w:val="003322E6"/>
    <w:rsid w:val="003325E1"/>
    <w:rsid w:val="00332627"/>
    <w:rsid w:val="003326AC"/>
    <w:rsid w:val="00332860"/>
    <w:rsid w:val="003328A9"/>
    <w:rsid w:val="00332918"/>
    <w:rsid w:val="003329CD"/>
    <w:rsid w:val="00332A44"/>
    <w:rsid w:val="00332AD2"/>
    <w:rsid w:val="00332B60"/>
    <w:rsid w:val="00332BD6"/>
    <w:rsid w:val="00332CEB"/>
    <w:rsid w:val="00332D6C"/>
    <w:rsid w:val="00332F26"/>
    <w:rsid w:val="00332FCF"/>
    <w:rsid w:val="003330E7"/>
    <w:rsid w:val="00333136"/>
    <w:rsid w:val="00333279"/>
    <w:rsid w:val="003332EA"/>
    <w:rsid w:val="003334CE"/>
    <w:rsid w:val="00333592"/>
    <w:rsid w:val="003335B8"/>
    <w:rsid w:val="0033388D"/>
    <w:rsid w:val="003338CD"/>
    <w:rsid w:val="00333A07"/>
    <w:rsid w:val="00333A33"/>
    <w:rsid w:val="00333A8B"/>
    <w:rsid w:val="00333B5E"/>
    <w:rsid w:val="00333C1F"/>
    <w:rsid w:val="00333C3D"/>
    <w:rsid w:val="00333C4F"/>
    <w:rsid w:val="00333CB5"/>
    <w:rsid w:val="00333CB6"/>
    <w:rsid w:val="00333F56"/>
    <w:rsid w:val="00333F5A"/>
    <w:rsid w:val="0033403C"/>
    <w:rsid w:val="003341CA"/>
    <w:rsid w:val="00334218"/>
    <w:rsid w:val="0033428A"/>
    <w:rsid w:val="00334292"/>
    <w:rsid w:val="0033439E"/>
    <w:rsid w:val="00334477"/>
    <w:rsid w:val="0033459B"/>
    <w:rsid w:val="00334682"/>
    <w:rsid w:val="0033473C"/>
    <w:rsid w:val="0033475D"/>
    <w:rsid w:val="0033499D"/>
    <w:rsid w:val="003349C8"/>
    <w:rsid w:val="003349FE"/>
    <w:rsid w:val="00334C53"/>
    <w:rsid w:val="00334CB6"/>
    <w:rsid w:val="00334DE7"/>
    <w:rsid w:val="00334E47"/>
    <w:rsid w:val="00334E88"/>
    <w:rsid w:val="00334ED3"/>
    <w:rsid w:val="00334FD8"/>
    <w:rsid w:val="00335040"/>
    <w:rsid w:val="003351CD"/>
    <w:rsid w:val="003351E8"/>
    <w:rsid w:val="0033537C"/>
    <w:rsid w:val="00335387"/>
    <w:rsid w:val="00335402"/>
    <w:rsid w:val="0033551B"/>
    <w:rsid w:val="00335589"/>
    <w:rsid w:val="0033566A"/>
    <w:rsid w:val="0033570E"/>
    <w:rsid w:val="00335748"/>
    <w:rsid w:val="00335854"/>
    <w:rsid w:val="00335985"/>
    <w:rsid w:val="00335BF0"/>
    <w:rsid w:val="00335CED"/>
    <w:rsid w:val="00335D4E"/>
    <w:rsid w:val="00335DC8"/>
    <w:rsid w:val="00335E1A"/>
    <w:rsid w:val="00335F2F"/>
    <w:rsid w:val="00335FE8"/>
    <w:rsid w:val="00336026"/>
    <w:rsid w:val="003363B0"/>
    <w:rsid w:val="00336465"/>
    <w:rsid w:val="00336490"/>
    <w:rsid w:val="003365BD"/>
    <w:rsid w:val="00336603"/>
    <w:rsid w:val="00336656"/>
    <w:rsid w:val="003366C9"/>
    <w:rsid w:val="00336758"/>
    <w:rsid w:val="003367D9"/>
    <w:rsid w:val="0033693A"/>
    <w:rsid w:val="0033695E"/>
    <w:rsid w:val="00336A05"/>
    <w:rsid w:val="00336AD5"/>
    <w:rsid w:val="00336C29"/>
    <w:rsid w:val="00336C32"/>
    <w:rsid w:val="00336D32"/>
    <w:rsid w:val="00336DB2"/>
    <w:rsid w:val="00336F34"/>
    <w:rsid w:val="00336F6F"/>
    <w:rsid w:val="00336F78"/>
    <w:rsid w:val="003370B3"/>
    <w:rsid w:val="0033714A"/>
    <w:rsid w:val="0033714E"/>
    <w:rsid w:val="003371B5"/>
    <w:rsid w:val="003371BE"/>
    <w:rsid w:val="00337290"/>
    <w:rsid w:val="0033731D"/>
    <w:rsid w:val="00337393"/>
    <w:rsid w:val="003374EC"/>
    <w:rsid w:val="00337695"/>
    <w:rsid w:val="003377A7"/>
    <w:rsid w:val="0033786A"/>
    <w:rsid w:val="00337A12"/>
    <w:rsid w:val="00337A2B"/>
    <w:rsid w:val="00337B51"/>
    <w:rsid w:val="00337BAF"/>
    <w:rsid w:val="00337BC7"/>
    <w:rsid w:val="00337C9C"/>
    <w:rsid w:val="00337D98"/>
    <w:rsid w:val="00337E3C"/>
    <w:rsid w:val="00337E92"/>
    <w:rsid w:val="00337F32"/>
    <w:rsid w:val="00337FA8"/>
    <w:rsid w:val="00340261"/>
    <w:rsid w:val="003402A5"/>
    <w:rsid w:val="003402A7"/>
    <w:rsid w:val="00340341"/>
    <w:rsid w:val="003403A3"/>
    <w:rsid w:val="0034042F"/>
    <w:rsid w:val="003404F4"/>
    <w:rsid w:val="00340612"/>
    <w:rsid w:val="0034068D"/>
    <w:rsid w:val="00340D73"/>
    <w:rsid w:val="00340DEB"/>
    <w:rsid w:val="00340E44"/>
    <w:rsid w:val="00340E57"/>
    <w:rsid w:val="00340FEA"/>
    <w:rsid w:val="0034102B"/>
    <w:rsid w:val="0034106B"/>
    <w:rsid w:val="00341095"/>
    <w:rsid w:val="003410F3"/>
    <w:rsid w:val="0034111B"/>
    <w:rsid w:val="00341384"/>
    <w:rsid w:val="00341403"/>
    <w:rsid w:val="003415AF"/>
    <w:rsid w:val="0034168E"/>
    <w:rsid w:val="003417CB"/>
    <w:rsid w:val="003417EF"/>
    <w:rsid w:val="00341863"/>
    <w:rsid w:val="0034190A"/>
    <w:rsid w:val="0034191B"/>
    <w:rsid w:val="0034196C"/>
    <w:rsid w:val="003419A7"/>
    <w:rsid w:val="00341B25"/>
    <w:rsid w:val="00341B5A"/>
    <w:rsid w:val="00341B81"/>
    <w:rsid w:val="00341C56"/>
    <w:rsid w:val="00341D8A"/>
    <w:rsid w:val="00341FAA"/>
    <w:rsid w:val="00341FCE"/>
    <w:rsid w:val="00342050"/>
    <w:rsid w:val="00342054"/>
    <w:rsid w:val="00342131"/>
    <w:rsid w:val="00342144"/>
    <w:rsid w:val="003421FE"/>
    <w:rsid w:val="003422DB"/>
    <w:rsid w:val="00342887"/>
    <w:rsid w:val="00342A43"/>
    <w:rsid w:val="00342C24"/>
    <w:rsid w:val="00342D89"/>
    <w:rsid w:val="00342DFC"/>
    <w:rsid w:val="00342E80"/>
    <w:rsid w:val="00342E89"/>
    <w:rsid w:val="00342F0C"/>
    <w:rsid w:val="00342FAB"/>
    <w:rsid w:val="00343049"/>
    <w:rsid w:val="0034306F"/>
    <w:rsid w:val="003430CC"/>
    <w:rsid w:val="003431FE"/>
    <w:rsid w:val="003432B3"/>
    <w:rsid w:val="003432E6"/>
    <w:rsid w:val="0034334A"/>
    <w:rsid w:val="00343367"/>
    <w:rsid w:val="003433B4"/>
    <w:rsid w:val="00343464"/>
    <w:rsid w:val="0034350E"/>
    <w:rsid w:val="003435A9"/>
    <w:rsid w:val="003435F9"/>
    <w:rsid w:val="003436D1"/>
    <w:rsid w:val="00343703"/>
    <w:rsid w:val="00343746"/>
    <w:rsid w:val="00343769"/>
    <w:rsid w:val="00343A7C"/>
    <w:rsid w:val="00343C79"/>
    <w:rsid w:val="00343C85"/>
    <w:rsid w:val="00343CB7"/>
    <w:rsid w:val="00343DB1"/>
    <w:rsid w:val="00343DD5"/>
    <w:rsid w:val="00343EE7"/>
    <w:rsid w:val="00343F66"/>
    <w:rsid w:val="0034420D"/>
    <w:rsid w:val="00344412"/>
    <w:rsid w:val="003444CD"/>
    <w:rsid w:val="00344530"/>
    <w:rsid w:val="00344531"/>
    <w:rsid w:val="00344649"/>
    <w:rsid w:val="0034465A"/>
    <w:rsid w:val="00344854"/>
    <w:rsid w:val="003448CA"/>
    <w:rsid w:val="00344A10"/>
    <w:rsid w:val="00344AC7"/>
    <w:rsid w:val="00344BD9"/>
    <w:rsid w:val="00344C16"/>
    <w:rsid w:val="00344CEF"/>
    <w:rsid w:val="00344D1C"/>
    <w:rsid w:val="00344D7D"/>
    <w:rsid w:val="00344DF0"/>
    <w:rsid w:val="0034518B"/>
    <w:rsid w:val="00345253"/>
    <w:rsid w:val="00345337"/>
    <w:rsid w:val="00345496"/>
    <w:rsid w:val="003454F2"/>
    <w:rsid w:val="00345590"/>
    <w:rsid w:val="003455A1"/>
    <w:rsid w:val="00345633"/>
    <w:rsid w:val="00345753"/>
    <w:rsid w:val="00345796"/>
    <w:rsid w:val="003457D1"/>
    <w:rsid w:val="0034582B"/>
    <w:rsid w:val="00345839"/>
    <w:rsid w:val="00345967"/>
    <w:rsid w:val="00345AB1"/>
    <w:rsid w:val="00345B44"/>
    <w:rsid w:val="00345BA4"/>
    <w:rsid w:val="00345BCF"/>
    <w:rsid w:val="00345ED0"/>
    <w:rsid w:val="00345EF3"/>
    <w:rsid w:val="00346228"/>
    <w:rsid w:val="00346327"/>
    <w:rsid w:val="003463C3"/>
    <w:rsid w:val="003463E1"/>
    <w:rsid w:val="00346410"/>
    <w:rsid w:val="0034642F"/>
    <w:rsid w:val="00346434"/>
    <w:rsid w:val="00346621"/>
    <w:rsid w:val="003466F9"/>
    <w:rsid w:val="00346773"/>
    <w:rsid w:val="0034679F"/>
    <w:rsid w:val="003467DA"/>
    <w:rsid w:val="0034697B"/>
    <w:rsid w:val="00346B2B"/>
    <w:rsid w:val="00346BE0"/>
    <w:rsid w:val="00346D0B"/>
    <w:rsid w:val="00346E73"/>
    <w:rsid w:val="00346E9B"/>
    <w:rsid w:val="00346EC0"/>
    <w:rsid w:val="00346F31"/>
    <w:rsid w:val="00346F83"/>
    <w:rsid w:val="0034716F"/>
    <w:rsid w:val="00347178"/>
    <w:rsid w:val="00347233"/>
    <w:rsid w:val="003472D5"/>
    <w:rsid w:val="00347326"/>
    <w:rsid w:val="003473A6"/>
    <w:rsid w:val="0034757E"/>
    <w:rsid w:val="003475C4"/>
    <w:rsid w:val="003476AC"/>
    <w:rsid w:val="00347A39"/>
    <w:rsid w:val="00347CDE"/>
    <w:rsid w:val="00347D71"/>
    <w:rsid w:val="00347E2A"/>
    <w:rsid w:val="00347E75"/>
    <w:rsid w:val="00347EE5"/>
    <w:rsid w:val="00347F9F"/>
    <w:rsid w:val="00350092"/>
    <w:rsid w:val="003500F9"/>
    <w:rsid w:val="0035014B"/>
    <w:rsid w:val="0035016B"/>
    <w:rsid w:val="00350411"/>
    <w:rsid w:val="0035051D"/>
    <w:rsid w:val="00350649"/>
    <w:rsid w:val="0035064C"/>
    <w:rsid w:val="003506B6"/>
    <w:rsid w:val="00350753"/>
    <w:rsid w:val="0035090D"/>
    <w:rsid w:val="00350A60"/>
    <w:rsid w:val="00350A61"/>
    <w:rsid w:val="00350B62"/>
    <w:rsid w:val="00350B93"/>
    <w:rsid w:val="00350C8A"/>
    <w:rsid w:val="00350CA5"/>
    <w:rsid w:val="00350CC0"/>
    <w:rsid w:val="00350CEF"/>
    <w:rsid w:val="00350DBA"/>
    <w:rsid w:val="00350DF1"/>
    <w:rsid w:val="00350F31"/>
    <w:rsid w:val="00350F38"/>
    <w:rsid w:val="00351097"/>
    <w:rsid w:val="003511D2"/>
    <w:rsid w:val="003511F4"/>
    <w:rsid w:val="0035124D"/>
    <w:rsid w:val="00351408"/>
    <w:rsid w:val="0035142B"/>
    <w:rsid w:val="00351466"/>
    <w:rsid w:val="00351570"/>
    <w:rsid w:val="0035170A"/>
    <w:rsid w:val="00351729"/>
    <w:rsid w:val="0035185B"/>
    <w:rsid w:val="00351906"/>
    <w:rsid w:val="00351963"/>
    <w:rsid w:val="003519AD"/>
    <w:rsid w:val="00351A61"/>
    <w:rsid w:val="00351B0F"/>
    <w:rsid w:val="00351B65"/>
    <w:rsid w:val="00351DF9"/>
    <w:rsid w:val="00351E0E"/>
    <w:rsid w:val="00351F15"/>
    <w:rsid w:val="00352050"/>
    <w:rsid w:val="0035213C"/>
    <w:rsid w:val="0035219D"/>
    <w:rsid w:val="003524B3"/>
    <w:rsid w:val="003525A3"/>
    <w:rsid w:val="003525FB"/>
    <w:rsid w:val="00352639"/>
    <w:rsid w:val="00352CB2"/>
    <w:rsid w:val="00352D6B"/>
    <w:rsid w:val="00352E13"/>
    <w:rsid w:val="00352ED6"/>
    <w:rsid w:val="00352F57"/>
    <w:rsid w:val="00352FC0"/>
    <w:rsid w:val="0035302A"/>
    <w:rsid w:val="0035305C"/>
    <w:rsid w:val="00353199"/>
    <w:rsid w:val="003531D8"/>
    <w:rsid w:val="0035343C"/>
    <w:rsid w:val="003534AA"/>
    <w:rsid w:val="003534B1"/>
    <w:rsid w:val="00353634"/>
    <w:rsid w:val="00353715"/>
    <w:rsid w:val="0035393A"/>
    <w:rsid w:val="00353A8A"/>
    <w:rsid w:val="00353B0E"/>
    <w:rsid w:val="00353B19"/>
    <w:rsid w:val="00353B36"/>
    <w:rsid w:val="00353BB5"/>
    <w:rsid w:val="00353CCD"/>
    <w:rsid w:val="00353D75"/>
    <w:rsid w:val="00353E2B"/>
    <w:rsid w:val="0035416B"/>
    <w:rsid w:val="0035417D"/>
    <w:rsid w:val="003543E2"/>
    <w:rsid w:val="003544D7"/>
    <w:rsid w:val="00354538"/>
    <w:rsid w:val="00354584"/>
    <w:rsid w:val="003546E8"/>
    <w:rsid w:val="00354D45"/>
    <w:rsid w:val="00354DB3"/>
    <w:rsid w:val="00354DFC"/>
    <w:rsid w:val="00354EB4"/>
    <w:rsid w:val="00354F01"/>
    <w:rsid w:val="00354F9B"/>
    <w:rsid w:val="00354FE3"/>
    <w:rsid w:val="003550C4"/>
    <w:rsid w:val="003551BA"/>
    <w:rsid w:val="0035524D"/>
    <w:rsid w:val="003552C4"/>
    <w:rsid w:val="003553BC"/>
    <w:rsid w:val="00355475"/>
    <w:rsid w:val="00355483"/>
    <w:rsid w:val="0035559C"/>
    <w:rsid w:val="003555FA"/>
    <w:rsid w:val="003556BD"/>
    <w:rsid w:val="0035576F"/>
    <w:rsid w:val="003558FA"/>
    <w:rsid w:val="00355CEE"/>
    <w:rsid w:val="00355DF3"/>
    <w:rsid w:val="00355E04"/>
    <w:rsid w:val="00355EB7"/>
    <w:rsid w:val="00355EF5"/>
    <w:rsid w:val="00355F67"/>
    <w:rsid w:val="00355FAF"/>
    <w:rsid w:val="00356102"/>
    <w:rsid w:val="003561D4"/>
    <w:rsid w:val="003562C4"/>
    <w:rsid w:val="003562DD"/>
    <w:rsid w:val="003564D2"/>
    <w:rsid w:val="003564EB"/>
    <w:rsid w:val="0035663F"/>
    <w:rsid w:val="00356949"/>
    <w:rsid w:val="00356D29"/>
    <w:rsid w:val="00356D32"/>
    <w:rsid w:val="00356F2D"/>
    <w:rsid w:val="003571A4"/>
    <w:rsid w:val="003571C2"/>
    <w:rsid w:val="00357755"/>
    <w:rsid w:val="003578E8"/>
    <w:rsid w:val="00357B91"/>
    <w:rsid w:val="00357D93"/>
    <w:rsid w:val="00357DC0"/>
    <w:rsid w:val="00357E0A"/>
    <w:rsid w:val="00357F78"/>
    <w:rsid w:val="0036013E"/>
    <w:rsid w:val="00360144"/>
    <w:rsid w:val="00360197"/>
    <w:rsid w:val="003601BE"/>
    <w:rsid w:val="00360250"/>
    <w:rsid w:val="0036062E"/>
    <w:rsid w:val="00360655"/>
    <w:rsid w:val="0036068D"/>
    <w:rsid w:val="0036094C"/>
    <w:rsid w:val="00360A89"/>
    <w:rsid w:val="00360AB6"/>
    <w:rsid w:val="00360B3F"/>
    <w:rsid w:val="00360F2C"/>
    <w:rsid w:val="00360F3F"/>
    <w:rsid w:val="00360F6F"/>
    <w:rsid w:val="00361036"/>
    <w:rsid w:val="00361218"/>
    <w:rsid w:val="003612C0"/>
    <w:rsid w:val="0036141F"/>
    <w:rsid w:val="003614AA"/>
    <w:rsid w:val="003614B4"/>
    <w:rsid w:val="003615BE"/>
    <w:rsid w:val="00361617"/>
    <w:rsid w:val="0036168D"/>
    <w:rsid w:val="00361853"/>
    <w:rsid w:val="00361855"/>
    <w:rsid w:val="003618D0"/>
    <w:rsid w:val="00361B41"/>
    <w:rsid w:val="00361B6D"/>
    <w:rsid w:val="00361C8E"/>
    <w:rsid w:val="00361D89"/>
    <w:rsid w:val="00361D9E"/>
    <w:rsid w:val="00361DE9"/>
    <w:rsid w:val="00361E1C"/>
    <w:rsid w:val="00361E70"/>
    <w:rsid w:val="00361F2E"/>
    <w:rsid w:val="003620EE"/>
    <w:rsid w:val="0036230E"/>
    <w:rsid w:val="00362781"/>
    <w:rsid w:val="003628FD"/>
    <w:rsid w:val="00362908"/>
    <w:rsid w:val="00362C59"/>
    <w:rsid w:val="00362CA9"/>
    <w:rsid w:val="0036306E"/>
    <w:rsid w:val="00363107"/>
    <w:rsid w:val="00363194"/>
    <w:rsid w:val="00363230"/>
    <w:rsid w:val="0036327F"/>
    <w:rsid w:val="003632C7"/>
    <w:rsid w:val="003633EE"/>
    <w:rsid w:val="003634ED"/>
    <w:rsid w:val="0036364C"/>
    <w:rsid w:val="00363729"/>
    <w:rsid w:val="00363A6C"/>
    <w:rsid w:val="00363B30"/>
    <w:rsid w:val="00363B99"/>
    <w:rsid w:val="00363D21"/>
    <w:rsid w:val="00363DA1"/>
    <w:rsid w:val="00363DDD"/>
    <w:rsid w:val="00364047"/>
    <w:rsid w:val="0036406F"/>
    <w:rsid w:val="003640A7"/>
    <w:rsid w:val="003640B2"/>
    <w:rsid w:val="00364197"/>
    <w:rsid w:val="003641A9"/>
    <w:rsid w:val="003641B1"/>
    <w:rsid w:val="003641B2"/>
    <w:rsid w:val="0036441C"/>
    <w:rsid w:val="00364424"/>
    <w:rsid w:val="0036447A"/>
    <w:rsid w:val="003644B3"/>
    <w:rsid w:val="003645A2"/>
    <w:rsid w:val="003649C2"/>
    <w:rsid w:val="00364A01"/>
    <w:rsid w:val="00364B23"/>
    <w:rsid w:val="00364CBA"/>
    <w:rsid w:val="00364D85"/>
    <w:rsid w:val="00364D8A"/>
    <w:rsid w:val="00364ECF"/>
    <w:rsid w:val="00364ED7"/>
    <w:rsid w:val="00364F9D"/>
    <w:rsid w:val="00365252"/>
    <w:rsid w:val="0036528E"/>
    <w:rsid w:val="003652C0"/>
    <w:rsid w:val="0036540F"/>
    <w:rsid w:val="00365442"/>
    <w:rsid w:val="00365447"/>
    <w:rsid w:val="00365675"/>
    <w:rsid w:val="003656CB"/>
    <w:rsid w:val="0036571B"/>
    <w:rsid w:val="00365884"/>
    <w:rsid w:val="0036596C"/>
    <w:rsid w:val="00365AE8"/>
    <w:rsid w:val="00365B99"/>
    <w:rsid w:val="00365C69"/>
    <w:rsid w:val="00365DF5"/>
    <w:rsid w:val="00365E8D"/>
    <w:rsid w:val="00365E9A"/>
    <w:rsid w:val="003660B7"/>
    <w:rsid w:val="00366239"/>
    <w:rsid w:val="0036638C"/>
    <w:rsid w:val="003666A8"/>
    <w:rsid w:val="0036670D"/>
    <w:rsid w:val="00366896"/>
    <w:rsid w:val="003669B3"/>
    <w:rsid w:val="00366A4F"/>
    <w:rsid w:val="00366A88"/>
    <w:rsid w:val="00366A9C"/>
    <w:rsid w:val="00366AB2"/>
    <w:rsid w:val="00366D32"/>
    <w:rsid w:val="00366E6D"/>
    <w:rsid w:val="00367065"/>
    <w:rsid w:val="0036709F"/>
    <w:rsid w:val="0036740E"/>
    <w:rsid w:val="00367514"/>
    <w:rsid w:val="0036756E"/>
    <w:rsid w:val="0036794E"/>
    <w:rsid w:val="00367B41"/>
    <w:rsid w:val="00367BD0"/>
    <w:rsid w:val="00367C95"/>
    <w:rsid w:val="00367EB5"/>
    <w:rsid w:val="00370324"/>
    <w:rsid w:val="00370534"/>
    <w:rsid w:val="0037055F"/>
    <w:rsid w:val="00370570"/>
    <w:rsid w:val="00370616"/>
    <w:rsid w:val="00370709"/>
    <w:rsid w:val="00370831"/>
    <w:rsid w:val="00370941"/>
    <w:rsid w:val="003709FE"/>
    <w:rsid w:val="00370A28"/>
    <w:rsid w:val="00370AD2"/>
    <w:rsid w:val="00370DBC"/>
    <w:rsid w:val="00370E7B"/>
    <w:rsid w:val="0037123F"/>
    <w:rsid w:val="003712B7"/>
    <w:rsid w:val="0037133F"/>
    <w:rsid w:val="0037134A"/>
    <w:rsid w:val="00371377"/>
    <w:rsid w:val="00371484"/>
    <w:rsid w:val="00371576"/>
    <w:rsid w:val="00371711"/>
    <w:rsid w:val="00371732"/>
    <w:rsid w:val="003717A4"/>
    <w:rsid w:val="0037190C"/>
    <w:rsid w:val="00371990"/>
    <w:rsid w:val="003719EB"/>
    <w:rsid w:val="00371A4C"/>
    <w:rsid w:val="00371B21"/>
    <w:rsid w:val="00371BA5"/>
    <w:rsid w:val="00371BC3"/>
    <w:rsid w:val="00371C78"/>
    <w:rsid w:val="00371D8D"/>
    <w:rsid w:val="00371DFD"/>
    <w:rsid w:val="00371E0D"/>
    <w:rsid w:val="00371E90"/>
    <w:rsid w:val="00371FE0"/>
    <w:rsid w:val="00372186"/>
    <w:rsid w:val="0037221B"/>
    <w:rsid w:val="00372227"/>
    <w:rsid w:val="00372288"/>
    <w:rsid w:val="0037239C"/>
    <w:rsid w:val="003723B5"/>
    <w:rsid w:val="003723D4"/>
    <w:rsid w:val="003723EE"/>
    <w:rsid w:val="0037253E"/>
    <w:rsid w:val="00372724"/>
    <w:rsid w:val="003727FF"/>
    <w:rsid w:val="00372890"/>
    <w:rsid w:val="003728C9"/>
    <w:rsid w:val="00372AA2"/>
    <w:rsid w:val="00372AC6"/>
    <w:rsid w:val="00372B6B"/>
    <w:rsid w:val="00372C18"/>
    <w:rsid w:val="00372C45"/>
    <w:rsid w:val="00372D64"/>
    <w:rsid w:val="00372DF7"/>
    <w:rsid w:val="00372E61"/>
    <w:rsid w:val="00372E7E"/>
    <w:rsid w:val="00373063"/>
    <w:rsid w:val="003730DD"/>
    <w:rsid w:val="00373331"/>
    <w:rsid w:val="00373385"/>
    <w:rsid w:val="00373417"/>
    <w:rsid w:val="003734C0"/>
    <w:rsid w:val="003736D1"/>
    <w:rsid w:val="00373758"/>
    <w:rsid w:val="003737E9"/>
    <w:rsid w:val="0037381C"/>
    <w:rsid w:val="00373839"/>
    <w:rsid w:val="003738D0"/>
    <w:rsid w:val="00373B08"/>
    <w:rsid w:val="00373B93"/>
    <w:rsid w:val="00373E4A"/>
    <w:rsid w:val="00373E63"/>
    <w:rsid w:val="0037419F"/>
    <w:rsid w:val="003742E5"/>
    <w:rsid w:val="003742FC"/>
    <w:rsid w:val="003744FA"/>
    <w:rsid w:val="003745D6"/>
    <w:rsid w:val="003745F1"/>
    <w:rsid w:val="00374749"/>
    <w:rsid w:val="003747A4"/>
    <w:rsid w:val="003747F3"/>
    <w:rsid w:val="00374867"/>
    <w:rsid w:val="00374914"/>
    <w:rsid w:val="00374A5F"/>
    <w:rsid w:val="00374DE6"/>
    <w:rsid w:val="00374E07"/>
    <w:rsid w:val="00374E65"/>
    <w:rsid w:val="00374F3C"/>
    <w:rsid w:val="0037521A"/>
    <w:rsid w:val="0037535E"/>
    <w:rsid w:val="003753AB"/>
    <w:rsid w:val="003757F4"/>
    <w:rsid w:val="00375819"/>
    <w:rsid w:val="0037586F"/>
    <w:rsid w:val="0037591B"/>
    <w:rsid w:val="0037593B"/>
    <w:rsid w:val="00375969"/>
    <w:rsid w:val="00375B31"/>
    <w:rsid w:val="00375BC8"/>
    <w:rsid w:val="00375CFD"/>
    <w:rsid w:val="00375F4A"/>
    <w:rsid w:val="00375F68"/>
    <w:rsid w:val="00376294"/>
    <w:rsid w:val="00376314"/>
    <w:rsid w:val="0037631A"/>
    <w:rsid w:val="003766FA"/>
    <w:rsid w:val="00376744"/>
    <w:rsid w:val="00376792"/>
    <w:rsid w:val="0037685D"/>
    <w:rsid w:val="00376938"/>
    <w:rsid w:val="003769AE"/>
    <w:rsid w:val="00376B1F"/>
    <w:rsid w:val="00376CB5"/>
    <w:rsid w:val="00376DD4"/>
    <w:rsid w:val="00376DE0"/>
    <w:rsid w:val="00376E1E"/>
    <w:rsid w:val="00376E3C"/>
    <w:rsid w:val="00376E98"/>
    <w:rsid w:val="00376F0F"/>
    <w:rsid w:val="00376F8E"/>
    <w:rsid w:val="00376F9D"/>
    <w:rsid w:val="0037705D"/>
    <w:rsid w:val="0037719A"/>
    <w:rsid w:val="0037725F"/>
    <w:rsid w:val="00377484"/>
    <w:rsid w:val="0037760D"/>
    <w:rsid w:val="003776D4"/>
    <w:rsid w:val="00377716"/>
    <w:rsid w:val="0037772C"/>
    <w:rsid w:val="00377777"/>
    <w:rsid w:val="00377946"/>
    <w:rsid w:val="00377990"/>
    <w:rsid w:val="00377B24"/>
    <w:rsid w:val="00377BAC"/>
    <w:rsid w:val="00377BC0"/>
    <w:rsid w:val="00377F33"/>
    <w:rsid w:val="00377F3D"/>
    <w:rsid w:val="00380091"/>
    <w:rsid w:val="003801E4"/>
    <w:rsid w:val="00380393"/>
    <w:rsid w:val="003803FF"/>
    <w:rsid w:val="003804E4"/>
    <w:rsid w:val="0038058E"/>
    <w:rsid w:val="003805C8"/>
    <w:rsid w:val="003806F4"/>
    <w:rsid w:val="00380740"/>
    <w:rsid w:val="00380792"/>
    <w:rsid w:val="0038085B"/>
    <w:rsid w:val="00380B57"/>
    <w:rsid w:val="00380BAF"/>
    <w:rsid w:val="00380CDF"/>
    <w:rsid w:val="00380D75"/>
    <w:rsid w:val="00380F13"/>
    <w:rsid w:val="00380FC8"/>
    <w:rsid w:val="0038104C"/>
    <w:rsid w:val="003810FC"/>
    <w:rsid w:val="003811E8"/>
    <w:rsid w:val="00381283"/>
    <w:rsid w:val="0038145F"/>
    <w:rsid w:val="0038146C"/>
    <w:rsid w:val="00381610"/>
    <w:rsid w:val="003816D8"/>
    <w:rsid w:val="00381803"/>
    <w:rsid w:val="003818AE"/>
    <w:rsid w:val="00381991"/>
    <w:rsid w:val="003819F7"/>
    <w:rsid w:val="00381A42"/>
    <w:rsid w:val="00381D73"/>
    <w:rsid w:val="00381F65"/>
    <w:rsid w:val="00382042"/>
    <w:rsid w:val="003820E4"/>
    <w:rsid w:val="0038211D"/>
    <w:rsid w:val="00382269"/>
    <w:rsid w:val="0038229E"/>
    <w:rsid w:val="0038236B"/>
    <w:rsid w:val="0038258E"/>
    <w:rsid w:val="00382609"/>
    <w:rsid w:val="0038271F"/>
    <w:rsid w:val="00382741"/>
    <w:rsid w:val="00382829"/>
    <w:rsid w:val="00382A2A"/>
    <w:rsid w:val="00382A74"/>
    <w:rsid w:val="00382A7A"/>
    <w:rsid w:val="00382B25"/>
    <w:rsid w:val="00382C3F"/>
    <w:rsid w:val="00382D67"/>
    <w:rsid w:val="00382DB1"/>
    <w:rsid w:val="00382EDA"/>
    <w:rsid w:val="0038302B"/>
    <w:rsid w:val="0038303A"/>
    <w:rsid w:val="00383102"/>
    <w:rsid w:val="00383118"/>
    <w:rsid w:val="0038318D"/>
    <w:rsid w:val="003832D9"/>
    <w:rsid w:val="0038341A"/>
    <w:rsid w:val="00383580"/>
    <w:rsid w:val="00383708"/>
    <w:rsid w:val="003837FC"/>
    <w:rsid w:val="003838C5"/>
    <w:rsid w:val="00383928"/>
    <w:rsid w:val="003839A4"/>
    <w:rsid w:val="003839B2"/>
    <w:rsid w:val="00383A40"/>
    <w:rsid w:val="00383BA5"/>
    <w:rsid w:val="00383BB7"/>
    <w:rsid w:val="00383CB4"/>
    <w:rsid w:val="00383CEF"/>
    <w:rsid w:val="00383EA6"/>
    <w:rsid w:val="0038406B"/>
    <w:rsid w:val="003840AD"/>
    <w:rsid w:val="003840E9"/>
    <w:rsid w:val="00384149"/>
    <w:rsid w:val="003842AC"/>
    <w:rsid w:val="0038433A"/>
    <w:rsid w:val="0038434F"/>
    <w:rsid w:val="0038490A"/>
    <w:rsid w:val="003849AE"/>
    <w:rsid w:val="00384BB0"/>
    <w:rsid w:val="00384BD1"/>
    <w:rsid w:val="00384DE0"/>
    <w:rsid w:val="00385362"/>
    <w:rsid w:val="003853A6"/>
    <w:rsid w:val="0038540A"/>
    <w:rsid w:val="003854C7"/>
    <w:rsid w:val="00385573"/>
    <w:rsid w:val="00385589"/>
    <w:rsid w:val="003855A8"/>
    <w:rsid w:val="003855BB"/>
    <w:rsid w:val="00385633"/>
    <w:rsid w:val="003857A2"/>
    <w:rsid w:val="003857D3"/>
    <w:rsid w:val="003858D6"/>
    <w:rsid w:val="00385A7D"/>
    <w:rsid w:val="00385A85"/>
    <w:rsid w:val="00385AE0"/>
    <w:rsid w:val="00385CEF"/>
    <w:rsid w:val="00385D3E"/>
    <w:rsid w:val="00386077"/>
    <w:rsid w:val="003860C0"/>
    <w:rsid w:val="00386124"/>
    <w:rsid w:val="00386195"/>
    <w:rsid w:val="0038629B"/>
    <w:rsid w:val="00386477"/>
    <w:rsid w:val="003864D5"/>
    <w:rsid w:val="00386536"/>
    <w:rsid w:val="0038660B"/>
    <w:rsid w:val="00386657"/>
    <w:rsid w:val="00386659"/>
    <w:rsid w:val="00386670"/>
    <w:rsid w:val="0038667C"/>
    <w:rsid w:val="00386849"/>
    <w:rsid w:val="0038694E"/>
    <w:rsid w:val="00386A55"/>
    <w:rsid w:val="00386D2F"/>
    <w:rsid w:val="00386E18"/>
    <w:rsid w:val="00386FFC"/>
    <w:rsid w:val="003871AE"/>
    <w:rsid w:val="003871D0"/>
    <w:rsid w:val="003871DF"/>
    <w:rsid w:val="0038728C"/>
    <w:rsid w:val="003872AA"/>
    <w:rsid w:val="003872D0"/>
    <w:rsid w:val="00387303"/>
    <w:rsid w:val="0038744D"/>
    <w:rsid w:val="003875A5"/>
    <w:rsid w:val="003875CA"/>
    <w:rsid w:val="00387645"/>
    <w:rsid w:val="0038764B"/>
    <w:rsid w:val="003877E0"/>
    <w:rsid w:val="00387892"/>
    <w:rsid w:val="003878D7"/>
    <w:rsid w:val="00387B18"/>
    <w:rsid w:val="00387CEC"/>
    <w:rsid w:val="00387D92"/>
    <w:rsid w:val="00387DC0"/>
    <w:rsid w:val="00387E27"/>
    <w:rsid w:val="00387E4A"/>
    <w:rsid w:val="00387E7C"/>
    <w:rsid w:val="00387F42"/>
    <w:rsid w:val="00387F4B"/>
    <w:rsid w:val="00390019"/>
    <w:rsid w:val="00390223"/>
    <w:rsid w:val="00390370"/>
    <w:rsid w:val="0039048D"/>
    <w:rsid w:val="00390567"/>
    <w:rsid w:val="003905A5"/>
    <w:rsid w:val="00390691"/>
    <w:rsid w:val="003906A3"/>
    <w:rsid w:val="003906E5"/>
    <w:rsid w:val="00390814"/>
    <w:rsid w:val="0039094A"/>
    <w:rsid w:val="0039095A"/>
    <w:rsid w:val="00390973"/>
    <w:rsid w:val="00390CB0"/>
    <w:rsid w:val="00390DDF"/>
    <w:rsid w:val="00390DE7"/>
    <w:rsid w:val="00391058"/>
    <w:rsid w:val="00391109"/>
    <w:rsid w:val="0039112A"/>
    <w:rsid w:val="00391161"/>
    <w:rsid w:val="003911C0"/>
    <w:rsid w:val="00391248"/>
    <w:rsid w:val="00391669"/>
    <w:rsid w:val="003916A2"/>
    <w:rsid w:val="003916A5"/>
    <w:rsid w:val="003916D3"/>
    <w:rsid w:val="00391721"/>
    <w:rsid w:val="00391821"/>
    <w:rsid w:val="00391882"/>
    <w:rsid w:val="0039188B"/>
    <w:rsid w:val="0039189F"/>
    <w:rsid w:val="00391A34"/>
    <w:rsid w:val="00391CFB"/>
    <w:rsid w:val="00391D3D"/>
    <w:rsid w:val="00391DCB"/>
    <w:rsid w:val="00391E72"/>
    <w:rsid w:val="00391EA4"/>
    <w:rsid w:val="00391F00"/>
    <w:rsid w:val="00391F1A"/>
    <w:rsid w:val="00391FC5"/>
    <w:rsid w:val="00391FFD"/>
    <w:rsid w:val="003920DB"/>
    <w:rsid w:val="003924A8"/>
    <w:rsid w:val="00392506"/>
    <w:rsid w:val="00392716"/>
    <w:rsid w:val="00392786"/>
    <w:rsid w:val="00392923"/>
    <w:rsid w:val="003929FD"/>
    <w:rsid w:val="00392A26"/>
    <w:rsid w:val="00392ABD"/>
    <w:rsid w:val="00392D48"/>
    <w:rsid w:val="00392EEB"/>
    <w:rsid w:val="00392FBF"/>
    <w:rsid w:val="003930BB"/>
    <w:rsid w:val="00393179"/>
    <w:rsid w:val="0039319E"/>
    <w:rsid w:val="00393224"/>
    <w:rsid w:val="003932E4"/>
    <w:rsid w:val="00393341"/>
    <w:rsid w:val="003934BC"/>
    <w:rsid w:val="003937A3"/>
    <w:rsid w:val="00393BFF"/>
    <w:rsid w:val="00393D15"/>
    <w:rsid w:val="00393F8E"/>
    <w:rsid w:val="003940A3"/>
    <w:rsid w:val="0039423B"/>
    <w:rsid w:val="00394313"/>
    <w:rsid w:val="00394435"/>
    <w:rsid w:val="0039450B"/>
    <w:rsid w:val="003945E8"/>
    <w:rsid w:val="003945F4"/>
    <w:rsid w:val="00394733"/>
    <w:rsid w:val="00394769"/>
    <w:rsid w:val="003949AE"/>
    <w:rsid w:val="00394A15"/>
    <w:rsid w:val="00394E10"/>
    <w:rsid w:val="00394FFD"/>
    <w:rsid w:val="00395005"/>
    <w:rsid w:val="0039516E"/>
    <w:rsid w:val="003951F9"/>
    <w:rsid w:val="003953F2"/>
    <w:rsid w:val="003954C6"/>
    <w:rsid w:val="00395517"/>
    <w:rsid w:val="00395894"/>
    <w:rsid w:val="003959B8"/>
    <w:rsid w:val="00395BA9"/>
    <w:rsid w:val="00395C01"/>
    <w:rsid w:val="00395CEB"/>
    <w:rsid w:val="00395D52"/>
    <w:rsid w:val="00395D61"/>
    <w:rsid w:val="00395E6B"/>
    <w:rsid w:val="00395F37"/>
    <w:rsid w:val="00395F50"/>
    <w:rsid w:val="00395F87"/>
    <w:rsid w:val="00395FA7"/>
    <w:rsid w:val="003962D9"/>
    <w:rsid w:val="0039635A"/>
    <w:rsid w:val="00396661"/>
    <w:rsid w:val="0039666F"/>
    <w:rsid w:val="003966C8"/>
    <w:rsid w:val="003966CE"/>
    <w:rsid w:val="003966F6"/>
    <w:rsid w:val="003966FC"/>
    <w:rsid w:val="0039677D"/>
    <w:rsid w:val="00396794"/>
    <w:rsid w:val="00396BF6"/>
    <w:rsid w:val="00396C02"/>
    <w:rsid w:val="00396D5C"/>
    <w:rsid w:val="00396DE2"/>
    <w:rsid w:val="0039717F"/>
    <w:rsid w:val="003972AE"/>
    <w:rsid w:val="003972C6"/>
    <w:rsid w:val="0039751E"/>
    <w:rsid w:val="0039754E"/>
    <w:rsid w:val="00397626"/>
    <w:rsid w:val="00397775"/>
    <w:rsid w:val="003977BA"/>
    <w:rsid w:val="003977E5"/>
    <w:rsid w:val="003978DF"/>
    <w:rsid w:val="00397B09"/>
    <w:rsid w:val="00397E31"/>
    <w:rsid w:val="00397EDC"/>
    <w:rsid w:val="00397F27"/>
    <w:rsid w:val="003A0065"/>
    <w:rsid w:val="003A00CE"/>
    <w:rsid w:val="003A0247"/>
    <w:rsid w:val="003A0287"/>
    <w:rsid w:val="003A02F5"/>
    <w:rsid w:val="003A0316"/>
    <w:rsid w:val="003A035F"/>
    <w:rsid w:val="003A0389"/>
    <w:rsid w:val="003A0408"/>
    <w:rsid w:val="003A0417"/>
    <w:rsid w:val="003A04E9"/>
    <w:rsid w:val="003A053B"/>
    <w:rsid w:val="003A056F"/>
    <w:rsid w:val="003A0660"/>
    <w:rsid w:val="003A06A7"/>
    <w:rsid w:val="003A096D"/>
    <w:rsid w:val="003A09FC"/>
    <w:rsid w:val="003A0A6C"/>
    <w:rsid w:val="003A0A8F"/>
    <w:rsid w:val="003A0A91"/>
    <w:rsid w:val="003A0BDF"/>
    <w:rsid w:val="003A0C78"/>
    <w:rsid w:val="003A0C85"/>
    <w:rsid w:val="003A0CA8"/>
    <w:rsid w:val="003A0D52"/>
    <w:rsid w:val="003A0D85"/>
    <w:rsid w:val="003A0F15"/>
    <w:rsid w:val="003A0FF6"/>
    <w:rsid w:val="003A1076"/>
    <w:rsid w:val="003A124A"/>
    <w:rsid w:val="003A1268"/>
    <w:rsid w:val="003A12F6"/>
    <w:rsid w:val="003A13D3"/>
    <w:rsid w:val="003A13D7"/>
    <w:rsid w:val="003A15AB"/>
    <w:rsid w:val="003A15CD"/>
    <w:rsid w:val="003A1702"/>
    <w:rsid w:val="003A1720"/>
    <w:rsid w:val="003A1829"/>
    <w:rsid w:val="003A189F"/>
    <w:rsid w:val="003A18F8"/>
    <w:rsid w:val="003A1A2C"/>
    <w:rsid w:val="003A1A4E"/>
    <w:rsid w:val="003A1AB3"/>
    <w:rsid w:val="003A1B0B"/>
    <w:rsid w:val="003A1B2B"/>
    <w:rsid w:val="003A1DE6"/>
    <w:rsid w:val="003A1FA1"/>
    <w:rsid w:val="003A1FF5"/>
    <w:rsid w:val="003A218B"/>
    <w:rsid w:val="003A219E"/>
    <w:rsid w:val="003A2228"/>
    <w:rsid w:val="003A231E"/>
    <w:rsid w:val="003A2771"/>
    <w:rsid w:val="003A278B"/>
    <w:rsid w:val="003A2821"/>
    <w:rsid w:val="003A2887"/>
    <w:rsid w:val="003A2958"/>
    <w:rsid w:val="003A29A2"/>
    <w:rsid w:val="003A2A9E"/>
    <w:rsid w:val="003A2B29"/>
    <w:rsid w:val="003A2B47"/>
    <w:rsid w:val="003A2BF8"/>
    <w:rsid w:val="003A2CE2"/>
    <w:rsid w:val="003A2D14"/>
    <w:rsid w:val="003A2E10"/>
    <w:rsid w:val="003A2E64"/>
    <w:rsid w:val="003A2ED1"/>
    <w:rsid w:val="003A3095"/>
    <w:rsid w:val="003A3197"/>
    <w:rsid w:val="003A3296"/>
    <w:rsid w:val="003A331C"/>
    <w:rsid w:val="003A349A"/>
    <w:rsid w:val="003A34CE"/>
    <w:rsid w:val="003A3573"/>
    <w:rsid w:val="003A358D"/>
    <w:rsid w:val="003A38C5"/>
    <w:rsid w:val="003A3957"/>
    <w:rsid w:val="003A3C81"/>
    <w:rsid w:val="003A3F0E"/>
    <w:rsid w:val="003A4086"/>
    <w:rsid w:val="003A4267"/>
    <w:rsid w:val="003A4507"/>
    <w:rsid w:val="003A4554"/>
    <w:rsid w:val="003A49A2"/>
    <w:rsid w:val="003A49B7"/>
    <w:rsid w:val="003A4BB9"/>
    <w:rsid w:val="003A4C47"/>
    <w:rsid w:val="003A4C61"/>
    <w:rsid w:val="003A4E0F"/>
    <w:rsid w:val="003A4EB9"/>
    <w:rsid w:val="003A5001"/>
    <w:rsid w:val="003A51A3"/>
    <w:rsid w:val="003A5328"/>
    <w:rsid w:val="003A53BE"/>
    <w:rsid w:val="003A5499"/>
    <w:rsid w:val="003A550A"/>
    <w:rsid w:val="003A5744"/>
    <w:rsid w:val="003A57F2"/>
    <w:rsid w:val="003A582A"/>
    <w:rsid w:val="003A592F"/>
    <w:rsid w:val="003A5A1B"/>
    <w:rsid w:val="003A5A57"/>
    <w:rsid w:val="003A5AD8"/>
    <w:rsid w:val="003A5B19"/>
    <w:rsid w:val="003A5B8F"/>
    <w:rsid w:val="003A5C07"/>
    <w:rsid w:val="003A5C8D"/>
    <w:rsid w:val="003A5CC0"/>
    <w:rsid w:val="003A5CDD"/>
    <w:rsid w:val="003A5CFE"/>
    <w:rsid w:val="003A5D18"/>
    <w:rsid w:val="003A5D2F"/>
    <w:rsid w:val="003A5E8B"/>
    <w:rsid w:val="003A5FD5"/>
    <w:rsid w:val="003A6075"/>
    <w:rsid w:val="003A6168"/>
    <w:rsid w:val="003A61EC"/>
    <w:rsid w:val="003A6427"/>
    <w:rsid w:val="003A6461"/>
    <w:rsid w:val="003A64A6"/>
    <w:rsid w:val="003A6567"/>
    <w:rsid w:val="003A6724"/>
    <w:rsid w:val="003A69CD"/>
    <w:rsid w:val="003A6AFB"/>
    <w:rsid w:val="003A6CBF"/>
    <w:rsid w:val="003A6E1A"/>
    <w:rsid w:val="003A6E71"/>
    <w:rsid w:val="003A6F20"/>
    <w:rsid w:val="003A6FC7"/>
    <w:rsid w:val="003A7170"/>
    <w:rsid w:val="003A71EE"/>
    <w:rsid w:val="003A71F1"/>
    <w:rsid w:val="003A7218"/>
    <w:rsid w:val="003A7254"/>
    <w:rsid w:val="003A73E7"/>
    <w:rsid w:val="003A740B"/>
    <w:rsid w:val="003A74BC"/>
    <w:rsid w:val="003A752D"/>
    <w:rsid w:val="003A75CF"/>
    <w:rsid w:val="003A7605"/>
    <w:rsid w:val="003A783E"/>
    <w:rsid w:val="003A7B2B"/>
    <w:rsid w:val="003A7C03"/>
    <w:rsid w:val="003A7DF7"/>
    <w:rsid w:val="003A7EF9"/>
    <w:rsid w:val="003B011C"/>
    <w:rsid w:val="003B0316"/>
    <w:rsid w:val="003B04BD"/>
    <w:rsid w:val="003B04E3"/>
    <w:rsid w:val="003B051F"/>
    <w:rsid w:val="003B05F3"/>
    <w:rsid w:val="003B0792"/>
    <w:rsid w:val="003B0828"/>
    <w:rsid w:val="003B082E"/>
    <w:rsid w:val="003B08B5"/>
    <w:rsid w:val="003B0B34"/>
    <w:rsid w:val="003B0BA1"/>
    <w:rsid w:val="003B0D60"/>
    <w:rsid w:val="003B0D9C"/>
    <w:rsid w:val="003B0E43"/>
    <w:rsid w:val="003B0F3C"/>
    <w:rsid w:val="003B1021"/>
    <w:rsid w:val="003B1231"/>
    <w:rsid w:val="003B1236"/>
    <w:rsid w:val="003B12CE"/>
    <w:rsid w:val="003B14AE"/>
    <w:rsid w:val="003B14D8"/>
    <w:rsid w:val="003B15FD"/>
    <w:rsid w:val="003B1760"/>
    <w:rsid w:val="003B18CA"/>
    <w:rsid w:val="003B19BE"/>
    <w:rsid w:val="003B1A9F"/>
    <w:rsid w:val="003B1C16"/>
    <w:rsid w:val="003B1D16"/>
    <w:rsid w:val="003B1D23"/>
    <w:rsid w:val="003B1DBD"/>
    <w:rsid w:val="003B1EEE"/>
    <w:rsid w:val="003B25B4"/>
    <w:rsid w:val="003B2807"/>
    <w:rsid w:val="003B2860"/>
    <w:rsid w:val="003B29D7"/>
    <w:rsid w:val="003B2A40"/>
    <w:rsid w:val="003B2A45"/>
    <w:rsid w:val="003B2AE2"/>
    <w:rsid w:val="003B2B9B"/>
    <w:rsid w:val="003B2C36"/>
    <w:rsid w:val="003B2D8C"/>
    <w:rsid w:val="003B2DCF"/>
    <w:rsid w:val="003B2F53"/>
    <w:rsid w:val="003B2FB7"/>
    <w:rsid w:val="003B304A"/>
    <w:rsid w:val="003B3257"/>
    <w:rsid w:val="003B32E5"/>
    <w:rsid w:val="003B3400"/>
    <w:rsid w:val="003B3475"/>
    <w:rsid w:val="003B355B"/>
    <w:rsid w:val="003B36DC"/>
    <w:rsid w:val="003B3730"/>
    <w:rsid w:val="003B378D"/>
    <w:rsid w:val="003B37B6"/>
    <w:rsid w:val="003B3A27"/>
    <w:rsid w:val="003B3D5C"/>
    <w:rsid w:val="003B3E2B"/>
    <w:rsid w:val="003B3E78"/>
    <w:rsid w:val="003B3EA4"/>
    <w:rsid w:val="003B4106"/>
    <w:rsid w:val="003B44A2"/>
    <w:rsid w:val="003B4545"/>
    <w:rsid w:val="003B4599"/>
    <w:rsid w:val="003B462B"/>
    <w:rsid w:val="003B49A3"/>
    <w:rsid w:val="003B4A53"/>
    <w:rsid w:val="003B4B2B"/>
    <w:rsid w:val="003B4B39"/>
    <w:rsid w:val="003B4C5A"/>
    <w:rsid w:val="003B4F26"/>
    <w:rsid w:val="003B5040"/>
    <w:rsid w:val="003B50DB"/>
    <w:rsid w:val="003B5362"/>
    <w:rsid w:val="003B53F6"/>
    <w:rsid w:val="003B5447"/>
    <w:rsid w:val="003B5511"/>
    <w:rsid w:val="003B55EF"/>
    <w:rsid w:val="003B5816"/>
    <w:rsid w:val="003B589E"/>
    <w:rsid w:val="003B59AC"/>
    <w:rsid w:val="003B59C5"/>
    <w:rsid w:val="003B5A54"/>
    <w:rsid w:val="003B5A7D"/>
    <w:rsid w:val="003B5ACF"/>
    <w:rsid w:val="003B5AE9"/>
    <w:rsid w:val="003B5C0C"/>
    <w:rsid w:val="003B5C38"/>
    <w:rsid w:val="003B5E5D"/>
    <w:rsid w:val="003B5E88"/>
    <w:rsid w:val="003B5E9F"/>
    <w:rsid w:val="003B5F27"/>
    <w:rsid w:val="003B5F3C"/>
    <w:rsid w:val="003B6020"/>
    <w:rsid w:val="003B606D"/>
    <w:rsid w:val="003B60E1"/>
    <w:rsid w:val="003B61B7"/>
    <w:rsid w:val="003B61C2"/>
    <w:rsid w:val="003B6234"/>
    <w:rsid w:val="003B6260"/>
    <w:rsid w:val="003B6285"/>
    <w:rsid w:val="003B636B"/>
    <w:rsid w:val="003B6470"/>
    <w:rsid w:val="003B6492"/>
    <w:rsid w:val="003B6521"/>
    <w:rsid w:val="003B65BC"/>
    <w:rsid w:val="003B6632"/>
    <w:rsid w:val="003B6885"/>
    <w:rsid w:val="003B697E"/>
    <w:rsid w:val="003B69D0"/>
    <w:rsid w:val="003B6A8E"/>
    <w:rsid w:val="003B6AAD"/>
    <w:rsid w:val="003B6C02"/>
    <w:rsid w:val="003B6CE4"/>
    <w:rsid w:val="003B6E41"/>
    <w:rsid w:val="003B6E47"/>
    <w:rsid w:val="003B6EB1"/>
    <w:rsid w:val="003B6FC0"/>
    <w:rsid w:val="003B718A"/>
    <w:rsid w:val="003B724C"/>
    <w:rsid w:val="003B7254"/>
    <w:rsid w:val="003B7319"/>
    <w:rsid w:val="003B7377"/>
    <w:rsid w:val="003B73A3"/>
    <w:rsid w:val="003B7594"/>
    <w:rsid w:val="003B7597"/>
    <w:rsid w:val="003B766C"/>
    <w:rsid w:val="003B7679"/>
    <w:rsid w:val="003B781A"/>
    <w:rsid w:val="003B783D"/>
    <w:rsid w:val="003B789D"/>
    <w:rsid w:val="003B7948"/>
    <w:rsid w:val="003B7999"/>
    <w:rsid w:val="003B7AEB"/>
    <w:rsid w:val="003B7B5D"/>
    <w:rsid w:val="003B7B9E"/>
    <w:rsid w:val="003B7BA0"/>
    <w:rsid w:val="003B7C21"/>
    <w:rsid w:val="003B7C69"/>
    <w:rsid w:val="003B7C85"/>
    <w:rsid w:val="003B7CC4"/>
    <w:rsid w:val="003B7DB7"/>
    <w:rsid w:val="003C01A0"/>
    <w:rsid w:val="003C01D0"/>
    <w:rsid w:val="003C026B"/>
    <w:rsid w:val="003C02D0"/>
    <w:rsid w:val="003C034F"/>
    <w:rsid w:val="003C051F"/>
    <w:rsid w:val="003C053D"/>
    <w:rsid w:val="003C057A"/>
    <w:rsid w:val="003C05F5"/>
    <w:rsid w:val="003C06E3"/>
    <w:rsid w:val="003C06E9"/>
    <w:rsid w:val="003C096E"/>
    <w:rsid w:val="003C0990"/>
    <w:rsid w:val="003C0ADD"/>
    <w:rsid w:val="003C0B8B"/>
    <w:rsid w:val="003C0BC4"/>
    <w:rsid w:val="003C0E9C"/>
    <w:rsid w:val="003C0EC4"/>
    <w:rsid w:val="003C0F84"/>
    <w:rsid w:val="003C107A"/>
    <w:rsid w:val="003C11C3"/>
    <w:rsid w:val="003C1232"/>
    <w:rsid w:val="003C12C6"/>
    <w:rsid w:val="003C130B"/>
    <w:rsid w:val="003C14A8"/>
    <w:rsid w:val="003C15DD"/>
    <w:rsid w:val="003C163E"/>
    <w:rsid w:val="003C16A9"/>
    <w:rsid w:val="003C17BE"/>
    <w:rsid w:val="003C192D"/>
    <w:rsid w:val="003C1938"/>
    <w:rsid w:val="003C193C"/>
    <w:rsid w:val="003C19DD"/>
    <w:rsid w:val="003C19ED"/>
    <w:rsid w:val="003C1AE2"/>
    <w:rsid w:val="003C1CAD"/>
    <w:rsid w:val="003C1CDC"/>
    <w:rsid w:val="003C1D5A"/>
    <w:rsid w:val="003C1E8D"/>
    <w:rsid w:val="003C205A"/>
    <w:rsid w:val="003C21A6"/>
    <w:rsid w:val="003C2212"/>
    <w:rsid w:val="003C22A5"/>
    <w:rsid w:val="003C22C8"/>
    <w:rsid w:val="003C2319"/>
    <w:rsid w:val="003C2326"/>
    <w:rsid w:val="003C2331"/>
    <w:rsid w:val="003C241E"/>
    <w:rsid w:val="003C26EF"/>
    <w:rsid w:val="003C2730"/>
    <w:rsid w:val="003C28C3"/>
    <w:rsid w:val="003C291A"/>
    <w:rsid w:val="003C294C"/>
    <w:rsid w:val="003C2A0F"/>
    <w:rsid w:val="003C2A2F"/>
    <w:rsid w:val="003C2AC4"/>
    <w:rsid w:val="003C2B94"/>
    <w:rsid w:val="003C2B9C"/>
    <w:rsid w:val="003C2C19"/>
    <w:rsid w:val="003C2C6E"/>
    <w:rsid w:val="003C2F08"/>
    <w:rsid w:val="003C2F30"/>
    <w:rsid w:val="003C3303"/>
    <w:rsid w:val="003C330B"/>
    <w:rsid w:val="003C3371"/>
    <w:rsid w:val="003C3452"/>
    <w:rsid w:val="003C3574"/>
    <w:rsid w:val="003C3712"/>
    <w:rsid w:val="003C381B"/>
    <w:rsid w:val="003C38B2"/>
    <w:rsid w:val="003C39C4"/>
    <w:rsid w:val="003C3A1F"/>
    <w:rsid w:val="003C3B06"/>
    <w:rsid w:val="003C405B"/>
    <w:rsid w:val="003C4229"/>
    <w:rsid w:val="003C4256"/>
    <w:rsid w:val="003C4359"/>
    <w:rsid w:val="003C441A"/>
    <w:rsid w:val="003C4480"/>
    <w:rsid w:val="003C44DC"/>
    <w:rsid w:val="003C469C"/>
    <w:rsid w:val="003C46CA"/>
    <w:rsid w:val="003C473E"/>
    <w:rsid w:val="003C4817"/>
    <w:rsid w:val="003C4837"/>
    <w:rsid w:val="003C4873"/>
    <w:rsid w:val="003C490D"/>
    <w:rsid w:val="003C49BD"/>
    <w:rsid w:val="003C4B60"/>
    <w:rsid w:val="003C4E6F"/>
    <w:rsid w:val="003C4EA7"/>
    <w:rsid w:val="003C4F7F"/>
    <w:rsid w:val="003C4F8F"/>
    <w:rsid w:val="003C5046"/>
    <w:rsid w:val="003C50E8"/>
    <w:rsid w:val="003C528C"/>
    <w:rsid w:val="003C52B7"/>
    <w:rsid w:val="003C56BD"/>
    <w:rsid w:val="003C56F4"/>
    <w:rsid w:val="003C5708"/>
    <w:rsid w:val="003C5751"/>
    <w:rsid w:val="003C57B2"/>
    <w:rsid w:val="003C5820"/>
    <w:rsid w:val="003C5961"/>
    <w:rsid w:val="003C5A45"/>
    <w:rsid w:val="003C5A8F"/>
    <w:rsid w:val="003C5C6E"/>
    <w:rsid w:val="003C5CD8"/>
    <w:rsid w:val="003C5D29"/>
    <w:rsid w:val="003C5DD7"/>
    <w:rsid w:val="003C5DF6"/>
    <w:rsid w:val="003C616B"/>
    <w:rsid w:val="003C6256"/>
    <w:rsid w:val="003C66A2"/>
    <w:rsid w:val="003C6913"/>
    <w:rsid w:val="003C69A7"/>
    <w:rsid w:val="003C6B47"/>
    <w:rsid w:val="003C6B59"/>
    <w:rsid w:val="003C6D4D"/>
    <w:rsid w:val="003C6DCA"/>
    <w:rsid w:val="003C6E63"/>
    <w:rsid w:val="003C70AB"/>
    <w:rsid w:val="003C7558"/>
    <w:rsid w:val="003C772F"/>
    <w:rsid w:val="003C774C"/>
    <w:rsid w:val="003C7789"/>
    <w:rsid w:val="003C7867"/>
    <w:rsid w:val="003C7A22"/>
    <w:rsid w:val="003C7B6C"/>
    <w:rsid w:val="003C7B6E"/>
    <w:rsid w:val="003C7B7A"/>
    <w:rsid w:val="003C7D19"/>
    <w:rsid w:val="003C7D52"/>
    <w:rsid w:val="003C7D9F"/>
    <w:rsid w:val="003C7DB7"/>
    <w:rsid w:val="003C7E42"/>
    <w:rsid w:val="003C7F88"/>
    <w:rsid w:val="003D0157"/>
    <w:rsid w:val="003D0252"/>
    <w:rsid w:val="003D0399"/>
    <w:rsid w:val="003D0480"/>
    <w:rsid w:val="003D04BD"/>
    <w:rsid w:val="003D05B7"/>
    <w:rsid w:val="003D0743"/>
    <w:rsid w:val="003D0777"/>
    <w:rsid w:val="003D0831"/>
    <w:rsid w:val="003D08BE"/>
    <w:rsid w:val="003D08DB"/>
    <w:rsid w:val="003D08FA"/>
    <w:rsid w:val="003D0970"/>
    <w:rsid w:val="003D0AE6"/>
    <w:rsid w:val="003D0C90"/>
    <w:rsid w:val="003D104A"/>
    <w:rsid w:val="003D1068"/>
    <w:rsid w:val="003D109B"/>
    <w:rsid w:val="003D117A"/>
    <w:rsid w:val="003D12EA"/>
    <w:rsid w:val="003D152C"/>
    <w:rsid w:val="003D15D1"/>
    <w:rsid w:val="003D15DE"/>
    <w:rsid w:val="003D1626"/>
    <w:rsid w:val="003D16FE"/>
    <w:rsid w:val="003D1820"/>
    <w:rsid w:val="003D19AF"/>
    <w:rsid w:val="003D19B5"/>
    <w:rsid w:val="003D1A84"/>
    <w:rsid w:val="003D1A8F"/>
    <w:rsid w:val="003D1B36"/>
    <w:rsid w:val="003D1BC2"/>
    <w:rsid w:val="003D1C37"/>
    <w:rsid w:val="003D1CDC"/>
    <w:rsid w:val="003D1E53"/>
    <w:rsid w:val="003D1F6F"/>
    <w:rsid w:val="003D1F9C"/>
    <w:rsid w:val="003D218F"/>
    <w:rsid w:val="003D228D"/>
    <w:rsid w:val="003D22F3"/>
    <w:rsid w:val="003D230D"/>
    <w:rsid w:val="003D2517"/>
    <w:rsid w:val="003D2565"/>
    <w:rsid w:val="003D257F"/>
    <w:rsid w:val="003D25C2"/>
    <w:rsid w:val="003D27E9"/>
    <w:rsid w:val="003D27FA"/>
    <w:rsid w:val="003D2802"/>
    <w:rsid w:val="003D299E"/>
    <w:rsid w:val="003D29E8"/>
    <w:rsid w:val="003D2A55"/>
    <w:rsid w:val="003D2C1D"/>
    <w:rsid w:val="003D2C38"/>
    <w:rsid w:val="003D2CE5"/>
    <w:rsid w:val="003D2EAD"/>
    <w:rsid w:val="003D2EEE"/>
    <w:rsid w:val="003D3272"/>
    <w:rsid w:val="003D3470"/>
    <w:rsid w:val="003D363B"/>
    <w:rsid w:val="003D3647"/>
    <w:rsid w:val="003D365A"/>
    <w:rsid w:val="003D36CD"/>
    <w:rsid w:val="003D3919"/>
    <w:rsid w:val="003D3B2C"/>
    <w:rsid w:val="003D3BFA"/>
    <w:rsid w:val="003D4197"/>
    <w:rsid w:val="003D4324"/>
    <w:rsid w:val="003D4529"/>
    <w:rsid w:val="003D4685"/>
    <w:rsid w:val="003D4707"/>
    <w:rsid w:val="003D472B"/>
    <w:rsid w:val="003D47B3"/>
    <w:rsid w:val="003D489D"/>
    <w:rsid w:val="003D4AD7"/>
    <w:rsid w:val="003D4C76"/>
    <w:rsid w:val="003D4D2C"/>
    <w:rsid w:val="003D4D78"/>
    <w:rsid w:val="003D4DDC"/>
    <w:rsid w:val="003D4E0A"/>
    <w:rsid w:val="003D500C"/>
    <w:rsid w:val="003D510F"/>
    <w:rsid w:val="003D51BA"/>
    <w:rsid w:val="003D52C5"/>
    <w:rsid w:val="003D5410"/>
    <w:rsid w:val="003D54EB"/>
    <w:rsid w:val="003D54FA"/>
    <w:rsid w:val="003D55E1"/>
    <w:rsid w:val="003D5601"/>
    <w:rsid w:val="003D56B2"/>
    <w:rsid w:val="003D5734"/>
    <w:rsid w:val="003D58FE"/>
    <w:rsid w:val="003D5C6F"/>
    <w:rsid w:val="003D5D06"/>
    <w:rsid w:val="003D5D1A"/>
    <w:rsid w:val="003D5E1D"/>
    <w:rsid w:val="003D5E5C"/>
    <w:rsid w:val="003D5F8D"/>
    <w:rsid w:val="003D5FA0"/>
    <w:rsid w:val="003D5FE8"/>
    <w:rsid w:val="003D60F4"/>
    <w:rsid w:val="003D63F0"/>
    <w:rsid w:val="003D641A"/>
    <w:rsid w:val="003D659F"/>
    <w:rsid w:val="003D65B8"/>
    <w:rsid w:val="003D65F8"/>
    <w:rsid w:val="003D668A"/>
    <w:rsid w:val="003D6BE1"/>
    <w:rsid w:val="003D6D7B"/>
    <w:rsid w:val="003D6E26"/>
    <w:rsid w:val="003D6F6F"/>
    <w:rsid w:val="003D709D"/>
    <w:rsid w:val="003D71EB"/>
    <w:rsid w:val="003D72F8"/>
    <w:rsid w:val="003D732E"/>
    <w:rsid w:val="003D733D"/>
    <w:rsid w:val="003D735E"/>
    <w:rsid w:val="003D74A2"/>
    <w:rsid w:val="003D76EE"/>
    <w:rsid w:val="003D772B"/>
    <w:rsid w:val="003D77E7"/>
    <w:rsid w:val="003D7871"/>
    <w:rsid w:val="003D7887"/>
    <w:rsid w:val="003D78A2"/>
    <w:rsid w:val="003D7955"/>
    <w:rsid w:val="003D7AC2"/>
    <w:rsid w:val="003D7B02"/>
    <w:rsid w:val="003D7C66"/>
    <w:rsid w:val="003D7E62"/>
    <w:rsid w:val="003E002B"/>
    <w:rsid w:val="003E005B"/>
    <w:rsid w:val="003E007D"/>
    <w:rsid w:val="003E0146"/>
    <w:rsid w:val="003E01B8"/>
    <w:rsid w:val="003E056F"/>
    <w:rsid w:val="003E0647"/>
    <w:rsid w:val="003E09DE"/>
    <w:rsid w:val="003E0A26"/>
    <w:rsid w:val="003E0A8E"/>
    <w:rsid w:val="003E0CC5"/>
    <w:rsid w:val="003E0CE4"/>
    <w:rsid w:val="003E0D49"/>
    <w:rsid w:val="003E1225"/>
    <w:rsid w:val="003E145C"/>
    <w:rsid w:val="003E150C"/>
    <w:rsid w:val="003E158B"/>
    <w:rsid w:val="003E166B"/>
    <w:rsid w:val="003E16EC"/>
    <w:rsid w:val="003E18DD"/>
    <w:rsid w:val="003E1901"/>
    <w:rsid w:val="003E1BAD"/>
    <w:rsid w:val="003E1C12"/>
    <w:rsid w:val="003E1E9C"/>
    <w:rsid w:val="003E2070"/>
    <w:rsid w:val="003E208D"/>
    <w:rsid w:val="003E20B6"/>
    <w:rsid w:val="003E21C1"/>
    <w:rsid w:val="003E21C2"/>
    <w:rsid w:val="003E21FA"/>
    <w:rsid w:val="003E2295"/>
    <w:rsid w:val="003E22CB"/>
    <w:rsid w:val="003E2303"/>
    <w:rsid w:val="003E2343"/>
    <w:rsid w:val="003E23E1"/>
    <w:rsid w:val="003E247F"/>
    <w:rsid w:val="003E24A3"/>
    <w:rsid w:val="003E279A"/>
    <w:rsid w:val="003E27AE"/>
    <w:rsid w:val="003E27EE"/>
    <w:rsid w:val="003E285D"/>
    <w:rsid w:val="003E28A8"/>
    <w:rsid w:val="003E2954"/>
    <w:rsid w:val="003E29D8"/>
    <w:rsid w:val="003E2A2D"/>
    <w:rsid w:val="003E2AC9"/>
    <w:rsid w:val="003E2B71"/>
    <w:rsid w:val="003E2E1F"/>
    <w:rsid w:val="003E2E9E"/>
    <w:rsid w:val="003E316C"/>
    <w:rsid w:val="003E31A9"/>
    <w:rsid w:val="003E3248"/>
    <w:rsid w:val="003E330E"/>
    <w:rsid w:val="003E34AD"/>
    <w:rsid w:val="003E34D7"/>
    <w:rsid w:val="003E3536"/>
    <w:rsid w:val="003E36B4"/>
    <w:rsid w:val="003E3719"/>
    <w:rsid w:val="003E3811"/>
    <w:rsid w:val="003E396C"/>
    <w:rsid w:val="003E39AB"/>
    <w:rsid w:val="003E3A73"/>
    <w:rsid w:val="003E3A79"/>
    <w:rsid w:val="003E3CEC"/>
    <w:rsid w:val="003E3DAD"/>
    <w:rsid w:val="003E3DB8"/>
    <w:rsid w:val="003E3E20"/>
    <w:rsid w:val="003E3E29"/>
    <w:rsid w:val="003E4021"/>
    <w:rsid w:val="003E406B"/>
    <w:rsid w:val="003E4244"/>
    <w:rsid w:val="003E426D"/>
    <w:rsid w:val="003E432D"/>
    <w:rsid w:val="003E433F"/>
    <w:rsid w:val="003E439D"/>
    <w:rsid w:val="003E44C5"/>
    <w:rsid w:val="003E44F4"/>
    <w:rsid w:val="003E46AD"/>
    <w:rsid w:val="003E47CA"/>
    <w:rsid w:val="003E48A0"/>
    <w:rsid w:val="003E48A6"/>
    <w:rsid w:val="003E49C1"/>
    <w:rsid w:val="003E4ADB"/>
    <w:rsid w:val="003E4B41"/>
    <w:rsid w:val="003E4B5E"/>
    <w:rsid w:val="003E4C6C"/>
    <w:rsid w:val="003E4CDC"/>
    <w:rsid w:val="003E4D4C"/>
    <w:rsid w:val="003E4F96"/>
    <w:rsid w:val="003E5380"/>
    <w:rsid w:val="003E5654"/>
    <w:rsid w:val="003E57EE"/>
    <w:rsid w:val="003E590A"/>
    <w:rsid w:val="003E593C"/>
    <w:rsid w:val="003E59E1"/>
    <w:rsid w:val="003E5AF1"/>
    <w:rsid w:val="003E5BC3"/>
    <w:rsid w:val="003E5C5B"/>
    <w:rsid w:val="003E5CCA"/>
    <w:rsid w:val="003E5D63"/>
    <w:rsid w:val="003E5DE2"/>
    <w:rsid w:val="003E5E9B"/>
    <w:rsid w:val="003E5F09"/>
    <w:rsid w:val="003E5F36"/>
    <w:rsid w:val="003E61FC"/>
    <w:rsid w:val="003E6336"/>
    <w:rsid w:val="003E63EE"/>
    <w:rsid w:val="003E64D4"/>
    <w:rsid w:val="003E657B"/>
    <w:rsid w:val="003E66EE"/>
    <w:rsid w:val="003E670A"/>
    <w:rsid w:val="003E6775"/>
    <w:rsid w:val="003E67A7"/>
    <w:rsid w:val="003E68B8"/>
    <w:rsid w:val="003E68C4"/>
    <w:rsid w:val="003E6910"/>
    <w:rsid w:val="003E6A63"/>
    <w:rsid w:val="003E6AA0"/>
    <w:rsid w:val="003E6E9D"/>
    <w:rsid w:val="003E6FBF"/>
    <w:rsid w:val="003E6FEE"/>
    <w:rsid w:val="003E725E"/>
    <w:rsid w:val="003E72A2"/>
    <w:rsid w:val="003E730A"/>
    <w:rsid w:val="003E73FB"/>
    <w:rsid w:val="003E7496"/>
    <w:rsid w:val="003E74F6"/>
    <w:rsid w:val="003E75CA"/>
    <w:rsid w:val="003E7773"/>
    <w:rsid w:val="003E777D"/>
    <w:rsid w:val="003E7782"/>
    <w:rsid w:val="003E7A19"/>
    <w:rsid w:val="003E7A6C"/>
    <w:rsid w:val="003E7A8D"/>
    <w:rsid w:val="003E7ABE"/>
    <w:rsid w:val="003E7BE4"/>
    <w:rsid w:val="003E7C76"/>
    <w:rsid w:val="003E7E12"/>
    <w:rsid w:val="003F000D"/>
    <w:rsid w:val="003F0311"/>
    <w:rsid w:val="003F0406"/>
    <w:rsid w:val="003F0507"/>
    <w:rsid w:val="003F06F5"/>
    <w:rsid w:val="003F0883"/>
    <w:rsid w:val="003F0956"/>
    <w:rsid w:val="003F09B9"/>
    <w:rsid w:val="003F09F7"/>
    <w:rsid w:val="003F0A33"/>
    <w:rsid w:val="003F0DF5"/>
    <w:rsid w:val="003F0F0E"/>
    <w:rsid w:val="003F0F92"/>
    <w:rsid w:val="003F0FA3"/>
    <w:rsid w:val="003F1034"/>
    <w:rsid w:val="003F10D3"/>
    <w:rsid w:val="003F115E"/>
    <w:rsid w:val="003F12C1"/>
    <w:rsid w:val="003F130F"/>
    <w:rsid w:val="003F146D"/>
    <w:rsid w:val="003F14C2"/>
    <w:rsid w:val="003F159F"/>
    <w:rsid w:val="003F17F5"/>
    <w:rsid w:val="003F17FC"/>
    <w:rsid w:val="003F18AB"/>
    <w:rsid w:val="003F18BE"/>
    <w:rsid w:val="003F18FA"/>
    <w:rsid w:val="003F192A"/>
    <w:rsid w:val="003F1954"/>
    <w:rsid w:val="003F1BC4"/>
    <w:rsid w:val="003F1BCF"/>
    <w:rsid w:val="003F1BDE"/>
    <w:rsid w:val="003F1CA8"/>
    <w:rsid w:val="003F1D6B"/>
    <w:rsid w:val="003F1D80"/>
    <w:rsid w:val="003F1D97"/>
    <w:rsid w:val="003F1E88"/>
    <w:rsid w:val="003F1EE7"/>
    <w:rsid w:val="003F2210"/>
    <w:rsid w:val="003F2363"/>
    <w:rsid w:val="003F25F0"/>
    <w:rsid w:val="003F2658"/>
    <w:rsid w:val="003F2780"/>
    <w:rsid w:val="003F27F4"/>
    <w:rsid w:val="003F288A"/>
    <w:rsid w:val="003F2AE2"/>
    <w:rsid w:val="003F2B6B"/>
    <w:rsid w:val="003F2C72"/>
    <w:rsid w:val="003F2CA8"/>
    <w:rsid w:val="003F2D4B"/>
    <w:rsid w:val="003F2E25"/>
    <w:rsid w:val="003F2F05"/>
    <w:rsid w:val="003F300E"/>
    <w:rsid w:val="003F3115"/>
    <w:rsid w:val="003F31BE"/>
    <w:rsid w:val="003F31D9"/>
    <w:rsid w:val="003F324A"/>
    <w:rsid w:val="003F3300"/>
    <w:rsid w:val="003F3305"/>
    <w:rsid w:val="003F33B0"/>
    <w:rsid w:val="003F342C"/>
    <w:rsid w:val="003F34BC"/>
    <w:rsid w:val="003F363D"/>
    <w:rsid w:val="003F371A"/>
    <w:rsid w:val="003F37B4"/>
    <w:rsid w:val="003F37D7"/>
    <w:rsid w:val="003F37DA"/>
    <w:rsid w:val="003F39A3"/>
    <w:rsid w:val="003F3AB1"/>
    <w:rsid w:val="003F3B26"/>
    <w:rsid w:val="003F3B27"/>
    <w:rsid w:val="003F3BDC"/>
    <w:rsid w:val="003F3D10"/>
    <w:rsid w:val="003F3DD8"/>
    <w:rsid w:val="003F3F48"/>
    <w:rsid w:val="003F4065"/>
    <w:rsid w:val="003F4090"/>
    <w:rsid w:val="003F40ED"/>
    <w:rsid w:val="003F4385"/>
    <w:rsid w:val="003F43E2"/>
    <w:rsid w:val="003F4447"/>
    <w:rsid w:val="003F44C8"/>
    <w:rsid w:val="003F4520"/>
    <w:rsid w:val="003F45FE"/>
    <w:rsid w:val="003F4638"/>
    <w:rsid w:val="003F4C39"/>
    <w:rsid w:val="003F4DA0"/>
    <w:rsid w:val="003F5174"/>
    <w:rsid w:val="003F535C"/>
    <w:rsid w:val="003F5369"/>
    <w:rsid w:val="003F5381"/>
    <w:rsid w:val="003F564A"/>
    <w:rsid w:val="003F5664"/>
    <w:rsid w:val="003F56A4"/>
    <w:rsid w:val="003F58B8"/>
    <w:rsid w:val="003F5A43"/>
    <w:rsid w:val="003F5B21"/>
    <w:rsid w:val="003F5DA4"/>
    <w:rsid w:val="003F6079"/>
    <w:rsid w:val="003F617D"/>
    <w:rsid w:val="003F622C"/>
    <w:rsid w:val="003F628E"/>
    <w:rsid w:val="003F644B"/>
    <w:rsid w:val="003F65EE"/>
    <w:rsid w:val="003F6680"/>
    <w:rsid w:val="003F66C0"/>
    <w:rsid w:val="003F6718"/>
    <w:rsid w:val="003F684D"/>
    <w:rsid w:val="003F686C"/>
    <w:rsid w:val="003F6A8B"/>
    <w:rsid w:val="003F6AB1"/>
    <w:rsid w:val="003F6AC8"/>
    <w:rsid w:val="003F6B97"/>
    <w:rsid w:val="003F6BB2"/>
    <w:rsid w:val="003F6C30"/>
    <w:rsid w:val="003F6C70"/>
    <w:rsid w:val="003F6DA5"/>
    <w:rsid w:val="003F6E48"/>
    <w:rsid w:val="003F6EB3"/>
    <w:rsid w:val="003F6EC1"/>
    <w:rsid w:val="003F703D"/>
    <w:rsid w:val="003F7196"/>
    <w:rsid w:val="003F71F2"/>
    <w:rsid w:val="003F71F5"/>
    <w:rsid w:val="003F724D"/>
    <w:rsid w:val="003F7259"/>
    <w:rsid w:val="003F7295"/>
    <w:rsid w:val="003F73BD"/>
    <w:rsid w:val="003F7401"/>
    <w:rsid w:val="003F75EF"/>
    <w:rsid w:val="003F776E"/>
    <w:rsid w:val="003F7898"/>
    <w:rsid w:val="003F790B"/>
    <w:rsid w:val="003F7A0A"/>
    <w:rsid w:val="003F7C3E"/>
    <w:rsid w:val="003F7CA4"/>
    <w:rsid w:val="003F7D00"/>
    <w:rsid w:val="003F7D28"/>
    <w:rsid w:val="003F7DCE"/>
    <w:rsid w:val="003F7DD8"/>
    <w:rsid w:val="003F7ECE"/>
    <w:rsid w:val="003F7EDC"/>
    <w:rsid w:val="003F7FA7"/>
    <w:rsid w:val="00400176"/>
    <w:rsid w:val="004004AC"/>
    <w:rsid w:val="0040050C"/>
    <w:rsid w:val="004008AF"/>
    <w:rsid w:val="004008B1"/>
    <w:rsid w:val="00400B4C"/>
    <w:rsid w:val="00400B5F"/>
    <w:rsid w:val="00400C38"/>
    <w:rsid w:val="00400C7C"/>
    <w:rsid w:val="00400D58"/>
    <w:rsid w:val="00400E0F"/>
    <w:rsid w:val="00400E93"/>
    <w:rsid w:val="00400F98"/>
    <w:rsid w:val="00400FA0"/>
    <w:rsid w:val="00401019"/>
    <w:rsid w:val="004010C6"/>
    <w:rsid w:val="004010CA"/>
    <w:rsid w:val="004010EA"/>
    <w:rsid w:val="0040112B"/>
    <w:rsid w:val="004012A1"/>
    <w:rsid w:val="004013CC"/>
    <w:rsid w:val="004013CF"/>
    <w:rsid w:val="0040156D"/>
    <w:rsid w:val="004016BA"/>
    <w:rsid w:val="0040191D"/>
    <w:rsid w:val="0040192F"/>
    <w:rsid w:val="00401A12"/>
    <w:rsid w:val="00401A31"/>
    <w:rsid w:val="00401CC2"/>
    <w:rsid w:val="00401CFC"/>
    <w:rsid w:val="00401DBF"/>
    <w:rsid w:val="00401E23"/>
    <w:rsid w:val="00401E45"/>
    <w:rsid w:val="00401E60"/>
    <w:rsid w:val="00401E9E"/>
    <w:rsid w:val="00401EDE"/>
    <w:rsid w:val="00402464"/>
    <w:rsid w:val="004027E6"/>
    <w:rsid w:val="00402834"/>
    <w:rsid w:val="00402889"/>
    <w:rsid w:val="004028EC"/>
    <w:rsid w:val="00402B20"/>
    <w:rsid w:val="00402E7B"/>
    <w:rsid w:val="00402EE8"/>
    <w:rsid w:val="00402FD0"/>
    <w:rsid w:val="00402FDA"/>
    <w:rsid w:val="0040307D"/>
    <w:rsid w:val="00403218"/>
    <w:rsid w:val="00403222"/>
    <w:rsid w:val="0040326C"/>
    <w:rsid w:val="004032D4"/>
    <w:rsid w:val="004032D5"/>
    <w:rsid w:val="004033D9"/>
    <w:rsid w:val="004037E7"/>
    <w:rsid w:val="00403933"/>
    <w:rsid w:val="00403A79"/>
    <w:rsid w:val="00403A7C"/>
    <w:rsid w:val="00403AF1"/>
    <w:rsid w:val="00403CEE"/>
    <w:rsid w:val="00403E21"/>
    <w:rsid w:val="00403F02"/>
    <w:rsid w:val="00404029"/>
    <w:rsid w:val="00404048"/>
    <w:rsid w:val="004040AD"/>
    <w:rsid w:val="004040AF"/>
    <w:rsid w:val="00404130"/>
    <w:rsid w:val="004041E3"/>
    <w:rsid w:val="004041F6"/>
    <w:rsid w:val="00404294"/>
    <w:rsid w:val="00404412"/>
    <w:rsid w:val="00404443"/>
    <w:rsid w:val="0040453B"/>
    <w:rsid w:val="004045D2"/>
    <w:rsid w:val="004045F2"/>
    <w:rsid w:val="00404697"/>
    <w:rsid w:val="0040485A"/>
    <w:rsid w:val="00404932"/>
    <w:rsid w:val="0040497D"/>
    <w:rsid w:val="00404A94"/>
    <w:rsid w:val="00404B98"/>
    <w:rsid w:val="00404D5A"/>
    <w:rsid w:val="00404D6A"/>
    <w:rsid w:val="00404D6B"/>
    <w:rsid w:val="00404FB2"/>
    <w:rsid w:val="0040502A"/>
    <w:rsid w:val="00405171"/>
    <w:rsid w:val="004052AE"/>
    <w:rsid w:val="00405400"/>
    <w:rsid w:val="00405487"/>
    <w:rsid w:val="0040551F"/>
    <w:rsid w:val="00405571"/>
    <w:rsid w:val="004055CC"/>
    <w:rsid w:val="004056FC"/>
    <w:rsid w:val="0040578A"/>
    <w:rsid w:val="004057ED"/>
    <w:rsid w:val="004058BA"/>
    <w:rsid w:val="00405DF5"/>
    <w:rsid w:val="00405E8A"/>
    <w:rsid w:val="00405FEE"/>
    <w:rsid w:val="0040606D"/>
    <w:rsid w:val="004060A7"/>
    <w:rsid w:val="0040610A"/>
    <w:rsid w:val="00406198"/>
    <w:rsid w:val="0040648F"/>
    <w:rsid w:val="004064EE"/>
    <w:rsid w:val="0040650A"/>
    <w:rsid w:val="00406512"/>
    <w:rsid w:val="0040651A"/>
    <w:rsid w:val="00406573"/>
    <w:rsid w:val="004065D2"/>
    <w:rsid w:val="00406657"/>
    <w:rsid w:val="0040675A"/>
    <w:rsid w:val="004067F4"/>
    <w:rsid w:val="00406A19"/>
    <w:rsid w:val="00406B1F"/>
    <w:rsid w:val="00406D6C"/>
    <w:rsid w:val="00406D73"/>
    <w:rsid w:val="00406E44"/>
    <w:rsid w:val="00406E57"/>
    <w:rsid w:val="00406EDA"/>
    <w:rsid w:val="00406F22"/>
    <w:rsid w:val="00406FEF"/>
    <w:rsid w:val="0040749F"/>
    <w:rsid w:val="004074E9"/>
    <w:rsid w:val="004076AA"/>
    <w:rsid w:val="0040771F"/>
    <w:rsid w:val="0040774B"/>
    <w:rsid w:val="0040774E"/>
    <w:rsid w:val="00407810"/>
    <w:rsid w:val="004078E2"/>
    <w:rsid w:val="00407BBA"/>
    <w:rsid w:val="00407C24"/>
    <w:rsid w:val="00407CE4"/>
    <w:rsid w:val="00407CE6"/>
    <w:rsid w:val="00407CF2"/>
    <w:rsid w:val="00407D9E"/>
    <w:rsid w:val="00407E7F"/>
    <w:rsid w:val="00407F50"/>
    <w:rsid w:val="00407FA9"/>
    <w:rsid w:val="00407FB1"/>
    <w:rsid w:val="00410048"/>
    <w:rsid w:val="00410059"/>
    <w:rsid w:val="004100B1"/>
    <w:rsid w:val="004101F2"/>
    <w:rsid w:val="004103CD"/>
    <w:rsid w:val="00410477"/>
    <w:rsid w:val="0041050D"/>
    <w:rsid w:val="0041055D"/>
    <w:rsid w:val="00410779"/>
    <w:rsid w:val="004109E3"/>
    <w:rsid w:val="00410A06"/>
    <w:rsid w:val="00410B7D"/>
    <w:rsid w:val="00410C99"/>
    <w:rsid w:val="00410D85"/>
    <w:rsid w:val="00410E4E"/>
    <w:rsid w:val="00410E5E"/>
    <w:rsid w:val="00410EFE"/>
    <w:rsid w:val="00411054"/>
    <w:rsid w:val="00411069"/>
    <w:rsid w:val="004111F7"/>
    <w:rsid w:val="00411241"/>
    <w:rsid w:val="0041130A"/>
    <w:rsid w:val="0041146E"/>
    <w:rsid w:val="004115E6"/>
    <w:rsid w:val="004116B4"/>
    <w:rsid w:val="0041177D"/>
    <w:rsid w:val="00411809"/>
    <w:rsid w:val="00411BB3"/>
    <w:rsid w:val="00411C89"/>
    <w:rsid w:val="00411D52"/>
    <w:rsid w:val="00411D64"/>
    <w:rsid w:val="00411FD8"/>
    <w:rsid w:val="0041204D"/>
    <w:rsid w:val="00412096"/>
    <w:rsid w:val="0041217D"/>
    <w:rsid w:val="004121D2"/>
    <w:rsid w:val="00412200"/>
    <w:rsid w:val="0041221A"/>
    <w:rsid w:val="0041221C"/>
    <w:rsid w:val="00412242"/>
    <w:rsid w:val="0041243A"/>
    <w:rsid w:val="004124D3"/>
    <w:rsid w:val="00412551"/>
    <w:rsid w:val="004125C6"/>
    <w:rsid w:val="004126E1"/>
    <w:rsid w:val="00412728"/>
    <w:rsid w:val="0041275F"/>
    <w:rsid w:val="0041279B"/>
    <w:rsid w:val="004127C2"/>
    <w:rsid w:val="004128DE"/>
    <w:rsid w:val="00412A96"/>
    <w:rsid w:val="00412E2D"/>
    <w:rsid w:val="00412ECA"/>
    <w:rsid w:val="00412EE2"/>
    <w:rsid w:val="00412F95"/>
    <w:rsid w:val="0041300C"/>
    <w:rsid w:val="00413137"/>
    <w:rsid w:val="004131A6"/>
    <w:rsid w:val="00413923"/>
    <w:rsid w:val="004139C1"/>
    <w:rsid w:val="004139E3"/>
    <w:rsid w:val="00413A09"/>
    <w:rsid w:val="00413A1E"/>
    <w:rsid w:val="00413A35"/>
    <w:rsid w:val="00413A61"/>
    <w:rsid w:val="00413AC2"/>
    <w:rsid w:val="00413BB5"/>
    <w:rsid w:val="00413BFC"/>
    <w:rsid w:val="00413DED"/>
    <w:rsid w:val="00413EA1"/>
    <w:rsid w:val="00413F48"/>
    <w:rsid w:val="00414029"/>
    <w:rsid w:val="00414050"/>
    <w:rsid w:val="0041413B"/>
    <w:rsid w:val="004142E3"/>
    <w:rsid w:val="0041451E"/>
    <w:rsid w:val="0041454C"/>
    <w:rsid w:val="004145B4"/>
    <w:rsid w:val="004145DA"/>
    <w:rsid w:val="00414601"/>
    <w:rsid w:val="00414633"/>
    <w:rsid w:val="00414646"/>
    <w:rsid w:val="0041468C"/>
    <w:rsid w:val="004147B2"/>
    <w:rsid w:val="0041489A"/>
    <w:rsid w:val="00414913"/>
    <w:rsid w:val="00414A7C"/>
    <w:rsid w:val="00415009"/>
    <w:rsid w:val="0041536F"/>
    <w:rsid w:val="004154F6"/>
    <w:rsid w:val="00415643"/>
    <w:rsid w:val="00415697"/>
    <w:rsid w:val="004158D6"/>
    <w:rsid w:val="004158F2"/>
    <w:rsid w:val="0041594A"/>
    <w:rsid w:val="0041597A"/>
    <w:rsid w:val="00415B9F"/>
    <w:rsid w:val="00415C17"/>
    <w:rsid w:val="00415EB1"/>
    <w:rsid w:val="00415EB2"/>
    <w:rsid w:val="00415F20"/>
    <w:rsid w:val="00416030"/>
    <w:rsid w:val="00416046"/>
    <w:rsid w:val="004160A7"/>
    <w:rsid w:val="004160D8"/>
    <w:rsid w:val="004161BC"/>
    <w:rsid w:val="004161D4"/>
    <w:rsid w:val="00416327"/>
    <w:rsid w:val="00416329"/>
    <w:rsid w:val="00416358"/>
    <w:rsid w:val="004163BB"/>
    <w:rsid w:val="0041648F"/>
    <w:rsid w:val="00416853"/>
    <w:rsid w:val="004168B9"/>
    <w:rsid w:val="0041690B"/>
    <w:rsid w:val="00416CF5"/>
    <w:rsid w:val="00416D32"/>
    <w:rsid w:val="00416D4D"/>
    <w:rsid w:val="00416D9C"/>
    <w:rsid w:val="00416E08"/>
    <w:rsid w:val="004171AC"/>
    <w:rsid w:val="00417309"/>
    <w:rsid w:val="00417398"/>
    <w:rsid w:val="00417474"/>
    <w:rsid w:val="004174B8"/>
    <w:rsid w:val="0041750C"/>
    <w:rsid w:val="0041752F"/>
    <w:rsid w:val="004175AC"/>
    <w:rsid w:val="004176CB"/>
    <w:rsid w:val="00417703"/>
    <w:rsid w:val="00417710"/>
    <w:rsid w:val="00417781"/>
    <w:rsid w:val="004177C9"/>
    <w:rsid w:val="00417848"/>
    <w:rsid w:val="004178EB"/>
    <w:rsid w:val="00417979"/>
    <w:rsid w:val="004179D5"/>
    <w:rsid w:val="00417BD6"/>
    <w:rsid w:val="00417C00"/>
    <w:rsid w:val="00417D22"/>
    <w:rsid w:val="00417DC3"/>
    <w:rsid w:val="00417DED"/>
    <w:rsid w:val="00417F46"/>
    <w:rsid w:val="00417F74"/>
    <w:rsid w:val="00417FA1"/>
    <w:rsid w:val="00420020"/>
    <w:rsid w:val="0042017A"/>
    <w:rsid w:val="004201AA"/>
    <w:rsid w:val="004201DD"/>
    <w:rsid w:val="00420249"/>
    <w:rsid w:val="0042029B"/>
    <w:rsid w:val="00420548"/>
    <w:rsid w:val="004205AF"/>
    <w:rsid w:val="00420681"/>
    <w:rsid w:val="00420768"/>
    <w:rsid w:val="00420A05"/>
    <w:rsid w:val="00420AC4"/>
    <w:rsid w:val="00420AF9"/>
    <w:rsid w:val="00420B3E"/>
    <w:rsid w:val="00420C02"/>
    <w:rsid w:val="00420C29"/>
    <w:rsid w:val="00420C84"/>
    <w:rsid w:val="00420E37"/>
    <w:rsid w:val="00420E85"/>
    <w:rsid w:val="0042114D"/>
    <w:rsid w:val="00421279"/>
    <w:rsid w:val="0042142A"/>
    <w:rsid w:val="00421499"/>
    <w:rsid w:val="004215BF"/>
    <w:rsid w:val="004215E9"/>
    <w:rsid w:val="004217A0"/>
    <w:rsid w:val="004217F7"/>
    <w:rsid w:val="0042183B"/>
    <w:rsid w:val="004218E8"/>
    <w:rsid w:val="0042194C"/>
    <w:rsid w:val="004219BE"/>
    <w:rsid w:val="00421A78"/>
    <w:rsid w:val="00421A89"/>
    <w:rsid w:val="00421CA3"/>
    <w:rsid w:val="00421D56"/>
    <w:rsid w:val="00421D76"/>
    <w:rsid w:val="00421D7E"/>
    <w:rsid w:val="00421D98"/>
    <w:rsid w:val="00421DC6"/>
    <w:rsid w:val="00421EBC"/>
    <w:rsid w:val="00421F45"/>
    <w:rsid w:val="00421FB2"/>
    <w:rsid w:val="00422027"/>
    <w:rsid w:val="0042202A"/>
    <w:rsid w:val="004220E6"/>
    <w:rsid w:val="0042229B"/>
    <w:rsid w:val="0042238F"/>
    <w:rsid w:val="004223C7"/>
    <w:rsid w:val="0042251C"/>
    <w:rsid w:val="0042254B"/>
    <w:rsid w:val="004225D9"/>
    <w:rsid w:val="00422627"/>
    <w:rsid w:val="00422722"/>
    <w:rsid w:val="0042282A"/>
    <w:rsid w:val="00422913"/>
    <w:rsid w:val="00422A5E"/>
    <w:rsid w:val="00422A87"/>
    <w:rsid w:val="00422C4C"/>
    <w:rsid w:val="00422CCB"/>
    <w:rsid w:val="00422D53"/>
    <w:rsid w:val="00422FDD"/>
    <w:rsid w:val="0042304B"/>
    <w:rsid w:val="0042304E"/>
    <w:rsid w:val="00423112"/>
    <w:rsid w:val="0042328D"/>
    <w:rsid w:val="004232A7"/>
    <w:rsid w:val="00423354"/>
    <w:rsid w:val="004233E7"/>
    <w:rsid w:val="004234F4"/>
    <w:rsid w:val="004238A4"/>
    <w:rsid w:val="004238FA"/>
    <w:rsid w:val="00423902"/>
    <w:rsid w:val="00423920"/>
    <w:rsid w:val="00423A74"/>
    <w:rsid w:val="00423B50"/>
    <w:rsid w:val="00423D09"/>
    <w:rsid w:val="00423EB5"/>
    <w:rsid w:val="00423EEB"/>
    <w:rsid w:val="00423F44"/>
    <w:rsid w:val="00424012"/>
    <w:rsid w:val="00424084"/>
    <w:rsid w:val="0042421B"/>
    <w:rsid w:val="0042443B"/>
    <w:rsid w:val="00424656"/>
    <w:rsid w:val="004246E6"/>
    <w:rsid w:val="0042471D"/>
    <w:rsid w:val="0042492D"/>
    <w:rsid w:val="00424985"/>
    <w:rsid w:val="00424B80"/>
    <w:rsid w:val="00424C24"/>
    <w:rsid w:val="00424CF6"/>
    <w:rsid w:val="00424D52"/>
    <w:rsid w:val="00424D7F"/>
    <w:rsid w:val="00424F59"/>
    <w:rsid w:val="0042511B"/>
    <w:rsid w:val="004255DA"/>
    <w:rsid w:val="004256FB"/>
    <w:rsid w:val="004258B0"/>
    <w:rsid w:val="0042592F"/>
    <w:rsid w:val="004259C5"/>
    <w:rsid w:val="004259E2"/>
    <w:rsid w:val="00425A35"/>
    <w:rsid w:val="00425A3F"/>
    <w:rsid w:val="00425B25"/>
    <w:rsid w:val="00425B98"/>
    <w:rsid w:val="00425BC6"/>
    <w:rsid w:val="00425D26"/>
    <w:rsid w:val="00425D63"/>
    <w:rsid w:val="00425EB1"/>
    <w:rsid w:val="00425EF4"/>
    <w:rsid w:val="00425EF8"/>
    <w:rsid w:val="00425F44"/>
    <w:rsid w:val="00425F48"/>
    <w:rsid w:val="00425F92"/>
    <w:rsid w:val="00425FA8"/>
    <w:rsid w:val="0042654A"/>
    <w:rsid w:val="00426673"/>
    <w:rsid w:val="00426819"/>
    <w:rsid w:val="004268AE"/>
    <w:rsid w:val="00426A3F"/>
    <w:rsid w:val="00426ACE"/>
    <w:rsid w:val="00426BB0"/>
    <w:rsid w:val="00426C35"/>
    <w:rsid w:val="00426CAB"/>
    <w:rsid w:val="00426CE7"/>
    <w:rsid w:val="00426F67"/>
    <w:rsid w:val="00426F7A"/>
    <w:rsid w:val="00426FE0"/>
    <w:rsid w:val="0042713E"/>
    <w:rsid w:val="004273AD"/>
    <w:rsid w:val="0042748F"/>
    <w:rsid w:val="004274A4"/>
    <w:rsid w:val="004274CA"/>
    <w:rsid w:val="004275C9"/>
    <w:rsid w:val="004276E8"/>
    <w:rsid w:val="00427703"/>
    <w:rsid w:val="0042770D"/>
    <w:rsid w:val="004277FB"/>
    <w:rsid w:val="004278B9"/>
    <w:rsid w:val="00427944"/>
    <w:rsid w:val="00427981"/>
    <w:rsid w:val="004279F7"/>
    <w:rsid w:val="00427A0A"/>
    <w:rsid w:val="00427A3E"/>
    <w:rsid w:val="00427AAD"/>
    <w:rsid w:val="00427CE6"/>
    <w:rsid w:val="00427EE7"/>
    <w:rsid w:val="004300F4"/>
    <w:rsid w:val="0043029E"/>
    <w:rsid w:val="004302D7"/>
    <w:rsid w:val="004302FD"/>
    <w:rsid w:val="0043037D"/>
    <w:rsid w:val="00430430"/>
    <w:rsid w:val="004305AE"/>
    <w:rsid w:val="00430636"/>
    <w:rsid w:val="004306F4"/>
    <w:rsid w:val="004308DF"/>
    <w:rsid w:val="00430925"/>
    <w:rsid w:val="004309C3"/>
    <w:rsid w:val="00430A4D"/>
    <w:rsid w:val="00430A54"/>
    <w:rsid w:val="00430AF2"/>
    <w:rsid w:val="00430B53"/>
    <w:rsid w:val="00430DC5"/>
    <w:rsid w:val="00430E3A"/>
    <w:rsid w:val="00430E9C"/>
    <w:rsid w:val="00430FB7"/>
    <w:rsid w:val="00431159"/>
    <w:rsid w:val="0043125C"/>
    <w:rsid w:val="00431521"/>
    <w:rsid w:val="00431557"/>
    <w:rsid w:val="0043164E"/>
    <w:rsid w:val="0043169F"/>
    <w:rsid w:val="00431800"/>
    <w:rsid w:val="00431875"/>
    <w:rsid w:val="004318EA"/>
    <w:rsid w:val="00431BB5"/>
    <w:rsid w:val="00431BC5"/>
    <w:rsid w:val="00431BCF"/>
    <w:rsid w:val="00431BFE"/>
    <w:rsid w:val="00431C13"/>
    <w:rsid w:val="00431CF4"/>
    <w:rsid w:val="00431F1F"/>
    <w:rsid w:val="00432242"/>
    <w:rsid w:val="00432286"/>
    <w:rsid w:val="004322FA"/>
    <w:rsid w:val="00432323"/>
    <w:rsid w:val="004324EF"/>
    <w:rsid w:val="004326B1"/>
    <w:rsid w:val="00432A40"/>
    <w:rsid w:val="00432CB6"/>
    <w:rsid w:val="00432D2C"/>
    <w:rsid w:val="00432D62"/>
    <w:rsid w:val="00432DDE"/>
    <w:rsid w:val="00432E21"/>
    <w:rsid w:val="00432E41"/>
    <w:rsid w:val="00432F37"/>
    <w:rsid w:val="00433247"/>
    <w:rsid w:val="00433408"/>
    <w:rsid w:val="00433519"/>
    <w:rsid w:val="00433541"/>
    <w:rsid w:val="00433750"/>
    <w:rsid w:val="004337C5"/>
    <w:rsid w:val="00433813"/>
    <w:rsid w:val="004338CC"/>
    <w:rsid w:val="00433912"/>
    <w:rsid w:val="00433A19"/>
    <w:rsid w:val="00433AF7"/>
    <w:rsid w:val="00433C23"/>
    <w:rsid w:val="00433D4C"/>
    <w:rsid w:val="00433DC5"/>
    <w:rsid w:val="00433DEE"/>
    <w:rsid w:val="0043404F"/>
    <w:rsid w:val="004340DA"/>
    <w:rsid w:val="00434363"/>
    <w:rsid w:val="0043444C"/>
    <w:rsid w:val="004345CA"/>
    <w:rsid w:val="004345EB"/>
    <w:rsid w:val="00434627"/>
    <w:rsid w:val="00434640"/>
    <w:rsid w:val="004346CF"/>
    <w:rsid w:val="0043498A"/>
    <w:rsid w:val="00434AEB"/>
    <w:rsid w:val="00434D67"/>
    <w:rsid w:val="00434E2C"/>
    <w:rsid w:val="00434EE9"/>
    <w:rsid w:val="00434F8D"/>
    <w:rsid w:val="00434FD8"/>
    <w:rsid w:val="0043506F"/>
    <w:rsid w:val="00435071"/>
    <w:rsid w:val="0043508E"/>
    <w:rsid w:val="00435167"/>
    <w:rsid w:val="00435269"/>
    <w:rsid w:val="00435456"/>
    <w:rsid w:val="0043562F"/>
    <w:rsid w:val="00435652"/>
    <w:rsid w:val="004356EC"/>
    <w:rsid w:val="004359B2"/>
    <w:rsid w:val="00435A7B"/>
    <w:rsid w:val="00435E91"/>
    <w:rsid w:val="00435EB7"/>
    <w:rsid w:val="00436012"/>
    <w:rsid w:val="004360E8"/>
    <w:rsid w:val="0043615F"/>
    <w:rsid w:val="00436163"/>
    <w:rsid w:val="0043626D"/>
    <w:rsid w:val="00436289"/>
    <w:rsid w:val="00436363"/>
    <w:rsid w:val="004363D7"/>
    <w:rsid w:val="00436514"/>
    <w:rsid w:val="0043651F"/>
    <w:rsid w:val="0043652C"/>
    <w:rsid w:val="0043654C"/>
    <w:rsid w:val="004365EC"/>
    <w:rsid w:val="0043662A"/>
    <w:rsid w:val="004366F5"/>
    <w:rsid w:val="0043673B"/>
    <w:rsid w:val="004367F7"/>
    <w:rsid w:val="00436867"/>
    <w:rsid w:val="004368F3"/>
    <w:rsid w:val="004369A8"/>
    <w:rsid w:val="00436A34"/>
    <w:rsid w:val="00436B77"/>
    <w:rsid w:val="00436BEE"/>
    <w:rsid w:val="00436C99"/>
    <w:rsid w:val="00436F28"/>
    <w:rsid w:val="00437359"/>
    <w:rsid w:val="0043745D"/>
    <w:rsid w:val="0043763A"/>
    <w:rsid w:val="0043764A"/>
    <w:rsid w:val="00437826"/>
    <w:rsid w:val="0043785B"/>
    <w:rsid w:val="00437ACD"/>
    <w:rsid w:val="00437C01"/>
    <w:rsid w:val="00437D63"/>
    <w:rsid w:val="00437F10"/>
    <w:rsid w:val="00437F28"/>
    <w:rsid w:val="00437F42"/>
    <w:rsid w:val="00437F66"/>
    <w:rsid w:val="00437FA2"/>
    <w:rsid w:val="004401A1"/>
    <w:rsid w:val="004401CE"/>
    <w:rsid w:val="004401F6"/>
    <w:rsid w:val="00440235"/>
    <w:rsid w:val="004403D4"/>
    <w:rsid w:val="00440506"/>
    <w:rsid w:val="00440694"/>
    <w:rsid w:val="004406D8"/>
    <w:rsid w:val="004406DD"/>
    <w:rsid w:val="0044070F"/>
    <w:rsid w:val="00440857"/>
    <w:rsid w:val="00440963"/>
    <w:rsid w:val="00440B19"/>
    <w:rsid w:val="00440B67"/>
    <w:rsid w:val="00440B9D"/>
    <w:rsid w:val="00440C81"/>
    <w:rsid w:val="00440CBF"/>
    <w:rsid w:val="00440D61"/>
    <w:rsid w:val="00440E0F"/>
    <w:rsid w:val="00441140"/>
    <w:rsid w:val="004411A3"/>
    <w:rsid w:val="004412C7"/>
    <w:rsid w:val="00441480"/>
    <w:rsid w:val="00441592"/>
    <w:rsid w:val="0044160E"/>
    <w:rsid w:val="004416AA"/>
    <w:rsid w:val="004418D8"/>
    <w:rsid w:val="00441C75"/>
    <w:rsid w:val="00442305"/>
    <w:rsid w:val="004423F7"/>
    <w:rsid w:val="00442429"/>
    <w:rsid w:val="004424AF"/>
    <w:rsid w:val="004425AF"/>
    <w:rsid w:val="0044275B"/>
    <w:rsid w:val="004427B0"/>
    <w:rsid w:val="00442950"/>
    <w:rsid w:val="00442A49"/>
    <w:rsid w:val="00442C55"/>
    <w:rsid w:val="00442D7E"/>
    <w:rsid w:val="00442DAA"/>
    <w:rsid w:val="00442E57"/>
    <w:rsid w:val="004430B7"/>
    <w:rsid w:val="004430C4"/>
    <w:rsid w:val="0044332D"/>
    <w:rsid w:val="0044346B"/>
    <w:rsid w:val="00443472"/>
    <w:rsid w:val="004434F9"/>
    <w:rsid w:val="004438B6"/>
    <w:rsid w:val="00443B3F"/>
    <w:rsid w:val="00443C01"/>
    <w:rsid w:val="00443C4E"/>
    <w:rsid w:val="00443C8C"/>
    <w:rsid w:val="00443CF3"/>
    <w:rsid w:val="00443D4E"/>
    <w:rsid w:val="00443DE5"/>
    <w:rsid w:val="00443F4C"/>
    <w:rsid w:val="004440FB"/>
    <w:rsid w:val="004442DD"/>
    <w:rsid w:val="00444374"/>
    <w:rsid w:val="00444397"/>
    <w:rsid w:val="00444523"/>
    <w:rsid w:val="0044457A"/>
    <w:rsid w:val="004446B9"/>
    <w:rsid w:val="00444759"/>
    <w:rsid w:val="00444848"/>
    <w:rsid w:val="00444876"/>
    <w:rsid w:val="004448AF"/>
    <w:rsid w:val="004448C4"/>
    <w:rsid w:val="00444A9A"/>
    <w:rsid w:val="00444AAD"/>
    <w:rsid w:val="00444B08"/>
    <w:rsid w:val="00444BBB"/>
    <w:rsid w:val="00444C99"/>
    <w:rsid w:val="00444CC5"/>
    <w:rsid w:val="00444DA9"/>
    <w:rsid w:val="00444DED"/>
    <w:rsid w:val="00444E49"/>
    <w:rsid w:val="00444F58"/>
    <w:rsid w:val="0044508E"/>
    <w:rsid w:val="00445252"/>
    <w:rsid w:val="00445289"/>
    <w:rsid w:val="004455E4"/>
    <w:rsid w:val="00445609"/>
    <w:rsid w:val="00445632"/>
    <w:rsid w:val="0044565A"/>
    <w:rsid w:val="00445692"/>
    <w:rsid w:val="0044576C"/>
    <w:rsid w:val="004457E5"/>
    <w:rsid w:val="004459CF"/>
    <w:rsid w:val="00445A5A"/>
    <w:rsid w:val="00445C0A"/>
    <w:rsid w:val="00445C37"/>
    <w:rsid w:val="00445D2B"/>
    <w:rsid w:val="00445DF9"/>
    <w:rsid w:val="004460B7"/>
    <w:rsid w:val="00446186"/>
    <w:rsid w:val="00446686"/>
    <w:rsid w:val="00446815"/>
    <w:rsid w:val="00446874"/>
    <w:rsid w:val="0044690B"/>
    <w:rsid w:val="0044692E"/>
    <w:rsid w:val="00446AEC"/>
    <w:rsid w:val="00446BA4"/>
    <w:rsid w:val="00446BBE"/>
    <w:rsid w:val="00446C60"/>
    <w:rsid w:val="00446C6B"/>
    <w:rsid w:val="00446C7F"/>
    <w:rsid w:val="00446CE3"/>
    <w:rsid w:val="00446DA3"/>
    <w:rsid w:val="00446EFD"/>
    <w:rsid w:val="00446F83"/>
    <w:rsid w:val="00447308"/>
    <w:rsid w:val="004473E3"/>
    <w:rsid w:val="0044741F"/>
    <w:rsid w:val="004474CE"/>
    <w:rsid w:val="004476CD"/>
    <w:rsid w:val="0044773B"/>
    <w:rsid w:val="0044782C"/>
    <w:rsid w:val="004479E3"/>
    <w:rsid w:val="00447C3E"/>
    <w:rsid w:val="00447CC3"/>
    <w:rsid w:val="00447D39"/>
    <w:rsid w:val="00447F84"/>
    <w:rsid w:val="004500F0"/>
    <w:rsid w:val="004501CA"/>
    <w:rsid w:val="004501F8"/>
    <w:rsid w:val="00450266"/>
    <w:rsid w:val="004505E1"/>
    <w:rsid w:val="004506BC"/>
    <w:rsid w:val="004507ED"/>
    <w:rsid w:val="004508F8"/>
    <w:rsid w:val="0045093D"/>
    <w:rsid w:val="00450A0D"/>
    <w:rsid w:val="00450B28"/>
    <w:rsid w:val="00450BFF"/>
    <w:rsid w:val="00450C7E"/>
    <w:rsid w:val="00450D80"/>
    <w:rsid w:val="00450DA8"/>
    <w:rsid w:val="00450DF7"/>
    <w:rsid w:val="00450E13"/>
    <w:rsid w:val="00450F44"/>
    <w:rsid w:val="00451037"/>
    <w:rsid w:val="004510B8"/>
    <w:rsid w:val="00451143"/>
    <w:rsid w:val="0045117C"/>
    <w:rsid w:val="004512D3"/>
    <w:rsid w:val="004514AB"/>
    <w:rsid w:val="0045153A"/>
    <w:rsid w:val="004515AA"/>
    <w:rsid w:val="004515FE"/>
    <w:rsid w:val="00451645"/>
    <w:rsid w:val="004517CA"/>
    <w:rsid w:val="004518A1"/>
    <w:rsid w:val="00451CF1"/>
    <w:rsid w:val="00451E08"/>
    <w:rsid w:val="00452193"/>
    <w:rsid w:val="004521FD"/>
    <w:rsid w:val="00452278"/>
    <w:rsid w:val="004527C7"/>
    <w:rsid w:val="004527F5"/>
    <w:rsid w:val="00452B96"/>
    <w:rsid w:val="00452C23"/>
    <w:rsid w:val="00452CB5"/>
    <w:rsid w:val="00452CD2"/>
    <w:rsid w:val="00452D67"/>
    <w:rsid w:val="00452F2E"/>
    <w:rsid w:val="0045314F"/>
    <w:rsid w:val="0045320D"/>
    <w:rsid w:val="00453252"/>
    <w:rsid w:val="004532D9"/>
    <w:rsid w:val="0045333D"/>
    <w:rsid w:val="00453357"/>
    <w:rsid w:val="00453462"/>
    <w:rsid w:val="004534D8"/>
    <w:rsid w:val="00453695"/>
    <w:rsid w:val="00453746"/>
    <w:rsid w:val="00453766"/>
    <w:rsid w:val="0045376A"/>
    <w:rsid w:val="0045378B"/>
    <w:rsid w:val="004537FA"/>
    <w:rsid w:val="004537FE"/>
    <w:rsid w:val="00453867"/>
    <w:rsid w:val="00453926"/>
    <w:rsid w:val="00453A5F"/>
    <w:rsid w:val="00453C1F"/>
    <w:rsid w:val="00453D1A"/>
    <w:rsid w:val="00453D3C"/>
    <w:rsid w:val="00453DC3"/>
    <w:rsid w:val="00454381"/>
    <w:rsid w:val="0045438A"/>
    <w:rsid w:val="004545A6"/>
    <w:rsid w:val="00454662"/>
    <w:rsid w:val="00454733"/>
    <w:rsid w:val="00454777"/>
    <w:rsid w:val="00454877"/>
    <w:rsid w:val="00454916"/>
    <w:rsid w:val="0045494F"/>
    <w:rsid w:val="00454A20"/>
    <w:rsid w:val="00454BA1"/>
    <w:rsid w:val="00454D80"/>
    <w:rsid w:val="00454E26"/>
    <w:rsid w:val="00454F1C"/>
    <w:rsid w:val="00454F8E"/>
    <w:rsid w:val="00454FCF"/>
    <w:rsid w:val="00455073"/>
    <w:rsid w:val="0045520A"/>
    <w:rsid w:val="00455250"/>
    <w:rsid w:val="004552A7"/>
    <w:rsid w:val="004554F1"/>
    <w:rsid w:val="0045554E"/>
    <w:rsid w:val="0045556E"/>
    <w:rsid w:val="00455574"/>
    <w:rsid w:val="00455620"/>
    <w:rsid w:val="00455743"/>
    <w:rsid w:val="00455787"/>
    <w:rsid w:val="00455815"/>
    <w:rsid w:val="00455849"/>
    <w:rsid w:val="00455967"/>
    <w:rsid w:val="00455A13"/>
    <w:rsid w:val="00455D35"/>
    <w:rsid w:val="00455D88"/>
    <w:rsid w:val="00455E4C"/>
    <w:rsid w:val="00455EA6"/>
    <w:rsid w:val="00455EB7"/>
    <w:rsid w:val="00456035"/>
    <w:rsid w:val="004560C5"/>
    <w:rsid w:val="00456502"/>
    <w:rsid w:val="0045662A"/>
    <w:rsid w:val="0045664F"/>
    <w:rsid w:val="0045678D"/>
    <w:rsid w:val="00456848"/>
    <w:rsid w:val="004568AC"/>
    <w:rsid w:val="00456902"/>
    <w:rsid w:val="004569DE"/>
    <w:rsid w:val="004569F2"/>
    <w:rsid w:val="00456AEE"/>
    <w:rsid w:val="00456C67"/>
    <w:rsid w:val="00456D22"/>
    <w:rsid w:val="00456EB0"/>
    <w:rsid w:val="00456FFD"/>
    <w:rsid w:val="00457092"/>
    <w:rsid w:val="0045720F"/>
    <w:rsid w:val="004573BA"/>
    <w:rsid w:val="004574AB"/>
    <w:rsid w:val="0045765B"/>
    <w:rsid w:val="004577A6"/>
    <w:rsid w:val="004578D8"/>
    <w:rsid w:val="00457A3B"/>
    <w:rsid w:val="00457BBB"/>
    <w:rsid w:val="00457BEC"/>
    <w:rsid w:val="00457BFA"/>
    <w:rsid w:val="00457C40"/>
    <w:rsid w:val="00457CBD"/>
    <w:rsid w:val="00457D4F"/>
    <w:rsid w:val="00457D78"/>
    <w:rsid w:val="00457D93"/>
    <w:rsid w:val="00457E82"/>
    <w:rsid w:val="00457F0B"/>
    <w:rsid w:val="00457F8E"/>
    <w:rsid w:val="004600C5"/>
    <w:rsid w:val="0046014E"/>
    <w:rsid w:val="00460296"/>
    <w:rsid w:val="004603B3"/>
    <w:rsid w:val="0046048F"/>
    <w:rsid w:val="004604EF"/>
    <w:rsid w:val="00460668"/>
    <w:rsid w:val="00460764"/>
    <w:rsid w:val="00460783"/>
    <w:rsid w:val="004607DB"/>
    <w:rsid w:val="004608DC"/>
    <w:rsid w:val="0046096A"/>
    <w:rsid w:val="004609CF"/>
    <w:rsid w:val="00460B44"/>
    <w:rsid w:val="00460B83"/>
    <w:rsid w:val="00460BB0"/>
    <w:rsid w:val="00460D98"/>
    <w:rsid w:val="00460DB3"/>
    <w:rsid w:val="004610F0"/>
    <w:rsid w:val="00461135"/>
    <w:rsid w:val="00461189"/>
    <w:rsid w:val="004611A6"/>
    <w:rsid w:val="0046122A"/>
    <w:rsid w:val="0046122E"/>
    <w:rsid w:val="00461251"/>
    <w:rsid w:val="00461342"/>
    <w:rsid w:val="00461361"/>
    <w:rsid w:val="00461365"/>
    <w:rsid w:val="004615CF"/>
    <w:rsid w:val="004615FF"/>
    <w:rsid w:val="00461845"/>
    <w:rsid w:val="00461853"/>
    <w:rsid w:val="004618BF"/>
    <w:rsid w:val="004618FA"/>
    <w:rsid w:val="00461924"/>
    <w:rsid w:val="00461937"/>
    <w:rsid w:val="00461A24"/>
    <w:rsid w:val="00461B26"/>
    <w:rsid w:val="00461B7E"/>
    <w:rsid w:val="00461D4A"/>
    <w:rsid w:val="00461DD6"/>
    <w:rsid w:val="00461F1A"/>
    <w:rsid w:val="00462065"/>
    <w:rsid w:val="004621BC"/>
    <w:rsid w:val="004621FE"/>
    <w:rsid w:val="004622C2"/>
    <w:rsid w:val="00462514"/>
    <w:rsid w:val="004626A2"/>
    <w:rsid w:val="004626AF"/>
    <w:rsid w:val="004626D1"/>
    <w:rsid w:val="00462778"/>
    <w:rsid w:val="004628B6"/>
    <w:rsid w:val="0046299F"/>
    <w:rsid w:val="00462BCB"/>
    <w:rsid w:val="00462D69"/>
    <w:rsid w:val="00462E5A"/>
    <w:rsid w:val="00462EBE"/>
    <w:rsid w:val="00463082"/>
    <w:rsid w:val="004630F5"/>
    <w:rsid w:val="0046314F"/>
    <w:rsid w:val="00463169"/>
    <w:rsid w:val="004631E9"/>
    <w:rsid w:val="00463228"/>
    <w:rsid w:val="00463250"/>
    <w:rsid w:val="00463307"/>
    <w:rsid w:val="004633EE"/>
    <w:rsid w:val="0046349E"/>
    <w:rsid w:val="004634A1"/>
    <w:rsid w:val="00463571"/>
    <w:rsid w:val="00463596"/>
    <w:rsid w:val="0046359A"/>
    <w:rsid w:val="004635D4"/>
    <w:rsid w:val="004636FE"/>
    <w:rsid w:val="00463742"/>
    <w:rsid w:val="004637B1"/>
    <w:rsid w:val="004638D2"/>
    <w:rsid w:val="00463921"/>
    <w:rsid w:val="00463EAA"/>
    <w:rsid w:val="00463EF6"/>
    <w:rsid w:val="00464073"/>
    <w:rsid w:val="00464171"/>
    <w:rsid w:val="00464194"/>
    <w:rsid w:val="00464246"/>
    <w:rsid w:val="004642EC"/>
    <w:rsid w:val="00464379"/>
    <w:rsid w:val="0046450F"/>
    <w:rsid w:val="004645DF"/>
    <w:rsid w:val="00464722"/>
    <w:rsid w:val="00464843"/>
    <w:rsid w:val="004648AB"/>
    <w:rsid w:val="004648FB"/>
    <w:rsid w:val="0046495F"/>
    <w:rsid w:val="00464A89"/>
    <w:rsid w:val="00464A8F"/>
    <w:rsid w:val="00464AD8"/>
    <w:rsid w:val="00464B7C"/>
    <w:rsid w:val="00464BC2"/>
    <w:rsid w:val="00464BF7"/>
    <w:rsid w:val="00464C2F"/>
    <w:rsid w:val="00464CE6"/>
    <w:rsid w:val="00464D57"/>
    <w:rsid w:val="00464E1F"/>
    <w:rsid w:val="00464EA7"/>
    <w:rsid w:val="00464F6C"/>
    <w:rsid w:val="00465136"/>
    <w:rsid w:val="00465166"/>
    <w:rsid w:val="004651D2"/>
    <w:rsid w:val="004651D5"/>
    <w:rsid w:val="00465215"/>
    <w:rsid w:val="004652BD"/>
    <w:rsid w:val="004652F8"/>
    <w:rsid w:val="004655D5"/>
    <w:rsid w:val="00465889"/>
    <w:rsid w:val="00465980"/>
    <w:rsid w:val="00465D4A"/>
    <w:rsid w:val="004661F5"/>
    <w:rsid w:val="004662D7"/>
    <w:rsid w:val="004663A0"/>
    <w:rsid w:val="004663DB"/>
    <w:rsid w:val="00466459"/>
    <w:rsid w:val="004664BE"/>
    <w:rsid w:val="004665D6"/>
    <w:rsid w:val="00466668"/>
    <w:rsid w:val="004669C5"/>
    <w:rsid w:val="00466A1D"/>
    <w:rsid w:val="00466AB1"/>
    <w:rsid w:val="00466B8D"/>
    <w:rsid w:val="00466C18"/>
    <w:rsid w:val="00466C76"/>
    <w:rsid w:val="00466CA4"/>
    <w:rsid w:val="00467056"/>
    <w:rsid w:val="00467085"/>
    <w:rsid w:val="0046710A"/>
    <w:rsid w:val="00467111"/>
    <w:rsid w:val="00467379"/>
    <w:rsid w:val="00467438"/>
    <w:rsid w:val="00467498"/>
    <w:rsid w:val="00467557"/>
    <w:rsid w:val="00467564"/>
    <w:rsid w:val="0046756D"/>
    <w:rsid w:val="00467662"/>
    <w:rsid w:val="0046767D"/>
    <w:rsid w:val="0046770A"/>
    <w:rsid w:val="00467786"/>
    <w:rsid w:val="00467995"/>
    <w:rsid w:val="00467B24"/>
    <w:rsid w:val="00467C1A"/>
    <w:rsid w:val="00467D5C"/>
    <w:rsid w:val="00467DBF"/>
    <w:rsid w:val="00467DE0"/>
    <w:rsid w:val="00467DE2"/>
    <w:rsid w:val="00467E9B"/>
    <w:rsid w:val="00467F95"/>
    <w:rsid w:val="00470155"/>
    <w:rsid w:val="004701FF"/>
    <w:rsid w:val="004703CD"/>
    <w:rsid w:val="0047049C"/>
    <w:rsid w:val="0047060F"/>
    <w:rsid w:val="004707AD"/>
    <w:rsid w:val="004707B7"/>
    <w:rsid w:val="0047093B"/>
    <w:rsid w:val="004709C6"/>
    <w:rsid w:val="00470B23"/>
    <w:rsid w:val="00470C8D"/>
    <w:rsid w:val="00470E73"/>
    <w:rsid w:val="00470F05"/>
    <w:rsid w:val="00471100"/>
    <w:rsid w:val="0047119A"/>
    <w:rsid w:val="004714A5"/>
    <w:rsid w:val="00471586"/>
    <w:rsid w:val="004716B9"/>
    <w:rsid w:val="00471804"/>
    <w:rsid w:val="00471824"/>
    <w:rsid w:val="004718B8"/>
    <w:rsid w:val="00471A11"/>
    <w:rsid w:val="00471AC5"/>
    <w:rsid w:val="00471AEC"/>
    <w:rsid w:val="00471B60"/>
    <w:rsid w:val="00471BAD"/>
    <w:rsid w:val="00471C94"/>
    <w:rsid w:val="00471CA7"/>
    <w:rsid w:val="00471D0D"/>
    <w:rsid w:val="00471DC7"/>
    <w:rsid w:val="00471E11"/>
    <w:rsid w:val="00471E46"/>
    <w:rsid w:val="00471EE8"/>
    <w:rsid w:val="00471F8B"/>
    <w:rsid w:val="00472158"/>
    <w:rsid w:val="0047215D"/>
    <w:rsid w:val="00472274"/>
    <w:rsid w:val="004722EF"/>
    <w:rsid w:val="0047233D"/>
    <w:rsid w:val="004723BC"/>
    <w:rsid w:val="0047242B"/>
    <w:rsid w:val="00472583"/>
    <w:rsid w:val="004725C9"/>
    <w:rsid w:val="0047265B"/>
    <w:rsid w:val="00472846"/>
    <w:rsid w:val="004728B4"/>
    <w:rsid w:val="0047294E"/>
    <w:rsid w:val="00472992"/>
    <w:rsid w:val="00472AB7"/>
    <w:rsid w:val="00472B31"/>
    <w:rsid w:val="00472C46"/>
    <w:rsid w:val="00472CD9"/>
    <w:rsid w:val="00472D1A"/>
    <w:rsid w:val="00472DFC"/>
    <w:rsid w:val="00472FA8"/>
    <w:rsid w:val="00473082"/>
    <w:rsid w:val="0047314B"/>
    <w:rsid w:val="00473162"/>
    <w:rsid w:val="004733DC"/>
    <w:rsid w:val="00473435"/>
    <w:rsid w:val="00473444"/>
    <w:rsid w:val="004734F7"/>
    <w:rsid w:val="004734F8"/>
    <w:rsid w:val="00473557"/>
    <w:rsid w:val="00473A44"/>
    <w:rsid w:val="00473A74"/>
    <w:rsid w:val="00473BC8"/>
    <w:rsid w:val="00473D1E"/>
    <w:rsid w:val="00473D51"/>
    <w:rsid w:val="00473DB2"/>
    <w:rsid w:val="00473E78"/>
    <w:rsid w:val="00473E80"/>
    <w:rsid w:val="00473E8D"/>
    <w:rsid w:val="00473F06"/>
    <w:rsid w:val="0047413F"/>
    <w:rsid w:val="004741CC"/>
    <w:rsid w:val="00474291"/>
    <w:rsid w:val="004744B7"/>
    <w:rsid w:val="0047457C"/>
    <w:rsid w:val="0047471E"/>
    <w:rsid w:val="00474765"/>
    <w:rsid w:val="00474771"/>
    <w:rsid w:val="004747D1"/>
    <w:rsid w:val="004748D2"/>
    <w:rsid w:val="004749C4"/>
    <w:rsid w:val="004749E3"/>
    <w:rsid w:val="00474B30"/>
    <w:rsid w:val="00474CD0"/>
    <w:rsid w:val="00474D9A"/>
    <w:rsid w:val="00474DDE"/>
    <w:rsid w:val="00474E01"/>
    <w:rsid w:val="00474E5F"/>
    <w:rsid w:val="00474ECE"/>
    <w:rsid w:val="00475110"/>
    <w:rsid w:val="004753F8"/>
    <w:rsid w:val="00475687"/>
    <w:rsid w:val="0047578D"/>
    <w:rsid w:val="00475873"/>
    <w:rsid w:val="004758B5"/>
    <w:rsid w:val="004759F3"/>
    <w:rsid w:val="00475B28"/>
    <w:rsid w:val="00475B4F"/>
    <w:rsid w:val="00475D3B"/>
    <w:rsid w:val="00475DE4"/>
    <w:rsid w:val="00475E65"/>
    <w:rsid w:val="00475F88"/>
    <w:rsid w:val="00475F9F"/>
    <w:rsid w:val="00476207"/>
    <w:rsid w:val="00476361"/>
    <w:rsid w:val="004765EE"/>
    <w:rsid w:val="00476677"/>
    <w:rsid w:val="0047677B"/>
    <w:rsid w:val="00476794"/>
    <w:rsid w:val="004768D0"/>
    <w:rsid w:val="00476974"/>
    <w:rsid w:val="00476ADB"/>
    <w:rsid w:val="00476B1D"/>
    <w:rsid w:val="00476B4A"/>
    <w:rsid w:val="00476B50"/>
    <w:rsid w:val="00476B52"/>
    <w:rsid w:val="00476C91"/>
    <w:rsid w:val="00476C95"/>
    <w:rsid w:val="00476D54"/>
    <w:rsid w:val="00477039"/>
    <w:rsid w:val="00477139"/>
    <w:rsid w:val="00477147"/>
    <w:rsid w:val="0047716D"/>
    <w:rsid w:val="004771D3"/>
    <w:rsid w:val="004772A4"/>
    <w:rsid w:val="004774B9"/>
    <w:rsid w:val="004775C8"/>
    <w:rsid w:val="004775E7"/>
    <w:rsid w:val="00477727"/>
    <w:rsid w:val="00477781"/>
    <w:rsid w:val="004778B2"/>
    <w:rsid w:val="004778BF"/>
    <w:rsid w:val="0047798A"/>
    <w:rsid w:val="004779D5"/>
    <w:rsid w:val="00477A93"/>
    <w:rsid w:val="00477CF3"/>
    <w:rsid w:val="00477D57"/>
    <w:rsid w:val="00477DCD"/>
    <w:rsid w:val="0048009F"/>
    <w:rsid w:val="00480165"/>
    <w:rsid w:val="004802E2"/>
    <w:rsid w:val="0048054F"/>
    <w:rsid w:val="004805CF"/>
    <w:rsid w:val="004805DA"/>
    <w:rsid w:val="00480691"/>
    <w:rsid w:val="004807C2"/>
    <w:rsid w:val="00480828"/>
    <w:rsid w:val="004808C1"/>
    <w:rsid w:val="00480B0D"/>
    <w:rsid w:val="00480C0E"/>
    <w:rsid w:val="00480C6F"/>
    <w:rsid w:val="00480C87"/>
    <w:rsid w:val="00480DE4"/>
    <w:rsid w:val="00480EEA"/>
    <w:rsid w:val="00480F45"/>
    <w:rsid w:val="00480F94"/>
    <w:rsid w:val="0048101A"/>
    <w:rsid w:val="0048109F"/>
    <w:rsid w:val="00481147"/>
    <w:rsid w:val="004812AA"/>
    <w:rsid w:val="004812EE"/>
    <w:rsid w:val="004813A3"/>
    <w:rsid w:val="0048146E"/>
    <w:rsid w:val="004815E8"/>
    <w:rsid w:val="00481B12"/>
    <w:rsid w:val="00481BD6"/>
    <w:rsid w:val="00481C42"/>
    <w:rsid w:val="00481E39"/>
    <w:rsid w:val="00481E9B"/>
    <w:rsid w:val="00481F2D"/>
    <w:rsid w:val="0048200E"/>
    <w:rsid w:val="00482046"/>
    <w:rsid w:val="0048209D"/>
    <w:rsid w:val="004820D9"/>
    <w:rsid w:val="00482129"/>
    <w:rsid w:val="004821C6"/>
    <w:rsid w:val="004821F0"/>
    <w:rsid w:val="00482203"/>
    <w:rsid w:val="00482695"/>
    <w:rsid w:val="00482710"/>
    <w:rsid w:val="0048271A"/>
    <w:rsid w:val="004827C4"/>
    <w:rsid w:val="00482804"/>
    <w:rsid w:val="0048280F"/>
    <w:rsid w:val="004828A4"/>
    <w:rsid w:val="0048294C"/>
    <w:rsid w:val="00482973"/>
    <w:rsid w:val="004829AA"/>
    <w:rsid w:val="00482ADE"/>
    <w:rsid w:val="00482B47"/>
    <w:rsid w:val="00482B88"/>
    <w:rsid w:val="00482BB1"/>
    <w:rsid w:val="00482BDA"/>
    <w:rsid w:val="00482D7E"/>
    <w:rsid w:val="00482F36"/>
    <w:rsid w:val="00483030"/>
    <w:rsid w:val="00483087"/>
    <w:rsid w:val="0048317A"/>
    <w:rsid w:val="00483180"/>
    <w:rsid w:val="0048318A"/>
    <w:rsid w:val="00483199"/>
    <w:rsid w:val="0048323E"/>
    <w:rsid w:val="0048341D"/>
    <w:rsid w:val="0048342B"/>
    <w:rsid w:val="0048343B"/>
    <w:rsid w:val="0048344F"/>
    <w:rsid w:val="00483720"/>
    <w:rsid w:val="00483732"/>
    <w:rsid w:val="00483737"/>
    <w:rsid w:val="0048376C"/>
    <w:rsid w:val="004838EE"/>
    <w:rsid w:val="0048393B"/>
    <w:rsid w:val="004839F6"/>
    <w:rsid w:val="00483B28"/>
    <w:rsid w:val="00483B75"/>
    <w:rsid w:val="00483EE6"/>
    <w:rsid w:val="00483F87"/>
    <w:rsid w:val="004840FA"/>
    <w:rsid w:val="0048425B"/>
    <w:rsid w:val="0048438B"/>
    <w:rsid w:val="004843A5"/>
    <w:rsid w:val="0048443E"/>
    <w:rsid w:val="004845C8"/>
    <w:rsid w:val="004847A7"/>
    <w:rsid w:val="0048489F"/>
    <w:rsid w:val="00484B52"/>
    <w:rsid w:val="00484BCD"/>
    <w:rsid w:val="00484BD0"/>
    <w:rsid w:val="00484C03"/>
    <w:rsid w:val="00484CF9"/>
    <w:rsid w:val="00484D08"/>
    <w:rsid w:val="00484D9A"/>
    <w:rsid w:val="00484DC5"/>
    <w:rsid w:val="00484F53"/>
    <w:rsid w:val="00484FDE"/>
    <w:rsid w:val="00485208"/>
    <w:rsid w:val="00485215"/>
    <w:rsid w:val="00485335"/>
    <w:rsid w:val="0048536E"/>
    <w:rsid w:val="004853AC"/>
    <w:rsid w:val="00485443"/>
    <w:rsid w:val="00485519"/>
    <w:rsid w:val="00485636"/>
    <w:rsid w:val="00485645"/>
    <w:rsid w:val="00485675"/>
    <w:rsid w:val="004856D3"/>
    <w:rsid w:val="00485786"/>
    <w:rsid w:val="0048587A"/>
    <w:rsid w:val="0048599E"/>
    <w:rsid w:val="00485A0E"/>
    <w:rsid w:val="00485A33"/>
    <w:rsid w:val="00485AB6"/>
    <w:rsid w:val="00485B1B"/>
    <w:rsid w:val="00485B3A"/>
    <w:rsid w:val="00485C72"/>
    <w:rsid w:val="00485C98"/>
    <w:rsid w:val="00485CC2"/>
    <w:rsid w:val="00485D49"/>
    <w:rsid w:val="00485D5D"/>
    <w:rsid w:val="00485F2B"/>
    <w:rsid w:val="00486054"/>
    <w:rsid w:val="004860FB"/>
    <w:rsid w:val="0048616E"/>
    <w:rsid w:val="0048617A"/>
    <w:rsid w:val="004861F5"/>
    <w:rsid w:val="0048638A"/>
    <w:rsid w:val="0048674F"/>
    <w:rsid w:val="004868B2"/>
    <w:rsid w:val="00486985"/>
    <w:rsid w:val="00486B20"/>
    <w:rsid w:val="00486BA6"/>
    <w:rsid w:val="00486BF2"/>
    <w:rsid w:val="00486CF4"/>
    <w:rsid w:val="00486D7E"/>
    <w:rsid w:val="00486F73"/>
    <w:rsid w:val="00487186"/>
    <w:rsid w:val="00487211"/>
    <w:rsid w:val="004874F1"/>
    <w:rsid w:val="004877A8"/>
    <w:rsid w:val="004877DC"/>
    <w:rsid w:val="00487821"/>
    <w:rsid w:val="0048795C"/>
    <w:rsid w:val="00487B87"/>
    <w:rsid w:val="00487BE5"/>
    <w:rsid w:val="00487C85"/>
    <w:rsid w:val="00487D61"/>
    <w:rsid w:val="00487DF6"/>
    <w:rsid w:val="00487EE7"/>
    <w:rsid w:val="0049012C"/>
    <w:rsid w:val="00490258"/>
    <w:rsid w:val="0049025B"/>
    <w:rsid w:val="004902A6"/>
    <w:rsid w:val="004902EA"/>
    <w:rsid w:val="004904A7"/>
    <w:rsid w:val="00490540"/>
    <w:rsid w:val="004907E4"/>
    <w:rsid w:val="00490981"/>
    <w:rsid w:val="00490995"/>
    <w:rsid w:val="004909AA"/>
    <w:rsid w:val="00490A5F"/>
    <w:rsid w:val="00490A6D"/>
    <w:rsid w:val="00490A79"/>
    <w:rsid w:val="00490A87"/>
    <w:rsid w:val="00490A9A"/>
    <w:rsid w:val="00490AD0"/>
    <w:rsid w:val="00490BC0"/>
    <w:rsid w:val="00490D93"/>
    <w:rsid w:val="00490DC4"/>
    <w:rsid w:val="00490EED"/>
    <w:rsid w:val="00490F7F"/>
    <w:rsid w:val="00491109"/>
    <w:rsid w:val="00491180"/>
    <w:rsid w:val="004911F8"/>
    <w:rsid w:val="00491202"/>
    <w:rsid w:val="0049122E"/>
    <w:rsid w:val="00491280"/>
    <w:rsid w:val="004912E5"/>
    <w:rsid w:val="004912F4"/>
    <w:rsid w:val="00491396"/>
    <w:rsid w:val="004913D7"/>
    <w:rsid w:val="004913E8"/>
    <w:rsid w:val="00491439"/>
    <w:rsid w:val="00491730"/>
    <w:rsid w:val="00491C84"/>
    <w:rsid w:val="00491C9D"/>
    <w:rsid w:val="00491EC3"/>
    <w:rsid w:val="00491F80"/>
    <w:rsid w:val="004922C4"/>
    <w:rsid w:val="0049242A"/>
    <w:rsid w:val="00492527"/>
    <w:rsid w:val="00492580"/>
    <w:rsid w:val="00492635"/>
    <w:rsid w:val="00492673"/>
    <w:rsid w:val="004927D1"/>
    <w:rsid w:val="004927F2"/>
    <w:rsid w:val="004928B2"/>
    <w:rsid w:val="004928F1"/>
    <w:rsid w:val="0049298F"/>
    <w:rsid w:val="00492AB0"/>
    <w:rsid w:val="00492AF4"/>
    <w:rsid w:val="00492BCB"/>
    <w:rsid w:val="00492C38"/>
    <w:rsid w:val="00492CC9"/>
    <w:rsid w:val="00492CCB"/>
    <w:rsid w:val="00492E66"/>
    <w:rsid w:val="00492F21"/>
    <w:rsid w:val="00492F9F"/>
    <w:rsid w:val="00492FF1"/>
    <w:rsid w:val="0049303E"/>
    <w:rsid w:val="004930CD"/>
    <w:rsid w:val="004930D6"/>
    <w:rsid w:val="004930FF"/>
    <w:rsid w:val="00493177"/>
    <w:rsid w:val="00493227"/>
    <w:rsid w:val="00493247"/>
    <w:rsid w:val="0049351F"/>
    <w:rsid w:val="00493632"/>
    <w:rsid w:val="004936C9"/>
    <w:rsid w:val="004936CB"/>
    <w:rsid w:val="004937B3"/>
    <w:rsid w:val="004938A9"/>
    <w:rsid w:val="004938BD"/>
    <w:rsid w:val="00493902"/>
    <w:rsid w:val="004939AE"/>
    <w:rsid w:val="00493AAF"/>
    <w:rsid w:val="00493B22"/>
    <w:rsid w:val="00493CAC"/>
    <w:rsid w:val="00493CEA"/>
    <w:rsid w:val="00493E86"/>
    <w:rsid w:val="00493EF3"/>
    <w:rsid w:val="00494296"/>
    <w:rsid w:val="004942BD"/>
    <w:rsid w:val="00494323"/>
    <w:rsid w:val="0049436C"/>
    <w:rsid w:val="0049453E"/>
    <w:rsid w:val="00494580"/>
    <w:rsid w:val="004948AE"/>
    <w:rsid w:val="004948DF"/>
    <w:rsid w:val="004948E5"/>
    <w:rsid w:val="00494975"/>
    <w:rsid w:val="00494980"/>
    <w:rsid w:val="004949A7"/>
    <w:rsid w:val="00494A42"/>
    <w:rsid w:val="00494BD7"/>
    <w:rsid w:val="00494C24"/>
    <w:rsid w:val="00494E7B"/>
    <w:rsid w:val="00494EA7"/>
    <w:rsid w:val="00494F64"/>
    <w:rsid w:val="0049504D"/>
    <w:rsid w:val="0049506A"/>
    <w:rsid w:val="00495086"/>
    <w:rsid w:val="00495103"/>
    <w:rsid w:val="0049510B"/>
    <w:rsid w:val="004951B3"/>
    <w:rsid w:val="004952F5"/>
    <w:rsid w:val="004953AC"/>
    <w:rsid w:val="004953B3"/>
    <w:rsid w:val="0049554B"/>
    <w:rsid w:val="00495620"/>
    <w:rsid w:val="00495726"/>
    <w:rsid w:val="004957C9"/>
    <w:rsid w:val="004957FB"/>
    <w:rsid w:val="0049589B"/>
    <w:rsid w:val="004959E6"/>
    <w:rsid w:val="00495B33"/>
    <w:rsid w:val="00495B91"/>
    <w:rsid w:val="00495BC6"/>
    <w:rsid w:val="00495C8F"/>
    <w:rsid w:val="00495EC6"/>
    <w:rsid w:val="00495FE7"/>
    <w:rsid w:val="00496029"/>
    <w:rsid w:val="00496062"/>
    <w:rsid w:val="004960E7"/>
    <w:rsid w:val="0049619A"/>
    <w:rsid w:val="00496286"/>
    <w:rsid w:val="004966ED"/>
    <w:rsid w:val="00496862"/>
    <w:rsid w:val="004968A6"/>
    <w:rsid w:val="004968E5"/>
    <w:rsid w:val="00496B9C"/>
    <w:rsid w:val="00496DC4"/>
    <w:rsid w:val="00496DCC"/>
    <w:rsid w:val="00496EDD"/>
    <w:rsid w:val="00496F64"/>
    <w:rsid w:val="004970AE"/>
    <w:rsid w:val="00497126"/>
    <w:rsid w:val="004971B6"/>
    <w:rsid w:val="004971D2"/>
    <w:rsid w:val="00497341"/>
    <w:rsid w:val="00497444"/>
    <w:rsid w:val="004974A4"/>
    <w:rsid w:val="00497535"/>
    <w:rsid w:val="00497702"/>
    <w:rsid w:val="0049778D"/>
    <w:rsid w:val="004979CA"/>
    <w:rsid w:val="00497B9F"/>
    <w:rsid w:val="00497BED"/>
    <w:rsid w:val="00497FDC"/>
    <w:rsid w:val="004A00CE"/>
    <w:rsid w:val="004A0129"/>
    <w:rsid w:val="004A0367"/>
    <w:rsid w:val="004A0369"/>
    <w:rsid w:val="004A03BF"/>
    <w:rsid w:val="004A07AF"/>
    <w:rsid w:val="004A07DB"/>
    <w:rsid w:val="004A0A0E"/>
    <w:rsid w:val="004A0B44"/>
    <w:rsid w:val="004A0B90"/>
    <w:rsid w:val="004A0CF7"/>
    <w:rsid w:val="004A0CFD"/>
    <w:rsid w:val="004A0D46"/>
    <w:rsid w:val="004A0D6C"/>
    <w:rsid w:val="004A0F47"/>
    <w:rsid w:val="004A0F85"/>
    <w:rsid w:val="004A0FB4"/>
    <w:rsid w:val="004A0FFF"/>
    <w:rsid w:val="004A101F"/>
    <w:rsid w:val="004A1287"/>
    <w:rsid w:val="004A12D9"/>
    <w:rsid w:val="004A1410"/>
    <w:rsid w:val="004A1831"/>
    <w:rsid w:val="004A1892"/>
    <w:rsid w:val="004A19A6"/>
    <w:rsid w:val="004A1B97"/>
    <w:rsid w:val="004A1E3C"/>
    <w:rsid w:val="004A1E9D"/>
    <w:rsid w:val="004A1F73"/>
    <w:rsid w:val="004A1FF3"/>
    <w:rsid w:val="004A2007"/>
    <w:rsid w:val="004A200B"/>
    <w:rsid w:val="004A2084"/>
    <w:rsid w:val="004A208B"/>
    <w:rsid w:val="004A20A9"/>
    <w:rsid w:val="004A2124"/>
    <w:rsid w:val="004A2255"/>
    <w:rsid w:val="004A2491"/>
    <w:rsid w:val="004A24DF"/>
    <w:rsid w:val="004A2B0F"/>
    <w:rsid w:val="004A2D8D"/>
    <w:rsid w:val="004A2DF4"/>
    <w:rsid w:val="004A2E47"/>
    <w:rsid w:val="004A300F"/>
    <w:rsid w:val="004A32F7"/>
    <w:rsid w:val="004A33E9"/>
    <w:rsid w:val="004A35D8"/>
    <w:rsid w:val="004A36AA"/>
    <w:rsid w:val="004A36E2"/>
    <w:rsid w:val="004A396B"/>
    <w:rsid w:val="004A3A9A"/>
    <w:rsid w:val="004A3ACA"/>
    <w:rsid w:val="004A3B3A"/>
    <w:rsid w:val="004A3BF8"/>
    <w:rsid w:val="004A3C15"/>
    <w:rsid w:val="004A3C1C"/>
    <w:rsid w:val="004A3C2C"/>
    <w:rsid w:val="004A3CE0"/>
    <w:rsid w:val="004A3D1F"/>
    <w:rsid w:val="004A3EE9"/>
    <w:rsid w:val="004A3FC4"/>
    <w:rsid w:val="004A40AB"/>
    <w:rsid w:val="004A4231"/>
    <w:rsid w:val="004A4275"/>
    <w:rsid w:val="004A4430"/>
    <w:rsid w:val="004A44BE"/>
    <w:rsid w:val="004A451B"/>
    <w:rsid w:val="004A454D"/>
    <w:rsid w:val="004A45C0"/>
    <w:rsid w:val="004A4731"/>
    <w:rsid w:val="004A4766"/>
    <w:rsid w:val="004A47B1"/>
    <w:rsid w:val="004A4897"/>
    <w:rsid w:val="004A49C4"/>
    <w:rsid w:val="004A4B32"/>
    <w:rsid w:val="004A4BF2"/>
    <w:rsid w:val="004A4D95"/>
    <w:rsid w:val="004A4E37"/>
    <w:rsid w:val="004A4F6E"/>
    <w:rsid w:val="004A4FCE"/>
    <w:rsid w:val="004A4FDF"/>
    <w:rsid w:val="004A501D"/>
    <w:rsid w:val="004A5133"/>
    <w:rsid w:val="004A51C1"/>
    <w:rsid w:val="004A5489"/>
    <w:rsid w:val="004A5768"/>
    <w:rsid w:val="004A58C9"/>
    <w:rsid w:val="004A597E"/>
    <w:rsid w:val="004A5BFD"/>
    <w:rsid w:val="004A5E6D"/>
    <w:rsid w:val="004A5E73"/>
    <w:rsid w:val="004A5EFD"/>
    <w:rsid w:val="004A5F3B"/>
    <w:rsid w:val="004A6044"/>
    <w:rsid w:val="004A6087"/>
    <w:rsid w:val="004A6100"/>
    <w:rsid w:val="004A630D"/>
    <w:rsid w:val="004A6410"/>
    <w:rsid w:val="004A650F"/>
    <w:rsid w:val="004A670E"/>
    <w:rsid w:val="004A671F"/>
    <w:rsid w:val="004A688E"/>
    <w:rsid w:val="004A6891"/>
    <w:rsid w:val="004A6AC9"/>
    <w:rsid w:val="004A6B70"/>
    <w:rsid w:val="004A6CDD"/>
    <w:rsid w:val="004A6E20"/>
    <w:rsid w:val="004A6E30"/>
    <w:rsid w:val="004A6EB7"/>
    <w:rsid w:val="004A6ECA"/>
    <w:rsid w:val="004A7104"/>
    <w:rsid w:val="004A7397"/>
    <w:rsid w:val="004A755B"/>
    <w:rsid w:val="004A75BA"/>
    <w:rsid w:val="004A764F"/>
    <w:rsid w:val="004A783F"/>
    <w:rsid w:val="004A784D"/>
    <w:rsid w:val="004A78D6"/>
    <w:rsid w:val="004A78F5"/>
    <w:rsid w:val="004A79BA"/>
    <w:rsid w:val="004A7A52"/>
    <w:rsid w:val="004A7BEE"/>
    <w:rsid w:val="004A7DE9"/>
    <w:rsid w:val="004A7FB7"/>
    <w:rsid w:val="004A7FF1"/>
    <w:rsid w:val="004B0117"/>
    <w:rsid w:val="004B0143"/>
    <w:rsid w:val="004B0578"/>
    <w:rsid w:val="004B0594"/>
    <w:rsid w:val="004B08F4"/>
    <w:rsid w:val="004B0A4E"/>
    <w:rsid w:val="004B0B60"/>
    <w:rsid w:val="004B0DE1"/>
    <w:rsid w:val="004B0E18"/>
    <w:rsid w:val="004B1084"/>
    <w:rsid w:val="004B10BB"/>
    <w:rsid w:val="004B1113"/>
    <w:rsid w:val="004B1177"/>
    <w:rsid w:val="004B12C0"/>
    <w:rsid w:val="004B13F7"/>
    <w:rsid w:val="004B1519"/>
    <w:rsid w:val="004B171D"/>
    <w:rsid w:val="004B1765"/>
    <w:rsid w:val="004B17CA"/>
    <w:rsid w:val="004B19FE"/>
    <w:rsid w:val="004B1A5A"/>
    <w:rsid w:val="004B1A85"/>
    <w:rsid w:val="004B1B44"/>
    <w:rsid w:val="004B1C1C"/>
    <w:rsid w:val="004B1C39"/>
    <w:rsid w:val="004B1D36"/>
    <w:rsid w:val="004B1DB4"/>
    <w:rsid w:val="004B1F05"/>
    <w:rsid w:val="004B1F49"/>
    <w:rsid w:val="004B1FF3"/>
    <w:rsid w:val="004B2119"/>
    <w:rsid w:val="004B219F"/>
    <w:rsid w:val="004B21EB"/>
    <w:rsid w:val="004B2202"/>
    <w:rsid w:val="004B226B"/>
    <w:rsid w:val="004B229D"/>
    <w:rsid w:val="004B233F"/>
    <w:rsid w:val="004B2577"/>
    <w:rsid w:val="004B25CD"/>
    <w:rsid w:val="004B2816"/>
    <w:rsid w:val="004B2852"/>
    <w:rsid w:val="004B294E"/>
    <w:rsid w:val="004B29AD"/>
    <w:rsid w:val="004B29C4"/>
    <w:rsid w:val="004B2A4D"/>
    <w:rsid w:val="004B2BFC"/>
    <w:rsid w:val="004B2EF2"/>
    <w:rsid w:val="004B2F45"/>
    <w:rsid w:val="004B3052"/>
    <w:rsid w:val="004B306F"/>
    <w:rsid w:val="004B307E"/>
    <w:rsid w:val="004B30E3"/>
    <w:rsid w:val="004B31B8"/>
    <w:rsid w:val="004B32BF"/>
    <w:rsid w:val="004B3322"/>
    <w:rsid w:val="004B33C2"/>
    <w:rsid w:val="004B3564"/>
    <w:rsid w:val="004B3680"/>
    <w:rsid w:val="004B36DD"/>
    <w:rsid w:val="004B3783"/>
    <w:rsid w:val="004B37C6"/>
    <w:rsid w:val="004B3A4D"/>
    <w:rsid w:val="004B3C13"/>
    <w:rsid w:val="004B3CF8"/>
    <w:rsid w:val="004B3D2D"/>
    <w:rsid w:val="004B3D3A"/>
    <w:rsid w:val="004B3D55"/>
    <w:rsid w:val="004B3DC1"/>
    <w:rsid w:val="004B3E1A"/>
    <w:rsid w:val="004B3F86"/>
    <w:rsid w:val="004B4114"/>
    <w:rsid w:val="004B4146"/>
    <w:rsid w:val="004B4182"/>
    <w:rsid w:val="004B420B"/>
    <w:rsid w:val="004B4214"/>
    <w:rsid w:val="004B424E"/>
    <w:rsid w:val="004B429F"/>
    <w:rsid w:val="004B4311"/>
    <w:rsid w:val="004B4366"/>
    <w:rsid w:val="004B445E"/>
    <w:rsid w:val="004B4573"/>
    <w:rsid w:val="004B494F"/>
    <w:rsid w:val="004B4A98"/>
    <w:rsid w:val="004B4AAE"/>
    <w:rsid w:val="004B4AD0"/>
    <w:rsid w:val="004B4B63"/>
    <w:rsid w:val="004B4D04"/>
    <w:rsid w:val="004B4F95"/>
    <w:rsid w:val="004B5039"/>
    <w:rsid w:val="004B5101"/>
    <w:rsid w:val="004B5253"/>
    <w:rsid w:val="004B52AE"/>
    <w:rsid w:val="004B5326"/>
    <w:rsid w:val="004B5328"/>
    <w:rsid w:val="004B5349"/>
    <w:rsid w:val="004B5350"/>
    <w:rsid w:val="004B538E"/>
    <w:rsid w:val="004B5501"/>
    <w:rsid w:val="004B553A"/>
    <w:rsid w:val="004B55E3"/>
    <w:rsid w:val="004B55EA"/>
    <w:rsid w:val="004B5679"/>
    <w:rsid w:val="004B56C5"/>
    <w:rsid w:val="004B5706"/>
    <w:rsid w:val="004B5896"/>
    <w:rsid w:val="004B5983"/>
    <w:rsid w:val="004B5B4F"/>
    <w:rsid w:val="004B5C02"/>
    <w:rsid w:val="004B5C31"/>
    <w:rsid w:val="004B5C51"/>
    <w:rsid w:val="004B5D00"/>
    <w:rsid w:val="004B603C"/>
    <w:rsid w:val="004B6144"/>
    <w:rsid w:val="004B61E1"/>
    <w:rsid w:val="004B6291"/>
    <w:rsid w:val="004B62EA"/>
    <w:rsid w:val="004B6426"/>
    <w:rsid w:val="004B651E"/>
    <w:rsid w:val="004B6781"/>
    <w:rsid w:val="004B687A"/>
    <w:rsid w:val="004B689D"/>
    <w:rsid w:val="004B69C3"/>
    <w:rsid w:val="004B6A9A"/>
    <w:rsid w:val="004B6D04"/>
    <w:rsid w:val="004B6E83"/>
    <w:rsid w:val="004B70AA"/>
    <w:rsid w:val="004B7421"/>
    <w:rsid w:val="004B759A"/>
    <w:rsid w:val="004B75F0"/>
    <w:rsid w:val="004B76A0"/>
    <w:rsid w:val="004B7785"/>
    <w:rsid w:val="004B77D9"/>
    <w:rsid w:val="004B77E3"/>
    <w:rsid w:val="004B781E"/>
    <w:rsid w:val="004B7833"/>
    <w:rsid w:val="004B79B5"/>
    <w:rsid w:val="004B7BE1"/>
    <w:rsid w:val="004B7DB6"/>
    <w:rsid w:val="004B7DE8"/>
    <w:rsid w:val="004B7F01"/>
    <w:rsid w:val="004C0058"/>
    <w:rsid w:val="004C0070"/>
    <w:rsid w:val="004C0258"/>
    <w:rsid w:val="004C026B"/>
    <w:rsid w:val="004C0391"/>
    <w:rsid w:val="004C06AF"/>
    <w:rsid w:val="004C096D"/>
    <w:rsid w:val="004C0985"/>
    <w:rsid w:val="004C0A91"/>
    <w:rsid w:val="004C0AB7"/>
    <w:rsid w:val="004C0B0A"/>
    <w:rsid w:val="004C0B66"/>
    <w:rsid w:val="004C0E97"/>
    <w:rsid w:val="004C1084"/>
    <w:rsid w:val="004C1134"/>
    <w:rsid w:val="004C11FC"/>
    <w:rsid w:val="004C1307"/>
    <w:rsid w:val="004C134A"/>
    <w:rsid w:val="004C16C0"/>
    <w:rsid w:val="004C16D9"/>
    <w:rsid w:val="004C16DA"/>
    <w:rsid w:val="004C1755"/>
    <w:rsid w:val="004C17B5"/>
    <w:rsid w:val="004C1841"/>
    <w:rsid w:val="004C1870"/>
    <w:rsid w:val="004C1B5D"/>
    <w:rsid w:val="004C1B7C"/>
    <w:rsid w:val="004C1CA2"/>
    <w:rsid w:val="004C1D35"/>
    <w:rsid w:val="004C20DC"/>
    <w:rsid w:val="004C2107"/>
    <w:rsid w:val="004C2223"/>
    <w:rsid w:val="004C2337"/>
    <w:rsid w:val="004C26BF"/>
    <w:rsid w:val="004C26E1"/>
    <w:rsid w:val="004C286D"/>
    <w:rsid w:val="004C2990"/>
    <w:rsid w:val="004C29F5"/>
    <w:rsid w:val="004C29FD"/>
    <w:rsid w:val="004C2A6A"/>
    <w:rsid w:val="004C2AD2"/>
    <w:rsid w:val="004C2C5F"/>
    <w:rsid w:val="004C2CFB"/>
    <w:rsid w:val="004C2DFA"/>
    <w:rsid w:val="004C2E08"/>
    <w:rsid w:val="004C2EC3"/>
    <w:rsid w:val="004C2EFF"/>
    <w:rsid w:val="004C2F95"/>
    <w:rsid w:val="004C3174"/>
    <w:rsid w:val="004C354D"/>
    <w:rsid w:val="004C3771"/>
    <w:rsid w:val="004C37A0"/>
    <w:rsid w:val="004C37D0"/>
    <w:rsid w:val="004C3813"/>
    <w:rsid w:val="004C388F"/>
    <w:rsid w:val="004C38AA"/>
    <w:rsid w:val="004C398C"/>
    <w:rsid w:val="004C39F5"/>
    <w:rsid w:val="004C3CBC"/>
    <w:rsid w:val="004C3D6D"/>
    <w:rsid w:val="004C40EF"/>
    <w:rsid w:val="004C41A7"/>
    <w:rsid w:val="004C41D7"/>
    <w:rsid w:val="004C433C"/>
    <w:rsid w:val="004C4465"/>
    <w:rsid w:val="004C477F"/>
    <w:rsid w:val="004C48C8"/>
    <w:rsid w:val="004C48FB"/>
    <w:rsid w:val="004C49E7"/>
    <w:rsid w:val="004C4AF2"/>
    <w:rsid w:val="004C4B32"/>
    <w:rsid w:val="004C4B6C"/>
    <w:rsid w:val="004C4C69"/>
    <w:rsid w:val="004C4C7A"/>
    <w:rsid w:val="004C4DB1"/>
    <w:rsid w:val="004C4E76"/>
    <w:rsid w:val="004C4ED2"/>
    <w:rsid w:val="004C4ED3"/>
    <w:rsid w:val="004C4F15"/>
    <w:rsid w:val="004C4FB5"/>
    <w:rsid w:val="004C5084"/>
    <w:rsid w:val="004C5264"/>
    <w:rsid w:val="004C549A"/>
    <w:rsid w:val="004C54D0"/>
    <w:rsid w:val="004C550E"/>
    <w:rsid w:val="004C568C"/>
    <w:rsid w:val="004C56AE"/>
    <w:rsid w:val="004C5740"/>
    <w:rsid w:val="004C5933"/>
    <w:rsid w:val="004C598D"/>
    <w:rsid w:val="004C5AFC"/>
    <w:rsid w:val="004C5BF4"/>
    <w:rsid w:val="004C5D50"/>
    <w:rsid w:val="004C5DDE"/>
    <w:rsid w:val="004C5E8A"/>
    <w:rsid w:val="004C5FB2"/>
    <w:rsid w:val="004C5FBF"/>
    <w:rsid w:val="004C6108"/>
    <w:rsid w:val="004C61E5"/>
    <w:rsid w:val="004C6228"/>
    <w:rsid w:val="004C6259"/>
    <w:rsid w:val="004C6310"/>
    <w:rsid w:val="004C6527"/>
    <w:rsid w:val="004C6686"/>
    <w:rsid w:val="004C6874"/>
    <w:rsid w:val="004C6A16"/>
    <w:rsid w:val="004C6AA7"/>
    <w:rsid w:val="004C6BDA"/>
    <w:rsid w:val="004C6D2D"/>
    <w:rsid w:val="004C6F88"/>
    <w:rsid w:val="004C70FA"/>
    <w:rsid w:val="004C7221"/>
    <w:rsid w:val="004C746F"/>
    <w:rsid w:val="004C7492"/>
    <w:rsid w:val="004C74D0"/>
    <w:rsid w:val="004C74FD"/>
    <w:rsid w:val="004C76C4"/>
    <w:rsid w:val="004C789E"/>
    <w:rsid w:val="004C7976"/>
    <w:rsid w:val="004C7A46"/>
    <w:rsid w:val="004C7AFF"/>
    <w:rsid w:val="004C7B19"/>
    <w:rsid w:val="004C7B54"/>
    <w:rsid w:val="004C7DA5"/>
    <w:rsid w:val="004C7E03"/>
    <w:rsid w:val="004C7E1D"/>
    <w:rsid w:val="004D009B"/>
    <w:rsid w:val="004D00B4"/>
    <w:rsid w:val="004D00FE"/>
    <w:rsid w:val="004D0268"/>
    <w:rsid w:val="004D0271"/>
    <w:rsid w:val="004D02DE"/>
    <w:rsid w:val="004D03CF"/>
    <w:rsid w:val="004D05AC"/>
    <w:rsid w:val="004D062E"/>
    <w:rsid w:val="004D0748"/>
    <w:rsid w:val="004D07E3"/>
    <w:rsid w:val="004D0CD6"/>
    <w:rsid w:val="004D0D4E"/>
    <w:rsid w:val="004D1065"/>
    <w:rsid w:val="004D10CD"/>
    <w:rsid w:val="004D117A"/>
    <w:rsid w:val="004D119C"/>
    <w:rsid w:val="004D1270"/>
    <w:rsid w:val="004D127A"/>
    <w:rsid w:val="004D1369"/>
    <w:rsid w:val="004D13A1"/>
    <w:rsid w:val="004D13CE"/>
    <w:rsid w:val="004D164F"/>
    <w:rsid w:val="004D167F"/>
    <w:rsid w:val="004D182C"/>
    <w:rsid w:val="004D18B2"/>
    <w:rsid w:val="004D1900"/>
    <w:rsid w:val="004D1B3E"/>
    <w:rsid w:val="004D1B98"/>
    <w:rsid w:val="004D1BEF"/>
    <w:rsid w:val="004D1C2D"/>
    <w:rsid w:val="004D1CB1"/>
    <w:rsid w:val="004D1D29"/>
    <w:rsid w:val="004D1D69"/>
    <w:rsid w:val="004D1D95"/>
    <w:rsid w:val="004D1E9F"/>
    <w:rsid w:val="004D1EAF"/>
    <w:rsid w:val="004D1FDD"/>
    <w:rsid w:val="004D233F"/>
    <w:rsid w:val="004D2344"/>
    <w:rsid w:val="004D23B4"/>
    <w:rsid w:val="004D23E6"/>
    <w:rsid w:val="004D2498"/>
    <w:rsid w:val="004D25D5"/>
    <w:rsid w:val="004D2652"/>
    <w:rsid w:val="004D2673"/>
    <w:rsid w:val="004D269D"/>
    <w:rsid w:val="004D26C7"/>
    <w:rsid w:val="004D271E"/>
    <w:rsid w:val="004D2892"/>
    <w:rsid w:val="004D28C7"/>
    <w:rsid w:val="004D297E"/>
    <w:rsid w:val="004D2A12"/>
    <w:rsid w:val="004D2A5D"/>
    <w:rsid w:val="004D2B0B"/>
    <w:rsid w:val="004D2BB3"/>
    <w:rsid w:val="004D2BED"/>
    <w:rsid w:val="004D2C06"/>
    <w:rsid w:val="004D2DBA"/>
    <w:rsid w:val="004D2E27"/>
    <w:rsid w:val="004D2E8C"/>
    <w:rsid w:val="004D2F48"/>
    <w:rsid w:val="004D2F4C"/>
    <w:rsid w:val="004D2F69"/>
    <w:rsid w:val="004D3062"/>
    <w:rsid w:val="004D31C2"/>
    <w:rsid w:val="004D3271"/>
    <w:rsid w:val="004D3328"/>
    <w:rsid w:val="004D3527"/>
    <w:rsid w:val="004D3571"/>
    <w:rsid w:val="004D35B3"/>
    <w:rsid w:val="004D362A"/>
    <w:rsid w:val="004D3645"/>
    <w:rsid w:val="004D36DE"/>
    <w:rsid w:val="004D3712"/>
    <w:rsid w:val="004D3727"/>
    <w:rsid w:val="004D3799"/>
    <w:rsid w:val="004D37AB"/>
    <w:rsid w:val="004D380E"/>
    <w:rsid w:val="004D3897"/>
    <w:rsid w:val="004D38FB"/>
    <w:rsid w:val="004D3904"/>
    <w:rsid w:val="004D39E8"/>
    <w:rsid w:val="004D3C9F"/>
    <w:rsid w:val="004D3DC8"/>
    <w:rsid w:val="004D3DDF"/>
    <w:rsid w:val="004D3F41"/>
    <w:rsid w:val="004D3FCB"/>
    <w:rsid w:val="004D4152"/>
    <w:rsid w:val="004D4158"/>
    <w:rsid w:val="004D41D0"/>
    <w:rsid w:val="004D4425"/>
    <w:rsid w:val="004D4465"/>
    <w:rsid w:val="004D4547"/>
    <w:rsid w:val="004D45A6"/>
    <w:rsid w:val="004D45D0"/>
    <w:rsid w:val="004D46DA"/>
    <w:rsid w:val="004D4778"/>
    <w:rsid w:val="004D47D2"/>
    <w:rsid w:val="004D486A"/>
    <w:rsid w:val="004D487F"/>
    <w:rsid w:val="004D48BC"/>
    <w:rsid w:val="004D4AD3"/>
    <w:rsid w:val="004D4DA7"/>
    <w:rsid w:val="004D4E09"/>
    <w:rsid w:val="004D4E74"/>
    <w:rsid w:val="004D50EF"/>
    <w:rsid w:val="004D513B"/>
    <w:rsid w:val="004D5276"/>
    <w:rsid w:val="004D5500"/>
    <w:rsid w:val="004D5505"/>
    <w:rsid w:val="004D5637"/>
    <w:rsid w:val="004D5647"/>
    <w:rsid w:val="004D5892"/>
    <w:rsid w:val="004D58CC"/>
    <w:rsid w:val="004D5916"/>
    <w:rsid w:val="004D5A22"/>
    <w:rsid w:val="004D5A70"/>
    <w:rsid w:val="004D5ACE"/>
    <w:rsid w:val="004D5B51"/>
    <w:rsid w:val="004D5B64"/>
    <w:rsid w:val="004D5B98"/>
    <w:rsid w:val="004D5C47"/>
    <w:rsid w:val="004D5DA8"/>
    <w:rsid w:val="004D5DBA"/>
    <w:rsid w:val="004D5F44"/>
    <w:rsid w:val="004D5FAB"/>
    <w:rsid w:val="004D6254"/>
    <w:rsid w:val="004D62D9"/>
    <w:rsid w:val="004D633A"/>
    <w:rsid w:val="004D66BF"/>
    <w:rsid w:val="004D67EA"/>
    <w:rsid w:val="004D68DE"/>
    <w:rsid w:val="004D6A29"/>
    <w:rsid w:val="004D6AFF"/>
    <w:rsid w:val="004D6B6C"/>
    <w:rsid w:val="004D6CBB"/>
    <w:rsid w:val="004D6D55"/>
    <w:rsid w:val="004D6EA0"/>
    <w:rsid w:val="004D6ED1"/>
    <w:rsid w:val="004D7219"/>
    <w:rsid w:val="004D7302"/>
    <w:rsid w:val="004D74EB"/>
    <w:rsid w:val="004D76D3"/>
    <w:rsid w:val="004D79A7"/>
    <w:rsid w:val="004D79C7"/>
    <w:rsid w:val="004D79D8"/>
    <w:rsid w:val="004D7A16"/>
    <w:rsid w:val="004D7C4D"/>
    <w:rsid w:val="004D7D26"/>
    <w:rsid w:val="004D7E9B"/>
    <w:rsid w:val="004D7EB8"/>
    <w:rsid w:val="004D7F83"/>
    <w:rsid w:val="004D7FFD"/>
    <w:rsid w:val="004E0654"/>
    <w:rsid w:val="004E0766"/>
    <w:rsid w:val="004E08B3"/>
    <w:rsid w:val="004E09B3"/>
    <w:rsid w:val="004E0A0E"/>
    <w:rsid w:val="004E0A59"/>
    <w:rsid w:val="004E0BE5"/>
    <w:rsid w:val="004E0D2C"/>
    <w:rsid w:val="004E0D90"/>
    <w:rsid w:val="004E0DA1"/>
    <w:rsid w:val="004E0E17"/>
    <w:rsid w:val="004E113C"/>
    <w:rsid w:val="004E116E"/>
    <w:rsid w:val="004E122B"/>
    <w:rsid w:val="004E159D"/>
    <w:rsid w:val="004E15F1"/>
    <w:rsid w:val="004E186D"/>
    <w:rsid w:val="004E1892"/>
    <w:rsid w:val="004E1994"/>
    <w:rsid w:val="004E1C29"/>
    <w:rsid w:val="004E1C7E"/>
    <w:rsid w:val="004E1CC7"/>
    <w:rsid w:val="004E1E49"/>
    <w:rsid w:val="004E1EDC"/>
    <w:rsid w:val="004E2116"/>
    <w:rsid w:val="004E211A"/>
    <w:rsid w:val="004E2245"/>
    <w:rsid w:val="004E22B2"/>
    <w:rsid w:val="004E246B"/>
    <w:rsid w:val="004E24DE"/>
    <w:rsid w:val="004E2637"/>
    <w:rsid w:val="004E2699"/>
    <w:rsid w:val="004E291A"/>
    <w:rsid w:val="004E2B3A"/>
    <w:rsid w:val="004E2B90"/>
    <w:rsid w:val="004E2BD6"/>
    <w:rsid w:val="004E2C1C"/>
    <w:rsid w:val="004E2C25"/>
    <w:rsid w:val="004E2C37"/>
    <w:rsid w:val="004E2C41"/>
    <w:rsid w:val="004E2DF7"/>
    <w:rsid w:val="004E2EC5"/>
    <w:rsid w:val="004E31D3"/>
    <w:rsid w:val="004E32DC"/>
    <w:rsid w:val="004E32E1"/>
    <w:rsid w:val="004E339A"/>
    <w:rsid w:val="004E36FE"/>
    <w:rsid w:val="004E3869"/>
    <w:rsid w:val="004E3A59"/>
    <w:rsid w:val="004E3ADE"/>
    <w:rsid w:val="004E3AFE"/>
    <w:rsid w:val="004E3CEF"/>
    <w:rsid w:val="004E3E91"/>
    <w:rsid w:val="004E42EE"/>
    <w:rsid w:val="004E45F4"/>
    <w:rsid w:val="004E4688"/>
    <w:rsid w:val="004E485F"/>
    <w:rsid w:val="004E4A22"/>
    <w:rsid w:val="004E4AA8"/>
    <w:rsid w:val="004E4BDC"/>
    <w:rsid w:val="004E4BE8"/>
    <w:rsid w:val="004E4C4F"/>
    <w:rsid w:val="004E4CAA"/>
    <w:rsid w:val="004E4E5B"/>
    <w:rsid w:val="004E4EA7"/>
    <w:rsid w:val="004E51B7"/>
    <w:rsid w:val="004E52CD"/>
    <w:rsid w:val="004E5382"/>
    <w:rsid w:val="004E53FB"/>
    <w:rsid w:val="004E54F9"/>
    <w:rsid w:val="004E5714"/>
    <w:rsid w:val="004E5715"/>
    <w:rsid w:val="004E5A35"/>
    <w:rsid w:val="004E5AD6"/>
    <w:rsid w:val="004E5C98"/>
    <w:rsid w:val="004E5CC1"/>
    <w:rsid w:val="004E5FC9"/>
    <w:rsid w:val="004E607A"/>
    <w:rsid w:val="004E6286"/>
    <w:rsid w:val="004E6290"/>
    <w:rsid w:val="004E6586"/>
    <w:rsid w:val="004E66A6"/>
    <w:rsid w:val="004E6864"/>
    <w:rsid w:val="004E6A76"/>
    <w:rsid w:val="004E6AD3"/>
    <w:rsid w:val="004E6B6B"/>
    <w:rsid w:val="004E6B7A"/>
    <w:rsid w:val="004E6D6C"/>
    <w:rsid w:val="004E6D7E"/>
    <w:rsid w:val="004E6EF7"/>
    <w:rsid w:val="004E71C9"/>
    <w:rsid w:val="004E729E"/>
    <w:rsid w:val="004E735C"/>
    <w:rsid w:val="004E74EF"/>
    <w:rsid w:val="004E7531"/>
    <w:rsid w:val="004E75EE"/>
    <w:rsid w:val="004E76CA"/>
    <w:rsid w:val="004E7A0E"/>
    <w:rsid w:val="004E7A59"/>
    <w:rsid w:val="004E7B7C"/>
    <w:rsid w:val="004E7C8D"/>
    <w:rsid w:val="004E7CC4"/>
    <w:rsid w:val="004E7E4D"/>
    <w:rsid w:val="004E7EBB"/>
    <w:rsid w:val="004E7EC3"/>
    <w:rsid w:val="004E8670"/>
    <w:rsid w:val="004F0084"/>
    <w:rsid w:val="004F0216"/>
    <w:rsid w:val="004F0316"/>
    <w:rsid w:val="004F03E5"/>
    <w:rsid w:val="004F0457"/>
    <w:rsid w:val="004F0465"/>
    <w:rsid w:val="004F0519"/>
    <w:rsid w:val="004F080B"/>
    <w:rsid w:val="004F0874"/>
    <w:rsid w:val="004F0896"/>
    <w:rsid w:val="004F08C4"/>
    <w:rsid w:val="004F0B1D"/>
    <w:rsid w:val="004F0B31"/>
    <w:rsid w:val="004F0CE9"/>
    <w:rsid w:val="004F0CF3"/>
    <w:rsid w:val="004F0CFD"/>
    <w:rsid w:val="004F0F2D"/>
    <w:rsid w:val="004F0FD9"/>
    <w:rsid w:val="004F1179"/>
    <w:rsid w:val="004F118B"/>
    <w:rsid w:val="004F11CD"/>
    <w:rsid w:val="004F1233"/>
    <w:rsid w:val="004F12F4"/>
    <w:rsid w:val="004F136F"/>
    <w:rsid w:val="004F13BD"/>
    <w:rsid w:val="004F14DF"/>
    <w:rsid w:val="004F15C9"/>
    <w:rsid w:val="004F17A9"/>
    <w:rsid w:val="004F1BB7"/>
    <w:rsid w:val="004F1C06"/>
    <w:rsid w:val="004F1CAF"/>
    <w:rsid w:val="004F1F63"/>
    <w:rsid w:val="004F1FBC"/>
    <w:rsid w:val="004F1FDB"/>
    <w:rsid w:val="004F2127"/>
    <w:rsid w:val="004F213A"/>
    <w:rsid w:val="004F2145"/>
    <w:rsid w:val="004F2172"/>
    <w:rsid w:val="004F228C"/>
    <w:rsid w:val="004F23EE"/>
    <w:rsid w:val="004F243A"/>
    <w:rsid w:val="004F2677"/>
    <w:rsid w:val="004F2737"/>
    <w:rsid w:val="004F27A0"/>
    <w:rsid w:val="004F27EE"/>
    <w:rsid w:val="004F2868"/>
    <w:rsid w:val="004F29E2"/>
    <w:rsid w:val="004F2A26"/>
    <w:rsid w:val="004F2AB7"/>
    <w:rsid w:val="004F2B92"/>
    <w:rsid w:val="004F2C3E"/>
    <w:rsid w:val="004F2C8A"/>
    <w:rsid w:val="004F30E4"/>
    <w:rsid w:val="004F327D"/>
    <w:rsid w:val="004F3294"/>
    <w:rsid w:val="004F339F"/>
    <w:rsid w:val="004F33EE"/>
    <w:rsid w:val="004F3476"/>
    <w:rsid w:val="004F35E0"/>
    <w:rsid w:val="004F3903"/>
    <w:rsid w:val="004F390B"/>
    <w:rsid w:val="004F3D25"/>
    <w:rsid w:val="004F3D26"/>
    <w:rsid w:val="004F3F28"/>
    <w:rsid w:val="004F4041"/>
    <w:rsid w:val="004F410A"/>
    <w:rsid w:val="004F417E"/>
    <w:rsid w:val="004F41B7"/>
    <w:rsid w:val="004F41CD"/>
    <w:rsid w:val="004F4330"/>
    <w:rsid w:val="004F4537"/>
    <w:rsid w:val="004F4778"/>
    <w:rsid w:val="004F48AD"/>
    <w:rsid w:val="004F4978"/>
    <w:rsid w:val="004F4B27"/>
    <w:rsid w:val="004F4BC6"/>
    <w:rsid w:val="004F4C45"/>
    <w:rsid w:val="004F4D7B"/>
    <w:rsid w:val="004F4E60"/>
    <w:rsid w:val="004F4F14"/>
    <w:rsid w:val="004F5060"/>
    <w:rsid w:val="004F508A"/>
    <w:rsid w:val="004F508E"/>
    <w:rsid w:val="004F517E"/>
    <w:rsid w:val="004F539B"/>
    <w:rsid w:val="004F5405"/>
    <w:rsid w:val="004F546A"/>
    <w:rsid w:val="004F5595"/>
    <w:rsid w:val="004F567E"/>
    <w:rsid w:val="004F5809"/>
    <w:rsid w:val="004F589C"/>
    <w:rsid w:val="004F5C07"/>
    <w:rsid w:val="004F5DBE"/>
    <w:rsid w:val="004F5E0D"/>
    <w:rsid w:val="004F5E3A"/>
    <w:rsid w:val="004F5EF3"/>
    <w:rsid w:val="004F5EFB"/>
    <w:rsid w:val="004F60C8"/>
    <w:rsid w:val="004F613E"/>
    <w:rsid w:val="004F6145"/>
    <w:rsid w:val="004F61D0"/>
    <w:rsid w:val="004F6307"/>
    <w:rsid w:val="004F6322"/>
    <w:rsid w:val="004F65D6"/>
    <w:rsid w:val="004F663D"/>
    <w:rsid w:val="004F68AD"/>
    <w:rsid w:val="004F69BA"/>
    <w:rsid w:val="004F69BD"/>
    <w:rsid w:val="004F6A46"/>
    <w:rsid w:val="004F6A49"/>
    <w:rsid w:val="004F6AD3"/>
    <w:rsid w:val="004F6B9D"/>
    <w:rsid w:val="004F6C6C"/>
    <w:rsid w:val="004F6D32"/>
    <w:rsid w:val="004F6E0D"/>
    <w:rsid w:val="004F6EBD"/>
    <w:rsid w:val="004F6F93"/>
    <w:rsid w:val="004F700E"/>
    <w:rsid w:val="004F7041"/>
    <w:rsid w:val="004F719B"/>
    <w:rsid w:val="004F72C4"/>
    <w:rsid w:val="004F72EE"/>
    <w:rsid w:val="004F74AD"/>
    <w:rsid w:val="004F75DD"/>
    <w:rsid w:val="004F7675"/>
    <w:rsid w:val="004F77CA"/>
    <w:rsid w:val="004F7985"/>
    <w:rsid w:val="004F7AB9"/>
    <w:rsid w:val="004F7BD4"/>
    <w:rsid w:val="004F7E71"/>
    <w:rsid w:val="004F7EB2"/>
    <w:rsid w:val="004F7EFE"/>
    <w:rsid w:val="00500006"/>
    <w:rsid w:val="00500225"/>
    <w:rsid w:val="00500237"/>
    <w:rsid w:val="0050047A"/>
    <w:rsid w:val="005004CE"/>
    <w:rsid w:val="0050054F"/>
    <w:rsid w:val="005005AA"/>
    <w:rsid w:val="00500A78"/>
    <w:rsid w:val="00500CE1"/>
    <w:rsid w:val="00500ED2"/>
    <w:rsid w:val="00500FA8"/>
    <w:rsid w:val="00501085"/>
    <w:rsid w:val="005010A3"/>
    <w:rsid w:val="00501113"/>
    <w:rsid w:val="0050128B"/>
    <w:rsid w:val="00501361"/>
    <w:rsid w:val="00501386"/>
    <w:rsid w:val="00501556"/>
    <w:rsid w:val="00501569"/>
    <w:rsid w:val="00501688"/>
    <w:rsid w:val="005016C7"/>
    <w:rsid w:val="005016FB"/>
    <w:rsid w:val="00501723"/>
    <w:rsid w:val="00501734"/>
    <w:rsid w:val="005019E1"/>
    <w:rsid w:val="00501B7B"/>
    <w:rsid w:val="00501BD9"/>
    <w:rsid w:val="00501C25"/>
    <w:rsid w:val="00501C27"/>
    <w:rsid w:val="00501D33"/>
    <w:rsid w:val="00501EC2"/>
    <w:rsid w:val="00501F08"/>
    <w:rsid w:val="00501F19"/>
    <w:rsid w:val="0050201A"/>
    <w:rsid w:val="005021DC"/>
    <w:rsid w:val="005023DD"/>
    <w:rsid w:val="00502448"/>
    <w:rsid w:val="005024D1"/>
    <w:rsid w:val="005024F0"/>
    <w:rsid w:val="0050252E"/>
    <w:rsid w:val="0050259D"/>
    <w:rsid w:val="0050259E"/>
    <w:rsid w:val="005027A6"/>
    <w:rsid w:val="005029A0"/>
    <w:rsid w:val="00502A47"/>
    <w:rsid w:val="00502A82"/>
    <w:rsid w:val="00502B20"/>
    <w:rsid w:val="00502C0D"/>
    <w:rsid w:val="00502C88"/>
    <w:rsid w:val="00502DAE"/>
    <w:rsid w:val="00502F49"/>
    <w:rsid w:val="00502FFB"/>
    <w:rsid w:val="00503037"/>
    <w:rsid w:val="005030A1"/>
    <w:rsid w:val="00503157"/>
    <w:rsid w:val="005031E1"/>
    <w:rsid w:val="005031E3"/>
    <w:rsid w:val="00503212"/>
    <w:rsid w:val="00503314"/>
    <w:rsid w:val="005034E8"/>
    <w:rsid w:val="005034F7"/>
    <w:rsid w:val="00503506"/>
    <w:rsid w:val="0050356C"/>
    <w:rsid w:val="005035FF"/>
    <w:rsid w:val="005036EF"/>
    <w:rsid w:val="00503794"/>
    <w:rsid w:val="005038A0"/>
    <w:rsid w:val="0050396A"/>
    <w:rsid w:val="0050396F"/>
    <w:rsid w:val="00503A09"/>
    <w:rsid w:val="00503A2D"/>
    <w:rsid w:val="00503A43"/>
    <w:rsid w:val="00503BF9"/>
    <w:rsid w:val="00503D0A"/>
    <w:rsid w:val="00503D1D"/>
    <w:rsid w:val="00503E3B"/>
    <w:rsid w:val="00504000"/>
    <w:rsid w:val="0050401E"/>
    <w:rsid w:val="0050409C"/>
    <w:rsid w:val="00504169"/>
    <w:rsid w:val="0050445E"/>
    <w:rsid w:val="005044C1"/>
    <w:rsid w:val="005045B5"/>
    <w:rsid w:val="0050465B"/>
    <w:rsid w:val="005047C2"/>
    <w:rsid w:val="00504826"/>
    <w:rsid w:val="00504A82"/>
    <w:rsid w:val="00504BCC"/>
    <w:rsid w:val="00504C92"/>
    <w:rsid w:val="00504F24"/>
    <w:rsid w:val="00505086"/>
    <w:rsid w:val="00505193"/>
    <w:rsid w:val="0050530B"/>
    <w:rsid w:val="0050534F"/>
    <w:rsid w:val="00505845"/>
    <w:rsid w:val="00505879"/>
    <w:rsid w:val="00505981"/>
    <w:rsid w:val="00505ADC"/>
    <w:rsid w:val="00505C8E"/>
    <w:rsid w:val="00505D14"/>
    <w:rsid w:val="00505E19"/>
    <w:rsid w:val="00505E48"/>
    <w:rsid w:val="00505E96"/>
    <w:rsid w:val="00505FCA"/>
    <w:rsid w:val="00505FE3"/>
    <w:rsid w:val="00506178"/>
    <w:rsid w:val="00506230"/>
    <w:rsid w:val="00506493"/>
    <w:rsid w:val="00506612"/>
    <w:rsid w:val="005066AC"/>
    <w:rsid w:val="0050685B"/>
    <w:rsid w:val="0050686A"/>
    <w:rsid w:val="0050687D"/>
    <w:rsid w:val="00506881"/>
    <w:rsid w:val="00506CD0"/>
    <w:rsid w:val="00506DD5"/>
    <w:rsid w:val="00506F06"/>
    <w:rsid w:val="00506F60"/>
    <w:rsid w:val="00506FD9"/>
    <w:rsid w:val="00507139"/>
    <w:rsid w:val="005071EB"/>
    <w:rsid w:val="00507220"/>
    <w:rsid w:val="00507321"/>
    <w:rsid w:val="0050755B"/>
    <w:rsid w:val="0050765D"/>
    <w:rsid w:val="00507869"/>
    <w:rsid w:val="00507A24"/>
    <w:rsid w:val="00507A40"/>
    <w:rsid w:val="00507ABF"/>
    <w:rsid w:val="00507D37"/>
    <w:rsid w:val="00507D4D"/>
    <w:rsid w:val="0051004F"/>
    <w:rsid w:val="00510106"/>
    <w:rsid w:val="0051023C"/>
    <w:rsid w:val="00510290"/>
    <w:rsid w:val="00510301"/>
    <w:rsid w:val="00510344"/>
    <w:rsid w:val="005103C5"/>
    <w:rsid w:val="00510507"/>
    <w:rsid w:val="00510539"/>
    <w:rsid w:val="00510553"/>
    <w:rsid w:val="005105D8"/>
    <w:rsid w:val="0051060C"/>
    <w:rsid w:val="0051067B"/>
    <w:rsid w:val="00510725"/>
    <w:rsid w:val="00510785"/>
    <w:rsid w:val="005107ED"/>
    <w:rsid w:val="005109BF"/>
    <w:rsid w:val="00510A32"/>
    <w:rsid w:val="00510BAE"/>
    <w:rsid w:val="00510BD3"/>
    <w:rsid w:val="00510D09"/>
    <w:rsid w:val="00510DBC"/>
    <w:rsid w:val="00510EAD"/>
    <w:rsid w:val="00511020"/>
    <w:rsid w:val="0051105A"/>
    <w:rsid w:val="0051127A"/>
    <w:rsid w:val="005113AE"/>
    <w:rsid w:val="0051141D"/>
    <w:rsid w:val="00511511"/>
    <w:rsid w:val="00511521"/>
    <w:rsid w:val="00511622"/>
    <w:rsid w:val="00511652"/>
    <w:rsid w:val="005117FA"/>
    <w:rsid w:val="00511845"/>
    <w:rsid w:val="00511A08"/>
    <w:rsid w:val="00511BCE"/>
    <w:rsid w:val="00511C6F"/>
    <w:rsid w:val="00511D20"/>
    <w:rsid w:val="00511EF3"/>
    <w:rsid w:val="00511FCC"/>
    <w:rsid w:val="00512012"/>
    <w:rsid w:val="00512054"/>
    <w:rsid w:val="005122DA"/>
    <w:rsid w:val="0051238B"/>
    <w:rsid w:val="0051241C"/>
    <w:rsid w:val="0051252C"/>
    <w:rsid w:val="00512784"/>
    <w:rsid w:val="0051285F"/>
    <w:rsid w:val="005128A4"/>
    <w:rsid w:val="00512A5B"/>
    <w:rsid w:val="00512A61"/>
    <w:rsid w:val="00512D13"/>
    <w:rsid w:val="00513046"/>
    <w:rsid w:val="00513078"/>
    <w:rsid w:val="005131D3"/>
    <w:rsid w:val="005131F4"/>
    <w:rsid w:val="005131F6"/>
    <w:rsid w:val="005132C9"/>
    <w:rsid w:val="005132D2"/>
    <w:rsid w:val="00513399"/>
    <w:rsid w:val="0051352C"/>
    <w:rsid w:val="005135E1"/>
    <w:rsid w:val="00513692"/>
    <w:rsid w:val="0051392D"/>
    <w:rsid w:val="00513BCF"/>
    <w:rsid w:val="00513BF3"/>
    <w:rsid w:val="00513BF6"/>
    <w:rsid w:val="00513BFB"/>
    <w:rsid w:val="00513ED4"/>
    <w:rsid w:val="00513F0E"/>
    <w:rsid w:val="00514022"/>
    <w:rsid w:val="0051403C"/>
    <w:rsid w:val="0051406B"/>
    <w:rsid w:val="0051428C"/>
    <w:rsid w:val="00514425"/>
    <w:rsid w:val="0051464E"/>
    <w:rsid w:val="00514679"/>
    <w:rsid w:val="005146D1"/>
    <w:rsid w:val="00514749"/>
    <w:rsid w:val="005147E6"/>
    <w:rsid w:val="0051487A"/>
    <w:rsid w:val="005148B9"/>
    <w:rsid w:val="0051490D"/>
    <w:rsid w:val="00514A7D"/>
    <w:rsid w:val="00514A8F"/>
    <w:rsid w:val="00514BB0"/>
    <w:rsid w:val="00514BDA"/>
    <w:rsid w:val="00514E12"/>
    <w:rsid w:val="00514E59"/>
    <w:rsid w:val="00514F69"/>
    <w:rsid w:val="00514FC2"/>
    <w:rsid w:val="00514FD6"/>
    <w:rsid w:val="00514FE9"/>
    <w:rsid w:val="0051519E"/>
    <w:rsid w:val="005153F1"/>
    <w:rsid w:val="0051542B"/>
    <w:rsid w:val="0051552C"/>
    <w:rsid w:val="00515582"/>
    <w:rsid w:val="005156F4"/>
    <w:rsid w:val="00515785"/>
    <w:rsid w:val="00515936"/>
    <w:rsid w:val="00515A7C"/>
    <w:rsid w:val="00515BFA"/>
    <w:rsid w:val="00515C1B"/>
    <w:rsid w:val="00515C38"/>
    <w:rsid w:val="00515C4B"/>
    <w:rsid w:val="00515D51"/>
    <w:rsid w:val="00515E3E"/>
    <w:rsid w:val="00515F6F"/>
    <w:rsid w:val="005160FA"/>
    <w:rsid w:val="005165EB"/>
    <w:rsid w:val="005166B8"/>
    <w:rsid w:val="005167CC"/>
    <w:rsid w:val="005169D5"/>
    <w:rsid w:val="00516BA3"/>
    <w:rsid w:val="00516BD3"/>
    <w:rsid w:val="00516C41"/>
    <w:rsid w:val="00516CBE"/>
    <w:rsid w:val="00516D02"/>
    <w:rsid w:val="00516E07"/>
    <w:rsid w:val="00516E90"/>
    <w:rsid w:val="0051708E"/>
    <w:rsid w:val="0051717F"/>
    <w:rsid w:val="005172C8"/>
    <w:rsid w:val="00517370"/>
    <w:rsid w:val="0051742A"/>
    <w:rsid w:val="00517477"/>
    <w:rsid w:val="005174F0"/>
    <w:rsid w:val="00517788"/>
    <w:rsid w:val="005177D8"/>
    <w:rsid w:val="005177FC"/>
    <w:rsid w:val="0051789E"/>
    <w:rsid w:val="00517911"/>
    <w:rsid w:val="00517A86"/>
    <w:rsid w:val="00517C86"/>
    <w:rsid w:val="00517C8E"/>
    <w:rsid w:val="00517DF2"/>
    <w:rsid w:val="00517E5F"/>
    <w:rsid w:val="00517F50"/>
    <w:rsid w:val="00520021"/>
    <w:rsid w:val="0052018E"/>
    <w:rsid w:val="005201E6"/>
    <w:rsid w:val="005203D0"/>
    <w:rsid w:val="005205AC"/>
    <w:rsid w:val="005206F9"/>
    <w:rsid w:val="005207FB"/>
    <w:rsid w:val="00520826"/>
    <w:rsid w:val="0052088B"/>
    <w:rsid w:val="005208B6"/>
    <w:rsid w:val="00520901"/>
    <w:rsid w:val="00520935"/>
    <w:rsid w:val="00520A10"/>
    <w:rsid w:val="00520BCC"/>
    <w:rsid w:val="00520C7C"/>
    <w:rsid w:val="00520D3F"/>
    <w:rsid w:val="00520D93"/>
    <w:rsid w:val="00520E16"/>
    <w:rsid w:val="00521070"/>
    <w:rsid w:val="0052147E"/>
    <w:rsid w:val="005215FD"/>
    <w:rsid w:val="005217EF"/>
    <w:rsid w:val="005218B9"/>
    <w:rsid w:val="00521963"/>
    <w:rsid w:val="005219DC"/>
    <w:rsid w:val="00521AFB"/>
    <w:rsid w:val="00521D09"/>
    <w:rsid w:val="00521E68"/>
    <w:rsid w:val="00521E6E"/>
    <w:rsid w:val="00521EAA"/>
    <w:rsid w:val="00521FE0"/>
    <w:rsid w:val="0052218C"/>
    <w:rsid w:val="005221B9"/>
    <w:rsid w:val="005221C1"/>
    <w:rsid w:val="005223B1"/>
    <w:rsid w:val="005224E3"/>
    <w:rsid w:val="0052251B"/>
    <w:rsid w:val="00522798"/>
    <w:rsid w:val="005228E5"/>
    <w:rsid w:val="00522A02"/>
    <w:rsid w:val="00522AB7"/>
    <w:rsid w:val="00522B2E"/>
    <w:rsid w:val="00522B65"/>
    <w:rsid w:val="00522C2A"/>
    <w:rsid w:val="00522D91"/>
    <w:rsid w:val="00522DAC"/>
    <w:rsid w:val="00522F62"/>
    <w:rsid w:val="005230F5"/>
    <w:rsid w:val="00523160"/>
    <w:rsid w:val="005231B7"/>
    <w:rsid w:val="00523281"/>
    <w:rsid w:val="005232A9"/>
    <w:rsid w:val="0052337E"/>
    <w:rsid w:val="005233AC"/>
    <w:rsid w:val="005233D5"/>
    <w:rsid w:val="0052349D"/>
    <w:rsid w:val="005234EA"/>
    <w:rsid w:val="00523550"/>
    <w:rsid w:val="00523700"/>
    <w:rsid w:val="00523A19"/>
    <w:rsid w:val="00523A83"/>
    <w:rsid w:val="00523B57"/>
    <w:rsid w:val="00523B64"/>
    <w:rsid w:val="00523C41"/>
    <w:rsid w:val="00523CB7"/>
    <w:rsid w:val="00523D32"/>
    <w:rsid w:val="00523DE9"/>
    <w:rsid w:val="00523E5F"/>
    <w:rsid w:val="00523F52"/>
    <w:rsid w:val="00523F79"/>
    <w:rsid w:val="0052401A"/>
    <w:rsid w:val="00524225"/>
    <w:rsid w:val="00524398"/>
    <w:rsid w:val="0052446C"/>
    <w:rsid w:val="0052449E"/>
    <w:rsid w:val="005244C8"/>
    <w:rsid w:val="00524568"/>
    <w:rsid w:val="005247F9"/>
    <w:rsid w:val="00524889"/>
    <w:rsid w:val="0052495F"/>
    <w:rsid w:val="00524BE8"/>
    <w:rsid w:val="00524D9C"/>
    <w:rsid w:val="00524D9F"/>
    <w:rsid w:val="00524F30"/>
    <w:rsid w:val="005250D3"/>
    <w:rsid w:val="0052517B"/>
    <w:rsid w:val="0052519A"/>
    <w:rsid w:val="005251CF"/>
    <w:rsid w:val="00525322"/>
    <w:rsid w:val="00525341"/>
    <w:rsid w:val="00525351"/>
    <w:rsid w:val="00525487"/>
    <w:rsid w:val="0052575D"/>
    <w:rsid w:val="005257BF"/>
    <w:rsid w:val="00525B71"/>
    <w:rsid w:val="00525BF7"/>
    <w:rsid w:val="00525C78"/>
    <w:rsid w:val="00525C90"/>
    <w:rsid w:val="00525D9B"/>
    <w:rsid w:val="00525E59"/>
    <w:rsid w:val="00525EB3"/>
    <w:rsid w:val="00525F11"/>
    <w:rsid w:val="005260EC"/>
    <w:rsid w:val="0052612B"/>
    <w:rsid w:val="0052627D"/>
    <w:rsid w:val="00526305"/>
    <w:rsid w:val="0052636B"/>
    <w:rsid w:val="00526384"/>
    <w:rsid w:val="00526438"/>
    <w:rsid w:val="00526876"/>
    <w:rsid w:val="00526A9A"/>
    <w:rsid w:val="00526AB4"/>
    <w:rsid w:val="00526BB3"/>
    <w:rsid w:val="00526C92"/>
    <w:rsid w:val="00526CEB"/>
    <w:rsid w:val="00526D0D"/>
    <w:rsid w:val="00526E65"/>
    <w:rsid w:val="00526F3C"/>
    <w:rsid w:val="0052703A"/>
    <w:rsid w:val="005270AB"/>
    <w:rsid w:val="00527219"/>
    <w:rsid w:val="00527462"/>
    <w:rsid w:val="0052747F"/>
    <w:rsid w:val="005274EB"/>
    <w:rsid w:val="005275FC"/>
    <w:rsid w:val="0052762B"/>
    <w:rsid w:val="0052768C"/>
    <w:rsid w:val="00527706"/>
    <w:rsid w:val="00527A92"/>
    <w:rsid w:val="00527B5E"/>
    <w:rsid w:val="00527B9B"/>
    <w:rsid w:val="00527D9B"/>
    <w:rsid w:val="00527EFB"/>
    <w:rsid w:val="00527FAC"/>
    <w:rsid w:val="00527FFD"/>
    <w:rsid w:val="0053000A"/>
    <w:rsid w:val="005300FC"/>
    <w:rsid w:val="0053047D"/>
    <w:rsid w:val="00530553"/>
    <w:rsid w:val="00530646"/>
    <w:rsid w:val="00530849"/>
    <w:rsid w:val="0053087B"/>
    <w:rsid w:val="00530896"/>
    <w:rsid w:val="00530AA2"/>
    <w:rsid w:val="00530B05"/>
    <w:rsid w:val="00530B9F"/>
    <w:rsid w:val="00530C2F"/>
    <w:rsid w:val="00530E98"/>
    <w:rsid w:val="0053107B"/>
    <w:rsid w:val="005310AF"/>
    <w:rsid w:val="00531166"/>
    <w:rsid w:val="00531191"/>
    <w:rsid w:val="0053130C"/>
    <w:rsid w:val="0053133E"/>
    <w:rsid w:val="00531778"/>
    <w:rsid w:val="00531992"/>
    <w:rsid w:val="00531A08"/>
    <w:rsid w:val="00531A4E"/>
    <w:rsid w:val="00531B93"/>
    <w:rsid w:val="00531BEE"/>
    <w:rsid w:val="00531C24"/>
    <w:rsid w:val="00531C94"/>
    <w:rsid w:val="00531D64"/>
    <w:rsid w:val="00531F73"/>
    <w:rsid w:val="00531FDD"/>
    <w:rsid w:val="00532013"/>
    <w:rsid w:val="00532041"/>
    <w:rsid w:val="00532113"/>
    <w:rsid w:val="00532149"/>
    <w:rsid w:val="005321C8"/>
    <w:rsid w:val="00532362"/>
    <w:rsid w:val="005323C4"/>
    <w:rsid w:val="00532445"/>
    <w:rsid w:val="005324FC"/>
    <w:rsid w:val="0053270C"/>
    <w:rsid w:val="00532B38"/>
    <w:rsid w:val="00532B43"/>
    <w:rsid w:val="00532BA9"/>
    <w:rsid w:val="00532C39"/>
    <w:rsid w:val="00532D5B"/>
    <w:rsid w:val="00533096"/>
    <w:rsid w:val="005330EC"/>
    <w:rsid w:val="00533146"/>
    <w:rsid w:val="005333A9"/>
    <w:rsid w:val="005333B8"/>
    <w:rsid w:val="00533712"/>
    <w:rsid w:val="0053383F"/>
    <w:rsid w:val="00533924"/>
    <w:rsid w:val="00533A6D"/>
    <w:rsid w:val="00533B53"/>
    <w:rsid w:val="00533C11"/>
    <w:rsid w:val="00533D37"/>
    <w:rsid w:val="00533DFB"/>
    <w:rsid w:val="0053422C"/>
    <w:rsid w:val="005342C3"/>
    <w:rsid w:val="0053430F"/>
    <w:rsid w:val="0053431F"/>
    <w:rsid w:val="0053436E"/>
    <w:rsid w:val="00534381"/>
    <w:rsid w:val="005343CD"/>
    <w:rsid w:val="00534428"/>
    <w:rsid w:val="00534466"/>
    <w:rsid w:val="00534580"/>
    <w:rsid w:val="005345FA"/>
    <w:rsid w:val="005346C4"/>
    <w:rsid w:val="00534846"/>
    <w:rsid w:val="005348CF"/>
    <w:rsid w:val="00534A07"/>
    <w:rsid w:val="00534A19"/>
    <w:rsid w:val="00534BCC"/>
    <w:rsid w:val="00534C6E"/>
    <w:rsid w:val="00534D5D"/>
    <w:rsid w:val="00534E23"/>
    <w:rsid w:val="00534EE4"/>
    <w:rsid w:val="00534F04"/>
    <w:rsid w:val="00534FB6"/>
    <w:rsid w:val="00534FEB"/>
    <w:rsid w:val="00535151"/>
    <w:rsid w:val="00535175"/>
    <w:rsid w:val="0053521C"/>
    <w:rsid w:val="0053557C"/>
    <w:rsid w:val="00535621"/>
    <w:rsid w:val="00535662"/>
    <w:rsid w:val="005356AE"/>
    <w:rsid w:val="0053599D"/>
    <w:rsid w:val="005359C1"/>
    <w:rsid w:val="00535AAD"/>
    <w:rsid w:val="00535ABE"/>
    <w:rsid w:val="00535B43"/>
    <w:rsid w:val="00535D58"/>
    <w:rsid w:val="00535DA0"/>
    <w:rsid w:val="00535E03"/>
    <w:rsid w:val="00535F86"/>
    <w:rsid w:val="00536115"/>
    <w:rsid w:val="00536136"/>
    <w:rsid w:val="0053620C"/>
    <w:rsid w:val="005362F5"/>
    <w:rsid w:val="0053631B"/>
    <w:rsid w:val="005363D0"/>
    <w:rsid w:val="005363DD"/>
    <w:rsid w:val="005363F4"/>
    <w:rsid w:val="0053649B"/>
    <w:rsid w:val="0053659F"/>
    <w:rsid w:val="0053662B"/>
    <w:rsid w:val="00536742"/>
    <w:rsid w:val="00536753"/>
    <w:rsid w:val="0053675C"/>
    <w:rsid w:val="0053688B"/>
    <w:rsid w:val="00536A11"/>
    <w:rsid w:val="00536ADC"/>
    <w:rsid w:val="00536BE1"/>
    <w:rsid w:val="00536C52"/>
    <w:rsid w:val="00536DD5"/>
    <w:rsid w:val="00536EB2"/>
    <w:rsid w:val="00536F81"/>
    <w:rsid w:val="0053701A"/>
    <w:rsid w:val="00537054"/>
    <w:rsid w:val="0053716C"/>
    <w:rsid w:val="0053716F"/>
    <w:rsid w:val="005371D1"/>
    <w:rsid w:val="00537240"/>
    <w:rsid w:val="0053725B"/>
    <w:rsid w:val="00537268"/>
    <w:rsid w:val="00537315"/>
    <w:rsid w:val="0053737E"/>
    <w:rsid w:val="00537637"/>
    <w:rsid w:val="00537648"/>
    <w:rsid w:val="00537658"/>
    <w:rsid w:val="005376B5"/>
    <w:rsid w:val="005376F3"/>
    <w:rsid w:val="00537748"/>
    <w:rsid w:val="005377C3"/>
    <w:rsid w:val="00537C26"/>
    <w:rsid w:val="00537D50"/>
    <w:rsid w:val="00537E67"/>
    <w:rsid w:val="00537EA4"/>
    <w:rsid w:val="00537EB2"/>
    <w:rsid w:val="00537F21"/>
    <w:rsid w:val="00537F4B"/>
    <w:rsid w:val="00537FB5"/>
    <w:rsid w:val="00540120"/>
    <w:rsid w:val="0054017A"/>
    <w:rsid w:val="0054025D"/>
    <w:rsid w:val="005402CB"/>
    <w:rsid w:val="0054047D"/>
    <w:rsid w:val="00540551"/>
    <w:rsid w:val="00540577"/>
    <w:rsid w:val="00540597"/>
    <w:rsid w:val="00540769"/>
    <w:rsid w:val="005407B1"/>
    <w:rsid w:val="00540968"/>
    <w:rsid w:val="005409B2"/>
    <w:rsid w:val="00540AA3"/>
    <w:rsid w:val="00540BD7"/>
    <w:rsid w:val="00540BF8"/>
    <w:rsid w:val="00540C57"/>
    <w:rsid w:val="00540CDB"/>
    <w:rsid w:val="00540D0C"/>
    <w:rsid w:val="0054111C"/>
    <w:rsid w:val="00541438"/>
    <w:rsid w:val="00541534"/>
    <w:rsid w:val="00541652"/>
    <w:rsid w:val="005416CA"/>
    <w:rsid w:val="005416F7"/>
    <w:rsid w:val="00541930"/>
    <w:rsid w:val="00541940"/>
    <w:rsid w:val="0054198E"/>
    <w:rsid w:val="00541AF3"/>
    <w:rsid w:val="00541C60"/>
    <w:rsid w:val="00541C6D"/>
    <w:rsid w:val="00541D60"/>
    <w:rsid w:val="00541D65"/>
    <w:rsid w:val="00541D80"/>
    <w:rsid w:val="00542249"/>
    <w:rsid w:val="0054226E"/>
    <w:rsid w:val="0054231E"/>
    <w:rsid w:val="00542421"/>
    <w:rsid w:val="00542596"/>
    <w:rsid w:val="00542619"/>
    <w:rsid w:val="0054274C"/>
    <w:rsid w:val="00542816"/>
    <w:rsid w:val="00542CDE"/>
    <w:rsid w:val="00542CFB"/>
    <w:rsid w:val="00542D5A"/>
    <w:rsid w:val="00542F32"/>
    <w:rsid w:val="00543036"/>
    <w:rsid w:val="0054303D"/>
    <w:rsid w:val="005430F2"/>
    <w:rsid w:val="00543113"/>
    <w:rsid w:val="005431A6"/>
    <w:rsid w:val="0054334D"/>
    <w:rsid w:val="0054338D"/>
    <w:rsid w:val="00543429"/>
    <w:rsid w:val="00543500"/>
    <w:rsid w:val="005435F4"/>
    <w:rsid w:val="00543634"/>
    <w:rsid w:val="00543953"/>
    <w:rsid w:val="00543984"/>
    <w:rsid w:val="005439FA"/>
    <w:rsid w:val="00543A50"/>
    <w:rsid w:val="00543A60"/>
    <w:rsid w:val="00543A73"/>
    <w:rsid w:val="00543A97"/>
    <w:rsid w:val="00543E83"/>
    <w:rsid w:val="00543E9C"/>
    <w:rsid w:val="00544024"/>
    <w:rsid w:val="0054410B"/>
    <w:rsid w:val="00544162"/>
    <w:rsid w:val="0054428D"/>
    <w:rsid w:val="00544765"/>
    <w:rsid w:val="0054484C"/>
    <w:rsid w:val="0054487B"/>
    <w:rsid w:val="00544970"/>
    <w:rsid w:val="00544981"/>
    <w:rsid w:val="00544BB4"/>
    <w:rsid w:val="00544BDB"/>
    <w:rsid w:val="00544D9A"/>
    <w:rsid w:val="00544DE1"/>
    <w:rsid w:val="00544F61"/>
    <w:rsid w:val="0054503C"/>
    <w:rsid w:val="00545052"/>
    <w:rsid w:val="0054506A"/>
    <w:rsid w:val="005450A7"/>
    <w:rsid w:val="00545150"/>
    <w:rsid w:val="005451C6"/>
    <w:rsid w:val="0054537B"/>
    <w:rsid w:val="00545496"/>
    <w:rsid w:val="0054568F"/>
    <w:rsid w:val="005456DD"/>
    <w:rsid w:val="00545703"/>
    <w:rsid w:val="00545750"/>
    <w:rsid w:val="005457D4"/>
    <w:rsid w:val="00545806"/>
    <w:rsid w:val="00545999"/>
    <w:rsid w:val="00545FCE"/>
    <w:rsid w:val="00546015"/>
    <w:rsid w:val="00546092"/>
    <w:rsid w:val="0054612E"/>
    <w:rsid w:val="005461EE"/>
    <w:rsid w:val="005462E8"/>
    <w:rsid w:val="005464BC"/>
    <w:rsid w:val="005465E2"/>
    <w:rsid w:val="005466F2"/>
    <w:rsid w:val="005466FA"/>
    <w:rsid w:val="00546871"/>
    <w:rsid w:val="00546947"/>
    <w:rsid w:val="00546950"/>
    <w:rsid w:val="005469FB"/>
    <w:rsid w:val="00546CFF"/>
    <w:rsid w:val="00546D32"/>
    <w:rsid w:val="00546DC1"/>
    <w:rsid w:val="00546E93"/>
    <w:rsid w:val="00546F9C"/>
    <w:rsid w:val="00547085"/>
    <w:rsid w:val="0054717E"/>
    <w:rsid w:val="005471D0"/>
    <w:rsid w:val="005471E4"/>
    <w:rsid w:val="00547254"/>
    <w:rsid w:val="0054728F"/>
    <w:rsid w:val="005472C3"/>
    <w:rsid w:val="005475E4"/>
    <w:rsid w:val="0054768F"/>
    <w:rsid w:val="005476C7"/>
    <w:rsid w:val="0054789B"/>
    <w:rsid w:val="005478C9"/>
    <w:rsid w:val="00547A8D"/>
    <w:rsid w:val="00547AA4"/>
    <w:rsid w:val="00547B71"/>
    <w:rsid w:val="00547BDB"/>
    <w:rsid w:val="00547C52"/>
    <w:rsid w:val="00547DD9"/>
    <w:rsid w:val="00547E0A"/>
    <w:rsid w:val="00550010"/>
    <w:rsid w:val="00550054"/>
    <w:rsid w:val="005500C9"/>
    <w:rsid w:val="0055010C"/>
    <w:rsid w:val="00550216"/>
    <w:rsid w:val="0055027A"/>
    <w:rsid w:val="0055031D"/>
    <w:rsid w:val="005504EE"/>
    <w:rsid w:val="005504F4"/>
    <w:rsid w:val="005505C4"/>
    <w:rsid w:val="005507D6"/>
    <w:rsid w:val="00550820"/>
    <w:rsid w:val="00550922"/>
    <w:rsid w:val="00550B13"/>
    <w:rsid w:val="00550B89"/>
    <w:rsid w:val="00550BFA"/>
    <w:rsid w:val="00550E5A"/>
    <w:rsid w:val="00550FC0"/>
    <w:rsid w:val="00551003"/>
    <w:rsid w:val="005510DE"/>
    <w:rsid w:val="00551159"/>
    <w:rsid w:val="005513A0"/>
    <w:rsid w:val="005513F1"/>
    <w:rsid w:val="0055148C"/>
    <w:rsid w:val="005515AD"/>
    <w:rsid w:val="0055168A"/>
    <w:rsid w:val="00551A82"/>
    <w:rsid w:val="00551A8A"/>
    <w:rsid w:val="00551AA5"/>
    <w:rsid w:val="00551B66"/>
    <w:rsid w:val="00551D0C"/>
    <w:rsid w:val="00551F81"/>
    <w:rsid w:val="0055244B"/>
    <w:rsid w:val="00552590"/>
    <w:rsid w:val="00552639"/>
    <w:rsid w:val="0055279D"/>
    <w:rsid w:val="005527C1"/>
    <w:rsid w:val="0055285D"/>
    <w:rsid w:val="00552B1D"/>
    <w:rsid w:val="00552C3F"/>
    <w:rsid w:val="00552EA4"/>
    <w:rsid w:val="00552FE3"/>
    <w:rsid w:val="005531BD"/>
    <w:rsid w:val="005531EF"/>
    <w:rsid w:val="005532E5"/>
    <w:rsid w:val="0055333F"/>
    <w:rsid w:val="00553355"/>
    <w:rsid w:val="00553379"/>
    <w:rsid w:val="00553413"/>
    <w:rsid w:val="00553540"/>
    <w:rsid w:val="0055366D"/>
    <w:rsid w:val="00553A63"/>
    <w:rsid w:val="00553ADE"/>
    <w:rsid w:val="00553B10"/>
    <w:rsid w:val="00553B42"/>
    <w:rsid w:val="00553C19"/>
    <w:rsid w:val="00553D08"/>
    <w:rsid w:val="00553E15"/>
    <w:rsid w:val="00553F57"/>
    <w:rsid w:val="00554005"/>
    <w:rsid w:val="00554069"/>
    <w:rsid w:val="0055434A"/>
    <w:rsid w:val="00554472"/>
    <w:rsid w:val="00554473"/>
    <w:rsid w:val="00554512"/>
    <w:rsid w:val="0055454C"/>
    <w:rsid w:val="005546AA"/>
    <w:rsid w:val="00554813"/>
    <w:rsid w:val="00554821"/>
    <w:rsid w:val="00554A8E"/>
    <w:rsid w:val="00554B11"/>
    <w:rsid w:val="00554BF4"/>
    <w:rsid w:val="00554C5F"/>
    <w:rsid w:val="00554CC4"/>
    <w:rsid w:val="00554DFA"/>
    <w:rsid w:val="00554EEF"/>
    <w:rsid w:val="00554FD4"/>
    <w:rsid w:val="00555044"/>
    <w:rsid w:val="00555243"/>
    <w:rsid w:val="005552BC"/>
    <w:rsid w:val="00555358"/>
    <w:rsid w:val="005553A5"/>
    <w:rsid w:val="005553ED"/>
    <w:rsid w:val="005554AA"/>
    <w:rsid w:val="005554BB"/>
    <w:rsid w:val="0055552A"/>
    <w:rsid w:val="0055556C"/>
    <w:rsid w:val="0055556D"/>
    <w:rsid w:val="005555CD"/>
    <w:rsid w:val="00555A8A"/>
    <w:rsid w:val="00555AB1"/>
    <w:rsid w:val="00555D0F"/>
    <w:rsid w:val="00555DDF"/>
    <w:rsid w:val="00555EC5"/>
    <w:rsid w:val="00555F5C"/>
    <w:rsid w:val="00556048"/>
    <w:rsid w:val="005560E4"/>
    <w:rsid w:val="00556174"/>
    <w:rsid w:val="005563F6"/>
    <w:rsid w:val="00556606"/>
    <w:rsid w:val="00556713"/>
    <w:rsid w:val="00556780"/>
    <w:rsid w:val="00556783"/>
    <w:rsid w:val="005567B2"/>
    <w:rsid w:val="00556908"/>
    <w:rsid w:val="00556945"/>
    <w:rsid w:val="00556952"/>
    <w:rsid w:val="00556A09"/>
    <w:rsid w:val="00556A62"/>
    <w:rsid w:val="00556A96"/>
    <w:rsid w:val="00556AED"/>
    <w:rsid w:val="00556B35"/>
    <w:rsid w:val="00556C4C"/>
    <w:rsid w:val="00556C70"/>
    <w:rsid w:val="00556DED"/>
    <w:rsid w:val="00556E57"/>
    <w:rsid w:val="00556E88"/>
    <w:rsid w:val="00556EE9"/>
    <w:rsid w:val="00556F0C"/>
    <w:rsid w:val="00556F3F"/>
    <w:rsid w:val="00557123"/>
    <w:rsid w:val="00557201"/>
    <w:rsid w:val="005572BC"/>
    <w:rsid w:val="00557640"/>
    <w:rsid w:val="005576C4"/>
    <w:rsid w:val="00557870"/>
    <w:rsid w:val="005579F9"/>
    <w:rsid w:val="00557B4B"/>
    <w:rsid w:val="00557C4D"/>
    <w:rsid w:val="00557C56"/>
    <w:rsid w:val="00557D9C"/>
    <w:rsid w:val="00557DFB"/>
    <w:rsid w:val="00557F5B"/>
    <w:rsid w:val="00557FEB"/>
    <w:rsid w:val="00557FFB"/>
    <w:rsid w:val="00560024"/>
    <w:rsid w:val="00560114"/>
    <w:rsid w:val="0056017A"/>
    <w:rsid w:val="0056020B"/>
    <w:rsid w:val="0056024A"/>
    <w:rsid w:val="00560277"/>
    <w:rsid w:val="00560420"/>
    <w:rsid w:val="00560444"/>
    <w:rsid w:val="0056047B"/>
    <w:rsid w:val="00560562"/>
    <w:rsid w:val="00560737"/>
    <w:rsid w:val="0056083D"/>
    <w:rsid w:val="0056091C"/>
    <w:rsid w:val="00560938"/>
    <w:rsid w:val="005609BC"/>
    <w:rsid w:val="005609F9"/>
    <w:rsid w:val="00560A41"/>
    <w:rsid w:val="00560A8F"/>
    <w:rsid w:val="00560AF1"/>
    <w:rsid w:val="00560B2B"/>
    <w:rsid w:val="00560C75"/>
    <w:rsid w:val="00560D4C"/>
    <w:rsid w:val="00560D60"/>
    <w:rsid w:val="0056115C"/>
    <w:rsid w:val="00561317"/>
    <w:rsid w:val="0056133A"/>
    <w:rsid w:val="0056153C"/>
    <w:rsid w:val="00561562"/>
    <w:rsid w:val="0056157B"/>
    <w:rsid w:val="0056162E"/>
    <w:rsid w:val="00561687"/>
    <w:rsid w:val="0056172F"/>
    <w:rsid w:val="00561835"/>
    <w:rsid w:val="00561865"/>
    <w:rsid w:val="0056188B"/>
    <w:rsid w:val="00561915"/>
    <w:rsid w:val="005619A0"/>
    <w:rsid w:val="00561A8C"/>
    <w:rsid w:val="00561C50"/>
    <w:rsid w:val="00561CCA"/>
    <w:rsid w:val="00561DB2"/>
    <w:rsid w:val="00561E14"/>
    <w:rsid w:val="00561E4F"/>
    <w:rsid w:val="00561EAB"/>
    <w:rsid w:val="00561F8C"/>
    <w:rsid w:val="0056204E"/>
    <w:rsid w:val="00562066"/>
    <w:rsid w:val="005620FF"/>
    <w:rsid w:val="0056215F"/>
    <w:rsid w:val="00562169"/>
    <w:rsid w:val="005621EB"/>
    <w:rsid w:val="00562220"/>
    <w:rsid w:val="00562264"/>
    <w:rsid w:val="005623FB"/>
    <w:rsid w:val="00562503"/>
    <w:rsid w:val="005625C8"/>
    <w:rsid w:val="005625EB"/>
    <w:rsid w:val="005626CE"/>
    <w:rsid w:val="0056287C"/>
    <w:rsid w:val="00562B2D"/>
    <w:rsid w:val="00562E3F"/>
    <w:rsid w:val="00562E56"/>
    <w:rsid w:val="00562E7E"/>
    <w:rsid w:val="00562F98"/>
    <w:rsid w:val="00562FD5"/>
    <w:rsid w:val="00563182"/>
    <w:rsid w:val="005631A3"/>
    <w:rsid w:val="005631C7"/>
    <w:rsid w:val="005632EB"/>
    <w:rsid w:val="0056338C"/>
    <w:rsid w:val="005633E6"/>
    <w:rsid w:val="00563400"/>
    <w:rsid w:val="00563406"/>
    <w:rsid w:val="0056345C"/>
    <w:rsid w:val="005634BB"/>
    <w:rsid w:val="005635A9"/>
    <w:rsid w:val="0056361B"/>
    <w:rsid w:val="005637F8"/>
    <w:rsid w:val="0056385D"/>
    <w:rsid w:val="005638F3"/>
    <w:rsid w:val="00563947"/>
    <w:rsid w:val="00563A28"/>
    <w:rsid w:val="00563A2A"/>
    <w:rsid w:val="00563A43"/>
    <w:rsid w:val="00563C86"/>
    <w:rsid w:val="00563C93"/>
    <w:rsid w:val="00563DE6"/>
    <w:rsid w:val="00563DF6"/>
    <w:rsid w:val="00563E1C"/>
    <w:rsid w:val="00563E86"/>
    <w:rsid w:val="00563ED5"/>
    <w:rsid w:val="00563FA5"/>
    <w:rsid w:val="005641AA"/>
    <w:rsid w:val="005642EF"/>
    <w:rsid w:val="00564311"/>
    <w:rsid w:val="005643C6"/>
    <w:rsid w:val="005645C3"/>
    <w:rsid w:val="0056497E"/>
    <w:rsid w:val="00564AC8"/>
    <w:rsid w:val="00564B79"/>
    <w:rsid w:val="00564C13"/>
    <w:rsid w:val="00564C39"/>
    <w:rsid w:val="00564F10"/>
    <w:rsid w:val="00564FE7"/>
    <w:rsid w:val="005651FD"/>
    <w:rsid w:val="0056528D"/>
    <w:rsid w:val="0056529B"/>
    <w:rsid w:val="0056532D"/>
    <w:rsid w:val="005655D8"/>
    <w:rsid w:val="005656F2"/>
    <w:rsid w:val="005658B9"/>
    <w:rsid w:val="00565926"/>
    <w:rsid w:val="00565AFD"/>
    <w:rsid w:val="00565B64"/>
    <w:rsid w:val="00565C6D"/>
    <w:rsid w:val="00565D3D"/>
    <w:rsid w:val="00565E6C"/>
    <w:rsid w:val="00565E7C"/>
    <w:rsid w:val="00565EF4"/>
    <w:rsid w:val="005660F2"/>
    <w:rsid w:val="00566216"/>
    <w:rsid w:val="0056628B"/>
    <w:rsid w:val="00566298"/>
    <w:rsid w:val="00566440"/>
    <w:rsid w:val="005664A9"/>
    <w:rsid w:val="00566515"/>
    <w:rsid w:val="00566527"/>
    <w:rsid w:val="00566802"/>
    <w:rsid w:val="00566820"/>
    <w:rsid w:val="0056682D"/>
    <w:rsid w:val="0056689F"/>
    <w:rsid w:val="00566C3C"/>
    <w:rsid w:val="00566DB7"/>
    <w:rsid w:val="00566F53"/>
    <w:rsid w:val="00567006"/>
    <w:rsid w:val="00567071"/>
    <w:rsid w:val="005670DA"/>
    <w:rsid w:val="00567118"/>
    <w:rsid w:val="005671E1"/>
    <w:rsid w:val="005673CF"/>
    <w:rsid w:val="0056753C"/>
    <w:rsid w:val="0056755A"/>
    <w:rsid w:val="005677A4"/>
    <w:rsid w:val="00567B01"/>
    <w:rsid w:val="00567B7D"/>
    <w:rsid w:val="00567C57"/>
    <w:rsid w:val="00567FD2"/>
    <w:rsid w:val="0057020C"/>
    <w:rsid w:val="005703B1"/>
    <w:rsid w:val="005704E8"/>
    <w:rsid w:val="00570571"/>
    <w:rsid w:val="0057058A"/>
    <w:rsid w:val="00570647"/>
    <w:rsid w:val="0057078F"/>
    <w:rsid w:val="0057079E"/>
    <w:rsid w:val="005708A3"/>
    <w:rsid w:val="00570915"/>
    <w:rsid w:val="0057091E"/>
    <w:rsid w:val="0057099C"/>
    <w:rsid w:val="00570AB2"/>
    <w:rsid w:val="00570BDD"/>
    <w:rsid w:val="00570E5C"/>
    <w:rsid w:val="00570EE7"/>
    <w:rsid w:val="00570FE9"/>
    <w:rsid w:val="00571279"/>
    <w:rsid w:val="00571281"/>
    <w:rsid w:val="005714FB"/>
    <w:rsid w:val="00571693"/>
    <w:rsid w:val="005716BB"/>
    <w:rsid w:val="00571716"/>
    <w:rsid w:val="0057177B"/>
    <w:rsid w:val="005719D5"/>
    <w:rsid w:val="00571A4B"/>
    <w:rsid w:val="00571A7C"/>
    <w:rsid w:val="00571B18"/>
    <w:rsid w:val="00571C92"/>
    <w:rsid w:val="00571DAF"/>
    <w:rsid w:val="00571DF2"/>
    <w:rsid w:val="00571F46"/>
    <w:rsid w:val="0057212F"/>
    <w:rsid w:val="0057236E"/>
    <w:rsid w:val="005723D6"/>
    <w:rsid w:val="0057247E"/>
    <w:rsid w:val="005724C3"/>
    <w:rsid w:val="00572547"/>
    <w:rsid w:val="0057268E"/>
    <w:rsid w:val="0057272D"/>
    <w:rsid w:val="005727D5"/>
    <w:rsid w:val="0057285A"/>
    <w:rsid w:val="00572A74"/>
    <w:rsid w:val="00572B5E"/>
    <w:rsid w:val="00572BAE"/>
    <w:rsid w:val="00572C04"/>
    <w:rsid w:val="00572C64"/>
    <w:rsid w:val="00572DB2"/>
    <w:rsid w:val="00572DC2"/>
    <w:rsid w:val="0057305B"/>
    <w:rsid w:val="0057328D"/>
    <w:rsid w:val="00573370"/>
    <w:rsid w:val="005733EF"/>
    <w:rsid w:val="005735B6"/>
    <w:rsid w:val="0057380A"/>
    <w:rsid w:val="00573814"/>
    <w:rsid w:val="00573868"/>
    <w:rsid w:val="0057386D"/>
    <w:rsid w:val="00573898"/>
    <w:rsid w:val="005738DC"/>
    <w:rsid w:val="00573D40"/>
    <w:rsid w:val="00573E33"/>
    <w:rsid w:val="00573F8F"/>
    <w:rsid w:val="00574052"/>
    <w:rsid w:val="00574054"/>
    <w:rsid w:val="005741C0"/>
    <w:rsid w:val="0057423A"/>
    <w:rsid w:val="00574345"/>
    <w:rsid w:val="0057455D"/>
    <w:rsid w:val="005746DF"/>
    <w:rsid w:val="005748E1"/>
    <w:rsid w:val="005748F4"/>
    <w:rsid w:val="00574A32"/>
    <w:rsid w:val="00574A6E"/>
    <w:rsid w:val="00574ADB"/>
    <w:rsid w:val="00574C73"/>
    <w:rsid w:val="00574CBD"/>
    <w:rsid w:val="00574CDB"/>
    <w:rsid w:val="00574D5A"/>
    <w:rsid w:val="00574D6D"/>
    <w:rsid w:val="00574DDE"/>
    <w:rsid w:val="00574F2E"/>
    <w:rsid w:val="00575052"/>
    <w:rsid w:val="005752FC"/>
    <w:rsid w:val="00575385"/>
    <w:rsid w:val="005753D3"/>
    <w:rsid w:val="005754BB"/>
    <w:rsid w:val="0057552D"/>
    <w:rsid w:val="00575593"/>
    <w:rsid w:val="005755A6"/>
    <w:rsid w:val="005755FC"/>
    <w:rsid w:val="00575834"/>
    <w:rsid w:val="00575B14"/>
    <w:rsid w:val="00575B34"/>
    <w:rsid w:val="00575B8E"/>
    <w:rsid w:val="00575BA7"/>
    <w:rsid w:val="00575C17"/>
    <w:rsid w:val="00575E06"/>
    <w:rsid w:val="00575E6C"/>
    <w:rsid w:val="00575EDD"/>
    <w:rsid w:val="00575F62"/>
    <w:rsid w:val="00575FBF"/>
    <w:rsid w:val="0057603D"/>
    <w:rsid w:val="00576077"/>
    <w:rsid w:val="005761A7"/>
    <w:rsid w:val="005761FC"/>
    <w:rsid w:val="00576406"/>
    <w:rsid w:val="0057685F"/>
    <w:rsid w:val="005768F1"/>
    <w:rsid w:val="00576A20"/>
    <w:rsid w:val="00576C1E"/>
    <w:rsid w:val="00576D80"/>
    <w:rsid w:val="00576E24"/>
    <w:rsid w:val="00576F54"/>
    <w:rsid w:val="00577145"/>
    <w:rsid w:val="00577250"/>
    <w:rsid w:val="005773BE"/>
    <w:rsid w:val="00577430"/>
    <w:rsid w:val="00577440"/>
    <w:rsid w:val="005774B5"/>
    <w:rsid w:val="005778BC"/>
    <w:rsid w:val="0057791F"/>
    <w:rsid w:val="00577AA4"/>
    <w:rsid w:val="00577C0D"/>
    <w:rsid w:val="00577CF3"/>
    <w:rsid w:val="00577CFE"/>
    <w:rsid w:val="00577D42"/>
    <w:rsid w:val="00577D57"/>
    <w:rsid w:val="00577D93"/>
    <w:rsid w:val="00577DB3"/>
    <w:rsid w:val="00577F76"/>
    <w:rsid w:val="00577FAD"/>
    <w:rsid w:val="00580115"/>
    <w:rsid w:val="00580237"/>
    <w:rsid w:val="005802D0"/>
    <w:rsid w:val="005803C0"/>
    <w:rsid w:val="00580677"/>
    <w:rsid w:val="0058068D"/>
    <w:rsid w:val="005806AB"/>
    <w:rsid w:val="005808E1"/>
    <w:rsid w:val="0058092A"/>
    <w:rsid w:val="00580988"/>
    <w:rsid w:val="00580A0B"/>
    <w:rsid w:val="00580A49"/>
    <w:rsid w:val="00580B33"/>
    <w:rsid w:val="00580D29"/>
    <w:rsid w:val="00580DDC"/>
    <w:rsid w:val="00580E0C"/>
    <w:rsid w:val="00580E5A"/>
    <w:rsid w:val="00580EED"/>
    <w:rsid w:val="00580EF3"/>
    <w:rsid w:val="00580F5B"/>
    <w:rsid w:val="00580FB7"/>
    <w:rsid w:val="00581243"/>
    <w:rsid w:val="005812F0"/>
    <w:rsid w:val="00581656"/>
    <w:rsid w:val="005816F6"/>
    <w:rsid w:val="005819DC"/>
    <w:rsid w:val="00581A17"/>
    <w:rsid w:val="00581A25"/>
    <w:rsid w:val="00581A40"/>
    <w:rsid w:val="00581B82"/>
    <w:rsid w:val="00581C7B"/>
    <w:rsid w:val="00581EC2"/>
    <w:rsid w:val="00581ECD"/>
    <w:rsid w:val="00582027"/>
    <w:rsid w:val="00582173"/>
    <w:rsid w:val="0058218B"/>
    <w:rsid w:val="005821C5"/>
    <w:rsid w:val="0058227D"/>
    <w:rsid w:val="005822C6"/>
    <w:rsid w:val="00582365"/>
    <w:rsid w:val="005823EF"/>
    <w:rsid w:val="00582540"/>
    <w:rsid w:val="00582549"/>
    <w:rsid w:val="00582589"/>
    <w:rsid w:val="0058264E"/>
    <w:rsid w:val="005827B9"/>
    <w:rsid w:val="00582B19"/>
    <w:rsid w:val="00582C29"/>
    <w:rsid w:val="00582CA1"/>
    <w:rsid w:val="00582E11"/>
    <w:rsid w:val="00582ED4"/>
    <w:rsid w:val="00582FEC"/>
    <w:rsid w:val="00583091"/>
    <w:rsid w:val="0058324F"/>
    <w:rsid w:val="0058326F"/>
    <w:rsid w:val="005833B4"/>
    <w:rsid w:val="0058347B"/>
    <w:rsid w:val="005835A9"/>
    <w:rsid w:val="005836A0"/>
    <w:rsid w:val="00583805"/>
    <w:rsid w:val="005839ED"/>
    <w:rsid w:val="00583ABB"/>
    <w:rsid w:val="00583CDB"/>
    <w:rsid w:val="00583D78"/>
    <w:rsid w:val="00583E1A"/>
    <w:rsid w:val="00583EF9"/>
    <w:rsid w:val="00583F88"/>
    <w:rsid w:val="00583FA6"/>
    <w:rsid w:val="005842B1"/>
    <w:rsid w:val="005843BB"/>
    <w:rsid w:val="00584478"/>
    <w:rsid w:val="00584564"/>
    <w:rsid w:val="0058461A"/>
    <w:rsid w:val="00584859"/>
    <w:rsid w:val="00584888"/>
    <w:rsid w:val="0058499E"/>
    <w:rsid w:val="00584D63"/>
    <w:rsid w:val="00584DAC"/>
    <w:rsid w:val="00584E7B"/>
    <w:rsid w:val="0058507B"/>
    <w:rsid w:val="005850C3"/>
    <w:rsid w:val="00585168"/>
    <w:rsid w:val="0058539C"/>
    <w:rsid w:val="00585463"/>
    <w:rsid w:val="005855F8"/>
    <w:rsid w:val="00585648"/>
    <w:rsid w:val="005856C2"/>
    <w:rsid w:val="0058586F"/>
    <w:rsid w:val="005858C3"/>
    <w:rsid w:val="00585C1B"/>
    <w:rsid w:val="00585C46"/>
    <w:rsid w:val="00585CE7"/>
    <w:rsid w:val="00585EB7"/>
    <w:rsid w:val="00585EFE"/>
    <w:rsid w:val="00585F65"/>
    <w:rsid w:val="00586061"/>
    <w:rsid w:val="00586284"/>
    <w:rsid w:val="0058633C"/>
    <w:rsid w:val="00586430"/>
    <w:rsid w:val="00586449"/>
    <w:rsid w:val="005866CA"/>
    <w:rsid w:val="00586815"/>
    <w:rsid w:val="00586932"/>
    <w:rsid w:val="00586AFD"/>
    <w:rsid w:val="00586C3F"/>
    <w:rsid w:val="00586E11"/>
    <w:rsid w:val="00586E17"/>
    <w:rsid w:val="00586E7E"/>
    <w:rsid w:val="00586E91"/>
    <w:rsid w:val="00586FB7"/>
    <w:rsid w:val="005870A6"/>
    <w:rsid w:val="00587159"/>
    <w:rsid w:val="00587229"/>
    <w:rsid w:val="00587277"/>
    <w:rsid w:val="005873D1"/>
    <w:rsid w:val="00587533"/>
    <w:rsid w:val="00587567"/>
    <w:rsid w:val="00587639"/>
    <w:rsid w:val="005876F8"/>
    <w:rsid w:val="0058789A"/>
    <w:rsid w:val="005878C6"/>
    <w:rsid w:val="005879EE"/>
    <w:rsid w:val="00587A80"/>
    <w:rsid w:val="00587B9F"/>
    <w:rsid w:val="00587C0B"/>
    <w:rsid w:val="00587CBC"/>
    <w:rsid w:val="00587D6F"/>
    <w:rsid w:val="00587E45"/>
    <w:rsid w:val="00587E60"/>
    <w:rsid w:val="00587E6F"/>
    <w:rsid w:val="00587F9C"/>
    <w:rsid w:val="00590010"/>
    <w:rsid w:val="00590113"/>
    <w:rsid w:val="0059013B"/>
    <w:rsid w:val="00590156"/>
    <w:rsid w:val="00590278"/>
    <w:rsid w:val="00590385"/>
    <w:rsid w:val="00590419"/>
    <w:rsid w:val="00590453"/>
    <w:rsid w:val="00590545"/>
    <w:rsid w:val="005905F8"/>
    <w:rsid w:val="00590683"/>
    <w:rsid w:val="00590829"/>
    <w:rsid w:val="00590830"/>
    <w:rsid w:val="00590D10"/>
    <w:rsid w:val="00590D17"/>
    <w:rsid w:val="00590EFC"/>
    <w:rsid w:val="00590F14"/>
    <w:rsid w:val="00590F89"/>
    <w:rsid w:val="00590F95"/>
    <w:rsid w:val="0059122E"/>
    <w:rsid w:val="00591249"/>
    <w:rsid w:val="005912C3"/>
    <w:rsid w:val="005914E0"/>
    <w:rsid w:val="00591552"/>
    <w:rsid w:val="00591804"/>
    <w:rsid w:val="00591884"/>
    <w:rsid w:val="00591912"/>
    <w:rsid w:val="00591A26"/>
    <w:rsid w:val="00591A5A"/>
    <w:rsid w:val="00591CAD"/>
    <w:rsid w:val="00591E91"/>
    <w:rsid w:val="00591F48"/>
    <w:rsid w:val="0059231D"/>
    <w:rsid w:val="005923BA"/>
    <w:rsid w:val="0059242E"/>
    <w:rsid w:val="00592638"/>
    <w:rsid w:val="005927F9"/>
    <w:rsid w:val="0059282A"/>
    <w:rsid w:val="00592A8D"/>
    <w:rsid w:val="00592C38"/>
    <w:rsid w:val="00592D14"/>
    <w:rsid w:val="00592E26"/>
    <w:rsid w:val="00592EB1"/>
    <w:rsid w:val="00592EB9"/>
    <w:rsid w:val="00592F67"/>
    <w:rsid w:val="00593022"/>
    <w:rsid w:val="00593050"/>
    <w:rsid w:val="00593138"/>
    <w:rsid w:val="005932F6"/>
    <w:rsid w:val="00593350"/>
    <w:rsid w:val="00593380"/>
    <w:rsid w:val="005933D0"/>
    <w:rsid w:val="00593433"/>
    <w:rsid w:val="00593599"/>
    <w:rsid w:val="005936C6"/>
    <w:rsid w:val="0059389C"/>
    <w:rsid w:val="00593A07"/>
    <w:rsid w:val="00593A32"/>
    <w:rsid w:val="00593A33"/>
    <w:rsid w:val="00593C64"/>
    <w:rsid w:val="00593D0D"/>
    <w:rsid w:val="00593DBD"/>
    <w:rsid w:val="00593E3B"/>
    <w:rsid w:val="00593EC6"/>
    <w:rsid w:val="00593FE0"/>
    <w:rsid w:val="005941A2"/>
    <w:rsid w:val="005943B3"/>
    <w:rsid w:val="005947B5"/>
    <w:rsid w:val="005947FF"/>
    <w:rsid w:val="00594802"/>
    <w:rsid w:val="00594A3C"/>
    <w:rsid w:val="00594ADF"/>
    <w:rsid w:val="00594B01"/>
    <w:rsid w:val="00594C1C"/>
    <w:rsid w:val="00594D83"/>
    <w:rsid w:val="00594DBE"/>
    <w:rsid w:val="00594FA4"/>
    <w:rsid w:val="00594FE2"/>
    <w:rsid w:val="005951FB"/>
    <w:rsid w:val="00595549"/>
    <w:rsid w:val="005956C6"/>
    <w:rsid w:val="005957F4"/>
    <w:rsid w:val="00595B38"/>
    <w:rsid w:val="00595B40"/>
    <w:rsid w:val="00595D6F"/>
    <w:rsid w:val="00595E2A"/>
    <w:rsid w:val="005960BB"/>
    <w:rsid w:val="005961BC"/>
    <w:rsid w:val="0059623B"/>
    <w:rsid w:val="0059623E"/>
    <w:rsid w:val="0059635D"/>
    <w:rsid w:val="005963DE"/>
    <w:rsid w:val="0059648A"/>
    <w:rsid w:val="00596507"/>
    <w:rsid w:val="00596650"/>
    <w:rsid w:val="005967C7"/>
    <w:rsid w:val="0059683C"/>
    <w:rsid w:val="005968B3"/>
    <w:rsid w:val="005968FE"/>
    <w:rsid w:val="00596967"/>
    <w:rsid w:val="00596AB1"/>
    <w:rsid w:val="00596B3A"/>
    <w:rsid w:val="00596B73"/>
    <w:rsid w:val="00596C2D"/>
    <w:rsid w:val="00596C8E"/>
    <w:rsid w:val="00596FA8"/>
    <w:rsid w:val="00596FC2"/>
    <w:rsid w:val="00597088"/>
    <w:rsid w:val="00597089"/>
    <w:rsid w:val="00597121"/>
    <w:rsid w:val="00597225"/>
    <w:rsid w:val="0059725E"/>
    <w:rsid w:val="005972B2"/>
    <w:rsid w:val="005972C8"/>
    <w:rsid w:val="00597376"/>
    <w:rsid w:val="005973EB"/>
    <w:rsid w:val="00597407"/>
    <w:rsid w:val="00597510"/>
    <w:rsid w:val="0059751E"/>
    <w:rsid w:val="0059766F"/>
    <w:rsid w:val="00597688"/>
    <w:rsid w:val="00597705"/>
    <w:rsid w:val="00597743"/>
    <w:rsid w:val="005977AC"/>
    <w:rsid w:val="00597986"/>
    <w:rsid w:val="00597A30"/>
    <w:rsid w:val="00597A4B"/>
    <w:rsid w:val="00597A70"/>
    <w:rsid w:val="00597BF2"/>
    <w:rsid w:val="005A0128"/>
    <w:rsid w:val="005A025F"/>
    <w:rsid w:val="005A0291"/>
    <w:rsid w:val="005A040C"/>
    <w:rsid w:val="005A0489"/>
    <w:rsid w:val="005A0496"/>
    <w:rsid w:val="005A0633"/>
    <w:rsid w:val="005A06F3"/>
    <w:rsid w:val="005A0726"/>
    <w:rsid w:val="005A0778"/>
    <w:rsid w:val="005A0A56"/>
    <w:rsid w:val="005A0A59"/>
    <w:rsid w:val="005A0ACB"/>
    <w:rsid w:val="005A0B3B"/>
    <w:rsid w:val="005A0B9B"/>
    <w:rsid w:val="005A0CBB"/>
    <w:rsid w:val="005A0D14"/>
    <w:rsid w:val="005A0E39"/>
    <w:rsid w:val="005A0ECE"/>
    <w:rsid w:val="005A0FC9"/>
    <w:rsid w:val="005A1063"/>
    <w:rsid w:val="005A10D8"/>
    <w:rsid w:val="005A10DB"/>
    <w:rsid w:val="005A10EC"/>
    <w:rsid w:val="005A11A4"/>
    <w:rsid w:val="005A12B4"/>
    <w:rsid w:val="005A1420"/>
    <w:rsid w:val="005A1488"/>
    <w:rsid w:val="005A1572"/>
    <w:rsid w:val="005A15AB"/>
    <w:rsid w:val="005A16FE"/>
    <w:rsid w:val="005A1AE8"/>
    <w:rsid w:val="005A1B71"/>
    <w:rsid w:val="005A1B9E"/>
    <w:rsid w:val="005A1BA1"/>
    <w:rsid w:val="005A1BA5"/>
    <w:rsid w:val="005A1DA3"/>
    <w:rsid w:val="005A1DA8"/>
    <w:rsid w:val="005A1DAA"/>
    <w:rsid w:val="005A1E4B"/>
    <w:rsid w:val="005A2065"/>
    <w:rsid w:val="005A2163"/>
    <w:rsid w:val="005A2180"/>
    <w:rsid w:val="005A21F9"/>
    <w:rsid w:val="005A2295"/>
    <w:rsid w:val="005A22FD"/>
    <w:rsid w:val="005A2313"/>
    <w:rsid w:val="005A23D0"/>
    <w:rsid w:val="005A23D7"/>
    <w:rsid w:val="005A244A"/>
    <w:rsid w:val="005A24F7"/>
    <w:rsid w:val="005A25B9"/>
    <w:rsid w:val="005A266A"/>
    <w:rsid w:val="005A26DE"/>
    <w:rsid w:val="005A2772"/>
    <w:rsid w:val="005A27A2"/>
    <w:rsid w:val="005A27BA"/>
    <w:rsid w:val="005A28AE"/>
    <w:rsid w:val="005A29BD"/>
    <w:rsid w:val="005A2C06"/>
    <w:rsid w:val="005A2CA4"/>
    <w:rsid w:val="005A2DCE"/>
    <w:rsid w:val="005A2E94"/>
    <w:rsid w:val="005A2EA9"/>
    <w:rsid w:val="005A2F1E"/>
    <w:rsid w:val="005A2F5E"/>
    <w:rsid w:val="005A300C"/>
    <w:rsid w:val="005A3177"/>
    <w:rsid w:val="005A318F"/>
    <w:rsid w:val="005A3222"/>
    <w:rsid w:val="005A3272"/>
    <w:rsid w:val="005A3433"/>
    <w:rsid w:val="005A3697"/>
    <w:rsid w:val="005A39D6"/>
    <w:rsid w:val="005A3A6A"/>
    <w:rsid w:val="005A3AFA"/>
    <w:rsid w:val="005A3C64"/>
    <w:rsid w:val="005A3D50"/>
    <w:rsid w:val="005A3E50"/>
    <w:rsid w:val="005A3F02"/>
    <w:rsid w:val="005A3F12"/>
    <w:rsid w:val="005A3FDC"/>
    <w:rsid w:val="005A4035"/>
    <w:rsid w:val="005A4047"/>
    <w:rsid w:val="005A407F"/>
    <w:rsid w:val="005A40B5"/>
    <w:rsid w:val="005A419C"/>
    <w:rsid w:val="005A428D"/>
    <w:rsid w:val="005A42AD"/>
    <w:rsid w:val="005A4300"/>
    <w:rsid w:val="005A4384"/>
    <w:rsid w:val="005A43ED"/>
    <w:rsid w:val="005A4567"/>
    <w:rsid w:val="005A4674"/>
    <w:rsid w:val="005A4682"/>
    <w:rsid w:val="005A46F7"/>
    <w:rsid w:val="005A4749"/>
    <w:rsid w:val="005A47A7"/>
    <w:rsid w:val="005A4BE9"/>
    <w:rsid w:val="005A4C18"/>
    <w:rsid w:val="005A4D3A"/>
    <w:rsid w:val="005A4D6D"/>
    <w:rsid w:val="005A4E89"/>
    <w:rsid w:val="005A4EDE"/>
    <w:rsid w:val="005A4F3F"/>
    <w:rsid w:val="005A4F6D"/>
    <w:rsid w:val="005A50E9"/>
    <w:rsid w:val="005A540F"/>
    <w:rsid w:val="005A545C"/>
    <w:rsid w:val="005A5743"/>
    <w:rsid w:val="005A591F"/>
    <w:rsid w:val="005A59BA"/>
    <w:rsid w:val="005A59BB"/>
    <w:rsid w:val="005A5B3F"/>
    <w:rsid w:val="005A5B5A"/>
    <w:rsid w:val="005A5BAF"/>
    <w:rsid w:val="005A5C98"/>
    <w:rsid w:val="005A5D29"/>
    <w:rsid w:val="005A5F57"/>
    <w:rsid w:val="005A6366"/>
    <w:rsid w:val="005A6616"/>
    <w:rsid w:val="005A66F8"/>
    <w:rsid w:val="005A6745"/>
    <w:rsid w:val="005A6755"/>
    <w:rsid w:val="005A67F8"/>
    <w:rsid w:val="005A6C11"/>
    <w:rsid w:val="005A6C86"/>
    <w:rsid w:val="005A6CDD"/>
    <w:rsid w:val="005A6D30"/>
    <w:rsid w:val="005A6DC8"/>
    <w:rsid w:val="005A6E4B"/>
    <w:rsid w:val="005A6F59"/>
    <w:rsid w:val="005A7012"/>
    <w:rsid w:val="005A7028"/>
    <w:rsid w:val="005A70BB"/>
    <w:rsid w:val="005A710D"/>
    <w:rsid w:val="005A7136"/>
    <w:rsid w:val="005A71A9"/>
    <w:rsid w:val="005A7263"/>
    <w:rsid w:val="005A74F1"/>
    <w:rsid w:val="005A768E"/>
    <w:rsid w:val="005A777E"/>
    <w:rsid w:val="005A7926"/>
    <w:rsid w:val="005A79AC"/>
    <w:rsid w:val="005A7A5E"/>
    <w:rsid w:val="005A7B86"/>
    <w:rsid w:val="005A7BD8"/>
    <w:rsid w:val="005A7D5E"/>
    <w:rsid w:val="005B010E"/>
    <w:rsid w:val="005B0118"/>
    <w:rsid w:val="005B0313"/>
    <w:rsid w:val="005B0339"/>
    <w:rsid w:val="005B033F"/>
    <w:rsid w:val="005B0442"/>
    <w:rsid w:val="005B050B"/>
    <w:rsid w:val="005B054C"/>
    <w:rsid w:val="005B05CA"/>
    <w:rsid w:val="005B05D2"/>
    <w:rsid w:val="005B0861"/>
    <w:rsid w:val="005B0ACE"/>
    <w:rsid w:val="005B0AFD"/>
    <w:rsid w:val="005B0B8A"/>
    <w:rsid w:val="005B0CA4"/>
    <w:rsid w:val="005B0F53"/>
    <w:rsid w:val="005B0F94"/>
    <w:rsid w:val="005B0FC2"/>
    <w:rsid w:val="005B112E"/>
    <w:rsid w:val="005B1139"/>
    <w:rsid w:val="005B11E6"/>
    <w:rsid w:val="005B11FB"/>
    <w:rsid w:val="005B144E"/>
    <w:rsid w:val="005B147D"/>
    <w:rsid w:val="005B14F7"/>
    <w:rsid w:val="005B1556"/>
    <w:rsid w:val="005B1619"/>
    <w:rsid w:val="005B1744"/>
    <w:rsid w:val="005B17E1"/>
    <w:rsid w:val="005B183D"/>
    <w:rsid w:val="005B1879"/>
    <w:rsid w:val="005B1A32"/>
    <w:rsid w:val="005B1B43"/>
    <w:rsid w:val="005B1B51"/>
    <w:rsid w:val="005B1C07"/>
    <w:rsid w:val="005B1C11"/>
    <w:rsid w:val="005B1C68"/>
    <w:rsid w:val="005B1D09"/>
    <w:rsid w:val="005B1EBC"/>
    <w:rsid w:val="005B211A"/>
    <w:rsid w:val="005B2272"/>
    <w:rsid w:val="005B23DB"/>
    <w:rsid w:val="005B23EA"/>
    <w:rsid w:val="005B2503"/>
    <w:rsid w:val="005B2582"/>
    <w:rsid w:val="005B25CF"/>
    <w:rsid w:val="005B263F"/>
    <w:rsid w:val="005B2661"/>
    <w:rsid w:val="005B26BE"/>
    <w:rsid w:val="005B27B3"/>
    <w:rsid w:val="005B27BA"/>
    <w:rsid w:val="005B29B3"/>
    <w:rsid w:val="005B2BA5"/>
    <w:rsid w:val="005B2CD4"/>
    <w:rsid w:val="005B2D91"/>
    <w:rsid w:val="005B2DA4"/>
    <w:rsid w:val="005B2E24"/>
    <w:rsid w:val="005B2E59"/>
    <w:rsid w:val="005B2E6A"/>
    <w:rsid w:val="005B2E82"/>
    <w:rsid w:val="005B2E86"/>
    <w:rsid w:val="005B2F08"/>
    <w:rsid w:val="005B301E"/>
    <w:rsid w:val="005B3026"/>
    <w:rsid w:val="005B31C1"/>
    <w:rsid w:val="005B32A1"/>
    <w:rsid w:val="005B3333"/>
    <w:rsid w:val="005B3355"/>
    <w:rsid w:val="005B3432"/>
    <w:rsid w:val="005B3438"/>
    <w:rsid w:val="005B34DD"/>
    <w:rsid w:val="005B3597"/>
    <w:rsid w:val="005B35CE"/>
    <w:rsid w:val="005B3622"/>
    <w:rsid w:val="005B3624"/>
    <w:rsid w:val="005B36DE"/>
    <w:rsid w:val="005B3963"/>
    <w:rsid w:val="005B39AA"/>
    <w:rsid w:val="005B3BD6"/>
    <w:rsid w:val="005B3D1A"/>
    <w:rsid w:val="005B3DC8"/>
    <w:rsid w:val="005B3EC0"/>
    <w:rsid w:val="005B4046"/>
    <w:rsid w:val="005B4263"/>
    <w:rsid w:val="005B43A1"/>
    <w:rsid w:val="005B4546"/>
    <w:rsid w:val="005B45A6"/>
    <w:rsid w:val="005B47FC"/>
    <w:rsid w:val="005B488A"/>
    <w:rsid w:val="005B48CF"/>
    <w:rsid w:val="005B4955"/>
    <w:rsid w:val="005B49ED"/>
    <w:rsid w:val="005B4C96"/>
    <w:rsid w:val="005B4D89"/>
    <w:rsid w:val="005B4DE5"/>
    <w:rsid w:val="005B4FB0"/>
    <w:rsid w:val="005B4FC9"/>
    <w:rsid w:val="005B5113"/>
    <w:rsid w:val="005B533F"/>
    <w:rsid w:val="005B53C8"/>
    <w:rsid w:val="005B549B"/>
    <w:rsid w:val="005B5510"/>
    <w:rsid w:val="005B5562"/>
    <w:rsid w:val="005B55C5"/>
    <w:rsid w:val="005B57BB"/>
    <w:rsid w:val="005B5845"/>
    <w:rsid w:val="005B596B"/>
    <w:rsid w:val="005B5AFF"/>
    <w:rsid w:val="005B5BAA"/>
    <w:rsid w:val="005B5BDD"/>
    <w:rsid w:val="005B5D87"/>
    <w:rsid w:val="005B5DA6"/>
    <w:rsid w:val="005B5E2A"/>
    <w:rsid w:val="005B5E7E"/>
    <w:rsid w:val="005B5EBD"/>
    <w:rsid w:val="005B5FC1"/>
    <w:rsid w:val="005B6063"/>
    <w:rsid w:val="005B62CB"/>
    <w:rsid w:val="005B62D4"/>
    <w:rsid w:val="005B62E4"/>
    <w:rsid w:val="005B6481"/>
    <w:rsid w:val="005B6A02"/>
    <w:rsid w:val="005B6DCB"/>
    <w:rsid w:val="005B6F05"/>
    <w:rsid w:val="005B6F1E"/>
    <w:rsid w:val="005B6F2A"/>
    <w:rsid w:val="005B7063"/>
    <w:rsid w:val="005B70C3"/>
    <w:rsid w:val="005B713E"/>
    <w:rsid w:val="005B7262"/>
    <w:rsid w:val="005B7464"/>
    <w:rsid w:val="005B7568"/>
    <w:rsid w:val="005B76EF"/>
    <w:rsid w:val="005B7754"/>
    <w:rsid w:val="005B777A"/>
    <w:rsid w:val="005B7922"/>
    <w:rsid w:val="005B79A0"/>
    <w:rsid w:val="005B79F1"/>
    <w:rsid w:val="005B7A96"/>
    <w:rsid w:val="005B7AF0"/>
    <w:rsid w:val="005B7BFE"/>
    <w:rsid w:val="005B7C8E"/>
    <w:rsid w:val="005B7CFB"/>
    <w:rsid w:val="005B7D6C"/>
    <w:rsid w:val="005B7E21"/>
    <w:rsid w:val="005B7EB7"/>
    <w:rsid w:val="005B7F30"/>
    <w:rsid w:val="005C0065"/>
    <w:rsid w:val="005C0108"/>
    <w:rsid w:val="005C018D"/>
    <w:rsid w:val="005C01DA"/>
    <w:rsid w:val="005C038E"/>
    <w:rsid w:val="005C03D3"/>
    <w:rsid w:val="005C03FB"/>
    <w:rsid w:val="005C0646"/>
    <w:rsid w:val="005C0733"/>
    <w:rsid w:val="005C0786"/>
    <w:rsid w:val="005C09AA"/>
    <w:rsid w:val="005C09EB"/>
    <w:rsid w:val="005C0A01"/>
    <w:rsid w:val="005C0B09"/>
    <w:rsid w:val="005C0B2E"/>
    <w:rsid w:val="005C0C60"/>
    <w:rsid w:val="005C0D5E"/>
    <w:rsid w:val="005C0DF3"/>
    <w:rsid w:val="005C0E14"/>
    <w:rsid w:val="005C0E83"/>
    <w:rsid w:val="005C0FA5"/>
    <w:rsid w:val="005C1029"/>
    <w:rsid w:val="005C10D8"/>
    <w:rsid w:val="005C124F"/>
    <w:rsid w:val="005C1562"/>
    <w:rsid w:val="005C158D"/>
    <w:rsid w:val="005C1685"/>
    <w:rsid w:val="005C176F"/>
    <w:rsid w:val="005C17D6"/>
    <w:rsid w:val="005C190C"/>
    <w:rsid w:val="005C1A71"/>
    <w:rsid w:val="005C1AAB"/>
    <w:rsid w:val="005C1ABA"/>
    <w:rsid w:val="005C1B2E"/>
    <w:rsid w:val="005C1DC4"/>
    <w:rsid w:val="005C1FA3"/>
    <w:rsid w:val="005C1FF3"/>
    <w:rsid w:val="005C23BE"/>
    <w:rsid w:val="005C245E"/>
    <w:rsid w:val="005C25A0"/>
    <w:rsid w:val="005C25CE"/>
    <w:rsid w:val="005C25E1"/>
    <w:rsid w:val="005C29CD"/>
    <w:rsid w:val="005C2B11"/>
    <w:rsid w:val="005C2B74"/>
    <w:rsid w:val="005C2E62"/>
    <w:rsid w:val="005C2F6E"/>
    <w:rsid w:val="005C301C"/>
    <w:rsid w:val="005C3100"/>
    <w:rsid w:val="005C3270"/>
    <w:rsid w:val="005C32A4"/>
    <w:rsid w:val="005C32FF"/>
    <w:rsid w:val="005C337F"/>
    <w:rsid w:val="005C344C"/>
    <w:rsid w:val="005C34C6"/>
    <w:rsid w:val="005C36F6"/>
    <w:rsid w:val="005C3769"/>
    <w:rsid w:val="005C3841"/>
    <w:rsid w:val="005C384D"/>
    <w:rsid w:val="005C3993"/>
    <w:rsid w:val="005C3B55"/>
    <w:rsid w:val="005C3E02"/>
    <w:rsid w:val="005C3E76"/>
    <w:rsid w:val="005C4013"/>
    <w:rsid w:val="005C4240"/>
    <w:rsid w:val="005C42C2"/>
    <w:rsid w:val="005C434F"/>
    <w:rsid w:val="005C4514"/>
    <w:rsid w:val="005C4517"/>
    <w:rsid w:val="005C4524"/>
    <w:rsid w:val="005C454B"/>
    <w:rsid w:val="005C4559"/>
    <w:rsid w:val="005C475F"/>
    <w:rsid w:val="005C484B"/>
    <w:rsid w:val="005C4B59"/>
    <w:rsid w:val="005C4C10"/>
    <w:rsid w:val="005C4C48"/>
    <w:rsid w:val="005C5160"/>
    <w:rsid w:val="005C528C"/>
    <w:rsid w:val="005C5331"/>
    <w:rsid w:val="005C54E4"/>
    <w:rsid w:val="005C55C0"/>
    <w:rsid w:val="005C55F1"/>
    <w:rsid w:val="005C5630"/>
    <w:rsid w:val="005C56A3"/>
    <w:rsid w:val="005C56F3"/>
    <w:rsid w:val="005C58D6"/>
    <w:rsid w:val="005C5A17"/>
    <w:rsid w:val="005C5AA2"/>
    <w:rsid w:val="005C5C19"/>
    <w:rsid w:val="005C5E50"/>
    <w:rsid w:val="005C629C"/>
    <w:rsid w:val="005C6318"/>
    <w:rsid w:val="005C6518"/>
    <w:rsid w:val="005C65B5"/>
    <w:rsid w:val="005C66D9"/>
    <w:rsid w:val="005C6735"/>
    <w:rsid w:val="005C674D"/>
    <w:rsid w:val="005C679E"/>
    <w:rsid w:val="005C67E1"/>
    <w:rsid w:val="005C6A0E"/>
    <w:rsid w:val="005C6AAA"/>
    <w:rsid w:val="005C6D10"/>
    <w:rsid w:val="005C6DA3"/>
    <w:rsid w:val="005C6E8D"/>
    <w:rsid w:val="005C7056"/>
    <w:rsid w:val="005C7086"/>
    <w:rsid w:val="005C7091"/>
    <w:rsid w:val="005C714E"/>
    <w:rsid w:val="005C7215"/>
    <w:rsid w:val="005C72BB"/>
    <w:rsid w:val="005C73C4"/>
    <w:rsid w:val="005C748A"/>
    <w:rsid w:val="005C764A"/>
    <w:rsid w:val="005C7782"/>
    <w:rsid w:val="005C7860"/>
    <w:rsid w:val="005C7870"/>
    <w:rsid w:val="005C7886"/>
    <w:rsid w:val="005C7981"/>
    <w:rsid w:val="005C79D5"/>
    <w:rsid w:val="005C7B84"/>
    <w:rsid w:val="005C7BDB"/>
    <w:rsid w:val="005D00EA"/>
    <w:rsid w:val="005D023B"/>
    <w:rsid w:val="005D02C4"/>
    <w:rsid w:val="005D0335"/>
    <w:rsid w:val="005D0346"/>
    <w:rsid w:val="005D0556"/>
    <w:rsid w:val="005D057C"/>
    <w:rsid w:val="005D0717"/>
    <w:rsid w:val="005D08C4"/>
    <w:rsid w:val="005D0ABD"/>
    <w:rsid w:val="005D0BCB"/>
    <w:rsid w:val="005D0C99"/>
    <w:rsid w:val="005D0F62"/>
    <w:rsid w:val="005D0FD4"/>
    <w:rsid w:val="005D0FD9"/>
    <w:rsid w:val="005D1082"/>
    <w:rsid w:val="005D1091"/>
    <w:rsid w:val="005D10AB"/>
    <w:rsid w:val="005D1199"/>
    <w:rsid w:val="005D11C3"/>
    <w:rsid w:val="005D11CB"/>
    <w:rsid w:val="005D1322"/>
    <w:rsid w:val="005D1324"/>
    <w:rsid w:val="005D141E"/>
    <w:rsid w:val="005D1433"/>
    <w:rsid w:val="005D1674"/>
    <w:rsid w:val="005D1679"/>
    <w:rsid w:val="005D1A26"/>
    <w:rsid w:val="005D1BCB"/>
    <w:rsid w:val="005D1D67"/>
    <w:rsid w:val="005D1E29"/>
    <w:rsid w:val="005D1E43"/>
    <w:rsid w:val="005D1F2C"/>
    <w:rsid w:val="005D2231"/>
    <w:rsid w:val="005D2304"/>
    <w:rsid w:val="005D2494"/>
    <w:rsid w:val="005D2686"/>
    <w:rsid w:val="005D2815"/>
    <w:rsid w:val="005D2863"/>
    <w:rsid w:val="005D290D"/>
    <w:rsid w:val="005D2A8E"/>
    <w:rsid w:val="005D2AA8"/>
    <w:rsid w:val="005D2B1F"/>
    <w:rsid w:val="005D2B7D"/>
    <w:rsid w:val="005D2DBA"/>
    <w:rsid w:val="005D3046"/>
    <w:rsid w:val="005D3132"/>
    <w:rsid w:val="005D31FB"/>
    <w:rsid w:val="005D337A"/>
    <w:rsid w:val="005D35A5"/>
    <w:rsid w:val="005D371C"/>
    <w:rsid w:val="005D37A5"/>
    <w:rsid w:val="005D3951"/>
    <w:rsid w:val="005D397F"/>
    <w:rsid w:val="005D39B0"/>
    <w:rsid w:val="005D3A04"/>
    <w:rsid w:val="005D3AB3"/>
    <w:rsid w:val="005D3C88"/>
    <w:rsid w:val="005D40F8"/>
    <w:rsid w:val="005D40FB"/>
    <w:rsid w:val="005D4119"/>
    <w:rsid w:val="005D42A6"/>
    <w:rsid w:val="005D442F"/>
    <w:rsid w:val="005D44E1"/>
    <w:rsid w:val="005D450E"/>
    <w:rsid w:val="005D451C"/>
    <w:rsid w:val="005D4559"/>
    <w:rsid w:val="005D46C7"/>
    <w:rsid w:val="005D476B"/>
    <w:rsid w:val="005D48FE"/>
    <w:rsid w:val="005D490A"/>
    <w:rsid w:val="005D4989"/>
    <w:rsid w:val="005D49C9"/>
    <w:rsid w:val="005D4A4D"/>
    <w:rsid w:val="005D4C0A"/>
    <w:rsid w:val="005D4DF0"/>
    <w:rsid w:val="005D4EF7"/>
    <w:rsid w:val="005D4F57"/>
    <w:rsid w:val="005D51AE"/>
    <w:rsid w:val="005D52E0"/>
    <w:rsid w:val="005D5344"/>
    <w:rsid w:val="005D53E8"/>
    <w:rsid w:val="005D5445"/>
    <w:rsid w:val="005D5539"/>
    <w:rsid w:val="005D55A6"/>
    <w:rsid w:val="005D5AA0"/>
    <w:rsid w:val="005D5BF7"/>
    <w:rsid w:val="005D5DB5"/>
    <w:rsid w:val="005D5E6E"/>
    <w:rsid w:val="005D5F57"/>
    <w:rsid w:val="005D5FBD"/>
    <w:rsid w:val="005D6059"/>
    <w:rsid w:val="005D60D1"/>
    <w:rsid w:val="005D62D1"/>
    <w:rsid w:val="005D634C"/>
    <w:rsid w:val="005D643F"/>
    <w:rsid w:val="005D654F"/>
    <w:rsid w:val="005D65C0"/>
    <w:rsid w:val="005D65F9"/>
    <w:rsid w:val="005D67A7"/>
    <w:rsid w:val="005D6A24"/>
    <w:rsid w:val="005D6AAA"/>
    <w:rsid w:val="005D6B9D"/>
    <w:rsid w:val="005D6D16"/>
    <w:rsid w:val="005D6E34"/>
    <w:rsid w:val="005D6E97"/>
    <w:rsid w:val="005D6F62"/>
    <w:rsid w:val="005D72D9"/>
    <w:rsid w:val="005D7320"/>
    <w:rsid w:val="005D73A7"/>
    <w:rsid w:val="005D743C"/>
    <w:rsid w:val="005D7471"/>
    <w:rsid w:val="005D749D"/>
    <w:rsid w:val="005D74E6"/>
    <w:rsid w:val="005D7518"/>
    <w:rsid w:val="005D763D"/>
    <w:rsid w:val="005D77FB"/>
    <w:rsid w:val="005D7A72"/>
    <w:rsid w:val="005D7AB3"/>
    <w:rsid w:val="005D7BAB"/>
    <w:rsid w:val="005D7BB1"/>
    <w:rsid w:val="005D7CC6"/>
    <w:rsid w:val="005D7D7F"/>
    <w:rsid w:val="005D7EFC"/>
    <w:rsid w:val="005D7FA3"/>
    <w:rsid w:val="005D7FB6"/>
    <w:rsid w:val="005E005D"/>
    <w:rsid w:val="005E00E9"/>
    <w:rsid w:val="005E0194"/>
    <w:rsid w:val="005E02A1"/>
    <w:rsid w:val="005E0447"/>
    <w:rsid w:val="005E045D"/>
    <w:rsid w:val="005E061F"/>
    <w:rsid w:val="005E0697"/>
    <w:rsid w:val="005E0786"/>
    <w:rsid w:val="005E07F1"/>
    <w:rsid w:val="005E0BE6"/>
    <w:rsid w:val="005E0C87"/>
    <w:rsid w:val="005E0DD3"/>
    <w:rsid w:val="005E10E0"/>
    <w:rsid w:val="005E110A"/>
    <w:rsid w:val="005E131B"/>
    <w:rsid w:val="005E1724"/>
    <w:rsid w:val="005E1796"/>
    <w:rsid w:val="005E18D8"/>
    <w:rsid w:val="005E19AA"/>
    <w:rsid w:val="005E1A12"/>
    <w:rsid w:val="005E1A4C"/>
    <w:rsid w:val="005E1AA0"/>
    <w:rsid w:val="005E1ADA"/>
    <w:rsid w:val="005E1C9E"/>
    <w:rsid w:val="005E1CB9"/>
    <w:rsid w:val="005E1D25"/>
    <w:rsid w:val="005E1F85"/>
    <w:rsid w:val="005E201B"/>
    <w:rsid w:val="005E215C"/>
    <w:rsid w:val="005E2243"/>
    <w:rsid w:val="005E238F"/>
    <w:rsid w:val="005E2691"/>
    <w:rsid w:val="005E2702"/>
    <w:rsid w:val="005E27CC"/>
    <w:rsid w:val="005E2802"/>
    <w:rsid w:val="005E283C"/>
    <w:rsid w:val="005E2BE6"/>
    <w:rsid w:val="005E2D91"/>
    <w:rsid w:val="005E2EA9"/>
    <w:rsid w:val="005E2EAA"/>
    <w:rsid w:val="005E2EB5"/>
    <w:rsid w:val="005E3085"/>
    <w:rsid w:val="005E3089"/>
    <w:rsid w:val="005E30BA"/>
    <w:rsid w:val="005E30CB"/>
    <w:rsid w:val="005E33A6"/>
    <w:rsid w:val="005E33E5"/>
    <w:rsid w:val="005E36FD"/>
    <w:rsid w:val="005E379A"/>
    <w:rsid w:val="005E37F2"/>
    <w:rsid w:val="005E38FC"/>
    <w:rsid w:val="005E3B09"/>
    <w:rsid w:val="005E3B8F"/>
    <w:rsid w:val="005E3BEB"/>
    <w:rsid w:val="005E3DD2"/>
    <w:rsid w:val="005E3EFF"/>
    <w:rsid w:val="005E405E"/>
    <w:rsid w:val="005E431A"/>
    <w:rsid w:val="005E43E5"/>
    <w:rsid w:val="005E4454"/>
    <w:rsid w:val="005E458D"/>
    <w:rsid w:val="005E46FA"/>
    <w:rsid w:val="005E48AF"/>
    <w:rsid w:val="005E495C"/>
    <w:rsid w:val="005E49C9"/>
    <w:rsid w:val="005E4AB0"/>
    <w:rsid w:val="005E4AEB"/>
    <w:rsid w:val="005E4B17"/>
    <w:rsid w:val="005E4B81"/>
    <w:rsid w:val="005E4EB3"/>
    <w:rsid w:val="005E5080"/>
    <w:rsid w:val="005E517B"/>
    <w:rsid w:val="005E51BA"/>
    <w:rsid w:val="005E51D3"/>
    <w:rsid w:val="005E5319"/>
    <w:rsid w:val="005E535E"/>
    <w:rsid w:val="005E54EC"/>
    <w:rsid w:val="005E5536"/>
    <w:rsid w:val="005E5548"/>
    <w:rsid w:val="005E5573"/>
    <w:rsid w:val="005E55B4"/>
    <w:rsid w:val="005E55BA"/>
    <w:rsid w:val="005E5622"/>
    <w:rsid w:val="005E564A"/>
    <w:rsid w:val="005E5753"/>
    <w:rsid w:val="005E5874"/>
    <w:rsid w:val="005E5A06"/>
    <w:rsid w:val="005E5B1F"/>
    <w:rsid w:val="005E5C3A"/>
    <w:rsid w:val="005E5E16"/>
    <w:rsid w:val="005E6038"/>
    <w:rsid w:val="005E611A"/>
    <w:rsid w:val="005E618E"/>
    <w:rsid w:val="005E6213"/>
    <w:rsid w:val="005E6219"/>
    <w:rsid w:val="005E6345"/>
    <w:rsid w:val="005E6455"/>
    <w:rsid w:val="005E669E"/>
    <w:rsid w:val="005E672C"/>
    <w:rsid w:val="005E67DA"/>
    <w:rsid w:val="005E681A"/>
    <w:rsid w:val="005E6938"/>
    <w:rsid w:val="005E6A04"/>
    <w:rsid w:val="005E6BBE"/>
    <w:rsid w:val="005E6BF3"/>
    <w:rsid w:val="005E6D6B"/>
    <w:rsid w:val="005E6E3B"/>
    <w:rsid w:val="005E6F03"/>
    <w:rsid w:val="005E6F6B"/>
    <w:rsid w:val="005E6F92"/>
    <w:rsid w:val="005E7007"/>
    <w:rsid w:val="005E703A"/>
    <w:rsid w:val="005E71B3"/>
    <w:rsid w:val="005E7244"/>
    <w:rsid w:val="005E7416"/>
    <w:rsid w:val="005E7434"/>
    <w:rsid w:val="005E7486"/>
    <w:rsid w:val="005E757A"/>
    <w:rsid w:val="005E75D5"/>
    <w:rsid w:val="005E76FB"/>
    <w:rsid w:val="005E77BB"/>
    <w:rsid w:val="005E782F"/>
    <w:rsid w:val="005E7892"/>
    <w:rsid w:val="005E7957"/>
    <w:rsid w:val="005E79B0"/>
    <w:rsid w:val="005E7A75"/>
    <w:rsid w:val="005E7B23"/>
    <w:rsid w:val="005E7B7F"/>
    <w:rsid w:val="005E7BC4"/>
    <w:rsid w:val="005E7D74"/>
    <w:rsid w:val="005E7F20"/>
    <w:rsid w:val="005F0173"/>
    <w:rsid w:val="005F041A"/>
    <w:rsid w:val="005F0897"/>
    <w:rsid w:val="005F090D"/>
    <w:rsid w:val="005F0942"/>
    <w:rsid w:val="005F0964"/>
    <w:rsid w:val="005F09A9"/>
    <w:rsid w:val="005F0A32"/>
    <w:rsid w:val="005F0A82"/>
    <w:rsid w:val="005F0CE7"/>
    <w:rsid w:val="005F0D7A"/>
    <w:rsid w:val="005F0DFA"/>
    <w:rsid w:val="005F0EBE"/>
    <w:rsid w:val="005F101F"/>
    <w:rsid w:val="005F1048"/>
    <w:rsid w:val="005F10C2"/>
    <w:rsid w:val="005F112B"/>
    <w:rsid w:val="005F1216"/>
    <w:rsid w:val="005F1297"/>
    <w:rsid w:val="005F12B4"/>
    <w:rsid w:val="005F1514"/>
    <w:rsid w:val="005F1555"/>
    <w:rsid w:val="005F1586"/>
    <w:rsid w:val="005F16A8"/>
    <w:rsid w:val="005F16D4"/>
    <w:rsid w:val="005F17CB"/>
    <w:rsid w:val="005F17DE"/>
    <w:rsid w:val="005F180F"/>
    <w:rsid w:val="005F1822"/>
    <w:rsid w:val="005F1B98"/>
    <w:rsid w:val="005F1BD4"/>
    <w:rsid w:val="005F1C1F"/>
    <w:rsid w:val="005F1C6A"/>
    <w:rsid w:val="005F1CC5"/>
    <w:rsid w:val="005F1EE7"/>
    <w:rsid w:val="005F1F4A"/>
    <w:rsid w:val="005F203D"/>
    <w:rsid w:val="005F208D"/>
    <w:rsid w:val="005F20DD"/>
    <w:rsid w:val="005F2216"/>
    <w:rsid w:val="005F22CB"/>
    <w:rsid w:val="005F23F3"/>
    <w:rsid w:val="005F2490"/>
    <w:rsid w:val="005F24F1"/>
    <w:rsid w:val="005F273F"/>
    <w:rsid w:val="005F2750"/>
    <w:rsid w:val="005F276D"/>
    <w:rsid w:val="005F27D2"/>
    <w:rsid w:val="005F28EB"/>
    <w:rsid w:val="005F2978"/>
    <w:rsid w:val="005F2CA4"/>
    <w:rsid w:val="005F2DE4"/>
    <w:rsid w:val="005F2E71"/>
    <w:rsid w:val="005F2F34"/>
    <w:rsid w:val="005F2F49"/>
    <w:rsid w:val="005F2F76"/>
    <w:rsid w:val="005F303A"/>
    <w:rsid w:val="005F31B0"/>
    <w:rsid w:val="005F31F0"/>
    <w:rsid w:val="005F3231"/>
    <w:rsid w:val="005F3314"/>
    <w:rsid w:val="005F347E"/>
    <w:rsid w:val="005F364F"/>
    <w:rsid w:val="005F365C"/>
    <w:rsid w:val="005F368C"/>
    <w:rsid w:val="005F3744"/>
    <w:rsid w:val="005F3751"/>
    <w:rsid w:val="005F38DD"/>
    <w:rsid w:val="005F3B51"/>
    <w:rsid w:val="005F3B59"/>
    <w:rsid w:val="005F3B8E"/>
    <w:rsid w:val="005F3BD0"/>
    <w:rsid w:val="005F3CBD"/>
    <w:rsid w:val="005F3E55"/>
    <w:rsid w:val="005F3EBE"/>
    <w:rsid w:val="005F3ED2"/>
    <w:rsid w:val="005F3EF0"/>
    <w:rsid w:val="005F4080"/>
    <w:rsid w:val="005F4181"/>
    <w:rsid w:val="005F42B0"/>
    <w:rsid w:val="005F437A"/>
    <w:rsid w:val="005F43B0"/>
    <w:rsid w:val="005F43D3"/>
    <w:rsid w:val="005F43E2"/>
    <w:rsid w:val="005F4606"/>
    <w:rsid w:val="005F4699"/>
    <w:rsid w:val="005F4721"/>
    <w:rsid w:val="005F4775"/>
    <w:rsid w:val="005F4A9E"/>
    <w:rsid w:val="005F4B8C"/>
    <w:rsid w:val="005F4BE7"/>
    <w:rsid w:val="005F4C6C"/>
    <w:rsid w:val="005F4CD2"/>
    <w:rsid w:val="005F4D38"/>
    <w:rsid w:val="005F4D61"/>
    <w:rsid w:val="005F4EB8"/>
    <w:rsid w:val="005F4ED1"/>
    <w:rsid w:val="005F4F53"/>
    <w:rsid w:val="005F50A3"/>
    <w:rsid w:val="005F51D7"/>
    <w:rsid w:val="005F51DB"/>
    <w:rsid w:val="005F526A"/>
    <w:rsid w:val="005F5491"/>
    <w:rsid w:val="005F55B7"/>
    <w:rsid w:val="005F56AF"/>
    <w:rsid w:val="005F58A6"/>
    <w:rsid w:val="005F58C7"/>
    <w:rsid w:val="005F59DC"/>
    <w:rsid w:val="005F5B10"/>
    <w:rsid w:val="005F5BC1"/>
    <w:rsid w:val="005F5C8B"/>
    <w:rsid w:val="005F5E34"/>
    <w:rsid w:val="005F5F74"/>
    <w:rsid w:val="005F607F"/>
    <w:rsid w:val="005F60FB"/>
    <w:rsid w:val="005F616A"/>
    <w:rsid w:val="005F64ED"/>
    <w:rsid w:val="005F6541"/>
    <w:rsid w:val="005F68B6"/>
    <w:rsid w:val="005F69C9"/>
    <w:rsid w:val="005F6A58"/>
    <w:rsid w:val="005F6B55"/>
    <w:rsid w:val="005F6B87"/>
    <w:rsid w:val="005F6BE1"/>
    <w:rsid w:val="005F6D1E"/>
    <w:rsid w:val="005F6DBA"/>
    <w:rsid w:val="005F6FE8"/>
    <w:rsid w:val="005F7055"/>
    <w:rsid w:val="005F70B1"/>
    <w:rsid w:val="005F720A"/>
    <w:rsid w:val="005F72DE"/>
    <w:rsid w:val="005F741E"/>
    <w:rsid w:val="005F7508"/>
    <w:rsid w:val="005F765A"/>
    <w:rsid w:val="005F7912"/>
    <w:rsid w:val="005F7A88"/>
    <w:rsid w:val="005F7B39"/>
    <w:rsid w:val="005F7B58"/>
    <w:rsid w:val="005F7B63"/>
    <w:rsid w:val="005F7B87"/>
    <w:rsid w:val="005F7BFB"/>
    <w:rsid w:val="005F7C0E"/>
    <w:rsid w:val="005F7C17"/>
    <w:rsid w:val="005F7E6E"/>
    <w:rsid w:val="005F7E85"/>
    <w:rsid w:val="00600068"/>
    <w:rsid w:val="00600275"/>
    <w:rsid w:val="0060027D"/>
    <w:rsid w:val="006002BC"/>
    <w:rsid w:val="006003D7"/>
    <w:rsid w:val="00600538"/>
    <w:rsid w:val="00600735"/>
    <w:rsid w:val="00600776"/>
    <w:rsid w:val="00600820"/>
    <w:rsid w:val="00600907"/>
    <w:rsid w:val="00600920"/>
    <w:rsid w:val="00600A16"/>
    <w:rsid w:val="00600A6B"/>
    <w:rsid w:val="00600AAF"/>
    <w:rsid w:val="00600AE5"/>
    <w:rsid w:val="00600B21"/>
    <w:rsid w:val="00600BB5"/>
    <w:rsid w:val="00600BB7"/>
    <w:rsid w:val="00600C23"/>
    <w:rsid w:val="00600D24"/>
    <w:rsid w:val="00600D63"/>
    <w:rsid w:val="00600E1D"/>
    <w:rsid w:val="00600E5B"/>
    <w:rsid w:val="00600E8E"/>
    <w:rsid w:val="00600FD5"/>
    <w:rsid w:val="00600FF9"/>
    <w:rsid w:val="00601122"/>
    <w:rsid w:val="00601225"/>
    <w:rsid w:val="006016CB"/>
    <w:rsid w:val="00601877"/>
    <w:rsid w:val="006018B2"/>
    <w:rsid w:val="00601A37"/>
    <w:rsid w:val="00601DB3"/>
    <w:rsid w:val="00601DCC"/>
    <w:rsid w:val="00601EFD"/>
    <w:rsid w:val="00602021"/>
    <w:rsid w:val="006020E7"/>
    <w:rsid w:val="006022E5"/>
    <w:rsid w:val="00602337"/>
    <w:rsid w:val="00602343"/>
    <w:rsid w:val="0060236D"/>
    <w:rsid w:val="006023A5"/>
    <w:rsid w:val="006023CB"/>
    <w:rsid w:val="006024A9"/>
    <w:rsid w:val="006024B0"/>
    <w:rsid w:val="006026A1"/>
    <w:rsid w:val="006026D6"/>
    <w:rsid w:val="00602710"/>
    <w:rsid w:val="00602898"/>
    <w:rsid w:val="006028AB"/>
    <w:rsid w:val="0060292D"/>
    <w:rsid w:val="00602A05"/>
    <w:rsid w:val="00602A52"/>
    <w:rsid w:val="00602AB8"/>
    <w:rsid w:val="00602AFE"/>
    <w:rsid w:val="00602F18"/>
    <w:rsid w:val="00602F36"/>
    <w:rsid w:val="00602F43"/>
    <w:rsid w:val="00602FF1"/>
    <w:rsid w:val="00603056"/>
    <w:rsid w:val="00603120"/>
    <w:rsid w:val="00603228"/>
    <w:rsid w:val="0060328D"/>
    <w:rsid w:val="006032DA"/>
    <w:rsid w:val="006034BC"/>
    <w:rsid w:val="006034C1"/>
    <w:rsid w:val="006036D3"/>
    <w:rsid w:val="006036F6"/>
    <w:rsid w:val="006036FC"/>
    <w:rsid w:val="0060376E"/>
    <w:rsid w:val="006038B3"/>
    <w:rsid w:val="00603939"/>
    <w:rsid w:val="0060399C"/>
    <w:rsid w:val="006039A4"/>
    <w:rsid w:val="00603A23"/>
    <w:rsid w:val="00603A33"/>
    <w:rsid w:val="00603A73"/>
    <w:rsid w:val="00603A88"/>
    <w:rsid w:val="00603AB1"/>
    <w:rsid w:val="00603AD4"/>
    <w:rsid w:val="00603B08"/>
    <w:rsid w:val="00603C2A"/>
    <w:rsid w:val="00603C36"/>
    <w:rsid w:val="00603C77"/>
    <w:rsid w:val="00603EA6"/>
    <w:rsid w:val="00603F6F"/>
    <w:rsid w:val="00603FE9"/>
    <w:rsid w:val="00604068"/>
    <w:rsid w:val="006040FE"/>
    <w:rsid w:val="006041CF"/>
    <w:rsid w:val="00604291"/>
    <w:rsid w:val="00604362"/>
    <w:rsid w:val="006043D2"/>
    <w:rsid w:val="00604586"/>
    <w:rsid w:val="00604599"/>
    <w:rsid w:val="006045B0"/>
    <w:rsid w:val="00604637"/>
    <w:rsid w:val="00604676"/>
    <w:rsid w:val="006048C8"/>
    <w:rsid w:val="006049A6"/>
    <w:rsid w:val="006049F5"/>
    <w:rsid w:val="00604A9A"/>
    <w:rsid w:val="00604B55"/>
    <w:rsid w:val="00604CF5"/>
    <w:rsid w:val="00604D73"/>
    <w:rsid w:val="006053ED"/>
    <w:rsid w:val="00605458"/>
    <w:rsid w:val="006054F3"/>
    <w:rsid w:val="0060563E"/>
    <w:rsid w:val="00605663"/>
    <w:rsid w:val="006056ED"/>
    <w:rsid w:val="00605776"/>
    <w:rsid w:val="006057A7"/>
    <w:rsid w:val="00605D65"/>
    <w:rsid w:val="00605E68"/>
    <w:rsid w:val="00605F82"/>
    <w:rsid w:val="00605F95"/>
    <w:rsid w:val="00605FB3"/>
    <w:rsid w:val="00605FE2"/>
    <w:rsid w:val="00605FE5"/>
    <w:rsid w:val="0060602C"/>
    <w:rsid w:val="006060A2"/>
    <w:rsid w:val="00606106"/>
    <w:rsid w:val="0060625F"/>
    <w:rsid w:val="00606350"/>
    <w:rsid w:val="006064E8"/>
    <w:rsid w:val="0060653B"/>
    <w:rsid w:val="006066CD"/>
    <w:rsid w:val="00606830"/>
    <w:rsid w:val="0060685B"/>
    <w:rsid w:val="006068DA"/>
    <w:rsid w:val="006069FF"/>
    <w:rsid w:val="00606A80"/>
    <w:rsid w:val="00606A92"/>
    <w:rsid w:val="00606A9A"/>
    <w:rsid w:val="00606B88"/>
    <w:rsid w:val="00606C02"/>
    <w:rsid w:val="00606C3C"/>
    <w:rsid w:val="00606C5C"/>
    <w:rsid w:val="00606F32"/>
    <w:rsid w:val="00606FBE"/>
    <w:rsid w:val="00607402"/>
    <w:rsid w:val="0060744F"/>
    <w:rsid w:val="00607672"/>
    <w:rsid w:val="006078FC"/>
    <w:rsid w:val="00607B2E"/>
    <w:rsid w:val="00607F3E"/>
    <w:rsid w:val="00607FC3"/>
    <w:rsid w:val="00610063"/>
    <w:rsid w:val="00610162"/>
    <w:rsid w:val="006101DE"/>
    <w:rsid w:val="0061029F"/>
    <w:rsid w:val="0061039A"/>
    <w:rsid w:val="00610453"/>
    <w:rsid w:val="00610500"/>
    <w:rsid w:val="0061060C"/>
    <w:rsid w:val="006106CC"/>
    <w:rsid w:val="0061071D"/>
    <w:rsid w:val="0061072D"/>
    <w:rsid w:val="00610809"/>
    <w:rsid w:val="00610852"/>
    <w:rsid w:val="0061087E"/>
    <w:rsid w:val="00610A26"/>
    <w:rsid w:val="00610A5A"/>
    <w:rsid w:val="00610ABA"/>
    <w:rsid w:val="00610B49"/>
    <w:rsid w:val="00610B69"/>
    <w:rsid w:val="00610C5B"/>
    <w:rsid w:val="00610C68"/>
    <w:rsid w:val="00610D20"/>
    <w:rsid w:val="00610E81"/>
    <w:rsid w:val="00610FA3"/>
    <w:rsid w:val="0061104E"/>
    <w:rsid w:val="00611270"/>
    <w:rsid w:val="00611465"/>
    <w:rsid w:val="006114C6"/>
    <w:rsid w:val="00611532"/>
    <w:rsid w:val="0061156C"/>
    <w:rsid w:val="0061187A"/>
    <w:rsid w:val="006118CA"/>
    <w:rsid w:val="0061198B"/>
    <w:rsid w:val="006119AD"/>
    <w:rsid w:val="00611A1D"/>
    <w:rsid w:val="00611A54"/>
    <w:rsid w:val="00611B22"/>
    <w:rsid w:val="00611CB3"/>
    <w:rsid w:val="00611D65"/>
    <w:rsid w:val="00611FA0"/>
    <w:rsid w:val="006122F7"/>
    <w:rsid w:val="006123BE"/>
    <w:rsid w:val="006124B8"/>
    <w:rsid w:val="00612671"/>
    <w:rsid w:val="006126B0"/>
    <w:rsid w:val="006126F6"/>
    <w:rsid w:val="0061273E"/>
    <w:rsid w:val="006127B8"/>
    <w:rsid w:val="006128FC"/>
    <w:rsid w:val="006129FD"/>
    <w:rsid w:val="00612A5F"/>
    <w:rsid w:val="00612AE2"/>
    <w:rsid w:val="00612B84"/>
    <w:rsid w:val="00612C52"/>
    <w:rsid w:val="00612C66"/>
    <w:rsid w:val="00612EF0"/>
    <w:rsid w:val="00613037"/>
    <w:rsid w:val="00613157"/>
    <w:rsid w:val="00613275"/>
    <w:rsid w:val="0061336D"/>
    <w:rsid w:val="006134E6"/>
    <w:rsid w:val="006134FD"/>
    <w:rsid w:val="006135AB"/>
    <w:rsid w:val="0061363D"/>
    <w:rsid w:val="006136B2"/>
    <w:rsid w:val="006137D9"/>
    <w:rsid w:val="00613874"/>
    <w:rsid w:val="006138A4"/>
    <w:rsid w:val="006138E4"/>
    <w:rsid w:val="00613A74"/>
    <w:rsid w:val="00613ADC"/>
    <w:rsid w:val="00613D1B"/>
    <w:rsid w:val="00613D38"/>
    <w:rsid w:val="00613DD8"/>
    <w:rsid w:val="00613EDE"/>
    <w:rsid w:val="00613F53"/>
    <w:rsid w:val="00613FEF"/>
    <w:rsid w:val="006140A5"/>
    <w:rsid w:val="00614142"/>
    <w:rsid w:val="00614200"/>
    <w:rsid w:val="00614261"/>
    <w:rsid w:val="006143BA"/>
    <w:rsid w:val="006144F6"/>
    <w:rsid w:val="00614508"/>
    <w:rsid w:val="00614704"/>
    <w:rsid w:val="00614947"/>
    <w:rsid w:val="006149A3"/>
    <w:rsid w:val="00614B33"/>
    <w:rsid w:val="00614C45"/>
    <w:rsid w:val="00614C80"/>
    <w:rsid w:val="00614DA9"/>
    <w:rsid w:val="00614F46"/>
    <w:rsid w:val="00614FE4"/>
    <w:rsid w:val="00615079"/>
    <w:rsid w:val="006150AA"/>
    <w:rsid w:val="00615108"/>
    <w:rsid w:val="00615376"/>
    <w:rsid w:val="006156BF"/>
    <w:rsid w:val="006156D4"/>
    <w:rsid w:val="006158CC"/>
    <w:rsid w:val="006158EE"/>
    <w:rsid w:val="00615A2E"/>
    <w:rsid w:val="00615A9A"/>
    <w:rsid w:val="00615B45"/>
    <w:rsid w:val="00615B76"/>
    <w:rsid w:val="00615C8B"/>
    <w:rsid w:val="00615C8E"/>
    <w:rsid w:val="00615E28"/>
    <w:rsid w:val="0061608D"/>
    <w:rsid w:val="00616190"/>
    <w:rsid w:val="006161FD"/>
    <w:rsid w:val="00616353"/>
    <w:rsid w:val="0061635B"/>
    <w:rsid w:val="00616387"/>
    <w:rsid w:val="006163FC"/>
    <w:rsid w:val="00616407"/>
    <w:rsid w:val="0061653E"/>
    <w:rsid w:val="00616571"/>
    <w:rsid w:val="006165DE"/>
    <w:rsid w:val="00616637"/>
    <w:rsid w:val="006166ED"/>
    <w:rsid w:val="0061671E"/>
    <w:rsid w:val="00616733"/>
    <w:rsid w:val="006168A1"/>
    <w:rsid w:val="006168FC"/>
    <w:rsid w:val="0061694C"/>
    <w:rsid w:val="00616998"/>
    <w:rsid w:val="006169A0"/>
    <w:rsid w:val="006169D7"/>
    <w:rsid w:val="00616C09"/>
    <w:rsid w:val="00616CA8"/>
    <w:rsid w:val="00616D6A"/>
    <w:rsid w:val="00616D97"/>
    <w:rsid w:val="00616DBA"/>
    <w:rsid w:val="00616DD8"/>
    <w:rsid w:val="00617261"/>
    <w:rsid w:val="006172AE"/>
    <w:rsid w:val="006174E1"/>
    <w:rsid w:val="006176CF"/>
    <w:rsid w:val="006178B9"/>
    <w:rsid w:val="00617A22"/>
    <w:rsid w:val="00617A67"/>
    <w:rsid w:val="00617ACA"/>
    <w:rsid w:val="00617AE3"/>
    <w:rsid w:val="00617B85"/>
    <w:rsid w:val="00617BA4"/>
    <w:rsid w:val="00617EB7"/>
    <w:rsid w:val="006200C9"/>
    <w:rsid w:val="006200CB"/>
    <w:rsid w:val="006201E2"/>
    <w:rsid w:val="0062022E"/>
    <w:rsid w:val="006202D8"/>
    <w:rsid w:val="0062032E"/>
    <w:rsid w:val="00620434"/>
    <w:rsid w:val="006207F2"/>
    <w:rsid w:val="006207FF"/>
    <w:rsid w:val="00620839"/>
    <w:rsid w:val="0062089F"/>
    <w:rsid w:val="0062098D"/>
    <w:rsid w:val="006209E3"/>
    <w:rsid w:val="00620A97"/>
    <w:rsid w:val="00620AA9"/>
    <w:rsid w:val="00620E5A"/>
    <w:rsid w:val="00620EB8"/>
    <w:rsid w:val="0062104F"/>
    <w:rsid w:val="006210AF"/>
    <w:rsid w:val="00621189"/>
    <w:rsid w:val="0062123B"/>
    <w:rsid w:val="00621351"/>
    <w:rsid w:val="006213B0"/>
    <w:rsid w:val="006213E4"/>
    <w:rsid w:val="006215B3"/>
    <w:rsid w:val="006215DA"/>
    <w:rsid w:val="0062181F"/>
    <w:rsid w:val="00621893"/>
    <w:rsid w:val="00621984"/>
    <w:rsid w:val="00621A87"/>
    <w:rsid w:val="00621AA6"/>
    <w:rsid w:val="00621AD7"/>
    <w:rsid w:val="00621BB5"/>
    <w:rsid w:val="00621BC8"/>
    <w:rsid w:val="00621D15"/>
    <w:rsid w:val="00621F7B"/>
    <w:rsid w:val="00622137"/>
    <w:rsid w:val="006221EF"/>
    <w:rsid w:val="0062229B"/>
    <w:rsid w:val="0062244D"/>
    <w:rsid w:val="00622460"/>
    <w:rsid w:val="006225E6"/>
    <w:rsid w:val="0062273B"/>
    <w:rsid w:val="006228A0"/>
    <w:rsid w:val="00622B67"/>
    <w:rsid w:val="00622B78"/>
    <w:rsid w:val="00622C00"/>
    <w:rsid w:val="00622CFC"/>
    <w:rsid w:val="00622D7F"/>
    <w:rsid w:val="00622D9F"/>
    <w:rsid w:val="00622E47"/>
    <w:rsid w:val="00622EC1"/>
    <w:rsid w:val="0062318E"/>
    <w:rsid w:val="00623212"/>
    <w:rsid w:val="00623383"/>
    <w:rsid w:val="0062342F"/>
    <w:rsid w:val="00623470"/>
    <w:rsid w:val="00623505"/>
    <w:rsid w:val="00623865"/>
    <w:rsid w:val="006239F2"/>
    <w:rsid w:val="00623B7B"/>
    <w:rsid w:val="00623D7F"/>
    <w:rsid w:val="00623D98"/>
    <w:rsid w:val="00624117"/>
    <w:rsid w:val="0062413F"/>
    <w:rsid w:val="00624242"/>
    <w:rsid w:val="0062429F"/>
    <w:rsid w:val="0062437D"/>
    <w:rsid w:val="006244E3"/>
    <w:rsid w:val="006247D5"/>
    <w:rsid w:val="00624857"/>
    <w:rsid w:val="006248EE"/>
    <w:rsid w:val="00624910"/>
    <w:rsid w:val="00624C8E"/>
    <w:rsid w:val="00624F21"/>
    <w:rsid w:val="00624F66"/>
    <w:rsid w:val="00624F6F"/>
    <w:rsid w:val="00625015"/>
    <w:rsid w:val="0062505A"/>
    <w:rsid w:val="006250A5"/>
    <w:rsid w:val="006250E9"/>
    <w:rsid w:val="00625185"/>
    <w:rsid w:val="006254FB"/>
    <w:rsid w:val="00625731"/>
    <w:rsid w:val="0062573B"/>
    <w:rsid w:val="00625871"/>
    <w:rsid w:val="006259D7"/>
    <w:rsid w:val="00625A44"/>
    <w:rsid w:val="00625B8D"/>
    <w:rsid w:val="00625DB3"/>
    <w:rsid w:val="00625F0F"/>
    <w:rsid w:val="00625F10"/>
    <w:rsid w:val="00626093"/>
    <w:rsid w:val="00626122"/>
    <w:rsid w:val="006261AC"/>
    <w:rsid w:val="00626255"/>
    <w:rsid w:val="0062637B"/>
    <w:rsid w:val="006263A7"/>
    <w:rsid w:val="0062660C"/>
    <w:rsid w:val="0062661D"/>
    <w:rsid w:val="00626721"/>
    <w:rsid w:val="006267F4"/>
    <w:rsid w:val="00626BB0"/>
    <w:rsid w:val="00626C20"/>
    <w:rsid w:val="00626D4D"/>
    <w:rsid w:val="00626E99"/>
    <w:rsid w:val="00626F0D"/>
    <w:rsid w:val="00626F27"/>
    <w:rsid w:val="0062780E"/>
    <w:rsid w:val="00627971"/>
    <w:rsid w:val="00627A3A"/>
    <w:rsid w:val="00627AA5"/>
    <w:rsid w:val="00627AB2"/>
    <w:rsid w:val="00627B63"/>
    <w:rsid w:val="00627B83"/>
    <w:rsid w:val="00627F3B"/>
    <w:rsid w:val="0063014A"/>
    <w:rsid w:val="006301FD"/>
    <w:rsid w:val="0063034D"/>
    <w:rsid w:val="0063061E"/>
    <w:rsid w:val="006306AA"/>
    <w:rsid w:val="00630823"/>
    <w:rsid w:val="0063090D"/>
    <w:rsid w:val="00630921"/>
    <w:rsid w:val="0063095A"/>
    <w:rsid w:val="00630D2A"/>
    <w:rsid w:val="00630E72"/>
    <w:rsid w:val="00630E9F"/>
    <w:rsid w:val="00630EC7"/>
    <w:rsid w:val="006310A4"/>
    <w:rsid w:val="0063115D"/>
    <w:rsid w:val="006311FC"/>
    <w:rsid w:val="006313C0"/>
    <w:rsid w:val="006314AE"/>
    <w:rsid w:val="006314CE"/>
    <w:rsid w:val="0063160A"/>
    <w:rsid w:val="0063160C"/>
    <w:rsid w:val="0063166E"/>
    <w:rsid w:val="00631679"/>
    <w:rsid w:val="00631765"/>
    <w:rsid w:val="00631A73"/>
    <w:rsid w:val="00631A88"/>
    <w:rsid w:val="00631AAD"/>
    <w:rsid w:val="00631C7B"/>
    <w:rsid w:val="00631D3D"/>
    <w:rsid w:val="00631F05"/>
    <w:rsid w:val="00632172"/>
    <w:rsid w:val="00632184"/>
    <w:rsid w:val="00632282"/>
    <w:rsid w:val="006322EE"/>
    <w:rsid w:val="006324D0"/>
    <w:rsid w:val="006324D1"/>
    <w:rsid w:val="006324DE"/>
    <w:rsid w:val="0063256E"/>
    <w:rsid w:val="0063257A"/>
    <w:rsid w:val="006325A0"/>
    <w:rsid w:val="00632686"/>
    <w:rsid w:val="006327AC"/>
    <w:rsid w:val="006329E8"/>
    <w:rsid w:val="00632C23"/>
    <w:rsid w:val="00632C64"/>
    <w:rsid w:val="00632FB5"/>
    <w:rsid w:val="00632FC9"/>
    <w:rsid w:val="0063308F"/>
    <w:rsid w:val="0063320E"/>
    <w:rsid w:val="0063324C"/>
    <w:rsid w:val="00633314"/>
    <w:rsid w:val="00633337"/>
    <w:rsid w:val="00633380"/>
    <w:rsid w:val="00633385"/>
    <w:rsid w:val="00633461"/>
    <w:rsid w:val="00633553"/>
    <w:rsid w:val="006335BA"/>
    <w:rsid w:val="0063361A"/>
    <w:rsid w:val="006336E8"/>
    <w:rsid w:val="006336F2"/>
    <w:rsid w:val="006337C2"/>
    <w:rsid w:val="00633B2F"/>
    <w:rsid w:val="00633B85"/>
    <w:rsid w:val="00633D07"/>
    <w:rsid w:val="00633D08"/>
    <w:rsid w:val="00633EBE"/>
    <w:rsid w:val="00633FF5"/>
    <w:rsid w:val="00633FF8"/>
    <w:rsid w:val="0063405B"/>
    <w:rsid w:val="00634370"/>
    <w:rsid w:val="00634477"/>
    <w:rsid w:val="00634673"/>
    <w:rsid w:val="0063470F"/>
    <w:rsid w:val="00634774"/>
    <w:rsid w:val="006347B1"/>
    <w:rsid w:val="006347B7"/>
    <w:rsid w:val="006349B1"/>
    <w:rsid w:val="00634A7F"/>
    <w:rsid w:val="00634B5D"/>
    <w:rsid w:val="00634B70"/>
    <w:rsid w:val="00634BC9"/>
    <w:rsid w:val="00634C2E"/>
    <w:rsid w:val="00634E50"/>
    <w:rsid w:val="00634F67"/>
    <w:rsid w:val="0063500F"/>
    <w:rsid w:val="00635022"/>
    <w:rsid w:val="0063506E"/>
    <w:rsid w:val="00635169"/>
    <w:rsid w:val="006351F0"/>
    <w:rsid w:val="006352C0"/>
    <w:rsid w:val="0063543B"/>
    <w:rsid w:val="0063552C"/>
    <w:rsid w:val="00635585"/>
    <w:rsid w:val="00635675"/>
    <w:rsid w:val="00635890"/>
    <w:rsid w:val="006359DB"/>
    <w:rsid w:val="00635A48"/>
    <w:rsid w:val="00635C6E"/>
    <w:rsid w:val="00635CCF"/>
    <w:rsid w:val="00635E8B"/>
    <w:rsid w:val="00635F4F"/>
    <w:rsid w:val="00635F64"/>
    <w:rsid w:val="006361EF"/>
    <w:rsid w:val="006362EA"/>
    <w:rsid w:val="00636462"/>
    <w:rsid w:val="006364BE"/>
    <w:rsid w:val="006364CE"/>
    <w:rsid w:val="006364D1"/>
    <w:rsid w:val="0063659F"/>
    <w:rsid w:val="00636782"/>
    <w:rsid w:val="006368F1"/>
    <w:rsid w:val="006369DE"/>
    <w:rsid w:val="00636DF0"/>
    <w:rsid w:val="00636F1D"/>
    <w:rsid w:val="00636FBF"/>
    <w:rsid w:val="0063733D"/>
    <w:rsid w:val="006375A7"/>
    <w:rsid w:val="00637672"/>
    <w:rsid w:val="00637684"/>
    <w:rsid w:val="006377D9"/>
    <w:rsid w:val="00637820"/>
    <w:rsid w:val="00637997"/>
    <w:rsid w:val="00637B82"/>
    <w:rsid w:val="00637C78"/>
    <w:rsid w:val="00637C96"/>
    <w:rsid w:val="00637CF0"/>
    <w:rsid w:val="00637D05"/>
    <w:rsid w:val="00637F29"/>
    <w:rsid w:val="00637F8D"/>
    <w:rsid w:val="0064002B"/>
    <w:rsid w:val="0064012F"/>
    <w:rsid w:val="0064025F"/>
    <w:rsid w:val="0064027F"/>
    <w:rsid w:val="006402CD"/>
    <w:rsid w:val="006402E2"/>
    <w:rsid w:val="00640349"/>
    <w:rsid w:val="00640659"/>
    <w:rsid w:val="0064074C"/>
    <w:rsid w:val="00640804"/>
    <w:rsid w:val="006408AF"/>
    <w:rsid w:val="00640952"/>
    <w:rsid w:val="00640A1E"/>
    <w:rsid w:val="00640A7A"/>
    <w:rsid w:val="00640BA3"/>
    <w:rsid w:val="00640BC4"/>
    <w:rsid w:val="00640C17"/>
    <w:rsid w:val="00640C31"/>
    <w:rsid w:val="00640CF5"/>
    <w:rsid w:val="00640D2D"/>
    <w:rsid w:val="00640D55"/>
    <w:rsid w:val="00640E2C"/>
    <w:rsid w:val="006410CA"/>
    <w:rsid w:val="00641259"/>
    <w:rsid w:val="006412FF"/>
    <w:rsid w:val="0064139B"/>
    <w:rsid w:val="006413AB"/>
    <w:rsid w:val="00641404"/>
    <w:rsid w:val="00641464"/>
    <w:rsid w:val="0064148A"/>
    <w:rsid w:val="00641492"/>
    <w:rsid w:val="00641589"/>
    <w:rsid w:val="00641761"/>
    <w:rsid w:val="006417FB"/>
    <w:rsid w:val="0064197B"/>
    <w:rsid w:val="006419B3"/>
    <w:rsid w:val="00641A90"/>
    <w:rsid w:val="00641AB9"/>
    <w:rsid w:val="00641AC2"/>
    <w:rsid w:val="00641B27"/>
    <w:rsid w:val="00641B5F"/>
    <w:rsid w:val="00641BFD"/>
    <w:rsid w:val="00641C92"/>
    <w:rsid w:val="00641D19"/>
    <w:rsid w:val="00641DBB"/>
    <w:rsid w:val="00641E86"/>
    <w:rsid w:val="00641EF7"/>
    <w:rsid w:val="00641F02"/>
    <w:rsid w:val="00641F60"/>
    <w:rsid w:val="00641FD2"/>
    <w:rsid w:val="00641FFE"/>
    <w:rsid w:val="0064204C"/>
    <w:rsid w:val="00642124"/>
    <w:rsid w:val="0064224E"/>
    <w:rsid w:val="00642254"/>
    <w:rsid w:val="006423B9"/>
    <w:rsid w:val="006424C2"/>
    <w:rsid w:val="0064260C"/>
    <w:rsid w:val="00642654"/>
    <w:rsid w:val="0064271A"/>
    <w:rsid w:val="00642742"/>
    <w:rsid w:val="006429D2"/>
    <w:rsid w:val="00642A11"/>
    <w:rsid w:val="00642A90"/>
    <w:rsid w:val="00642AB6"/>
    <w:rsid w:val="00642B33"/>
    <w:rsid w:val="00642C72"/>
    <w:rsid w:val="00642CE0"/>
    <w:rsid w:val="00642FA3"/>
    <w:rsid w:val="00643056"/>
    <w:rsid w:val="00643102"/>
    <w:rsid w:val="00643123"/>
    <w:rsid w:val="0064315F"/>
    <w:rsid w:val="00643226"/>
    <w:rsid w:val="00643251"/>
    <w:rsid w:val="0064355E"/>
    <w:rsid w:val="00643655"/>
    <w:rsid w:val="00643700"/>
    <w:rsid w:val="0064379E"/>
    <w:rsid w:val="0064383D"/>
    <w:rsid w:val="0064390F"/>
    <w:rsid w:val="00643922"/>
    <w:rsid w:val="0064392C"/>
    <w:rsid w:val="00643AAF"/>
    <w:rsid w:val="00643BF8"/>
    <w:rsid w:val="00643C3C"/>
    <w:rsid w:val="00643C92"/>
    <w:rsid w:val="00643DB4"/>
    <w:rsid w:val="00643E92"/>
    <w:rsid w:val="00643FDE"/>
    <w:rsid w:val="006440C2"/>
    <w:rsid w:val="006440F6"/>
    <w:rsid w:val="0064418F"/>
    <w:rsid w:val="00644319"/>
    <w:rsid w:val="006444AA"/>
    <w:rsid w:val="00644561"/>
    <w:rsid w:val="0064468F"/>
    <w:rsid w:val="00644754"/>
    <w:rsid w:val="006447F4"/>
    <w:rsid w:val="00644842"/>
    <w:rsid w:val="00644D32"/>
    <w:rsid w:val="00644DE0"/>
    <w:rsid w:val="00644F88"/>
    <w:rsid w:val="00645151"/>
    <w:rsid w:val="006452EB"/>
    <w:rsid w:val="0064537D"/>
    <w:rsid w:val="00645488"/>
    <w:rsid w:val="006454C7"/>
    <w:rsid w:val="006455CC"/>
    <w:rsid w:val="006458A1"/>
    <w:rsid w:val="0064593E"/>
    <w:rsid w:val="006459EF"/>
    <w:rsid w:val="00645A5A"/>
    <w:rsid w:val="00645D6D"/>
    <w:rsid w:val="00645DF1"/>
    <w:rsid w:val="00645E71"/>
    <w:rsid w:val="00645EB1"/>
    <w:rsid w:val="00645EB3"/>
    <w:rsid w:val="00646030"/>
    <w:rsid w:val="006460AA"/>
    <w:rsid w:val="006461CC"/>
    <w:rsid w:val="0064634D"/>
    <w:rsid w:val="00646485"/>
    <w:rsid w:val="006464E1"/>
    <w:rsid w:val="006464F8"/>
    <w:rsid w:val="006465F3"/>
    <w:rsid w:val="00646606"/>
    <w:rsid w:val="00646678"/>
    <w:rsid w:val="006466DE"/>
    <w:rsid w:val="006467A1"/>
    <w:rsid w:val="00646940"/>
    <w:rsid w:val="00646A76"/>
    <w:rsid w:val="00646B21"/>
    <w:rsid w:val="00646BAF"/>
    <w:rsid w:val="00646CF5"/>
    <w:rsid w:val="00646D91"/>
    <w:rsid w:val="00646F44"/>
    <w:rsid w:val="006470CB"/>
    <w:rsid w:val="00647133"/>
    <w:rsid w:val="006471C5"/>
    <w:rsid w:val="00647266"/>
    <w:rsid w:val="00647319"/>
    <w:rsid w:val="00647385"/>
    <w:rsid w:val="00647444"/>
    <w:rsid w:val="00647521"/>
    <w:rsid w:val="0064758A"/>
    <w:rsid w:val="006475A7"/>
    <w:rsid w:val="006476B8"/>
    <w:rsid w:val="006479C1"/>
    <w:rsid w:val="006479E5"/>
    <w:rsid w:val="00647ACE"/>
    <w:rsid w:val="00647B29"/>
    <w:rsid w:val="00647B7C"/>
    <w:rsid w:val="00647D70"/>
    <w:rsid w:val="00647F06"/>
    <w:rsid w:val="0065011B"/>
    <w:rsid w:val="00650389"/>
    <w:rsid w:val="00650394"/>
    <w:rsid w:val="006503D7"/>
    <w:rsid w:val="00650419"/>
    <w:rsid w:val="0065048A"/>
    <w:rsid w:val="00650529"/>
    <w:rsid w:val="00650648"/>
    <w:rsid w:val="00650666"/>
    <w:rsid w:val="0065069C"/>
    <w:rsid w:val="00650736"/>
    <w:rsid w:val="006507FA"/>
    <w:rsid w:val="0065089F"/>
    <w:rsid w:val="006509AB"/>
    <w:rsid w:val="00650A06"/>
    <w:rsid w:val="00650C4B"/>
    <w:rsid w:val="00650DB7"/>
    <w:rsid w:val="00650DD2"/>
    <w:rsid w:val="00650E21"/>
    <w:rsid w:val="00650E50"/>
    <w:rsid w:val="00650EBB"/>
    <w:rsid w:val="00650FB9"/>
    <w:rsid w:val="00651167"/>
    <w:rsid w:val="00651186"/>
    <w:rsid w:val="00651365"/>
    <w:rsid w:val="006513D9"/>
    <w:rsid w:val="006514AC"/>
    <w:rsid w:val="006515D7"/>
    <w:rsid w:val="00651A35"/>
    <w:rsid w:val="00651B2E"/>
    <w:rsid w:val="00651C0A"/>
    <w:rsid w:val="00651C2A"/>
    <w:rsid w:val="00651E1C"/>
    <w:rsid w:val="00651E56"/>
    <w:rsid w:val="00651FA5"/>
    <w:rsid w:val="006520CF"/>
    <w:rsid w:val="0065213E"/>
    <w:rsid w:val="0065218D"/>
    <w:rsid w:val="0065231B"/>
    <w:rsid w:val="006523C3"/>
    <w:rsid w:val="00652410"/>
    <w:rsid w:val="006524D8"/>
    <w:rsid w:val="00652596"/>
    <w:rsid w:val="006525BD"/>
    <w:rsid w:val="00652685"/>
    <w:rsid w:val="006526BE"/>
    <w:rsid w:val="006526D9"/>
    <w:rsid w:val="006528D7"/>
    <w:rsid w:val="00652A22"/>
    <w:rsid w:val="00652AD6"/>
    <w:rsid w:val="00652B3A"/>
    <w:rsid w:val="00652BEA"/>
    <w:rsid w:val="00652BF2"/>
    <w:rsid w:val="00652C32"/>
    <w:rsid w:val="00652E96"/>
    <w:rsid w:val="00652F0E"/>
    <w:rsid w:val="0065326D"/>
    <w:rsid w:val="00653473"/>
    <w:rsid w:val="006534BF"/>
    <w:rsid w:val="006535C4"/>
    <w:rsid w:val="006535DB"/>
    <w:rsid w:val="006536EB"/>
    <w:rsid w:val="006537D7"/>
    <w:rsid w:val="00653A16"/>
    <w:rsid w:val="00653A2D"/>
    <w:rsid w:val="00653AFE"/>
    <w:rsid w:val="00653CF3"/>
    <w:rsid w:val="00653E0D"/>
    <w:rsid w:val="00653E95"/>
    <w:rsid w:val="00654012"/>
    <w:rsid w:val="00654029"/>
    <w:rsid w:val="006541C9"/>
    <w:rsid w:val="006542AD"/>
    <w:rsid w:val="006542F6"/>
    <w:rsid w:val="006543EA"/>
    <w:rsid w:val="00654408"/>
    <w:rsid w:val="00654426"/>
    <w:rsid w:val="0065444A"/>
    <w:rsid w:val="006544F2"/>
    <w:rsid w:val="0065452B"/>
    <w:rsid w:val="006546CD"/>
    <w:rsid w:val="0065476F"/>
    <w:rsid w:val="0065481E"/>
    <w:rsid w:val="00654872"/>
    <w:rsid w:val="006549A7"/>
    <w:rsid w:val="00654ADF"/>
    <w:rsid w:val="00654AFE"/>
    <w:rsid w:val="00654B5E"/>
    <w:rsid w:val="00654B78"/>
    <w:rsid w:val="00654B7F"/>
    <w:rsid w:val="00654BCB"/>
    <w:rsid w:val="00654D1D"/>
    <w:rsid w:val="00654D79"/>
    <w:rsid w:val="00654E5C"/>
    <w:rsid w:val="00654F3F"/>
    <w:rsid w:val="00654F68"/>
    <w:rsid w:val="006550A4"/>
    <w:rsid w:val="006550E4"/>
    <w:rsid w:val="00655108"/>
    <w:rsid w:val="00655154"/>
    <w:rsid w:val="00655285"/>
    <w:rsid w:val="00655361"/>
    <w:rsid w:val="006553EA"/>
    <w:rsid w:val="00655467"/>
    <w:rsid w:val="006554C5"/>
    <w:rsid w:val="006555F6"/>
    <w:rsid w:val="006557D9"/>
    <w:rsid w:val="006558B1"/>
    <w:rsid w:val="00655AB8"/>
    <w:rsid w:val="00655AE0"/>
    <w:rsid w:val="00655B1C"/>
    <w:rsid w:val="00655C45"/>
    <w:rsid w:val="00655CE0"/>
    <w:rsid w:val="00655CF9"/>
    <w:rsid w:val="00655D45"/>
    <w:rsid w:val="00655D7E"/>
    <w:rsid w:val="00655E26"/>
    <w:rsid w:val="00655F61"/>
    <w:rsid w:val="00656314"/>
    <w:rsid w:val="00656330"/>
    <w:rsid w:val="00656356"/>
    <w:rsid w:val="00656463"/>
    <w:rsid w:val="00656489"/>
    <w:rsid w:val="00656560"/>
    <w:rsid w:val="006566EC"/>
    <w:rsid w:val="00656928"/>
    <w:rsid w:val="006569F4"/>
    <w:rsid w:val="00656AA4"/>
    <w:rsid w:val="00656B22"/>
    <w:rsid w:val="00656B95"/>
    <w:rsid w:val="00656D05"/>
    <w:rsid w:val="00656E0E"/>
    <w:rsid w:val="00656EB3"/>
    <w:rsid w:val="00656FE3"/>
    <w:rsid w:val="0065714C"/>
    <w:rsid w:val="006571B8"/>
    <w:rsid w:val="006571BD"/>
    <w:rsid w:val="006572D1"/>
    <w:rsid w:val="00657694"/>
    <w:rsid w:val="00657731"/>
    <w:rsid w:val="00657742"/>
    <w:rsid w:val="0065779F"/>
    <w:rsid w:val="00657A5E"/>
    <w:rsid w:val="00657AC1"/>
    <w:rsid w:val="00657ACD"/>
    <w:rsid w:val="00657E49"/>
    <w:rsid w:val="00657F22"/>
    <w:rsid w:val="006601B7"/>
    <w:rsid w:val="0066027C"/>
    <w:rsid w:val="006602BE"/>
    <w:rsid w:val="006602EA"/>
    <w:rsid w:val="006603A3"/>
    <w:rsid w:val="006603C3"/>
    <w:rsid w:val="0066049A"/>
    <w:rsid w:val="006605B1"/>
    <w:rsid w:val="006606D1"/>
    <w:rsid w:val="006608D0"/>
    <w:rsid w:val="00660994"/>
    <w:rsid w:val="006609B5"/>
    <w:rsid w:val="00660A74"/>
    <w:rsid w:val="00660A92"/>
    <w:rsid w:val="00660CDF"/>
    <w:rsid w:val="00660CE3"/>
    <w:rsid w:val="00660CF0"/>
    <w:rsid w:val="00660CF9"/>
    <w:rsid w:val="00660D20"/>
    <w:rsid w:val="00660E72"/>
    <w:rsid w:val="0066122F"/>
    <w:rsid w:val="006613E3"/>
    <w:rsid w:val="006614CF"/>
    <w:rsid w:val="006614FB"/>
    <w:rsid w:val="0066164E"/>
    <w:rsid w:val="0066175C"/>
    <w:rsid w:val="0066179E"/>
    <w:rsid w:val="00661949"/>
    <w:rsid w:val="00661A3F"/>
    <w:rsid w:val="00661E18"/>
    <w:rsid w:val="00661E3C"/>
    <w:rsid w:val="00661EBE"/>
    <w:rsid w:val="00662009"/>
    <w:rsid w:val="006620D1"/>
    <w:rsid w:val="006622C1"/>
    <w:rsid w:val="00662436"/>
    <w:rsid w:val="00662552"/>
    <w:rsid w:val="006625BE"/>
    <w:rsid w:val="0066266D"/>
    <w:rsid w:val="006628F7"/>
    <w:rsid w:val="00662B5A"/>
    <w:rsid w:val="00662E5F"/>
    <w:rsid w:val="00662E60"/>
    <w:rsid w:val="00662EEC"/>
    <w:rsid w:val="00663084"/>
    <w:rsid w:val="006631E5"/>
    <w:rsid w:val="00663307"/>
    <w:rsid w:val="00663311"/>
    <w:rsid w:val="0066354A"/>
    <w:rsid w:val="0066370C"/>
    <w:rsid w:val="00663730"/>
    <w:rsid w:val="006637A0"/>
    <w:rsid w:val="0066385E"/>
    <w:rsid w:val="00663862"/>
    <w:rsid w:val="00663930"/>
    <w:rsid w:val="00663ABD"/>
    <w:rsid w:val="00663AC2"/>
    <w:rsid w:val="00663BDF"/>
    <w:rsid w:val="00663C6A"/>
    <w:rsid w:val="00663C80"/>
    <w:rsid w:val="00663CC1"/>
    <w:rsid w:val="00663DCF"/>
    <w:rsid w:val="00663EB0"/>
    <w:rsid w:val="00663F13"/>
    <w:rsid w:val="00663F17"/>
    <w:rsid w:val="00663FC6"/>
    <w:rsid w:val="00664049"/>
    <w:rsid w:val="006640EE"/>
    <w:rsid w:val="0066418F"/>
    <w:rsid w:val="00664295"/>
    <w:rsid w:val="00664434"/>
    <w:rsid w:val="006644E5"/>
    <w:rsid w:val="0066451A"/>
    <w:rsid w:val="006645D6"/>
    <w:rsid w:val="00664786"/>
    <w:rsid w:val="006647E3"/>
    <w:rsid w:val="006647E7"/>
    <w:rsid w:val="0066482D"/>
    <w:rsid w:val="00664885"/>
    <w:rsid w:val="00664990"/>
    <w:rsid w:val="00664997"/>
    <w:rsid w:val="00664A02"/>
    <w:rsid w:val="00664A7F"/>
    <w:rsid w:val="00664AFC"/>
    <w:rsid w:val="00664B39"/>
    <w:rsid w:val="00664BE6"/>
    <w:rsid w:val="00664E32"/>
    <w:rsid w:val="00664EEE"/>
    <w:rsid w:val="00665077"/>
    <w:rsid w:val="00665122"/>
    <w:rsid w:val="0066512F"/>
    <w:rsid w:val="006652A6"/>
    <w:rsid w:val="0066532E"/>
    <w:rsid w:val="006655D5"/>
    <w:rsid w:val="0066561F"/>
    <w:rsid w:val="0066563D"/>
    <w:rsid w:val="006658F8"/>
    <w:rsid w:val="00665AAA"/>
    <w:rsid w:val="00665B9E"/>
    <w:rsid w:val="00665C1E"/>
    <w:rsid w:val="00665C6F"/>
    <w:rsid w:val="00665CFA"/>
    <w:rsid w:val="00665D98"/>
    <w:rsid w:val="00665DEB"/>
    <w:rsid w:val="00665E27"/>
    <w:rsid w:val="00665F76"/>
    <w:rsid w:val="00666036"/>
    <w:rsid w:val="0066630D"/>
    <w:rsid w:val="00666330"/>
    <w:rsid w:val="006663DD"/>
    <w:rsid w:val="0066640C"/>
    <w:rsid w:val="006664DF"/>
    <w:rsid w:val="006664FA"/>
    <w:rsid w:val="00666589"/>
    <w:rsid w:val="006665CC"/>
    <w:rsid w:val="006665E9"/>
    <w:rsid w:val="00666698"/>
    <w:rsid w:val="00666A05"/>
    <w:rsid w:val="00666A58"/>
    <w:rsid w:val="00666B2A"/>
    <w:rsid w:val="00666BCF"/>
    <w:rsid w:val="00666D47"/>
    <w:rsid w:val="00666DA6"/>
    <w:rsid w:val="00666DBB"/>
    <w:rsid w:val="00667004"/>
    <w:rsid w:val="00667155"/>
    <w:rsid w:val="0066721F"/>
    <w:rsid w:val="0066723C"/>
    <w:rsid w:val="006673CD"/>
    <w:rsid w:val="00667485"/>
    <w:rsid w:val="006674C4"/>
    <w:rsid w:val="00667583"/>
    <w:rsid w:val="0066776D"/>
    <w:rsid w:val="006677A3"/>
    <w:rsid w:val="00667803"/>
    <w:rsid w:val="006678C0"/>
    <w:rsid w:val="006678D2"/>
    <w:rsid w:val="006678D9"/>
    <w:rsid w:val="006679E6"/>
    <w:rsid w:val="00667B4B"/>
    <w:rsid w:val="00667BDA"/>
    <w:rsid w:val="00667C26"/>
    <w:rsid w:val="00667CFB"/>
    <w:rsid w:val="00667E09"/>
    <w:rsid w:val="00667E8A"/>
    <w:rsid w:val="00667EF5"/>
    <w:rsid w:val="00667F5F"/>
    <w:rsid w:val="00667FD2"/>
    <w:rsid w:val="0067000A"/>
    <w:rsid w:val="00670148"/>
    <w:rsid w:val="006702ED"/>
    <w:rsid w:val="006703C7"/>
    <w:rsid w:val="00670533"/>
    <w:rsid w:val="006705AB"/>
    <w:rsid w:val="00670650"/>
    <w:rsid w:val="00670839"/>
    <w:rsid w:val="00670898"/>
    <w:rsid w:val="00670A00"/>
    <w:rsid w:val="00670A5D"/>
    <w:rsid w:val="00670B20"/>
    <w:rsid w:val="00670C60"/>
    <w:rsid w:val="00670C73"/>
    <w:rsid w:val="00670CFC"/>
    <w:rsid w:val="00670DF1"/>
    <w:rsid w:val="00670E35"/>
    <w:rsid w:val="00670E67"/>
    <w:rsid w:val="00670EE8"/>
    <w:rsid w:val="00671255"/>
    <w:rsid w:val="006712C0"/>
    <w:rsid w:val="00671697"/>
    <w:rsid w:val="006716B2"/>
    <w:rsid w:val="0067175D"/>
    <w:rsid w:val="00671762"/>
    <w:rsid w:val="006717E3"/>
    <w:rsid w:val="006717F0"/>
    <w:rsid w:val="00671994"/>
    <w:rsid w:val="006719A6"/>
    <w:rsid w:val="00671A08"/>
    <w:rsid w:val="00671B60"/>
    <w:rsid w:val="00671BC0"/>
    <w:rsid w:val="00671C46"/>
    <w:rsid w:val="00671CBB"/>
    <w:rsid w:val="00671EFF"/>
    <w:rsid w:val="00671F9D"/>
    <w:rsid w:val="00671FD9"/>
    <w:rsid w:val="00672025"/>
    <w:rsid w:val="0067209C"/>
    <w:rsid w:val="00672137"/>
    <w:rsid w:val="00672166"/>
    <w:rsid w:val="0067226A"/>
    <w:rsid w:val="006722B9"/>
    <w:rsid w:val="0067234A"/>
    <w:rsid w:val="0067245E"/>
    <w:rsid w:val="00672D41"/>
    <w:rsid w:val="00672DEE"/>
    <w:rsid w:val="00672E00"/>
    <w:rsid w:val="00672E67"/>
    <w:rsid w:val="00672F8E"/>
    <w:rsid w:val="00672FDE"/>
    <w:rsid w:val="00673077"/>
    <w:rsid w:val="006732BD"/>
    <w:rsid w:val="006732DF"/>
    <w:rsid w:val="00673354"/>
    <w:rsid w:val="006733A2"/>
    <w:rsid w:val="00673410"/>
    <w:rsid w:val="006735DB"/>
    <w:rsid w:val="00673706"/>
    <w:rsid w:val="00673812"/>
    <w:rsid w:val="0067390E"/>
    <w:rsid w:val="0067396A"/>
    <w:rsid w:val="006739F6"/>
    <w:rsid w:val="00673A18"/>
    <w:rsid w:val="00673A23"/>
    <w:rsid w:val="00673DD7"/>
    <w:rsid w:val="00673E64"/>
    <w:rsid w:val="00673EF8"/>
    <w:rsid w:val="00673F94"/>
    <w:rsid w:val="0067416C"/>
    <w:rsid w:val="0067429F"/>
    <w:rsid w:val="0067440A"/>
    <w:rsid w:val="006744AC"/>
    <w:rsid w:val="006744D5"/>
    <w:rsid w:val="006744D7"/>
    <w:rsid w:val="00674517"/>
    <w:rsid w:val="006745D6"/>
    <w:rsid w:val="0067472A"/>
    <w:rsid w:val="00674A5C"/>
    <w:rsid w:val="00674B68"/>
    <w:rsid w:val="00674C6D"/>
    <w:rsid w:val="00674C7D"/>
    <w:rsid w:val="00674CEB"/>
    <w:rsid w:val="00674D17"/>
    <w:rsid w:val="00674D5F"/>
    <w:rsid w:val="00674DB0"/>
    <w:rsid w:val="00674F01"/>
    <w:rsid w:val="00675200"/>
    <w:rsid w:val="0067525C"/>
    <w:rsid w:val="006752F2"/>
    <w:rsid w:val="0067548D"/>
    <w:rsid w:val="006754FE"/>
    <w:rsid w:val="006756E2"/>
    <w:rsid w:val="00675902"/>
    <w:rsid w:val="006759E8"/>
    <w:rsid w:val="00675A28"/>
    <w:rsid w:val="00675B00"/>
    <w:rsid w:val="00675B15"/>
    <w:rsid w:val="00675BA8"/>
    <w:rsid w:val="00675BC7"/>
    <w:rsid w:val="00675CC9"/>
    <w:rsid w:val="00675D05"/>
    <w:rsid w:val="00675F59"/>
    <w:rsid w:val="0067600B"/>
    <w:rsid w:val="00676029"/>
    <w:rsid w:val="0067617C"/>
    <w:rsid w:val="00676285"/>
    <w:rsid w:val="006762D6"/>
    <w:rsid w:val="0067646C"/>
    <w:rsid w:val="0067649A"/>
    <w:rsid w:val="00676595"/>
    <w:rsid w:val="006766C6"/>
    <w:rsid w:val="0067677E"/>
    <w:rsid w:val="006767EF"/>
    <w:rsid w:val="00676836"/>
    <w:rsid w:val="00676B62"/>
    <w:rsid w:val="00676C14"/>
    <w:rsid w:val="00676C5F"/>
    <w:rsid w:val="00676D1F"/>
    <w:rsid w:val="00676E73"/>
    <w:rsid w:val="00676ECB"/>
    <w:rsid w:val="00676EDE"/>
    <w:rsid w:val="0067701C"/>
    <w:rsid w:val="0067711C"/>
    <w:rsid w:val="00677122"/>
    <w:rsid w:val="00677239"/>
    <w:rsid w:val="0067728C"/>
    <w:rsid w:val="0067736B"/>
    <w:rsid w:val="00677386"/>
    <w:rsid w:val="006773F8"/>
    <w:rsid w:val="0067741C"/>
    <w:rsid w:val="00677440"/>
    <w:rsid w:val="0067748D"/>
    <w:rsid w:val="006778C2"/>
    <w:rsid w:val="006778D8"/>
    <w:rsid w:val="0067799F"/>
    <w:rsid w:val="00677B4E"/>
    <w:rsid w:val="00677C27"/>
    <w:rsid w:val="00677CCF"/>
    <w:rsid w:val="00677FC6"/>
    <w:rsid w:val="0068003E"/>
    <w:rsid w:val="00680360"/>
    <w:rsid w:val="0068039D"/>
    <w:rsid w:val="00680413"/>
    <w:rsid w:val="00680424"/>
    <w:rsid w:val="0068045B"/>
    <w:rsid w:val="006804F4"/>
    <w:rsid w:val="006806F4"/>
    <w:rsid w:val="00680723"/>
    <w:rsid w:val="0068080D"/>
    <w:rsid w:val="0068088F"/>
    <w:rsid w:val="006809E3"/>
    <w:rsid w:val="00680AB0"/>
    <w:rsid w:val="00680B33"/>
    <w:rsid w:val="00680B40"/>
    <w:rsid w:val="00680C13"/>
    <w:rsid w:val="00680C2A"/>
    <w:rsid w:val="00680D07"/>
    <w:rsid w:val="00680D0A"/>
    <w:rsid w:val="00680D16"/>
    <w:rsid w:val="00680D30"/>
    <w:rsid w:val="0068114C"/>
    <w:rsid w:val="006811DB"/>
    <w:rsid w:val="006812F0"/>
    <w:rsid w:val="00681397"/>
    <w:rsid w:val="0068145C"/>
    <w:rsid w:val="00681524"/>
    <w:rsid w:val="00681608"/>
    <w:rsid w:val="006816AC"/>
    <w:rsid w:val="006816E1"/>
    <w:rsid w:val="00681724"/>
    <w:rsid w:val="006818E0"/>
    <w:rsid w:val="00681A6E"/>
    <w:rsid w:val="00681A7A"/>
    <w:rsid w:val="00681A98"/>
    <w:rsid w:val="00681DCA"/>
    <w:rsid w:val="00681E79"/>
    <w:rsid w:val="00681E89"/>
    <w:rsid w:val="00681EC9"/>
    <w:rsid w:val="006820CF"/>
    <w:rsid w:val="0068226E"/>
    <w:rsid w:val="006822FA"/>
    <w:rsid w:val="00682340"/>
    <w:rsid w:val="006823AE"/>
    <w:rsid w:val="0068250A"/>
    <w:rsid w:val="00682513"/>
    <w:rsid w:val="006825F3"/>
    <w:rsid w:val="0068266B"/>
    <w:rsid w:val="006826B2"/>
    <w:rsid w:val="0068288C"/>
    <w:rsid w:val="00682986"/>
    <w:rsid w:val="00682AE3"/>
    <w:rsid w:val="00682D38"/>
    <w:rsid w:val="00682EC9"/>
    <w:rsid w:val="00682F27"/>
    <w:rsid w:val="00683018"/>
    <w:rsid w:val="00683181"/>
    <w:rsid w:val="006835A0"/>
    <w:rsid w:val="006835AE"/>
    <w:rsid w:val="0068370B"/>
    <w:rsid w:val="00683A8A"/>
    <w:rsid w:val="00683C61"/>
    <w:rsid w:val="00683CAD"/>
    <w:rsid w:val="00683D13"/>
    <w:rsid w:val="00683D89"/>
    <w:rsid w:val="00683E98"/>
    <w:rsid w:val="00683F36"/>
    <w:rsid w:val="006840BC"/>
    <w:rsid w:val="006841AE"/>
    <w:rsid w:val="00684201"/>
    <w:rsid w:val="006842CA"/>
    <w:rsid w:val="006842F4"/>
    <w:rsid w:val="006842FE"/>
    <w:rsid w:val="00684316"/>
    <w:rsid w:val="0068440F"/>
    <w:rsid w:val="0068486C"/>
    <w:rsid w:val="00684C37"/>
    <w:rsid w:val="00684C3D"/>
    <w:rsid w:val="00684D3E"/>
    <w:rsid w:val="00684E5A"/>
    <w:rsid w:val="00685001"/>
    <w:rsid w:val="00685002"/>
    <w:rsid w:val="0068505B"/>
    <w:rsid w:val="00685215"/>
    <w:rsid w:val="00685235"/>
    <w:rsid w:val="00685294"/>
    <w:rsid w:val="006854D6"/>
    <w:rsid w:val="006854E8"/>
    <w:rsid w:val="00685589"/>
    <w:rsid w:val="00685767"/>
    <w:rsid w:val="0068576C"/>
    <w:rsid w:val="00685786"/>
    <w:rsid w:val="0068595B"/>
    <w:rsid w:val="00685BD1"/>
    <w:rsid w:val="00685C92"/>
    <w:rsid w:val="00685D26"/>
    <w:rsid w:val="00685ED3"/>
    <w:rsid w:val="00685FB5"/>
    <w:rsid w:val="00685FB9"/>
    <w:rsid w:val="00685FC2"/>
    <w:rsid w:val="00686172"/>
    <w:rsid w:val="00686430"/>
    <w:rsid w:val="006864F5"/>
    <w:rsid w:val="00686531"/>
    <w:rsid w:val="00686556"/>
    <w:rsid w:val="0068682C"/>
    <w:rsid w:val="0068692C"/>
    <w:rsid w:val="006869EA"/>
    <w:rsid w:val="00686AE2"/>
    <w:rsid w:val="00686B12"/>
    <w:rsid w:val="00686C23"/>
    <w:rsid w:val="00686CE4"/>
    <w:rsid w:val="00686DF0"/>
    <w:rsid w:val="00686F69"/>
    <w:rsid w:val="00686FCC"/>
    <w:rsid w:val="00687147"/>
    <w:rsid w:val="00687199"/>
    <w:rsid w:val="006872CE"/>
    <w:rsid w:val="006876F4"/>
    <w:rsid w:val="006876F9"/>
    <w:rsid w:val="00687870"/>
    <w:rsid w:val="0068798F"/>
    <w:rsid w:val="006879BB"/>
    <w:rsid w:val="006879BF"/>
    <w:rsid w:val="00687AB0"/>
    <w:rsid w:val="00687B7B"/>
    <w:rsid w:val="00687B85"/>
    <w:rsid w:val="00687DEF"/>
    <w:rsid w:val="00687F7B"/>
    <w:rsid w:val="006900C0"/>
    <w:rsid w:val="006902C8"/>
    <w:rsid w:val="00690392"/>
    <w:rsid w:val="006904AD"/>
    <w:rsid w:val="00690680"/>
    <w:rsid w:val="0069084B"/>
    <w:rsid w:val="006908BD"/>
    <w:rsid w:val="006909D9"/>
    <w:rsid w:val="006909E6"/>
    <w:rsid w:val="00690AAF"/>
    <w:rsid w:val="00690C3C"/>
    <w:rsid w:val="00690E37"/>
    <w:rsid w:val="00690F1F"/>
    <w:rsid w:val="00690F2B"/>
    <w:rsid w:val="006910FD"/>
    <w:rsid w:val="0069138A"/>
    <w:rsid w:val="00691482"/>
    <w:rsid w:val="006915D6"/>
    <w:rsid w:val="00691628"/>
    <w:rsid w:val="0069167A"/>
    <w:rsid w:val="00691728"/>
    <w:rsid w:val="00691A39"/>
    <w:rsid w:val="00691A43"/>
    <w:rsid w:val="00691AD5"/>
    <w:rsid w:val="00691AEB"/>
    <w:rsid w:val="00691B0B"/>
    <w:rsid w:val="00691B35"/>
    <w:rsid w:val="00691E02"/>
    <w:rsid w:val="00691FB5"/>
    <w:rsid w:val="0069212A"/>
    <w:rsid w:val="00692138"/>
    <w:rsid w:val="00692289"/>
    <w:rsid w:val="0069229E"/>
    <w:rsid w:val="006922F0"/>
    <w:rsid w:val="0069237B"/>
    <w:rsid w:val="00692436"/>
    <w:rsid w:val="00692487"/>
    <w:rsid w:val="006924F8"/>
    <w:rsid w:val="006925DC"/>
    <w:rsid w:val="006926CC"/>
    <w:rsid w:val="0069287D"/>
    <w:rsid w:val="006928F3"/>
    <w:rsid w:val="006928FB"/>
    <w:rsid w:val="00692D4A"/>
    <w:rsid w:val="00692DC3"/>
    <w:rsid w:val="00692EFF"/>
    <w:rsid w:val="00692FA7"/>
    <w:rsid w:val="006931BB"/>
    <w:rsid w:val="00693358"/>
    <w:rsid w:val="00693565"/>
    <w:rsid w:val="00693635"/>
    <w:rsid w:val="0069365C"/>
    <w:rsid w:val="006936DD"/>
    <w:rsid w:val="006938AA"/>
    <w:rsid w:val="006938D1"/>
    <w:rsid w:val="00693A36"/>
    <w:rsid w:val="00693AA0"/>
    <w:rsid w:val="00693AC6"/>
    <w:rsid w:val="00693AF6"/>
    <w:rsid w:val="00693AFE"/>
    <w:rsid w:val="00693BD8"/>
    <w:rsid w:val="00693C9A"/>
    <w:rsid w:val="00693CE6"/>
    <w:rsid w:val="00693CF9"/>
    <w:rsid w:val="00693EF4"/>
    <w:rsid w:val="00693F66"/>
    <w:rsid w:val="00694053"/>
    <w:rsid w:val="0069426C"/>
    <w:rsid w:val="00694361"/>
    <w:rsid w:val="00694471"/>
    <w:rsid w:val="006945BF"/>
    <w:rsid w:val="0069474B"/>
    <w:rsid w:val="0069475D"/>
    <w:rsid w:val="00694A1D"/>
    <w:rsid w:val="00694BAA"/>
    <w:rsid w:val="00694CDF"/>
    <w:rsid w:val="00694CF3"/>
    <w:rsid w:val="00694EA2"/>
    <w:rsid w:val="00694ED8"/>
    <w:rsid w:val="00694F79"/>
    <w:rsid w:val="006950C2"/>
    <w:rsid w:val="006952D7"/>
    <w:rsid w:val="006952F4"/>
    <w:rsid w:val="00695480"/>
    <w:rsid w:val="0069553B"/>
    <w:rsid w:val="006955F7"/>
    <w:rsid w:val="00695661"/>
    <w:rsid w:val="0069577A"/>
    <w:rsid w:val="00695877"/>
    <w:rsid w:val="00695878"/>
    <w:rsid w:val="0069589A"/>
    <w:rsid w:val="0069597E"/>
    <w:rsid w:val="00695A6C"/>
    <w:rsid w:val="00695A7D"/>
    <w:rsid w:val="00695B55"/>
    <w:rsid w:val="00695B86"/>
    <w:rsid w:val="00695BDD"/>
    <w:rsid w:val="00695C13"/>
    <w:rsid w:val="00695C46"/>
    <w:rsid w:val="00695D9B"/>
    <w:rsid w:val="00695E6F"/>
    <w:rsid w:val="00696134"/>
    <w:rsid w:val="0069622D"/>
    <w:rsid w:val="0069627C"/>
    <w:rsid w:val="006964F7"/>
    <w:rsid w:val="00696565"/>
    <w:rsid w:val="00696571"/>
    <w:rsid w:val="00696599"/>
    <w:rsid w:val="006967E0"/>
    <w:rsid w:val="0069687D"/>
    <w:rsid w:val="00696A75"/>
    <w:rsid w:val="00696D25"/>
    <w:rsid w:val="00696D28"/>
    <w:rsid w:val="00696F32"/>
    <w:rsid w:val="006971C5"/>
    <w:rsid w:val="006972A6"/>
    <w:rsid w:val="006974B9"/>
    <w:rsid w:val="00697577"/>
    <w:rsid w:val="00697598"/>
    <w:rsid w:val="00697760"/>
    <w:rsid w:val="00697776"/>
    <w:rsid w:val="006977DA"/>
    <w:rsid w:val="0069789F"/>
    <w:rsid w:val="00697966"/>
    <w:rsid w:val="006979AF"/>
    <w:rsid w:val="00697B72"/>
    <w:rsid w:val="00697B73"/>
    <w:rsid w:val="00697BDC"/>
    <w:rsid w:val="00697C11"/>
    <w:rsid w:val="00697D07"/>
    <w:rsid w:val="00697E8B"/>
    <w:rsid w:val="006A000E"/>
    <w:rsid w:val="006A01F7"/>
    <w:rsid w:val="006A0259"/>
    <w:rsid w:val="006A0388"/>
    <w:rsid w:val="006A04F5"/>
    <w:rsid w:val="006A0552"/>
    <w:rsid w:val="006A0810"/>
    <w:rsid w:val="006A0AD7"/>
    <w:rsid w:val="006A0B41"/>
    <w:rsid w:val="006A0B8C"/>
    <w:rsid w:val="006A0C32"/>
    <w:rsid w:val="006A0DAE"/>
    <w:rsid w:val="006A0E6C"/>
    <w:rsid w:val="006A0EE7"/>
    <w:rsid w:val="006A10A8"/>
    <w:rsid w:val="006A10F6"/>
    <w:rsid w:val="006A11F8"/>
    <w:rsid w:val="006A147E"/>
    <w:rsid w:val="006A14D5"/>
    <w:rsid w:val="006A15F9"/>
    <w:rsid w:val="006A1602"/>
    <w:rsid w:val="006A1644"/>
    <w:rsid w:val="006A177C"/>
    <w:rsid w:val="006A1AB4"/>
    <w:rsid w:val="006A1D57"/>
    <w:rsid w:val="006A1F48"/>
    <w:rsid w:val="006A1FFA"/>
    <w:rsid w:val="006A2150"/>
    <w:rsid w:val="006A234D"/>
    <w:rsid w:val="006A23C7"/>
    <w:rsid w:val="006A2480"/>
    <w:rsid w:val="006A256D"/>
    <w:rsid w:val="006A2589"/>
    <w:rsid w:val="006A25ED"/>
    <w:rsid w:val="006A26FB"/>
    <w:rsid w:val="006A27A7"/>
    <w:rsid w:val="006A27E3"/>
    <w:rsid w:val="006A282C"/>
    <w:rsid w:val="006A286C"/>
    <w:rsid w:val="006A2A71"/>
    <w:rsid w:val="006A2C31"/>
    <w:rsid w:val="006A2CB5"/>
    <w:rsid w:val="006A2E55"/>
    <w:rsid w:val="006A2F69"/>
    <w:rsid w:val="006A2F81"/>
    <w:rsid w:val="006A30D6"/>
    <w:rsid w:val="006A3108"/>
    <w:rsid w:val="006A320A"/>
    <w:rsid w:val="006A3352"/>
    <w:rsid w:val="006A33B1"/>
    <w:rsid w:val="006A33EB"/>
    <w:rsid w:val="006A33F9"/>
    <w:rsid w:val="006A34FA"/>
    <w:rsid w:val="006A3520"/>
    <w:rsid w:val="006A3525"/>
    <w:rsid w:val="006A36B5"/>
    <w:rsid w:val="006A37F0"/>
    <w:rsid w:val="006A38DA"/>
    <w:rsid w:val="006A3917"/>
    <w:rsid w:val="006A39A3"/>
    <w:rsid w:val="006A39AC"/>
    <w:rsid w:val="006A39BA"/>
    <w:rsid w:val="006A3A2B"/>
    <w:rsid w:val="006A3C59"/>
    <w:rsid w:val="006A3C6B"/>
    <w:rsid w:val="006A3CE8"/>
    <w:rsid w:val="006A3E0C"/>
    <w:rsid w:val="006A3EBD"/>
    <w:rsid w:val="006A3EE7"/>
    <w:rsid w:val="006A3FB4"/>
    <w:rsid w:val="006A4168"/>
    <w:rsid w:val="006A42E5"/>
    <w:rsid w:val="006A4455"/>
    <w:rsid w:val="006A44B4"/>
    <w:rsid w:val="006A44D0"/>
    <w:rsid w:val="006A44D4"/>
    <w:rsid w:val="006A4750"/>
    <w:rsid w:val="006A47B3"/>
    <w:rsid w:val="006A487E"/>
    <w:rsid w:val="006A4C7D"/>
    <w:rsid w:val="006A4CBC"/>
    <w:rsid w:val="006A4D1F"/>
    <w:rsid w:val="006A4D5A"/>
    <w:rsid w:val="006A4E5A"/>
    <w:rsid w:val="006A4ECE"/>
    <w:rsid w:val="006A5037"/>
    <w:rsid w:val="006A50E0"/>
    <w:rsid w:val="006A5148"/>
    <w:rsid w:val="006A518D"/>
    <w:rsid w:val="006A52E1"/>
    <w:rsid w:val="006A5430"/>
    <w:rsid w:val="006A5450"/>
    <w:rsid w:val="006A549C"/>
    <w:rsid w:val="006A54D9"/>
    <w:rsid w:val="006A5583"/>
    <w:rsid w:val="006A5627"/>
    <w:rsid w:val="006A581D"/>
    <w:rsid w:val="006A594F"/>
    <w:rsid w:val="006A5B0B"/>
    <w:rsid w:val="006A5B72"/>
    <w:rsid w:val="006A5F99"/>
    <w:rsid w:val="006A60E8"/>
    <w:rsid w:val="006A622D"/>
    <w:rsid w:val="006A62A5"/>
    <w:rsid w:val="006A62DF"/>
    <w:rsid w:val="006A634E"/>
    <w:rsid w:val="006A6473"/>
    <w:rsid w:val="006A64F4"/>
    <w:rsid w:val="006A65EB"/>
    <w:rsid w:val="006A669C"/>
    <w:rsid w:val="006A66C3"/>
    <w:rsid w:val="006A66CD"/>
    <w:rsid w:val="006A6731"/>
    <w:rsid w:val="006A676A"/>
    <w:rsid w:val="006A6807"/>
    <w:rsid w:val="006A6892"/>
    <w:rsid w:val="006A68B1"/>
    <w:rsid w:val="006A69DB"/>
    <w:rsid w:val="006A6B09"/>
    <w:rsid w:val="006A6BF1"/>
    <w:rsid w:val="006A6D18"/>
    <w:rsid w:val="006A6DCB"/>
    <w:rsid w:val="006A6EB8"/>
    <w:rsid w:val="006A6F06"/>
    <w:rsid w:val="006A6FC8"/>
    <w:rsid w:val="006A702F"/>
    <w:rsid w:val="006A70E2"/>
    <w:rsid w:val="006A71D4"/>
    <w:rsid w:val="006A7222"/>
    <w:rsid w:val="006A72F1"/>
    <w:rsid w:val="006A73A9"/>
    <w:rsid w:val="006A7483"/>
    <w:rsid w:val="006A74F0"/>
    <w:rsid w:val="006A75AA"/>
    <w:rsid w:val="006A76B2"/>
    <w:rsid w:val="006A76DA"/>
    <w:rsid w:val="006A7713"/>
    <w:rsid w:val="006A78B2"/>
    <w:rsid w:val="006A79DD"/>
    <w:rsid w:val="006A7A5D"/>
    <w:rsid w:val="006A7F84"/>
    <w:rsid w:val="006A7F9D"/>
    <w:rsid w:val="006A7FFC"/>
    <w:rsid w:val="006B0057"/>
    <w:rsid w:val="006B01A0"/>
    <w:rsid w:val="006B0253"/>
    <w:rsid w:val="006B044E"/>
    <w:rsid w:val="006B0477"/>
    <w:rsid w:val="006B06B3"/>
    <w:rsid w:val="006B089E"/>
    <w:rsid w:val="006B0C4E"/>
    <w:rsid w:val="006B0C8C"/>
    <w:rsid w:val="006B0E77"/>
    <w:rsid w:val="006B0E78"/>
    <w:rsid w:val="006B0F55"/>
    <w:rsid w:val="006B1105"/>
    <w:rsid w:val="006B11EE"/>
    <w:rsid w:val="006B12C2"/>
    <w:rsid w:val="006B12EA"/>
    <w:rsid w:val="006B1338"/>
    <w:rsid w:val="006B13D8"/>
    <w:rsid w:val="006B16BF"/>
    <w:rsid w:val="006B1901"/>
    <w:rsid w:val="006B1941"/>
    <w:rsid w:val="006B1E74"/>
    <w:rsid w:val="006B1EDC"/>
    <w:rsid w:val="006B21CF"/>
    <w:rsid w:val="006B22F4"/>
    <w:rsid w:val="006B2314"/>
    <w:rsid w:val="006B24AE"/>
    <w:rsid w:val="006B2609"/>
    <w:rsid w:val="006B2681"/>
    <w:rsid w:val="006B275A"/>
    <w:rsid w:val="006B27EC"/>
    <w:rsid w:val="006B2811"/>
    <w:rsid w:val="006B28CF"/>
    <w:rsid w:val="006B2926"/>
    <w:rsid w:val="006B2B1E"/>
    <w:rsid w:val="006B2B3E"/>
    <w:rsid w:val="006B2B53"/>
    <w:rsid w:val="006B2BD1"/>
    <w:rsid w:val="006B2CE3"/>
    <w:rsid w:val="006B2EDA"/>
    <w:rsid w:val="006B3028"/>
    <w:rsid w:val="006B3032"/>
    <w:rsid w:val="006B3124"/>
    <w:rsid w:val="006B31F4"/>
    <w:rsid w:val="006B327B"/>
    <w:rsid w:val="006B356D"/>
    <w:rsid w:val="006B35E0"/>
    <w:rsid w:val="006B3618"/>
    <w:rsid w:val="006B3681"/>
    <w:rsid w:val="006B36A9"/>
    <w:rsid w:val="006B3866"/>
    <w:rsid w:val="006B38B3"/>
    <w:rsid w:val="006B39E7"/>
    <w:rsid w:val="006B3ABA"/>
    <w:rsid w:val="006B3AC8"/>
    <w:rsid w:val="006B3ADD"/>
    <w:rsid w:val="006B3B80"/>
    <w:rsid w:val="006B3D9A"/>
    <w:rsid w:val="006B3EA2"/>
    <w:rsid w:val="006B3EB6"/>
    <w:rsid w:val="006B3F2F"/>
    <w:rsid w:val="006B3FB7"/>
    <w:rsid w:val="006B4426"/>
    <w:rsid w:val="006B45F0"/>
    <w:rsid w:val="006B46F7"/>
    <w:rsid w:val="006B4758"/>
    <w:rsid w:val="006B48F7"/>
    <w:rsid w:val="006B49C3"/>
    <w:rsid w:val="006B4B47"/>
    <w:rsid w:val="006B4B4A"/>
    <w:rsid w:val="006B4C4B"/>
    <w:rsid w:val="006B4E9E"/>
    <w:rsid w:val="006B4ED5"/>
    <w:rsid w:val="006B4F7E"/>
    <w:rsid w:val="006B4FBE"/>
    <w:rsid w:val="006B5008"/>
    <w:rsid w:val="006B50AD"/>
    <w:rsid w:val="006B50C7"/>
    <w:rsid w:val="006B51CD"/>
    <w:rsid w:val="006B5200"/>
    <w:rsid w:val="006B5218"/>
    <w:rsid w:val="006B52C9"/>
    <w:rsid w:val="006B5362"/>
    <w:rsid w:val="006B5533"/>
    <w:rsid w:val="006B56BF"/>
    <w:rsid w:val="006B582F"/>
    <w:rsid w:val="006B5A0A"/>
    <w:rsid w:val="006B5A77"/>
    <w:rsid w:val="006B5C04"/>
    <w:rsid w:val="006B5C78"/>
    <w:rsid w:val="006B5C96"/>
    <w:rsid w:val="006B5D08"/>
    <w:rsid w:val="006B5D29"/>
    <w:rsid w:val="006B5EBA"/>
    <w:rsid w:val="006B5F0E"/>
    <w:rsid w:val="006B5F7A"/>
    <w:rsid w:val="006B6040"/>
    <w:rsid w:val="006B6149"/>
    <w:rsid w:val="006B6256"/>
    <w:rsid w:val="006B6427"/>
    <w:rsid w:val="006B64B8"/>
    <w:rsid w:val="006B658E"/>
    <w:rsid w:val="006B6622"/>
    <w:rsid w:val="006B679A"/>
    <w:rsid w:val="006B67AC"/>
    <w:rsid w:val="006B6937"/>
    <w:rsid w:val="006B6B46"/>
    <w:rsid w:val="006B6F9C"/>
    <w:rsid w:val="006B7015"/>
    <w:rsid w:val="006B729D"/>
    <w:rsid w:val="006B749A"/>
    <w:rsid w:val="006B75C6"/>
    <w:rsid w:val="006B7687"/>
    <w:rsid w:val="006B7B90"/>
    <w:rsid w:val="006B7C3E"/>
    <w:rsid w:val="006C00B1"/>
    <w:rsid w:val="006C034E"/>
    <w:rsid w:val="006C0525"/>
    <w:rsid w:val="006C054E"/>
    <w:rsid w:val="006C058C"/>
    <w:rsid w:val="006C05A8"/>
    <w:rsid w:val="006C0750"/>
    <w:rsid w:val="006C076F"/>
    <w:rsid w:val="006C08CC"/>
    <w:rsid w:val="006C0903"/>
    <w:rsid w:val="006C0956"/>
    <w:rsid w:val="006C09EC"/>
    <w:rsid w:val="006C0A5A"/>
    <w:rsid w:val="006C0C0E"/>
    <w:rsid w:val="006C0C17"/>
    <w:rsid w:val="006C0C81"/>
    <w:rsid w:val="006C0CDB"/>
    <w:rsid w:val="006C0CFE"/>
    <w:rsid w:val="006C0D10"/>
    <w:rsid w:val="006C0D3A"/>
    <w:rsid w:val="006C0E5B"/>
    <w:rsid w:val="006C0F52"/>
    <w:rsid w:val="006C0FF4"/>
    <w:rsid w:val="006C1199"/>
    <w:rsid w:val="006C126E"/>
    <w:rsid w:val="006C1409"/>
    <w:rsid w:val="006C1749"/>
    <w:rsid w:val="006C182F"/>
    <w:rsid w:val="006C1857"/>
    <w:rsid w:val="006C1883"/>
    <w:rsid w:val="006C18DD"/>
    <w:rsid w:val="006C1ADE"/>
    <w:rsid w:val="006C1E55"/>
    <w:rsid w:val="006C1F72"/>
    <w:rsid w:val="006C20BA"/>
    <w:rsid w:val="006C20C4"/>
    <w:rsid w:val="006C2123"/>
    <w:rsid w:val="006C2463"/>
    <w:rsid w:val="006C24D2"/>
    <w:rsid w:val="006C25A6"/>
    <w:rsid w:val="006C27B2"/>
    <w:rsid w:val="006C2A5D"/>
    <w:rsid w:val="006C2B25"/>
    <w:rsid w:val="006C2E3A"/>
    <w:rsid w:val="006C2E4D"/>
    <w:rsid w:val="006C306C"/>
    <w:rsid w:val="006C30BE"/>
    <w:rsid w:val="006C3299"/>
    <w:rsid w:val="006C34B6"/>
    <w:rsid w:val="006C3535"/>
    <w:rsid w:val="006C354C"/>
    <w:rsid w:val="006C359D"/>
    <w:rsid w:val="006C36FD"/>
    <w:rsid w:val="006C3913"/>
    <w:rsid w:val="006C3976"/>
    <w:rsid w:val="006C397A"/>
    <w:rsid w:val="006C398B"/>
    <w:rsid w:val="006C3B76"/>
    <w:rsid w:val="006C3C22"/>
    <w:rsid w:val="006C3C7B"/>
    <w:rsid w:val="006C3E80"/>
    <w:rsid w:val="006C400D"/>
    <w:rsid w:val="006C4170"/>
    <w:rsid w:val="006C422D"/>
    <w:rsid w:val="006C432D"/>
    <w:rsid w:val="006C4337"/>
    <w:rsid w:val="006C4370"/>
    <w:rsid w:val="006C44D2"/>
    <w:rsid w:val="006C4572"/>
    <w:rsid w:val="006C4575"/>
    <w:rsid w:val="006C45E9"/>
    <w:rsid w:val="006C4A72"/>
    <w:rsid w:val="006C4B09"/>
    <w:rsid w:val="006C4CC8"/>
    <w:rsid w:val="006C4E5C"/>
    <w:rsid w:val="006C4F37"/>
    <w:rsid w:val="006C5150"/>
    <w:rsid w:val="006C529C"/>
    <w:rsid w:val="006C5395"/>
    <w:rsid w:val="006C547F"/>
    <w:rsid w:val="006C5585"/>
    <w:rsid w:val="006C583A"/>
    <w:rsid w:val="006C5C3E"/>
    <w:rsid w:val="006C5E84"/>
    <w:rsid w:val="006C5F84"/>
    <w:rsid w:val="006C5FAA"/>
    <w:rsid w:val="006C6064"/>
    <w:rsid w:val="006C6079"/>
    <w:rsid w:val="006C60EE"/>
    <w:rsid w:val="006C6112"/>
    <w:rsid w:val="006C6193"/>
    <w:rsid w:val="006C6217"/>
    <w:rsid w:val="006C65EE"/>
    <w:rsid w:val="006C6942"/>
    <w:rsid w:val="006C6BCE"/>
    <w:rsid w:val="006C6BE1"/>
    <w:rsid w:val="006C6BEB"/>
    <w:rsid w:val="006C6C68"/>
    <w:rsid w:val="006C6D14"/>
    <w:rsid w:val="006C6D3C"/>
    <w:rsid w:val="006C6DCD"/>
    <w:rsid w:val="006C6F14"/>
    <w:rsid w:val="006C707D"/>
    <w:rsid w:val="006C7199"/>
    <w:rsid w:val="006C71B1"/>
    <w:rsid w:val="006C7220"/>
    <w:rsid w:val="006C731F"/>
    <w:rsid w:val="006C73AC"/>
    <w:rsid w:val="006C7485"/>
    <w:rsid w:val="006C74D8"/>
    <w:rsid w:val="006C7516"/>
    <w:rsid w:val="006C75EA"/>
    <w:rsid w:val="006C7606"/>
    <w:rsid w:val="006C76CC"/>
    <w:rsid w:val="006C773A"/>
    <w:rsid w:val="006C77CC"/>
    <w:rsid w:val="006C7B03"/>
    <w:rsid w:val="006C7B35"/>
    <w:rsid w:val="006C7B6C"/>
    <w:rsid w:val="006C7E3F"/>
    <w:rsid w:val="006C7F72"/>
    <w:rsid w:val="006D009D"/>
    <w:rsid w:val="006D00DD"/>
    <w:rsid w:val="006D018A"/>
    <w:rsid w:val="006D0212"/>
    <w:rsid w:val="006D0298"/>
    <w:rsid w:val="006D039E"/>
    <w:rsid w:val="006D044B"/>
    <w:rsid w:val="006D04CA"/>
    <w:rsid w:val="006D0673"/>
    <w:rsid w:val="006D07B0"/>
    <w:rsid w:val="006D07F6"/>
    <w:rsid w:val="006D0859"/>
    <w:rsid w:val="006D0C66"/>
    <w:rsid w:val="006D0C90"/>
    <w:rsid w:val="006D0EC2"/>
    <w:rsid w:val="006D0F7C"/>
    <w:rsid w:val="006D1071"/>
    <w:rsid w:val="006D1316"/>
    <w:rsid w:val="006D133D"/>
    <w:rsid w:val="006D13CF"/>
    <w:rsid w:val="006D159E"/>
    <w:rsid w:val="006D15E7"/>
    <w:rsid w:val="006D16F7"/>
    <w:rsid w:val="006D1764"/>
    <w:rsid w:val="006D1872"/>
    <w:rsid w:val="006D1957"/>
    <w:rsid w:val="006D1963"/>
    <w:rsid w:val="006D19A4"/>
    <w:rsid w:val="006D19B2"/>
    <w:rsid w:val="006D1B9A"/>
    <w:rsid w:val="006D1C5F"/>
    <w:rsid w:val="006D1C92"/>
    <w:rsid w:val="006D1DB6"/>
    <w:rsid w:val="006D1F93"/>
    <w:rsid w:val="006D2066"/>
    <w:rsid w:val="006D2101"/>
    <w:rsid w:val="006D2104"/>
    <w:rsid w:val="006D2241"/>
    <w:rsid w:val="006D2445"/>
    <w:rsid w:val="006D2455"/>
    <w:rsid w:val="006D2477"/>
    <w:rsid w:val="006D2513"/>
    <w:rsid w:val="006D25BA"/>
    <w:rsid w:val="006D2657"/>
    <w:rsid w:val="006D265A"/>
    <w:rsid w:val="006D26B5"/>
    <w:rsid w:val="006D2778"/>
    <w:rsid w:val="006D27A9"/>
    <w:rsid w:val="006D28A3"/>
    <w:rsid w:val="006D2924"/>
    <w:rsid w:val="006D2977"/>
    <w:rsid w:val="006D2B16"/>
    <w:rsid w:val="006D2B5B"/>
    <w:rsid w:val="006D2B93"/>
    <w:rsid w:val="006D2C5D"/>
    <w:rsid w:val="006D2CEF"/>
    <w:rsid w:val="006D2D3D"/>
    <w:rsid w:val="006D305F"/>
    <w:rsid w:val="006D32D7"/>
    <w:rsid w:val="006D32FC"/>
    <w:rsid w:val="006D36C2"/>
    <w:rsid w:val="006D37F8"/>
    <w:rsid w:val="006D39CC"/>
    <w:rsid w:val="006D3AB0"/>
    <w:rsid w:val="006D3D4C"/>
    <w:rsid w:val="006D3DEB"/>
    <w:rsid w:val="006D4149"/>
    <w:rsid w:val="006D41F1"/>
    <w:rsid w:val="006D4231"/>
    <w:rsid w:val="006D423E"/>
    <w:rsid w:val="006D4315"/>
    <w:rsid w:val="006D43D2"/>
    <w:rsid w:val="006D4491"/>
    <w:rsid w:val="006D4642"/>
    <w:rsid w:val="006D4677"/>
    <w:rsid w:val="006D471F"/>
    <w:rsid w:val="006D473D"/>
    <w:rsid w:val="006D47D5"/>
    <w:rsid w:val="006D494C"/>
    <w:rsid w:val="006D4A1F"/>
    <w:rsid w:val="006D4BFD"/>
    <w:rsid w:val="006D4C72"/>
    <w:rsid w:val="006D4C7B"/>
    <w:rsid w:val="006D4E4C"/>
    <w:rsid w:val="006D4F5F"/>
    <w:rsid w:val="006D4FBE"/>
    <w:rsid w:val="006D5023"/>
    <w:rsid w:val="006D507B"/>
    <w:rsid w:val="006D50A4"/>
    <w:rsid w:val="006D536B"/>
    <w:rsid w:val="006D54FC"/>
    <w:rsid w:val="006D5585"/>
    <w:rsid w:val="006D55AC"/>
    <w:rsid w:val="006D5630"/>
    <w:rsid w:val="006D577F"/>
    <w:rsid w:val="006D586E"/>
    <w:rsid w:val="006D5930"/>
    <w:rsid w:val="006D5AD2"/>
    <w:rsid w:val="006D5B08"/>
    <w:rsid w:val="006D5B12"/>
    <w:rsid w:val="006D5C99"/>
    <w:rsid w:val="006D5CE5"/>
    <w:rsid w:val="006D5D2C"/>
    <w:rsid w:val="006D5DCF"/>
    <w:rsid w:val="006D5F76"/>
    <w:rsid w:val="006D5FAD"/>
    <w:rsid w:val="006D60CF"/>
    <w:rsid w:val="006D610F"/>
    <w:rsid w:val="006D61B2"/>
    <w:rsid w:val="006D62DB"/>
    <w:rsid w:val="006D633D"/>
    <w:rsid w:val="006D6473"/>
    <w:rsid w:val="006D652A"/>
    <w:rsid w:val="006D6607"/>
    <w:rsid w:val="006D66B3"/>
    <w:rsid w:val="006D6C4A"/>
    <w:rsid w:val="006D6D96"/>
    <w:rsid w:val="006D6DB0"/>
    <w:rsid w:val="006D6EBA"/>
    <w:rsid w:val="006D6FE0"/>
    <w:rsid w:val="006D700A"/>
    <w:rsid w:val="006D700D"/>
    <w:rsid w:val="006D7037"/>
    <w:rsid w:val="006D7099"/>
    <w:rsid w:val="006D70A6"/>
    <w:rsid w:val="006D70AF"/>
    <w:rsid w:val="006D7211"/>
    <w:rsid w:val="006D7301"/>
    <w:rsid w:val="006D74FB"/>
    <w:rsid w:val="006D752E"/>
    <w:rsid w:val="006D75C8"/>
    <w:rsid w:val="006D767C"/>
    <w:rsid w:val="006D76B8"/>
    <w:rsid w:val="006D77AD"/>
    <w:rsid w:val="006D7826"/>
    <w:rsid w:val="006D79E8"/>
    <w:rsid w:val="006D7A3D"/>
    <w:rsid w:val="006D7A6E"/>
    <w:rsid w:val="006D7A96"/>
    <w:rsid w:val="006D7B8D"/>
    <w:rsid w:val="006D7D5C"/>
    <w:rsid w:val="006D7F6E"/>
    <w:rsid w:val="006E005A"/>
    <w:rsid w:val="006E0154"/>
    <w:rsid w:val="006E02B6"/>
    <w:rsid w:val="006E02BA"/>
    <w:rsid w:val="006E0381"/>
    <w:rsid w:val="006E03BF"/>
    <w:rsid w:val="006E04FE"/>
    <w:rsid w:val="006E0620"/>
    <w:rsid w:val="006E062D"/>
    <w:rsid w:val="006E07AF"/>
    <w:rsid w:val="006E0C11"/>
    <w:rsid w:val="006E0C62"/>
    <w:rsid w:val="006E0C67"/>
    <w:rsid w:val="006E0CBB"/>
    <w:rsid w:val="006E0CE3"/>
    <w:rsid w:val="006E0E38"/>
    <w:rsid w:val="006E0F07"/>
    <w:rsid w:val="006E0F62"/>
    <w:rsid w:val="006E0FED"/>
    <w:rsid w:val="006E10C5"/>
    <w:rsid w:val="006E12F3"/>
    <w:rsid w:val="006E12FD"/>
    <w:rsid w:val="006E13E4"/>
    <w:rsid w:val="006E14BC"/>
    <w:rsid w:val="006E14E9"/>
    <w:rsid w:val="006E1705"/>
    <w:rsid w:val="006E1830"/>
    <w:rsid w:val="006E1923"/>
    <w:rsid w:val="006E1B7E"/>
    <w:rsid w:val="006E1D4F"/>
    <w:rsid w:val="006E1E18"/>
    <w:rsid w:val="006E1E3B"/>
    <w:rsid w:val="006E1F0E"/>
    <w:rsid w:val="006E21A5"/>
    <w:rsid w:val="006E21B0"/>
    <w:rsid w:val="006E2229"/>
    <w:rsid w:val="006E25BA"/>
    <w:rsid w:val="006E2604"/>
    <w:rsid w:val="006E2631"/>
    <w:rsid w:val="006E2707"/>
    <w:rsid w:val="006E2728"/>
    <w:rsid w:val="006E27B6"/>
    <w:rsid w:val="006E2884"/>
    <w:rsid w:val="006E2A4A"/>
    <w:rsid w:val="006E2D2E"/>
    <w:rsid w:val="006E2D57"/>
    <w:rsid w:val="006E2DB7"/>
    <w:rsid w:val="006E2E32"/>
    <w:rsid w:val="006E3050"/>
    <w:rsid w:val="006E307D"/>
    <w:rsid w:val="006E308F"/>
    <w:rsid w:val="006E30F8"/>
    <w:rsid w:val="006E312A"/>
    <w:rsid w:val="006E3258"/>
    <w:rsid w:val="006E3286"/>
    <w:rsid w:val="006E3297"/>
    <w:rsid w:val="006E32ED"/>
    <w:rsid w:val="006E32F2"/>
    <w:rsid w:val="006E330B"/>
    <w:rsid w:val="006E3311"/>
    <w:rsid w:val="006E3416"/>
    <w:rsid w:val="006E3732"/>
    <w:rsid w:val="006E37AB"/>
    <w:rsid w:val="006E37DD"/>
    <w:rsid w:val="006E39A2"/>
    <w:rsid w:val="006E3E3F"/>
    <w:rsid w:val="006E3E56"/>
    <w:rsid w:val="006E3E5E"/>
    <w:rsid w:val="006E4006"/>
    <w:rsid w:val="006E427B"/>
    <w:rsid w:val="006E42C7"/>
    <w:rsid w:val="006E4472"/>
    <w:rsid w:val="006E45FA"/>
    <w:rsid w:val="006E4837"/>
    <w:rsid w:val="006E48AA"/>
    <w:rsid w:val="006E4A6E"/>
    <w:rsid w:val="006E4C5A"/>
    <w:rsid w:val="006E4D5C"/>
    <w:rsid w:val="006E4DC4"/>
    <w:rsid w:val="006E4E28"/>
    <w:rsid w:val="006E4F14"/>
    <w:rsid w:val="006E505E"/>
    <w:rsid w:val="006E51E5"/>
    <w:rsid w:val="006E527E"/>
    <w:rsid w:val="006E541F"/>
    <w:rsid w:val="006E56FF"/>
    <w:rsid w:val="006E595A"/>
    <w:rsid w:val="006E59FA"/>
    <w:rsid w:val="006E5AEC"/>
    <w:rsid w:val="006E5B0B"/>
    <w:rsid w:val="006E5B71"/>
    <w:rsid w:val="006E5C8F"/>
    <w:rsid w:val="006E5CB2"/>
    <w:rsid w:val="006E5D31"/>
    <w:rsid w:val="006E5E95"/>
    <w:rsid w:val="006E5F49"/>
    <w:rsid w:val="006E63BB"/>
    <w:rsid w:val="006E6B13"/>
    <w:rsid w:val="006E6C18"/>
    <w:rsid w:val="006E6C2C"/>
    <w:rsid w:val="006E6EF5"/>
    <w:rsid w:val="006E6F7F"/>
    <w:rsid w:val="006E721A"/>
    <w:rsid w:val="006E7384"/>
    <w:rsid w:val="006E7563"/>
    <w:rsid w:val="006E75EE"/>
    <w:rsid w:val="006E7796"/>
    <w:rsid w:val="006E7CCE"/>
    <w:rsid w:val="006E7D36"/>
    <w:rsid w:val="006E7DD8"/>
    <w:rsid w:val="006E7F95"/>
    <w:rsid w:val="006E7FF1"/>
    <w:rsid w:val="006F00E3"/>
    <w:rsid w:val="006F0172"/>
    <w:rsid w:val="006F04B6"/>
    <w:rsid w:val="006F05BD"/>
    <w:rsid w:val="006F05D9"/>
    <w:rsid w:val="006F0746"/>
    <w:rsid w:val="006F0836"/>
    <w:rsid w:val="006F084C"/>
    <w:rsid w:val="006F08C0"/>
    <w:rsid w:val="006F08C3"/>
    <w:rsid w:val="006F0953"/>
    <w:rsid w:val="006F0968"/>
    <w:rsid w:val="006F0980"/>
    <w:rsid w:val="006F0AF3"/>
    <w:rsid w:val="006F0B11"/>
    <w:rsid w:val="006F0C91"/>
    <w:rsid w:val="006F0D46"/>
    <w:rsid w:val="006F0D66"/>
    <w:rsid w:val="006F0DB9"/>
    <w:rsid w:val="006F0F79"/>
    <w:rsid w:val="006F1056"/>
    <w:rsid w:val="006F133B"/>
    <w:rsid w:val="006F14BC"/>
    <w:rsid w:val="006F16AA"/>
    <w:rsid w:val="006F1763"/>
    <w:rsid w:val="006F1830"/>
    <w:rsid w:val="006F1855"/>
    <w:rsid w:val="006F1942"/>
    <w:rsid w:val="006F19C6"/>
    <w:rsid w:val="006F19ED"/>
    <w:rsid w:val="006F1DE3"/>
    <w:rsid w:val="006F1EC4"/>
    <w:rsid w:val="006F1EF2"/>
    <w:rsid w:val="006F1F9A"/>
    <w:rsid w:val="006F1FAB"/>
    <w:rsid w:val="006F2012"/>
    <w:rsid w:val="006F20AE"/>
    <w:rsid w:val="006F22F4"/>
    <w:rsid w:val="006F23DD"/>
    <w:rsid w:val="006F2418"/>
    <w:rsid w:val="006F243D"/>
    <w:rsid w:val="006F251C"/>
    <w:rsid w:val="006F269C"/>
    <w:rsid w:val="006F2717"/>
    <w:rsid w:val="006F2725"/>
    <w:rsid w:val="006F2B37"/>
    <w:rsid w:val="006F2B84"/>
    <w:rsid w:val="006F2C03"/>
    <w:rsid w:val="006F2D25"/>
    <w:rsid w:val="006F2D62"/>
    <w:rsid w:val="006F2DA7"/>
    <w:rsid w:val="006F2DC9"/>
    <w:rsid w:val="006F2E21"/>
    <w:rsid w:val="006F2F07"/>
    <w:rsid w:val="006F304B"/>
    <w:rsid w:val="006F325E"/>
    <w:rsid w:val="006F3408"/>
    <w:rsid w:val="006F3662"/>
    <w:rsid w:val="006F3748"/>
    <w:rsid w:val="006F37A6"/>
    <w:rsid w:val="006F3926"/>
    <w:rsid w:val="006F3B08"/>
    <w:rsid w:val="006F3C0F"/>
    <w:rsid w:val="006F3CE8"/>
    <w:rsid w:val="006F3F18"/>
    <w:rsid w:val="006F3F26"/>
    <w:rsid w:val="006F3FCA"/>
    <w:rsid w:val="006F3FD8"/>
    <w:rsid w:val="006F4006"/>
    <w:rsid w:val="006F4022"/>
    <w:rsid w:val="006F41C8"/>
    <w:rsid w:val="006F41EA"/>
    <w:rsid w:val="006F4567"/>
    <w:rsid w:val="006F464F"/>
    <w:rsid w:val="006F48CA"/>
    <w:rsid w:val="006F4927"/>
    <w:rsid w:val="006F4928"/>
    <w:rsid w:val="006F4951"/>
    <w:rsid w:val="006F4A4B"/>
    <w:rsid w:val="006F4AE0"/>
    <w:rsid w:val="006F4AEB"/>
    <w:rsid w:val="006F4B37"/>
    <w:rsid w:val="006F4C7A"/>
    <w:rsid w:val="006F4D49"/>
    <w:rsid w:val="006F4DDF"/>
    <w:rsid w:val="006F4FB6"/>
    <w:rsid w:val="006F4FC0"/>
    <w:rsid w:val="006F5158"/>
    <w:rsid w:val="006F5227"/>
    <w:rsid w:val="006F530F"/>
    <w:rsid w:val="006F542F"/>
    <w:rsid w:val="006F5791"/>
    <w:rsid w:val="006F57B3"/>
    <w:rsid w:val="006F58B9"/>
    <w:rsid w:val="006F58EB"/>
    <w:rsid w:val="006F5957"/>
    <w:rsid w:val="006F59C7"/>
    <w:rsid w:val="006F5AA3"/>
    <w:rsid w:val="006F5ADA"/>
    <w:rsid w:val="006F5B64"/>
    <w:rsid w:val="006F5CC6"/>
    <w:rsid w:val="006F5DF2"/>
    <w:rsid w:val="006F5E31"/>
    <w:rsid w:val="006F6076"/>
    <w:rsid w:val="006F6158"/>
    <w:rsid w:val="006F6345"/>
    <w:rsid w:val="006F64AD"/>
    <w:rsid w:val="006F65AC"/>
    <w:rsid w:val="006F6691"/>
    <w:rsid w:val="006F678F"/>
    <w:rsid w:val="006F6989"/>
    <w:rsid w:val="006F69AB"/>
    <w:rsid w:val="006F69F1"/>
    <w:rsid w:val="006F6ABA"/>
    <w:rsid w:val="006F6B04"/>
    <w:rsid w:val="006F6C9B"/>
    <w:rsid w:val="006F6CC5"/>
    <w:rsid w:val="006F6E5B"/>
    <w:rsid w:val="006F6EE5"/>
    <w:rsid w:val="006F6FB0"/>
    <w:rsid w:val="006F7066"/>
    <w:rsid w:val="006F70D7"/>
    <w:rsid w:val="006F7119"/>
    <w:rsid w:val="006F712A"/>
    <w:rsid w:val="006F71BF"/>
    <w:rsid w:val="006F7287"/>
    <w:rsid w:val="006F728F"/>
    <w:rsid w:val="006F7445"/>
    <w:rsid w:val="006F7515"/>
    <w:rsid w:val="006F767F"/>
    <w:rsid w:val="006F76F9"/>
    <w:rsid w:val="006F77E2"/>
    <w:rsid w:val="006F7835"/>
    <w:rsid w:val="006F78FA"/>
    <w:rsid w:val="006F7999"/>
    <w:rsid w:val="006F7A17"/>
    <w:rsid w:val="006F7A3E"/>
    <w:rsid w:val="006F7C81"/>
    <w:rsid w:val="007000C0"/>
    <w:rsid w:val="007000CF"/>
    <w:rsid w:val="007001D4"/>
    <w:rsid w:val="00700495"/>
    <w:rsid w:val="007005AC"/>
    <w:rsid w:val="00700677"/>
    <w:rsid w:val="00700734"/>
    <w:rsid w:val="007007A3"/>
    <w:rsid w:val="007007CB"/>
    <w:rsid w:val="0070090D"/>
    <w:rsid w:val="00700945"/>
    <w:rsid w:val="00700950"/>
    <w:rsid w:val="00700DC2"/>
    <w:rsid w:val="00700DDD"/>
    <w:rsid w:val="00700E0C"/>
    <w:rsid w:val="00700EAB"/>
    <w:rsid w:val="0070103C"/>
    <w:rsid w:val="00701136"/>
    <w:rsid w:val="007018A1"/>
    <w:rsid w:val="00701A64"/>
    <w:rsid w:val="00701B35"/>
    <w:rsid w:val="00701B93"/>
    <w:rsid w:val="00701BF8"/>
    <w:rsid w:val="00701DCE"/>
    <w:rsid w:val="00701E0D"/>
    <w:rsid w:val="00701E45"/>
    <w:rsid w:val="00701F43"/>
    <w:rsid w:val="00701FE3"/>
    <w:rsid w:val="0070203F"/>
    <w:rsid w:val="007021AD"/>
    <w:rsid w:val="007023D4"/>
    <w:rsid w:val="0070257D"/>
    <w:rsid w:val="007025E7"/>
    <w:rsid w:val="00702675"/>
    <w:rsid w:val="007026C6"/>
    <w:rsid w:val="00702717"/>
    <w:rsid w:val="00702A2A"/>
    <w:rsid w:val="00702A2E"/>
    <w:rsid w:val="00702A5F"/>
    <w:rsid w:val="00702B49"/>
    <w:rsid w:val="00702CE3"/>
    <w:rsid w:val="00702D9C"/>
    <w:rsid w:val="00702DC4"/>
    <w:rsid w:val="00702E60"/>
    <w:rsid w:val="0070318E"/>
    <w:rsid w:val="0070319A"/>
    <w:rsid w:val="00703671"/>
    <w:rsid w:val="00703748"/>
    <w:rsid w:val="0070380C"/>
    <w:rsid w:val="007038D9"/>
    <w:rsid w:val="00703998"/>
    <w:rsid w:val="007039AC"/>
    <w:rsid w:val="00703B50"/>
    <w:rsid w:val="00703B54"/>
    <w:rsid w:val="00703BD4"/>
    <w:rsid w:val="00703CB4"/>
    <w:rsid w:val="00703D00"/>
    <w:rsid w:val="00703D28"/>
    <w:rsid w:val="00703D4D"/>
    <w:rsid w:val="00703E83"/>
    <w:rsid w:val="00703FF8"/>
    <w:rsid w:val="007041B1"/>
    <w:rsid w:val="007041E9"/>
    <w:rsid w:val="0070424D"/>
    <w:rsid w:val="0070426A"/>
    <w:rsid w:val="007042C4"/>
    <w:rsid w:val="007042E7"/>
    <w:rsid w:val="00704424"/>
    <w:rsid w:val="0070442C"/>
    <w:rsid w:val="00704590"/>
    <w:rsid w:val="007045D7"/>
    <w:rsid w:val="0070464B"/>
    <w:rsid w:val="00704793"/>
    <w:rsid w:val="00704805"/>
    <w:rsid w:val="0070487A"/>
    <w:rsid w:val="00704931"/>
    <w:rsid w:val="0070498E"/>
    <w:rsid w:val="007049BA"/>
    <w:rsid w:val="00704ABD"/>
    <w:rsid w:val="00704C6F"/>
    <w:rsid w:val="00704C8F"/>
    <w:rsid w:val="00704D35"/>
    <w:rsid w:val="00704DF4"/>
    <w:rsid w:val="00704E58"/>
    <w:rsid w:val="00704E6F"/>
    <w:rsid w:val="00704E81"/>
    <w:rsid w:val="0070523C"/>
    <w:rsid w:val="007052B1"/>
    <w:rsid w:val="007053AC"/>
    <w:rsid w:val="007053FE"/>
    <w:rsid w:val="00705412"/>
    <w:rsid w:val="00705714"/>
    <w:rsid w:val="0070571E"/>
    <w:rsid w:val="00705881"/>
    <w:rsid w:val="00705B69"/>
    <w:rsid w:val="00705C06"/>
    <w:rsid w:val="00705DAB"/>
    <w:rsid w:val="00705DC4"/>
    <w:rsid w:val="00705F1A"/>
    <w:rsid w:val="00705FF2"/>
    <w:rsid w:val="00706042"/>
    <w:rsid w:val="00706044"/>
    <w:rsid w:val="007060B5"/>
    <w:rsid w:val="0070612B"/>
    <w:rsid w:val="007061C4"/>
    <w:rsid w:val="007061DF"/>
    <w:rsid w:val="007062A9"/>
    <w:rsid w:val="007062B4"/>
    <w:rsid w:val="00706381"/>
    <w:rsid w:val="0070642F"/>
    <w:rsid w:val="00706446"/>
    <w:rsid w:val="00706467"/>
    <w:rsid w:val="007065B1"/>
    <w:rsid w:val="0070674B"/>
    <w:rsid w:val="00706952"/>
    <w:rsid w:val="00706B7E"/>
    <w:rsid w:val="00706B91"/>
    <w:rsid w:val="00706BB4"/>
    <w:rsid w:val="00706BF3"/>
    <w:rsid w:val="00706DC3"/>
    <w:rsid w:val="00706E14"/>
    <w:rsid w:val="007070F9"/>
    <w:rsid w:val="0070711D"/>
    <w:rsid w:val="00707231"/>
    <w:rsid w:val="0070724F"/>
    <w:rsid w:val="007072C1"/>
    <w:rsid w:val="007073D5"/>
    <w:rsid w:val="007074F8"/>
    <w:rsid w:val="0070751E"/>
    <w:rsid w:val="00707520"/>
    <w:rsid w:val="00707662"/>
    <w:rsid w:val="00707745"/>
    <w:rsid w:val="0070797D"/>
    <w:rsid w:val="007079A1"/>
    <w:rsid w:val="007079B7"/>
    <w:rsid w:val="00707A2D"/>
    <w:rsid w:val="00707A2E"/>
    <w:rsid w:val="00707A92"/>
    <w:rsid w:val="00707AE9"/>
    <w:rsid w:val="00707C18"/>
    <w:rsid w:val="00707D03"/>
    <w:rsid w:val="00707E1E"/>
    <w:rsid w:val="00707F40"/>
    <w:rsid w:val="00707FE5"/>
    <w:rsid w:val="00710022"/>
    <w:rsid w:val="0071010A"/>
    <w:rsid w:val="007101A1"/>
    <w:rsid w:val="00710200"/>
    <w:rsid w:val="007103A9"/>
    <w:rsid w:val="00710411"/>
    <w:rsid w:val="0071079C"/>
    <w:rsid w:val="00710928"/>
    <w:rsid w:val="007109BF"/>
    <w:rsid w:val="007109D8"/>
    <w:rsid w:val="00710B75"/>
    <w:rsid w:val="00710D00"/>
    <w:rsid w:val="00710DC1"/>
    <w:rsid w:val="00710E63"/>
    <w:rsid w:val="00710E96"/>
    <w:rsid w:val="00710F41"/>
    <w:rsid w:val="007112BC"/>
    <w:rsid w:val="00711491"/>
    <w:rsid w:val="007114BD"/>
    <w:rsid w:val="007114CE"/>
    <w:rsid w:val="007116CA"/>
    <w:rsid w:val="0071172B"/>
    <w:rsid w:val="00711844"/>
    <w:rsid w:val="007118AC"/>
    <w:rsid w:val="00711917"/>
    <w:rsid w:val="00711931"/>
    <w:rsid w:val="00711960"/>
    <w:rsid w:val="00711BA2"/>
    <w:rsid w:val="00711D59"/>
    <w:rsid w:val="00711DBC"/>
    <w:rsid w:val="00711ED9"/>
    <w:rsid w:val="00711F31"/>
    <w:rsid w:val="00712057"/>
    <w:rsid w:val="0071224F"/>
    <w:rsid w:val="00712295"/>
    <w:rsid w:val="0071238A"/>
    <w:rsid w:val="0071249A"/>
    <w:rsid w:val="007124E3"/>
    <w:rsid w:val="0071253A"/>
    <w:rsid w:val="00712552"/>
    <w:rsid w:val="007126E3"/>
    <w:rsid w:val="00712719"/>
    <w:rsid w:val="007127CF"/>
    <w:rsid w:val="00712A62"/>
    <w:rsid w:val="00712AB2"/>
    <w:rsid w:val="00712BAF"/>
    <w:rsid w:val="00712BBD"/>
    <w:rsid w:val="00712CA6"/>
    <w:rsid w:val="00712D5E"/>
    <w:rsid w:val="00712E33"/>
    <w:rsid w:val="00713012"/>
    <w:rsid w:val="00713115"/>
    <w:rsid w:val="0071336F"/>
    <w:rsid w:val="007134CF"/>
    <w:rsid w:val="007135B9"/>
    <w:rsid w:val="00713711"/>
    <w:rsid w:val="007139E7"/>
    <w:rsid w:val="00713A6F"/>
    <w:rsid w:val="00713C15"/>
    <w:rsid w:val="00713C18"/>
    <w:rsid w:val="00713E5B"/>
    <w:rsid w:val="00713E61"/>
    <w:rsid w:val="00713EE6"/>
    <w:rsid w:val="00713FDB"/>
    <w:rsid w:val="00713FF2"/>
    <w:rsid w:val="00714047"/>
    <w:rsid w:val="0071422D"/>
    <w:rsid w:val="00714357"/>
    <w:rsid w:val="00714407"/>
    <w:rsid w:val="0071452F"/>
    <w:rsid w:val="00714796"/>
    <w:rsid w:val="007147B0"/>
    <w:rsid w:val="0071482C"/>
    <w:rsid w:val="00714A1E"/>
    <w:rsid w:val="00714A5B"/>
    <w:rsid w:val="00714ADE"/>
    <w:rsid w:val="00714D39"/>
    <w:rsid w:val="00714D51"/>
    <w:rsid w:val="00714D66"/>
    <w:rsid w:val="00714EB2"/>
    <w:rsid w:val="00714F48"/>
    <w:rsid w:val="00715047"/>
    <w:rsid w:val="0071504D"/>
    <w:rsid w:val="0071506E"/>
    <w:rsid w:val="00715135"/>
    <w:rsid w:val="00715142"/>
    <w:rsid w:val="0071514C"/>
    <w:rsid w:val="007152FD"/>
    <w:rsid w:val="00715640"/>
    <w:rsid w:val="0071568E"/>
    <w:rsid w:val="007156EE"/>
    <w:rsid w:val="007158D1"/>
    <w:rsid w:val="007158FA"/>
    <w:rsid w:val="00715AE2"/>
    <w:rsid w:val="00715DD5"/>
    <w:rsid w:val="00715E7B"/>
    <w:rsid w:val="00715EEF"/>
    <w:rsid w:val="007160D5"/>
    <w:rsid w:val="00716329"/>
    <w:rsid w:val="0071637F"/>
    <w:rsid w:val="007164E5"/>
    <w:rsid w:val="007164E8"/>
    <w:rsid w:val="00716512"/>
    <w:rsid w:val="00716622"/>
    <w:rsid w:val="0071677E"/>
    <w:rsid w:val="0071678C"/>
    <w:rsid w:val="007169E0"/>
    <w:rsid w:val="00716AD2"/>
    <w:rsid w:val="00716AF7"/>
    <w:rsid w:val="00716B18"/>
    <w:rsid w:val="00716EA1"/>
    <w:rsid w:val="00716EDD"/>
    <w:rsid w:val="00716F0B"/>
    <w:rsid w:val="00717024"/>
    <w:rsid w:val="00717101"/>
    <w:rsid w:val="00717229"/>
    <w:rsid w:val="007172D1"/>
    <w:rsid w:val="00717324"/>
    <w:rsid w:val="00717677"/>
    <w:rsid w:val="00717755"/>
    <w:rsid w:val="00717756"/>
    <w:rsid w:val="007177CC"/>
    <w:rsid w:val="00717897"/>
    <w:rsid w:val="00717965"/>
    <w:rsid w:val="0071797A"/>
    <w:rsid w:val="00717986"/>
    <w:rsid w:val="007179D4"/>
    <w:rsid w:val="007179FC"/>
    <w:rsid w:val="00717A0F"/>
    <w:rsid w:val="00717A28"/>
    <w:rsid w:val="00717C17"/>
    <w:rsid w:val="00717CFC"/>
    <w:rsid w:val="00717D31"/>
    <w:rsid w:val="00717E36"/>
    <w:rsid w:val="00717E6A"/>
    <w:rsid w:val="00717F7C"/>
    <w:rsid w:val="007201C4"/>
    <w:rsid w:val="007201E6"/>
    <w:rsid w:val="0072031A"/>
    <w:rsid w:val="007203CA"/>
    <w:rsid w:val="007203DC"/>
    <w:rsid w:val="007205A9"/>
    <w:rsid w:val="007205DD"/>
    <w:rsid w:val="00720689"/>
    <w:rsid w:val="007206E3"/>
    <w:rsid w:val="00720715"/>
    <w:rsid w:val="00720718"/>
    <w:rsid w:val="007208C4"/>
    <w:rsid w:val="007209DF"/>
    <w:rsid w:val="00720AB4"/>
    <w:rsid w:val="00720B0D"/>
    <w:rsid w:val="00720B91"/>
    <w:rsid w:val="00720BC3"/>
    <w:rsid w:val="00720CA1"/>
    <w:rsid w:val="00720D34"/>
    <w:rsid w:val="00720F56"/>
    <w:rsid w:val="00720FF9"/>
    <w:rsid w:val="007210C4"/>
    <w:rsid w:val="0072110F"/>
    <w:rsid w:val="00721138"/>
    <w:rsid w:val="007211EE"/>
    <w:rsid w:val="0072145C"/>
    <w:rsid w:val="00721486"/>
    <w:rsid w:val="00721493"/>
    <w:rsid w:val="00721735"/>
    <w:rsid w:val="0072174F"/>
    <w:rsid w:val="0072182D"/>
    <w:rsid w:val="00721932"/>
    <w:rsid w:val="00721A6B"/>
    <w:rsid w:val="00721B83"/>
    <w:rsid w:val="00721CC6"/>
    <w:rsid w:val="00721CE1"/>
    <w:rsid w:val="00721E97"/>
    <w:rsid w:val="00721F6F"/>
    <w:rsid w:val="00722064"/>
    <w:rsid w:val="0072238F"/>
    <w:rsid w:val="007225BB"/>
    <w:rsid w:val="007225FE"/>
    <w:rsid w:val="00722663"/>
    <w:rsid w:val="007226AC"/>
    <w:rsid w:val="007226F5"/>
    <w:rsid w:val="00722989"/>
    <w:rsid w:val="00722BBB"/>
    <w:rsid w:val="00722D15"/>
    <w:rsid w:val="00722D34"/>
    <w:rsid w:val="00722D3F"/>
    <w:rsid w:val="00722E1B"/>
    <w:rsid w:val="00722E55"/>
    <w:rsid w:val="00722F42"/>
    <w:rsid w:val="00722FE3"/>
    <w:rsid w:val="00723164"/>
    <w:rsid w:val="007231AF"/>
    <w:rsid w:val="00723434"/>
    <w:rsid w:val="007234AB"/>
    <w:rsid w:val="00723541"/>
    <w:rsid w:val="0072355C"/>
    <w:rsid w:val="0072363B"/>
    <w:rsid w:val="007236C5"/>
    <w:rsid w:val="00723A96"/>
    <w:rsid w:val="00723AF0"/>
    <w:rsid w:val="00723B2C"/>
    <w:rsid w:val="00723B71"/>
    <w:rsid w:val="00723DB1"/>
    <w:rsid w:val="00723E65"/>
    <w:rsid w:val="00723F92"/>
    <w:rsid w:val="00723F97"/>
    <w:rsid w:val="00723FC5"/>
    <w:rsid w:val="00724284"/>
    <w:rsid w:val="00724316"/>
    <w:rsid w:val="00724327"/>
    <w:rsid w:val="007244CD"/>
    <w:rsid w:val="007244D9"/>
    <w:rsid w:val="00724693"/>
    <w:rsid w:val="0072473A"/>
    <w:rsid w:val="007248E5"/>
    <w:rsid w:val="0072496A"/>
    <w:rsid w:val="00724A0B"/>
    <w:rsid w:val="00724A52"/>
    <w:rsid w:val="00724A98"/>
    <w:rsid w:val="00724ADF"/>
    <w:rsid w:val="00724B37"/>
    <w:rsid w:val="00724BB8"/>
    <w:rsid w:val="00724CD2"/>
    <w:rsid w:val="00724EA0"/>
    <w:rsid w:val="00724ED0"/>
    <w:rsid w:val="00724F7E"/>
    <w:rsid w:val="00724F85"/>
    <w:rsid w:val="00724F92"/>
    <w:rsid w:val="00724FF1"/>
    <w:rsid w:val="00725071"/>
    <w:rsid w:val="00725082"/>
    <w:rsid w:val="007251CF"/>
    <w:rsid w:val="0072528D"/>
    <w:rsid w:val="007253D6"/>
    <w:rsid w:val="0072542E"/>
    <w:rsid w:val="0072547A"/>
    <w:rsid w:val="007255CF"/>
    <w:rsid w:val="007256AC"/>
    <w:rsid w:val="0072578A"/>
    <w:rsid w:val="0072597A"/>
    <w:rsid w:val="00725A5B"/>
    <w:rsid w:val="00725A8C"/>
    <w:rsid w:val="00725B42"/>
    <w:rsid w:val="00725C95"/>
    <w:rsid w:val="00725D0B"/>
    <w:rsid w:val="00725E8E"/>
    <w:rsid w:val="00725E95"/>
    <w:rsid w:val="00725EA4"/>
    <w:rsid w:val="00725EE1"/>
    <w:rsid w:val="00725EE4"/>
    <w:rsid w:val="00725F28"/>
    <w:rsid w:val="00725F30"/>
    <w:rsid w:val="00725F6F"/>
    <w:rsid w:val="00725F9B"/>
    <w:rsid w:val="00726002"/>
    <w:rsid w:val="00726085"/>
    <w:rsid w:val="00726088"/>
    <w:rsid w:val="007262BD"/>
    <w:rsid w:val="0072630F"/>
    <w:rsid w:val="00726524"/>
    <w:rsid w:val="0072656D"/>
    <w:rsid w:val="0072659B"/>
    <w:rsid w:val="007265AB"/>
    <w:rsid w:val="0072664E"/>
    <w:rsid w:val="00726686"/>
    <w:rsid w:val="007266CE"/>
    <w:rsid w:val="007266EF"/>
    <w:rsid w:val="0072673C"/>
    <w:rsid w:val="007268D3"/>
    <w:rsid w:val="0072694E"/>
    <w:rsid w:val="00727018"/>
    <w:rsid w:val="00727077"/>
    <w:rsid w:val="0072709F"/>
    <w:rsid w:val="007274EC"/>
    <w:rsid w:val="00727619"/>
    <w:rsid w:val="007276F5"/>
    <w:rsid w:val="0072795B"/>
    <w:rsid w:val="00727A17"/>
    <w:rsid w:val="00727A8D"/>
    <w:rsid w:val="00727B1B"/>
    <w:rsid w:val="00727B5D"/>
    <w:rsid w:val="00727B8E"/>
    <w:rsid w:val="00727C93"/>
    <w:rsid w:val="00727CDA"/>
    <w:rsid w:val="00727D2F"/>
    <w:rsid w:val="00727D68"/>
    <w:rsid w:val="00727F47"/>
    <w:rsid w:val="007300D2"/>
    <w:rsid w:val="0073016F"/>
    <w:rsid w:val="007303FA"/>
    <w:rsid w:val="0073058E"/>
    <w:rsid w:val="007305E4"/>
    <w:rsid w:val="0073062E"/>
    <w:rsid w:val="00730720"/>
    <w:rsid w:val="007309F0"/>
    <w:rsid w:val="00730A51"/>
    <w:rsid w:val="00730BA7"/>
    <w:rsid w:val="00730DFC"/>
    <w:rsid w:val="00730FDC"/>
    <w:rsid w:val="00731006"/>
    <w:rsid w:val="0073123B"/>
    <w:rsid w:val="0073151D"/>
    <w:rsid w:val="00731562"/>
    <w:rsid w:val="0073157C"/>
    <w:rsid w:val="00731684"/>
    <w:rsid w:val="0073173C"/>
    <w:rsid w:val="00731772"/>
    <w:rsid w:val="007317C3"/>
    <w:rsid w:val="00731B18"/>
    <w:rsid w:val="00731C15"/>
    <w:rsid w:val="00731C79"/>
    <w:rsid w:val="00731D93"/>
    <w:rsid w:val="00731DDD"/>
    <w:rsid w:val="00731EFC"/>
    <w:rsid w:val="0073202F"/>
    <w:rsid w:val="00732113"/>
    <w:rsid w:val="00732139"/>
    <w:rsid w:val="00732302"/>
    <w:rsid w:val="007323A0"/>
    <w:rsid w:val="00732434"/>
    <w:rsid w:val="0073250E"/>
    <w:rsid w:val="0073253E"/>
    <w:rsid w:val="00732568"/>
    <w:rsid w:val="00732572"/>
    <w:rsid w:val="007325AC"/>
    <w:rsid w:val="007325B9"/>
    <w:rsid w:val="00732606"/>
    <w:rsid w:val="007326B4"/>
    <w:rsid w:val="00732781"/>
    <w:rsid w:val="00732831"/>
    <w:rsid w:val="007328B9"/>
    <w:rsid w:val="00732932"/>
    <w:rsid w:val="00732954"/>
    <w:rsid w:val="00732970"/>
    <w:rsid w:val="00732B3E"/>
    <w:rsid w:val="00732E4F"/>
    <w:rsid w:val="00733113"/>
    <w:rsid w:val="00733450"/>
    <w:rsid w:val="00733640"/>
    <w:rsid w:val="00733732"/>
    <w:rsid w:val="0073373A"/>
    <w:rsid w:val="007337AD"/>
    <w:rsid w:val="007337F4"/>
    <w:rsid w:val="0073399B"/>
    <w:rsid w:val="00733A6C"/>
    <w:rsid w:val="00733B80"/>
    <w:rsid w:val="00733BDE"/>
    <w:rsid w:val="00733C4B"/>
    <w:rsid w:val="00733C94"/>
    <w:rsid w:val="00733CFB"/>
    <w:rsid w:val="00733E02"/>
    <w:rsid w:val="00733E35"/>
    <w:rsid w:val="00733EAA"/>
    <w:rsid w:val="00733F56"/>
    <w:rsid w:val="00734284"/>
    <w:rsid w:val="007342DD"/>
    <w:rsid w:val="00734371"/>
    <w:rsid w:val="00734465"/>
    <w:rsid w:val="00734480"/>
    <w:rsid w:val="0073467D"/>
    <w:rsid w:val="00734717"/>
    <w:rsid w:val="0073476B"/>
    <w:rsid w:val="00734A38"/>
    <w:rsid w:val="00734AB1"/>
    <w:rsid w:val="00734B94"/>
    <w:rsid w:val="00734C34"/>
    <w:rsid w:val="00734D88"/>
    <w:rsid w:val="007350B7"/>
    <w:rsid w:val="00735171"/>
    <w:rsid w:val="007353FC"/>
    <w:rsid w:val="00735420"/>
    <w:rsid w:val="0073551A"/>
    <w:rsid w:val="00735807"/>
    <w:rsid w:val="00735869"/>
    <w:rsid w:val="0073590B"/>
    <w:rsid w:val="0073593F"/>
    <w:rsid w:val="007359F1"/>
    <w:rsid w:val="00735C38"/>
    <w:rsid w:val="00735C4D"/>
    <w:rsid w:val="00735EBD"/>
    <w:rsid w:val="0073603A"/>
    <w:rsid w:val="00736217"/>
    <w:rsid w:val="007362C6"/>
    <w:rsid w:val="0073631E"/>
    <w:rsid w:val="00736481"/>
    <w:rsid w:val="007364A3"/>
    <w:rsid w:val="007365BF"/>
    <w:rsid w:val="0073664C"/>
    <w:rsid w:val="00736676"/>
    <w:rsid w:val="007367C3"/>
    <w:rsid w:val="00736AD3"/>
    <w:rsid w:val="00736B5D"/>
    <w:rsid w:val="00736C1B"/>
    <w:rsid w:val="00736CAC"/>
    <w:rsid w:val="00736E43"/>
    <w:rsid w:val="00736E9D"/>
    <w:rsid w:val="007370D7"/>
    <w:rsid w:val="007372CC"/>
    <w:rsid w:val="00737327"/>
    <w:rsid w:val="007377F9"/>
    <w:rsid w:val="00737807"/>
    <w:rsid w:val="0073792C"/>
    <w:rsid w:val="00737930"/>
    <w:rsid w:val="007379DF"/>
    <w:rsid w:val="00737BB5"/>
    <w:rsid w:val="00737D9C"/>
    <w:rsid w:val="00737FD9"/>
    <w:rsid w:val="0074019A"/>
    <w:rsid w:val="0074037F"/>
    <w:rsid w:val="0074057B"/>
    <w:rsid w:val="00740633"/>
    <w:rsid w:val="0074065B"/>
    <w:rsid w:val="007406E8"/>
    <w:rsid w:val="0074070A"/>
    <w:rsid w:val="007407B9"/>
    <w:rsid w:val="007407BA"/>
    <w:rsid w:val="007407F5"/>
    <w:rsid w:val="007407F7"/>
    <w:rsid w:val="007408C5"/>
    <w:rsid w:val="007408CA"/>
    <w:rsid w:val="007409E4"/>
    <w:rsid w:val="00740BCA"/>
    <w:rsid w:val="00740BD1"/>
    <w:rsid w:val="00740D02"/>
    <w:rsid w:val="00740D1C"/>
    <w:rsid w:val="00740F94"/>
    <w:rsid w:val="00741480"/>
    <w:rsid w:val="0074152C"/>
    <w:rsid w:val="00741646"/>
    <w:rsid w:val="007416AE"/>
    <w:rsid w:val="007416D7"/>
    <w:rsid w:val="007416DD"/>
    <w:rsid w:val="0074176F"/>
    <w:rsid w:val="0074182B"/>
    <w:rsid w:val="0074184E"/>
    <w:rsid w:val="00741A46"/>
    <w:rsid w:val="00741BF6"/>
    <w:rsid w:val="00741F75"/>
    <w:rsid w:val="00742029"/>
    <w:rsid w:val="00742094"/>
    <w:rsid w:val="007420CB"/>
    <w:rsid w:val="00742321"/>
    <w:rsid w:val="00742362"/>
    <w:rsid w:val="0074249A"/>
    <w:rsid w:val="0074257A"/>
    <w:rsid w:val="007425FF"/>
    <w:rsid w:val="00742604"/>
    <w:rsid w:val="00742797"/>
    <w:rsid w:val="007429CC"/>
    <w:rsid w:val="00742A11"/>
    <w:rsid w:val="00742A5E"/>
    <w:rsid w:val="00742D61"/>
    <w:rsid w:val="00742E3B"/>
    <w:rsid w:val="00742FCB"/>
    <w:rsid w:val="007430A8"/>
    <w:rsid w:val="007430FB"/>
    <w:rsid w:val="00743233"/>
    <w:rsid w:val="007432D7"/>
    <w:rsid w:val="007433C3"/>
    <w:rsid w:val="00743554"/>
    <w:rsid w:val="0074358E"/>
    <w:rsid w:val="0074371F"/>
    <w:rsid w:val="007437EF"/>
    <w:rsid w:val="0074398A"/>
    <w:rsid w:val="00743A7E"/>
    <w:rsid w:val="00743BB6"/>
    <w:rsid w:val="0074424A"/>
    <w:rsid w:val="00744510"/>
    <w:rsid w:val="0074470C"/>
    <w:rsid w:val="0074489E"/>
    <w:rsid w:val="007448C2"/>
    <w:rsid w:val="007448CD"/>
    <w:rsid w:val="00744ADF"/>
    <w:rsid w:val="00744C32"/>
    <w:rsid w:val="00744C37"/>
    <w:rsid w:val="00744D97"/>
    <w:rsid w:val="00744EEC"/>
    <w:rsid w:val="00744F01"/>
    <w:rsid w:val="007450B8"/>
    <w:rsid w:val="007452BB"/>
    <w:rsid w:val="007453A3"/>
    <w:rsid w:val="00745516"/>
    <w:rsid w:val="007455CF"/>
    <w:rsid w:val="007455F0"/>
    <w:rsid w:val="007456F0"/>
    <w:rsid w:val="007458F7"/>
    <w:rsid w:val="00745910"/>
    <w:rsid w:val="0074595C"/>
    <w:rsid w:val="00745989"/>
    <w:rsid w:val="00745AF4"/>
    <w:rsid w:val="00745C0F"/>
    <w:rsid w:val="00745EE1"/>
    <w:rsid w:val="00745F00"/>
    <w:rsid w:val="00745FE5"/>
    <w:rsid w:val="00746247"/>
    <w:rsid w:val="0074638F"/>
    <w:rsid w:val="007463E5"/>
    <w:rsid w:val="007463FF"/>
    <w:rsid w:val="00746449"/>
    <w:rsid w:val="007464A8"/>
    <w:rsid w:val="007464FB"/>
    <w:rsid w:val="0074656C"/>
    <w:rsid w:val="00746670"/>
    <w:rsid w:val="00746818"/>
    <w:rsid w:val="00746842"/>
    <w:rsid w:val="007468E9"/>
    <w:rsid w:val="007469C2"/>
    <w:rsid w:val="00746C30"/>
    <w:rsid w:val="00746D19"/>
    <w:rsid w:val="00746D48"/>
    <w:rsid w:val="00746E8F"/>
    <w:rsid w:val="00746F2B"/>
    <w:rsid w:val="00746F33"/>
    <w:rsid w:val="00746F4B"/>
    <w:rsid w:val="00747069"/>
    <w:rsid w:val="00747126"/>
    <w:rsid w:val="00747434"/>
    <w:rsid w:val="0074743D"/>
    <w:rsid w:val="0074751E"/>
    <w:rsid w:val="007475DE"/>
    <w:rsid w:val="00747738"/>
    <w:rsid w:val="00747742"/>
    <w:rsid w:val="00747772"/>
    <w:rsid w:val="0074788B"/>
    <w:rsid w:val="00747967"/>
    <w:rsid w:val="00747A56"/>
    <w:rsid w:val="00747DE3"/>
    <w:rsid w:val="00747E9C"/>
    <w:rsid w:val="00747FB1"/>
    <w:rsid w:val="00750196"/>
    <w:rsid w:val="007501D1"/>
    <w:rsid w:val="0075033A"/>
    <w:rsid w:val="00750343"/>
    <w:rsid w:val="0075037E"/>
    <w:rsid w:val="007504CE"/>
    <w:rsid w:val="00750666"/>
    <w:rsid w:val="00750849"/>
    <w:rsid w:val="00750854"/>
    <w:rsid w:val="00750D54"/>
    <w:rsid w:val="00750DAA"/>
    <w:rsid w:val="00750E5F"/>
    <w:rsid w:val="00750FE7"/>
    <w:rsid w:val="00750FFD"/>
    <w:rsid w:val="00751195"/>
    <w:rsid w:val="007511A5"/>
    <w:rsid w:val="007511CF"/>
    <w:rsid w:val="0075121A"/>
    <w:rsid w:val="00751349"/>
    <w:rsid w:val="0075137C"/>
    <w:rsid w:val="007514AE"/>
    <w:rsid w:val="007514F2"/>
    <w:rsid w:val="007515B8"/>
    <w:rsid w:val="00751659"/>
    <w:rsid w:val="00751679"/>
    <w:rsid w:val="007516E2"/>
    <w:rsid w:val="0075173C"/>
    <w:rsid w:val="0075175F"/>
    <w:rsid w:val="007518D6"/>
    <w:rsid w:val="0075190F"/>
    <w:rsid w:val="0075196F"/>
    <w:rsid w:val="007519FA"/>
    <w:rsid w:val="00751AA5"/>
    <w:rsid w:val="00751D2D"/>
    <w:rsid w:val="00751F2C"/>
    <w:rsid w:val="0075212B"/>
    <w:rsid w:val="007521FB"/>
    <w:rsid w:val="0075227B"/>
    <w:rsid w:val="00752365"/>
    <w:rsid w:val="007523E9"/>
    <w:rsid w:val="007523EE"/>
    <w:rsid w:val="007524B9"/>
    <w:rsid w:val="007524CF"/>
    <w:rsid w:val="00752508"/>
    <w:rsid w:val="00752536"/>
    <w:rsid w:val="00752566"/>
    <w:rsid w:val="00752573"/>
    <w:rsid w:val="00752598"/>
    <w:rsid w:val="0075262E"/>
    <w:rsid w:val="007526E6"/>
    <w:rsid w:val="00752807"/>
    <w:rsid w:val="00752819"/>
    <w:rsid w:val="00752905"/>
    <w:rsid w:val="00752947"/>
    <w:rsid w:val="0075297E"/>
    <w:rsid w:val="00752B59"/>
    <w:rsid w:val="00752B83"/>
    <w:rsid w:val="00752CC8"/>
    <w:rsid w:val="00752D2C"/>
    <w:rsid w:val="00752EAF"/>
    <w:rsid w:val="00752F06"/>
    <w:rsid w:val="00752F4B"/>
    <w:rsid w:val="00753136"/>
    <w:rsid w:val="007532C1"/>
    <w:rsid w:val="007533AB"/>
    <w:rsid w:val="00753617"/>
    <w:rsid w:val="0075365D"/>
    <w:rsid w:val="0075367A"/>
    <w:rsid w:val="007537FF"/>
    <w:rsid w:val="00753855"/>
    <w:rsid w:val="0075395C"/>
    <w:rsid w:val="00753AA5"/>
    <w:rsid w:val="00753AB6"/>
    <w:rsid w:val="00753D5E"/>
    <w:rsid w:val="00753E4C"/>
    <w:rsid w:val="00753E9C"/>
    <w:rsid w:val="00754032"/>
    <w:rsid w:val="0075408C"/>
    <w:rsid w:val="0075410E"/>
    <w:rsid w:val="0075418A"/>
    <w:rsid w:val="007542C2"/>
    <w:rsid w:val="00754303"/>
    <w:rsid w:val="007543A0"/>
    <w:rsid w:val="00754422"/>
    <w:rsid w:val="00754479"/>
    <w:rsid w:val="0075452D"/>
    <w:rsid w:val="00754597"/>
    <w:rsid w:val="0075476A"/>
    <w:rsid w:val="007547C1"/>
    <w:rsid w:val="00754848"/>
    <w:rsid w:val="00754987"/>
    <w:rsid w:val="007549A8"/>
    <w:rsid w:val="007549E1"/>
    <w:rsid w:val="007549FC"/>
    <w:rsid w:val="00754A3D"/>
    <w:rsid w:val="00754A95"/>
    <w:rsid w:val="00754ACF"/>
    <w:rsid w:val="00754AF8"/>
    <w:rsid w:val="00754B49"/>
    <w:rsid w:val="00754C59"/>
    <w:rsid w:val="00754D55"/>
    <w:rsid w:val="00754E32"/>
    <w:rsid w:val="00754FBB"/>
    <w:rsid w:val="007550A9"/>
    <w:rsid w:val="007550B4"/>
    <w:rsid w:val="0075519E"/>
    <w:rsid w:val="0075525D"/>
    <w:rsid w:val="00755300"/>
    <w:rsid w:val="0075556A"/>
    <w:rsid w:val="00755631"/>
    <w:rsid w:val="00755694"/>
    <w:rsid w:val="007556C1"/>
    <w:rsid w:val="00755705"/>
    <w:rsid w:val="007557D4"/>
    <w:rsid w:val="00755983"/>
    <w:rsid w:val="00755A6D"/>
    <w:rsid w:val="00755A88"/>
    <w:rsid w:val="00755AD2"/>
    <w:rsid w:val="00755BD7"/>
    <w:rsid w:val="00755BE6"/>
    <w:rsid w:val="00755C20"/>
    <w:rsid w:val="00755D51"/>
    <w:rsid w:val="00755D86"/>
    <w:rsid w:val="00755DFB"/>
    <w:rsid w:val="00755E00"/>
    <w:rsid w:val="00755EF3"/>
    <w:rsid w:val="00755F27"/>
    <w:rsid w:val="00755F45"/>
    <w:rsid w:val="0075603C"/>
    <w:rsid w:val="007560C4"/>
    <w:rsid w:val="0075615F"/>
    <w:rsid w:val="00756540"/>
    <w:rsid w:val="00756584"/>
    <w:rsid w:val="00756795"/>
    <w:rsid w:val="007567B0"/>
    <w:rsid w:val="00756836"/>
    <w:rsid w:val="0075683F"/>
    <w:rsid w:val="007569E7"/>
    <w:rsid w:val="00756A0E"/>
    <w:rsid w:val="00756CBE"/>
    <w:rsid w:val="00756CD5"/>
    <w:rsid w:val="00756FD5"/>
    <w:rsid w:val="00757038"/>
    <w:rsid w:val="00757172"/>
    <w:rsid w:val="0075728A"/>
    <w:rsid w:val="00757290"/>
    <w:rsid w:val="00757507"/>
    <w:rsid w:val="00757658"/>
    <w:rsid w:val="00757676"/>
    <w:rsid w:val="00757765"/>
    <w:rsid w:val="00757784"/>
    <w:rsid w:val="007577BA"/>
    <w:rsid w:val="007579C4"/>
    <w:rsid w:val="00757A88"/>
    <w:rsid w:val="00757BAC"/>
    <w:rsid w:val="00757C47"/>
    <w:rsid w:val="00757E8C"/>
    <w:rsid w:val="00757EBC"/>
    <w:rsid w:val="00757F9F"/>
    <w:rsid w:val="00760126"/>
    <w:rsid w:val="0076025A"/>
    <w:rsid w:val="0076043F"/>
    <w:rsid w:val="00760928"/>
    <w:rsid w:val="007609E9"/>
    <w:rsid w:val="00760A59"/>
    <w:rsid w:val="00760B5D"/>
    <w:rsid w:val="00760B69"/>
    <w:rsid w:val="00760C43"/>
    <w:rsid w:val="00760C4A"/>
    <w:rsid w:val="00760C89"/>
    <w:rsid w:val="00760D38"/>
    <w:rsid w:val="00760D7C"/>
    <w:rsid w:val="00760EA8"/>
    <w:rsid w:val="00760EB7"/>
    <w:rsid w:val="00760FA1"/>
    <w:rsid w:val="00761256"/>
    <w:rsid w:val="007612AE"/>
    <w:rsid w:val="0076133D"/>
    <w:rsid w:val="0076136E"/>
    <w:rsid w:val="00761373"/>
    <w:rsid w:val="00761497"/>
    <w:rsid w:val="00761609"/>
    <w:rsid w:val="0076187C"/>
    <w:rsid w:val="00761A73"/>
    <w:rsid w:val="00761AB1"/>
    <w:rsid w:val="00761B31"/>
    <w:rsid w:val="00761BA4"/>
    <w:rsid w:val="00761C77"/>
    <w:rsid w:val="00761CC6"/>
    <w:rsid w:val="00761D2C"/>
    <w:rsid w:val="00762189"/>
    <w:rsid w:val="007621C8"/>
    <w:rsid w:val="00762280"/>
    <w:rsid w:val="007623C6"/>
    <w:rsid w:val="00762536"/>
    <w:rsid w:val="0076260D"/>
    <w:rsid w:val="00762625"/>
    <w:rsid w:val="007626C2"/>
    <w:rsid w:val="00762725"/>
    <w:rsid w:val="00762746"/>
    <w:rsid w:val="00762785"/>
    <w:rsid w:val="00762982"/>
    <w:rsid w:val="00762AEF"/>
    <w:rsid w:val="00762D2F"/>
    <w:rsid w:val="00762DBE"/>
    <w:rsid w:val="00762F08"/>
    <w:rsid w:val="00763096"/>
    <w:rsid w:val="00763190"/>
    <w:rsid w:val="007631A6"/>
    <w:rsid w:val="00763227"/>
    <w:rsid w:val="0076326D"/>
    <w:rsid w:val="007632C9"/>
    <w:rsid w:val="007632FC"/>
    <w:rsid w:val="0076346E"/>
    <w:rsid w:val="007635B2"/>
    <w:rsid w:val="007636EB"/>
    <w:rsid w:val="00763712"/>
    <w:rsid w:val="007637A4"/>
    <w:rsid w:val="0076381F"/>
    <w:rsid w:val="0076390E"/>
    <w:rsid w:val="00763AF0"/>
    <w:rsid w:val="00763B77"/>
    <w:rsid w:val="00763BC8"/>
    <w:rsid w:val="00763D09"/>
    <w:rsid w:val="00763D52"/>
    <w:rsid w:val="00763D95"/>
    <w:rsid w:val="00764003"/>
    <w:rsid w:val="007641E5"/>
    <w:rsid w:val="00764450"/>
    <w:rsid w:val="00764553"/>
    <w:rsid w:val="00764719"/>
    <w:rsid w:val="00764723"/>
    <w:rsid w:val="007647AD"/>
    <w:rsid w:val="007647DA"/>
    <w:rsid w:val="00764A5A"/>
    <w:rsid w:val="00764A7F"/>
    <w:rsid w:val="00764B11"/>
    <w:rsid w:val="00764D4F"/>
    <w:rsid w:val="00764E93"/>
    <w:rsid w:val="00764F9C"/>
    <w:rsid w:val="00765229"/>
    <w:rsid w:val="007652F7"/>
    <w:rsid w:val="0076535F"/>
    <w:rsid w:val="007653F2"/>
    <w:rsid w:val="00765401"/>
    <w:rsid w:val="00765513"/>
    <w:rsid w:val="00765566"/>
    <w:rsid w:val="0076556B"/>
    <w:rsid w:val="007655AB"/>
    <w:rsid w:val="007656EF"/>
    <w:rsid w:val="007656FB"/>
    <w:rsid w:val="007656FE"/>
    <w:rsid w:val="0076579D"/>
    <w:rsid w:val="0076590F"/>
    <w:rsid w:val="007659A6"/>
    <w:rsid w:val="00765A1E"/>
    <w:rsid w:val="00765A9E"/>
    <w:rsid w:val="00765C68"/>
    <w:rsid w:val="00765E4A"/>
    <w:rsid w:val="00765E8A"/>
    <w:rsid w:val="00765F44"/>
    <w:rsid w:val="00765F83"/>
    <w:rsid w:val="00766030"/>
    <w:rsid w:val="00766062"/>
    <w:rsid w:val="007660C6"/>
    <w:rsid w:val="00766135"/>
    <w:rsid w:val="0076619E"/>
    <w:rsid w:val="007661B4"/>
    <w:rsid w:val="007662B5"/>
    <w:rsid w:val="007664D6"/>
    <w:rsid w:val="00766746"/>
    <w:rsid w:val="007668C0"/>
    <w:rsid w:val="00766A7A"/>
    <w:rsid w:val="00766CC4"/>
    <w:rsid w:val="00766EBD"/>
    <w:rsid w:val="0076702C"/>
    <w:rsid w:val="00767086"/>
    <w:rsid w:val="007672E1"/>
    <w:rsid w:val="00767465"/>
    <w:rsid w:val="007674BB"/>
    <w:rsid w:val="007674DA"/>
    <w:rsid w:val="00767572"/>
    <w:rsid w:val="007676A9"/>
    <w:rsid w:val="00767710"/>
    <w:rsid w:val="00767791"/>
    <w:rsid w:val="00767908"/>
    <w:rsid w:val="00767AD3"/>
    <w:rsid w:val="00767AFF"/>
    <w:rsid w:val="00767E69"/>
    <w:rsid w:val="00767E88"/>
    <w:rsid w:val="00767EC0"/>
    <w:rsid w:val="00767EC3"/>
    <w:rsid w:val="00767F6C"/>
    <w:rsid w:val="0077009F"/>
    <w:rsid w:val="007701F5"/>
    <w:rsid w:val="00770353"/>
    <w:rsid w:val="007705BF"/>
    <w:rsid w:val="007709CF"/>
    <w:rsid w:val="00770BC6"/>
    <w:rsid w:val="00770CAF"/>
    <w:rsid w:val="00770D6D"/>
    <w:rsid w:val="0077105C"/>
    <w:rsid w:val="0077120B"/>
    <w:rsid w:val="007712E8"/>
    <w:rsid w:val="007713D7"/>
    <w:rsid w:val="00771454"/>
    <w:rsid w:val="0077145D"/>
    <w:rsid w:val="0077154F"/>
    <w:rsid w:val="007716BB"/>
    <w:rsid w:val="007716E0"/>
    <w:rsid w:val="0077175B"/>
    <w:rsid w:val="00771922"/>
    <w:rsid w:val="00771A29"/>
    <w:rsid w:val="00771A36"/>
    <w:rsid w:val="00771D6C"/>
    <w:rsid w:val="00771DAD"/>
    <w:rsid w:val="00771FC0"/>
    <w:rsid w:val="00771FC1"/>
    <w:rsid w:val="00771FED"/>
    <w:rsid w:val="0077203D"/>
    <w:rsid w:val="0077216E"/>
    <w:rsid w:val="007722E4"/>
    <w:rsid w:val="007723A6"/>
    <w:rsid w:val="0077243E"/>
    <w:rsid w:val="00772675"/>
    <w:rsid w:val="007727DE"/>
    <w:rsid w:val="00772829"/>
    <w:rsid w:val="007729D5"/>
    <w:rsid w:val="00772B56"/>
    <w:rsid w:val="00772CB1"/>
    <w:rsid w:val="00772EE7"/>
    <w:rsid w:val="00772EF6"/>
    <w:rsid w:val="00772F69"/>
    <w:rsid w:val="00772FEF"/>
    <w:rsid w:val="0077301D"/>
    <w:rsid w:val="0077305B"/>
    <w:rsid w:val="00773217"/>
    <w:rsid w:val="00773245"/>
    <w:rsid w:val="007733F5"/>
    <w:rsid w:val="00773409"/>
    <w:rsid w:val="007734D6"/>
    <w:rsid w:val="007734ED"/>
    <w:rsid w:val="00773587"/>
    <w:rsid w:val="00773703"/>
    <w:rsid w:val="007738BB"/>
    <w:rsid w:val="00773B31"/>
    <w:rsid w:val="00773C0C"/>
    <w:rsid w:val="00773C17"/>
    <w:rsid w:val="00773D0F"/>
    <w:rsid w:val="00773F13"/>
    <w:rsid w:val="0077408A"/>
    <w:rsid w:val="00774283"/>
    <w:rsid w:val="0077459E"/>
    <w:rsid w:val="0077464B"/>
    <w:rsid w:val="00774675"/>
    <w:rsid w:val="00774778"/>
    <w:rsid w:val="0077477C"/>
    <w:rsid w:val="00774BA8"/>
    <w:rsid w:val="00774BD0"/>
    <w:rsid w:val="00774D2C"/>
    <w:rsid w:val="00774D4E"/>
    <w:rsid w:val="00774DEC"/>
    <w:rsid w:val="00775296"/>
    <w:rsid w:val="00775354"/>
    <w:rsid w:val="0077536F"/>
    <w:rsid w:val="0077550C"/>
    <w:rsid w:val="007755AB"/>
    <w:rsid w:val="007755D5"/>
    <w:rsid w:val="00775633"/>
    <w:rsid w:val="00775829"/>
    <w:rsid w:val="00775B88"/>
    <w:rsid w:val="00775C2A"/>
    <w:rsid w:val="00775C9E"/>
    <w:rsid w:val="00775D74"/>
    <w:rsid w:val="00775DA6"/>
    <w:rsid w:val="00775F6F"/>
    <w:rsid w:val="00775F7C"/>
    <w:rsid w:val="0077612C"/>
    <w:rsid w:val="0077615A"/>
    <w:rsid w:val="007763E5"/>
    <w:rsid w:val="007763EF"/>
    <w:rsid w:val="0077649D"/>
    <w:rsid w:val="0077654A"/>
    <w:rsid w:val="00776775"/>
    <w:rsid w:val="00776937"/>
    <w:rsid w:val="00776E4C"/>
    <w:rsid w:val="007770A7"/>
    <w:rsid w:val="007772A2"/>
    <w:rsid w:val="00777388"/>
    <w:rsid w:val="0077748F"/>
    <w:rsid w:val="00777640"/>
    <w:rsid w:val="00777797"/>
    <w:rsid w:val="007777E5"/>
    <w:rsid w:val="00777848"/>
    <w:rsid w:val="00777893"/>
    <w:rsid w:val="0077789A"/>
    <w:rsid w:val="00777903"/>
    <w:rsid w:val="00777963"/>
    <w:rsid w:val="00777ACB"/>
    <w:rsid w:val="00777E2C"/>
    <w:rsid w:val="00777F8D"/>
    <w:rsid w:val="007800F3"/>
    <w:rsid w:val="0078015C"/>
    <w:rsid w:val="00780297"/>
    <w:rsid w:val="0078039F"/>
    <w:rsid w:val="007803B1"/>
    <w:rsid w:val="007803D8"/>
    <w:rsid w:val="007803DD"/>
    <w:rsid w:val="00780438"/>
    <w:rsid w:val="007805F9"/>
    <w:rsid w:val="007808DB"/>
    <w:rsid w:val="007808E8"/>
    <w:rsid w:val="00780900"/>
    <w:rsid w:val="00780960"/>
    <w:rsid w:val="00780A6A"/>
    <w:rsid w:val="00780A6F"/>
    <w:rsid w:val="00780ACB"/>
    <w:rsid w:val="00780CC7"/>
    <w:rsid w:val="00780CD7"/>
    <w:rsid w:val="0078116E"/>
    <w:rsid w:val="0078119A"/>
    <w:rsid w:val="00781264"/>
    <w:rsid w:val="007812BF"/>
    <w:rsid w:val="0078135B"/>
    <w:rsid w:val="007813AD"/>
    <w:rsid w:val="0078141F"/>
    <w:rsid w:val="00781550"/>
    <w:rsid w:val="00781591"/>
    <w:rsid w:val="0078160F"/>
    <w:rsid w:val="0078165A"/>
    <w:rsid w:val="007817CD"/>
    <w:rsid w:val="0078185F"/>
    <w:rsid w:val="0078194F"/>
    <w:rsid w:val="007819E8"/>
    <w:rsid w:val="00781B45"/>
    <w:rsid w:val="00781CDC"/>
    <w:rsid w:val="00781D63"/>
    <w:rsid w:val="00781DFB"/>
    <w:rsid w:val="00781FBF"/>
    <w:rsid w:val="007820C1"/>
    <w:rsid w:val="007820F5"/>
    <w:rsid w:val="0078233F"/>
    <w:rsid w:val="00782393"/>
    <w:rsid w:val="007823A0"/>
    <w:rsid w:val="00782429"/>
    <w:rsid w:val="0078253F"/>
    <w:rsid w:val="0078257B"/>
    <w:rsid w:val="00782636"/>
    <w:rsid w:val="00782747"/>
    <w:rsid w:val="00782894"/>
    <w:rsid w:val="00782972"/>
    <w:rsid w:val="00782AD3"/>
    <w:rsid w:val="00782BCC"/>
    <w:rsid w:val="00782E37"/>
    <w:rsid w:val="00782EA3"/>
    <w:rsid w:val="00782F40"/>
    <w:rsid w:val="00782F91"/>
    <w:rsid w:val="00783080"/>
    <w:rsid w:val="007831C9"/>
    <w:rsid w:val="007831D5"/>
    <w:rsid w:val="00783219"/>
    <w:rsid w:val="00783318"/>
    <w:rsid w:val="00783704"/>
    <w:rsid w:val="00783AB8"/>
    <w:rsid w:val="00784084"/>
    <w:rsid w:val="00784186"/>
    <w:rsid w:val="00784341"/>
    <w:rsid w:val="00784431"/>
    <w:rsid w:val="007844FE"/>
    <w:rsid w:val="007846A8"/>
    <w:rsid w:val="007846B3"/>
    <w:rsid w:val="0078474C"/>
    <w:rsid w:val="00784787"/>
    <w:rsid w:val="00784847"/>
    <w:rsid w:val="007848B7"/>
    <w:rsid w:val="00784AD3"/>
    <w:rsid w:val="00784AD8"/>
    <w:rsid w:val="00784B70"/>
    <w:rsid w:val="00784C78"/>
    <w:rsid w:val="00784D62"/>
    <w:rsid w:val="00784EC3"/>
    <w:rsid w:val="00785072"/>
    <w:rsid w:val="00785185"/>
    <w:rsid w:val="0078518B"/>
    <w:rsid w:val="007851E7"/>
    <w:rsid w:val="00785207"/>
    <w:rsid w:val="007852E9"/>
    <w:rsid w:val="0078541D"/>
    <w:rsid w:val="00785452"/>
    <w:rsid w:val="0078568C"/>
    <w:rsid w:val="00785757"/>
    <w:rsid w:val="007858F6"/>
    <w:rsid w:val="00785988"/>
    <w:rsid w:val="00785A05"/>
    <w:rsid w:val="00785AD8"/>
    <w:rsid w:val="00785BFB"/>
    <w:rsid w:val="00785C35"/>
    <w:rsid w:val="00785CF8"/>
    <w:rsid w:val="00785D1F"/>
    <w:rsid w:val="00785DC9"/>
    <w:rsid w:val="00785ED9"/>
    <w:rsid w:val="00785FE2"/>
    <w:rsid w:val="0078605B"/>
    <w:rsid w:val="00786092"/>
    <w:rsid w:val="0078644A"/>
    <w:rsid w:val="007866E6"/>
    <w:rsid w:val="00786818"/>
    <w:rsid w:val="0078688C"/>
    <w:rsid w:val="00786895"/>
    <w:rsid w:val="007868D1"/>
    <w:rsid w:val="00786BAC"/>
    <w:rsid w:val="00786C2C"/>
    <w:rsid w:val="00786D88"/>
    <w:rsid w:val="00786DA1"/>
    <w:rsid w:val="00786DFE"/>
    <w:rsid w:val="00786F2F"/>
    <w:rsid w:val="00786F8A"/>
    <w:rsid w:val="0078706F"/>
    <w:rsid w:val="007870A1"/>
    <w:rsid w:val="00787255"/>
    <w:rsid w:val="0078726D"/>
    <w:rsid w:val="007872E3"/>
    <w:rsid w:val="00787357"/>
    <w:rsid w:val="00787471"/>
    <w:rsid w:val="0078765D"/>
    <w:rsid w:val="00787675"/>
    <w:rsid w:val="007876EC"/>
    <w:rsid w:val="00787738"/>
    <w:rsid w:val="00787767"/>
    <w:rsid w:val="007878AC"/>
    <w:rsid w:val="00787A09"/>
    <w:rsid w:val="00787A76"/>
    <w:rsid w:val="00787ABF"/>
    <w:rsid w:val="00787B87"/>
    <w:rsid w:val="00787C34"/>
    <w:rsid w:val="00787DD6"/>
    <w:rsid w:val="00787FC7"/>
    <w:rsid w:val="0079002A"/>
    <w:rsid w:val="007900B1"/>
    <w:rsid w:val="0079022E"/>
    <w:rsid w:val="00790255"/>
    <w:rsid w:val="007903A3"/>
    <w:rsid w:val="007903A9"/>
    <w:rsid w:val="00790527"/>
    <w:rsid w:val="00790618"/>
    <w:rsid w:val="00790713"/>
    <w:rsid w:val="007907B4"/>
    <w:rsid w:val="00790953"/>
    <w:rsid w:val="00790A2C"/>
    <w:rsid w:val="00790B15"/>
    <w:rsid w:val="00790B99"/>
    <w:rsid w:val="00790C3C"/>
    <w:rsid w:val="00790C91"/>
    <w:rsid w:val="00790D22"/>
    <w:rsid w:val="00790E32"/>
    <w:rsid w:val="00790F49"/>
    <w:rsid w:val="00790FD6"/>
    <w:rsid w:val="00790FD7"/>
    <w:rsid w:val="007910D6"/>
    <w:rsid w:val="00791148"/>
    <w:rsid w:val="007911D3"/>
    <w:rsid w:val="00791263"/>
    <w:rsid w:val="007912B2"/>
    <w:rsid w:val="0079137A"/>
    <w:rsid w:val="007913AF"/>
    <w:rsid w:val="00791419"/>
    <w:rsid w:val="00791562"/>
    <w:rsid w:val="00791674"/>
    <w:rsid w:val="007916CB"/>
    <w:rsid w:val="00791723"/>
    <w:rsid w:val="0079191E"/>
    <w:rsid w:val="007919A0"/>
    <w:rsid w:val="007919A6"/>
    <w:rsid w:val="007919BC"/>
    <w:rsid w:val="00791A27"/>
    <w:rsid w:val="00791B1F"/>
    <w:rsid w:val="00791BE0"/>
    <w:rsid w:val="00791C81"/>
    <w:rsid w:val="00791D18"/>
    <w:rsid w:val="00791E8D"/>
    <w:rsid w:val="00791F08"/>
    <w:rsid w:val="00791F96"/>
    <w:rsid w:val="0079209E"/>
    <w:rsid w:val="007920F6"/>
    <w:rsid w:val="007922AC"/>
    <w:rsid w:val="0079230F"/>
    <w:rsid w:val="00792318"/>
    <w:rsid w:val="007923A6"/>
    <w:rsid w:val="0079248F"/>
    <w:rsid w:val="00792974"/>
    <w:rsid w:val="0079297C"/>
    <w:rsid w:val="007929F3"/>
    <w:rsid w:val="00792AAE"/>
    <w:rsid w:val="00792B09"/>
    <w:rsid w:val="00792B7A"/>
    <w:rsid w:val="00792CC6"/>
    <w:rsid w:val="00792CFE"/>
    <w:rsid w:val="00792D62"/>
    <w:rsid w:val="00792DA3"/>
    <w:rsid w:val="00792DEE"/>
    <w:rsid w:val="00793026"/>
    <w:rsid w:val="007931CB"/>
    <w:rsid w:val="0079329A"/>
    <w:rsid w:val="007932B0"/>
    <w:rsid w:val="007932E7"/>
    <w:rsid w:val="0079355B"/>
    <w:rsid w:val="007935AB"/>
    <w:rsid w:val="007936A7"/>
    <w:rsid w:val="00793779"/>
    <w:rsid w:val="007938B5"/>
    <w:rsid w:val="0079396F"/>
    <w:rsid w:val="00793A2B"/>
    <w:rsid w:val="00793AC0"/>
    <w:rsid w:val="00793B0E"/>
    <w:rsid w:val="00793B8A"/>
    <w:rsid w:val="00793BD2"/>
    <w:rsid w:val="00793D83"/>
    <w:rsid w:val="00793DBB"/>
    <w:rsid w:val="00794061"/>
    <w:rsid w:val="00794074"/>
    <w:rsid w:val="00794171"/>
    <w:rsid w:val="0079443D"/>
    <w:rsid w:val="007944DC"/>
    <w:rsid w:val="0079460D"/>
    <w:rsid w:val="00794698"/>
    <w:rsid w:val="007946D1"/>
    <w:rsid w:val="00794A3A"/>
    <w:rsid w:val="00794C62"/>
    <w:rsid w:val="00794CB4"/>
    <w:rsid w:val="00794D2A"/>
    <w:rsid w:val="00794D63"/>
    <w:rsid w:val="00794D93"/>
    <w:rsid w:val="007951D4"/>
    <w:rsid w:val="00795250"/>
    <w:rsid w:val="00795290"/>
    <w:rsid w:val="0079534B"/>
    <w:rsid w:val="0079541B"/>
    <w:rsid w:val="00795475"/>
    <w:rsid w:val="007954AA"/>
    <w:rsid w:val="00795722"/>
    <w:rsid w:val="007957CE"/>
    <w:rsid w:val="00795852"/>
    <w:rsid w:val="00795AE6"/>
    <w:rsid w:val="00795C48"/>
    <w:rsid w:val="00795D01"/>
    <w:rsid w:val="00795EF1"/>
    <w:rsid w:val="00795F06"/>
    <w:rsid w:val="0079614E"/>
    <w:rsid w:val="0079632A"/>
    <w:rsid w:val="007963C2"/>
    <w:rsid w:val="007964B1"/>
    <w:rsid w:val="007964E0"/>
    <w:rsid w:val="0079656A"/>
    <w:rsid w:val="00796604"/>
    <w:rsid w:val="00796837"/>
    <w:rsid w:val="00796A01"/>
    <w:rsid w:val="00796A3E"/>
    <w:rsid w:val="00796ACD"/>
    <w:rsid w:val="00796C0C"/>
    <w:rsid w:val="00796F4D"/>
    <w:rsid w:val="00796FA4"/>
    <w:rsid w:val="00796FFB"/>
    <w:rsid w:val="0079710A"/>
    <w:rsid w:val="00797129"/>
    <w:rsid w:val="007971AE"/>
    <w:rsid w:val="007971C5"/>
    <w:rsid w:val="0079737B"/>
    <w:rsid w:val="007973BB"/>
    <w:rsid w:val="007973E8"/>
    <w:rsid w:val="007974C9"/>
    <w:rsid w:val="0079756C"/>
    <w:rsid w:val="00797603"/>
    <w:rsid w:val="0079765E"/>
    <w:rsid w:val="007976FB"/>
    <w:rsid w:val="00797862"/>
    <w:rsid w:val="00797923"/>
    <w:rsid w:val="0079796E"/>
    <w:rsid w:val="00797993"/>
    <w:rsid w:val="007979F4"/>
    <w:rsid w:val="00797A8B"/>
    <w:rsid w:val="00797B74"/>
    <w:rsid w:val="00797BC5"/>
    <w:rsid w:val="00797C0E"/>
    <w:rsid w:val="00797C20"/>
    <w:rsid w:val="00797C46"/>
    <w:rsid w:val="00797CAD"/>
    <w:rsid w:val="00797E4E"/>
    <w:rsid w:val="00797EFB"/>
    <w:rsid w:val="00797F09"/>
    <w:rsid w:val="00797FE4"/>
    <w:rsid w:val="007A002C"/>
    <w:rsid w:val="007A0191"/>
    <w:rsid w:val="007A0221"/>
    <w:rsid w:val="007A0255"/>
    <w:rsid w:val="007A037C"/>
    <w:rsid w:val="007A03A6"/>
    <w:rsid w:val="007A0610"/>
    <w:rsid w:val="007A0682"/>
    <w:rsid w:val="007A06DB"/>
    <w:rsid w:val="007A0808"/>
    <w:rsid w:val="007A08A4"/>
    <w:rsid w:val="007A0A11"/>
    <w:rsid w:val="007A0C07"/>
    <w:rsid w:val="007A0CFA"/>
    <w:rsid w:val="007A0D87"/>
    <w:rsid w:val="007A0D97"/>
    <w:rsid w:val="007A0DB0"/>
    <w:rsid w:val="007A1036"/>
    <w:rsid w:val="007A108C"/>
    <w:rsid w:val="007A10C1"/>
    <w:rsid w:val="007A119F"/>
    <w:rsid w:val="007A1225"/>
    <w:rsid w:val="007A1234"/>
    <w:rsid w:val="007A135C"/>
    <w:rsid w:val="007A15A1"/>
    <w:rsid w:val="007A19D1"/>
    <w:rsid w:val="007A19F6"/>
    <w:rsid w:val="007A1A68"/>
    <w:rsid w:val="007A1CB4"/>
    <w:rsid w:val="007A1E73"/>
    <w:rsid w:val="007A1E8D"/>
    <w:rsid w:val="007A207B"/>
    <w:rsid w:val="007A21C3"/>
    <w:rsid w:val="007A21C4"/>
    <w:rsid w:val="007A21F9"/>
    <w:rsid w:val="007A23F8"/>
    <w:rsid w:val="007A2486"/>
    <w:rsid w:val="007A26D5"/>
    <w:rsid w:val="007A26E2"/>
    <w:rsid w:val="007A2719"/>
    <w:rsid w:val="007A27A2"/>
    <w:rsid w:val="007A2952"/>
    <w:rsid w:val="007A2B65"/>
    <w:rsid w:val="007A2B79"/>
    <w:rsid w:val="007A2D1C"/>
    <w:rsid w:val="007A2D25"/>
    <w:rsid w:val="007A2EB7"/>
    <w:rsid w:val="007A2EE3"/>
    <w:rsid w:val="007A2FC2"/>
    <w:rsid w:val="007A3179"/>
    <w:rsid w:val="007A32F9"/>
    <w:rsid w:val="007A3320"/>
    <w:rsid w:val="007A336D"/>
    <w:rsid w:val="007A363F"/>
    <w:rsid w:val="007A370A"/>
    <w:rsid w:val="007A376F"/>
    <w:rsid w:val="007A3843"/>
    <w:rsid w:val="007A38FE"/>
    <w:rsid w:val="007A3937"/>
    <w:rsid w:val="007A3992"/>
    <w:rsid w:val="007A3A1E"/>
    <w:rsid w:val="007A3A4F"/>
    <w:rsid w:val="007A3D9B"/>
    <w:rsid w:val="007A3EBD"/>
    <w:rsid w:val="007A3EC3"/>
    <w:rsid w:val="007A3FE2"/>
    <w:rsid w:val="007A40A0"/>
    <w:rsid w:val="007A4182"/>
    <w:rsid w:val="007A41AE"/>
    <w:rsid w:val="007A41F7"/>
    <w:rsid w:val="007A4249"/>
    <w:rsid w:val="007A47B5"/>
    <w:rsid w:val="007A4A85"/>
    <w:rsid w:val="007A4AFC"/>
    <w:rsid w:val="007A4BB5"/>
    <w:rsid w:val="007A4C38"/>
    <w:rsid w:val="007A4C49"/>
    <w:rsid w:val="007A4CC9"/>
    <w:rsid w:val="007A4CFA"/>
    <w:rsid w:val="007A4F94"/>
    <w:rsid w:val="007A4F97"/>
    <w:rsid w:val="007A4F9A"/>
    <w:rsid w:val="007A517F"/>
    <w:rsid w:val="007A51D4"/>
    <w:rsid w:val="007A5260"/>
    <w:rsid w:val="007A5306"/>
    <w:rsid w:val="007A5566"/>
    <w:rsid w:val="007A5617"/>
    <w:rsid w:val="007A5798"/>
    <w:rsid w:val="007A5926"/>
    <w:rsid w:val="007A5B00"/>
    <w:rsid w:val="007A5BD7"/>
    <w:rsid w:val="007A5C0F"/>
    <w:rsid w:val="007A5CAF"/>
    <w:rsid w:val="007A5FA7"/>
    <w:rsid w:val="007A603E"/>
    <w:rsid w:val="007A6127"/>
    <w:rsid w:val="007A623B"/>
    <w:rsid w:val="007A6264"/>
    <w:rsid w:val="007A6325"/>
    <w:rsid w:val="007A652C"/>
    <w:rsid w:val="007A65EC"/>
    <w:rsid w:val="007A6640"/>
    <w:rsid w:val="007A67B0"/>
    <w:rsid w:val="007A6A46"/>
    <w:rsid w:val="007A6CCC"/>
    <w:rsid w:val="007A6D69"/>
    <w:rsid w:val="007A6F9B"/>
    <w:rsid w:val="007A7053"/>
    <w:rsid w:val="007A73CE"/>
    <w:rsid w:val="007A752B"/>
    <w:rsid w:val="007A79F2"/>
    <w:rsid w:val="007A7A07"/>
    <w:rsid w:val="007A7BD1"/>
    <w:rsid w:val="007A7BDF"/>
    <w:rsid w:val="007A7E80"/>
    <w:rsid w:val="007A7EA6"/>
    <w:rsid w:val="007A7F7C"/>
    <w:rsid w:val="007B0188"/>
    <w:rsid w:val="007B0245"/>
    <w:rsid w:val="007B04C7"/>
    <w:rsid w:val="007B066E"/>
    <w:rsid w:val="007B075F"/>
    <w:rsid w:val="007B0782"/>
    <w:rsid w:val="007B083F"/>
    <w:rsid w:val="007B0880"/>
    <w:rsid w:val="007B0963"/>
    <w:rsid w:val="007B0A90"/>
    <w:rsid w:val="007B0CAD"/>
    <w:rsid w:val="007B0CD5"/>
    <w:rsid w:val="007B0D01"/>
    <w:rsid w:val="007B0D34"/>
    <w:rsid w:val="007B0D88"/>
    <w:rsid w:val="007B0DBE"/>
    <w:rsid w:val="007B0EE7"/>
    <w:rsid w:val="007B101B"/>
    <w:rsid w:val="007B10B1"/>
    <w:rsid w:val="007B12FC"/>
    <w:rsid w:val="007B1316"/>
    <w:rsid w:val="007B134C"/>
    <w:rsid w:val="007B1458"/>
    <w:rsid w:val="007B15BC"/>
    <w:rsid w:val="007B16D2"/>
    <w:rsid w:val="007B1789"/>
    <w:rsid w:val="007B17F6"/>
    <w:rsid w:val="007B18AA"/>
    <w:rsid w:val="007B18CE"/>
    <w:rsid w:val="007B1AC4"/>
    <w:rsid w:val="007B1D56"/>
    <w:rsid w:val="007B1D7E"/>
    <w:rsid w:val="007B1E19"/>
    <w:rsid w:val="007B2085"/>
    <w:rsid w:val="007B2096"/>
    <w:rsid w:val="007B20B5"/>
    <w:rsid w:val="007B210C"/>
    <w:rsid w:val="007B2168"/>
    <w:rsid w:val="007B2208"/>
    <w:rsid w:val="007B2295"/>
    <w:rsid w:val="007B238C"/>
    <w:rsid w:val="007B240F"/>
    <w:rsid w:val="007B2682"/>
    <w:rsid w:val="007B2763"/>
    <w:rsid w:val="007B27BE"/>
    <w:rsid w:val="007B28ED"/>
    <w:rsid w:val="007B2959"/>
    <w:rsid w:val="007B2A13"/>
    <w:rsid w:val="007B2A74"/>
    <w:rsid w:val="007B2A84"/>
    <w:rsid w:val="007B2E0C"/>
    <w:rsid w:val="007B2F40"/>
    <w:rsid w:val="007B2FDC"/>
    <w:rsid w:val="007B302E"/>
    <w:rsid w:val="007B325C"/>
    <w:rsid w:val="007B3295"/>
    <w:rsid w:val="007B32BD"/>
    <w:rsid w:val="007B3305"/>
    <w:rsid w:val="007B3398"/>
    <w:rsid w:val="007B33BB"/>
    <w:rsid w:val="007B3675"/>
    <w:rsid w:val="007B367B"/>
    <w:rsid w:val="007B36C6"/>
    <w:rsid w:val="007B3708"/>
    <w:rsid w:val="007B3720"/>
    <w:rsid w:val="007B37B2"/>
    <w:rsid w:val="007B38A0"/>
    <w:rsid w:val="007B38B5"/>
    <w:rsid w:val="007B38B7"/>
    <w:rsid w:val="007B39E3"/>
    <w:rsid w:val="007B3BE9"/>
    <w:rsid w:val="007B3C70"/>
    <w:rsid w:val="007B3D5F"/>
    <w:rsid w:val="007B3D96"/>
    <w:rsid w:val="007B3DB8"/>
    <w:rsid w:val="007B3DEC"/>
    <w:rsid w:val="007B3E3C"/>
    <w:rsid w:val="007B3E8B"/>
    <w:rsid w:val="007B4138"/>
    <w:rsid w:val="007B41A1"/>
    <w:rsid w:val="007B4252"/>
    <w:rsid w:val="007B4313"/>
    <w:rsid w:val="007B4355"/>
    <w:rsid w:val="007B4396"/>
    <w:rsid w:val="007B43D9"/>
    <w:rsid w:val="007B47A9"/>
    <w:rsid w:val="007B4A24"/>
    <w:rsid w:val="007B4B4C"/>
    <w:rsid w:val="007B4CB6"/>
    <w:rsid w:val="007B4D03"/>
    <w:rsid w:val="007B4D49"/>
    <w:rsid w:val="007B4DB9"/>
    <w:rsid w:val="007B4E8E"/>
    <w:rsid w:val="007B4F7B"/>
    <w:rsid w:val="007B4FAB"/>
    <w:rsid w:val="007B4FCC"/>
    <w:rsid w:val="007B500E"/>
    <w:rsid w:val="007B50D5"/>
    <w:rsid w:val="007B50E2"/>
    <w:rsid w:val="007B512E"/>
    <w:rsid w:val="007B5143"/>
    <w:rsid w:val="007B532B"/>
    <w:rsid w:val="007B53DD"/>
    <w:rsid w:val="007B54F3"/>
    <w:rsid w:val="007B558E"/>
    <w:rsid w:val="007B56D9"/>
    <w:rsid w:val="007B57AF"/>
    <w:rsid w:val="007B583D"/>
    <w:rsid w:val="007B5840"/>
    <w:rsid w:val="007B5864"/>
    <w:rsid w:val="007B588D"/>
    <w:rsid w:val="007B5AD3"/>
    <w:rsid w:val="007B5BCE"/>
    <w:rsid w:val="007B5D81"/>
    <w:rsid w:val="007B5DAF"/>
    <w:rsid w:val="007B5EFC"/>
    <w:rsid w:val="007B6295"/>
    <w:rsid w:val="007B64CA"/>
    <w:rsid w:val="007B6684"/>
    <w:rsid w:val="007B6688"/>
    <w:rsid w:val="007B66E5"/>
    <w:rsid w:val="007B6867"/>
    <w:rsid w:val="007B686F"/>
    <w:rsid w:val="007B68DC"/>
    <w:rsid w:val="007B6B21"/>
    <w:rsid w:val="007B6C6A"/>
    <w:rsid w:val="007B6C86"/>
    <w:rsid w:val="007B6EC2"/>
    <w:rsid w:val="007B6F18"/>
    <w:rsid w:val="007B7018"/>
    <w:rsid w:val="007B7024"/>
    <w:rsid w:val="007B707D"/>
    <w:rsid w:val="007B739D"/>
    <w:rsid w:val="007B7458"/>
    <w:rsid w:val="007B75C3"/>
    <w:rsid w:val="007B7934"/>
    <w:rsid w:val="007B799B"/>
    <w:rsid w:val="007B79B9"/>
    <w:rsid w:val="007B7A2F"/>
    <w:rsid w:val="007B7BE3"/>
    <w:rsid w:val="007B7C9A"/>
    <w:rsid w:val="007B7D93"/>
    <w:rsid w:val="007B7DE8"/>
    <w:rsid w:val="007B7ED9"/>
    <w:rsid w:val="007B7EF4"/>
    <w:rsid w:val="007B7F82"/>
    <w:rsid w:val="007B7FD5"/>
    <w:rsid w:val="007BABCE"/>
    <w:rsid w:val="007C002F"/>
    <w:rsid w:val="007C003C"/>
    <w:rsid w:val="007C00D0"/>
    <w:rsid w:val="007C028A"/>
    <w:rsid w:val="007C0390"/>
    <w:rsid w:val="007C03D5"/>
    <w:rsid w:val="007C04B5"/>
    <w:rsid w:val="007C04F5"/>
    <w:rsid w:val="007C0510"/>
    <w:rsid w:val="007C05A3"/>
    <w:rsid w:val="007C06F4"/>
    <w:rsid w:val="007C0761"/>
    <w:rsid w:val="007C084B"/>
    <w:rsid w:val="007C097C"/>
    <w:rsid w:val="007C0A3C"/>
    <w:rsid w:val="007C0B82"/>
    <w:rsid w:val="007C0B96"/>
    <w:rsid w:val="007C0C19"/>
    <w:rsid w:val="007C0CA2"/>
    <w:rsid w:val="007C0CE7"/>
    <w:rsid w:val="007C0DF1"/>
    <w:rsid w:val="007C0E67"/>
    <w:rsid w:val="007C0F4D"/>
    <w:rsid w:val="007C10E1"/>
    <w:rsid w:val="007C11A1"/>
    <w:rsid w:val="007C11CE"/>
    <w:rsid w:val="007C13B0"/>
    <w:rsid w:val="007C144D"/>
    <w:rsid w:val="007C14A2"/>
    <w:rsid w:val="007C15E3"/>
    <w:rsid w:val="007C1687"/>
    <w:rsid w:val="007C16AC"/>
    <w:rsid w:val="007C183F"/>
    <w:rsid w:val="007C198B"/>
    <w:rsid w:val="007C19F7"/>
    <w:rsid w:val="007C1BD9"/>
    <w:rsid w:val="007C1C57"/>
    <w:rsid w:val="007C1C60"/>
    <w:rsid w:val="007C1CB1"/>
    <w:rsid w:val="007C1D6D"/>
    <w:rsid w:val="007C1DC8"/>
    <w:rsid w:val="007C1EB8"/>
    <w:rsid w:val="007C1FF2"/>
    <w:rsid w:val="007C20E1"/>
    <w:rsid w:val="007C215D"/>
    <w:rsid w:val="007C2169"/>
    <w:rsid w:val="007C2466"/>
    <w:rsid w:val="007C24CA"/>
    <w:rsid w:val="007C24D5"/>
    <w:rsid w:val="007C252D"/>
    <w:rsid w:val="007C288A"/>
    <w:rsid w:val="007C2893"/>
    <w:rsid w:val="007C2AE3"/>
    <w:rsid w:val="007C2C6C"/>
    <w:rsid w:val="007C2CCB"/>
    <w:rsid w:val="007C2D4B"/>
    <w:rsid w:val="007C2DF5"/>
    <w:rsid w:val="007C2F55"/>
    <w:rsid w:val="007C2F79"/>
    <w:rsid w:val="007C300E"/>
    <w:rsid w:val="007C328D"/>
    <w:rsid w:val="007C32AA"/>
    <w:rsid w:val="007C336F"/>
    <w:rsid w:val="007C3544"/>
    <w:rsid w:val="007C3633"/>
    <w:rsid w:val="007C3891"/>
    <w:rsid w:val="007C38AF"/>
    <w:rsid w:val="007C3A1E"/>
    <w:rsid w:val="007C3CAE"/>
    <w:rsid w:val="007C3CBA"/>
    <w:rsid w:val="007C3DF2"/>
    <w:rsid w:val="007C3E1A"/>
    <w:rsid w:val="007C3F35"/>
    <w:rsid w:val="007C3F4E"/>
    <w:rsid w:val="007C4155"/>
    <w:rsid w:val="007C41B1"/>
    <w:rsid w:val="007C42B1"/>
    <w:rsid w:val="007C452C"/>
    <w:rsid w:val="007C46A9"/>
    <w:rsid w:val="007C4830"/>
    <w:rsid w:val="007C4A4A"/>
    <w:rsid w:val="007C4BD7"/>
    <w:rsid w:val="007C4BF9"/>
    <w:rsid w:val="007C4C9C"/>
    <w:rsid w:val="007C4D5A"/>
    <w:rsid w:val="007C4FF0"/>
    <w:rsid w:val="007C5111"/>
    <w:rsid w:val="007C51CA"/>
    <w:rsid w:val="007C524D"/>
    <w:rsid w:val="007C52D3"/>
    <w:rsid w:val="007C5494"/>
    <w:rsid w:val="007C54EB"/>
    <w:rsid w:val="007C56F9"/>
    <w:rsid w:val="007C573C"/>
    <w:rsid w:val="007C5861"/>
    <w:rsid w:val="007C5A56"/>
    <w:rsid w:val="007C5B2F"/>
    <w:rsid w:val="007C5B89"/>
    <w:rsid w:val="007C5CF2"/>
    <w:rsid w:val="007C5D7D"/>
    <w:rsid w:val="007C5D88"/>
    <w:rsid w:val="007C5FAF"/>
    <w:rsid w:val="007C6145"/>
    <w:rsid w:val="007C636A"/>
    <w:rsid w:val="007C639C"/>
    <w:rsid w:val="007C642D"/>
    <w:rsid w:val="007C6539"/>
    <w:rsid w:val="007C6781"/>
    <w:rsid w:val="007C6786"/>
    <w:rsid w:val="007C67C7"/>
    <w:rsid w:val="007C699A"/>
    <w:rsid w:val="007C6A2C"/>
    <w:rsid w:val="007C6B4F"/>
    <w:rsid w:val="007C6C72"/>
    <w:rsid w:val="007C6CA1"/>
    <w:rsid w:val="007C6CE3"/>
    <w:rsid w:val="007C6D5A"/>
    <w:rsid w:val="007C6DE6"/>
    <w:rsid w:val="007C6E89"/>
    <w:rsid w:val="007C6E8B"/>
    <w:rsid w:val="007C6F03"/>
    <w:rsid w:val="007C6F2B"/>
    <w:rsid w:val="007C7071"/>
    <w:rsid w:val="007C71E5"/>
    <w:rsid w:val="007C7280"/>
    <w:rsid w:val="007C72AF"/>
    <w:rsid w:val="007C72F3"/>
    <w:rsid w:val="007C72F6"/>
    <w:rsid w:val="007C7463"/>
    <w:rsid w:val="007C750C"/>
    <w:rsid w:val="007C7577"/>
    <w:rsid w:val="007C7676"/>
    <w:rsid w:val="007C7793"/>
    <w:rsid w:val="007C78C4"/>
    <w:rsid w:val="007C7BC6"/>
    <w:rsid w:val="007C7CD1"/>
    <w:rsid w:val="007C7D9F"/>
    <w:rsid w:val="007C7F47"/>
    <w:rsid w:val="007D00A1"/>
    <w:rsid w:val="007D00CA"/>
    <w:rsid w:val="007D0118"/>
    <w:rsid w:val="007D01FD"/>
    <w:rsid w:val="007D02F2"/>
    <w:rsid w:val="007D0389"/>
    <w:rsid w:val="007D03B9"/>
    <w:rsid w:val="007D03FA"/>
    <w:rsid w:val="007D057C"/>
    <w:rsid w:val="007D05CC"/>
    <w:rsid w:val="007D075C"/>
    <w:rsid w:val="007D0781"/>
    <w:rsid w:val="007D0984"/>
    <w:rsid w:val="007D0A6E"/>
    <w:rsid w:val="007D0AF2"/>
    <w:rsid w:val="007D0B8A"/>
    <w:rsid w:val="007D0B91"/>
    <w:rsid w:val="007D0CDC"/>
    <w:rsid w:val="007D0E0A"/>
    <w:rsid w:val="007D1002"/>
    <w:rsid w:val="007D101A"/>
    <w:rsid w:val="007D11A1"/>
    <w:rsid w:val="007D1381"/>
    <w:rsid w:val="007D1593"/>
    <w:rsid w:val="007D17DD"/>
    <w:rsid w:val="007D1916"/>
    <w:rsid w:val="007D1949"/>
    <w:rsid w:val="007D1A3B"/>
    <w:rsid w:val="007D1BA0"/>
    <w:rsid w:val="007D1D23"/>
    <w:rsid w:val="007D1DB1"/>
    <w:rsid w:val="007D1E03"/>
    <w:rsid w:val="007D1E45"/>
    <w:rsid w:val="007D1E63"/>
    <w:rsid w:val="007D1E8A"/>
    <w:rsid w:val="007D2053"/>
    <w:rsid w:val="007D206C"/>
    <w:rsid w:val="007D2073"/>
    <w:rsid w:val="007D21B7"/>
    <w:rsid w:val="007D21C5"/>
    <w:rsid w:val="007D22DA"/>
    <w:rsid w:val="007D2301"/>
    <w:rsid w:val="007D2450"/>
    <w:rsid w:val="007D259D"/>
    <w:rsid w:val="007D25EB"/>
    <w:rsid w:val="007D27A0"/>
    <w:rsid w:val="007D295C"/>
    <w:rsid w:val="007D29B5"/>
    <w:rsid w:val="007D2A8B"/>
    <w:rsid w:val="007D2AEC"/>
    <w:rsid w:val="007D2AF7"/>
    <w:rsid w:val="007D2CD0"/>
    <w:rsid w:val="007D2D24"/>
    <w:rsid w:val="007D2D60"/>
    <w:rsid w:val="007D2D6F"/>
    <w:rsid w:val="007D2D7C"/>
    <w:rsid w:val="007D2DD2"/>
    <w:rsid w:val="007D2E1F"/>
    <w:rsid w:val="007D2FC3"/>
    <w:rsid w:val="007D3064"/>
    <w:rsid w:val="007D30B7"/>
    <w:rsid w:val="007D30C2"/>
    <w:rsid w:val="007D316F"/>
    <w:rsid w:val="007D31A8"/>
    <w:rsid w:val="007D3235"/>
    <w:rsid w:val="007D32D1"/>
    <w:rsid w:val="007D3471"/>
    <w:rsid w:val="007D34F6"/>
    <w:rsid w:val="007D364B"/>
    <w:rsid w:val="007D3658"/>
    <w:rsid w:val="007D3711"/>
    <w:rsid w:val="007D37BA"/>
    <w:rsid w:val="007D38F2"/>
    <w:rsid w:val="007D38FD"/>
    <w:rsid w:val="007D3B63"/>
    <w:rsid w:val="007D3CDC"/>
    <w:rsid w:val="007D3D41"/>
    <w:rsid w:val="007D3DD6"/>
    <w:rsid w:val="007D3E95"/>
    <w:rsid w:val="007D3E9A"/>
    <w:rsid w:val="007D4027"/>
    <w:rsid w:val="007D4084"/>
    <w:rsid w:val="007D40CE"/>
    <w:rsid w:val="007D415A"/>
    <w:rsid w:val="007D430A"/>
    <w:rsid w:val="007D44B9"/>
    <w:rsid w:val="007D45BD"/>
    <w:rsid w:val="007D4683"/>
    <w:rsid w:val="007D4700"/>
    <w:rsid w:val="007D476F"/>
    <w:rsid w:val="007D4921"/>
    <w:rsid w:val="007D495E"/>
    <w:rsid w:val="007D4A66"/>
    <w:rsid w:val="007D4A99"/>
    <w:rsid w:val="007D4CCE"/>
    <w:rsid w:val="007D4DA9"/>
    <w:rsid w:val="007D518A"/>
    <w:rsid w:val="007D5261"/>
    <w:rsid w:val="007D5331"/>
    <w:rsid w:val="007D542B"/>
    <w:rsid w:val="007D55D8"/>
    <w:rsid w:val="007D5750"/>
    <w:rsid w:val="007D57C8"/>
    <w:rsid w:val="007D597A"/>
    <w:rsid w:val="007D5CDC"/>
    <w:rsid w:val="007D5DC9"/>
    <w:rsid w:val="007D5DFF"/>
    <w:rsid w:val="007D6008"/>
    <w:rsid w:val="007D60AE"/>
    <w:rsid w:val="007D6220"/>
    <w:rsid w:val="007D623E"/>
    <w:rsid w:val="007D64CF"/>
    <w:rsid w:val="007D67AD"/>
    <w:rsid w:val="007D69FF"/>
    <w:rsid w:val="007D6A41"/>
    <w:rsid w:val="007D6A80"/>
    <w:rsid w:val="007D6B1D"/>
    <w:rsid w:val="007D6C39"/>
    <w:rsid w:val="007D6C3C"/>
    <w:rsid w:val="007D6D5C"/>
    <w:rsid w:val="007D6E59"/>
    <w:rsid w:val="007D6FB4"/>
    <w:rsid w:val="007D703D"/>
    <w:rsid w:val="007D70E0"/>
    <w:rsid w:val="007D732F"/>
    <w:rsid w:val="007D74A7"/>
    <w:rsid w:val="007D74AF"/>
    <w:rsid w:val="007D74F2"/>
    <w:rsid w:val="007D75D8"/>
    <w:rsid w:val="007D77A2"/>
    <w:rsid w:val="007D77CB"/>
    <w:rsid w:val="007D77FE"/>
    <w:rsid w:val="007D786C"/>
    <w:rsid w:val="007D786E"/>
    <w:rsid w:val="007D7973"/>
    <w:rsid w:val="007D7A2B"/>
    <w:rsid w:val="007D7AAC"/>
    <w:rsid w:val="007D7B29"/>
    <w:rsid w:val="007D7C05"/>
    <w:rsid w:val="007D7CA3"/>
    <w:rsid w:val="007D7DC0"/>
    <w:rsid w:val="007D7E91"/>
    <w:rsid w:val="007D7EBB"/>
    <w:rsid w:val="007D7FF7"/>
    <w:rsid w:val="007E007E"/>
    <w:rsid w:val="007E021C"/>
    <w:rsid w:val="007E033C"/>
    <w:rsid w:val="007E045C"/>
    <w:rsid w:val="007E0507"/>
    <w:rsid w:val="007E05F8"/>
    <w:rsid w:val="007E0644"/>
    <w:rsid w:val="007E073A"/>
    <w:rsid w:val="007E092C"/>
    <w:rsid w:val="007E0999"/>
    <w:rsid w:val="007E0A4C"/>
    <w:rsid w:val="007E0A5F"/>
    <w:rsid w:val="007E0AF3"/>
    <w:rsid w:val="007E0E67"/>
    <w:rsid w:val="007E0E84"/>
    <w:rsid w:val="007E0EB6"/>
    <w:rsid w:val="007E10DF"/>
    <w:rsid w:val="007E1101"/>
    <w:rsid w:val="007E1144"/>
    <w:rsid w:val="007E1286"/>
    <w:rsid w:val="007E12D9"/>
    <w:rsid w:val="007E13C9"/>
    <w:rsid w:val="007E1401"/>
    <w:rsid w:val="007E145D"/>
    <w:rsid w:val="007E149A"/>
    <w:rsid w:val="007E14BE"/>
    <w:rsid w:val="007E14DD"/>
    <w:rsid w:val="007E1537"/>
    <w:rsid w:val="007E15AD"/>
    <w:rsid w:val="007E15B7"/>
    <w:rsid w:val="007E165E"/>
    <w:rsid w:val="007E1780"/>
    <w:rsid w:val="007E182C"/>
    <w:rsid w:val="007E1907"/>
    <w:rsid w:val="007E1A9B"/>
    <w:rsid w:val="007E1DFC"/>
    <w:rsid w:val="007E1E3E"/>
    <w:rsid w:val="007E1F1E"/>
    <w:rsid w:val="007E1F82"/>
    <w:rsid w:val="007E2192"/>
    <w:rsid w:val="007E229E"/>
    <w:rsid w:val="007E25BC"/>
    <w:rsid w:val="007E25ED"/>
    <w:rsid w:val="007E27DE"/>
    <w:rsid w:val="007E28FB"/>
    <w:rsid w:val="007E2BC0"/>
    <w:rsid w:val="007E2C1B"/>
    <w:rsid w:val="007E2E33"/>
    <w:rsid w:val="007E3038"/>
    <w:rsid w:val="007E3208"/>
    <w:rsid w:val="007E3234"/>
    <w:rsid w:val="007E32FC"/>
    <w:rsid w:val="007E3510"/>
    <w:rsid w:val="007E36DB"/>
    <w:rsid w:val="007E3712"/>
    <w:rsid w:val="007E3816"/>
    <w:rsid w:val="007E3852"/>
    <w:rsid w:val="007E3A20"/>
    <w:rsid w:val="007E3A3E"/>
    <w:rsid w:val="007E3AC8"/>
    <w:rsid w:val="007E3B9F"/>
    <w:rsid w:val="007E3DF5"/>
    <w:rsid w:val="007E3E59"/>
    <w:rsid w:val="007E3F5A"/>
    <w:rsid w:val="007E3F64"/>
    <w:rsid w:val="007E41EA"/>
    <w:rsid w:val="007E422B"/>
    <w:rsid w:val="007E4293"/>
    <w:rsid w:val="007E43BB"/>
    <w:rsid w:val="007E4485"/>
    <w:rsid w:val="007E454C"/>
    <w:rsid w:val="007E456E"/>
    <w:rsid w:val="007E49C7"/>
    <w:rsid w:val="007E4A49"/>
    <w:rsid w:val="007E4A5B"/>
    <w:rsid w:val="007E4BBF"/>
    <w:rsid w:val="007E4C75"/>
    <w:rsid w:val="007E4DBE"/>
    <w:rsid w:val="007E4F31"/>
    <w:rsid w:val="007E5033"/>
    <w:rsid w:val="007E509A"/>
    <w:rsid w:val="007E50C2"/>
    <w:rsid w:val="007E5139"/>
    <w:rsid w:val="007E52E7"/>
    <w:rsid w:val="007E537D"/>
    <w:rsid w:val="007E5428"/>
    <w:rsid w:val="007E564F"/>
    <w:rsid w:val="007E5707"/>
    <w:rsid w:val="007E580B"/>
    <w:rsid w:val="007E5936"/>
    <w:rsid w:val="007E5BDA"/>
    <w:rsid w:val="007E5CD3"/>
    <w:rsid w:val="007E5D33"/>
    <w:rsid w:val="007E5D38"/>
    <w:rsid w:val="007E5DFF"/>
    <w:rsid w:val="007E5EBF"/>
    <w:rsid w:val="007E60A3"/>
    <w:rsid w:val="007E6164"/>
    <w:rsid w:val="007E61C5"/>
    <w:rsid w:val="007E62A2"/>
    <w:rsid w:val="007E6314"/>
    <w:rsid w:val="007E6373"/>
    <w:rsid w:val="007E6407"/>
    <w:rsid w:val="007E666E"/>
    <w:rsid w:val="007E66CA"/>
    <w:rsid w:val="007E67C7"/>
    <w:rsid w:val="007E6840"/>
    <w:rsid w:val="007E6C4B"/>
    <w:rsid w:val="007E6F17"/>
    <w:rsid w:val="007E6FA5"/>
    <w:rsid w:val="007E6FBF"/>
    <w:rsid w:val="007E7012"/>
    <w:rsid w:val="007E7172"/>
    <w:rsid w:val="007E718A"/>
    <w:rsid w:val="007E718E"/>
    <w:rsid w:val="007E71B3"/>
    <w:rsid w:val="007E720D"/>
    <w:rsid w:val="007E7249"/>
    <w:rsid w:val="007E72A5"/>
    <w:rsid w:val="007E72F1"/>
    <w:rsid w:val="007E7334"/>
    <w:rsid w:val="007E741C"/>
    <w:rsid w:val="007E753F"/>
    <w:rsid w:val="007E7541"/>
    <w:rsid w:val="007E7592"/>
    <w:rsid w:val="007E760A"/>
    <w:rsid w:val="007E7844"/>
    <w:rsid w:val="007E7877"/>
    <w:rsid w:val="007E79C6"/>
    <w:rsid w:val="007E7A42"/>
    <w:rsid w:val="007E7A58"/>
    <w:rsid w:val="007E7AF6"/>
    <w:rsid w:val="007E7B89"/>
    <w:rsid w:val="007E7BA0"/>
    <w:rsid w:val="007E7D4E"/>
    <w:rsid w:val="007E7EDF"/>
    <w:rsid w:val="007E7EFD"/>
    <w:rsid w:val="007E7F09"/>
    <w:rsid w:val="007EDE7E"/>
    <w:rsid w:val="007F00A1"/>
    <w:rsid w:val="007F01A4"/>
    <w:rsid w:val="007F025E"/>
    <w:rsid w:val="007F02BA"/>
    <w:rsid w:val="007F02C3"/>
    <w:rsid w:val="007F02F7"/>
    <w:rsid w:val="007F0302"/>
    <w:rsid w:val="007F0407"/>
    <w:rsid w:val="007F0579"/>
    <w:rsid w:val="007F066A"/>
    <w:rsid w:val="007F067C"/>
    <w:rsid w:val="007F06D0"/>
    <w:rsid w:val="007F06F0"/>
    <w:rsid w:val="007F08DC"/>
    <w:rsid w:val="007F0A2C"/>
    <w:rsid w:val="007F0A33"/>
    <w:rsid w:val="007F0BDD"/>
    <w:rsid w:val="007F0C32"/>
    <w:rsid w:val="007F0CEB"/>
    <w:rsid w:val="007F0E3B"/>
    <w:rsid w:val="007F0F29"/>
    <w:rsid w:val="007F1064"/>
    <w:rsid w:val="007F1492"/>
    <w:rsid w:val="007F14E3"/>
    <w:rsid w:val="007F1708"/>
    <w:rsid w:val="007F1718"/>
    <w:rsid w:val="007F17B4"/>
    <w:rsid w:val="007F196E"/>
    <w:rsid w:val="007F19E5"/>
    <w:rsid w:val="007F1B00"/>
    <w:rsid w:val="007F1BA0"/>
    <w:rsid w:val="007F1BB3"/>
    <w:rsid w:val="007F1BE9"/>
    <w:rsid w:val="007F1C0D"/>
    <w:rsid w:val="007F1E88"/>
    <w:rsid w:val="007F1EC2"/>
    <w:rsid w:val="007F1EE1"/>
    <w:rsid w:val="007F2195"/>
    <w:rsid w:val="007F22B8"/>
    <w:rsid w:val="007F23BA"/>
    <w:rsid w:val="007F2512"/>
    <w:rsid w:val="007F25D7"/>
    <w:rsid w:val="007F26CF"/>
    <w:rsid w:val="007F2866"/>
    <w:rsid w:val="007F2967"/>
    <w:rsid w:val="007F29B4"/>
    <w:rsid w:val="007F2B22"/>
    <w:rsid w:val="007F2B49"/>
    <w:rsid w:val="007F2BC8"/>
    <w:rsid w:val="007F2C1E"/>
    <w:rsid w:val="007F2DCD"/>
    <w:rsid w:val="007F2E90"/>
    <w:rsid w:val="007F2EAD"/>
    <w:rsid w:val="007F2F8B"/>
    <w:rsid w:val="007F2FEF"/>
    <w:rsid w:val="007F3052"/>
    <w:rsid w:val="007F3272"/>
    <w:rsid w:val="007F3518"/>
    <w:rsid w:val="007F3631"/>
    <w:rsid w:val="007F3702"/>
    <w:rsid w:val="007F370D"/>
    <w:rsid w:val="007F3730"/>
    <w:rsid w:val="007F3838"/>
    <w:rsid w:val="007F3AD8"/>
    <w:rsid w:val="007F3AF1"/>
    <w:rsid w:val="007F3C06"/>
    <w:rsid w:val="007F3C28"/>
    <w:rsid w:val="007F3C57"/>
    <w:rsid w:val="007F3C90"/>
    <w:rsid w:val="007F3DA9"/>
    <w:rsid w:val="007F3DD1"/>
    <w:rsid w:val="007F3F03"/>
    <w:rsid w:val="007F407A"/>
    <w:rsid w:val="007F4100"/>
    <w:rsid w:val="007F423C"/>
    <w:rsid w:val="007F42F8"/>
    <w:rsid w:val="007F46D4"/>
    <w:rsid w:val="007F4989"/>
    <w:rsid w:val="007F49A2"/>
    <w:rsid w:val="007F4D14"/>
    <w:rsid w:val="007F4E2E"/>
    <w:rsid w:val="007F4E73"/>
    <w:rsid w:val="007F517A"/>
    <w:rsid w:val="007F53CB"/>
    <w:rsid w:val="007F55F3"/>
    <w:rsid w:val="007F577E"/>
    <w:rsid w:val="007F57D9"/>
    <w:rsid w:val="007F5A25"/>
    <w:rsid w:val="007F5C00"/>
    <w:rsid w:val="007F5C84"/>
    <w:rsid w:val="007F5CDA"/>
    <w:rsid w:val="007F5CED"/>
    <w:rsid w:val="007F5D13"/>
    <w:rsid w:val="007F5D62"/>
    <w:rsid w:val="007F5E1C"/>
    <w:rsid w:val="007F5E5B"/>
    <w:rsid w:val="007F5E74"/>
    <w:rsid w:val="007F5F97"/>
    <w:rsid w:val="007F5FC7"/>
    <w:rsid w:val="007F6064"/>
    <w:rsid w:val="007F60F7"/>
    <w:rsid w:val="007F633F"/>
    <w:rsid w:val="007F6363"/>
    <w:rsid w:val="007F6376"/>
    <w:rsid w:val="007F63A1"/>
    <w:rsid w:val="007F65BD"/>
    <w:rsid w:val="007F65C2"/>
    <w:rsid w:val="007F67E9"/>
    <w:rsid w:val="007F692D"/>
    <w:rsid w:val="007F69BB"/>
    <w:rsid w:val="007F6A9C"/>
    <w:rsid w:val="007F6B49"/>
    <w:rsid w:val="007F6CA6"/>
    <w:rsid w:val="007F6D03"/>
    <w:rsid w:val="007F6D57"/>
    <w:rsid w:val="007F6E0E"/>
    <w:rsid w:val="007F6F6F"/>
    <w:rsid w:val="007F703D"/>
    <w:rsid w:val="007F7176"/>
    <w:rsid w:val="007F71FF"/>
    <w:rsid w:val="007F72CB"/>
    <w:rsid w:val="007F72D1"/>
    <w:rsid w:val="007F73C2"/>
    <w:rsid w:val="007F745D"/>
    <w:rsid w:val="007F754C"/>
    <w:rsid w:val="007F77D2"/>
    <w:rsid w:val="007F78C3"/>
    <w:rsid w:val="007F7990"/>
    <w:rsid w:val="007F7B96"/>
    <w:rsid w:val="007F7C7B"/>
    <w:rsid w:val="007F7FE7"/>
    <w:rsid w:val="00800185"/>
    <w:rsid w:val="008001CE"/>
    <w:rsid w:val="008001D0"/>
    <w:rsid w:val="00800202"/>
    <w:rsid w:val="0080067E"/>
    <w:rsid w:val="008006BF"/>
    <w:rsid w:val="008007B1"/>
    <w:rsid w:val="00800835"/>
    <w:rsid w:val="008009B6"/>
    <w:rsid w:val="00800AF6"/>
    <w:rsid w:val="00800B66"/>
    <w:rsid w:val="00800BB3"/>
    <w:rsid w:val="00800DA0"/>
    <w:rsid w:val="00800E10"/>
    <w:rsid w:val="00801021"/>
    <w:rsid w:val="0080116E"/>
    <w:rsid w:val="0080120E"/>
    <w:rsid w:val="008012E1"/>
    <w:rsid w:val="00801356"/>
    <w:rsid w:val="008013EE"/>
    <w:rsid w:val="008014F6"/>
    <w:rsid w:val="008015C8"/>
    <w:rsid w:val="008016A4"/>
    <w:rsid w:val="008017E2"/>
    <w:rsid w:val="0080187D"/>
    <w:rsid w:val="00801936"/>
    <w:rsid w:val="00801A6D"/>
    <w:rsid w:val="00801AF0"/>
    <w:rsid w:val="00801BEE"/>
    <w:rsid w:val="00801C18"/>
    <w:rsid w:val="00801CEF"/>
    <w:rsid w:val="00801D86"/>
    <w:rsid w:val="00801E20"/>
    <w:rsid w:val="00801F0A"/>
    <w:rsid w:val="00801FB3"/>
    <w:rsid w:val="00802046"/>
    <w:rsid w:val="0080211D"/>
    <w:rsid w:val="008024F0"/>
    <w:rsid w:val="00802536"/>
    <w:rsid w:val="008025AA"/>
    <w:rsid w:val="008025F4"/>
    <w:rsid w:val="008026C9"/>
    <w:rsid w:val="008027F7"/>
    <w:rsid w:val="008028CD"/>
    <w:rsid w:val="00802A08"/>
    <w:rsid w:val="00802ADF"/>
    <w:rsid w:val="00802B81"/>
    <w:rsid w:val="00802D8F"/>
    <w:rsid w:val="00802EB4"/>
    <w:rsid w:val="00802ECC"/>
    <w:rsid w:val="0080305F"/>
    <w:rsid w:val="0080309C"/>
    <w:rsid w:val="00803253"/>
    <w:rsid w:val="008032E9"/>
    <w:rsid w:val="0080331E"/>
    <w:rsid w:val="00803375"/>
    <w:rsid w:val="00803417"/>
    <w:rsid w:val="00803570"/>
    <w:rsid w:val="00803587"/>
    <w:rsid w:val="00803689"/>
    <w:rsid w:val="008036F6"/>
    <w:rsid w:val="00803701"/>
    <w:rsid w:val="00803832"/>
    <w:rsid w:val="00803887"/>
    <w:rsid w:val="008038EC"/>
    <w:rsid w:val="008039D3"/>
    <w:rsid w:val="00803D58"/>
    <w:rsid w:val="00803D61"/>
    <w:rsid w:val="00803E47"/>
    <w:rsid w:val="008040A2"/>
    <w:rsid w:val="0080421E"/>
    <w:rsid w:val="00804225"/>
    <w:rsid w:val="00804249"/>
    <w:rsid w:val="008042B1"/>
    <w:rsid w:val="0080444A"/>
    <w:rsid w:val="00804504"/>
    <w:rsid w:val="00804520"/>
    <w:rsid w:val="00804632"/>
    <w:rsid w:val="008047CE"/>
    <w:rsid w:val="00804AAF"/>
    <w:rsid w:val="00804BE7"/>
    <w:rsid w:val="00804CA1"/>
    <w:rsid w:val="00804DD5"/>
    <w:rsid w:val="00805098"/>
    <w:rsid w:val="00805219"/>
    <w:rsid w:val="00805416"/>
    <w:rsid w:val="0080546F"/>
    <w:rsid w:val="0080547D"/>
    <w:rsid w:val="008054D9"/>
    <w:rsid w:val="008056A6"/>
    <w:rsid w:val="008056C3"/>
    <w:rsid w:val="00805734"/>
    <w:rsid w:val="008058FB"/>
    <w:rsid w:val="00805A09"/>
    <w:rsid w:val="00805A82"/>
    <w:rsid w:val="00805A94"/>
    <w:rsid w:val="00805A95"/>
    <w:rsid w:val="00805AA7"/>
    <w:rsid w:val="00805B18"/>
    <w:rsid w:val="00805BE0"/>
    <w:rsid w:val="00805E21"/>
    <w:rsid w:val="00805F21"/>
    <w:rsid w:val="00805F2A"/>
    <w:rsid w:val="00806041"/>
    <w:rsid w:val="008060CF"/>
    <w:rsid w:val="008060E7"/>
    <w:rsid w:val="008062A0"/>
    <w:rsid w:val="00806433"/>
    <w:rsid w:val="0080653F"/>
    <w:rsid w:val="0080659E"/>
    <w:rsid w:val="008065AC"/>
    <w:rsid w:val="00806614"/>
    <w:rsid w:val="00806688"/>
    <w:rsid w:val="00806836"/>
    <w:rsid w:val="00806ABB"/>
    <w:rsid w:val="00806AE0"/>
    <w:rsid w:val="00806EFA"/>
    <w:rsid w:val="00806F78"/>
    <w:rsid w:val="00806FA0"/>
    <w:rsid w:val="00807107"/>
    <w:rsid w:val="0080711F"/>
    <w:rsid w:val="00807245"/>
    <w:rsid w:val="0080732B"/>
    <w:rsid w:val="00807373"/>
    <w:rsid w:val="0080759C"/>
    <w:rsid w:val="008077FC"/>
    <w:rsid w:val="00807902"/>
    <w:rsid w:val="00807A3E"/>
    <w:rsid w:val="00807A7B"/>
    <w:rsid w:val="00807B42"/>
    <w:rsid w:val="00807B75"/>
    <w:rsid w:val="00807BDF"/>
    <w:rsid w:val="00807D5A"/>
    <w:rsid w:val="00807D9A"/>
    <w:rsid w:val="00807E1B"/>
    <w:rsid w:val="00807E8D"/>
    <w:rsid w:val="00807F11"/>
    <w:rsid w:val="00807FFA"/>
    <w:rsid w:val="008102D0"/>
    <w:rsid w:val="00810338"/>
    <w:rsid w:val="008105A4"/>
    <w:rsid w:val="00810760"/>
    <w:rsid w:val="00810907"/>
    <w:rsid w:val="008109DE"/>
    <w:rsid w:val="00810A36"/>
    <w:rsid w:val="00810A94"/>
    <w:rsid w:val="00810AFD"/>
    <w:rsid w:val="00810CDD"/>
    <w:rsid w:val="00810F65"/>
    <w:rsid w:val="0081100B"/>
    <w:rsid w:val="0081119B"/>
    <w:rsid w:val="008111F5"/>
    <w:rsid w:val="0081125D"/>
    <w:rsid w:val="008113F6"/>
    <w:rsid w:val="00811476"/>
    <w:rsid w:val="0081151E"/>
    <w:rsid w:val="00811688"/>
    <w:rsid w:val="008117B2"/>
    <w:rsid w:val="00811AD8"/>
    <w:rsid w:val="00811B4E"/>
    <w:rsid w:val="00811CCE"/>
    <w:rsid w:val="00811EE6"/>
    <w:rsid w:val="00811F2E"/>
    <w:rsid w:val="00811FEB"/>
    <w:rsid w:val="00812086"/>
    <w:rsid w:val="00812143"/>
    <w:rsid w:val="00812174"/>
    <w:rsid w:val="00812207"/>
    <w:rsid w:val="00812282"/>
    <w:rsid w:val="00812328"/>
    <w:rsid w:val="008124F9"/>
    <w:rsid w:val="00812726"/>
    <w:rsid w:val="0081287D"/>
    <w:rsid w:val="00812885"/>
    <w:rsid w:val="008128A4"/>
    <w:rsid w:val="0081292F"/>
    <w:rsid w:val="008129ED"/>
    <w:rsid w:val="00812A2F"/>
    <w:rsid w:val="00812B65"/>
    <w:rsid w:val="00812BB5"/>
    <w:rsid w:val="00812BF9"/>
    <w:rsid w:val="00812C52"/>
    <w:rsid w:val="00812CCE"/>
    <w:rsid w:val="00812D21"/>
    <w:rsid w:val="00812D6F"/>
    <w:rsid w:val="00812EA6"/>
    <w:rsid w:val="00812FF5"/>
    <w:rsid w:val="008130AD"/>
    <w:rsid w:val="0081328B"/>
    <w:rsid w:val="0081329F"/>
    <w:rsid w:val="00813382"/>
    <w:rsid w:val="008134CD"/>
    <w:rsid w:val="0081351A"/>
    <w:rsid w:val="0081351D"/>
    <w:rsid w:val="0081360C"/>
    <w:rsid w:val="008136CC"/>
    <w:rsid w:val="0081395D"/>
    <w:rsid w:val="00813A1F"/>
    <w:rsid w:val="00813CBC"/>
    <w:rsid w:val="0081405C"/>
    <w:rsid w:val="0081424C"/>
    <w:rsid w:val="0081465E"/>
    <w:rsid w:val="008146B9"/>
    <w:rsid w:val="00814784"/>
    <w:rsid w:val="008147B9"/>
    <w:rsid w:val="008148E4"/>
    <w:rsid w:val="008148F8"/>
    <w:rsid w:val="00814A7E"/>
    <w:rsid w:val="00814AA4"/>
    <w:rsid w:val="00814C1C"/>
    <w:rsid w:val="00814CE9"/>
    <w:rsid w:val="00814E59"/>
    <w:rsid w:val="00814E8C"/>
    <w:rsid w:val="00814EBC"/>
    <w:rsid w:val="00814ED9"/>
    <w:rsid w:val="00814F46"/>
    <w:rsid w:val="008150E0"/>
    <w:rsid w:val="00815129"/>
    <w:rsid w:val="0081518B"/>
    <w:rsid w:val="008151CC"/>
    <w:rsid w:val="008151DE"/>
    <w:rsid w:val="008152D5"/>
    <w:rsid w:val="00815346"/>
    <w:rsid w:val="0081547A"/>
    <w:rsid w:val="008155C2"/>
    <w:rsid w:val="0081569E"/>
    <w:rsid w:val="0081575D"/>
    <w:rsid w:val="00815773"/>
    <w:rsid w:val="00815788"/>
    <w:rsid w:val="008157F1"/>
    <w:rsid w:val="0081583A"/>
    <w:rsid w:val="00815904"/>
    <w:rsid w:val="00815A67"/>
    <w:rsid w:val="00815B5E"/>
    <w:rsid w:val="00815BA5"/>
    <w:rsid w:val="00815C58"/>
    <w:rsid w:val="00815CD0"/>
    <w:rsid w:val="00815D34"/>
    <w:rsid w:val="00815D6A"/>
    <w:rsid w:val="00815DE9"/>
    <w:rsid w:val="00815F30"/>
    <w:rsid w:val="00815F4E"/>
    <w:rsid w:val="00815FA6"/>
    <w:rsid w:val="0081600C"/>
    <w:rsid w:val="00816034"/>
    <w:rsid w:val="0081606F"/>
    <w:rsid w:val="008160DA"/>
    <w:rsid w:val="008161A1"/>
    <w:rsid w:val="0081647C"/>
    <w:rsid w:val="0081668A"/>
    <w:rsid w:val="008167A1"/>
    <w:rsid w:val="008169F9"/>
    <w:rsid w:val="00816BAF"/>
    <w:rsid w:val="00816C22"/>
    <w:rsid w:val="00816C68"/>
    <w:rsid w:val="00816D58"/>
    <w:rsid w:val="00816D74"/>
    <w:rsid w:val="00816E81"/>
    <w:rsid w:val="00816EC2"/>
    <w:rsid w:val="00817035"/>
    <w:rsid w:val="00817056"/>
    <w:rsid w:val="0081713B"/>
    <w:rsid w:val="00817216"/>
    <w:rsid w:val="0081721D"/>
    <w:rsid w:val="00817395"/>
    <w:rsid w:val="008173CA"/>
    <w:rsid w:val="0081749B"/>
    <w:rsid w:val="008174A3"/>
    <w:rsid w:val="008176D7"/>
    <w:rsid w:val="008177DB"/>
    <w:rsid w:val="008178CE"/>
    <w:rsid w:val="008178F6"/>
    <w:rsid w:val="00817987"/>
    <w:rsid w:val="00817C02"/>
    <w:rsid w:val="00817CA5"/>
    <w:rsid w:val="00817D2A"/>
    <w:rsid w:val="00817FE0"/>
    <w:rsid w:val="00820140"/>
    <w:rsid w:val="0082015A"/>
    <w:rsid w:val="008201A1"/>
    <w:rsid w:val="008201A2"/>
    <w:rsid w:val="00820219"/>
    <w:rsid w:val="0082030B"/>
    <w:rsid w:val="008204B4"/>
    <w:rsid w:val="008205B2"/>
    <w:rsid w:val="00820668"/>
    <w:rsid w:val="008206A3"/>
    <w:rsid w:val="0082095F"/>
    <w:rsid w:val="008209B8"/>
    <w:rsid w:val="008209FE"/>
    <w:rsid w:val="00820A0D"/>
    <w:rsid w:val="00820BB9"/>
    <w:rsid w:val="00820C34"/>
    <w:rsid w:val="00820DB2"/>
    <w:rsid w:val="00820DE9"/>
    <w:rsid w:val="00820F87"/>
    <w:rsid w:val="00820FB4"/>
    <w:rsid w:val="00820FF5"/>
    <w:rsid w:val="008210F1"/>
    <w:rsid w:val="0082114A"/>
    <w:rsid w:val="008212D0"/>
    <w:rsid w:val="008213E2"/>
    <w:rsid w:val="008214F3"/>
    <w:rsid w:val="008218AE"/>
    <w:rsid w:val="008218E7"/>
    <w:rsid w:val="008219B0"/>
    <w:rsid w:val="00821A7A"/>
    <w:rsid w:val="00821AC0"/>
    <w:rsid w:val="00821C34"/>
    <w:rsid w:val="00821C72"/>
    <w:rsid w:val="00821C96"/>
    <w:rsid w:val="00821D22"/>
    <w:rsid w:val="00821DAE"/>
    <w:rsid w:val="00821E29"/>
    <w:rsid w:val="00821E3E"/>
    <w:rsid w:val="00821E63"/>
    <w:rsid w:val="008220D8"/>
    <w:rsid w:val="008220F7"/>
    <w:rsid w:val="0082211A"/>
    <w:rsid w:val="00822208"/>
    <w:rsid w:val="008222B7"/>
    <w:rsid w:val="008227EB"/>
    <w:rsid w:val="0082281E"/>
    <w:rsid w:val="00822887"/>
    <w:rsid w:val="0082291B"/>
    <w:rsid w:val="00822A4C"/>
    <w:rsid w:val="00822A78"/>
    <w:rsid w:val="00822C7F"/>
    <w:rsid w:val="0082300E"/>
    <w:rsid w:val="0082302A"/>
    <w:rsid w:val="008231AF"/>
    <w:rsid w:val="008236E1"/>
    <w:rsid w:val="0082373E"/>
    <w:rsid w:val="0082380D"/>
    <w:rsid w:val="00823821"/>
    <w:rsid w:val="00823AB0"/>
    <w:rsid w:val="00823C78"/>
    <w:rsid w:val="00823C7D"/>
    <w:rsid w:val="00823C82"/>
    <w:rsid w:val="00823D6B"/>
    <w:rsid w:val="00823D71"/>
    <w:rsid w:val="00823F14"/>
    <w:rsid w:val="00824002"/>
    <w:rsid w:val="00824252"/>
    <w:rsid w:val="008242F8"/>
    <w:rsid w:val="0082430F"/>
    <w:rsid w:val="00824329"/>
    <w:rsid w:val="00824458"/>
    <w:rsid w:val="008244B5"/>
    <w:rsid w:val="0082465D"/>
    <w:rsid w:val="008247F9"/>
    <w:rsid w:val="008249F7"/>
    <w:rsid w:val="00824A19"/>
    <w:rsid w:val="00824AAC"/>
    <w:rsid w:val="00824B6E"/>
    <w:rsid w:val="00824B74"/>
    <w:rsid w:val="00824BB4"/>
    <w:rsid w:val="00824D55"/>
    <w:rsid w:val="00824EA2"/>
    <w:rsid w:val="00824EF1"/>
    <w:rsid w:val="00825016"/>
    <w:rsid w:val="0082504D"/>
    <w:rsid w:val="0082507B"/>
    <w:rsid w:val="00825154"/>
    <w:rsid w:val="008251EA"/>
    <w:rsid w:val="0082563F"/>
    <w:rsid w:val="008256EB"/>
    <w:rsid w:val="00825729"/>
    <w:rsid w:val="008259A2"/>
    <w:rsid w:val="008259B4"/>
    <w:rsid w:val="00825A74"/>
    <w:rsid w:val="00825C31"/>
    <w:rsid w:val="00825D1E"/>
    <w:rsid w:val="00825F8D"/>
    <w:rsid w:val="0082616A"/>
    <w:rsid w:val="0082623F"/>
    <w:rsid w:val="00826297"/>
    <w:rsid w:val="008264D0"/>
    <w:rsid w:val="00826523"/>
    <w:rsid w:val="008269A0"/>
    <w:rsid w:val="00826A95"/>
    <w:rsid w:val="00826AC8"/>
    <w:rsid w:val="00826D1B"/>
    <w:rsid w:val="00826D2E"/>
    <w:rsid w:val="00826F89"/>
    <w:rsid w:val="00827027"/>
    <w:rsid w:val="008270D3"/>
    <w:rsid w:val="0082720A"/>
    <w:rsid w:val="0082749B"/>
    <w:rsid w:val="00827590"/>
    <w:rsid w:val="008276FE"/>
    <w:rsid w:val="00827769"/>
    <w:rsid w:val="008277FF"/>
    <w:rsid w:val="008278E3"/>
    <w:rsid w:val="00827C24"/>
    <w:rsid w:val="00827D0E"/>
    <w:rsid w:val="00827E0D"/>
    <w:rsid w:val="00827FCA"/>
    <w:rsid w:val="008300E7"/>
    <w:rsid w:val="00830167"/>
    <w:rsid w:val="00830227"/>
    <w:rsid w:val="008305D1"/>
    <w:rsid w:val="008306E7"/>
    <w:rsid w:val="0083074E"/>
    <w:rsid w:val="00830773"/>
    <w:rsid w:val="008307E7"/>
    <w:rsid w:val="0083090B"/>
    <w:rsid w:val="008309B5"/>
    <w:rsid w:val="00830A2E"/>
    <w:rsid w:val="00830A95"/>
    <w:rsid w:val="00830A9E"/>
    <w:rsid w:val="00830B07"/>
    <w:rsid w:val="00830BA5"/>
    <w:rsid w:val="00830C1B"/>
    <w:rsid w:val="00830CF1"/>
    <w:rsid w:val="00830D01"/>
    <w:rsid w:val="00830DAD"/>
    <w:rsid w:val="0083118A"/>
    <w:rsid w:val="0083136D"/>
    <w:rsid w:val="008313C7"/>
    <w:rsid w:val="008313D5"/>
    <w:rsid w:val="00831685"/>
    <w:rsid w:val="008318C5"/>
    <w:rsid w:val="00831989"/>
    <w:rsid w:val="00831B1B"/>
    <w:rsid w:val="00831D38"/>
    <w:rsid w:val="00831F4B"/>
    <w:rsid w:val="008321FA"/>
    <w:rsid w:val="0083227F"/>
    <w:rsid w:val="00832487"/>
    <w:rsid w:val="00832708"/>
    <w:rsid w:val="0083294A"/>
    <w:rsid w:val="00832AD8"/>
    <w:rsid w:val="00832AEF"/>
    <w:rsid w:val="00832DCA"/>
    <w:rsid w:val="00832DFE"/>
    <w:rsid w:val="00833097"/>
    <w:rsid w:val="00833278"/>
    <w:rsid w:val="008332AA"/>
    <w:rsid w:val="00833354"/>
    <w:rsid w:val="00833420"/>
    <w:rsid w:val="0083344B"/>
    <w:rsid w:val="008334DE"/>
    <w:rsid w:val="0083357D"/>
    <w:rsid w:val="008335E2"/>
    <w:rsid w:val="0083362E"/>
    <w:rsid w:val="00833657"/>
    <w:rsid w:val="008337C9"/>
    <w:rsid w:val="008337FD"/>
    <w:rsid w:val="00833917"/>
    <w:rsid w:val="0083394A"/>
    <w:rsid w:val="00833954"/>
    <w:rsid w:val="00833A34"/>
    <w:rsid w:val="00833ABE"/>
    <w:rsid w:val="00833B95"/>
    <w:rsid w:val="00833BAA"/>
    <w:rsid w:val="00833D2F"/>
    <w:rsid w:val="00833D62"/>
    <w:rsid w:val="00833E5A"/>
    <w:rsid w:val="0083412B"/>
    <w:rsid w:val="00834133"/>
    <w:rsid w:val="0083426B"/>
    <w:rsid w:val="008342B6"/>
    <w:rsid w:val="0083460C"/>
    <w:rsid w:val="00834867"/>
    <w:rsid w:val="00834949"/>
    <w:rsid w:val="00834A57"/>
    <w:rsid w:val="00834ADD"/>
    <w:rsid w:val="00834C5E"/>
    <w:rsid w:val="00834D10"/>
    <w:rsid w:val="00834DB6"/>
    <w:rsid w:val="00834DFD"/>
    <w:rsid w:val="00834ECB"/>
    <w:rsid w:val="00835102"/>
    <w:rsid w:val="00835257"/>
    <w:rsid w:val="00835435"/>
    <w:rsid w:val="008354ED"/>
    <w:rsid w:val="008355FA"/>
    <w:rsid w:val="008358C8"/>
    <w:rsid w:val="008358E8"/>
    <w:rsid w:val="00835925"/>
    <w:rsid w:val="00835CB1"/>
    <w:rsid w:val="00835D16"/>
    <w:rsid w:val="00835E18"/>
    <w:rsid w:val="00835E88"/>
    <w:rsid w:val="00835EC9"/>
    <w:rsid w:val="00835F51"/>
    <w:rsid w:val="00835F98"/>
    <w:rsid w:val="00835FCD"/>
    <w:rsid w:val="00835FE5"/>
    <w:rsid w:val="00836005"/>
    <w:rsid w:val="0083607F"/>
    <w:rsid w:val="0083629D"/>
    <w:rsid w:val="008362F6"/>
    <w:rsid w:val="00836419"/>
    <w:rsid w:val="0083678D"/>
    <w:rsid w:val="008367C6"/>
    <w:rsid w:val="0083694E"/>
    <w:rsid w:val="00836989"/>
    <w:rsid w:val="00836BAD"/>
    <w:rsid w:val="00836BB0"/>
    <w:rsid w:val="00836CE7"/>
    <w:rsid w:val="00836E57"/>
    <w:rsid w:val="00837006"/>
    <w:rsid w:val="008372C0"/>
    <w:rsid w:val="008373D7"/>
    <w:rsid w:val="008374B7"/>
    <w:rsid w:val="0083754F"/>
    <w:rsid w:val="00837572"/>
    <w:rsid w:val="00837589"/>
    <w:rsid w:val="008375CF"/>
    <w:rsid w:val="008375F2"/>
    <w:rsid w:val="008376C4"/>
    <w:rsid w:val="00837AF4"/>
    <w:rsid w:val="00837CA0"/>
    <w:rsid w:val="00837E29"/>
    <w:rsid w:val="00837E5B"/>
    <w:rsid w:val="008400CE"/>
    <w:rsid w:val="008400D9"/>
    <w:rsid w:val="00840219"/>
    <w:rsid w:val="0084029C"/>
    <w:rsid w:val="00840561"/>
    <w:rsid w:val="00840606"/>
    <w:rsid w:val="00840642"/>
    <w:rsid w:val="0084072E"/>
    <w:rsid w:val="00840853"/>
    <w:rsid w:val="00840E11"/>
    <w:rsid w:val="0084102B"/>
    <w:rsid w:val="008411C1"/>
    <w:rsid w:val="008411DD"/>
    <w:rsid w:val="00841225"/>
    <w:rsid w:val="00841350"/>
    <w:rsid w:val="0084137C"/>
    <w:rsid w:val="00841388"/>
    <w:rsid w:val="00841409"/>
    <w:rsid w:val="0084146C"/>
    <w:rsid w:val="008415CF"/>
    <w:rsid w:val="008415E8"/>
    <w:rsid w:val="00841806"/>
    <w:rsid w:val="00841817"/>
    <w:rsid w:val="00841969"/>
    <w:rsid w:val="0084197C"/>
    <w:rsid w:val="00841BE1"/>
    <w:rsid w:val="00841C0C"/>
    <w:rsid w:val="00841C8D"/>
    <w:rsid w:val="00841E38"/>
    <w:rsid w:val="00841E4C"/>
    <w:rsid w:val="00841EFB"/>
    <w:rsid w:val="00841F44"/>
    <w:rsid w:val="00842275"/>
    <w:rsid w:val="00842276"/>
    <w:rsid w:val="0084250D"/>
    <w:rsid w:val="00842820"/>
    <w:rsid w:val="008428AE"/>
    <w:rsid w:val="008428CE"/>
    <w:rsid w:val="008428FD"/>
    <w:rsid w:val="00842BD7"/>
    <w:rsid w:val="00842C82"/>
    <w:rsid w:val="00842D06"/>
    <w:rsid w:val="00842E9B"/>
    <w:rsid w:val="00842F88"/>
    <w:rsid w:val="00842F8D"/>
    <w:rsid w:val="0084307D"/>
    <w:rsid w:val="00843127"/>
    <w:rsid w:val="0084327D"/>
    <w:rsid w:val="00843290"/>
    <w:rsid w:val="008432A2"/>
    <w:rsid w:val="00843441"/>
    <w:rsid w:val="00843451"/>
    <w:rsid w:val="00843513"/>
    <w:rsid w:val="008436BB"/>
    <w:rsid w:val="008436D7"/>
    <w:rsid w:val="00843957"/>
    <w:rsid w:val="00843958"/>
    <w:rsid w:val="00843995"/>
    <w:rsid w:val="00843A88"/>
    <w:rsid w:val="00843BF3"/>
    <w:rsid w:val="00843C71"/>
    <w:rsid w:val="00843C78"/>
    <w:rsid w:val="00843DBF"/>
    <w:rsid w:val="0084401C"/>
    <w:rsid w:val="008440FE"/>
    <w:rsid w:val="0084411D"/>
    <w:rsid w:val="0084429B"/>
    <w:rsid w:val="00844374"/>
    <w:rsid w:val="00844450"/>
    <w:rsid w:val="00844556"/>
    <w:rsid w:val="0084455E"/>
    <w:rsid w:val="0084459B"/>
    <w:rsid w:val="0084459C"/>
    <w:rsid w:val="008445F0"/>
    <w:rsid w:val="00844652"/>
    <w:rsid w:val="00844726"/>
    <w:rsid w:val="008449D0"/>
    <w:rsid w:val="00844C9E"/>
    <w:rsid w:val="00844CBF"/>
    <w:rsid w:val="00844D07"/>
    <w:rsid w:val="00844D65"/>
    <w:rsid w:val="00844DC5"/>
    <w:rsid w:val="00844F42"/>
    <w:rsid w:val="0084507A"/>
    <w:rsid w:val="008450E5"/>
    <w:rsid w:val="0084511E"/>
    <w:rsid w:val="00845158"/>
    <w:rsid w:val="0084524B"/>
    <w:rsid w:val="00845284"/>
    <w:rsid w:val="00845339"/>
    <w:rsid w:val="00845381"/>
    <w:rsid w:val="0084547B"/>
    <w:rsid w:val="0084547E"/>
    <w:rsid w:val="008454AA"/>
    <w:rsid w:val="00845523"/>
    <w:rsid w:val="00845657"/>
    <w:rsid w:val="008456EF"/>
    <w:rsid w:val="00845730"/>
    <w:rsid w:val="00845953"/>
    <w:rsid w:val="00845A61"/>
    <w:rsid w:val="00845B91"/>
    <w:rsid w:val="00845DBB"/>
    <w:rsid w:val="00845EE4"/>
    <w:rsid w:val="00846119"/>
    <w:rsid w:val="008461A8"/>
    <w:rsid w:val="008461EF"/>
    <w:rsid w:val="008463CC"/>
    <w:rsid w:val="008463CD"/>
    <w:rsid w:val="00846597"/>
    <w:rsid w:val="008466AF"/>
    <w:rsid w:val="00846977"/>
    <w:rsid w:val="00846A8F"/>
    <w:rsid w:val="00846E0C"/>
    <w:rsid w:val="00847054"/>
    <w:rsid w:val="00847125"/>
    <w:rsid w:val="008474E3"/>
    <w:rsid w:val="00847650"/>
    <w:rsid w:val="00847754"/>
    <w:rsid w:val="00847877"/>
    <w:rsid w:val="00847AA0"/>
    <w:rsid w:val="00847ADB"/>
    <w:rsid w:val="00847BD4"/>
    <w:rsid w:val="00847BD7"/>
    <w:rsid w:val="00847CBF"/>
    <w:rsid w:val="00847DBC"/>
    <w:rsid w:val="00847FD7"/>
    <w:rsid w:val="00850410"/>
    <w:rsid w:val="0085046B"/>
    <w:rsid w:val="00850513"/>
    <w:rsid w:val="00850749"/>
    <w:rsid w:val="0085079D"/>
    <w:rsid w:val="0085095A"/>
    <w:rsid w:val="008509F3"/>
    <w:rsid w:val="00850A02"/>
    <w:rsid w:val="00850A11"/>
    <w:rsid w:val="00850D18"/>
    <w:rsid w:val="00850F25"/>
    <w:rsid w:val="0085109C"/>
    <w:rsid w:val="0085110C"/>
    <w:rsid w:val="008513B3"/>
    <w:rsid w:val="008513D9"/>
    <w:rsid w:val="008513DD"/>
    <w:rsid w:val="008513FE"/>
    <w:rsid w:val="008515ED"/>
    <w:rsid w:val="008518FF"/>
    <w:rsid w:val="00851BEF"/>
    <w:rsid w:val="00851BF7"/>
    <w:rsid w:val="00851D5A"/>
    <w:rsid w:val="00851DE2"/>
    <w:rsid w:val="00851F2A"/>
    <w:rsid w:val="0085209A"/>
    <w:rsid w:val="008520FD"/>
    <w:rsid w:val="00852101"/>
    <w:rsid w:val="00852152"/>
    <w:rsid w:val="0085228E"/>
    <w:rsid w:val="008522C2"/>
    <w:rsid w:val="008524F6"/>
    <w:rsid w:val="00852505"/>
    <w:rsid w:val="00852588"/>
    <w:rsid w:val="008525D9"/>
    <w:rsid w:val="008527ED"/>
    <w:rsid w:val="008528B7"/>
    <w:rsid w:val="008528D2"/>
    <w:rsid w:val="00852A26"/>
    <w:rsid w:val="00852A54"/>
    <w:rsid w:val="00852AB5"/>
    <w:rsid w:val="00852B95"/>
    <w:rsid w:val="00852C26"/>
    <w:rsid w:val="00852EB1"/>
    <w:rsid w:val="00852F54"/>
    <w:rsid w:val="0085337A"/>
    <w:rsid w:val="008535F2"/>
    <w:rsid w:val="008536BB"/>
    <w:rsid w:val="008536BE"/>
    <w:rsid w:val="008537DD"/>
    <w:rsid w:val="008537F7"/>
    <w:rsid w:val="008538BD"/>
    <w:rsid w:val="008538C1"/>
    <w:rsid w:val="00853B60"/>
    <w:rsid w:val="00853B92"/>
    <w:rsid w:val="00853D1C"/>
    <w:rsid w:val="00853D26"/>
    <w:rsid w:val="00853ED9"/>
    <w:rsid w:val="00853EDA"/>
    <w:rsid w:val="00853F97"/>
    <w:rsid w:val="00854156"/>
    <w:rsid w:val="0085415B"/>
    <w:rsid w:val="00854164"/>
    <w:rsid w:val="0085419E"/>
    <w:rsid w:val="008541E6"/>
    <w:rsid w:val="008542B1"/>
    <w:rsid w:val="0085443A"/>
    <w:rsid w:val="00854540"/>
    <w:rsid w:val="008546BE"/>
    <w:rsid w:val="008547EA"/>
    <w:rsid w:val="0085481E"/>
    <w:rsid w:val="00854908"/>
    <w:rsid w:val="00854956"/>
    <w:rsid w:val="0085497E"/>
    <w:rsid w:val="008549E5"/>
    <w:rsid w:val="00854CA2"/>
    <w:rsid w:val="00854CC6"/>
    <w:rsid w:val="00854CF1"/>
    <w:rsid w:val="00854D9B"/>
    <w:rsid w:val="00854F20"/>
    <w:rsid w:val="00854F7B"/>
    <w:rsid w:val="00855043"/>
    <w:rsid w:val="008550F5"/>
    <w:rsid w:val="008551D1"/>
    <w:rsid w:val="008552F2"/>
    <w:rsid w:val="00855327"/>
    <w:rsid w:val="0085532E"/>
    <w:rsid w:val="008553C4"/>
    <w:rsid w:val="0085569E"/>
    <w:rsid w:val="008557C1"/>
    <w:rsid w:val="00855842"/>
    <w:rsid w:val="008558DC"/>
    <w:rsid w:val="008559AA"/>
    <w:rsid w:val="00855A3C"/>
    <w:rsid w:val="00855A54"/>
    <w:rsid w:val="00855A95"/>
    <w:rsid w:val="00855ABE"/>
    <w:rsid w:val="00855ADB"/>
    <w:rsid w:val="00855AF2"/>
    <w:rsid w:val="00855BB5"/>
    <w:rsid w:val="00855C22"/>
    <w:rsid w:val="00855C8E"/>
    <w:rsid w:val="00855DAC"/>
    <w:rsid w:val="00855E4A"/>
    <w:rsid w:val="00855E88"/>
    <w:rsid w:val="00855FE3"/>
    <w:rsid w:val="00856074"/>
    <w:rsid w:val="0085609D"/>
    <w:rsid w:val="008560F5"/>
    <w:rsid w:val="008560FD"/>
    <w:rsid w:val="00856144"/>
    <w:rsid w:val="008561FB"/>
    <w:rsid w:val="00856310"/>
    <w:rsid w:val="00856636"/>
    <w:rsid w:val="00856845"/>
    <w:rsid w:val="008568EE"/>
    <w:rsid w:val="00856A84"/>
    <w:rsid w:val="00856B25"/>
    <w:rsid w:val="00856DBB"/>
    <w:rsid w:val="00856DE4"/>
    <w:rsid w:val="00856E0B"/>
    <w:rsid w:val="00856F27"/>
    <w:rsid w:val="00856F5A"/>
    <w:rsid w:val="00856FBF"/>
    <w:rsid w:val="00857207"/>
    <w:rsid w:val="0085723F"/>
    <w:rsid w:val="00857338"/>
    <w:rsid w:val="0085762C"/>
    <w:rsid w:val="008576CF"/>
    <w:rsid w:val="0085777D"/>
    <w:rsid w:val="00857949"/>
    <w:rsid w:val="00857A8E"/>
    <w:rsid w:val="00857D03"/>
    <w:rsid w:val="00857D58"/>
    <w:rsid w:val="00857EF9"/>
    <w:rsid w:val="0086002A"/>
    <w:rsid w:val="0086004E"/>
    <w:rsid w:val="008600D7"/>
    <w:rsid w:val="0086016F"/>
    <w:rsid w:val="00860349"/>
    <w:rsid w:val="0086039A"/>
    <w:rsid w:val="0086043E"/>
    <w:rsid w:val="0086047F"/>
    <w:rsid w:val="008605AB"/>
    <w:rsid w:val="008605DD"/>
    <w:rsid w:val="0086066E"/>
    <w:rsid w:val="00860836"/>
    <w:rsid w:val="00860837"/>
    <w:rsid w:val="00860A4B"/>
    <w:rsid w:val="00860A91"/>
    <w:rsid w:val="00860B2D"/>
    <w:rsid w:val="00860C96"/>
    <w:rsid w:val="00860CBC"/>
    <w:rsid w:val="00860ECD"/>
    <w:rsid w:val="00860F5A"/>
    <w:rsid w:val="00860FDC"/>
    <w:rsid w:val="0086103F"/>
    <w:rsid w:val="00861083"/>
    <w:rsid w:val="0086114C"/>
    <w:rsid w:val="0086118F"/>
    <w:rsid w:val="0086121F"/>
    <w:rsid w:val="00861273"/>
    <w:rsid w:val="0086146F"/>
    <w:rsid w:val="00861523"/>
    <w:rsid w:val="00861A1E"/>
    <w:rsid w:val="00861A8C"/>
    <w:rsid w:val="00861AC5"/>
    <w:rsid w:val="00861C0C"/>
    <w:rsid w:val="008622AB"/>
    <w:rsid w:val="00862356"/>
    <w:rsid w:val="0086236C"/>
    <w:rsid w:val="00862391"/>
    <w:rsid w:val="008624EA"/>
    <w:rsid w:val="008625B5"/>
    <w:rsid w:val="00862648"/>
    <w:rsid w:val="0086289F"/>
    <w:rsid w:val="00862974"/>
    <w:rsid w:val="00862985"/>
    <w:rsid w:val="008629F0"/>
    <w:rsid w:val="00862A7A"/>
    <w:rsid w:val="00862B28"/>
    <w:rsid w:val="00862C5E"/>
    <w:rsid w:val="00862EDA"/>
    <w:rsid w:val="0086300D"/>
    <w:rsid w:val="00863024"/>
    <w:rsid w:val="00863069"/>
    <w:rsid w:val="00863086"/>
    <w:rsid w:val="008631D5"/>
    <w:rsid w:val="00863439"/>
    <w:rsid w:val="008634D7"/>
    <w:rsid w:val="0086365B"/>
    <w:rsid w:val="00863688"/>
    <w:rsid w:val="00863749"/>
    <w:rsid w:val="00863B83"/>
    <w:rsid w:val="00863C71"/>
    <w:rsid w:val="00863C76"/>
    <w:rsid w:val="00863E94"/>
    <w:rsid w:val="00863EDB"/>
    <w:rsid w:val="00864017"/>
    <w:rsid w:val="00864103"/>
    <w:rsid w:val="00864122"/>
    <w:rsid w:val="00864341"/>
    <w:rsid w:val="00864447"/>
    <w:rsid w:val="008646A8"/>
    <w:rsid w:val="00864766"/>
    <w:rsid w:val="00864795"/>
    <w:rsid w:val="0086482B"/>
    <w:rsid w:val="00864974"/>
    <w:rsid w:val="008649A3"/>
    <w:rsid w:val="00864A48"/>
    <w:rsid w:val="00864AB3"/>
    <w:rsid w:val="00864AD7"/>
    <w:rsid w:val="00864C0B"/>
    <w:rsid w:val="00864E78"/>
    <w:rsid w:val="00865000"/>
    <w:rsid w:val="00865035"/>
    <w:rsid w:val="008651CF"/>
    <w:rsid w:val="0086520E"/>
    <w:rsid w:val="008652E0"/>
    <w:rsid w:val="008653F8"/>
    <w:rsid w:val="0086540C"/>
    <w:rsid w:val="008654B9"/>
    <w:rsid w:val="00865A29"/>
    <w:rsid w:val="00865B1C"/>
    <w:rsid w:val="00865B7A"/>
    <w:rsid w:val="00865E3D"/>
    <w:rsid w:val="0086617C"/>
    <w:rsid w:val="0086619D"/>
    <w:rsid w:val="008661C9"/>
    <w:rsid w:val="008663E0"/>
    <w:rsid w:val="00866475"/>
    <w:rsid w:val="0086650C"/>
    <w:rsid w:val="0086667A"/>
    <w:rsid w:val="008666E9"/>
    <w:rsid w:val="0086685B"/>
    <w:rsid w:val="008668A1"/>
    <w:rsid w:val="00866A7C"/>
    <w:rsid w:val="00866AF5"/>
    <w:rsid w:val="00866BBC"/>
    <w:rsid w:val="00866D5B"/>
    <w:rsid w:val="00866E03"/>
    <w:rsid w:val="00866E62"/>
    <w:rsid w:val="00866E83"/>
    <w:rsid w:val="00867021"/>
    <w:rsid w:val="0086714A"/>
    <w:rsid w:val="00867153"/>
    <w:rsid w:val="00867159"/>
    <w:rsid w:val="008671DE"/>
    <w:rsid w:val="00867441"/>
    <w:rsid w:val="008675A3"/>
    <w:rsid w:val="00867704"/>
    <w:rsid w:val="0086779F"/>
    <w:rsid w:val="0086787A"/>
    <w:rsid w:val="008678F9"/>
    <w:rsid w:val="00867928"/>
    <w:rsid w:val="00867B06"/>
    <w:rsid w:val="00867C80"/>
    <w:rsid w:val="00867D6B"/>
    <w:rsid w:val="00867F1E"/>
    <w:rsid w:val="00867F3B"/>
    <w:rsid w:val="008701B1"/>
    <w:rsid w:val="008706A1"/>
    <w:rsid w:val="0087095A"/>
    <w:rsid w:val="00870E19"/>
    <w:rsid w:val="00871051"/>
    <w:rsid w:val="0087109E"/>
    <w:rsid w:val="0087116D"/>
    <w:rsid w:val="00871268"/>
    <w:rsid w:val="008712DB"/>
    <w:rsid w:val="008712F7"/>
    <w:rsid w:val="00871343"/>
    <w:rsid w:val="008713A8"/>
    <w:rsid w:val="008713E0"/>
    <w:rsid w:val="008717B2"/>
    <w:rsid w:val="008718E4"/>
    <w:rsid w:val="008719C2"/>
    <w:rsid w:val="008719CC"/>
    <w:rsid w:val="008719E1"/>
    <w:rsid w:val="008719F3"/>
    <w:rsid w:val="00871A25"/>
    <w:rsid w:val="00871A73"/>
    <w:rsid w:val="00871AFD"/>
    <w:rsid w:val="00871C06"/>
    <w:rsid w:val="00871F46"/>
    <w:rsid w:val="008720B4"/>
    <w:rsid w:val="00872384"/>
    <w:rsid w:val="00872474"/>
    <w:rsid w:val="0087277A"/>
    <w:rsid w:val="008727C6"/>
    <w:rsid w:val="008727D0"/>
    <w:rsid w:val="00872A47"/>
    <w:rsid w:val="00872B48"/>
    <w:rsid w:val="00872C4C"/>
    <w:rsid w:val="0087301F"/>
    <w:rsid w:val="008731CB"/>
    <w:rsid w:val="00873230"/>
    <w:rsid w:val="0087324D"/>
    <w:rsid w:val="00873252"/>
    <w:rsid w:val="0087335A"/>
    <w:rsid w:val="00873403"/>
    <w:rsid w:val="008734E7"/>
    <w:rsid w:val="00873544"/>
    <w:rsid w:val="0087363A"/>
    <w:rsid w:val="008736AD"/>
    <w:rsid w:val="008736E2"/>
    <w:rsid w:val="00873759"/>
    <w:rsid w:val="0087389D"/>
    <w:rsid w:val="00873957"/>
    <w:rsid w:val="0087395A"/>
    <w:rsid w:val="00873A9E"/>
    <w:rsid w:val="00873BAF"/>
    <w:rsid w:val="00873DB1"/>
    <w:rsid w:val="00873DD7"/>
    <w:rsid w:val="00873F2B"/>
    <w:rsid w:val="00873F2E"/>
    <w:rsid w:val="00873FA6"/>
    <w:rsid w:val="00874079"/>
    <w:rsid w:val="00874196"/>
    <w:rsid w:val="00874524"/>
    <w:rsid w:val="00874526"/>
    <w:rsid w:val="00874565"/>
    <w:rsid w:val="008746E1"/>
    <w:rsid w:val="008747FE"/>
    <w:rsid w:val="00874854"/>
    <w:rsid w:val="008748C7"/>
    <w:rsid w:val="00874A7C"/>
    <w:rsid w:val="00874B00"/>
    <w:rsid w:val="00874C58"/>
    <w:rsid w:val="00874CB8"/>
    <w:rsid w:val="00874D84"/>
    <w:rsid w:val="00874DBE"/>
    <w:rsid w:val="00874E08"/>
    <w:rsid w:val="00874EE3"/>
    <w:rsid w:val="00874FB9"/>
    <w:rsid w:val="00874FF7"/>
    <w:rsid w:val="0087502D"/>
    <w:rsid w:val="008751BE"/>
    <w:rsid w:val="008754E7"/>
    <w:rsid w:val="00875533"/>
    <w:rsid w:val="0087554A"/>
    <w:rsid w:val="0087578D"/>
    <w:rsid w:val="00875793"/>
    <w:rsid w:val="00875824"/>
    <w:rsid w:val="008759BD"/>
    <w:rsid w:val="00875AE0"/>
    <w:rsid w:val="00875B55"/>
    <w:rsid w:val="00875BE2"/>
    <w:rsid w:val="00875BE9"/>
    <w:rsid w:val="00875C74"/>
    <w:rsid w:val="00875C8D"/>
    <w:rsid w:val="00875F91"/>
    <w:rsid w:val="0087606C"/>
    <w:rsid w:val="008761A3"/>
    <w:rsid w:val="008761C3"/>
    <w:rsid w:val="00876314"/>
    <w:rsid w:val="0087638C"/>
    <w:rsid w:val="00876437"/>
    <w:rsid w:val="00876555"/>
    <w:rsid w:val="0087674E"/>
    <w:rsid w:val="00876AAC"/>
    <w:rsid w:val="00876ACD"/>
    <w:rsid w:val="00876C70"/>
    <w:rsid w:val="00876C75"/>
    <w:rsid w:val="00876DF4"/>
    <w:rsid w:val="00876E36"/>
    <w:rsid w:val="00876EB5"/>
    <w:rsid w:val="008770E3"/>
    <w:rsid w:val="008770FD"/>
    <w:rsid w:val="00877247"/>
    <w:rsid w:val="008773A6"/>
    <w:rsid w:val="00877462"/>
    <w:rsid w:val="008774C1"/>
    <w:rsid w:val="008774DC"/>
    <w:rsid w:val="0087782D"/>
    <w:rsid w:val="00877899"/>
    <w:rsid w:val="00877947"/>
    <w:rsid w:val="00877EDE"/>
    <w:rsid w:val="00880008"/>
    <w:rsid w:val="00880016"/>
    <w:rsid w:val="00880024"/>
    <w:rsid w:val="008800AB"/>
    <w:rsid w:val="008800F8"/>
    <w:rsid w:val="0088013D"/>
    <w:rsid w:val="00880181"/>
    <w:rsid w:val="00880192"/>
    <w:rsid w:val="008801AE"/>
    <w:rsid w:val="00880255"/>
    <w:rsid w:val="00880586"/>
    <w:rsid w:val="00880633"/>
    <w:rsid w:val="0088073C"/>
    <w:rsid w:val="008807FF"/>
    <w:rsid w:val="00880852"/>
    <w:rsid w:val="00880879"/>
    <w:rsid w:val="008809BF"/>
    <w:rsid w:val="00880A6C"/>
    <w:rsid w:val="00880A83"/>
    <w:rsid w:val="00880AA3"/>
    <w:rsid w:val="00880AFE"/>
    <w:rsid w:val="00880C02"/>
    <w:rsid w:val="00880D31"/>
    <w:rsid w:val="00881077"/>
    <w:rsid w:val="00881091"/>
    <w:rsid w:val="0088115D"/>
    <w:rsid w:val="008811B5"/>
    <w:rsid w:val="008811FC"/>
    <w:rsid w:val="008812BF"/>
    <w:rsid w:val="0088136B"/>
    <w:rsid w:val="00881371"/>
    <w:rsid w:val="008813C1"/>
    <w:rsid w:val="008814D7"/>
    <w:rsid w:val="008815E0"/>
    <w:rsid w:val="00881662"/>
    <w:rsid w:val="008816AA"/>
    <w:rsid w:val="008817E7"/>
    <w:rsid w:val="0088189E"/>
    <w:rsid w:val="00881927"/>
    <w:rsid w:val="0088198A"/>
    <w:rsid w:val="00881A88"/>
    <w:rsid w:val="00881B5A"/>
    <w:rsid w:val="00881BAD"/>
    <w:rsid w:val="00881BC6"/>
    <w:rsid w:val="00881ED4"/>
    <w:rsid w:val="0088218E"/>
    <w:rsid w:val="008821F3"/>
    <w:rsid w:val="00882311"/>
    <w:rsid w:val="00882401"/>
    <w:rsid w:val="00882438"/>
    <w:rsid w:val="008825E9"/>
    <w:rsid w:val="0088262C"/>
    <w:rsid w:val="008827AA"/>
    <w:rsid w:val="00882829"/>
    <w:rsid w:val="008829EC"/>
    <w:rsid w:val="00882C7A"/>
    <w:rsid w:val="00882D54"/>
    <w:rsid w:val="00882DEB"/>
    <w:rsid w:val="00882E95"/>
    <w:rsid w:val="00882F3B"/>
    <w:rsid w:val="00883102"/>
    <w:rsid w:val="00883192"/>
    <w:rsid w:val="008831A7"/>
    <w:rsid w:val="0088332A"/>
    <w:rsid w:val="0088348B"/>
    <w:rsid w:val="008834F6"/>
    <w:rsid w:val="008835BD"/>
    <w:rsid w:val="00883634"/>
    <w:rsid w:val="008837EE"/>
    <w:rsid w:val="00883911"/>
    <w:rsid w:val="00883972"/>
    <w:rsid w:val="008839DC"/>
    <w:rsid w:val="00883EAE"/>
    <w:rsid w:val="00883FB3"/>
    <w:rsid w:val="00884112"/>
    <w:rsid w:val="0088421C"/>
    <w:rsid w:val="0088423F"/>
    <w:rsid w:val="00884305"/>
    <w:rsid w:val="00884317"/>
    <w:rsid w:val="00884325"/>
    <w:rsid w:val="00884365"/>
    <w:rsid w:val="008843D8"/>
    <w:rsid w:val="0088445B"/>
    <w:rsid w:val="0088475F"/>
    <w:rsid w:val="00884765"/>
    <w:rsid w:val="0088482A"/>
    <w:rsid w:val="008848B3"/>
    <w:rsid w:val="00884A9E"/>
    <w:rsid w:val="00884B26"/>
    <w:rsid w:val="00884B59"/>
    <w:rsid w:val="00884C21"/>
    <w:rsid w:val="00884C63"/>
    <w:rsid w:val="00884CBE"/>
    <w:rsid w:val="00884CCB"/>
    <w:rsid w:val="00884D6B"/>
    <w:rsid w:val="00884E61"/>
    <w:rsid w:val="00884E76"/>
    <w:rsid w:val="00885116"/>
    <w:rsid w:val="00885155"/>
    <w:rsid w:val="00885190"/>
    <w:rsid w:val="00885417"/>
    <w:rsid w:val="0088575D"/>
    <w:rsid w:val="0088578F"/>
    <w:rsid w:val="0088588B"/>
    <w:rsid w:val="00885E50"/>
    <w:rsid w:val="00886052"/>
    <w:rsid w:val="00886132"/>
    <w:rsid w:val="008861D4"/>
    <w:rsid w:val="0088622E"/>
    <w:rsid w:val="0088660C"/>
    <w:rsid w:val="00886622"/>
    <w:rsid w:val="008867E3"/>
    <w:rsid w:val="00886805"/>
    <w:rsid w:val="0088692F"/>
    <w:rsid w:val="00886985"/>
    <w:rsid w:val="00886AD0"/>
    <w:rsid w:val="00886AEF"/>
    <w:rsid w:val="00886B5A"/>
    <w:rsid w:val="00886BAA"/>
    <w:rsid w:val="00886D74"/>
    <w:rsid w:val="00886E69"/>
    <w:rsid w:val="00886E92"/>
    <w:rsid w:val="00886FC9"/>
    <w:rsid w:val="00887024"/>
    <w:rsid w:val="0088702F"/>
    <w:rsid w:val="0088715C"/>
    <w:rsid w:val="008871C6"/>
    <w:rsid w:val="0088729B"/>
    <w:rsid w:val="00887304"/>
    <w:rsid w:val="0088732B"/>
    <w:rsid w:val="00887383"/>
    <w:rsid w:val="0088745F"/>
    <w:rsid w:val="008874B3"/>
    <w:rsid w:val="0088751A"/>
    <w:rsid w:val="00887575"/>
    <w:rsid w:val="008875A3"/>
    <w:rsid w:val="008875DF"/>
    <w:rsid w:val="00887616"/>
    <w:rsid w:val="00887816"/>
    <w:rsid w:val="008878D9"/>
    <w:rsid w:val="008879CF"/>
    <w:rsid w:val="00887B1F"/>
    <w:rsid w:val="00887B4E"/>
    <w:rsid w:val="00887EB3"/>
    <w:rsid w:val="00887EEB"/>
    <w:rsid w:val="0089003A"/>
    <w:rsid w:val="00890179"/>
    <w:rsid w:val="00890230"/>
    <w:rsid w:val="00890308"/>
    <w:rsid w:val="00890334"/>
    <w:rsid w:val="0089036E"/>
    <w:rsid w:val="0089039E"/>
    <w:rsid w:val="00890432"/>
    <w:rsid w:val="00890502"/>
    <w:rsid w:val="008905A5"/>
    <w:rsid w:val="008905B5"/>
    <w:rsid w:val="00890658"/>
    <w:rsid w:val="008906A9"/>
    <w:rsid w:val="008907AC"/>
    <w:rsid w:val="008907B2"/>
    <w:rsid w:val="00890863"/>
    <w:rsid w:val="008908B1"/>
    <w:rsid w:val="0089091A"/>
    <w:rsid w:val="00890B1B"/>
    <w:rsid w:val="00890B5C"/>
    <w:rsid w:val="00890B9F"/>
    <w:rsid w:val="00890C70"/>
    <w:rsid w:val="00890CF8"/>
    <w:rsid w:val="00890D6F"/>
    <w:rsid w:val="00890D8C"/>
    <w:rsid w:val="00890E48"/>
    <w:rsid w:val="00890E67"/>
    <w:rsid w:val="00890F7F"/>
    <w:rsid w:val="00890FFC"/>
    <w:rsid w:val="00891191"/>
    <w:rsid w:val="008912C4"/>
    <w:rsid w:val="0089148C"/>
    <w:rsid w:val="008917B6"/>
    <w:rsid w:val="008917EE"/>
    <w:rsid w:val="00891875"/>
    <w:rsid w:val="008918F8"/>
    <w:rsid w:val="00891950"/>
    <w:rsid w:val="00891951"/>
    <w:rsid w:val="008919DB"/>
    <w:rsid w:val="00891AF6"/>
    <w:rsid w:val="00891BC3"/>
    <w:rsid w:val="00891D12"/>
    <w:rsid w:val="00891D8B"/>
    <w:rsid w:val="00891E3E"/>
    <w:rsid w:val="00891E6D"/>
    <w:rsid w:val="00891EBE"/>
    <w:rsid w:val="00891F1B"/>
    <w:rsid w:val="00891FF9"/>
    <w:rsid w:val="00892032"/>
    <w:rsid w:val="0089207F"/>
    <w:rsid w:val="00892103"/>
    <w:rsid w:val="0089220F"/>
    <w:rsid w:val="008923E6"/>
    <w:rsid w:val="0089246F"/>
    <w:rsid w:val="00892607"/>
    <w:rsid w:val="00892716"/>
    <w:rsid w:val="00892B31"/>
    <w:rsid w:val="00892CE8"/>
    <w:rsid w:val="00892D1F"/>
    <w:rsid w:val="00892E0B"/>
    <w:rsid w:val="00892E78"/>
    <w:rsid w:val="00892EC7"/>
    <w:rsid w:val="00892F1F"/>
    <w:rsid w:val="00892FA8"/>
    <w:rsid w:val="00893059"/>
    <w:rsid w:val="0089305A"/>
    <w:rsid w:val="00893374"/>
    <w:rsid w:val="008934A1"/>
    <w:rsid w:val="0089356A"/>
    <w:rsid w:val="00893619"/>
    <w:rsid w:val="0089362E"/>
    <w:rsid w:val="00893693"/>
    <w:rsid w:val="00893732"/>
    <w:rsid w:val="008937C8"/>
    <w:rsid w:val="00893862"/>
    <w:rsid w:val="00893878"/>
    <w:rsid w:val="008939C8"/>
    <w:rsid w:val="00893C66"/>
    <w:rsid w:val="00893C70"/>
    <w:rsid w:val="00893DE3"/>
    <w:rsid w:val="00893EDA"/>
    <w:rsid w:val="00893EDE"/>
    <w:rsid w:val="00893F54"/>
    <w:rsid w:val="0089407E"/>
    <w:rsid w:val="008941DD"/>
    <w:rsid w:val="008942AF"/>
    <w:rsid w:val="008942BE"/>
    <w:rsid w:val="008942C6"/>
    <w:rsid w:val="00894329"/>
    <w:rsid w:val="008945D2"/>
    <w:rsid w:val="008946B1"/>
    <w:rsid w:val="0089476A"/>
    <w:rsid w:val="00894806"/>
    <w:rsid w:val="00894893"/>
    <w:rsid w:val="008948D1"/>
    <w:rsid w:val="00894A81"/>
    <w:rsid w:val="00894AA6"/>
    <w:rsid w:val="00894AE7"/>
    <w:rsid w:val="00894B05"/>
    <w:rsid w:val="00894B12"/>
    <w:rsid w:val="00894F53"/>
    <w:rsid w:val="008950A0"/>
    <w:rsid w:val="008951A0"/>
    <w:rsid w:val="008951C4"/>
    <w:rsid w:val="00895500"/>
    <w:rsid w:val="00895526"/>
    <w:rsid w:val="008955D6"/>
    <w:rsid w:val="0089570E"/>
    <w:rsid w:val="00895795"/>
    <w:rsid w:val="008959F3"/>
    <w:rsid w:val="00895AB0"/>
    <w:rsid w:val="00895CCA"/>
    <w:rsid w:val="00895E92"/>
    <w:rsid w:val="00895EFA"/>
    <w:rsid w:val="008960EC"/>
    <w:rsid w:val="008961BA"/>
    <w:rsid w:val="008961BB"/>
    <w:rsid w:val="008961ED"/>
    <w:rsid w:val="0089624D"/>
    <w:rsid w:val="008964A3"/>
    <w:rsid w:val="008966B0"/>
    <w:rsid w:val="0089671F"/>
    <w:rsid w:val="00896784"/>
    <w:rsid w:val="008967C4"/>
    <w:rsid w:val="0089697F"/>
    <w:rsid w:val="00896BD1"/>
    <w:rsid w:val="00896D91"/>
    <w:rsid w:val="00896E04"/>
    <w:rsid w:val="00896F94"/>
    <w:rsid w:val="008972C6"/>
    <w:rsid w:val="00897532"/>
    <w:rsid w:val="0089753D"/>
    <w:rsid w:val="008976D0"/>
    <w:rsid w:val="008976DE"/>
    <w:rsid w:val="0089771E"/>
    <w:rsid w:val="008978D8"/>
    <w:rsid w:val="0089795F"/>
    <w:rsid w:val="008979D8"/>
    <w:rsid w:val="00897A12"/>
    <w:rsid w:val="00897AAC"/>
    <w:rsid w:val="00897AF7"/>
    <w:rsid w:val="00897B1F"/>
    <w:rsid w:val="00897B5E"/>
    <w:rsid w:val="00897B79"/>
    <w:rsid w:val="00897C60"/>
    <w:rsid w:val="00897C83"/>
    <w:rsid w:val="00897CCA"/>
    <w:rsid w:val="00897CD5"/>
    <w:rsid w:val="00897D6F"/>
    <w:rsid w:val="00897E7A"/>
    <w:rsid w:val="00897F31"/>
    <w:rsid w:val="00897F93"/>
    <w:rsid w:val="00897FE7"/>
    <w:rsid w:val="008A0009"/>
    <w:rsid w:val="008A016A"/>
    <w:rsid w:val="008A04ED"/>
    <w:rsid w:val="008A059E"/>
    <w:rsid w:val="008A0693"/>
    <w:rsid w:val="008A074A"/>
    <w:rsid w:val="008A0788"/>
    <w:rsid w:val="008A07D3"/>
    <w:rsid w:val="008A080E"/>
    <w:rsid w:val="008A0815"/>
    <w:rsid w:val="008A0842"/>
    <w:rsid w:val="008A08A2"/>
    <w:rsid w:val="008A08B3"/>
    <w:rsid w:val="008A0CE3"/>
    <w:rsid w:val="008A0D25"/>
    <w:rsid w:val="008A0D2A"/>
    <w:rsid w:val="008A106C"/>
    <w:rsid w:val="008A1094"/>
    <w:rsid w:val="008A10B7"/>
    <w:rsid w:val="008A10D4"/>
    <w:rsid w:val="008A124A"/>
    <w:rsid w:val="008A1452"/>
    <w:rsid w:val="008A15B4"/>
    <w:rsid w:val="008A1693"/>
    <w:rsid w:val="008A18B5"/>
    <w:rsid w:val="008A19B8"/>
    <w:rsid w:val="008A1BD2"/>
    <w:rsid w:val="008A1D6C"/>
    <w:rsid w:val="008A1EC8"/>
    <w:rsid w:val="008A2151"/>
    <w:rsid w:val="008A2435"/>
    <w:rsid w:val="008A2514"/>
    <w:rsid w:val="008A254F"/>
    <w:rsid w:val="008A25F1"/>
    <w:rsid w:val="008A25F2"/>
    <w:rsid w:val="008A2630"/>
    <w:rsid w:val="008A27C5"/>
    <w:rsid w:val="008A289D"/>
    <w:rsid w:val="008A29AE"/>
    <w:rsid w:val="008A29CF"/>
    <w:rsid w:val="008A2CA0"/>
    <w:rsid w:val="008A2D38"/>
    <w:rsid w:val="008A2E28"/>
    <w:rsid w:val="008A2F42"/>
    <w:rsid w:val="008A2F52"/>
    <w:rsid w:val="008A3089"/>
    <w:rsid w:val="008A3215"/>
    <w:rsid w:val="008A326C"/>
    <w:rsid w:val="008A3357"/>
    <w:rsid w:val="008A3390"/>
    <w:rsid w:val="008A33A4"/>
    <w:rsid w:val="008A3506"/>
    <w:rsid w:val="008A3565"/>
    <w:rsid w:val="008A35D5"/>
    <w:rsid w:val="008A3834"/>
    <w:rsid w:val="008A38CE"/>
    <w:rsid w:val="008A38E6"/>
    <w:rsid w:val="008A38F0"/>
    <w:rsid w:val="008A39EF"/>
    <w:rsid w:val="008A39F5"/>
    <w:rsid w:val="008A3A99"/>
    <w:rsid w:val="008A3BD5"/>
    <w:rsid w:val="008A3BFB"/>
    <w:rsid w:val="008A3DA5"/>
    <w:rsid w:val="008A3E2D"/>
    <w:rsid w:val="008A3FA7"/>
    <w:rsid w:val="008A3FB7"/>
    <w:rsid w:val="008A41D8"/>
    <w:rsid w:val="008A428B"/>
    <w:rsid w:val="008A42C6"/>
    <w:rsid w:val="008A4595"/>
    <w:rsid w:val="008A480E"/>
    <w:rsid w:val="008A49EB"/>
    <w:rsid w:val="008A4A12"/>
    <w:rsid w:val="008A4A76"/>
    <w:rsid w:val="008A4B2A"/>
    <w:rsid w:val="008A4C22"/>
    <w:rsid w:val="008A4CE6"/>
    <w:rsid w:val="008A4EFF"/>
    <w:rsid w:val="008A4F7F"/>
    <w:rsid w:val="008A4FE4"/>
    <w:rsid w:val="008A51D9"/>
    <w:rsid w:val="008A537C"/>
    <w:rsid w:val="008A539E"/>
    <w:rsid w:val="008A5451"/>
    <w:rsid w:val="008A5523"/>
    <w:rsid w:val="008A55E8"/>
    <w:rsid w:val="008A5682"/>
    <w:rsid w:val="008A57A4"/>
    <w:rsid w:val="008A57E3"/>
    <w:rsid w:val="008A5833"/>
    <w:rsid w:val="008A5848"/>
    <w:rsid w:val="008A5888"/>
    <w:rsid w:val="008A5A4B"/>
    <w:rsid w:val="008A5CDF"/>
    <w:rsid w:val="008A6008"/>
    <w:rsid w:val="008A60AD"/>
    <w:rsid w:val="008A6139"/>
    <w:rsid w:val="008A6214"/>
    <w:rsid w:val="008A6267"/>
    <w:rsid w:val="008A6293"/>
    <w:rsid w:val="008A62BA"/>
    <w:rsid w:val="008A6444"/>
    <w:rsid w:val="008A67A7"/>
    <w:rsid w:val="008A689F"/>
    <w:rsid w:val="008A6972"/>
    <w:rsid w:val="008A699D"/>
    <w:rsid w:val="008A69EC"/>
    <w:rsid w:val="008A6A2E"/>
    <w:rsid w:val="008A6BCE"/>
    <w:rsid w:val="008A6C24"/>
    <w:rsid w:val="008A6C8A"/>
    <w:rsid w:val="008A6DD7"/>
    <w:rsid w:val="008A6E90"/>
    <w:rsid w:val="008A6EAE"/>
    <w:rsid w:val="008A6F5C"/>
    <w:rsid w:val="008A7326"/>
    <w:rsid w:val="008A7513"/>
    <w:rsid w:val="008A753F"/>
    <w:rsid w:val="008A7593"/>
    <w:rsid w:val="008A75CD"/>
    <w:rsid w:val="008A760F"/>
    <w:rsid w:val="008A7631"/>
    <w:rsid w:val="008A7634"/>
    <w:rsid w:val="008A7732"/>
    <w:rsid w:val="008A779B"/>
    <w:rsid w:val="008A77C7"/>
    <w:rsid w:val="008A7804"/>
    <w:rsid w:val="008A7833"/>
    <w:rsid w:val="008A78B7"/>
    <w:rsid w:val="008A7965"/>
    <w:rsid w:val="008A79B9"/>
    <w:rsid w:val="008A7A25"/>
    <w:rsid w:val="008A7B83"/>
    <w:rsid w:val="008A7BD1"/>
    <w:rsid w:val="008A7CCE"/>
    <w:rsid w:val="008A7CD3"/>
    <w:rsid w:val="008A7D18"/>
    <w:rsid w:val="008A7DD0"/>
    <w:rsid w:val="008A7E07"/>
    <w:rsid w:val="008A7ED6"/>
    <w:rsid w:val="008B0293"/>
    <w:rsid w:val="008B0497"/>
    <w:rsid w:val="008B0678"/>
    <w:rsid w:val="008B06DE"/>
    <w:rsid w:val="008B0734"/>
    <w:rsid w:val="008B077A"/>
    <w:rsid w:val="008B099B"/>
    <w:rsid w:val="008B09D6"/>
    <w:rsid w:val="008B09EE"/>
    <w:rsid w:val="008B0AD2"/>
    <w:rsid w:val="008B0B00"/>
    <w:rsid w:val="008B0B85"/>
    <w:rsid w:val="008B0BC9"/>
    <w:rsid w:val="008B0C69"/>
    <w:rsid w:val="008B0C82"/>
    <w:rsid w:val="008B0F41"/>
    <w:rsid w:val="008B0F4B"/>
    <w:rsid w:val="008B1120"/>
    <w:rsid w:val="008B128E"/>
    <w:rsid w:val="008B132B"/>
    <w:rsid w:val="008B13FB"/>
    <w:rsid w:val="008B146A"/>
    <w:rsid w:val="008B15EE"/>
    <w:rsid w:val="008B1777"/>
    <w:rsid w:val="008B1964"/>
    <w:rsid w:val="008B1A0D"/>
    <w:rsid w:val="008B1AF1"/>
    <w:rsid w:val="008B1B4D"/>
    <w:rsid w:val="008B1C9F"/>
    <w:rsid w:val="008B1F30"/>
    <w:rsid w:val="008B2128"/>
    <w:rsid w:val="008B215E"/>
    <w:rsid w:val="008B21FB"/>
    <w:rsid w:val="008B23D9"/>
    <w:rsid w:val="008B253A"/>
    <w:rsid w:val="008B254C"/>
    <w:rsid w:val="008B2B28"/>
    <w:rsid w:val="008B2B3D"/>
    <w:rsid w:val="008B2B49"/>
    <w:rsid w:val="008B2B5A"/>
    <w:rsid w:val="008B2C0B"/>
    <w:rsid w:val="008B2C9A"/>
    <w:rsid w:val="008B2DA6"/>
    <w:rsid w:val="008B30C2"/>
    <w:rsid w:val="008B3303"/>
    <w:rsid w:val="008B33DC"/>
    <w:rsid w:val="008B345F"/>
    <w:rsid w:val="008B34B3"/>
    <w:rsid w:val="008B34E5"/>
    <w:rsid w:val="008B34F1"/>
    <w:rsid w:val="008B3745"/>
    <w:rsid w:val="008B3A88"/>
    <w:rsid w:val="008B3C46"/>
    <w:rsid w:val="008B3E8B"/>
    <w:rsid w:val="008B3EFE"/>
    <w:rsid w:val="008B3FBB"/>
    <w:rsid w:val="008B4251"/>
    <w:rsid w:val="008B4276"/>
    <w:rsid w:val="008B44BE"/>
    <w:rsid w:val="008B45F8"/>
    <w:rsid w:val="008B469D"/>
    <w:rsid w:val="008B4810"/>
    <w:rsid w:val="008B484D"/>
    <w:rsid w:val="008B48C1"/>
    <w:rsid w:val="008B4BFC"/>
    <w:rsid w:val="008B4C23"/>
    <w:rsid w:val="008B4C84"/>
    <w:rsid w:val="008B4C9D"/>
    <w:rsid w:val="008B4DD0"/>
    <w:rsid w:val="008B4E98"/>
    <w:rsid w:val="008B4EE1"/>
    <w:rsid w:val="008B4EFF"/>
    <w:rsid w:val="008B4F30"/>
    <w:rsid w:val="008B4F8E"/>
    <w:rsid w:val="008B5187"/>
    <w:rsid w:val="008B51B4"/>
    <w:rsid w:val="008B5345"/>
    <w:rsid w:val="008B56AE"/>
    <w:rsid w:val="008B57A1"/>
    <w:rsid w:val="008B582B"/>
    <w:rsid w:val="008B5993"/>
    <w:rsid w:val="008B5B67"/>
    <w:rsid w:val="008B5D7A"/>
    <w:rsid w:val="008B5D9D"/>
    <w:rsid w:val="008B5E5F"/>
    <w:rsid w:val="008B5F0B"/>
    <w:rsid w:val="008B609E"/>
    <w:rsid w:val="008B646B"/>
    <w:rsid w:val="008B6488"/>
    <w:rsid w:val="008B64B6"/>
    <w:rsid w:val="008B64DE"/>
    <w:rsid w:val="008B66E3"/>
    <w:rsid w:val="008B673A"/>
    <w:rsid w:val="008B6787"/>
    <w:rsid w:val="008B6813"/>
    <w:rsid w:val="008B68DF"/>
    <w:rsid w:val="008B69EC"/>
    <w:rsid w:val="008B6B5D"/>
    <w:rsid w:val="008B6C37"/>
    <w:rsid w:val="008B6F78"/>
    <w:rsid w:val="008B6F7B"/>
    <w:rsid w:val="008B7067"/>
    <w:rsid w:val="008B7214"/>
    <w:rsid w:val="008B7291"/>
    <w:rsid w:val="008B7304"/>
    <w:rsid w:val="008B7436"/>
    <w:rsid w:val="008B7492"/>
    <w:rsid w:val="008B76E9"/>
    <w:rsid w:val="008B7848"/>
    <w:rsid w:val="008B7853"/>
    <w:rsid w:val="008B7A98"/>
    <w:rsid w:val="008B7C94"/>
    <w:rsid w:val="008B7E4F"/>
    <w:rsid w:val="008B7E78"/>
    <w:rsid w:val="008B7EE6"/>
    <w:rsid w:val="008C01D7"/>
    <w:rsid w:val="008C030F"/>
    <w:rsid w:val="008C0343"/>
    <w:rsid w:val="008C03D4"/>
    <w:rsid w:val="008C0442"/>
    <w:rsid w:val="008C06C7"/>
    <w:rsid w:val="008C0791"/>
    <w:rsid w:val="008C0793"/>
    <w:rsid w:val="008C07EE"/>
    <w:rsid w:val="008C08F0"/>
    <w:rsid w:val="008C09EA"/>
    <w:rsid w:val="008C0C46"/>
    <w:rsid w:val="008C0DF0"/>
    <w:rsid w:val="008C0F3D"/>
    <w:rsid w:val="008C1214"/>
    <w:rsid w:val="008C1311"/>
    <w:rsid w:val="008C14CC"/>
    <w:rsid w:val="008C159F"/>
    <w:rsid w:val="008C15C5"/>
    <w:rsid w:val="008C15E9"/>
    <w:rsid w:val="008C1628"/>
    <w:rsid w:val="008C1634"/>
    <w:rsid w:val="008C166E"/>
    <w:rsid w:val="008C172A"/>
    <w:rsid w:val="008C1779"/>
    <w:rsid w:val="008C1981"/>
    <w:rsid w:val="008C1C6C"/>
    <w:rsid w:val="008C1E05"/>
    <w:rsid w:val="008C1FE2"/>
    <w:rsid w:val="008C204E"/>
    <w:rsid w:val="008C2060"/>
    <w:rsid w:val="008C2318"/>
    <w:rsid w:val="008C2469"/>
    <w:rsid w:val="008C253F"/>
    <w:rsid w:val="008C266D"/>
    <w:rsid w:val="008C272F"/>
    <w:rsid w:val="008C280E"/>
    <w:rsid w:val="008C2812"/>
    <w:rsid w:val="008C282C"/>
    <w:rsid w:val="008C28C9"/>
    <w:rsid w:val="008C298B"/>
    <w:rsid w:val="008C2A9C"/>
    <w:rsid w:val="008C2B38"/>
    <w:rsid w:val="008C2B9F"/>
    <w:rsid w:val="008C2BD3"/>
    <w:rsid w:val="008C2C43"/>
    <w:rsid w:val="008C2ECD"/>
    <w:rsid w:val="008C2EEB"/>
    <w:rsid w:val="008C3000"/>
    <w:rsid w:val="008C312B"/>
    <w:rsid w:val="008C34BB"/>
    <w:rsid w:val="008C3622"/>
    <w:rsid w:val="008C364E"/>
    <w:rsid w:val="008C3654"/>
    <w:rsid w:val="008C36A0"/>
    <w:rsid w:val="008C36AB"/>
    <w:rsid w:val="008C385D"/>
    <w:rsid w:val="008C38E2"/>
    <w:rsid w:val="008C394D"/>
    <w:rsid w:val="008C3967"/>
    <w:rsid w:val="008C3C35"/>
    <w:rsid w:val="008C3D43"/>
    <w:rsid w:val="008C3F4A"/>
    <w:rsid w:val="008C4021"/>
    <w:rsid w:val="008C40A5"/>
    <w:rsid w:val="008C4230"/>
    <w:rsid w:val="008C4302"/>
    <w:rsid w:val="008C45C2"/>
    <w:rsid w:val="008C45E2"/>
    <w:rsid w:val="008C462D"/>
    <w:rsid w:val="008C4668"/>
    <w:rsid w:val="008C4688"/>
    <w:rsid w:val="008C4698"/>
    <w:rsid w:val="008C478C"/>
    <w:rsid w:val="008C487C"/>
    <w:rsid w:val="008C494B"/>
    <w:rsid w:val="008C4968"/>
    <w:rsid w:val="008C49F7"/>
    <w:rsid w:val="008C4A83"/>
    <w:rsid w:val="008C4ABD"/>
    <w:rsid w:val="008C4B17"/>
    <w:rsid w:val="008C4B31"/>
    <w:rsid w:val="008C4B80"/>
    <w:rsid w:val="008C4BB5"/>
    <w:rsid w:val="008C4BBF"/>
    <w:rsid w:val="008C4CBA"/>
    <w:rsid w:val="008C4D1F"/>
    <w:rsid w:val="008C4FE3"/>
    <w:rsid w:val="008C523F"/>
    <w:rsid w:val="008C5247"/>
    <w:rsid w:val="008C528C"/>
    <w:rsid w:val="008C5318"/>
    <w:rsid w:val="008C542C"/>
    <w:rsid w:val="008C5494"/>
    <w:rsid w:val="008C556F"/>
    <w:rsid w:val="008C559B"/>
    <w:rsid w:val="008C5682"/>
    <w:rsid w:val="008C591C"/>
    <w:rsid w:val="008C5AC8"/>
    <w:rsid w:val="008C5BE6"/>
    <w:rsid w:val="008C5CBF"/>
    <w:rsid w:val="008C5E83"/>
    <w:rsid w:val="008C6111"/>
    <w:rsid w:val="008C6344"/>
    <w:rsid w:val="008C63BA"/>
    <w:rsid w:val="008C64B5"/>
    <w:rsid w:val="008C6531"/>
    <w:rsid w:val="008C65CE"/>
    <w:rsid w:val="008C6662"/>
    <w:rsid w:val="008C69A6"/>
    <w:rsid w:val="008C6A2A"/>
    <w:rsid w:val="008C6A38"/>
    <w:rsid w:val="008C6A39"/>
    <w:rsid w:val="008C6AD2"/>
    <w:rsid w:val="008C6B8E"/>
    <w:rsid w:val="008C6E4C"/>
    <w:rsid w:val="008C6FCE"/>
    <w:rsid w:val="008C7002"/>
    <w:rsid w:val="008C70D0"/>
    <w:rsid w:val="008C71BC"/>
    <w:rsid w:val="008C71D0"/>
    <w:rsid w:val="008C7449"/>
    <w:rsid w:val="008C7616"/>
    <w:rsid w:val="008C76FB"/>
    <w:rsid w:val="008C793A"/>
    <w:rsid w:val="008C79F0"/>
    <w:rsid w:val="008C7ADE"/>
    <w:rsid w:val="008C7B19"/>
    <w:rsid w:val="008D0021"/>
    <w:rsid w:val="008D005F"/>
    <w:rsid w:val="008D0179"/>
    <w:rsid w:val="008D0282"/>
    <w:rsid w:val="008D0488"/>
    <w:rsid w:val="008D04CE"/>
    <w:rsid w:val="008D05E3"/>
    <w:rsid w:val="008D064F"/>
    <w:rsid w:val="008D0671"/>
    <w:rsid w:val="008D0677"/>
    <w:rsid w:val="008D07D7"/>
    <w:rsid w:val="008D07DB"/>
    <w:rsid w:val="008D082C"/>
    <w:rsid w:val="008D0A00"/>
    <w:rsid w:val="008D0A3A"/>
    <w:rsid w:val="008D0C6D"/>
    <w:rsid w:val="008D0D35"/>
    <w:rsid w:val="008D0D40"/>
    <w:rsid w:val="008D0D85"/>
    <w:rsid w:val="008D0DA0"/>
    <w:rsid w:val="008D0DD5"/>
    <w:rsid w:val="008D0E03"/>
    <w:rsid w:val="008D0EA3"/>
    <w:rsid w:val="008D0FBE"/>
    <w:rsid w:val="008D0FFB"/>
    <w:rsid w:val="008D102D"/>
    <w:rsid w:val="008D112D"/>
    <w:rsid w:val="008D11E4"/>
    <w:rsid w:val="008D134B"/>
    <w:rsid w:val="008D13C6"/>
    <w:rsid w:val="008D1410"/>
    <w:rsid w:val="008D15E5"/>
    <w:rsid w:val="008D1669"/>
    <w:rsid w:val="008D180A"/>
    <w:rsid w:val="008D1A84"/>
    <w:rsid w:val="008D1DDD"/>
    <w:rsid w:val="008D1DE4"/>
    <w:rsid w:val="008D1DFE"/>
    <w:rsid w:val="008D1E6A"/>
    <w:rsid w:val="008D1F84"/>
    <w:rsid w:val="008D1FE2"/>
    <w:rsid w:val="008D20F8"/>
    <w:rsid w:val="008D212B"/>
    <w:rsid w:val="008D220A"/>
    <w:rsid w:val="008D2253"/>
    <w:rsid w:val="008D2462"/>
    <w:rsid w:val="008D2498"/>
    <w:rsid w:val="008D25A5"/>
    <w:rsid w:val="008D25DE"/>
    <w:rsid w:val="008D2657"/>
    <w:rsid w:val="008D282E"/>
    <w:rsid w:val="008D294D"/>
    <w:rsid w:val="008D2986"/>
    <w:rsid w:val="008D2A03"/>
    <w:rsid w:val="008D2BB1"/>
    <w:rsid w:val="008D2C96"/>
    <w:rsid w:val="008D2D36"/>
    <w:rsid w:val="008D2ED4"/>
    <w:rsid w:val="008D2F4C"/>
    <w:rsid w:val="008D302B"/>
    <w:rsid w:val="008D309C"/>
    <w:rsid w:val="008D30A4"/>
    <w:rsid w:val="008D30B1"/>
    <w:rsid w:val="008D30C2"/>
    <w:rsid w:val="008D319C"/>
    <w:rsid w:val="008D3397"/>
    <w:rsid w:val="008D346A"/>
    <w:rsid w:val="008D3514"/>
    <w:rsid w:val="008D3614"/>
    <w:rsid w:val="008D364E"/>
    <w:rsid w:val="008D3726"/>
    <w:rsid w:val="008D3951"/>
    <w:rsid w:val="008D3A69"/>
    <w:rsid w:val="008D3A92"/>
    <w:rsid w:val="008D3C31"/>
    <w:rsid w:val="008D3CF7"/>
    <w:rsid w:val="008D3DE2"/>
    <w:rsid w:val="008D3F0F"/>
    <w:rsid w:val="008D3FDA"/>
    <w:rsid w:val="008D436B"/>
    <w:rsid w:val="008D440A"/>
    <w:rsid w:val="008D4576"/>
    <w:rsid w:val="008D465A"/>
    <w:rsid w:val="008D4761"/>
    <w:rsid w:val="008D48BD"/>
    <w:rsid w:val="008D49CD"/>
    <w:rsid w:val="008D4A6E"/>
    <w:rsid w:val="008D4B73"/>
    <w:rsid w:val="008D4C78"/>
    <w:rsid w:val="008D4CB0"/>
    <w:rsid w:val="008D4CC3"/>
    <w:rsid w:val="008D4E4C"/>
    <w:rsid w:val="008D5167"/>
    <w:rsid w:val="008D51FC"/>
    <w:rsid w:val="008D526B"/>
    <w:rsid w:val="008D537B"/>
    <w:rsid w:val="008D53DB"/>
    <w:rsid w:val="008D542D"/>
    <w:rsid w:val="008D5585"/>
    <w:rsid w:val="008D56BB"/>
    <w:rsid w:val="008D59DD"/>
    <w:rsid w:val="008D59E3"/>
    <w:rsid w:val="008D5ABB"/>
    <w:rsid w:val="008D5C66"/>
    <w:rsid w:val="008D5C68"/>
    <w:rsid w:val="008D5E85"/>
    <w:rsid w:val="008D5FB6"/>
    <w:rsid w:val="008D6116"/>
    <w:rsid w:val="008D623C"/>
    <w:rsid w:val="008D623F"/>
    <w:rsid w:val="008D6297"/>
    <w:rsid w:val="008D6397"/>
    <w:rsid w:val="008D63F9"/>
    <w:rsid w:val="008D64EB"/>
    <w:rsid w:val="008D6623"/>
    <w:rsid w:val="008D662B"/>
    <w:rsid w:val="008D6793"/>
    <w:rsid w:val="008D67A5"/>
    <w:rsid w:val="008D68CF"/>
    <w:rsid w:val="008D69BC"/>
    <w:rsid w:val="008D6ABA"/>
    <w:rsid w:val="008D6AEA"/>
    <w:rsid w:val="008D6B01"/>
    <w:rsid w:val="008D6BE6"/>
    <w:rsid w:val="008D6D27"/>
    <w:rsid w:val="008D6DAD"/>
    <w:rsid w:val="008D6E2A"/>
    <w:rsid w:val="008D6E97"/>
    <w:rsid w:val="008D6FC0"/>
    <w:rsid w:val="008D71EA"/>
    <w:rsid w:val="008D7227"/>
    <w:rsid w:val="008D73C9"/>
    <w:rsid w:val="008D74B6"/>
    <w:rsid w:val="008D74C0"/>
    <w:rsid w:val="008D7542"/>
    <w:rsid w:val="008D7670"/>
    <w:rsid w:val="008D78E6"/>
    <w:rsid w:val="008D7979"/>
    <w:rsid w:val="008D7AFF"/>
    <w:rsid w:val="008D7B9C"/>
    <w:rsid w:val="008D7BB5"/>
    <w:rsid w:val="008D7C76"/>
    <w:rsid w:val="008D7E1D"/>
    <w:rsid w:val="008D7E59"/>
    <w:rsid w:val="008D7F9A"/>
    <w:rsid w:val="008E005B"/>
    <w:rsid w:val="008E00F7"/>
    <w:rsid w:val="008E02EC"/>
    <w:rsid w:val="008E03BF"/>
    <w:rsid w:val="008E040B"/>
    <w:rsid w:val="008E0425"/>
    <w:rsid w:val="008E05B0"/>
    <w:rsid w:val="008E05EE"/>
    <w:rsid w:val="008E0689"/>
    <w:rsid w:val="008E0A2E"/>
    <w:rsid w:val="008E0CDB"/>
    <w:rsid w:val="008E0D1C"/>
    <w:rsid w:val="008E0D46"/>
    <w:rsid w:val="008E0F78"/>
    <w:rsid w:val="008E0FF2"/>
    <w:rsid w:val="008E1011"/>
    <w:rsid w:val="008E1122"/>
    <w:rsid w:val="008E115C"/>
    <w:rsid w:val="008E1199"/>
    <w:rsid w:val="008E1407"/>
    <w:rsid w:val="008E1457"/>
    <w:rsid w:val="008E1521"/>
    <w:rsid w:val="008E15F9"/>
    <w:rsid w:val="008E1683"/>
    <w:rsid w:val="008E16BF"/>
    <w:rsid w:val="008E183F"/>
    <w:rsid w:val="008E1944"/>
    <w:rsid w:val="008E1BE0"/>
    <w:rsid w:val="008E1C8D"/>
    <w:rsid w:val="008E1ECA"/>
    <w:rsid w:val="008E1EFE"/>
    <w:rsid w:val="008E1F84"/>
    <w:rsid w:val="008E1F87"/>
    <w:rsid w:val="008E1FD8"/>
    <w:rsid w:val="008E2002"/>
    <w:rsid w:val="008E2027"/>
    <w:rsid w:val="008E2120"/>
    <w:rsid w:val="008E2169"/>
    <w:rsid w:val="008E2256"/>
    <w:rsid w:val="008E2271"/>
    <w:rsid w:val="008E24CB"/>
    <w:rsid w:val="008E2694"/>
    <w:rsid w:val="008E26A6"/>
    <w:rsid w:val="008E27DC"/>
    <w:rsid w:val="008E2A23"/>
    <w:rsid w:val="008E2A2A"/>
    <w:rsid w:val="008E2D02"/>
    <w:rsid w:val="008E2D63"/>
    <w:rsid w:val="008E2E91"/>
    <w:rsid w:val="008E2FEE"/>
    <w:rsid w:val="008E3049"/>
    <w:rsid w:val="008E316B"/>
    <w:rsid w:val="008E3233"/>
    <w:rsid w:val="008E35A3"/>
    <w:rsid w:val="008E365B"/>
    <w:rsid w:val="008E3C23"/>
    <w:rsid w:val="008E3C2A"/>
    <w:rsid w:val="008E3C3B"/>
    <w:rsid w:val="008E3D3D"/>
    <w:rsid w:val="008E3DB0"/>
    <w:rsid w:val="008E3EEF"/>
    <w:rsid w:val="008E3F1C"/>
    <w:rsid w:val="008E40AA"/>
    <w:rsid w:val="008E4578"/>
    <w:rsid w:val="008E4688"/>
    <w:rsid w:val="008E4697"/>
    <w:rsid w:val="008E4888"/>
    <w:rsid w:val="008E49F5"/>
    <w:rsid w:val="008E4BF0"/>
    <w:rsid w:val="008E4D1C"/>
    <w:rsid w:val="008E4D7E"/>
    <w:rsid w:val="008E4DF8"/>
    <w:rsid w:val="008E4F53"/>
    <w:rsid w:val="008E5064"/>
    <w:rsid w:val="008E5149"/>
    <w:rsid w:val="008E529C"/>
    <w:rsid w:val="008E52B2"/>
    <w:rsid w:val="008E52FC"/>
    <w:rsid w:val="008E53A9"/>
    <w:rsid w:val="008E5518"/>
    <w:rsid w:val="008E5521"/>
    <w:rsid w:val="008E5576"/>
    <w:rsid w:val="008E559A"/>
    <w:rsid w:val="008E56EB"/>
    <w:rsid w:val="008E5713"/>
    <w:rsid w:val="008E57B6"/>
    <w:rsid w:val="008E57D3"/>
    <w:rsid w:val="008E5896"/>
    <w:rsid w:val="008E58EC"/>
    <w:rsid w:val="008E5904"/>
    <w:rsid w:val="008E5A81"/>
    <w:rsid w:val="008E5B36"/>
    <w:rsid w:val="008E5CF3"/>
    <w:rsid w:val="008E5D25"/>
    <w:rsid w:val="008E601A"/>
    <w:rsid w:val="008E610A"/>
    <w:rsid w:val="008E61CD"/>
    <w:rsid w:val="008E6285"/>
    <w:rsid w:val="008E63D8"/>
    <w:rsid w:val="008E6416"/>
    <w:rsid w:val="008E6422"/>
    <w:rsid w:val="008E6462"/>
    <w:rsid w:val="008E675D"/>
    <w:rsid w:val="008E6841"/>
    <w:rsid w:val="008E6CD8"/>
    <w:rsid w:val="008E6CF4"/>
    <w:rsid w:val="008E6CF8"/>
    <w:rsid w:val="008E6D32"/>
    <w:rsid w:val="008E6D3B"/>
    <w:rsid w:val="008E6E27"/>
    <w:rsid w:val="008E6F3E"/>
    <w:rsid w:val="008E6F52"/>
    <w:rsid w:val="008E6FB3"/>
    <w:rsid w:val="008E7064"/>
    <w:rsid w:val="008E7274"/>
    <w:rsid w:val="008E7334"/>
    <w:rsid w:val="008E74E6"/>
    <w:rsid w:val="008E753A"/>
    <w:rsid w:val="008E75CF"/>
    <w:rsid w:val="008E76EB"/>
    <w:rsid w:val="008E780C"/>
    <w:rsid w:val="008E7853"/>
    <w:rsid w:val="008E7B56"/>
    <w:rsid w:val="008E7D5C"/>
    <w:rsid w:val="008E7DAD"/>
    <w:rsid w:val="008E7F81"/>
    <w:rsid w:val="008E7FFC"/>
    <w:rsid w:val="008F00B4"/>
    <w:rsid w:val="008F024E"/>
    <w:rsid w:val="008F0515"/>
    <w:rsid w:val="008F0562"/>
    <w:rsid w:val="008F058C"/>
    <w:rsid w:val="008F0635"/>
    <w:rsid w:val="008F063F"/>
    <w:rsid w:val="008F06C4"/>
    <w:rsid w:val="008F06D7"/>
    <w:rsid w:val="008F079E"/>
    <w:rsid w:val="008F0AC6"/>
    <w:rsid w:val="008F0B09"/>
    <w:rsid w:val="008F0BCE"/>
    <w:rsid w:val="008F0BEE"/>
    <w:rsid w:val="008F0C29"/>
    <w:rsid w:val="008F0C54"/>
    <w:rsid w:val="008F0C5D"/>
    <w:rsid w:val="008F0C7B"/>
    <w:rsid w:val="008F0D59"/>
    <w:rsid w:val="008F0E87"/>
    <w:rsid w:val="008F0EE6"/>
    <w:rsid w:val="008F0F12"/>
    <w:rsid w:val="008F1298"/>
    <w:rsid w:val="008F12B8"/>
    <w:rsid w:val="008F136C"/>
    <w:rsid w:val="008F148F"/>
    <w:rsid w:val="008F16E5"/>
    <w:rsid w:val="008F1705"/>
    <w:rsid w:val="008F1774"/>
    <w:rsid w:val="008F1C9D"/>
    <w:rsid w:val="008F1CE5"/>
    <w:rsid w:val="008F1EC8"/>
    <w:rsid w:val="008F2039"/>
    <w:rsid w:val="008F203E"/>
    <w:rsid w:val="008F20AC"/>
    <w:rsid w:val="008F20C3"/>
    <w:rsid w:val="008F215E"/>
    <w:rsid w:val="008F21C2"/>
    <w:rsid w:val="008F21F7"/>
    <w:rsid w:val="008F21F8"/>
    <w:rsid w:val="008F2246"/>
    <w:rsid w:val="008F244B"/>
    <w:rsid w:val="008F248F"/>
    <w:rsid w:val="008F25F2"/>
    <w:rsid w:val="008F260B"/>
    <w:rsid w:val="008F289E"/>
    <w:rsid w:val="008F291E"/>
    <w:rsid w:val="008F29A9"/>
    <w:rsid w:val="008F2AB7"/>
    <w:rsid w:val="008F2B0A"/>
    <w:rsid w:val="008F2CCC"/>
    <w:rsid w:val="008F2D24"/>
    <w:rsid w:val="008F2D48"/>
    <w:rsid w:val="008F2D8D"/>
    <w:rsid w:val="008F2FB0"/>
    <w:rsid w:val="008F3001"/>
    <w:rsid w:val="008F30BE"/>
    <w:rsid w:val="008F31DA"/>
    <w:rsid w:val="008F320C"/>
    <w:rsid w:val="008F3319"/>
    <w:rsid w:val="008F339D"/>
    <w:rsid w:val="008F33B7"/>
    <w:rsid w:val="008F340A"/>
    <w:rsid w:val="008F35C3"/>
    <w:rsid w:val="008F3677"/>
    <w:rsid w:val="008F37C8"/>
    <w:rsid w:val="008F37D4"/>
    <w:rsid w:val="008F388D"/>
    <w:rsid w:val="008F3992"/>
    <w:rsid w:val="008F3A65"/>
    <w:rsid w:val="008F3B77"/>
    <w:rsid w:val="008F3BCC"/>
    <w:rsid w:val="008F4078"/>
    <w:rsid w:val="008F42CD"/>
    <w:rsid w:val="008F43F7"/>
    <w:rsid w:val="008F4437"/>
    <w:rsid w:val="008F470A"/>
    <w:rsid w:val="008F489A"/>
    <w:rsid w:val="008F4AA0"/>
    <w:rsid w:val="008F4B3E"/>
    <w:rsid w:val="008F4B83"/>
    <w:rsid w:val="008F4C00"/>
    <w:rsid w:val="008F4CCA"/>
    <w:rsid w:val="008F4D26"/>
    <w:rsid w:val="008F4DC5"/>
    <w:rsid w:val="008F4E2E"/>
    <w:rsid w:val="008F4EE0"/>
    <w:rsid w:val="008F50AE"/>
    <w:rsid w:val="008F5265"/>
    <w:rsid w:val="008F52FE"/>
    <w:rsid w:val="008F5425"/>
    <w:rsid w:val="008F542F"/>
    <w:rsid w:val="008F553A"/>
    <w:rsid w:val="008F5715"/>
    <w:rsid w:val="008F5941"/>
    <w:rsid w:val="008F5A66"/>
    <w:rsid w:val="008F5B46"/>
    <w:rsid w:val="008F5C82"/>
    <w:rsid w:val="008F5D6D"/>
    <w:rsid w:val="008F5D85"/>
    <w:rsid w:val="008F5FF4"/>
    <w:rsid w:val="008F6159"/>
    <w:rsid w:val="008F61AC"/>
    <w:rsid w:val="008F631A"/>
    <w:rsid w:val="008F63AB"/>
    <w:rsid w:val="008F63EE"/>
    <w:rsid w:val="008F6451"/>
    <w:rsid w:val="008F6497"/>
    <w:rsid w:val="008F6628"/>
    <w:rsid w:val="008F684A"/>
    <w:rsid w:val="008F68C4"/>
    <w:rsid w:val="008F6A14"/>
    <w:rsid w:val="008F6B71"/>
    <w:rsid w:val="008F6BE0"/>
    <w:rsid w:val="008F6CCB"/>
    <w:rsid w:val="008F6D5C"/>
    <w:rsid w:val="008F6D85"/>
    <w:rsid w:val="008F6D89"/>
    <w:rsid w:val="008F6E03"/>
    <w:rsid w:val="008F6F78"/>
    <w:rsid w:val="008F6FDF"/>
    <w:rsid w:val="008F7055"/>
    <w:rsid w:val="008F710A"/>
    <w:rsid w:val="008F732C"/>
    <w:rsid w:val="008F7367"/>
    <w:rsid w:val="008F739A"/>
    <w:rsid w:val="008F73CC"/>
    <w:rsid w:val="008F7421"/>
    <w:rsid w:val="008F75F3"/>
    <w:rsid w:val="008F7689"/>
    <w:rsid w:val="008F7824"/>
    <w:rsid w:val="008F78C3"/>
    <w:rsid w:val="008F7B0C"/>
    <w:rsid w:val="008F7CD1"/>
    <w:rsid w:val="008F7D25"/>
    <w:rsid w:val="008F7EAD"/>
    <w:rsid w:val="009001BD"/>
    <w:rsid w:val="0090027D"/>
    <w:rsid w:val="0090032F"/>
    <w:rsid w:val="00900596"/>
    <w:rsid w:val="009005C7"/>
    <w:rsid w:val="00900638"/>
    <w:rsid w:val="0090076E"/>
    <w:rsid w:val="0090077F"/>
    <w:rsid w:val="009007BE"/>
    <w:rsid w:val="009008C1"/>
    <w:rsid w:val="009008EC"/>
    <w:rsid w:val="00900999"/>
    <w:rsid w:val="009009CE"/>
    <w:rsid w:val="00900A76"/>
    <w:rsid w:val="00900AAF"/>
    <w:rsid w:val="00900AB4"/>
    <w:rsid w:val="00900B2A"/>
    <w:rsid w:val="00900CFE"/>
    <w:rsid w:val="00900D29"/>
    <w:rsid w:val="00900DB1"/>
    <w:rsid w:val="00900E1A"/>
    <w:rsid w:val="00900EAA"/>
    <w:rsid w:val="00900F8B"/>
    <w:rsid w:val="00901193"/>
    <w:rsid w:val="0090123E"/>
    <w:rsid w:val="009012A6"/>
    <w:rsid w:val="0090134E"/>
    <w:rsid w:val="00901499"/>
    <w:rsid w:val="0090156D"/>
    <w:rsid w:val="0090184B"/>
    <w:rsid w:val="00901AA9"/>
    <w:rsid w:val="00901B27"/>
    <w:rsid w:val="00901BBF"/>
    <w:rsid w:val="00901BC6"/>
    <w:rsid w:val="00901D94"/>
    <w:rsid w:val="00901EAC"/>
    <w:rsid w:val="00901EBB"/>
    <w:rsid w:val="00901FBC"/>
    <w:rsid w:val="00902020"/>
    <w:rsid w:val="0090208D"/>
    <w:rsid w:val="00902119"/>
    <w:rsid w:val="0090211A"/>
    <w:rsid w:val="00902127"/>
    <w:rsid w:val="0090217B"/>
    <w:rsid w:val="0090222B"/>
    <w:rsid w:val="00902365"/>
    <w:rsid w:val="009023E1"/>
    <w:rsid w:val="009024C7"/>
    <w:rsid w:val="00902519"/>
    <w:rsid w:val="00902625"/>
    <w:rsid w:val="00902671"/>
    <w:rsid w:val="00902764"/>
    <w:rsid w:val="009027A5"/>
    <w:rsid w:val="009027B3"/>
    <w:rsid w:val="00902805"/>
    <w:rsid w:val="00902849"/>
    <w:rsid w:val="00902A53"/>
    <w:rsid w:val="00902B44"/>
    <w:rsid w:val="00902D36"/>
    <w:rsid w:val="00902F7F"/>
    <w:rsid w:val="0090307A"/>
    <w:rsid w:val="009030AE"/>
    <w:rsid w:val="009031C2"/>
    <w:rsid w:val="009032FC"/>
    <w:rsid w:val="0090340A"/>
    <w:rsid w:val="00903611"/>
    <w:rsid w:val="00903812"/>
    <w:rsid w:val="0090392C"/>
    <w:rsid w:val="0090396D"/>
    <w:rsid w:val="00903A71"/>
    <w:rsid w:val="00903B38"/>
    <w:rsid w:val="00903BD0"/>
    <w:rsid w:val="00903C30"/>
    <w:rsid w:val="00903CA6"/>
    <w:rsid w:val="00903CF0"/>
    <w:rsid w:val="00903E81"/>
    <w:rsid w:val="0090414A"/>
    <w:rsid w:val="00904154"/>
    <w:rsid w:val="00904244"/>
    <w:rsid w:val="009042C7"/>
    <w:rsid w:val="0090430F"/>
    <w:rsid w:val="00904311"/>
    <w:rsid w:val="00904675"/>
    <w:rsid w:val="00904687"/>
    <w:rsid w:val="00904690"/>
    <w:rsid w:val="00904700"/>
    <w:rsid w:val="00904AB8"/>
    <w:rsid w:val="00904AF1"/>
    <w:rsid w:val="00904B2A"/>
    <w:rsid w:val="00904BBF"/>
    <w:rsid w:val="00904C82"/>
    <w:rsid w:val="00904D5F"/>
    <w:rsid w:val="00904DE4"/>
    <w:rsid w:val="00904EBE"/>
    <w:rsid w:val="00904ED9"/>
    <w:rsid w:val="009050DA"/>
    <w:rsid w:val="0090511F"/>
    <w:rsid w:val="00905125"/>
    <w:rsid w:val="00905175"/>
    <w:rsid w:val="009051E9"/>
    <w:rsid w:val="00905222"/>
    <w:rsid w:val="0090523C"/>
    <w:rsid w:val="00905443"/>
    <w:rsid w:val="0090563D"/>
    <w:rsid w:val="0090575D"/>
    <w:rsid w:val="00905976"/>
    <w:rsid w:val="00905A24"/>
    <w:rsid w:val="00905A93"/>
    <w:rsid w:val="00905B3E"/>
    <w:rsid w:val="00905C1F"/>
    <w:rsid w:val="00905CBB"/>
    <w:rsid w:val="00905DE5"/>
    <w:rsid w:val="00905EA8"/>
    <w:rsid w:val="00905F74"/>
    <w:rsid w:val="0090622B"/>
    <w:rsid w:val="00906407"/>
    <w:rsid w:val="0090646D"/>
    <w:rsid w:val="0090657E"/>
    <w:rsid w:val="00906821"/>
    <w:rsid w:val="009069A9"/>
    <w:rsid w:val="009069CF"/>
    <w:rsid w:val="00906CAD"/>
    <w:rsid w:val="00906D4D"/>
    <w:rsid w:val="00906DEA"/>
    <w:rsid w:val="00906E45"/>
    <w:rsid w:val="00906E65"/>
    <w:rsid w:val="00906F33"/>
    <w:rsid w:val="00906F81"/>
    <w:rsid w:val="00907055"/>
    <w:rsid w:val="00907273"/>
    <w:rsid w:val="00907292"/>
    <w:rsid w:val="0090744C"/>
    <w:rsid w:val="009075D9"/>
    <w:rsid w:val="00907611"/>
    <w:rsid w:val="00907CD2"/>
    <w:rsid w:val="00907D2A"/>
    <w:rsid w:val="00907D48"/>
    <w:rsid w:val="00907D5C"/>
    <w:rsid w:val="00907E2B"/>
    <w:rsid w:val="00907F14"/>
    <w:rsid w:val="00907F9D"/>
    <w:rsid w:val="0091013C"/>
    <w:rsid w:val="009101E6"/>
    <w:rsid w:val="00910334"/>
    <w:rsid w:val="009103C7"/>
    <w:rsid w:val="00910526"/>
    <w:rsid w:val="0091072E"/>
    <w:rsid w:val="0091092A"/>
    <w:rsid w:val="009109CB"/>
    <w:rsid w:val="009109DD"/>
    <w:rsid w:val="009109EF"/>
    <w:rsid w:val="00910AEE"/>
    <w:rsid w:val="00910B2C"/>
    <w:rsid w:val="00910B64"/>
    <w:rsid w:val="00910C1F"/>
    <w:rsid w:val="00910CA3"/>
    <w:rsid w:val="00910DD3"/>
    <w:rsid w:val="00910F78"/>
    <w:rsid w:val="009111A5"/>
    <w:rsid w:val="009111B8"/>
    <w:rsid w:val="009111BE"/>
    <w:rsid w:val="009111DA"/>
    <w:rsid w:val="00911233"/>
    <w:rsid w:val="009114A0"/>
    <w:rsid w:val="00911520"/>
    <w:rsid w:val="009115C1"/>
    <w:rsid w:val="0091165C"/>
    <w:rsid w:val="009116FC"/>
    <w:rsid w:val="00911780"/>
    <w:rsid w:val="00911783"/>
    <w:rsid w:val="00911792"/>
    <w:rsid w:val="009117A9"/>
    <w:rsid w:val="009119C0"/>
    <w:rsid w:val="009119E5"/>
    <w:rsid w:val="00911ABD"/>
    <w:rsid w:val="00911AFA"/>
    <w:rsid w:val="00911B3E"/>
    <w:rsid w:val="00911BE8"/>
    <w:rsid w:val="00911C1A"/>
    <w:rsid w:val="00911CC2"/>
    <w:rsid w:val="00911D13"/>
    <w:rsid w:val="00911D57"/>
    <w:rsid w:val="00911D95"/>
    <w:rsid w:val="00911DC2"/>
    <w:rsid w:val="00911DE4"/>
    <w:rsid w:val="00911E5A"/>
    <w:rsid w:val="00911F0F"/>
    <w:rsid w:val="00912070"/>
    <w:rsid w:val="0091222D"/>
    <w:rsid w:val="00912399"/>
    <w:rsid w:val="0091240E"/>
    <w:rsid w:val="00912443"/>
    <w:rsid w:val="00912594"/>
    <w:rsid w:val="009125B3"/>
    <w:rsid w:val="0091271B"/>
    <w:rsid w:val="00912795"/>
    <w:rsid w:val="009128E0"/>
    <w:rsid w:val="00912926"/>
    <w:rsid w:val="009129DC"/>
    <w:rsid w:val="00912CFB"/>
    <w:rsid w:val="00913052"/>
    <w:rsid w:val="0091314B"/>
    <w:rsid w:val="00913309"/>
    <w:rsid w:val="009133F3"/>
    <w:rsid w:val="009136A1"/>
    <w:rsid w:val="009137C3"/>
    <w:rsid w:val="009137E9"/>
    <w:rsid w:val="009138FA"/>
    <w:rsid w:val="00913917"/>
    <w:rsid w:val="0091395C"/>
    <w:rsid w:val="00913A5E"/>
    <w:rsid w:val="00913B7E"/>
    <w:rsid w:val="00913BC4"/>
    <w:rsid w:val="00913D3A"/>
    <w:rsid w:val="00913D87"/>
    <w:rsid w:val="00913E8E"/>
    <w:rsid w:val="00913F86"/>
    <w:rsid w:val="00913FF3"/>
    <w:rsid w:val="0091406A"/>
    <w:rsid w:val="00914305"/>
    <w:rsid w:val="00914346"/>
    <w:rsid w:val="0091448A"/>
    <w:rsid w:val="009144D5"/>
    <w:rsid w:val="009147F4"/>
    <w:rsid w:val="0091489D"/>
    <w:rsid w:val="009149D2"/>
    <w:rsid w:val="00914A4C"/>
    <w:rsid w:val="00914BE7"/>
    <w:rsid w:val="00914C2A"/>
    <w:rsid w:val="00914D07"/>
    <w:rsid w:val="00914D2E"/>
    <w:rsid w:val="00914E22"/>
    <w:rsid w:val="00914E75"/>
    <w:rsid w:val="00914EC2"/>
    <w:rsid w:val="00914EC3"/>
    <w:rsid w:val="0091500B"/>
    <w:rsid w:val="009150A1"/>
    <w:rsid w:val="009150BD"/>
    <w:rsid w:val="00915193"/>
    <w:rsid w:val="00915358"/>
    <w:rsid w:val="009153A0"/>
    <w:rsid w:val="009153C3"/>
    <w:rsid w:val="00915454"/>
    <w:rsid w:val="00915540"/>
    <w:rsid w:val="0091568D"/>
    <w:rsid w:val="009158FE"/>
    <w:rsid w:val="0091595B"/>
    <w:rsid w:val="009159E4"/>
    <w:rsid w:val="00915A39"/>
    <w:rsid w:val="00915A63"/>
    <w:rsid w:val="00915AB6"/>
    <w:rsid w:val="00915BC3"/>
    <w:rsid w:val="00915BCC"/>
    <w:rsid w:val="00915BFF"/>
    <w:rsid w:val="00915C0D"/>
    <w:rsid w:val="00915C6F"/>
    <w:rsid w:val="00915D29"/>
    <w:rsid w:val="00915F98"/>
    <w:rsid w:val="00915FA3"/>
    <w:rsid w:val="00916153"/>
    <w:rsid w:val="009161D6"/>
    <w:rsid w:val="0091624F"/>
    <w:rsid w:val="009163F2"/>
    <w:rsid w:val="00916633"/>
    <w:rsid w:val="009166ED"/>
    <w:rsid w:val="00916872"/>
    <w:rsid w:val="00916978"/>
    <w:rsid w:val="00916996"/>
    <w:rsid w:val="009169C3"/>
    <w:rsid w:val="00916C0F"/>
    <w:rsid w:val="00916CBD"/>
    <w:rsid w:val="00916CD0"/>
    <w:rsid w:val="00916D4A"/>
    <w:rsid w:val="00916F4D"/>
    <w:rsid w:val="00916FEE"/>
    <w:rsid w:val="009170EB"/>
    <w:rsid w:val="00917312"/>
    <w:rsid w:val="009175DC"/>
    <w:rsid w:val="00917995"/>
    <w:rsid w:val="00917AAF"/>
    <w:rsid w:val="00917DD2"/>
    <w:rsid w:val="00917DD4"/>
    <w:rsid w:val="00917E16"/>
    <w:rsid w:val="00917E40"/>
    <w:rsid w:val="00917EE2"/>
    <w:rsid w:val="00917FF2"/>
    <w:rsid w:val="00920067"/>
    <w:rsid w:val="00920192"/>
    <w:rsid w:val="00920216"/>
    <w:rsid w:val="00920445"/>
    <w:rsid w:val="00920470"/>
    <w:rsid w:val="00920502"/>
    <w:rsid w:val="0092069D"/>
    <w:rsid w:val="009206EF"/>
    <w:rsid w:val="00920797"/>
    <w:rsid w:val="00920A6B"/>
    <w:rsid w:val="00920B36"/>
    <w:rsid w:val="00920B49"/>
    <w:rsid w:val="00920DBA"/>
    <w:rsid w:val="00920F0D"/>
    <w:rsid w:val="00921021"/>
    <w:rsid w:val="009211CD"/>
    <w:rsid w:val="0092137A"/>
    <w:rsid w:val="00921413"/>
    <w:rsid w:val="009217F8"/>
    <w:rsid w:val="00921B05"/>
    <w:rsid w:val="00921D5D"/>
    <w:rsid w:val="00921F99"/>
    <w:rsid w:val="00921FB1"/>
    <w:rsid w:val="00921FD6"/>
    <w:rsid w:val="00922037"/>
    <w:rsid w:val="009221A4"/>
    <w:rsid w:val="009223D6"/>
    <w:rsid w:val="0092240A"/>
    <w:rsid w:val="0092240C"/>
    <w:rsid w:val="0092246B"/>
    <w:rsid w:val="00922493"/>
    <w:rsid w:val="00922656"/>
    <w:rsid w:val="00922662"/>
    <w:rsid w:val="009226C8"/>
    <w:rsid w:val="00922907"/>
    <w:rsid w:val="00922956"/>
    <w:rsid w:val="009229CD"/>
    <w:rsid w:val="00922A64"/>
    <w:rsid w:val="00922B43"/>
    <w:rsid w:val="00922D88"/>
    <w:rsid w:val="00922DAC"/>
    <w:rsid w:val="00922EE7"/>
    <w:rsid w:val="00922F4C"/>
    <w:rsid w:val="00922FF2"/>
    <w:rsid w:val="00923028"/>
    <w:rsid w:val="009231CE"/>
    <w:rsid w:val="009233CC"/>
    <w:rsid w:val="009233FD"/>
    <w:rsid w:val="00923423"/>
    <w:rsid w:val="0092356F"/>
    <w:rsid w:val="00923570"/>
    <w:rsid w:val="0092365D"/>
    <w:rsid w:val="009236C2"/>
    <w:rsid w:val="0092375C"/>
    <w:rsid w:val="00923CD6"/>
    <w:rsid w:val="00923D98"/>
    <w:rsid w:val="00923E1C"/>
    <w:rsid w:val="00923E63"/>
    <w:rsid w:val="00923ECD"/>
    <w:rsid w:val="00924011"/>
    <w:rsid w:val="0092470E"/>
    <w:rsid w:val="0092478E"/>
    <w:rsid w:val="0092479D"/>
    <w:rsid w:val="00924A70"/>
    <w:rsid w:val="00924AA4"/>
    <w:rsid w:val="00924B2D"/>
    <w:rsid w:val="00924BC1"/>
    <w:rsid w:val="00924DAD"/>
    <w:rsid w:val="00924DBC"/>
    <w:rsid w:val="00924EC5"/>
    <w:rsid w:val="0092506E"/>
    <w:rsid w:val="0092507A"/>
    <w:rsid w:val="00925127"/>
    <w:rsid w:val="00925187"/>
    <w:rsid w:val="009251DE"/>
    <w:rsid w:val="00925265"/>
    <w:rsid w:val="009253AD"/>
    <w:rsid w:val="009255BF"/>
    <w:rsid w:val="0092560C"/>
    <w:rsid w:val="00925857"/>
    <w:rsid w:val="009258F5"/>
    <w:rsid w:val="00925ADE"/>
    <w:rsid w:val="00925AEC"/>
    <w:rsid w:val="00925AF5"/>
    <w:rsid w:val="00925CAC"/>
    <w:rsid w:val="00925F18"/>
    <w:rsid w:val="0092606E"/>
    <w:rsid w:val="0092610F"/>
    <w:rsid w:val="0092625F"/>
    <w:rsid w:val="00926ADD"/>
    <w:rsid w:val="00926BAA"/>
    <w:rsid w:val="00926CD9"/>
    <w:rsid w:val="00926D53"/>
    <w:rsid w:val="00926E5A"/>
    <w:rsid w:val="0092701F"/>
    <w:rsid w:val="0092709C"/>
    <w:rsid w:val="00927115"/>
    <w:rsid w:val="0092712E"/>
    <w:rsid w:val="0092717E"/>
    <w:rsid w:val="0092717F"/>
    <w:rsid w:val="009271B2"/>
    <w:rsid w:val="0092744E"/>
    <w:rsid w:val="009275CE"/>
    <w:rsid w:val="009275D6"/>
    <w:rsid w:val="009275FC"/>
    <w:rsid w:val="0092764E"/>
    <w:rsid w:val="0092767D"/>
    <w:rsid w:val="0092768B"/>
    <w:rsid w:val="00927744"/>
    <w:rsid w:val="009277FD"/>
    <w:rsid w:val="00927842"/>
    <w:rsid w:val="0092787F"/>
    <w:rsid w:val="009278F9"/>
    <w:rsid w:val="0092795F"/>
    <w:rsid w:val="00927B05"/>
    <w:rsid w:val="00927B6E"/>
    <w:rsid w:val="00927C79"/>
    <w:rsid w:val="00927ECE"/>
    <w:rsid w:val="009301E5"/>
    <w:rsid w:val="009301F6"/>
    <w:rsid w:val="00930222"/>
    <w:rsid w:val="009302F5"/>
    <w:rsid w:val="0093030F"/>
    <w:rsid w:val="00930354"/>
    <w:rsid w:val="00930375"/>
    <w:rsid w:val="009303F2"/>
    <w:rsid w:val="009305A5"/>
    <w:rsid w:val="0093069A"/>
    <w:rsid w:val="009307D1"/>
    <w:rsid w:val="00930A8D"/>
    <w:rsid w:val="00930B33"/>
    <w:rsid w:val="00930BEB"/>
    <w:rsid w:val="00930D8A"/>
    <w:rsid w:val="00930DE3"/>
    <w:rsid w:val="00930E2D"/>
    <w:rsid w:val="00930F4E"/>
    <w:rsid w:val="00931136"/>
    <w:rsid w:val="00931147"/>
    <w:rsid w:val="0093116D"/>
    <w:rsid w:val="00931175"/>
    <w:rsid w:val="00931198"/>
    <w:rsid w:val="00931259"/>
    <w:rsid w:val="009312AD"/>
    <w:rsid w:val="009313F3"/>
    <w:rsid w:val="00931499"/>
    <w:rsid w:val="009316B6"/>
    <w:rsid w:val="009316E1"/>
    <w:rsid w:val="009318BA"/>
    <w:rsid w:val="009318C4"/>
    <w:rsid w:val="009318CA"/>
    <w:rsid w:val="00931907"/>
    <w:rsid w:val="00931977"/>
    <w:rsid w:val="009319BC"/>
    <w:rsid w:val="00931AD0"/>
    <w:rsid w:val="00931E4F"/>
    <w:rsid w:val="00931EE5"/>
    <w:rsid w:val="00931FE8"/>
    <w:rsid w:val="009320D7"/>
    <w:rsid w:val="00932192"/>
    <w:rsid w:val="009323AC"/>
    <w:rsid w:val="009323F3"/>
    <w:rsid w:val="00932614"/>
    <w:rsid w:val="0093263F"/>
    <w:rsid w:val="009327E3"/>
    <w:rsid w:val="009328B8"/>
    <w:rsid w:val="00932ABA"/>
    <w:rsid w:val="00932B41"/>
    <w:rsid w:val="00932C15"/>
    <w:rsid w:val="00932D60"/>
    <w:rsid w:val="00933042"/>
    <w:rsid w:val="0093307F"/>
    <w:rsid w:val="009330EE"/>
    <w:rsid w:val="009331FF"/>
    <w:rsid w:val="00933209"/>
    <w:rsid w:val="0093320B"/>
    <w:rsid w:val="00933450"/>
    <w:rsid w:val="00933746"/>
    <w:rsid w:val="009337AF"/>
    <w:rsid w:val="0093382F"/>
    <w:rsid w:val="0093383C"/>
    <w:rsid w:val="009338D5"/>
    <w:rsid w:val="0093397E"/>
    <w:rsid w:val="00933A67"/>
    <w:rsid w:val="00933A71"/>
    <w:rsid w:val="00933CA5"/>
    <w:rsid w:val="00933DA6"/>
    <w:rsid w:val="00933DC4"/>
    <w:rsid w:val="00933DC9"/>
    <w:rsid w:val="00933EC8"/>
    <w:rsid w:val="00933F07"/>
    <w:rsid w:val="009342A2"/>
    <w:rsid w:val="009342B5"/>
    <w:rsid w:val="009342D2"/>
    <w:rsid w:val="00934394"/>
    <w:rsid w:val="0093442A"/>
    <w:rsid w:val="0093478C"/>
    <w:rsid w:val="009347C8"/>
    <w:rsid w:val="009348B1"/>
    <w:rsid w:val="00934943"/>
    <w:rsid w:val="00934B9D"/>
    <w:rsid w:val="00934BA7"/>
    <w:rsid w:val="00934C00"/>
    <w:rsid w:val="00934D10"/>
    <w:rsid w:val="00934F3A"/>
    <w:rsid w:val="00935254"/>
    <w:rsid w:val="00935290"/>
    <w:rsid w:val="00935576"/>
    <w:rsid w:val="009355E3"/>
    <w:rsid w:val="009355F0"/>
    <w:rsid w:val="0093562D"/>
    <w:rsid w:val="00935786"/>
    <w:rsid w:val="00935839"/>
    <w:rsid w:val="009358D4"/>
    <w:rsid w:val="00935AC0"/>
    <w:rsid w:val="00935C75"/>
    <w:rsid w:val="00935CCD"/>
    <w:rsid w:val="00935D06"/>
    <w:rsid w:val="00935EC1"/>
    <w:rsid w:val="00936062"/>
    <w:rsid w:val="00936063"/>
    <w:rsid w:val="009364AA"/>
    <w:rsid w:val="009364BA"/>
    <w:rsid w:val="0093656B"/>
    <w:rsid w:val="009365AC"/>
    <w:rsid w:val="00936673"/>
    <w:rsid w:val="009367F6"/>
    <w:rsid w:val="00936840"/>
    <w:rsid w:val="00936920"/>
    <w:rsid w:val="00936944"/>
    <w:rsid w:val="0093698F"/>
    <w:rsid w:val="00936A2E"/>
    <w:rsid w:val="00936A91"/>
    <w:rsid w:val="00936BA3"/>
    <w:rsid w:val="00936D21"/>
    <w:rsid w:val="00936D98"/>
    <w:rsid w:val="00936F1D"/>
    <w:rsid w:val="00936FE4"/>
    <w:rsid w:val="00936FEE"/>
    <w:rsid w:val="0093709E"/>
    <w:rsid w:val="009371B9"/>
    <w:rsid w:val="00937296"/>
    <w:rsid w:val="009373F0"/>
    <w:rsid w:val="009374CE"/>
    <w:rsid w:val="00937530"/>
    <w:rsid w:val="00937665"/>
    <w:rsid w:val="0093772B"/>
    <w:rsid w:val="0093781C"/>
    <w:rsid w:val="0093786E"/>
    <w:rsid w:val="00937ABC"/>
    <w:rsid w:val="00937AC6"/>
    <w:rsid w:val="00937ACC"/>
    <w:rsid w:val="00937B0D"/>
    <w:rsid w:val="00937CBE"/>
    <w:rsid w:val="00937F21"/>
    <w:rsid w:val="00937FA2"/>
    <w:rsid w:val="00940064"/>
    <w:rsid w:val="009400A9"/>
    <w:rsid w:val="009400AC"/>
    <w:rsid w:val="009401E3"/>
    <w:rsid w:val="0094021F"/>
    <w:rsid w:val="009402BE"/>
    <w:rsid w:val="00940328"/>
    <w:rsid w:val="0094050F"/>
    <w:rsid w:val="00940729"/>
    <w:rsid w:val="009407BE"/>
    <w:rsid w:val="009407F9"/>
    <w:rsid w:val="0094080E"/>
    <w:rsid w:val="00940927"/>
    <w:rsid w:val="00940C88"/>
    <w:rsid w:val="00940D7B"/>
    <w:rsid w:val="00940DA3"/>
    <w:rsid w:val="00940E34"/>
    <w:rsid w:val="00941065"/>
    <w:rsid w:val="009411B1"/>
    <w:rsid w:val="0094124E"/>
    <w:rsid w:val="00941368"/>
    <w:rsid w:val="00941416"/>
    <w:rsid w:val="0094141F"/>
    <w:rsid w:val="0094150F"/>
    <w:rsid w:val="0094179B"/>
    <w:rsid w:val="009417F8"/>
    <w:rsid w:val="00941800"/>
    <w:rsid w:val="009418FE"/>
    <w:rsid w:val="0094196B"/>
    <w:rsid w:val="009419DB"/>
    <w:rsid w:val="00941AC8"/>
    <w:rsid w:val="00941B04"/>
    <w:rsid w:val="00941C45"/>
    <w:rsid w:val="0094207E"/>
    <w:rsid w:val="009420A8"/>
    <w:rsid w:val="00942210"/>
    <w:rsid w:val="00942347"/>
    <w:rsid w:val="0094236F"/>
    <w:rsid w:val="009423C7"/>
    <w:rsid w:val="00942574"/>
    <w:rsid w:val="009429CF"/>
    <w:rsid w:val="00942A65"/>
    <w:rsid w:val="00942AE9"/>
    <w:rsid w:val="00942D46"/>
    <w:rsid w:val="00942DCC"/>
    <w:rsid w:val="00942DE5"/>
    <w:rsid w:val="00942E1F"/>
    <w:rsid w:val="00942E98"/>
    <w:rsid w:val="009431A5"/>
    <w:rsid w:val="009431AA"/>
    <w:rsid w:val="009431AB"/>
    <w:rsid w:val="00943291"/>
    <w:rsid w:val="009433FB"/>
    <w:rsid w:val="0094343D"/>
    <w:rsid w:val="0094353E"/>
    <w:rsid w:val="00943560"/>
    <w:rsid w:val="0094361F"/>
    <w:rsid w:val="00943711"/>
    <w:rsid w:val="009439B9"/>
    <w:rsid w:val="00943A5D"/>
    <w:rsid w:val="00943AAF"/>
    <w:rsid w:val="00943B3B"/>
    <w:rsid w:val="00943E59"/>
    <w:rsid w:val="00943F45"/>
    <w:rsid w:val="00943FCD"/>
    <w:rsid w:val="00944087"/>
    <w:rsid w:val="009441DC"/>
    <w:rsid w:val="009441E4"/>
    <w:rsid w:val="00944413"/>
    <w:rsid w:val="0094442B"/>
    <w:rsid w:val="00944445"/>
    <w:rsid w:val="00944488"/>
    <w:rsid w:val="00944631"/>
    <w:rsid w:val="009448C7"/>
    <w:rsid w:val="009448FC"/>
    <w:rsid w:val="00944A87"/>
    <w:rsid w:val="00944ACB"/>
    <w:rsid w:val="00944B3D"/>
    <w:rsid w:val="00944E74"/>
    <w:rsid w:val="00944EFB"/>
    <w:rsid w:val="00944F7B"/>
    <w:rsid w:val="009450B4"/>
    <w:rsid w:val="00945239"/>
    <w:rsid w:val="009453F6"/>
    <w:rsid w:val="009455D8"/>
    <w:rsid w:val="00945676"/>
    <w:rsid w:val="009458E0"/>
    <w:rsid w:val="00945949"/>
    <w:rsid w:val="00945AE1"/>
    <w:rsid w:val="00945BE7"/>
    <w:rsid w:val="00945BF1"/>
    <w:rsid w:val="00945C43"/>
    <w:rsid w:val="00945C4F"/>
    <w:rsid w:val="00945C7E"/>
    <w:rsid w:val="00945E6F"/>
    <w:rsid w:val="009460FB"/>
    <w:rsid w:val="009461AA"/>
    <w:rsid w:val="009461EA"/>
    <w:rsid w:val="00946278"/>
    <w:rsid w:val="009465B1"/>
    <w:rsid w:val="0094667E"/>
    <w:rsid w:val="009466DB"/>
    <w:rsid w:val="00946787"/>
    <w:rsid w:val="00946891"/>
    <w:rsid w:val="00946A38"/>
    <w:rsid w:val="00946A3A"/>
    <w:rsid w:val="00946A6B"/>
    <w:rsid w:val="00946C9C"/>
    <w:rsid w:val="00946CE3"/>
    <w:rsid w:val="00946E92"/>
    <w:rsid w:val="0094702A"/>
    <w:rsid w:val="00947183"/>
    <w:rsid w:val="009471D7"/>
    <w:rsid w:val="00947221"/>
    <w:rsid w:val="009473B4"/>
    <w:rsid w:val="00947406"/>
    <w:rsid w:val="00947416"/>
    <w:rsid w:val="0094749A"/>
    <w:rsid w:val="009474B3"/>
    <w:rsid w:val="009474B8"/>
    <w:rsid w:val="00947520"/>
    <w:rsid w:val="00947617"/>
    <w:rsid w:val="009476D8"/>
    <w:rsid w:val="00947802"/>
    <w:rsid w:val="00947859"/>
    <w:rsid w:val="009478EB"/>
    <w:rsid w:val="00947933"/>
    <w:rsid w:val="00947A4E"/>
    <w:rsid w:val="00947A5F"/>
    <w:rsid w:val="00947A6C"/>
    <w:rsid w:val="00947B93"/>
    <w:rsid w:val="00947BD0"/>
    <w:rsid w:val="00947D7D"/>
    <w:rsid w:val="00947F84"/>
    <w:rsid w:val="0095003F"/>
    <w:rsid w:val="0095012E"/>
    <w:rsid w:val="00950201"/>
    <w:rsid w:val="00950259"/>
    <w:rsid w:val="009502E4"/>
    <w:rsid w:val="00950384"/>
    <w:rsid w:val="009503EA"/>
    <w:rsid w:val="0095066F"/>
    <w:rsid w:val="009506E9"/>
    <w:rsid w:val="009506F1"/>
    <w:rsid w:val="00950796"/>
    <w:rsid w:val="009507A6"/>
    <w:rsid w:val="009508AB"/>
    <w:rsid w:val="0095091C"/>
    <w:rsid w:val="0095093E"/>
    <w:rsid w:val="00950B90"/>
    <w:rsid w:val="00950BD3"/>
    <w:rsid w:val="00950C5E"/>
    <w:rsid w:val="00950C8F"/>
    <w:rsid w:val="00950DC5"/>
    <w:rsid w:val="00950FB7"/>
    <w:rsid w:val="00950FE6"/>
    <w:rsid w:val="0095104B"/>
    <w:rsid w:val="0095105A"/>
    <w:rsid w:val="00951063"/>
    <w:rsid w:val="00951085"/>
    <w:rsid w:val="0095118A"/>
    <w:rsid w:val="00951230"/>
    <w:rsid w:val="00951307"/>
    <w:rsid w:val="00951388"/>
    <w:rsid w:val="009513D5"/>
    <w:rsid w:val="009513EA"/>
    <w:rsid w:val="00951470"/>
    <w:rsid w:val="00951536"/>
    <w:rsid w:val="0095157E"/>
    <w:rsid w:val="00951646"/>
    <w:rsid w:val="00951731"/>
    <w:rsid w:val="009517AC"/>
    <w:rsid w:val="0095182B"/>
    <w:rsid w:val="0095187D"/>
    <w:rsid w:val="00951934"/>
    <w:rsid w:val="00951AA2"/>
    <w:rsid w:val="00951B4E"/>
    <w:rsid w:val="00951BAE"/>
    <w:rsid w:val="00951C34"/>
    <w:rsid w:val="00952058"/>
    <w:rsid w:val="0095207B"/>
    <w:rsid w:val="009520EA"/>
    <w:rsid w:val="009521A9"/>
    <w:rsid w:val="0095232D"/>
    <w:rsid w:val="009523D3"/>
    <w:rsid w:val="0095248A"/>
    <w:rsid w:val="009524DB"/>
    <w:rsid w:val="0095259A"/>
    <w:rsid w:val="009525C7"/>
    <w:rsid w:val="009525F1"/>
    <w:rsid w:val="00952615"/>
    <w:rsid w:val="00952619"/>
    <w:rsid w:val="0095277D"/>
    <w:rsid w:val="009528C1"/>
    <w:rsid w:val="0095296D"/>
    <w:rsid w:val="00952A48"/>
    <w:rsid w:val="00952A88"/>
    <w:rsid w:val="00952AB1"/>
    <w:rsid w:val="00952AC2"/>
    <w:rsid w:val="00952AEF"/>
    <w:rsid w:val="00952BD3"/>
    <w:rsid w:val="00952D20"/>
    <w:rsid w:val="00952D75"/>
    <w:rsid w:val="0095303D"/>
    <w:rsid w:val="00953088"/>
    <w:rsid w:val="00953272"/>
    <w:rsid w:val="00953364"/>
    <w:rsid w:val="0095337B"/>
    <w:rsid w:val="00953425"/>
    <w:rsid w:val="009534CC"/>
    <w:rsid w:val="009537D8"/>
    <w:rsid w:val="00953904"/>
    <w:rsid w:val="00953A07"/>
    <w:rsid w:val="00953A6E"/>
    <w:rsid w:val="00953AAD"/>
    <w:rsid w:val="00953F13"/>
    <w:rsid w:val="00953F99"/>
    <w:rsid w:val="00953FC0"/>
    <w:rsid w:val="0095412B"/>
    <w:rsid w:val="009541BF"/>
    <w:rsid w:val="009542B4"/>
    <w:rsid w:val="009543D9"/>
    <w:rsid w:val="009543E8"/>
    <w:rsid w:val="0095451A"/>
    <w:rsid w:val="00954543"/>
    <w:rsid w:val="009546BE"/>
    <w:rsid w:val="009546E8"/>
    <w:rsid w:val="00954747"/>
    <w:rsid w:val="00954895"/>
    <w:rsid w:val="009549C2"/>
    <w:rsid w:val="00954A3E"/>
    <w:rsid w:val="00954A82"/>
    <w:rsid w:val="00954AC6"/>
    <w:rsid w:val="00954B35"/>
    <w:rsid w:val="00954C8C"/>
    <w:rsid w:val="00954D8A"/>
    <w:rsid w:val="00954E6C"/>
    <w:rsid w:val="00954EFF"/>
    <w:rsid w:val="00955057"/>
    <w:rsid w:val="009551E1"/>
    <w:rsid w:val="00955294"/>
    <w:rsid w:val="0095541C"/>
    <w:rsid w:val="009554BD"/>
    <w:rsid w:val="0095554F"/>
    <w:rsid w:val="00955632"/>
    <w:rsid w:val="00955829"/>
    <w:rsid w:val="00955DDC"/>
    <w:rsid w:val="00955E5E"/>
    <w:rsid w:val="00955EA6"/>
    <w:rsid w:val="00955F71"/>
    <w:rsid w:val="00956025"/>
    <w:rsid w:val="009560CC"/>
    <w:rsid w:val="009561C3"/>
    <w:rsid w:val="009561DA"/>
    <w:rsid w:val="0095622A"/>
    <w:rsid w:val="0095650F"/>
    <w:rsid w:val="00956581"/>
    <w:rsid w:val="009565F3"/>
    <w:rsid w:val="0095661F"/>
    <w:rsid w:val="00956734"/>
    <w:rsid w:val="0095676D"/>
    <w:rsid w:val="00956779"/>
    <w:rsid w:val="009569E3"/>
    <w:rsid w:val="00956A14"/>
    <w:rsid w:val="00956ACE"/>
    <w:rsid w:val="00956C66"/>
    <w:rsid w:val="00956D1A"/>
    <w:rsid w:val="00956D1F"/>
    <w:rsid w:val="009572A0"/>
    <w:rsid w:val="00957356"/>
    <w:rsid w:val="00957498"/>
    <w:rsid w:val="009575E0"/>
    <w:rsid w:val="00957674"/>
    <w:rsid w:val="009576C0"/>
    <w:rsid w:val="00957731"/>
    <w:rsid w:val="00957740"/>
    <w:rsid w:val="00957802"/>
    <w:rsid w:val="00957842"/>
    <w:rsid w:val="009578DC"/>
    <w:rsid w:val="009579B7"/>
    <w:rsid w:val="009579DF"/>
    <w:rsid w:val="00957AAB"/>
    <w:rsid w:val="00957C08"/>
    <w:rsid w:val="00957D24"/>
    <w:rsid w:val="00957DD4"/>
    <w:rsid w:val="00957DDC"/>
    <w:rsid w:val="00957EB5"/>
    <w:rsid w:val="00957EE7"/>
    <w:rsid w:val="00960064"/>
    <w:rsid w:val="00960087"/>
    <w:rsid w:val="00960149"/>
    <w:rsid w:val="00960189"/>
    <w:rsid w:val="00960212"/>
    <w:rsid w:val="00960316"/>
    <w:rsid w:val="00960366"/>
    <w:rsid w:val="0096039D"/>
    <w:rsid w:val="0096047A"/>
    <w:rsid w:val="00960553"/>
    <w:rsid w:val="00960574"/>
    <w:rsid w:val="00960633"/>
    <w:rsid w:val="0096068C"/>
    <w:rsid w:val="0096088D"/>
    <w:rsid w:val="0096096E"/>
    <w:rsid w:val="009609D2"/>
    <w:rsid w:val="00960AAF"/>
    <w:rsid w:val="00960ADD"/>
    <w:rsid w:val="00960DCF"/>
    <w:rsid w:val="00960E2E"/>
    <w:rsid w:val="00960E34"/>
    <w:rsid w:val="00960E66"/>
    <w:rsid w:val="00960F00"/>
    <w:rsid w:val="00960FF6"/>
    <w:rsid w:val="00961023"/>
    <w:rsid w:val="009613A1"/>
    <w:rsid w:val="00961501"/>
    <w:rsid w:val="00961541"/>
    <w:rsid w:val="009615DC"/>
    <w:rsid w:val="00961626"/>
    <w:rsid w:val="009616AC"/>
    <w:rsid w:val="009616E5"/>
    <w:rsid w:val="0096171E"/>
    <w:rsid w:val="00961830"/>
    <w:rsid w:val="0096185B"/>
    <w:rsid w:val="00961A1E"/>
    <w:rsid w:val="00961AE1"/>
    <w:rsid w:val="00961B53"/>
    <w:rsid w:val="00961CE3"/>
    <w:rsid w:val="00961DF1"/>
    <w:rsid w:val="00961F9A"/>
    <w:rsid w:val="00961F9F"/>
    <w:rsid w:val="00962073"/>
    <w:rsid w:val="00962259"/>
    <w:rsid w:val="00962302"/>
    <w:rsid w:val="009623FD"/>
    <w:rsid w:val="009624FF"/>
    <w:rsid w:val="009625C5"/>
    <w:rsid w:val="009625E0"/>
    <w:rsid w:val="0096263A"/>
    <w:rsid w:val="0096265B"/>
    <w:rsid w:val="00962710"/>
    <w:rsid w:val="00962727"/>
    <w:rsid w:val="00962AA0"/>
    <w:rsid w:val="00962ADB"/>
    <w:rsid w:val="00962AE0"/>
    <w:rsid w:val="00962AF3"/>
    <w:rsid w:val="00962B3F"/>
    <w:rsid w:val="00962BD9"/>
    <w:rsid w:val="00962CC2"/>
    <w:rsid w:val="00962EDB"/>
    <w:rsid w:val="00962F6C"/>
    <w:rsid w:val="00963264"/>
    <w:rsid w:val="0096329C"/>
    <w:rsid w:val="0096362F"/>
    <w:rsid w:val="00963759"/>
    <w:rsid w:val="00963778"/>
    <w:rsid w:val="00963874"/>
    <w:rsid w:val="0096389D"/>
    <w:rsid w:val="00963908"/>
    <w:rsid w:val="00963A8A"/>
    <w:rsid w:val="00963AAD"/>
    <w:rsid w:val="00963C6E"/>
    <w:rsid w:val="00963D07"/>
    <w:rsid w:val="00964141"/>
    <w:rsid w:val="00964227"/>
    <w:rsid w:val="00964258"/>
    <w:rsid w:val="00964326"/>
    <w:rsid w:val="0096437D"/>
    <w:rsid w:val="009643E8"/>
    <w:rsid w:val="00964419"/>
    <w:rsid w:val="00964764"/>
    <w:rsid w:val="0096485F"/>
    <w:rsid w:val="009648BE"/>
    <w:rsid w:val="009648CA"/>
    <w:rsid w:val="00964902"/>
    <w:rsid w:val="009649F6"/>
    <w:rsid w:val="00964AD0"/>
    <w:rsid w:val="00964CF3"/>
    <w:rsid w:val="00964D60"/>
    <w:rsid w:val="00964F12"/>
    <w:rsid w:val="00965125"/>
    <w:rsid w:val="00965390"/>
    <w:rsid w:val="0096546A"/>
    <w:rsid w:val="009655AB"/>
    <w:rsid w:val="009655B9"/>
    <w:rsid w:val="009656F4"/>
    <w:rsid w:val="00965700"/>
    <w:rsid w:val="00965734"/>
    <w:rsid w:val="00965786"/>
    <w:rsid w:val="009657CC"/>
    <w:rsid w:val="0096594E"/>
    <w:rsid w:val="009659CD"/>
    <w:rsid w:val="00965A3D"/>
    <w:rsid w:val="00965B6F"/>
    <w:rsid w:val="00965C8F"/>
    <w:rsid w:val="00965DE2"/>
    <w:rsid w:val="00965E41"/>
    <w:rsid w:val="00965FCA"/>
    <w:rsid w:val="00965FEA"/>
    <w:rsid w:val="00966040"/>
    <w:rsid w:val="00966061"/>
    <w:rsid w:val="00966076"/>
    <w:rsid w:val="00966209"/>
    <w:rsid w:val="0096631A"/>
    <w:rsid w:val="009663BA"/>
    <w:rsid w:val="00966409"/>
    <w:rsid w:val="009666AF"/>
    <w:rsid w:val="00966770"/>
    <w:rsid w:val="00966792"/>
    <w:rsid w:val="0096681E"/>
    <w:rsid w:val="009668B8"/>
    <w:rsid w:val="0096695A"/>
    <w:rsid w:val="00966B6A"/>
    <w:rsid w:val="00966BDE"/>
    <w:rsid w:val="00966DDF"/>
    <w:rsid w:val="00966DE7"/>
    <w:rsid w:val="00966DF6"/>
    <w:rsid w:val="009670E7"/>
    <w:rsid w:val="0096719B"/>
    <w:rsid w:val="00967338"/>
    <w:rsid w:val="009676C0"/>
    <w:rsid w:val="00967852"/>
    <w:rsid w:val="009679F1"/>
    <w:rsid w:val="00967B48"/>
    <w:rsid w:val="00967B54"/>
    <w:rsid w:val="00967B6A"/>
    <w:rsid w:val="00967B89"/>
    <w:rsid w:val="00967CE8"/>
    <w:rsid w:val="00967D08"/>
    <w:rsid w:val="00967E6D"/>
    <w:rsid w:val="00967F06"/>
    <w:rsid w:val="00967FB0"/>
    <w:rsid w:val="00967FCC"/>
    <w:rsid w:val="00970077"/>
    <w:rsid w:val="0097016E"/>
    <w:rsid w:val="00970241"/>
    <w:rsid w:val="009702E9"/>
    <w:rsid w:val="00970466"/>
    <w:rsid w:val="0097054A"/>
    <w:rsid w:val="00970660"/>
    <w:rsid w:val="0097073E"/>
    <w:rsid w:val="00970848"/>
    <w:rsid w:val="009708E4"/>
    <w:rsid w:val="009709C9"/>
    <w:rsid w:val="00970A1C"/>
    <w:rsid w:val="00970A81"/>
    <w:rsid w:val="00970C36"/>
    <w:rsid w:val="00970DBB"/>
    <w:rsid w:val="00970E5F"/>
    <w:rsid w:val="00970FE9"/>
    <w:rsid w:val="009710FB"/>
    <w:rsid w:val="009711CB"/>
    <w:rsid w:val="0097120A"/>
    <w:rsid w:val="009713AA"/>
    <w:rsid w:val="009713E2"/>
    <w:rsid w:val="00971426"/>
    <w:rsid w:val="009714A3"/>
    <w:rsid w:val="009717A0"/>
    <w:rsid w:val="0097181C"/>
    <w:rsid w:val="0097187A"/>
    <w:rsid w:val="00971895"/>
    <w:rsid w:val="00971A02"/>
    <w:rsid w:val="00971A7F"/>
    <w:rsid w:val="00971BF7"/>
    <w:rsid w:val="00971E72"/>
    <w:rsid w:val="00971FAF"/>
    <w:rsid w:val="0097204F"/>
    <w:rsid w:val="00972104"/>
    <w:rsid w:val="00972205"/>
    <w:rsid w:val="009722AC"/>
    <w:rsid w:val="009722BA"/>
    <w:rsid w:val="00972338"/>
    <w:rsid w:val="00972418"/>
    <w:rsid w:val="0097247F"/>
    <w:rsid w:val="0097258D"/>
    <w:rsid w:val="0097263C"/>
    <w:rsid w:val="0097276C"/>
    <w:rsid w:val="00972ADD"/>
    <w:rsid w:val="00972AE6"/>
    <w:rsid w:val="00972BE6"/>
    <w:rsid w:val="00972C0F"/>
    <w:rsid w:val="00972D73"/>
    <w:rsid w:val="00972D93"/>
    <w:rsid w:val="00972D98"/>
    <w:rsid w:val="00972E8F"/>
    <w:rsid w:val="00972EB6"/>
    <w:rsid w:val="00972F4E"/>
    <w:rsid w:val="00973034"/>
    <w:rsid w:val="00973107"/>
    <w:rsid w:val="0097310E"/>
    <w:rsid w:val="009732BC"/>
    <w:rsid w:val="0097334D"/>
    <w:rsid w:val="0097337A"/>
    <w:rsid w:val="009733A3"/>
    <w:rsid w:val="0097344D"/>
    <w:rsid w:val="009735A4"/>
    <w:rsid w:val="0097367D"/>
    <w:rsid w:val="0097384F"/>
    <w:rsid w:val="00973993"/>
    <w:rsid w:val="00973A29"/>
    <w:rsid w:val="00973A2E"/>
    <w:rsid w:val="00973A7E"/>
    <w:rsid w:val="00973B89"/>
    <w:rsid w:val="00973D75"/>
    <w:rsid w:val="00973E44"/>
    <w:rsid w:val="00973E4B"/>
    <w:rsid w:val="00973E6B"/>
    <w:rsid w:val="00973E8D"/>
    <w:rsid w:val="009740FD"/>
    <w:rsid w:val="009742CA"/>
    <w:rsid w:val="00974434"/>
    <w:rsid w:val="009744D5"/>
    <w:rsid w:val="009745FF"/>
    <w:rsid w:val="0097462E"/>
    <w:rsid w:val="009746FA"/>
    <w:rsid w:val="0097494C"/>
    <w:rsid w:val="0097496E"/>
    <w:rsid w:val="00974CF9"/>
    <w:rsid w:val="00974D8C"/>
    <w:rsid w:val="0097510A"/>
    <w:rsid w:val="00975215"/>
    <w:rsid w:val="009752D0"/>
    <w:rsid w:val="009754E6"/>
    <w:rsid w:val="00975548"/>
    <w:rsid w:val="009755A5"/>
    <w:rsid w:val="0097565E"/>
    <w:rsid w:val="00975786"/>
    <w:rsid w:val="00975942"/>
    <w:rsid w:val="009759B4"/>
    <w:rsid w:val="009759B9"/>
    <w:rsid w:val="009759C3"/>
    <w:rsid w:val="00975A09"/>
    <w:rsid w:val="00975A81"/>
    <w:rsid w:val="00975C2E"/>
    <w:rsid w:val="00975D2A"/>
    <w:rsid w:val="00975DB7"/>
    <w:rsid w:val="00975E20"/>
    <w:rsid w:val="00975EC8"/>
    <w:rsid w:val="00975F24"/>
    <w:rsid w:val="0097600D"/>
    <w:rsid w:val="009762C4"/>
    <w:rsid w:val="00976406"/>
    <w:rsid w:val="00976573"/>
    <w:rsid w:val="0097669D"/>
    <w:rsid w:val="00976719"/>
    <w:rsid w:val="0097680B"/>
    <w:rsid w:val="0097699A"/>
    <w:rsid w:val="00976A17"/>
    <w:rsid w:val="00976A3F"/>
    <w:rsid w:val="00976AB8"/>
    <w:rsid w:val="00976C55"/>
    <w:rsid w:val="00976CFB"/>
    <w:rsid w:val="00976F1A"/>
    <w:rsid w:val="00976F93"/>
    <w:rsid w:val="0097727D"/>
    <w:rsid w:val="0097767D"/>
    <w:rsid w:val="009776D2"/>
    <w:rsid w:val="0097770A"/>
    <w:rsid w:val="00977850"/>
    <w:rsid w:val="009778A1"/>
    <w:rsid w:val="00977A88"/>
    <w:rsid w:val="00977B9B"/>
    <w:rsid w:val="00977CE1"/>
    <w:rsid w:val="00977EA1"/>
    <w:rsid w:val="00980011"/>
    <w:rsid w:val="0098010D"/>
    <w:rsid w:val="00980165"/>
    <w:rsid w:val="009801C9"/>
    <w:rsid w:val="00980214"/>
    <w:rsid w:val="0098021F"/>
    <w:rsid w:val="009803A9"/>
    <w:rsid w:val="009803CB"/>
    <w:rsid w:val="009803D4"/>
    <w:rsid w:val="0098040C"/>
    <w:rsid w:val="00980457"/>
    <w:rsid w:val="009806DD"/>
    <w:rsid w:val="009807A2"/>
    <w:rsid w:val="00980814"/>
    <w:rsid w:val="00980877"/>
    <w:rsid w:val="009809A6"/>
    <w:rsid w:val="00980AEB"/>
    <w:rsid w:val="00980BE5"/>
    <w:rsid w:val="00980CB6"/>
    <w:rsid w:val="00980D40"/>
    <w:rsid w:val="00980D6D"/>
    <w:rsid w:val="00980D8C"/>
    <w:rsid w:val="00980DAF"/>
    <w:rsid w:val="00980DCC"/>
    <w:rsid w:val="00980EAF"/>
    <w:rsid w:val="00981068"/>
    <w:rsid w:val="00981111"/>
    <w:rsid w:val="00981451"/>
    <w:rsid w:val="00981461"/>
    <w:rsid w:val="00981486"/>
    <w:rsid w:val="00981542"/>
    <w:rsid w:val="009816AC"/>
    <w:rsid w:val="009816C6"/>
    <w:rsid w:val="00981747"/>
    <w:rsid w:val="009817A3"/>
    <w:rsid w:val="0098183E"/>
    <w:rsid w:val="00981907"/>
    <w:rsid w:val="0098199C"/>
    <w:rsid w:val="00981BD9"/>
    <w:rsid w:val="00981E31"/>
    <w:rsid w:val="00981F69"/>
    <w:rsid w:val="009820A0"/>
    <w:rsid w:val="00982220"/>
    <w:rsid w:val="0098234F"/>
    <w:rsid w:val="009824A4"/>
    <w:rsid w:val="009824B1"/>
    <w:rsid w:val="009826C1"/>
    <w:rsid w:val="009826F3"/>
    <w:rsid w:val="0098283E"/>
    <w:rsid w:val="0098296C"/>
    <w:rsid w:val="00982AC8"/>
    <w:rsid w:val="00982AEF"/>
    <w:rsid w:val="00982C04"/>
    <w:rsid w:val="00982D11"/>
    <w:rsid w:val="00982D31"/>
    <w:rsid w:val="00982E72"/>
    <w:rsid w:val="00982F0D"/>
    <w:rsid w:val="00982F21"/>
    <w:rsid w:val="00982F86"/>
    <w:rsid w:val="00983004"/>
    <w:rsid w:val="009832AA"/>
    <w:rsid w:val="009832FF"/>
    <w:rsid w:val="009833EC"/>
    <w:rsid w:val="009834A4"/>
    <w:rsid w:val="009834FE"/>
    <w:rsid w:val="00983556"/>
    <w:rsid w:val="009835B0"/>
    <w:rsid w:val="009835DF"/>
    <w:rsid w:val="009836B3"/>
    <w:rsid w:val="009836D5"/>
    <w:rsid w:val="00983920"/>
    <w:rsid w:val="00983992"/>
    <w:rsid w:val="00983A33"/>
    <w:rsid w:val="00983A44"/>
    <w:rsid w:val="00983B05"/>
    <w:rsid w:val="00983BF4"/>
    <w:rsid w:val="00983DFB"/>
    <w:rsid w:val="00983E20"/>
    <w:rsid w:val="00983E70"/>
    <w:rsid w:val="00983F47"/>
    <w:rsid w:val="00983F6B"/>
    <w:rsid w:val="009843F0"/>
    <w:rsid w:val="009846CF"/>
    <w:rsid w:val="009846E1"/>
    <w:rsid w:val="0098478B"/>
    <w:rsid w:val="0098479E"/>
    <w:rsid w:val="009847E4"/>
    <w:rsid w:val="009849C2"/>
    <w:rsid w:val="00984A1A"/>
    <w:rsid w:val="00984A4E"/>
    <w:rsid w:val="00984D77"/>
    <w:rsid w:val="00984D95"/>
    <w:rsid w:val="00984DD6"/>
    <w:rsid w:val="00984E0D"/>
    <w:rsid w:val="00984E9E"/>
    <w:rsid w:val="00984ECA"/>
    <w:rsid w:val="00984EF5"/>
    <w:rsid w:val="00984F05"/>
    <w:rsid w:val="00985040"/>
    <w:rsid w:val="00985097"/>
    <w:rsid w:val="009850BE"/>
    <w:rsid w:val="0098516D"/>
    <w:rsid w:val="009851A7"/>
    <w:rsid w:val="009851CF"/>
    <w:rsid w:val="009851DD"/>
    <w:rsid w:val="00985740"/>
    <w:rsid w:val="009857C3"/>
    <w:rsid w:val="009857D2"/>
    <w:rsid w:val="00985963"/>
    <w:rsid w:val="00985D8B"/>
    <w:rsid w:val="00985EED"/>
    <w:rsid w:val="00985F59"/>
    <w:rsid w:val="00986005"/>
    <w:rsid w:val="009860E4"/>
    <w:rsid w:val="00986121"/>
    <w:rsid w:val="0098619E"/>
    <w:rsid w:val="00986209"/>
    <w:rsid w:val="00986232"/>
    <w:rsid w:val="009862D0"/>
    <w:rsid w:val="009863A3"/>
    <w:rsid w:val="009863D8"/>
    <w:rsid w:val="009863FF"/>
    <w:rsid w:val="0098659F"/>
    <w:rsid w:val="009865DB"/>
    <w:rsid w:val="00986640"/>
    <w:rsid w:val="0098672B"/>
    <w:rsid w:val="009867FD"/>
    <w:rsid w:val="00986844"/>
    <w:rsid w:val="0098692F"/>
    <w:rsid w:val="00986C2F"/>
    <w:rsid w:val="00986C3E"/>
    <w:rsid w:val="00986D1C"/>
    <w:rsid w:val="00986E92"/>
    <w:rsid w:val="00986EF2"/>
    <w:rsid w:val="00986FEF"/>
    <w:rsid w:val="00987069"/>
    <w:rsid w:val="00987121"/>
    <w:rsid w:val="009871EC"/>
    <w:rsid w:val="00987220"/>
    <w:rsid w:val="0098732F"/>
    <w:rsid w:val="0098734D"/>
    <w:rsid w:val="009873F3"/>
    <w:rsid w:val="00987448"/>
    <w:rsid w:val="009874F7"/>
    <w:rsid w:val="009876A8"/>
    <w:rsid w:val="009876CA"/>
    <w:rsid w:val="00987904"/>
    <w:rsid w:val="00987946"/>
    <w:rsid w:val="00987A2C"/>
    <w:rsid w:val="00987AF2"/>
    <w:rsid w:val="00987AF4"/>
    <w:rsid w:val="00987B67"/>
    <w:rsid w:val="00987C52"/>
    <w:rsid w:val="00987D71"/>
    <w:rsid w:val="00987DB4"/>
    <w:rsid w:val="00987DE0"/>
    <w:rsid w:val="00987E57"/>
    <w:rsid w:val="00987F25"/>
    <w:rsid w:val="00990210"/>
    <w:rsid w:val="009902E9"/>
    <w:rsid w:val="00990458"/>
    <w:rsid w:val="009905DF"/>
    <w:rsid w:val="00990650"/>
    <w:rsid w:val="00990854"/>
    <w:rsid w:val="0099088A"/>
    <w:rsid w:val="00990B5B"/>
    <w:rsid w:val="00990C06"/>
    <w:rsid w:val="00990C69"/>
    <w:rsid w:val="00990C80"/>
    <w:rsid w:val="00990D68"/>
    <w:rsid w:val="00990F10"/>
    <w:rsid w:val="0099105B"/>
    <w:rsid w:val="009910B5"/>
    <w:rsid w:val="0099116A"/>
    <w:rsid w:val="009914CB"/>
    <w:rsid w:val="00991518"/>
    <w:rsid w:val="00991532"/>
    <w:rsid w:val="009915A7"/>
    <w:rsid w:val="0099163D"/>
    <w:rsid w:val="00991654"/>
    <w:rsid w:val="0099174E"/>
    <w:rsid w:val="0099191B"/>
    <w:rsid w:val="0099197C"/>
    <w:rsid w:val="00991AB6"/>
    <w:rsid w:val="00991B85"/>
    <w:rsid w:val="00991BBC"/>
    <w:rsid w:val="00991E9D"/>
    <w:rsid w:val="00991F63"/>
    <w:rsid w:val="00991F7B"/>
    <w:rsid w:val="009920F0"/>
    <w:rsid w:val="009923B1"/>
    <w:rsid w:val="009923F1"/>
    <w:rsid w:val="00992476"/>
    <w:rsid w:val="00992622"/>
    <w:rsid w:val="00992670"/>
    <w:rsid w:val="009926A0"/>
    <w:rsid w:val="009928AD"/>
    <w:rsid w:val="00992B1F"/>
    <w:rsid w:val="00992DB1"/>
    <w:rsid w:val="00992EB2"/>
    <w:rsid w:val="00992F48"/>
    <w:rsid w:val="00992F4A"/>
    <w:rsid w:val="00992FC1"/>
    <w:rsid w:val="00992FE7"/>
    <w:rsid w:val="009930F5"/>
    <w:rsid w:val="00993126"/>
    <w:rsid w:val="00993181"/>
    <w:rsid w:val="00993199"/>
    <w:rsid w:val="00993214"/>
    <w:rsid w:val="00993491"/>
    <w:rsid w:val="009935D9"/>
    <w:rsid w:val="00993683"/>
    <w:rsid w:val="00993735"/>
    <w:rsid w:val="00993A25"/>
    <w:rsid w:val="00993B23"/>
    <w:rsid w:val="00993C04"/>
    <w:rsid w:val="00993CE2"/>
    <w:rsid w:val="00993D3E"/>
    <w:rsid w:val="00993FD3"/>
    <w:rsid w:val="009940D3"/>
    <w:rsid w:val="00994177"/>
    <w:rsid w:val="00994509"/>
    <w:rsid w:val="00994601"/>
    <w:rsid w:val="0099460B"/>
    <w:rsid w:val="009946C6"/>
    <w:rsid w:val="009946DD"/>
    <w:rsid w:val="009948BB"/>
    <w:rsid w:val="009949F7"/>
    <w:rsid w:val="00994A28"/>
    <w:rsid w:val="00994BE1"/>
    <w:rsid w:val="00994CD4"/>
    <w:rsid w:val="00994E4A"/>
    <w:rsid w:val="00994ECF"/>
    <w:rsid w:val="00995028"/>
    <w:rsid w:val="0099508A"/>
    <w:rsid w:val="00995093"/>
    <w:rsid w:val="00995116"/>
    <w:rsid w:val="00995148"/>
    <w:rsid w:val="0099516C"/>
    <w:rsid w:val="0099522A"/>
    <w:rsid w:val="00995326"/>
    <w:rsid w:val="00995341"/>
    <w:rsid w:val="00995348"/>
    <w:rsid w:val="009953C6"/>
    <w:rsid w:val="009954D7"/>
    <w:rsid w:val="00995509"/>
    <w:rsid w:val="0099553F"/>
    <w:rsid w:val="00995642"/>
    <w:rsid w:val="00995730"/>
    <w:rsid w:val="009957C0"/>
    <w:rsid w:val="0099582C"/>
    <w:rsid w:val="009959ED"/>
    <w:rsid w:val="00995B33"/>
    <w:rsid w:val="00995B3B"/>
    <w:rsid w:val="00995C0B"/>
    <w:rsid w:val="00995E08"/>
    <w:rsid w:val="00995E98"/>
    <w:rsid w:val="00995F92"/>
    <w:rsid w:val="0099602E"/>
    <w:rsid w:val="009960F2"/>
    <w:rsid w:val="0099618C"/>
    <w:rsid w:val="00996277"/>
    <w:rsid w:val="00996371"/>
    <w:rsid w:val="0099648C"/>
    <w:rsid w:val="009964EC"/>
    <w:rsid w:val="009966A4"/>
    <w:rsid w:val="00996870"/>
    <w:rsid w:val="00996874"/>
    <w:rsid w:val="00996887"/>
    <w:rsid w:val="009969D2"/>
    <w:rsid w:val="009969DF"/>
    <w:rsid w:val="009969F0"/>
    <w:rsid w:val="00996A02"/>
    <w:rsid w:val="00996A50"/>
    <w:rsid w:val="00996C68"/>
    <w:rsid w:val="00996C77"/>
    <w:rsid w:val="00996C7B"/>
    <w:rsid w:val="00996CE7"/>
    <w:rsid w:val="00996D31"/>
    <w:rsid w:val="00996D71"/>
    <w:rsid w:val="00996E68"/>
    <w:rsid w:val="00996F13"/>
    <w:rsid w:val="00996F15"/>
    <w:rsid w:val="009970DC"/>
    <w:rsid w:val="00997126"/>
    <w:rsid w:val="009971BF"/>
    <w:rsid w:val="0099720F"/>
    <w:rsid w:val="00997250"/>
    <w:rsid w:val="009972C7"/>
    <w:rsid w:val="009972EB"/>
    <w:rsid w:val="0099757E"/>
    <w:rsid w:val="009975DB"/>
    <w:rsid w:val="0099769C"/>
    <w:rsid w:val="00997760"/>
    <w:rsid w:val="009979EE"/>
    <w:rsid w:val="00997A12"/>
    <w:rsid w:val="00997B10"/>
    <w:rsid w:val="00997BA8"/>
    <w:rsid w:val="00997CC1"/>
    <w:rsid w:val="00997CEA"/>
    <w:rsid w:val="009A02A5"/>
    <w:rsid w:val="009A03AF"/>
    <w:rsid w:val="009A0448"/>
    <w:rsid w:val="009A04F8"/>
    <w:rsid w:val="009A06D0"/>
    <w:rsid w:val="009A06F4"/>
    <w:rsid w:val="009A0798"/>
    <w:rsid w:val="009A08BE"/>
    <w:rsid w:val="009A08EA"/>
    <w:rsid w:val="009A08ED"/>
    <w:rsid w:val="009A0976"/>
    <w:rsid w:val="009A0999"/>
    <w:rsid w:val="009A0C05"/>
    <w:rsid w:val="009A0DBE"/>
    <w:rsid w:val="009A0DFE"/>
    <w:rsid w:val="009A102F"/>
    <w:rsid w:val="009A1133"/>
    <w:rsid w:val="009A117A"/>
    <w:rsid w:val="009A11EC"/>
    <w:rsid w:val="009A1232"/>
    <w:rsid w:val="009A12B2"/>
    <w:rsid w:val="009A1438"/>
    <w:rsid w:val="009A150F"/>
    <w:rsid w:val="009A1516"/>
    <w:rsid w:val="009A1562"/>
    <w:rsid w:val="009A156D"/>
    <w:rsid w:val="009A15C8"/>
    <w:rsid w:val="009A1608"/>
    <w:rsid w:val="009A1618"/>
    <w:rsid w:val="009A1946"/>
    <w:rsid w:val="009A1B61"/>
    <w:rsid w:val="009A1CD9"/>
    <w:rsid w:val="009A1E28"/>
    <w:rsid w:val="009A1EA3"/>
    <w:rsid w:val="009A1F3B"/>
    <w:rsid w:val="009A221E"/>
    <w:rsid w:val="009A2318"/>
    <w:rsid w:val="009A23B7"/>
    <w:rsid w:val="009A24D8"/>
    <w:rsid w:val="009A25AE"/>
    <w:rsid w:val="009A25FC"/>
    <w:rsid w:val="009A26BC"/>
    <w:rsid w:val="009A272A"/>
    <w:rsid w:val="009A28B9"/>
    <w:rsid w:val="009A2AC8"/>
    <w:rsid w:val="009A2AE8"/>
    <w:rsid w:val="009A2AFD"/>
    <w:rsid w:val="009A2C3B"/>
    <w:rsid w:val="009A2CCC"/>
    <w:rsid w:val="009A2DED"/>
    <w:rsid w:val="009A2E07"/>
    <w:rsid w:val="009A2E5B"/>
    <w:rsid w:val="009A2E7C"/>
    <w:rsid w:val="009A2E82"/>
    <w:rsid w:val="009A3289"/>
    <w:rsid w:val="009A3411"/>
    <w:rsid w:val="009A349B"/>
    <w:rsid w:val="009A3557"/>
    <w:rsid w:val="009A3643"/>
    <w:rsid w:val="009A375F"/>
    <w:rsid w:val="009A3778"/>
    <w:rsid w:val="009A3828"/>
    <w:rsid w:val="009A388A"/>
    <w:rsid w:val="009A38C1"/>
    <w:rsid w:val="009A38CE"/>
    <w:rsid w:val="009A38FD"/>
    <w:rsid w:val="009A3928"/>
    <w:rsid w:val="009A3988"/>
    <w:rsid w:val="009A3AF3"/>
    <w:rsid w:val="009A3BB1"/>
    <w:rsid w:val="009A3D55"/>
    <w:rsid w:val="009A3DDC"/>
    <w:rsid w:val="009A3E2E"/>
    <w:rsid w:val="009A4209"/>
    <w:rsid w:val="009A43B3"/>
    <w:rsid w:val="009A440B"/>
    <w:rsid w:val="009A4416"/>
    <w:rsid w:val="009A44B8"/>
    <w:rsid w:val="009A453E"/>
    <w:rsid w:val="009A45D0"/>
    <w:rsid w:val="009A4658"/>
    <w:rsid w:val="009A46C8"/>
    <w:rsid w:val="009A4723"/>
    <w:rsid w:val="009A477E"/>
    <w:rsid w:val="009A47E9"/>
    <w:rsid w:val="009A4990"/>
    <w:rsid w:val="009A4A69"/>
    <w:rsid w:val="009A4B67"/>
    <w:rsid w:val="009A4BE6"/>
    <w:rsid w:val="009A4DFA"/>
    <w:rsid w:val="009A4F3A"/>
    <w:rsid w:val="009A4F3E"/>
    <w:rsid w:val="009A5050"/>
    <w:rsid w:val="009A52D8"/>
    <w:rsid w:val="009A52EB"/>
    <w:rsid w:val="009A53E6"/>
    <w:rsid w:val="009A566B"/>
    <w:rsid w:val="009A5828"/>
    <w:rsid w:val="009A586E"/>
    <w:rsid w:val="009A58B1"/>
    <w:rsid w:val="009A594F"/>
    <w:rsid w:val="009A5995"/>
    <w:rsid w:val="009A5AA0"/>
    <w:rsid w:val="009A5C3A"/>
    <w:rsid w:val="009A5D59"/>
    <w:rsid w:val="009A5DB8"/>
    <w:rsid w:val="009A5E20"/>
    <w:rsid w:val="009A5ECC"/>
    <w:rsid w:val="009A5ED7"/>
    <w:rsid w:val="009A6088"/>
    <w:rsid w:val="009A6165"/>
    <w:rsid w:val="009A618A"/>
    <w:rsid w:val="009A625B"/>
    <w:rsid w:val="009A640E"/>
    <w:rsid w:val="009A658C"/>
    <w:rsid w:val="009A6705"/>
    <w:rsid w:val="009A6791"/>
    <w:rsid w:val="009A6987"/>
    <w:rsid w:val="009A69E5"/>
    <w:rsid w:val="009A6A74"/>
    <w:rsid w:val="009A6B4A"/>
    <w:rsid w:val="009A6B4C"/>
    <w:rsid w:val="009A6C7F"/>
    <w:rsid w:val="009A6CD9"/>
    <w:rsid w:val="009A6CF5"/>
    <w:rsid w:val="009A6CF6"/>
    <w:rsid w:val="009A6DD5"/>
    <w:rsid w:val="009A6EB7"/>
    <w:rsid w:val="009A6ED6"/>
    <w:rsid w:val="009A6F15"/>
    <w:rsid w:val="009A6F24"/>
    <w:rsid w:val="009A7032"/>
    <w:rsid w:val="009A7168"/>
    <w:rsid w:val="009A718F"/>
    <w:rsid w:val="009A73A2"/>
    <w:rsid w:val="009A7448"/>
    <w:rsid w:val="009A79B5"/>
    <w:rsid w:val="009A7A4F"/>
    <w:rsid w:val="009A7A68"/>
    <w:rsid w:val="009A7ABE"/>
    <w:rsid w:val="009A7B4D"/>
    <w:rsid w:val="009A7BCB"/>
    <w:rsid w:val="009A7BF5"/>
    <w:rsid w:val="009A7D1E"/>
    <w:rsid w:val="009A7E14"/>
    <w:rsid w:val="009A7E29"/>
    <w:rsid w:val="009A7E84"/>
    <w:rsid w:val="009A7F34"/>
    <w:rsid w:val="009A7F59"/>
    <w:rsid w:val="009A7F8F"/>
    <w:rsid w:val="009A7FD9"/>
    <w:rsid w:val="009B00F1"/>
    <w:rsid w:val="009B012C"/>
    <w:rsid w:val="009B024B"/>
    <w:rsid w:val="009B0274"/>
    <w:rsid w:val="009B0360"/>
    <w:rsid w:val="009B05EB"/>
    <w:rsid w:val="009B07C2"/>
    <w:rsid w:val="009B0A9C"/>
    <w:rsid w:val="009B0B27"/>
    <w:rsid w:val="009B0B36"/>
    <w:rsid w:val="009B0B8F"/>
    <w:rsid w:val="009B0C86"/>
    <w:rsid w:val="009B0CA9"/>
    <w:rsid w:val="009B0E40"/>
    <w:rsid w:val="009B0E4E"/>
    <w:rsid w:val="009B0ED7"/>
    <w:rsid w:val="009B1010"/>
    <w:rsid w:val="009B10E9"/>
    <w:rsid w:val="009B119C"/>
    <w:rsid w:val="009B11FD"/>
    <w:rsid w:val="009B1240"/>
    <w:rsid w:val="009B1347"/>
    <w:rsid w:val="009B13B9"/>
    <w:rsid w:val="009B1438"/>
    <w:rsid w:val="009B1582"/>
    <w:rsid w:val="009B158A"/>
    <w:rsid w:val="009B160E"/>
    <w:rsid w:val="009B19EC"/>
    <w:rsid w:val="009B1A01"/>
    <w:rsid w:val="009B1B27"/>
    <w:rsid w:val="009B1C51"/>
    <w:rsid w:val="009B1D59"/>
    <w:rsid w:val="009B1DD4"/>
    <w:rsid w:val="009B1E6E"/>
    <w:rsid w:val="009B2026"/>
    <w:rsid w:val="009B2048"/>
    <w:rsid w:val="009B2245"/>
    <w:rsid w:val="009B239B"/>
    <w:rsid w:val="009B2473"/>
    <w:rsid w:val="009B256F"/>
    <w:rsid w:val="009B258E"/>
    <w:rsid w:val="009B2A43"/>
    <w:rsid w:val="009B2B36"/>
    <w:rsid w:val="009B2BA2"/>
    <w:rsid w:val="009B2DBC"/>
    <w:rsid w:val="009B2DBF"/>
    <w:rsid w:val="009B2E47"/>
    <w:rsid w:val="009B3189"/>
    <w:rsid w:val="009B322A"/>
    <w:rsid w:val="009B32BB"/>
    <w:rsid w:val="009B343F"/>
    <w:rsid w:val="009B3855"/>
    <w:rsid w:val="009B386A"/>
    <w:rsid w:val="009B38A9"/>
    <w:rsid w:val="009B3AEE"/>
    <w:rsid w:val="009B3B68"/>
    <w:rsid w:val="009B3B6A"/>
    <w:rsid w:val="009B3DB4"/>
    <w:rsid w:val="009B3DE3"/>
    <w:rsid w:val="009B3E89"/>
    <w:rsid w:val="009B4040"/>
    <w:rsid w:val="009B4050"/>
    <w:rsid w:val="009B40AF"/>
    <w:rsid w:val="009B40C1"/>
    <w:rsid w:val="009B40C3"/>
    <w:rsid w:val="009B4243"/>
    <w:rsid w:val="009B424B"/>
    <w:rsid w:val="009B42D3"/>
    <w:rsid w:val="009B46AC"/>
    <w:rsid w:val="009B4705"/>
    <w:rsid w:val="009B47AD"/>
    <w:rsid w:val="009B47EF"/>
    <w:rsid w:val="009B4885"/>
    <w:rsid w:val="009B4D06"/>
    <w:rsid w:val="009B4D7B"/>
    <w:rsid w:val="009B4E3B"/>
    <w:rsid w:val="009B4F17"/>
    <w:rsid w:val="009B507F"/>
    <w:rsid w:val="009B51D5"/>
    <w:rsid w:val="009B5206"/>
    <w:rsid w:val="009B5246"/>
    <w:rsid w:val="009B543B"/>
    <w:rsid w:val="009B54E4"/>
    <w:rsid w:val="009B56BC"/>
    <w:rsid w:val="009B57DD"/>
    <w:rsid w:val="009B593A"/>
    <w:rsid w:val="009B5997"/>
    <w:rsid w:val="009B5A72"/>
    <w:rsid w:val="009B5A90"/>
    <w:rsid w:val="009B5B11"/>
    <w:rsid w:val="009B5B5F"/>
    <w:rsid w:val="009B5C54"/>
    <w:rsid w:val="009B5EF6"/>
    <w:rsid w:val="009B5F15"/>
    <w:rsid w:val="009B618C"/>
    <w:rsid w:val="009B621B"/>
    <w:rsid w:val="009B621F"/>
    <w:rsid w:val="009B6500"/>
    <w:rsid w:val="009B6584"/>
    <w:rsid w:val="009B6594"/>
    <w:rsid w:val="009B6726"/>
    <w:rsid w:val="009B678C"/>
    <w:rsid w:val="009B6793"/>
    <w:rsid w:val="009B6941"/>
    <w:rsid w:val="009B6A6C"/>
    <w:rsid w:val="009B6A75"/>
    <w:rsid w:val="009B6ACA"/>
    <w:rsid w:val="009B6B23"/>
    <w:rsid w:val="009B6C27"/>
    <w:rsid w:val="009B6DAE"/>
    <w:rsid w:val="009B6DCC"/>
    <w:rsid w:val="009B6E3B"/>
    <w:rsid w:val="009B6ED9"/>
    <w:rsid w:val="009B6EDD"/>
    <w:rsid w:val="009B6EEB"/>
    <w:rsid w:val="009B6FD4"/>
    <w:rsid w:val="009B704C"/>
    <w:rsid w:val="009B7143"/>
    <w:rsid w:val="009B71E3"/>
    <w:rsid w:val="009B7483"/>
    <w:rsid w:val="009B749B"/>
    <w:rsid w:val="009B7644"/>
    <w:rsid w:val="009B76BB"/>
    <w:rsid w:val="009B770F"/>
    <w:rsid w:val="009B7745"/>
    <w:rsid w:val="009B77F4"/>
    <w:rsid w:val="009B783E"/>
    <w:rsid w:val="009B79F3"/>
    <w:rsid w:val="009B7ABD"/>
    <w:rsid w:val="009B7D8F"/>
    <w:rsid w:val="009B7DE6"/>
    <w:rsid w:val="009C00D0"/>
    <w:rsid w:val="009C012F"/>
    <w:rsid w:val="009C0213"/>
    <w:rsid w:val="009C0240"/>
    <w:rsid w:val="009C049C"/>
    <w:rsid w:val="009C056F"/>
    <w:rsid w:val="009C05AD"/>
    <w:rsid w:val="009C0655"/>
    <w:rsid w:val="009C077C"/>
    <w:rsid w:val="009C0786"/>
    <w:rsid w:val="009C07E8"/>
    <w:rsid w:val="009C0801"/>
    <w:rsid w:val="009C08AA"/>
    <w:rsid w:val="009C0971"/>
    <w:rsid w:val="009C0A74"/>
    <w:rsid w:val="009C0BB8"/>
    <w:rsid w:val="009C0BD3"/>
    <w:rsid w:val="009C0CA3"/>
    <w:rsid w:val="009C0E6F"/>
    <w:rsid w:val="009C0F64"/>
    <w:rsid w:val="009C0FB7"/>
    <w:rsid w:val="009C10F5"/>
    <w:rsid w:val="009C1175"/>
    <w:rsid w:val="009C143F"/>
    <w:rsid w:val="009C1472"/>
    <w:rsid w:val="009C1648"/>
    <w:rsid w:val="009C16D8"/>
    <w:rsid w:val="009C17F0"/>
    <w:rsid w:val="009C1817"/>
    <w:rsid w:val="009C19B5"/>
    <w:rsid w:val="009C1A93"/>
    <w:rsid w:val="009C1C14"/>
    <w:rsid w:val="009C1C8F"/>
    <w:rsid w:val="009C1D27"/>
    <w:rsid w:val="009C1E00"/>
    <w:rsid w:val="009C1E4B"/>
    <w:rsid w:val="009C1EC7"/>
    <w:rsid w:val="009C1F6E"/>
    <w:rsid w:val="009C2067"/>
    <w:rsid w:val="009C206A"/>
    <w:rsid w:val="009C20DC"/>
    <w:rsid w:val="009C21A3"/>
    <w:rsid w:val="009C22F7"/>
    <w:rsid w:val="009C2589"/>
    <w:rsid w:val="009C25B2"/>
    <w:rsid w:val="009C267F"/>
    <w:rsid w:val="009C2837"/>
    <w:rsid w:val="009C2A99"/>
    <w:rsid w:val="009C2CE6"/>
    <w:rsid w:val="009C2E20"/>
    <w:rsid w:val="009C2FA3"/>
    <w:rsid w:val="009C31A4"/>
    <w:rsid w:val="009C33C2"/>
    <w:rsid w:val="009C35BE"/>
    <w:rsid w:val="009C36FA"/>
    <w:rsid w:val="009C3719"/>
    <w:rsid w:val="009C380B"/>
    <w:rsid w:val="009C3966"/>
    <w:rsid w:val="009C39A4"/>
    <w:rsid w:val="009C3BD9"/>
    <w:rsid w:val="009C3D1E"/>
    <w:rsid w:val="009C3E6F"/>
    <w:rsid w:val="009C3FEB"/>
    <w:rsid w:val="009C4026"/>
    <w:rsid w:val="009C4261"/>
    <w:rsid w:val="009C4294"/>
    <w:rsid w:val="009C42B0"/>
    <w:rsid w:val="009C4349"/>
    <w:rsid w:val="009C4379"/>
    <w:rsid w:val="009C4413"/>
    <w:rsid w:val="009C4552"/>
    <w:rsid w:val="009C4624"/>
    <w:rsid w:val="009C473A"/>
    <w:rsid w:val="009C47CD"/>
    <w:rsid w:val="009C48D4"/>
    <w:rsid w:val="009C4906"/>
    <w:rsid w:val="009C4953"/>
    <w:rsid w:val="009C4AD2"/>
    <w:rsid w:val="009C4BD8"/>
    <w:rsid w:val="009C4BFC"/>
    <w:rsid w:val="009C4CB2"/>
    <w:rsid w:val="009C50CE"/>
    <w:rsid w:val="009C51C0"/>
    <w:rsid w:val="009C51EE"/>
    <w:rsid w:val="009C51F8"/>
    <w:rsid w:val="009C535F"/>
    <w:rsid w:val="009C53EE"/>
    <w:rsid w:val="009C548D"/>
    <w:rsid w:val="009C55ED"/>
    <w:rsid w:val="009C56EB"/>
    <w:rsid w:val="009C5731"/>
    <w:rsid w:val="009C5787"/>
    <w:rsid w:val="009C57CE"/>
    <w:rsid w:val="009C57FF"/>
    <w:rsid w:val="009C5896"/>
    <w:rsid w:val="009C5B11"/>
    <w:rsid w:val="009C5B82"/>
    <w:rsid w:val="009C5F12"/>
    <w:rsid w:val="009C6125"/>
    <w:rsid w:val="009C61BE"/>
    <w:rsid w:val="009C6238"/>
    <w:rsid w:val="009C62C5"/>
    <w:rsid w:val="009C6308"/>
    <w:rsid w:val="009C6389"/>
    <w:rsid w:val="009C6455"/>
    <w:rsid w:val="009C66D1"/>
    <w:rsid w:val="009C687D"/>
    <w:rsid w:val="009C6D3A"/>
    <w:rsid w:val="009C6DEF"/>
    <w:rsid w:val="009C6E4F"/>
    <w:rsid w:val="009C6ECE"/>
    <w:rsid w:val="009C7099"/>
    <w:rsid w:val="009C715E"/>
    <w:rsid w:val="009C7163"/>
    <w:rsid w:val="009C722F"/>
    <w:rsid w:val="009C7304"/>
    <w:rsid w:val="009C756E"/>
    <w:rsid w:val="009C75D2"/>
    <w:rsid w:val="009C779A"/>
    <w:rsid w:val="009C7824"/>
    <w:rsid w:val="009C7862"/>
    <w:rsid w:val="009C789D"/>
    <w:rsid w:val="009C7AB6"/>
    <w:rsid w:val="009C7C54"/>
    <w:rsid w:val="009C7CA2"/>
    <w:rsid w:val="009D00EE"/>
    <w:rsid w:val="009D0178"/>
    <w:rsid w:val="009D0399"/>
    <w:rsid w:val="009D03D4"/>
    <w:rsid w:val="009D04FD"/>
    <w:rsid w:val="009D0528"/>
    <w:rsid w:val="009D06C4"/>
    <w:rsid w:val="009D0798"/>
    <w:rsid w:val="009D0881"/>
    <w:rsid w:val="009D092B"/>
    <w:rsid w:val="009D0B19"/>
    <w:rsid w:val="009D0B8A"/>
    <w:rsid w:val="009D0BC7"/>
    <w:rsid w:val="009D0EBA"/>
    <w:rsid w:val="009D0EF9"/>
    <w:rsid w:val="009D0EFA"/>
    <w:rsid w:val="009D0FC2"/>
    <w:rsid w:val="009D0FE3"/>
    <w:rsid w:val="009D10AB"/>
    <w:rsid w:val="009D11B7"/>
    <w:rsid w:val="009D125D"/>
    <w:rsid w:val="009D1291"/>
    <w:rsid w:val="009D1305"/>
    <w:rsid w:val="009D1357"/>
    <w:rsid w:val="009D1484"/>
    <w:rsid w:val="009D14F1"/>
    <w:rsid w:val="009D15AE"/>
    <w:rsid w:val="009D1610"/>
    <w:rsid w:val="009D16F8"/>
    <w:rsid w:val="009D19B0"/>
    <w:rsid w:val="009D1ACB"/>
    <w:rsid w:val="009D1B25"/>
    <w:rsid w:val="009D1E59"/>
    <w:rsid w:val="009D1F32"/>
    <w:rsid w:val="009D201E"/>
    <w:rsid w:val="009D2021"/>
    <w:rsid w:val="009D20C0"/>
    <w:rsid w:val="009D21BE"/>
    <w:rsid w:val="009D22F7"/>
    <w:rsid w:val="009D23B6"/>
    <w:rsid w:val="009D2456"/>
    <w:rsid w:val="009D24FA"/>
    <w:rsid w:val="009D255D"/>
    <w:rsid w:val="009D25D7"/>
    <w:rsid w:val="009D260F"/>
    <w:rsid w:val="009D2963"/>
    <w:rsid w:val="009D2A1D"/>
    <w:rsid w:val="009D2BF9"/>
    <w:rsid w:val="009D2DB3"/>
    <w:rsid w:val="009D2E43"/>
    <w:rsid w:val="009D2EAC"/>
    <w:rsid w:val="009D2EDD"/>
    <w:rsid w:val="009D2F9A"/>
    <w:rsid w:val="009D302B"/>
    <w:rsid w:val="009D30D3"/>
    <w:rsid w:val="009D3546"/>
    <w:rsid w:val="009D35DF"/>
    <w:rsid w:val="009D3603"/>
    <w:rsid w:val="009D363A"/>
    <w:rsid w:val="009D3687"/>
    <w:rsid w:val="009D3783"/>
    <w:rsid w:val="009D38C7"/>
    <w:rsid w:val="009D396E"/>
    <w:rsid w:val="009D3972"/>
    <w:rsid w:val="009D39E3"/>
    <w:rsid w:val="009D3A08"/>
    <w:rsid w:val="009D3A48"/>
    <w:rsid w:val="009D3C3D"/>
    <w:rsid w:val="009D3DB5"/>
    <w:rsid w:val="009D3DCD"/>
    <w:rsid w:val="009D3FDB"/>
    <w:rsid w:val="009D4064"/>
    <w:rsid w:val="009D42FD"/>
    <w:rsid w:val="009D43C3"/>
    <w:rsid w:val="009D4433"/>
    <w:rsid w:val="009D4480"/>
    <w:rsid w:val="009D4496"/>
    <w:rsid w:val="009D44AD"/>
    <w:rsid w:val="009D4513"/>
    <w:rsid w:val="009D45E7"/>
    <w:rsid w:val="009D460E"/>
    <w:rsid w:val="009D4614"/>
    <w:rsid w:val="009D4757"/>
    <w:rsid w:val="009D4AB1"/>
    <w:rsid w:val="009D4B66"/>
    <w:rsid w:val="009D4C48"/>
    <w:rsid w:val="009D4DDC"/>
    <w:rsid w:val="009D4FC6"/>
    <w:rsid w:val="009D509E"/>
    <w:rsid w:val="009D50BE"/>
    <w:rsid w:val="009D5207"/>
    <w:rsid w:val="009D5240"/>
    <w:rsid w:val="009D5288"/>
    <w:rsid w:val="009D5423"/>
    <w:rsid w:val="009D550C"/>
    <w:rsid w:val="009D568B"/>
    <w:rsid w:val="009D570E"/>
    <w:rsid w:val="009D5837"/>
    <w:rsid w:val="009D58E1"/>
    <w:rsid w:val="009D58EA"/>
    <w:rsid w:val="009D5944"/>
    <w:rsid w:val="009D5A5B"/>
    <w:rsid w:val="009D5AAB"/>
    <w:rsid w:val="009D5F6C"/>
    <w:rsid w:val="009D5F72"/>
    <w:rsid w:val="009D6119"/>
    <w:rsid w:val="009D620F"/>
    <w:rsid w:val="009D6271"/>
    <w:rsid w:val="009D63F5"/>
    <w:rsid w:val="009D63F8"/>
    <w:rsid w:val="009D67F2"/>
    <w:rsid w:val="009D6858"/>
    <w:rsid w:val="009D68BF"/>
    <w:rsid w:val="009D68EB"/>
    <w:rsid w:val="009D6902"/>
    <w:rsid w:val="009D6909"/>
    <w:rsid w:val="009D6A4F"/>
    <w:rsid w:val="009D6A52"/>
    <w:rsid w:val="009D6A60"/>
    <w:rsid w:val="009D6A99"/>
    <w:rsid w:val="009D6CC0"/>
    <w:rsid w:val="009D6E37"/>
    <w:rsid w:val="009D6ECC"/>
    <w:rsid w:val="009D7045"/>
    <w:rsid w:val="009D7075"/>
    <w:rsid w:val="009D726D"/>
    <w:rsid w:val="009D7337"/>
    <w:rsid w:val="009D7406"/>
    <w:rsid w:val="009D74AE"/>
    <w:rsid w:val="009D76FA"/>
    <w:rsid w:val="009D7720"/>
    <w:rsid w:val="009D78D1"/>
    <w:rsid w:val="009D797D"/>
    <w:rsid w:val="009D7A90"/>
    <w:rsid w:val="009D7BB7"/>
    <w:rsid w:val="009D7C70"/>
    <w:rsid w:val="009D7D78"/>
    <w:rsid w:val="009D7DA9"/>
    <w:rsid w:val="009D7DAF"/>
    <w:rsid w:val="009D7E71"/>
    <w:rsid w:val="009D7EDB"/>
    <w:rsid w:val="009D7F5F"/>
    <w:rsid w:val="009E003D"/>
    <w:rsid w:val="009E00C7"/>
    <w:rsid w:val="009E00E5"/>
    <w:rsid w:val="009E01AA"/>
    <w:rsid w:val="009E0340"/>
    <w:rsid w:val="009E0369"/>
    <w:rsid w:val="009E044B"/>
    <w:rsid w:val="009E048B"/>
    <w:rsid w:val="009E0764"/>
    <w:rsid w:val="009E07B4"/>
    <w:rsid w:val="009E09DA"/>
    <w:rsid w:val="009E0C4D"/>
    <w:rsid w:val="009E0CAA"/>
    <w:rsid w:val="009E0CAF"/>
    <w:rsid w:val="009E0D70"/>
    <w:rsid w:val="009E0DD2"/>
    <w:rsid w:val="009E0E18"/>
    <w:rsid w:val="009E0E94"/>
    <w:rsid w:val="009E0EE7"/>
    <w:rsid w:val="009E0F14"/>
    <w:rsid w:val="009E0F43"/>
    <w:rsid w:val="009E1093"/>
    <w:rsid w:val="009E113C"/>
    <w:rsid w:val="009E1410"/>
    <w:rsid w:val="009E15A8"/>
    <w:rsid w:val="009E1A0F"/>
    <w:rsid w:val="009E1AE6"/>
    <w:rsid w:val="009E1BB9"/>
    <w:rsid w:val="009E1C84"/>
    <w:rsid w:val="009E2083"/>
    <w:rsid w:val="009E20A3"/>
    <w:rsid w:val="009E217F"/>
    <w:rsid w:val="009E21FF"/>
    <w:rsid w:val="009E2227"/>
    <w:rsid w:val="009E2272"/>
    <w:rsid w:val="009E2428"/>
    <w:rsid w:val="009E2764"/>
    <w:rsid w:val="009E27CB"/>
    <w:rsid w:val="009E28D7"/>
    <w:rsid w:val="009E299B"/>
    <w:rsid w:val="009E29EF"/>
    <w:rsid w:val="009E2AD3"/>
    <w:rsid w:val="009E2B5A"/>
    <w:rsid w:val="009E2C51"/>
    <w:rsid w:val="009E2CFB"/>
    <w:rsid w:val="009E2D2B"/>
    <w:rsid w:val="009E2F24"/>
    <w:rsid w:val="009E319B"/>
    <w:rsid w:val="009E3217"/>
    <w:rsid w:val="009E333C"/>
    <w:rsid w:val="009E379E"/>
    <w:rsid w:val="009E3818"/>
    <w:rsid w:val="009E383C"/>
    <w:rsid w:val="009E39B4"/>
    <w:rsid w:val="009E39E9"/>
    <w:rsid w:val="009E3D2E"/>
    <w:rsid w:val="009E3DDD"/>
    <w:rsid w:val="009E3DF8"/>
    <w:rsid w:val="009E3F71"/>
    <w:rsid w:val="009E3F72"/>
    <w:rsid w:val="009E3FE6"/>
    <w:rsid w:val="009E40B6"/>
    <w:rsid w:val="009E40D8"/>
    <w:rsid w:val="009E40E5"/>
    <w:rsid w:val="009E4146"/>
    <w:rsid w:val="009E4272"/>
    <w:rsid w:val="009E42AF"/>
    <w:rsid w:val="009E42CB"/>
    <w:rsid w:val="009E4416"/>
    <w:rsid w:val="009E44BD"/>
    <w:rsid w:val="009E44CC"/>
    <w:rsid w:val="009E45ED"/>
    <w:rsid w:val="009E462C"/>
    <w:rsid w:val="009E47E5"/>
    <w:rsid w:val="009E4819"/>
    <w:rsid w:val="009E4888"/>
    <w:rsid w:val="009E4919"/>
    <w:rsid w:val="009E4AAE"/>
    <w:rsid w:val="009E4C52"/>
    <w:rsid w:val="009E4E4E"/>
    <w:rsid w:val="009E4FE8"/>
    <w:rsid w:val="009E5002"/>
    <w:rsid w:val="009E50C9"/>
    <w:rsid w:val="009E50E5"/>
    <w:rsid w:val="009E50F2"/>
    <w:rsid w:val="009E5288"/>
    <w:rsid w:val="009E5395"/>
    <w:rsid w:val="009E5407"/>
    <w:rsid w:val="009E5492"/>
    <w:rsid w:val="009E5504"/>
    <w:rsid w:val="009E5589"/>
    <w:rsid w:val="009E559F"/>
    <w:rsid w:val="009E5680"/>
    <w:rsid w:val="009E57AD"/>
    <w:rsid w:val="009E57B2"/>
    <w:rsid w:val="009E5848"/>
    <w:rsid w:val="009E5A38"/>
    <w:rsid w:val="009E5A9E"/>
    <w:rsid w:val="009E5BCC"/>
    <w:rsid w:val="009E5E08"/>
    <w:rsid w:val="009E6019"/>
    <w:rsid w:val="009E6130"/>
    <w:rsid w:val="009E6160"/>
    <w:rsid w:val="009E61F6"/>
    <w:rsid w:val="009E620B"/>
    <w:rsid w:val="009E6453"/>
    <w:rsid w:val="009E64CD"/>
    <w:rsid w:val="009E64E5"/>
    <w:rsid w:val="009E6559"/>
    <w:rsid w:val="009E6560"/>
    <w:rsid w:val="009E65F4"/>
    <w:rsid w:val="009E6608"/>
    <w:rsid w:val="009E660A"/>
    <w:rsid w:val="009E66F9"/>
    <w:rsid w:val="009E6813"/>
    <w:rsid w:val="009E68C8"/>
    <w:rsid w:val="009E6A43"/>
    <w:rsid w:val="009E6A9E"/>
    <w:rsid w:val="009E6B12"/>
    <w:rsid w:val="009E6CD8"/>
    <w:rsid w:val="009E6DAB"/>
    <w:rsid w:val="009E6E53"/>
    <w:rsid w:val="009E71F9"/>
    <w:rsid w:val="009E73D5"/>
    <w:rsid w:val="009E75D7"/>
    <w:rsid w:val="009E7857"/>
    <w:rsid w:val="009E7954"/>
    <w:rsid w:val="009E79A9"/>
    <w:rsid w:val="009E79CE"/>
    <w:rsid w:val="009E7A10"/>
    <w:rsid w:val="009E7AA8"/>
    <w:rsid w:val="009E7AB7"/>
    <w:rsid w:val="009E7B85"/>
    <w:rsid w:val="009E7BDA"/>
    <w:rsid w:val="009E7D00"/>
    <w:rsid w:val="009E7E59"/>
    <w:rsid w:val="009E7ED4"/>
    <w:rsid w:val="009E7F35"/>
    <w:rsid w:val="009E7FD1"/>
    <w:rsid w:val="009F0017"/>
    <w:rsid w:val="009F004B"/>
    <w:rsid w:val="009F00A9"/>
    <w:rsid w:val="009F0185"/>
    <w:rsid w:val="009F0249"/>
    <w:rsid w:val="009F0348"/>
    <w:rsid w:val="009F04B3"/>
    <w:rsid w:val="009F06A3"/>
    <w:rsid w:val="009F07AD"/>
    <w:rsid w:val="009F0A3B"/>
    <w:rsid w:val="009F0AE9"/>
    <w:rsid w:val="009F0B42"/>
    <w:rsid w:val="009F0BB3"/>
    <w:rsid w:val="009F0CC9"/>
    <w:rsid w:val="009F0D86"/>
    <w:rsid w:val="009F0E48"/>
    <w:rsid w:val="009F1116"/>
    <w:rsid w:val="009F1151"/>
    <w:rsid w:val="009F125E"/>
    <w:rsid w:val="009F137F"/>
    <w:rsid w:val="009F146F"/>
    <w:rsid w:val="009F14F1"/>
    <w:rsid w:val="009F165B"/>
    <w:rsid w:val="009F1673"/>
    <w:rsid w:val="009F1700"/>
    <w:rsid w:val="009F1886"/>
    <w:rsid w:val="009F1979"/>
    <w:rsid w:val="009F19E1"/>
    <w:rsid w:val="009F1BC5"/>
    <w:rsid w:val="009F1BC7"/>
    <w:rsid w:val="009F1D03"/>
    <w:rsid w:val="009F1D4E"/>
    <w:rsid w:val="009F1EEB"/>
    <w:rsid w:val="009F1F4F"/>
    <w:rsid w:val="009F1FBF"/>
    <w:rsid w:val="009F2055"/>
    <w:rsid w:val="009F20C6"/>
    <w:rsid w:val="009F2145"/>
    <w:rsid w:val="009F224D"/>
    <w:rsid w:val="009F232B"/>
    <w:rsid w:val="009F27B5"/>
    <w:rsid w:val="009F2842"/>
    <w:rsid w:val="009F2A84"/>
    <w:rsid w:val="009F2B89"/>
    <w:rsid w:val="009F2BE2"/>
    <w:rsid w:val="009F2C05"/>
    <w:rsid w:val="009F2D41"/>
    <w:rsid w:val="009F2D6D"/>
    <w:rsid w:val="009F2FC3"/>
    <w:rsid w:val="009F311D"/>
    <w:rsid w:val="009F3203"/>
    <w:rsid w:val="009F3216"/>
    <w:rsid w:val="009F32AF"/>
    <w:rsid w:val="009F338F"/>
    <w:rsid w:val="009F3392"/>
    <w:rsid w:val="009F3429"/>
    <w:rsid w:val="009F34F2"/>
    <w:rsid w:val="009F3552"/>
    <w:rsid w:val="009F35D0"/>
    <w:rsid w:val="009F3621"/>
    <w:rsid w:val="009F36E1"/>
    <w:rsid w:val="009F37AB"/>
    <w:rsid w:val="009F3A35"/>
    <w:rsid w:val="009F3A64"/>
    <w:rsid w:val="009F3B2E"/>
    <w:rsid w:val="009F3C75"/>
    <w:rsid w:val="009F3CDE"/>
    <w:rsid w:val="009F3D28"/>
    <w:rsid w:val="009F3E30"/>
    <w:rsid w:val="009F3FBE"/>
    <w:rsid w:val="009F42BA"/>
    <w:rsid w:val="009F4343"/>
    <w:rsid w:val="009F4369"/>
    <w:rsid w:val="009F43D0"/>
    <w:rsid w:val="009F4537"/>
    <w:rsid w:val="009F457A"/>
    <w:rsid w:val="009F4876"/>
    <w:rsid w:val="009F4A39"/>
    <w:rsid w:val="009F4A4C"/>
    <w:rsid w:val="009F4C1B"/>
    <w:rsid w:val="009F4C75"/>
    <w:rsid w:val="009F4CD5"/>
    <w:rsid w:val="009F5142"/>
    <w:rsid w:val="009F5203"/>
    <w:rsid w:val="009F57E8"/>
    <w:rsid w:val="009F5809"/>
    <w:rsid w:val="009F5902"/>
    <w:rsid w:val="009F5A2B"/>
    <w:rsid w:val="009F5B1B"/>
    <w:rsid w:val="009F5B5D"/>
    <w:rsid w:val="009F5C16"/>
    <w:rsid w:val="009F5E96"/>
    <w:rsid w:val="009F5F4C"/>
    <w:rsid w:val="009F5F9A"/>
    <w:rsid w:val="009F5FE2"/>
    <w:rsid w:val="009F62A2"/>
    <w:rsid w:val="009F62C8"/>
    <w:rsid w:val="009F6428"/>
    <w:rsid w:val="009F6467"/>
    <w:rsid w:val="009F64A8"/>
    <w:rsid w:val="009F64A9"/>
    <w:rsid w:val="009F6500"/>
    <w:rsid w:val="009F6555"/>
    <w:rsid w:val="009F65E7"/>
    <w:rsid w:val="009F664E"/>
    <w:rsid w:val="009F673D"/>
    <w:rsid w:val="009F68D6"/>
    <w:rsid w:val="009F695D"/>
    <w:rsid w:val="009F6CA9"/>
    <w:rsid w:val="009F6CB2"/>
    <w:rsid w:val="009F6ED9"/>
    <w:rsid w:val="009F6F01"/>
    <w:rsid w:val="009F6F7A"/>
    <w:rsid w:val="009F6FB0"/>
    <w:rsid w:val="009F71D0"/>
    <w:rsid w:val="009F722D"/>
    <w:rsid w:val="009F7418"/>
    <w:rsid w:val="009F7498"/>
    <w:rsid w:val="009F7595"/>
    <w:rsid w:val="009F771D"/>
    <w:rsid w:val="009F7738"/>
    <w:rsid w:val="009F7BD7"/>
    <w:rsid w:val="009F7C8E"/>
    <w:rsid w:val="009F7EFF"/>
    <w:rsid w:val="009F7F94"/>
    <w:rsid w:val="00A00202"/>
    <w:rsid w:val="00A002B6"/>
    <w:rsid w:val="00A0037E"/>
    <w:rsid w:val="00A00431"/>
    <w:rsid w:val="00A006B3"/>
    <w:rsid w:val="00A0073F"/>
    <w:rsid w:val="00A00AC9"/>
    <w:rsid w:val="00A00CB7"/>
    <w:rsid w:val="00A00EDF"/>
    <w:rsid w:val="00A00F77"/>
    <w:rsid w:val="00A011E3"/>
    <w:rsid w:val="00A01303"/>
    <w:rsid w:val="00A013B4"/>
    <w:rsid w:val="00A01470"/>
    <w:rsid w:val="00A01484"/>
    <w:rsid w:val="00A01A09"/>
    <w:rsid w:val="00A01B96"/>
    <w:rsid w:val="00A01CA1"/>
    <w:rsid w:val="00A01D37"/>
    <w:rsid w:val="00A01E2B"/>
    <w:rsid w:val="00A01EF4"/>
    <w:rsid w:val="00A01F93"/>
    <w:rsid w:val="00A02042"/>
    <w:rsid w:val="00A02176"/>
    <w:rsid w:val="00A0224C"/>
    <w:rsid w:val="00A02256"/>
    <w:rsid w:val="00A0261E"/>
    <w:rsid w:val="00A02638"/>
    <w:rsid w:val="00A026CF"/>
    <w:rsid w:val="00A0275D"/>
    <w:rsid w:val="00A0275F"/>
    <w:rsid w:val="00A028F2"/>
    <w:rsid w:val="00A02A6D"/>
    <w:rsid w:val="00A02A72"/>
    <w:rsid w:val="00A02AF4"/>
    <w:rsid w:val="00A02C4F"/>
    <w:rsid w:val="00A02C5D"/>
    <w:rsid w:val="00A02CA6"/>
    <w:rsid w:val="00A02CFD"/>
    <w:rsid w:val="00A02DBD"/>
    <w:rsid w:val="00A02FFD"/>
    <w:rsid w:val="00A030E4"/>
    <w:rsid w:val="00A033BB"/>
    <w:rsid w:val="00A033CF"/>
    <w:rsid w:val="00A033F4"/>
    <w:rsid w:val="00A03456"/>
    <w:rsid w:val="00A034CC"/>
    <w:rsid w:val="00A035F9"/>
    <w:rsid w:val="00A03618"/>
    <w:rsid w:val="00A036FD"/>
    <w:rsid w:val="00A03991"/>
    <w:rsid w:val="00A03A59"/>
    <w:rsid w:val="00A03AB2"/>
    <w:rsid w:val="00A03DD1"/>
    <w:rsid w:val="00A03E94"/>
    <w:rsid w:val="00A03F36"/>
    <w:rsid w:val="00A03F47"/>
    <w:rsid w:val="00A04035"/>
    <w:rsid w:val="00A040D5"/>
    <w:rsid w:val="00A04288"/>
    <w:rsid w:val="00A042EA"/>
    <w:rsid w:val="00A04315"/>
    <w:rsid w:val="00A04462"/>
    <w:rsid w:val="00A04668"/>
    <w:rsid w:val="00A0495A"/>
    <w:rsid w:val="00A04972"/>
    <w:rsid w:val="00A04989"/>
    <w:rsid w:val="00A04994"/>
    <w:rsid w:val="00A049F6"/>
    <w:rsid w:val="00A04A09"/>
    <w:rsid w:val="00A04A81"/>
    <w:rsid w:val="00A04AD2"/>
    <w:rsid w:val="00A04B09"/>
    <w:rsid w:val="00A04B62"/>
    <w:rsid w:val="00A04CBA"/>
    <w:rsid w:val="00A04E21"/>
    <w:rsid w:val="00A04E64"/>
    <w:rsid w:val="00A04E9E"/>
    <w:rsid w:val="00A05084"/>
    <w:rsid w:val="00A05164"/>
    <w:rsid w:val="00A05204"/>
    <w:rsid w:val="00A054B4"/>
    <w:rsid w:val="00A05555"/>
    <w:rsid w:val="00A05821"/>
    <w:rsid w:val="00A05AB6"/>
    <w:rsid w:val="00A05D1D"/>
    <w:rsid w:val="00A05D30"/>
    <w:rsid w:val="00A05D34"/>
    <w:rsid w:val="00A05D39"/>
    <w:rsid w:val="00A05E1F"/>
    <w:rsid w:val="00A05E3D"/>
    <w:rsid w:val="00A05EA2"/>
    <w:rsid w:val="00A05EE3"/>
    <w:rsid w:val="00A05F03"/>
    <w:rsid w:val="00A06018"/>
    <w:rsid w:val="00A06061"/>
    <w:rsid w:val="00A0608A"/>
    <w:rsid w:val="00A062BC"/>
    <w:rsid w:val="00A06399"/>
    <w:rsid w:val="00A0670E"/>
    <w:rsid w:val="00A06831"/>
    <w:rsid w:val="00A0689A"/>
    <w:rsid w:val="00A068E7"/>
    <w:rsid w:val="00A0696E"/>
    <w:rsid w:val="00A06CCD"/>
    <w:rsid w:val="00A06CE5"/>
    <w:rsid w:val="00A06E74"/>
    <w:rsid w:val="00A06F3C"/>
    <w:rsid w:val="00A06F7D"/>
    <w:rsid w:val="00A06F9F"/>
    <w:rsid w:val="00A07019"/>
    <w:rsid w:val="00A07060"/>
    <w:rsid w:val="00A07237"/>
    <w:rsid w:val="00A07328"/>
    <w:rsid w:val="00A07379"/>
    <w:rsid w:val="00A074C5"/>
    <w:rsid w:val="00A07522"/>
    <w:rsid w:val="00A07687"/>
    <w:rsid w:val="00A076AC"/>
    <w:rsid w:val="00A076CC"/>
    <w:rsid w:val="00A07708"/>
    <w:rsid w:val="00A07794"/>
    <w:rsid w:val="00A077BF"/>
    <w:rsid w:val="00A07808"/>
    <w:rsid w:val="00A07897"/>
    <w:rsid w:val="00A078BB"/>
    <w:rsid w:val="00A078EE"/>
    <w:rsid w:val="00A079F8"/>
    <w:rsid w:val="00A07ADF"/>
    <w:rsid w:val="00A07CB2"/>
    <w:rsid w:val="00A07D08"/>
    <w:rsid w:val="00A07F62"/>
    <w:rsid w:val="00A1012F"/>
    <w:rsid w:val="00A10135"/>
    <w:rsid w:val="00A1043B"/>
    <w:rsid w:val="00A10537"/>
    <w:rsid w:val="00A10544"/>
    <w:rsid w:val="00A106B2"/>
    <w:rsid w:val="00A10B42"/>
    <w:rsid w:val="00A10B5B"/>
    <w:rsid w:val="00A10DC3"/>
    <w:rsid w:val="00A10F39"/>
    <w:rsid w:val="00A10FC7"/>
    <w:rsid w:val="00A11009"/>
    <w:rsid w:val="00A111AA"/>
    <w:rsid w:val="00A111C9"/>
    <w:rsid w:val="00A1124E"/>
    <w:rsid w:val="00A11354"/>
    <w:rsid w:val="00A113CC"/>
    <w:rsid w:val="00A11442"/>
    <w:rsid w:val="00A1165C"/>
    <w:rsid w:val="00A1169E"/>
    <w:rsid w:val="00A11868"/>
    <w:rsid w:val="00A1195E"/>
    <w:rsid w:val="00A11984"/>
    <w:rsid w:val="00A11D84"/>
    <w:rsid w:val="00A11E3A"/>
    <w:rsid w:val="00A12258"/>
    <w:rsid w:val="00A12413"/>
    <w:rsid w:val="00A12546"/>
    <w:rsid w:val="00A1257D"/>
    <w:rsid w:val="00A1258B"/>
    <w:rsid w:val="00A125D6"/>
    <w:rsid w:val="00A126F0"/>
    <w:rsid w:val="00A12771"/>
    <w:rsid w:val="00A127D4"/>
    <w:rsid w:val="00A12B39"/>
    <w:rsid w:val="00A12C0B"/>
    <w:rsid w:val="00A12E7E"/>
    <w:rsid w:val="00A130D9"/>
    <w:rsid w:val="00A131EA"/>
    <w:rsid w:val="00A1323D"/>
    <w:rsid w:val="00A13298"/>
    <w:rsid w:val="00A132EC"/>
    <w:rsid w:val="00A13507"/>
    <w:rsid w:val="00A13512"/>
    <w:rsid w:val="00A13567"/>
    <w:rsid w:val="00A1357B"/>
    <w:rsid w:val="00A135CD"/>
    <w:rsid w:val="00A135E0"/>
    <w:rsid w:val="00A1371C"/>
    <w:rsid w:val="00A13973"/>
    <w:rsid w:val="00A13A38"/>
    <w:rsid w:val="00A13A51"/>
    <w:rsid w:val="00A13C85"/>
    <w:rsid w:val="00A13CA1"/>
    <w:rsid w:val="00A13D31"/>
    <w:rsid w:val="00A13DB2"/>
    <w:rsid w:val="00A13EA0"/>
    <w:rsid w:val="00A14211"/>
    <w:rsid w:val="00A14340"/>
    <w:rsid w:val="00A144A5"/>
    <w:rsid w:val="00A1461E"/>
    <w:rsid w:val="00A1470F"/>
    <w:rsid w:val="00A147BF"/>
    <w:rsid w:val="00A14834"/>
    <w:rsid w:val="00A1491C"/>
    <w:rsid w:val="00A149DF"/>
    <w:rsid w:val="00A149E1"/>
    <w:rsid w:val="00A14A88"/>
    <w:rsid w:val="00A14A95"/>
    <w:rsid w:val="00A14AB7"/>
    <w:rsid w:val="00A14B72"/>
    <w:rsid w:val="00A14E53"/>
    <w:rsid w:val="00A14EC9"/>
    <w:rsid w:val="00A1509B"/>
    <w:rsid w:val="00A150BF"/>
    <w:rsid w:val="00A150F6"/>
    <w:rsid w:val="00A15273"/>
    <w:rsid w:val="00A15580"/>
    <w:rsid w:val="00A15618"/>
    <w:rsid w:val="00A1564A"/>
    <w:rsid w:val="00A156FF"/>
    <w:rsid w:val="00A15CD4"/>
    <w:rsid w:val="00A15CD7"/>
    <w:rsid w:val="00A15D53"/>
    <w:rsid w:val="00A15D5A"/>
    <w:rsid w:val="00A15EEC"/>
    <w:rsid w:val="00A15FF6"/>
    <w:rsid w:val="00A160C3"/>
    <w:rsid w:val="00A16254"/>
    <w:rsid w:val="00A16315"/>
    <w:rsid w:val="00A16368"/>
    <w:rsid w:val="00A1639A"/>
    <w:rsid w:val="00A163CE"/>
    <w:rsid w:val="00A163D2"/>
    <w:rsid w:val="00A16449"/>
    <w:rsid w:val="00A1658A"/>
    <w:rsid w:val="00A16623"/>
    <w:rsid w:val="00A16632"/>
    <w:rsid w:val="00A166DC"/>
    <w:rsid w:val="00A166F0"/>
    <w:rsid w:val="00A1674B"/>
    <w:rsid w:val="00A167D6"/>
    <w:rsid w:val="00A167E3"/>
    <w:rsid w:val="00A16854"/>
    <w:rsid w:val="00A16863"/>
    <w:rsid w:val="00A1696B"/>
    <w:rsid w:val="00A16AA2"/>
    <w:rsid w:val="00A16BDA"/>
    <w:rsid w:val="00A16D7E"/>
    <w:rsid w:val="00A16EA4"/>
    <w:rsid w:val="00A16F07"/>
    <w:rsid w:val="00A17195"/>
    <w:rsid w:val="00A171C2"/>
    <w:rsid w:val="00A1726F"/>
    <w:rsid w:val="00A1727C"/>
    <w:rsid w:val="00A173F4"/>
    <w:rsid w:val="00A17680"/>
    <w:rsid w:val="00A176A8"/>
    <w:rsid w:val="00A17754"/>
    <w:rsid w:val="00A17DBE"/>
    <w:rsid w:val="00A17EB1"/>
    <w:rsid w:val="00A202D3"/>
    <w:rsid w:val="00A20324"/>
    <w:rsid w:val="00A20386"/>
    <w:rsid w:val="00A209B1"/>
    <w:rsid w:val="00A20A07"/>
    <w:rsid w:val="00A20A90"/>
    <w:rsid w:val="00A20BE7"/>
    <w:rsid w:val="00A20D62"/>
    <w:rsid w:val="00A2123B"/>
    <w:rsid w:val="00A21437"/>
    <w:rsid w:val="00A215B1"/>
    <w:rsid w:val="00A215FD"/>
    <w:rsid w:val="00A2167F"/>
    <w:rsid w:val="00A21682"/>
    <w:rsid w:val="00A21854"/>
    <w:rsid w:val="00A21958"/>
    <w:rsid w:val="00A2198A"/>
    <w:rsid w:val="00A219E2"/>
    <w:rsid w:val="00A21A48"/>
    <w:rsid w:val="00A21BDA"/>
    <w:rsid w:val="00A21DDA"/>
    <w:rsid w:val="00A21E8F"/>
    <w:rsid w:val="00A21F3F"/>
    <w:rsid w:val="00A21F75"/>
    <w:rsid w:val="00A22158"/>
    <w:rsid w:val="00A22259"/>
    <w:rsid w:val="00A222FB"/>
    <w:rsid w:val="00A22421"/>
    <w:rsid w:val="00A2243A"/>
    <w:rsid w:val="00A22539"/>
    <w:rsid w:val="00A225ED"/>
    <w:rsid w:val="00A22696"/>
    <w:rsid w:val="00A226E6"/>
    <w:rsid w:val="00A2271D"/>
    <w:rsid w:val="00A2293B"/>
    <w:rsid w:val="00A22A7F"/>
    <w:rsid w:val="00A22BBB"/>
    <w:rsid w:val="00A22BF8"/>
    <w:rsid w:val="00A22DD6"/>
    <w:rsid w:val="00A22E28"/>
    <w:rsid w:val="00A22EDE"/>
    <w:rsid w:val="00A22EFC"/>
    <w:rsid w:val="00A22F41"/>
    <w:rsid w:val="00A2318D"/>
    <w:rsid w:val="00A23360"/>
    <w:rsid w:val="00A23430"/>
    <w:rsid w:val="00A23939"/>
    <w:rsid w:val="00A239CC"/>
    <w:rsid w:val="00A23B04"/>
    <w:rsid w:val="00A23DCB"/>
    <w:rsid w:val="00A23E07"/>
    <w:rsid w:val="00A23E1B"/>
    <w:rsid w:val="00A23F21"/>
    <w:rsid w:val="00A23F70"/>
    <w:rsid w:val="00A23FB5"/>
    <w:rsid w:val="00A2400D"/>
    <w:rsid w:val="00A2404B"/>
    <w:rsid w:val="00A240D5"/>
    <w:rsid w:val="00A24194"/>
    <w:rsid w:val="00A241D6"/>
    <w:rsid w:val="00A24251"/>
    <w:rsid w:val="00A2429B"/>
    <w:rsid w:val="00A242A5"/>
    <w:rsid w:val="00A24302"/>
    <w:rsid w:val="00A243FB"/>
    <w:rsid w:val="00A244C9"/>
    <w:rsid w:val="00A2451E"/>
    <w:rsid w:val="00A24928"/>
    <w:rsid w:val="00A24AD3"/>
    <w:rsid w:val="00A24DD1"/>
    <w:rsid w:val="00A24E77"/>
    <w:rsid w:val="00A24F93"/>
    <w:rsid w:val="00A24FB0"/>
    <w:rsid w:val="00A25035"/>
    <w:rsid w:val="00A25096"/>
    <w:rsid w:val="00A2509F"/>
    <w:rsid w:val="00A250DF"/>
    <w:rsid w:val="00A251E1"/>
    <w:rsid w:val="00A253CC"/>
    <w:rsid w:val="00A253F2"/>
    <w:rsid w:val="00A25460"/>
    <w:rsid w:val="00A2556A"/>
    <w:rsid w:val="00A25570"/>
    <w:rsid w:val="00A25594"/>
    <w:rsid w:val="00A257DC"/>
    <w:rsid w:val="00A2580E"/>
    <w:rsid w:val="00A25918"/>
    <w:rsid w:val="00A25B02"/>
    <w:rsid w:val="00A25B93"/>
    <w:rsid w:val="00A25C38"/>
    <w:rsid w:val="00A25DEA"/>
    <w:rsid w:val="00A25FF2"/>
    <w:rsid w:val="00A26012"/>
    <w:rsid w:val="00A261BC"/>
    <w:rsid w:val="00A26209"/>
    <w:rsid w:val="00A262C8"/>
    <w:rsid w:val="00A26389"/>
    <w:rsid w:val="00A263FB"/>
    <w:rsid w:val="00A26500"/>
    <w:rsid w:val="00A26510"/>
    <w:rsid w:val="00A2668E"/>
    <w:rsid w:val="00A266F9"/>
    <w:rsid w:val="00A26AB5"/>
    <w:rsid w:val="00A26B07"/>
    <w:rsid w:val="00A26B38"/>
    <w:rsid w:val="00A26B6A"/>
    <w:rsid w:val="00A26BD7"/>
    <w:rsid w:val="00A27091"/>
    <w:rsid w:val="00A272EA"/>
    <w:rsid w:val="00A27462"/>
    <w:rsid w:val="00A275C3"/>
    <w:rsid w:val="00A27608"/>
    <w:rsid w:val="00A27762"/>
    <w:rsid w:val="00A277A3"/>
    <w:rsid w:val="00A277BA"/>
    <w:rsid w:val="00A27A33"/>
    <w:rsid w:val="00A27AF8"/>
    <w:rsid w:val="00A27B47"/>
    <w:rsid w:val="00A27B98"/>
    <w:rsid w:val="00A27BF9"/>
    <w:rsid w:val="00A27C32"/>
    <w:rsid w:val="00A27CD6"/>
    <w:rsid w:val="00A27E1B"/>
    <w:rsid w:val="00A27F4A"/>
    <w:rsid w:val="00A30078"/>
    <w:rsid w:val="00A3009B"/>
    <w:rsid w:val="00A302B7"/>
    <w:rsid w:val="00A302CF"/>
    <w:rsid w:val="00A303B8"/>
    <w:rsid w:val="00A30424"/>
    <w:rsid w:val="00A304F6"/>
    <w:rsid w:val="00A30552"/>
    <w:rsid w:val="00A305C1"/>
    <w:rsid w:val="00A30646"/>
    <w:rsid w:val="00A307BE"/>
    <w:rsid w:val="00A30A2C"/>
    <w:rsid w:val="00A30BD4"/>
    <w:rsid w:val="00A30D49"/>
    <w:rsid w:val="00A30E80"/>
    <w:rsid w:val="00A31126"/>
    <w:rsid w:val="00A3113B"/>
    <w:rsid w:val="00A3113C"/>
    <w:rsid w:val="00A31203"/>
    <w:rsid w:val="00A31291"/>
    <w:rsid w:val="00A31329"/>
    <w:rsid w:val="00A31440"/>
    <w:rsid w:val="00A31801"/>
    <w:rsid w:val="00A31812"/>
    <w:rsid w:val="00A318EF"/>
    <w:rsid w:val="00A31900"/>
    <w:rsid w:val="00A31BE8"/>
    <w:rsid w:val="00A31E1C"/>
    <w:rsid w:val="00A31E49"/>
    <w:rsid w:val="00A31EAE"/>
    <w:rsid w:val="00A31F50"/>
    <w:rsid w:val="00A31FA5"/>
    <w:rsid w:val="00A31FEE"/>
    <w:rsid w:val="00A32006"/>
    <w:rsid w:val="00A320BB"/>
    <w:rsid w:val="00A32314"/>
    <w:rsid w:val="00A323BF"/>
    <w:rsid w:val="00A32447"/>
    <w:rsid w:val="00A32493"/>
    <w:rsid w:val="00A32554"/>
    <w:rsid w:val="00A328DA"/>
    <w:rsid w:val="00A32932"/>
    <w:rsid w:val="00A3294B"/>
    <w:rsid w:val="00A32D2C"/>
    <w:rsid w:val="00A32DCD"/>
    <w:rsid w:val="00A32F2A"/>
    <w:rsid w:val="00A32FB7"/>
    <w:rsid w:val="00A33030"/>
    <w:rsid w:val="00A33069"/>
    <w:rsid w:val="00A3346D"/>
    <w:rsid w:val="00A33679"/>
    <w:rsid w:val="00A337A5"/>
    <w:rsid w:val="00A338DB"/>
    <w:rsid w:val="00A33983"/>
    <w:rsid w:val="00A33984"/>
    <w:rsid w:val="00A33AEE"/>
    <w:rsid w:val="00A33B16"/>
    <w:rsid w:val="00A33B37"/>
    <w:rsid w:val="00A33C35"/>
    <w:rsid w:val="00A33CC6"/>
    <w:rsid w:val="00A33CCD"/>
    <w:rsid w:val="00A33DAD"/>
    <w:rsid w:val="00A33E46"/>
    <w:rsid w:val="00A33EBD"/>
    <w:rsid w:val="00A33FE2"/>
    <w:rsid w:val="00A3403F"/>
    <w:rsid w:val="00A34148"/>
    <w:rsid w:val="00A34442"/>
    <w:rsid w:val="00A34550"/>
    <w:rsid w:val="00A34589"/>
    <w:rsid w:val="00A34735"/>
    <w:rsid w:val="00A3489F"/>
    <w:rsid w:val="00A34984"/>
    <w:rsid w:val="00A34A30"/>
    <w:rsid w:val="00A34A64"/>
    <w:rsid w:val="00A34E60"/>
    <w:rsid w:val="00A34EDB"/>
    <w:rsid w:val="00A34F61"/>
    <w:rsid w:val="00A351AE"/>
    <w:rsid w:val="00A351B9"/>
    <w:rsid w:val="00A3528E"/>
    <w:rsid w:val="00A353DB"/>
    <w:rsid w:val="00A35523"/>
    <w:rsid w:val="00A35619"/>
    <w:rsid w:val="00A3565B"/>
    <w:rsid w:val="00A356BD"/>
    <w:rsid w:val="00A35A38"/>
    <w:rsid w:val="00A35BFA"/>
    <w:rsid w:val="00A35CDC"/>
    <w:rsid w:val="00A35CF6"/>
    <w:rsid w:val="00A35D09"/>
    <w:rsid w:val="00A35D0E"/>
    <w:rsid w:val="00A35D2D"/>
    <w:rsid w:val="00A35D4E"/>
    <w:rsid w:val="00A35D8B"/>
    <w:rsid w:val="00A35E08"/>
    <w:rsid w:val="00A35F59"/>
    <w:rsid w:val="00A35FFF"/>
    <w:rsid w:val="00A36035"/>
    <w:rsid w:val="00A360AE"/>
    <w:rsid w:val="00A360F2"/>
    <w:rsid w:val="00A36190"/>
    <w:rsid w:val="00A361C3"/>
    <w:rsid w:val="00A36340"/>
    <w:rsid w:val="00A36362"/>
    <w:rsid w:val="00A363AD"/>
    <w:rsid w:val="00A36519"/>
    <w:rsid w:val="00A367E0"/>
    <w:rsid w:val="00A36906"/>
    <w:rsid w:val="00A3692B"/>
    <w:rsid w:val="00A3694A"/>
    <w:rsid w:val="00A369CE"/>
    <w:rsid w:val="00A36A8A"/>
    <w:rsid w:val="00A36ACF"/>
    <w:rsid w:val="00A36AD5"/>
    <w:rsid w:val="00A36AEE"/>
    <w:rsid w:val="00A36C02"/>
    <w:rsid w:val="00A36CA5"/>
    <w:rsid w:val="00A36CF3"/>
    <w:rsid w:val="00A36D84"/>
    <w:rsid w:val="00A36F69"/>
    <w:rsid w:val="00A37102"/>
    <w:rsid w:val="00A37299"/>
    <w:rsid w:val="00A372B4"/>
    <w:rsid w:val="00A37332"/>
    <w:rsid w:val="00A373DE"/>
    <w:rsid w:val="00A37420"/>
    <w:rsid w:val="00A37429"/>
    <w:rsid w:val="00A37883"/>
    <w:rsid w:val="00A379ED"/>
    <w:rsid w:val="00A37A94"/>
    <w:rsid w:val="00A37B38"/>
    <w:rsid w:val="00A37BE0"/>
    <w:rsid w:val="00A37BE5"/>
    <w:rsid w:val="00A37C3F"/>
    <w:rsid w:val="00A37DCC"/>
    <w:rsid w:val="00A37E3F"/>
    <w:rsid w:val="00A37E5C"/>
    <w:rsid w:val="00A400EE"/>
    <w:rsid w:val="00A401B2"/>
    <w:rsid w:val="00A4022F"/>
    <w:rsid w:val="00A402AB"/>
    <w:rsid w:val="00A4036A"/>
    <w:rsid w:val="00A40392"/>
    <w:rsid w:val="00A40693"/>
    <w:rsid w:val="00A4072B"/>
    <w:rsid w:val="00A407F1"/>
    <w:rsid w:val="00A408A5"/>
    <w:rsid w:val="00A4099E"/>
    <w:rsid w:val="00A40D1A"/>
    <w:rsid w:val="00A41017"/>
    <w:rsid w:val="00A410BE"/>
    <w:rsid w:val="00A410F2"/>
    <w:rsid w:val="00A411FA"/>
    <w:rsid w:val="00A4145A"/>
    <w:rsid w:val="00A4148D"/>
    <w:rsid w:val="00A41611"/>
    <w:rsid w:val="00A41631"/>
    <w:rsid w:val="00A4163C"/>
    <w:rsid w:val="00A416A3"/>
    <w:rsid w:val="00A416CB"/>
    <w:rsid w:val="00A416E5"/>
    <w:rsid w:val="00A419F4"/>
    <w:rsid w:val="00A41BC1"/>
    <w:rsid w:val="00A41BFB"/>
    <w:rsid w:val="00A41C4D"/>
    <w:rsid w:val="00A41C5F"/>
    <w:rsid w:val="00A41C72"/>
    <w:rsid w:val="00A41C88"/>
    <w:rsid w:val="00A41E82"/>
    <w:rsid w:val="00A41E88"/>
    <w:rsid w:val="00A41EAA"/>
    <w:rsid w:val="00A41FF0"/>
    <w:rsid w:val="00A421F9"/>
    <w:rsid w:val="00A42271"/>
    <w:rsid w:val="00A422C3"/>
    <w:rsid w:val="00A42303"/>
    <w:rsid w:val="00A423FF"/>
    <w:rsid w:val="00A4259D"/>
    <w:rsid w:val="00A425FB"/>
    <w:rsid w:val="00A4266B"/>
    <w:rsid w:val="00A42769"/>
    <w:rsid w:val="00A42807"/>
    <w:rsid w:val="00A4283C"/>
    <w:rsid w:val="00A428E2"/>
    <w:rsid w:val="00A42AF8"/>
    <w:rsid w:val="00A42B93"/>
    <w:rsid w:val="00A42B9A"/>
    <w:rsid w:val="00A42D00"/>
    <w:rsid w:val="00A42DFF"/>
    <w:rsid w:val="00A42E6D"/>
    <w:rsid w:val="00A42EEE"/>
    <w:rsid w:val="00A430E0"/>
    <w:rsid w:val="00A4315D"/>
    <w:rsid w:val="00A431C2"/>
    <w:rsid w:val="00A433D6"/>
    <w:rsid w:val="00A43443"/>
    <w:rsid w:val="00A43446"/>
    <w:rsid w:val="00A435AC"/>
    <w:rsid w:val="00A435D1"/>
    <w:rsid w:val="00A4361B"/>
    <w:rsid w:val="00A43630"/>
    <w:rsid w:val="00A436B8"/>
    <w:rsid w:val="00A43755"/>
    <w:rsid w:val="00A438CF"/>
    <w:rsid w:val="00A43A3F"/>
    <w:rsid w:val="00A43BCC"/>
    <w:rsid w:val="00A43BCF"/>
    <w:rsid w:val="00A43D58"/>
    <w:rsid w:val="00A43D6E"/>
    <w:rsid w:val="00A43E4C"/>
    <w:rsid w:val="00A43EA7"/>
    <w:rsid w:val="00A43FCB"/>
    <w:rsid w:val="00A440B9"/>
    <w:rsid w:val="00A440C9"/>
    <w:rsid w:val="00A440E2"/>
    <w:rsid w:val="00A441F8"/>
    <w:rsid w:val="00A4420E"/>
    <w:rsid w:val="00A44237"/>
    <w:rsid w:val="00A44407"/>
    <w:rsid w:val="00A444DC"/>
    <w:rsid w:val="00A4479E"/>
    <w:rsid w:val="00A44873"/>
    <w:rsid w:val="00A448E8"/>
    <w:rsid w:val="00A44ACC"/>
    <w:rsid w:val="00A44B62"/>
    <w:rsid w:val="00A44BB8"/>
    <w:rsid w:val="00A44D53"/>
    <w:rsid w:val="00A44DE7"/>
    <w:rsid w:val="00A44DFC"/>
    <w:rsid w:val="00A44E18"/>
    <w:rsid w:val="00A44EC1"/>
    <w:rsid w:val="00A45065"/>
    <w:rsid w:val="00A45475"/>
    <w:rsid w:val="00A454B3"/>
    <w:rsid w:val="00A454EE"/>
    <w:rsid w:val="00A4569D"/>
    <w:rsid w:val="00A4594D"/>
    <w:rsid w:val="00A45C32"/>
    <w:rsid w:val="00A45C94"/>
    <w:rsid w:val="00A45CE7"/>
    <w:rsid w:val="00A45DF9"/>
    <w:rsid w:val="00A45E52"/>
    <w:rsid w:val="00A45E9E"/>
    <w:rsid w:val="00A45ED3"/>
    <w:rsid w:val="00A46091"/>
    <w:rsid w:val="00A461A4"/>
    <w:rsid w:val="00A46207"/>
    <w:rsid w:val="00A462D6"/>
    <w:rsid w:val="00A463BC"/>
    <w:rsid w:val="00A463CF"/>
    <w:rsid w:val="00A46419"/>
    <w:rsid w:val="00A46508"/>
    <w:rsid w:val="00A465D5"/>
    <w:rsid w:val="00A46606"/>
    <w:rsid w:val="00A46626"/>
    <w:rsid w:val="00A46652"/>
    <w:rsid w:val="00A4676B"/>
    <w:rsid w:val="00A46998"/>
    <w:rsid w:val="00A469D2"/>
    <w:rsid w:val="00A46A6E"/>
    <w:rsid w:val="00A46B0F"/>
    <w:rsid w:val="00A46B87"/>
    <w:rsid w:val="00A46D15"/>
    <w:rsid w:val="00A46D6C"/>
    <w:rsid w:val="00A46DB3"/>
    <w:rsid w:val="00A46E42"/>
    <w:rsid w:val="00A46F08"/>
    <w:rsid w:val="00A46F1F"/>
    <w:rsid w:val="00A47010"/>
    <w:rsid w:val="00A47113"/>
    <w:rsid w:val="00A4713D"/>
    <w:rsid w:val="00A47424"/>
    <w:rsid w:val="00A4749E"/>
    <w:rsid w:val="00A474E0"/>
    <w:rsid w:val="00A47599"/>
    <w:rsid w:val="00A475A2"/>
    <w:rsid w:val="00A475B1"/>
    <w:rsid w:val="00A475FC"/>
    <w:rsid w:val="00A476B7"/>
    <w:rsid w:val="00A4779E"/>
    <w:rsid w:val="00A477EC"/>
    <w:rsid w:val="00A479B0"/>
    <w:rsid w:val="00A47F7B"/>
    <w:rsid w:val="00A47FC9"/>
    <w:rsid w:val="00A50081"/>
    <w:rsid w:val="00A5017D"/>
    <w:rsid w:val="00A502F9"/>
    <w:rsid w:val="00A50379"/>
    <w:rsid w:val="00A503EF"/>
    <w:rsid w:val="00A5040B"/>
    <w:rsid w:val="00A50481"/>
    <w:rsid w:val="00A50520"/>
    <w:rsid w:val="00A506FD"/>
    <w:rsid w:val="00A50AFD"/>
    <w:rsid w:val="00A50C41"/>
    <w:rsid w:val="00A50E04"/>
    <w:rsid w:val="00A50FC4"/>
    <w:rsid w:val="00A510BC"/>
    <w:rsid w:val="00A5119E"/>
    <w:rsid w:val="00A513E5"/>
    <w:rsid w:val="00A51424"/>
    <w:rsid w:val="00A514F1"/>
    <w:rsid w:val="00A51515"/>
    <w:rsid w:val="00A5171D"/>
    <w:rsid w:val="00A517D6"/>
    <w:rsid w:val="00A5192D"/>
    <w:rsid w:val="00A519FE"/>
    <w:rsid w:val="00A51A77"/>
    <w:rsid w:val="00A51B57"/>
    <w:rsid w:val="00A51EE2"/>
    <w:rsid w:val="00A51F9A"/>
    <w:rsid w:val="00A52091"/>
    <w:rsid w:val="00A524AF"/>
    <w:rsid w:val="00A524BB"/>
    <w:rsid w:val="00A5255D"/>
    <w:rsid w:val="00A5277A"/>
    <w:rsid w:val="00A5279F"/>
    <w:rsid w:val="00A5283B"/>
    <w:rsid w:val="00A52859"/>
    <w:rsid w:val="00A528E0"/>
    <w:rsid w:val="00A52931"/>
    <w:rsid w:val="00A52B17"/>
    <w:rsid w:val="00A52BC9"/>
    <w:rsid w:val="00A52BF4"/>
    <w:rsid w:val="00A53002"/>
    <w:rsid w:val="00A5310F"/>
    <w:rsid w:val="00A5323B"/>
    <w:rsid w:val="00A5334B"/>
    <w:rsid w:val="00A53465"/>
    <w:rsid w:val="00A5352D"/>
    <w:rsid w:val="00A53598"/>
    <w:rsid w:val="00A53628"/>
    <w:rsid w:val="00A536F2"/>
    <w:rsid w:val="00A5383A"/>
    <w:rsid w:val="00A53851"/>
    <w:rsid w:val="00A538A6"/>
    <w:rsid w:val="00A538D8"/>
    <w:rsid w:val="00A53A44"/>
    <w:rsid w:val="00A53B0F"/>
    <w:rsid w:val="00A53B7D"/>
    <w:rsid w:val="00A53C80"/>
    <w:rsid w:val="00A53FDC"/>
    <w:rsid w:val="00A540AC"/>
    <w:rsid w:val="00A540CF"/>
    <w:rsid w:val="00A54162"/>
    <w:rsid w:val="00A5417A"/>
    <w:rsid w:val="00A54183"/>
    <w:rsid w:val="00A54629"/>
    <w:rsid w:val="00A5462B"/>
    <w:rsid w:val="00A5498E"/>
    <w:rsid w:val="00A54A13"/>
    <w:rsid w:val="00A54ADD"/>
    <w:rsid w:val="00A54B5E"/>
    <w:rsid w:val="00A54C96"/>
    <w:rsid w:val="00A54CEA"/>
    <w:rsid w:val="00A54E56"/>
    <w:rsid w:val="00A54EA6"/>
    <w:rsid w:val="00A54FB4"/>
    <w:rsid w:val="00A5522A"/>
    <w:rsid w:val="00A55287"/>
    <w:rsid w:val="00A552E6"/>
    <w:rsid w:val="00A552F9"/>
    <w:rsid w:val="00A553AE"/>
    <w:rsid w:val="00A55415"/>
    <w:rsid w:val="00A5575F"/>
    <w:rsid w:val="00A55814"/>
    <w:rsid w:val="00A55988"/>
    <w:rsid w:val="00A55A5D"/>
    <w:rsid w:val="00A55A65"/>
    <w:rsid w:val="00A55AE8"/>
    <w:rsid w:val="00A55B3B"/>
    <w:rsid w:val="00A55C78"/>
    <w:rsid w:val="00A55D58"/>
    <w:rsid w:val="00A55D62"/>
    <w:rsid w:val="00A55DFD"/>
    <w:rsid w:val="00A55F9B"/>
    <w:rsid w:val="00A55FC3"/>
    <w:rsid w:val="00A5603A"/>
    <w:rsid w:val="00A56040"/>
    <w:rsid w:val="00A5616D"/>
    <w:rsid w:val="00A562A4"/>
    <w:rsid w:val="00A56348"/>
    <w:rsid w:val="00A5634D"/>
    <w:rsid w:val="00A5636A"/>
    <w:rsid w:val="00A56526"/>
    <w:rsid w:val="00A56596"/>
    <w:rsid w:val="00A566DE"/>
    <w:rsid w:val="00A56708"/>
    <w:rsid w:val="00A56729"/>
    <w:rsid w:val="00A5673F"/>
    <w:rsid w:val="00A56773"/>
    <w:rsid w:val="00A56787"/>
    <w:rsid w:val="00A567DB"/>
    <w:rsid w:val="00A56937"/>
    <w:rsid w:val="00A5693E"/>
    <w:rsid w:val="00A56DE0"/>
    <w:rsid w:val="00A57286"/>
    <w:rsid w:val="00A5743D"/>
    <w:rsid w:val="00A574EC"/>
    <w:rsid w:val="00A5757F"/>
    <w:rsid w:val="00A57645"/>
    <w:rsid w:val="00A57668"/>
    <w:rsid w:val="00A5771C"/>
    <w:rsid w:val="00A57872"/>
    <w:rsid w:val="00A57ADD"/>
    <w:rsid w:val="00A57B2B"/>
    <w:rsid w:val="00A57B57"/>
    <w:rsid w:val="00A57BF7"/>
    <w:rsid w:val="00A57D6A"/>
    <w:rsid w:val="00A57DD5"/>
    <w:rsid w:val="00A57E8A"/>
    <w:rsid w:val="00A6037F"/>
    <w:rsid w:val="00A60387"/>
    <w:rsid w:val="00A60495"/>
    <w:rsid w:val="00A60ACE"/>
    <w:rsid w:val="00A60B71"/>
    <w:rsid w:val="00A60FA1"/>
    <w:rsid w:val="00A610C8"/>
    <w:rsid w:val="00A61278"/>
    <w:rsid w:val="00A612F3"/>
    <w:rsid w:val="00A61499"/>
    <w:rsid w:val="00A614B2"/>
    <w:rsid w:val="00A614FD"/>
    <w:rsid w:val="00A61628"/>
    <w:rsid w:val="00A6163B"/>
    <w:rsid w:val="00A617EF"/>
    <w:rsid w:val="00A6187D"/>
    <w:rsid w:val="00A618AE"/>
    <w:rsid w:val="00A61928"/>
    <w:rsid w:val="00A61A16"/>
    <w:rsid w:val="00A61A88"/>
    <w:rsid w:val="00A61B0C"/>
    <w:rsid w:val="00A61CE5"/>
    <w:rsid w:val="00A61E18"/>
    <w:rsid w:val="00A6225B"/>
    <w:rsid w:val="00A622FD"/>
    <w:rsid w:val="00A62462"/>
    <w:rsid w:val="00A62677"/>
    <w:rsid w:val="00A626BE"/>
    <w:rsid w:val="00A627B6"/>
    <w:rsid w:val="00A6280C"/>
    <w:rsid w:val="00A62A6D"/>
    <w:rsid w:val="00A62AEE"/>
    <w:rsid w:val="00A62BF5"/>
    <w:rsid w:val="00A62C0A"/>
    <w:rsid w:val="00A62CC5"/>
    <w:rsid w:val="00A62DDA"/>
    <w:rsid w:val="00A62DF5"/>
    <w:rsid w:val="00A62DF9"/>
    <w:rsid w:val="00A6300E"/>
    <w:rsid w:val="00A6304C"/>
    <w:rsid w:val="00A630AD"/>
    <w:rsid w:val="00A6328E"/>
    <w:rsid w:val="00A6329D"/>
    <w:rsid w:val="00A632E3"/>
    <w:rsid w:val="00A63373"/>
    <w:rsid w:val="00A633CF"/>
    <w:rsid w:val="00A63547"/>
    <w:rsid w:val="00A6361F"/>
    <w:rsid w:val="00A63663"/>
    <w:rsid w:val="00A63677"/>
    <w:rsid w:val="00A636BD"/>
    <w:rsid w:val="00A637EF"/>
    <w:rsid w:val="00A6385B"/>
    <w:rsid w:val="00A63949"/>
    <w:rsid w:val="00A63984"/>
    <w:rsid w:val="00A63A1E"/>
    <w:rsid w:val="00A63A95"/>
    <w:rsid w:val="00A63C18"/>
    <w:rsid w:val="00A63DEA"/>
    <w:rsid w:val="00A63EFE"/>
    <w:rsid w:val="00A63F90"/>
    <w:rsid w:val="00A63FE4"/>
    <w:rsid w:val="00A6448C"/>
    <w:rsid w:val="00A64764"/>
    <w:rsid w:val="00A6493D"/>
    <w:rsid w:val="00A64A25"/>
    <w:rsid w:val="00A64A94"/>
    <w:rsid w:val="00A64AFD"/>
    <w:rsid w:val="00A64B15"/>
    <w:rsid w:val="00A64BCE"/>
    <w:rsid w:val="00A64C3E"/>
    <w:rsid w:val="00A64D3A"/>
    <w:rsid w:val="00A64D7D"/>
    <w:rsid w:val="00A64EA7"/>
    <w:rsid w:val="00A64EF1"/>
    <w:rsid w:val="00A64F67"/>
    <w:rsid w:val="00A64FFA"/>
    <w:rsid w:val="00A65015"/>
    <w:rsid w:val="00A6512E"/>
    <w:rsid w:val="00A651CA"/>
    <w:rsid w:val="00A651FA"/>
    <w:rsid w:val="00A65391"/>
    <w:rsid w:val="00A655C6"/>
    <w:rsid w:val="00A6560A"/>
    <w:rsid w:val="00A6561A"/>
    <w:rsid w:val="00A65693"/>
    <w:rsid w:val="00A65763"/>
    <w:rsid w:val="00A657FC"/>
    <w:rsid w:val="00A65838"/>
    <w:rsid w:val="00A65BF6"/>
    <w:rsid w:val="00A65C08"/>
    <w:rsid w:val="00A65CA6"/>
    <w:rsid w:val="00A65CB5"/>
    <w:rsid w:val="00A65DAA"/>
    <w:rsid w:val="00A65DBD"/>
    <w:rsid w:val="00A65EEC"/>
    <w:rsid w:val="00A65F78"/>
    <w:rsid w:val="00A66104"/>
    <w:rsid w:val="00A66200"/>
    <w:rsid w:val="00A66257"/>
    <w:rsid w:val="00A662DC"/>
    <w:rsid w:val="00A66341"/>
    <w:rsid w:val="00A663F6"/>
    <w:rsid w:val="00A66436"/>
    <w:rsid w:val="00A664D8"/>
    <w:rsid w:val="00A665E3"/>
    <w:rsid w:val="00A66614"/>
    <w:rsid w:val="00A66856"/>
    <w:rsid w:val="00A66C15"/>
    <w:rsid w:val="00A66F8D"/>
    <w:rsid w:val="00A6703C"/>
    <w:rsid w:val="00A6710C"/>
    <w:rsid w:val="00A6725C"/>
    <w:rsid w:val="00A672D2"/>
    <w:rsid w:val="00A67340"/>
    <w:rsid w:val="00A6741B"/>
    <w:rsid w:val="00A6743D"/>
    <w:rsid w:val="00A6748E"/>
    <w:rsid w:val="00A67552"/>
    <w:rsid w:val="00A67557"/>
    <w:rsid w:val="00A67594"/>
    <w:rsid w:val="00A67685"/>
    <w:rsid w:val="00A67952"/>
    <w:rsid w:val="00A679A0"/>
    <w:rsid w:val="00A67A87"/>
    <w:rsid w:val="00A67AE4"/>
    <w:rsid w:val="00A67D3C"/>
    <w:rsid w:val="00A67E46"/>
    <w:rsid w:val="00A70033"/>
    <w:rsid w:val="00A7004D"/>
    <w:rsid w:val="00A70184"/>
    <w:rsid w:val="00A701E3"/>
    <w:rsid w:val="00A70418"/>
    <w:rsid w:val="00A704BE"/>
    <w:rsid w:val="00A705C9"/>
    <w:rsid w:val="00A705FA"/>
    <w:rsid w:val="00A70727"/>
    <w:rsid w:val="00A7077D"/>
    <w:rsid w:val="00A70782"/>
    <w:rsid w:val="00A70A58"/>
    <w:rsid w:val="00A70A71"/>
    <w:rsid w:val="00A70BAF"/>
    <w:rsid w:val="00A70CEA"/>
    <w:rsid w:val="00A70DAA"/>
    <w:rsid w:val="00A70F90"/>
    <w:rsid w:val="00A70FB3"/>
    <w:rsid w:val="00A710E7"/>
    <w:rsid w:val="00A71170"/>
    <w:rsid w:val="00A7134E"/>
    <w:rsid w:val="00A71732"/>
    <w:rsid w:val="00A71829"/>
    <w:rsid w:val="00A71A2D"/>
    <w:rsid w:val="00A71A9D"/>
    <w:rsid w:val="00A71B22"/>
    <w:rsid w:val="00A71EB3"/>
    <w:rsid w:val="00A720A5"/>
    <w:rsid w:val="00A720CB"/>
    <w:rsid w:val="00A721CC"/>
    <w:rsid w:val="00A721D7"/>
    <w:rsid w:val="00A722B1"/>
    <w:rsid w:val="00A724B2"/>
    <w:rsid w:val="00A724EA"/>
    <w:rsid w:val="00A726BC"/>
    <w:rsid w:val="00A727B2"/>
    <w:rsid w:val="00A7285F"/>
    <w:rsid w:val="00A728A2"/>
    <w:rsid w:val="00A728E4"/>
    <w:rsid w:val="00A72B97"/>
    <w:rsid w:val="00A72BAD"/>
    <w:rsid w:val="00A72C2A"/>
    <w:rsid w:val="00A72C42"/>
    <w:rsid w:val="00A72D3F"/>
    <w:rsid w:val="00A72D77"/>
    <w:rsid w:val="00A72E52"/>
    <w:rsid w:val="00A72E60"/>
    <w:rsid w:val="00A72ECC"/>
    <w:rsid w:val="00A72F15"/>
    <w:rsid w:val="00A72FE8"/>
    <w:rsid w:val="00A733B1"/>
    <w:rsid w:val="00A73579"/>
    <w:rsid w:val="00A7377D"/>
    <w:rsid w:val="00A73975"/>
    <w:rsid w:val="00A73B22"/>
    <w:rsid w:val="00A73CAE"/>
    <w:rsid w:val="00A73CD6"/>
    <w:rsid w:val="00A73DD5"/>
    <w:rsid w:val="00A73F15"/>
    <w:rsid w:val="00A73F5C"/>
    <w:rsid w:val="00A7418F"/>
    <w:rsid w:val="00A74226"/>
    <w:rsid w:val="00A742BF"/>
    <w:rsid w:val="00A7435D"/>
    <w:rsid w:val="00A74494"/>
    <w:rsid w:val="00A745CD"/>
    <w:rsid w:val="00A7468E"/>
    <w:rsid w:val="00A74725"/>
    <w:rsid w:val="00A74A25"/>
    <w:rsid w:val="00A74E08"/>
    <w:rsid w:val="00A75245"/>
    <w:rsid w:val="00A752D7"/>
    <w:rsid w:val="00A75315"/>
    <w:rsid w:val="00A75325"/>
    <w:rsid w:val="00A75434"/>
    <w:rsid w:val="00A75657"/>
    <w:rsid w:val="00A7571F"/>
    <w:rsid w:val="00A757B0"/>
    <w:rsid w:val="00A757FD"/>
    <w:rsid w:val="00A75978"/>
    <w:rsid w:val="00A75A6A"/>
    <w:rsid w:val="00A75A80"/>
    <w:rsid w:val="00A75A81"/>
    <w:rsid w:val="00A75B33"/>
    <w:rsid w:val="00A75D40"/>
    <w:rsid w:val="00A75DA3"/>
    <w:rsid w:val="00A75FF1"/>
    <w:rsid w:val="00A760F1"/>
    <w:rsid w:val="00A7615E"/>
    <w:rsid w:val="00A76299"/>
    <w:rsid w:val="00A76473"/>
    <w:rsid w:val="00A764C7"/>
    <w:rsid w:val="00A76850"/>
    <w:rsid w:val="00A768E0"/>
    <w:rsid w:val="00A768EB"/>
    <w:rsid w:val="00A76B70"/>
    <w:rsid w:val="00A76E2B"/>
    <w:rsid w:val="00A76E34"/>
    <w:rsid w:val="00A77139"/>
    <w:rsid w:val="00A7720E"/>
    <w:rsid w:val="00A77660"/>
    <w:rsid w:val="00A776A4"/>
    <w:rsid w:val="00A776E5"/>
    <w:rsid w:val="00A7772C"/>
    <w:rsid w:val="00A77856"/>
    <w:rsid w:val="00A77860"/>
    <w:rsid w:val="00A778B5"/>
    <w:rsid w:val="00A778D6"/>
    <w:rsid w:val="00A77A7F"/>
    <w:rsid w:val="00A77E5E"/>
    <w:rsid w:val="00A77F88"/>
    <w:rsid w:val="00A80039"/>
    <w:rsid w:val="00A8007A"/>
    <w:rsid w:val="00A80289"/>
    <w:rsid w:val="00A8049D"/>
    <w:rsid w:val="00A8053A"/>
    <w:rsid w:val="00A80622"/>
    <w:rsid w:val="00A8062D"/>
    <w:rsid w:val="00A808FC"/>
    <w:rsid w:val="00A80B04"/>
    <w:rsid w:val="00A80C40"/>
    <w:rsid w:val="00A80C83"/>
    <w:rsid w:val="00A80D22"/>
    <w:rsid w:val="00A80E03"/>
    <w:rsid w:val="00A80F2C"/>
    <w:rsid w:val="00A8103A"/>
    <w:rsid w:val="00A81047"/>
    <w:rsid w:val="00A81165"/>
    <w:rsid w:val="00A8119F"/>
    <w:rsid w:val="00A81380"/>
    <w:rsid w:val="00A813D0"/>
    <w:rsid w:val="00A8142C"/>
    <w:rsid w:val="00A81445"/>
    <w:rsid w:val="00A814AE"/>
    <w:rsid w:val="00A814FF"/>
    <w:rsid w:val="00A8161F"/>
    <w:rsid w:val="00A816F6"/>
    <w:rsid w:val="00A81A40"/>
    <w:rsid w:val="00A81A46"/>
    <w:rsid w:val="00A81B96"/>
    <w:rsid w:val="00A81CA1"/>
    <w:rsid w:val="00A81CD5"/>
    <w:rsid w:val="00A81D68"/>
    <w:rsid w:val="00A81D9E"/>
    <w:rsid w:val="00A81DD3"/>
    <w:rsid w:val="00A81E17"/>
    <w:rsid w:val="00A81EA8"/>
    <w:rsid w:val="00A8201E"/>
    <w:rsid w:val="00A82074"/>
    <w:rsid w:val="00A820C0"/>
    <w:rsid w:val="00A82199"/>
    <w:rsid w:val="00A82265"/>
    <w:rsid w:val="00A822C2"/>
    <w:rsid w:val="00A82546"/>
    <w:rsid w:val="00A8263F"/>
    <w:rsid w:val="00A8271F"/>
    <w:rsid w:val="00A8276D"/>
    <w:rsid w:val="00A82990"/>
    <w:rsid w:val="00A829B0"/>
    <w:rsid w:val="00A82A53"/>
    <w:rsid w:val="00A82BA2"/>
    <w:rsid w:val="00A82C70"/>
    <w:rsid w:val="00A82CE9"/>
    <w:rsid w:val="00A82D21"/>
    <w:rsid w:val="00A82DE5"/>
    <w:rsid w:val="00A82EF8"/>
    <w:rsid w:val="00A82FD2"/>
    <w:rsid w:val="00A8314A"/>
    <w:rsid w:val="00A83174"/>
    <w:rsid w:val="00A831FB"/>
    <w:rsid w:val="00A83285"/>
    <w:rsid w:val="00A83472"/>
    <w:rsid w:val="00A83492"/>
    <w:rsid w:val="00A8374F"/>
    <w:rsid w:val="00A83766"/>
    <w:rsid w:val="00A837A9"/>
    <w:rsid w:val="00A83832"/>
    <w:rsid w:val="00A83870"/>
    <w:rsid w:val="00A839E8"/>
    <w:rsid w:val="00A83B08"/>
    <w:rsid w:val="00A83BAA"/>
    <w:rsid w:val="00A83D66"/>
    <w:rsid w:val="00A83F66"/>
    <w:rsid w:val="00A83F79"/>
    <w:rsid w:val="00A83FED"/>
    <w:rsid w:val="00A84089"/>
    <w:rsid w:val="00A840B6"/>
    <w:rsid w:val="00A84126"/>
    <w:rsid w:val="00A84199"/>
    <w:rsid w:val="00A84317"/>
    <w:rsid w:val="00A8434D"/>
    <w:rsid w:val="00A84515"/>
    <w:rsid w:val="00A8459B"/>
    <w:rsid w:val="00A84621"/>
    <w:rsid w:val="00A849F6"/>
    <w:rsid w:val="00A84A15"/>
    <w:rsid w:val="00A84A64"/>
    <w:rsid w:val="00A84BFB"/>
    <w:rsid w:val="00A84C66"/>
    <w:rsid w:val="00A84C93"/>
    <w:rsid w:val="00A84C95"/>
    <w:rsid w:val="00A84D7C"/>
    <w:rsid w:val="00A84E3E"/>
    <w:rsid w:val="00A84E7C"/>
    <w:rsid w:val="00A84F26"/>
    <w:rsid w:val="00A84F6E"/>
    <w:rsid w:val="00A852E7"/>
    <w:rsid w:val="00A85420"/>
    <w:rsid w:val="00A854BC"/>
    <w:rsid w:val="00A855DA"/>
    <w:rsid w:val="00A8575D"/>
    <w:rsid w:val="00A85846"/>
    <w:rsid w:val="00A85A3B"/>
    <w:rsid w:val="00A85AE0"/>
    <w:rsid w:val="00A85CAB"/>
    <w:rsid w:val="00A85D84"/>
    <w:rsid w:val="00A85DA2"/>
    <w:rsid w:val="00A85E1D"/>
    <w:rsid w:val="00A85EAF"/>
    <w:rsid w:val="00A85F97"/>
    <w:rsid w:val="00A8607A"/>
    <w:rsid w:val="00A860B7"/>
    <w:rsid w:val="00A860BD"/>
    <w:rsid w:val="00A86277"/>
    <w:rsid w:val="00A863AE"/>
    <w:rsid w:val="00A8641B"/>
    <w:rsid w:val="00A866C8"/>
    <w:rsid w:val="00A866F5"/>
    <w:rsid w:val="00A866FA"/>
    <w:rsid w:val="00A86748"/>
    <w:rsid w:val="00A867A0"/>
    <w:rsid w:val="00A867E9"/>
    <w:rsid w:val="00A869FD"/>
    <w:rsid w:val="00A86A76"/>
    <w:rsid w:val="00A86AB6"/>
    <w:rsid w:val="00A86B72"/>
    <w:rsid w:val="00A86BB6"/>
    <w:rsid w:val="00A86BF2"/>
    <w:rsid w:val="00A86C23"/>
    <w:rsid w:val="00A86D8A"/>
    <w:rsid w:val="00A86E06"/>
    <w:rsid w:val="00A87017"/>
    <w:rsid w:val="00A870E9"/>
    <w:rsid w:val="00A871AB"/>
    <w:rsid w:val="00A871FC"/>
    <w:rsid w:val="00A8739F"/>
    <w:rsid w:val="00A875B9"/>
    <w:rsid w:val="00A875D8"/>
    <w:rsid w:val="00A87613"/>
    <w:rsid w:val="00A87821"/>
    <w:rsid w:val="00A87A5B"/>
    <w:rsid w:val="00A87AFC"/>
    <w:rsid w:val="00A87BA1"/>
    <w:rsid w:val="00A87C0C"/>
    <w:rsid w:val="00A87C30"/>
    <w:rsid w:val="00A87DB4"/>
    <w:rsid w:val="00A90099"/>
    <w:rsid w:val="00A900A5"/>
    <w:rsid w:val="00A900C0"/>
    <w:rsid w:val="00A900EE"/>
    <w:rsid w:val="00A90313"/>
    <w:rsid w:val="00A90401"/>
    <w:rsid w:val="00A9078F"/>
    <w:rsid w:val="00A90853"/>
    <w:rsid w:val="00A9096F"/>
    <w:rsid w:val="00A90C32"/>
    <w:rsid w:val="00A90C92"/>
    <w:rsid w:val="00A90CAB"/>
    <w:rsid w:val="00A90D9B"/>
    <w:rsid w:val="00A90F46"/>
    <w:rsid w:val="00A90F8C"/>
    <w:rsid w:val="00A90FEF"/>
    <w:rsid w:val="00A91061"/>
    <w:rsid w:val="00A9107A"/>
    <w:rsid w:val="00A912BE"/>
    <w:rsid w:val="00A91313"/>
    <w:rsid w:val="00A916B9"/>
    <w:rsid w:val="00A9174A"/>
    <w:rsid w:val="00A9174E"/>
    <w:rsid w:val="00A91862"/>
    <w:rsid w:val="00A91A03"/>
    <w:rsid w:val="00A91A28"/>
    <w:rsid w:val="00A91B7D"/>
    <w:rsid w:val="00A91BC5"/>
    <w:rsid w:val="00A91C47"/>
    <w:rsid w:val="00A91D92"/>
    <w:rsid w:val="00A91F15"/>
    <w:rsid w:val="00A91F1D"/>
    <w:rsid w:val="00A9203D"/>
    <w:rsid w:val="00A9209A"/>
    <w:rsid w:val="00A921E3"/>
    <w:rsid w:val="00A921F8"/>
    <w:rsid w:val="00A922FD"/>
    <w:rsid w:val="00A924D7"/>
    <w:rsid w:val="00A925AA"/>
    <w:rsid w:val="00A92664"/>
    <w:rsid w:val="00A92676"/>
    <w:rsid w:val="00A926EB"/>
    <w:rsid w:val="00A927B4"/>
    <w:rsid w:val="00A92928"/>
    <w:rsid w:val="00A92977"/>
    <w:rsid w:val="00A929E0"/>
    <w:rsid w:val="00A92A66"/>
    <w:rsid w:val="00A92AAF"/>
    <w:rsid w:val="00A92C50"/>
    <w:rsid w:val="00A92C97"/>
    <w:rsid w:val="00A92CED"/>
    <w:rsid w:val="00A92CEE"/>
    <w:rsid w:val="00A92F14"/>
    <w:rsid w:val="00A93084"/>
    <w:rsid w:val="00A932AD"/>
    <w:rsid w:val="00A9337F"/>
    <w:rsid w:val="00A933C5"/>
    <w:rsid w:val="00A9340E"/>
    <w:rsid w:val="00A9343B"/>
    <w:rsid w:val="00A93478"/>
    <w:rsid w:val="00A9385C"/>
    <w:rsid w:val="00A93D09"/>
    <w:rsid w:val="00A93D0F"/>
    <w:rsid w:val="00A93DF8"/>
    <w:rsid w:val="00A93E04"/>
    <w:rsid w:val="00A93EF1"/>
    <w:rsid w:val="00A93EFC"/>
    <w:rsid w:val="00A94067"/>
    <w:rsid w:val="00A94087"/>
    <w:rsid w:val="00A94174"/>
    <w:rsid w:val="00A944B2"/>
    <w:rsid w:val="00A946DA"/>
    <w:rsid w:val="00A9473E"/>
    <w:rsid w:val="00A94840"/>
    <w:rsid w:val="00A948A3"/>
    <w:rsid w:val="00A949B1"/>
    <w:rsid w:val="00A94BB3"/>
    <w:rsid w:val="00A94D20"/>
    <w:rsid w:val="00A94F2F"/>
    <w:rsid w:val="00A94F6D"/>
    <w:rsid w:val="00A951C4"/>
    <w:rsid w:val="00A95210"/>
    <w:rsid w:val="00A95451"/>
    <w:rsid w:val="00A95558"/>
    <w:rsid w:val="00A95729"/>
    <w:rsid w:val="00A95754"/>
    <w:rsid w:val="00A957E4"/>
    <w:rsid w:val="00A95906"/>
    <w:rsid w:val="00A95943"/>
    <w:rsid w:val="00A95C45"/>
    <w:rsid w:val="00A95C4F"/>
    <w:rsid w:val="00A95CE9"/>
    <w:rsid w:val="00A95E21"/>
    <w:rsid w:val="00A95E6C"/>
    <w:rsid w:val="00A95EA2"/>
    <w:rsid w:val="00A95EF4"/>
    <w:rsid w:val="00A9605C"/>
    <w:rsid w:val="00A96136"/>
    <w:rsid w:val="00A96348"/>
    <w:rsid w:val="00A96382"/>
    <w:rsid w:val="00A9647F"/>
    <w:rsid w:val="00A964C8"/>
    <w:rsid w:val="00A9656F"/>
    <w:rsid w:val="00A9662B"/>
    <w:rsid w:val="00A9671F"/>
    <w:rsid w:val="00A96A3F"/>
    <w:rsid w:val="00A96A7E"/>
    <w:rsid w:val="00A96AFC"/>
    <w:rsid w:val="00A96B24"/>
    <w:rsid w:val="00A96B60"/>
    <w:rsid w:val="00A96BD2"/>
    <w:rsid w:val="00A96E40"/>
    <w:rsid w:val="00A96EC4"/>
    <w:rsid w:val="00A9717E"/>
    <w:rsid w:val="00A97194"/>
    <w:rsid w:val="00A9720F"/>
    <w:rsid w:val="00A972F5"/>
    <w:rsid w:val="00A9734A"/>
    <w:rsid w:val="00A97371"/>
    <w:rsid w:val="00A9743C"/>
    <w:rsid w:val="00A9752B"/>
    <w:rsid w:val="00A975D3"/>
    <w:rsid w:val="00A97684"/>
    <w:rsid w:val="00A976D4"/>
    <w:rsid w:val="00A97834"/>
    <w:rsid w:val="00A978A9"/>
    <w:rsid w:val="00A97AAA"/>
    <w:rsid w:val="00A97AD9"/>
    <w:rsid w:val="00A97AF8"/>
    <w:rsid w:val="00A97B10"/>
    <w:rsid w:val="00A97B42"/>
    <w:rsid w:val="00A97BB6"/>
    <w:rsid w:val="00A97CDA"/>
    <w:rsid w:val="00AA0070"/>
    <w:rsid w:val="00AA00A5"/>
    <w:rsid w:val="00AA03C5"/>
    <w:rsid w:val="00AA0426"/>
    <w:rsid w:val="00AA0459"/>
    <w:rsid w:val="00AA04C3"/>
    <w:rsid w:val="00AA059F"/>
    <w:rsid w:val="00AA072D"/>
    <w:rsid w:val="00AA08A7"/>
    <w:rsid w:val="00AA0B1E"/>
    <w:rsid w:val="00AA0B5D"/>
    <w:rsid w:val="00AA0C91"/>
    <w:rsid w:val="00AA0D0B"/>
    <w:rsid w:val="00AA0DA1"/>
    <w:rsid w:val="00AA0DF4"/>
    <w:rsid w:val="00AA0EAB"/>
    <w:rsid w:val="00AA0EF6"/>
    <w:rsid w:val="00AA0F05"/>
    <w:rsid w:val="00AA0FD3"/>
    <w:rsid w:val="00AA0FE6"/>
    <w:rsid w:val="00AA1021"/>
    <w:rsid w:val="00AA10E5"/>
    <w:rsid w:val="00AA1344"/>
    <w:rsid w:val="00AA14AC"/>
    <w:rsid w:val="00AA16EA"/>
    <w:rsid w:val="00AA184E"/>
    <w:rsid w:val="00AA188D"/>
    <w:rsid w:val="00AA19F5"/>
    <w:rsid w:val="00AA1AC2"/>
    <w:rsid w:val="00AA1AF5"/>
    <w:rsid w:val="00AA1D4F"/>
    <w:rsid w:val="00AA1DE7"/>
    <w:rsid w:val="00AA1EB5"/>
    <w:rsid w:val="00AA1F81"/>
    <w:rsid w:val="00AA20E2"/>
    <w:rsid w:val="00AA2221"/>
    <w:rsid w:val="00AA2248"/>
    <w:rsid w:val="00AA229E"/>
    <w:rsid w:val="00AA2371"/>
    <w:rsid w:val="00AA23E2"/>
    <w:rsid w:val="00AA2461"/>
    <w:rsid w:val="00AA252A"/>
    <w:rsid w:val="00AA256B"/>
    <w:rsid w:val="00AA2574"/>
    <w:rsid w:val="00AA2593"/>
    <w:rsid w:val="00AA25CD"/>
    <w:rsid w:val="00AA2865"/>
    <w:rsid w:val="00AA2B93"/>
    <w:rsid w:val="00AA2DFC"/>
    <w:rsid w:val="00AA2E6B"/>
    <w:rsid w:val="00AA3246"/>
    <w:rsid w:val="00AA32FB"/>
    <w:rsid w:val="00AA3360"/>
    <w:rsid w:val="00AA3527"/>
    <w:rsid w:val="00AA3649"/>
    <w:rsid w:val="00AA374F"/>
    <w:rsid w:val="00AA37E7"/>
    <w:rsid w:val="00AA3877"/>
    <w:rsid w:val="00AA3882"/>
    <w:rsid w:val="00AA38A4"/>
    <w:rsid w:val="00AA3955"/>
    <w:rsid w:val="00AA3A54"/>
    <w:rsid w:val="00AA3A9B"/>
    <w:rsid w:val="00AA3BF1"/>
    <w:rsid w:val="00AA3C80"/>
    <w:rsid w:val="00AA3CE5"/>
    <w:rsid w:val="00AA3CF6"/>
    <w:rsid w:val="00AA3E54"/>
    <w:rsid w:val="00AA3EAF"/>
    <w:rsid w:val="00AA3F8E"/>
    <w:rsid w:val="00AA3FC4"/>
    <w:rsid w:val="00AA3FE9"/>
    <w:rsid w:val="00AA4193"/>
    <w:rsid w:val="00AA4444"/>
    <w:rsid w:val="00AA4469"/>
    <w:rsid w:val="00AA44FA"/>
    <w:rsid w:val="00AA47BA"/>
    <w:rsid w:val="00AA47D7"/>
    <w:rsid w:val="00AA4876"/>
    <w:rsid w:val="00AA49AF"/>
    <w:rsid w:val="00AA4A89"/>
    <w:rsid w:val="00AA4B68"/>
    <w:rsid w:val="00AA4CB6"/>
    <w:rsid w:val="00AA4D64"/>
    <w:rsid w:val="00AA4EAB"/>
    <w:rsid w:val="00AA5016"/>
    <w:rsid w:val="00AA5031"/>
    <w:rsid w:val="00AA5080"/>
    <w:rsid w:val="00AA5109"/>
    <w:rsid w:val="00AA5151"/>
    <w:rsid w:val="00AA525F"/>
    <w:rsid w:val="00AA53C3"/>
    <w:rsid w:val="00AA53D1"/>
    <w:rsid w:val="00AA5410"/>
    <w:rsid w:val="00AA560D"/>
    <w:rsid w:val="00AA5673"/>
    <w:rsid w:val="00AA5755"/>
    <w:rsid w:val="00AA582E"/>
    <w:rsid w:val="00AA585C"/>
    <w:rsid w:val="00AA59B4"/>
    <w:rsid w:val="00AA5AD8"/>
    <w:rsid w:val="00AA5C69"/>
    <w:rsid w:val="00AA5D61"/>
    <w:rsid w:val="00AA5E03"/>
    <w:rsid w:val="00AA5E1A"/>
    <w:rsid w:val="00AA5E1D"/>
    <w:rsid w:val="00AA5EF6"/>
    <w:rsid w:val="00AA5F65"/>
    <w:rsid w:val="00AA602D"/>
    <w:rsid w:val="00AA622F"/>
    <w:rsid w:val="00AA6230"/>
    <w:rsid w:val="00AA639A"/>
    <w:rsid w:val="00AA6495"/>
    <w:rsid w:val="00AA649B"/>
    <w:rsid w:val="00AA696D"/>
    <w:rsid w:val="00AA69CF"/>
    <w:rsid w:val="00AA6AAE"/>
    <w:rsid w:val="00AA6C63"/>
    <w:rsid w:val="00AA6D9D"/>
    <w:rsid w:val="00AA6E02"/>
    <w:rsid w:val="00AA70EF"/>
    <w:rsid w:val="00AA7168"/>
    <w:rsid w:val="00AA71D3"/>
    <w:rsid w:val="00AA7227"/>
    <w:rsid w:val="00AA72D6"/>
    <w:rsid w:val="00AA7434"/>
    <w:rsid w:val="00AA749B"/>
    <w:rsid w:val="00AA779D"/>
    <w:rsid w:val="00AA785C"/>
    <w:rsid w:val="00AA78AD"/>
    <w:rsid w:val="00AA7954"/>
    <w:rsid w:val="00AA79C2"/>
    <w:rsid w:val="00AA7B37"/>
    <w:rsid w:val="00AA7C0C"/>
    <w:rsid w:val="00AA7C80"/>
    <w:rsid w:val="00AA7CFB"/>
    <w:rsid w:val="00AA7D52"/>
    <w:rsid w:val="00AA7E81"/>
    <w:rsid w:val="00AA7E94"/>
    <w:rsid w:val="00AA7F73"/>
    <w:rsid w:val="00AA7F80"/>
    <w:rsid w:val="00AA7FDE"/>
    <w:rsid w:val="00AA7FEE"/>
    <w:rsid w:val="00AB0042"/>
    <w:rsid w:val="00AB00A8"/>
    <w:rsid w:val="00AB0157"/>
    <w:rsid w:val="00AB01E7"/>
    <w:rsid w:val="00AB0269"/>
    <w:rsid w:val="00AB0540"/>
    <w:rsid w:val="00AB064C"/>
    <w:rsid w:val="00AB0728"/>
    <w:rsid w:val="00AB08C9"/>
    <w:rsid w:val="00AB09CB"/>
    <w:rsid w:val="00AB0D58"/>
    <w:rsid w:val="00AB0DEE"/>
    <w:rsid w:val="00AB0E89"/>
    <w:rsid w:val="00AB114E"/>
    <w:rsid w:val="00AB11A7"/>
    <w:rsid w:val="00AB11E0"/>
    <w:rsid w:val="00AB151B"/>
    <w:rsid w:val="00AB1734"/>
    <w:rsid w:val="00AB1967"/>
    <w:rsid w:val="00AB197E"/>
    <w:rsid w:val="00AB1ABA"/>
    <w:rsid w:val="00AB1AE6"/>
    <w:rsid w:val="00AB1AEB"/>
    <w:rsid w:val="00AB1BAF"/>
    <w:rsid w:val="00AB1C3B"/>
    <w:rsid w:val="00AB1CEF"/>
    <w:rsid w:val="00AB1DA0"/>
    <w:rsid w:val="00AB1F79"/>
    <w:rsid w:val="00AB1FB9"/>
    <w:rsid w:val="00AB204B"/>
    <w:rsid w:val="00AB21C6"/>
    <w:rsid w:val="00AB21C9"/>
    <w:rsid w:val="00AB23A7"/>
    <w:rsid w:val="00AB24BC"/>
    <w:rsid w:val="00AB2518"/>
    <w:rsid w:val="00AB2615"/>
    <w:rsid w:val="00AB2689"/>
    <w:rsid w:val="00AB2724"/>
    <w:rsid w:val="00AB283D"/>
    <w:rsid w:val="00AB2841"/>
    <w:rsid w:val="00AB284A"/>
    <w:rsid w:val="00AB289D"/>
    <w:rsid w:val="00AB28CD"/>
    <w:rsid w:val="00AB2A1B"/>
    <w:rsid w:val="00AB2A24"/>
    <w:rsid w:val="00AB2A25"/>
    <w:rsid w:val="00AB2A9E"/>
    <w:rsid w:val="00AB2B74"/>
    <w:rsid w:val="00AB2D53"/>
    <w:rsid w:val="00AB2E8B"/>
    <w:rsid w:val="00AB2EBE"/>
    <w:rsid w:val="00AB31AD"/>
    <w:rsid w:val="00AB31B7"/>
    <w:rsid w:val="00AB340F"/>
    <w:rsid w:val="00AB3429"/>
    <w:rsid w:val="00AB3467"/>
    <w:rsid w:val="00AB3526"/>
    <w:rsid w:val="00AB367D"/>
    <w:rsid w:val="00AB377C"/>
    <w:rsid w:val="00AB388B"/>
    <w:rsid w:val="00AB39FE"/>
    <w:rsid w:val="00AB3A13"/>
    <w:rsid w:val="00AB3A40"/>
    <w:rsid w:val="00AB3B8D"/>
    <w:rsid w:val="00AB3E28"/>
    <w:rsid w:val="00AB3EA7"/>
    <w:rsid w:val="00AB4031"/>
    <w:rsid w:val="00AB40D7"/>
    <w:rsid w:val="00AB4112"/>
    <w:rsid w:val="00AB411E"/>
    <w:rsid w:val="00AB4303"/>
    <w:rsid w:val="00AB4309"/>
    <w:rsid w:val="00AB439B"/>
    <w:rsid w:val="00AB43CE"/>
    <w:rsid w:val="00AB449D"/>
    <w:rsid w:val="00AB4509"/>
    <w:rsid w:val="00AB4613"/>
    <w:rsid w:val="00AB468A"/>
    <w:rsid w:val="00AB46E5"/>
    <w:rsid w:val="00AB4A9D"/>
    <w:rsid w:val="00AB4AA3"/>
    <w:rsid w:val="00AB4BDE"/>
    <w:rsid w:val="00AB4C1D"/>
    <w:rsid w:val="00AB4C5D"/>
    <w:rsid w:val="00AB4CDC"/>
    <w:rsid w:val="00AB4D2D"/>
    <w:rsid w:val="00AB4DCD"/>
    <w:rsid w:val="00AB4EFF"/>
    <w:rsid w:val="00AB5030"/>
    <w:rsid w:val="00AB509A"/>
    <w:rsid w:val="00AB50D6"/>
    <w:rsid w:val="00AB53A2"/>
    <w:rsid w:val="00AB54AA"/>
    <w:rsid w:val="00AB54AF"/>
    <w:rsid w:val="00AB54E0"/>
    <w:rsid w:val="00AB555C"/>
    <w:rsid w:val="00AB5681"/>
    <w:rsid w:val="00AB5914"/>
    <w:rsid w:val="00AB5AA8"/>
    <w:rsid w:val="00AB5B75"/>
    <w:rsid w:val="00AB5B7A"/>
    <w:rsid w:val="00AB5E3F"/>
    <w:rsid w:val="00AB5E56"/>
    <w:rsid w:val="00AB5E82"/>
    <w:rsid w:val="00AB5F5A"/>
    <w:rsid w:val="00AB627C"/>
    <w:rsid w:val="00AB634A"/>
    <w:rsid w:val="00AB6360"/>
    <w:rsid w:val="00AB6410"/>
    <w:rsid w:val="00AB657E"/>
    <w:rsid w:val="00AB665F"/>
    <w:rsid w:val="00AB674C"/>
    <w:rsid w:val="00AB6750"/>
    <w:rsid w:val="00AB68B4"/>
    <w:rsid w:val="00AB6901"/>
    <w:rsid w:val="00AB697A"/>
    <w:rsid w:val="00AB697C"/>
    <w:rsid w:val="00AB6998"/>
    <w:rsid w:val="00AB6AB7"/>
    <w:rsid w:val="00AB6C0B"/>
    <w:rsid w:val="00AB6E14"/>
    <w:rsid w:val="00AB6FA0"/>
    <w:rsid w:val="00AB7050"/>
    <w:rsid w:val="00AB7094"/>
    <w:rsid w:val="00AB717A"/>
    <w:rsid w:val="00AB7305"/>
    <w:rsid w:val="00AB7307"/>
    <w:rsid w:val="00AB74D6"/>
    <w:rsid w:val="00AB7547"/>
    <w:rsid w:val="00AB771D"/>
    <w:rsid w:val="00AB773D"/>
    <w:rsid w:val="00AB77FA"/>
    <w:rsid w:val="00AB79DF"/>
    <w:rsid w:val="00AB7C8D"/>
    <w:rsid w:val="00AB7C92"/>
    <w:rsid w:val="00AB7D3E"/>
    <w:rsid w:val="00AB7E46"/>
    <w:rsid w:val="00AB7E47"/>
    <w:rsid w:val="00AB7E6F"/>
    <w:rsid w:val="00AB7EF1"/>
    <w:rsid w:val="00AC0187"/>
    <w:rsid w:val="00AC0269"/>
    <w:rsid w:val="00AC0338"/>
    <w:rsid w:val="00AC041F"/>
    <w:rsid w:val="00AC046A"/>
    <w:rsid w:val="00AC04E4"/>
    <w:rsid w:val="00AC0702"/>
    <w:rsid w:val="00AC07E7"/>
    <w:rsid w:val="00AC089E"/>
    <w:rsid w:val="00AC092B"/>
    <w:rsid w:val="00AC09ED"/>
    <w:rsid w:val="00AC0D8A"/>
    <w:rsid w:val="00AC0DE4"/>
    <w:rsid w:val="00AC0EE7"/>
    <w:rsid w:val="00AC0FC4"/>
    <w:rsid w:val="00AC0FCF"/>
    <w:rsid w:val="00AC1144"/>
    <w:rsid w:val="00AC1188"/>
    <w:rsid w:val="00AC12E4"/>
    <w:rsid w:val="00AC1403"/>
    <w:rsid w:val="00AC141B"/>
    <w:rsid w:val="00AC149A"/>
    <w:rsid w:val="00AC158B"/>
    <w:rsid w:val="00AC15B0"/>
    <w:rsid w:val="00AC1687"/>
    <w:rsid w:val="00AC16A2"/>
    <w:rsid w:val="00AC171E"/>
    <w:rsid w:val="00AC17F9"/>
    <w:rsid w:val="00AC1A40"/>
    <w:rsid w:val="00AC1B9A"/>
    <w:rsid w:val="00AC1CD2"/>
    <w:rsid w:val="00AC1CFF"/>
    <w:rsid w:val="00AC1D26"/>
    <w:rsid w:val="00AC1DCA"/>
    <w:rsid w:val="00AC1F93"/>
    <w:rsid w:val="00AC21E1"/>
    <w:rsid w:val="00AC24A7"/>
    <w:rsid w:val="00AC24D4"/>
    <w:rsid w:val="00AC2567"/>
    <w:rsid w:val="00AC2571"/>
    <w:rsid w:val="00AC25F8"/>
    <w:rsid w:val="00AC272A"/>
    <w:rsid w:val="00AC2859"/>
    <w:rsid w:val="00AC28D7"/>
    <w:rsid w:val="00AC292A"/>
    <w:rsid w:val="00AC2AD3"/>
    <w:rsid w:val="00AC2ADB"/>
    <w:rsid w:val="00AC2B4F"/>
    <w:rsid w:val="00AC2BD4"/>
    <w:rsid w:val="00AC2CC5"/>
    <w:rsid w:val="00AC2CE5"/>
    <w:rsid w:val="00AC2DDE"/>
    <w:rsid w:val="00AC2EF4"/>
    <w:rsid w:val="00AC2F37"/>
    <w:rsid w:val="00AC2F9D"/>
    <w:rsid w:val="00AC2FAA"/>
    <w:rsid w:val="00AC31A1"/>
    <w:rsid w:val="00AC31B9"/>
    <w:rsid w:val="00AC32F6"/>
    <w:rsid w:val="00AC3411"/>
    <w:rsid w:val="00AC34E4"/>
    <w:rsid w:val="00AC37A0"/>
    <w:rsid w:val="00AC390C"/>
    <w:rsid w:val="00AC3A7E"/>
    <w:rsid w:val="00AC3B0D"/>
    <w:rsid w:val="00AC3C2B"/>
    <w:rsid w:val="00AC3C6F"/>
    <w:rsid w:val="00AC3D45"/>
    <w:rsid w:val="00AC3E49"/>
    <w:rsid w:val="00AC3F38"/>
    <w:rsid w:val="00AC3F85"/>
    <w:rsid w:val="00AC3F9D"/>
    <w:rsid w:val="00AC3FEB"/>
    <w:rsid w:val="00AC402C"/>
    <w:rsid w:val="00AC4047"/>
    <w:rsid w:val="00AC406D"/>
    <w:rsid w:val="00AC41D8"/>
    <w:rsid w:val="00AC4256"/>
    <w:rsid w:val="00AC43EE"/>
    <w:rsid w:val="00AC4644"/>
    <w:rsid w:val="00AC46C2"/>
    <w:rsid w:val="00AC46E7"/>
    <w:rsid w:val="00AC46F0"/>
    <w:rsid w:val="00AC4755"/>
    <w:rsid w:val="00AC4A14"/>
    <w:rsid w:val="00AC4C59"/>
    <w:rsid w:val="00AC4C82"/>
    <w:rsid w:val="00AC4CB1"/>
    <w:rsid w:val="00AC4D7A"/>
    <w:rsid w:val="00AC4DA1"/>
    <w:rsid w:val="00AC4E0D"/>
    <w:rsid w:val="00AC4E99"/>
    <w:rsid w:val="00AC4FB8"/>
    <w:rsid w:val="00AC515B"/>
    <w:rsid w:val="00AC517C"/>
    <w:rsid w:val="00AC5208"/>
    <w:rsid w:val="00AC5225"/>
    <w:rsid w:val="00AC5268"/>
    <w:rsid w:val="00AC52D4"/>
    <w:rsid w:val="00AC5430"/>
    <w:rsid w:val="00AC5437"/>
    <w:rsid w:val="00AC560B"/>
    <w:rsid w:val="00AC577A"/>
    <w:rsid w:val="00AC596F"/>
    <w:rsid w:val="00AC5A3C"/>
    <w:rsid w:val="00AC5A51"/>
    <w:rsid w:val="00AC5BAE"/>
    <w:rsid w:val="00AC5BC6"/>
    <w:rsid w:val="00AC5C71"/>
    <w:rsid w:val="00AC5D17"/>
    <w:rsid w:val="00AC5DFD"/>
    <w:rsid w:val="00AC60EE"/>
    <w:rsid w:val="00AC612B"/>
    <w:rsid w:val="00AC6234"/>
    <w:rsid w:val="00AC6293"/>
    <w:rsid w:val="00AC62DC"/>
    <w:rsid w:val="00AC65EE"/>
    <w:rsid w:val="00AC65F0"/>
    <w:rsid w:val="00AC6829"/>
    <w:rsid w:val="00AC6863"/>
    <w:rsid w:val="00AC6918"/>
    <w:rsid w:val="00AC6BC8"/>
    <w:rsid w:val="00AC6CBD"/>
    <w:rsid w:val="00AC6D90"/>
    <w:rsid w:val="00AC6D97"/>
    <w:rsid w:val="00AC6F7D"/>
    <w:rsid w:val="00AC6F8F"/>
    <w:rsid w:val="00AC6FCF"/>
    <w:rsid w:val="00AC7033"/>
    <w:rsid w:val="00AC7146"/>
    <w:rsid w:val="00AC715E"/>
    <w:rsid w:val="00AC720A"/>
    <w:rsid w:val="00AC7243"/>
    <w:rsid w:val="00AC736F"/>
    <w:rsid w:val="00AC73B1"/>
    <w:rsid w:val="00AC760E"/>
    <w:rsid w:val="00AC7658"/>
    <w:rsid w:val="00AC77CE"/>
    <w:rsid w:val="00AC7863"/>
    <w:rsid w:val="00AC78DE"/>
    <w:rsid w:val="00AC78E9"/>
    <w:rsid w:val="00AC7949"/>
    <w:rsid w:val="00AC7963"/>
    <w:rsid w:val="00AC79AB"/>
    <w:rsid w:val="00AC7A1B"/>
    <w:rsid w:val="00AC7D8D"/>
    <w:rsid w:val="00AC7ECD"/>
    <w:rsid w:val="00AD0095"/>
    <w:rsid w:val="00AD0210"/>
    <w:rsid w:val="00AD0302"/>
    <w:rsid w:val="00AD0318"/>
    <w:rsid w:val="00AD0371"/>
    <w:rsid w:val="00AD049B"/>
    <w:rsid w:val="00AD0776"/>
    <w:rsid w:val="00AD08EF"/>
    <w:rsid w:val="00AD092D"/>
    <w:rsid w:val="00AD0A83"/>
    <w:rsid w:val="00AD0AE8"/>
    <w:rsid w:val="00AD0BE8"/>
    <w:rsid w:val="00AD0CAB"/>
    <w:rsid w:val="00AD0D74"/>
    <w:rsid w:val="00AD0E66"/>
    <w:rsid w:val="00AD0F2D"/>
    <w:rsid w:val="00AD1040"/>
    <w:rsid w:val="00AD109D"/>
    <w:rsid w:val="00AD10C0"/>
    <w:rsid w:val="00AD1159"/>
    <w:rsid w:val="00AD117A"/>
    <w:rsid w:val="00AD124A"/>
    <w:rsid w:val="00AD12C6"/>
    <w:rsid w:val="00AD13B9"/>
    <w:rsid w:val="00AD1740"/>
    <w:rsid w:val="00AD1772"/>
    <w:rsid w:val="00AD178C"/>
    <w:rsid w:val="00AD1905"/>
    <w:rsid w:val="00AD1966"/>
    <w:rsid w:val="00AD1B7B"/>
    <w:rsid w:val="00AD1BA3"/>
    <w:rsid w:val="00AD1F5F"/>
    <w:rsid w:val="00AD2013"/>
    <w:rsid w:val="00AD21E2"/>
    <w:rsid w:val="00AD222F"/>
    <w:rsid w:val="00AD226F"/>
    <w:rsid w:val="00AD232B"/>
    <w:rsid w:val="00AD24A1"/>
    <w:rsid w:val="00AD24EB"/>
    <w:rsid w:val="00AD2572"/>
    <w:rsid w:val="00AD2655"/>
    <w:rsid w:val="00AD274C"/>
    <w:rsid w:val="00AD2911"/>
    <w:rsid w:val="00AD2A6F"/>
    <w:rsid w:val="00AD2C42"/>
    <w:rsid w:val="00AD2C6C"/>
    <w:rsid w:val="00AD2C77"/>
    <w:rsid w:val="00AD2F2B"/>
    <w:rsid w:val="00AD3000"/>
    <w:rsid w:val="00AD30AA"/>
    <w:rsid w:val="00AD3321"/>
    <w:rsid w:val="00AD337A"/>
    <w:rsid w:val="00AD3520"/>
    <w:rsid w:val="00AD3525"/>
    <w:rsid w:val="00AD392B"/>
    <w:rsid w:val="00AD3AB0"/>
    <w:rsid w:val="00AD3D1C"/>
    <w:rsid w:val="00AD3DEA"/>
    <w:rsid w:val="00AD3E2A"/>
    <w:rsid w:val="00AD3FF6"/>
    <w:rsid w:val="00AD4152"/>
    <w:rsid w:val="00AD4180"/>
    <w:rsid w:val="00AD4342"/>
    <w:rsid w:val="00AD4440"/>
    <w:rsid w:val="00AD444C"/>
    <w:rsid w:val="00AD4490"/>
    <w:rsid w:val="00AD4616"/>
    <w:rsid w:val="00AD4627"/>
    <w:rsid w:val="00AD46DA"/>
    <w:rsid w:val="00AD46FA"/>
    <w:rsid w:val="00AD471A"/>
    <w:rsid w:val="00AD487B"/>
    <w:rsid w:val="00AD49E2"/>
    <w:rsid w:val="00AD4A46"/>
    <w:rsid w:val="00AD4B8C"/>
    <w:rsid w:val="00AD4CF8"/>
    <w:rsid w:val="00AD4D1D"/>
    <w:rsid w:val="00AD4DB0"/>
    <w:rsid w:val="00AD4DC9"/>
    <w:rsid w:val="00AD5042"/>
    <w:rsid w:val="00AD505D"/>
    <w:rsid w:val="00AD506C"/>
    <w:rsid w:val="00AD51B4"/>
    <w:rsid w:val="00AD51E9"/>
    <w:rsid w:val="00AD53C1"/>
    <w:rsid w:val="00AD5684"/>
    <w:rsid w:val="00AD56E8"/>
    <w:rsid w:val="00AD5A0E"/>
    <w:rsid w:val="00AD5A3E"/>
    <w:rsid w:val="00AD5C4C"/>
    <w:rsid w:val="00AD5DDE"/>
    <w:rsid w:val="00AD60D1"/>
    <w:rsid w:val="00AD60EA"/>
    <w:rsid w:val="00AD615E"/>
    <w:rsid w:val="00AD61F7"/>
    <w:rsid w:val="00AD6350"/>
    <w:rsid w:val="00AD64DA"/>
    <w:rsid w:val="00AD67D4"/>
    <w:rsid w:val="00AD69ED"/>
    <w:rsid w:val="00AD6B62"/>
    <w:rsid w:val="00AD6CB5"/>
    <w:rsid w:val="00AD6DAE"/>
    <w:rsid w:val="00AD6DC7"/>
    <w:rsid w:val="00AD6EB6"/>
    <w:rsid w:val="00AD6FB1"/>
    <w:rsid w:val="00AD701B"/>
    <w:rsid w:val="00AD707B"/>
    <w:rsid w:val="00AD7086"/>
    <w:rsid w:val="00AD70DD"/>
    <w:rsid w:val="00AD7259"/>
    <w:rsid w:val="00AD7281"/>
    <w:rsid w:val="00AD72D4"/>
    <w:rsid w:val="00AD7699"/>
    <w:rsid w:val="00AD774D"/>
    <w:rsid w:val="00AD7822"/>
    <w:rsid w:val="00AD790A"/>
    <w:rsid w:val="00AD7963"/>
    <w:rsid w:val="00AD7A2D"/>
    <w:rsid w:val="00AD7A74"/>
    <w:rsid w:val="00AD7A86"/>
    <w:rsid w:val="00AD7B45"/>
    <w:rsid w:val="00AD7C34"/>
    <w:rsid w:val="00AD7C67"/>
    <w:rsid w:val="00AD7FF5"/>
    <w:rsid w:val="00AE0016"/>
    <w:rsid w:val="00AE021F"/>
    <w:rsid w:val="00AE0309"/>
    <w:rsid w:val="00AE0589"/>
    <w:rsid w:val="00AE06A1"/>
    <w:rsid w:val="00AE0873"/>
    <w:rsid w:val="00AE092A"/>
    <w:rsid w:val="00AE095D"/>
    <w:rsid w:val="00AE09A9"/>
    <w:rsid w:val="00AE0CE9"/>
    <w:rsid w:val="00AE0EB7"/>
    <w:rsid w:val="00AE0EF9"/>
    <w:rsid w:val="00AE0F37"/>
    <w:rsid w:val="00AE0FDB"/>
    <w:rsid w:val="00AE1001"/>
    <w:rsid w:val="00AE1025"/>
    <w:rsid w:val="00AE1100"/>
    <w:rsid w:val="00AE11A4"/>
    <w:rsid w:val="00AE1229"/>
    <w:rsid w:val="00AE12DF"/>
    <w:rsid w:val="00AE12E0"/>
    <w:rsid w:val="00AE1300"/>
    <w:rsid w:val="00AE14C9"/>
    <w:rsid w:val="00AE168F"/>
    <w:rsid w:val="00AE172F"/>
    <w:rsid w:val="00AE188B"/>
    <w:rsid w:val="00AE19F6"/>
    <w:rsid w:val="00AE1A5E"/>
    <w:rsid w:val="00AE1AFF"/>
    <w:rsid w:val="00AE1B00"/>
    <w:rsid w:val="00AE1BCD"/>
    <w:rsid w:val="00AE1BFC"/>
    <w:rsid w:val="00AE1CCD"/>
    <w:rsid w:val="00AE1CF3"/>
    <w:rsid w:val="00AE1F2E"/>
    <w:rsid w:val="00AE21C7"/>
    <w:rsid w:val="00AE2234"/>
    <w:rsid w:val="00AE2323"/>
    <w:rsid w:val="00AE2362"/>
    <w:rsid w:val="00AE23CB"/>
    <w:rsid w:val="00AE2526"/>
    <w:rsid w:val="00AE259D"/>
    <w:rsid w:val="00AE2760"/>
    <w:rsid w:val="00AE2839"/>
    <w:rsid w:val="00AE28C6"/>
    <w:rsid w:val="00AE29D7"/>
    <w:rsid w:val="00AE2A0B"/>
    <w:rsid w:val="00AE2B5E"/>
    <w:rsid w:val="00AE2B8E"/>
    <w:rsid w:val="00AE2B99"/>
    <w:rsid w:val="00AE2F78"/>
    <w:rsid w:val="00AE3235"/>
    <w:rsid w:val="00AE3267"/>
    <w:rsid w:val="00AE32A5"/>
    <w:rsid w:val="00AE344F"/>
    <w:rsid w:val="00AE35F7"/>
    <w:rsid w:val="00AE3746"/>
    <w:rsid w:val="00AE39AA"/>
    <w:rsid w:val="00AE3BD4"/>
    <w:rsid w:val="00AE3CE1"/>
    <w:rsid w:val="00AE3D12"/>
    <w:rsid w:val="00AE3D8F"/>
    <w:rsid w:val="00AE3E9F"/>
    <w:rsid w:val="00AE3F07"/>
    <w:rsid w:val="00AE3F1A"/>
    <w:rsid w:val="00AE40BD"/>
    <w:rsid w:val="00AE4331"/>
    <w:rsid w:val="00AE4403"/>
    <w:rsid w:val="00AE453E"/>
    <w:rsid w:val="00AE454C"/>
    <w:rsid w:val="00AE45FF"/>
    <w:rsid w:val="00AE46AD"/>
    <w:rsid w:val="00AE46B7"/>
    <w:rsid w:val="00AE48B6"/>
    <w:rsid w:val="00AE48C5"/>
    <w:rsid w:val="00AE4947"/>
    <w:rsid w:val="00AE4953"/>
    <w:rsid w:val="00AE4A6B"/>
    <w:rsid w:val="00AE4C52"/>
    <w:rsid w:val="00AE4D5D"/>
    <w:rsid w:val="00AE4DA9"/>
    <w:rsid w:val="00AE4DE7"/>
    <w:rsid w:val="00AE51F6"/>
    <w:rsid w:val="00AE52BE"/>
    <w:rsid w:val="00AE574A"/>
    <w:rsid w:val="00AE5800"/>
    <w:rsid w:val="00AE5846"/>
    <w:rsid w:val="00AE5872"/>
    <w:rsid w:val="00AE5892"/>
    <w:rsid w:val="00AE58E4"/>
    <w:rsid w:val="00AE5919"/>
    <w:rsid w:val="00AE5A32"/>
    <w:rsid w:val="00AE5A87"/>
    <w:rsid w:val="00AE5DA8"/>
    <w:rsid w:val="00AE5DE2"/>
    <w:rsid w:val="00AE5E25"/>
    <w:rsid w:val="00AE5E29"/>
    <w:rsid w:val="00AE5E88"/>
    <w:rsid w:val="00AE5E94"/>
    <w:rsid w:val="00AE5F40"/>
    <w:rsid w:val="00AE5F4D"/>
    <w:rsid w:val="00AE5F8F"/>
    <w:rsid w:val="00AE614D"/>
    <w:rsid w:val="00AE61F5"/>
    <w:rsid w:val="00AE621E"/>
    <w:rsid w:val="00AE6237"/>
    <w:rsid w:val="00AE62DF"/>
    <w:rsid w:val="00AE63E5"/>
    <w:rsid w:val="00AE6412"/>
    <w:rsid w:val="00AE658F"/>
    <w:rsid w:val="00AE6759"/>
    <w:rsid w:val="00AE68C4"/>
    <w:rsid w:val="00AE69E8"/>
    <w:rsid w:val="00AE6A67"/>
    <w:rsid w:val="00AE6B83"/>
    <w:rsid w:val="00AE6BAB"/>
    <w:rsid w:val="00AE6CF1"/>
    <w:rsid w:val="00AE6F86"/>
    <w:rsid w:val="00AE7046"/>
    <w:rsid w:val="00AE713C"/>
    <w:rsid w:val="00AE71A2"/>
    <w:rsid w:val="00AE7226"/>
    <w:rsid w:val="00AE72AF"/>
    <w:rsid w:val="00AE7364"/>
    <w:rsid w:val="00AE744E"/>
    <w:rsid w:val="00AE7595"/>
    <w:rsid w:val="00AE7849"/>
    <w:rsid w:val="00AE785C"/>
    <w:rsid w:val="00AE7897"/>
    <w:rsid w:val="00AE7977"/>
    <w:rsid w:val="00AE7C3C"/>
    <w:rsid w:val="00AE7DAA"/>
    <w:rsid w:val="00AE7E5B"/>
    <w:rsid w:val="00AE7F77"/>
    <w:rsid w:val="00AE7F9D"/>
    <w:rsid w:val="00AF0047"/>
    <w:rsid w:val="00AF01C1"/>
    <w:rsid w:val="00AF0272"/>
    <w:rsid w:val="00AF034A"/>
    <w:rsid w:val="00AF0356"/>
    <w:rsid w:val="00AF0417"/>
    <w:rsid w:val="00AF0430"/>
    <w:rsid w:val="00AF0433"/>
    <w:rsid w:val="00AF04DF"/>
    <w:rsid w:val="00AF05F2"/>
    <w:rsid w:val="00AF0613"/>
    <w:rsid w:val="00AF062F"/>
    <w:rsid w:val="00AF06A0"/>
    <w:rsid w:val="00AF06C9"/>
    <w:rsid w:val="00AF0775"/>
    <w:rsid w:val="00AF0A69"/>
    <w:rsid w:val="00AF0AB1"/>
    <w:rsid w:val="00AF0BC9"/>
    <w:rsid w:val="00AF0C7A"/>
    <w:rsid w:val="00AF0CD7"/>
    <w:rsid w:val="00AF0D70"/>
    <w:rsid w:val="00AF0F00"/>
    <w:rsid w:val="00AF1002"/>
    <w:rsid w:val="00AF1043"/>
    <w:rsid w:val="00AF10ED"/>
    <w:rsid w:val="00AF116C"/>
    <w:rsid w:val="00AF1230"/>
    <w:rsid w:val="00AF1294"/>
    <w:rsid w:val="00AF12AD"/>
    <w:rsid w:val="00AF13CC"/>
    <w:rsid w:val="00AF142A"/>
    <w:rsid w:val="00AF142B"/>
    <w:rsid w:val="00AF1560"/>
    <w:rsid w:val="00AF1769"/>
    <w:rsid w:val="00AF18C2"/>
    <w:rsid w:val="00AF1935"/>
    <w:rsid w:val="00AF1938"/>
    <w:rsid w:val="00AF193B"/>
    <w:rsid w:val="00AF1A43"/>
    <w:rsid w:val="00AF1A64"/>
    <w:rsid w:val="00AF1A78"/>
    <w:rsid w:val="00AF1B26"/>
    <w:rsid w:val="00AF1B4E"/>
    <w:rsid w:val="00AF1B8A"/>
    <w:rsid w:val="00AF1BCE"/>
    <w:rsid w:val="00AF1CE8"/>
    <w:rsid w:val="00AF1F10"/>
    <w:rsid w:val="00AF1FEF"/>
    <w:rsid w:val="00AF2125"/>
    <w:rsid w:val="00AF21AE"/>
    <w:rsid w:val="00AF223E"/>
    <w:rsid w:val="00AF28D7"/>
    <w:rsid w:val="00AF2A02"/>
    <w:rsid w:val="00AF2AC0"/>
    <w:rsid w:val="00AF2E34"/>
    <w:rsid w:val="00AF2E58"/>
    <w:rsid w:val="00AF2ED5"/>
    <w:rsid w:val="00AF3058"/>
    <w:rsid w:val="00AF31C1"/>
    <w:rsid w:val="00AF3487"/>
    <w:rsid w:val="00AF34E6"/>
    <w:rsid w:val="00AF3707"/>
    <w:rsid w:val="00AF376A"/>
    <w:rsid w:val="00AF3886"/>
    <w:rsid w:val="00AF38C1"/>
    <w:rsid w:val="00AF394A"/>
    <w:rsid w:val="00AF398C"/>
    <w:rsid w:val="00AF3A5F"/>
    <w:rsid w:val="00AF3C82"/>
    <w:rsid w:val="00AF3D39"/>
    <w:rsid w:val="00AF3DE4"/>
    <w:rsid w:val="00AF3E11"/>
    <w:rsid w:val="00AF3E76"/>
    <w:rsid w:val="00AF3FE4"/>
    <w:rsid w:val="00AF4109"/>
    <w:rsid w:val="00AF41FE"/>
    <w:rsid w:val="00AF4226"/>
    <w:rsid w:val="00AF4247"/>
    <w:rsid w:val="00AF425E"/>
    <w:rsid w:val="00AF4271"/>
    <w:rsid w:val="00AF4299"/>
    <w:rsid w:val="00AF4432"/>
    <w:rsid w:val="00AF4463"/>
    <w:rsid w:val="00AF448A"/>
    <w:rsid w:val="00AF4567"/>
    <w:rsid w:val="00AF46D4"/>
    <w:rsid w:val="00AF4790"/>
    <w:rsid w:val="00AF4812"/>
    <w:rsid w:val="00AF4852"/>
    <w:rsid w:val="00AF485F"/>
    <w:rsid w:val="00AF4887"/>
    <w:rsid w:val="00AF4918"/>
    <w:rsid w:val="00AF497B"/>
    <w:rsid w:val="00AF49BE"/>
    <w:rsid w:val="00AF4ABF"/>
    <w:rsid w:val="00AF4B48"/>
    <w:rsid w:val="00AF4C10"/>
    <w:rsid w:val="00AF4DA7"/>
    <w:rsid w:val="00AF4ECC"/>
    <w:rsid w:val="00AF4F27"/>
    <w:rsid w:val="00AF4F3E"/>
    <w:rsid w:val="00AF4F87"/>
    <w:rsid w:val="00AF51A5"/>
    <w:rsid w:val="00AF52A0"/>
    <w:rsid w:val="00AF53B7"/>
    <w:rsid w:val="00AF5530"/>
    <w:rsid w:val="00AF5608"/>
    <w:rsid w:val="00AF5951"/>
    <w:rsid w:val="00AF5A3F"/>
    <w:rsid w:val="00AF5A4B"/>
    <w:rsid w:val="00AF5B22"/>
    <w:rsid w:val="00AF5B69"/>
    <w:rsid w:val="00AF5B7D"/>
    <w:rsid w:val="00AF5BA3"/>
    <w:rsid w:val="00AF5C04"/>
    <w:rsid w:val="00AF5C75"/>
    <w:rsid w:val="00AF5D5B"/>
    <w:rsid w:val="00AF5E7D"/>
    <w:rsid w:val="00AF5EAC"/>
    <w:rsid w:val="00AF602D"/>
    <w:rsid w:val="00AF6073"/>
    <w:rsid w:val="00AF627F"/>
    <w:rsid w:val="00AF6290"/>
    <w:rsid w:val="00AF6406"/>
    <w:rsid w:val="00AF6422"/>
    <w:rsid w:val="00AF6489"/>
    <w:rsid w:val="00AF64AE"/>
    <w:rsid w:val="00AF6532"/>
    <w:rsid w:val="00AF65E5"/>
    <w:rsid w:val="00AF678E"/>
    <w:rsid w:val="00AF69CE"/>
    <w:rsid w:val="00AF6A4C"/>
    <w:rsid w:val="00AF6AFD"/>
    <w:rsid w:val="00AF6DAF"/>
    <w:rsid w:val="00AF6E59"/>
    <w:rsid w:val="00AF6E87"/>
    <w:rsid w:val="00AF711C"/>
    <w:rsid w:val="00AF7598"/>
    <w:rsid w:val="00AF7629"/>
    <w:rsid w:val="00AF7790"/>
    <w:rsid w:val="00AF780C"/>
    <w:rsid w:val="00AF7B02"/>
    <w:rsid w:val="00AF7F46"/>
    <w:rsid w:val="00AF7F84"/>
    <w:rsid w:val="00B0043A"/>
    <w:rsid w:val="00B0044B"/>
    <w:rsid w:val="00B00579"/>
    <w:rsid w:val="00B0077A"/>
    <w:rsid w:val="00B00782"/>
    <w:rsid w:val="00B0083E"/>
    <w:rsid w:val="00B00847"/>
    <w:rsid w:val="00B00C79"/>
    <w:rsid w:val="00B00CD9"/>
    <w:rsid w:val="00B00D3F"/>
    <w:rsid w:val="00B00D60"/>
    <w:rsid w:val="00B00D8C"/>
    <w:rsid w:val="00B00D91"/>
    <w:rsid w:val="00B00DB4"/>
    <w:rsid w:val="00B010C3"/>
    <w:rsid w:val="00B01269"/>
    <w:rsid w:val="00B01396"/>
    <w:rsid w:val="00B01591"/>
    <w:rsid w:val="00B018A8"/>
    <w:rsid w:val="00B01CAB"/>
    <w:rsid w:val="00B01FDA"/>
    <w:rsid w:val="00B0214D"/>
    <w:rsid w:val="00B0215E"/>
    <w:rsid w:val="00B02166"/>
    <w:rsid w:val="00B02183"/>
    <w:rsid w:val="00B02273"/>
    <w:rsid w:val="00B02284"/>
    <w:rsid w:val="00B02297"/>
    <w:rsid w:val="00B02307"/>
    <w:rsid w:val="00B023ED"/>
    <w:rsid w:val="00B0241A"/>
    <w:rsid w:val="00B02424"/>
    <w:rsid w:val="00B0265D"/>
    <w:rsid w:val="00B026E1"/>
    <w:rsid w:val="00B0274B"/>
    <w:rsid w:val="00B027CF"/>
    <w:rsid w:val="00B02832"/>
    <w:rsid w:val="00B02933"/>
    <w:rsid w:val="00B02AB0"/>
    <w:rsid w:val="00B02AD5"/>
    <w:rsid w:val="00B02AE3"/>
    <w:rsid w:val="00B02B50"/>
    <w:rsid w:val="00B02B97"/>
    <w:rsid w:val="00B02DDC"/>
    <w:rsid w:val="00B03085"/>
    <w:rsid w:val="00B031EB"/>
    <w:rsid w:val="00B032B9"/>
    <w:rsid w:val="00B0335A"/>
    <w:rsid w:val="00B03582"/>
    <w:rsid w:val="00B0358D"/>
    <w:rsid w:val="00B035D0"/>
    <w:rsid w:val="00B03609"/>
    <w:rsid w:val="00B03616"/>
    <w:rsid w:val="00B0376C"/>
    <w:rsid w:val="00B03BA7"/>
    <w:rsid w:val="00B03BFF"/>
    <w:rsid w:val="00B03E43"/>
    <w:rsid w:val="00B03E4F"/>
    <w:rsid w:val="00B03EB2"/>
    <w:rsid w:val="00B04141"/>
    <w:rsid w:val="00B0416D"/>
    <w:rsid w:val="00B04208"/>
    <w:rsid w:val="00B04310"/>
    <w:rsid w:val="00B04759"/>
    <w:rsid w:val="00B04776"/>
    <w:rsid w:val="00B047B6"/>
    <w:rsid w:val="00B047C2"/>
    <w:rsid w:val="00B04945"/>
    <w:rsid w:val="00B04A0E"/>
    <w:rsid w:val="00B04A4F"/>
    <w:rsid w:val="00B04B7A"/>
    <w:rsid w:val="00B04CB1"/>
    <w:rsid w:val="00B04D38"/>
    <w:rsid w:val="00B04D8B"/>
    <w:rsid w:val="00B04E36"/>
    <w:rsid w:val="00B04EEC"/>
    <w:rsid w:val="00B04F36"/>
    <w:rsid w:val="00B04F3A"/>
    <w:rsid w:val="00B04F79"/>
    <w:rsid w:val="00B04FFE"/>
    <w:rsid w:val="00B050B3"/>
    <w:rsid w:val="00B050BF"/>
    <w:rsid w:val="00B050F2"/>
    <w:rsid w:val="00B051A8"/>
    <w:rsid w:val="00B0520E"/>
    <w:rsid w:val="00B0534A"/>
    <w:rsid w:val="00B05479"/>
    <w:rsid w:val="00B0555C"/>
    <w:rsid w:val="00B05635"/>
    <w:rsid w:val="00B05636"/>
    <w:rsid w:val="00B0568E"/>
    <w:rsid w:val="00B056C6"/>
    <w:rsid w:val="00B057B4"/>
    <w:rsid w:val="00B057CD"/>
    <w:rsid w:val="00B057E8"/>
    <w:rsid w:val="00B05864"/>
    <w:rsid w:val="00B05891"/>
    <w:rsid w:val="00B05969"/>
    <w:rsid w:val="00B059CD"/>
    <w:rsid w:val="00B05A30"/>
    <w:rsid w:val="00B05A4F"/>
    <w:rsid w:val="00B05A9B"/>
    <w:rsid w:val="00B05ACF"/>
    <w:rsid w:val="00B05B00"/>
    <w:rsid w:val="00B05C7D"/>
    <w:rsid w:val="00B05CEF"/>
    <w:rsid w:val="00B05D12"/>
    <w:rsid w:val="00B05D24"/>
    <w:rsid w:val="00B06050"/>
    <w:rsid w:val="00B0609D"/>
    <w:rsid w:val="00B060C4"/>
    <w:rsid w:val="00B06126"/>
    <w:rsid w:val="00B06371"/>
    <w:rsid w:val="00B0660F"/>
    <w:rsid w:val="00B06689"/>
    <w:rsid w:val="00B0682B"/>
    <w:rsid w:val="00B06839"/>
    <w:rsid w:val="00B06959"/>
    <w:rsid w:val="00B069F4"/>
    <w:rsid w:val="00B06A30"/>
    <w:rsid w:val="00B06AFE"/>
    <w:rsid w:val="00B06B19"/>
    <w:rsid w:val="00B06BBE"/>
    <w:rsid w:val="00B06C95"/>
    <w:rsid w:val="00B06CBF"/>
    <w:rsid w:val="00B06ED4"/>
    <w:rsid w:val="00B06F48"/>
    <w:rsid w:val="00B0701D"/>
    <w:rsid w:val="00B070BC"/>
    <w:rsid w:val="00B07144"/>
    <w:rsid w:val="00B07173"/>
    <w:rsid w:val="00B07183"/>
    <w:rsid w:val="00B073A3"/>
    <w:rsid w:val="00B07560"/>
    <w:rsid w:val="00B07620"/>
    <w:rsid w:val="00B07760"/>
    <w:rsid w:val="00B07A65"/>
    <w:rsid w:val="00B07B80"/>
    <w:rsid w:val="00B07C8C"/>
    <w:rsid w:val="00B07DD2"/>
    <w:rsid w:val="00B07F1E"/>
    <w:rsid w:val="00B07F5C"/>
    <w:rsid w:val="00B10096"/>
    <w:rsid w:val="00B101E7"/>
    <w:rsid w:val="00B10208"/>
    <w:rsid w:val="00B102F4"/>
    <w:rsid w:val="00B10332"/>
    <w:rsid w:val="00B10339"/>
    <w:rsid w:val="00B10428"/>
    <w:rsid w:val="00B10497"/>
    <w:rsid w:val="00B10602"/>
    <w:rsid w:val="00B10630"/>
    <w:rsid w:val="00B1071B"/>
    <w:rsid w:val="00B107F1"/>
    <w:rsid w:val="00B109FF"/>
    <w:rsid w:val="00B10AAF"/>
    <w:rsid w:val="00B10C13"/>
    <w:rsid w:val="00B10D5C"/>
    <w:rsid w:val="00B10EE6"/>
    <w:rsid w:val="00B112C8"/>
    <w:rsid w:val="00B115FA"/>
    <w:rsid w:val="00B11906"/>
    <w:rsid w:val="00B11907"/>
    <w:rsid w:val="00B11991"/>
    <w:rsid w:val="00B119D4"/>
    <w:rsid w:val="00B11A2E"/>
    <w:rsid w:val="00B11A75"/>
    <w:rsid w:val="00B11B4B"/>
    <w:rsid w:val="00B11C05"/>
    <w:rsid w:val="00B11C19"/>
    <w:rsid w:val="00B11CFC"/>
    <w:rsid w:val="00B11D52"/>
    <w:rsid w:val="00B11D57"/>
    <w:rsid w:val="00B11D71"/>
    <w:rsid w:val="00B11DFF"/>
    <w:rsid w:val="00B11FAE"/>
    <w:rsid w:val="00B121C1"/>
    <w:rsid w:val="00B123B0"/>
    <w:rsid w:val="00B12419"/>
    <w:rsid w:val="00B125EE"/>
    <w:rsid w:val="00B12693"/>
    <w:rsid w:val="00B12764"/>
    <w:rsid w:val="00B127C3"/>
    <w:rsid w:val="00B127EF"/>
    <w:rsid w:val="00B12838"/>
    <w:rsid w:val="00B12A05"/>
    <w:rsid w:val="00B12A48"/>
    <w:rsid w:val="00B12A5E"/>
    <w:rsid w:val="00B12AAE"/>
    <w:rsid w:val="00B12BDE"/>
    <w:rsid w:val="00B1309F"/>
    <w:rsid w:val="00B1314F"/>
    <w:rsid w:val="00B13195"/>
    <w:rsid w:val="00B134C4"/>
    <w:rsid w:val="00B134DA"/>
    <w:rsid w:val="00B13615"/>
    <w:rsid w:val="00B13667"/>
    <w:rsid w:val="00B13712"/>
    <w:rsid w:val="00B137C5"/>
    <w:rsid w:val="00B139C9"/>
    <w:rsid w:val="00B13C65"/>
    <w:rsid w:val="00B140B6"/>
    <w:rsid w:val="00B14198"/>
    <w:rsid w:val="00B14337"/>
    <w:rsid w:val="00B1436C"/>
    <w:rsid w:val="00B14377"/>
    <w:rsid w:val="00B14417"/>
    <w:rsid w:val="00B14496"/>
    <w:rsid w:val="00B1469C"/>
    <w:rsid w:val="00B146FB"/>
    <w:rsid w:val="00B1472E"/>
    <w:rsid w:val="00B14732"/>
    <w:rsid w:val="00B147D7"/>
    <w:rsid w:val="00B14888"/>
    <w:rsid w:val="00B1493E"/>
    <w:rsid w:val="00B149D6"/>
    <w:rsid w:val="00B149F1"/>
    <w:rsid w:val="00B14B3D"/>
    <w:rsid w:val="00B14B7E"/>
    <w:rsid w:val="00B14C55"/>
    <w:rsid w:val="00B14EE8"/>
    <w:rsid w:val="00B14F13"/>
    <w:rsid w:val="00B15018"/>
    <w:rsid w:val="00B15052"/>
    <w:rsid w:val="00B151CF"/>
    <w:rsid w:val="00B1524F"/>
    <w:rsid w:val="00B1527B"/>
    <w:rsid w:val="00B152BF"/>
    <w:rsid w:val="00B153AD"/>
    <w:rsid w:val="00B153B9"/>
    <w:rsid w:val="00B153BF"/>
    <w:rsid w:val="00B1543B"/>
    <w:rsid w:val="00B154AB"/>
    <w:rsid w:val="00B1575C"/>
    <w:rsid w:val="00B157B3"/>
    <w:rsid w:val="00B15A02"/>
    <w:rsid w:val="00B15A6B"/>
    <w:rsid w:val="00B15B42"/>
    <w:rsid w:val="00B15C7A"/>
    <w:rsid w:val="00B15D64"/>
    <w:rsid w:val="00B15DAA"/>
    <w:rsid w:val="00B15F55"/>
    <w:rsid w:val="00B15F9A"/>
    <w:rsid w:val="00B16063"/>
    <w:rsid w:val="00B16291"/>
    <w:rsid w:val="00B16369"/>
    <w:rsid w:val="00B16595"/>
    <w:rsid w:val="00B1667B"/>
    <w:rsid w:val="00B167FF"/>
    <w:rsid w:val="00B168B0"/>
    <w:rsid w:val="00B168FD"/>
    <w:rsid w:val="00B16978"/>
    <w:rsid w:val="00B16AAF"/>
    <w:rsid w:val="00B16D09"/>
    <w:rsid w:val="00B16D3F"/>
    <w:rsid w:val="00B16D68"/>
    <w:rsid w:val="00B16D8D"/>
    <w:rsid w:val="00B16F15"/>
    <w:rsid w:val="00B170E8"/>
    <w:rsid w:val="00B171EB"/>
    <w:rsid w:val="00B172BA"/>
    <w:rsid w:val="00B1736A"/>
    <w:rsid w:val="00B173CC"/>
    <w:rsid w:val="00B17409"/>
    <w:rsid w:val="00B174DF"/>
    <w:rsid w:val="00B175DC"/>
    <w:rsid w:val="00B1773E"/>
    <w:rsid w:val="00B177B2"/>
    <w:rsid w:val="00B177C9"/>
    <w:rsid w:val="00B177DC"/>
    <w:rsid w:val="00B1785B"/>
    <w:rsid w:val="00B178A0"/>
    <w:rsid w:val="00B1796F"/>
    <w:rsid w:val="00B17B41"/>
    <w:rsid w:val="00B17C1A"/>
    <w:rsid w:val="00B20036"/>
    <w:rsid w:val="00B201E8"/>
    <w:rsid w:val="00B202AB"/>
    <w:rsid w:val="00B20445"/>
    <w:rsid w:val="00B20651"/>
    <w:rsid w:val="00B20720"/>
    <w:rsid w:val="00B20874"/>
    <w:rsid w:val="00B20887"/>
    <w:rsid w:val="00B20B22"/>
    <w:rsid w:val="00B20B69"/>
    <w:rsid w:val="00B20BA7"/>
    <w:rsid w:val="00B20C39"/>
    <w:rsid w:val="00B20C59"/>
    <w:rsid w:val="00B20C8D"/>
    <w:rsid w:val="00B20D6D"/>
    <w:rsid w:val="00B20DCD"/>
    <w:rsid w:val="00B20E87"/>
    <w:rsid w:val="00B20ECD"/>
    <w:rsid w:val="00B2107D"/>
    <w:rsid w:val="00B210DD"/>
    <w:rsid w:val="00B2116D"/>
    <w:rsid w:val="00B21172"/>
    <w:rsid w:val="00B213C5"/>
    <w:rsid w:val="00B21481"/>
    <w:rsid w:val="00B2149E"/>
    <w:rsid w:val="00B2166E"/>
    <w:rsid w:val="00B216D8"/>
    <w:rsid w:val="00B21869"/>
    <w:rsid w:val="00B21997"/>
    <w:rsid w:val="00B219DC"/>
    <w:rsid w:val="00B219EC"/>
    <w:rsid w:val="00B21A03"/>
    <w:rsid w:val="00B21A07"/>
    <w:rsid w:val="00B21AA7"/>
    <w:rsid w:val="00B21AD0"/>
    <w:rsid w:val="00B21ECA"/>
    <w:rsid w:val="00B21F1B"/>
    <w:rsid w:val="00B22121"/>
    <w:rsid w:val="00B2222D"/>
    <w:rsid w:val="00B2227A"/>
    <w:rsid w:val="00B22317"/>
    <w:rsid w:val="00B2241D"/>
    <w:rsid w:val="00B224B3"/>
    <w:rsid w:val="00B22540"/>
    <w:rsid w:val="00B22696"/>
    <w:rsid w:val="00B22777"/>
    <w:rsid w:val="00B22780"/>
    <w:rsid w:val="00B229E3"/>
    <w:rsid w:val="00B22BD2"/>
    <w:rsid w:val="00B22CA3"/>
    <w:rsid w:val="00B22D66"/>
    <w:rsid w:val="00B23068"/>
    <w:rsid w:val="00B2312B"/>
    <w:rsid w:val="00B2321C"/>
    <w:rsid w:val="00B23220"/>
    <w:rsid w:val="00B23313"/>
    <w:rsid w:val="00B2347C"/>
    <w:rsid w:val="00B23619"/>
    <w:rsid w:val="00B23789"/>
    <w:rsid w:val="00B2388A"/>
    <w:rsid w:val="00B23A55"/>
    <w:rsid w:val="00B23B7E"/>
    <w:rsid w:val="00B23BF6"/>
    <w:rsid w:val="00B23CCB"/>
    <w:rsid w:val="00B23D1B"/>
    <w:rsid w:val="00B240B6"/>
    <w:rsid w:val="00B24587"/>
    <w:rsid w:val="00B245BC"/>
    <w:rsid w:val="00B246BF"/>
    <w:rsid w:val="00B246EF"/>
    <w:rsid w:val="00B247AD"/>
    <w:rsid w:val="00B2480C"/>
    <w:rsid w:val="00B24903"/>
    <w:rsid w:val="00B2495D"/>
    <w:rsid w:val="00B24C7F"/>
    <w:rsid w:val="00B24E23"/>
    <w:rsid w:val="00B25012"/>
    <w:rsid w:val="00B25022"/>
    <w:rsid w:val="00B25129"/>
    <w:rsid w:val="00B25314"/>
    <w:rsid w:val="00B25358"/>
    <w:rsid w:val="00B25371"/>
    <w:rsid w:val="00B25407"/>
    <w:rsid w:val="00B254DA"/>
    <w:rsid w:val="00B25573"/>
    <w:rsid w:val="00B255DF"/>
    <w:rsid w:val="00B2564C"/>
    <w:rsid w:val="00B2567C"/>
    <w:rsid w:val="00B2573E"/>
    <w:rsid w:val="00B2579F"/>
    <w:rsid w:val="00B257BF"/>
    <w:rsid w:val="00B25940"/>
    <w:rsid w:val="00B25977"/>
    <w:rsid w:val="00B259AE"/>
    <w:rsid w:val="00B25A9D"/>
    <w:rsid w:val="00B25AB5"/>
    <w:rsid w:val="00B25BD9"/>
    <w:rsid w:val="00B25BF7"/>
    <w:rsid w:val="00B25C33"/>
    <w:rsid w:val="00B25CC1"/>
    <w:rsid w:val="00B25D05"/>
    <w:rsid w:val="00B25D5E"/>
    <w:rsid w:val="00B25E0D"/>
    <w:rsid w:val="00B2604C"/>
    <w:rsid w:val="00B2616E"/>
    <w:rsid w:val="00B26220"/>
    <w:rsid w:val="00B264B4"/>
    <w:rsid w:val="00B26599"/>
    <w:rsid w:val="00B2660E"/>
    <w:rsid w:val="00B26622"/>
    <w:rsid w:val="00B26669"/>
    <w:rsid w:val="00B2683D"/>
    <w:rsid w:val="00B269D8"/>
    <w:rsid w:val="00B26A00"/>
    <w:rsid w:val="00B26AB6"/>
    <w:rsid w:val="00B26ABC"/>
    <w:rsid w:val="00B26C91"/>
    <w:rsid w:val="00B26D42"/>
    <w:rsid w:val="00B26EC7"/>
    <w:rsid w:val="00B27096"/>
    <w:rsid w:val="00B270FF"/>
    <w:rsid w:val="00B2731D"/>
    <w:rsid w:val="00B27454"/>
    <w:rsid w:val="00B2747F"/>
    <w:rsid w:val="00B275E7"/>
    <w:rsid w:val="00B2768A"/>
    <w:rsid w:val="00B276B4"/>
    <w:rsid w:val="00B27734"/>
    <w:rsid w:val="00B27795"/>
    <w:rsid w:val="00B278B9"/>
    <w:rsid w:val="00B27963"/>
    <w:rsid w:val="00B27A49"/>
    <w:rsid w:val="00B27A4B"/>
    <w:rsid w:val="00B27B10"/>
    <w:rsid w:val="00B27CF9"/>
    <w:rsid w:val="00B27DA6"/>
    <w:rsid w:val="00B27EA4"/>
    <w:rsid w:val="00B301EB"/>
    <w:rsid w:val="00B3022E"/>
    <w:rsid w:val="00B302F8"/>
    <w:rsid w:val="00B303F6"/>
    <w:rsid w:val="00B30441"/>
    <w:rsid w:val="00B3049A"/>
    <w:rsid w:val="00B30728"/>
    <w:rsid w:val="00B307B7"/>
    <w:rsid w:val="00B30888"/>
    <w:rsid w:val="00B309D0"/>
    <w:rsid w:val="00B30A15"/>
    <w:rsid w:val="00B30A49"/>
    <w:rsid w:val="00B30A4F"/>
    <w:rsid w:val="00B30AFF"/>
    <w:rsid w:val="00B30B12"/>
    <w:rsid w:val="00B30BC3"/>
    <w:rsid w:val="00B30CA7"/>
    <w:rsid w:val="00B30D1C"/>
    <w:rsid w:val="00B30D9D"/>
    <w:rsid w:val="00B30DC2"/>
    <w:rsid w:val="00B30DCC"/>
    <w:rsid w:val="00B30F78"/>
    <w:rsid w:val="00B30FDF"/>
    <w:rsid w:val="00B3117B"/>
    <w:rsid w:val="00B31223"/>
    <w:rsid w:val="00B312D9"/>
    <w:rsid w:val="00B313AE"/>
    <w:rsid w:val="00B31537"/>
    <w:rsid w:val="00B315CD"/>
    <w:rsid w:val="00B316B0"/>
    <w:rsid w:val="00B31700"/>
    <w:rsid w:val="00B3170E"/>
    <w:rsid w:val="00B31753"/>
    <w:rsid w:val="00B31829"/>
    <w:rsid w:val="00B31882"/>
    <w:rsid w:val="00B3191E"/>
    <w:rsid w:val="00B319BB"/>
    <w:rsid w:val="00B31A35"/>
    <w:rsid w:val="00B31A36"/>
    <w:rsid w:val="00B31A43"/>
    <w:rsid w:val="00B31AF2"/>
    <w:rsid w:val="00B31BC4"/>
    <w:rsid w:val="00B31C0D"/>
    <w:rsid w:val="00B31C86"/>
    <w:rsid w:val="00B31EDF"/>
    <w:rsid w:val="00B31EF7"/>
    <w:rsid w:val="00B320E6"/>
    <w:rsid w:val="00B32275"/>
    <w:rsid w:val="00B32535"/>
    <w:rsid w:val="00B32542"/>
    <w:rsid w:val="00B325BE"/>
    <w:rsid w:val="00B3279A"/>
    <w:rsid w:val="00B3279B"/>
    <w:rsid w:val="00B3291A"/>
    <w:rsid w:val="00B32968"/>
    <w:rsid w:val="00B32B35"/>
    <w:rsid w:val="00B32E0E"/>
    <w:rsid w:val="00B32E52"/>
    <w:rsid w:val="00B32FB4"/>
    <w:rsid w:val="00B33099"/>
    <w:rsid w:val="00B3313D"/>
    <w:rsid w:val="00B3328F"/>
    <w:rsid w:val="00B33555"/>
    <w:rsid w:val="00B335C5"/>
    <w:rsid w:val="00B33839"/>
    <w:rsid w:val="00B338EF"/>
    <w:rsid w:val="00B339EB"/>
    <w:rsid w:val="00B33B12"/>
    <w:rsid w:val="00B33B22"/>
    <w:rsid w:val="00B33BD1"/>
    <w:rsid w:val="00B33C6B"/>
    <w:rsid w:val="00B33DF2"/>
    <w:rsid w:val="00B33E2E"/>
    <w:rsid w:val="00B33E6A"/>
    <w:rsid w:val="00B33EBC"/>
    <w:rsid w:val="00B33ED5"/>
    <w:rsid w:val="00B3448E"/>
    <w:rsid w:val="00B344EA"/>
    <w:rsid w:val="00B34667"/>
    <w:rsid w:val="00B346E7"/>
    <w:rsid w:val="00B34876"/>
    <w:rsid w:val="00B3489F"/>
    <w:rsid w:val="00B3494B"/>
    <w:rsid w:val="00B34A1F"/>
    <w:rsid w:val="00B34AA7"/>
    <w:rsid w:val="00B34B97"/>
    <w:rsid w:val="00B34D24"/>
    <w:rsid w:val="00B34D69"/>
    <w:rsid w:val="00B3504C"/>
    <w:rsid w:val="00B35113"/>
    <w:rsid w:val="00B3544B"/>
    <w:rsid w:val="00B3545A"/>
    <w:rsid w:val="00B35744"/>
    <w:rsid w:val="00B357F0"/>
    <w:rsid w:val="00B3586B"/>
    <w:rsid w:val="00B35AF8"/>
    <w:rsid w:val="00B35BE1"/>
    <w:rsid w:val="00B35FD0"/>
    <w:rsid w:val="00B36028"/>
    <w:rsid w:val="00B362A8"/>
    <w:rsid w:val="00B36323"/>
    <w:rsid w:val="00B363F6"/>
    <w:rsid w:val="00B3655F"/>
    <w:rsid w:val="00B36677"/>
    <w:rsid w:val="00B3667F"/>
    <w:rsid w:val="00B366B0"/>
    <w:rsid w:val="00B3686D"/>
    <w:rsid w:val="00B36997"/>
    <w:rsid w:val="00B369A3"/>
    <w:rsid w:val="00B36A10"/>
    <w:rsid w:val="00B36AC4"/>
    <w:rsid w:val="00B36E4E"/>
    <w:rsid w:val="00B36E61"/>
    <w:rsid w:val="00B3702E"/>
    <w:rsid w:val="00B37076"/>
    <w:rsid w:val="00B370DC"/>
    <w:rsid w:val="00B37113"/>
    <w:rsid w:val="00B37136"/>
    <w:rsid w:val="00B371C8"/>
    <w:rsid w:val="00B37389"/>
    <w:rsid w:val="00B373B9"/>
    <w:rsid w:val="00B373EE"/>
    <w:rsid w:val="00B37622"/>
    <w:rsid w:val="00B3771F"/>
    <w:rsid w:val="00B37873"/>
    <w:rsid w:val="00B378AD"/>
    <w:rsid w:val="00B3797A"/>
    <w:rsid w:val="00B37C18"/>
    <w:rsid w:val="00B37D3E"/>
    <w:rsid w:val="00B37EB8"/>
    <w:rsid w:val="00B37EF3"/>
    <w:rsid w:val="00B37F20"/>
    <w:rsid w:val="00B37F69"/>
    <w:rsid w:val="00B37FAB"/>
    <w:rsid w:val="00B40064"/>
    <w:rsid w:val="00B40082"/>
    <w:rsid w:val="00B400F3"/>
    <w:rsid w:val="00B40208"/>
    <w:rsid w:val="00B402AC"/>
    <w:rsid w:val="00B40493"/>
    <w:rsid w:val="00B404E6"/>
    <w:rsid w:val="00B40634"/>
    <w:rsid w:val="00B4064D"/>
    <w:rsid w:val="00B407C8"/>
    <w:rsid w:val="00B409A1"/>
    <w:rsid w:val="00B409CF"/>
    <w:rsid w:val="00B40A49"/>
    <w:rsid w:val="00B40BCC"/>
    <w:rsid w:val="00B40CFC"/>
    <w:rsid w:val="00B40D35"/>
    <w:rsid w:val="00B40D63"/>
    <w:rsid w:val="00B40EA8"/>
    <w:rsid w:val="00B40F40"/>
    <w:rsid w:val="00B40FC1"/>
    <w:rsid w:val="00B414E6"/>
    <w:rsid w:val="00B414F7"/>
    <w:rsid w:val="00B4151E"/>
    <w:rsid w:val="00B4185F"/>
    <w:rsid w:val="00B41DB3"/>
    <w:rsid w:val="00B41E05"/>
    <w:rsid w:val="00B41E3C"/>
    <w:rsid w:val="00B42058"/>
    <w:rsid w:val="00B42067"/>
    <w:rsid w:val="00B42193"/>
    <w:rsid w:val="00B421BF"/>
    <w:rsid w:val="00B42330"/>
    <w:rsid w:val="00B42393"/>
    <w:rsid w:val="00B42397"/>
    <w:rsid w:val="00B4246C"/>
    <w:rsid w:val="00B4272D"/>
    <w:rsid w:val="00B427EB"/>
    <w:rsid w:val="00B428A6"/>
    <w:rsid w:val="00B428ED"/>
    <w:rsid w:val="00B4295F"/>
    <w:rsid w:val="00B429AC"/>
    <w:rsid w:val="00B429AF"/>
    <w:rsid w:val="00B42A16"/>
    <w:rsid w:val="00B42AC2"/>
    <w:rsid w:val="00B42AC4"/>
    <w:rsid w:val="00B42B7D"/>
    <w:rsid w:val="00B42C28"/>
    <w:rsid w:val="00B42C9E"/>
    <w:rsid w:val="00B42D10"/>
    <w:rsid w:val="00B42D4B"/>
    <w:rsid w:val="00B42D7B"/>
    <w:rsid w:val="00B42F7E"/>
    <w:rsid w:val="00B42FC8"/>
    <w:rsid w:val="00B430CC"/>
    <w:rsid w:val="00B431DF"/>
    <w:rsid w:val="00B432A0"/>
    <w:rsid w:val="00B432DF"/>
    <w:rsid w:val="00B43317"/>
    <w:rsid w:val="00B43853"/>
    <w:rsid w:val="00B439ED"/>
    <w:rsid w:val="00B43A14"/>
    <w:rsid w:val="00B43C30"/>
    <w:rsid w:val="00B43C96"/>
    <w:rsid w:val="00B43CA0"/>
    <w:rsid w:val="00B43D55"/>
    <w:rsid w:val="00B43F89"/>
    <w:rsid w:val="00B43FAF"/>
    <w:rsid w:val="00B43FE5"/>
    <w:rsid w:val="00B43FEC"/>
    <w:rsid w:val="00B4400C"/>
    <w:rsid w:val="00B44234"/>
    <w:rsid w:val="00B442EC"/>
    <w:rsid w:val="00B443E9"/>
    <w:rsid w:val="00B44511"/>
    <w:rsid w:val="00B44531"/>
    <w:rsid w:val="00B445E2"/>
    <w:rsid w:val="00B445FB"/>
    <w:rsid w:val="00B4489A"/>
    <w:rsid w:val="00B448C0"/>
    <w:rsid w:val="00B44B18"/>
    <w:rsid w:val="00B44D1D"/>
    <w:rsid w:val="00B44DBD"/>
    <w:rsid w:val="00B44E24"/>
    <w:rsid w:val="00B44F4A"/>
    <w:rsid w:val="00B450D6"/>
    <w:rsid w:val="00B45219"/>
    <w:rsid w:val="00B45450"/>
    <w:rsid w:val="00B45682"/>
    <w:rsid w:val="00B457F3"/>
    <w:rsid w:val="00B458A7"/>
    <w:rsid w:val="00B458AC"/>
    <w:rsid w:val="00B45916"/>
    <w:rsid w:val="00B45936"/>
    <w:rsid w:val="00B459B0"/>
    <w:rsid w:val="00B45A21"/>
    <w:rsid w:val="00B45B12"/>
    <w:rsid w:val="00B45C5D"/>
    <w:rsid w:val="00B45D4F"/>
    <w:rsid w:val="00B45D55"/>
    <w:rsid w:val="00B45DE6"/>
    <w:rsid w:val="00B45F26"/>
    <w:rsid w:val="00B45FAC"/>
    <w:rsid w:val="00B4604B"/>
    <w:rsid w:val="00B46216"/>
    <w:rsid w:val="00B462C1"/>
    <w:rsid w:val="00B4631A"/>
    <w:rsid w:val="00B464F5"/>
    <w:rsid w:val="00B4651E"/>
    <w:rsid w:val="00B465F0"/>
    <w:rsid w:val="00B46620"/>
    <w:rsid w:val="00B467A2"/>
    <w:rsid w:val="00B467AC"/>
    <w:rsid w:val="00B46818"/>
    <w:rsid w:val="00B468A0"/>
    <w:rsid w:val="00B468DA"/>
    <w:rsid w:val="00B4690B"/>
    <w:rsid w:val="00B46AF0"/>
    <w:rsid w:val="00B46AF3"/>
    <w:rsid w:val="00B46AFA"/>
    <w:rsid w:val="00B46C70"/>
    <w:rsid w:val="00B46CB7"/>
    <w:rsid w:val="00B46D7D"/>
    <w:rsid w:val="00B46F2F"/>
    <w:rsid w:val="00B46FDC"/>
    <w:rsid w:val="00B4703E"/>
    <w:rsid w:val="00B47054"/>
    <w:rsid w:val="00B472CB"/>
    <w:rsid w:val="00B47374"/>
    <w:rsid w:val="00B474B3"/>
    <w:rsid w:val="00B4776C"/>
    <w:rsid w:val="00B477D4"/>
    <w:rsid w:val="00B477E1"/>
    <w:rsid w:val="00B47C96"/>
    <w:rsid w:val="00B47DAE"/>
    <w:rsid w:val="00B50008"/>
    <w:rsid w:val="00B5005D"/>
    <w:rsid w:val="00B500A7"/>
    <w:rsid w:val="00B500C7"/>
    <w:rsid w:val="00B50134"/>
    <w:rsid w:val="00B5015A"/>
    <w:rsid w:val="00B50501"/>
    <w:rsid w:val="00B505A5"/>
    <w:rsid w:val="00B5093F"/>
    <w:rsid w:val="00B50961"/>
    <w:rsid w:val="00B50A44"/>
    <w:rsid w:val="00B50AB9"/>
    <w:rsid w:val="00B50AF7"/>
    <w:rsid w:val="00B50B14"/>
    <w:rsid w:val="00B50B2A"/>
    <w:rsid w:val="00B50B66"/>
    <w:rsid w:val="00B50BCA"/>
    <w:rsid w:val="00B50D06"/>
    <w:rsid w:val="00B50D1E"/>
    <w:rsid w:val="00B50DA2"/>
    <w:rsid w:val="00B50DD0"/>
    <w:rsid w:val="00B50EA4"/>
    <w:rsid w:val="00B5100E"/>
    <w:rsid w:val="00B511C2"/>
    <w:rsid w:val="00B513BD"/>
    <w:rsid w:val="00B513D3"/>
    <w:rsid w:val="00B514E7"/>
    <w:rsid w:val="00B5162A"/>
    <w:rsid w:val="00B51786"/>
    <w:rsid w:val="00B5181A"/>
    <w:rsid w:val="00B518C1"/>
    <w:rsid w:val="00B51B5E"/>
    <w:rsid w:val="00B51BE2"/>
    <w:rsid w:val="00B51CCA"/>
    <w:rsid w:val="00B51CE3"/>
    <w:rsid w:val="00B51D2E"/>
    <w:rsid w:val="00B51F4C"/>
    <w:rsid w:val="00B51F67"/>
    <w:rsid w:val="00B52277"/>
    <w:rsid w:val="00B5237F"/>
    <w:rsid w:val="00B52382"/>
    <w:rsid w:val="00B523C4"/>
    <w:rsid w:val="00B5257A"/>
    <w:rsid w:val="00B526D3"/>
    <w:rsid w:val="00B527B8"/>
    <w:rsid w:val="00B52A2E"/>
    <w:rsid w:val="00B52B4F"/>
    <w:rsid w:val="00B52C7B"/>
    <w:rsid w:val="00B52E69"/>
    <w:rsid w:val="00B52FBE"/>
    <w:rsid w:val="00B530E4"/>
    <w:rsid w:val="00B532CE"/>
    <w:rsid w:val="00B53314"/>
    <w:rsid w:val="00B533C2"/>
    <w:rsid w:val="00B5379F"/>
    <w:rsid w:val="00B537A0"/>
    <w:rsid w:val="00B53931"/>
    <w:rsid w:val="00B53A33"/>
    <w:rsid w:val="00B53B46"/>
    <w:rsid w:val="00B53BAC"/>
    <w:rsid w:val="00B53BB0"/>
    <w:rsid w:val="00B53C91"/>
    <w:rsid w:val="00B53C97"/>
    <w:rsid w:val="00B53D96"/>
    <w:rsid w:val="00B53DA1"/>
    <w:rsid w:val="00B540FA"/>
    <w:rsid w:val="00B54135"/>
    <w:rsid w:val="00B54394"/>
    <w:rsid w:val="00B543FE"/>
    <w:rsid w:val="00B54431"/>
    <w:rsid w:val="00B546DD"/>
    <w:rsid w:val="00B5477A"/>
    <w:rsid w:val="00B548AD"/>
    <w:rsid w:val="00B549A2"/>
    <w:rsid w:val="00B54C23"/>
    <w:rsid w:val="00B54CE6"/>
    <w:rsid w:val="00B54CE9"/>
    <w:rsid w:val="00B54DF0"/>
    <w:rsid w:val="00B54E26"/>
    <w:rsid w:val="00B54EA7"/>
    <w:rsid w:val="00B54EFF"/>
    <w:rsid w:val="00B54F5A"/>
    <w:rsid w:val="00B54FB3"/>
    <w:rsid w:val="00B54FD1"/>
    <w:rsid w:val="00B55524"/>
    <w:rsid w:val="00B556AA"/>
    <w:rsid w:val="00B55A3C"/>
    <w:rsid w:val="00B55C23"/>
    <w:rsid w:val="00B55C6B"/>
    <w:rsid w:val="00B55D05"/>
    <w:rsid w:val="00B55D0E"/>
    <w:rsid w:val="00B55E02"/>
    <w:rsid w:val="00B55EB0"/>
    <w:rsid w:val="00B55EBA"/>
    <w:rsid w:val="00B56094"/>
    <w:rsid w:val="00B56166"/>
    <w:rsid w:val="00B561AE"/>
    <w:rsid w:val="00B561C9"/>
    <w:rsid w:val="00B561EB"/>
    <w:rsid w:val="00B562C3"/>
    <w:rsid w:val="00B56318"/>
    <w:rsid w:val="00B56360"/>
    <w:rsid w:val="00B565C6"/>
    <w:rsid w:val="00B5663D"/>
    <w:rsid w:val="00B56786"/>
    <w:rsid w:val="00B5685B"/>
    <w:rsid w:val="00B568A0"/>
    <w:rsid w:val="00B568A2"/>
    <w:rsid w:val="00B56B2F"/>
    <w:rsid w:val="00B56C37"/>
    <w:rsid w:val="00B56D99"/>
    <w:rsid w:val="00B56EA1"/>
    <w:rsid w:val="00B56F8E"/>
    <w:rsid w:val="00B57057"/>
    <w:rsid w:val="00B5706D"/>
    <w:rsid w:val="00B570EB"/>
    <w:rsid w:val="00B57106"/>
    <w:rsid w:val="00B57414"/>
    <w:rsid w:val="00B575BF"/>
    <w:rsid w:val="00B5761E"/>
    <w:rsid w:val="00B576AA"/>
    <w:rsid w:val="00B57793"/>
    <w:rsid w:val="00B57A07"/>
    <w:rsid w:val="00B57A18"/>
    <w:rsid w:val="00B57BA5"/>
    <w:rsid w:val="00B57E55"/>
    <w:rsid w:val="00B57E7B"/>
    <w:rsid w:val="00B57F4D"/>
    <w:rsid w:val="00B60039"/>
    <w:rsid w:val="00B6004A"/>
    <w:rsid w:val="00B60418"/>
    <w:rsid w:val="00B60535"/>
    <w:rsid w:val="00B606A3"/>
    <w:rsid w:val="00B60A9C"/>
    <w:rsid w:val="00B60B6B"/>
    <w:rsid w:val="00B60CBD"/>
    <w:rsid w:val="00B60D68"/>
    <w:rsid w:val="00B60D6B"/>
    <w:rsid w:val="00B60E61"/>
    <w:rsid w:val="00B60EDD"/>
    <w:rsid w:val="00B6100F"/>
    <w:rsid w:val="00B6110A"/>
    <w:rsid w:val="00B6112E"/>
    <w:rsid w:val="00B61180"/>
    <w:rsid w:val="00B61232"/>
    <w:rsid w:val="00B6125F"/>
    <w:rsid w:val="00B612EA"/>
    <w:rsid w:val="00B614B6"/>
    <w:rsid w:val="00B61683"/>
    <w:rsid w:val="00B616FE"/>
    <w:rsid w:val="00B6176A"/>
    <w:rsid w:val="00B617BA"/>
    <w:rsid w:val="00B618A4"/>
    <w:rsid w:val="00B618BF"/>
    <w:rsid w:val="00B61A18"/>
    <w:rsid w:val="00B61ACE"/>
    <w:rsid w:val="00B61AD2"/>
    <w:rsid w:val="00B61C66"/>
    <w:rsid w:val="00B61CA8"/>
    <w:rsid w:val="00B61D35"/>
    <w:rsid w:val="00B620D6"/>
    <w:rsid w:val="00B62105"/>
    <w:rsid w:val="00B621CF"/>
    <w:rsid w:val="00B6232C"/>
    <w:rsid w:val="00B62462"/>
    <w:rsid w:val="00B62479"/>
    <w:rsid w:val="00B624CB"/>
    <w:rsid w:val="00B6253D"/>
    <w:rsid w:val="00B62604"/>
    <w:rsid w:val="00B629AB"/>
    <w:rsid w:val="00B62AB7"/>
    <w:rsid w:val="00B62B67"/>
    <w:rsid w:val="00B62BC1"/>
    <w:rsid w:val="00B62C89"/>
    <w:rsid w:val="00B62DF2"/>
    <w:rsid w:val="00B62F94"/>
    <w:rsid w:val="00B63129"/>
    <w:rsid w:val="00B63182"/>
    <w:rsid w:val="00B631AD"/>
    <w:rsid w:val="00B631E6"/>
    <w:rsid w:val="00B632A0"/>
    <w:rsid w:val="00B63324"/>
    <w:rsid w:val="00B63328"/>
    <w:rsid w:val="00B63583"/>
    <w:rsid w:val="00B6369C"/>
    <w:rsid w:val="00B6374F"/>
    <w:rsid w:val="00B637D3"/>
    <w:rsid w:val="00B637E4"/>
    <w:rsid w:val="00B63850"/>
    <w:rsid w:val="00B638A9"/>
    <w:rsid w:val="00B63952"/>
    <w:rsid w:val="00B63B97"/>
    <w:rsid w:val="00B63D40"/>
    <w:rsid w:val="00B63DC2"/>
    <w:rsid w:val="00B63E4F"/>
    <w:rsid w:val="00B63F15"/>
    <w:rsid w:val="00B63F64"/>
    <w:rsid w:val="00B643D4"/>
    <w:rsid w:val="00B644F1"/>
    <w:rsid w:val="00B64709"/>
    <w:rsid w:val="00B6473B"/>
    <w:rsid w:val="00B64765"/>
    <w:rsid w:val="00B647AD"/>
    <w:rsid w:val="00B6492A"/>
    <w:rsid w:val="00B6498A"/>
    <w:rsid w:val="00B64C87"/>
    <w:rsid w:val="00B64CF0"/>
    <w:rsid w:val="00B651A3"/>
    <w:rsid w:val="00B65227"/>
    <w:rsid w:val="00B654F6"/>
    <w:rsid w:val="00B65523"/>
    <w:rsid w:val="00B6576A"/>
    <w:rsid w:val="00B65805"/>
    <w:rsid w:val="00B65807"/>
    <w:rsid w:val="00B658C3"/>
    <w:rsid w:val="00B658D6"/>
    <w:rsid w:val="00B658FE"/>
    <w:rsid w:val="00B65933"/>
    <w:rsid w:val="00B659BA"/>
    <w:rsid w:val="00B659DC"/>
    <w:rsid w:val="00B65A84"/>
    <w:rsid w:val="00B65C4E"/>
    <w:rsid w:val="00B65C7D"/>
    <w:rsid w:val="00B65F02"/>
    <w:rsid w:val="00B660DC"/>
    <w:rsid w:val="00B6629B"/>
    <w:rsid w:val="00B6630D"/>
    <w:rsid w:val="00B6644B"/>
    <w:rsid w:val="00B665C3"/>
    <w:rsid w:val="00B665CD"/>
    <w:rsid w:val="00B668E7"/>
    <w:rsid w:val="00B6692A"/>
    <w:rsid w:val="00B66A87"/>
    <w:rsid w:val="00B66C42"/>
    <w:rsid w:val="00B66D3C"/>
    <w:rsid w:val="00B66EBA"/>
    <w:rsid w:val="00B66F50"/>
    <w:rsid w:val="00B66F52"/>
    <w:rsid w:val="00B671CB"/>
    <w:rsid w:val="00B67228"/>
    <w:rsid w:val="00B67273"/>
    <w:rsid w:val="00B67352"/>
    <w:rsid w:val="00B673F6"/>
    <w:rsid w:val="00B6742B"/>
    <w:rsid w:val="00B67546"/>
    <w:rsid w:val="00B6760E"/>
    <w:rsid w:val="00B67840"/>
    <w:rsid w:val="00B67869"/>
    <w:rsid w:val="00B67875"/>
    <w:rsid w:val="00B678B3"/>
    <w:rsid w:val="00B678E2"/>
    <w:rsid w:val="00B67ADA"/>
    <w:rsid w:val="00B67C03"/>
    <w:rsid w:val="00B67E93"/>
    <w:rsid w:val="00B67E94"/>
    <w:rsid w:val="00B67FAE"/>
    <w:rsid w:val="00B701D5"/>
    <w:rsid w:val="00B70241"/>
    <w:rsid w:val="00B702DC"/>
    <w:rsid w:val="00B70360"/>
    <w:rsid w:val="00B703CE"/>
    <w:rsid w:val="00B70586"/>
    <w:rsid w:val="00B705E1"/>
    <w:rsid w:val="00B7073E"/>
    <w:rsid w:val="00B707B9"/>
    <w:rsid w:val="00B708BB"/>
    <w:rsid w:val="00B70976"/>
    <w:rsid w:val="00B70D83"/>
    <w:rsid w:val="00B70DA1"/>
    <w:rsid w:val="00B70DC1"/>
    <w:rsid w:val="00B70E26"/>
    <w:rsid w:val="00B70F11"/>
    <w:rsid w:val="00B70F59"/>
    <w:rsid w:val="00B70FD4"/>
    <w:rsid w:val="00B712D0"/>
    <w:rsid w:val="00B712F3"/>
    <w:rsid w:val="00B712FA"/>
    <w:rsid w:val="00B71441"/>
    <w:rsid w:val="00B715BF"/>
    <w:rsid w:val="00B715FF"/>
    <w:rsid w:val="00B7172E"/>
    <w:rsid w:val="00B71865"/>
    <w:rsid w:val="00B7192D"/>
    <w:rsid w:val="00B719C1"/>
    <w:rsid w:val="00B71AEE"/>
    <w:rsid w:val="00B71BD3"/>
    <w:rsid w:val="00B71E3A"/>
    <w:rsid w:val="00B71FBE"/>
    <w:rsid w:val="00B71FC5"/>
    <w:rsid w:val="00B720A5"/>
    <w:rsid w:val="00B7215A"/>
    <w:rsid w:val="00B7237D"/>
    <w:rsid w:val="00B723AA"/>
    <w:rsid w:val="00B7242D"/>
    <w:rsid w:val="00B7243B"/>
    <w:rsid w:val="00B7248B"/>
    <w:rsid w:val="00B72531"/>
    <w:rsid w:val="00B72533"/>
    <w:rsid w:val="00B725FB"/>
    <w:rsid w:val="00B7268A"/>
    <w:rsid w:val="00B727E3"/>
    <w:rsid w:val="00B72956"/>
    <w:rsid w:val="00B72B43"/>
    <w:rsid w:val="00B72C71"/>
    <w:rsid w:val="00B72CA4"/>
    <w:rsid w:val="00B72D8B"/>
    <w:rsid w:val="00B72FB6"/>
    <w:rsid w:val="00B73074"/>
    <w:rsid w:val="00B73089"/>
    <w:rsid w:val="00B73134"/>
    <w:rsid w:val="00B73171"/>
    <w:rsid w:val="00B7324D"/>
    <w:rsid w:val="00B732E3"/>
    <w:rsid w:val="00B734EA"/>
    <w:rsid w:val="00B73786"/>
    <w:rsid w:val="00B73911"/>
    <w:rsid w:val="00B73918"/>
    <w:rsid w:val="00B73B8B"/>
    <w:rsid w:val="00B73BAF"/>
    <w:rsid w:val="00B73C7C"/>
    <w:rsid w:val="00B73DDA"/>
    <w:rsid w:val="00B73FC6"/>
    <w:rsid w:val="00B74178"/>
    <w:rsid w:val="00B741CC"/>
    <w:rsid w:val="00B74266"/>
    <w:rsid w:val="00B7434A"/>
    <w:rsid w:val="00B74392"/>
    <w:rsid w:val="00B74530"/>
    <w:rsid w:val="00B745CF"/>
    <w:rsid w:val="00B74611"/>
    <w:rsid w:val="00B7466D"/>
    <w:rsid w:val="00B7480B"/>
    <w:rsid w:val="00B7493E"/>
    <w:rsid w:val="00B7498C"/>
    <w:rsid w:val="00B74AF2"/>
    <w:rsid w:val="00B74B0E"/>
    <w:rsid w:val="00B74B11"/>
    <w:rsid w:val="00B74CE3"/>
    <w:rsid w:val="00B74CEE"/>
    <w:rsid w:val="00B74CF2"/>
    <w:rsid w:val="00B74D65"/>
    <w:rsid w:val="00B74F70"/>
    <w:rsid w:val="00B7501D"/>
    <w:rsid w:val="00B75196"/>
    <w:rsid w:val="00B75257"/>
    <w:rsid w:val="00B752E6"/>
    <w:rsid w:val="00B7536B"/>
    <w:rsid w:val="00B753C9"/>
    <w:rsid w:val="00B757A0"/>
    <w:rsid w:val="00B757E5"/>
    <w:rsid w:val="00B75B70"/>
    <w:rsid w:val="00B75BF0"/>
    <w:rsid w:val="00B75DBA"/>
    <w:rsid w:val="00B75F66"/>
    <w:rsid w:val="00B75F7B"/>
    <w:rsid w:val="00B75FA3"/>
    <w:rsid w:val="00B75FAF"/>
    <w:rsid w:val="00B762B5"/>
    <w:rsid w:val="00B762BA"/>
    <w:rsid w:val="00B763A2"/>
    <w:rsid w:val="00B76414"/>
    <w:rsid w:val="00B764C7"/>
    <w:rsid w:val="00B764E1"/>
    <w:rsid w:val="00B76823"/>
    <w:rsid w:val="00B768F6"/>
    <w:rsid w:val="00B76935"/>
    <w:rsid w:val="00B76A39"/>
    <w:rsid w:val="00B76AAC"/>
    <w:rsid w:val="00B76B38"/>
    <w:rsid w:val="00B76D3B"/>
    <w:rsid w:val="00B76F57"/>
    <w:rsid w:val="00B76F6D"/>
    <w:rsid w:val="00B76FCD"/>
    <w:rsid w:val="00B772FD"/>
    <w:rsid w:val="00B7737E"/>
    <w:rsid w:val="00B77383"/>
    <w:rsid w:val="00B7742B"/>
    <w:rsid w:val="00B775A0"/>
    <w:rsid w:val="00B776F8"/>
    <w:rsid w:val="00B7789E"/>
    <w:rsid w:val="00B778FE"/>
    <w:rsid w:val="00B779F6"/>
    <w:rsid w:val="00B77A39"/>
    <w:rsid w:val="00B77AD1"/>
    <w:rsid w:val="00B77BDC"/>
    <w:rsid w:val="00B77D02"/>
    <w:rsid w:val="00B77D81"/>
    <w:rsid w:val="00B77E03"/>
    <w:rsid w:val="00B77EF0"/>
    <w:rsid w:val="00B77F8B"/>
    <w:rsid w:val="00B77F92"/>
    <w:rsid w:val="00B77FAA"/>
    <w:rsid w:val="00B77FE8"/>
    <w:rsid w:val="00B8006E"/>
    <w:rsid w:val="00B800D5"/>
    <w:rsid w:val="00B802F5"/>
    <w:rsid w:val="00B803B9"/>
    <w:rsid w:val="00B804C3"/>
    <w:rsid w:val="00B8057F"/>
    <w:rsid w:val="00B8059B"/>
    <w:rsid w:val="00B805FC"/>
    <w:rsid w:val="00B80610"/>
    <w:rsid w:val="00B807A5"/>
    <w:rsid w:val="00B80828"/>
    <w:rsid w:val="00B809A3"/>
    <w:rsid w:val="00B809CC"/>
    <w:rsid w:val="00B80A7A"/>
    <w:rsid w:val="00B80B1F"/>
    <w:rsid w:val="00B80C07"/>
    <w:rsid w:val="00B80D80"/>
    <w:rsid w:val="00B80DE6"/>
    <w:rsid w:val="00B80DF5"/>
    <w:rsid w:val="00B80F95"/>
    <w:rsid w:val="00B80FA8"/>
    <w:rsid w:val="00B80FDB"/>
    <w:rsid w:val="00B81031"/>
    <w:rsid w:val="00B8104D"/>
    <w:rsid w:val="00B81070"/>
    <w:rsid w:val="00B8110C"/>
    <w:rsid w:val="00B812E8"/>
    <w:rsid w:val="00B8138E"/>
    <w:rsid w:val="00B81491"/>
    <w:rsid w:val="00B81514"/>
    <w:rsid w:val="00B8152A"/>
    <w:rsid w:val="00B817AA"/>
    <w:rsid w:val="00B817DE"/>
    <w:rsid w:val="00B817F4"/>
    <w:rsid w:val="00B81874"/>
    <w:rsid w:val="00B818B9"/>
    <w:rsid w:val="00B81AA1"/>
    <w:rsid w:val="00B81AB7"/>
    <w:rsid w:val="00B81BF2"/>
    <w:rsid w:val="00B81C60"/>
    <w:rsid w:val="00B81C7A"/>
    <w:rsid w:val="00B81C8D"/>
    <w:rsid w:val="00B81CA1"/>
    <w:rsid w:val="00B81CC5"/>
    <w:rsid w:val="00B81DAA"/>
    <w:rsid w:val="00B81E36"/>
    <w:rsid w:val="00B81E56"/>
    <w:rsid w:val="00B81EFD"/>
    <w:rsid w:val="00B81F38"/>
    <w:rsid w:val="00B81FAA"/>
    <w:rsid w:val="00B82020"/>
    <w:rsid w:val="00B82087"/>
    <w:rsid w:val="00B821D1"/>
    <w:rsid w:val="00B8228F"/>
    <w:rsid w:val="00B822EC"/>
    <w:rsid w:val="00B8238C"/>
    <w:rsid w:val="00B82398"/>
    <w:rsid w:val="00B824CB"/>
    <w:rsid w:val="00B82643"/>
    <w:rsid w:val="00B82739"/>
    <w:rsid w:val="00B82968"/>
    <w:rsid w:val="00B82A9E"/>
    <w:rsid w:val="00B82AB9"/>
    <w:rsid w:val="00B82B07"/>
    <w:rsid w:val="00B82B71"/>
    <w:rsid w:val="00B82B90"/>
    <w:rsid w:val="00B82C40"/>
    <w:rsid w:val="00B82C58"/>
    <w:rsid w:val="00B82C8E"/>
    <w:rsid w:val="00B82CBF"/>
    <w:rsid w:val="00B82DC4"/>
    <w:rsid w:val="00B8308C"/>
    <w:rsid w:val="00B83243"/>
    <w:rsid w:val="00B83478"/>
    <w:rsid w:val="00B83537"/>
    <w:rsid w:val="00B83898"/>
    <w:rsid w:val="00B838EF"/>
    <w:rsid w:val="00B839F3"/>
    <w:rsid w:val="00B83A04"/>
    <w:rsid w:val="00B83B34"/>
    <w:rsid w:val="00B83B62"/>
    <w:rsid w:val="00B83C16"/>
    <w:rsid w:val="00B840E2"/>
    <w:rsid w:val="00B84110"/>
    <w:rsid w:val="00B84139"/>
    <w:rsid w:val="00B8418E"/>
    <w:rsid w:val="00B84201"/>
    <w:rsid w:val="00B84204"/>
    <w:rsid w:val="00B84210"/>
    <w:rsid w:val="00B8426A"/>
    <w:rsid w:val="00B84796"/>
    <w:rsid w:val="00B84801"/>
    <w:rsid w:val="00B84875"/>
    <w:rsid w:val="00B848B1"/>
    <w:rsid w:val="00B84A3B"/>
    <w:rsid w:val="00B84A43"/>
    <w:rsid w:val="00B84A65"/>
    <w:rsid w:val="00B84B04"/>
    <w:rsid w:val="00B84B0A"/>
    <w:rsid w:val="00B84B16"/>
    <w:rsid w:val="00B84B75"/>
    <w:rsid w:val="00B84BE8"/>
    <w:rsid w:val="00B84C14"/>
    <w:rsid w:val="00B84E06"/>
    <w:rsid w:val="00B85190"/>
    <w:rsid w:val="00B852B9"/>
    <w:rsid w:val="00B8535F"/>
    <w:rsid w:val="00B8560F"/>
    <w:rsid w:val="00B85673"/>
    <w:rsid w:val="00B85B53"/>
    <w:rsid w:val="00B85C41"/>
    <w:rsid w:val="00B86286"/>
    <w:rsid w:val="00B8636C"/>
    <w:rsid w:val="00B863A5"/>
    <w:rsid w:val="00B867C2"/>
    <w:rsid w:val="00B86B46"/>
    <w:rsid w:val="00B86DB8"/>
    <w:rsid w:val="00B86F17"/>
    <w:rsid w:val="00B86F38"/>
    <w:rsid w:val="00B87073"/>
    <w:rsid w:val="00B87158"/>
    <w:rsid w:val="00B871ED"/>
    <w:rsid w:val="00B8725F"/>
    <w:rsid w:val="00B872D1"/>
    <w:rsid w:val="00B873CE"/>
    <w:rsid w:val="00B8744B"/>
    <w:rsid w:val="00B874D1"/>
    <w:rsid w:val="00B874DA"/>
    <w:rsid w:val="00B87513"/>
    <w:rsid w:val="00B87558"/>
    <w:rsid w:val="00B87563"/>
    <w:rsid w:val="00B876C0"/>
    <w:rsid w:val="00B878CD"/>
    <w:rsid w:val="00B879B0"/>
    <w:rsid w:val="00B87A7C"/>
    <w:rsid w:val="00B87A8B"/>
    <w:rsid w:val="00B87B96"/>
    <w:rsid w:val="00B87DA4"/>
    <w:rsid w:val="00B87E32"/>
    <w:rsid w:val="00B87EF5"/>
    <w:rsid w:val="00B87FF6"/>
    <w:rsid w:val="00B901A2"/>
    <w:rsid w:val="00B901C3"/>
    <w:rsid w:val="00B901E7"/>
    <w:rsid w:val="00B902BC"/>
    <w:rsid w:val="00B90432"/>
    <w:rsid w:val="00B90673"/>
    <w:rsid w:val="00B90790"/>
    <w:rsid w:val="00B90792"/>
    <w:rsid w:val="00B90822"/>
    <w:rsid w:val="00B90A75"/>
    <w:rsid w:val="00B90B89"/>
    <w:rsid w:val="00B90B9A"/>
    <w:rsid w:val="00B90D7D"/>
    <w:rsid w:val="00B9103D"/>
    <w:rsid w:val="00B91166"/>
    <w:rsid w:val="00B91277"/>
    <w:rsid w:val="00B9130D"/>
    <w:rsid w:val="00B915D9"/>
    <w:rsid w:val="00B916B6"/>
    <w:rsid w:val="00B9172B"/>
    <w:rsid w:val="00B91765"/>
    <w:rsid w:val="00B917B9"/>
    <w:rsid w:val="00B91805"/>
    <w:rsid w:val="00B91828"/>
    <w:rsid w:val="00B91884"/>
    <w:rsid w:val="00B91913"/>
    <w:rsid w:val="00B91922"/>
    <w:rsid w:val="00B919E9"/>
    <w:rsid w:val="00B91A59"/>
    <w:rsid w:val="00B91AF0"/>
    <w:rsid w:val="00B91B3E"/>
    <w:rsid w:val="00B91BA5"/>
    <w:rsid w:val="00B91CB1"/>
    <w:rsid w:val="00B91D13"/>
    <w:rsid w:val="00B91ED2"/>
    <w:rsid w:val="00B9201C"/>
    <w:rsid w:val="00B92040"/>
    <w:rsid w:val="00B92082"/>
    <w:rsid w:val="00B92258"/>
    <w:rsid w:val="00B92366"/>
    <w:rsid w:val="00B9249B"/>
    <w:rsid w:val="00B92669"/>
    <w:rsid w:val="00B926C9"/>
    <w:rsid w:val="00B92704"/>
    <w:rsid w:val="00B92757"/>
    <w:rsid w:val="00B92762"/>
    <w:rsid w:val="00B92829"/>
    <w:rsid w:val="00B92A30"/>
    <w:rsid w:val="00B92A95"/>
    <w:rsid w:val="00B92BC9"/>
    <w:rsid w:val="00B92D04"/>
    <w:rsid w:val="00B92FAE"/>
    <w:rsid w:val="00B93130"/>
    <w:rsid w:val="00B93156"/>
    <w:rsid w:val="00B93232"/>
    <w:rsid w:val="00B9325B"/>
    <w:rsid w:val="00B932D7"/>
    <w:rsid w:val="00B932EC"/>
    <w:rsid w:val="00B934D4"/>
    <w:rsid w:val="00B935C4"/>
    <w:rsid w:val="00B9380C"/>
    <w:rsid w:val="00B9383B"/>
    <w:rsid w:val="00B938B6"/>
    <w:rsid w:val="00B939C0"/>
    <w:rsid w:val="00B93A96"/>
    <w:rsid w:val="00B93ABA"/>
    <w:rsid w:val="00B93B04"/>
    <w:rsid w:val="00B93BA0"/>
    <w:rsid w:val="00B93BCE"/>
    <w:rsid w:val="00B93C29"/>
    <w:rsid w:val="00B93CFC"/>
    <w:rsid w:val="00B93D9D"/>
    <w:rsid w:val="00B93E24"/>
    <w:rsid w:val="00B93F87"/>
    <w:rsid w:val="00B9407D"/>
    <w:rsid w:val="00B94108"/>
    <w:rsid w:val="00B94111"/>
    <w:rsid w:val="00B94123"/>
    <w:rsid w:val="00B943EA"/>
    <w:rsid w:val="00B94536"/>
    <w:rsid w:val="00B9453F"/>
    <w:rsid w:val="00B94545"/>
    <w:rsid w:val="00B945B9"/>
    <w:rsid w:val="00B9467A"/>
    <w:rsid w:val="00B947D0"/>
    <w:rsid w:val="00B948DB"/>
    <w:rsid w:val="00B94991"/>
    <w:rsid w:val="00B94AF6"/>
    <w:rsid w:val="00B94B58"/>
    <w:rsid w:val="00B94B60"/>
    <w:rsid w:val="00B94CA7"/>
    <w:rsid w:val="00B94CFB"/>
    <w:rsid w:val="00B94DA6"/>
    <w:rsid w:val="00B94DAE"/>
    <w:rsid w:val="00B94E0F"/>
    <w:rsid w:val="00B94EDC"/>
    <w:rsid w:val="00B94F43"/>
    <w:rsid w:val="00B95075"/>
    <w:rsid w:val="00B95130"/>
    <w:rsid w:val="00B95230"/>
    <w:rsid w:val="00B95232"/>
    <w:rsid w:val="00B95300"/>
    <w:rsid w:val="00B9536A"/>
    <w:rsid w:val="00B9536C"/>
    <w:rsid w:val="00B9565B"/>
    <w:rsid w:val="00B95951"/>
    <w:rsid w:val="00B959C6"/>
    <w:rsid w:val="00B95A67"/>
    <w:rsid w:val="00B95AA0"/>
    <w:rsid w:val="00B95B44"/>
    <w:rsid w:val="00B95DE6"/>
    <w:rsid w:val="00B95E05"/>
    <w:rsid w:val="00B95E81"/>
    <w:rsid w:val="00B95E99"/>
    <w:rsid w:val="00B95F90"/>
    <w:rsid w:val="00B95FCB"/>
    <w:rsid w:val="00B96157"/>
    <w:rsid w:val="00B9623D"/>
    <w:rsid w:val="00B963D6"/>
    <w:rsid w:val="00B96497"/>
    <w:rsid w:val="00B96511"/>
    <w:rsid w:val="00B96597"/>
    <w:rsid w:val="00B965C2"/>
    <w:rsid w:val="00B96639"/>
    <w:rsid w:val="00B96688"/>
    <w:rsid w:val="00B968FA"/>
    <w:rsid w:val="00B96925"/>
    <w:rsid w:val="00B969C6"/>
    <w:rsid w:val="00B96A95"/>
    <w:rsid w:val="00B96BCF"/>
    <w:rsid w:val="00B96C57"/>
    <w:rsid w:val="00B96F33"/>
    <w:rsid w:val="00B97168"/>
    <w:rsid w:val="00B97231"/>
    <w:rsid w:val="00B974C8"/>
    <w:rsid w:val="00B97584"/>
    <w:rsid w:val="00B97943"/>
    <w:rsid w:val="00B979A2"/>
    <w:rsid w:val="00B97BC0"/>
    <w:rsid w:val="00B97C06"/>
    <w:rsid w:val="00B97C97"/>
    <w:rsid w:val="00B97D21"/>
    <w:rsid w:val="00B97D22"/>
    <w:rsid w:val="00B97FD6"/>
    <w:rsid w:val="00B97FFE"/>
    <w:rsid w:val="00BA0331"/>
    <w:rsid w:val="00BA038F"/>
    <w:rsid w:val="00BA03EB"/>
    <w:rsid w:val="00BA0414"/>
    <w:rsid w:val="00BA047D"/>
    <w:rsid w:val="00BA049C"/>
    <w:rsid w:val="00BA063E"/>
    <w:rsid w:val="00BA0658"/>
    <w:rsid w:val="00BA0732"/>
    <w:rsid w:val="00BA0736"/>
    <w:rsid w:val="00BA0781"/>
    <w:rsid w:val="00BA0797"/>
    <w:rsid w:val="00BA07A9"/>
    <w:rsid w:val="00BA07BC"/>
    <w:rsid w:val="00BA07CF"/>
    <w:rsid w:val="00BA07D4"/>
    <w:rsid w:val="00BA0860"/>
    <w:rsid w:val="00BA0893"/>
    <w:rsid w:val="00BA09BD"/>
    <w:rsid w:val="00BA0AD8"/>
    <w:rsid w:val="00BA0B08"/>
    <w:rsid w:val="00BA0BD8"/>
    <w:rsid w:val="00BA0D88"/>
    <w:rsid w:val="00BA0E22"/>
    <w:rsid w:val="00BA0E3E"/>
    <w:rsid w:val="00BA0F8B"/>
    <w:rsid w:val="00BA1289"/>
    <w:rsid w:val="00BA13AB"/>
    <w:rsid w:val="00BA1445"/>
    <w:rsid w:val="00BA1446"/>
    <w:rsid w:val="00BA1458"/>
    <w:rsid w:val="00BA1472"/>
    <w:rsid w:val="00BA14A8"/>
    <w:rsid w:val="00BA15A7"/>
    <w:rsid w:val="00BA1672"/>
    <w:rsid w:val="00BA1750"/>
    <w:rsid w:val="00BA17C7"/>
    <w:rsid w:val="00BA1806"/>
    <w:rsid w:val="00BA1A4A"/>
    <w:rsid w:val="00BA1A7D"/>
    <w:rsid w:val="00BA1AE1"/>
    <w:rsid w:val="00BA1BE5"/>
    <w:rsid w:val="00BA1DAF"/>
    <w:rsid w:val="00BA1E35"/>
    <w:rsid w:val="00BA1FFB"/>
    <w:rsid w:val="00BA1FFD"/>
    <w:rsid w:val="00BA2007"/>
    <w:rsid w:val="00BA209A"/>
    <w:rsid w:val="00BA20B2"/>
    <w:rsid w:val="00BA24CE"/>
    <w:rsid w:val="00BA2759"/>
    <w:rsid w:val="00BA27D4"/>
    <w:rsid w:val="00BA2B38"/>
    <w:rsid w:val="00BA2B3F"/>
    <w:rsid w:val="00BA2B9D"/>
    <w:rsid w:val="00BA2DB2"/>
    <w:rsid w:val="00BA2F42"/>
    <w:rsid w:val="00BA2FF0"/>
    <w:rsid w:val="00BA3014"/>
    <w:rsid w:val="00BA3080"/>
    <w:rsid w:val="00BA311A"/>
    <w:rsid w:val="00BA3198"/>
    <w:rsid w:val="00BA3300"/>
    <w:rsid w:val="00BA3553"/>
    <w:rsid w:val="00BA3588"/>
    <w:rsid w:val="00BA35B1"/>
    <w:rsid w:val="00BA36AB"/>
    <w:rsid w:val="00BA3704"/>
    <w:rsid w:val="00BA3776"/>
    <w:rsid w:val="00BA3ACB"/>
    <w:rsid w:val="00BA3B10"/>
    <w:rsid w:val="00BA3CF9"/>
    <w:rsid w:val="00BA3EBB"/>
    <w:rsid w:val="00BA3FA2"/>
    <w:rsid w:val="00BA4189"/>
    <w:rsid w:val="00BA41D6"/>
    <w:rsid w:val="00BA4296"/>
    <w:rsid w:val="00BA42DE"/>
    <w:rsid w:val="00BA42ED"/>
    <w:rsid w:val="00BA430D"/>
    <w:rsid w:val="00BA43B0"/>
    <w:rsid w:val="00BA4400"/>
    <w:rsid w:val="00BA449F"/>
    <w:rsid w:val="00BA4650"/>
    <w:rsid w:val="00BA47C4"/>
    <w:rsid w:val="00BA485F"/>
    <w:rsid w:val="00BA497E"/>
    <w:rsid w:val="00BA4A5F"/>
    <w:rsid w:val="00BA4D42"/>
    <w:rsid w:val="00BA4DD0"/>
    <w:rsid w:val="00BA4E23"/>
    <w:rsid w:val="00BA4E41"/>
    <w:rsid w:val="00BA4E45"/>
    <w:rsid w:val="00BA4E55"/>
    <w:rsid w:val="00BA4ED2"/>
    <w:rsid w:val="00BA4F09"/>
    <w:rsid w:val="00BA5040"/>
    <w:rsid w:val="00BA50A7"/>
    <w:rsid w:val="00BA50D8"/>
    <w:rsid w:val="00BA5335"/>
    <w:rsid w:val="00BA5338"/>
    <w:rsid w:val="00BA53E3"/>
    <w:rsid w:val="00BA543F"/>
    <w:rsid w:val="00BA54A8"/>
    <w:rsid w:val="00BA56D1"/>
    <w:rsid w:val="00BA5772"/>
    <w:rsid w:val="00BA58A0"/>
    <w:rsid w:val="00BA59C9"/>
    <w:rsid w:val="00BA59FB"/>
    <w:rsid w:val="00BA5B67"/>
    <w:rsid w:val="00BA5B79"/>
    <w:rsid w:val="00BA5C18"/>
    <w:rsid w:val="00BA5D34"/>
    <w:rsid w:val="00BA5E91"/>
    <w:rsid w:val="00BA5F40"/>
    <w:rsid w:val="00BA6009"/>
    <w:rsid w:val="00BA61C5"/>
    <w:rsid w:val="00BA61E7"/>
    <w:rsid w:val="00BA6209"/>
    <w:rsid w:val="00BA6233"/>
    <w:rsid w:val="00BA62F6"/>
    <w:rsid w:val="00BA636B"/>
    <w:rsid w:val="00BA637F"/>
    <w:rsid w:val="00BA653C"/>
    <w:rsid w:val="00BA65D1"/>
    <w:rsid w:val="00BA677B"/>
    <w:rsid w:val="00BA68BE"/>
    <w:rsid w:val="00BA69DB"/>
    <w:rsid w:val="00BA6AE1"/>
    <w:rsid w:val="00BA6C4F"/>
    <w:rsid w:val="00BA6F1D"/>
    <w:rsid w:val="00BA701A"/>
    <w:rsid w:val="00BA7069"/>
    <w:rsid w:val="00BA733B"/>
    <w:rsid w:val="00BA73E0"/>
    <w:rsid w:val="00BA7505"/>
    <w:rsid w:val="00BA7567"/>
    <w:rsid w:val="00BA77C1"/>
    <w:rsid w:val="00BA77C3"/>
    <w:rsid w:val="00BA7895"/>
    <w:rsid w:val="00BA7A3F"/>
    <w:rsid w:val="00BA7AB7"/>
    <w:rsid w:val="00BA7B12"/>
    <w:rsid w:val="00BA7BEC"/>
    <w:rsid w:val="00BA7CB7"/>
    <w:rsid w:val="00BB001C"/>
    <w:rsid w:val="00BB0073"/>
    <w:rsid w:val="00BB00AB"/>
    <w:rsid w:val="00BB0123"/>
    <w:rsid w:val="00BB0268"/>
    <w:rsid w:val="00BB02A1"/>
    <w:rsid w:val="00BB02B9"/>
    <w:rsid w:val="00BB032A"/>
    <w:rsid w:val="00BB03A2"/>
    <w:rsid w:val="00BB0423"/>
    <w:rsid w:val="00BB05A3"/>
    <w:rsid w:val="00BB068C"/>
    <w:rsid w:val="00BB074F"/>
    <w:rsid w:val="00BB088A"/>
    <w:rsid w:val="00BB0942"/>
    <w:rsid w:val="00BB0A31"/>
    <w:rsid w:val="00BB0C7A"/>
    <w:rsid w:val="00BB0D2A"/>
    <w:rsid w:val="00BB0D42"/>
    <w:rsid w:val="00BB0E20"/>
    <w:rsid w:val="00BB0E32"/>
    <w:rsid w:val="00BB0F61"/>
    <w:rsid w:val="00BB10EC"/>
    <w:rsid w:val="00BB1434"/>
    <w:rsid w:val="00BB14A3"/>
    <w:rsid w:val="00BB16D3"/>
    <w:rsid w:val="00BB177F"/>
    <w:rsid w:val="00BB17A8"/>
    <w:rsid w:val="00BB1BCC"/>
    <w:rsid w:val="00BB1C00"/>
    <w:rsid w:val="00BB1C41"/>
    <w:rsid w:val="00BB1D07"/>
    <w:rsid w:val="00BB1D14"/>
    <w:rsid w:val="00BB1D85"/>
    <w:rsid w:val="00BB1F85"/>
    <w:rsid w:val="00BB2108"/>
    <w:rsid w:val="00BB21A8"/>
    <w:rsid w:val="00BB2212"/>
    <w:rsid w:val="00BB22DF"/>
    <w:rsid w:val="00BB23D2"/>
    <w:rsid w:val="00BB25CC"/>
    <w:rsid w:val="00BB2661"/>
    <w:rsid w:val="00BB26A4"/>
    <w:rsid w:val="00BB2885"/>
    <w:rsid w:val="00BB28A8"/>
    <w:rsid w:val="00BB2A66"/>
    <w:rsid w:val="00BB2B42"/>
    <w:rsid w:val="00BB2D7E"/>
    <w:rsid w:val="00BB2E8C"/>
    <w:rsid w:val="00BB2FBD"/>
    <w:rsid w:val="00BB3120"/>
    <w:rsid w:val="00BB3188"/>
    <w:rsid w:val="00BB3318"/>
    <w:rsid w:val="00BB357E"/>
    <w:rsid w:val="00BB35FD"/>
    <w:rsid w:val="00BB381A"/>
    <w:rsid w:val="00BB3A7B"/>
    <w:rsid w:val="00BB3C5C"/>
    <w:rsid w:val="00BB3C71"/>
    <w:rsid w:val="00BB3CA8"/>
    <w:rsid w:val="00BB3CB6"/>
    <w:rsid w:val="00BB3D96"/>
    <w:rsid w:val="00BB3F65"/>
    <w:rsid w:val="00BB423E"/>
    <w:rsid w:val="00BB42EF"/>
    <w:rsid w:val="00BB43AA"/>
    <w:rsid w:val="00BB4463"/>
    <w:rsid w:val="00BB4477"/>
    <w:rsid w:val="00BB45E1"/>
    <w:rsid w:val="00BB4712"/>
    <w:rsid w:val="00BB4758"/>
    <w:rsid w:val="00BB48F0"/>
    <w:rsid w:val="00BB4990"/>
    <w:rsid w:val="00BB49B1"/>
    <w:rsid w:val="00BB4B08"/>
    <w:rsid w:val="00BB4B58"/>
    <w:rsid w:val="00BB4C41"/>
    <w:rsid w:val="00BB4C7F"/>
    <w:rsid w:val="00BB4D52"/>
    <w:rsid w:val="00BB4DDA"/>
    <w:rsid w:val="00BB4E52"/>
    <w:rsid w:val="00BB4F3A"/>
    <w:rsid w:val="00BB4F4C"/>
    <w:rsid w:val="00BB523E"/>
    <w:rsid w:val="00BB528A"/>
    <w:rsid w:val="00BB531E"/>
    <w:rsid w:val="00BB5418"/>
    <w:rsid w:val="00BB562B"/>
    <w:rsid w:val="00BB5645"/>
    <w:rsid w:val="00BB59A2"/>
    <w:rsid w:val="00BB59DC"/>
    <w:rsid w:val="00BB5BA0"/>
    <w:rsid w:val="00BB5BC3"/>
    <w:rsid w:val="00BB5C45"/>
    <w:rsid w:val="00BB5D38"/>
    <w:rsid w:val="00BB5EF8"/>
    <w:rsid w:val="00BB6138"/>
    <w:rsid w:val="00BB61E9"/>
    <w:rsid w:val="00BB6384"/>
    <w:rsid w:val="00BB648A"/>
    <w:rsid w:val="00BB64AF"/>
    <w:rsid w:val="00BB65B0"/>
    <w:rsid w:val="00BB66D3"/>
    <w:rsid w:val="00BB67C7"/>
    <w:rsid w:val="00BB6806"/>
    <w:rsid w:val="00BB6844"/>
    <w:rsid w:val="00BB69C2"/>
    <w:rsid w:val="00BB6B1B"/>
    <w:rsid w:val="00BB6BB4"/>
    <w:rsid w:val="00BB6D73"/>
    <w:rsid w:val="00BB6E75"/>
    <w:rsid w:val="00BB6EBC"/>
    <w:rsid w:val="00BB6F9A"/>
    <w:rsid w:val="00BB6FC0"/>
    <w:rsid w:val="00BB7005"/>
    <w:rsid w:val="00BB7157"/>
    <w:rsid w:val="00BB7160"/>
    <w:rsid w:val="00BB740E"/>
    <w:rsid w:val="00BB7625"/>
    <w:rsid w:val="00BB7635"/>
    <w:rsid w:val="00BB76E9"/>
    <w:rsid w:val="00BB776B"/>
    <w:rsid w:val="00BB77F7"/>
    <w:rsid w:val="00BB79BF"/>
    <w:rsid w:val="00BB7A6F"/>
    <w:rsid w:val="00BB7BC4"/>
    <w:rsid w:val="00BB7CBE"/>
    <w:rsid w:val="00BB7DF6"/>
    <w:rsid w:val="00BB7E0B"/>
    <w:rsid w:val="00BC001A"/>
    <w:rsid w:val="00BC0034"/>
    <w:rsid w:val="00BC0045"/>
    <w:rsid w:val="00BC0169"/>
    <w:rsid w:val="00BC04F8"/>
    <w:rsid w:val="00BC0529"/>
    <w:rsid w:val="00BC052E"/>
    <w:rsid w:val="00BC05A3"/>
    <w:rsid w:val="00BC06CE"/>
    <w:rsid w:val="00BC082B"/>
    <w:rsid w:val="00BC0902"/>
    <w:rsid w:val="00BC0CB6"/>
    <w:rsid w:val="00BC0CD5"/>
    <w:rsid w:val="00BC0DAF"/>
    <w:rsid w:val="00BC1018"/>
    <w:rsid w:val="00BC119F"/>
    <w:rsid w:val="00BC13EB"/>
    <w:rsid w:val="00BC141A"/>
    <w:rsid w:val="00BC145E"/>
    <w:rsid w:val="00BC146E"/>
    <w:rsid w:val="00BC1552"/>
    <w:rsid w:val="00BC15BC"/>
    <w:rsid w:val="00BC15DE"/>
    <w:rsid w:val="00BC1632"/>
    <w:rsid w:val="00BC1699"/>
    <w:rsid w:val="00BC17C8"/>
    <w:rsid w:val="00BC17EB"/>
    <w:rsid w:val="00BC1855"/>
    <w:rsid w:val="00BC18EB"/>
    <w:rsid w:val="00BC195D"/>
    <w:rsid w:val="00BC1A52"/>
    <w:rsid w:val="00BC1B1B"/>
    <w:rsid w:val="00BC1B7C"/>
    <w:rsid w:val="00BC1D45"/>
    <w:rsid w:val="00BC1D5C"/>
    <w:rsid w:val="00BC1E9E"/>
    <w:rsid w:val="00BC1F2B"/>
    <w:rsid w:val="00BC2074"/>
    <w:rsid w:val="00BC222B"/>
    <w:rsid w:val="00BC24E2"/>
    <w:rsid w:val="00BC2577"/>
    <w:rsid w:val="00BC2677"/>
    <w:rsid w:val="00BC275E"/>
    <w:rsid w:val="00BC284F"/>
    <w:rsid w:val="00BC28B2"/>
    <w:rsid w:val="00BC29F7"/>
    <w:rsid w:val="00BC2A2E"/>
    <w:rsid w:val="00BC2AFC"/>
    <w:rsid w:val="00BC2BAB"/>
    <w:rsid w:val="00BC2D39"/>
    <w:rsid w:val="00BC2D91"/>
    <w:rsid w:val="00BC2E0A"/>
    <w:rsid w:val="00BC2E0B"/>
    <w:rsid w:val="00BC2E21"/>
    <w:rsid w:val="00BC2E72"/>
    <w:rsid w:val="00BC2E79"/>
    <w:rsid w:val="00BC3064"/>
    <w:rsid w:val="00BC3133"/>
    <w:rsid w:val="00BC33CB"/>
    <w:rsid w:val="00BC369C"/>
    <w:rsid w:val="00BC37EE"/>
    <w:rsid w:val="00BC384D"/>
    <w:rsid w:val="00BC385D"/>
    <w:rsid w:val="00BC39A0"/>
    <w:rsid w:val="00BC39B0"/>
    <w:rsid w:val="00BC39F7"/>
    <w:rsid w:val="00BC3A97"/>
    <w:rsid w:val="00BC3AAF"/>
    <w:rsid w:val="00BC3B4F"/>
    <w:rsid w:val="00BC3C70"/>
    <w:rsid w:val="00BC3FA6"/>
    <w:rsid w:val="00BC407E"/>
    <w:rsid w:val="00BC4204"/>
    <w:rsid w:val="00BC422E"/>
    <w:rsid w:val="00BC4299"/>
    <w:rsid w:val="00BC4358"/>
    <w:rsid w:val="00BC439B"/>
    <w:rsid w:val="00BC4468"/>
    <w:rsid w:val="00BC4591"/>
    <w:rsid w:val="00BC45D1"/>
    <w:rsid w:val="00BC46BB"/>
    <w:rsid w:val="00BC46FE"/>
    <w:rsid w:val="00BC4972"/>
    <w:rsid w:val="00BC4987"/>
    <w:rsid w:val="00BC49F0"/>
    <w:rsid w:val="00BC4D02"/>
    <w:rsid w:val="00BC4D2A"/>
    <w:rsid w:val="00BC4D87"/>
    <w:rsid w:val="00BC4DB9"/>
    <w:rsid w:val="00BC4DCC"/>
    <w:rsid w:val="00BC4E65"/>
    <w:rsid w:val="00BC4F41"/>
    <w:rsid w:val="00BC4F76"/>
    <w:rsid w:val="00BC4FAD"/>
    <w:rsid w:val="00BC5396"/>
    <w:rsid w:val="00BC54B9"/>
    <w:rsid w:val="00BC5571"/>
    <w:rsid w:val="00BC55C3"/>
    <w:rsid w:val="00BC56B7"/>
    <w:rsid w:val="00BC5708"/>
    <w:rsid w:val="00BC57A3"/>
    <w:rsid w:val="00BC58B0"/>
    <w:rsid w:val="00BC58C6"/>
    <w:rsid w:val="00BC58FC"/>
    <w:rsid w:val="00BC5A14"/>
    <w:rsid w:val="00BC61B0"/>
    <w:rsid w:val="00BC6594"/>
    <w:rsid w:val="00BC662E"/>
    <w:rsid w:val="00BC664E"/>
    <w:rsid w:val="00BC6897"/>
    <w:rsid w:val="00BC6A7A"/>
    <w:rsid w:val="00BC6B37"/>
    <w:rsid w:val="00BC6BFC"/>
    <w:rsid w:val="00BC6C6F"/>
    <w:rsid w:val="00BC6CEB"/>
    <w:rsid w:val="00BC6D08"/>
    <w:rsid w:val="00BC7077"/>
    <w:rsid w:val="00BC72B7"/>
    <w:rsid w:val="00BC7464"/>
    <w:rsid w:val="00BC74D9"/>
    <w:rsid w:val="00BC7503"/>
    <w:rsid w:val="00BC75FC"/>
    <w:rsid w:val="00BC7687"/>
    <w:rsid w:val="00BC778F"/>
    <w:rsid w:val="00BC7938"/>
    <w:rsid w:val="00BC7A1D"/>
    <w:rsid w:val="00BC7A4C"/>
    <w:rsid w:val="00BC7AC5"/>
    <w:rsid w:val="00BC7B21"/>
    <w:rsid w:val="00BC7BB8"/>
    <w:rsid w:val="00BC7BE6"/>
    <w:rsid w:val="00BC7BEB"/>
    <w:rsid w:val="00BC7CE4"/>
    <w:rsid w:val="00BC7CF3"/>
    <w:rsid w:val="00BC7D8A"/>
    <w:rsid w:val="00BD0084"/>
    <w:rsid w:val="00BD0177"/>
    <w:rsid w:val="00BD0361"/>
    <w:rsid w:val="00BD05E0"/>
    <w:rsid w:val="00BD06C0"/>
    <w:rsid w:val="00BD075F"/>
    <w:rsid w:val="00BD07ED"/>
    <w:rsid w:val="00BD0804"/>
    <w:rsid w:val="00BD0A95"/>
    <w:rsid w:val="00BD0CF5"/>
    <w:rsid w:val="00BD0DCD"/>
    <w:rsid w:val="00BD0E6B"/>
    <w:rsid w:val="00BD107C"/>
    <w:rsid w:val="00BD10DF"/>
    <w:rsid w:val="00BD10FD"/>
    <w:rsid w:val="00BD116E"/>
    <w:rsid w:val="00BD125B"/>
    <w:rsid w:val="00BD1275"/>
    <w:rsid w:val="00BD13C9"/>
    <w:rsid w:val="00BD14E8"/>
    <w:rsid w:val="00BD1561"/>
    <w:rsid w:val="00BD16A0"/>
    <w:rsid w:val="00BD1916"/>
    <w:rsid w:val="00BD1A2E"/>
    <w:rsid w:val="00BD1B7A"/>
    <w:rsid w:val="00BD1B8D"/>
    <w:rsid w:val="00BD1E3F"/>
    <w:rsid w:val="00BD1EFB"/>
    <w:rsid w:val="00BD200E"/>
    <w:rsid w:val="00BD202B"/>
    <w:rsid w:val="00BD2217"/>
    <w:rsid w:val="00BD2271"/>
    <w:rsid w:val="00BD22FF"/>
    <w:rsid w:val="00BD252F"/>
    <w:rsid w:val="00BD26D5"/>
    <w:rsid w:val="00BD2779"/>
    <w:rsid w:val="00BD277B"/>
    <w:rsid w:val="00BD2792"/>
    <w:rsid w:val="00BD281D"/>
    <w:rsid w:val="00BD2AAF"/>
    <w:rsid w:val="00BD2C50"/>
    <w:rsid w:val="00BD2C83"/>
    <w:rsid w:val="00BD2D81"/>
    <w:rsid w:val="00BD2D96"/>
    <w:rsid w:val="00BD2F97"/>
    <w:rsid w:val="00BD2FAE"/>
    <w:rsid w:val="00BD30E9"/>
    <w:rsid w:val="00BD3190"/>
    <w:rsid w:val="00BD325B"/>
    <w:rsid w:val="00BD327B"/>
    <w:rsid w:val="00BD33D4"/>
    <w:rsid w:val="00BD3444"/>
    <w:rsid w:val="00BD3695"/>
    <w:rsid w:val="00BD3789"/>
    <w:rsid w:val="00BD38AA"/>
    <w:rsid w:val="00BD3903"/>
    <w:rsid w:val="00BD393A"/>
    <w:rsid w:val="00BD3A23"/>
    <w:rsid w:val="00BD3B64"/>
    <w:rsid w:val="00BD3BB0"/>
    <w:rsid w:val="00BD3C01"/>
    <w:rsid w:val="00BD3E47"/>
    <w:rsid w:val="00BD3E69"/>
    <w:rsid w:val="00BD3E70"/>
    <w:rsid w:val="00BD3FDC"/>
    <w:rsid w:val="00BD4023"/>
    <w:rsid w:val="00BD408A"/>
    <w:rsid w:val="00BD40B1"/>
    <w:rsid w:val="00BD415F"/>
    <w:rsid w:val="00BD4172"/>
    <w:rsid w:val="00BD41D9"/>
    <w:rsid w:val="00BD41ED"/>
    <w:rsid w:val="00BD434D"/>
    <w:rsid w:val="00BD4637"/>
    <w:rsid w:val="00BD47C2"/>
    <w:rsid w:val="00BD48ED"/>
    <w:rsid w:val="00BD4A55"/>
    <w:rsid w:val="00BD4B89"/>
    <w:rsid w:val="00BD4C43"/>
    <w:rsid w:val="00BD4C8A"/>
    <w:rsid w:val="00BD4D7B"/>
    <w:rsid w:val="00BD4DD6"/>
    <w:rsid w:val="00BD4E25"/>
    <w:rsid w:val="00BD4F51"/>
    <w:rsid w:val="00BD4FAC"/>
    <w:rsid w:val="00BD4FD2"/>
    <w:rsid w:val="00BD5055"/>
    <w:rsid w:val="00BD508C"/>
    <w:rsid w:val="00BD5221"/>
    <w:rsid w:val="00BD5380"/>
    <w:rsid w:val="00BD5475"/>
    <w:rsid w:val="00BD566D"/>
    <w:rsid w:val="00BD56AD"/>
    <w:rsid w:val="00BD599F"/>
    <w:rsid w:val="00BD5C65"/>
    <w:rsid w:val="00BD5CD4"/>
    <w:rsid w:val="00BD5E0A"/>
    <w:rsid w:val="00BD5E78"/>
    <w:rsid w:val="00BD5F65"/>
    <w:rsid w:val="00BD6042"/>
    <w:rsid w:val="00BD61D2"/>
    <w:rsid w:val="00BD61DB"/>
    <w:rsid w:val="00BD62F1"/>
    <w:rsid w:val="00BD6346"/>
    <w:rsid w:val="00BD63E8"/>
    <w:rsid w:val="00BD660E"/>
    <w:rsid w:val="00BD667B"/>
    <w:rsid w:val="00BD6748"/>
    <w:rsid w:val="00BD6784"/>
    <w:rsid w:val="00BD69A6"/>
    <w:rsid w:val="00BD6A89"/>
    <w:rsid w:val="00BD6BB6"/>
    <w:rsid w:val="00BD6DD7"/>
    <w:rsid w:val="00BD6E59"/>
    <w:rsid w:val="00BD6ED8"/>
    <w:rsid w:val="00BD7027"/>
    <w:rsid w:val="00BD722E"/>
    <w:rsid w:val="00BD7375"/>
    <w:rsid w:val="00BD75DA"/>
    <w:rsid w:val="00BD76C4"/>
    <w:rsid w:val="00BD79A4"/>
    <w:rsid w:val="00BD7AA3"/>
    <w:rsid w:val="00BD7BE6"/>
    <w:rsid w:val="00BD7EFF"/>
    <w:rsid w:val="00BE0200"/>
    <w:rsid w:val="00BE03F1"/>
    <w:rsid w:val="00BE055B"/>
    <w:rsid w:val="00BE0696"/>
    <w:rsid w:val="00BE06F1"/>
    <w:rsid w:val="00BE0732"/>
    <w:rsid w:val="00BE0A36"/>
    <w:rsid w:val="00BE0F2E"/>
    <w:rsid w:val="00BE0FB1"/>
    <w:rsid w:val="00BE0FE1"/>
    <w:rsid w:val="00BE12B6"/>
    <w:rsid w:val="00BE12C5"/>
    <w:rsid w:val="00BE1308"/>
    <w:rsid w:val="00BE161C"/>
    <w:rsid w:val="00BE1727"/>
    <w:rsid w:val="00BE1898"/>
    <w:rsid w:val="00BE189C"/>
    <w:rsid w:val="00BE1B86"/>
    <w:rsid w:val="00BE1BFA"/>
    <w:rsid w:val="00BE1CD2"/>
    <w:rsid w:val="00BE1D90"/>
    <w:rsid w:val="00BE1E7C"/>
    <w:rsid w:val="00BE1E80"/>
    <w:rsid w:val="00BE1EF8"/>
    <w:rsid w:val="00BE1FDD"/>
    <w:rsid w:val="00BE211C"/>
    <w:rsid w:val="00BE2287"/>
    <w:rsid w:val="00BE2333"/>
    <w:rsid w:val="00BE23DA"/>
    <w:rsid w:val="00BE247F"/>
    <w:rsid w:val="00BE2482"/>
    <w:rsid w:val="00BE25B7"/>
    <w:rsid w:val="00BE261B"/>
    <w:rsid w:val="00BE2680"/>
    <w:rsid w:val="00BE26E6"/>
    <w:rsid w:val="00BE2761"/>
    <w:rsid w:val="00BE28D1"/>
    <w:rsid w:val="00BE28F9"/>
    <w:rsid w:val="00BE28FB"/>
    <w:rsid w:val="00BE2925"/>
    <w:rsid w:val="00BE2AB5"/>
    <w:rsid w:val="00BE2B04"/>
    <w:rsid w:val="00BE2B4A"/>
    <w:rsid w:val="00BE2B51"/>
    <w:rsid w:val="00BE2C0C"/>
    <w:rsid w:val="00BE2C25"/>
    <w:rsid w:val="00BE2CB1"/>
    <w:rsid w:val="00BE2D1C"/>
    <w:rsid w:val="00BE2E36"/>
    <w:rsid w:val="00BE31D6"/>
    <w:rsid w:val="00BE31D9"/>
    <w:rsid w:val="00BE3287"/>
    <w:rsid w:val="00BE329E"/>
    <w:rsid w:val="00BE3460"/>
    <w:rsid w:val="00BE36CB"/>
    <w:rsid w:val="00BE370C"/>
    <w:rsid w:val="00BE375B"/>
    <w:rsid w:val="00BE37C0"/>
    <w:rsid w:val="00BE3873"/>
    <w:rsid w:val="00BE3971"/>
    <w:rsid w:val="00BE3987"/>
    <w:rsid w:val="00BE39A5"/>
    <w:rsid w:val="00BE39B1"/>
    <w:rsid w:val="00BE39E9"/>
    <w:rsid w:val="00BE3B74"/>
    <w:rsid w:val="00BE3B97"/>
    <w:rsid w:val="00BE3D8F"/>
    <w:rsid w:val="00BE3DB2"/>
    <w:rsid w:val="00BE3DF6"/>
    <w:rsid w:val="00BE3F9D"/>
    <w:rsid w:val="00BE40D4"/>
    <w:rsid w:val="00BE443F"/>
    <w:rsid w:val="00BE4654"/>
    <w:rsid w:val="00BE470D"/>
    <w:rsid w:val="00BE47BF"/>
    <w:rsid w:val="00BE47E1"/>
    <w:rsid w:val="00BE48B3"/>
    <w:rsid w:val="00BE497A"/>
    <w:rsid w:val="00BE49CB"/>
    <w:rsid w:val="00BE4BEF"/>
    <w:rsid w:val="00BE4EA0"/>
    <w:rsid w:val="00BE4F1C"/>
    <w:rsid w:val="00BE4FC8"/>
    <w:rsid w:val="00BE504A"/>
    <w:rsid w:val="00BE50B4"/>
    <w:rsid w:val="00BE5122"/>
    <w:rsid w:val="00BE5208"/>
    <w:rsid w:val="00BE5243"/>
    <w:rsid w:val="00BE52E2"/>
    <w:rsid w:val="00BE5350"/>
    <w:rsid w:val="00BE5374"/>
    <w:rsid w:val="00BE53A4"/>
    <w:rsid w:val="00BE53F1"/>
    <w:rsid w:val="00BE5580"/>
    <w:rsid w:val="00BE55F9"/>
    <w:rsid w:val="00BE5749"/>
    <w:rsid w:val="00BE57BD"/>
    <w:rsid w:val="00BE58DA"/>
    <w:rsid w:val="00BE58DC"/>
    <w:rsid w:val="00BE58E1"/>
    <w:rsid w:val="00BE599F"/>
    <w:rsid w:val="00BE59A9"/>
    <w:rsid w:val="00BE5B57"/>
    <w:rsid w:val="00BE5C9C"/>
    <w:rsid w:val="00BE5CE7"/>
    <w:rsid w:val="00BE5D6B"/>
    <w:rsid w:val="00BE5E4D"/>
    <w:rsid w:val="00BE603F"/>
    <w:rsid w:val="00BE627A"/>
    <w:rsid w:val="00BE63B7"/>
    <w:rsid w:val="00BE63C7"/>
    <w:rsid w:val="00BE64E3"/>
    <w:rsid w:val="00BE6787"/>
    <w:rsid w:val="00BE6912"/>
    <w:rsid w:val="00BE693A"/>
    <w:rsid w:val="00BE697B"/>
    <w:rsid w:val="00BE69AB"/>
    <w:rsid w:val="00BE69BA"/>
    <w:rsid w:val="00BE6A84"/>
    <w:rsid w:val="00BE6AC0"/>
    <w:rsid w:val="00BE6CE8"/>
    <w:rsid w:val="00BE6F39"/>
    <w:rsid w:val="00BE6FB4"/>
    <w:rsid w:val="00BE704E"/>
    <w:rsid w:val="00BE7064"/>
    <w:rsid w:val="00BE7065"/>
    <w:rsid w:val="00BE7078"/>
    <w:rsid w:val="00BE71B0"/>
    <w:rsid w:val="00BE7249"/>
    <w:rsid w:val="00BE75F3"/>
    <w:rsid w:val="00BE75FB"/>
    <w:rsid w:val="00BE769A"/>
    <w:rsid w:val="00BE7A2A"/>
    <w:rsid w:val="00BE7BA1"/>
    <w:rsid w:val="00BE7C11"/>
    <w:rsid w:val="00BE7D94"/>
    <w:rsid w:val="00BE7ECF"/>
    <w:rsid w:val="00BE7F53"/>
    <w:rsid w:val="00BE7FBA"/>
    <w:rsid w:val="00BF0050"/>
    <w:rsid w:val="00BF013A"/>
    <w:rsid w:val="00BF01E6"/>
    <w:rsid w:val="00BF02C8"/>
    <w:rsid w:val="00BF03CB"/>
    <w:rsid w:val="00BF0404"/>
    <w:rsid w:val="00BF0422"/>
    <w:rsid w:val="00BF057B"/>
    <w:rsid w:val="00BF0634"/>
    <w:rsid w:val="00BF0640"/>
    <w:rsid w:val="00BF074F"/>
    <w:rsid w:val="00BF07ED"/>
    <w:rsid w:val="00BF0808"/>
    <w:rsid w:val="00BF080F"/>
    <w:rsid w:val="00BF0817"/>
    <w:rsid w:val="00BF0ADD"/>
    <w:rsid w:val="00BF0DD7"/>
    <w:rsid w:val="00BF0E05"/>
    <w:rsid w:val="00BF1190"/>
    <w:rsid w:val="00BF1318"/>
    <w:rsid w:val="00BF16BD"/>
    <w:rsid w:val="00BF16BF"/>
    <w:rsid w:val="00BF16D3"/>
    <w:rsid w:val="00BF1705"/>
    <w:rsid w:val="00BF1832"/>
    <w:rsid w:val="00BF1870"/>
    <w:rsid w:val="00BF1905"/>
    <w:rsid w:val="00BF190D"/>
    <w:rsid w:val="00BF1AD4"/>
    <w:rsid w:val="00BF1AD7"/>
    <w:rsid w:val="00BF1C9F"/>
    <w:rsid w:val="00BF1CB6"/>
    <w:rsid w:val="00BF1F88"/>
    <w:rsid w:val="00BF2056"/>
    <w:rsid w:val="00BF22A9"/>
    <w:rsid w:val="00BF238F"/>
    <w:rsid w:val="00BF2488"/>
    <w:rsid w:val="00BF269E"/>
    <w:rsid w:val="00BF27EB"/>
    <w:rsid w:val="00BF2951"/>
    <w:rsid w:val="00BF2A20"/>
    <w:rsid w:val="00BF2A32"/>
    <w:rsid w:val="00BF2AF4"/>
    <w:rsid w:val="00BF2B31"/>
    <w:rsid w:val="00BF2BE9"/>
    <w:rsid w:val="00BF2C26"/>
    <w:rsid w:val="00BF2C93"/>
    <w:rsid w:val="00BF2E4F"/>
    <w:rsid w:val="00BF2FD4"/>
    <w:rsid w:val="00BF30DD"/>
    <w:rsid w:val="00BF313C"/>
    <w:rsid w:val="00BF328A"/>
    <w:rsid w:val="00BF33D1"/>
    <w:rsid w:val="00BF34BE"/>
    <w:rsid w:val="00BF34EC"/>
    <w:rsid w:val="00BF352D"/>
    <w:rsid w:val="00BF3559"/>
    <w:rsid w:val="00BF35EE"/>
    <w:rsid w:val="00BF3755"/>
    <w:rsid w:val="00BF37F5"/>
    <w:rsid w:val="00BF3B1D"/>
    <w:rsid w:val="00BF3E23"/>
    <w:rsid w:val="00BF3E87"/>
    <w:rsid w:val="00BF3EE4"/>
    <w:rsid w:val="00BF42E1"/>
    <w:rsid w:val="00BF43DC"/>
    <w:rsid w:val="00BF4498"/>
    <w:rsid w:val="00BF4585"/>
    <w:rsid w:val="00BF45DD"/>
    <w:rsid w:val="00BF4675"/>
    <w:rsid w:val="00BF4892"/>
    <w:rsid w:val="00BF4923"/>
    <w:rsid w:val="00BF4A8F"/>
    <w:rsid w:val="00BF4BB0"/>
    <w:rsid w:val="00BF4C14"/>
    <w:rsid w:val="00BF4D0E"/>
    <w:rsid w:val="00BF4DAA"/>
    <w:rsid w:val="00BF4F4F"/>
    <w:rsid w:val="00BF51A8"/>
    <w:rsid w:val="00BF5350"/>
    <w:rsid w:val="00BF555E"/>
    <w:rsid w:val="00BF56E3"/>
    <w:rsid w:val="00BF5773"/>
    <w:rsid w:val="00BF5929"/>
    <w:rsid w:val="00BF5A97"/>
    <w:rsid w:val="00BF5B0F"/>
    <w:rsid w:val="00BF5F73"/>
    <w:rsid w:val="00BF608C"/>
    <w:rsid w:val="00BF6402"/>
    <w:rsid w:val="00BF670C"/>
    <w:rsid w:val="00BF671A"/>
    <w:rsid w:val="00BF6721"/>
    <w:rsid w:val="00BF6798"/>
    <w:rsid w:val="00BF68CB"/>
    <w:rsid w:val="00BF69D3"/>
    <w:rsid w:val="00BF69D8"/>
    <w:rsid w:val="00BF6E32"/>
    <w:rsid w:val="00BF6F16"/>
    <w:rsid w:val="00BF6FD9"/>
    <w:rsid w:val="00BF717A"/>
    <w:rsid w:val="00BF72FB"/>
    <w:rsid w:val="00BF7559"/>
    <w:rsid w:val="00BF76F9"/>
    <w:rsid w:val="00BF786F"/>
    <w:rsid w:val="00BF789B"/>
    <w:rsid w:val="00BF78C0"/>
    <w:rsid w:val="00BF7997"/>
    <w:rsid w:val="00BF79D9"/>
    <w:rsid w:val="00BF7AE0"/>
    <w:rsid w:val="00BF7B16"/>
    <w:rsid w:val="00BF7B8A"/>
    <w:rsid w:val="00BF7BD9"/>
    <w:rsid w:val="00BF7C36"/>
    <w:rsid w:val="00BF7C54"/>
    <w:rsid w:val="00BF7CC5"/>
    <w:rsid w:val="00BF7D5C"/>
    <w:rsid w:val="00BF7DB7"/>
    <w:rsid w:val="00BF7E02"/>
    <w:rsid w:val="00BF7F41"/>
    <w:rsid w:val="00BF7F79"/>
    <w:rsid w:val="00C0001C"/>
    <w:rsid w:val="00C0009C"/>
    <w:rsid w:val="00C0027D"/>
    <w:rsid w:val="00C0041A"/>
    <w:rsid w:val="00C0051F"/>
    <w:rsid w:val="00C006F6"/>
    <w:rsid w:val="00C0081F"/>
    <w:rsid w:val="00C008F5"/>
    <w:rsid w:val="00C00B9B"/>
    <w:rsid w:val="00C00BD7"/>
    <w:rsid w:val="00C00E9E"/>
    <w:rsid w:val="00C010B9"/>
    <w:rsid w:val="00C010E2"/>
    <w:rsid w:val="00C0117E"/>
    <w:rsid w:val="00C0124D"/>
    <w:rsid w:val="00C01287"/>
    <w:rsid w:val="00C012EB"/>
    <w:rsid w:val="00C01687"/>
    <w:rsid w:val="00C01697"/>
    <w:rsid w:val="00C016AF"/>
    <w:rsid w:val="00C01720"/>
    <w:rsid w:val="00C0186A"/>
    <w:rsid w:val="00C019B5"/>
    <w:rsid w:val="00C01C04"/>
    <w:rsid w:val="00C01D5F"/>
    <w:rsid w:val="00C01DF5"/>
    <w:rsid w:val="00C01FD4"/>
    <w:rsid w:val="00C0207B"/>
    <w:rsid w:val="00C02096"/>
    <w:rsid w:val="00C02167"/>
    <w:rsid w:val="00C02176"/>
    <w:rsid w:val="00C0220B"/>
    <w:rsid w:val="00C02228"/>
    <w:rsid w:val="00C0239C"/>
    <w:rsid w:val="00C0245F"/>
    <w:rsid w:val="00C02481"/>
    <w:rsid w:val="00C024DF"/>
    <w:rsid w:val="00C02510"/>
    <w:rsid w:val="00C02537"/>
    <w:rsid w:val="00C0267C"/>
    <w:rsid w:val="00C02827"/>
    <w:rsid w:val="00C0283A"/>
    <w:rsid w:val="00C028A3"/>
    <w:rsid w:val="00C02938"/>
    <w:rsid w:val="00C02C2C"/>
    <w:rsid w:val="00C02D3A"/>
    <w:rsid w:val="00C02DA3"/>
    <w:rsid w:val="00C02EEA"/>
    <w:rsid w:val="00C030ED"/>
    <w:rsid w:val="00C0324B"/>
    <w:rsid w:val="00C0325E"/>
    <w:rsid w:val="00C032C2"/>
    <w:rsid w:val="00C0345A"/>
    <w:rsid w:val="00C03511"/>
    <w:rsid w:val="00C0358F"/>
    <w:rsid w:val="00C0359B"/>
    <w:rsid w:val="00C035D0"/>
    <w:rsid w:val="00C03620"/>
    <w:rsid w:val="00C036E1"/>
    <w:rsid w:val="00C0371D"/>
    <w:rsid w:val="00C03791"/>
    <w:rsid w:val="00C0387F"/>
    <w:rsid w:val="00C038BD"/>
    <w:rsid w:val="00C03A68"/>
    <w:rsid w:val="00C03C7C"/>
    <w:rsid w:val="00C03C9C"/>
    <w:rsid w:val="00C03CD1"/>
    <w:rsid w:val="00C03D93"/>
    <w:rsid w:val="00C03FB9"/>
    <w:rsid w:val="00C0415E"/>
    <w:rsid w:val="00C044A0"/>
    <w:rsid w:val="00C044E7"/>
    <w:rsid w:val="00C044F5"/>
    <w:rsid w:val="00C045A2"/>
    <w:rsid w:val="00C04642"/>
    <w:rsid w:val="00C04748"/>
    <w:rsid w:val="00C04762"/>
    <w:rsid w:val="00C04925"/>
    <w:rsid w:val="00C04933"/>
    <w:rsid w:val="00C0497C"/>
    <w:rsid w:val="00C04999"/>
    <w:rsid w:val="00C049E3"/>
    <w:rsid w:val="00C04BD4"/>
    <w:rsid w:val="00C04BD9"/>
    <w:rsid w:val="00C04BEE"/>
    <w:rsid w:val="00C04C3A"/>
    <w:rsid w:val="00C04C71"/>
    <w:rsid w:val="00C04C81"/>
    <w:rsid w:val="00C04EB7"/>
    <w:rsid w:val="00C04F63"/>
    <w:rsid w:val="00C04FD3"/>
    <w:rsid w:val="00C05150"/>
    <w:rsid w:val="00C0515C"/>
    <w:rsid w:val="00C05297"/>
    <w:rsid w:val="00C052AB"/>
    <w:rsid w:val="00C055B7"/>
    <w:rsid w:val="00C05700"/>
    <w:rsid w:val="00C05743"/>
    <w:rsid w:val="00C057B2"/>
    <w:rsid w:val="00C05819"/>
    <w:rsid w:val="00C0582A"/>
    <w:rsid w:val="00C05869"/>
    <w:rsid w:val="00C058D8"/>
    <w:rsid w:val="00C05A91"/>
    <w:rsid w:val="00C05B7F"/>
    <w:rsid w:val="00C05B8A"/>
    <w:rsid w:val="00C05B8F"/>
    <w:rsid w:val="00C05C8F"/>
    <w:rsid w:val="00C05D48"/>
    <w:rsid w:val="00C06149"/>
    <w:rsid w:val="00C061AE"/>
    <w:rsid w:val="00C0633F"/>
    <w:rsid w:val="00C0636F"/>
    <w:rsid w:val="00C065E8"/>
    <w:rsid w:val="00C065F3"/>
    <w:rsid w:val="00C06607"/>
    <w:rsid w:val="00C066AD"/>
    <w:rsid w:val="00C0674F"/>
    <w:rsid w:val="00C06789"/>
    <w:rsid w:val="00C067B5"/>
    <w:rsid w:val="00C06807"/>
    <w:rsid w:val="00C068F9"/>
    <w:rsid w:val="00C06B0A"/>
    <w:rsid w:val="00C06F2B"/>
    <w:rsid w:val="00C070AF"/>
    <w:rsid w:val="00C0713F"/>
    <w:rsid w:val="00C0718D"/>
    <w:rsid w:val="00C0721A"/>
    <w:rsid w:val="00C07223"/>
    <w:rsid w:val="00C072B7"/>
    <w:rsid w:val="00C0734F"/>
    <w:rsid w:val="00C07375"/>
    <w:rsid w:val="00C07445"/>
    <w:rsid w:val="00C074CD"/>
    <w:rsid w:val="00C075B0"/>
    <w:rsid w:val="00C076F2"/>
    <w:rsid w:val="00C078CE"/>
    <w:rsid w:val="00C078DC"/>
    <w:rsid w:val="00C079C3"/>
    <w:rsid w:val="00C07A02"/>
    <w:rsid w:val="00C07A5A"/>
    <w:rsid w:val="00C07C38"/>
    <w:rsid w:val="00C07C60"/>
    <w:rsid w:val="00C07C68"/>
    <w:rsid w:val="00C07DE1"/>
    <w:rsid w:val="00C07FC8"/>
    <w:rsid w:val="00C07FE4"/>
    <w:rsid w:val="00C100EB"/>
    <w:rsid w:val="00C10101"/>
    <w:rsid w:val="00C101DC"/>
    <w:rsid w:val="00C101DF"/>
    <w:rsid w:val="00C102B5"/>
    <w:rsid w:val="00C10377"/>
    <w:rsid w:val="00C1072B"/>
    <w:rsid w:val="00C107C3"/>
    <w:rsid w:val="00C108CF"/>
    <w:rsid w:val="00C10940"/>
    <w:rsid w:val="00C10A19"/>
    <w:rsid w:val="00C10A70"/>
    <w:rsid w:val="00C10BE8"/>
    <w:rsid w:val="00C10C0F"/>
    <w:rsid w:val="00C10C3A"/>
    <w:rsid w:val="00C10EF6"/>
    <w:rsid w:val="00C10F11"/>
    <w:rsid w:val="00C10F59"/>
    <w:rsid w:val="00C10FDE"/>
    <w:rsid w:val="00C11175"/>
    <w:rsid w:val="00C11214"/>
    <w:rsid w:val="00C1122D"/>
    <w:rsid w:val="00C112B1"/>
    <w:rsid w:val="00C112C3"/>
    <w:rsid w:val="00C11337"/>
    <w:rsid w:val="00C11435"/>
    <w:rsid w:val="00C11494"/>
    <w:rsid w:val="00C11621"/>
    <w:rsid w:val="00C1162D"/>
    <w:rsid w:val="00C118E2"/>
    <w:rsid w:val="00C119D5"/>
    <w:rsid w:val="00C11C1B"/>
    <w:rsid w:val="00C11D3F"/>
    <w:rsid w:val="00C11FDD"/>
    <w:rsid w:val="00C11FFB"/>
    <w:rsid w:val="00C12048"/>
    <w:rsid w:val="00C12199"/>
    <w:rsid w:val="00C122A8"/>
    <w:rsid w:val="00C123BB"/>
    <w:rsid w:val="00C123BD"/>
    <w:rsid w:val="00C12437"/>
    <w:rsid w:val="00C125D9"/>
    <w:rsid w:val="00C1280B"/>
    <w:rsid w:val="00C12A81"/>
    <w:rsid w:val="00C12AD6"/>
    <w:rsid w:val="00C12CD6"/>
    <w:rsid w:val="00C12CE8"/>
    <w:rsid w:val="00C12D0B"/>
    <w:rsid w:val="00C12D47"/>
    <w:rsid w:val="00C12DA6"/>
    <w:rsid w:val="00C12F07"/>
    <w:rsid w:val="00C12F66"/>
    <w:rsid w:val="00C13019"/>
    <w:rsid w:val="00C13229"/>
    <w:rsid w:val="00C13341"/>
    <w:rsid w:val="00C13344"/>
    <w:rsid w:val="00C133DE"/>
    <w:rsid w:val="00C13436"/>
    <w:rsid w:val="00C13520"/>
    <w:rsid w:val="00C1355E"/>
    <w:rsid w:val="00C13606"/>
    <w:rsid w:val="00C1371C"/>
    <w:rsid w:val="00C137C2"/>
    <w:rsid w:val="00C13862"/>
    <w:rsid w:val="00C139BB"/>
    <w:rsid w:val="00C13B6B"/>
    <w:rsid w:val="00C13CA1"/>
    <w:rsid w:val="00C13DAC"/>
    <w:rsid w:val="00C13E29"/>
    <w:rsid w:val="00C13FB1"/>
    <w:rsid w:val="00C140C1"/>
    <w:rsid w:val="00C140EF"/>
    <w:rsid w:val="00C14289"/>
    <w:rsid w:val="00C142DC"/>
    <w:rsid w:val="00C1431D"/>
    <w:rsid w:val="00C14354"/>
    <w:rsid w:val="00C1466A"/>
    <w:rsid w:val="00C1479F"/>
    <w:rsid w:val="00C14975"/>
    <w:rsid w:val="00C149EB"/>
    <w:rsid w:val="00C149F3"/>
    <w:rsid w:val="00C14B4D"/>
    <w:rsid w:val="00C14C46"/>
    <w:rsid w:val="00C14CD8"/>
    <w:rsid w:val="00C14CEF"/>
    <w:rsid w:val="00C14CFD"/>
    <w:rsid w:val="00C14D44"/>
    <w:rsid w:val="00C14E3B"/>
    <w:rsid w:val="00C14F23"/>
    <w:rsid w:val="00C14F57"/>
    <w:rsid w:val="00C14F9B"/>
    <w:rsid w:val="00C14FAB"/>
    <w:rsid w:val="00C14FE0"/>
    <w:rsid w:val="00C150B7"/>
    <w:rsid w:val="00C15273"/>
    <w:rsid w:val="00C15324"/>
    <w:rsid w:val="00C15427"/>
    <w:rsid w:val="00C15431"/>
    <w:rsid w:val="00C1559F"/>
    <w:rsid w:val="00C156EB"/>
    <w:rsid w:val="00C1574A"/>
    <w:rsid w:val="00C1588E"/>
    <w:rsid w:val="00C15973"/>
    <w:rsid w:val="00C15AEE"/>
    <w:rsid w:val="00C15AF7"/>
    <w:rsid w:val="00C15C6E"/>
    <w:rsid w:val="00C15CFC"/>
    <w:rsid w:val="00C15D61"/>
    <w:rsid w:val="00C15DDD"/>
    <w:rsid w:val="00C15F42"/>
    <w:rsid w:val="00C15F9B"/>
    <w:rsid w:val="00C15FF5"/>
    <w:rsid w:val="00C16076"/>
    <w:rsid w:val="00C1609D"/>
    <w:rsid w:val="00C160A4"/>
    <w:rsid w:val="00C1610B"/>
    <w:rsid w:val="00C1611D"/>
    <w:rsid w:val="00C165D0"/>
    <w:rsid w:val="00C16723"/>
    <w:rsid w:val="00C167B4"/>
    <w:rsid w:val="00C16A07"/>
    <w:rsid w:val="00C16A11"/>
    <w:rsid w:val="00C16B69"/>
    <w:rsid w:val="00C16C9A"/>
    <w:rsid w:val="00C16D20"/>
    <w:rsid w:val="00C16D85"/>
    <w:rsid w:val="00C16F5A"/>
    <w:rsid w:val="00C16FA7"/>
    <w:rsid w:val="00C1713A"/>
    <w:rsid w:val="00C1714D"/>
    <w:rsid w:val="00C171C4"/>
    <w:rsid w:val="00C17221"/>
    <w:rsid w:val="00C1724B"/>
    <w:rsid w:val="00C1738E"/>
    <w:rsid w:val="00C17404"/>
    <w:rsid w:val="00C175E4"/>
    <w:rsid w:val="00C17617"/>
    <w:rsid w:val="00C17692"/>
    <w:rsid w:val="00C17777"/>
    <w:rsid w:val="00C17857"/>
    <w:rsid w:val="00C17A63"/>
    <w:rsid w:val="00C17A81"/>
    <w:rsid w:val="00C17D7F"/>
    <w:rsid w:val="00C17FA9"/>
    <w:rsid w:val="00C2008D"/>
    <w:rsid w:val="00C20111"/>
    <w:rsid w:val="00C2020F"/>
    <w:rsid w:val="00C202BA"/>
    <w:rsid w:val="00C20344"/>
    <w:rsid w:val="00C20453"/>
    <w:rsid w:val="00C204C4"/>
    <w:rsid w:val="00C205D8"/>
    <w:rsid w:val="00C205F4"/>
    <w:rsid w:val="00C2060B"/>
    <w:rsid w:val="00C2062B"/>
    <w:rsid w:val="00C206D2"/>
    <w:rsid w:val="00C20738"/>
    <w:rsid w:val="00C20812"/>
    <w:rsid w:val="00C2089D"/>
    <w:rsid w:val="00C20909"/>
    <w:rsid w:val="00C20A34"/>
    <w:rsid w:val="00C20A6B"/>
    <w:rsid w:val="00C20AAE"/>
    <w:rsid w:val="00C20C29"/>
    <w:rsid w:val="00C20C2B"/>
    <w:rsid w:val="00C20E0C"/>
    <w:rsid w:val="00C20EF1"/>
    <w:rsid w:val="00C210D6"/>
    <w:rsid w:val="00C21339"/>
    <w:rsid w:val="00C21388"/>
    <w:rsid w:val="00C213D3"/>
    <w:rsid w:val="00C214CF"/>
    <w:rsid w:val="00C215A1"/>
    <w:rsid w:val="00C216CF"/>
    <w:rsid w:val="00C21763"/>
    <w:rsid w:val="00C21AD2"/>
    <w:rsid w:val="00C21C1E"/>
    <w:rsid w:val="00C21CF4"/>
    <w:rsid w:val="00C21E1C"/>
    <w:rsid w:val="00C21E1F"/>
    <w:rsid w:val="00C21FC8"/>
    <w:rsid w:val="00C21FF8"/>
    <w:rsid w:val="00C22354"/>
    <w:rsid w:val="00C22523"/>
    <w:rsid w:val="00C22621"/>
    <w:rsid w:val="00C22711"/>
    <w:rsid w:val="00C229B0"/>
    <w:rsid w:val="00C22A43"/>
    <w:rsid w:val="00C22AC3"/>
    <w:rsid w:val="00C22AC5"/>
    <w:rsid w:val="00C22D88"/>
    <w:rsid w:val="00C22ECB"/>
    <w:rsid w:val="00C22F88"/>
    <w:rsid w:val="00C2307C"/>
    <w:rsid w:val="00C231A5"/>
    <w:rsid w:val="00C23264"/>
    <w:rsid w:val="00C23267"/>
    <w:rsid w:val="00C232B1"/>
    <w:rsid w:val="00C232BA"/>
    <w:rsid w:val="00C232E0"/>
    <w:rsid w:val="00C2339A"/>
    <w:rsid w:val="00C233DF"/>
    <w:rsid w:val="00C239E5"/>
    <w:rsid w:val="00C23A14"/>
    <w:rsid w:val="00C23B95"/>
    <w:rsid w:val="00C23C08"/>
    <w:rsid w:val="00C23C9F"/>
    <w:rsid w:val="00C23CB0"/>
    <w:rsid w:val="00C23D00"/>
    <w:rsid w:val="00C23E7C"/>
    <w:rsid w:val="00C23EB0"/>
    <w:rsid w:val="00C24166"/>
    <w:rsid w:val="00C242A2"/>
    <w:rsid w:val="00C244A8"/>
    <w:rsid w:val="00C2452F"/>
    <w:rsid w:val="00C2483C"/>
    <w:rsid w:val="00C248C0"/>
    <w:rsid w:val="00C2499D"/>
    <w:rsid w:val="00C24A23"/>
    <w:rsid w:val="00C24A66"/>
    <w:rsid w:val="00C24B25"/>
    <w:rsid w:val="00C24B5E"/>
    <w:rsid w:val="00C24B82"/>
    <w:rsid w:val="00C24B98"/>
    <w:rsid w:val="00C24D86"/>
    <w:rsid w:val="00C250D8"/>
    <w:rsid w:val="00C251BE"/>
    <w:rsid w:val="00C251E9"/>
    <w:rsid w:val="00C2534F"/>
    <w:rsid w:val="00C2539B"/>
    <w:rsid w:val="00C253C7"/>
    <w:rsid w:val="00C25417"/>
    <w:rsid w:val="00C25480"/>
    <w:rsid w:val="00C25564"/>
    <w:rsid w:val="00C255F4"/>
    <w:rsid w:val="00C2585F"/>
    <w:rsid w:val="00C259B0"/>
    <w:rsid w:val="00C259D0"/>
    <w:rsid w:val="00C25A12"/>
    <w:rsid w:val="00C25A54"/>
    <w:rsid w:val="00C25AAA"/>
    <w:rsid w:val="00C25B1F"/>
    <w:rsid w:val="00C25C06"/>
    <w:rsid w:val="00C25C1F"/>
    <w:rsid w:val="00C25C27"/>
    <w:rsid w:val="00C25C9A"/>
    <w:rsid w:val="00C25D12"/>
    <w:rsid w:val="00C25EB2"/>
    <w:rsid w:val="00C25EEB"/>
    <w:rsid w:val="00C26228"/>
    <w:rsid w:val="00C264B8"/>
    <w:rsid w:val="00C26548"/>
    <w:rsid w:val="00C265E4"/>
    <w:rsid w:val="00C2661C"/>
    <w:rsid w:val="00C26643"/>
    <w:rsid w:val="00C26A13"/>
    <w:rsid w:val="00C26A29"/>
    <w:rsid w:val="00C26A6B"/>
    <w:rsid w:val="00C26C01"/>
    <w:rsid w:val="00C26DA2"/>
    <w:rsid w:val="00C26F5E"/>
    <w:rsid w:val="00C26F7F"/>
    <w:rsid w:val="00C27088"/>
    <w:rsid w:val="00C270EF"/>
    <w:rsid w:val="00C27137"/>
    <w:rsid w:val="00C271FE"/>
    <w:rsid w:val="00C27330"/>
    <w:rsid w:val="00C27372"/>
    <w:rsid w:val="00C27375"/>
    <w:rsid w:val="00C2746E"/>
    <w:rsid w:val="00C274BF"/>
    <w:rsid w:val="00C27564"/>
    <w:rsid w:val="00C278ED"/>
    <w:rsid w:val="00C2799C"/>
    <w:rsid w:val="00C279AB"/>
    <w:rsid w:val="00C279AD"/>
    <w:rsid w:val="00C27C8D"/>
    <w:rsid w:val="00C27D19"/>
    <w:rsid w:val="00C27F1F"/>
    <w:rsid w:val="00C27F99"/>
    <w:rsid w:val="00C27FF9"/>
    <w:rsid w:val="00C30019"/>
    <w:rsid w:val="00C30058"/>
    <w:rsid w:val="00C30069"/>
    <w:rsid w:val="00C301C9"/>
    <w:rsid w:val="00C3026B"/>
    <w:rsid w:val="00C302CD"/>
    <w:rsid w:val="00C30411"/>
    <w:rsid w:val="00C304A7"/>
    <w:rsid w:val="00C30575"/>
    <w:rsid w:val="00C3066B"/>
    <w:rsid w:val="00C307F4"/>
    <w:rsid w:val="00C3089D"/>
    <w:rsid w:val="00C309A8"/>
    <w:rsid w:val="00C30B36"/>
    <w:rsid w:val="00C30B63"/>
    <w:rsid w:val="00C30D85"/>
    <w:rsid w:val="00C31137"/>
    <w:rsid w:val="00C3120E"/>
    <w:rsid w:val="00C3134F"/>
    <w:rsid w:val="00C31403"/>
    <w:rsid w:val="00C314A6"/>
    <w:rsid w:val="00C31620"/>
    <w:rsid w:val="00C317A2"/>
    <w:rsid w:val="00C317BF"/>
    <w:rsid w:val="00C31854"/>
    <w:rsid w:val="00C31874"/>
    <w:rsid w:val="00C318A4"/>
    <w:rsid w:val="00C31938"/>
    <w:rsid w:val="00C31973"/>
    <w:rsid w:val="00C31AD0"/>
    <w:rsid w:val="00C31B7F"/>
    <w:rsid w:val="00C31CBF"/>
    <w:rsid w:val="00C31D2E"/>
    <w:rsid w:val="00C31E24"/>
    <w:rsid w:val="00C31EEC"/>
    <w:rsid w:val="00C3224E"/>
    <w:rsid w:val="00C322F3"/>
    <w:rsid w:val="00C3230D"/>
    <w:rsid w:val="00C3234C"/>
    <w:rsid w:val="00C32511"/>
    <w:rsid w:val="00C329B9"/>
    <w:rsid w:val="00C32AE8"/>
    <w:rsid w:val="00C32B8C"/>
    <w:rsid w:val="00C32CDA"/>
    <w:rsid w:val="00C32D02"/>
    <w:rsid w:val="00C32E12"/>
    <w:rsid w:val="00C32EC0"/>
    <w:rsid w:val="00C32FA1"/>
    <w:rsid w:val="00C330FF"/>
    <w:rsid w:val="00C331A4"/>
    <w:rsid w:val="00C33259"/>
    <w:rsid w:val="00C33402"/>
    <w:rsid w:val="00C334AB"/>
    <w:rsid w:val="00C334BB"/>
    <w:rsid w:val="00C33629"/>
    <w:rsid w:val="00C3371B"/>
    <w:rsid w:val="00C33840"/>
    <w:rsid w:val="00C338D5"/>
    <w:rsid w:val="00C339B7"/>
    <w:rsid w:val="00C339C6"/>
    <w:rsid w:val="00C33A3F"/>
    <w:rsid w:val="00C33A52"/>
    <w:rsid w:val="00C33AA2"/>
    <w:rsid w:val="00C33AA7"/>
    <w:rsid w:val="00C33BDA"/>
    <w:rsid w:val="00C33C2E"/>
    <w:rsid w:val="00C33F8E"/>
    <w:rsid w:val="00C33F94"/>
    <w:rsid w:val="00C340BA"/>
    <w:rsid w:val="00C34132"/>
    <w:rsid w:val="00C343FC"/>
    <w:rsid w:val="00C344E3"/>
    <w:rsid w:val="00C345B5"/>
    <w:rsid w:val="00C345EC"/>
    <w:rsid w:val="00C347F0"/>
    <w:rsid w:val="00C34889"/>
    <w:rsid w:val="00C348E2"/>
    <w:rsid w:val="00C34944"/>
    <w:rsid w:val="00C34B39"/>
    <w:rsid w:val="00C34B4B"/>
    <w:rsid w:val="00C34CD2"/>
    <w:rsid w:val="00C34F54"/>
    <w:rsid w:val="00C3509A"/>
    <w:rsid w:val="00C350EE"/>
    <w:rsid w:val="00C3520A"/>
    <w:rsid w:val="00C35273"/>
    <w:rsid w:val="00C3534E"/>
    <w:rsid w:val="00C353C9"/>
    <w:rsid w:val="00C353D9"/>
    <w:rsid w:val="00C35675"/>
    <w:rsid w:val="00C35794"/>
    <w:rsid w:val="00C3583F"/>
    <w:rsid w:val="00C35B11"/>
    <w:rsid w:val="00C35D51"/>
    <w:rsid w:val="00C35D7F"/>
    <w:rsid w:val="00C35DE7"/>
    <w:rsid w:val="00C35E97"/>
    <w:rsid w:val="00C35EFB"/>
    <w:rsid w:val="00C36092"/>
    <w:rsid w:val="00C360F0"/>
    <w:rsid w:val="00C3616B"/>
    <w:rsid w:val="00C36227"/>
    <w:rsid w:val="00C36292"/>
    <w:rsid w:val="00C36467"/>
    <w:rsid w:val="00C36487"/>
    <w:rsid w:val="00C3651F"/>
    <w:rsid w:val="00C365C5"/>
    <w:rsid w:val="00C36618"/>
    <w:rsid w:val="00C36633"/>
    <w:rsid w:val="00C3663C"/>
    <w:rsid w:val="00C36735"/>
    <w:rsid w:val="00C36781"/>
    <w:rsid w:val="00C36864"/>
    <w:rsid w:val="00C369A3"/>
    <w:rsid w:val="00C369DA"/>
    <w:rsid w:val="00C36A04"/>
    <w:rsid w:val="00C36AAE"/>
    <w:rsid w:val="00C36AE2"/>
    <w:rsid w:val="00C36C92"/>
    <w:rsid w:val="00C36E33"/>
    <w:rsid w:val="00C36E9D"/>
    <w:rsid w:val="00C37065"/>
    <w:rsid w:val="00C37099"/>
    <w:rsid w:val="00C371EE"/>
    <w:rsid w:val="00C373F6"/>
    <w:rsid w:val="00C3745D"/>
    <w:rsid w:val="00C374B1"/>
    <w:rsid w:val="00C374C5"/>
    <w:rsid w:val="00C37549"/>
    <w:rsid w:val="00C375CA"/>
    <w:rsid w:val="00C376A7"/>
    <w:rsid w:val="00C376D0"/>
    <w:rsid w:val="00C376EF"/>
    <w:rsid w:val="00C3779B"/>
    <w:rsid w:val="00C377A0"/>
    <w:rsid w:val="00C37877"/>
    <w:rsid w:val="00C3791A"/>
    <w:rsid w:val="00C3795F"/>
    <w:rsid w:val="00C37A82"/>
    <w:rsid w:val="00C37AC0"/>
    <w:rsid w:val="00C37C86"/>
    <w:rsid w:val="00C37CB1"/>
    <w:rsid w:val="00C37EAE"/>
    <w:rsid w:val="00C37EE3"/>
    <w:rsid w:val="00C37EEC"/>
    <w:rsid w:val="00C37F59"/>
    <w:rsid w:val="00C40093"/>
    <w:rsid w:val="00C4020D"/>
    <w:rsid w:val="00C40410"/>
    <w:rsid w:val="00C40598"/>
    <w:rsid w:val="00C405F1"/>
    <w:rsid w:val="00C406B1"/>
    <w:rsid w:val="00C406C4"/>
    <w:rsid w:val="00C40779"/>
    <w:rsid w:val="00C407BC"/>
    <w:rsid w:val="00C408B5"/>
    <w:rsid w:val="00C408DA"/>
    <w:rsid w:val="00C40945"/>
    <w:rsid w:val="00C40971"/>
    <w:rsid w:val="00C40B0C"/>
    <w:rsid w:val="00C40BE4"/>
    <w:rsid w:val="00C40D82"/>
    <w:rsid w:val="00C40EA9"/>
    <w:rsid w:val="00C40EFC"/>
    <w:rsid w:val="00C40FF9"/>
    <w:rsid w:val="00C4106F"/>
    <w:rsid w:val="00C410AC"/>
    <w:rsid w:val="00C4111D"/>
    <w:rsid w:val="00C41147"/>
    <w:rsid w:val="00C41193"/>
    <w:rsid w:val="00C4121E"/>
    <w:rsid w:val="00C412B1"/>
    <w:rsid w:val="00C4131F"/>
    <w:rsid w:val="00C41335"/>
    <w:rsid w:val="00C413F7"/>
    <w:rsid w:val="00C41426"/>
    <w:rsid w:val="00C41698"/>
    <w:rsid w:val="00C418BD"/>
    <w:rsid w:val="00C41952"/>
    <w:rsid w:val="00C41999"/>
    <w:rsid w:val="00C41DCE"/>
    <w:rsid w:val="00C41EEB"/>
    <w:rsid w:val="00C41F63"/>
    <w:rsid w:val="00C41FD8"/>
    <w:rsid w:val="00C42020"/>
    <w:rsid w:val="00C42055"/>
    <w:rsid w:val="00C4207A"/>
    <w:rsid w:val="00C4219B"/>
    <w:rsid w:val="00C421C4"/>
    <w:rsid w:val="00C42260"/>
    <w:rsid w:val="00C424F3"/>
    <w:rsid w:val="00C42526"/>
    <w:rsid w:val="00C42536"/>
    <w:rsid w:val="00C426DF"/>
    <w:rsid w:val="00C427E4"/>
    <w:rsid w:val="00C4294A"/>
    <w:rsid w:val="00C4297D"/>
    <w:rsid w:val="00C42C9B"/>
    <w:rsid w:val="00C42F98"/>
    <w:rsid w:val="00C431AB"/>
    <w:rsid w:val="00C43358"/>
    <w:rsid w:val="00C4353E"/>
    <w:rsid w:val="00C43613"/>
    <w:rsid w:val="00C436C2"/>
    <w:rsid w:val="00C43755"/>
    <w:rsid w:val="00C43799"/>
    <w:rsid w:val="00C438F4"/>
    <w:rsid w:val="00C43A56"/>
    <w:rsid w:val="00C43B82"/>
    <w:rsid w:val="00C43BA3"/>
    <w:rsid w:val="00C43DC0"/>
    <w:rsid w:val="00C43E7F"/>
    <w:rsid w:val="00C43ECC"/>
    <w:rsid w:val="00C43EF9"/>
    <w:rsid w:val="00C44134"/>
    <w:rsid w:val="00C4428A"/>
    <w:rsid w:val="00C4436C"/>
    <w:rsid w:val="00C443F6"/>
    <w:rsid w:val="00C445A0"/>
    <w:rsid w:val="00C445B1"/>
    <w:rsid w:val="00C4482A"/>
    <w:rsid w:val="00C4491F"/>
    <w:rsid w:val="00C44B0C"/>
    <w:rsid w:val="00C44BAC"/>
    <w:rsid w:val="00C44BB8"/>
    <w:rsid w:val="00C44C5C"/>
    <w:rsid w:val="00C44C66"/>
    <w:rsid w:val="00C44CB4"/>
    <w:rsid w:val="00C44E17"/>
    <w:rsid w:val="00C450C3"/>
    <w:rsid w:val="00C4537D"/>
    <w:rsid w:val="00C454D3"/>
    <w:rsid w:val="00C454F4"/>
    <w:rsid w:val="00C45506"/>
    <w:rsid w:val="00C45625"/>
    <w:rsid w:val="00C45633"/>
    <w:rsid w:val="00C456C2"/>
    <w:rsid w:val="00C45834"/>
    <w:rsid w:val="00C45AD4"/>
    <w:rsid w:val="00C45D14"/>
    <w:rsid w:val="00C45D64"/>
    <w:rsid w:val="00C45DF7"/>
    <w:rsid w:val="00C45E77"/>
    <w:rsid w:val="00C45E91"/>
    <w:rsid w:val="00C45ECC"/>
    <w:rsid w:val="00C46112"/>
    <w:rsid w:val="00C461B2"/>
    <w:rsid w:val="00C46238"/>
    <w:rsid w:val="00C462B5"/>
    <w:rsid w:val="00C46469"/>
    <w:rsid w:val="00C464F6"/>
    <w:rsid w:val="00C465AA"/>
    <w:rsid w:val="00C46797"/>
    <w:rsid w:val="00C468B5"/>
    <w:rsid w:val="00C468F5"/>
    <w:rsid w:val="00C4694A"/>
    <w:rsid w:val="00C46B40"/>
    <w:rsid w:val="00C46C02"/>
    <w:rsid w:val="00C46D10"/>
    <w:rsid w:val="00C46E53"/>
    <w:rsid w:val="00C470BD"/>
    <w:rsid w:val="00C47299"/>
    <w:rsid w:val="00C47418"/>
    <w:rsid w:val="00C474C1"/>
    <w:rsid w:val="00C474ED"/>
    <w:rsid w:val="00C4751F"/>
    <w:rsid w:val="00C47551"/>
    <w:rsid w:val="00C47589"/>
    <w:rsid w:val="00C476BD"/>
    <w:rsid w:val="00C47715"/>
    <w:rsid w:val="00C477A0"/>
    <w:rsid w:val="00C4798F"/>
    <w:rsid w:val="00C47C2F"/>
    <w:rsid w:val="00C47C8E"/>
    <w:rsid w:val="00C47CBB"/>
    <w:rsid w:val="00C50002"/>
    <w:rsid w:val="00C50091"/>
    <w:rsid w:val="00C500D8"/>
    <w:rsid w:val="00C50145"/>
    <w:rsid w:val="00C5030C"/>
    <w:rsid w:val="00C50314"/>
    <w:rsid w:val="00C50422"/>
    <w:rsid w:val="00C50432"/>
    <w:rsid w:val="00C5062D"/>
    <w:rsid w:val="00C50681"/>
    <w:rsid w:val="00C50695"/>
    <w:rsid w:val="00C5069F"/>
    <w:rsid w:val="00C50716"/>
    <w:rsid w:val="00C50884"/>
    <w:rsid w:val="00C50A34"/>
    <w:rsid w:val="00C50A68"/>
    <w:rsid w:val="00C50EB8"/>
    <w:rsid w:val="00C50EC8"/>
    <w:rsid w:val="00C50F36"/>
    <w:rsid w:val="00C51068"/>
    <w:rsid w:val="00C510BF"/>
    <w:rsid w:val="00C511E9"/>
    <w:rsid w:val="00C5129A"/>
    <w:rsid w:val="00C5136E"/>
    <w:rsid w:val="00C5140B"/>
    <w:rsid w:val="00C5174E"/>
    <w:rsid w:val="00C5176D"/>
    <w:rsid w:val="00C517DA"/>
    <w:rsid w:val="00C518AE"/>
    <w:rsid w:val="00C519A6"/>
    <w:rsid w:val="00C51B0E"/>
    <w:rsid w:val="00C51BD3"/>
    <w:rsid w:val="00C51C28"/>
    <w:rsid w:val="00C51C6B"/>
    <w:rsid w:val="00C51CA2"/>
    <w:rsid w:val="00C51D39"/>
    <w:rsid w:val="00C51E1A"/>
    <w:rsid w:val="00C51E91"/>
    <w:rsid w:val="00C51F07"/>
    <w:rsid w:val="00C52027"/>
    <w:rsid w:val="00C52029"/>
    <w:rsid w:val="00C52086"/>
    <w:rsid w:val="00C520CD"/>
    <w:rsid w:val="00C5224C"/>
    <w:rsid w:val="00C523AF"/>
    <w:rsid w:val="00C52427"/>
    <w:rsid w:val="00C5280D"/>
    <w:rsid w:val="00C52828"/>
    <w:rsid w:val="00C52A29"/>
    <w:rsid w:val="00C52A95"/>
    <w:rsid w:val="00C52BD5"/>
    <w:rsid w:val="00C52BEB"/>
    <w:rsid w:val="00C52C23"/>
    <w:rsid w:val="00C52D27"/>
    <w:rsid w:val="00C52FA5"/>
    <w:rsid w:val="00C52FD1"/>
    <w:rsid w:val="00C5305D"/>
    <w:rsid w:val="00C53209"/>
    <w:rsid w:val="00C5331C"/>
    <w:rsid w:val="00C53389"/>
    <w:rsid w:val="00C533E4"/>
    <w:rsid w:val="00C53452"/>
    <w:rsid w:val="00C53556"/>
    <w:rsid w:val="00C5359B"/>
    <w:rsid w:val="00C53932"/>
    <w:rsid w:val="00C53937"/>
    <w:rsid w:val="00C53A8B"/>
    <w:rsid w:val="00C53AB8"/>
    <w:rsid w:val="00C53ACA"/>
    <w:rsid w:val="00C53AF7"/>
    <w:rsid w:val="00C53B84"/>
    <w:rsid w:val="00C53BA7"/>
    <w:rsid w:val="00C53C65"/>
    <w:rsid w:val="00C53D54"/>
    <w:rsid w:val="00C53FB9"/>
    <w:rsid w:val="00C54196"/>
    <w:rsid w:val="00C54202"/>
    <w:rsid w:val="00C54615"/>
    <w:rsid w:val="00C54678"/>
    <w:rsid w:val="00C54753"/>
    <w:rsid w:val="00C54864"/>
    <w:rsid w:val="00C54889"/>
    <w:rsid w:val="00C548A8"/>
    <w:rsid w:val="00C548C6"/>
    <w:rsid w:val="00C548E7"/>
    <w:rsid w:val="00C549B7"/>
    <w:rsid w:val="00C549C2"/>
    <w:rsid w:val="00C54BDA"/>
    <w:rsid w:val="00C54D64"/>
    <w:rsid w:val="00C54EF1"/>
    <w:rsid w:val="00C5507E"/>
    <w:rsid w:val="00C553A5"/>
    <w:rsid w:val="00C55494"/>
    <w:rsid w:val="00C554B5"/>
    <w:rsid w:val="00C554F8"/>
    <w:rsid w:val="00C55703"/>
    <w:rsid w:val="00C558FD"/>
    <w:rsid w:val="00C55924"/>
    <w:rsid w:val="00C5599B"/>
    <w:rsid w:val="00C55AD1"/>
    <w:rsid w:val="00C55B30"/>
    <w:rsid w:val="00C55C43"/>
    <w:rsid w:val="00C55C7C"/>
    <w:rsid w:val="00C55D24"/>
    <w:rsid w:val="00C55EE2"/>
    <w:rsid w:val="00C55EE5"/>
    <w:rsid w:val="00C55FBB"/>
    <w:rsid w:val="00C560D4"/>
    <w:rsid w:val="00C56250"/>
    <w:rsid w:val="00C562D2"/>
    <w:rsid w:val="00C563F3"/>
    <w:rsid w:val="00C566B3"/>
    <w:rsid w:val="00C56761"/>
    <w:rsid w:val="00C56A13"/>
    <w:rsid w:val="00C56AFC"/>
    <w:rsid w:val="00C56B76"/>
    <w:rsid w:val="00C56B86"/>
    <w:rsid w:val="00C56C38"/>
    <w:rsid w:val="00C56C74"/>
    <w:rsid w:val="00C56D4A"/>
    <w:rsid w:val="00C56DAF"/>
    <w:rsid w:val="00C56EC7"/>
    <w:rsid w:val="00C56EE3"/>
    <w:rsid w:val="00C56EE7"/>
    <w:rsid w:val="00C56EF2"/>
    <w:rsid w:val="00C56FFC"/>
    <w:rsid w:val="00C57098"/>
    <w:rsid w:val="00C570A6"/>
    <w:rsid w:val="00C57226"/>
    <w:rsid w:val="00C5729F"/>
    <w:rsid w:val="00C57437"/>
    <w:rsid w:val="00C577ED"/>
    <w:rsid w:val="00C577F1"/>
    <w:rsid w:val="00C578B3"/>
    <w:rsid w:val="00C578DC"/>
    <w:rsid w:val="00C5791F"/>
    <w:rsid w:val="00C579EB"/>
    <w:rsid w:val="00C579F3"/>
    <w:rsid w:val="00C57A67"/>
    <w:rsid w:val="00C57B6A"/>
    <w:rsid w:val="00C57C0D"/>
    <w:rsid w:val="00C57E3E"/>
    <w:rsid w:val="00C57E68"/>
    <w:rsid w:val="00C57F5F"/>
    <w:rsid w:val="00C600B3"/>
    <w:rsid w:val="00C6027A"/>
    <w:rsid w:val="00C6048A"/>
    <w:rsid w:val="00C604FC"/>
    <w:rsid w:val="00C605DF"/>
    <w:rsid w:val="00C6061A"/>
    <w:rsid w:val="00C6064A"/>
    <w:rsid w:val="00C60779"/>
    <w:rsid w:val="00C60835"/>
    <w:rsid w:val="00C60BA0"/>
    <w:rsid w:val="00C60D41"/>
    <w:rsid w:val="00C60DE1"/>
    <w:rsid w:val="00C60E3E"/>
    <w:rsid w:val="00C60EA7"/>
    <w:rsid w:val="00C6100F"/>
    <w:rsid w:val="00C611CF"/>
    <w:rsid w:val="00C6123D"/>
    <w:rsid w:val="00C6136C"/>
    <w:rsid w:val="00C6136D"/>
    <w:rsid w:val="00C613EB"/>
    <w:rsid w:val="00C61464"/>
    <w:rsid w:val="00C6147C"/>
    <w:rsid w:val="00C6154E"/>
    <w:rsid w:val="00C6167F"/>
    <w:rsid w:val="00C616A4"/>
    <w:rsid w:val="00C6193C"/>
    <w:rsid w:val="00C61A65"/>
    <w:rsid w:val="00C61AB3"/>
    <w:rsid w:val="00C61B4A"/>
    <w:rsid w:val="00C61C63"/>
    <w:rsid w:val="00C61D16"/>
    <w:rsid w:val="00C61D2D"/>
    <w:rsid w:val="00C61E80"/>
    <w:rsid w:val="00C61E8A"/>
    <w:rsid w:val="00C61F60"/>
    <w:rsid w:val="00C62010"/>
    <w:rsid w:val="00C6211D"/>
    <w:rsid w:val="00C62164"/>
    <w:rsid w:val="00C6232D"/>
    <w:rsid w:val="00C62366"/>
    <w:rsid w:val="00C623F3"/>
    <w:rsid w:val="00C624DA"/>
    <w:rsid w:val="00C62650"/>
    <w:rsid w:val="00C62663"/>
    <w:rsid w:val="00C62709"/>
    <w:rsid w:val="00C6284B"/>
    <w:rsid w:val="00C629C9"/>
    <w:rsid w:val="00C629CD"/>
    <w:rsid w:val="00C629E1"/>
    <w:rsid w:val="00C62A75"/>
    <w:rsid w:val="00C62ACC"/>
    <w:rsid w:val="00C62C1C"/>
    <w:rsid w:val="00C62C85"/>
    <w:rsid w:val="00C62D75"/>
    <w:rsid w:val="00C62F7A"/>
    <w:rsid w:val="00C62FB1"/>
    <w:rsid w:val="00C63070"/>
    <w:rsid w:val="00C6312E"/>
    <w:rsid w:val="00C6325D"/>
    <w:rsid w:val="00C633E3"/>
    <w:rsid w:val="00C6344D"/>
    <w:rsid w:val="00C635F2"/>
    <w:rsid w:val="00C63630"/>
    <w:rsid w:val="00C636E3"/>
    <w:rsid w:val="00C6372B"/>
    <w:rsid w:val="00C63735"/>
    <w:rsid w:val="00C638B9"/>
    <w:rsid w:val="00C6391E"/>
    <w:rsid w:val="00C6398C"/>
    <w:rsid w:val="00C63A0A"/>
    <w:rsid w:val="00C63A94"/>
    <w:rsid w:val="00C63BAF"/>
    <w:rsid w:val="00C63D00"/>
    <w:rsid w:val="00C63D1E"/>
    <w:rsid w:val="00C63F5A"/>
    <w:rsid w:val="00C63FC6"/>
    <w:rsid w:val="00C64042"/>
    <w:rsid w:val="00C64131"/>
    <w:rsid w:val="00C6419D"/>
    <w:rsid w:val="00C64346"/>
    <w:rsid w:val="00C643AA"/>
    <w:rsid w:val="00C643C3"/>
    <w:rsid w:val="00C6441C"/>
    <w:rsid w:val="00C645BE"/>
    <w:rsid w:val="00C645DB"/>
    <w:rsid w:val="00C6464C"/>
    <w:rsid w:val="00C646B6"/>
    <w:rsid w:val="00C647A0"/>
    <w:rsid w:val="00C64839"/>
    <w:rsid w:val="00C64967"/>
    <w:rsid w:val="00C64A99"/>
    <w:rsid w:val="00C64B65"/>
    <w:rsid w:val="00C64CD2"/>
    <w:rsid w:val="00C64D66"/>
    <w:rsid w:val="00C64E0D"/>
    <w:rsid w:val="00C65046"/>
    <w:rsid w:val="00C6507A"/>
    <w:rsid w:val="00C6523A"/>
    <w:rsid w:val="00C6536C"/>
    <w:rsid w:val="00C65391"/>
    <w:rsid w:val="00C6557D"/>
    <w:rsid w:val="00C65750"/>
    <w:rsid w:val="00C657B6"/>
    <w:rsid w:val="00C657D3"/>
    <w:rsid w:val="00C65832"/>
    <w:rsid w:val="00C659CB"/>
    <w:rsid w:val="00C65BB0"/>
    <w:rsid w:val="00C65BBC"/>
    <w:rsid w:val="00C65C1F"/>
    <w:rsid w:val="00C65C2E"/>
    <w:rsid w:val="00C65CAD"/>
    <w:rsid w:val="00C65D0B"/>
    <w:rsid w:val="00C65E72"/>
    <w:rsid w:val="00C65EA2"/>
    <w:rsid w:val="00C65F5A"/>
    <w:rsid w:val="00C65F8F"/>
    <w:rsid w:val="00C66114"/>
    <w:rsid w:val="00C66141"/>
    <w:rsid w:val="00C66201"/>
    <w:rsid w:val="00C6637D"/>
    <w:rsid w:val="00C66394"/>
    <w:rsid w:val="00C66928"/>
    <w:rsid w:val="00C669B4"/>
    <w:rsid w:val="00C66A4C"/>
    <w:rsid w:val="00C66BC6"/>
    <w:rsid w:val="00C66C6F"/>
    <w:rsid w:val="00C66E06"/>
    <w:rsid w:val="00C66FA2"/>
    <w:rsid w:val="00C66FDE"/>
    <w:rsid w:val="00C670AD"/>
    <w:rsid w:val="00C670B6"/>
    <w:rsid w:val="00C670BA"/>
    <w:rsid w:val="00C6727D"/>
    <w:rsid w:val="00C672EA"/>
    <w:rsid w:val="00C672F5"/>
    <w:rsid w:val="00C673FD"/>
    <w:rsid w:val="00C6742A"/>
    <w:rsid w:val="00C6752C"/>
    <w:rsid w:val="00C6756C"/>
    <w:rsid w:val="00C6770E"/>
    <w:rsid w:val="00C67A7A"/>
    <w:rsid w:val="00C67A85"/>
    <w:rsid w:val="00C67B28"/>
    <w:rsid w:val="00C67B31"/>
    <w:rsid w:val="00C67B46"/>
    <w:rsid w:val="00C67D14"/>
    <w:rsid w:val="00C67DE3"/>
    <w:rsid w:val="00C67E81"/>
    <w:rsid w:val="00C67E8E"/>
    <w:rsid w:val="00C700D2"/>
    <w:rsid w:val="00C7029A"/>
    <w:rsid w:val="00C7037E"/>
    <w:rsid w:val="00C70487"/>
    <w:rsid w:val="00C704F2"/>
    <w:rsid w:val="00C70663"/>
    <w:rsid w:val="00C7067B"/>
    <w:rsid w:val="00C7072E"/>
    <w:rsid w:val="00C70925"/>
    <w:rsid w:val="00C70949"/>
    <w:rsid w:val="00C70AB7"/>
    <w:rsid w:val="00C70B04"/>
    <w:rsid w:val="00C70B23"/>
    <w:rsid w:val="00C70CB0"/>
    <w:rsid w:val="00C70DD0"/>
    <w:rsid w:val="00C70DEA"/>
    <w:rsid w:val="00C7105F"/>
    <w:rsid w:val="00C7108F"/>
    <w:rsid w:val="00C710B9"/>
    <w:rsid w:val="00C7113D"/>
    <w:rsid w:val="00C7120D"/>
    <w:rsid w:val="00C71359"/>
    <w:rsid w:val="00C7146A"/>
    <w:rsid w:val="00C7147D"/>
    <w:rsid w:val="00C71533"/>
    <w:rsid w:val="00C7175F"/>
    <w:rsid w:val="00C717AF"/>
    <w:rsid w:val="00C718FC"/>
    <w:rsid w:val="00C7197A"/>
    <w:rsid w:val="00C71A51"/>
    <w:rsid w:val="00C71A6E"/>
    <w:rsid w:val="00C71ACB"/>
    <w:rsid w:val="00C71AD8"/>
    <w:rsid w:val="00C71B38"/>
    <w:rsid w:val="00C71BD2"/>
    <w:rsid w:val="00C71F71"/>
    <w:rsid w:val="00C71FAD"/>
    <w:rsid w:val="00C72177"/>
    <w:rsid w:val="00C72448"/>
    <w:rsid w:val="00C72596"/>
    <w:rsid w:val="00C72624"/>
    <w:rsid w:val="00C72668"/>
    <w:rsid w:val="00C72748"/>
    <w:rsid w:val="00C72969"/>
    <w:rsid w:val="00C72E83"/>
    <w:rsid w:val="00C72E87"/>
    <w:rsid w:val="00C730F6"/>
    <w:rsid w:val="00C731D4"/>
    <w:rsid w:val="00C7333C"/>
    <w:rsid w:val="00C73428"/>
    <w:rsid w:val="00C7348A"/>
    <w:rsid w:val="00C73509"/>
    <w:rsid w:val="00C7351B"/>
    <w:rsid w:val="00C7374C"/>
    <w:rsid w:val="00C737BA"/>
    <w:rsid w:val="00C73821"/>
    <w:rsid w:val="00C738CD"/>
    <w:rsid w:val="00C738D8"/>
    <w:rsid w:val="00C73907"/>
    <w:rsid w:val="00C73909"/>
    <w:rsid w:val="00C73944"/>
    <w:rsid w:val="00C73A1B"/>
    <w:rsid w:val="00C73A74"/>
    <w:rsid w:val="00C73B99"/>
    <w:rsid w:val="00C73D29"/>
    <w:rsid w:val="00C73E66"/>
    <w:rsid w:val="00C73EED"/>
    <w:rsid w:val="00C73FA9"/>
    <w:rsid w:val="00C7413F"/>
    <w:rsid w:val="00C74189"/>
    <w:rsid w:val="00C74246"/>
    <w:rsid w:val="00C743E9"/>
    <w:rsid w:val="00C74417"/>
    <w:rsid w:val="00C74596"/>
    <w:rsid w:val="00C745DC"/>
    <w:rsid w:val="00C745FA"/>
    <w:rsid w:val="00C7472B"/>
    <w:rsid w:val="00C7488A"/>
    <w:rsid w:val="00C74B8C"/>
    <w:rsid w:val="00C74B99"/>
    <w:rsid w:val="00C74BC5"/>
    <w:rsid w:val="00C74CA5"/>
    <w:rsid w:val="00C74DAC"/>
    <w:rsid w:val="00C74E86"/>
    <w:rsid w:val="00C74FCC"/>
    <w:rsid w:val="00C7501E"/>
    <w:rsid w:val="00C754CF"/>
    <w:rsid w:val="00C756F4"/>
    <w:rsid w:val="00C7576C"/>
    <w:rsid w:val="00C757D5"/>
    <w:rsid w:val="00C758A6"/>
    <w:rsid w:val="00C75A72"/>
    <w:rsid w:val="00C75A89"/>
    <w:rsid w:val="00C75D7F"/>
    <w:rsid w:val="00C76016"/>
    <w:rsid w:val="00C7607C"/>
    <w:rsid w:val="00C76120"/>
    <w:rsid w:val="00C76193"/>
    <w:rsid w:val="00C761A2"/>
    <w:rsid w:val="00C7622E"/>
    <w:rsid w:val="00C762A9"/>
    <w:rsid w:val="00C762B0"/>
    <w:rsid w:val="00C7643C"/>
    <w:rsid w:val="00C76515"/>
    <w:rsid w:val="00C765DD"/>
    <w:rsid w:val="00C76683"/>
    <w:rsid w:val="00C7673C"/>
    <w:rsid w:val="00C7679F"/>
    <w:rsid w:val="00C767EA"/>
    <w:rsid w:val="00C76923"/>
    <w:rsid w:val="00C769D2"/>
    <w:rsid w:val="00C769DA"/>
    <w:rsid w:val="00C76B44"/>
    <w:rsid w:val="00C76B99"/>
    <w:rsid w:val="00C76C9F"/>
    <w:rsid w:val="00C76CCA"/>
    <w:rsid w:val="00C76D30"/>
    <w:rsid w:val="00C76D66"/>
    <w:rsid w:val="00C76D9E"/>
    <w:rsid w:val="00C76EC5"/>
    <w:rsid w:val="00C76F02"/>
    <w:rsid w:val="00C76FBC"/>
    <w:rsid w:val="00C77119"/>
    <w:rsid w:val="00C7730E"/>
    <w:rsid w:val="00C77372"/>
    <w:rsid w:val="00C774CA"/>
    <w:rsid w:val="00C774E3"/>
    <w:rsid w:val="00C77580"/>
    <w:rsid w:val="00C776A7"/>
    <w:rsid w:val="00C778D8"/>
    <w:rsid w:val="00C77AF6"/>
    <w:rsid w:val="00C77B4F"/>
    <w:rsid w:val="00C77D0B"/>
    <w:rsid w:val="00C77EC5"/>
    <w:rsid w:val="00C77F3C"/>
    <w:rsid w:val="00C77FC1"/>
    <w:rsid w:val="00C80013"/>
    <w:rsid w:val="00C80098"/>
    <w:rsid w:val="00C802E4"/>
    <w:rsid w:val="00C802E5"/>
    <w:rsid w:val="00C805D1"/>
    <w:rsid w:val="00C80680"/>
    <w:rsid w:val="00C806E0"/>
    <w:rsid w:val="00C80733"/>
    <w:rsid w:val="00C807EA"/>
    <w:rsid w:val="00C809AF"/>
    <w:rsid w:val="00C80AE0"/>
    <w:rsid w:val="00C80B47"/>
    <w:rsid w:val="00C80DC7"/>
    <w:rsid w:val="00C80EBD"/>
    <w:rsid w:val="00C81039"/>
    <w:rsid w:val="00C81229"/>
    <w:rsid w:val="00C81408"/>
    <w:rsid w:val="00C81433"/>
    <w:rsid w:val="00C81695"/>
    <w:rsid w:val="00C816D6"/>
    <w:rsid w:val="00C817AA"/>
    <w:rsid w:val="00C817C7"/>
    <w:rsid w:val="00C81852"/>
    <w:rsid w:val="00C81984"/>
    <w:rsid w:val="00C81A18"/>
    <w:rsid w:val="00C81BC0"/>
    <w:rsid w:val="00C81BDF"/>
    <w:rsid w:val="00C81C0A"/>
    <w:rsid w:val="00C81D1F"/>
    <w:rsid w:val="00C81E0C"/>
    <w:rsid w:val="00C81E85"/>
    <w:rsid w:val="00C81F08"/>
    <w:rsid w:val="00C81F10"/>
    <w:rsid w:val="00C82059"/>
    <w:rsid w:val="00C8215B"/>
    <w:rsid w:val="00C822DA"/>
    <w:rsid w:val="00C82567"/>
    <w:rsid w:val="00C8258B"/>
    <w:rsid w:val="00C8268F"/>
    <w:rsid w:val="00C8275D"/>
    <w:rsid w:val="00C82807"/>
    <w:rsid w:val="00C82845"/>
    <w:rsid w:val="00C82859"/>
    <w:rsid w:val="00C82B9C"/>
    <w:rsid w:val="00C82BA5"/>
    <w:rsid w:val="00C82C6F"/>
    <w:rsid w:val="00C82CA7"/>
    <w:rsid w:val="00C82F50"/>
    <w:rsid w:val="00C8309B"/>
    <w:rsid w:val="00C83315"/>
    <w:rsid w:val="00C83363"/>
    <w:rsid w:val="00C8345E"/>
    <w:rsid w:val="00C8350A"/>
    <w:rsid w:val="00C8352C"/>
    <w:rsid w:val="00C83535"/>
    <w:rsid w:val="00C83609"/>
    <w:rsid w:val="00C83756"/>
    <w:rsid w:val="00C839A5"/>
    <w:rsid w:val="00C83B72"/>
    <w:rsid w:val="00C83C03"/>
    <w:rsid w:val="00C83C41"/>
    <w:rsid w:val="00C83C91"/>
    <w:rsid w:val="00C83D84"/>
    <w:rsid w:val="00C83D96"/>
    <w:rsid w:val="00C83FAE"/>
    <w:rsid w:val="00C840C3"/>
    <w:rsid w:val="00C84141"/>
    <w:rsid w:val="00C841D0"/>
    <w:rsid w:val="00C8425F"/>
    <w:rsid w:val="00C84392"/>
    <w:rsid w:val="00C8479D"/>
    <w:rsid w:val="00C848F6"/>
    <w:rsid w:val="00C84D16"/>
    <w:rsid w:val="00C852C5"/>
    <w:rsid w:val="00C852F0"/>
    <w:rsid w:val="00C852F4"/>
    <w:rsid w:val="00C8535C"/>
    <w:rsid w:val="00C8540A"/>
    <w:rsid w:val="00C8574F"/>
    <w:rsid w:val="00C857B8"/>
    <w:rsid w:val="00C857F6"/>
    <w:rsid w:val="00C8595B"/>
    <w:rsid w:val="00C85966"/>
    <w:rsid w:val="00C85A91"/>
    <w:rsid w:val="00C85CCC"/>
    <w:rsid w:val="00C85E0A"/>
    <w:rsid w:val="00C85EDE"/>
    <w:rsid w:val="00C860C5"/>
    <w:rsid w:val="00C86110"/>
    <w:rsid w:val="00C8611A"/>
    <w:rsid w:val="00C861B8"/>
    <w:rsid w:val="00C8645A"/>
    <w:rsid w:val="00C8646E"/>
    <w:rsid w:val="00C864ED"/>
    <w:rsid w:val="00C865B9"/>
    <w:rsid w:val="00C86615"/>
    <w:rsid w:val="00C8666B"/>
    <w:rsid w:val="00C86759"/>
    <w:rsid w:val="00C867D2"/>
    <w:rsid w:val="00C869D8"/>
    <w:rsid w:val="00C86B35"/>
    <w:rsid w:val="00C86C25"/>
    <w:rsid w:val="00C86C5D"/>
    <w:rsid w:val="00C86D70"/>
    <w:rsid w:val="00C86EC5"/>
    <w:rsid w:val="00C86ECE"/>
    <w:rsid w:val="00C86F1D"/>
    <w:rsid w:val="00C86F3C"/>
    <w:rsid w:val="00C8705A"/>
    <w:rsid w:val="00C871FB"/>
    <w:rsid w:val="00C87241"/>
    <w:rsid w:val="00C8732F"/>
    <w:rsid w:val="00C87436"/>
    <w:rsid w:val="00C87471"/>
    <w:rsid w:val="00C8755C"/>
    <w:rsid w:val="00C87590"/>
    <w:rsid w:val="00C8773F"/>
    <w:rsid w:val="00C87909"/>
    <w:rsid w:val="00C87941"/>
    <w:rsid w:val="00C87A0F"/>
    <w:rsid w:val="00C87B12"/>
    <w:rsid w:val="00C87BA0"/>
    <w:rsid w:val="00C87BF7"/>
    <w:rsid w:val="00C87C5C"/>
    <w:rsid w:val="00C87CA4"/>
    <w:rsid w:val="00C87D9E"/>
    <w:rsid w:val="00C87DBE"/>
    <w:rsid w:val="00C87DCB"/>
    <w:rsid w:val="00C87DE3"/>
    <w:rsid w:val="00C87E73"/>
    <w:rsid w:val="00C87EC9"/>
    <w:rsid w:val="00C90280"/>
    <w:rsid w:val="00C90633"/>
    <w:rsid w:val="00C9065B"/>
    <w:rsid w:val="00C9076F"/>
    <w:rsid w:val="00C9084F"/>
    <w:rsid w:val="00C908CF"/>
    <w:rsid w:val="00C90A04"/>
    <w:rsid w:val="00C90AFB"/>
    <w:rsid w:val="00C90BA2"/>
    <w:rsid w:val="00C90C85"/>
    <w:rsid w:val="00C90C8F"/>
    <w:rsid w:val="00C90D58"/>
    <w:rsid w:val="00C91025"/>
    <w:rsid w:val="00C910B4"/>
    <w:rsid w:val="00C9114E"/>
    <w:rsid w:val="00C912BD"/>
    <w:rsid w:val="00C912C5"/>
    <w:rsid w:val="00C9136F"/>
    <w:rsid w:val="00C91373"/>
    <w:rsid w:val="00C91651"/>
    <w:rsid w:val="00C91736"/>
    <w:rsid w:val="00C917A4"/>
    <w:rsid w:val="00C917CF"/>
    <w:rsid w:val="00C91B20"/>
    <w:rsid w:val="00C91CB3"/>
    <w:rsid w:val="00C91CE3"/>
    <w:rsid w:val="00C91D20"/>
    <w:rsid w:val="00C91D3E"/>
    <w:rsid w:val="00C91F36"/>
    <w:rsid w:val="00C91F9E"/>
    <w:rsid w:val="00C92095"/>
    <w:rsid w:val="00C920B4"/>
    <w:rsid w:val="00C9212F"/>
    <w:rsid w:val="00C92193"/>
    <w:rsid w:val="00C921FB"/>
    <w:rsid w:val="00C92200"/>
    <w:rsid w:val="00C922A2"/>
    <w:rsid w:val="00C9254E"/>
    <w:rsid w:val="00C92870"/>
    <w:rsid w:val="00C92AC0"/>
    <w:rsid w:val="00C92C45"/>
    <w:rsid w:val="00C92D8B"/>
    <w:rsid w:val="00C92F23"/>
    <w:rsid w:val="00C93031"/>
    <w:rsid w:val="00C93219"/>
    <w:rsid w:val="00C93269"/>
    <w:rsid w:val="00C9329C"/>
    <w:rsid w:val="00C9329D"/>
    <w:rsid w:val="00C932D8"/>
    <w:rsid w:val="00C93354"/>
    <w:rsid w:val="00C93482"/>
    <w:rsid w:val="00C9348A"/>
    <w:rsid w:val="00C939BC"/>
    <w:rsid w:val="00C93D61"/>
    <w:rsid w:val="00C93FE2"/>
    <w:rsid w:val="00C94058"/>
    <w:rsid w:val="00C94176"/>
    <w:rsid w:val="00C94226"/>
    <w:rsid w:val="00C942F9"/>
    <w:rsid w:val="00C94302"/>
    <w:rsid w:val="00C9449A"/>
    <w:rsid w:val="00C94707"/>
    <w:rsid w:val="00C947F8"/>
    <w:rsid w:val="00C94819"/>
    <w:rsid w:val="00C9485D"/>
    <w:rsid w:val="00C94881"/>
    <w:rsid w:val="00C948E3"/>
    <w:rsid w:val="00C94928"/>
    <w:rsid w:val="00C9496D"/>
    <w:rsid w:val="00C94B71"/>
    <w:rsid w:val="00C94C51"/>
    <w:rsid w:val="00C94CAA"/>
    <w:rsid w:val="00C94D0D"/>
    <w:rsid w:val="00C94DA0"/>
    <w:rsid w:val="00C94E16"/>
    <w:rsid w:val="00C94ED6"/>
    <w:rsid w:val="00C9502A"/>
    <w:rsid w:val="00C9515E"/>
    <w:rsid w:val="00C952CF"/>
    <w:rsid w:val="00C95300"/>
    <w:rsid w:val="00C95795"/>
    <w:rsid w:val="00C95888"/>
    <w:rsid w:val="00C958CE"/>
    <w:rsid w:val="00C959E6"/>
    <w:rsid w:val="00C95A35"/>
    <w:rsid w:val="00C95C60"/>
    <w:rsid w:val="00C95C67"/>
    <w:rsid w:val="00C95E13"/>
    <w:rsid w:val="00C95E57"/>
    <w:rsid w:val="00C95E95"/>
    <w:rsid w:val="00C95EB8"/>
    <w:rsid w:val="00C95EBA"/>
    <w:rsid w:val="00C95F17"/>
    <w:rsid w:val="00C95FC6"/>
    <w:rsid w:val="00C95FDA"/>
    <w:rsid w:val="00C9601B"/>
    <w:rsid w:val="00C9623A"/>
    <w:rsid w:val="00C962F4"/>
    <w:rsid w:val="00C9636A"/>
    <w:rsid w:val="00C9641D"/>
    <w:rsid w:val="00C96469"/>
    <w:rsid w:val="00C96512"/>
    <w:rsid w:val="00C965CA"/>
    <w:rsid w:val="00C966A6"/>
    <w:rsid w:val="00C96990"/>
    <w:rsid w:val="00C96A6F"/>
    <w:rsid w:val="00C96A7D"/>
    <w:rsid w:val="00C96AA2"/>
    <w:rsid w:val="00C96B66"/>
    <w:rsid w:val="00C96BDD"/>
    <w:rsid w:val="00C96CBC"/>
    <w:rsid w:val="00C96D80"/>
    <w:rsid w:val="00C96EF8"/>
    <w:rsid w:val="00C970A9"/>
    <w:rsid w:val="00C97171"/>
    <w:rsid w:val="00C97319"/>
    <w:rsid w:val="00C973C4"/>
    <w:rsid w:val="00C9756B"/>
    <w:rsid w:val="00C976FC"/>
    <w:rsid w:val="00C979AE"/>
    <w:rsid w:val="00C979B3"/>
    <w:rsid w:val="00C97BDB"/>
    <w:rsid w:val="00C97CC4"/>
    <w:rsid w:val="00C97CEE"/>
    <w:rsid w:val="00C97E26"/>
    <w:rsid w:val="00C97E2F"/>
    <w:rsid w:val="00C97E5E"/>
    <w:rsid w:val="00C97E71"/>
    <w:rsid w:val="00C97FA9"/>
    <w:rsid w:val="00CA0098"/>
    <w:rsid w:val="00CA02F1"/>
    <w:rsid w:val="00CA0321"/>
    <w:rsid w:val="00CA0372"/>
    <w:rsid w:val="00CA03B5"/>
    <w:rsid w:val="00CA0550"/>
    <w:rsid w:val="00CA0563"/>
    <w:rsid w:val="00CA0578"/>
    <w:rsid w:val="00CA0606"/>
    <w:rsid w:val="00CA0691"/>
    <w:rsid w:val="00CA072F"/>
    <w:rsid w:val="00CA0A5D"/>
    <w:rsid w:val="00CA0B7D"/>
    <w:rsid w:val="00CA0CE0"/>
    <w:rsid w:val="00CA0D09"/>
    <w:rsid w:val="00CA0D8C"/>
    <w:rsid w:val="00CA0DAE"/>
    <w:rsid w:val="00CA0DDA"/>
    <w:rsid w:val="00CA0E67"/>
    <w:rsid w:val="00CA0F7A"/>
    <w:rsid w:val="00CA0F7D"/>
    <w:rsid w:val="00CA10FB"/>
    <w:rsid w:val="00CA1122"/>
    <w:rsid w:val="00CA1163"/>
    <w:rsid w:val="00CA1544"/>
    <w:rsid w:val="00CA160A"/>
    <w:rsid w:val="00CA164F"/>
    <w:rsid w:val="00CA16CE"/>
    <w:rsid w:val="00CA17AA"/>
    <w:rsid w:val="00CA1981"/>
    <w:rsid w:val="00CA1990"/>
    <w:rsid w:val="00CA1A38"/>
    <w:rsid w:val="00CA1B2A"/>
    <w:rsid w:val="00CA1B3C"/>
    <w:rsid w:val="00CA1BF2"/>
    <w:rsid w:val="00CA1C33"/>
    <w:rsid w:val="00CA1E46"/>
    <w:rsid w:val="00CA1E58"/>
    <w:rsid w:val="00CA1F24"/>
    <w:rsid w:val="00CA2080"/>
    <w:rsid w:val="00CA2089"/>
    <w:rsid w:val="00CA20C6"/>
    <w:rsid w:val="00CA20D5"/>
    <w:rsid w:val="00CA21C1"/>
    <w:rsid w:val="00CA234E"/>
    <w:rsid w:val="00CA23E6"/>
    <w:rsid w:val="00CA2622"/>
    <w:rsid w:val="00CA26EA"/>
    <w:rsid w:val="00CA2938"/>
    <w:rsid w:val="00CA294C"/>
    <w:rsid w:val="00CA299C"/>
    <w:rsid w:val="00CA2B5C"/>
    <w:rsid w:val="00CA2BC8"/>
    <w:rsid w:val="00CA2C5C"/>
    <w:rsid w:val="00CA2C7C"/>
    <w:rsid w:val="00CA2CEB"/>
    <w:rsid w:val="00CA2D4C"/>
    <w:rsid w:val="00CA2DC2"/>
    <w:rsid w:val="00CA2E77"/>
    <w:rsid w:val="00CA2EDD"/>
    <w:rsid w:val="00CA2FB2"/>
    <w:rsid w:val="00CA325C"/>
    <w:rsid w:val="00CA342C"/>
    <w:rsid w:val="00CA34A2"/>
    <w:rsid w:val="00CA35B1"/>
    <w:rsid w:val="00CA35C7"/>
    <w:rsid w:val="00CA35EB"/>
    <w:rsid w:val="00CA3607"/>
    <w:rsid w:val="00CA365F"/>
    <w:rsid w:val="00CA3666"/>
    <w:rsid w:val="00CA368A"/>
    <w:rsid w:val="00CA37A9"/>
    <w:rsid w:val="00CA3894"/>
    <w:rsid w:val="00CA3909"/>
    <w:rsid w:val="00CA39A7"/>
    <w:rsid w:val="00CA3ACC"/>
    <w:rsid w:val="00CA3D19"/>
    <w:rsid w:val="00CA3D1B"/>
    <w:rsid w:val="00CA3D3A"/>
    <w:rsid w:val="00CA3FC3"/>
    <w:rsid w:val="00CA3FE7"/>
    <w:rsid w:val="00CA407F"/>
    <w:rsid w:val="00CA40A1"/>
    <w:rsid w:val="00CA40A8"/>
    <w:rsid w:val="00CA40C0"/>
    <w:rsid w:val="00CA41A1"/>
    <w:rsid w:val="00CA41A5"/>
    <w:rsid w:val="00CA41B5"/>
    <w:rsid w:val="00CA42D6"/>
    <w:rsid w:val="00CA435F"/>
    <w:rsid w:val="00CA44B7"/>
    <w:rsid w:val="00CA455F"/>
    <w:rsid w:val="00CA46B8"/>
    <w:rsid w:val="00CA480E"/>
    <w:rsid w:val="00CA4866"/>
    <w:rsid w:val="00CA4949"/>
    <w:rsid w:val="00CA49E4"/>
    <w:rsid w:val="00CA4A40"/>
    <w:rsid w:val="00CA4AB2"/>
    <w:rsid w:val="00CA4BAC"/>
    <w:rsid w:val="00CA4C39"/>
    <w:rsid w:val="00CA4CB1"/>
    <w:rsid w:val="00CA4CF6"/>
    <w:rsid w:val="00CA4D28"/>
    <w:rsid w:val="00CA4E46"/>
    <w:rsid w:val="00CA50FE"/>
    <w:rsid w:val="00CA5137"/>
    <w:rsid w:val="00CA5231"/>
    <w:rsid w:val="00CA525A"/>
    <w:rsid w:val="00CA5278"/>
    <w:rsid w:val="00CA528A"/>
    <w:rsid w:val="00CA533B"/>
    <w:rsid w:val="00CA5346"/>
    <w:rsid w:val="00CA5390"/>
    <w:rsid w:val="00CA53CB"/>
    <w:rsid w:val="00CA5439"/>
    <w:rsid w:val="00CA5453"/>
    <w:rsid w:val="00CA548C"/>
    <w:rsid w:val="00CA559A"/>
    <w:rsid w:val="00CA55D9"/>
    <w:rsid w:val="00CA5607"/>
    <w:rsid w:val="00CA5629"/>
    <w:rsid w:val="00CA56C3"/>
    <w:rsid w:val="00CA57AD"/>
    <w:rsid w:val="00CA5845"/>
    <w:rsid w:val="00CA5876"/>
    <w:rsid w:val="00CA597B"/>
    <w:rsid w:val="00CA5BBE"/>
    <w:rsid w:val="00CA5CAD"/>
    <w:rsid w:val="00CA5D59"/>
    <w:rsid w:val="00CA5DA8"/>
    <w:rsid w:val="00CA5E45"/>
    <w:rsid w:val="00CA5E82"/>
    <w:rsid w:val="00CA5F4F"/>
    <w:rsid w:val="00CA6031"/>
    <w:rsid w:val="00CA604B"/>
    <w:rsid w:val="00CA624B"/>
    <w:rsid w:val="00CA6397"/>
    <w:rsid w:val="00CA63D1"/>
    <w:rsid w:val="00CA6446"/>
    <w:rsid w:val="00CA6476"/>
    <w:rsid w:val="00CA64F2"/>
    <w:rsid w:val="00CA64FD"/>
    <w:rsid w:val="00CA6550"/>
    <w:rsid w:val="00CA66E2"/>
    <w:rsid w:val="00CA6848"/>
    <w:rsid w:val="00CA6876"/>
    <w:rsid w:val="00CA68B9"/>
    <w:rsid w:val="00CA68BF"/>
    <w:rsid w:val="00CA6937"/>
    <w:rsid w:val="00CA6ABF"/>
    <w:rsid w:val="00CA6ADA"/>
    <w:rsid w:val="00CA6B3A"/>
    <w:rsid w:val="00CA6DDA"/>
    <w:rsid w:val="00CA6E41"/>
    <w:rsid w:val="00CA6E8E"/>
    <w:rsid w:val="00CA70B5"/>
    <w:rsid w:val="00CA7207"/>
    <w:rsid w:val="00CA7252"/>
    <w:rsid w:val="00CA72FD"/>
    <w:rsid w:val="00CA7348"/>
    <w:rsid w:val="00CA7502"/>
    <w:rsid w:val="00CA7581"/>
    <w:rsid w:val="00CA7624"/>
    <w:rsid w:val="00CA775D"/>
    <w:rsid w:val="00CA78D6"/>
    <w:rsid w:val="00CA7AA7"/>
    <w:rsid w:val="00CA7B55"/>
    <w:rsid w:val="00CA7C3F"/>
    <w:rsid w:val="00CA7D37"/>
    <w:rsid w:val="00CB03EE"/>
    <w:rsid w:val="00CB042F"/>
    <w:rsid w:val="00CB04C0"/>
    <w:rsid w:val="00CB062E"/>
    <w:rsid w:val="00CB091A"/>
    <w:rsid w:val="00CB0992"/>
    <w:rsid w:val="00CB0B12"/>
    <w:rsid w:val="00CB0C83"/>
    <w:rsid w:val="00CB0DB0"/>
    <w:rsid w:val="00CB0EDE"/>
    <w:rsid w:val="00CB0EF3"/>
    <w:rsid w:val="00CB0FBA"/>
    <w:rsid w:val="00CB10FA"/>
    <w:rsid w:val="00CB1473"/>
    <w:rsid w:val="00CB157C"/>
    <w:rsid w:val="00CB15CA"/>
    <w:rsid w:val="00CB15CB"/>
    <w:rsid w:val="00CB15E9"/>
    <w:rsid w:val="00CB169D"/>
    <w:rsid w:val="00CB1855"/>
    <w:rsid w:val="00CB1881"/>
    <w:rsid w:val="00CB1A08"/>
    <w:rsid w:val="00CB1A57"/>
    <w:rsid w:val="00CB1D16"/>
    <w:rsid w:val="00CB1E0D"/>
    <w:rsid w:val="00CB1E24"/>
    <w:rsid w:val="00CB1ED3"/>
    <w:rsid w:val="00CB1F35"/>
    <w:rsid w:val="00CB1F64"/>
    <w:rsid w:val="00CB1FD1"/>
    <w:rsid w:val="00CB220C"/>
    <w:rsid w:val="00CB2256"/>
    <w:rsid w:val="00CB230B"/>
    <w:rsid w:val="00CB235B"/>
    <w:rsid w:val="00CB23B3"/>
    <w:rsid w:val="00CB23F9"/>
    <w:rsid w:val="00CB24AC"/>
    <w:rsid w:val="00CB24EE"/>
    <w:rsid w:val="00CB26E8"/>
    <w:rsid w:val="00CB2714"/>
    <w:rsid w:val="00CB2961"/>
    <w:rsid w:val="00CB2A31"/>
    <w:rsid w:val="00CB2ABD"/>
    <w:rsid w:val="00CB2B07"/>
    <w:rsid w:val="00CB2BAD"/>
    <w:rsid w:val="00CB2BD5"/>
    <w:rsid w:val="00CB2D04"/>
    <w:rsid w:val="00CB2D8E"/>
    <w:rsid w:val="00CB2D99"/>
    <w:rsid w:val="00CB2E17"/>
    <w:rsid w:val="00CB309B"/>
    <w:rsid w:val="00CB3187"/>
    <w:rsid w:val="00CB3510"/>
    <w:rsid w:val="00CB35CF"/>
    <w:rsid w:val="00CB38E0"/>
    <w:rsid w:val="00CB39AA"/>
    <w:rsid w:val="00CB3A74"/>
    <w:rsid w:val="00CB3AA1"/>
    <w:rsid w:val="00CB3AA9"/>
    <w:rsid w:val="00CB3BEA"/>
    <w:rsid w:val="00CB3D0A"/>
    <w:rsid w:val="00CB3E3F"/>
    <w:rsid w:val="00CB3F1D"/>
    <w:rsid w:val="00CB3FB0"/>
    <w:rsid w:val="00CB3FC8"/>
    <w:rsid w:val="00CB40AC"/>
    <w:rsid w:val="00CB41DB"/>
    <w:rsid w:val="00CB4201"/>
    <w:rsid w:val="00CB425F"/>
    <w:rsid w:val="00CB42C9"/>
    <w:rsid w:val="00CB42D6"/>
    <w:rsid w:val="00CB43DC"/>
    <w:rsid w:val="00CB451E"/>
    <w:rsid w:val="00CB4567"/>
    <w:rsid w:val="00CB45A4"/>
    <w:rsid w:val="00CB469F"/>
    <w:rsid w:val="00CB48DF"/>
    <w:rsid w:val="00CB4942"/>
    <w:rsid w:val="00CB4C0D"/>
    <w:rsid w:val="00CB4DA7"/>
    <w:rsid w:val="00CB4DC1"/>
    <w:rsid w:val="00CB4FD9"/>
    <w:rsid w:val="00CB508C"/>
    <w:rsid w:val="00CB51A0"/>
    <w:rsid w:val="00CB52CD"/>
    <w:rsid w:val="00CB53BC"/>
    <w:rsid w:val="00CB5502"/>
    <w:rsid w:val="00CB555C"/>
    <w:rsid w:val="00CB563E"/>
    <w:rsid w:val="00CB5641"/>
    <w:rsid w:val="00CB56BF"/>
    <w:rsid w:val="00CB56F7"/>
    <w:rsid w:val="00CB57C9"/>
    <w:rsid w:val="00CB5810"/>
    <w:rsid w:val="00CB5AA3"/>
    <w:rsid w:val="00CB5ACA"/>
    <w:rsid w:val="00CB5B01"/>
    <w:rsid w:val="00CB5B0B"/>
    <w:rsid w:val="00CB5C55"/>
    <w:rsid w:val="00CB5E44"/>
    <w:rsid w:val="00CB5FCF"/>
    <w:rsid w:val="00CB6018"/>
    <w:rsid w:val="00CB6323"/>
    <w:rsid w:val="00CB6354"/>
    <w:rsid w:val="00CB63B3"/>
    <w:rsid w:val="00CB6670"/>
    <w:rsid w:val="00CB67C3"/>
    <w:rsid w:val="00CB68B5"/>
    <w:rsid w:val="00CB6C81"/>
    <w:rsid w:val="00CB6D91"/>
    <w:rsid w:val="00CB6DA3"/>
    <w:rsid w:val="00CB6FDD"/>
    <w:rsid w:val="00CB7005"/>
    <w:rsid w:val="00CB72BA"/>
    <w:rsid w:val="00CB7307"/>
    <w:rsid w:val="00CB7331"/>
    <w:rsid w:val="00CB7403"/>
    <w:rsid w:val="00CB7457"/>
    <w:rsid w:val="00CB74A8"/>
    <w:rsid w:val="00CB74AA"/>
    <w:rsid w:val="00CB769D"/>
    <w:rsid w:val="00CB7780"/>
    <w:rsid w:val="00CB78B6"/>
    <w:rsid w:val="00CB7A60"/>
    <w:rsid w:val="00CB7B6C"/>
    <w:rsid w:val="00CB7BBA"/>
    <w:rsid w:val="00CB7BF0"/>
    <w:rsid w:val="00CB7C13"/>
    <w:rsid w:val="00CB7CCE"/>
    <w:rsid w:val="00CB7DEA"/>
    <w:rsid w:val="00CB7E44"/>
    <w:rsid w:val="00CB7F46"/>
    <w:rsid w:val="00CC0020"/>
    <w:rsid w:val="00CC003C"/>
    <w:rsid w:val="00CC00A3"/>
    <w:rsid w:val="00CC01F0"/>
    <w:rsid w:val="00CC0380"/>
    <w:rsid w:val="00CC0394"/>
    <w:rsid w:val="00CC03B2"/>
    <w:rsid w:val="00CC068F"/>
    <w:rsid w:val="00CC0691"/>
    <w:rsid w:val="00CC072B"/>
    <w:rsid w:val="00CC0781"/>
    <w:rsid w:val="00CC0877"/>
    <w:rsid w:val="00CC09D4"/>
    <w:rsid w:val="00CC0A80"/>
    <w:rsid w:val="00CC0BAE"/>
    <w:rsid w:val="00CC0BB9"/>
    <w:rsid w:val="00CC0C4D"/>
    <w:rsid w:val="00CC1153"/>
    <w:rsid w:val="00CC11DF"/>
    <w:rsid w:val="00CC1202"/>
    <w:rsid w:val="00CC1234"/>
    <w:rsid w:val="00CC12F1"/>
    <w:rsid w:val="00CC13C1"/>
    <w:rsid w:val="00CC1562"/>
    <w:rsid w:val="00CC16D6"/>
    <w:rsid w:val="00CC1718"/>
    <w:rsid w:val="00CC183B"/>
    <w:rsid w:val="00CC1A03"/>
    <w:rsid w:val="00CC1A15"/>
    <w:rsid w:val="00CC1B2C"/>
    <w:rsid w:val="00CC1BF3"/>
    <w:rsid w:val="00CC1CBF"/>
    <w:rsid w:val="00CC1CEA"/>
    <w:rsid w:val="00CC1D1A"/>
    <w:rsid w:val="00CC1D93"/>
    <w:rsid w:val="00CC1F03"/>
    <w:rsid w:val="00CC1FD3"/>
    <w:rsid w:val="00CC20A6"/>
    <w:rsid w:val="00CC2190"/>
    <w:rsid w:val="00CC222F"/>
    <w:rsid w:val="00CC2402"/>
    <w:rsid w:val="00CC25D2"/>
    <w:rsid w:val="00CC2601"/>
    <w:rsid w:val="00CC27FE"/>
    <w:rsid w:val="00CC2A75"/>
    <w:rsid w:val="00CC2B0B"/>
    <w:rsid w:val="00CC2B18"/>
    <w:rsid w:val="00CC2B7B"/>
    <w:rsid w:val="00CC2CBD"/>
    <w:rsid w:val="00CC2DC8"/>
    <w:rsid w:val="00CC2E81"/>
    <w:rsid w:val="00CC2FB2"/>
    <w:rsid w:val="00CC2FD6"/>
    <w:rsid w:val="00CC3059"/>
    <w:rsid w:val="00CC306A"/>
    <w:rsid w:val="00CC30E5"/>
    <w:rsid w:val="00CC30FB"/>
    <w:rsid w:val="00CC3115"/>
    <w:rsid w:val="00CC3117"/>
    <w:rsid w:val="00CC3168"/>
    <w:rsid w:val="00CC31E9"/>
    <w:rsid w:val="00CC3212"/>
    <w:rsid w:val="00CC3299"/>
    <w:rsid w:val="00CC3333"/>
    <w:rsid w:val="00CC342D"/>
    <w:rsid w:val="00CC344B"/>
    <w:rsid w:val="00CC344E"/>
    <w:rsid w:val="00CC36FD"/>
    <w:rsid w:val="00CC3707"/>
    <w:rsid w:val="00CC378C"/>
    <w:rsid w:val="00CC3796"/>
    <w:rsid w:val="00CC37A8"/>
    <w:rsid w:val="00CC3895"/>
    <w:rsid w:val="00CC389D"/>
    <w:rsid w:val="00CC3A57"/>
    <w:rsid w:val="00CC3CBF"/>
    <w:rsid w:val="00CC3DC4"/>
    <w:rsid w:val="00CC3E1D"/>
    <w:rsid w:val="00CC3F5B"/>
    <w:rsid w:val="00CC4004"/>
    <w:rsid w:val="00CC4119"/>
    <w:rsid w:val="00CC420D"/>
    <w:rsid w:val="00CC42D4"/>
    <w:rsid w:val="00CC4697"/>
    <w:rsid w:val="00CC46E9"/>
    <w:rsid w:val="00CC4755"/>
    <w:rsid w:val="00CC47D6"/>
    <w:rsid w:val="00CC47FB"/>
    <w:rsid w:val="00CC488B"/>
    <w:rsid w:val="00CC48C6"/>
    <w:rsid w:val="00CC48ED"/>
    <w:rsid w:val="00CC4BC7"/>
    <w:rsid w:val="00CC4CE2"/>
    <w:rsid w:val="00CC4CE9"/>
    <w:rsid w:val="00CC4D0D"/>
    <w:rsid w:val="00CC4EC6"/>
    <w:rsid w:val="00CC4FEA"/>
    <w:rsid w:val="00CC5289"/>
    <w:rsid w:val="00CC54B8"/>
    <w:rsid w:val="00CC5530"/>
    <w:rsid w:val="00CC5598"/>
    <w:rsid w:val="00CC55D4"/>
    <w:rsid w:val="00CC567C"/>
    <w:rsid w:val="00CC572C"/>
    <w:rsid w:val="00CC5796"/>
    <w:rsid w:val="00CC5874"/>
    <w:rsid w:val="00CC5956"/>
    <w:rsid w:val="00CC5CE9"/>
    <w:rsid w:val="00CC5D0B"/>
    <w:rsid w:val="00CC5D7D"/>
    <w:rsid w:val="00CC5E7F"/>
    <w:rsid w:val="00CC5FC2"/>
    <w:rsid w:val="00CC609C"/>
    <w:rsid w:val="00CC60A8"/>
    <w:rsid w:val="00CC6138"/>
    <w:rsid w:val="00CC6260"/>
    <w:rsid w:val="00CC6343"/>
    <w:rsid w:val="00CC6414"/>
    <w:rsid w:val="00CC665A"/>
    <w:rsid w:val="00CC6661"/>
    <w:rsid w:val="00CC69DF"/>
    <w:rsid w:val="00CC6A38"/>
    <w:rsid w:val="00CC6ADA"/>
    <w:rsid w:val="00CC6B65"/>
    <w:rsid w:val="00CC6E1A"/>
    <w:rsid w:val="00CC6EF6"/>
    <w:rsid w:val="00CC720D"/>
    <w:rsid w:val="00CC7275"/>
    <w:rsid w:val="00CC748F"/>
    <w:rsid w:val="00CC74FB"/>
    <w:rsid w:val="00CC757A"/>
    <w:rsid w:val="00CC7621"/>
    <w:rsid w:val="00CC7654"/>
    <w:rsid w:val="00CC76CA"/>
    <w:rsid w:val="00CC7715"/>
    <w:rsid w:val="00CC7776"/>
    <w:rsid w:val="00CC7849"/>
    <w:rsid w:val="00CC7866"/>
    <w:rsid w:val="00CC790B"/>
    <w:rsid w:val="00CC7A40"/>
    <w:rsid w:val="00CC7BB6"/>
    <w:rsid w:val="00CC7DE3"/>
    <w:rsid w:val="00CC7EBB"/>
    <w:rsid w:val="00CC7FB1"/>
    <w:rsid w:val="00CD014C"/>
    <w:rsid w:val="00CD01E6"/>
    <w:rsid w:val="00CD046D"/>
    <w:rsid w:val="00CD0623"/>
    <w:rsid w:val="00CD069C"/>
    <w:rsid w:val="00CD06D8"/>
    <w:rsid w:val="00CD06DD"/>
    <w:rsid w:val="00CD070A"/>
    <w:rsid w:val="00CD07A2"/>
    <w:rsid w:val="00CD0805"/>
    <w:rsid w:val="00CD086A"/>
    <w:rsid w:val="00CD087A"/>
    <w:rsid w:val="00CD0906"/>
    <w:rsid w:val="00CD0912"/>
    <w:rsid w:val="00CD0B41"/>
    <w:rsid w:val="00CD0BF1"/>
    <w:rsid w:val="00CD0BF7"/>
    <w:rsid w:val="00CD0C41"/>
    <w:rsid w:val="00CD0C4A"/>
    <w:rsid w:val="00CD0F8D"/>
    <w:rsid w:val="00CD1105"/>
    <w:rsid w:val="00CD11CC"/>
    <w:rsid w:val="00CD12A3"/>
    <w:rsid w:val="00CD131E"/>
    <w:rsid w:val="00CD13E5"/>
    <w:rsid w:val="00CD1404"/>
    <w:rsid w:val="00CD15BB"/>
    <w:rsid w:val="00CD1627"/>
    <w:rsid w:val="00CD1728"/>
    <w:rsid w:val="00CD1862"/>
    <w:rsid w:val="00CD1A6D"/>
    <w:rsid w:val="00CD1BA8"/>
    <w:rsid w:val="00CD1D4F"/>
    <w:rsid w:val="00CD1E76"/>
    <w:rsid w:val="00CD1F23"/>
    <w:rsid w:val="00CD1FCE"/>
    <w:rsid w:val="00CD2014"/>
    <w:rsid w:val="00CD208D"/>
    <w:rsid w:val="00CD21EB"/>
    <w:rsid w:val="00CD2238"/>
    <w:rsid w:val="00CD228F"/>
    <w:rsid w:val="00CD2329"/>
    <w:rsid w:val="00CD24DA"/>
    <w:rsid w:val="00CD2593"/>
    <w:rsid w:val="00CD269D"/>
    <w:rsid w:val="00CD2779"/>
    <w:rsid w:val="00CD2786"/>
    <w:rsid w:val="00CD2D1D"/>
    <w:rsid w:val="00CD2DFA"/>
    <w:rsid w:val="00CD2E42"/>
    <w:rsid w:val="00CD311C"/>
    <w:rsid w:val="00CD3194"/>
    <w:rsid w:val="00CD3363"/>
    <w:rsid w:val="00CD3492"/>
    <w:rsid w:val="00CD36AF"/>
    <w:rsid w:val="00CD36BE"/>
    <w:rsid w:val="00CD36D3"/>
    <w:rsid w:val="00CD37C7"/>
    <w:rsid w:val="00CD3AE1"/>
    <w:rsid w:val="00CD3B62"/>
    <w:rsid w:val="00CD3B73"/>
    <w:rsid w:val="00CD3C6F"/>
    <w:rsid w:val="00CD3CA6"/>
    <w:rsid w:val="00CD3CAF"/>
    <w:rsid w:val="00CD3CE6"/>
    <w:rsid w:val="00CD3CF6"/>
    <w:rsid w:val="00CD3D0D"/>
    <w:rsid w:val="00CD3E82"/>
    <w:rsid w:val="00CD40DD"/>
    <w:rsid w:val="00CD40E5"/>
    <w:rsid w:val="00CD4245"/>
    <w:rsid w:val="00CD43B3"/>
    <w:rsid w:val="00CD4412"/>
    <w:rsid w:val="00CD4486"/>
    <w:rsid w:val="00CD458D"/>
    <w:rsid w:val="00CD45F0"/>
    <w:rsid w:val="00CD473C"/>
    <w:rsid w:val="00CD474E"/>
    <w:rsid w:val="00CD48D1"/>
    <w:rsid w:val="00CD48D9"/>
    <w:rsid w:val="00CD4A05"/>
    <w:rsid w:val="00CD4CE2"/>
    <w:rsid w:val="00CD4D0F"/>
    <w:rsid w:val="00CD4E1C"/>
    <w:rsid w:val="00CD4F53"/>
    <w:rsid w:val="00CD4F6E"/>
    <w:rsid w:val="00CD5045"/>
    <w:rsid w:val="00CD50FE"/>
    <w:rsid w:val="00CD5347"/>
    <w:rsid w:val="00CD55BE"/>
    <w:rsid w:val="00CD5696"/>
    <w:rsid w:val="00CD5A4A"/>
    <w:rsid w:val="00CD5AB4"/>
    <w:rsid w:val="00CD5BCE"/>
    <w:rsid w:val="00CD5C34"/>
    <w:rsid w:val="00CD5F1B"/>
    <w:rsid w:val="00CD5F3C"/>
    <w:rsid w:val="00CD5FDA"/>
    <w:rsid w:val="00CD6233"/>
    <w:rsid w:val="00CD6456"/>
    <w:rsid w:val="00CD65A7"/>
    <w:rsid w:val="00CD6619"/>
    <w:rsid w:val="00CD66D3"/>
    <w:rsid w:val="00CD6793"/>
    <w:rsid w:val="00CD6836"/>
    <w:rsid w:val="00CD68B1"/>
    <w:rsid w:val="00CD693C"/>
    <w:rsid w:val="00CD697A"/>
    <w:rsid w:val="00CD69AE"/>
    <w:rsid w:val="00CD6A84"/>
    <w:rsid w:val="00CD6AC4"/>
    <w:rsid w:val="00CD6C48"/>
    <w:rsid w:val="00CD6D54"/>
    <w:rsid w:val="00CD6EA3"/>
    <w:rsid w:val="00CD702F"/>
    <w:rsid w:val="00CD71A1"/>
    <w:rsid w:val="00CD71CF"/>
    <w:rsid w:val="00CD7271"/>
    <w:rsid w:val="00CD73C0"/>
    <w:rsid w:val="00CD7465"/>
    <w:rsid w:val="00CD7526"/>
    <w:rsid w:val="00CD75E8"/>
    <w:rsid w:val="00CD78CD"/>
    <w:rsid w:val="00CD794F"/>
    <w:rsid w:val="00CD7A42"/>
    <w:rsid w:val="00CD7B27"/>
    <w:rsid w:val="00CD7D06"/>
    <w:rsid w:val="00CD7E1A"/>
    <w:rsid w:val="00CD7FDF"/>
    <w:rsid w:val="00CE0267"/>
    <w:rsid w:val="00CE0290"/>
    <w:rsid w:val="00CE02CB"/>
    <w:rsid w:val="00CE0351"/>
    <w:rsid w:val="00CE035B"/>
    <w:rsid w:val="00CE03F0"/>
    <w:rsid w:val="00CE04FE"/>
    <w:rsid w:val="00CE052F"/>
    <w:rsid w:val="00CE0563"/>
    <w:rsid w:val="00CE0705"/>
    <w:rsid w:val="00CE0711"/>
    <w:rsid w:val="00CE0800"/>
    <w:rsid w:val="00CE0A66"/>
    <w:rsid w:val="00CE0ACB"/>
    <w:rsid w:val="00CE0AE2"/>
    <w:rsid w:val="00CE0AF8"/>
    <w:rsid w:val="00CE0CA7"/>
    <w:rsid w:val="00CE0D97"/>
    <w:rsid w:val="00CE1141"/>
    <w:rsid w:val="00CE11C0"/>
    <w:rsid w:val="00CE1387"/>
    <w:rsid w:val="00CE1479"/>
    <w:rsid w:val="00CE14DE"/>
    <w:rsid w:val="00CE1535"/>
    <w:rsid w:val="00CE1677"/>
    <w:rsid w:val="00CE172B"/>
    <w:rsid w:val="00CE180F"/>
    <w:rsid w:val="00CE18C2"/>
    <w:rsid w:val="00CE19BA"/>
    <w:rsid w:val="00CE1A20"/>
    <w:rsid w:val="00CE1A51"/>
    <w:rsid w:val="00CE1A9F"/>
    <w:rsid w:val="00CE1B25"/>
    <w:rsid w:val="00CE1B3E"/>
    <w:rsid w:val="00CE1B9D"/>
    <w:rsid w:val="00CE1C68"/>
    <w:rsid w:val="00CE1F96"/>
    <w:rsid w:val="00CE1FAA"/>
    <w:rsid w:val="00CE20D4"/>
    <w:rsid w:val="00CE2156"/>
    <w:rsid w:val="00CE2199"/>
    <w:rsid w:val="00CE2323"/>
    <w:rsid w:val="00CE2396"/>
    <w:rsid w:val="00CE24C6"/>
    <w:rsid w:val="00CE2621"/>
    <w:rsid w:val="00CE2634"/>
    <w:rsid w:val="00CE272A"/>
    <w:rsid w:val="00CE27EE"/>
    <w:rsid w:val="00CE28E3"/>
    <w:rsid w:val="00CE28F1"/>
    <w:rsid w:val="00CE297E"/>
    <w:rsid w:val="00CE2A03"/>
    <w:rsid w:val="00CE2B08"/>
    <w:rsid w:val="00CE2D00"/>
    <w:rsid w:val="00CE2E25"/>
    <w:rsid w:val="00CE2EB5"/>
    <w:rsid w:val="00CE2F55"/>
    <w:rsid w:val="00CE2F98"/>
    <w:rsid w:val="00CE31E5"/>
    <w:rsid w:val="00CE3304"/>
    <w:rsid w:val="00CE3447"/>
    <w:rsid w:val="00CE3482"/>
    <w:rsid w:val="00CE34EE"/>
    <w:rsid w:val="00CE355C"/>
    <w:rsid w:val="00CE3653"/>
    <w:rsid w:val="00CE372B"/>
    <w:rsid w:val="00CE38C5"/>
    <w:rsid w:val="00CE39B6"/>
    <w:rsid w:val="00CE39F6"/>
    <w:rsid w:val="00CE3A1A"/>
    <w:rsid w:val="00CE3A6A"/>
    <w:rsid w:val="00CE3CED"/>
    <w:rsid w:val="00CE3D02"/>
    <w:rsid w:val="00CE3DBD"/>
    <w:rsid w:val="00CE3F52"/>
    <w:rsid w:val="00CE3F69"/>
    <w:rsid w:val="00CE3F96"/>
    <w:rsid w:val="00CE406C"/>
    <w:rsid w:val="00CE4084"/>
    <w:rsid w:val="00CE40F9"/>
    <w:rsid w:val="00CE4324"/>
    <w:rsid w:val="00CE4490"/>
    <w:rsid w:val="00CE4539"/>
    <w:rsid w:val="00CE4627"/>
    <w:rsid w:val="00CE4645"/>
    <w:rsid w:val="00CE470C"/>
    <w:rsid w:val="00CE472F"/>
    <w:rsid w:val="00CE4765"/>
    <w:rsid w:val="00CE4798"/>
    <w:rsid w:val="00CE4862"/>
    <w:rsid w:val="00CE48A2"/>
    <w:rsid w:val="00CE48A6"/>
    <w:rsid w:val="00CE4965"/>
    <w:rsid w:val="00CE49A2"/>
    <w:rsid w:val="00CE49A3"/>
    <w:rsid w:val="00CE49F5"/>
    <w:rsid w:val="00CE4AA7"/>
    <w:rsid w:val="00CE4BB0"/>
    <w:rsid w:val="00CE4EF7"/>
    <w:rsid w:val="00CE501A"/>
    <w:rsid w:val="00CE50F0"/>
    <w:rsid w:val="00CE513D"/>
    <w:rsid w:val="00CE51B3"/>
    <w:rsid w:val="00CE52CC"/>
    <w:rsid w:val="00CE52EC"/>
    <w:rsid w:val="00CE538F"/>
    <w:rsid w:val="00CE5407"/>
    <w:rsid w:val="00CE5410"/>
    <w:rsid w:val="00CE54D2"/>
    <w:rsid w:val="00CE54DA"/>
    <w:rsid w:val="00CE55EC"/>
    <w:rsid w:val="00CE578A"/>
    <w:rsid w:val="00CE5977"/>
    <w:rsid w:val="00CE59DE"/>
    <w:rsid w:val="00CE5A4A"/>
    <w:rsid w:val="00CE5A90"/>
    <w:rsid w:val="00CE5B6F"/>
    <w:rsid w:val="00CE5E88"/>
    <w:rsid w:val="00CE5F51"/>
    <w:rsid w:val="00CE60A4"/>
    <w:rsid w:val="00CE610E"/>
    <w:rsid w:val="00CE6310"/>
    <w:rsid w:val="00CE633C"/>
    <w:rsid w:val="00CE6353"/>
    <w:rsid w:val="00CE6357"/>
    <w:rsid w:val="00CE6604"/>
    <w:rsid w:val="00CE6731"/>
    <w:rsid w:val="00CE6851"/>
    <w:rsid w:val="00CE6889"/>
    <w:rsid w:val="00CE68E0"/>
    <w:rsid w:val="00CE6AA6"/>
    <w:rsid w:val="00CE6EDA"/>
    <w:rsid w:val="00CE6F0E"/>
    <w:rsid w:val="00CE6F0F"/>
    <w:rsid w:val="00CE6F21"/>
    <w:rsid w:val="00CE70EE"/>
    <w:rsid w:val="00CE7148"/>
    <w:rsid w:val="00CE7228"/>
    <w:rsid w:val="00CE72A1"/>
    <w:rsid w:val="00CE7351"/>
    <w:rsid w:val="00CE7363"/>
    <w:rsid w:val="00CE74DA"/>
    <w:rsid w:val="00CE75A6"/>
    <w:rsid w:val="00CE7711"/>
    <w:rsid w:val="00CE7871"/>
    <w:rsid w:val="00CE78AA"/>
    <w:rsid w:val="00CE78D5"/>
    <w:rsid w:val="00CE7904"/>
    <w:rsid w:val="00CE7924"/>
    <w:rsid w:val="00CE79D0"/>
    <w:rsid w:val="00CE7A94"/>
    <w:rsid w:val="00CE7CB3"/>
    <w:rsid w:val="00CE7EA9"/>
    <w:rsid w:val="00CE7F23"/>
    <w:rsid w:val="00CE7FAC"/>
    <w:rsid w:val="00CF000A"/>
    <w:rsid w:val="00CF0082"/>
    <w:rsid w:val="00CF01A4"/>
    <w:rsid w:val="00CF01C4"/>
    <w:rsid w:val="00CF023B"/>
    <w:rsid w:val="00CF0384"/>
    <w:rsid w:val="00CF06FB"/>
    <w:rsid w:val="00CF07B9"/>
    <w:rsid w:val="00CF08A2"/>
    <w:rsid w:val="00CF0955"/>
    <w:rsid w:val="00CF09B6"/>
    <w:rsid w:val="00CF0A61"/>
    <w:rsid w:val="00CF0BCB"/>
    <w:rsid w:val="00CF0BEC"/>
    <w:rsid w:val="00CF0D61"/>
    <w:rsid w:val="00CF0DD8"/>
    <w:rsid w:val="00CF0E99"/>
    <w:rsid w:val="00CF0F0F"/>
    <w:rsid w:val="00CF0F40"/>
    <w:rsid w:val="00CF0F6E"/>
    <w:rsid w:val="00CF1029"/>
    <w:rsid w:val="00CF1098"/>
    <w:rsid w:val="00CF10F8"/>
    <w:rsid w:val="00CF12D7"/>
    <w:rsid w:val="00CF12E8"/>
    <w:rsid w:val="00CF14CF"/>
    <w:rsid w:val="00CF1581"/>
    <w:rsid w:val="00CF1656"/>
    <w:rsid w:val="00CF17DD"/>
    <w:rsid w:val="00CF1887"/>
    <w:rsid w:val="00CF1889"/>
    <w:rsid w:val="00CF18BB"/>
    <w:rsid w:val="00CF191E"/>
    <w:rsid w:val="00CF19AC"/>
    <w:rsid w:val="00CF1A2D"/>
    <w:rsid w:val="00CF1A9E"/>
    <w:rsid w:val="00CF1AAE"/>
    <w:rsid w:val="00CF1CC6"/>
    <w:rsid w:val="00CF1CD1"/>
    <w:rsid w:val="00CF1D06"/>
    <w:rsid w:val="00CF1DFD"/>
    <w:rsid w:val="00CF1E24"/>
    <w:rsid w:val="00CF1EA3"/>
    <w:rsid w:val="00CF1EDD"/>
    <w:rsid w:val="00CF1FE4"/>
    <w:rsid w:val="00CF1FF9"/>
    <w:rsid w:val="00CF225F"/>
    <w:rsid w:val="00CF228F"/>
    <w:rsid w:val="00CF236E"/>
    <w:rsid w:val="00CF23F0"/>
    <w:rsid w:val="00CF2510"/>
    <w:rsid w:val="00CF26F0"/>
    <w:rsid w:val="00CF278E"/>
    <w:rsid w:val="00CF27FC"/>
    <w:rsid w:val="00CF28FE"/>
    <w:rsid w:val="00CF2907"/>
    <w:rsid w:val="00CF2913"/>
    <w:rsid w:val="00CF2926"/>
    <w:rsid w:val="00CF29CB"/>
    <w:rsid w:val="00CF2CAF"/>
    <w:rsid w:val="00CF2E27"/>
    <w:rsid w:val="00CF2F1C"/>
    <w:rsid w:val="00CF2F60"/>
    <w:rsid w:val="00CF2FCD"/>
    <w:rsid w:val="00CF30FB"/>
    <w:rsid w:val="00CF313B"/>
    <w:rsid w:val="00CF32C7"/>
    <w:rsid w:val="00CF3382"/>
    <w:rsid w:val="00CF338D"/>
    <w:rsid w:val="00CF3435"/>
    <w:rsid w:val="00CF3669"/>
    <w:rsid w:val="00CF369C"/>
    <w:rsid w:val="00CF3847"/>
    <w:rsid w:val="00CF390B"/>
    <w:rsid w:val="00CF3995"/>
    <w:rsid w:val="00CF3A44"/>
    <w:rsid w:val="00CF3AC9"/>
    <w:rsid w:val="00CF3BEE"/>
    <w:rsid w:val="00CF3C7C"/>
    <w:rsid w:val="00CF3DF2"/>
    <w:rsid w:val="00CF408B"/>
    <w:rsid w:val="00CF4096"/>
    <w:rsid w:val="00CF417E"/>
    <w:rsid w:val="00CF438A"/>
    <w:rsid w:val="00CF439F"/>
    <w:rsid w:val="00CF43ED"/>
    <w:rsid w:val="00CF4407"/>
    <w:rsid w:val="00CF46E0"/>
    <w:rsid w:val="00CF47DA"/>
    <w:rsid w:val="00CF4827"/>
    <w:rsid w:val="00CF48EB"/>
    <w:rsid w:val="00CF4B54"/>
    <w:rsid w:val="00CF4C4F"/>
    <w:rsid w:val="00CF50F3"/>
    <w:rsid w:val="00CF5123"/>
    <w:rsid w:val="00CF5199"/>
    <w:rsid w:val="00CF543B"/>
    <w:rsid w:val="00CF551C"/>
    <w:rsid w:val="00CF567D"/>
    <w:rsid w:val="00CF58FA"/>
    <w:rsid w:val="00CF5964"/>
    <w:rsid w:val="00CF5A94"/>
    <w:rsid w:val="00CF5AF0"/>
    <w:rsid w:val="00CF5CD5"/>
    <w:rsid w:val="00CF5F05"/>
    <w:rsid w:val="00CF6135"/>
    <w:rsid w:val="00CF61BE"/>
    <w:rsid w:val="00CF6232"/>
    <w:rsid w:val="00CF6252"/>
    <w:rsid w:val="00CF63B5"/>
    <w:rsid w:val="00CF659B"/>
    <w:rsid w:val="00CF68C8"/>
    <w:rsid w:val="00CF6AEA"/>
    <w:rsid w:val="00CF6C83"/>
    <w:rsid w:val="00CF6C91"/>
    <w:rsid w:val="00CF7047"/>
    <w:rsid w:val="00CF708F"/>
    <w:rsid w:val="00CF7120"/>
    <w:rsid w:val="00CF7121"/>
    <w:rsid w:val="00CF71A3"/>
    <w:rsid w:val="00CF724C"/>
    <w:rsid w:val="00CF7251"/>
    <w:rsid w:val="00CF760B"/>
    <w:rsid w:val="00CF769B"/>
    <w:rsid w:val="00CF76CA"/>
    <w:rsid w:val="00CF779D"/>
    <w:rsid w:val="00CF782F"/>
    <w:rsid w:val="00CF7832"/>
    <w:rsid w:val="00CF7BA5"/>
    <w:rsid w:val="00CF7F00"/>
    <w:rsid w:val="00CF7FD2"/>
    <w:rsid w:val="00D00020"/>
    <w:rsid w:val="00D001B4"/>
    <w:rsid w:val="00D002C9"/>
    <w:rsid w:val="00D00343"/>
    <w:rsid w:val="00D003B7"/>
    <w:rsid w:val="00D003CE"/>
    <w:rsid w:val="00D003F9"/>
    <w:rsid w:val="00D0052C"/>
    <w:rsid w:val="00D006CD"/>
    <w:rsid w:val="00D00842"/>
    <w:rsid w:val="00D00866"/>
    <w:rsid w:val="00D0087C"/>
    <w:rsid w:val="00D0090A"/>
    <w:rsid w:val="00D0093F"/>
    <w:rsid w:val="00D0099C"/>
    <w:rsid w:val="00D009C9"/>
    <w:rsid w:val="00D00B51"/>
    <w:rsid w:val="00D00B9D"/>
    <w:rsid w:val="00D00BF1"/>
    <w:rsid w:val="00D00C01"/>
    <w:rsid w:val="00D00DD9"/>
    <w:rsid w:val="00D00E29"/>
    <w:rsid w:val="00D00E36"/>
    <w:rsid w:val="00D00E78"/>
    <w:rsid w:val="00D00F1D"/>
    <w:rsid w:val="00D00F96"/>
    <w:rsid w:val="00D00FF9"/>
    <w:rsid w:val="00D0102F"/>
    <w:rsid w:val="00D010FE"/>
    <w:rsid w:val="00D011A9"/>
    <w:rsid w:val="00D01352"/>
    <w:rsid w:val="00D0154C"/>
    <w:rsid w:val="00D01594"/>
    <w:rsid w:val="00D01849"/>
    <w:rsid w:val="00D0196C"/>
    <w:rsid w:val="00D01997"/>
    <w:rsid w:val="00D01ABE"/>
    <w:rsid w:val="00D01C3F"/>
    <w:rsid w:val="00D01D36"/>
    <w:rsid w:val="00D01D5D"/>
    <w:rsid w:val="00D01D63"/>
    <w:rsid w:val="00D01E7A"/>
    <w:rsid w:val="00D01E81"/>
    <w:rsid w:val="00D01EF2"/>
    <w:rsid w:val="00D02209"/>
    <w:rsid w:val="00D0241B"/>
    <w:rsid w:val="00D024D7"/>
    <w:rsid w:val="00D02503"/>
    <w:rsid w:val="00D02526"/>
    <w:rsid w:val="00D025E4"/>
    <w:rsid w:val="00D0274F"/>
    <w:rsid w:val="00D027E3"/>
    <w:rsid w:val="00D028A9"/>
    <w:rsid w:val="00D0292B"/>
    <w:rsid w:val="00D02AB0"/>
    <w:rsid w:val="00D02B3A"/>
    <w:rsid w:val="00D02DEB"/>
    <w:rsid w:val="00D02E98"/>
    <w:rsid w:val="00D02ED7"/>
    <w:rsid w:val="00D02F4F"/>
    <w:rsid w:val="00D03069"/>
    <w:rsid w:val="00D030EB"/>
    <w:rsid w:val="00D03119"/>
    <w:rsid w:val="00D0320B"/>
    <w:rsid w:val="00D033DE"/>
    <w:rsid w:val="00D0361E"/>
    <w:rsid w:val="00D03A28"/>
    <w:rsid w:val="00D03B7D"/>
    <w:rsid w:val="00D03BAC"/>
    <w:rsid w:val="00D03BE1"/>
    <w:rsid w:val="00D03C0B"/>
    <w:rsid w:val="00D03DB7"/>
    <w:rsid w:val="00D03DB9"/>
    <w:rsid w:val="00D03EA4"/>
    <w:rsid w:val="00D03F1C"/>
    <w:rsid w:val="00D04058"/>
    <w:rsid w:val="00D0419A"/>
    <w:rsid w:val="00D042D0"/>
    <w:rsid w:val="00D04355"/>
    <w:rsid w:val="00D043CF"/>
    <w:rsid w:val="00D04551"/>
    <w:rsid w:val="00D04570"/>
    <w:rsid w:val="00D045FC"/>
    <w:rsid w:val="00D04702"/>
    <w:rsid w:val="00D04839"/>
    <w:rsid w:val="00D049FC"/>
    <w:rsid w:val="00D04CB3"/>
    <w:rsid w:val="00D0509C"/>
    <w:rsid w:val="00D050D3"/>
    <w:rsid w:val="00D051CA"/>
    <w:rsid w:val="00D0525A"/>
    <w:rsid w:val="00D05292"/>
    <w:rsid w:val="00D0531A"/>
    <w:rsid w:val="00D05372"/>
    <w:rsid w:val="00D053F0"/>
    <w:rsid w:val="00D054A0"/>
    <w:rsid w:val="00D05682"/>
    <w:rsid w:val="00D05715"/>
    <w:rsid w:val="00D057BA"/>
    <w:rsid w:val="00D05831"/>
    <w:rsid w:val="00D0584A"/>
    <w:rsid w:val="00D0586C"/>
    <w:rsid w:val="00D0588B"/>
    <w:rsid w:val="00D0599B"/>
    <w:rsid w:val="00D05A3C"/>
    <w:rsid w:val="00D05A69"/>
    <w:rsid w:val="00D05B82"/>
    <w:rsid w:val="00D05BC9"/>
    <w:rsid w:val="00D05E02"/>
    <w:rsid w:val="00D05ED9"/>
    <w:rsid w:val="00D05F5D"/>
    <w:rsid w:val="00D05F66"/>
    <w:rsid w:val="00D05FA2"/>
    <w:rsid w:val="00D06010"/>
    <w:rsid w:val="00D06017"/>
    <w:rsid w:val="00D0608A"/>
    <w:rsid w:val="00D061E1"/>
    <w:rsid w:val="00D06319"/>
    <w:rsid w:val="00D064EB"/>
    <w:rsid w:val="00D066C9"/>
    <w:rsid w:val="00D0688C"/>
    <w:rsid w:val="00D06938"/>
    <w:rsid w:val="00D06CA8"/>
    <w:rsid w:val="00D06CE7"/>
    <w:rsid w:val="00D06D4B"/>
    <w:rsid w:val="00D06E7C"/>
    <w:rsid w:val="00D06FD4"/>
    <w:rsid w:val="00D0711E"/>
    <w:rsid w:val="00D07136"/>
    <w:rsid w:val="00D07256"/>
    <w:rsid w:val="00D07397"/>
    <w:rsid w:val="00D07466"/>
    <w:rsid w:val="00D07496"/>
    <w:rsid w:val="00D07574"/>
    <w:rsid w:val="00D0758E"/>
    <w:rsid w:val="00D075D9"/>
    <w:rsid w:val="00D07610"/>
    <w:rsid w:val="00D07690"/>
    <w:rsid w:val="00D07697"/>
    <w:rsid w:val="00D076AE"/>
    <w:rsid w:val="00D077C1"/>
    <w:rsid w:val="00D0799C"/>
    <w:rsid w:val="00D079E7"/>
    <w:rsid w:val="00D07CC9"/>
    <w:rsid w:val="00D07EE5"/>
    <w:rsid w:val="00D07F19"/>
    <w:rsid w:val="00D07F5D"/>
    <w:rsid w:val="00D07FE0"/>
    <w:rsid w:val="00D07FEC"/>
    <w:rsid w:val="00D1002F"/>
    <w:rsid w:val="00D10136"/>
    <w:rsid w:val="00D1018E"/>
    <w:rsid w:val="00D102DE"/>
    <w:rsid w:val="00D10338"/>
    <w:rsid w:val="00D10411"/>
    <w:rsid w:val="00D104DE"/>
    <w:rsid w:val="00D10617"/>
    <w:rsid w:val="00D10A0B"/>
    <w:rsid w:val="00D10A1C"/>
    <w:rsid w:val="00D10A36"/>
    <w:rsid w:val="00D10AAC"/>
    <w:rsid w:val="00D10E3B"/>
    <w:rsid w:val="00D10F2A"/>
    <w:rsid w:val="00D10F7E"/>
    <w:rsid w:val="00D10FC1"/>
    <w:rsid w:val="00D11164"/>
    <w:rsid w:val="00D111B4"/>
    <w:rsid w:val="00D11430"/>
    <w:rsid w:val="00D1151C"/>
    <w:rsid w:val="00D1173B"/>
    <w:rsid w:val="00D117E8"/>
    <w:rsid w:val="00D11905"/>
    <w:rsid w:val="00D11919"/>
    <w:rsid w:val="00D11A30"/>
    <w:rsid w:val="00D11E1E"/>
    <w:rsid w:val="00D11F7D"/>
    <w:rsid w:val="00D12098"/>
    <w:rsid w:val="00D122F4"/>
    <w:rsid w:val="00D1238A"/>
    <w:rsid w:val="00D12392"/>
    <w:rsid w:val="00D12572"/>
    <w:rsid w:val="00D127BF"/>
    <w:rsid w:val="00D12803"/>
    <w:rsid w:val="00D128ED"/>
    <w:rsid w:val="00D1299F"/>
    <w:rsid w:val="00D129B8"/>
    <w:rsid w:val="00D12C6E"/>
    <w:rsid w:val="00D12C8A"/>
    <w:rsid w:val="00D12CFB"/>
    <w:rsid w:val="00D12D46"/>
    <w:rsid w:val="00D12E83"/>
    <w:rsid w:val="00D12EB6"/>
    <w:rsid w:val="00D12EDA"/>
    <w:rsid w:val="00D12EE2"/>
    <w:rsid w:val="00D12F2B"/>
    <w:rsid w:val="00D12F4F"/>
    <w:rsid w:val="00D12F99"/>
    <w:rsid w:val="00D130AE"/>
    <w:rsid w:val="00D13104"/>
    <w:rsid w:val="00D1315E"/>
    <w:rsid w:val="00D131B9"/>
    <w:rsid w:val="00D13203"/>
    <w:rsid w:val="00D13769"/>
    <w:rsid w:val="00D13810"/>
    <w:rsid w:val="00D13870"/>
    <w:rsid w:val="00D138CC"/>
    <w:rsid w:val="00D13A34"/>
    <w:rsid w:val="00D13A37"/>
    <w:rsid w:val="00D13D41"/>
    <w:rsid w:val="00D13DCA"/>
    <w:rsid w:val="00D13EA6"/>
    <w:rsid w:val="00D140C9"/>
    <w:rsid w:val="00D14160"/>
    <w:rsid w:val="00D142E5"/>
    <w:rsid w:val="00D14509"/>
    <w:rsid w:val="00D14597"/>
    <w:rsid w:val="00D1459B"/>
    <w:rsid w:val="00D146FF"/>
    <w:rsid w:val="00D1486E"/>
    <w:rsid w:val="00D149A3"/>
    <w:rsid w:val="00D149BA"/>
    <w:rsid w:val="00D14A87"/>
    <w:rsid w:val="00D14B9C"/>
    <w:rsid w:val="00D14BE3"/>
    <w:rsid w:val="00D14C32"/>
    <w:rsid w:val="00D14E13"/>
    <w:rsid w:val="00D14E59"/>
    <w:rsid w:val="00D14EF5"/>
    <w:rsid w:val="00D14FB9"/>
    <w:rsid w:val="00D150FC"/>
    <w:rsid w:val="00D15183"/>
    <w:rsid w:val="00D1525E"/>
    <w:rsid w:val="00D15367"/>
    <w:rsid w:val="00D1550E"/>
    <w:rsid w:val="00D15554"/>
    <w:rsid w:val="00D1555A"/>
    <w:rsid w:val="00D1557F"/>
    <w:rsid w:val="00D155E7"/>
    <w:rsid w:val="00D15622"/>
    <w:rsid w:val="00D1575C"/>
    <w:rsid w:val="00D15839"/>
    <w:rsid w:val="00D158B3"/>
    <w:rsid w:val="00D1598B"/>
    <w:rsid w:val="00D15A53"/>
    <w:rsid w:val="00D15E67"/>
    <w:rsid w:val="00D15EBB"/>
    <w:rsid w:val="00D15F46"/>
    <w:rsid w:val="00D15F5C"/>
    <w:rsid w:val="00D15F99"/>
    <w:rsid w:val="00D16037"/>
    <w:rsid w:val="00D160E3"/>
    <w:rsid w:val="00D160E8"/>
    <w:rsid w:val="00D16319"/>
    <w:rsid w:val="00D16407"/>
    <w:rsid w:val="00D1645F"/>
    <w:rsid w:val="00D1647B"/>
    <w:rsid w:val="00D166E7"/>
    <w:rsid w:val="00D1671E"/>
    <w:rsid w:val="00D16930"/>
    <w:rsid w:val="00D16C07"/>
    <w:rsid w:val="00D16DCF"/>
    <w:rsid w:val="00D16EA7"/>
    <w:rsid w:val="00D16EBA"/>
    <w:rsid w:val="00D16F37"/>
    <w:rsid w:val="00D17040"/>
    <w:rsid w:val="00D170D0"/>
    <w:rsid w:val="00D1721B"/>
    <w:rsid w:val="00D1722D"/>
    <w:rsid w:val="00D172BE"/>
    <w:rsid w:val="00D17332"/>
    <w:rsid w:val="00D1734C"/>
    <w:rsid w:val="00D174E5"/>
    <w:rsid w:val="00D17802"/>
    <w:rsid w:val="00D17880"/>
    <w:rsid w:val="00D17913"/>
    <w:rsid w:val="00D1795B"/>
    <w:rsid w:val="00D17A9B"/>
    <w:rsid w:val="00D17B2E"/>
    <w:rsid w:val="00D17BFE"/>
    <w:rsid w:val="00D17C1C"/>
    <w:rsid w:val="00D17EAC"/>
    <w:rsid w:val="00D17F31"/>
    <w:rsid w:val="00D17FA4"/>
    <w:rsid w:val="00D17FDD"/>
    <w:rsid w:val="00D17FF0"/>
    <w:rsid w:val="00D2002C"/>
    <w:rsid w:val="00D20031"/>
    <w:rsid w:val="00D200A8"/>
    <w:rsid w:val="00D201EB"/>
    <w:rsid w:val="00D2022B"/>
    <w:rsid w:val="00D203D6"/>
    <w:rsid w:val="00D20435"/>
    <w:rsid w:val="00D20673"/>
    <w:rsid w:val="00D206AD"/>
    <w:rsid w:val="00D2098D"/>
    <w:rsid w:val="00D20A84"/>
    <w:rsid w:val="00D20AD9"/>
    <w:rsid w:val="00D20BF9"/>
    <w:rsid w:val="00D20CE0"/>
    <w:rsid w:val="00D20EB4"/>
    <w:rsid w:val="00D20F02"/>
    <w:rsid w:val="00D20FC2"/>
    <w:rsid w:val="00D21009"/>
    <w:rsid w:val="00D2104F"/>
    <w:rsid w:val="00D210AE"/>
    <w:rsid w:val="00D21148"/>
    <w:rsid w:val="00D21646"/>
    <w:rsid w:val="00D21668"/>
    <w:rsid w:val="00D216C7"/>
    <w:rsid w:val="00D219EB"/>
    <w:rsid w:val="00D21AAD"/>
    <w:rsid w:val="00D21B59"/>
    <w:rsid w:val="00D21B68"/>
    <w:rsid w:val="00D21BFF"/>
    <w:rsid w:val="00D21D6A"/>
    <w:rsid w:val="00D21EB8"/>
    <w:rsid w:val="00D21F6B"/>
    <w:rsid w:val="00D21F92"/>
    <w:rsid w:val="00D21FA9"/>
    <w:rsid w:val="00D22016"/>
    <w:rsid w:val="00D22069"/>
    <w:rsid w:val="00D220DD"/>
    <w:rsid w:val="00D2221F"/>
    <w:rsid w:val="00D2228E"/>
    <w:rsid w:val="00D222E9"/>
    <w:rsid w:val="00D22333"/>
    <w:rsid w:val="00D224E2"/>
    <w:rsid w:val="00D22520"/>
    <w:rsid w:val="00D225A5"/>
    <w:rsid w:val="00D225D9"/>
    <w:rsid w:val="00D22729"/>
    <w:rsid w:val="00D22730"/>
    <w:rsid w:val="00D2276F"/>
    <w:rsid w:val="00D22901"/>
    <w:rsid w:val="00D229EE"/>
    <w:rsid w:val="00D22A35"/>
    <w:rsid w:val="00D22B26"/>
    <w:rsid w:val="00D22C9F"/>
    <w:rsid w:val="00D22E26"/>
    <w:rsid w:val="00D22E8C"/>
    <w:rsid w:val="00D22FA1"/>
    <w:rsid w:val="00D22FD0"/>
    <w:rsid w:val="00D2314E"/>
    <w:rsid w:val="00D23199"/>
    <w:rsid w:val="00D231B7"/>
    <w:rsid w:val="00D23250"/>
    <w:rsid w:val="00D232E3"/>
    <w:rsid w:val="00D23347"/>
    <w:rsid w:val="00D233D3"/>
    <w:rsid w:val="00D233E2"/>
    <w:rsid w:val="00D233FF"/>
    <w:rsid w:val="00D23541"/>
    <w:rsid w:val="00D23562"/>
    <w:rsid w:val="00D2365A"/>
    <w:rsid w:val="00D236E9"/>
    <w:rsid w:val="00D238BD"/>
    <w:rsid w:val="00D239B3"/>
    <w:rsid w:val="00D239E1"/>
    <w:rsid w:val="00D23A75"/>
    <w:rsid w:val="00D23CC7"/>
    <w:rsid w:val="00D23D95"/>
    <w:rsid w:val="00D24068"/>
    <w:rsid w:val="00D2406E"/>
    <w:rsid w:val="00D2425A"/>
    <w:rsid w:val="00D244B1"/>
    <w:rsid w:val="00D245DE"/>
    <w:rsid w:val="00D245F9"/>
    <w:rsid w:val="00D2477D"/>
    <w:rsid w:val="00D24882"/>
    <w:rsid w:val="00D24992"/>
    <w:rsid w:val="00D249E0"/>
    <w:rsid w:val="00D24B45"/>
    <w:rsid w:val="00D24D80"/>
    <w:rsid w:val="00D24E41"/>
    <w:rsid w:val="00D24E87"/>
    <w:rsid w:val="00D24ECA"/>
    <w:rsid w:val="00D24ECC"/>
    <w:rsid w:val="00D24FA0"/>
    <w:rsid w:val="00D25045"/>
    <w:rsid w:val="00D251EA"/>
    <w:rsid w:val="00D25289"/>
    <w:rsid w:val="00D252F4"/>
    <w:rsid w:val="00D2534D"/>
    <w:rsid w:val="00D253A0"/>
    <w:rsid w:val="00D253A4"/>
    <w:rsid w:val="00D253D1"/>
    <w:rsid w:val="00D2566D"/>
    <w:rsid w:val="00D256AC"/>
    <w:rsid w:val="00D256CE"/>
    <w:rsid w:val="00D258E6"/>
    <w:rsid w:val="00D259B3"/>
    <w:rsid w:val="00D25B47"/>
    <w:rsid w:val="00D25B76"/>
    <w:rsid w:val="00D25CA6"/>
    <w:rsid w:val="00D25CB2"/>
    <w:rsid w:val="00D25D2A"/>
    <w:rsid w:val="00D25DC4"/>
    <w:rsid w:val="00D25E24"/>
    <w:rsid w:val="00D25E97"/>
    <w:rsid w:val="00D26410"/>
    <w:rsid w:val="00D26431"/>
    <w:rsid w:val="00D265D8"/>
    <w:rsid w:val="00D2667E"/>
    <w:rsid w:val="00D26789"/>
    <w:rsid w:val="00D267EA"/>
    <w:rsid w:val="00D2683D"/>
    <w:rsid w:val="00D2688F"/>
    <w:rsid w:val="00D26A38"/>
    <w:rsid w:val="00D26AD5"/>
    <w:rsid w:val="00D26B5C"/>
    <w:rsid w:val="00D26D01"/>
    <w:rsid w:val="00D26E65"/>
    <w:rsid w:val="00D26EA8"/>
    <w:rsid w:val="00D2716A"/>
    <w:rsid w:val="00D27183"/>
    <w:rsid w:val="00D2738D"/>
    <w:rsid w:val="00D2743F"/>
    <w:rsid w:val="00D274B7"/>
    <w:rsid w:val="00D275AE"/>
    <w:rsid w:val="00D275FC"/>
    <w:rsid w:val="00D276EF"/>
    <w:rsid w:val="00D277F0"/>
    <w:rsid w:val="00D27831"/>
    <w:rsid w:val="00D279B2"/>
    <w:rsid w:val="00D27AF8"/>
    <w:rsid w:val="00D27C30"/>
    <w:rsid w:val="00D27CE0"/>
    <w:rsid w:val="00D27DDF"/>
    <w:rsid w:val="00D27ECA"/>
    <w:rsid w:val="00D30069"/>
    <w:rsid w:val="00D300E7"/>
    <w:rsid w:val="00D302A4"/>
    <w:rsid w:val="00D30370"/>
    <w:rsid w:val="00D30600"/>
    <w:rsid w:val="00D30912"/>
    <w:rsid w:val="00D30973"/>
    <w:rsid w:val="00D309DC"/>
    <w:rsid w:val="00D30AC8"/>
    <w:rsid w:val="00D30AD3"/>
    <w:rsid w:val="00D30C8C"/>
    <w:rsid w:val="00D30CD4"/>
    <w:rsid w:val="00D30CEF"/>
    <w:rsid w:val="00D30D00"/>
    <w:rsid w:val="00D30D2D"/>
    <w:rsid w:val="00D30E16"/>
    <w:rsid w:val="00D30E70"/>
    <w:rsid w:val="00D30FDB"/>
    <w:rsid w:val="00D310B9"/>
    <w:rsid w:val="00D31277"/>
    <w:rsid w:val="00D313B3"/>
    <w:rsid w:val="00D3141F"/>
    <w:rsid w:val="00D315B3"/>
    <w:rsid w:val="00D31790"/>
    <w:rsid w:val="00D31793"/>
    <w:rsid w:val="00D31840"/>
    <w:rsid w:val="00D31866"/>
    <w:rsid w:val="00D318C4"/>
    <w:rsid w:val="00D31915"/>
    <w:rsid w:val="00D3194F"/>
    <w:rsid w:val="00D3199F"/>
    <w:rsid w:val="00D31ACC"/>
    <w:rsid w:val="00D31B89"/>
    <w:rsid w:val="00D31C85"/>
    <w:rsid w:val="00D31CB6"/>
    <w:rsid w:val="00D31CDE"/>
    <w:rsid w:val="00D31D01"/>
    <w:rsid w:val="00D31F05"/>
    <w:rsid w:val="00D32158"/>
    <w:rsid w:val="00D32220"/>
    <w:rsid w:val="00D322DF"/>
    <w:rsid w:val="00D323A6"/>
    <w:rsid w:val="00D323B4"/>
    <w:rsid w:val="00D32451"/>
    <w:rsid w:val="00D32454"/>
    <w:rsid w:val="00D3245B"/>
    <w:rsid w:val="00D3251E"/>
    <w:rsid w:val="00D325E6"/>
    <w:rsid w:val="00D32644"/>
    <w:rsid w:val="00D32767"/>
    <w:rsid w:val="00D3284E"/>
    <w:rsid w:val="00D328C4"/>
    <w:rsid w:val="00D328DF"/>
    <w:rsid w:val="00D3292B"/>
    <w:rsid w:val="00D32A72"/>
    <w:rsid w:val="00D32A99"/>
    <w:rsid w:val="00D32BC7"/>
    <w:rsid w:val="00D32CA5"/>
    <w:rsid w:val="00D32D60"/>
    <w:rsid w:val="00D32DD4"/>
    <w:rsid w:val="00D32FFB"/>
    <w:rsid w:val="00D33062"/>
    <w:rsid w:val="00D33068"/>
    <w:rsid w:val="00D33128"/>
    <w:rsid w:val="00D331B1"/>
    <w:rsid w:val="00D331CC"/>
    <w:rsid w:val="00D331F1"/>
    <w:rsid w:val="00D33281"/>
    <w:rsid w:val="00D333EF"/>
    <w:rsid w:val="00D33485"/>
    <w:rsid w:val="00D33578"/>
    <w:rsid w:val="00D33882"/>
    <w:rsid w:val="00D3390E"/>
    <w:rsid w:val="00D3392A"/>
    <w:rsid w:val="00D33A48"/>
    <w:rsid w:val="00D33A8C"/>
    <w:rsid w:val="00D33B27"/>
    <w:rsid w:val="00D33BA6"/>
    <w:rsid w:val="00D33BD8"/>
    <w:rsid w:val="00D33DD7"/>
    <w:rsid w:val="00D33E15"/>
    <w:rsid w:val="00D33E4E"/>
    <w:rsid w:val="00D33EF0"/>
    <w:rsid w:val="00D33F02"/>
    <w:rsid w:val="00D3401D"/>
    <w:rsid w:val="00D3404D"/>
    <w:rsid w:val="00D3412E"/>
    <w:rsid w:val="00D342E5"/>
    <w:rsid w:val="00D344AC"/>
    <w:rsid w:val="00D344D5"/>
    <w:rsid w:val="00D3450A"/>
    <w:rsid w:val="00D3459D"/>
    <w:rsid w:val="00D345E1"/>
    <w:rsid w:val="00D347EE"/>
    <w:rsid w:val="00D34893"/>
    <w:rsid w:val="00D348CA"/>
    <w:rsid w:val="00D34CDF"/>
    <w:rsid w:val="00D34D9B"/>
    <w:rsid w:val="00D34EF0"/>
    <w:rsid w:val="00D35054"/>
    <w:rsid w:val="00D35060"/>
    <w:rsid w:val="00D3516A"/>
    <w:rsid w:val="00D3523A"/>
    <w:rsid w:val="00D3557F"/>
    <w:rsid w:val="00D3569B"/>
    <w:rsid w:val="00D3576F"/>
    <w:rsid w:val="00D35895"/>
    <w:rsid w:val="00D358F7"/>
    <w:rsid w:val="00D35997"/>
    <w:rsid w:val="00D35B0D"/>
    <w:rsid w:val="00D35BC6"/>
    <w:rsid w:val="00D35C1A"/>
    <w:rsid w:val="00D35D03"/>
    <w:rsid w:val="00D35D71"/>
    <w:rsid w:val="00D35D88"/>
    <w:rsid w:val="00D35E17"/>
    <w:rsid w:val="00D3608B"/>
    <w:rsid w:val="00D3608F"/>
    <w:rsid w:val="00D360BC"/>
    <w:rsid w:val="00D36271"/>
    <w:rsid w:val="00D3629B"/>
    <w:rsid w:val="00D36376"/>
    <w:rsid w:val="00D36382"/>
    <w:rsid w:val="00D36397"/>
    <w:rsid w:val="00D36462"/>
    <w:rsid w:val="00D368BD"/>
    <w:rsid w:val="00D36906"/>
    <w:rsid w:val="00D36AE4"/>
    <w:rsid w:val="00D36AE5"/>
    <w:rsid w:val="00D36B0F"/>
    <w:rsid w:val="00D36D07"/>
    <w:rsid w:val="00D36E67"/>
    <w:rsid w:val="00D36F2E"/>
    <w:rsid w:val="00D3748F"/>
    <w:rsid w:val="00D3766C"/>
    <w:rsid w:val="00D37709"/>
    <w:rsid w:val="00D377A0"/>
    <w:rsid w:val="00D3786D"/>
    <w:rsid w:val="00D37897"/>
    <w:rsid w:val="00D378CF"/>
    <w:rsid w:val="00D3791A"/>
    <w:rsid w:val="00D37951"/>
    <w:rsid w:val="00D379D0"/>
    <w:rsid w:val="00D37A7D"/>
    <w:rsid w:val="00D37ABB"/>
    <w:rsid w:val="00D37AE3"/>
    <w:rsid w:val="00D37AF9"/>
    <w:rsid w:val="00D37B25"/>
    <w:rsid w:val="00D37CB3"/>
    <w:rsid w:val="00D37CE5"/>
    <w:rsid w:val="00D37CFA"/>
    <w:rsid w:val="00D37D5F"/>
    <w:rsid w:val="00D37EF5"/>
    <w:rsid w:val="00D40016"/>
    <w:rsid w:val="00D40080"/>
    <w:rsid w:val="00D4034D"/>
    <w:rsid w:val="00D40651"/>
    <w:rsid w:val="00D40671"/>
    <w:rsid w:val="00D4080D"/>
    <w:rsid w:val="00D40815"/>
    <w:rsid w:val="00D40992"/>
    <w:rsid w:val="00D40A84"/>
    <w:rsid w:val="00D40C11"/>
    <w:rsid w:val="00D40DC1"/>
    <w:rsid w:val="00D40EA2"/>
    <w:rsid w:val="00D40F81"/>
    <w:rsid w:val="00D40FD4"/>
    <w:rsid w:val="00D41009"/>
    <w:rsid w:val="00D41045"/>
    <w:rsid w:val="00D4115F"/>
    <w:rsid w:val="00D411C8"/>
    <w:rsid w:val="00D411F5"/>
    <w:rsid w:val="00D41486"/>
    <w:rsid w:val="00D4152D"/>
    <w:rsid w:val="00D4157F"/>
    <w:rsid w:val="00D416DB"/>
    <w:rsid w:val="00D41849"/>
    <w:rsid w:val="00D4195E"/>
    <w:rsid w:val="00D419C9"/>
    <w:rsid w:val="00D41A5B"/>
    <w:rsid w:val="00D41AA9"/>
    <w:rsid w:val="00D41AE8"/>
    <w:rsid w:val="00D41CFE"/>
    <w:rsid w:val="00D41DBF"/>
    <w:rsid w:val="00D41F2C"/>
    <w:rsid w:val="00D41FB4"/>
    <w:rsid w:val="00D421D0"/>
    <w:rsid w:val="00D4236F"/>
    <w:rsid w:val="00D4246F"/>
    <w:rsid w:val="00D424AF"/>
    <w:rsid w:val="00D4272F"/>
    <w:rsid w:val="00D4284D"/>
    <w:rsid w:val="00D428B9"/>
    <w:rsid w:val="00D429D1"/>
    <w:rsid w:val="00D42A1B"/>
    <w:rsid w:val="00D42A82"/>
    <w:rsid w:val="00D42AA4"/>
    <w:rsid w:val="00D42D54"/>
    <w:rsid w:val="00D42D6E"/>
    <w:rsid w:val="00D42E3F"/>
    <w:rsid w:val="00D42EBB"/>
    <w:rsid w:val="00D42EC7"/>
    <w:rsid w:val="00D43246"/>
    <w:rsid w:val="00D43403"/>
    <w:rsid w:val="00D434DD"/>
    <w:rsid w:val="00D435AE"/>
    <w:rsid w:val="00D43693"/>
    <w:rsid w:val="00D436DA"/>
    <w:rsid w:val="00D437E2"/>
    <w:rsid w:val="00D4380C"/>
    <w:rsid w:val="00D43838"/>
    <w:rsid w:val="00D43839"/>
    <w:rsid w:val="00D43862"/>
    <w:rsid w:val="00D43975"/>
    <w:rsid w:val="00D43A74"/>
    <w:rsid w:val="00D43BE1"/>
    <w:rsid w:val="00D43FD0"/>
    <w:rsid w:val="00D44033"/>
    <w:rsid w:val="00D440C4"/>
    <w:rsid w:val="00D4412B"/>
    <w:rsid w:val="00D44230"/>
    <w:rsid w:val="00D4444A"/>
    <w:rsid w:val="00D445B9"/>
    <w:rsid w:val="00D44689"/>
    <w:rsid w:val="00D44795"/>
    <w:rsid w:val="00D4479A"/>
    <w:rsid w:val="00D4487E"/>
    <w:rsid w:val="00D448BB"/>
    <w:rsid w:val="00D44AC5"/>
    <w:rsid w:val="00D44B08"/>
    <w:rsid w:val="00D44B60"/>
    <w:rsid w:val="00D44C4A"/>
    <w:rsid w:val="00D44D47"/>
    <w:rsid w:val="00D44D52"/>
    <w:rsid w:val="00D44FEC"/>
    <w:rsid w:val="00D44FED"/>
    <w:rsid w:val="00D45052"/>
    <w:rsid w:val="00D450C5"/>
    <w:rsid w:val="00D450EC"/>
    <w:rsid w:val="00D45187"/>
    <w:rsid w:val="00D45193"/>
    <w:rsid w:val="00D452AE"/>
    <w:rsid w:val="00D452C1"/>
    <w:rsid w:val="00D455ED"/>
    <w:rsid w:val="00D45741"/>
    <w:rsid w:val="00D45750"/>
    <w:rsid w:val="00D457EA"/>
    <w:rsid w:val="00D4584B"/>
    <w:rsid w:val="00D458AE"/>
    <w:rsid w:val="00D458CD"/>
    <w:rsid w:val="00D45953"/>
    <w:rsid w:val="00D45A10"/>
    <w:rsid w:val="00D45A1C"/>
    <w:rsid w:val="00D45A5B"/>
    <w:rsid w:val="00D45C42"/>
    <w:rsid w:val="00D45DBE"/>
    <w:rsid w:val="00D45F7B"/>
    <w:rsid w:val="00D4601A"/>
    <w:rsid w:val="00D4612C"/>
    <w:rsid w:val="00D4613E"/>
    <w:rsid w:val="00D46256"/>
    <w:rsid w:val="00D4629F"/>
    <w:rsid w:val="00D46459"/>
    <w:rsid w:val="00D46607"/>
    <w:rsid w:val="00D4666B"/>
    <w:rsid w:val="00D4681F"/>
    <w:rsid w:val="00D4683D"/>
    <w:rsid w:val="00D46845"/>
    <w:rsid w:val="00D46885"/>
    <w:rsid w:val="00D46911"/>
    <w:rsid w:val="00D46B2A"/>
    <w:rsid w:val="00D46BD0"/>
    <w:rsid w:val="00D46C8F"/>
    <w:rsid w:val="00D46E72"/>
    <w:rsid w:val="00D46EF6"/>
    <w:rsid w:val="00D46F19"/>
    <w:rsid w:val="00D470B2"/>
    <w:rsid w:val="00D4718D"/>
    <w:rsid w:val="00D47268"/>
    <w:rsid w:val="00D47361"/>
    <w:rsid w:val="00D4736F"/>
    <w:rsid w:val="00D47536"/>
    <w:rsid w:val="00D47B7C"/>
    <w:rsid w:val="00D47DF4"/>
    <w:rsid w:val="00D50095"/>
    <w:rsid w:val="00D5010D"/>
    <w:rsid w:val="00D5031F"/>
    <w:rsid w:val="00D50393"/>
    <w:rsid w:val="00D50426"/>
    <w:rsid w:val="00D50449"/>
    <w:rsid w:val="00D505B3"/>
    <w:rsid w:val="00D50693"/>
    <w:rsid w:val="00D507C6"/>
    <w:rsid w:val="00D50826"/>
    <w:rsid w:val="00D508F7"/>
    <w:rsid w:val="00D509AD"/>
    <w:rsid w:val="00D509EA"/>
    <w:rsid w:val="00D50C18"/>
    <w:rsid w:val="00D50E49"/>
    <w:rsid w:val="00D50EC7"/>
    <w:rsid w:val="00D50F63"/>
    <w:rsid w:val="00D50FD6"/>
    <w:rsid w:val="00D51012"/>
    <w:rsid w:val="00D511EE"/>
    <w:rsid w:val="00D512CD"/>
    <w:rsid w:val="00D51352"/>
    <w:rsid w:val="00D5145C"/>
    <w:rsid w:val="00D5150C"/>
    <w:rsid w:val="00D51544"/>
    <w:rsid w:val="00D516AB"/>
    <w:rsid w:val="00D516B4"/>
    <w:rsid w:val="00D516DD"/>
    <w:rsid w:val="00D51993"/>
    <w:rsid w:val="00D51A88"/>
    <w:rsid w:val="00D51BCA"/>
    <w:rsid w:val="00D51C3B"/>
    <w:rsid w:val="00D51F1F"/>
    <w:rsid w:val="00D52034"/>
    <w:rsid w:val="00D522CD"/>
    <w:rsid w:val="00D52504"/>
    <w:rsid w:val="00D52739"/>
    <w:rsid w:val="00D5277D"/>
    <w:rsid w:val="00D527CC"/>
    <w:rsid w:val="00D5287A"/>
    <w:rsid w:val="00D5293A"/>
    <w:rsid w:val="00D52A36"/>
    <w:rsid w:val="00D52A3A"/>
    <w:rsid w:val="00D52AC5"/>
    <w:rsid w:val="00D52B45"/>
    <w:rsid w:val="00D52C2C"/>
    <w:rsid w:val="00D52D32"/>
    <w:rsid w:val="00D52E54"/>
    <w:rsid w:val="00D52F07"/>
    <w:rsid w:val="00D52F43"/>
    <w:rsid w:val="00D52FF5"/>
    <w:rsid w:val="00D53139"/>
    <w:rsid w:val="00D53262"/>
    <w:rsid w:val="00D533E3"/>
    <w:rsid w:val="00D5349E"/>
    <w:rsid w:val="00D5356D"/>
    <w:rsid w:val="00D536A1"/>
    <w:rsid w:val="00D536D8"/>
    <w:rsid w:val="00D5372C"/>
    <w:rsid w:val="00D53794"/>
    <w:rsid w:val="00D5389A"/>
    <w:rsid w:val="00D538B6"/>
    <w:rsid w:val="00D538ED"/>
    <w:rsid w:val="00D53979"/>
    <w:rsid w:val="00D53AE4"/>
    <w:rsid w:val="00D53B0A"/>
    <w:rsid w:val="00D53B4D"/>
    <w:rsid w:val="00D53B79"/>
    <w:rsid w:val="00D53BBA"/>
    <w:rsid w:val="00D53C9A"/>
    <w:rsid w:val="00D53D79"/>
    <w:rsid w:val="00D53DFA"/>
    <w:rsid w:val="00D541E8"/>
    <w:rsid w:val="00D54235"/>
    <w:rsid w:val="00D54511"/>
    <w:rsid w:val="00D54688"/>
    <w:rsid w:val="00D54695"/>
    <w:rsid w:val="00D546C9"/>
    <w:rsid w:val="00D5471E"/>
    <w:rsid w:val="00D54730"/>
    <w:rsid w:val="00D547C1"/>
    <w:rsid w:val="00D5488E"/>
    <w:rsid w:val="00D54A5D"/>
    <w:rsid w:val="00D54C7A"/>
    <w:rsid w:val="00D54CBD"/>
    <w:rsid w:val="00D54DD1"/>
    <w:rsid w:val="00D54DF4"/>
    <w:rsid w:val="00D54E4F"/>
    <w:rsid w:val="00D54F00"/>
    <w:rsid w:val="00D54F21"/>
    <w:rsid w:val="00D550ED"/>
    <w:rsid w:val="00D55195"/>
    <w:rsid w:val="00D55263"/>
    <w:rsid w:val="00D552BF"/>
    <w:rsid w:val="00D5533A"/>
    <w:rsid w:val="00D55380"/>
    <w:rsid w:val="00D55409"/>
    <w:rsid w:val="00D5541C"/>
    <w:rsid w:val="00D5546E"/>
    <w:rsid w:val="00D5585D"/>
    <w:rsid w:val="00D558F5"/>
    <w:rsid w:val="00D559BC"/>
    <w:rsid w:val="00D55B0D"/>
    <w:rsid w:val="00D55B35"/>
    <w:rsid w:val="00D55CA6"/>
    <w:rsid w:val="00D55D16"/>
    <w:rsid w:val="00D55D93"/>
    <w:rsid w:val="00D55E01"/>
    <w:rsid w:val="00D55E03"/>
    <w:rsid w:val="00D55EDE"/>
    <w:rsid w:val="00D55FF1"/>
    <w:rsid w:val="00D56133"/>
    <w:rsid w:val="00D5626C"/>
    <w:rsid w:val="00D5629F"/>
    <w:rsid w:val="00D56315"/>
    <w:rsid w:val="00D56411"/>
    <w:rsid w:val="00D56442"/>
    <w:rsid w:val="00D56538"/>
    <w:rsid w:val="00D565A9"/>
    <w:rsid w:val="00D5662F"/>
    <w:rsid w:val="00D567DB"/>
    <w:rsid w:val="00D5689D"/>
    <w:rsid w:val="00D568E3"/>
    <w:rsid w:val="00D569C1"/>
    <w:rsid w:val="00D56A06"/>
    <w:rsid w:val="00D56B80"/>
    <w:rsid w:val="00D56D3C"/>
    <w:rsid w:val="00D56DFA"/>
    <w:rsid w:val="00D56F73"/>
    <w:rsid w:val="00D57106"/>
    <w:rsid w:val="00D5728F"/>
    <w:rsid w:val="00D572BD"/>
    <w:rsid w:val="00D572D9"/>
    <w:rsid w:val="00D574B5"/>
    <w:rsid w:val="00D5752C"/>
    <w:rsid w:val="00D576FF"/>
    <w:rsid w:val="00D5773B"/>
    <w:rsid w:val="00D57790"/>
    <w:rsid w:val="00D577F7"/>
    <w:rsid w:val="00D57868"/>
    <w:rsid w:val="00D578D2"/>
    <w:rsid w:val="00D57939"/>
    <w:rsid w:val="00D57980"/>
    <w:rsid w:val="00D579C5"/>
    <w:rsid w:val="00D579EF"/>
    <w:rsid w:val="00D57DE0"/>
    <w:rsid w:val="00D57DE3"/>
    <w:rsid w:val="00D60043"/>
    <w:rsid w:val="00D6021D"/>
    <w:rsid w:val="00D603BB"/>
    <w:rsid w:val="00D603E5"/>
    <w:rsid w:val="00D60577"/>
    <w:rsid w:val="00D605D4"/>
    <w:rsid w:val="00D605E5"/>
    <w:rsid w:val="00D60635"/>
    <w:rsid w:val="00D60809"/>
    <w:rsid w:val="00D608A2"/>
    <w:rsid w:val="00D60BAA"/>
    <w:rsid w:val="00D60DA1"/>
    <w:rsid w:val="00D60E22"/>
    <w:rsid w:val="00D60FF2"/>
    <w:rsid w:val="00D6102D"/>
    <w:rsid w:val="00D6110F"/>
    <w:rsid w:val="00D61302"/>
    <w:rsid w:val="00D615BE"/>
    <w:rsid w:val="00D615EE"/>
    <w:rsid w:val="00D6167B"/>
    <w:rsid w:val="00D617C4"/>
    <w:rsid w:val="00D61B0A"/>
    <w:rsid w:val="00D61B82"/>
    <w:rsid w:val="00D61BAF"/>
    <w:rsid w:val="00D61CD3"/>
    <w:rsid w:val="00D61D76"/>
    <w:rsid w:val="00D61DEB"/>
    <w:rsid w:val="00D61F91"/>
    <w:rsid w:val="00D61FB2"/>
    <w:rsid w:val="00D62033"/>
    <w:rsid w:val="00D62048"/>
    <w:rsid w:val="00D62066"/>
    <w:rsid w:val="00D62096"/>
    <w:rsid w:val="00D62225"/>
    <w:rsid w:val="00D6228B"/>
    <w:rsid w:val="00D62292"/>
    <w:rsid w:val="00D623E8"/>
    <w:rsid w:val="00D6255A"/>
    <w:rsid w:val="00D62583"/>
    <w:rsid w:val="00D62640"/>
    <w:rsid w:val="00D627F0"/>
    <w:rsid w:val="00D62824"/>
    <w:rsid w:val="00D6286B"/>
    <w:rsid w:val="00D628A3"/>
    <w:rsid w:val="00D62980"/>
    <w:rsid w:val="00D629B3"/>
    <w:rsid w:val="00D62A46"/>
    <w:rsid w:val="00D62A57"/>
    <w:rsid w:val="00D62C7E"/>
    <w:rsid w:val="00D62CD0"/>
    <w:rsid w:val="00D62D5C"/>
    <w:rsid w:val="00D62D62"/>
    <w:rsid w:val="00D62DAB"/>
    <w:rsid w:val="00D62F4D"/>
    <w:rsid w:val="00D62FC5"/>
    <w:rsid w:val="00D63153"/>
    <w:rsid w:val="00D63358"/>
    <w:rsid w:val="00D63496"/>
    <w:rsid w:val="00D6350A"/>
    <w:rsid w:val="00D635FE"/>
    <w:rsid w:val="00D6362B"/>
    <w:rsid w:val="00D6367C"/>
    <w:rsid w:val="00D63708"/>
    <w:rsid w:val="00D63764"/>
    <w:rsid w:val="00D63840"/>
    <w:rsid w:val="00D63846"/>
    <w:rsid w:val="00D63898"/>
    <w:rsid w:val="00D638C0"/>
    <w:rsid w:val="00D63B82"/>
    <w:rsid w:val="00D63B9A"/>
    <w:rsid w:val="00D63BFE"/>
    <w:rsid w:val="00D63DBF"/>
    <w:rsid w:val="00D63E0B"/>
    <w:rsid w:val="00D63E80"/>
    <w:rsid w:val="00D63F20"/>
    <w:rsid w:val="00D63FEA"/>
    <w:rsid w:val="00D64024"/>
    <w:rsid w:val="00D6429B"/>
    <w:rsid w:val="00D64372"/>
    <w:rsid w:val="00D644BD"/>
    <w:rsid w:val="00D646B9"/>
    <w:rsid w:val="00D64898"/>
    <w:rsid w:val="00D64906"/>
    <w:rsid w:val="00D64A15"/>
    <w:rsid w:val="00D64B8C"/>
    <w:rsid w:val="00D64C7F"/>
    <w:rsid w:val="00D64C9A"/>
    <w:rsid w:val="00D64D72"/>
    <w:rsid w:val="00D64FBB"/>
    <w:rsid w:val="00D65013"/>
    <w:rsid w:val="00D65203"/>
    <w:rsid w:val="00D6525F"/>
    <w:rsid w:val="00D652C1"/>
    <w:rsid w:val="00D652D9"/>
    <w:rsid w:val="00D65309"/>
    <w:rsid w:val="00D6530E"/>
    <w:rsid w:val="00D65388"/>
    <w:rsid w:val="00D65621"/>
    <w:rsid w:val="00D657CB"/>
    <w:rsid w:val="00D65845"/>
    <w:rsid w:val="00D65850"/>
    <w:rsid w:val="00D65A46"/>
    <w:rsid w:val="00D65A59"/>
    <w:rsid w:val="00D65A8D"/>
    <w:rsid w:val="00D65AC5"/>
    <w:rsid w:val="00D65CB0"/>
    <w:rsid w:val="00D65CC6"/>
    <w:rsid w:val="00D65D06"/>
    <w:rsid w:val="00D65D3A"/>
    <w:rsid w:val="00D65DCD"/>
    <w:rsid w:val="00D65E36"/>
    <w:rsid w:val="00D65E6B"/>
    <w:rsid w:val="00D65F75"/>
    <w:rsid w:val="00D6638D"/>
    <w:rsid w:val="00D66557"/>
    <w:rsid w:val="00D665B0"/>
    <w:rsid w:val="00D665DE"/>
    <w:rsid w:val="00D665F2"/>
    <w:rsid w:val="00D66762"/>
    <w:rsid w:val="00D66A0F"/>
    <w:rsid w:val="00D66AB0"/>
    <w:rsid w:val="00D66BEB"/>
    <w:rsid w:val="00D66C5C"/>
    <w:rsid w:val="00D66C7F"/>
    <w:rsid w:val="00D66EC9"/>
    <w:rsid w:val="00D670BD"/>
    <w:rsid w:val="00D670DD"/>
    <w:rsid w:val="00D6713B"/>
    <w:rsid w:val="00D671A6"/>
    <w:rsid w:val="00D67293"/>
    <w:rsid w:val="00D6748E"/>
    <w:rsid w:val="00D675F6"/>
    <w:rsid w:val="00D676E0"/>
    <w:rsid w:val="00D677B9"/>
    <w:rsid w:val="00D6782F"/>
    <w:rsid w:val="00D679BE"/>
    <w:rsid w:val="00D67A55"/>
    <w:rsid w:val="00D67C8D"/>
    <w:rsid w:val="00D67DD9"/>
    <w:rsid w:val="00D67F63"/>
    <w:rsid w:val="00D700AF"/>
    <w:rsid w:val="00D7012E"/>
    <w:rsid w:val="00D70163"/>
    <w:rsid w:val="00D701C6"/>
    <w:rsid w:val="00D701EC"/>
    <w:rsid w:val="00D701EF"/>
    <w:rsid w:val="00D702B3"/>
    <w:rsid w:val="00D702BD"/>
    <w:rsid w:val="00D703E3"/>
    <w:rsid w:val="00D70413"/>
    <w:rsid w:val="00D70460"/>
    <w:rsid w:val="00D704E3"/>
    <w:rsid w:val="00D706D1"/>
    <w:rsid w:val="00D70737"/>
    <w:rsid w:val="00D7074D"/>
    <w:rsid w:val="00D709A1"/>
    <w:rsid w:val="00D70B46"/>
    <w:rsid w:val="00D70BFD"/>
    <w:rsid w:val="00D70C55"/>
    <w:rsid w:val="00D70D13"/>
    <w:rsid w:val="00D70D1A"/>
    <w:rsid w:val="00D70DDA"/>
    <w:rsid w:val="00D70DE3"/>
    <w:rsid w:val="00D70F31"/>
    <w:rsid w:val="00D711D2"/>
    <w:rsid w:val="00D7129C"/>
    <w:rsid w:val="00D7136F"/>
    <w:rsid w:val="00D713D3"/>
    <w:rsid w:val="00D713EE"/>
    <w:rsid w:val="00D71404"/>
    <w:rsid w:val="00D71508"/>
    <w:rsid w:val="00D71816"/>
    <w:rsid w:val="00D71839"/>
    <w:rsid w:val="00D718AB"/>
    <w:rsid w:val="00D71BAE"/>
    <w:rsid w:val="00D71BB4"/>
    <w:rsid w:val="00D71CBE"/>
    <w:rsid w:val="00D71DE3"/>
    <w:rsid w:val="00D71E05"/>
    <w:rsid w:val="00D71F0D"/>
    <w:rsid w:val="00D7200D"/>
    <w:rsid w:val="00D7212E"/>
    <w:rsid w:val="00D721C5"/>
    <w:rsid w:val="00D7226F"/>
    <w:rsid w:val="00D723C1"/>
    <w:rsid w:val="00D726AC"/>
    <w:rsid w:val="00D72ABD"/>
    <w:rsid w:val="00D72C19"/>
    <w:rsid w:val="00D72D1B"/>
    <w:rsid w:val="00D72D49"/>
    <w:rsid w:val="00D7316B"/>
    <w:rsid w:val="00D7336C"/>
    <w:rsid w:val="00D73432"/>
    <w:rsid w:val="00D73488"/>
    <w:rsid w:val="00D7357B"/>
    <w:rsid w:val="00D73644"/>
    <w:rsid w:val="00D736C7"/>
    <w:rsid w:val="00D73AD9"/>
    <w:rsid w:val="00D73B04"/>
    <w:rsid w:val="00D73C40"/>
    <w:rsid w:val="00D73CA2"/>
    <w:rsid w:val="00D73E53"/>
    <w:rsid w:val="00D73E8B"/>
    <w:rsid w:val="00D74082"/>
    <w:rsid w:val="00D74167"/>
    <w:rsid w:val="00D74183"/>
    <w:rsid w:val="00D7428E"/>
    <w:rsid w:val="00D743AD"/>
    <w:rsid w:val="00D743D2"/>
    <w:rsid w:val="00D7441A"/>
    <w:rsid w:val="00D744C5"/>
    <w:rsid w:val="00D7457B"/>
    <w:rsid w:val="00D746FE"/>
    <w:rsid w:val="00D74795"/>
    <w:rsid w:val="00D7479C"/>
    <w:rsid w:val="00D74889"/>
    <w:rsid w:val="00D748B7"/>
    <w:rsid w:val="00D74B91"/>
    <w:rsid w:val="00D74BEF"/>
    <w:rsid w:val="00D74BF2"/>
    <w:rsid w:val="00D750F4"/>
    <w:rsid w:val="00D75133"/>
    <w:rsid w:val="00D7521B"/>
    <w:rsid w:val="00D75407"/>
    <w:rsid w:val="00D755EB"/>
    <w:rsid w:val="00D75746"/>
    <w:rsid w:val="00D75761"/>
    <w:rsid w:val="00D7584C"/>
    <w:rsid w:val="00D75AE9"/>
    <w:rsid w:val="00D75CB8"/>
    <w:rsid w:val="00D75D94"/>
    <w:rsid w:val="00D75D9D"/>
    <w:rsid w:val="00D75E57"/>
    <w:rsid w:val="00D76082"/>
    <w:rsid w:val="00D760C7"/>
    <w:rsid w:val="00D76120"/>
    <w:rsid w:val="00D7614D"/>
    <w:rsid w:val="00D761C5"/>
    <w:rsid w:val="00D7661C"/>
    <w:rsid w:val="00D76883"/>
    <w:rsid w:val="00D76C74"/>
    <w:rsid w:val="00D76DB7"/>
    <w:rsid w:val="00D76DD4"/>
    <w:rsid w:val="00D77173"/>
    <w:rsid w:val="00D771A9"/>
    <w:rsid w:val="00D771CD"/>
    <w:rsid w:val="00D7736E"/>
    <w:rsid w:val="00D773E6"/>
    <w:rsid w:val="00D774E5"/>
    <w:rsid w:val="00D775AB"/>
    <w:rsid w:val="00D77834"/>
    <w:rsid w:val="00D778F6"/>
    <w:rsid w:val="00D7793A"/>
    <w:rsid w:val="00D7796A"/>
    <w:rsid w:val="00D779CD"/>
    <w:rsid w:val="00D77A40"/>
    <w:rsid w:val="00D77B20"/>
    <w:rsid w:val="00D77C32"/>
    <w:rsid w:val="00D77C7C"/>
    <w:rsid w:val="00D77E3C"/>
    <w:rsid w:val="00D77EC8"/>
    <w:rsid w:val="00D77F8C"/>
    <w:rsid w:val="00D77F98"/>
    <w:rsid w:val="00D77FB9"/>
    <w:rsid w:val="00D80198"/>
    <w:rsid w:val="00D80367"/>
    <w:rsid w:val="00D8040D"/>
    <w:rsid w:val="00D8048F"/>
    <w:rsid w:val="00D807D0"/>
    <w:rsid w:val="00D80837"/>
    <w:rsid w:val="00D808AD"/>
    <w:rsid w:val="00D809FD"/>
    <w:rsid w:val="00D80A2F"/>
    <w:rsid w:val="00D80B00"/>
    <w:rsid w:val="00D80B25"/>
    <w:rsid w:val="00D80BF6"/>
    <w:rsid w:val="00D80C29"/>
    <w:rsid w:val="00D80C7E"/>
    <w:rsid w:val="00D810D4"/>
    <w:rsid w:val="00D811AE"/>
    <w:rsid w:val="00D811E4"/>
    <w:rsid w:val="00D813DB"/>
    <w:rsid w:val="00D8178B"/>
    <w:rsid w:val="00D81859"/>
    <w:rsid w:val="00D818C8"/>
    <w:rsid w:val="00D81948"/>
    <w:rsid w:val="00D819D5"/>
    <w:rsid w:val="00D81A28"/>
    <w:rsid w:val="00D81C16"/>
    <w:rsid w:val="00D81C30"/>
    <w:rsid w:val="00D81DE8"/>
    <w:rsid w:val="00D81DF8"/>
    <w:rsid w:val="00D81E09"/>
    <w:rsid w:val="00D81FBE"/>
    <w:rsid w:val="00D820A1"/>
    <w:rsid w:val="00D820A5"/>
    <w:rsid w:val="00D820F4"/>
    <w:rsid w:val="00D8226A"/>
    <w:rsid w:val="00D82272"/>
    <w:rsid w:val="00D822EB"/>
    <w:rsid w:val="00D82377"/>
    <w:rsid w:val="00D823A8"/>
    <w:rsid w:val="00D823D1"/>
    <w:rsid w:val="00D82407"/>
    <w:rsid w:val="00D8248D"/>
    <w:rsid w:val="00D82539"/>
    <w:rsid w:val="00D82644"/>
    <w:rsid w:val="00D827AF"/>
    <w:rsid w:val="00D82832"/>
    <w:rsid w:val="00D828C3"/>
    <w:rsid w:val="00D82943"/>
    <w:rsid w:val="00D8299E"/>
    <w:rsid w:val="00D82AF1"/>
    <w:rsid w:val="00D82B43"/>
    <w:rsid w:val="00D82CF8"/>
    <w:rsid w:val="00D82D14"/>
    <w:rsid w:val="00D82EFF"/>
    <w:rsid w:val="00D8316D"/>
    <w:rsid w:val="00D831F7"/>
    <w:rsid w:val="00D83395"/>
    <w:rsid w:val="00D8356C"/>
    <w:rsid w:val="00D83586"/>
    <w:rsid w:val="00D835F8"/>
    <w:rsid w:val="00D836B0"/>
    <w:rsid w:val="00D8372B"/>
    <w:rsid w:val="00D8372C"/>
    <w:rsid w:val="00D83755"/>
    <w:rsid w:val="00D83A9F"/>
    <w:rsid w:val="00D83B01"/>
    <w:rsid w:val="00D83B51"/>
    <w:rsid w:val="00D83BBC"/>
    <w:rsid w:val="00D83CE1"/>
    <w:rsid w:val="00D84034"/>
    <w:rsid w:val="00D84106"/>
    <w:rsid w:val="00D8416F"/>
    <w:rsid w:val="00D8432F"/>
    <w:rsid w:val="00D84361"/>
    <w:rsid w:val="00D843C0"/>
    <w:rsid w:val="00D847B8"/>
    <w:rsid w:val="00D848E5"/>
    <w:rsid w:val="00D84A09"/>
    <w:rsid w:val="00D84C31"/>
    <w:rsid w:val="00D84E4B"/>
    <w:rsid w:val="00D84EB1"/>
    <w:rsid w:val="00D84ECA"/>
    <w:rsid w:val="00D84ECE"/>
    <w:rsid w:val="00D84EF3"/>
    <w:rsid w:val="00D84F18"/>
    <w:rsid w:val="00D84F26"/>
    <w:rsid w:val="00D8509C"/>
    <w:rsid w:val="00D85133"/>
    <w:rsid w:val="00D85229"/>
    <w:rsid w:val="00D8525E"/>
    <w:rsid w:val="00D852A3"/>
    <w:rsid w:val="00D852D3"/>
    <w:rsid w:val="00D8547B"/>
    <w:rsid w:val="00D85528"/>
    <w:rsid w:val="00D8574B"/>
    <w:rsid w:val="00D857A0"/>
    <w:rsid w:val="00D85BDF"/>
    <w:rsid w:val="00D85D94"/>
    <w:rsid w:val="00D85E36"/>
    <w:rsid w:val="00D85F27"/>
    <w:rsid w:val="00D85FF9"/>
    <w:rsid w:val="00D86060"/>
    <w:rsid w:val="00D86155"/>
    <w:rsid w:val="00D8636E"/>
    <w:rsid w:val="00D863F6"/>
    <w:rsid w:val="00D86508"/>
    <w:rsid w:val="00D86577"/>
    <w:rsid w:val="00D8658F"/>
    <w:rsid w:val="00D86732"/>
    <w:rsid w:val="00D86759"/>
    <w:rsid w:val="00D86859"/>
    <w:rsid w:val="00D868EC"/>
    <w:rsid w:val="00D86A7D"/>
    <w:rsid w:val="00D86A88"/>
    <w:rsid w:val="00D86B0A"/>
    <w:rsid w:val="00D86BC1"/>
    <w:rsid w:val="00D86BDF"/>
    <w:rsid w:val="00D86BF4"/>
    <w:rsid w:val="00D86E02"/>
    <w:rsid w:val="00D86E63"/>
    <w:rsid w:val="00D86EDC"/>
    <w:rsid w:val="00D87026"/>
    <w:rsid w:val="00D87044"/>
    <w:rsid w:val="00D8704D"/>
    <w:rsid w:val="00D87079"/>
    <w:rsid w:val="00D8709E"/>
    <w:rsid w:val="00D87208"/>
    <w:rsid w:val="00D872AB"/>
    <w:rsid w:val="00D87450"/>
    <w:rsid w:val="00D8753D"/>
    <w:rsid w:val="00D87582"/>
    <w:rsid w:val="00D8762F"/>
    <w:rsid w:val="00D8789B"/>
    <w:rsid w:val="00D87925"/>
    <w:rsid w:val="00D87ABD"/>
    <w:rsid w:val="00D87C14"/>
    <w:rsid w:val="00D87D83"/>
    <w:rsid w:val="00D87DB5"/>
    <w:rsid w:val="00D87F0B"/>
    <w:rsid w:val="00D87F6B"/>
    <w:rsid w:val="00D9005F"/>
    <w:rsid w:val="00D9010C"/>
    <w:rsid w:val="00D90164"/>
    <w:rsid w:val="00D901D8"/>
    <w:rsid w:val="00D901F7"/>
    <w:rsid w:val="00D902BC"/>
    <w:rsid w:val="00D9032C"/>
    <w:rsid w:val="00D9041B"/>
    <w:rsid w:val="00D90610"/>
    <w:rsid w:val="00D90814"/>
    <w:rsid w:val="00D90870"/>
    <w:rsid w:val="00D90963"/>
    <w:rsid w:val="00D909DC"/>
    <w:rsid w:val="00D90A6C"/>
    <w:rsid w:val="00D90A7C"/>
    <w:rsid w:val="00D90B93"/>
    <w:rsid w:val="00D90CB1"/>
    <w:rsid w:val="00D90DBB"/>
    <w:rsid w:val="00D90E1C"/>
    <w:rsid w:val="00D90E2F"/>
    <w:rsid w:val="00D90E40"/>
    <w:rsid w:val="00D90E47"/>
    <w:rsid w:val="00D91115"/>
    <w:rsid w:val="00D91213"/>
    <w:rsid w:val="00D912C2"/>
    <w:rsid w:val="00D913A0"/>
    <w:rsid w:val="00D9141D"/>
    <w:rsid w:val="00D91510"/>
    <w:rsid w:val="00D91572"/>
    <w:rsid w:val="00D91668"/>
    <w:rsid w:val="00D917B3"/>
    <w:rsid w:val="00D91889"/>
    <w:rsid w:val="00D91A3C"/>
    <w:rsid w:val="00D91A73"/>
    <w:rsid w:val="00D91AF4"/>
    <w:rsid w:val="00D91B12"/>
    <w:rsid w:val="00D91B75"/>
    <w:rsid w:val="00D91C35"/>
    <w:rsid w:val="00D91C62"/>
    <w:rsid w:val="00D91D86"/>
    <w:rsid w:val="00D91ECB"/>
    <w:rsid w:val="00D9200D"/>
    <w:rsid w:val="00D9214E"/>
    <w:rsid w:val="00D92185"/>
    <w:rsid w:val="00D922DB"/>
    <w:rsid w:val="00D92316"/>
    <w:rsid w:val="00D92371"/>
    <w:rsid w:val="00D923D7"/>
    <w:rsid w:val="00D92456"/>
    <w:rsid w:val="00D929C0"/>
    <w:rsid w:val="00D92A28"/>
    <w:rsid w:val="00D92A9D"/>
    <w:rsid w:val="00D92ACB"/>
    <w:rsid w:val="00D92C5F"/>
    <w:rsid w:val="00D92DB5"/>
    <w:rsid w:val="00D92DC1"/>
    <w:rsid w:val="00D92EDE"/>
    <w:rsid w:val="00D92FF1"/>
    <w:rsid w:val="00D930AF"/>
    <w:rsid w:val="00D9310F"/>
    <w:rsid w:val="00D93114"/>
    <w:rsid w:val="00D9311D"/>
    <w:rsid w:val="00D931C3"/>
    <w:rsid w:val="00D932A4"/>
    <w:rsid w:val="00D9332E"/>
    <w:rsid w:val="00D933CA"/>
    <w:rsid w:val="00D9341F"/>
    <w:rsid w:val="00D935C8"/>
    <w:rsid w:val="00D93607"/>
    <w:rsid w:val="00D93695"/>
    <w:rsid w:val="00D939A0"/>
    <w:rsid w:val="00D93A14"/>
    <w:rsid w:val="00D93AA0"/>
    <w:rsid w:val="00D93D05"/>
    <w:rsid w:val="00D93D25"/>
    <w:rsid w:val="00D93D51"/>
    <w:rsid w:val="00D93DED"/>
    <w:rsid w:val="00D93E77"/>
    <w:rsid w:val="00D93EA2"/>
    <w:rsid w:val="00D93F52"/>
    <w:rsid w:val="00D94366"/>
    <w:rsid w:val="00D943AD"/>
    <w:rsid w:val="00D943B5"/>
    <w:rsid w:val="00D943B8"/>
    <w:rsid w:val="00D94418"/>
    <w:rsid w:val="00D944F5"/>
    <w:rsid w:val="00D946C9"/>
    <w:rsid w:val="00D94710"/>
    <w:rsid w:val="00D9487A"/>
    <w:rsid w:val="00D948D8"/>
    <w:rsid w:val="00D948FB"/>
    <w:rsid w:val="00D94907"/>
    <w:rsid w:val="00D9494E"/>
    <w:rsid w:val="00D949BE"/>
    <w:rsid w:val="00D94B0C"/>
    <w:rsid w:val="00D94B54"/>
    <w:rsid w:val="00D94BE5"/>
    <w:rsid w:val="00D94C35"/>
    <w:rsid w:val="00D94C3D"/>
    <w:rsid w:val="00D94CF3"/>
    <w:rsid w:val="00D94D95"/>
    <w:rsid w:val="00D94E58"/>
    <w:rsid w:val="00D94F50"/>
    <w:rsid w:val="00D94FA6"/>
    <w:rsid w:val="00D94FE3"/>
    <w:rsid w:val="00D950A8"/>
    <w:rsid w:val="00D95236"/>
    <w:rsid w:val="00D9534B"/>
    <w:rsid w:val="00D9539D"/>
    <w:rsid w:val="00D9558E"/>
    <w:rsid w:val="00D955F4"/>
    <w:rsid w:val="00D95802"/>
    <w:rsid w:val="00D958FB"/>
    <w:rsid w:val="00D95900"/>
    <w:rsid w:val="00D959A3"/>
    <w:rsid w:val="00D95A5C"/>
    <w:rsid w:val="00D95B86"/>
    <w:rsid w:val="00D95BD9"/>
    <w:rsid w:val="00D95C79"/>
    <w:rsid w:val="00D95D1C"/>
    <w:rsid w:val="00D95D84"/>
    <w:rsid w:val="00D95E5D"/>
    <w:rsid w:val="00D95E75"/>
    <w:rsid w:val="00D95F7F"/>
    <w:rsid w:val="00D960BD"/>
    <w:rsid w:val="00D962C5"/>
    <w:rsid w:val="00D962FD"/>
    <w:rsid w:val="00D96381"/>
    <w:rsid w:val="00D9663C"/>
    <w:rsid w:val="00D967A8"/>
    <w:rsid w:val="00D9697F"/>
    <w:rsid w:val="00D96A18"/>
    <w:rsid w:val="00D96A3C"/>
    <w:rsid w:val="00D96BF0"/>
    <w:rsid w:val="00D96E2F"/>
    <w:rsid w:val="00D96EFF"/>
    <w:rsid w:val="00D96FBB"/>
    <w:rsid w:val="00D9728C"/>
    <w:rsid w:val="00D974D2"/>
    <w:rsid w:val="00D97521"/>
    <w:rsid w:val="00D97651"/>
    <w:rsid w:val="00D9765A"/>
    <w:rsid w:val="00D978B9"/>
    <w:rsid w:val="00D97982"/>
    <w:rsid w:val="00D97C0C"/>
    <w:rsid w:val="00D97C30"/>
    <w:rsid w:val="00D97C39"/>
    <w:rsid w:val="00D97C90"/>
    <w:rsid w:val="00D97CB3"/>
    <w:rsid w:val="00D97D23"/>
    <w:rsid w:val="00D97D30"/>
    <w:rsid w:val="00D97DEC"/>
    <w:rsid w:val="00D97E6C"/>
    <w:rsid w:val="00DA00A5"/>
    <w:rsid w:val="00DA02A6"/>
    <w:rsid w:val="00DA038F"/>
    <w:rsid w:val="00DA03B9"/>
    <w:rsid w:val="00DA043A"/>
    <w:rsid w:val="00DA0522"/>
    <w:rsid w:val="00DA0566"/>
    <w:rsid w:val="00DA058E"/>
    <w:rsid w:val="00DA0753"/>
    <w:rsid w:val="00DA0834"/>
    <w:rsid w:val="00DA0A18"/>
    <w:rsid w:val="00DA0A8B"/>
    <w:rsid w:val="00DA0B4F"/>
    <w:rsid w:val="00DA0C6C"/>
    <w:rsid w:val="00DA0F23"/>
    <w:rsid w:val="00DA0FF8"/>
    <w:rsid w:val="00DA1095"/>
    <w:rsid w:val="00DA12AC"/>
    <w:rsid w:val="00DA14DF"/>
    <w:rsid w:val="00DA159E"/>
    <w:rsid w:val="00DA17E6"/>
    <w:rsid w:val="00DA192F"/>
    <w:rsid w:val="00DA1A39"/>
    <w:rsid w:val="00DA1B46"/>
    <w:rsid w:val="00DA1B6D"/>
    <w:rsid w:val="00DA1CDB"/>
    <w:rsid w:val="00DA1D0D"/>
    <w:rsid w:val="00DA1E76"/>
    <w:rsid w:val="00DA1EB1"/>
    <w:rsid w:val="00DA1F7C"/>
    <w:rsid w:val="00DA1FAE"/>
    <w:rsid w:val="00DA2093"/>
    <w:rsid w:val="00DA2210"/>
    <w:rsid w:val="00DA2218"/>
    <w:rsid w:val="00DA225C"/>
    <w:rsid w:val="00DA233C"/>
    <w:rsid w:val="00DA2352"/>
    <w:rsid w:val="00DA2412"/>
    <w:rsid w:val="00DA25AB"/>
    <w:rsid w:val="00DA2708"/>
    <w:rsid w:val="00DA27EE"/>
    <w:rsid w:val="00DA27FF"/>
    <w:rsid w:val="00DA291E"/>
    <w:rsid w:val="00DA2BDF"/>
    <w:rsid w:val="00DA2D07"/>
    <w:rsid w:val="00DA2D7F"/>
    <w:rsid w:val="00DA2DD8"/>
    <w:rsid w:val="00DA2DF5"/>
    <w:rsid w:val="00DA2F10"/>
    <w:rsid w:val="00DA2FAD"/>
    <w:rsid w:val="00DA3031"/>
    <w:rsid w:val="00DA30BD"/>
    <w:rsid w:val="00DA3101"/>
    <w:rsid w:val="00DA31C6"/>
    <w:rsid w:val="00DA334A"/>
    <w:rsid w:val="00DA33CC"/>
    <w:rsid w:val="00DA349A"/>
    <w:rsid w:val="00DA365B"/>
    <w:rsid w:val="00DA369A"/>
    <w:rsid w:val="00DA373A"/>
    <w:rsid w:val="00DA378D"/>
    <w:rsid w:val="00DA38BB"/>
    <w:rsid w:val="00DA3973"/>
    <w:rsid w:val="00DA39E8"/>
    <w:rsid w:val="00DA3A52"/>
    <w:rsid w:val="00DA3B61"/>
    <w:rsid w:val="00DA3CF7"/>
    <w:rsid w:val="00DA4061"/>
    <w:rsid w:val="00DA4471"/>
    <w:rsid w:val="00DA45F2"/>
    <w:rsid w:val="00DA46DC"/>
    <w:rsid w:val="00DA478B"/>
    <w:rsid w:val="00DA47AA"/>
    <w:rsid w:val="00DA4AD0"/>
    <w:rsid w:val="00DA4B77"/>
    <w:rsid w:val="00DA4BD0"/>
    <w:rsid w:val="00DA4BFA"/>
    <w:rsid w:val="00DA4D54"/>
    <w:rsid w:val="00DA4F39"/>
    <w:rsid w:val="00DA5098"/>
    <w:rsid w:val="00DA512A"/>
    <w:rsid w:val="00DA512C"/>
    <w:rsid w:val="00DA520E"/>
    <w:rsid w:val="00DA54F2"/>
    <w:rsid w:val="00DA54FF"/>
    <w:rsid w:val="00DA563C"/>
    <w:rsid w:val="00DA569C"/>
    <w:rsid w:val="00DA56AE"/>
    <w:rsid w:val="00DA57C7"/>
    <w:rsid w:val="00DA57E2"/>
    <w:rsid w:val="00DA5B33"/>
    <w:rsid w:val="00DA5B52"/>
    <w:rsid w:val="00DA5B5B"/>
    <w:rsid w:val="00DA5B81"/>
    <w:rsid w:val="00DA6110"/>
    <w:rsid w:val="00DA637D"/>
    <w:rsid w:val="00DA643B"/>
    <w:rsid w:val="00DA65B4"/>
    <w:rsid w:val="00DA675C"/>
    <w:rsid w:val="00DA6765"/>
    <w:rsid w:val="00DA6781"/>
    <w:rsid w:val="00DA67EB"/>
    <w:rsid w:val="00DA6B5F"/>
    <w:rsid w:val="00DA6CC6"/>
    <w:rsid w:val="00DA6E61"/>
    <w:rsid w:val="00DA7002"/>
    <w:rsid w:val="00DA70AD"/>
    <w:rsid w:val="00DA71A7"/>
    <w:rsid w:val="00DA735C"/>
    <w:rsid w:val="00DA73D0"/>
    <w:rsid w:val="00DA7544"/>
    <w:rsid w:val="00DA7652"/>
    <w:rsid w:val="00DA78C2"/>
    <w:rsid w:val="00DA79D0"/>
    <w:rsid w:val="00DA7A8D"/>
    <w:rsid w:val="00DA7AD7"/>
    <w:rsid w:val="00DA7AF7"/>
    <w:rsid w:val="00DA7AFB"/>
    <w:rsid w:val="00DA7BF9"/>
    <w:rsid w:val="00DA7EED"/>
    <w:rsid w:val="00DB003C"/>
    <w:rsid w:val="00DB0067"/>
    <w:rsid w:val="00DB0121"/>
    <w:rsid w:val="00DB0251"/>
    <w:rsid w:val="00DB028C"/>
    <w:rsid w:val="00DB0299"/>
    <w:rsid w:val="00DB02AD"/>
    <w:rsid w:val="00DB0471"/>
    <w:rsid w:val="00DB05E4"/>
    <w:rsid w:val="00DB0698"/>
    <w:rsid w:val="00DB071F"/>
    <w:rsid w:val="00DB094D"/>
    <w:rsid w:val="00DB0A5F"/>
    <w:rsid w:val="00DB0A9B"/>
    <w:rsid w:val="00DB0AAD"/>
    <w:rsid w:val="00DB0B33"/>
    <w:rsid w:val="00DB0BA3"/>
    <w:rsid w:val="00DB0C95"/>
    <w:rsid w:val="00DB0FCE"/>
    <w:rsid w:val="00DB1103"/>
    <w:rsid w:val="00DB11C5"/>
    <w:rsid w:val="00DB121C"/>
    <w:rsid w:val="00DB1247"/>
    <w:rsid w:val="00DB12DC"/>
    <w:rsid w:val="00DB12EE"/>
    <w:rsid w:val="00DB1498"/>
    <w:rsid w:val="00DB1B10"/>
    <w:rsid w:val="00DB1CD5"/>
    <w:rsid w:val="00DB1DF7"/>
    <w:rsid w:val="00DB1E0B"/>
    <w:rsid w:val="00DB1E91"/>
    <w:rsid w:val="00DB1F20"/>
    <w:rsid w:val="00DB1FDF"/>
    <w:rsid w:val="00DB1FEA"/>
    <w:rsid w:val="00DB22D0"/>
    <w:rsid w:val="00DB2388"/>
    <w:rsid w:val="00DB2389"/>
    <w:rsid w:val="00DB2444"/>
    <w:rsid w:val="00DB2473"/>
    <w:rsid w:val="00DB258D"/>
    <w:rsid w:val="00DB281A"/>
    <w:rsid w:val="00DB28EF"/>
    <w:rsid w:val="00DB2BB6"/>
    <w:rsid w:val="00DB2C1E"/>
    <w:rsid w:val="00DB2C33"/>
    <w:rsid w:val="00DB2C37"/>
    <w:rsid w:val="00DB2CAB"/>
    <w:rsid w:val="00DB2CC5"/>
    <w:rsid w:val="00DB2DF4"/>
    <w:rsid w:val="00DB2E69"/>
    <w:rsid w:val="00DB2F7F"/>
    <w:rsid w:val="00DB2FCE"/>
    <w:rsid w:val="00DB3027"/>
    <w:rsid w:val="00DB3342"/>
    <w:rsid w:val="00DB3385"/>
    <w:rsid w:val="00DB3387"/>
    <w:rsid w:val="00DB35BB"/>
    <w:rsid w:val="00DB35F3"/>
    <w:rsid w:val="00DB35F4"/>
    <w:rsid w:val="00DB362E"/>
    <w:rsid w:val="00DB373C"/>
    <w:rsid w:val="00DB3751"/>
    <w:rsid w:val="00DB382B"/>
    <w:rsid w:val="00DB3855"/>
    <w:rsid w:val="00DB39DE"/>
    <w:rsid w:val="00DB3A32"/>
    <w:rsid w:val="00DB3BED"/>
    <w:rsid w:val="00DB3C8B"/>
    <w:rsid w:val="00DB3D59"/>
    <w:rsid w:val="00DB3FBA"/>
    <w:rsid w:val="00DB4108"/>
    <w:rsid w:val="00DB411D"/>
    <w:rsid w:val="00DB4137"/>
    <w:rsid w:val="00DB416C"/>
    <w:rsid w:val="00DB41FA"/>
    <w:rsid w:val="00DB4215"/>
    <w:rsid w:val="00DB429F"/>
    <w:rsid w:val="00DB434B"/>
    <w:rsid w:val="00DB4383"/>
    <w:rsid w:val="00DB4410"/>
    <w:rsid w:val="00DB4443"/>
    <w:rsid w:val="00DB45E1"/>
    <w:rsid w:val="00DB47D5"/>
    <w:rsid w:val="00DB48D4"/>
    <w:rsid w:val="00DB4AC2"/>
    <w:rsid w:val="00DB4AC3"/>
    <w:rsid w:val="00DB4AD5"/>
    <w:rsid w:val="00DB4ADA"/>
    <w:rsid w:val="00DB4B22"/>
    <w:rsid w:val="00DB4C04"/>
    <w:rsid w:val="00DB4D04"/>
    <w:rsid w:val="00DB503D"/>
    <w:rsid w:val="00DB5117"/>
    <w:rsid w:val="00DB5186"/>
    <w:rsid w:val="00DB555E"/>
    <w:rsid w:val="00DB55A1"/>
    <w:rsid w:val="00DB592B"/>
    <w:rsid w:val="00DB5A73"/>
    <w:rsid w:val="00DB5D12"/>
    <w:rsid w:val="00DB5DC4"/>
    <w:rsid w:val="00DB5DD1"/>
    <w:rsid w:val="00DB5E84"/>
    <w:rsid w:val="00DB6031"/>
    <w:rsid w:val="00DB604D"/>
    <w:rsid w:val="00DB6363"/>
    <w:rsid w:val="00DB6392"/>
    <w:rsid w:val="00DB6403"/>
    <w:rsid w:val="00DB6445"/>
    <w:rsid w:val="00DB6516"/>
    <w:rsid w:val="00DB653F"/>
    <w:rsid w:val="00DB6573"/>
    <w:rsid w:val="00DB65A6"/>
    <w:rsid w:val="00DB664A"/>
    <w:rsid w:val="00DB6737"/>
    <w:rsid w:val="00DB67AD"/>
    <w:rsid w:val="00DB6801"/>
    <w:rsid w:val="00DB68E0"/>
    <w:rsid w:val="00DB6974"/>
    <w:rsid w:val="00DB69EE"/>
    <w:rsid w:val="00DB6AA2"/>
    <w:rsid w:val="00DB6B73"/>
    <w:rsid w:val="00DB6B78"/>
    <w:rsid w:val="00DB6CAE"/>
    <w:rsid w:val="00DB6D5A"/>
    <w:rsid w:val="00DB6E49"/>
    <w:rsid w:val="00DB6E55"/>
    <w:rsid w:val="00DB6ECE"/>
    <w:rsid w:val="00DB6EE4"/>
    <w:rsid w:val="00DB6F30"/>
    <w:rsid w:val="00DB6F8A"/>
    <w:rsid w:val="00DB6FE3"/>
    <w:rsid w:val="00DB7121"/>
    <w:rsid w:val="00DB717D"/>
    <w:rsid w:val="00DB723D"/>
    <w:rsid w:val="00DB7396"/>
    <w:rsid w:val="00DB7463"/>
    <w:rsid w:val="00DB7497"/>
    <w:rsid w:val="00DB7688"/>
    <w:rsid w:val="00DB76C4"/>
    <w:rsid w:val="00DB78C3"/>
    <w:rsid w:val="00DB7B1C"/>
    <w:rsid w:val="00DB7B4F"/>
    <w:rsid w:val="00DB7CDF"/>
    <w:rsid w:val="00DB7D45"/>
    <w:rsid w:val="00DB7E0D"/>
    <w:rsid w:val="00DB7E10"/>
    <w:rsid w:val="00DB7E4F"/>
    <w:rsid w:val="00DB7FC3"/>
    <w:rsid w:val="00DB7FD6"/>
    <w:rsid w:val="00DC00EB"/>
    <w:rsid w:val="00DC012C"/>
    <w:rsid w:val="00DC025E"/>
    <w:rsid w:val="00DC0265"/>
    <w:rsid w:val="00DC032F"/>
    <w:rsid w:val="00DC0470"/>
    <w:rsid w:val="00DC053D"/>
    <w:rsid w:val="00DC05EC"/>
    <w:rsid w:val="00DC07BE"/>
    <w:rsid w:val="00DC07D7"/>
    <w:rsid w:val="00DC0840"/>
    <w:rsid w:val="00DC0862"/>
    <w:rsid w:val="00DC099B"/>
    <w:rsid w:val="00DC09BD"/>
    <w:rsid w:val="00DC0A05"/>
    <w:rsid w:val="00DC0B0B"/>
    <w:rsid w:val="00DC0CAA"/>
    <w:rsid w:val="00DC0CD4"/>
    <w:rsid w:val="00DC0D27"/>
    <w:rsid w:val="00DC0DC8"/>
    <w:rsid w:val="00DC0DF3"/>
    <w:rsid w:val="00DC0F06"/>
    <w:rsid w:val="00DC1133"/>
    <w:rsid w:val="00DC128E"/>
    <w:rsid w:val="00DC12DE"/>
    <w:rsid w:val="00DC1302"/>
    <w:rsid w:val="00DC1375"/>
    <w:rsid w:val="00DC1378"/>
    <w:rsid w:val="00DC14A3"/>
    <w:rsid w:val="00DC14AF"/>
    <w:rsid w:val="00DC14C6"/>
    <w:rsid w:val="00DC1636"/>
    <w:rsid w:val="00DC1675"/>
    <w:rsid w:val="00DC1720"/>
    <w:rsid w:val="00DC175C"/>
    <w:rsid w:val="00DC1967"/>
    <w:rsid w:val="00DC199F"/>
    <w:rsid w:val="00DC19B0"/>
    <w:rsid w:val="00DC1A76"/>
    <w:rsid w:val="00DC1ABF"/>
    <w:rsid w:val="00DC1B23"/>
    <w:rsid w:val="00DC1D52"/>
    <w:rsid w:val="00DC1FB6"/>
    <w:rsid w:val="00DC1FEA"/>
    <w:rsid w:val="00DC208F"/>
    <w:rsid w:val="00DC20FE"/>
    <w:rsid w:val="00DC211B"/>
    <w:rsid w:val="00DC2211"/>
    <w:rsid w:val="00DC238A"/>
    <w:rsid w:val="00DC2449"/>
    <w:rsid w:val="00DC2763"/>
    <w:rsid w:val="00DC27CA"/>
    <w:rsid w:val="00DC2A82"/>
    <w:rsid w:val="00DC2B37"/>
    <w:rsid w:val="00DC2DB7"/>
    <w:rsid w:val="00DC2E23"/>
    <w:rsid w:val="00DC2E48"/>
    <w:rsid w:val="00DC2F8E"/>
    <w:rsid w:val="00DC2FD1"/>
    <w:rsid w:val="00DC3519"/>
    <w:rsid w:val="00DC35E0"/>
    <w:rsid w:val="00DC3627"/>
    <w:rsid w:val="00DC3633"/>
    <w:rsid w:val="00DC365D"/>
    <w:rsid w:val="00DC36A5"/>
    <w:rsid w:val="00DC36BF"/>
    <w:rsid w:val="00DC37B7"/>
    <w:rsid w:val="00DC3805"/>
    <w:rsid w:val="00DC397D"/>
    <w:rsid w:val="00DC3A3A"/>
    <w:rsid w:val="00DC3A87"/>
    <w:rsid w:val="00DC3C16"/>
    <w:rsid w:val="00DC3CFA"/>
    <w:rsid w:val="00DC3D59"/>
    <w:rsid w:val="00DC3DE7"/>
    <w:rsid w:val="00DC3E61"/>
    <w:rsid w:val="00DC402A"/>
    <w:rsid w:val="00DC4108"/>
    <w:rsid w:val="00DC4371"/>
    <w:rsid w:val="00DC446D"/>
    <w:rsid w:val="00DC44CA"/>
    <w:rsid w:val="00DC4520"/>
    <w:rsid w:val="00DC4B77"/>
    <w:rsid w:val="00DC4CB3"/>
    <w:rsid w:val="00DC4DFB"/>
    <w:rsid w:val="00DC4EC7"/>
    <w:rsid w:val="00DC4F1B"/>
    <w:rsid w:val="00DC4F4E"/>
    <w:rsid w:val="00DC4F64"/>
    <w:rsid w:val="00DC4FCC"/>
    <w:rsid w:val="00DC50BB"/>
    <w:rsid w:val="00DC50C5"/>
    <w:rsid w:val="00DC5119"/>
    <w:rsid w:val="00DC51C3"/>
    <w:rsid w:val="00DC51E7"/>
    <w:rsid w:val="00DC535E"/>
    <w:rsid w:val="00DC55B8"/>
    <w:rsid w:val="00DC55C7"/>
    <w:rsid w:val="00DC566B"/>
    <w:rsid w:val="00DC573F"/>
    <w:rsid w:val="00DC5934"/>
    <w:rsid w:val="00DC5AAB"/>
    <w:rsid w:val="00DC5AE9"/>
    <w:rsid w:val="00DC5C2C"/>
    <w:rsid w:val="00DC6012"/>
    <w:rsid w:val="00DC61B2"/>
    <w:rsid w:val="00DC61ED"/>
    <w:rsid w:val="00DC6313"/>
    <w:rsid w:val="00DC647E"/>
    <w:rsid w:val="00DC64A7"/>
    <w:rsid w:val="00DC64B6"/>
    <w:rsid w:val="00DC651C"/>
    <w:rsid w:val="00DC65A7"/>
    <w:rsid w:val="00DC67F7"/>
    <w:rsid w:val="00DC680A"/>
    <w:rsid w:val="00DC6930"/>
    <w:rsid w:val="00DC6971"/>
    <w:rsid w:val="00DC69DE"/>
    <w:rsid w:val="00DC6A06"/>
    <w:rsid w:val="00DC6A08"/>
    <w:rsid w:val="00DC6A3C"/>
    <w:rsid w:val="00DC6C40"/>
    <w:rsid w:val="00DC6C71"/>
    <w:rsid w:val="00DC6E5D"/>
    <w:rsid w:val="00DC6FCA"/>
    <w:rsid w:val="00DC71D0"/>
    <w:rsid w:val="00DC730B"/>
    <w:rsid w:val="00DC750E"/>
    <w:rsid w:val="00DC7656"/>
    <w:rsid w:val="00DC768A"/>
    <w:rsid w:val="00DC7690"/>
    <w:rsid w:val="00DC7718"/>
    <w:rsid w:val="00DC78EA"/>
    <w:rsid w:val="00DC7932"/>
    <w:rsid w:val="00DC7A96"/>
    <w:rsid w:val="00DC7AD1"/>
    <w:rsid w:val="00DC7B32"/>
    <w:rsid w:val="00DC7B88"/>
    <w:rsid w:val="00DC7C22"/>
    <w:rsid w:val="00DC7C58"/>
    <w:rsid w:val="00DC7D86"/>
    <w:rsid w:val="00DC7E6C"/>
    <w:rsid w:val="00DC7F84"/>
    <w:rsid w:val="00DC7FBF"/>
    <w:rsid w:val="00DD0010"/>
    <w:rsid w:val="00DD00AA"/>
    <w:rsid w:val="00DD0111"/>
    <w:rsid w:val="00DD0154"/>
    <w:rsid w:val="00DD0241"/>
    <w:rsid w:val="00DD0325"/>
    <w:rsid w:val="00DD036F"/>
    <w:rsid w:val="00DD046F"/>
    <w:rsid w:val="00DD081F"/>
    <w:rsid w:val="00DD089B"/>
    <w:rsid w:val="00DD0907"/>
    <w:rsid w:val="00DD0953"/>
    <w:rsid w:val="00DD09DC"/>
    <w:rsid w:val="00DD0B1A"/>
    <w:rsid w:val="00DD0B4A"/>
    <w:rsid w:val="00DD0C95"/>
    <w:rsid w:val="00DD105D"/>
    <w:rsid w:val="00DD10C8"/>
    <w:rsid w:val="00DD11F2"/>
    <w:rsid w:val="00DD1248"/>
    <w:rsid w:val="00DD137F"/>
    <w:rsid w:val="00DD13DB"/>
    <w:rsid w:val="00DD142B"/>
    <w:rsid w:val="00DD1512"/>
    <w:rsid w:val="00DD15FF"/>
    <w:rsid w:val="00DD160A"/>
    <w:rsid w:val="00DD1644"/>
    <w:rsid w:val="00DD16F0"/>
    <w:rsid w:val="00DD172F"/>
    <w:rsid w:val="00DD183A"/>
    <w:rsid w:val="00DD18CC"/>
    <w:rsid w:val="00DD18FD"/>
    <w:rsid w:val="00DD19A9"/>
    <w:rsid w:val="00DD19E6"/>
    <w:rsid w:val="00DD1A23"/>
    <w:rsid w:val="00DD1A95"/>
    <w:rsid w:val="00DD1D41"/>
    <w:rsid w:val="00DD2061"/>
    <w:rsid w:val="00DD221F"/>
    <w:rsid w:val="00DD23C8"/>
    <w:rsid w:val="00DD244B"/>
    <w:rsid w:val="00DD24D0"/>
    <w:rsid w:val="00DD257F"/>
    <w:rsid w:val="00DD258F"/>
    <w:rsid w:val="00DD25CB"/>
    <w:rsid w:val="00DD2613"/>
    <w:rsid w:val="00DD2619"/>
    <w:rsid w:val="00DD2802"/>
    <w:rsid w:val="00DD2A8B"/>
    <w:rsid w:val="00DD2BE7"/>
    <w:rsid w:val="00DD2C4D"/>
    <w:rsid w:val="00DD2C81"/>
    <w:rsid w:val="00DD2FCD"/>
    <w:rsid w:val="00DD3055"/>
    <w:rsid w:val="00DD30B6"/>
    <w:rsid w:val="00DD3122"/>
    <w:rsid w:val="00DD3150"/>
    <w:rsid w:val="00DD31FE"/>
    <w:rsid w:val="00DD3213"/>
    <w:rsid w:val="00DD3269"/>
    <w:rsid w:val="00DD326F"/>
    <w:rsid w:val="00DD3278"/>
    <w:rsid w:val="00DD32BD"/>
    <w:rsid w:val="00DD330D"/>
    <w:rsid w:val="00DD3346"/>
    <w:rsid w:val="00DD33FA"/>
    <w:rsid w:val="00DD33FD"/>
    <w:rsid w:val="00DD377A"/>
    <w:rsid w:val="00DD39A4"/>
    <w:rsid w:val="00DD3A3B"/>
    <w:rsid w:val="00DD3A7B"/>
    <w:rsid w:val="00DD3B3E"/>
    <w:rsid w:val="00DD3BDE"/>
    <w:rsid w:val="00DD3EB2"/>
    <w:rsid w:val="00DD3F07"/>
    <w:rsid w:val="00DD3F83"/>
    <w:rsid w:val="00DD3FA5"/>
    <w:rsid w:val="00DD4073"/>
    <w:rsid w:val="00DD415F"/>
    <w:rsid w:val="00DD43B3"/>
    <w:rsid w:val="00DD4424"/>
    <w:rsid w:val="00DD44FD"/>
    <w:rsid w:val="00DD4649"/>
    <w:rsid w:val="00DD4695"/>
    <w:rsid w:val="00DD499D"/>
    <w:rsid w:val="00DD4A50"/>
    <w:rsid w:val="00DD4C05"/>
    <w:rsid w:val="00DD4D70"/>
    <w:rsid w:val="00DD4DFF"/>
    <w:rsid w:val="00DD4EA9"/>
    <w:rsid w:val="00DD4EDE"/>
    <w:rsid w:val="00DD50EE"/>
    <w:rsid w:val="00DD5106"/>
    <w:rsid w:val="00DD5129"/>
    <w:rsid w:val="00DD5141"/>
    <w:rsid w:val="00DD52EF"/>
    <w:rsid w:val="00DD53BD"/>
    <w:rsid w:val="00DD540C"/>
    <w:rsid w:val="00DD5460"/>
    <w:rsid w:val="00DD560E"/>
    <w:rsid w:val="00DD57FC"/>
    <w:rsid w:val="00DD590C"/>
    <w:rsid w:val="00DD59F5"/>
    <w:rsid w:val="00DD5D12"/>
    <w:rsid w:val="00DD5DE5"/>
    <w:rsid w:val="00DD5E0E"/>
    <w:rsid w:val="00DD5E31"/>
    <w:rsid w:val="00DD600E"/>
    <w:rsid w:val="00DD6158"/>
    <w:rsid w:val="00DD6254"/>
    <w:rsid w:val="00DD6294"/>
    <w:rsid w:val="00DD6307"/>
    <w:rsid w:val="00DD6317"/>
    <w:rsid w:val="00DD63DC"/>
    <w:rsid w:val="00DD65A8"/>
    <w:rsid w:val="00DD6634"/>
    <w:rsid w:val="00DD67AE"/>
    <w:rsid w:val="00DD6874"/>
    <w:rsid w:val="00DD6A5A"/>
    <w:rsid w:val="00DD6AEF"/>
    <w:rsid w:val="00DD6BF9"/>
    <w:rsid w:val="00DD6C51"/>
    <w:rsid w:val="00DD6C70"/>
    <w:rsid w:val="00DD6CBF"/>
    <w:rsid w:val="00DD6D2C"/>
    <w:rsid w:val="00DD6D54"/>
    <w:rsid w:val="00DD6D94"/>
    <w:rsid w:val="00DD6D99"/>
    <w:rsid w:val="00DD6F0F"/>
    <w:rsid w:val="00DD6F4C"/>
    <w:rsid w:val="00DD7040"/>
    <w:rsid w:val="00DD71E9"/>
    <w:rsid w:val="00DD71F6"/>
    <w:rsid w:val="00DD75AE"/>
    <w:rsid w:val="00DD7747"/>
    <w:rsid w:val="00DD78C1"/>
    <w:rsid w:val="00DD7908"/>
    <w:rsid w:val="00DD7AC7"/>
    <w:rsid w:val="00DD7AD9"/>
    <w:rsid w:val="00DD7C9E"/>
    <w:rsid w:val="00DD7DE1"/>
    <w:rsid w:val="00DD7DEE"/>
    <w:rsid w:val="00DD7DF0"/>
    <w:rsid w:val="00DD7E15"/>
    <w:rsid w:val="00DD7F4D"/>
    <w:rsid w:val="00DD7F65"/>
    <w:rsid w:val="00DD7F7E"/>
    <w:rsid w:val="00DE0006"/>
    <w:rsid w:val="00DE00EA"/>
    <w:rsid w:val="00DE0165"/>
    <w:rsid w:val="00DE03A9"/>
    <w:rsid w:val="00DE0481"/>
    <w:rsid w:val="00DE06B6"/>
    <w:rsid w:val="00DE071D"/>
    <w:rsid w:val="00DE0720"/>
    <w:rsid w:val="00DE076D"/>
    <w:rsid w:val="00DE0924"/>
    <w:rsid w:val="00DE09C3"/>
    <w:rsid w:val="00DE09C9"/>
    <w:rsid w:val="00DE09D3"/>
    <w:rsid w:val="00DE0E1C"/>
    <w:rsid w:val="00DE0E86"/>
    <w:rsid w:val="00DE0E96"/>
    <w:rsid w:val="00DE1049"/>
    <w:rsid w:val="00DE10E4"/>
    <w:rsid w:val="00DE139A"/>
    <w:rsid w:val="00DE16B7"/>
    <w:rsid w:val="00DE18E6"/>
    <w:rsid w:val="00DE1976"/>
    <w:rsid w:val="00DE1B3D"/>
    <w:rsid w:val="00DE1B9A"/>
    <w:rsid w:val="00DE1E92"/>
    <w:rsid w:val="00DE1FE8"/>
    <w:rsid w:val="00DE22C9"/>
    <w:rsid w:val="00DE2370"/>
    <w:rsid w:val="00DE2496"/>
    <w:rsid w:val="00DE24CC"/>
    <w:rsid w:val="00DE2670"/>
    <w:rsid w:val="00DE26CE"/>
    <w:rsid w:val="00DE288F"/>
    <w:rsid w:val="00DE29EC"/>
    <w:rsid w:val="00DE2BAC"/>
    <w:rsid w:val="00DE2CC4"/>
    <w:rsid w:val="00DE2DF4"/>
    <w:rsid w:val="00DE3038"/>
    <w:rsid w:val="00DE311E"/>
    <w:rsid w:val="00DE3184"/>
    <w:rsid w:val="00DE3248"/>
    <w:rsid w:val="00DE3427"/>
    <w:rsid w:val="00DE3469"/>
    <w:rsid w:val="00DE34A6"/>
    <w:rsid w:val="00DE35C9"/>
    <w:rsid w:val="00DE368A"/>
    <w:rsid w:val="00DE3697"/>
    <w:rsid w:val="00DE381F"/>
    <w:rsid w:val="00DE3843"/>
    <w:rsid w:val="00DE3895"/>
    <w:rsid w:val="00DE3986"/>
    <w:rsid w:val="00DE398F"/>
    <w:rsid w:val="00DE3A91"/>
    <w:rsid w:val="00DE3B35"/>
    <w:rsid w:val="00DE3B72"/>
    <w:rsid w:val="00DE3B7B"/>
    <w:rsid w:val="00DE3BAC"/>
    <w:rsid w:val="00DE3BB9"/>
    <w:rsid w:val="00DE3C87"/>
    <w:rsid w:val="00DE3CE8"/>
    <w:rsid w:val="00DE3EC9"/>
    <w:rsid w:val="00DE3EEE"/>
    <w:rsid w:val="00DE3F07"/>
    <w:rsid w:val="00DE3FD3"/>
    <w:rsid w:val="00DE414B"/>
    <w:rsid w:val="00DE4171"/>
    <w:rsid w:val="00DE42C3"/>
    <w:rsid w:val="00DE441F"/>
    <w:rsid w:val="00DE455D"/>
    <w:rsid w:val="00DE45CB"/>
    <w:rsid w:val="00DE4635"/>
    <w:rsid w:val="00DE4858"/>
    <w:rsid w:val="00DE48B0"/>
    <w:rsid w:val="00DE491B"/>
    <w:rsid w:val="00DE49B0"/>
    <w:rsid w:val="00DE49C8"/>
    <w:rsid w:val="00DE4A73"/>
    <w:rsid w:val="00DE4B77"/>
    <w:rsid w:val="00DE4C2D"/>
    <w:rsid w:val="00DE4EA1"/>
    <w:rsid w:val="00DE4FCD"/>
    <w:rsid w:val="00DE50E7"/>
    <w:rsid w:val="00DE514B"/>
    <w:rsid w:val="00DE5293"/>
    <w:rsid w:val="00DE531F"/>
    <w:rsid w:val="00DE536B"/>
    <w:rsid w:val="00DE5405"/>
    <w:rsid w:val="00DE561C"/>
    <w:rsid w:val="00DE56FE"/>
    <w:rsid w:val="00DE57E9"/>
    <w:rsid w:val="00DE5853"/>
    <w:rsid w:val="00DE5BA2"/>
    <w:rsid w:val="00DE5BDA"/>
    <w:rsid w:val="00DE5DBD"/>
    <w:rsid w:val="00DE5E47"/>
    <w:rsid w:val="00DE639C"/>
    <w:rsid w:val="00DE6492"/>
    <w:rsid w:val="00DE6823"/>
    <w:rsid w:val="00DE68FF"/>
    <w:rsid w:val="00DE69C8"/>
    <w:rsid w:val="00DE69DE"/>
    <w:rsid w:val="00DE6B6A"/>
    <w:rsid w:val="00DE6B84"/>
    <w:rsid w:val="00DE6C36"/>
    <w:rsid w:val="00DE6C6D"/>
    <w:rsid w:val="00DE6D37"/>
    <w:rsid w:val="00DE6DBF"/>
    <w:rsid w:val="00DE6E18"/>
    <w:rsid w:val="00DE6F8B"/>
    <w:rsid w:val="00DE6FCD"/>
    <w:rsid w:val="00DE701F"/>
    <w:rsid w:val="00DE7092"/>
    <w:rsid w:val="00DE7099"/>
    <w:rsid w:val="00DE718C"/>
    <w:rsid w:val="00DE734F"/>
    <w:rsid w:val="00DE7437"/>
    <w:rsid w:val="00DE744E"/>
    <w:rsid w:val="00DE7517"/>
    <w:rsid w:val="00DE752A"/>
    <w:rsid w:val="00DE7550"/>
    <w:rsid w:val="00DE7568"/>
    <w:rsid w:val="00DE7621"/>
    <w:rsid w:val="00DE76AF"/>
    <w:rsid w:val="00DE76F3"/>
    <w:rsid w:val="00DE7756"/>
    <w:rsid w:val="00DE78E5"/>
    <w:rsid w:val="00DE7953"/>
    <w:rsid w:val="00DE799A"/>
    <w:rsid w:val="00DE7CC9"/>
    <w:rsid w:val="00DE7D54"/>
    <w:rsid w:val="00DE7E30"/>
    <w:rsid w:val="00DE7E64"/>
    <w:rsid w:val="00DE7E7D"/>
    <w:rsid w:val="00DF0149"/>
    <w:rsid w:val="00DF02C4"/>
    <w:rsid w:val="00DF02DC"/>
    <w:rsid w:val="00DF0400"/>
    <w:rsid w:val="00DF0556"/>
    <w:rsid w:val="00DF070B"/>
    <w:rsid w:val="00DF07A4"/>
    <w:rsid w:val="00DF0885"/>
    <w:rsid w:val="00DF0953"/>
    <w:rsid w:val="00DF0A27"/>
    <w:rsid w:val="00DF0AB6"/>
    <w:rsid w:val="00DF0ABB"/>
    <w:rsid w:val="00DF0BBE"/>
    <w:rsid w:val="00DF0CCF"/>
    <w:rsid w:val="00DF0E6D"/>
    <w:rsid w:val="00DF0FAA"/>
    <w:rsid w:val="00DF0FE9"/>
    <w:rsid w:val="00DF13E9"/>
    <w:rsid w:val="00DF14A4"/>
    <w:rsid w:val="00DF14BF"/>
    <w:rsid w:val="00DF1649"/>
    <w:rsid w:val="00DF1796"/>
    <w:rsid w:val="00DF17BB"/>
    <w:rsid w:val="00DF183D"/>
    <w:rsid w:val="00DF199A"/>
    <w:rsid w:val="00DF19B1"/>
    <w:rsid w:val="00DF1A9B"/>
    <w:rsid w:val="00DF1C10"/>
    <w:rsid w:val="00DF1CF7"/>
    <w:rsid w:val="00DF1D5E"/>
    <w:rsid w:val="00DF1D76"/>
    <w:rsid w:val="00DF1D84"/>
    <w:rsid w:val="00DF1DAE"/>
    <w:rsid w:val="00DF1E9E"/>
    <w:rsid w:val="00DF1F4F"/>
    <w:rsid w:val="00DF204A"/>
    <w:rsid w:val="00DF2067"/>
    <w:rsid w:val="00DF20C0"/>
    <w:rsid w:val="00DF216E"/>
    <w:rsid w:val="00DF218E"/>
    <w:rsid w:val="00DF237E"/>
    <w:rsid w:val="00DF25A8"/>
    <w:rsid w:val="00DF2641"/>
    <w:rsid w:val="00DF264E"/>
    <w:rsid w:val="00DF28A1"/>
    <w:rsid w:val="00DF2935"/>
    <w:rsid w:val="00DF2A1A"/>
    <w:rsid w:val="00DF2C61"/>
    <w:rsid w:val="00DF2C77"/>
    <w:rsid w:val="00DF2CA1"/>
    <w:rsid w:val="00DF2CA7"/>
    <w:rsid w:val="00DF2D6E"/>
    <w:rsid w:val="00DF2F3B"/>
    <w:rsid w:val="00DF2FC1"/>
    <w:rsid w:val="00DF3342"/>
    <w:rsid w:val="00DF33A5"/>
    <w:rsid w:val="00DF341B"/>
    <w:rsid w:val="00DF3444"/>
    <w:rsid w:val="00DF357A"/>
    <w:rsid w:val="00DF3729"/>
    <w:rsid w:val="00DF376E"/>
    <w:rsid w:val="00DF388A"/>
    <w:rsid w:val="00DF388D"/>
    <w:rsid w:val="00DF38AE"/>
    <w:rsid w:val="00DF38B6"/>
    <w:rsid w:val="00DF393F"/>
    <w:rsid w:val="00DF39E9"/>
    <w:rsid w:val="00DF3AE1"/>
    <w:rsid w:val="00DF3B01"/>
    <w:rsid w:val="00DF3B49"/>
    <w:rsid w:val="00DF3B68"/>
    <w:rsid w:val="00DF3BBD"/>
    <w:rsid w:val="00DF3BD7"/>
    <w:rsid w:val="00DF3C98"/>
    <w:rsid w:val="00DF3E52"/>
    <w:rsid w:val="00DF3FAF"/>
    <w:rsid w:val="00DF4245"/>
    <w:rsid w:val="00DF431B"/>
    <w:rsid w:val="00DF43A2"/>
    <w:rsid w:val="00DF44D5"/>
    <w:rsid w:val="00DF44ED"/>
    <w:rsid w:val="00DF457F"/>
    <w:rsid w:val="00DF4732"/>
    <w:rsid w:val="00DF486F"/>
    <w:rsid w:val="00DF49E8"/>
    <w:rsid w:val="00DF4A0E"/>
    <w:rsid w:val="00DF4A25"/>
    <w:rsid w:val="00DF4A8A"/>
    <w:rsid w:val="00DF4EE5"/>
    <w:rsid w:val="00DF4F07"/>
    <w:rsid w:val="00DF4F2A"/>
    <w:rsid w:val="00DF4F86"/>
    <w:rsid w:val="00DF4F94"/>
    <w:rsid w:val="00DF5027"/>
    <w:rsid w:val="00DF5030"/>
    <w:rsid w:val="00DF5056"/>
    <w:rsid w:val="00DF5069"/>
    <w:rsid w:val="00DF5070"/>
    <w:rsid w:val="00DF5139"/>
    <w:rsid w:val="00DF51A0"/>
    <w:rsid w:val="00DF5521"/>
    <w:rsid w:val="00DF556F"/>
    <w:rsid w:val="00DF55D9"/>
    <w:rsid w:val="00DF5681"/>
    <w:rsid w:val="00DF5706"/>
    <w:rsid w:val="00DF58B8"/>
    <w:rsid w:val="00DF5965"/>
    <w:rsid w:val="00DF59DC"/>
    <w:rsid w:val="00DF5A87"/>
    <w:rsid w:val="00DF5B0A"/>
    <w:rsid w:val="00DF5C71"/>
    <w:rsid w:val="00DF5CE8"/>
    <w:rsid w:val="00DF5D74"/>
    <w:rsid w:val="00DF5E25"/>
    <w:rsid w:val="00DF5E42"/>
    <w:rsid w:val="00DF5FB2"/>
    <w:rsid w:val="00DF6155"/>
    <w:rsid w:val="00DF616A"/>
    <w:rsid w:val="00DF617F"/>
    <w:rsid w:val="00DF6285"/>
    <w:rsid w:val="00DF6334"/>
    <w:rsid w:val="00DF6402"/>
    <w:rsid w:val="00DF6477"/>
    <w:rsid w:val="00DF6497"/>
    <w:rsid w:val="00DF650D"/>
    <w:rsid w:val="00DF6658"/>
    <w:rsid w:val="00DF67B3"/>
    <w:rsid w:val="00DF699A"/>
    <w:rsid w:val="00DF6AB6"/>
    <w:rsid w:val="00DF6C5C"/>
    <w:rsid w:val="00DF6CFC"/>
    <w:rsid w:val="00DF6E98"/>
    <w:rsid w:val="00DF6ED9"/>
    <w:rsid w:val="00DF6F39"/>
    <w:rsid w:val="00DF6F98"/>
    <w:rsid w:val="00DF6FBE"/>
    <w:rsid w:val="00DF70BF"/>
    <w:rsid w:val="00DF7174"/>
    <w:rsid w:val="00DF7456"/>
    <w:rsid w:val="00DF74A1"/>
    <w:rsid w:val="00DF74C1"/>
    <w:rsid w:val="00DF74D9"/>
    <w:rsid w:val="00DF75BD"/>
    <w:rsid w:val="00DF78CE"/>
    <w:rsid w:val="00DF7A67"/>
    <w:rsid w:val="00DF7AA4"/>
    <w:rsid w:val="00DF7B77"/>
    <w:rsid w:val="00DF7C13"/>
    <w:rsid w:val="00DF7C94"/>
    <w:rsid w:val="00DF7D5D"/>
    <w:rsid w:val="00DF7E30"/>
    <w:rsid w:val="00DF7E4F"/>
    <w:rsid w:val="00DF7E52"/>
    <w:rsid w:val="00E002BB"/>
    <w:rsid w:val="00E002C5"/>
    <w:rsid w:val="00E002C9"/>
    <w:rsid w:val="00E0041D"/>
    <w:rsid w:val="00E007FE"/>
    <w:rsid w:val="00E0086E"/>
    <w:rsid w:val="00E0088E"/>
    <w:rsid w:val="00E00BAB"/>
    <w:rsid w:val="00E00E1F"/>
    <w:rsid w:val="00E00F4A"/>
    <w:rsid w:val="00E0101F"/>
    <w:rsid w:val="00E0103D"/>
    <w:rsid w:val="00E011A1"/>
    <w:rsid w:val="00E01243"/>
    <w:rsid w:val="00E012E2"/>
    <w:rsid w:val="00E013DE"/>
    <w:rsid w:val="00E01514"/>
    <w:rsid w:val="00E0156F"/>
    <w:rsid w:val="00E01691"/>
    <w:rsid w:val="00E016EB"/>
    <w:rsid w:val="00E017FD"/>
    <w:rsid w:val="00E01A60"/>
    <w:rsid w:val="00E01D8C"/>
    <w:rsid w:val="00E01F69"/>
    <w:rsid w:val="00E0208D"/>
    <w:rsid w:val="00E02177"/>
    <w:rsid w:val="00E02184"/>
    <w:rsid w:val="00E0218D"/>
    <w:rsid w:val="00E022A8"/>
    <w:rsid w:val="00E024E2"/>
    <w:rsid w:val="00E0260E"/>
    <w:rsid w:val="00E0269C"/>
    <w:rsid w:val="00E0282F"/>
    <w:rsid w:val="00E0288E"/>
    <w:rsid w:val="00E0299B"/>
    <w:rsid w:val="00E02B64"/>
    <w:rsid w:val="00E02CE9"/>
    <w:rsid w:val="00E02DA2"/>
    <w:rsid w:val="00E02E5B"/>
    <w:rsid w:val="00E0307C"/>
    <w:rsid w:val="00E030F2"/>
    <w:rsid w:val="00E0319A"/>
    <w:rsid w:val="00E032A6"/>
    <w:rsid w:val="00E03300"/>
    <w:rsid w:val="00E03457"/>
    <w:rsid w:val="00E0360B"/>
    <w:rsid w:val="00E038B8"/>
    <w:rsid w:val="00E0392F"/>
    <w:rsid w:val="00E0395D"/>
    <w:rsid w:val="00E03A37"/>
    <w:rsid w:val="00E03A96"/>
    <w:rsid w:val="00E03C38"/>
    <w:rsid w:val="00E03CBF"/>
    <w:rsid w:val="00E03ED2"/>
    <w:rsid w:val="00E03F40"/>
    <w:rsid w:val="00E04195"/>
    <w:rsid w:val="00E042A5"/>
    <w:rsid w:val="00E042B8"/>
    <w:rsid w:val="00E043B6"/>
    <w:rsid w:val="00E043C2"/>
    <w:rsid w:val="00E04471"/>
    <w:rsid w:val="00E0452B"/>
    <w:rsid w:val="00E045CE"/>
    <w:rsid w:val="00E04654"/>
    <w:rsid w:val="00E0478D"/>
    <w:rsid w:val="00E04890"/>
    <w:rsid w:val="00E048BF"/>
    <w:rsid w:val="00E049A1"/>
    <w:rsid w:val="00E04A8D"/>
    <w:rsid w:val="00E04B71"/>
    <w:rsid w:val="00E04BCE"/>
    <w:rsid w:val="00E04D57"/>
    <w:rsid w:val="00E04EF4"/>
    <w:rsid w:val="00E04F70"/>
    <w:rsid w:val="00E051B1"/>
    <w:rsid w:val="00E05300"/>
    <w:rsid w:val="00E05368"/>
    <w:rsid w:val="00E05663"/>
    <w:rsid w:val="00E057A4"/>
    <w:rsid w:val="00E05AF9"/>
    <w:rsid w:val="00E05B48"/>
    <w:rsid w:val="00E05BDC"/>
    <w:rsid w:val="00E05D56"/>
    <w:rsid w:val="00E05D97"/>
    <w:rsid w:val="00E05DC5"/>
    <w:rsid w:val="00E05E70"/>
    <w:rsid w:val="00E05F37"/>
    <w:rsid w:val="00E05FB9"/>
    <w:rsid w:val="00E06255"/>
    <w:rsid w:val="00E06399"/>
    <w:rsid w:val="00E063F8"/>
    <w:rsid w:val="00E066E0"/>
    <w:rsid w:val="00E06700"/>
    <w:rsid w:val="00E067C8"/>
    <w:rsid w:val="00E0680F"/>
    <w:rsid w:val="00E069AD"/>
    <w:rsid w:val="00E06CD4"/>
    <w:rsid w:val="00E06CDF"/>
    <w:rsid w:val="00E06D84"/>
    <w:rsid w:val="00E06D87"/>
    <w:rsid w:val="00E06DBA"/>
    <w:rsid w:val="00E06ED9"/>
    <w:rsid w:val="00E0701B"/>
    <w:rsid w:val="00E072BE"/>
    <w:rsid w:val="00E0752A"/>
    <w:rsid w:val="00E07720"/>
    <w:rsid w:val="00E077F0"/>
    <w:rsid w:val="00E07918"/>
    <w:rsid w:val="00E079B8"/>
    <w:rsid w:val="00E079BA"/>
    <w:rsid w:val="00E07C7A"/>
    <w:rsid w:val="00E07CAE"/>
    <w:rsid w:val="00E07D26"/>
    <w:rsid w:val="00E07DBA"/>
    <w:rsid w:val="00E07E27"/>
    <w:rsid w:val="00E07E3A"/>
    <w:rsid w:val="00E07EB8"/>
    <w:rsid w:val="00E07F46"/>
    <w:rsid w:val="00E102AA"/>
    <w:rsid w:val="00E10414"/>
    <w:rsid w:val="00E104B7"/>
    <w:rsid w:val="00E10536"/>
    <w:rsid w:val="00E105A9"/>
    <w:rsid w:val="00E10734"/>
    <w:rsid w:val="00E10748"/>
    <w:rsid w:val="00E108D5"/>
    <w:rsid w:val="00E109B9"/>
    <w:rsid w:val="00E10B64"/>
    <w:rsid w:val="00E10C4A"/>
    <w:rsid w:val="00E10EA6"/>
    <w:rsid w:val="00E10F03"/>
    <w:rsid w:val="00E11142"/>
    <w:rsid w:val="00E111B4"/>
    <w:rsid w:val="00E112B7"/>
    <w:rsid w:val="00E11322"/>
    <w:rsid w:val="00E1142D"/>
    <w:rsid w:val="00E11611"/>
    <w:rsid w:val="00E11829"/>
    <w:rsid w:val="00E1182E"/>
    <w:rsid w:val="00E118A6"/>
    <w:rsid w:val="00E11A8A"/>
    <w:rsid w:val="00E11B52"/>
    <w:rsid w:val="00E11D57"/>
    <w:rsid w:val="00E11DCA"/>
    <w:rsid w:val="00E120AC"/>
    <w:rsid w:val="00E120D9"/>
    <w:rsid w:val="00E120E2"/>
    <w:rsid w:val="00E12219"/>
    <w:rsid w:val="00E12293"/>
    <w:rsid w:val="00E12299"/>
    <w:rsid w:val="00E122AE"/>
    <w:rsid w:val="00E12304"/>
    <w:rsid w:val="00E12364"/>
    <w:rsid w:val="00E124F1"/>
    <w:rsid w:val="00E1254F"/>
    <w:rsid w:val="00E12575"/>
    <w:rsid w:val="00E125C6"/>
    <w:rsid w:val="00E12751"/>
    <w:rsid w:val="00E127FB"/>
    <w:rsid w:val="00E12892"/>
    <w:rsid w:val="00E12903"/>
    <w:rsid w:val="00E12994"/>
    <w:rsid w:val="00E12A7B"/>
    <w:rsid w:val="00E12A9C"/>
    <w:rsid w:val="00E12AD6"/>
    <w:rsid w:val="00E12BCF"/>
    <w:rsid w:val="00E12CAF"/>
    <w:rsid w:val="00E12E27"/>
    <w:rsid w:val="00E12E47"/>
    <w:rsid w:val="00E12F30"/>
    <w:rsid w:val="00E12F8E"/>
    <w:rsid w:val="00E13039"/>
    <w:rsid w:val="00E130EA"/>
    <w:rsid w:val="00E1312C"/>
    <w:rsid w:val="00E1319D"/>
    <w:rsid w:val="00E13264"/>
    <w:rsid w:val="00E13438"/>
    <w:rsid w:val="00E13585"/>
    <w:rsid w:val="00E13708"/>
    <w:rsid w:val="00E1370F"/>
    <w:rsid w:val="00E13729"/>
    <w:rsid w:val="00E13780"/>
    <w:rsid w:val="00E137D9"/>
    <w:rsid w:val="00E137DE"/>
    <w:rsid w:val="00E13A42"/>
    <w:rsid w:val="00E13A52"/>
    <w:rsid w:val="00E13C48"/>
    <w:rsid w:val="00E13CB9"/>
    <w:rsid w:val="00E13D03"/>
    <w:rsid w:val="00E13DF5"/>
    <w:rsid w:val="00E13ECC"/>
    <w:rsid w:val="00E13F41"/>
    <w:rsid w:val="00E13F95"/>
    <w:rsid w:val="00E13FAA"/>
    <w:rsid w:val="00E13FD0"/>
    <w:rsid w:val="00E14083"/>
    <w:rsid w:val="00E1408B"/>
    <w:rsid w:val="00E1416A"/>
    <w:rsid w:val="00E14408"/>
    <w:rsid w:val="00E145DD"/>
    <w:rsid w:val="00E1484A"/>
    <w:rsid w:val="00E14907"/>
    <w:rsid w:val="00E14923"/>
    <w:rsid w:val="00E1496C"/>
    <w:rsid w:val="00E14BB3"/>
    <w:rsid w:val="00E14D27"/>
    <w:rsid w:val="00E14E32"/>
    <w:rsid w:val="00E14E80"/>
    <w:rsid w:val="00E15056"/>
    <w:rsid w:val="00E150CA"/>
    <w:rsid w:val="00E1519F"/>
    <w:rsid w:val="00E152CC"/>
    <w:rsid w:val="00E1534F"/>
    <w:rsid w:val="00E153A3"/>
    <w:rsid w:val="00E15512"/>
    <w:rsid w:val="00E1562A"/>
    <w:rsid w:val="00E158DF"/>
    <w:rsid w:val="00E15B1F"/>
    <w:rsid w:val="00E15B4F"/>
    <w:rsid w:val="00E15D14"/>
    <w:rsid w:val="00E15D4E"/>
    <w:rsid w:val="00E15D6F"/>
    <w:rsid w:val="00E15DB1"/>
    <w:rsid w:val="00E15E85"/>
    <w:rsid w:val="00E15E8D"/>
    <w:rsid w:val="00E15F0F"/>
    <w:rsid w:val="00E15F5E"/>
    <w:rsid w:val="00E16096"/>
    <w:rsid w:val="00E160BB"/>
    <w:rsid w:val="00E1612A"/>
    <w:rsid w:val="00E1613E"/>
    <w:rsid w:val="00E161E9"/>
    <w:rsid w:val="00E16241"/>
    <w:rsid w:val="00E162EA"/>
    <w:rsid w:val="00E162EE"/>
    <w:rsid w:val="00E163F4"/>
    <w:rsid w:val="00E16620"/>
    <w:rsid w:val="00E16748"/>
    <w:rsid w:val="00E168A0"/>
    <w:rsid w:val="00E168AE"/>
    <w:rsid w:val="00E16941"/>
    <w:rsid w:val="00E16963"/>
    <w:rsid w:val="00E16AF0"/>
    <w:rsid w:val="00E16B6F"/>
    <w:rsid w:val="00E16CA7"/>
    <w:rsid w:val="00E16DAA"/>
    <w:rsid w:val="00E16DEB"/>
    <w:rsid w:val="00E16E67"/>
    <w:rsid w:val="00E17175"/>
    <w:rsid w:val="00E17552"/>
    <w:rsid w:val="00E17597"/>
    <w:rsid w:val="00E1763C"/>
    <w:rsid w:val="00E177D0"/>
    <w:rsid w:val="00E1788F"/>
    <w:rsid w:val="00E178B9"/>
    <w:rsid w:val="00E178C7"/>
    <w:rsid w:val="00E17926"/>
    <w:rsid w:val="00E17A3B"/>
    <w:rsid w:val="00E17A3F"/>
    <w:rsid w:val="00E17A45"/>
    <w:rsid w:val="00E17C44"/>
    <w:rsid w:val="00E17E02"/>
    <w:rsid w:val="00E17E28"/>
    <w:rsid w:val="00E17F21"/>
    <w:rsid w:val="00E17F2B"/>
    <w:rsid w:val="00E200A2"/>
    <w:rsid w:val="00E20189"/>
    <w:rsid w:val="00E202F0"/>
    <w:rsid w:val="00E203FA"/>
    <w:rsid w:val="00E204DA"/>
    <w:rsid w:val="00E205A2"/>
    <w:rsid w:val="00E2078C"/>
    <w:rsid w:val="00E20909"/>
    <w:rsid w:val="00E20A08"/>
    <w:rsid w:val="00E20C9E"/>
    <w:rsid w:val="00E20DBF"/>
    <w:rsid w:val="00E210C2"/>
    <w:rsid w:val="00E212DC"/>
    <w:rsid w:val="00E2136B"/>
    <w:rsid w:val="00E215AC"/>
    <w:rsid w:val="00E2180B"/>
    <w:rsid w:val="00E2187E"/>
    <w:rsid w:val="00E2196E"/>
    <w:rsid w:val="00E21975"/>
    <w:rsid w:val="00E21A0D"/>
    <w:rsid w:val="00E21A16"/>
    <w:rsid w:val="00E21B03"/>
    <w:rsid w:val="00E21B88"/>
    <w:rsid w:val="00E21BA2"/>
    <w:rsid w:val="00E21D33"/>
    <w:rsid w:val="00E21D98"/>
    <w:rsid w:val="00E21E1E"/>
    <w:rsid w:val="00E21FE1"/>
    <w:rsid w:val="00E22016"/>
    <w:rsid w:val="00E220F4"/>
    <w:rsid w:val="00E2229D"/>
    <w:rsid w:val="00E2238A"/>
    <w:rsid w:val="00E223DB"/>
    <w:rsid w:val="00E223F7"/>
    <w:rsid w:val="00E22445"/>
    <w:rsid w:val="00E2255B"/>
    <w:rsid w:val="00E22595"/>
    <w:rsid w:val="00E2282F"/>
    <w:rsid w:val="00E228C1"/>
    <w:rsid w:val="00E22C2C"/>
    <w:rsid w:val="00E2307B"/>
    <w:rsid w:val="00E23147"/>
    <w:rsid w:val="00E23211"/>
    <w:rsid w:val="00E23301"/>
    <w:rsid w:val="00E23323"/>
    <w:rsid w:val="00E233F1"/>
    <w:rsid w:val="00E236F4"/>
    <w:rsid w:val="00E23727"/>
    <w:rsid w:val="00E23788"/>
    <w:rsid w:val="00E237A1"/>
    <w:rsid w:val="00E237DC"/>
    <w:rsid w:val="00E238F9"/>
    <w:rsid w:val="00E23993"/>
    <w:rsid w:val="00E23A32"/>
    <w:rsid w:val="00E23AA9"/>
    <w:rsid w:val="00E23BAB"/>
    <w:rsid w:val="00E23D3A"/>
    <w:rsid w:val="00E23D59"/>
    <w:rsid w:val="00E23DE0"/>
    <w:rsid w:val="00E23F37"/>
    <w:rsid w:val="00E23FE1"/>
    <w:rsid w:val="00E2401F"/>
    <w:rsid w:val="00E24126"/>
    <w:rsid w:val="00E2441D"/>
    <w:rsid w:val="00E244D7"/>
    <w:rsid w:val="00E2452E"/>
    <w:rsid w:val="00E24592"/>
    <w:rsid w:val="00E246D1"/>
    <w:rsid w:val="00E246E6"/>
    <w:rsid w:val="00E248B1"/>
    <w:rsid w:val="00E248CF"/>
    <w:rsid w:val="00E248E3"/>
    <w:rsid w:val="00E24909"/>
    <w:rsid w:val="00E24951"/>
    <w:rsid w:val="00E24A8E"/>
    <w:rsid w:val="00E24B55"/>
    <w:rsid w:val="00E24BD0"/>
    <w:rsid w:val="00E24BF1"/>
    <w:rsid w:val="00E24D80"/>
    <w:rsid w:val="00E24DC1"/>
    <w:rsid w:val="00E24EFB"/>
    <w:rsid w:val="00E2508D"/>
    <w:rsid w:val="00E25193"/>
    <w:rsid w:val="00E25195"/>
    <w:rsid w:val="00E25232"/>
    <w:rsid w:val="00E25280"/>
    <w:rsid w:val="00E252B4"/>
    <w:rsid w:val="00E2533A"/>
    <w:rsid w:val="00E2537F"/>
    <w:rsid w:val="00E253A6"/>
    <w:rsid w:val="00E2557B"/>
    <w:rsid w:val="00E255DC"/>
    <w:rsid w:val="00E256C1"/>
    <w:rsid w:val="00E257C0"/>
    <w:rsid w:val="00E25912"/>
    <w:rsid w:val="00E25991"/>
    <w:rsid w:val="00E259D9"/>
    <w:rsid w:val="00E25AB2"/>
    <w:rsid w:val="00E25D6A"/>
    <w:rsid w:val="00E25DA2"/>
    <w:rsid w:val="00E25E7D"/>
    <w:rsid w:val="00E25EB1"/>
    <w:rsid w:val="00E25FB1"/>
    <w:rsid w:val="00E260A3"/>
    <w:rsid w:val="00E26347"/>
    <w:rsid w:val="00E263C7"/>
    <w:rsid w:val="00E264EC"/>
    <w:rsid w:val="00E2655D"/>
    <w:rsid w:val="00E26589"/>
    <w:rsid w:val="00E266E2"/>
    <w:rsid w:val="00E26740"/>
    <w:rsid w:val="00E26A6A"/>
    <w:rsid w:val="00E26B1F"/>
    <w:rsid w:val="00E26C01"/>
    <w:rsid w:val="00E26CF2"/>
    <w:rsid w:val="00E26CFF"/>
    <w:rsid w:val="00E26D15"/>
    <w:rsid w:val="00E26FE8"/>
    <w:rsid w:val="00E271A3"/>
    <w:rsid w:val="00E2737D"/>
    <w:rsid w:val="00E2744B"/>
    <w:rsid w:val="00E275EE"/>
    <w:rsid w:val="00E275FF"/>
    <w:rsid w:val="00E2775F"/>
    <w:rsid w:val="00E278D5"/>
    <w:rsid w:val="00E27DD9"/>
    <w:rsid w:val="00E27DDB"/>
    <w:rsid w:val="00E27E62"/>
    <w:rsid w:val="00E27F1C"/>
    <w:rsid w:val="00E27FE6"/>
    <w:rsid w:val="00E30197"/>
    <w:rsid w:val="00E302D9"/>
    <w:rsid w:val="00E30300"/>
    <w:rsid w:val="00E30396"/>
    <w:rsid w:val="00E303CB"/>
    <w:rsid w:val="00E3040F"/>
    <w:rsid w:val="00E3041D"/>
    <w:rsid w:val="00E30624"/>
    <w:rsid w:val="00E3069E"/>
    <w:rsid w:val="00E306CA"/>
    <w:rsid w:val="00E307D2"/>
    <w:rsid w:val="00E309EA"/>
    <w:rsid w:val="00E30A82"/>
    <w:rsid w:val="00E30AB5"/>
    <w:rsid w:val="00E30BA6"/>
    <w:rsid w:val="00E30E14"/>
    <w:rsid w:val="00E31022"/>
    <w:rsid w:val="00E314EE"/>
    <w:rsid w:val="00E31552"/>
    <w:rsid w:val="00E31561"/>
    <w:rsid w:val="00E31620"/>
    <w:rsid w:val="00E31657"/>
    <w:rsid w:val="00E31702"/>
    <w:rsid w:val="00E3175E"/>
    <w:rsid w:val="00E31928"/>
    <w:rsid w:val="00E31AD6"/>
    <w:rsid w:val="00E31B75"/>
    <w:rsid w:val="00E31D98"/>
    <w:rsid w:val="00E31DBC"/>
    <w:rsid w:val="00E31DEF"/>
    <w:rsid w:val="00E31FA0"/>
    <w:rsid w:val="00E3206D"/>
    <w:rsid w:val="00E32144"/>
    <w:rsid w:val="00E32158"/>
    <w:rsid w:val="00E3242E"/>
    <w:rsid w:val="00E32586"/>
    <w:rsid w:val="00E327E2"/>
    <w:rsid w:val="00E327F5"/>
    <w:rsid w:val="00E328ED"/>
    <w:rsid w:val="00E32A8E"/>
    <w:rsid w:val="00E32D0E"/>
    <w:rsid w:val="00E32DAB"/>
    <w:rsid w:val="00E32E51"/>
    <w:rsid w:val="00E32E9A"/>
    <w:rsid w:val="00E32F9C"/>
    <w:rsid w:val="00E330C9"/>
    <w:rsid w:val="00E33141"/>
    <w:rsid w:val="00E33306"/>
    <w:rsid w:val="00E3330E"/>
    <w:rsid w:val="00E3342E"/>
    <w:rsid w:val="00E33480"/>
    <w:rsid w:val="00E334B0"/>
    <w:rsid w:val="00E334EF"/>
    <w:rsid w:val="00E3351F"/>
    <w:rsid w:val="00E33873"/>
    <w:rsid w:val="00E33992"/>
    <w:rsid w:val="00E33A3A"/>
    <w:rsid w:val="00E33B40"/>
    <w:rsid w:val="00E33B41"/>
    <w:rsid w:val="00E33B76"/>
    <w:rsid w:val="00E33C2A"/>
    <w:rsid w:val="00E33C36"/>
    <w:rsid w:val="00E33DD5"/>
    <w:rsid w:val="00E33E28"/>
    <w:rsid w:val="00E33FEB"/>
    <w:rsid w:val="00E342A0"/>
    <w:rsid w:val="00E34404"/>
    <w:rsid w:val="00E34521"/>
    <w:rsid w:val="00E34569"/>
    <w:rsid w:val="00E345BA"/>
    <w:rsid w:val="00E345C1"/>
    <w:rsid w:val="00E345C5"/>
    <w:rsid w:val="00E347C9"/>
    <w:rsid w:val="00E348CB"/>
    <w:rsid w:val="00E3497C"/>
    <w:rsid w:val="00E34ACC"/>
    <w:rsid w:val="00E34F7E"/>
    <w:rsid w:val="00E35215"/>
    <w:rsid w:val="00E35252"/>
    <w:rsid w:val="00E352BB"/>
    <w:rsid w:val="00E3534B"/>
    <w:rsid w:val="00E3576B"/>
    <w:rsid w:val="00E3587E"/>
    <w:rsid w:val="00E358B4"/>
    <w:rsid w:val="00E358C9"/>
    <w:rsid w:val="00E35A3D"/>
    <w:rsid w:val="00E35BFD"/>
    <w:rsid w:val="00E35D2B"/>
    <w:rsid w:val="00E35D73"/>
    <w:rsid w:val="00E35E9E"/>
    <w:rsid w:val="00E35ECD"/>
    <w:rsid w:val="00E35F16"/>
    <w:rsid w:val="00E35FDA"/>
    <w:rsid w:val="00E36048"/>
    <w:rsid w:val="00E3619A"/>
    <w:rsid w:val="00E36242"/>
    <w:rsid w:val="00E36314"/>
    <w:rsid w:val="00E363DB"/>
    <w:rsid w:val="00E3657C"/>
    <w:rsid w:val="00E365C8"/>
    <w:rsid w:val="00E3662F"/>
    <w:rsid w:val="00E3665A"/>
    <w:rsid w:val="00E36A1F"/>
    <w:rsid w:val="00E36BA5"/>
    <w:rsid w:val="00E36D36"/>
    <w:rsid w:val="00E36DCA"/>
    <w:rsid w:val="00E36FBE"/>
    <w:rsid w:val="00E36FD3"/>
    <w:rsid w:val="00E36FE4"/>
    <w:rsid w:val="00E37053"/>
    <w:rsid w:val="00E370FA"/>
    <w:rsid w:val="00E37167"/>
    <w:rsid w:val="00E371A5"/>
    <w:rsid w:val="00E37267"/>
    <w:rsid w:val="00E373B4"/>
    <w:rsid w:val="00E3746D"/>
    <w:rsid w:val="00E375BB"/>
    <w:rsid w:val="00E377A7"/>
    <w:rsid w:val="00E37C37"/>
    <w:rsid w:val="00E37DF9"/>
    <w:rsid w:val="00E37FB2"/>
    <w:rsid w:val="00E37FF7"/>
    <w:rsid w:val="00E4002F"/>
    <w:rsid w:val="00E400AF"/>
    <w:rsid w:val="00E402E6"/>
    <w:rsid w:val="00E40446"/>
    <w:rsid w:val="00E4046A"/>
    <w:rsid w:val="00E405BA"/>
    <w:rsid w:val="00E405F7"/>
    <w:rsid w:val="00E405FD"/>
    <w:rsid w:val="00E4072B"/>
    <w:rsid w:val="00E4075F"/>
    <w:rsid w:val="00E4088A"/>
    <w:rsid w:val="00E408C1"/>
    <w:rsid w:val="00E40900"/>
    <w:rsid w:val="00E40903"/>
    <w:rsid w:val="00E40965"/>
    <w:rsid w:val="00E409A6"/>
    <w:rsid w:val="00E40A3F"/>
    <w:rsid w:val="00E40A7D"/>
    <w:rsid w:val="00E40B82"/>
    <w:rsid w:val="00E40BBF"/>
    <w:rsid w:val="00E40BD1"/>
    <w:rsid w:val="00E40DAE"/>
    <w:rsid w:val="00E40E9A"/>
    <w:rsid w:val="00E40ECB"/>
    <w:rsid w:val="00E40F1A"/>
    <w:rsid w:val="00E40F62"/>
    <w:rsid w:val="00E41176"/>
    <w:rsid w:val="00E41263"/>
    <w:rsid w:val="00E4126E"/>
    <w:rsid w:val="00E4161A"/>
    <w:rsid w:val="00E41652"/>
    <w:rsid w:val="00E41675"/>
    <w:rsid w:val="00E41680"/>
    <w:rsid w:val="00E41726"/>
    <w:rsid w:val="00E4185B"/>
    <w:rsid w:val="00E418BB"/>
    <w:rsid w:val="00E41983"/>
    <w:rsid w:val="00E41A3E"/>
    <w:rsid w:val="00E41BF4"/>
    <w:rsid w:val="00E41C05"/>
    <w:rsid w:val="00E41C2F"/>
    <w:rsid w:val="00E41D7B"/>
    <w:rsid w:val="00E42022"/>
    <w:rsid w:val="00E423B3"/>
    <w:rsid w:val="00E424B7"/>
    <w:rsid w:val="00E424F0"/>
    <w:rsid w:val="00E42557"/>
    <w:rsid w:val="00E425C3"/>
    <w:rsid w:val="00E42697"/>
    <w:rsid w:val="00E4277E"/>
    <w:rsid w:val="00E42793"/>
    <w:rsid w:val="00E427EF"/>
    <w:rsid w:val="00E427F7"/>
    <w:rsid w:val="00E42844"/>
    <w:rsid w:val="00E42866"/>
    <w:rsid w:val="00E42928"/>
    <w:rsid w:val="00E429F1"/>
    <w:rsid w:val="00E42A10"/>
    <w:rsid w:val="00E42B61"/>
    <w:rsid w:val="00E42D5B"/>
    <w:rsid w:val="00E42E0A"/>
    <w:rsid w:val="00E430D2"/>
    <w:rsid w:val="00E431BE"/>
    <w:rsid w:val="00E431D8"/>
    <w:rsid w:val="00E43249"/>
    <w:rsid w:val="00E43424"/>
    <w:rsid w:val="00E434EC"/>
    <w:rsid w:val="00E435D9"/>
    <w:rsid w:val="00E436A2"/>
    <w:rsid w:val="00E436EA"/>
    <w:rsid w:val="00E43714"/>
    <w:rsid w:val="00E4373B"/>
    <w:rsid w:val="00E437EA"/>
    <w:rsid w:val="00E4380D"/>
    <w:rsid w:val="00E43836"/>
    <w:rsid w:val="00E43A9D"/>
    <w:rsid w:val="00E43B45"/>
    <w:rsid w:val="00E43B85"/>
    <w:rsid w:val="00E43C0A"/>
    <w:rsid w:val="00E43D4D"/>
    <w:rsid w:val="00E43D5A"/>
    <w:rsid w:val="00E43D69"/>
    <w:rsid w:val="00E43EC0"/>
    <w:rsid w:val="00E4400D"/>
    <w:rsid w:val="00E4401A"/>
    <w:rsid w:val="00E4404E"/>
    <w:rsid w:val="00E440B6"/>
    <w:rsid w:val="00E441B7"/>
    <w:rsid w:val="00E44253"/>
    <w:rsid w:val="00E4429C"/>
    <w:rsid w:val="00E44316"/>
    <w:rsid w:val="00E4434E"/>
    <w:rsid w:val="00E4447A"/>
    <w:rsid w:val="00E44569"/>
    <w:rsid w:val="00E445A9"/>
    <w:rsid w:val="00E445D9"/>
    <w:rsid w:val="00E44706"/>
    <w:rsid w:val="00E447C5"/>
    <w:rsid w:val="00E44897"/>
    <w:rsid w:val="00E44A17"/>
    <w:rsid w:val="00E44C10"/>
    <w:rsid w:val="00E44D3C"/>
    <w:rsid w:val="00E44D60"/>
    <w:rsid w:val="00E44E5D"/>
    <w:rsid w:val="00E44F4A"/>
    <w:rsid w:val="00E45074"/>
    <w:rsid w:val="00E4517B"/>
    <w:rsid w:val="00E45317"/>
    <w:rsid w:val="00E453F0"/>
    <w:rsid w:val="00E45469"/>
    <w:rsid w:val="00E454EC"/>
    <w:rsid w:val="00E45684"/>
    <w:rsid w:val="00E456A9"/>
    <w:rsid w:val="00E456FE"/>
    <w:rsid w:val="00E45786"/>
    <w:rsid w:val="00E458C9"/>
    <w:rsid w:val="00E458D8"/>
    <w:rsid w:val="00E45B5A"/>
    <w:rsid w:val="00E45C13"/>
    <w:rsid w:val="00E46202"/>
    <w:rsid w:val="00E46239"/>
    <w:rsid w:val="00E462E6"/>
    <w:rsid w:val="00E46556"/>
    <w:rsid w:val="00E46803"/>
    <w:rsid w:val="00E4683F"/>
    <w:rsid w:val="00E4699D"/>
    <w:rsid w:val="00E46A18"/>
    <w:rsid w:val="00E46A9C"/>
    <w:rsid w:val="00E46D49"/>
    <w:rsid w:val="00E46E9C"/>
    <w:rsid w:val="00E46F97"/>
    <w:rsid w:val="00E46F9D"/>
    <w:rsid w:val="00E4712C"/>
    <w:rsid w:val="00E4721E"/>
    <w:rsid w:val="00E473BA"/>
    <w:rsid w:val="00E473EF"/>
    <w:rsid w:val="00E47478"/>
    <w:rsid w:val="00E47575"/>
    <w:rsid w:val="00E475EC"/>
    <w:rsid w:val="00E47678"/>
    <w:rsid w:val="00E47717"/>
    <w:rsid w:val="00E47772"/>
    <w:rsid w:val="00E478E8"/>
    <w:rsid w:val="00E47A0B"/>
    <w:rsid w:val="00E47C11"/>
    <w:rsid w:val="00E47CED"/>
    <w:rsid w:val="00E47D33"/>
    <w:rsid w:val="00E47D93"/>
    <w:rsid w:val="00E47E23"/>
    <w:rsid w:val="00E47E6C"/>
    <w:rsid w:val="00E47EBB"/>
    <w:rsid w:val="00E47F05"/>
    <w:rsid w:val="00E47FEA"/>
    <w:rsid w:val="00E500AC"/>
    <w:rsid w:val="00E50112"/>
    <w:rsid w:val="00E50123"/>
    <w:rsid w:val="00E50172"/>
    <w:rsid w:val="00E50238"/>
    <w:rsid w:val="00E50296"/>
    <w:rsid w:val="00E50565"/>
    <w:rsid w:val="00E5067E"/>
    <w:rsid w:val="00E5075B"/>
    <w:rsid w:val="00E508D1"/>
    <w:rsid w:val="00E508E2"/>
    <w:rsid w:val="00E50ADF"/>
    <w:rsid w:val="00E50BB2"/>
    <w:rsid w:val="00E50E57"/>
    <w:rsid w:val="00E50EB5"/>
    <w:rsid w:val="00E51199"/>
    <w:rsid w:val="00E512A0"/>
    <w:rsid w:val="00E514E4"/>
    <w:rsid w:val="00E518A7"/>
    <w:rsid w:val="00E518E8"/>
    <w:rsid w:val="00E51A63"/>
    <w:rsid w:val="00E51D1F"/>
    <w:rsid w:val="00E51D2A"/>
    <w:rsid w:val="00E51E75"/>
    <w:rsid w:val="00E5203C"/>
    <w:rsid w:val="00E52134"/>
    <w:rsid w:val="00E52177"/>
    <w:rsid w:val="00E521CD"/>
    <w:rsid w:val="00E522BB"/>
    <w:rsid w:val="00E523BD"/>
    <w:rsid w:val="00E5242B"/>
    <w:rsid w:val="00E52440"/>
    <w:rsid w:val="00E52582"/>
    <w:rsid w:val="00E52657"/>
    <w:rsid w:val="00E52827"/>
    <w:rsid w:val="00E52963"/>
    <w:rsid w:val="00E529A0"/>
    <w:rsid w:val="00E529F5"/>
    <w:rsid w:val="00E52FA0"/>
    <w:rsid w:val="00E52FB6"/>
    <w:rsid w:val="00E533D8"/>
    <w:rsid w:val="00E53496"/>
    <w:rsid w:val="00E5356B"/>
    <w:rsid w:val="00E536CB"/>
    <w:rsid w:val="00E537A8"/>
    <w:rsid w:val="00E53827"/>
    <w:rsid w:val="00E53866"/>
    <w:rsid w:val="00E53877"/>
    <w:rsid w:val="00E538EC"/>
    <w:rsid w:val="00E5390F"/>
    <w:rsid w:val="00E53984"/>
    <w:rsid w:val="00E53A27"/>
    <w:rsid w:val="00E53B30"/>
    <w:rsid w:val="00E53CAB"/>
    <w:rsid w:val="00E53CC7"/>
    <w:rsid w:val="00E53D35"/>
    <w:rsid w:val="00E53E00"/>
    <w:rsid w:val="00E53FA6"/>
    <w:rsid w:val="00E540E5"/>
    <w:rsid w:val="00E540ED"/>
    <w:rsid w:val="00E54141"/>
    <w:rsid w:val="00E54221"/>
    <w:rsid w:val="00E5428C"/>
    <w:rsid w:val="00E54480"/>
    <w:rsid w:val="00E5448F"/>
    <w:rsid w:val="00E546B5"/>
    <w:rsid w:val="00E54A65"/>
    <w:rsid w:val="00E54B0B"/>
    <w:rsid w:val="00E54C0F"/>
    <w:rsid w:val="00E54D94"/>
    <w:rsid w:val="00E554FA"/>
    <w:rsid w:val="00E55693"/>
    <w:rsid w:val="00E556BB"/>
    <w:rsid w:val="00E557FD"/>
    <w:rsid w:val="00E559E4"/>
    <w:rsid w:val="00E55D9D"/>
    <w:rsid w:val="00E55F72"/>
    <w:rsid w:val="00E56040"/>
    <w:rsid w:val="00E560A9"/>
    <w:rsid w:val="00E561A1"/>
    <w:rsid w:val="00E56305"/>
    <w:rsid w:val="00E56329"/>
    <w:rsid w:val="00E564F0"/>
    <w:rsid w:val="00E5650A"/>
    <w:rsid w:val="00E56650"/>
    <w:rsid w:val="00E56850"/>
    <w:rsid w:val="00E56998"/>
    <w:rsid w:val="00E56A51"/>
    <w:rsid w:val="00E56B15"/>
    <w:rsid w:val="00E56B2B"/>
    <w:rsid w:val="00E56B83"/>
    <w:rsid w:val="00E56C62"/>
    <w:rsid w:val="00E56E3D"/>
    <w:rsid w:val="00E56EF8"/>
    <w:rsid w:val="00E56F56"/>
    <w:rsid w:val="00E56F91"/>
    <w:rsid w:val="00E57120"/>
    <w:rsid w:val="00E57193"/>
    <w:rsid w:val="00E57247"/>
    <w:rsid w:val="00E573BA"/>
    <w:rsid w:val="00E574CB"/>
    <w:rsid w:val="00E574EC"/>
    <w:rsid w:val="00E574F2"/>
    <w:rsid w:val="00E574F8"/>
    <w:rsid w:val="00E575E0"/>
    <w:rsid w:val="00E57644"/>
    <w:rsid w:val="00E57774"/>
    <w:rsid w:val="00E57789"/>
    <w:rsid w:val="00E5778E"/>
    <w:rsid w:val="00E577CC"/>
    <w:rsid w:val="00E5783E"/>
    <w:rsid w:val="00E5788E"/>
    <w:rsid w:val="00E57974"/>
    <w:rsid w:val="00E579D9"/>
    <w:rsid w:val="00E57B2F"/>
    <w:rsid w:val="00E57BB6"/>
    <w:rsid w:val="00E57BD1"/>
    <w:rsid w:val="00E57CCC"/>
    <w:rsid w:val="00E57D5F"/>
    <w:rsid w:val="00E57DCC"/>
    <w:rsid w:val="00E57E77"/>
    <w:rsid w:val="00E57E96"/>
    <w:rsid w:val="00E57F11"/>
    <w:rsid w:val="00E57F35"/>
    <w:rsid w:val="00E57F69"/>
    <w:rsid w:val="00E57F9C"/>
    <w:rsid w:val="00E57FA9"/>
    <w:rsid w:val="00E57FD3"/>
    <w:rsid w:val="00E57FD9"/>
    <w:rsid w:val="00E60056"/>
    <w:rsid w:val="00E601DF"/>
    <w:rsid w:val="00E60205"/>
    <w:rsid w:val="00E60289"/>
    <w:rsid w:val="00E60313"/>
    <w:rsid w:val="00E6040B"/>
    <w:rsid w:val="00E604C8"/>
    <w:rsid w:val="00E604F9"/>
    <w:rsid w:val="00E6053B"/>
    <w:rsid w:val="00E605C0"/>
    <w:rsid w:val="00E605D0"/>
    <w:rsid w:val="00E60746"/>
    <w:rsid w:val="00E6083D"/>
    <w:rsid w:val="00E60A96"/>
    <w:rsid w:val="00E60C03"/>
    <w:rsid w:val="00E60F05"/>
    <w:rsid w:val="00E60F39"/>
    <w:rsid w:val="00E6105F"/>
    <w:rsid w:val="00E6109D"/>
    <w:rsid w:val="00E6115B"/>
    <w:rsid w:val="00E61321"/>
    <w:rsid w:val="00E615F9"/>
    <w:rsid w:val="00E61613"/>
    <w:rsid w:val="00E61615"/>
    <w:rsid w:val="00E6178D"/>
    <w:rsid w:val="00E6179E"/>
    <w:rsid w:val="00E617A0"/>
    <w:rsid w:val="00E617E3"/>
    <w:rsid w:val="00E618A3"/>
    <w:rsid w:val="00E6193C"/>
    <w:rsid w:val="00E61A62"/>
    <w:rsid w:val="00E61C2D"/>
    <w:rsid w:val="00E61CF0"/>
    <w:rsid w:val="00E61E15"/>
    <w:rsid w:val="00E61EA5"/>
    <w:rsid w:val="00E61EFE"/>
    <w:rsid w:val="00E621BB"/>
    <w:rsid w:val="00E62226"/>
    <w:rsid w:val="00E6223B"/>
    <w:rsid w:val="00E6224A"/>
    <w:rsid w:val="00E624E4"/>
    <w:rsid w:val="00E624E8"/>
    <w:rsid w:val="00E6254D"/>
    <w:rsid w:val="00E625BC"/>
    <w:rsid w:val="00E62958"/>
    <w:rsid w:val="00E62A78"/>
    <w:rsid w:val="00E62BB3"/>
    <w:rsid w:val="00E62BC2"/>
    <w:rsid w:val="00E62E4B"/>
    <w:rsid w:val="00E62EC4"/>
    <w:rsid w:val="00E63123"/>
    <w:rsid w:val="00E6316C"/>
    <w:rsid w:val="00E6317D"/>
    <w:rsid w:val="00E6319D"/>
    <w:rsid w:val="00E6321D"/>
    <w:rsid w:val="00E63256"/>
    <w:rsid w:val="00E6325E"/>
    <w:rsid w:val="00E63263"/>
    <w:rsid w:val="00E6327D"/>
    <w:rsid w:val="00E632BD"/>
    <w:rsid w:val="00E63352"/>
    <w:rsid w:val="00E6350D"/>
    <w:rsid w:val="00E635AD"/>
    <w:rsid w:val="00E637D7"/>
    <w:rsid w:val="00E63893"/>
    <w:rsid w:val="00E638FB"/>
    <w:rsid w:val="00E6398F"/>
    <w:rsid w:val="00E63AE1"/>
    <w:rsid w:val="00E63B2D"/>
    <w:rsid w:val="00E63BDC"/>
    <w:rsid w:val="00E63C8F"/>
    <w:rsid w:val="00E63CCB"/>
    <w:rsid w:val="00E63CCF"/>
    <w:rsid w:val="00E63D49"/>
    <w:rsid w:val="00E63DAA"/>
    <w:rsid w:val="00E6408F"/>
    <w:rsid w:val="00E641B1"/>
    <w:rsid w:val="00E641EB"/>
    <w:rsid w:val="00E64382"/>
    <w:rsid w:val="00E64394"/>
    <w:rsid w:val="00E643B8"/>
    <w:rsid w:val="00E644AA"/>
    <w:rsid w:val="00E64716"/>
    <w:rsid w:val="00E647E5"/>
    <w:rsid w:val="00E64890"/>
    <w:rsid w:val="00E648AA"/>
    <w:rsid w:val="00E648AC"/>
    <w:rsid w:val="00E6494B"/>
    <w:rsid w:val="00E64A90"/>
    <w:rsid w:val="00E64ACE"/>
    <w:rsid w:val="00E64BA4"/>
    <w:rsid w:val="00E64BFF"/>
    <w:rsid w:val="00E64C19"/>
    <w:rsid w:val="00E64E31"/>
    <w:rsid w:val="00E6514A"/>
    <w:rsid w:val="00E6538E"/>
    <w:rsid w:val="00E653AC"/>
    <w:rsid w:val="00E653BC"/>
    <w:rsid w:val="00E654BC"/>
    <w:rsid w:val="00E654E1"/>
    <w:rsid w:val="00E655C2"/>
    <w:rsid w:val="00E656AB"/>
    <w:rsid w:val="00E65AB0"/>
    <w:rsid w:val="00E65AD0"/>
    <w:rsid w:val="00E65AE0"/>
    <w:rsid w:val="00E65BF0"/>
    <w:rsid w:val="00E65CA5"/>
    <w:rsid w:val="00E65CC8"/>
    <w:rsid w:val="00E65F0A"/>
    <w:rsid w:val="00E66031"/>
    <w:rsid w:val="00E66059"/>
    <w:rsid w:val="00E663BC"/>
    <w:rsid w:val="00E66515"/>
    <w:rsid w:val="00E6686C"/>
    <w:rsid w:val="00E668AD"/>
    <w:rsid w:val="00E668F2"/>
    <w:rsid w:val="00E668F8"/>
    <w:rsid w:val="00E66A2E"/>
    <w:rsid w:val="00E66A3D"/>
    <w:rsid w:val="00E66A93"/>
    <w:rsid w:val="00E66BF5"/>
    <w:rsid w:val="00E66CAA"/>
    <w:rsid w:val="00E66DB6"/>
    <w:rsid w:val="00E66E2F"/>
    <w:rsid w:val="00E66F14"/>
    <w:rsid w:val="00E6718F"/>
    <w:rsid w:val="00E672A6"/>
    <w:rsid w:val="00E67475"/>
    <w:rsid w:val="00E6756F"/>
    <w:rsid w:val="00E6773A"/>
    <w:rsid w:val="00E677AA"/>
    <w:rsid w:val="00E67C1F"/>
    <w:rsid w:val="00E67C46"/>
    <w:rsid w:val="00E67D06"/>
    <w:rsid w:val="00E67EDA"/>
    <w:rsid w:val="00E67F64"/>
    <w:rsid w:val="00E70003"/>
    <w:rsid w:val="00E70016"/>
    <w:rsid w:val="00E7015D"/>
    <w:rsid w:val="00E701DC"/>
    <w:rsid w:val="00E70204"/>
    <w:rsid w:val="00E70216"/>
    <w:rsid w:val="00E7024B"/>
    <w:rsid w:val="00E702CA"/>
    <w:rsid w:val="00E70410"/>
    <w:rsid w:val="00E704F2"/>
    <w:rsid w:val="00E706D2"/>
    <w:rsid w:val="00E70723"/>
    <w:rsid w:val="00E707B2"/>
    <w:rsid w:val="00E70970"/>
    <w:rsid w:val="00E7097A"/>
    <w:rsid w:val="00E709FB"/>
    <w:rsid w:val="00E70A24"/>
    <w:rsid w:val="00E70A60"/>
    <w:rsid w:val="00E70A92"/>
    <w:rsid w:val="00E70D29"/>
    <w:rsid w:val="00E70DC5"/>
    <w:rsid w:val="00E70DD7"/>
    <w:rsid w:val="00E70E47"/>
    <w:rsid w:val="00E70E89"/>
    <w:rsid w:val="00E70EEE"/>
    <w:rsid w:val="00E70F4A"/>
    <w:rsid w:val="00E7101B"/>
    <w:rsid w:val="00E711DA"/>
    <w:rsid w:val="00E7123A"/>
    <w:rsid w:val="00E7124B"/>
    <w:rsid w:val="00E712B9"/>
    <w:rsid w:val="00E71411"/>
    <w:rsid w:val="00E71485"/>
    <w:rsid w:val="00E71501"/>
    <w:rsid w:val="00E715F5"/>
    <w:rsid w:val="00E718EC"/>
    <w:rsid w:val="00E719BF"/>
    <w:rsid w:val="00E71CBC"/>
    <w:rsid w:val="00E71DCF"/>
    <w:rsid w:val="00E7212B"/>
    <w:rsid w:val="00E7221D"/>
    <w:rsid w:val="00E72225"/>
    <w:rsid w:val="00E7231A"/>
    <w:rsid w:val="00E7234B"/>
    <w:rsid w:val="00E7235D"/>
    <w:rsid w:val="00E723A4"/>
    <w:rsid w:val="00E723C7"/>
    <w:rsid w:val="00E725B2"/>
    <w:rsid w:val="00E72815"/>
    <w:rsid w:val="00E72ACC"/>
    <w:rsid w:val="00E72C0D"/>
    <w:rsid w:val="00E72D10"/>
    <w:rsid w:val="00E72E19"/>
    <w:rsid w:val="00E72E73"/>
    <w:rsid w:val="00E72E7B"/>
    <w:rsid w:val="00E72EAF"/>
    <w:rsid w:val="00E72F9F"/>
    <w:rsid w:val="00E73244"/>
    <w:rsid w:val="00E73311"/>
    <w:rsid w:val="00E73320"/>
    <w:rsid w:val="00E73423"/>
    <w:rsid w:val="00E735BF"/>
    <w:rsid w:val="00E736EB"/>
    <w:rsid w:val="00E7371A"/>
    <w:rsid w:val="00E737C5"/>
    <w:rsid w:val="00E73803"/>
    <w:rsid w:val="00E7389D"/>
    <w:rsid w:val="00E738A1"/>
    <w:rsid w:val="00E738D6"/>
    <w:rsid w:val="00E73B18"/>
    <w:rsid w:val="00E73B69"/>
    <w:rsid w:val="00E74049"/>
    <w:rsid w:val="00E7405A"/>
    <w:rsid w:val="00E740EF"/>
    <w:rsid w:val="00E741E3"/>
    <w:rsid w:val="00E7432C"/>
    <w:rsid w:val="00E7433F"/>
    <w:rsid w:val="00E74378"/>
    <w:rsid w:val="00E74464"/>
    <w:rsid w:val="00E7457B"/>
    <w:rsid w:val="00E7461A"/>
    <w:rsid w:val="00E74B0A"/>
    <w:rsid w:val="00E74BED"/>
    <w:rsid w:val="00E74DB3"/>
    <w:rsid w:val="00E74FB5"/>
    <w:rsid w:val="00E75137"/>
    <w:rsid w:val="00E7523D"/>
    <w:rsid w:val="00E7535C"/>
    <w:rsid w:val="00E755DA"/>
    <w:rsid w:val="00E75638"/>
    <w:rsid w:val="00E756A4"/>
    <w:rsid w:val="00E75734"/>
    <w:rsid w:val="00E7583F"/>
    <w:rsid w:val="00E75980"/>
    <w:rsid w:val="00E75B44"/>
    <w:rsid w:val="00E75C09"/>
    <w:rsid w:val="00E75F67"/>
    <w:rsid w:val="00E75F91"/>
    <w:rsid w:val="00E7606D"/>
    <w:rsid w:val="00E7615F"/>
    <w:rsid w:val="00E761CD"/>
    <w:rsid w:val="00E76247"/>
    <w:rsid w:val="00E765B8"/>
    <w:rsid w:val="00E76663"/>
    <w:rsid w:val="00E76950"/>
    <w:rsid w:val="00E76AE0"/>
    <w:rsid w:val="00E76E2B"/>
    <w:rsid w:val="00E77056"/>
    <w:rsid w:val="00E7724C"/>
    <w:rsid w:val="00E7733A"/>
    <w:rsid w:val="00E773BB"/>
    <w:rsid w:val="00E7749C"/>
    <w:rsid w:val="00E7780F"/>
    <w:rsid w:val="00E77874"/>
    <w:rsid w:val="00E77900"/>
    <w:rsid w:val="00E77A1C"/>
    <w:rsid w:val="00E77A36"/>
    <w:rsid w:val="00E77B28"/>
    <w:rsid w:val="00E77BA7"/>
    <w:rsid w:val="00E77E11"/>
    <w:rsid w:val="00E77EAF"/>
    <w:rsid w:val="00E77EC6"/>
    <w:rsid w:val="00E77F52"/>
    <w:rsid w:val="00E80000"/>
    <w:rsid w:val="00E8009D"/>
    <w:rsid w:val="00E800FA"/>
    <w:rsid w:val="00E80155"/>
    <w:rsid w:val="00E80192"/>
    <w:rsid w:val="00E80386"/>
    <w:rsid w:val="00E804AE"/>
    <w:rsid w:val="00E804B5"/>
    <w:rsid w:val="00E8051E"/>
    <w:rsid w:val="00E805CD"/>
    <w:rsid w:val="00E8060D"/>
    <w:rsid w:val="00E80774"/>
    <w:rsid w:val="00E80796"/>
    <w:rsid w:val="00E8086D"/>
    <w:rsid w:val="00E809C0"/>
    <w:rsid w:val="00E80E26"/>
    <w:rsid w:val="00E80E4E"/>
    <w:rsid w:val="00E81123"/>
    <w:rsid w:val="00E813A7"/>
    <w:rsid w:val="00E816A6"/>
    <w:rsid w:val="00E816EC"/>
    <w:rsid w:val="00E8177C"/>
    <w:rsid w:val="00E817D5"/>
    <w:rsid w:val="00E81A87"/>
    <w:rsid w:val="00E81B7C"/>
    <w:rsid w:val="00E81C7B"/>
    <w:rsid w:val="00E81CE7"/>
    <w:rsid w:val="00E81D7A"/>
    <w:rsid w:val="00E81E12"/>
    <w:rsid w:val="00E81ECE"/>
    <w:rsid w:val="00E81EF9"/>
    <w:rsid w:val="00E81F41"/>
    <w:rsid w:val="00E81F7D"/>
    <w:rsid w:val="00E82005"/>
    <w:rsid w:val="00E82023"/>
    <w:rsid w:val="00E82163"/>
    <w:rsid w:val="00E82251"/>
    <w:rsid w:val="00E822F8"/>
    <w:rsid w:val="00E824A9"/>
    <w:rsid w:val="00E825DE"/>
    <w:rsid w:val="00E825E0"/>
    <w:rsid w:val="00E826C5"/>
    <w:rsid w:val="00E82862"/>
    <w:rsid w:val="00E828F4"/>
    <w:rsid w:val="00E82975"/>
    <w:rsid w:val="00E829AC"/>
    <w:rsid w:val="00E829AF"/>
    <w:rsid w:val="00E82ADB"/>
    <w:rsid w:val="00E82E3E"/>
    <w:rsid w:val="00E82EC6"/>
    <w:rsid w:val="00E83031"/>
    <w:rsid w:val="00E83065"/>
    <w:rsid w:val="00E8317E"/>
    <w:rsid w:val="00E833B6"/>
    <w:rsid w:val="00E835F8"/>
    <w:rsid w:val="00E836BA"/>
    <w:rsid w:val="00E83948"/>
    <w:rsid w:val="00E8399A"/>
    <w:rsid w:val="00E83A4D"/>
    <w:rsid w:val="00E83AB1"/>
    <w:rsid w:val="00E83AB8"/>
    <w:rsid w:val="00E83B1B"/>
    <w:rsid w:val="00E83B83"/>
    <w:rsid w:val="00E83BC6"/>
    <w:rsid w:val="00E83BCE"/>
    <w:rsid w:val="00E83BFC"/>
    <w:rsid w:val="00E83CF9"/>
    <w:rsid w:val="00E83D92"/>
    <w:rsid w:val="00E83DD5"/>
    <w:rsid w:val="00E83E01"/>
    <w:rsid w:val="00E83ED9"/>
    <w:rsid w:val="00E8410E"/>
    <w:rsid w:val="00E84166"/>
    <w:rsid w:val="00E84290"/>
    <w:rsid w:val="00E84525"/>
    <w:rsid w:val="00E8454D"/>
    <w:rsid w:val="00E84580"/>
    <w:rsid w:val="00E84601"/>
    <w:rsid w:val="00E84643"/>
    <w:rsid w:val="00E846BF"/>
    <w:rsid w:val="00E84709"/>
    <w:rsid w:val="00E84800"/>
    <w:rsid w:val="00E848FA"/>
    <w:rsid w:val="00E84935"/>
    <w:rsid w:val="00E849C2"/>
    <w:rsid w:val="00E84AD7"/>
    <w:rsid w:val="00E84AF4"/>
    <w:rsid w:val="00E84DEF"/>
    <w:rsid w:val="00E84E02"/>
    <w:rsid w:val="00E84E5D"/>
    <w:rsid w:val="00E84F3B"/>
    <w:rsid w:val="00E850F4"/>
    <w:rsid w:val="00E8511A"/>
    <w:rsid w:val="00E851B4"/>
    <w:rsid w:val="00E851BC"/>
    <w:rsid w:val="00E8528D"/>
    <w:rsid w:val="00E852D5"/>
    <w:rsid w:val="00E852DA"/>
    <w:rsid w:val="00E85489"/>
    <w:rsid w:val="00E854A2"/>
    <w:rsid w:val="00E8552A"/>
    <w:rsid w:val="00E85727"/>
    <w:rsid w:val="00E857BB"/>
    <w:rsid w:val="00E85901"/>
    <w:rsid w:val="00E8594C"/>
    <w:rsid w:val="00E85A20"/>
    <w:rsid w:val="00E85A86"/>
    <w:rsid w:val="00E85BAC"/>
    <w:rsid w:val="00E85BDC"/>
    <w:rsid w:val="00E85BF7"/>
    <w:rsid w:val="00E85CAA"/>
    <w:rsid w:val="00E85D60"/>
    <w:rsid w:val="00E85DAE"/>
    <w:rsid w:val="00E85DD9"/>
    <w:rsid w:val="00E85EA6"/>
    <w:rsid w:val="00E85F78"/>
    <w:rsid w:val="00E85FA6"/>
    <w:rsid w:val="00E860FD"/>
    <w:rsid w:val="00E86120"/>
    <w:rsid w:val="00E86217"/>
    <w:rsid w:val="00E8625C"/>
    <w:rsid w:val="00E8643A"/>
    <w:rsid w:val="00E8646E"/>
    <w:rsid w:val="00E864D7"/>
    <w:rsid w:val="00E86780"/>
    <w:rsid w:val="00E8683B"/>
    <w:rsid w:val="00E86B4C"/>
    <w:rsid w:val="00E86BEE"/>
    <w:rsid w:val="00E86D3F"/>
    <w:rsid w:val="00E86D49"/>
    <w:rsid w:val="00E86D6B"/>
    <w:rsid w:val="00E86D86"/>
    <w:rsid w:val="00E86E7C"/>
    <w:rsid w:val="00E87099"/>
    <w:rsid w:val="00E871A1"/>
    <w:rsid w:val="00E871E6"/>
    <w:rsid w:val="00E8738B"/>
    <w:rsid w:val="00E874A5"/>
    <w:rsid w:val="00E874D7"/>
    <w:rsid w:val="00E8761F"/>
    <w:rsid w:val="00E87723"/>
    <w:rsid w:val="00E8791B"/>
    <w:rsid w:val="00E879C1"/>
    <w:rsid w:val="00E87A92"/>
    <w:rsid w:val="00E87CBE"/>
    <w:rsid w:val="00E87D63"/>
    <w:rsid w:val="00E87D6E"/>
    <w:rsid w:val="00E87EC5"/>
    <w:rsid w:val="00E90084"/>
    <w:rsid w:val="00E900A9"/>
    <w:rsid w:val="00E901D5"/>
    <w:rsid w:val="00E901E5"/>
    <w:rsid w:val="00E90234"/>
    <w:rsid w:val="00E903B3"/>
    <w:rsid w:val="00E904EA"/>
    <w:rsid w:val="00E905D0"/>
    <w:rsid w:val="00E905F5"/>
    <w:rsid w:val="00E90823"/>
    <w:rsid w:val="00E9087F"/>
    <w:rsid w:val="00E90898"/>
    <w:rsid w:val="00E908FB"/>
    <w:rsid w:val="00E90A9A"/>
    <w:rsid w:val="00E90ACA"/>
    <w:rsid w:val="00E90BBD"/>
    <w:rsid w:val="00E90D1E"/>
    <w:rsid w:val="00E90DAB"/>
    <w:rsid w:val="00E90DC0"/>
    <w:rsid w:val="00E9125D"/>
    <w:rsid w:val="00E9136E"/>
    <w:rsid w:val="00E913EC"/>
    <w:rsid w:val="00E91573"/>
    <w:rsid w:val="00E919EE"/>
    <w:rsid w:val="00E91B84"/>
    <w:rsid w:val="00E91D0A"/>
    <w:rsid w:val="00E91F4E"/>
    <w:rsid w:val="00E9208A"/>
    <w:rsid w:val="00E920F8"/>
    <w:rsid w:val="00E9211C"/>
    <w:rsid w:val="00E923C0"/>
    <w:rsid w:val="00E92496"/>
    <w:rsid w:val="00E92629"/>
    <w:rsid w:val="00E926EB"/>
    <w:rsid w:val="00E92974"/>
    <w:rsid w:val="00E92997"/>
    <w:rsid w:val="00E92B6F"/>
    <w:rsid w:val="00E92BFD"/>
    <w:rsid w:val="00E92C22"/>
    <w:rsid w:val="00E92CC2"/>
    <w:rsid w:val="00E92E41"/>
    <w:rsid w:val="00E92F98"/>
    <w:rsid w:val="00E92FDF"/>
    <w:rsid w:val="00E93155"/>
    <w:rsid w:val="00E931AC"/>
    <w:rsid w:val="00E932C6"/>
    <w:rsid w:val="00E932E7"/>
    <w:rsid w:val="00E9331D"/>
    <w:rsid w:val="00E935F0"/>
    <w:rsid w:val="00E935F2"/>
    <w:rsid w:val="00E9370D"/>
    <w:rsid w:val="00E9370E"/>
    <w:rsid w:val="00E937BB"/>
    <w:rsid w:val="00E93951"/>
    <w:rsid w:val="00E9395B"/>
    <w:rsid w:val="00E939CB"/>
    <w:rsid w:val="00E93A29"/>
    <w:rsid w:val="00E93A3B"/>
    <w:rsid w:val="00E93BF1"/>
    <w:rsid w:val="00E93C0B"/>
    <w:rsid w:val="00E93C83"/>
    <w:rsid w:val="00E93DC2"/>
    <w:rsid w:val="00E93EB0"/>
    <w:rsid w:val="00E93EBC"/>
    <w:rsid w:val="00E93F20"/>
    <w:rsid w:val="00E94050"/>
    <w:rsid w:val="00E94303"/>
    <w:rsid w:val="00E94380"/>
    <w:rsid w:val="00E943B5"/>
    <w:rsid w:val="00E9459C"/>
    <w:rsid w:val="00E945BE"/>
    <w:rsid w:val="00E945BF"/>
    <w:rsid w:val="00E9460E"/>
    <w:rsid w:val="00E946AE"/>
    <w:rsid w:val="00E94872"/>
    <w:rsid w:val="00E94928"/>
    <w:rsid w:val="00E9493E"/>
    <w:rsid w:val="00E94A46"/>
    <w:rsid w:val="00E94B25"/>
    <w:rsid w:val="00E94B63"/>
    <w:rsid w:val="00E94F88"/>
    <w:rsid w:val="00E94FB0"/>
    <w:rsid w:val="00E950E5"/>
    <w:rsid w:val="00E95304"/>
    <w:rsid w:val="00E95322"/>
    <w:rsid w:val="00E95324"/>
    <w:rsid w:val="00E95490"/>
    <w:rsid w:val="00E954F5"/>
    <w:rsid w:val="00E95644"/>
    <w:rsid w:val="00E9570D"/>
    <w:rsid w:val="00E95977"/>
    <w:rsid w:val="00E95A2F"/>
    <w:rsid w:val="00E95AC2"/>
    <w:rsid w:val="00E95DC7"/>
    <w:rsid w:val="00E95E56"/>
    <w:rsid w:val="00E95F9B"/>
    <w:rsid w:val="00E96088"/>
    <w:rsid w:val="00E961F0"/>
    <w:rsid w:val="00E9632F"/>
    <w:rsid w:val="00E963B3"/>
    <w:rsid w:val="00E964F4"/>
    <w:rsid w:val="00E9654B"/>
    <w:rsid w:val="00E96574"/>
    <w:rsid w:val="00E96736"/>
    <w:rsid w:val="00E96800"/>
    <w:rsid w:val="00E96821"/>
    <w:rsid w:val="00E968C1"/>
    <w:rsid w:val="00E96A10"/>
    <w:rsid w:val="00E96A3B"/>
    <w:rsid w:val="00E96AF0"/>
    <w:rsid w:val="00E96C08"/>
    <w:rsid w:val="00E96D62"/>
    <w:rsid w:val="00E971F6"/>
    <w:rsid w:val="00E97239"/>
    <w:rsid w:val="00E972A3"/>
    <w:rsid w:val="00E9760B"/>
    <w:rsid w:val="00E97846"/>
    <w:rsid w:val="00E978D7"/>
    <w:rsid w:val="00E978E7"/>
    <w:rsid w:val="00E9794F"/>
    <w:rsid w:val="00E97961"/>
    <w:rsid w:val="00E97988"/>
    <w:rsid w:val="00E979EE"/>
    <w:rsid w:val="00E97C4D"/>
    <w:rsid w:val="00E97CB8"/>
    <w:rsid w:val="00E97D46"/>
    <w:rsid w:val="00E97D7C"/>
    <w:rsid w:val="00E97EBD"/>
    <w:rsid w:val="00EA01B6"/>
    <w:rsid w:val="00EA0337"/>
    <w:rsid w:val="00EA03AC"/>
    <w:rsid w:val="00EA0415"/>
    <w:rsid w:val="00EA04E9"/>
    <w:rsid w:val="00EA05A0"/>
    <w:rsid w:val="00EA062C"/>
    <w:rsid w:val="00EA085A"/>
    <w:rsid w:val="00EA0A70"/>
    <w:rsid w:val="00EA0A85"/>
    <w:rsid w:val="00EA0BAB"/>
    <w:rsid w:val="00EA0C04"/>
    <w:rsid w:val="00EA0D9C"/>
    <w:rsid w:val="00EA0E3B"/>
    <w:rsid w:val="00EA0E54"/>
    <w:rsid w:val="00EA0F7E"/>
    <w:rsid w:val="00EA0F90"/>
    <w:rsid w:val="00EA0FF5"/>
    <w:rsid w:val="00EA108C"/>
    <w:rsid w:val="00EA1243"/>
    <w:rsid w:val="00EA1343"/>
    <w:rsid w:val="00EA13A4"/>
    <w:rsid w:val="00EA13B6"/>
    <w:rsid w:val="00EA14DB"/>
    <w:rsid w:val="00EA1528"/>
    <w:rsid w:val="00EA15B1"/>
    <w:rsid w:val="00EA1639"/>
    <w:rsid w:val="00EA16AC"/>
    <w:rsid w:val="00EA16F0"/>
    <w:rsid w:val="00EA1769"/>
    <w:rsid w:val="00EA18DD"/>
    <w:rsid w:val="00EA18E4"/>
    <w:rsid w:val="00EA1B89"/>
    <w:rsid w:val="00EA1C85"/>
    <w:rsid w:val="00EA1CB1"/>
    <w:rsid w:val="00EA1D66"/>
    <w:rsid w:val="00EA1E75"/>
    <w:rsid w:val="00EA2182"/>
    <w:rsid w:val="00EA2194"/>
    <w:rsid w:val="00EA21AA"/>
    <w:rsid w:val="00EA222D"/>
    <w:rsid w:val="00EA2248"/>
    <w:rsid w:val="00EA2285"/>
    <w:rsid w:val="00EA22C9"/>
    <w:rsid w:val="00EA2321"/>
    <w:rsid w:val="00EA2465"/>
    <w:rsid w:val="00EA274C"/>
    <w:rsid w:val="00EA2779"/>
    <w:rsid w:val="00EA2A2C"/>
    <w:rsid w:val="00EA2AC8"/>
    <w:rsid w:val="00EA2B01"/>
    <w:rsid w:val="00EA2B38"/>
    <w:rsid w:val="00EA2B41"/>
    <w:rsid w:val="00EA2C2D"/>
    <w:rsid w:val="00EA2CA7"/>
    <w:rsid w:val="00EA2DE8"/>
    <w:rsid w:val="00EA2F3B"/>
    <w:rsid w:val="00EA3085"/>
    <w:rsid w:val="00EA3200"/>
    <w:rsid w:val="00EA3487"/>
    <w:rsid w:val="00EA34D0"/>
    <w:rsid w:val="00EA3671"/>
    <w:rsid w:val="00EA387B"/>
    <w:rsid w:val="00EA3893"/>
    <w:rsid w:val="00EA38F8"/>
    <w:rsid w:val="00EA3A87"/>
    <w:rsid w:val="00EA3AC9"/>
    <w:rsid w:val="00EA3CD6"/>
    <w:rsid w:val="00EA3E72"/>
    <w:rsid w:val="00EA3EDF"/>
    <w:rsid w:val="00EA3F18"/>
    <w:rsid w:val="00EA3FE5"/>
    <w:rsid w:val="00EA40A7"/>
    <w:rsid w:val="00EA41FF"/>
    <w:rsid w:val="00EA430D"/>
    <w:rsid w:val="00EA448D"/>
    <w:rsid w:val="00EA44B2"/>
    <w:rsid w:val="00EA4563"/>
    <w:rsid w:val="00EA46A2"/>
    <w:rsid w:val="00EA477E"/>
    <w:rsid w:val="00EA479C"/>
    <w:rsid w:val="00EA479D"/>
    <w:rsid w:val="00EA4827"/>
    <w:rsid w:val="00EA4834"/>
    <w:rsid w:val="00EA4853"/>
    <w:rsid w:val="00EA4AD9"/>
    <w:rsid w:val="00EA4AF2"/>
    <w:rsid w:val="00EA4BCB"/>
    <w:rsid w:val="00EA4D5A"/>
    <w:rsid w:val="00EA4E58"/>
    <w:rsid w:val="00EA4E75"/>
    <w:rsid w:val="00EA4EAA"/>
    <w:rsid w:val="00EA50DE"/>
    <w:rsid w:val="00EA50E4"/>
    <w:rsid w:val="00EA524D"/>
    <w:rsid w:val="00EA56E0"/>
    <w:rsid w:val="00EA583D"/>
    <w:rsid w:val="00EA5888"/>
    <w:rsid w:val="00EA5920"/>
    <w:rsid w:val="00EA5986"/>
    <w:rsid w:val="00EA5A85"/>
    <w:rsid w:val="00EA5ADF"/>
    <w:rsid w:val="00EA5B30"/>
    <w:rsid w:val="00EA5B95"/>
    <w:rsid w:val="00EA5DC1"/>
    <w:rsid w:val="00EA5E80"/>
    <w:rsid w:val="00EA5EA3"/>
    <w:rsid w:val="00EA5EB3"/>
    <w:rsid w:val="00EA5F9F"/>
    <w:rsid w:val="00EA604F"/>
    <w:rsid w:val="00EA6185"/>
    <w:rsid w:val="00EA6549"/>
    <w:rsid w:val="00EA6691"/>
    <w:rsid w:val="00EA682E"/>
    <w:rsid w:val="00EA684D"/>
    <w:rsid w:val="00EA6851"/>
    <w:rsid w:val="00EA685D"/>
    <w:rsid w:val="00EA6860"/>
    <w:rsid w:val="00EA693F"/>
    <w:rsid w:val="00EA69C5"/>
    <w:rsid w:val="00EA6AEA"/>
    <w:rsid w:val="00EA6C0B"/>
    <w:rsid w:val="00EA6D89"/>
    <w:rsid w:val="00EA6DD2"/>
    <w:rsid w:val="00EA6EC7"/>
    <w:rsid w:val="00EA7102"/>
    <w:rsid w:val="00EA7136"/>
    <w:rsid w:val="00EA7142"/>
    <w:rsid w:val="00EA7146"/>
    <w:rsid w:val="00EA7195"/>
    <w:rsid w:val="00EA71F7"/>
    <w:rsid w:val="00EA7301"/>
    <w:rsid w:val="00EA7402"/>
    <w:rsid w:val="00EA7430"/>
    <w:rsid w:val="00EA74F8"/>
    <w:rsid w:val="00EA75E5"/>
    <w:rsid w:val="00EA7668"/>
    <w:rsid w:val="00EA76B8"/>
    <w:rsid w:val="00EA776D"/>
    <w:rsid w:val="00EA77EF"/>
    <w:rsid w:val="00EA7885"/>
    <w:rsid w:val="00EA7895"/>
    <w:rsid w:val="00EA7977"/>
    <w:rsid w:val="00EA79EC"/>
    <w:rsid w:val="00EA7A8C"/>
    <w:rsid w:val="00EA7AB1"/>
    <w:rsid w:val="00EA7C0C"/>
    <w:rsid w:val="00EA7CA6"/>
    <w:rsid w:val="00EA7E52"/>
    <w:rsid w:val="00EA7EC1"/>
    <w:rsid w:val="00EA7ED7"/>
    <w:rsid w:val="00EA7F8B"/>
    <w:rsid w:val="00EB0137"/>
    <w:rsid w:val="00EB02FE"/>
    <w:rsid w:val="00EB050C"/>
    <w:rsid w:val="00EB057B"/>
    <w:rsid w:val="00EB06D7"/>
    <w:rsid w:val="00EB06FB"/>
    <w:rsid w:val="00EB098E"/>
    <w:rsid w:val="00EB09F6"/>
    <w:rsid w:val="00EB0A11"/>
    <w:rsid w:val="00EB0A2E"/>
    <w:rsid w:val="00EB0A38"/>
    <w:rsid w:val="00EB0AA8"/>
    <w:rsid w:val="00EB0D59"/>
    <w:rsid w:val="00EB0DEA"/>
    <w:rsid w:val="00EB0FB8"/>
    <w:rsid w:val="00EB1127"/>
    <w:rsid w:val="00EB115D"/>
    <w:rsid w:val="00EB135A"/>
    <w:rsid w:val="00EB140B"/>
    <w:rsid w:val="00EB14F4"/>
    <w:rsid w:val="00EB152D"/>
    <w:rsid w:val="00EB156E"/>
    <w:rsid w:val="00EB17EA"/>
    <w:rsid w:val="00EB186F"/>
    <w:rsid w:val="00EB1B57"/>
    <w:rsid w:val="00EB1BF5"/>
    <w:rsid w:val="00EB1C9E"/>
    <w:rsid w:val="00EB1DAC"/>
    <w:rsid w:val="00EB1DF6"/>
    <w:rsid w:val="00EB1E32"/>
    <w:rsid w:val="00EB1F63"/>
    <w:rsid w:val="00EB205B"/>
    <w:rsid w:val="00EB24B8"/>
    <w:rsid w:val="00EB27BC"/>
    <w:rsid w:val="00EB28FE"/>
    <w:rsid w:val="00EB290D"/>
    <w:rsid w:val="00EB2933"/>
    <w:rsid w:val="00EB29B7"/>
    <w:rsid w:val="00EB2AE4"/>
    <w:rsid w:val="00EB2B4F"/>
    <w:rsid w:val="00EB2B57"/>
    <w:rsid w:val="00EB2B9D"/>
    <w:rsid w:val="00EB2CEC"/>
    <w:rsid w:val="00EB2D50"/>
    <w:rsid w:val="00EB30C2"/>
    <w:rsid w:val="00EB3102"/>
    <w:rsid w:val="00EB322B"/>
    <w:rsid w:val="00EB33CE"/>
    <w:rsid w:val="00EB3479"/>
    <w:rsid w:val="00EB34C8"/>
    <w:rsid w:val="00EB34FC"/>
    <w:rsid w:val="00EB360C"/>
    <w:rsid w:val="00EB381D"/>
    <w:rsid w:val="00EB39C7"/>
    <w:rsid w:val="00EB3A24"/>
    <w:rsid w:val="00EB3A84"/>
    <w:rsid w:val="00EB3A93"/>
    <w:rsid w:val="00EB3B9C"/>
    <w:rsid w:val="00EB3BAF"/>
    <w:rsid w:val="00EB3C8E"/>
    <w:rsid w:val="00EB3CC7"/>
    <w:rsid w:val="00EB3D59"/>
    <w:rsid w:val="00EB3EC0"/>
    <w:rsid w:val="00EB403A"/>
    <w:rsid w:val="00EB4052"/>
    <w:rsid w:val="00EB4170"/>
    <w:rsid w:val="00EB44A0"/>
    <w:rsid w:val="00EB44C5"/>
    <w:rsid w:val="00EB4518"/>
    <w:rsid w:val="00EB46FF"/>
    <w:rsid w:val="00EB4C76"/>
    <w:rsid w:val="00EB4EC3"/>
    <w:rsid w:val="00EB4EFE"/>
    <w:rsid w:val="00EB54A4"/>
    <w:rsid w:val="00EB54AF"/>
    <w:rsid w:val="00EB55ED"/>
    <w:rsid w:val="00EB567F"/>
    <w:rsid w:val="00EB56E3"/>
    <w:rsid w:val="00EB5800"/>
    <w:rsid w:val="00EB594C"/>
    <w:rsid w:val="00EB5950"/>
    <w:rsid w:val="00EB5ADD"/>
    <w:rsid w:val="00EB5B14"/>
    <w:rsid w:val="00EB5D8A"/>
    <w:rsid w:val="00EB5E67"/>
    <w:rsid w:val="00EB5EC3"/>
    <w:rsid w:val="00EB5F7C"/>
    <w:rsid w:val="00EB613D"/>
    <w:rsid w:val="00EB6315"/>
    <w:rsid w:val="00EB646C"/>
    <w:rsid w:val="00EB660A"/>
    <w:rsid w:val="00EB6680"/>
    <w:rsid w:val="00EB670E"/>
    <w:rsid w:val="00EB6835"/>
    <w:rsid w:val="00EB6984"/>
    <w:rsid w:val="00EB6A32"/>
    <w:rsid w:val="00EB6A76"/>
    <w:rsid w:val="00EB6AB6"/>
    <w:rsid w:val="00EB6ABB"/>
    <w:rsid w:val="00EB6AF8"/>
    <w:rsid w:val="00EB6B24"/>
    <w:rsid w:val="00EB6BEC"/>
    <w:rsid w:val="00EB6CDA"/>
    <w:rsid w:val="00EB7092"/>
    <w:rsid w:val="00EB7148"/>
    <w:rsid w:val="00EB7179"/>
    <w:rsid w:val="00EB72B7"/>
    <w:rsid w:val="00EB72D5"/>
    <w:rsid w:val="00EB7318"/>
    <w:rsid w:val="00EB7373"/>
    <w:rsid w:val="00EB75DA"/>
    <w:rsid w:val="00EB7811"/>
    <w:rsid w:val="00EB7957"/>
    <w:rsid w:val="00EB7999"/>
    <w:rsid w:val="00EB7B0E"/>
    <w:rsid w:val="00EB7B6F"/>
    <w:rsid w:val="00EB7BAA"/>
    <w:rsid w:val="00EB7C6A"/>
    <w:rsid w:val="00EB7E90"/>
    <w:rsid w:val="00EB7EC4"/>
    <w:rsid w:val="00EC0071"/>
    <w:rsid w:val="00EC0217"/>
    <w:rsid w:val="00EC02BF"/>
    <w:rsid w:val="00EC0355"/>
    <w:rsid w:val="00EC03A5"/>
    <w:rsid w:val="00EC04B9"/>
    <w:rsid w:val="00EC04F2"/>
    <w:rsid w:val="00EC0517"/>
    <w:rsid w:val="00EC0672"/>
    <w:rsid w:val="00EC071F"/>
    <w:rsid w:val="00EC07A1"/>
    <w:rsid w:val="00EC07D5"/>
    <w:rsid w:val="00EC0895"/>
    <w:rsid w:val="00EC09AD"/>
    <w:rsid w:val="00EC0A47"/>
    <w:rsid w:val="00EC0CD0"/>
    <w:rsid w:val="00EC0D19"/>
    <w:rsid w:val="00EC0DB9"/>
    <w:rsid w:val="00EC0E97"/>
    <w:rsid w:val="00EC0F39"/>
    <w:rsid w:val="00EC0F4D"/>
    <w:rsid w:val="00EC0F7E"/>
    <w:rsid w:val="00EC1017"/>
    <w:rsid w:val="00EC1029"/>
    <w:rsid w:val="00EC1064"/>
    <w:rsid w:val="00EC118B"/>
    <w:rsid w:val="00EC11F0"/>
    <w:rsid w:val="00EC12B7"/>
    <w:rsid w:val="00EC1306"/>
    <w:rsid w:val="00EC1321"/>
    <w:rsid w:val="00EC13BF"/>
    <w:rsid w:val="00EC1442"/>
    <w:rsid w:val="00EC144B"/>
    <w:rsid w:val="00EC149F"/>
    <w:rsid w:val="00EC1686"/>
    <w:rsid w:val="00EC16C6"/>
    <w:rsid w:val="00EC17CD"/>
    <w:rsid w:val="00EC18D8"/>
    <w:rsid w:val="00EC195F"/>
    <w:rsid w:val="00EC199D"/>
    <w:rsid w:val="00EC1B69"/>
    <w:rsid w:val="00EC1E7E"/>
    <w:rsid w:val="00EC20A4"/>
    <w:rsid w:val="00EC20C8"/>
    <w:rsid w:val="00EC2173"/>
    <w:rsid w:val="00EC2335"/>
    <w:rsid w:val="00EC2336"/>
    <w:rsid w:val="00EC23D5"/>
    <w:rsid w:val="00EC256E"/>
    <w:rsid w:val="00EC285D"/>
    <w:rsid w:val="00EC29C2"/>
    <w:rsid w:val="00EC2A7C"/>
    <w:rsid w:val="00EC2AE9"/>
    <w:rsid w:val="00EC2BFE"/>
    <w:rsid w:val="00EC2CDE"/>
    <w:rsid w:val="00EC2EBF"/>
    <w:rsid w:val="00EC2F9D"/>
    <w:rsid w:val="00EC2FF2"/>
    <w:rsid w:val="00EC3019"/>
    <w:rsid w:val="00EC31FA"/>
    <w:rsid w:val="00EC3269"/>
    <w:rsid w:val="00EC329F"/>
    <w:rsid w:val="00EC3376"/>
    <w:rsid w:val="00EC33A0"/>
    <w:rsid w:val="00EC35E3"/>
    <w:rsid w:val="00EC3623"/>
    <w:rsid w:val="00EC3649"/>
    <w:rsid w:val="00EC37AF"/>
    <w:rsid w:val="00EC3829"/>
    <w:rsid w:val="00EC3A79"/>
    <w:rsid w:val="00EC3B4D"/>
    <w:rsid w:val="00EC3D20"/>
    <w:rsid w:val="00EC3E2A"/>
    <w:rsid w:val="00EC3E98"/>
    <w:rsid w:val="00EC3EB3"/>
    <w:rsid w:val="00EC3ED8"/>
    <w:rsid w:val="00EC3F04"/>
    <w:rsid w:val="00EC3F2C"/>
    <w:rsid w:val="00EC3F81"/>
    <w:rsid w:val="00EC4049"/>
    <w:rsid w:val="00EC41F5"/>
    <w:rsid w:val="00EC432B"/>
    <w:rsid w:val="00EC43AB"/>
    <w:rsid w:val="00EC4445"/>
    <w:rsid w:val="00EC4448"/>
    <w:rsid w:val="00EC46AD"/>
    <w:rsid w:val="00EC46DF"/>
    <w:rsid w:val="00EC4836"/>
    <w:rsid w:val="00EC4976"/>
    <w:rsid w:val="00EC49B4"/>
    <w:rsid w:val="00EC4CD9"/>
    <w:rsid w:val="00EC4D87"/>
    <w:rsid w:val="00EC5088"/>
    <w:rsid w:val="00EC5271"/>
    <w:rsid w:val="00EC5575"/>
    <w:rsid w:val="00EC55C0"/>
    <w:rsid w:val="00EC5BB9"/>
    <w:rsid w:val="00EC5C99"/>
    <w:rsid w:val="00EC5D99"/>
    <w:rsid w:val="00EC5E2E"/>
    <w:rsid w:val="00EC5FF2"/>
    <w:rsid w:val="00EC6039"/>
    <w:rsid w:val="00EC6092"/>
    <w:rsid w:val="00EC63F6"/>
    <w:rsid w:val="00EC66A7"/>
    <w:rsid w:val="00EC67BE"/>
    <w:rsid w:val="00EC67E5"/>
    <w:rsid w:val="00EC6825"/>
    <w:rsid w:val="00EC686B"/>
    <w:rsid w:val="00EC688E"/>
    <w:rsid w:val="00EC698C"/>
    <w:rsid w:val="00EC6C27"/>
    <w:rsid w:val="00EC6C39"/>
    <w:rsid w:val="00EC6CC4"/>
    <w:rsid w:val="00EC6CCA"/>
    <w:rsid w:val="00EC6D6C"/>
    <w:rsid w:val="00EC6E19"/>
    <w:rsid w:val="00EC719F"/>
    <w:rsid w:val="00EC72E6"/>
    <w:rsid w:val="00EC72EB"/>
    <w:rsid w:val="00EC7313"/>
    <w:rsid w:val="00EC7399"/>
    <w:rsid w:val="00EC73EC"/>
    <w:rsid w:val="00EC75A5"/>
    <w:rsid w:val="00EC7684"/>
    <w:rsid w:val="00EC7740"/>
    <w:rsid w:val="00EC784A"/>
    <w:rsid w:val="00EC78AF"/>
    <w:rsid w:val="00EC7952"/>
    <w:rsid w:val="00EC7ABA"/>
    <w:rsid w:val="00EC7B28"/>
    <w:rsid w:val="00EC7BE2"/>
    <w:rsid w:val="00EC7E4C"/>
    <w:rsid w:val="00EC7ED2"/>
    <w:rsid w:val="00ECD7FF"/>
    <w:rsid w:val="00ED0090"/>
    <w:rsid w:val="00ED00DD"/>
    <w:rsid w:val="00ED012B"/>
    <w:rsid w:val="00ED035C"/>
    <w:rsid w:val="00ED043B"/>
    <w:rsid w:val="00ED0497"/>
    <w:rsid w:val="00ED065C"/>
    <w:rsid w:val="00ED080B"/>
    <w:rsid w:val="00ED093F"/>
    <w:rsid w:val="00ED0A35"/>
    <w:rsid w:val="00ED0A56"/>
    <w:rsid w:val="00ED0BA1"/>
    <w:rsid w:val="00ED0CCF"/>
    <w:rsid w:val="00ED0D24"/>
    <w:rsid w:val="00ED0EDB"/>
    <w:rsid w:val="00ED101D"/>
    <w:rsid w:val="00ED1049"/>
    <w:rsid w:val="00ED1056"/>
    <w:rsid w:val="00ED1066"/>
    <w:rsid w:val="00ED12A3"/>
    <w:rsid w:val="00ED1309"/>
    <w:rsid w:val="00ED1380"/>
    <w:rsid w:val="00ED1397"/>
    <w:rsid w:val="00ED13DF"/>
    <w:rsid w:val="00ED15D7"/>
    <w:rsid w:val="00ED15E2"/>
    <w:rsid w:val="00ED1774"/>
    <w:rsid w:val="00ED17A0"/>
    <w:rsid w:val="00ED17A7"/>
    <w:rsid w:val="00ED197F"/>
    <w:rsid w:val="00ED1AFA"/>
    <w:rsid w:val="00ED1DA5"/>
    <w:rsid w:val="00ED1E3D"/>
    <w:rsid w:val="00ED1EC4"/>
    <w:rsid w:val="00ED2203"/>
    <w:rsid w:val="00ED223E"/>
    <w:rsid w:val="00ED2301"/>
    <w:rsid w:val="00ED2311"/>
    <w:rsid w:val="00ED23A1"/>
    <w:rsid w:val="00ED23D2"/>
    <w:rsid w:val="00ED2415"/>
    <w:rsid w:val="00ED248F"/>
    <w:rsid w:val="00ED24F9"/>
    <w:rsid w:val="00ED268E"/>
    <w:rsid w:val="00ED2715"/>
    <w:rsid w:val="00ED279C"/>
    <w:rsid w:val="00ED27DA"/>
    <w:rsid w:val="00ED27F9"/>
    <w:rsid w:val="00ED2A64"/>
    <w:rsid w:val="00ED2B45"/>
    <w:rsid w:val="00ED2D86"/>
    <w:rsid w:val="00ED2FC2"/>
    <w:rsid w:val="00ED310F"/>
    <w:rsid w:val="00ED31CF"/>
    <w:rsid w:val="00ED3206"/>
    <w:rsid w:val="00ED3209"/>
    <w:rsid w:val="00ED329F"/>
    <w:rsid w:val="00ED3358"/>
    <w:rsid w:val="00ED36A0"/>
    <w:rsid w:val="00ED376F"/>
    <w:rsid w:val="00ED3A4D"/>
    <w:rsid w:val="00ED3B70"/>
    <w:rsid w:val="00ED3BD9"/>
    <w:rsid w:val="00ED3C03"/>
    <w:rsid w:val="00ED3D9E"/>
    <w:rsid w:val="00ED3ECC"/>
    <w:rsid w:val="00ED425F"/>
    <w:rsid w:val="00ED4394"/>
    <w:rsid w:val="00ED4396"/>
    <w:rsid w:val="00ED44DE"/>
    <w:rsid w:val="00ED4622"/>
    <w:rsid w:val="00ED46FC"/>
    <w:rsid w:val="00ED48C7"/>
    <w:rsid w:val="00ED49AB"/>
    <w:rsid w:val="00ED4AEE"/>
    <w:rsid w:val="00ED4B9C"/>
    <w:rsid w:val="00ED4CA1"/>
    <w:rsid w:val="00ED4DA4"/>
    <w:rsid w:val="00ED4E05"/>
    <w:rsid w:val="00ED4F73"/>
    <w:rsid w:val="00ED5088"/>
    <w:rsid w:val="00ED509E"/>
    <w:rsid w:val="00ED53C3"/>
    <w:rsid w:val="00ED5418"/>
    <w:rsid w:val="00ED54D2"/>
    <w:rsid w:val="00ED5517"/>
    <w:rsid w:val="00ED5699"/>
    <w:rsid w:val="00ED58ED"/>
    <w:rsid w:val="00ED5958"/>
    <w:rsid w:val="00ED5AE3"/>
    <w:rsid w:val="00ED5B64"/>
    <w:rsid w:val="00ED5B74"/>
    <w:rsid w:val="00ED5B8F"/>
    <w:rsid w:val="00ED5D82"/>
    <w:rsid w:val="00ED5E38"/>
    <w:rsid w:val="00ED6254"/>
    <w:rsid w:val="00ED6269"/>
    <w:rsid w:val="00ED62F3"/>
    <w:rsid w:val="00ED630B"/>
    <w:rsid w:val="00ED6312"/>
    <w:rsid w:val="00ED632F"/>
    <w:rsid w:val="00ED64D2"/>
    <w:rsid w:val="00ED66ED"/>
    <w:rsid w:val="00ED6C0A"/>
    <w:rsid w:val="00ED6C55"/>
    <w:rsid w:val="00ED6D1A"/>
    <w:rsid w:val="00ED6DC6"/>
    <w:rsid w:val="00ED7044"/>
    <w:rsid w:val="00ED70AE"/>
    <w:rsid w:val="00ED73D8"/>
    <w:rsid w:val="00ED740E"/>
    <w:rsid w:val="00ED74C7"/>
    <w:rsid w:val="00ED76B1"/>
    <w:rsid w:val="00ED76BE"/>
    <w:rsid w:val="00ED76CC"/>
    <w:rsid w:val="00ED7769"/>
    <w:rsid w:val="00ED77C9"/>
    <w:rsid w:val="00ED7847"/>
    <w:rsid w:val="00ED7888"/>
    <w:rsid w:val="00ED78F7"/>
    <w:rsid w:val="00ED79EA"/>
    <w:rsid w:val="00ED7A63"/>
    <w:rsid w:val="00ED7B32"/>
    <w:rsid w:val="00ED7DE4"/>
    <w:rsid w:val="00ED7DFC"/>
    <w:rsid w:val="00ED7E75"/>
    <w:rsid w:val="00ED7F40"/>
    <w:rsid w:val="00ED7F81"/>
    <w:rsid w:val="00ED7FE5"/>
    <w:rsid w:val="00EE00E2"/>
    <w:rsid w:val="00EE0152"/>
    <w:rsid w:val="00EE0337"/>
    <w:rsid w:val="00EE0380"/>
    <w:rsid w:val="00EE03EB"/>
    <w:rsid w:val="00EE04F8"/>
    <w:rsid w:val="00EE0713"/>
    <w:rsid w:val="00EE07C8"/>
    <w:rsid w:val="00EE082B"/>
    <w:rsid w:val="00EE0940"/>
    <w:rsid w:val="00EE0B8F"/>
    <w:rsid w:val="00EE0D9E"/>
    <w:rsid w:val="00EE0DC9"/>
    <w:rsid w:val="00EE0FC4"/>
    <w:rsid w:val="00EE127F"/>
    <w:rsid w:val="00EE140E"/>
    <w:rsid w:val="00EE1477"/>
    <w:rsid w:val="00EE14C8"/>
    <w:rsid w:val="00EE15D7"/>
    <w:rsid w:val="00EE1786"/>
    <w:rsid w:val="00EE17AD"/>
    <w:rsid w:val="00EE17E2"/>
    <w:rsid w:val="00EE185C"/>
    <w:rsid w:val="00EE18D5"/>
    <w:rsid w:val="00EE1A74"/>
    <w:rsid w:val="00EE1B5D"/>
    <w:rsid w:val="00EE1B60"/>
    <w:rsid w:val="00EE1E04"/>
    <w:rsid w:val="00EE1EBC"/>
    <w:rsid w:val="00EE2013"/>
    <w:rsid w:val="00EE208D"/>
    <w:rsid w:val="00EE20B0"/>
    <w:rsid w:val="00EE21F8"/>
    <w:rsid w:val="00EE225B"/>
    <w:rsid w:val="00EE2441"/>
    <w:rsid w:val="00EE24E6"/>
    <w:rsid w:val="00EE24E9"/>
    <w:rsid w:val="00EE24F7"/>
    <w:rsid w:val="00EE251A"/>
    <w:rsid w:val="00EE2523"/>
    <w:rsid w:val="00EE274F"/>
    <w:rsid w:val="00EE2794"/>
    <w:rsid w:val="00EE285D"/>
    <w:rsid w:val="00EE2932"/>
    <w:rsid w:val="00EE2AC2"/>
    <w:rsid w:val="00EE2C09"/>
    <w:rsid w:val="00EE2D22"/>
    <w:rsid w:val="00EE2D8E"/>
    <w:rsid w:val="00EE2EA7"/>
    <w:rsid w:val="00EE2ED9"/>
    <w:rsid w:val="00EE317F"/>
    <w:rsid w:val="00EE31AE"/>
    <w:rsid w:val="00EE31D0"/>
    <w:rsid w:val="00EE3335"/>
    <w:rsid w:val="00EE370A"/>
    <w:rsid w:val="00EE37DA"/>
    <w:rsid w:val="00EE38C0"/>
    <w:rsid w:val="00EE3957"/>
    <w:rsid w:val="00EE3964"/>
    <w:rsid w:val="00EE3A86"/>
    <w:rsid w:val="00EE3BCB"/>
    <w:rsid w:val="00EE3C17"/>
    <w:rsid w:val="00EE3CD2"/>
    <w:rsid w:val="00EE3D6F"/>
    <w:rsid w:val="00EE3F61"/>
    <w:rsid w:val="00EE411B"/>
    <w:rsid w:val="00EE41A1"/>
    <w:rsid w:val="00EE438A"/>
    <w:rsid w:val="00EE447B"/>
    <w:rsid w:val="00EE4490"/>
    <w:rsid w:val="00EE4576"/>
    <w:rsid w:val="00EE4711"/>
    <w:rsid w:val="00EE4731"/>
    <w:rsid w:val="00EE47EF"/>
    <w:rsid w:val="00EE492B"/>
    <w:rsid w:val="00EE494E"/>
    <w:rsid w:val="00EE4A70"/>
    <w:rsid w:val="00EE4AF1"/>
    <w:rsid w:val="00EE4BD4"/>
    <w:rsid w:val="00EE4C49"/>
    <w:rsid w:val="00EE4E06"/>
    <w:rsid w:val="00EE4E51"/>
    <w:rsid w:val="00EE4EA4"/>
    <w:rsid w:val="00EE4EEF"/>
    <w:rsid w:val="00EE505F"/>
    <w:rsid w:val="00EE5166"/>
    <w:rsid w:val="00EE52C3"/>
    <w:rsid w:val="00EE52D9"/>
    <w:rsid w:val="00EE52E6"/>
    <w:rsid w:val="00EE543A"/>
    <w:rsid w:val="00EE54B7"/>
    <w:rsid w:val="00EE55BD"/>
    <w:rsid w:val="00EE55CC"/>
    <w:rsid w:val="00EE5660"/>
    <w:rsid w:val="00EE57A2"/>
    <w:rsid w:val="00EE57C4"/>
    <w:rsid w:val="00EE57F6"/>
    <w:rsid w:val="00EE58F2"/>
    <w:rsid w:val="00EE5A6F"/>
    <w:rsid w:val="00EE5AA2"/>
    <w:rsid w:val="00EE5C2B"/>
    <w:rsid w:val="00EE5EBF"/>
    <w:rsid w:val="00EE6102"/>
    <w:rsid w:val="00EE638A"/>
    <w:rsid w:val="00EE648C"/>
    <w:rsid w:val="00EE64CD"/>
    <w:rsid w:val="00EE64D1"/>
    <w:rsid w:val="00EE6832"/>
    <w:rsid w:val="00EE68E5"/>
    <w:rsid w:val="00EE6969"/>
    <w:rsid w:val="00EE69DD"/>
    <w:rsid w:val="00EE6AB0"/>
    <w:rsid w:val="00EE6B43"/>
    <w:rsid w:val="00EE6BC1"/>
    <w:rsid w:val="00EE6CD2"/>
    <w:rsid w:val="00EE6DCE"/>
    <w:rsid w:val="00EE6E04"/>
    <w:rsid w:val="00EE6EE7"/>
    <w:rsid w:val="00EE701B"/>
    <w:rsid w:val="00EE7371"/>
    <w:rsid w:val="00EE73E2"/>
    <w:rsid w:val="00EE75FB"/>
    <w:rsid w:val="00EE761D"/>
    <w:rsid w:val="00EE7650"/>
    <w:rsid w:val="00EE7855"/>
    <w:rsid w:val="00EE7907"/>
    <w:rsid w:val="00EE7972"/>
    <w:rsid w:val="00EE7A29"/>
    <w:rsid w:val="00EE7ABC"/>
    <w:rsid w:val="00EE7AD6"/>
    <w:rsid w:val="00EE7AF2"/>
    <w:rsid w:val="00EE7B91"/>
    <w:rsid w:val="00EE7F0F"/>
    <w:rsid w:val="00EE7F23"/>
    <w:rsid w:val="00EF00D4"/>
    <w:rsid w:val="00EF0205"/>
    <w:rsid w:val="00EF0216"/>
    <w:rsid w:val="00EF0262"/>
    <w:rsid w:val="00EF0434"/>
    <w:rsid w:val="00EF05B2"/>
    <w:rsid w:val="00EF05B5"/>
    <w:rsid w:val="00EF07FC"/>
    <w:rsid w:val="00EF0866"/>
    <w:rsid w:val="00EF086F"/>
    <w:rsid w:val="00EF0D21"/>
    <w:rsid w:val="00EF0EAB"/>
    <w:rsid w:val="00EF0FF0"/>
    <w:rsid w:val="00EF10A3"/>
    <w:rsid w:val="00EF1138"/>
    <w:rsid w:val="00EF1155"/>
    <w:rsid w:val="00EF1345"/>
    <w:rsid w:val="00EF1440"/>
    <w:rsid w:val="00EF14BA"/>
    <w:rsid w:val="00EF1563"/>
    <w:rsid w:val="00EF156C"/>
    <w:rsid w:val="00EF1755"/>
    <w:rsid w:val="00EF1767"/>
    <w:rsid w:val="00EF184A"/>
    <w:rsid w:val="00EF1894"/>
    <w:rsid w:val="00EF1973"/>
    <w:rsid w:val="00EF1A3F"/>
    <w:rsid w:val="00EF1DD7"/>
    <w:rsid w:val="00EF1ECA"/>
    <w:rsid w:val="00EF2041"/>
    <w:rsid w:val="00EF2048"/>
    <w:rsid w:val="00EF2200"/>
    <w:rsid w:val="00EF22FF"/>
    <w:rsid w:val="00EF23D9"/>
    <w:rsid w:val="00EF2463"/>
    <w:rsid w:val="00EF247D"/>
    <w:rsid w:val="00EF24A8"/>
    <w:rsid w:val="00EF2578"/>
    <w:rsid w:val="00EF25A1"/>
    <w:rsid w:val="00EF2840"/>
    <w:rsid w:val="00EF29B7"/>
    <w:rsid w:val="00EF29F6"/>
    <w:rsid w:val="00EF2AD5"/>
    <w:rsid w:val="00EF2AEA"/>
    <w:rsid w:val="00EF2BAF"/>
    <w:rsid w:val="00EF2C30"/>
    <w:rsid w:val="00EF30FE"/>
    <w:rsid w:val="00EF3250"/>
    <w:rsid w:val="00EF3388"/>
    <w:rsid w:val="00EF3434"/>
    <w:rsid w:val="00EF353B"/>
    <w:rsid w:val="00EF35E7"/>
    <w:rsid w:val="00EF360E"/>
    <w:rsid w:val="00EF377F"/>
    <w:rsid w:val="00EF394B"/>
    <w:rsid w:val="00EF3967"/>
    <w:rsid w:val="00EF3CA0"/>
    <w:rsid w:val="00EF3CAD"/>
    <w:rsid w:val="00EF3D58"/>
    <w:rsid w:val="00EF3DEF"/>
    <w:rsid w:val="00EF3E28"/>
    <w:rsid w:val="00EF3F8A"/>
    <w:rsid w:val="00EF401D"/>
    <w:rsid w:val="00EF4023"/>
    <w:rsid w:val="00EF4074"/>
    <w:rsid w:val="00EF4099"/>
    <w:rsid w:val="00EF413C"/>
    <w:rsid w:val="00EF41C1"/>
    <w:rsid w:val="00EF43E2"/>
    <w:rsid w:val="00EF4432"/>
    <w:rsid w:val="00EF44F4"/>
    <w:rsid w:val="00EF45A2"/>
    <w:rsid w:val="00EF4802"/>
    <w:rsid w:val="00EF4958"/>
    <w:rsid w:val="00EF4967"/>
    <w:rsid w:val="00EF4A14"/>
    <w:rsid w:val="00EF4A68"/>
    <w:rsid w:val="00EF4A91"/>
    <w:rsid w:val="00EF4D39"/>
    <w:rsid w:val="00EF4DD5"/>
    <w:rsid w:val="00EF4E04"/>
    <w:rsid w:val="00EF4E43"/>
    <w:rsid w:val="00EF5085"/>
    <w:rsid w:val="00EF52EB"/>
    <w:rsid w:val="00EF53B1"/>
    <w:rsid w:val="00EF5476"/>
    <w:rsid w:val="00EF550C"/>
    <w:rsid w:val="00EF5527"/>
    <w:rsid w:val="00EF5574"/>
    <w:rsid w:val="00EF55D9"/>
    <w:rsid w:val="00EF563A"/>
    <w:rsid w:val="00EF56B4"/>
    <w:rsid w:val="00EF577E"/>
    <w:rsid w:val="00EF5801"/>
    <w:rsid w:val="00EF58EE"/>
    <w:rsid w:val="00EF5A46"/>
    <w:rsid w:val="00EF5A4E"/>
    <w:rsid w:val="00EF5D93"/>
    <w:rsid w:val="00EF601D"/>
    <w:rsid w:val="00EF6089"/>
    <w:rsid w:val="00EF6147"/>
    <w:rsid w:val="00EF63AE"/>
    <w:rsid w:val="00EF6488"/>
    <w:rsid w:val="00EF657C"/>
    <w:rsid w:val="00EF65F0"/>
    <w:rsid w:val="00EF66DE"/>
    <w:rsid w:val="00EF6B10"/>
    <w:rsid w:val="00EF6BDA"/>
    <w:rsid w:val="00EF6CEF"/>
    <w:rsid w:val="00EF6DA4"/>
    <w:rsid w:val="00EF6E0F"/>
    <w:rsid w:val="00EF7063"/>
    <w:rsid w:val="00EF7084"/>
    <w:rsid w:val="00EF71BA"/>
    <w:rsid w:val="00EF74AE"/>
    <w:rsid w:val="00EF757B"/>
    <w:rsid w:val="00EF7797"/>
    <w:rsid w:val="00EF787C"/>
    <w:rsid w:val="00EF7B71"/>
    <w:rsid w:val="00EF7D01"/>
    <w:rsid w:val="00EF7EE7"/>
    <w:rsid w:val="00F00073"/>
    <w:rsid w:val="00F0009E"/>
    <w:rsid w:val="00F0010A"/>
    <w:rsid w:val="00F00144"/>
    <w:rsid w:val="00F001FD"/>
    <w:rsid w:val="00F002B9"/>
    <w:rsid w:val="00F002BE"/>
    <w:rsid w:val="00F002DB"/>
    <w:rsid w:val="00F0040E"/>
    <w:rsid w:val="00F0050F"/>
    <w:rsid w:val="00F005F1"/>
    <w:rsid w:val="00F005F4"/>
    <w:rsid w:val="00F00613"/>
    <w:rsid w:val="00F006DA"/>
    <w:rsid w:val="00F00868"/>
    <w:rsid w:val="00F009EA"/>
    <w:rsid w:val="00F00B0E"/>
    <w:rsid w:val="00F00C02"/>
    <w:rsid w:val="00F00CA8"/>
    <w:rsid w:val="00F00D3B"/>
    <w:rsid w:val="00F00DFD"/>
    <w:rsid w:val="00F0108C"/>
    <w:rsid w:val="00F011F3"/>
    <w:rsid w:val="00F01334"/>
    <w:rsid w:val="00F01387"/>
    <w:rsid w:val="00F013B2"/>
    <w:rsid w:val="00F01439"/>
    <w:rsid w:val="00F01559"/>
    <w:rsid w:val="00F0160A"/>
    <w:rsid w:val="00F0160C"/>
    <w:rsid w:val="00F01691"/>
    <w:rsid w:val="00F01856"/>
    <w:rsid w:val="00F01980"/>
    <w:rsid w:val="00F01AB7"/>
    <w:rsid w:val="00F01C24"/>
    <w:rsid w:val="00F01E2B"/>
    <w:rsid w:val="00F01F88"/>
    <w:rsid w:val="00F02237"/>
    <w:rsid w:val="00F023E9"/>
    <w:rsid w:val="00F02477"/>
    <w:rsid w:val="00F0263A"/>
    <w:rsid w:val="00F02890"/>
    <w:rsid w:val="00F028DB"/>
    <w:rsid w:val="00F02BDB"/>
    <w:rsid w:val="00F02E4A"/>
    <w:rsid w:val="00F02FD9"/>
    <w:rsid w:val="00F03021"/>
    <w:rsid w:val="00F03088"/>
    <w:rsid w:val="00F030D7"/>
    <w:rsid w:val="00F0335E"/>
    <w:rsid w:val="00F0340F"/>
    <w:rsid w:val="00F0353D"/>
    <w:rsid w:val="00F035C8"/>
    <w:rsid w:val="00F03605"/>
    <w:rsid w:val="00F0364E"/>
    <w:rsid w:val="00F03712"/>
    <w:rsid w:val="00F0371A"/>
    <w:rsid w:val="00F037B7"/>
    <w:rsid w:val="00F03A5B"/>
    <w:rsid w:val="00F03A8A"/>
    <w:rsid w:val="00F03B39"/>
    <w:rsid w:val="00F03B5C"/>
    <w:rsid w:val="00F03C63"/>
    <w:rsid w:val="00F03CA1"/>
    <w:rsid w:val="00F03D34"/>
    <w:rsid w:val="00F03E1F"/>
    <w:rsid w:val="00F03E8F"/>
    <w:rsid w:val="00F03F0C"/>
    <w:rsid w:val="00F04052"/>
    <w:rsid w:val="00F040E6"/>
    <w:rsid w:val="00F041E7"/>
    <w:rsid w:val="00F04327"/>
    <w:rsid w:val="00F04484"/>
    <w:rsid w:val="00F044C9"/>
    <w:rsid w:val="00F04678"/>
    <w:rsid w:val="00F046E7"/>
    <w:rsid w:val="00F046EE"/>
    <w:rsid w:val="00F04777"/>
    <w:rsid w:val="00F0498D"/>
    <w:rsid w:val="00F04A68"/>
    <w:rsid w:val="00F04A75"/>
    <w:rsid w:val="00F04A92"/>
    <w:rsid w:val="00F04B3B"/>
    <w:rsid w:val="00F04D57"/>
    <w:rsid w:val="00F04DB9"/>
    <w:rsid w:val="00F04DF2"/>
    <w:rsid w:val="00F04E07"/>
    <w:rsid w:val="00F04F85"/>
    <w:rsid w:val="00F04FED"/>
    <w:rsid w:val="00F05453"/>
    <w:rsid w:val="00F05469"/>
    <w:rsid w:val="00F05482"/>
    <w:rsid w:val="00F05561"/>
    <w:rsid w:val="00F0557F"/>
    <w:rsid w:val="00F055D4"/>
    <w:rsid w:val="00F0561B"/>
    <w:rsid w:val="00F0564A"/>
    <w:rsid w:val="00F0569D"/>
    <w:rsid w:val="00F056A0"/>
    <w:rsid w:val="00F05991"/>
    <w:rsid w:val="00F05A8B"/>
    <w:rsid w:val="00F05AA6"/>
    <w:rsid w:val="00F05B9E"/>
    <w:rsid w:val="00F05C31"/>
    <w:rsid w:val="00F060F1"/>
    <w:rsid w:val="00F060FD"/>
    <w:rsid w:val="00F06125"/>
    <w:rsid w:val="00F062F1"/>
    <w:rsid w:val="00F06323"/>
    <w:rsid w:val="00F0636C"/>
    <w:rsid w:val="00F063E7"/>
    <w:rsid w:val="00F06513"/>
    <w:rsid w:val="00F065FA"/>
    <w:rsid w:val="00F0662D"/>
    <w:rsid w:val="00F0665A"/>
    <w:rsid w:val="00F06673"/>
    <w:rsid w:val="00F06758"/>
    <w:rsid w:val="00F068C5"/>
    <w:rsid w:val="00F06958"/>
    <w:rsid w:val="00F06961"/>
    <w:rsid w:val="00F06982"/>
    <w:rsid w:val="00F06BB4"/>
    <w:rsid w:val="00F06C78"/>
    <w:rsid w:val="00F06E03"/>
    <w:rsid w:val="00F06E51"/>
    <w:rsid w:val="00F06F44"/>
    <w:rsid w:val="00F06F62"/>
    <w:rsid w:val="00F07074"/>
    <w:rsid w:val="00F07107"/>
    <w:rsid w:val="00F07205"/>
    <w:rsid w:val="00F074E1"/>
    <w:rsid w:val="00F075D4"/>
    <w:rsid w:val="00F076E9"/>
    <w:rsid w:val="00F078D6"/>
    <w:rsid w:val="00F079B3"/>
    <w:rsid w:val="00F079DE"/>
    <w:rsid w:val="00F07CC5"/>
    <w:rsid w:val="00F07DE3"/>
    <w:rsid w:val="00F07F37"/>
    <w:rsid w:val="00F1002D"/>
    <w:rsid w:val="00F1008D"/>
    <w:rsid w:val="00F10147"/>
    <w:rsid w:val="00F10180"/>
    <w:rsid w:val="00F101FD"/>
    <w:rsid w:val="00F10249"/>
    <w:rsid w:val="00F10373"/>
    <w:rsid w:val="00F103D7"/>
    <w:rsid w:val="00F10475"/>
    <w:rsid w:val="00F105D2"/>
    <w:rsid w:val="00F105F5"/>
    <w:rsid w:val="00F1066F"/>
    <w:rsid w:val="00F10823"/>
    <w:rsid w:val="00F1088F"/>
    <w:rsid w:val="00F108C7"/>
    <w:rsid w:val="00F10990"/>
    <w:rsid w:val="00F10A6E"/>
    <w:rsid w:val="00F10AEF"/>
    <w:rsid w:val="00F10C5E"/>
    <w:rsid w:val="00F10CC7"/>
    <w:rsid w:val="00F10EC9"/>
    <w:rsid w:val="00F10F25"/>
    <w:rsid w:val="00F10F6E"/>
    <w:rsid w:val="00F11006"/>
    <w:rsid w:val="00F111D3"/>
    <w:rsid w:val="00F111F9"/>
    <w:rsid w:val="00F11331"/>
    <w:rsid w:val="00F1139B"/>
    <w:rsid w:val="00F1156C"/>
    <w:rsid w:val="00F115B2"/>
    <w:rsid w:val="00F115E3"/>
    <w:rsid w:val="00F115E8"/>
    <w:rsid w:val="00F116F2"/>
    <w:rsid w:val="00F1181F"/>
    <w:rsid w:val="00F119A3"/>
    <w:rsid w:val="00F119D3"/>
    <w:rsid w:val="00F11A58"/>
    <w:rsid w:val="00F11B57"/>
    <w:rsid w:val="00F11BE2"/>
    <w:rsid w:val="00F11CA5"/>
    <w:rsid w:val="00F11FFC"/>
    <w:rsid w:val="00F12102"/>
    <w:rsid w:val="00F1210A"/>
    <w:rsid w:val="00F121BE"/>
    <w:rsid w:val="00F12295"/>
    <w:rsid w:val="00F123D5"/>
    <w:rsid w:val="00F123E2"/>
    <w:rsid w:val="00F12472"/>
    <w:rsid w:val="00F12502"/>
    <w:rsid w:val="00F12599"/>
    <w:rsid w:val="00F125A3"/>
    <w:rsid w:val="00F12705"/>
    <w:rsid w:val="00F1270A"/>
    <w:rsid w:val="00F1279B"/>
    <w:rsid w:val="00F12801"/>
    <w:rsid w:val="00F12807"/>
    <w:rsid w:val="00F128BB"/>
    <w:rsid w:val="00F12AB2"/>
    <w:rsid w:val="00F12B98"/>
    <w:rsid w:val="00F12CE5"/>
    <w:rsid w:val="00F12D20"/>
    <w:rsid w:val="00F12E4D"/>
    <w:rsid w:val="00F12FEB"/>
    <w:rsid w:val="00F12FF5"/>
    <w:rsid w:val="00F13038"/>
    <w:rsid w:val="00F1310A"/>
    <w:rsid w:val="00F1315F"/>
    <w:rsid w:val="00F13178"/>
    <w:rsid w:val="00F132AC"/>
    <w:rsid w:val="00F132F3"/>
    <w:rsid w:val="00F132FD"/>
    <w:rsid w:val="00F133B8"/>
    <w:rsid w:val="00F134BF"/>
    <w:rsid w:val="00F13601"/>
    <w:rsid w:val="00F1364A"/>
    <w:rsid w:val="00F13658"/>
    <w:rsid w:val="00F136A7"/>
    <w:rsid w:val="00F136F9"/>
    <w:rsid w:val="00F1377A"/>
    <w:rsid w:val="00F1398A"/>
    <w:rsid w:val="00F139C7"/>
    <w:rsid w:val="00F139F4"/>
    <w:rsid w:val="00F13AB1"/>
    <w:rsid w:val="00F13B37"/>
    <w:rsid w:val="00F13C58"/>
    <w:rsid w:val="00F13CDA"/>
    <w:rsid w:val="00F13D24"/>
    <w:rsid w:val="00F13E6B"/>
    <w:rsid w:val="00F14046"/>
    <w:rsid w:val="00F140CB"/>
    <w:rsid w:val="00F1415F"/>
    <w:rsid w:val="00F141E3"/>
    <w:rsid w:val="00F14201"/>
    <w:rsid w:val="00F14264"/>
    <w:rsid w:val="00F143A6"/>
    <w:rsid w:val="00F143CF"/>
    <w:rsid w:val="00F144B1"/>
    <w:rsid w:val="00F1461F"/>
    <w:rsid w:val="00F14649"/>
    <w:rsid w:val="00F14710"/>
    <w:rsid w:val="00F14774"/>
    <w:rsid w:val="00F147AD"/>
    <w:rsid w:val="00F147E8"/>
    <w:rsid w:val="00F14979"/>
    <w:rsid w:val="00F14A14"/>
    <w:rsid w:val="00F14B33"/>
    <w:rsid w:val="00F14BA4"/>
    <w:rsid w:val="00F14BB2"/>
    <w:rsid w:val="00F14C8D"/>
    <w:rsid w:val="00F14CBA"/>
    <w:rsid w:val="00F14D3F"/>
    <w:rsid w:val="00F14D61"/>
    <w:rsid w:val="00F14DAA"/>
    <w:rsid w:val="00F14DFD"/>
    <w:rsid w:val="00F14FD3"/>
    <w:rsid w:val="00F1504A"/>
    <w:rsid w:val="00F15061"/>
    <w:rsid w:val="00F1508C"/>
    <w:rsid w:val="00F15158"/>
    <w:rsid w:val="00F1522E"/>
    <w:rsid w:val="00F1526D"/>
    <w:rsid w:val="00F152BC"/>
    <w:rsid w:val="00F1548F"/>
    <w:rsid w:val="00F155E7"/>
    <w:rsid w:val="00F15645"/>
    <w:rsid w:val="00F156A4"/>
    <w:rsid w:val="00F1578E"/>
    <w:rsid w:val="00F157F1"/>
    <w:rsid w:val="00F15884"/>
    <w:rsid w:val="00F15904"/>
    <w:rsid w:val="00F15952"/>
    <w:rsid w:val="00F15982"/>
    <w:rsid w:val="00F15A6F"/>
    <w:rsid w:val="00F15E19"/>
    <w:rsid w:val="00F15F12"/>
    <w:rsid w:val="00F16134"/>
    <w:rsid w:val="00F162E8"/>
    <w:rsid w:val="00F16345"/>
    <w:rsid w:val="00F164E3"/>
    <w:rsid w:val="00F16584"/>
    <w:rsid w:val="00F16644"/>
    <w:rsid w:val="00F1677D"/>
    <w:rsid w:val="00F169D2"/>
    <w:rsid w:val="00F16AA3"/>
    <w:rsid w:val="00F16B0D"/>
    <w:rsid w:val="00F16B6C"/>
    <w:rsid w:val="00F16E93"/>
    <w:rsid w:val="00F16F9B"/>
    <w:rsid w:val="00F16FCF"/>
    <w:rsid w:val="00F1710F"/>
    <w:rsid w:val="00F171FF"/>
    <w:rsid w:val="00F17228"/>
    <w:rsid w:val="00F1734F"/>
    <w:rsid w:val="00F17372"/>
    <w:rsid w:val="00F173D8"/>
    <w:rsid w:val="00F1756B"/>
    <w:rsid w:val="00F1758A"/>
    <w:rsid w:val="00F1774C"/>
    <w:rsid w:val="00F17772"/>
    <w:rsid w:val="00F177D6"/>
    <w:rsid w:val="00F1788E"/>
    <w:rsid w:val="00F1792F"/>
    <w:rsid w:val="00F17A62"/>
    <w:rsid w:val="00F17B3F"/>
    <w:rsid w:val="00F17C00"/>
    <w:rsid w:val="00F17CF9"/>
    <w:rsid w:val="00F17D09"/>
    <w:rsid w:val="00F17DA2"/>
    <w:rsid w:val="00F2009B"/>
    <w:rsid w:val="00F200A1"/>
    <w:rsid w:val="00F200E7"/>
    <w:rsid w:val="00F20157"/>
    <w:rsid w:val="00F201A1"/>
    <w:rsid w:val="00F2028F"/>
    <w:rsid w:val="00F20365"/>
    <w:rsid w:val="00F2039C"/>
    <w:rsid w:val="00F20534"/>
    <w:rsid w:val="00F205AE"/>
    <w:rsid w:val="00F206E8"/>
    <w:rsid w:val="00F206F3"/>
    <w:rsid w:val="00F20763"/>
    <w:rsid w:val="00F2085B"/>
    <w:rsid w:val="00F20936"/>
    <w:rsid w:val="00F20973"/>
    <w:rsid w:val="00F209A1"/>
    <w:rsid w:val="00F20B85"/>
    <w:rsid w:val="00F20F07"/>
    <w:rsid w:val="00F2101D"/>
    <w:rsid w:val="00F21271"/>
    <w:rsid w:val="00F2134B"/>
    <w:rsid w:val="00F21565"/>
    <w:rsid w:val="00F2166B"/>
    <w:rsid w:val="00F21702"/>
    <w:rsid w:val="00F21752"/>
    <w:rsid w:val="00F2178E"/>
    <w:rsid w:val="00F21C4B"/>
    <w:rsid w:val="00F21DB9"/>
    <w:rsid w:val="00F21ED4"/>
    <w:rsid w:val="00F21EFC"/>
    <w:rsid w:val="00F22204"/>
    <w:rsid w:val="00F22242"/>
    <w:rsid w:val="00F2228B"/>
    <w:rsid w:val="00F222A7"/>
    <w:rsid w:val="00F222CB"/>
    <w:rsid w:val="00F222FB"/>
    <w:rsid w:val="00F22364"/>
    <w:rsid w:val="00F22366"/>
    <w:rsid w:val="00F223AA"/>
    <w:rsid w:val="00F224E6"/>
    <w:rsid w:val="00F226E7"/>
    <w:rsid w:val="00F227C8"/>
    <w:rsid w:val="00F22819"/>
    <w:rsid w:val="00F2283D"/>
    <w:rsid w:val="00F22881"/>
    <w:rsid w:val="00F22950"/>
    <w:rsid w:val="00F22A4C"/>
    <w:rsid w:val="00F22BCC"/>
    <w:rsid w:val="00F22CBF"/>
    <w:rsid w:val="00F22CF6"/>
    <w:rsid w:val="00F22D3A"/>
    <w:rsid w:val="00F22D6D"/>
    <w:rsid w:val="00F22DA2"/>
    <w:rsid w:val="00F22F1F"/>
    <w:rsid w:val="00F22F3F"/>
    <w:rsid w:val="00F2304D"/>
    <w:rsid w:val="00F2317E"/>
    <w:rsid w:val="00F231A6"/>
    <w:rsid w:val="00F232AD"/>
    <w:rsid w:val="00F234F3"/>
    <w:rsid w:val="00F235FF"/>
    <w:rsid w:val="00F23651"/>
    <w:rsid w:val="00F23728"/>
    <w:rsid w:val="00F237BF"/>
    <w:rsid w:val="00F237D2"/>
    <w:rsid w:val="00F23CB7"/>
    <w:rsid w:val="00F23DB0"/>
    <w:rsid w:val="00F2410C"/>
    <w:rsid w:val="00F24178"/>
    <w:rsid w:val="00F241E5"/>
    <w:rsid w:val="00F2420B"/>
    <w:rsid w:val="00F242C9"/>
    <w:rsid w:val="00F243CA"/>
    <w:rsid w:val="00F2447D"/>
    <w:rsid w:val="00F2464C"/>
    <w:rsid w:val="00F246EF"/>
    <w:rsid w:val="00F247AB"/>
    <w:rsid w:val="00F248DD"/>
    <w:rsid w:val="00F24D28"/>
    <w:rsid w:val="00F24DCC"/>
    <w:rsid w:val="00F24DF1"/>
    <w:rsid w:val="00F24E0C"/>
    <w:rsid w:val="00F24E2D"/>
    <w:rsid w:val="00F24F68"/>
    <w:rsid w:val="00F2506B"/>
    <w:rsid w:val="00F25083"/>
    <w:rsid w:val="00F250B9"/>
    <w:rsid w:val="00F250FF"/>
    <w:rsid w:val="00F25299"/>
    <w:rsid w:val="00F25520"/>
    <w:rsid w:val="00F2556E"/>
    <w:rsid w:val="00F2570A"/>
    <w:rsid w:val="00F257B5"/>
    <w:rsid w:val="00F25910"/>
    <w:rsid w:val="00F2599F"/>
    <w:rsid w:val="00F25B6E"/>
    <w:rsid w:val="00F25C58"/>
    <w:rsid w:val="00F25C6D"/>
    <w:rsid w:val="00F25CEA"/>
    <w:rsid w:val="00F25F20"/>
    <w:rsid w:val="00F25F46"/>
    <w:rsid w:val="00F26246"/>
    <w:rsid w:val="00F2625B"/>
    <w:rsid w:val="00F262EB"/>
    <w:rsid w:val="00F262F3"/>
    <w:rsid w:val="00F26357"/>
    <w:rsid w:val="00F264C9"/>
    <w:rsid w:val="00F26550"/>
    <w:rsid w:val="00F265C8"/>
    <w:rsid w:val="00F265F1"/>
    <w:rsid w:val="00F266A2"/>
    <w:rsid w:val="00F266D5"/>
    <w:rsid w:val="00F26926"/>
    <w:rsid w:val="00F26BE0"/>
    <w:rsid w:val="00F26C2D"/>
    <w:rsid w:val="00F26C58"/>
    <w:rsid w:val="00F26CE8"/>
    <w:rsid w:val="00F26D35"/>
    <w:rsid w:val="00F26DD3"/>
    <w:rsid w:val="00F26FBF"/>
    <w:rsid w:val="00F26FC9"/>
    <w:rsid w:val="00F27026"/>
    <w:rsid w:val="00F27063"/>
    <w:rsid w:val="00F2720E"/>
    <w:rsid w:val="00F2733B"/>
    <w:rsid w:val="00F2737D"/>
    <w:rsid w:val="00F274A2"/>
    <w:rsid w:val="00F27722"/>
    <w:rsid w:val="00F2775D"/>
    <w:rsid w:val="00F2776D"/>
    <w:rsid w:val="00F277CF"/>
    <w:rsid w:val="00F279A3"/>
    <w:rsid w:val="00F27A5F"/>
    <w:rsid w:val="00F27B4E"/>
    <w:rsid w:val="00F27C7F"/>
    <w:rsid w:val="00F27D04"/>
    <w:rsid w:val="00F27E36"/>
    <w:rsid w:val="00F27E74"/>
    <w:rsid w:val="00F27F47"/>
    <w:rsid w:val="00F27FD2"/>
    <w:rsid w:val="00F3006C"/>
    <w:rsid w:val="00F30105"/>
    <w:rsid w:val="00F301F2"/>
    <w:rsid w:val="00F30361"/>
    <w:rsid w:val="00F3056D"/>
    <w:rsid w:val="00F30638"/>
    <w:rsid w:val="00F3067D"/>
    <w:rsid w:val="00F3094C"/>
    <w:rsid w:val="00F30B6A"/>
    <w:rsid w:val="00F30BDC"/>
    <w:rsid w:val="00F30DE2"/>
    <w:rsid w:val="00F30E02"/>
    <w:rsid w:val="00F30E73"/>
    <w:rsid w:val="00F30F1D"/>
    <w:rsid w:val="00F30F71"/>
    <w:rsid w:val="00F30F8E"/>
    <w:rsid w:val="00F31278"/>
    <w:rsid w:val="00F3143C"/>
    <w:rsid w:val="00F31502"/>
    <w:rsid w:val="00F316E6"/>
    <w:rsid w:val="00F31713"/>
    <w:rsid w:val="00F31ABA"/>
    <w:rsid w:val="00F31B8C"/>
    <w:rsid w:val="00F31C52"/>
    <w:rsid w:val="00F31C6C"/>
    <w:rsid w:val="00F31DAA"/>
    <w:rsid w:val="00F31FE9"/>
    <w:rsid w:val="00F32037"/>
    <w:rsid w:val="00F32072"/>
    <w:rsid w:val="00F3209F"/>
    <w:rsid w:val="00F320D0"/>
    <w:rsid w:val="00F32102"/>
    <w:rsid w:val="00F321CA"/>
    <w:rsid w:val="00F324B2"/>
    <w:rsid w:val="00F32685"/>
    <w:rsid w:val="00F32754"/>
    <w:rsid w:val="00F32795"/>
    <w:rsid w:val="00F327DA"/>
    <w:rsid w:val="00F32A86"/>
    <w:rsid w:val="00F32D5E"/>
    <w:rsid w:val="00F32E02"/>
    <w:rsid w:val="00F3328C"/>
    <w:rsid w:val="00F332B4"/>
    <w:rsid w:val="00F333E5"/>
    <w:rsid w:val="00F33416"/>
    <w:rsid w:val="00F3345B"/>
    <w:rsid w:val="00F33587"/>
    <w:rsid w:val="00F3359C"/>
    <w:rsid w:val="00F33775"/>
    <w:rsid w:val="00F337A3"/>
    <w:rsid w:val="00F338CF"/>
    <w:rsid w:val="00F33ACD"/>
    <w:rsid w:val="00F33B13"/>
    <w:rsid w:val="00F33B23"/>
    <w:rsid w:val="00F33D15"/>
    <w:rsid w:val="00F33D87"/>
    <w:rsid w:val="00F33D95"/>
    <w:rsid w:val="00F33E97"/>
    <w:rsid w:val="00F33EE4"/>
    <w:rsid w:val="00F33F2C"/>
    <w:rsid w:val="00F33F73"/>
    <w:rsid w:val="00F3420D"/>
    <w:rsid w:val="00F3426F"/>
    <w:rsid w:val="00F345A1"/>
    <w:rsid w:val="00F345CF"/>
    <w:rsid w:val="00F34602"/>
    <w:rsid w:val="00F346E6"/>
    <w:rsid w:val="00F348CD"/>
    <w:rsid w:val="00F34909"/>
    <w:rsid w:val="00F34A91"/>
    <w:rsid w:val="00F34C31"/>
    <w:rsid w:val="00F34D36"/>
    <w:rsid w:val="00F34D50"/>
    <w:rsid w:val="00F34D69"/>
    <w:rsid w:val="00F34DD3"/>
    <w:rsid w:val="00F34DF5"/>
    <w:rsid w:val="00F34F7D"/>
    <w:rsid w:val="00F35047"/>
    <w:rsid w:val="00F35059"/>
    <w:rsid w:val="00F351C0"/>
    <w:rsid w:val="00F353B1"/>
    <w:rsid w:val="00F35401"/>
    <w:rsid w:val="00F35431"/>
    <w:rsid w:val="00F3553C"/>
    <w:rsid w:val="00F355FB"/>
    <w:rsid w:val="00F35609"/>
    <w:rsid w:val="00F35628"/>
    <w:rsid w:val="00F35728"/>
    <w:rsid w:val="00F3574D"/>
    <w:rsid w:val="00F357E1"/>
    <w:rsid w:val="00F35B15"/>
    <w:rsid w:val="00F35BBE"/>
    <w:rsid w:val="00F35E78"/>
    <w:rsid w:val="00F35F5A"/>
    <w:rsid w:val="00F35FEB"/>
    <w:rsid w:val="00F35FFC"/>
    <w:rsid w:val="00F36077"/>
    <w:rsid w:val="00F36118"/>
    <w:rsid w:val="00F36367"/>
    <w:rsid w:val="00F363E1"/>
    <w:rsid w:val="00F364A4"/>
    <w:rsid w:val="00F3662E"/>
    <w:rsid w:val="00F36719"/>
    <w:rsid w:val="00F36726"/>
    <w:rsid w:val="00F367D8"/>
    <w:rsid w:val="00F3684A"/>
    <w:rsid w:val="00F36878"/>
    <w:rsid w:val="00F368F8"/>
    <w:rsid w:val="00F36993"/>
    <w:rsid w:val="00F36A47"/>
    <w:rsid w:val="00F36C46"/>
    <w:rsid w:val="00F36C56"/>
    <w:rsid w:val="00F36D70"/>
    <w:rsid w:val="00F36DDA"/>
    <w:rsid w:val="00F36E63"/>
    <w:rsid w:val="00F36ECD"/>
    <w:rsid w:val="00F36EE3"/>
    <w:rsid w:val="00F37034"/>
    <w:rsid w:val="00F370C8"/>
    <w:rsid w:val="00F370F7"/>
    <w:rsid w:val="00F37207"/>
    <w:rsid w:val="00F37258"/>
    <w:rsid w:val="00F3775A"/>
    <w:rsid w:val="00F37879"/>
    <w:rsid w:val="00F3789D"/>
    <w:rsid w:val="00F378AE"/>
    <w:rsid w:val="00F378B4"/>
    <w:rsid w:val="00F3790E"/>
    <w:rsid w:val="00F379D7"/>
    <w:rsid w:val="00F37A25"/>
    <w:rsid w:val="00F37A58"/>
    <w:rsid w:val="00F37C12"/>
    <w:rsid w:val="00F37CB5"/>
    <w:rsid w:val="00F37D62"/>
    <w:rsid w:val="00F37E5C"/>
    <w:rsid w:val="00F400B1"/>
    <w:rsid w:val="00F401CA"/>
    <w:rsid w:val="00F4032B"/>
    <w:rsid w:val="00F4037E"/>
    <w:rsid w:val="00F40571"/>
    <w:rsid w:val="00F40574"/>
    <w:rsid w:val="00F4069F"/>
    <w:rsid w:val="00F406D5"/>
    <w:rsid w:val="00F406DC"/>
    <w:rsid w:val="00F40864"/>
    <w:rsid w:val="00F408D8"/>
    <w:rsid w:val="00F40B73"/>
    <w:rsid w:val="00F40BF1"/>
    <w:rsid w:val="00F40C00"/>
    <w:rsid w:val="00F40C1B"/>
    <w:rsid w:val="00F40C5E"/>
    <w:rsid w:val="00F40D80"/>
    <w:rsid w:val="00F40D97"/>
    <w:rsid w:val="00F40DBC"/>
    <w:rsid w:val="00F40E4A"/>
    <w:rsid w:val="00F40FC7"/>
    <w:rsid w:val="00F412DB"/>
    <w:rsid w:val="00F4130B"/>
    <w:rsid w:val="00F41323"/>
    <w:rsid w:val="00F4139D"/>
    <w:rsid w:val="00F41597"/>
    <w:rsid w:val="00F41630"/>
    <w:rsid w:val="00F416F6"/>
    <w:rsid w:val="00F417E2"/>
    <w:rsid w:val="00F4184E"/>
    <w:rsid w:val="00F418E9"/>
    <w:rsid w:val="00F4194C"/>
    <w:rsid w:val="00F41FA9"/>
    <w:rsid w:val="00F4208E"/>
    <w:rsid w:val="00F42165"/>
    <w:rsid w:val="00F421FC"/>
    <w:rsid w:val="00F422BB"/>
    <w:rsid w:val="00F42308"/>
    <w:rsid w:val="00F4231D"/>
    <w:rsid w:val="00F42893"/>
    <w:rsid w:val="00F428DC"/>
    <w:rsid w:val="00F429C5"/>
    <w:rsid w:val="00F42A10"/>
    <w:rsid w:val="00F42A7F"/>
    <w:rsid w:val="00F42BE9"/>
    <w:rsid w:val="00F42C9A"/>
    <w:rsid w:val="00F42F06"/>
    <w:rsid w:val="00F42F9C"/>
    <w:rsid w:val="00F4300D"/>
    <w:rsid w:val="00F430A6"/>
    <w:rsid w:val="00F43440"/>
    <w:rsid w:val="00F434C9"/>
    <w:rsid w:val="00F434DC"/>
    <w:rsid w:val="00F43757"/>
    <w:rsid w:val="00F4382D"/>
    <w:rsid w:val="00F43838"/>
    <w:rsid w:val="00F43AF9"/>
    <w:rsid w:val="00F43C08"/>
    <w:rsid w:val="00F43C32"/>
    <w:rsid w:val="00F43FCB"/>
    <w:rsid w:val="00F44078"/>
    <w:rsid w:val="00F44123"/>
    <w:rsid w:val="00F441A9"/>
    <w:rsid w:val="00F442C6"/>
    <w:rsid w:val="00F442E0"/>
    <w:rsid w:val="00F443E3"/>
    <w:rsid w:val="00F4448F"/>
    <w:rsid w:val="00F44559"/>
    <w:rsid w:val="00F446D6"/>
    <w:rsid w:val="00F44734"/>
    <w:rsid w:val="00F44819"/>
    <w:rsid w:val="00F44895"/>
    <w:rsid w:val="00F448F7"/>
    <w:rsid w:val="00F449CD"/>
    <w:rsid w:val="00F44AA1"/>
    <w:rsid w:val="00F44CBD"/>
    <w:rsid w:val="00F44E02"/>
    <w:rsid w:val="00F45058"/>
    <w:rsid w:val="00F4517E"/>
    <w:rsid w:val="00F454D6"/>
    <w:rsid w:val="00F45667"/>
    <w:rsid w:val="00F4579A"/>
    <w:rsid w:val="00F45995"/>
    <w:rsid w:val="00F45A3C"/>
    <w:rsid w:val="00F45D21"/>
    <w:rsid w:val="00F45DAB"/>
    <w:rsid w:val="00F46251"/>
    <w:rsid w:val="00F46287"/>
    <w:rsid w:val="00F463D7"/>
    <w:rsid w:val="00F4642E"/>
    <w:rsid w:val="00F4653E"/>
    <w:rsid w:val="00F46614"/>
    <w:rsid w:val="00F467C0"/>
    <w:rsid w:val="00F46864"/>
    <w:rsid w:val="00F46CF0"/>
    <w:rsid w:val="00F46FC4"/>
    <w:rsid w:val="00F4720F"/>
    <w:rsid w:val="00F47270"/>
    <w:rsid w:val="00F47375"/>
    <w:rsid w:val="00F47397"/>
    <w:rsid w:val="00F473CE"/>
    <w:rsid w:val="00F474D8"/>
    <w:rsid w:val="00F47877"/>
    <w:rsid w:val="00F479EE"/>
    <w:rsid w:val="00F47B3A"/>
    <w:rsid w:val="00F47BE3"/>
    <w:rsid w:val="00F47C61"/>
    <w:rsid w:val="00F47D20"/>
    <w:rsid w:val="00F47D55"/>
    <w:rsid w:val="00F47DF9"/>
    <w:rsid w:val="00F47F17"/>
    <w:rsid w:val="00F47F95"/>
    <w:rsid w:val="00F500F6"/>
    <w:rsid w:val="00F502AE"/>
    <w:rsid w:val="00F50585"/>
    <w:rsid w:val="00F505EE"/>
    <w:rsid w:val="00F50661"/>
    <w:rsid w:val="00F50761"/>
    <w:rsid w:val="00F508EE"/>
    <w:rsid w:val="00F50955"/>
    <w:rsid w:val="00F50AB4"/>
    <w:rsid w:val="00F50AFC"/>
    <w:rsid w:val="00F50B9D"/>
    <w:rsid w:val="00F50BA0"/>
    <w:rsid w:val="00F50BD2"/>
    <w:rsid w:val="00F50C65"/>
    <w:rsid w:val="00F50CA1"/>
    <w:rsid w:val="00F50D31"/>
    <w:rsid w:val="00F50D79"/>
    <w:rsid w:val="00F50EB9"/>
    <w:rsid w:val="00F50FCE"/>
    <w:rsid w:val="00F5108F"/>
    <w:rsid w:val="00F510B7"/>
    <w:rsid w:val="00F511B3"/>
    <w:rsid w:val="00F51238"/>
    <w:rsid w:val="00F51633"/>
    <w:rsid w:val="00F516DD"/>
    <w:rsid w:val="00F516E3"/>
    <w:rsid w:val="00F5171E"/>
    <w:rsid w:val="00F51731"/>
    <w:rsid w:val="00F5177A"/>
    <w:rsid w:val="00F51A3A"/>
    <w:rsid w:val="00F51B7B"/>
    <w:rsid w:val="00F51D46"/>
    <w:rsid w:val="00F51D9E"/>
    <w:rsid w:val="00F51EC2"/>
    <w:rsid w:val="00F51F39"/>
    <w:rsid w:val="00F52002"/>
    <w:rsid w:val="00F521B4"/>
    <w:rsid w:val="00F5221C"/>
    <w:rsid w:val="00F522D1"/>
    <w:rsid w:val="00F52312"/>
    <w:rsid w:val="00F52430"/>
    <w:rsid w:val="00F524E3"/>
    <w:rsid w:val="00F525A0"/>
    <w:rsid w:val="00F52630"/>
    <w:rsid w:val="00F52663"/>
    <w:rsid w:val="00F5273B"/>
    <w:rsid w:val="00F527D3"/>
    <w:rsid w:val="00F52963"/>
    <w:rsid w:val="00F52B0A"/>
    <w:rsid w:val="00F52B80"/>
    <w:rsid w:val="00F52C2C"/>
    <w:rsid w:val="00F52FA7"/>
    <w:rsid w:val="00F52FAF"/>
    <w:rsid w:val="00F530A7"/>
    <w:rsid w:val="00F5312A"/>
    <w:rsid w:val="00F53235"/>
    <w:rsid w:val="00F5327A"/>
    <w:rsid w:val="00F534D2"/>
    <w:rsid w:val="00F534F6"/>
    <w:rsid w:val="00F5361C"/>
    <w:rsid w:val="00F53857"/>
    <w:rsid w:val="00F53A57"/>
    <w:rsid w:val="00F53AEA"/>
    <w:rsid w:val="00F53B0A"/>
    <w:rsid w:val="00F53B4B"/>
    <w:rsid w:val="00F53CFA"/>
    <w:rsid w:val="00F53DAE"/>
    <w:rsid w:val="00F53DCD"/>
    <w:rsid w:val="00F53E70"/>
    <w:rsid w:val="00F53EF9"/>
    <w:rsid w:val="00F53F68"/>
    <w:rsid w:val="00F53F7E"/>
    <w:rsid w:val="00F53F97"/>
    <w:rsid w:val="00F5404D"/>
    <w:rsid w:val="00F5417B"/>
    <w:rsid w:val="00F54323"/>
    <w:rsid w:val="00F54330"/>
    <w:rsid w:val="00F543B7"/>
    <w:rsid w:val="00F54445"/>
    <w:rsid w:val="00F54588"/>
    <w:rsid w:val="00F54832"/>
    <w:rsid w:val="00F54979"/>
    <w:rsid w:val="00F54A85"/>
    <w:rsid w:val="00F54D7E"/>
    <w:rsid w:val="00F54D8D"/>
    <w:rsid w:val="00F54F11"/>
    <w:rsid w:val="00F55036"/>
    <w:rsid w:val="00F55097"/>
    <w:rsid w:val="00F55280"/>
    <w:rsid w:val="00F55333"/>
    <w:rsid w:val="00F55444"/>
    <w:rsid w:val="00F554DC"/>
    <w:rsid w:val="00F55588"/>
    <w:rsid w:val="00F5558C"/>
    <w:rsid w:val="00F556BC"/>
    <w:rsid w:val="00F55723"/>
    <w:rsid w:val="00F558D7"/>
    <w:rsid w:val="00F559C0"/>
    <w:rsid w:val="00F559E0"/>
    <w:rsid w:val="00F55C33"/>
    <w:rsid w:val="00F55DD7"/>
    <w:rsid w:val="00F55E53"/>
    <w:rsid w:val="00F55F69"/>
    <w:rsid w:val="00F56037"/>
    <w:rsid w:val="00F56165"/>
    <w:rsid w:val="00F5622C"/>
    <w:rsid w:val="00F562BF"/>
    <w:rsid w:val="00F563FA"/>
    <w:rsid w:val="00F56499"/>
    <w:rsid w:val="00F566E7"/>
    <w:rsid w:val="00F5683E"/>
    <w:rsid w:val="00F569D9"/>
    <w:rsid w:val="00F56A11"/>
    <w:rsid w:val="00F56A6B"/>
    <w:rsid w:val="00F56B35"/>
    <w:rsid w:val="00F56C39"/>
    <w:rsid w:val="00F56D5C"/>
    <w:rsid w:val="00F56D8E"/>
    <w:rsid w:val="00F56D91"/>
    <w:rsid w:val="00F56DC6"/>
    <w:rsid w:val="00F56DF6"/>
    <w:rsid w:val="00F56E0D"/>
    <w:rsid w:val="00F56E9C"/>
    <w:rsid w:val="00F57061"/>
    <w:rsid w:val="00F570DC"/>
    <w:rsid w:val="00F5723A"/>
    <w:rsid w:val="00F57451"/>
    <w:rsid w:val="00F574C3"/>
    <w:rsid w:val="00F5754B"/>
    <w:rsid w:val="00F577E0"/>
    <w:rsid w:val="00F57885"/>
    <w:rsid w:val="00F578B5"/>
    <w:rsid w:val="00F578CA"/>
    <w:rsid w:val="00F579AE"/>
    <w:rsid w:val="00F57A4A"/>
    <w:rsid w:val="00F57B89"/>
    <w:rsid w:val="00F57C2B"/>
    <w:rsid w:val="00F57C3E"/>
    <w:rsid w:val="00F57C71"/>
    <w:rsid w:val="00F57CD7"/>
    <w:rsid w:val="00F57DC0"/>
    <w:rsid w:val="00F57EE3"/>
    <w:rsid w:val="00F57EFA"/>
    <w:rsid w:val="00F57F30"/>
    <w:rsid w:val="00F57F66"/>
    <w:rsid w:val="00F601F5"/>
    <w:rsid w:val="00F60203"/>
    <w:rsid w:val="00F6020E"/>
    <w:rsid w:val="00F60270"/>
    <w:rsid w:val="00F6032F"/>
    <w:rsid w:val="00F60334"/>
    <w:rsid w:val="00F6041B"/>
    <w:rsid w:val="00F606CF"/>
    <w:rsid w:val="00F606DA"/>
    <w:rsid w:val="00F60709"/>
    <w:rsid w:val="00F60793"/>
    <w:rsid w:val="00F6082D"/>
    <w:rsid w:val="00F6091D"/>
    <w:rsid w:val="00F60967"/>
    <w:rsid w:val="00F609B4"/>
    <w:rsid w:val="00F60A79"/>
    <w:rsid w:val="00F60C60"/>
    <w:rsid w:val="00F60CDA"/>
    <w:rsid w:val="00F60DC7"/>
    <w:rsid w:val="00F61091"/>
    <w:rsid w:val="00F610B1"/>
    <w:rsid w:val="00F612F4"/>
    <w:rsid w:val="00F6146A"/>
    <w:rsid w:val="00F61611"/>
    <w:rsid w:val="00F61688"/>
    <w:rsid w:val="00F616CB"/>
    <w:rsid w:val="00F61764"/>
    <w:rsid w:val="00F61772"/>
    <w:rsid w:val="00F617B8"/>
    <w:rsid w:val="00F6191E"/>
    <w:rsid w:val="00F61951"/>
    <w:rsid w:val="00F619D1"/>
    <w:rsid w:val="00F619EA"/>
    <w:rsid w:val="00F61ABD"/>
    <w:rsid w:val="00F61BD4"/>
    <w:rsid w:val="00F61C4B"/>
    <w:rsid w:val="00F61C7E"/>
    <w:rsid w:val="00F61D0F"/>
    <w:rsid w:val="00F61E62"/>
    <w:rsid w:val="00F6200B"/>
    <w:rsid w:val="00F62101"/>
    <w:rsid w:val="00F6226F"/>
    <w:rsid w:val="00F62385"/>
    <w:rsid w:val="00F6239A"/>
    <w:rsid w:val="00F623EA"/>
    <w:rsid w:val="00F62512"/>
    <w:rsid w:val="00F625A6"/>
    <w:rsid w:val="00F625E1"/>
    <w:rsid w:val="00F6260F"/>
    <w:rsid w:val="00F627AF"/>
    <w:rsid w:val="00F627C9"/>
    <w:rsid w:val="00F628C6"/>
    <w:rsid w:val="00F62986"/>
    <w:rsid w:val="00F62A87"/>
    <w:rsid w:val="00F62B79"/>
    <w:rsid w:val="00F62C27"/>
    <w:rsid w:val="00F62C4C"/>
    <w:rsid w:val="00F62C7E"/>
    <w:rsid w:val="00F62CEB"/>
    <w:rsid w:val="00F62D2B"/>
    <w:rsid w:val="00F62E68"/>
    <w:rsid w:val="00F62FA4"/>
    <w:rsid w:val="00F630DB"/>
    <w:rsid w:val="00F6329F"/>
    <w:rsid w:val="00F632DB"/>
    <w:rsid w:val="00F63387"/>
    <w:rsid w:val="00F63464"/>
    <w:rsid w:val="00F634AB"/>
    <w:rsid w:val="00F6351D"/>
    <w:rsid w:val="00F63546"/>
    <w:rsid w:val="00F635D2"/>
    <w:rsid w:val="00F63719"/>
    <w:rsid w:val="00F6379D"/>
    <w:rsid w:val="00F63826"/>
    <w:rsid w:val="00F63961"/>
    <w:rsid w:val="00F63BB6"/>
    <w:rsid w:val="00F63CCD"/>
    <w:rsid w:val="00F63CD3"/>
    <w:rsid w:val="00F63CE9"/>
    <w:rsid w:val="00F63D3A"/>
    <w:rsid w:val="00F63D5C"/>
    <w:rsid w:val="00F63DE3"/>
    <w:rsid w:val="00F63E8A"/>
    <w:rsid w:val="00F63E96"/>
    <w:rsid w:val="00F63ED1"/>
    <w:rsid w:val="00F63FDE"/>
    <w:rsid w:val="00F641C0"/>
    <w:rsid w:val="00F64368"/>
    <w:rsid w:val="00F6467D"/>
    <w:rsid w:val="00F6469C"/>
    <w:rsid w:val="00F649A1"/>
    <w:rsid w:val="00F649DE"/>
    <w:rsid w:val="00F64AB4"/>
    <w:rsid w:val="00F64BB6"/>
    <w:rsid w:val="00F64BE8"/>
    <w:rsid w:val="00F64C97"/>
    <w:rsid w:val="00F64E3F"/>
    <w:rsid w:val="00F64E55"/>
    <w:rsid w:val="00F6519E"/>
    <w:rsid w:val="00F65387"/>
    <w:rsid w:val="00F6538B"/>
    <w:rsid w:val="00F654C1"/>
    <w:rsid w:val="00F6557E"/>
    <w:rsid w:val="00F655BC"/>
    <w:rsid w:val="00F65626"/>
    <w:rsid w:val="00F65673"/>
    <w:rsid w:val="00F656DB"/>
    <w:rsid w:val="00F656E3"/>
    <w:rsid w:val="00F65725"/>
    <w:rsid w:val="00F65730"/>
    <w:rsid w:val="00F65749"/>
    <w:rsid w:val="00F65AC4"/>
    <w:rsid w:val="00F65C24"/>
    <w:rsid w:val="00F65CF3"/>
    <w:rsid w:val="00F65D74"/>
    <w:rsid w:val="00F65EC9"/>
    <w:rsid w:val="00F66066"/>
    <w:rsid w:val="00F66144"/>
    <w:rsid w:val="00F66243"/>
    <w:rsid w:val="00F662C5"/>
    <w:rsid w:val="00F662E2"/>
    <w:rsid w:val="00F66399"/>
    <w:rsid w:val="00F664C6"/>
    <w:rsid w:val="00F66511"/>
    <w:rsid w:val="00F665E9"/>
    <w:rsid w:val="00F6664A"/>
    <w:rsid w:val="00F6699B"/>
    <w:rsid w:val="00F66A68"/>
    <w:rsid w:val="00F66A79"/>
    <w:rsid w:val="00F66B84"/>
    <w:rsid w:val="00F66C43"/>
    <w:rsid w:val="00F66E54"/>
    <w:rsid w:val="00F66E69"/>
    <w:rsid w:val="00F66EB0"/>
    <w:rsid w:val="00F66F46"/>
    <w:rsid w:val="00F66F64"/>
    <w:rsid w:val="00F670EB"/>
    <w:rsid w:val="00F6713F"/>
    <w:rsid w:val="00F671A8"/>
    <w:rsid w:val="00F6738C"/>
    <w:rsid w:val="00F67471"/>
    <w:rsid w:val="00F675E2"/>
    <w:rsid w:val="00F67672"/>
    <w:rsid w:val="00F67746"/>
    <w:rsid w:val="00F6787D"/>
    <w:rsid w:val="00F67999"/>
    <w:rsid w:val="00F67B8C"/>
    <w:rsid w:val="00F67F65"/>
    <w:rsid w:val="00F70072"/>
    <w:rsid w:val="00F700AF"/>
    <w:rsid w:val="00F700CB"/>
    <w:rsid w:val="00F7025F"/>
    <w:rsid w:val="00F702CC"/>
    <w:rsid w:val="00F7033A"/>
    <w:rsid w:val="00F703E4"/>
    <w:rsid w:val="00F706BE"/>
    <w:rsid w:val="00F706D6"/>
    <w:rsid w:val="00F70742"/>
    <w:rsid w:val="00F7075E"/>
    <w:rsid w:val="00F70DCE"/>
    <w:rsid w:val="00F70F47"/>
    <w:rsid w:val="00F70F6E"/>
    <w:rsid w:val="00F70F73"/>
    <w:rsid w:val="00F70FFC"/>
    <w:rsid w:val="00F7102A"/>
    <w:rsid w:val="00F71063"/>
    <w:rsid w:val="00F71128"/>
    <w:rsid w:val="00F7136D"/>
    <w:rsid w:val="00F713C7"/>
    <w:rsid w:val="00F713CE"/>
    <w:rsid w:val="00F713DC"/>
    <w:rsid w:val="00F713F8"/>
    <w:rsid w:val="00F714BD"/>
    <w:rsid w:val="00F714F3"/>
    <w:rsid w:val="00F7150C"/>
    <w:rsid w:val="00F7150F"/>
    <w:rsid w:val="00F71996"/>
    <w:rsid w:val="00F71A71"/>
    <w:rsid w:val="00F71D5C"/>
    <w:rsid w:val="00F71D93"/>
    <w:rsid w:val="00F71F95"/>
    <w:rsid w:val="00F71FB9"/>
    <w:rsid w:val="00F71FE0"/>
    <w:rsid w:val="00F72051"/>
    <w:rsid w:val="00F7218E"/>
    <w:rsid w:val="00F72190"/>
    <w:rsid w:val="00F72224"/>
    <w:rsid w:val="00F722E1"/>
    <w:rsid w:val="00F72386"/>
    <w:rsid w:val="00F7250B"/>
    <w:rsid w:val="00F72713"/>
    <w:rsid w:val="00F7272F"/>
    <w:rsid w:val="00F72877"/>
    <w:rsid w:val="00F729C2"/>
    <w:rsid w:val="00F72B2B"/>
    <w:rsid w:val="00F72BFA"/>
    <w:rsid w:val="00F72D73"/>
    <w:rsid w:val="00F72F8C"/>
    <w:rsid w:val="00F72FB6"/>
    <w:rsid w:val="00F73237"/>
    <w:rsid w:val="00F73284"/>
    <w:rsid w:val="00F73336"/>
    <w:rsid w:val="00F73409"/>
    <w:rsid w:val="00F734C3"/>
    <w:rsid w:val="00F734D5"/>
    <w:rsid w:val="00F73686"/>
    <w:rsid w:val="00F73875"/>
    <w:rsid w:val="00F73880"/>
    <w:rsid w:val="00F73889"/>
    <w:rsid w:val="00F73975"/>
    <w:rsid w:val="00F739D3"/>
    <w:rsid w:val="00F73C5E"/>
    <w:rsid w:val="00F73CA7"/>
    <w:rsid w:val="00F73CE3"/>
    <w:rsid w:val="00F73E52"/>
    <w:rsid w:val="00F73E9C"/>
    <w:rsid w:val="00F74041"/>
    <w:rsid w:val="00F7415D"/>
    <w:rsid w:val="00F74364"/>
    <w:rsid w:val="00F74433"/>
    <w:rsid w:val="00F74490"/>
    <w:rsid w:val="00F745F1"/>
    <w:rsid w:val="00F7474F"/>
    <w:rsid w:val="00F747C5"/>
    <w:rsid w:val="00F74812"/>
    <w:rsid w:val="00F7490E"/>
    <w:rsid w:val="00F7498F"/>
    <w:rsid w:val="00F749B9"/>
    <w:rsid w:val="00F749BC"/>
    <w:rsid w:val="00F749EC"/>
    <w:rsid w:val="00F74B51"/>
    <w:rsid w:val="00F74CD5"/>
    <w:rsid w:val="00F74CF6"/>
    <w:rsid w:val="00F74DCB"/>
    <w:rsid w:val="00F74E12"/>
    <w:rsid w:val="00F74EA8"/>
    <w:rsid w:val="00F75118"/>
    <w:rsid w:val="00F7516D"/>
    <w:rsid w:val="00F75187"/>
    <w:rsid w:val="00F7518E"/>
    <w:rsid w:val="00F751B4"/>
    <w:rsid w:val="00F751F7"/>
    <w:rsid w:val="00F75231"/>
    <w:rsid w:val="00F752DE"/>
    <w:rsid w:val="00F7536F"/>
    <w:rsid w:val="00F7540A"/>
    <w:rsid w:val="00F75493"/>
    <w:rsid w:val="00F75517"/>
    <w:rsid w:val="00F7565D"/>
    <w:rsid w:val="00F756B4"/>
    <w:rsid w:val="00F757DD"/>
    <w:rsid w:val="00F7586D"/>
    <w:rsid w:val="00F758C6"/>
    <w:rsid w:val="00F75906"/>
    <w:rsid w:val="00F759FF"/>
    <w:rsid w:val="00F75A1E"/>
    <w:rsid w:val="00F75BB2"/>
    <w:rsid w:val="00F75BBD"/>
    <w:rsid w:val="00F75DFB"/>
    <w:rsid w:val="00F75E38"/>
    <w:rsid w:val="00F75E47"/>
    <w:rsid w:val="00F75F72"/>
    <w:rsid w:val="00F760B7"/>
    <w:rsid w:val="00F76182"/>
    <w:rsid w:val="00F76272"/>
    <w:rsid w:val="00F762A6"/>
    <w:rsid w:val="00F762F8"/>
    <w:rsid w:val="00F763AE"/>
    <w:rsid w:val="00F76423"/>
    <w:rsid w:val="00F764E7"/>
    <w:rsid w:val="00F76784"/>
    <w:rsid w:val="00F768E1"/>
    <w:rsid w:val="00F768FE"/>
    <w:rsid w:val="00F76983"/>
    <w:rsid w:val="00F76B3A"/>
    <w:rsid w:val="00F76BD9"/>
    <w:rsid w:val="00F76D1B"/>
    <w:rsid w:val="00F76E3C"/>
    <w:rsid w:val="00F76E42"/>
    <w:rsid w:val="00F76F80"/>
    <w:rsid w:val="00F76FEF"/>
    <w:rsid w:val="00F77121"/>
    <w:rsid w:val="00F772C0"/>
    <w:rsid w:val="00F77302"/>
    <w:rsid w:val="00F7730E"/>
    <w:rsid w:val="00F773AE"/>
    <w:rsid w:val="00F773E2"/>
    <w:rsid w:val="00F7754B"/>
    <w:rsid w:val="00F775C8"/>
    <w:rsid w:val="00F77684"/>
    <w:rsid w:val="00F776C9"/>
    <w:rsid w:val="00F77776"/>
    <w:rsid w:val="00F7799A"/>
    <w:rsid w:val="00F779A2"/>
    <w:rsid w:val="00F779BA"/>
    <w:rsid w:val="00F779CF"/>
    <w:rsid w:val="00F77C00"/>
    <w:rsid w:val="00F77E40"/>
    <w:rsid w:val="00F77EA7"/>
    <w:rsid w:val="00F80004"/>
    <w:rsid w:val="00F8007E"/>
    <w:rsid w:val="00F8008D"/>
    <w:rsid w:val="00F80267"/>
    <w:rsid w:val="00F802AA"/>
    <w:rsid w:val="00F80376"/>
    <w:rsid w:val="00F803F1"/>
    <w:rsid w:val="00F80597"/>
    <w:rsid w:val="00F805C4"/>
    <w:rsid w:val="00F805FE"/>
    <w:rsid w:val="00F80708"/>
    <w:rsid w:val="00F80849"/>
    <w:rsid w:val="00F80868"/>
    <w:rsid w:val="00F80996"/>
    <w:rsid w:val="00F80BB1"/>
    <w:rsid w:val="00F80BBC"/>
    <w:rsid w:val="00F80CED"/>
    <w:rsid w:val="00F80D08"/>
    <w:rsid w:val="00F80E6B"/>
    <w:rsid w:val="00F80F0F"/>
    <w:rsid w:val="00F80FBD"/>
    <w:rsid w:val="00F8129F"/>
    <w:rsid w:val="00F81362"/>
    <w:rsid w:val="00F814D5"/>
    <w:rsid w:val="00F81553"/>
    <w:rsid w:val="00F8156E"/>
    <w:rsid w:val="00F8185B"/>
    <w:rsid w:val="00F8194C"/>
    <w:rsid w:val="00F819EE"/>
    <w:rsid w:val="00F81A33"/>
    <w:rsid w:val="00F81B99"/>
    <w:rsid w:val="00F81C09"/>
    <w:rsid w:val="00F81C14"/>
    <w:rsid w:val="00F81D81"/>
    <w:rsid w:val="00F82002"/>
    <w:rsid w:val="00F820EF"/>
    <w:rsid w:val="00F8211D"/>
    <w:rsid w:val="00F8231E"/>
    <w:rsid w:val="00F82347"/>
    <w:rsid w:val="00F82411"/>
    <w:rsid w:val="00F8249B"/>
    <w:rsid w:val="00F82641"/>
    <w:rsid w:val="00F8265C"/>
    <w:rsid w:val="00F827F9"/>
    <w:rsid w:val="00F82802"/>
    <w:rsid w:val="00F8280E"/>
    <w:rsid w:val="00F8287F"/>
    <w:rsid w:val="00F8289D"/>
    <w:rsid w:val="00F82936"/>
    <w:rsid w:val="00F82BBA"/>
    <w:rsid w:val="00F82CA8"/>
    <w:rsid w:val="00F82D83"/>
    <w:rsid w:val="00F82DD5"/>
    <w:rsid w:val="00F82DE4"/>
    <w:rsid w:val="00F8313C"/>
    <w:rsid w:val="00F83224"/>
    <w:rsid w:val="00F833E5"/>
    <w:rsid w:val="00F83469"/>
    <w:rsid w:val="00F8347B"/>
    <w:rsid w:val="00F834C2"/>
    <w:rsid w:val="00F83557"/>
    <w:rsid w:val="00F83652"/>
    <w:rsid w:val="00F836D3"/>
    <w:rsid w:val="00F836EA"/>
    <w:rsid w:val="00F83753"/>
    <w:rsid w:val="00F8379F"/>
    <w:rsid w:val="00F837F2"/>
    <w:rsid w:val="00F83A40"/>
    <w:rsid w:val="00F83C49"/>
    <w:rsid w:val="00F83DF6"/>
    <w:rsid w:val="00F83E3A"/>
    <w:rsid w:val="00F83E4E"/>
    <w:rsid w:val="00F83FD9"/>
    <w:rsid w:val="00F8416B"/>
    <w:rsid w:val="00F841FA"/>
    <w:rsid w:val="00F84275"/>
    <w:rsid w:val="00F842EE"/>
    <w:rsid w:val="00F844AE"/>
    <w:rsid w:val="00F844F0"/>
    <w:rsid w:val="00F844F9"/>
    <w:rsid w:val="00F84512"/>
    <w:rsid w:val="00F8457B"/>
    <w:rsid w:val="00F8457C"/>
    <w:rsid w:val="00F845FD"/>
    <w:rsid w:val="00F846A0"/>
    <w:rsid w:val="00F846D5"/>
    <w:rsid w:val="00F8483E"/>
    <w:rsid w:val="00F848C5"/>
    <w:rsid w:val="00F84908"/>
    <w:rsid w:val="00F84CAD"/>
    <w:rsid w:val="00F84CD4"/>
    <w:rsid w:val="00F84E23"/>
    <w:rsid w:val="00F84FEE"/>
    <w:rsid w:val="00F852AB"/>
    <w:rsid w:val="00F852F9"/>
    <w:rsid w:val="00F85367"/>
    <w:rsid w:val="00F8538B"/>
    <w:rsid w:val="00F853DA"/>
    <w:rsid w:val="00F854EE"/>
    <w:rsid w:val="00F8558C"/>
    <w:rsid w:val="00F856AC"/>
    <w:rsid w:val="00F856B2"/>
    <w:rsid w:val="00F85761"/>
    <w:rsid w:val="00F8577B"/>
    <w:rsid w:val="00F858C0"/>
    <w:rsid w:val="00F85A3E"/>
    <w:rsid w:val="00F85A85"/>
    <w:rsid w:val="00F85B02"/>
    <w:rsid w:val="00F85B27"/>
    <w:rsid w:val="00F85D5D"/>
    <w:rsid w:val="00F85DBD"/>
    <w:rsid w:val="00F85E9C"/>
    <w:rsid w:val="00F85E9F"/>
    <w:rsid w:val="00F86073"/>
    <w:rsid w:val="00F86118"/>
    <w:rsid w:val="00F862C1"/>
    <w:rsid w:val="00F86378"/>
    <w:rsid w:val="00F8637E"/>
    <w:rsid w:val="00F863E4"/>
    <w:rsid w:val="00F86412"/>
    <w:rsid w:val="00F864B7"/>
    <w:rsid w:val="00F864E9"/>
    <w:rsid w:val="00F864EA"/>
    <w:rsid w:val="00F86608"/>
    <w:rsid w:val="00F86679"/>
    <w:rsid w:val="00F866D9"/>
    <w:rsid w:val="00F868A2"/>
    <w:rsid w:val="00F86B01"/>
    <w:rsid w:val="00F86B34"/>
    <w:rsid w:val="00F86C72"/>
    <w:rsid w:val="00F86C8E"/>
    <w:rsid w:val="00F86D0B"/>
    <w:rsid w:val="00F86DC0"/>
    <w:rsid w:val="00F87044"/>
    <w:rsid w:val="00F8710B"/>
    <w:rsid w:val="00F871B3"/>
    <w:rsid w:val="00F8720D"/>
    <w:rsid w:val="00F87473"/>
    <w:rsid w:val="00F874B0"/>
    <w:rsid w:val="00F8758C"/>
    <w:rsid w:val="00F8764D"/>
    <w:rsid w:val="00F87733"/>
    <w:rsid w:val="00F87785"/>
    <w:rsid w:val="00F8787E"/>
    <w:rsid w:val="00F8788E"/>
    <w:rsid w:val="00F87C49"/>
    <w:rsid w:val="00F87CD8"/>
    <w:rsid w:val="00F87D68"/>
    <w:rsid w:val="00F9001A"/>
    <w:rsid w:val="00F90171"/>
    <w:rsid w:val="00F9017C"/>
    <w:rsid w:val="00F9032D"/>
    <w:rsid w:val="00F90338"/>
    <w:rsid w:val="00F9034F"/>
    <w:rsid w:val="00F90767"/>
    <w:rsid w:val="00F907C4"/>
    <w:rsid w:val="00F909B8"/>
    <w:rsid w:val="00F90A06"/>
    <w:rsid w:val="00F911B2"/>
    <w:rsid w:val="00F91242"/>
    <w:rsid w:val="00F91281"/>
    <w:rsid w:val="00F9129D"/>
    <w:rsid w:val="00F91353"/>
    <w:rsid w:val="00F914FE"/>
    <w:rsid w:val="00F91513"/>
    <w:rsid w:val="00F91869"/>
    <w:rsid w:val="00F919A5"/>
    <w:rsid w:val="00F91B20"/>
    <w:rsid w:val="00F91BD5"/>
    <w:rsid w:val="00F91BE8"/>
    <w:rsid w:val="00F91E82"/>
    <w:rsid w:val="00F91EC1"/>
    <w:rsid w:val="00F91F9A"/>
    <w:rsid w:val="00F91FB8"/>
    <w:rsid w:val="00F92031"/>
    <w:rsid w:val="00F92048"/>
    <w:rsid w:val="00F923B0"/>
    <w:rsid w:val="00F925F2"/>
    <w:rsid w:val="00F9268D"/>
    <w:rsid w:val="00F92845"/>
    <w:rsid w:val="00F92950"/>
    <w:rsid w:val="00F92991"/>
    <w:rsid w:val="00F929F9"/>
    <w:rsid w:val="00F92C09"/>
    <w:rsid w:val="00F92C13"/>
    <w:rsid w:val="00F92CC6"/>
    <w:rsid w:val="00F92F38"/>
    <w:rsid w:val="00F930DD"/>
    <w:rsid w:val="00F931E9"/>
    <w:rsid w:val="00F932B3"/>
    <w:rsid w:val="00F933B5"/>
    <w:rsid w:val="00F933DA"/>
    <w:rsid w:val="00F93436"/>
    <w:rsid w:val="00F93495"/>
    <w:rsid w:val="00F9350B"/>
    <w:rsid w:val="00F935AA"/>
    <w:rsid w:val="00F935AB"/>
    <w:rsid w:val="00F935B0"/>
    <w:rsid w:val="00F93629"/>
    <w:rsid w:val="00F93667"/>
    <w:rsid w:val="00F93697"/>
    <w:rsid w:val="00F936A9"/>
    <w:rsid w:val="00F936E9"/>
    <w:rsid w:val="00F93733"/>
    <w:rsid w:val="00F9376A"/>
    <w:rsid w:val="00F938B3"/>
    <w:rsid w:val="00F9397E"/>
    <w:rsid w:val="00F93AB1"/>
    <w:rsid w:val="00F93AF0"/>
    <w:rsid w:val="00F93C18"/>
    <w:rsid w:val="00F94133"/>
    <w:rsid w:val="00F94147"/>
    <w:rsid w:val="00F94248"/>
    <w:rsid w:val="00F942CA"/>
    <w:rsid w:val="00F942CB"/>
    <w:rsid w:val="00F94344"/>
    <w:rsid w:val="00F943D7"/>
    <w:rsid w:val="00F94401"/>
    <w:rsid w:val="00F9456D"/>
    <w:rsid w:val="00F94585"/>
    <w:rsid w:val="00F94780"/>
    <w:rsid w:val="00F9478A"/>
    <w:rsid w:val="00F947D8"/>
    <w:rsid w:val="00F94851"/>
    <w:rsid w:val="00F94862"/>
    <w:rsid w:val="00F94863"/>
    <w:rsid w:val="00F94928"/>
    <w:rsid w:val="00F94A1F"/>
    <w:rsid w:val="00F94A5E"/>
    <w:rsid w:val="00F94B7B"/>
    <w:rsid w:val="00F94B84"/>
    <w:rsid w:val="00F94DF2"/>
    <w:rsid w:val="00F94F0A"/>
    <w:rsid w:val="00F9500D"/>
    <w:rsid w:val="00F95132"/>
    <w:rsid w:val="00F95205"/>
    <w:rsid w:val="00F952E6"/>
    <w:rsid w:val="00F95315"/>
    <w:rsid w:val="00F9531F"/>
    <w:rsid w:val="00F95386"/>
    <w:rsid w:val="00F955B7"/>
    <w:rsid w:val="00F955DC"/>
    <w:rsid w:val="00F95623"/>
    <w:rsid w:val="00F95755"/>
    <w:rsid w:val="00F95819"/>
    <w:rsid w:val="00F9587F"/>
    <w:rsid w:val="00F95928"/>
    <w:rsid w:val="00F95978"/>
    <w:rsid w:val="00F959D8"/>
    <w:rsid w:val="00F95A27"/>
    <w:rsid w:val="00F95D45"/>
    <w:rsid w:val="00F95DF3"/>
    <w:rsid w:val="00F95F51"/>
    <w:rsid w:val="00F9609B"/>
    <w:rsid w:val="00F96128"/>
    <w:rsid w:val="00F961D7"/>
    <w:rsid w:val="00F96250"/>
    <w:rsid w:val="00F962F4"/>
    <w:rsid w:val="00F96422"/>
    <w:rsid w:val="00F96478"/>
    <w:rsid w:val="00F96583"/>
    <w:rsid w:val="00F96635"/>
    <w:rsid w:val="00F9672E"/>
    <w:rsid w:val="00F9684A"/>
    <w:rsid w:val="00F9688F"/>
    <w:rsid w:val="00F96BA2"/>
    <w:rsid w:val="00F96C62"/>
    <w:rsid w:val="00F96D7C"/>
    <w:rsid w:val="00F96DD7"/>
    <w:rsid w:val="00F96EC4"/>
    <w:rsid w:val="00F96ED2"/>
    <w:rsid w:val="00F97286"/>
    <w:rsid w:val="00F972C0"/>
    <w:rsid w:val="00F9734B"/>
    <w:rsid w:val="00F974A1"/>
    <w:rsid w:val="00F97544"/>
    <w:rsid w:val="00F97646"/>
    <w:rsid w:val="00F97648"/>
    <w:rsid w:val="00F97698"/>
    <w:rsid w:val="00F976F6"/>
    <w:rsid w:val="00F977CB"/>
    <w:rsid w:val="00F9790B"/>
    <w:rsid w:val="00F9791F"/>
    <w:rsid w:val="00F97A31"/>
    <w:rsid w:val="00F97BA9"/>
    <w:rsid w:val="00F97D04"/>
    <w:rsid w:val="00F97D19"/>
    <w:rsid w:val="00F97F3D"/>
    <w:rsid w:val="00FA018B"/>
    <w:rsid w:val="00FA02AD"/>
    <w:rsid w:val="00FA049F"/>
    <w:rsid w:val="00FA05BA"/>
    <w:rsid w:val="00FA0614"/>
    <w:rsid w:val="00FA0646"/>
    <w:rsid w:val="00FA0825"/>
    <w:rsid w:val="00FA083D"/>
    <w:rsid w:val="00FA0870"/>
    <w:rsid w:val="00FA08AD"/>
    <w:rsid w:val="00FA0A32"/>
    <w:rsid w:val="00FA0BA6"/>
    <w:rsid w:val="00FA0BEA"/>
    <w:rsid w:val="00FA0C8A"/>
    <w:rsid w:val="00FA0DA0"/>
    <w:rsid w:val="00FA104B"/>
    <w:rsid w:val="00FA104E"/>
    <w:rsid w:val="00FA10B2"/>
    <w:rsid w:val="00FA10E4"/>
    <w:rsid w:val="00FA11F9"/>
    <w:rsid w:val="00FA1275"/>
    <w:rsid w:val="00FA13B4"/>
    <w:rsid w:val="00FA140B"/>
    <w:rsid w:val="00FA148C"/>
    <w:rsid w:val="00FA1548"/>
    <w:rsid w:val="00FA1573"/>
    <w:rsid w:val="00FA1587"/>
    <w:rsid w:val="00FA165D"/>
    <w:rsid w:val="00FA17A9"/>
    <w:rsid w:val="00FA17C5"/>
    <w:rsid w:val="00FA19FC"/>
    <w:rsid w:val="00FA1B82"/>
    <w:rsid w:val="00FA1D16"/>
    <w:rsid w:val="00FA1D67"/>
    <w:rsid w:val="00FA1F2E"/>
    <w:rsid w:val="00FA1F82"/>
    <w:rsid w:val="00FA20E4"/>
    <w:rsid w:val="00FA21EA"/>
    <w:rsid w:val="00FA22CA"/>
    <w:rsid w:val="00FA22E2"/>
    <w:rsid w:val="00FA23EB"/>
    <w:rsid w:val="00FA240C"/>
    <w:rsid w:val="00FA2436"/>
    <w:rsid w:val="00FA248B"/>
    <w:rsid w:val="00FA2599"/>
    <w:rsid w:val="00FA25F8"/>
    <w:rsid w:val="00FA26B3"/>
    <w:rsid w:val="00FA27D3"/>
    <w:rsid w:val="00FA29D6"/>
    <w:rsid w:val="00FA2A68"/>
    <w:rsid w:val="00FA2ACC"/>
    <w:rsid w:val="00FA2BCC"/>
    <w:rsid w:val="00FA2EDA"/>
    <w:rsid w:val="00FA2F27"/>
    <w:rsid w:val="00FA2F51"/>
    <w:rsid w:val="00FA2F82"/>
    <w:rsid w:val="00FA2FE5"/>
    <w:rsid w:val="00FA3008"/>
    <w:rsid w:val="00FA304B"/>
    <w:rsid w:val="00FA30AE"/>
    <w:rsid w:val="00FA3146"/>
    <w:rsid w:val="00FA31F6"/>
    <w:rsid w:val="00FA32F9"/>
    <w:rsid w:val="00FA339C"/>
    <w:rsid w:val="00FA3533"/>
    <w:rsid w:val="00FA3650"/>
    <w:rsid w:val="00FA3711"/>
    <w:rsid w:val="00FA373A"/>
    <w:rsid w:val="00FA37C3"/>
    <w:rsid w:val="00FA3834"/>
    <w:rsid w:val="00FA3912"/>
    <w:rsid w:val="00FA3934"/>
    <w:rsid w:val="00FA3A0C"/>
    <w:rsid w:val="00FA3ADE"/>
    <w:rsid w:val="00FA3BC3"/>
    <w:rsid w:val="00FA3BD6"/>
    <w:rsid w:val="00FA3BFB"/>
    <w:rsid w:val="00FA3CE5"/>
    <w:rsid w:val="00FA3CFC"/>
    <w:rsid w:val="00FA3D00"/>
    <w:rsid w:val="00FA3D21"/>
    <w:rsid w:val="00FA3FD1"/>
    <w:rsid w:val="00FA3FF2"/>
    <w:rsid w:val="00FA40B4"/>
    <w:rsid w:val="00FA4150"/>
    <w:rsid w:val="00FA43AD"/>
    <w:rsid w:val="00FA4403"/>
    <w:rsid w:val="00FA441E"/>
    <w:rsid w:val="00FA4512"/>
    <w:rsid w:val="00FA4696"/>
    <w:rsid w:val="00FA48F0"/>
    <w:rsid w:val="00FA4938"/>
    <w:rsid w:val="00FA49A9"/>
    <w:rsid w:val="00FA49DE"/>
    <w:rsid w:val="00FA4A16"/>
    <w:rsid w:val="00FA4B5F"/>
    <w:rsid w:val="00FA4B83"/>
    <w:rsid w:val="00FA4EB0"/>
    <w:rsid w:val="00FA4FA8"/>
    <w:rsid w:val="00FA4FE2"/>
    <w:rsid w:val="00FA50E8"/>
    <w:rsid w:val="00FA5297"/>
    <w:rsid w:val="00FA53F8"/>
    <w:rsid w:val="00FA54B6"/>
    <w:rsid w:val="00FA54CE"/>
    <w:rsid w:val="00FA552F"/>
    <w:rsid w:val="00FA55E5"/>
    <w:rsid w:val="00FA5766"/>
    <w:rsid w:val="00FA57B6"/>
    <w:rsid w:val="00FA5814"/>
    <w:rsid w:val="00FA58C3"/>
    <w:rsid w:val="00FA58F6"/>
    <w:rsid w:val="00FA5B82"/>
    <w:rsid w:val="00FA5E68"/>
    <w:rsid w:val="00FA5EC7"/>
    <w:rsid w:val="00FA5F9C"/>
    <w:rsid w:val="00FA5FE4"/>
    <w:rsid w:val="00FA60A6"/>
    <w:rsid w:val="00FA60F2"/>
    <w:rsid w:val="00FA614C"/>
    <w:rsid w:val="00FA61A9"/>
    <w:rsid w:val="00FA61F1"/>
    <w:rsid w:val="00FA627B"/>
    <w:rsid w:val="00FA62A8"/>
    <w:rsid w:val="00FA635C"/>
    <w:rsid w:val="00FA6456"/>
    <w:rsid w:val="00FA680A"/>
    <w:rsid w:val="00FA681E"/>
    <w:rsid w:val="00FA6898"/>
    <w:rsid w:val="00FA6930"/>
    <w:rsid w:val="00FA6986"/>
    <w:rsid w:val="00FA69C9"/>
    <w:rsid w:val="00FA6CCD"/>
    <w:rsid w:val="00FA6CFF"/>
    <w:rsid w:val="00FA6DA7"/>
    <w:rsid w:val="00FA6DF4"/>
    <w:rsid w:val="00FA6E00"/>
    <w:rsid w:val="00FA6EAE"/>
    <w:rsid w:val="00FA6EE9"/>
    <w:rsid w:val="00FA7042"/>
    <w:rsid w:val="00FA708F"/>
    <w:rsid w:val="00FA709A"/>
    <w:rsid w:val="00FA70E6"/>
    <w:rsid w:val="00FA720E"/>
    <w:rsid w:val="00FA7299"/>
    <w:rsid w:val="00FA730A"/>
    <w:rsid w:val="00FA7320"/>
    <w:rsid w:val="00FA7338"/>
    <w:rsid w:val="00FA7394"/>
    <w:rsid w:val="00FA7461"/>
    <w:rsid w:val="00FA74CB"/>
    <w:rsid w:val="00FA7585"/>
    <w:rsid w:val="00FA764A"/>
    <w:rsid w:val="00FA786A"/>
    <w:rsid w:val="00FA786B"/>
    <w:rsid w:val="00FA7A1E"/>
    <w:rsid w:val="00FA7A69"/>
    <w:rsid w:val="00FA7AE0"/>
    <w:rsid w:val="00FA7BFF"/>
    <w:rsid w:val="00FA7D2B"/>
    <w:rsid w:val="00FA7D7D"/>
    <w:rsid w:val="00FB01B2"/>
    <w:rsid w:val="00FB061E"/>
    <w:rsid w:val="00FB06DA"/>
    <w:rsid w:val="00FB0739"/>
    <w:rsid w:val="00FB078C"/>
    <w:rsid w:val="00FB08F7"/>
    <w:rsid w:val="00FB0984"/>
    <w:rsid w:val="00FB09A4"/>
    <w:rsid w:val="00FB0A77"/>
    <w:rsid w:val="00FB0DBD"/>
    <w:rsid w:val="00FB0E89"/>
    <w:rsid w:val="00FB0F7C"/>
    <w:rsid w:val="00FB12C3"/>
    <w:rsid w:val="00FB143E"/>
    <w:rsid w:val="00FB148C"/>
    <w:rsid w:val="00FB15EF"/>
    <w:rsid w:val="00FB16E4"/>
    <w:rsid w:val="00FB1994"/>
    <w:rsid w:val="00FB19CB"/>
    <w:rsid w:val="00FB1AEE"/>
    <w:rsid w:val="00FB1B70"/>
    <w:rsid w:val="00FB1B76"/>
    <w:rsid w:val="00FB1D22"/>
    <w:rsid w:val="00FB1D78"/>
    <w:rsid w:val="00FB22E8"/>
    <w:rsid w:val="00FB231B"/>
    <w:rsid w:val="00FB2504"/>
    <w:rsid w:val="00FB254E"/>
    <w:rsid w:val="00FB25D5"/>
    <w:rsid w:val="00FB2B7D"/>
    <w:rsid w:val="00FB2CCC"/>
    <w:rsid w:val="00FB2CFD"/>
    <w:rsid w:val="00FB2D1B"/>
    <w:rsid w:val="00FB2D81"/>
    <w:rsid w:val="00FB2D83"/>
    <w:rsid w:val="00FB2F59"/>
    <w:rsid w:val="00FB2FDC"/>
    <w:rsid w:val="00FB30DB"/>
    <w:rsid w:val="00FB31A0"/>
    <w:rsid w:val="00FB32F5"/>
    <w:rsid w:val="00FB337D"/>
    <w:rsid w:val="00FB3408"/>
    <w:rsid w:val="00FB349B"/>
    <w:rsid w:val="00FB34C7"/>
    <w:rsid w:val="00FB34E8"/>
    <w:rsid w:val="00FB3542"/>
    <w:rsid w:val="00FB35E0"/>
    <w:rsid w:val="00FB3640"/>
    <w:rsid w:val="00FB367E"/>
    <w:rsid w:val="00FB36C7"/>
    <w:rsid w:val="00FB36CF"/>
    <w:rsid w:val="00FB3953"/>
    <w:rsid w:val="00FB3A24"/>
    <w:rsid w:val="00FB3AA5"/>
    <w:rsid w:val="00FB3CE9"/>
    <w:rsid w:val="00FB4015"/>
    <w:rsid w:val="00FB408A"/>
    <w:rsid w:val="00FB40D5"/>
    <w:rsid w:val="00FB4222"/>
    <w:rsid w:val="00FB4247"/>
    <w:rsid w:val="00FB4264"/>
    <w:rsid w:val="00FB431C"/>
    <w:rsid w:val="00FB4498"/>
    <w:rsid w:val="00FB4521"/>
    <w:rsid w:val="00FB4765"/>
    <w:rsid w:val="00FB480D"/>
    <w:rsid w:val="00FB4837"/>
    <w:rsid w:val="00FB49A3"/>
    <w:rsid w:val="00FB4A4F"/>
    <w:rsid w:val="00FB4A5B"/>
    <w:rsid w:val="00FB504F"/>
    <w:rsid w:val="00FB50EF"/>
    <w:rsid w:val="00FB5200"/>
    <w:rsid w:val="00FB53A4"/>
    <w:rsid w:val="00FB5418"/>
    <w:rsid w:val="00FB5500"/>
    <w:rsid w:val="00FB5568"/>
    <w:rsid w:val="00FB5654"/>
    <w:rsid w:val="00FB5674"/>
    <w:rsid w:val="00FB5823"/>
    <w:rsid w:val="00FB583F"/>
    <w:rsid w:val="00FB58C5"/>
    <w:rsid w:val="00FB5A48"/>
    <w:rsid w:val="00FB5A5E"/>
    <w:rsid w:val="00FB5A9D"/>
    <w:rsid w:val="00FB5AE8"/>
    <w:rsid w:val="00FB5B01"/>
    <w:rsid w:val="00FB5CE6"/>
    <w:rsid w:val="00FB5D0D"/>
    <w:rsid w:val="00FB5E95"/>
    <w:rsid w:val="00FB5FA1"/>
    <w:rsid w:val="00FB5FF7"/>
    <w:rsid w:val="00FB6180"/>
    <w:rsid w:val="00FB620D"/>
    <w:rsid w:val="00FB62AE"/>
    <w:rsid w:val="00FB62EE"/>
    <w:rsid w:val="00FB62F9"/>
    <w:rsid w:val="00FB6336"/>
    <w:rsid w:val="00FB638F"/>
    <w:rsid w:val="00FB6570"/>
    <w:rsid w:val="00FB663E"/>
    <w:rsid w:val="00FB6677"/>
    <w:rsid w:val="00FB684E"/>
    <w:rsid w:val="00FB68B7"/>
    <w:rsid w:val="00FB68F7"/>
    <w:rsid w:val="00FB6906"/>
    <w:rsid w:val="00FB6B51"/>
    <w:rsid w:val="00FB6BB9"/>
    <w:rsid w:val="00FB6BC5"/>
    <w:rsid w:val="00FB6C9C"/>
    <w:rsid w:val="00FB6D32"/>
    <w:rsid w:val="00FB6D92"/>
    <w:rsid w:val="00FB6EF3"/>
    <w:rsid w:val="00FB6F67"/>
    <w:rsid w:val="00FB7095"/>
    <w:rsid w:val="00FB70C6"/>
    <w:rsid w:val="00FB70F5"/>
    <w:rsid w:val="00FB7129"/>
    <w:rsid w:val="00FB7137"/>
    <w:rsid w:val="00FB71E7"/>
    <w:rsid w:val="00FB727E"/>
    <w:rsid w:val="00FB72CB"/>
    <w:rsid w:val="00FB73EE"/>
    <w:rsid w:val="00FB75A6"/>
    <w:rsid w:val="00FB75F9"/>
    <w:rsid w:val="00FB7705"/>
    <w:rsid w:val="00FB7A54"/>
    <w:rsid w:val="00FB7A62"/>
    <w:rsid w:val="00FB7A76"/>
    <w:rsid w:val="00FB7B0B"/>
    <w:rsid w:val="00FB7B38"/>
    <w:rsid w:val="00FB7BD4"/>
    <w:rsid w:val="00FB7C70"/>
    <w:rsid w:val="00FB7D6B"/>
    <w:rsid w:val="00FB7DA2"/>
    <w:rsid w:val="00FB7F0D"/>
    <w:rsid w:val="00FB7FF5"/>
    <w:rsid w:val="00FC00A9"/>
    <w:rsid w:val="00FC00DD"/>
    <w:rsid w:val="00FC0177"/>
    <w:rsid w:val="00FC01ED"/>
    <w:rsid w:val="00FC022F"/>
    <w:rsid w:val="00FC03C9"/>
    <w:rsid w:val="00FC03E4"/>
    <w:rsid w:val="00FC05A1"/>
    <w:rsid w:val="00FC061A"/>
    <w:rsid w:val="00FC07BA"/>
    <w:rsid w:val="00FC0910"/>
    <w:rsid w:val="00FC09FC"/>
    <w:rsid w:val="00FC0A30"/>
    <w:rsid w:val="00FC0A37"/>
    <w:rsid w:val="00FC0AD7"/>
    <w:rsid w:val="00FC0C72"/>
    <w:rsid w:val="00FC0E7C"/>
    <w:rsid w:val="00FC0EF8"/>
    <w:rsid w:val="00FC0F0F"/>
    <w:rsid w:val="00FC100F"/>
    <w:rsid w:val="00FC1030"/>
    <w:rsid w:val="00FC10DE"/>
    <w:rsid w:val="00FC10E0"/>
    <w:rsid w:val="00FC11BE"/>
    <w:rsid w:val="00FC12F7"/>
    <w:rsid w:val="00FC1322"/>
    <w:rsid w:val="00FC1589"/>
    <w:rsid w:val="00FC1CC4"/>
    <w:rsid w:val="00FC1F48"/>
    <w:rsid w:val="00FC213D"/>
    <w:rsid w:val="00FC2235"/>
    <w:rsid w:val="00FC231C"/>
    <w:rsid w:val="00FC232D"/>
    <w:rsid w:val="00FC2358"/>
    <w:rsid w:val="00FC238B"/>
    <w:rsid w:val="00FC238D"/>
    <w:rsid w:val="00FC24FB"/>
    <w:rsid w:val="00FC2515"/>
    <w:rsid w:val="00FC281D"/>
    <w:rsid w:val="00FC2AD5"/>
    <w:rsid w:val="00FC2BC1"/>
    <w:rsid w:val="00FC2BE8"/>
    <w:rsid w:val="00FC2BF2"/>
    <w:rsid w:val="00FC2D5F"/>
    <w:rsid w:val="00FC2FAD"/>
    <w:rsid w:val="00FC3080"/>
    <w:rsid w:val="00FC30DB"/>
    <w:rsid w:val="00FC3162"/>
    <w:rsid w:val="00FC3429"/>
    <w:rsid w:val="00FC3535"/>
    <w:rsid w:val="00FC3668"/>
    <w:rsid w:val="00FC3795"/>
    <w:rsid w:val="00FC38B6"/>
    <w:rsid w:val="00FC3C3F"/>
    <w:rsid w:val="00FC3CEC"/>
    <w:rsid w:val="00FC3EAD"/>
    <w:rsid w:val="00FC3EAE"/>
    <w:rsid w:val="00FC3F75"/>
    <w:rsid w:val="00FC4015"/>
    <w:rsid w:val="00FC4063"/>
    <w:rsid w:val="00FC4074"/>
    <w:rsid w:val="00FC419F"/>
    <w:rsid w:val="00FC43E1"/>
    <w:rsid w:val="00FC4402"/>
    <w:rsid w:val="00FC44DC"/>
    <w:rsid w:val="00FC461D"/>
    <w:rsid w:val="00FC4628"/>
    <w:rsid w:val="00FC46F1"/>
    <w:rsid w:val="00FC477D"/>
    <w:rsid w:val="00FC47A9"/>
    <w:rsid w:val="00FC492C"/>
    <w:rsid w:val="00FC4B95"/>
    <w:rsid w:val="00FC4C37"/>
    <w:rsid w:val="00FC4C9D"/>
    <w:rsid w:val="00FC4DA1"/>
    <w:rsid w:val="00FC4F1C"/>
    <w:rsid w:val="00FC5019"/>
    <w:rsid w:val="00FC5100"/>
    <w:rsid w:val="00FC52FD"/>
    <w:rsid w:val="00FC5307"/>
    <w:rsid w:val="00FC53CC"/>
    <w:rsid w:val="00FC540A"/>
    <w:rsid w:val="00FC5579"/>
    <w:rsid w:val="00FC5603"/>
    <w:rsid w:val="00FC57F4"/>
    <w:rsid w:val="00FC5A90"/>
    <w:rsid w:val="00FC5B4A"/>
    <w:rsid w:val="00FC5B82"/>
    <w:rsid w:val="00FC5C81"/>
    <w:rsid w:val="00FC5C8E"/>
    <w:rsid w:val="00FC5F7E"/>
    <w:rsid w:val="00FC5F85"/>
    <w:rsid w:val="00FC5FCD"/>
    <w:rsid w:val="00FC5FF1"/>
    <w:rsid w:val="00FC616E"/>
    <w:rsid w:val="00FC622B"/>
    <w:rsid w:val="00FC636C"/>
    <w:rsid w:val="00FC6437"/>
    <w:rsid w:val="00FC6486"/>
    <w:rsid w:val="00FC6675"/>
    <w:rsid w:val="00FC694E"/>
    <w:rsid w:val="00FC6AD5"/>
    <w:rsid w:val="00FC6B34"/>
    <w:rsid w:val="00FC6D6C"/>
    <w:rsid w:val="00FC6D81"/>
    <w:rsid w:val="00FC6FE2"/>
    <w:rsid w:val="00FC70E9"/>
    <w:rsid w:val="00FC71AB"/>
    <w:rsid w:val="00FC7242"/>
    <w:rsid w:val="00FC75B9"/>
    <w:rsid w:val="00FC76F2"/>
    <w:rsid w:val="00FC7994"/>
    <w:rsid w:val="00FC79F5"/>
    <w:rsid w:val="00FC7A12"/>
    <w:rsid w:val="00FC7AFF"/>
    <w:rsid w:val="00FC7BD9"/>
    <w:rsid w:val="00FC7C1B"/>
    <w:rsid w:val="00FC7C2D"/>
    <w:rsid w:val="00FC7CB5"/>
    <w:rsid w:val="00FC7D7B"/>
    <w:rsid w:val="00FC7E50"/>
    <w:rsid w:val="00FC7E9D"/>
    <w:rsid w:val="00FC7EF1"/>
    <w:rsid w:val="00FC7FE0"/>
    <w:rsid w:val="00FD0161"/>
    <w:rsid w:val="00FD01B2"/>
    <w:rsid w:val="00FD05BB"/>
    <w:rsid w:val="00FD0616"/>
    <w:rsid w:val="00FD06C3"/>
    <w:rsid w:val="00FD08E0"/>
    <w:rsid w:val="00FD09C6"/>
    <w:rsid w:val="00FD0A80"/>
    <w:rsid w:val="00FD0AE2"/>
    <w:rsid w:val="00FD0B28"/>
    <w:rsid w:val="00FD0B98"/>
    <w:rsid w:val="00FD10AA"/>
    <w:rsid w:val="00FD10AE"/>
    <w:rsid w:val="00FD1234"/>
    <w:rsid w:val="00FD133B"/>
    <w:rsid w:val="00FD144C"/>
    <w:rsid w:val="00FD1511"/>
    <w:rsid w:val="00FD15B3"/>
    <w:rsid w:val="00FD1605"/>
    <w:rsid w:val="00FD16B3"/>
    <w:rsid w:val="00FD179D"/>
    <w:rsid w:val="00FD17B4"/>
    <w:rsid w:val="00FD17BA"/>
    <w:rsid w:val="00FD1842"/>
    <w:rsid w:val="00FD1A66"/>
    <w:rsid w:val="00FD1A83"/>
    <w:rsid w:val="00FD1AB6"/>
    <w:rsid w:val="00FD1AC8"/>
    <w:rsid w:val="00FD1B3C"/>
    <w:rsid w:val="00FD1B70"/>
    <w:rsid w:val="00FD1BF4"/>
    <w:rsid w:val="00FD1DB5"/>
    <w:rsid w:val="00FD1E2C"/>
    <w:rsid w:val="00FD1F17"/>
    <w:rsid w:val="00FD1FD4"/>
    <w:rsid w:val="00FD20F3"/>
    <w:rsid w:val="00FD21FF"/>
    <w:rsid w:val="00FD224D"/>
    <w:rsid w:val="00FD236D"/>
    <w:rsid w:val="00FD2549"/>
    <w:rsid w:val="00FD26DF"/>
    <w:rsid w:val="00FD279B"/>
    <w:rsid w:val="00FD27E0"/>
    <w:rsid w:val="00FD2821"/>
    <w:rsid w:val="00FD284F"/>
    <w:rsid w:val="00FD28E4"/>
    <w:rsid w:val="00FD299B"/>
    <w:rsid w:val="00FD29B2"/>
    <w:rsid w:val="00FD2AAF"/>
    <w:rsid w:val="00FD2B30"/>
    <w:rsid w:val="00FD2B55"/>
    <w:rsid w:val="00FD2BE1"/>
    <w:rsid w:val="00FD2C9D"/>
    <w:rsid w:val="00FD2D05"/>
    <w:rsid w:val="00FD2E4C"/>
    <w:rsid w:val="00FD2EC8"/>
    <w:rsid w:val="00FD2F48"/>
    <w:rsid w:val="00FD2F5C"/>
    <w:rsid w:val="00FD2F74"/>
    <w:rsid w:val="00FD3038"/>
    <w:rsid w:val="00FD307E"/>
    <w:rsid w:val="00FD30DD"/>
    <w:rsid w:val="00FD337C"/>
    <w:rsid w:val="00FD337F"/>
    <w:rsid w:val="00FD342A"/>
    <w:rsid w:val="00FD3439"/>
    <w:rsid w:val="00FD3566"/>
    <w:rsid w:val="00FD3581"/>
    <w:rsid w:val="00FD3681"/>
    <w:rsid w:val="00FD372C"/>
    <w:rsid w:val="00FD3732"/>
    <w:rsid w:val="00FD3A46"/>
    <w:rsid w:val="00FD3AC3"/>
    <w:rsid w:val="00FD3B94"/>
    <w:rsid w:val="00FD3C06"/>
    <w:rsid w:val="00FD3D4E"/>
    <w:rsid w:val="00FD40B4"/>
    <w:rsid w:val="00FD40DD"/>
    <w:rsid w:val="00FD423B"/>
    <w:rsid w:val="00FD423E"/>
    <w:rsid w:val="00FD43B3"/>
    <w:rsid w:val="00FD43DD"/>
    <w:rsid w:val="00FD442A"/>
    <w:rsid w:val="00FD44B3"/>
    <w:rsid w:val="00FD4560"/>
    <w:rsid w:val="00FD45E5"/>
    <w:rsid w:val="00FD4839"/>
    <w:rsid w:val="00FD4990"/>
    <w:rsid w:val="00FD49B1"/>
    <w:rsid w:val="00FD49CC"/>
    <w:rsid w:val="00FD4A66"/>
    <w:rsid w:val="00FD4B74"/>
    <w:rsid w:val="00FD4B86"/>
    <w:rsid w:val="00FD4C5B"/>
    <w:rsid w:val="00FD4C6C"/>
    <w:rsid w:val="00FD4CBC"/>
    <w:rsid w:val="00FD4D36"/>
    <w:rsid w:val="00FD4DA7"/>
    <w:rsid w:val="00FD4DAD"/>
    <w:rsid w:val="00FD4EA6"/>
    <w:rsid w:val="00FD4ECD"/>
    <w:rsid w:val="00FD5045"/>
    <w:rsid w:val="00FD50B7"/>
    <w:rsid w:val="00FD50FD"/>
    <w:rsid w:val="00FD5154"/>
    <w:rsid w:val="00FD515F"/>
    <w:rsid w:val="00FD51AE"/>
    <w:rsid w:val="00FD54B4"/>
    <w:rsid w:val="00FD54BE"/>
    <w:rsid w:val="00FD550F"/>
    <w:rsid w:val="00FD5678"/>
    <w:rsid w:val="00FD567A"/>
    <w:rsid w:val="00FD5811"/>
    <w:rsid w:val="00FD585C"/>
    <w:rsid w:val="00FD5981"/>
    <w:rsid w:val="00FD5B78"/>
    <w:rsid w:val="00FD5BBD"/>
    <w:rsid w:val="00FD5C57"/>
    <w:rsid w:val="00FD5CE2"/>
    <w:rsid w:val="00FD5D64"/>
    <w:rsid w:val="00FD5D80"/>
    <w:rsid w:val="00FD5DB7"/>
    <w:rsid w:val="00FD5DC9"/>
    <w:rsid w:val="00FD5E78"/>
    <w:rsid w:val="00FD5EF7"/>
    <w:rsid w:val="00FD5FA9"/>
    <w:rsid w:val="00FD606C"/>
    <w:rsid w:val="00FD6295"/>
    <w:rsid w:val="00FD62F6"/>
    <w:rsid w:val="00FD6467"/>
    <w:rsid w:val="00FD6745"/>
    <w:rsid w:val="00FD679D"/>
    <w:rsid w:val="00FD688C"/>
    <w:rsid w:val="00FD68CF"/>
    <w:rsid w:val="00FD6A83"/>
    <w:rsid w:val="00FD6A9E"/>
    <w:rsid w:val="00FD6AB8"/>
    <w:rsid w:val="00FD6AE3"/>
    <w:rsid w:val="00FD6AF7"/>
    <w:rsid w:val="00FD6B0E"/>
    <w:rsid w:val="00FD6BE2"/>
    <w:rsid w:val="00FD6C13"/>
    <w:rsid w:val="00FD6D04"/>
    <w:rsid w:val="00FD6E67"/>
    <w:rsid w:val="00FD6FD7"/>
    <w:rsid w:val="00FD70E5"/>
    <w:rsid w:val="00FD7156"/>
    <w:rsid w:val="00FD7184"/>
    <w:rsid w:val="00FD7444"/>
    <w:rsid w:val="00FD7553"/>
    <w:rsid w:val="00FD75A3"/>
    <w:rsid w:val="00FD774B"/>
    <w:rsid w:val="00FD782A"/>
    <w:rsid w:val="00FD78E1"/>
    <w:rsid w:val="00FD7A17"/>
    <w:rsid w:val="00FD7AB4"/>
    <w:rsid w:val="00FD7D7B"/>
    <w:rsid w:val="00FD7E01"/>
    <w:rsid w:val="00FD7EB1"/>
    <w:rsid w:val="00FD7EB3"/>
    <w:rsid w:val="00FD7EE2"/>
    <w:rsid w:val="00FE00C9"/>
    <w:rsid w:val="00FE00F5"/>
    <w:rsid w:val="00FE031E"/>
    <w:rsid w:val="00FE0652"/>
    <w:rsid w:val="00FE069F"/>
    <w:rsid w:val="00FE06A6"/>
    <w:rsid w:val="00FE09A7"/>
    <w:rsid w:val="00FE0A0C"/>
    <w:rsid w:val="00FE0A40"/>
    <w:rsid w:val="00FE0D04"/>
    <w:rsid w:val="00FE0E2A"/>
    <w:rsid w:val="00FE0F0E"/>
    <w:rsid w:val="00FE0F2C"/>
    <w:rsid w:val="00FE1118"/>
    <w:rsid w:val="00FE135A"/>
    <w:rsid w:val="00FE1452"/>
    <w:rsid w:val="00FE15C2"/>
    <w:rsid w:val="00FE1709"/>
    <w:rsid w:val="00FE1894"/>
    <w:rsid w:val="00FE18A0"/>
    <w:rsid w:val="00FE19D7"/>
    <w:rsid w:val="00FE1A38"/>
    <w:rsid w:val="00FE1A5A"/>
    <w:rsid w:val="00FE1ABE"/>
    <w:rsid w:val="00FE1BB6"/>
    <w:rsid w:val="00FE200F"/>
    <w:rsid w:val="00FE21E2"/>
    <w:rsid w:val="00FE2669"/>
    <w:rsid w:val="00FE2698"/>
    <w:rsid w:val="00FE26BC"/>
    <w:rsid w:val="00FE2708"/>
    <w:rsid w:val="00FE270E"/>
    <w:rsid w:val="00FE274D"/>
    <w:rsid w:val="00FE27C4"/>
    <w:rsid w:val="00FE2868"/>
    <w:rsid w:val="00FE28AD"/>
    <w:rsid w:val="00FE28EC"/>
    <w:rsid w:val="00FE2930"/>
    <w:rsid w:val="00FE2B42"/>
    <w:rsid w:val="00FE2C5F"/>
    <w:rsid w:val="00FE2CB9"/>
    <w:rsid w:val="00FE2FE7"/>
    <w:rsid w:val="00FE30E7"/>
    <w:rsid w:val="00FE31B8"/>
    <w:rsid w:val="00FE3203"/>
    <w:rsid w:val="00FE32B0"/>
    <w:rsid w:val="00FE32C6"/>
    <w:rsid w:val="00FE330C"/>
    <w:rsid w:val="00FE334B"/>
    <w:rsid w:val="00FE334F"/>
    <w:rsid w:val="00FE3719"/>
    <w:rsid w:val="00FE386B"/>
    <w:rsid w:val="00FE38A8"/>
    <w:rsid w:val="00FE3ACA"/>
    <w:rsid w:val="00FE3AD9"/>
    <w:rsid w:val="00FE3B35"/>
    <w:rsid w:val="00FE3B51"/>
    <w:rsid w:val="00FE3C23"/>
    <w:rsid w:val="00FE3CB4"/>
    <w:rsid w:val="00FE3DB5"/>
    <w:rsid w:val="00FE3E01"/>
    <w:rsid w:val="00FE3E57"/>
    <w:rsid w:val="00FE3EC1"/>
    <w:rsid w:val="00FE40E5"/>
    <w:rsid w:val="00FE413F"/>
    <w:rsid w:val="00FE41E0"/>
    <w:rsid w:val="00FE448C"/>
    <w:rsid w:val="00FE44A7"/>
    <w:rsid w:val="00FE45B4"/>
    <w:rsid w:val="00FE45BD"/>
    <w:rsid w:val="00FE4739"/>
    <w:rsid w:val="00FE47AE"/>
    <w:rsid w:val="00FE47CF"/>
    <w:rsid w:val="00FE47EB"/>
    <w:rsid w:val="00FE4850"/>
    <w:rsid w:val="00FE4A7F"/>
    <w:rsid w:val="00FE4B5E"/>
    <w:rsid w:val="00FE4DB2"/>
    <w:rsid w:val="00FE4DF0"/>
    <w:rsid w:val="00FE4F37"/>
    <w:rsid w:val="00FE4FD9"/>
    <w:rsid w:val="00FE5051"/>
    <w:rsid w:val="00FE505B"/>
    <w:rsid w:val="00FE507E"/>
    <w:rsid w:val="00FE52C0"/>
    <w:rsid w:val="00FE5455"/>
    <w:rsid w:val="00FE5502"/>
    <w:rsid w:val="00FE5542"/>
    <w:rsid w:val="00FE55D4"/>
    <w:rsid w:val="00FE56C8"/>
    <w:rsid w:val="00FE5720"/>
    <w:rsid w:val="00FE5839"/>
    <w:rsid w:val="00FE5906"/>
    <w:rsid w:val="00FE5A00"/>
    <w:rsid w:val="00FE5C53"/>
    <w:rsid w:val="00FE5D64"/>
    <w:rsid w:val="00FE5DA6"/>
    <w:rsid w:val="00FE5F51"/>
    <w:rsid w:val="00FE5FD6"/>
    <w:rsid w:val="00FE5FEA"/>
    <w:rsid w:val="00FE6240"/>
    <w:rsid w:val="00FE6537"/>
    <w:rsid w:val="00FE6692"/>
    <w:rsid w:val="00FE6703"/>
    <w:rsid w:val="00FE6763"/>
    <w:rsid w:val="00FE677B"/>
    <w:rsid w:val="00FE67C0"/>
    <w:rsid w:val="00FE67F0"/>
    <w:rsid w:val="00FE681D"/>
    <w:rsid w:val="00FE6A08"/>
    <w:rsid w:val="00FE6A36"/>
    <w:rsid w:val="00FE6B00"/>
    <w:rsid w:val="00FE6B0B"/>
    <w:rsid w:val="00FE6B49"/>
    <w:rsid w:val="00FE6BD3"/>
    <w:rsid w:val="00FE6CDE"/>
    <w:rsid w:val="00FE6D0E"/>
    <w:rsid w:val="00FE6E45"/>
    <w:rsid w:val="00FE6E8F"/>
    <w:rsid w:val="00FE6EB4"/>
    <w:rsid w:val="00FE6F4E"/>
    <w:rsid w:val="00FE6FFB"/>
    <w:rsid w:val="00FE70CD"/>
    <w:rsid w:val="00FE74DF"/>
    <w:rsid w:val="00FE757C"/>
    <w:rsid w:val="00FE7647"/>
    <w:rsid w:val="00FE7682"/>
    <w:rsid w:val="00FE7737"/>
    <w:rsid w:val="00FE782A"/>
    <w:rsid w:val="00FE783C"/>
    <w:rsid w:val="00FE78FE"/>
    <w:rsid w:val="00FE7957"/>
    <w:rsid w:val="00FE7AB4"/>
    <w:rsid w:val="00FE7B42"/>
    <w:rsid w:val="00FE7B50"/>
    <w:rsid w:val="00FE7C2D"/>
    <w:rsid w:val="00FE7D1B"/>
    <w:rsid w:val="00FE7DC8"/>
    <w:rsid w:val="00FE7E0B"/>
    <w:rsid w:val="00FF009B"/>
    <w:rsid w:val="00FF00AB"/>
    <w:rsid w:val="00FF0218"/>
    <w:rsid w:val="00FF02C8"/>
    <w:rsid w:val="00FF0320"/>
    <w:rsid w:val="00FF049E"/>
    <w:rsid w:val="00FF0534"/>
    <w:rsid w:val="00FF0648"/>
    <w:rsid w:val="00FF0698"/>
    <w:rsid w:val="00FF074A"/>
    <w:rsid w:val="00FF0777"/>
    <w:rsid w:val="00FF095A"/>
    <w:rsid w:val="00FF0A9C"/>
    <w:rsid w:val="00FF0DBD"/>
    <w:rsid w:val="00FF0E31"/>
    <w:rsid w:val="00FF0EBD"/>
    <w:rsid w:val="00FF0F60"/>
    <w:rsid w:val="00FF10A7"/>
    <w:rsid w:val="00FF1210"/>
    <w:rsid w:val="00FF134B"/>
    <w:rsid w:val="00FF15EA"/>
    <w:rsid w:val="00FF163F"/>
    <w:rsid w:val="00FF1738"/>
    <w:rsid w:val="00FF1843"/>
    <w:rsid w:val="00FF1944"/>
    <w:rsid w:val="00FF1950"/>
    <w:rsid w:val="00FF1A7C"/>
    <w:rsid w:val="00FF1ACD"/>
    <w:rsid w:val="00FF1BAA"/>
    <w:rsid w:val="00FF1CD3"/>
    <w:rsid w:val="00FF1D31"/>
    <w:rsid w:val="00FF2097"/>
    <w:rsid w:val="00FF2100"/>
    <w:rsid w:val="00FF2110"/>
    <w:rsid w:val="00FF21E9"/>
    <w:rsid w:val="00FF22E5"/>
    <w:rsid w:val="00FF23C3"/>
    <w:rsid w:val="00FF24FE"/>
    <w:rsid w:val="00FF250C"/>
    <w:rsid w:val="00FF251A"/>
    <w:rsid w:val="00FF25C9"/>
    <w:rsid w:val="00FF275E"/>
    <w:rsid w:val="00FF2760"/>
    <w:rsid w:val="00FF2A17"/>
    <w:rsid w:val="00FF2B05"/>
    <w:rsid w:val="00FF2C43"/>
    <w:rsid w:val="00FF2C48"/>
    <w:rsid w:val="00FF2D5F"/>
    <w:rsid w:val="00FF2DF9"/>
    <w:rsid w:val="00FF2E39"/>
    <w:rsid w:val="00FF2F81"/>
    <w:rsid w:val="00FF32F1"/>
    <w:rsid w:val="00FF348E"/>
    <w:rsid w:val="00FF352C"/>
    <w:rsid w:val="00FF3664"/>
    <w:rsid w:val="00FF3698"/>
    <w:rsid w:val="00FF36DB"/>
    <w:rsid w:val="00FF389D"/>
    <w:rsid w:val="00FF3A07"/>
    <w:rsid w:val="00FF3A30"/>
    <w:rsid w:val="00FF3A3C"/>
    <w:rsid w:val="00FF3C29"/>
    <w:rsid w:val="00FF3CA2"/>
    <w:rsid w:val="00FF3D57"/>
    <w:rsid w:val="00FF3DC6"/>
    <w:rsid w:val="00FF3E01"/>
    <w:rsid w:val="00FF3FEA"/>
    <w:rsid w:val="00FF40C1"/>
    <w:rsid w:val="00FF40E6"/>
    <w:rsid w:val="00FF4211"/>
    <w:rsid w:val="00FF424E"/>
    <w:rsid w:val="00FF4389"/>
    <w:rsid w:val="00FF4396"/>
    <w:rsid w:val="00FF442E"/>
    <w:rsid w:val="00FF44DD"/>
    <w:rsid w:val="00FF4659"/>
    <w:rsid w:val="00FF47A6"/>
    <w:rsid w:val="00FF47B6"/>
    <w:rsid w:val="00FF4823"/>
    <w:rsid w:val="00FF4926"/>
    <w:rsid w:val="00FF4AD2"/>
    <w:rsid w:val="00FF4B13"/>
    <w:rsid w:val="00FF4C3B"/>
    <w:rsid w:val="00FF4C45"/>
    <w:rsid w:val="00FF4C68"/>
    <w:rsid w:val="00FF4DF3"/>
    <w:rsid w:val="00FF4E8A"/>
    <w:rsid w:val="00FF4FAD"/>
    <w:rsid w:val="00FF4FF2"/>
    <w:rsid w:val="00FF5092"/>
    <w:rsid w:val="00FF50D7"/>
    <w:rsid w:val="00FF52D7"/>
    <w:rsid w:val="00FF53BD"/>
    <w:rsid w:val="00FF543C"/>
    <w:rsid w:val="00FF5465"/>
    <w:rsid w:val="00FF5471"/>
    <w:rsid w:val="00FF5483"/>
    <w:rsid w:val="00FF5496"/>
    <w:rsid w:val="00FF554A"/>
    <w:rsid w:val="00FF563E"/>
    <w:rsid w:val="00FF571C"/>
    <w:rsid w:val="00FF5739"/>
    <w:rsid w:val="00FF578D"/>
    <w:rsid w:val="00FF5A64"/>
    <w:rsid w:val="00FF5B0F"/>
    <w:rsid w:val="00FF5DAF"/>
    <w:rsid w:val="00FF5DDA"/>
    <w:rsid w:val="00FF5E60"/>
    <w:rsid w:val="00FF5EE5"/>
    <w:rsid w:val="00FF5EE9"/>
    <w:rsid w:val="00FF5F3A"/>
    <w:rsid w:val="00FF5FBA"/>
    <w:rsid w:val="00FF5FC3"/>
    <w:rsid w:val="00FF6169"/>
    <w:rsid w:val="00FF620F"/>
    <w:rsid w:val="00FF6397"/>
    <w:rsid w:val="00FF63A7"/>
    <w:rsid w:val="00FF644F"/>
    <w:rsid w:val="00FF65E2"/>
    <w:rsid w:val="00FF66C3"/>
    <w:rsid w:val="00FF674D"/>
    <w:rsid w:val="00FF6885"/>
    <w:rsid w:val="00FF6934"/>
    <w:rsid w:val="00FF69E5"/>
    <w:rsid w:val="00FF6A33"/>
    <w:rsid w:val="00FF6B1F"/>
    <w:rsid w:val="00FF6B64"/>
    <w:rsid w:val="00FF6FAE"/>
    <w:rsid w:val="00FF6FE9"/>
    <w:rsid w:val="00FF7084"/>
    <w:rsid w:val="00FF71A9"/>
    <w:rsid w:val="00FF71BD"/>
    <w:rsid w:val="00FF71D4"/>
    <w:rsid w:val="00FF7297"/>
    <w:rsid w:val="00FF7402"/>
    <w:rsid w:val="00FF74AD"/>
    <w:rsid w:val="00FF7506"/>
    <w:rsid w:val="00FF7633"/>
    <w:rsid w:val="00FF76CE"/>
    <w:rsid w:val="00FF7807"/>
    <w:rsid w:val="00FF788D"/>
    <w:rsid w:val="00FF78D3"/>
    <w:rsid w:val="00FF78FB"/>
    <w:rsid w:val="00FF79B1"/>
    <w:rsid w:val="00FF7A09"/>
    <w:rsid w:val="00FF7A5A"/>
    <w:rsid w:val="00FF7A9D"/>
    <w:rsid w:val="00FF7B0A"/>
    <w:rsid w:val="00FF7E12"/>
    <w:rsid w:val="00FF7E90"/>
    <w:rsid w:val="00FF7F09"/>
    <w:rsid w:val="01268C74"/>
    <w:rsid w:val="015ED97C"/>
    <w:rsid w:val="018B8B72"/>
    <w:rsid w:val="018BE2B8"/>
    <w:rsid w:val="019B0964"/>
    <w:rsid w:val="01A3CAB7"/>
    <w:rsid w:val="01C869A9"/>
    <w:rsid w:val="01E86EEF"/>
    <w:rsid w:val="01F6BE70"/>
    <w:rsid w:val="02466D17"/>
    <w:rsid w:val="02489646"/>
    <w:rsid w:val="02A5BC82"/>
    <w:rsid w:val="02AC1BB1"/>
    <w:rsid w:val="02E3FE87"/>
    <w:rsid w:val="02E973CC"/>
    <w:rsid w:val="02EC9CF6"/>
    <w:rsid w:val="02F0B79D"/>
    <w:rsid w:val="031A350F"/>
    <w:rsid w:val="03459B37"/>
    <w:rsid w:val="037F99FD"/>
    <w:rsid w:val="03837B39"/>
    <w:rsid w:val="0383A63A"/>
    <w:rsid w:val="03D9A961"/>
    <w:rsid w:val="03DDAB06"/>
    <w:rsid w:val="03E2186D"/>
    <w:rsid w:val="03E6BBE4"/>
    <w:rsid w:val="04036884"/>
    <w:rsid w:val="04F503D5"/>
    <w:rsid w:val="050161F3"/>
    <w:rsid w:val="0509E013"/>
    <w:rsid w:val="05231D4D"/>
    <w:rsid w:val="0562A528"/>
    <w:rsid w:val="056419FC"/>
    <w:rsid w:val="05BEFB73"/>
    <w:rsid w:val="05DF7532"/>
    <w:rsid w:val="06297466"/>
    <w:rsid w:val="06513826"/>
    <w:rsid w:val="066704F3"/>
    <w:rsid w:val="0686FB59"/>
    <w:rsid w:val="06893FC5"/>
    <w:rsid w:val="06FF465F"/>
    <w:rsid w:val="0752C979"/>
    <w:rsid w:val="075DA758"/>
    <w:rsid w:val="0765C3E8"/>
    <w:rsid w:val="07E35D5B"/>
    <w:rsid w:val="07E79AC2"/>
    <w:rsid w:val="080A0686"/>
    <w:rsid w:val="0810BE9D"/>
    <w:rsid w:val="084F101A"/>
    <w:rsid w:val="088C69DF"/>
    <w:rsid w:val="08E3504B"/>
    <w:rsid w:val="08FA9BCB"/>
    <w:rsid w:val="08FBCDBC"/>
    <w:rsid w:val="08FD0CBC"/>
    <w:rsid w:val="0915309E"/>
    <w:rsid w:val="09215A30"/>
    <w:rsid w:val="092AE47D"/>
    <w:rsid w:val="096BDC85"/>
    <w:rsid w:val="097E459C"/>
    <w:rsid w:val="09B4A3C7"/>
    <w:rsid w:val="09C15288"/>
    <w:rsid w:val="09E06ED7"/>
    <w:rsid w:val="09EE5920"/>
    <w:rsid w:val="0A281CDB"/>
    <w:rsid w:val="0A443B97"/>
    <w:rsid w:val="0AA6AF1A"/>
    <w:rsid w:val="0ABE4EAA"/>
    <w:rsid w:val="0AE1B326"/>
    <w:rsid w:val="0AE5BC59"/>
    <w:rsid w:val="0B06DC0C"/>
    <w:rsid w:val="0B0D6B85"/>
    <w:rsid w:val="0B1CF6E5"/>
    <w:rsid w:val="0B2B9125"/>
    <w:rsid w:val="0B415778"/>
    <w:rsid w:val="0B4D776E"/>
    <w:rsid w:val="0BE89DC2"/>
    <w:rsid w:val="0C09ED0D"/>
    <w:rsid w:val="0C306960"/>
    <w:rsid w:val="0C38BA70"/>
    <w:rsid w:val="0C83486A"/>
    <w:rsid w:val="0C8CA6FF"/>
    <w:rsid w:val="0C93EFFB"/>
    <w:rsid w:val="0C98D4A5"/>
    <w:rsid w:val="0CAF2B8B"/>
    <w:rsid w:val="0CAFF0C2"/>
    <w:rsid w:val="0CD5EA01"/>
    <w:rsid w:val="0CDD788D"/>
    <w:rsid w:val="0CE30F1B"/>
    <w:rsid w:val="0D46FE04"/>
    <w:rsid w:val="0D5F967D"/>
    <w:rsid w:val="0DA416F2"/>
    <w:rsid w:val="0DA7BC36"/>
    <w:rsid w:val="0DB5120D"/>
    <w:rsid w:val="0DDDC7CE"/>
    <w:rsid w:val="0DDF93AE"/>
    <w:rsid w:val="0E02BA70"/>
    <w:rsid w:val="0E0DE5FD"/>
    <w:rsid w:val="0E1666A0"/>
    <w:rsid w:val="0E229CCF"/>
    <w:rsid w:val="0E348BD0"/>
    <w:rsid w:val="0E7EA30D"/>
    <w:rsid w:val="0EAD23D0"/>
    <w:rsid w:val="0EB52428"/>
    <w:rsid w:val="0ED6269B"/>
    <w:rsid w:val="0F089EA0"/>
    <w:rsid w:val="0F335F0E"/>
    <w:rsid w:val="0F69BA7B"/>
    <w:rsid w:val="0F861806"/>
    <w:rsid w:val="0FA38AD6"/>
    <w:rsid w:val="0FC98294"/>
    <w:rsid w:val="0FE55045"/>
    <w:rsid w:val="101801BA"/>
    <w:rsid w:val="104110CF"/>
    <w:rsid w:val="1057B44F"/>
    <w:rsid w:val="1058937A"/>
    <w:rsid w:val="105C906D"/>
    <w:rsid w:val="10658F97"/>
    <w:rsid w:val="106C6A23"/>
    <w:rsid w:val="10A654F5"/>
    <w:rsid w:val="11454982"/>
    <w:rsid w:val="11589F59"/>
    <w:rsid w:val="116E0D64"/>
    <w:rsid w:val="11A6F298"/>
    <w:rsid w:val="11D8C912"/>
    <w:rsid w:val="11EE5B82"/>
    <w:rsid w:val="123B77A1"/>
    <w:rsid w:val="12408304"/>
    <w:rsid w:val="12457398"/>
    <w:rsid w:val="12528E99"/>
    <w:rsid w:val="12670A0F"/>
    <w:rsid w:val="1284BD71"/>
    <w:rsid w:val="12C0EF1F"/>
    <w:rsid w:val="12D5E60C"/>
    <w:rsid w:val="12DC6446"/>
    <w:rsid w:val="12E1A3AD"/>
    <w:rsid w:val="13A9A3EA"/>
    <w:rsid w:val="13AF2E45"/>
    <w:rsid w:val="13E452D9"/>
    <w:rsid w:val="14032C9B"/>
    <w:rsid w:val="1407B060"/>
    <w:rsid w:val="1437E5E0"/>
    <w:rsid w:val="143C9AD2"/>
    <w:rsid w:val="143DEEBA"/>
    <w:rsid w:val="143E8C09"/>
    <w:rsid w:val="14A47FD3"/>
    <w:rsid w:val="14C8C851"/>
    <w:rsid w:val="14DC89B8"/>
    <w:rsid w:val="14E7C5EF"/>
    <w:rsid w:val="14FCA113"/>
    <w:rsid w:val="1505DACB"/>
    <w:rsid w:val="1528DAA3"/>
    <w:rsid w:val="153C7565"/>
    <w:rsid w:val="154C4000"/>
    <w:rsid w:val="15561EE3"/>
    <w:rsid w:val="155FA529"/>
    <w:rsid w:val="1589959A"/>
    <w:rsid w:val="15A9B1CB"/>
    <w:rsid w:val="15B52665"/>
    <w:rsid w:val="15F8D389"/>
    <w:rsid w:val="15FA6E59"/>
    <w:rsid w:val="15FDD9A1"/>
    <w:rsid w:val="161AAB26"/>
    <w:rsid w:val="161DCC0C"/>
    <w:rsid w:val="16262A77"/>
    <w:rsid w:val="163036F4"/>
    <w:rsid w:val="16606BFC"/>
    <w:rsid w:val="16A94F78"/>
    <w:rsid w:val="16A9863C"/>
    <w:rsid w:val="16AE79DB"/>
    <w:rsid w:val="16DD87D2"/>
    <w:rsid w:val="171ACF4E"/>
    <w:rsid w:val="171E72F9"/>
    <w:rsid w:val="179ABF13"/>
    <w:rsid w:val="17D30944"/>
    <w:rsid w:val="17DD8160"/>
    <w:rsid w:val="17E7B298"/>
    <w:rsid w:val="17F48125"/>
    <w:rsid w:val="17F4932C"/>
    <w:rsid w:val="1807AC8B"/>
    <w:rsid w:val="183AE3A9"/>
    <w:rsid w:val="1845C551"/>
    <w:rsid w:val="185E91A7"/>
    <w:rsid w:val="18629E5E"/>
    <w:rsid w:val="18CB8FBF"/>
    <w:rsid w:val="18D4696F"/>
    <w:rsid w:val="18E5B6F6"/>
    <w:rsid w:val="190FA486"/>
    <w:rsid w:val="19184031"/>
    <w:rsid w:val="1918D357"/>
    <w:rsid w:val="193190DF"/>
    <w:rsid w:val="194A5CEB"/>
    <w:rsid w:val="1996F633"/>
    <w:rsid w:val="19AA5E7A"/>
    <w:rsid w:val="19B7C9D5"/>
    <w:rsid w:val="19C08BCD"/>
    <w:rsid w:val="1A2859C2"/>
    <w:rsid w:val="1A5EBEA3"/>
    <w:rsid w:val="1A7BFB6F"/>
    <w:rsid w:val="1AA8F59A"/>
    <w:rsid w:val="1AB84D59"/>
    <w:rsid w:val="1AC693B7"/>
    <w:rsid w:val="1B296A6A"/>
    <w:rsid w:val="1B33EA14"/>
    <w:rsid w:val="1B35C4D2"/>
    <w:rsid w:val="1B8166D2"/>
    <w:rsid w:val="1BBD2AEE"/>
    <w:rsid w:val="1BD70999"/>
    <w:rsid w:val="1BF23369"/>
    <w:rsid w:val="1C058B32"/>
    <w:rsid w:val="1C2E14BF"/>
    <w:rsid w:val="1C33053A"/>
    <w:rsid w:val="1C392EEB"/>
    <w:rsid w:val="1C3D249B"/>
    <w:rsid w:val="1C4EA07B"/>
    <w:rsid w:val="1C97A90E"/>
    <w:rsid w:val="1C9D5760"/>
    <w:rsid w:val="1CB2AB6C"/>
    <w:rsid w:val="1CC3E789"/>
    <w:rsid w:val="1CE9F24C"/>
    <w:rsid w:val="1D0891CB"/>
    <w:rsid w:val="1DD0B700"/>
    <w:rsid w:val="1DD26197"/>
    <w:rsid w:val="1DDE2FEE"/>
    <w:rsid w:val="1E08C11D"/>
    <w:rsid w:val="1E4DD30A"/>
    <w:rsid w:val="1E65F499"/>
    <w:rsid w:val="1ED36D6D"/>
    <w:rsid w:val="1EF6B353"/>
    <w:rsid w:val="1F0C8500"/>
    <w:rsid w:val="1F4323B8"/>
    <w:rsid w:val="1FB5D2FA"/>
    <w:rsid w:val="1FCB5DDA"/>
    <w:rsid w:val="1FD372F3"/>
    <w:rsid w:val="20772278"/>
    <w:rsid w:val="207EAC78"/>
    <w:rsid w:val="207ECF61"/>
    <w:rsid w:val="209F7ECF"/>
    <w:rsid w:val="20AD3304"/>
    <w:rsid w:val="20E7D8D7"/>
    <w:rsid w:val="211FC174"/>
    <w:rsid w:val="2122200D"/>
    <w:rsid w:val="212ABD20"/>
    <w:rsid w:val="21366510"/>
    <w:rsid w:val="2148E208"/>
    <w:rsid w:val="218C7F74"/>
    <w:rsid w:val="22173E59"/>
    <w:rsid w:val="2229F669"/>
    <w:rsid w:val="2298059E"/>
    <w:rsid w:val="22A19FF9"/>
    <w:rsid w:val="22B6169B"/>
    <w:rsid w:val="22D49F25"/>
    <w:rsid w:val="22D7F150"/>
    <w:rsid w:val="23444F29"/>
    <w:rsid w:val="2361C2E3"/>
    <w:rsid w:val="23B4FFD7"/>
    <w:rsid w:val="23C3482B"/>
    <w:rsid w:val="2407333F"/>
    <w:rsid w:val="2438E28F"/>
    <w:rsid w:val="247B805A"/>
    <w:rsid w:val="24A910A2"/>
    <w:rsid w:val="24B2A12F"/>
    <w:rsid w:val="24C7100E"/>
    <w:rsid w:val="24E2298F"/>
    <w:rsid w:val="253BBDD2"/>
    <w:rsid w:val="2556E2C5"/>
    <w:rsid w:val="2571ABCF"/>
    <w:rsid w:val="259BE41C"/>
    <w:rsid w:val="25C402DA"/>
    <w:rsid w:val="25DBD09C"/>
    <w:rsid w:val="25E98597"/>
    <w:rsid w:val="262D399B"/>
    <w:rsid w:val="263A2DF1"/>
    <w:rsid w:val="26950CF1"/>
    <w:rsid w:val="26A7EE93"/>
    <w:rsid w:val="27079F14"/>
    <w:rsid w:val="27359C43"/>
    <w:rsid w:val="2742C5F1"/>
    <w:rsid w:val="2750F719"/>
    <w:rsid w:val="27892C42"/>
    <w:rsid w:val="27FFCCB1"/>
    <w:rsid w:val="28016AF5"/>
    <w:rsid w:val="2809BABA"/>
    <w:rsid w:val="28667893"/>
    <w:rsid w:val="287534D7"/>
    <w:rsid w:val="2888377A"/>
    <w:rsid w:val="2890FCF2"/>
    <w:rsid w:val="28E543AE"/>
    <w:rsid w:val="291AD3CD"/>
    <w:rsid w:val="291B7C43"/>
    <w:rsid w:val="29329307"/>
    <w:rsid w:val="29367EF6"/>
    <w:rsid w:val="29508E61"/>
    <w:rsid w:val="29557DE5"/>
    <w:rsid w:val="2957FC34"/>
    <w:rsid w:val="297439EF"/>
    <w:rsid w:val="29C55427"/>
    <w:rsid w:val="29DFF501"/>
    <w:rsid w:val="29EB2DE1"/>
    <w:rsid w:val="29F8A7EB"/>
    <w:rsid w:val="2A043FE7"/>
    <w:rsid w:val="2A0D5C4F"/>
    <w:rsid w:val="2A2F3B85"/>
    <w:rsid w:val="2A442DED"/>
    <w:rsid w:val="2A44E833"/>
    <w:rsid w:val="2A6FA38A"/>
    <w:rsid w:val="2A75336E"/>
    <w:rsid w:val="2AA1D79A"/>
    <w:rsid w:val="2AC94A64"/>
    <w:rsid w:val="2ADBA02A"/>
    <w:rsid w:val="2ADF0241"/>
    <w:rsid w:val="2AF207DD"/>
    <w:rsid w:val="2B24493E"/>
    <w:rsid w:val="2B3F5275"/>
    <w:rsid w:val="2B6B9636"/>
    <w:rsid w:val="2B6C3986"/>
    <w:rsid w:val="2B894DD6"/>
    <w:rsid w:val="2B974B46"/>
    <w:rsid w:val="2BFC2A2E"/>
    <w:rsid w:val="2C1DE277"/>
    <w:rsid w:val="2C6B9EAB"/>
    <w:rsid w:val="2C8B0705"/>
    <w:rsid w:val="2CE0E4D3"/>
    <w:rsid w:val="2D02D0B7"/>
    <w:rsid w:val="2D1DD173"/>
    <w:rsid w:val="2D399ECA"/>
    <w:rsid w:val="2D518FB1"/>
    <w:rsid w:val="2D780E3D"/>
    <w:rsid w:val="2DA48EC6"/>
    <w:rsid w:val="2DCC94D0"/>
    <w:rsid w:val="2DD3F832"/>
    <w:rsid w:val="2DDE9F58"/>
    <w:rsid w:val="2DE8D105"/>
    <w:rsid w:val="2E2A63DE"/>
    <w:rsid w:val="2E2FE869"/>
    <w:rsid w:val="2E6D248E"/>
    <w:rsid w:val="2E8B0358"/>
    <w:rsid w:val="2E936551"/>
    <w:rsid w:val="2EAA805A"/>
    <w:rsid w:val="2F0C82F9"/>
    <w:rsid w:val="2F2D19F8"/>
    <w:rsid w:val="2F92A872"/>
    <w:rsid w:val="3014883B"/>
    <w:rsid w:val="302D2269"/>
    <w:rsid w:val="3045B5BA"/>
    <w:rsid w:val="3074D13A"/>
    <w:rsid w:val="30984E22"/>
    <w:rsid w:val="30B1621A"/>
    <w:rsid w:val="30C85E84"/>
    <w:rsid w:val="30E8B664"/>
    <w:rsid w:val="31315B15"/>
    <w:rsid w:val="314956A0"/>
    <w:rsid w:val="3170BB25"/>
    <w:rsid w:val="317124BD"/>
    <w:rsid w:val="31A656DB"/>
    <w:rsid w:val="31AF7272"/>
    <w:rsid w:val="31B0B7FB"/>
    <w:rsid w:val="31D658C5"/>
    <w:rsid w:val="31E6336C"/>
    <w:rsid w:val="31EFA232"/>
    <w:rsid w:val="32414BA1"/>
    <w:rsid w:val="329A57EF"/>
    <w:rsid w:val="32A1B405"/>
    <w:rsid w:val="32D33A76"/>
    <w:rsid w:val="3309B00F"/>
    <w:rsid w:val="331F6A81"/>
    <w:rsid w:val="3369F2A0"/>
    <w:rsid w:val="339AAADD"/>
    <w:rsid w:val="33BA31BB"/>
    <w:rsid w:val="33BCB87A"/>
    <w:rsid w:val="33E6B65F"/>
    <w:rsid w:val="34080D2E"/>
    <w:rsid w:val="342295B1"/>
    <w:rsid w:val="3422D26E"/>
    <w:rsid w:val="3455A420"/>
    <w:rsid w:val="3477942B"/>
    <w:rsid w:val="348356F8"/>
    <w:rsid w:val="348E16FF"/>
    <w:rsid w:val="34A52D45"/>
    <w:rsid w:val="34D907C0"/>
    <w:rsid w:val="34DC9239"/>
    <w:rsid w:val="34EA1C88"/>
    <w:rsid w:val="34F67E02"/>
    <w:rsid w:val="35203F53"/>
    <w:rsid w:val="3522A2E8"/>
    <w:rsid w:val="35545BF0"/>
    <w:rsid w:val="3565719E"/>
    <w:rsid w:val="35EAD059"/>
    <w:rsid w:val="3602EBF7"/>
    <w:rsid w:val="3610E01C"/>
    <w:rsid w:val="3632D7CE"/>
    <w:rsid w:val="36416142"/>
    <w:rsid w:val="367E3C76"/>
    <w:rsid w:val="36A50357"/>
    <w:rsid w:val="37218D76"/>
    <w:rsid w:val="372F5F49"/>
    <w:rsid w:val="374B15B6"/>
    <w:rsid w:val="374DDDE9"/>
    <w:rsid w:val="3760E699"/>
    <w:rsid w:val="3799AAC3"/>
    <w:rsid w:val="379A43A1"/>
    <w:rsid w:val="37A3F406"/>
    <w:rsid w:val="37B58188"/>
    <w:rsid w:val="37D661FF"/>
    <w:rsid w:val="37D66B96"/>
    <w:rsid w:val="3837E398"/>
    <w:rsid w:val="38516DB7"/>
    <w:rsid w:val="3877AB64"/>
    <w:rsid w:val="3895E346"/>
    <w:rsid w:val="38AA2A42"/>
    <w:rsid w:val="390F0513"/>
    <w:rsid w:val="39168127"/>
    <w:rsid w:val="391AB9C4"/>
    <w:rsid w:val="3936446B"/>
    <w:rsid w:val="394737ED"/>
    <w:rsid w:val="39C79341"/>
    <w:rsid w:val="39CE698D"/>
    <w:rsid w:val="39CEF298"/>
    <w:rsid w:val="39F4DE5E"/>
    <w:rsid w:val="3A20357C"/>
    <w:rsid w:val="3A351BC1"/>
    <w:rsid w:val="3A7B3644"/>
    <w:rsid w:val="3A7FCDEE"/>
    <w:rsid w:val="3A82D34C"/>
    <w:rsid w:val="3A874C17"/>
    <w:rsid w:val="3A9C19C4"/>
    <w:rsid w:val="3AC41314"/>
    <w:rsid w:val="3B4A84A3"/>
    <w:rsid w:val="3B4DCFEF"/>
    <w:rsid w:val="3B8BA74F"/>
    <w:rsid w:val="3B96F63D"/>
    <w:rsid w:val="3BAB500C"/>
    <w:rsid w:val="3BD92CFE"/>
    <w:rsid w:val="3C3E41DE"/>
    <w:rsid w:val="3C597B2E"/>
    <w:rsid w:val="3C5CF51E"/>
    <w:rsid w:val="3CC24030"/>
    <w:rsid w:val="3D4C252A"/>
    <w:rsid w:val="3D8717B8"/>
    <w:rsid w:val="3DA9AE89"/>
    <w:rsid w:val="3DCB2A26"/>
    <w:rsid w:val="3DCC1139"/>
    <w:rsid w:val="3DD42586"/>
    <w:rsid w:val="3DF20CEE"/>
    <w:rsid w:val="3DFC39A6"/>
    <w:rsid w:val="3E387FCA"/>
    <w:rsid w:val="3E79265E"/>
    <w:rsid w:val="3E80FCDC"/>
    <w:rsid w:val="3E9EE4FF"/>
    <w:rsid w:val="3EAD8556"/>
    <w:rsid w:val="3EC5E31F"/>
    <w:rsid w:val="3ECE4286"/>
    <w:rsid w:val="3EE830F2"/>
    <w:rsid w:val="3EEDF944"/>
    <w:rsid w:val="3F59925A"/>
    <w:rsid w:val="3F88F14D"/>
    <w:rsid w:val="3F8CD7D6"/>
    <w:rsid w:val="3FC73917"/>
    <w:rsid w:val="3FED247E"/>
    <w:rsid w:val="402276A0"/>
    <w:rsid w:val="4023C033"/>
    <w:rsid w:val="402A7F11"/>
    <w:rsid w:val="40357380"/>
    <w:rsid w:val="404BA4C9"/>
    <w:rsid w:val="4063B1EE"/>
    <w:rsid w:val="406C278A"/>
    <w:rsid w:val="40B2AF2A"/>
    <w:rsid w:val="40C0CDCF"/>
    <w:rsid w:val="40CDAEF5"/>
    <w:rsid w:val="40D42355"/>
    <w:rsid w:val="40D8315B"/>
    <w:rsid w:val="40F44BFB"/>
    <w:rsid w:val="40F709D8"/>
    <w:rsid w:val="4108E2C3"/>
    <w:rsid w:val="411CA89B"/>
    <w:rsid w:val="41973B18"/>
    <w:rsid w:val="41997608"/>
    <w:rsid w:val="41A0DEB6"/>
    <w:rsid w:val="41ABCCCB"/>
    <w:rsid w:val="41CB9511"/>
    <w:rsid w:val="41D0FC10"/>
    <w:rsid w:val="41DD3E02"/>
    <w:rsid w:val="41FF488A"/>
    <w:rsid w:val="4219F5A7"/>
    <w:rsid w:val="4245E481"/>
    <w:rsid w:val="42AA26C3"/>
    <w:rsid w:val="42B70C25"/>
    <w:rsid w:val="42BFD998"/>
    <w:rsid w:val="42DC21CA"/>
    <w:rsid w:val="42E1E935"/>
    <w:rsid w:val="42F338CF"/>
    <w:rsid w:val="430050F6"/>
    <w:rsid w:val="430FA6C3"/>
    <w:rsid w:val="432CCD9D"/>
    <w:rsid w:val="434FEB70"/>
    <w:rsid w:val="4350721F"/>
    <w:rsid w:val="43CC0D11"/>
    <w:rsid w:val="43D883F8"/>
    <w:rsid w:val="44315903"/>
    <w:rsid w:val="446E7168"/>
    <w:rsid w:val="44863BDE"/>
    <w:rsid w:val="44A7568D"/>
    <w:rsid w:val="44A9F557"/>
    <w:rsid w:val="44ADD3CC"/>
    <w:rsid w:val="44CB4448"/>
    <w:rsid w:val="44DF262A"/>
    <w:rsid w:val="44E5C1C6"/>
    <w:rsid w:val="451AAC88"/>
    <w:rsid w:val="45871BCD"/>
    <w:rsid w:val="458EEC7D"/>
    <w:rsid w:val="4597C8B2"/>
    <w:rsid w:val="45F9EDF7"/>
    <w:rsid w:val="4611A0D9"/>
    <w:rsid w:val="462F8C0F"/>
    <w:rsid w:val="4637BD05"/>
    <w:rsid w:val="4684CCB8"/>
    <w:rsid w:val="46AF91CD"/>
    <w:rsid w:val="477624B0"/>
    <w:rsid w:val="47C8AB18"/>
    <w:rsid w:val="4805BDA9"/>
    <w:rsid w:val="48356158"/>
    <w:rsid w:val="484EC5FA"/>
    <w:rsid w:val="4861D8DC"/>
    <w:rsid w:val="4869DA3A"/>
    <w:rsid w:val="48A781A9"/>
    <w:rsid w:val="48C10282"/>
    <w:rsid w:val="48FED137"/>
    <w:rsid w:val="492E5326"/>
    <w:rsid w:val="4967B031"/>
    <w:rsid w:val="497378E1"/>
    <w:rsid w:val="49AD90B3"/>
    <w:rsid w:val="49F16663"/>
    <w:rsid w:val="4A07D6E5"/>
    <w:rsid w:val="4A0E68A1"/>
    <w:rsid w:val="4A51ECB2"/>
    <w:rsid w:val="4A625250"/>
    <w:rsid w:val="4A88DF0D"/>
    <w:rsid w:val="4ACEAC79"/>
    <w:rsid w:val="4AFAB3F5"/>
    <w:rsid w:val="4B31F010"/>
    <w:rsid w:val="4B3F0567"/>
    <w:rsid w:val="4B466EEA"/>
    <w:rsid w:val="4B4AD4DD"/>
    <w:rsid w:val="4B830E5C"/>
    <w:rsid w:val="4B8EB02D"/>
    <w:rsid w:val="4BC5CE71"/>
    <w:rsid w:val="4BD5462F"/>
    <w:rsid w:val="4BD84B2E"/>
    <w:rsid w:val="4BE35CE2"/>
    <w:rsid w:val="4BEF1D9C"/>
    <w:rsid w:val="4C430EBB"/>
    <w:rsid w:val="4C5422C1"/>
    <w:rsid w:val="4C594512"/>
    <w:rsid w:val="4CA429E3"/>
    <w:rsid w:val="4CAAF7D1"/>
    <w:rsid w:val="4CEE62F9"/>
    <w:rsid w:val="4CF8C2B5"/>
    <w:rsid w:val="4D6EDD99"/>
    <w:rsid w:val="4E239CEC"/>
    <w:rsid w:val="4E359D09"/>
    <w:rsid w:val="4EDB1260"/>
    <w:rsid w:val="4EEF97F6"/>
    <w:rsid w:val="4EF3E080"/>
    <w:rsid w:val="4F0D2DA8"/>
    <w:rsid w:val="4F26F562"/>
    <w:rsid w:val="4F4020FA"/>
    <w:rsid w:val="4F53EB6D"/>
    <w:rsid w:val="4F5D33F5"/>
    <w:rsid w:val="4F940606"/>
    <w:rsid w:val="4FBBB807"/>
    <w:rsid w:val="4FE574BB"/>
    <w:rsid w:val="5002F65B"/>
    <w:rsid w:val="5041F439"/>
    <w:rsid w:val="5080329E"/>
    <w:rsid w:val="50F77331"/>
    <w:rsid w:val="5134E635"/>
    <w:rsid w:val="517EA7A1"/>
    <w:rsid w:val="519B20E8"/>
    <w:rsid w:val="51E07CB8"/>
    <w:rsid w:val="521B0AB4"/>
    <w:rsid w:val="52572F8C"/>
    <w:rsid w:val="528DF56D"/>
    <w:rsid w:val="529C0F6D"/>
    <w:rsid w:val="53185BE5"/>
    <w:rsid w:val="5334435C"/>
    <w:rsid w:val="5338F9C6"/>
    <w:rsid w:val="533D47F7"/>
    <w:rsid w:val="5372EAE4"/>
    <w:rsid w:val="53944749"/>
    <w:rsid w:val="53C3DB0F"/>
    <w:rsid w:val="5407304A"/>
    <w:rsid w:val="544337FD"/>
    <w:rsid w:val="5465BFDC"/>
    <w:rsid w:val="54738E10"/>
    <w:rsid w:val="54D25851"/>
    <w:rsid w:val="54E6ECAF"/>
    <w:rsid w:val="551BF435"/>
    <w:rsid w:val="552CDE11"/>
    <w:rsid w:val="553C677A"/>
    <w:rsid w:val="55652BD1"/>
    <w:rsid w:val="556B3807"/>
    <w:rsid w:val="5570C396"/>
    <w:rsid w:val="55AFE020"/>
    <w:rsid w:val="55D35FD1"/>
    <w:rsid w:val="55D977CE"/>
    <w:rsid w:val="565D30BA"/>
    <w:rsid w:val="5681B31C"/>
    <w:rsid w:val="56E07252"/>
    <w:rsid w:val="56E4CBB4"/>
    <w:rsid w:val="5719D64B"/>
    <w:rsid w:val="572251E5"/>
    <w:rsid w:val="57347887"/>
    <w:rsid w:val="5756E1E8"/>
    <w:rsid w:val="576A7094"/>
    <w:rsid w:val="57962238"/>
    <w:rsid w:val="57E208E3"/>
    <w:rsid w:val="57E3EBC4"/>
    <w:rsid w:val="5812D472"/>
    <w:rsid w:val="581CFD81"/>
    <w:rsid w:val="58387CFE"/>
    <w:rsid w:val="583F8D1D"/>
    <w:rsid w:val="5884FF97"/>
    <w:rsid w:val="58A8D04C"/>
    <w:rsid w:val="58B8A854"/>
    <w:rsid w:val="58BF7A4B"/>
    <w:rsid w:val="58BF8B82"/>
    <w:rsid w:val="59614948"/>
    <w:rsid w:val="596E38BD"/>
    <w:rsid w:val="59A12C93"/>
    <w:rsid w:val="59B2099B"/>
    <w:rsid w:val="59D7425D"/>
    <w:rsid w:val="59DC35FF"/>
    <w:rsid w:val="59EE2477"/>
    <w:rsid w:val="5A239BF1"/>
    <w:rsid w:val="5A7D7AC0"/>
    <w:rsid w:val="5A816EDA"/>
    <w:rsid w:val="5B0809DE"/>
    <w:rsid w:val="5B190DB9"/>
    <w:rsid w:val="5B3E1375"/>
    <w:rsid w:val="5B67C020"/>
    <w:rsid w:val="5CAF1DE7"/>
    <w:rsid w:val="5CB9B416"/>
    <w:rsid w:val="5CE9E429"/>
    <w:rsid w:val="5D2D988C"/>
    <w:rsid w:val="5D5F8699"/>
    <w:rsid w:val="5D6D44DD"/>
    <w:rsid w:val="5D777F6D"/>
    <w:rsid w:val="5D7BCC15"/>
    <w:rsid w:val="5DC5DC33"/>
    <w:rsid w:val="5DC6A08A"/>
    <w:rsid w:val="5E329462"/>
    <w:rsid w:val="5E49E552"/>
    <w:rsid w:val="5E86A2DA"/>
    <w:rsid w:val="5ECAC1CF"/>
    <w:rsid w:val="5F48F952"/>
    <w:rsid w:val="5F56E3DA"/>
    <w:rsid w:val="5F86050B"/>
    <w:rsid w:val="5FC39F94"/>
    <w:rsid w:val="5FC3CBDD"/>
    <w:rsid w:val="5FD690F1"/>
    <w:rsid w:val="5FF21E50"/>
    <w:rsid w:val="5FFA0E7B"/>
    <w:rsid w:val="5FFC9003"/>
    <w:rsid w:val="600E7F61"/>
    <w:rsid w:val="601274BD"/>
    <w:rsid w:val="6034FB46"/>
    <w:rsid w:val="604757D4"/>
    <w:rsid w:val="605389DE"/>
    <w:rsid w:val="606B6D84"/>
    <w:rsid w:val="60907DE4"/>
    <w:rsid w:val="60A23038"/>
    <w:rsid w:val="60A38061"/>
    <w:rsid w:val="60AF65E4"/>
    <w:rsid w:val="60DDBBF8"/>
    <w:rsid w:val="60E1A0E7"/>
    <w:rsid w:val="61011742"/>
    <w:rsid w:val="614D9ED0"/>
    <w:rsid w:val="61513CAE"/>
    <w:rsid w:val="61AD423F"/>
    <w:rsid w:val="62288E6D"/>
    <w:rsid w:val="62512CB9"/>
    <w:rsid w:val="62935478"/>
    <w:rsid w:val="629622A5"/>
    <w:rsid w:val="62970B67"/>
    <w:rsid w:val="62BD2ABA"/>
    <w:rsid w:val="62BD9A4C"/>
    <w:rsid w:val="630077E4"/>
    <w:rsid w:val="6302E8F2"/>
    <w:rsid w:val="63243627"/>
    <w:rsid w:val="632AB7DA"/>
    <w:rsid w:val="6331FC34"/>
    <w:rsid w:val="635FF808"/>
    <w:rsid w:val="637C018E"/>
    <w:rsid w:val="63A3C5CD"/>
    <w:rsid w:val="63C60FAC"/>
    <w:rsid w:val="641C0311"/>
    <w:rsid w:val="643AAECD"/>
    <w:rsid w:val="643FED40"/>
    <w:rsid w:val="64579433"/>
    <w:rsid w:val="64DD4C23"/>
    <w:rsid w:val="656F6849"/>
    <w:rsid w:val="657335A0"/>
    <w:rsid w:val="65F1C06C"/>
    <w:rsid w:val="6633DA70"/>
    <w:rsid w:val="664CB951"/>
    <w:rsid w:val="666368B4"/>
    <w:rsid w:val="66A118A9"/>
    <w:rsid w:val="66AF4E98"/>
    <w:rsid w:val="66B3210A"/>
    <w:rsid w:val="6753B3F0"/>
    <w:rsid w:val="67712AFF"/>
    <w:rsid w:val="67A3475D"/>
    <w:rsid w:val="67F65B5C"/>
    <w:rsid w:val="68084A13"/>
    <w:rsid w:val="68088E77"/>
    <w:rsid w:val="68122426"/>
    <w:rsid w:val="682AF39D"/>
    <w:rsid w:val="683EF01E"/>
    <w:rsid w:val="688F139D"/>
    <w:rsid w:val="689CBFCF"/>
    <w:rsid w:val="68B3F255"/>
    <w:rsid w:val="68BE7D79"/>
    <w:rsid w:val="68C1932B"/>
    <w:rsid w:val="68E05B34"/>
    <w:rsid w:val="68E2909A"/>
    <w:rsid w:val="68EF4BCA"/>
    <w:rsid w:val="69090D2C"/>
    <w:rsid w:val="6918667A"/>
    <w:rsid w:val="694C1227"/>
    <w:rsid w:val="69580CA3"/>
    <w:rsid w:val="697E33F8"/>
    <w:rsid w:val="69A69DD7"/>
    <w:rsid w:val="69F07B0E"/>
    <w:rsid w:val="6A22B956"/>
    <w:rsid w:val="6A51CE5D"/>
    <w:rsid w:val="6A74672B"/>
    <w:rsid w:val="6AA8CF39"/>
    <w:rsid w:val="6AAC01E6"/>
    <w:rsid w:val="6B1FAFB0"/>
    <w:rsid w:val="6B4EFCD7"/>
    <w:rsid w:val="6B9002FE"/>
    <w:rsid w:val="6BC79011"/>
    <w:rsid w:val="6C1CDF26"/>
    <w:rsid w:val="6C4804D1"/>
    <w:rsid w:val="6C77412E"/>
    <w:rsid w:val="6C7A6930"/>
    <w:rsid w:val="6CFF1414"/>
    <w:rsid w:val="6D1E0B8F"/>
    <w:rsid w:val="6D78014D"/>
    <w:rsid w:val="6DA01B15"/>
    <w:rsid w:val="6DBA832C"/>
    <w:rsid w:val="6DD1910E"/>
    <w:rsid w:val="6DDDA02C"/>
    <w:rsid w:val="6DFAADF9"/>
    <w:rsid w:val="6E8F046E"/>
    <w:rsid w:val="6EC8E15A"/>
    <w:rsid w:val="6EEB7D12"/>
    <w:rsid w:val="6EF77920"/>
    <w:rsid w:val="6F007A63"/>
    <w:rsid w:val="6F40B8BA"/>
    <w:rsid w:val="6F637286"/>
    <w:rsid w:val="6F79E8FA"/>
    <w:rsid w:val="6F90AF7C"/>
    <w:rsid w:val="6FAEF6D2"/>
    <w:rsid w:val="6FD29B49"/>
    <w:rsid w:val="6FF66707"/>
    <w:rsid w:val="7025DB96"/>
    <w:rsid w:val="7026CCDC"/>
    <w:rsid w:val="7078EFCF"/>
    <w:rsid w:val="7099EFE1"/>
    <w:rsid w:val="70B38D7E"/>
    <w:rsid w:val="70F6CEB0"/>
    <w:rsid w:val="710CDD7B"/>
    <w:rsid w:val="711B4049"/>
    <w:rsid w:val="711D80C0"/>
    <w:rsid w:val="715E6424"/>
    <w:rsid w:val="717E59C7"/>
    <w:rsid w:val="7184232E"/>
    <w:rsid w:val="718E38F3"/>
    <w:rsid w:val="719A475A"/>
    <w:rsid w:val="71C1DEDC"/>
    <w:rsid w:val="71D26C06"/>
    <w:rsid w:val="71D40D00"/>
    <w:rsid w:val="71D94AD0"/>
    <w:rsid w:val="720910AA"/>
    <w:rsid w:val="721855BE"/>
    <w:rsid w:val="721E8E9A"/>
    <w:rsid w:val="72645BE4"/>
    <w:rsid w:val="726D59FB"/>
    <w:rsid w:val="727DA847"/>
    <w:rsid w:val="72B25A56"/>
    <w:rsid w:val="72F749B7"/>
    <w:rsid w:val="72F8AF28"/>
    <w:rsid w:val="733E7198"/>
    <w:rsid w:val="7371C5AE"/>
    <w:rsid w:val="73804B5D"/>
    <w:rsid w:val="7397F9AD"/>
    <w:rsid w:val="73F79E60"/>
    <w:rsid w:val="73FDD37E"/>
    <w:rsid w:val="741B87AC"/>
    <w:rsid w:val="741C5DCB"/>
    <w:rsid w:val="7438FB73"/>
    <w:rsid w:val="7439A3A6"/>
    <w:rsid w:val="7452F132"/>
    <w:rsid w:val="745BFABE"/>
    <w:rsid w:val="7484F3DA"/>
    <w:rsid w:val="749DD2A1"/>
    <w:rsid w:val="75318D0C"/>
    <w:rsid w:val="753335D6"/>
    <w:rsid w:val="7592FC3F"/>
    <w:rsid w:val="75A165B4"/>
    <w:rsid w:val="75D39AE7"/>
    <w:rsid w:val="75ED6607"/>
    <w:rsid w:val="764E02DB"/>
    <w:rsid w:val="7656BB5A"/>
    <w:rsid w:val="76991B1B"/>
    <w:rsid w:val="769E4DDF"/>
    <w:rsid w:val="76B5976D"/>
    <w:rsid w:val="76CF34E8"/>
    <w:rsid w:val="76D7F300"/>
    <w:rsid w:val="77112F7B"/>
    <w:rsid w:val="7715F97C"/>
    <w:rsid w:val="77357746"/>
    <w:rsid w:val="773B52CB"/>
    <w:rsid w:val="77842B65"/>
    <w:rsid w:val="779A7D6E"/>
    <w:rsid w:val="77B2D74F"/>
    <w:rsid w:val="77B3601F"/>
    <w:rsid w:val="78175943"/>
    <w:rsid w:val="78543D2E"/>
    <w:rsid w:val="785AD235"/>
    <w:rsid w:val="78A54AEB"/>
    <w:rsid w:val="78A75DC3"/>
    <w:rsid w:val="78BC23AE"/>
    <w:rsid w:val="78BF1359"/>
    <w:rsid w:val="790D1A72"/>
    <w:rsid w:val="7929E8E0"/>
    <w:rsid w:val="794E161D"/>
    <w:rsid w:val="795C2636"/>
    <w:rsid w:val="797047A1"/>
    <w:rsid w:val="797FB93E"/>
    <w:rsid w:val="79AC4F22"/>
    <w:rsid w:val="79DFE40C"/>
    <w:rsid w:val="79EE5BAC"/>
    <w:rsid w:val="79FC0B4A"/>
    <w:rsid w:val="7A16C90A"/>
    <w:rsid w:val="7A25965A"/>
    <w:rsid w:val="7A4D31E3"/>
    <w:rsid w:val="7AB0D55B"/>
    <w:rsid w:val="7AF7559C"/>
    <w:rsid w:val="7B425001"/>
    <w:rsid w:val="7B44769B"/>
    <w:rsid w:val="7B44E665"/>
    <w:rsid w:val="7B59BFC2"/>
    <w:rsid w:val="7B6942DC"/>
    <w:rsid w:val="7B8220D1"/>
    <w:rsid w:val="7B8225C4"/>
    <w:rsid w:val="7BA3984A"/>
    <w:rsid w:val="7BAAA615"/>
    <w:rsid w:val="7BBF18A7"/>
    <w:rsid w:val="7C656F3A"/>
    <w:rsid w:val="7C6AE7DE"/>
    <w:rsid w:val="7C740F19"/>
    <w:rsid w:val="7C852AD8"/>
    <w:rsid w:val="7C8960EE"/>
    <w:rsid w:val="7D2A77F3"/>
    <w:rsid w:val="7D4C6FF1"/>
    <w:rsid w:val="7D937728"/>
    <w:rsid w:val="7D9AF655"/>
    <w:rsid w:val="7DA78B0A"/>
    <w:rsid w:val="7DAFEE9B"/>
    <w:rsid w:val="7DE7E8B9"/>
    <w:rsid w:val="7DE868EE"/>
    <w:rsid w:val="7E1EC670"/>
    <w:rsid w:val="7E24A2E7"/>
    <w:rsid w:val="7E2B184B"/>
    <w:rsid w:val="7E88426C"/>
    <w:rsid w:val="7ECE539E"/>
    <w:rsid w:val="7F3E76A4"/>
    <w:rsid w:val="7F60B87C"/>
    <w:rsid w:val="7FAE685A"/>
    <w:rsid w:val="7FC20BBA"/>
    <w:rsid w:val="7FD0DFC6"/>
    <w:rsid w:val="7FE05311"/>
    <w:rsid w:val="7FFDF7A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8C4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300"/>
    <w:pPr>
      <w:spacing w:before="120"/>
    </w:pPr>
    <w:rPr>
      <w:rFonts w:ascii="Franklin Gothic Book" w:hAnsi="Franklin Gothic Book"/>
    </w:rPr>
  </w:style>
  <w:style w:type="paragraph" w:styleId="Heading1">
    <w:name w:val="heading 1"/>
    <w:basedOn w:val="Normal"/>
    <w:next w:val="Normal"/>
    <w:link w:val="Heading1Char"/>
    <w:uiPriority w:val="9"/>
    <w:qFormat/>
    <w:rsid w:val="001531D6"/>
    <w:pPr>
      <w:keepNext/>
      <w:keepLines/>
      <w:numPr>
        <w:numId w:val="21"/>
      </w:numPr>
      <w:pBdr>
        <w:bottom w:val="single" w:sz="4" w:space="1" w:color="auto"/>
      </w:pBdr>
      <w:spacing w:before="600" w:after="480" w:line="240" w:lineRule="auto"/>
      <w:outlineLvl w:val="0"/>
    </w:pPr>
    <w:rPr>
      <w:rFonts w:ascii="Franklin Gothic Medium" w:eastAsiaTheme="majorEastAsia" w:hAnsi="Franklin Gothic Medium" w:cstheme="majorBidi"/>
      <w:sz w:val="44"/>
      <w:szCs w:val="32"/>
    </w:rPr>
  </w:style>
  <w:style w:type="paragraph" w:styleId="Heading2">
    <w:name w:val="heading 2"/>
    <w:basedOn w:val="Normal"/>
    <w:next w:val="Normal"/>
    <w:link w:val="Heading2Char"/>
    <w:uiPriority w:val="9"/>
    <w:unhideWhenUsed/>
    <w:qFormat/>
    <w:rsid w:val="001531D6"/>
    <w:pPr>
      <w:keepNext/>
      <w:keepLines/>
      <w:numPr>
        <w:ilvl w:val="1"/>
        <w:numId w:val="21"/>
      </w:numPr>
      <w:spacing w:before="360" w:after="24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Normal"/>
    <w:next w:val="Normal"/>
    <w:link w:val="Heading3Char"/>
    <w:uiPriority w:val="9"/>
    <w:unhideWhenUsed/>
    <w:qFormat/>
    <w:rsid w:val="005103C5"/>
    <w:pPr>
      <w:keepNext/>
      <w:keepLines/>
      <w:tabs>
        <w:tab w:val="left" w:pos="851"/>
      </w:tabs>
      <w:spacing w:before="360" w:after="200" w:line="240" w:lineRule="auto"/>
      <w:outlineLvl w:val="2"/>
    </w:pPr>
    <w:rPr>
      <w:rFonts w:ascii="Franklin Gothic Medium" w:eastAsiaTheme="majorEastAsia" w:hAnsi="Franklin Gothic Medium" w:cstheme="majorBidi"/>
      <w:sz w:val="24"/>
      <w:szCs w:val="24"/>
    </w:rPr>
  </w:style>
  <w:style w:type="paragraph" w:styleId="Heading4">
    <w:name w:val="heading 4"/>
    <w:basedOn w:val="Heading3"/>
    <w:next w:val="Normal"/>
    <w:link w:val="Heading4Char"/>
    <w:uiPriority w:val="9"/>
    <w:unhideWhenUsed/>
    <w:qFormat/>
    <w:rsid w:val="00A776A4"/>
    <w:pPr>
      <w:outlineLvl w:val="3"/>
    </w:pPr>
    <w:rPr>
      <w:i/>
    </w:rPr>
  </w:style>
  <w:style w:type="paragraph" w:styleId="Heading5">
    <w:name w:val="heading 5"/>
    <w:basedOn w:val="Normal"/>
    <w:next w:val="Normal"/>
    <w:link w:val="Heading5Char"/>
    <w:uiPriority w:val="9"/>
    <w:semiHidden/>
    <w:unhideWhenUsed/>
    <w:qFormat/>
    <w:rsid w:val="009F5FE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F5FE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5FE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5FE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5FE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qFormat/>
    <w:rsid w:val="003E7773"/>
    <w:pPr>
      <w:spacing w:before="40" w:after="40" w:line="240" w:lineRule="auto"/>
    </w:pPr>
    <w:rPr>
      <w:rFonts w:ascii="Arial Narrow" w:hAnsi="Arial Narrow"/>
      <w:sz w:val="20"/>
    </w:rPr>
  </w:style>
  <w:style w:type="paragraph" w:customStyle="1" w:styleId="TableHeading">
    <w:name w:val="TableHeading"/>
    <w:basedOn w:val="Normal"/>
    <w:link w:val="TableHeadingChar"/>
    <w:qFormat/>
    <w:rsid w:val="00B151CF"/>
    <w:pPr>
      <w:keepNext/>
      <w:spacing w:after="60" w:line="240" w:lineRule="auto"/>
    </w:pPr>
    <w:rPr>
      <w:rFonts w:ascii="Arial Narrow" w:hAnsi="Arial Narrow"/>
      <w:b/>
      <w:sz w:val="20"/>
    </w:rPr>
  </w:style>
  <w:style w:type="paragraph" w:styleId="CommentText">
    <w:name w:val="annotation text"/>
    <w:aliases w:val="Annotationtext"/>
    <w:basedOn w:val="Normal"/>
    <w:link w:val="CommentTextChar"/>
    <w:uiPriority w:val="99"/>
    <w:unhideWhenUsed/>
    <w:rsid w:val="003E7773"/>
    <w:pPr>
      <w:spacing w:after="240" w:line="240" w:lineRule="auto"/>
    </w:pPr>
    <w:rPr>
      <w:rFonts w:ascii="Calibri" w:eastAsia="Times New Roman" w:hAnsi="Calibri" w:cs="Times New Roman"/>
      <w:color w:val="000000"/>
      <w:szCs w:val="24"/>
      <w:lang w:eastAsia="en-AU"/>
    </w:rPr>
  </w:style>
  <w:style w:type="character" w:customStyle="1" w:styleId="CommentTextChar">
    <w:name w:val="Comment Text Char"/>
    <w:aliases w:val="Annotationtext Char"/>
    <w:basedOn w:val="DefaultParagraphFont"/>
    <w:link w:val="CommentText"/>
    <w:uiPriority w:val="99"/>
    <w:rsid w:val="003E7773"/>
    <w:rPr>
      <w:rFonts w:ascii="Calibri" w:eastAsia="Times New Roman" w:hAnsi="Calibri" w:cs="Times New Roman"/>
      <w:color w:val="000000"/>
      <w:szCs w:val="24"/>
      <w:lang w:eastAsia="en-AU"/>
    </w:rPr>
  </w:style>
  <w:style w:type="character" w:styleId="CommentReference">
    <w:name w:val="annotation reference"/>
    <w:aliases w:val="Table Title,-H18"/>
    <w:basedOn w:val="DefaultParagraphFont"/>
    <w:uiPriority w:val="99"/>
    <w:unhideWhenUsed/>
    <w:qFormat/>
    <w:rsid w:val="003E7773"/>
    <w:rPr>
      <w:sz w:val="16"/>
      <w:szCs w:val="16"/>
    </w:rPr>
  </w:style>
  <w:style w:type="character" w:customStyle="1" w:styleId="TableTextChar">
    <w:name w:val="Table Text Char"/>
    <w:basedOn w:val="DefaultParagraphFont"/>
    <w:link w:val="TableText"/>
    <w:rsid w:val="003E7773"/>
    <w:rPr>
      <w:rFonts w:ascii="Arial Narrow" w:hAnsi="Arial Narrow"/>
      <w:sz w:val="20"/>
    </w:rPr>
  </w:style>
  <w:style w:type="character" w:customStyle="1" w:styleId="TableHeadingChar">
    <w:name w:val="TableHeading Char"/>
    <w:link w:val="TableHeading"/>
    <w:rsid w:val="00B151CF"/>
    <w:rPr>
      <w:rFonts w:ascii="Arial Narrow" w:hAnsi="Arial Narrow"/>
      <w:b/>
      <w:sz w:val="20"/>
    </w:rPr>
  </w:style>
  <w:style w:type="paragraph" w:styleId="BalloonText">
    <w:name w:val="Balloon Text"/>
    <w:basedOn w:val="Normal"/>
    <w:link w:val="BalloonTextChar"/>
    <w:uiPriority w:val="99"/>
    <w:semiHidden/>
    <w:unhideWhenUsed/>
    <w:rsid w:val="003E77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77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E7773"/>
    <w:pPr>
      <w:spacing w:after="160"/>
    </w:pPr>
    <w:rPr>
      <w:rFonts w:asciiTheme="minorHAnsi" w:eastAsiaTheme="minorHAnsi" w:hAnsiTheme="minorHAnsi" w:cstheme="minorBidi"/>
      <w:b/>
      <w:bCs/>
      <w:color w:val="auto"/>
      <w:sz w:val="20"/>
      <w:szCs w:val="20"/>
      <w:lang w:eastAsia="en-US"/>
    </w:rPr>
  </w:style>
  <w:style w:type="character" w:customStyle="1" w:styleId="CommentSubjectChar">
    <w:name w:val="Comment Subject Char"/>
    <w:basedOn w:val="CommentTextChar"/>
    <w:link w:val="CommentSubject"/>
    <w:uiPriority w:val="99"/>
    <w:semiHidden/>
    <w:rsid w:val="003E7773"/>
    <w:rPr>
      <w:rFonts w:ascii="Calibri" w:eastAsia="Times New Roman" w:hAnsi="Calibri" w:cs="Times New Roman"/>
      <w:b/>
      <w:bCs/>
      <w:color w:val="000000"/>
      <w:sz w:val="20"/>
      <w:szCs w:val="20"/>
      <w:lang w:eastAsia="en-AU"/>
    </w:rPr>
  </w:style>
  <w:style w:type="character" w:customStyle="1" w:styleId="Heading1Char">
    <w:name w:val="Heading 1 Char"/>
    <w:basedOn w:val="DefaultParagraphFont"/>
    <w:link w:val="Heading1"/>
    <w:uiPriority w:val="9"/>
    <w:rsid w:val="001531D6"/>
    <w:rPr>
      <w:rFonts w:ascii="Franklin Gothic Medium" w:eastAsiaTheme="majorEastAsia" w:hAnsi="Franklin Gothic Medium" w:cstheme="majorBidi"/>
      <w:sz w:val="44"/>
      <w:szCs w:val="32"/>
    </w:rPr>
  </w:style>
  <w:style w:type="character" w:customStyle="1" w:styleId="Heading2Char">
    <w:name w:val="Heading 2 Char"/>
    <w:basedOn w:val="DefaultParagraphFont"/>
    <w:link w:val="Heading2"/>
    <w:uiPriority w:val="9"/>
    <w:rsid w:val="001531D6"/>
    <w:rPr>
      <w:rFonts w:ascii="Franklin Gothic Medium" w:eastAsiaTheme="majorEastAsia" w:hAnsi="Franklin Gothic Medium" w:cstheme="majorBidi"/>
      <w:color w:val="000000" w:themeColor="text1"/>
      <w:sz w:val="32"/>
      <w:szCs w:val="26"/>
    </w:rPr>
  </w:style>
  <w:style w:type="character" w:customStyle="1" w:styleId="Heading3Char">
    <w:name w:val="Heading 3 Char"/>
    <w:basedOn w:val="DefaultParagraphFont"/>
    <w:link w:val="Heading3"/>
    <w:uiPriority w:val="9"/>
    <w:rsid w:val="005103C5"/>
    <w:rPr>
      <w:rFonts w:ascii="Franklin Gothic Medium" w:eastAsiaTheme="majorEastAsia" w:hAnsi="Franklin Gothic Medium" w:cstheme="majorBidi"/>
      <w:sz w:val="24"/>
      <w:szCs w:val="24"/>
    </w:rPr>
  </w:style>
  <w:style w:type="paragraph" w:styleId="Caption">
    <w:name w:val="caption"/>
    <w:aliases w:val="Caption Char2 Char,Caption Char Char Char2,Caption Char1 Char Char Char1,Caption Char2 Char Char Char1 Char1,Caption Char Char1 Char Char Char1 Char1,Caption Char1 Char Char Char Char Char Char,Caption Char Char1,Caption Char2,Caption Char1"/>
    <w:basedOn w:val="Normal"/>
    <w:next w:val="Normal"/>
    <w:link w:val="CaptionChar"/>
    <w:qFormat/>
    <w:rsid w:val="009A06F4"/>
    <w:pPr>
      <w:keepNext/>
      <w:spacing w:before="360" w:after="120" w:line="240" w:lineRule="auto"/>
    </w:pPr>
    <w:rPr>
      <w:rFonts w:ascii="Arial Narrow" w:eastAsia="Times New Roman" w:hAnsi="Arial Narrow" w:cs="Times New Roman"/>
      <w:b/>
      <w:bCs/>
      <w:sz w:val="20"/>
      <w:szCs w:val="20"/>
    </w:rPr>
  </w:style>
  <w:style w:type="table" w:customStyle="1" w:styleId="TableGrid1">
    <w:name w:val="Table Grid1"/>
    <w:basedOn w:val="TableNormal"/>
    <w:next w:val="TableGrid"/>
    <w:locked/>
    <w:rsid w:val="00CA528A"/>
    <w:pPr>
      <w:spacing w:before="40" w:after="40" w:line="240" w:lineRule="auto"/>
    </w:pPr>
    <w:rPr>
      <w:rFonts w:ascii="Arial Narrow" w:eastAsia="Times New Roman" w:hAnsi="Arial Narrow"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Narrow" w:hAnsi="Arial Narrow"/>
        <w:b w:val="0"/>
        <w:sz w:val="20"/>
      </w:rPr>
    </w:tblStylePr>
  </w:style>
  <w:style w:type="character" w:customStyle="1" w:styleId="CaptionChar">
    <w:name w:val="Caption Char"/>
    <w:aliases w:val="Caption Char2 Char Char,Caption Char Char Char2 Char,Caption Char1 Char Char Char1 Char,Caption Char2 Char Char Char1 Char1 Char,Caption Char Char1 Char Char Char1 Char1 Char,Caption Char1 Char Char Char Char Char Char Char"/>
    <w:basedOn w:val="DefaultParagraphFont"/>
    <w:link w:val="Caption"/>
    <w:rsid w:val="009A06F4"/>
    <w:rPr>
      <w:rFonts w:ascii="Arial Narrow" w:eastAsia="Times New Roman" w:hAnsi="Arial Narrow" w:cs="Times New Roman"/>
      <w:b/>
      <w:bCs/>
      <w:sz w:val="20"/>
      <w:szCs w:val="20"/>
    </w:rPr>
  </w:style>
  <w:style w:type="table" w:styleId="TableGrid">
    <w:name w:val="Table Grid"/>
    <w:aliases w:val="Summary box,Table Gridbeth,RTI AMCP Table,new style,ASD Table,HTAtableplain,Cheryl Table Grid,Legemiddelverket 3,Conclusion box,Table Grid nm,HealthConsult"/>
    <w:basedOn w:val="TableNormal"/>
    <w:uiPriority w:val="39"/>
    <w:rsid w:val="00CA5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gNote">
    <w:name w:val="TableFigNote"/>
    <w:basedOn w:val="Normal"/>
    <w:qFormat/>
    <w:rsid w:val="00CA528A"/>
    <w:pPr>
      <w:spacing w:after="360" w:line="240" w:lineRule="auto"/>
      <w:contextualSpacing/>
    </w:pPr>
    <w:rPr>
      <w:sz w:val="18"/>
    </w:rPr>
  </w:style>
  <w:style w:type="paragraph" w:styleId="ListParagraph">
    <w:name w:val="List Paragraph"/>
    <w:aliases w:val="Bullet List"/>
    <w:basedOn w:val="Normal"/>
    <w:link w:val="ListParagraphChar"/>
    <w:uiPriority w:val="34"/>
    <w:qFormat/>
    <w:rsid w:val="00724F92"/>
    <w:pPr>
      <w:ind w:left="720"/>
      <w:contextualSpacing/>
    </w:pPr>
  </w:style>
  <w:style w:type="character" w:styleId="Strong">
    <w:name w:val="Strong"/>
    <w:basedOn w:val="DefaultParagraphFont"/>
    <w:uiPriority w:val="22"/>
    <w:qFormat/>
    <w:rsid w:val="00FD17BA"/>
    <w:rPr>
      <w:b/>
      <w:bCs/>
    </w:rPr>
  </w:style>
  <w:style w:type="paragraph" w:customStyle="1" w:styleId="TableName">
    <w:name w:val="TableName"/>
    <w:basedOn w:val="Normal"/>
    <w:qFormat/>
    <w:rsid w:val="00FD17BA"/>
    <w:pPr>
      <w:keepNext/>
      <w:spacing w:after="240" w:line="240" w:lineRule="auto"/>
      <w:ind w:left="1418" w:hanging="1418"/>
    </w:pPr>
    <w:rPr>
      <w:rFonts w:ascii="Franklin Gothic Medium" w:hAnsi="Franklin Gothic Medium"/>
    </w:rPr>
  </w:style>
  <w:style w:type="paragraph" w:customStyle="1" w:styleId="TableFigNoteHangingLast">
    <w:name w:val="TableFigNoteHanging Last"/>
    <w:basedOn w:val="TableFigNote"/>
    <w:qFormat/>
    <w:rsid w:val="00FD17BA"/>
    <w:pPr>
      <w:ind w:left="142" w:hanging="142"/>
    </w:pPr>
  </w:style>
  <w:style w:type="paragraph" w:customStyle="1" w:styleId="TableTextCA">
    <w:name w:val="Table Text CA"/>
    <w:basedOn w:val="TableText"/>
    <w:qFormat/>
    <w:rsid w:val="00FD17BA"/>
    <w:pPr>
      <w:jc w:val="center"/>
    </w:pPr>
  </w:style>
  <w:style w:type="paragraph" w:customStyle="1" w:styleId="TableHeadingCA">
    <w:name w:val="Table Heading CA"/>
    <w:basedOn w:val="TableHeading0"/>
    <w:qFormat/>
    <w:rsid w:val="00FD17BA"/>
    <w:pPr>
      <w:jc w:val="center"/>
    </w:pPr>
  </w:style>
  <w:style w:type="paragraph" w:customStyle="1" w:styleId="TableHeading0">
    <w:name w:val="Table Heading"/>
    <w:basedOn w:val="Normal"/>
    <w:qFormat/>
    <w:rsid w:val="00FD17BA"/>
    <w:pPr>
      <w:spacing w:after="60" w:line="240" w:lineRule="auto"/>
    </w:pPr>
    <w:rPr>
      <w:rFonts w:ascii="Arial Narrow" w:hAnsi="Arial Narrow"/>
      <w:b/>
      <w:sz w:val="20"/>
    </w:rPr>
  </w:style>
  <w:style w:type="paragraph" w:customStyle="1" w:styleId="TableFigNoteLast">
    <w:name w:val="TableFigNote Last"/>
    <w:basedOn w:val="TableFigNote"/>
    <w:qFormat/>
    <w:rsid w:val="00FD17BA"/>
  </w:style>
  <w:style w:type="character" w:customStyle="1" w:styleId="Heading4Char">
    <w:name w:val="Heading 4 Char"/>
    <w:basedOn w:val="DefaultParagraphFont"/>
    <w:link w:val="Heading4"/>
    <w:uiPriority w:val="9"/>
    <w:rsid w:val="00A776A4"/>
    <w:rPr>
      <w:rFonts w:ascii="Franklin Gothic Medium" w:eastAsiaTheme="majorEastAsia" w:hAnsi="Franklin Gothic Medium" w:cstheme="majorBidi"/>
      <w:i/>
      <w:sz w:val="24"/>
      <w:szCs w:val="24"/>
    </w:rPr>
  </w:style>
  <w:style w:type="paragraph" w:customStyle="1" w:styleId="2ChapterText">
    <w:name w:val="2ChapterText"/>
    <w:basedOn w:val="Normal"/>
    <w:qFormat/>
    <w:rsid w:val="00004F7F"/>
    <w:rPr>
      <w:shd w:val="clear" w:color="auto" w:fill="BDD6EE" w:themeFill="accent1" w:themeFillTint="66"/>
    </w:rPr>
  </w:style>
  <w:style w:type="paragraph" w:customStyle="1" w:styleId="1ExplanatoryText">
    <w:name w:val="1ExplanatoryText"/>
    <w:basedOn w:val="Normal"/>
    <w:qFormat/>
    <w:rsid w:val="00225833"/>
    <w:pPr>
      <w:shd w:val="clear" w:color="auto" w:fill="C5E0B3" w:themeFill="accent6" w:themeFillTint="66"/>
    </w:pPr>
  </w:style>
  <w:style w:type="character" w:styleId="Hyperlink">
    <w:name w:val="Hyperlink"/>
    <w:basedOn w:val="DefaultParagraphFont"/>
    <w:uiPriority w:val="99"/>
    <w:unhideWhenUsed/>
    <w:rsid w:val="00997BA8"/>
    <w:rPr>
      <w:color w:val="0070C0"/>
      <w:u w:val="single"/>
    </w:rPr>
  </w:style>
  <w:style w:type="paragraph" w:styleId="TOC1">
    <w:name w:val="toc 1"/>
    <w:basedOn w:val="Normal"/>
    <w:next w:val="Normal"/>
    <w:autoRedefine/>
    <w:uiPriority w:val="39"/>
    <w:unhideWhenUsed/>
    <w:rsid w:val="00C91651"/>
    <w:pPr>
      <w:tabs>
        <w:tab w:val="left" w:pos="1100"/>
        <w:tab w:val="left" w:pos="1531"/>
        <w:tab w:val="right" w:leader="dot" w:pos="9010"/>
      </w:tabs>
      <w:spacing w:after="100" w:line="240" w:lineRule="auto"/>
    </w:pPr>
    <w:rPr>
      <w:rFonts w:asciiTheme="minorHAnsi" w:hAnsiTheme="minorHAnsi"/>
      <w:b/>
    </w:rPr>
  </w:style>
  <w:style w:type="paragraph" w:styleId="TOC2">
    <w:name w:val="toc 2"/>
    <w:basedOn w:val="Normal"/>
    <w:next w:val="Normal"/>
    <w:autoRedefine/>
    <w:uiPriority w:val="39"/>
    <w:unhideWhenUsed/>
    <w:rsid w:val="00944087"/>
    <w:pPr>
      <w:tabs>
        <w:tab w:val="left" w:pos="1089"/>
        <w:tab w:val="right" w:leader="dot" w:pos="9010"/>
      </w:tabs>
      <w:spacing w:after="100" w:line="240" w:lineRule="auto"/>
    </w:pPr>
    <w:rPr>
      <w:rFonts w:asciiTheme="minorHAnsi" w:hAnsiTheme="minorHAnsi"/>
    </w:rPr>
  </w:style>
  <w:style w:type="paragraph" w:styleId="TOC3">
    <w:name w:val="toc 3"/>
    <w:basedOn w:val="Normal"/>
    <w:next w:val="Normal"/>
    <w:autoRedefine/>
    <w:uiPriority w:val="39"/>
    <w:unhideWhenUsed/>
    <w:rsid w:val="0088445B"/>
    <w:pPr>
      <w:spacing w:after="100" w:line="240" w:lineRule="auto"/>
      <w:ind w:left="720"/>
    </w:pPr>
    <w:rPr>
      <w:rFonts w:asciiTheme="minorHAnsi" w:hAnsiTheme="minorHAnsi"/>
    </w:rPr>
  </w:style>
  <w:style w:type="character" w:styleId="FollowedHyperlink">
    <w:name w:val="FollowedHyperlink"/>
    <w:basedOn w:val="DefaultParagraphFont"/>
    <w:uiPriority w:val="99"/>
    <w:semiHidden/>
    <w:unhideWhenUsed/>
    <w:rsid w:val="0088445B"/>
    <w:rPr>
      <w:color w:val="954F72" w:themeColor="followedHyperlink"/>
      <w:u w:val="single"/>
    </w:rPr>
  </w:style>
  <w:style w:type="paragraph" w:styleId="TOC9">
    <w:name w:val="toc 9"/>
    <w:basedOn w:val="Normal"/>
    <w:next w:val="Normal"/>
    <w:autoRedefine/>
    <w:uiPriority w:val="39"/>
    <w:unhideWhenUsed/>
    <w:rsid w:val="00AF3D39"/>
    <w:pPr>
      <w:spacing w:after="100"/>
      <w:ind w:left="1760"/>
    </w:pPr>
  </w:style>
  <w:style w:type="paragraph" w:styleId="Date">
    <w:name w:val="Date"/>
    <w:basedOn w:val="Normal"/>
    <w:next w:val="Normal"/>
    <w:link w:val="DateChar"/>
    <w:rsid w:val="000870B6"/>
    <w:pPr>
      <w:spacing w:before="1134" w:after="800"/>
      <w:ind w:left="4536"/>
    </w:pPr>
    <w:rPr>
      <w:rFonts w:ascii="Arial" w:eastAsia="Times New Roman" w:hAnsi="Arial" w:cs="Tahoma"/>
      <w:b/>
      <w:sz w:val="36"/>
      <w:lang w:eastAsia="en-AU"/>
    </w:rPr>
  </w:style>
  <w:style w:type="character" w:customStyle="1" w:styleId="DateChar">
    <w:name w:val="Date Char"/>
    <w:basedOn w:val="DefaultParagraphFont"/>
    <w:link w:val="Date"/>
    <w:rsid w:val="000870B6"/>
    <w:rPr>
      <w:rFonts w:ascii="Arial" w:eastAsia="Times New Roman" w:hAnsi="Arial" w:cs="Tahoma"/>
      <w:b/>
      <w:sz w:val="36"/>
      <w:lang w:eastAsia="en-AU"/>
    </w:rPr>
  </w:style>
  <w:style w:type="paragraph" w:customStyle="1" w:styleId="PublicationTitle">
    <w:name w:val="PublicationTitle"/>
    <w:basedOn w:val="Normal"/>
    <w:rsid w:val="000870B6"/>
    <w:pPr>
      <w:tabs>
        <w:tab w:val="left" w:pos="4536"/>
      </w:tabs>
      <w:spacing w:before="4536" w:after="800" w:line="480" w:lineRule="exact"/>
      <w:ind w:left="4536" w:right="113"/>
      <w:jc w:val="right"/>
    </w:pPr>
    <w:rPr>
      <w:rFonts w:ascii="Arial" w:eastAsia="Times New Roman" w:hAnsi="Arial" w:cs="Tahoma"/>
      <w:b/>
      <w:i/>
      <w:sz w:val="44"/>
      <w:lang w:eastAsia="en-AU"/>
    </w:rPr>
  </w:style>
  <w:style w:type="paragraph" w:customStyle="1" w:styleId="Sub-title">
    <w:name w:val="Sub-title"/>
    <w:basedOn w:val="Normal"/>
    <w:locked/>
    <w:rsid w:val="00401DBF"/>
    <w:pPr>
      <w:spacing w:before="1701"/>
      <w:ind w:left="4536"/>
    </w:pPr>
    <w:rPr>
      <w:rFonts w:ascii="Arial" w:eastAsia="Times New Roman" w:hAnsi="Arial" w:cs="Tahoma"/>
      <w:b/>
      <w:sz w:val="32"/>
      <w:lang w:eastAsia="en-AU"/>
    </w:rPr>
  </w:style>
  <w:style w:type="paragraph" w:customStyle="1" w:styleId="Nnumberedlist">
    <w:name w:val="Nnumbered list"/>
    <w:basedOn w:val="Normal"/>
    <w:rsid w:val="00AF3D39"/>
    <w:pPr>
      <w:numPr>
        <w:numId w:val="1"/>
      </w:numPr>
      <w:jc w:val="both"/>
    </w:pPr>
    <w:rPr>
      <w:rFonts w:ascii="Calibri" w:eastAsia="Times New Roman" w:hAnsi="Calibri" w:cs="Tahoma"/>
      <w:lang w:eastAsia="en-AU"/>
    </w:rPr>
  </w:style>
  <w:style w:type="paragraph" w:styleId="TOCHeading">
    <w:name w:val="TOC Heading"/>
    <w:basedOn w:val="Heading1"/>
    <w:next w:val="Normal"/>
    <w:uiPriority w:val="39"/>
    <w:unhideWhenUsed/>
    <w:qFormat/>
    <w:rsid w:val="00DE7099"/>
    <w:pPr>
      <w:numPr>
        <w:numId w:val="0"/>
      </w:numPr>
      <w:pBdr>
        <w:bottom w:val="none" w:sz="0" w:space="0" w:color="auto"/>
      </w:pBdr>
      <w:spacing w:before="240" w:after="0" w:line="259" w:lineRule="auto"/>
      <w:outlineLvl w:val="9"/>
    </w:pPr>
    <w:rPr>
      <w:rFonts w:asciiTheme="majorHAnsi" w:hAnsiTheme="majorHAnsi"/>
      <w:color w:val="2E74B5" w:themeColor="accent1" w:themeShade="BF"/>
      <w:sz w:val="32"/>
      <w:lang w:val="en-US"/>
    </w:rPr>
  </w:style>
  <w:style w:type="paragraph" w:styleId="TOC4">
    <w:name w:val="toc 4"/>
    <w:basedOn w:val="Normal"/>
    <w:next w:val="Normal"/>
    <w:autoRedefine/>
    <w:uiPriority w:val="39"/>
    <w:unhideWhenUsed/>
    <w:rsid w:val="00DE7099"/>
    <w:pPr>
      <w:spacing w:after="100"/>
      <w:ind w:left="660"/>
    </w:pPr>
    <w:rPr>
      <w:rFonts w:asciiTheme="minorHAnsi" w:eastAsiaTheme="minorEastAsia" w:hAnsiTheme="minorHAnsi"/>
      <w:lang w:eastAsia="en-AU"/>
    </w:rPr>
  </w:style>
  <w:style w:type="paragraph" w:styleId="TOC5">
    <w:name w:val="toc 5"/>
    <w:basedOn w:val="Normal"/>
    <w:next w:val="Normal"/>
    <w:autoRedefine/>
    <w:uiPriority w:val="39"/>
    <w:unhideWhenUsed/>
    <w:rsid w:val="00DE7099"/>
    <w:pPr>
      <w:spacing w:after="100"/>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DE7099"/>
    <w:pPr>
      <w:spacing w:after="100"/>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DE7099"/>
    <w:pPr>
      <w:spacing w:after="100"/>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DE7099"/>
    <w:pPr>
      <w:spacing w:after="100"/>
      <w:ind w:left="1540"/>
    </w:pPr>
    <w:rPr>
      <w:rFonts w:asciiTheme="minorHAnsi" w:eastAsiaTheme="minorEastAsia" w:hAnsiTheme="minorHAnsi"/>
      <w:lang w:eastAsia="en-AU"/>
    </w:rPr>
  </w:style>
  <w:style w:type="paragraph" w:customStyle="1" w:styleId="In-tableHeading">
    <w:name w:val="In-table Heading"/>
    <w:qFormat/>
    <w:rsid w:val="000472D4"/>
    <w:pPr>
      <w:keepNext/>
      <w:spacing w:after="0" w:line="240" w:lineRule="auto"/>
    </w:pPr>
    <w:rPr>
      <w:rFonts w:ascii="Arial Narrow" w:eastAsiaTheme="majorEastAsia" w:hAnsi="Arial Narrow" w:cs="Times New Roman"/>
      <w:b/>
      <w:sz w:val="20"/>
      <w:szCs w:val="24"/>
      <w:lang w:val="en-US" w:eastAsia="en-AU"/>
    </w:rPr>
  </w:style>
  <w:style w:type="paragraph" w:customStyle="1" w:styleId="TableFigureFooter">
    <w:name w:val="Table/Figure Footer"/>
    <w:basedOn w:val="Normal"/>
    <w:link w:val="TableFigureFooterChar"/>
    <w:qFormat/>
    <w:rsid w:val="009A06F4"/>
    <w:pPr>
      <w:tabs>
        <w:tab w:val="left" w:pos="284"/>
      </w:tabs>
      <w:spacing w:after="360" w:line="240" w:lineRule="auto"/>
    </w:pPr>
    <w:rPr>
      <w:rFonts w:ascii="Arial Narrow" w:eastAsia="Times New Roman" w:hAnsi="Arial Narrow" w:cs="Arial"/>
      <w:snapToGrid w:val="0"/>
      <w:sz w:val="18"/>
      <w:lang w:eastAsia="en-AU"/>
    </w:rPr>
  </w:style>
  <w:style w:type="character" w:customStyle="1" w:styleId="TableFigureFooterChar">
    <w:name w:val="Table/Figure Footer Char"/>
    <w:link w:val="TableFigureFooter"/>
    <w:rsid w:val="009A06F4"/>
    <w:rPr>
      <w:rFonts w:ascii="Arial Narrow" w:eastAsia="Times New Roman" w:hAnsi="Arial Narrow" w:cs="Arial"/>
      <w:snapToGrid w:val="0"/>
      <w:sz w:val="18"/>
      <w:lang w:eastAsia="en-AU"/>
    </w:rPr>
  </w:style>
  <w:style w:type="character" w:styleId="Emphasis">
    <w:name w:val="Emphasis"/>
    <w:uiPriority w:val="20"/>
    <w:qFormat/>
    <w:rsid w:val="00566298"/>
    <w:rPr>
      <w:i/>
      <w:iCs/>
    </w:rPr>
  </w:style>
  <w:style w:type="paragraph" w:styleId="Header">
    <w:name w:val="header"/>
    <w:basedOn w:val="Normal"/>
    <w:link w:val="HeaderChar"/>
    <w:uiPriority w:val="99"/>
    <w:unhideWhenUsed/>
    <w:rsid w:val="00B62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DF2"/>
    <w:rPr>
      <w:rFonts w:ascii="Franklin Gothic Book" w:hAnsi="Franklin Gothic Book"/>
    </w:rPr>
  </w:style>
  <w:style w:type="paragraph" w:styleId="Footer">
    <w:name w:val="footer"/>
    <w:basedOn w:val="Normal"/>
    <w:link w:val="FooterChar"/>
    <w:uiPriority w:val="99"/>
    <w:unhideWhenUsed/>
    <w:rsid w:val="00B62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DF2"/>
    <w:rPr>
      <w:rFonts w:ascii="Franklin Gothic Book" w:hAnsi="Franklin Gothic Book"/>
    </w:rPr>
  </w:style>
  <w:style w:type="paragraph" w:customStyle="1" w:styleId="Tablenotes">
    <w:name w:val="Tablenotes"/>
    <w:basedOn w:val="Normal"/>
    <w:link w:val="TablenotesChar"/>
    <w:qFormat/>
    <w:rsid w:val="00242F4E"/>
    <w:pPr>
      <w:widowControl w:val="0"/>
      <w:spacing w:after="120" w:line="240" w:lineRule="auto"/>
      <w:contextualSpacing/>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242F4E"/>
    <w:rPr>
      <w:rFonts w:ascii="Arial Narrow" w:eastAsia="Times New Roman" w:hAnsi="Arial Narrow" w:cs="Arial"/>
      <w:snapToGrid w:val="0"/>
      <w:sz w:val="18"/>
      <w:szCs w:val="20"/>
    </w:rPr>
  </w:style>
  <w:style w:type="character" w:customStyle="1" w:styleId="ListParagraphChar">
    <w:name w:val="List Paragraph Char"/>
    <w:aliases w:val="Bullet List Char"/>
    <w:basedOn w:val="DefaultParagraphFont"/>
    <w:link w:val="ListParagraph"/>
    <w:uiPriority w:val="34"/>
    <w:rsid w:val="00A454B3"/>
    <w:rPr>
      <w:rFonts w:ascii="Franklin Gothic Book" w:hAnsi="Franklin Gothic Book"/>
    </w:rPr>
  </w:style>
  <w:style w:type="table" w:customStyle="1" w:styleId="TableGridLight1">
    <w:name w:val="Table Grid Light1"/>
    <w:basedOn w:val="TableNormal"/>
    <w:uiPriority w:val="40"/>
    <w:rsid w:val="00BA59FB"/>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F2F2F2" w:themeFill="background1" w:themeFillShade="F2"/>
      </w:tcPr>
    </w:tblStylePr>
  </w:style>
  <w:style w:type="paragraph" w:customStyle="1" w:styleId="Bullet">
    <w:name w:val="Bullet"/>
    <w:basedOn w:val="Normal"/>
    <w:qFormat/>
    <w:rsid w:val="00BA59FB"/>
    <w:pPr>
      <w:numPr>
        <w:numId w:val="2"/>
      </w:numPr>
      <w:spacing w:after="120" w:line="240" w:lineRule="auto"/>
    </w:pPr>
    <w:rPr>
      <w:rFonts w:asciiTheme="minorHAnsi" w:hAnsiTheme="minorHAnsi"/>
    </w:rPr>
  </w:style>
  <w:style w:type="paragraph" w:customStyle="1" w:styleId="TableFigureHeading">
    <w:name w:val="Table/Figure Heading"/>
    <w:next w:val="In-tableHeading"/>
    <w:link w:val="TableFigureHeadingChar"/>
    <w:qFormat/>
    <w:rsid w:val="00F257B5"/>
    <w:pPr>
      <w:keepNext/>
      <w:spacing w:after="0" w:line="240" w:lineRule="auto"/>
    </w:pPr>
    <w:rPr>
      <w:rFonts w:ascii="Arial Narrow" w:eastAsiaTheme="majorEastAsia" w:hAnsi="Arial Narrow" w:cstheme="majorBidi"/>
      <w:b/>
      <w:bCs/>
      <w:sz w:val="20"/>
      <w:szCs w:val="24"/>
      <w:lang w:eastAsia="en-AU"/>
    </w:rPr>
  </w:style>
  <w:style w:type="character" w:customStyle="1" w:styleId="TableFigureHeadingChar">
    <w:name w:val="Table/Figure Heading Char"/>
    <w:basedOn w:val="DefaultParagraphFont"/>
    <w:link w:val="TableFigureHeading"/>
    <w:rsid w:val="00F257B5"/>
    <w:rPr>
      <w:rFonts w:ascii="Arial Narrow" w:eastAsiaTheme="majorEastAsia" w:hAnsi="Arial Narrow" w:cstheme="majorBidi"/>
      <w:b/>
      <w:bCs/>
      <w:sz w:val="20"/>
      <w:szCs w:val="24"/>
      <w:lang w:eastAsia="en-AU"/>
    </w:rPr>
  </w:style>
  <w:style w:type="paragraph" w:customStyle="1" w:styleId="Tabletext0">
    <w:name w:val="Table text"/>
    <w:basedOn w:val="Normal"/>
    <w:link w:val="TabletextChar0"/>
    <w:qFormat/>
    <w:rsid w:val="001B2CD4"/>
    <w:pPr>
      <w:spacing w:before="40" w:after="40" w:line="240" w:lineRule="auto"/>
      <w:jc w:val="both"/>
    </w:pPr>
    <w:rPr>
      <w:rFonts w:ascii="Arial Narrow" w:eastAsia="Times New Roman" w:hAnsi="Arial Narrow" w:cs="Tahoma"/>
      <w:sz w:val="20"/>
      <w:szCs w:val="20"/>
      <w:lang w:eastAsia="en-AU"/>
    </w:rPr>
  </w:style>
  <w:style w:type="character" w:customStyle="1" w:styleId="TabletextChar0">
    <w:name w:val="Table text Char"/>
    <w:link w:val="Tabletext0"/>
    <w:rsid w:val="001B2CD4"/>
    <w:rPr>
      <w:rFonts w:ascii="Arial Narrow" w:eastAsia="Times New Roman" w:hAnsi="Arial Narrow" w:cs="Tahoma"/>
      <w:sz w:val="20"/>
      <w:szCs w:val="20"/>
      <w:lang w:eastAsia="en-AU"/>
    </w:rPr>
  </w:style>
  <w:style w:type="paragraph" w:customStyle="1" w:styleId="Tablenotes0">
    <w:name w:val="Table notes"/>
    <w:basedOn w:val="Normal"/>
    <w:link w:val="TablenotesChar0"/>
    <w:qFormat/>
    <w:rsid w:val="001B2CD4"/>
    <w:pPr>
      <w:spacing w:after="240"/>
      <w:contextualSpacing/>
      <w:jc w:val="both"/>
    </w:pPr>
    <w:rPr>
      <w:rFonts w:ascii="Arial Narrow" w:hAnsi="Arial Narrow" w:cs="Arial"/>
      <w:sz w:val="18"/>
    </w:rPr>
  </w:style>
  <w:style w:type="character" w:customStyle="1" w:styleId="TablenotesChar0">
    <w:name w:val="Table notes Char"/>
    <w:basedOn w:val="DefaultParagraphFont"/>
    <w:link w:val="Tablenotes0"/>
    <w:rsid w:val="001B2CD4"/>
    <w:rPr>
      <w:rFonts w:ascii="Arial Narrow" w:hAnsi="Arial Narrow" w:cs="Arial"/>
      <w:sz w:val="18"/>
    </w:rPr>
  </w:style>
  <w:style w:type="numbering" w:customStyle="1" w:styleId="ESSectionheading-numbered">
    <w:name w:val="ES. Section heading - numbered"/>
    <w:uiPriority w:val="99"/>
    <w:rsid w:val="002A4084"/>
    <w:pPr>
      <w:numPr>
        <w:numId w:val="3"/>
      </w:numPr>
    </w:pPr>
  </w:style>
  <w:style w:type="paragraph" w:customStyle="1" w:styleId="2-SectionHeading">
    <w:name w:val="2-Section Heading"/>
    <w:qFormat/>
    <w:rsid w:val="005131D3"/>
    <w:pPr>
      <w:keepNext/>
      <w:numPr>
        <w:numId w:val="4"/>
      </w:numPr>
      <w:spacing w:before="240" w:after="120" w:line="240" w:lineRule="auto"/>
      <w:outlineLvl w:val="0"/>
    </w:pPr>
    <w:rPr>
      <w:rFonts w:eastAsia="Times New Roman" w:cs="Arial"/>
      <w:b/>
      <w:snapToGrid w:val="0"/>
      <w:sz w:val="32"/>
      <w:szCs w:val="32"/>
      <w:lang w:eastAsia="en-AU"/>
    </w:rPr>
  </w:style>
  <w:style w:type="paragraph" w:customStyle="1" w:styleId="3-BodyText">
    <w:name w:val="3-Body Text"/>
    <w:basedOn w:val="ListParagraph"/>
    <w:qFormat/>
    <w:rsid w:val="005131D3"/>
    <w:pPr>
      <w:numPr>
        <w:ilvl w:val="1"/>
        <w:numId w:val="4"/>
      </w:numPr>
      <w:spacing w:after="120" w:line="240" w:lineRule="auto"/>
      <w:contextualSpacing w:val="0"/>
      <w:jc w:val="both"/>
    </w:pPr>
    <w:rPr>
      <w:rFonts w:asciiTheme="minorHAnsi" w:eastAsia="Times New Roman" w:hAnsiTheme="minorHAnsi" w:cs="Arial"/>
      <w:snapToGrid w:val="0"/>
      <w:sz w:val="24"/>
      <w:szCs w:val="24"/>
      <w:lang w:eastAsia="en-AU"/>
    </w:rPr>
  </w:style>
  <w:style w:type="paragraph" w:customStyle="1" w:styleId="BoxName">
    <w:name w:val="Box Name"/>
    <w:basedOn w:val="Normal"/>
    <w:qFormat/>
    <w:rsid w:val="002B667C"/>
    <w:pPr>
      <w:pBdr>
        <w:top w:val="single" w:sz="4" w:space="4" w:color="auto"/>
        <w:left w:val="single" w:sz="4" w:space="4" w:color="auto"/>
        <w:bottom w:val="single" w:sz="4" w:space="4" w:color="auto"/>
        <w:right w:val="single" w:sz="4" w:space="4" w:color="auto"/>
      </w:pBdr>
      <w:spacing w:after="120" w:line="240" w:lineRule="auto"/>
    </w:pPr>
    <w:rPr>
      <w:rFonts w:ascii="Franklin Gothic Medium" w:hAnsi="Franklin Gothic Medium"/>
      <w:sz w:val="21"/>
    </w:rPr>
  </w:style>
  <w:style w:type="character" w:customStyle="1" w:styleId="InstructionBulletpointChar">
    <w:name w:val="Instruction Bullet point Char"/>
    <w:basedOn w:val="DefaultParagraphFont"/>
    <w:link w:val="InstructionBulletpoint"/>
    <w:uiPriority w:val="3"/>
    <w:locked/>
    <w:rsid w:val="00107DCD"/>
    <w:rPr>
      <w:rFonts w:ascii="Calibri" w:hAnsi="Calibri" w:cs="Calibri"/>
      <w:color w:val="0070C0"/>
      <w:sz w:val="24"/>
    </w:rPr>
  </w:style>
  <w:style w:type="paragraph" w:customStyle="1" w:styleId="InstructionBulletpoint">
    <w:name w:val="Instruction Bullet point"/>
    <w:basedOn w:val="Normal"/>
    <w:link w:val="InstructionBulletpointChar"/>
    <w:uiPriority w:val="3"/>
    <w:qFormat/>
    <w:rsid w:val="00107DCD"/>
    <w:pPr>
      <w:numPr>
        <w:numId w:val="5"/>
      </w:numPr>
      <w:spacing w:after="120" w:line="240" w:lineRule="auto"/>
      <w:ind w:left="714" w:hanging="357"/>
    </w:pPr>
    <w:rPr>
      <w:rFonts w:ascii="Calibri" w:hAnsi="Calibri" w:cs="Calibri"/>
      <w:color w:val="0070C0"/>
      <w:sz w:val="24"/>
    </w:rPr>
  </w:style>
  <w:style w:type="character" w:customStyle="1" w:styleId="TableFooterChar">
    <w:name w:val="Table Footer Char"/>
    <w:link w:val="TableFooter"/>
    <w:locked/>
    <w:rsid w:val="007B0880"/>
    <w:rPr>
      <w:rFonts w:ascii="Arial Narrow" w:eastAsia="Times New Roman" w:hAnsi="Arial Narrow" w:cs="Arial"/>
      <w:sz w:val="18"/>
      <w:szCs w:val="20"/>
    </w:rPr>
  </w:style>
  <w:style w:type="paragraph" w:customStyle="1" w:styleId="TableFooter">
    <w:name w:val="Table Footer"/>
    <w:basedOn w:val="Normal"/>
    <w:link w:val="TableFooterChar"/>
    <w:qFormat/>
    <w:rsid w:val="007B0880"/>
    <w:pPr>
      <w:widowControl w:val="0"/>
      <w:snapToGrid w:val="0"/>
      <w:spacing w:after="240" w:line="240" w:lineRule="auto"/>
      <w:contextualSpacing/>
      <w:jc w:val="both"/>
    </w:pPr>
    <w:rPr>
      <w:rFonts w:ascii="Arial Narrow" w:eastAsia="Times New Roman" w:hAnsi="Arial Narrow" w:cs="Arial"/>
      <w:sz w:val="18"/>
      <w:szCs w:val="20"/>
    </w:rPr>
  </w:style>
  <w:style w:type="table" w:customStyle="1" w:styleId="PBACTableStyle">
    <w:name w:val="PBAC Table Style"/>
    <w:basedOn w:val="TableGrid10"/>
    <w:uiPriority w:val="99"/>
    <w:rsid w:val="007B0880"/>
    <w:pPr>
      <w:widowControl w:val="0"/>
      <w:spacing w:before="120" w:after="0" w:line="240" w:lineRule="auto"/>
      <w:contextualSpacing/>
      <w:jc w:val="center"/>
    </w:pPr>
    <w:rPr>
      <w:rFonts w:ascii="Arial Narrow" w:hAnsi="Arial Narrow"/>
      <w:color w:val="000000" w:themeColor="text1"/>
      <w:sz w:val="20"/>
      <w:szCs w:val="20"/>
      <w:lang w:val="en-US"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ind w:leftChars="0" w:left="0" w:rightChars="0" w:right="0" w:firstLineChars="0" w:firstLine="0"/>
        <w:contextualSpacing/>
        <w:jc w:val="center"/>
      </w:pPr>
      <w:rPr>
        <w:rFonts w:ascii="Arial Narrow" w:hAnsi="Arial Narrow" w:hint="default"/>
        <w:b/>
        <w:sz w:val="20"/>
        <w:szCs w:val="20"/>
      </w:rPr>
    </w:tblStylePr>
    <w:tblStylePr w:type="lastRow">
      <w:rPr>
        <w:i/>
        <w:iCs/>
      </w:rPr>
      <w:tblPr/>
      <w:tcPr>
        <w:tcBorders>
          <w:tl2br w:val="none" w:sz="0" w:space="0" w:color="auto"/>
          <w:tr2bl w:val="none" w:sz="0" w:space="0" w:color="auto"/>
        </w:tcBorders>
      </w:tcPr>
    </w:tblStylePr>
    <w:tblStylePr w:type="firstCol">
      <w:pPr>
        <w:wordWrap/>
        <w:spacing w:beforeLines="0" w:before="100" w:beforeAutospacing="1" w:afterLines="0" w:after="100" w:afterAutospacing="1" w:line="240" w:lineRule="auto"/>
        <w:ind w:leftChars="0" w:left="0" w:rightChars="0" w:right="0"/>
        <w:contextualSpacing/>
        <w:jc w:val="left"/>
      </w:pPr>
      <w:rPr>
        <w:rFonts w:ascii="Arial Narrow" w:hAnsi="Arial Narrow" w:hint="default"/>
        <w:sz w:val="20"/>
        <w:szCs w:val="20"/>
      </w:rPr>
    </w:tblStylePr>
    <w:tblStylePr w:type="lastCol">
      <w:pPr>
        <w:wordWrap/>
        <w:spacing w:beforeLines="0" w:before="100" w:beforeAutospacing="1" w:afterLines="0" w:after="100" w:afterAutospacing="1" w:line="240" w:lineRule="auto"/>
        <w:ind w:leftChars="0" w:left="0" w:rightChars="0" w:right="0" w:firstLineChars="0" w:firstLine="0"/>
        <w:contextualSpacing/>
      </w:pPr>
      <w:rPr>
        <w:rFonts w:ascii="Arial Narrow" w:hAnsi="Arial Narrow" w:hint="default"/>
        <w:i/>
        <w:iCs/>
        <w:sz w:val="20"/>
        <w:szCs w:val="20"/>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B088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MSACESParagraphChar">
    <w:name w:val="MSAC ES Paragraph Char"/>
    <w:basedOn w:val="DefaultParagraphFont"/>
    <w:link w:val="MSACESParagraph"/>
    <w:uiPriority w:val="1"/>
    <w:locked/>
    <w:rsid w:val="000B720C"/>
    <w:rPr>
      <w:rFonts w:ascii="Times New Roman" w:hAnsi="Times New Roman" w:cs="Times New Roman"/>
      <w:sz w:val="24"/>
    </w:rPr>
  </w:style>
  <w:style w:type="paragraph" w:customStyle="1" w:styleId="MSACESParagraph">
    <w:name w:val="MSAC ES Paragraph"/>
    <w:link w:val="MSACESParagraphChar"/>
    <w:uiPriority w:val="1"/>
    <w:qFormat/>
    <w:rsid w:val="000B720C"/>
    <w:pPr>
      <w:spacing w:after="240" w:line="240" w:lineRule="auto"/>
    </w:pPr>
    <w:rPr>
      <w:rFonts w:ascii="Times New Roman" w:hAnsi="Times New Roman" w:cs="Times New Roman"/>
      <w:sz w:val="24"/>
    </w:rPr>
  </w:style>
  <w:style w:type="paragraph" w:styleId="FootnoteText">
    <w:name w:val="footnote text"/>
    <w:basedOn w:val="Normal"/>
    <w:link w:val="FootnoteTextChar"/>
    <w:uiPriority w:val="99"/>
    <w:unhideWhenUsed/>
    <w:rsid w:val="00804632"/>
    <w:pPr>
      <w:spacing w:after="0" w:line="240" w:lineRule="auto"/>
    </w:pPr>
    <w:rPr>
      <w:rFonts w:asciiTheme="minorHAnsi" w:hAnsiTheme="minorHAnsi"/>
      <w:sz w:val="18"/>
      <w:szCs w:val="20"/>
    </w:rPr>
  </w:style>
  <w:style w:type="character" w:customStyle="1" w:styleId="FootnoteTextChar">
    <w:name w:val="Footnote Text Char"/>
    <w:basedOn w:val="DefaultParagraphFont"/>
    <w:link w:val="FootnoteText"/>
    <w:uiPriority w:val="99"/>
    <w:rsid w:val="00804632"/>
    <w:rPr>
      <w:sz w:val="18"/>
      <w:szCs w:val="20"/>
    </w:rPr>
  </w:style>
  <w:style w:type="character" w:styleId="FootnoteReference">
    <w:name w:val="footnote reference"/>
    <w:basedOn w:val="DefaultParagraphFont"/>
    <w:uiPriority w:val="99"/>
    <w:unhideWhenUsed/>
    <w:rsid w:val="00804632"/>
    <w:rPr>
      <w:vertAlign w:val="superscript"/>
    </w:rPr>
  </w:style>
  <w:style w:type="paragraph" w:customStyle="1" w:styleId="TableFigNoteHanging">
    <w:name w:val="TableFigNoteHanging"/>
    <w:basedOn w:val="TableFigNoteHangingLast"/>
    <w:qFormat/>
    <w:rsid w:val="00804632"/>
    <w:pPr>
      <w:spacing w:after="0"/>
      <w:contextualSpacing w:val="0"/>
    </w:pPr>
    <w:rPr>
      <w:rFonts w:asciiTheme="minorHAnsi" w:hAnsiTheme="minorHAnsi"/>
    </w:rPr>
  </w:style>
  <w:style w:type="table" w:customStyle="1" w:styleId="TableGrid2">
    <w:name w:val="Table Grid2"/>
    <w:basedOn w:val="TableNormal"/>
    <w:next w:val="TableGrid"/>
    <w:uiPriority w:val="59"/>
    <w:rsid w:val="00804632"/>
    <w:pPr>
      <w:spacing w:after="240" w:line="240" w:lineRule="auto"/>
      <w:ind w:left="720"/>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mmaryboxheading">
    <w:name w:val="Summary box heading"/>
    <w:basedOn w:val="Normal"/>
    <w:rsid w:val="00666A58"/>
    <w:pPr>
      <w:spacing w:after="100" w:afterAutospacing="1"/>
      <w:jc w:val="both"/>
    </w:pPr>
    <w:rPr>
      <w:rFonts w:ascii="Arial Narrow" w:eastAsia="Times New Roman" w:hAnsi="Arial Narrow" w:cs="Tahoma"/>
      <w:b/>
      <w:lang w:eastAsia="en-AU"/>
    </w:rPr>
  </w:style>
  <w:style w:type="paragraph" w:customStyle="1" w:styleId="TableText1">
    <w:name w:val="TableText"/>
    <w:basedOn w:val="Normal"/>
    <w:link w:val="TableTextChar1"/>
    <w:rsid w:val="001C2A48"/>
    <w:pPr>
      <w:keepNext/>
      <w:spacing w:before="40" w:after="40"/>
      <w:jc w:val="both"/>
    </w:pPr>
    <w:rPr>
      <w:rFonts w:ascii="Arial Narrow" w:eastAsia="Times New Roman" w:hAnsi="Arial Narrow" w:cs="Tahoma"/>
      <w:sz w:val="18"/>
      <w:lang w:eastAsia="en-AU"/>
    </w:rPr>
  </w:style>
  <w:style w:type="character" w:customStyle="1" w:styleId="TableTextChar1">
    <w:name w:val="TableText Char"/>
    <w:link w:val="TableText1"/>
    <w:rsid w:val="001C2A48"/>
    <w:rPr>
      <w:rFonts w:ascii="Arial Narrow" w:eastAsia="Times New Roman" w:hAnsi="Arial Narrow" w:cs="Tahoma"/>
      <w:sz w:val="18"/>
      <w:lang w:eastAsia="en-AU"/>
    </w:rPr>
  </w:style>
  <w:style w:type="paragraph" w:customStyle="1" w:styleId="References">
    <w:name w:val="References"/>
    <w:basedOn w:val="Normal"/>
    <w:rsid w:val="001C2A48"/>
    <w:pPr>
      <w:keepLines/>
      <w:spacing w:after="240" w:line="312" w:lineRule="auto"/>
      <w:ind w:left="1440" w:hanging="720"/>
    </w:pPr>
    <w:rPr>
      <w:rFonts w:ascii="Calibri" w:eastAsia="Times New Roman" w:hAnsi="Calibri" w:cs="Tahoma"/>
      <w:lang w:eastAsia="en-AU"/>
    </w:rPr>
  </w:style>
  <w:style w:type="paragraph" w:styleId="Title">
    <w:name w:val="Title"/>
    <w:basedOn w:val="Normal"/>
    <w:next w:val="Normal"/>
    <w:link w:val="TitleChar"/>
    <w:qFormat/>
    <w:rsid w:val="00772829"/>
    <w:pPr>
      <w:spacing w:before="480" w:after="240" w:line="240" w:lineRule="auto"/>
      <w:jc w:val="center"/>
    </w:pPr>
    <w:rPr>
      <w:rFonts w:ascii="Arial" w:eastAsia="Times New Roman" w:hAnsi="Arial" w:cs="Arial"/>
      <w:b/>
      <w:bCs/>
      <w:color w:val="000080"/>
      <w:sz w:val="36"/>
      <w:szCs w:val="36"/>
      <w:lang w:eastAsia="en-AU"/>
    </w:rPr>
  </w:style>
  <w:style w:type="character" w:customStyle="1" w:styleId="TitleChar">
    <w:name w:val="Title Char"/>
    <w:basedOn w:val="DefaultParagraphFont"/>
    <w:link w:val="Title"/>
    <w:rsid w:val="00772829"/>
    <w:rPr>
      <w:rFonts w:ascii="Arial" w:eastAsia="Times New Roman" w:hAnsi="Arial" w:cs="Arial"/>
      <w:b/>
      <w:bCs/>
      <w:color w:val="000080"/>
      <w:sz w:val="36"/>
      <w:szCs w:val="36"/>
      <w:lang w:eastAsia="en-AU"/>
    </w:rPr>
  </w:style>
  <w:style w:type="paragraph" w:styleId="Subtitle">
    <w:name w:val="Subtitle"/>
    <w:basedOn w:val="Normal"/>
    <w:next w:val="Normal"/>
    <w:link w:val="SubtitleChar"/>
    <w:qFormat/>
    <w:rsid w:val="00772829"/>
    <w:pPr>
      <w:spacing w:after="240" w:line="240" w:lineRule="auto"/>
      <w:jc w:val="center"/>
    </w:pPr>
    <w:rPr>
      <w:rFonts w:ascii="Arial" w:eastAsia="Times New Roman" w:hAnsi="Arial" w:cs="Arial"/>
      <w:b/>
      <w:bCs/>
      <w:i/>
      <w:color w:val="000080"/>
      <w:sz w:val="28"/>
      <w:szCs w:val="28"/>
      <w:lang w:eastAsia="en-AU"/>
    </w:rPr>
  </w:style>
  <w:style w:type="character" w:customStyle="1" w:styleId="SubtitleChar">
    <w:name w:val="Subtitle Char"/>
    <w:basedOn w:val="DefaultParagraphFont"/>
    <w:link w:val="Subtitle"/>
    <w:rsid w:val="00772829"/>
    <w:rPr>
      <w:rFonts w:ascii="Arial" w:eastAsia="Times New Roman" w:hAnsi="Arial" w:cs="Arial"/>
      <w:b/>
      <w:bCs/>
      <w:i/>
      <w:color w:val="000080"/>
      <w:sz w:val="28"/>
      <w:szCs w:val="28"/>
      <w:lang w:eastAsia="en-AU"/>
    </w:rPr>
  </w:style>
  <w:style w:type="paragraph" w:customStyle="1" w:styleId="ESHeading1">
    <w:name w:val="ES Heading1"/>
    <w:basedOn w:val="Heading2"/>
    <w:next w:val="Normal"/>
    <w:qFormat/>
    <w:rsid w:val="002C70CE"/>
    <w:pPr>
      <w:numPr>
        <w:ilvl w:val="0"/>
        <w:numId w:val="6"/>
      </w:numPr>
      <w:spacing w:before="240"/>
      <w:ind w:left="2154" w:hanging="357"/>
    </w:pPr>
  </w:style>
  <w:style w:type="paragraph" w:customStyle="1" w:styleId="NormalBeforeBullet">
    <w:name w:val="Normal Before Bullet"/>
    <w:basedOn w:val="Normal"/>
    <w:qFormat/>
    <w:rsid w:val="00091C59"/>
    <w:pPr>
      <w:keepNext/>
      <w:spacing w:after="120" w:line="240" w:lineRule="auto"/>
    </w:pPr>
    <w:rPr>
      <w:rFonts w:asciiTheme="minorHAnsi" w:hAnsiTheme="minorHAnsi"/>
    </w:rPr>
  </w:style>
  <w:style w:type="paragraph" w:customStyle="1" w:styleId="Dash">
    <w:name w:val="Dash"/>
    <w:basedOn w:val="Bullet"/>
    <w:qFormat/>
    <w:rsid w:val="00091C59"/>
    <w:pPr>
      <w:numPr>
        <w:numId w:val="7"/>
      </w:numPr>
      <w:spacing w:after="40"/>
      <w:ind w:left="714" w:hanging="357"/>
    </w:pPr>
  </w:style>
  <w:style w:type="paragraph" w:customStyle="1" w:styleId="Instructionaltext">
    <w:name w:val="Instructional text"/>
    <w:basedOn w:val="Normal"/>
    <w:link w:val="InstructionaltextChar"/>
    <w:qFormat/>
    <w:rsid w:val="00E436A2"/>
    <w:rPr>
      <w:color w:val="258221"/>
    </w:rPr>
  </w:style>
  <w:style w:type="character" w:customStyle="1" w:styleId="UnresolvedMention1">
    <w:name w:val="Unresolved Mention1"/>
    <w:basedOn w:val="DefaultParagraphFont"/>
    <w:uiPriority w:val="99"/>
    <w:semiHidden/>
    <w:unhideWhenUsed/>
    <w:rsid w:val="00997BA8"/>
    <w:rPr>
      <w:color w:val="605E5C"/>
      <w:shd w:val="clear" w:color="auto" w:fill="E1DFDD"/>
    </w:rPr>
  </w:style>
  <w:style w:type="character" w:customStyle="1" w:styleId="InstructionaltextChar">
    <w:name w:val="Instructional text Char"/>
    <w:basedOn w:val="DefaultParagraphFont"/>
    <w:link w:val="Instructionaltext"/>
    <w:rsid w:val="00DF39E9"/>
    <w:rPr>
      <w:rFonts w:ascii="Franklin Gothic Book" w:hAnsi="Franklin Gothic Book"/>
      <w:color w:val="258221"/>
    </w:rPr>
  </w:style>
  <w:style w:type="paragraph" w:customStyle="1" w:styleId="Instructionaltext-bullet">
    <w:name w:val="Instructional text - bullet"/>
    <w:basedOn w:val="Instructionaltext"/>
    <w:qFormat/>
    <w:rsid w:val="002463A6"/>
    <w:pPr>
      <w:numPr>
        <w:numId w:val="8"/>
      </w:numPr>
      <w:spacing w:before="0" w:after="0"/>
    </w:pPr>
  </w:style>
  <w:style w:type="paragraph" w:customStyle="1" w:styleId="Instructionaltext-afterfiguretable">
    <w:name w:val="Instructional text - after figure/table"/>
    <w:basedOn w:val="Instructionaltext"/>
    <w:qFormat/>
    <w:rsid w:val="00B151CF"/>
    <w:pPr>
      <w:spacing w:before="360"/>
    </w:pPr>
  </w:style>
  <w:style w:type="paragraph" w:customStyle="1" w:styleId="Guidelinescross-ref">
    <w:name w:val="Guidelines cross-ref"/>
    <w:basedOn w:val="Normal"/>
    <w:qFormat/>
    <w:rsid w:val="005B7D6C"/>
    <w:pPr>
      <w:spacing w:before="240" w:after="240"/>
    </w:pPr>
    <w:rPr>
      <w:b/>
      <w:color w:val="0070C0"/>
      <w:sz w:val="24"/>
    </w:rPr>
  </w:style>
  <w:style w:type="paragraph" w:styleId="Revision">
    <w:name w:val="Revision"/>
    <w:hidden/>
    <w:uiPriority w:val="99"/>
    <w:semiHidden/>
    <w:rsid w:val="00610ABA"/>
    <w:pPr>
      <w:spacing w:after="0" w:line="240" w:lineRule="auto"/>
    </w:pPr>
    <w:rPr>
      <w:rFonts w:ascii="Franklin Gothic Book" w:hAnsi="Franklin Gothic Book"/>
    </w:rPr>
  </w:style>
  <w:style w:type="character" w:customStyle="1" w:styleId="UnresolvedMention2">
    <w:name w:val="Unresolved Mention2"/>
    <w:basedOn w:val="DefaultParagraphFont"/>
    <w:uiPriority w:val="99"/>
    <w:semiHidden/>
    <w:unhideWhenUsed/>
    <w:rsid w:val="00223664"/>
    <w:rPr>
      <w:color w:val="605E5C"/>
      <w:shd w:val="clear" w:color="auto" w:fill="E1DFDD"/>
    </w:rPr>
  </w:style>
  <w:style w:type="paragraph" w:styleId="EndnoteText">
    <w:name w:val="endnote text"/>
    <w:basedOn w:val="Normal"/>
    <w:link w:val="EndnoteTextChar"/>
    <w:uiPriority w:val="99"/>
    <w:semiHidden/>
    <w:unhideWhenUsed/>
    <w:rsid w:val="00BF7D5C"/>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BF7D5C"/>
    <w:rPr>
      <w:rFonts w:ascii="Franklin Gothic Book" w:hAnsi="Franklin Gothic Book"/>
      <w:sz w:val="20"/>
      <w:szCs w:val="20"/>
    </w:rPr>
  </w:style>
  <w:style w:type="character" w:styleId="EndnoteReference">
    <w:name w:val="endnote reference"/>
    <w:basedOn w:val="DefaultParagraphFont"/>
    <w:uiPriority w:val="99"/>
    <w:semiHidden/>
    <w:unhideWhenUsed/>
    <w:rsid w:val="00BF7D5C"/>
    <w:rPr>
      <w:vertAlign w:val="superscript"/>
    </w:rPr>
  </w:style>
  <w:style w:type="paragraph" w:customStyle="1" w:styleId="TableNotes1">
    <w:name w:val="Table Notes"/>
    <w:basedOn w:val="Normal"/>
    <w:next w:val="Normal"/>
    <w:link w:val="TableNotesChar1"/>
    <w:qFormat/>
    <w:rsid w:val="0099618C"/>
    <w:pPr>
      <w:keepLines/>
      <w:spacing w:before="0" w:after="360" w:line="240" w:lineRule="auto"/>
      <w:contextualSpacing/>
    </w:pPr>
    <w:rPr>
      <w:rFonts w:ascii="Arial" w:eastAsia="Times New Roman" w:hAnsi="Arial" w:cs="Times New Roman"/>
      <w:sz w:val="16"/>
      <w:szCs w:val="16"/>
      <w:lang w:eastAsia="en-AU"/>
    </w:rPr>
  </w:style>
  <w:style w:type="character" w:customStyle="1" w:styleId="TableNotesChar1">
    <w:name w:val="Table Notes Char"/>
    <w:link w:val="TableNotes1"/>
    <w:rsid w:val="0099618C"/>
    <w:rPr>
      <w:rFonts w:ascii="Arial" w:eastAsia="Times New Roman" w:hAnsi="Arial" w:cs="Times New Roman"/>
      <w:sz w:val="16"/>
      <w:szCs w:val="16"/>
      <w:lang w:eastAsia="en-AU"/>
    </w:rPr>
  </w:style>
  <w:style w:type="character" w:styleId="Mention">
    <w:name w:val="Mention"/>
    <w:basedOn w:val="DefaultParagraphFont"/>
    <w:uiPriority w:val="99"/>
    <w:unhideWhenUsed/>
    <w:rsid w:val="00B804C3"/>
    <w:rPr>
      <w:color w:val="2B579A"/>
      <w:shd w:val="clear" w:color="auto" w:fill="E1DFDD"/>
    </w:rPr>
  </w:style>
  <w:style w:type="paragraph" w:customStyle="1" w:styleId="TableNote">
    <w:name w:val="Table Note"/>
    <w:basedOn w:val="Normal"/>
    <w:rsid w:val="004F4778"/>
    <w:pPr>
      <w:spacing w:before="0" w:after="240" w:line="240" w:lineRule="auto"/>
    </w:pPr>
    <w:rPr>
      <w:rFonts w:ascii="Arial" w:eastAsia="Times New Roman" w:hAnsi="Arial" w:cs="Times New Roman"/>
      <w:sz w:val="16"/>
      <w:szCs w:val="20"/>
    </w:rPr>
  </w:style>
  <w:style w:type="character" w:styleId="UnresolvedMention">
    <w:name w:val="Unresolved Mention"/>
    <w:basedOn w:val="DefaultParagraphFont"/>
    <w:uiPriority w:val="99"/>
    <w:semiHidden/>
    <w:unhideWhenUsed/>
    <w:rsid w:val="00790A2C"/>
    <w:rPr>
      <w:color w:val="605E5C"/>
      <w:shd w:val="clear" w:color="auto" w:fill="E1DFDD"/>
    </w:rPr>
  </w:style>
  <w:style w:type="paragraph" w:customStyle="1" w:styleId="BoxName0">
    <w:name w:val="BoxName"/>
    <w:basedOn w:val="Normal"/>
    <w:rsid w:val="00A85CAB"/>
    <w:pPr>
      <w:keepNext/>
      <w:pBdr>
        <w:top w:val="single" w:sz="4" w:space="4" w:color="000000"/>
        <w:left w:val="single" w:sz="4" w:space="4" w:color="000000"/>
        <w:bottom w:val="single" w:sz="4" w:space="4" w:color="000000"/>
        <w:right w:val="single" w:sz="4" w:space="4" w:color="000000"/>
      </w:pBdr>
      <w:spacing w:before="240" w:after="240" w:line="240" w:lineRule="auto"/>
      <w:ind w:left="1077" w:hanging="1077"/>
    </w:pPr>
    <w:rPr>
      <w:rFonts w:eastAsia="Times New Roman" w:cs="Times New Roman"/>
      <w:b/>
      <w:bCs/>
      <w:color w:val="000000"/>
      <w:sz w:val="24"/>
      <w:szCs w:val="20"/>
      <w:lang w:eastAsia="en-AU"/>
    </w:rPr>
  </w:style>
  <w:style w:type="paragraph" w:customStyle="1" w:styleId="BoxHeading">
    <w:name w:val="BoxHeading"/>
    <w:basedOn w:val="Normal"/>
    <w:rsid w:val="00A85CAB"/>
    <w:pPr>
      <w:keepNext/>
      <w:pBdr>
        <w:top w:val="single" w:sz="4" w:space="4" w:color="000000"/>
        <w:left w:val="single" w:sz="4" w:space="4" w:color="000000"/>
        <w:bottom w:val="single" w:sz="4" w:space="4" w:color="000000"/>
        <w:right w:val="single" w:sz="4" w:space="4" w:color="000000"/>
      </w:pBdr>
      <w:spacing w:after="60" w:line="240" w:lineRule="auto"/>
    </w:pPr>
    <w:rPr>
      <w:rFonts w:eastAsia="Times New Roman" w:cs="Times New Roman"/>
      <w:b/>
      <w:bCs/>
      <w:color w:val="000000"/>
      <w:szCs w:val="20"/>
      <w:lang w:eastAsia="en-AU"/>
    </w:rPr>
  </w:style>
  <w:style w:type="paragraph" w:customStyle="1" w:styleId="BoxBullet">
    <w:name w:val="BoxBullet"/>
    <w:basedOn w:val="Normal"/>
    <w:rsid w:val="00A85CAB"/>
    <w:pPr>
      <w:numPr>
        <w:numId w:val="23"/>
      </w:numPr>
      <w:pBdr>
        <w:top w:val="single" w:sz="4" w:space="4" w:color="000000"/>
        <w:left w:val="single" w:sz="4" w:space="4" w:color="000000"/>
        <w:bottom w:val="single" w:sz="4" w:space="4" w:color="000000"/>
        <w:right w:val="single" w:sz="4" w:space="4" w:color="000000"/>
      </w:pBdr>
      <w:spacing w:before="0" w:after="120" w:line="240" w:lineRule="auto"/>
    </w:pPr>
    <w:rPr>
      <w:rFonts w:eastAsia="Times New Roman" w:cs="Times New Roman"/>
      <w:color w:val="000000"/>
      <w:szCs w:val="20"/>
      <w:lang w:eastAsia="en-AU"/>
    </w:rPr>
  </w:style>
  <w:style w:type="table" w:customStyle="1" w:styleId="Section3-footnot1">
    <w:name w:val="Section 3- footnot1"/>
    <w:basedOn w:val="TableNormal"/>
    <w:next w:val="TableGrid"/>
    <w:uiPriority w:val="59"/>
    <w:rsid w:val="00B2564C"/>
    <w:pPr>
      <w:spacing w:after="0" w:line="240" w:lineRule="auto"/>
    </w:pPr>
    <w:tblPr/>
  </w:style>
  <w:style w:type="paragraph" w:customStyle="1" w:styleId="BulletBeforeDash">
    <w:name w:val="BulletBeforeDash"/>
    <w:basedOn w:val="Normal"/>
    <w:rsid w:val="004B5326"/>
    <w:pPr>
      <w:numPr>
        <w:numId w:val="61"/>
      </w:numPr>
      <w:spacing w:before="0" w:after="0" w:line="240" w:lineRule="auto"/>
      <w:ind w:left="720"/>
    </w:pPr>
    <w:rPr>
      <w:rFonts w:ascii="Times New Roman" w:eastAsia="Times New Roman" w:hAnsi="Times New Roman" w:cs="Times New Roman"/>
      <w:color w:val="000000"/>
      <w:sz w:val="24"/>
      <w:szCs w:val="20"/>
      <w:lang w:eastAsia="en-AU"/>
    </w:rPr>
  </w:style>
  <w:style w:type="character" w:styleId="BookTitle">
    <w:name w:val="Book Title"/>
    <w:basedOn w:val="DefaultParagraphFont"/>
    <w:uiPriority w:val="33"/>
    <w:qFormat/>
    <w:rsid w:val="009F5FE2"/>
    <w:rPr>
      <w:b/>
      <w:bCs/>
      <w:i/>
      <w:iCs/>
      <w:spacing w:val="5"/>
    </w:rPr>
  </w:style>
  <w:style w:type="character" w:customStyle="1" w:styleId="Heading5Char">
    <w:name w:val="Heading 5 Char"/>
    <w:basedOn w:val="DefaultParagraphFont"/>
    <w:link w:val="Heading5"/>
    <w:uiPriority w:val="9"/>
    <w:semiHidden/>
    <w:rsid w:val="009F5FE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F5FE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F5FE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F5F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5FE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F5FE2"/>
    <w:rPr>
      <w:i/>
      <w:iCs/>
      <w:color w:val="5B9BD5" w:themeColor="accent1"/>
    </w:rPr>
  </w:style>
  <w:style w:type="paragraph" w:styleId="IntenseQuote">
    <w:name w:val="Intense Quote"/>
    <w:basedOn w:val="Normal"/>
    <w:next w:val="Normal"/>
    <w:link w:val="IntenseQuoteChar"/>
    <w:uiPriority w:val="30"/>
    <w:qFormat/>
    <w:rsid w:val="009F5FE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F5FE2"/>
    <w:rPr>
      <w:rFonts w:ascii="Franklin Gothic Book" w:hAnsi="Franklin Gothic Book"/>
      <w:i/>
      <w:iCs/>
      <w:color w:val="5B9BD5" w:themeColor="accent1"/>
    </w:rPr>
  </w:style>
  <w:style w:type="character" w:styleId="IntenseReference">
    <w:name w:val="Intense Reference"/>
    <w:basedOn w:val="DefaultParagraphFont"/>
    <w:uiPriority w:val="32"/>
    <w:qFormat/>
    <w:rsid w:val="009F5FE2"/>
    <w:rPr>
      <w:b/>
      <w:bCs/>
      <w:smallCaps/>
      <w:color w:val="5B9BD5" w:themeColor="accent1"/>
      <w:spacing w:val="5"/>
    </w:rPr>
  </w:style>
  <w:style w:type="paragraph" w:styleId="NoSpacing">
    <w:name w:val="No Spacing"/>
    <w:uiPriority w:val="1"/>
    <w:qFormat/>
    <w:rsid w:val="009F5FE2"/>
    <w:pPr>
      <w:spacing w:after="0" w:line="240" w:lineRule="auto"/>
    </w:pPr>
    <w:rPr>
      <w:rFonts w:ascii="Franklin Gothic Book" w:hAnsi="Franklin Gothic Book"/>
    </w:rPr>
  </w:style>
  <w:style w:type="paragraph" w:styleId="Quote">
    <w:name w:val="Quote"/>
    <w:basedOn w:val="Normal"/>
    <w:next w:val="Normal"/>
    <w:link w:val="QuoteChar"/>
    <w:uiPriority w:val="29"/>
    <w:qFormat/>
    <w:rsid w:val="009F5FE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F5FE2"/>
    <w:rPr>
      <w:rFonts w:ascii="Franklin Gothic Book" w:hAnsi="Franklin Gothic Book"/>
      <w:i/>
      <w:iCs/>
      <w:color w:val="404040" w:themeColor="text1" w:themeTint="BF"/>
    </w:rPr>
  </w:style>
  <w:style w:type="character" w:styleId="SubtleEmphasis">
    <w:name w:val="Subtle Emphasis"/>
    <w:basedOn w:val="DefaultParagraphFont"/>
    <w:uiPriority w:val="19"/>
    <w:qFormat/>
    <w:rsid w:val="009F5FE2"/>
    <w:rPr>
      <w:i/>
      <w:iCs/>
      <w:color w:val="404040" w:themeColor="text1" w:themeTint="BF"/>
    </w:rPr>
  </w:style>
  <w:style w:type="character" w:styleId="SubtleReference">
    <w:name w:val="Subtle Reference"/>
    <w:basedOn w:val="DefaultParagraphFont"/>
    <w:uiPriority w:val="31"/>
    <w:qFormat/>
    <w:rsid w:val="009F5FE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5403">
      <w:bodyDiv w:val="1"/>
      <w:marLeft w:val="0"/>
      <w:marRight w:val="0"/>
      <w:marTop w:val="0"/>
      <w:marBottom w:val="0"/>
      <w:divBdr>
        <w:top w:val="none" w:sz="0" w:space="0" w:color="auto"/>
        <w:left w:val="none" w:sz="0" w:space="0" w:color="auto"/>
        <w:bottom w:val="none" w:sz="0" w:space="0" w:color="auto"/>
        <w:right w:val="none" w:sz="0" w:space="0" w:color="auto"/>
      </w:divBdr>
    </w:div>
    <w:div w:id="74130392">
      <w:bodyDiv w:val="1"/>
      <w:marLeft w:val="0"/>
      <w:marRight w:val="0"/>
      <w:marTop w:val="0"/>
      <w:marBottom w:val="0"/>
      <w:divBdr>
        <w:top w:val="none" w:sz="0" w:space="0" w:color="auto"/>
        <w:left w:val="none" w:sz="0" w:space="0" w:color="auto"/>
        <w:bottom w:val="none" w:sz="0" w:space="0" w:color="auto"/>
        <w:right w:val="none" w:sz="0" w:space="0" w:color="auto"/>
      </w:divBdr>
    </w:div>
    <w:div w:id="174998036">
      <w:bodyDiv w:val="1"/>
      <w:marLeft w:val="0"/>
      <w:marRight w:val="0"/>
      <w:marTop w:val="0"/>
      <w:marBottom w:val="0"/>
      <w:divBdr>
        <w:top w:val="none" w:sz="0" w:space="0" w:color="auto"/>
        <w:left w:val="none" w:sz="0" w:space="0" w:color="auto"/>
        <w:bottom w:val="none" w:sz="0" w:space="0" w:color="auto"/>
        <w:right w:val="none" w:sz="0" w:space="0" w:color="auto"/>
      </w:divBdr>
    </w:div>
    <w:div w:id="184029289">
      <w:bodyDiv w:val="1"/>
      <w:marLeft w:val="0"/>
      <w:marRight w:val="0"/>
      <w:marTop w:val="0"/>
      <w:marBottom w:val="0"/>
      <w:divBdr>
        <w:top w:val="none" w:sz="0" w:space="0" w:color="auto"/>
        <w:left w:val="none" w:sz="0" w:space="0" w:color="auto"/>
        <w:bottom w:val="none" w:sz="0" w:space="0" w:color="auto"/>
        <w:right w:val="none" w:sz="0" w:space="0" w:color="auto"/>
      </w:divBdr>
    </w:div>
    <w:div w:id="206991689">
      <w:bodyDiv w:val="1"/>
      <w:marLeft w:val="0"/>
      <w:marRight w:val="0"/>
      <w:marTop w:val="0"/>
      <w:marBottom w:val="0"/>
      <w:divBdr>
        <w:top w:val="none" w:sz="0" w:space="0" w:color="auto"/>
        <w:left w:val="none" w:sz="0" w:space="0" w:color="auto"/>
        <w:bottom w:val="none" w:sz="0" w:space="0" w:color="auto"/>
        <w:right w:val="none" w:sz="0" w:space="0" w:color="auto"/>
      </w:divBdr>
    </w:div>
    <w:div w:id="240987840">
      <w:bodyDiv w:val="1"/>
      <w:marLeft w:val="0"/>
      <w:marRight w:val="0"/>
      <w:marTop w:val="0"/>
      <w:marBottom w:val="0"/>
      <w:divBdr>
        <w:top w:val="none" w:sz="0" w:space="0" w:color="auto"/>
        <w:left w:val="none" w:sz="0" w:space="0" w:color="auto"/>
        <w:bottom w:val="none" w:sz="0" w:space="0" w:color="auto"/>
        <w:right w:val="none" w:sz="0" w:space="0" w:color="auto"/>
      </w:divBdr>
    </w:div>
    <w:div w:id="259148225">
      <w:bodyDiv w:val="1"/>
      <w:marLeft w:val="0"/>
      <w:marRight w:val="0"/>
      <w:marTop w:val="0"/>
      <w:marBottom w:val="0"/>
      <w:divBdr>
        <w:top w:val="none" w:sz="0" w:space="0" w:color="auto"/>
        <w:left w:val="none" w:sz="0" w:space="0" w:color="auto"/>
        <w:bottom w:val="none" w:sz="0" w:space="0" w:color="auto"/>
        <w:right w:val="none" w:sz="0" w:space="0" w:color="auto"/>
      </w:divBdr>
    </w:div>
    <w:div w:id="381249859">
      <w:bodyDiv w:val="1"/>
      <w:marLeft w:val="0"/>
      <w:marRight w:val="0"/>
      <w:marTop w:val="0"/>
      <w:marBottom w:val="0"/>
      <w:divBdr>
        <w:top w:val="none" w:sz="0" w:space="0" w:color="auto"/>
        <w:left w:val="none" w:sz="0" w:space="0" w:color="auto"/>
        <w:bottom w:val="none" w:sz="0" w:space="0" w:color="auto"/>
        <w:right w:val="none" w:sz="0" w:space="0" w:color="auto"/>
      </w:divBdr>
    </w:div>
    <w:div w:id="388959748">
      <w:bodyDiv w:val="1"/>
      <w:marLeft w:val="0"/>
      <w:marRight w:val="0"/>
      <w:marTop w:val="0"/>
      <w:marBottom w:val="0"/>
      <w:divBdr>
        <w:top w:val="none" w:sz="0" w:space="0" w:color="auto"/>
        <w:left w:val="none" w:sz="0" w:space="0" w:color="auto"/>
        <w:bottom w:val="none" w:sz="0" w:space="0" w:color="auto"/>
        <w:right w:val="none" w:sz="0" w:space="0" w:color="auto"/>
      </w:divBdr>
    </w:div>
    <w:div w:id="393283070">
      <w:bodyDiv w:val="1"/>
      <w:marLeft w:val="0"/>
      <w:marRight w:val="0"/>
      <w:marTop w:val="0"/>
      <w:marBottom w:val="0"/>
      <w:divBdr>
        <w:top w:val="none" w:sz="0" w:space="0" w:color="auto"/>
        <w:left w:val="none" w:sz="0" w:space="0" w:color="auto"/>
        <w:bottom w:val="none" w:sz="0" w:space="0" w:color="auto"/>
        <w:right w:val="none" w:sz="0" w:space="0" w:color="auto"/>
      </w:divBdr>
    </w:div>
    <w:div w:id="414280912">
      <w:bodyDiv w:val="1"/>
      <w:marLeft w:val="0"/>
      <w:marRight w:val="0"/>
      <w:marTop w:val="0"/>
      <w:marBottom w:val="0"/>
      <w:divBdr>
        <w:top w:val="none" w:sz="0" w:space="0" w:color="auto"/>
        <w:left w:val="none" w:sz="0" w:space="0" w:color="auto"/>
        <w:bottom w:val="none" w:sz="0" w:space="0" w:color="auto"/>
        <w:right w:val="none" w:sz="0" w:space="0" w:color="auto"/>
      </w:divBdr>
    </w:div>
    <w:div w:id="425276192">
      <w:bodyDiv w:val="1"/>
      <w:marLeft w:val="0"/>
      <w:marRight w:val="0"/>
      <w:marTop w:val="0"/>
      <w:marBottom w:val="0"/>
      <w:divBdr>
        <w:top w:val="none" w:sz="0" w:space="0" w:color="auto"/>
        <w:left w:val="none" w:sz="0" w:space="0" w:color="auto"/>
        <w:bottom w:val="none" w:sz="0" w:space="0" w:color="auto"/>
        <w:right w:val="none" w:sz="0" w:space="0" w:color="auto"/>
      </w:divBdr>
    </w:div>
    <w:div w:id="445393862">
      <w:bodyDiv w:val="1"/>
      <w:marLeft w:val="0"/>
      <w:marRight w:val="0"/>
      <w:marTop w:val="0"/>
      <w:marBottom w:val="0"/>
      <w:divBdr>
        <w:top w:val="none" w:sz="0" w:space="0" w:color="auto"/>
        <w:left w:val="none" w:sz="0" w:space="0" w:color="auto"/>
        <w:bottom w:val="none" w:sz="0" w:space="0" w:color="auto"/>
        <w:right w:val="none" w:sz="0" w:space="0" w:color="auto"/>
      </w:divBdr>
    </w:div>
    <w:div w:id="497383534">
      <w:bodyDiv w:val="1"/>
      <w:marLeft w:val="0"/>
      <w:marRight w:val="0"/>
      <w:marTop w:val="0"/>
      <w:marBottom w:val="0"/>
      <w:divBdr>
        <w:top w:val="none" w:sz="0" w:space="0" w:color="auto"/>
        <w:left w:val="none" w:sz="0" w:space="0" w:color="auto"/>
        <w:bottom w:val="none" w:sz="0" w:space="0" w:color="auto"/>
        <w:right w:val="none" w:sz="0" w:space="0" w:color="auto"/>
      </w:divBdr>
    </w:div>
    <w:div w:id="547684622">
      <w:bodyDiv w:val="1"/>
      <w:marLeft w:val="0"/>
      <w:marRight w:val="0"/>
      <w:marTop w:val="0"/>
      <w:marBottom w:val="0"/>
      <w:divBdr>
        <w:top w:val="none" w:sz="0" w:space="0" w:color="auto"/>
        <w:left w:val="none" w:sz="0" w:space="0" w:color="auto"/>
        <w:bottom w:val="none" w:sz="0" w:space="0" w:color="auto"/>
        <w:right w:val="none" w:sz="0" w:space="0" w:color="auto"/>
      </w:divBdr>
    </w:div>
    <w:div w:id="553857340">
      <w:bodyDiv w:val="1"/>
      <w:marLeft w:val="0"/>
      <w:marRight w:val="0"/>
      <w:marTop w:val="0"/>
      <w:marBottom w:val="0"/>
      <w:divBdr>
        <w:top w:val="none" w:sz="0" w:space="0" w:color="auto"/>
        <w:left w:val="none" w:sz="0" w:space="0" w:color="auto"/>
        <w:bottom w:val="none" w:sz="0" w:space="0" w:color="auto"/>
        <w:right w:val="none" w:sz="0" w:space="0" w:color="auto"/>
      </w:divBdr>
    </w:div>
    <w:div w:id="633798868">
      <w:bodyDiv w:val="1"/>
      <w:marLeft w:val="0"/>
      <w:marRight w:val="0"/>
      <w:marTop w:val="0"/>
      <w:marBottom w:val="0"/>
      <w:divBdr>
        <w:top w:val="none" w:sz="0" w:space="0" w:color="auto"/>
        <w:left w:val="none" w:sz="0" w:space="0" w:color="auto"/>
        <w:bottom w:val="none" w:sz="0" w:space="0" w:color="auto"/>
        <w:right w:val="none" w:sz="0" w:space="0" w:color="auto"/>
      </w:divBdr>
    </w:div>
    <w:div w:id="650017405">
      <w:bodyDiv w:val="1"/>
      <w:marLeft w:val="0"/>
      <w:marRight w:val="0"/>
      <w:marTop w:val="0"/>
      <w:marBottom w:val="0"/>
      <w:divBdr>
        <w:top w:val="none" w:sz="0" w:space="0" w:color="auto"/>
        <w:left w:val="none" w:sz="0" w:space="0" w:color="auto"/>
        <w:bottom w:val="none" w:sz="0" w:space="0" w:color="auto"/>
        <w:right w:val="none" w:sz="0" w:space="0" w:color="auto"/>
      </w:divBdr>
    </w:div>
    <w:div w:id="719669662">
      <w:bodyDiv w:val="1"/>
      <w:marLeft w:val="0"/>
      <w:marRight w:val="0"/>
      <w:marTop w:val="0"/>
      <w:marBottom w:val="0"/>
      <w:divBdr>
        <w:top w:val="none" w:sz="0" w:space="0" w:color="auto"/>
        <w:left w:val="none" w:sz="0" w:space="0" w:color="auto"/>
        <w:bottom w:val="none" w:sz="0" w:space="0" w:color="auto"/>
        <w:right w:val="none" w:sz="0" w:space="0" w:color="auto"/>
      </w:divBdr>
    </w:div>
    <w:div w:id="733554141">
      <w:bodyDiv w:val="1"/>
      <w:marLeft w:val="0"/>
      <w:marRight w:val="0"/>
      <w:marTop w:val="0"/>
      <w:marBottom w:val="0"/>
      <w:divBdr>
        <w:top w:val="none" w:sz="0" w:space="0" w:color="auto"/>
        <w:left w:val="none" w:sz="0" w:space="0" w:color="auto"/>
        <w:bottom w:val="none" w:sz="0" w:space="0" w:color="auto"/>
        <w:right w:val="none" w:sz="0" w:space="0" w:color="auto"/>
      </w:divBdr>
    </w:div>
    <w:div w:id="815755281">
      <w:bodyDiv w:val="1"/>
      <w:marLeft w:val="0"/>
      <w:marRight w:val="0"/>
      <w:marTop w:val="0"/>
      <w:marBottom w:val="0"/>
      <w:divBdr>
        <w:top w:val="none" w:sz="0" w:space="0" w:color="auto"/>
        <w:left w:val="none" w:sz="0" w:space="0" w:color="auto"/>
        <w:bottom w:val="none" w:sz="0" w:space="0" w:color="auto"/>
        <w:right w:val="none" w:sz="0" w:space="0" w:color="auto"/>
      </w:divBdr>
    </w:div>
    <w:div w:id="850949379">
      <w:bodyDiv w:val="1"/>
      <w:marLeft w:val="0"/>
      <w:marRight w:val="0"/>
      <w:marTop w:val="0"/>
      <w:marBottom w:val="0"/>
      <w:divBdr>
        <w:top w:val="none" w:sz="0" w:space="0" w:color="auto"/>
        <w:left w:val="none" w:sz="0" w:space="0" w:color="auto"/>
        <w:bottom w:val="none" w:sz="0" w:space="0" w:color="auto"/>
        <w:right w:val="none" w:sz="0" w:space="0" w:color="auto"/>
      </w:divBdr>
    </w:div>
    <w:div w:id="883716246">
      <w:bodyDiv w:val="1"/>
      <w:marLeft w:val="0"/>
      <w:marRight w:val="0"/>
      <w:marTop w:val="0"/>
      <w:marBottom w:val="0"/>
      <w:divBdr>
        <w:top w:val="none" w:sz="0" w:space="0" w:color="auto"/>
        <w:left w:val="none" w:sz="0" w:space="0" w:color="auto"/>
        <w:bottom w:val="none" w:sz="0" w:space="0" w:color="auto"/>
        <w:right w:val="none" w:sz="0" w:space="0" w:color="auto"/>
      </w:divBdr>
    </w:div>
    <w:div w:id="912742429">
      <w:bodyDiv w:val="1"/>
      <w:marLeft w:val="0"/>
      <w:marRight w:val="0"/>
      <w:marTop w:val="0"/>
      <w:marBottom w:val="0"/>
      <w:divBdr>
        <w:top w:val="none" w:sz="0" w:space="0" w:color="auto"/>
        <w:left w:val="none" w:sz="0" w:space="0" w:color="auto"/>
        <w:bottom w:val="none" w:sz="0" w:space="0" w:color="auto"/>
        <w:right w:val="none" w:sz="0" w:space="0" w:color="auto"/>
      </w:divBdr>
    </w:div>
    <w:div w:id="921065123">
      <w:bodyDiv w:val="1"/>
      <w:marLeft w:val="0"/>
      <w:marRight w:val="0"/>
      <w:marTop w:val="0"/>
      <w:marBottom w:val="0"/>
      <w:divBdr>
        <w:top w:val="none" w:sz="0" w:space="0" w:color="auto"/>
        <w:left w:val="none" w:sz="0" w:space="0" w:color="auto"/>
        <w:bottom w:val="none" w:sz="0" w:space="0" w:color="auto"/>
        <w:right w:val="none" w:sz="0" w:space="0" w:color="auto"/>
      </w:divBdr>
    </w:div>
    <w:div w:id="944847599">
      <w:bodyDiv w:val="1"/>
      <w:marLeft w:val="0"/>
      <w:marRight w:val="0"/>
      <w:marTop w:val="0"/>
      <w:marBottom w:val="0"/>
      <w:divBdr>
        <w:top w:val="none" w:sz="0" w:space="0" w:color="auto"/>
        <w:left w:val="none" w:sz="0" w:space="0" w:color="auto"/>
        <w:bottom w:val="none" w:sz="0" w:space="0" w:color="auto"/>
        <w:right w:val="none" w:sz="0" w:space="0" w:color="auto"/>
      </w:divBdr>
    </w:div>
    <w:div w:id="976447681">
      <w:bodyDiv w:val="1"/>
      <w:marLeft w:val="0"/>
      <w:marRight w:val="0"/>
      <w:marTop w:val="0"/>
      <w:marBottom w:val="0"/>
      <w:divBdr>
        <w:top w:val="none" w:sz="0" w:space="0" w:color="auto"/>
        <w:left w:val="none" w:sz="0" w:space="0" w:color="auto"/>
        <w:bottom w:val="none" w:sz="0" w:space="0" w:color="auto"/>
        <w:right w:val="none" w:sz="0" w:space="0" w:color="auto"/>
      </w:divBdr>
    </w:div>
    <w:div w:id="1019160309">
      <w:bodyDiv w:val="1"/>
      <w:marLeft w:val="0"/>
      <w:marRight w:val="0"/>
      <w:marTop w:val="0"/>
      <w:marBottom w:val="0"/>
      <w:divBdr>
        <w:top w:val="none" w:sz="0" w:space="0" w:color="auto"/>
        <w:left w:val="none" w:sz="0" w:space="0" w:color="auto"/>
        <w:bottom w:val="none" w:sz="0" w:space="0" w:color="auto"/>
        <w:right w:val="none" w:sz="0" w:space="0" w:color="auto"/>
      </w:divBdr>
    </w:div>
    <w:div w:id="1115448293">
      <w:bodyDiv w:val="1"/>
      <w:marLeft w:val="0"/>
      <w:marRight w:val="0"/>
      <w:marTop w:val="0"/>
      <w:marBottom w:val="0"/>
      <w:divBdr>
        <w:top w:val="none" w:sz="0" w:space="0" w:color="auto"/>
        <w:left w:val="none" w:sz="0" w:space="0" w:color="auto"/>
        <w:bottom w:val="none" w:sz="0" w:space="0" w:color="auto"/>
        <w:right w:val="none" w:sz="0" w:space="0" w:color="auto"/>
      </w:divBdr>
    </w:div>
    <w:div w:id="1117408241">
      <w:bodyDiv w:val="1"/>
      <w:marLeft w:val="0"/>
      <w:marRight w:val="0"/>
      <w:marTop w:val="0"/>
      <w:marBottom w:val="0"/>
      <w:divBdr>
        <w:top w:val="none" w:sz="0" w:space="0" w:color="auto"/>
        <w:left w:val="none" w:sz="0" w:space="0" w:color="auto"/>
        <w:bottom w:val="none" w:sz="0" w:space="0" w:color="auto"/>
        <w:right w:val="none" w:sz="0" w:space="0" w:color="auto"/>
      </w:divBdr>
    </w:div>
    <w:div w:id="1140272256">
      <w:bodyDiv w:val="1"/>
      <w:marLeft w:val="0"/>
      <w:marRight w:val="0"/>
      <w:marTop w:val="0"/>
      <w:marBottom w:val="0"/>
      <w:divBdr>
        <w:top w:val="none" w:sz="0" w:space="0" w:color="auto"/>
        <w:left w:val="none" w:sz="0" w:space="0" w:color="auto"/>
        <w:bottom w:val="none" w:sz="0" w:space="0" w:color="auto"/>
        <w:right w:val="none" w:sz="0" w:space="0" w:color="auto"/>
      </w:divBdr>
    </w:div>
    <w:div w:id="1171220333">
      <w:bodyDiv w:val="1"/>
      <w:marLeft w:val="0"/>
      <w:marRight w:val="0"/>
      <w:marTop w:val="0"/>
      <w:marBottom w:val="0"/>
      <w:divBdr>
        <w:top w:val="none" w:sz="0" w:space="0" w:color="auto"/>
        <w:left w:val="none" w:sz="0" w:space="0" w:color="auto"/>
        <w:bottom w:val="none" w:sz="0" w:space="0" w:color="auto"/>
        <w:right w:val="none" w:sz="0" w:space="0" w:color="auto"/>
      </w:divBdr>
    </w:div>
    <w:div w:id="1224098787">
      <w:bodyDiv w:val="1"/>
      <w:marLeft w:val="0"/>
      <w:marRight w:val="0"/>
      <w:marTop w:val="0"/>
      <w:marBottom w:val="0"/>
      <w:divBdr>
        <w:top w:val="none" w:sz="0" w:space="0" w:color="auto"/>
        <w:left w:val="none" w:sz="0" w:space="0" w:color="auto"/>
        <w:bottom w:val="none" w:sz="0" w:space="0" w:color="auto"/>
        <w:right w:val="none" w:sz="0" w:space="0" w:color="auto"/>
      </w:divBdr>
    </w:div>
    <w:div w:id="1229151570">
      <w:bodyDiv w:val="1"/>
      <w:marLeft w:val="0"/>
      <w:marRight w:val="0"/>
      <w:marTop w:val="0"/>
      <w:marBottom w:val="0"/>
      <w:divBdr>
        <w:top w:val="none" w:sz="0" w:space="0" w:color="auto"/>
        <w:left w:val="none" w:sz="0" w:space="0" w:color="auto"/>
        <w:bottom w:val="none" w:sz="0" w:space="0" w:color="auto"/>
        <w:right w:val="none" w:sz="0" w:space="0" w:color="auto"/>
      </w:divBdr>
    </w:div>
    <w:div w:id="1244218186">
      <w:bodyDiv w:val="1"/>
      <w:marLeft w:val="0"/>
      <w:marRight w:val="0"/>
      <w:marTop w:val="0"/>
      <w:marBottom w:val="0"/>
      <w:divBdr>
        <w:top w:val="none" w:sz="0" w:space="0" w:color="auto"/>
        <w:left w:val="none" w:sz="0" w:space="0" w:color="auto"/>
        <w:bottom w:val="none" w:sz="0" w:space="0" w:color="auto"/>
        <w:right w:val="none" w:sz="0" w:space="0" w:color="auto"/>
      </w:divBdr>
    </w:div>
    <w:div w:id="1256019463">
      <w:bodyDiv w:val="1"/>
      <w:marLeft w:val="0"/>
      <w:marRight w:val="0"/>
      <w:marTop w:val="0"/>
      <w:marBottom w:val="0"/>
      <w:divBdr>
        <w:top w:val="none" w:sz="0" w:space="0" w:color="auto"/>
        <w:left w:val="none" w:sz="0" w:space="0" w:color="auto"/>
        <w:bottom w:val="none" w:sz="0" w:space="0" w:color="auto"/>
        <w:right w:val="none" w:sz="0" w:space="0" w:color="auto"/>
      </w:divBdr>
    </w:div>
    <w:div w:id="1257448350">
      <w:bodyDiv w:val="1"/>
      <w:marLeft w:val="0"/>
      <w:marRight w:val="0"/>
      <w:marTop w:val="0"/>
      <w:marBottom w:val="0"/>
      <w:divBdr>
        <w:top w:val="none" w:sz="0" w:space="0" w:color="auto"/>
        <w:left w:val="none" w:sz="0" w:space="0" w:color="auto"/>
        <w:bottom w:val="none" w:sz="0" w:space="0" w:color="auto"/>
        <w:right w:val="none" w:sz="0" w:space="0" w:color="auto"/>
      </w:divBdr>
    </w:div>
    <w:div w:id="1260408255">
      <w:bodyDiv w:val="1"/>
      <w:marLeft w:val="0"/>
      <w:marRight w:val="0"/>
      <w:marTop w:val="0"/>
      <w:marBottom w:val="0"/>
      <w:divBdr>
        <w:top w:val="none" w:sz="0" w:space="0" w:color="auto"/>
        <w:left w:val="none" w:sz="0" w:space="0" w:color="auto"/>
        <w:bottom w:val="none" w:sz="0" w:space="0" w:color="auto"/>
        <w:right w:val="none" w:sz="0" w:space="0" w:color="auto"/>
      </w:divBdr>
    </w:div>
    <w:div w:id="1261797108">
      <w:bodyDiv w:val="1"/>
      <w:marLeft w:val="0"/>
      <w:marRight w:val="0"/>
      <w:marTop w:val="0"/>
      <w:marBottom w:val="0"/>
      <w:divBdr>
        <w:top w:val="none" w:sz="0" w:space="0" w:color="auto"/>
        <w:left w:val="none" w:sz="0" w:space="0" w:color="auto"/>
        <w:bottom w:val="none" w:sz="0" w:space="0" w:color="auto"/>
        <w:right w:val="none" w:sz="0" w:space="0" w:color="auto"/>
      </w:divBdr>
    </w:div>
    <w:div w:id="1285310076">
      <w:bodyDiv w:val="1"/>
      <w:marLeft w:val="0"/>
      <w:marRight w:val="0"/>
      <w:marTop w:val="0"/>
      <w:marBottom w:val="0"/>
      <w:divBdr>
        <w:top w:val="none" w:sz="0" w:space="0" w:color="auto"/>
        <w:left w:val="none" w:sz="0" w:space="0" w:color="auto"/>
        <w:bottom w:val="none" w:sz="0" w:space="0" w:color="auto"/>
        <w:right w:val="none" w:sz="0" w:space="0" w:color="auto"/>
      </w:divBdr>
    </w:div>
    <w:div w:id="1291789928">
      <w:bodyDiv w:val="1"/>
      <w:marLeft w:val="0"/>
      <w:marRight w:val="0"/>
      <w:marTop w:val="0"/>
      <w:marBottom w:val="0"/>
      <w:divBdr>
        <w:top w:val="none" w:sz="0" w:space="0" w:color="auto"/>
        <w:left w:val="none" w:sz="0" w:space="0" w:color="auto"/>
        <w:bottom w:val="none" w:sz="0" w:space="0" w:color="auto"/>
        <w:right w:val="none" w:sz="0" w:space="0" w:color="auto"/>
      </w:divBdr>
    </w:div>
    <w:div w:id="1309745875">
      <w:bodyDiv w:val="1"/>
      <w:marLeft w:val="0"/>
      <w:marRight w:val="0"/>
      <w:marTop w:val="0"/>
      <w:marBottom w:val="0"/>
      <w:divBdr>
        <w:top w:val="none" w:sz="0" w:space="0" w:color="auto"/>
        <w:left w:val="none" w:sz="0" w:space="0" w:color="auto"/>
        <w:bottom w:val="none" w:sz="0" w:space="0" w:color="auto"/>
        <w:right w:val="none" w:sz="0" w:space="0" w:color="auto"/>
      </w:divBdr>
    </w:div>
    <w:div w:id="1320118329">
      <w:bodyDiv w:val="1"/>
      <w:marLeft w:val="0"/>
      <w:marRight w:val="0"/>
      <w:marTop w:val="0"/>
      <w:marBottom w:val="0"/>
      <w:divBdr>
        <w:top w:val="none" w:sz="0" w:space="0" w:color="auto"/>
        <w:left w:val="none" w:sz="0" w:space="0" w:color="auto"/>
        <w:bottom w:val="none" w:sz="0" w:space="0" w:color="auto"/>
        <w:right w:val="none" w:sz="0" w:space="0" w:color="auto"/>
      </w:divBdr>
    </w:div>
    <w:div w:id="1338461236">
      <w:bodyDiv w:val="1"/>
      <w:marLeft w:val="0"/>
      <w:marRight w:val="0"/>
      <w:marTop w:val="0"/>
      <w:marBottom w:val="0"/>
      <w:divBdr>
        <w:top w:val="none" w:sz="0" w:space="0" w:color="auto"/>
        <w:left w:val="none" w:sz="0" w:space="0" w:color="auto"/>
        <w:bottom w:val="none" w:sz="0" w:space="0" w:color="auto"/>
        <w:right w:val="none" w:sz="0" w:space="0" w:color="auto"/>
      </w:divBdr>
    </w:div>
    <w:div w:id="1339045467">
      <w:bodyDiv w:val="1"/>
      <w:marLeft w:val="0"/>
      <w:marRight w:val="0"/>
      <w:marTop w:val="0"/>
      <w:marBottom w:val="0"/>
      <w:divBdr>
        <w:top w:val="none" w:sz="0" w:space="0" w:color="auto"/>
        <w:left w:val="none" w:sz="0" w:space="0" w:color="auto"/>
        <w:bottom w:val="none" w:sz="0" w:space="0" w:color="auto"/>
        <w:right w:val="none" w:sz="0" w:space="0" w:color="auto"/>
      </w:divBdr>
    </w:div>
    <w:div w:id="1411778870">
      <w:bodyDiv w:val="1"/>
      <w:marLeft w:val="0"/>
      <w:marRight w:val="0"/>
      <w:marTop w:val="0"/>
      <w:marBottom w:val="0"/>
      <w:divBdr>
        <w:top w:val="none" w:sz="0" w:space="0" w:color="auto"/>
        <w:left w:val="none" w:sz="0" w:space="0" w:color="auto"/>
        <w:bottom w:val="none" w:sz="0" w:space="0" w:color="auto"/>
        <w:right w:val="none" w:sz="0" w:space="0" w:color="auto"/>
      </w:divBdr>
    </w:div>
    <w:div w:id="1438984073">
      <w:bodyDiv w:val="1"/>
      <w:marLeft w:val="0"/>
      <w:marRight w:val="0"/>
      <w:marTop w:val="0"/>
      <w:marBottom w:val="0"/>
      <w:divBdr>
        <w:top w:val="none" w:sz="0" w:space="0" w:color="auto"/>
        <w:left w:val="none" w:sz="0" w:space="0" w:color="auto"/>
        <w:bottom w:val="none" w:sz="0" w:space="0" w:color="auto"/>
        <w:right w:val="none" w:sz="0" w:space="0" w:color="auto"/>
      </w:divBdr>
    </w:div>
    <w:div w:id="1446995807">
      <w:bodyDiv w:val="1"/>
      <w:marLeft w:val="0"/>
      <w:marRight w:val="0"/>
      <w:marTop w:val="0"/>
      <w:marBottom w:val="0"/>
      <w:divBdr>
        <w:top w:val="none" w:sz="0" w:space="0" w:color="auto"/>
        <w:left w:val="none" w:sz="0" w:space="0" w:color="auto"/>
        <w:bottom w:val="none" w:sz="0" w:space="0" w:color="auto"/>
        <w:right w:val="none" w:sz="0" w:space="0" w:color="auto"/>
      </w:divBdr>
    </w:div>
    <w:div w:id="1463307564">
      <w:bodyDiv w:val="1"/>
      <w:marLeft w:val="0"/>
      <w:marRight w:val="0"/>
      <w:marTop w:val="0"/>
      <w:marBottom w:val="0"/>
      <w:divBdr>
        <w:top w:val="none" w:sz="0" w:space="0" w:color="auto"/>
        <w:left w:val="none" w:sz="0" w:space="0" w:color="auto"/>
        <w:bottom w:val="none" w:sz="0" w:space="0" w:color="auto"/>
        <w:right w:val="none" w:sz="0" w:space="0" w:color="auto"/>
      </w:divBdr>
    </w:div>
    <w:div w:id="1590624353">
      <w:bodyDiv w:val="1"/>
      <w:marLeft w:val="0"/>
      <w:marRight w:val="0"/>
      <w:marTop w:val="0"/>
      <w:marBottom w:val="0"/>
      <w:divBdr>
        <w:top w:val="none" w:sz="0" w:space="0" w:color="auto"/>
        <w:left w:val="none" w:sz="0" w:space="0" w:color="auto"/>
        <w:bottom w:val="none" w:sz="0" w:space="0" w:color="auto"/>
        <w:right w:val="none" w:sz="0" w:space="0" w:color="auto"/>
      </w:divBdr>
    </w:div>
    <w:div w:id="1596087102">
      <w:bodyDiv w:val="1"/>
      <w:marLeft w:val="0"/>
      <w:marRight w:val="0"/>
      <w:marTop w:val="0"/>
      <w:marBottom w:val="0"/>
      <w:divBdr>
        <w:top w:val="none" w:sz="0" w:space="0" w:color="auto"/>
        <w:left w:val="none" w:sz="0" w:space="0" w:color="auto"/>
        <w:bottom w:val="none" w:sz="0" w:space="0" w:color="auto"/>
        <w:right w:val="none" w:sz="0" w:space="0" w:color="auto"/>
      </w:divBdr>
    </w:div>
    <w:div w:id="1606306867">
      <w:bodyDiv w:val="1"/>
      <w:marLeft w:val="0"/>
      <w:marRight w:val="0"/>
      <w:marTop w:val="0"/>
      <w:marBottom w:val="0"/>
      <w:divBdr>
        <w:top w:val="none" w:sz="0" w:space="0" w:color="auto"/>
        <w:left w:val="none" w:sz="0" w:space="0" w:color="auto"/>
        <w:bottom w:val="none" w:sz="0" w:space="0" w:color="auto"/>
        <w:right w:val="none" w:sz="0" w:space="0" w:color="auto"/>
      </w:divBdr>
    </w:div>
    <w:div w:id="1656181121">
      <w:bodyDiv w:val="1"/>
      <w:marLeft w:val="0"/>
      <w:marRight w:val="0"/>
      <w:marTop w:val="0"/>
      <w:marBottom w:val="0"/>
      <w:divBdr>
        <w:top w:val="none" w:sz="0" w:space="0" w:color="auto"/>
        <w:left w:val="none" w:sz="0" w:space="0" w:color="auto"/>
        <w:bottom w:val="none" w:sz="0" w:space="0" w:color="auto"/>
        <w:right w:val="none" w:sz="0" w:space="0" w:color="auto"/>
      </w:divBdr>
    </w:div>
    <w:div w:id="1788818186">
      <w:bodyDiv w:val="1"/>
      <w:marLeft w:val="0"/>
      <w:marRight w:val="0"/>
      <w:marTop w:val="0"/>
      <w:marBottom w:val="0"/>
      <w:divBdr>
        <w:top w:val="none" w:sz="0" w:space="0" w:color="auto"/>
        <w:left w:val="none" w:sz="0" w:space="0" w:color="auto"/>
        <w:bottom w:val="none" w:sz="0" w:space="0" w:color="auto"/>
        <w:right w:val="none" w:sz="0" w:space="0" w:color="auto"/>
      </w:divBdr>
    </w:div>
    <w:div w:id="1812365276">
      <w:bodyDiv w:val="1"/>
      <w:marLeft w:val="0"/>
      <w:marRight w:val="0"/>
      <w:marTop w:val="0"/>
      <w:marBottom w:val="0"/>
      <w:divBdr>
        <w:top w:val="none" w:sz="0" w:space="0" w:color="auto"/>
        <w:left w:val="none" w:sz="0" w:space="0" w:color="auto"/>
        <w:bottom w:val="none" w:sz="0" w:space="0" w:color="auto"/>
        <w:right w:val="none" w:sz="0" w:space="0" w:color="auto"/>
      </w:divBdr>
    </w:div>
    <w:div w:id="1821579227">
      <w:bodyDiv w:val="1"/>
      <w:marLeft w:val="0"/>
      <w:marRight w:val="0"/>
      <w:marTop w:val="0"/>
      <w:marBottom w:val="0"/>
      <w:divBdr>
        <w:top w:val="none" w:sz="0" w:space="0" w:color="auto"/>
        <w:left w:val="none" w:sz="0" w:space="0" w:color="auto"/>
        <w:bottom w:val="none" w:sz="0" w:space="0" w:color="auto"/>
        <w:right w:val="none" w:sz="0" w:space="0" w:color="auto"/>
      </w:divBdr>
    </w:div>
    <w:div w:id="1825900015">
      <w:bodyDiv w:val="1"/>
      <w:marLeft w:val="0"/>
      <w:marRight w:val="0"/>
      <w:marTop w:val="0"/>
      <w:marBottom w:val="0"/>
      <w:divBdr>
        <w:top w:val="none" w:sz="0" w:space="0" w:color="auto"/>
        <w:left w:val="none" w:sz="0" w:space="0" w:color="auto"/>
        <w:bottom w:val="none" w:sz="0" w:space="0" w:color="auto"/>
        <w:right w:val="none" w:sz="0" w:space="0" w:color="auto"/>
      </w:divBdr>
    </w:div>
    <w:div w:id="1839031648">
      <w:bodyDiv w:val="1"/>
      <w:marLeft w:val="0"/>
      <w:marRight w:val="0"/>
      <w:marTop w:val="0"/>
      <w:marBottom w:val="0"/>
      <w:divBdr>
        <w:top w:val="none" w:sz="0" w:space="0" w:color="auto"/>
        <w:left w:val="none" w:sz="0" w:space="0" w:color="auto"/>
        <w:bottom w:val="none" w:sz="0" w:space="0" w:color="auto"/>
        <w:right w:val="none" w:sz="0" w:space="0" w:color="auto"/>
      </w:divBdr>
    </w:div>
    <w:div w:id="1872720001">
      <w:bodyDiv w:val="1"/>
      <w:marLeft w:val="0"/>
      <w:marRight w:val="0"/>
      <w:marTop w:val="0"/>
      <w:marBottom w:val="0"/>
      <w:divBdr>
        <w:top w:val="none" w:sz="0" w:space="0" w:color="auto"/>
        <w:left w:val="none" w:sz="0" w:space="0" w:color="auto"/>
        <w:bottom w:val="none" w:sz="0" w:space="0" w:color="auto"/>
        <w:right w:val="none" w:sz="0" w:space="0" w:color="auto"/>
      </w:divBdr>
    </w:div>
    <w:div w:id="1897084583">
      <w:bodyDiv w:val="1"/>
      <w:marLeft w:val="0"/>
      <w:marRight w:val="0"/>
      <w:marTop w:val="0"/>
      <w:marBottom w:val="0"/>
      <w:divBdr>
        <w:top w:val="none" w:sz="0" w:space="0" w:color="auto"/>
        <w:left w:val="none" w:sz="0" w:space="0" w:color="auto"/>
        <w:bottom w:val="none" w:sz="0" w:space="0" w:color="auto"/>
        <w:right w:val="none" w:sz="0" w:space="0" w:color="auto"/>
      </w:divBdr>
    </w:div>
    <w:div w:id="1966886888">
      <w:bodyDiv w:val="1"/>
      <w:marLeft w:val="0"/>
      <w:marRight w:val="0"/>
      <w:marTop w:val="0"/>
      <w:marBottom w:val="0"/>
      <w:divBdr>
        <w:top w:val="none" w:sz="0" w:space="0" w:color="auto"/>
        <w:left w:val="none" w:sz="0" w:space="0" w:color="auto"/>
        <w:bottom w:val="none" w:sz="0" w:space="0" w:color="auto"/>
        <w:right w:val="none" w:sz="0" w:space="0" w:color="auto"/>
      </w:divBdr>
    </w:div>
    <w:div w:id="2010130949">
      <w:bodyDiv w:val="1"/>
      <w:marLeft w:val="0"/>
      <w:marRight w:val="0"/>
      <w:marTop w:val="0"/>
      <w:marBottom w:val="0"/>
      <w:divBdr>
        <w:top w:val="none" w:sz="0" w:space="0" w:color="auto"/>
        <w:left w:val="none" w:sz="0" w:space="0" w:color="auto"/>
        <w:bottom w:val="none" w:sz="0" w:space="0" w:color="auto"/>
        <w:right w:val="none" w:sz="0" w:space="0" w:color="auto"/>
      </w:divBdr>
    </w:div>
    <w:div w:id="2068530871">
      <w:bodyDiv w:val="1"/>
      <w:marLeft w:val="0"/>
      <w:marRight w:val="0"/>
      <w:marTop w:val="0"/>
      <w:marBottom w:val="0"/>
      <w:divBdr>
        <w:top w:val="none" w:sz="0" w:space="0" w:color="auto"/>
        <w:left w:val="none" w:sz="0" w:space="0" w:color="auto"/>
        <w:bottom w:val="none" w:sz="0" w:space="0" w:color="auto"/>
        <w:right w:val="none" w:sz="0" w:space="0" w:color="auto"/>
      </w:divBdr>
    </w:div>
    <w:div w:id="2104757405">
      <w:bodyDiv w:val="1"/>
      <w:marLeft w:val="0"/>
      <w:marRight w:val="0"/>
      <w:marTop w:val="0"/>
      <w:marBottom w:val="0"/>
      <w:divBdr>
        <w:top w:val="none" w:sz="0" w:space="0" w:color="auto"/>
        <w:left w:val="none" w:sz="0" w:space="0" w:color="auto"/>
        <w:bottom w:val="none" w:sz="0" w:space="0" w:color="auto"/>
        <w:right w:val="none" w:sz="0" w:space="0" w:color="auto"/>
      </w:divBdr>
    </w:div>
    <w:div w:id="21312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sac.gov.au/applications/1786"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linicaltrials.gov/study/NCT03566693" TargetMode="External"/><Relationship Id="rId7" Type="http://schemas.openxmlformats.org/officeDocument/2006/relationships/settings" Target="settings.xml"/><Relationship Id="rId12" Type="http://schemas.openxmlformats.org/officeDocument/2006/relationships/hyperlink" Target="https://www.msac.gov.au/applications/1786" TargetMode="External"/><Relationship Id="rId17" Type="http://schemas.openxmlformats.org/officeDocument/2006/relationships/footer" Target="footer1.xml"/><Relationship Id="rId25" Type="http://schemas.openxmlformats.org/officeDocument/2006/relationships/hyperlink" Target="http://msac.gov.au/internet/msac/publishing.nsf/Content/Home-1"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sac.gov.au/" TargetMode="External"/><Relationship Id="rId24" Type="http://schemas.openxmlformats.org/officeDocument/2006/relationships/hyperlink" Target="https://www.msac.gov.au/applications/1786"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msac.gov.au/applications/1785"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sac.gov.au/applications/1786" TargetMode="External"/><Relationship Id="rId22" Type="http://schemas.openxmlformats.org/officeDocument/2006/relationships/image" Target="media/image1.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ubmed.ncbi.nlm.nih.gov/38289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4A37BE997BE34FBB7D5057D341D123" ma:contentTypeVersion="14" ma:contentTypeDescription="Create a new document." ma:contentTypeScope="" ma:versionID="d0803639e3b14a1b5fe5efce3e9a7be0">
  <xsd:schema xmlns:xsd="http://www.w3.org/2001/XMLSchema" xmlns:xs="http://www.w3.org/2001/XMLSchema" xmlns:p="http://schemas.microsoft.com/office/2006/metadata/properties" xmlns:ns2="7513b557-581c-46d3-8cc7-77c65017dc6f" xmlns:ns3="e7d54a9e-4aca-451b-99db-b94fe438e987" targetNamespace="http://schemas.microsoft.com/office/2006/metadata/properties" ma:root="true" ma:fieldsID="124831d27a8e0cd56fbacb95874fe705" ns2:_="" ns3:_="">
    <xsd:import namespace="7513b557-581c-46d3-8cc7-77c65017dc6f"/>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3b557-581c-46d3-8cc7-77c65017d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094059-5103-4cd0-8820-a17a44f45f06}"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13b557-581c-46d3-8cc7-77c65017dc6f">
      <Terms xmlns="http://schemas.microsoft.com/office/infopath/2007/PartnerControls"/>
    </lcf76f155ced4ddcb4097134ff3c332f>
    <TaxCatchAll xmlns="e7d54a9e-4aca-451b-99db-b94fe438e9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1A106A-8CF8-4B98-878D-693F1BEE6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3b557-581c-46d3-8cc7-77c65017dc6f"/>
    <ds:schemaRef ds:uri="e7d54a9e-4aca-451b-99db-b94fe438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E7703-A24C-4C87-98C7-16C364BB0774}">
  <ds:schemaRefs>
    <ds:schemaRef ds:uri="http://schemas.openxmlformats.org/officeDocument/2006/bibliography"/>
  </ds:schemaRefs>
</ds:datastoreItem>
</file>

<file path=customXml/itemProps3.xml><?xml version="1.0" encoding="utf-8"?>
<ds:datastoreItem xmlns:ds="http://schemas.openxmlformats.org/officeDocument/2006/customXml" ds:itemID="{D00E96CE-3377-4F82-A27C-2B0EB92174E2}">
  <ds:schemaRefs>
    <ds:schemaRef ds:uri="http://schemas.microsoft.com/office/2006/metadata/properties"/>
    <ds:schemaRef ds:uri="http://schemas.microsoft.com/office/infopath/2007/PartnerControls"/>
    <ds:schemaRef ds:uri="7513b557-581c-46d3-8cc7-77c65017dc6f"/>
    <ds:schemaRef ds:uri="e7d54a9e-4aca-451b-99db-b94fe438e987"/>
  </ds:schemaRefs>
</ds:datastoreItem>
</file>

<file path=customXml/itemProps4.xml><?xml version="1.0" encoding="utf-8"?>
<ds:datastoreItem xmlns:ds="http://schemas.openxmlformats.org/officeDocument/2006/customXml" ds:itemID="{AAFA97F5-CDD7-443C-B109-C7AF64155FF7}">
  <ds:schemaRefs>
    <ds:schemaRef ds:uri="http://schemas.microsoft.com/sharepoint/v3/contenttype/forms"/>
  </ds:schemaRefs>
</ds:datastoreItem>
</file>

<file path=docMetadata/LabelInfo.xml><?xml version="1.0" encoding="utf-8"?>
<clbl:labelList xmlns:clbl="http://schemas.microsoft.com/office/2020/mipLabelMetadata">
  <clbl:label id="{1ef86925-9ec4-413a-bb9d-e9bc2aff2395}" enabled="0" method="" siteId="{1ef86925-9ec4-413a-bb9d-e9bc2aff239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71</Pages>
  <Words>31292</Words>
  <Characters>177428</Characters>
  <Application>Microsoft Office Word</Application>
  <DocSecurity>0</DocSecurity>
  <Lines>3285</Lines>
  <Paragraphs>1264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207456</CharactersWithSpaces>
  <SharedDoc>false</SharedDoc>
  <HyperlinkBase/>
  <HLinks>
    <vt:vector size="54" baseType="variant">
      <vt:variant>
        <vt:i4>6684716</vt:i4>
      </vt:variant>
      <vt:variant>
        <vt:i4>195</vt:i4>
      </vt:variant>
      <vt:variant>
        <vt:i4>0</vt:i4>
      </vt:variant>
      <vt:variant>
        <vt:i4>5</vt:i4>
      </vt:variant>
      <vt:variant>
        <vt:lpwstr>http://msac.gov.au/internet/msac/publishing.nsf/Content/Home-1</vt:lpwstr>
      </vt:variant>
      <vt:variant>
        <vt:lpwstr/>
      </vt:variant>
      <vt:variant>
        <vt:i4>1638480</vt:i4>
      </vt:variant>
      <vt:variant>
        <vt:i4>192</vt:i4>
      </vt:variant>
      <vt:variant>
        <vt:i4>0</vt:i4>
      </vt:variant>
      <vt:variant>
        <vt:i4>5</vt:i4>
      </vt:variant>
      <vt:variant>
        <vt:lpwstr>https://www.msac.gov.au/applications/1786</vt:lpwstr>
      </vt:variant>
      <vt:variant>
        <vt:lpwstr/>
      </vt:variant>
      <vt:variant>
        <vt:i4>1638480</vt:i4>
      </vt:variant>
      <vt:variant>
        <vt:i4>189</vt:i4>
      </vt:variant>
      <vt:variant>
        <vt:i4>0</vt:i4>
      </vt:variant>
      <vt:variant>
        <vt:i4>5</vt:i4>
      </vt:variant>
      <vt:variant>
        <vt:lpwstr>https://www.msac.gov.au/applications/1785</vt:lpwstr>
      </vt:variant>
      <vt:variant>
        <vt:lpwstr/>
      </vt:variant>
      <vt:variant>
        <vt:i4>524299</vt:i4>
      </vt:variant>
      <vt:variant>
        <vt:i4>57</vt:i4>
      </vt:variant>
      <vt:variant>
        <vt:i4>0</vt:i4>
      </vt:variant>
      <vt:variant>
        <vt:i4>5</vt:i4>
      </vt:variant>
      <vt:variant>
        <vt:lpwstr>https://clinicaltrials.gov/study/NCT03566693</vt:lpwstr>
      </vt:variant>
      <vt:variant>
        <vt:lpwstr/>
      </vt:variant>
      <vt:variant>
        <vt:i4>1638480</vt:i4>
      </vt:variant>
      <vt:variant>
        <vt:i4>9</vt:i4>
      </vt:variant>
      <vt:variant>
        <vt:i4>0</vt:i4>
      </vt:variant>
      <vt:variant>
        <vt:i4>5</vt:i4>
      </vt:variant>
      <vt:variant>
        <vt:lpwstr>https://www.msac.gov.au/applications/1786</vt:lpwstr>
      </vt:variant>
      <vt:variant>
        <vt:lpwstr/>
      </vt:variant>
      <vt:variant>
        <vt:i4>1638480</vt:i4>
      </vt:variant>
      <vt:variant>
        <vt:i4>6</vt:i4>
      </vt:variant>
      <vt:variant>
        <vt:i4>0</vt:i4>
      </vt:variant>
      <vt:variant>
        <vt:i4>5</vt:i4>
      </vt:variant>
      <vt:variant>
        <vt:lpwstr>https://www.msac.gov.au/applications/1786</vt:lpwstr>
      </vt:variant>
      <vt:variant>
        <vt:lpwstr/>
      </vt:variant>
      <vt:variant>
        <vt:i4>1638480</vt:i4>
      </vt:variant>
      <vt:variant>
        <vt:i4>3</vt:i4>
      </vt:variant>
      <vt:variant>
        <vt:i4>0</vt:i4>
      </vt:variant>
      <vt:variant>
        <vt:i4>5</vt:i4>
      </vt:variant>
      <vt:variant>
        <vt:lpwstr>https://www.msac.gov.au/applications/1786</vt:lpwstr>
      </vt:variant>
      <vt:variant>
        <vt:lpwstr/>
      </vt:variant>
      <vt:variant>
        <vt:i4>3997744</vt:i4>
      </vt:variant>
      <vt:variant>
        <vt:i4>0</vt:i4>
      </vt:variant>
      <vt:variant>
        <vt:i4>0</vt:i4>
      </vt:variant>
      <vt:variant>
        <vt:i4>5</vt:i4>
      </vt:variant>
      <vt:variant>
        <vt:lpwstr>http://www.msac.gov.au/</vt:lpwstr>
      </vt:variant>
      <vt:variant>
        <vt:lpwstr/>
      </vt:variant>
      <vt:variant>
        <vt:i4>655369</vt:i4>
      </vt:variant>
      <vt:variant>
        <vt:i4>0</vt:i4>
      </vt:variant>
      <vt:variant>
        <vt:i4>0</vt:i4>
      </vt:variant>
      <vt:variant>
        <vt:i4>5</vt:i4>
      </vt:variant>
      <vt:variant>
        <vt:lpwstr>https://pubmed.ncbi.nlm.nih.gov/38289464/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2026-10-21T20:42:00Z</dcterms:created>
  <dcterms:modified xsi:type="dcterms:W3CDTF">2026-10-22T23:08:00Z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4d908fe0,622e0d1d,50f4b9cf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78f8763d,27d1815b,16c4c4ae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2026-10-21T20:42:37Z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8134ebce-58cc-4a0a-8c4f-f946a2a3032f</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Order">
    <vt:r8>380700</vt:r8>
  </property>
  <property fmtid="{D5CDD505-2E9C-101B-9397-08002B2CF9AE}" pid="17" name="MediaServiceImageTags">
    <vt:lpwstr/>
  </property>
  <property fmtid="{D5CDD505-2E9C-101B-9397-08002B2CF9AE}" pid="18" name="xd_ProgID">
    <vt:lpwstr/>
  </property>
  <property fmtid="{D5CDD505-2E9C-101B-9397-08002B2CF9AE}" pid="19" name="ContentTypeId">
    <vt:lpwstr>0x0101005E4A37BE997BE34FBB7D5057D341D123</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docLang">
    <vt:lpwstr>en</vt:lpwstr>
  </property>
  <property fmtid="{D5CDD505-2E9C-101B-9397-08002B2CF9AE}" pid="25" name="xd_Signature">
    <vt:bool>false</vt:bool>
  </property>
</Properties>
</file>