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B420" w14:textId="77777777" w:rsidR="00EF2CC9" w:rsidRPr="00151B73" w:rsidRDefault="00EF2CC9" w:rsidP="00EF2CC9">
      <w:pPr>
        <w:pStyle w:val="Subtitle"/>
        <w:spacing w:after="0"/>
        <w:rPr>
          <w:rFonts w:eastAsiaTheme="majorEastAsia"/>
          <w:i w:val="0"/>
          <w:sz w:val="36"/>
          <w:szCs w:val="36"/>
          <w:lang w:eastAsia="en-US"/>
        </w:rPr>
      </w:pPr>
      <w:r w:rsidRPr="6C22D7E0">
        <w:rPr>
          <w:rFonts w:eastAsiaTheme="majorEastAsia"/>
          <w:i w:val="0"/>
          <w:sz w:val="36"/>
          <w:szCs w:val="36"/>
          <w:lang w:eastAsia="en-US"/>
        </w:rPr>
        <w:t>Medical Services Advisory Committee (MSAC)</w:t>
      </w:r>
    </w:p>
    <w:p w14:paraId="0B661442" w14:textId="77777777" w:rsidR="00EF2CC9" w:rsidRPr="00151B73" w:rsidRDefault="00EF2CC9" w:rsidP="00EF2CC9">
      <w:pPr>
        <w:pStyle w:val="Subtitle"/>
        <w:spacing w:before="0" w:after="360"/>
        <w:rPr>
          <w:rFonts w:eastAsiaTheme="majorEastAsia"/>
          <w:i w:val="0"/>
          <w:sz w:val="36"/>
          <w:szCs w:val="36"/>
          <w:lang w:eastAsia="en-US"/>
        </w:rPr>
      </w:pPr>
      <w:r w:rsidRPr="009C7BDF">
        <w:rPr>
          <w:rFonts w:eastAsiaTheme="majorEastAsia"/>
          <w:i w:val="0"/>
          <w:sz w:val="36"/>
          <w:szCs w:val="36"/>
          <w:lang w:eastAsia="en-US"/>
        </w:rPr>
        <w:t>Public Summary Document</w:t>
      </w:r>
      <w:r w:rsidRPr="00151B73">
        <w:rPr>
          <w:rFonts w:eastAsiaTheme="majorEastAsia"/>
          <w:i w:val="0"/>
          <w:sz w:val="36"/>
          <w:szCs w:val="36"/>
          <w:lang w:eastAsia="en-US"/>
        </w:rPr>
        <w:t xml:space="preserve"> </w:t>
      </w:r>
    </w:p>
    <w:p w14:paraId="3EC533A2" w14:textId="6623D947" w:rsidR="00C057FC" w:rsidRDefault="00EF2CC9" w:rsidP="00B601B9">
      <w:pPr>
        <w:pStyle w:val="Subtitle"/>
      </w:pPr>
      <w:r w:rsidRPr="00CE28E3">
        <w:t xml:space="preserve">Application No. </w:t>
      </w:r>
      <w:r w:rsidR="008B4276" w:rsidRPr="008B4276">
        <w:t>1818 – Expansion of specialist supervision criteria for MBS and PBS items for integrated, closed-system, extracorporeal photopheresis and methoxsalen (UVADEX</w:t>
      </w:r>
      <w:r w:rsidR="008B4276" w:rsidRPr="00D7379B">
        <w:rPr>
          <w:vertAlign w:val="superscript"/>
        </w:rPr>
        <w:t>®</w:t>
      </w:r>
      <w:r w:rsidR="008B4276" w:rsidRPr="008B4276">
        <w:t>) for the treatment of Cutaneous T-Cell Lymphoma (CTCL) and chronic Graft Versus Host Disease (</w:t>
      </w:r>
      <w:proofErr w:type="spellStart"/>
      <w:r w:rsidR="008B4276" w:rsidRPr="008B4276">
        <w:t>cGVHD</w:t>
      </w:r>
      <w:proofErr w:type="spellEnd"/>
      <w:r w:rsidR="008B4276" w:rsidRPr="008B4276">
        <w:t>)</w:t>
      </w:r>
    </w:p>
    <w:p w14:paraId="0545EA7A" w14:textId="0CC83F02" w:rsidR="00152CD2" w:rsidRPr="00CE28E3" w:rsidRDefault="00152CD2" w:rsidP="00D7379B">
      <w:pPr>
        <w:tabs>
          <w:tab w:val="left" w:pos="3544"/>
        </w:tabs>
        <w:spacing w:after="240"/>
        <w:ind w:left="1440" w:hanging="1440"/>
        <w:rPr>
          <w:rFonts w:ascii="Arial" w:hAnsi="Arial" w:cs="Arial"/>
          <w:b/>
          <w:szCs w:val="24"/>
        </w:rPr>
      </w:pPr>
      <w:r w:rsidRPr="00CE28E3">
        <w:rPr>
          <w:rFonts w:ascii="Arial" w:hAnsi="Arial" w:cs="Arial"/>
          <w:b/>
          <w:szCs w:val="24"/>
        </w:rPr>
        <w:t>Applicant:</w:t>
      </w:r>
      <w:r w:rsidRPr="00CE28E3">
        <w:rPr>
          <w:rFonts w:ascii="Arial" w:hAnsi="Arial" w:cs="Arial"/>
          <w:b/>
          <w:szCs w:val="24"/>
        </w:rPr>
        <w:tab/>
      </w:r>
      <w:r w:rsidR="00A24960">
        <w:rPr>
          <w:rFonts w:ascii="Arial" w:hAnsi="Arial" w:cs="Arial"/>
          <w:b/>
          <w:szCs w:val="24"/>
        </w:rPr>
        <w:tab/>
      </w:r>
      <w:proofErr w:type="spellStart"/>
      <w:r w:rsidR="0089366B" w:rsidRPr="0089366B">
        <w:rPr>
          <w:rFonts w:ascii="Arial" w:hAnsi="Arial" w:cs="Arial"/>
          <w:b/>
          <w:szCs w:val="24"/>
        </w:rPr>
        <w:t>HTAnalysts</w:t>
      </w:r>
      <w:proofErr w:type="spellEnd"/>
      <w:r w:rsidR="0089366B" w:rsidRPr="0089366B">
        <w:rPr>
          <w:rFonts w:ascii="Arial" w:hAnsi="Arial" w:cs="Arial"/>
          <w:b/>
          <w:szCs w:val="24"/>
        </w:rPr>
        <w:t xml:space="preserve"> on behalf of </w:t>
      </w:r>
      <w:proofErr w:type="spellStart"/>
      <w:r w:rsidR="0089366B" w:rsidRPr="0089366B">
        <w:rPr>
          <w:rFonts w:ascii="Arial" w:hAnsi="Arial" w:cs="Arial"/>
          <w:b/>
          <w:szCs w:val="24"/>
        </w:rPr>
        <w:t>Therakos</w:t>
      </w:r>
      <w:proofErr w:type="spellEnd"/>
      <w:r w:rsidR="0089366B" w:rsidRPr="0089366B">
        <w:rPr>
          <w:rFonts w:ascii="Arial" w:hAnsi="Arial" w:cs="Arial"/>
          <w:b/>
          <w:szCs w:val="24"/>
        </w:rPr>
        <w:t xml:space="preserve"> Australia Pty Ltd</w:t>
      </w:r>
    </w:p>
    <w:p w14:paraId="6640F8C6" w14:textId="77777777" w:rsidR="00152CD2" w:rsidRDefault="00152CD2" w:rsidP="00D7379B">
      <w:pPr>
        <w:tabs>
          <w:tab w:val="left" w:pos="3544"/>
        </w:tabs>
        <w:spacing w:after="120"/>
        <w:rPr>
          <w:rFonts w:ascii="Arial" w:hAnsi="Arial" w:cs="Arial"/>
          <w:b/>
          <w:szCs w:val="24"/>
        </w:rPr>
      </w:pPr>
      <w:r w:rsidRPr="00CE28E3">
        <w:rPr>
          <w:rFonts w:ascii="Arial" w:hAnsi="Arial" w:cs="Arial"/>
          <w:b/>
          <w:szCs w:val="24"/>
        </w:rPr>
        <w:t xml:space="preserve">Date of </w:t>
      </w:r>
      <w:r>
        <w:rPr>
          <w:rFonts w:ascii="Arial" w:hAnsi="Arial" w:cs="Arial"/>
          <w:b/>
          <w:szCs w:val="24"/>
        </w:rPr>
        <w:t>MSAC</w:t>
      </w:r>
      <w:r w:rsidRPr="00CE28E3">
        <w:rPr>
          <w:rFonts w:ascii="Arial" w:hAnsi="Arial" w:cs="Arial"/>
          <w:b/>
          <w:szCs w:val="24"/>
        </w:rPr>
        <w:t xml:space="preserve"> consideration:</w:t>
      </w:r>
      <w:r w:rsidRPr="00CE28E3">
        <w:rPr>
          <w:rFonts w:ascii="Arial" w:hAnsi="Arial" w:cs="Arial"/>
          <w:b/>
          <w:szCs w:val="24"/>
        </w:rPr>
        <w:tab/>
      </w:r>
      <w:r>
        <w:rPr>
          <w:rFonts w:ascii="Arial" w:hAnsi="Arial" w:cs="Arial"/>
          <w:b/>
          <w:szCs w:val="24"/>
        </w:rPr>
        <w:t>30 July</w:t>
      </w:r>
      <w:r w:rsidRPr="002B62B1">
        <w:rPr>
          <w:rFonts w:ascii="Arial" w:hAnsi="Arial" w:cs="Arial"/>
          <w:b/>
          <w:szCs w:val="24"/>
        </w:rPr>
        <w:t xml:space="preserve"> 2026</w:t>
      </w:r>
    </w:p>
    <w:p w14:paraId="6594B572" w14:textId="77777777" w:rsidR="00152CD2" w:rsidRPr="00C60B0A" w:rsidRDefault="00152CD2" w:rsidP="00152CD2">
      <w:pPr>
        <w:spacing w:before="0" w:after="200"/>
        <w:rPr>
          <w:color w:val="0000FF"/>
          <w:u w:val="single"/>
        </w:rPr>
      </w:pPr>
      <w:bookmarkStart w:id="0" w:name="_Hlk194308493"/>
      <w:r w:rsidRPr="005B6EFD">
        <w:t xml:space="preserve">Context for decision: MSAC makes its advice in accordance with its Terms of Reference, </w:t>
      </w:r>
      <w:hyperlink r:id="rId10" w:tooltip="Link to Medical Services Advisory Committee website" w:history="1">
        <w:r w:rsidRPr="005B6EFD">
          <w:rPr>
            <w:color w:val="007BB8"/>
            <w:u w:val="single"/>
          </w:rPr>
          <w:t>visit the MSAC website</w:t>
        </w:r>
      </w:hyperlink>
      <w:bookmarkEnd w:id="0"/>
    </w:p>
    <w:p w14:paraId="1501B760" w14:textId="77777777" w:rsidR="00152CD2" w:rsidRPr="00CE28E3" w:rsidRDefault="00152CD2" w:rsidP="0065206B">
      <w:pPr>
        <w:pStyle w:val="Heading2"/>
        <w:numPr>
          <w:ilvl w:val="0"/>
          <w:numId w:val="8"/>
        </w:numPr>
        <w:ind w:hanging="720"/>
      </w:pPr>
      <w:bookmarkStart w:id="1" w:name="_Toc69491415"/>
      <w:r w:rsidRPr="00CE28E3">
        <w:t xml:space="preserve">Purpose </w:t>
      </w:r>
      <w:r w:rsidRPr="00CE28E3">
        <w:rPr>
          <w:szCs w:val="32"/>
        </w:rPr>
        <w:t>of</w:t>
      </w:r>
      <w:r w:rsidRPr="00CE28E3">
        <w:t xml:space="preserve"> application</w:t>
      </w:r>
      <w:bookmarkEnd w:id="1"/>
    </w:p>
    <w:p w14:paraId="7DE492FF" w14:textId="6694DA37" w:rsidR="00152CD2" w:rsidRPr="009A3778" w:rsidRDefault="00152CD2" w:rsidP="00152CD2">
      <w:pPr>
        <w:rPr>
          <w:iCs/>
          <w:szCs w:val="24"/>
        </w:rPr>
      </w:pPr>
      <w:bookmarkStart w:id="2" w:name="_Hlk69734469"/>
      <w:r w:rsidRPr="009A3778">
        <w:rPr>
          <w:iCs/>
        </w:rPr>
        <w:t xml:space="preserve">An application requesting </w:t>
      </w:r>
      <w:r w:rsidR="002F04D8">
        <w:t xml:space="preserve">to expand the current prescriber restriction for integrated, closed-system </w:t>
      </w:r>
      <w:r w:rsidR="002F04D8" w:rsidRPr="00126EA0">
        <w:t>extracorporeal photopheresis (ECP)</w:t>
      </w:r>
      <w:r w:rsidR="002F04D8">
        <w:t>, with methoxsalen (UVADEX®) under the Medicare Benefits Schedule (MBS) and Pharmaceutical Benefits Scheme (PBS). The amendment was proposed for the treatment of both cutaneous T-cell lymphoma (CTCL) and chronic graft versus host disease (</w:t>
      </w:r>
      <w:proofErr w:type="spellStart"/>
      <w:r w:rsidR="002F04D8">
        <w:t>cGVHD</w:t>
      </w:r>
      <w:proofErr w:type="spellEnd"/>
      <w:r w:rsidR="002F04D8">
        <w:t>)</w:t>
      </w:r>
      <w:r w:rsidRPr="009A3778">
        <w:rPr>
          <w:iCs/>
          <w:szCs w:val="24"/>
        </w:rPr>
        <w:t>.</w:t>
      </w:r>
    </w:p>
    <w:bookmarkEnd w:id="2"/>
    <w:p w14:paraId="44E83886" w14:textId="77777777" w:rsidR="00152CD2" w:rsidRPr="005B6EFD" w:rsidRDefault="00152CD2" w:rsidP="00E3107C">
      <w:pPr>
        <w:pStyle w:val="Heading2"/>
        <w:numPr>
          <w:ilvl w:val="0"/>
          <w:numId w:val="8"/>
        </w:numPr>
        <w:ind w:hanging="720"/>
      </w:pPr>
      <w:r w:rsidRPr="005B6EFD">
        <w:t>MSAC’s advice to the Minister</w:t>
      </w:r>
    </w:p>
    <w:p w14:paraId="553C4C3F" w14:textId="06F4AE69" w:rsidR="00152CD2" w:rsidRPr="00152CD2" w:rsidRDefault="00297F7B" w:rsidP="00152CD2">
      <w:pPr>
        <w:rPr>
          <w:lang w:eastAsia="en-AU"/>
        </w:rPr>
      </w:pPr>
      <w:r w:rsidRPr="00CD120B">
        <w:t xml:space="preserve">After considering the strength of the available evidence in relation to comparative safety, clinical effectiveness, cost-effectiveness and total cost, </w:t>
      </w:r>
      <w:r w:rsidRPr="00E53A22">
        <w:rPr>
          <w:color w:val="000000" w:themeColor="text1"/>
        </w:rPr>
        <w:t>MSAC</w:t>
      </w:r>
      <w:r w:rsidRPr="00E53A22">
        <w:rPr>
          <w:color w:val="000000" w:themeColor="text1"/>
          <w:lang w:eastAsia="en-AU"/>
        </w:rPr>
        <w:t xml:space="preserve"> </w:t>
      </w:r>
      <w:r w:rsidR="00B33B61" w:rsidRPr="00E53A22">
        <w:rPr>
          <w:color w:val="000000" w:themeColor="text1"/>
          <w:lang w:eastAsia="en-AU"/>
        </w:rPr>
        <w:t xml:space="preserve">supported the amendment of existing Medicare Benefits Schedule (MBS) items 14247 and 14249 for extracorporeal photopheresis for the treatment of cutaneous T-cell lymphoma and MBS items 13761 and 13762 for extracorporeal photopheresis for the treatment of chronic graft versus host disease, to expand specialist supervision criteria to include dermatologists. MSAC noted that the Pharmaceutical Benefits Advisory Committee (PBAC), at its July 2026 meeting, recommended extending the current Pharmaceutical Benefits Scheme (PBS) listing for methoxsalen </w:t>
      </w:r>
      <w:r w:rsidR="00912B93">
        <w:t xml:space="preserve">(UVADEX®) </w:t>
      </w:r>
      <w:r w:rsidR="00B33B61" w:rsidRPr="00E53A22">
        <w:rPr>
          <w:color w:val="000000" w:themeColor="text1"/>
          <w:lang w:eastAsia="en-AU"/>
        </w:rPr>
        <w:t>to allow treatment by a dermatologist, or treatment by a medical physician working under the supervision of a dermatologist. MSAC noted that PBAC considered the eligible population for methoxsalen will likely be unchanged. MSAC considered the addition of dermatologists had no implications for safety of the procedure and the financial impact to the MBS to be cost-neutral. MSAC noted this application focussed only on closed loop extracorporeal photopheresis systems. MSAC also noted feedback on this application and policy advice that open loop extracorporeal photopheresis systems are now included on the Australian Register of Therapeutic Goods and in use within the public hospital system. MSAC supported the policy recommendation for method agnostic item descriptors to enable clinicians to provide extracorporeal photopheresis using the system that is clinically appropriate for their patients and to ensure patients can obtain an MBS rebate for this service.</w:t>
      </w:r>
    </w:p>
    <w:p w14:paraId="2BAA19E0" w14:textId="77777777" w:rsidR="005D5C4B" w:rsidRPr="00EC7457" w:rsidRDefault="005D5C4B" w:rsidP="00E3107C">
      <w:pPr>
        <w:pStyle w:val="Heading2"/>
        <w:numPr>
          <w:ilvl w:val="0"/>
          <w:numId w:val="8"/>
        </w:numPr>
        <w:ind w:hanging="720"/>
      </w:pPr>
      <w:r w:rsidRPr="005F6A3D">
        <w:lastRenderedPageBreak/>
        <w:t>Summary of consideration and rationale for MSAC’s advice</w:t>
      </w:r>
      <w:r>
        <w:t xml:space="preserve">  </w:t>
      </w:r>
    </w:p>
    <w:p w14:paraId="7A5B1D8D" w14:textId="71DEFABE" w:rsidR="003E16BD" w:rsidRDefault="00C353D0" w:rsidP="003E16BD">
      <w:r>
        <w:t xml:space="preserve">MSAC noted that this </w:t>
      </w:r>
      <w:r w:rsidR="006E50CD">
        <w:t xml:space="preserve">application from </w:t>
      </w:r>
      <w:proofErr w:type="spellStart"/>
      <w:r w:rsidR="00075C87" w:rsidRPr="00075C87">
        <w:t>Therakos</w:t>
      </w:r>
      <w:proofErr w:type="spellEnd"/>
      <w:r w:rsidR="00075C87" w:rsidRPr="00075C87">
        <w:t xml:space="preserve"> Australia Pty Ltd</w:t>
      </w:r>
      <w:r w:rsidR="006E50CD">
        <w:t xml:space="preserve"> </w:t>
      </w:r>
      <w:r w:rsidR="004929ED">
        <w:t xml:space="preserve">was to </w:t>
      </w:r>
      <w:r w:rsidR="00641D15">
        <w:t xml:space="preserve">expand the current prescriber restriction for integrated, closed-system </w:t>
      </w:r>
      <w:r w:rsidR="00CE7B07" w:rsidRPr="00126EA0">
        <w:t>extracorporeal photopheresis (ECP)</w:t>
      </w:r>
      <w:r w:rsidR="00CE7B07">
        <w:t>,</w:t>
      </w:r>
      <w:r w:rsidR="00641D15">
        <w:t xml:space="preserve"> with methoxsalen (UVADEX®) under the Medicare Benefits Schedule (MBS) and Pharmaceutical Benefits Scheme (PBS). The amendment </w:t>
      </w:r>
      <w:r w:rsidR="003E16BD">
        <w:t>wa</w:t>
      </w:r>
      <w:r w:rsidR="00641D15">
        <w:t>s proposed for the treatment of both cutaneous T-cell lymphoma (CTCL) and chronic graft versus host disease (</w:t>
      </w:r>
      <w:proofErr w:type="spellStart"/>
      <w:r w:rsidR="00641D15">
        <w:t>cGVHD</w:t>
      </w:r>
      <w:proofErr w:type="spellEnd"/>
      <w:r w:rsidR="00641D15">
        <w:t xml:space="preserve">). </w:t>
      </w:r>
      <w:r w:rsidR="003E16BD" w:rsidRPr="000440BD">
        <w:t xml:space="preserve">The </w:t>
      </w:r>
      <w:r w:rsidR="003069F2">
        <w:t xml:space="preserve">relevant </w:t>
      </w:r>
      <w:r w:rsidR="003E16BD" w:rsidRPr="000440BD">
        <w:t>MBS items are 14247, 14249, 13761 and 13762.</w:t>
      </w:r>
    </w:p>
    <w:p w14:paraId="3634E44E" w14:textId="4B210D99" w:rsidR="00C54574" w:rsidRDefault="003069F2" w:rsidP="00641D15">
      <w:r>
        <w:t xml:space="preserve">MSAC noted that the existing </w:t>
      </w:r>
      <w:r w:rsidR="00641D15">
        <w:t>PBS restrictions specif</w:t>
      </w:r>
      <w:r>
        <w:t>y</w:t>
      </w:r>
      <w:r w:rsidR="00641D15">
        <w:t xml:space="preserve"> that ECP for CTCL must be supervised by a specialist or consultant physician in the field of haematology, and ECP for </w:t>
      </w:r>
      <w:proofErr w:type="spellStart"/>
      <w:r w:rsidR="00641D15">
        <w:t>cGVHD</w:t>
      </w:r>
      <w:proofErr w:type="spellEnd"/>
      <w:r w:rsidR="00641D15">
        <w:t xml:space="preserve"> must be supervised by a specialist or consultant physician in the field of haematology or oncology. This application proposes to extend that supervision requirement to include dermatologists.</w:t>
      </w:r>
    </w:p>
    <w:p w14:paraId="7DB39B1C" w14:textId="598233E2" w:rsidR="005E0F4B" w:rsidRPr="00984090" w:rsidRDefault="00D117C6" w:rsidP="005E0F4B">
      <w:r w:rsidRPr="00126EA0">
        <w:t>MSAC noted that PBAC recommended amending the current</w:t>
      </w:r>
      <w:r>
        <w:t xml:space="preserve"> MBS items </w:t>
      </w:r>
      <w:r w:rsidRPr="00126EA0">
        <w:t xml:space="preserve">to allow treatment by a dermatologist, or treatment by a medical physician working under the supervision of a dermatologist, as part of treatment with integrated, closed system ECP. </w:t>
      </w:r>
      <w:r w:rsidR="005E0F4B" w:rsidRPr="00984090">
        <w:t xml:space="preserve">MSAC also noted that PBAC considered the eligible population for methoxsalen will likely be unchanged by amending the treatment criteria and </w:t>
      </w:r>
      <w:r w:rsidR="00664ED8" w:rsidRPr="00984090">
        <w:t>the</w:t>
      </w:r>
      <w:r w:rsidR="00984090" w:rsidRPr="00984090">
        <w:t xml:space="preserve"> financial impact would be cost neutral, which </w:t>
      </w:r>
      <w:r w:rsidR="005E0F4B" w:rsidRPr="00984090">
        <w:t xml:space="preserve">MSAC </w:t>
      </w:r>
      <w:r w:rsidR="00B93DCF">
        <w:t>accepted</w:t>
      </w:r>
      <w:r w:rsidR="005E0F4B" w:rsidRPr="00984090">
        <w:t xml:space="preserve">. </w:t>
      </w:r>
    </w:p>
    <w:p w14:paraId="5F5617AF" w14:textId="01311E0D" w:rsidR="00D81E28" w:rsidRDefault="00EB7AB0" w:rsidP="00984FF1">
      <w:r>
        <w:t>MSAC</w:t>
      </w:r>
      <w:r w:rsidR="00D117C6">
        <w:t xml:space="preserve"> </w:t>
      </w:r>
      <w:r w:rsidR="00B93DCF">
        <w:t>noted</w:t>
      </w:r>
      <w:r>
        <w:t xml:space="preserve"> that dermatologists already have a role in the diagnosis, staging and ongoing management of CTCL and cutaneous manifestations of </w:t>
      </w:r>
      <w:proofErr w:type="spellStart"/>
      <w:r>
        <w:t>cGVHD</w:t>
      </w:r>
      <w:proofErr w:type="spellEnd"/>
      <w:r w:rsidR="007D42F8">
        <w:t xml:space="preserve">; that the proposed item descriptors largely reflected existing arrangements; and </w:t>
      </w:r>
      <w:r w:rsidR="00D117C6">
        <w:t xml:space="preserve">that this is </w:t>
      </w:r>
      <w:r w:rsidR="00E02F14">
        <w:t xml:space="preserve">consistent with </w:t>
      </w:r>
      <w:r w:rsidR="008540E3">
        <w:t>established international practice and clinical guidelines</w:t>
      </w:r>
      <w:r w:rsidR="002A7038">
        <w:t>.</w:t>
      </w:r>
      <w:r w:rsidR="001E5097">
        <w:t xml:space="preserve"> </w:t>
      </w:r>
      <w:r w:rsidR="00D81E28">
        <w:t xml:space="preserve">MSAC considered that the addition of dermatology as a supervising specialty </w:t>
      </w:r>
      <w:r w:rsidR="001E5097">
        <w:t xml:space="preserve">would </w:t>
      </w:r>
      <w:r w:rsidR="00D41831">
        <w:t xml:space="preserve">increase access to </w:t>
      </w:r>
      <w:r w:rsidR="001E5097">
        <w:t xml:space="preserve">specialist medical care </w:t>
      </w:r>
      <w:r w:rsidR="00D41831">
        <w:t>for th</w:t>
      </w:r>
      <w:r w:rsidR="001E5097">
        <w:t>is</w:t>
      </w:r>
      <w:r w:rsidR="00D41831">
        <w:t xml:space="preserve"> patient population</w:t>
      </w:r>
      <w:r w:rsidR="001E5097">
        <w:t xml:space="preserve"> while not increasing the demand </w:t>
      </w:r>
      <w:r w:rsidR="001B32DA">
        <w:t>for</w:t>
      </w:r>
      <w:r w:rsidR="00DB1BC7">
        <w:t xml:space="preserve"> ECP treatment. </w:t>
      </w:r>
    </w:p>
    <w:p w14:paraId="1C5EEFC8" w14:textId="3A57A132" w:rsidR="00780CFD" w:rsidRDefault="00780CFD" w:rsidP="00780CFD">
      <w:r>
        <w:t xml:space="preserve">MSAC noted that </w:t>
      </w:r>
      <w:r w:rsidRPr="00876508">
        <w:t xml:space="preserve">dermatologists involved in the management of </w:t>
      </w:r>
      <w:r>
        <w:t>CTCL</w:t>
      </w:r>
      <w:r w:rsidRPr="00876508">
        <w:t xml:space="preserve"> and </w:t>
      </w:r>
      <w:proofErr w:type="spellStart"/>
      <w:r>
        <w:t>cGVHD</w:t>
      </w:r>
      <w:proofErr w:type="spellEnd"/>
      <w:r w:rsidRPr="00876508">
        <w:t xml:space="preserve"> would typically have experience managing patients post</w:t>
      </w:r>
      <w:r w:rsidRPr="00876508">
        <w:rPr>
          <w:rFonts w:ascii="Cambria Math" w:hAnsi="Cambria Math" w:cs="Cambria Math"/>
        </w:rPr>
        <w:t>‑</w:t>
      </w:r>
      <w:r w:rsidRPr="00876508">
        <w:t>transplant</w:t>
      </w:r>
      <w:r>
        <w:t>, and that existing governance and credentialling practices would provide appropriate safeguards</w:t>
      </w:r>
      <w:r w:rsidR="00F94696">
        <w:t xml:space="preserve">, without requiring this </w:t>
      </w:r>
      <w:r w:rsidR="009F6CB9">
        <w:t xml:space="preserve">to be detailed </w:t>
      </w:r>
      <w:r w:rsidR="00F94696">
        <w:t>in the items.</w:t>
      </w:r>
    </w:p>
    <w:p w14:paraId="76BF515B" w14:textId="046F47E0" w:rsidR="007D3D61" w:rsidRDefault="00DB1BC7" w:rsidP="009A326A">
      <w:r>
        <w:t xml:space="preserve">MSAC </w:t>
      </w:r>
      <w:r w:rsidR="000B04E1">
        <w:t>noted</w:t>
      </w:r>
      <w:r>
        <w:t xml:space="preserve"> </w:t>
      </w:r>
      <w:r w:rsidR="00EB1E30">
        <w:t xml:space="preserve">the application and current </w:t>
      </w:r>
      <w:r w:rsidR="00A32F17">
        <w:t>item descripto</w:t>
      </w:r>
      <w:r w:rsidR="00985381">
        <w:t xml:space="preserve">rs </w:t>
      </w:r>
      <w:r w:rsidR="008E5D69">
        <w:t xml:space="preserve">included only closed loop </w:t>
      </w:r>
      <w:r w:rsidR="00B306A9">
        <w:t>ECP</w:t>
      </w:r>
      <w:r w:rsidR="008E5D69">
        <w:t xml:space="preserve"> systems. </w:t>
      </w:r>
      <w:r w:rsidR="00C64783">
        <w:t xml:space="preserve">MSAC </w:t>
      </w:r>
      <w:r w:rsidR="00C70AF4">
        <w:t>noted the</w:t>
      </w:r>
      <w:r w:rsidR="00E61A6D">
        <w:t xml:space="preserve"> </w:t>
      </w:r>
      <w:r>
        <w:t>consultation submi</w:t>
      </w:r>
      <w:r w:rsidR="00841007">
        <w:t xml:space="preserve">ssion from </w:t>
      </w:r>
      <w:proofErr w:type="spellStart"/>
      <w:r w:rsidR="00841007">
        <w:t>Vencare</w:t>
      </w:r>
      <w:proofErr w:type="spellEnd"/>
      <w:r w:rsidR="00841007">
        <w:t xml:space="preserve"> Medical </w:t>
      </w:r>
      <w:r w:rsidR="00511DA3">
        <w:t>advising</w:t>
      </w:r>
      <w:r w:rsidR="006E7CE5">
        <w:t xml:space="preserve"> MSAC</w:t>
      </w:r>
      <w:r w:rsidR="00511DA3">
        <w:t xml:space="preserve"> </w:t>
      </w:r>
      <w:r w:rsidR="00161829">
        <w:t>about</w:t>
      </w:r>
      <w:r w:rsidR="00511DA3">
        <w:t xml:space="preserve"> the </w:t>
      </w:r>
      <w:r w:rsidR="006E7CE5">
        <w:t xml:space="preserve">listing of </w:t>
      </w:r>
      <w:r w:rsidR="00B7606C">
        <w:t xml:space="preserve">their open loop ECP system on the </w:t>
      </w:r>
      <w:r w:rsidR="006E7CE5">
        <w:t>Australian Register of Therapeutic Goods</w:t>
      </w:r>
      <w:r w:rsidR="00511DA3">
        <w:t xml:space="preserve"> </w:t>
      </w:r>
      <w:r w:rsidR="00B7606C">
        <w:t xml:space="preserve">and </w:t>
      </w:r>
      <w:r w:rsidR="00841007">
        <w:t>requesting that</w:t>
      </w:r>
      <w:r w:rsidR="003963E0">
        <w:t xml:space="preserve"> the requirement for an ECP system to be </w:t>
      </w:r>
      <w:r w:rsidR="00841007">
        <w:t>“closed</w:t>
      </w:r>
      <w:r w:rsidR="00787B0C">
        <w:t xml:space="preserve">” </w:t>
      </w:r>
      <w:r w:rsidR="003963E0">
        <w:t>be removed from the descriptor</w:t>
      </w:r>
      <w:r w:rsidR="00A52656">
        <w:t>s</w:t>
      </w:r>
      <w:r w:rsidR="003963E0">
        <w:t xml:space="preserve">. </w:t>
      </w:r>
    </w:p>
    <w:p w14:paraId="083129D4" w14:textId="2E72276F" w:rsidR="009A326A" w:rsidRDefault="00B7606C" w:rsidP="009A326A">
      <w:r>
        <w:t xml:space="preserve">MSAC </w:t>
      </w:r>
      <w:r w:rsidR="007D3D61">
        <w:t>considered</w:t>
      </w:r>
      <w:r>
        <w:t xml:space="preserve"> policy advice </w:t>
      </w:r>
      <w:r w:rsidR="00571CFB">
        <w:t>tha</w:t>
      </w:r>
      <w:r w:rsidR="00E96DEE">
        <w:t>t</w:t>
      </w:r>
      <w:r w:rsidR="00C76C8F">
        <w:t xml:space="preserve"> the current item descriptors are not method agnostic and </w:t>
      </w:r>
      <w:r w:rsidR="000A77DA">
        <w:t>therefore are not consistent with the MBS principle that</w:t>
      </w:r>
      <w:r w:rsidR="003A0D87">
        <w:t xml:space="preserve"> where more than one</w:t>
      </w:r>
      <w:r w:rsidR="00CD7EB7">
        <w:t xml:space="preserve"> technique</w:t>
      </w:r>
      <w:r w:rsidR="000A77DA">
        <w:t>, device</w:t>
      </w:r>
      <w:r w:rsidR="00CD7EB7">
        <w:t xml:space="preserve"> or</w:t>
      </w:r>
      <w:r w:rsidR="003A0D87">
        <w:t xml:space="preserve"> system is available to deliver the same service</w:t>
      </w:r>
      <w:r w:rsidR="007E02AF">
        <w:t>,</w:t>
      </w:r>
      <w:r w:rsidR="003A0D87">
        <w:t xml:space="preserve"> the item descriptor should be method agnostic</w:t>
      </w:r>
      <w:r w:rsidR="00E13B0E">
        <w:t xml:space="preserve"> to enable clinicians to </w:t>
      </w:r>
      <w:r w:rsidR="00161829">
        <w:t>utilise</w:t>
      </w:r>
      <w:r w:rsidR="00E13B0E">
        <w:t xml:space="preserve"> </w:t>
      </w:r>
      <w:r w:rsidR="00161829">
        <w:t>any</w:t>
      </w:r>
      <w:r w:rsidR="00E13B0E">
        <w:t xml:space="preserve"> clinically appropriate method for their patient.</w:t>
      </w:r>
      <w:r w:rsidR="00B141E6">
        <w:t xml:space="preserve"> </w:t>
      </w:r>
      <w:r w:rsidR="007D3D61">
        <w:t>MSAC reviewed the policy intent to</w:t>
      </w:r>
      <w:r w:rsidR="00B760C0">
        <w:t xml:space="preserve"> further</w:t>
      </w:r>
      <w:r w:rsidR="007D3D61">
        <w:t xml:space="preserve"> amend the items</w:t>
      </w:r>
      <w:r w:rsidR="000A77DA">
        <w:t xml:space="preserve"> to</w:t>
      </w:r>
      <w:r w:rsidR="00B760C0">
        <w:t xml:space="preserve"> ensur</w:t>
      </w:r>
      <w:r w:rsidR="000A77DA">
        <w:t>e</w:t>
      </w:r>
      <w:r w:rsidR="00B760C0">
        <w:t xml:space="preserve"> </w:t>
      </w:r>
      <w:r w:rsidR="007D3D61">
        <w:t xml:space="preserve">patients </w:t>
      </w:r>
      <w:proofErr w:type="gramStart"/>
      <w:r w:rsidR="00B760C0">
        <w:t>are</w:t>
      </w:r>
      <w:r w:rsidR="007D3D61">
        <w:t xml:space="preserve"> able to</w:t>
      </w:r>
      <w:proofErr w:type="gramEnd"/>
      <w:r w:rsidR="007D3D61">
        <w:t xml:space="preserve"> </w:t>
      </w:r>
      <w:r w:rsidR="00D62913">
        <w:t>access an MBS rebate for</w:t>
      </w:r>
      <w:r w:rsidR="009F780B">
        <w:t xml:space="preserve"> an</w:t>
      </w:r>
      <w:r w:rsidR="00DC66F0">
        <w:t xml:space="preserve"> ECP service </w:t>
      </w:r>
      <w:r w:rsidR="009F780B">
        <w:t>delivered by any means</w:t>
      </w:r>
      <w:r w:rsidR="000A77DA">
        <w:t>.</w:t>
      </w:r>
      <w:r w:rsidR="000A77DA" w:rsidDel="005B10EF">
        <w:t xml:space="preserve"> </w:t>
      </w:r>
      <w:r w:rsidR="00026A24">
        <w:t xml:space="preserve">MSAC considered </w:t>
      </w:r>
      <w:r w:rsidR="004C7C43">
        <w:t xml:space="preserve">previous deliberations </w:t>
      </w:r>
      <w:r w:rsidR="001B2703">
        <w:t xml:space="preserve">had identified the benefits of </w:t>
      </w:r>
      <w:r w:rsidR="00D53687">
        <w:t xml:space="preserve">a closed circuit </w:t>
      </w:r>
      <w:r w:rsidR="000F7132">
        <w:t>may be</w:t>
      </w:r>
      <w:r w:rsidR="00DB2A6B">
        <w:t xml:space="preserve"> a reduction in contamination, infection and reinfusion errors. </w:t>
      </w:r>
      <w:r w:rsidR="00FF53A3">
        <w:t xml:space="preserve">MSAC considered policy advice that </w:t>
      </w:r>
      <w:r w:rsidR="00FF53A3">
        <w:rPr>
          <w:bCs/>
        </w:rPr>
        <w:t>i</w:t>
      </w:r>
      <w:r w:rsidR="00FF53A3" w:rsidRPr="00FF53A3">
        <w:rPr>
          <w:bCs/>
        </w:rPr>
        <w:t xml:space="preserve">n an Australian context the requirements for facilities </w:t>
      </w:r>
      <w:r w:rsidR="00A03B8C">
        <w:rPr>
          <w:bCs/>
        </w:rPr>
        <w:t xml:space="preserve">delivering ECP </w:t>
      </w:r>
      <w:r w:rsidR="00FF53A3" w:rsidRPr="00FF53A3">
        <w:rPr>
          <w:bCs/>
        </w:rPr>
        <w:t xml:space="preserve">to comply with blood safety standards and accreditation requirements exist regardless of </w:t>
      </w:r>
      <w:r w:rsidR="003E3BAE">
        <w:rPr>
          <w:bCs/>
        </w:rPr>
        <w:t>the system used</w:t>
      </w:r>
      <w:r w:rsidR="00FF53A3" w:rsidRPr="00FF53A3">
        <w:rPr>
          <w:bCs/>
        </w:rPr>
        <w:t>.</w:t>
      </w:r>
      <w:r w:rsidR="003E3BAE">
        <w:rPr>
          <w:bCs/>
        </w:rPr>
        <w:t xml:space="preserve"> </w:t>
      </w:r>
      <w:r w:rsidR="00A03B8C">
        <w:rPr>
          <w:bCs/>
        </w:rPr>
        <w:t>MSAC agreed with the policy position that e</w:t>
      </w:r>
      <w:r w:rsidR="00FF53A3" w:rsidRPr="00FF53A3">
        <w:rPr>
          <w:bCs/>
        </w:rPr>
        <w:t>xisting regulatory frameworks ensure there are practises in place to limit the risks of blood product related external contamination, cross contamination and reinfusion errors</w:t>
      </w:r>
      <w:r w:rsidR="00A03B8C">
        <w:rPr>
          <w:bCs/>
        </w:rPr>
        <w:t xml:space="preserve"> and as such </w:t>
      </w:r>
      <w:r w:rsidR="00026A24">
        <w:t xml:space="preserve">no specific safety concerns </w:t>
      </w:r>
      <w:r w:rsidR="003E3BAE">
        <w:t xml:space="preserve">exist that </w:t>
      </w:r>
      <w:r w:rsidR="00D65722">
        <w:t xml:space="preserve">necessitate </w:t>
      </w:r>
      <w:r w:rsidR="003E3BAE">
        <w:t>limit</w:t>
      </w:r>
      <w:r w:rsidR="00D65722">
        <w:t>ing</w:t>
      </w:r>
      <w:r w:rsidR="003E3BAE">
        <w:t xml:space="preserve"> the MBS items to only closed loop ECP systems</w:t>
      </w:r>
      <w:r w:rsidR="00734DCC">
        <w:t>.</w:t>
      </w:r>
      <w:r w:rsidR="00A52656">
        <w:t xml:space="preserve"> </w:t>
      </w:r>
    </w:p>
    <w:p w14:paraId="0A27CA13" w14:textId="02664AEB" w:rsidR="00D01660" w:rsidRDefault="00D01660" w:rsidP="00024806">
      <w:r>
        <w:t xml:space="preserve">MSAC </w:t>
      </w:r>
      <w:r w:rsidR="008A5A8D">
        <w:t>considered</w:t>
      </w:r>
      <w:r>
        <w:t xml:space="preserve"> </w:t>
      </w:r>
      <w:r w:rsidR="00694418">
        <w:t xml:space="preserve">the wording of the descriptor could </w:t>
      </w:r>
      <w:r w:rsidR="008A5A8D">
        <w:t>be</w:t>
      </w:r>
      <w:r w:rsidR="00694418">
        <w:t xml:space="preserve"> device</w:t>
      </w:r>
      <w:r w:rsidR="00DB73BF">
        <w:t>-</w:t>
      </w:r>
      <w:r w:rsidR="00694418">
        <w:t xml:space="preserve">agnostic but that </w:t>
      </w:r>
      <w:r w:rsidR="000309A9">
        <w:t>S</w:t>
      </w:r>
      <w:r w:rsidR="00694418">
        <w:t xml:space="preserve">ection 100 access to the drug used for </w:t>
      </w:r>
      <w:r w:rsidR="00024806">
        <w:t xml:space="preserve">ECP </w:t>
      </w:r>
      <w:r w:rsidR="005E7511">
        <w:t xml:space="preserve">(methoxsalen) </w:t>
      </w:r>
      <w:r w:rsidR="00024806">
        <w:t xml:space="preserve">meant the drug name must be retained. </w:t>
      </w:r>
    </w:p>
    <w:p w14:paraId="4B823E40" w14:textId="26746879" w:rsidR="003E4494" w:rsidRDefault="003E4494" w:rsidP="00024806">
      <w:r>
        <w:lastRenderedPageBreak/>
        <w:t>In summary</w:t>
      </w:r>
      <w:r w:rsidR="008A5A8D">
        <w:t xml:space="preserve"> MSAC supported the policy proposed item descriptor that</w:t>
      </w:r>
      <w:r>
        <w:t>:</w:t>
      </w:r>
    </w:p>
    <w:p w14:paraId="6F67D477" w14:textId="290EF82E" w:rsidR="003E4494" w:rsidRDefault="008A5A8D" w:rsidP="003E4494">
      <w:pPr>
        <w:pStyle w:val="ListParagraph"/>
        <w:numPr>
          <w:ilvl w:val="0"/>
          <w:numId w:val="6"/>
        </w:numPr>
      </w:pPr>
      <w:r>
        <w:t>expanded</w:t>
      </w:r>
      <w:r w:rsidR="003E4494">
        <w:t xml:space="preserve"> the specialist supervision criteria by adding “dermatology” as a specific medical specialty in the relevant MBS items. </w:t>
      </w:r>
    </w:p>
    <w:p w14:paraId="7D4EDCBA" w14:textId="408D3ABF" w:rsidR="003E4494" w:rsidRDefault="00525FB0" w:rsidP="003E4494">
      <w:pPr>
        <w:pStyle w:val="ListParagraph"/>
        <w:numPr>
          <w:ilvl w:val="0"/>
          <w:numId w:val="6"/>
        </w:numPr>
      </w:pPr>
      <w:r>
        <w:t>removed</w:t>
      </w:r>
      <w:r w:rsidR="003E4494">
        <w:t xml:space="preserve"> the requirement for “experience with allogenic bone marrow transplantation” in the relevant MBS items.  </w:t>
      </w:r>
    </w:p>
    <w:p w14:paraId="5576C361" w14:textId="5B3F50BC" w:rsidR="003E4494" w:rsidRDefault="00525FB0" w:rsidP="003E4494">
      <w:pPr>
        <w:pStyle w:val="ListParagraph"/>
        <w:numPr>
          <w:ilvl w:val="0"/>
          <w:numId w:val="6"/>
        </w:numPr>
      </w:pPr>
      <w:r>
        <w:t>removed</w:t>
      </w:r>
      <w:r w:rsidR="003E4494">
        <w:t xml:space="preserve"> “integrated closed” from the relevant MBS items in relation to the ECP system.</w:t>
      </w:r>
    </w:p>
    <w:p w14:paraId="48324B29" w14:textId="7B30A08F" w:rsidR="003E4494" w:rsidRDefault="00525FB0" w:rsidP="00A74043">
      <w:pPr>
        <w:pStyle w:val="ListParagraph"/>
        <w:numPr>
          <w:ilvl w:val="0"/>
          <w:numId w:val="6"/>
        </w:numPr>
        <w:spacing w:after="240"/>
      </w:pPr>
      <w:r>
        <w:t>retained</w:t>
      </w:r>
      <w:r w:rsidR="003E4494">
        <w:t xml:space="preserve"> the drug name “methoxsalen” in the relevant MBS items. </w:t>
      </w:r>
    </w:p>
    <w:tbl>
      <w:tblPr>
        <w:tblStyle w:val="TableGrid"/>
        <w:tblW w:w="0" w:type="auto"/>
        <w:tblLook w:val="04A0" w:firstRow="1" w:lastRow="0" w:firstColumn="1" w:lastColumn="0" w:noHBand="0" w:noVBand="1"/>
      </w:tblPr>
      <w:tblGrid>
        <w:gridCol w:w="9016"/>
      </w:tblGrid>
      <w:tr w:rsidR="00505709" w14:paraId="3DF7F8EB" w14:textId="77777777" w:rsidTr="005D4E95">
        <w:tc>
          <w:tcPr>
            <w:tcW w:w="9016" w:type="dxa"/>
          </w:tcPr>
          <w:p w14:paraId="6312B52E" w14:textId="77777777" w:rsidR="00505709" w:rsidRDefault="00505709" w:rsidP="005D4E95">
            <w:pPr>
              <w:jc w:val="right"/>
              <w:rPr>
                <w:szCs w:val="24"/>
              </w:rPr>
            </w:pPr>
            <w:r>
              <w:rPr>
                <w:szCs w:val="24"/>
              </w:rPr>
              <w:t>Category 3 – Therapeutic procedures</w:t>
            </w:r>
          </w:p>
          <w:p w14:paraId="5FBD8DB6" w14:textId="1B003DB1" w:rsidR="00505709" w:rsidRDefault="008247D9" w:rsidP="005D4E95">
            <w:pPr>
              <w:jc w:val="right"/>
              <w:rPr>
                <w:szCs w:val="24"/>
              </w:rPr>
            </w:pPr>
            <w:r>
              <w:rPr>
                <w:szCs w:val="24"/>
              </w:rPr>
              <w:t xml:space="preserve">Group </w:t>
            </w:r>
            <w:r w:rsidR="00505709" w:rsidRPr="00747FF1">
              <w:rPr>
                <w:szCs w:val="24"/>
              </w:rPr>
              <w:t>T1 - Miscellaneous Therapeutic Procedures</w:t>
            </w:r>
          </w:p>
          <w:p w14:paraId="05F25D75" w14:textId="77777777" w:rsidR="00505709" w:rsidRDefault="00505709" w:rsidP="005D4E95">
            <w:pPr>
              <w:jc w:val="right"/>
              <w:rPr>
                <w:szCs w:val="24"/>
              </w:rPr>
            </w:pPr>
            <w:r w:rsidRPr="004E06BD">
              <w:rPr>
                <w:szCs w:val="24"/>
              </w:rPr>
              <w:t>Subgroup13 - Other Therapeutic Procedures</w:t>
            </w:r>
          </w:p>
        </w:tc>
      </w:tr>
      <w:tr w:rsidR="00505709" w14:paraId="2E29ECEB" w14:textId="77777777" w:rsidTr="005D4E95">
        <w:tc>
          <w:tcPr>
            <w:tcW w:w="9016" w:type="dxa"/>
          </w:tcPr>
          <w:p w14:paraId="6D1517AD" w14:textId="77777777" w:rsidR="00505709" w:rsidRDefault="00505709" w:rsidP="005D4E95">
            <w:pPr>
              <w:rPr>
                <w:szCs w:val="24"/>
              </w:rPr>
            </w:pPr>
            <w:r>
              <w:rPr>
                <w:szCs w:val="24"/>
              </w:rPr>
              <w:t>MBS item 14247</w:t>
            </w:r>
          </w:p>
          <w:p w14:paraId="5D3A2C8D" w14:textId="77777777" w:rsidR="00505709" w:rsidRPr="007F118B" w:rsidRDefault="00505709" w:rsidP="005D4E95">
            <w:pPr>
              <w:rPr>
                <w:szCs w:val="24"/>
              </w:rPr>
            </w:pPr>
            <w:r w:rsidRPr="007F118B">
              <w:rPr>
                <w:szCs w:val="24"/>
              </w:rPr>
              <w:t>Extracorporeal photopheresis for the treatment of erythrodermic stage III</w:t>
            </w:r>
            <w:r w:rsidRPr="007F118B">
              <w:rPr>
                <w:rFonts w:ascii="Cambria Math" w:hAnsi="Cambria Math" w:cs="Cambria Math"/>
                <w:szCs w:val="24"/>
              </w:rPr>
              <w:t>‑</w:t>
            </w:r>
            <w:proofErr w:type="spellStart"/>
            <w:r w:rsidRPr="007F118B">
              <w:rPr>
                <w:szCs w:val="24"/>
              </w:rPr>
              <w:t>IVa</w:t>
            </w:r>
            <w:proofErr w:type="spellEnd"/>
            <w:r w:rsidRPr="007F118B">
              <w:rPr>
                <w:szCs w:val="24"/>
              </w:rPr>
              <w:t xml:space="preserve"> T4 M0 cutaneous T</w:t>
            </w:r>
            <w:r w:rsidRPr="007F118B">
              <w:rPr>
                <w:rFonts w:ascii="Cambria Math" w:hAnsi="Cambria Math" w:cs="Cambria Math"/>
                <w:szCs w:val="24"/>
              </w:rPr>
              <w:t>‑</w:t>
            </w:r>
            <w:r w:rsidRPr="007F118B">
              <w:rPr>
                <w:szCs w:val="24"/>
              </w:rPr>
              <w:t>cell lymphoma; if</w:t>
            </w:r>
          </w:p>
          <w:p w14:paraId="1BCBFBDC" w14:textId="77777777" w:rsidR="00505709" w:rsidRPr="007F118B" w:rsidRDefault="00505709" w:rsidP="005D4E95">
            <w:pPr>
              <w:rPr>
                <w:szCs w:val="24"/>
              </w:rPr>
            </w:pPr>
            <w:r w:rsidRPr="007F118B">
              <w:rPr>
                <w:szCs w:val="24"/>
              </w:rPr>
              <w:t>(a) the service is provided in the initial six months of treatment; and</w:t>
            </w:r>
          </w:p>
          <w:p w14:paraId="7B89EA34" w14:textId="77777777" w:rsidR="00505709" w:rsidRPr="007B033D" w:rsidRDefault="00505709" w:rsidP="005D4E95">
            <w:pPr>
              <w:rPr>
                <w:strike/>
                <w:szCs w:val="24"/>
              </w:rPr>
            </w:pPr>
            <w:r w:rsidRPr="007B033D">
              <w:rPr>
                <w:strike/>
                <w:szCs w:val="24"/>
              </w:rPr>
              <w:t>(b) the service is delivered using an integrated, closed extracorporeal photopheresis system; and</w:t>
            </w:r>
          </w:p>
          <w:p w14:paraId="74EAD170" w14:textId="77777777" w:rsidR="00505709" w:rsidRPr="007F118B" w:rsidRDefault="00505709" w:rsidP="005D4E95">
            <w:pPr>
              <w:rPr>
                <w:szCs w:val="24"/>
              </w:rPr>
            </w:pPr>
            <w:r w:rsidRPr="007F118B">
              <w:rPr>
                <w:szCs w:val="24"/>
              </w:rPr>
              <w:t>(c) the patient is 18 years old or over; and</w:t>
            </w:r>
          </w:p>
          <w:p w14:paraId="6F719BF6" w14:textId="77777777" w:rsidR="00505709" w:rsidRPr="007F118B" w:rsidRDefault="00505709" w:rsidP="005D4E95">
            <w:pPr>
              <w:rPr>
                <w:szCs w:val="24"/>
              </w:rPr>
            </w:pPr>
            <w:r w:rsidRPr="007F118B">
              <w:rPr>
                <w:szCs w:val="24"/>
              </w:rPr>
              <w:t>(d) the patient has received prior systemic treatment for this condition and experienced either disease progression or unacceptable toxicity while on this treatment; and</w:t>
            </w:r>
          </w:p>
          <w:p w14:paraId="74792A52" w14:textId="77777777" w:rsidR="00505709" w:rsidRPr="007F118B" w:rsidRDefault="00505709" w:rsidP="005D4E95">
            <w:pPr>
              <w:rPr>
                <w:szCs w:val="24"/>
              </w:rPr>
            </w:pPr>
            <w:r w:rsidRPr="007F118B">
              <w:rPr>
                <w:szCs w:val="24"/>
              </w:rPr>
              <w:t>(e) the service is provided in combination with the use of Pharmaceutical Benefits Scheme</w:t>
            </w:r>
            <w:r w:rsidRPr="007F118B">
              <w:rPr>
                <w:rFonts w:ascii="Cambria Math" w:hAnsi="Cambria Math" w:cs="Cambria Math"/>
                <w:szCs w:val="24"/>
              </w:rPr>
              <w:t>‑</w:t>
            </w:r>
            <w:r w:rsidRPr="007F118B">
              <w:rPr>
                <w:szCs w:val="24"/>
              </w:rPr>
              <w:t>subsidised methoxsalen; and</w:t>
            </w:r>
          </w:p>
          <w:p w14:paraId="6D90CCBB" w14:textId="29B95A14" w:rsidR="00505709" w:rsidRPr="007F118B" w:rsidRDefault="00505709" w:rsidP="005D4E95">
            <w:pPr>
              <w:rPr>
                <w:szCs w:val="24"/>
              </w:rPr>
            </w:pPr>
            <w:r w:rsidRPr="007F118B">
              <w:rPr>
                <w:szCs w:val="24"/>
              </w:rPr>
              <w:t xml:space="preserve">(f) the service is supervised by a specialist or consultant physician in the speciality of haematology </w:t>
            </w:r>
            <w:r w:rsidRPr="00623209">
              <w:rPr>
                <w:i/>
                <w:iCs/>
                <w:szCs w:val="24"/>
              </w:rPr>
              <w:t>or dermatology</w:t>
            </w:r>
            <w:r w:rsidRPr="007F118B">
              <w:rPr>
                <w:szCs w:val="24"/>
              </w:rPr>
              <w:t>.</w:t>
            </w:r>
          </w:p>
          <w:p w14:paraId="670B0E21" w14:textId="77777777" w:rsidR="00505709" w:rsidRDefault="00505709" w:rsidP="005D4E95">
            <w:pPr>
              <w:rPr>
                <w:szCs w:val="24"/>
              </w:rPr>
            </w:pPr>
            <w:r w:rsidRPr="007F118B">
              <w:rPr>
                <w:szCs w:val="24"/>
              </w:rPr>
              <w:t>Applicable once per treatment cycle (H)</w:t>
            </w:r>
          </w:p>
        </w:tc>
      </w:tr>
      <w:tr w:rsidR="00505709" w14:paraId="6F46A2BF" w14:textId="77777777" w:rsidTr="005D4E95">
        <w:tc>
          <w:tcPr>
            <w:tcW w:w="9016" w:type="dxa"/>
          </w:tcPr>
          <w:p w14:paraId="62519825" w14:textId="77777777" w:rsidR="00505709" w:rsidRDefault="00505709" w:rsidP="005D4E95">
            <w:pPr>
              <w:rPr>
                <w:szCs w:val="24"/>
              </w:rPr>
            </w:pPr>
            <w:r w:rsidRPr="00F01758">
              <w:rPr>
                <w:szCs w:val="24"/>
              </w:rPr>
              <w:t>Fee: $2,215.00 Benefit: 75% = $1,661.25</w:t>
            </w:r>
          </w:p>
        </w:tc>
      </w:tr>
    </w:tbl>
    <w:p w14:paraId="67DA98B9" w14:textId="77777777" w:rsidR="00DE5780" w:rsidRDefault="00DE5780">
      <w:pPr>
        <w:spacing w:before="0"/>
        <w:rPr>
          <w:szCs w:val="24"/>
        </w:rPr>
      </w:pPr>
      <w:r>
        <w:rPr>
          <w:szCs w:val="24"/>
        </w:rPr>
        <w:br w:type="page"/>
      </w:r>
    </w:p>
    <w:tbl>
      <w:tblPr>
        <w:tblStyle w:val="TableGrid"/>
        <w:tblW w:w="0" w:type="auto"/>
        <w:tblLook w:val="04A0" w:firstRow="1" w:lastRow="0" w:firstColumn="1" w:lastColumn="0" w:noHBand="0" w:noVBand="1"/>
        <w:tblDescription w:val="Consumer summary of MSAC consideration"/>
      </w:tblPr>
      <w:tblGrid>
        <w:gridCol w:w="9016"/>
      </w:tblGrid>
      <w:tr w:rsidR="00505709" w14:paraId="14A1D509" w14:textId="77777777" w:rsidTr="005D4E95">
        <w:tc>
          <w:tcPr>
            <w:tcW w:w="9016" w:type="dxa"/>
          </w:tcPr>
          <w:p w14:paraId="09306481" w14:textId="77777777" w:rsidR="00505709" w:rsidRDefault="00505709" w:rsidP="005D4E95">
            <w:pPr>
              <w:jc w:val="right"/>
              <w:rPr>
                <w:szCs w:val="24"/>
              </w:rPr>
            </w:pPr>
            <w:r>
              <w:rPr>
                <w:szCs w:val="24"/>
              </w:rPr>
              <w:lastRenderedPageBreak/>
              <w:t>Category 3 – Therapeutic procedures</w:t>
            </w:r>
          </w:p>
          <w:p w14:paraId="208C4CAE" w14:textId="2C36BCF7" w:rsidR="00505709" w:rsidRDefault="008247D9" w:rsidP="005D4E95">
            <w:pPr>
              <w:jc w:val="right"/>
              <w:rPr>
                <w:szCs w:val="24"/>
              </w:rPr>
            </w:pPr>
            <w:r>
              <w:rPr>
                <w:szCs w:val="24"/>
              </w:rPr>
              <w:t xml:space="preserve">Group </w:t>
            </w:r>
            <w:r w:rsidR="00505709" w:rsidRPr="00747FF1">
              <w:rPr>
                <w:szCs w:val="24"/>
              </w:rPr>
              <w:t>T1 - Miscellaneous Therapeutic Procedures</w:t>
            </w:r>
          </w:p>
          <w:p w14:paraId="4166824F" w14:textId="77777777" w:rsidR="00505709" w:rsidRDefault="00505709" w:rsidP="005D4E95">
            <w:pPr>
              <w:jc w:val="right"/>
              <w:rPr>
                <w:szCs w:val="24"/>
              </w:rPr>
            </w:pPr>
            <w:r w:rsidRPr="004E06BD">
              <w:rPr>
                <w:szCs w:val="24"/>
              </w:rPr>
              <w:t>Subgroup13 - Other Therapeutic Procedures</w:t>
            </w:r>
          </w:p>
        </w:tc>
      </w:tr>
      <w:tr w:rsidR="00505709" w14:paraId="2B410009" w14:textId="77777777" w:rsidTr="005D4E95">
        <w:tc>
          <w:tcPr>
            <w:tcW w:w="9016" w:type="dxa"/>
          </w:tcPr>
          <w:p w14:paraId="1F7686EC" w14:textId="77777777" w:rsidR="00505709" w:rsidRDefault="00505709" w:rsidP="005D4E95">
            <w:pPr>
              <w:rPr>
                <w:szCs w:val="24"/>
              </w:rPr>
            </w:pPr>
            <w:r>
              <w:rPr>
                <w:szCs w:val="24"/>
              </w:rPr>
              <w:t>MBS item 14249</w:t>
            </w:r>
          </w:p>
          <w:p w14:paraId="2122DE9B" w14:textId="77777777" w:rsidR="00505709" w:rsidRPr="00554A89" w:rsidRDefault="00505709" w:rsidP="005D4E95">
            <w:pPr>
              <w:rPr>
                <w:szCs w:val="24"/>
              </w:rPr>
            </w:pPr>
            <w:r w:rsidRPr="00554A89">
              <w:rPr>
                <w:szCs w:val="24"/>
              </w:rPr>
              <w:t>Extracorporeal photopheresis for the continuing treatment of erythrodermic stage III</w:t>
            </w:r>
            <w:r w:rsidRPr="00554A89">
              <w:rPr>
                <w:rFonts w:ascii="Cambria Math" w:hAnsi="Cambria Math" w:cs="Cambria Math"/>
                <w:szCs w:val="24"/>
              </w:rPr>
              <w:t>‑</w:t>
            </w:r>
            <w:proofErr w:type="spellStart"/>
            <w:r w:rsidRPr="00554A89">
              <w:rPr>
                <w:szCs w:val="24"/>
              </w:rPr>
              <w:t>IVa</w:t>
            </w:r>
            <w:proofErr w:type="spellEnd"/>
            <w:r w:rsidRPr="00554A89">
              <w:rPr>
                <w:szCs w:val="24"/>
              </w:rPr>
              <w:t xml:space="preserve"> T4 M0 cutaneous T</w:t>
            </w:r>
            <w:r w:rsidRPr="00554A89">
              <w:rPr>
                <w:rFonts w:ascii="Cambria Math" w:hAnsi="Cambria Math" w:cs="Cambria Math"/>
                <w:szCs w:val="24"/>
              </w:rPr>
              <w:t>‑</w:t>
            </w:r>
            <w:r w:rsidRPr="00554A89">
              <w:rPr>
                <w:szCs w:val="24"/>
              </w:rPr>
              <w:t>cell lymphoma; if</w:t>
            </w:r>
          </w:p>
          <w:p w14:paraId="51C2B61A" w14:textId="77777777" w:rsidR="00505709" w:rsidRPr="00554A89" w:rsidRDefault="00505709" w:rsidP="005D4E95">
            <w:pPr>
              <w:rPr>
                <w:szCs w:val="24"/>
              </w:rPr>
            </w:pPr>
            <w:r w:rsidRPr="00554A89">
              <w:rPr>
                <w:szCs w:val="24"/>
              </w:rPr>
              <w:t>(a) in the preceding 6 months:</w:t>
            </w:r>
          </w:p>
          <w:p w14:paraId="35D0DC76" w14:textId="77777777" w:rsidR="00505709" w:rsidRPr="00554A89" w:rsidRDefault="00505709" w:rsidP="005D4E95">
            <w:pPr>
              <w:rPr>
                <w:szCs w:val="24"/>
              </w:rPr>
            </w:pPr>
            <w:r w:rsidRPr="00554A89">
              <w:rPr>
                <w:szCs w:val="24"/>
              </w:rPr>
              <w:t>(</w:t>
            </w:r>
            <w:proofErr w:type="spellStart"/>
            <w:r w:rsidRPr="00554A89">
              <w:rPr>
                <w:szCs w:val="24"/>
              </w:rPr>
              <w:t>i</w:t>
            </w:r>
            <w:proofErr w:type="spellEnd"/>
            <w:r w:rsidRPr="00554A89">
              <w:rPr>
                <w:szCs w:val="24"/>
              </w:rPr>
              <w:t>) a service to which item 14247 applies has been provided; and</w:t>
            </w:r>
          </w:p>
          <w:p w14:paraId="28A66C9E" w14:textId="77777777" w:rsidR="00505709" w:rsidRPr="00554A89" w:rsidRDefault="00505709" w:rsidP="005D4E95">
            <w:pPr>
              <w:rPr>
                <w:szCs w:val="24"/>
              </w:rPr>
            </w:pPr>
            <w:r w:rsidRPr="00554A89">
              <w:rPr>
                <w:szCs w:val="24"/>
              </w:rPr>
              <w:t>(ii) the patient has demonstrated a response to this service; and</w:t>
            </w:r>
          </w:p>
          <w:p w14:paraId="13A1A365" w14:textId="77777777" w:rsidR="00505709" w:rsidRPr="00554A89" w:rsidRDefault="00505709" w:rsidP="005D4E95">
            <w:pPr>
              <w:rPr>
                <w:szCs w:val="24"/>
              </w:rPr>
            </w:pPr>
            <w:r w:rsidRPr="00554A89">
              <w:rPr>
                <w:szCs w:val="24"/>
              </w:rPr>
              <w:t>(iii) the patient requires further treatment; and</w:t>
            </w:r>
          </w:p>
          <w:p w14:paraId="3B0623CC" w14:textId="77777777" w:rsidR="00505709" w:rsidRPr="00045983" w:rsidRDefault="00505709" w:rsidP="005D4E95">
            <w:pPr>
              <w:rPr>
                <w:strike/>
                <w:szCs w:val="24"/>
              </w:rPr>
            </w:pPr>
            <w:r w:rsidRPr="00045983">
              <w:rPr>
                <w:strike/>
                <w:szCs w:val="24"/>
              </w:rPr>
              <w:t>(b) the service is delivered using an integrated, closed extracorporeal photopheresis system; and</w:t>
            </w:r>
          </w:p>
          <w:p w14:paraId="7598153C" w14:textId="77777777" w:rsidR="00505709" w:rsidRPr="00554A89" w:rsidRDefault="00505709" w:rsidP="005D4E95">
            <w:pPr>
              <w:rPr>
                <w:szCs w:val="24"/>
              </w:rPr>
            </w:pPr>
            <w:r w:rsidRPr="00554A89">
              <w:rPr>
                <w:szCs w:val="24"/>
              </w:rPr>
              <w:t>(c) the patient is 18 years old or over; and</w:t>
            </w:r>
          </w:p>
          <w:p w14:paraId="66738D9D" w14:textId="77777777" w:rsidR="00505709" w:rsidRPr="00554A89" w:rsidRDefault="00505709" w:rsidP="005D4E95">
            <w:pPr>
              <w:rPr>
                <w:szCs w:val="24"/>
              </w:rPr>
            </w:pPr>
            <w:r w:rsidRPr="00554A89">
              <w:rPr>
                <w:szCs w:val="24"/>
              </w:rPr>
              <w:t>(d) the service is provided in combination with the use of Pharmaceutical Benefits Scheme</w:t>
            </w:r>
            <w:r w:rsidRPr="00554A89">
              <w:rPr>
                <w:rFonts w:ascii="Cambria Math" w:hAnsi="Cambria Math" w:cs="Cambria Math"/>
                <w:szCs w:val="24"/>
              </w:rPr>
              <w:t>‑</w:t>
            </w:r>
            <w:r w:rsidRPr="00554A89">
              <w:rPr>
                <w:szCs w:val="24"/>
              </w:rPr>
              <w:t>subsidised methoxsalen; and</w:t>
            </w:r>
          </w:p>
          <w:p w14:paraId="54324D1C" w14:textId="079F84B7" w:rsidR="00505709" w:rsidRPr="007F118B" w:rsidRDefault="00505709" w:rsidP="005D4E95">
            <w:pPr>
              <w:rPr>
                <w:szCs w:val="24"/>
              </w:rPr>
            </w:pPr>
            <w:r w:rsidRPr="00554A89">
              <w:rPr>
                <w:szCs w:val="24"/>
              </w:rPr>
              <w:t xml:space="preserve">(e) the service is supervised by a specialist or consultant physician in the speciality of haematology </w:t>
            </w:r>
            <w:r w:rsidRPr="00554A89">
              <w:rPr>
                <w:i/>
                <w:iCs/>
                <w:szCs w:val="24"/>
              </w:rPr>
              <w:t>or dermatology</w:t>
            </w:r>
            <w:r w:rsidRPr="00554A89">
              <w:rPr>
                <w:szCs w:val="24"/>
              </w:rPr>
              <w:t>.</w:t>
            </w:r>
          </w:p>
          <w:p w14:paraId="28C5119A" w14:textId="77777777" w:rsidR="00505709" w:rsidRDefault="00505709" w:rsidP="005D4E95">
            <w:pPr>
              <w:rPr>
                <w:szCs w:val="24"/>
              </w:rPr>
            </w:pPr>
            <w:r w:rsidRPr="007F118B">
              <w:rPr>
                <w:szCs w:val="24"/>
              </w:rPr>
              <w:t>Applicable once per treatment cycle (H)</w:t>
            </w:r>
          </w:p>
        </w:tc>
      </w:tr>
      <w:tr w:rsidR="00505709" w14:paraId="719EF123" w14:textId="77777777" w:rsidTr="005D4E95">
        <w:tc>
          <w:tcPr>
            <w:tcW w:w="9016" w:type="dxa"/>
          </w:tcPr>
          <w:p w14:paraId="7D7E4EB8" w14:textId="77777777" w:rsidR="00505709" w:rsidRPr="00F01758" w:rsidRDefault="00505709" w:rsidP="005D4E95">
            <w:pPr>
              <w:rPr>
                <w:szCs w:val="24"/>
              </w:rPr>
            </w:pPr>
            <w:r w:rsidRPr="00F01758">
              <w:rPr>
                <w:szCs w:val="24"/>
              </w:rPr>
              <w:t>Fee: $2,215.00 Benefit: 75% = $1,661.25</w:t>
            </w:r>
          </w:p>
        </w:tc>
      </w:tr>
      <w:tr w:rsidR="00505709" w14:paraId="36213058" w14:textId="77777777" w:rsidTr="005D4E95">
        <w:tc>
          <w:tcPr>
            <w:tcW w:w="9016" w:type="dxa"/>
          </w:tcPr>
          <w:p w14:paraId="7F52EF6E" w14:textId="77777777" w:rsidR="00505709" w:rsidRDefault="00505709" w:rsidP="005D4E95">
            <w:pPr>
              <w:jc w:val="right"/>
              <w:rPr>
                <w:szCs w:val="24"/>
              </w:rPr>
            </w:pPr>
            <w:r>
              <w:rPr>
                <w:szCs w:val="24"/>
              </w:rPr>
              <w:t>Category 3 – Therapeutic procedures</w:t>
            </w:r>
          </w:p>
          <w:p w14:paraId="2BB84892" w14:textId="33129540" w:rsidR="00505709" w:rsidRDefault="008247D9" w:rsidP="005D4E95">
            <w:pPr>
              <w:jc w:val="right"/>
              <w:rPr>
                <w:szCs w:val="24"/>
              </w:rPr>
            </w:pPr>
            <w:r>
              <w:rPr>
                <w:szCs w:val="24"/>
              </w:rPr>
              <w:t xml:space="preserve">Group </w:t>
            </w:r>
            <w:r w:rsidR="00505709" w:rsidRPr="00747FF1">
              <w:rPr>
                <w:szCs w:val="24"/>
              </w:rPr>
              <w:t>T1 - Miscellaneous Therapeutic Procedures</w:t>
            </w:r>
          </w:p>
          <w:p w14:paraId="57C4DB62" w14:textId="792FEC99" w:rsidR="00505709" w:rsidRDefault="008247D9" w:rsidP="005D4E95">
            <w:pPr>
              <w:jc w:val="right"/>
              <w:rPr>
                <w:szCs w:val="24"/>
              </w:rPr>
            </w:pPr>
            <w:r w:rsidRPr="008247D9">
              <w:rPr>
                <w:szCs w:val="24"/>
              </w:rPr>
              <w:t>Subgroup</w:t>
            </w:r>
            <w:r>
              <w:rPr>
                <w:szCs w:val="24"/>
              </w:rPr>
              <w:t xml:space="preserve"> </w:t>
            </w:r>
            <w:r w:rsidRPr="008247D9">
              <w:rPr>
                <w:szCs w:val="24"/>
              </w:rPr>
              <w:t>8 - Haematology</w:t>
            </w:r>
          </w:p>
        </w:tc>
      </w:tr>
      <w:tr w:rsidR="00505709" w14:paraId="689BAD47" w14:textId="77777777" w:rsidTr="005D4E95">
        <w:tc>
          <w:tcPr>
            <w:tcW w:w="9016" w:type="dxa"/>
          </w:tcPr>
          <w:p w14:paraId="32486F78" w14:textId="77777777" w:rsidR="00505709" w:rsidRPr="00253BD3" w:rsidRDefault="00505709" w:rsidP="005D4E95">
            <w:pPr>
              <w:rPr>
                <w:szCs w:val="24"/>
              </w:rPr>
            </w:pPr>
            <w:r w:rsidRPr="00253BD3">
              <w:rPr>
                <w:szCs w:val="24"/>
              </w:rPr>
              <w:t>MBS item 13761</w:t>
            </w:r>
          </w:p>
          <w:p w14:paraId="1FE91DB8" w14:textId="77777777" w:rsidR="00505709" w:rsidRPr="001E4C77" w:rsidRDefault="00505709" w:rsidP="005D4E95">
            <w:pPr>
              <w:rPr>
                <w:szCs w:val="24"/>
              </w:rPr>
            </w:pPr>
            <w:r w:rsidRPr="001E4C77">
              <w:rPr>
                <w:szCs w:val="24"/>
              </w:rPr>
              <w:t>Extracorporeal photopheresis for the treatment of chronic graft</w:t>
            </w:r>
            <w:r w:rsidRPr="001E4C77">
              <w:rPr>
                <w:rFonts w:ascii="Cambria Math" w:hAnsi="Cambria Math" w:cs="Cambria Math"/>
                <w:szCs w:val="24"/>
              </w:rPr>
              <w:t>‑</w:t>
            </w:r>
            <w:r w:rsidRPr="001E4C77">
              <w:rPr>
                <w:szCs w:val="24"/>
              </w:rPr>
              <w:t>versus</w:t>
            </w:r>
            <w:r w:rsidRPr="001E4C77">
              <w:rPr>
                <w:rFonts w:ascii="Cambria Math" w:hAnsi="Cambria Math" w:cs="Cambria Math"/>
                <w:szCs w:val="24"/>
              </w:rPr>
              <w:t>‑</w:t>
            </w:r>
            <w:r w:rsidRPr="001E4C77">
              <w:rPr>
                <w:szCs w:val="24"/>
              </w:rPr>
              <w:t>host disease, if:</w:t>
            </w:r>
          </w:p>
          <w:p w14:paraId="4D25EE7D" w14:textId="73D39CB3" w:rsidR="00505709" w:rsidRPr="001E4C77" w:rsidRDefault="00505709" w:rsidP="005D4E95">
            <w:pPr>
              <w:rPr>
                <w:szCs w:val="24"/>
              </w:rPr>
            </w:pPr>
            <w:r w:rsidRPr="001E4C77">
              <w:rPr>
                <w:szCs w:val="24"/>
              </w:rPr>
              <w:t>(a)   the person:</w:t>
            </w:r>
          </w:p>
          <w:p w14:paraId="433B18A9" w14:textId="77777777" w:rsidR="00505709" w:rsidRPr="001E4C77" w:rsidRDefault="00505709" w:rsidP="005D4E95">
            <w:pPr>
              <w:rPr>
                <w:szCs w:val="24"/>
              </w:rPr>
            </w:pPr>
            <w:r w:rsidRPr="001E4C77">
              <w:rPr>
                <w:szCs w:val="24"/>
              </w:rPr>
              <w:t>(</w:t>
            </w:r>
            <w:proofErr w:type="spellStart"/>
            <w:r w:rsidRPr="001E4C77">
              <w:rPr>
                <w:szCs w:val="24"/>
              </w:rPr>
              <w:t>i</w:t>
            </w:r>
            <w:proofErr w:type="spellEnd"/>
            <w:r w:rsidRPr="001E4C77">
              <w:rPr>
                <w:szCs w:val="24"/>
              </w:rPr>
              <w:t>)      has received allogeneic haematopoietic stem cell transplantation; and</w:t>
            </w:r>
          </w:p>
          <w:p w14:paraId="4D2DF0C6" w14:textId="77777777" w:rsidR="00505709" w:rsidRPr="001E4C77" w:rsidRDefault="00505709" w:rsidP="005D4E95">
            <w:pPr>
              <w:rPr>
                <w:szCs w:val="24"/>
              </w:rPr>
            </w:pPr>
            <w:r w:rsidRPr="001E4C77">
              <w:rPr>
                <w:szCs w:val="24"/>
              </w:rPr>
              <w:t>(ii)      has been diagnosed with chronic graft versus host disease following the transplantation; and</w:t>
            </w:r>
          </w:p>
          <w:p w14:paraId="767AAC8D" w14:textId="77777777" w:rsidR="00505709" w:rsidRPr="001E4C77" w:rsidRDefault="00505709" w:rsidP="005D4E95">
            <w:pPr>
              <w:rPr>
                <w:szCs w:val="24"/>
              </w:rPr>
            </w:pPr>
            <w:r w:rsidRPr="001E4C77">
              <w:rPr>
                <w:szCs w:val="24"/>
              </w:rPr>
              <w:t>(iii)     steroid treatment is clinically unsuitable as the disease is steroid refractory or the person is steroid</w:t>
            </w:r>
            <w:r w:rsidRPr="001E4C77">
              <w:rPr>
                <w:rFonts w:ascii="Cambria Math" w:hAnsi="Cambria Math" w:cs="Cambria Math"/>
                <w:szCs w:val="24"/>
              </w:rPr>
              <w:t>‑</w:t>
            </w:r>
            <w:r w:rsidRPr="001E4C77">
              <w:rPr>
                <w:szCs w:val="24"/>
              </w:rPr>
              <w:t>dependent or steroid</w:t>
            </w:r>
            <w:r w:rsidRPr="001E4C77">
              <w:rPr>
                <w:rFonts w:ascii="Cambria Math" w:hAnsi="Cambria Math" w:cs="Cambria Math"/>
                <w:szCs w:val="24"/>
              </w:rPr>
              <w:t>‑</w:t>
            </w:r>
            <w:r w:rsidRPr="001E4C77">
              <w:rPr>
                <w:szCs w:val="24"/>
              </w:rPr>
              <w:t>intolerant; and</w:t>
            </w:r>
          </w:p>
          <w:p w14:paraId="5B3A8825" w14:textId="182F85D3" w:rsidR="00505709" w:rsidRPr="001E4C77" w:rsidRDefault="00505709" w:rsidP="005D4E95">
            <w:pPr>
              <w:rPr>
                <w:szCs w:val="24"/>
              </w:rPr>
            </w:pPr>
            <w:r w:rsidRPr="001E4C77">
              <w:rPr>
                <w:szCs w:val="24"/>
              </w:rPr>
              <w:t>(b)   has not previously received extracorporeal photopheresis treatment; and</w:t>
            </w:r>
          </w:p>
          <w:p w14:paraId="6F85D512" w14:textId="77777777" w:rsidR="00505709" w:rsidRPr="00045983" w:rsidRDefault="00505709" w:rsidP="005D4E95">
            <w:pPr>
              <w:rPr>
                <w:strike/>
                <w:szCs w:val="24"/>
              </w:rPr>
            </w:pPr>
            <w:r w:rsidRPr="00045983">
              <w:rPr>
                <w:strike/>
                <w:szCs w:val="24"/>
              </w:rPr>
              <w:t>(c)   the service is delivered using an integrated, closed extracorporeal photopheresis system; and</w:t>
            </w:r>
          </w:p>
          <w:p w14:paraId="7C4C0760" w14:textId="77777777" w:rsidR="00505709" w:rsidRPr="001E4C77" w:rsidRDefault="00505709" w:rsidP="005D4E95">
            <w:pPr>
              <w:rPr>
                <w:szCs w:val="24"/>
              </w:rPr>
            </w:pPr>
            <w:r w:rsidRPr="001E4C77">
              <w:rPr>
                <w:szCs w:val="24"/>
              </w:rPr>
              <w:t>(d)   the service is provided in combination with the use of methoxsalen that is listed on the Pharmaceutical Benefits Scheme; and</w:t>
            </w:r>
          </w:p>
          <w:p w14:paraId="0BC3E730" w14:textId="77777777" w:rsidR="00505709" w:rsidRPr="001E4C77" w:rsidRDefault="00505709" w:rsidP="005D4E95">
            <w:pPr>
              <w:rPr>
                <w:szCs w:val="24"/>
              </w:rPr>
            </w:pPr>
            <w:r w:rsidRPr="001E4C77">
              <w:rPr>
                <w:szCs w:val="24"/>
              </w:rPr>
              <w:t>(e)   the service is provided by, or on behalf of, a specialist or consultant physician who:</w:t>
            </w:r>
          </w:p>
          <w:p w14:paraId="7588D2E8" w14:textId="77777777" w:rsidR="00505709" w:rsidRPr="00AD3B6E" w:rsidRDefault="00505709" w:rsidP="005D4E95">
            <w:pPr>
              <w:rPr>
                <w:strike/>
                <w:szCs w:val="24"/>
              </w:rPr>
            </w:pPr>
            <w:r w:rsidRPr="001E4C77">
              <w:rPr>
                <w:szCs w:val="24"/>
              </w:rPr>
              <w:t>(</w:t>
            </w:r>
            <w:proofErr w:type="spellStart"/>
            <w:r w:rsidRPr="001E4C77">
              <w:rPr>
                <w:szCs w:val="24"/>
              </w:rPr>
              <w:t>i</w:t>
            </w:r>
            <w:proofErr w:type="spellEnd"/>
            <w:r w:rsidRPr="001E4C77">
              <w:rPr>
                <w:szCs w:val="24"/>
              </w:rPr>
              <w:t xml:space="preserve">)     is practising in the speciality of </w:t>
            </w:r>
            <w:r w:rsidRPr="00AD3B6E">
              <w:rPr>
                <w:i/>
                <w:iCs/>
                <w:szCs w:val="24"/>
              </w:rPr>
              <w:t>dermatology</w:t>
            </w:r>
            <w:r w:rsidRPr="001E4C77">
              <w:rPr>
                <w:szCs w:val="24"/>
              </w:rPr>
              <w:t xml:space="preserve">, haematology or oncology; </w:t>
            </w:r>
            <w:r w:rsidRPr="00AD3B6E">
              <w:rPr>
                <w:strike/>
                <w:szCs w:val="24"/>
              </w:rPr>
              <w:t>and</w:t>
            </w:r>
          </w:p>
          <w:p w14:paraId="0C561961" w14:textId="1DBA732F" w:rsidR="00505709" w:rsidRPr="00DE5780" w:rsidRDefault="00505709" w:rsidP="005D4E95">
            <w:pPr>
              <w:rPr>
                <w:strike/>
                <w:szCs w:val="24"/>
              </w:rPr>
            </w:pPr>
            <w:r w:rsidRPr="00AD3B6E">
              <w:rPr>
                <w:strike/>
                <w:szCs w:val="24"/>
              </w:rPr>
              <w:t>(ii)    has experience with allogeneic bone marrow transplantation.</w:t>
            </w:r>
          </w:p>
          <w:p w14:paraId="5E186305" w14:textId="77777777" w:rsidR="00505709" w:rsidRPr="009A079E" w:rsidRDefault="00505709" w:rsidP="005D4E95">
            <w:pPr>
              <w:rPr>
                <w:szCs w:val="24"/>
                <w:highlight w:val="yellow"/>
              </w:rPr>
            </w:pPr>
            <w:r w:rsidRPr="001E4C77">
              <w:rPr>
                <w:szCs w:val="24"/>
              </w:rPr>
              <w:t>Applicable once per treatment session (H</w:t>
            </w:r>
            <w:r w:rsidRPr="00253BD3">
              <w:rPr>
                <w:szCs w:val="24"/>
              </w:rPr>
              <w:t>)</w:t>
            </w:r>
          </w:p>
        </w:tc>
      </w:tr>
      <w:tr w:rsidR="00505709" w:rsidRPr="00F01758" w14:paraId="7091FC56" w14:textId="77777777" w:rsidTr="005D4E95">
        <w:tc>
          <w:tcPr>
            <w:tcW w:w="9016" w:type="dxa"/>
          </w:tcPr>
          <w:p w14:paraId="142F2B04" w14:textId="77777777" w:rsidR="00505709" w:rsidRPr="00F01758" w:rsidRDefault="00505709" w:rsidP="005D4E95">
            <w:pPr>
              <w:rPr>
                <w:szCs w:val="24"/>
              </w:rPr>
            </w:pPr>
            <w:r w:rsidRPr="00F01758">
              <w:rPr>
                <w:szCs w:val="24"/>
              </w:rPr>
              <w:t>Fee: $2,195.20 Benefit: 75% = $1,646.40</w:t>
            </w:r>
          </w:p>
        </w:tc>
      </w:tr>
      <w:tr w:rsidR="00505709" w14:paraId="7A41B520" w14:textId="77777777" w:rsidTr="005D4E95">
        <w:tc>
          <w:tcPr>
            <w:tcW w:w="9016" w:type="dxa"/>
          </w:tcPr>
          <w:p w14:paraId="766416DE" w14:textId="77777777" w:rsidR="00505709" w:rsidRDefault="00505709" w:rsidP="005D4E95">
            <w:pPr>
              <w:jc w:val="right"/>
              <w:rPr>
                <w:szCs w:val="24"/>
              </w:rPr>
            </w:pPr>
            <w:r>
              <w:rPr>
                <w:szCs w:val="24"/>
              </w:rPr>
              <w:lastRenderedPageBreak/>
              <w:t>Category 3 – Therapeutic procedures</w:t>
            </w:r>
          </w:p>
          <w:p w14:paraId="78CE4386" w14:textId="3C3CDDF9" w:rsidR="00505709" w:rsidRDefault="00B65BBE" w:rsidP="005D4E95">
            <w:pPr>
              <w:jc w:val="right"/>
              <w:rPr>
                <w:szCs w:val="24"/>
              </w:rPr>
            </w:pPr>
            <w:r>
              <w:rPr>
                <w:szCs w:val="24"/>
              </w:rPr>
              <w:t xml:space="preserve">Group </w:t>
            </w:r>
            <w:r w:rsidR="00505709" w:rsidRPr="00747FF1">
              <w:rPr>
                <w:szCs w:val="24"/>
              </w:rPr>
              <w:t>T1 - Miscellaneous Therapeutic Procedures</w:t>
            </w:r>
          </w:p>
          <w:p w14:paraId="1C0155B5" w14:textId="2D409781" w:rsidR="00505709" w:rsidRDefault="00B65BBE" w:rsidP="005D4E95">
            <w:pPr>
              <w:jc w:val="right"/>
              <w:rPr>
                <w:szCs w:val="24"/>
              </w:rPr>
            </w:pPr>
            <w:r w:rsidRPr="00B65BBE">
              <w:rPr>
                <w:szCs w:val="24"/>
              </w:rPr>
              <w:t>Subgroup 8 - Haematology</w:t>
            </w:r>
          </w:p>
        </w:tc>
      </w:tr>
      <w:tr w:rsidR="00505709" w14:paraId="4CD83A31" w14:textId="77777777" w:rsidTr="005D4E95">
        <w:tc>
          <w:tcPr>
            <w:tcW w:w="9016" w:type="dxa"/>
          </w:tcPr>
          <w:p w14:paraId="45CE8B8E" w14:textId="77777777" w:rsidR="00505709" w:rsidRPr="00253BD3" w:rsidRDefault="00505709" w:rsidP="005D4E95">
            <w:pPr>
              <w:rPr>
                <w:szCs w:val="24"/>
              </w:rPr>
            </w:pPr>
            <w:r w:rsidRPr="00253BD3">
              <w:rPr>
                <w:szCs w:val="24"/>
              </w:rPr>
              <w:t>MBS item 1376</w:t>
            </w:r>
            <w:r>
              <w:rPr>
                <w:szCs w:val="24"/>
              </w:rPr>
              <w:t>2</w:t>
            </w:r>
          </w:p>
          <w:p w14:paraId="1FCC950A" w14:textId="77777777" w:rsidR="00505709" w:rsidRPr="00045983" w:rsidRDefault="00505709" w:rsidP="005D4E95">
            <w:pPr>
              <w:rPr>
                <w:szCs w:val="24"/>
              </w:rPr>
            </w:pPr>
            <w:r w:rsidRPr="00045983">
              <w:rPr>
                <w:szCs w:val="24"/>
              </w:rPr>
              <w:t>Extracorporeal photopheresis for the treatment of chronic graft</w:t>
            </w:r>
            <w:r w:rsidRPr="00045983">
              <w:rPr>
                <w:rFonts w:ascii="Cambria Math" w:hAnsi="Cambria Math" w:cs="Cambria Math"/>
                <w:szCs w:val="24"/>
              </w:rPr>
              <w:t>‑</w:t>
            </w:r>
            <w:r w:rsidRPr="00045983">
              <w:rPr>
                <w:szCs w:val="24"/>
              </w:rPr>
              <w:t>versus</w:t>
            </w:r>
            <w:r w:rsidRPr="00045983">
              <w:rPr>
                <w:rFonts w:ascii="Cambria Math" w:hAnsi="Cambria Math" w:cs="Cambria Math"/>
                <w:szCs w:val="24"/>
              </w:rPr>
              <w:t>‑</w:t>
            </w:r>
            <w:r w:rsidRPr="00045983">
              <w:rPr>
                <w:szCs w:val="24"/>
              </w:rPr>
              <w:t>host disease, if:</w:t>
            </w:r>
          </w:p>
          <w:p w14:paraId="067E5AEE" w14:textId="722DC0CC" w:rsidR="00505709" w:rsidRPr="00045983" w:rsidRDefault="00505709" w:rsidP="005D4E95">
            <w:pPr>
              <w:rPr>
                <w:szCs w:val="24"/>
              </w:rPr>
            </w:pPr>
            <w:r w:rsidRPr="00045983">
              <w:rPr>
                <w:szCs w:val="24"/>
              </w:rPr>
              <w:t>(a)   the person:</w:t>
            </w:r>
          </w:p>
          <w:p w14:paraId="38731C13" w14:textId="77777777" w:rsidR="00505709" w:rsidRPr="00045983" w:rsidRDefault="00505709" w:rsidP="005D4E95">
            <w:pPr>
              <w:rPr>
                <w:szCs w:val="24"/>
              </w:rPr>
            </w:pPr>
            <w:r w:rsidRPr="00045983">
              <w:rPr>
                <w:szCs w:val="24"/>
              </w:rPr>
              <w:t>(</w:t>
            </w:r>
            <w:proofErr w:type="spellStart"/>
            <w:r w:rsidRPr="00045983">
              <w:rPr>
                <w:szCs w:val="24"/>
              </w:rPr>
              <w:t>i</w:t>
            </w:r>
            <w:proofErr w:type="spellEnd"/>
            <w:r w:rsidRPr="00045983">
              <w:rPr>
                <w:szCs w:val="24"/>
              </w:rPr>
              <w:t>)      has received allogeneic haematopoietic stem cell transplantation; and</w:t>
            </w:r>
          </w:p>
          <w:p w14:paraId="3308E6E9" w14:textId="77777777" w:rsidR="00505709" w:rsidRPr="00045983" w:rsidRDefault="00505709" w:rsidP="005D4E95">
            <w:pPr>
              <w:rPr>
                <w:szCs w:val="24"/>
              </w:rPr>
            </w:pPr>
            <w:r w:rsidRPr="00045983">
              <w:rPr>
                <w:szCs w:val="24"/>
              </w:rPr>
              <w:t>(ii)     has been diagnosed with chronic graft versus host disease following the transplantation; and</w:t>
            </w:r>
          </w:p>
          <w:p w14:paraId="778F4298" w14:textId="77777777" w:rsidR="00505709" w:rsidRPr="00045983" w:rsidRDefault="00505709" w:rsidP="005D4E95">
            <w:pPr>
              <w:rPr>
                <w:szCs w:val="24"/>
              </w:rPr>
            </w:pPr>
            <w:r w:rsidRPr="00045983">
              <w:rPr>
                <w:szCs w:val="24"/>
              </w:rPr>
              <w:t>(iii)    steroid treatment is clinically unsuitable as the disease is steroid refractory or the person is steroid</w:t>
            </w:r>
            <w:r w:rsidRPr="00045983">
              <w:rPr>
                <w:rFonts w:ascii="Cambria Math" w:hAnsi="Cambria Math" w:cs="Cambria Math"/>
                <w:szCs w:val="24"/>
              </w:rPr>
              <w:t>‑</w:t>
            </w:r>
            <w:r w:rsidRPr="00045983">
              <w:rPr>
                <w:szCs w:val="24"/>
              </w:rPr>
              <w:t>dependent or steroid</w:t>
            </w:r>
            <w:r w:rsidRPr="00045983">
              <w:rPr>
                <w:rFonts w:ascii="Cambria Math" w:hAnsi="Cambria Math" w:cs="Cambria Math"/>
                <w:szCs w:val="24"/>
              </w:rPr>
              <w:t>‑</w:t>
            </w:r>
            <w:r w:rsidRPr="00045983">
              <w:rPr>
                <w:szCs w:val="24"/>
              </w:rPr>
              <w:t>intolerant; and</w:t>
            </w:r>
          </w:p>
          <w:p w14:paraId="4DFACC23" w14:textId="604A4772" w:rsidR="00505709" w:rsidRPr="00045983" w:rsidRDefault="00505709" w:rsidP="005D4E95">
            <w:pPr>
              <w:rPr>
                <w:szCs w:val="24"/>
              </w:rPr>
            </w:pPr>
            <w:r w:rsidRPr="00045983">
              <w:rPr>
                <w:szCs w:val="24"/>
              </w:rPr>
              <w:t>(b)   has previously received an extracorporeal photopheresis treatment cycle and had a partial or complete response in at least one organ in response to treatment; and</w:t>
            </w:r>
          </w:p>
          <w:p w14:paraId="29762B90" w14:textId="1CA3CBA4" w:rsidR="00505709" w:rsidRPr="00045983" w:rsidRDefault="00505709" w:rsidP="005D4E95">
            <w:pPr>
              <w:rPr>
                <w:szCs w:val="24"/>
              </w:rPr>
            </w:pPr>
            <w:r w:rsidRPr="00045983">
              <w:rPr>
                <w:szCs w:val="24"/>
              </w:rPr>
              <w:t>(c)   requires further extracorporeal photopheresis; and</w:t>
            </w:r>
          </w:p>
          <w:p w14:paraId="35720CC7" w14:textId="77777777" w:rsidR="00505709" w:rsidRPr="00045983" w:rsidRDefault="00505709" w:rsidP="005D4E95">
            <w:pPr>
              <w:rPr>
                <w:strike/>
                <w:szCs w:val="24"/>
              </w:rPr>
            </w:pPr>
            <w:r w:rsidRPr="00045983">
              <w:rPr>
                <w:strike/>
                <w:szCs w:val="24"/>
              </w:rPr>
              <w:t>(d)   the service is delivered using an integrated, closed extracorporeal photopheresis system; and</w:t>
            </w:r>
          </w:p>
          <w:p w14:paraId="7361037C" w14:textId="77777777" w:rsidR="00505709" w:rsidRPr="00045983" w:rsidRDefault="00505709" w:rsidP="005D4E95">
            <w:pPr>
              <w:rPr>
                <w:szCs w:val="24"/>
              </w:rPr>
            </w:pPr>
            <w:r w:rsidRPr="00045983">
              <w:rPr>
                <w:szCs w:val="24"/>
              </w:rPr>
              <w:t>(e)   the service is provided in combination with the use of methoxsalen that is listed on the Pharmaceutical Benefits Scheme; and</w:t>
            </w:r>
          </w:p>
          <w:p w14:paraId="6BCF9A0A" w14:textId="77777777" w:rsidR="00505709" w:rsidRPr="00045983" w:rsidRDefault="00505709" w:rsidP="005D4E95">
            <w:pPr>
              <w:rPr>
                <w:szCs w:val="24"/>
              </w:rPr>
            </w:pPr>
            <w:r w:rsidRPr="00045983">
              <w:rPr>
                <w:szCs w:val="24"/>
              </w:rPr>
              <w:t>(f)    the service is provided by, or on behalf of, a specialist or consultant physician who:</w:t>
            </w:r>
          </w:p>
          <w:p w14:paraId="1655645A" w14:textId="77777777" w:rsidR="00505709" w:rsidRPr="006A7C88" w:rsidRDefault="00505709" w:rsidP="005D4E95">
            <w:pPr>
              <w:rPr>
                <w:strike/>
                <w:szCs w:val="24"/>
              </w:rPr>
            </w:pPr>
            <w:r w:rsidRPr="00045983">
              <w:rPr>
                <w:szCs w:val="24"/>
              </w:rPr>
              <w:t>(</w:t>
            </w:r>
            <w:proofErr w:type="spellStart"/>
            <w:r w:rsidRPr="00045983">
              <w:rPr>
                <w:szCs w:val="24"/>
              </w:rPr>
              <w:t>i</w:t>
            </w:r>
            <w:proofErr w:type="spellEnd"/>
            <w:r w:rsidRPr="00045983">
              <w:rPr>
                <w:szCs w:val="24"/>
              </w:rPr>
              <w:t xml:space="preserve">)     is practising in the speciality of </w:t>
            </w:r>
            <w:r w:rsidRPr="006A7C88">
              <w:rPr>
                <w:i/>
                <w:iCs/>
                <w:szCs w:val="24"/>
              </w:rPr>
              <w:t>dermatology</w:t>
            </w:r>
            <w:r w:rsidRPr="00045983">
              <w:rPr>
                <w:szCs w:val="24"/>
              </w:rPr>
              <w:t xml:space="preserve">, haematology or oncology; </w:t>
            </w:r>
            <w:r w:rsidRPr="006A7C88">
              <w:rPr>
                <w:strike/>
                <w:szCs w:val="24"/>
              </w:rPr>
              <w:t>and</w:t>
            </w:r>
          </w:p>
          <w:p w14:paraId="07205774" w14:textId="6BC50BE0" w:rsidR="00505709" w:rsidRPr="00DE5780" w:rsidRDefault="00505709" w:rsidP="005D4E95">
            <w:pPr>
              <w:rPr>
                <w:strike/>
                <w:szCs w:val="24"/>
              </w:rPr>
            </w:pPr>
            <w:r w:rsidRPr="006A7C88">
              <w:rPr>
                <w:strike/>
                <w:szCs w:val="24"/>
              </w:rPr>
              <w:t>(ii)    has experience with allogeneic bone marrow transplantation.</w:t>
            </w:r>
          </w:p>
          <w:p w14:paraId="7EC7AA2B" w14:textId="77777777" w:rsidR="00505709" w:rsidRPr="009A079E" w:rsidRDefault="00505709" w:rsidP="005D4E95">
            <w:pPr>
              <w:rPr>
                <w:szCs w:val="24"/>
                <w:highlight w:val="yellow"/>
              </w:rPr>
            </w:pPr>
            <w:r w:rsidRPr="00045983">
              <w:rPr>
                <w:szCs w:val="24"/>
              </w:rPr>
              <w:t>Applicable once per treatment session (H)</w:t>
            </w:r>
          </w:p>
        </w:tc>
      </w:tr>
      <w:tr w:rsidR="00505709" w:rsidRPr="00F01758" w14:paraId="7222B7F4" w14:textId="77777777" w:rsidTr="005D4E95">
        <w:tc>
          <w:tcPr>
            <w:tcW w:w="9016" w:type="dxa"/>
          </w:tcPr>
          <w:p w14:paraId="30A62D40" w14:textId="77777777" w:rsidR="00505709" w:rsidRPr="00F01758" w:rsidRDefault="00505709" w:rsidP="005D4E95">
            <w:pPr>
              <w:rPr>
                <w:szCs w:val="24"/>
              </w:rPr>
            </w:pPr>
            <w:r w:rsidRPr="00F01758">
              <w:rPr>
                <w:szCs w:val="24"/>
              </w:rPr>
              <w:t>Fee: $2,195.20 Benefit: 75% = $1,646.40</w:t>
            </w:r>
          </w:p>
        </w:tc>
      </w:tr>
    </w:tbl>
    <w:p w14:paraId="34617B36" w14:textId="277AC8F9" w:rsidR="00D66590" w:rsidRDefault="00D66590" w:rsidP="00E3107C">
      <w:pPr>
        <w:pStyle w:val="Heading2"/>
        <w:numPr>
          <w:ilvl w:val="0"/>
          <w:numId w:val="8"/>
        </w:numPr>
        <w:ind w:hanging="720"/>
      </w:pPr>
      <w:bookmarkStart w:id="3" w:name="_Hlk213745948"/>
      <w:r w:rsidRPr="005B6EFD">
        <w:t>Applicant comments on MSAC’s Public Summary Document</w:t>
      </w:r>
    </w:p>
    <w:p w14:paraId="54879706" w14:textId="609562BF" w:rsidR="00603F12" w:rsidRPr="009E309F" w:rsidRDefault="00657170" w:rsidP="00D66590">
      <w:pPr>
        <w:spacing w:after="240"/>
        <w:rPr>
          <w:lang w:val="en-GB"/>
        </w:rPr>
      </w:pPr>
      <w:proofErr w:type="spellStart"/>
      <w:r w:rsidRPr="00453388">
        <w:rPr>
          <w:lang w:val="en-GB"/>
        </w:rPr>
        <w:t>Therakos</w:t>
      </w:r>
      <w:proofErr w:type="spellEnd"/>
      <w:r w:rsidRPr="00453388">
        <w:rPr>
          <w:lang w:val="en-GB"/>
        </w:rPr>
        <w:t xml:space="preserve"> Australia welcomes the decision </w:t>
      </w:r>
      <w:r>
        <w:rPr>
          <w:lang w:val="en-GB"/>
        </w:rPr>
        <w:t>by</w:t>
      </w:r>
      <w:r w:rsidRPr="00453388">
        <w:rPr>
          <w:lang w:val="en-GB"/>
        </w:rPr>
        <w:t xml:space="preserve"> MSAC to </w:t>
      </w:r>
      <w:r>
        <w:rPr>
          <w:lang w:val="en-GB"/>
        </w:rPr>
        <w:t xml:space="preserve">support </w:t>
      </w:r>
      <w:r w:rsidR="000773CC">
        <w:rPr>
          <w:lang w:val="en-GB"/>
        </w:rPr>
        <w:t>expanding</w:t>
      </w:r>
      <w:r w:rsidRPr="00453388">
        <w:rPr>
          <w:lang w:val="en-GB"/>
        </w:rPr>
        <w:t xml:space="preserve"> the MBS items to include dermatologists</w:t>
      </w:r>
      <w:r w:rsidR="001E4E41">
        <w:rPr>
          <w:lang w:val="en-GB"/>
        </w:rPr>
        <w:t>.</w:t>
      </w:r>
    </w:p>
    <w:p w14:paraId="68FB4FA4" w14:textId="77777777" w:rsidR="00D66590" w:rsidRPr="005B6EFD" w:rsidRDefault="00D66590" w:rsidP="00E3107C">
      <w:pPr>
        <w:pStyle w:val="Heading2"/>
        <w:numPr>
          <w:ilvl w:val="0"/>
          <w:numId w:val="8"/>
        </w:numPr>
        <w:ind w:hanging="720"/>
      </w:pPr>
      <w:r w:rsidRPr="005B6EFD">
        <w:t>Further information on MSAC</w:t>
      </w:r>
    </w:p>
    <w:p w14:paraId="673E7B72" w14:textId="09D0A74A" w:rsidR="00505709" w:rsidRPr="00E3107C" w:rsidRDefault="00D66590" w:rsidP="00E3107C">
      <w:pPr>
        <w:keepLines/>
        <w:spacing w:before="0" w:line="269" w:lineRule="auto"/>
        <w:rPr>
          <w:rFonts w:eastAsia="Calibri" w:cs="Calibri"/>
        </w:rPr>
      </w:pPr>
      <w:r w:rsidRPr="005B6EFD">
        <w:rPr>
          <w:rFonts w:eastAsia="Calibri" w:cs="Calibri"/>
          <w:bCs/>
          <w:iCs/>
        </w:rPr>
        <w:t xml:space="preserve">MSAC Terms of Reference and other information are available on the MSAC Website: </w:t>
      </w:r>
      <w:hyperlink r:id="rId11" w:tooltip="Link to the MSAC website" w:history="1">
        <w:r w:rsidRPr="005B6EFD">
          <w:rPr>
            <w:rFonts w:eastAsia="Calibri" w:cs="Calibri"/>
            <w:iCs/>
            <w:color w:val="007BB8"/>
            <w:u w:val="single"/>
          </w:rPr>
          <w:t>visit the MSAC website</w:t>
        </w:r>
      </w:hyperlink>
      <w:bookmarkEnd w:id="3"/>
    </w:p>
    <w:sectPr w:rsidR="00505709" w:rsidRPr="00E3107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63A5" w14:textId="77777777" w:rsidR="0003375C" w:rsidRDefault="0003375C" w:rsidP="00EF2CC9">
      <w:pPr>
        <w:spacing w:before="0" w:after="0" w:line="240" w:lineRule="auto"/>
      </w:pPr>
      <w:r>
        <w:separator/>
      </w:r>
    </w:p>
  </w:endnote>
  <w:endnote w:type="continuationSeparator" w:id="0">
    <w:p w14:paraId="572C4139" w14:textId="77777777" w:rsidR="0003375C" w:rsidRDefault="0003375C" w:rsidP="00EF2CC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F756" w14:textId="674163AB" w:rsidR="00EF2CC9" w:rsidRDefault="00E12B7D">
    <w:pPr>
      <w:pStyle w:val="Footer"/>
    </w:pPr>
    <w:r>
      <w:rPr>
        <w:noProof/>
      </w:rPr>
      <mc:AlternateContent>
        <mc:Choice Requires="wps">
          <w:drawing>
            <wp:anchor distT="0" distB="0" distL="0" distR="0" simplePos="0" relativeHeight="251675653" behindDoc="0" locked="0" layoutInCell="1" allowOverlap="1" wp14:anchorId="529979CD" wp14:editId="051FA444">
              <wp:simplePos x="635" y="635"/>
              <wp:positionH relativeFrom="page">
                <wp:align>center</wp:align>
              </wp:positionH>
              <wp:positionV relativeFrom="page">
                <wp:align>bottom</wp:align>
              </wp:positionV>
              <wp:extent cx="622300" cy="467360"/>
              <wp:effectExtent l="0" t="0" r="6350" b="0"/>
              <wp:wrapNone/>
              <wp:docPr id="15469704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2B2AB1E" w14:textId="7B5B9854"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9979CD" id="_x0000_t202" coordsize="21600,21600" o:spt="202" path="m,l,21600r21600,l21600,xe">
              <v:stroke joinstyle="miter"/>
              <v:path gradientshapeok="t" o:connecttype="rect"/>
            </v:shapetype>
            <v:shape id="Text Box 17" o:spid="_x0000_s1028" type="#_x0000_t202" alt="OFFICIAL" style="position:absolute;margin-left:0;margin-top:0;width:49pt;height:36.8pt;z-index:2516756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tUDgIAABw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d8tk4fQX1kZZCOPHtnVx31HojfHgSSATTtCTa&#10;8EhHo6EvOZwtzlrAH3/zx3zCnaKc9SSYkltSNGf6myU+orZGA0ejSsb0c/4hwmP35g5IhlN6EU4m&#10;k7wY9Gg2COaF5LyKjSgkrKR2Ja9G8y6clEvPQarVKiWRjJwIG7t1MpaOcEUsn4cXge4MeCCmHmBU&#10;kyhe4X7KjTe9W+0DoZ9IidCegDwjThJMXJ2fS9T4r/8p6/qolz8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8DdtUDgIAABwE&#10;AAAOAAAAAAAAAAAAAAAAAC4CAABkcnMvZTJvRG9jLnhtbFBLAQItABQABgAIAAAAIQCQpICC2gAA&#10;AAMBAAAPAAAAAAAAAAAAAAAAAGgEAABkcnMvZG93bnJldi54bWxQSwUGAAAAAAQABADzAAAAbwUA&#10;AAAA&#10;" filled="f" stroked="f">
              <v:textbox style="mso-fit-shape-to-text:t" inset="0,0,0,15pt">
                <w:txbxContent>
                  <w:p w14:paraId="62B2AB1E" w14:textId="7B5B9854"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5F7C" w14:textId="143CC480" w:rsidR="00EF2CC9" w:rsidRDefault="00E12B7D">
    <w:pPr>
      <w:pStyle w:val="Footer"/>
    </w:pPr>
    <w:r>
      <w:rPr>
        <w:noProof/>
      </w:rPr>
      <mc:AlternateContent>
        <mc:Choice Requires="wps">
          <w:drawing>
            <wp:anchor distT="0" distB="0" distL="0" distR="0" simplePos="0" relativeHeight="251676677" behindDoc="0" locked="0" layoutInCell="1" allowOverlap="1" wp14:anchorId="7A4B23AF" wp14:editId="7E4157AA">
              <wp:simplePos x="635" y="635"/>
              <wp:positionH relativeFrom="page">
                <wp:align>center</wp:align>
              </wp:positionH>
              <wp:positionV relativeFrom="page">
                <wp:align>bottom</wp:align>
              </wp:positionV>
              <wp:extent cx="622300" cy="467360"/>
              <wp:effectExtent l="0" t="0" r="6350" b="0"/>
              <wp:wrapNone/>
              <wp:docPr id="250629923"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5DE123A" w14:textId="136E2E77"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4B23AF" id="_x0000_t202" coordsize="21600,21600" o:spt="202" path="m,l,21600r21600,l21600,xe">
              <v:stroke joinstyle="miter"/>
              <v:path gradientshapeok="t" o:connecttype="rect"/>
            </v:shapetype>
            <v:shape id="Text Box 18" o:spid="_x0000_s1029" type="#_x0000_t202" alt="OFFICIAL" style="position:absolute;margin-left:0;margin-top:0;width:49pt;height:36.8pt;z-index:2516766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BRsmlpDgIAABwE&#10;AAAOAAAAAAAAAAAAAAAAAC4CAABkcnMvZTJvRG9jLnhtbFBLAQItABQABgAIAAAAIQCQpICC2gAA&#10;AAMBAAAPAAAAAAAAAAAAAAAAAGgEAABkcnMvZG93bnJldi54bWxQSwUGAAAAAAQABADzAAAAbwUA&#10;AAAA&#10;" filled="f" stroked="f">
              <v:textbox style="mso-fit-shape-to-text:t" inset="0,0,0,15pt">
                <w:txbxContent>
                  <w:p w14:paraId="65DE123A" w14:textId="136E2E77"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2602" w14:textId="19BD3D4C" w:rsidR="00EF2CC9" w:rsidRDefault="00E12B7D">
    <w:pPr>
      <w:pStyle w:val="Footer"/>
    </w:pPr>
    <w:r>
      <w:rPr>
        <w:noProof/>
      </w:rPr>
      <mc:AlternateContent>
        <mc:Choice Requires="wps">
          <w:drawing>
            <wp:anchor distT="0" distB="0" distL="0" distR="0" simplePos="0" relativeHeight="251674629" behindDoc="0" locked="0" layoutInCell="1" allowOverlap="1" wp14:anchorId="0BE54A94" wp14:editId="323C850A">
              <wp:simplePos x="635" y="635"/>
              <wp:positionH relativeFrom="page">
                <wp:align>center</wp:align>
              </wp:positionH>
              <wp:positionV relativeFrom="page">
                <wp:align>bottom</wp:align>
              </wp:positionV>
              <wp:extent cx="622300" cy="467360"/>
              <wp:effectExtent l="0" t="0" r="6350" b="0"/>
              <wp:wrapNone/>
              <wp:docPr id="121150914"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A1004D6" w14:textId="5396887E"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E54A94" id="_x0000_t202" coordsize="21600,21600" o:spt="202" path="m,l,21600r21600,l21600,xe">
              <v:stroke joinstyle="miter"/>
              <v:path gradientshapeok="t" o:connecttype="rect"/>
            </v:shapetype>
            <v:shape id="Text Box 16" o:spid="_x0000_s1031" type="#_x0000_t202" alt="OFFICIAL" style="position:absolute;margin-left:0;margin-top:0;width:49pt;height:36.8pt;z-index:2516746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McbkDgIAABwE&#10;AAAOAAAAAAAAAAAAAAAAAC4CAABkcnMvZTJvRG9jLnhtbFBLAQItABQABgAIAAAAIQCQpICC2gAA&#10;AAMBAAAPAAAAAAAAAAAAAAAAAGgEAABkcnMvZG93bnJldi54bWxQSwUGAAAAAAQABADzAAAAbwUA&#10;AAAA&#10;" filled="f" stroked="f">
              <v:textbox style="mso-fit-shape-to-text:t" inset="0,0,0,15pt">
                <w:txbxContent>
                  <w:p w14:paraId="7A1004D6" w14:textId="5396887E"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2FFEB" w14:textId="77777777" w:rsidR="0003375C" w:rsidRDefault="0003375C" w:rsidP="00EF2CC9">
      <w:pPr>
        <w:spacing w:before="0" w:after="0" w:line="240" w:lineRule="auto"/>
      </w:pPr>
      <w:r>
        <w:separator/>
      </w:r>
    </w:p>
  </w:footnote>
  <w:footnote w:type="continuationSeparator" w:id="0">
    <w:p w14:paraId="6EC3D2DD" w14:textId="77777777" w:rsidR="0003375C" w:rsidRDefault="0003375C" w:rsidP="00EF2CC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A0A6" w14:textId="22519440" w:rsidR="00EF2CC9" w:rsidRDefault="00E12B7D">
    <w:pPr>
      <w:pStyle w:val="Header"/>
    </w:pPr>
    <w:r>
      <w:rPr>
        <w:noProof/>
      </w:rPr>
      <mc:AlternateContent>
        <mc:Choice Requires="wps">
          <w:drawing>
            <wp:anchor distT="0" distB="0" distL="0" distR="0" simplePos="0" relativeHeight="251672581" behindDoc="0" locked="0" layoutInCell="1" allowOverlap="1" wp14:anchorId="2EB11FF6" wp14:editId="6A48AAD7">
              <wp:simplePos x="635" y="635"/>
              <wp:positionH relativeFrom="page">
                <wp:align>center</wp:align>
              </wp:positionH>
              <wp:positionV relativeFrom="page">
                <wp:align>top</wp:align>
              </wp:positionV>
              <wp:extent cx="622300" cy="467360"/>
              <wp:effectExtent l="0" t="0" r="6350" b="8890"/>
              <wp:wrapNone/>
              <wp:docPr id="462957166"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8C191C3" w14:textId="6501E3DE"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B11FF6" id="_x0000_t202" coordsize="21600,21600" o:spt="202" path="m,l,21600r21600,l21600,xe">
              <v:stroke joinstyle="miter"/>
              <v:path gradientshapeok="t" o:connecttype="rect"/>
            </v:shapetype>
            <v:shape id="Text Box 14" o:spid="_x0000_s1026" type="#_x0000_t202" alt="OFFICIAL" style="position:absolute;margin-left:0;margin-top:0;width:49pt;height:36.8pt;z-index:2516725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textbox style="mso-fit-shape-to-text:t" inset="0,15pt,0,0">
                <w:txbxContent>
                  <w:p w14:paraId="68C191C3" w14:textId="6501E3DE"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2453" w14:textId="1AA2B135" w:rsidR="00EF2CC9" w:rsidRDefault="00E12B7D">
    <w:pPr>
      <w:pStyle w:val="Header"/>
    </w:pPr>
    <w:r>
      <w:rPr>
        <w:noProof/>
      </w:rPr>
      <mc:AlternateContent>
        <mc:Choice Requires="wps">
          <w:drawing>
            <wp:anchor distT="0" distB="0" distL="0" distR="0" simplePos="0" relativeHeight="251673605" behindDoc="0" locked="0" layoutInCell="1" allowOverlap="1" wp14:anchorId="6E750642" wp14:editId="6E176B68">
              <wp:simplePos x="635" y="635"/>
              <wp:positionH relativeFrom="page">
                <wp:align>center</wp:align>
              </wp:positionH>
              <wp:positionV relativeFrom="page">
                <wp:align>top</wp:align>
              </wp:positionV>
              <wp:extent cx="622300" cy="467360"/>
              <wp:effectExtent l="0" t="0" r="6350" b="8890"/>
              <wp:wrapNone/>
              <wp:docPr id="968234538"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0B8F9EC" w14:textId="0358D1F7"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750642" id="_x0000_t202" coordsize="21600,21600" o:spt="202" path="m,l,21600r21600,l21600,xe">
              <v:stroke joinstyle="miter"/>
              <v:path gradientshapeok="t" o:connecttype="rect"/>
            </v:shapetype>
            <v:shape id="Text Box 15" o:spid="_x0000_s1027" type="#_x0000_t202" alt="OFFICIAL" style="position:absolute;margin-left:0;margin-top:0;width:49pt;height:36.8pt;z-index:2516736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" filled="f" stroked="f">
              <v:textbox style="mso-fit-shape-to-text:t" inset="0,15pt,0,0">
                <w:txbxContent>
                  <w:p w14:paraId="70B8F9EC" w14:textId="0358D1F7"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CC81" w14:textId="203047FF" w:rsidR="00EF2CC9" w:rsidRDefault="00E12B7D">
    <w:pPr>
      <w:pStyle w:val="Header"/>
    </w:pPr>
    <w:r>
      <w:rPr>
        <w:noProof/>
      </w:rPr>
      <mc:AlternateContent>
        <mc:Choice Requires="wps">
          <w:drawing>
            <wp:anchor distT="0" distB="0" distL="0" distR="0" simplePos="0" relativeHeight="251671557" behindDoc="0" locked="0" layoutInCell="1" allowOverlap="1" wp14:anchorId="7746C033" wp14:editId="3041CEB8">
              <wp:simplePos x="635" y="635"/>
              <wp:positionH relativeFrom="page">
                <wp:align>center</wp:align>
              </wp:positionH>
              <wp:positionV relativeFrom="page">
                <wp:align>top</wp:align>
              </wp:positionV>
              <wp:extent cx="622300" cy="467360"/>
              <wp:effectExtent l="0" t="0" r="6350" b="8890"/>
              <wp:wrapNone/>
              <wp:docPr id="212455165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2267619D" w14:textId="73188AFD"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6C033" id="_x0000_t202" coordsize="21600,21600" o:spt="202" path="m,l,21600r21600,l21600,xe">
              <v:stroke joinstyle="miter"/>
              <v:path gradientshapeok="t" o:connecttype="rect"/>
            </v:shapetype>
            <v:shape id="Text Box 13" o:spid="_x0000_s1030" type="#_x0000_t202" alt="OFFICIAL" style="position:absolute;margin-left:0;margin-top:0;width:49pt;height:36.8pt;z-index:2516715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Vt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NR+n30F1oqU8nPkOTq4bar0RAZ+EJ4JpWhIt&#10;PtKhDXQlh8HirAb/42/+mE+4U5SzjgRTckuK5sx8s8RH1FYypp/zDxEMP7p3o2EP7R2QDKf0IpxM&#10;ZsxDM5raQ/tCcl7FRhQSVlK7kuNo3uFZufQcpFqtUhLJyAnc2K2TsXSEK2L53L8I7wbAkZh6gFFN&#10;oniF+zk33gxudUBCP5ESoT0DOSBOEkxcDc8lavzX/5R1fdTLnwA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zEklbQ0CAAAcBAAA&#10;DgAAAAAAAAAAAAAAAAAuAgAAZHJzL2Uyb0RvYy54bWxQSwECLQAUAAYACAAAACEAc1dcPdkAAAAD&#10;AQAADwAAAAAAAAAAAAAAAABnBAAAZHJzL2Rvd25yZXYueG1sUEsFBgAAAAAEAAQA8wAAAG0FAAAA&#10;AA==&#10;" filled="f" stroked="f">
              <v:textbox style="mso-fit-shape-to-text:t" inset="0,15pt,0,0">
                <w:txbxContent>
                  <w:p w14:paraId="2267619D" w14:textId="73188AFD" w:rsidR="00E12B7D" w:rsidRPr="00E12B7D" w:rsidRDefault="00E12B7D" w:rsidP="00E12B7D">
                    <w:pPr>
                      <w:spacing w:after="0"/>
                      <w:rPr>
                        <w:rFonts w:ascii="Aptos" w:eastAsia="Aptos" w:hAnsi="Aptos" w:cs="Aptos"/>
                        <w:noProof/>
                        <w:color w:val="FF0000"/>
                        <w:sz w:val="24"/>
                        <w:szCs w:val="24"/>
                      </w:rPr>
                    </w:pPr>
                    <w:r w:rsidRPr="00E12B7D">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44BF"/>
    <w:multiLevelType w:val="hybridMultilevel"/>
    <w:tmpl w:val="3FDAE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B1E62F2"/>
    <w:multiLevelType w:val="hybridMultilevel"/>
    <w:tmpl w:val="402C42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24371DC"/>
    <w:multiLevelType w:val="multilevel"/>
    <w:tmpl w:val="4A02812C"/>
    <w:lvl w:ilvl="0">
      <w:start w:val="1"/>
      <w:numFmt w:val="decimal"/>
      <w:pStyle w:val="Heading1"/>
      <w:lvlText w:val="Section %1"/>
      <w:lvlJc w:val="left"/>
      <w:pPr>
        <w:ind w:left="786" w:hanging="360"/>
      </w:pPr>
      <w:rPr>
        <w:rFonts w:hint="default"/>
      </w:rPr>
    </w:lvl>
    <w:lvl w:ilvl="1">
      <w:start w:val="1"/>
      <w:numFmt w:val="decimal"/>
      <w:lvlText w:val="%1.%2"/>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D4F368B"/>
    <w:multiLevelType w:val="hybridMultilevel"/>
    <w:tmpl w:val="7F36D186"/>
    <w:lvl w:ilvl="0" w:tplc="A86E3850">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74D313C9"/>
    <w:multiLevelType w:val="hybridMultilevel"/>
    <w:tmpl w:val="80108A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8E81FDC"/>
    <w:multiLevelType w:val="hybridMultilevel"/>
    <w:tmpl w:val="D5C698E8"/>
    <w:lvl w:ilvl="0" w:tplc="A79EC4F8">
      <w:start w:val="1"/>
      <w:numFmt w:val="bullet"/>
      <w:pStyle w:val="BulletBeforeDash"/>
      <w:lvlText w:val="•"/>
      <w:lvlJc w:val="left"/>
      <w:pPr>
        <w:tabs>
          <w:tab w:val="num" w:pos="360"/>
        </w:tabs>
        <w:ind w:left="36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753966850">
    <w:abstractNumId w:val="2"/>
  </w:num>
  <w:num w:numId="2" w16cid:durableId="112404143">
    <w:abstractNumId w:val="2"/>
  </w:num>
  <w:num w:numId="3" w16cid:durableId="1645231023">
    <w:abstractNumId w:val="2"/>
  </w:num>
  <w:num w:numId="4" w16cid:durableId="301468282">
    <w:abstractNumId w:val="3"/>
  </w:num>
  <w:num w:numId="5" w16cid:durableId="814759832">
    <w:abstractNumId w:val="5"/>
  </w:num>
  <w:num w:numId="6" w16cid:durableId="584151501">
    <w:abstractNumId w:val="0"/>
  </w:num>
  <w:num w:numId="7" w16cid:durableId="1249659005">
    <w:abstractNumId w:val="1"/>
  </w:num>
  <w:num w:numId="8" w16cid:durableId="1096288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9D3"/>
    <w:rsid w:val="00024806"/>
    <w:rsid w:val="00024BAB"/>
    <w:rsid w:val="000259B2"/>
    <w:rsid w:val="00026A24"/>
    <w:rsid w:val="000309A9"/>
    <w:rsid w:val="0003375C"/>
    <w:rsid w:val="000344A4"/>
    <w:rsid w:val="0003469C"/>
    <w:rsid w:val="000440BD"/>
    <w:rsid w:val="00044D87"/>
    <w:rsid w:val="00045983"/>
    <w:rsid w:val="00067AEF"/>
    <w:rsid w:val="00075C87"/>
    <w:rsid w:val="000773CC"/>
    <w:rsid w:val="00086A2D"/>
    <w:rsid w:val="00091F1A"/>
    <w:rsid w:val="000A3C54"/>
    <w:rsid w:val="000A42A2"/>
    <w:rsid w:val="000A4846"/>
    <w:rsid w:val="000A77DA"/>
    <w:rsid w:val="000B04E1"/>
    <w:rsid w:val="000C6D81"/>
    <w:rsid w:val="000D502A"/>
    <w:rsid w:val="000E45B1"/>
    <w:rsid w:val="000F2F13"/>
    <w:rsid w:val="000F4A38"/>
    <w:rsid w:val="000F7132"/>
    <w:rsid w:val="00122AC4"/>
    <w:rsid w:val="00126EA0"/>
    <w:rsid w:val="001455BA"/>
    <w:rsid w:val="0014631E"/>
    <w:rsid w:val="00147FF3"/>
    <w:rsid w:val="00152CD2"/>
    <w:rsid w:val="00156A95"/>
    <w:rsid w:val="00161829"/>
    <w:rsid w:val="00181631"/>
    <w:rsid w:val="001A1334"/>
    <w:rsid w:val="001A3DB4"/>
    <w:rsid w:val="001B2703"/>
    <w:rsid w:val="001B32DA"/>
    <w:rsid w:val="001B5A00"/>
    <w:rsid w:val="001B732C"/>
    <w:rsid w:val="001D0D1E"/>
    <w:rsid w:val="001D7BB0"/>
    <w:rsid w:val="001E496A"/>
    <w:rsid w:val="001E4C77"/>
    <w:rsid w:val="001E4E41"/>
    <w:rsid w:val="001E5097"/>
    <w:rsid w:val="00200A31"/>
    <w:rsid w:val="00211DC5"/>
    <w:rsid w:val="0021206D"/>
    <w:rsid w:val="00226DB0"/>
    <w:rsid w:val="00235B72"/>
    <w:rsid w:val="00236198"/>
    <w:rsid w:val="002456F7"/>
    <w:rsid w:val="00245A6A"/>
    <w:rsid w:val="00253BD3"/>
    <w:rsid w:val="00277F7B"/>
    <w:rsid w:val="00286FF5"/>
    <w:rsid w:val="00297F7B"/>
    <w:rsid w:val="002A7038"/>
    <w:rsid w:val="002B0AD5"/>
    <w:rsid w:val="002C6A26"/>
    <w:rsid w:val="002E591A"/>
    <w:rsid w:val="002F04D8"/>
    <w:rsid w:val="002F688C"/>
    <w:rsid w:val="003069F2"/>
    <w:rsid w:val="0030734B"/>
    <w:rsid w:val="00310200"/>
    <w:rsid w:val="00323BFB"/>
    <w:rsid w:val="00323D69"/>
    <w:rsid w:val="003458F3"/>
    <w:rsid w:val="0036231E"/>
    <w:rsid w:val="0037116B"/>
    <w:rsid w:val="00376511"/>
    <w:rsid w:val="003776FD"/>
    <w:rsid w:val="00382AC2"/>
    <w:rsid w:val="0038487C"/>
    <w:rsid w:val="00385523"/>
    <w:rsid w:val="003875C4"/>
    <w:rsid w:val="003963E0"/>
    <w:rsid w:val="003A0D87"/>
    <w:rsid w:val="003A5881"/>
    <w:rsid w:val="003C3690"/>
    <w:rsid w:val="003C42D9"/>
    <w:rsid w:val="003C4E05"/>
    <w:rsid w:val="003C4ED1"/>
    <w:rsid w:val="003C5044"/>
    <w:rsid w:val="003D16A8"/>
    <w:rsid w:val="003D4E53"/>
    <w:rsid w:val="003E16BD"/>
    <w:rsid w:val="003E34A5"/>
    <w:rsid w:val="003E3BAE"/>
    <w:rsid w:val="003E4494"/>
    <w:rsid w:val="00423EAD"/>
    <w:rsid w:val="004342FF"/>
    <w:rsid w:val="00451F74"/>
    <w:rsid w:val="00452AC5"/>
    <w:rsid w:val="00453388"/>
    <w:rsid w:val="0045547C"/>
    <w:rsid w:val="00457901"/>
    <w:rsid w:val="00464E5B"/>
    <w:rsid w:val="00486079"/>
    <w:rsid w:val="00491161"/>
    <w:rsid w:val="004929ED"/>
    <w:rsid w:val="004A2FEF"/>
    <w:rsid w:val="004C7C43"/>
    <w:rsid w:val="004D4125"/>
    <w:rsid w:val="004D7F62"/>
    <w:rsid w:val="004E06BD"/>
    <w:rsid w:val="004E0810"/>
    <w:rsid w:val="004E75D8"/>
    <w:rsid w:val="005023C2"/>
    <w:rsid w:val="00502C70"/>
    <w:rsid w:val="00505709"/>
    <w:rsid w:val="0050702E"/>
    <w:rsid w:val="00511DA3"/>
    <w:rsid w:val="00525FB0"/>
    <w:rsid w:val="005333A5"/>
    <w:rsid w:val="005342B8"/>
    <w:rsid w:val="00540FF3"/>
    <w:rsid w:val="00547EAB"/>
    <w:rsid w:val="0055192F"/>
    <w:rsid w:val="00554A89"/>
    <w:rsid w:val="00570088"/>
    <w:rsid w:val="00571CFB"/>
    <w:rsid w:val="005822CA"/>
    <w:rsid w:val="005A070F"/>
    <w:rsid w:val="005B1036"/>
    <w:rsid w:val="005B10EF"/>
    <w:rsid w:val="005B3CA3"/>
    <w:rsid w:val="005B715D"/>
    <w:rsid w:val="005B7E7E"/>
    <w:rsid w:val="005D5C4B"/>
    <w:rsid w:val="005D7E09"/>
    <w:rsid w:val="005E0F4B"/>
    <w:rsid w:val="005E3B10"/>
    <w:rsid w:val="005E4D56"/>
    <w:rsid w:val="005E5DE5"/>
    <w:rsid w:val="005E7511"/>
    <w:rsid w:val="00603F12"/>
    <w:rsid w:val="00610DD9"/>
    <w:rsid w:val="0062197F"/>
    <w:rsid w:val="00623209"/>
    <w:rsid w:val="00641D15"/>
    <w:rsid w:val="0065206B"/>
    <w:rsid w:val="00657170"/>
    <w:rsid w:val="00664ED8"/>
    <w:rsid w:val="00670320"/>
    <w:rsid w:val="00677B74"/>
    <w:rsid w:val="00692C76"/>
    <w:rsid w:val="00694418"/>
    <w:rsid w:val="006A598A"/>
    <w:rsid w:val="006A7C88"/>
    <w:rsid w:val="006B4DA8"/>
    <w:rsid w:val="006C5B43"/>
    <w:rsid w:val="006D338E"/>
    <w:rsid w:val="006D68E8"/>
    <w:rsid w:val="006E50CD"/>
    <w:rsid w:val="006E7CE5"/>
    <w:rsid w:val="00724055"/>
    <w:rsid w:val="00727823"/>
    <w:rsid w:val="007313C1"/>
    <w:rsid w:val="007320D1"/>
    <w:rsid w:val="00734DCC"/>
    <w:rsid w:val="00737FA4"/>
    <w:rsid w:val="00747FF1"/>
    <w:rsid w:val="00772260"/>
    <w:rsid w:val="00775D41"/>
    <w:rsid w:val="00780CFD"/>
    <w:rsid w:val="00787B0C"/>
    <w:rsid w:val="007A10BD"/>
    <w:rsid w:val="007B033D"/>
    <w:rsid w:val="007B7717"/>
    <w:rsid w:val="007C3216"/>
    <w:rsid w:val="007D2EC0"/>
    <w:rsid w:val="007D3D61"/>
    <w:rsid w:val="007D42F8"/>
    <w:rsid w:val="007E02AF"/>
    <w:rsid w:val="007E111F"/>
    <w:rsid w:val="007F118B"/>
    <w:rsid w:val="0080403F"/>
    <w:rsid w:val="00806BA0"/>
    <w:rsid w:val="00812599"/>
    <w:rsid w:val="0081482C"/>
    <w:rsid w:val="0082238B"/>
    <w:rsid w:val="00822A9C"/>
    <w:rsid w:val="008247D9"/>
    <w:rsid w:val="00841007"/>
    <w:rsid w:val="0085048C"/>
    <w:rsid w:val="008540E3"/>
    <w:rsid w:val="00872DF7"/>
    <w:rsid w:val="00876508"/>
    <w:rsid w:val="00877785"/>
    <w:rsid w:val="00884867"/>
    <w:rsid w:val="0089366B"/>
    <w:rsid w:val="00897447"/>
    <w:rsid w:val="008A5A8D"/>
    <w:rsid w:val="008B4276"/>
    <w:rsid w:val="008C03FC"/>
    <w:rsid w:val="008D0C8D"/>
    <w:rsid w:val="008D0D84"/>
    <w:rsid w:val="008D4A17"/>
    <w:rsid w:val="008E0C22"/>
    <w:rsid w:val="008E33C7"/>
    <w:rsid w:val="008E5D69"/>
    <w:rsid w:val="00904926"/>
    <w:rsid w:val="00912B93"/>
    <w:rsid w:val="009168A3"/>
    <w:rsid w:val="00921D7A"/>
    <w:rsid w:val="0095516C"/>
    <w:rsid w:val="00956A3A"/>
    <w:rsid w:val="00962710"/>
    <w:rsid w:val="00964B1A"/>
    <w:rsid w:val="0096627C"/>
    <w:rsid w:val="00967C8A"/>
    <w:rsid w:val="00971A1D"/>
    <w:rsid w:val="00984090"/>
    <w:rsid w:val="00984FF1"/>
    <w:rsid w:val="00985381"/>
    <w:rsid w:val="00986A05"/>
    <w:rsid w:val="00993675"/>
    <w:rsid w:val="009A079E"/>
    <w:rsid w:val="009A2988"/>
    <w:rsid w:val="009A326A"/>
    <w:rsid w:val="009A3EF0"/>
    <w:rsid w:val="009A6DF5"/>
    <w:rsid w:val="009A72F2"/>
    <w:rsid w:val="009A7429"/>
    <w:rsid w:val="009B53F0"/>
    <w:rsid w:val="009C2F2F"/>
    <w:rsid w:val="009E27EE"/>
    <w:rsid w:val="009F6CB9"/>
    <w:rsid w:val="009F780B"/>
    <w:rsid w:val="00A03B8C"/>
    <w:rsid w:val="00A05AD7"/>
    <w:rsid w:val="00A16089"/>
    <w:rsid w:val="00A17988"/>
    <w:rsid w:val="00A23E53"/>
    <w:rsid w:val="00A241AD"/>
    <w:rsid w:val="00A24960"/>
    <w:rsid w:val="00A30D70"/>
    <w:rsid w:val="00A32F17"/>
    <w:rsid w:val="00A52656"/>
    <w:rsid w:val="00A54160"/>
    <w:rsid w:val="00A74043"/>
    <w:rsid w:val="00A9073A"/>
    <w:rsid w:val="00A91838"/>
    <w:rsid w:val="00AA4718"/>
    <w:rsid w:val="00AB0FA8"/>
    <w:rsid w:val="00AB4524"/>
    <w:rsid w:val="00AB6379"/>
    <w:rsid w:val="00AC5700"/>
    <w:rsid w:val="00AC7635"/>
    <w:rsid w:val="00AD21B0"/>
    <w:rsid w:val="00AD2E37"/>
    <w:rsid w:val="00AD3B6E"/>
    <w:rsid w:val="00AF46D8"/>
    <w:rsid w:val="00AF72F4"/>
    <w:rsid w:val="00B02954"/>
    <w:rsid w:val="00B03424"/>
    <w:rsid w:val="00B141E6"/>
    <w:rsid w:val="00B1443C"/>
    <w:rsid w:val="00B16D3A"/>
    <w:rsid w:val="00B27DA3"/>
    <w:rsid w:val="00B306A9"/>
    <w:rsid w:val="00B33B61"/>
    <w:rsid w:val="00B47EF2"/>
    <w:rsid w:val="00B54922"/>
    <w:rsid w:val="00B601B9"/>
    <w:rsid w:val="00B65BBE"/>
    <w:rsid w:val="00B7606C"/>
    <w:rsid w:val="00B760C0"/>
    <w:rsid w:val="00B92EF4"/>
    <w:rsid w:val="00B93DCF"/>
    <w:rsid w:val="00B977A9"/>
    <w:rsid w:val="00BA45AA"/>
    <w:rsid w:val="00BB0315"/>
    <w:rsid w:val="00BB201C"/>
    <w:rsid w:val="00BC172C"/>
    <w:rsid w:val="00BE0141"/>
    <w:rsid w:val="00BE0672"/>
    <w:rsid w:val="00BF1DFF"/>
    <w:rsid w:val="00C057FC"/>
    <w:rsid w:val="00C0751A"/>
    <w:rsid w:val="00C10816"/>
    <w:rsid w:val="00C238DD"/>
    <w:rsid w:val="00C353D0"/>
    <w:rsid w:val="00C519D3"/>
    <w:rsid w:val="00C54574"/>
    <w:rsid w:val="00C64783"/>
    <w:rsid w:val="00C70AF4"/>
    <w:rsid w:val="00C76C8F"/>
    <w:rsid w:val="00C86044"/>
    <w:rsid w:val="00C91484"/>
    <w:rsid w:val="00C935C4"/>
    <w:rsid w:val="00CB2CBC"/>
    <w:rsid w:val="00CD1888"/>
    <w:rsid w:val="00CD301F"/>
    <w:rsid w:val="00CD3405"/>
    <w:rsid w:val="00CD519E"/>
    <w:rsid w:val="00CD7B59"/>
    <w:rsid w:val="00CD7EB7"/>
    <w:rsid w:val="00CE3844"/>
    <w:rsid w:val="00CE681C"/>
    <w:rsid w:val="00CE7B07"/>
    <w:rsid w:val="00CF189F"/>
    <w:rsid w:val="00D01660"/>
    <w:rsid w:val="00D117C6"/>
    <w:rsid w:val="00D41831"/>
    <w:rsid w:val="00D53687"/>
    <w:rsid w:val="00D62913"/>
    <w:rsid w:val="00D62B26"/>
    <w:rsid w:val="00D65722"/>
    <w:rsid w:val="00D65CCA"/>
    <w:rsid w:val="00D66590"/>
    <w:rsid w:val="00D7379B"/>
    <w:rsid w:val="00D739F4"/>
    <w:rsid w:val="00D73FD0"/>
    <w:rsid w:val="00D766AA"/>
    <w:rsid w:val="00D81105"/>
    <w:rsid w:val="00D81E28"/>
    <w:rsid w:val="00D9412B"/>
    <w:rsid w:val="00DB1BC7"/>
    <w:rsid w:val="00DB2A6B"/>
    <w:rsid w:val="00DB657E"/>
    <w:rsid w:val="00DB73BF"/>
    <w:rsid w:val="00DC0B97"/>
    <w:rsid w:val="00DC22CD"/>
    <w:rsid w:val="00DC4D3E"/>
    <w:rsid w:val="00DC66F0"/>
    <w:rsid w:val="00DE5780"/>
    <w:rsid w:val="00DE6256"/>
    <w:rsid w:val="00DF1459"/>
    <w:rsid w:val="00DF6577"/>
    <w:rsid w:val="00E02F14"/>
    <w:rsid w:val="00E12B7D"/>
    <w:rsid w:val="00E13B0E"/>
    <w:rsid w:val="00E25463"/>
    <w:rsid w:val="00E3107C"/>
    <w:rsid w:val="00E33AFC"/>
    <w:rsid w:val="00E36179"/>
    <w:rsid w:val="00E434C3"/>
    <w:rsid w:val="00E53A22"/>
    <w:rsid w:val="00E57583"/>
    <w:rsid w:val="00E61A6D"/>
    <w:rsid w:val="00E772A7"/>
    <w:rsid w:val="00E96DEE"/>
    <w:rsid w:val="00EA4366"/>
    <w:rsid w:val="00EA6D48"/>
    <w:rsid w:val="00EB1E30"/>
    <w:rsid w:val="00EB71FC"/>
    <w:rsid w:val="00EB7AB0"/>
    <w:rsid w:val="00EC7457"/>
    <w:rsid w:val="00ED1E27"/>
    <w:rsid w:val="00ED444F"/>
    <w:rsid w:val="00ED6A27"/>
    <w:rsid w:val="00EE258C"/>
    <w:rsid w:val="00EF2CC9"/>
    <w:rsid w:val="00F01758"/>
    <w:rsid w:val="00F04608"/>
    <w:rsid w:val="00F1601F"/>
    <w:rsid w:val="00F30F9B"/>
    <w:rsid w:val="00F40EA3"/>
    <w:rsid w:val="00F56E80"/>
    <w:rsid w:val="00F62A26"/>
    <w:rsid w:val="00F75359"/>
    <w:rsid w:val="00F852B6"/>
    <w:rsid w:val="00F94696"/>
    <w:rsid w:val="00F94D79"/>
    <w:rsid w:val="00FD6F59"/>
    <w:rsid w:val="00FF53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DA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7FC"/>
    <w:pPr>
      <w:spacing w:before="120"/>
    </w:pPr>
    <w:rPr>
      <w:rFonts w:ascii="Franklin Gothic Book" w:hAnsi="Franklin Gothic Book"/>
    </w:rPr>
  </w:style>
  <w:style w:type="paragraph" w:styleId="Heading1">
    <w:name w:val="heading 1"/>
    <w:basedOn w:val="Normal"/>
    <w:next w:val="Normal"/>
    <w:link w:val="Heading1Char"/>
    <w:uiPriority w:val="9"/>
    <w:qFormat/>
    <w:rsid w:val="00AF46D8"/>
    <w:pPr>
      <w:keepNext/>
      <w:keepLines/>
      <w:numPr>
        <w:numId w:val="1"/>
      </w:numPr>
      <w:pBdr>
        <w:bottom w:val="single" w:sz="4" w:space="1" w:color="auto"/>
      </w:pBdr>
      <w:spacing w:before="600" w:after="480" w:line="240" w:lineRule="auto"/>
      <w:ind w:left="357" w:hanging="357"/>
      <w:outlineLvl w:val="0"/>
    </w:pPr>
    <w:rPr>
      <w:rFonts w:ascii="Franklin Gothic Medium" w:eastAsiaTheme="majorEastAsia" w:hAnsi="Franklin Gothic Medium" w:cstheme="majorBidi"/>
      <w:sz w:val="44"/>
      <w:szCs w:val="32"/>
    </w:rPr>
  </w:style>
  <w:style w:type="paragraph" w:styleId="Heading2">
    <w:name w:val="heading 2"/>
    <w:basedOn w:val="Normal"/>
    <w:next w:val="Normal"/>
    <w:link w:val="Heading2Char"/>
    <w:uiPriority w:val="9"/>
    <w:unhideWhenUsed/>
    <w:qFormat/>
    <w:rsid w:val="00C057FC"/>
    <w:pPr>
      <w:keepNext/>
      <w:keepLines/>
      <w:spacing w:before="360" w:after="24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Normal"/>
    <w:next w:val="Normal"/>
    <w:link w:val="Heading3Char"/>
    <w:uiPriority w:val="9"/>
    <w:unhideWhenUsed/>
    <w:qFormat/>
    <w:rsid w:val="00AF46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6D8"/>
    <w:rPr>
      <w:rFonts w:ascii="Franklin Gothic Medium" w:eastAsiaTheme="majorEastAsia" w:hAnsi="Franklin Gothic Medium" w:cstheme="majorBidi"/>
      <w:sz w:val="44"/>
      <w:szCs w:val="32"/>
    </w:rPr>
  </w:style>
  <w:style w:type="character" w:customStyle="1" w:styleId="Heading2Char">
    <w:name w:val="Heading 2 Char"/>
    <w:basedOn w:val="DefaultParagraphFont"/>
    <w:link w:val="Heading2"/>
    <w:uiPriority w:val="9"/>
    <w:rsid w:val="00C057FC"/>
    <w:rPr>
      <w:rFonts w:ascii="Franklin Gothic Medium" w:eastAsiaTheme="majorEastAsia" w:hAnsi="Franklin Gothic Medium" w:cstheme="majorBidi"/>
      <w:color w:val="000000" w:themeColor="text1"/>
      <w:sz w:val="32"/>
      <w:szCs w:val="26"/>
    </w:rPr>
  </w:style>
  <w:style w:type="character" w:customStyle="1" w:styleId="Heading3Char">
    <w:name w:val="Heading 3 Char"/>
    <w:basedOn w:val="DefaultParagraphFont"/>
    <w:link w:val="Heading3"/>
    <w:uiPriority w:val="9"/>
    <w:rsid w:val="00AF46D8"/>
    <w:rPr>
      <w:rFonts w:asciiTheme="majorHAnsi" w:eastAsiaTheme="majorEastAsia" w:hAnsiTheme="majorHAnsi" w:cstheme="majorBidi"/>
      <w:color w:val="1F3763" w:themeColor="accent1" w:themeShade="7F"/>
      <w:sz w:val="24"/>
      <w:szCs w:val="24"/>
    </w:rPr>
  </w:style>
  <w:style w:type="table" w:styleId="TableGrid">
    <w:name w:val="Table Grid"/>
    <w:aliases w:val="Summary box,Table Gridbeth,RTI AMCP Table,new style,ASD Table,HTAtableplain"/>
    <w:basedOn w:val="TableNormal"/>
    <w:rsid w:val="00AF4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46D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link w:val="ListParagraphChar"/>
    <w:uiPriority w:val="34"/>
    <w:qFormat/>
    <w:rsid w:val="00C057FC"/>
    <w:pPr>
      <w:numPr>
        <w:numId w:val="4"/>
      </w:numPr>
      <w:spacing w:before="0" w:after="0" w:line="240" w:lineRule="auto"/>
      <w:contextualSpacing/>
    </w:pPr>
    <w:rPr>
      <w:rFonts w:eastAsia="Times New Roman" w:cs="Times New Roman"/>
      <w:lang w:eastAsia="en-AU"/>
    </w:rPr>
  </w:style>
  <w:style w:type="character" w:customStyle="1" w:styleId="ListParagraphChar">
    <w:name w:val="List Paragraph Char"/>
    <w:basedOn w:val="DefaultParagraphFont"/>
    <w:link w:val="ListParagraph"/>
    <w:uiPriority w:val="34"/>
    <w:locked/>
    <w:rsid w:val="00C057FC"/>
    <w:rPr>
      <w:rFonts w:ascii="Franklin Gothic Book" w:eastAsia="Times New Roman" w:hAnsi="Franklin Gothic Book" w:cs="Times New Roman"/>
      <w:lang w:eastAsia="en-AU"/>
    </w:rPr>
  </w:style>
  <w:style w:type="paragraph" w:customStyle="1" w:styleId="BoxText">
    <w:name w:val="BoxText"/>
    <w:basedOn w:val="Normal"/>
    <w:qFormat/>
    <w:rsid w:val="00C057FC"/>
    <w:pPr>
      <w:pBdr>
        <w:top w:val="single" w:sz="4" w:space="4" w:color="auto"/>
        <w:left w:val="single" w:sz="4" w:space="4" w:color="auto"/>
        <w:bottom w:val="single" w:sz="4" w:space="4" w:color="auto"/>
        <w:right w:val="single" w:sz="4" w:space="4" w:color="auto"/>
      </w:pBdr>
    </w:pPr>
  </w:style>
  <w:style w:type="paragraph" w:customStyle="1" w:styleId="BulletBeforeDash">
    <w:name w:val="BulletBeforeDash"/>
    <w:basedOn w:val="Normal"/>
    <w:rsid w:val="00C057FC"/>
    <w:pPr>
      <w:numPr>
        <w:numId w:val="5"/>
      </w:numPr>
      <w:spacing w:before="0" w:after="0" w:line="240" w:lineRule="auto"/>
      <w:ind w:left="720"/>
    </w:pPr>
    <w:rPr>
      <w:rFonts w:ascii="Times New Roman" w:eastAsia="Times New Roman" w:hAnsi="Times New Roman" w:cs="Times New Roman"/>
      <w:color w:val="000000"/>
      <w:sz w:val="24"/>
      <w:szCs w:val="20"/>
      <w:lang w:eastAsia="en-AU"/>
    </w:rPr>
  </w:style>
  <w:style w:type="paragraph" w:customStyle="1" w:styleId="Bullet">
    <w:name w:val="Bullet"/>
    <w:basedOn w:val="BulletBeforeDash"/>
    <w:qFormat/>
    <w:rsid w:val="00C057FC"/>
    <w:pPr>
      <w:spacing w:after="120"/>
    </w:pPr>
    <w:rPr>
      <w:rFonts w:ascii="Franklin Gothic Book" w:hAnsi="Franklin Gothic Book"/>
      <w:sz w:val="22"/>
    </w:rPr>
  </w:style>
  <w:style w:type="character" w:styleId="CommentReference">
    <w:name w:val="annotation reference"/>
    <w:basedOn w:val="DefaultParagraphFont"/>
    <w:uiPriority w:val="99"/>
    <w:semiHidden/>
    <w:unhideWhenUsed/>
    <w:rsid w:val="00D81105"/>
    <w:rPr>
      <w:sz w:val="16"/>
      <w:szCs w:val="16"/>
    </w:rPr>
  </w:style>
  <w:style w:type="paragraph" w:styleId="CommentText">
    <w:name w:val="annotation text"/>
    <w:basedOn w:val="Normal"/>
    <w:link w:val="CommentTextChar"/>
    <w:uiPriority w:val="99"/>
    <w:unhideWhenUsed/>
    <w:rsid w:val="00D81105"/>
    <w:pPr>
      <w:spacing w:line="240" w:lineRule="auto"/>
    </w:pPr>
    <w:rPr>
      <w:sz w:val="20"/>
      <w:szCs w:val="20"/>
    </w:rPr>
  </w:style>
  <w:style w:type="character" w:customStyle="1" w:styleId="CommentTextChar">
    <w:name w:val="Comment Text Char"/>
    <w:basedOn w:val="DefaultParagraphFont"/>
    <w:link w:val="CommentText"/>
    <w:uiPriority w:val="99"/>
    <w:rsid w:val="00D81105"/>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D81105"/>
    <w:rPr>
      <w:b/>
      <w:bCs/>
    </w:rPr>
  </w:style>
  <w:style w:type="character" w:customStyle="1" w:styleId="CommentSubjectChar">
    <w:name w:val="Comment Subject Char"/>
    <w:basedOn w:val="CommentTextChar"/>
    <w:link w:val="CommentSubject"/>
    <w:uiPriority w:val="99"/>
    <w:semiHidden/>
    <w:rsid w:val="00D81105"/>
    <w:rPr>
      <w:rFonts w:ascii="Franklin Gothic Book" w:hAnsi="Franklin Gothic Book"/>
      <w:b/>
      <w:bCs/>
      <w:sz w:val="20"/>
      <w:szCs w:val="20"/>
    </w:rPr>
  </w:style>
  <w:style w:type="paragraph" w:styleId="Header">
    <w:name w:val="header"/>
    <w:basedOn w:val="Normal"/>
    <w:link w:val="HeaderChar"/>
    <w:uiPriority w:val="99"/>
    <w:unhideWhenUsed/>
    <w:rsid w:val="00EF2CC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F2CC9"/>
    <w:rPr>
      <w:rFonts w:ascii="Franklin Gothic Book" w:hAnsi="Franklin Gothic Book"/>
    </w:rPr>
  </w:style>
  <w:style w:type="paragraph" w:styleId="Footer">
    <w:name w:val="footer"/>
    <w:basedOn w:val="Normal"/>
    <w:link w:val="FooterChar"/>
    <w:uiPriority w:val="99"/>
    <w:unhideWhenUsed/>
    <w:rsid w:val="00EF2CC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F2CC9"/>
    <w:rPr>
      <w:rFonts w:ascii="Franklin Gothic Book" w:hAnsi="Franklin Gothic Book"/>
    </w:rPr>
  </w:style>
  <w:style w:type="paragraph" w:styleId="Subtitle">
    <w:name w:val="Subtitle"/>
    <w:basedOn w:val="Normal"/>
    <w:next w:val="Normal"/>
    <w:link w:val="SubtitleChar"/>
    <w:qFormat/>
    <w:rsid w:val="00EF2CC9"/>
    <w:pPr>
      <w:spacing w:after="240" w:line="240" w:lineRule="auto"/>
      <w:jc w:val="center"/>
    </w:pPr>
    <w:rPr>
      <w:rFonts w:ascii="Arial" w:eastAsia="Times New Roman" w:hAnsi="Arial" w:cs="Arial"/>
      <w:b/>
      <w:bCs/>
      <w:i/>
      <w:color w:val="000080"/>
      <w:sz w:val="28"/>
      <w:szCs w:val="28"/>
      <w:lang w:eastAsia="en-AU"/>
    </w:rPr>
  </w:style>
  <w:style w:type="character" w:customStyle="1" w:styleId="SubtitleChar">
    <w:name w:val="Subtitle Char"/>
    <w:basedOn w:val="DefaultParagraphFont"/>
    <w:link w:val="Subtitle"/>
    <w:rsid w:val="00EF2CC9"/>
    <w:rPr>
      <w:rFonts w:ascii="Arial" w:eastAsia="Times New Roman" w:hAnsi="Arial" w:cs="Arial"/>
      <w:b/>
      <w:bCs/>
      <w:i/>
      <w:color w:val="000080"/>
      <w:sz w:val="28"/>
      <w:szCs w:val="28"/>
      <w:lang w:eastAsia="en-AU"/>
    </w:rPr>
  </w:style>
  <w:style w:type="paragraph" w:styleId="Revision">
    <w:name w:val="Revision"/>
    <w:hidden/>
    <w:uiPriority w:val="99"/>
    <w:semiHidden/>
    <w:rsid w:val="005B3CA3"/>
    <w:pPr>
      <w:spacing w:after="0" w:line="240" w:lineRule="auto"/>
    </w:pPr>
    <w:rPr>
      <w:rFonts w:ascii="Franklin Gothic Book" w:hAnsi="Franklin Gothic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sac.gov.au/internet/msac/publishing.nsf/Content/Home-1"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msac.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13b557-581c-46d3-8cc7-77c65017dc6f">
      <Terms xmlns="http://schemas.microsoft.com/office/infopath/2007/PartnerControls"/>
    </lcf76f155ced4ddcb4097134ff3c332f>
    <TaxCatchAll xmlns="e7d54a9e-4aca-451b-99db-b94fe438e9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A37BE997BE34FBB7D5057D341D123" ma:contentTypeVersion="14" ma:contentTypeDescription="Create a new document." ma:contentTypeScope="" ma:versionID="d0803639e3b14a1b5fe5efce3e9a7be0">
  <xsd:schema xmlns:xsd="http://www.w3.org/2001/XMLSchema" xmlns:xs="http://www.w3.org/2001/XMLSchema" xmlns:p="http://schemas.microsoft.com/office/2006/metadata/properties" xmlns:ns2="7513b557-581c-46d3-8cc7-77c65017dc6f" xmlns:ns3="e7d54a9e-4aca-451b-99db-b94fe438e987" targetNamespace="http://schemas.microsoft.com/office/2006/metadata/properties" ma:root="true" ma:fieldsID="124831d27a8e0cd56fbacb95874fe705" ns2:_="" ns3:_="">
    <xsd:import namespace="7513b557-581c-46d3-8cc7-77c65017dc6f"/>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3b557-581c-46d3-8cc7-77c65017d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59DD4-723B-4BFA-BFD4-82791EC1D976}">
  <ds:schemaRefs>
    <ds:schemaRef ds:uri="http://schemas.microsoft.com/office/2006/metadata/properties"/>
    <ds:schemaRef ds:uri="http://schemas.microsoft.com/office/infopath/2007/PartnerControls"/>
    <ds:schemaRef ds:uri="7513b557-581c-46d3-8cc7-77c65017dc6f"/>
    <ds:schemaRef ds:uri="e7d54a9e-4aca-451b-99db-b94fe438e987"/>
  </ds:schemaRefs>
</ds:datastoreItem>
</file>

<file path=customXml/itemProps2.xml><?xml version="1.0" encoding="utf-8"?>
<ds:datastoreItem xmlns:ds="http://schemas.openxmlformats.org/officeDocument/2006/customXml" ds:itemID="{318F44E4-0021-4912-81CC-11FDB626A692}">
  <ds:schemaRefs>
    <ds:schemaRef ds:uri="http://schemas.microsoft.com/sharepoint/v3/contenttype/forms"/>
  </ds:schemaRefs>
</ds:datastoreItem>
</file>

<file path=customXml/itemProps3.xml><?xml version="1.0" encoding="utf-8"?>
<ds:datastoreItem xmlns:ds="http://schemas.openxmlformats.org/officeDocument/2006/customXml" ds:itemID="{D8AD1629-BD90-44DB-B9D4-383418B47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3b557-581c-46d3-8cc7-77c65017dc6f"/>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1746</Words>
  <Characters>10308</Characters>
  <Application>Microsoft Office Word</Application>
  <DocSecurity>0</DocSecurity>
  <Lines>184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11946</CharactersWithSpaces>
  <SharedDoc>false</SharedDoc>
  <HLinks>
    <vt:vector size="12" baseType="variant">
      <vt:variant>
        <vt:i4>6684716</vt:i4>
      </vt:variant>
      <vt:variant>
        <vt:i4>3</vt:i4>
      </vt:variant>
      <vt:variant>
        <vt:i4>0</vt:i4>
      </vt:variant>
      <vt:variant>
        <vt:i4>5</vt:i4>
      </vt:variant>
      <vt:variant>
        <vt:lpwstr>http://msac.gov.au/internet/msac/publishing.nsf/Content/Home-1</vt:lpwstr>
      </vt:variant>
      <vt:variant>
        <vt:lpwstr/>
      </vt:variant>
      <vt:variant>
        <vt:i4>3997744</vt:i4>
      </vt:variant>
      <vt:variant>
        <vt:i4>0</vt:i4>
      </vt:variant>
      <vt:variant>
        <vt:i4>0</vt:i4>
      </vt:variant>
      <vt:variant>
        <vt:i4>5</vt:i4>
      </vt:variant>
      <vt:variant>
        <vt:lpwstr>http://www.msac.gov.au/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2026-09-17T04:42:00Z</dcterms:created>
  <dcterms:modified xsi:type="dcterms:W3CDTF">2026-10-06T00:25:00Z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7ea215e4,1b982a6e,39b6162a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7389dc2,9387d57,ef04f23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2026-09-17T04:42:19Z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a457207b-67e3-4358-93a3-c6f2ba44d353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Order">
    <vt:r8>1737400</vt:r8>
  </property>
  <property fmtid="{D5CDD505-2E9C-101B-9397-08002B2CF9AE}" pid="17" name="MediaServiceImageTags">
    <vt:lpwstr/>
  </property>
  <property fmtid="{D5CDD505-2E9C-101B-9397-08002B2CF9AE}" pid="18" name="xd_ProgID">
    <vt:lpwstr/>
  </property>
  <property fmtid="{D5CDD505-2E9C-101B-9397-08002B2CF9AE}" pid="19" name="ContentTypeId">
    <vt:lpwstr>0x0101005E4A37BE997BE34FBB7D5057D341D123</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docLang">
    <vt:lpwstr>en</vt:lpwstr>
  </property>
  <property fmtid="{D5CDD505-2E9C-101B-9397-08002B2CF9AE}" pid="25" name="xd_Signature">
    <vt:bool>false</vt:bool>
  </property>
  <property fmtid="{D5CDD505-2E9C-101B-9397-08002B2CF9AE}" pid="26" name="_MarkAsFinal">
    <vt:bool>true</vt:bool>
  </property>
</Properties>
</file>