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E6B6C" w14:textId="38CC7182" w:rsidR="006478E7" w:rsidRPr="00490FBB" w:rsidRDefault="006478E7" w:rsidP="006478E7">
      <w:pPr>
        <w:spacing w:before="120" w:after="120" w:line="312" w:lineRule="auto"/>
        <w:jc w:val="center"/>
      </w:pPr>
    </w:p>
    <w:p w14:paraId="50B6D781" w14:textId="6FEE9D4F" w:rsidR="006478E7" w:rsidRPr="00490FBB" w:rsidRDefault="00BB0FFB" w:rsidP="00BB0FFB">
      <w:pPr>
        <w:pStyle w:val="Heading10"/>
        <w:spacing w:before="2880"/>
        <w:jc w:val="center"/>
        <w:rPr>
          <w:sz w:val="48"/>
          <w:szCs w:val="48"/>
        </w:rPr>
      </w:pPr>
      <w:r>
        <w:rPr>
          <w:sz w:val="48"/>
          <w:szCs w:val="48"/>
        </w:rPr>
        <w:t xml:space="preserve">MSAC </w:t>
      </w:r>
      <w:r w:rsidR="006478E7" w:rsidRPr="00490FBB">
        <w:rPr>
          <w:sz w:val="48"/>
          <w:szCs w:val="48"/>
        </w:rPr>
        <w:t>Application</w:t>
      </w:r>
      <w:r w:rsidR="00CE4958">
        <w:rPr>
          <w:sz w:val="48"/>
          <w:szCs w:val="48"/>
        </w:rPr>
        <w:t xml:space="preserve"> 1821</w:t>
      </w:r>
    </w:p>
    <w:p w14:paraId="11765312" w14:textId="009AB193" w:rsidR="006478E7" w:rsidRPr="00C42875" w:rsidRDefault="002E7A2F" w:rsidP="006478E7">
      <w:pPr>
        <w:pStyle w:val="Heading10"/>
        <w:jc w:val="center"/>
        <w:rPr>
          <w:color w:val="002060"/>
          <w:sz w:val="48"/>
          <w:szCs w:val="48"/>
        </w:rPr>
      </w:pPr>
      <w:r>
        <w:rPr>
          <w:color w:val="002060"/>
          <w:sz w:val="48"/>
          <w:szCs w:val="48"/>
        </w:rPr>
        <w:t xml:space="preserve">Testing for </w:t>
      </w:r>
      <w:r w:rsidR="00CE4958" w:rsidRPr="00CE4958">
        <w:rPr>
          <w:color w:val="002060"/>
          <w:sz w:val="48"/>
          <w:szCs w:val="48"/>
        </w:rPr>
        <w:t xml:space="preserve">Chromogranin A </w:t>
      </w:r>
      <w:r w:rsidR="00D24D58">
        <w:rPr>
          <w:color w:val="002060"/>
          <w:sz w:val="48"/>
          <w:szCs w:val="48"/>
        </w:rPr>
        <w:t xml:space="preserve">in </w:t>
      </w:r>
      <w:r>
        <w:rPr>
          <w:color w:val="002060"/>
          <w:sz w:val="48"/>
          <w:szCs w:val="48"/>
        </w:rPr>
        <w:t>patients with</w:t>
      </w:r>
      <w:r w:rsidR="00CE4958" w:rsidRPr="00CE4958">
        <w:rPr>
          <w:color w:val="002060"/>
          <w:sz w:val="48"/>
          <w:szCs w:val="48"/>
        </w:rPr>
        <w:t xml:space="preserve"> neuroendocrine neoplasms (NENs)</w:t>
      </w:r>
    </w:p>
    <w:p w14:paraId="44FD303D" w14:textId="365A167C" w:rsidR="00477EE1" w:rsidRPr="00C42875" w:rsidRDefault="00D47F16" w:rsidP="734BC1FD">
      <w:pPr>
        <w:pStyle w:val="Heading10"/>
        <w:jc w:val="center"/>
        <w:rPr>
          <w:color w:val="002060"/>
          <w:sz w:val="40"/>
          <w:szCs w:val="40"/>
          <w:highlight w:val="cyan"/>
        </w:rPr>
      </w:pPr>
      <w:r w:rsidRPr="734BC1FD">
        <w:rPr>
          <w:color w:val="002060"/>
          <w:sz w:val="40"/>
          <w:szCs w:val="40"/>
        </w:rPr>
        <w:t xml:space="preserve">Applicant: </w:t>
      </w:r>
      <w:r w:rsidR="00CE4958" w:rsidRPr="734BC1FD">
        <w:rPr>
          <w:color w:val="002060"/>
          <w:sz w:val="40"/>
          <w:szCs w:val="40"/>
        </w:rPr>
        <w:t>The Royal College of Pathologists of Australasia</w:t>
      </w:r>
    </w:p>
    <w:p w14:paraId="23900CA0" w14:textId="7C06456E" w:rsidR="006478E7" w:rsidRPr="00490FBB" w:rsidRDefault="006478E7" w:rsidP="00BB0FFB">
      <w:pPr>
        <w:pStyle w:val="Heading1"/>
      </w:pPr>
      <w:r w:rsidRPr="00490FBB">
        <w:t>PICO Confirmation</w:t>
      </w:r>
      <w:r w:rsidRPr="00490FBB">
        <w:br w:type="page"/>
      </w:r>
    </w:p>
    <w:p w14:paraId="219312C8" w14:textId="77777777" w:rsidR="006478E7" w:rsidRPr="00D52956" w:rsidRDefault="006478E7" w:rsidP="00BB0FFB">
      <w:pPr>
        <w:pStyle w:val="Heading2"/>
      </w:pPr>
      <w:r w:rsidRPr="00D52956">
        <w:lastRenderedPageBreak/>
        <w:t>Summary of PI</w:t>
      </w:r>
      <w:r w:rsidR="00235B21">
        <w:t xml:space="preserve">CO/PPICO criteria to define </w:t>
      </w:r>
      <w:r w:rsidRPr="00D52956">
        <w:t>question(s) to be addressed in an Assessment Report to the Medical Services Advisory Committee (MSAC)</w:t>
      </w:r>
    </w:p>
    <w:p w14:paraId="224459F3" w14:textId="10BF7F8F" w:rsidR="00D52956" w:rsidRDefault="00D52956" w:rsidP="00D52956">
      <w:pPr>
        <w:pStyle w:val="Caption"/>
      </w:pPr>
      <w:bookmarkStart w:id="0" w:name="_Ref69732160"/>
      <w:bookmarkStart w:id="1" w:name="_Ref69732155"/>
      <w:r>
        <w:t>Table</w:t>
      </w:r>
      <w:r w:rsidR="00FD4C65">
        <w:t> </w:t>
      </w:r>
      <w:r>
        <w:fldChar w:fldCharType="begin"/>
      </w:r>
      <w:r>
        <w:instrText xml:space="preserve"> SEQ Table \* ARABIC </w:instrText>
      </w:r>
      <w:r>
        <w:fldChar w:fldCharType="separate"/>
      </w:r>
      <w:r w:rsidR="00C046F8">
        <w:rPr>
          <w:noProof/>
        </w:rPr>
        <w:t>1</w:t>
      </w:r>
      <w:r>
        <w:fldChar w:fldCharType="end"/>
      </w:r>
      <w:bookmarkEnd w:id="0"/>
      <w:r>
        <w:tab/>
        <w:t>PICO for</w:t>
      </w:r>
      <w:r w:rsidR="006F231A">
        <w:t xml:space="preserve"> repeated</w:t>
      </w:r>
      <w:r w:rsidR="0024495F">
        <w:t xml:space="preserve"> </w:t>
      </w:r>
      <w:r w:rsidR="0024495F" w:rsidRPr="0024495F">
        <w:t>Chromogranin A (</w:t>
      </w:r>
      <w:proofErr w:type="spellStart"/>
      <w:r w:rsidR="0024495F" w:rsidRPr="0024495F">
        <w:t>CgA</w:t>
      </w:r>
      <w:proofErr w:type="spellEnd"/>
      <w:r w:rsidR="0024495F" w:rsidRPr="0024495F">
        <w:t>) testing</w:t>
      </w:r>
      <w:r w:rsidR="008642AC">
        <w:t xml:space="preserve"> for monitoring of </w:t>
      </w:r>
      <w:r w:rsidR="00336A5E">
        <w:t xml:space="preserve">patients with </w:t>
      </w:r>
      <w:r w:rsidR="00336A5E" w:rsidRPr="00336A5E">
        <w:t>well differentiated</w:t>
      </w:r>
      <w:r w:rsidR="006F231A">
        <w:t xml:space="preserve"> </w:t>
      </w:r>
      <w:r w:rsidR="006F231A" w:rsidRPr="006F231A">
        <w:t>advanced/metastatic</w:t>
      </w:r>
      <w:r w:rsidR="00336A5E" w:rsidRPr="00336A5E">
        <w:t xml:space="preserve"> neuroendocrine neoplasms (NENs)</w:t>
      </w:r>
      <w:r>
        <w:t>: PICO Set 1</w:t>
      </w:r>
      <w:bookmarkEnd w:id="1"/>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0A0" w:firstRow="1" w:lastRow="0" w:firstColumn="1" w:lastColumn="0" w:noHBand="0" w:noVBand="0"/>
      </w:tblPr>
      <w:tblGrid>
        <w:gridCol w:w="1923"/>
        <w:gridCol w:w="7643"/>
      </w:tblGrid>
      <w:tr w:rsidR="006478E7" w:rsidRPr="00490FBB" w14:paraId="2A509B30" w14:textId="77777777" w:rsidTr="1FF72F5F">
        <w:trPr>
          <w:trHeight w:val="372"/>
          <w:tblHeader/>
        </w:trPr>
        <w:tc>
          <w:tcPr>
            <w:tcW w:w="1005" w:type="pct"/>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hideMark/>
          </w:tcPr>
          <w:p w14:paraId="333B8A35" w14:textId="77777777" w:rsidR="006478E7" w:rsidRPr="00490FBB" w:rsidRDefault="006478E7" w:rsidP="00C54349">
            <w:pPr>
              <w:spacing w:before="20" w:after="20" w:line="240" w:lineRule="auto"/>
              <w:rPr>
                <w:b/>
              </w:rPr>
            </w:pPr>
            <w:bookmarkStart w:id="2" w:name="Title_Table1" w:colFirst="0" w:colLast="0"/>
            <w:r w:rsidRPr="00490FBB">
              <w:rPr>
                <w:b/>
              </w:rPr>
              <w:t>Component</w:t>
            </w:r>
          </w:p>
        </w:tc>
        <w:tc>
          <w:tcPr>
            <w:tcW w:w="399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31DF4F" w14:textId="77777777" w:rsidR="006478E7" w:rsidRPr="00490FBB" w:rsidRDefault="006478E7" w:rsidP="00C54349">
            <w:pPr>
              <w:spacing w:before="20" w:after="20" w:line="240" w:lineRule="auto"/>
              <w:rPr>
                <w:b/>
              </w:rPr>
            </w:pPr>
            <w:r w:rsidRPr="00490FBB">
              <w:rPr>
                <w:b/>
              </w:rPr>
              <w:t>Description</w:t>
            </w:r>
          </w:p>
        </w:tc>
      </w:tr>
      <w:bookmarkEnd w:id="2"/>
      <w:tr w:rsidR="006478E7" w:rsidRPr="00490FBB" w14:paraId="78E0BB65" w14:textId="77777777" w:rsidTr="006478E7">
        <w:tc>
          <w:tcPr>
            <w:tcW w:w="1005" w:type="pct"/>
            <w:tcBorders>
              <w:top w:val="single" w:sz="8" w:space="0" w:color="auto"/>
              <w:left w:val="single" w:sz="8" w:space="0" w:color="auto"/>
              <w:bottom w:val="single" w:sz="4" w:space="0" w:color="auto"/>
              <w:right w:val="single" w:sz="4" w:space="0" w:color="auto"/>
            </w:tcBorders>
            <w:hideMark/>
          </w:tcPr>
          <w:p w14:paraId="715E50D5" w14:textId="74EB4863" w:rsidR="006478E7" w:rsidRPr="00490FBB" w:rsidRDefault="00F660E8" w:rsidP="00E01349">
            <w:pPr>
              <w:spacing w:before="120" w:after="120" w:line="240" w:lineRule="auto"/>
              <w:rPr>
                <w:rFonts w:cs="Arial"/>
              </w:rPr>
            </w:pPr>
            <w:r>
              <w:rPr>
                <w:rFonts w:cs="Arial"/>
              </w:rPr>
              <w:t>Population</w:t>
            </w:r>
          </w:p>
        </w:tc>
        <w:tc>
          <w:tcPr>
            <w:tcW w:w="3995" w:type="pct"/>
            <w:tcBorders>
              <w:top w:val="single" w:sz="4" w:space="0" w:color="auto"/>
              <w:left w:val="single" w:sz="4" w:space="0" w:color="auto"/>
              <w:bottom w:val="single" w:sz="4" w:space="0" w:color="auto"/>
              <w:right w:val="single" w:sz="4" w:space="0" w:color="auto"/>
            </w:tcBorders>
            <w:hideMark/>
          </w:tcPr>
          <w:p w14:paraId="4A4FF7C2" w14:textId="2DB98E82" w:rsidR="006478E7" w:rsidRPr="001604EE" w:rsidRDefault="00007151" w:rsidP="00C54349">
            <w:pPr>
              <w:pStyle w:val="Instructionaltext"/>
              <w:rPr>
                <w:color w:val="auto"/>
              </w:rPr>
            </w:pPr>
            <w:r w:rsidRPr="001604EE">
              <w:rPr>
                <w:color w:val="auto"/>
              </w:rPr>
              <w:t>Patient</w:t>
            </w:r>
            <w:r w:rsidR="00033742" w:rsidRPr="001604EE">
              <w:rPr>
                <w:color w:val="auto"/>
              </w:rPr>
              <w:t>s</w:t>
            </w:r>
            <w:r w:rsidRPr="001604EE">
              <w:rPr>
                <w:color w:val="auto"/>
              </w:rPr>
              <w:t xml:space="preserve"> with a well differentiated neuroendocrine</w:t>
            </w:r>
            <w:r w:rsidR="00475C95" w:rsidRPr="001604EE">
              <w:rPr>
                <w:color w:val="auto"/>
              </w:rPr>
              <w:t xml:space="preserve"> neoplasm (NEN)</w:t>
            </w:r>
            <w:r w:rsidR="00556229" w:rsidRPr="001604EE">
              <w:rPr>
                <w:color w:val="auto"/>
              </w:rPr>
              <w:t xml:space="preserve"> who have </w:t>
            </w:r>
            <w:r w:rsidR="008A0C90" w:rsidRPr="008A0C90">
              <w:rPr>
                <w:color w:val="auto"/>
              </w:rPr>
              <w:t>metastatic (stage IV) and</w:t>
            </w:r>
            <w:r w:rsidR="00BB7A9A">
              <w:rPr>
                <w:color w:val="auto"/>
              </w:rPr>
              <w:t xml:space="preserve">/or </w:t>
            </w:r>
            <w:r w:rsidR="008A0C90" w:rsidRPr="008A0C90">
              <w:rPr>
                <w:color w:val="auto"/>
              </w:rPr>
              <w:t xml:space="preserve">locally advanced (stage III) </w:t>
            </w:r>
            <w:r w:rsidR="00BB7A9A" w:rsidRPr="008A0C90">
              <w:rPr>
                <w:color w:val="auto"/>
              </w:rPr>
              <w:t>disease</w:t>
            </w:r>
            <w:r w:rsidR="00BB7A9A">
              <w:rPr>
                <w:color w:val="auto"/>
              </w:rPr>
              <w:t>.</w:t>
            </w:r>
          </w:p>
        </w:tc>
      </w:tr>
      <w:tr w:rsidR="006478E7" w:rsidRPr="00490FBB" w14:paraId="2A9CC9A6" w14:textId="77777777" w:rsidTr="006478E7">
        <w:tc>
          <w:tcPr>
            <w:tcW w:w="1005" w:type="pct"/>
            <w:tcBorders>
              <w:top w:val="single" w:sz="8" w:space="0" w:color="auto"/>
              <w:left w:val="single" w:sz="8" w:space="0" w:color="auto"/>
              <w:bottom w:val="single" w:sz="4" w:space="0" w:color="auto"/>
              <w:right w:val="single" w:sz="4" w:space="0" w:color="auto"/>
            </w:tcBorders>
            <w:hideMark/>
          </w:tcPr>
          <w:p w14:paraId="75E49351" w14:textId="44359BA5" w:rsidR="006478E7" w:rsidRPr="00490FBB" w:rsidRDefault="006478E7" w:rsidP="00E01349">
            <w:pPr>
              <w:spacing w:before="120" w:after="120" w:line="240" w:lineRule="auto"/>
              <w:rPr>
                <w:rFonts w:cs="Arial"/>
              </w:rPr>
            </w:pPr>
            <w:r w:rsidRPr="00490FBB">
              <w:rPr>
                <w:rFonts w:cs="Arial"/>
              </w:rPr>
              <w:t>Prior tests</w:t>
            </w:r>
            <w:r w:rsidR="00C54349">
              <w:rPr>
                <w:rFonts w:cs="Arial"/>
              </w:rPr>
              <w:t xml:space="preserve"> </w:t>
            </w:r>
          </w:p>
        </w:tc>
        <w:tc>
          <w:tcPr>
            <w:tcW w:w="3995" w:type="pct"/>
            <w:tcBorders>
              <w:top w:val="single" w:sz="4" w:space="0" w:color="auto"/>
              <w:left w:val="single" w:sz="4" w:space="0" w:color="auto"/>
              <w:bottom w:val="single" w:sz="4" w:space="0" w:color="auto"/>
              <w:right w:val="single" w:sz="4" w:space="0" w:color="auto"/>
            </w:tcBorders>
            <w:hideMark/>
          </w:tcPr>
          <w:p w14:paraId="5CF47E43" w14:textId="4B80C669" w:rsidR="006478E7" w:rsidRPr="001604EE" w:rsidRDefault="009F23E7" w:rsidP="00C54349">
            <w:pPr>
              <w:pStyle w:val="Instructionaltext"/>
              <w:rPr>
                <w:color w:val="auto"/>
              </w:rPr>
            </w:pPr>
            <w:r w:rsidRPr="001604EE">
              <w:rPr>
                <w:color w:val="auto"/>
              </w:rPr>
              <w:t>Diagnostic work up for NEN, this would include</w:t>
            </w:r>
            <w:r w:rsidR="006E1990">
              <w:rPr>
                <w:color w:val="auto"/>
              </w:rPr>
              <w:t xml:space="preserve"> </w:t>
            </w:r>
            <w:r w:rsidR="006E1990" w:rsidRPr="006E1990">
              <w:rPr>
                <w:color w:val="auto"/>
              </w:rPr>
              <w:t xml:space="preserve">anatomical (US, X-ray, CT/MRI) and functional imaging (68Ga-DOTATATE PET/CT, 18F-FDG </w:t>
            </w:r>
            <w:r w:rsidR="00BB7A9A" w:rsidRPr="006E1990">
              <w:rPr>
                <w:color w:val="auto"/>
              </w:rPr>
              <w:t xml:space="preserve">PET) </w:t>
            </w:r>
            <w:r w:rsidR="00BB7A9A" w:rsidRPr="001604EE">
              <w:rPr>
                <w:color w:val="auto"/>
              </w:rPr>
              <w:t>biopsy</w:t>
            </w:r>
            <w:r w:rsidRPr="001604EE">
              <w:rPr>
                <w:color w:val="auto"/>
              </w:rPr>
              <w:t xml:space="preserve"> and </w:t>
            </w:r>
            <w:r w:rsidR="002005F3" w:rsidRPr="001604EE">
              <w:rPr>
                <w:color w:val="auto"/>
              </w:rPr>
              <w:t>histopathology.</w:t>
            </w:r>
          </w:p>
        </w:tc>
      </w:tr>
      <w:tr w:rsidR="006478E7" w:rsidRPr="00490FBB" w14:paraId="654E13A9" w14:textId="77777777" w:rsidTr="006478E7">
        <w:tc>
          <w:tcPr>
            <w:tcW w:w="1005" w:type="pct"/>
            <w:tcBorders>
              <w:top w:val="single" w:sz="4" w:space="0" w:color="auto"/>
              <w:left w:val="single" w:sz="8" w:space="0" w:color="auto"/>
              <w:bottom w:val="single" w:sz="4" w:space="0" w:color="auto"/>
              <w:right w:val="single" w:sz="4" w:space="0" w:color="auto"/>
            </w:tcBorders>
            <w:hideMark/>
          </w:tcPr>
          <w:p w14:paraId="5BF0C211" w14:textId="77777777" w:rsidR="006478E7" w:rsidRPr="00490FBB" w:rsidRDefault="006478E7" w:rsidP="00E01349">
            <w:pPr>
              <w:spacing w:before="120" w:after="120" w:line="240" w:lineRule="auto"/>
              <w:rPr>
                <w:rFonts w:cs="Arial"/>
              </w:rPr>
            </w:pPr>
            <w:r w:rsidRPr="00490FBB">
              <w:rPr>
                <w:rFonts w:cs="Arial"/>
              </w:rPr>
              <w:t>Intervention</w:t>
            </w:r>
          </w:p>
        </w:tc>
        <w:tc>
          <w:tcPr>
            <w:tcW w:w="3995" w:type="pct"/>
            <w:tcBorders>
              <w:top w:val="single" w:sz="4" w:space="0" w:color="auto"/>
              <w:left w:val="single" w:sz="4" w:space="0" w:color="auto"/>
              <w:bottom w:val="single" w:sz="4" w:space="0" w:color="auto"/>
              <w:right w:val="single" w:sz="4" w:space="0" w:color="auto"/>
            </w:tcBorders>
            <w:hideMark/>
          </w:tcPr>
          <w:p w14:paraId="3E51DB12" w14:textId="26DD3673" w:rsidR="006478E7" w:rsidRPr="001604EE" w:rsidRDefault="005D3429" w:rsidP="00C54349">
            <w:pPr>
              <w:pStyle w:val="Instructionaltext"/>
              <w:rPr>
                <w:color w:val="auto"/>
              </w:rPr>
            </w:pPr>
            <w:r w:rsidRPr="001604EE">
              <w:rPr>
                <w:color w:val="auto"/>
              </w:rPr>
              <w:t xml:space="preserve">Repeated </w:t>
            </w:r>
            <w:r w:rsidR="009F3AC9" w:rsidRPr="001604EE">
              <w:rPr>
                <w:color w:val="auto"/>
              </w:rPr>
              <w:t xml:space="preserve">circulating </w:t>
            </w:r>
            <w:r w:rsidR="002005F3" w:rsidRPr="001604EE">
              <w:rPr>
                <w:color w:val="auto"/>
              </w:rPr>
              <w:t>Chromogranin A (</w:t>
            </w:r>
            <w:proofErr w:type="spellStart"/>
            <w:r w:rsidR="002005F3" w:rsidRPr="001604EE">
              <w:rPr>
                <w:color w:val="auto"/>
              </w:rPr>
              <w:t>CgA</w:t>
            </w:r>
            <w:proofErr w:type="spellEnd"/>
            <w:r w:rsidR="002005F3" w:rsidRPr="001604EE">
              <w:rPr>
                <w:color w:val="auto"/>
              </w:rPr>
              <w:t>) testing for monitoring</w:t>
            </w:r>
            <w:r w:rsidR="009F3AC9" w:rsidRPr="001604EE">
              <w:rPr>
                <w:color w:val="auto"/>
              </w:rPr>
              <w:t xml:space="preserve"> NEN</w:t>
            </w:r>
            <w:r w:rsidR="00BC4DE6" w:rsidRPr="001604EE">
              <w:rPr>
                <w:color w:val="auto"/>
              </w:rPr>
              <w:t xml:space="preserve"> </w:t>
            </w:r>
            <w:r w:rsidR="00864AB4" w:rsidRPr="001604EE">
              <w:rPr>
                <w:color w:val="auto"/>
              </w:rPr>
              <w:t xml:space="preserve">progression/recurrence </w:t>
            </w:r>
            <w:r w:rsidR="00BC4DE6" w:rsidRPr="001604EE">
              <w:rPr>
                <w:color w:val="auto"/>
              </w:rPr>
              <w:t>using one of several immunoassay platforms (radioimmunoassay (RIA), immunoradiometric assay (IRMA) and enzyme-linked immunosorbent assay (ELISA))</w:t>
            </w:r>
            <w:r w:rsidR="0074435F">
              <w:rPr>
                <w:color w:val="auto"/>
              </w:rPr>
              <w:t xml:space="preserve"> in addition to imaging and clinical review</w:t>
            </w:r>
            <w:r w:rsidR="00BC4DE6" w:rsidRPr="001604EE">
              <w:rPr>
                <w:color w:val="auto"/>
              </w:rPr>
              <w:t>.</w:t>
            </w:r>
          </w:p>
        </w:tc>
      </w:tr>
      <w:tr w:rsidR="006478E7" w:rsidRPr="00490FBB" w14:paraId="1F5647C3" w14:textId="77777777" w:rsidTr="006478E7">
        <w:tc>
          <w:tcPr>
            <w:tcW w:w="1005" w:type="pct"/>
            <w:tcBorders>
              <w:top w:val="single" w:sz="4" w:space="0" w:color="auto"/>
              <w:left w:val="single" w:sz="8" w:space="0" w:color="auto"/>
              <w:bottom w:val="single" w:sz="4" w:space="0" w:color="auto"/>
              <w:right w:val="single" w:sz="4" w:space="0" w:color="auto"/>
            </w:tcBorders>
            <w:hideMark/>
          </w:tcPr>
          <w:p w14:paraId="7F55173A" w14:textId="77777777" w:rsidR="006478E7" w:rsidRPr="00490FBB" w:rsidRDefault="006478E7" w:rsidP="00E01349">
            <w:pPr>
              <w:spacing w:before="120" w:after="120" w:line="240" w:lineRule="auto"/>
              <w:rPr>
                <w:rFonts w:cs="Arial"/>
              </w:rPr>
            </w:pPr>
            <w:r w:rsidRPr="00490FBB">
              <w:rPr>
                <w:rFonts w:cs="Arial"/>
              </w:rPr>
              <w:t>Comparator</w:t>
            </w:r>
            <w:r w:rsidR="00D83062">
              <w:rPr>
                <w:rFonts w:cs="Arial"/>
              </w:rPr>
              <w:t>/s</w:t>
            </w:r>
          </w:p>
        </w:tc>
        <w:tc>
          <w:tcPr>
            <w:tcW w:w="3995" w:type="pct"/>
            <w:tcBorders>
              <w:top w:val="single" w:sz="4" w:space="0" w:color="auto"/>
              <w:left w:val="single" w:sz="4" w:space="0" w:color="auto"/>
              <w:bottom w:val="single" w:sz="4" w:space="0" w:color="auto"/>
              <w:right w:val="single" w:sz="4" w:space="0" w:color="auto"/>
            </w:tcBorders>
            <w:hideMark/>
          </w:tcPr>
          <w:p w14:paraId="7E690E4B" w14:textId="36E6616E" w:rsidR="006478E7" w:rsidRPr="001604EE" w:rsidRDefault="00A7562D" w:rsidP="00C54349">
            <w:pPr>
              <w:pStyle w:val="Instructionaltext"/>
              <w:rPr>
                <w:color w:val="auto"/>
              </w:rPr>
            </w:pPr>
            <w:r w:rsidRPr="00A7562D">
              <w:rPr>
                <w:color w:val="auto"/>
              </w:rPr>
              <w:t>Monitoring for disease progression or recurrence using imaging and clinical review</w:t>
            </w:r>
          </w:p>
        </w:tc>
      </w:tr>
      <w:tr w:rsidR="00C64764" w:rsidRPr="00490FBB" w14:paraId="7B9D3F1A" w14:textId="77777777" w:rsidTr="006478E7">
        <w:tc>
          <w:tcPr>
            <w:tcW w:w="1005" w:type="pct"/>
            <w:tcBorders>
              <w:top w:val="single" w:sz="4" w:space="0" w:color="auto"/>
              <w:left w:val="single" w:sz="8" w:space="0" w:color="auto"/>
              <w:bottom w:val="single" w:sz="4" w:space="0" w:color="auto"/>
              <w:right w:val="single" w:sz="4" w:space="0" w:color="auto"/>
            </w:tcBorders>
          </w:tcPr>
          <w:p w14:paraId="4C0BC8B3" w14:textId="6DD5D116" w:rsidR="00C64764" w:rsidRPr="00490FBB" w:rsidRDefault="00C64764" w:rsidP="00E01349">
            <w:pPr>
              <w:spacing w:before="120" w:after="120" w:line="240" w:lineRule="auto"/>
              <w:rPr>
                <w:rFonts w:cs="Arial"/>
              </w:rPr>
            </w:pPr>
            <w:r w:rsidRPr="00490FBB">
              <w:rPr>
                <w:rFonts w:cs="Arial"/>
              </w:rPr>
              <w:t xml:space="preserve">Reference standard </w:t>
            </w:r>
          </w:p>
        </w:tc>
        <w:tc>
          <w:tcPr>
            <w:tcW w:w="3995" w:type="pct"/>
            <w:tcBorders>
              <w:top w:val="single" w:sz="4" w:space="0" w:color="auto"/>
              <w:left w:val="single" w:sz="4" w:space="0" w:color="auto"/>
              <w:bottom w:val="single" w:sz="4" w:space="0" w:color="auto"/>
              <w:right w:val="single" w:sz="4" w:space="0" w:color="auto"/>
            </w:tcBorders>
          </w:tcPr>
          <w:p w14:paraId="7B1F5217" w14:textId="408ED836" w:rsidR="00C64764" w:rsidRPr="001604EE" w:rsidRDefault="0057034A" w:rsidP="00C54349">
            <w:pPr>
              <w:pStyle w:val="Instructionaltext"/>
              <w:rPr>
                <w:color w:val="auto"/>
              </w:rPr>
            </w:pPr>
            <w:r w:rsidRPr="001604EE">
              <w:rPr>
                <w:color w:val="auto"/>
              </w:rPr>
              <w:t xml:space="preserve">There is no </w:t>
            </w:r>
            <w:r w:rsidR="00DF4E06" w:rsidRPr="001604EE">
              <w:rPr>
                <w:color w:val="auto"/>
              </w:rPr>
              <w:t>recognised reference standard for Chromogranin A (</w:t>
            </w:r>
            <w:proofErr w:type="spellStart"/>
            <w:r w:rsidR="00DF4E06" w:rsidRPr="001604EE">
              <w:rPr>
                <w:color w:val="auto"/>
              </w:rPr>
              <w:t>CgA</w:t>
            </w:r>
            <w:proofErr w:type="spellEnd"/>
            <w:r w:rsidR="00DF4E06" w:rsidRPr="001604EE">
              <w:rPr>
                <w:color w:val="auto"/>
              </w:rPr>
              <w:t xml:space="preserve">) testing, but results of </w:t>
            </w:r>
            <w:r w:rsidR="006378B8" w:rsidRPr="001604EE">
              <w:rPr>
                <w:color w:val="auto"/>
              </w:rPr>
              <w:t xml:space="preserve">CT/MRI are likely to provide the best reference for </w:t>
            </w:r>
            <w:r w:rsidR="001604EE" w:rsidRPr="001604EE">
              <w:rPr>
                <w:color w:val="auto"/>
              </w:rPr>
              <w:t>p</w:t>
            </w:r>
            <w:r w:rsidR="006378B8" w:rsidRPr="001604EE">
              <w:rPr>
                <w:color w:val="auto"/>
              </w:rPr>
              <w:t>rogression</w:t>
            </w:r>
            <w:r w:rsidR="001604EE" w:rsidRPr="001604EE">
              <w:rPr>
                <w:color w:val="auto"/>
              </w:rPr>
              <w:t xml:space="preserve"> and </w:t>
            </w:r>
            <w:r w:rsidR="006378B8" w:rsidRPr="001604EE">
              <w:rPr>
                <w:color w:val="auto"/>
              </w:rPr>
              <w:t>recurrence</w:t>
            </w:r>
            <w:r w:rsidR="001604EE" w:rsidRPr="001604EE">
              <w:rPr>
                <w:color w:val="auto"/>
              </w:rPr>
              <w:t>.</w:t>
            </w:r>
          </w:p>
        </w:tc>
      </w:tr>
      <w:tr w:rsidR="00C64764" w:rsidRPr="00490FBB" w14:paraId="13D8130D" w14:textId="77777777" w:rsidTr="006478E7">
        <w:tc>
          <w:tcPr>
            <w:tcW w:w="1005" w:type="pct"/>
            <w:tcBorders>
              <w:top w:val="single" w:sz="4" w:space="0" w:color="auto"/>
              <w:left w:val="single" w:sz="8" w:space="0" w:color="auto"/>
              <w:bottom w:val="single" w:sz="4" w:space="0" w:color="auto"/>
              <w:right w:val="single" w:sz="4" w:space="0" w:color="auto"/>
            </w:tcBorders>
          </w:tcPr>
          <w:p w14:paraId="5A8AC74C" w14:textId="1F4CE53D" w:rsidR="00C64764" w:rsidRPr="00490FBB" w:rsidRDefault="00C64764" w:rsidP="00E01349">
            <w:pPr>
              <w:spacing w:before="120" w:after="120" w:line="240" w:lineRule="auto"/>
              <w:rPr>
                <w:rFonts w:cs="Arial"/>
              </w:rPr>
            </w:pPr>
            <w:r w:rsidRPr="00490FBB">
              <w:rPr>
                <w:rFonts w:cs="Arial"/>
              </w:rPr>
              <w:t xml:space="preserve">Clinical utility standard </w:t>
            </w:r>
          </w:p>
        </w:tc>
        <w:tc>
          <w:tcPr>
            <w:tcW w:w="3995" w:type="pct"/>
            <w:tcBorders>
              <w:top w:val="single" w:sz="4" w:space="0" w:color="auto"/>
              <w:left w:val="single" w:sz="4" w:space="0" w:color="auto"/>
              <w:bottom w:val="single" w:sz="4" w:space="0" w:color="auto"/>
              <w:right w:val="single" w:sz="4" w:space="0" w:color="auto"/>
            </w:tcBorders>
          </w:tcPr>
          <w:p w14:paraId="190C9C62" w14:textId="10210AAB" w:rsidR="00C64764" w:rsidRPr="00D52956" w:rsidRDefault="00691189" w:rsidP="005F046C">
            <w:r>
              <w:t xml:space="preserve">The applicant did not propose a clinical utility </w:t>
            </w:r>
            <w:r w:rsidR="00FA5964">
              <w:t>standard but</w:t>
            </w:r>
            <w:r>
              <w:t xml:space="preserve"> have suggested that </w:t>
            </w:r>
            <w:r w:rsidR="003152ED">
              <w:t>a</w:t>
            </w:r>
            <w:r w:rsidR="003152ED" w:rsidRPr="003152ED">
              <w:t xml:space="preserve"> sustained or clinically meaningful increase in </w:t>
            </w:r>
            <w:proofErr w:type="spellStart"/>
            <w:r w:rsidR="003152ED" w:rsidRPr="003152ED">
              <w:t>CgA</w:t>
            </w:r>
            <w:proofErr w:type="spellEnd"/>
            <w:r w:rsidR="003152ED" w:rsidRPr="003152ED">
              <w:t xml:space="preserve"> (e.g. ≥50% rise to &gt;100 ng/mL) may prompt escalation to confirmatory testing</w:t>
            </w:r>
            <w:r w:rsidR="00FA5964">
              <w:t>.</w:t>
            </w:r>
            <w:r w:rsidR="003152ED">
              <w:t xml:space="preserve"> This is taken from Meng, et al. </w:t>
            </w:r>
            <w:r w:rsidR="005310C2">
              <w:t>(</w:t>
            </w:r>
            <w:r w:rsidR="003152ED">
              <w:t>2024</w:t>
            </w:r>
            <w:r w:rsidR="005310C2">
              <w:t xml:space="preserve">) where </w:t>
            </w:r>
            <w:r w:rsidR="000A4221" w:rsidRPr="000A4221">
              <w:t xml:space="preserve">8.5 to 10 mL of blood </w:t>
            </w:r>
            <w:r w:rsidR="005310C2">
              <w:t>was c</w:t>
            </w:r>
            <w:r w:rsidR="000A4221" w:rsidRPr="000A4221">
              <w:t xml:space="preserve">ollected and processed to obtain serum. </w:t>
            </w:r>
            <w:proofErr w:type="spellStart"/>
            <w:r w:rsidR="000A4221" w:rsidRPr="000A4221">
              <w:t>CgA</w:t>
            </w:r>
            <w:proofErr w:type="spellEnd"/>
            <w:r w:rsidR="000A4221" w:rsidRPr="000A4221">
              <w:t xml:space="preserve"> concentrations were measured using the automated B·R·A·H·M·S </w:t>
            </w:r>
            <w:proofErr w:type="spellStart"/>
            <w:r w:rsidR="000A4221" w:rsidRPr="000A4221">
              <w:t>CgA</w:t>
            </w:r>
            <w:proofErr w:type="spellEnd"/>
            <w:r w:rsidR="000A4221" w:rsidRPr="000A4221">
              <w:t xml:space="preserve"> II KRYPTOR immunofluorescence assay (KRYPTOR Compact Plus), with samples analysed fresh or after storage at −80°C. </w:t>
            </w:r>
          </w:p>
        </w:tc>
      </w:tr>
      <w:tr w:rsidR="006478E7" w:rsidRPr="00490FBB" w14:paraId="591B1D2D" w14:textId="77777777" w:rsidTr="00BB1698">
        <w:tc>
          <w:tcPr>
            <w:tcW w:w="1005" w:type="pct"/>
            <w:tcBorders>
              <w:top w:val="single" w:sz="4" w:space="0" w:color="auto"/>
              <w:left w:val="single" w:sz="8" w:space="0" w:color="auto"/>
              <w:bottom w:val="single" w:sz="4" w:space="0" w:color="auto"/>
              <w:right w:val="single" w:sz="4" w:space="0" w:color="auto"/>
            </w:tcBorders>
            <w:hideMark/>
          </w:tcPr>
          <w:p w14:paraId="635F9D15" w14:textId="77777777" w:rsidR="006478E7" w:rsidRPr="00490FBB" w:rsidRDefault="006478E7" w:rsidP="00E01349">
            <w:pPr>
              <w:spacing w:before="120" w:after="120" w:line="240" w:lineRule="auto"/>
              <w:rPr>
                <w:rFonts w:cs="Arial"/>
              </w:rPr>
            </w:pPr>
            <w:r w:rsidRPr="00490FBB">
              <w:rPr>
                <w:rFonts w:cs="Arial"/>
              </w:rPr>
              <w:t>Outcomes</w:t>
            </w:r>
          </w:p>
        </w:tc>
        <w:tc>
          <w:tcPr>
            <w:tcW w:w="3995" w:type="pct"/>
            <w:tcBorders>
              <w:top w:val="single" w:sz="4" w:space="0" w:color="auto"/>
              <w:left w:val="single" w:sz="4" w:space="0" w:color="auto"/>
              <w:bottom w:val="single" w:sz="4" w:space="0" w:color="auto"/>
              <w:right w:val="single" w:sz="4" w:space="0" w:color="auto"/>
            </w:tcBorders>
            <w:hideMark/>
          </w:tcPr>
          <w:p w14:paraId="436E6A43" w14:textId="77777777" w:rsidR="00016B55" w:rsidRPr="008B3FA8" w:rsidRDefault="00016B55" w:rsidP="00F70751">
            <w:pPr>
              <w:pStyle w:val="Instructionaltext"/>
              <w:spacing w:before="0" w:after="0" w:line="240" w:lineRule="auto"/>
              <w:rPr>
                <w:color w:val="auto"/>
              </w:rPr>
            </w:pPr>
            <w:r w:rsidRPr="008B3FA8">
              <w:rPr>
                <w:color w:val="auto"/>
              </w:rPr>
              <w:t>Safety</w:t>
            </w:r>
          </w:p>
          <w:p w14:paraId="7DEF6760" w14:textId="77777777" w:rsidR="00016B55" w:rsidRPr="008B3FA8" w:rsidRDefault="00016B55" w:rsidP="009D43EE">
            <w:pPr>
              <w:pStyle w:val="Instructionaltext"/>
              <w:spacing w:before="0" w:after="0" w:line="240" w:lineRule="auto"/>
              <w:ind w:left="340"/>
              <w:rPr>
                <w:color w:val="auto"/>
              </w:rPr>
            </w:pPr>
            <w:r w:rsidRPr="008B3FA8">
              <w:rPr>
                <w:color w:val="auto"/>
              </w:rPr>
              <w:t>•</w:t>
            </w:r>
            <w:r w:rsidRPr="008B3FA8">
              <w:rPr>
                <w:color w:val="auto"/>
              </w:rPr>
              <w:tab/>
              <w:t>Harm associated with absence of testing.</w:t>
            </w:r>
          </w:p>
          <w:p w14:paraId="645DC250" w14:textId="77777777" w:rsidR="00016B55" w:rsidRPr="008B3FA8" w:rsidRDefault="00016B55" w:rsidP="009D43EE">
            <w:pPr>
              <w:pStyle w:val="Instructionaltext"/>
              <w:spacing w:before="0" w:after="0" w:line="240" w:lineRule="auto"/>
              <w:ind w:left="340"/>
              <w:rPr>
                <w:color w:val="auto"/>
              </w:rPr>
            </w:pPr>
            <w:r w:rsidRPr="008B3FA8">
              <w:rPr>
                <w:color w:val="auto"/>
              </w:rPr>
              <w:t>•</w:t>
            </w:r>
            <w:r w:rsidRPr="008B3FA8">
              <w:rPr>
                <w:color w:val="auto"/>
              </w:rPr>
              <w:tab/>
              <w:t>Harm associated with false positive or false negative results.</w:t>
            </w:r>
          </w:p>
          <w:p w14:paraId="06C5FF1B" w14:textId="77777777" w:rsidR="004E6832" w:rsidRDefault="004E6832" w:rsidP="00F70751">
            <w:pPr>
              <w:pStyle w:val="Instructionaltext"/>
              <w:spacing w:before="0" w:after="0" w:line="240" w:lineRule="auto"/>
              <w:rPr>
                <w:color w:val="auto"/>
              </w:rPr>
            </w:pPr>
          </w:p>
          <w:p w14:paraId="7BF45B63" w14:textId="20510A00" w:rsidR="00016B55" w:rsidRPr="008B3FA8" w:rsidRDefault="00016B55" w:rsidP="00F70751">
            <w:pPr>
              <w:pStyle w:val="Instructionaltext"/>
              <w:spacing w:before="0" w:after="0" w:line="240" w:lineRule="auto"/>
              <w:rPr>
                <w:color w:val="auto"/>
              </w:rPr>
            </w:pPr>
            <w:r w:rsidRPr="008B3FA8">
              <w:rPr>
                <w:color w:val="auto"/>
              </w:rPr>
              <w:t>Test performance</w:t>
            </w:r>
          </w:p>
          <w:p w14:paraId="6862ED7B" w14:textId="77777777" w:rsidR="00016B55" w:rsidRPr="008B3FA8" w:rsidRDefault="00016B55" w:rsidP="009D43EE">
            <w:pPr>
              <w:pStyle w:val="Instructionaltext"/>
              <w:spacing w:before="0" w:after="0" w:line="240" w:lineRule="auto"/>
              <w:ind w:left="340"/>
              <w:rPr>
                <w:color w:val="auto"/>
              </w:rPr>
            </w:pPr>
            <w:r w:rsidRPr="008B3FA8">
              <w:rPr>
                <w:color w:val="auto"/>
              </w:rPr>
              <w:t>•</w:t>
            </w:r>
            <w:r w:rsidRPr="008B3FA8">
              <w:rPr>
                <w:color w:val="auto"/>
              </w:rPr>
              <w:tab/>
              <w:t>Sensitivity.</w:t>
            </w:r>
          </w:p>
          <w:p w14:paraId="363D8617" w14:textId="77777777" w:rsidR="00016B55" w:rsidRPr="008B3FA8" w:rsidRDefault="00016B55" w:rsidP="009D43EE">
            <w:pPr>
              <w:pStyle w:val="Instructionaltext"/>
              <w:spacing w:before="0" w:after="0" w:line="240" w:lineRule="auto"/>
              <w:ind w:left="340"/>
              <w:rPr>
                <w:color w:val="auto"/>
              </w:rPr>
            </w:pPr>
            <w:r w:rsidRPr="008B3FA8">
              <w:rPr>
                <w:color w:val="auto"/>
              </w:rPr>
              <w:t>•</w:t>
            </w:r>
            <w:r w:rsidRPr="008B3FA8">
              <w:rPr>
                <w:color w:val="auto"/>
              </w:rPr>
              <w:tab/>
              <w:t>Specificity.</w:t>
            </w:r>
          </w:p>
          <w:p w14:paraId="714DE43D" w14:textId="77777777" w:rsidR="00016B55" w:rsidRPr="008B3FA8" w:rsidRDefault="00016B55" w:rsidP="009D43EE">
            <w:pPr>
              <w:pStyle w:val="Instructionaltext"/>
              <w:spacing w:before="0" w:after="0" w:line="240" w:lineRule="auto"/>
              <w:ind w:left="340"/>
              <w:rPr>
                <w:color w:val="auto"/>
              </w:rPr>
            </w:pPr>
            <w:r w:rsidRPr="008B3FA8">
              <w:rPr>
                <w:color w:val="auto"/>
              </w:rPr>
              <w:t>•</w:t>
            </w:r>
            <w:r w:rsidRPr="008B3FA8">
              <w:rPr>
                <w:color w:val="auto"/>
              </w:rPr>
              <w:tab/>
              <w:t>Positive and negative predictive values.</w:t>
            </w:r>
          </w:p>
          <w:p w14:paraId="002211B9" w14:textId="3AEDEAC5" w:rsidR="00396B22" w:rsidRDefault="00016B55" w:rsidP="009D43EE">
            <w:pPr>
              <w:pStyle w:val="Instructionaltext"/>
              <w:spacing w:before="0" w:after="0" w:line="240" w:lineRule="auto"/>
              <w:ind w:left="340"/>
              <w:rPr>
                <w:color w:val="auto"/>
              </w:rPr>
            </w:pPr>
            <w:r w:rsidRPr="008B3FA8">
              <w:rPr>
                <w:color w:val="auto"/>
              </w:rPr>
              <w:t>•</w:t>
            </w:r>
            <w:r>
              <w:tab/>
            </w:r>
            <w:r w:rsidR="00F25260">
              <w:rPr>
                <w:color w:val="auto"/>
              </w:rPr>
              <w:t>C</w:t>
            </w:r>
            <w:r w:rsidR="00F25260" w:rsidRPr="00F25260">
              <w:rPr>
                <w:color w:val="auto"/>
              </w:rPr>
              <w:t xml:space="preserve">orrelation </w:t>
            </w:r>
            <w:r w:rsidRPr="008B3FA8">
              <w:rPr>
                <w:color w:val="auto"/>
              </w:rPr>
              <w:t xml:space="preserve">of rising </w:t>
            </w:r>
            <w:proofErr w:type="spellStart"/>
            <w:r w:rsidRPr="008B3FA8">
              <w:rPr>
                <w:color w:val="auto"/>
              </w:rPr>
              <w:t>CgA</w:t>
            </w:r>
            <w:proofErr w:type="spellEnd"/>
            <w:r w:rsidRPr="008B3FA8">
              <w:rPr>
                <w:color w:val="auto"/>
              </w:rPr>
              <w:t xml:space="preserve"> </w:t>
            </w:r>
            <w:r w:rsidR="00F25260">
              <w:rPr>
                <w:color w:val="auto"/>
              </w:rPr>
              <w:t>with</w:t>
            </w:r>
            <w:r w:rsidRPr="008B3FA8">
              <w:rPr>
                <w:color w:val="auto"/>
              </w:rPr>
              <w:t xml:space="preserve"> radiological progression. </w:t>
            </w:r>
          </w:p>
          <w:p w14:paraId="36E14C3C" w14:textId="5AB70DBB" w:rsidR="00DF6566" w:rsidRDefault="00F25260" w:rsidP="009D43EE">
            <w:pPr>
              <w:pStyle w:val="Instructionaltext"/>
              <w:spacing w:before="0" w:after="0" w:line="240" w:lineRule="auto"/>
              <w:ind w:left="340"/>
              <w:rPr>
                <w:color w:val="auto"/>
              </w:rPr>
            </w:pPr>
            <w:r w:rsidRPr="008B3FA8">
              <w:rPr>
                <w:color w:val="auto"/>
              </w:rPr>
              <w:t>•</w:t>
            </w:r>
            <w:r>
              <w:tab/>
            </w:r>
            <w:r w:rsidR="00DF6566" w:rsidRPr="008B3FA8">
              <w:rPr>
                <w:color w:val="auto"/>
              </w:rPr>
              <w:t xml:space="preserve">Accuracy of </w:t>
            </w:r>
            <w:proofErr w:type="spellStart"/>
            <w:r w:rsidR="00DF6566" w:rsidRPr="008B3FA8">
              <w:rPr>
                <w:color w:val="auto"/>
              </w:rPr>
              <w:t>CgA</w:t>
            </w:r>
            <w:proofErr w:type="spellEnd"/>
            <w:r w:rsidR="00DF6566" w:rsidRPr="008B3FA8">
              <w:rPr>
                <w:color w:val="auto"/>
              </w:rPr>
              <w:t xml:space="preserve"> in identifying disease progression or recurrence.</w:t>
            </w:r>
          </w:p>
          <w:p w14:paraId="7BBF4C65" w14:textId="77777777" w:rsidR="00DF6566" w:rsidRPr="008B3FA8" w:rsidRDefault="00DF6566" w:rsidP="00F70751">
            <w:pPr>
              <w:pStyle w:val="Instructionaltext"/>
              <w:spacing w:before="0" w:after="0" w:line="240" w:lineRule="auto"/>
              <w:rPr>
                <w:color w:val="auto"/>
              </w:rPr>
            </w:pPr>
          </w:p>
          <w:p w14:paraId="4C7BB63E" w14:textId="77777777" w:rsidR="00016B55" w:rsidRPr="008B3FA8" w:rsidRDefault="00016B55" w:rsidP="00F70751">
            <w:pPr>
              <w:pStyle w:val="Instructionaltext"/>
              <w:spacing w:before="0" w:after="0" w:line="240" w:lineRule="auto"/>
              <w:rPr>
                <w:color w:val="auto"/>
              </w:rPr>
            </w:pPr>
            <w:r w:rsidRPr="008B3FA8">
              <w:rPr>
                <w:color w:val="auto"/>
              </w:rPr>
              <w:t>Change in clinical management</w:t>
            </w:r>
          </w:p>
          <w:p w14:paraId="410B4309" w14:textId="77777777" w:rsidR="00016B55" w:rsidRPr="008B3FA8" w:rsidRDefault="00016B55" w:rsidP="009D43EE">
            <w:pPr>
              <w:pStyle w:val="Instructionaltext"/>
              <w:spacing w:before="0" w:after="0" w:line="240" w:lineRule="auto"/>
              <w:ind w:left="340"/>
              <w:rPr>
                <w:color w:val="auto"/>
              </w:rPr>
            </w:pPr>
            <w:r w:rsidRPr="008B3FA8">
              <w:rPr>
                <w:color w:val="auto"/>
              </w:rPr>
              <w:t>•</w:t>
            </w:r>
            <w:r w:rsidRPr="008B3FA8">
              <w:rPr>
                <w:color w:val="auto"/>
              </w:rPr>
              <w:tab/>
              <w:t>Earlier specialist review.</w:t>
            </w:r>
          </w:p>
          <w:p w14:paraId="68179A4A" w14:textId="77777777" w:rsidR="00016B55" w:rsidRPr="008B3FA8" w:rsidRDefault="00016B55" w:rsidP="009D43EE">
            <w:pPr>
              <w:pStyle w:val="Instructionaltext"/>
              <w:spacing w:before="0" w:after="0" w:line="240" w:lineRule="auto"/>
              <w:ind w:left="340"/>
              <w:rPr>
                <w:color w:val="auto"/>
              </w:rPr>
            </w:pPr>
            <w:r w:rsidRPr="008B3FA8">
              <w:rPr>
                <w:color w:val="auto"/>
              </w:rPr>
              <w:t>•</w:t>
            </w:r>
            <w:r w:rsidRPr="008B3FA8">
              <w:rPr>
                <w:color w:val="auto"/>
              </w:rPr>
              <w:tab/>
              <w:t>Earlier CT/MRI or PET imaging.</w:t>
            </w:r>
          </w:p>
          <w:p w14:paraId="1394013F" w14:textId="74D7A6E7" w:rsidR="00016B55" w:rsidRPr="008B3FA8" w:rsidRDefault="00016B55" w:rsidP="009D43EE">
            <w:pPr>
              <w:pStyle w:val="Instructionaltext"/>
              <w:spacing w:before="0" w:after="0" w:line="240" w:lineRule="auto"/>
              <w:ind w:left="340"/>
              <w:rPr>
                <w:color w:val="auto"/>
              </w:rPr>
            </w:pPr>
            <w:r w:rsidRPr="008B3FA8">
              <w:rPr>
                <w:color w:val="auto"/>
              </w:rPr>
              <w:lastRenderedPageBreak/>
              <w:t>•</w:t>
            </w:r>
            <w:r w:rsidRPr="008B3FA8">
              <w:rPr>
                <w:color w:val="auto"/>
              </w:rPr>
              <w:tab/>
              <w:t>Progression/recurrence detection</w:t>
            </w:r>
            <w:r w:rsidR="00FB2AC6">
              <w:rPr>
                <w:color w:val="auto"/>
              </w:rPr>
              <w:t>.</w:t>
            </w:r>
          </w:p>
          <w:p w14:paraId="1D55EB22" w14:textId="55A3356D" w:rsidR="00016B55" w:rsidRDefault="00016B55" w:rsidP="009D43EE">
            <w:pPr>
              <w:pStyle w:val="Instructionaltext"/>
              <w:spacing w:before="0" w:after="0" w:line="240" w:lineRule="auto"/>
              <w:ind w:left="340"/>
              <w:rPr>
                <w:color w:val="auto"/>
              </w:rPr>
            </w:pPr>
            <w:r w:rsidRPr="008B3FA8">
              <w:rPr>
                <w:color w:val="auto"/>
              </w:rPr>
              <w:t>•</w:t>
            </w:r>
            <w:r w:rsidRPr="008B3FA8">
              <w:rPr>
                <w:color w:val="auto"/>
              </w:rPr>
              <w:tab/>
              <w:t xml:space="preserve">Time to detection of progression compared with routine surveillance. </w:t>
            </w:r>
          </w:p>
          <w:p w14:paraId="4AB574E1" w14:textId="77777777" w:rsidR="00DF6566" w:rsidRPr="008B3FA8" w:rsidRDefault="00DF6566" w:rsidP="009D43EE">
            <w:pPr>
              <w:pStyle w:val="Instructionaltext"/>
              <w:spacing w:before="0" w:after="0" w:line="240" w:lineRule="auto"/>
              <w:ind w:left="340"/>
              <w:rPr>
                <w:color w:val="auto"/>
              </w:rPr>
            </w:pPr>
            <w:r w:rsidRPr="008B3FA8">
              <w:rPr>
                <w:color w:val="auto"/>
              </w:rPr>
              <w:t>•</w:t>
            </w:r>
            <w:r w:rsidRPr="008B3FA8">
              <w:rPr>
                <w:color w:val="auto"/>
              </w:rPr>
              <w:tab/>
              <w:t>Earlier initiation, escalation, or modification of treatment</w:t>
            </w:r>
          </w:p>
          <w:p w14:paraId="1C297CB9" w14:textId="77777777" w:rsidR="00DF6566" w:rsidRPr="008B3FA8" w:rsidRDefault="00DF6566" w:rsidP="009D43EE">
            <w:pPr>
              <w:pStyle w:val="Instructionaltext"/>
              <w:spacing w:before="0" w:after="0" w:line="240" w:lineRule="auto"/>
              <w:ind w:left="340"/>
              <w:rPr>
                <w:color w:val="auto"/>
              </w:rPr>
            </w:pPr>
          </w:p>
          <w:p w14:paraId="042A3E9D" w14:textId="77777777" w:rsidR="00016B55" w:rsidRPr="008B3FA8" w:rsidRDefault="00016B55" w:rsidP="00F70751">
            <w:pPr>
              <w:pStyle w:val="Instructionaltext"/>
              <w:spacing w:before="0" w:after="0" w:line="240" w:lineRule="auto"/>
              <w:rPr>
                <w:color w:val="auto"/>
              </w:rPr>
            </w:pPr>
            <w:r w:rsidRPr="008B3FA8">
              <w:rPr>
                <w:color w:val="auto"/>
              </w:rPr>
              <w:t>Clinical Effectiveness Outcomes</w:t>
            </w:r>
          </w:p>
          <w:p w14:paraId="63B0B68B" w14:textId="77777777" w:rsidR="00016B55" w:rsidRPr="008B3FA8" w:rsidRDefault="00016B55" w:rsidP="009D43EE">
            <w:pPr>
              <w:pStyle w:val="Instructionaltext"/>
              <w:spacing w:before="0" w:after="0" w:line="240" w:lineRule="auto"/>
              <w:ind w:left="340"/>
              <w:rPr>
                <w:color w:val="auto"/>
              </w:rPr>
            </w:pPr>
            <w:r w:rsidRPr="008B3FA8">
              <w:rPr>
                <w:color w:val="auto"/>
              </w:rPr>
              <w:t>•</w:t>
            </w:r>
            <w:r w:rsidRPr="008B3FA8">
              <w:rPr>
                <w:color w:val="auto"/>
              </w:rPr>
              <w:tab/>
              <w:t>Overall survival.</w:t>
            </w:r>
          </w:p>
          <w:p w14:paraId="0D57E477" w14:textId="77777777" w:rsidR="00016B55" w:rsidRPr="008B3FA8" w:rsidRDefault="00016B55" w:rsidP="009D43EE">
            <w:pPr>
              <w:pStyle w:val="Instructionaltext"/>
              <w:spacing w:before="0" w:after="0" w:line="240" w:lineRule="auto"/>
              <w:ind w:left="340"/>
              <w:rPr>
                <w:color w:val="auto"/>
              </w:rPr>
            </w:pPr>
            <w:r w:rsidRPr="008B3FA8">
              <w:rPr>
                <w:color w:val="auto"/>
              </w:rPr>
              <w:t>•</w:t>
            </w:r>
            <w:r w:rsidRPr="008B3FA8">
              <w:rPr>
                <w:color w:val="auto"/>
              </w:rPr>
              <w:tab/>
              <w:t>Progression-free survival.</w:t>
            </w:r>
          </w:p>
          <w:p w14:paraId="7FE46744" w14:textId="77777777" w:rsidR="00016B55" w:rsidRPr="008B3FA8" w:rsidRDefault="00016B55" w:rsidP="009D43EE">
            <w:pPr>
              <w:pStyle w:val="Instructionaltext"/>
              <w:spacing w:before="0" w:after="0" w:line="240" w:lineRule="auto"/>
              <w:ind w:left="340"/>
              <w:rPr>
                <w:color w:val="auto"/>
              </w:rPr>
            </w:pPr>
            <w:r w:rsidRPr="008B3FA8">
              <w:rPr>
                <w:color w:val="auto"/>
              </w:rPr>
              <w:t>•</w:t>
            </w:r>
            <w:r w:rsidRPr="008B3FA8">
              <w:rPr>
                <w:color w:val="auto"/>
              </w:rPr>
              <w:tab/>
              <w:t>Health-related quality of life.</w:t>
            </w:r>
          </w:p>
          <w:p w14:paraId="785AAB30" w14:textId="77777777" w:rsidR="00016B55" w:rsidRPr="008B3FA8" w:rsidRDefault="00016B55" w:rsidP="009D43EE">
            <w:pPr>
              <w:pStyle w:val="Instructionaltext"/>
              <w:spacing w:before="0" w:after="0" w:line="240" w:lineRule="auto"/>
              <w:ind w:left="340"/>
              <w:rPr>
                <w:color w:val="auto"/>
              </w:rPr>
            </w:pPr>
            <w:r w:rsidRPr="008B3FA8">
              <w:rPr>
                <w:color w:val="auto"/>
              </w:rPr>
              <w:t>•</w:t>
            </w:r>
            <w:r w:rsidRPr="008B3FA8">
              <w:rPr>
                <w:color w:val="auto"/>
              </w:rPr>
              <w:tab/>
              <w:t>Symptom control.</w:t>
            </w:r>
          </w:p>
          <w:p w14:paraId="49664AA5" w14:textId="77777777" w:rsidR="00016B55" w:rsidRDefault="00016B55" w:rsidP="009D43EE">
            <w:pPr>
              <w:pStyle w:val="Instructionaltext"/>
              <w:spacing w:before="0" w:after="0" w:line="240" w:lineRule="auto"/>
              <w:ind w:left="340"/>
              <w:rPr>
                <w:color w:val="auto"/>
              </w:rPr>
            </w:pPr>
            <w:r w:rsidRPr="008B3FA8">
              <w:rPr>
                <w:color w:val="auto"/>
              </w:rPr>
              <w:t>•</w:t>
            </w:r>
            <w:r w:rsidRPr="008B3FA8">
              <w:rPr>
                <w:color w:val="auto"/>
              </w:rPr>
              <w:tab/>
              <w:t xml:space="preserve">Avoidance of progression-related complications. </w:t>
            </w:r>
          </w:p>
          <w:p w14:paraId="258AB757" w14:textId="77777777" w:rsidR="00060B9C" w:rsidRPr="008B3FA8" w:rsidRDefault="00060B9C" w:rsidP="00F70751">
            <w:pPr>
              <w:pStyle w:val="Instructionaltext"/>
              <w:spacing w:before="0" w:after="0" w:line="240" w:lineRule="auto"/>
              <w:rPr>
                <w:color w:val="auto"/>
              </w:rPr>
            </w:pPr>
          </w:p>
          <w:p w14:paraId="744A7FAB" w14:textId="77777777" w:rsidR="00016B55" w:rsidRPr="008B3FA8" w:rsidRDefault="00016B55" w:rsidP="00F70751">
            <w:pPr>
              <w:pStyle w:val="Instructionaltext"/>
              <w:spacing w:before="0" w:after="0" w:line="240" w:lineRule="auto"/>
              <w:rPr>
                <w:color w:val="auto"/>
              </w:rPr>
            </w:pPr>
            <w:r w:rsidRPr="008B3FA8">
              <w:rPr>
                <w:color w:val="auto"/>
              </w:rPr>
              <w:t>Healthcare resource use</w:t>
            </w:r>
          </w:p>
          <w:p w14:paraId="6910BA41" w14:textId="77777777" w:rsidR="00016B55" w:rsidRPr="008B3FA8" w:rsidRDefault="00016B55" w:rsidP="009D43EE">
            <w:pPr>
              <w:pStyle w:val="Instructionaltext"/>
              <w:spacing w:before="0" w:after="0" w:line="240" w:lineRule="auto"/>
              <w:ind w:left="340"/>
              <w:rPr>
                <w:color w:val="auto"/>
              </w:rPr>
            </w:pPr>
            <w:r w:rsidRPr="008B3FA8">
              <w:rPr>
                <w:color w:val="auto"/>
              </w:rPr>
              <w:t>•</w:t>
            </w:r>
            <w:r w:rsidRPr="008B3FA8">
              <w:rPr>
                <w:color w:val="auto"/>
              </w:rPr>
              <w:tab/>
              <w:t>Number and timing of CT/MRI scans.</w:t>
            </w:r>
          </w:p>
          <w:p w14:paraId="41C6489F" w14:textId="77777777" w:rsidR="00016B55" w:rsidRPr="008B3FA8" w:rsidRDefault="00016B55" w:rsidP="009D43EE">
            <w:pPr>
              <w:pStyle w:val="Instructionaltext"/>
              <w:spacing w:before="0" w:after="0" w:line="240" w:lineRule="auto"/>
              <w:ind w:left="340"/>
              <w:rPr>
                <w:color w:val="auto"/>
              </w:rPr>
            </w:pPr>
            <w:r w:rsidRPr="008B3FA8">
              <w:rPr>
                <w:color w:val="auto"/>
              </w:rPr>
              <w:t>•</w:t>
            </w:r>
            <w:r w:rsidRPr="008B3FA8">
              <w:rPr>
                <w:color w:val="auto"/>
              </w:rPr>
              <w:tab/>
              <w:t>Use of PET imaging.</w:t>
            </w:r>
          </w:p>
          <w:p w14:paraId="6EDCE303" w14:textId="77777777" w:rsidR="00016B55" w:rsidRPr="008B3FA8" w:rsidRDefault="00016B55" w:rsidP="009D43EE">
            <w:pPr>
              <w:pStyle w:val="Instructionaltext"/>
              <w:spacing w:before="0" w:after="0" w:line="240" w:lineRule="auto"/>
              <w:ind w:left="340"/>
              <w:rPr>
                <w:color w:val="auto"/>
              </w:rPr>
            </w:pPr>
            <w:r w:rsidRPr="008B3FA8">
              <w:rPr>
                <w:color w:val="auto"/>
              </w:rPr>
              <w:t>•</w:t>
            </w:r>
            <w:r w:rsidRPr="008B3FA8">
              <w:rPr>
                <w:color w:val="auto"/>
              </w:rPr>
              <w:tab/>
              <w:t>Number of specialist consultations.</w:t>
            </w:r>
          </w:p>
          <w:p w14:paraId="2AFDCF78" w14:textId="77777777" w:rsidR="00016B55" w:rsidRPr="008B3FA8" w:rsidRDefault="00016B55" w:rsidP="009D43EE">
            <w:pPr>
              <w:pStyle w:val="Instructionaltext"/>
              <w:spacing w:before="0" w:after="0" w:line="240" w:lineRule="auto"/>
              <w:ind w:left="340"/>
              <w:rPr>
                <w:color w:val="auto"/>
              </w:rPr>
            </w:pPr>
            <w:r w:rsidRPr="008B3FA8">
              <w:rPr>
                <w:color w:val="auto"/>
              </w:rPr>
              <w:t>•</w:t>
            </w:r>
            <w:r w:rsidRPr="008B3FA8">
              <w:rPr>
                <w:color w:val="auto"/>
              </w:rPr>
              <w:tab/>
              <w:t xml:space="preserve">Hospitalisations and emergency presentations. </w:t>
            </w:r>
          </w:p>
          <w:p w14:paraId="660CFF4A" w14:textId="1DE4FD57" w:rsidR="00016B55" w:rsidRPr="008B3FA8" w:rsidRDefault="00016B55" w:rsidP="009D43EE">
            <w:pPr>
              <w:pStyle w:val="Instructionaltext"/>
              <w:spacing w:before="0" w:after="0" w:line="240" w:lineRule="auto"/>
              <w:ind w:left="340"/>
              <w:rPr>
                <w:color w:val="auto"/>
              </w:rPr>
            </w:pPr>
            <w:r w:rsidRPr="008B3FA8">
              <w:rPr>
                <w:color w:val="auto"/>
              </w:rPr>
              <w:t>•</w:t>
            </w:r>
            <w:r w:rsidRPr="008B3FA8">
              <w:rPr>
                <w:color w:val="auto"/>
              </w:rPr>
              <w:tab/>
              <w:t xml:space="preserve">Costs associated with the intervention. </w:t>
            </w:r>
          </w:p>
          <w:p w14:paraId="1BAAABC7" w14:textId="77777777" w:rsidR="00016B55" w:rsidRDefault="00016B55" w:rsidP="009D43EE">
            <w:pPr>
              <w:pStyle w:val="Instructionaltext"/>
              <w:spacing w:before="0" w:after="0" w:line="240" w:lineRule="auto"/>
              <w:ind w:left="340"/>
              <w:rPr>
                <w:color w:val="auto"/>
              </w:rPr>
            </w:pPr>
            <w:r w:rsidRPr="008B3FA8">
              <w:rPr>
                <w:color w:val="auto"/>
              </w:rPr>
              <w:t>•</w:t>
            </w:r>
            <w:r w:rsidRPr="008B3FA8">
              <w:rPr>
                <w:color w:val="auto"/>
              </w:rPr>
              <w:tab/>
              <w:t>Downstream imaging costs.</w:t>
            </w:r>
          </w:p>
          <w:p w14:paraId="23415B52" w14:textId="1B9CA4F6" w:rsidR="00AE13B9" w:rsidRDefault="00F25260" w:rsidP="009D43EE">
            <w:pPr>
              <w:pStyle w:val="Instructionaltext"/>
              <w:spacing w:before="0" w:after="0" w:line="240" w:lineRule="auto"/>
              <w:ind w:left="340"/>
              <w:rPr>
                <w:color w:val="auto"/>
              </w:rPr>
            </w:pPr>
            <w:r w:rsidRPr="008B3FA8">
              <w:rPr>
                <w:color w:val="auto"/>
              </w:rPr>
              <w:t>•</w:t>
            </w:r>
            <w:r w:rsidRPr="008B3FA8">
              <w:rPr>
                <w:color w:val="auto"/>
              </w:rPr>
              <w:tab/>
            </w:r>
            <w:r w:rsidR="00AE13B9">
              <w:rPr>
                <w:color w:val="auto"/>
              </w:rPr>
              <w:t>Change in therapy and costs</w:t>
            </w:r>
          </w:p>
          <w:p w14:paraId="3DD8BCEA" w14:textId="197F9F42" w:rsidR="00AE13B9" w:rsidRPr="008B3FA8" w:rsidRDefault="00AE13B9" w:rsidP="00F70751">
            <w:pPr>
              <w:pStyle w:val="Instructionaltext"/>
              <w:spacing w:before="0" w:after="0" w:line="240" w:lineRule="auto"/>
              <w:rPr>
                <w:color w:val="auto"/>
              </w:rPr>
            </w:pPr>
          </w:p>
          <w:p w14:paraId="7D8CA85D" w14:textId="77777777" w:rsidR="00016B55" w:rsidRPr="008B3FA8" w:rsidRDefault="00016B55" w:rsidP="00F70751">
            <w:pPr>
              <w:pStyle w:val="Instructionaltext"/>
              <w:spacing w:before="0" w:after="0" w:line="240" w:lineRule="auto"/>
              <w:rPr>
                <w:color w:val="auto"/>
              </w:rPr>
            </w:pPr>
            <w:r w:rsidRPr="008B3FA8">
              <w:rPr>
                <w:color w:val="auto"/>
              </w:rPr>
              <w:t>Economic outcomes</w:t>
            </w:r>
          </w:p>
          <w:p w14:paraId="1823E509" w14:textId="77777777" w:rsidR="00016B55" w:rsidRPr="008B3FA8" w:rsidRDefault="00016B55" w:rsidP="009D43EE">
            <w:pPr>
              <w:pStyle w:val="Instructionaltext"/>
              <w:spacing w:before="0" w:after="0" w:line="240" w:lineRule="auto"/>
              <w:ind w:left="340"/>
              <w:rPr>
                <w:color w:val="auto"/>
              </w:rPr>
            </w:pPr>
            <w:r w:rsidRPr="008B3FA8">
              <w:rPr>
                <w:color w:val="auto"/>
              </w:rPr>
              <w:t>•</w:t>
            </w:r>
            <w:r w:rsidRPr="008B3FA8">
              <w:rPr>
                <w:color w:val="auto"/>
              </w:rPr>
              <w:tab/>
              <w:t>Cost per patient with positive result.</w:t>
            </w:r>
          </w:p>
          <w:p w14:paraId="34163774" w14:textId="77777777" w:rsidR="00016B55" w:rsidRPr="008B3FA8" w:rsidRDefault="00016B55" w:rsidP="009D43EE">
            <w:pPr>
              <w:pStyle w:val="Instructionaltext"/>
              <w:spacing w:before="0" w:after="0" w:line="240" w:lineRule="auto"/>
              <w:ind w:left="340"/>
              <w:rPr>
                <w:color w:val="auto"/>
              </w:rPr>
            </w:pPr>
            <w:r w:rsidRPr="008B3FA8">
              <w:rPr>
                <w:color w:val="auto"/>
              </w:rPr>
              <w:t>•</w:t>
            </w:r>
            <w:r w:rsidRPr="008B3FA8">
              <w:rPr>
                <w:color w:val="auto"/>
              </w:rPr>
              <w:tab/>
              <w:t>Incremental cost per management change.</w:t>
            </w:r>
          </w:p>
          <w:p w14:paraId="6F9242D7" w14:textId="535A24EC" w:rsidR="00E01349" w:rsidRPr="00D52956" w:rsidRDefault="00016B55" w:rsidP="009D43EE">
            <w:pPr>
              <w:pStyle w:val="Instructionaltext"/>
              <w:spacing w:before="0" w:after="0" w:line="240" w:lineRule="auto"/>
              <w:ind w:left="340"/>
            </w:pPr>
            <w:r w:rsidRPr="008B3FA8">
              <w:rPr>
                <w:color w:val="auto"/>
              </w:rPr>
              <w:t>•</w:t>
            </w:r>
            <w:r w:rsidRPr="008B3FA8">
              <w:rPr>
                <w:color w:val="auto"/>
              </w:rPr>
              <w:tab/>
              <w:t>Incremental cost per quality-adjusted life-year (QALY) gained.</w:t>
            </w:r>
          </w:p>
        </w:tc>
      </w:tr>
      <w:tr w:rsidR="00BB1698" w:rsidRPr="00490FBB" w14:paraId="4A55FFDB" w14:textId="77777777" w:rsidTr="006478E7">
        <w:tc>
          <w:tcPr>
            <w:tcW w:w="1005" w:type="pct"/>
            <w:tcBorders>
              <w:top w:val="single" w:sz="4" w:space="0" w:color="auto"/>
              <w:left w:val="single" w:sz="8" w:space="0" w:color="auto"/>
              <w:bottom w:val="single" w:sz="8" w:space="0" w:color="auto"/>
              <w:right w:val="single" w:sz="4" w:space="0" w:color="auto"/>
            </w:tcBorders>
          </w:tcPr>
          <w:p w14:paraId="003B36EC" w14:textId="77777777" w:rsidR="00BB1698" w:rsidRPr="00490FBB" w:rsidRDefault="00BB1698" w:rsidP="00E01349">
            <w:pPr>
              <w:spacing w:before="120" w:after="120" w:line="240" w:lineRule="auto"/>
              <w:rPr>
                <w:rFonts w:cs="Arial"/>
              </w:rPr>
            </w:pPr>
            <w:r w:rsidRPr="00490FBB">
              <w:rPr>
                <w:rFonts w:cs="Arial"/>
              </w:rPr>
              <w:lastRenderedPageBreak/>
              <w:t>Assessment questions</w:t>
            </w:r>
          </w:p>
        </w:tc>
        <w:tc>
          <w:tcPr>
            <w:tcW w:w="3995" w:type="pct"/>
            <w:tcBorders>
              <w:top w:val="single" w:sz="4" w:space="0" w:color="auto"/>
              <w:left w:val="single" w:sz="4" w:space="0" w:color="auto"/>
              <w:bottom w:val="single" w:sz="4" w:space="0" w:color="auto"/>
              <w:right w:val="single" w:sz="4" w:space="0" w:color="auto"/>
            </w:tcBorders>
          </w:tcPr>
          <w:p w14:paraId="7AB69A9A" w14:textId="4A62F973" w:rsidR="00BB1698" w:rsidRPr="00FD4C65" w:rsidRDefault="00BB1698" w:rsidP="00E01349">
            <w:pPr>
              <w:spacing w:before="120" w:after="120" w:line="240" w:lineRule="auto"/>
              <w:rPr>
                <w:color w:val="000000" w:themeColor="text1"/>
              </w:rPr>
            </w:pPr>
            <w:r w:rsidRPr="00FD4C65">
              <w:rPr>
                <w:color w:val="000000" w:themeColor="text1"/>
              </w:rPr>
              <w:t>What</w:t>
            </w:r>
            <w:r w:rsidRPr="00490FBB">
              <w:rPr>
                <w:color w:val="000000" w:themeColor="text1"/>
              </w:rPr>
              <w:t xml:space="preserve"> is the safety, effectiveness</w:t>
            </w:r>
            <w:r w:rsidR="006154C9">
              <w:rPr>
                <w:color w:val="000000" w:themeColor="text1"/>
              </w:rPr>
              <w:t>,</w:t>
            </w:r>
            <w:r w:rsidRPr="00490FBB">
              <w:rPr>
                <w:color w:val="000000" w:themeColor="text1"/>
              </w:rPr>
              <w:t xml:space="preserve"> cost-effectiveness</w:t>
            </w:r>
            <w:r w:rsidR="006154C9">
              <w:rPr>
                <w:color w:val="000000" w:themeColor="text1"/>
              </w:rPr>
              <w:t xml:space="preserve"> and financial impact</w:t>
            </w:r>
            <w:r w:rsidRPr="00490FBB">
              <w:rPr>
                <w:color w:val="000000" w:themeColor="text1"/>
              </w:rPr>
              <w:t xml:space="preserve"> of </w:t>
            </w:r>
            <w:r w:rsidR="00033742">
              <w:rPr>
                <w:color w:val="000000" w:themeColor="text1"/>
              </w:rPr>
              <w:t xml:space="preserve">serial </w:t>
            </w:r>
            <w:proofErr w:type="spellStart"/>
            <w:r w:rsidR="00033742">
              <w:rPr>
                <w:color w:val="000000" w:themeColor="text1"/>
              </w:rPr>
              <w:t>CgA</w:t>
            </w:r>
            <w:proofErr w:type="spellEnd"/>
            <w:r w:rsidR="00033742">
              <w:rPr>
                <w:color w:val="000000" w:themeColor="text1"/>
              </w:rPr>
              <w:t xml:space="preserve"> test</w:t>
            </w:r>
            <w:r w:rsidR="00DC3C12">
              <w:rPr>
                <w:color w:val="000000" w:themeColor="text1"/>
              </w:rPr>
              <w:t>ing for monitoring</w:t>
            </w:r>
            <w:r w:rsidRPr="00490FBB">
              <w:rPr>
                <w:color w:val="000000" w:themeColor="text1"/>
              </w:rPr>
              <w:t xml:space="preserve"> </w:t>
            </w:r>
            <w:r w:rsidR="00BA1A47">
              <w:rPr>
                <w:color w:val="000000" w:themeColor="text1"/>
              </w:rPr>
              <w:t xml:space="preserve">of progression/relapse </w:t>
            </w:r>
            <w:r w:rsidRPr="00490FBB">
              <w:rPr>
                <w:color w:val="000000" w:themeColor="text1"/>
              </w:rPr>
              <w:t xml:space="preserve">versus </w:t>
            </w:r>
            <w:r w:rsidR="00BA1A47">
              <w:rPr>
                <w:color w:val="000000" w:themeColor="text1"/>
              </w:rPr>
              <w:t>standard practice</w:t>
            </w:r>
            <w:r w:rsidRPr="00490FBB">
              <w:rPr>
                <w:color w:val="000000" w:themeColor="text1"/>
              </w:rPr>
              <w:t xml:space="preserve"> in </w:t>
            </w:r>
            <w:r w:rsidR="0097039D">
              <w:t>patients</w:t>
            </w:r>
            <w:r w:rsidR="00BA1A47" w:rsidRPr="00007151">
              <w:t xml:space="preserve"> with a well differentiated </w:t>
            </w:r>
            <w:r w:rsidR="00BA1A47">
              <w:t xml:space="preserve">NEN </w:t>
            </w:r>
            <w:r w:rsidR="00BA1A47" w:rsidRPr="00556229">
              <w:t>who have advanced</w:t>
            </w:r>
            <w:r w:rsidR="00BA1A47">
              <w:t xml:space="preserve"> and</w:t>
            </w:r>
            <w:r w:rsidR="00BA1A47" w:rsidRPr="00556229">
              <w:t>/</w:t>
            </w:r>
            <w:r w:rsidR="00BA1A47">
              <w:t>or m</w:t>
            </w:r>
            <w:r w:rsidR="00BA1A47" w:rsidRPr="00556229">
              <w:t>etastatic disease</w:t>
            </w:r>
            <w:r w:rsidRPr="00FD4C65">
              <w:rPr>
                <w:color w:val="000000" w:themeColor="text1"/>
              </w:rPr>
              <w:t>?</w:t>
            </w:r>
          </w:p>
        </w:tc>
      </w:tr>
    </w:tbl>
    <w:p w14:paraId="5D5376EF" w14:textId="77777777" w:rsidR="006478E7" w:rsidRPr="00490FBB" w:rsidRDefault="006478E7" w:rsidP="00E01349">
      <w:r w:rsidRPr="00490FBB">
        <w:br w:type="page"/>
      </w:r>
    </w:p>
    <w:p w14:paraId="53297713" w14:textId="7467FACA" w:rsidR="00912660" w:rsidRDefault="00912660" w:rsidP="00713728">
      <w:pPr>
        <w:pStyle w:val="Heading2"/>
      </w:pPr>
      <w:r>
        <w:lastRenderedPageBreak/>
        <w:t>Purpose of application</w:t>
      </w:r>
    </w:p>
    <w:p w14:paraId="0E65AD1B" w14:textId="171D5861" w:rsidR="004C2C5E" w:rsidRPr="009A3778" w:rsidRDefault="004C2C5E" w:rsidP="004C2C5E">
      <w:pPr>
        <w:spacing w:after="240"/>
        <w:rPr>
          <w:iCs/>
        </w:rPr>
      </w:pPr>
      <w:r w:rsidRPr="009A3778">
        <w:rPr>
          <w:iCs/>
        </w:rPr>
        <w:t xml:space="preserve">An application requesting </w:t>
      </w:r>
      <w:r w:rsidRPr="00FE41E3">
        <w:rPr>
          <w:iCs/>
        </w:rPr>
        <w:t xml:space="preserve">Medicare Benefits Schedule (MBS) listing </w:t>
      </w:r>
      <w:r w:rsidRPr="009A3778">
        <w:rPr>
          <w:iCs/>
        </w:rPr>
        <w:t xml:space="preserve">of </w:t>
      </w:r>
      <w:r w:rsidR="00FE41E3" w:rsidRPr="00C33B6F">
        <w:rPr>
          <w:iCs/>
        </w:rPr>
        <w:t>Chromogranin A (</w:t>
      </w:r>
      <w:proofErr w:type="spellStart"/>
      <w:r w:rsidR="00FE41E3" w:rsidRPr="00C33B6F">
        <w:rPr>
          <w:iCs/>
        </w:rPr>
        <w:t>CgA</w:t>
      </w:r>
      <w:proofErr w:type="spellEnd"/>
      <w:r w:rsidR="00FE41E3" w:rsidRPr="00C33B6F">
        <w:rPr>
          <w:iCs/>
        </w:rPr>
        <w:t>) testing for monitoring of patients with well differentiated</w:t>
      </w:r>
      <w:r w:rsidR="006F231A" w:rsidRPr="006F231A">
        <w:rPr>
          <w:sz w:val="24"/>
          <w:szCs w:val="24"/>
        </w:rPr>
        <w:t xml:space="preserve"> </w:t>
      </w:r>
      <w:r w:rsidR="006F231A" w:rsidRPr="00B07D56">
        <w:rPr>
          <w:sz w:val="24"/>
          <w:szCs w:val="24"/>
        </w:rPr>
        <w:t>advanced</w:t>
      </w:r>
      <w:r w:rsidR="00844154">
        <w:rPr>
          <w:sz w:val="24"/>
          <w:szCs w:val="24"/>
        </w:rPr>
        <w:t xml:space="preserve"> and</w:t>
      </w:r>
      <w:r w:rsidR="006F231A" w:rsidRPr="00B07D56">
        <w:rPr>
          <w:sz w:val="24"/>
          <w:szCs w:val="24"/>
        </w:rPr>
        <w:t>/</w:t>
      </w:r>
      <w:r w:rsidR="00844154">
        <w:rPr>
          <w:sz w:val="24"/>
          <w:szCs w:val="24"/>
        </w:rPr>
        <w:t xml:space="preserve">or </w:t>
      </w:r>
      <w:r w:rsidR="006F231A" w:rsidRPr="00B07D56">
        <w:rPr>
          <w:sz w:val="24"/>
          <w:szCs w:val="24"/>
        </w:rPr>
        <w:t>metastatic</w:t>
      </w:r>
      <w:r w:rsidR="00FE41E3" w:rsidRPr="00C33B6F">
        <w:rPr>
          <w:iCs/>
        </w:rPr>
        <w:t xml:space="preserve"> neuroendocrine neoplasms (NENs)</w:t>
      </w:r>
      <w:r w:rsidR="00FE41E3">
        <w:rPr>
          <w:iCs/>
        </w:rPr>
        <w:t xml:space="preserve"> </w:t>
      </w:r>
      <w:r w:rsidRPr="009A3778">
        <w:rPr>
          <w:iCs/>
        </w:rPr>
        <w:t>was received from</w:t>
      </w:r>
      <w:r w:rsidR="009B080A">
        <w:rPr>
          <w:iCs/>
        </w:rPr>
        <w:t xml:space="preserve"> </w:t>
      </w:r>
      <w:r w:rsidR="009B080A" w:rsidRPr="009B080A">
        <w:rPr>
          <w:iCs/>
        </w:rPr>
        <w:t xml:space="preserve">The Royal College </w:t>
      </w:r>
      <w:r w:rsidR="009B080A">
        <w:rPr>
          <w:iCs/>
        </w:rPr>
        <w:t>o</w:t>
      </w:r>
      <w:r w:rsidR="009B080A" w:rsidRPr="009B080A">
        <w:rPr>
          <w:iCs/>
        </w:rPr>
        <w:t xml:space="preserve">f Pathologists </w:t>
      </w:r>
      <w:r w:rsidR="009B080A">
        <w:rPr>
          <w:iCs/>
        </w:rPr>
        <w:t>o</w:t>
      </w:r>
      <w:r w:rsidR="009B080A" w:rsidRPr="009B080A">
        <w:rPr>
          <w:iCs/>
        </w:rPr>
        <w:t>f Australasia</w:t>
      </w:r>
      <w:r w:rsidRPr="009A3778">
        <w:rPr>
          <w:iCs/>
        </w:rPr>
        <w:t xml:space="preserve"> by the </w:t>
      </w:r>
      <w:r w:rsidR="00015CD5" w:rsidRPr="009B080A">
        <w:rPr>
          <w:iCs/>
        </w:rPr>
        <w:t>Department of Health</w:t>
      </w:r>
      <w:r w:rsidR="009B080A" w:rsidRPr="009B080A">
        <w:rPr>
          <w:iCs/>
        </w:rPr>
        <w:t>, Disability and Ageing</w:t>
      </w:r>
      <w:r w:rsidRPr="009A3778">
        <w:rPr>
          <w:iCs/>
        </w:rPr>
        <w:t>.</w:t>
      </w:r>
    </w:p>
    <w:p w14:paraId="18E66948" w14:textId="77777777" w:rsidR="00D73332" w:rsidRPr="00FD4C65" w:rsidRDefault="00D73332" w:rsidP="00FD4C65">
      <w:pPr>
        <w:pStyle w:val="Heading2"/>
      </w:pPr>
      <w:r w:rsidRPr="00FD4C65">
        <w:t xml:space="preserve">PICO </w:t>
      </w:r>
      <w:r w:rsidR="00FD4E33" w:rsidRPr="00FD4C65">
        <w:t xml:space="preserve">criteria </w:t>
      </w:r>
    </w:p>
    <w:p w14:paraId="06B30611" w14:textId="77777777" w:rsidR="007D6B83" w:rsidRPr="00713728" w:rsidRDefault="007D6B83" w:rsidP="007D6B83">
      <w:pPr>
        <w:pStyle w:val="Heading3"/>
      </w:pPr>
      <w:r w:rsidRPr="00713728">
        <w:t>Population</w:t>
      </w:r>
    </w:p>
    <w:p w14:paraId="2EE3C2F1" w14:textId="16562661" w:rsidR="00A80F57" w:rsidRDefault="00AE78B2" w:rsidP="002263B5">
      <w:r>
        <w:t xml:space="preserve">The </w:t>
      </w:r>
      <w:r w:rsidR="00F64B17">
        <w:t xml:space="preserve">applicant </w:t>
      </w:r>
      <w:r>
        <w:t xml:space="preserve">proposed population is patients with </w:t>
      </w:r>
      <w:r w:rsidRPr="00C33B6F">
        <w:rPr>
          <w:iCs/>
        </w:rPr>
        <w:t>well differentiated</w:t>
      </w:r>
      <w:r w:rsidR="008027CD">
        <w:rPr>
          <w:iCs/>
        </w:rPr>
        <w:t>,</w:t>
      </w:r>
      <w:r w:rsidR="00124562">
        <w:rPr>
          <w:iCs/>
        </w:rPr>
        <w:t xml:space="preserve"> locally</w:t>
      </w:r>
      <w:r w:rsidRPr="006F231A">
        <w:rPr>
          <w:sz w:val="24"/>
          <w:szCs w:val="24"/>
        </w:rPr>
        <w:t xml:space="preserve"> </w:t>
      </w:r>
      <w:r w:rsidRPr="00B07D56">
        <w:rPr>
          <w:sz w:val="24"/>
          <w:szCs w:val="24"/>
        </w:rPr>
        <w:t>advanced</w:t>
      </w:r>
      <w:r>
        <w:rPr>
          <w:sz w:val="24"/>
          <w:szCs w:val="24"/>
        </w:rPr>
        <w:t xml:space="preserve"> (stage</w:t>
      </w:r>
      <w:r w:rsidR="00FB3D21">
        <w:rPr>
          <w:sz w:val="24"/>
          <w:szCs w:val="24"/>
        </w:rPr>
        <w:t xml:space="preserve"> </w:t>
      </w:r>
      <w:r w:rsidR="00A80F57">
        <w:rPr>
          <w:sz w:val="24"/>
          <w:szCs w:val="24"/>
        </w:rPr>
        <w:t>3) and</w:t>
      </w:r>
      <w:r w:rsidRPr="00B07D56">
        <w:rPr>
          <w:sz w:val="24"/>
          <w:szCs w:val="24"/>
        </w:rPr>
        <w:t>/</w:t>
      </w:r>
      <w:r w:rsidR="00A80F57">
        <w:rPr>
          <w:sz w:val="24"/>
          <w:szCs w:val="24"/>
        </w:rPr>
        <w:t xml:space="preserve">or </w:t>
      </w:r>
      <w:r w:rsidRPr="00B07D56">
        <w:rPr>
          <w:sz w:val="24"/>
          <w:szCs w:val="24"/>
        </w:rPr>
        <w:t>metastatic</w:t>
      </w:r>
      <w:r w:rsidRPr="00C33B6F">
        <w:rPr>
          <w:iCs/>
        </w:rPr>
        <w:t xml:space="preserve"> </w:t>
      </w:r>
      <w:r w:rsidR="00A80F57">
        <w:rPr>
          <w:iCs/>
        </w:rPr>
        <w:t>(stage 4) NEN</w:t>
      </w:r>
      <w:r w:rsidR="00FE1400">
        <w:rPr>
          <w:iCs/>
        </w:rPr>
        <w:t xml:space="preserve"> </w:t>
      </w:r>
      <w:r w:rsidR="170683B6">
        <w:t xml:space="preserve">who </w:t>
      </w:r>
      <w:r w:rsidR="00FE1400">
        <w:t>are</w:t>
      </w:r>
      <w:r w:rsidR="00FE1400" w:rsidRPr="00FE1400">
        <w:rPr>
          <w:iCs/>
        </w:rPr>
        <w:t xml:space="preserve"> undergoing ongoing surveillance during treatment or follow-up, where there is a clinical need to monitor for disease progression or recurrence</w:t>
      </w:r>
      <w:r w:rsidR="00A80F57">
        <w:rPr>
          <w:iCs/>
        </w:rPr>
        <w:t>.</w:t>
      </w:r>
      <w:r w:rsidRPr="00C33B6F">
        <w:rPr>
          <w:iCs/>
        </w:rPr>
        <w:t xml:space="preserve"> </w:t>
      </w:r>
      <w:r w:rsidR="003076A9">
        <w:t>The</w:t>
      </w:r>
      <w:r w:rsidR="008A362F" w:rsidRPr="008A362F">
        <w:t xml:space="preserve"> Clinical Oncology Society of Australia</w:t>
      </w:r>
      <w:r w:rsidR="00DD254B" w:rsidRPr="00DD254B">
        <w:t xml:space="preserve"> </w:t>
      </w:r>
      <w:r w:rsidR="008A362F">
        <w:t>(</w:t>
      </w:r>
      <w:r w:rsidR="00DD254B" w:rsidRPr="00DD254B">
        <w:t>COSA</w:t>
      </w:r>
      <w:r w:rsidR="008A362F">
        <w:t>)</w:t>
      </w:r>
      <w:r w:rsidR="00DD254B" w:rsidRPr="00DD254B">
        <w:t xml:space="preserve"> Neuroendocrine Neoplasms (NENs) </w:t>
      </w:r>
      <w:r w:rsidR="00965CAB">
        <w:t xml:space="preserve">Consensus </w:t>
      </w:r>
      <w:r w:rsidR="00DD254B" w:rsidRPr="00DD254B">
        <w:t>Guidelines</w:t>
      </w:r>
      <w:r w:rsidR="0032308B">
        <w:rPr>
          <w:rStyle w:val="FootnoteReference"/>
        </w:rPr>
        <w:footnoteReference w:id="2"/>
      </w:r>
      <w:r w:rsidR="00DD254B">
        <w:t xml:space="preserve"> </w:t>
      </w:r>
      <w:r w:rsidR="0032308B">
        <w:t xml:space="preserve">(consensus guidelines) </w:t>
      </w:r>
      <w:r w:rsidR="00DD254B">
        <w:t xml:space="preserve">recommends the use of </w:t>
      </w:r>
      <w:proofErr w:type="spellStart"/>
      <w:r w:rsidR="00DD254B">
        <w:t>CgA</w:t>
      </w:r>
      <w:proofErr w:type="spellEnd"/>
      <w:r w:rsidR="00DD254B">
        <w:t xml:space="preserve"> in</w:t>
      </w:r>
      <w:r w:rsidR="006E6382" w:rsidRPr="006E6382">
        <w:t xml:space="preserve"> </w:t>
      </w:r>
      <w:r w:rsidR="00A80F57">
        <w:t>a broader patient population:</w:t>
      </w:r>
    </w:p>
    <w:p w14:paraId="6043F36A" w14:textId="10741690" w:rsidR="00057D31" w:rsidRDefault="006E6382" w:rsidP="00A80F57">
      <w:pPr>
        <w:pStyle w:val="ListParagraph"/>
        <w:numPr>
          <w:ilvl w:val="0"/>
          <w:numId w:val="19"/>
        </w:numPr>
      </w:pPr>
      <w:r w:rsidRPr="006E6382">
        <w:t>patient</w:t>
      </w:r>
      <w:r w:rsidR="00AA32FF">
        <w:t>s</w:t>
      </w:r>
      <w:r w:rsidRPr="006E6382">
        <w:t xml:space="preserve"> who ha</w:t>
      </w:r>
      <w:r w:rsidR="00AA47E0">
        <w:t>ve</w:t>
      </w:r>
      <w:r w:rsidRPr="006E6382">
        <w:t xml:space="preserve"> metastatic disease treated, for the evaluation of response or progression</w:t>
      </w:r>
      <w:r w:rsidR="00AA47E0">
        <w:t>, and</w:t>
      </w:r>
      <w:r w:rsidR="00CD328D">
        <w:t xml:space="preserve"> </w:t>
      </w:r>
    </w:p>
    <w:p w14:paraId="6EE3A55B" w14:textId="1BBA7615" w:rsidR="00C810FC" w:rsidRDefault="007E6202" w:rsidP="00AA47E0">
      <w:pPr>
        <w:pStyle w:val="ListParagraph"/>
        <w:numPr>
          <w:ilvl w:val="0"/>
          <w:numId w:val="19"/>
        </w:numPr>
      </w:pPr>
      <w:r w:rsidRPr="007E6202">
        <w:t>patients with completely resected disease, for relapse</w:t>
      </w:r>
      <w:r w:rsidR="008D60AA">
        <w:t xml:space="preserve"> monitoring, but this is not requested in this application.</w:t>
      </w:r>
    </w:p>
    <w:p w14:paraId="32197B53" w14:textId="27203502" w:rsidR="003664D9" w:rsidRDefault="003664D9" w:rsidP="002263B5">
      <w:r>
        <w:t>Neuroendocrine neoplasms comprise a diverse group of cancers with widely variable clinical behaviour and outcomes. They include well- and moderately differentiated tumours</w:t>
      </w:r>
      <w:r w:rsidR="001C5109">
        <w:t>,</w:t>
      </w:r>
      <w:r>
        <w:t xml:space="preserve"> as well as poorly differentiated neuroendocrine carcinomas. </w:t>
      </w:r>
      <w:r w:rsidR="00922FFA" w:rsidRPr="00922FFA">
        <w:t>NE</w:t>
      </w:r>
      <w:r w:rsidR="00922FFA">
        <w:t>N</w:t>
      </w:r>
      <w:r w:rsidR="00922FFA" w:rsidRPr="00922FFA">
        <w:t xml:space="preserve">s are </w:t>
      </w:r>
      <w:r w:rsidR="006200EC">
        <w:t xml:space="preserve">generally </w:t>
      </w:r>
      <w:r w:rsidR="00922FFA" w:rsidRPr="00922FFA">
        <w:t>divided into 3 grades</w:t>
      </w:r>
      <w:r w:rsidR="00716D32">
        <w:t xml:space="preserve"> (</w:t>
      </w:r>
      <w:r w:rsidR="006200EC">
        <w:t>p</w:t>
      </w:r>
      <w:r w:rsidR="00716D32" w:rsidRPr="00716D32">
        <w:t>oorly differentiated NECs are not formally graded but are considered high-grade by definition</w:t>
      </w:r>
      <w:r w:rsidR="00716D32">
        <w:t>)</w:t>
      </w:r>
      <w:r w:rsidR="00922FFA" w:rsidRPr="00922FFA">
        <w:t>, based on mitotic rate and Ki-67 index</w:t>
      </w:r>
      <w:r w:rsidR="006200EC">
        <w:t xml:space="preserve"> but can vary depending on location of the </w:t>
      </w:r>
      <w:r w:rsidR="00D6535B">
        <w:t>tumours</w:t>
      </w:r>
      <w:r w:rsidR="00C046F8">
        <w:t xml:space="preserve"> (</w:t>
      </w:r>
      <w:r w:rsidR="00C046F8">
        <w:fldChar w:fldCharType="begin"/>
      </w:r>
      <w:r w:rsidR="00C046F8">
        <w:instrText xml:space="preserve"> REF _Ref235093827 \h </w:instrText>
      </w:r>
      <w:r w:rsidR="00C046F8">
        <w:fldChar w:fldCharType="separate"/>
      </w:r>
      <w:r w:rsidR="00C046F8">
        <w:t xml:space="preserve">Table </w:t>
      </w:r>
      <w:r w:rsidR="00C046F8">
        <w:rPr>
          <w:noProof/>
        </w:rPr>
        <w:t>2</w:t>
      </w:r>
      <w:r w:rsidR="00C046F8">
        <w:fldChar w:fldCharType="end"/>
      </w:r>
      <w:r w:rsidR="00C046F8">
        <w:t>)</w:t>
      </w:r>
      <w:r w:rsidR="00D6535B">
        <w:t xml:space="preserve"> </w:t>
      </w:r>
      <w:r w:rsidR="007D39C6">
        <w:fldChar w:fldCharType="begin">
          <w:fldData xml:space="preserve">PEVuZE5vdGU+PENpdGU+PEF1dGhvcj5SaW5kaTwvQXV0aG9yPjxZZWFyPjIwMjI8L1llYXI+PFJl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</w:fldData>
        </w:fldChar>
      </w:r>
      <w:r w:rsidR="007D39C6">
        <w:instrText xml:space="preserve"> ADDIN EN.CITE </w:instrText>
      </w:r>
      <w:r w:rsidR="007D39C6">
        <w:fldChar w:fldCharType="begin">
          <w:fldData xml:space="preserve">PEVuZE5vdGU+PENpdGU+PEF1dGhvcj5SaW5kaTwvQXV0aG9yPjxZZWFyPjIwMjI8L1llYXI+PFJl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</w:fldData>
        </w:fldChar>
      </w:r>
      <w:r w:rsidR="007D39C6">
        <w:instrText xml:space="preserve"> ADDIN EN.CITE.DATA </w:instrText>
      </w:r>
      <w:r w:rsidR="007D39C6">
        <w:fldChar w:fldCharType="end"/>
      </w:r>
      <w:r w:rsidR="007D39C6">
        <w:fldChar w:fldCharType="separate"/>
      </w:r>
      <w:r w:rsidR="007D39C6">
        <w:rPr>
          <w:noProof/>
        </w:rPr>
        <w:t>(Rindi, Mete et al. 2022)</w:t>
      </w:r>
      <w:r w:rsidR="007D39C6">
        <w:fldChar w:fldCharType="end"/>
      </w:r>
      <w:r w:rsidR="00922FFA" w:rsidRPr="00922FFA">
        <w:t xml:space="preserve">. </w:t>
      </w:r>
      <w:r>
        <w:t xml:space="preserve">These tumours most frequently originate in the </w:t>
      </w:r>
      <w:proofErr w:type="spellStart"/>
      <w:r>
        <w:t>gastroenteropancreatic</w:t>
      </w:r>
      <w:proofErr w:type="spellEnd"/>
      <w:r>
        <w:t xml:space="preserve"> system</w:t>
      </w:r>
      <w:r w:rsidR="00312B70">
        <w:t xml:space="preserve">; </w:t>
      </w:r>
      <w:r>
        <w:t>particularly the small intestine, rectum, and pancreas</w:t>
      </w:r>
      <w:r w:rsidR="00312B70">
        <w:t xml:space="preserve">, </w:t>
      </w:r>
      <w:r>
        <w:t>as well as the lungs</w:t>
      </w:r>
      <w:r w:rsidR="00577C7D">
        <w:t xml:space="preserve"> </w:t>
      </w:r>
      <w:r w:rsidR="00CB708E">
        <w:fldChar w:fldCharType="begin">
          <w:fldData xml:space="preserve">PEVuZE5vdGU+PENpdGU+PEF1dGhvcj5LbGltc3RyYTwvQXV0aG9yPjxZZWFyPjIwMTA8L1llYXI+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</w:fldData>
        </w:fldChar>
      </w:r>
      <w:r w:rsidR="007D39C6">
        <w:instrText xml:space="preserve"> ADDIN EN.CITE </w:instrText>
      </w:r>
      <w:r w:rsidR="007D39C6">
        <w:fldChar w:fldCharType="begin">
          <w:fldData xml:space="preserve">PEVuZE5vdGU+PENpdGU+PEF1dGhvcj5LbGltc3RyYTwvQXV0aG9yPjxZZWFyPjIwMTA8L1llYXI+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</w:fldData>
        </w:fldChar>
      </w:r>
      <w:r w:rsidR="007D39C6">
        <w:instrText xml:space="preserve"> ADDIN EN.CITE.DATA </w:instrText>
      </w:r>
      <w:r w:rsidR="007D39C6">
        <w:fldChar w:fldCharType="end"/>
      </w:r>
      <w:r w:rsidR="00CB708E">
        <w:fldChar w:fldCharType="separate"/>
      </w:r>
      <w:r w:rsidR="007D39C6">
        <w:rPr>
          <w:noProof/>
        </w:rPr>
        <w:t>(Klimstra, Modlin et al. 2010, Maxwell, Yao et al. 2022)</w:t>
      </w:r>
      <w:r w:rsidR="00CB708E">
        <w:fldChar w:fldCharType="end"/>
      </w:r>
      <w:r>
        <w:t>. Clinically, they may be classified as functional (hormone-secreting) or non-functional</w:t>
      </w:r>
      <w:r w:rsidR="007F72D1">
        <w:t xml:space="preserve"> </w:t>
      </w:r>
      <w:r w:rsidR="007F72D1">
        <w:fldChar w:fldCharType="begin"/>
      </w:r>
      <w:r w:rsidR="007D39C6">
        <w:instrText xml:space="preserve"> ADDIN EN.CITE &lt;EndNote&gt;&lt;Cite&gt;&lt;Author&gt;Maxwell&lt;/Author&gt;&lt;Year&gt;2022&lt;/Year&gt;&lt;RecNum&gt;3&lt;/RecNum&gt;&lt;DisplayText&gt;(Maxwell, Yao et al. 2022)&lt;/DisplayText&gt;&lt;record&gt;&lt;rec-number&gt;3&lt;/rec-number&gt;&lt;foreign-keys&gt;&lt;key app="EN" db-id="et0tvv0vcezr9neew2av9ppvfs25wf5sd0pd" timestamp="1781494304"&gt;3&lt;/key&gt;&lt;/foreign-keys&gt;&lt;ref-type name="Book Section"&gt;5&lt;/ref-type&gt;&lt;contributors&gt;&lt;authors&gt;&lt;author&gt;Maxwell, Jessica E.&lt;/author&gt;&lt;author&gt;Yao, James C.&lt;/author&gt;&lt;author&gt;Halperin, Daniel M.&lt;/author&gt;&lt;/authors&gt;&lt;secondary-authors&gt;&lt;author&gt;Kantarjian, Hagop M.&lt;/author&gt;&lt;author&gt;Wolff, Robert A.&lt;/author&gt;&lt;author&gt;Rieber, Alyssa G.&lt;/author&gt;&lt;/secondary-authors&gt;&lt;/contributors&gt;&lt;titles&gt;&lt;title&gt;Neuroendocrine Tumors&lt;/title&gt;&lt;secondary-title&gt;The MD Anderson Manual of Medical Oncology, 4e&lt;/secondary-title&gt;&lt;/titles&gt;&lt;num-vols&gt;Book, Section&lt;/num-vols&gt;&lt;dates&gt;&lt;year&gt;2022&lt;/year&gt;&lt;/dates&gt;&lt;pub-location&gt;New York, NY&lt;/pub-location&gt;&lt;publisher&gt;McGraw Hill Education&lt;/publisher&gt;&lt;urls&gt;&lt;related-urls&gt;&lt;url&gt;hemonc.mhmedical.com/content.aspx?aid=1190836105&lt;/url&gt;&lt;/related-urls&gt;&lt;/urls&gt;&lt;access-date&gt;2026/06/14&lt;/access-date&gt;&lt;/record&gt;&lt;/Cite&gt;&lt;/EndNote&gt;</w:instrText>
      </w:r>
      <w:r w:rsidR="007F72D1">
        <w:fldChar w:fldCharType="separate"/>
      </w:r>
      <w:r w:rsidR="007D39C6">
        <w:rPr>
          <w:noProof/>
        </w:rPr>
        <w:t>(Maxwell, Yao et al. 2022)</w:t>
      </w:r>
      <w:r w:rsidR="007F72D1">
        <w:fldChar w:fldCharType="end"/>
      </w:r>
      <w:r>
        <w:t>.</w:t>
      </w:r>
    </w:p>
    <w:p w14:paraId="66A5DF97" w14:textId="56D2084E" w:rsidR="00C046F8" w:rsidRDefault="00C046F8" w:rsidP="00301EC5">
      <w:pPr>
        <w:pStyle w:val="Caption"/>
      </w:pPr>
      <w:bookmarkStart w:id="3" w:name="_Ref235093827"/>
      <w:r>
        <w:t xml:space="preserve">Table </w:t>
      </w:r>
      <w:r>
        <w:fldChar w:fldCharType="begin"/>
      </w:r>
      <w:r>
        <w:instrText xml:space="preserve"> SEQ Table \* ARABIC </w:instrText>
      </w:r>
      <w:r>
        <w:fldChar w:fldCharType="separate"/>
      </w:r>
      <w:r>
        <w:rPr>
          <w:noProof/>
        </w:rPr>
        <w:t>2</w:t>
      </w:r>
      <w:r>
        <w:fldChar w:fldCharType="end"/>
      </w:r>
      <w:bookmarkEnd w:id="3"/>
      <w:r>
        <w:t xml:space="preserve"> </w:t>
      </w:r>
      <w:r w:rsidRPr="00985546">
        <w:t>The World Health Organization (WHO) 2022 Epithelial Neuroendocrine Neoplasms Classification for Different Anatomic Sites</w:t>
      </w:r>
      <w:r>
        <w:t xml:space="preserve"> </w:t>
      </w:r>
      <w:r w:rsidR="007D39C6">
        <w:fldChar w:fldCharType="begin">
          <w:fldData xml:space="preserve">PEVuZE5vdGU+PENpdGU+PEF1dGhvcj5SaW5kaTwvQXV0aG9yPjxZZWFyPjIwMjI8L1llYXI+PFJl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</w:fldData>
        </w:fldChar>
      </w:r>
      <w:r w:rsidR="007D39C6">
        <w:instrText xml:space="preserve"> ADDIN EN.CITE </w:instrText>
      </w:r>
      <w:r w:rsidR="007D39C6">
        <w:fldChar w:fldCharType="begin">
          <w:fldData xml:space="preserve">PEVuZE5vdGU+PENpdGU+PEF1dGhvcj5SaW5kaTwvQXV0aG9yPjxZZWFyPjIwMjI8L1llYXI+PFJl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</w:fldData>
        </w:fldChar>
      </w:r>
      <w:r w:rsidR="007D39C6">
        <w:instrText xml:space="preserve"> ADDIN EN.CITE.DATA </w:instrText>
      </w:r>
      <w:r w:rsidR="007D39C6">
        <w:fldChar w:fldCharType="end"/>
      </w:r>
      <w:r w:rsidR="007D39C6">
        <w:fldChar w:fldCharType="separate"/>
      </w:r>
      <w:r w:rsidR="007D39C6">
        <w:rPr>
          <w:noProof/>
        </w:rPr>
        <w:t>(Rindi, Mete et al. 2022)</w:t>
      </w:r>
      <w:r w:rsidR="007D39C6">
        <w:fldChar w:fldCharType="end"/>
      </w:r>
      <w:r w:rsidR="00982716">
        <w:t>.</w:t>
      </w:r>
    </w:p>
    <w:tbl>
      <w:tblPr>
        <w:tblW w:w="5000" w:type="pct"/>
        <w:tblBorders>
          <w:top w:val="single" w:sz="12" w:space="0" w:color="D5D5D5"/>
          <w:left w:val="single" w:sz="12" w:space="0" w:color="D5D5D5"/>
          <w:bottom w:val="single" w:sz="12" w:space="0" w:color="D5D5D5"/>
          <w:right w:val="single" w:sz="12" w:space="0" w:color="D5D5D5"/>
        </w:tblBorders>
        <w:shd w:val="clear" w:color="auto" w:fill="FFFFFF"/>
        <w:tblCellMar>
          <w:top w:w="15" w:type="dxa"/>
          <w:left w:w="15" w:type="dxa"/>
          <w:bottom w:w="15" w:type="dxa"/>
          <w:right w:w="15" w:type="dxa"/>
        </w:tblCellMar>
        <w:tblLook w:val="04A0" w:firstRow="1" w:lastRow="0" w:firstColumn="1" w:lastColumn="0" w:noHBand="0" w:noVBand="1"/>
      </w:tblPr>
      <w:tblGrid>
        <w:gridCol w:w="2182"/>
        <w:gridCol w:w="2997"/>
        <w:gridCol w:w="4379"/>
      </w:tblGrid>
      <w:tr w:rsidR="00BC2D94" w:rsidRPr="00BC2D94" w14:paraId="40003A3B" w14:textId="77777777" w:rsidTr="00BE068B">
        <w:trPr>
          <w:cantSplit/>
          <w:tblHeader/>
        </w:trPr>
        <w:tc>
          <w:tcPr>
            <w:tcW w:w="1141" w:type="pct"/>
            <w:tcBorders>
              <w:bottom w:val="single" w:sz="18" w:space="0" w:color="01324B"/>
              <w:right w:val="single" w:sz="6" w:space="0" w:color="D5D5D5"/>
            </w:tcBorders>
            <w:shd w:val="clear" w:color="auto" w:fill="FFFFFF"/>
            <w:tcMar>
              <w:top w:w="90" w:type="dxa"/>
              <w:left w:w="90" w:type="dxa"/>
              <w:bottom w:w="90" w:type="dxa"/>
              <w:right w:w="90" w:type="dxa"/>
            </w:tcMar>
            <w:hideMark/>
          </w:tcPr>
          <w:p w14:paraId="3039C416" w14:textId="3299E7D9" w:rsidR="00BC2D94" w:rsidRPr="00BC2D94" w:rsidRDefault="004B56CA" w:rsidP="00301EC5">
            <w:pPr>
              <w:pStyle w:val="TableText0"/>
            </w:pPr>
            <w:r>
              <w:t>Ne</w:t>
            </w:r>
            <w:r w:rsidR="00BC2D94" w:rsidRPr="00BC2D94">
              <w:t>uroendocrine neoplasm</w:t>
            </w:r>
          </w:p>
        </w:tc>
        <w:tc>
          <w:tcPr>
            <w:tcW w:w="1568" w:type="pct"/>
            <w:tcBorders>
              <w:bottom w:val="single" w:sz="18" w:space="0" w:color="01324B"/>
              <w:right w:val="single" w:sz="6" w:space="0" w:color="D5D5D5"/>
            </w:tcBorders>
            <w:shd w:val="clear" w:color="auto" w:fill="FFFFFF"/>
            <w:tcMar>
              <w:top w:w="90" w:type="dxa"/>
              <w:left w:w="90" w:type="dxa"/>
              <w:bottom w:w="90" w:type="dxa"/>
              <w:right w:w="90" w:type="dxa"/>
            </w:tcMar>
            <w:hideMark/>
          </w:tcPr>
          <w:p w14:paraId="33244C0C" w14:textId="77777777" w:rsidR="00BC2D94" w:rsidRPr="00BC2D94" w:rsidRDefault="00BC2D94" w:rsidP="00301EC5">
            <w:pPr>
              <w:pStyle w:val="TableText0"/>
            </w:pPr>
            <w:r w:rsidRPr="00BC2D94">
              <w:t>Classification</w:t>
            </w:r>
          </w:p>
        </w:tc>
        <w:tc>
          <w:tcPr>
            <w:tcW w:w="2291" w:type="pct"/>
            <w:tcBorders>
              <w:bottom w:val="single" w:sz="18" w:space="0" w:color="01324B"/>
              <w:right w:val="single" w:sz="6" w:space="0" w:color="D5D5D5"/>
            </w:tcBorders>
            <w:shd w:val="clear" w:color="auto" w:fill="FFFFFF"/>
            <w:tcMar>
              <w:top w:w="90" w:type="dxa"/>
              <w:left w:w="90" w:type="dxa"/>
              <w:bottom w:w="90" w:type="dxa"/>
              <w:right w:w="90" w:type="dxa"/>
            </w:tcMar>
            <w:hideMark/>
          </w:tcPr>
          <w:p w14:paraId="128629DA" w14:textId="77777777" w:rsidR="00BC2D94" w:rsidRPr="00BC2D94" w:rsidRDefault="00BC2D94" w:rsidP="00301EC5">
            <w:pPr>
              <w:pStyle w:val="TableText0"/>
            </w:pPr>
            <w:r w:rsidRPr="00BC2D94">
              <w:t>Diagnostic criteria</w:t>
            </w:r>
          </w:p>
        </w:tc>
      </w:tr>
      <w:tr w:rsidR="00BC2D94" w:rsidRPr="00BC2D94" w14:paraId="5AAB8CB2" w14:textId="77777777" w:rsidTr="00BE068B">
        <w:trPr>
          <w:cantSplit/>
        </w:trPr>
        <w:tc>
          <w:tcPr>
            <w:tcW w:w="5000" w:type="pct"/>
            <w:gridSpan w:val="3"/>
            <w:tcBorders>
              <w:bottom w:val="single" w:sz="12" w:space="0" w:color="DADADA"/>
              <w:right w:val="single" w:sz="6" w:space="0" w:color="D5D5D5"/>
            </w:tcBorders>
            <w:shd w:val="clear" w:color="auto" w:fill="FFFFFF"/>
            <w:tcMar>
              <w:top w:w="90" w:type="dxa"/>
              <w:left w:w="90" w:type="dxa"/>
              <w:bottom w:w="90" w:type="dxa"/>
              <w:right w:w="90" w:type="dxa"/>
            </w:tcMar>
            <w:hideMark/>
          </w:tcPr>
          <w:p w14:paraId="63C6BF73" w14:textId="77777777" w:rsidR="00BC2D94" w:rsidRPr="00BC2D94" w:rsidRDefault="00BC2D94" w:rsidP="00301EC5">
            <w:pPr>
              <w:pStyle w:val="TableText0"/>
            </w:pPr>
            <w:r w:rsidRPr="00BC2D94">
              <w:t>Gastrointestinal and pancreatobiliary tract</w:t>
            </w:r>
          </w:p>
        </w:tc>
      </w:tr>
      <w:tr w:rsidR="00BC2D94" w:rsidRPr="00BC2D94" w14:paraId="46FAE795" w14:textId="77777777" w:rsidTr="00BE068B">
        <w:trPr>
          <w:cantSplit/>
        </w:trPr>
        <w:tc>
          <w:tcPr>
            <w:tcW w:w="1141" w:type="pct"/>
            <w:vMerge w:val="restart"/>
            <w:tcBorders>
              <w:bottom w:val="single" w:sz="12" w:space="0" w:color="DADADA"/>
              <w:right w:val="single" w:sz="6" w:space="0" w:color="D5D5D5"/>
            </w:tcBorders>
            <w:shd w:val="clear" w:color="auto" w:fill="FFFFFF"/>
            <w:tcMar>
              <w:top w:w="90" w:type="dxa"/>
              <w:left w:w="90" w:type="dxa"/>
              <w:bottom w:w="90" w:type="dxa"/>
              <w:right w:w="90" w:type="dxa"/>
            </w:tcMar>
            <w:hideMark/>
          </w:tcPr>
          <w:p w14:paraId="0241746A" w14:textId="2CDF5AE0" w:rsidR="00BC2D94" w:rsidRPr="00BC2D94" w:rsidRDefault="00BC2D94" w:rsidP="00301EC5">
            <w:pPr>
              <w:pStyle w:val="TableText0"/>
            </w:pPr>
            <w:r w:rsidRPr="00BC2D94">
              <w:t xml:space="preserve">Well-differentiated neuroendocrine </w:t>
            </w:r>
            <w:r w:rsidR="00D83710" w:rsidRPr="00BC2D94">
              <w:t>tumour</w:t>
            </w:r>
            <w:r w:rsidRPr="00BC2D94">
              <w:t xml:space="preserve"> </w:t>
            </w:r>
          </w:p>
        </w:tc>
        <w:tc>
          <w:tcPr>
            <w:tcW w:w="156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41BC1A1" w14:textId="77777777" w:rsidR="00BC2D94" w:rsidRPr="00BC2D94" w:rsidRDefault="00BC2D94" w:rsidP="00301EC5">
            <w:pPr>
              <w:pStyle w:val="TableText0"/>
            </w:pPr>
            <w:r w:rsidRPr="00BC2D94">
              <w:t>NET, grade 1</w:t>
            </w:r>
          </w:p>
        </w:tc>
        <w:tc>
          <w:tcPr>
            <w:tcW w:w="2291"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57DFFD07" w14:textId="77777777" w:rsidR="00BC2D94" w:rsidRPr="00BC2D94" w:rsidRDefault="00BC2D94" w:rsidP="00301EC5">
            <w:pPr>
              <w:pStyle w:val="TableText0"/>
            </w:pPr>
            <w:r w:rsidRPr="00BC2D94">
              <w:rPr>
                <w:rFonts w:ascii="Arial" w:hAnsi="Arial" w:cs="Arial"/>
              </w:rPr>
              <w:t> </w:t>
            </w:r>
            <w:r w:rsidRPr="00BC2D94">
              <w:t>&lt;</w:t>
            </w:r>
            <w:r w:rsidRPr="00BC2D94">
              <w:rPr>
                <w:rFonts w:ascii="Arial" w:hAnsi="Arial" w:cs="Arial"/>
              </w:rPr>
              <w:t> </w:t>
            </w:r>
            <w:r w:rsidRPr="00BC2D94">
              <w:t>2 mitoses/2 mm</w:t>
            </w:r>
            <w:r w:rsidRPr="00BC2D94">
              <w:rPr>
                <w:vertAlign w:val="superscript"/>
              </w:rPr>
              <w:t>2</w:t>
            </w:r>
            <w:r w:rsidRPr="00BC2D94">
              <w:t> and/or Ki67</w:t>
            </w:r>
            <w:r w:rsidRPr="00BC2D94">
              <w:rPr>
                <w:rFonts w:ascii="Arial" w:hAnsi="Arial" w:cs="Arial"/>
              </w:rPr>
              <w:t> </w:t>
            </w:r>
            <w:r w:rsidRPr="00BC2D94">
              <w:t>&lt;</w:t>
            </w:r>
            <w:r w:rsidRPr="00BC2D94">
              <w:rPr>
                <w:rFonts w:ascii="Arial" w:hAnsi="Arial" w:cs="Arial"/>
              </w:rPr>
              <w:t> </w:t>
            </w:r>
            <w:r w:rsidRPr="00BC2D94">
              <w:t>3%</w:t>
            </w:r>
          </w:p>
        </w:tc>
      </w:tr>
      <w:tr w:rsidR="00BC2D94" w:rsidRPr="00BC2D94" w14:paraId="26B7C7E5" w14:textId="77777777" w:rsidTr="00301EC5">
        <w:tc>
          <w:tcPr>
            <w:tcW w:w="1141" w:type="pct"/>
            <w:vMerge/>
            <w:tcBorders>
              <w:bottom w:val="single" w:sz="12" w:space="0" w:color="DADADA"/>
              <w:right w:val="single" w:sz="6" w:space="0" w:color="D5D5D5"/>
            </w:tcBorders>
            <w:shd w:val="clear" w:color="auto" w:fill="FFFFFF"/>
            <w:vAlign w:val="center"/>
            <w:hideMark/>
          </w:tcPr>
          <w:p w14:paraId="22932A81" w14:textId="77777777" w:rsidR="00BC2D94" w:rsidRPr="00BC2D94" w:rsidRDefault="00BC2D94" w:rsidP="00301EC5">
            <w:pPr>
              <w:pStyle w:val="TableText0"/>
            </w:pPr>
          </w:p>
        </w:tc>
        <w:tc>
          <w:tcPr>
            <w:tcW w:w="156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2D25582" w14:textId="77777777" w:rsidR="00BC2D94" w:rsidRPr="00BC2D94" w:rsidRDefault="00BC2D94" w:rsidP="00301EC5">
            <w:pPr>
              <w:pStyle w:val="TableText0"/>
            </w:pPr>
            <w:r w:rsidRPr="00BC2D94">
              <w:t>NET, grade 2</w:t>
            </w:r>
          </w:p>
        </w:tc>
        <w:tc>
          <w:tcPr>
            <w:tcW w:w="2291"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5A270A02" w14:textId="77777777" w:rsidR="00BC2D94" w:rsidRPr="00BC2D94" w:rsidRDefault="00BC2D94" w:rsidP="00301EC5">
            <w:pPr>
              <w:pStyle w:val="TableText0"/>
            </w:pPr>
            <w:r w:rsidRPr="00BC2D94">
              <w:t>2–20 mitoses/2 mm</w:t>
            </w:r>
            <w:r w:rsidRPr="00BC2D94">
              <w:rPr>
                <w:vertAlign w:val="superscript"/>
              </w:rPr>
              <w:t>2</w:t>
            </w:r>
            <w:r w:rsidRPr="00BC2D94">
              <w:t> and/or Ki67 3–20%</w:t>
            </w:r>
          </w:p>
        </w:tc>
      </w:tr>
      <w:tr w:rsidR="00BC2D94" w:rsidRPr="00BC2D94" w14:paraId="5990DFE0" w14:textId="77777777" w:rsidTr="00301EC5">
        <w:tc>
          <w:tcPr>
            <w:tcW w:w="1141" w:type="pct"/>
            <w:vMerge/>
            <w:tcBorders>
              <w:bottom w:val="single" w:sz="12" w:space="0" w:color="DADADA"/>
              <w:right w:val="single" w:sz="6" w:space="0" w:color="D5D5D5"/>
            </w:tcBorders>
            <w:shd w:val="clear" w:color="auto" w:fill="FFFFFF"/>
            <w:vAlign w:val="center"/>
            <w:hideMark/>
          </w:tcPr>
          <w:p w14:paraId="737C6C83" w14:textId="77777777" w:rsidR="00BC2D94" w:rsidRPr="00BC2D94" w:rsidRDefault="00BC2D94" w:rsidP="00301EC5">
            <w:pPr>
              <w:pStyle w:val="TableText0"/>
            </w:pPr>
          </w:p>
        </w:tc>
        <w:tc>
          <w:tcPr>
            <w:tcW w:w="156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75BD302" w14:textId="77777777" w:rsidR="00BC2D94" w:rsidRPr="00BC2D94" w:rsidRDefault="00BC2D94" w:rsidP="00301EC5">
            <w:pPr>
              <w:pStyle w:val="TableText0"/>
            </w:pPr>
            <w:r w:rsidRPr="00BC2D94">
              <w:t>NET, grade 3</w:t>
            </w:r>
          </w:p>
        </w:tc>
        <w:tc>
          <w:tcPr>
            <w:tcW w:w="2291"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8BA991D" w14:textId="77777777" w:rsidR="00BC2D94" w:rsidRPr="00BC2D94" w:rsidRDefault="00BC2D94" w:rsidP="00301EC5">
            <w:pPr>
              <w:pStyle w:val="TableText0"/>
            </w:pPr>
            <w:r w:rsidRPr="00BC2D94">
              <w:rPr>
                <w:rFonts w:ascii="Arial" w:hAnsi="Arial" w:cs="Arial"/>
              </w:rPr>
              <w:t> </w:t>
            </w:r>
            <w:r w:rsidRPr="00BC2D94">
              <w:t>&gt;</w:t>
            </w:r>
            <w:r w:rsidRPr="00BC2D94">
              <w:rPr>
                <w:rFonts w:ascii="Arial" w:hAnsi="Arial" w:cs="Arial"/>
              </w:rPr>
              <w:t> </w:t>
            </w:r>
            <w:r w:rsidRPr="00BC2D94">
              <w:t>20 mitoses/2 mm</w:t>
            </w:r>
            <w:r w:rsidRPr="00BC2D94">
              <w:rPr>
                <w:vertAlign w:val="superscript"/>
              </w:rPr>
              <w:t>2</w:t>
            </w:r>
            <w:r w:rsidRPr="00BC2D94">
              <w:t> and/or Ki67</w:t>
            </w:r>
            <w:r w:rsidRPr="00BC2D94">
              <w:rPr>
                <w:rFonts w:ascii="Arial" w:hAnsi="Arial" w:cs="Arial"/>
              </w:rPr>
              <w:t> </w:t>
            </w:r>
            <w:r w:rsidRPr="00BC2D94">
              <w:t>&gt;</w:t>
            </w:r>
            <w:r w:rsidRPr="00BC2D94">
              <w:rPr>
                <w:rFonts w:ascii="Arial" w:hAnsi="Arial" w:cs="Arial"/>
              </w:rPr>
              <w:t> </w:t>
            </w:r>
            <w:r w:rsidRPr="00BC2D94">
              <w:t>20%</w:t>
            </w:r>
          </w:p>
        </w:tc>
      </w:tr>
      <w:tr w:rsidR="00BC2D94" w:rsidRPr="00BC2D94" w14:paraId="1331CDBD" w14:textId="77777777" w:rsidTr="00301EC5">
        <w:tc>
          <w:tcPr>
            <w:tcW w:w="1141" w:type="pct"/>
            <w:vMerge w:val="restart"/>
            <w:tcBorders>
              <w:bottom w:val="single" w:sz="12" w:space="0" w:color="DADADA"/>
              <w:right w:val="single" w:sz="6" w:space="0" w:color="D5D5D5"/>
            </w:tcBorders>
            <w:shd w:val="clear" w:color="auto" w:fill="FFFFFF"/>
            <w:tcMar>
              <w:top w:w="90" w:type="dxa"/>
              <w:left w:w="90" w:type="dxa"/>
              <w:bottom w:w="90" w:type="dxa"/>
              <w:right w:w="90" w:type="dxa"/>
            </w:tcMar>
            <w:hideMark/>
          </w:tcPr>
          <w:p w14:paraId="25E97542" w14:textId="370AEC77" w:rsidR="00BC2D94" w:rsidRPr="00BC2D94" w:rsidRDefault="00BC2D94" w:rsidP="00301EC5">
            <w:pPr>
              <w:pStyle w:val="TableText0"/>
            </w:pPr>
            <w:r w:rsidRPr="00BC2D94">
              <w:t xml:space="preserve">Poorly differentiated neuroendocrine carcinoma </w:t>
            </w:r>
          </w:p>
        </w:tc>
        <w:tc>
          <w:tcPr>
            <w:tcW w:w="156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8443980" w14:textId="77777777" w:rsidR="00BC2D94" w:rsidRPr="00BC2D94" w:rsidRDefault="00BC2D94" w:rsidP="00301EC5">
            <w:pPr>
              <w:pStyle w:val="TableText0"/>
            </w:pPr>
            <w:r w:rsidRPr="00BC2D94">
              <w:t>Small cell NEC</w:t>
            </w:r>
          </w:p>
        </w:tc>
        <w:tc>
          <w:tcPr>
            <w:tcW w:w="2291"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3C5E92C8" w14:textId="77777777" w:rsidR="00BC2D94" w:rsidRPr="00BC2D94" w:rsidRDefault="00BC2D94" w:rsidP="00301EC5">
            <w:pPr>
              <w:pStyle w:val="TableText0"/>
            </w:pPr>
            <w:r w:rsidRPr="00BC2D94">
              <w:rPr>
                <w:rFonts w:ascii="Arial" w:hAnsi="Arial" w:cs="Arial"/>
              </w:rPr>
              <w:t> </w:t>
            </w:r>
            <w:r w:rsidRPr="00BC2D94">
              <w:t>&gt;</w:t>
            </w:r>
            <w:r w:rsidRPr="00BC2D94">
              <w:rPr>
                <w:rFonts w:ascii="Arial" w:hAnsi="Arial" w:cs="Arial"/>
              </w:rPr>
              <w:t> </w:t>
            </w:r>
            <w:r w:rsidRPr="00BC2D94">
              <w:t>20 mitoses/2 mm</w:t>
            </w:r>
            <w:r w:rsidRPr="00BC2D94">
              <w:rPr>
                <w:vertAlign w:val="superscript"/>
              </w:rPr>
              <w:t>2</w:t>
            </w:r>
            <w:r w:rsidRPr="00BC2D94">
              <w:t> and/or Ki67</w:t>
            </w:r>
            <w:r w:rsidRPr="00BC2D94">
              <w:rPr>
                <w:rFonts w:ascii="Arial" w:hAnsi="Arial" w:cs="Arial"/>
              </w:rPr>
              <w:t> </w:t>
            </w:r>
            <w:r w:rsidRPr="00BC2D94">
              <w:t>&gt;</w:t>
            </w:r>
            <w:r w:rsidRPr="00BC2D94">
              <w:rPr>
                <w:rFonts w:ascii="Arial" w:hAnsi="Arial" w:cs="Arial"/>
              </w:rPr>
              <w:t> </w:t>
            </w:r>
            <w:r w:rsidRPr="00BC2D94">
              <w:t>20% (often</w:t>
            </w:r>
            <w:r w:rsidRPr="00BC2D94">
              <w:rPr>
                <w:rFonts w:ascii="Arial" w:hAnsi="Arial" w:cs="Arial"/>
              </w:rPr>
              <w:t> </w:t>
            </w:r>
            <w:r w:rsidRPr="00BC2D94">
              <w:t>&gt;</w:t>
            </w:r>
            <w:r w:rsidRPr="00BC2D94">
              <w:rPr>
                <w:rFonts w:ascii="Arial" w:hAnsi="Arial" w:cs="Arial"/>
              </w:rPr>
              <w:t> </w:t>
            </w:r>
            <w:r w:rsidRPr="00BC2D94">
              <w:t>70%), and small cell cytomorphology</w:t>
            </w:r>
          </w:p>
        </w:tc>
      </w:tr>
      <w:tr w:rsidR="00BC2D94" w:rsidRPr="00BC2D94" w14:paraId="795AAFB0" w14:textId="77777777" w:rsidTr="00301EC5">
        <w:tc>
          <w:tcPr>
            <w:tcW w:w="1141" w:type="pct"/>
            <w:vMerge/>
            <w:tcBorders>
              <w:bottom w:val="single" w:sz="12" w:space="0" w:color="DADADA"/>
              <w:right w:val="single" w:sz="6" w:space="0" w:color="D5D5D5"/>
            </w:tcBorders>
            <w:shd w:val="clear" w:color="auto" w:fill="FFFFFF"/>
            <w:vAlign w:val="center"/>
            <w:hideMark/>
          </w:tcPr>
          <w:p w14:paraId="78AE7F48" w14:textId="77777777" w:rsidR="00BC2D94" w:rsidRPr="00BC2D94" w:rsidRDefault="00BC2D94" w:rsidP="00301EC5">
            <w:pPr>
              <w:pStyle w:val="TableText0"/>
            </w:pPr>
          </w:p>
        </w:tc>
        <w:tc>
          <w:tcPr>
            <w:tcW w:w="156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5955F320" w14:textId="77777777" w:rsidR="00BC2D94" w:rsidRPr="00BC2D94" w:rsidRDefault="00BC2D94" w:rsidP="00301EC5">
            <w:pPr>
              <w:pStyle w:val="TableText0"/>
            </w:pPr>
            <w:r w:rsidRPr="00BC2D94">
              <w:t>Large cell NEC</w:t>
            </w:r>
          </w:p>
        </w:tc>
        <w:tc>
          <w:tcPr>
            <w:tcW w:w="2291"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515D0A23" w14:textId="77777777" w:rsidR="00BC2D94" w:rsidRPr="00BC2D94" w:rsidRDefault="00BC2D94" w:rsidP="00301EC5">
            <w:pPr>
              <w:pStyle w:val="TableText0"/>
            </w:pPr>
            <w:r w:rsidRPr="00BC2D94">
              <w:rPr>
                <w:rFonts w:ascii="Arial" w:hAnsi="Arial" w:cs="Arial"/>
              </w:rPr>
              <w:t> </w:t>
            </w:r>
            <w:r w:rsidRPr="00BC2D94">
              <w:t>&gt;</w:t>
            </w:r>
            <w:r w:rsidRPr="00BC2D94">
              <w:rPr>
                <w:rFonts w:ascii="Arial" w:hAnsi="Arial" w:cs="Arial"/>
              </w:rPr>
              <w:t> </w:t>
            </w:r>
            <w:r w:rsidRPr="00BC2D94">
              <w:t>20 mitoses/2 mm</w:t>
            </w:r>
            <w:r w:rsidRPr="00BC2D94">
              <w:rPr>
                <w:vertAlign w:val="superscript"/>
              </w:rPr>
              <w:t>2</w:t>
            </w:r>
            <w:r w:rsidRPr="00BC2D94">
              <w:t> and/or Ki67</w:t>
            </w:r>
            <w:r w:rsidRPr="00BC2D94">
              <w:rPr>
                <w:rFonts w:ascii="Arial" w:hAnsi="Arial" w:cs="Arial"/>
              </w:rPr>
              <w:t> </w:t>
            </w:r>
            <w:r w:rsidRPr="00BC2D94">
              <w:t>&gt;</w:t>
            </w:r>
            <w:r w:rsidRPr="00BC2D94">
              <w:rPr>
                <w:rFonts w:ascii="Arial" w:hAnsi="Arial" w:cs="Arial"/>
              </w:rPr>
              <w:t> </w:t>
            </w:r>
            <w:r w:rsidRPr="00BC2D94">
              <w:t>20% (often</w:t>
            </w:r>
            <w:r w:rsidRPr="00BC2D94">
              <w:rPr>
                <w:rFonts w:ascii="Arial" w:hAnsi="Arial" w:cs="Arial"/>
              </w:rPr>
              <w:t> </w:t>
            </w:r>
            <w:r w:rsidRPr="00BC2D94">
              <w:t>&gt;</w:t>
            </w:r>
            <w:r w:rsidRPr="00BC2D94">
              <w:rPr>
                <w:rFonts w:ascii="Arial" w:hAnsi="Arial" w:cs="Arial"/>
              </w:rPr>
              <w:t> </w:t>
            </w:r>
            <w:r w:rsidRPr="00BC2D94">
              <w:t>70%), and large cell cytomorphology</w:t>
            </w:r>
          </w:p>
        </w:tc>
      </w:tr>
      <w:tr w:rsidR="00BC2D94" w:rsidRPr="00BC2D94" w14:paraId="19DBE24C" w14:textId="77777777" w:rsidTr="00301EC5">
        <w:tc>
          <w:tcPr>
            <w:tcW w:w="5000" w:type="pct"/>
            <w:gridSpan w:val="3"/>
            <w:tcBorders>
              <w:bottom w:val="single" w:sz="12" w:space="0" w:color="DADADA"/>
              <w:right w:val="single" w:sz="6" w:space="0" w:color="D5D5D5"/>
            </w:tcBorders>
            <w:shd w:val="clear" w:color="auto" w:fill="FFFFFF"/>
            <w:tcMar>
              <w:top w:w="90" w:type="dxa"/>
              <w:left w:w="90" w:type="dxa"/>
              <w:bottom w:w="90" w:type="dxa"/>
              <w:right w:w="90" w:type="dxa"/>
            </w:tcMar>
            <w:hideMark/>
          </w:tcPr>
          <w:p w14:paraId="2712DE03" w14:textId="77777777" w:rsidR="00BC2D94" w:rsidRPr="00BC2D94" w:rsidRDefault="00BC2D94" w:rsidP="00301EC5">
            <w:pPr>
              <w:pStyle w:val="TableText0"/>
            </w:pPr>
            <w:r w:rsidRPr="00BC2D94">
              <w:t>Upper aerodigestive tract and salivary glands</w:t>
            </w:r>
          </w:p>
        </w:tc>
      </w:tr>
      <w:tr w:rsidR="00BC2D94" w:rsidRPr="00BC2D94" w14:paraId="20E8A116" w14:textId="77777777" w:rsidTr="00301EC5">
        <w:tc>
          <w:tcPr>
            <w:tcW w:w="1141" w:type="pct"/>
            <w:vMerge w:val="restart"/>
            <w:tcBorders>
              <w:bottom w:val="single" w:sz="12" w:space="0" w:color="DADADA"/>
              <w:right w:val="single" w:sz="6" w:space="0" w:color="D5D5D5"/>
            </w:tcBorders>
            <w:shd w:val="clear" w:color="auto" w:fill="FFFFFF"/>
            <w:tcMar>
              <w:top w:w="90" w:type="dxa"/>
              <w:left w:w="90" w:type="dxa"/>
              <w:bottom w:w="90" w:type="dxa"/>
              <w:right w:w="90" w:type="dxa"/>
            </w:tcMar>
            <w:hideMark/>
          </w:tcPr>
          <w:p w14:paraId="238542D8" w14:textId="06B2B6C9" w:rsidR="00BC2D94" w:rsidRPr="00BC2D94" w:rsidRDefault="00BC2D94" w:rsidP="00301EC5">
            <w:pPr>
              <w:pStyle w:val="TableText0"/>
            </w:pPr>
            <w:r w:rsidRPr="00BC2D94">
              <w:t xml:space="preserve">Well-differentiated neuroendocrine </w:t>
            </w:r>
            <w:r w:rsidR="00D83710" w:rsidRPr="00BC2D94">
              <w:t>tumour</w:t>
            </w:r>
            <w:r w:rsidRPr="00BC2D94">
              <w:t xml:space="preserve"> </w:t>
            </w:r>
          </w:p>
        </w:tc>
        <w:tc>
          <w:tcPr>
            <w:tcW w:w="156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4A622C03" w14:textId="77777777" w:rsidR="00BC2D94" w:rsidRPr="00BC2D94" w:rsidRDefault="00BC2D94" w:rsidP="00301EC5">
            <w:pPr>
              <w:pStyle w:val="TableText0"/>
            </w:pPr>
            <w:r w:rsidRPr="00BC2D94">
              <w:t>NET, grade 1</w:t>
            </w:r>
          </w:p>
        </w:tc>
        <w:tc>
          <w:tcPr>
            <w:tcW w:w="2291"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333F5D3C" w14:textId="77777777" w:rsidR="00BC2D94" w:rsidRPr="00BC2D94" w:rsidRDefault="00BC2D94" w:rsidP="00301EC5">
            <w:pPr>
              <w:pStyle w:val="TableText0"/>
            </w:pPr>
            <w:r w:rsidRPr="00BC2D94">
              <w:rPr>
                <w:rFonts w:ascii="Arial" w:hAnsi="Arial" w:cs="Arial"/>
              </w:rPr>
              <w:t> </w:t>
            </w:r>
            <w:r w:rsidRPr="00BC2D94">
              <w:t>&lt;</w:t>
            </w:r>
            <w:r w:rsidRPr="00BC2D94">
              <w:rPr>
                <w:rFonts w:ascii="Arial" w:hAnsi="Arial" w:cs="Arial"/>
              </w:rPr>
              <w:t> </w:t>
            </w:r>
            <w:r w:rsidRPr="00BC2D94">
              <w:t>2 mitoses/2 mm</w:t>
            </w:r>
            <w:r w:rsidRPr="00BC2D94">
              <w:rPr>
                <w:vertAlign w:val="superscript"/>
              </w:rPr>
              <w:t>2</w:t>
            </w:r>
            <w:r w:rsidRPr="00BC2D94">
              <w:t> and no necrosis, and Ki67</w:t>
            </w:r>
            <w:r w:rsidRPr="00BC2D94">
              <w:rPr>
                <w:rFonts w:ascii="Arial" w:hAnsi="Arial" w:cs="Arial"/>
              </w:rPr>
              <w:t> </w:t>
            </w:r>
            <w:r w:rsidRPr="00BC2D94">
              <w:t>&lt;</w:t>
            </w:r>
            <w:r w:rsidRPr="00BC2D94">
              <w:rPr>
                <w:rFonts w:ascii="Arial" w:hAnsi="Arial" w:cs="Arial"/>
              </w:rPr>
              <w:t> </w:t>
            </w:r>
            <w:r w:rsidRPr="00BC2D94">
              <w:t>20%</w:t>
            </w:r>
          </w:p>
        </w:tc>
      </w:tr>
      <w:tr w:rsidR="00BC2D94" w:rsidRPr="00BC2D94" w14:paraId="6C8614FC" w14:textId="77777777" w:rsidTr="00301EC5">
        <w:tc>
          <w:tcPr>
            <w:tcW w:w="1141" w:type="pct"/>
            <w:vMerge/>
            <w:tcBorders>
              <w:bottom w:val="single" w:sz="12" w:space="0" w:color="DADADA"/>
              <w:right w:val="single" w:sz="6" w:space="0" w:color="D5D5D5"/>
            </w:tcBorders>
            <w:shd w:val="clear" w:color="auto" w:fill="FFFFFF"/>
            <w:vAlign w:val="center"/>
            <w:hideMark/>
          </w:tcPr>
          <w:p w14:paraId="17789E1D" w14:textId="77777777" w:rsidR="00BC2D94" w:rsidRPr="00BC2D94" w:rsidRDefault="00BC2D94" w:rsidP="00301EC5">
            <w:pPr>
              <w:pStyle w:val="TableText0"/>
            </w:pPr>
          </w:p>
        </w:tc>
        <w:tc>
          <w:tcPr>
            <w:tcW w:w="156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9567F34" w14:textId="77777777" w:rsidR="00BC2D94" w:rsidRPr="00BC2D94" w:rsidRDefault="00BC2D94" w:rsidP="00301EC5">
            <w:pPr>
              <w:pStyle w:val="TableText0"/>
            </w:pPr>
            <w:r w:rsidRPr="00BC2D94">
              <w:t>NET, grade 2</w:t>
            </w:r>
          </w:p>
        </w:tc>
        <w:tc>
          <w:tcPr>
            <w:tcW w:w="2291"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565A9800" w14:textId="77777777" w:rsidR="00BC2D94" w:rsidRPr="00BC2D94" w:rsidRDefault="00BC2D94" w:rsidP="00301EC5">
            <w:pPr>
              <w:pStyle w:val="TableText0"/>
            </w:pPr>
            <w:r w:rsidRPr="00BC2D94">
              <w:t>2–10 mitoses/2 mm</w:t>
            </w:r>
            <w:r w:rsidRPr="00BC2D94">
              <w:rPr>
                <w:vertAlign w:val="superscript"/>
              </w:rPr>
              <w:t>2</w:t>
            </w:r>
            <w:r w:rsidRPr="00BC2D94">
              <w:t> and/or necrosis, and Ki67</w:t>
            </w:r>
            <w:r w:rsidRPr="00BC2D94">
              <w:rPr>
                <w:rFonts w:ascii="Arial" w:hAnsi="Arial" w:cs="Arial"/>
              </w:rPr>
              <w:t> </w:t>
            </w:r>
            <w:r w:rsidRPr="00BC2D94">
              <w:t>&lt;</w:t>
            </w:r>
            <w:r w:rsidRPr="00BC2D94">
              <w:rPr>
                <w:rFonts w:ascii="Arial" w:hAnsi="Arial" w:cs="Arial"/>
              </w:rPr>
              <w:t> </w:t>
            </w:r>
            <w:r w:rsidRPr="00BC2D94">
              <w:t>20%</w:t>
            </w:r>
          </w:p>
        </w:tc>
      </w:tr>
      <w:tr w:rsidR="00BC2D94" w:rsidRPr="00BC2D94" w14:paraId="0FBC9599" w14:textId="77777777" w:rsidTr="00301EC5">
        <w:tc>
          <w:tcPr>
            <w:tcW w:w="1141" w:type="pct"/>
            <w:vMerge/>
            <w:tcBorders>
              <w:bottom w:val="single" w:sz="12" w:space="0" w:color="DADADA"/>
              <w:right w:val="single" w:sz="6" w:space="0" w:color="D5D5D5"/>
            </w:tcBorders>
            <w:shd w:val="clear" w:color="auto" w:fill="FFFFFF"/>
            <w:vAlign w:val="center"/>
            <w:hideMark/>
          </w:tcPr>
          <w:p w14:paraId="6EDFF158" w14:textId="77777777" w:rsidR="00BC2D94" w:rsidRPr="00BC2D94" w:rsidRDefault="00BC2D94" w:rsidP="00301EC5">
            <w:pPr>
              <w:pStyle w:val="TableText0"/>
            </w:pPr>
          </w:p>
        </w:tc>
        <w:tc>
          <w:tcPr>
            <w:tcW w:w="156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03AA918" w14:textId="77777777" w:rsidR="00BC2D94" w:rsidRPr="00BC2D94" w:rsidRDefault="00BC2D94" w:rsidP="00301EC5">
            <w:pPr>
              <w:pStyle w:val="TableText0"/>
            </w:pPr>
            <w:r w:rsidRPr="00BC2D94">
              <w:t>NET, grade 3</w:t>
            </w:r>
          </w:p>
        </w:tc>
        <w:tc>
          <w:tcPr>
            <w:tcW w:w="2291"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575B565" w14:textId="77777777" w:rsidR="00BC2D94" w:rsidRPr="00BC2D94" w:rsidRDefault="00BC2D94" w:rsidP="00301EC5">
            <w:pPr>
              <w:pStyle w:val="TableText0"/>
            </w:pPr>
            <w:r w:rsidRPr="00BC2D94">
              <w:rPr>
                <w:rFonts w:ascii="Arial" w:hAnsi="Arial" w:cs="Arial"/>
              </w:rPr>
              <w:t> </w:t>
            </w:r>
            <w:r w:rsidRPr="00BC2D94">
              <w:t>&gt;</w:t>
            </w:r>
            <w:r w:rsidRPr="00BC2D94">
              <w:rPr>
                <w:rFonts w:ascii="Arial" w:hAnsi="Arial" w:cs="Arial"/>
              </w:rPr>
              <w:t> </w:t>
            </w:r>
            <w:r w:rsidRPr="00BC2D94">
              <w:t>10 mitoses/2 mm</w:t>
            </w:r>
            <w:r w:rsidRPr="00BC2D94">
              <w:rPr>
                <w:vertAlign w:val="superscript"/>
              </w:rPr>
              <w:t>2</w:t>
            </w:r>
            <w:r w:rsidRPr="00BC2D94">
              <w:t> and/or Ki67</w:t>
            </w:r>
            <w:r w:rsidRPr="00BC2D94">
              <w:rPr>
                <w:rFonts w:ascii="Arial" w:hAnsi="Arial" w:cs="Arial"/>
              </w:rPr>
              <w:t> </w:t>
            </w:r>
            <w:r w:rsidRPr="00BC2D94">
              <w:t>&gt;</w:t>
            </w:r>
            <w:r w:rsidRPr="00BC2D94">
              <w:rPr>
                <w:rFonts w:ascii="Arial" w:hAnsi="Arial" w:cs="Arial"/>
              </w:rPr>
              <w:t> </w:t>
            </w:r>
            <w:r w:rsidRPr="00BC2D94">
              <w:t>20%</w:t>
            </w:r>
          </w:p>
        </w:tc>
      </w:tr>
      <w:tr w:rsidR="00BC2D94" w:rsidRPr="00BC2D94" w14:paraId="51CC5B0E" w14:textId="77777777" w:rsidTr="00301EC5">
        <w:tc>
          <w:tcPr>
            <w:tcW w:w="1141" w:type="pct"/>
            <w:vMerge w:val="restart"/>
            <w:tcBorders>
              <w:bottom w:val="single" w:sz="12" w:space="0" w:color="DADADA"/>
              <w:right w:val="single" w:sz="6" w:space="0" w:color="D5D5D5"/>
            </w:tcBorders>
            <w:shd w:val="clear" w:color="auto" w:fill="FFFFFF"/>
            <w:tcMar>
              <w:top w:w="90" w:type="dxa"/>
              <w:left w:w="90" w:type="dxa"/>
              <w:bottom w:w="90" w:type="dxa"/>
              <w:right w:w="90" w:type="dxa"/>
            </w:tcMar>
            <w:hideMark/>
          </w:tcPr>
          <w:p w14:paraId="50C3C102" w14:textId="19E8024E" w:rsidR="00BC2D94" w:rsidRPr="00BC2D94" w:rsidRDefault="00BC2D94" w:rsidP="00301EC5">
            <w:pPr>
              <w:pStyle w:val="TableText0"/>
            </w:pPr>
            <w:r w:rsidRPr="00BC2D94">
              <w:t xml:space="preserve">Poorly differentiated neuroendocrine carcinoma </w:t>
            </w:r>
          </w:p>
        </w:tc>
        <w:tc>
          <w:tcPr>
            <w:tcW w:w="156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0D04CF0" w14:textId="77777777" w:rsidR="00BC2D94" w:rsidRPr="00BC2D94" w:rsidRDefault="00BC2D94" w:rsidP="00301EC5">
            <w:pPr>
              <w:pStyle w:val="TableText0"/>
            </w:pPr>
            <w:r w:rsidRPr="00BC2D94">
              <w:t>Small cell NEC</w:t>
            </w:r>
          </w:p>
        </w:tc>
        <w:tc>
          <w:tcPr>
            <w:tcW w:w="2291"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5224332E" w14:textId="77777777" w:rsidR="00BC2D94" w:rsidRPr="00BC2D94" w:rsidRDefault="00BC2D94" w:rsidP="00301EC5">
            <w:pPr>
              <w:pStyle w:val="TableText0"/>
            </w:pPr>
            <w:r w:rsidRPr="00BC2D94">
              <w:rPr>
                <w:rFonts w:ascii="Arial" w:hAnsi="Arial" w:cs="Arial"/>
              </w:rPr>
              <w:t> </w:t>
            </w:r>
            <w:r w:rsidRPr="00BC2D94">
              <w:t>&gt;</w:t>
            </w:r>
            <w:r w:rsidRPr="00BC2D94">
              <w:rPr>
                <w:rFonts w:ascii="Arial" w:hAnsi="Arial" w:cs="Arial"/>
              </w:rPr>
              <w:t> </w:t>
            </w:r>
            <w:r w:rsidRPr="00BC2D94">
              <w:t>10 mitoses/2 mm</w:t>
            </w:r>
            <w:r w:rsidRPr="00BC2D94">
              <w:rPr>
                <w:vertAlign w:val="superscript"/>
              </w:rPr>
              <w:t>2</w:t>
            </w:r>
            <w:r w:rsidRPr="00BC2D94">
              <w:t> and/or Ki67</w:t>
            </w:r>
            <w:r w:rsidRPr="00BC2D94">
              <w:rPr>
                <w:rFonts w:ascii="Arial" w:hAnsi="Arial" w:cs="Arial"/>
              </w:rPr>
              <w:t> </w:t>
            </w:r>
            <w:r w:rsidRPr="00BC2D94">
              <w:t>&gt;</w:t>
            </w:r>
            <w:r w:rsidRPr="00BC2D94">
              <w:rPr>
                <w:rFonts w:ascii="Arial" w:hAnsi="Arial" w:cs="Arial"/>
              </w:rPr>
              <w:t> </w:t>
            </w:r>
            <w:r w:rsidRPr="00BC2D94">
              <w:t>20% (often</w:t>
            </w:r>
            <w:r w:rsidRPr="00BC2D94">
              <w:rPr>
                <w:rFonts w:ascii="Arial" w:hAnsi="Arial" w:cs="Arial"/>
              </w:rPr>
              <w:t> </w:t>
            </w:r>
            <w:r w:rsidRPr="00BC2D94">
              <w:t>&gt;</w:t>
            </w:r>
            <w:r w:rsidRPr="00BC2D94">
              <w:rPr>
                <w:rFonts w:ascii="Arial" w:hAnsi="Arial" w:cs="Arial"/>
              </w:rPr>
              <w:t> </w:t>
            </w:r>
            <w:r w:rsidRPr="00BC2D94">
              <w:t>70%) and small cell cytomorphology</w:t>
            </w:r>
          </w:p>
        </w:tc>
      </w:tr>
      <w:tr w:rsidR="00BC2D94" w:rsidRPr="00BC2D94" w14:paraId="2F2233BD" w14:textId="77777777" w:rsidTr="00301EC5">
        <w:tc>
          <w:tcPr>
            <w:tcW w:w="1141" w:type="pct"/>
            <w:vMerge/>
            <w:tcBorders>
              <w:bottom w:val="single" w:sz="12" w:space="0" w:color="DADADA"/>
              <w:right w:val="single" w:sz="6" w:space="0" w:color="D5D5D5"/>
            </w:tcBorders>
            <w:shd w:val="clear" w:color="auto" w:fill="FFFFFF"/>
            <w:vAlign w:val="center"/>
            <w:hideMark/>
          </w:tcPr>
          <w:p w14:paraId="27CE0A3E" w14:textId="77777777" w:rsidR="00BC2D94" w:rsidRPr="00BC2D94" w:rsidRDefault="00BC2D94" w:rsidP="00301EC5">
            <w:pPr>
              <w:pStyle w:val="TableText0"/>
            </w:pPr>
          </w:p>
        </w:tc>
        <w:tc>
          <w:tcPr>
            <w:tcW w:w="156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66BC46B" w14:textId="77777777" w:rsidR="00BC2D94" w:rsidRPr="00BC2D94" w:rsidRDefault="00BC2D94" w:rsidP="00301EC5">
            <w:pPr>
              <w:pStyle w:val="TableText0"/>
            </w:pPr>
            <w:r w:rsidRPr="00BC2D94">
              <w:t>Large cell NEC</w:t>
            </w:r>
          </w:p>
        </w:tc>
        <w:tc>
          <w:tcPr>
            <w:tcW w:w="2291"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F5AF2D3" w14:textId="77777777" w:rsidR="00BC2D94" w:rsidRPr="00BC2D94" w:rsidRDefault="00BC2D94" w:rsidP="00301EC5">
            <w:pPr>
              <w:pStyle w:val="TableText0"/>
            </w:pPr>
            <w:r w:rsidRPr="00BC2D94">
              <w:rPr>
                <w:rFonts w:ascii="Arial" w:hAnsi="Arial" w:cs="Arial"/>
              </w:rPr>
              <w:t> </w:t>
            </w:r>
            <w:r w:rsidRPr="00BC2D94">
              <w:t>&gt;</w:t>
            </w:r>
            <w:r w:rsidRPr="00BC2D94">
              <w:rPr>
                <w:rFonts w:ascii="Arial" w:hAnsi="Arial" w:cs="Arial"/>
              </w:rPr>
              <w:t> </w:t>
            </w:r>
            <w:r w:rsidRPr="00BC2D94">
              <w:t>10 mitoses/2 mm</w:t>
            </w:r>
            <w:r w:rsidRPr="00BC2D94">
              <w:rPr>
                <w:vertAlign w:val="superscript"/>
              </w:rPr>
              <w:t>2</w:t>
            </w:r>
            <w:r w:rsidRPr="00BC2D94">
              <w:t> and/or Ki67</w:t>
            </w:r>
            <w:r w:rsidRPr="00BC2D94">
              <w:rPr>
                <w:rFonts w:ascii="Arial" w:hAnsi="Arial" w:cs="Arial"/>
              </w:rPr>
              <w:t> </w:t>
            </w:r>
            <w:r w:rsidRPr="00BC2D94">
              <w:t>&gt;</w:t>
            </w:r>
            <w:r w:rsidRPr="00BC2D94">
              <w:rPr>
                <w:rFonts w:ascii="Arial" w:hAnsi="Arial" w:cs="Arial"/>
              </w:rPr>
              <w:t> </w:t>
            </w:r>
            <w:r w:rsidRPr="00BC2D94">
              <w:t>20% (often</w:t>
            </w:r>
            <w:r w:rsidRPr="00BC2D94">
              <w:rPr>
                <w:rFonts w:ascii="Arial" w:hAnsi="Arial" w:cs="Arial"/>
              </w:rPr>
              <w:t> </w:t>
            </w:r>
            <w:r w:rsidRPr="00BC2D94">
              <w:t>&gt;</w:t>
            </w:r>
            <w:r w:rsidRPr="00BC2D94">
              <w:rPr>
                <w:rFonts w:ascii="Arial" w:hAnsi="Arial" w:cs="Arial"/>
              </w:rPr>
              <w:t> </w:t>
            </w:r>
            <w:r w:rsidRPr="00BC2D94">
              <w:t>55%) and large cell cytomorphology</w:t>
            </w:r>
          </w:p>
        </w:tc>
      </w:tr>
      <w:tr w:rsidR="00BC2D94" w:rsidRPr="00BC2D94" w14:paraId="60EACC07" w14:textId="77777777" w:rsidTr="00301EC5">
        <w:tc>
          <w:tcPr>
            <w:tcW w:w="5000" w:type="pct"/>
            <w:gridSpan w:val="3"/>
            <w:tcBorders>
              <w:bottom w:val="single" w:sz="12" w:space="0" w:color="DADADA"/>
              <w:right w:val="single" w:sz="6" w:space="0" w:color="D5D5D5"/>
            </w:tcBorders>
            <w:shd w:val="clear" w:color="auto" w:fill="FFFFFF"/>
            <w:tcMar>
              <w:top w:w="90" w:type="dxa"/>
              <w:left w:w="90" w:type="dxa"/>
              <w:bottom w:w="90" w:type="dxa"/>
              <w:right w:w="90" w:type="dxa"/>
            </w:tcMar>
            <w:hideMark/>
          </w:tcPr>
          <w:p w14:paraId="4E279E25" w14:textId="77777777" w:rsidR="00BC2D94" w:rsidRPr="00BC2D94" w:rsidRDefault="00BC2D94" w:rsidP="00301EC5">
            <w:pPr>
              <w:pStyle w:val="TableText0"/>
            </w:pPr>
            <w:r w:rsidRPr="00BC2D94">
              <w:t>Lung and thymus</w:t>
            </w:r>
          </w:p>
        </w:tc>
      </w:tr>
      <w:tr w:rsidR="00BC2D94" w:rsidRPr="00BC2D94" w14:paraId="4716A62B" w14:textId="77777777" w:rsidTr="00301EC5">
        <w:tc>
          <w:tcPr>
            <w:tcW w:w="1141" w:type="pct"/>
            <w:vMerge w:val="restart"/>
            <w:tcBorders>
              <w:bottom w:val="single" w:sz="12" w:space="0" w:color="DADADA"/>
              <w:right w:val="single" w:sz="6" w:space="0" w:color="D5D5D5"/>
            </w:tcBorders>
            <w:shd w:val="clear" w:color="auto" w:fill="FFFFFF"/>
            <w:tcMar>
              <w:top w:w="90" w:type="dxa"/>
              <w:left w:w="90" w:type="dxa"/>
              <w:bottom w:w="90" w:type="dxa"/>
              <w:right w:w="90" w:type="dxa"/>
            </w:tcMar>
            <w:hideMark/>
          </w:tcPr>
          <w:p w14:paraId="2AA21989" w14:textId="5BA9EADE" w:rsidR="00BC2D94" w:rsidRPr="00BC2D94" w:rsidRDefault="00BC2D94" w:rsidP="00301EC5">
            <w:pPr>
              <w:pStyle w:val="TableText0"/>
            </w:pPr>
            <w:r w:rsidRPr="00BC2D94">
              <w:t xml:space="preserve">Well-differentiated neuroendocrine </w:t>
            </w:r>
            <w:r w:rsidR="00D83710" w:rsidRPr="00BC2D94">
              <w:t>tumour</w:t>
            </w:r>
            <w:r w:rsidRPr="00BC2D94">
              <w:t xml:space="preserve"> </w:t>
            </w:r>
          </w:p>
        </w:tc>
        <w:tc>
          <w:tcPr>
            <w:tcW w:w="156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7BA7350" w14:textId="77777777" w:rsidR="00BC2D94" w:rsidRPr="00BC2D94" w:rsidRDefault="00BC2D94" w:rsidP="00301EC5">
            <w:pPr>
              <w:pStyle w:val="TableText0"/>
            </w:pPr>
            <w:r w:rsidRPr="00BC2D94">
              <w:t>Typical carcinoid/NET, grade 1</w:t>
            </w:r>
          </w:p>
        </w:tc>
        <w:tc>
          <w:tcPr>
            <w:tcW w:w="2291"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36E69609" w14:textId="77777777" w:rsidR="00BC2D94" w:rsidRPr="00BC2D94" w:rsidRDefault="00BC2D94" w:rsidP="00301EC5">
            <w:pPr>
              <w:pStyle w:val="TableText0"/>
            </w:pPr>
            <w:r w:rsidRPr="00BC2D94">
              <w:rPr>
                <w:rFonts w:ascii="Arial" w:hAnsi="Arial" w:cs="Arial"/>
              </w:rPr>
              <w:t> </w:t>
            </w:r>
            <w:r w:rsidRPr="00BC2D94">
              <w:t>&lt;</w:t>
            </w:r>
            <w:r w:rsidRPr="00BC2D94">
              <w:rPr>
                <w:rFonts w:ascii="Arial" w:hAnsi="Arial" w:cs="Arial"/>
              </w:rPr>
              <w:t> </w:t>
            </w:r>
            <w:r w:rsidRPr="00BC2D94">
              <w:t>2 mitoses/2 mm</w:t>
            </w:r>
            <w:r w:rsidRPr="00BC2D94">
              <w:rPr>
                <w:vertAlign w:val="superscript"/>
              </w:rPr>
              <w:t>2</w:t>
            </w:r>
            <w:r w:rsidRPr="00BC2D94">
              <w:t> and no necrosis</w:t>
            </w:r>
          </w:p>
        </w:tc>
      </w:tr>
      <w:tr w:rsidR="00BC2D94" w:rsidRPr="00BC2D94" w14:paraId="54E256AF" w14:textId="77777777" w:rsidTr="00301EC5">
        <w:tc>
          <w:tcPr>
            <w:tcW w:w="1141" w:type="pct"/>
            <w:vMerge/>
            <w:tcBorders>
              <w:bottom w:val="single" w:sz="12" w:space="0" w:color="DADADA"/>
              <w:right w:val="single" w:sz="6" w:space="0" w:color="D5D5D5"/>
            </w:tcBorders>
            <w:shd w:val="clear" w:color="auto" w:fill="FFFFFF"/>
            <w:vAlign w:val="center"/>
            <w:hideMark/>
          </w:tcPr>
          <w:p w14:paraId="4AF1A3BA" w14:textId="77777777" w:rsidR="00BC2D94" w:rsidRPr="00BC2D94" w:rsidRDefault="00BC2D94" w:rsidP="00301EC5">
            <w:pPr>
              <w:pStyle w:val="TableText0"/>
            </w:pPr>
          </w:p>
        </w:tc>
        <w:tc>
          <w:tcPr>
            <w:tcW w:w="156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3322E3D3" w14:textId="77777777" w:rsidR="00BC2D94" w:rsidRPr="00BC2D94" w:rsidRDefault="00BC2D94" w:rsidP="00301EC5">
            <w:pPr>
              <w:pStyle w:val="TableText0"/>
            </w:pPr>
            <w:r w:rsidRPr="00BC2D94">
              <w:t>Atypical carcinoid/NET, grade 2</w:t>
            </w:r>
          </w:p>
        </w:tc>
        <w:tc>
          <w:tcPr>
            <w:tcW w:w="2291"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5C8AD38B" w14:textId="77777777" w:rsidR="00BC2D94" w:rsidRPr="00BC2D94" w:rsidRDefault="00BC2D94" w:rsidP="00301EC5">
            <w:pPr>
              <w:pStyle w:val="TableText0"/>
            </w:pPr>
            <w:r w:rsidRPr="00BC2D94">
              <w:t>2–10 mitoses/2 mm</w:t>
            </w:r>
            <w:r w:rsidRPr="00BC2D94">
              <w:rPr>
                <w:vertAlign w:val="superscript"/>
              </w:rPr>
              <w:t>2</w:t>
            </w:r>
            <w:r w:rsidRPr="00BC2D94">
              <w:t> and/or necrosis (usually punctate)</w:t>
            </w:r>
          </w:p>
        </w:tc>
      </w:tr>
      <w:tr w:rsidR="00BC2D94" w:rsidRPr="00BC2D94" w14:paraId="5A80B88D" w14:textId="77777777" w:rsidTr="00301EC5">
        <w:tc>
          <w:tcPr>
            <w:tcW w:w="1141" w:type="pct"/>
            <w:vMerge/>
            <w:tcBorders>
              <w:bottom w:val="single" w:sz="12" w:space="0" w:color="DADADA"/>
              <w:right w:val="single" w:sz="6" w:space="0" w:color="D5D5D5"/>
            </w:tcBorders>
            <w:shd w:val="clear" w:color="auto" w:fill="FFFFFF"/>
            <w:vAlign w:val="center"/>
            <w:hideMark/>
          </w:tcPr>
          <w:p w14:paraId="0A245397" w14:textId="77777777" w:rsidR="00BC2D94" w:rsidRPr="00BC2D94" w:rsidRDefault="00BC2D94" w:rsidP="00301EC5">
            <w:pPr>
              <w:pStyle w:val="TableText0"/>
            </w:pPr>
          </w:p>
        </w:tc>
        <w:tc>
          <w:tcPr>
            <w:tcW w:w="156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EA77D6E" w14:textId="77777777" w:rsidR="00BC2D94" w:rsidRPr="00BC2D94" w:rsidRDefault="00BC2D94" w:rsidP="00301EC5">
            <w:pPr>
              <w:pStyle w:val="TableText0"/>
            </w:pPr>
            <w:r w:rsidRPr="00BC2D94">
              <w:t>Carcinoids/NETs with elevated mitotic counts and/or Ki67 proliferation index</w:t>
            </w:r>
          </w:p>
        </w:tc>
        <w:tc>
          <w:tcPr>
            <w:tcW w:w="2291"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A83B9ED" w14:textId="77777777" w:rsidR="00BC2D94" w:rsidRPr="00BC2D94" w:rsidRDefault="00BC2D94" w:rsidP="00301EC5">
            <w:pPr>
              <w:pStyle w:val="TableText0"/>
            </w:pPr>
            <w:r w:rsidRPr="00BC2D94">
              <w:t>Atypical carcinoid morphology and a higher (&gt;</w:t>
            </w:r>
            <w:r w:rsidRPr="00BC2D94">
              <w:rPr>
                <w:rFonts w:ascii="Arial" w:hAnsi="Arial" w:cs="Arial"/>
              </w:rPr>
              <w:t> </w:t>
            </w:r>
            <w:r w:rsidRPr="00BC2D94">
              <w:t>10 mitoses per 2 mm</w:t>
            </w:r>
            <w:r w:rsidRPr="00BC2D94">
              <w:rPr>
                <w:vertAlign w:val="superscript"/>
              </w:rPr>
              <w:t>2</w:t>
            </w:r>
            <w:r w:rsidRPr="00BC2D94">
              <w:t>) mitotic count and/or a higher (&gt;</w:t>
            </w:r>
            <w:r w:rsidRPr="00BC2D94">
              <w:rPr>
                <w:rFonts w:ascii="Arial" w:hAnsi="Arial" w:cs="Arial"/>
              </w:rPr>
              <w:t> </w:t>
            </w:r>
            <w:r w:rsidRPr="00BC2D94">
              <w:t>30%) Ki67</w:t>
            </w:r>
          </w:p>
        </w:tc>
      </w:tr>
      <w:tr w:rsidR="00BC2D94" w:rsidRPr="00BC2D94" w14:paraId="13D127E0" w14:textId="77777777" w:rsidTr="00301EC5">
        <w:tc>
          <w:tcPr>
            <w:tcW w:w="1141" w:type="pct"/>
            <w:vMerge w:val="restart"/>
            <w:tcBorders>
              <w:bottom w:val="single" w:sz="12" w:space="0" w:color="DADADA"/>
              <w:right w:val="single" w:sz="6" w:space="0" w:color="D5D5D5"/>
            </w:tcBorders>
            <w:shd w:val="clear" w:color="auto" w:fill="FFFFFF"/>
            <w:tcMar>
              <w:top w:w="90" w:type="dxa"/>
              <w:left w:w="90" w:type="dxa"/>
              <w:bottom w:w="90" w:type="dxa"/>
              <w:right w:w="90" w:type="dxa"/>
            </w:tcMar>
            <w:hideMark/>
          </w:tcPr>
          <w:p w14:paraId="1734D1F1" w14:textId="5056324D" w:rsidR="00BC2D94" w:rsidRPr="00BC2D94" w:rsidRDefault="00BC2D94" w:rsidP="00301EC5">
            <w:pPr>
              <w:pStyle w:val="TableText0"/>
            </w:pPr>
            <w:r w:rsidRPr="00BC2D94">
              <w:t xml:space="preserve">Poorly-differentiated neuroendocrine carcinoma </w:t>
            </w:r>
          </w:p>
        </w:tc>
        <w:tc>
          <w:tcPr>
            <w:tcW w:w="156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066C06C" w14:textId="77777777" w:rsidR="00BC2D94" w:rsidRPr="00BC2D94" w:rsidRDefault="00BC2D94" w:rsidP="00301EC5">
            <w:pPr>
              <w:pStyle w:val="TableText0"/>
            </w:pPr>
            <w:r w:rsidRPr="00BC2D94">
              <w:t>Small cell (lung) carcinoma</w:t>
            </w:r>
          </w:p>
        </w:tc>
        <w:tc>
          <w:tcPr>
            <w:tcW w:w="2291"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0F0E013" w14:textId="77777777" w:rsidR="00BC2D94" w:rsidRPr="00BC2D94" w:rsidRDefault="00BC2D94" w:rsidP="00301EC5">
            <w:pPr>
              <w:pStyle w:val="TableText0"/>
            </w:pPr>
            <w:r w:rsidRPr="00BC2D94">
              <w:rPr>
                <w:rFonts w:ascii="Arial" w:hAnsi="Arial" w:cs="Arial"/>
              </w:rPr>
              <w:t> </w:t>
            </w:r>
            <w:r w:rsidRPr="00BC2D94">
              <w:t>&gt;</w:t>
            </w:r>
            <w:r w:rsidRPr="00BC2D94">
              <w:rPr>
                <w:rFonts w:ascii="Arial" w:hAnsi="Arial" w:cs="Arial"/>
              </w:rPr>
              <w:t> </w:t>
            </w:r>
            <w:r w:rsidRPr="00BC2D94">
              <w:t>10 mitoses/2 mm</w:t>
            </w:r>
            <w:r w:rsidRPr="00BC2D94">
              <w:rPr>
                <w:vertAlign w:val="superscript"/>
              </w:rPr>
              <w:t>2</w:t>
            </w:r>
            <w:r w:rsidRPr="00BC2D94">
              <w:t>, often necrosis and small cell cytomorphology</w:t>
            </w:r>
          </w:p>
        </w:tc>
      </w:tr>
      <w:tr w:rsidR="00BC2D94" w:rsidRPr="00BC2D94" w14:paraId="407C4C06" w14:textId="77777777" w:rsidTr="00301EC5">
        <w:tc>
          <w:tcPr>
            <w:tcW w:w="1141" w:type="pct"/>
            <w:vMerge/>
            <w:tcBorders>
              <w:bottom w:val="single" w:sz="12" w:space="0" w:color="DADADA"/>
              <w:right w:val="single" w:sz="6" w:space="0" w:color="D5D5D5"/>
            </w:tcBorders>
            <w:shd w:val="clear" w:color="auto" w:fill="FFFFFF"/>
            <w:vAlign w:val="center"/>
            <w:hideMark/>
          </w:tcPr>
          <w:p w14:paraId="59F37039" w14:textId="77777777" w:rsidR="00BC2D94" w:rsidRPr="00BC2D94" w:rsidRDefault="00BC2D94" w:rsidP="00301EC5">
            <w:pPr>
              <w:pStyle w:val="TableText0"/>
            </w:pPr>
          </w:p>
        </w:tc>
        <w:tc>
          <w:tcPr>
            <w:tcW w:w="156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B252F38" w14:textId="77777777" w:rsidR="00BC2D94" w:rsidRPr="00BC2D94" w:rsidRDefault="00BC2D94" w:rsidP="00301EC5">
            <w:pPr>
              <w:pStyle w:val="TableText0"/>
            </w:pPr>
            <w:r w:rsidRPr="00BC2D94">
              <w:t>Large cell NEC</w:t>
            </w:r>
          </w:p>
        </w:tc>
        <w:tc>
          <w:tcPr>
            <w:tcW w:w="2291"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C91627F" w14:textId="77777777" w:rsidR="00BC2D94" w:rsidRPr="00BC2D94" w:rsidRDefault="00BC2D94" w:rsidP="00301EC5">
            <w:pPr>
              <w:pStyle w:val="TableText0"/>
            </w:pPr>
            <w:r w:rsidRPr="00BC2D94">
              <w:rPr>
                <w:rFonts w:ascii="Arial" w:hAnsi="Arial" w:cs="Arial"/>
              </w:rPr>
              <w:t> </w:t>
            </w:r>
            <w:r w:rsidRPr="00BC2D94">
              <w:t>&gt;</w:t>
            </w:r>
            <w:r w:rsidRPr="00BC2D94">
              <w:rPr>
                <w:rFonts w:ascii="Arial" w:hAnsi="Arial" w:cs="Arial"/>
              </w:rPr>
              <w:t> </w:t>
            </w:r>
            <w:r w:rsidRPr="00BC2D94">
              <w:t>10 mitoses/2 mm</w:t>
            </w:r>
            <w:r w:rsidRPr="00BC2D94">
              <w:rPr>
                <w:vertAlign w:val="superscript"/>
              </w:rPr>
              <w:t>2</w:t>
            </w:r>
            <w:r w:rsidRPr="00BC2D94">
              <w:t>, virtually always necrosis and large cell cytomorphology</w:t>
            </w:r>
          </w:p>
        </w:tc>
      </w:tr>
      <w:tr w:rsidR="00BC2D94" w:rsidRPr="00BC2D94" w14:paraId="1096BC24" w14:textId="77777777" w:rsidTr="00301EC5">
        <w:tc>
          <w:tcPr>
            <w:tcW w:w="5000" w:type="pct"/>
            <w:gridSpan w:val="3"/>
            <w:tcBorders>
              <w:bottom w:val="single" w:sz="12" w:space="0" w:color="DADADA"/>
              <w:right w:val="single" w:sz="6" w:space="0" w:color="D5D5D5"/>
            </w:tcBorders>
            <w:shd w:val="clear" w:color="auto" w:fill="FFFFFF"/>
            <w:tcMar>
              <w:top w:w="90" w:type="dxa"/>
              <w:left w:w="90" w:type="dxa"/>
              <w:bottom w:w="90" w:type="dxa"/>
              <w:right w:w="90" w:type="dxa"/>
            </w:tcMar>
            <w:hideMark/>
          </w:tcPr>
          <w:p w14:paraId="7B7D4A42" w14:textId="77777777" w:rsidR="00BC2D94" w:rsidRPr="00BC2D94" w:rsidRDefault="00BC2D94" w:rsidP="00301EC5">
            <w:pPr>
              <w:pStyle w:val="TableText0"/>
            </w:pPr>
            <w:r w:rsidRPr="00BC2D94">
              <w:t>Thyroid</w:t>
            </w:r>
          </w:p>
        </w:tc>
      </w:tr>
      <w:tr w:rsidR="00BC2D94" w:rsidRPr="00BC2D94" w14:paraId="0D044804" w14:textId="77777777" w:rsidTr="00BE068B">
        <w:trPr>
          <w:cantSplit/>
        </w:trPr>
        <w:tc>
          <w:tcPr>
            <w:tcW w:w="1141" w:type="pct"/>
            <w:vMerge w:val="restart"/>
            <w:tcBorders>
              <w:bottom w:val="single" w:sz="12" w:space="0" w:color="DADADA"/>
              <w:right w:val="single" w:sz="6" w:space="0" w:color="D5D5D5"/>
            </w:tcBorders>
            <w:shd w:val="clear" w:color="auto" w:fill="FFFFFF"/>
            <w:tcMar>
              <w:top w:w="90" w:type="dxa"/>
              <w:left w:w="90" w:type="dxa"/>
              <w:bottom w:w="90" w:type="dxa"/>
              <w:right w:w="90" w:type="dxa"/>
            </w:tcMar>
            <w:hideMark/>
          </w:tcPr>
          <w:p w14:paraId="01BC75CB" w14:textId="0A5B3941" w:rsidR="00BC2D94" w:rsidRPr="00BC2D94" w:rsidRDefault="00BC2D94" w:rsidP="00301EC5">
            <w:pPr>
              <w:pStyle w:val="TableText0"/>
            </w:pPr>
            <w:r w:rsidRPr="00BC2D94">
              <w:t>Medullary thyroid carcinomas</w:t>
            </w:r>
          </w:p>
        </w:tc>
        <w:tc>
          <w:tcPr>
            <w:tcW w:w="156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35FF8F84" w14:textId="77777777" w:rsidR="00BC2D94" w:rsidRPr="00BC2D94" w:rsidRDefault="00BC2D94" w:rsidP="00301EC5">
            <w:pPr>
              <w:pStyle w:val="TableText0"/>
            </w:pPr>
            <w:r w:rsidRPr="00BC2D94">
              <w:t>Low-grade MTC</w:t>
            </w:r>
          </w:p>
        </w:tc>
        <w:tc>
          <w:tcPr>
            <w:tcW w:w="2291"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8317939" w14:textId="77777777" w:rsidR="00BC2D94" w:rsidRPr="00BC2D94" w:rsidRDefault="00BC2D94" w:rsidP="00301EC5">
            <w:pPr>
              <w:pStyle w:val="TableText0"/>
            </w:pPr>
            <w:r w:rsidRPr="00BC2D94">
              <w:rPr>
                <w:rFonts w:ascii="Arial" w:hAnsi="Arial" w:cs="Arial"/>
              </w:rPr>
              <w:t> </w:t>
            </w:r>
            <w:r w:rsidRPr="00BC2D94">
              <w:t>&lt;</w:t>
            </w:r>
            <w:r w:rsidRPr="00BC2D94">
              <w:rPr>
                <w:rFonts w:ascii="Arial" w:hAnsi="Arial" w:cs="Arial"/>
              </w:rPr>
              <w:t> </w:t>
            </w:r>
            <w:r w:rsidRPr="00BC2D94">
              <w:t>5 mitoses/2 mm</w:t>
            </w:r>
            <w:r w:rsidRPr="00BC2D94">
              <w:rPr>
                <w:vertAlign w:val="superscript"/>
              </w:rPr>
              <w:t>2</w:t>
            </w:r>
            <w:r w:rsidRPr="00BC2D94">
              <w:t> and no necrosis and Ki67</w:t>
            </w:r>
            <w:r w:rsidRPr="00BC2D94">
              <w:rPr>
                <w:rFonts w:ascii="Arial" w:hAnsi="Arial" w:cs="Arial"/>
              </w:rPr>
              <w:t> </w:t>
            </w:r>
            <w:r w:rsidRPr="00BC2D94">
              <w:t>&lt;</w:t>
            </w:r>
            <w:r w:rsidRPr="00BC2D94">
              <w:rPr>
                <w:rFonts w:ascii="Arial" w:hAnsi="Arial" w:cs="Arial"/>
              </w:rPr>
              <w:t> </w:t>
            </w:r>
            <w:r w:rsidRPr="00BC2D94">
              <w:t>5%</w:t>
            </w:r>
          </w:p>
        </w:tc>
      </w:tr>
      <w:tr w:rsidR="00BC2D94" w:rsidRPr="00BC2D94" w14:paraId="5F3A8140" w14:textId="77777777" w:rsidTr="00BE068B">
        <w:trPr>
          <w:cantSplit/>
        </w:trPr>
        <w:tc>
          <w:tcPr>
            <w:tcW w:w="1141" w:type="pct"/>
            <w:vMerge/>
            <w:tcBorders>
              <w:bottom w:val="single" w:sz="12" w:space="0" w:color="DADADA"/>
              <w:right w:val="single" w:sz="6" w:space="0" w:color="D5D5D5"/>
            </w:tcBorders>
            <w:shd w:val="clear" w:color="auto" w:fill="FFFFFF"/>
            <w:vAlign w:val="center"/>
            <w:hideMark/>
          </w:tcPr>
          <w:p w14:paraId="784B7FCA" w14:textId="77777777" w:rsidR="00BC2D94" w:rsidRPr="00BC2D94" w:rsidRDefault="00BC2D94" w:rsidP="00301EC5">
            <w:pPr>
              <w:pStyle w:val="TableText0"/>
            </w:pPr>
          </w:p>
        </w:tc>
        <w:tc>
          <w:tcPr>
            <w:tcW w:w="156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3726D62" w14:textId="77777777" w:rsidR="00BC2D94" w:rsidRPr="00BC2D94" w:rsidRDefault="00BC2D94" w:rsidP="00301EC5">
            <w:pPr>
              <w:pStyle w:val="TableText0"/>
            </w:pPr>
            <w:r w:rsidRPr="00BC2D94">
              <w:t>High-grade MTC</w:t>
            </w:r>
          </w:p>
        </w:tc>
        <w:tc>
          <w:tcPr>
            <w:tcW w:w="2291"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57DB0BF6" w14:textId="77777777" w:rsidR="00BC2D94" w:rsidRPr="00BC2D94" w:rsidRDefault="00BC2D94" w:rsidP="00301EC5">
            <w:pPr>
              <w:pStyle w:val="TableText0"/>
            </w:pPr>
            <w:r w:rsidRPr="00BC2D94">
              <w:t>At least </w:t>
            </w:r>
            <w:r w:rsidRPr="00BC2D94">
              <w:rPr>
                <w:i/>
                <w:iCs/>
              </w:rPr>
              <w:t>one</w:t>
            </w:r>
            <w:r w:rsidRPr="00BC2D94">
              <w:t> of the following 3 features:</w:t>
            </w:r>
          </w:p>
          <w:p w14:paraId="0966C186" w14:textId="77777777" w:rsidR="00BC2D94" w:rsidRPr="00BC2D94" w:rsidRDefault="00BC2D94" w:rsidP="00301EC5">
            <w:pPr>
              <w:pStyle w:val="TableText0"/>
            </w:pPr>
            <w:r w:rsidRPr="00BC2D94">
              <w:rPr>
                <w:rFonts w:ascii="Arial" w:hAnsi="Arial" w:cs="Arial"/>
              </w:rPr>
              <w:t> </w:t>
            </w:r>
            <w:r w:rsidRPr="00BC2D94">
              <w:rPr>
                <w:rFonts w:cs="Arial Narrow"/>
              </w:rPr>
              <w:t>≥</w:t>
            </w:r>
            <w:r w:rsidRPr="00BC2D94">
              <w:rPr>
                <w:rFonts w:ascii="Arial" w:hAnsi="Arial" w:cs="Arial"/>
              </w:rPr>
              <w:t> </w:t>
            </w:r>
            <w:r w:rsidRPr="00BC2D94">
              <w:t>5 mitoses/2 mm</w:t>
            </w:r>
            <w:r w:rsidRPr="00BC2D94">
              <w:rPr>
                <w:vertAlign w:val="superscript"/>
              </w:rPr>
              <w:t>2</w:t>
            </w:r>
          </w:p>
          <w:p w14:paraId="461AED66" w14:textId="77777777" w:rsidR="00BC2D94" w:rsidRPr="00BC2D94" w:rsidRDefault="00BC2D94" w:rsidP="00301EC5">
            <w:pPr>
              <w:pStyle w:val="TableText0"/>
            </w:pPr>
            <w:r w:rsidRPr="00BC2D94">
              <w:t>Necrosis</w:t>
            </w:r>
          </w:p>
          <w:p w14:paraId="121232FB" w14:textId="77777777" w:rsidR="00BC2D94" w:rsidRPr="00BC2D94" w:rsidRDefault="00BC2D94" w:rsidP="00301EC5">
            <w:pPr>
              <w:pStyle w:val="TableText0"/>
            </w:pPr>
            <w:r w:rsidRPr="00BC2D94">
              <w:t>Ki67</w:t>
            </w:r>
            <w:r w:rsidRPr="00BC2D94">
              <w:rPr>
                <w:rFonts w:ascii="Arial" w:hAnsi="Arial" w:cs="Arial"/>
              </w:rPr>
              <w:t> </w:t>
            </w:r>
            <w:r w:rsidRPr="00BC2D94">
              <w:rPr>
                <w:rFonts w:cs="Arial Narrow"/>
              </w:rPr>
              <w:t>≥</w:t>
            </w:r>
            <w:r w:rsidRPr="00BC2D94">
              <w:rPr>
                <w:rFonts w:ascii="Arial" w:hAnsi="Arial" w:cs="Arial"/>
              </w:rPr>
              <w:t> </w:t>
            </w:r>
            <w:r w:rsidRPr="00BC2D94">
              <w:t>5%</w:t>
            </w:r>
          </w:p>
        </w:tc>
      </w:tr>
    </w:tbl>
    <w:p w14:paraId="0E146D73" w14:textId="770583EB" w:rsidR="00BC2D94" w:rsidRDefault="008362BD" w:rsidP="00301EC5">
      <w:pPr>
        <w:pStyle w:val="Tablenotes"/>
      </w:pPr>
      <w:r w:rsidRPr="008362BD">
        <w:t xml:space="preserve">MTC </w:t>
      </w:r>
      <w:r>
        <w:t xml:space="preserve">= </w:t>
      </w:r>
      <w:r w:rsidRPr="008362BD">
        <w:t>Medullary thyroid carcinomas</w:t>
      </w:r>
      <w:r>
        <w:t xml:space="preserve">; </w:t>
      </w:r>
      <w:r w:rsidR="00DA79F5" w:rsidRPr="00DA79F5">
        <w:t>NEC</w:t>
      </w:r>
      <w:r>
        <w:t xml:space="preserve"> =</w:t>
      </w:r>
      <w:r w:rsidR="00DA79F5" w:rsidRPr="00DA79F5">
        <w:t xml:space="preserve"> neuroendocrine carcinoma; NET</w:t>
      </w:r>
      <w:r>
        <w:t xml:space="preserve"> =</w:t>
      </w:r>
      <w:r w:rsidR="00DA79F5" w:rsidRPr="00DA79F5">
        <w:t xml:space="preserve"> neuroendocrine tumour</w:t>
      </w:r>
      <w:r>
        <w:t>.</w:t>
      </w:r>
    </w:p>
    <w:p w14:paraId="0C58A8F3" w14:textId="641D4614" w:rsidR="003664D9" w:rsidRDefault="003664D9" w:rsidP="002263B5">
      <w:r>
        <w:t>Clinical presentation varies considerably, ranging from symptoms related to tumour bulk (such as abdominal pain, obstruction, bleeding, or respiratory symptoms) to hormone-mediated syndromes, including flushing and diarrhoea in carcinoid syndrome or episodic hypoglycaemia in insulinoma</w:t>
      </w:r>
      <w:r w:rsidR="00A709C3">
        <w:t xml:space="preserve"> </w:t>
      </w:r>
      <w:r w:rsidR="00A709C3">
        <w:fldChar w:fldCharType="begin"/>
      </w:r>
      <w:r w:rsidR="007D39C6">
        <w:instrText xml:space="preserve"> ADDIN EN.CITE &lt;EndNote&gt;&lt;Cite&gt;&lt;Author&gt;Clinical Oncology Society of Australia&lt;/Author&gt;&lt;Year&gt;2023&lt;/Year&gt;&lt;RecNum&gt;1&lt;/RecNum&gt;&lt;DisplayText&gt;(Maxwell, Yao et al. 2022, Clinical Oncology Society of Australia 2023)&lt;/DisplayText&gt;&lt;record&gt;&lt;rec-number&gt;1&lt;/rec-number&gt;&lt;foreign-keys&gt;&lt;key app="EN" db-id="et0tvv0vcezr9neew2av9ppvfs25wf5sd0pd" timestamp="1781493635"&gt;1&lt;/key&gt;&lt;/foreign-keys&gt;&lt;ref-type name="Journal Article"&gt;17&lt;/ref-type&gt;&lt;contributors&gt;&lt;authors&gt;&lt;author&gt;Clinical Oncology Society of Australia,&lt;/author&gt;&lt;/authors&gt;&lt;/contributors&gt;&lt;titles&gt;&lt;title&gt;Neuroendocrine Neoplasms (NENs) Clinical Guidelines&lt;/title&gt;&lt;secondary-title&gt;Cancer Council Australia&lt;/secondary-title&gt;&lt;/titles&gt;&lt;periodical&gt;&lt;full-title&gt;Cancer Council Australia&lt;/full-title&gt;&lt;/periodical&gt;&lt;dates&gt;&lt;year&gt;2023&lt;/year&gt;&lt;/dates&gt;&lt;urls&gt;&lt;related-urls&gt;&lt;url&gt;https://www.cancer.org.au/health-professionals/clinical-practice-guidelines/neuroendocrine-neoplasms-nens&lt;/url&gt;&lt;/related-urls&gt;&lt;/urls&gt;&lt;language&gt;en&lt;/language&gt;&lt;access-date&gt;2026/06/15/03:18:42&lt;/access-date&gt;&lt;/record&gt;&lt;/Cite&gt;&lt;Cite&gt;&lt;Author&gt;Maxwell&lt;/Author&gt;&lt;Year&gt;2022&lt;/Year&gt;&lt;RecNum&gt;3&lt;/RecNum&gt;&lt;record&gt;&lt;rec-number&gt;3&lt;/rec-number&gt;&lt;foreign-keys&gt;&lt;key app="EN" db-id="et0tvv0vcezr9neew2av9ppvfs25wf5sd0pd" timestamp="1781494304"&gt;3&lt;/key&gt;&lt;/foreign-keys&gt;&lt;ref-type name="Book Section"&gt;5&lt;/ref-type&gt;&lt;contributors&gt;&lt;authors&gt;&lt;author&gt;Maxwell, Jessica E.&lt;/author&gt;&lt;author&gt;Yao, James C.&lt;/author&gt;&lt;author&gt;Halperin, Daniel M.&lt;/author&gt;&lt;/authors&gt;&lt;secondary-authors&gt;&lt;author&gt;Kantarjian, Hagop M.&lt;/author&gt;&lt;author&gt;Wolff, Robert A.&lt;/author&gt;&lt;author&gt;Rieber, Alyssa G.&lt;/author&gt;&lt;/secondary-authors&gt;&lt;/contributors&gt;&lt;titles&gt;&lt;title&gt;Neuroendocrine Tumors&lt;/title&gt;&lt;secondary-title&gt;The MD Anderson Manual of Medical Oncology, 4e&lt;/secondary-title&gt;&lt;/titles&gt;&lt;num-vols&gt;Book, Section&lt;/num-vols&gt;&lt;dates&gt;&lt;year&gt;2022&lt;/year&gt;&lt;/dates&gt;&lt;pub-location&gt;New York, NY&lt;/pub-location&gt;&lt;publisher&gt;McGraw Hill Education&lt;/publisher&gt;&lt;urls&gt;&lt;related-urls&gt;&lt;url&gt;hemonc.mhmedical.com/content.aspx?aid=1190836105&lt;/url&gt;&lt;/related-urls&gt;&lt;/urls&gt;&lt;access-date&gt;2026/06/14&lt;/access-date&gt;&lt;/record&gt;&lt;/Cite&gt;&lt;/EndNote&gt;</w:instrText>
      </w:r>
      <w:r w:rsidR="00A709C3">
        <w:fldChar w:fldCharType="separate"/>
      </w:r>
      <w:r w:rsidR="007D39C6">
        <w:rPr>
          <w:noProof/>
        </w:rPr>
        <w:t>(Maxwell, Yao et al. 2022, Clinical Oncology Society of Australia 2023)</w:t>
      </w:r>
      <w:r w:rsidR="00A709C3">
        <w:fldChar w:fldCharType="end"/>
      </w:r>
      <w:r>
        <w:t xml:space="preserve">. Disease course is determined largely by tumour stage and grade. </w:t>
      </w:r>
      <w:r w:rsidR="00A20658" w:rsidRPr="00A20658">
        <w:t xml:space="preserve">Localised disease is often amendable to total resection and has excellent outcomes (&gt;90% 5-year survival in some </w:t>
      </w:r>
      <w:proofErr w:type="spellStart"/>
      <w:r w:rsidR="004579CE">
        <w:t>gastroenteropancreatic</w:t>
      </w:r>
      <w:proofErr w:type="spellEnd"/>
      <w:r w:rsidR="004579CE">
        <w:t xml:space="preserve"> </w:t>
      </w:r>
      <w:r w:rsidR="00A20658" w:rsidRPr="00A20658">
        <w:t>-NEN series), while metastatic and/or high-grade disease has markedly poorer survival, with strong variation by site (e.g. 5-year survival ~88% for rectal NEN vs ~53% for pancreatic NEN)</w:t>
      </w:r>
      <w:r w:rsidR="00E848AF">
        <w:t xml:space="preserve"> </w:t>
      </w:r>
      <w:r w:rsidR="00E848AF">
        <w:fldChar w:fldCharType="begin"/>
      </w:r>
      <w:r w:rsidR="007D39C6">
        <w:instrText xml:space="preserve"> ADDIN EN.CITE &lt;EndNote&gt;&lt;Cite&gt;&lt;Author&gt;Wu&lt;/Author&gt;&lt;Year&gt;2023&lt;/Year&gt;&lt;RecNum&gt;5&lt;/RecNum&gt;&lt;DisplayText&gt;(Wu, He et al. 2023)&lt;/DisplayText&gt;&lt;record&gt;&lt;rec-number&gt;5&lt;/rec-number&gt;&lt;foreign-keys&gt;&lt;key app="EN" db-id="et0tvv0vcezr9neew2av9ppvfs25wf5sd0pd" timestamp="1781494609"&gt;5&lt;/key&gt;&lt;/foreign-keys&gt;&lt;ref-type name="Journal Article"&gt;17&lt;/ref-type&gt;&lt;contributors&gt;&lt;authors&gt;&lt;author&gt;Wu, P.&lt;/author&gt;&lt;author&gt;He, D.&lt;/author&gt;&lt;author&gt;Chang, H.&lt;/author&gt;&lt;author&gt;Zhang, X.&lt;/author&gt;&lt;/authors&gt;&lt;/contributors&gt;&lt;auth-address&gt;Department of Radiation Oncology, The First Affiliated Hospital of Xi&amp;apos;an Jiaotong University, Xi&amp;apos;an, China.&amp;#xD;Department of Radiation Oncology, Tangdu Hospital, the Second Affiliated Hospital of Air Force Medical University, Xi&amp;apos;an, China.&lt;/auth-address&gt;&lt;titles&gt;&lt;title&gt;Epidemiologic trends of and factors associated with overall survival in patients with neuroendocrine tumors over the last two decades in the USA&lt;/title&gt;&lt;secondary-title&gt;Endocr Connect&lt;/secondary-title&gt;&lt;/titles&gt;&lt;periodical&gt;&lt;full-title&gt;Endocr Connect&lt;/full-title&gt;&lt;/periodical&gt;&lt;volume&gt;12&lt;/volume&gt;&lt;number&gt;12&lt;/number&gt;&lt;edition&gt;20231123&lt;/edition&gt;&lt;keywords&gt;&lt;keyword&gt;SEER database&lt;/keyword&gt;&lt;keyword&gt;epidemiology&lt;/keyword&gt;&lt;keyword&gt;neuroendocrine tumors&lt;/keyword&gt;&lt;keyword&gt;nomogram&lt;/keyword&gt;&lt;/keywords&gt;&lt;dates&gt;&lt;year&gt;2023&lt;/year&gt;&lt;pub-dates&gt;&lt;date&gt;Dec 1&lt;/date&gt;&lt;/pub-dates&gt;&lt;/dates&gt;&lt;isbn&gt;2049-3614 (Print)&amp;#xD;2049-3614&lt;/isbn&gt;&lt;accession-num&gt;37924638&lt;/accession-num&gt;&lt;urls&gt;&lt;/urls&gt;&lt;custom1&gt;The authors declare that there is no conflict of interest that could be perceived as prejudicing the impartiality of the study reported.&lt;/custom1&gt;&lt;custom2&gt;PMC10762562&lt;/custom2&gt;&lt;electronic-resource-num&gt;10.1530/ec-23-0331&lt;/electronic-resource-num&gt;&lt;remote-database-provider&gt;NLM&lt;/remote-database-provider&gt;&lt;language&gt;eng&lt;/language&gt;&lt;/record&gt;&lt;/Cite&gt;&lt;/EndNote&gt;</w:instrText>
      </w:r>
      <w:r w:rsidR="00E848AF">
        <w:fldChar w:fldCharType="separate"/>
      </w:r>
      <w:r w:rsidR="007D39C6">
        <w:rPr>
          <w:noProof/>
        </w:rPr>
        <w:t>(Wu, He et al. 2023)</w:t>
      </w:r>
      <w:r w:rsidR="00E848AF">
        <w:fldChar w:fldCharType="end"/>
      </w:r>
      <w:r w:rsidR="00A20658" w:rsidRPr="00A20658">
        <w:t>.</w:t>
      </w:r>
      <w:r w:rsidR="00A20658">
        <w:t xml:space="preserve"> </w:t>
      </w:r>
    </w:p>
    <w:p w14:paraId="3BF1E153" w14:textId="184A34D6" w:rsidR="001B4D9C" w:rsidRDefault="001B4D9C" w:rsidP="002E0F1F">
      <w:pPr>
        <w:keepNext/>
      </w:pPr>
      <w:r>
        <w:lastRenderedPageBreak/>
        <w:t>Population considerations:</w:t>
      </w:r>
    </w:p>
    <w:p w14:paraId="6526B7BB" w14:textId="77777777" w:rsidR="000B2410" w:rsidRDefault="000B2410" w:rsidP="002263B5">
      <w:r w:rsidRPr="000B2410">
        <w:t xml:space="preserve">Certain patient populations may be less suitable for </w:t>
      </w:r>
      <w:proofErr w:type="spellStart"/>
      <w:r w:rsidRPr="000B2410">
        <w:t>CgA</w:t>
      </w:r>
      <w:proofErr w:type="spellEnd"/>
      <w:r w:rsidRPr="000B2410">
        <w:t xml:space="preserve"> testing due to reduced sensitivity, limited clinical utility, or the presence of significant confounding factors. </w:t>
      </w:r>
    </w:p>
    <w:p w14:paraId="1390EB7B" w14:textId="77777777" w:rsidR="000B2410" w:rsidRDefault="000B2410" w:rsidP="005E0DFF">
      <w:pPr>
        <w:pStyle w:val="ListParagraph"/>
        <w:numPr>
          <w:ilvl w:val="0"/>
          <w:numId w:val="20"/>
        </w:numPr>
        <w:ind w:left="714" w:hanging="357"/>
        <w:contextualSpacing w:val="0"/>
      </w:pPr>
      <w:proofErr w:type="spellStart"/>
      <w:r w:rsidRPr="000B2410">
        <w:t>CgA</w:t>
      </w:r>
      <w:proofErr w:type="spellEnd"/>
      <w:r w:rsidRPr="000B2410">
        <w:t xml:space="preserve"> concentrations may remain within the normal range in some neuroendocrine tumours (NETs), particularly those with low proliferative potential, including appendiceal NETs, as well as in the majority of insulinomas. Similarly, NETs arising in the lung (typical carcinoids), duodenum and rectum may not consistently produce elevated </w:t>
      </w:r>
      <w:proofErr w:type="spellStart"/>
      <w:r w:rsidRPr="000B2410">
        <w:t>CgA</w:t>
      </w:r>
      <w:proofErr w:type="spellEnd"/>
      <w:r w:rsidRPr="000B2410">
        <w:t xml:space="preserve"> levels. Rapidly proliferating, poorly differentiated neuroendocrine tumours may also fail to secrete </w:t>
      </w:r>
      <w:proofErr w:type="spellStart"/>
      <w:r w:rsidRPr="000B2410">
        <w:t>CgA</w:t>
      </w:r>
      <w:proofErr w:type="spellEnd"/>
      <w:r w:rsidRPr="000B2410">
        <w:t xml:space="preserve">, resulting in false-negative test results. </w:t>
      </w:r>
    </w:p>
    <w:p w14:paraId="64E71B6A" w14:textId="5B4B67FD" w:rsidR="000B2410" w:rsidRDefault="000B2410" w:rsidP="005E0DFF">
      <w:pPr>
        <w:pStyle w:val="ListParagraph"/>
        <w:numPr>
          <w:ilvl w:val="0"/>
          <w:numId w:val="20"/>
        </w:numPr>
        <w:ind w:left="714" w:hanging="357"/>
        <w:contextualSpacing w:val="0"/>
      </w:pPr>
      <w:r w:rsidRPr="000B2410">
        <w:t xml:space="preserve">In addition, </w:t>
      </w:r>
      <w:proofErr w:type="spellStart"/>
      <w:r w:rsidRPr="000B2410">
        <w:t>CgA</w:t>
      </w:r>
      <w:proofErr w:type="spellEnd"/>
      <w:r w:rsidRPr="000B2410">
        <w:t xml:space="preserve"> appears to have limited value as a biomarker for monitoring treatment response or disease progression in patients with bronchopulmonary NETs (BPNETs) and other NETs, with evidence indicating that neither absolute </w:t>
      </w:r>
      <w:proofErr w:type="spellStart"/>
      <w:r w:rsidRPr="000B2410">
        <w:t>CgA</w:t>
      </w:r>
      <w:proofErr w:type="spellEnd"/>
      <w:r w:rsidRPr="000B2410">
        <w:t xml:space="preserve"> levels nor changes in </w:t>
      </w:r>
      <w:proofErr w:type="spellStart"/>
      <w:r w:rsidRPr="000B2410">
        <w:t>CgA</w:t>
      </w:r>
      <w:proofErr w:type="spellEnd"/>
      <w:r w:rsidRPr="000B2410">
        <w:t xml:space="preserve"> over time reliably reflect somatostatin analogue treatment efficacy or disease progression</w:t>
      </w:r>
      <w:r>
        <w:t xml:space="preserve"> </w:t>
      </w:r>
      <w:r w:rsidR="007D39C6">
        <w:fldChar w:fldCharType="begin">
          <w:fldData xml:space="preserve">PEVuZE5vdGU+PENpdGU+PEF1dGhvcj5NYXRhcjwvQXV0aG9yPjxZZWFyPjIwMjA8L1llYXI+PFJl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</w:fldData>
        </w:fldChar>
      </w:r>
      <w:r w:rsidR="007D39C6">
        <w:instrText xml:space="preserve"> ADDIN EN.CITE </w:instrText>
      </w:r>
      <w:r w:rsidR="007D39C6">
        <w:fldChar w:fldCharType="begin">
          <w:fldData xml:space="preserve">PEVuZE5vdGU+PENpdGU+PEF1dGhvcj5NYXRhcjwvQXV0aG9yPjxZZWFyPjIwMjA8L1llYXI+PFJl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</w:fldData>
        </w:fldChar>
      </w:r>
      <w:r w:rsidR="007D39C6">
        <w:instrText xml:space="preserve"> ADDIN EN.CITE.DATA </w:instrText>
      </w:r>
      <w:r w:rsidR="007D39C6">
        <w:fldChar w:fldCharType="end"/>
      </w:r>
      <w:r w:rsidR="007D39C6">
        <w:fldChar w:fldCharType="separate"/>
      </w:r>
      <w:r w:rsidR="007D39C6">
        <w:rPr>
          <w:noProof/>
        </w:rPr>
        <w:t>(Matar, Malczewska et al. 2020)</w:t>
      </w:r>
      <w:r w:rsidR="007D39C6">
        <w:fldChar w:fldCharType="end"/>
      </w:r>
      <w:r w:rsidRPr="000B2410">
        <w:t xml:space="preserve">. </w:t>
      </w:r>
    </w:p>
    <w:p w14:paraId="5F6CB2C7" w14:textId="068A6405" w:rsidR="009111F6" w:rsidRDefault="000B2410" w:rsidP="000B2410">
      <w:pPr>
        <w:pStyle w:val="ListParagraph"/>
        <w:numPr>
          <w:ilvl w:val="0"/>
          <w:numId w:val="20"/>
        </w:numPr>
      </w:pPr>
      <w:r w:rsidRPr="000B2410">
        <w:t xml:space="preserve">Furthermore, </w:t>
      </w:r>
      <w:proofErr w:type="spellStart"/>
      <w:r w:rsidRPr="000B2410">
        <w:t>CgA</w:t>
      </w:r>
      <w:proofErr w:type="spellEnd"/>
      <w:r w:rsidRPr="000B2410">
        <w:t xml:space="preserve"> is a non-specific neuroendocrine secretory protein and can be elevated in the absence of tumour activity due to a range of common factors, including proton pump inhibitor use, gastritis, renal or hepatic impairment, inflammatory bowel disease, glucocorticoid therapy, and the presence of rheumatoid factor. In these patients, </w:t>
      </w:r>
      <w:proofErr w:type="spellStart"/>
      <w:r w:rsidRPr="000B2410">
        <w:t>CgA</w:t>
      </w:r>
      <w:proofErr w:type="spellEnd"/>
      <w:r w:rsidRPr="000B2410">
        <w:t xml:space="preserve"> results may be difficult to interpret and should be assessed in the context of relevant medications and comorbidities, with reversible confounders addressed where possible and serial measurements interpreted cautiously using a consistent assay platform</w:t>
      </w:r>
      <w:r w:rsidR="00676C40">
        <w:t xml:space="preserve"> </w:t>
      </w:r>
      <w:r w:rsidR="007D39C6">
        <w:fldChar w:fldCharType="begin"/>
      </w:r>
      <w:r w:rsidR="007D39C6">
        <w:instrText xml:space="preserve"> ADDIN EN.CITE &lt;EndNote&gt;&lt;Cite&gt;&lt;Author&gt;Cancer Council Australia&lt;/Author&gt;&lt;Year&gt;2023&lt;/Year&gt;&lt;RecNum&gt;11&lt;/RecNum&gt;&lt;DisplayText&gt;(Marotta, Zatelli et al. 2018, Cancer Council Australia 2023)&lt;/DisplayText&gt;&lt;record&gt;&lt;rec-number&gt;11&lt;/rec-number&gt;&lt;foreign-keys&gt;&lt;key app="EN" db-id="et0tvv0vcezr9neew2av9ppvfs25wf5sd0pd" timestamp="1784266908"&gt;11&lt;/key&gt;&lt;/foreign-keys&gt;&lt;ref-type name="Web Page"&gt;12&lt;/ref-type&gt;&lt;contributors&gt;&lt;authors&gt;&lt;author&gt;Cancer Council Australia,&lt;/author&gt;&lt;/authors&gt;&lt;/contributors&gt;&lt;titles&gt;&lt;title&gt;COSA Neuroendocrine Neoplasms (NENs) Guidelines&lt;/title&gt;&lt;/titles&gt;&lt;number&gt;14 July 2025&lt;/number&gt;&lt;dates&gt;&lt;year&gt;2023&lt;/year&gt;&lt;/dates&gt;&lt;urls&gt;&lt;related-urls&gt;&lt;url&gt;https://app.magicapp.org/#/guideline/jlAbxL&lt;/url&gt;&lt;/related-urls&gt;&lt;/urls&gt;&lt;/record&gt;&lt;/Cite&gt;&lt;Cite&gt;&lt;Author&gt;Marotta&lt;/Author&gt;&lt;Year&gt;2018&lt;/Year&gt;&lt;RecNum&gt;15&lt;/RecNum&gt;&lt;record&gt;&lt;rec-number&gt;15&lt;/rec-number&gt;&lt;foreign-keys&gt;&lt;key app="EN" db-id="et0tvv0vcezr9neew2av9ppvfs25wf5sd0pd" timestamp="1784266909"&gt;15&lt;/key&gt;&lt;/foreign-keys&gt;&lt;ref-type name="Journal Article"&gt;17&lt;/ref-type&gt;&lt;contributors&gt;&lt;authors&gt;&lt;author&gt;Marotta, Vincenzo&lt;/author&gt;&lt;author&gt;Zatelli, Maria Chiara&lt;/author&gt;&lt;author&gt;Sciammarella, Concetta&lt;/author&gt;&lt;author&gt;Ambrosio, Maria Rosaria&lt;/author&gt;&lt;author&gt;Bondanelli, Marta&lt;/author&gt;&lt;author&gt;Colao, Annamaria&lt;/author&gt;&lt;author&gt;Faggiano, Antongiulio&lt;/author&gt;&lt;/authors&gt;&lt;/contributors&gt;&lt;titles&gt;&lt;title&gt;Chromogranin A as circulating marker for diagnosis and management of neuroendocrine neoplasms: more flaws than fame&lt;/title&gt;&lt;secondary-title&gt;Endocrine-Related Cancer&lt;/secondary-title&gt;&lt;/titles&gt;&lt;periodical&gt;&lt;full-title&gt;Endocrine-Related Cancer&lt;/full-title&gt;&lt;/periodical&gt;&lt;pages&gt;R11-R29&lt;/pages&gt;&lt;volume&gt;25&lt;/volume&gt;&lt;number&gt;1&lt;/number&gt;&lt;dates&gt;&lt;year&gt;2018&lt;/year&gt;&lt;/dates&gt;&lt;isbn&gt;1351-0088&lt;/isbn&gt;&lt;urls&gt;&lt;related-urls&gt;&lt;url&gt;https://doi.org/10.1530/ERC-17-0269&lt;/url&gt;&lt;/related-urls&gt;&lt;/urls&gt;&lt;electronic-resource-num&gt;10.1530/erc-17-0269&lt;/electronic-resource-num&gt;&lt;access-date&gt;7/8/2026&lt;/access-date&gt;&lt;/record&gt;&lt;/Cite&gt;&lt;/EndNote&gt;</w:instrText>
      </w:r>
      <w:r w:rsidR="007D39C6">
        <w:fldChar w:fldCharType="separate"/>
      </w:r>
      <w:r w:rsidR="007D39C6">
        <w:rPr>
          <w:noProof/>
        </w:rPr>
        <w:t>(Marotta, Zatelli et al. 2018, Cancer Council Australia 2023)</w:t>
      </w:r>
      <w:r w:rsidR="007D39C6">
        <w:fldChar w:fldCharType="end"/>
      </w:r>
      <w:r w:rsidRPr="000B2410">
        <w:t>.</w:t>
      </w:r>
    </w:p>
    <w:p w14:paraId="67EEF9AF" w14:textId="01B40A05" w:rsidR="00D0668E" w:rsidRDefault="00D0668E" w:rsidP="002263B5">
      <w:r w:rsidRPr="00D0668E">
        <w:t>Historical data indicate the incidence of NENs is increasing (Figure 1). The most recent age-standardised incidence rate reported by the Australian Institute of Health and Welfare (AIHW) was around 19 per 100,000 in 2021</w:t>
      </w:r>
      <w:r w:rsidR="005103F2">
        <w:t xml:space="preserve"> (21.4 per 100,000 in males and </w:t>
      </w:r>
      <w:r w:rsidR="00D27C58">
        <w:t>17.4 per 100,000 in females)</w:t>
      </w:r>
      <w:r w:rsidRPr="00D0668E">
        <w:t>, noting that the eligible population is a subset of these</w:t>
      </w:r>
      <w:r w:rsidR="0084025A">
        <w:t xml:space="preserve"> </w:t>
      </w:r>
      <w:r w:rsidR="0084025A">
        <w:fldChar w:fldCharType="begin"/>
      </w:r>
      <w:r w:rsidR="007D39C6">
        <w:instrText xml:space="preserve"> ADDIN EN.CITE &lt;EndNote&gt;&lt;Cite&gt;&lt;Author&gt;AIHW&lt;/Author&gt;&lt;Year&gt;2025&lt;/Year&gt;&lt;RecNum&gt;6&lt;/RecNum&gt;&lt;DisplayText&gt;(AIHW 2025)&lt;/DisplayText&gt;&lt;record&gt;&lt;rec-number&gt;6&lt;/rec-number&gt;&lt;foreign-keys&gt;&lt;key app="EN" db-id="et0tvv0vcezr9neew2av9ppvfs25wf5sd0pd" timestamp="1781495097"&gt;6&lt;/key&gt;&lt;/foreign-keys&gt;&lt;ref-type name="Journal Article"&gt;17&lt;/ref-type&gt;&lt;contributors&gt;&lt;authors&gt;&lt;author&gt;AIHW,&lt;/author&gt;&lt;/authors&gt;&lt;/contributors&gt;&lt;titles&gt;&lt;title&gt;Cancer data in Australia, Cancer summary data visualisation&lt;/title&gt;&lt;secondary-title&gt;Australian Institute of Health and Welfare&lt;/secondary-title&gt;&lt;/titles&gt;&lt;periodical&gt;&lt;full-title&gt;Australian Institute of Health and Welfare&lt;/full-title&gt;&lt;/periodical&gt;&lt;dates&gt;&lt;year&gt;2025&lt;/year&gt;&lt;pub-dates&gt;&lt;date&gt;2025/10/08/&lt;/date&gt;&lt;/pub-dates&gt;&lt;/dates&gt;&lt;urls&gt;&lt;related-urls&gt;&lt;url&gt;https://www.aihw.gov.au/reports/cancer/cancer-data-in-australia/contents/summary-dashboard&lt;/url&gt;&lt;/related-urls&gt;&lt;/urls&gt;&lt;language&gt;en&lt;/language&gt;&lt;access-date&gt;2026/06/15/03:44:37&lt;/access-date&gt;&lt;/record&gt;&lt;/Cite&gt;&lt;/EndNote&gt;</w:instrText>
      </w:r>
      <w:r w:rsidR="0084025A">
        <w:fldChar w:fldCharType="separate"/>
      </w:r>
      <w:r w:rsidR="007D39C6">
        <w:rPr>
          <w:noProof/>
        </w:rPr>
        <w:t>(AIHW 2025)</w:t>
      </w:r>
      <w:r w:rsidR="0084025A">
        <w:fldChar w:fldCharType="end"/>
      </w:r>
      <w:r w:rsidRPr="00D0668E">
        <w:t>. The prevalence of NENs is high as many are indolent and chronic, contributing to a substantial survivorship population</w:t>
      </w:r>
      <w:r w:rsidR="004A2E48">
        <w:t xml:space="preserve">, </w:t>
      </w:r>
      <w:r w:rsidR="00554DF6">
        <w:t xml:space="preserve">as at end of 2021 there were 14,091 who were alive and had been diagnosed </w:t>
      </w:r>
      <w:r w:rsidR="00ED32F9">
        <w:t>with NEN</w:t>
      </w:r>
      <w:r w:rsidR="00E106E7">
        <w:t xml:space="preserve"> between 2017 and 2021. </w:t>
      </w:r>
      <w:r w:rsidR="00343200">
        <w:t xml:space="preserve">Based on a US study, </w:t>
      </w:r>
      <w:r w:rsidRPr="00D0668E">
        <w:t xml:space="preserve">NENs are typically diagnosed in later life, with a median age at diagnosis of 57, </w:t>
      </w:r>
      <w:r w:rsidR="00475391">
        <w:t>and the majority are diagnosed with localised cancer (53.3%)</w:t>
      </w:r>
      <w:r w:rsidR="00205A7C">
        <w:t xml:space="preserve"> </w:t>
      </w:r>
      <w:r w:rsidR="00205A7C">
        <w:fldChar w:fldCharType="begin"/>
      </w:r>
      <w:r w:rsidR="007D39C6">
        <w:instrText xml:space="preserve"> ADDIN EN.CITE &lt;EndNote&gt;&lt;Cite&gt;&lt;Author&gt;Wu&lt;/Author&gt;&lt;Year&gt;2023&lt;/Year&gt;&lt;RecNum&gt;5&lt;/RecNum&gt;&lt;DisplayText&gt;(Wu, He et al. 2023)&lt;/DisplayText&gt;&lt;record&gt;&lt;rec-number&gt;5&lt;/rec-number&gt;&lt;foreign-keys&gt;&lt;key app="EN" db-id="et0tvv0vcezr9neew2av9ppvfs25wf5sd0pd" timestamp="1781494609"&gt;5&lt;/key&gt;&lt;/foreign-keys&gt;&lt;ref-type name="Journal Article"&gt;17&lt;/ref-type&gt;&lt;contributors&gt;&lt;authors&gt;&lt;author&gt;Wu, P.&lt;/author&gt;&lt;author&gt;He, D.&lt;/author&gt;&lt;author&gt;Chang, H.&lt;/author&gt;&lt;author&gt;Zhang, X.&lt;/author&gt;&lt;/authors&gt;&lt;/contributors&gt;&lt;auth-address&gt;Department of Radiation Oncology, The First Affiliated Hospital of Xi&amp;apos;an Jiaotong University, Xi&amp;apos;an, China.&amp;#xD;Department of Radiation Oncology, Tangdu Hospital, the Second Affiliated Hospital of Air Force Medical University, Xi&amp;apos;an, China.&lt;/auth-address&gt;&lt;titles&gt;&lt;title&gt;Epidemiologic trends of and factors associated with overall survival in patients with neuroendocrine tumors over the last two decades in the USA&lt;/title&gt;&lt;secondary-title&gt;Endocr Connect&lt;/secondary-title&gt;&lt;/titles&gt;&lt;periodical&gt;&lt;full-title&gt;Endocr Connect&lt;/full-title&gt;&lt;/periodical&gt;&lt;volume&gt;12&lt;/volume&gt;&lt;number&gt;12&lt;/number&gt;&lt;edition&gt;20231123&lt;/edition&gt;&lt;keywords&gt;&lt;keyword&gt;SEER database&lt;/keyword&gt;&lt;keyword&gt;epidemiology&lt;/keyword&gt;&lt;keyword&gt;neuroendocrine tumors&lt;/keyword&gt;&lt;keyword&gt;nomogram&lt;/keyword&gt;&lt;/keywords&gt;&lt;dates&gt;&lt;year&gt;2023&lt;/year&gt;&lt;pub-dates&gt;&lt;date&gt;Dec 1&lt;/date&gt;&lt;/pub-dates&gt;&lt;/dates&gt;&lt;isbn&gt;2049-3614 (Print)&amp;#xD;2049-3614&lt;/isbn&gt;&lt;accession-num&gt;37924638&lt;/accession-num&gt;&lt;urls&gt;&lt;/urls&gt;&lt;custom1&gt;The authors declare that there is no conflict of interest that could be perceived as prejudicing the impartiality of the study reported.&lt;/custom1&gt;&lt;custom2&gt;PMC10762562&lt;/custom2&gt;&lt;electronic-resource-num&gt;10.1530/ec-23-0331&lt;/electronic-resource-num&gt;&lt;remote-database-provider&gt;NLM&lt;/remote-database-provider&gt;&lt;language&gt;eng&lt;/language&gt;&lt;/record&gt;&lt;/Cite&gt;&lt;/EndNote&gt;</w:instrText>
      </w:r>
      <w:r w:rsidR="00205A7C">
        <w:fldChar w:fldCharType="separate"/>
      </w:r>
      <w:r w:rsidR="007D39C6">
        <w:rPr>
          <w:noProof/>
        </w:rPr>
        <w:t>(Wu, He et al. 2023)</w:t>
      </w:r>
      <w:r w:rsidR="00205A7C">
        <w:fldChar w:fldCharType="end"/>
      </w:r>
      <w:r w:rsidRPr="00D0668E">
        <w:t>.</w:t>
      </w:r>
      <w:r w:rsidR="00475391">
        <w:t xml:space="preserve"> This </w:t>
      </w:r>
      <w:r w:rsidR="00AE2109">
        <w:t xml:space="preserve">equates to an incident </w:t>
      </w:r>
      <w:r w:rsidR="00475391">
        <w:t xml:space="preserve">population </w:t>
      </w:r>
      <w:r w:rsidR="006E49CC">
        <w:t xml:space="preserve">of patients with metastatic NEN at </w:t>
      </w:r>
      <w:r w:rsidR="007B461E">
        <w:t>approximately 9 per 100,000 (</w:t>
      </w:r>
      <w:r w:rsidR="00A142B2">
        <w:t xml:space="preserve">50.3% regional and </w:t>
      </w:r>
      <w:r w:rsidR="00316ACA">
        <w:t xml:space="preserve">49.7% </w:t>
      </w:r>
      <w:r w:rsidR="00475391">
        <w:t>distant metastasis</w:t>
      </w:r>
      <w:r w:rsidR="00316ACA">
        <w:t xml:space="preserve">) </w:t>
      </w:r>
      <w:r w:rsidR="00936E0C">
        <w:fldChar w:fldCharType="begin">
          <w:fldData xml:space="preserve">PEVuZE5vdGU+PENpdGU+PEF1dGhvcj5BSUhXPC9BdXRob3I+PFllYXI+MjAyNTwvWWVhcj48UmVj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</w:fldData>
        </w:fldChar>
      </w:r>
      <w:r w:rsidR="007D39C6">
        <w:instrText xml:space="preserve"> ADDIN EN.CITE </w:instrText>
      </w:r>
      <w:r w:rsidR="007D39C6">
        <w:fldChar w:fldCharType="begin">
          <w:fldData xml:space="preserve">PEVuZE5vdGU+PENpdGU+PEF1dGhvcj5BSUhXPC9BdXRob3I+PFllYXI+MjAyNTwvWWVhcj48UmVj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</w:fldData>
        </w:fldChar>
      </w:r>
      <w:r w:rsidR="007D39C6">
        <w:instrText xml:space="preserve"> ADDIN EN.CITE.DATA </w:instrText>
      </w:r>
      <w:r w:rsidR="007D39C6">
        <w:fldChar w:fldCharType="end"/>
      </w:r>
      <w:r w:rsidR="00936E0C">
        <w:fldChar w:fldCharType="separate"/>
      </w:r>
      <w:r w:rsidR="007D39C6">
        <w:rPr>
          <w:noProof/>
        </w:rPr>
        <w:t>(Wu, He et al. 2023, AIHW 2025)</w:t>
      </w:r>
      <w:r w:rsidR="00936E0C">
        <w:fldChar w:fldCharType="end"/>
      </w:r>
      <w:r w:rsidR="00316ACA">
        <w:t>.</w:t>
      </w:r>
      <w:r w:rsidR="00475391">
        <w:t xml:space="preserve"> </w:t>
      </w:r>
      <w:r w:rsidR="005C1B9B">
        <w:t xml:space="preserve"> </w:t>
      </w:r>
      <w:r w:rsidR="00C77F34">
        <w:t xml:space="preserve">An older study from Queensland on </w:t>
      </w:r>
      <w:r w:rsidR="00C77F34" w:rsidRPr="00C77F34">
        <w:t>small intestinal</w:t>
      </w:r>
      <w:r w:rsidR="00C77F34">
        <w:t xml:space="preserve"> </w:t>
      </w:r>
      <w:r w:rsidR="00C77F34" w:rsidRPr="00C77F34">
        <w:t>neuroendocrine tumours</w:t>
      </w:r>
      <w:r w:rsidR="00C77F34">
        <w:t>, demonstrated that th</w:t>
      </w:r>
      <w:r w:rsidR="00C77F34" w:rsidRPr="00B35B5D">
        <w:t>e ileum was the most common primary tumour site, accounting for 49.1% of cases, and 84.2% of tumours exhibited carcinoid morphology</w:t>
      </w:r>
      <w:r w:rsidR="004C187E">
        <w:t xml:space="preserve"> </w:t>
      </w:r>
      <w:r w:rsidR="007D39C6">
        <w:fldChar w:fldCharType="begin"/>
      </w:r>
      <w:r w:rsidR="007D39C6">
        <w:instrText xml:space="preserve"> ADDIN EN.CITE &lt;EndNote&gt;&lt;Cite&gt;&lt;Author&gt;Wyld&lt;/Author&gt;&lt;Year&gt;2021&lt;/Year&gt;&lt;RecNum&gt;17&lt;/RecNum&gt;&lt;DisplayText&gt;(Wyld, Moore et al. 2021)&lt;/DisplayText&gt;&lt;record&gt;&lt;rec-number&gt;17&lt;/rec-number&gt;&lt;foreign-keys&gt;&lt;key app="EN" db-id="et0tvv0vcezr9neew2av9ppvfs25wf5sd0pd" timestamp="1784269102"&gt;17&lt;/key&gt;&lt;/foreign-keys&gt;&lt;ref-type name="Journal Article"&gt;17&lt;/ref-type&gt;&lt;contributors&gt;&lt;authors&gt;&lt;author&gt;Wyld, David&lt;/author&gt;&lt;author&gt;Moore, Julie&lt;/author&gt;&lt;author&gt;Tran, Nancy&lt;/author&gt;&lt;author&gt;Youl, Philippa&lt;/author&gt;&lt;/authors&gt;&lt;/contributors&gt;&lt;titles&gt;&lt;title&gt;Incidence, survival and stage at diagnosis of small intestinal neuroendocrine tumours in Queensland, Australia, 2001-2015&lt;/title&gt;&lt;secondary-title&gt;Asia-Pacific Journal of Clinical Oncology&lt;/secondary-title&gt;&lt;/titles&gt;&lt;periodical&gt;&lt;full-title&gt;Asia-Pacific Journal of Clinical Oncology&lt;/full-title&gt;&lt;/periodical&gt;&lt;pages&gt;350-358&lt;/pages&gt;&lt;volume&gt;17&lt;/volume&gt;&lt;number&gt;4&lt;/number&gt;&lt;keywords&gt;&lt;keyword&gt;incidence&lt;/keyword&gt;&lt;keyword&gt;neuroendocrine neoplasms&lt;/keyword&gt;&lt;keyword&gt;population-based&lt;/keyword&gt;&lt;keyword&gt;small intestine&lt;/keyword&gt;&lt;keyword&gt;stage&lt;/keyword&gt;&lt;keyword&gt;survival&lt;/keyword&gt;&lt;/keywords&gt;&lt;dates&gt;&lt;year&gt;2021&lt;/year&gt;&lt;pub-dates&gt;&lt;date&gt;2021/08/01&lt;/date&gt;&lt;/pub-dates&gt;&lt;/dates&gt;&lt;publisher&gt;John Wiley &amp;amp; Sons, Ltd&lt;/publisher&gt;&lt;isbn&gt;1743-7555&lt;/isbn&gt;&lt;urls&gt;&lt;related-urls&gt;&lt;url&gt;https://doi.org/10.1111/ajco.13503&lt;/url&gt;&lt;/related-urls&gt;&lt;/urls&gt;&lt;electronic-resource-num&gt;https://doi.org/10.1111/ajco.13503&lt;/electronic-resource-num&gt;&lt;access-date&gt;2026/07/16&lt;/access-date&gt;&lt;/record&gt;&lt;/Cite&gt;&lt;/EndNote&gt;</w:instrText>
      </w:r>
      <w:r w:rsidR="007D39C6">
        <w:fldChar w:fldCharType="separate"/>
      </w:r>
      <w:r w:rsidR="007D39C6">
        <w:rPr>
          <w:noProof/>
        </w:rPr>
        <w:t>(Wyld, Moore et al. 2021)</w:t>
      </w:r>
      <w:r w:rsidR="007D39C6">
        <w:fldChar w:fldCharType="end"/>
      </w:r>
      <w:r w:rsidR="00C77F34" w:rsidRPr="00B35B5D">
        <w:t>. Disease stage at diagnosis was available for 91.7% of patients, of whom 28.3% presented with regional disease and 23.9% had distant metastatic disease</w:t>
      </w:r>
      <w:r w:rsidR="000369BB">
        <w:t xml:space="preserve"> a similar rate </w:t>
      </w:r>
      <w:r w:rsidR="007F062D">
        <w:t xml:space="preserve">to the US study </w:t>
      </w:r>
      <w:r w:rsidR="000369BB">
        <w:t>of 52.2%</w:t>
      </w:r>
      <w:r w:rsidR="007F062D">
        <w:t xml:space="preserve"> of patients being eligible</w:t>
      </w:r>
      <w:r w:rsidR="00C77F34">
        <w:t xml:space="preserve"> </w:t>
      </w:r>
      <w:r w:rsidR="007D39C6">
        <w:fldChar w:fldCharType="begin"/>
      </w:r>
      <w:r w:rsidR="007D39C6">
        <w:instrText xml:space="preserve"> ADDIN EN.CITE &lt;EndNote&gt;&lt;Cite&gt;&lt;Author&gt;Wyld&lt;/Author&gt;&lt;Year&gt;2021&lt;/Year&gt;&lt;RecNum&gt;17&lt;/RecNum&gt;&lt;DisplayText&gt;(Wyld, Moore et al. 2021)&lt;/DisplayText&gt;&lt;record&gt;&lt;rec-number&gt;17&lt;/rec-number&gt;&lt;foreign-keys&gt;&lt;key app="EN" db-id="et0tvv0vcezr9neew2av9ppvfs25wf5sd0pd" timestamp="1784269102"&gt;17&lt;/key&gt;&lt;/foreign-keys&gt;&lt;ref-type name="Journal Article"&gt;17&lt;/ref-type&gt;&lt;contributors&gt;&lt;authors&gt;&lt;author&gt;Wyld, David&lt;/author&gt;&lt;author&gt;Moore, Julie&lt;/author&gt;&lt;author&gt;Tran, Nancy&lt;/author&gt;&lt;author&gt;Youl, Philippa&lt;/author&gt;&lt;/authors&gt;&lt;/contributors&gt;&lt;titles&gt;&lt;title&gt;Incidence, survival and stage at diagnosis of small intestinal neuroendocrine tumours in Queensland, Australia, 2001-2015&lt;/title&gt;&lt;secondary-title&gt;Asia-Pacific Journal of Clinical Oncology&lt;/secondary-title&gt;&lt;/titles&gt;&lt;periodical&gt;&lt;full-title&gt;Asia-Pacific Journal of Clinical Oncology&lt;/full-title&gt;&lt;/periodical&gt;&lt;pages&gt;350-358&lt;/pages&gt;&lt;volume&gt;17&lt;/volume&gt;&lt;number&gt;4&lt;/number&gt;&lt;keywords&gt;&lt;keyword&gt;incidence&lt;/keyword&gt;&lt;keyword&gt;neuroendocrine neoplasms&lt;/keyword&gt;&lt;keyword&gt;population-based&lt;/keyword&gt;&lt;keyword&gt;small intestine&lt;/keyword&gt;&lt;keyword&gt;stage&lt;/keyword&gt;&lt;keyword&gt;survival&lt;/keyword&gt;&lt;/keywords&gt;&lt;dates&gt;&lt;year&gt;2021&lt;/year&gt;&lt;pub-dates&gt;&lt;date&gt;2021/08/01&lt;/date&gt;&lt;/pub-dates&gt;&lt;/dates&gt;&lt;publisher&gt;John Wiley &amp;amp; Sons, Ltd&lt;/publisher&gt;&lt;isbn&gt;1743-7555&lt;/isbn&gt;&lt;urls&gt;&lt;related-urls&gt;&lt;url&gt;https://doi.org/10.1111/ajco.13503&lt;/url&gt;&lt;/related-urls&gt;&lt;/urls&gt;&lt;electronic-resource-num&gt;https://doi.org/10.1111/ajco.13503&lt;/electronic-resource-num&gt;&lt;access-date&gt;2026/07/16&lt;/access-date&gt;&lt;/record&gt;&lt;/Cite&gt;&lt;/EndNote&gt;</w:instrText>
      </w:r>
      <w:r w:rsidR="007D39C6">
        <w:fldChar w:fldCharType="separate"/>
      </w:r>
      <w:r w:rsidR="007D39C6">
        <w:rPr>
          <w:noProof/>
        </w:rPr>
        <w:t>(Wyld, Moore et al. 2021)</w:t>
      </w:r>
      <w:r w:rsidR="007D39C6">
        <w:fldChar w:fldCharType="end"/>
      </w:r>
      <w:r w:rsidR="00C77F34" w:rsidRPr="00B35B5D">
        <w:t>.</w:t>
      </w:r>
    </w:p>
    <w:p w14:paraId="555270D5" w14:textId="77777777" w:rsidR="00701A05" w:rsidRDefault="00C72A9D" w:rsidP="00701A05">
      <w:pPr>
        <w:pStyle w:val="Instructionaltext"/>
        <w:keepNext/>
      </w:pPr>
      <w:r w:rsidRPr="00B07D56">
        <w:rPr>
          <w:noProof/>
          <w:sz w:val="24"/>
          <w:szCs w:val="24"/>
          <w:lang w:val="en-GB"/>
        </w:rPr>
        <w:lastRenderedPageBreak/>
        <w:drawing>
          <wp:inline distT="0" distB="0" distL="0" distR="0" wp14:anchorId="5AA7B879" wp14:editId="5E19AF09">
            <wp:extent cx="6030595" cy="1719580"/>
            <wp:effectExtent l="0" t="0" r="8255" b="0"/>
            <wp:docPr id="1809877006" name="Picture 1" descr="This image presents the Historical data indicate the incidence of NENs is increasing (Figure 1). The most recent age-standardised incidence rate reported by the Australian Institute of Health and Welfare (AIHW) was around 19 per 100,000 in 2021 (21.4 per 100,000 in males and 17.4 per 100,000 in females), noting that the eligible population is a subset of these (AIHW 202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877006" name="Picture 1" descr="This image presents the Historical data indicate the incidence of NENs is increasing (Figure 1). The most recent age-standardised incidence rate reported by the Australian Institute of Health and Welfare (AIHW) was around 19 per 100,000 in 2021 (21.4 per 100,000 in males and 17.4 per 100,000 in females), noting that the eligible population is a subset of these (AIHW 2025). "/>
                    <pic:cNvPicPr/>
                  </pic:nvPicPr>
                  <pic:blipFill>
                    <a:blip r:embed="rId8"/>
                    <a:stretch>
                      <a:fillRect/>
                    </a:stretch>
                  </pic:blipFill>
                  <pic:spPr>
                    <a:xfrm>
                      <a:off x="0" y="0"/>
                      <a:ext cx="6030595" cy="1719580"/>
                    </a:xfrm>
                    <a:prstGeom prst="rect">
                      <a:avLst/>
                    </a:prstGeom>
                  </pic:spPr>
                </pic:pic>
              </a:graphicData>
            </a:graphic>
          </wp:inline>
        </w:drawing>
      </w:r>
    </w:p>
    <w:p w14:paraId="20CA9FB2" w14:textId="30CC892B" w:rsidR="008D60AA" w:rsidRDefault="00701A05" w:rsidP="00701A05">
      <w:pPr>
        <w:pStyle w:val="Caption"/>
      </w:pPr>
      <w:r>
        <w:t xml:space="preserve">Figure </w:t>
      </w:r>
      <w:r>
        <w:fldChar w:fldCharType="begin"/>
      </w:r>
      <w:r>
        <w:instrText xml:space="preserve"> SEQ Figure \* ARABIC </w:instrText>
      </w:r>
      <w:r>
        <w:fldChar w:fldCharType="separate"/>
      </w:r>
      <w:r w:rsidR="00D91B13">
        <w:rPr>
          <w:noProof/>
        </w:rPr>
        <w:t>1</w:t>
      </w:r>
      <w:r>
        <w:fldChar w:fldCharType="end"/>
      </w:r>
      <w:r>
        <w:t xml:space="preserve"> </w:t>
      </w:r>
      <w:r w:rsidRPr="00B7774B">
        <w:t>Age-standardised (2025 Australian population) incidence rate for NENs by sex, 1982 to 2025</w:t>
      </w:r>
      <w:r>
        <w:t xml:space="preserve"> </w:t>
      </w:r>
      <w:r w:rsidR="007D39C6">
        <w:fldChar w:fldCharType="begin"/>
      </w:r>
      <w:r w:rsidR="007D39C6">
        <w:instrText xml:space="preserve"> ADDIN EN.CITE &lt;EndNote&gt;&lt;Cite&gt;&lt;Author&gt;AIHW&lt;/Author&gt;&lt;Year&gt;2025&lt;/Year&gt;&lt;RecNum&gt;6&lt;/RecNum&gt;&lt;DisplayText&gt;(AIHW 2025)&lt;/DisplayText&gt;&lt;record&gt;&lt;rec-number&gt;6&lt;/rec-number&gt;&lt;foreign-keys&gt;&lt;key app="EN" db-id="et0tvv0vcezr9neew2av9ppvfs25wf5sd0pd" timestamp="1781495097"&gt;6&lt;/key&gt;&lt;/foreign-keys&gt;&lt;ref-type name="Journal Article"&gt;17&lt;/ref-type&gt;&lt;contributors&gt;&lt;authors&gt;&lt;author&gt;AIHW,&lt;/author&gt;&lt;/authors&gt;&lt;/contributors&gt;&lt;titles&gt;&lt;title&gt;Cancer data in Australia, Cancer summary data visualisation&lt;/title&gt;&lt;secondary-title&gt;Australian Institute of Health and Welfare&lt;/secondary-title&gt;&lt;/titles&gt;&lt;periodical&gt;&lt;full-title&gt;Australian Institute of Health and Welfare&lt;/full-title&gt;&lt;/periodical&gt;&lt;dates&gt;&lt;year&gt;2025&lt;/year&gt;&lt;pub-dates&gt;&lt;date&gt;2025/10/08/&lt;/date&gt;&lt;/pub-dates&gt;&lt;/dates&gt;&lt;urls&gt;&lt;related-urls&gt;&lt;url&gt;https://www.aihw.gov.au/reports/cancer/cancer-data-in-australia/contents/summary-dashboard&lt;/url&gt;&lt;/related-urls&gt;&lt;/urls&gt;&lt;language&gt;en&lt;/language&gt;&lt;access-date&gt;2026/06/15/03:44:37&lt;/access-date&gt;&lt;/record&gt;&lt;/Cite&gt;&lt;/EndNote&gt;</w:instrText>
      </w:r>
      <w:r w:rsidR="007D39C6">
        <w:fldChar w:fldCharType="separate"/>
      </w:r>
      <w:r w:rsidR="007D39C6">
        <w:rPr>
          <w:noProof/>
        </w:rPr>
        <w:t>(AIHW 2025)</w:t>
      </w:r>
      <w:r w:rsidR="007D39C6">
        <w:fldChar w:fldCharType="end"/>
      </w:r>
    </w:p>
    <w:p w14:paraId="0FF72B06" w14:textId="77777777" w:rsidR="00326162" w:rsidRDefault="00326162" w:rsidP="00326162">
      <w:pPr>
        <w:rPr>
          <w:lang w:val="en-GB" w:eastAsia="ja-JP"/>
        </w:rPr>
      </w:pPr>
    </w:p>
    <w:p w14:paraId="1B438E26" w14:textId="612D391E" w:rsidR="00326162" w:rsidRPr="00D4599B" w:rsidRDefault="00326162" w:rsidP="00326162">
      <w:pPr>
        <w:autoSpaceDE w:val="0"/>
        <w:autoSpaceDN w:val="0"/>
        <w:adjustRightInd w:val="0"/>
        <w:spacing w:line="23" w:lineRule="atLeast"/>
        <w:rPr>
          <w:rFonts w:asciiTheme="minorHAnsi" w:hAnsiTheme="minorHAnsi" w:cstheme="minorHAnsi"/>
          <w:i/>
          <w:iCs/>
          <w:szCs w:val="20"/>
        </w:rPr>
      </w:pPr>
      <w:r w:rsidRPr="00D4599B">
        <w:rPr>
          <w:rFonts w:asciiTheme="minorHAnsi" w:hAnsiTheme="minorHAnsi" w:cstheme="minorHAnsi"/>
          <w:i/>
          <w:iCs/>
          <w:szCs w:val="20"/>
        </w:rPr>
        <w:t xml:space="preserve">PASC noted the substantial heterogeneity of neuroendocrine neoplasms and that some neuroendocrine tumours do not produce </w:t>
      </w:r>
      <w:r w:rsidR="00976152" w:rsidRPr="00976152">
        <w:rPr>
          <w:rFonts w:asciiTheme="minorHAnsi" w:hAnsiTheme="minorHAnsi" w:cstheme="minorHAnsi"/>
          <w:i/>
          <w:iCs/>
          <w:szCs w:val="20"/>
        </w:rPr>
        <w:t xml:space="preserve">or secrete sufficient </w:t>
      </w:r>
      <w:proofErr w:type="spellStart"/>
      <w:r w:rsidR="00976152" w:rsidRPr="00976152">
        <w:rPr>
          <w:rFonts w:asciiTheme="minorHAnsi" w:hAnsiTheme="minorHAnsi" w:cstheme="minorHAnsi"/>
          <w:i/>
          <w:iCs/>
          <w:szCs w:val="20"/>
        </w:rPr>
        <w:t>CgA</w:t>
      </w:r>
      <w:proofErr w:type="spellEnd"/>
      <w:r w:rsidR="00976152" w:rsidRPr="00976152">
        <w:rPr>
          <w:rFonts w:asciiTheme="minorHAnsi" w:hAnsiTheme="minorHAnsi" w:cstheme="minorHAnsi"/>
          <w:i/>
          <w:iCs/>
          <w:szCs w:val="20"/>
        </w:rPr>
        <w:t xml:space="preserve"> to result in elevated blood concentrations.</w:t>
      </w:r>
      <w:r w:rsidR="00C12063">
        <w:rPr>
          <w:rFonts w:asciiTheme="minorHAnsi" w:hAnsiTheme="minorHAnsi" w:cstheme="minorHAnsi"/>
          <w:i/>
          <w:iCs/>
          <w:szCs w:val="20"/>
        </w:rPr>
        <w:t xml:space="preserve"> </w:t>
      </w:r>
      <w:r w:rsidR="005A129D">
        <w:rPr>
          <w:rFonts w:asciiTheme="minorHAnsi" w:hAnsiTheme="minorHAnsi" w:cstheme="minorHAnsi"/>
          <w:i/>
          <w:iCs/>
          <w:szCs w:val="20"/>
        </w:rPr>
        <w:t>PASC also noted that f</w:t>
      </w:r>
      <w:r w:rsidR="00251B0F">
        <w:rPr>
          <w:rFonts w:asciiTheme="minorHAnsi" w:hAnsiTheme="minorHAnsi" w:cstheme="minorHAnsi"/>
          <w:i/>
          <w:iCs/>
          <w:szCs w:val="20"/>
        </w:rPr>
        <w:t xml:space="preserve">or some subtypes (e.g. BPNETS) there is </w:t>
      </w:r>
      <w:r w:rsidR="005251A3">
        <w:rPr>
          <w:rFonts w:asciiTheme="minorHAnsi" w:hAnsiTheme="minorHAnsi" w:cstheme="minorHAnsi"/>
          <w:i/>
          <w:iCs/>
          <w:szCs w:val="20"/>
        </w:rPr>
        <w:t xml:space="preserve">published </w:t>
      </w:r>
      <w:r w:rsidR="00251B0F">
        <w:rPr>
          <w:rFonts w:asciiTheme="minorHAnsi" w:hAnsiTheme="minorHAnsi" w:cstheme="minorHAnsi"/>
          <w:i/>
          <w:iCs/>
          <w:szCs w:val="20"/>
        </w:rPr>
        <w:t xml:space="preserve">evidence that </w:t>
      </w:r>
      <w:r w:rsidR="00A11501">
        <w:rPr>
          <w:rFonts w:asciiTheme="minorHAnsi" w:hAnsiTheme="minorHAnsi" w:cstheme="minorHAnsi"/>
          <w:i/>
          <w:iCs/>
          <w:szCs w:val="20"/>
        </w:rPr>
        <w:t xml:space="preserve">serum </w:t>
      </w:r>
      <w:proofErr w:type="spellStart"/>
      <w:r w:rsidR="00251B0F">
        <w:rPr>
          <w:rFonts w:asciiTheme="minorHAnsi" w:hAnsiTheme="minorHAnsi" w:cstheme="minorHAnsi"/>
          <w:i/>
          <w:iCs/>
          <w:szCs w:val="20"/>
        </w:rPr>
        <w:t>CgA</w:t>
      </w:r>
      <w:proofErr w:type="spellEnd"/>
      <w:r w:rsidR="00251B0F">
        <w:rPr>
          <w:rFonts w:asciiTheme="minorHAnsi" w:hAnsiTheme="minorHAnsi" w:cstheme="minorHAnsi"/>
          <w:i/>
          <w:iCs/>
          <w:szCs w:val="20"/>
        </w:rPr>
        <w:t xml:space="preserve"> monitoring is of limited value. </w:t>
      </w:r>
      <w:r w:rsidR="00450698">
        <w:rPr>
          <w:rFonts w:asciiTheme="minorHAnsi" w:hAnsiTheme="minorHAnsi" w:cstheme="minorHAnsi"/>
          <w:i/>
          <w:iCs/>
          <w:szCs w:val="20"/>
        </w:rPr>
        <w:t>However, PASC noted that</w:t>
      </w:r>
      <w:r w:rsidRPr="00D4599B">
        <w:rPr>
          <w:rFonts w:asciiTheme="minorHAnsi" w:hAnsiTheme="minorHAnsi" w:cstheme="minorHAnsi"/>
          <w:i/>
          <w:iCs/>
          <w:szCs w:val="20"/>
        </w:rPr>
        <w:t xml:space="preserve"> the proposed population did not </w:t>
      </w:r>
      <w:r w:rsidR="00B727CB">
        <w:rPr>
          <w:rFonts w:asciiTheme="minorHAnsi" w:hAnsiTheme="minorHAnsi" w:cstheme="minorHAnsi"/>
          <w:i/>
          <w:iCs/>
          <w:szCs w:val="20"/>
        </w:rPr>
        <w:t>specify</w:t>
      </w:r>
      <w:r w:rsidR="00B727CB" w:rsidRPr="00D4599B">
        <w:rPr>
          <w:rFonts w:asciiTheme="minorHAnsi" w:hAnsiTheme="minorHAnsi" w:cstheme="minorHAnsi"/>
          <w:i/>
          <w:iCs/>
          <w:szCs w:val="20"/>
        </w:rPr>
        <w:t xml:space="preserve"> </w:t>
      </w:r>
      <w:r w:rsidRPr="00D4599B">
        <w:rPr>
          <w:rFonts w:asciiTheme="minorHAnsi" w:hAnsiTheme="minorHAnsi" w:cstheme="minorHAnsi"/>
          <w:i/>
          <w:iCs/>
          <w:szCs w:val="20"/>
        </w:rPr>
        <w:t xml:space="preserve">patients </w:t>
      </w:r>
      <w:r w:rsidR="005132ED">
        <w:rPr>
          <w:rFonts w:asciiTheme="minorHAnsi" w:hAnsiTheme="minorHAnsi" w:cstheme="minorHAnsi"/>
          <w:i/>
          <w:iCs/>
          <w:szCs w:val="20"/>
        </w:rPr>
        <w:t>must</w:t>
      </w:r>
      <w:r w:rsidRPr="00D4599B">
        <w:rPr>
          <w:rFonts w:asciiTheme="minorHAnsi" w:hAnsiTheme="minorHAnsi" w:cstheme="minorHAnsi"/>
          <w:i/>
          <w:iCs/>
          <w:szCs w:val="20"/>
        </w:rPr>
        <w:t xml:space="preserve"> have an elevated baseline </w:t>
      </w:r>
      <w:proofErr w:type="spellStart"/>
      <w:r w:rsidRPr="00D4599B">
        <w:rPr>
          <w:rFonts w:asciiTheme="minorHAnsi" w:hAnsiTheme="minorHAnsi" w:cstheme="minorHAnsi"/>
          <w:i/>
          <w:iCs/>
          <w:szCs w:val="20"/>
        </w:rPr>
        <w:t>CgA</w:t>
      </w:r>
      <w:proofErr w:type="spellEnd"/>
      <w:r w:rsidRPr="00D4599B">
        <w:rPr>
          <w:rFonts w:asciiTheme="minorHAnsi" w:hAnsiTheme="minorHAnsi" w:cstheme="minorHAnsi"/>
          <w:i/>
          <w:iCs/>
          <w:szCs w:val="20"/>
        </w:rPr>
        <w:t>.</w:t>
      </w:r>
      <w:r w:rsidR="005721F6">
        <w:rPr>
          <w:rFonts w:asciiTheme="minorHAnsi" w:hAnsiTheme="minorHAnsi" w:cstheme="minorHAnsi"/>
          <w:i/>
          <w:iCs/>
          <w:szCs w:val="20"/>
        </w:rPr>
        <w:t xml:space="preserve"> </w:t>
      </w:r>
      <w:r w:rsidRPr="00D4599B">
        <w:rPr>
          <w:rFonts w:asciiTheme="minorHAnsi" w:hAnsiTheme="minorHAnsi" w:cstheme="minorHAnsi"/>
          <w:i/>
          <w:iCs/>
          <w:szCs w:val="20"/>
        </w:rPr>
        <w:t xml:space="preserve">PASC questioned the clinical utility of serial monitoring in patients whose tumours do not produce elevated </w:t>
      </w:r>
      <w:r w:rsidR="00A11501">
        <w:rPr>
          <w:rFonts w:asciiTheme="minorHAnsi" w:hAnsiTheme="minorHAnsi" w:cstheme="minorHAnsi"/>
          <w:i/>
          <w:iCs/>
          <w:szCs w:val="20"/>
        </w:rPr>
        <w:t xml:space="preserve">serum </w:t>
      </w:r>
      <w:proofErr w:type="spellStart"/>
      <w:r w:rsidRPr="00D4599B">
        <w:rPr>
          <w:rFonts w:asciiTheme="minorHAnsi" w:hAnsiTheme="minorHAnsi" w:cstheme="minorHAnsi"/>
          <w:i/>
          <w:iCs/>
          <w:szCs w:val="20"/>
        </w:rPr>
        <w:t>CgA</w:t>
      </w:r>
      <w:proofErr w:type="spellEnd"/>
      <w:r w:rsidRPr="00D4599B">
        <w:rPr>
          <w:rFonts w:asciiTheme="minorHAnsi" w:hAnsiTheme="minorHAnsi" w:cstheme="minorHAnsi"/>
          <w:i/>
          <w:iCs/>
          <w:szCs w:val="20"/>
        </w:rPr>
        <w:t xml:space="preserve"> and </w:t>
      </w:r>
      <w:r w:rsidR="00AE6CC8">
        <w:rPr>
          <w:rFonts w:asciiTheme="minorHAnsi" w:hAnsiTheme="minorHAnsi" w:cstheme="minorHAnsi"/>
          <w:i/>
          <w:iCs/>
          <w:szCs w:val="20"/>
        </w:rPr>
        <w:t xml:space="preserve">considered </w:t>
      </w:r>
      <w:r w:rsidRPr="00D4599B">
        <w:rPr>
          <w:rFonts w:asciiTheme="minorHAnsi" w:hAnsiTheme="minorHAnsi" w:cstheme="minorHAnsi"/>
          <w:i/>
          <w:iCs/>
          <w:szCs w:val="20"/>
        </w:rPr>
        <w:t xml:space="preserve">that </w:t>
      </w:r>
      <w:r w:rsidR="00AE6CC8">
        <w:rPr>
          <w:rFonts w:asciiTheme="minorHAnsi" w:hAnsiTheme="minorHAnsi" w:cstheme="minorHAnsi"/>
          <w:i/>
          <w:iCs/>
          <w:szCs w:val="20"/>
        </w:rPr>
        <w:t xml:space="preserve">the population description should be clear that </w:t>
      </w:r>
      <w:r w:rsidRPr="00D4599B">
        <w:rPr>
          <w:rFonts w:asciiTheme="minorHAnsi" w:hAnsiTheme="minorHAnsi" w:cstheme="minorHAnsi"/>
          <w:i/>
          <w:iCs/>
          <w:szCs w:val="20"/>
        </w:rPr>
        <w:t xml:space="preserve">a baseline </w:t>
      </w:r>
      <w:proofErr w:type="spellStart"/>
      <w:r w:rsidRPr="00D4599B">
        <w:rPr>
          <w:rFonts w:asciiTheme="minorHAnsi" w:hAnsiTheme="minorHAnsi" w:cstheme="minorHAnsi"/>
          <w:i/>
          <w:iCs/>
          <w:szCs w:val="20"/>
        </w:rPr>
        <w:t>CgA</w:t>
      </w:r>
      <w:proofErr w:type="spellEnd"/>
      <w:r w:rsidRPr="00D4599B">
        <w:rPr>
          <w:rFonts w:asciiTheme="minorHAnsi" w:hAnsiTheme="minorHAnsi" w:cstheme="minorHAnsi"/>
          <w:i/>
          <w:iCs/>
          <w:szCs w:val="20"/>
        </w:rPr>
        <w:t xml:space="preserve"> measurement should be undertaken to establish that </w:t>
      </w:r>
      <w:proofErr w:type="spellStart"/>
      <w:r w:rsidRPr="00D4599B">
        <w:rPr>
          <w:rFonts w:asciiTheme="minorHAnsi" w:hAnsiTheme="minorHAnsi" w:cstheme="minorHAnsi"/>
          <w:i/>
          <w:iCs/>
          <w:szCs w:val="20"/>
        </w:rPr>
        <w:t>CgA</w:t>
      </w:r>
      <w:proofErr w:type="spellEnd"/>
      <w:r w:rsidRPr="00D4599B">
        <w:rPr>
          <w:rFonts w:asciiTheme="minorHAnsi" w:hAnsiTheme="minorHAnsi" w:cstheme="minorHAnsi"/>
          <w:i/>
          <w:iCs/>
          <w:szCs w:val="20"/>
        </w:rPr>
        <w:t xml:space="preserve"> is elevated </w:t>
      </w:r>
      <w:r w:rsidR="00A32878" w:rsidRPr="00D4599B">
        <w:rPr>
          <w:rFonts w:asciiTheme="minorHAnsi" w:hAnsiTheme="minorHAnsi" w:cstheme="minorHAnsi"/>
          <w:i/>
          <w:iCs/>
          <w:szCs w:val="20"/>
        </w:rPr>
        <w:t>before commencing serial monitoring</w:t>
      </w:r>
      <w:r w:rsidRPr="00D4599B">
        <w:rPr>
          <w:rFonts w:asciiTheme="minorHAnsi" w:hAnsiTheme="minorHAnsi" w:cstheme="minorHAnsi"/>
          <w:i/>
          <w:iCs/>
          <w:szCs w:val="20"/>
        </w:rPr>
        <w:t xml:space="preserve">. </w:t>
      </w:r>
    </w:p>
    <w:p w14:paraId="09B0F66A" w14:textId="17CC1891" w:rsidR="00326162" w:rsidRPr="00D4599B" w:rsidRDefault="00326162" w:rsidP="00326162">
      <w:pPr>
        <w:autoSpaceDE w:val="0"/>
        <w:autoSpaceDN w:val="0"/>
        <w:adjustRightInd w:val="0"/>
        <w:spacing w:line="23" w:lineRule="atLeast"/>
        <w:rPr>
          <w:rFonts w:asciiTheme="minorHAnsi" w:hAnsiTheme="minorHAnsi" w:cstheme="minorHAnsi"/>
          <w:i/>
          <w:iCs/>
          <w:szCs w:val="20"/>
        </w:rPr>
      </w:pPr>
      <w:r w:rsidRPr="00D4599B">
        <w:rPr>
          <w:rFonts w:asciiTheme="minorHAnsi" w:hAnsiTheme="minorHAnsi" w:cstheme="minorHAnsi"/>
          <w:i/>
          <w:iCs/>
          <w:szCs w:val="20"/>
        </w:rPr>
        <w:t>PASC</w:t>
      </w:r>
      <w:r w:rsidR="000378FE">
        <w:rPr>
          <w:rFonts w:asciiTheme="minorHAnsi" w:hAnsiTheme="minorHAnsi" w:cstheme="minorHAnsi"/>
          <w:i/>
          <w:iCs/>
          <w:szCs w:val="20"/>
        </w:rPr>
        <w:t xml:space="preserve"> </w:t>
      </w:r>
      <w:r w:rsidR="0090351A">
        <w:rPr>
          <w:rFonts w:asciiTheme="minorHAnsi" w:hAnsiTheme="minorHAnsi" w:cstheme="minorHAnsi"/>
          <w:i/>
          <w:iCs/>
          <w:szCs w:val="20"/>
        </w:rPr>
        <w:t>queried</w:t>
      </w:r>
      <w:r w:rsidRPr="00D4599B">
        <w:rPr>
          <w:rFonts w:asciiTheme="minorHAnsi" w:hAnsiTheme="minorHAnsi" w:cstheme="minorHAnsi"/>
          <w:i/>
          <w:iCs/>
          <w:szCs w:val="20"/>
        </w:rPr>
        <w:t xml:space="preserve"> the justification for the proposed population, noting that it did not directly align with the population described in the COSA consensus statement</w:t>
      </w:r>
      <w:r w:rsidR="001D793A">
        <w:rPr>
          <w:rFonts w:asciiTheme="minorHAnsi" w:hAnsiTheme="minorHAnsi" w:cstheme="minorHAnsi"/>
          <w:i/>
          <w:iCs/>
          <w:szCs w:val="20"/>
        </w:rPr>
        <w:t>,</w:t>
      </w:r>
      <w:r w:rsidR="001D793A" w:rsidRPr="001D793A">
        <w:rPr>
          <w:rFonts w:asciiTheme="minorHAnsi" w:hAnsiTheme="minorHAnsi" w:cstheme="minorHAnsi"/>
          <w:i/>
          <w:iCs/>
          <w:szCs w:val="20"/>
        </w:rPr>
        <w:t xml:space="preserve"> </w:t>
      </w:r>
      <w:r w:rsidR="001D793A">
        <w:rPr>
          <w:rFonts w:asciiTheme="minorHAnsi" w:hAnsiTheme="minorHAnsi" w:cstheme="minorHAnsi"/>
          <w:i/>
          <w:iCs/>
          <w:szCs w:val="20"/>
        </w:rPr>
        <w:t xml:space="preserve">did not exclude subtypes where </w:t>
      </w:r>
      <w:proofErr w:type="spellStart"/>
      <w:r w:rsidR="001D793A">
        <w:rPr>
          <w:rFonts w:asciiTheme="minorHAnsi" w:hAnsiTheme="minorHAnsi" w:cstheme="minorHAnsi"/>
          <w:i/>
          <w:iCs/>
          <w:szCs w:val="20"/>
        </w:rPr>
        <w:t>CgA</w:t>
      </w:r>
      <w:proofErr w:type="spellEnd"/>
      <w:r w:rsidR="001D793A">
        <w:rPr>
          <w:rFonts w:asciiTheme="minorHAnsi" w:hAnsiTheme="minorHAnsi" w:cstheme="minorHAnsi"/>
          <w:i/>
          <w:iCs/>
          <w:szCs w:val="20"/>
        </w:rPr>
        <w:t xml:space="preserve"> monitoring is known to be of limited value</w:t>
      </w:r>
      <w:r w:rsidR="00973365">
        <w:rPr>
          <w:rFonts w:asciiTheme="minorHAnsi" w:hAnsiTheme="minorHAnsi" w:cstheme="minorHAnsi"/>
          <w:i/>
          <w:iCs/>
          <w:szCs w:val="20"/>
        </w:rPr>
        <w:t xml:space="preserve"> </w:t>
      </w:r>
      <w:r w:rsidRPr="00D4599B">
        <w:rPr>
          <w:rFonts w:asciiTheme="minorHAnsi" w:hAnsiTheme="minorHAnsi" w:cstheme="minorHAnsi"/>
          <w:i/>
          <w:iCs/>
          <w:szCs w:val="20"/>
        </w:rPr>
        <w:t xml:space="preserve">and was broader than the more selected populations evaluated in the available evidence. The applicant explained that the proposed focus on patients with advanced disease reflected the view that these patients are more likely to have elevated </w:t>
      </w:r>
      <w:proofErr w:type="spellStart"/>
      <w:r w:rsidRPr="00D4599B">
        <w:rPr>
          <w:rFonts w:asciiTheme="minorHAnsi" w:hAnsiTheme="minorHAnsi" w:cstheme="minorHAnsi"/>
          <w:i/>
          <w:iCs/>
          <w:szCs w:val="20"/>
        </w:rPr>
        <w:t>CgA</w:t>
      </w:r>
      <w:proofErr w:type="spellEnd"/>
      <w:r w:rsidRPr="00D4599B">
        <w:rPr>
          <w:rFonts w:asciiTheme="minorHAnsi" w:hAnsiTheme="minorHAnsi" w:cstheme="minorHAnsi"/>
          <w:i/>
          <w:iCs/>
          <w:szCs w:val="20"/>
        </w:rPr>
        <w:t xml:space="preserve"> and that false-positive elevations are less likely to be clinically significant where </w:t>
      </w:r>
      <w:proofErr w:type="spellStart"/>
      <w:r w:rsidRPr="00D4599B">
        <w:rPr>
          <w:rFonts w:asciiTheme="minorHAnsi" w:hAnsiTheme="minorHAnsi" w:cstheme="minorHAnsi"/>
          <w:i/>
          <w:iCs/>
          <w:szCs w:val="20"/>
        </w:rPr>
        <w:t>CgA</w:t>
      </w:r>
      <w:proofErr w:type="spellEnd"/>
      <w:r w:rsidRPr="00D4599B">
        <w:rPr>
          <w:rFonts w:asciiTheme="minorHAnsi" w:hAnsiTheme="minorHAnsi" w:cstheme="minorHAnsi"/>
          <w:i/>
          <w:iCs/>
          <w:szCs w:val="20"/>
        </w:rPr>
        <w:t xml:space="preserve"> levels are substantially elevated. The applicant also considered that serial </w:t>
      </w:r>
      <w:proofErr w:type="spellStart"/>
      <w:r w:rsidRPr="00D4599B">
        <w:rPr>
          <w:rFonts w:asciiTheme="minorHAnsi" w:hAnsiTheme="minorHAnsi" w:cstheme="minorHAnsi"/>
          <w:i/>
          <w:iCs/>
          <w:szCs w:val="20"/>
        </w:rPr>
        <w:t>CgA</w:t>
      </w:r>
      <w:proofErr w:type="spellEnd"/>
      <w:r w:rsidRPr="00D4599B">
        <w:rPr>
          <w:rFonts w:asciiTheme="minorHAnsi" w:hAnsiTheme="minorHAnsi" w:cstheme="minorHAnsi"/>
          <w:i/>
          <w:iCs/>
          <w:szCs w:val="20"/>
        </w:rPr>
        <w:t xml:space="preserve"> monitoring may be most useful in selected patients with more indolent disease.</w:t>
      </w:r>
    </w:p>
    <w:p w14:paraId="0BAA6DAF" w14:textId="3AA8DA08" w:rsidR="0072057C" w:rsidRPr="00D4599B" w:rsidRDefault="00326162" w:rsidP="6C2537F6">
      <w:pPr>
        <w:autoSpaceDE w:val="0"/>
        <w:autoSpaceDN w:val="0"/>
        <w:adjustRightInd w:val="0"/>
        <w:spacing w:line="23" w:lineRule="atLeast"/>
        <w:rPr>
          <w:rFonts w:asciiTheme="minorHAnsi" w:hAnsiTheme="minorHAnsi" w:cstheme="minorBidi"/>
          <w:i/>
          <w:iCs/>
        </w:rPr>
      </w:pPr>
      <w:r w:rsidRPr="6C2537F6">
        <w:rPr>
          <w:rFonts w:asciiTheme="minorHAnsi" w:hAnsiTheme="minorHAnsi" w:cstheme="minorBidi"/>
          <w:i/>
          <w:iCs/>
        </w:rPr>
        <w:t xml:space="preserve">PASC noted that the available evidence did not clearly establish which patient subgroups would benefit from serial </w:t>
      </w:r>
      <w:proofErr w:type="spellStart"/>
      <w:r w:rsidRPr="6C2537F6">
        <w:rPr>
          <w:rFonts w:asciiTheme="minorHAnsi" w:hAnsiTheme="minorHAnsi" w:cstheme="minorBidi"/>
          <w:i/>
          <w:iCs/>
        </w:rPr>
        <w:t>CgA</w:t>
      </w:r>
      <w:proofErr w:type="spellEnd"/>
      <w:r w:rsidRPr="6C2537F6">
        <w:rPr>
          <w:rFonts w:asciiTheme="minorHAnsi" w:hAnsiTheme="minorHAnsi" w:cstheme="minorBidi"/>
          <w:i/>
          <w:iCs/>
        </w:rPr>
        <w:t xml:space="preserve"> monitoring. </w:t>
      </w:r>
      <w:r w:rsidR="00A658A1" w:rsidRPr="6C2537F6">
        <w:rPr>
          <w:rFonts w:asciiTheme="minorHAnsi" w:hAnsiTheme="minorHAnsi" w:cstheme="minorBidi"/>
          <w:i/>
          <w:iCs/>
        </w:rPr>
        <w:t>PASC noted</w:t>
      </w:r>
      <w:r w:rsidRPr="6C2537F6">
        <w:rPr>
          <w:rFonts w:asciiTheme="minorHAnsi" w:hAnsiTheme="minorHAnsi" w:cstheme="minorBidi"/>
          <w:i/>
          <w:iCs/>
        </w:rPr>
        <w:t xml:space="preserve"> the</w:t>
      </w:r>
      <w:r w:rsidR="00A658A1" w:rsidRPr="6C2537F6">
        <w:rPr>
          <w:rFonts w:asciiTheme="minorHAnsi" w:hAnsiTheme="minorHAnsi" w:cstheme="minorBidi"/>
          <w:i/>
          <w:iCs/>
        </w:rPr>
        <w:t xml:space="preserve"> </w:t>
      </w:r>
      <w:r w:rsidR="00AB5368" w:rsidRPr="6C2537F6">
        <w:rPr>
          <w:rFonts w:asciiTheme="minorHAnsi" w:hAnsiTheme="minorHAnsi" w:cstheme="minorBidi"/>
          <w:i/>
          <w:iCs/>
        </w:rPr>
        <w:t>key study (</w:t>
      </w:r>
      <w:r w:rsidRPr="6C2537F6">
        <w:rPr>
          <w:rFonts w:asciiTheme="minorHAnsi" w:hAnsiTheme="minorHAnsi" w:cstheme="minorBidi"/>
          <w:i/>
          <w:iCs/>
        </w:rPr>
        <w:t>CASPAR</w:t>
      </w:r>
      <w:r w:rsidR="00AB5368" w:rsidRPr="6C2537F6">
        <w:rPr>
          <w:rFonts w:asciiTheme="minorHAnsi" w:hAnsiTheme="minorHAnsi" w:cstheme="minorBidi"/>
          <w:i/>
          <w:iCs/>
        </w:rPr>
        <w:t>)</w:t>
      </w:r>
      <w:r w:rsidRPr="6C2537F6">
        <w:rPr>
          <w:rFonts w:asciiTheme="minorHAnsi" w:hAnsiTheme="minorHAnsi" w:cstheme="minorBidi"/>
          <w:i/>
          <w:iCs/>
        </w:rPr>
        <w:t xml:space="preserve"> included patients with advanced differentiated </w:t>
      </w:r>
      <w:proofErr w:type="spellStart"/>
      <w:r w:rsidRPr="6C2537F6">
        <w:rPr>
          <w:rFonts w:asciiTheme="minorHAnsi" w:hAnsiTheme="minorHAnsi" w:cstheme="minorBidi"/>
          <w:i/>
          <w:iCs/>
        </w:rPr>
        <w:t>gastroenteropancreatic</w:t>
      </w:r>
      <w:proofErr w:type="spellEnd"/>
      <w:r w:rsidRPr="6C2537F6">
        <w:rPr>
          <w:rFonts w:asciiTheme="minorHAnsi" w:hAnsiTheme="minorHAnsi" w:cstheme="minorBidi"/>
          <w:i/>
          <w:iCs/>
        </w:rPr>
        <w:t xml:space="preserve"> neuroendocrine tumours and excluded patients with conditions or medications that could cause false-positive </w:t>
      </w:r>
      <w:proofErr w:type="spellStart"/>
      <w:r w:rsidRPr="6C2537F6">
        <w:rPr>
          <w:rFonts w:asciiTheme="minorHAnsi" w:hAnsiTheme="minorHAnsi" w:cstheme="minorBidi"/>
          <w:i/>
          <w:iCs/>
        </w:rPr>
        <w:t>CgA</w:t>
      </w:r>
      <w:proofErr w:type="spellEnd"/>
      <w:r w:rsidRPr="6C2537F6">
        <w:rPr>
          <w:rFonts w:asciiTheme="minorHAnsi" w:hAnsiTheme="minorHAnsi" w:cstheme="minorBidi"/>
          <w:i/>
          <w:iCs/>
        </w:rPr>
        <w:t xml:space="preserve"> results.</w:t>
      </w:r>
      <w:r w:rsidR="005D6306" w:rsidRPr="6C2537F6">
        <w:rPr>
          <w:rFonts w:asciiTheme="minorHAnsi" w:hAnsiTheme="minorHAnsi" w:cstheme="minorBidi"/>
          <w:i/>
          <w:iCs/>
        </w:rPr>
        <w:t xml:space="preserve"> PASC also noted that while the COSA consensus statement </w:t>
      </w:r>
      <w:r w:rsidR="005F111D" w:rsidRPr="6C2537F6">
        <w:rPr>
          <w:rFonts w:asciiTheme="minorHAnsi" w:hAnsiTheme="minorHAnsi" w:cstheme="minorBidi"/>
          <w:i/>
          <w:iCs/>
        </w:rPr>
        <w:t xml:space="preserve">described populations that may benefit from </w:t>
      </w:r>
      <w:proofErr w:type="spellStart"/>
      <w:r w:rsidR="005F111D" w:rsidRPr="6C2537F6">
        <w:rPr>
          <w:rFonts w:asciiTheme="minorHAnsi" w:hAnsiTheme="minorHAnsi" w:cstheme="minorBidi"/>
          <w:i/>
          <w:iCs/>
        </w:rPr>
        <w:t>CgA</w:t>
      </w:r>
      <w:proofErr w:type="spellEnd"/>
      <w:r w:rsidR="005F111D" w:rsidRPr="6C2537F6">
        <w:rPr>
          <w:rFonts w:asciiTheme="minorHAnsi" w:hAnsiTheme="minorHAnsi" w:cstheme="minorBidi"/>
          <w:i/>
          <w:iCs/>
        </w:rPr>
        <w:t xml:space="preserve"> monitoring, th</w:t>
      </w:r>
      <w:r w:rsidR="00ED76DF" w:rsidRPr="6C2537F6">
        <w:rPr>
          <w:rFonts w:asciiTheme="minorHAnsi" w:hAnsiTheme="minorHAnsi" w:cstheme="minorBidi"/>
          <w:i/>
          <w:iCs/>
        </w:rPr>
        <w:t xml:space="preserve">is was based </w:t>
      </w:r>
      <w:r w:rsidR="00BE5FBA" w:rsidRPr="6C2537F6">
        <w:rPr>
          <w:rFonts w:asciiTheme="minorHAnsi" w:hAnsiTheme="minorHAnsi" w:cstheme="minorBidi"/>
          <w:i/>
          <w:iCs/>
        </w:rPr>
        <w:t xml:space="preserve">on expert opinions and was not underpinned by a systematic review of the evidence to </w:t>
      </w:r>
      <w:r w:rsidR="00F41848" w:rsidRPr="6C2537F6">
        <w:rPr>
          <w:rFonts w:asciiTheme="minorHAnsi" w:hAnsiTheme="minorHAnsi" w:cstheme="minorBidi"/>
          <w:i/>
          <w:iCs/>
        </w:rPr>
        <w:t xml:space="preserve">demonstrate that </w:t>
      </w:r>
      <w:proofErr w:type="spellStart"/>
      <w:r w:rsidR="00F41848" w:rsidRPr="6C2537F6">
        <w:rPr>
          <w:rFonts w:asciiTheme="minorHAnsi" w:hAnsiTheme="minorHAnsi" w:cstheme="minorBidi"/>
          <w:i/>
          <w:iCs/>
        </w:rPr>
        <w:t>CgA</w:t>
      </w:r>
      <w:proofErr w:type="spellEnd"/>
      <w:r w:rsidR="00F41848" w:rsidRPr="6C2537F6">
        <w:rPr>
          <w:rFonts w:asciiTheme="minorHAnsi" w:hAnsiTheme="minorHAnsi" w:cstheme="minorBidi"/>
          <w:i/>
          <w:iCs/>
        </w:rPr>
        <w:t xml:space="preserve"> monitoring in the proposed populations led to improved patient outcomes.</w:t>
      </w:r>
      <w:r w:rsidR="005D6306" w:rsidRPr="6C2537F6">
        <w:rPr>
          <w:rFonts w:asciiTheme="minorHAnsi" w:hAnsiTheme="minorHAnsi" w:cstheme="minorBidi"/>
          <w:i/>
          <w:iCs/>
        </w:rPr>
        <w:t xml:space="preserve"> </w:t>
      </w:r>
      <w:r w:rsidR="00C900E7" w:rsidRPr="6C2537F6">
        <w:rPr>
          <w:rFonts w:asciiTheme="minorHAnsi" w:hAnsiTheme="minorHAnsi" w:cstheme="minorBidi"/>
          <w:i/>
          <w:iCs/>
        </w:rPr>
        <w:t>PASC acknowledged the</w:t>
      </w:r>
      <w:r w:rsidR="00D23CC6" w:rsidRPr="6C2537F6">
        <w:rPr>
          <w:rFonts w:asciiTheme="minorHAnsi" w:hAnsiTheme="minorHAnsi" w:cstheme="minorBidi"/>
          <w:i/>
          <w:iCs/>
        </w:rPr>
        <w:t xml:space="preserve"> challenges </w:t>
      </w:r>
      <w:r w:rsidR="00FC6312" w:rsidRPr="6C2537F6">
        <w:rPr>
          <w:rFonts w:asciiTheme="minorHAnsi" w:hAnsiTheme="minorHAnsi" w:cstheme="minorBidi"/>
          <w:i/>
          <w:iCs/>
        </w:rPr>
        <w:t xml:space="preserve">when there is limited evidence for best practice management of </w:t>
      </w:r>
      <w:r w:rsidR="00984298" w:rsidRPr="6C2537F6">
        <w:rPr>
          <w:rFonts w:asciiTheme="minorHAnsi" w:hAnsiTheme="minorHAnsi" w:cstheme="minorBidi"/>
          <w:i/>
          <w:iCs/>
        </w:rPr>
        <w:t xml:space="preserve">patients </w:t>
      </w:r>
      <w:r w:rsidR="00F32AFC" w:rsidRPr="6C2537F6">
        <w:rPr>
          <w:rFonts w:asciiTheme="minorHAnsi" w:hAnsiTheme="minorHAnsi" w:cstheme="minorBidi"/>
          <w:i/>
          <w:iCs/>
        </w:rPr>
        <w:t>with a rare disease</w:t>
      </w:r>
      <w:r w:rsidR="003A0051" w:rsidRPr="6C2537F6">
        <w:rPr>
          <w:rFonts w:asciiTheme="minorHAnsi" w:hAnsiTheme="minorHAnsi" w:cstheme="minorBidi"/>
          <w:i/>
          <w:iCs/>
        </w:rPr>
        <w:t xml:space="preserve">. </w:t>
      </w:r>
      <w:r w:rsidR="00085A82" w:rsidRPr="6C2537F6">
        <w:rPr>
          <w:rFonts w:asciiTheme="minorHAnsi" w:hAnsiTheme="minorHAnsi" w:cstheme="minorBidi"/>
          <w:i/>
          <w:iCs/>
        </w:rPr>
        <w:t xml:space="preserve">However, </w:t>
      </w:r>
      <w:r w:rsidR="003A0051" w:rsidRPr="6C2537F6">
        <w:rPr>
          <w:rFonts w:asciiTheme="minorHAnsi" w:hAnsiTheme="minorHAnsi" w:cstheme="minorBidi"/>
          <w:i/>
          <w:iCs/>
        </w:rPr>
        <w:t>PASC note</w:t>
      </w:r>
      <w:r w:rsidR="002F156F" w:rsidRPr="6C2537F6">
        <w:rPr>
          <w:rFonts w:asciiTheme="minorHAnsi" w:hAnsiTheme="minorHAnsi" w:cstheme="minorBidi"/>
          <w:i/>
          <w:iCs/>
        </w:rPr>
        <w:t>d that</w:t>
      </w:r>
      <w:r w:rsidR="00984298" w:rsidRPr="6C2537F6">
        <w:rPr>
          <w:rFonts w:asciiTheme="minorHAnsi" w:hAnsiTheme="minorHAnsi" w:cstheme="minorBidi"/>
          <w:i/>
          <w:iCs/>
        </w:rPr>
        <w:t xml:space="preserve"> </w:t>
      </w:r>
      <w:r w:rsidR="00085A82" w:rsidRPr="6C2537F6">
        <w:rPr>
          <w:rFonts w:asciiTheme="minorHAnsi" w:hAnsiTheme="minorHAnsi" w:cstheme="minorBidi"/>
          <w:i/>
          <w:iCs/>
        </w:rPr>
        <w:t xml:space="preserve">the MSAC process is a technical evidenced based process </w:t>
      </w:r>
      <w:r w:rsidR="00C176E0" w:rsidRPr="6C2537F6">
        <w:rPr>
          <w:rFonts w:asciiTheme="minorHAnsi" w:hAnsiTheme="minorHAnsi" w:cstheme="minorBidi"/>
          <w:i/>
          <w:iCs/>
        </w:rPr>
        <w:t>where expert opinion is insufficient</w:t>
      </w:r>
      <w:r w:rsidR="00FB4BEF" w:rsidRPr="6C2537F6">
        <w:rPr>
          <w:rFonts w:asciiTheme="minorHAnsi" w:hAnsiTheme="minorHAnsi" w:cstheme="minorBidi"/>
          <w:i/>
          <w:iCs/>
        </w:rPr>
        <w:t>. A</w:t>
      </w:r>
      <w:r w:rsidR="00085A82" w:rsidRPr="6C2537F6">
        <w:rPr>
          <w:rFonts w:asciiTheme="minorHAnsi" w:hAnsiTheme="minorHAnsi" w:cstheme="minorBidi"/>
          <w:i/>
          <w:iCs/>
        </w:rPr>
        <w:t xml:space="preserve">s such, the </w:t>
      </w:r>
      <w:r w:rsidR="00201760" w:rsidRPr="6C2537F6">
        <w:rPr>
          <w:rFonts w:asciiTheme="minorHAnsi" w:hAnsiTheme="minorHAnsi" w:cstheme="minorBidi"/>
          <w:i/>
          <w:iCs/>
        </w:rPr>
        <w:t xml:space="preserve">COSA consensus statements </w:t>
      </w:r>
      <w:r w:rsidR="266BD53F" w:rsidRPr="6C2537F6">
        <w:rPr>
          <w:rFonts w:asciiTheme="minorHAnsi" w:hAnsiTheme="minorHAnsi" w:cstheme="minorBidi"/>
          <w:i/>
          <w:iCs/>
        </w:rPr>
        <w:t>are not</w:t>
      </w:r>
      <w:r w:rsidR="00201760" w:rsidRPr="6C2537F6">
        <w:rPr>
          <w:rFonts w:asciiTheme="minorHAnsi" w:hAnsiTheme="minorHAnsi" w:cstheme="minorBidi"/>
          <w:i/>
          <w:iCs/>
        </w:rPr>
        <w:t xml:space="preserve"> fit for purpose </w:t>
      </w:r>
      <w:r w:rsidR="00E81D34" w:rsidRPr="6C2537F6">
        <w:rPr>
          <w:rFonts w:asciiTheme="minorHAnsi" w:hAnsiTheme="minorHAnsi" w:cstheme="minorBidi"/>
          <w:i/>
          <w:iCs/>
        </w:rPr>
        <w:t xml:space="preserve">for </w:t>
      </w:r>
      <w:r w:rsidR="00601A6E" w:rsidRPr="6C2537F6">
        <w:rPr>
          <w:rFonts w:asciiTheme="minorHAnsi" w:hAnsiTheme="minorHAnsi" w:cstheme="minorBidi"/>
          <w:i/>
          <w:iCs/>
        </w:rPr>
        <w:t xml:space="preserve">defining </w:t>
      </w:r>
      <w:r w:rsidR="00854175" w:rsidRPr="6C2537F6">
        <w:rPr>
          <w:rFonts w:asciiTheme="minorHAnsi" w:hAnsiTheme="minorHAnsi" w:cstheme="minorBidi"/>
          <w:i/>
          <w:iCs/>
        </w:rPr>
        <w:t>an evidenced</w:t>
      </w:r>
      <w:r w:rsidR="007E51E7" w:rsidRPr="6C2537F6">
        <w:rPr>
          <w:rFonts w:asciiTheme="minorHAnsi" w:hAnsiTheme="minorHAnsi" w:cstheme="minorBidi"/>
          <w:i/>
          <w:iCs/>
        </w:rPr>
        <w:t>-</w:t>
      </w:r>
      <w:r w:rsidR="00854175" w:rsidRPr="6C2537F6">
        <w:rPr>
          <w:rFonts w:asciiTheme="minorHAnsi" w:hAnsiTheme="minorHAnsi" w:cstheme="minorBidi"/>
          <w:i/>
          <w:iCs/>
        </w:rPr>
        <w:t>based</w:t>
      </w:r>
      <w:r w:rsidR="007E51E7" w:rsidRPr="6C2537F6">
        <w:rPr>
          <w:rFonts w:asciiTheme="minorHAnsi" w:hAnsiTheme="minorHAnsi" w:cstheme="minorBidi"/>
          <w:i/>
          <w:iCs/>
        </w:rPr>
        <w:t xml:space="preserve"> proposed</w:t>
      </w:r>
      <w:r w:rsidR="00601A6E" w:rsidRPr="6C2537F6">
        <w:rPr>
          <w:rFonts w:asciiTheme="minorHAnsi" w:hAnsiTheme="minorHAnsi" w:cstheme="minorBidi"/>
          <w:i/>
          <w:iCs/>
        </w:rPr>
        <w:t xml:space="preserve"> population for </w:t>
      </w:r>
      <w:proofErr w:type="spellStart"/>
      <w:r w:rsidR="00601A6E" w:rsidRPr="6C2537F6">
        <w:rPr>
          <w:rFonts w:asciiTheme="minorHAnsi" w:hAnsiTheme="minorHAnsi" w:cstheme="minorBidi"/>
          <w:i/>
          <w:iCs/>
        </w:rPr>
        <w:t>CgA</w:t>
      </w:r>
      <w:proofErr w:type="spellEnd"/>
      <w:r w:rsidR="00601A6E" w:rsidRPr="6C2537F6">
        <w:rPr>
          <w:rFonts w:asciiTheme="minorHAnsi" w:hAnsiTheme="minorHAnsi" w:cstheme="minorBidi"/>
          <w:i/>
          <w:iCs/>
        </w:rPr>
        <w:t xml:space="preserve"> monitoring </w:t>
      </w:r>
      <w:r w:rsidR="00062793" w:rsidRPr="6C2537F6">
        <w:rPr>
          <w:rFonts w:asciiTheme="minorHAnsi" w:hAnsiTheme="minorHAnsi" w:cstheme="minorBidi"/>
          <w:i/>
          <w:iCs/>
        </w:rPr>
        <w:t>for MBS funding</w:t>
      </w:r>
      <w:r w:rsidR="009E6A58" w:rsidRPr="6C2537F6">
        <w:rPr>
          <w:rFonts w:asciiTheme="minorHAnsi" w:hAnsiTheme="minorHAnsi" w:cstheme="minorBidi"/>
          <w:i/>
          <w:iCs/>
        </w:rPr>
        <w:t>.</w:t>
      </w:r>
      <w:r w:rsidR="007D518F" w:rsidRPr="6C2537F6">
        <w:rPr>
          <w:rFonts w:asciiTheme="minorHAnsi" w:hAnsiTheme="minorHAnsi" w:cstheme="minorBidi"/>
          <w:i/>
          <w:iCs/>
        </w:rPr>
        <w:t xml:space="preserve"> </w:t>
      </w:r>
    </w:p>
    <w:p w14:paraId="71DB36DD" w14:textId="0C6130AE" w:rsidR="00413741" w:rsidRPr="0086394C" w:rsidRDefault="00326162" w:rsidP="002E0F1F">
      <w:pPr>
        <w:autoSpaceDE w:val="0"/>
        <w:autoSpaceDN w:val="0"/>
        <w:adjustRightInd w:val="0"/>
        <w:spacing w:line="23" w:lineRule="atLeast"/>
        <w:rPr>
          <w:lang w:val="en-GB" w:eastAsia="ja-JP"/>
        </w:rPr>
      </w:pPr>
      <w:r w:rsidRPr="00D4599B">
        <w:rPr>
          <w:rFonts w:asciiTheme="minorHAnsi" w:hAnsiTheme="minorHAnsi" w:cstheme="minorHAnsi"/>
          <w:i/>
          <w:iCs/>
          <w:szCs w:val="20"/>
        </w:rPr>
        <w:t xml:space="preserve">PASC considered that the proposed population required further refinement and justification, including clearer definition of the patient subgroup for whom </w:t>
      </w:r>
      <w:r w:rsidR="00F97757">
        <w:rPr>
          <w:rFonts w:asciiTheme="minorHAnsi" w:hAnsiTheme="minorHAnsi" w:cstheme="minorHAnsi"/>
          <w:i/>
          <w:iCs/>
          <w:szCs w:val="20"/>
        </w:rPr>
        <w:t xml:space="preserve">there is evidence that </w:t>
      </w:r>
      <w:r w:rsidRPr="00D4599B">
        <w:rPr>
          <w:rFonts w:asciiTheme="minorHAnsi" w:hAnsiTheme="minorHAnsi" w:cstheme="minorHAnsi"/>
          <w:i/>
          <w:iCs/>
          <w:szCs w:val="20"/>
        </w:rPr>
        <w:t xml:space="preserve">serial </w:t>
      </w:r>
      <w:proofErr w:type="spellStart"/>
      <w:r w:rsidRPr="00D4599B">
        <w:rPr>
          <w:rFonts w:asciiTheme="minorHAnsi" w:hAnsiTheme="minorHAnsi" w:cstheme="minorHAnsi"/>
          <w:i/>
          <w:iCs/>
          <w:szCs w:val="20"/>
        </w:rPr>
        <w:t>CgA</w:t>
      </w:r>
      <w:proofErr w:type="spellEnd"/>
      <w:r w:rsidRPr="00D4599B">
        <w:rPr>
          <w:rFonts w:asciiTheme="minorHAnsi" w:hAnsiTheme="minorHAnsi" w:cstheme="minorHAnsi"/>
          <w:i/>
          <w:iCs/>
          <w:szCs w:val="20"/>
        </w:rPr>
        <w:t xml:space="preserve"> monitoring would be clinically useful</w:t>
      </w:r>
      <w:r w:rsidR="00483088">
        <w:rPr>
          <w:rFonts w:asciiTheme="minorHAnsi" w:hAnsiTheme="minorHAnsi" w:cstheme="minorHAnsi"/>
          <w:i/>
          <w:iCs/>
          <w:szCs w:val="20"/>
        </w:rPr>
        <w:t xml:space="preserve"> and lead to</w:t>
      </w:r>
      <w:r w:rsidR="00FD245B">
        <w:rPr>
          <w:rFonts w:asciiTheme="minorHAnsi" w:hAnsiTheme="minorHAnsi" w:cstheme="minorHAnsi"/>
          <w:i/>
          <w:iCs/>
          <w:szCs w:val="20"/>
        </w:rPr>
        <w:t xml:space="preserve"> </w:t>
      </w:r>
      <w:r w:rsidR="00E1415F">
        <w:rPr>
          <w:rFonts w:asciiTheme="minorHAnsi" w:hAnsiTheme="minorHAnsi" w:cstheme="minorHAnsi"/>
          <w:i/>
          <w:iCs/>
          <w:szCs w:val="20"/>
        </w:rPr>
        <w:t>improved</w:t>
      </w:r>
      <w:r w:rsidR="00483088">
        <w:rPr>
          <w:rFonts w:asciiTheme="minorHAnsi" w:hAnsiTheme="minorHAnsi" w:cstheme="minorHAnsi"/>
          <w:i/>
          <w:iCs/>
          <w:szCs w:val="20"/>
        </w:rPr>
        <w:t xml:space="preserve"> patient outcomes</w:t>
      </w:r>
      <w:r w:rsidR="002E2D1F">
        <w:rPr>
          <w:rFonts w:asciiTheme="minorHAnsi" w:hAnsiTheme="minorHAnsi" w:cstheme="minorHAnsi"/>
          <w:i/>
          <w:iCs/>
          <w:szCs w:val="20"/>
        </w:rPr>
        <w:t>.</w:t>
      </w:r>
    </w:p>
    <w:p w14:paraId="0E38780D" w14:textId="77777777" w:rsidR="007A66C8" w:rsidRPr="008F1532" w:rsidRDefault="007A66C8" w:rsidP="00713728">
      <w:pPr>
        <w:pStyle w:val="Heading3"/>
      </w:pPr>
      <w:r w:rsidRPr="008F1532">
        <w:lastRenderedPageBreak/>
        <w:t>Intervention</w:t>
      </w:r>
    </w:p>
    <w:p w14:paraId="25C4E758" w14:textId="35113451" w:rsidR="00256618" w:rsidRDefault="00767EFB" w:rsidP="00767EFB">
      <w:r w:rsidRPr="00767EFB">
        <w:t>The intervention is serial serum Chromogranin A (</w:t>
      </w:r>
      <w:proofErr w:type="spellStart"/>
      <w:r w:rsidRPr="00767EFB">
        <w:t>CgA</w:t>
      </w:r>
      <w:proofErr w:type="spellEnd"/>
      <w:r w:rsidRPr="00767EFB">
        <w:t>)</w:t>
      </w:r>
      <w:r w:rsidR="00717D55">
        <w:t xml:space="preserve"> testing</w:t>
      </w:r>
      <w:r w:rsidR="00034DBD">
        <w:t>,</w:t>
      </w:r>
      <w:r w:rsidR="005E6483">
        <w:t xml:space="preserve"> </w:t>
      </w:r>
      <w:r w:rsidR="006518B3">
        <w:t xml:space="preserve">in addition to imaging and clinical </w:t>
      </w:r>
      <w:r w:rsidR="00481F06">
        <w:t xml:space="preserve">review, </w:t>
      </w:r>
      <w:r w:rsidR="00481F06" w:rsidRPr="00767EFB">
        <w:t>for</w:t>
      </w:r>
      <w:r w:rsidR="00BC1B3F">
        <w:t xml:space="preserve"> </w:t>
      </w:r>
      <w:r w:rsidRPr="00767EFB">
        <w:t xml:space="preserve">monitoring for patients with well-differentiated NENs. The </w:t>
      </w:r>
      <w:proofErr w:type="spellStart"/>
      <w:r w:rsidR="00553D3A">
        <w:t>CgA</w:t>
      </w:r>
      <w:proofErr w:type="spellEnd"/>
      <w:r w:rsidR="00553D3A">
        <w:t xml:space="preserve"> </w:t>
      </w:r>
      <w:r w:rsidRPr="00767EFB">
        <w:t>test is used as part of ongoing surveillance and treatment monitoring, with repeated blood measurements performed over time to track disease activity, assess treatment response, and detect recurrence or progression.</w:t>
      </w:r>
      <w:r w:rsidR="00481F06">
        <w:t xml:space="preserve"> </w:t>
      </w:r>
      <w:r w:rsidR="004A0DB2">
        <w:t xml:space="preserve">There are variations on how </w:t>
      </w:r>
      <w:proofErr w:type="spellStart"/>
      <w:r w:rsidR="004A0DB2">
        <w:t>CgA</w:t>
      </w:r>
      <w:proofErr w:type="spellEnd"/>
      <w:r w:rsidR="004A0DB2">
        <w:t xml:space="preserve"> is measured, but based on the </w:t>
      </w:r>
      <w:r w:rsidR="00A22310">
        <w:t>study by Meng, et al. (2024)</w:t>
      </w:r>
      <w:r w:rsidR="00481F06" w:rsidRPr="00481F06">
        <w:t xml:space="preserve"> blood </w:t>
      </w:r>
      <w:r w:rsidR="008A4A98">
        <w:t>i</w:t>
      </w:r>
      <w:r w:rsidR="00481F06" w:rsidRPr="00481F06">
        <w:t xml:space="preserve">s collected and processed to obtain serum. </w:t>
      </w:r>
      <w:proofErr w:type="spellStart"/>
      <w:r w:rsidR="00481F06" w:rsidRPr="00481F06">
        <w:t>CgA</w:t>
      </w:r>
      <w:proofErr w:type="spellEnd"/>
      <w:r w:rsidR="00481F06" w:rsidRPr="00481F06">
        <w:t xml:space="preserve"> concentrations </w:t>
      </w:r>
      <w:r w:rsidR="00C3376D">
        <w:t>a</w:t>
      </w:r>
      <w:r w:rsidR="00481F06" w:rsidRPr="00481F06">
        <w:t>re measured using the automated immunofluorescence assa</w:t>
      </w:r>
      <w:r w:rsidR="00C3376D">
        <w:t>ys</w:t>
      </w:r>
      <w:r w:rsidR="00481F06" w:rsidRPr="00481F06">
        <w:t>, with samples analysed fresh or after storage at −80°C</w:t>
      </w:r>
      <w:r w:rsidR="00E530C3">
        <w:t xml:space="preserve"> [10]</w:t>
      </w:r>
      <w:r w:rsidR="00481F06" w:rsidRPr="00481F06">
        <w:t xml:space="preserve">. </w:t>
      </w:r>
    </w:p>
    <w:p w14:paraId="0ADD9B1C" w14:textId="6076B5A4" w:rsidR="00D212E0" w:rsidRDefault="00921720" w:rsidP="00767EFB">
      <w:proofErr w:type="spellStart"/>
      <w:r>
        <w:t>CgA</w:t>
      </w:r>
      <w:proofErr w:type="spellEnd"/>
      <w:r>
        <w:t xml:space="preserve"> </w:t>
      </w:r>
      <w:r w:rsidR="00EC6C8A">
        <w:t xml:space="preserve">would be collected and analysed </w:t>
      </w:r>
      <w:r w:rsidR="00251551">
        <w:t xml:space="preserve">more frequently </w:t>
      </w:r>
      <w:r w:rsidR="00256618">
        <w:t>than</w:t>
      </w:r>
      <w:r w:rsidR="00251551">
        <w:t xml:space="preserve"> routine </w:t>
      </w:r>
      <w:r w:rsidR="001305A0">
        <w:t>imaging,</w:t>
      </w:r>
      <w:r w:rsidR="00544446">
        <w:t xml:space="preserve"> there is currently no recognised standard frequency of monitoring, rather</w:t>
      </w:r>
      <w:r w:rsidR="001305A0">
        <w:t xml:space="preserve"> the frequency </w:t>
      </w:r>
      <w:r w:rsidR="00256618">
        <w:t>would be determined by the clinician based on the individual patient. A</w:t>
      </w:r>
      <w:r w:rsidR="00767EFB" w:rsidRPr="00767EFB">
        <w:t xml:space="preserve"> sustained rise in </w:t>
      </w:r>
      <w:proofErr w:type="spellStart"/>
      <w:r w:rsidR="00767EFB" w:rsidRPr="00767EFB">
        <w:t>CgA</w:t>
      </w:r>
      <w:proofErr w:type="spellEnd"/>
      <w:r w:rsidR="00767EFB" w:rsidRPr="00767EFB">
        <w:t xml:space="preserve"> </w:t>
      </w:r>
      <w:r w:rsidR="00256618">
        <w:t xml:space="preserve">would </w:t>
      </w:r>
      <w:r w:rsidR="00767EFB" w:rsidRPr="00767EFB">
        <w:t xml:space="preserve">potentially prompt earlier </w:t>
      </w:r>
      <w:r w:rsidR="007B7ABB" w:rsidRPr="00767EFB">
        <w:t>clinical assessment</w:t>
      </w:r>
      <w:r w:rsidR="00795C4B">
        <w:t xml:space="preserve"> and </w:t>
      </w:r>
      <w:r w:rsidR="00981DB7">
        <w:t>cross-sectional</w:t>
      </w:r>
      <w:r w:rsidR="00795C4B">
        <w:t xml:space="preserve"> imaging</w:t>
      </w:r>
      <w:r w:rsidR="007B7ABB" w:rsidRPr="00767EFB">
        <w:t xml:space="preserve">, </w:t>
      </w:r>
      <w:r w:rsidR="002A03EC">
        <w:t>followed by</w:t>
      </w:r>
      <w:r w:rsidR="007B7ABB" w:rsidRPr="00767EFB">
        <w:t xml:space="preserve"> </w:t>
      </w:r>
      <w:r w:rsidR="00767EFB" w:rsidRPr="00767EFB">
        <w:t>specialist review and confirmatory imaging</w:t>
      </w:r>
      <w:r w:rsidR="00256618">
        <w:t xml:space="preserve"> if needed</w:t>
      </w:r>
      <w:r w:rsidR="00767EFB" w:rsidRPr="00767EFB">
        <w:t>. The intervention is intended to complement, rather than replace, routine monitoring with clinical review and radiological investigations</w:t>
      </w:r>
      <w:r w:rsidR="00C85DA7">
        <w:t>.</w:t>
      </w:r>
      <w:r w:rsidR="00FA761D">
        <w:t xml:space="preserve"> </w:t>
      </w:r>
      <w:r w:rsidR="00256618">
        <w:t>Clinicians ma</w:t>
      </w:r>
      <w:r w:rsidR="000A4BDF">
        <w:t xml:space="preserve">y </w:t>
      </w:r>
      <w:r w:rsidR="00256618">
        <w:t>decide</w:t>
      </w:r>
      <w:r w:rsidR="00F93AA1">
        <w:t>,</w:t>
      </w:r>
      <w:r w:rsidR="00256618">
        <w:t xml:space="preserve"> on an individual patient bases</w:t>
      </w:r>
      <w:r w:rsidR="00F93AA1">
        <w:t>,</w:t>
      </w:r>
      <w:r w:rsidR="00256618">
        <w:t xml:space="preserve"> to reduce the frequency of imaging if they were comfortable </w:t>
      </w:r>
      <w:r w:rsidR="00A81538">
        <w:t xml:space="preserve">with the </w:t>
      </w:r>
      <w:proofErr w:type="spellStart"/>
      <w:r w:rsidR="00A81538">
        <w:t>CgA</w:t>
      </w:r>
      <w:proofErr w:type="spellEnd"/>
      <w:r w:rsidR="00A81538">
        <w:t xml:space="preserve"> and clinical assessment. </w:t>
      </w:r>
    </w:p>
    <w:p w14:paraId="6B5E1C7F" w14:textId="10F26C94" w:rsidR="00767EFB" w:rsidRDefault="00D212E0" w:rsidP="00767EFB">
      <w:r w:rsidRPr="00D212E0">
        <w:t xml:space="preserve">Routine surveillance of metastatic NENs </w:t>
      </w:r>
      <w:r w:rsidR="00256618">
        <w:t xml:space="preserve">would </w:t>
      </w:r>
      <w:r w:rsidR="00B76017">
        <w:t>continue</w:t>
      </w:r>
      <w:r w:rsidRPr="00D212E0">
        <w:t xml:space="preserve"> to rely on scheduled imaging, regardless of whether serial </w:t>
      </w:r>
      <w:proofErr w:type="spellStart"/>
      <w:r w:rsidRPr="00D212E0">
        <w:t>CgA</w:t>
      </w:r>
      <w:proofErr w:type="spellEnd"/>
      <w:r w:rsidRPr="00D212E0">
        <w:t xml:space="preserve"> monitoring is performed. Although </w:t>
      </w:r>
      <w:proofErr w:type="spellStart"/>
      <w:r w:rsidRPr="00D212E0">
        <w:t>CgA</w:t>
      </w:r>
      <w:proofErr w:type="spellEnd"/>
      <w:r w:rsidRPr="00D212E0">
        <w:t xml:space="preserve"> may provide supplementary information and may occasionally trigger earlier clinical review or imaging when results change significantly, it is not considered sufficiently accurate to replace or reduce the frequency of standard radiological assessment. Consequently, the use of </w:t>
      </w:r>
      <w:proofErr w:type="spellStart"/>
      <w:r w:rsidRPr="00D212E0">
        <w:t>CgA</w:t>
      </w:r>
      <w:proofErr w:type="spellEnd"/>
      <w:r w:rsidRPr="00D212E0">
        <w:t xml:space="preserve"> monitoring is generally expected to be additive to, rather than a substitute for, routine imaging surveillance.</w:t>
      </w:r>
    </w:p>
    <w:p w14:paraId="31BC33F4" w14:textId="7E347923" w:rsidR="00C85DA7" w:rsidRPr="00C85DA7" w:rsidRDefault="00C85DA7" w:rsidP="00C85DA7">
      <w:pPr>
        <w:rPr>
          <w:bCs/>
          <w:iCs/>
        </w:rPr>
      </w:pPr>
      <w:r w:rsidRPr="00C85DA7">
        <w:rPr>
          <w:bCs/>
          <w:iCs/>
        </w:rPr>
        <w:t xml:space="preserve">The proposed intervention is closely aligned with COSA </w:t>
      </w:r>
      <w:r w:rsidR="00682911">
        <w:rPr>
          <w:bCs/>
          <w:iCs/>
        </w:rPr>
        <w:t>consensus guidelines</w:t>
      </w:r>
      <w:r w:rsidR="00847645">
        <w:rPr>
          <w:bCs/>
          <w:iCs/>
        </w:rPr>
        <w:t>, which</w:t>
      </w:r>
      <w:r w:rsidRPr="00C85DA7">
        <w:rPr>
          <w:bCs/>
          <w:iCs/>
        </w:rPr>
        <w:t xml:space="preserve"> state that Chromogranin A (</w:t>
      </w:r>
      <w:proofErr w:type="spellStart"/>
      <w:r w:rsidRPr="00C85DA7">
        <w:rPr>
          <w:bCs/>
          <w:iCs/>
        </w:rPr>
        <w:t>CgA</w:t>
      </w:r>
      <w:proofErr w:type="spellEnd"/>
      <w:r w:rsidRPr="00C85DA7">
        <w:rPr>
          <w:bCs/>
          <w:iCs/>
        </w:rPr>
        <w:t xml:space="preserve">) measurement </w:t>
      </w:r>
      <w:r w:rsidR="00187346">
        <w:rPr>
          <w:bCs/>
          <w:iCs/>
        </w:rPr>
        <w:t>may</w:t>
      </w:r>
      <w:r w:rsidR="00187346" w:rsidRPr="00C85DA7">
        <w:rPr>
          <w:bCs/>
          <w:iCs/>
        </w:rPr>
        <w:t xml:space="preserve"> </w:t>
      </w:r>
      <w:r w:rsidRPr="00C85DA7">
        <w:rPr>
          <w:bCs/>
          <w:iCs/>
        </w:rPr>
        <w:t xml:space="preserve">be useful for evaluating treatment response and for detecting disease progression or recurrence, particularly in patients with elevated baseline levels </w:t>
      </w:r>
      <w:r>
        <w:fldChar w:fldCharType="begin"/>
      </w:r>
      <w:r w:rsidR="007D39C6">
        <w:instrText xml:space="preserve"> ADDIN EN.CITE &lt;EndNote&gt;&lt;Cite&gt;&lt;Author&gt;Clinical Oncology Society of Australia&lt;/Author&gt;&lt;Year&gt;2023&lt;/Year&gt;&lt;RecNum&gt;1&lt;/RecNum&gt;&lt;DisplayText&gt;(Clinical Oncology Society of Australia 2023)&lt;/DisplayText&gt;&lt;record&gt;&lt;rec-number&gt;1&lt;/rec-number&gt;&lt;foreign-keys&gt;&lt;key app="EN" db-id="et0tvv0vcezr9neew2av9ppvfs25wf5sd0pd" timestamp="1781493635"&gt;1&lt;/key&gt;&lt;/foreign-keys&gt;&lt;ref-type name="Journal Article"&gt;17&lt;/ref-type&gt;&lt;contributors&gt;&lt;authors&gt;&lt;author&gt;Clinical Oncology Society of Australia,&lt;/author&gt;&lt;/authors&gt;&lt;/contributors&gt;&lt;titles&gt;&lt;title&gt;Neuroendocrine Neoplasms (NENs) Clinical Guidelines&lt;/title&gt;&lt;secondary-title&gt;Cancer Council Australia&lt;/secondary-title&gt;&lt;/titles&gt;&lt;periodical&gt;&lt;full-title&gt;Cancer Council Australia&lt;/full-title&gt;&lt;/periodical&gt;&lt;dates&gt;&lt;year&gt;2023&lt;/year&gt;&lt;/dates&gt;&lt;urls&gt;&lt;related-urls&gt;&lt;url&gt;https://www.cancer.org.au/health-professionals/clinical-practice-guidelines/neuroendocrine-neoplasms-nens&lt;/url&gt;&lt;/related-urls&gt;&lt;/urls&gt;&lt;language&gt;en&lt;/language&gt;&lt;access-date&gt;2026/06/15/03:18:42&lt;/access-date&gt;&lt;/record&gt;&lt;/Cite&gt;&lt;/EndNote&gt;</w:instrText>
      </w:r>
      <w:r>
        <w:fldChar w:fldCharType="separate"/>
      </w:r>
      <w:r w:rsidR="007D39C6">
        <w:rPr>
          <w:noProof/>
        </w:rPr>
        <w:t>(Clinical Oncology Society of Australia 2023)</w:t>
      </w:r>
      <w:r>
        <w:fldChar w:fldCharType="end"/>
      </w:r>
      <w:r w:rsidR="005129DA">
        <w:t>.</w:t>
      </w:r>
      <w:r>
        <w:t xml:space="preserve"> </w:t>
      </w:r>
    </w:p>
    <w:p w14:paraId="1C21DE27" w14:textId="2B94A023" w:rsidR="00C85DA7" w:rsidRDefault="00C85DA7" w:rsidP="00C85DA7">
      <w:pPr>
        <w:rPr>
          <w:bCs/>
          <w:iCs/>
        </w:rPr>
      </w:pPr>
      <w:r w:rsidRPr="00C85DA7">
        <w:rPr>
          <w:bCs/>
          <w:iCs/>
        </w:rPr>
        <w:t xml:space="preserve">The intervention also reflects guideline recommendations that </w:t>
      </w:r>
      <w:proofErr w:type="spellStart"/>
      <w:r w:rsidRPr="00C85DA7">
        <w:rPr>
          <w:bCs/>
          <w:iCs/>
        </w:rPr>
        <w:t>CgA</w:t>
      </w:r>
      <w:proofErr w:type="spellEnd"/>
      <w:r w:rsidRPr="00C85DA7">
        <w:rPr>
          <w:bCs/>
          <w:iCs/>
        </w:rPr>
        <w:t xml:space="preserve"> should be used as an adjunct rather than a standalone test. In the proposed pathway, serial </w:t>
      </w:r>
      <w:proofErr w:type="spellStart"/>
      <w:r w:rsidRPr="00C85DA7">
        <w:rPr>
          <w:bCs/>
          <w:iCs/>
        </w:rPr>
        <w:t>CgA</w:t>
      </w:r>
      <w:proofErr w:type="spellEnd"/>
      <w:r w:rsidRPr="00C85DA7">
        <w:rPr>
          <w:bCs/>
          <w:iCs/>
        </w:rPr>
        <w:t xml:space="preserve"> results are interpreted alongside clinical review and imaging, with rising </w:t>
      </w:r>
      <w:proofErr w:type="spellStart"/>
      <w:r w:rsidRPr="00C85DA7">
        <w:rPr>
          <w:bCs/>
          <w:iCs/>
        </w:rPr>
        <w:t>CgA</w:t>
      </w:r>
      <w:proofErr w:type="spellEnd"/>
      <w:r w:rsidRPr="00C85DA7">
        <w:rPr>
          <w:bCs/>
          <w:iCs/>
        </w:rPr>
        <w:t xml:space="preserve"> levels prompting earlier confirmatory investigations such as CT, MRI, or somatostatin receptor PET imaging. This approach mirrors guideline recommendations that biomarker results should be considered in conjunction with radiological and clinical findings. </w:t>
      </w:r>
    </w:p>
    <w:p w14:paraId="2BA8957D" w14:textId="77777777" w:rsidR="004E0689" w:rsidRDefault="00174D2D" w:rsidP="00745558">
      <w:pPr>
        <w:rPr>
          <w:bCs/>
          <w:iCs/>
        </w:rPr>
      </w:pPr>
      <w:r>
        <w:rPr>
          <w:bCs/>
          <w:iCs/>
        </w:rPr>
        <w:t xml:space="preserve">There are some key considerations with the </w:t>
      </w:r>
      <w:r w:rsidR="00745558">
        <w:rPr>
          <w:bCs/>
          <w:iCs/>
        </w:rPr>
        <w:t xml:space="preserve">testing of </w:t>
      </w:r>
      <w:proofErr w:type="spellStart"/>
      <w:r w:rsidR="00745558">
        <w:rPr>
          <w:bCs/>
          <w:iCs/>
        </w:rPr>
        <w:t>CgA</w:t>
      </w:r>
      <w:proofErr w:type="spellEnd"/>
      <w:r w:rsidR="004E0689">
        <w:rPr>
          <w:bCs/>
          <w:iCs/>
        </w:rPr>
        <w:t>:</w:t>
      </w:r>
    </w:p>
    <w:p w14:paraId="441D5F78" w14:textId="23D73852" w:rsidR="00745558" w:rsidRPr="006045AB" w:rsidRDefault="004E0689" w:rsidP="005E0DFF">
      <w:pPr>
        <w:pStyle w:val="ListParagraph"/>
        <w:numPr>
          <w:ilvl w:val="0"/>
          <w:numId w:val="18"/>
        </w:numPr>
        <w:ind w:left="714" w:hanging="357"/>
        <w:contextualSpacing w:val="0"/>
        <w:rPr>
          <w:bCs/>
          <w:iCs/>
        </w:rPr>
      </w:pPr>
      <w:r w:rsidRPr="006045AB">
        <w:rPr>
          <w:bCs/>
          <w:iCs/>
        </w:rPr>
        <w:t>D</w:t>
      </w:r>
      <w:r w:rsidR="00745558" w:rsidRPr="006045AB">
        <w:rPr>
          <w:bCs/>
          <w:iCs/>
        </w:rPr>
        <w:t xml:space="preserve">ifferent laboratory methodologies </w:t>
      </w:r>
      <w:r w:rsidR="009F2296" w:rsidRPr="009F2296">
        <w:rPr>
          <w:bCs/>
          <w:iCs/>
        </w:rPr>
        <w:t>radioimmunoassay (RIA), immunoradiometric assay (IRMA), and enzyme-linked immunosorbent assay (ELISA)</w:t>
      </w:r>
      <w:r w:rsidR="009F2296" w:rsidRPr="009F2296" w:rsidDel="009F2296">
        <w:rPr>
          <w:bCs/>
          <w:iCs/>
        </w:rPr>
        <w:t xml:space="preserve"> </w:t>
      </w:r>
      <w:r w:rsidR="00745558" w:rsidRPr="006045AB">
        <w:rPr>
          <w:bCs/>
          <w:iCs/>
        </w:rPr>
        <w:t xml:space="preserve">and other platforms) can produce different results, and there is no universally accepted standard assay. This limits comparability across laboratories and reinforces the need for consistent testing </w:t>
      </w:r>
      <w:r w:rsidR="005B52E7">
        <w:rPr>
          <w:bCs/>
          <w:iCs/>
        </w:rPr>
        <w:t xml:space="preserve">using same assay format </w:t>
      </w:r>
      <w:r w:rsidR="00745558" w:rsidRPr="006045AB">
        <w:rPr>
          <w:bCs/>
          <w:iCs/>
        </w:rPr>
        <w:t>within the same laboratory.</w:t>
      </w:r>
    </w:p>
    <w:p w14:paraId="3B046E46" w14:textId="046D0D39" w:rsidR="004E0689" w:rsidRPr="00301EC5" w:rsidRDefault="004E0689" w:rsidP="005E0DFF">
      <w:pPr>
        <w:pStyle w:val="ListParagraph"/>
        <w:numPr>
          <w:ilvl w:val="0"/>
          <w:numId w:val="18"/>
        </w:numPr>
        <w:ind w:left="714" w:hanging="357"/>
        <w:contextualSpacing w:val="0"/>
      </w:pPr>
      <w:proofErr w:type="spellStart"/>
      <w:r w:rsidRPr="00301EC5">
        <w:t>CgA</w:t>
      </w:r>
      <w:proofErr w:type="spellEnd"/>
      <w:r w:rsidRPr="00301EC5">
        <w:t xml:space="preserve"> is a non-specific neuroendocrine secretory protein, it can also be elevated by common non-tumour factors </w:t>
      </w:r>
      <w:r w:rsidR="006B6204" w:rsidRPr="00301EC5">
        <w:t xml:space="preserve">including proton pump inhibitor use, gastritis, renal or hepatic impairment, inflammatory bowel disease, glucocorticoid therapy, and rheumatoid factor </w:t>
      </w:r>
      <w:r w:rsidRPr="00301EC5">
        <w:rPr>
          <w:bCs/>
          <w:iCs/>
        </w:rPr>
        <w:fldChar w:fldCharType="begin">
          <w:fldData xml:space="preserve">PEVuZE5vdGU+PENpdGU+PEF1dGhvcj5DYW5jZXIgQ291bmNpbCBBdXN0cmFsaWE8L0F1dGhvcj48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</w:fldData>
        </w:fldChar>
      </w:r>
      <w:r w:rsidR="007D39C6">
        <w:rPr>
          <w:bCs/>
          <w:iCs/>
        </w:rPr>
        <w:instrText xml:space="preserve"> ADDIN EN.CITE </w:instrText>
      </w:r>
      <w:r w:rsidR="007D39C6">
        <w:rPr>
          <w:bCs/>
          <w:iCs/>
        </w:rPr>
        <w:fldChar w:fldCharType="begin">
          <w:fldData xml:space="preserve">PEVuZE5vdGU+PENpdGU+PEF1dGhvcj5DYW5jZXIgQ291bmNpbCBBdXN0cmFsaWE8L0F1dGhvcj48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</w:fldData>
        </w:fldChar>
      </w:r>
      <w:r w:rsidR="007D39C6">
        <w:rPr>
          <w:bCs/>
          <w:iCs/>
        </w:rPr>
        <w:instrText xml:space="preserve"> ADDIN EN.CITE.DATA </w:instrText>
      </w:r>
      <w:r w:rsidR="007D39C6">
        <w:rPr>
          <w:bCs/>
          <w:iCs/>
        </w:rPr>
      </w:r>
      <w:r w:rsidR="007D39C6">
        <w:rPr>
          <w:bCs/>
          <w:iCs/>
        </w:rPr>
        <w:fldChar w:fldCharType="end"/>
      </w:r>
      <w:r w:rsidRPr="00301EC5">
        <w:rPr>
          <w:bCs/>
          <w:iCs/>
        </w:rPr>
      </w:r>
      <w:r w:rsidRPr="00301EC5">
        <w:rPr>
          <w:bCs/>
          <w:iCs/>
        </w:rPr>
        <w:fldChar w:fldCharType="separate"/>
      </w:r>
      <w:r w:rsidR="007D39C6">
        <w:rPr>
          <w:bCs/>
          <w:iCs/>
          <w:noProof/>
        </w:rPr>
        <w:t>(Cancer Council Australia 2023, Koffas, Giakoustidis et al. 2023)</w:t>
      </w:r>
      <w:r w:rsidRPr="00301EC5">
        <w:rPr>
          <w:bCs/>
          <w:iCs/>
        </w:rPr>
        <w:fldChar w:fldCharType="end"/>
      </w:r>
      <w:r w:rsidR="0022221B">
        <w:rPr>
          <w:bCs/>
          <w:iCs/>
        </w:rPr>
        <w:t>.</w:t>
      </w:r>
      <w:r w:rsidRPr="00301EC5">
        <w:t xml:space="preserve"> </w:t>
      </w:r>
      <w:r w:rsidR="006045AB" w:rsidRPr="00301EC5">
        <w:t xml:space="preserve">As a result, </w:t>
      </w:r>
      <w:proofErr w:type="spellStart"/>
      <w:r w:rsidR="006045AB" w:rsidRPr="00301EC5">
        <w:t>CgA</w:t>
      </w:r>
      <w:proofErr w:type="spellEnd"/>
      <w:r w:rsidR="006045AB" w:rsidRPr="00301EC5">
        <w:t xml:space="preserve"> results should be interpreted </w:t>
      </w:r>
      <w:r w:rsidR="006045AB" w:rsidRPr="00301EC5">
        <w:lastRenderedPageBreak/>
        <w:t xml:space="preserve">within the broader clinical context and monitored using a consistent assay where possible. Clinicians should consider potential confounders and address reversible causes before attributing changes in </w:t>
      </w:r>
      <w:proofErr w:type="spellStart"/>
      <w:r w:rsidR="006045AB" w:rsidRPr="00301EC5">
        <w:t>CgA</w:t>
      </w:r>
      <w:proofErr w:type="spellEnd"/>
      <w:r w:rsidR="006045AB" w:rsidRPr="00301EC5">
        <w:t xml:space="preserve"> levels to tumour progression.</w:t>
      </w:r>
    </w:p>
    <w:p w14:paraId="4BF099B6" w14:textId="1150E582" w:rsidR="002031A9" w:rsidRPr="00301EC5" w:rsidRDefault="002031A9" w:rsidP="005E0DFF">
      <w:pPr>
        <w:pStyle w:val="ListParagraph"/>
        <w:numPr>
          <w:ilvl w:val="0"/>
          <w:numId w:val="18"/>
        </w:numPr>
        <w:ind w:left="714" w:hanging="357"/>
        <w:contextualSpacing w:val="0"/>
      </w:pPr>
      <w:r w:rsidRPr="00301EC5">
        <w:t xml:space="preserve">Interpretation of serial </w:t>
      </w:r>
      <w:proofErr w:type="spellStart"/>
      <w:r w:rsidRPr="00301EC5">
        <w:t>CgA</w:t>
      </w:r>
      <w:proofErr w:type="spellEnd"/>
      <w:r w:rsidRPr="00301EC5">
        <w:t xml:space="preserve"> results is complicated by the absence of a universally accepted threshold for indicating disease progression. Different studies have proposed different definitions of a clinically meaningful change. For example, Tsai et al. </w:t>
      </w:r>
      <w:r w:rsidR="00F672B6">
        <w:t xml:space="preserve">(2021) </w:t>
      </w:r>
      <w:r w:rsidRPr="00301EC5">
        <w:t xml:space="preserve">found that a ≥40% increase in </w:t>
      </w:r>
      <w:proofErr w:type="spellStart"/>
      <w:r w:rsidRPr="00301EC5">
        <w:t>CgA</w:t>
      </w:r>
      <w:proofErr w:type="spellEnd"/>
      <w:r w:rsidRPr="00301EC5">
        <w:t xml:space="preserve"> during follow-up was associated with a significantly higher likelihood of tumour progression or recurrence, whereas the prospective CASPAR study defined a positive result as a ≥50% increase from the previous measurement reaching an absolute concentration &gt;100 ng/</w:t>
      </w:r>
      <w:proofErr w:type="spellStart"/>
      <w:r w:rsidRPr="00301EC5">
        <w:t>mL.</w:t>
      </w:r>
      <w:proofErr w:type="spellEnd"/>
      <w:r w:rsidR="00D5155D" w:rsidRPr="00301EC5">
        <w:rPr>
          <w:bCs/>
          <w:iCs/>
        </w:rPr>
        <w:fldChar w:fldCharType="begin"/>
      </w:r>
      <w:r w:rsidR="007D39C6">
        <w:rPr>
          <w:bCs/>
          <w:iCs/>
        </w:rPr>
        <w:instrText xml:space="preserve"> ADDIN EN.CITE &lt;EndNote&gt;&lt;Cite&gt;&lt;Author&gt;Tsai&lt;/Author&gt;&lt;Year&gt;2021&lt;/Year&gt;&lt;RecNum&gt;13&lt;/RecNum&gt;&lt;DisplayText&gt;(Tsai, Hsiao et al. 2021)&lt;/DisplayText&gt;&lt;record&gt;&lt;rec-number&gt;13&lt;/rec-number&gt;&lt;foreign-keys&gt;&lt;key app="EN" db-id="et0tvv0vcezr9neew2av9ppvfs25wf5sd0pd" timestamp="1784266908"&gt;13&lt;/key&gt;&lt;/foreign-keys&gt;&lt;ref-type name="Journal Article"&gt;17&lt;/ref-type&gt;&lt;contributors&gt;&lt;authors&gt;&lt;author&gt;Tsai,Hui-Jen&lt;/author&gt;&lt;author&gt;Hsiao,Chin-Fu&lt;/author&gt;&lt;author&gt;Chang,Jeffrey S.&lt;/author&gt;&lt;author&gt;Chen,Li-Tzong&lt;/author&gt;&lt;author&gt;Chao,Ying-Jui&lt;/author&gt;&lt;author&gt;Yen,Chia-Ju&lt;/author&gt;&lt;author&gt;Shan,Yan-Shen&lt;/author&gt;&lt;/authors&gt;&lt;/contributors&gt;&lt;auth-address&gt;Yan-Shen Shan,Division of General Surgery, Department of Surgery, National Cheng Kung University Hospital, College of Medicine, National Cheng Kung University,Taiwan,ysshan@mail.ncku.edu.tw&amp;#xD;Yan-Shen Shan,Institute of Clinical Medicine, College of Medicine, National Cheng Kung University,Taiwan,ysshan@mail.ncku.edu.tw&lt;/auth-address&gt;&lt;titles&gt;&lt;title&gt;The Prognostic and Predictive Role of Chromogranin A in Gastroenteropancreatic Neuroendocrine Tumors – A Single-Center Experience&lt;/title&gt;&lt;secondary-title&gt;Frontiers in Oncology&lt;/secondary-title&gt;&lt;short-title&gt;undefined&lt;/short-title&gt;&lt;/titles&gt;&lt;periodical&gt;&lt;full-title&gt;Frontiers in Oncology&lt;/full-title&gt;&lt;/periodical&gt;&lt;volume&gt;Volume 11 - 2021&lt;/volume&gt;&lt;keywords&gt;&lt;keyword&gt;Chromogranin A,Neuroendocrine Tumors,Gastroenteropancreas,Prognostic factor,Predictive factor&lt;/keyword&gt;&lt;/keywords&gt;&lt;dates&gt;&lt;year&gt;2021&lt;/year&gt;&lt;pub-dates&gt;&lt;date&gt;2021-November-12&lt;/date&gt;&lt;/pub-dates&gt;&lt;/dates&gt;&lt;isbn&gt;2234-943X&lt;/isbn&gt;&lt;work-type&gt;Original Research&lt;/work-type&gt;&lt;urls&gt;&lt;related-urls&gt;&lt;url&gt;https://www.frontiersin.org/journals/oncology/articles/10.3389/fonc.2021.741096&lt;/url&gt;&lt;/related-urls&gt;&lt;/urls&gt;&lt;electronic-resource-num&gt;10.3389/fonc.2021.741096&lt;/electronic-resource-num&gt;&lt;language&gt;English&lt;/language&gt;&lt;/record&gt;&lt;/Cite&gt;&lt;/EndNote&gt;</w:instrText>
      </w:r>
      <w:r w:rsidR="00D5155D" w:rsidRPr="00301EC5">
        <w:rPr>
          <w:bCs/>
          <w:iCs/>
        </w:rPr>
        <w:fldChar w:fldCharType="separate"/>
      </w:r>
      <w:r w:rsidR="007D39C6">
        <w:rPr>
          <w:bCs/>
          <w:iCs/>
          <w:noProof/>
        </w:rPr>
        <w:t>(Tsai, Hsiao et al. 2021)</w:t>
      </w:r>
      <w:r w:rsidR="00D5155D" w:rsidRPr="00301EC5">
        <w:rPr>
          <w:bCs/>
          <w:iCs/>
        </w:rPr>
        <w:fldChar w:fldCharType="end"/>
      </w:r>
      <w:r w:rsidR="00F672B6">
        <w:rPr>
          <w:bCs/>
          <w:iCs/>
        </w:rPr>
        <w:t>.</w:t>
      </w:r>
      <w:r w:rsidR="00A50FAF">
        <w:rPr>
          <w:bCs/>
          <w:iCs/>
        </w:rPr>
        <w:t xml:space="preserve"> </w:t>
      </w:r>
      <w:r w:rsidRPr="00301EC5">
        <w:rPr>
          <w:bCs/>
          <w:iCs/>
        </w:rPr>
        <w:t xml:space="preserve">The use of different thresholds across studies highlights the lack of consensus regarding the magnitude of </w:t>
      </w:r>
      <w:proofErr w:type="spellStart"/>
      <w:r w:rsidRPr="00301EC5">
        <w:rPr>
          <w:bCs/>
          <w:iCs/>
        </w:rPr>
        <w:t>CgA</w:t>
      </w:r>
      <w:proofErr w:type="spellEnd"/>
      <w:r w:rsidRPr="00301EC5">
        <w:rPr>
          <w:bCs/>
          <w:iCs/>
        </w:rPr>
        <w:t xml:space="preserve"> change that should trigger further investigation or management modification </w:t>
      </w:r>
      <w:r w:rsidR="000B32C9" w:rsidRPr="00301EC5">
        <w:rPr>
          <w:bCs/>
          <w:iCs/>
        </w:rPr>
        <w:fldChar w:fldCharType="begin">
          <w:fldData xml:space="preserve">PEVuZE5vdGU+PENpdGU+PEF1dGhvcj5NZW5nPC9BdXRob3I+PFllYXI+MjAyNDwvWWVhcj48UmVj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</w:fldData>
        </w:fldChar>
      </w:r>
      <w:r w:rsidR="007D39C6">
        <w:rPr>
          <w:bCs/>
          <w:iCs/>
        </w:rPr>
        <w:instrText xml:space="preserve"> ADDIN EN.CITE </w:instrText>
      </w:r>
      <w:r w:rsidR="007D39C6">
        <w:rPr>
          <w:bCs/>
          <w:iCs/>
        </w:rPr>
        <w:fldChar w:fldCharType="begin">
          <w:fldData xml:space="preserve">PEVuZE5vdGU+PENpdGU+PEF1dGhvcj5NZW5nPC9BdXRob3I+PFllYXI+MjAyNDwvWWVhcj48UmVj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</w:fldData>
        </w:fldChar>
      </w:r>
      <w:r w:rsidR="007D39C6">
        <w:rPr>
          <w:bCs/>
          <w:iCs/>
        </w:rPr>
        <w:instrText xml:space="preserve"> ADDIN EN.CITE.DATA </w:instrText>
      </w:r>
      <w:r w:rsidR="007D39C6">
        <w:rPr>
          <w:bCs/>
          <w:iCs/>
        </w:rPr>
      </w:r>
      <w:r w:rsidR="007D39C6">
        <w:rPr>
          <w:bCs/>
          <w:iCs/>
        </w:rPr>
        <w:fldChar w:fldCharType="end"/>
      </w:r>
      <w:r w:rsidR="000B32C9" w:rsidRPr="00301EC5">
        <w:rPr>
          <w:bCs/>
          <w:iCs/>
        </w:rPr>
      </w:r>
      <w:r w:rsidR="000B32C9" w:rsidRPr="00301EC5">
        <w:rPr>
          <w:bCs/>
          <w:iCs/>
        </w:rPr>
        <w:fldChar w:fldCharType="separate"/>
      </w:r>
      <w:r w:rsidR="007D39C6">
        <w:rPr>
          <w:bCs/>
          <w:iCs/>
          <w:noProof/>
        </w:rPr>
        <w:t>(Tsai, Hsiao et al. 2021, Meng, Halfdanarson et al. 2024)</w:t>
      </w:r>
      <w:r w:rsidR="000B32C9" w:rsidRPr="00301EC5">
        <w:rPr>
          <w:bCs/>
          <w:iCs/>
        </w:rPr>
        <w:fldChar w:fldCharType="end"/>
      </w:r>
      <w:r w:rsidR="007B4269">
        <w:rPr>
          <w:bCs/>
          <w:iCs/>
        </w:rPr>
        <w:t>.</w:t>
      </w:r>
    </w:p>
    <w:p w14:paraId="3A053B46" w14:textId="5E385DD8" w:rsidR="00174D2D" w:rsidRDefault="002031A9">
      <w:pPr>
        <w:pStyle w:val="ListParagraph"/>
        <w:numPr>
          <w:ilvl w:val="0"/>
          <w:numId w:val="18"/>
        </w:numPr>
        <w:rPr>
          <w:bCs/>
          <w:iCs/>
        </w:rPr>
      </w:pPr>
      <w:r w:rsidRPr="00301EC5">
        <w:t xml:space="preserve">Uncertainty also exists regarding the optimal frequency </w:t>
      </w:r>
      <w:r w:rsidR="00075757">
        <w:t xml:space="preserve">and duration </w:t>
      </w:r>
      <w:r w:rsidRPr="00301EC5">
        <w:t xml:space="preserve">of </w:t>
      </w:r>
      <w:proofErr w:type="spellStart"/>
      <w:r w:rsidRPr="00301EC5">
        <w:t>CgA</w:t>
      </w:r>
      <w:proofErr w:type="spellEnd"/>
      <w:r w:rsidRPr="00301EC5">
        <w:t xml:space="preserve"> monitoring. While some guidelines recommend monitoring every 3–12 months depending on tumour type, stage, treatment status, and disease stability, these recommendations are largely consensus-based and supported by limited prospective evidence </w:t>
      </w:r>
      <w:r w:rsidR="00B9790E" w:rsidRPr="00301EC5">
        <w:fldChar w:fldCharType="begin"/>
      </w:r>
      <w:r w:rsidR="007D39C6">
        <w:instrText xml:space="preserve"> ADDIN EN.CITE &lt;EndNote&gt;&lt;Cite&gt;&lt;Author&gt;Clinical Oncology Society of Australia&lt;/Author&gt;&lt;Year&gt;2023&lt;/Year&gt;&lt;RecNum&gt;1&lt;/RecNum&gt;&lt;DisplayText&gt;(Clinical Oncology Society of Australia 2023)&lt;/DisplayText&gt;&lt;record&gt;&lt;rec-number&gt;1&lt;/rec-number&gt;&lt;foreign-keys&gt;&lt;key app="EN" db-id="et0tvv0vcezr9neew2av9ppvfs25wf5sd0pd" timestamp="1781493635"&gt;1&lt;/key&gt;&lt;/foreign-keys&gt;&lt;ref-type name="Journal Article"&gt;17&lt;/ref-type&gt;&lt;contributors&gt;&lt;authors&gt;&lt;author&gt;Clinical Oncology Society of Australia,&lt;/author&gt;&lt;/authors&gt;&lt;/contributors&gt;&lt;titles&gt;&lt;title&gt;Neuroendocrine Neoplasms (NENs) Clinical Guidelines&lt;/title&gt;&lt;secondary-title&gt;Cancer Council Australia&lt;/secondary-title&gt;&lt;/titles&gt;&lt;periodical&gt;&lt;full-title&gt;Cancer Council Australia&lt;/full-title&gt;&lt;/periodical&gt;&lt;dates&gt;&lt;year&gt;2023&lt;/year&gt;&lt;/dates&gt;&lt;urls&gt;&lt;related-urls&gt;&lt;url&gt;https://www.cancer.org.au/health-professionals/clinical-practice-guidelines/neuroendocrine-neoplasms-nens&lt;/url&gt;&lt;/related-urls&gt;&lt;/urls&gt;&lt;language&gt;en&lt;/language&gt;&lt;access-date&gt;2026/06/15/03:18:42&lt;/access-date&gt;&lt;/record&gt;&lt;/Cite&gt;&lt;/EndNote&gt;</w:instrText>
      </w:r>
      <w:r w:rsidR="00B9790E" w:rsidRPr="00301EC5">
        <w:fldChar w:fldCharType="separate"/>
      </w:r>
      <w:r w:rsidR="007D39C6">
        <w:rPr>
          <w:noProof/>
        </w:rPr>
        <w:t>(Clinical Oncology Society of Australia 2023)</w:t>
      </w:r>
      <w:r w:rsidR="00B9790E" w:rsidRPr="00301EC5">
        <w:fldChar w:fldCharType="end"/>
      </w:r>
      <w:r w:rsidR="00DE6E73">
        <w:t>.</w:t>
      </w:r>
      <w:r w:rsidR="00B9790E" w:rsidRPr="00301EC5">
        <w:t xml:space="preserve"> </w:t>
      </w:r>
      <w:r w:rsidRPr="00301EC5">
        <w:t xml:space="preserve">The CASPAR investigators noted that current guideline recommendations encompass a broad range of imaging and follow-up intervals, reflecting the lack of robust evidence informing surveillance schedules. </w:t>
      </w:r>
      <w:r w:rsidR="006D263A" w:rsidRPr="006D263A">
        <w:t>For well-differentiated neuroendocrine neoplasms (NENs), follow-up is generally long-term and often lifelong, reflecting the typically indolent disease course and the possibility of late recurrence or progression</w:t>
      </w:r>
      <w:r w:rsidR="006D263A">
        <w:t xml:space="preserve"> </w:t>
      </w:r>
      <w:r w:rsidR="007D39C6">
        <w:fldChar w:fldCharType="begin"/>
      </w:r>
      <w:r w:rsidR="007D39C6">
        <w:instrText xml:space="preserve"> ADDIN EN.CITE &lt;EndNote&gt;&lt;Cite&gt;&lt;Author&gt;Tareco Bucho&lt;/Author&gt;&lt;Year&gt;2025&lt;/Year&gt;&lt;RecNum&gt;21&lt;/RecNum&gt;&lt;DisplayText&gt;(Tareco Bucho, Pascucci et al. 2025)&lt;/DisplayText&gt;&lt;record&gt;&lt;rec-number&gt;21&lt;/rec-number&gt;&lt;foreign-keys&gt;&lt;key app="EN" db-id="et0tvv0vcezr9neew2av9ppvfs25wf5sd0pd" timestamp="1784278508"&gt;21&lt;/key&gt;&lt;/foreign-keys&gt;&lt;ref-type name="Journal Article"&gt;17&lt;/ref-type&gt;&lt;contributors&gt;&lt;authors&gt;&lt;author&gt;Tareco Bucho, Teresa M.&lt;/author&gt;&lt;author&gt;Pascucci, Luca&lt;/author&gt;&lt;author&gt;Mancò, Giovanni&lt;/author&gt;&lt;author&gt;Taraschi, Alessio&lt;/author&gt;&lt;author&gt;Macchia, Maria Claudia&lt;/author&gt;&lt;author&gt;Tinari, Nicola&lt;/author&gt;&lt;author&gt;Brocco, Davide&lt;/author&gt;&lt;author&gt;Beets-Tan, Regina G. H.&lt;/author&gt;&lt;author&gt;Pizzi, Andrea Delli&lt;/author&gt;&lt;author&gt;Trebeschi, Stefano&lt;/author&gt;&lt;/authors&gt;&lt;/contributors&gt;&lt;titles&gt;&lt;title&gt;RECIST progression: Patterns among target, non-target, non-measurable and new lesions progression&lt;/title&gt;&lt;secondary-title&gt;European Journal of Radiology&lt;/secondary-title&gt;&lt;/titles&gt;&lt;periodical&gt;&lt;full-title&gt;European Journal of Radiology&lt;/full-title&gt;&lt;/periodical&gt;&lt;volume&gt;186&lt;/volume&gt;&lt;dates&gt;&lt;year&gt;2025&lt;/year&gt;&lt;/dates&gt;&lt;publisher&gt;Elsevier&lt;/publisher&gt;&lt;isbn&gt;0720-048X&lt;/isbn&gt;&lt;urls&gt;&lt;related-urls&gt;&lt;url&gt;https://doi.org/10.1016/j.ejrad.2025.112038&lt;/url&gt;&lt;/related-urls&gt;&lt;/urls&gt;&lt;electronic-resource-num&gt;10.1016/j.ejrad.2025.112038&lt;/electronic-resource-num&gt;&lt;access-date&gt;2026/07/17&lt;/access-date&gt;&lt;/record&gt;&lt;/Cite&gt;&lt;/EndNote&gt;</w:instrText>
      </w:r>
      <w:r w:rsidR="007D39C6">
        <w:fldChar w:fldCharType="separate"/>
      </w:r>
      <w:r w:rsidR="007D39C6">
        <w:rPr>
          <w:noProof/>
        </w:rPr>
        <w:t>(Tareco Bucho, Pascucci et al. 2025)</w:t>
      </w:r>
      <w:r w:rsidR="007D39C6">
        <w:fldChar w:fldCharType="end"/>
      </w:r>
      <w:r w:rsidR="006D263A" w:rsidRPr="006D263A">
        <w:t>.</w:t>
      </w:r>
      <w:r w:rsidR="006D263A">
        <w:t xml:space="preserve"> </w:t>
      </w:r>
      <w:r w:rsidRPr="00301EC5">
        <w:t xml:space="preserve">Furthermore, a comprehensive review by Marotta et al. </w:t>
      </w:r>
      <w:r w:rsidR="00602C5C">
        <w:t xml:space="preserve">(2018) </w:t>
      </w:r>
      <w:r w:rsidRPr="00301EC5">
        <w:t xml:space="preserve">concluded that the role of serial </w:t>
      </w:r>
      <w:proofErr w:type="spellStart"/>
      <w:r w:rsidRPr="00301EC5">
        <w:t>CgA</w:t>
      </w:r>
      <w:proofErr w:type="spellEnd"/>
      <w:r w:rsidRPr="00301EC5">
        <w:t xml:space="preserve"> measurements in follow-up remains controversial, citing assay variability, lack of standardisation, and insufficient prospective evidence linking biomarker changes with clinically meaningful outcomes</w:t>
      </w:r>
      <w:r w:rsidR="00602C5C">
        <w:t xml:space="preserve"> </w:t>
      </w:r>
      <w:r w:rsidR="00D52ED5" w:rsidRPr="00301EC5">
        <w:rPr>
          <w:bCs/>
          <w:iCs/>
        </w:rPr>
        <w:fldChar w:fldCharType="begin"/>
      </w:r>
      <w:r w:rsidR="007D39C6">
        <w:rPr>
          <w:bCs/>
          <w:iCs/>
        </w:rPr>
        <w:instrText xml:space="preserve"> ADDIN EN.CITE &lt;EndNote&gt;&lt;Cite&gt;&lt;Author&gt;Marotta&lt;/Author&gt;&lt;Year&gt;2018&lt;/Year&gt;&lt;RecNum&gt;15&lt;/RecNum&gt;&lt;DisplayText&gt;(Marotta, Zatelli et al. 2018)&lt;/DisplayText&gt;&lt;record&gt;&lt;rec-number&gt;15&lt;/rec-number&gt;&lt;foreign-keys&gt;&lt;key app="EN" db-id="et0tvv0vcezr9neew2av9ppvfs25wf5sd0pd" timestamp="1784266909"&gt;15&lt;/key&gt;&lt;/foreign-keys&gt;&lt;ref-type name="Journal Article"&gt;17&lt;/ref-type&gt;&lt;contributors&gt;&lt;authors&gt;&lt;author&gt;Marotta, Vincenzo&lt;/author&gt;&lt;author&gt;Zatelli, Maria Chiara&lt;/author&gt;&lt;author&gt;Sciammarella, Concetta&lt;/author&gt;&lt;author&gt;Ambrosio, Maria Rosaria&lt;/author&gt;&lt;author&gt;Bondanelli, Marta&lt;/author&gt;&lt;author&gt;Colao, Annamaria&lt;/author&gt;&lt;author&gt;Faggiano, Antongiulio&lt;/author&gt;&lt;/authors&gt;&lt;/contributors&gt;&lt;titles&gt;&lt;title&gt;Chromogranin A as circulating marker for diagnosis and management of neuroendocrine neoplasms: more flaws than fame&lt;/title&gt;&lt;secondary-title&gt;Endocrine-Related Cancer&lt;/secondary-title&gt;&lt;/titles&gt;&lt;periodical&gt;&lt;full-title&gt;Endocrine-Related Cancer&lt;/full-title&gt;&lt;/periodical&gt;&lt;pages&gt;R11-R29&lt;/pages&gt;&lt;volume&gt;25&lt;/volume&gt;&lt;number&gt;1&lt;/number&gt;&lt;dates&gt;&lt;year&gt;2018&lt;/year&gt;&lt;/dates&gt;&lt;isbn&gt;1351-0088&lt;/isbn&gt;&lt;urls&gt;&lt;related-urls&gt;&lt;url&gt;https://doi.org/10.1530/ERC-17-0269&lt;/url&gt;&lt;/related-urls&gt;&lt;/urls&gt;&lt;electronic-resource-num&gt;10.1530/erc-17-0269&lt;/electronic-resource-num&gt;&lt;access-date&gt;7/8/2026&lt;/access-date&gt;&lt;/record&gt;&lt;/Cite&gt;&lt;/EndNote&gt;</w:instrText>
      </w:r>
      <w:r w:rsidR="00D52ED5" w:rsidRPr="00301EC5">
        <w:rPr>
          <w:bCs/>
          <w:iCs/>
        </w:rPr>
        <w:fldChar w:fldCharType="separate"/>
      </w:r>
      <w:r w:rsidR="007D39C6">
        <w:rPr>
          <w:bCs/>
          <w:iCs/>
          <w:noProof/>
        </w:rPr>
        <w:t>(Marotta, Zatelli et al. 2018)</w:t>
      </w:r>
      <w:r w:rsidR="00D52ED5" w:rsidRPr="00301EC5">
        <w:rPr>
          <w:bCs/>
          <w:iCs/>
        </w:rPr>
        <w:fldChar w:fldCharType="end"/>
      </w:r>
      <w:r w:rsidR="00F84695">
        <w:rPr>
          <w:bCs/>
          <w:iCs/>
        </w:rPr>
        <w:t>.</w:t>
      </w:r>
    </w:p>
    <w:p w14:paraId="7EB118AB" w14:textId="41E2CD5C" w:rsidR="009D10B0" w:rsidRPr="00D824A3" w:rsidRDefault="009D10B0" w:rsidP="00761037">
      <w:proofErr w:type="spellStart"/>
      <w:r w:rsidRPr="009D10B0">
        <w:rPr>
          <w:bCs/>
          <w:iCs/>
        </w:rPr>
        <w:t>CgA</w:t>
      </w:r>
      <w:proofErr w:type="spellEnd"/>
      <w:r w:rsidRPr="009D10B0">
        <w:rPr>
          <w:bCs/>
          <w:iCs/>
        </w:rPr>
        <w:t xml:space="preserve"> is of limited utility </w:t>
      </w:r>
      <w:r w:rsidR="00050FF7">
        <w:rPr>
          <w:bCs/>
          <w:iCs/>
        </w:rPr>
        <w:t xml:space="preserve">and not intended </w:t>
      </w:r>
      <w:r w:rsidR="0029027F">
        <w:rPr>
          <w:bCs/>
          <w:iCs/>
        </w:rPr>
        <w:t xml:space="preserve">as </w:t>
      </w:r>
      <w:r w:rsidRPr="009D10B0">
        <w:rPr>
          <w:bCs/>
          <w:iCs/>
        </w:rPr>
        <w:t>a diagnostic biomarker</w:t>
      </w:r>
      <w:r w:rsidR="0029027F">
        <w:rPr>
          <w:bCs/>
          <w:iCs/>
        </w:rPr>
        <w:t xml:space="preserve">. </w:t>
      </w:r>
      <w:proofErr w:type="spellStart"/>
      <w:r w:rsidR="0029027F">
        <w:rPr>
          <w:bCs/>
          <w:iCs/>
        </w:rPr>
        <w:t>CgA</w:t>
      </w:r>
      <w:proofErr w:type="spellEnd"/>
      <w:r w:rsidRPr="009D10B0">
        <w:rPr>
          <w:bCs/>
          <w:iCs/>
        </w:rPr>
        <w:t xml:space="preserve"> lacks both sensitivity and specificity; levels may remain normal in several NET subtypes, resulting in false-negative results, while numerous non-tumour conditions and medications can cause elevated </w:t>
      </w:r>
      <w:proofErr w:type="spellStart"/>
      <w:r w:rsidRPr="009D10B0">
        <w:rPr>
          <w:bCs/>
          <w:iCs/>
        </w:rPr>
        <w:t>CgA</w:t>
      </w:r>
      <w:proofErr w:type="spellEnd"/>
      <w:r w:rsidRPr="009D10B0">
        <w:rPr>
          <w:bCs/>
          <w:iCs/>
        </w:rPr>
        <w:t xml:space="preserve"> concentrations, leading to false-positive findings and reducing its diagnostic accuracy</w:t>
      </w:r>
      <w:r w:rsidR="00050FF7">
        <w:rPr>
          <w:bCs/>
          <w:iCs/>
        </w:rPr>
        <w:t xml:space="preserve"> </w:t>
      </w:r>
      <w:r w:rsidR="007D39C6">
        <w:rPr>
          <w:bCs/>
          <w:iCs/>
        </w:rPr>
        <w:fldChar w:fldCharType="begin">
          <w:fldData xml:space="preserve">PEVuZE5vdGU+PENpdGU+PEF1dGhvcj5CYWVrZGFsPC9BdXRob3I+PFllYXI+MjAyMDwvWWVhcj48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</w:fldData>
        </w:fldChar>
      </w:r>
      <w:r w:rsidR="007D39C6">
        <w:rPr>
          <w:bCs/>
          <w:iCs/>
        </w:rPr>
        <w:instrText xml:space="preserve"> ADDIN EN.CITE </w:instrText>
      </w:r>
      <w:r w:rsidR="007D39C6">
        <w:rPr>
          <w:bCs/>
          <w:iCs/>
        </w:rPr>
        <w:fldChar w:fldCharType="begin">
          <w:fldData xml:space="preserve">PEVuZE5vdGU+PENpdGU+PEF1dGhvcj5CYWVrZGFsPC9BdXRob3I+PFllYXI+MjAyMDwvWWVhcj48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</w:fldData>
        </w:fldChar>
      </w:r>
      <w:r w:rsidR="007D39C6">
        <w:rPr>
          <w:bCs/>
          <w:iCs/>
        </w:rPr>
        <w:instrText xml:space="preserve"> ADDIN EN.CITE.DATA </w:instrText>
      </w:r>
      <w:r w:rsidR="007D39C6">
        <w:rPr>
          <w:bCs/>
          <w:iCs/>
        </w:rPr>
      </w:r>
      <w:r w:rsidR="007D39C6">
        <w:rPr>
          <w:bCs/>
          <w:iCs/>
        </w:rPr>
        <w:fldChar w:fldCharType="end"/>
      </w:r>
      <w:r w:rsidR="007D39C6">
        <w:rPr>
          <w:bCs/>
          <w:iCs/>
        </w:rPr>
      </w:r>
      <w:r w:rsidR="007D39C6">
        <w:rPr>
          <w:bCs/>
          <w:iCs/>
        </w:rPr>
        <w:fldChar w:fldCharType="separate"/>
      </w:r>
      <w:r w:rsidR="007D39C6">
        <w:rPr>
          <w:bCs/>
          <w:iCs/>
          <w:noProof/>
        </w:rPr>
        <w:t>(Baekdal, Krogh et al. 2020)</w:t>
      </w:r>
      <w:r w:rsidR="007D39C6">
        <w:rPr>
          <w:bCs/>
          <w:iCs/>
        </w:rPr>
        <w:fldChar w:fldCharType="end"/>
      </w:r>
      <w:r w:rsidRPr="009D10B0">
        <w:rPr>
          <w:bCs/>
          <w:iCs/>
        </w:rPr>
        <w:t>.</w:t>
      </w:r>
    </w:p>
    <w:p w14:paraId="50A3A298" w14:textId="1DB0A372" w:rsidR="00687AFC" w:rsidRPr="00946BC6" w:rsidRDefault="00687AFC" w:rsidP="6C2537F6">
      <w:pPr>
        <w:autoSpaceDE w:val="0"/>
        <w:autoSpaceDN w:val="0"/>
        <w:adjustRightInd w:val="0"/>
        <w:spacing w:line="23" w:lineRule="atLeast"/>
        <w:rPr>
          <w:rFonts w:asciiTheme="minorHAnsi" w:hAnsiTheme="minorHAnsi" w:cstheme="minorBidi"/>
          <w:i/>
          <w:iCs/>
        </w:rPr>
      </w:pPr>
      <w:r w:rsidRPr="6C2537F6">
        <w:rPr>
          <w:rFonts w:asciiTheme="minorHAnsi" w:hAnsiTheme="minorHAnsi" w:cstheme="minorBidi"/>
          <w:i/>
          <w:iCs/>
        </w:rPr>
        <w:t xml:space="preserve">PASC queried the challenges associated with interpreting serial </w:t>
      </w:r>
      <w:proofErr w:type="spellStart"/>
      <w:r w:rsidRPr="6C2537F6">
        <w:rPr>
          <w:rFonts w:asciiTheme="minorHAnsi" w:hAnsiTheme="minorHAnsi" w:cstheme="minorBidi"/>
          <w:i/>
          <w:iCs/>
        </w:rPr>
        <w:t>CgA</w:t>
      </w:r>
      <w:proofErr w:type="spellEnd"/>
      <w:r w:rsidRPr="6C2537F6">
        <w:rPr>
          <w:rFonts w:asciiTheme="minorHAnsi" w:hAnsiTheme="minorHAnsi" w:cstheme="minorBidi"/>
          <w:i/>
          <w:iCs/>
        </w:rPr>
        <w:t xml:space="preserve"> measurements given </w:t>
      </w:r>
      <w:r w:rsidR="005F758D" w:rsidRPr="6C2537F6">
        <w:rPr>
          <w:rFonts w:asciiTheme="minorHAnsi" w:hAnsiTheme="minorHAnsi" w:cstheme="minorBidi"/>
          <w:i/>
          <w:iCs/>
        </w:rPr>
        <w:t>intra</w:t>
      </w:r>
      <w:r w:rsidR="009F309B" w:rsidRPr="6C2537F6">
        <w:rPr>
          <w:rFonts w:asciiTheme="minorHAnsi" w:hAnsiTheme="minorHAnsi" w:cstheme="minorBidi"/>
          <w:i/>
          <w:iCs/>
        </w:rPr>
        <w:t>-</w:t>
      </w:r>
      <w:r w:rsidR="005F758D" w:rsidRPr="6C2537F6">
        <w:rPr>
          <w:rFonts w:asciiTheme="minorHAnsi" w:hAnsiTheme="minorHAnsi" w:cstheme="minorBidi"/>
          <w:i/>
          <w:iCs/>
        </w:rPr>
        <w:t xml:space="preserve">assay </w:t>
      </w:r>
      <w:r w:rsidRPr="6C2537F6">
        <w:rPr>
          <w:rFonts w:asciiTheme="minorHAnsi" w:hAnsiTheme="minorHAnsi" w:cstheme="minorBidi"/>
          <w:i/>
          <w:iCs/>
        </w:rPr>
        <w:t xml:space="preserve">variability, </w:t>
      </w:r>
      <w:r w:rsidR="005F758D" w:rsidRPr="6C2537F6">
        <w:rPr>
          <w:rFonts w:asciiTheme="minorHAnsi" w:hAnsiTheme="minorHAnsi" w:cstheme="minorBidi"/>
          <w:i/>
          <w:iCs/>
        </w:rPr>
        <w:t>inter</w:t>
      </w:r>
      <w:r w:rsidR="009F309B" w:rsidRPr="6C2537F6">
        <w:rPr>
          <w:rFonts w:asciiTheme="minorHAnsi" w:hAnsiTheme="minorHAnsi" w:cstheme="minorBidi"/>
          <w:i/>
          <w:iCs/>
        </w:rPr>
        <w:t xml:space="preserve">-assay variability </w:t>
      </w:r>
      <w:r w:rsidRPr="6C2537F6">
        <w:rPr>
          <w:rFonts w:asciiTheme="minorHAnsi" w:hAnsiTheme="minorHAnsi" w:cstheme="minorBidi"/>
          <w:i/>
          <w:iCs/>
        </w:rPr>
        <w:t xml:space="preserve">between the three available antibody-based assays and </w:t>
      </w:r>
      <w:r w:rsidR="009F309B" w:rsidRPr="6C2537F6">
        <w:rPr>
          <w:rFonts w:asciiTheme="minorHAnsi" w:hAnsiTheme="minorHAnsi" w:cstheme="minorBidi"/>
          <w:i/>
          <w:iCs/>
        </w:rPr>
        <w:t xml:space="preserve">variability </w:t>
      </w:r>
      <w:r w:rsidRPr="6C2537F6">
        <w:rPr>
          <w:rFonts w:asciiTheme="minorHAnsi" w:hAnsiTheme="minorHAnsi" w:cstheme="minorBidi"/>
          <w:i/>
          <w:iCs/>
        </w:rPr>
        <w:t>between laboratories. PASC noted that</w:t>
      </w:r>
      <w:r w:rsidR="0026300C" w:rsidRPr="6C2537F6">
        <w:rPr>
          <w:rFonts w:asciiTheme="minorHAnsi" w:hAnsiTheme="minorHAnsi" w:cstheme="minorBidi"/>
          <w:i/>
          <w:iCs/>
        </w:rPr>
        <w:t xml:space="preserve"> serial </w:t>
      </w:r>
      <w:proofErr w:type="spellStart"/>
      <w:r w:rsidR="0026300C" w:rsidRPr="6C2537F6">
        <w:rPr>
          <w:rFonts w:asciiTheme="minorHAnsi" w:hAnsiTheme="minorHAnsi" w:cstheme="minorBidi"/>
          <w:i/>
          <w:iCs/>
        </w:rPr>
        <w:t>CgA</w:t>
      </w:r>
      <w:proofErr w:type="spellEnd"/>
      <w:r w:rsidR="0026300C" w:rsidRPr="6C2537F6">
        <w:rPr>
          <w:rFonts w:asciiTheme="minorHAnsi" w:hAnsiTheme="minorHAnsi" w:cstheme="minorBidi"/>
          <w:i/>
          <w:iCs/>
        </w:rPr>
        <w:t xml:space="preserve"> monitoring would require </w:t>
      </w:r>
      <w:r w:rsidRPr="6C2537F6">
        <w:rPr>
          <w:rFonts w:asciiTheme="minorHAnsi" w:hAnsiTheme="minorHAnsi" w:cstheme="minorBidi"/>
          <w:i/>
          <w:iCs/>
        </w:rPr>
        <w:t xml:space="preserve">consistent use of the same assay </w:t>
      </w:r>
      <w:r w:rsidR="00BC6A5C" w:rsidRPr="6C2537F6">
        <w:rPr>
          <w:rFonts w:asciiTheme="minorHAnsi" w:hAnsiTheme="minorHAnsi" w:cstheme="minorBidi"/>
          <w:i/>
          <w:iCs/>
        </w:rPr>
        <w:t>for</w:t>
      </w:r>
      <w:r w:rsidRPr="6C2537F6">
        <w:rPr>
          <w:rFonts w:asciiTheme="minorHAnsi" w:hAnsiTheme="minorHAnsi" w:cstheme="minorBidi"/>
          <w:i/>
          <w:iCs/>
        </w:rPr>
        <w:t xml:space="preserve"> an individual patient</w:t>
      </w:r>
      <w:r w:rsidR="00BC6A5C" w:rsidRPr="6C2537F6">
        <w:rPr>
          <w:rFonts w:asciiTheme="minorHAnsi" w:hAnsiTheme="minorHAnsi" w:cstheme="minorBidi"/>
          <w:i/>
          <w:iCs/>
        </w:rPr>
        <w:t xml:space="preserve"> because results obtained using different assays are not directly comparable</w:t>
      </w:r>
      <w:r w:rsidRPr="6C2537F6">
        <w:rPr>
          <w:rFonts w:asciiTheme="minorHAnsi" w:hAnsiTheme="minorHAnsi" w:cstheme="minorBidi"/>
          <w:i/>
          <w:iCs/>
        </w:rPr>
        <w:t>.</w:t>
      </w:r>
      <w:r w:rsidR="00F6374D" w:rsidRPr="6C2537F6">
        <w:rPr>
          <w:rFonts w:asciiTheme="minorHAnsi" w:hAnsiTheme="minorHAnsi" w:cstheme="minorBidi"/>
          <w:i/>
          <w:iCs/>
        </w:rPr>
        <w:t xml:space="preserve"> </w:t>
      </w:r>
      <w:r w:rsidR="00BC6A5C" w:rsidRPr="6C2537F6">
        <w:rPr>
          <w:rFonts w:asciiTheme="minorHAnsi" w:hAnsiTheme="minorHAnsi" w:cstheme="minorBidi"/>
          <w:i/>
          <w:iCs/>
        </w:rPr>
        <w:t>PASC also noted that e</w:t>
      </w:r>
      <w:r w:rsidR="000F60C5" w:rsidRPr="6C2537F6">
        <w:rPr>
          <w:rFonts w:asciiTheme="minorHAnsi" w:hAnsiTheme="minorHAnsi" w:cstheme="minorBidi"/>
          <w:i/>
          <w:iCs/>
        </w:rPr>
        <w:t xml:space="preserve">ven when </w:t>
      </w:r>
      <w:r w:rsidR="00F6374D" w:rsidRPr="6C2537F6">
        <w:rPr>
          <w:rFonts w:asciiTheme="minorHAnsi" w:hAnsiTheme="minorHAnsi" w:cstheme="minorBidi"/>
          <w:i/>
          <w:iCs/>
        </w:rPr>
        <w:t>using the same assay, the COSA guidelines</w:t>
      </w:r>
      <w:r w:rsidR="000F60C5" w:rsidRPr="6C2537F6">
        <w:rPr>
          <w:rFonts w:asciiTheme="minorHAnsi" w:hAnsiTheme="minorHAnsi" w:cstheme="minorBidi"/>
          <w:i/>
          <w:iCs/>
        </w:rPr>
        <w:t xml:space="preserve"> note inter-assay variability can be up to </w:t>
      </w:r>
      <w:r w:rsidR="003D48F9" w:rsidRPr="6C2537F6">
        <w:rPr>
          <w:rFonts w:asciiTheme="minorHAnsi" w:hAnsiTheme="minorHAnsi" w:cstheme="minorBidi"/>
          <w:i/>
          <w:iCs/>
        </w:rPr>
        <w:t>±20%</w:t>
      </w:r>
      <w:r w:rsidR="58B8EA55" w:rsidRPr="6C2537F6">
        <w:rPr>
          <w:rFonts w:asciiTheme="minorHAnsi" w:hAnsiTheme="minorHAnsi" w:cstheme="minorBidi"/>
          <w:i/>
          <w:iCs/>
        </w:rPr>
        <w:t>. PASC noted the suggestion that one way to address this was that</w:t>
      </w:r>
      <w:r w:rsidR="00C37779">
        <w:rPr>
          <w:rFonts w:asciiTheme="minorHAnsi" w:hAnsiTheme="minorHAnsi" w:cstheme="minorBidi"/>
          <w:i/>
          <w:iCs/>
        </w:rPr>
        <w:t xml:space="preserve"> </w:t>
      </w:r>
      <w:r w:rsidR="00552963" w:rsidRPr="6C2537F6">
        <w:rPr>
          <w:rFonts w:asciiTheme="minorHAnsi" w:hAnsiTheme="minorHAnsi" w:cstheme="minorBidi"/>
          <w:i/>
          <w:iCs/>
        </w:rPr>
        <w:t xml:space="preserve">laboratories should provide </w:t>
      </w:r>
      <w:r w:rsidR="00552D29" w:rsidRPr="6C2537F6">
        <w:rPr>
          <w:rFonts w:asciiTheme="minorHAnsi" w:hAnsiTheme="minorHAnsi" w:cstheme="minorBidi"/>
          <w:i/>
          <w:iCs/>
        </w:rPr>
        <w:t>confidence intervals and interpatient variation in duplicate samples</w:t>
      </w:r>
      <w:r w:rsidR="003D48F9" w:rsidRPr="6C2537F6">
        <w:rPr>
          <w:rFonts w:asciiTheme="minorHAnsi" w:hAnsiTheme="minorHAnsi" w:cstheme="minorBidi"/>
          <w:i/>
          <w:iCs/>
        </w:rPr>
        <w:t>.</w:t>
      </w:r>
      <w:r w:rsidR="00F6374D" w:rsidRPr="6C2537F6">
        <w:rPr>
          <w:rFonts w:asciiTheme="minorHAnsi" w:hAnsiTheme="minorHAnsi" w:cstheme="minorBidi"/>
          <w:i/>
          <w:iCs/>
        </w:rPr>
        <w:t xml:space="preserve"> </w:t>
      </w:r>
      <w:r w:rsidRPr="6C2537F6">
        <w:rPr>
          <w:rFonts w:asciiTheme="minorHAnsi" w:hAnsiTheme="minorHAnsi" w:cstheme="minorBidi"/>
          <w:i/>
          <w:iCs/>
        </w:rPr>
        <w:t xml:space="preserve">The applicant’s clinical expert advised that one assay is currently used by most Australian laboratories and that the RCPA Quality Assurance Program provides a mechanism for </w:t>
      </w:r>
      <w:r w:rsidR="00AF0C85">
        <w:rPr>
          <w:rFonts w:asciiTheme="minorHAnsi" w:hAnsiTheme="minorHAnsi" w:cstheme="minorBidi"/>
          <w:i/>
          <w:iCs/>
        </w:rPr>
        <w:t>ensuring that</w:t>
      </w:r>
      <w:r w:rsidRPr="6C2537F6">
        <w:rPr>
          <w:rFonts w:asciiTheme="minorHAnsi" w:hAnsiTheme="minorHAnsi" w:cstheme="minorBidi"/>
          <w:i/>
          <w:iCs/>
        </w:rPr>
        <w:t xml:space="preserve"> assay performance </w:t>
      </w:r>
      <w:r w:rsidR="00370EAF">
        <w:rPr>
          <w:rFonts w:asciiTheme="minorHAnsi" w:hAnsiTheme="minorHAnsi" w:cstheme="minorBidi"/>
          <w:i/>
          <w:iCs/>
        </w:rPr>
        <w:t>is assessed</w:t>
      </w:r>
      <w:r w:rsidR="003E483E">
        <w:rPr>
          <w:rFonts w:asciiTheme="minorHAnsi" w:hAnsiTheme="minorHAnsi" w:cstheme="minorBidi"/>
          <w:i/>
          <w:iCs/>
        </w:rPr>
        <w:t xml:space="preserve"> in</w:t>
      </w:r>
      <w:r w:rsidR="00370EAF" w:rsidRPr="6C2537F6">
        <w:rPr>
          <w:rFonts w:asciiTheme="minorHAnsi" w:hAnsiTheme="minorHAnsi" w:cstheme="minorBidi"/>
          <w:i/>
          <w:iCs/>
        </w:rPr>
        <w:t xml:space="preserve"> </w:t>
      </w:r>
      <w:r w:rsidRPr="6C2537F6">
        <w:rPr>
          <w:rFonts w:asciiTheme="minorHAnsi" w:hAnsiTheme="minorHAnsi" w:cstheme="minorBidi"/>
          <w:i/>
          <w:iCs/>
        </w:rPr>
        <w:t>laboratories</w:t>
      </w:r>
      <w:r w:rsidR="00D0757D">
        <w:rPr>
          <w:rFonts w:asciiTheme="minorHAnsi" w:hAnsiTheme="minorHAnsi" w:cstheme="minorBidi"/>
          <w:i/>
          <w:iCs/>
        </w:rPr>
        <w:t>, regardless of the assay used</w:t>
      </w:r>
      <w:r w:rsidRPr="6C2537F6">
        <w:rPr>
          <w:rFonts w:asciiTheme="minorHAnsi" w:hAnsiTheme="minorHAnsi" w:cstheme="minorBidi"/>
          <w:i/>
          <w:iCs/>
        </w:rPr>
        <w:t>.</w:t>
      </w:r>
    </w:p>
    <w:p w14:paraId="30A16F25" w14:textId="3211B5A8" w:rsidR="00687AFC" w:rsidRPr="00946BC6" w:rsidRDefault="00687AFC" w:rsidP="6C2537F6">
      <w:pPr>
        <w:autoSpaceDE w:val="0"/>
        <w:autoSpaceDN w:val="0"/>
        <w:adjustRightInd w:val="0"/>
        <w:spacing w:line="23" w:lineRule="atLeast"/>
        <w:rPr>
          <w:rFonts w:asciiTheme="minorHAnsi" w:hAnsiTheme="minorHAnsi" w:cstheme="minorBidi"/>
          <w:i/>
          <w:iCs/>
        </w:rPr>
      </w:pPr>
      <w:r w:rsidRPr="6C2537F6">
        <w:rPr>
          <w:rFonts w:asciiTheme="minorHAnsi" w:hAnsiTheme="minorHAnsi" w:cstheme="minorBidi"/>
          <w:i/>
          <w:iCs/>
        </w:rPr>
        <w:t xml:space="preserve">PASC also questioned how an actionable change in </w:t>
      </w:r>
      <w:proofErr w:type="spellStart"/>
      <w:r w:rsidRPr="6C2537F6">
        <w:rPr>
          <w:rFonts w:asciiTheme="minorHAnsi" w:hAnsiTheme="minorHAnsi" w:cstheme="minorBidi"/>
          <w:i/>
          <w:iCs/>
        </w:rPr>
        <w:t>CgA</w:t>
      </w:r>
      <w:proofErr w:type="spellEnd"/>
      <w:r w:rsidRPr="6C2537F6">
        <w:rPr>
          <w:rFonts w:asciiTheme="minorHAnsi" w:hAnsiTheme="minorHAnsi" w:cstheme="minorBidi"/>
          <w:i/>
          <w:iCs/>
        </w:rPr>
        <w:t xml:space="preserve"> would be defined. PASC noted that thresholds used in the available evidence varied</w:t>
      </w:r>
      <w:r w:rsidR="004E62D4" w:rsidRPr="6C2537F6">
        <w:rPr>
          <w:rFonts w:asciiTheme="minorHAnsi" w:hAnsiTheme="minorHAnsi" w:cstheme="minorBidi"/>
          <w:i/>
          <w:iCs/>
        </w:rPr>
        <w:t xml:space="preserve">. </w:t>
      </w:r>
      <w:r w:rsidR="00641A3E" w:rsidRPr="6C2537F6">
        <w:rPr>
          <w:rFonts w:asciiTheme="minorHAnsi" w:hAnsiTheme="minorHAnsi" w:cstheme="minorBidi"/>
          <w:i/>
          <w:iCs/>
        </w:rPr>
        <w:t>For example, o</w:t>
      </w:r>
      <w:r w:rsidR="004E62D4" w:rsidRPr="6C2537F6">
        <w:rPr>
          <w:rFonts w:asciiTheme="minorHAnsi" w:hAnsiTheme="minorHAnsi" w:cstheme="minorBidi"/>
          <w:i/>
          <w:iCs/>
        </w:rPr>
        <w:t xml:space="preserve">ne Australian retrospective study </w:t>
      </w:r>
      <w:r w:rsidR="002C46F2" w:rsidRPr="6C2537F6">
        <w:rPr>
          <w:rFonts w:asciiTheme="minorHAnsi" w:hAnsiTheme="minorHAnsi" w:cstheme="minorBidi"/>
          <w:i/>
          <w:iCs/>
        </w:rPr>
        <w:t>(</w:t>
      </w:r>
      <w:r w:rsidR="009A715D" w:rsidRPr="6C2537F6">
        <w:rPr>
          <w:rFonts w:asciiTheme="minorHAnsi" w:hAnsiTheme="minorHAnsi" w:cstheme="minorBidi"/>
          <w:i/>
          <w:iCs/>
        </w:rPr>
        <w:t>Nguyen et al 2022</w:t>
      </w:r>
      <w:r w:rsidR="00E92107" w:rsidRPr="6C2537F6">
        <w:rPr>
          <w:rFonts w:asciiTheme="minorHAnsi" w:hAnsiTheme="minorHAnsi" w:cstheme="minorBidi"/>
          <w:i/>
          <w:iCs/>
        </w:rPr>
        <w:t xml:space="preserve">) </w:t>
      </w:r>
      <w:r w:rsidR="004E62D4" w:rsidRPr="6C2537F6">
        <w:rPr>
          <w:rFonts w:asciiTheme="minorHAnsi" w:hAnsiTheme="minorHAnsi" w:cstheme="minorBidi"/>
          <w:i/>
          <w:iCs/>
        </w:rPr>
        <w:t xml:space="preserve">used </w:t>
      </w:r>
      <w:r w:rsidR="008E2603" w:rsidRPr="6C2537F6">
        <w:rPr>
          <w:rFonts w:asciiTheme="minorHAnsi" w:hAnsiTheme="minorHAnsi" w:cstheme="minorBidi"/>
          <w:i/>
          <w:iCs/>
        </w:rPr>
        <w:t>an increase of</w:t>
      </w:r>
      <w:r w:rsidRPr="6C2537F6">
        <w:rPr>
          <w:rFonts w:asciiTheme="minorHAnsi" w:hAnsiTheme="minorHAnsi" w:cstheme="minorBidi"/>
          <w:i/>
          <w:iCs/>
        </w:rPr>
        <w:t xml:space="preserve"> 25% </w:t>
      </w:r>
      <w:r w:rsidR="008E2603" w:rsidRPr="6C2537F6">
        <w:rPr>
          <w:rFonts w:asciiTheme="minorHAnsi" w:hAnsiTheme="minorHAnsi" w:cstheme="minorBidi"/>
          <w:i/>
          <w:iCs/>
        </w:rPr>
        <w:t>as the threshold</w:t>
      </w:r>
      <w:r w:rsidR="00AB05C4" w:rsidRPr="6C2537F6">
        <w:rPr>
          <w:rFonts w:asciiTheme="minorHAnsi" w:hAnsiTheme="minorHAnsi" w:cstheme="minorBidi"/>
          <w:i/>
          <w:iCs/>
        </w:rPr>
        <w:t>, whi</w:t>
      </w:r>
      <w:r w:rsidR="00514737" w:rsidRPr="6C2537F6">
        <w:rPr>
          <w:rFonts w:asciiTheme="minorHAnsi" w:hAnsiTheme="minorHAnsi" w:cstheme="minorBidi"/>
          <w:i/>
          <w:iCs/>
        </w:rPr>
        <w:t xml:space="preserve">le the CASPAR study considered </w:t>
      </w:r>
      <w:r w:rsidR="004775D0" w:rsidRPr="6C2537F6">
        <w:rPr>
          <w:rFonts w:asciiTheme="minorHAnsi" w:hAnsiTheme="minorHAnsi" w:cstheme="minorBidi"/>
          <w:i/>
          <w:iCs/>
        </w:rPr>
        <w:t xml:space="preserve">an increase ≥50% above the prior </w:t>
      </w:r>
      <w:proofErr w:type="spellStart"/>
      <w:r w:rsidR="004775D0" w:rsidRPr="6C2537F6">
        <w:rPr>
          <w:rFonts w:asciiTheme="minorHAnsi" w:hAnsiTheme="minorHAnsi" w:cstheme="minorBidi"/>
          <w:i/>
          <w:iCs/>
        </w:rPr>
        <w:t>CgA</w:t>
      </w:r>
      <w:proofErr w:type="spellEnd"/>
      <w:r w:rsidR="004775D0" w:rsidRPr="6C2537F6">
        <w:rPr>
          <w:rFonts w:asciiTheme="minorHAnsi" w:hAnsiTheme="minorHAnsi" w:cstheme="minorBidi"/>
          <w:i/>
          <w:iCs/>
        </w:rPr>
        <w:t xml:space="preserve"> concentration to a value &gt;100 ng/mL in the following </w:t>
      </w:r>
      <w:proofErr w:type="spellStart"/>
      <w:r w:rsidR="004775D0" w:rsidRPr="6C2537F6">
        <w:rPr>
          <w:rFonts w:asciiTheme="minorHAnsi" w:hAnsiTheme="minorHAnsi" w:cstheme="minorBidi"/>
          <w:i/>
          <w:iCs/>
        </w:rPr>
        <w:t>CgA</w:t>
      </w:r>
      <w:proofErr w:type="spellEnd"/>
      <w:r w:rsidR="004775D0" w:rsidRPr="6C2537F6">
        <w:rPr>
          <w:rFonts w:asciiTheme="minorHAnsi" w:hAnsiTheme="minorHAnsi" w:cstheme="minorBidi"/>
          <w:i/>
          <w:iCs/>
        </w:rPr>
        <w:t xml:space="preserve"> concentration as positive</w:t>
      </w:r>
      <w:r w:rsidRPr="6C2537F6">
        <w:rPr>
          <w:rFonts w:asciiTheme="minorHAnsi" w:hAnsiTheme="minorHAnsi" w:cstheme="minorBidi"/>
          <w:i/>
          <w:iCs/>
        </w:rPr>
        <w:t xml:space="preserve">. </w:t>
      </w:r>
      <w:r w:rsidR="00DF3E1A" w:rsidRPr="6C2537F6">
        <w:rPr>
          <w:rFonts w:asciiTheme="minorHAnsi" w:hAnsiTheme="minorHAnsi" w:cstheme="minorBidi"/>
          <w:i/>
          <w:iCs/>
        </w:rPr>
        <w:t xml:space="preserve">PASC noted the </w:t>
      </w:r>
      <w:r w:rsidR="00DF3E1A" w:rsidRPr="6C2537F6">
        <w:rPr>
          <w:rFonts w:asciiTheme="minorHAnsi" w:hAnsiTheme="minorHAnsi" w:cstheme="minorBidi"/>
          <w:i/>
          <w:iCs/>
        </w:rPr>
        <w:lastRenderedPageBreak/>
        <w:t xml:space="preserve">applicant’s pre-PASC response </w:t>
      </w:r>
      <w:r w:rsidR="00A8116F" w:rsidRPr="6C2537F6">
        <w:rPr>
          <w:rFonts w:asciiTheme="minorHAnsi" w:hAnsiTheme="minorHAnsi" w:cstheme="minorBidi"/>
          <w:i/>
          <w:iCs/>
        </w:rPr>
        <w:t xml:space="preserve">was open to </w:t>
      </w:r>
      <w:r w:rsidR="00C17B9B" w:rsidRPr="6C2537F6">
        <w:rPr>
          <w:rFonts w:asciiTheme="minorHAnsi" w:hAnsiTheme="minorHAnsi" w:cstheme="minorBidi"/>
          <w:i/>
          <w:iCs/>
        </w:rPr>
        <w:t>using the CASPAR threshold for the assessment but</w:t>
      </w:r>
      <w:r w:rsidR="00F97757" w:rsidRPr="6C2537F6">
        <w:rPr>
          <w:rFonts w:asciiTheme="minorHAnsi" w:hAnsiTheme="minorHAnsi" w:cstheme="minorBidi"/>
          <w:i/>
          <w:iCs/>
        </w:rPr>
        <w:t xml:space="preserve"> </w:t>
      </w:r>
      <w:r w:rsidRPr="6C2537F6">
        <w:rPr>
          <w:rFonts w:asciiTheme="minorHAnsi" w:hAnsiTheme="minorHAnsi" w:cstheme="minorBidi"/>
          <w:i/>
          <w:iCs/>
        </w:rPr>
        <w:t xml:space="preserve">did not support applying </w:t>
      </w:r>
      <w:r w:rsidR="004F7154" w:rsidRPr="6C2537F6">
        <w:rPr>
          <w:rFonts w:asciiTheme="minorHAnsi" w:hAnsiTheme="minorHAnsi" w:cstheme="minorBidi"/>
          <w:i/>
          <w:iCs/>
        </w:rPr>
        <w:t xml:space="preserve">the use of a universal clinical decision </w:t>
      </w:r>
      <w:r w:rsidR="001B42F6" w:rsidRPr="6C2537F6">
        <w:rPr>
          <w:rFonts w:asciiTheme="minorHAnsi" w:hAnsiTheme="minorHAnsi" w:cstheme="minorBidi"/>
          <w:i/>
          <w:iCs/>
        </w:rPr>
        <w:t>rule</w:t>
      </w:r>
      <w:r w:rsidRPr="6C2537F6">
        <w:rPr>
          <w:rFonts w:asciiTheme="minorHAnsi" w:hAnsiTheme="minorHAnsi" w:cstheme="minorBidi"/>
          <w:i/>
          <w:iCs/>
        </w:rPr>
        <w:t xml:space="preserve">. The applicant’s clinical experts advised that interpretation would depend on the magnitude and rate of change in </w:t>
      </w:r>
      <w:proofErr w:type="spellStart"/>
      <w:r w:rsidRPr="6C2537F6">
        <w:rPr>
          <w:rFonts w:asciiTheme="minorHAnsi" w:hAnsiTheme="minorHAnsi" w:cstheme="minorBidi"/>
          <w:i/>
          <w:iCs/>
        </w:rPr>
        <w:t>CgA</w:t>
      </w:r>
      <w:proofErr w:type="spellEnd"/>
      <w:r w:rsidRPr="6C2537F6">
        <w:rPr>
          <w:rFonts w:asciiTheme="minorHAnsi" w:hAnsiTheme="minorHAnsi" w:cstheme="minorBidi"/>
          <w:i/>
          <w:iCs/>
        </w:rPr>
        <w:t xml:space="preserve">, together with symptoms, radiological findings and other clinical risk factors. PASC considered </w:t>
      </w:r>
      <w:r w:rsidR="1B6BD40F" w:rsidRPr="6C2537F6">
        <w:rPr>
          <w:rFonts w:asciiTheme="minorHAnsi" w:hAnsiTheme="minorHAnsi" w:cstheme="minorBidi"/>
          <w:i/>
          <w:iCs/>
        </w:rPr>
        <w:t xml:space="preserve">the lack of an evidence base for an actionable change in </w:t>
      </w:r>
      <w:proofErr w:type="spellStart"/>
      <w:r w:rsidR="1B6BD40F" w:rsidRPr="6C2537F6">
        <w:rPr>
          <w:rFonts w:asciiTheme="minorHAnsi" w:hAnsiTheme="minorHAnsi" w:cstheme="minorBidi"/>
          <w:i/>
          <w:iCs/>
        </w:rPr>
        <w:t>CgA</w:t>
      </w:r>
      <w:proofErr w:type="spellEnd"/>
      <w:r w:rsidR="1B6BD40F" w:rsidRPr="6C2537F6">
        <w:rPr>
          <w:rFonts w:asciiTheme="minorHAnsi" w:hAnsiTheme="minorHAnsi" w:cstheme="minorBidi"/>
          <w:i/>
          <w:iCs/>
        </w:rPr>
        <w:t xml:space="preserve"> levels problematic, and </w:t>
      </w:r>
      <w:r w:rsidRPr="6C2537F6">
        <w:rPr>
          <w:rFonts w:asciiTheme="minorHAnsi" w:hAnsiTheme="minorHAnsi" w:cstheme="minorBidi"/>
          <w:i/>
          <w:iCs/>
        </w:rPr>
        <w:t xml:space="preserve">that </w:t>
      </w:r>
      <w:r w:rsidR="002D532A" w:rsidRPr="6C2537F6">
        <w:rPr>
          <w:rFonts w:asciiTheme="minorHAnsi" w:hAnsiTheme="minorHAnsi" w:cstheme="minorBidi"/>
          <w:i/>
          <w:iCs/>
        </w:rPr>
        <w:t>the applicant</w:t>
      </w:r>
      <w:r w:rsidRPr="6C2537F6">
        <w:rPr>
          <w:rFonts w:asciiTheme="minorHAnsi" w:hAnsiTheme="minorHAnsi" w:cstheme="minorBidi"/>
          <w:i/>
          <w:iCs/>
        </w:rPr>
        <w:t xml:space="preserve"> would need to clearly specify how an actionable change in </w:t>
      </w:r>
      <w:proofErr w:type="spellStart"/>
      <w:r w:rsidRPr="6C2537F6">
        <w:rPr>
          <w:rFonts w:asciiTheme="minorHAnsi" w:hAnsiTheme="minorHAnsi" w:cstheme="minorBidi"/>
          <w:i/>
          <w:iCs/>
        </w:rPr>
        <w:t>CgA</w:t>
      </w:r>
      <w:proofErr w:type="spellEnd"/>
      <w:r w:rsidRPr="6C2537F6">
        <w:rPr>
          <w:rFonts w:asciiTheme="minorHAnsi" w:hAnsiTheme="minorHAnsi" w:cstheme="minorBidi"/>
          <w:i/>
          <w:iCs/>
        </w:rPr>
        <w:t xml:space="preserve"> would be defined and applied in clinical practice</w:t>
      </w:r>
      <w:r w:rsidR="3F35ACA7" w:rsidRPr="6C2537F6">
        <w:rPr>
          <w:rFonts w:asciiTheme="minorHAnsi" w:hAnsiTheme="minorHAnsi" w:cstheme="minorBidi"/>
          <w:i/>
          <w:iCs/>
        </w:rPr>
        <w:t xml:space="preserve"> based on evidence</w:t>
      </w:r>
      <w:r w:rsidR="00284310" w:rsidRPr="6C2537F6">
        <w:rPr>
          <w:rFonts w:asciiTheme="minorHAnsi" w:hAnsiTheme="minorHAnsi" w:cstheme="minorBidi"/>
          <w:i/>
          <w:iCs/>
        </w:rPr>
        <w:t xml:space="preserve"> </w:t>
      </w:r>
      <w:r w:rsidR="00F702A7" w:rsidRPr="6C2537F6">
        <w:rPr>
          <w:rFonts w:asciiTheme="minorHAnsi" w:hAnsiTheme="minorHAnsi" w:cstheme="minorBidi"/>
          <w:i/>
          <w:iCs/>
        </w:rPr>
        <w:t xml:space="preserve">before a Health Technology Assessment </w:t>
      </w:r>
      <w:r w:rsidR="00810EAB" w:rsidRPr="6C2537F6">
        <w:rPr>
          <w:rFonts w:asciiTheme="minorHAnsi" w:hAnsiTheme="minorHAnsi" w:cstheme="minorBidi"/>
          <w:i/>
          <w:iCs/>
        </w:rPr>
        <w:t>can be undertaken to evaluate h</w:t>
      </w:r>
      <w:r w:rsidR="00BF24E6" w:rsidRPr="6C2537F6">
        <w:rPr>
          <w:rFonts w:asciiTheme="minorHAnsi" w:hAnsiTheme="minorHAnsi" w:cstheme="minorBidi"/>
          <w:i/>
          <w:iCs/>
        </w:rPr>
        <w:t xml:space="preserve">ow </w:t>
      </w:r>
      <w:proofErr w:type="spellStart"/>
      <w:r w:rsidR="00BF24E6" w:rsidRPr="6C2537F6">
        <w:rPr>
          <w:rFonts w:asciiTheme="minorHAnsi" w:hAnsiTheme="minorHAnsi" w:cstheme="minorBidi"/>
          <w:i/>
          <w:iCs/>
        </w:rPr>
        <w:t>CgA</w:t>
      </w:r>
      <w:proofErr w:type="spellEnd"/>
      <w:r w:rsidR="00BF24E6" w:rsidRPr="6C2537F6">
        <w:rPr>
          <w:rFonts w:asciiTheme="minorHAnsi" w:hAnsiTheme="minorHAnsi" w:cstheme="minorBidi"/>
          <w:i/>
          <w:iCs/>
        </w:rPr>
        <w:t xml:space="preserve"> monitoring leads to a change in patient management and improve</w:t>
      </w:r>
      <w:r w:rsidR="00263E54" w:rsidRPr="6C2537F6">
        <w:rPr>
          <w:rFonts w:asciiTheme="minorHAnsi" w:hAnsiTheme="minorHAnsi" w:cstheme="minorBidi"/>
          <w:i/>
          <w:iCs/>
        </w:rPr>
        <w:t>d</w:t>
      </w:r>
      <w:r w:rsidR="00BF24E6" w:rsidRPr="6C2537F6">
        <w:rPr>
          <w:rFonts w:asciiTheme="minorHAnsi" w:hAnsiTheme="minorHAnsi" w:cstheme="minorBidi"/>
          <w:i/>
          <w:iCs/>
        </w:rPr>
        <w:t xml:space="preserve"> </w:t>
      </w:r>
      <w:r w:rsidR="00E87201" w:rsidRPr="6C2537F6">
        <w:rPr>
          <w:rFonts w:asciiTheme="minorHAnsi" w:hAnsiTheme="minorHAnsi" w:cstheme="minorBidi"/>
          <w:i/>
          <w:iCs/>
        </w:rPr>
        <w:t>patient outcomes</w:t>
      </w:r>
      <w:r w:rsidRPr="6C2537F6">
        <w:rPr>
          <w:rFonts w:asciiTheme="minorHAnsi" w:hAnsiTheme="minorHAnsi" w:cstheme="minorBidi"/>
          <w:i/>
          <w:iCs/>
        </w:rPr>
        <w:t>.</w:t>
      </w:r>
    </w:p>
    <w:p w14:paraId="1950644A" w14:textId="77777777" w:rsidR="003D62D3" w:rsidRPr="00946BC6" w:rsidRDefault="003D62D3" w:rsidP="003D62D3">
      <w:pPr>
        <w:autoSpaceDE w:val="0"/>
        <w:autoSpaceDN w:val="0"/>
        <w:adjustRightInd w:val="0"/>
        <w:spacing w:line="23" w:lineRule="atLeast"/>
        <w:rPr>
          <w:rFonts w:asciiTheme="minorHAnsi" w:hAnsiTheme="minorHAnsi" w:cstheme="minorHAnsi"/>
          <w:i/>
          <w:iCs/>
          <w:szCs w:val="20"/>
        </w:rPr>
      </w:pPr>
      <w:r w:rsidRPr="00946BC6">
        <w:rPr>
          <w:rFonts w:asciiTheme="minorHAnsi" w:hAnsiTheme="minorHAnsi" w:cstheme="minorHAnsi"/>
          <w:i/>
          <w:iCs/>
          <w:szCs w:val="20"/>
        </w:rPr>
        <w:t xml:space="preserve">PASC also noted that </w:t>
      </w:r>
      <w:proofErr w:type="spellStart"/>
      <w:r w:rsidRPr="00946BC6">
        <w:rPr>
          <w:rFonts w:asciiTheme="minorHAnsi" w:hAnsiTheme="minorHAnsi" w:cstheme="minorHAnsi"/>
          <w:i/>
          <w:iCs/>
          <w:szCs w:val="20"/>
        </w:rPr>
        <w:t>CgA</w:t>
      </w:r>
      <w:proofErr w:type="spellEnd"/>
      <w:r w:rsidRPr="00946BC6">
        <w:rPr>
          <w:rFonts w:asciiTheme="minorHAnsi" w:hAnsiTheme="minorHAnsi" w:cstheme="minorHAnsi"/>
          <w:i/>
          <w:iCs/>
          <w:szCs w:val="20"/>
        </w:rPr>
        <w:t xml:space="preserve"> results may be affected by comorbidities and medications that can cause false-positive elevations, further complicating the interpretation of serial measurements. The applicant’s clinical experts acknowledged the importance of considering these factors when interpreting results and advised that where a significant rise in </w:t>
      </w:r>
      <w:proofErr w:type="spellStart"/>
      <w:r w:rsidRPr="00946BC6">
        <w:rPr>
          <w:rFonts w:asciiTheme="minorHAnsi" w:hAnsiTheme="minorHAnsi" w:cstheme="minorHAnsi"/>
          <w:i/>
          <w:iCs/>
          <w:szCs w:val="20"/>
        </w:rPr>
        <w:t>CgA</w:t>
      </w:r>
      <w:proofErr w:type="spellEnd"/>
      <w:r w:rsidRPr="00946BC6">
        <w:rPr>
          <w:rFonts w:asciiTheme="minorHAnsi" w:hAnsiTheme="minorHAnsi" w:cstheme="minorHAnsi"/>
          <w:i/>
          <w:iCs/>
          <w:szCs w:val="20"/>
        </w:rPr>
        <w:t xml:space="preserve"> was not supported by imaging findings, </w:t>
      </w:r>
      <w:proofErr w:type="spellStart"/>
      <w:r w:rsidRPr="00946BC6">
        <w:rPr>
          <w:rFonts w:asciiTheme="minorHAnsi" w:hAnsiTheme="minorHAnsi" w:cstheme="minorHAnsi"/>
          <w:i/>
          <w:iCs/>
          <w:szCs w:val="20"/>
        </w:rPr>
        <w:t>CgA</w:t>
      </w:r>
      <w:proofErr w:type="spellEnd"/>
      <w:r w:rsidRPr="00946BC6">
        <w:rPr>
          <w:rFonts w:asciiTheme="minorHAnsi" w:hAnsiTheme="minorHAnsi" w:cstheme="minorHAnsi"/>
          <w:i/>
          <w:iCs/>
          <w:szCs w:val="20"/>
        </w:rPr>
        <w:t xml:space="preserve"> may subsequently be considered less useful for monitoring</w:t>
      </w:r>
      <w:r>
        <w:rPr>
          <w:rFonts w:asciiTheme="minorHAnsi" w:hAnsiTheme="minorHAnsi" w:cstheme="minorHAnsi"/>
          <w:i/>
          <w:iCs/>
          <w:szCs w:val="20"/>
        </w:rPr>
        <w:t xml:space="preserve"> in</w:t>
      </w:r>
      <w:r w:rsidRPr="00946BC6">
        <w:rPr>
          <w:rFonts w:asciiTheme="minorHAnsi" w:hAnsiTheme="minorHAnsi" w:cstheme="minorHAnsi"/>
          <w:i/>
          <w:iCs/>
          <w:szCs w:val="20"/>
        </w:rPr>
        <w:t xml:space="preserve"> that individual patient. PASC considered that the proposed monitoring strategy should clarify how potentially false-positive or discordant </w:t>
      </w:r>
      <w:proofErr w:type="spellStart"/>
      <w:r w:rsidRPr="00946BC6">
        <w:rPr>
          <w:rFonts w:asciiTheme="minorHAnsi" w:hAnsiTheme="minorHAnsi" w:cstheme="minorHAnsi"/>
          <w:i/>
          <w:iCs/>
          <w:szCs w:val="20"/>
        </w:rPr>
        <w:t>CgA</w:t>
      </w:r>
      <w:proofErr w:type="spellEnd"/>
      <w:r w:rsidRPr="00946BC6">
        <w:rPr>
          <w:rFonts w:asciiTheme="minorHAnsi" w:hAnsiTheme="minorHAnsi" w:cstheme="minorHAnsi"/>
          <w:i/>
          <w:iCs/>
          <w:szCs w:val="20"/>
        </w:rPr>
        <w:t xml:space="preserve"> results would be managed.</w:t>
      </w:r>
    </w:p>
    <w:p w14:paraId="3C31B4AF" w14:textId="68642836" w:rsidR="00687AFC" w:rsidRPr="00946BC6" w:rsidRDefault="00687AFC" w:rsidP="003B69B3">
      <w:pPr>
        <w:autoSpaceDE w:val="0"/>
        <w:autoSpaceDN w:val="0"/>
        <w:adjustRightInd w:val="0"/>
        <w:spacing w:line="23" w:lineRule="atLeast"/>
        <w:rPr>
          <w:rFonts w:asciiTheme="minorHAnsi" w:hAnsiTheme="minorHAnsi" w:cstheme="minorHAnsi"/>
          <w:i/>
          <w:iCs/>
          <w:szCs w:val="20"/>
        </w:rPr>
      </w:pPr>
      <w:r w:rsidRPr="00946BC6">
        <w:rPr>
          <w:rFonts w:asciiTheme="minorHAnsi" w:hAnsiTheme="minorHAnsi" w:cstheme="minorHAnsi"/>
          <w:i/>
          <w:iCs/>
          <w:szCs w:val="20"/>
        </w:rPr>
        <w:t xml:space="preserve">PASC considered that the frequency </w:t>
      </w:r>
      <w:r w:rsidR="007C0D46">
        <w:rPr>
          <w:rFonts w:asciiTheme="minorHAnsi" w:hAnsiTheme="minorHAnsi" w:cstheme="minorHAnsi"/>
          <w:i/>
          <w:iCs/>
          <w:szCs w:val="20"/>
        </w:rPr>
        <w:t xml:space="preserve">and duration </w:t>
      </w:r>
      <w:r w:rsidRPr="00946BC6">
        <w:rPr>
          <w:rFonts w:asciiTheme="minorHAnsi" w:hAnsiTheme="minorHAnsi" w:cstheme="minorHAnsi"/>
          <w:i/>
          <w:iCs/>
          <w:szCs w:val="20"/>
        </w:rPr>
        <w:t xml:space="preserve">of </w:t>
      </w:r>
      <w:proofErr w:type="spellStart"/>
      <w:r w:rsidRPr="00946BC6">
        <w:rPr>
          <w:rFonts w:asciiTheme="minorHAnsi" w:hAnsiTheme="minorHAnsi" w:cstheme="minorHAnsi"/>
          <w:i/>
          <w:iCs/>
          <w:szCs w:val="20"/>
        </w:rPr>
        <w:t>CgA</w:t>
      </w:r>
      <w:proofErr w:type="spellEnd"/>
      <w:r w:rsidRPr="00946BC6">
        <w:rPr>
          <w:rFonts w:asciiTheme="minorHAnsi" w:hAnsiTheme="minorHAnsi" w:cstheme="minorHAnsi"/>
          <w:i/>
          <w:iCs/>
          <w:szCs w:val="20"/>
        </w:rPr>
        <w:t xml:space="preserve"> monitoring also required specification. Without a defined testing interval</w:t>
      </w:r>
      <w:r w:rsidR="007D2947">
        <w:rPr>
          <w:rFonts w:asciiTheme="minorHAnsi" w:hAnsiTheme="minorHAnsi" w:cstheme="minorHAnsi"/>
          <w:i/>
          <w:iCs/>
          <w:szCs w:val="20"/>
        </w:rPr>
        <w:t>/schedule</w:t>
      </w:r>
      <w:r w:rsidR="00837B1F">
        <w:rPr>
          <w:rFonts w:asciiTheme="minorHAnsi" w:hAnsiTheme="minorHAnsi" w:cstheme="minorHAnsi"/>
          <w:i/>
          <w:iCs/>
          <w:szCs w:val="20"/>
        </w:rPr>
        <w:t xml:space="preserve"> for </w:t>
      </w:r>
      <w:proofErr w:type="spellStart"/>
      <w:r w:rsidR="00837B1F">
        <w:rPr>
          <w:rFonts w:asciiTheme="minorHAnsi" w:hAnsiTheme="minorHAnsi" w:cstheme="minorHAnsi"/>
          <w:i/>
          <w:iCs/>
          <w:szCs w:val="20"/>
        </w:rPr>
        <w:t>CgA</w:t>
      </w:r>
      <w:proofErr w:type="spellEnd"/>
      <w:r w:rsidR="00837B1F">
        <w:rPr>
          <w:rFonts w:asciiTheme="minorHAnsi" w:hAnsiTheme="minorHAnsi" w:cstheme="minorHAnsi"/>
          <w:i/>
          <w:iCs/>
          <w:szCs w:val="20"/>
        </w:rPr>
        <w:t xml:space="preserve"> monitoring </w:t>
      </w:r>
      <w:r w:rsidR="00B23C08">
        <w:rPr>
          <w:rFonts w:asciiTheme="minorHAnsi" w:hAnsiTheme="minorHAnsi" w:cstheme="minorHAnsi"/>
          <w:i/>
          <w:iCs/>
          <w:szCs w:val="20"/>
        </w:rPr>
        <w:t>and how this compares with current monitoring</w:t>
      </w:r>
      <w:r w:rsidRPr="00946BC6">
        <w:rPr>
          <w:rFonts w:asciiTheme="minorHAnsi" w:hAnsiTheme="minorHAnsi" w:cstheme="minorHAnsi"/>
          <w:i/>
          <w:iCs/>
          <w:szCs w:val="20"/>
        </w:rPr>
        <w:t xml:space="preserve">, </w:t>
      </w:r>
      <w:r w:rsidR="00B23C08">
        <w:rPr>
          <w:rFonts w:asciiTheme="minorHAnsi" w:hAnsiTheme="minorHAnsi" w:cstheme="minorHAnsi"/>
          <w:i/>
          <w:iCs/>
          <w:szCs w:val="20"/>
        </w:rPr>
        <w:t xml:space="preserve">the assessment would not be able to evaluate the </w:t>
      </w:r>
      <w:r w:rsidR="00041FE1">
        <w:rPr>
          <w:rFonts w:asciiTheme="minorHAnsi" w:hAnsiTheme="minorHAnsi" w:cstheme="minorHAnsi"/>
          <w:i/>
          <w:iCs/>
          <w:szCs w:val="20"/>
        </w:rPr>
        <w:t xml:space="preserve">benefit of </w:t>
      </w:r>
      <w:proofErr w:type="spellStart"/>
      <w:r w:rsidR="00041FE1">
        <w:rPr>
          <w:rFonts w:asciiTheme="minorHAnsi" w:hAnsiTheme="minorHAnsi" w:cstheme="minorHAnsi"/>
          <w:i/>
          <w:iCs/>
          <w:szCs w:val="20"/>
        </w:rPr>
        <w:t>CgA</w:t>
      </w:r>
      <w:proofErr w:type="spellEnd"/>
      <w:r w:rsidR="00041FE1">
        <w:rPr>
          <w:rFonts w:asciiTheme="minorHAnsi" w:hAnsiTheme="minorHAnsi" w:cstheme="minorHAnsi"/>
          <w:i/>
          <w:iCs/>
          <w:szCs w:val="20"/>
        </w:rPr>
        <w:t xml:space="preserve"> monitoring</w:t>
      </w:r>
      <w:r w:rsidRPr="00946BC6">
        <w:rPr>
          <w:rFonts w:asciiTheme="minorHAnsi" w:hAnsiTheme="minorHAnsi" w:cstheme="minorHAnsi"/>
          <w:i/>
          <w:iCs/>
          <w:szCs w:val="20"/>
        </w:rPr>
        <w:t xml:space="preserve">. The applicant’s clinical expert considered that testing up to four times per year may be appropriate, with 3- to 6-monthly testing sufficient for many patients and less frequent testing potentially appropriate for patients with more indolent disease. PASC noted that the applicant was not aware of prospective evidence evaluating </w:t>
      </w:r>
      <w:proofErr w:type="spellStart"/>
      <w:r w:rsidRPr="00946BC6">
        <w:rPr>
          <w:rFonts w:asciiTheme="minorHAnsi" w:hAnsiTheme="minorHAnsi" w:cstheme="minorHAnsi"/>
          <w:i/>
          <w:iCs/>
          <w:szCs w:val="20"/>
        </w:rPr>
        <w:t>CgA</w:t>
      </w:r>
      <w:proofErr w:type="spellEnd"/>
      <w:r w:rsidRPr="00946BC6">
        <w:rPr>
          <w:rFonts w:asciiTheme="minorHAnsi" w:hAnsiTheme="minorHAnsi" w:cstheme="minorHAnsi"/>
          <w:i/>
          <w:iCs/>
          <w:szCs w:val="20"/>
        </w:rPr>
        <w:t xml:space="preserve"> monitoring at standardised intervals and how the results subsequently informed changes in clinical management.</w:t>
      </w:r>
    </w:p>
    <w:p w14:paraId="59ED7A09" w14:textId="4FCAA232" w:rsidR="00687AFC" w:rsidRPr="00946BC6" w:rsidRDefault="00687AFC" w:rsidP="00D905F6">
      <w:pPr>
        <w:autoSpaceDE w:val="0"/>
        <w:autoSpaceDN w:val="0"/>
        <w:adjustRightInd w:val="0"/>
        <w:spacing w:line="23" w:lineRule="atLeast"/>
        <w:rPr>
          <w:rFonts w:asciiTheme="minorHAnsi" w:hAnsiTheme="minorHAnsi" w:cstheme="minorHAnsi"/>
          <w:i/>
          <w:iCs/>
          <w:szCs w:val="20"/>
        </w:rPr>
      </w:pPr>
      <w:r w:rsidRPr="00946BC6">
        <w:rPr>
          <w:rFonts w:asciiTheme="minorHAnsi" w:hAnsiTheme="minorHAnsi" w:cstheme="minorHAnsi"/>
          <w:i/>
          <w:iCs/>
          <w:szCs w:val="20"/>
        </w:rPr>
        <w:t xml:space="preserve">PASC sought clarification regarding the clinical place of </w:t>
      </w:r>
      <w:proofErr w:type="spellStart"/>
      <w:r w:rsidRPr="00946BC6">
        <w:rPr>
          <w:rFonts w:asciiTheme="minorHAnsi" w:hAnsiTheme="minorHAnsi" w:cstheme="minorHAnsi"/>
          <w:i/>
          <w:iCs/>
          <w:szCs w:val="20"/>
        </w:rPr>
        <w:t>CgA</w:t>
      </w:r>
      <w:proofErr w:type="spellEnd"/>
      <w:r w:rsidRPr="00946BC6">
        <w:rPr>
          <w:rFonts w:asciiTheme="minorHAnsi" w:hAnsiTheme="minorHAnsi" w:cstheme="minorHAnsi"/>
          <w:i/>
          <w:iCs/>
          <w:szCs w:val="20"/>
        </w:rPr>
        <w:t xml:space="preserve"> monitoring, particularly whether it was intended solely as an adjunct to scheduled imaging or whether it could be used to reduce or defer imaging in selected patients. The applicant’s clinical experts advised that </w:t>
      </w:r>
      <w:proofErr w:type="spellStart"/>
      <w:r w:rsidRPr="00946BC6">
        <w:rPr>
          <w:rFonts w:asciiTheme="minorHAnsi" w:hAnsiTheme="minorHAnsi" w:cstheme="minorHAnsi"/>
          <w:i/>
          <w:iCs/>
          <w:szCs w:val="20"/>
        </w:rPr>
        <w:t>CgA</w:t>
      </w:r>
      <w:proofErr w:type="spellEnd"/>
      <w:r w:rsidRPr="00946BC6">
        <w:rPr>
          <w:rFonts w:asciiTheme="minorHAnsi" w:hAnsiTheme="minorHAnsi" w:cstheme="minorHAnsi"/>
          <w:i/>
          <w:iCs/>
          <w:szCs w:val="20"/>
        </w:rPr>
        <w:t xml:space="preserve"> should not be used in isolation to determine a change in treatment, as imaging remains necessary to confirm disease progression and inform treatment selection. However, in selected patients with stable or indolent disease and an elevated baseline </w:t>
      </w:r>
      <w:proofErr w:type="spellStart"/>
      <w:r w:rsidRPr="00946BC6">
        <w:rPr>
          <w:rFonts w:asciiTheme="minorHAnsi" w:hAnsiTheme="minorHAnsi" w:cstheme="minorHAnsi"/>
          <w:i/>
          <w:iCs/>
          <w:szCs w:val="20"/>
        </w:rPr>
        <w:t>CgA</w:t>
      </w:r>
      <w:proofErr w:type="spellEnd"/>
      <w:r w:rsidRPr="00946BC6">
        <w:rPr>
          <w:rFonts w:asciiTheme="minorHAnsi" w:hAnsiTheme="minorHAnsi" w:cstheme="minorHAnsi"/>
          <w:i/>
          <w:iCs/>
          <w:szCs w:val="20"/>
        </w:rPr>
        <w:t xml:space="preserve"> that is considered informative, the applicant’s clinical experts considered that </w:t>
      </w:r>
      <w:proofErr w:type="spellStart"/>
      <w:r w:rsidRPr="00946BC6">
        <w:rPr>
          <w:rFonts w:asciiTheme="minorHAnsi" w:hAnsiTheme="minorHAnsi" w:cstheme="minorHAnsi"/>
          <w:i/>
          <w:iCs/>
          <w:szCs w:val="20"/>
        </w:rPr>
        <w:t>CgA</w:t>
      </w:r>
      <w:proofErr w:type="spellEnd"/>
      <w:r w:rsidRPr="00946BC6">
        <w:rPr>
          <w:rFonts w:asciiTheme="minorHAnsi" w:hAnsiTheme="minorHAnsi" w:cstheme="minorHAnsi"/>
          <w:i/>
          <w:iCs/>
          <w:szCs w:val="20"/>
        </w:rPr>
        <w:t xml:space="preserve"> monitoring could potentially be used to reduce the frequency of scheduled imaging or prompt earlier imaging where a significant rise occurs. </w:t>
      </w:r>
      <w:r w:rsidR="002034E0">
        <w:rPr>
          <w:rFonts w:asciiTheme="minorHAnsi" w:hAnsiTheme="minorHAnsi" w:cstheme="minorHAnsi"/>
          <w:i/>
          <w:iCs/>
          <w:szCs w:val="20"/>
        </w:rPr>
        <w:t xml:space="preserve">PASC noted </w:t>
      </w:r>
      <w:r w:rsidR="009B5C02">
        <w:rPr>
          <w:rFonts w:asciiTheme="minorHAnsi" w:hAnsiTheme="minorHAnsi" w:cstheme="minorHAnsi"/>
          <w:i/>
          <w:iCs/>
          <w:szCs w:val="20"/>
        </w:rPr>
        <w:t>that th</w:t>
      </w:r>
      <w:r w:rsidR="00713D62">
        <w:rPr>
          <w:rFonts w:asciiTheme="minorHAnsi" w:hAnsiTheme="minorHAnsi" w:cstheme="minorHAnsi"/>
          <w:i/>
          <w:iCs/>
          <w:szCs w:val="20"/>
        </w:rPr>
        <w:t>e</w:t>
      </w:r>
      <w:r w:rsidR="00082B33">
        <w:rPr>
          <w:rFonts w:asciiTheme="minorHAnsi" w:hAnsiTheme="minorHAnsi" w:cstheme="minorHAnsi"/>
          <w:i/>
          <w:iCs/>
          <w:szCs w:val="20"/>
        </w:rPr>
        <w:t xml:space="preserve"> applicant’s expert</w:t>
      </w:r>
      <w:r w:rsidR="00AD5DCD">
        <w:rPr>
          <w:rFonts w:asciiTheme="minorHAnsi" w:hAnsiTheme="minorHAnsi" w:cstheme="minorHAnsi"/>
          <w:i/>
          <w:iCs/>
          <w:szCs w:val="20"/>
        </w:rPr>
        <w:t>s</w:t>
      </w:r>
      <w:r w:rsidR="009B5C02">
        <w:rPr>
          <w:rFonts w:asciiTheme="minorHAnsi" w:hAnsiTheme="minorHAnsi" w:cstheme="minorHAnsi"/>
          <w:i/>
          <w:iCs/>
          <w:szCs w:val="20"/>
        </w:rPr>
        <w:t xml:space="preserve"> </w:t>
      </w:r>
      <w:r w:rsidR="00242F22">
        <w:rPr>
          <w:rFonts w:asciiTheme="minorHAnsi" w:hAnsiTheme="minorHAnsi" w:cstheme="minorHAnsi"/>
          <w:i/>
          <w:iCs/>
          <w:szCs w:val="20"/>
        </w:rPr>
        <w:t>advice</w:t>
      </w:r>
      <w:r w:rsidR="00F77673">
        <w:rPr>
          <w:rFonts w:asciiTheme="minorHAnsi" w:hAnsiTheme="minorHAnsi" w:cstheme="minorHAnsi"/>
          <w:i/>
          <w:iCs/>
          <w:szCs w:val="20"/>
        </w:rPr>
        <w:t xml:space="preserve"> </w:t>
      </w:r>
      <w:r w:rsidR="00F647BB">
        <w:rPr>
          <w:rFonts w:asciiTheme="minorHAnsi" w:hAnsiTheme="minorHAnsi" w:cstheme="minorHAnsi"/>
          <w:i/>
          <w:iCs/>
          <w:szCs w:val="20"/>
        </w:rPr>
        <w:t>that</w:t>
      </w:r>
      <w:r w:rsidR="009B5C02">
        <w:rPr>
          <w:rFonts w:asciiTheme="minorHAnsi" w:hAnsiTheme="minorHAnsi" w:cstheme="minorHAnsi"/>
          <w:i/>
          <w:iCs/>
          <w:szCs w:val="20"/>
        </w:rPr>
        <w:t xml:space="preserve"> </w:t>
      </w:r>
      <w:proofErr w:type="spellStart"/>
      <w:r w:rsidR="00217EBA">
        <w:rPr>
          <w:rFonts w:asciiTheme="minorHAnsi" w:hAnsiTheme="minorHAnsi" w:cstheme="minorHAnsi"/>
          <w:i/>
          <w:iCs/>
          <w:szCs w:val="20"/>
        </w:rPr>
        <w:t>CgA</w:t>
      </w:r>
      <w:proofErr w:type="spellEnd"/>
      <w:r w:rsidR="00217EBA">
        <w:rPr>
          <w:rFonts w:asciiTheme="minorHAnsi" w:hAnsiTheme="minorHAnsi" w:cstheme="minorHAnsi"/>
          <w:i/>
          <w:iCs/>
          <w:szCs w:val="20"/>
        </w:rPr>
        <w:t xml:space="preserve"> monitoring could </w:t>
      </w:r>
      <w:r w:rsidR="00037B6D">
        <w:rPr>
          <w:rFonts w:asciiTheme="minorHAnsi" w:hAnsiTheme="minorHAnsi" w:cstheme="minorHAnsi"/>
          <w:i/>
          <w:iCs/>
          <w:szCs w:val="20"/>
        </w:rPr>
        <w:t>reduce imaging</w:t>
      </w:r>
      <w:r w:rsidR="00245BB7">
        <w:rPr>
          <w:rFonts w:asciiTheme="minorHAnsi" w:hAnsiTheme="minorHAnsi" w:cstheme="minorHAnsi"/>
          <w:i/>
          <w:iCs/>
          <w:szCs w:val="20"/>
        </w:rPr>
        <w:t xml:space="preserve"> frequency</w:t>
      </w:r>
      <w:r w:rsidR="00F72061">
        <w:rPr>
          <w:rFonts w:asciiTheme="minorHAnsi" w:hAnsiTheme="minorHAnsi" w:cstheme="minorHAnsi"/>
          <w:i/>
          <w:iCs/>
          <w:szCs w:val="20"/>
        </w:rPr>
        <w:t xml:space="preserve"> in some instances</w:t>
      </w:r>
      <w:r w:rsidR="00526985">
        <w:rPr>
          <w:rFonts w:asciiTheme="minorHAnsi" w:hAnsiTheme="minorHAnsi" w:cstheme="minorHAnsi"/>
          <w:i/>
          <w:iCs/>
          <w:szCs w:val="20"/>
        </w:rPr>
        <w:t xml:space="preserve"> </w:t>
      </w:r>
      <w:r w:rsidR="00620077">
        <w:rPr>
          <w:rFonts w:asciiTheme="minorHAnsi" w:hAnsiTheme="minorHAnsi" w:cstheme="minorHAnsi"/>
          <w:i/>
          <w:iCs/>
          <w:szCs w:val="20"/>
        </w:rPr>
        <w:t>(</w:t>
      </w:r>
      <w:r w:rsidR="0021177F">
        <w:rPr>
          <w:rFonts w:asciiTheme="minorHAnsi" w:hAnsiTheme="minorHAnsi" w:cstheme="minorHAnsi"/>
          <w:i/>
          <w:iCs/>
          <w:szCs w:val="20"/>
        </w:rPr>
        <w:t>i.e.</w:t>
      </w:r>
      <w:r w:rsidR="007B54B8">
        <w:rPr>
          <w:rFonts w:asciiTheme="minorHAnsi" w:hAnsiTheme="minorHAnsi" w:cstheme="minorHAnsi"/>
          <w:i/>
          <w:iCs/>
          <w:szCs w:val="20"/>
        </w:rPr>
        <w:t xml:space="preserve"> </w:t>
      </w:r>
      <w:proofErr w:type="spellStart"/>
      <w:r w:rsidR="007B54B8">
        <w:rPr>
          <w:rFonts w:asciiTheme="minorHAnsi" w:hAnsiTheme="minorHAnsi" w:cstheme="minorHAnsi"/>
          <w:i/>
          <w:iCs/>
          <w:szCs w:val="20"/>
        </w:rPr>
        <w:t>CgA</w:t>
      </w:r>
      <w:proofErr w:type="spellEnd"/>
      <w:r w:rsidR="007B54B8">
        <w:rPr>
          <w:rFonts w:asciiTheme="minorHAnsi" w:hAnsiTheme="minorHAnsi" w:cstheme="minorHAnsi"/>
          <w:i/>
          <w:iCs/>
          <w:szCs w:val="20"/>
        </w:rPr>
        <w:t xml:space="preserve"> monitoring </w:t>
      </w:r>
      <w:r w:rsidR="0010779F">
        <w:rPr>
          <w:rFonts w:asciiTheme="minorHAnsi" w:hAnsiTheme="minorHAnsi" w:cstheme="minorHAnsi"/>
          <w:i/>
          <w:iCs/>
          <w:szCs w:val="20"/>
        </w:rPr>
        <w:t xml:space="preserve">could </w:t>
      </w:r>
      <w:r w:rsidR="0021177F">
        <w:rPr>
          <w:rFonts w:asciiTheme="minorHAnsi" w:hAnsiTheme="minorHAnsi" w:cstheme="minorHAnsi"/>
          <w:i/>
          <w:iCs/>
          <w:szCs w:val="20"/>
        </w:rPr>
        <w:t>poss</w:t>
      </w:r>
      <w:r w:rsidR="00B65571">
        <w:rPr>
          <w:rFonts w:asciiTheme="minorHAnsi" w:hAnsiTheme="minorHAnsi" w:cstheme="minorHAnsi"/>
          <w:i/>
          <w:iCs/>
          <w:szCs w:val="20"/>
        </w:rPr>
        <w:t xml:space="preserve">ibly </w:t>
      </w:r>
      <w:r w:rsidR="00DB65FF">
        <w:rPr>
          <w:rFonts w:asciiTheme="minorHAnsi" w:hAnsiTheme="minorHAnsi" w:cstheme="minorHAnsi"/>
          <w:i/>
          <w:iCs/>
          <w:szCs w:val="20"/>
        </w:rPr>
        <w:t>re</w:t>
      </w:r>
      <w:r w:rsidR="00D271F1">
        <w:rPr>
          <w:rFonts w:asciiTheme="minorHAnsi" w:hAnsiTheme="minorHAnsi" w:cstheme="minorHAnsi"/>
          <w:i/>
          <w:iCs/>
          <w:szCs w:val="20"/>
        </w:rPr>
        <w:t>place</w:t>
      </w:r>
      <w:r w:rsidR="0010779F">
        <w:rPr>
          <w:rFonts w:asciiTheme="minorHAnsi" w:hAnsiTheme="minorHAnsi" w:cstheme="minorHAnsi"/>
          <w:i/>
          <w:iCs/>
          <w:szCs w:val="20"/>
        </w:rPr>
        <w:t xml:space="preserve"> imaging</w:t>
      </w:r>
      <w:r w:rsidR="00DB65FF">
        <w:rPr>
          <w:rFonts w:asciiTheme="minorHAnsi" w:hAnsiTheme="minorHAnsi" w:cstheme="minorHAnsi"/>
          <w:i/>
          <w:iCs/>
          <w:szCs w:val="20"/>
        </w:rPr>
        <w:t xml:space="preserve"> in some instances</w:t>
      </w:r>
      <w:r w:rsidR="0010779F">
        <w:rPr>
          <w:rFonts w:asciiTheme="minorHAnsi" w:hAnsiTheme="minorHAnsi" w:cstheme="minorHAnsi"/>
          <w:i/>
          <w:iCs/>
          <w:szCs w:val="20"/>
        </w:rPr>
        <w:t xml:space="preserve">), </w:t>
      </w:r>
      <w:r w:rsidR="007A3F80">
        <w:rPr>
          <w:rFonts w:asciiTheme="minorHAnsi" w:hAnsiTheme="minorHAnsi" w:cstheme="minorHAnsi"/>
          <w:i/>
          <w:iCs/>
          <w:szCs w:val="20"/>
        </w:rPr>
        <w:t>appeared to contradict what was</w:t>
      </w:r>
      <w:r w:rsidR="00242F22">
        <w:rPr>
          <w:rFonts w:asciiTheme="minorHAnsi" w:hAnsiTheme="minorHAnsi" w:cstheme="minorHAnsi"/>
          <w:i/>
          <w:iCs/>
          <w:szCs w:val="20"/>
        </w:rPr>
        <w:t xml:space="preserve"> formally put forward as part of the application</w:t>
      </w:r>
      <w:r w:rsidR="00533A7D">
        <w:rPr>
          <w:rFonts w:asciiTheme="minorHAnsi" w:hAnsiTheme="minorHAnsi" w:cstheme="minorHAnsi"/>
          <w:i/>
          <w:iCs/>
          <w:szCs w:val="20"/>
        </w:rPr>
        <w:t xml:space="preserve">. </w:t>
      </w:r>
      <w:r w:rsidR="0089523C">
        <w:rPr>
          <w:rFonts w:asciiTheme="minorHAnsi" w:hAnsiTheme="minorHAnsi" w:cstheme="minorHAnsi"/>
          <w:i/>
          <w:iCs/>
          <w:szCs w:val="20"/>
        </w:rPr>
        <w:t>That is,</w:t>
      </w:r>
      <w:r w:rsidR="00037B6D">
        <w:rPr>
          <w:rFonts w:asciiTheme="minorHAnsi" w:hAnsiTheme="minorHAnsi" w:cstheme="minorHAnsi"/>
          <w:i/>
          <w:iCs/>
          <w:szCs w:val="20"/>
        </w:rPr>
        <w:t xml:space="preserve"> the applicant’s pre-PASC </w:t>
      </w:r>
      <w:r w:rsidR="009D447C">
        <w:rPr>
          <w:rFonts w:asciiTheme="minorHAnsi" w:hAnsiTheme="minorHAnsi" w:cstheme="minorHAnsi"/>
          <w:i/>
          <w:iCs/>
          <w:szCs w:val="20"/>
        </w:rPr>
        <w:t>response stated</w:t>
      </w:r>
      <w:r w:rsidR="00037B6D">
        <w:rPr>
          <w:rFonts w:asciiTheme="minorHAnsi" w:hAnsiTheme="minorHAnsi" w:cstheme="minorHAnsi"/>
          <w:i/>
          <w:iCs/>
          <w:szCs w:val="20"/>
        </w:rPr>
        <w:t xml:space="preserve"> that </w:t>
      </w:r>
      <w:proofErr w:type="spellStart"/>
      <w:r w:rsidR="008911BF">
        <w:rPr>
          <w:rFonts w:asciiTheme="minorHAnsi" w:hAnsiTheme="minorHAnsi" w:cstheme="minorHAnsi"/>
          <w:i/>
          <w:iCs/>
          <w:szCs w:val="20"/>
        </w:rPr>
        <w:t>CgA</w:t>
      </w:r>
      <w:proofErr w:type="spellEnd"/>
      <w:r w:rsidR="008911BF">
        <w:rPr>
          <w:rFonts w:asciiTheme="minorHAnsi" w:hAnsiTheme="minorHAnsi" w:cstheme="minorHAnsi"/>
          <w:i/>
          <w:iCs/>
          <w:szCs w:val="20"/>
        </w:rPr>
        <w:t xml:space="preserve"> monitoring is </w:t>
      </w:r>
      <w:r w:rsidR="00CB64D7">
        <w:rPr>
          <w:rFonts w:asciiTheme="minorHAnsi" w:hAnsiTheme="minorHAnsi" w:cstheme="minorHAnsi"/>
          <w:i/>
          <w:iCs/>
          <w:szCs w:val="20"/>
        </w:rPr>
        <w:t xml:space="preserve">not </w:t>
      </w:r>
      <w:r w:rsidR="00007F9A">
        <w:rPr>
          <w:rFonts w:asciiTheme="minorHAnsi" w:hAnsiTheme="minorHAnsi" w:cstheme="minorHAnsi"/>
          <w:i/>
          <w:iCs/>
          <w:szCs w:val="20"/>
        </w:rPr>
        <w:t>intended for replacement of imaging</w:t>
      </w:r>
      <w:r w:rsidR="00CB64D7">
        <w:rPr>
          <w:rFonts w:asciiTheme="minorHAnsi" w:hAnsiTheme="minorHAnsi" w:cstheme="minorHAnsi"/>
          <w:i/>
          <w:iCs/>
          <w:szCs w:val="20"/>
        </w:rPr>
        <w:t xml:space="preserve">, it is </w:t>
      </w:r>
      <w:r w:rsidR="008911BF">
        <w:rPr>
          <w:rFonts w:asciiTheme="minorHAnsi" w:hAnsiTheme="minorHAnsi" w:cstheme="minorHAnsi"/>
          <w:i/>
          <w:iCs/>
          <w:szCs w:val="20"/>
        </w:rPr>
        <w:t>additive to scheduled clinical review and imaging</w:t>
      </w:r>
      <w:r w:rsidR="00D5197F">
        <w:rPr>
          <w:rFonts w:asciiTheme="minorHAnsi" w:hAnsiTheme="minorHAnsi" w:cstheme="minorHAnsi"/>
          <w:i/>
          <w:iCs/>
          <w:szCs w:val="20"/>
        </w:rPr>
        <w:t>,</w:t>
      </w:r>
      <w:r w:rsidR="008911BF">
        <w:rPr>
          <w:rFonts w:asciiTheme="minorHAnsi" w:hAnsiTheme="minorHAnsi" w:cstheme="minorHAnsi"/>
          <w:i/>
          <w:iCs/>
          <w:szCs w:val="20"/>
        </w:rPr>
        <w:t xml:space="preserve"> and that </w:t>
      </w:r>
      <w:r w:rsidR="00D5197F">
        <w:rPr>
          <w:rFonts w:asciiTheme="minorHAnsi" w:hAnsiTheme="minorHAnsi" w:cstheme="minorHAnsi"/>
          <w:i/>
          <w:iCs/>
          <w:szCs w:val="20"/>
        </w:rPr>
        <w:t>r</w:t>
      </w:r>
      <w:r w:rsidR="00312EDE" w:rsidRPr="00312EDE">
        <w:rPr>
          <w:rFonts w:asciiTheme="minorHAnsi" w:hAnsiTheme="minorHAnsi" w:cstheme="minorHAnsi"/>
          <w:i/>
          <w:iCs/>
          <w:szCs w:val="20"/>
        </w:rPr>
        <w:t>eduction in imaging should</w:t>
      </w:r>
      <w:r w:rsidR="00D5197F">
        <w:rPr>
          <w:rFonts w:asciiTheme="minorHAnsi" w:hAnsiTheme="minorHAnsi" w:cstheme="minorHAnsi"/>
          <w:i/>
          <w:iCs/>
          <w:szCs w:val="20"/>
        </w:rPr>
        <w:t xml:space="preserve"> not</w:t>
      </w:r>
      <w:r w:rsidR="00312EDE" w:rsidRPr="00312EDE">
        <w:rPr>
          <w:rFonts w:asciiTheme="minorHAnsi" w:hAnsiTheme="minorHAnsi" w:cstheme="minorHAnsi"/>
          <w:i/>
          <w:iCs/>
          <w:szCs w:val="20"/>
        </w:rPr>
        <w:t xml:space="preserve"> be treated </w:t>
      </w:r>
      <w:r w:rsidR="00D5197F">
        <w:rPr>
          <w:rFonts w:asciiTheme="minorHAnsi" w:hAnsiTheme="minorHAnsi" w:cstheme="minorHAnsi"/>
          <w:i/>
          <w:iCs/>
          <w:szCs w:val="20"/>
        </w:rPr>
        <w:t>as</w:t>
      </w:r>
      <w:r w:rsidR="00312EDE" w:rsidRPr="00312EDE">
        <w:rPr>
          <w:rFonts w:asciiTheme="minorHAnsi" w:hAnsiTheme="minorHAnsi" w:cstheme="minorHAnsi"/>
          <w:i/>
          <w:iCs/>
          <w:szCs w:val="20"/>
        </w:rPr>
        <w:t xml:space="preserve"> a defining clinical claim or assumption </w:t>
      </w:r>
      <w:r w:rsidR="00C4095B">
        <w:rPr>
          <w:rFonts w:asciiTheme="minorHAnsi" w:hAnsiTheme="minorHAnsi" w:cstheme="minorHAnsi"/>
          <w:i/>
          <w:iCs/>
          <w:szCs w:val="20"/>
        </w:rPr>
        <w:t>in</w:t>
      </w:r>
      <w:r w:rsidR="00312EDE" w:rsidRPr="00312EDE">
        <w:rPr>
          <w:rFonts w:asciiTheme="minorHAnsi" w:hAnsiTheme="minorHAnsi" w:cstheme="minorHAnsi"/>
          <w:i/>
          <w:iCs/>
          <w:szCs w:val="20"/>
        </w:rPr>
        <w:t xml:space="preserve"> the economic mod</w:t>
      </w:r>
      <w:r w:rsidR="001C160D">
        <w:rPr>
          <w:rFonts w:asciiTheme="minorHAnsi" w:hAnsiTheme="minorHAnsi" w:cstheme="minorHAnsi"/>
          <w:i/>
          <w:iCs/>
          <w:szCs w:val="20"/>
        </w:rPr>
        <w:t xml:space="preserve">el. </w:t>
      </w:r>
      <w:r w:rsidRPr="00946BC6">
        <w:rPr>
          <w:rFonts w:asciiTheme="minorHAnsi" w:hAnsiTheme="minorHAnsi" w:cstheme="minorHAnsi"/>
          <w:i/>
          <w:iCs/>
          <w:szCs w:val="20"/>
        </w:rPr>
        <w:t xml:space="preserve">PASC considered that the intended role </w:t>
      </w:r>
      <w:r w:rsidR="008476A1">
        <w:rPr>
          <w:rFonts w:asciiTheme="minorHAnsi" w:hAnsiTheme="minorHAnsi" w:cstheme="minorHAnsi"/>
          <w:i/>
          <w:iCs/>
          <w:szCs w:val="20"/>
        </w:rPr>
        <w:t>and</w:t>
      </w:r>
      <w:r w:rsidR="007424E8">
        <w:rPr>
          <w:rFonts w:asciiTheme="minorHAnsi" w:hAnsiTheme="minorHAnsi" w:cstheme="minorHAnsi"/>
          <w:i/>
          <w:iCs/>
          <w:szCs w:val="20"/>
        </w:rPr>
        <w:t xml:space="preserve"> clinical place </w:t>
      </w:r>
      <w:r w:rsidRPr="00946BC6">
        <w:rPr>
          <w:rFonts w:asciiTheme="minorHAnsi" w:hAnsiTheme="minorHAnsi" w:cstheme="minorHAnsi"/>
          <w:i/>
          <w:iCs/>
          <w:szCs w:val="20"/>
        </w:rPr>
        <w:t xml:space="preserve">of </w:t>
      </w:r>
      <w:proofErr w:type="spellStart"/>
      <w:r w:rsidRPr="00946BC6">
        <w:rPr>
          <w:rFonts w:asciiTheme="minorHAnsi" w:hAnsiTheme="minorHAnsi" w:cstheme="minorHAnsi"/>
          <w:i/>
          <w:iCs/>
          <w:szCs w:val="20"/>
        </w:rPr>
        <w:t>CgA</w:t>
      </w:r>
      <w:proofErr w:type="spellEnd"/>
      <w:r w:rsidRPr="00946BC6">
        <w:rPr>
          <w:rFonts w:asciiTheme="minorHAnsi" w:hAnsiTheme="minorHAnsi" w:cstheme="minorHAnsi"/>
          <w:i/>
          <w:iCs/>
          <w:szCs w:val="20"/>
        </w:rPr>
        <w:t xml:space="preserve"> in relation to imaging and subsequent clinical management </w:t>
      </w:r>
      <w:r w:rsidR="00706CD6">
        <w:rPr>
          <w:rFonts w:asciiTheme="minorHAnsi" w:hAnsiTheme="minorHAnsi" w:cstheme="minorHAnsi"/>
          <w:i/>
          <w:iCs/>
          <w:szCs w:val="20"/>
        </w:rPr>
        <w:t xml:space="preserve">needed to be clearly and consistently </w:t>
      </w:r>
      <w:r w:rsidR="00903B0A">
        <w:rPr>
          <w:rFonts w:asciiTheme="minorHAnsi" w:hAnsiTheme="minorHAnsi" w:cstheme="minorHAnsi"/>
          <w:i/>
          <w:iCs/>
          <w:szCs w:val="20"/>
        </w:rPr>
        <w:t>defined and supported by evidence</w:t>
      </w:r>
      <w:r w:rsidRPr="00946BC6">
        <w:rPr>
          <w:rFonts w:asciiTheme="minorHAnsi" w:hAnsiTheme="minorHAnsi" w:cstheme="minorHAnsi"/>
          <w:i/>
          <w:iCs/>
          <w:szCs w:val="20"/>
        </w:rPr>
        <w:t>.</w:t>
      </w:r>
    </w:p>
    <w:p w14:paraId="0B67C22A" w14:textId="374991FC" w:rsidR="0047619E" w:rsidRPr="00D25C95" w:rsidRDefault="00687AFC">
      <w:r w:rsidRPr="76DCFBC6">
        <w:rPr>
          <w:rFonts w:asciiTheme="minorHAnsi" w:hAnsiTheme="minorHAnsi" w:cstheme="minorBidi"/>
          <w:i/>
          <w:iCs/>
        </w:rPr>
        <w:t xml:space="preserve">Overall, PASC considered that the proposed serial </w:t>
      </w:r>
      <w:proofErr w:type="spellStart"/>
      <w:r w:rsidRPr="76DCFBC6">
        <w:rPr>
          <w:rFonts w:asciiTheme="minorHAnsi" w:hAnsiTheme="minorHAnsi" w:cstheme="minorBidi"/>
          <w:i/>
          <w:iCs/>
        </w:rPr>
        <w:t>CgA</w:t>
      </w:r>
      <w:proofErr w:type="spellEnd"/>
      <w:r w:rsidRPr="76DCFBC6">
        <w:rPr>
          <w:rFonts w:asciiTheme="minorHAnsi" w:hAnsiTheme="minorHAnsi" w:cstheme="minorBidi"/>
          <w:i/>
          <w:iCs/>
        </w:rPr>
        <w:t xml:space="preserve"> monitoring strategy required further</w:t>
      </w:r>
      <w:r w:rsidR="00FC251D">
        <w:rPr>
          <w:rFonts w:asciiTheme="minorHAnsi" w:hAnsiTheme="minorHAnsi" w:cstheme="minorBidi"/>
          <w:i/>
          <w:iCs/>
        </w:rPr>
        <w:t xml:space="preserve"> </w:t>
      </w:r>
      <w:r w:rsidR="5ADBE8BD" w:rsidRPr="76DCFBC6">
        <w:rPr>
          <w:rFonts w:asciiTheme="minorHAnsi" w:hAnsiTheme="minorHAnsi" w:cstheme="minorBidi"/>
          <w:i/>
          <w:iCs/>
        </w:rPr>
        <w:t>clarification,</w:t>
      </w:r>
      <w:r w:rsidRPr="76DCFBC6">
        <w:rPr>
          <w:rFonts w:asciiTheme="minorHAnsi" w:hAnsiTheme="minorHAnsi" w:cstheme="minorBidi"/>
          <w:i/>
          <w:iCs/>
        </w:rPr>
        <w:t xml:space="preserve"> particularly regarding the definition of an actionable change, </w:t>
      </w:r>
      <w:r w:rsidR="003D62D3" w:rsidRPr="76DCFBC6">
        <w:rPr>
          <w:rFonts w:asciiTheme="minorHAnsi" w:hAnsiTheme="minorHAnsi" w:cstheme="minorBidi"/>
          <w:i/>
          <w:iCs/>
        </w:rPr>
        <w:t xml:space="preserve">management of potentially false-positive or discordant results, </w:t>
      </w:r>
      <w:r w:rsidRPr="76DCFBC6">
        <w:rPr>
          <w:rFonts w:asciiTheme="minorHAnsi" w:hAnsiTheme="minorHAnsi" w:cstheme="minorBidi"/>
          <w:i/>
          <w:iCs/>
        </w:rPr>
        <w:t>testing frequency</w:t>
      </w:r>
      <w:r w:rsidR="00FC251D">
        <w:rPr>
          <w:rFonts w:asciiTheme="minorHAnsi" w:hAnsiTheme="minorHAnsi" w:cstheme="minorBidi"/>
          <w:i/>
          <w:iCs/>
        </w:rPr>
        <w:t xml:space="preserve"> and duration</w:t>
      </w:r>
      <w:r w:rsidRPr="76DCFBC6">
        <w:rPr>
          <w:rFonts w:asciiTheme="minorHAnsi" w:hAnsiTheme="minorHAnsi" w:cstheme="minorBidi"/>
          <w:i/>
          <w:iCs/>
        </w:rPr>
        <w:t xml:space="preserve">, and </w:t>
      </w:r>
      <w:r w:rsidR="007424E8">
        <w:rPr>
          <w:rFonts w:asciiTheme="minorHAnsi" w:hAnsiTheme="minorHAnsi" w:cstheme="minorBidi"/>
          <w:i/>
          <w:iCs/>
        </w:rPr>
        <w:t xml:space="preserve">the intended role and place of </w:t>
      </w:r>
      <w:proofErr w:type="spellStart"/>
      <w:r w:rsidRPr="76DCFBC6">
        <w:rPr>
          <w:rFonts w:asciiTheme="minorHAnsi" w:hAnsiTheme="minorHAnsi" w:cstheme="minorBidi"/>
          <w:i/>
          <w:iCs/>
        </w:rPr>
        <w:t>CgA</w:t>
      </w:r>
      <w:proofErr w:type="spellEnd"/>
      <w:r w:rsidRPr="76DCFBC6">
        <w:rPr>
          <w:rFonts w:asciiTheme="minorHAnsi" w:hAnsiTheme="minorHAnsi" w:cstheme="minorBidi"/>
          <w:i/>
          <w:iCs/>
        </w:rPr>
        <w:t xml:space="preserve"> </w:t>
      </w:r>
      <w:r w:rsidR="007424E8">
        <w:rPr>
          <w:rFonts w:asciiTheme="minorHAnsi" w:hAnsiTheme="minorHAnsi" w:cstheme="minorBidi"/>
          <w:i/>
          <w:iCs/>
        </w:rPr>
        <w:t>in relation to</w:t>
      </w:r>
      <w:r w:rsidRPr="76DCFBC6">
        <w:rPr>
          <w:rFonts w:asciiTheme="minorHAnsi" w:hAnsiTheme="minorHAnsi" w:cstheme="minorBidi"/>
          <w:i/>
          <w:iCs/>
        </w:rPr>
        <w:t xml:space="preserve"> imaging and </w:t>
      </w:r>
      <w:r w:rsidR="008C5B0A">
        <w:rPr>
          <w:rFonts w:asciiTheme="minorHAnsi" w:hAnsiTheme="minorHAnsi" w:cstheme="minorBidi"/>
          <w:i/>
          <w:iCs/>
        </w:rPr>
        <w:t xml:space="preserve">subsequent </w:t>
      </w:r>
      <w:r w:rsidRPr="76DCFBC6">
        <w:rPr>
          <w:rFonts w:asciiTheme="minorHAnsi" w:hAnsiTheme="minorHAnsi" w:cstheme="minorBidi"/>
          <w:i/>
          <w:iCs/>
        </w:rPr>
        <w:t>clinical management. </w:t>
      </w:r>
    </w:p>
    <w:p w14:paraId="665B0675" w14:textId="1CB8749B" w:rsidR="007A66C8" w:rsidRPr="008F1532" w:rsidRDefault="007A66C8" w:rsidP="00713728">
      <w:pPr>
        <w:pStyle w:val="Heading3"/>
      </w:pPr>
      <w:r w:rsidRPr="008F1532">
        <w:t>Comparator</w:t>
      </w:r>
      <w:r w:rsidR="007D6B83">
        <w:t>(</w:t>
      </w:r>
      <w:r w:rsidR="008F1532">
        <w:t>s</w:t>
      </w:r>
      <w:r w:rsidR="007D6B83">
        <w:t>)</w:t>
      </w:r>
    </w:p>
    <w:p w14:paraId="39699ECC" w14:textId="74BA76C1" w:rsidR="001C5EEF" w:rsidRDefault="00763C1F" w:rsidP="00290166">
      <w:r w:rsidRPr="00763C1F">
        <w:t>The comparator is current practice without serial Chromogranin A (</w:t>
      </w:r>
      <w:proofErr w:type="spellStart"/>
      <w:r w:rsidRPr="00763C1F">
        <w:t>CgA</w:t>
      </w:r>
      <w:proofErr w:type="spellEnd"/>
      <w:r w:rsidRPr="00763C1F">
        <w:t xml:space="preserve">) monitoring. In this pathway, patients with metastatic well-differentiated </w:t>
      </w:r>
      <w:r w:rsidR="00A04EF1">
        <w:t>NEN</w:t>
      </w:r>
      <w:r w:rsidRPr="00763C1F">
        <w:t xml:space="preserve">s are monitored through routine specialist review, symptom assessment, physical examination, and scheduled imaging (typically CT or MRI), with functional </w:t>
      </w:r>
      <w:r w:rsidRPr="00763C1F">
        <w:lastRenderedPageBreak/>
        <w:t>imaging such as</w:t>
      </w:r>
      <w:r w:rsidR="00D52ED5">
        <w:t xml:space="preserve"> </w:t>
      </w:r>
      <w:r w:rsidRPr="001911EC">
        <w:rPr>
          <w:vertAlign w:val="superscript"/>
        </w:rPr>
        <w:t>68</w:t>
      </w:r>
      <w:r w:rsidRPr="00763C1F">
        <w:t xml:space="preserve">Ga-DOTATATE PET/CT used selectively when progression is suspected or imaging findings are inconclusive. </w:t>
      </w:r>
    </w:p>
    <w:p w14:paraId="004F4F31" w14:textId="3F840241" w:rsidR="00290166" w:rsidRDefault="00BD4025" w:rsidP="00DB18B3">
      <w:r>
        <w:t xml:space="preserve">The COSA </w:t>
      </w:r>
      <w:r w:rsidR="00F5183C" w:rsidRPr="00F5183C">
        <w:t>Guidelines recommend that response assessment and follow-up in patients with NENs should be based on a combination of clinical evaluation, quality-of-life measures, biochemical markers</w:t>
      </w:r>
      <w:r w:rsidR="0039328F">
        <w:t xml:space="preserve"> (</w:t>
      </w:r>
      <w:r w:rsidR="00FF7149">
        <w:t xml:space="preserve">this depends on tumour site but can include: </w:t>
      </w:r>
      <w:r w:rsidR="0039328F" w:rsidRPr="0039328F">
        <w:t>urine 5-hydroxyindoleacetic acid</w:t>
      </w:r>
      <w:r w:rsidR="00A238CE">
        <w:t>,</w:t>
      </w:r>
      <w:r w:rsidR="00FF7149">
        <w:t xml:space="preserve"> </w:t>
      </w:r>
      <w:r w:rsidR="00FF7149" w:rsidRPr="00FF7149">
        <w:t>blood glucose, C-peptide, Pro-insulin</w:t>
      </w:r>
      <w:r w:rsidR="00CC6AB6">
        <w:t>,</w:t>
      </w:r>
      <w:r w:rsidR="00CC6AB6" w:rsidRPr="00CC6AB6">
        <w:t xml:space="preserve"> Serum acid phosphatase</w:t>
      </w:r>
      <w:r w:rsidR="00CC6AB6">
        <w:t>, urin</w:t>
      </w:r>
      <w:r w:rsidR="00C21932">
        <w:t>ary serotonin and many more)</w:t>
      </w:r>
      <w:r w:rsidR="00F5183C" w:rsidRPr="00F5183C">
        <w:t>, and imaging findings, with the surveillance strategy individualised according to patient and disease characteristics</w:t>
      </w:r>
      <w:r w:rsidR="00FE74BE">
        <w:t xml:space="preserve"> </w:t>
      </w:r>
      <w:r w:rsidR="007D39C6">
        <w:fldChar w:fldCharType="begin"/>
      </w:r>
      <w:r w:rsidR="007D39C6">
        <w:instrText xml:space="preserve"> ADDIN EN.CITE &lt;EndNote&gt;&lt;Cite&gt;&lt;Author&gt;Cancer Council Australia&lt;/Author&gt;&lt;Year&gt;2023&lt;/Year&gt;&lt;RecNum&gt;11&lt;/RecNum&gt;&lt;DisplayText&gt;(Cancer Council Australia 2023)&lt;/DisplayText&gt;&lt;record&gt;&lt;rec-number&gt;11&lt;/rec-number&gt;&lt;foreign-keys&gt;&lt;key app="EN" db-id="et0tvv0vcezr9neew2av9ppvfs25wf5sd0pd" timestamp="1784266908"&gt;11&lt;/key&gt;&lt;/foreign-keys&gt;&lt;ref-type name="Web Page"&gt;12&lt;/ref-type&gt;&lt;contributors&gt;&lt;authors&gt;&lt;author&gt;Cancer Council Australia,&lt;/author&gt;&lt;/authors&gt;&lt;/contributors&gt;&lt;titles&gt;&lt;title&gt;COSA Neuroendocrine Neoplasms (NENs) Guidelines&lt;/title&gt;&lt;/titles&gt;&lt;number&gt;14 July 2025&lt;/number&gt;&lt;dates&gt;&lt;year&gt;2023&lt;/year&gt;&lt;/dates&gt;&lt;urls&gt;&lt;related-urls&gt;&lt;url&gt;https://app.magicapp.org/#/guideline/jlAbxL&lt;/url&gt;&lt;/related-urls&gt;&lt;/urls&gt;&lt;/record&gt;&lt;/Cite&gt;&lt;/EndNote&gt;</w:instrText>
      </w:r>
      <w:r w:rsidR="007D39C6">
        <w:fldChar w:fldCharType="separate"/>
      </w:r>
      <w:r w:rsidR="007D39C6">
        <w:rPr>
          <w:noProof/>
        </w:rPr>
        <w:t>(Cancer Council Australia 2023)</w:t>
      </w:r>
      <w:r w:rsidR="007D39C6">
        <w:fldChar w:fldCharType="end"/>
      </w:r>
      <w:r w:rsidR="00F5183C" w:rsidRPr="00F5183C">
        <w:t>. Radiological imaging and molecular PET/CT imaging are considered complementary modalities and should be used as appropriate based on the clinical context. The recommended frequency of follow-up and choice of imaging modality should take into account factors such as tumour grade, disease extent, growth kinetics, baseline imaging characteristics, anticipated treatment response, and the patient's overall health status</w:t>
      </w:r>
      <w:r w:rsidR="00F5183C">
        <w:t xml:space="preserve"> </w:t>
      </w:r>
      <w:r w:rsidR="007D39C6">
        <w:fldChar w:fldCharType="begin"/>
      </w:r>
      <w:r w:rsidR="007D39C6">
        <w:instrText xml:space="preserve"> ADDIN EN.CITE &lt;EndNote&gt;&lt;Cite&gt;&lt;Author&gt;Cancer Council Australia&lt;/Author&gt;&lt;Year&gt;2023&lt;/Year&gt;&lt;RecNum&gt;11&lt;/RecNum&gt;&lt;DisplayText&gt;(Cancer Council Australia 2023)&lt;/DisplayText&gt;&lt;record&gt;&lt;rec-number&gt;11&lt;/rec-number&gt;&lt;foreign-keys&gt;&lt;key app="EN" db-id="et0tvv0vcezr9neew2av9ppvfs25wf5sd0pd" timestamp="1784266908"&gt;11&lt;/key&gt;&lt;/foreign-keys&gt;&lt;ref-type name="Web Page"&gt;12&lt;/ref-type&gt;&lt;contributors&gt;&lt;authors&gt;&lt;author&gt;Cancer Council Australia,&lt;/author&gt;&lt;/authors&gt;&lt;/contributors&gt;&lt;titles&gt;&lt;title&gt;COSA Neuroendocrine Neoplasms (NENs) Guidelines&lt;/title&gt;&lt;/titles&gt;&lt;number&gt;14 July 2025&lt;/number&gt;&lt;dates&gt;&lt;year&gt;2023&lt;/year&gt;&lt;/dates&gt;&lt;urls&gt;&lt;related-urls&gt;&lt;url&gt;https://app.magicapp.org/#/guideline/jlAbxL&lt;/url&gt;&lt;/related-urls&gt;&lt;/urls&gt;&lt;/record&gt;&lt;/Cite&gt;&lt;/EndNote&gt;</w:instrText>
      </w:r>
      <w:r w:rsidR="007D39C6">
        <w:fldChar w:fldCharType="separate"/>
      </w:r>
      <w:r w:rsidR="007D39C6">
        <w:rPr>
          <w:noProof/>
        </w:rPr>
        <w:t>(Cancer Council Australia 2023)</w:t>
      </w:r>
      <w:r w:rsidR="007D39C6">
        <w:fldChar w:fldCharType="end"/>
      </w:r>
      <w:r w:rsidR="00F5183C" w:rsidRPr="00F5183C">
        <w:t xml:space="preserve">. </w:t>
      </w:r>
      <w:r w:rsidR="00822DD3">
        <w:t xml:space="preserve">The applicant stated that </w:t>
      </w:r>
      <w:r w:rsidR="00E64537">
        <w:t>c</w:t>
      </w:r>
      <w:r w:rsidR="00822DD3" w:rsidRPr="00822DD3">
        <w:t>omputed tomography (CT) or magnetic resonance imaging (MRI) is typically performed at predefined intervals, commonly every 3 to 12 months depending on tumour grade, primary site, disease burden, and treatment strategy, to determine whether disease remains stable or has progressed</w:t>
      </w:r>
      <w:r w:rsidR="00822DD3">
        <w:t xml:space="preserve">. </w:t>
      </w:r>
      <w:r w:rsidR="00F5183C" w:rsidRPr="00F5183C">
        <w:t xml:space="preserve">In general, </w:t>
      </w:r>
      <w:r>
        <w:t xml:space="preserve">the COSA </w:t>
      </w:r>
      <w:r w:rsidR="00F5183C" w:rsidRPr="00F5183C">
        <w:t xml:space="preserve">guidelines recommend less intensive surveillance for patients with localised or low-grade disease, whereas more frequent monitoring may be appropriate for patients with higher-grade NENs, FDG-avid metastatic disease, substantial tumour burden, aggressive tumour behaviour, severe hormone-related symptoms, or elevated </w:t>
      </w:r>
      <w:proofErr w:type="spellStart"/>
      <w:r w:rsidR="00F5183C" w:rsidRPr="00F5183C">
        <w:t>CgA</w:t>
      </w:r>
      <w:proofErr w:type="spellEnd"/>
      <w:r w:rsidR="00F5183C" w:rsidRPr="00F5183C">
        <w:t xml:space="preserve"> concentrations</w:t>
      </w:r>
      <w:r w:rsidR="00DB18B3">
        <w:t xml:space="preserve"> </w:t>
      </w:r>
      <w:r w:rsidR="007D39C6">
        <w:fldChar w:fldCharType="begin"/>
      </w:r>
      <w:r w:rsidR="007D39C6">
        <w:instrText xml:space="preserve"> ADDIN EN.CITE &lt;EndNote&gt;&lt;Cite&gt;&lt;Author&gt;Cancer Council Australia&lt;/Author&gt;&lt;Year&gt;2023&lt;/Year&gt;&lt;RecNum&gt;11&lt;/RecNum&gt;&lt;DisplayText&gt;(Cancer Council Australia 2023)&lt;/DisplayText&gt;&lt;record&gt;&lt;rec-number&gt;11&lt;/rec-number&gt;&lt;foreign-keys&gt;&lt;key app="EN" db-id="et0tvv0vcezr9neew2av9ppvfs25wf5sd0pd" timestamp="1784266908"&gt;11&lt;/key&gt;&lt;/foreign-keys&gt;&lt;ref-type name="Web Page"&gt;12&lt;/ref-type&gt;&lt;contributors&gt;&lt;authors&gt;&lt;author&gt;Cancer Council Australia,&lt;/author&gt;&lt;/authors&gt;&lt;/contributors&gt;&lt;titles&gt;&lt;title&gt;COSA Neuroendocrine Neoplasms (NENs) Guidelines&lt;/title&gt;&lt;/titles&gt;&lt;number&gt;14 July 2025&lt;/number&gt;&lt;dates&gt;&lt;year&gt;2023&lt;/year&gt;&lt;/dates&gt;&lt;urls&gt;&lt;related-urls&gt;&lt;url&gt;https://app.magicapp.org/#/guideline/jlAbxL&lt;/url&gt;&lt;/related-urls&gt;&lt;/urls&gt;&lt;/record&gt;&lt;/Cite&gt;&lt;/EndNote&gt;</w:instrText>
      </w:r>
      <w:r w:rsidR="007D39C6">
        <w:fldChar w:fldCharType="separate"/>
      </w:r>
      <w:r w:rsidR="007D39C6">
        <w:rPr>
          <w:noProof/>
        </w:rPr>
        <w:t>(Cancer Council Australia 2023)</w:t>
      </w:r>
      <w:r w:rsidR="007D39C6">
        <w:fldChar w:fldCharType="end"/>
      </w:r>
      <w:r w:rsidR="00F5183C" w:rsidRPr="00F5183C">
        <w:t>.</w:t>
      </w:r>
      <w:r w:rsidR="00822DD3" w:rsidRPr="00822DD3">
        <w:t xml:space="preserve"> </w:t>
      </w:r>
      <w:r w:rsidR="00290166" w:rsidRPr="00C7028D">
        <w:t xml:space="preserve">Where conventional imaging findings are equivocal, there is clinical suspicion of progression, or imaging results are likely to influence management decisions, functional imaging may also be employed. This may include somatostatin receptor imaging with </w:t>
      </w:r>
      <w:r w:rsidR="00290166" w:rsidRPr="00135C6C">
        <w:rPr>
          <w:vertAlign w:val="superscript"/>
        </w:rPr>
        <w:t>68</w:t>
      </w:r>
      <w:r w:rsidR="00290166" w:rsidRPr="00C7028D">
        <w:t xml:space="preserve">Ga-DOTA-peptide PET/CT and, in selected patients with higher-grade disease, </w:t>
      </w:r>
      <w:r w:rsidR="00290166" w:rsidRPr="00135C6C">
        <w:rPr>
          <w:vertAlign w:val="superscript"/>
        </w:rPr>
        <w:t>18</w:t>
      </w:r>
      <w:r w:rsidR="00290166" w:rsidRPr="00C7028D">
        <w:t>F-FDG PET imaging.</w:t>
      </w:r>
      <w:r w:rsidR="00CD39CE">
        <w:t xml:space="preserve"> There may be a tendency am</w:t>
      </w:r>
      <w:r w:rsidR="00ED2FE6">
        <w:t xml:space="preserve">ongst some clinicians to move straight to functional </w:t>
      </w:r>
      <w:r w:rsidR="00CD16E9">
        <w:t xml:space="preserve">imaging and skip </w:t>
      </w:r>
      <w:r w:rsidR="0091525D">
        <w:t xml:space="preserve">cross sectional imaging. </w:t>
      </w:r>
    </w:p>
    <w:p w14:paraId="53EA90CF" w14:textId="7D9DA9E5" w:rsidR="00763C1F" w:rsidRDefault="00763C1F" w:rsidP="00763C1F">
      <w:r w:rsidRPr="00763C1F">
        <w:t>Disease progression is therefore identified primarily through clinical assessment and imaging rather than longitudinal biomarker testing.</w:t>
      </w:r>
    </w:p>
    <w:p w14:paraId="5A0C034A" w14:textId="77777777" w:rsidR="00885BAD" w:rsidRDefault="00885BAD" w:rsidP="00135C6C">
      <w:pPr>
        <w:pStyle w:val="Heading4"/>
      </w:pPr>
      <w:r>
        <w:t>Clinical criteria suggestive of progression</w:t>
      </w:r>
    </w:p>
    <w:p w14:paraId="19E70E3E" w14:textId="7636D69A" w:rsidR="00885BAD" w:rsidRDefault="00885BAD" w:rsidP="00885BAD">
      <w:r>
        <w:t>Suspicion of progression may arise from the development of new symptoms or worsening existing symptoms, including carcinoid syndrome manifestations, pain, weight loss, declining performance status, bowel obstruction, ascites, or other tumour-related complications</w:t>
      </w:r>
      <w:r w:rsidR="007C076A">
        <w:t xml:space="preserve"> </w:t>
      </w:r>
      <w:r w:rsidR="007D39C6">
        <w:fldChar w:fldCharType="begin"/>
      </w:r>
      <w:r w:rsidR="007D39C6">
        <w:instrText xml:space="preserve"> ADDIN EN.CITE &lt;EndNote&gt;&lt;Cite&gt;&lt;Author&gt;Lamarca&lt;/Author&gt;&lt;Year&gt;2024&lt;/Year&gt;&lt;RecNum&gt;20&lt;/RecNum&gt;&lt;DisplayText&gt;(Lamarca, Bartsch et al. 2024)&lt;/DisplayText&gt;&lt;record&gt;&lt;rec-number&gt;20&lt;/rec-number&gt;&lt;foreign-keys&gt;&lt;key app="EN" db-id="et0tvv0vcezr9neew2av9ppvfs25wf5sd0pd" timestamp="1784277219"&gt;20&lt;/key&gt;&lt;/foreign-keys&gt;&lt;ref-type name="Journal Article"&gt;17&lt;/ref-type&gt;&lt;contributors&gt;&lt;authors&gt;&lt;author&gt;Lamarca, Angela&lt;/author&gt;&lt;author&gt;Bartsch, Detlef K.&lt;/author&gt;&lt;author&gt;Caplin, Martyn&lt;/author&gt;&lt;author&gt;Kos-Kudla, Beata&lt;/author&gt;&lt;author&gt;Kjaer, Andreas&lt;/author&gt;&lt;author&gt;Partelli, Stefano&lt;/author&gt;&lt;author&gt;Rinke, Anja&lt;/author&gt;&lt;author&gt;Janson, Eva Tiensuu&lt;/author&gt;&lt;author&gt;Thirlwell, Christina&lt;/author&gt;&lt;author&gt;van Velthuysen, Marie-Louise F.&lt;/author&gt;&lt;author&gt;Vullierme, Marie-Pierre&lt;/author&gt;&lt;author&gt;Pavel, Marianne&lt;/author&gt;&lt;/authors&gt;&lt;/contributors&gt;&lt;titles&gt;&lt;title&gt;ENETS clinical guidance on the management of neuroendocrine neoplasms (NENs)&lt;/title&gt;&lt;secondary-title&gt;Journal of Neuroendocrinology&lt;/secondary-title&gt;&lt;/titles&gt;&lt;periodical&gt;&lt;full-title&gt;Journal of Neuroendocrinology&lt;/full-title&gt;&lt;/periodical&gt;&lt;pages&gt;e13423&lt;/pages&gt;&lt;volume&gt;36&lt;/volume&gt;&lt;number&gt;9&lt;/number&gt;&lt;keywords&gt;&lt;keyword&gt;guidance&lt;/keyword&gt;&lt;keyword&gt;neuroendocrine&lt;/keyword&gt;&lt;keyword&gt;small intestine&lt;/keyword&gt;&lt;keyword&gt;treatment&lt;/keyword&gt;&lt;/keywords&gt;&lt;dates&gt;&lt;year&gt;2024&lt;/year&gt;&lt;pub-dates&gt;&lt;date&gt;2024/09/01&lt;/date&gt;&lt;/pub-dates&gt;&lt;/dates&gt;&lt;publisher&gt;John Wiley &amp;amp; Sons, Ltd&lt;/publisher&gt;&lt;isbn&gt;0953-8194&lt;/isbn&gt;&lt;urls&gt;&lt;related-urls&gt;&lt;url&gt;https://doi.org/10.1111/jne.13423&lt;/url&gt;&lt;/related-urls&gt;&lt;/urls&gt;&lt;electronic-resource-num&gt;https://onlinelibrary.wiley.com/doi/toc/10.1111/(ISSN)1365-2826.clinical-guidance&lt;/electronic-resource-num&gt;&lt;access-date&gt;2026/07/17&lt;/access-date&gt;&lt;/record&gt;&lt;/Cite&gt;&lt;/EndNote&gt;</w:instrText>
      </w:r>
      <w:r w:rsidR="007D39C6">
        <w:fldChar w:fldCharType="separate"/>
      </w:r>
      <w:r w:rsidR="007D39C6">
        <w:rPr>
          <w:noProof/>
        </w:rPr>
        <w:t>(Lamarca, Bartsch et al. 2024)</w:t>
      </w:r>
      <w:r w:rsidR="007D39C6">
        <w:fldChar w:fldCharType="end"/>
      </w:r>
      <w:r>
        <w:t xml:space="preserve">. </w:t>
      </w:r>
    </w:p>
    <w:p w14:paraId="501A2AA0" w14:textId="77777777" w:rsidR="00885BAD" w:rsidRDefault="00885BAD" w:rsidP="00135C6C">
      <w:pPr>
        <w:pStyle w:val="Heading4"/>
      </w:pPr>
      <w:r>
        <w:t>Imaging criteria suggestive of progression</w:t>
      </w:r>
    </w:p>
    <w:p w14:paraId="16E22E9E" w14:textId="09B09BDD" w:rsidR="00885BAD" w:rsidRDefault="00885BAD" w:rsidP="00885BAD">
      <w:r>
        <w:t>On CT or MRI, progression is typically assessed using RECIST 1.1 criteria and may be defined by</w:t>
      </w:r>
      <w:r w:rsidR="00267186">
        <w:t xml:space="preserve"> </w:t>
      </w:r>
      <w:r w:rsidR="007D39C6">
        <w:fldChar w:fldCharType="begin"/>
      </w:r>
      <w:r w:rsidR="007D39C6">
        <w:instrText xml:space="preserve"> ADDIN EN.CITE &lt;EndNote&gt;&lt;Cite&gt;&lt;Author&gt;Tareco Bucho&lt;/Author&gt;&lt;Year&gt;2025&lt;/Year&gt;&lt;RecNum&gt;21&lt;/RecNum&gt;&lt;DisplayText&gt;(Tareco Bucho, Pascucci et al. 2025)&lt;/DisplayText&gt;&lt;record&gt;&lt;rec-number&gt;21&lt;/rec-number&gt;&lt;foreign-keys&gt;&lt;key app="EN" db-id="et0tvv0vcezr9neew2av9ppvfs25wf5sd0pd" timestamp="1784278508"&gt;21&lt;/key&gt;&lt;/foreign-keys&gt;&lt;ref-type name="Journal Article"&gt;17&lt;/ref-type&gt;&lt;contributors&gt;&lt;authors&gt;&lt;author&gt;Tareco Bucho, Teresa M.&lt;/author&gt;&lt;author&gt;Pascucci, Luca&lt;/author&gt;&lt;author&gt;Mancò, Giovanni&lt;/author&gt;&lt;author&gt;Taraschi, Alessio&lt;/author&gt;&lt;author&gt;Macchia, Maria Claudia&lt;/author&gt;&lt;author&gt;Tinari, Nicola&lt;/author&gt;&lt;author&gt;Brocco, Davide&lt;/author&gt;&lt;author&gt;Beets-Tan, Regina G. H.&lt;/author&gt;&lt;author&gt;Pizzi, Andrea Delli&lt;/author&gt;&lt;author&gt;Trebeschi, Stefano&lt;/author&gt;&lt;/authors&gt;&lt;/contributors&gt;&lt;titles&gt;&lt;title&gt;RECIST progression: Patterns among target, non-target, non-measurable and new lesions progression&lt;/title&gt;&lt;secondary-title&gt;European Journal of Radiology&lt;/secondary-title&gt;&lt;/titles&gt;&lt;periodical&gt;&lt;full-title&gt;European Journal of Radiology&lt;/full-title&gt;&lt;/periodical&gt;&lt;volume&gt;186&lt;/volume&gt;&lt;dates&gt;&lt;year&gt;2025&lt;/year&gt;&lt;/dates&gt;&lt;publisher&gt;Elsevier&lt;/publisher&gt;&lt;isbn&gt;0720-048X&lt;/isbn&gt;&lt;urls&gt;&lt;related-urls&gt;&lt;url&gt;https://doi.org/10.1016/j.ejrad.2025.112038&lt;/url&gt;&lt;/related-urls&gt;&lt;/urls&gt;&lt;electronic-resource-num&gt;10.1016/j.ejrad.2025.112038&lt;/electronic-resource-num&gt;&lt;access-date&gt;2026/07/17&lt;/access-date&gt;&lt;/record&gt;&lt;/Cite&gt;&lt;/EndNote&gt;</w:instrText>
      </w:r>
      <w:r w:rsidR="007D39C6">
        <w:fldChar w:fldCharType="separate"/>
      </w:r>
      <w:r w:rsidR="007D39C6">
        <w:rPr>
          <w:noProof/>
        </w:rPr>
        <w:t>(Tareco Bucho, Pascucci et al. 2025)</w:t>
      </w:r>
      <w:r w:rsidR="007D39C6">
        <w:fldChar w:fldCharType="end"/>
      </w:r>
      <w:r>
        <w:t>:</w:t>
      </w:r>
    </w:p>
    <w:p w14:paraId="26563CD6" w14:textId="67BDF100" w:rsidR="00885BAD" w:rsidRDefault="00885BAD" w:rsidP="00135C6C">
      <w:pPr>
        <w:pStyle w:val="ListParagraph"/>
        <w:numPr>
          <w:ilvl w:val="0"/>
          <w:numId w:val="20"/>
        </w:numPr>
      </w:pPr>
      <w:r>
        <w:t xml:space="preserve">A ≥20% increase in the sum of diameters of target lesions (with a minimum absolute increase of 5 mm). </w:t>
      </w:r>
    </w:p>
    <w:p w14:paraId="5568B449" w14:textId="76AA2AB7" w:rsidR="00885BAD" w:rsidRDefault="00885BAD" w:rsidP="00135C6C">
      <w:pPr>
        <w:pStyle w:val="ListParagraph"/>
        <w:numPr>
          <w:ilvl w:val="0"/>
          <w:numId w:val="20"/>
        </w:numPr>
      </w:pPr>
      <w:r>
        <w:t xml:space="preserve">The appearance of one or more new lesions. </w:t>
      </w:r>
    </w:p>
    <w:p w14:paraId="2CD9267E" w14:textId="16F62D06" w:rsidR="00885BAD" w:rsidRDefault="00885BAD" w:rsidP="00135C6C">
      <w:pPr>
        <w:pStyle w:val="ListParagraph"/>
        <w:numPr>
          <w:ilvl w:val="0"/>
          <w:numId w:val="20"/>
        </w:numPr>
      </w:pPr>
      <w:r>
        <w:t xml:space="preserve">Unequivocal progression of non-target lesions. </w:t>
      </w:r>
    </w:p>
    <w:p w14:paraId="0E2A1E1C" w14:textId="1E54F9CC" w:rsidR="00885BAD" w:rsidRDefault="00885BAD" w:rsidP="00135C6C">
      <w:pPr>
        <w:pStyle w:val="Heading4"/>
      </w:pPr>
      <w:r>
        <w:t xml:space="preserve">Functional imaging criteria suggestive of </w:t>
      </w:r>
      <w:r w:rsidR="005D7725">
        <w:t xml:space="preserve">progression </w:t>
      </w:r>
      <w:r w:rsidR="007D39C6">
        <w:fldChar w:fldCharType="begin"/>
      </w:r>
      <w:r w:rsidR="007D39C6">
        <w:instrText xml:space="preserve"> ADDIN EN.CITE &lt;EndNote&gt;&lt;Cite&gt;&lt;Author&gt;Tareco Bucho&lt;/Author&gt;&lt;Year&gt;2025&lt;/Year&gt;&lt;RecNum&gt;21&lt;/RecNum&gt;&lt;DisplayText&gt;(Tareco Bucho, Pascucci et al. 2025)&lt;/DisplayText&gt;&lt;record&gt;&lt;rec-number&gt;21&lt;/rec-number&gt;&lt;foreign-keys&gt;&lt;key app="EN" db-id="et0tvv0vcezr9neew2av9ppvfs25wf5sd0pd" timestamp="1784278508"&gt;21&lt;/key&gt;&lt;/foreign-keys&gt;&lt;ref-type name="Journal Article"&gt;17&lt;/ref-type&gt;&lt;contributors&gt;&lt;authors&gt;&lt;author&gt;Tareco Bucho, Teresa M.&lt;/author&gt;&lt;author&gt;Pascucci, Luca&lt;/author&gt;&lt;author&gt;Mancò, Giovanni&lt;/author&gt;&lt;author&gt;Taraschi, Alessio&lt;/author&gt;&lt;author&gt;Macchia, Maria Claudia&lt;/author&gt;&lt;author&gt;Tinari, Nicola&lt;/author&gt;&lt;author&gt;Brocco, Davide&lt;/author&gt;&lt;author&gt;Beets-Tan, Regina G. H.&lt;/author&gt;&lt;author&gt;Pizzi, Andrea Delli&lt;/author&gt;&lt;author&gt;Trebeschi, Stefano&lt;/author&gt;&lt;/authors&gt;&lt;/contributors&gt;&lt;titles&gt;&lt;title&gt;RECIST progression: Patterns among target, non-target, non-measurable and new lesions progression&lt;/title&gt;&lt;secondary-title&gt;European Journal of Radiology&lt;/secondary-title&gt;&lt;/titles&gt;&lt;periodical&gt;&lt;full-title&gt;European Journal of Radiology&lt;/full-title&gt;&lt;/periodical&gt;&lt;volume&gt;186&lt;/volume&gt;&lt;dates&gt;&lt;year&gt;2025&lt;/year&gt;&lt;/dates&gt;&lt;publisher&gt;Elsevier&lt;/publisher&gt;&lt;isbn&gt;0720-048X&lt;/isbn&gt;&lt;urls&gt;&lt;related-urls&gt;&lt;url&gt;https://doi.org/10.1016/j.ejrad.2025.112038&lt;/url&gt;&lt;/related-urls&gt;&lt;/urls&gt;&lt;electronic-resource-num&gt;10.1016/j.ejrad.2025.112038&lt;/electronic-resource-num&gt;&lt;access-date&gt;2026/07/17&lt;/access-date&gt;&lt;/record&gt;&lt;/Cite&gt;&lt;/EndNote&gt;</w:instrText>
      </w:r>
      <w:r w:rsidR="007D39C6">
        <w:fldChar w:fldCharType="separate"/>
      </w:r>
      <w:r w:rsidR="007D39C6">
        <w:rPr>
          <w:noProof/>
        </w:rPr>
        <w:t>(Tareco Bucho, Pascucci et al. 2025)</w:t>
      </w:r>
      <w:r w:rsidR="007D39C6">
        <w:fldChar w:fldCharType="end"/>
      </w:r>
      <w:r w:rsidR="005D7725">
        <w:t>:</w:t>
      </w:r>
    </w:p>
    <w:p w14:paraId="00D1D611" w14:textId="77777777" w:rsidR="00885BAD" w:rsidRDefault="00885BAD" w:rsidP="00135C6C">
      <w:pPr>
        <w:pStyle w:val="ListParagraph"/>
        <w:numPr>
          <w:ilvl w:val="0"/>
          <w:numId w:val="25"/>
        </w:numPr>
      </w:pPr>
      <w:r>
        <w:t>Functional imaging may be performed when conventional imaging is equivocal or when there is clinical suspicion of progression. Findings suggestive of progression include:</w:t>
      </w:r>
    </w:p>
    <w:p w14:paraId="6CFC7F03" w14:textId="63FE1EC9" w:rsidR="00885BAD" w:rsidRDefault="00885BAD" w:rsidP="00135C6C">
      <w:pPr>
        <w:pStyle w:val="ListParagraph"/>
        <w:numPr>
          <w:ilvl w:val="0"/>
          <w:numId w:val="25"/>
        </w:numPr>
        <w:ind w:left="1134" w:hanging="283"/>
      </w:pPr>
      <w:r>
        <w:t xml:space="preserve">New somatostatin receptor-positive lesions on SSTR PET/CT. </w:t>
      </w:r>
    </w:p>
    <w:p w14:paraId="2DA17D88" w14:textId="68CE26DD" w:rsidR="00885BAD" w:rsidRDefault="00885BAD" w:rsidP="00135C6C">
      <w:pPr>
        <w:pStyle w:val="ListParagraph"/>
        <w:numPr>
          <w:ilvl w:val="0"/>
          <w:numId w:val="25"/>
        </w:numPr>
        <w:ind w:left="1134" w:hanging="283"/>
      </w:pPr>
      <w:r>
        <w:t xml:space="preserve">Increased extent of disease demonstrated on SSTR PET/CT. </w:t>
      </w:r>
    </w:p>
    <w:p w14:paraId="778E8B13" w14:textId="56DA6DC7" w:rsidR="00885BAD" w:rsidRDefault="00885BAD" w:rsidP="00135C6C">
      <w:pPr>
        <w:pStyle w:val="ListParagraph"/>
        <w:numPr>
          <w:ilvl w:val="0"/>
          <w:numId w:val="25"/>
        </w:numPr>
        <w:ind w:left="1134" w:hanging="283"/>
      </w:pPr>
      <w:r>
        <w:lastRenderedPageBreak/>
        <w:t xml:space="preserve">New or increased ^18F-FDG uptake, particularly in higher-grade disease, which may indicate more aggressive tumour biology or dedifferentiation. </w:t>
      </w:r>
    </w:p>
    <w:p w14:paraId="6A36560E" w14:textId="77777777" w:rsidR="00946BC6" w:rsidRPr="00D4599B" w:rsidRDefault="00946BC6" w:rsidP="00946BC6">
      <w:pPr>
        <w:spacing w:line="23" w:lineRule="atLeast"/>
        <w:rPr>
          <w:rFonts w:asciiTheme="minorHAnsi" w:hAnsiTheme="minorHAnsi" w:cstheme="minorHAnsi"/>
          <w:i/>
          <w:iCs/>
          <w:szCs w:val="20"/>
        </w:rPr>
      </w:pPr>
      <w:r w:rsidRPr="005A3F1A">
        <w:rPr>
          <w:rFonts w:asciiTheme="minorHAnsi" w:hAnsiTheme="minorHAnsi" w:cstheme="minorHAnsi"/>
          <w:i/>
          <w:iCs/>
          <w:szCs w:val="20"/>
        </w:rPr>
        <w:t xml:space="preserve">PASC considered that the proposed comparator of monitoring without </w:t>
      </w:r>
      <w:proofErr w:type="spellStart"/>
      <w:r w:rsidRPr="005A3F1A">
        <w:rPr>
          <w:rFonts w:asciiTheme="minorHAnsi" w:hAnsiTheme="minorHAnsi" w:cstheme="minorHAnsi"/>
          <w:i/>
          <w:iCs/>
          <w:szCs w:val="20"/>
        </w:rPr>
        <w:t>CgA</w:t>
      </w:r>
      <w:proofErr w:type="spellEnd"/>
      <w:r w:rsidRPr="005A3F1A">
        <w:rPr>
          <w:rFonts w:asciiTheme="minorHAnsi" w:hAnsiTheme="minorHAnsi" w:cstheme="minorHAnsi"/>
          <w:i/>
          <w:iCs/>
          <w:szCs w:val="20"/>
        </w:rPr>
        <w:t xml:space="preserve"> was appropriate in principle but required further specification. PASC considered that the comparator should reflect current standard of care, comprising clinical review and imaging, without serial </w:t>
      </w:r>
      <w:proofErr w:type="spellStart"/>
      <w:r w:rsidRPr="005A3F1A">
        <w:rPr>
          <w:rFonts w:asciiTheme="minorHAnsi" w:hAnsiTheme="minorHAnsi" w:cstheme="minorHAnsi"/>
          <w:i/>
          <w:iCs/>
          <w:szCs w:val="20"/>
        </w:rPr>
        <w:t>CgA</w:t>
      </w:r>
      <w:proofErr w:type="spellEnd"/>
      <w:r w:rsidRPr="005A3F1A">
        <w:rPr>
          <w:rFonts w:asciiTheme="minorHAnsi" w:hAnsiTheme="minorHAnsi" w:cstheme="minorHAnsi"/>
          <w:i/>
          <w:iCs/>
          <w:szCs w:val="20"/>
        </w:rPr>
        <w:t xml:space="preserve"> monitoring. PASC noted that CT and MRI form part of routine monitoring, with further imaging undertaken where clinically indicated.</w:t>
      </w:r>
    </w:p>
    <w:p w14:paraId="41905471" w14:textId="77777777" w:rsidR="00946BC6" w:rsidRPr="00D4599B" w:rsidRDefault="00946BC6" w:rsidP="00946BC6">
      <w:pPr>
        <w:spacing w:line="23" w:lineRule="atLeast"/>
        <w:rPr>
          <w:rFonts w:asciiTheme="minorHAnsi" w:hAnsiTheme="minorHAnsi" w:cstheme="minorHAnsi"/>
          <w:i/>
          <w:iCs/>
          <w:szCs w:val="20"/>
        </w:rPr>
      </w:pPr>
      <w:r w:rsidRPr="005A3F1A">
        <w:rPr>
          <w:rFonts w:asciiTheme="minorHAnsi" w:hAnsiTheme="minorHAnsi" w:cstheme="minorHAnsi"/>
          <w:i/>
          <w:iCs/>
          <w:szCs w:val="20"/>
        </w:rPr>
        <w:t xml:space="preserve">PASC noted that the proposed comparator did not specify the frequency or modality of routine monitoring. PASC considered that these should be defined to establish the standard-care monitoring pathway against which serial </w:t>
      </w:r>
      <w:proofErr w:type="spellStart"/>
      <w:r w:rsidRPr="005A3F1A">
        <w:rPr>
          <w:rFonts w:asciiTheme="minorHAnsi" w:hAnsiTheme="minorHAnsi" w:cstheme="minorHAnsi"/>
          <w:i/>
          <w:iCs/>
          <w:szCs w:val="20"/>
        </w:rPr>
        <w:t>CgA</w:t>
      </w:r>
      <w:proofErr w:type="spellEnd"/>
      <w:r w:rsidRPr="005A3F1A">
        <w:rPr>
          <w:rFonts w:asciiTheme="minorHAnsi" w:hAnsiTheme="minorHAnsi" w:cstheme="minorHAnsi"/>
          <w:i/>
          <w:iCs/>
          <w:szCs w:val="20"/>
        </w:rPr>
        <w:t xml:space="preserve"> monitoring would be compared.</w:t>
      </w:r>
    </w:p>
    <w:p w14:paraId="1A837E37" w14:textId="0B3D94FF" w:rsidR="00413741" w:rsidRDefault="00946BC6" w:rsidP="00413741">
      <w:r w:rsidRPr="005A3F1A">
        <w:rPr>
          <w:rFonts w:asciiTheme="minorHAnsi" w:hAnsiTheme="minorHAnsi" w:cstheme="minorHAnsi"/>
          <w:i/>
          <w:iCs/>
          <w:szCs w:val="20"/>
        </w:rPr>
        <w:t>Overall, PASC considered that the comparator should be more clearly defined, particularly regarding the frequency and modality of standard-care monitoring.</w:t>
      </w:r>
    </w:p>
    <w:p w14:paraId="15863BAA" w14:textId="67F24268" w:rsidR="00677AE3" w:rsidRPr="008F1532" w:rsidRDefault="00677AE3" w:rsidP="00713728">
      <w:pPr>
        <w:pStyle w:val="Heading3"/>
      </w:pPr>
      <w:r w:rsidRPr="008F1532">
        <w:t>Reference standard (for investigative technologies only)</w:t>
      </w:r>
    </w:p>
    <w:p w14:paraId="5F4E7B8E" w14:textId="035A718F" w:rsidR="00E76341" w:rsidRDefault="00E76341" w:rsidP="00E76341">
      <w:r w:rsidRPr="00E76341">
        <w:t xml:space="preserve">The reference standard was radiologically confirmed disease status, primarily determined using CT and/or MRI (often according to </w:t>
      </w:r>
      <w:r w:rsidR="009916B2" w:rsidRPr="009916B2">
        <w:t xml:space="preserve">Response Evaluation Criteria in Solid </w:t>
      </w:r>
      <w:proofErr w:type="spellStart"/>
      <w:r w:rsidR="009916B2" w:rsidRPr="009916B2">
        <w:t>Tumors</w:t>
      </w:r>
      <w:proofErr w:type="spellEnd"/>
      <w:r w:rsidR="009916B2" w:rsidRPr="009916B2">
        <w:t xml:space="preserve"> </w:t>
      </w:r>
      <w:r w:rsidR="009916B2">
        <w:t>(</w:t>
      </w:r>
      <w:r w:rsidRPr="00E76341">
        <w:t>RECIST</w:t>
      </w:r>
      <w:r w:rsidR="009916B2">
        <w:t>)</w:t>
      </w:r>
      <w:r w:rsidRPr="00E76341">
        <w:t xml:space="preserve"> criteria), supplemented by functional imaging and clinical assessment where appropriate.</w:t>
      </w:r>
    </w:p>
    <w:p w14:paraId="4EE5AB10" w14:textId="77777777" w:rsidR="00372659" w:rsidRPr="00D4599B" w:rsidRDefault="00372659" w:rsidP="00372659">
      <w:pPr>
        <w:rPr>
          <w:rFonts w:asciiTheme="minorHAnsi" w:hAnsiTheme="minorHAnsi" w:cstheme="minorHAnsi"/>
          <w:i/>
          <w:iCs/>
          <w:szCs w:val="20"/>
        </w:rPr>
      </w:pPr>
      <w:r w:rsidRPr="005A3F1A">
        <w:rPr>
          <w:rFonts w:asciiTheme="minorHAnsi" w:hAnsiTheme="minorHAnsi" w:cstheme="minorHAnsi"/>
          <w:i/>
          <w:iCs/>
          <w:szCs w:val="20"/>
        </w:rPr>
        <w:t xml:space="preserve">PASC noted that there was no recognised reference standard for evaluating serial </w:t>
      </w:r>
      <w:proofErr w:type="spellStart"/>
      <w:r w:rsidRPr="005A3F1A">
        <w:rPr>
          <w:rFonts w:asciiTheme="minorHAnsi" w:hAnsiTheme="minorHAnsi" w:cstheme="minorHAnsi"/>
          <w:i/>
          <w:iCs/>
          <w:szCs w:val="20"/>
        </w:rPr>
        <w:t>CgA</w:t>
      </w:r>
      <w:proofErr w:type="spellEnd"/>
      <w:r w:rsidRPr="005A3F1A">
        <w:rPr>
          <w:rFonts w:asciiTheme="minorHAnsi" w:hAnsiTheme="minorHAnsi" w:cstheme="minorHAnsi"/>
          <w:i/>
          <w:iCs/>
          <w:szCs w:val="20"/>
        </w:rPr>
        <w:t xml:space="preserve"> monitoring. The application proposed CT or MRI as possible reference standards. PASC noted that CT and MRI form part of the current standard of care and queried whether Ga-68 DOTATATE PET/CT may be a more appropriate reference standard for confirming suspected disease progression or recurrence.</w:t>
      </w:r>
    </w:p>
    <w:p w14:paraId="597E25C2" w14:textId="5BD7BC04" w:rsidR="00413741" w:rsidRPr="00D32920" w:rsidRDefault="00372659" w:rsidP="00E76341">
      <w:pPr>
        <w:rPr>
          <w:rFonts w:asciiTheme="minorHAnsi" w:hAnsiTheme="minorHAnsi" w:cstheme="minorHAnsi"/>
          <w:i/>
          <w:iCs/>
          <w:szCs w:val="20"/>
        </w:rPr>
      </w:pPr>
      <w:r w:rsidRPr="005A3F1A">
        <w:rPr>
          <w:rFonts w:asciiTheme="minorHAnsi" w:hAnsiTheme="minorHAnsi" w:cstheme="minorHAnsi"/>
          <w:i/>
          <w:iCs/>
          <w:szCs w:val="20"/>
        </w:rPr>
        <w:t xml:space="preserve">PASC considered that the reference standard used to assess the test performance of serial </w:t>
      </w:r>
      <w:proofErr w:type="spellStart"/>
      <w:r w:rsidRPr="005A3F1A">
        <w:rPr>
          <w:rFonts w:asciiTheme="minorHAnsi" w:hAnsiTheme="minorHAnsi" w:cstheme="minorHAnsi"/>
          <w:i/>
          <w:iCs/>
          <w:szCs w:val="20"/>
        </w:rPr>
        <w:t>CgA</w:t>
      </w:r>
      <w:proofErr w:type="spellEnd"/>
      <w:r w:rsidRPr="005A3F1A">
        <w:rPr>
          <w:rFonts w:asciiTheme="minorHAnsi" w:hAnsiTheme="minorHAnsi" w:cstheme="minorHAnsi"/>
          <w:i/>
          <w:iCs/>
          <w:szCs w:val="20"/>
        </w:rPr>
        <w:t xml:space="preserve"> monitoring should be clearly defined, including the imaging modality against which changes in </w:t>
      </w:r>
      <w:proofErr w:type="spellStart"/>
      <w:r w:rsidRPr="005A3F1A">
        <w:rPr>
          <w:rFonts w:asciiTheme="minorHAnsi" w:hAnsiTheme="minorHAnsi" w:cstheme="minorHAnsi"/>
          <w:i/>
          <w:iCs/>
          <w:szCs w:val="20"/>
        </w:rPr>
        <w:t>CgA</w:t>
      </w:r>
      <w:proofErr w:type="spellEnd"/>
      <w:r w:rsidRPr="005A3F1A">
        <w:rPr>
          <w:rFonts w:asciiTheme="minorHAnsi" w:hAnsiTheme="minorHAnsi" w:cstheme="minorHAnsi"/>
          <w:i/>
          <w:iCs/>
          <w:szCs w:val="20"/>
        </w:rPr>
        <w:t xml:space="preserve"> would be assessed. No single reference standard was agreed at the PASC meeting.</w:t>
      </w:r>
    </w:p>
    <w:p w14:paraId="3BC68763" w14:textId="35B0EBAF" w:rsidR="00CE1B13" w:rsidRPr="008F1532" w:rsidRDefault="00CE1B13" w:rsidP="00713728">
      <w:pPr>
        <w:pStyle w:val="Heading3"/>
      </w:pPr>
      <w:r w:rsidRPr="008F1532">
        <w:t>Clinical utility standard (for codependent investigative technologies only)</w:t>
      </w:r>
    </w:p>
    <w:p w14:paraId="05681CCE" w14:textId="4FC9D721" w:rsidR="00761037" w:rsidRDefault="00645A0C" w:rsidP="009C3EF0">
      <w:r w:rsidRPr="00645A0C">
        <w:t xml:space="preserve">The applicant did not propose a clinical utility standard but have suggested that a sustained or clinically meaningful increase in </w:t>
      </w:r>
      <w:proofErr w:type="spellStart"/>
      <w:r w:rsidRPr="00645A0C">
        <w:t>CgA</w:t>
      </w:r>
      <w:proofErr w:type="spellEnd"/>
      <w:r w:rsidRPr="00645A0C">
        <w:t xml:space="preserve"> (e.g. ≥50% rise to &gt;100 ng/mL)</w:t>
      </w:r>
      <w:r w:rsidR="00234485">
        <w:t xml:space="preserve"> </w:t>
      </w:r>
      <w:r w:rsidRPr="00645A0C">
        <w:t xml:space="preserve">may prompt escalation to confirmatory testing. This is taken from Meng, et al. (2024) where 8.5 to 10 mL of blood was collected and processed to obtain serum. </w:t>
      </w:r>
      <w:proofErr w:type="spellStart"/>
      <w:r w:rsidRPr="00645A0C">
        <w:t>CgA</w:t>
      </w:r>
      <w:proofErr w:type="spellEnd"/>
      <w:r w:rsidRPr="00645A0C">
        <w:t xml:space="preserve"> concentrations were measured using the automated B·R·A·H·M·S </w:t>
      </w:r>
      <w:proofErr w:type="spellStart"/>
      <w:r w:rsidRPr="00645A0C">
        <w:t>CgA</w:t>
      </w:r>
      <w:proofErr w:type="spellEnd"/>
      <w:r w:rsidRPr="00645A0C">
        <w:t xml:space="preserve"> II KRYPTOR immunofluorescence assay (KRYPTOR Compact Plus), with samples analysed fresh or after storage at −80°C</w:t>
      </w:r>
      <w:r w:rsidR="00D13FBC">
        <w:t xml:space="preserve"> </w:t>
      </w:r>
      <w:r w:rsidR="008B690B">
        <w:t>[10]</w:t>
      </w:r>
      <w:r w:rsidRPr="00645A0C">
        <w:t>.</w:t>
      </w:r>
      <w:r w:rsidR="005A0FA3">
        <w:t xml:space="preserve"> </w:t>
      </w:r>
      <w:r w:rsidRPr="00645A0C">
        <w:t xml:space="preserve"> </w:t>
      </w:r>
    </w:p>
    <w:p w14:paraId="1EBD935C" w14:textId="77777777" w:rsidR="00492A52" w:rsidRDefault="00761037" w:rsidP="00353479">
      <w:r w:rsidRPr="00761037">
        <w:t xml:space="preserve">Different laboratory methodologies </w:t>
      </w:r>
      <w:r w:rsidR="00EA2E23">
        <w:t xml:space="preserve">including </w:t>
      </w:r>
      <w:r w:rsidRPr="00761037">
        <w:t xml:space="preserve">radioimmunoassay (RIA), immunoradiometric assay (IRMA), and enzyme-linked immunosorbent assay (ELISA) and other platforms can produce different results, and there is no universally accepted standard assay. This limits comparability across laboratories and reinforces the need for consistent testing using </w:t>
      </w:r>
      <w:r w:rsidR="00DE6C4F">
        <w:t xml:space="preserve">the </w:t>
      </w:r>
      <w:r w:rsidRPr="00761037">
        <w:t>same assay format within the same laboratory.</w:t>
      </w:r>
      <w:r w:rsidR="00885644">
        <w:t xml:space="preserve"> </w:t>
      </w:r>
    </w:p>
    <w:p w14:paraId="270E2575" w14:textId="77777777" w:rsidR="00372659" w:rsidRPr="00D4599B" w:rsidRDefault="00372659" w:rsidP="00372659">
      <w:pPr>
        <w:autoSpaceDE w:val="0"/>
        <w:autoSpaceDN w:val="0"/>
        <w:adjustRightInd w:val="0"/>
        <w:rPr>
          <w:rFonts w:asciiTheme="minorHAnsi" w:hAnsiTheme="minorHAnsi" w:cstheme="minorHAnsi"/>
          <w:i/>
          <w:iCs/>
          <w:szCs w:val="20"/>
        </w:rPr>
      </w:pPr>
      <w:r w:rsidRPr="005A3F1A">
        <w:rPr>
          <w:rFonts w:asciiTheme="minorHAnsi" w:hAnsiTheme="minorHAnsi" w:cstheme="minorHAnsi"/>
          <w:i/>
          <w:iCs/>
          <w:szCs w:val="20"/>
        </w:rPr>
        <w:t xml:space="preserve">PASC noted that no clinical utility standard was identified for serial </w:t>
      </w:r>
      <w:proofErr w:type="spellStart"/>
      <w:r w:rsidRPr="005A3F1A">
        <w:rPr>
          <w:rFonts w:asciiTheme="minorHAnsi" w:hAnsiTheme="minorHAnsi" w:cstheme="minorHAnsi"/>
          <w:i/>
          <w:iCs/>
          <w:szCs w:val="20"/>
        </w:rPr>
        <w:t>CgA</w:t>
      </w:r>
      <w:proofErr w:type="spellEnd"/>
      <w:r w:rsidRPr="005A3F1A">
        <w:rPr>
          <w:rFonts w:asciiTheme="minorHAnsi" w:hAnsiTheme="minorHAnsi" w:cstheme="minorHAnsi"/>
          <w:i/>
          <w:iCs/>
          <w:szCs w:val="20"/>
        </w:rPr>
        <w:t xml:space="preserve"> monitoring. The available studies did not evaluate a defined </w:t>
      </w:r>
      <w:proofErr w:type="spellStart"/>
      <w:r w:rsidRPr="005A3F1A">
        <w:rPr>
          <w:rFonts w:asciiTheme="minorHAnsi" w:hAnsiTheme="minorHAnsi" w:cstheme="minorHAnsi"/>
          <w:i/>
          <w:iCs/>
          <w:szCs w:val="20"/>
        </w:rPr>
        <w:t>CgA</w:t>
      </w:r>
      <w:proofErr w:type="spellEnd"/>
      <w:r w:rsidRPr="005A3F1A">
        <w:rPr>
          <w:rFonts w:asciiTheme="minorHAnsi" w:hAnsiTheme="minorHAnsi" w:cstheme="minorHAnsi"/>
          <w:i/>
          <w:iCs/>
          <w:szCs w:val="20"/>
        </w:rPr>
        <w:t xml:space="preserve"> test and method of interpretation that was used to allocate patients to alternative management options and demonstrate subsequent health outcome gains.</w:t>
      </w:r>
    </w:p>
    <w:p w14:paraId="64BFC435" w14:textId="5489A6EB" w:rsidR="00372659" w:rsidRPr="00D4599B" w:rsidRDefault="00372659" w:rsidP="00372659">
      <w:pPr>
        <w:autoSpaceDE w:val="0"/>
        <w:autoSpaceDN w:val="0"/>
        <w:adjustRightInd w:val="0"/>
        <w:rPr>
          <w:rFonts w:asciiTheme="minorHAnsi" w:hAnsiTheme="minorHAnsi" w:cstheme="minorHAnsi"/>
          <w:i/>
          <w:iCs/>
          <w:sz w:val="24"/>
        </w:rPr>
      </w:pPr>
      <w:r w:rsidRPr="005A3F1A">
        <w:rPr>
          <w:rFonts w:asciiTheme="minorHAnsi" w:hAnsiTheme="minorHAnsi" w:cstheme="minorHAnsi"/>
          <w:i/>
          <w:iCs/>
          <w:szCs w:val="20"/>
        </w:rPr>
        <w:lastRenderedPageBreak/>
        <w:t xml:space="preserve">PASC noted that the CASPAR study provided information on the </w:t>
      </w:r>
      <w:r w:rsidR="00E1509F">
        <w:rPr>
          <w:rFonts w:asciiTheme="minorHAnsi" w:hAnsiTheme="minorHAnsi" w:cstheme="minorHAnsi"/>
          <w:i/>
          <w:iCs/>
          <w:szCs w:val="20"/>
        </w:rPr>
        <w:t>t</w:t>
      </w:r>
      <w:r w:rsidRPr="005A3F1A">
        <w:rPr>
          <w:rFonts w:asciiTheme="minorHAnsi" w:hAnsiTheme="minorHAnsi" w:cstheme="minorHAnsi"/>
          <w:i/>
          <w:iCs/>
          <w:szCs w:val="20"/>
        </w:rPr>
        <w:t xml:space="preserve">est performance of serial </w:t>
      </w:r>
      <w:proofErr w:type="spellStart"/>
      <w:r w:rsidRPr="005A3F1A">
        <w:rPr>
          <w:rFonts w:asciiTheme="minorHAnsi" w:hAnsiTheme="minorHAnsi" w:cstheme="minorHAnsi"/>
          <w:i/>
          <w:iCs/>
          <w:szCs w:val="20"/>
        </w:rPr>
        <w:t>CgA</w:t>
      </w:r>
      <w:proofErr w:type="spellEnd"/>
      <w:r w:rsidRPr="005A3F1A">
        <w:rPr>
          <w:rFonts w:asciiTheme="minorHAnsi" w:hAnsiTheme="minorHAnsi" w:cstheme="minorHAnsi"/>
          <w:i/>
          <w:iCs/>
          <w:szCs w:val="20"/>
        </w:rPr>
        <w:t xml:space="preserve"> monitoring using a predefined change in </w:t>
      </w:r>
      <w:proofErr w:type="spellStart"/>
      <w:r w:rsidRPr="005A3F1A">
        <w:rPr>
          <w:rFonts w:asciiTheme="minorHAnsi" w:hAnsiTheme="minorHAnsi" w:cstheme="minorHAnsi"/>
          <w:i/>
          <w:iCs/>
          <w:szCs w:val="20"/>
        </w:rPr>
        <w:t>CgA</w:t>
      </w:r>
      <w:proofErr w:type="spellEnd"/>
      <w:r w:rsidRPr="005A3F1A">
        <w:rPr>
          <w:rFonts w:asciiTheme="minorHAnsi" w:hAnsiTheme="minorHAnsi" w:cstheme="minorHAnsi"/>
          <w:i/>
          <w:iCs/>
          <w:szCs w:val="20"/>
        </w:rPr>
        <w:t xml:space="preserve"> but did not provide direct evidence that</w:t>
      </w:r>
      <w:r w:rsidR="00CB76E2">
        <w:rPr>
          <w:rFonts w:asciiTheme="minorHAnsi" w:hAnsiTheme="minorHAnsi" w:cstheme="minorHAnsi"/>
          <w:i/>
          <w:iCs/>
          <w:szCs w:val="20"/>
        </w:rPr>
        <w:t xml:space="preserve"> changes in patient</w:t>
      </w:r>
      <w:r w:rsidRPr="005A3F1A">
        <w:rPr>
          <w:rFonts w:asciiTheme="minorHAnsi" w:hAnsiTheme="minorHAnsi" w:cstheme="minorHAnsi"/>
          <w:i/>
          <w:iCs/>
          <w:szCs w:val="20"/>
        </w:rPr>
        <w:t xml:space="preserve"> management based on </w:t>
      </w:r>
      <w:proofErr w:type="spellStart"/>
      <w:r w:rsidRPr="005A3F1A">
        <w:rPr>
          <w:rFonts w:asciiTheme="minorHAnsi" w:hAnsiTheme="minorHAnsi" w:cstheme="minorHAnsi"/>
          <w:i/>
          <w:iCs/>
          <w:szCs w:val="20"/>
        </w:rPr>
        <w:t>CgA</w:t>
      </w:r>
      <w:proofErr w:type="spellEnd"/>
      <w:r w:rsidRPr="005A3F1A">
        <w:rPr>
          <w:rFonts w:asciiTheme="minorHAnsi" w:hAnsiTheme="minorHAnsi" w:cstheme="minorHAnsi"/>
          <w:i/>
          <w:iCs/>
          <w:szCs w:val="20"/>
        </w:rPr>
        <w:t xml:space="preserve"> results improved patient health outcomes. PASC therefore considered that CASPAR did not establish a clinical utility standard for the proposed use of serial </w:t>
      </w:r>
      <w:proofErr w:type="spellStart"/>
      <w:r w:rsidRPr="005A3F1A">
        <w:rPr>
          <w:rFonts w:asciiTheme="minorHAnsi" w:hAnsiTheme="minorHAnsi" w:cstheme="minorHAnsi"/>
          <w:i/>
          <w:iCs/>
          <w:szCs w:val="20"/>
        </w:rPr>
        <w:t>CgA</w:t>
      </w:r>
      <w:proofErr w:type="spellEnd"/>
      <w:r w:rsidRPr="005A3F1A">
        <w:rPr>
          <w:rFonts w:asciiTheme="minorHAnsi" w:hAnsiTheme="minorHAnsi" w:cstheme="minorHAnsi"/>
          <w:i/>
          <w:iCs/>
          <w:szCs w:val="20"/>
        </w:rPr>
        <w:t xml:space="preserve"> monitoring.</w:t>
      </w:r>
    </w:p>
    <w:p w14:paraId="29C1EA87" w14:textId="42610304" w:rsidR="007A66C8" w:rsidRPr="008F1532" w:rsidRDefault="007A66C8" w:rsidP="00713728">
      <w:pPr>
        <w:pStyle w:val="Heading3"/>
      </w:pPr>
      <w:r w:rsidRPr="008F1532">
        <w:t xml:space="preserve">Outcomes </w:t>
      </w:r>
    </w:p>
    <w:p w14:paraId="714C9B31" w14:textId="2AAFFF80" w:rsidR="00686706" w:rsidRDefault="007C7E20" w:rsidP="00B90207">
      <w:pPr>
        <w:rPr>
          <w:b/>
        </w:rPr>
      </w:pPr>
      <w:r w:rsidRPr="007C7E20">
        <w:t xml:space="preserve">The PICO set proposes relevant outcomes across the domains of health benefits, health harms, resource use, and value of knowing, with a particular focus on the ability of serial </w:t>
      </w:r>
      <w:proofErr w:type="spellStart"/>
      <w:r w:rsidRPr="007C7E20">
        <w:t>CgA</w:t>
      </w:r>
      <w:proofErr w:type="spellEnd"/>
      <w:r w:rsidRPr="007C7E20">
        <w:t xml:space="preserve"> monitoring to detect disease progression and inform clinical management. However, as there is no direct evidence linking </w:t>
      </w:r>
      <w:proofErr w:type="spellStart"/>
      <w:r w:rsidRPr="007C7E20">
        <w:t>CgA</w:t>
      </w:r>
      <w:proofErr w:type="spellEnd"/>
      <w:r w:rsidRPr="007C7E20">
        <w:t xml:space="preserve"> testing to patient health outcomes, a linked-evidence approach will be required to demonstrate clinical utility. This approach will assess the relationship between test performance, the impact of </w:t>
      </w:r>
      <w:proofErr w:type="spellStart"/>
      <w:r w:rsidRPr="007C7E20">
        <w:t>CgA</w:t>
      </w:r>
      <w:proofErr w:type="spellEnd"/>
      <w:r w:rsidRPr="007C7E20">
        <w:t xml:space="preserve"> results on clinical decision-making and management, and subsequent effects on patient health outcomes across the domains specified in the PICO framework.</w:t>
      </w:r>
    </w:p>
    <w:p w14:paraId="14386F5A" w14:textId="77777777" w:rsidR="005B6351" w:rsidRPr="005B6351" w:rsidRDefault="005B6351" w:rsidP="005B6351">
      <w:pPr>
        <w:pStyle w:val="TableText0"/>
        <w:rPr>
          <w:rFonts w:asciiTheme="minorHAnsi" w:hAnsiTheme="minorHAnsi" w:cstheme="minorHAnsi"/>
          <w:bCs/>
          <w:iCs/>
          <w:sz w:val="22"/>
          <w:szCs w:val="24"/>
        </w:rPr>
      </w:pPr>
      <w:r w:rsidRPr="005B6351">
        <w:rPr>
          <w:rFonts w:asciiTheme="minorHAnsi" w:hAnsiTheme="minorHAnsi" w:cstheme="minorHAnsi"/>
          <w:bCs/>
          <w:iCs/>
          <w:sz w:val="22"/>
          <w:szCs w:val="24"/>
        </w:rPr>
        <w:t>Safety</w:t>
      </w:r>
    </w:p>
    <w:p w14:paraId="54149959" w14:textId="77777777" w:rsidR="005B6351" w:rsidRPr="00154DE7" w:rsidRDefault="005B6351" w:rsidP="005B6351">
      <w:pPr>
        <w:pStyle w:val="TableText0"/>
        <w:numPr>
          <w:ilvl w:val="0"/>
          <w:numId w:val="15"/>
        </w:numPr>
        <w:jc w:val="both"/>
        <w:rPr>
          <w:rFonts w:asciiTheme="minorHAnsi" w:hAnsiTheme="minorHAnsi" w:cstheme="minorHAnsi"/>
          <w:sz w:val="22"/>
          <w:szCs w:val="24"/>
        </w:rPr>
      </w:pPr>
      <w:r>
        <w:rPr>
          <w:rFonts w:asciiTheme="minorHAnsi" w:hAnsiTheme="minorHAnsi" w:cstheme="minorHAnsi"/>
          <w:sz w:val="22"/>
          <w:szCs w:val="24"/>
        </w:rPr>
        <w:t>H</w:t>
      </w:r>
      <w:r w:rsidRPr="00154DE7">
        <w:rPr>
          <w:rFonts w:asciiTheme="minorHAnsi" w:hAnsiTheme="minorHAnsi" w:cstheme="minorHAnsi"/>
          <w:sz w:val="22"/>
          <w:szCs w:val="24"/>
        </w:rPr>
        <w:t>arm associated with absence of testing</w:t>
      </w:r>
      <w:r>
        <w:rPr>
          <w:rFonts w:asciiTheme="minorHAnsi" w:hAnsiTheme="minorHAnsi" w:cstheme="minorHAnsi"/>
          <w:sz w:val="22"/>
          <w:szCs w:val="24"/>
        </w:rPr>
        <w:t>.</w:t>
      </w:r>
    </w:p>
    <w:p w14:paraId="10C3AA25" w14:textId="5C5CE6A3" w:rsidR="004075DD" w:rsidRPr="00DF6C2C" w:rsidRDefault="005B6351" w:rsidP="00DF6C2C">
      <w:pPr>
        <w:pStyle w:val="TableText0"/>
        <w:numPr>
          <w:ilvl w:val="0"/>
          <w:numId w:val="15"/>
        </w:numPr>
        <w:jc w:val="both"/>
        <w:rPr>
          <w:rFonts w:asciiTheme="minorHAnsi" w:hAnsiTheme="minorHAnsi" w:cstheme="minorHAnsi"/>
          <w:sz w:val="22"/>
          <w:szCs w:val="24"/>
        </w:rPr>
      </w:pPr>
      <w:r>
        <w:rPr>
          <w:rFonts w:asciiTheme="minorHAnsi" w:hAnsiTheme="minorHAnsi" w:cstheme="minorHAnsi"/>
          <w:sz w:val="22"/>
          <w:szCs w:val="24"/>
        </w:rPr>
        <w:t>H</w:t>
      </w:r>
      <w:r w:rsidRPr="00154DE7">
        <w:rPr>
          <w:rFonts w:asciiTheme="minorHAnsi" w:hAnsiTheme="minorHAnsi" w:cstheme="minorHAnsi"/>
          <w:sz w:val="22"/>
          <w:szCs w:val="24"/>
        </w:rPr>
        <w:t>arm associated with false positive or false negative results</w:t>
      </w:r>
      <w:r>
        <w:rPr>
          <w:rFonts w:asciiTheme="minorHAnsi" w:hAnsiTheme="minorHAnsi" w:cstheme="minorHAnsi"/>
          <w:sz w:val="22"/>
          <w:szCs w:val="24"/>
        </w:rPr>
        <w:t>.</w:t>
      </w:r>
    </w:p>
    <w:p w14:paraId="72797A9D" w14:textId="2AD5B4BD" w:rsidR="00A90B07" w:rsidRDefault="00A90B07" w:rsidP="00A90B07">
      <w:pPr>
        <w:spacing w:before="120" w:after="120"/>
      </w:pPr>
      <w:r>
        <w:t xml:space="preserve">Test </w:t>
      </w:r>
      <w:r w:rsidR="00EB6752">
        <w:t>accuracy</w:t>
      </w:r>
    </w:p>
    <w:p w14:paraId="33E1F3D2" w14:textId="77777777" w:rsidR="00E06C69" w:rsidRPr="00E06C69" w:rsidRDefault="00E06C69" w:rsidP="00E06C69">
      <w:pPr>
        <w:pStyle w:val="ListParagraph"/>
        <w:numPr>
          <w:ilvl w:val="0"/>
          <w:numId w:val="10"/>
        </w:numPr>
      </w:pPr>
      <w:r w:rsidRPr="00E06C69">
        <w:t>Sensitivity.</w:t>
      </w:r>
    </w:p>
    <w:p w14:paraId="7E538BB6" w14:textId="77777777" w:rsidR="00E06C69" w:rsidRPr="00E06C69" w:rsidRDefault="00E06C69" w:rsidP="00E06C69">
      <w:pPr>
        <w:pStyle w:val="ListParagraph"/>
        <w:numPr>
          <w:ilvl w:val="0"/>
          <w:numId w:val="10"/>
        </w:numPr>
      </w:pPr>
      <w:r w:rsidRPr="00E06C69">
        <w:t>Specificity.</w:t>
      </w:r>
    </w:p>
    <w:p w14:paraId="6623CFCF" w14:textId="77777777" w:rsidR="00E06C69" w:rsidRPr="00E06C69" w:rsidRDefault="00E06C69" w:rsidP="00E06C69">
      <w:pPr>
        <w:pStyle w:val="ListParagraph"/>
        <w:numPr>
          <w:ilvl w:val="0"/>
          <w:numId w:val="10"/>
        </w:numPr>
      </w:pPr>
      <w:r w:rsidRPr="00E06C69">
        <w:t>Positive and negative predictive values.</w:t>
      </w:r>
    </w:p>
    <w:p w14:paraId="06E81A6F" w14:textId="77777777" w:rsidR="00E06C69" w:rsidRDefault="00E06C69" w:rsidP="00E06C69">
      <w:pPr>
        <w:pStyle w:val="ListParagraph"/>
        <w:numPr>
          <w:ilvl w:val="0"/>
          <w:numId w:val="10"/>
        </w:numPr>
      </w:pPr>
      <w:r w:rsidRPr="00E06C69">
        <w:t xml:space="preserve">Ability of rising </w:t>
      </w:r>
      <w:proofErr w:type="spellStart"/>
      <w:r w:rsidRPr="00E06C69">
        <w:t>CgA</w:t>
      </w:r>
      <w:proofErr w:type="spellEnd"/>
      <w:r w:rsidRPr="00E06C69">
        <w:t xml:space="preserve"> to predict radiological progression. </w:t>
      </w:r>
    </w:p>
    <w:p w14:paraId="1A2A8D5C" w14:textId="63EE187C" w:rsidR="00245568" w:rsidRPr="00E06C69" w:rsidRDefault="00245568" w:rsidP="00DF6C2C">
      <w:pPr>
        <w:pStyle w:val="ListParagraph"/>
        <w:numPr>
          <w:ilvl w:val="0"/>
          <w:numId w:val="10"/>
        </w:numPr>
      </w:pPr>
      <w:r w:rsidRPr="00E06C69">
        <w:t xml:space="preserve">Accuracy of </w:t>
      </w:r>
      <w:proofErr w:type="spellStart"/>
      <w:r w:rsidRPr="00E06C69">
        <w:t>CgA</w:t>
      </w:r>
      <w:proofErr w:type="spellEnd"/>
      <w:r w:rsidRPr="00E06C69">
        <w:t xml:space="preserve"> in identifying disease progression or recurrence.</w:t>
      </w:r>
    </w:p>
    <w:p w14:paraId="5BBCE3C5" w14:textId="77777777" w:rsidR="00E06C69" w:rsidRPr="00E06C69" w:rsidRDefault="00E06C69" w:rsidP="00E06C69">
      <w:r w:rsidRPr="00E06C69">
        <w:t>Change in clinical management</w:t>
      </w:r>
    </w:p>
    <w:p w14:paraId="1B802575" w14:textId="77777777" w:rsidR="00E06C69" w:rsidRPr="00E06C69" w:rsidRDefault="00E06C69" w:rsidP="00E06C69">
      <w:pPr>
        <w:pStyle w:val="ListParagraph"/>
        <w:numPr>
          <w:ilvl w:val="0"/>
          <w:numId w:val="11"/>
        </w:numPr>
      </w:pPr>
      <w:r w:rsidRPr="00E06C69">
        <w:t>Earlier specialist review.</w:t>
      </w:r>
    </w:p>
    <w:p w14:paraId="1E29ACAF" w14:textId="77777777" w:rsidR="00E06C69" w:rsidRPr="00E06C69" w:rsidRDefault="00E06C69" w:rsidP="00E06C69">
      <w:pPr>
        <w:pStyle w:val="ListParagraph"/>
        <w:numPr>
          <w:ilvl w:val="0"/>
          <w:numId w:val="11"/>
        </w:numPr>
      </w:pPr>
      <w:r w:rsidRPr="00E06C69">
        <w:t>Earlier CT/MRI or PET imaging.</w:t>
      </w:r>
    </w:p>
    <w:p w14:paraId="10FA61C1" w14:textId="212C17C0" w:rsidR="00E06C69" w:rsidRPr="00E06C69" w:rsidRDefault="00E06C69" w:rsidP="00E06C69">
      <w:pPr>
        <w:pStyle w:val="ListParagraph"/>
        <w:numPr>
          <w:ilvl w:val="0"/>
          <w:numId w:val="11"/>
        </w:numPr>
      </w:pPr>
      <w:r w:rsidRPr="00E06C69">
        <w:t>Progression/recurrence detection</w:t>
      </w:r>
      <w:r w:rsidR="0041046C">
        <w:t>.</w:t>
      </w:r>
    </w:p>
    <w:p w14:paraId="3703BF17" w14:textId="7F546C9D" w:rsidR="00E06C69" w:rsidRDefault="00E06C69" w:rsidP="00E06C69">
      <w:pPr>
        <w:pStyle w:val="ListParagraph"/>
        <w:numPr>
          <w:ilvl w:val="0"/>
          <w:numId w:val="11"/>
        </w:numPr>
      </w:pPr>
      <w:r w:rsidRPr="00E06C69">
        <w:t xml:space="preserve">Time to detection of progression compared with routine surveillance. </w:t>
      </w:r>
    </w:p>
    <w:p w14:paraId="00C031DA" w14:textId="69978BA0" w:rsidR="0034220E" w:rsidRDefault="0034220E" w:rsidP="0034220E">
      <w:pPr>
        <w:pStyle w:val="ListParagraph"/>
        <w:numPr>
          <w:ilvl w:val="0"/>
          <w:numId w:val="11"/>
        </w:numPr>
      </w:pPr>
      <w:r w:rsidRPr="00E06C69">
        <w:t xml:space="preserve">Earlier initiation, escalation, or modification of treatment. </w:t>
      </w:r>
    </w:p>
    <w:p w14:paraId="3FA0ADC6" w14:textId="65AAD1DC" w:rsidR="0034220E" w:rsidRPr="00E06C69" w:rsidRDefault="009C4048" w:rsidP="00DF6C2C">
      <w:pPr>
        <w:pStyle w:val="ListParagraph"/>
        <w:numPr>
          <w:ilvl w:val="0"/>
          <w:numId w:val="11"/>
        </w:numPr>
      </w:pPr>
      <w:r>
        <w:t>Reduction in imaging</w:t>
      </w:r>
      <w:r w:rsidR="0096444D">
        <w:t>.</w:t>
      </w:r>
    </w:p>
    <w:p w14:paraId="58670F25" w14:textId="4933CFAE" w:rsidR="007A5EB3" w:rsidRDefault="00EB6752" w:rsidP="00301EC5">
      <w:r>
        <w:t>Health outcomes resulting from change in management</w:t>
      </w:r>
    </w:p>
    <w:p w14:paraId="330A849A" w14:textId="3EB24753" w:rsidR="00E06C69" w:rsidRPr="00E06C69" w:rsidRDefault="00E06C69" w:rsidP="00E06C69">
      <w:pPr>
        <w:pStyle w:val="ListParagraph"/>
        <w:numPr>
          <w:ilvl w:val="0"/>
          <w:numId w:val="12"/>
        </w:numPr>
      </w:pPr>
      <w:r w:rsidRPr="00E06C69">
        <w:t>Overall survival.</w:t>
      </w:r>
    </w:p>
    <w:p w14:paraId="358DE78E" w14:textId="77777777" w:rsidR="00E06C69" w:rsidRPr="00E06C69" w:rsidRDefault="00E06C69" w:rsidP="00E06C69">
      <w:pPr>
        <w:pStyle w:val="ListParagraph"/>
        <w:numPr>
          <w:ilvl w:val="0"/>
          <w:numId w:val="12"/>
        </w:numPr>
      </w:pPr>
      <w:r w:rsidRPr="00E06C69">
        <w:t>Progression-free survival.</w:t>
      </w:r>
    </w:p>
    <w:p w14:paraId="1FF903BC" w14:textId="77777777" w:rsidR="00E06C69" w:rsidRPr="00E06C69" w:rsidRDefault="00E06C69" w:rsidP="00E06C69">
      <w:pPr>
        <w:pStyle w:val="ListParagraph"/>
        <w:numPr>
          <w:ilvl w:val="0"/>
          <w:numId w:val="12"/>
        </w:numPr>
      </w:pPr>
      <w:r w:rsidRPr="00E06C69">
        <w:t>Health-related quality of life.</w:t>
      </w:r>
    </w:p>
    <w:p w14:paraId="2F111246" w14:textId="77777777" w:rsidR="00E06C69" w:rsidRPr="00E06C69" w:rsidRDefault="00E06C69" w:rsidP="00E06C69">
      <w:pPr>
        <w:pStyle w:val="ListParagraph"/>
        <w:numPr>
          <w:ilvl w:val="0"/>
          <w:numId w:val="12"/>
        </w:numPr>
      </w:pPr>
      <w:r w:rsidRPr="00E06C69">
        <w:t>Symptom control.</w:t>
      </w:r>
    </w:p>
    <w:p w14:paraId="63024A35" w14:textId="7FC0BDB4" w:rsidR="00E06C69" w:rsidRPr="00E06C69" w:rsidRDefault="00E06C69">
      <w:pPr>
        <w:pStyle w:val="ListParagraph"/>
        <w:numPr>
          <w:ilvl w:val="0"/>
          <w:numId w:val="12"/>
        </w:numPr>
      </w:pPr>
      <w:r w:rsidRPr="00E06C69">
        <w:t xml:space="preserve">Avoidance of progression-related complications. </w:t>
      </w:r>
    </w:p>
    <w:p w14:paraId="349EB2A0" w14:textId="7560D985" w:rsidR="00E06C69" w:rsidRPr="00E06C69" w:rsidRDefault="006A0F53" w:rsidP="00E06C69">
      <w:r w:rsidRPr="00187874">
        <w:t xml:space="preserve">Healthcare </w:t>
      </w:r>
      <w:r>
        <w:t>r</w:t>
      </w:r>
      <w:r w:rsidR="00E06C69" w:rsidRPr="00E06C69">
        <w:t>esource use</w:t>
      </w:r>
    </w:p>
    <w:p w14:paraId="37EAF2C4" w14:textId="77777777" w:rsidR="00E06C69" w:rsidRPr="00E06C69" w:rsidRDefault="00E06C69" w:rsidP="00E06C69">
      <w:pPr>
        <w:pStyle w:val="ListParagraph"/>
        <w:numPr>
          <w:ilvl w:val="0"/>
          <w:numId w:val="13"/>
        </w:numPr>
      </w:pPr>
      <w:r w:rsidRPr="00E06C69">
        <w:t>Number and timing of CT/MRI scans.</w:t>
      </w:r>
    </w:p>
    <w:p w14:paraId="4B7008F7" w14:textId="77777777" w:rsidR="00E06C69" w:rsidRPr="00E06C69" w:rsidRDefault="00E06C69" w:rsidP="00E06C69">
      <w:pPr>
        <w:pStyle w:val="ListParagraph"/>
        <w:numPr>
          <w:ilvl w:val="0"/>
          <w:numId w:val="13"/>
        </w:numPr>
      </w:pPr>
      <w:r w:rsidRPr="00E06C69">
        <w:t>Use of PET imaging.</w:t>
      </w:r>
    </w:p>
    <w:p w14:paraId="2414DBAD" w14:textId="77777777" w:rsidR="00E06C69" w:rsidRPr="00E06C69" w:rsidRDefault="00E06C69" w:rsidP="00E06C69">
      <w:pPr>
        <w:pStyle w:val="ListParagraph"/>
        <w:numPr>
          <w:ilvl w:val="0"/>
          <w:numId w:val="13"/>
        </w:numPr>
      </w:pPr>
      <w:r w:rsidRPr="00E06C69">
        <w:lastRenderedPageBreak/>
        <w:t>Number of specialist consultations.</w:t>
      </w:r>
    </w:p>
    <w:p w14:paraId="666F55E6" w14:textId="77777777" w:rsidR="0072661D" w:rsidRDefault="00E06C69" w:rsidP="00DF6C2C">
      <w:pPr>
        <w:pStyle w:val="ListParagraph"/>
        <w:numPr>
          <w:ilvl w:val="0"/>
          <w:numId w:val="13"/>
        </w:numPr>
        <w:spacing w:after="0" w:line="240" w:lineRule="auto"/>
        <w:ind w:left="714" w:hanging="357"/>
      </w:pPr>
      <w:r w:rsidRPr="00E06C69">
        <w:t xml:space="preserve">Hospitalisations and emergency presentations. </w:t>
      </w:r>
    </w:p>
    <w:p w14:paraId="65597B2C" w14:textId="09358D03" w:rsidR="0072661D" w:rsidRPr="0072661D" w:rsidRDefault="0072661D" w:rsidP="00DF6C2C">
      <w:pPr>
        <w:pStyle w:val="ListParagraph"/>
        <w:numPr>
          <w:ilvl w:val="0"/>
          <w:numId w:val="13"/>
        </w:numPr>
        <w:spacing w:after="0" w:line="240" w:lineRule="auto"/>
        <w:ind w:left="714" w:hanging="357"/>
      </w:pPr>
      <w:r w:rsidRPr="0072661D">
        <w:t>Costs associated with the intervention including cost of appointments, cost of test processing</w:t>
      </w:r>
      <w:r w:rsidRPr="0072661D">
        <w:rPr>
          <w:bCs/>
        </w:rPr>
        <w:t xml:space="preserve"> and</w:t>
      </w:r>
      <w:r w:rsidRPr="0072661D">
        <w:t xml:space="preserve"> out-of-pocket costs. </w:t>
      </w:r>
    </w:p>
    <w:p w14:paraId="6C1E5083" w14:textId="77777777" w:rsidR="0072661D" w:rsidRDefault="0072661D" w:rsidP="00DF6C2C">
      <w:pPr>
        <w:pStyle w:val="ListParagraph"/>
        <w:numPr>
          <w:ilvl w:val="0"/>
          <w:numId w:val="13"/>
        </w:numPr>
        <w:spacing w:after="0"/>
        <w:ind w:left="714" w:hanging="357"/>
      </w:pPr>
      <w:r w:rsidRPr="00E06C69">
        <w:t>Downstream imaging costs.</w:t>
      </w:r>
    </w:p>
    <w:p w14:paraId="0C87646B" w14:textId="53E999F3" w:rsidR="00317204" w:rsidRPr="00E06C69" w:rsidRDefault="00317204" w:rsidP="00DF6C2C">
      <w:pPr>
        <w:pStyle w:val="ListParagraph"/>
        <w:numPr>
          <w:ilvl w:val="0"/>
          <w:numId w:val="13"/>
        </w:numPr>
        <w:ind w:left="714" w:hanging="357"/>
      </w:pPr>
      <w:r>
        <w:t>Change in therapy and costs</w:t>
      </w:r>
    </w:p>
    <w:p w14:paraId="4EC12E91" w14:textId="77777777" w:rsidR="00E06C69" w:rsidRPr="00E06C69" w:rsidRDefault="00E06C69" w:rsidP="00E06C69">
      <w:r w:rsidRPr="00E06C69">
        <w:t>Economic outcomes</w:t>
      </w:r>
    </w:p>
    <w:p w14:paraId="298124EF" w14:textId="5BC85602" w:rsidR="004A366B" w:rsidRDefault="004A366B" w:rsidP="00E06C69">
      <w:pPr>
        <w:pStyle w:val="ListParagraph"/>
        <w:numPr>
          <w:ilvl w:val="0"/>
          <w:numId w:val="14"/>
        </w:numPr>
      </w:pPr>
      <w:r>
        <w:t>Cost per patient with positive result.</w:t>
      </w:r>
    </w:p>
    <w:p w14:paraId="20A01D37" w14:textId="431F7966" w:rsidR="00E06C69" w:rsidRPr="00E06C69" w:rsidRDefault="00215371" w:rsidP="00E06C69">
      <w:pPr>
        <w:pStyle w:val="ListParagraph"/>
        <w:numPr>
          <w:ilvl w:val="0"/>
          <w:numId w:val="14"/>
        </w:numPr>
      </w:pPr>
      <w:r>
        <w:t xml:space="preserve">Incremental cost </w:t>
      </w:r>
      <w:r w:rsidR="00E06C69" w:rsidRPr="00E06C69">
        <w:t>per management change.</w:t>
      </w:r>
    </w:p>
    <w:p w14:paraId="00BA7F04" w14:textId="3AA1D3E5" w:rsidR="00E06C69" w:rsidRDefault="00215371" w:rsidP="00E06C69">
      <w:pPr>
        <w:pStyle w:val="ListParagraph"/>
        <w:numPr>
          <w:ilvl w:val="0"/>
          <w:numId w:val="14"/>
        </w:numPr>
      </w:pPr>
      <w:r>
        <w:t xml:space="preserve">Incremental cost </w:t>
      </w:r>
      <w:r w:rsidR="00E06C69" w:rsidRPr="00E06C69">
        <w:t>per quality-adjusted life-year (QALY) gained.</w:t>
      </w:r>
    </w:p>
    <w:p w14:paraId="07039A34" w14:textId="77777777" w:rsidR="00A667E2" w:rsidRDefault="00A667E2" w:rsidP="00A667E2"/>
    <w:p w14:paraId="3DC221EF" w14:textId="77777777" w:rsidR="00A667E2" w:rsidRPr="00D4599B" w:rsidRDefault="00A667E2" w:rsidP="00A667E2">
      <w:pPr>
        <w:spacing w:before="120" w:line="23" w:lineRule="atLeast"/>
        <w:rPr>
          <w:rFonts w:asciiTheme="minorHAnsi" w:hAnsiTheme="minorHAnsi" w:cstheme="minorHAnsi"/>
          <w:i/>
          <w:iCs/>
          <w:szCs w:val="20"/>
        </w:rPr>
      </w:pPr>
      <w:r w:rsidRPr="00D4599B">
        <w:rPr>
          <w:rFonts w:asciiTheme="minorHAnsi" w:hAnsiTheme="minorHAnsi" w:cstheme="minorHAnsi"/>
          <w:i/>
          <w:iCs/>
          <w:szCs w:val="20"/>
        </w:rPr>
        <w:t xml:space="preserve">PASC considered that the proposed patient-relevant outcomes, including survival, disease control and quality of life, were appropriate. PASC noted, however, that the evidence presented in the PICO primarily related to test performance and did not demonstrate how serial </w:t>
      </w:r>
      <w:proofErr w:type="spellStart"/>
      <w:r w:rsidRPr="00D4599B">
        <w:rPr>
          <w:rFonts w:asciiTheme="minorHAnsi" w:hAnsiTheme="minorHAnsi" w:cstheme="minorHAnsi"/>
          <w:i/>
          <w:iCs/>
          <w:szCs w:val="20"/>
        </w:rPr>
        <w:t>CgA</w:t>
      </w:r>
      <w:proofErr w:type="spellEnd"/>
      <w:r w:rsidRPr="00D4599B">
        <w:rPr>
          <w:rFonts w:asciiTheme="minorHAnsi" w:hAnsiTheme="minorHAnsi" w:cstheme="minorHAnsi"/>
          <w:i/>
          <w:iCs/>
          <w:szCs w:val="20"/>
        </w:rPr>
        <w:t xml:space="preserve"> monitoring would lead to changes in clinical management and subsequent patient health outcomes. PASC noted that the CASPAR study provided test-performance data but did not evaluate downstream health outcomes.</w:t>
      </w:r>
    </w:p>
    <w:p w14:paraId="5B9C9FF2" w14:textId="77777777" w:rsidR="00A667E2" w:rsidRPr="00D4599B" w:rsidRDefault="00A667E2" w:rsidP="00A667E2">
      <w:pPr>
        <w:spacing w:before="120" w:line="23" w:lineRule="atLeast"/>
        <w:rPr>
          <w:rFonts w:asciiTheme="minorHAnsi" w:hAnsiTheme="minorHAnsi" w:cstheme="minorHAnsi"/>
          <w:i/>
          <w:iCs/>
          <w:szCs w:val="20"/>
        </w:rPr>
      </w:pPr>
      <w:r w:rsidRPr="00D4599B">
        <w:rPr>
          <w:rFonts w:asciiTheme="minorHAnsi" w:hAnsiTheme="minorHAnsi" w:cstheme="minorHAnsi"/>
          <w:i/>
          <w:iCs/>
          <w:szCs w:val="20"/>
        </w:rPr>
        <w:t xml:space="preserve">PASC considered that </w:t>
      </w:r>
      <w:r>
        <w:rPr>
          <w:rFonts w:asciiTheme="minorHAnsi" w:hAnsiTheme="minorHAnsi" w:cstheme="minorHAnsi"/>
          <w:i/>
          <w:iCs/>
          <w:szCs w:val="20"/>
        </w:rPr>
        <w:t>change-in-management</w:t>
      </w:r>
      <w:r w:rsidRPr="00D4599B">
        <w:rPr>
          <w:rFonts w:asciiTheme="minorHAnsi" w:hAnsiTheme="minorHAnsi" w:cstheme="minorHAnsi"/>
          <w:i/>
          <w:iCs/>
          <w:szCs w:val="20"/>
        </w:rPr>
        <w:t xml:space="preserve"> outcomes such as earlier specialist review, earlier imaging or earlier treatment would need to be linked to patient-relevant outcomes to establish the clinical utility of serial </w:t>
      </w:r>
      <w:proofErr w:type="spellStart"/>
      <w:r w:rsidRPr="00D4599B">
        <w:rPr>
          <w:rFonts w:asciiTheme="minorHAnsi" w:hAnsiTheme="minorHAnsi" w:cstheme="minorHAnsi"/>
          <w:i/>
          <w:iCs/>
          <w:szCs w:val="20"/>
        </w:rPr>
        <w:t>CgA</w:t>
      </w:r>
      <w:proofErr w:type="spellEnd"/>
      <w:r w:rsidRPr="00D4599B">
        <w:rPr>
          <w:rFonts w:asciiTheme="minorHAnsi" w:hAnsiTheme="minorHAnsi" w:cstheme="minorHAnsi"/>
          <w:i/>
          <w:iCs/>
          <w:szCs w:val="20"/>
        </w:rPr>
        <w:t xml:space="preserve"> monitoring. PASC queried whether there was evidence from longitudinal studies in which </w:t>
      </w:r>
      <w:proofErr w:type="spellStart"/>
      <w:r w:rsidRPr="00D4599B">
        <w:rPr>
          <w:rFonts w:asciiTheme="minorHAnsi" w:hAnsiTheme="minorHAnsi" w:cstheme="minorHAnsi"/>
          <w:i/>
          <w:iCs/>
          <w:szCs w:val="20"/>
        </w:rPr>
        <w:t>CgA</w:t>
      </w:r>
      <w:proofErr w:type="spellEnd"/>
      <w:r w:rsidRPr="00D4599B">
        <w:rPr>
          <w:rFonts w:asciiTheme="minorHAnsi" w:hAnsiTheme="minorHAnsi" w:cstheme="minorHAnsi"/>
          <w:i/>
          <w:iCs/>
          <w:szCs w:val="20"/>
        </w:rPr>
        <w:t xml:space="preserve"> was measured at defined intervals and changes in </w:t>
      </w:r>
      <w:proofErr w:type="spellStart"/>
      <w:r w:rsidRPr="00D4599B">
        <w:rPr>
          <w:rFonts w:asciiTheme="minorHAnsi" w:hAnsiTheme="minorHAnsi" w:cstheme="minorHAnsi"/>
          <w:i/>
          <w:iCs/>
          <w:szCs w:val="20"/>
        </w:rPr>
        <w:t>CgA</w:t>
      </w:r>
      <w:proofErr w:type="spellEnd"/>
      <w:r w:rsidRPr="00D4599B">
        <w:rPr>
          <w:rFonts w:asciiTheme="minorHAnsi" w:hAnsiTheme="minorHAnsi" w:cstheme="minorHAnsi"/>
          <w:i/>
          <w:iCs/>
          <w:szCs w:val="20"/>
        </w:rPr>
        <w:t xml:space="preserve"> informed subsequent clinical management and patient outcomes. The applicant’s clinical expert advised that they were not aware of prospective evidence addressing this question.</w:t>
      </w:r>
    </w:p>
    <w:p w14:paraId="22B0E3C1" w14:textId="77777777" w:rsidR="00A667E2" w:rsidRPr="00D4599B" w:rsidRDefault="00A667E2" w:rsidP="00A667E2">
      <w:pPr>
        <w:spacing w:before="120" w:line="23" w:lineRule="atLeast"/>
        <w:rPr>
          <w:rFonts w:asciiTheme="minorHAnsi" w:hAnsiTheme="minorHAnsi" w:cstheme="minorHAnsi"/>
          <w:i/>
          <w:iCs/>
          <w:szCs w:val="20"/>
        </w:rPr>
      </w:pPr>
      <w:r w:rsidRPr="00D4599B">
        <w:rPr>
          <w:rFonts w:asciiTheme="minorHAnsi" w:hAnsiTheme="minorHAnsi" w:cstheme="minorHAnsi"/>
          <w:i/>
          <w:iCs/>
          <w:szCs w:val="20"/>
        </w:rPr>
        <w:t xml:space="preserve">PASC also noted consultation feedback highlighting the potential value of knowing a patient’s </w:t>
      </w:r>
      <w:proofErr w:type="spellStart"/>
      <w:r w:rsidRPr="00D4599B">
        <w:rPr>
          <w:rFonts w:asciiTheme="minorHAnsi" w:hAnsiTheme="minorHAnsi" w:cstheme="minorHAnsi"/>
          <w:i/>
          <w:iCs/>
          <w:szCs w:val="20"/>
        </w:rPr>
        <w:t>CgA</w:t>
      </w:r>
      <w:proofErr w:type="spellEnd"/>
      <w:r w:rsidRPr="00D4599B">
        <w:rPr>
          <w:rFonts w:asciiTheme="minorHAnsi" w:hAnsiTheme="minorHAnsi" w:cstheme="minorHAnsi"/>
          <w:i/>
          <w:iCs/>
          <w:szCs w:val="20"/>
        </w:rPr>
        <w:t xml:space="preserve"> result. PASC noted that this may represent a patient-relevant benefit distinct from changes in health outcomes and considered that, if included as an outcome in the assessment, the value of knowing should be clearly defined and distinguished from outcomes such as health-related quality of life.</w:t>
      </w:r>
    </w:p>
    <w:p w14:paraId="51FEB849" w14:textId="4B0C5AD5" w:rsidR="00413741" w:rsidRDefault="00A667E2" w:rsidP="00953350">
      <w:r w:rsidRPr="00D4599B">
        <w:rPr>
          <w:rFonts w:asciiTheme="minorHAnsi" w:hAnsiTheme="minorHAnsi" w:cstheme="minorHAnsi"/>
          <w:i/>
          <w:iCs/>
          <w:szCs w:val="20"/>
        </w:rPr>
        <w:t xml:space="preserve">Overall, PASC considered that the proposed outcomes were appropriate but noted that </w:t>
      </w:r>
      <w:r w:rsidR="00951947">
        <w:rPr>
          <w:rFonts w:asciiTheme="minorHAnsi" w:hAnsiTheme="minorHAnsi" w:cstheme="minorHAnsi"/>
          <w:i/>
          <w:iCs/>
          <w:szCs w:val="20"/>
        </w:rPr>
        <w:t>there</w:t>
      </w:r>
      <w:r w:rsidR="00E52C4E">
        <w:rPr>
          <w:rFonts w:asciiTheme="minorHAnsi" w:hAnsiTheme="minorHAnsi" w:cstheme="minorHAnsi"/>
          <w:i/>
          <w:iCs/>
          <w:szCs w:val="20"/>
        </w:rPr>
        <w:t xml:space="preserve"> is likely insufficient evidence to assess the outcomes</w:t>
      </w:r>
      <w:r w:rsidRPr="00D4599B">
        <w:rPr>
          <w:rFonts w:asciiTheme="minorHAnsi" w:hAnsiTheme="minorHAnsi" w:cstheme="minorHAnsi"/>
          <w:i/>
          <w:iCs/>
          <w:szCs w:val="20"/>
        </w:rPr>
        <w:t xml:space="preserve">, </w:t>
      </w:r>
      <w:r w:rsidR="00E52C4E">
        <w:rPr>
          <w:rFonts w:asciiTheme="minorHAnsi" w:hAnsiTheme="minorHAnsi" w:cstheme="minorHAnsi"/>
          <w:i/>
          <w:iCs/>
          <w:szCs w:val="20"/>
        </w:rPr>
        <w:t xml:space="preserve">in particular </w:t>
      </w:r>
      <w:r w:rsidRPr="00D4599B">
        <w:rPr>
          <w:rFonts w:asciiTheme="minorHAnsi" w:hAnsiTheme="minorHAnsi" w:cstheme="minorHAnsi"/>
          <w:i/>
          <w:iCs/>
          <w:szCs w:val="20"/>
        </w:rPr>
        <w:t>changes in clinical management and patient-relevant health outcomes.</w:t>
      </w:r>
    </w:p>
    <w:p w14:paraId="4BBF84CB" w14:textId="77777777" w:rsidR="009B31CC" w:rsidRPr="004E3ABF" w:rsidRDefault="009B31CC" w:rsidP="00713728">
      <w:pPr>
        <w:pStyle w:val="Heading2"/>
      </w:pPr>
      <w:r w:rsidRPr="00490FBB">
        <w:t>Assessment framework (for investigative technologies)</w:t>
      </w:r>
    </w:p>
    <w:p w14:paraId="38764F04" w14:textId="66B05034" w:rsidR="004D78A3" w:rsidRDefault="004D78A3" w:rsidP="004D78A3">
      <w:r>
        <w:t xml:space="preserve">The evidence supporting serial </w:t>
      </w:r>
      <w:proofErr w:type="spellStart"/>
      <w:r>
        <w:t>CgA</w:t>
      </w:r>
      <w:proofErr w:type="spellEnd"/>
      <w:r>
        <w:t xml:space="preserve"> monitoring in patients with NENs appears limited and is largely confined to test performance rather than clinical utility. Preliminary literature searches have identified studies evaluating the diagnostic and prognostic performance of </w:t>
      </w:r>
      <w:proofErr w:type="spellStart"/>
      <w:r>
        <w:t>CgA</w:t>
      </w:r>
      <w:proofErr w:type="spellEnd"/>
      <w:r>
        <w:t xml:space="preserve">, but these studies also highlight important limitations in sensitivity and specificity. </w:t>
      </w:r>
    </w:p>
    <w:p w14:paraId="61820824" w14:textId="3E9C6121" w:rsidR="0096444D" w:rsidRDefault="004D78A3" w:rsidP="004D78A3">
      <w:r>
        <w:t xml:space="preserve">Importantly, there appears to be little direct evidence demonstrating that serial </w:t>
      </w:r>
      <w:proofErr w:type="spellStart"/>
      <w:r>
        <w:t>CgA</w:t>
      </w:r>
      <w:proofErr w:type="spellEnd"/>
      <w:r>
        <w:t xml:space="preserve"> monitoring leads to changes in clinical management that improve patient outcomes</w:t>
      </w:r>
      <w:r w:rsidR="00E20F23">
        <w:t xml:space="preserve"> or leads to change in </w:t>
      </w:r>
      <w:r w:rsidR="0001128B">
        <w:t>management</w:t>
      </w:r>
      <w:r>
        <w:t xml:space="preserve">. While </w:t>
      </w:r>
      <w:proofErr w:type="spellStart"/>
      <w:r>
        <w:t>CgA</w:t>
      </w:r>
      <w:proofErr w:type="spellEnd"/>
      <w:r>
        <w:t xml:space="preserve"> results may influence decisions regarding further investigation or follow-up, preliminary searches have not identified robust evidence showing that routine </w:t>
      </w:r>
      <w:proofErr w:type="spellStart"/>
      <w:r>
        <w:t>CgA</w:t>
      </w:r>
      <w:proofErr w:type="spellEnd"/>
      <w:r>
        <w:t xml:space="preserve"> monitoring improves the detection of progression, alters treatment decisions, or leads to better patient outcomes compared with standard surveillance based on clinical assessment and imaging. Consequently, the evidence base is likely to support </w:t>
      </w:r>
      <w:r>
        <w:lastRenderedPageBreak/>
        <w:t xml:space="preserve">test performance outcomes but provide limited evidence for downstream outcomes such as change in management, health outcomes, or resource use. A linked-evidence approach will therefore be required to assess the clinical utility of serial </w:t>
      </w:r>
      <w:proofErr w:type="spellStart"/>
      <w:r>
        <w:t>CgA</w:t>
      </w:r>
      <w:proofErr w:type="spellEnd"/>
      <w:r>
        <w:t xml:space="preserve"> monitoring.</w:t>
      </w:r>
    </w:p>
    <w:p w14:paraId="7C502F34" w14:textId="01FFE7C0" w:rsidR="00C40CC4" w:rsidRPr="006428B8" w:rsidRDefault="00E607F3" w:rsidP="001A045B">
      <w:r>
        <w:fldChar w:fldCharType="begin"/>
      </w:r>
      <w:r>
        <w:instrText xml:space="preserve"> REF _Ref68327680 \h </w:instrText>
      </w:r>
      <w:r w:rsidR="001A045B">
        <w:instrText xml:space="preserve"> \* MERGEFORMAT </w:instrText>
      </w:r>
      <w:r>
        <w:fldChar w:fldCharType="separate"/>
      </w:r>
      <w:r w:rsidR="00AE3965">
        <w:t>Figure </w:t>
      </w:r>
      <w:r w:rsidR="00AE3965">
        <w:rPr>
          <w:noProof/>
        </w:rPr>
        <w:t>2</w:t>
      </w:r>
      <w:r>
        <w:fldChar w:fldCharType="end"/>
      </w:r>
      <w:r w:rsidR="006D53D6">
        <w:t xml:space="preserve"> </w:t>
      </w:r>
      <w:r w:rsidR="006D53D6" w:rsidRPr="006D53D6">
        <w:t>provides the assessment framework</w:t>
      </w:r>
      <w:r w:rsidR="00931A68">
        <w:t xml:space="preserve"> </w:t>
      </w:r>
      <w:r w:rsidR="006D53D6" w:rsidRPr="006D53D6">
        <w:t xml:space="preserve">for serial serum </w:t>
      </w:r>
      <w:proofErr w:type="spellStart"/>
      <w:r w:rsidR="006D53D6" w:rsidRPr="006D53D6">
        <w:t>CgA</w:t>
      </w:r>
      <w:proofErr w:type="spellEnd"/>
      <w:r w:rsidR="006D53D6" w:rsidRPr="006D53D6">
        <w:t xml:space="preserve"> monitoring for patients with well-differentiated NENs and advanced or metastatic disease.</w:t>
      </w:r>
      <w:r w:rsidR="009B31CC" w:rsidRPr="006428B8">
        <w:t xml:space="preserve"> </w:t>
      </w:r>
      <w:r w:rsidR="00195F8F">
        <w:t>The direct evidence pathway has been included for completeness.</w:t>
      </w:r>
    </w:p>
    <w:p w14:paraId="12F2305D" w14:textId="32B53EE0" w:rsidR="00717443" w:rsidRPr="00490FBB" w:rsidRDefault="000738B2" w:rsidP="009B31CC">
      <w:pPr>
        <w:keepNext/>
      </w:pPr>
      <w:r>
        <w:rPr>
          <w:noProof/>
        </w:rPr>
        <w:drawing>
          <wp:inline distT="0" distB="0" distL="0" distR="0" wp14:anchorId="30A01AB1" wp14:editId="29EF2640">
            <wp:extent cx="6319058" cy="2296160"/>
            <wp:effectExtent l="0" t="0" r="5715" b="8890"/>
            <wp:docPr id="1301468665" name="Picture 9" descr="Figure 2 provides the assessment framework for serial serum CgA monitoring for patients with well-differentiated NENs and advanced or metastatic disease. The direct evidence pathway has been included for complete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468665" name="Picture 9" descr="Figure 2 provides the assessment framework for serial serum CgA monitoring for patients with well-differentiated NENs and advanced or metastatic disease. The direct evidence pathway has been included for completeness."/>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498"/>
                    <a:stretch>
                      <a:fillRect/>
                    </a:stretch>
                  </pic:blipFill>
                  <pic:spPr bwMode="auto">
                    <a:xfrm>
                      <a:off x="0" y="0"/>
                      <a:ext cx="6334744" cy="2301860"/>
                    </a:xfrm>
                    <a:prstGeom prst="rect">
                      <a:avLst/>
                    </a:prstGeom>
                    <a:noFill/>
                    <a:ln>
                      <a:noFill/>
                    </a:ln>
                    <a:extLst>
                      <a:ext uri="{53640926-AAD7-44D8-BBD7-CCE9431645EC}">
                        <a14:shadowObscured xmlns:a14="http://schemas.microsoft.com/office/drawing/2010/main"/>
                      </a:ext>
                    </a:extLst>
                  </pic:spPr>
                </pic:pic>
              </a:graphicData>
            </a:graphic>
          </wp:inline>
        </w:drawing>
      </w:r>
    </w:p>
    <w:p w14:paraId="58E23E9A" w14:textId="27EBF172" w:rsidR="009B31CC" w:rsidRDefault="00AE6FE0" w:rsidP="00C40CC4">
      <w:pPr>
        <w:pStyle w:val="Caption"/>
      </w:pPr>
      <w:bookmarkStart w:id="4" w:name="_Ref68327593"/>
      <w:bookmarkStart w:id="5" w:name="_Ref68327680"/>
      <w:r>
        <w:t>Figure</w:t>
      </w:r>
      <w:bookmarkEnd w:id="4"/>
      <w:r w:rsidR="00E607F3">
        <w:t> </w:t>
      </w:r>
      <w:r>
        <w:fldChar w:fldCharType="begin"/>
      </w:r>
      <w:r>
        <w:instrText xml:space="preserve"> SEQ Figure \* ARABIC </w:instrText>
      </w:r>
      <w:r>
        <w:fldChar w:fldCharType="separate"/>
      </w:r>
      <w:r w:rsidR="00D91B13">
        <w:rPr>
          <w:noProof/>
        </w:rPr>
        <w:t>2</w:t>
      </w:r>
      <w:r>
        <w:fldChar w:fldCharType="end"/>
      </w:r>
      <w:bookmarkEnd w:id="5"/>
      <w:r w:rsidR="009B31CC" w:rsidRPr="00490FBB">
        <w:tab/>
      </w:r>
      <w:r w:rsidR="000738B2">
        <w:t>A</w:t>
      </w:r>
      <w:r w:rsidR="009B31CC" w:rsidRPr="00490FBB">
        <w:t>ssessment framework showing the links from the test population to health outcomes</w:t>
      </w:r>
    </w:p>
    <w:p w14:paraId="534738C5" w14:textId="001B0226" w:rsidR="00C40CC4" w:rsidRPr="00C40CC4" w:rsidRDefault="00C40CC4" w:rsidP="00C40CC4">
      <w:pPr>
        <w:pStyle w:val="Tablenotes"/>
        <w:keepLines/>
        <w:rPr>
          <w:szCs w:val="18"/>
        </w:rPr>
      </w:pPr>
      <w:r w:rsidRPr="00C40CC4">
        <w:rPr>
          <w:szCs w:val="18"/>
        </w:rPr>
        <w:t xml:space="preserve">Figure notes: 1: direct from test to health outcomes evidence; 2: test accuracy; 3: change in diagnosis/treatment/management; 4: influence of the change in management on health outcomes; 5: influence of the change in management on intermediate outcomes; 6: </w:t>
      </w:r>
      <w:r w:rsidR="001A045B" w:rsidRPr="00C40CC4">
        <w:rPr>
          <w:szCs w:val="18"/>
        </w:rPr>
        <w:t>adverse events due to treatment</w:t>
      </w:r>
      <w:r w:rsidRPr="00C40CC4">
        <w:rPr>
          <w:szCs w:val="18"/>
        </w:rPr>
        <w:t xml:space="preserve">; 7: adverse events due to testing; </w:t>
      </w:r>
    </w:p>
    <w:p w14:paraId="5A633D90" w14:textId="77777777" w:rsidR="0050459D" w:rsidRDefault="0050459D" w:rsidP="0050459D">
      <w:pPr>
        <w:spacing w:before="240" w:after="120"/>
      </w:pPr>
      <w:r w:rsidRPr="00112C0B">
        <w:t>Assessment questions mapped to the assessment framework:</w:t>
      </w:r>
    </w:p>
    <w:p w14:paraId="0D738725" w14:textId="3E015140" w:rsidR="006262B4" w:rsidRPr="00112C0B" w:rsidRDefault="006262B4" w:rsidP="0050459D">
      <w:pPr>
        <w:spacing w:before="240" w:after="120"/>
      </w:pPr>
      <w:r>
        <w:t>Direct Evidence</w:t>
      </w:r>
    </w:p>
    <w:p w14:paraId="2C3DA790" w14:textId="2118ABB3" w:rsidR="0050459D" w:rsidRDefault="0050459D" w:rsidP="0050459D">
      <w:pPr>
        <w:pStyle w:val="ListParagraph"/>
        <w:numPr>
          <w:ilvl w:val="0"/>
          <w:numId w:val="17"/>
        </w:numPr>
      </w:pPr>
      <w:r w:rsidRPr="00112C0B">
        <w:t xml:space="preserve">What is the comparative safety and effectiveness of </w:t>
      </w:r>
      <w:r w:rsidRPr="0050459D">
        <w:t xml:space="preserve">serial serum </w:t>
      </w:r>
      <w:proofErr w:type="spellStart"/>
      <w:r w:rsidRPr="0050459D">
        <w:t>CgA</w:t>
      </w:r>
      <w:proofErr w:type="spellEnd"/>
      <w:r w:rsidRPr="0050459D">
        <w:t xml:space="preserve"> versus no serial serum </w:t>
      </w:r>
      <w:proofErr w:type="spellStart"/>
      <w:r w:rsidRPr="0050459D">
        <w:t>CgA</w:t>
      </w:r>
      <w:proofErr w:type="spellEnd"/>
      <w:r w:rsidRPr="0050459D">
        <w:t xml:space="preserve"> in</w:t>
      </w:r>
      <w:r w:rsidRPr="00112C0B">
        <w:t xml:space="preserve"> patients with </w:t>
      </w:r>
      <w:r w:rsidRPr="0050459D">
        <w:t>well-differentiated NENs</w:t>
      </w:r>
      <w:r>
        <w:t>?</w:t>
      </w:r>
    </w:p>
    <w:p w14:paraId="6B5F257A" w14:textId="2ED6A78C" w:rsidR="006262B4" w:rsidRPr="00112C0B" w:rsidRDefault="006262B4" w:rsidP="006262B4">
      <w:r>
        <w:t>Indirect Evidence</w:t>
      </w:r>
    </w:p>
    <w:p w14:paraId="54520884" w14:textId="6DA92727" w:rsidR="0050459D" w:rsidRPr="00112C0B" w:rsidRDefault="0050459D" w:rsidP="0050459D">
      <w:pPr>
        <w:pStyle w:val="ListParagraph"/>
        <w:numPr>
          <w:ilvl w:val="0"/>
          <w:numId w:val="17"/>
        </w:numPr>
      </w:pPr>
      <w:r w:rsidRPr="00112C0B">
        <w:t>What is the diagnostic yield of</w:t>
      </w:r>
      <w:r w:rsidRPr="0050459D">
        <w:t xml:space="preserve"> serial serum </w:t>
      </w:r>
      <w:proofErr w:type="spellStart"/>
      <w:r w:rsidRPr="0050459D">
        <w:t>CgA</w:t>
      </w:r>
      <w:proofErr w:type="spellEnd"/>
      <w:r>
        <w:rPr>
          <w:i/>
          <w:iCs/>
        </w:rPr>
        <w:t xml:space="preserve"> </w:t>
      </w:r>
      <w:r w:rsidRPr="00112C0B">
        <w:t xml:space="preserve">in patients </w:t>
      </w:r>
      <w:r>
        <w:t xml:space="preserve">with </w:t>
      </w:r>
      <w:r w:rsidRPr="0050459D">
        <w:t>well-differentiated NENs</w:t>
      </w:r>
      <w:r>
        <w:t>?</w:t>
      </w:r>
      <w:r w:rsidRPr="00112C0B">
        <w:t xml:space="preserve"> </w:t>
      </w:r>
      <w:r w:rsidR="00175C0D">
        <w:t>W</w:t>
      </w:r>
      <w:r w:rsidR="00175C0D" w:rsidRPr="00175C0D">
        <w:t xml:space="preserve">hat </w:t>
      </w:r>
      <w:proofErr w:type="spellStart"/>
      <w:r w:rsidR="00175C0D" w:rsidRPr="00175C0D">
        <w:t>CgA</w:t>
      </w:r>
      <w:proofErr w:type="spellEnd"/>
      <w:r w:rsidR="00175C0D" w:rsidRPr="00175C0D">
        <w:t xml:space="preserve"> threshold (absolute concentration or change from baseline) provides the optimal balance of sensitivity and specificity for predicting disease progression and prompting further investigation with imaging? </w:t>
      </w:r>
      <w:r w:rsidRPr="00112C0B">
        <w:t xml:space="preserve">What is the test accuracy of the proposed test in predicting </w:t>
      </w:r>
      <w:r>
        <w:t xml:space="preserve">progression of </w:t>
      </w:r>
      <w:r w:rsidRPr="0050459D">
        <w:t>well-differentiated NENs</w:t>
      </w:r>
      <w:r>
        <w:t>?</w:t>
      </w:r>
    </w:p>
    <w:p w14:paraId="6A1D9B8C" w14:textId="0B07C1C1" w:rsidR="0050459D" w:rsidRPr="00112C0B" w:rsidRDefault="001C19CE" w:rsidP="0050459D">
      <w:pPr>
        <w:pStyle w:val="ListParagraph"/>
        <w:numPr>
          <w:ilvl w:val="0"/>
          <w:numId w:val="17"/>
        </w:numPr>
      </w:pPr>
      <w:r>
        <w:t xml:space="preserve">Can </w:t>
      </w:r>
      <w:r w:rsidR="00E81F30" w:rsidRPr="00E81F30">
        <w:t xml:space="preserve">the use of serial </w:t>
      </w:r>
      <w:proofErr w:type="spellStart"/>
      <w:r w:rsidR="00E81F30" w:rsidRPr="00E81F30">
        <w:t>CgA</w:t>
      </w:r>
      <w:proofErr w:type="spellEnd"/>
      <w:r w:rsidR="00E81F30" w:rsidRPr="00E81F30">
        <w:t xml:space="preserve"> monitoring, compared with standard monitoring without serial </w:t>
      </w:r>
      <w:proofErr w:type="spellStart"/>
      <w:r w:rsidR="00E81F30" w:rsidRPr="00E81F30">
        <w:t>CgA</w:t>
      </w:r>
      <w:proofErr w:type="spellEnd"/>
      <w:r w:rsidR="00E81F30" w:rsidRPr="00E81F30">
        <w:t xml:space="preserve"> testing, </w:t>
      </w:r>
      <w:r>
        <w:t xml:space="preserve">be used to </w:t>
      </w:r>
      <w:r w:rsidR="00E81F30" w:rsidRPr="00E81F30">
        <w:t xml:space="preserve">safely reduce the frequency of functional imaging (e.g. </w:t>
      </w:r>
      <w:r w:rsidR="00E81F30" w:rsidRPr="00135C6C">
        <w:rPr>
          <w:vertAlign w:val="superscript"/>
        </w:rPr>
        <w:t>68</w:t>
      </w:r>
      <w:r w:rsidR="00E81F30" w:rsidRPr="00E81F30">
        <w:t xml:space="preserve">Ga-DOTA-peptide PET/CT or </w:t>
      </w:r>
      <w:r w:rsidR="00E81F30" w:rsidRPr="00135C6C">
        <w:rPr>
          <w:vertAlign w:val="superscript"/>
        </w:rPr>
        <w:t>18</w:t>
      </w:r>
      <w:r w:rsidR="00E81F30" w:rsidRPr="00E81F30">
        <w:t>F-FDG PET)</w:t>
      </w:r>
      <w:r w:rsidR="00E81F30">
        <w:t xml:space="preserve">? </w:t>
      </w:r>
      <w:r w:rsidR="0050459D" w:rsidRPr="00112C0B">
        <w:t>How do the proposed results affect downstream clinical</w:t>
      </w:r>
      <w:r w:rsidR="0050459D" w:rsidRPr="00112C0B">
        <w:rPr>
          <w:szCs w:val="18"/>
        </w:rPr>
        <w:t xml:space="preserve"> treatment/management (e.g., treatment</w:t>
      </w:r>
      <w:r w:rsidR="0050459D">
        <w:rPr>
          <w:szCs w:val="18"/>
        </w:rPr>
        <w:t>/investigative</w:t>
      </w:r>
      <w:r w:rsidR="0050459D" w:rsidRPr="00112C0B">
        <w:rPr>
          <w:szCs w:val="18"/>
        </w:rPr>
        <w:t xml:space="preserve"> escalation) and what is the evidence base of the impact?</w:t>
      </w:r>
    </w:p>
    <w:p w14:paraId="0CE543C5" w14:textId="4C4D481A" w:rsidR="0050459D" w:rsidRPr="00112C0B" w:rsidRDefault="0050459D" w:rsidP="0050459D">
      <w:pPr>
        <w:pStyle w:val="ListParagraph"/>
        <w:numPr>
          <w:ilvl w:val="0"/>
          <w:numId w:val="17"/>
        </w:numPr>
      </w:pPr>
      <w:r w:rsidRPr="00112C0B">
        <w:t xml:space="preserve">What is the impact of </w:t>
      </w:r>
      <w:r w:rsidRPr="00112C0B" w:rsidDel="00376402">
        <w:t>the</w:t>
      </w:r>
      <w:r w:rsidRPr="00112C0B">
        <w:t xml:space="preserve"> change in therapy vs no change in therapy on health outcomes such as mortality, morbidit</w:t>
      </w:r>
      <w:r>
        <w:t>y</w:t>
      </w:r>
      <w:r w:rsidRPr="00112C0B">
        <w:t>, underlying condition control, and quality of life?</w:t>
      </w:r>
    </w:p>
    <w:p w14:paraId="5265A459" w14:textId="5D3FC9AA" w:rsidR="0050459D" w:rsidRPr="00112C0B" w:rsidRDefault="0050459D" w:rsidP="0050459D">
      <w:pPr>
        <w:pStyle w:val="ListParagraph"/>
        <w:numPr>
          <w:ilvl w:val="0"/>
          <w:numId w:val="17"/>
        </w:numPr>
      </w:pPr>
      <w:r w:rsidRPr="00112C0B">
        <w:lastRenderedPageBreak/>
        <w:t>What are the effects on safety</w:t>
      </w:r>
      <w:r w:rsidR="006D3495">
        <w:t xml:space="preserve"> and efficacy</w:t>
      </w:r>
      <w:r w:rsidRPr="00112C0B">
        <w:t xml:space="preserve"> in escalating therapy where appropriate regarding drug adverse events?</w:t>
      </w:r>
    </w:p>
    <w:p w14:paraId="205EC49F" w14:textId="77777777" w:rsidR="0050459D" w:rsidRPr="00112C0B" w:rsidRDefault="0050459D" w:rsidP="0050459D">
      <w:pPr>
        <w:pStyle w:val="ListParagraph"/>
        <w:numPr>
          <w:ilvl w:val="0"/>
          <w:numId w:val="17"/>
        </w:numPr>
      </w:pPr>
      <w:r w:rsidRPr="00112C0B">
        <w:t xml:space="preserve">How do adverse events of treatment impact on health outcomes (e.g., </w:t>
      </w:r>
      <w:r>
        <w:t xml:space="preserve">morbidity, </w:t>
      </w:r>
      <w:r w:rsidRPr="00112C0B">
        <w:t>mortality, quality of life)?</w:t>
      </w:r>
    </w:p>
    <w:p w14:paraId="6EA9DCE1" w14:textId="2F620465" w:rsidR="0050459D" w:rsidRDefault="0050459D" w:rsidP="0050459D">
      <w:pPr>
        <w:pStyle w:val="ListParagraph"/>
        <w:numPr>
          <w:ilvl w:val="0"/>
          <w:numId w:val="17"/>
        </w:numPr>
      </w:pPr>
      <w:r w:rsidRPr="00112C0B">
        <w:t>What is the comparative safety of</w:t>
      </w:r>
      <w:r w:rsidRPr="0050459D">
        <w:t xml:space="preserve"> serial serum </w:t>
      </w:r>
      <w:proofErr w:type="spellStart"/>
      <w:r w:rsidRPr="0050459D">
        <w:t>CgA</w:t>
      </w:r>
      <w:proofErr w:type="spellEnd"/>
      <w:r w:rsidRPr="0050459D">
        <w:rPr>
          <w:i/>
          <w:iCs/>
        </w:rPr>
        <w:t xml:space="preserve"> </w:t>
      </w:r>
      <w:r w:rsidRPr="00112C0B">
        <w:t xml:space="preserve">vs no </w:t>
      </w:r>
      <w:r w:rsidR="00D0175B" w:rsidRPr="00D0175B">
        <w:t xml:space="preserve">serial serum </w:t>
      </w:r>
      <w:proofErr w:type="spellStart"/>
      <w:r w:rsidR="00D0175B" w:rsidRPr="00D0175B">
        <w:t>CgA</w:t>
      </w:r>
      <w:proofErr w:type="spellEnd"/>
      <w:r w:rsidR="00D0175B" w:rsidRPr="00D0175B">
        <w:t xml:space="preserve"> </w:t>
      </w:r>
      <w:r w:rsidRPr="00112C0B">
        <w:t>including but not limited to e.g., impact of false negative results and potential delay in commencing?</w:t>
      </w:r>
    </w:p>
    <w:p w14:paraId="5A88281B" w14:textId="4E23F585" w:rsidR="00A667E2" w:rsidRPr="00D4599B" w:rsidRDefault="00A667E2" w:rsidP="00F77E10">
      <w:pPr>
        <w:autoSpaceDE w:val="0"/>
        <w:autoSpaceDN w:val="0"/>
        <w:adjustRightInd w:val="0"/>
        <w:spacing w:line="23" w:lineRule="atLeast"/>
        <w:rPr>
          <w:rFonts w:asciiTheme="minorHAnsi" w:hAnsiTheme="minorHAnsi" w:cstheme="minorHAnsi"/>
          <w:i/>
          <w:iCs/>
          <w:szCs w:val="20"/>
        </w:rPr>
      </w:pPr>
      <w:r w:rsidRPr="005A3F1A">
        <w:rPr>
          <w:rFonts w:asciiTheme="minorHAnsi" w:hAnsiTheme="minorHAnsi" w:cstheme="minorHAnsi"/>
          <w:i/>
          <w:iCs/>
          <w:szCs w:val="20"/>
        </w:rPr>
        <w:t xml:space="preserve">PASC noted that no direct evidence was cited linking serial </w:t>
      </w:r>
      <w:proofErr w:type="spellStart"/>
      <w:r w:rsidRPr="005A3F1A">
        <w:rPr>
          <w:rFonts w:asciiTheme="minorHAnsi" w:hAnsiTheme="minorHAnsi" w:cstheme="minorHAnsi"/>
          <w:i/>
          <w:iCs/>
          <w:szCs w:val="20"/>
        </w:rPr>
        <w:t>CgA</w:t>
      </w:r>
      <w:proofErr w:type="spellEnd"/>
      <w:r w:rsidRPr="005A3F1A">
        <w:rPr>
          <w:rFonts w:asciiTheme="minorHAnsi" w:hAnsiTheme="minorHAnsi" w:cstheme="minorHAnsi"/>
          <w:i/>
          <w:iCs/>
          <w:szCs w:val="20"/>
        </w:rPr>
        <w:t xml:space="preserve"> monitoring to patient health outcomes. PASC considered that the assessment </w:t>
      </w:r>
      <w:r w:rsidR="008D5192">
        <w:rPr>
          <w:rFonts w:asciiTheme="minorHAnsi" w:hAnsiTheme="minorHAnsi" w:cstheme="minorHAnsi"/>
          <w:i/>
          <w:iCs/>
          <w:szCs w:val="20"/>
        </w:rPr>
        <w:t>would rely on a</w:t>
      </w:r>
      <w:r w:rsidRPr="005A3F1A">
        <w:rPr>
          <w:rFonts w:asciiTheme="minorHAnsi" w:hAnsiTheme="minorHAnsi" w:cstheme="minorHAnsi"/>
          <w:i/>
          <w:iCs/>
          <w:szCs w:val="20"/>
        </w:rPr>
        <w:t xml:space="preserve"> linked-evidence </w:t>
      </w:r>
      <w:r w:rsidR="008D5192">
        <w:rPr>
          <w:rFonts w:asciiTheme="minorHAnsi" w:hAnsiTheme="minorHAnsi" w:cstheme="minorHAnsi"/>
          <w:i/>
          <w:iCs/>
          <w:szCs w:val="20"/>
        </w:rPr>
        <w:t>approa</w:t>
      </w:r>
      <w:r w:rsidR="005730DB">
        <w:rPr>
          <w:rFonts w:asciiTheme="minorHAnsi" w:hAnsiTheme="minorHAnsi" w:cstheme="minorHAnsi"/>
          <w:i/>
          <w:iCs/>
          <w:szCs w:val="20"/>
        </w:rPr>
        <w:t>ch</w:t>
      </w:r>
      <w:r w:rsidR="008D5192" w:rsidRPr="005A3F1A">
        <w:rPr>
          <w:rFonts w:asciiTheme="minorHAnsi" w:hAnsiTheme="minorHAnsi" w:cstheme="minorHAnsi"/>
          <w:i/>
          <w:iCs/>
          <w:szCs w:val="20"/>
        </w:rPr>
        <w:t xml:space="preserve"> </w:t>
      </w:r>
      <w:r w:rsidRPr="005A3F1A">
        <w:rPr>
          <w:rFonts w:asciiTheme="minorHAnsi" w:hAnsiTheme="minorHAnsi" w:cstheme="minorHAnsi"/>
          <w:i/>
          <w:iCs/>
          <w:szCs w:val="20"/>
        </w:rPr>
        <w:t xml:space="preserve">examining the test performance of serial </w:t>
      </w:r>
      <w:proofErr w:type="spellStart"/>
      <w:r w:rsidRPr="005A3F1A">
        <w:rPr>
          <w:rFonts w:asciiTheme="minorHAnsi" w:hAnsiTheme="minorHAnsi" w:cstheme="minorHAnsi"/>
          <w:i/>
          <w:iCs/>
          <w:szCs w:val="20"/>
        </w:rPr>
        <w:t>CgA</w:t>
      </w:r>
      <w:proofErr w:type="spellEnd"/>
      <w:r w:rsidRPr="005A3F1A">
        <w:rPr>
          <w:rFonts w:asciiTheme="minorHAnsi" w:hAnsiTheme="minorHAnsi" w:cstheme="minorHAnsi"/>
          <w:i/>
          <w:iCs/>
          <w:szCs w:val="20"/>
        </w:rPr>
        <w:t xml:space="preserve"> monitoring, whether the information provided by </w:t>
      </w:r>
      <w:proofErr w:type="spellStart"/>
      <w:r w:rsidRPr="005A3F1A">
        <w:rPr>
          <w:rFonts w:asciiTheme="minorHAnsi" w:hAnsiTheme="minorHAnsi" w:cstheme="minorHAnsi"/>
          <w:i/>
          <w:iCs/>
          <w:szCs w:val="20"/>
        </w:rPr>
        <w:t>CgA</w:t>
      </w:r>
      <w:proofErr w:type="spellEnd"/>
      <w:r w:rsidRPr="005A3F1A">
        <w:rPr>
          <w:rFonts w:asciiTheme="minorHAnsi" w:hAnsiTheme="minorHAnsi" w:cstheme="minorHAnsi"/>
          <w:i/>
          <w:iCs/>
          <w:szCs w:val="20"/>
        </w:rPr>
        <w:t xml:space="preserve"> leads to a change in clinical management, and whether any change in management leads to patient-relevant health outcomes.</w:t>
      </w:r>
      <w:r w:rsidR="002D3976">
        <w:rPr>
          <w:rFonts w:asciiTheme="minorHAnsi" w:hAnsiTheme="minorHAnsi" w:cstheme="minorHAnsi"/>
          <w:i/>
          <w:iCs/>
          <w:szCs w:val="20"/>
        </w:rPr>
        <w:t xml:space="preserve"> PASC considered the assessment questions should </w:t>
      </w:r>
      <w:r w:rsidRPr="005A3F1A">
        <w:rPr>
          <w:rFonts w:asciiTheme="minorHAnsi" w:hAnsiTheme="minorHAnsi" w:cstheme="minorHAnsi"/>
          <w:i/>
          <w:iCs/>
          <w:szCs w:val="20"/>
        </w:rPr>
        <w:t xml:space="preserve">reflect the intended clinical place of serial </w:t>
      </w:r>
      <w:proofErr w:type="spellStart"/>
      <w:r w:rsidRPr="005A3F1A">
        <w:rPr>
          <w:rFonts w:asciiTheme="minorHAnsi" w:hAnsiTheme="minorHAnsi" w:cstheme="minorHAnsi"/>
          <w:i/>
          <w:iCs/>
          <w:szCs w:val="20"/>
        </w:rPr>
        <w:t>CgA</w:t>
      </w:r>
      <w:proofErr w:type="spellEnd"/>
      <w:r w:rsidRPr="005A3F1A">
        <w:rPr>
          <w:rFonts w:asciiTheme="minorHAnsi" w:hAnsiTheme="minorHAnsi" w:cstheme="minorHAnsi"/>
          <w:i/>
          <w:iCs/>
          <w:szCs w:val="20"/>
        </w:rPr>
        <w:t xml:space="preserve"> monitoring relative to the comparator</w:t>
      </w:r>
      <w:r w:rsidR="009E5FDE">
        <w:rPr>
          <w:rFonts w:asciiTheme="minorHAnsi" w:hAnsiTheme="minorHAnsi" w:cstheme="minorHAnsi"/>
          <w:i/>
          <w:iCs/>
          <w:szCs w:val="20"/>
        </w:rPr>
        <w:t xml:space="preserve"> </w:t>
      </w:r>
      <w:r w:rsidR="00F40960">
        <w:rPr>
          <w:rFonts w:asciiTheme="minorHAnsi" w:hAnsiTheme="minorHAnsi" w:cstheme="minorHAnsi"/>
          <w:i/>
          <w:iCs/>
          <w:szCs w:val="20"/>
        </w:rPr>
        <w:t>but that there remains uncertainty</w:t>
      </w:r>
      <w:r w:rsidRPr="005A3F1A">
        <w:rPr>
          <w:rFonts w:asciiTheme="minorHAnsi" w:hAnsiTheme="minorHAnsi" w:cstheme="minorHAnsi"/>
          <w:i/>
          <w:iCs/>
          <w:szCs w:val="20"/>
        </w:rPr>
        <w:t xml:space="preserve"> whether </w:t>
      </w:r>
      <w:proofErr w:type="spellStart"/>
      <w:r w:rsidRPr="005A3F1A">
        <w:rPr>
          <w:rFonts w:asciiTheme="minorHAnsi" w:hAnsiTheme="minorHAnsi" w:cstheme="minorHAnsi"/>
          <w:i/>
          <w:iCs/>
          <w:szCs w:val="20"/>
        </w:rPr>
        <w:t>CgA</w:t>
      </w:r>
      <w:proofErr w:type="spellEnd"/>
      <w:r w:rsidRPr="005A3F1A">
        <w:rPr>
          <w:rFonts w:asciiTheme="minorHAnsi" w:hAnsiTheme="minorHAnsi" w:cstheme="minorHAnsi"/>
          <w:i/>
          <w:iCs/>
          <w:szCs w:val="20"/>
        </w:rPr>
        <w:t xml:space="preserve"> monitoring is used in addition to standard-care monitoring or partially substitutes for scheduled imaging in selected patients.</w:t>
      </w:r>
      <w:r w:rsidR="000843EB">
        <w:rPr>
          <w:rFonts w:asciiTheme="minorHAnsi" w:hAnsiTheme="minorHAnsi" w:cstheme="minorHAnsi"/>
          <w:i/>
          <w:iCs/>
          <w:szCs w:val="20"/>
        </w:rPr>
        <w:t xml:space="preserve"> </w:t>
      </w:r>
      <w:r w:rsidRPr="005A3F1A">
        <w:rPr>
          <w:rFonts w:asciiTheme="minorHAnsi" w:hAnsiTheme="minorHAnsi" w:cstheme="minorHAnsi"/>
          <w:i/>
          <w:iCs/>
          <w:szCs w:val="20"/>
        </w:rPr>
        <w:t xml:space="preserve">PASC considered that relevant changes in management should include changes in the timing or frequency of specialist review and imaging arising from </w:t>
      </w:r>
      <w:proofErr w:type="spellStart"/>
      <w:r w:rsidRPr="005A3F1A">
        <w:rPr>
          <w:rFonts w:asciiTheme="minorHAnsi" w:hAnsiTheme="minorHAnsi" w:cstheme="minorHAnsi"/>
          <w:i/>
          <w:iCs/>
          <w:szCs w:val="20"/>
        </w:rPr>
        <w:t>CgA</w:t>
      </w:r>
      <w:proofErr w:type="spellEnd"/>
      <w:r w:rsidRPr="005A3F1A">
        <w:rPr>
          <w:rFonts w:asciiTheme="minorHAnsi" w:hAnsiTheme="minorHAnsi" w:cstheme="minorHAnsi"/>
          <w:i/>
          <w:iCs/>
          <w:szCs w:val="20"/>
        </w:rPr>
        <w:t xml:space="preserve"> results. The assessment should also capture any adverse consequences arising from </w:t>
      </w:r>
      <w:proofErr w:type="spellStart"/>
      <w:r w:rsidRPr="005A3F1A">
        <w:rPr>
          <w:rFonts w:asciiTheme="minorHAnsi" w:hAnsiTheme="minorHAnsi" w:cstheme="minorHAnsi"/>
          <w:i/>
          <w:iCs/>
          <w:szCs w:val="20"/>
        </w:rPr>
        <w:t>CgA</w:t>
      </w:r>
      <w:proofErr w:type="spellEnd"/>
      <w:r w:rsidRPr="005A3F1A">
        <w:rPr>
          <w:rFonts w:asciiTheme="minorHAnsi" w:hAnsiTheme="minorHAnsi" w:cstheme="minorHAnsi"/>
          <w:i/>
          <w:iCs/>
          <w:szCs w:val="20"/>
        </w:rPr>
        <w:t xml:space="preserve"> testing or subsequent changes in management.</w:t>
      </w:r>
      <w:r w:rsidR="00965AFD">
        <w:rPr>
          <w:rFonts w:asciiTheme="minorHAnsi" w:hAnsiTheme="minorHAnsi" w:cstheme="minorHAnsi"/>
          <w:i/>
          <w:iCs/>
          <w:szCs w:val="20"/>
        </w:rPr>
        <w:t xml:space="preserve"> Noting the variability in the assays, PASC considered </w:t>
      </w:r>
      <w:r w:rsidR="00D903B8">
        <w:rPr>
          <w:rFonts w:asciiTheme="minorHAnsi" w:hAnsiTheme="minorHAnsi" w:cstheme="minorHAnsi"/>
          <w:i/>
          <w:iCs/>
          <w:szCs w:val="20"/>
        </w:rPr>
        <w:t xml:space="preserve">that </w:t>
      </w:r>
      <w:r w:rsidR="0051045F">
        <w:rPr>
          <w:rFonts w:asciiTheme="minorHAnsi" w:hAnsiTheme="minorHAnsi" w:cstheme="minorHAnsi"/>
          <w:i/>
          <w:iCs/>
          <w:szCs w:val="20"/>
        </w:rPr>
        <w:t xml:space="preserve">the </w:t>
      </w:r>
      <w:r w:rsidR="0051045F" w:rsidRPr="0051045F">
        <w:rPr>
          <w:rFonts w:asciiTheme="minorHAnsi" w:hAnsiTheme="minorHAnsi" w:cstheme="minorHAnsi"/>
          <w:i/>
          <w:iCs/>
          <w:szCs w:val="20"/>
        </w:rPr>
        <w:t xml:space="preserve">available </w:t>
      </w:r>
      <w:proofErr w:type="spellStart"/>
      <w:r w:rsidR="0051045F" w:rsidRPr="0051045F">
        <w:rPr>
          <w:rFonts w:asciiTheme="minorHAnsi" w:hAnsiTheme="minorHAnsi" w:cstheme="minorHAnsi"/>
          <w:i/>
          <w:iCs/>
          <w:szCs w:val="20"/>
        </w:rPr>
        <w:t>CgA</w:t>
      </w:r>
      <w:proofErr w:type="spellEnd"/>
      <w:r w:rsidR="0051045F" w:rsidRPr="0051045F">
        <w:rPr>
          <w:rFonts w:asciiTheme="minorHAnsi" w:hAnsiTheme="minorHAnsi" w:cstheme="minorHAnsi"/>
          <w:i/>
          <w:iCs/>
          <w:szCs w:val="20"/>
        </w:rPr>
        <w:t xml:space="preserve"> assay methodologies</w:t>
      </w:r>
      <w:r w:rsidR="0051045F">
        <w:rPr>
          <w:rFonts w:asciiTheme="minorHAnsi" w:hAnsiTheme="minorHAnsi" w:cstheme="minorHAnsi"/>
          <w:i/>
          <w:iCs/>
          <w:szCs w:val="20"/>
        </w:rPr>
        <w:t xml:space="preserve"> should be compared in the evaluation as well.</w:t>
      </w:r>
    </w:p>
    <w:p w14:paraId="00D3AAB2" w14:textId="0FAC78A0" w:rsidR="00413741" w:rsidRDefault="00413741" w:rsidP="00CF5D06"/>
    <w:p w14:paraId="6069F0B5" w14:textId="77777777" w:rsidR="00D73332" w:rsidRDefault="00D73332" w:rsidP="00713728">
      <w:pPr>
        <w:pStyle w:val="Heading2"/>
      </w:pPr>
      <w:r w:rsidRPr="00490FBB">
        <w:t>Clinical management algorithms</w:t>
      </w:r>
    </w:p>
    <w:p w14:paraId="7D9DD33F" w14:textId="304BCDAA" w:rsidR="00E70112" w:rsidRDefault="0010744C" w:rsidP="00E70112">
      <w:r>
        <w:t>Figure 3 illustrates the current clinical management</w:t>
      </w:r>
      <w:r w:rsidR="00D76FAC">
        <w:t xml:space="preserve"> for monitoring patients with NENs, where i</w:t>
      </w:r>
      <w:r w:rsidR="00B3099F">
        <w:t>n the absence of</w:t>
      </w:r>
      <w:r w:rsidR="00E70112">
        <w:t xml:space="preserve"> routine </w:t>
      </w:r>
      <w:r w:rsidR="00B3099F">
        <w:t xml:space="preserve">publicly funded </w:t>
      </w:r>
      <w:proofErr w:type="spellStart"/>
      <w:r w:rsidR="00E70112" w:rsidRPr="00E70112">
        <w:t>CgA</w:t>
      </w:r>
      <w:proofErr w:type="spellEnd"/>
      <w:r w:rsidR="00E70112" w:rsidRPr="00E70112">
        <w:t xml:space="preserve"> monitoring</w:t>
      </w:r>
      <w:r w:rsidR="00B3099F">
        <w:t>,</w:t>
      </w:r>
      <w:r w:rsidR="00E70112">
        <w:t xml:space="preserve"> </w:t>
      </w:r>
      <w:r w:rsidR="00B3099F">
        <w:t>p</w:t>
      </w:r>
      <w:r w:rsidR="00E70112">
        <w:t xml:space="preserve">atients would commence </w:t>
      </w:r>
      <w:r w:rsidR="00DD02B7">
        <w:t xml:space="preserve">additional </w:t>
      </w:r>
      <w:r w:rsidR="00E70112">
        <w:t xml:space="preserve">treatment </w:t>
      </w:r>
      <w:r w:rsidR="00DD02B7">
        <w:t>when indicated by routine surveillance methods (</w:t>
      </w:r>
      <w:r w:rsidR="00DD02B7">
        <w:fldChar w:fldCharType="begin"/>
      </w:r>
      <w:r w:rsidR="00DD02B7">
        <w:instrText xml:space="preserve"> REF _Ref234335972 \h </w:instrText>
      </w:r>
      <w:r w:rsidR="00DD02B7">
        <w:fldChar w:fldCharType="separate"/>
      </w:r>
      <w:r w:rsidR="00DD02B7">
        <w:t xml:space="preserve">Figure </w:t>
      </w:r>
      <w:r w:rsidR="00DD02B7">
        <w:rPr>
          <w:noProof/>
        </w:rPr>
        <w:t>3</w:t>
      </w:r>
      <w:r w:rsidR="00DD02B7">
        <w:fldChar w:fldCharType="end"/>
      </w:r>
      <w:r w:rsidR="00DD02B7">
        <w:t xml:space="preserve">). </w:t>
      </w:r>
      <w:r w:rsidR="00E70112">
        <w:t xml:space="preserve"> </w:t>
      </w:r>
    </w:p>
    <w:p w14:paraId="07FFDBBF" w14:textId="77777777" w:rsidR="00E70112" w:rsidRPr="00E70112" w:rsidRDefault="00E70112" w:rsidP="00E70112"/>
    <w:p w14:paraId="04E7E66E" w14:textId="3AB5AB44" w:rsidR="004F66DB" w:rsidRDefault="003C0D2D" w:rsidP="004F66DB">
      <w:pPr>
        <w:pStyle w:val="Instructionaltext"/>
        <w:keepNext/>
      </w:pPr>
      <w:r>
        <w:rPr>
          <w:rFonts w:asciiTheme="minorHAnsi" w:hAnsiTheme="minorHAnsi" w:cstheme="minorHAnsi"/>
          <w:noProof/>
        </w:rPr>
        <w:lastRenderedPageBreak/>
        <w:drawing>
          <wp:inline distT="0" distB="0" distL="0" distR="0" wp14:anchorId="6678299D" wp14:editId="2FF72C5E">
            <wp:extent cx="5271796" cy="5867111"/>
            <wp:effectExtent l="0" t="0" r="5080" b="635"/>
            <wp:docPr id="603362999" name="Picture 11" descr="Figure 3 illustrates the current clinical management for monitoring patients with NENs, where in the absence of routine publicly funded CgA monitoring, patients would commence additional treatment when indicated by routine surveillance metho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362999" name="Picture 11" descr="Figure 3 illustrates the current clinical management for monitoring patients with NENs, where in the absence of routine publicly funded CgA monitoring, patients would commence additional treatment when indicated by routine surveillance methods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82158" cy="5878644"/>
                    </a:xfrm>
                    <a:prstGeom prst="rect">
                      <a:avLst/>
                    </a:prstGeom>
                    <a:noFill/>
                  </pic:spPr>
                </pic:pic>
              </a:graphicData>
            </a:graphic>
          </wp:inline>
        </w:drawing>
      </w:r>
    </w:p>
    <w:p w14:paraId="0EF3EBBF" w14:textId="77777777" w:rsidR="003C0D2D" w:rsidRDefault="004F66DB" w:rsidP="003C0D2D">
      <w:pPr>
        <w:pStyle w:val="Caption"/>
      </w:pPr>
      <w:bookmarkStart w:id="6" w:name="_Ref234335972"/>
      <w:r>
        <w:t xml:space="preserve">Figure </w:t>
      </w:r>
      <w:r>
        <w:fldChar w:fldCharType="begin"/>
      </w:r>
      <w:r>
        <w:instrText xml:space="preserve"> SEQ Figure \* ARABIC </w:instrText>
      </w:r>
      <w:r>
        <w:fldChar w:fldCharType="separate"/>
      </w:r>
      <w:r w:rsidR="00D91B13">
        <w:rPr>
          <w:noProof/>
        </w:rPr>
        <w:t>3</w:t>
      </w:r>
      <w:r>
        <w:fldChar w:fldCharType="end"/>
      </w:r>
      <w:bookmarkEnd w:id="6"/>
      <w:r>
        <w:t xml:space="preserve"> </w:t>
      </w:r>
      <w:r w:rsidR="003C0D2D" w:rsidRPr="00412D92">
        <w:t xml:space="preserve">Current clinical management algorithm of patients with metastatic or advanced NEN, without </w:t>
      </w:r>
      <w:proofErr w:type="spellStart"/>
      <w:r w:rsidR="003C0D2D" w:rsidRPr="00412D92">
        <w:t>C</w:t>
      </w:r>
      <w:r w:rsidR="003C0D2D">
        <w:t>g</w:t>
      </w:r>
      <w:r w:rsidR="003C0D2D" w:rsidRPr="00412D92">
        <w:t>A</w:t>
      </w:r>
      <w:proofErr w:type="spellEnd"/>
      <w:r w:rsidR="003C0D2D" w:rsidRPr="00412D92">
        <w:t xml:space="preserve"> monitoring</w:t>
      </w:r>
      <w:r w:rsidR="003C0D2D">
        <w:t xml:space="preserve"> as proposed by the applicant and modified by PASC</w:t>
      </w:r>
      <w:r w:rsidR="003C0D2D" w:rsidRPr="00412D92">
        <w:t>.</w:t>
      </w:r>
      <w:r w:rsidR="003C0D2D" w:rsidRPr="004F66DB">
        <w:t xml:space="preserve"> </w:t>
      </w:r>
      <w:r w:rsidR="003C0D2D">
        <w:fldChar w:fldCharType="begin"/>
      </w:r>
      <w:r w:rsidR="003C0D2D">
        <w:instrText xml:space="preserve"> ADDIN EN.CITE &lt;EndNote&gt;&lt;Cite&gt;&lt;Author&gt;Cancer Council Victoria and Commonwealth Government&lt;/Author&gt;&lt;Year&gt;2022&lt;/Year&gt;&lt;RecNum&gt;16&lt;/RecNum&gt;&lt;DisplayText&gt;(Cancer Council Victoria and Commonwealth Government 2022)&lt;/DisplayText&gt;&lt;record&gt;&lt;rec-number&gt;16&lt;/rec-number&gt;&lt;foreign-keys&gt;&lt;key app="EN" db-id="et0tvv0vcezr9neew2av9ppvfs25wf5sd0pd" timestamp="1784266909"&gt;16&lt;/key&gt;&lt;/foreign-keys&gt;&lt;ref-type name="Report"&gt;27&lt;/ref-type&gt;&lt;contributors&gt;&lt;authors&gt;&lt;author&gt;Cancer Council Victoria and Commonwealth Government,&lt;/author&gt;&lt;/authors&gt;&lt;/contributors&gt;&lt;titles&gt;&lt;title&gt;Optimal care pathway for people  with neuroendocrine tumours&lt;/title&gt;&lt;/titles&gt;&lt;volume&gt;1st edn&lt;/volume&gt;&lt;dates&gt;&lt;year&gt;2022&lt;/year&gt;&lt;/dates&gt;&lt;pub-location&gt;Cancer Council Victoria, Melbourne&lt;/pub-location&gt;&lt;urls&gt;&lt;/urls&gt;&lt;/record&gt;&lt;/Cite&gt;&lt;/EndNote&gt;</w:instrText>
      </w:r>
      <w:r w:rsidR="003C0D2D">
        <w:fldChar w:fldCharType="separate"/>
      </w:r>
      <w:r w:rsidR="003C0D2D">
        <w:rPr>
          <w:noProof/>
        </w:rPr>
        <w:t>(Cancer Council Victoria and Commonwealth Government 2022)</w:t>
      </w:r>
      <w:r w:rsidR="003C0D2D">
        <w:fldChar w:fldCharType="end"/>
      </w:r>
    </w:p>
    <w:p w14:paraId="3EA7AE7E" w14:textId="50C0C8B3" w:rsidR="003C0D2D" w:rsidRPr="00514A0F" w:rsidRDefault="003C0D2D" w:rsidP="003C0D2D">
      <w:pPr>
        <w:pStyle w:val="Tablenotes"/>
      </w:pPr>
      <w:r w:rsidRPr="00514A0F">
        <w:t xml:space="preserve">CT = computed tomography; CXR = chest </w:t>
      </w:r>
      <w:r w:rsidR="008C609E">
        <w:t>X</w:t>
      </w:r>
      <w:r w:rsidRPr="00514A0F">
        <w:t>-</w:t>
      </w:r>
      <w:r w:rsidR="00006656">
        <w:t>r</w:t>
      </w:r>
      <w:r w:rsidRPr="00514A0F">
        <w:t>ay; MIRI = magnetic resonance imaging; NEN = neuroendocrine neoplasm; PET = positron emission tomography.</w:t>
      </w:r>
    </w:p>
    <w:p w14:paraId="41DDE2C7" w14:textId="77777777" w:rsidR="003C0D2D" w:rsidRPr="00514A0F" w:rsidRDefault="003C0D2D" w:rsidP="008859E6">
      <w:pPr>
        <w:pStyle w:val="Tablenotes"/>
        <w:spacing w:after="0"/>
      </w:pPr>
      <w:proofErr w:type="spellStart"/>
      <w:r w:rsidRPr="00514A0F">
        <w:rPr>
          <w:vertAlign w:val="superscript"/>
        </w:rPr>
        <w:t>a</w:t>
      </w:r>
      <w:proofErr w:type="spellEnd"/>
      <w:r w:rsidRPr="00514A0F">
        <w:t xml:space="preserve"> On CT or MRI, progression is typically assessed using RECIST 1.1 criteria and may be defined by </w:t>
      </w:r>
      <w:r w:rsidRPr="00514A0F">
        <w:fldChar w:fldCharType="begin"/>
      </w:r>
      <w:r w:rsidRPr="00514A0F">
        <w:instrText xml:space="preserve"> ADDIN EN.CITE &lt;EndNote&gt;&lt;Cite&gt;&lt;Author&gt;Tareco Bucho&lt;/Author&gt;&lt;Year&gt;2025&lt;/Year&gt;&lt;RecNum&gt;21&lt;/RecNum&gt;&lt;DisplayText&gt;(Tareco Bucho, Pascucci et al. 2025)&lt;/DisplayText&gt;&lt;record&gt;&lt;rec-number&gt;21&lt;/rec-number&gt;&lt;foreign-keys&gt;&lt;key app="EN" db-id="et0tvv0vcezr9neew2av9ppvfs25wf5sd0pd" timestamp="1784278508"&gt;21&lt;/key&gt;&lt;/foreign-keys&gt;&lt;ref-type name="Journal Article"&gt;17&lt;/ref-type&gt;&lt;contributors&gt;&lt;authors&gt;&lt;author&gt;Tareco Bucho, Teresa M.&lt;/author&gt;&lt;author&gt;Pascucci, Luca&lt;/author&gt;&lt;author&gt;Mancò, Giovanni&lt;/author&gt;&lt;author&gt;Taraschi, Alessio&lt;/author&gt;&lt;author&gt;Macchia, Maria Claudia&lt;/author&gt;&lt;author&gt;Tinari, Nicola&lt;/author&gt;&lt;author&gt;Brocco, Davide&lt;/author&gt;&lt;author&gt;Beets-Tan, Regina G. H.&lt;/author&gt;&lt;author&gt;Pizzi, Andrea Delli&lt;/author&gt;&lt;author&gt;Trebeschi, Stefano&lt;/author&gt;&lt;/authors&gt;&lt;/contributors&gt;&lt;titles&gt;&lt;title&gt;RECIST progression: Patterns among target, non-target, non-measurable and new lesions progression&lt;/title&gt;&lt;secondary-title&gt;European Journal of Radiology&lt;/secondary-title&gt;&lt;/titles&gt;&lt;periodical&gt;&lt;full-title&gt;European Journal of Radiology&lt;/full-title&gt;&lt;/periodical&gt;&lt;volume&gt;186&lt;/volume&gt;&lt;dates&gt;&lt;year&gt;2025&lt;/year&gt;&lt;/dates&gt;&lt;publisher&gt;Elsevier&lt;/publisher&gt;&lt;isbn&gt;0720-048X&lt;/isbn&gt;&lt;urls&gt;&lt;related-urls&gt;&lt;url&gt;https://doi.org/10.1016/j.ejrad.2025.112038&lt;/url&gt;&lt;/related-urls&gt;&lt;/urls&gt;&lt;electronic-resource-num&gt;10.1016/j.ejrad.2025.112038&lt;/electronic-resource-num&gt;&lt;access-date&gt;2026/07/17&lt;/access-date&gt;&lt;/record&gt;&lt;/Cite&gt;&lt;/EndNote&gt;</w:instrText>
      </w:r>
      <w:r w:rsidRPr="00514A0F">
        <w:fldChar w:fldCharType="separate"/>
      </w:r>
      <w:r w:rsidRPr="00514A0F">
        <w:t>(Tareco Bucho, Pascucci et al. 2025)</w:t>
      </w:r>
      <w:r w:rsidRPr="00514A0F">
        <w:fldChar w:fldCharType="end"/>
      </w:r>
      <w:r w:rsidRPr="00514A0F">
        <w:t>:</w:t>
      </w:r>
    </w:p>
    <w:p w14:paraId="7851BF4F" w14:textId="77777777" w:rsidR="003C0D2D" w:rsidRPr="00514A0F" w:rsidRDefault="003C0D2D" w:rsidP="008859E6">
      <w:pPr>
        <w:pStyle w:val="Tablenotes"/>
        <w:numPr>
          <w:ilvl w:val="0"/>
          <w:numId w:val="33"/>
        </w:numPr>
        <w:spacing w:after="0"/>
      </w:pPr>
      <w:r w:rsidRPr="00514A0F">
        <w:t xml:space="preserve">A ≥20% increase in the sum of diameters of target lesions (with a minimum absolute increase of 5 mm). </w:t>
      </w:r>
    </w:p>
    <w:p w14:paraId="732543CA" w14:textId="77777777" w:rsidR="003C0D2D" w:rsidRPr="00514A0F" w:rsidRDefault="003C0D2D" w:rsidP="008859E6">
      <w:pPr>
        <w:pStyle w:val="Tablenotes"/>
        <w:numPr>
          <w:ilvl w:val="0"/>
          <w:numId w:val="33"/>
        </w:numPr>
        <w:spacing w:after="0"/>
      </w:pPr>
      <w:r w:rsidRPr="00514A0F">
        <w:t xml:space="preserve">The appearance of one or more new lesions. </w:t>
      </w:r>
    </w:p>
    <w:p w14:paraId="77A69397" w14:textId="77777777" w:rsidR="003C0D2D" w:rsidRDefault="003C0D2D" w:rsidP="008859E6">
      <w:pPr>
        <w:pStyle w:val="Tablenotes"/>
        <w:spacing w:after="0"/>
      </w:pPr>
      <w:r w:rsidRPr="00514A0F">
        <w:t>Unequivocal progression of non-target lesions</w:t>
      </w:r>
    </w:p>
    <w:p w14:paraId="4C7907C2" w14:textId="77777777" w:rsidR="003C0D2D" w:rsidRPr="00514A0F" w:rsidRDefault="003C0D2D" w:rsidP="003C0D2D">
      <w:pPr>
        <w:pStyle w:val="Tablenotes"/>
      </w:pPr>
      <w:r w:rsidRPr="001E506D">
        <w:rPr>
          <w:vertAlign w:val="superscript"/>
        </w:rPr>
        <w:t>b</w:t>
      </w:r>
      <w:r>
        <w:t xml:space="preserve"> </w:t>
      </w:r>
      <w:r w:rsidRPr="00514A0F">
        <w:t>suspicion of progression may arise from the development of new symptoms or worsening existing symptoms, including carcinoid syndrome manifestations, pain, weight loss, declining performance status, bowel obstruction, ascites, or other tumour-related complications.</w:t>
      </w:r>
    </w:p>
    <w:p w14:paraId="5A2B79B6" w14:textId="77777777" w:rsidR="003C0D2D" w:rsidRPr="00514A0F" w:rsidRDefault="003C0D2D" w:rsidP="003C0D2D">
      <w:pPr>
        <w:pStyle w:val="Tablenotes"/>
      </w:pPr>
      <w:r w:rsidRPr="001E506D">
        <w:rPr>
          <w:vertAlign w:val="superscript"/>
        </w:rPr>
        <w:t xml:space="preserve">c </w:t>
      </w:r>
      <w:r w:rsidRPr="00514A0F">
        <w:t>on CT or MRI, disease progression is typically assessed using RECIST 1.1 criteria and is defined by a ≥20% increase in the sum of target lesion diameters (with a minimum absolute increase of 5 mm), the appearance of one or more new lesions, or unequivocal progression of non-target lesions.</w:t>
      </w:r>
    </w:p>
    <w:p w14:paraId="50E92BF5" w14:textId="77777777" w:rsidR="003C0D2D" w:rsidRPr="00A94B46" w:rsidRDefault="003C0D2D" w:rsidP="003C0D2D">
      <w:pPr>
        <w:pStyle w:val="Tablenotes"/>
      </w:pPr>
      <w:r w:rsidRPr="001E506D">
        <w:rPr>
          <w:vertAlign w:val="superscript"/>
        </w:rPr>
        <w:t>d</w:t>
      </w:r>
      <w:r>
        <w:t xml:space="preserve"> </w:t>
      </w:r>
      <w:r w:rsidRPr="00514A0F">
        <w:t>progression suggested by the appearance of new somatostatin receptor-positive lesions, an increased extent of disease on somatostatin receptor (SSTR) PET/CT, or new or increased 18F-FDG uptake, particularly in higher-grade tumours where this may indicate more aggressive tumour biology or dedifferentiation.</w:t>
      </w:r>
    </w:p>
    <w:p w14:paraId="3273A847" w14:textId="266EAD28" w:rsidR="00D91B13" w:rsidRDefault="003B3EFB" w:rsidP="006D255D">
      <w:r>
        <w:lastRenderedPageBreak/>
        <w:fldChar w:fldCharType="begin"/>
      </w:r>
      <w:r>
        <w:instrText xml:space="preserve"> REF _Ref234336088 \h </w:instrText>
      </w:r>
      <w:r>
        <w:fldChar w:fldCharType="separate"/>
      </w:r>
      <w:r>
        <w:t xml:space="preserve">Figure </w:t>
      </w:r>
      <w:r w:rsidRPr="2DF52617">
        <w:rPr>
          <w:noProof/>
        </w:rPr>
        <w:t>4</w:t>
      </w:r>
      <w:r>
        <w:fldChar w:fldCharType="end"/>
      </w:r>
      <w:r>
        <w:t xml:space="preserve"> </w:t>
      </w:r>
      <w:r w:rsidR="00D91B13">
        <w:t xml:space="preserve">illustrates </w:t>
      </w:r>
      <w:r w:rsidR="00C51663">
        <w:t>the</w:t>
      </w:r>
      <w:r w:rsidR="00DE2E1A">
        <w:t xml:space="preserve"> proposed</w:t>
      </w:r>
      <w:r w:rsidR="00C51663">
        <w:t xml:space="preserve"> clinical management algorithm</w:t>
      </w:r>
      <w:r w:rsidR="004922F1">
        <w:t xml:space="preserve"> for monitoring patients with NENs when</w:t>
      </w:r>
      <w:r w:rsidR="00C51663">
        <w:t xml:space="preserve"> </w:t>
      </w:r>
      <w:r w:rsidR="00242A88">
        <w:t>incorporating</w:t>
      </w:r>
      <w:r w:rsidR="00D91B13">
        <w:t xml:space="preserve"> </w:t>
      </w:r>
      <w:proofErr w:type="spellStart"/>
      <w:r>
        <w:t>CgA</w:t>
      </w:r>
      <w:proofErr w:type="spellEnd"/>
      <w:r>
        <w:t xml:space="preserve"> monitoring. A</w:t>
      </w:r>
      <w:r w:rsidR="00D91B13">
        <w:t xml:space="preserve">ll </w:t>
      </w:r>
      <w:r>
        <w:t xml:space="preserve">patients </w:t>
      </w:r>
      <w:r w:rsidR="00D91B13">
        <w:t xml:space="preserve">diagnosed with </w:t>
      </w:r>
      <w:r>
        <w:t>metastatic or advanced NEN</w:t>
      </w:r>
      <w:r w:rsidR="00D91B13">
        <w:t xml:space="preserve"> </w:t>
      </w:r>
      <w:r>
        <w:t>w</w:t>
      </w:r>
      <w:r w:rsidR="00D91B13">
        <w:t xml:space="preserve">ould undergo </w:t>
      </w:r>
      <w:r>
        <w:t xml:space="preserve">serial serum </w:t>
      </w:r>
      <w:proofErr w:type="spellStart"/>
      <w:r>
        <w:t>CgA</w:t>
      </w:r>
      <w:proofErr w:type="spellEnd"/>
      <w:r>
        <w:t xml:space="preserve"> surveillance. For patients with a rising </w:t>
      </w:r>
      <w:proofErr w:type="spellStart"/>
      <w:r>
        <w:t>CgA</w:t>
      </w:r>
      <w:proofErr w:type="spellEnd"/>
      <w:r>
        <w:t xml:space="preserve"> (50% above baseline) </w:t>
      </w:r>
      <w:r w:rsidR="00B80C97">
        <w:t xml:space="preserve">they would be considered to have evidence of relapse or progression and advance to </w:t>
      </w:r>
      <w:r w:rsidR="006D255D">
        <w:t xml:space="preserve">more intensive investigation and treatment. </w:t>
      </w:r>
    </w:p>
    <w:p w14:paraId="0F245C1E" w14:textId="7D4A7BB0" w:rsidR="007572BF" w:rsidRPr="006428B8" w:rsidRDefault="007572BF" w:rsidP="006D255D">
      <w:r>
        <w:rPr>
          <w:noProof/>
        </w:rPr>
        <w:drawing>
          <wp:inline distT="0" distB="0" distL="0" distR="0" wp14:anchorId="7F87C469" wp14:editId="7DFCCD8E">
            <wp:extent cx="4701806" cy="7042768"/>
            <wp:effectExtent l="0" t="0" r="3810" b="6350"/>
            <wp:docPr id="1237844313" name="Picture 8" descr="Figure 4 illustrates the clinical management algorithm for monitoring patients with NENs when incorporating CgA monitoring. All patients diagnosed with metastatic or advanced NEN would undergo serial serum CgA surveillance. For patients with a rising CgA (50% above baseline) they would be considered to have evidence of relapse or progression and advance to more intensive investigation and treat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844313" name="Picture 8" descr="Figure 4 illustrates the clinical management algorithm for monitoring patients with NENs when incorporating CgA monitoring. All patients diagnosed with metastatic or advanced NEN would undergo serial serum CgA surveillance. For patients with a rising CgA (50% above baseline) they would be considered to have evidence of relapse or progression and advance to more intensive investigation and treatment.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10651" cy="7056017"/>
                    </a:xfrm>
                    <a:prstGeom prst="rect">
                      <a:avLst/>
                    </a:prstGeom>
                    <a:noFill/>
                  </pic:spPr>
                </pic:pic>
              </a:graphicData>
            </a:graphic>
          </wp:inline>
        </w:drawing>
      </w:r>
    </w:p>
    <w:p w14:paraId="25A3C472" w14:textId="77777777" w:rsidR="0024600F" w:rsidRDefault="00D91B13" w:rsidP="0024600F">
      <w:pPr>
        <w:pStyle w:val="Caption"/>
      </w:pPr>
      <w:bookmarkStart w:id="7" w:name="_Ref234336088"/>
      <w:r>
        <w:lastRenderedPageBreak/>
        <w:t xml:space="preserve">Figure </w:t>
      </w:r>
      <w:r>
        <w:fldChar w:fldCharType="begin"/>
      </w:r>
      <w:r>
        <w:instrText xml:space="preserve"> SEQ Figure \* ARABIC </w:instrText>
      </w:r>
      <w:r>
        <w:fldChar w:fldCharType="separate"/>
      </w:r>
      <w:r>
        <w:rPr>
          <w:noProof/>
        </w:rPr>
        <w:t>4</w:t>
      </w:r>
      <w:r>
        <w:fldChar w:fldCharType="end"/>
      </w:r>
      <w:bookmarkEnd w:id="7"/>
      <w:r>
        <w:t xml:space="preserve"> </w:t>
      </w:r>
      <w:r w:rsidR="0024600F">
        <w:t>Proposed</w:t>
      </w:r>
      <w:r w:rsidR="0024600F" w:rsidRPr="003C44FA">
        <w:t xml:space="preserve"> clinical management algorithm of patients with metastatic or advanced NEN, with </w:t>
      </w:r>
      <w:proofErr w:type="spellStart"/>
      <w:r w:rsidR="0024600F" w:rsidRPr="003C44FA">
        <w:t>C</w:t>
      </w:r>
      <w:r w:rsidR="0024600F">
        <w:t>g</w:t>
      </w:r>
      <w:r w:rsidR="0024600F" w:rsidRPr="003C44FA">
        <w:t>A</w:t>
      </w:r>
      <w:proofErr w:type="spellEnd"/>
      <w:r w:rsidR="0024600F" w:rsidRPr="003C44FA">
        <w:t xml:space="preserve"> monitoring</w:t>
      </w:r>
      <w:r w:rsidR="0024600F">
        <w:t xml:space="preserve"> as proposed by the applicant and modified by PASC</w:t>
      </w:r>
      <w:r w:rsidR="0024600F" w:rsidRPr="003C44FA">
        <w:t>. [7]</w:t>
      </w:r>
    </w:p>
    <w:p w14:paraId="16B403DC" w14:textId="1E46DA64" w:rsidR="0024600F" w:rsidRDefault="0024600F" w:rsidP="0024600F">
      <w:pPr>
        <w:pStyle w:val="Tablenotes"/>
        <w:rPr>
          <w:lang w:val="en-GB" w:eastAsia="ja-JP"/>
        </w:rPr>
      </w:pPr>
      <w:proofErr w:type="spellStart"/>
      <w:r>
        <w:rPr>
          <w:lang w:val="en-GB" w:eastAsia="ja-JP"/>
        </w:rPr>
        <w:t>CgA</w:t>
      </w:r>
      <w:proofErr w:type="spellEnd"/>
      <w:r>
        <w:rPr>
          <w:lang w:val="en-GB" w:eastAsia="ja-JP"/>
        </w:rPr>
        <w:t xml:space="preserve"> = </w:t>
      </w:r>
      <w:r w:rsidRPr="00755E3C">
        <w:rPr>
          <w:lang w:val="en-GB" w:eastAsia="ja-JP"/>
        </w:rPr>
        <w:t>Chromogranin A</w:t>
      </w:r>
      <w:r>
        <w:rPr>
          <w:lang w:val="en-GB" w:eastAsia="ja-JP"/>
        </w:rPr>
        <w:t>; CT = c</w:t>
      </w:r>
      <w:r w:rsidRPr="004F7607">
        <w:rPr>
          <w:lang w:val="en-GB" w:eastAsia="ja-JP"/>
        </w:rPr>
        <w:t xml:space="preserve">omputed </w:t>
      </w:r>
      <w:r>
        <w:rPr>
          <w:lang w:val="en-GB" w:eastAsia="ja-JP"/>
        </w:rPr>
        <w:t>t</w:t>
      </w:r>
      <w:r w:rsidRPr="004F7607">
        <w:rPr>
          <w:lang w:val="en-GB" w:eastAsia="ja-JP"/>
        </w:rPr>
        <w:t>omography</w:t>
      </w:r>
      <w:r>
        <w:rPr>
          <w:lang w:val="en-GB" w:eastAsia="ja-JP"/>
        </w:rPr>
        <w:t>; CXR = c</w:t>
      </w:r>
      <w:r w:rsidRPr="008B47A6">
        <w:rPr>
          <w:lang w:val="en-GB" w:eastAsia="ja-JP"/>
        </w:rPr>
        <w:t xml:space="preserve">hest </w:t>
      </w:r>
      <w:r w:rsidR="00AD4293">
        <w:rPr>
          <w:lang w:val="en-GB" w:eastAsia="ja-JP"/>
        </w:rPr>
        <w:t>X</w:t>
      </w:r>
      <w:r w:rsidRPr="008B47A6">
        <w:rPr>
          <w:lang w:val="en-GB" w:eastAsia="ja-JP"/>
        </w:rPr>
        <w:t>-</w:t>
      </w:r>
      <w:r w:rsidR="00AD4293">
        <w:rPr>
          <w:lang w:val="en-GB" w:eastAsia="ja-JP"/>
        </w:rPr>
        <w:t>r</w:t>
      </w:r>
      <w:r w:rsidRPr="008B47A6">
        <w:rPr>
          <w:lang w:val="en-GB" w:eastAsia="ja-JP"/>
        </w:rPr>
        <w:t>a</w:t>
      </w:r>
      <w:r>
        <w:rPr>
          <w:lang w:val="en-GB" w:eastAsia="ja-JP"/>
        </w:rPr>
        <w:t>y; MIRI = m</w:t>
      </w:r>
      <w:r w:rsidRPr="007A0F8E">
        <w:rPr>
          <w:lang w:val="en-GB" w:eastAsia="ja-JP"/>
        </w:rPr>
        <w:t xml:space="preserve">agnetic </w:t>
      </w:r>
      <w:r>
        <w:rPr>
          <w:lang w:val="en-GB" w:eastAsia="ja-JP"/>
        </w:rPr>
        <w:t>r</w:t>
      </w:r>
      <w:r w:rsidRPr="007A0F8E">
        <w:rPr>
          <w:lang w:val="en-GB" w:eastAsia="ja-JP"/>
        </w:rPr>
        <w:t xml:space="preserve">esonance </w:t>
      </w:r>
      <w:r>
        <w:rPr>
          <w:lang w:val="en-GB" w:eastAsia="ja-JP"/>
        </w:rPr>
        <w:t>i</w:t>
      </w:r>
      <w:r w:rsidRPr="007A0F8E">
        <w:rPr>
          <w:lang w:val="en-GB" w:eastAsia="ja-JP"/>
        </w:rPr>
        <w:t>maging</w:t>
      </w:r>
      <w:r>
        <w:rPr>
          <w:lang w:val="en-GB" w:eastAsia="ja-JP"/>
        </w:rPr>
        <w:t>; NEN = neuroendocrine neoplasm; PET = p</w:t>
      </w:r>
      <w:r w:rsidRPr="00755E3C">
        <w:rPr>
          <w:lang w:val="en-GB" w:eastAsia="ja-JP"/>
        </w:rPr>
        <w:t xml:space="preserve">ositron </w:t>
      </w:r>
      <w:r>
        <w:rPr>
          <w:lang w:val="en-GB" w:eastAsia="ja-JP"/>
        </w:rPr>
        <w:t>e</w:t>
      </w:r>
      <w:r w:rsidRPr="00755E3C">
        <w:rPr>
          <w:lang w:val="en-GB" w:eastAsia="ja-JP"/>
        </w:rPr>
        <w:t xml:space="preserve">mission </w:t>
      </w:r>
      <w:r>
        <w:rPr>
          <w:lang w:val="en-GB" w:eastAsia="ja-JP"/>
        </w:rPr>
        <w:t>t</w:t>
      </w:r>
      <w:r w:rsidRPr="00755E3C">
        <w:rPr>
          <w:lang w:val="en-GB" w:eastAsia="ja-JP"/>
        </w:rPr>
        <w:t>omography</w:t>
      </w:r>
      <w:r>
        <w:rPr>
          <w:lang w:val="en-GB" w:eastAsia="ja-JP"/>
        </w:rPr>
        <w:t>.</w:t>
      </w:r>
    </w:p>
    <w:p w14:paraId="1304DC7A" w14:textId="77777777" w:rsidR="0024600F" w:rsidRPr="003C1DAB" w:rsidRDefault="0024600F" w:rsidP="00455BF7">
      <w:pPr>
        <w:pStyle w:val="Tablenotes"/>
        <w:spacing w:after="0"/>
      </w:pPr>
      <w:proofErr w:type="spellStart"/>
      <w:r w:rsidRPr="003C1DAB">
        <w:rPr>
          <w:vertAlign w:val="superscript"/>
        </w:rPr>
        <w:t>a</w:t>
      </w:r>
      <w:proofErr w:type="spellEnd"/>
      <w:r w:rsidRPr="003C1DAB">
        <w:t xml:space="preserve"> On CT or MRI, progression is typically assessed using RECIST 1.1 criteria and may be defined by </w:t>
      </w:r>
      <w:r w:rsidRPr="003C1DAB">
        <w:fldChar w:fldCharType="begin"/>
      </w:r>
      <w:r w:rsidRPr="003C1DAB">
        <w:instrText xml:space="preserve"> ADDIN EN.CITE &lt;EndNote&gt;&lt;Cite&gt;&lt;Author&gt;Tareco Bucho&lt;/Author&gt;&lt;Year&gt;2025&lt;/Year&gt;&lt;RecNum&gt;21&lt;/RecNum&gt;&lt;DisplayText&gt;(Tareco Bucho, Pascucci et al. 2025)&lt;/DisplayText&gt;&lt;record&gt;&lt;rec-number&gt;21&lt;/rec-number&gt;&lt;foreign-keys&gt;&lt;key app="EN" db-id="et0tvv0vcezr9neew2av9ppvfs25wf5sd0pd" timestamp="1784278508"&gt;21&lt;/key&gt;&lt;/foreign-keys&gt;&lt;ref-type name="Journal Article"&gt;17&lt;/ref-type&gt;&lt;contributors&gt;&lt;authors&gt;&lt;author&gt;Tareco Bucho, Teresa M.&lt;/author&gt;&lt;author&gt;Pascucci, Luca&lt;/author&gt;&lt;author&gt;Mancò, Giovanni&lt;/author&gt;&lt;author&gt;Taraschi, Alessio&lt;/author&gt;&lt;author&gt;Macchia, Maria Claudia&lt;/author&gt;&lt;author&gt;Tinari, Nicola&lt;/author&gt;&lt;author&gt;Brocco, Davide&lt;/author&gt;&lt;author&gt;Beets-Tan, Regina G. H.&lt;/author&gt;&lt;author&gt;Pizzi, Andrea Delli&lt;/author&gt;&lt;author&gt;Trebeschi, Stefano&lt;/author&gt;&lt;/authors&gt;&lt;/contributors&gt;&lt;titles&gt;&lt;title&gt;RECIST progression: Patterns among target, non-target, non-measurable and new lesions progression&lt;/title&gt;&lt;secondary-title&gt;European Journal of Radiology&lt;/secondary-title&gt;&lt;/titles&gt;&lt;periodical&gt;&lt;full-title&gt;European Journal of Radiology&lt;/full-title&gt;&lt;/periodical&gt;&lt;volume&gt;186&lt;/volume&gt;&lt;dates&gt;&lt;year&gt;2025&lt;/year&gt;&lt;/dates&gt;&lt;publisher&gt;Elsevier&lt;/publisher&gt;&lt;isbn&gt;0720-048X&lt;/isbn&gt;&lt;urls&gt;&lt;related-urls&gt;&lt;url&gt;https://doi.org/10.1016/j.ejrad.2025.112038&lt;/url&gt;&lt;/related-urls&gt;&lt;/urls&gt;&lt;electronic-resource-num&gt;10.1016/j.ejrad.2025.112038&lt;/electronic-resource-num&gt;&lt;access-date&gt;2026/07/17&lt;/access-date&gt;&lt;/record&gt;&lt;/Cite&gt;&lt;/EndNote&gt;</w:instrText>
      </w:r>
      <w:r w:rsidRPr="003C1DAB">
        <w:fldChar w:fldCharType="separate"/>
      </w:r>
      <w:r w:rsidRPr="003C1DAB">
        <w:rPr>
          <w:noProof/>
        </w:rPr>
        <w:t>(Tareco Bucho, Pascucci et al. 2025)</w:t>
      </w:r>
      <w:r w:rsidRPr="003C1DAB">
        <w:fldChar w:fldCharType="end"/>
      </w:r>
      <w:r w:rsidRPr="003C1DAB">
        <w:t>:</w:t>
      </w:r>
    </w:p>
    <w:p w14:paraId="3C8AE7B9" w14:textId="77777777" w:rsidR="0024600F" w:rsidRPr="001A2C5C" w:rsidRDefault="0024600F" w:rsidP="00455BF7">
      <w:pPr>
        <w:pStyle w:val="Tablenotes"/>
        <w:numPr>
          <w:ilvl w:val="0"/>
          <w:numId w:val="34"/>
        </w:numPr>
        <w:spacing w:after="0"/>
      </w:pPr>
      <w:r w:rsidRPr="001A2C5C">
        <w:t xml:space="preserve">A ≥20% increase in the sum of diameters of target lesions (with a minimum absolute increase of 5 mm). </w:t>
      </w:r>
    </w:p>
    <w:p w14:paraId="37E86EE9" w14:textId="77777777" w:rsidR="0024600F" w:rsidRPr="001A2C5C" w:rsidRDefault="0024600F" w:rsidP="00455BF7">
      <w:pPr>
        <w:pStyle w:val="Tablenotes"/>
        <w:numPr>
          <w:ilvl w:val="0"/>
          <w:numId w:val="34"/>
        </w:numPr>
        <w:spacing w:after="0"/>
      </w:pPr>
      <w:r w:rsidRPr="001A2C5C">
        <w:t xml:space="preserve">The appearance of one or more new lesions. </w:t>
      </w:r>
    </w:p>
    <w:p w14:paraId="6AF3BE27" w14:textId="77777777" w:rsidR="0024600F" w:rsidRPr="001A2C5C" w:rsidRDefault="0024600F" w:rsidP="00455BF7">
      <w:pPr>
        <w:pStyle w:val="Tablenotes"/>
      </w:pPr>
      <w:r w:rsidRPr="001A2C5C">
        <w:t>Unequivocal progression of non-target lesions.</w:t>
      </w:r>
    </w:p>
    <w:p w14:paraId="23D2D262" w14:textId="77777777" w:rsidR="0024600F" w:rsidRDefault="0024600F" w:rsidP="0024600F">
      <w:pPr>
        <w:pStyle w:val="Tablenotes"/>
      </w:pPr>
      <w:r w:rsidRPr="00A53865">
        <w:rPr>
          <w:vertAlign w:val="superscript"/>
        </w:rPr>
        <w:t xml:space="preserve">b </w:t>
      </w:r>
      <w:r>
        <w:t>W</w:t>
      </w:r>
      <w:r w:rsidRPr="00D01668">
        <w:t>hether imaging is triggered or not depends on individual patient characteristics</w:t>
      </w:r>
    </w:p>
    <w:p w14:paraId="69DDC8F3" w14:textId="77777777" w:rsidR="0024600F" w:rsidRPr="008D6801" w:rsidRDefault="0024600F" w:rsidP="0024600F">
      <w:pPr>
        <w:pStyle w:val="Tablenotes"/>
      </w:pPr>
      <w:r>
        <w:rPr>
          <w:vertAlign w:val="superscript"/>
        </w:rPr>
        <w:t xml:space="preserve">c </w:t>
      </w:r>
      <w:r>
        <w:t>s</w:t>
      </w:r>
      <w:r w:rsidRPr="008D6801">
        <w:t>uspicion of progression may arise from the development of new symptoms or worsening existing symptoms, including carcinoid syndrome manifestations, pain, weight loss, declining performance status, bowel obstruction, ascites, or other tumour-related complications.</w:t>
      </w:r>
    </w:p>
    <w:p w14:paraId="7C72F9D3" w14:textId="77777777" w:rsidR="0024600F" w:rsidRPr="008D6801" w:rsidRDefault="0024600F" w:rsidP="0024600F">
      <w:pPr>
        <w:pStyle w:val="Tablenotes"/>
      </w:pPr>
      <w:r>
        <w:rPr>
          <w:vertAlign w:val="superscript"/>
        </w:rPr>
        <w:t xml:space="preserve">d </w:t>
      </w:r>
      <w:r>
        <w:t>o</w:t>
      </w:r>
      <w:r w:rsidRPr="008D6801">
        <w:t>n CT or MRI, disease progression is typically assessed using RECIST 1.1 criteria and is defined by a ≥20% increase in the sum of target lesion diameters (with a minimum absolute increase of 5 mm), the appearance of one or more new lesions, or unequivocal progression of non-target lesions.</w:t>
      </w:r>
    </w:p>
    <w:p w14:paraId="61E714E7" w14:textId="77777777" w:rsidR="0024600F" w:rsidRDefault="0024600F" w:rsidP="0024600F">
      <w:pPr>
        <w:pStyle w:val="Tablenotes"/>
      </w:pPr>
      <w:r>
        <w:rPr>
          <w:vertAlign w:val="superscript"/>
        </w:rPr>
        <w:t xml:space="preserve">e </w:t>
      </w:r>
      <w:r w:rsidRPr="008D6801">
        <w:t xml:space="preserve">progression suggested by the appearance of new somatostatin receptor-positive lesions, an increased extent of disease on somatostatin receptor (SSTR) PET/CT, or new or increased </w:t>
      </w:r>
      <w:r w:rsidRPr="00135C6C">
        <w:rPr>
          <w:vertAlign w:val="superscript"/>
        </w:rPr>
        <w:t>18</w:t>
      </w:r>
      <w:r w:rsidRPr="008D6801">
        <w:t>F-FDG uptake, particularly in higher-grade tumours where this may indicate more aggressive tumour biology or dedifferentiation.</w:t>
      </w:r>
    </w:p>
    <w:p w14:paraId="1A9F2C08" w14:textId="7919C87E" w:rsidR="00811F74" w:rsidRPr="00CF5D06" w:rsidRDefault="00811F74" w:rsidP="007F080D">
      <w:pPr>
        <w:pStyle w:val="Caption"/>
        <w:ind w:left="0" w:firstLine="0"/>
        <w:jc w:val="both"/>
        <w:rPr>
          <w:rFonts w:asciiTheme="minorHAnsi" w:hAnsiTheme="minorHAnsi" w:cstheme="minorHAnsi"/>
          <w:b w:val="0"/>
          <w:bCs/>
          <w:i/>
          <w:sz w:val="22"/>
          <w:szCs w:val="22"/>
        </w:rPr>
      </w:pPr>
      <w:r w:rsidRPr="00CF5D06">
        <w:rPr>
          <w:rFonts w:asciiTheme="minorHAnsi" w:hAnsiTheme="minorHAnsi" w:cstheme="minorHAnsi"/>
          <w:b w:val="0"/>
          <w:bCs/>
          <w:i/>
          <w:sz w:val="22"/>
          <w:szCs w:val="22"/>
        </w:rPr>
        <w:t xml:space="preserve">PASC considered that the proposed clinical management algorithm required further clarification to show how serial </w:t>
      </w:r>
      <w:proofErr w:type="spellStart"/>
      <w:r w:rsidRPr="00CF5D06">
        <w:rPr>
          <w:rFonts w:asciiTheme="minorHAnsi" w:hAnsiTheme="minorHAnsi" w:cstheme="minorHAnsi"/>
          <w:b w:val="0"/>
          <w:bCs/>
          <w:i/>
          <w:sz w:val="22"/>
          <w:szCs w:val="22"/>
        </w:rPr>
        <w:t>CgA</w:t>
      </w:r>
      <w:proofErr w:type="spellEnd"/>
      <w:r w:rsidRPr="00CF5D06">
        <w:rPr>
          <w:rFonts w:asciiTheme="minorHAnsi" w:hAnsiTheme="minorHAnsi" w:cstheme="minorHAnsi"/>
          <w:b w:val="0"/>
          <w:bCs/>
          <w:i/>
          <w:sz w:val="22"/>
          <w:szCs w:val="22"/>
        </w:rPr>
        <w:t xml:space="preserve"> monitoring would be incorporated into the current standard-care monitoring pathway.</w:t>
      </w:r>
    </w:p>
    <w:p w14:paraId="4CDFDFA7" w14:textId="099DA05A" w:rsidR="004B1122" w:rsidRDefault="00FF1B3D" w:rsidP="6C2537F6">
      <w:pPr>
        <w:spacing w:line="23" w:lineRule="atLeast"/>
        <w:rPr>
          <w:rFonts w:asciiTheme="minorHAnsi" w:hAnsiTheme="minorHAnsi" w:cstheme="minorBidi"/>
          <w:i/>
          <w:iCs/>
        </w:rPr>
      </w:pPr>
      <w:r w:rsidRPr="6C2537F6">
        <w:rPr>
          <w:rFonts w:asciiTheme="minorHAnsi" w:hAnsiTheme="minorHAnsi" w:cstheme="minorBidi"/>
          <w:i/>
          <w:iCs/>
        </w:rPr>
        <w:t xml:space="preserve">PASC considered that the proposed clinical management algorithm should be revised to clearly demonstrate how </w:t>
      </w:r>
      <w:proofErr w:type="spellStart"/>
      <w:r w:rsidRPr="6C2537F6">
        <w:rPr>
          <w:rFonts w:asciiTheme="minorHAnsi" w:hAnsiTheme="minorHAnsi" w:cstheme="minorBidi"/>
          <w:i/>
          <w:iCs/>
        </w:rPr>
        <w:t>CgA</w:t>
      </w:r>
      <w:proofErr w:type="spellEnd"/>
      <w:r w:rsidRPr="6C2537F6">
        <w:rPr>
          <w:rFonts w:asciiTheme="minorHAnsi" w:hAnsiTheme="minorHAnsi" w:cstheme="minorBidi"/>
          <w:i/>
          <w:iCs/>
        </w:rPr>
        <w:t xml:space="preserve"> results would inform clinical management decisions</w:t>
      </w:r>
      <w:r w:rsidR="00C00718" w:rsidRPr="6C2537F6">
        <w:rPr>
          <w:rFonts w:asciiTheme="minorHAnsi" w:hAnsiTheme="minorHAnsi" w:cstheme="minorBidi"/>
          <w:i/>
          <w:iCs/>
        </w:rPr>
        <w:t xml:space="preserve">, </w:t>
      </w:r>
      <w:r w:rsidR="062D27C9" w:rsidRPr="6C2537F6">
        <w:rPr>
          <w:rFonts w:asciiTheme="minorHAnsi" w:hAnsiTheme="minorHAnsi" w:cstheme="minorBidi"/>
          <w:i/>
          <w:iCs/>
        </w:rPr>
        <w:t xml:space="preserve">and that this would need to occur subsequent to resolution of  issues regarding the </w:t>
      </w:r>
      <w:r w:rsidR="00C00718" w:rsidRPr="6C2537F6">
        <w:rPr>
          <w:rFonts w:asciiTheme="minorHAnsi" w:hAnsiTheme="minorHAnsi" w:cstheme="minorBidi"/>
          <w:i/>
          <w:iCs/>
        </w:rPr>
        <w:t xml:space="preserve">population, intervention, comparator and clinical place of </w:t>
      </w:r>
      <w:proofErr w:type="spellStart"/>
      <w:r w:rsidR="00C00718" w:rsidRPr="6C2537F6">
        <w:rPr>
          <w:rFonts w:asciiTheme="minorHAnsi" w:hAnsiTheme="minorHAnsi" w:cstheme="minorBidi"/>
          <w:i/>
          <w:iCs/>
        </w:rPr>
        <w:t>CgA</w:t>
      </w:r>
      <w:proofErr w:type="spellEnd"/>
      <w:r w:rsidR="00C00718" w:rsidRPr="6C2537F6">
        <w:rPr>
          <w:rFonts w:asciiTheme="minorHAnsi" w:hAnsiTheme="minorHAnsi" w:cstheme="minorBidi"/>
          <w:i/>
          <w:iCs/>
        </w:rPr>
        <w:t xml:space="preserve"> monitoring (discussed earlier)</w:t>
      </w:r>
      <w:r w:rsidR="00242B2C" w:rsidRPr="6C2537F6">
        <w:rPr>
          <w:rFonts w:asciiTheme="minorHAnsi" w:hAnsiTheme="minorHAnsi" w:cstheme="minorBidi"/>
          <w:i/>
          <w:iCs/>
        </w:rPr>
        <w:t>.</w:t>
      </w:r>
      <w:r w:rsidR="0065622B" w:rsidRPr="6C2537F6">
        <w:rPr>
          <w:rFonts w:asciiTheme="minorHAnsi" w:hAnsiTheme="minorHAnsi" w:cstheme="minorBidi"/>
          <w:i/>
          <w:iCs/>
        </w:rPr>
        <w:t xml:space="preserve"> </w:t>
      </w:r>
      <w:r w:rsidR="00982111" w:rsidRPr="6C2537F6">
        <w:rPr>
          <w:i/>
          <w:iCs/>
        </w:rPr>
        <w:t>PASC considered that the revised clinical management algorithm should</w:t>
      </w:r>
      <w:r w:rsidR="004B1122" w:rsidRPr="6C2537F6">
        <w:rPr>
          <w:rFonts w:asciiTheme="minorHAnsi" w:hAnsiTheme="minorHAnsi" w:cstheme="minorBidi"/>
          <w:i/>
          <w:iCs/>
        </w:rPr>
        <w:t xml:space="preserve">: </w:t>
      </w:r>
    </w:p>
    <w:p w14:paraId="587E3B14" w14:textId="5362A216" w:rsidR="008360F2" w:rsidRDefault="006B5380" w:rsidP="004B1122">
      <w:pPr>
        <w:pStyle w:val="ListParagraph"/>
        <w:numPr>
          <w:ilvl w:val="0"/>
          <w:numId w:val="35"/>
        </w:numPr>
        <w:autoSpaceDE w:val="0"/>
        <w:autoSpaceDN w:val="0"/>
        <w:adjustRightInd w:val="0"/>
        <w:spacing w:line="23" w:lineRule="atLeast"/>
        <w:rPr>
          <w:rFonts w:asciiTheme="minorHAnsi" w:hAnsiTheme="minorHAnsi" w:cstheme="minorHAnsi"/>
          <w:i/>
          <w:szCs w:val="20"/>
        </w:rPr>
      </w:pPr>
      <w:r>
        <w:rPr>
          <w:rFonts w:asciiTheme="minorHAnsi" w:hAnsiTheme="minorHAnsi" w:cstheme="minorHAnsi"/>
          <w:i/>
          <w:szCs w:val="20"/>
        </w:rPr>
        <w:t>c</w:t>
      </w:r>
      <w:r w:rsidR="008360F2" w:rsidRPr="008360F2">
        <w:rPr>
          <w:rFonts w:asciiTheme="minorHAnsi" w:hAnsiTheme="minorHAnsi" w:cstheme="minorHAnsi"/>
          <w:i/>
          <w:szCs w:val="20"/>
        </w:rPr>
        <w:t xml:space="preserve">learly distinguish the current and proposed pathways </w:t>
      </w:r>
    </w:p>
    <w:p w14:paraId="1EA2FF1A" w14:textId="7C76CCDA" w:rsidR="00F82725" w:rsidRDefault="006B5380" w:rsidP="004B1122">
      <w:pPr>
        <w:pStyle w:val="ListParagraph"/>
        <w:numPr>
          <w:ilvl w:val="0"/>
          <w:numId w:val="35"/>
        </w:numPr>
        <w:autoSpaceDE w:val="0"/>
        <w:autoSpaceDN w:val="0"/>
        <w:adjustRightInd w:val="0"/>
        <w:spacing w:line="23" w:lineRule="atLeast"/>
        <w:rPr>
          <w:rFonts w:asciiTheme="minorHAnsi" w:hAnsiTheme="minorHAnsi" w:cstheme="minorHAnsi"/>
          <w:i/>
          <w:szCs w:val="20"/>
        </w:rPr>
      </w:pPr>
      <w:r>
        <w:rPr>
          <w:i/>
          <w:iCs/>
        </w:rPr>
        <w:t>r</w:t>
      </w:r>
      <w:r w:rsidR="00F82725" w:rsidRPr="002C4435">
        <w:rPr>
          <w:i/>
          <w:iCs/>
        </w:rPr>
        <w:t xml:space="preserve">eflect the intended role of </w:t>
      </w:r>
      <w:proofErr w:type="spellStart"/>
      <w:r w:rsidR="00F82725" w:rsidRPr="002C4435">
        <w:rPr>
          <w:i/>
          <w:iCs/>
        </w:rPr>
        <w:t>CgA</w:t>
      </w:r>
      <w:proofErr w:type="spellEnd"/>
      <w:r w:rsidR="00F82725" w:rsidRPr="002C4435">
        <w:rPr>
          <w:i/>
          <w:iCs/>
        </w:rPr>
        <w:t xml:space="preserve"> monitoring in relation to specialist review, scheduled imaging and further investigation</w:t>
      </w:r>
      <w:r w:rsidR="00F82725">
        <w:rPr>
          <w:i/>
          <w:iCs/>
        </w:rPr>
        <w:t xml:space="preserve"> (</w:t>
      </w:r>
      <w:r w:rsidR="00CB60C5">
        <w:rPr>
          <w:i/>
          <w:iCs/>
        </w:rPr>
        <w:t xml:space="preserve">i.e. </w:t>
      </w:r>
      <w:r w:rsidR="00F82725">
        <w:rPr>
          <w:i/>
          <w:iCs/>
        </w:rPr>
        <w:t xml:space="preserve">where it is in addition to </w:t>
      </w:r>
      <w:r w:rsidR="00CB60C5">
        <w:rPr>
          <w:i/>
          <w:iCs/>
        </w:rPr>
        <w:t>and/</w:t>
      </w:r>
      <w:r w:rsidR="00F82725">
        <w:rPr>
          <w:i/>
          <w:iCs/>
        </w:rPr>
        <w:t>or replaces</w:t>
      </w:r>
      <w:r w:rsidR="00CB60C5">
        <w:rPr>
          <w:i/>
          <w:iCs/>
        </w:rPr>
        <w:t>/reduces</w:t>
      </w:r>
      <w:r w:rsidR="00F82725">
        <w:rPr>
          <w:i/>
          <w:iCs/>
        </w:rPr>
        <w:t xml:space="preserve"> </w:t>
      </w:r>
      <w:r w:rsidR="00CB60C5">
        <w:rPr>
          <w:i/>
          <w:iCs/>
        </w:rPr>
        <w:t>imaging</w:t>
      </w:r>
      <w:r w:rsidR="00EF46E4">
        <w:rPr>
          <w:i/>
          <w:iCs/>
        </w:rPr>
        <w:t>)</w:t>
      </w:r>
      <w:r w:rsidR="00F82725" w:rsidRPr="00F82725" w:rsidDel="00F82725">
        <w:rPr>
          <w:rFonts w:asciiTheme="minorHAnsi" w:hAnsiTheme="minorHAnsi" w:cstheme="minorHAnsi"/>
          <w:i/>
          <w:szCs w:val="20"/>
        </w:rPr>
        <w:t xml:space="preserve"> </w:t>
      </w:r>
    </w:p>
    <w:p w14:paraId="7E125DDB" w14:textId="61CC9ED6" w:rsidR="004B1122" w:rsidRDefault="006B5380" w:rsidP="004B1122">
      <w:pPr>
        <w:pStyle w:val="ListParagraph"/>
        <w:numPr>
          <w:ilvl w:val="0"/>
          <w:numId w:val="35"/>
        </w:numPr>
        <w:autoSpaceDE w:val="0"/>
        <w:autoSpaceDN w:val="0"/>
        <w:adjustRightInd w:val="0"/>
        <w:spacing w:line="23" w:lineRule="atLeast"/>
        <w:rPr>
          <w:rFonts w:asciiTheme="minorHAnsi" w:hAnsiTheme="minorHAnsi" w:cstheme="minorHAnsi"/>
          <w:i/>
          <w:szCs w:val="20"/>
        </w:rPr>
      </w:pPr>
      <w:r>
        <w:rPr>
          <w:rFonts w:asciiTheme="minorHAnsi" w:hAnsiTheme="minorHAnsi" w:cstheme="minorHAnsi"/>
          <w:i/>
          <w:szCs w:val="20"/>
        </w:rPr>
        <w:t>d</w:t>
      </w:r>
      <w:r w:rsidR="00427DD2">
        <w:rPr>
          <w:rFonts w:asciiTheme="minorHAnsi" w:hAnsiTheme="minorHAnsi" w:cstheme="minorHAnsi"/>
          <w:i/>
          <w:szCs w:val="20"/>
        </w:rPr>
        <w:t xml:space="preserve">epict how </w:t>
      </w:r>
      <w:proofErr w:type="spellStart"/>
      <w:r w:rsidR="00427DD2">
        <w:rPr>
          <w:rFonts w:asciiTheme="minorHAnsi" w:hAnsiTheme="minorHAnsi" w:cstheme="minorHAnsi"/>
          <w:i/>
          <w:szCs w:val="20"/>
        </w:rPr>
        <w:t>CgA</w:t>
      </w:r>
      <w:proofErr w:type="spellEnd"/>
      <w:r w:rsidR="00427DD2">
        <w:rPr>
          <w:rFonts w:asciiTheme="minorHAnsi" w:hAnsiTheme="minorHAnsi" w:cstheme="minorHAnsi"/>
          <w:i/>
          <w:szCs w:val="20"/>
        </w:rPr>
        <w:t xml:space="preserve"> monitoring resul</w:t>
      </w:r>
      <w:r w:rsidR="00DD3B00">
        <w:rPr>
          <w:rFonts w:asciiTheme="minorHAnsi" w:hAnsiTheme="minorHAnsi" w:cstheme="minorHAnsi"/>
          <w:i/>
          <w:szCs w:val="20"/>
        </w:rPr>
        <w:t>ts lead to changes in patient manag</w:t>
      </w:r>
      <w:r w:rsidR="000E1358">
        <w:rPr>
          <w:rFonts w:asciiTheme="minorHAnsi" w:hAnsiTheme="minorHAnsi" w:cstheme="minorHAnsi"/>
          <w:i/>
          <w:szCs w:val="20"/>
        </w:rPr>
        <w:t>e</w:t>
      </w:r>
      <w:r w:rsidR="00DD3B00">
        <w:rPr>
          <w:rFonts w:asciiTheme="minorHAnsi" w:hAnsiTheme="minorHAnsi" w:cstheme="minorHAnsi"/>
          <w:i/>
          <w:szCs w:val="20"/>
        </w:rPr>
        <w:t>ment</w:t>
      </w:r>
    </w:p>
    <w:p w14:paraId="41B56DC0" w14:textId="01F654E2" w:rsidR="00811F74" w:rsidRPr="002E0F1F" w:rsidRDefault="006B5380" w:rsidP="002E0F1F">
      <w:pPr>
        <w:pStyle w:val="ListParagraph"/>
        <w:numPr>
          <w:ilvl w:val="0"/>
          <w:numId w:val="35"/>
        </w:numPr>
        <w:autoSpaceDE w:val="0"/>
        <w:autoSpaceDN w:val="0"/>
        <w:adjustRightInd w:val="0"/>
        <w:spacing w:line="23" w:lineRule="atLeast"/>
        <w:rPr>
          <w:rFonts w:asciiTheme="minorHAnsi" w:hAnsiTheme="minorHAnsi" w:cstheme="minorHAnsi"/>
          <w:i/>
          <w:szCs w:val="20"/>
        </w:rPr>
      </w:pPr>
      <w:r>
        <w:rPr>
          <w:rFonts w:asciiTheme="minorHAnsi" w:hAnsiTheme="minorHAnsi" w:cstheme="minorHAnsi"/>
          <w:i/>
          <w:szCs w:val="20"/>
        </w:rPr>
        <w:t>a</w:t>
      </w:r>
      <w:r w:rsidR="008360F2">
        <w:rPr>
          <w:rFonts w:asciiTheme="minorHAnsi" w:hAnsiTheme="minorHAnsi" w:cstheme="minorHAnsi"/>
          <w:i/>
          <w:szCs w:val="20"/>
        </w:rPr>
        <w:t xml:space="preserve">ddress </w:t>
      </w:r>
      <w:r w:rsidR="00811F74" w:rsidRPr="002E0F1F">
        <w:rPr>
          <w:rFonts w:asciiTheme="minorHAnsi" w:hAnsiTheme="minorHAnsi" w:cstheme="minorHAnsi"/>
          <w:i/>
          <w:szCs w:val="20"/>
        </w:rPr>
        <w:t>discordant results</w:t>
      </w:r>
      <w:r w:rsidR="000A4809">
        <w:rPr>
          <w:rFonts w:asciiTheme="minorHAnsi" w:hAnsiTheme="minorHAnsi" w:cstheme="minorHAnsi"/>
          <w:i/>
          <w:szCs w:val="20"/>
        </w:rPr>
        <w:t>.</w:t>
      </w:r>
      <w:r w:rsidR="00811F74" w:rsidRPr="002E0F1F">
        <w:rPr>
          <w:rFonts w:asciiTheme="minorHAnsi" w:hAnsiTheme="minorHAnsi" w:cstheme="minorHAnsi"/>
          <w:i/>
          <w:szCs w:val="20"/>
        </w:rPr>
        <w:t xml:space="preserve"> </w:t>
      </w:r>
    </w:p>
    <w:p w14:paraId="7D41FAF9" w14:textId="77777777" w:rsidR="00844686" w:rsidRDefault="00844686" w:rsidP="00844686">
      <w:pPr>
        <w:pStyle w:val="Heading2"/>
        <w:rPr>
          <w:b/>
          <w:bCs/>
          <w:i/>
        </w:rPr>
      </w:pPr>
      <w:r w:rsidRPr="00490FBB">
        <w:t>Proposed economic evaluation</w:t>
      </w:r>
    </w:p>
    <w:p w14:paraId="3FBAC4F3" w14:textId="7B6FA100" w:rsidR="0098134D" w:rsidRDefault="00A432AE" w:rsidP="00186733">
      <w:r>
        <w:t>The</w:t>
      </w:r>
      <w:r w:rsidR="00D03AEF">
        <w:t xml:space="preserve"> application </w:t>
      </w:r>
      <w:r w:rsidR="00186733" w:rsidRPr="00186733">
        <w:t>claim</w:t>
      </w:r>
      <w:r w:rsidR="00F808D1">
        <w:t>ed</w:t>
      </w:r>
      <w:r w:rsidR="00186733" w:rsidRPr="00186733">
        <w:t xml:space="preserve"> that serial </w:t>
      </w:r>
      <w:proofErr w:type="spellStart"/>
      <w:r w:rsidR="00186733" w:rsidRPr="00186733">
        <w:t>CgA</w:t>
      </w:r>
      <w:proofErr w:type="spellEnd"/>
      <w:r w:rsidR="00186733" w:rsidRPr="00186733">
        <w:t xml:space="preserve"> monitoring is superior to routine surveillance without </w:t>
      </w:r>
      <w:proofErr w:type="spellStart"/>
      <w:r w:rsidR="00186733" w:rsidRPr="00186733">
        <w:t>CgA</w:t>
      </w:r>
      <w:proofErr w:type="spellEnd"/>
      <w:r w:rsidR="00186733" w:rsidRPr="00186733">
        <w:t xml:space="preserve"> monitoring because it provides an additional longitudinal marker of disease activity that can identify progression or recurrence earlier and lead to earlier clinical intervention. </w:t>
      </w:r>
    </w:p>
    <w:p w14:paraId="4D8EBD20" w14:textId="6CD65352" w:rsidR="00856A24" w:rsidRDefault="00856A24" w:rsidP="00856A24">
      <w:r>
        <w:t xml:space="preserve">The evidence supporting serial </w:t>
      </w:r>
      <w:proofErr w:type="spellStart"/>
      <w:r>
        <w:t>CgA</w:t>
      </w:r>
      <w:proofErr w:type="spellEnd"/>
      <w:r>
        <w:t xml:space="preserve"> monitoring in patients with NENs is limited and is predominantly restricted to studies of biomarker performance rather than studies demonstrating clinical utility. Preliminary literature searches have identified evidence evaluating the diagnostic and prognostic characteristics of </w:t>
      </w:r>
      <w:proofErr w:type="spellStart"/>
      <w:r>
        <w:t>CgA</w:t>
      </w:r>
      <w:proofErr w:type="spellEnd"/>
      <w:r>
        <w:t xml:space="preserve">; however, these studies also report significant limitations in sensitivity and specificity, with performance varying across tumour subtypes and clinical settings. </w:t>
      </w:r>
    </w:p>
    <w:p w14:paraId="5B97DAC2" w14:textId="1A972F92" w:rsidR="00856A24" w:rsidRDefault="00856A24" w:rsidP="00856A24">
      <w:r>
        <w:t xml:space="preserve">Importantly, there is a notable lack of direct evidence demonstrating that routine serial </w:t>
      </w:r>
      <w:proofErr w:type="spellStart"/>
      <w:r>
        <w:t>CgA</w:t>
      </w:r>
      <w:proofErr w:type="spellEnd"/>
      <w:r>
        <w:t xml:space="preserve"> monitoring leads to meaningful changes in clinical management or improvements in patient outcomes. Although </w:t>
      </w:r>
      <w:proofErr w:type="spellStart"/>
      <w:r>
        <w:t>CgA</w:t>
      </w:r>
      <w:proofErr w:type="spellEnd"/>
      <w:r>
        <w:t xml:space="preserve"> results may be used in practice to prompt additional investigations or closer follow-up, preliminary searches have not identified robust evidence showing that serial </w:t>
      </w:r>
      <w:proofErr w:type="spellStart"/>
      <w:r>
        <w:t>CgA</w:t>
      </w:r>
      <w:proofErr w:type="spellEnd"/>
      <w:r>
        <w:t xml:space="preserve"> monitoring improves the detection of disease progression, influences treatment decisions, reduces the need for imaging, or improves survival, </w:t>
      </w:r>
      <w:r>
        <w:lastRenderedPageBreak/>
        <w:t xml:space="preserve">quality of life, or other patient-relevant outcomes compared with standard surveillance based on clinical assessment and imaging. </w:t>
      </w:r>
    </w:p>
    <w:p w14:paraId="622B3132" w14:textId="36F8A716" w:rsidR="00856A24" w:rsidRDefault="00856A24" w:rsidP="00856A24">
      <w:r>
        <w:t xml:space="preserve">There also appears to be limited evidence regarding the impact of serial </w:t>
      </w:r>
      <w:proofErr w:type="spellStart"/>
      <w:r>
        <w:t>CgA</w:t>
      </w:r>
      <w:proofErr w:type="spellEnd"/>
      <w:r>
        <w:t xml:space="preserve"> monitoring on healthcare resource use and costs. In particular, preliminary searches have not identified studies demonstrating that </w:t>
      </w:r>
      <w:proofErr w:type="spellStart"/>
      <w:r>
        <w:t>CgA</w:t>
      </w:r>
      <w:proofErr w:type="spellEnd"/>
      <w:r>
        <w:t xml:space="preserve">-guided monitoring safely reduces the frequency of imaging, avoids other healthcare interventions, or represents a cost-effective alternative to existing surveillance strategies. As a result, there is currently little direct evidence to support an economic evaluation based on observed differences in resource utilisation or health outcomes. </w:t>
      </w:r>
    </w:p>
    <w:p w14:paraId="1ED39B43" w14:textId="49647849" w:rsidR="00856A24" w:rsidRPr="00DE762F" w:rsidRDefault="00856A24" w:rsidP="00856A24">
      <w:r>
        <w:t xml:space="preserve">Consequently, while some evidence is available to inform the assessment of test performance, there appears to be little evidence addressing the critical downstream links between testing, changes in management, patient health outcomes, and resource use. The evidence base for serial </w:t>
      </w:r>
      <w:proofErr w:type="spellStart"/>
      <w:r>
        <w:t>CgA</w:t>
      </w:r>
      <w:proofErr w:type="spellEnd"/>
      <w:r>
        <w:t xml:space="preserve"> monitoring is therefore characterised by substantial uncertainty regarding its clinical utility and cost-effectiveness, and a linked-evidence approach will be required to evaluate whether any observed test performance translates into meaningful clinical and economic benefits. </w:t>
      </w:r>
    </w:p>
    <w:p w14:paraId="28B7F975" w14:textId="515C5A51" w:rsidR="005D1D82" w:rsidRDefault="005D1D82" w:rsidP="005D1D82">
      <w:bookmarkStart w:id="8" w:name="_Ref54260209"/>
      <w:bookmarkStart w:id="9" w:name="_Toc423450289"/>
      <w:r w:rsidRPr="005D1D82">
        <w:t>The clinical claim in the application leads to a cost-effectiveness analysis (CEA) or a cost-utility analysis (CUA) for the economic evaluation</w:t>
      </w:r>
      <w:r>
        <w:t xml:space="preserve"> (</w:t>
      </w:r>
      <w:r>
        <w:fldChar w:fldCharType="begin"/>
      </w:r>
      <w:r>
        <w:instrText xml:space="preserve"> REF _Ref234336501 \h </w:instrText>
      </w:r>
      <w:r>
        <w:fldChar w:fldCharType="separate"/>
      </w:r>
      <w:r w:rsidRPr="00490FBB">
        <w:t>Table</w:t>
      </w:r>
      <w:r>
        <w:t> </w:t>
      </w:r>
      <w:r>
        <w:rPr>
          <w:noProof/>
        </w:rPr>
        <w:t>2</w:t>
      </w:r>
      <w:r>
        <w:fldChar w:fldCharType="end"/>
      </w:r>
      <w:r>
        <w:t>).</w:t>
      </w:r>
    </w:p>
    <w:p w14:paraId="6DAB2DBD" w14:textId="75474FA5" w:rsidR="000939E0" w:rsidRPr="00490FBB" w:rsidRDefault="000939E0" w:rsidP="00C40CC4">
      <w:pPr>
        <w:pStyle w:val="Caption"/>
      </w:pPr>
      <w:bookmarkStart w:id="10" w:name="_Ref234336501"/>
      <w:r w:rsidRPr="00490FBB">
        <w:t>Table</w:t>
      </w:r>
      <w:r w:rsidR="00DE762F">
        <w:t> </w:t>
      </w:r>
      <w:r w:rsidRPr="00490FBB">
        <w:fldChar w:fldCharType="begin"/>
      </w:r>
      <w:r w:rsidRPr="00490FBB">
        <w:instrText xml:space="preserve"> SEQ Table \* ARABIC </w:instrText>
      </w:r>
      <w:r w:rsidRPr="00490FBB">
        <w:fldChar w:fldCharType="separate"/>
      </w:r>
      <w:r w:rsidR="00C046F8">
        <w:rPr>
          <w:noProof/>
        </w:rPr>
        <w:t>3</w:t>
      </w:r>
      <w:r w:rsidRPr="00490FBB">
        <w:fldChar w:fldCharType="end"/>
      </w:r>
      <w:bookmarkEnd w:id="8"/>
      <w:bookmarkEnd w:id="10"/>
      <w:r w:rsidR="001A5D2F">
        <w:tab/>
        <w:t>Classification of</w:t>
      </w:r>
      <w:r w:rsidRPr="00490FBB">
        <w:t xml:space="preserve"> comparative effectiveness and safety of the proposed intervention</w:t>
      </w:r>
      <w:r w:rsidR="001A5D2F">
        <w:t>,</w:t>
      </w:r>
      <w:r w:rsidRPr="00490FBB">
        <w:t xml:space="preserve"> compared with its main comparator</w:t>
      </w:r>
      <w:r w:rsidR="001A5D2F">
        <w:t>,</w:t>
      </w:r>
      <w:r w:rsidRPr="00490FBB">
        <w:t xml:space="preserve"> and guide to the suitable type of economic evaluation</w:t>
      </w:r>
      <w:bookmarkEnd w:id="9"/>
    </w:p>
    <w:tbl>
      <w:tblPr>
        <w:tblW w:w="4872" w:type="pct"/>
        <w:tblInd w:w="115" w:type="dxa"/>
        <w:tblLayout w:type="fixed"/>
        <w:tblCellMar>
          <w:left w:w="115" w:type="dxa"/>
          <w:right w:w="115" w:type="dxa"/>
        </w:tblCellMar>
        <w:tblLook w:val="01E0" w:firstRow="1" w:lastRow="1" w:firstColumn="1" w:lastColumn="1" w:noHBand="0" w:noVBand="0"/>
        <w:tblCaption w:val="Table 19 Classification of the comparative effectiveness and safety of the proposed therapeutic medical service compared with its main comparator and guide to the suitable type of economic evaluation"/>
        <w:tblDescription w:val="The table presents a matrix of comparative safety (inferior, unccertain, non-inferior, superior) against comparative effectiveness (inferior, uncertain, non-inmferior, superior)."/>
      </w:tblPr>
      <w:tblGrid>
        <w:gridCol w:w="2012"/>
        <w:gridCol w:w="1905"/>
        <w:gridCol w:w="2227"/>
        <w:gridCol w:w="1748"/>
        <w:gridCol w:w="1434"/>
      </w:tblGrid>
      <w:tr w:rsidR="00686EED" w:rsidRPr="00490FBB" w14:paraId="5238F44C" w14:textId="77777777" w:rsidTr="00686EED">
        <w:trPr>
          <w:cantSplit/>
          <w:tblHeader/>
        </w:trPr>
        <w:tc>
          <w:tcPr>
            <w:tcW w:w="2012" w:type="dxa"/>
            <w:vMerge w:val="restart"/>
            <w:tcBorders>
              <w:top w:val="single" w:sz="4" w:space="0" w:color="auto"/>
              <w:left w:val="single" w:sz="4" w:space="0" w:color="auto"/>
              <w:right w:val="single" w:sz="4" w:space="0" w:color="auto"/>
            </w:tcBorders>
          </w:tcPr>
          <w:p w14:paraId="5B06A6EA" w14:textId="2690703D" w:rsidR="00686EED" w:rsidRPr="00490FBB" w:rsidRDefault="00686EED" w:rsidP="00C40CC4">
            <w:pPr>
              <w:pStyle w:val="TableHeading"/>
            </w:pPr>
            <w:bookmarkStart w:id="11" w:name="Title_Table2" w:colFirst="0" w:colLast="0"/>
            <w:r w:rsidRPr="00490FBB">
              <w:t>Comparative safety</w:t>
            </w:r>
          </w:p>
        </w:tc>
        <w:tc>
          <w:tcPr>
            <w:tcW w:w="1905" w:type="dxa"/>
            <w:tcBorders>
              <w:top w:val="single" w:sz="4" w:space="0" w:color="auto"/>
              <w:left w:val="single" w:sz="4" w:space="0" w:color="auto"/>
              <w:bottom w:val="single" w:sz="4" w:space="0" w:color="auto"/>
              <w:right w:val="nil"/>
            </w:tcBorders>
          </w:tcPr>
          <w:p w14:paraId="293E5792" w14:textId="77777777" w:rsidR="00686EED" w:rsidRPr="00490FBB" w:rsidRDefault="00686EED" w:rsidP="00C40CC4">
            <w:pPr>
              <w:pStyle w:val="TableHeading"/>
              <w:jc w:val="center"/>
            </w:pPr>
          </w:p>
        </w:tc>
        <w:tc>
          <w:tcPr>
            <w:tcW w:w="2227" w:type="dxa"/>
            <w:tcBorders>
              <w:top w:val="single" w:sz="4" w:space="0" w:color="auto"/>
              <w:left w:val="nil"/>
              <w:bottom w:val="single" w:sz="4" w:space="0" w:color="auto"/>
            </w:tcBorders>
          </w:tcPr>
          <w:p w14:paraId="57B2397B" w14:textId="77777777" w:rsidR="00686EED" w:rsidRPr="00490FBB" w:rsidRDefault="00686EED" w:rsidP="00C40CC4">
            <w:pPr>
              <w:pStyle w:val="TableHeading"/>
              <w:ind w:left="-75" w:right="-127"/>
              <w:jc w:val="center"/>
            </w:pPr>
            <w:r w:rsidRPr="00490FBB">
              <w:t>Comparative effectiveness</w:t>
            </w:r>
          </w:p>
        </w:tc>
        <w:tc>
          <w:tcPr>
            <w:tcW w:w="1748" w:type="dxa"/>
            <w:tcBorders>
              <w:top w:val="single" w:sz="4" w:space="0" w:color="auto"/>
              <w:left w:val="nil"/>
              <w:bottom w:val="single" w:sz="4" w:space="0" w:color="auto"/>
            </w:tcBorders>
          </w:tcPr>
          <w:p w14:paraId="6B53FB6C" w14:textId="77777777" w:rsidR="00686EED" w:rsidRPr="00490FBB" w:rsidRDefault="00686EED" w:rsidP="00C40CC4">
            <w:pPr>
              <w:pStyle w:val="TableHeading"/>
              <w:jc w:val="center"/>
            </w:pPr>
          </w:p>
        </w:tc>
        <w:tc>
          <w:tcPr>
            <w:tcW w:w="1434" w:type="dxa"/>
            <w:tcBorders>
              <w:top w:val="single" w:sz="4" w:space="0" w:color="auto"/>
              <w:left w:val="nil"/>
              <w:bottom w:val="single" w:sz="4" w:space="0" w:color="auto"/>
              <w:right w:val="single" w:sz="4" w:space="0" w:color="auto"/>
            </w:tcBorders>
          </w:tcPr>
          <w:p w14:paraId="0FE152FA" w14:textId="77777777" w:rsidR="00686EED" w:rsidRPr="00490FBB" w:rsidRDefault="00686EED" w:rsidP="00C40CC4">
            <w:pPr>
              <w:pStyle w:val="TableHeading"/>
              <w:jc w:val="center"/>
            </w:pPr>
          </w:p>
        </w:tc>
      </w:tr>
      <w:bookmarkEnd w:id="11"/>
      <w:tr w:rsidR="00686EED" w:rsidRPr="00490FBB" w14:paraId="78A8F3F1" w14:textId="77777777" w:rsidTr="00686EED">
        <w:trPr>
          <w:cantSplit/>
          <w:tblHeader/>
        </w:trPr>
        <w:tc>
          <w:tcPr>
            <w:tcW w:w="2012" w:type="dxa"/>
            <w:vMerge/>
            <w:tcBorders>
              <w:left w:val="single" w:sz="4" w:space="0" w:color="auto"/>
              <w:bottom w:val="single" w:sz="4" w:space="0" w:color="auto"/>
              <w:right w:val="single" w:sz="4" w:space="0" w:color="auto"/>
            </w:tcBorders>
          </w:tcPr>
          <w:p w14:paraId="6E00D947" w14:textId="57BEC7DE" w:rsidR="00686EED" w:rsidRPr="00490FBB" w:rsidRDefault="00686EED" w:rsidP="00C40CC4">
            <w:pPr>
              <w:pStyle w:val="TableHeading"/>
            </w:pPr>
          </w:p>
        </w:tc>
        <w:tc>
          <w:tcPr>
            <w:tcW w:w="1905" w:type="dxa"/>
            <w:tcBorders>
              <w:left w:val="single" w:sz="4" w:space="0" w:color="auto"/>
              <w:bottom w:val="single" w:sz="4" w:space="0" w:color="auto"/>
              <w:right w:val="single" w:sz="4" w:space="0" w:color="auto"/>
            </w:tcBorders>
          </w:tcPr>
          <w:p w14:paraId="319C788C" w14:textId="77777777" w:rsidR="00686EED" w:rsidRPr="00490FBB" w:rsidRDefault="00686EED" w:rsidP="00C40CC4">
            <w:pPr>
              <w:pStyle w:val="TableHeading"/>
              <w:jc w:val="center"/>
            </w:pPr>
            <w:r w:rsidRPr="00490FBB">
              <w:t>Inferior</w:t>
            </w:r>
          </w:p>
        </w:tc>
        <w:tc>
          <w:tcPr>
            <w:tcW w:w="2227" w:type="dxa"/>
            <w:tcBorders>
              <w:top w:val="single" w:sz="4" w:space="0" w:color="auto"/>
              <w:left w:val="single" w:sz="4" w:space="0" w:color="auto"/>
              <w:bottom w:val="single" w:sz="4" w:space="0" w:color="auto"/>
              <w:right w:val="single" w:sz="4" w:space="0" w:color="auto"/>
            </w:tcBorders>
          </w:tcPr>
          <w:p w14:paraId="5AC96128" w14:textId="77777777" w:rsidR="00686EED" w:rsidRPr="00490FBB" w:rsidRDefault="00686EED" w:rsidP="00C40CC4">
            <w:pPr>
              <w:pStyle w:val="TableHeading"/>
              <w:jc w:val="center"/>
            </w:pPr>
            <w:proofErr w:type="spellStart"/>
            <w:r w:rsidRPr="00490FBB">
              <w:t>Uncertain</w:t>
            </w:r>
            <w:r w:rsidRPr="00490FBB">
              <w:rPr>
                <w:vertAlign w:val="superscript"/>
              </w:rPr>
              <w:t>a</w:t>
            </w:r>
            <w:proofErr w:type="spellEnd"/>
          </w:p>
        </w:tc>
        <w:tc>
          <w:tcPr>
            <w:tcW w:w="1748" w:type="dxa"/>
            <w:tcBorders>
              <w:top w:val="single" w:sz="4" w:space="0" w:color="auto"/>
              <w:left w:val="single" w:sz="4" w:space="0" w:color="auto"/>
              <w:bottom w:val="single" w:sz="4" w:space="0" w:color="auto"/>
              <w:right w:val="single" w:sz="4" w:space="0" w:color="auto"/>
            </w:tcBorders>
          </w:tcPr>
          <w:p w14:paraId="7AA1349D" w14:textId="4BA1ADFE" w:rsidR="00686EED" w:rsidRPr="00490FBB" w:rsidRDefault="00686EED" w:rsidP="00C40CC4">
            <w:pPr>
              <w:pStyle w:val="TableHeading"/>
              <w:jc w:val="center"/>
            </w:pPr>
            <w:proofErr w:type="spellStart"/>
            <w:r w:rsidRPr="00490FBB">
              <w:t>Noninferior</w:t>
            </w:r>
            <w:r w:rsidRPr="00490FBB">
              <w:rPr>
                <w:vertAlign w:val="superscript"/>
              </w:rPr>
              <w:t>b</w:t>
            </w:r>
            <w:proofErr w:type="spellEnd"/>
          </w:p>
        </w:tc>
        <w:tc>
          <w:tcPr>
            <w:tcW w:w="1434" w:type="dxa"/>
            <w:tcBorders>
              <w:top w:val="single" w:sz="4" w:space="0" w:color="auto"/>
              <w:left w:val="single" w:sz="4" w:space="0" w:color="auto"/>
              <w:bottom w:val="single" w:sz="4" w:space="0" w:color="auto"/>
              <w:right w:val="single" w:sz="4" w:space="0" w:color="auto"/>
            </w:tcBorders>
          </w:tcPr>
          <w:p w14:paraId="156C5942" w14:textId="77777777" w:rsidR="00686EED" w:rsidRPr="00490FBB" w:rsidRDefault="00686EED" w:rsidP="00C40CC4">
            <w:pPr>
              <w:pStyle w:val="TableHeading"/>
              <w:jc w:val="center"/>
            </w:pPr>
            <w:r w:rsidRPr="00490FBB">
              <w:t>Superior</w:t>
            </w:r>
          </w:p>
        </w:tc>
      </w:tr>
      <w:tr w:rsidR="000939E0" w:rsidRPr="00490FBB" w14:paraId="1E111DC3" w14:textId="77777777" w:rsidTr="00686EED">
        <w:tc>
          <w:tcPr>
            <w:tcW w:w="2012" w:type="dxa"/>
            <w:tcBorders>
              <w:top w:val="single" w:sz="4" w:space="0" w:color="auto"/>
              <w:left w:val="single" w:sz="4" w:space="0" w:color="auto"/>
              <w:bottom w:val="single" w:sz="4" w:space="0" w:color="auto"/>
              <w:right w:val="single" w:sz="4" w:space="0" w:color="auto"/>
            </w:tcBorders>
            <w:vAlign w:val="center"/>
          </w:tcPr>
          <w:p w14:paraId="04A362E2" w14:textId="77777777" w:rsidR="000939E0" w:rsidRPr="00490FBB" w:rsidRDefault="000939E0" w:rsidP="00C40CC4">
            <w:pPr>
              <w:pStyle w:val="Tabletext"/>
              <w:keepNext/>
            </w:pPr>
            <w:r w:rsidRPr="00490FBB">
              <w:t>Inferior</w:t>
            </w:r>
          </w:p>
        </w:tc>
        <w:tc>
          <w:tcPr>
            <w:tcW w:w="1905" w:type="dxa"/>
            <w:tcBorders>
              <w:top w:val="single" w:sz="4" w:space="0" w:color="auto"/>
              <w:left w:val="single" w:sz="4" w:space="0" w:color="auto"/>
              <w:bottom w:val="single" w:sz="4" w:space="0" w:color="auto"/>
              <w:right w:val="single" w:sz="4" w:space="0" w:color="auto"/>
            </w:tcBorders>
            <w:vAlign w:val="center"/>
          </w:tcPr>
          <w:p w14:paraId="0B15352C" w14:textId="77777777" w:rsidR="000939E0" w:rsidRPr="00490FBB" w:rsidRDefault="000939E0" w:rsidP="00C40CC4">
            <w:pPr>
              <w:pStyle w:val="Tabletext"/>
              <w:keepNext/>
            </w:pPr>
            <w:r w:rsidRPr="00490FBB">
              <w:t>Health forgone: need other supportive factors</w:t>
            </w:r>
          </w:p>
        </w:tc>
        <w:tc>
          <w:tcPr>
            <w:tcW w:w="2227" w:type="dxa"/>
            <w:tcBorders>
              <w:top w:val="single" w:sz="4" w:space="0" w:color="auto"/>
              <w:left w:val="single" w:sz="4" w:space="0" w:color="auto"/>
              <w:bottom w:val="single" w:sz="4" w:space="0" w:color="auto"/>
              <w:right w:val="single" w:sz="4" w:space="0" w:color="auto"/>
            </w:tcBorders>
            <w:vAlign w:val="center"/>
          </w:tcPr>
          <w:p w14:paraId="47A58DE2" w14:textId="77777777" w:rsidR="000939E0" w:rsidRPr="00490FBB" w:rsidRDefault="000939E0" w:rsidP="00C40CC4">
            <w:pPr>
              <w:pStyle w:val="Tabletext"/>
              <w:keepNext/>
            </w:pPr>
            <w:r w:rsidRPr="00490FBB">
              <w:t>Health forgone possible: need other supportive factors</w:t>
            </w:r>
          </w:p>
        </w:tc>
        <w:tc>
          <w:tcPr>
            <w:tcW w:w="1748" w:type="dxa"/>
            <w:tcBorders>
              <w:top w:val="single" w:sz="4" w:space="0" w:color="auto"/>
              <w:left w:val="single" w:sz="4" w:space="0" w:color="auto"/>
              <w:bottom w:val="single" w:sz="4" w:space="0" w:color="auto"/>
              <w:right w:val="single" w:sz="4" w:space="0" w:color="auto"/>
            </w:tcBorders>
            <w:vAlign w:val="center"/>
          </w:tcPr>
          <w:p w14:paraId="3540FA15" w14:textId="77777777" w:rsidR="000939E0" w:rsidRPr="00490FBB" w:rsidRDefault="000939E0" w:rsidP="00C40CC4">
            <w:pPr>
              <w:pStyle w:val="Tabletext"/>
              <w:keepNext/>
            </w:pPr>
            <w:r w:rsidRPr="00490FBB">
              <w:t>Health forgone: need other supportive factors</w:t>
            </w:r>
          </w:p>
        </w:tc>
        <w:tc>
          <w:tcPr>
            <w:tcW w:w="1434" w:type="dxa"/>
            <w:tcBorders>
              <w:top w:val="single" w:sz="4" w:space="0" w:color="auto"/>
              <w:left w:val="single" w:sz="4" w:space="0" w:color="auto"/>
              <w:bottom w:val="single" w:sz="4" w:space="0" w:color="auto"/>
              <w:right w:val="single" w:sz="4" w:space="0" w:color="auto"/>
            </w:tcBorders>
            <w:vAlign w:val="center"/>
          </w:tcPr>
          <w:p w14:paraId="18C6CF73" w14:textId="77777777" w:rsidR="000939E0" w:rsidRPr="00490FBB" w:rsidRDefault="000939E0" w:rsidP="00C40CC4">
            <w:pPr>
              <w:pStyle w:val="Tabletext"/>
              <w:keepNext/>
            </w:pPr>
            <w:r w:rsidRPr="00490FBB">
              <w:t>? Likely CUA</w:t>
            </w:r>
          </w:p>
        </w:tc>
      </w:tr>
      <w:tr w:rsidR="000939E0" w:rsidRPr="00490FBB" w14:paraId="463C2753" w14:textId="77777777" w:rsidTr="00686EED">
        <w:tc>
          <w:tcPr>
            <w:tcW w:w="2012" w:type="dxa"/>
            <w:tcBorders>
              <w:top w:val="single" w:sz="4" w:space="0" w:color="auto"/>
              <w:left w:val="single" w:sz="4" w:space="0" w:color="auto"/>
              <w:bottom w:val="single" w:sz="4" w:space="0" w:color="auto"/>
              <w:right w:val="single" w:sz="4" w:space="0" w:color="auto"/>
            </w:tcBorders>
            <w:vAlign w:val="center"/>
          </w:tcPr>
          <w:p w14:paraId="11AF710C" w14:textId="77777777" w:rsidR="000939E0" w:rsidRPr="00490FBB" w:rsidRDefault="000939E0" w:rsidP="00C40CC4">
            <w:pPr>
              <w:pStyle w:val="Tabletext"/>
              <w:keepNext/>
            </w:pPr>
            <w:proofErr w:type="spellStart"/>
            <w:r w:rsidRPr="00490FBB">
              <w:t>Uncertain</w:t>
            </w:r>
            <w:r w:rsidRPr="00490FBB">
              <w:rPr>
                <w:vertAlign w:val="superscript"/>
              </w:rPr>
              <w:t>a</w:t>
            </w:r>
            <w:proofErr w:type="spellEnd"/>
          </w:p>
        </w:tc>
        <w:tc>
          <w:tcPr>
            <w:tcW w:w="1905" w:type="dxa"/>
            <w:tcBorders>
              <w:top w:val="single" w:sz="4" w:space="0" w:color="auto"/>
              <w:left w:val="single" w:sz="4" w:space="0" w:color="auto"/>
              <w:bottom w:val="single" w:sz="4" w:space="0" w:color="auto"/>
              <w:right w:val="single" w:sz="4" w:space="0" w:color="auto"/>
            </w:tcBorders>
            <w:vAlign w:val="center"/>
          </w:tcPr>
          <w:p w14:paraId="12909D79" w14:textId="77777777" w:rsidR="000939E0" w:rsidRPr="00490FBB" w:rsidRDefault="000939E0" w:rsidP="00C40CC4">
            <w:pPr>
              <w:pStyle w:val="Tabletext"/>
              <w:keepNext/>
            </w:pPr>
            <w:r w:rsidRPr="00490FBB">
              <w:t>Health forgone possible: need other supportive factors</w:t>
            </w:r>
          </w:p>
        </w:tc>
        <w:tc>
          <w:tcPr>
            <w:tcW w:w="2227" w:type="dxa"/>
            <w:tcBorders>
              <w:top w:val="single" w:sz="4" w:space="0" w:color="auto"/>
              <w:left w:val="single" w:sz="4" w:space="0" w:color="auto"/>
              <w:bottom w:val="single" w:sz="4" w:space="0" w:color="auto"/>
              <w:right w:val="single" w:sz="4" w:space="0" w:color="auto"/>
            </w:tcBorders>
            <w:vAlign w:val="center"/>
          </w:tcPr>
          <w:p w14:paraId="50F5E2B4" w14:textId="77777777" w:rsidR="000939E0" w:rsidRPr="00490FBB" w:rsidRDefault="000939E0" w:rsidP="00C40CC4">
            <w:pPr>
              <w:pStyle w:val="Tabletext"/>
              <w:keepNext/>
            </w:pPr>
            <w:r w:rsidRPr="00490FBB">
              <w:t>?</w:t>
            </w:r>
          </w:p>
        </w:tc>
        <w:tc>
          <w:tcPr>
            <w:tcW w:w="1748" w:type="dxa"/>
            <w:tcBorders>
              <w:top w:val="single" w:sz="4" w:space="0" w:color="auto"/>
              <w:left w:val="single" w:sz="4" w:space="0" w:color="auto"/>
              <w:bottom w:val="single" w:sz="4" w:space="0" w:color="auto"/>
              <w:right w:val="single" w:sz="4" w:space="0" w:color="auto"/>
            </w:tcBorders>
            <w:vAlign w:val="center"/>
          </w:tcPr>
          <w:p w14:paraId="0406F2A1" w14:textId="77777777" w:rsidR="000939E0" w:rsidRPr="00490FBB" w:rsidRDefault="000939E0" w:rsidP="00C40CC4">
            <w:pPr>
              <w:pStyle w:val="Tabletext"/>
              <w:keepNext/>
            </w:pPr>
            <w:r w:rsidRPr="00490FBB">
              <w:t>?</w:t>
            </w:r>
          </w:p>
        </w:tc>
        <w:tc>
          <w:tcPr>
            <w:tcW w:w="1434" w:type="dxa"/>
            <w:tcBorders>
              <w:top w:val="single" w:sz="4" w:space="0" w:color="auto"/>
              <w:left w:val="single" w:sz="4" w:space="0" w:color="auto"/>
              <w:bottom w:val="single" w:sz="4" w:space="0" w:color="auto"/>
              <w:right w:val="single" w:sz="4" w:space="0" w:color="auto"/>
            </w:tcBorders>
            <w:vAlign w:val="center"/>
          </w:tcPr>
          <w:p w14:paraId="1996B8CC" w14:textId="77777777" w:rsidR="000939E0" w:rsidRPr="00490FBB" w:rsidRDefault="000939E0" w:rsidP="00C40CC4">
            <w:pPr>
              <w:pStyle w:val="Tabletext"/>
              <w:keepNext/>
            </w:pPr>
            <w:r w:rsidRPr="00490FBB">
              <w:t>? Likely CEA/CUA</w:t>
            </w:r>
          </w:p>
        </w:tc>
      </w:tr>
      <w:tr w:rsidR="000939E0" w:rsidRPr="00490FBB" w14:paraId="47335FF9" w14:textId="77777777" w:rsidTr="00686EED">
        <w:tc>
          <w:tcPr>
            <w:tcW w:w="2012" w:type="dxa"/>
            <w:tcBorders>
              <w:top w:val="single" w:sz="4" w:space="0" w:color="auto"/>
              <w:left w:val="single" w:sz="4" w:space="0" w:color="auto"/>
              <w:bottom w:val="single" w:sz="4" w:space="0" w:color="auto"/>
              <w:right w:val="single" w:sz="4" w:space="0" w:color="auto"/>
            </w:tcBorders>
            <w:vAlign w:val="center"/>
          </w:tcPr>
          <w:p w14:paraId="0CBD845B" w14:textId="149CC18B" w:rsidR="000939E0" w:rsidRPr="00490FBB" w:rsidRDefault="000939E0" w:rsidP="00C40CC4">
            <w:pPr>
              <w:pStyle w:val="Tabletext"/>
              <w:keepNext/>
            </w:pPr>
            <w:proofErr w:type="spellStart"/>
            <w:r w:rsidRPr="00490FBB">
              <w:t>Noninferior</w:t>
            </w:r>
            <w:r w:rsidRPr="00490FBB">
              <w:rPr>
                <w:vertAlign w:val="superscript"/>
              </w:rPr>
              <w:t>b</w:t>
            </w:r>
            <w:proofErr w:type="spellEnd"/>
          </w:p>
        </w:tc>
        <w:tc>
          <w:tcPr>
            <w:tcW w:w="1905" w:type="dxa"/>
            <w:tcBorders>
              <w:top w:val="single" w:sz="4" w:space="0" w:color="auto"/>
              <w:left w:val="single" w:sz="4" w:space="0" w:color="auto"/>
              <w:bottom w:val="single" w:sz="4" w:space="0" w:color="auto"/>
              <w:right w:val="single" w:sz="4" w:space="0" w:color="auto"/>
            </w:tcBorders>
            <w:vAlign w:val="center"/>
          </w:tcPr>
          <w:p w14:paraId="5D8B4B6F" w14:textId="77777777" w:rsidR="000939E0" w:rsidRPr="00490FBB" w:rsidRDefault="000939E0" w:rsidP="00C40CC4">
            <w:pPr>
              <w:pStyle w:val="Tabletext"/>
              <w:keepNext/>
            </w:pPr>
            <w:r w:rsidRPr="00490FBB">
              <w:t>Health forgone: need other supportive factors</w:t>
            </w:r>
          </w:p>
        </w:tc>
        <w:tc>
          <w:tcPr>
            <w:tcW w:w="2227" w:type="dxa"/>
            <w:tcBorders>
              <w:top w:val="single" w:sz="4" w:space="0" w:color="auto"/>
              <w:left w:val="single" w:sz="4" w:space="0" w:color="auto"/>
              <w:bottom w:val="single" w:sz="4" w:space="0" w:color="auto"/>
              <w:right w:val="single" w:sz="4" w:space="0" w:color="auto"/>
            </w:tcBorders>
            <w:vAlign w:val="center"/>
          </w:tcPr>
          <w:p w14:paraId="43D9B9E4" w14:textId="77777777" w:rsidR="000939E0" w:rsidRPr="00490FBB" w:rsidRDefault="000939E0" w:rsidP="00C40CC4">
            <w:pPr>
              <w:pStyle w:val="Tabletext"/>
              <w:keepNext/>
            </w:pPr>
            <w:r w:rsidRPr="00490FBB">
              <w:t>?</w:t>
            </w:r>
          </w:p>
        </w:tc>
        <w:tc>
          <w:tcPr>
            <w:tcW w:w="1748" w:type="dxa"/>
            <w:tcBorders>
              <w:top w:val="single" w:sz="4" w:space="0" w:color="auto"/>
              <w:left w:val="single" w:sz="4" w:space="0" w:color="auto"/>
              <w:bottom w:val="single" w:sz="4" w:space="0" w:color="auto"/>
              <w:right w:val="single" w:sz="4" w:space="0" w:color="auto"/>
            </w:tcBorders>
            <w:vAlign w:val="center"/>
          </w:tcPr>
          <w:p w14:paraId="12BD2E22" w14:textId="77777777" w:rsidR="000939E0" w:rsidRPr="00490FBB" w:rsidRDefault="000939E0" w:rsidP="00C40CC4">
            <w:pPr>
              <w:pStyle w:val="Tabletext"/>
              <w:keepNext/>
            </w:pPr>
            <w:r w:rsidRPr="00490FBB">
              <w:t>CMA</w:t>
            </w:r>
          </w:p>
        </w:tc>
        <w:tc>
          <w:tcPr>
            <w:tcW w:w="1434" w:type="dxa"/>
            <w:tcBorders>
              <w:top w:val="single" w:sz="4" w:space="0" w:color="auto"/>
              <w:left w:val="single" w:sz="4" w:space="0" w:color="auto"/>
              <w:bottom w:val="single" w:sz="4" w:space="0" w:color="auto"/>
              <w:right w:val="single" w:sz="4" w:space="0" w:color="auto"/>
            </w:tcBorders>
            <w:vAlign w:val="center"/>
          </w:tcPr>
          <w:p w14:paraId="7E9F7AB5" w14:textId="77777777" w:rsidR="000939E0" w:rsidRPr="00490FBB" w:rsidRDefault="000939E0" w:rsidP="00C40CC4">
            <w:pPr>
              <w:pStyle w:val="Tabletext"/>
              <w:keepNext/>
            </w:pPr>
            <w:r w:rsidRPr="00490FBB">
              <w:t>CEA/CUA</w:t>
            </w:r>
          </w:p>
        </w:tc>
      </w:tr>
      <w:tr w:rsidR="000939E0" w:rsidRPr="00490FBB" w14:paraId="41AB5715" w14:textId="77777777" w:rsidTr="00686EED">
        <w:tc>
          <w:tcPr>
            <w:tcW w:w="2012" w:type="dxa"/>
            <w:tcBorders>
              <w:top w:val="single" w:sz="4" w:space="0" w:color="auto"/>
              <w:left w:val="single" w:sz="4" w:space="0" w:color="auto"/>
              <w:bottom w:val="single" w:sz="4" w:space="0" w:color="auto"/>
              <w:right w:val="single" w:sz="4" w:space="0" w:color="auto"/>
            </w:tcBorders>
            <w:vAlign w:val="center"/>
          </w:tcPr>
          <w:p w14:paraId="18F5B4CB" w14:textId="77777777" w:rsidR="000939E0" w:rsidRPr="00490FBB" w:rsidRDefault="000939E0" w:rsidP="00C40CC4">
            <w:pPr>
              <w:pStyle w:val="Tabletext"/>
              <w:keepNext/>
            </w:pPr>
            <w:r w:rsidRPr="00490FBB">
              <w:t>Superior</w:t>
            </w:r>
          </w:p>
        </w:tc>
        <w:tc>
          <w:tcPr>
            <w:tcW w:w="1905" w:type="dxa"/>
            <w:tcBorders>
              <w:top w:val="single" w:sz="4" w:space="0" w:color="auto"/>
              <w:left w:val="single" w:sz="4" w:space="0" w:color="auto"/>
              <w:bottom w:val="single" w:sz="4" w:space="0" w:color="auto"/>
              <w:right w:val="single" w:sz="4" w:space="0" w:color="auto"/>
            </w:tcBorders>
            <w:vAlign w:val="center"/>
          </w:tcPr>
          <w:p w14:paraId="2525815A" w14:textId="77777777" w:rsidR="000939E0" w:rsidRPr="00490FBB" w:rsidRDefault="000939E0" w:rsidP="00C40CC4">
            <w:pPr>
              <w:pStyle w:val="Tabletext"/>
              <w:keepNext/>
            </w:pPr>
            <w:r w:rsidRPr="00490FBB">
              <w:t>? Likely CUA</w:t>
            </w:r>
          </w:p>
        </w:tc>
        <w:tc>
          <w:tcPr>
            <w:tcW w:w="2227" w:type="dxa"/>
            <w:tcBorders>
              <w:top w:val="single" w:sz="4" w:space="0" w:color="auto"/>
              <w:left w:val="single" w:sz="4" w:space="0" w:color="auto"/>
              <w:bottom w:val="single" w:sz="4" w:space="0" w:color="auto"/>
              <w:right w:val="single" w:sz="4" w:space="0" w:color="auto"/>
            </w:tcBorders>
            <w:vAlign w:val="center"/>
          </w:tcPr>
          <w:p w14:paraId="2AE0169D" w14:textId="77777777" w:rsidR="000939E0" w:rsidRPr="00490FBB" w:rsidRDefault="000939E0" w:rsidP="00C40CC4">
            <w:pPr>
              <w:pStyle w:val="Tabletext"/>
              <w:keepNext/>
            </w:pPr>
            <w:r w:rsidRPr="00490FBB">
              <w:t>? Likely CEA/CUA</w:t>
            </w:r>
          </w:p>
        </w:tc>
        <w:tc>
          <w:tcPr>
            <w:tcW w:w="1748" w:type="dxa"/>
            <w:tcBorders>
              <w:top w:val="single" w:sz="4" w:space="0" w:color="auto"/>
              <w:left w:val="single" w:sz="4" w:space="0" w:color="auto"/>
              <w:bottom w:val="single" w:sz="4" w:space="0" w:color="auto"/>
              <w:right w:val="single" w:sz="4" w:space="0" w:color="auto"/>
            </w:tcBorders>
            <w:vAlign w:val="center"/>
          </w:tcPr>
          <w:p w14:paraId="71D0525C" w14:textId="77777777" w:rsidR="000939E0" w:rsidRPr="00490FBB" w:rsidRDefault="000939E0" w:rsidP="00C40CC4">
            <w:pPr>
              <w:pStyle w:val="Tabletext"/>
              <w:keepNext/>
            </w:pPr>
            <w:r w:rsidRPr="00490FBB">
              <w:t>CEA/CUA</w:t>
            </w:r>
          </w:p>
        </w:tc>
        <w:tc>
          <w:tcPr>
            <w:tcW w:w="1434" w:type="dxa"/>
            <w:tcBorders>
              <w:top w:val="single" w:sz="4" w:space="0" w:color="auto"/>
              <w:left w:val="single" w:sz="4" w:space="0" w:color="auto"/>
              <w:bottom w:val="single" w:sz="4" w:space="0" w:color="auto"/>
              <w:right w:val="single" w:sz="4" w:space="0" w:color="auto"/>
            </w:tcBorders>
            <w:vAlign w:val="center"/>
          </w:tcPr>
          <w:p w14:paraId="5FF47EA5" w14:textId="77777777" w:rsidR="000939E0" w:rsidRPr="00490FBB" w:rsidRDefault="000939E0" w:rsidP="00C40CC4">
            <w:pPr>
              <w:pStyle w:val="Tabletext"/>
              <w:keepNext/>
            </w:pPr>
            <w:r w:rsidRPr="00490FBB">
              <w:t>CEA/CUA</w:t>
            </w:r>
          </w:p>
        </w:tc>
      </w:tr>
    </w:tbl>
    <w:p w14:paraId="6538A3FB" w14:textId="77777777" w:rsidR="000939E0" w:rsidRPr="00490FBB" w:rsidRDefault="000939E0" w:rsidP="00C40CC4">
      <w:pPr>
        <w:pStyle w:val="Tablenotes"/>
        <w:keepNext/>
        <w:spacing w:before="120"/>
        <w:rPr>
          <w:szCs w:val="18"/>
        </w:rPr>
      </w:pPr>
      <w:r w:rsidRPr="00490FBB">
        <w:rPr>
          <w:szCs w:val="18"/>
        </w:rPr>
        <w:t>CEA=cost-effectiveness analysis; CMA=cost-minimisation analysis; CUA=cost-utility analysis</w:t>
      </w:r>
    </w:p>
    <w:p w14:paraId="48F7CED7" w14:textId="77777777" w:rsidR="000939E0" w:rsidRPr="00490FBB" w:rsidRDefault="000939E0" w:rsidP="00C40CC4">
      <w:pPr>
        <w:pStyle w:val="Tablenotes"/>
        <w:keepNext/>
        <w:rPr>
          <w:b/>
          <w:szCs w:val="18"/>
        </w:rPr>
      </w:pPr>
      <w:r w:rsidRPr="00490FBB">
        <w:rPr>
          <w:szCs w:val="18"/>
        </w:rPr>
        <w:t xml:space="preserve">? = reflect uncertainties and any identified health trade-offs in the economic evaluation, as a minimum in a cost-consequences analysis </w:t>
      </w:r>
    </w:p>
    <w:p w14:paraId="65C6F534" w14:textId="77777777" w:rsidR="000939E0" w:rsidRPr="00490FBB" w:rsidRDefault="000939E0" w:rsidP="00C40CC4">
      <w:pPr>
        <w:pStyle w:val="Tablenotes"/>
        <w:keepNext/>
        <w:rPr>
          <w:b/>
          <w:szCs w:val="18"/>
        </w:rPr>
      </w:pPr>
      <w:r w:rsidRPr="00490FBB">
        <w:rPr>
          <w:szCs w:val="18"/>
          <w:vertAlign w:val="superscript"/>
        </w:rPr>
        <w:t>a</w:t>
      </w:r>
      <w:r w:rsidRPr="00490FBB">
        <w:rPr>
          <w:szCs w:val="18"/>
        </w:rPr>
        <w:t> ‘Uncertainty’ covers concepts such as inadequate minimisation of important sources of bias, lack of statistical significance in an underpowered trial, detecting clinically unimportant therapeutic differences, inconsistent results across trials, and trade-offs within the comparative effectiveness and/or the comparative safety considerations</w:t>
      </w:r>
    </w:p>
    <w:p w14:paraId="1CB9C9B3" w14:textId="5CB9A3EC" w:rsidR="000939E0" w:rsidRDefault="000939E0" w:rsidP="000939E0">
      <w:pPr>
        <w:pStyle w:val="Tablenotes"/>
        <w:rPr>
          <w:szCs w:val="18"/>
        </w:rPr>
      </w:pPr>
      <w:r w:rsidRPr="00490FBB">
        <w:rPr>
          <w:szCs w:val="18"/>
          <w:vertAlign w:val="superscript"/>
        </w:rPr>
        <w:t>b</w:t>
      </w:r>
      <w:r w:rsidRPr="00490FBB">
        <w:rPr>
          <w:szCs w:val="18"/>
        </w:rPr>
        <w:t> An adequate assessment of ‘noninferiority’ is the preferred basis for demonstrating equivalence</w:t>
      </w:r>
    </w:p>
    <w:p w14:paraId="383F7FA8" w14:textId="77777777" w:rsidR="007F46C8" w:rsidRDefault="007F46C8" w:rsidP="000939E0">
      <w:pPr>
        <w:pStyle w:val="Tablenotes"/>
        <w:rPr>
          <w:szCs w:val="18"/>
        </w:rPr>
      </w:pPr>
    </w:p>
    <w:p w14:paraId="582D8F8B" w14:textId="77777777" w:rsidR="007F46C8" w:rsidRPr="00D4599B" w:rsidRDefault="007F46C8" w:rsidP="007F46C8">
      <w:pPr>
        <w:rPr>
          <w:rFonts w:asciiTheme="minorHAnsi" w:hAnsiTheme="minorHAnsi" w:cstheme="minorHAnsi"/>
          <w:i/>
          <w:iCs/>
        </w:rPr>
      </w:pPr>
      <w:r w:rsidRPr="00463B50">
        <w:rPr>
          <w:rFonts w:asciiTheme="minorHAnsi" w:hAnsiTheme="minorHAnsi" w:cstheme="minorHAnsi"/>
          <w:i/>
          <w:iCs/>
        </w:rPr>
        <w:t xml:space="preserve">Based on the applicant’s claim of superior effectiveness and non-inferior safety for serial </w:t>
      </w:r>
      <w:proofErr w:type="spellStart"/>
      <w:r w:rsidRPr="00463B50">
        <w:rPr>
          <w:rFonts w:asciiTheme="minorHAnsi" w:hAnsiTheme="minorHAnsi" w:cstheme="minorHAnsi"/>
          <w:i/>
          <w:iCs/>
        </w:rPr>
        <w:t>CgA</w:t>
      </w:r>
      <w:proofErr w:type="spellEnd"/>
      <w:r w:rsidRPr="00463B50">
        <w:rPr>
          <w:rFonts w:asciiTheme="minorHAnsi" w:hAnsiTheme="minorHAnsi" w:cstheme="minorHAnsi"/>
          <w:i/>
          <w:iCs/>
        </w:rPr>
        <w:t xml:space="preserve"> monitoring compared with standard care without </w:t>
      </w:r>
      <w:proofErr w:type="spellStart"/>
      <w:r w:rsidRPr="00463B50">
        <w:rPr>
          <w:rFonts w:asciiTheme="minorHAnsi" w:hAnsiTheme="minorHAnsi" w:cstheme="minorHAnsi"/>
          <w:i/>
          <w:iCs/>
        </w:rPr>
        <w:t>CgA</w:t>
      </w:r>
      <w:proofErr w:type="spellEnd"/>
      <w:r w:rsidRPr="00463B50">
        <w:rPr>
          <w:rFonts w:asciiTheme="minorHAnsi" w:hAnsiTheme="minorHAnsi" w:cstheme="minorHAnsi"/>
          <w:i/>
          <w:iCs/>
        </w:rPr>
        <w:t xml:space="preserve"> monitoring, PASC considered that a cost-utility analysis would be an appropriate form of economic evaluation.</w:t>
      </w:r>
    </w:p>
    <w:p w14:paraId="66E8A0BC" w14:textId="097BD12A" w:rsidR="007F46C8" w:rsidRPr="00D4599B" w:rsidRDefault="32CFA23B" w:rsidP="6C2537F6">
      <w:pPr>
        <w:rPr>
          <w:rFonts w:asciiTheme="minorHAnsi" w:hAnsiTheme="minorHAnsi" w:cstheme="minorBidi"/>
          <w:i/>
          <w:iCs/>
        </w:rPr>
      </w:pPr>
      <w:r w:rsidRPr="6C2537F6">
        <w:rPr>
          <w:rFonts w:asciiTheme="minorHAnsi" w:hAnsiTheme="minorHAnsi" w:cstheme="minorBidi"/>
          <w:i/>
          <w:iCs/>
        </w:rPr>
        <w:t xml:space="preserve">However, </w:t>
      </w:r>
      <w:r w:rsidR="007F46C8" w:rsidRPr="6C2537F6">
        <w:rPr>
          <w:rFonts w:asciiTheme="minorHAnsi" w:hAnsiTheme="minorHAnsi" w:cstheme="minorBidi"/>
          <w:i/>
          <w:iCs/>
        </w:rPr>
        <w:t xml:space="preserve">PASC noted that the evidence presented primarily addressed test performance and that limited evidence was identified to quantify the relationship between changes in </w:t>
      </w:r>
      <w:proofErr w:type="spellStart"/>
      <w:r w:rsidR="007F46C8" w:rsidRPr="6C2537F6">
        <w:rPr>
          <w:rFonts w:asciiTheme="minorHAnsi" w:hAnsiTheme="minorHAnsi" w:cstheme="minorBidi"/>
          <w:i/>
          <w:iCs/>
        </w:rPr>
        <w:t>CgA</w:t>
      </w:r>
      <w:proofErr w:type="spellEnd"/>
      <w:r w:rsidR="007F46C8" w:rsidRPr="6C2537F6">
        <w:rPr>
          <w:rFonts w:asciiTheme="minorHAnsi" w:hAnsiTheme="minorHAnsi" w:cstheme="minorBidi"/>
          <w:i/>
          <w:iCs/>
        </w:rPr>
        <w:t xml:space="preserve">, subsequent changes in </w:t>
      </w:r>
      <w:r w:rsidR="007F46C8" w:rsidRPr="6C2537F6">
        <w:rPr>
          <w:rFonts w:asciiTheme="minorHAnsi" w:hAnsiTheme="minorHAnsi" w:cstheme="minorBidi"/>
          <w:i/>
          <w:iCs/>
        </w:rPr>
        <w:lastRenderedPageBreak/>
        <w:t>management and patient health outcomes. PASC considered that this may limit the ability to populate the proposed economic model.</w:t>
      </w:r>
    </w:p>
    <w:p w14:paraId="056B32F4" w14:textId="75BACF0D" w:rsidR="007F46C8" w:rsidRPr="00D4599B" w:rsidRDefault="007F46C8" w:rsidP="007F46C8">
      <w:pPr>
        <w:rPr>
          <w:rFonts w:asciiTheme="minorHAnsi" w:hAnsiTheme="minorHAnsi" w:cstheme="minorHAnsi"/>
          <w:i/>
          <w:iCs/>
        </w:rPr>
      </w:pPr>
      <w:r w:rsidRPr="00463B50">
        <w:rPr>
          <w:rFonts w:asciiTheme="minorHAnsi" w:hAnsiTheme="minorHAnsi" w:cstheme="minorHAnsi"/>
          <w:i/>
          <w:iCs/>
        </w:rPr>
        <w:t xml:space="preserve">PASC noted that the economic evaluation would need to reflect the intended clinical place of </w:t>
      </w:r>
      <w:proofErr w:type="spellStart"/>
      <w:r w:rsidRPr="00463B50">
        <w:rPr>
          <w:rFonts w:asciiTheme="minorHAnsi" w:hAnsiTheme="minorHAnsi" w:cstheme="minorHAnsi"/>
          <w:i/>
          <w:iCs/>
        </w:rPr>
        <w:t>CgA</w:t>
      </w:r>
      <w:proofErr w:type="spellEnd"/>
      <w:r w:rsidRPr="00463B50">
        <w:rPr>
          <w:rFonts w:asciiTheme="minorHAnsi" w:hAnsiTheme="minorHAnsi" w:cstheme="minorHAnsi"/>
          <w:i/>
          <w:iCs/>
        </w:rPr>
        <w:t xml:space="preserve"> monitoring relative to the comparator</w:t>
      </w:r>
      <w:r w:rsidR="001C32DE">
        <w:rPr>
          <w:rFonts w:asciiTheme="minorHAnsi" w:hAnsiTheme="minorHAnsi" w:cstheme="minorHAnsi"/>
          <w:i/>
          <w:iCs/>
        </w:rPr>
        <w:t xml:space="preserve"> and that the modelling approach will likely depend on </w:t>
      </w:r>
      <w:r w:rsidR="00F25E5B">
        <w:rPr>
          <w:rFonts w:asciiTheme="minorHAnsi" w:hAnsiTheme="minorHAnsi" w:cstheme="minorHAnsi"/>
          <w:i/>
          <w:iCs/>
        </w:rPr>
        <w:t>information from the applicant addressing</w:t>
      </w:r>
      <w:r w:rsidR="00A61ACB" w:rsidRPr="00C00718">
        <w:rPr>
          <w:rFonts w:asciiTheme="minorHAnsi" w:hAnsiTheme="minorHAnsi" w:cstheme="minorHAnsi"/>
          <w:i/>
          <w:szCs w:val="20"/>
        </w:rPr>
        <w:t xml:space="preserve"> PASC concerns regarding the population, intervention, comparator and clinical place of </w:t>
      </w:r>
      <w:proofErr w:type="spellStart"/>
      <w:r w:rsidR="00A61ACB" w:rsidRPr="00C00718">
        <w:rPr>
          <w:rFonts w:asciiTheme="minorHAnsi" w:hAnsiTheme="minorHAnsi" w:cstheme="minorHAnsi"/>
          <w:i/>
          <w:szCs w:val="20"/>
        </w:rPr>
        <w:t>CgA</w:t>
      </w:r>
      <w:proofErr w:type="spellEnd"/>
      <w:r w:rsidR="00A61ACB" w:rsidRPr="00C00718">
        <w:rPr>
          <w:rFonts w:asciiTheme="minorHAnsi" w:hAnsiTheme="minorHAnsi" w:cstheme="minorHAnsi"/>
          <w:i/>
          <w:szCs w:val="20"/>
        </w:rPr>
        <w:t xml:space="preserve"> monitoring</w:t>
      </w:r>
      <w:r w:rsidR="00A61ACB">
        <w:rPr>
          <w:rFonts w:asciiTheme="minorHAnsi" w:hAnsiTheme="minorHAnsi" w:cstheme="minorHAnsi"/>
          <w:i/>
          <w:szCs w:val="20"/>
        </w:rPr>
        <w:t xml:space="preserve"> (discussed earlier)</w:t>
      </w:r>
      <w:r w:rsidR="00F25E5B">
        <w:rPr>
          <w:rFonts w:asciiTheme="minorHAnsi" w:hAnsiTheme="minorHAnsi" w:cstheme="minorHAnsi"/>
          <w:i/>
          <w:szCs w:val="20"/>
        </w:rPr>
        <w:t>. For example, whether the model should</w:t>
      </w:r>
      <w:r w:rsidR="00A61ACB" w:rsidRPr="005A3F1A">
        <w:rPr>
          <w:rFonts w:asciiTheme="minorHAnsi" w:hAnsiTheme="minorHAnsi" w:cstheme="minorHAnsi"/>
          <w:i/>
          <w:szCs w:val="20"/>
        </w:rPr>
        <w:t xml:space="preserve"> </w:t>
      </w:r>
      <w:r w:rsidRPr="00463B50">
        <w:rPr>
          <w:rFonts w:asciiTheme="minorHAnsi" w:hAnsiTheme="minorHAnsi" w:cstheme="minorHAnsi"/>
          <w:i/>
          <w:iCs/>
        </w:rPr>
        <w:t xml:space="preserve">account for </w:t>
      </w:r>
      <w:proofErr w:type="spellStart"/>
      <w:r w:rsidRPr="00463B50">
        <w:rPr>
          <w:rFonts w:asciiTheme="minorHAnsi" w:hAnsiTheme="minorHAnsi" w:cstheme="minorHAnsi"/>
          <w:i/>
          <w:iCs/>
        </w:rPr>
        <w:t>CgA</w:t>
      </w:r>
      <w:proofErr w:type="spellEnd"/>
      <w:r w:rsidRPr="00463B50">
        <w:rPr>
          <w:rFonts w:asciiTheme="minorHAnsi" w:hAnsiTheme="minorHAnsi" w:cstheme="minorHAnsi"/>
          <w:i/>
          <w:iCs/>
        </w:rPr>
        <w:t xml:space="preserve"> monitoring in addition to standard-care monitoring or </w:t>
      </w:r>
      <w:r w:rsidR="00A27797">
        <w:rPr>
          <w:rFonts w:asciiTheme="minorHAnsi" w:hAnsiTheme="minorHAnsi" w:cstheme="minorHAnsi"/>
          <w:i/>
          <w:iCs/>
        </w:rPr>
        <w:t xml:space="preserve">as a </w:t>
      </w:r>
      <w:r w:rsidRPr="00463B50">
        <w:rPr>
          <w:rFonts w:asciiTheme="minorHAnsi" w:hAnsiTheme="minorHAnsi" w:cstheme="minorHAnsi"/>
          <w:i/>
          <w:iCs/>
        </w:rPr>
        <w:t>partial substitute for scheduled imaging in selected patients, as these uses may have different effects on healthcare resource use and costs.</w:t>
      </w:r>
    </w:p>
    <w:p w14:paraId="7C8E6845" w14:textId="77777777" w:rsidR="007F46C8" w:rsidRPr="00D4599B" w:rsidRDefault="007F46C8" w:rsidP="007F46C8">
      <w:pPr>
        <w:rPr>
          <w:rFonts w:asciiTheme="minorHAnsi" w:hAnsiTheme="minorHAnsi" w:cstheme="minorHAnsi"/>
          <w:i/>
          <w:iCs/>
        </w:rPr>
      </w:pPr>
      <w:r w:rsidRPr="00463B50">
        <w:rPr>
          <w:rFonts w:asciiTheme="minorHAnsi" w:hAnsiTheme="minorHAnsi" w:cstheme="minorHAnsi"/>
          <w:i/>
          <w:iCs/>
        </w:rPr>
        <w:t xml:space="preserve">PASC considered that the economic evaluation should capture the costs of serial </w:t>
      </w:r>
      <w:proofErr w:type="spellStart"/>
      <w:r w:rsidRPr="00463B50">
        <w:rPr>
          <w:rFonts w:asciiTheme="minorHAnsi" w:hAnsiTheme="minorHAnsi" w:cstheme="minorHAnsi"/>
          <w:i/>
          <w:iCs/>
        </w:rPr>
        <w:t>CgA</w:t>
      </w:r>
      <w:proofErr w:type="spellEnd"/>
      <w:r w:rsidRPr="00463B50">
        <w:rPr>
          <w:rFonts w:asciiTheme="minorHAnsi" w:hAnsiTheme="minorHAnsi" w:cstheme="minorHAnsi"/>
          <w:i/>
          <w:iCs/>
        </w:rPr>
        <w:t xml:space="preserve"> testing and any changes in healthcare resource use arising from testing, including changes in the timing or frequency of specialist review, CT, MRI and functional imaging. PASC also noted that an elevated </w:t>
      </w:r>
      <w:proofErr w:type="spellStart"/>
      <w:r w:rsidRPr="00463B50">
        <w:rPr>
          <w:rFonts w:asciiTheme="minorHAnsi" w:hAnsiTheme="minorHAnsi" w:cstheme="minorHAnsi"/>
          <w:i/>
          <w:iCs/>
        </w:rPr>
        <w:t>CgA</w:t>
      </w:r>
      <w:proofErr w:type="spellEnd"/>
      <w:r w:rsidRPr="00463B50">
        <w:rPr>
          <w:rFonts w:asciiTheme="minorHAnsi" w:hAnsiTheme="minorHAnsi" w:cstheme="minorHAnsi"/>
          <w:i/>
          <w:iCs/>
        </w:rPr>
        <w:t xml:space="preserve"> result may lead to additional imaging under existing MBS arrangements and considered that any resulting costs to the MBS should be captured.</w:t>
      </w:r>
    </w:p>
    <w:p w14:paraId="06474D5B" w14:textId="52EC443D" w:rsidR="00413741" w:rsidRPr="00F35C51" w:rsidRDefault="007F46C8" w:rsidP="00F35C51">
      <w:r w:rsidRPr="00463B50">
        <w:rPr>
          <w:rFonts w:asciiTheme="minorHAnsi" w:hAnsiTheme="minorHAnsi" w:cstheme="minorHAnsi"/>
          <w:i/>
          <w:iCs/>
        </w:rPr>
        <w:t xml:space="preserve">Overall, PASC considered that the economic evaluation should reflect the agreed clinical pathway and account for uncertainty in the extent to which </w:t>
      </w:r>
      <w:proofErr w:type="spellStart"/>
      <w:r w:rsidRPr="00463B50">
        <w:rPr>
          <w:rFonts w:asciiTheme="minorHAnsi" w:hAnsiTheme="minorHAnsi" w:cstheme="minorHAnsi"/>
          <w:i/>
          <w:iCs/>
        </w:rPr>
        <w:t>CgA</w:t>
      </w:r>
      <w:proofErr w:type="spellEnd"/>
      <w:r w:rsidRPr="00463B50">
        <w:rPr>
          <w:rFonts w:asciiTheme="minorHAnsi" w:hAnsiTheme="minorHAnsi" w:cstheme="minorHAnsi"/>
          <w:i/>
          <w:iCs/>
        </w:rPr>
        <w:t xml:space="preserve"> monitoring changes subsequent management, healthcare resource use and patient health outcomes.</w:t>
      </w:r>
    </w:p>
    <w:p w14:paraId="047E4738" w14:textId="1D501EE9" w:rsidR="00D73332" w:rsidRPr="00DE762F" w:rsidRDefault="00D73332" w:rsidP="00DE762F">
      <w:pPr>
        <w:pStyle w:val="Heading2"/>
      </w:pPr>
      <w:r w:rsidRPr="00DE762F">
        <w:t>Propos</w:t>
      </w:r>
      <w:r w:rsidR="000D1FCF" w:rsidRPr="00DE762F">
        <w:t>al for public funding</w:t>
      </w:r>
    </w:p>
    <w:p w14:paraId="35AE5185" w14:textId="57BC9C0D" w:rsidR="002F3E40" w:rsidRDefault="00B82EB9" w:rsidP="00A151C9">
      <w:r w:rsidRPr="00B82EB9">
        <w:t xml:space="preserve">The application proposed a new MBS item for </w:t>
      </w:r>
      <w:r>
        <w:t xml:space="preserve">serial serum </w:t>
      </w:r>
      <w:proofErr w:type="spellStart"/>
      <w:r>
        <w:t>CgA</w:t>
      </w:r>
      <w:proofErr w:type="spellEnd"/>
      <w:r w:rsidR="00B12474">
        <w:t xml:space="preserve"> for serial monitoring in patients with well differentiated NEN</w:t>
      </w:r>
      <w:r w:rsidR="00DD26A4">
        <w:t>, with a fee of $65</w:t>
      </w:r>
      <w:r w:rsidR="00C54A5E">
        <w:t xml:space="preserve"> (see </w:t>
      </w:r>
      <w:r w:rsidR="008C17B4">
        <w:fldChar w:fldCharType="begin"/>
      </w:r>
      <w:r w:rsidR="008C17B4">
        <w:instrText xml:space="preserve"> REF _Ref235441491 \h </w:instrText>
      </w:r>
      <w:r w:rsidR="008C17B4">
        <w:fldChar w:fldCharType="separate"/>
      </w:r>
      <w:r w:rsidR="008C17B4">
        <w:t xml:space="preserve">Table </w:t>
      </w:r>
      <w:r w:rsidR="008C17B4">
        <w:rPr>
          <w:noProof/>
        </w:rPr>
        <w:t>5</w:t>
      </w:r>
      <w:r w:rsidR="008C17B4">
        <w:fldChar w:fldCharType="end"/>
      </w:r>
      <w:r w:rsidR="008C17B4">
        <w:t xml:space="preserve"> further below</w:t>
      </w:r>
      <w:r w:rsidR="00C54A5E">
        <w:t>)</w:t>
      </w:r>
      <w:r w:rsidR="00DD26A4">
        <w:t>.</w:t>
      </w:r>
      <w:r w:rsidR="00B12474">
        <w:t xml:space="preserve"> </w:t>
      </w:r>
      <w:r w:rsidR="00A151C9">
        <w:t>The application included clinical notes to be included in the item descriptor.</w:t>
      </w:r>
    </w:p>
    <w:p w14:paraId="4BE4EDE2" w14:textId="3CEF592F" w:rsidR="00DD26A4" w:rsidRDefault="00DD26A4" w:rsidP="00B65407">
      <w:r>
        <w:t xml:space="preserve">The </w:t>
      </w:r>
      <w:r w:rsidR="005017EB">
        <w:t xml:space="preserve">application </w:t>
      </w:r>
      <w:r>
        <w:t xml:space="preserve">proposed </w:t>
      </w:r>
      <w:r w:rsidR="005017EB">
        <w:t>item descriptor</w:t>
      </w:r>
      <w:r w:rsidR="00AB40B9">
        <w:t>,</w:t>
      </w:r>
      <w:r w:rsidR="005017EB">
        <w:t xml:space="preserve"> </w:t>
      </w:r>
      <w:r>
        <w:t xml:space="preserve">is broad enough to cover all populations identified in the COSA </w:t>
      </w:r>
      <w:r w:rsidR="005017EB">
        <w:t>guidelines</w:t>
      </w:r>
      <w:r>
        <w:t xml:space="preserve"> and could lead to </w:t>
      </w:r>
      <w:r w:rsidR="00EE0FC0">
        <w:t xml:space="preserve">use </w:t>
      </w:r>
      <w:r>
        <w:t>beyond the proposed population of this application.</w:t>
      </w:r>
      <w:r w:rsidR="00A76CCF">
        <w:t xml:space="preserve"> Particularly</w:t>
      </w:r>
      <w:r w:rsidR="00B90AD5">
        <w:t xml:space="preserve">, the </w:t>
      </w:r>
      <w:r w:rsidR="00656B84">
        <w:t xml:space="preserve">application is limited to </w:t>
      </w:r>
      <w:r w:rsidR="00656B84" w:rsidRPr="00656B84">
        <w:t>patients with well differentiated, locally advanced (stage</w:t>
      </w:r>
      <w:r w:rsidR="007C6035">
        <w:t xml:space="preserve"> </w:t>
      </w:r>
      <w:r w:rsidR="00656B84" w:rsidRPr="00656B84">
        <w:t xml:space="preserve">3) and/or metastatic (stage 4) </w:t>
      </w:r>
      <w:r w:rsidR="00656B84">
        <w:t xml:space="preserve">NEN, whereas the current </w:t>
      </w:r>
      <w:r w:rsidR="00EE0989">
        <w:t xml:space="preserve">proposed wording opens the population up to lower stages of NEN. </w:t>
      </w:r>
      <w:r w:rsidR="0061571B">
        <w:t xml:space="preserve">In addition, the </w:t>
      </w:r>
      <w:r w:rsidR="00C64EB5">
        <w:t xml:space="preserve">restriction </w:t>
      </w:r>
      <w:r w:rsidR="00865A43">
        <w:t xml:space="preserve">enables </w:t>
      </w:r>
      <w:proofErr w:type="spellStart"/>
      <w:r w:rsidR="00146B9B">
        <w:t>CgA</w:t>
      </w:r>
      <w:proofErr w:type="spellEnd"/>
      <w:r w:rsidR="00146B9B">
        <w:t xml:space="preserve"> to be used in </w:t>
      </w:r>
      <w:r w:rsidR="004D55F8">
        <w:t xml:space="preserve">NENs where changes in </w:t>
      </w:r>
      <w:proofErr w:type="spellStart"/>
      <w:r w:rsidR="004D55F8">
        <w:t>CgA</w:t>
      </w:r>
      <w:proofErr w:type="spellEnd"/>
      <w:r w:rsidR="004D55F8">
        <w:t xml:space="preserve"> ma</w:t>
      </w:r>
      <w:r w:rsidR="00736E8D">
        <w:t>y</w:t>
      </w:r>
      <w:r w:rsidR="004D55F8">
        <w:t xml:space="preserve"> not be evident (e.g.</w:t>
      </w:r>
      <w:r w:rsidR="00F51AE6">
        <w:t>,</w:t>
      </w:r>
      <w:r w:rsidR="004D55F8">
        <w:t xml:space="preserve"> </w:t>
      </w:r>
      <w:r w:rsidR="004D55F8" w:rsidRPr="004D55F8">
        <w:t>neuroendocrine tumours with low proliferative potential</w:t>
      </w:r>
      <w:r w:rsidR="00B41A56">
        <w:t>).</w:t>
      </w:r>
      <w:r>
        <w:t xml:space="preserve"> </w:t>
      </w:r>
      <w:r w:rsidR="005017EB">
        <w:t xml:space="preserve">The </w:t>
      </w:r>
      <w:r w:rsidR="00212C6B">
        <w:t>PICO set included justification for a fee</w:t>
      </w:r>
      <w:r w:rsidR="009945D4">
        <w:t xml:space="preserve"> of $65. The application based this fee on t</w:t>
      </w:r>
      <w:r w:rsidR="009945D4" w:rsidRPr="009945D4">
        <w:t xml:space="preserve">he average publicly available cost of </w:t>
      </w:r>
      <w:proofErr w:type="spellStart"/>
      <w:r w:rsidR="009945D4" w:rsidRPr="009945D4">
        <w:t>CgA</w:t>
      </w:r>
      <w:proofErr w:type="spellEnd"/>
      <w:r w:rsidR="009945D4" w:rsidRPr="009945D4">
        <w:t xml:space="preserve"> testing across five Australian providers </w:t>
      </w:r>
      <w:r w:rsidR="00B50D29">
        <w:t>(</w:t>
      </w:r>
      <w:r w:rsidR="009945D4" w:rsidRPr="009945D4">
        <w:t>approximately $53</w:t>
      </w:r>
      <w:r w:rsidR="00B50D29">
        <w:t xml:space="preserve">) and used this </w:t>
      </w:r>
      <w:r w:rsidR="00FC0C50">
        <w:t xml:space="preserve">value to inflate the fee to $65 based on preventing an </w:t>
      </w:r>
      <w:r w:rsidR="00320A67">
        <w:t>out-of-pocket</w:t>
      </w:r>
      <w:r w:rsidR="00FC0C50">
        <w:t xml:space="preserve"> cost </w:t>
      </w:r>
      <w:r w:rsidR="00DE7CBB">
        <w:t xml:space="preserve">for bulk billing (i.e. 85% of $65 would cover an </w:t>
      </w:r>
      <w:r w:rsidR="00320A67">
        <w:t xml:space="preserve">85% rebate of </w:t>
      </w:r>
      <w:r w:rsidR="009945D4" w:rsidRPr="009945D4">
        <w:t>$55.25</w:t>
      </w:r>
      <w:r w:rsidR="00B14B38">
        <w:t>, which is greater than the average price</w:t>
      </w:r>
      <w:r w:rsidR="009945D4" w:rsidRPr="009945D4">
        <w:t>)</w:t>
      </w:r>
      <w:r w:rsidR="00320A67">
        <w:t xml:space="preserve">. This seems </w:t>
      </w:r>
      <w:r w:rsidR="004023EB">
        <w:t xml:space="preserve">inappropriate and the proposed fee should be the 100% value of $53, based on average pricing. </w:t>
      </w:r>
      <w:r w:rsidR="009945D4" w:rsidRPr="009945D4">
        <w:t xml:space="preserve"> </w:t>
      </w:r>
      <w:r w:rsidR="00B65407">
        <w:t>PASC may also wish to consider if a lower fee of $45 would be appropriate</w:t>
      </w:r>
      <w:r w:rsidR="00B14B38">
        <w:t>,</w:t>
      </w:r>
      <w:r w:rsidR="00B65407">
        <w:t xml:space="preserve"> as this is the </w:t>
      </w:r>
      <w:r w:rsidR="00AB40B9">
        <w:t xml:space="preserve">lowest price for conducting </w:t>
      </w:r>
      <w:proofErr w:type="spellStart"/>
      <w:r w:rsidR="00AB40B9">
        <w:t>CgA</w:t>
      </w:r>
      <w:proofErr w:type="spellEnd"/>
      <w:r w:rsidR="00AB40B9">
        <w:t xml:space="preserve"> testing.</w:t>
      </w:r>
    </w:p>
    <w:p w14:paraId="519B674C" w14:textId="3C7978C6" w:rsidR="009945D4" w:rsidRDefault="009945D4" w:rsidP="009945D4">
      <w:pPr>
        <w:pStyle w:val="Caption"/>
      </w:pPr>
      <w:r>
        <w:t xml:space="preserve">Table </w:t>
      </w:r>
      <w:r>
        <w:fldChar w:fldCharType="begin"/>
      </w:r>
      <w:r>
        <w:instrText xml:space="preserve"> SEQ Table \* ARABIC </w:instrText>
      </w:r>
      <w:r>
        <w:fldChar w:fldCharType="separate"/>
      </w:r>
      <w:r w:rsidR="00C046F8">
        <w:rPr>
          <w:noProof/>
        </w:rPr>
        <w:t>4</w:t>
      </w:r>
      <w:r>
        <w:fldChar w:fldCharType="end"/>
      </w:r>
      <w:r>
        <w:t xml:space="preserve"> </w:t>
      </w:r>
      <w:r w:rsidR="00B50D29">
        <w:t>T</w:t>
      </w:r>
      <w:r w:rsidRPr="00C97C41">
        <w:t xml:space="preserve">he average publicly available cost of </w:t>
      </w:r>
      <w:proofErr w:type="spellStart"/>
      <w:r w:rsidRPr="00C97C41">
        <w:t>CgA</w:t>
      </w:r>
      <w:proofErr w:type="spellEnd"/>
      <w:r w:rsidRPr="00C97C41">
        <w:t xml:space="preserve"> testing across five Australian providers</w:t>
      </w:r>
      <w:r w:rsidR="00B50D29">
        <w:t xml:space="preserve"> </w:t>
      </w:r>
    </w:p>
    <w:tbl>
      <w:tblPr>
        <w:tblStyle w:val="TableGrid"/>
        <w:tblW w:w="0" w:type="auto"/>
        <w:tblInd w:w="0" w:type="dxa"/>
        <w:tblLook w:val="04A0" w:firstRow="1" w:lastRow="0" w:firstColumn="1" w:lastColumn="0" w:noHBand="0" w:noVBand="1"/>
      </w:tblPr>
      <w:tblGrid>
        <w:gridCol w:w="3964"/>
        <w:gridCol w:w="993"/>
        <w:gridCol w:w="3485"/>
      </w:tblGrid>
      <w:tr w:rsidR="007D4DE2" w14:paraId="19B0DFE4" w14:textId="77777777" w:rsidTr="00E25CBC">
        <w:trPr>
          <w:trHeight w:val="402"/>
          <w:tblHeader/>
        </w:trPr>
        <w:tc>
          <w:tcPr>
            <w:tcW w:w="3964" w:type="dxa"/>
          </w:tcPr>
          <w:p w14:paraId="3E03F795" w14:textId="77777777" w:rsidR="007D4DE2" w:rsidRPr="00FC27CB" w:rsidRDefault="007D4DE2" w:rsidP="007D4DE2">
            <w:pPr>
              <w:pStyle w:val="TableText0"/>
            </w:pPr>
            <w:r>
              <w:t>Provider</w:t>
            </w:r>
          </w:p>
        </w:tc>
        <w:tc>
          <w:tcPr>
            <w:tcW w:w="993" w:type="dxa"/>
          </w:tcPr>
          <w:p w14:paraId="393DE765" w14:textId="77777777" w:rsidR="007D4DE2" w:rsidRPr="00FC27CB" w:rsidRDefault="007D4DE2" w:rsidP="007D4DE2">
            <w:pPr>
              <w:pStyle w:val="TableText0"/>
            </w:pPr>
            <w:r w:rsidRPr="00FC27CB">
              <w:t>Price</w:t>
            </w:r>
          </w:p>
        </w:tc>
        <w:tc>
          <w:tcPr>
            <w:tcW w:w="3485" w:type="dxa"/>
          </w:tcPr>
          <w:p w14:paraId="16E2E67C" w14:textId="77777777" w:rsidR="007D4DE2" w:rsidRPr="00FC27CB" w:rsidRDefault="007D4DE2" w:rsidP="007D4DE2">
            <w:pPr>
              <w:pStyle w:val="TableText0"/>
            </w:pPr>
            <w:r w:rsidRPr="00FC27CB">
              <w:t>Notes</w:t>
            </w:r>
          </w:p>
        </w:tc>
      </w:tr>
      <w:tr w:rsidR="007D4DE2" w14:paraId="329FA25E" w14:textId="77777777">
        <w:tc>
          <w:tcPr>
            <w:tcW w:w="3964" w:type="dxa"/>
          </w:tcPr>
          <w:p w14:paraId="3189F430" w14:textId="77777777" w:rsidR="007D4DE2" w:rsidRDefault="007D4DE2" w:rsidP="007D4DE2">
            <w:pPr>
              <w:pStyle w:val="TableText0"/>
            </w:pPr>
            <w:hyperlink r:id="rId12" w:history="1">
              <w:r w:rsidRPr="00FC27CB">
                <w:rPr>
                  <w:rStyle w:val="Hyperlink"/>
                </w:rPr>
                <w:t>SA Pathology</w:t>
              </w:r>
            </w:hyperlink>
            <w:r w:rsidRPr="00173EE6">
              <w:t xml:space="preserve"> </w:t>
            </w:r>
          </w:p>
          <w:p w14:paraId="14699E6C" w14:textId="77777777" w:rsidR="007D4DE2" w:rsidRPr="00173EE6" w:rsidRDefault="007D4DE2" w:rsidP="007D4DE2">
            <w:pPr>
              <w:pStyle w:val="TableText0"/>
            </w:pPr>
            <w:r w:rsidRPr="00173EE6">
              <w:t>(</w:t>
            </w:r>
            <w:r w:rsidRPr="00FC27CB">
              <w:t>Adelaide PHN</w:t>
            </w:r>
            <w:r w:rsidRPr="00173EE6">
              <w:t>)</w:t>
            </w:r>
          </w:p>
        </w:tc>
        <w:tc>
          <w:tcPr>
            <w:tcW w:w="993" w:type="dxa"/>
          </w:tcPr>
          <w:p w14:paraId="32EF4590" w14:textId="77777777" w:rsidR="007D4DE2" w:rsidRDefault="007D4DE2" w:rsidP="007D4DE2">
            <w:pPr>
              <w:pStyle w:val="TableText0"/>
            </w:pPr>
            <w:r>
              <w:t>$45</w:t>
            </w:r>
          </w:p>
        </w:tc>
        <w:tc>
          <w:tcPr>
            <w:tcW w:w="3485" w:type="dxa"/>
          </w:tcPr>
          <w:p w14:paraId="204C8539" w14:textId="77777777" w:rsidR="007D4DE2" w:rsidRDefault="007D4DE2" w:rsidP="007D4DE2">
            <w:pPr>
              <w:pStyle w:val="TableText0"/>
            </w:pPr>
            <w:r>
              <w:t>N</w:t>
            </w:r>
            <w:r w:rsidRPr="00FC27CB">
              <w:t xml:space="preserve">o longer ELISA -&gt; automated immunofluorescence analyser </w:t>
            </w:r>
            <w:proofErr w:type="spellStart"/>
            <w:r w:rsidRPr="00FC27CB">
              <w:t>Kryptor</w:t>
            </w:r>
            <w:proofErr w:type="spellEnd"/>
            <w:r w:rsidRPr="00FC27CB">
              <w:t xml:space="preserve"> Gold; twice weekly; </w:t>
            </w:r>
            <w:r>
              <w:t>U</w:t>
            </w:r>
            <w:r w:rsidRPr="00FC27CB">
              <w:t>pdated as of 2024</w:t>
            </w:r>
          </w:p>
        </w:tc>
      </w:tr>
      <w:tr w:rsidR="007D4DE2" w14:paraId="0F6EEFA5" w14:textId="77777777">
        <w:tc>
          <w:tcPr>
            <w:tcW w:w="3964" w:type="dxa"/>
          </w:tcPr>
          <w:p w14:paraId="3124AEA4" w14:textId="77777777" w:rsidR="007D4DE2" w:rsidRDefault="007D4DE2" w:rsidP="007D4DE2">
            <w:pPr>
              <w:pStyle w:val="TableText0"/>
            </w:pPr>
            <w:hyperlink r:id="rId13" w:history="1">
              <w:proofErr w:type="spellStart"/>
              <w:r w:rsidRPr="00FC27CB">
                <w:rPr>
                  <w:rStyle w:val="Hyperlink"/>
                </w:rPr>
                <w:t>PathWest</w:t>
              </w:r>
              <w:proofErr w:type="spellEnd"/>
            </w:hyperlink>
          </w:p>
          <w:p w14:paraId="674C8FC9" w14:textId="77777777" w:rsidR="007D4DE2" w:rsidRPr="00173EE6" w:rsidRDefault="007D4DE2" w:rsidP="007D4DE2">
            <w:pPr>
              <w:pStyle w:val="TableText0"/>
            </w:pPr>
            <w:r>
              <w:t>(</w:t>
            </w:r>
            <w:r w:rsidRPr="00FC27CB">
              <w:t>Fiona Stanley</w:t>
            </w:r>
            <w:r>
              <w:t>)</w:t>
            </w:r>
          </w:p>
        </w:tc>
        <w:tc>
          <w:tcPr>
            <w:tcW w:w="993" w:type="dxa"/>
          </w:tcPr>
          <w:p w14:paraId="7F34F36C" w14:textId="77777777" w:rsidR="007D4DE2" w:rsidRDefault="007D4DE2" w:rsidP="007D4DE2">
            <w:pPr>
              <w:pStyle w:val="TableText0"/>
            </w:pPr>
            <w:r w:rsidRPr="00FC27CB">
              <w:t>$50.7</w:t>
            </w:r>
            <w:r>
              <w:t>5</w:t>
            </w:r>
          </w:p>
        </w:tc>
        <w:tc>
          <w:tcPr>
            <w:tcW w:w="3485" w:type="dxa"/>
          </w:tcPr>
          <w:p w14:paraId="2D6B7B89" w14:textId="77777777" w:rsidR="007D4DE2" w:rsidRDefault="007D4DE2" w:rsidP="007D4DE2">
            <w:pPr>
              <w:pStyle w:val="TableText0"/>
            </w:pPr>
            <w:r>
              <w:t>U</w:t>
            </w:r>
            <w:r w:rsidRPr="00FC27CB">
              <w:t xml:space="preserve">pdated </w:t>
            </w:r>
            <w:r>
              <w:t xml:space="preserve">as of </w:t>
            </w:r>
            <w:r w:rsidRPr="00FC27CB">
              <w:t>2021</w:t>
            </w:r>
          </w:p>
        </w:tc>
      </w:tr>
      <w:tr w:rsidR="007D4DE2" w14:paraId="2DA5E698" w14:textId="77777777">
        <w:tc>
          <w:tcPr>
            <w:tcW w:w="3964" w:type="dxa"/>
          </w:tcPr>
          <w:p w14:paraId="2DEC3B40" w14:textId="77777777" w:rsidR="007D4DE2" w:rsidRDefault="007D4DE2" w:rsidP="007D4DE2">
            <w:pPr>
              <w:pStyle w:val="TableText0"/>
            </w:pPr>
            <w:hyperlink r:id="rId14" w:history="1">
              <w:r w:rsidRPr="00FC27CB">
                <w:rPr>
                  <w:rStyle w:val="Hyperlink"/>
                </w:rPr>
                <w:t>Syd Path</w:t>
              </w:r>
            </w:hyperlink>
          </w:p>
          <w:p w14:paraId="5AA9C377" w14:textId="77777777" w:rsidR="007D4DE2" w:rsidRPr="00173EE6" w:rsidRDefault="007D4DE2" w:rsidP="007D4DE2">
            <w:pPr>
              <w:pStyle w:val="TableText0"/>
            </w:pPr>
            <w:r>
              <w:t>(</w:t>
            </w:r>
            <w:r w:rsidRPr="00FC27CB">
              <w:t>St Vincent</w:t>
            </w:r>
            <w:r w:rsidRPr="00173EE6">
              <w:t>’</w:t>
            </w:r>
            <w:r w:rsidRPr="00FC27CB">
              <w:t>s</w:t>
            </w:r>
            <w:r w:rsidRPr="00173EE6">
              <w:t xml:space="preserve"> Pathology</w:t>
            </w:r>
            <w:r>
              <w:t>)</w:t>
            </w:r>
          </w:p>
        </w:tc>
        <w:tc>
          <w:tcPr>
            <w:tcW w:w="993" w:type="dxa"/>
          </w:tcPr>
          <w:p w14:paraId="3DBC956E" w14:textId="77777777" w:rsidR="007D4DE2" w:rsidRDefault="007D4DE2" w:rsidP="007D4DE2">
            <w:pPr>
              <w:pStyle w:val="TableText0"/>
            </w:pPr>
            <w:r w:rsidRPr="00FC27CB">
              <w:t>$45</w:t>
            </w:r>
          </w:p>
        </w:tc>
        <w:tc>
          <w:tcPr>
            <w:tcW w:w="3485" w:type="dxa"/>
          </w:tcPr>
          <w:p w14:paraId="06BD77B4" w14:textId="77777777" w:rsidR="007D4DE2" w:rsidRDefault="007D4DE2" w:rsidP="007D4DE2">
            <w:pPr>
              <w:pStyle w:val="TableText0"/>
            </w:pPr>
            <w:r>
              <w:t>U</w:t>
            </w:r>
            <w:r w:rsidRPr="00FC27CB">
              <w:t xml:space="preserve">pdated </w:t>
            </w:r>
            <w:r>
              <w:t xml:space="preserve">as of </w:t>
            </w:r>
            <w:r w:rsidRPr="00FC27CB">
              <w:t>2024</w:t>
            </w:r>
          </w:p>
        </w:tc>
      </w:tr>
      <w:tr w:rsidR="007D4DE2" w14:paraId="1F604A60" w14:textId="77777777">
        <w:tc>
          <w:tcPr>
            <w:tcW w:w="3964" w:type="dxa"/>
          </w:tcPr>
          <w:p w14:paraId="508C2385" w14:textId="77777777" w:rsidR="007D4DE2" w:rsidRDefault="007D4DE2" w:rsidP="007D4DE2">
            <w:pPr>
              <w:pStyle w:val="TableText0"/>
            </w:pPr>
            <w:r w:rsidRPr="00FC27CB">
              <w:t xml:space="preserve">Peter Mac </w:t>
            </w:r>
          </w:p>
          <w:p w14:paraId="2B3B780A" w14:textId="77777777" w:rsidR="007D4DE2" w:rsidRPr="00173EE6" w:rsidRDefault="007D4DE2" w:rsidP="007D4DE2">
            <w:pPr>
              <w:pStyle w:val="TableText0"/>
            </w:pPr>
            <w:r>
              <w:t>(</w:t>
            </w:r>
            <w:hyperlink r:id="rId15" w:history="1">
              <w:r w:rsidRPr="00FC27CB">
                <w:rPr>
                  <w:rStyle w:val="Hyperlink"/>
                </w:rPr>
                <w:t>Austin Pathology</w:t>
              </w:r>
            </w:hyperlink>
            <w:r w:rsidRPr="00173EE6">
              <w:t xml:space="preserve">, </w:t>
            </w:r>
            <w:hyperlink r:id="rId16" w:history="1">
              <w:r w:rsidRPr="00FC27CB">
                <w:rPr>
                  <w:rStyle w:val="Hyperlink"/>
                </w:rPr>
                <w:t>Royal Children's Hospital Melbourne</w:t>
              </w:r>
            </w:hyperlink>
            <w:r w:rsidRPr="00FC27CB">
              <w:t xml:space="preserve"> and </w:t>
            </w:r>
            <w:hyperlink r:id="rId17" w:history="1">
              <w:r w:rsidRPr="00FC27CB">
                <w:rPr>
                  <w:rStyle w:val="Hyperlink"/>
                </w:rPr>
                <w:t>Royal Melbourne</w:t>
              </w:r>
            </w:hyperlink>
            <w:r>
              <w:t>)</w:t>
            </w:r>
          </w:p>
        </w:tc>
        <w:tc>
          <w:tcPr>
            <w:tcW w:w="993" w:type="dxa"/>
          </w:tcPr>
          <w:p w14:paraId="2378DF7E" w14:textId="77777777" w:rsidR="007D4DE2" w:rsidRDefault="007D4DE2" w:rsidP="007D4DE2">
            <w:pPr>
              <w:pStyle w:val="TableText0"/>
            </w:pPr>
            <w:r w:rsidRPr="00FC27CB">
              <w:t>$52</w:t>
            </w:r>
          </w:p>
        </w:tc>
        <w:tc>
          <w:tcPr>
            <w:tcW w:w="3485" w:type="dxa"/>
          </w:tcPr>
          <w:p w14:paraId="6F229FAA" w14:textId="77777777" w:rsidR="007D4DE2" w:rsidRDefault="007D4DE2" w:rsidP="007D4DE2">
            <w:pPr>
              <w:pStyle w:val="TableText0"/>
            </w:pPr>
            <w:r>
              <w:t>W</w:t>
            </w:r>
            <w:r w:rsidRPr="00FC27CB">
              <w:t>eekly batched</w:t>
            </w:r>
          </w:p>
          <w:p w14:paraId="1E54341F" w14:textId="77777777" w:rsidR="007D4DE2" w:rsidRDefault="007D4DE2" w:rsidP="007D4DE2">
            <w:pPr>
              <w:pStyle w:val="TableText0"/>
            </w:pPr>
            <w:r>
              <w:t>U</w:t>
            </w:r>
            <w:r w:rsidRPr="00FC27CB">
              <w:t xml:space="preserve">pdated </w:t>
            </w:r>
            <w:r>
              <w:t xml:space="preserve">as of </w:t>
            </w:r>
            <w:r w:rsidRPr="00FC27CB">
              <w:t>2024</w:t>
            </w:r>
          </w:p>
        </w:tc>
      </w:tr>
      <w:tr w:rsidR="007D4DE2" w14:paraId="543E4CB1" w14:textId="77777777">
        <w:tc>
          <w:tcPr>
            <w:tcW w:w="3964" w:type="dxa"/>
          </w:tcPr>
          <w:p w14:paraId="4C1218CB" w14:textId="77777777" w:rsidR="007D4DE2" w:rsidRPr="00FC27CB" w:rsidRDefault="007D4DE2" w:rsidP="007D4DE2">
            <w:pPr>
              <w:pStyle w:val="TableText0"/>
            </w:pPr>
            <w:hyperlink r:id="rId18" w:history="1">
              <w:r w:rsidRPr="00FC27CB">
                <w:rPr>
                  <w:rStyle w:val="Hyperlink"/>
                </w:rPr>
                <w:t>Clinpath</w:t>
              </w:r>
            </w:hyperlink>
            <w:r>
              <w:t xml:space="preserve"> -&gt; SNP</w:t>
            </w:r>
          </w:p>
        </w:tc>
        <w:tc>
          <w:tcPr>
            <w:tcW w:w="993" w:type="dxa"/>
          </w:tcPr>
          <w:p w14:paraId="6D4E0E5E" w14:textId="77777777" w:rsidR="007D4DE2" w:rsidRDefault="007D4DE2" w:rsidP="007D4DE2">
            <w:pPr>
              <w:pStyle w:val="TableText0"/>
            </w:pPr>
            <w:r w:rsidRPr="00FC27CB">
              <w:t>$70</w:t>
            </w:r>
          </w:p>
        </w:tc>
        <w:tc>
          <w:tcPr>
            <w:tcW w:w="3485" w:type="dxa"/>
          </w:tcPr>
          <w:p w14:paraId="668A1831" w14:textId="77777777" w:rsidR="007D4DE2" w:rsidRDefault="007D4DE2" w:rsidP="007D4DE2">
            <w:pPr>
              <w:pStyle w:val="TableText0"/>
            </w:pPr>
            <w:r>
              <w:t>Daily testing</w:t>
            </w:r>
          </w:p>
          <w:p w14:paraId="5ACF0D4E" w14:textId="77777777" w:rsidR="007D4DE2" w:rsidRPr="00FC27CB" w:rsidRDefault="007D4DE2" w:rsidP="007D4DE2">
            <w:pPr>
              <w:pStyle w:val="TableText0"/>
            </w:pPr>
            <w:r>
              <w:t>U</w:t>
            </w:r>
            <w:r w:rsidRPr="00FC27CB">
              <w:t>pdated as of 2023</w:t>
            </w:r>
          </w:p>
        </w:tc>
      </w:tr>
    </w:tbl>
    <w:p w14:paraId="78DA2D66" w14:textId="0817550C" w:rsidR="007747D9" w:rsidRDefault="007747D9" w:rsidP="00E94863">
      <w:pPr>
        <w:pStyle w:val="Tablenotes"/>
      </w:pPr>
      <w:r>
        <w:t xml:space="preserve">Source: </w:t>
      </w:r>
      <w:r w:rsidR="00D314F7">
        <w:t xml:space="preserve"> PICO set document </w:t>
      </w:r>
      <w:r w:rsidR="00E94863">
        <w:t>‘</w:t>
      </w:r>
      <w:proofErr w:type="spellStart"/>
      <w:r w:rsidR="00E94863" w:rsidRPr="00E94863">
        <w:t>CgA</w:t>
      </w:r>
      <w:proofErr w:type="spellEnd"/>
      <w:r w:rsidR="00E94863" w:rsidRPr="00E94863">
        <w:t xml:space="preserve"> fee justification</w:t>
      </w:r>
      <w:r w:rsidR="00E94863">
        <w:t>.docx”</w:t>
      </w:r>
    </w:p>
    <w:p w14:paraId="081F89A4" w14:textId="0D92CE51" w:rsidR="00AB4207" w:rsidRDefault="002A5338" w:rsidP="002C1508">
      <w:r>
        <w:t xml:space="preserve">Given the </w:t>
      </w:r>
      <w:r w:rsidR="00E55CE8">
        <w:t xml:space="preserve">above issues, during the PICO development the following changes </w:t>
      </w:r>
      <w:r w:rsidR="00FB075B">
        <w:t xml:space="preserve">were </w:t>
      </w:r>
      <w:r w:rsidR="00E55CE8">
        <w:t xml:space="preserve">proposed </w:t>
      </w:r>
      <w:r w:rsidR="002C1508">
        <w:t>to the item descriptor</w:t>
      </w:r>
      <w:r w:rsidR="00FB075B">
        <w:t xml:space="preserve"> (blue text)</w:t>
      </w:r>
      <w:r w:rsidR="00AB4207">
        <w:t>.</w:t>
      </w:r>
    </w:p>
    <w:p w14:paraId="0BAF5DAE" w14:textId="00A9D9F1" w:rsidR="00AB40B9" w:rsidRDefault="00AB4207" w:rsidP="00450E0B">
      <w:pPr>
        <w:pStyle w:val="Caption"/>
      </w:pPr>
      <w:bookmarkStart w:id="12" w:name="_Ref235441491"/>
      <w:r>
        <w:t xml:space="preserve">Table </w:t>
      </w:r>
      <w:r>
        <w:fldChar w:fldCharType="begin"/>
      </w:r>
      <w:r>
        <w:instrText xml:space="preserve"> SEQ Table \* ARABIC </w:instrText>
      </w:r>
      <w:r>
        <w:fldChar w:fldCharType="separate"/>
      </w:r>
      <w:r>
        <w:rPr>
          <w:noProof/>
        </w:rPr>
        <w:t>5</w:t>
      </w:r>
      <w:r>
        <w:fldChar w:fldCharType="end"/>
      </w:r>
      <w:bookmarkEnd w:id="12"/>
      <w:r>
        <w:t xml:space="preserve"> Applicant proposed MBS item with edits suggested by the assessment group in </w:t>
      </w:r>
      <w:r w:rsidRPr="00FE762F">
        <w:rPr>
          <w:color w:val="4472C4" w:themeColor="accent5"/>
        </w:rPr>
        <w:t>blue</w:t>
      </w:r>
      <w:r>
        <w:t xml:space="preserve"> text </w:t>
      </w:r>
    </w:p>
    <w:tbl>
      <w:tblPr>
        <w:tblStyle w:val="TableGrid"/>
        <w:tblW w:w="0" w:type="auto"/>
        <w:tblInd w:w="0" w:type="dxa"/>
        <w:tblLook w:val="04A0" w:firstRow="1" w:lastRow="0" w:firstColumn="1" w:lastColumn="0" w:noHBand="0" w:noVBand="1"/>
        <w:tblCaption w:val="Proposed Item Descriptor Table"/>
        <w:tblDescription w:val="Please enter the:&#10;1. proposed category number from the MBS;&#10;2. proposed categroy description from the MBS;&#10;3. proposed item descriptor; and&#10;4. proposed fee."/>
      </w:tblPr>
      <w:tblGrid>
        <w:gridCol w:w="9242"/>
      </w:tblGrid>
      <w:tr w:rsidR="00AB40B9" w:rsidRPr="00D2670B" w14:paraId="408CE986" w14:textId="77777777" w:rsidTr="2DF52617">
        <w:trPr>
          <w:cantSplit/>
          <w:tblHeader/>
        </w:trPr>
        <w:tc>
          <w:tcPr>
            <w:tcW w:w="9242" w:type="dxa"/>
            <w:tcBorders>
              <w:top w:val="single" w:sz="4" w:space="0" w:color="auto"/>
              <w:left w:val="single" w:sz="4" w:space="0" w:color="auto"/>
              <w:bottom w:val="single" w:sz="4" w:space="0" w:color="auto"/>
              <w:right w:val="single" w:sz="4" w:space="0" w:color="auto"/>
            </w:tcBorders>
            <w:hideMark/>
          </w:tcPr>
          <w:p w14:paraId="61A98CD6" w14:textId="111938B4" w:rsidR="00AB40B9" w:rsidRPr="00DE762F" w:rsidRDefault="00EF5192">
            <w:pPr>
              <w:spacing w:before="40" w:after="40" w:line="240" w:lineRule="auto"/>
              <w:rPr>
                <w:rFonts w:ascii="Arial Narrow" w:hAnsi="Arial Narrow"/>
                <w:sz w:val="20"/>
                <w:szCs w:val="20"/>
              </w:rPr>
            </w:pPr>
            <w:r w:rsidRPr="00EF5192">
              <w:rPr>
                <w:rFonts w:ascii="Arial Narrow" w:hAnsi="Arial Narrow"/>
                <w:sz w:val="20"/>
                <w:szCs w:val="20"/>
              </w:rPr>
              <w:t>Category 2 – Pathology Services; Group P2 – Chemical</w:t>
            </w:r>
          </w:p>
        </w:tc>
      </w:tr>
      <w:tr w:rsidR="00AB40B9" w:rsidRPr="005771DC" w14:paraId="67530C3D" w14:textId="77777777" w:rsidTr="00DE43F0">
        <w:trPr>
          <w:cantSplit/>
          <w:trHeight w:val="1815"/>
          <w:tblHeader/>
        </w:trPr>
        <w:tc>
          <w:tcPr>
            <w:tcW w:w="9242" w:type="dxa"/>
            <w:tcBorders>
              <w:top w:val="single" w:sz="4" w:space="0" w:color="auto"/>
              <w:left w:val="single" w:sz="4" w:space="0" w:color="auto"/>
              <w:bottom w:val="single" w:sz="4" w:space="0" w:color="auto"/>
              <w:right w:val="single" w:sz="4" w:space="0" w:color="auto"/>
            </w:tcBorders>
          </w:tcPr>
          <w:p w14:paraId="78E79637" w14:textId="77777777" w:rsidR="00AB40B9" w:rsidRPr="00DE762F" w:rsidRDefault="00AB40B9">
            <w:pPr>
              <w:spacing w:before="120" w:after="120" w:line="240" w:lineRule="auto"/>
              <w:rPr>
                <w:rFonts w:ascii="Arial Narrow" w:hAnsi="Arial Narrow"/>
                <w:sz w:val="20"/>
                <w:szCs w:val="20"/>
              </w:rPr>
            </w:pPr>
            <w:r w:rsidRPr="00DE762F">
              <w:rPr>
                <w:rFonts w:ascii="Arial Narrow" w:hAnsi="Arial Narrow"/>
                <w:sz w:val="20"/>
                <w:szCs w:val="20"/>
              </w:rPr>
              <w:t>MBS item *XXXX</w:t>
            </w:r>
          </w:p>
          <w:p w14:paraId="186C6D86" w14:textId="3BB55FC4" w:rsidR="001C5F26" w:rsidRPr="00450E0B" w:rsidRDefault="001C5F26" w:rsidP="001C5F26">
            <w:pPr>
              <w:spacing w:before="120" w:after="120" w:line="240" w:lineRule="auto"/>
              <w:rPr>
                <w:rFonts w:ascii="Arial Narrow" w:hAnsi="Arial Narrow"/>
                <w:color w:val="0070C0"/>
                <w:sz w:val="20"/>
                <w:szCs w:val="20"/>
              </w:rPr>
            </w:pPr>
            <w:r w:rsidRPr="001C5F26">
              <w:rPr>
                <w:rFonts w:ascii="Arial Narrow" w:hAnsi="Arial Narrow"/>
                <w:sz w:val="20"/>
                <w:szCs w:val="20"/>
              </w:rPr>
              <w:t>Quantitation of chromogranin A (</w:t>
            </w:r>
            <w:proofErr w:type="spellStart"/>
            <w:r w:rsidRPr="001C5F26">
              <w:rPr>
                <w:rFonts w:ascii="Arial Narrow" w:hAnsi="Arial Narrow"/>
                <w:sz w:val="20"/>
                <w:szCs w:val="20"/>
              </w:rPr>
              <w:t>CgA</w:t>
            </w:r>
            <w:proofErr w:type="spellEnd"/>
            <w:r w:rsidRPr="001C5F26">
              <w:rPr>
                <w:rFonts w:ascii="Arial Narrow" w:hAnsi="Arial Narrow"/>
                <w:sz w:val="20"/>
                <w:szCs w:val="20"/>
              </w:rPr>
              <w:t xml:space="preserve">) </w:t>
            </w:r>
            <w:r w:rsidRPr="00450E0B">
              <w:rPr>
                <w:rFonts w:ascii="Arial Narrow" w:hAnsi="Arial Narrow"/>
                <w:color w:val="0070C0"/>
                <w:sz w:val="20"/>
                <w:szCs w:val="20"/>
              </w:rPr>
              <w:t>performed: to establish a baseline, or for serial monitoring to assist in managing a patient, where: the patient has a well differentiated advanced or metastatic neuroendocrine tumour, and the service is requested by a specialist or consultant physician.</w:t>
            </w:r>
          </w:p>
          <w:p w14:paraId="6AF1F6D7" w14:textId="1B1B29FC" w:rsidR="001C5F26" w:rsidRPr="00450E0B" w:rsidRDefault="001C5F26" w:rsidP="001C5F26">
            <w:pPr>
              <w:spacing w:before="120" w:after="120" w:line="240" w:lineRule="auto"/>
              <w:rPr>
                <w:rFonts w:ascii="Arial Narrow" w:hAnsi="Arial Narrow"/>
                <w:strike/>
                <w:color w:val="0070C0"/>
                <w:sz w:val="20"/>
                <w:szCs w:val="20"/>
              </w:rPr>
            </w:pPr>
            <w:r w:rsidRPr="00450E0B">
              <w:rPr>
                <w:rFonts w:ascii="Arial Narrow" w:hAnsi="Arial Narrow"/>
                <w:strike/>
                <w:color w:val="0070C0"/>
                <w:sz w:val="20"/>
                <w:szCs w:val="20"/>
              </w:rPr>
              <w:t>for a patient with a well differentiated neuroendocrine tumour, performed to establish a baseline and for serial monitoring of disease activity, to assist in identifying relapse/progression and in assessing response to treatment, where the patient has known metastatic disease, and the service is requested by a specialist or consultant physician.</w:t>
            </w:r>
          </w:p>
          <w:p w14:paraId="66B27583" w14:textId="77777777" w:rsidR="00AB40B9" w:rsidRPr="00DE762F" w:rsidRDefault="00AB40B9">
            <w:pPr>
              <w:spacing w:before="120" w:after="120" w:line="240" w:lineRule="auto"/>
              <w:rPr>
                <w:rFonts w:ascii="Arial Narrow" w:hAnsi="Arial Narrow"/>
                <w:sz w:val="20"/>
                <w:szCs w:val="20"/>
              </w:rPr>
            </w:pPr>
            <w:r w:rsidRPr="00CA4F5F">
              <w:rPr>
                <w:rFonts w:ascii="Arial Narrow" w:hAnsi="Arial Narrow"/>
                <w:sz w:val="20"/>
                <w:szCs w:val="20"/>
              </w:rPr>
              <w:t>Maximum 4 tests per year.</w:t>
            </w:r>
          </w:p>
        </w:tc>
      </w:tr>
      <w:tr w:rsidR="00AB40B9" w:rsidRPr="005771DC" w14:paraId="1A753C2C" w14:textId="77777777" w:rsidTr="2DF52617">
        <w:trPr>
          <w:cantSplit/>
          <w:tblHeader/>
        </w:trPr>
        <w:tc>
          <w:tcPr>
            <w:tcW w:w="9242" w:type="dxa"/>
            <w:tcBorders>
              <w:top w:val="single" w:sz="4" w:space="0" w:color="auto"/>
              <w:left w:val="single" w:sz="4" w:space="0" w:color="auto"/>
              <w:bottom w:val="single" w:sz="4" w:space="0" w:color="auto"/>
              <w:right w:val="single" w:sz="4" w:space="0" w:color="auto"/>
            </w:tcBorders>
            <w:vAlign w:val="center"/>
          </w:tcPr>
          <w:p w14:paraId="78095E58" w14:textId="02342B5B" w:rsidR="00AB40B9" w:rsidRPr="00DE762F" w:rsidRDefault="00AB40B9">
            <w:pPr>
              <w:spacing w:before="40" w:after="40" w:line="240" w:lineRule="auto"/>
              <w:rPr>
                <w:rFonts w:ascii="Arial Narrow" w:hAnsi="Arial Narrow"/>
                <w:sz w:val="20"/>
                <w:szCs w:val="20"/>
              </w:rPr>
            </w:pPr>
            <w:r w:rsidRPr="00DE762F">
              <w:rPr>
                <w:rFonts w:ascii="Arial Narrow" w:hAnsi="Arial Narrow"/>
                <w:sz w:val="20"/>
                <w:szCs w:val="20"/>
              </w:rPr>
              <w:t xml:space="preserve">Fee: </w:t>
            </w:r>
            <w:r w:rsidRPr="00450E0B">
              <w:rPr>
                <w:rFonts w:ascii="Arial Narrow" w:hAnsi="Arial Narrow"/>
                <w:strike/>
                <w:color w:val="0070C0"/>
                <w:sz w:val="20"/>
                <w:szCs w:val="20"/>
              </w:rPr>
              <w:t>$65.</w:t>
            </w:r>
            <w:r w:rsidR="00592038" w:rsidRPr="00450E0B">
              <w:rPr>
                <w:rFonts w:ascii="Arial Narrow" w:hAnsi="Arial Narrow"/>
                <w:strike/>
                <w:color w:val="0070C0"/>
                <w:sz w:val="20"/>
                <w:szCs w:val="20"/>
              </w:rPr>
              <w:t>00 Benefit</w:t>
            </w:r>
            <w:r w:rsidRPr="00450E0B">
              <w:rPr>
                <w:rFonts w:ascii="Arial Narrow" w:hAnsi="Arial Narrow"/>
                <w:strike/>
                <w:color w:val="0070C0"/>
                <w:sz w:val="20"/>
                <w:szCs w:val="20"/>
              </w:rPr>
              <w:t>: 75%=$48.75 85%=$55.25</w:t>
            </w:r>
            <w:r w:rsidR="00592038" w:rsidRPr="00450E0B">
              <w:rPr>
                <w:rFonts w:ascii="Arial Narrow" w:hAnsi="Arial Narrow"/>
                <w:color w:val="0070C0"/>
                <w:sz w:val="20"/>
                <w:szCs w:val="20"/>
              </w:rPr>
              <w:t xml:space="preserve"> $53.00 Benefit: 75%=$</w:t>
            </w:r>
            <w:r w:rsidR="00FA52FD" w:rsidRPr="00450E0B">
              <w:rPr>
                <w:rFonts w:ascii="Arial Narrow" w:hAnsi="Arial Narrow"/>
                <w:color w:val="0070C0"/>
                <w:sz w:val="20"/>
                <w:szCs w:val="20"/>
              </w:rPr>
              <w:t>39</w:t>
            </w:r>
            <w:r w:rsidR="00592038" w:rsidRPr="00450E0B">
              <w:rPr>
                <w:rFonts w:ascii="Arial Narrow" w:hAnsi="Arial Narrow"/>
                <w:color w:val="0070C0"/>
                <w:sz w:val="20"/>
                <w:szCs w:val="20"/>
              </w:rPr>
              <w:t>.75 85%=$</w:t>
            </w:r>
            <w:r w:rsidR="002A5338" w:rsidRPr="00450E0B">
              <w:rPr>
                <w:rFonts w:ascii="Arial Narrow" w:hAnsi="Arial Narrow"/>
                <w:color w:val="0070C0"/>
                <w:sz w:val="20"/>
                <w:szCs w:val="20"/>
              </w:rPr>
              <w:t>45</w:t>
            </w:r>
            <w:r w:rsidR="00592038" w:rsidRPr="00450E0B">
              <w:rPr>
                <w:rFonts w:ascii="Arial Narrow" w:hAnsi="Arial Narrow"/>
                <w:color w:val="0070C0"/>
                <w:sz w:val="20"/>
                <w:szCs w:val="20"/>
              </w:rPr>
              <w:t>.</w:t>
            </w:r>
            <w:r w:rsidR="002A5338" w:rsidRPr="00450E0B">
              <w:rPr>
                <w:rFonts w:ascii="Arial Narrow" w:hAnsi="Arial Narrow"/>
                <w:color w:val="0070C0"/>
                <w:sz w:val="20"/>
                <w:szCs w:val="20"/>
              </w:rPr>
              <w:t>0</w:t>
            </w:r>
            <w:r w:rsidR="00592038" w:rsidRPr="00450E0B">
              <w:rPr>
                <w:rFonts w:ascii="Arial Narrow" w:hAnsi="Arial Narrow"/>
                <w:color w:val="0070C0"/>
                <w:sz w:val="20"/>
                <w:szCs w:val="20"/>
              </w:rPr>
              <w:t>5</w:t>
            </w:r>
          </w:p>
        </w:tc>
      </w:tr>
      <w:tr w:rsidR="00AB40B9" w:rsidRPr="005771DC" w14:paraId="6F476F93" w14:textId="77777777" w:rsidTr="2DF52617">
        <w:trPr>
          <w:cantSplit/>
          <w:tblHeader/>
        </w:trPr>
        <w:tc>
          <w:tcPr>
            <w:tcW w:w="9242" w:type="dxa"/>
            <w:tcBorders>
              <w:top w:val="single" w:sz="4" w:space="0" w:color="auto"/>
              <w:left w:val="single" w:sz="4" w:space="0" w:color="auto"/>
              <w:bottom w:val="single" w:sz="4" w:space="0" w:color="auto"/>
              <w:right w:val="single" w:sz="4" w:space="0" w:color="auto"/>
            </w:tcBorders>
            <w:vAlign w:val="center"/>
          </w:tcPr>
          <w:p w14:paraId="1E923489" w14:textId="77777777" w:rsidR="00AB40B9" w:rsidRDefault="00AB40B9">
            <w:pPr>
              <w:spacing w:before="40" w:after="40" w:line="240" w:lineRule="auto"/>
              <w:rPr>
                <w:rFonts w:ascii="Arial Narrow" w:hAnsi="Arial Narrow"/>
                <w:sz w:val="20"/>
                <w:szCs w:val="20"/>
              </w:rPr>
            </w:pPr>
            <w:r>
              <w:rPr>
                <w:rFonts w:ascii="Arial Narrow" w:hAnsi="Arial Narrow"/>
                <w:sz w:val="20"/>
                <w:szCs w:val="20"/>
              </w:rPr>
              <w:t>Notes:</w:t>
            </w:r>
          </w:p>
          <w:p w14:paraId="19890F97" w14:textId="77777777" w:rsidR="00B90AD5" w:rsidRDefault="00B90AD5" w:rsidP="00B90AD5">
            <w:pPr>
              <w:spacing w:before="40" w:after="40" w:line="240" w:lineRule="auto"/>
              <w:rPr>
                <w:rFonts w:ascii="Arial Narrow" w:hAnsi="Arial Narrow"/>
                <w:sz w:val="20"/>
                <w:szCs w:val="20"/>
              </w:rPr>
            </w:pPr>
            <w:proofErr w:type="spellStart"/>
            <w:r w:rsidRPr="005C1EC0">
              <w:rPr>
                <w:rFonts w:ascii="Arial Narrow" w:hAnsi="Arial Narrow"/>
                <w:sz w:val="20"/>
                <w:szCs w:val="20"/>
              </w:rPr>
              <w:t>CgA</w:t>
            </w:r>
            <w:proofErr w:type="spellEnd"/>
            <w:r w:rsidRPr="005C1EC0">
              <w:rPr>
                <w:rFonts w:ascii="Arial Narrow" w:hAnsi="Arial Narrow"/>
                <w:sz w:val="20"/>
                <w:szCs w:val="20"/>
              </w:rPr>
              <w:t xml:space="preserve"> is not a measure of tumour bulk for </w:t>
            </w:r>
            <w:proofErr w:type="spellStart"/>
            <w:r w:rsidRPr="005C1EC0">
              <w:rPr>
                <w:rFonts w:ascii="Arial Narrow" w:hAnsi="Arial Narrow"/>
                <w:sz w:val="20"/>
                <w:szCs w:val="20"/>
              </w:rPr>
              <w:t>gastrinomas</w:t>
            </w:r>
            <w:proofErr w:type="spellEnd"/>
            <w:r w:rsidRPr="005C1EC0">
              <w:rPr>
                <w:rFonts w:ascii="Arial Narrow" w:hAnsi="Arial Narrow"/>
                <w:sz w:val="20"/>
                <w:szCs w:val="20"/>
              </w:rPr>
              <w:t xml:space="preserve">, therefore other hormonal markers need to be measured. It is also not a useful measure for patients on proton pump inhibitors, and </w:t>
            </w:r>
            <w:r w:rsidRPr="00450E0B">
              <w:rPr>
                <w:rFonts w:ascii="Arial Narrow" w:hAnsi="Arial Narrow"/>
                <w:strike/>
                <w:color w:val="0070C0"/>
                <w:sz w:val="20"/>
                <w:szCs w:val="20"/>
              </w:rPr>
              <w:t>if appropriate, attempts</w:t>
            </w:r>
            <w:r w:rsidRPr="00450E0B">
              <w:rPr>
                <w:rFonts w:ascii="Arial Narrow" w:hAnsi="Arial Narrow"/>
                <w:color w:val="0070C0"/>
                <w:sz w:val="20"/>
                <w:szCs w:val="20"/>
              </w:rPr>
              <w:t xml:space="preserve"> </w:t>
            </w:r>
            <w:r w:rsidRPr="005C1EC0">
              <w:rPr>
                <w:rFonts w:ascii="Arial Narrow" w:hAnsi="Arial Narrow"/>
                <w:sz w:val="20"/>
                <w:szCs w:val="20"/>
              </w:rPr>
              <w:t xml:space="preserve">should </w:t>
            </w:r>
            <w:r w:rsidRPr="00450E0B">
              <w:rPr>
                <w:rFonts w:ascii="Arial Narrow" w:hAnsi="Arial Narrow"/>
                <w:color w:val="0070C0"/>
                <w:sz w:val="20"/>
                <w:szCs w:val="20"/>
              </w:rPr>
              <w:t xml:space="preserve">not </w:t>
            </w:r>
            <w:r w:rsidRPr="005C1EC0">
              <w:rPr>
                <w:rFonts w:ascii="Arial Narrow" w:hAnsi="Arial Narrow"/>
                <w:sz w:val="20"/>
                <w:szCs w:val="20"/>
              </w:rPr>
              <w:t xml:space="preserve">be </w:t>
            </w:r>
            <w:r w:rsidRPr="00450E0B">
              <w:rPr>
                <w:rFonts w:ascii="Arial Narrow" w:hAnsi="Arial Narrow"/>
                <w:strike/>
                <w:color w:val="0070C0"/>
                <w:sz w:val="20"/>
                <w:szCs w:val="20"/>
              </w:rPr>
              <w:t>made to</w:t>
            </w:r>
            <w:r w:rsidRPr="00450E0B">
              <w:rPr>
                <w:rFonts w:ascii="Arial Narrow" w:hAnsi="Arial Narrow"/>
                <w:color w:val="0070C0"/>
                <w:sz w:val="20"/>
                <w:szCs w:val="20"/>
              </w:rPr>
              <w:t xml:space="preserve"> </w:t>
            </w:r>
            <w:r w:rsidRPr="005C1EC0">
              <w:rPr>
                <w:rFonts w:ascii="Arial Narrow" w:hAnsi="Arial Narrow"/>
                <w:sz w:val="20"/>
                <w:szCs w:val="20"/>
              </w:rPr>
              <w:t>measure</w:t>
            </w:r>
            <w:r w:rsidRPr="00450E0B">
              <w:rPr>
                <w:rFonts w:ascii="Arial Narrow" w:hAnsi="Arial Narrow"/>
                <w:color w:val="0070C0"/>
                <w:sz w:val="20"/>
                <w:szCs w:val="20"/>
              </w:rPr>
              <w:t xml:space="preserve">d </w:t>
            </w:r>
            <w:r w:rsidRPr="00450E0B">
              <w:rPr>
                <w:rFonts w:ascii="Arial Narrow" w:hAnsi="Arial Narrow"/>
                <w:strike/>
                <w:color w:val="0070C0"/>
                <w:sz w:val="20"/>
                <w:szCs w:val="20"/>
              </w:rPr>
              <w:t>it where</w:t>
            </w:r>
            <w:r w:rsidRPr="00450E0B">
              <w:rPr>
                <w:rFonts w:ascii="Arial Narrow" w:hAnsi="Arial Narrow"/>
                <w:color w:val="0070C0"/>
                <w:sz w:val="20"/>
                <w:szCs w:val="20"/>
              </w:rPr>
              <w:t xml:space="preserve"> when </w:t>
            </w:r>
            <w:r w:rsidRPr="005C1EC0">
              <w:rPr>
                <w:rFonts w:ascii="Arial Narrow" w:hAnsi="Arial Narrow"/>
                <w:sz w:val="20"/>
                <w:szCs w:val="20"/>
              </w:rPr>
              <w:t xml:space="preserve">this drug therapy </w:t>
            </w:r>
            <w:r w:rsidRPr="00450E0B">
              <w:rPr>
                <w:rFonts w:ascii="Arial Narrow" w:hAnsi="Arial Narrow"/>
                <w:color w:val="0070C0"/>
                <w:sz w:val="20"/>
                <w:szCs w:val="20"/>
              </w:rPr>
              <w:t xml:space="preserve">is being used. </w:t>
            </w:r>
            <w:r w:rsidRPr="00450E0B">
              <w:rPr>
                <w:rFonts w:ascii="Arial Narrow" w:hAnsi="Arial Narrow"/>
                <w:strike/>
                <w:color w:val="0070C0"/>
                <w:sz w:val="20"/>
                <w:szCs w:val="20"/>
              </w:rPr>
              <w:t>can be</w:t>
            </w:r>
            <w:r w:rsidRPr="00450E0B">
              <w:rPr>
                <w:rFonts w:ascii="Arial Narrow" w:hAnsi="Arial Narrow"/>
                <w:color w:val="0070C0"/>
                <w:sz w:val="20"/>
                <w:szCs w:val="20"/>
              </w:rPr>
              <w:t xml:space="preserve"> </w:t>
            </w:r>
            <w:r w:rsidRPr="00450E0B">
              <w:rPr>
                <w:rFonts w:ascii="Arial Narrow" w:hAnsi="Arial Narrow"/>
                <w:strike/>
                <w:color w:val="0070C0"/>
                <w:sz w:val="20"/>
                <w:szCs w:val="20"/>
              </w:rPr>
              <w:t>interrupted</w:t>
            </w:r>
            <w:r w:rsidRPr="00450E0B">
              <w:rPr>
                <w:rFonts w:ascii="Arial Narrow" w:hAnsi="Arial Narrow"/>
                <w:color w:val="0070C0"/>
                <w:sz w:val="20"/>
                <w:szCs w:val="20"/>
              </w:rPr>
              <w:t>.</w:t>
            </w:r>
          </w:p>
          <w:p w14:paraId="3A27C7A2" w14:textId="77777777" w:rsidR="00B90AD5" w:rsidRPr="00450E0B" w:rsidRDefault="00B90AD5" w:rsidP="00B90AD5">
            <w:pPr>
              <w:spacing w:before="40" w:after="40" w:line="240" w:lineRule="auto"/>
              <w:rPr>
                <w:rFonts w:ascii="Arial Narrow" w:hAnsi="Arial Narrow"/>
                <w:color w:val="0070C0"/>
                <w:sz w:val="20"/>
                <w:szCs w:val="20"/>
              </w:rPr>
            </w:pPr>
            <w:proofErr w:type="spellStart"/>
            <w:r w:rsidRPr="00450E0B">
              <w:rPr>
                <w:rFonts w:ascii="Arial Narrow" w:hAnsi="Arial Narrow"/>
                <w:color w:val="0070C0"/>
                <w:sz w:val="20"/>
                <w:szCs w:val="20"/>
              </w:rPr>
              <w:t>CgA</w:t>
            </w:r>
            <w:proofErr w:type="spellEnd"/>
            <w:r w:rsidRPr="00450E0B">
              <w:rPr>
                <w:rFonts w:ascii="Arial Narrow" w:hAnsi="Arial Narrow"/>
                <w:color w:val="0070C0"/>
                <w:sz w:val="20"/>
                <w:szCs w:val="20"/>
              </w:rPr>
              <w:t xml:space="preserve"> should not be measured in patient populations with reduced sensitivity particularly neuroendocrine tumours with low proliferative potential.</w:t>
            </w:r>
          </w:p>
          <w:p w14:paraId="239D941A" w14:textId="77777777" w:rsidR="00AB40B9" w:rsidRPr="00DE762F" w:rsidRDefault="00AB40B9">
            <w:pPr>
              <w:spacing w:before="40" w:after="40" w:line="240" w:lineRule="auto"/>
              <w:rPr>
                <w:rFonts w:ascii="Arial Narrow" w:hAnsi="Arial Narrow"/>
                <w:sz w:val="20"/>
                <w:szCs w:val="20"/>
              </w:rPr>
            </w:pPr>
            <w:r w:rsidRPr="005C1EC0">
              <w:rPr>
                <w:rFonts w:ascii="Arial Narrow" w:hAnsi="Arial Narrow"/>
                <w:sz w:val="20"/>
                <w:szCs w:val="20"/>
              </w:rPr>
              <w:t>Antibody-derived assays are variable and hence patient’s samples should be measured in the same lab consistently.</w:t>
            </w:r>
          </w:p>
        </w:tc>
      </w:tr>
    </w:tbl>
    <w:p w14:paraId="212EA5E5" w14:textId="77777777" w:rsidR="006D684A" w:rsidRPr="00FE762F" w:rsidRDefault="006D684A" w:rsidP="006D684A">
      <w:pPr>
        <w:rPr>
          <w:rFonts w:asciiTheme="minorHAnsi" w:hAnsiTheme="minorHAnsi" w:cstheme="minorHAnsi"/>
        </w:rPr>
      </w:pPr>
    </w:p>
    <w:p w14:paraId="2B7FF32A" w14:textId="5608D6D8" w:rsidR="006D684A" w:rsidRPr="00D4599B" w:rsidRDefault="006D684A" w:rsidP="006D684A">
      <w:pPr>
        <w:rPr>
          <w:rFonts w:asciiTheme="minorHAnsi" w:hAnsiTheme="minorHAnsi" w:cstheme="minorHAnsi"/>
          <w:i/>
          <w:iCs/>
        </w:rPr>
      </w:pPr>
      <w:r w:rsidRPr="00463B50">
        <w:rPr>
          <w:rFonts w:asciiTheme="minorHAnsi" w:hAnsiTheme="minorHAnsi" w:cstheme="minorHAnsi"/>
          <w:i/>
          <w:iCs/>
        </w:rPr>
        <w:t xml:space="preserve">PASC noted that the proposed fee for </w:t>
      </w:r>
      <w:proofErr w:type="spellStart"/>
      <w:r w:rsidRPr="00463B50">
        <w:rPr>
          <w:rFonts w:asciiTheme="minorHAnsi" w:hAnsiTheme="minorHAnsi" w:cstheme="minorHAnsi"/>
          <w:i/>
          <w:iCs/>
        </w:rPr>
        <w:t>CgA</w:t>
      </w:r>
      <w:proofErr w:type="spellEnd"/>
      <w:r w:rsidRPr="00463B50">
        <w:rPr>
          <w:rFonts w:asciiTheme="minorHAnsi" w:hAnsiTheme="minorHAnsi" w:cstheme="minorHAnsi"/>
          <w:i/>
          <w:iCs/>
        </w:rPr>
        <w:t xml:space="preserve"> testing was substantially higher than the fee for existing tumour marker testing under MBS item 66500, which was cited as approximately $24. PASC considered that the proposed fee required further justification, including consideration of relevant </w:t>
      </w:r>
      <w:r w:rsidR="005478BA">
        <w:rPr>
          <w:rFonts w:asciiTheme="minorHAnsi" w:hAnsiTheme="minorHAnsi" w:cstheme="minorHAnsi"/>
          <w:i/>
          <w:iCs/>
        </w:rPr>
        <w:t xml:space="preserve">existing </w:t>
      </w:r>
      <w:r w:rsidR="009E6CF4">
        <w:rPr>
          <w:rFonts w:asciiTheme="minorHAnsi" w:hAnsiTheme="minorHAnsi" w:cstheme="minorHAnsi"/>
          <w:i/>
          <w:iCs/>
        </w:rPr>
        <w:t>MBS items</w:t>
      </w:r>
      <w:r w:rsidRPr="00463B50">
        <w:rPr>
          <w:rFonts w:asciiTheme="minorHAnsi" w:hAnsiTheme="minorHAnsi" w:cstheme="minorHAnsi"/>
          <w:i/>
          <w:iCs/>
        </w:rPr>
        <w:t xml:space="preserve"> and the costs associated with providing the service.</w:t>
      </w:r>
    </w:p>
    <w:p w14:paraId="073DCA41" w14:textId="5E9C2233" w:rsidR="006D684A" w:rsidRPr="00D4599B" w:rsidRDefault="0047690C" w:rsidP="6C2537F6">
      <w:pPr>
        <w:rPr>
          <w:rFonts w:asciiTheme="minorHAnsi" w:hAnsiTheme="minorHAnsi" w:cstheme="minorBidi"/>
          <w:i/>
          <w:iCs/>
        </w:rPr>
      </w:pPr>
      <w:r w:rsidRPr="6C2537F6">
        <w:rPr>
          <w:rFonts w:asciiTheme="minorHAnsi" w:hAnsiTheme="minorHAnsi" w:cstheme="minorBidi"/>
          <w:i/>
          <w:iCs/>
        </w:rPr>
        <w:t xml:space="preserve">PASC </w:t>
      </w:r>
      <w:r w:rsidR="269A1E5D" w:rsidRPr="6C2537F6">
        <w:rPr>
          <w:rFonts w:asciiTheme="minorHAnsi" w:hAnsiTheme="minorHAnsi" w:cstheme="minorBidi"/>
          <w:i/>
          <w:iCs/>
        </w:rPr>
        <w:t xml:space="preserve">noted the proposed item descriptor, but </w:t>
      </w:r>
      <w:r w:rsidRPr="6C2537F6">
        <w:rPr>
          <w:rFonts w:asciiTheme="minorHAnsi" w:hAnsiTheme="minorHAnsi" w:cstheme="minorBidi"/>
          <w:i/>
          <w:iCs/>
        </w:rPr>
        <w:t>considered that the proposed MBS items</w:t>
      </w:r>
      <w:r w:rsidR="4C1A1022" w:rsidRPr="6C2537F6">
        <w:rPr>
          <w:rFonts w:asciiTheme="minorHAnsi" w:hAnsiTheme="minorHAnsi" w:cstheme="minorBidi"/>
          <w:i/>
          <w:iCs/>
        </w:rPr>
        <w:t xml:space="preserve"> could not be refined further due to the lack of agreed definitions for testing populations, </w:t>
      </w:r>
      <w:proofErr w:type="spellStart"/>
      <w:r w:rsidR="4C1A1022" w:rsidRPr="6C2537F6">
        <w:rPr>
          <w:rFonts w:asciiTheme="minorHAnsi" w:hAnsiTheme="minorHAnsi" w:cstheme="minorBidi"/>
          <w:i/>
          <w:iCs/>
        </w:rPr>
        <w:t>CgA</w:t>
      </w:r>
      <w:proofErr w:type="spellEnd"/>
      <w:r w:rsidR="4C1A1022" w:rsidRPr="6C2537F6">
        <w:rPr>
          <w:rFonts w:asciiTheme="minorHAnsi" w:hAnsiTheme="minorHAnsi" w:cstheme="minorBidi"/>
          <w:i/>
          <w:iCs/>
        </w:rPr>
        <w:t xml:space="preserve"> levels, frequency and other </w:t>
      </w:r>
      <w:r w:rsidR="04708821" w:rsidRPr="6C2537F6">
        <w:rPr>
          <w:rFonts w:asciiTheme="minorHAnsi" w:hAnsiTheme="minorHAnsi" w:cstheme="minorBidi"/>
          <w:i/>
          <w:iCs/>
        </w:rPr>
        <w:t xml:space="preserve">key elements. </w:t>
      </w:r>
      <w:r w:rsidRPr="6C2537F6">
        <w:rPr>
          <w:rFonts w:asciiTheme="minorHAnsi" w:hAnsiTheme="minorHAnsi" w:cstheme="minorBidi"/>
          <w:i/>
          <w:iCs/>
        </w:rPr>
        <w:t xml:space="preserve"> </w:t>
      </w:r>
    </w:p>
    <w:p w14:paraId="62338695" w14:textId="5E00A99C" w:rsidR="00D37A3F" w:rsidRPr="00D37A3F" w:rsidRDefault="003F0A39" w:rsidP="00713728">
      <w:pPr>
        <w:pStyle w:val="Heading2"/>
      </w:pPr>
      <w:r>
        <w:t>Summary of public consultation</w:t>
      </w:r>
      <w:r w:rsidRPr="00D37A3F">
        <w:t xml:space="preserve"> </w:t>
      </w:r>
      <w:r w:rsidR="00E470B0">
        <w:t>input</w:t>
      </w:r>
    </w:p>
    <w:p w14:paraId="3734FC0C" w14:textId="61E7573D" w:rsidR="00987753" w:rsidRDefault="00987753" w:rsidP="00987753">
      <w:pPr>
        <w:spacing w:after="120"/>
      </w:pPr>
      <w:r w:rsidRPr="00E95336">
        <w:rPr>
          <w:i/>
          <w:iCs/>
        </w:rPr>
        <w:t>PASC noted and welcomed consultation input from</w:t>
      </w:r>
      <w:r w:rsidRPr="00D7667B">
        <w:t xml:space="preserve"> </w:t>
      </w:r>
      <w:r>
        <w:rPr>
          <w:i/>
          <w:iCs/>
        </w:rPr>
        <w:t>7</w:t>
      </w:r>
      <w:r w:rsidRPr="00647D9E">
        <w:rPr>
          <w:i/>
          <w:iCs/>
        </w:rPr>
        <w:t xml:space="preserve"> organisations and </w:t>
      </w:r>
      <w:r>
        <w:rPr>
          <w:i/>
          <w:iCs/>
        </w:rPr>
        <w:t xml:space="preserve">no individual input was received. </w:t>
      </w:r>
      <w:r w:rsidRPr="00647D9E">
        <w:rPr>
          <w:i/>
          <w:iCs/>
        </w:rPr>
        <w:t xml:space="preserve">The </w:t>
      </w:r>
      <w:r>
        <w:rPr>
          <w:i/>
          <w:iCs/>
        </w:rPr>
        <w:t>7</w:t>
      </w:r>
      <w:r w:rsidRPr="00647D9E">
        <w:rPr>
          <w:i/>
          <w:iCs/>
        </w:rPr>
        <w:t xml:space="preserve"> organisations that submitted input </w:t>
      </w:r>
      <w:r>
        <w:rPr>
          <w:i/>
          <w:iCs/>
        </w:rPr>
        <w:t>were:</w:t>
      </w:r>
      <w:r w:rsidRPr="00D7667B">
        <w:t xml:space="preserve"> </w:t>
      </w:r>
    </w:p>
    <w:p w14:paraId="06B62B02" w14:textId="77777777" w:rsidR="00987753" w:rsidRDefault="00987753" w:rsidP="00987753">
      <w:pPr>
        <w:pStyle w:val="ListParagraph"/>
        <w:numPr>
          <w:ilvl w:val="0"/>
          <w:numId w:val="32"/>
        </w:numPr>
        <w:spacing w:after="120" w:line="259" w:lineRule="auto"/>
      </w:pPr>
      <w:r w:rsidRPr="007446C3">
        <w:t>Australasian Association for Clinical Biochemistry and Laboratory Medicine (AACB)</w:t>
      </w:r>
    </w:p>
    <w:p w14:paraId="159CAC9E" w14:textId="77777777" w:rsidR="00987753" w:rsidRDefault="00987753" w:rsidP="00987753">
      <w:pPr>
        <w:pStyle w:val="ListParagraph"/>
        <w:numPr>
          <w:ilvl w:val="0"/>
          <w:numId w:val="32"/>
        </w:numPr>
        <w:spacing w:after="120" w:line="259" w:lineRule="auto"/>
      </w:pPr>
      <w:r w:rsidRPr="007446C3">
        <w:lastRenderedPageBreak/>
        <w:t>Endocrine Society of Australia</w:t>
      </w:r>
      <w:r>
        <w:t xml:space="preserve"> (ESA)</w:t>
      </w:r>
    </w:p>
    <w:p w14:paraId="3696E86A" w14:textId="77777777" w:rsidR="00987753" w:rsidRDefault="00987753" w:rsidP="00987753">
      <w:pPr>
        <w:pStyle w:val="ListParagraph"/>
        <w:numPr>
          <w:ilvl w:val="0"/>
          <w:numId w:val="32"/>
        </w:numPr>
        <w:spacing w:after="120" w:line="259" w:lineRule="auto"/>
      </w:pPr>
      <w:proofErr w:type="spellStart"/>
      <w:r w:rsidRPr="007446C3">
        <w:t>NeuroEndocrine</w:t>
      </w:r>
      <w:proofErr w:type="spellEnd"/>
      <w:r w:rsidRPr="007446C3">
        <w:t xml:space="preserve"> Cancer Australia</w:t>
      </w:r>
      <w:r>
        <w:t xml:space="preserve"> (NECA)</w:t>
      </w:r>
    </w:p>
    <w:p w14:paraId="565EFB21" w14:textId="77777777" w:rsidR="00987753" w:rsidRDefault="00987753" w:rsidP="00987753">
      <w:pPr>
        <w:pStyle w:val="ListParagraph"/>
        <w:numPr>
          <w:ilvl w:val="0"/>
          <w:numId w:val="32"/>
        </w:numPr>
        <w:spacing w:after="120" w:line="259" w:lineRule="auto"/>
      </w:pPr>
      <w:proofErr w:type="spellStart"/>
      <w:r w:rsidRPr="007446C3">
        <w:t>Pancare</w:t>
      </w:r>
      <w:proofErr w:type="spellEnd"/>
      <w:r w:rsidRPr="007446C3">
        <w:t xml:space="preserve"> Foundation</w:t>
      </w:r>
      <w:r>
        <w:t xml:space="preserve"> (</w:t>
      </w:r>
      <w:proofErr w:type="spellStart"/>
      <w:r>
        <w:t>Pancare</w:t>
      </w:r>
      <w:proofErr w:type="spellEnd"/>
      <w:r>
        <w:t>)</w:t>
      </w:r>
    </w:p>
    <w:p w14:paraId="14D50BEA" w14:textId="77777777" w:rsidR="00987753" w:rsidRDefault="00987753" w:rsidP="00987753">
      <w:pPr>
        <w:pStyle w:val="ListParagraph"/>
        <w:numPr>
          <w:ilvl w:val="0"/>
          <w:numId w:val="32"/>
        </w:numPr>
        <w:spacing w:after="120" w:line="259" w:lineRule="auto"/>
      </w:pPr>
      <w:r w:rsidRPr="007446C3">
        <w:t xml:space="preserve">Peter MacCallum Cancer Centre </w:t>
      </w:r>
      <w:r w:rsidRPr="005D4C35">
        <w:t>European Neuroendocrine Tumour Society</w:t>
      </w:r>
      <w:r w:rsidRPr="007446C3">
        <w:t xml:space="preserve"> Centre of Excellence</w:t>
      </w:r>
      <w:r>
        <w:t xml:space="preserve"> (</w:t>
      </w:r>
      <w:r w:rsidRPr="005D4C35">
        <w:t>Peter MacCallum ENETS</w:t>
      </w:r>
      <w:r>
        <w:t>)</w:t>
      </w:r>
    </w:p>
    <w:p w14:paraId="4C36CB33" w14:textId="77777777" w:rsidR="00987753" w:rsidRPr="000125BC" w:rsidRDefault="00987753" w:rsidP="00987753">
      <w:pPr>
        <w:pStyle w:val="ListParagraph"/>
        <w:numPr>
          <w:ilvl w:val="0"/>
          <w:numId w:val="32"/>
        </w:numPr>
        <w:spacing w:after="120" w:line="259" w:lineRule="auto"/>
      </w:pPr>
      <w:r w:rsidRPr="00201B4B">
        <w:t>Public Pathology Australia (PPA)</w:t>
      </w:r>
    </w:p>
    <w:p w14:paraId="6D1E5065" w14:textId="77777777" w:rsidR="00987753" w:rsidRDefault="00987753" w:rsidP="00987753">
      <w:pPr>
        <w:pStyle w:val="ListParagraph"/>
        <w:numPr>
          <w:ilvl w:val="0"/>
          <w:numId w:val="32"/>
        </w:numPr>
        <w:spacing w:after="120" w:line="259" w:lineRule="auto"/>
      </w:pPr>
      <w:r w:rsidRPr="0045338C">
        <w:t>The Australian and New Zealand Society of Nuclear Medicine (ANZSNM)</w:t>
      </w:r>
      <w:r>
        <w:t>.</w:t>
      </w:r>
    </w:p>
    <w:p w14:paraId="3EFF2FF9" w14:textId="77777777" w:rsidR="00987753" w:rsidRPr="00D7667B" w:rsidRDefault="00987753" w:rsidP="00987753">
      <w:pPr>
        <w:spacing w:after="120"/>
      </w:pPr>
      <w:r>
        <w:t xml:space="preserve">Consultation input was all supportive of public funding for </w:t>
      </w:r>
      <w:proofErr w:type="spellStart"/>
      <w:r>
        <w:t>CgA</w:t>
      </w:r>
      <w:proofErr w:type="spellEnd"/>
      <w:r>
        <w:t xml:space="preserve"> testing in patients with NENs. The consultation input raised a number of concerns, predominately in relation to using </w:t>
      </w:r>
      <w:proofErr w:type="spellStart"/>
      <w:r>
        <w:t>CgA</w:t>
      </w:r>
      <w:proofErr w:type="spellEnd"/>
      <w:r>
        <w:t xml:space="preserve"> test results in isolation without consideration of other clinical information and imaging.</w:t>
      </w:r>
    </w:p>
    <w:p w14:paraId="5EE031E8" w14:textId="77777777" w:rsidR="00987753" w:rsidRPr="00121B38" w:rsidRDefault="00987753" w:rsidP="00987753">
      <w:pPr>
        <w:rPr>
          <w:b/>
          <w:bCs/>
        </w:rPr>
      </w:pPr>
      <w:r w:rsidRPr="00121B38">
        <w:rPr>
          <w:b/>
          <w:bCs/>
        </w:rPr>
        <w:t>Consumer Experience</w:t>
      </w:r>
    </w:p>
    <w:p w14:paraId="59E771F0" w14:textId="77777777" w:rsidR="00987753" w:rsidRPr="00367CE1" w:rsidRDefault="00987753" w:rsidP="00987753">
      <w:r>
        <w:t>NECA</w:t>
      </w:r>
      <w:r w:rsidRPr="00367CE1">
        <w:t xml:space="preserve"> and </w:t>
      </w:r>
      <w:proofErr w:type="spellStart"/>
      <w:r w:rsidRPr="00367CE1">
        <w:t>Pancare</w:t>
      </w:r>
      <w:proofErr w:type="spellEnd"/>
      <w:r w:rsidRPr="00367CE1">
        <w:t xml:space="preserve"> highlighted the significant physical, emotional and financial impact of neuroendocrine tumours on patients, families and carers. Patients may experience ongoing symptoms, repeated testing, imaging and specialist appointments over many years, contributing to anxiety, uncertainty and financial burden. Both organisations emphasised that out-of-pocket costs for regular </w:t>
      </w:r>
      <w:proofErr w:type="spellStart"/>
      <w:r w:rsidRPr="00367CE1">
        <w:t>CgA</w:t>
      </w:r>
      <w:proofErr w:type="spellEnd"/>
      <w:r w:rsidRPr="00367CE1">
        <w:t xml:space="preserve"> testing can accumulate over time and may create barriers to ongoing monitoring, particularly for people living in regional and rural areas.</w:t>
      </w:r>
    </w:p>
    <w:p w14:paraId="1F0AEA2B" w14:textId="77777777" w:rsidR="00987753" w:rsidRDefault="00987753" w:rsidP="00987753">
      <w:pPr>
        <w:rPr>
          <w:b/>
          <w:bCs/>
        </w:rPr>
      </w:pPr>
      <w:r>
        <w:rPr>
          <w:b/>
          <w:bCs/>
        </w:rPr>
        <w:t>Benefits and Disadvantages</w:t>
      </w:r>
    </w:p>
    <w:p w14:paraId="00C62F45" w14:textId="77777777" w:rsidR="00987753" w:rsidRPr="00741727" w:rsidRDefault="00987753" w:rsidP="00987753">
      <w:r w:rsidRPr="00741727">
        <w:t xml:space="preserve">The main benefits of public funding reported included improved access to an established monitoring test, reduced out-of-pocket costs and improved equity of access for patients with </w:t>
      </w:r>
      <w:r>
        <w:t>NENs</w:t>
      </w:r>
      <w:r w:rsidRPr="00741727">
        <w:t xml:space="preserve">, particularly those requiring long-term surveillance. </w:t>
      </w:r>
      <w:r>
        <w:t xml:space="preserve">Benefits also included that serum </w:t>
      </w:r>
      <w:proofErr w:type="spellStart"/>
      <w:r>
        <w:t>CgA</w:t>
      </w:r>
      <w:proofErr w:type="spellEnd"/>
      <w:r>
        <w:t xml:space="preserve"> testing is easier to access at local pathology centres and is less invasive than specialised nuclear medicine scans. </w:t>
      </w:r>
      <w:proofErr w:type="spellStart"/>
      <w:r>
        <w:t>CgA</w:t>
      </w:r>
      <w:proofErr w:type="spellEnd"/>
      <w:r>
        <w:t xml:space="preserve"> testing provides</w:t>
      </w:r>
      <w:r w:rsidRPr="00741727">
        <w:t xml:space="preserve"> patient reassurance and support</w:t>
      </w:r>
      <w:r>
        <w:t>s</w:t>
      </w:r>
      <w:r w:rsidRPr="00741727">
        <w:t xml:space="preserve"> more targeted use of imaging resources by helping identify patients who may require further clinical review or investigation.</w:t>
      </w:r>
    </w:p>
    <w:p w14:paraId="4E100DA8" w14:textId="77777777" w:rsidR="00987753" w:rsidRPr="00741727" w:rsidRDefault="00987753" w:rsidP="00987753">
      <w:r>
        <w:t>The main disadvantages of public funding</w:t>
      </w:r>
      <w:r w:rsidRPr="00741727">
        <w:t xml:space="preserve"> </w:t>
      </w:r>
      <w:r>
        <w:t>was</w:t>
      </w:r>
      <w:r w:rsidRPr="00741727">
        <w:t xml:space="preserve"> </w:t>
      </w:r>
      <w:r>
        <w:t xml:space="preserve">that </w:t>
      </w:r>
      <w:proofErr w:type="spellStart"/>
      <w:r>
        <w:t>CgA</w:t>
      </w:r>
      <w:proofErr w:type="spellEnd"/>
      <w:r>
        <w:t xml:space="preserve"> testing is </w:t>
      </w:r>
      <w:r w:rsidRPr="00741727">
        <w:t xml:space="preserve">not appropriate for all </w:t>
      </w:r>
      <w:r>
        <w:t>NEN</w:t>
      </w:r>
      <w:r w:rsidRPr="00741727">
        <w:t xml:space="preserve"> subtypes and </w:t>
      </w:r>
      <w:r>
        <w:t xml:space="preserve">that </w:t>
      </w:r>
      <w:r w:rsidRPr="00741727">
        <w:t>results may be influenced by factors such as medication use and comorbidities</w:t>
      </w:r>
      <w:r>
        <w:t xml:space="preserve">, which could lead to false positive results. ANZSNM input stated that due to inter-assay variability, a patient’s serial </w:t>
      </w:r>
      <w:proofErr w:type="spellStart"/>
      <w:r>
        <w:t>CgA</w:t>
      </w:r>
      <w:proofErr w:type="spellEnd"/>
      <w:r>
        <w:t xml:space="preserve"> testing should be performed in the same laboratory</w:t>
      </w:r>
      <w:r w:rsidRPr="00741727">
        <w:t>.</w:t>
      </w:r>
    </w:p>
    <w:p w14:paraId="58E8CA96" w14:textId="77777777" w:rsidR="00987753" w:rsidRDefault="00987753" w:rsidP="00987753">
      <w:pPr>
        <w:rPr>
          <w:b/>
          <w:bCs/>
        </w:rPr>
      </w:pPr>
      <w:r>
        <w:rPr>
          <w:b/>
          <w:bCs/>
        </w:rPr>
        <w:t>Population, Comparator (current management) and Delivery</w:t>
      </w:r>
    </w:p>
    <w:p w14:paraId="75B0B8A7" w14:textId="77777777" w:rsidR="00987753" w:rsidRPr="00741727" w:rsidRDefault="00987753" w:rsidP="00987753">
      <w:r w:rsidRPr="00741727">
        <w:t xml:space="preserve">The consultation input </w:t>
      </w:r>
      <w:r>
        <w:t>agreed with</w:t>
      </w:r>
      <w:r w:rsidRPr="00741727">
        <w:t xml:space="preserve"> the proposed population</w:t>
      </w:r>
      <w:r>
        <w:t xml:space="preserve">, stating that </w:t>
      </w:r>
      <w:r w:rsidRPr="00741727">
        <w:t xml:space="preserve">restricting funding to patients with well-differentiated metastatic </w:t>
      </w:r>
      <w:r>
        <w:t>NENs</w:t>
      </w:r>
      <w:r w:rsidRPr="00741727">
        <w:t xml:space="preserve"> where </w:t>
      </w:r>
      <w:proofErr w:type="spellStart"/>
      <w:r w:rsidRPr="00741727">
        <w:t>CgA</w:t>
      </w:r>
      <w:proofErr w:type="spellEnd"/>
      <w:r w:rsidRPr="00741727">
        <w:t xml:space="preserve"> levels are clinically trackable</w:t>
      </w:r>
      <w:r>
        <w:t xml:space="preserve"> captured the population most likely to benefit</w:t>
      </w:r>
      <w:r w:rsidRPr="00741727">
        <w:t>.</w:t>
      </w:r>
    </w:p>
    <w:p w14:paraId="17A8C88B" w14:textId="77777777" w:rsidR="00987753" w:rsidRPr="000364D0" w:rsidRDefault="00987753" w:rsidP="00987753">
      <w:r w:rsidRPr="00741727">
        <w:t xml:space="preserve">The consultation input </w:t>
      </w:r>
      <w:r>
        <w:t>agreed with</w:t>
      </w:r>
      <w:r w:rsidRPr="00741727">
        <w:t xml:space="preserve"> the proposed comparator</w:t>
      </w:r>
      <w:r>
        <w:t xml:space="preserve"> of current practice, </w:t>
      </w:r>
      <w:r w:rsidRPr="00741727">
        <w:t>involving specialist review, imaging, pathology testing and multidisciplinary care</w:t>
      </w:r>
      <w:r>
        <w:t xml:space="preserve">. ANZSNM stated that </w:t>
      </w:r>
      <w:proofErr w:type="spellStart"/>
      <w:r w:rsidRPr="000364D0">
        <w:t>CgA</w:t>
      </w:r>
      <w:proofErr w:type="spellEnd"/>
      <w:r w:rsidRPr="000364D0">
        <w:t xml:space="preserve"> testing is </w:t>
      </w:r>
      <w:r>
        <w:t>available in</w:t>
      </w:r>
      <w:r w:rsidRPr="000364D0">
        <w:t xml:space="preserve"> Australia, with some patients accessing testing through self-funding or local institutional arrangements</w:t>
      </w:r>
      <w:r w:rsidRPr="00741727">
        <w:t xml:space="preserve">. </w:t>
      </w:r>
    </w:p>
    <w:p w14:paraId="4122494C" w14:textId="77777777" w:rsidR="00987753" w:rsidRPr="0021456F" w:rsidRDefault="00987753" w:rsidP="00987753">
      <w:r w:rsidRPr="0021456F">
        <w:t xml:space="preserve">Other services identified as being needed before or after the intervention included specialist clinical review, imaging services (including CT, MRI and somatostatin receptor PET/CT), pathology testing and multidisciplinary care. Consultation input emphasised that </w:t>
      </w:r>
      <w:proofErr w:type="spellStart"/>
      <w:r w:rsidRPr="0021456F">
        <w:t>CgA</w:t>
      </w:r>
      <w:proofErr w:type="spellEnd"/>
      <w:r w:rsidRPr="0021456F">
        <w:t xml:space="preserve"> testing is most appropriately used in conjunction with clinical assessment and imaging as part of ongoing monitoring</w:t>
      </w:r>
      <w:r>
        <w:t>.</w:t>
      </w:r>
    </w:p>
    <w:p w14:paraId="5B62C96A" w14:textId="77777777" w:rsidR="00987753" w:rsidRDefault="00987753" w:rsidP="00987753">
      <w:pPr>
        <w:rPr>
          <w:b/>
          <w:bCs/>
        </w:rPr>
      </w:pPr>
      <w:r w:rsidRPr="0021456F">
        <w:rPr>
          <w:b/>
          <w:bCs/>
        </w:rPr>
        <w:lastRenderedPageBreak/>
        <w:t>MBS Item Descriptor and Fee</w:t>
      </w:r>
    </w:p>
    <w:p w14:paraId="77D5DB6B" w14:textId="77777777" w:rsidR="00987753" w:rsidRPr="0021456F" w:rsidRDefault="00987753" w:rsidP="00987753">
      <w:r w:rsidRPr="0021456F">
        <w:t>The consultation input agreed with the proposed service descriptor</w:t>
      </w:r>
      <w:r>
        <w:t xml:space="preserve">, including a frequency of 4 times per year. </w:t>
      </w:r>
      <w:r w:rsidRPr="000364D0">
        <w:t>ANZSNM suggest</w:t>
      </w:r>
      <w:r>
        <w:t>ed</w:t>
      </w:r>
      <w:r w:rsidRPr="000364D0">
        <w:t xml:space="preserve"> the descriptor could more explicitly recognise the use of serial monitoring in patients with trackable baseline </w:t>
      </w:r>
      <w:proofErr w:type="spellStart"/>
      <w:r w:rsidRPr="000364D0">
        <w:t>CgA</w:t>
      </w:r>
      <w:proofErr w:type="spellEnd"/>
      <w:r w:rsidRPr="000364D0">
        <w:t xml:space="preserve"> levels</w:t>
      </w:r>
      <w:r>
        <w:t>.</w:t>
      </w:r>
    </w:p>
    <w:p w14:paraId="624F97FF" w14:textId="77777777" w:rsidR="00987753" w:rsidRDefault="00987753" w:rsidP="00987753">
      <w:r w:rsidRPr="0021456F">
        <w:t xml:space="preserve">The consultation input </w:t>
      </w:r>
      <w:r>
        <w:t>partly agreed with</w:t>
      </w:r>
      <w:r w:rsidRPr="0021456F">
        <w:t xml:space="preserve"> the proposed fee. </w:t>
      </w:r>
      <w:r>
        <w:t xml:space="preserve">The majority of consultation input stated that </w:t>
      </w:r>
      <w:proofErr w:type="spellStart"/>
      <w:r>
        <w:t>CgA</w:t>
      </w:r>
      <w:proofErr w:type="spellEnd"/>
      <w:r>
        <w:t xml:space="preserve"> testing costs ranged from $30 to $80, and that the fee should be set at up to $80.</w:t>
      </w:r>
    </w:p>
    <w:p w14:paraId="0E021AB7" w14:textId="77777777" w:rsidR="006D684A" w:rsidRPr="00C1500F" w:rsidRDefault="006D684A" w:rsidP="006D684A">
      <w:pPr>
        <w:autoSpaceDE w:val="0"/>
        <w:autoSpaceDN w:val="0"/>
        <w:adjustRightInd w:val="0"/>
        <w:spacing w:line="23" w:lineRule="atLeast"/>
        <w:rPr>
          <w:rFonts w:asciiTheme="minorHAnsi" w:hAnsiTheme="minorHAnsi" w:cstheme="minorHAnsi"/>
          <w:i/>
        </w:rPr>
      </w:pPr>
      <w:r w:rsidRPr="00C1500F">
        <w:rPr>
          <w:rFonts w:asciiTheme="minorHAnsi" w:hAnsiTheme="minorHAnsi" w:cstheme="minorHAnsi"/>
          <w:i/>
        </w:rPr>
        <w:t xml:space="preserve">PASC noted that consultation input was supportive of public funding for serial </w:t>
      </w:r>
      <w:proofErr w:type="spellStart"/>
      <w:r w:rsidRPr="00C1500F">
        <w:rPr>
          <w:rFonts w:asciiTheme="minorHAnsi" w:hAnsiTheme="minorHAnsi" w:cstheme="minorHAnsi"/>
          <w:i/>
        </w:rPr>
        <w:t>CgA</w:t>
      </w:r>
      <w:proofErr w:type="spellEnd"/>
      <w:r w:rsidRPr="00C1500F">
        <w:rPr>
          <w:rFonts w:asciiTheme="minorHAnsi" w:hAnsiTheme="minorHAnsi" w:cstheme="minorHAnsi"/>
          <w:i/>
        </w:rPr>
        <w:t xml:space="preserve"> testing and that patient advocacy organisations highlighted the out-of-pocket costs associated with repeated testing.</w:t>
      </w:r>
    </w:p>
    <w:p w14:paraId="01C790E9" w14:textId="77777777" w:rsidR="006D684A" w:rsidRPr="00C1500F" w:rsidRDefault="006D684A" w:rsidP="006D684A">
      <w:pPr>
        <w:autoSpaceDE w:val="0"/>
        <w:autoSpaceDN w:val="0"/>
        <w:adjustRightInd w:val="0"/>
        <w:spacing w:line="23" w:lineRule="atLeast"/>
        <w:rPr>
          <w:rFonts w:asciiTheme="minorHAnsi" w:hAnsiTheme="minorHAnsi" w:cstheme="minorHAnsi"/>
          <w:i/>
        </w:rPr>
      </w:pPr>
      <w:r w:rsidRPr="00C1500F">
        <w:rPr>
          <w:rFonts w:asciiTheme="minorHAnsi" w:hAnsiTheme="minorHAnsi" w:cstheme="minorHAnsi"/>
          <w:i/>
        </w:rPr>
        <w:t>PAS</w:t>
      </w:r>
      <w:r>
        <w:rPr>
          <w:rFonts w:asciiTheme="minorHAnsi" w:hAnsiTheme="minorHAnsi" w:cstheme="minorHAnsi"/>
          <w:i/>
        </w:rPr>
        <w:t>C</w:t>
      </w:r>
      <w:r w:rsidRPr="00C1500F">
        <w:rPr>
          <w:rFonts w:asciiTheme="minorHAnsi" w:hAnsiTheme="minorHAnsi" w:cstheme="minorHAnsi"/>
          <w:i/>
        </w:rPr>
        <w:t xml:space="preserve"> noted that consultation feedback also highlighted the potential value of knowing a patient's </w:t>
      </w:r>
      <w:proofErr w:type="spellStart"/>
      <w:r w:rsidRPr="00C1500F">
        <w:rPr>
          <w:rFonts w:asciiTheme="minorHAnsi" w:hAnsiTheme="minorHAnsi" w:cstheme="minorHAnsi"/>
          <w:i/>
        </w:rPr>
        <w:t>CgA</w:t>
      </w:r>
      <w:proofErr w:type="spellEnd"/>
      <w:r w:rsidRPr="00C1500F">
        <w:rPr>
          <w:rFonts w:asciiTheme="minorHAnsi" w:hAnsiTheme="minorHAnsi" w:cstheme="minorHAnsi"/>
          <w:i/>
        </w:rPr>
        <w:t xml:space="preserve"> result and the potential equity benefits of improving access to testing, particularly for patients living in regional areas who may otherwise need to travel significant distances for specialist review or imaging.</w:t>
      </w:r>
    </w:p>
    <w:p w14:paraId="5C5CD083" w14:textId="566D0A9B" w:rsidR="00987753" w:rsidRPr="00273CEF" w:rsidRDefault="006D684A" w:rsidP="00CC110C">
      <w:r w:rsidRPr="00C1500F">
        <w:rPr>
          <w:rFonts w:asciiTheme="minorHAnsi" w:hAnsiTheme="minorHAnsi" w:cstheme="minorHAnsi"/>
          <w:i/>
        </w:rPr>
        <w:t xml:space="preserve">PASC noted that consultation feedback supported the use of </w:t>
      </w:r>
      <w:proofErr w:type="spellStart"/>
      <w:r w:rsidRPr="00C1500F">
        <w:rPr>
          <w:rFonts w:asciiTheme="minorHAnsi" w:hAnsiTheme="minorHAnsi" w:cstheme="minorHAnsi"/>
          <w:i/>
        </w:rPr>
        <w:t>CgA</w:t>
      </w:r>
      <w:proofErr w:type="spellEnd"/>
      <w:r w:rsidRPr="00C1500F">
        <w:rPr>
          <w:rFonts w:asciiTheme="minorHAnsi" w:hAnsiTheme="minorHAnsi" w:cstheme="minorHAnsi"/>
          <w:i/>
        </w:rPr>
        <w:t xml:space="preserve"> as an adjunct to standard care rather than as a substitute for imaging.</w:t>
      </w:r>
    </w:p>
    <w:p w14:paraId="3E5355DD" w14:textId="77777777" w:rsidR="00A4673C" w:rsidRPr="0021729B" w:rsidRDefault="00A4673C" w:rsidP="00A4673C">
      <w:pPr>
        <w:pStyle w:val="Heading2"/>
      </w:pPr>
      <w:r w:rsidRPr="0021729B">
        <w:t>Next steps</w:t>
      </w:r>
    </w:p>
    <w:p w14:paraId="614DA7F6" w14:textId="303CB998" w:rsidR="004B6D83" w:rsidRPr="00D4599B" w:rsidRDefault="004B6D83" w:rsidP="004B6D83">
      <w:pPr>
        <w:spacing w:before="120" w:line="23" w:lineRule="atLeast"/>
        <w:rPr>
          <w:rFonts w:asciiTheme="minorHAnsi" w:hAnsiTheme="minorHAnsi" w:cstheme="minorHAnsi"/>
          <w:i/>
          <w:szCs w:val="20"/>
        </w:rPr>
      </w:pPr>
      <w:r w:rsidRPr="005A3F1A">
        <w:rPr>
          <w:rFonts w:asciiTheme="minorHAnsi" w:hAnsiTheme="minorHAnsi" w:cstheme="minorHAnsi"/>
          <w:i/>
          <w:szCs w:val="20"/>
        </w:rPr>
        <w:t xml:space="preserve">PASC considered that the application could not progress in its current form. PASC noted that key elements of the </w:t>
      </w:r>
      <w:r w:rsidR="0010330C">
        <w:rPr>
          <w:rFonts w:asciiTheme="minorHAnsi" w:hAnsiTheme="minorHAnsi" w:cstheme="minorHAnsi"/>
          <w:i/>
          <w:szCs w:val="20"/>
        </w:rPr>
        <w:t>PICO for</w:t>
      </w:r>
      <w:r w:rsidRPr="005A3F1A">
        <w:rPr>
          <w:rFonts w:asciiTheme="minorHAnsi" w:hAnsiTheme="minorHAnsi" w:cstheme="minorHAnsi"/>
          <w:i/>
          <w:szCs w:val="20"/>
        </w:rPr>
        <w:t xml:space="preserve"> </w:t>
      </w:r>
      <w:proofErr w:type="spellStart"/>
      <w:r w:rsidRPr="005A3F1A">
        <w:rPr>
          <w:rFonts w:asciiTheme="minorHAnsi" w:hAnsiTheme="minorHAnsi" w:cstheme="minorHAnsi"/>
          <w:i/>
          <w:szCs w:val="20"/>
        </w:rPr>
        <w:t>CgA</w:t>
      </w:r>
      <w:proofErr w:type="spellEnd"/>
      <w:r w:rsidRPr="005A3F1A">
        <w:rPr>
          <w:rFonts w:asciiTheme="minorHAnsi" w:hAnsiTheme="minorHAnsi" w:cstheme="minorHAnsi"/>
          <w:i/>
          <w:szCs w:val="20"/>
        </w:rPr>
        <w:t xml:space="preserve"> monitoring</w:t>
      </w:r>
      <w:r w:rsidR="004F5654">
        <w:rPr>
          <w:rFonts w:asciiTheme="minorHAnsi" w:hAnsiTheme="minorHAnsi" w:cstheme="minorHAnsi"/>
          <w:i/>
          <w:szCs w:val="20"/>
        </w:rPr>
        <w:t xml:space="preserve"> in patients with NENs</w:t>
      </w:r>
      <w:r w:rsidRPr="005A3F1A">
        <w:rPr>
          <w:rFonts w:asciiTheme="minorHAnsi" w:hAnsiTheme="minorHAnsi" w:cstheme="minorHAnsi"/>
          <w:i/>
          <w:szCs w:val="20"/>
        </w:rPr>
        <w:t xml:space="preserve"> remained insufficiently defined, including the target population, testing frequency</w:t>
      </w:r>
      <w:r w:rsidR="000247E3">
        <w:rPr>
          <w:rFonts w:asciiTheme="minorHAnsi" w:hAnsiTheme="minorHAnsi" w:cstheme="minorHAnsi"/>
          <w:i/>
          <w:szCs w:val="20"/>
        </w:rPr>
        <w:t xml:space="preserve"> and duration</w:t>
      </w:r>
      <w:r w:rsidRPr="005A3F1A">
        <w:rPr>
          <w:rFonts w:asciiTheme="minorHAnsi" w:hAnsiTheme="minorHAnsi" w:cstheme="minorHAnsi"/>
          <w:i/>
          <w:szCs w:val="20"/>
        </w:rPr>
        <w:t xml:space="preserve">, definition of an actionable change in </w:t>
      </w:r>
      <w:proofErr w:type="spellStart"/>
      <w:r w:rsidRPr="005A3F1A">
        <w:rPr>
          <w:rFonts w:asciiTheme="minorHAnsi" w:hAnsiTheme="minorHAnsi" w:cstheme="minorHAnsi"/>
          <w:i/>
          <w:szCs w:val="20"/>
        </w:rPr>
        <w:t>CgA</w:t>
      </w:r>
      <w:proofErr w:type="spellEnd"/>
      <w:r w:rsidR="003A7280">
        <w:rPr>
          <w:rFonts w:asciiTheme="minorHAnsi" w:hAnsiTheme="minorHAnsi" w:cstheme="minorHAnsi"/>
          <w:i/>
          <w:szCs w:val="20"/>
        </w:rPr>
        <w:t>, the clinical place (i.e. adjunct vs replacement to imaging)</w:t>
      </w:r>
      <w:r w:rsidRPr="005A3F1A">
        <w:rPr>
          <w:rFonts w:asciiTheme="minorHAnsi" w:hAnsiTheme="minorHAnsi" w:cstheme="minorHAnsi"/>
          <w:i/>
          <w:szCs w:val="20"/>
        </w:rPr>
        <w:t xml:space="preserve"> and the </w:t>
      </w:r>
      <w:r w:rsidR="00C1403D">
        <w:rPr>
          <w:rFonts w:asciiTheme="minorHAnsi" w:hAnsiTheme="minorHAnsi" w:cstheme="minorHAnsi"/>
          <w:i/>
          <w:szCs w:val="20"/>
        </w:rPr>
        <w:t xml:space="preserve">change in </w:t>
      </w:r>
      <w:r w:rsidRPr="005A3F1A">
        <w:rPr>
          <w:rFonts w:asciiTheme="minorHAnsi" w:hAnsiTheme="minorHAnsi" w:cstheme="minorHAnsi"/>
          <w:i/>
          <w:szCs w:val="20"/>
        </w:rPr>
        <w:t xml:space="preserve">clinical management arising from a change in </w:t>
      </w:r>
      <w:proofErr w:type="spellStart"/>
      <w:r w:rsidRPr="005A3F1A">
        <w:rPr>
          <w:rFonts w:asciiTheme="minorHAnsi" w:hAnsiTheme="minorHAnsi" w:cstheme="minorHAnsi"/>
          <w:i/>
          <w:szCs w:val="20"/>
        </w:rPr>
        <w:t>CgA</w:t>
      </w:r>
      <w:proofErr w:type="spellEnd"/>
      <w:r w:rsidRPr="005A3F1A">
        <w:rPr>
          <w:rFonts w:asciiTheme="minorHAnsi" w:hAnsiTheme="minorHAnsi" w:cstheme="minorHAnsi"/>
          <w:i/>
          <w:szCs w:val="20"/>
        </w:rPr>
        <w:t xml:space="preserve">. PASC also noted that the evidence presented did not demonstrate that serial </w:t>
      </w:r>
      <w:proofErr w:type="spellStart"/>
      <w:r w:rsidRPr="005A3F1A">
        <w:rPr>
          <w:rFonts w:asciiTheme="minorHAnsi" w:hAnsiTheme="minorHAnsi" w:cstheme="minorHAnsi"/>
          <w:i/>
          <w:szCs w:val="20"/>
        </w:rPr>
        <w:t>CgA</w:t>
      </w:r>
      <w:proofErr w:type="spellEnd"/>
      <w:r w:rsidRPr="005A3F1A">
        <w:rPr>
          <w:rFonts w:asciiTheme="minorHAnsi" w:hAnsiTheme="minorHAnsi" w:cstheme="minorHAnsi"/>
          <w:i/>
          <w:szCs w:val="20"/>
        </w:rPr>
        <w:t xml:space="preserve"> monitoring resulted in changes in clinical management that led to improved patient health outcomes.</w:t>
      </w:r>
    </w:p>
    <w:p w14:paraId="04564A09" w14:textId="7B416194" w:rsidR="004B6D83" w:rsidRPr="00F43243" w:rsidRDefault="004B6D83" w:rsidP="004B6D83">
      <w:pPr>
        <w:pStyle w:val="Instructionaltext"/>
        <w:rPr>
          <w:color w:val="auto"/>
        </w:rPr>
      </w:pPr>
      <w:r w:rsidRPr="00F43243">
        <w:rPr>
          <w:rFonts w:asciiTheme="minorHAnsi" w:hAnsiTheme="minorHAnsi" w:cstheme="minorHAnsi"/>
          <w:i/>
          <w:color w:val="auto"/>
          <w:szCs w:val="20"/>
        </w:rPr>
        <w:t>PASC suggested that the applicant</w:t>
      </w:r>
      <w:r w:rsidR="0094069B">
        <w:rPr>
          <w:rFonts w:asciiTheme="minorHAnsi" w:hAnsiTheme="minorHAnsi" w:cstheme="minorHAnsi"/>
          <w:i/>
          <w:color w:val="auto"/>
          <w:szCs w:val="20"/>
        </w:rPr>
        <w:t xml:space="preserve"> </w:t>
      </w:r>
      <w:r w:rsidR="00B34EDA">
        <w:rPr>
          <w:rFonts w:asciiTheme="minorHAnsi" w:hAnsiTheme="minorHAnsi" w:cstheme="minorHAnsi"/>
          <w:i/>
          <w:color w:val="auto"/>
          <w:szCs w:val="20"/>
        </w:rPr>
        <w:t>engage further with</w:t>
      </w:r>
      <w:r w:rsidRPr="00F43243">
        <w:rPr>
          <w:rFonts w:asciiTheme="minorHAnsi" w:hAnsiTheme="minorHAnsi" w:cstheme="minorHAnsi"/>
          <w:i/>
          <w:color w:val="auto"/>
          <w:szCs w:val="20"/>
        </w:rPr>
        <w:t xml:space="preserve"> relevant clinical groups to clarify the clinical place of serial </w:t>
      </w:r>
      <w:proofErr w:type="spellStart"/>
      <w:r w:rsidRPr="00F43243">
        <w:rPr>
          <w:rFonts w:asciiTheme="minorHAnsi" w:hAnsiTheme="minorHAnsi" w:cstheme="minorHAnsi"/>
          <w:i/>
          <w:color w:val="auto"/>
          <w:szCs w:val="20"/>
        </w:rPr>
        <w:t>CgA</w:t>
      </w:r>
      <w:proofErr w:type="spellEnd"/>
      <w:r w:rsidRPr="00F43243">
        <w:rPr>
          <w:rFonts w:asciiTheme="minorHAnsi" w:hAnsiTheme="minorHAnsi" w:cstheme="minorHAnsi"/>
          <w:i/>
          <w:color w:val="auto"/>
          <w:szCs w:val="20"/>
        </w:rPr>
        <w:t xml:space="preserve"> monitoring</w:t>
      </w:r>
      <w:r w:rsidR="00C941E4">
        <w:rPr>
          <w:rFonts w:asciiTheme="minorHAnsi" w:hAnsiTheme="minorHAnsi" w:cstheme="minorHAnsi"/>
          <w:i/>
          <w:color w:val="auto"/>
          <w:szCs w:val="20"/>
        </w:rPr>
        <w:t xml:space="preserve"> </w:t>
      </w:r>
      <w:r w:rsidR="00B34EDA">
        <w:rPr>
          <w:rFonts w:asciiTheme="minorHAnsi" w:hAnsiTheme="minorHAnsi" w:cstheme="minorHAnsi"/>
          <w:i/>
          <w:color w:val="auto"/>
          <w:szCs w:val="20"/>
        </w:rPr>
        <w:t xml:space="preserve">and the evidence </w:t>
      </w:r>
      <w:r w:rsidR="00332452">
        <w:rPr>
          <w:rFonts w:asciiTheme="minorHAnsi" w:hAnsiTheme="minorHAnsi" w:cstheme="minorHAnsi"/>
          <w:i/>
          <w:color w:val="auto"/>
          <w:szCs w:val="20"/>
        </w:rPr>
        <w:t>to support this</w:t>
      </w:r>
      <w:r w:rsidR="009A03C9">
        <w:rPr>
          <w:rFonts w:asciiTheme="minorHAnsi" w:hAnsiTheme="minorHAnsi" w:cstheme="minorHAnsi"/>
          <w:i/>
          <w:color w:val="auto"/>
          <w:szCs w:val="20"/>
        </w:rPr>
        <w:t xml:space="preserve">. </w:t>
      </w:r>
      <w:r w:rsidRPr="00F43243">
        <w:rPr>
          <w:rFonts w:asciiTheme="minorHAnsi" w:hAnsiTheme="minorHAnsi" w:cstheme="minorHAnsi"/>
          <w:i/>
          <w:color w:val="auto"/>
          <w:szCs w:val="20"/>
        </w:rPr>
        <w:t xml:space="preserve">PASC noted that the applicant may return with a revised </w:t>
      </w:r>
      <w:r w:rsidR="00625BF7">
        <w:rPr>
          <w:rFonts w:asciiTheme="minorHAnsi" w:hAnsiTheme="minorHAnsi" w:cstheme="minorHAnsi"/>
          <w:i/>
          <w:color w:val="auto"/>
          <w:szCs w:val="20"/>
        </w:rPr>
        <w:t>application (i.e. reapplication)</w:t>
      </w:r>
      <w:r w:rsidR="00625BF7" w:rsidRPr="00F43243">
        <w:rPr>
          <w:rFonts w:asciiTheme="minorHAnsi" w:hAnsiTheme="minorHAnsi" w:cstheme="minorHAnsi"/>
          <w:i/>
          <w:color w:val="auto"/>
          <w:szCs w:val="20"/>
        </w:rPr>
        <w:t xml:space="preserve"> </w:t>
      </w:r>
      <w:r w:rsidRPr="00F43243">
        <w:rPr>
          <w:rFonts w:asciiTheme="minorHAnsi" w:hAnsiTheme="minorHAnsi" w:cstheme="minorHAnsi"/>
          <w:i/>
          <w:color w:val="auto"/>
          <w:szCs w:val="20"/>
        </w:rPr>
        <w:t>and any further relevant evidence that becomes available or was not identified in the current application.</w:t>
      </w:r>
      <w:r w:rsidR="00BA03BF">
        <w:rPr>
          <w:rFonts w:asciiTheme="minorHAnsi" w:hAnsiTheme="minorHAnsi" w:cstheme="minorHAnsi"/>
          <w:i/>
          <w:color w:val="auto"/>
          <w:szCs w:val="20"/>
        </w:rPr>
        <w:t xml:space="preserve"> PASC also noted the applicant may wish to seek a pre-application meeting with the department before submitting a reapplication.</w:t>
      </w:r>
    </w:p>
    <w:p w14:paraId="58737B4A" w14:textId="177A469D" w:rsidR="004B6D83" w:rsidRDefault="005B06B3" w:rsidP="005B06B3">
      <w:pPr>
        <w:pStyle w:val="Heading2"/>
      </w:pPr>
      <w:r w:rsidRPr="005B06B3">
        <w:t>Applicant Comments on Ratified PICO</w:t>
      </w:r>
    </w:p>
    <w:p w14:paraId="74C1A42B" w14:textId="43C3F57D" w:rsidR="00086365" w:rsidRPr="007635BC" w:rsidRDefault="00086365" w:rsidP="005B06B3">
      <w:pPr>
        <w:pStyle w:val="Instructionaltext"/>
        <w:spacing w:before="0" w:after="200" w:line="276" w:lineRule="auto"/>
        <w:rPr>
          <w:color w:val="auto"/>
        </w:rPr>
      </w:pPr>
      <w:r w:rsidRPr="007635BC">
        <w:rPr>
          <w:color w:val="auto"/>
        </w:rPr>
        <w:t xml:space="preserve">We thank PASC for its careful deliberation. This application addresses inequitable access to </w:t>
      </w:r>
      <w:proofErr w:type="spellStart"/>
      <w:r w:rsidRPr="007635BC">
        <w:rPr>
          <w:color w:val="auto"/>
        </w:rPr>
        <w:t>CgA</w:t>
      </w:r>
      <w:proofErr w:type="spellEnd"/>
      <w:r w:rsidRPr="007635BC">
        <w:rPr>
          <w:color w:val="auto"/>
        </w:rPr>
        <w:t xml:space="preserve"> monitoring, particularly for regional, rural and remote patients facing substantial travel burdens and out-of-pocket costs. </w:t>
      </w:r>
      <w:proofErr w:type="spellStart"/>
      <w:r w:rsidRPr="007635BC">
        <w:rPr>
          <w:color w:val="auto"/>
        </w:rPr>
        <w:t>CgA</w:t>
      </w:r>
      <w:proofErr w:type="spellEnd"/>
      <w:r w:rsidRPr="007635BC">
        <w:rPr>
          <w:color w:val="auto"/>
        </w:rPr>
        <w:t xml:space="preserve"> is an established blood test supported by clinical and consumer organisations, with prospective evidence supporting its use alongside clinical assessment and imaging in selected patients with elevated, trackable baseline results. MBS funding will improve access to testing already incorporated into some public hospital pathways. We acknowledge that the population, testing schedule, interpretation and resulting management decisions require clearer definition, and that test performance alone does not establish improved patient outcomes. We will work with clinical groups to refine the pathway and review evidence linking testing to management, outcomes and access benefits before considering a revised application.</w:t>
      </w:r>
    </w:p>
    <w:p w14:paraId="343F0557" w14:textId="77777777" w:rsidR="00196F67" w:rsidRDefault="00196F67">
      <w:pPr>
        <w:spacing w:after="160" w:line="259" w:lineRule="auto"/>
        <w:rPr>
          <w:rFonts w:ascii="Franklin Gothic Medium" w:eastAsiaTheme="majorEastAsia" w:hAnsi="Franklin Gothic Medium" w:cstheme="majorBidi"/>
          <w:color w:val="000000" w:themeColor="text1"/>
          <w:sz w:val="32"/>
          <w:szCs w:val="26"/>
        </w:rPr>
      </w:pPr>
      <w:r>
        <w:br w:type="page"/>
      </w:r>
    </w:p>
    <w:p w14:paraId="015F9912" w14:textId="54C25224" w:rsidR="00CD328D" w:rsidRDefault="00B70662" w:rsidP="00D4599B">
      <w:pPr>
        <w:pStyle w:val="Heading2"/>
      </w:pPr>
      <w:r>
        <w:lastRenderedPageBreak/>
        <w:t>References</w:t>
      </w:r>
    </w:p>
    <w:p w14:paraId="2D849E93" w14:textId="77777777" w:rsidR="00514A0F" w:rsidRPr="00514A0F" w:rsidRDefault="00CD328D" w:rsidP="00F60F61">
      <w:pPr>
        <w:pStyle w:val="EndNoteBibliography"/>
        <w:spacing w:after="120"/>
      </w:pPr>
      <w:r>
        <w:fldChar w:fldCharType="begin"/>
      </w:r>
      <w:r>
        <w:instrText xml:space="preserve"> ADDIN EN.REFLIST </w:instrText>
      </w:r>
      <w:r>
        <w:fldChar w:fldCharType="separate"/>
      </w:r>
      <w:r w:rsidR="00514A0F" w:rsidRPr="00514A0F">
        <w:t xml:space="preserve">AIHW (2025). "Cancer data in Australia, Cancer summary data visualisation." </w:t>
      </w:r>
      <w:r w:rsidR="00514A0F" w:rsidRPr="00514A0F">
        <w:rPr>
          <w:u w:val="single"/>
        </w:rPr>
        <w:t>Australian Institute of Health and Welfare</w:t>
      </w:r>
      <w:r w:rsidR="00514A0F" w:rsidRPr="00514A0F">
        <w:t>.</w:t>
      </w:r>
    </w:p>
    <w:p w14:paraId="45AE553B" w14:textId="77777777" w:rsidR="00514A0F" w:rsidRPr="00514A0F" w:rsidRDefault="00514A0F" w:rsidP="00F60F61">
      <w:pPr>
        <w:pStyle w:val="EndNoteBibliography"/>
        <w:spacing w:after="120"/>
      </w:pPr>
      <w:r w:rsidRPr="00514A0F">
        <w:t xml:space="preserve">Baekdal, J., J. Krogh, M. Klose, P. Holmager, S. W. Langer, P. Oturai, A. Kjaer, B. Federspiel, L. Hilsted, J. F. Rehfeld, U. Knigge and M. Andreassen (2020). "Limited Diagnostic Utility of Chromogranin A Measurements in Workup of Neuroendocrine Tumors." </w:t>
      </w:r>
      <w:r w:rsidRPr="00514A0F">
        <w:rPr>
          <w:u w:val="single"/>
        </w:rPr>
        <w:t>Diagnostics (Basel)</w:t>
      </w:r>
      <w:r w:rsidRPr="00514A0F">
        <w:t xml:space="preserve"> </w:t>
      </w:r>
      <w:r w:rsidRPr="00514A0F">
        <w:rPr>
          <w:b/>
        </w:rPr>
        <w:t>10</w:t>
      </w:r>
      <w:r w:rsidRPr="00514A0F">
        <w:t>(11).</w:t>
      </w:r>
    </w:p>
    <w:p w14:paraId="370FAC3B" w14:textId="42C940AD" w:rsidR="00514A0F" w:rsidRPr="00514A0F" w:rsidRDefault="00514A0F" w:rsidP="00F60F61">
      <w:pPr>
        <w:pStyle w:val="EndNoteBibliography"/>
        <w:spacing w:after="120"/>
      </w:pPr>
      <w:r w:rsidRPr="00514A0F">
        <w:t xml:space="preserve">Cancer Council Australia. (2023). "COSA Neuroendocrine Neoplasms (NENs) Guidelines."   Retrieved 14 July 2025, from </w:t>
      </w:r>
      <w:hyperlink r:id="rId19" w:anchor="/guideline/jlAbxL" w:history="1">
        <w:r w:rsidRPr="00514A0F">
          <w:rPr>
            <w:rStyle w:val="Hyperlink"/>
            <w:rFonts w:ascii="Calibri" w:hAnsi="Calibri" w:cs="Calibri"/>
          </w:rPr>
          <w:t>https://app.magicapp.org/#/guideline/jlAbxL</w:t>
        </w:r>
      </w:hyperlink>
      <w:r w:rsidRPr="00514A0F">
        <w:t>.</w:t>
      </w:r>
    </w:p>
    <w:p w14:paraId="4D156D42" w14:textId="77777777" w:rsidR="00514A0F" w:rsidRPr="00514A0F" w:rsidRDefault="00514A0F" w:rsidP="00F60F61">
      <w:pPr>
        <w:pStyle w:val="EndNoteBibliography"/>
        <w:spacing w:after="120"/>
      </w:pPr>
      <w:r w:rsidRPr="00514A0F">
        <w:t xml:space="preserve">Cancer Council Victoria and Commonwealth Government (2022). Optimal care pathway for people  with neuroendocrine tumours. Cancer Council Victoria, Melbourne. </w:t>
      </w:r>
      <w:r w:rsidRPr="00514A0F">
        <w:rPr>
          <w:b/>
        </w:rPr>
        <w:t>1st edn</w:t>
      </w:r>
      <w:r w:rsidRPr="00514A0F">
        <w:t>.</w:t>
      </w:r>
    </w:p>
    <w:p w14:paraId="2C6E1FE9" w14:textId="77777777" w:rsidR="00514A0F" w:rsidRPr="00514A0F" w:rsidRDefault="00514A0F" w:rsidP="00F60F61">
      <w:pPr>
        <w:pStyle w:val="EndNoteBibliography"/>
        <w:spacing w:after="120"/>
      </w:pPr>
      <w:r w:rsidRPr="00514A0F">
        <w:t xml:space="preserve">Clinical Oncology Society of Australia (2023). "Neuroendocrine Neoplasms (NENs) Clinical Guidelines." </w:t>
      </w:r>
      <w:r w:rsidRPr="00514A0F">
        <w:rPr>
          <w:u w:val="single"/>
        </w:rPr>
        <w:t>Cancer Council Australia</w:t>
      </w:r>
      <w:r w:rsidRPr="00514A0F">
        <w:t>.</w:t>
      </w:r>
    </w:p>
    <w:p w14:paraId="0A69D1C1" w14:textId="77777777" w:rsidR="00514A0F" w:rsidRPr="00514A0F" w:rsidRDefault="00514A0F" w:rsidP="00F60F61">
      <w:pPr>
        <w:pStyle w:val="EndNoteBibliography"/>
        <w:spacing w:after="120"/>
      </w:pPr>
      <w:r w:rsidRPr="00514A0F">
        <w:t xml:space="preserve">Klimstra, D. S., I. R. Modlin, D. Coppola, R. V. Lloyd and S. Suster (2010). "The pathologic classification of neuroendocrine tumors: a review of nomenclature, grading, and staging systems." </w:t>
      </w:r>
      <w:r w:rsidRPr="00514A0F">
        <w:rPr>
          <w:u w:val="single"/>
        </w:rPr>
        <w:t>Pancreas</w:t>
      </w:r>
      <w:r w:rsidRPr="00514A0F">
        <w:t xml:space="preserve"> </w:t>
      </w:r>
      <w:r w:rsidRPr="00514A0F">
        <w:rPr>
          <w:b/>
        </w:rPr>
        <w:t>39</w:t>
      </w:r>
      <w:r w:rsidRPr="00514A0F">
        <w:t>(6): 707-712.</w:t>
      </w:r>
    </w:p>
    <w:p w14:paraId="1AADA80E" w14:textId="77777777" w:rsidR="00514A0F" w:rsidRPr="00514A0F" w:rsidRDefault="00514A0F" w:rsidP="00F60F61">
      <w:pPr>
        <w:pStyle w:val="EndNoteBibliography"/>
        <w:spacing w:after="120"/>
      </w:pPr>
      <w:r w:rsidRPr="00514A0F">
        <w:t xml:space="preserve">Koffas, A., A. Giakoustidis, A. Papaefthymiou, P. Bangeas, D. Giakoustidis, V. N. Papadopoulos and C. Toumpanakis (2023). "Diagnostic work-up and advancement in the diagnosis of gastroenteropancreatic neuroendocrine neoplasms." </w:t>
      </w:r>
      <w:r w:rsidRPr="00514A0F">
        <w:rPr>
          <w:u w:val="single"/>
        </w:rPr>
        <w:t>Front Surg</w:t>
      </w:r>
      <w:r w:rsidRPr="00514A0F">
        <w:t xml:space="preserve"> </w:t>
      </w:r>
      <w:r w:rsidRPr="00514A0F">
        <w:rPr>
          <w:b/>
        </w:rPr>
        <w:t>10</w:t>
      </w:r>
      <w:r w:rsidRPr="00514A0F">
        <w:t>: 1064145.</w:t>
      </w:r>
    </w:p>
    <w:p w14:paraId="07F348F0" w14:textId="77777777" w:rsidR="00514A0F" w:rsidRPr="00514A0F" w:rsidRDefault="00514A0F" w:rsidP="00F60F61">
      <w:pPr>
        <w:pStyle w:val="EndNoteBibliography"/>
        <w:spacing w:after="120"/>
      </w:pPr>
      <w:r w:rsidRPr="00514A0F">
        <w:t xml:space="preserve">Lamarca, A., D. K. Bartsch, M. Caplin, B. Kos-Kudla, A. Kjaer, S. Partelli, A. Rinke, E. T. Janson, C. Thirlwell, M.-L. F. van Velthuysen, M.-P. Vullierme and M. Pavel (2024). "ENETS clinical guidance on the management of neuroendocrine neoplasms (NENs)." </w:t>
      </w:r>
      <w:r w:rsidRPr="00514A0F">
        <w:rPr>
          <w:u w:val="single"/>
        </w:rPr>
        <w:t>Journal of Neuroendocrinology</w:t>
      </w:r>
      <w:r w:rsidRPr="00514A0F">
        <w:t xml:space="preserve"> </w:t>
      </w:r>
      <w:r w:rsidRPr="00514A0F">
        <w:rPr>
          <w:b/>
        </w:rPr>
        <w:t>36</w:t>
      </w:r>
      <w:r w:rsidRPr="00514A0F">
        <w:t>(9): e13423.</w:t>
      </w:r>
    </w:p>
    <w:p w14:paraId="440DC44E" w14:textId="77777777" w:rsidR="00514A0F" w:rsidRPr="00514A0F" w:rsidRDefault="00514A0F" w:rsidP="00F60F61">
      <w:pPr>
        <w:pStyle w:val="EndNoteBibliography"/>
        <w:spacing w:after="120"/>
      </w:pPr>
      <w:r w:rsidRPr="00514A0F">
        <w:t xml:space="preserve">Marotta, V., M. C. Zatelli, C. Sciammarella, M. R. Ambrosio, M. Bondanelli, A. Colao and A. Faggiano (2018). "Chromogranin A as circulating marker for diagnosis and management of neuroendocrine neoplasms: more flaws than fame." </w:t>
      </w:r>
      <w:r w:rsidRPr="00514A0F">
        <w:rPr>
          <w:u w:val="single"/>
        </w:rPr>
        <w:t>Endocrine-Related Cancer</w:t>
      </w:r>
      <w:r w:rsidRPr="00514A0F">
        <w:t xml:space="preserve"> </w:t>
      </w:r>
      <w:r w:rsidRPr="00514A0F">
        <w:rPr>
          <w:b/>
        </w:rPr>
        <w:t>25</w:t>
      </w:r>
      <w:r w:rsidRPr="00514A0F">
        <w:t>(1): R11-R29.</w:t>
      </w:r>
    </w:p>
    <w:p w14:paraId="40547FED" w14:textId="77777777" w:rsidR="00514A0F" w:rsidRPr="00514A0F" w:rsidRDefault="00514A0F" w:rsidP="00F60F61">
      <w:pPr>
        <w:pStyle w:val="EndNoteBibliography"/>
        <w:spacing w:after="120"/>
      </w:pPr>
      <w:r w:rsidRPr="00514A0F">
        <w:t xml:space="preserve">Matar, S., A. Malczewska, K. Oberg, L. Bodei, H. Aslanian, A. Lewczuk-Myślicka, P. L. Filosso, A. L. Suarez, A. Kolasińska-Ćwikła, M. Roffinella, B. Kos-Kudła, J. B. Ćwikła, I. A. Drozdov, M. Kidd and I. M. Modlin (2020). "Blood Chromogranin A Is Not Effective as a Biomarker for Diagnosis or Management of Bronchopulmonary Neuroendocrine Tumors/Neoplasms." </w:t>
      </w:r>
      <w:r w:rsidRPr="00514A0F">
        <w:rPr>
          <w:u w:val="single"/>
        </w:rPr>
        <w:t>Neuroendocrinology</w:t>
      </w:r>
      <w:r w:rsidRPr="00514A0F">
        <w:t xml:space="preserve"> </w:t>
      </w:r>
      <w:r w:rsidRPr="00514A0F">
        <w:rPr>
          <w:b/>
        </w:rPr>
        <w:t>110</w:t>
      </w:r>
      <w:r w:rsidRPr="00514A0F">
        <w:t>(3-4): 185-197.</w:t>
      </w:r>
    </w:p>
    <w:p w14:paraId="62FD51BF" w14:textId="77777777" w:rsidR="00514A0F" w:rsidRPr="00514A0F" w:rsidRDefault="00514A0F" w:rsidP="00F60F61">
      <w:pPr>
        <w:pStyle w:val="EndNoteBibliography"/>
        <w:spacing w:after="120"/>
      </w:pPr>
      <w:r w:rsidRPr="00514A0F">
        <w:t xml:space="preserve">Maxwell, J. E., J. C. Yao and D. M. Halperin (2022). Neuroendocrine Tumors. </w:t>
      </w:r>
      <w:r w:rsidRPr="00514A0F">
        <w:rPr>
          <w:u w:val="single"/>
        </w:rPr>
        <w:t>The MD Anderson Manual of Medical Oncology, 4e</w:t>
      </w:r>
      <w:r w:rsidRPr="00514A0F">
        <w:t xml:space="preserve">. </w:t>
      </w:r>
      <w:r w:rsidRPr="00D4599B">
        <w:rPr>
          <w:lang w:val="de-CH"/>
        </w:rPr>
        <w:t xml:space="preserve">H. M. Kantarjian, R. A. Wolff and A. G. Rieber. </w:t>
      </w:r>
      <w:r w:rsidRPr="00514A0F">
        <w:t>New York, NY, McGraw Hill Education.</w:t>
      </w:r>
    </w:p>
    <w:p w14:paraId="20168792" w14:textId="77777777" w:rsidR="00514A0F" w:rsidRPr="00514A0F" w:rsidRDefault="00514A0F" w:rsidP="00F60F61">
      <w:pPr>
        <w:pStyle w:val="EndNoteBibliography"/>
        <w:spacing w:after="120"/>
      </w:pPr>
      <w:r w:rsidRPr="00514A0F">
        <w:t xml:space="preserve">Meng, Q. H., T. R. Halfdanarson, J. A. Bornhorst, H. Jann, S. Shaheen, R. Z. Shi, A. Schwabe, K. Stade and D. M. Halperin (2024). "Circulating Chromogranin A as a Surveillance Biomarker in Patients with Carcinoids—The CASPAR Study." </w:t>
      </w:r>
      <w:r w:rsidRPr="00514A0F">
        <w:rPr>
          <w:u w:val="single"/>
        </w:rPr>
        <w:t>Clinical Cancer Research</w:t>
      </w:r>
      <w:r w:rsidRPr="00514A0F">
        <w:t xml:space="preserve"> </w:t>
      </w:r>
      <w:r w:rsidRPr="00514A0F">
        <w:rPr>
          <w:b/>
        </w:rPr>
        <w:t>30</w:t>
      </w:r>
      <w:r w:rsidRPr="00514A0F">
        <w:t>(24): 5559-5567.</w:t>
      </w:r>
    </w:p>
    <w:p w14:paraId="775EC42B" w14:textId="77777777" w:rsidR="00514A0F" w:rsidRPr="00514A0F" w:rsidRDefault="00514A0F" w:rsidP="00F60F61">
      <w:pPr>
        <w:pStyle w:val="EndNoteBibliography"/>
        <w:spacing w:after="120"/>
      </w:pPr>
      <w:r w:rsidRPr="00514A0F">
        <w:t xml:space="preserve">Rindi, G., O. Mete, S. Uccella, O. Basturk, S. La Rosa, L. A. A. Brosens, S. Ezzat, W. W. de Herder, D. S. Klimstra, M. Papotti and S. L. Asa (2022). "Overview of the 2022 WHO Classification of Neuroendocrine Neoplasms." </w:t>
      </w:r>
      <w:r w:rsidRPr="00514A0F">
        <w:rPr>
          <w:u w:val="single"/>
        </w:rPr>
        <w:t>Endocr Pathol</w:t>
      </w:r>
      <w:r w:rsidRPr="00514A0F">
        <w:t xml:space="preserve"> </w:t>
      </w:r>
      <w:r w:rsidRPr="00514A0F">
        <w:rPr>
          <w:b/>
        </w:rPr>
        <w:t>33</w:t>
      </w:r>
      <w:r w:rsidRPr="00514A0F">
        <w:t>(1): 115-154.</w:t>
      </w:r>
    </w:p>
    <w:p w14:paraId="53052EFD" w14:textId="77777777" w:rsidR="00514A0F" w:rsidRPr="00514A0F" w:rsidRDefault="00514A0F" w:rsidP="00F60F61">
      <w:pPr>
        <w:pStyle w:val="EndNoteBibliography"/>
        <w:spacing w:after="120"/>
      </w:pPr>
      <w:r w:rsidRPr="00514A0F">
        <w:t xml:space="preserve">Tareco Bucho, T. M., L. Pascucci, G. Mancò, A. Taraschi, M. C. Macchia, N. Tinari, D. Brocco, R. G. H. Beets-Tan, A. D. Pizzi and S. Trebeschi (2025). "RECIST progression: Patterns among target, non-target, non-measurable and new lesions progression." </w:t>
      </w:r>
      <w:r w:rsidRPr="00514A0F">
        <w:rPr>
          <w:u w:val="single"/>
        </w:rPr>
        <w:t>European Journal of Radiology</w:t>
      </w:r>
      <w:r w:rsidRPr="00514A0F">
        <w:t xml:space="preserve"> </w:t>
      </w:r>
      <w:r w:rsidRPr="00514A0F">
        <w:rPr>
          <w:b/>
        </w:rPr>
        <w:t>186</w:t>
      </w:r>
      <w:r w:rsidRPr="00514A0F">
        <w:t>.</w:t>
      </w:r>
    </w:p>
    <w:p w14:paraId="0BE35318" w14:textId="77777777" w:rsidR="00514A0F" w:rsidRPr="00514A0F" w:rsidRDefault="00514A0F" w:rsidP="00F60F61">
      <w:pPr>
        <w:pStyle w:val="EndNoteBibliography"/>
        <w:spacing w:after="120"/>
      </w:pPr>
      <w:r w:rsidRPr="00514A0F">
        <w:t xml:space="preserve">Tsai, H.-J., C.-F. Hsiao, J. S. Chang, L.-T. Chen, Y.-J. Chao, C.-J. Yen and Y.-S. Shan (2021). "The Prognostic and Predictive Role of Chromogranin A in Gastroenteropancreatic Neuroendocrine Tumors – A Single-Center Experience." </w:t>
      </w:r>
      <w:r w:rsidRPr="00514A0F">
        <w:rPr>
          <w:u w:val="single"/>
        </w:rPr>
        <w:t>Frontiers in Oncology</w:t>
      </w:r>
      <w:r w:rsidRPr="00514A0F">
        <w:t xml:space="preserve"> </w:t>
      </w:r>
      <w:r w:rsidRPr="00514A0F">
        <w:rPr>
          <w:b/>
        </w:rPr>
        <w:t>Volume 11 - 2021</w:t>
      </w:r>
      <w:r w:rsidRPr="00514A0F">
        <w:t>.</w:t>
      </w:r>
    </w:p>
    <w:p w14:paraId="714D5F5E" w14:textId="77777777" w:rsidR="00514A0F" w:rsidRPr="00514A0F" w:rsidRDefault="00514A0F" w:rsidP="00F60F61">
      <w:pPr>
        <w:pStyle w:val="EndNoteBibliography"/>
        <w:spacing w:after="120"/>
      </w:pPr>
      <w:r w:rsidRPr="00514A0F">
        <w:lastRenderedPageBreak/>
        <w:t xml:space="preserve">Wu, P., D. He, H. Chang and X. Zhang (2023). "Epidemiologic trends of and factors associated with overall survival in patients with neuroendocrine tumors over the last two decades in the USA." </w:t>
      </w:r>
      <w:r w:rsidRPr="00514A0F">
        <w:rPr>
          <w:u w:val="single"/>
        </w:rPr>
        <w:t>Endocr Connect</w:t>
      </w:r>
      <w:r w:rsidRPr="00514A0F">
        <w:t xml:space="preserve"> </w:t>
      </w:r>
      <w:r w:rsidRPr="00514A0F">
        <w:rPr>
          <w:b/>
        </w:rPr>
        <w:t>12</w:t>
      </w:r>
      <w:r w:rsidRPr="00514A0F">
        <w:t>(12).</w:t>
      </w:r>
    </w:p>
    <w:p w14:paraId="3D7DD209" w14:textId="77777777" w:rsidR="00514A0F" w:rsidRPr="00514A0F" w:rsidRDefault="00514A0F" w:rsidP="00F60F61">
      <w:pPr>
        <w:pStyle w:val="EndNoteBibliography"/>
        <w:spacing w:after="120"/>
      </w:pPr>
      <w:r w:rsidRPr="00514A0F">
        <w:t xml:space="preserve">Wyld, D., J. Moore, N. Tran and P. Youl (2021). "Incidence, survival and stage at diagnosis of small intestinal neuroendocrine tumours in Queensland, Australia, 2001-2015." </w:t>
      </w:r>
      <w:r w:rsidRPr="00514A0F">
        <w:rPr>
          <w:u w:val="single"/>
        </w:rPr>
        <w:t>Asia-Pacific Journal of Clinical Oncology</w:t>
      </w:r>
      <w:r w:rsidRPr="00514A0F">
        <w:t xml:space="preserve"> </w:t>
      </w:r>
      <w:r w:rsidRPr="00514A0F">
        <w:rPr>
          <w:b/>
        </w:rPr>
        <w:t>17</w:t>
      </w:r>
      <w:r w:rsidRPr="00514A0F">
        <w:t>(4): 350-358.</w:t>
      </w:r>
    </w:p>
    <w:p w14:paraId="3923ED2A" w14:textId="6F8ADE44" w:rsidR="005A0C40" w:rsidRDefault="00CD328D" w:rsidP="00F60F61">
      <w:pPr>
        <w:pStyle w:val="Instructionaltext"/>
        <w:spacing w:after="120"/>
      </w:pPr>
      <w:r>
        <w:fldChar w:fldCharType="end"/>
      </w:r>
    </w:p>
    <w:sectPr w:rsidR="005A0C40" w:rsidSect="001F0C55">
      <w:headerReference w:type="even" r:id="rId20"/>
      <w:headerReference w:type="default" r:id="rId21"/>
      <w:footerReference w:type="even" r:id="rId22"/>
      <w:footerReference w:type="default" r:id="rId23"/>
      <w:headerReference w:type="first" r:id="rId24"/>
      <w:footerReference w:type="first" r:id="rId25"/>
      <w:pgSz w:w="11906" w:h="16838"/>
      <w:pgMar w:top="682" w:right="1134" w:bottom="1021" w:left="119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89C3F" w14:textId="77777777" w:rsidR="00661E09" w:rsidRDefault="00661E09" w:rsidP="0016315C">
      <w:pPr>
        <w:spacing w:after="0" w:line="240" w:lineRule="auto"/>
      </w:pPr>
      <w:r>
        <w:separator/>
      </w:r>
    </w:p>
  </w:endnote>
  <w:endnote w:type="continuationSeparator" w:id="0">
    <w:p w14:paraId="49D059D9" w14:textId="77777777" w:rsidR="00661E09" w:rsidRDefault="00661E09" w:rsidP="0016315C">
      <w:pPr>
        <w:spacing w:after="0" w:line="240" w:lineRule="auto"/>
      </w:pPr>
      <w:r>
        <w:continuationSeparator/>
      </w:r>
    </w:p>
  </w:endnote>
  <w:endnote w:type="continuationNotice" w:id="1">
    <w:p w14:paraId="62B5AC9B" w14:textId="77777777" w:rsidR="00661E09" w:rsidRDefault="00661E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D3D2" w14:textId="4FF39910" w:rsidR="00685355" w:rsidRDefault="00AB12DC">
    <w:pPr>
      <w:pStyle w:val="Footer"/>
      <w:framePr w:wrap="none" w:vAnchor="text" w:hAnchor="margin" w:xAlign="right" w:y="1"/>
      <w:rPr>
        <w:rStyle w:val="PageNumber"/>
      </w:rPr>
    </w:pPr>
    <w:r>
      <w:rPr>
        <w:noProof/>
      </w:rPr>
      <mc:AlternateContent>
        <mc:Choice Requires="wps">
          <w:drawing>
            <wp:anchor distT="0" distB="0" distL="0" distR="0" simplePos="0" relativeHeight="251663365" behindDoc="0" locked="0" layoutInCell="1" allowOverlap="1" wp14:anchorId="4F43E1C3" wp14:editId="31DAC637">
              <wp:simplePos x="635" y="635"/>
              <wp:positionH relativeFrom="page">
                <wp:align>center</wp:align>
              </wp:positionH>
              <wp:positionV relativeFrom="page">
                <wp:align>bottom</wp:align>
              </wp:positionV>
              <wp:extent cx="622300" cy="404495"/>
              <wp:effectExtent l="0" t="0" r="6350" b="0"/>
              <wp:wrapNone/>
              <wp:docPr id="676768675"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3D131DC" w14:textId="3B72AE59" w:rsidR="00AB12DC" w:rsidRPr="00AB12DC" w:rsidRDefault="00AB12DC" w:rsidP="00AB12DC">
                          <w:pPr>
                            <w:spacing w:after="0"/>
                            <w:rPr>
                              <w:rFonts w:ascii="Aptos" w:eastAsia="Aptos" w:hAnsi="Aptos" w:cs="Aptos"/>
                              <w:noProof/>
                              <w:color w:val="FF0000"/>
                              <w:sz w:val="24"/>
                              <w:szCs w:val="24"/>
                            </w:rPr>
                          </w:pPr>
                          <w:r w:rsidRPr="00AB12DC">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43E1C3" id="_x0000_t202" coordsize="21600,21600" o:spt="202" path="m,l,21600r21600,l21600,xe">
              <v:stroke joinstyle="miter"/>
              <v:path gradientshapeok="t" o:connecttype="rect"/>
            </v:shapetype>
            <v:shape id="Text Box 11" o:spid="_x0000_s1028" type="#_x0000_t202" alt="OFFICIAL" style="position:absolute;margin-left:0;margin-top:0;width:49pt;height:31.85pt;z-index:25166336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IW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AgO8hYNAgAAHAQA&#10;AA4AAAAAAAAAAAAAAAAALgIAAGRycy9lMm9Eb2MueG1sUEsBAi0AFAAGAAgAAAAhAFanuMraAAAA&#10;AwEAAA8AAAAAAAAAAAAAAAAAZwQAAGRycy9kb3ducmV2LnhtbFBLBQYAAAAABAAEAPMAAABuBQAA&#10;AAA=&#10;" filled="f" stroked="f">
              <v:fill o:detectmouseclick="t"/>
              <v:textbox style="mso-fit-shape-to-text:t" inset="0,0,0,15pt">
                <w:txbxContent>
                  <w:p w14:paraId="73D131DC" w14:textId="3B72AE59" w:rsidR="00AB12DC" w:rsidRPr="00AB12DC" w:rsidRDefault="00AB12DC" w:rsidP="00AB12DC">
                    <w:pPr>
                      <w:spacing w:after="0"/>
                      <w:rPr>
                        <w:rFonts w:ascii="Aptos" w:eastAsia="Aptos" w:hAnsi="Aptos" w:cs="Aptos"/>
                        <w:noProof/>
                        <w:color w:val="FF0000"/>
                        <w:sz w:val="24"/>
                        <w:szCs w:val="24"/>
                      </w:rPr>
                    </w:pPr>
                    <w:r w:rsidRPr="00AB12DC">
                      <w:rPr>
                        <w:rFonts w:ascii="Aptos" w:eastAsia="Aptos" w:hAnsi="Aptos" w:cs="Aptos"/>
                        <w:noProof/>
                        <w:color w:val="FF0000"/>
                        <w:sz w:val="24"/>
                        <w:szCs w:val="24"/>
                      </w:rPr>
                      <w:t>OFFICIAL</w:t>
                    </w:r>
                  </w:p>
                </w:txbxContent>
              </v:textbox>
              <w10:wrap anchorx="page" anchory="page"/>
            </v:shape>
          </w:pict>
        </mc:Fallback>
      </mc:AlternateContent>
    </w:r>
    <w:r w:rsidR="00685355">
      <w:rPr>
        <w:rStyle w:val="PageNumber"/>
      </w:rPr>
      <w:fldChar w:fldCharType="begin"/>
    </w:r>
    <w:r w:rsidR="00685355">
      <w:rPr>
        <w:rStyle w:val="PageNumber"/>
      </w:rPr>
      <w:instrText xml:space="preserve"> PAGE </w:instrText>
    </w:r>
    <w:r w:rsidR="00685355">
      <w:rPr>
        <w:rStyle w:val="PageNumber"/>
      </w:rPr>
      <w:fldChar w:fldCharType="separate"/>
    </w:r>
    <w:r w:rsidR="003A1E02">
      <w:rPr>
        <w:rStyle w:val="PageNumber"/>
        <w:noProof/>
      </w:rPr>
      <w:t>1</w:t>
    </w:r>
    <w:r w:rsidR="00685355">
      <w:rPr>
        <w:rStyle w:val="PageNumber"/>
      </w:rPr>
      <w:fldChar w:fldCharType="end"/>
    </w:r>
  </w:p>
  <w:p w14:paraId="74E72C2D" w14:textId="77777777" w:rsidR="00685355" w:rsidRDefault="00685355" w:rsidP="0068535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ECA8" w14:textId="146B9410" w:rsidR="0015018B" w:rsidRPr="009B57D9" w:rsidRDefault="0015018B" w:rsidP="0015018B">
    <w:pPr>
      <w:spacing w:after="0"/>
      <w:contextualSpacing/>
      <w:jc w:val="center"/>
      <w:rPr>
        <w:sz w:val="18"/>
        <w:szCs w:val="18"/>
      </w:rPr>
    </w:pPr>
  </w:p>
  <w:p w14:paraId="3B4966E4" w14:textId="6959DF2F" w:rsidR="0015018B" w:rsidRDefault="00661E09" w:rsidP="001F0C55">
    <w:pPr>
      <w:pStyle w:val="Footer"/>
      <w:framePr w:wrap="none" w:vAnchor="page" w:hAnchor="page" w:x="10666" w:y="15301"/>
      <w:rPr>
        <w:rStyle w:val="PageNumber"/>
      </w:rPr>
    </w:pPr>
    <w:sdt>
      <w:sdtPr>
        <w:rPr>
          <w:rStyle w:val="PageNumber"/>
        </w:rPr>
        <w:id w:val="-2093382827"/>
        <w:docPartObj>
          <w:docPartGallery w:val="Page Numbers (Bottom of Page)"/>
          <w:docPartUnique/>
        </w:docPartObj>
      </w:sdtPr>
      <w:sdtEndPr>
        <w:rPr>
          <w:rStyle w:val="PageNumber"/>
        </w:rPr>
      </w:sdtEndPr>
      <w:sdtContent>
        <w:r w:rsidR="0015018B">
          <w:rPr>
            <w:rStyle w:val="PageNumber"/>
          </w:rPr>
          <w:fldChar w:fldCharType="begin"/>
        </w:r>
        <w:r w:rsidR="0015018B">
          <w:rPr>
            <w:rStyle w:val="PageNumber"/>
          </w:rPr>
          <w:instrText xml:space="preserve"> PAGE </w:instrText>
        </w:r>
        <w:r w:rsidR="0015018B">
          <w:rPr>
            <w:rStyle w:val="PageNumber"/>
          </w:rPr>
          <w:fldChar w:fldCharType="separate"/>
        </w:r>
        <w:r w:rsidR="0015018B">
          <w:rPr>
            <w:rStyle w:val="PageNumber"/>
            <w:noProof/>
          </w:rPr>
          <w:t>1</w:t>
        </w:r>
        <w:r w:rsidR="0015018B">
          <w:rPr>
            <w:rStyle w:val="PageNumber"/>
          </w:rPr>
          <w:fldChar w:fldCharType="end"/>
        </w:r>
      </w:sdtContent>
    </w:sdt>
  </w:p>
  <w:p w14:paraId="33649654" w14:textId="2D43364C" w:rsidR="0016315C" w:rsidRPr="00685355" w:rsidRDefault="008613AF" w:rsidP="001F0C55">
    <w:pPr>
      <w:jc w:val="center"/>
    </w:pPr>
    <w:r>
      <w:t xml:space="preserve">Ratified </w:t>
    </w:r>
    <w:r w:rsidR="60009B8A">
      <w:t xml:space="preserve">PICO Confirmation – </w:t>
    </w:r>
    <w:r w:rsidR="00CE4958">
      <w:t>August 2026 PASC Meeting</w:t>
    </w:r>
    <w:r w:rsidR="00BB0FFB">
      <w:br/>
    </w:r>
    <w:r w:rsidR="60009B8A">
      <w:t xml:space="preserve">Application </w:t>
    </w:r>
    <w:r w:rsidR="00CE4958">
      <w:t>1821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34D21" w14:textId="01578D42" w:rsidR="009A4FFB" w:rsidRDefault="00AB12DC">
    <w:pPr>
      <w:pStyle w:val="Footer"/>
    </w:pPr>
    <w:r>
      <w:rPr>
        <w:noProof/>
      </w:rPr>
      <mc:AlternateContent>
        <mc:Choice Requires="wps">
          <w:drawing>
            <wp:anchor distT="0" distB="0" distL="0" distR="0" simplePos="0" relativeHeight="251662341" behindDoc="0" locked="0" layoutInCell="1" allowOverlap="1" wp14:anchorId="16D2E117" wp14:editId="551D5D1A">
              <wp:simplePos x="635" y="635"/>
              <wp:positionH relativeFrom="page">
                <wp:align>center</wp:align>
              </wp:positionH>
              <wp:positionV relativeFrom="page">
                <wp:align>bottom</wp:align>
              </wp:positionV>
              <wp:extent cx="622300" cy="404495"/>
              <wp:effectExtent l="0" t="0" r="6350" b="0"/>
              <wp:wrapNone/>
              <wp:docPr id="732154353"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50DBBB2E" w14:textId="18A8B708" w:rsidR="00AB12DC" w:rsidRPr="00AB12DC" w:rsidRDefault="00AB12DC" w:rsidP="00AB12DC">
                          <w:pPr>
                            <w:spacing w:after="0"/>
                            <w:rPr>
                              <w:rFonts w:ascii="Aptos" w:eastAsia="Aptos" w:hAnsi="Aptos" w:cs="Aptos"/>
                              <w:noProof/>
                              <w:color w:val="FF0000"/>
                              <w:sz w:val="24"/>
                              <w:szCs w:val="24"/>
                            </w:rPr>
                          </w:pPr>
                          <w:r w:rsidRPr="00AB12DC">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D2E117" id="_x0000_t202" coordsize="21600,21600" o:spt="202" path="m,l,21600r21600,l21600,xe">
              <v:stroke joinstyle="miter"/>
              <v:path gradientshapeok="t" o:connecttype="rect"/>
            </v:shapetype>
            <v:shape id="Text Box 10" o:spid="_x0000_s1031" type="#_x0000_t202" alt="OFFICIAL" style="position:absolute;margin-left:0;margin-top:0;width:49pt;height:31.85pt;z-index:2516623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CzLvpgwCAAAcBAAA&#10;DgAAAAAAAAAAAAAAAAAuAgAAZHJzL2Uyb0RvYy54bWxQSwECLQAUAAYACAAAACEAVqe4ytoAAAAD&#10;AQAADwAAAAAAAAAAAAAAAABmBAAAZHJzL2Rvd25yZXYueG1sUEsFBgAAAAAEAAQA8wAAAG0FAAAA&#10;AA==&#10;" filled="f" stroked="f">
              <v:fill o:detectmouseclick="t"/>
              <v:textbox style="mso-fit-shape-to-text:t" inset="0,0,0,15pt">
                <w:txbxContent>
                  <w:p w14:paraId="50DBBB2E" w14:textId="18A8B708" w:rsidR="00AB12DC" w:rsidRPr="00AB12DC" w:rsidRDefault="00AB12DC" w:rsidP="00AB12DC">
                    <w:pPr>
                      <w:spacing w:after="0"/>
                      <w:rPr>
                        <w:rFonts w:ascii="Aptos" w:eastAsia="Aptos" w:hAnsi="Aptos" w:cs="Aptos"/>
                        <w:noProof/>
                        <w:color w:val="FF0000"/>
                        <w:sz w:val="24"/>
                        <w:szCs w:val="24"/>
                      </w:rPr>
                    </w:pPr>
                    <w:r w:rsidRPr="00AB12DC">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47D88" w14:textId="77777777" w:rsidR="00661E09" w:rsidRDefault="00661E09" w:rsidP="0016315C">
      <w:pPr>
        <w:spacing w:after="0" w:line="240" w:lineRule="auto"/>
      </w:pPr>
      <w:r>
        <w:separator/>
      </w:r>
    </w:p>
  </w:footnote>
  <w:footnote w:type="continuationSeparator" w:id="0">
    <w:p w14:paraId="0C744EA2" w14:textId="77777777" w:rsidR="00661E09" w:rsidRDefault="00661E09" w:rsidP="0016315C">
      <w:pPr>
        <w:spacing w:after="0" w:line="240" w:lineRule="auto"/>
      </w:pPr>
      <w:r>
        <w:continuationSeparator/>
      </w:r>
    </w:p>
  </w:footnote>
  <w:footnote w:type="continuationNotice" w:id="1">
    <w:p w14:paraId="4C602E9E" w14:textId="77777777" w:rsidR="00661E09" w:rsidRDefault="00661E09">
      <w:pPr>
        <w:spacing w:after="0" w:line="240" w:lineRule="auto"/>
      </w:pPr>
    </w:p>
  </w:footnote>
  <w:footnote w:id="2">
    <w:p w14:paraId="31CC7E0C" w14:textId="75D76935" w:rsidR="0032308B" w:rsidRDefault="0032308B">
      <w:pPr>
        <w:pStyle w:val="FootnoteText"/>
      </w:pPr>
      <w:r>
        <w:rPr>
          <w:rStyle w:val="FootnoteReference"/>
        </w:rPr>
        <w:footnoteRef/>
      </w:r>
      <w:r>
        <w:t xml:space="preserve"> </w:t>
      </w:r>
      <w:hyperlink r:id="rId1" w:history="1">
        <w:r w:rsidR="00E11B47" w:rsidRPr="00E11B47">
          <w:rPr>
            <w:rStyle w:val="Hyperlink"/>
            <w:rFonts w:ascii="Calibri" w:hAnsi="Calibri"/>
          </w:rPr>
          <w:t xml:space="preserve">Neuroendocrine Neoplasms (NENs) </w:t>
        </w:r>
        <w:r w:rsidR="00965CAB" w:rsidRPr="00E11B47">
          <w:rPr>
            <w:rStyle w:val="Hyperlink"/>
            <w:rFonts w:ascii="Calibri" w:hAnsi="Calibri"/>
          </w:rPr>
          <w:t>C</w:t>
        </w:r>
        <w:r w:rsidR="00965CAB">
          <w:rPr>
            <w:rStyle w:val="Hyperlink"/>
            <w:rFonts w:ascii="Calibri" w:hAnsi="Calibri"/>
          </w:rPr>
          <w:t>onsensus</w:t>
        </w:r>
        <w:r w:rsidR="00965CAB" w:rsidRPr="00E11B47">
          <w:rPr>
            <w:rStyle w:val="Hyperlink"/>
            <w:rFonts w:ascii="Calibri" w:hAnsi="Calibri"/>
          </w:rPr>
          <w:t xml:space="preserve"> </w:t>
        </w:r>
        <w:r w:rsidR="00E11B47" w:rsidRPr="00E11B47">
          <w:rPr>
            <w:rStyle w:val="Hyperlink"/>
            <w:rFonts w:ascii="Calibri" w:hAnsi="Calibri"/>
          </w:rPr>
          <w:t>Guidelines | Cancer Council Australia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B082F" w14:textId="17F0C672" w:rsidR="009A4FFB" w:rsidRDefault="00AB12DC">
    <w:pPr>
      <w:pStyle w:val="Header"/>
    </w:pPr>
    <w:r>
      <w:rPr>
        <w:noProof/>
      </w:rPr>
      <mc:AlternateContent>
        <mc:Choice Requires="wps">
          <w:drawing>
            <wp:anchor distT="0" distB="0" distL="0" distR="0" simplePos="0" relativeHeight="251660293" behindDoc="0" locked="0" layoutInCell="1" allowOverlap="1" wp14:anchorId="0AF9B698" wp14:editId="784A19DC">
              <wp:simplePos x="635" y="635"/>
              <wp:positionH relativeFrom="page">
                <wp:align>center</wp:align>
              </wp:positionH>
              <wp:positionV relativeFrom="page">
                <wp:align>top</wp:align>
              </wp:positionV>
              <wp:extent cx="622300" cy="404495"/>
              <wp:effectExtent l="0" t="0" r="6350" b="14605"/>
              <wp:wrapNone/>
              <wp:docPr id="14821680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EEDD253" w14:textId="04AAAD3F" w:rsidR="00AB12DC" w:rsidRPr="00AB12DC" w:rsidRDefault="00AB12DC" w:rsidP="00AB12DC">
                          <w:pPr>
                            <w:spacing w:after="0"/>
                            <w:rPr>
                              <w:rFonts w:ascii="Aptos" w:eastAsia="Aptos" w:hAnsi="Aptos" w:cs="Aptos"/>
                              <w:noProof/>
                              <w:color w:val="FF0000"/>
                              <w:sz w:val="24"/>
                              <w:szCs w:val="24"/>
                            </w:rPr>
                          </w:pPr>
                          <w:r w:rsidRPr="00AB12DC">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F9B698" id="_x0000_t202" coordsize="21600,21600" o:spt="202" path="m,l,21600r21600,l21600,xe">
              <v:stroke joinstyle="miter"/>
              <v:path gradientshapeok="t" o:connecttype="rect"/>
            </v:shapetype>
            <v:shape id="Text Box 8" o:spid="_x0000_s1026" type="#_x0000_t202" alt="OFFICIAL" style="position:absolute;margin-left:0;margin-top:0;width:49pt;height:31.85pt;z-index:25166029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fill o:detectmouseclick="t"/>
              <v:textbox style="mso-fit-shape-to-text:t" inset="0,15pt,0,0">
                <w:txbxContent>
                  <w:p w14:paraId="7EEDD253" w14:textId="04AAAD3F" w:rsidR="00AB12DC" w:rsidRPr="00AB12DC" w:rsidRDefault="00AB12DC" w:rsidP="00AB12DC">
                    <w:pPr>
                      <w:spacing w:after="0"/>
                      <w:rPr>
                        <w:rFonts w:ascii="Aptos" w:eastAsia="Aptos" w:hAnsi="Aptos" w:cs="Aptos"/>
                        <w:noProof/>
                        <w:color w:val="FF0000"/>
                        <w:sz w:val="24"/>
                        <w:szCs w:val="24"/>
                      </w:rPr>
                    </w:pPr>
                    <w:r w:rsidRPr="00AB12DC">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90"/>
      <w:gridCol w:w="3190"/>
      <w:gridCol w:w="3190"/>
    </w:tblGrid>
    <w:tr w:rsidR="628F6C62" w14:paraId="30E3AEF3" w14:textId="77777777" w:rsidTr="009A4FFB">
      <w:trPr>
        <w:trHeight w:val="300"/>
      </w:trPr>
      <w:tc>
        <w:tcPr>
          <w:tcW w:w="3190" w:type="dxa"/>
        </w:tcPr>
        <w:p w14:paraId="49F52A5F" w14:textId="71595B38" w:rsidR="628F6C62" w:rsidRDefault="628F6C62" w:rsidP="009A4FFB">
          <w:pPr>
            <w:pStyle w:val="Header"/>
            <w:ind w:left="-115"/>
          </w:pPr>
        </w:p>
      </w:tc>
      <w:tc>
        <w:tcPr>
          <w:tcW w:w="3190" w:type="dxa"/>
        </w:tcPr>
        <w:p w14:paraId="36E67869" w14:textId="39B8B9D4" w:rsidR="628F6C62" w:rsidRDefault="628F6C62" w:rsidP="009A4FFB">
          <w:pPr>
            <w:pStyle w:val="Header"/>
            <w:jc w:val="center"/>
          </w:pPr>
        </w:p>
      </w:tc>
      <w:tc>
        <w:tcPr>
          <w:tcW w:w="3190" w:type="dxa"/>
        </w:tcPr>
        <w:p w14:paraId="7D0E02FB" w14:textId="1ED15B37" w:rsidR="628F6C62" w:rsidRDefault="628F6C62" w:rsidP="009A4FFB">
          <w:pPr>
            <w:pStyle w:val="Header"/>
            <w:ind w:right="-115"/>
            <w:jc w:val="right"/>
          </w:pPr>
        </w:p>
      </w:tc>
    </w:tr>
  </w:tbl>
  <w:p w14:paraId="1C2EB0F3" w14:textId="3D5E737B" w:rsidR="628F6C62" w:rsidRDefault="628F6C62" w:rsidP="009A4F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D54B" w14:textId="48D37E54" w:rsidR="009A4FFB" w:rsidRDefault="00AB12DC">
    <w:pPr>
      <w:pStyle w:val="Header"/>
    </w:pPr>
    <w:r>
      <w:rPr>
        <w:noProof/>
      </w:rPr>
      <mc:AlternateContent>
        <mc:Choice Requires="wps">
          <w:drawing>
            <wp:anchor distT="0" distB="0" distL="0" distR="0" simplePos="0" relativeHeight="251659269" behindDoc="0" locked="0" layoutInCell="1" allowOverlap="1" wp14:anchorId="74A2305C" wp14:editId="1E77C4D1">
              <wp:simplePos x="635" y="635"/>
              <wp:positionH relativeFrom="page">
                <wp:align>center</wp:align>
              </wp:positionH>
              <wp:positionV relativeFrom="page">
                <wp:align>top</wp:align>
              </wp:positionV>
              <wp:extent cx="622300" cy="404495"/>
              <wp:effectExtent l="0" t="0" r="6350" b="14605"/>
              <wp:wrapNone/>
              <wp:docPr id="765530281"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A365239" w14:textId="60FD12E5" w:rsidR="00AB12DC" w:rsidRPr="00AB12DC" w:rsidRDefault="00AB12DC" w:rsidP="00AB12DC">
                          <w:pPr>
                            <w:spacing w:after="0"/>
                            <w:rPr>
                              <w:rFonts w:ascii="Aptos" w:eastAsia="Aptos" w:hAnsi="Aptos" w:cs="Aptos"/>
                              <w:noProof/>
                              <w:color w:val="FF0000"/>
                              <w:sz w:val="24"/>
                              <w:szCs w:val="24"/>
                            </w:rPr>
                          </w:pPr>
                          <w:r w:rsidRPr="00AB12DC">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A2305C" id="_x0000_t202" coordsize="21600,21600" o:spt="202" path="m,l,21600r21600,l21600,xe">
              <v:stroke joinstyle="miter"/>
              <v:path gradientshapeok="t" o:connecttype="rect"/>
            </v:shapetype>
            <v:shape id="Text Box 7" o:spid="_x0000_s1030" type="#_x0000_t202" alt="OFFICIAL" style="position:absolute;margin-left:0;margin-top:0;width:49pt;height:31.85pt;z-index:25165926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wv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D4SgwvDAIAABwEAAAO&#10;AAAAAAAAAAAAAAAAAC4CAABkcnMvZTJvRG9jLnhtbFBLAQItABQABgAIAAAAIQC1VGR12QAAAAMB&#10;AAAPAAAAAAAAAAAAAAAAAGYEAABkcnMvZG93bnJldi54bWxQSwUGAAAAAAQABADzAAAAbAUAAAAA&#10;" filled="f" stroked="f">
              <v:fill o:detectmouseclick="t"/>
              <v:textbox style="mso-fit-shape-to-text:t" inset="0,15pt,0,0">
                <w:txbxContent>
                  <w:p w14:paraId="0A365239" w14:textId="60FD12E5" w:rsidR="00AB12DC" w:rsidRPr="00AB12DC" w:rsidRDefault="00AB12DC" w:rsidP="00AB12DC">
                    <w:pPr>
                      <w:spacing w:after="0"/>
                      <w:rPr>
                        <w:rFonts w:ascii="Aptos" w:eastAsia="Aptos" w:hAnsi="Aptos" w:cs="Aptos"/>
                        <w:noProof/>
                        <w:color w:val="FF0000"/>
                        <w:sz w:val="24"/>
                        <w:szCs w:val="24"/>
                      </w:rPr>
                    </w:pPr>
                    <w:r w:rsidRPr="00AB12DC">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6057"/>
    <w:multiLevelType w:val="hybridMultilevel"/>
    <w:tmpl w:val="512C64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775D1D"/>
    <w:multiLevelType w:val="hybridMultilevel"/>
    <w:tmpl w:val="D048FF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CD337A"/>
    <w:multiLevelType w:val="hybridMultilevel"/>
    <w:tmpl w:val="FAA2AE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220CF5"/>
    <w:multiLevelType w:val="hybridMultilevel"/>
    <w:tmpl w:val="8AEC02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5390920"/>
    <w:multiLevelType w:val="hybridMultilevel"/>
    <w:tmpl w:val="A90A5F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C152984"/>
    <w:multiLevelType w:val="hybridMultilevel"/>
    <w:tmpl w:val="DD628E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41420E"/>
    <w:multiLevelType w:val="hybridMultilevel"/>
    <w:tmpl w:val="B2EC73A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7" w15:restartNumberingAfterBreak="0">
    <w:nsid w:val="0DC85E16"/>
    <w:multiLevelType w:val="hybridMultilevel"/>
    <w:tmpl w:val="E12A8DF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6113CEC"/>
    <w:multiLevelType w:val="hybridMultilevel"/>
    <w:tmpl w:val="F62448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023445"/>
    <w:multiLevelType w:val="hybridMultilevel"/>
    <w:tmpl w:val="0CE4E2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D0F0166"/>
    <w:multiLevelType w:val="hybridMultilevel"/>
    <w:tmpl w:val="9AB8F7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C4707D"/>
    <w:multiLevelType w:val="hybridMultilevel"/>
    <w:tmpl w:val="8E7C97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09B242A"/>
    <w:multiLevelType w:val="hybridMultilevel"/>
    <w:tmpl w:val="316ECB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7BB593D"/>
    <w:multiLevelType w:val="hybridMultilevel"/>
    <w:tmpl w:val="27E27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3893F59"/>
    <w:multiLevelType w:val="hybridMultilevel"/>
    <w:tmpl w:val="DE0C21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750485B"/>
    <w:multiLevelType w:val="hybridMultilevel"/>
    <w:tmpl w:val="09183E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882214B"/>
    <w:multiLevelType w:val="multilevel"/>
    <w:tmpl w:val="D4E6F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71768F"/>
    <w:multiLevelType w:val="hybridMultilevel"/>
    <w:tmpl w:val="F044EC06"/>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05F4939"/>
    <w:multiLevelType w:val="hybridMultilevel"/>
    <w:tmpl w:val="EB6AE8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2EB0479"/>
    <w:multiLevelType w:val="hybridMultilevel"/>
    <w:tmpl w:val="9ECECC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60D2D23"/>
    <w:multiLevelType w:val="hybridMultilevel"/>
    <w:tmpl w:val="BD9A3E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6131C1F"/>
    <w:multiLevelType w:val="hybridMultilevel"/>
    <w:tmpl w:val="0F72D6F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7095746"/>
    <w:multiLevelType w:val="hybridMultilevel"/>
    <w:tmpl w:val="A386E41C"/>
    <w:lvl w:ilvl="0" w:tplc="8D2C4D5A">
      <w:start w:val="1"/>
      <w:numFmt w:val="bullet"/>
      <w:lvlText w:val=""/>
      <w:lvlJc w:val="left"/>
      <w:pPr>
        <w:ind w:left="720" w:hanging="360"/>
      </w:pPr>
      <w:rPr>
        <w:rFonts w:ascii="Symbol" w:hAnsi="Symbol" w:cs="Symbol" w:hint="default"/>
        <w:color w:val="auto"/>
        <w:sz w:val="22"/>
        <w:szCs w:val="22"/>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54FF0110"/>
    <w:multiLevelType w:val="hybridMultilevel"/>
    <w:tmpl w:val="DBA873F8"/>
    <w:lvl w:ilvl="0" w:tplc="03DA1D4E">
      <w:start w:val="1"/>
      <w:numFmt w:val="bullet"/>
      <w:pStyle w:val="Instructionaltext-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cs="Wingdings" w:hint="default"/>
      </w:rPr>
    </w:lvl>
    <w:lvl w:ilvl="3" w:tplc="0C090001" w:tentative="1">
      <w:start w:val="1"/>
      <w:numFmt w:val="bullet"/>
      <w:lvlText w:val=""/>
      <w:lvlJc w:val="left"/>
      <w:pPr>
        <w:ind w:left="3237" w:hanging="360"/>
      </w:pPr>
      <w:rPr>
        <w:rFonts w:ascii="Symbol" w:hAnsi="Symbol" w:cs="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cs="Wingdings" w:hint="default"/>
      </w:rPr>
    </w:lvl>
    <w:lvl w:ilvl="6" w:tplc="0C090001" w:tentative="1">
      <w:start w:val="1"/>
      <w:numFmt w:val="bullet"/>
      <w:lvlText w:val=""/>
      <w:lvlJc w:val="left"/>
      <w:pPr>
        <w:ind w:left="5397" w:hanging="360"/>
      </w:pPr>
      <w:rPr>
        <w:rFonts w:ascii="Symbol" w:hAnsi="Symbol" w:cs="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cs="Wingdings" w:hint="default"/>
      </w:rPr>
    </w:lvl>
  </w:abstractNum>
  <w:abstractNum w:abstractNumId="24" w15:restartNumberingAfterBreak="0">
    <w:nsid w:val="580D2CE2"/>
    <w:multiLevelType w:val="hybridMultilevel"/>
    <w:tmpl w:val="313E72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87F5A43"/>
    <w:multiLevelType w:val="hybridMultilevel"/>
    <w:tmpl w:val="5456F6A4"/>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D3A3952"/>
    <w:multiLevelType w:val="hybridMultilevel"/>
    <w:tmpl w:val="5FA005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E8B447A"/>
    <w:multiLevelType w:val="hybridMultilevel"/>
    <w:tmpl w:val="9EE2EB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0C95369"/>
    <w:multiLevelType w:val="hybridMultilevel"/>
    <w:tmpl w:val="5540EFD4"/>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3520C44"/>
    <w:multiLevelType w:val="hybridMultilevel"/>
    <w:tmpl w:val="812281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83A3841"/>
    <w:multiLevelType w:val="hybridMultilevel"/>
    <w:tmpl w:val="06F0A4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A5D31FF"/>
    <w:multiLevelType w:val="hybridMultilevel"/>
    <w:tmpl w:val="6EF29E5E"/>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32" w15:restartNumberingAfterBreak="0">
    <w:nsid w:val="6CFD6B3F"/>
    <w:multiLevelType w:val="hybridMultilevel"/>
    <w:tmpl w:val="48E83A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2062B33"/>
    <w:multiLevelType w:val="hybridMultilevel"/>
    <w:tmpl w:val="E2AECC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A850D5E"/>
    <w:multiLevelType w:val="hybridMultilevel"/>
    <w:tmpl w:val="21D43B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72583400">
    <w:abstractNumId w:val="6"/>
  </w:num>
  <w:num w:numId="2" w16cid:durableId="1024792184">
    <w:abstractNumId w:val="24"/>
  </w:num>
  <w:num w:numId="3" w16cid:durableId="2098093375">
    <w:abstractNumId w:val="23"/>
  </w:num>
  <w:num w:numId="4" w16cid:durableId="1911186006">
    <w:abstractNumId w:val="11"/>
  </w:num>
  <w:num w:numId="5" w16cid:durableId="929508997">
    <w:abstractNumId w:val="28"/>
  </w:num>
  <w:num w:numId="6" w16cid:durableId="823394897">
    <w:abstractNumId w:val="22"/>
  </w:num>
  <w:num w:numId="7" w16cid:durableId="1985043683">
    <w:abstractNumId w:val="17"/>
  </w:num>
  <w:num w:numId="8" w16cid:durableId="1138887236">
    <w:abstractNumId w:val="18"/>
  </w:num>
  <w:num w:numId="9" w16cid:durableId="2089647999">
    <w:abstractNumId w:val="7"/>
  </w:num>
  <w:num w:numId="10" w16cid:durableId="1832671248">
    <w:abstractNumId w:val="14"/>
  </w:num>
  <w:num w:numId="11" w16cid:durableId="1177157857">
    <w:abstractNumId w:val="29"/>
  </w:num>
  <w:num w:numId="12" w16cid:durableId="2019917521">
    <w:abstractNumId w:val="34"/>
  </w:num>
  <w:num w:numId="13" w16cid:durableId="1597209781">
    <w:abstractNumId w:val="5"/>
  </w:num>
  <w:num w:numId="14" w16cid:durableId="176236770">
    <w:abstractNumId w:val="12"/>
  </w:num>
  <w:num w:numId="15" w16cid:durableId="2099861088">
    <w:abstractNumId w:val="21"/>
  </w:num>
  <w:num w:numId="16" w16cid:durableId="1972055240">
    <w:abstractNumId w:val="19"/>
  </w:num>
  <w:num w:numId="17" w16cid:durableId="84687712">
    <w:abstractNumId w:val="25"/>
  </w:num>
  <w:num w:numId="18" w16cid:durableId="1714426300">
    <w:abstractNumId w:val="10"/>
  </w:num>
  <w:num w:numId="19" w16cid:durableId="125241712">
    <w:abstractNumId w:val="20"/>
  </w:num>
  <w:num w:numId="20" w16cid:durableId="1582981502">
    <w:abstractNumId w:val="30"/>
  </w:num>
  <w:num w:numId="21" w16cid:durableId="1089086419">
    <w:abstractNumId w:val="2"/>
  </w:num>
  <w:num w:numId="22" w16cid:durableId="1925258178">
    <w:abstractNumId w:val="3"/>
  </w:num>
  <w:num w:numId="23" w16cid:durableId="1420634960">
    <w:abstractNumId w:val="26"/>
  </w:num>
  <w:num w:numId="24" w16cid:durableId="1852260431">
    <w:abstractNumId w:val="16"/>
  </w:num>
  <w:num w:numId="25" w16cid:durableId="1692027024">
    <w:abstractNumId w:val="0"/>
  </w:num>
  <w:num w:numId="26" w16cid:durableId="153225041">
    <w:abstractNumId w:val="32"/>
  </w:num>
  <w:num w:numId="27" w16cid:durableId="1810201325">
    <w:abstractNumId w:val="8"/>
  </w:num>
  <w:num w:numId="28" w16cid:durableId="1795518737">
    <w:abstractNumId w:val="33"/>
  </w:num>
  <w:num w:numId="29" w16cid:durableId="615216942">
    <w:abstractNumId w:val="1"/>
  </w:num>
  <w:num w:numId="30" w16cid:durableId="1403286619">
    <w:abstractNumId w:val="4"/>
  </w:num>
  <w:num w:numId="31" w16cid:durableId="2087069569">
    <w:abstractNumId w:val="13"/>
  </w:num>
  <w:num w:numId="32" w16cid:durableId="1344354995">
    <w:abstractNumId w:val="9"/>
  </w:num>
  <w:num w:numId="33" w16cid:durableId="910307603">
    <w:abstractNumId w:val="27"/>
  </w:num>
  <w:num w:numId="34" w16cid:durableId="1056123497">
    <w:abstractNumId w:val="15"/>
  </w:num>
  <w:num w:numId="35" w16cid:durableId="101627352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uthor-D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t0tvv0vcezr9neew2av9ppvfs25wf5sd0pd&quot;&gt;PICO 1821&lt;record-ids&gt;&lt;item&gt;1&lt;/item&gt;&lt;item&gt;3&lt;/item&gt;&lt;item&gt;4&lt;/item&gt;&lt;item&gt;5&lt;/item&gt;&lt;item&gt;6&lt;/item&gt;&lt;item&gt;9&lt;/item&gt;&lt;item&gt;10&lt;/item&gt;&lt;item&gt;11&lt;/item&gt;&lt;item&gt;12&lt;/item&gt;&lt;item&gt;13&lt;/item&gt;&lt;item&gt;14&lt;/item&gt;&lt;item&gt;15&lt;/item&gt;&lt;item&gt;16&lt;/item&gt;&lt;item&gt;17&lt;/item&gt;&lt;item&gt;19&lt;/item&gt;&lt;item&gt;20&lt;/item&gt;&lt;item&gt;21&lt;/item&gt;&lt;/record-ids&gt;&lt;/item&gt;&lt;/Libraries&gt;"/>
  </w:docVars>
  <w:rsids>
    <w:rsidRoot w:val="001E5F9C"/>
    <w:rsid w:val="00000791"/>
    <w:rsid w:val="000008DA"/>
    <w:rsid w:val="00000D1B"/>
    <w:rsid w:val="00001DA0"/>
    <w:rsid w:val="000033E7"/>
    <w:rsid w:val="00003A8D"/>
    <w:rsid w:val="000040FC"/>
    <w:rsid w:val="00004979"/>
    <w:rsid w:val="000054BF"/>
    <w:rsid w:val="00006656"/>
    <w:rsid w:val="00007151"/>
    <w:rsid w:val="000073AA"/>
    <w:rsid w:val="00007E30"/>
    <w:rsid w:val="00007F9A"/>
    <w:rsid w:val="00010E62"/>
    <w:rsid w:val="00010EC9"/>
    <w:rsid w:val="0001128B"/>
    <w:rsid w:val="00011F65"/>
    <w:rsid w:val="00012DD3"/>
    <w:rsid w:val="00015317"/>
    <w:rsid w:val="00015BF6"/>
    <w:rsid w:val="00015CD5"/>
    <w:rsid w:val="00015F76"/>
    <w:rsid w:val="0001632D"/>
    <w:rsid w:val="000165EA"/>
    <w:rsid w:val="00016B55"/>
    <w:rsid w:val="00016F85"/>
    <w:rsid w:val="0001719F"/>
    <w:rsid w:val="0002284A"/>
    <w:rsid w:val="000247E3"/>
    <w:rsid w:val="00024978"/>
    <w:rsid w:val="00026DC8"/>
    <w:rsid w:val="000279D5"/>
    <w:rsid w:val="00027AED"/>
    <w:rsid w:val="00030078"/>
    <w:rsid w:val="00033657"/>
    <w:rsid w:val="00033742"/>
    <w:rsid w:val="00034DBD"/>
    <w:rsid w:val="00035F94"/>
    <w:rsid w:val="00036630"/>
    <w:rsid w:val="000369BB"/>
    <w:rsid w:val="00036CE2"/>
    <w:rsid w:val="00036D86"/>
    <w:rsid w:val="000375BA"/>
    <w:rsid w:val="000378FE"/>
    <w:rsid w:val="00037B6D"/>
    <w:rsid w:val="00040685"/>
    <w:rsid w:val="00040F6C"/>
    <w:rsid w:val="00041FE1"/>
    <w:rsid w:val="00042858"/>
    <w:rsid w:val="00042CCE"/>
    <w:rsid w:val="00042CF0"/>
    <w:rsid w:val="00045793"/>
    <w:rsid w:val="000458BB"/>
    <w:rsid w:val="00045BC9"/>
    <w:rsid w:val="00045E1E"/>
    <w:rsid w:val="00050FF7"/>
    <w:rsid w:val="00051FDE"/>
    <w:rsid w:val="000526DC"/>
    <w:rsid w:val="000548F6"/>
    <w:rsid w:val="00054A13"/>
    <w:rsid w:val="00055272"/>
    <w:rsid w:val="0005533D"/>
    <w:rsid w:val="000568BE"/>
    <w:rsid w:val="0005760B"/>
    <w:rsid w:val="0005791B"/>
    <w:rsid w:val="00057D31"/>
    <w:rsid w:val="00060B9C"/>
    <w:rsid w:val="000621F2"/>
    <w:rsid w:val="000625F4"/>
    <w:rsid w:val="00062793"/>
    <w:rsid w:val="0006352A"/>
    <w:rsid w:val="00063AB5"/>
    <w:rsid w:val="0006486F"/>
    <w:rsid w:val="00065136"/>
    <w:rsid w:val="0006582F"/>
    <w:rsid w:val="000658DE"/>
    <w:rsid w:val="00065A0A"/>
    <w:rsid w:val="00067FC7"/>
    <w:rsid w:val="0007097C"/>
    <w:rsid w:val="0007245C"/>
    <w:rsid w:val="000730D5"/>
    <w:rsid w:val="00073211"/>
    <w:rsid w:val="000738B2"/>
    <w:rsid w:val="00074797"/>
    <w:rsid w:val="0007565D"/>
    <w:rsid w:val="00075757"/>
    <w:rsid w:val="00077211"/>
    <w:rsid w:val="0007744B"/>
    <w:rsid w:val="0007758E"/>
    <w:rsid w:val="000779AA"/>
    <w:rsid w:val="00077C62"/>
    <w:rsid w:val="000803E9"/>
    <w:rsid w:val="00081193"/>
    <w:rsid w:val="000824C0"/>
    <w:rsid w:val="0008286C"/>
    <w:rsid w:val="00082950"/>
    <w:rsid w:val="00082B33"/>
    <w:rsid w:val="00083F40"/>
    <w:rsid w:val="000843EB"/>
    <w:rsid w:val="000846D3"/>
    <w:rsid w:val="00084CE6"/>
    <w:rsid w:val="000859DB"/>
    <w:rsid w:val="00085A82"/>
    <w:rsid w:val="00086365"/>
    <w:rsid w:val="000867FC"/>
    <w:rsid w:val="0008748B"/>
    <w:rsid w:val="00092002"/>
    <w:rsid w:val="000921B2"/>
    <w:rsid w:val="000938A8"/>
    <w:rsid w:val="000939E0"/>
    <w:rsid w:val="00093A37"/>
    <w:rsid w:val="00093F53"/>
    <w:rsid w:val="00095366"/>
    <w:rsid w:val="000959B1"/>
    <w:rsid w:val="00097B77"/>
    <w:rsid w:val="000A050C"/>
    <w:rsid w:val="000A1522"/>
    <w:rsid w:val="000A3242"/>
    <w:rsid w:val="000A40FD"/>
    <w:rsid w:val="000A4221"/>
    <w:rsid w:val="000A4809"/>
    <w:rsid w:val="000A4BDF"/>
    <w:rsid w:val="000A63FA"/>
    <w:rsid w:val="000B0F85"/>
    <w:rsid w:val="000B1C3F"/>
    <w:rsid w:val="000B2410"/>
    <w:rsid w:val="000B32C9"/>
    <w:rsid w:val="000B4AF1"/>
    <w:rsid w:val="000B5AA0"/>
    <w:rsid w:val="000B5C14"/>
    <w:rsid w:val="000C1229"/>
    <w:rsid w:val="000C2B58"/>
    <w:rsid w:val="000C3347"/>
    <w:rsid w:val="000C4369"/>
    <w:rsid w:val="000C5E46"/>
    <w:rsid w:val="000C5EF5"/>
    <w:rsid w:val="000C77E8"/>
    <w:rsid w:val="000D0A34"/>
    <w:rsid w:val="000D1FCF"/>
    <w:rsid w:val="000D30A8"/>
    <w:rsid w:val="000D6DE0"/>
    <w:rsid w:val="000E05FD"/>
    <w:rsid w:val="000E1358"/>
    <w:rsid w:val="000E2841"/>
    <w:rsid w:val="000E4258"/>
    <w:rsid w:val="000E5019"/>
    <w:rsid w:val="000E5F37"/>
    <w:rsid w:val="000E623D"/>
    <w:rsid w:val="000E7D9D"/>
    <w:rsid w:val="000F005F"/>
    <w:rsid w:val="000F03A8"/>
    <w:rsid w:val="000F184B"/>
    <w:rsid w:val="000F2F03"/>
    <w:rsid w:val="000F3DFD"/>
    <w:rsid w:val="000F4E18"/>
    <w:rsid w:val="000F5458"/>
    <w:rsid w:val="000F60C5"/>
    <w:rsid w:val="000F7C35"/>
    <w:rsid w:val="001006D1"/>
    <w:rsid w:val="00101838"/>
    <w:rsid w:val="0010330C"/>
    <w:rsid w:val="001033F9"/>
    <w:rsid w:val="00105CF4"/>
    <w:rsid w:val="0010744C"/>
    <w:rsid w:val="0010779F"/>
    <w:rsid w:val="001111F8"/>
    <w:rsid w:val="00113A02"/>
    <w:rsid w:val="00113BDC"/>
    <w:rsid w:val="00117188"/>
    <w:rsid w:val="00117F66"/>
    <w:rsid w:val="001203C5"/>
    <w:rsid w:val="00120F8A"/>
    <w:rsid w:val="0012159A"/>
    <w:rsid w:val="001236A4"/>
    <w:rsid w:val="001239B2"/>
    <w:rsid w:val="001239E0"/>
    <w:rsid w:val="00124562"/>
    <w:rsid w:val="0012755B"/>
    <w:rsid w:val="00130265"/>
    <w:rsid w:val="001305A0"/>
    <w:rsid w:val="00130ECF"/>
    <w:rsid w:val="00134DB5"/>
    <w:rsid w:val="00135C6C"/>
    <w:rsid w:val="00140027"/>
    <w:rsid w:val="00140134"/>
    <w:rsid w:val="0014014B"/>
    <w:rsid w:val="001405F9"/>
    <w:rsid w:val="00140D96"/>
    <w:rsid w:val="00141E28"/>
    <w:rsid w:val="0014256A"/>
    <w:rsid w:val="001427BB"/>
    <w:rsid w:val="0014315D"/>
    <w:rsid w:val="00143391"/>
    <w:rsid w:val="001436F6"/>
    <w:rsid w:val="001448D4"/>
    <w:rsid w:val="00144BD2"/>
    <w:rsid w:val="00146B9B"/>
    <w:rsid w:val="00147194"/>
    <w:rsid w:val="0015018B"/>
    <w:rsid w:val="001503DE"/>
    <w:rsid w:val="00150B54"/>
    <w:rsid w:val="0015259F"/>
    <w:rsid w:val="001530A5"/>
    <w:rsid w:val="001536CF"/>
    <w:rsid w:val="00156107"/>
    <w:rsid w:val="0015652C"/>
    <w:rsid w:val="001604EE"/>
    <w:rsid w:val="00161727"/>
    <w:rsid w:val="0016221A"/>
    <w:rsid w:val="001626E7"/>
    <w:rsid w:val="00162DF7"/>
    <w:rsid w:val="0016315C"/>
    <w:rsid w:val="0016379E"/>
    <w:rsid w:val="0016511D"/>
    <w:rsid w:val="00167099"/>
    <w:rsid w:val="00167A9A"/>
    <w:rsid w:val="001708F8"/>
    <w:rsid w:val="00171E6B"/>
    <w:rsid w:val="00172475"/>
    <w:rsid w:val="00173032"/>
    <w:rsid w:val="001731CC"/>
    <w:rsid w:val="001736A9"/>
    <w:rsid w:val="00173763"/>
    <w:rsid w:val="00173850"/>
    <w:rsid w:val="00174D2D"/>
    <w:rsid w:val="00174F71"/>
    <w:rsid w:val="00175C0D"/>
    <w:rsid w:val="00175C94"/>
    <w:rsid w:val="00175F0F"/>
    <w:rsid w:val="00176949"/>
    <w:rsid w:val="00177202"/>
    <w:rsid w:val="0017735B"/>
    <w:rsid w:val="0017761B"/>
    <w:rsid w:val="00177E73"/>
    <w:rsid w:val="001826AC"/>
    <w:rsid w:val="00183B7E"/>
    <w:rsid w:val="0018424C"/>
    <w:rsid w:val="00184A84"/>
    <w:rsid w:val="00186733"/>
    <w:rsid w:val="00186D3A"/>
    <w:rsid w:val="00187346"/>
    <w:rsid w:val="00190577"/>
    <w:rsid w:val="001911EC"/>
    <w:rsid w:val="001923A1"/>
    <w:rsid w:val="001946B9"/>
    <w:rsid w:val="00195F36"/>
    <w:rsid w:val="00195F8F"/>
    <w:rsid w:val="001966FC"/>
    <w:rsid w:val="00196F67"/>
    <w:rsid w:val="00197290"/>
    <w:rsid w:val="00197CAF"/>
    <w:rsid w:val="00197CE6"/>
    <w:rsid w:val="001A045B"/>
    <w:rsid w:val="001A2C5C"/>
    <w:rsid w:val="001A48C3"/>
    <w:rsid w:val="001A4C45"/>
    <w:rsid w:val="001A503F"/>
    <w:rsid w:val="001A5907"/>
    <w:rsid w:val="001A5D2F"/>
    <w:rsid w:val="001A6E8A"/>
    <w:rsid w:val="001B42F6"/>
    <w:rsid w:val="001B44E0"/>
    <w:rsid w:val="001B490C"/>
    <w:rsid w:val="001B4D9C"/>
    <w:rsid w:val="001B5238"/>
    <w:rsid w:val="001B53F5"/>
    <w:rsid w:val="001B5FDE"/>
    <w:rsid w:val="001B62FC"/>
    <w:rsid w:val="001B6358"/>
    <w:rsid w:val="001B7E1F"/>
    <w:rsid w:val="001C0004"/>
    <w:rsid w:val="001C014D"/>
    <w:rsid w:val="001C01EF"/>
    <w:rsid w:val="001C040C"/>
    <w:rsid w:val="001C160D"/>
    <w:rsid w:val="001C19CE"/>
    <w:rsid w:val="001C32DE"/>
    <w:rsid w:val="001C393A"/>
    <w:rsid w:val="001C4267"/>
    <w:rsid w:val="001C5109"/>
    <w:rsid w:val="001C5EEF"/>
    <w:rsid w:val="001C5F26"/>
    <w:rsid w:val="001C6295"/>
    <w:rsid w:val="001D0DD0"/>
    <w:rsid w:val="001D247E"/>
    <w:rsid w:val="001D4BE7"/>
    <w:rsid w:val="001D5A0A"/>
    <w:rsid w:val="001D6093"/>
    <w:rsid w:val="001D75CE"/>
    <w:rsid w:val="001D793A"/>
    <w:rsid w:val="001E0973"/>
    <w:rsid w:val="001E097C"/>
    <w:rsid w:val="001E1E4A"/>
    <w:rsid w:val="001E2DDB"/>
    <w:rsid w:val="001E3080"/>
    <w:rsid w:val="001E3743"/>
    <w:rsid w:val="001E3EE7"/>
    <w:rsid w:val="001E4893"/>
    <w:rsid w:val="001E506D"/>
    <w:rsid w:val="001E5D88"/>
    <w:rsid w:val="001E5F9C"/>
    <w:rsid w:val="001E6B95"/>
    <w:rsid w:val="001F0073"/>
    <w:rsid w:val="001F0394"/>
    <w:rsid w:val="001F0C55"/>
    <w:rsid w:val="001F18B6"/>
    <w:rsid w:val="001F523F"/>
    <w:rsid w:val="001F5AC4"/>
    <w:rsid w:val="001F5AF6"/>
    <w:rsid w:val="001F70D6"/>
    <w:rsid w:val="00200432"/>
    <w:rsid w:val="002005F3"/>
    <w:rsid w:val="00201760"/>
    <w:rsid w:val="002031A9"/>
    <w:rsid w:val="002034E0"/>
    <w:rsid w:val="002037B3"/>
    <w:rsid w:val="00205559"/>
    <w:rsid w:val="00205A7C"/>
    <w:rsid w:val="00206790"/>
    <w:rsid w:val="00206FEC"/>
    <w:rsid w:val="00211276"/>
    <w:rsid w:val="0021177F"/>
    <w:rsid w:val="00211B19"/>
    <w:rsid w:val="00212C6B"/>
    <w:rsid w:val="0021335A"/>
    <w:rsid w:val="002137C5"/>
    <w:rsid w:val="00214D5B"/>
    <w:rsid w:val="00215371"/>
    <w:rsid w:val="00216603"/>
    <w:rsid w:val="00216B24"/>
    <w:rsid w:val="002175A3"/>
    <w:rsid w:val="00217EBA"/>
    <w:rsid w:val="00221E55"/>
    <w:rsid w:val="0022221B"/>
    <w:rsid w:val="0022319A"/>
    <w:rsid w:val="002249AC"/>
    <w:rsid w:val="002255D0"/>
    <w:rsid w:val="00225754"/>
    <w:rsid w:val="00225FC3"/>
    <w:rsid w:val="002263B5"/>
    <w:rsid w:val="00227E65"/>
    <w:rsid w:val="00233D07"/>
    <w:rsid w:val="00234485"/>
    <w:rsid w:val="002347C1"/>
    <w:rsid w:val="00235B21"/>
    <w:rsid w:val="00236F14"/>
    <w:rsid w:val="0023702E"/>
    <w:rsid w:val="00237A72"/>
    <w:rsid w:val="00240CD6"/>
    <w:rsid w:val="00242A88"/>
    <w:rsid w:val="00242B2C"/>
    <w:rsid w:val="00242F22"/>
    <w:rsid w:val="002435E0"/>
    <w:rsid w:val="0024495F"/>
    <w:rsid w:val="00244EAE"/>
    <w:rsid w:val="00244F08"/>
    <w:rsid w:val="00244F0D"/>
    <w:rsid w:val="002454D8"/>
    <w:rsid w:val="00245568"/>
    <w:rsid w:val="00245955"/>
    <w:rsid w:val="0024596F"/>
    <w:rsid w:val="00245BB7"/>
    <w:rsid w:val="00245C61"/>
    <w:rsid w:val="00245EE3"/>
    <w:rsid w:val="0024600F"/>
    <w:rsid w:val="002460DF"/>
    <w:rsid w:val="002478B1"/>
    <w:rsid w:val="00247927"/>
    <w:rsid w:val="00250631"/>
    <w:rsid w:val="00251551"/>
    <w:rsid w:val="00251B0F"/>
    <w:rsid w:val="0025288E"/>
    <w:rsid w:val="002538A6"/>
    <w:rsid w:val="002548AF"/>
    <w:rsid w:val="00254C47"/>
    <w:rsid w:val="00255B38"/>
    <w:rsid w:val="00256618"/>
    <w:rsid w:val="00256AFC"/>
    <w:rsid w:val="002579A5"/>
    <w:rsid w:val="00257C2C"/>
    <w:rsid w:val="002604AF"/>
    <w:rsid w:val="00261D5A"/>
    <w:rsid w:val="0026245B"/>
    <w:rsid w:val="0026300C"/>
    <w:rsid w:val="00263E54"/>
    <w:rsid w:val="00265C5B"/>
    <w:rsid w:val="00265D18"/>
    <w:rsid w:val="00267186"/>
    <w:rsid w:val="0027170F"/>
    <w:rsid w:val="00272C1C"/>
    <w:rsid w:val="00273CEF"/>
    <w:rsid w:val="002749FE"/>
    <w:rsid w:val="00277E4A"/>
    <w:rsid w:val="00280839"/>
    <w:rsid w:val="00281501"/>
    <w:rsid w:val="00281554"/>
    <w:rsid w:val="00282CC4"/>
    <w:rsid w:val="002833D3"/>
    <w:rsid w:val="00284310"/>
    <w:rsid w:val="00284A1B"/>
    <w:rsid w:val="00284A5F"/>
    <w:rsid w:val="00286FF6"/>
    <w:rsid w:val="00290166"/>
    <w:rsid w:val="0029027F"/>
    <w:rsid w:val="002902BB"/>
    <w:rsid w:val="00290631"/>
    <w:rsid w:val="0029078B"/>
    <w:rsid w:val="00290A08"/>
    <w:rsid w:val="00292E5A"/>
    <w:rsid w:val="00292EF6"/>
    <w:rsid w:val="0029450C"/>
    <w:rsid w:val="0029494E"/>
    <w:rsid w:val="00296AFD"/>
    <w:rsid w:val="002A03EC"/>
    <w:rsid w:val="002A286E"/>
    <w:rsid w:val="002A366A"/>
    <w:rsid w:val="002A44F3"/>
    <w:rsid w:val="002A4EA9"/>
    <w:rsid w:val="002A5338"/>
    <w:rsid w:val="002A5A16"/>
    <w:rsid w:val="002A605F"/>
    <w:rsid w:val="002B103E"/>
    <w:rsid w:val="002B1605"/>
    <w:rsid w:val="002B2C52"/>
    <w:rsid w:val="002B31B0"/>
    <w:rsid w:val="002B3555"/>
    <w:rsid w:val="002B4A65"/>
    <w:rsid w:val="002B684E"/>
    <w:rsid w:val="002B7722"/>
    <w:rsid w:val="002C0392"/>
    <w:rsid w:val="002C130B"/>
    <w:rsid w:val="002C1508"/>
    <w:rsid w:val="002C2FA4"/>
    <w:rsid w:val="002C3486"/>
    <w:rsid w:val="002C46F2"/>
    <w:rsid w:val="002C4BFA"/>
    <w:rsid w:val="002C5478"/>
    <w:rsid w:val="002C566D"/>
    <w:rsid w:val="002C6011"/>
    <w:rsid w:val="002D14EC"/>
    <w:rsid w:val="002D2711"/>
    <w:rsid w:val="002D2A23"/>
    <w:rsid w:val="002D3976"/>
    <w:rsid w:val="002D532A"/>
    <w:rsid w:val="002D54E4"/>
    <w:rsid w:val="002D5A26"/>
    <w:rsid w:val="002D5D59"/>
    <w:rsid w:val="002D7BAC"/>
    <w:rsid w:val="002E068A"/>
    <w:rsid w:val="002E0852"/>
    <w:rsid w:val="002E0F1F"/>
    <w:rsid w:val="002E172C"/>
    <w:rsid w:val="002E25DB"/>
    <w:rsid w:val="002E2D1F"/>
    <w:rsid w:val="002E4C2D"/>
    <w:rsid w:val="002E4F3A"/>
    <w:rsid w:val="002E57C3"/>
    <w:rsid w:val="002E7A2F"/>
    <w:rsid w:val="002E7A73"/>
    <w:rsid w:val="002F0289"/>
    <w:rsid w:val="002F1216"/>
    <w:rsid w:val="002F132B"/>
    <w:rsid w:val="002F156F"/>
    <w:rsid w:val="002F166E"/>
    <w:rsid w:val="002F2D00"/>
    <w:rsid w:val="002F3CF1"/>
    <w:rsid w:val="002F3E40"/>
    <w:rsid w:val="002F41C5"/>
    <w:rsid w:val="002F4E9C"/>
    <w:rsid w:val="002F4F38"/>
    <w:rsid w:val="002F542A"/>
    <w:rsid w:val="002F54A6"/>
    <w:rsid w:val="002F5D2D"/>
    <w:rsid w:val="003013B8"/>
    <w:rsid w:val="003013F6"/>
    <w:rsid w:val="0030174A"/>
    <w:rsid w:val="00301EC5"/>
    <w:rsid w:val="003029AC"/>
    <w:rsid w:val="003032AC"/>
    <w:rsid w:val="00305665"/>
    <w:rsid w:val="00305EB7"/>
    <w:rsid w:val="00306435"/>
    <w:rsid w:val="003076A9"/>
    <w:rsid w:val="003109E0"/>
    <w:rsid w:val="00310DD6"/>
    <w:rsid w:val="00311C79"/>
    <w:rsid w:val="00312B70"/>
    <w:rsid w:val="00312EDE"/>
    <w:rsid w:val="00313C07"/>
    <w:rsid w:val="00313CED"/>
    <w:rsid w:val="003152ED"/>
    <w:rsid w:val="00316ACA"/>
    <w:rsid w:val="00317204"/>
    <w:rsid w:val="00320A67"/>
    <w:rsid w:val="0032118D"/>
    <w:rsid w:val="00321224"/>
    <w:rsid w:val="00321727"/>
    <w:rsid w:val="00321972"/>
    <w:rsid w:val="003220A7"/>
    <w:rsid w:val="0032298B"/>
    <w:rsid w:val="0032308B"/>
    <w:rsid w:val="00323A88"/>
    <w:rsid w:val="00324EF8"/>
    <w:rsid w:val="00325DB3"/>
    <w:rsid w:val="00326162"/>
    <w:rsid w:val="00326CB4"/>
    <w:rsid w:val="00326DC5"/>
    <w:rsid w:val="00330422"/>
    <w:rsid w:val="00332452"/>
    <w:rsid w:val="00332A17"/>
    <w:rsid w:val="00332EEB"/>
    <w:rsid w:val="0033600A"/>
    <w:rsid w:val="00336A5E"/>
    <w:rsid w:val="00336B93"/>
    <w:rsid w:val="003375B6"/>
    <w:rsid w:val="00340C04"/>
    <w:rsid w:val="003421C5"/>
    <w:rsid w:val="0034220E"/>
    <w:rsid w:val="00342A56"/>
    <w:rsid w:val="0034317A"/>
    <w:rsid w:val="00343200"/>
    <w:rsid w:val="00343C50"/>
    <w:rsid w:val="0034423B"/>
    <w:rsid w:val="003461AD"/>
    <w:rsid w:val="0034704A"/>
    <w:rsid w:val="00347F95"/>
    <w:rsid w:val="003502F9"/>
    <w:rsid w:val="00350579"/>
    <w:rsid w:val="00350CE9"/>
    <w:rsid w:val="003531EF"/>
    <w:rsid w:val="00353479"/>
    <w:rsid w:val="00353FFE"/>
    <w:rsid w:val="003543EF"/>
    <w:rsid w:val="00354AF9"/>
    <w:rsid w:val="0035513E"/>
    <w:rsid w:val="00356754"/>
    <w:rsid w:val="00357C99"/>
    <w:rsid w:val="003609C8"/>
    <w:rsid w:val="003626CE"/>
    <w:rsid w:val="003639BD"/>
    <w:rsid w:val="00363E32"/>
    <w:rsid w:val="003657B5"/>
    <w:rsid w:val="0036602C"/>
    <w:rsid w:val="003664D9"/>
    <w:rsid w:val="00366982"/>
    <w:rsid w:val="00366B54"/>
    <w:rsid w:val="0036700D"/>
    <w:rsid w:val="00367326"/>
    <w:rsid w:val="003679EA"/>
    <w:rsid w:val="003706B0"/>
    <w:rsid w:val="00370EAF"/>
    <w:rsid w:val="00372659"/>
    <w:rsid w:val="00372ED9"/>
    <w:rsid w:val="003740A8"/>
    <w:rsid w:val="00374AF2"/>
    <w:rsid w:val="003766C8"/>
    <w:rsid w:val="00377D83"/>
    <w:rsid w:val="00377DCA"/>
    <w:rsid w:val="00380DAD"/>
    <w:rsid w:val="00381D5E"/>
    <w:rsid w:val="003821B2"/>
    <w:rsid w:val="00382E18"/>
    <w:rsid w:val="00383220"/>
    <w:rsid w:val="0038348A"/>
    <w:rsid w:val="003849C2"/>
    <w:rsid w:val="00384F1D"/>
    <w:rsid w:val="00385309"/>
    <w:rsid w:val="003876F8"/>
    <w:rsid w:val="00390923"/>
    <w:rsid w:val="003912B8"/>
    <w:rsid w:val="0039328F"/>
    <w:rsid w:val="00395132"/>
    <w:rsid w:val="00396160"/>
    <w:rsid w:val="00396B22"/>
    <w:rsid w:val="00396FD5"/>
    <w:rsid w:val="003A0051"/>
    <w:rsid w:val="003A0599"/>
    <w:rsid w:val="003A060B"/>
    <w:rsid w:val="003A1892"/>
    <w:rsid w:val="003A1E02"/>
    <w:rsid w:val="003A3A90"/>
    <w:rsid w:val="003A3E40"/>
    <w:rsid w:val="003A498E"/>
    <w:rsid w:val="003A668C"/>
    <w:rsid w:val="003A7280"/>
    <w:rsid w:val="003B0EA9"/>
    <w:rsid w:val="003B398C"/>
    <w:rsid w:val="003B39DD"/>
    <w:rsid w:val="003B3E06"/>
    <w:rsid w:val="003B3EFB"/>
    <w:rsid w:val="003B5F54"/>
    <w:rsid w:val="003B66FE"/>
    <w:rsid w:val="003B69B3"/>
    <w:rsid w:val="003B6C53"/>
    <w:rsid w:val="003B6EE1"/>
    <w:rsid w:val="003B7160"/>
    <w:rsid w:val="003B7EA6"/>
    <w:rsid w:val="003C0D2D"/>
    <w:rsid w:val="003C1015"/>
    <w:rsid w:val="003C17D7"/>
    <w:rsid w:val="003C1DAB"/>
    <w:rsid w:val="003C2180"/>
    <w:rsid w:val="003C2241"/>
    <w:rsid w:val="003C4932"/>
    <w:rsid w:val="003C4F91"/>
    <w:rsid w:val="003C5B26"/>
    <w:rsid w:val="003C61F4"/>
    <w:rsid w:val="003C66C9"/>
    <w:rsid w:val="003C7E4A"/>
    <w:rsid w:val="003D1280"/>
    <w:rsid w:val="003D3A34"/>
    <w:rsid w:val="003D3D1E"/>
    <w:rsid w:val="003D46AF"/>
    <w:rsid w:val="003D48F9"/>
    <w:rsid w:val="003D4EFD"/>
    <w:rsid w:val="003D53BD"/>
    <w:rsid w:val="003D62D3"/>
    <w:rsid w:val="003D63F4"/>
    <w:rsid w:val="003D65FA"/>
    <w:rsid w:val="003D6CD1"/>
    <w:rsid w:val="003D733A"/>
    <w:rsid w:val="003D7C9D"/>
    <w:rsid w:val="003E03EB"/>
    <w:rsid w:val="003E08A4"/>
    <w:rsid w:val="003E2C6C"/>
    <w:rsid w:val="003E3800"/>
    <w:rsid w:val="003E3DEE"/>
    <w:rsid w:val="003E3F37"/>
    <w:rsid w:val="003E483E"/>
    <w:rsid w:val="003E5A0E"/>
    <w:rsid w:val="003E73D3"/>
    <w:rsid w:val="003F0A39"/>
    <w:rsid w:val="003F16AD"/>
    <w:rsid w:val="003F1D16"/>
    <w:rsid w:val="003F4A5D"/>
    <w:rsid w:val="003F5331"/>
    <w:rsid w:val="003F660B"/>
    <w:rsid w:val="003F6BB8"/>
    <w:rsid w:val="004023EB"/>
    <w:rsid w:val="00404146"/>
    <w:rsid w:val="004075DD"/>
    <w:rsid w:val="0041046C"/>
    <w:rsid w:val="00410752"/>
    <w:rsid w:val="00411059"/>
    <w:rsid w:val="00411858"/>
    <w:rsid w:val="00413592"/>
    <w:rsid w:val="00413741"/>
    <w:rsid w:val="00413FFB"/>
    <w:rsid w:val="0041438F"/>
    <w:rsid w:val="00415447"/>
    <w:rsid w:val="004202FB"/>
    <w:rsid w:val="00420B52"/>
    <w:rsid w:val="00421ACD"/>
    <w:rsid w:val="004237DD"/>
    <w:rsid w:val="00423E29"/>
    <w:rsid w:val="004255E2"/>
    <w:rsid w:val="004264CA"/>
    <w:rsid w:val="004273FB"/>
    <w:rsid w:val="00427D20"/>
    <w:rsid w:val="00427DD2"/>
    <w:rsid w:val="00430284"/>
    <w:rsid w:val="00432762"/>
    <w:rsid w:val="00432B39"/>
    <w:rsid w:val="00433C64"/>
    <w:rsid w:val="0043404D"/>
    <w:rsid w:val="00434878"/>
    <w:rsid w:val="00434DD2"/>
    <w:rsid w:val="00435589"/>
    <w:rsid w:val="00435FC7"/>
    <w:rsid w:val="00437351"/>
    <w:rsid w:val="00437722"/>
    <w:rsid w:val="00437914"/>
    <w:rsid w:val="004408AD"/>
    <w:rsid w:val="004431B8"/>
    <w:rsid w:val="00443327"/>
    <w:rsid w:val="00444696"/>
    <w:rsid w:val="00446508"/>
    <w:rsid w:val="00446E46"/>
    <w:rsid w:val="00447CAD"/>
    <w:rsid w:val="00450698"/>
    <w:rsid w:val="00450E0B"/>
    <w:rsid w:val="004522CC"/>
    <w:rsid w:val="00452E06"/>
    <w:rsid w:val="0045402C"/>
    <w:rsid w:val="00454BEC"/>
    <w:rsid w:val="00455189"/>
    <w:rsid w:val="00455904"/>
    <w:rsid w:val="00455BF7"/>
    <w:rsid w:val="00455CCF"/>
    <w:rsid w:val="00455FED"/>
    <w:rsid w:val="004563F0"/>
    <w:rsid w:val="0045664D"/>
    <w:rsid w:val="00457269"/>
    <w:rsid w:val="004579CE"/>
    <w:rsid w:val="00460077"/>
    <w:rsid w:val="0046027C"/>
    <w:rsid w:val="004606CD"/>
    <w:rsid w:val="00461A14"/>
    <w:rsid w:val="00463416"/>
    <w:rsid w:val="00463B50"/>
    <w:rsid w:val="00463E19"/>
    <w:rsid w:val="004642A9"/>
    <w:rsid w:val="00470DDF"/>
    <w:rsid w:val="00470F04"/>
    <w:rsid w:val="0047176A"/>
    <w:rsid w:val="00473E3C"/>
    <w:rsid w:val="0047470B"/>
    <w:rsid w:val="00475391"/>
    <w:rsid w:val="00475C95"/>
    <w:rsid w:val="0047619E"/>
    <w:rsid w:val="0047690C"/>
    <w:rsid w:val="004775D0"/>
    <w:rsid w:val="0047792E"/>
    <w:rsid w:val="00477EE1"/>
    <w:rsid w:val="00481F06"/>
    <w:rsid w:val="00482A57"/>
    <w:rsid w:val="00483088"/>
    <w:rsid w:val="00484220"/>
    <w:rsid w:val="0048476F"/>
    <w:rsid w:val="00484CB6"/>
    <w:rsid w:val="004853BF"/>
    <w:rsid w:val="00485526"/>
    <w:rsid w:val="004867B3"/>
    <w:rsid w:val="00486B5A"/>
    <w:rsid w:val="00486E34"/>
    <w:rsid w:val="00490A02"/>
    <w:rsid w:val="00490FBB"/>
    <w:rsid w:val="00491E90"/>
    <w:rsid w:val="004922F1"/>
    <w:rsid w:val="00492A52"/>
    <w:rsid w:val="00492D14"/>
    <w:rsid w:val="004936C8"/>
    <w:rsid w:val="00494496"/>
    <w:rsid w:val="00496DAC"/>
    <w:rsid w:val="004A05BC"/>
    <w:rsid w:val="004A0DB2"/>
    <w:rsid w:val="004A1E4D"/>
    <w:rsid w:val="004A2E48"/>
    <w:rsid w:val="004A2F0F"/>
    <w:rsid w:val="004A366B"/>
    <w:rsid w:val="004A39CB"/>
    <w:rsid w:val="004A41B3"/>
    <w:rsid w:val="004A5B50"/>
    <w:rsid w:val="004A706F"/>
    <w:rsid w:val="004A7DCB"/>
    <w:rsid w:val="004B1122"/>
    <w:rsid w:val="004B167F"/>
    <w:rsid w:val="004B214C"/>
    <w:rsid w:val="004B32CB"/>
    <w:rsid w:val="004B3435"/>
    <w:rsid w:val="004B39F7"/>
    <w:rsid w:val="004B5203"/>
    <w:rsid w:val="004B56CA"/>
    <w:rsid w:val="004B6D83"/>
    <w:rsid w:val="004B6D8C"/>
    <w:rsid w:val="004B7BCC"/>
    <w:rsid w:val="004B7BF9"/>
    <w:rsid w:val="004C0BC3"/>
    <w:rsid w:val="004C187E"/>
    <w:rsid w:val="004C22FF"/>
    <w:rsid w:val="004C28EA"/>
    <w:rsid w:val="004C2C5E"/>
    <w:rsid w:val="004C3DB8"/>
    <w:rsid w:val="004C4538"/>
    <w:rsid w:val="004C4736"/>
    <w:rsid w:val="004C669F"/>
    <w:rsid w:val="004C70FF"/>
    <w:rsid w:val="004C7458"/>
    <w:rsid w:val="004D0F6B"/>
    <w:rsid w:val="004D1182"/>
    <w:rsid w:val="004D1CB7"/>
    <w:rsid w:val="004D2530"/>
    <w:rsid w:val="004D261F"/>
    <w:rsid w:val="004D2FDE"/>
    <w:rsid w:val="004D3F9D"/>
    <w:rsid w:val="004D55F8"/>
    <w:rsid w:val="004D64F3"/>
    <w:rsid w:val="004D78A3"/>
    <w:rsid w:val="004E03EB"/>
    <w:rsid w:val="004E04AE"/>
    <w:rsid w:val="004E0689"/>
    <w:rsid w:val="004E0E83"/>
    <w:rsid w:val="004E1C4A"/>
    <w:rsid w:val="004E1E62"/>
    <w:rsid w:val="004E3478"/>
    <w:rsid w:val="004E390D"/>
    <w:rsid w:val="004E3ABF"/>
    <w:rsid w:val="004E44C3"/>
    <w:rsid w:val="004E45EC"/>
    <w:rsid w:val="004E56EA"/>
    <w:rsid w:val="004E62D4"/>
    <w:rsid w:val="004E6832"/>
    <w:rsid w:val="004E6BC0"/>
    <w:rsid w:val="004F03C3"/>
    <w:rsid w:val="004F1DAF"/>
    <w:rsid w:val="004F49CF"/>
    <w:rsid w:val="004F4AC5"/>
    <w:rsid w:val="004F5654"/>
    <w:rsid w:val="004F66DB"/>
    <w:rsid w:val="004F7154"/>
    <w:rsid w:val="004F7607"/>
    <w:rsid w:val="0050045C"/>
    <w:rsid w:val="005017EB"/>
    <w:rsid w:val="0050459D"/>
    <w:rsid w:val="00504A3B"/>
    <w:rsid w:val="005103F2"/>
    <w:rsid w:val="0051045F"/>
    <w:rsid w:val="00511A0B"/>
    <w:rsid w:val="00512220"/>
    <w:rsid w:val="005129DA"/>
    <w:rsid w:val="00512A1A"/>
    <w:rsid w:val="00513053"/>
    <w:rsid w:val="005132ED"/>
    <w:rsid w:val="00514737"/>
    <w:rsid w:val="00514A0F"/>
    <w:rsid w:val="00517BEE"/>
    <w:rsid w:val="00520746"/>
    <w:rsid w:val="00520F8E"/>
    <w:rsid w:val="005216A5"/>
    <w:rsid w:val="005217A0"/>
    <w:rsid w:val="00522AD6"/>
    <w:rsid w:val="005231C8"/>
    <w:rsid w:val="005238EC"/>
    <w:rsid w:val="005243C4"/>
    <w:rsid w:val="00524985"/>
    <w:rsid w:val="005251A3"/>
    <w:rsid w:val="00526985"/>
    <w:rsid w:val="005300F4"/>
    <w:rsid w:val="005310C2"/>
    <w:rsid w:val="005317D0"/>
    <w:rsid w:val="005328E8"/>
    <w:rsid w:val="00532CEE"/>
    <w:rsid w:val="005335B2"/>
    <w:rsid w:val="00533A7D"/>
    <w:rsid w:val="0053406A"/>
    <w:rsid w:val="005344D0"/>
    <w:rsid w:val="00534C31"/>
    <w:rsid w:val="00535901"/>
    <w:rsid w:val="00535C47"/>
    <w:rsid w:val="00536E13"/>
    <w:rsid w:val="00537A55"/>
    <w:rsid w:val="0054353C"/>
    <w:rsid w:val="005443AC"/>
    <w:rsid w:val="00544446"/>
    <w:rsid w:val="00544961"/>
    <w:rsid w:val="00545B91"/>
    <w:rsid w:val="005469BA"/>
    <w:rsid w:val="005478BA"/>
    <w:rsid w:val="00547A8F"/>
    <w:rsid w:val="00550605"/>
    <w:rsid w:val="00550B7E"/>
    <w:rsid w:val="00551797"/>
    <w:rsid w:val="00552963"/>
    <w:rsid w:val="00552D29"/>
    <w:rsid w:val="00553D3A"/>
    <w:rsid w:val="00554DF6"/>
    <w:rsid w:val="00556229"/>
    <w:rsid w:val="00560F26"/>
    <w:rsid w:val="00561300"/>
    <w:rsid w:val="00561EAC"/>
    <w:rsid w:val="00563BDC"/>
    <w:rsid w:val="00564B9A"/>
    <w:rsid w:val="00565AAF"/>
    <w:rsid w:val="00566107"/>
    <w:rsid w:val="005671C5"/>
    <w:rsid w:val="005672AE"/>
    <w:rsid w:val="0057034A"/>
    <w:rsid w:val="005704CC"/>
    <w:rsid w:val="005716BD"/>
    <w:rsid w:val="00571894"/>
    <w:rsid w:val="005721F6"/>
    <w:rsid w:val="005730DB"/>
    <w:rsid w:val="00574D20"/>
    <w:rsid w:val="005754F3"/>
    <w:rsid w:val="00575E8A"/>
    <w:rsid w:val="005771DC"/>
    <w:rsid w:val="00577C7D"/>
    <w:rsid w:val="005817D6"/>
    <w:rsid w:val="00581863"/>
    <w:rsid w:val="00582709"/>
    <w:rsid w:val="00582F9E"/>
    <w:rsid w:val="0058340E"/>
    <w:rsid w:val="00583571"/>
    <w:rsid w:val="00583AAF"/>
    <w:rsid w:val="005858B4"/>
    <w:rsid w:val="005870A1"/>
    <w:rsid w:val="00590092"/>
    <w:rsid w:val="005908F8"/>
    <w:rsid w:val="005915BF"/>
    <w:rsid w:val="00592038"/>
    <w:rsid w:val="00592719"/>
    <w:rsid w:val="00592EE2"/>
    <w:rsid w:val="00593253"/>
    <w:rsid w:val="00597282"/>
    <w:rsid w:val="005973E3"/>
    <w:rsid w:val="00597981"/>
    <w:rsid w:val="005A0C40"/>
    <w:rsid w:val="005A0FA3"/>
    <w:rsid w:val="005A129D"/>
    <w:rsid w:val="005A22E6"/>
    <w:rsid w:val="005A2498"/>
    <w:rsid w:val="005A3F1A"/>
    <w:rsid w:val="005A47E9"/>
    <w:rsid w:val="005A5DDA"/>
    <w:rsid w:val="005A7358"/>
    <w:rsid w:val="005A7BD6"/>
    <w:rsid w:val="005B06B3"/>
    <w:rsid w:val="005B0F9F"/>
    <w:rsid w:val="005B18F6"/>
    <w:rsid w:val="005B1BF2"/>
    <w:rsid w:val="005B1F28"/>
    <w:rsid w:val="005B3DC2"/>
    <w:rsid w:val="005B4E39"/>
    <w:rsid w:val="005B52E7"/>
    <w:rsid w:val="005B6076"/>
    <w:rsid w:val="005B6351"/>
    <w:rsid w:val="005B7264"/>
    <w:rsid w:val="005C00C1"/>
    <w:rsid w:val="005C0902"/>
    <w:rsid w:val="005C0DA8"/>
    <w:rsid w:val="005C1B9B"/>
    <w:rsid w:val="005C1E1F"/>
    <w:rsid w:val="005C1EC0"/>
    <w:rsid w:val="005C293B"/>
    <w:rsid w:val="005C3AE1"/>
    <w:rsid w:val="005C3B6C"/>
    <w:rsid w:val="005C5404"/>
    <w:rsid w:val="005C6165"/>
    <w:rsid w:val="005C6235"/>
    <w:rsid w:val="005C6776"/>
    <w:rsid w:val="005C7062"/>
    <w:rsid w:val="005C731B"/>
    <w:rsid w:val="005D0120"/>
    <w:rsid w:val="005D1D82"/>
    <w:rsid w:val="005D3429"/>
    <w:rsid w:val="005D358D"/>
    <w:rsid w:val="005D3A9E"/>
    <w:rsid w:val="005D3E27"/>
    <w:rsid w:val="005D42D4"/>
    <w:rsid w:val="005D4A29"/>
    <w:rsid w:val="005D5AFB"/>
    <w:rsid w:val="005D6306"/>
    <w:rsid w:val="005D6DF5"/>
    <w:rsid w:val="005D715B"/>
    <w:rsid w:val="005D71AB"/>
    <w:rsid w:val="005D7725"/>
    <w:rsid w:val="005D7AB3"/>
    <w:rsid w:val="005E03D9"/>
    <w:rsid w:val="005E0AE1"/>
    <w:rsid w:val="005E0DFF"/>
    <w:rsid w:val="005E11DE"/>
    <w:rsid w:val="005E140D"/>
    <w:rsid w:val="005E1AC4"/>
    <w:rsid w:val="005E358C"/>
    <w:rsid w:val="005E36EA"/>
    <w:rsid w:val="005E3B44"/>
    <w:rsid w:val="005E5F18"/>
    <w:rsid w:val="005E6483"/>
    <w:rsid w:val="005E7385"/>
    <w:rsid w:val="005F0463"/>
    <w:rsid w:val="005F046C"/>
    <w:rsid w:val="005F0B36"/>
    <w:rsid w:val="005F0EF3"/>
    <w:rsid w:val="005F111D"/>
    <w:rsid w:val="005F22A1"/>
    <w:rsid w:val="005F2638"/>
    <w:rsid w:val="005F3E08"/>
    <w:rsid w:val="005F4D89"/>
    <w:rsid w:val="005F51C4"/>
    <w:rsid w:val="005F51EF"/>
    <w:rsid w:val="005F65D2"/>
    <w:rsid w:val="005F6853"/>
    <w:rsid w:val="005F71AB"/>
    <w:rsid w:val="005F72C8"/>
    <w:rsid w:val="005F73FE"/>
    <w:rsid w:val="005F758D"/>
    <w:rsid w:val="00601A2E"/>
    <w:rsid w:val="00601A6E"/>
    <w:rsid w:val="00602C5C"/>
    <w:rsid w:val="00603528"/>
    <w:rsid w:val="006045AB"/>
    <w:rsid w:val="00604D97"/>
    <w:rsid w:val="00604DB2"/>
    <w:rsid w:val="0060588F"/>
    <w:rsid w:val="0061094A"/>
    <w:rsid w:val="00610C54"/>
    <w:rsid w:val="00611938"/>
    <w:rsid w:val="00613B35"/>
    <w:rsid w:val="00614745"/>
    <w:rsid w:val="006154C9"/>
    <w:rsid w:val="0061571B"/>
    <w:rsid w:val="0061588A"/>
    <w:rsid w:val="00615B25"/>
    <w:rsid w:val="00617A07"/>
    <w:rsid w:val="00620077"/>
    <w:rsid w:val="006200EC"/>
    <w:rsid w:val="00620F06"/>
    <w:rsid w:val="00620F9D"/>
    <w:rsid w:val="0062161A"/>
    <w:rsid w:val="00622156"/>
    <w:rsid w:val="0062269C"/>
    <w:rsid w:val="00623027"/>
    <w:rsid w:val="0062513A"/>
    <w:rsid w:val="00625BF7"/>
    <w:rsid w:val="006262B4"/>
    <w:rsid w:val="00626FFA"/>
    <w:rsid w:val="00627D38"/>
    <w:rsid w:val="0063053C"/>
    <w:rsid w:val="00630548"/>
    <w:rsid w:val="00630CB6"/>
    <w:rsid w:val="00631AB0"/>
    <w:rsid w:val="006320CB"/>
    <w:rsid w:val="00632B45"/>
    <w:rsid w:val="006353C7"/>
    <w:rsid w:val="006365A3"/>
    <w:rsid w:val="006368B7"/>
    <w:rsid w:val="00637003"/>
    <w:rsid w:val="00637661"/>
    <w:rsid w:val="006378B8"/>
    <w:rsid w:val="00640820"/>
    <w:rsid w:val="006418E2"/>
    <w:rsid w:val="00641A3E"/>
    <w:rsid w:val="006428B8"/>
    <w:rsid w:val="00642C54"/>
    <w:rsid w:val="00642C9E"/>
    <w:rsid w:val="00642CA5"/>
    <w:rsid w:val="006458F8"/>
    <w:rsid w:val="00645A0C"/>
    <w:rsid w:val="0064685D"/>
    <w:rsid w:val="006478E7"/>
    <w:rsid w:val="0065124B"/>
    <w:rsid w:val="006518B3"/>
    <w:rsid w:val="00652049"/>
    <w:rsid w:val="0065205D"/>
    <w:rsid w:val="00652712"/>
    <w:rsid w:val="00652DE1"/>
    <w:rsid w:val="00653FBE"/>
    <w:rsid w:val="0065446E"/>
    <w:rsid w:val="00654E3A"/>
    <w:rsid w:val="0065506E"/>
    <w:rsid w:val="00655B61"/>
    <w:rsid w:val="00655FDD"/>
    <w:rsid w:val="0065622B"/>
    <w:rsid w:val="00656B84"/>
    <w:rsid w:val="006602EE"/>
    <w:rsid w:val="00660302"/>
    <w:rsid w:val="00661E09"/>
    <w:rsid w:val="00662784"/>
    <w:rsid w:val="00662892"/>
    <w:rsid w:val="006633C1"/>
    <w:rsid w:val="0066431F"/>
    <w:rsid w:val="006645FE"/>
    <w:rsid w:val="00666395"/>
    <w:rsid w:val="0066694D"/>
    <w:rsid w:val="00667CDC"/>
    <w:rsid w:val="006706A3"/>
    <w:rsid w:val="006716C6"/>
    <w:rsid w:val="006718BF"/>
    <w:rsid w:val="00671AF6"/>
    <w:rsid w:val="006724B7"/>
    <w:rsid w:val="00673498"/>
    <w:rsid w:val="00673797"/>
    <w:rsid w:val="00673B0F"/>
    <w:rsid w:val="00674406"/>
    <w:rsid w:val="006744D3"/>
    <w:rsid w:val="006762A2"/>
    <w:rsid w:val="00676C40"/>
    <w:rsid w:val="00677AE3"/>
    <w:rsid w:val="00677C30"/>
    <w:rsid w:val="00677D30"/>
    <w:rsid w:val="0068080F"/>
    <w:rsid w:val="00682911"/>
    <w:rsid w:val="0068333E"/>
    <w:rsid w:val="00684F2C"/>
    <w:rsid w:val="00685355"/>
    <w:rsid w:val="0068582B"/>
    <w:rsid w:val="006866FA"/>
    <w:rsid w:val="00686706"/>
    <w:rsid w:val="006867C4"/>
    <w:rsid w:val="00686EED"/>
    <w:rsid w:val="00687AFC"/>
    <w:rsid w:val="00690DEA"/>
    <w:rsid w:val="00691189"/>
    <w:rsid w:val="00691BB9"/>
    <w:rsid w:val="00692A0F"/>
    <w:rsid w:val="0069336B"/>
    <w:rsid w:val="00693EB1"/>
    <w:rsid w:val="006958D0"/>
    <w:rsid w:val="006962D7"/>
    <w:rsid w:val="006A0F53"/>
    <w:rsid w:val="006A17E5"/>
    <w:rsid w:val="006A30E3"/>
    <w:rsid w:val="006A3B01"/>
    <w:rsid w:val="006A467F"/>
    <w:rsid w:val="006A490F"/>
    <w:rsid w:val="006A5F10"/>
    <w:rsid w:val="006A7EE0"/>
    <w:rsid w:val="006B10AB"/>
    <w:rsid w:val="006B19BF"/>
    <w:rsid w:val="006B35C5"/>
    <w:rsid w:val="006B3631"/>
    <w:rsid w:val="006B5380"/>
    <w:rsid w:val="006B6204"/>
    <w:rsid w:val="006B7231"/>
    <w:rsid w:val="006B7433"/>
    <w:rsid w:val="006C4B4E"/>
    <w:rsid w:val="006C4C9E"/>
    <w:rsid w:val="006C551C"/>
    <w:rsid w:val="006C6167"/>
    <w:rsid w:val="006C6C41"/>
    <w:rsid w:val="006C76CD"/>
    <w:rsid w:val="006D22F1"/>
    <w:rsid w:val="006D255D"/>
    <w:rsid w:val="006D263A"/>
    <w:rsid w:val="006D29EB"/>
    <w:rsid w:val="006D2A08"/>
    <w:rsid w:val="006D3495"/>
    <w:rsid w:val="006D39E1"/>
    <w:rsid w:val="006D4A11"/>
    <w:rsid w:val="006D4BE2"/>
    <w:rsid w:val="006D53D6"/>
    <w:rsid w:val="006D5C04"/>
    <w:rsid w:val="006D5E19"/>
    <w:rsid w:val="006D684A"/>
    <w:rsid w:val="006E08DB"/>
    <w:rsid w:val="006E0E30"/>
    <w:rsid w:val="006E1990"/>
    <w:rsid w:val="006E1C38"/>
    <w:rsid w:val="006E1E68"/>
    <w:rsid w:val="006E2894"/>
    <w:rsid w:val="006E2A78"/>
    <w:rsid w:val="006E3756"/>
    <w:rsid w:val="006E49CC"/>
    <w:rsid w:val="006E5E4C"/>
    <w:rsid w:val="006E60B5"/>
    <w:rsid w:val="006E636C"/>
    <w:rsid w:val="006E6382"/>
    <w:rsid w:val="006F01C4"/>
    <w:rsid w:val="006F1C09"/>
    <w:rsid w:val="006F1FB4"/>
    <w:rsid w:val="006F231A"/>
    <w:rsid w:val="006F29A6"/>
    <w:rsid w:val="006F30E5"/>
    <w:rsid w:val="006F3BA1"/>
    <w:rsid w:val="006F3F8B"/>
    <w:rsid w:val="006F4F00"/>
    <w:rsid w:val="006F51CF"/>
    <w:rsid w:val="006F5845"/>
    <w:rsid w:val="006F5B6A"/>
    <w:rsid w:val="00700CA7"/>
    <w:rsid w:val="00700E84"/>
    <w:rsid w:val="00701865"/>
    <w:rsid w:val="00701A05"/>
    <w:rsid w:val="00702A35"/>
    <w:rsid w:val="00703D09"/>
    <w:rsid w:val="007053DF"/>
    <w:rsid w:val="0070549E"/>
    <w:rsid w:val="0070571C"/>
    <w:rsid w:val="00705823"/>
    <w:rsid w:val="00705F97"/>
    <w:rsid w:val="0070607A"/>
    <w:rsid w:val="00706CD6"/>
    <w:rsid w:val="00706F98"/>
    <w:rsid w:val="00711050"/>
    <w:rsid w:val="00711987"/>
    <w:rsid w:val="0071234D"/>
    <w:rsid w:val="0071236F"/>
    <w:rsid w:val="0071261B"/>
    <w:rsid w:val="00712C07"/>
    <w:rsid w:val="00713728"/>
    <w:rsid w:val="00713D62"/>
    <w:rsid w:val="00714604"/>
    <w:rsid w:val="00714620"/>
    <w:rsid w:val="00715127"/>
    <w:rsid w:val="00716CEA"/>
    <w:rsid w:val="00716D32"/>
    <w:rsid w:val="00717443"/>
    <w:rsid w:val="00717D55"/>
    <w:rsid w:val="0072017C"/>
    <w:rsid w:val="00720248"/>
    <w:rsid w:val="0072057C"/>
    <w:rsid w:val="0072120E"/>
    <w:rsid w:val="00721481"/>
    <w:rsid w:val="00722F57"/>
    <w:rsid w:val="0072330D"/>
    <w:rsid w:val="00723D45"/>
    <w:rsid w:val="007258F2"/>
    <w:rsid w:val="00726082"/>
    <w:rsid w:val="007262CF"/>
    <w:rsid w:val="0072661D"/>
    <w:rsid w:val="0073107F"/>
    <w:rsid w:val="00731D92"/>
    <w:rsid w:val="00732B57"/>
    <w:rsid w:val="00733767"/>
    <w:rsid w:val="00734153"/>
    <w:rsid w:val="00734CAD"/>
    <w:rsid w:val="007365BF"/>
    <w:rsid w:val="00736C3F"/>
    <w:rsid w:val="00736D94"/>
    <w:rsid w:val="00736E8D"/>
    <w:rsid w:val="00740FA7"/>
    <w:rsid w:val="00741FCA"/>
    <w:rsid w:val="007423A5"/>
    <w:rsid w:val="007424E8"/>
    <w:rsid w:val="00743AB2"/>
    <w:rsid w:val="0074435F"/>
    <w:rsid w:val="00744370"/>
    <w:rsid w:val="0074467A"/>
    <w:rsid w:val="00745558"/>
    <w:rsid w:val="0074599E"/>
    <w:rsid w:val="0074799E"/>
    <w:rsid w:val="007505F0"/>
    <w:rsid w:val="00750F12"/>
    <w:rsid w:val="00751223"/>
    <w:rsid w:val="007519EF"/>
    <w:rsid w:val="00752512"/>
    <w:rsid w:val="007537CA"/>
    <w:rsid w:val="00755B84"/>
    <w:rsid w:val="00755E3C"/>
    <w:rsid w:val="00755E7B"/>
    <w:rsid w:val="007572BB"/>
    <w:rsid w:val="007572BF"/>
    <w:rsid w:val="007602FD"/>
    <w:rsid w:val="00761037"/>
    <w:rsid w:val="00761F58"/>
    <w:rsid w:val="007635BC"/>
    <w:rsid w:val="00763C1F"/>
    <w:rsid w:val="007661C1"/>
    <w:rsid w:val="007662E8"/>
    <w:rsid w:val="0076740E"/>
    <w:rsid w:val="00767EFB"/>
    <w:rsid w:val="0077061F"/>
    <w:rsid w:val="007707CF"/>
    <w:rsid w:val="00771D00"/>
    <w:rsid w:val="0077331A"/>
    <w:rsid w:val="00773C4D"/>
    <w:rsid w:val="007747D9"/>
    <w:rsid w:val="00775016"/>
    <w:rsid w:val="00775F8B"/>
    <w:rsid w:val="00776391"/>
    <w:rsid w:val="00776578"/>
    <w:rsid w:val="00776CD0"/>
    <w:rsid w:val="00780C80"/>
    <w:rsid w:val="00783755"/>
    <w:rsid w:val="0078594C"/>
    <w:rsid w:val="00786697"/>
    <w:rsid w:val="00786BB9"/>
    <w:rsid w:val="00787273"/>
    <w:rsid w:val="00787BBF"/>
    <w:rsid w:val="007926BF"/>
    <w:rsid w:val="00792D17"/>
    <w:rsid w:val="00795C4B"/>
    <w:rsid w:val="00796513"/>
    <w:rsid w:val="0079668E"/>
    <w:rsid w:val="00797BCD"/>
    <w:rsid w:val="007A00F9"/>
    <w:rsid w:val="007A08E8"/>
    <w:rsid w:val="007A0F8E"/>
    <w:rsid w:val="007A3325"/>
    <w:rsid w:val="007A3DD6"/>
    <w:rsid w:val="007A3F80"/>
    <w:rsid w:val="007A42F3"/>
    <w:rsid w:val="007A486A"/>
    <w:rsid w:val="007A4A84"/>
    <w:rsid w:val="007A560B"/>
    <w:rsid w:val="007A5EB3"/>
    <w:rsid w:val="007A66C8"/>
    <w:rsid w:val="007A7536"/>
    <w:rsid w:val="007B045C"/>
    <w:rsid w:val="007B253D"/>
    <w:rsid w:val="007B26CD"/>
    <w:rsid w:val="007B2D20"/>
    <w:rsid w:val="007B35A5"/>
    <w:rsid w:val="007B4269"/>
    <w:rsid w:val="007B461E"/>
    <w:rsid w:val="007B48BD"/>
    <w:rsid w:val="007B54B8"/>
    <w:rsid w:val="007B7ABB"/>
    <w:rsid w:val="007C076A"/>
    <w:rsid w:val="007C0AFD"/>
    <w:rsid w:val="007C0D46"/>
    <w:rsid w:val="007C0E20"/>
    <w:rsid w:val="007C110D"/>
    <w:rsid w:val="007C16F2"/>
    <w:rsid w:val="007C2EBB"/>
    <w:rsid w:val="007C3E31"/>
    <w:rsid w:val="007C4374"/>
    <w:rsid w:val="007C6035"/>
    <w:rsid w:val="007C7E20"/>
    <w:rsid w:val="007D03EA"/>
    <w:rsid w:val="007D1D35"/>
    <w:rsid w:val="007D24B4"/>
    <w:rsid w:val="007D2947"/>
    <w:rsid w:val="007D2A7C"/>
    <w:rsid w:val="007D2F56"/>
    <w:rsid w:val="007D39C6"/>
    <w:rsid w:val="007D4014"/>
    <w:rsid w:val="007D4261"/>
    <w:rsid w:val="007D426E"/>
    <w:rsid w:val="007D443E"/>
    <w:rsid w:val="007D4DE2"/>
    <w:rsid w:val="007D518F"/>
    <w:rsid w:val="007D5C72"/>
    <w:rsid w:val="007D6B83"/>
    <w:rsid w:val="007D778F"/>
    <w:rsid w:val="007D785B"/>
    <w:rsid w:val="007E1297"/>
    <w:rsid w:val="007E22E4"/>
    <w:rsid w:val="007E433B"/>
    <w:rsid w:val="007E51E7"/>
    <w:rsid w:val="007E541A"/>
    <w:rsid w:val="007E5B1D"/>
    <w:rsid w:val="007E5DC3"/>
    <w:rsid w:val="007E6202"/>
    <w:rsid w:val="007E6F1C"/>
    <w:rsid w:val="007E7FEA"/>
    <w:rsid w:val="007F062D"/>
    <w:rsid w:val="007F080D"/>
    <w:rsid w:val="007F3056"/>
    <w:rsid w:val="007F391C"/>
    <w:rsid w:val="007F46C8"/>
    <w:rsid w:val="007F477F"/>
    <w:rsid w:val="007F4B44"/>
    <w:rsid w:val="007F6BD9"/>
    <w:rsid w:val="007F6F4C"/>
    <w:rsid w:val="007F72D1"/>
    <w:rsid w:val="0080014D"/>
    <w:rsid w:val="00801641"/>
    <w:rsid w:val="0080187B"/>
    <w:rsid w:val="00801940"/>
    <w:rsid w:val="008027CD"/>
    <w:rsid w:val="00802932"/>
    <w:rsid w:val="00803307"/>
    <w:rsid w:val="00804654"/>
    <w:rsid w:val="00804A92"/>
    <w:rsid w:val="00804BCB"/>
    <w:rsid w:val="00806C02"/>
    <w:rsid w:val="00807730"/>
    <w:rsid w:val="00810EAB"/>
    <w:rsid w:val="008119A5"/>
    <w:rsid w:val="00811E94"/>
    <w:rsid w:val="00811F74"/>
    <w:rsid w:val="00812E85"/>
    <w:rsid w:val="00813E78"/>
    <w:rsid w:val="008147B5"/>
    <w:rsid w:val="00815B52"/>
    <w:rsid w:val="008173FC"/>
    <w:rsid w:val="00822468"/>
    <w:rsid w:val="008227CE"/>
    <w:rsid w:val="00822DD3"/>
    <w:rsid w:val="00823A0A"/>
    <w:rsid w:val="00825BA0"/>
    <w:rsid w:val="00827369"/>
    <w:rsid w:val="008274FE"/>
    <w:rsid w:val="00830FCF"/>
    <w:rsid w:val="0083380C"/>
    <w:rsid w:val="00834876"/>
    <w:rsid w:val="008357E6"/>
    <w:rsid w:val="008358F8"/>
    <w:rsid w:val="008359B8"/>
    <w:rsid w:val="00835FE7"/>
    <w:rsid w:val="00836024"/>
    <w:rsid w:val="008360F2"/>
    <w:rsid w:val="008362BD"/>
    <w:rsid w:val="00837B1F"/>
    <w:rsid w:val="0084025A"/>
    <w:rsid w:val="0084080C"/>
    <w:rsid w:val="00840E95"/>
    <w:rsid w:val="00841F47"/>
    <w:rsid w:val="008434CF"/>
    <w:rsid w:val="008436BA"/>
    <w:rsid w:val="00843DB3"/>
    <w:rsid w:val="00844154"/>
    <w:rsid w:val="00844160"/>
    <w:rsid w:val="008443D5"/>
    <w:rsid w:val="00844634"/>
    <w:rsid w:val="00844686"/>
    <w:rsid w:val="00847645"/>
    <w:rsid w:val="008476A1"/>
    <w:rsid w:val="00851035"/>
    <w:rsid w:val="0085133F"/>
    <w:rsid w:val="008519AA"/>
    <w:rsid w:val="00852CC7"/>
    <w:rsid w:val="00854175"/>
    <w:rsid w:val="0085575C"/>
    <w:rsid w:val="00855833"/>
    <w:rsid w:val="00855FDE"/>
    <w:rsid w:val="00856A24"/>
    <w:rsid w:val="00856FBC"/>
    <w:rsid w:val="0085728E"/>
    <w:rsid w:val="0085756C"/>
    <w:rsid w:val="008577E8"/>
    <w:rsid w:val="00857FE0"/>
    <w:rsid w:val="008613AF"/>
    <w:rsid w:val="00861B9F"/>
    <w:rsid w:val="00862835"/>
    <w:rsid w:val="00862DA0"/>
    <w:rsid w:val="00862F61"/>
    <w:rsid w:val="00863765"/>
    <w:rsid w:val="0086394C"/>
    <w:rsid w:val="00863EBA"/>
    <w:rsid w:val="008642AC"/>
    <w:rsid w:val="00864AB4"/>
    <w:rsid w:val="008652B4"/>
    <w:rsid w:val="00865A43"/>
    <w:rsid w:val="008675CA"/>
    <w:rsid w:val="00867FDC"/>
    <w:rsid w:val="0087085B"/>
    <w:rsid w:val="00870A86"/>
    <w:rsid w:val="00870A96"/>
    <w:rsid w:val="00872B47"/>
    <w:rsid w:val="00872B5C"/>
    <w:rsid w:val="008733EB"/>
    <w:rsid w:val="00874DD6"/>
    <w:rsid w:val="00880822"/>
    <w:rsid w:val="0088158E"/>
    <w:rsid w:val="00884513"/>
    <w:rsid w:val="008849D5"/>
    <w:rsid w:val="00885644"/>
    <w:rsid w:val="008859E6"/>
    <w:rsid w:val="00885BAD"/>
    <w:rsid w:val="008860D8"/>
    <w:rsid w:val="00886FE2"/>
    <w:rsid w:val="008879E4"/>
    <w:rsid w:val="00887BE1"/>
    <w:rsid w:val="00887CD5"/>
    <w:rsid w:val="0089025C"/>
    <w:rsid w:val="008906E6"/>
    <w:rsid w:val="008911BF"/>
    <w:rsid w:val="00891488"/>
    <w:rsid w:val="0089161C"/>
    <w:rsid w:val="008921BE"/>
    <w:rsid w:val="0089523C"/>
    <w:rsid w:val="00895CF7"/>
    <w:rsid w:val="0089657E"/>
    <w:rsid w:val="00896823"/>
    <w:rsid w:val="00897E61"/>
    <w:rsid w:val="008A021A"/>
    <w:rsid w:val="008A083E"/>
    <w:rsid w:val="008A0AE6"/>
    <w:rsid w:val="008A0C90"/>
    <w:rsid w:val="008A0EB1"/>
    <w:rsid w:val="008A10B3"/>
    <w:rsid w:val="008A244F"/>
    <w:rsid w:val="008A33A3"/>
    <w:rsid w:val="008A362F"/>
    <w:rsid w:val="008A3F46"/>
    <w:rsid w:val="008A4639"/>
    <w:rsid w:val="008A4A98"/>
    <w:rsid w:val="008A4E87"/>
    <w:rsid w:val="008A54FC"/>
    <w:rsid w:val="008B0017"/>
    <w:rsid w:val="008B0064"/>
    <w:rsid w:val="008B0FDE"/>
    <w:rsid w:val="008B17AD"/>
    <w:rsid w:val="008B1818"/>
    <w:rsid w:val="008B19C1"/>
    <w:rsid w:val="008B1E2F"/>
    <w:rsid w:val="008B3FA8"/>
    <w:rsid w:val="008B47A6"/>
    <w:rsid w:val="008B5D1E"/>
    <w:rsid w:val="008B5D62"/>
    <w:rsid w:val="008B6315"/>
    <w:rsid w:val="008B690B"/>
    <w:rsid w:val="008B72B6"/>
    <w:rsid w:val="008B7BBA"/>
    <w:rsid w:val="008C17B4"/>
    <w:rsid w:val="008C1A09"/>
    <w:rsid w:val="008C34E9"/>
    <w:rsid w:val="008C3759"/>
    <w:rsid w:val="008C4B3C"/>
    <w:rsid w:val="008C4D84"/>
    <w:rsid w:val="008C5B0A"/>
    <w:rsid w:val="008C5D4F"/>
    <w:rsid w:val="008C609E"/>
    <w:rsid w:val="008C61CE"/>
    <w:rsid w:val="008C682F"/>
    <w:rsid w:val="008C7254"/>
    <w:rsid w:val="008C7886"/>
    <w:rsid w:val="008C7A5B"/>
    <w:rsid w:val="008C7DC1"/>
    <w:rsid w:val="008D232A"/>
    <w:rsid w:val="008D2C61"/>
    <w:rsid w:val="008D3C9E"/>
    <w:rsid w:val="008D3D95"/>
    <w:rsid w:val="008D4D66"/>
    <w:rsid w:val="008D5192"/>
    <w:rsid w:val="008D60AA"/>
    <w:rsid w:val="008D7A40"/>
    <w:rsid w:val="008D7DD8"/>
    <w:rsid w:val="008E0539"/>
    <w:rsid w:val="008E0F34"/>
    <w:rsid w:val="008E1145"/>
    <w:rsid w:val="008E16CD"/>
    <w:rsid w:val="008E1B2E"/>
    <w:rsid w:val="008E22F2"/>
    <w:rsid w:val="008E250F"/>
    <w:rsid w:val="008E2603"/>
    <w:rsid w:val="008E3B85"/>
    <w:rsid w:val="008E47E3"/>
    <w:rsid w:val="008E4C17"/>
    <w:rsid w:val="008E50C3"/>
    <w:rsid w:val="008E5732"/>
    <w:rsid w:val="008F1208"/>
    <w:rsid w:val="008F128A"/>
    <w:rsid w:val="008F1532"/>
    <w:rsid w:val="008F1BD5"/>
    <w:rsid w:val="008F364D"/>
    <w:rsid w:val="008F3A69"/>
    <w:rsid w:val="008F3AE3"/>
    <w:rsid w:val="008F4084"/>
    <w:rsid w:val="008F549C"/>
    <w:rsid w:val="008F5AE4"/>
    <w:rsid w:val="008F5D36"/>
    <w:rsid w:val="008F5E9D"/>
    <w:rsid w:val="008F60EF"/>
    <w:rsid w:val="008F6D60"/>
    <w:rsid w:val="00900C85"/>
    <w:rsid w:val="00901E2B"/>
    <w:rsid w:val="0090351A"/>
    <w:rsid w:val="00903B0A"/>
    <w:rsid w:val="00904F00"/>
    <w:rsid w:val="009063DC"/>
    <w:rsid w:val="0090682E"/>
    <w:rsid w:val="00907BE2"/>
    <w:rsid w:val="00910154"/>
    <w:rsid w:val="009111F6"/>
    <w:rsid w:val="00911E14"/>
    <w:rsid w:val="00912660"/>
    <w:rsid w:val="00912D37"/>
    <w:rsid w:val="009131A5"/>
    <w:rsid w:val="00914093"/>
    <w:rsid w:val="00914904"/>
    <w:rsid w:val="0091525D"/>
    <w:rsid w:val="0091528E"/>
    <w:rsid w:val="009162F6"/>
    <w:rsid w:val="009207DC"/>
    <w:rsid w:val="00921720"/>
    <w:rsid w:val="00922FFA"/>
    <w:rsid w:val="0092318E"/>
    <w:rsid w:val="00923B9B"/>
    <w:rsid w:val="009257D5"/>
    <w:rsid w:val="009267D7"/>
    <w:rsid w:val="009279DF"/>
    <w:rsid w:val="00927FB4"/>
    <w:rsid w:val="0093042C"/>
    <w:rsid w:val="00931A68"/>
    <w:rsid w:val="009322D4"/>
    <w:rsid w:val="00932DE3"/>
    <w:rsid w:val="00932F1D"/>
    <w:rsid w:val="009331F4"/>
    <w:rsid w:val="009333E0"/>
    <w:rsid w:val="00933860"/>
    <w:rsid w:val="00936E0C"/>
    <w:rsid w:val="009375E2"/>
    <w:rsid w:val="00937A50"/>
    <w:rsid w:val="0094069B"/>
    <w:rsid w:val="00940A6A"/>
    <w:rsid w:val="0094143C"/>
    <w:rsid w:val="009425BE"/>
    <w:rsid w:val="00942901"/>
    <w:rsid w:val="00942D83"/>
    <w:rsid w:val="00942E91"/>
    <w:rsid w:val="0094352A"/>
    <w:rsid w:val="0094422E"/>
    <w:rsid w:val="00944462"/>
    <w:rsid w:val="009456EB"/>
    <w:rsid w:val="00946702"/>
    <w:rsid w:val="00946BC6"/>
    <w:rsid w:val="0095176F"/>
    <w:rsid w:val="00951947"/>
    <w:rsid w:val="009525F0"/>
    <w:rsid w:val="00952B2F"/>
    <w:rsid w:val="00953350"/>
    <w:rsid w:val="00953831"/>
    <w:rsid w:val="00953970"/>
    <w:rsid w:val="00953B78"/>
    <w:rsid w:val="00954408"/>
    <w:rsid w:val="009548DE"/>
    <w:rsid w:val="00955CE6"/>
    <w:rsid w:val="00957F2A"/>
    <w:rsid w:val="009608B9"/>
    <w:rsid w:val="00960A34"/>
    <w:rsid w:val="0096182C"/>
    <w:rsid w:val="00963041"/>
    <w:rsid w:val="0096343C"/>
    <w:rsid w:val="0096362E"/>
    <w:rsid w:val="0096444D"/>
    <w:rsid w:val="00965546"/>
    <w:rsid w:val="00965913"/>
    <w:rsid w:val="00965AFD"/>
    <w:rsid w:val="00965CAB"/>
    <w:rsid w:val="0097039D"/>
    <w:rsid w:val="0097049F"/>
    <w:rsid w:val="00970F57"/>
    <w:rsid w:val="0097202C"/>
    <w:rsid w:val="00973365"/>
    <w:rsid w:val="00974E1F"/>
    <w:rsid w:val="00975F95"/>
    <w:rsid w:val="00976152"/>
    <w:rsid w:val="00976453"/>
    <w:rsid w:val="009774E8"/>
    <w:rsid w:val="009807D7"/>
    <w:rsid w:val="00980807"/>
    <w:rsid w:val="00980E28"/>
    <w:rsid w:val="0098134D"/>
    <w:rsid w:val="00981DB7"/>
    <w:rsid w:val="00982111"/>
    <w:rsid w:val="00982716"/>
    <w:rsid w:val="00983D57"/>
    <w:rsid w:val="00984298"/>
    <w:rsid w:val="0098442C"/>
    <w:rsid w:val="009856AB"/>
    <w:rsid w:val="0098749D"/>
    <w:rsid w:val="00987753"/>
    <w:rsid w:val="009916B2"/>
    <w:rsid w:val="009916E0"/>
    <w:rsid w:val="00992295"/>
    <w:rsid w:val="00993175"/>
    <w:rsid w:val="00993538"/>
    <w:rsid w:val="009945D4"/>
    <w:rsid w:val="0099507A"/>
    <w:rsid w:val="009979F0"/>
    <w:rsid w:val="009A01D0"/>
    <w:rsid w:val="009A03C9"/>
    <w:rsid w:val="009A0BB0"/>
    <w:rsid w:val="009A168D"/>
    <w:rsid w:val="009A1E8B"/>
    <w:rsid w:val="009A4A0A"/>
    <w:rsid w:val="009A4FFB"/>
    <w:rsid w:val="009A584F"/>
    <w:rsid w:val="009A641B"/>
    <w:rsid w:val="009A715D"/>
    <w:rsid w:val="009A785B"/>
    <w:rsid w:val="009B080A"/>
    <w:rsid w:val="009B1331"/>
    <w:rsid w:val="009B13E4"/>
    <w:rsid w:val="009B14EF"/>
    <w:rsid w:val="009B1FAA"/>
    <w:rsid w:val="009B2CAD"/>
    <w:rsid w:val="009B2E1D"/>
    <w:rsid w:val="009B309C"/>
    <w:rsid w:val="009B31CC"/>
    <w:rsid w:val="009B57D9"/>
    <w:rsid w:val="009B5C02"/>
    <w:rsid w:val="009B5E56"/>
    <w:rsid w:val="009B674C"/>
    <w:rsid w:val="009B6E9D"/>
    <w:rsid w:val="009C14F8"/>
    <w:rsid w:val="009C16E6"/>
    <w:rsid w:val="009C2913"/>
    <w:rsid w:val="009C3EF0"/>
    <w:rsid w:val="009C4048"/>
    <w:rsid w:val="009C40B9"/>
    <w:rsid w:val="009C4AF2"/>
    <w:rsid w:val="009C5585"/>
    <w:rsid w:val="009C6E8E"/>
    <w:rsid w:val="009C72C1"/>
    <w:rsid w:val="009C730C"/>
    <w:rsid w:val="009C786F"/>
    <w:rsid w:val="009C7992"/>
    <w:rsid w:val="009D09F5"/>
    <w:rsid w:val="009D10B0"/>
    <w:rsid w:val="009D176A"/>
    <w:rsid w:val="009D18A8"/>
    <w:rsid w:val="009D1ECD"/>
    <w:rsid w:val="009D34ED"/>
    <w:rsid w:val="009D43EE"/>
    <w:rsid w:val="009D447C"/>
    <w:rsid w:val="009D44EC"/>
    <w:rsid w:val="009D47BE"/>
    <w:rsid w:val="009D793D"/>
    <w:rsid w:val="009D7C38"/>
    <w:rsid w:val="009E53AF"/>
    <w:rsid w:val="009E577F"/>
    <w:rsid w:val="009E5FDE"/>
    <w:rsid w:val="009E6730"/>
    <w:rsid w:val="009E6A58"/>
    <w:rsid w:val="009E6CF4"/>
    <w:rsid w:val="009F2296"/>
    <w:rsid w:val="009F23E7"/>
    <w:rsid w:val="009F2A60"/>
    <w:rsid w:val="009F3017"/>
    <w:rsid w:val="009F309B"/>
    <w:rsid w:val="009F337D"/>
    <w:rsid w:val="009F3AC9"/>
    <w:rsid w:val="009F5D88"/>
    <w:rsid w:val="009F5E0D"/>
    <w:rsid w:val="009F79ED"/>
    <w:rsid w:val="00A00539"/>
    <w:rsid w:val="00A026A8"/>
    <w:rsid w:val="00A027B5"/>
    <w:rsid w:val="00A02B14"/>
    <w:rsid w:val="00A033C9"/>
    <w:rsid w:val="00A03D49"/>
    <w:rsid w:val="00A04B9D"/>
    <w:rsid w:val="00A04EF1"/>
    <w:rsid w:val="00A05124"/>
    <w:rsid w:val="00A06D90"/>
    <w:rsid w:val="00A07F56"/>
    <w:rsid w:val="00A1052F"/>
    <w:rsid w:val="00A10FCA"/>
    <w:rsid w:val="00A11501"/>
    <w:rsid w:val="00A12B69"/>
    <w:rsid w:val="00A13A38"/>
    <w:rsid w:val="00A142B2"/>
    <w:rsid w:val="00A1505B"/>
    <w:rsid w:val="00A151C9"/>
    <w:rsid w:val="00A15289"/>
    <w:rsid w:val="00A15295"/>
    <w:rsid w:val="00A153C3"/>
    <w:rsid w:val="00A15A1E"/>
    <w:rsid w:val="00A169B1"/>
    <w:rsid w:val="00A17291"/>
    <w:rsid w:val="00A20658"/>
    <w:rsid w:val="00A20CF9"/>
    <w:rsid w:val="00A21BC0"/>
    <w:rsid w:val="00A21D40"/>
    <w:rsid w:val="00A22310"/>
    <w:rsid w:val="00A224EC"/>
    <w:rsid w:val="00A228F8"/>
    <w:rsid w:val="00A238CE"/>
    <w:rsid w:val="00A23B11"/>
    <w:rsid w:val="00A2426E"/>
    <w:rsid w:val="00A26EBB"/>
    <w:rsid w:val="00A27797"/>
    <w:rsid w:val="00A27FD1"/>
    <w:rsid w:val="00A305B5"/>
    <w:rsid w:val="00A30CF8"/>
    <w:rsid w:val="00A31213"/>
    <w:rsid w:val="00A32502"/>
    <w:rsid w:val="00A32541"/>
    <w:rsid w:val="00A32878"/>
    <w:rsid w:val="00A33126"/>
    <w:rsid w:val="00A3370D"/>
    <w:rsid w:val="00A3440B"/>
    <w:rsid w:val="00A360DF"/>
    <w:rsid w:val="00A3631A"/>
    <w:rsid w:val="00A36378"/>
    <w:rsid w:val="00A423E1"/>
    <w:rsid w:val="00A432AE"/>
    <w:rsid w:val="00A43431"/>
    <w:rsid w:val="00A44049"/>
    <w:rsid w:val="00A443BE"/>
    <w:rsid w:val="00A44AA6"/>
    <w:rsid w:val="00A46728"/>
    <w:rsid w:val="00A4673C"/>
    <w:rsid w:val="00A47452"/>
    <w:rsid w:val="00A47E4F"/>
    <w:rsid w:val="00A47FAC"/>
    <w:rsid w:val="00A5014F"/>
    <w:rsid w:val="00A50FAF"/>
    <w:rsid w:val="00A53708"/>
    <w:rsid w:val="00A537B7"/>
    <w:rsid w:val="00A53865"/>
    <w:rsid w:val="00A53EA8"/>
    <w:rsid w:val="00A55260"/>
    <w:rsid w:val="00A57176"/>
    <w:rsid w:val="00A573F4"/>
    <w:rsid w:val="00A61400"/>
    <w:rsid w:val="00A61ACB"/>
    <w:rsid w:val="00A62163"/>
    <w:rsid w:val="00A64C80"/>
    <w:rsid w:val="00A658A1"/>
    <w:rsid w:val="00A65B04"/>
    <w:rsid w:val="00A65E77"/>
    <w:rsid w:val="00A660DA"/>
    <w:rsid w:val="00A665B1"/>
    <w:rsid w:val="00A667E2"/>
    <w:rsid w:val="00A66E8C"/>
    <w:rsid w:val="00A67451"/>
    <w:rsid w:val="00A67BF4"/>
    <w:rsid w:val="00A67CF5"/>
    <w:rsid w:val="00A70024"/>
    <w:rsid w:val="00A7012F"/>
    <w:rsid w:val="00A709C3"/>
    <w:rsid w:val="00A70EFD"/>
    <w:rsid w:val="00A71C1A"/>
    <w:rsid w:val="00A72373"/>
    <w:rsid w:val="00A7403F"/>
    <w:rsid w:val="00A750C3"/>
    <w:rsid w:val="00A7562D"/>
    <w:rsid w:val="00A761E5"/>
    <w:rsid w:val="00A76CCF"/>
    <w:rsid w:val="00A7746E"/>
    <w:rsid w:val="00A8089A"/>
    <w:rsid w:val="00A80C71"/>
    <w:rsid w:val="00A80F57"/>
    <w:rsid w:val="00A8116F"/>
    <w:rsid w:val="00A81538"/>
    <w:rsid w:val="00A82C29"/>
    <w:rsid w:val="00A84D09"/>
    <w:rsid w:val="00A8544B"/>
    <w:rsid w:val="00A86D1D"/>
    <w:rsid w:val="00A90194"/>
    <w:rsid w:val="00A90B07"/>
    <w:rsid w:val="00A9306F"/>
    <w:rsid w:val="00A9345C"/>
    <w:rsid w:val="00A93737"/>
    <w:rsid w:val="00A94B46"/>
    <w:rsid w:val="00AA0B30"/>
    <w:rsid w:val="00AA1D98"/>
    <w:rsid w:val="00AA246B"/>
    <w:rsid w:val="00AA2A54"/>
    <w:rsid w:val="00AA32FF"/>
    <w:rsid w:val="00AA4361"/>
    <w:rsid w:val="00AA47E0"/>
    <w:rsid w:val="00AA5232"/>
    <w:rsid w:val="00AA774C"/>
    <w:rsid w:val="00AB0415"/>
    <w:rsid w:val="00AB05C4"/>
    <w:rsid w:val="00AB0621"/>
    <w:rsid w:val="00AB0B46"/>
    <w:rsid w:val="00AB12DC"/>
    <w:rsid w:val="00AB1A2F"/>
    <w:rsid w:val="00AB1EA9"/>
    <w:rsid w:val="00AB2AB3"/>
    <w:rsid w:val="00AB40B9"/>
    <w:rsid w:val="00AB4207"/>
    <w:rsid w:val="00AB5368"/>
    <w:rsid w:val="00AB59AE"/>
    <w:rsid w:val="00AB5D54"/>
    <w:rsid w:val="00AB644C"/>
    <w:rsid w:val="00AC1144"/>
    <w:rsid w:val="00AC1CD0"/>
    <w:rsid w:val="00AC3BF6"/>
    <w:rsid w:val="00AC4583"/>
    <w:rsid w:val="00AC4AC6"/>
    <w:rsid w:val="00AC6380"/>
    <w:rsid w:val="00AD0A65"/>
    <w:rsid w:val="00AD11AF"/>
    <w:rsid w:val="00AD2EDC"/>
    <w:rsid w:val="00AD4293"/>
    <w:rsid w:val="00AD44FD"/>
    <w:rsid w:val="00AD4CB4"/>
    <w:rsid w:val="00AD5A91"/>
    <w:rsid w:val="00AD5DCD"/>
    <w:rsid w:val="00AD7EEB"/>
    <w:rsid w:val="00AE13B9"/>
    <w:rsid w:val="00AE2109"/>
    <w:rsid w:val="00AE2363"/>
    <w:rsid w:val="00AE3965"/>
    <w:rsid w:val="00AE4094"/>
    <w:rsid w:val="00AE40CF"/>
    <w:rsid w:val="00AE54C6"/>
    <w:rsid w:val="00AE5C1A"/>
    <w:rsid w:val="00AE6CC8"/>
    <w:rsid w:val="00AE6CFA"/>
    <w:rsid w:val="00AE6FE0"/>
    <w:rsid w:val="00AE78B2"/>
    <w:rsid w:val="00AE7FF8"/>
    <w:rsid w:val="00AF0C85"/>
    <w:rsid w:val="00AF0F0B"/>
    <w:rsid w:val="00AF10CC"/>
    <w:rsid w:val="00AF10E4"/>
    <w:rsid w:val="00AF1579"/>
    <w:rsid w:val="00AF409E"/>
    <w:rsid w:val="00AF547E"/>
    <w:rsid w:val="00AF54B5"/>
    <w:rsid w:val="00AF6211"/>
    <w:rsid w:val="00AF71FA"/>
    <w:rsid w:val="00AF7D8B"/>
    <w:rsid w:val="00B00131"/>
    <w:rsid w:val="00B00454"/>
    <w:rsid w:val="00B0141D"/>
    <w:rsid w:val="00B04408"/>
    <w:rsid w:val="00B04AE3"/>
    <w:rsid w:val="00B0508A"/>
    <w:rsid w:val="00B059CE"/>
    <w:rsid w:val="00B06AC7"/>
    <w:rsid w:val="00B11FB4"/>
    <w:rsid w:val="00B1205D"/>
    <w:rsid w:val="00B12121"/>
    <w:rsid w:val="00B121AC"/>
    <w:rsid w:val="00B1235B"/>
    <w:rsid w:val="00B12474"/>
    <w:rsid w:val="00B12A28"/>
    <w:rsid w:val="00B133BE"/>
    <w:rsid w:val="00B134DA"/>
    <w:rsid w:val="00B14211"/>
    <w:rsid w:val="00B14B38"/>
    <w:rsid w:val="00B1583C"/>
    <w:rsid w:val="00B15A99"/>
    <w:rsid w:val="00B16C80"/>
    <w:rsid w:val="00B17B75"/>
    <w:rsid w:val="00B2027E"/>
    <w:rsid w:val="00B210A6"/>
    <w:rsid w:val="00B21327"/>
    <w:rsid w:val="00B22142"/>
    <w:rsid w:val="00B22B6D"/>
    <w:rsid w:val="00B23C08"/>
    <w:rsid w:val="00B25346"/>
    <w:rsid w:val="00B26230"/>
    <w:rsid w:val="00B302C9"/>
    <w:rsid w:val="00B30603"/>
    <w:rsid w:val="00B3099F"/>
    <w:rsid w:val="00B316D1"/>
    <w:rsid w:val="00B32227"/>
    <w:rsid w:val="00B34EDA"/>
    <w:rsid w:val="00B35B5D"/>
    <w:rsid w:val="00B364C0"/>
    <w:rsid w:val="00B36D46"/>
    <w:rsid w:val="00B36DDB"/>
    <w:rsid w:val="00B41166"/>
    <w:rsid w:val="00B41376"/>
    <w:rsid w:val="00B41A56"/>
    <w:rsid w:val="00B4255C"/>
    <w:rsid w:val="00B433CB"/>
    <w:rsid w:val="00B44B1F"/>
    <w:rsid w:val="00B45C52"/>
    <w:rsid w:val="00B461D8"/>
    <w:rsid w:val="00B46C90"/>
    <w:rsid w:val="00B46DFA"/>
    <w:rsid w:val="00B47EF5"/>
    <w:rsid w:val="00B50D29"/>
    <w:rsid w:val="00B51088"/>
    <w:rsid w:val="00B5152F"/>
    <w:rsid w:val="00B521C5"/>
    <w:rsid w:val="00B535CE"/>
    <w:rsid w:val="00B53AE9"/>
    <w:rsid w:val="00B56E19"/>
    <w:rsid w:val="00B571A8"/>
    <w:rsid w:val="00B57779"/>
    <w:rsid w:val="00B57B04"/>
    <w:rsid w:val="00B60846"/>
    <w:rsid w:val="00B61252"/>
    <w:rsid w:val="00B62EE9"/>
    <w:rsid w:val="00B6321B"/>
    <w:rsid w:val="00B63DFA"/>
    <w:rsid w:val="00B65407"/>
    <w:rsid w:val="00B65571"/>
    <w:rsid w:val="00B65864"/>
    <w:rsid w:val="00B66A57"/>
    <w:rsid w:val="00B66B28"/>
    <w:rsid w:val="00B66D0F"/>
    <w:rsid w:val="00B67A2E"/>
    <w:rsid w:val="00B70662"/>
    <w:rsid w:val="00B70845"/>
    <w:rsid w:val="00B70931"/>
    <w:rsid w:val="00B724F3"/>
    <w:rsid w:val="00B727CB"/>
    <w:rsid w:val="00B7350E"/>
    <w:rsid w:val="00B73F3B"/>
    <w:rsid w:val="00B73F70"/>
    <w:rsid w:val="00B7482A"/>
    <w:rsid w:val="00B75397"/>
    <w:rsid w:val="00B7547B"/>
    <w:rsid w:val="00B76017"/>
    <w:rsid w:val="00B769C3"/>
    <w:rsid w:val="00B76B2C"/>
    <w:rsid w:val="00B77AC4"/>
    <w:rsid w:val="00B8019B"/>
    <w:rsid w:val="00B80833"/>
    <w:rsid w:val="00B80C97"/>
    <w:rsid w:val="00B81849"/>
    <w:rsid w:val="00B82182"/>
    <w:rsid w:val="00B8251D"/>
    <w:rsid w:val="00B82A03"/>
    <w:rsid w:val="00B82EB9"/>
    <w:rsid w:val="00B837C2"/>
    <w:rsid w:val="00B8393B"/>
    <w:rsid w:val="00B84B10"/>
    <w:rsid w:val="00B84EAE"/>
    <w:rsid w:val="00B85D0E"/>
    <w:rsid w:val="00B866C7"/>
    <w:rsid w:val="00B90207"/>
    <w:rsid w:val="00B90AD5"/>
    <w:rsid w:val="00B92C32"/>
    <w:rsid w:val="00B95455"/>
    <w:rsid w:val="00B9790E"/>
    <w:rsid w:val="00BA03BF"/>
    <w:rsid w:val="00BA0967"/>
    <w:rsid w:val="00BA0B58"/>
    <w:rsid w:val="00BA163C"/>
    <w:rsid w:val="00BA169C"/>
    <w:rsid w:val="00BA1A47"/>
    <w:rsid w:val="00BA228F"/>
    <w:rsid w:val="00BA3F63"/>
    <w:rsid w:val="00BA44F1"/>
    <w:rsid w:val="00BA4C9C"/>
    <w:rsid w:val="00BA5FD8"/>
    <w:rsid w:val="00BA6FDA"/>
    <w:rsid w:val="00BB0800"/>
    <w:rsid w:val="00BB0FFB"/>
    <w:rsid w:val="00BB1074"/>
    <w:rsid w:val="00BB1624"/>
    <w:rsid w:val="00BB1698"/>
    <w:rsid w:val="00BB3207"/>
    <w:rsid w:val="00BB4393"/>
    <w:rsid w:val="00BB43A1"/>
    <w:rsid w:val="00BB4F18"/>
    <w:rsid w:val="00BB5836"/>
    <w:rsid w:val="00BB5951"/>
    <w:rsid w:val="00BB6FA3"/>
    <w:rsid w:val="00BB6FF7"/>
    <w:rsid w:val="00BB7A9A"/>
    <w:rsid w:val="00BC1B3F"/>
    <w:rsid w:val="00BC2D94"/>
    <w:rsid w:val="00BC3495"/>
    <w:rsid w:val="00BC36EA"/>
    <w:rsid w:val="00BC4C18"/>
    <w:rsid w:val="00BC4DE6"/>
    <w:rsid w:val="00BC4FE6"/>
    <w:rsid w:val="00BC6A5C"/>
    <w:rsid w:val="00BC6AE6"/>
    <w:rsid w:val="00BC6B19"/>
    <w:rsid w:val="00BC7462"/>
    <w:rsid w:val="00BC7DA1"/>
    <w:rsid w:val="00BC7DD4"/>
    <w:rsid w:val="00BD1437"/>
    <w:rsid w:val="00BD1E33"/>
    <w:rsid w:val="00BD2F0C"/>
    <w:rsid w:val="00BD4025"/>
    <w:rsid w:val="00BD51D7"/>
    <w:rsid w:val="00BD5293"/>
    <w:rsid w:val="00BD5C38"/>
    <w:rsid w:val="00BD7CD0"/>
    <w:rsid w:val="00BD7EC5"/>
    <w:rsid w:val="00BE068B"/>
    <w:rsid w:val="00BE0B15"/>
    <w:rsid w:val="00BE34F1"/>
    <w:rsid w:val="00BE371A"/>
    <w:rsid w:val="00BE4B1E"/>
    <w:rsid w:val="00BE4D34"/>
    <w:rsid w:val="00BE524A"/>
    <w:rsid w:val="00BE5FBA"/>
    <w:rsid w:val="00BE71DB"/>
    <w:rsid w:val="00BE74E8"/>
    <w:rsid w:val="00BF24E6"/>
    <w:rsid w:val="00BF2FB4"/>
    <w:rsid w:val="00BF34CF"/>
    <w:rsid w:val="00BF5ED7"/>
    <w:rsid w:val="00BF7529"/>
    <w:rsid w:val="00BF75A9"/>
    <w:rsid w:val="00BF7D6F"/>
    <w:rsid w:val="00C00718"/>
    <w:rsid w:val="00C00852"/>
    <w:rsid w:val="00C01AEB"/>
    <w:rsid w:val="00C021F5"/>
    <w:rsid w:val="00C03480"/>
    <w:rsid w:val="00C045B3"/>
    <w:rsid w:val="00C046F8"/>
    <w:rsid w:val="00C04D71"/>
    <w:rsid w:val="00C054AE"/>
    <w:rsid w:val="00C1003F"/>
    <w:rsid w:val="00C111A6"/>
    <w:rsid w:val="00C11B39"/>
    <w:rsid w:val="00C11CE4"/>
    <w:rsid w:val="00C11FDC"/>
    <w:rsid w:val="00C12063"/>
    <w:rsid w:val="00C1403D"/>
    <w:rsid w:val="00C1500F"/>
    <w:rsid w:val="00C165F5"/>
    <w:rsid w:val="00C16837"/>
    <w:rsid w:val="00C16E10"/>
    <w:rsid w:val="00C17341"/>
    <w:rsid w:val="00C176E0"/>
    <w:rsid w:val="00C17B9B"/>
    <w:rsid w:val="00C17F38"/>
    <w:rsid w:val="00C20047"/>
    <w:rsid w:val="00C20A4F"/>
    <w:rsid w:val="00C21932"/>
    <w:rsid w:val="00C21978"/>
    <w:rsid w:val="00C22934"/>
    <w:rsid w:val="00C22D7E"/>
    <w:rsid w:val="00C23C90"/>
    <w:rsid w:val="00C2490E"/>
    <w:rsid w:val="00C24C39"/>
    <w:rsid w:val="00C259AD"/>
    <w:rsid w:val="00C26F14"/>
    <w:rsid w:val="00C277F7"/>
    <w:rsid w:val="00C27C7B"/>
    <w:rsid w:val="00C31F58"/>
    <w:rsid w:val="00C3376D"/>
    <w:rsid w:val="00C339EA"/>
    <w:rsid w:val="00C33B6F"/>
    <w:rsid w:val="00C356F2"/>
    <w:rsid w:val="00C36F49"/>
    <w:rsid w:val="00C37169"/>
    <w:rsid w:val="00C3735C"/>
    <w:rsid w:val="00C376DE"/>
    <w:rsid w:val="00C37779"/>
    <w:rsid w:val="00C4095B"/>
    <w:rsid w:val="00C40CC4"/>
    <w:rsid w:val="00C4180C"/>
    <w:rsid w:val="00C419AF"/>
    <w:rsid w:val="00C41BBB"/>
    <w:rsid w:val="00C42875"/>
    <w:rsid w:val="00C42C75"/>
    <w:rsid w:val="00C44558"/>
    <w:rsid w:val="00C44C36"/>
    <w:rsid w:val="00C44CC6"/>
    <w:rsid w:val="00C4556A"/>
    <w:rsid w:val="00C45FBE"/>
    <w:rsid w:val="00C47776"/>
    <w:rsid w:val="00C50D1E"/>
    <w:rsid w:val="00C51006"/>
    <w:rsid w:val="00C51663"/>
    <w:rsid w:val="00C529CF"/>
    <w:rsid w:val="00C53A71"/>
    <w:rsid w:val="00C53E13"/>
    <w:rsid w:val="00C54349"/>
    <w:rsid w:val="00C54A5E"/>
    <w:rsid w:val="00C555ED"/>
    <w:rsid w:val="00C56101"/>
    <w:rsid w:val="00C56AA4"/>
    <w:rsid w:val="00C56BE2"/>
    <w:rsid w:val="00C57270"/>
    <w:rsid w:val="00C578C3"/>
    <w:rsid w:val="00C578E3"/>
    <w:rsid w:val="00C6115F"/>
    <w:rsid w:val="00C6290A"/>
    <w:rsid w:val="00C63C48"/>
    <w:rsid w:val="00C64463"/>
    <w:rsid w:val="00C6474E"/>
    <w:rsid w:val="00C64764"/>
    <w:rsid w:val="00C64EB5"/>
    <w:rsid w:val="00C65F3E"/>
    <w:rsid w:val="00C67F49"/>
    <w:rsid w:val="00C7028D"/>
    <w:rsid w:val="00C711EA"/>
    <w:rsid w:val="00C716E4"/>
    <w:rsid w:val="00C725BA"/>
    <w:rsid w:val="00C72A9D"/>
    <w:rsid w:val="00C74894"/>
    <w:rsid w:val="00C757E4"/>
    <w:rsid w:val="00C767E5"/>
    <w:rsid w:val="00C77281"/>
    <w:rsid w:val="00C774CF"/>
    <w:rsid w:val="00C77868"/>
    <w:rsid w:val="00C77F34"/>
    <w:rsid w:val="00C810FC"/>
    <w:rsid w:val="00C84319"/>
    <w:rsid w:val="00C84E1A"/>
    <w:rsid w:val="00C85DA7"/>
    <w:rsid w:val="00C85F9F"/>
    <w:rsid w:val="00C86687"/>
    <w:rsid w:val="00C87204"/>
    <w:rsid w:val="00C900E7"/>
    <w:rsid w:val="00C9062B"/>
    <w:rsid w:val="00C90BC4"/>
    <w:rsid w:val="00C90D83"/>
    <w:rsid w:val="00C90E60"/>
    <w:rsid w:val="00C92B47"/>
    <w:rsid w:val="00C941E4"/>
    <w:rsid w:val="00C96C3E"/>
    <w:rsid w:val="00CA18A3"/>
    <w:rsid w:val="00CA1F0A"/>
    <w:rsid w:val="00CA46D8"/>
    <w:rsid w:val="00CA4F5F"/>
    <w:rsid w:val="00CA6F65"/>
    <w:rsid w:val="00CA738A"/>
    <w:rsid w:val="00CA7A32"/>
    <w:rsid w:val="00CB0E86"/>
    <w:rsid w:val="00CB1320"/>
    <w:rsid w:val="00CB287F"/>
    <w:rsid w:val="00CB3C79"/>
    <w:rsid w:val="00CB60C5"/>
    <w:rsid w:val="00CB60D6"/>
    <w:rsid w:val="00CB64D7"/>
    <w:rsid w:val="00CB708E"/>
    <w:rsid w:val="00CB76E2"/>
    <w:rsid w:val="00CB785B"/>
    <w:rsid w:val="00CB7AEF"/>
    <w:rsid w:val="00CB7C7A"/>
    <w:rsid w:val="00CB7CDB"/>
    <w:rsid w:val="00CC0178"/>
    <w:rsid w:val="00CC0F73"/>
    <w:rsid w:val="00CC110C"/>
    <w:rsid w:val="00CC2CC1"/>
    <w:rsid w:val="00CC3285"/>
    <w:rsid w:val="00CC3F31"/>
    <w:rsid w:val="00CC5E03"/>
    <w:rsid w:val="00CC6AB6"/>
    <w:rsid w:val="00CC7EA4"/>
    <w:rsid w:val="00CD16E9"/>
    <w:rsid w:val="00CD1E4B"/>
    <w:rsid w:val="00CD20BF"/>
    <w:rsid w:val="00CD328D"/>
    <w:rsid w:val="00CD39CE"/>
    <w:rsid w:val="00CD554C"/>
    <w:rsid w:val="00CD7962"/>
    <w:rsid w:val="00CD7A07"/>
    <w:rsid w:val="00CD7F65"/>
    <w:rsid w:val="00CE1B13"/>
    <w:rsid w:val="00CE2884"/>
    <w:rsid w:val="00CE44CA"/>
    <w:rsid w:val="00CE4958"/>
    <w:rsid w:val="00CE645E"/>
    <w:rsid w:val="00CE7827"/>
    <w:rsid w:val="00CE78B9"/>
    <w:rsid w:val="00CF1283"/>
    <w:rsid w:val="00CF19D4"/>
    <w:rsid w:val="00CF3098"/>
    <w:rsid w:val="00CF507E"/>
    <w:rsid w:val="00CF5089"/>
    <w:rsid w:val="00CF5295"/>
    <w:rsid w:val="00CF5470"/>
    <w:rsid w:val="00CF5D06"/>
    <w:rsid w:val="00CF662B"/>
    <w:rsid w:val="00CF7234"/>
    <w:rsid w:val="00D0123D"/>
    <w:rsid w:val="00D01668"/>
    <w:rsid w:val="00D0175B"/>
    <w:rsid w:val="00D02B8C"/>
    <w:rsid w:val="00D03AEF"/>
    <w:rsid w:val="00D04431"/>
    <w:rsid w:val="00D048E6"/>
    <w:rsid w:val="00D065F9"/>
    <w:rsid w:val="00D0668E"/>
    <w:rsid w:val="00D071DB"/>
    <w:rsid w:val="00D0757D"/>
    <w:rsid w:val="00D11584"/>
    <w:rsid w:val="00D12067"/>
    <w:rsid w:val="00D12D09"/>
    <w:rsid w:val="00D130F6"/>
    <w:rsid w:val="00D132DC"/>
    <w:rsid w:val="00D13728"/>
    <w:rsid w:val="00D13FBC"/>
    <w:rsid w:val="00D14389"/>
    <w:rsid w:val="00D1451A"/>
    <w:rsid w:val="00D16C74"/>
    <w:rsid w:val="00D174FD"/>
    <w:rsid w:val="00D207F7"/>
    <w:rsid w:val="00D212E0"/>
    <w:rsid w:val="00D216C1"/>
    <w:rsid w:val="00D220AB"/>
    <w:rsid w:val="00D22B18"/>
    <w:rsid w:val="00D22D07"/>
    <w:rsid w:val="00D233E8"/>
    <w:rsid w:val="00D23CC6"/>
    <w:rsid w:val="00D2414A"/>
    <w:rsid w:val="00D24D58"/>
    <w:rsid w:val="00D24F58"/>
    <w:rsid w:val="00D25C95"/>
    <w:rsid w:val="00D26350"/>
    <w:rsid w:val="00D26655"/>
    <w:rsid w:val="00D2670B"/>
    <w:rsid w:val="00D271F1"/>
    <w:rsid w:val="00D27C58"/>
    <w:rsid w:val="00D314F7"/>
    <w:rsid w:val="00D32920"/>
    <w:rsid w:val="00D3305D"/>
    <w:rsid w:val="00D33471"/>
    <w:rsid w:val="00D33729"/>
    <w:rsid w:val="00D33C01"/>
    <w:rsid w:val="00D358AD"/>
    <w:rsid w:val="00D35E87"/>
    <w:rsid w:val="00D37701"/>
    <w:rsid w:val="00D37997"/>
    <w:rsid w:val="00D37A3F"/>
    <w:rsid w:val="00D431A4"/>
    <w:rsid w:val="00D43AA6"/>
    <w:rsid w:val="00D441CC"/>
    <w:rsid w:val="00D4599B"/>
    <w:rsid w:val="00D45FA2"/>
    <w:rsid w:val="00D46E0C"/>
    <w:rsid w:val="00D47388"/>
    <w:rsid w:val="00D47F16"/>
    <w:rsid w:val="00D5007A"/>
    <w:rsid w:val="00D5030A"/>
    <w:rsid w:val="00D5155D"/>
    <w:rsid w:val="00D51695"/>
    <w:rsid w:val="00D5197F"/>
    <w:rsid w:val="00D51C77"/>
    <w:rsid w:val="00D51E1B"/>
    <w:rsid w:val="00D52007"/>
    <w:rsid w:val="00D52250"/>
    <w:rsid w:val="00D52956"/>
    <w:rsid w:val="00D52D5C"/>
    <w:rsid w:val="00D52ED5"/>
    <w:rsid w:val="00D53004"/>
    <w:rsid w:val="00D561A2"/>
    <w:rsid w:val="00D574CA"/>
    <w:rsid w:val="00D60566"/>
    <w:rsid w:val="00D62591"/>
    <w:rsid w:val="00D6375D"/>
    <w:rsid w:val="00D63FD8"/>
    <w:rsid w:val="00D64DED"/>
    <w:rsid w:val="00D6535B"/>
    <w:rsid w:val="00D65BA3"/>
    <w:rsid w:val="00D66395"/>
    <w:rsid w:val="00D66F56"/>
    <w:rsid w:val="00D673F1"/>
    <w:rsid w:val="00D677F6"/>
    <w:rsid w:val="00D67E0F"/>
    <w:rsid w:val="00D703F2"/>
    <w:rsid w:val="00D709FE"/>
    <w:rsid w:val="00D716C0"/>
    <w:rsid w:val="00D71ACF"/>
    <w:rsid w:val="00D71BB5"/>
    <w:rsid w:val="00D72C74"/>
    <w:rsid w:val="00D7326E"/>
    <w:rsid w:val="00D73332"/>
    <w:rsid w:val="00D74556"/>
    <w:rsid w:val="00D76FAC"/>
    <w:rsid w:val="00D80AB8"/>
    <w:rsid w:val="00D82281"/>
    <w:rsid w:val="00D824A3"/>
    <w:rsid w:val="00D8269A"/>
    <w:rsid w:val="00D829C3"/>
    <w:rsid w:val="00D83062"/>
    <w:rsid w:val="00D83710"/>
    <w:rsid w:val="00D83E71"/>
    <w:rsid w:val="00D84621"/>
    <w:rsid w:val="00D84E12"/>
    <w:rsid w:val="00D85150"/>
    <w:rsid w:val="00D867D5"/>
    <w:rsid w:val="00D870A4"/>
    <w:rsid w:val="00D903B8"/>
    <w:rsid w:val="00D905F6"/>
    <w:rsid w:val="00D90E17"/>
    <w:rsid w:val="00D91B13"/>
    <w:rsid w:val="00D9201D"/>
    <w:rsid w:val="00D92567"/>
    <w:rsid w:val="00D93D2F"/>
    <w:rsid w:val="00D945C8"/>
    <w:rsid w:val="00D9489D"/>
    <w:rsid w:val="00D94E02"/>
    <w:rsid w:val="00D94E43"/>
    <w:rsid w:val="00D95153"/>
    <w:rsid w:val="00D95F6E"/>
    <w:rsid w:val="00D9673D"/>
    <w:rsid w:val="00D9699A"/>
    <w:rsid w:val="00DA10BB"/>
    <w:rsid w:val="00DA1151"/>
    <w:rsid w:val="00DA18A2"/>
    <w:rsid w:val="00DA319C"/>
    <w:rsid w:val="00DA3F93"/>
    <w:rsid w:val="00DA6AAD"/>
    <w:rsid w:val="00DA79F5"/>
    <w:rsid w:val="00DA7E0C"/>
    <w:rsid w:val="00DB0320"/>
    <w:rsid w:val="00DB0BBA"/>
    <w:rsid w:val="00DB1111"/>
    <w:rsid w:val="00DB18B3"/>
    <w:rsid w:val="00DB235A"/>
    <w:rsid w:val="00DB369A"/>
    <w:rsid w:val="00DB3E6E"/>
    <w:rsid w:val="00DB46F2"/>
    <w:rsid w:val="00DB4ED3"/>
    <w:rsid w:val="00DB51B8"/>
    <w:rsid w:val="00DB5CF3"/>
    <w:rsid w:val="00DB5F4A"/>
    <w:rsid w:val="00DB629A"/>
    <w:rsid w:val="00DB65FF"/>
    <w:rsid w:val="00DB742E"/>
    <w:rsid w:val="00DC1BEC"/>
    <w:rsid w:val="00DC3582"/>
    <w:rsid w:val="00DC3C12"/>
    <w:rsid w:val="00DC456F"/>
    <w:rsid w:val="00DC482C"/>
    <w:rsid w:val="00DC4B77"/>
    <w:rsid w:val="00DC5CC8"/>
    <w:rsid w:val="00DC616A"/>
    <w:rsid w:val="00DC624B"/>
    <w:rsid w:val="00DC63A6"/>
    <w:rsid w:val="00DC66CA"/>
    <w:rsid w:val="00DD02B7"/>
    <w:rsid w:val="00DD0344"/>
    <w:rsid w:val="00DD0451"/>
    <w:rsid w:val="00DD254B"/>
    <w:rsid w:val="00DD26A4"/>
    <w:rsid w:val="00DD29CB"/>
    <w:rsid w:val="00DD32D3"/>
    <w:rsid w:val="00DD3A7E"/>
    <w:rsid w:val="00DD3B00"/>
    <w:rsid w:val="00DD4361"/>
    <w:rsid w:val="00DD4B51"/>
    <w:rsid w:val="00DD6964"/>
    <w:rsid w:val="00DD6EF4"/>
    <w:rsid w:val="00DD7006"/>
    <w:rsid w:val="00DD701D"/>
    <w:rsid w:val="00DD7BEA"/>
    <w:rsid w:val="00DE2E1A"/>
    <w:rsid w:val="00DE43F0"/>
    <w:rsid w:val="00DE58B4"/>
    <w:rsid w:val="00DE5ADE"/>
    <w:rsid w:val="00DE5CAA"/>
    <w:rsid w:val="00DE6198"/>
    <w:rsid w:val="00DE64F2"/>
    <w:rsid w:val="00DE6C4F"/>
    <w:rsid w:val="00DE6E73"/>
    <w:rsid w:val="00DE72EA"/>
    <w:rsid w:val="00DE762F"/>
    <w:rsid w:val="00DE7CBB"/>
    <w:rsid w:val="00DF02B2"/>
    <w:rsid w:val="00DF30A3"/>
    <w:rsid w:val="00DF38AF"/>
    <w:rsid w:val="00DF3E1A"/>
    <w:rsid w:val="00DF3E2B"/>
    <w:rsid w:val="00DF4A0C"/>
    <w:rsid w:val="00DF4E06"/>
    <w:rsid w:val="00DF4E0F"/>
    <w:rsid w:val="00DF5FBF"/>
    <w:rsid w:val="00DF6566"/>
    <w:rsid w:val="00DF6C2C"/>
    <w:rsid w:val="00DF72F2"/>
    <w:rsid w:val="00E007E6"/>
    <w:rsid w:val="00E0129A"/>
    <w:rsid w:val="00E01349"/>
    <w:rsid w:val="00E019D7"/>
    <w:rsid w:val="00E02225"/>
    <w:rsid w:val="00E02CB6"/>
    <w:rsid w:val="00E03083"/>
    <w:rsid w:val="00E03757"/>
    <w:rsid w:val="00E03982"/>
    <w:rsid w:val="00E04221"/>
    <w:rsid w:val="00E0493E"/>
    <w:rsid w:val="00E051BB"/>
    <w:rsid w:val="00E06C69"/>
    <w:rsid w:val="00E10512"/>
    <w:rsid w:val="00E106E7"/>
    <w:rsid w:val="00E114B5"/>
    <w:rsid w:val="00E1179C"/>
    <w:rsid w:val="00E11B47"/>
    <w:rsid w:val="00E1415F"/>
    <w:rsid w:val="00E1452A"/>
    <w:rsid w:val="00E1509F"/>
    <w:rsid w:val="00E15996"/>
    <w:rsid w:val="00E16C46"/>
    <w:rsid w:val="00E20C78"/>
    <w:rsid w:val="00E20F23"/>
    <w:rsid w:val="00E20FB1"/>
    <w:rsid w:val="00E21184"/>
    <w:rsid w:val="00E2133B"/>
    <w:rsid w:val="00E21AC9"/>
    <w:rsid w:val="00E2287D"/>
    <w:rsid w:val="00E2296E"/>
    <w:rsid w:val="00E22BAF"/>
    <w:rsid w:val="00E230C4"/>
    <w:rsid w:val="00E24B22"/>
    <w:rsid w:val="00E253B2"/>
    <w:rsid w:val="00E25CBC"/>
    <w:rsid w:val="00E25E41"/>
    <w:rsid w:val="00E26E6E"/>
    <w:rsid w:val="00E31DFD"/>
    <w:rsid w:val="00E324B6"/>
    <w:rsid w:val="00E34F6B"/>
    <w:rsid w:val="00E40096"/>
    <w:rsid w:val="00E42521"/>
    <w:rsid w:val="00E425E6"/>
    <w:rsid w:val="00E429A3"/>
    <w:rsid w:val="00E4450B"/>
    <w:rsid w:val="00E470B0"/>
    <w:rsid w:val="00E472AC"/>
    <w:rsid w:val="00E508B5"/>
    <w:rsid w:val="00E51301"/>
    <w:rsid w:val="00E52852"/>
    <w:rsid w:val="00E52C4E"/>
    <w:rsid w:val="00E530C3"/>
    <w:rsid w:val="00E5562B"/>
    <w:rsid w:val="00E55B45"/>
    <w:rsid w:val="00E55CE8"/>
    <w:rsid w:val="00E56696"/>
    <w:rsid w:val="00E5783A"/>
    <w:rsid w:val="00E60553"/>
    <w:rsid w:val="00E607F3"/>
    <w:rsid w:val="00E61FEA"/>
    <w:rsid w:val="00E62AC2"/>
    <w:rsid w:val="00E62BD0"/>
    <w:rsid w:val="00E62BF3"/>
    <w:rsid w:val="00E64537"/>
    <w:rsid w:val="00E65236"/>
    <w:rsid w:val="00E70112"/>
    <w:rsid w:val="00E707A8"/>
    <w:rsid w:val="00E710A2"/>
    <w:rsid w:val="00E72B3B"/>
    <w:rsid w:val="00E73B27"/>
    <w:rsid w:val="00E7450F"/>
    <w:rsid w:val="00E74CE6"/>
    <w:rsid w:val="00E75A8D"/>
    <w:rsid w:val="00E76341"/>
    <w:rsid w:val="00E76953"/>
    <w:rsid w:val="00E80E26"/>
    <w:rsid w:val="00E81622"/>
    <w:rsid w:val="00E81D34"/>
    <w:rsid w:val="00E81F30"/>
    <w:rsid w:val="00E8249C"/>
    <w:rsid w:val="00E82A58"/>
    <w:rsid w:val="00E83111"/>
    <w:rsid w:val="00E8446B"/>
    <w:rsid w:val="00E8453E"/>
    <w:rsid w:val="00E848AF"/>
    <w:rsid w:val="00E8576E"/>
    <w:rsid w:val="00E85FDA"/>
    <w:rsid w:val="00E8631A"/>
    <w:rsid w:val="00E87201"/>
    <w:rsid w:val="00E87B6B"/>
    <w:rsid w:val="00E91660"/>
    <w:rsid w:val="00E92107"/>
    <w:rsid w:val="00E94863"/>
    <w:rsid w:val="00E94F22"/>
    <w:rsid w:val="00E9546B"/>
    <w:rsid w:val="00E96A38"/>
    <w:rsid w:val="00EA2E23"/>
    <w:rsid w:val="00EA311C"/>
    <w:rsid w:val="00EA4636"/>
    <w:rsid w:val="00EA691D"/>
    <w:rsid w:val="00EA695F"/>
    <w:rsid w:val="00EA6C4C"/>
    <w:rsid w:val="00EA7004"/>
    <w:rsid w:val="00EA725F"/>
    <w:rsid w:val="00EB0A02"/>
    <w:rsid w:val="00EB2293"/>
    <w:rsid w:val="00EB3361"/>
    <w:rsid w:val="00EB35B6"/>
    <w:rsid w:val="00EB3DFF"/>
    <w:rsid w:val="00EB429D"/>
    <w:rsid w:val="00EB4F49"/>
    <w:rsid w:val="00EB6752"/>
    <w:rsid w:val="00EB6AB1"/>
    <w:rsid w:val="00EB6C26"/>
    <w:rsid w:val="00EB7520"/>
    <w:rsid w:val="00EC1307"/>
    <w:rsid w:val="00EC2375"/>
    <w:rsid w:val="00EC2F5F"/>
    <w:rsid w:val="00EC2FCD"/>
    <w:rsid w:val="00EC4E9F"/>
    <w:rsid w:val="00EC5905"/>
    <w:rsid w:val="00EC60DD"/>
    <w:rsid w:val="00EC6C8A"/>
    <w:rsid w:val="00EC7463"/>
    <w:rsid w:val="00ED1211"/>
    <w:rsid w:val="00ED2FE6"/>
    <w:rsid w:val="00ED32F9"/>
    <w:rsid w:val="00ED76DF"/>
    <w:rsid w:val="00ED7C4C"/>
    <w:rsid w:val="00EE0001"/>
    <w:rsid w:val="00EE0989"/>
    <w:rsid w:val="00EE0D7A"/>
    <w:rsid w:val="00EE0FC0"/>
    <w:rsid w:val="00EE16F3"/>
    <w:rsid w:val="00EE277D"/>
    <w:rsid w:val="00EE2E7B"/>
    <w:rsid w:val="00EE2F87"/>
    <w:rsid w:val="00EE310F"/>
    <w:rsid w:val="00EE5530"/>
    <w:rsid w:val="00EE580E"/>
    <w:rsid w:val="00EE5914"/>
    <w:rsid w:val="00EE6824"/>
    <w:rsid w:val="00EE7ADB"/>
    <w:rsid w:val="00EF0422"/>
    <w:rsid w:val="00EF18B1"/>
    <w:rsid w:val="00EF1BFF"/>
    <w:rsid w:val="00EF20DB"/>
    <w:rsid w:val="00EF2B88"/>
    <w:rsid w:val="00EF2C12"/>
    <w:rsid w:val="00EF2C18"/>
    <w:rsid w:val="00EF3148"/>
    <w:rsid w:val="00EF3760"/>
    <w:rsid w:val="00EF46E4"/>
    <w:rsid w:val="00EF50C4"/>
    <w:rsid w:val="00EF5192"/>
    <w:rsid w:val="00EF6F92"/>
    <w:rsid w:val="00F034B1"/>
    <w:rsid w:val="00F04C42"/>
    <w:rsid w:val="00F0553D"/>
    <w:rsid w:val="00F06567"/>
    <w:rsid w:val="00F06C7C"/>
    <w:rsid w:val="00F0705C"/>
    <w:rsid w:val="00F076E7"/>
    <w:rsid w:val="00F10059"/>
    <w:rsid w:val="00F1066F"/>
    <w:rsid w:val="00F10C37"/>
    <w:rsid w:val="00F12885"/>
    <w:rsid w:val="00F13B3A"/>
    <w:rsid w:val="00F13B4B"/>
    <w:rsid w:val="00F15AAC"/>
    <w:rsid w:val="00F16206"/>
    <w:rsid w:val="00F202B9"/>
    <w:rsid w:val="00F2056C"/>
    <w:rsid w:val="00F2073A"/>
    <w:rsid w:val="00F214FD"/>
    <w:rsid w:val="00F2175C"/>
    <w:rsid w:val="00F217A7"/>
    <w:rsid w:val="00F2405C"/>
    <w:rsid w:val="00F246D3"/>
    <w:rsid w:val="00F25152"/>
    <w:rsid w:val="00F25260"/>
    <w:rsid w:val="00F25E5B"/>
    <w:rsid w:val="00F27E0A"/>
    <w:rsid w:val="00F32AFC"/>
    <w:rsid w:val="00F35C51"/>
    <w:rsid w:val="00F35DD3"/>
    <w:rsid w:val="00F362D8"/>
    <w:rsid w:val="00F362F4"/>
    <w:rsid w:val="00F3708E"/>
    <w:rsid w:val="00F379D6"/>
    <w:rsid w:val="00F40450"/>
    <w:rsid w:val="00F40960"/>
    <w:rsid w:val="00F4107F"/>
    <w:rsid w:val="00F41848"/>
    <w:rsid w:val="00F41A65"/>
    <w:rsid w:val="00F4286E"/>
    <w:rsid w:val="00F43243"/>
    <w:rsid w:val="00F43AF4"/>
    <w:rsid w:val="00F44F91"/>
    <w:rsid w:val="00F45B0D"/>
    <w:rsid w:val="00F462C5"/>
    <w:rsid w:val="00F464A5"/>
    <w:rsid w:val="00F464F2"/>
    <w:rsid w:val="00F4692E"/>
    <w:rsid w:val="00F4695E"/>
    <w:rsid w:val="00F46A43"/>
    <w:rsid w:val="00F5183C"/>
    <w:rsid w:val="00F51848"/>
    <w:rsid w:val="00F518ED"/>
    <w:rsid w:val="00F51AE6"/>
    <w:rsid w:val="00F51AF0"/>
    <w:rsid w:val="00F52096"/>
    <w:rsid w:val="00F54B39"/>
    <w:rsid w:val="00F55785"/>
    <w:rsid w:val="00F574E8"/>
    <w:rsid w:val="00F577E7"/>
    <w:rsid w:val="00F57B96"/>
    <w:rsid w:val="00F57BDF"/>
    <w:rsid w:val="00F60612"/>
    <w:rsid w:val="00F60F61"/>
    <w:rsid w:val="00F62514"/>
    <w:rsid w:val="00F62746"/>
    <w:rsid w:val="00F63602"/>
    <w:rsid w:val="00F6374D"/>
    <w:rsid w:val="00F647BB"/>
    <w:rsid w:val="00F64B17"/>
    <w:rsid w:val="00F660E8"/>
    <w:rsid w:val="00F672B6"/>
    <w:rsid w:val="00F675AB"/>
    <w:rsid w:val="00F7021B"/>
    <w:rsid w:val="00F702A7"/>
    <w:rsid w:val="00F70751"/>
    <w:rsid w:val="00F70808"/>
    <w:rsid w:val="00F716D9"/>
    <w:rsid w:val="00F71C75"/>
    <w:rsid w:val="00F72061"/>
    <w:rsid w:val="00F7306C"/>
    <w:rsid w:val="00F73C99"/>
    <w:rsid w:val="00F74179"/>
    <w:rsid w:val="00F7523E"/>
    <w:rsid w:val="00F77673"/>
    <w:rsid w:val="00F77E10"/>
    <w:rsid w:val="00F807FB"/>
    <w:rsid w:val="00F808D1"/>
    <w:rsid w:val="00F80CBC"/>
    <w:rsid w:val="00F81401"/>
    <w:rsid w:val="00F81B63"/>
    <w:rsid w:val="00F821A7"/>
    <w:rsid w:val="00F82725"/>
    <w:rsid w:val="00F83359"/>
    <w:rsid w:val="00F84695"/>
    <w:rsid w:val="00F87C8C"/>
    <w:rsid w:val="00F901CD"/>
    <w:rsid w:val="00F904BB"/>
    <w:rsid w:val="00F90608"/>
    <w:rsid w:val="00F9356D"/>
    <w:rsid w:val="00F93A2B"/>
    <w:rsid w:val="00F93AA1"/>
    <w:rsid w:val="00F93FFD"/>
    <w:rsid w:val="00F94A2F"/>
    <w:rsid w:val="00F96918"/>
    <w:rsid w:val="00F97412"/>
    <w:rsid w:val="00F97757"/>
    <w:rsid w:val="00FA0F7D"/>
    <w:rsid w:val="00FA2322"/>
    <w:rsid w:val="00FA286A"/>
    <w:rsid w:val="00FA2E5B"/>
    <w:rsid w:val="00FA30ED"/>
    <w:rsid w:val="00FA356A"/>
    <w:rsid w:val="00FA3B62"/>
    <w:rsid w:val="00FA4D2D"/>
    <w:rsid w:val="00FA52FD"/>
    <w:rsid w:val="00FA5964"/>
    <w:rsid w:val="00FA66D0"/>
    <w:rsid w:val="00FA761D"/>
    <w:rsid w:val="00FA79A8"/>
    <w:rsid w:val="00FB075B"/>
    <w:rsid w:val="00FB17AA"/>
    <w:rsid w:val="00FB1C43"/>
    <w:rsid w:val="00FB2AC6"/>
    <w:rsid w:val="00FB2DEE"/>
    <w:rsid w:val="00FB3D21"/>
    <w:rsid w:val="00FB3DBF"/>
    <w:rsid w:val="00FB43A5"/>
    <w:rsid w:val="00FB4BEF"/>
    <w:rsid w:val="00FB72D0"/>
    <w:rsid w:val="00FC0C50"/>
    <w:rsid w:val="00FC1770"/>
    <w:rsid w:val="00FC251D"/>
    <w:rsid w:val="00FC38BD"/>
    <w:rsid w:val="00FC4494"/>
    <w:rsid w:val="00FC58E2"/>
    <w:rsid w:val="00FC6312"/>
    <w:rsid w:val="00FC786A"/>
    <w:rsid w:val="00FC7C9E"/>
    <w:rsid w:val="00FD08E6"/>
    <w:rsid w:val="00FD12F3"/>
    <w:rsid w:val="00FD245B"/>
    <w:rsid w:val="00FD2EEA"/>
    <w:rsid w:val="00FD3091"/>
    <w:rsid w:val="00FD4C65"/>
    <w:rsid w:val="00FD4DD9"/>
    <w:rsid w:val="00FD4E33"/>
    <w:rsid w:val="00FD5A39"/>
    <w:rsid w:val="00FD67C4"/>
    <w:rsid w:val="00FD6F60"/>
    <w:rsid w:val="00FE0130"/>
    <w:rsid w:val="00FE043F"/>
    <w:rsid w:val="00FE1371"/>
    <w:rsid w:val="00FE1400"/>
    <w:rsid w:val="00FE2409"/>
    <w:rsid w:val="00FE28CC"/>
    <w:rsid w:val="00FE41E3"/>
    <w:rsid w:val="00FE50CC"/>
    <w:rsid w:val="00FE667E"/>
    <w:rsid w:val="00FE74BE"/>
    <w:rsid w:val="00FE762F"/>
    <w:rsid w:val="00FF1B3D"/>
    <w:rsid w:val="00FF1D60"/>
    <w:rsid w:val="00FF2773"/>
    <w:rsid w:val="00FF4488"/>
    <w:rsid w:val="00FF4793"/>
    <w:rsid w:val="00FF5B6F"/>
    <w:rsid w:val="00FF612F"/>
    <w:rsid w:val="00FF7149"/>
    <w:rsid w:val="00FF7452"/>
    <w:rsid w:val="019EDEC3"/>
    <w:rsid w:val="01A8712C"/>
    <w:rsid w:val="02021C0E"/>
    <w:rsid w:val="02074A6A"/>
    <w:rsid w:val="02685DCE"/>
    <w:rsid w:val="03910908"/>
    <w:rsid w:val="03F15089"/>
    <w:rsid w:val="041E645D"/>
    <w:rsid w:val="04708821"/>
    <w:rsid w:val="04958E90"/>
    <w:rsid w:val="05B79C74"/>
    <w:rsid w:val="0604628F"/>
    <w:rsid w:val="062D27C9"/>
    <w:rsid w:val="06B7C23E"/>
    <w:rsid w:val="075DCEC9"/>
    <w:rsid w:val="077D054F"/>
    <w:rsid w:val="07824EFF"/>
    <w:rsid w:val="08C7613A"/>
    <w:rsid w:val="0970B293"/>
    <w:rsid w:val="09AC3E53"/>
    <w:rsid w:val="0A0D2DF3"/>
    <w:rsid w:val="0A4FAEF2"/>
    <w:rsid w:val="0B174282"/>
    <w:rsid w:val="0C119D5E"/>
    <w:rsid w:val="0D4CBC3B"/>
    <w:rsid w:val="0D7CA067"/>
    <w:rsid w:val="0E3891A8"/>
    <w:rsid w:val="0E869216"/>
    <w:rsid w:val="0E975EEE"/>
    <w:rsid w:val="0EB31775"/>
    <w:rsid w:val="0EE09F16"/>
    <w:rsid w:val="0FCC69E8"/>
    <w:rsid w:val="0FF25DB7"/>
    <w:rsid w:val="100E009D"/>
    <w:rsid w:val="1023EE74"/>
    <w:rsid w:val="12158D08"/>
    <w:rsid w:val="123C379F"/>
    <w:rsid w:val="142DCC2B"/>
    <w:rsid w:val="14C6B26D"/>
    <w:rsid w:val="1586244E"/>
    <w:rsid w:val="15B50AFD"/>
    <w:rsid w:val="15B5DE19"/>
    <w:rsid w:val="15D082D7"/>
    <w:rsid w:val="16869702"/>
    <w:rsid w:val="170683B6"/>
    <w:rsid w:val="180423F2"/>
    <w:rsid w:val="180E877C"/>
    <w:rsid w:val="18754B95"/>
    <w:rsid w:val="1A2B3F43"/>
    <w:rsid w:val="1A9FEE79"/>
    <w:rsid w:val="1AE8D4A5"/>
    <w:rsid w:val="1AF108EC"/>
    <w:rsid w:val="1B6BD40F"/>
    <w:rsid w:val="1BB28B2C"/>
    <w:rsid w:val="1C6F12D0"/>
    <w:rsid w:val="1C8F364C"/>
    <w:rsid w:val="1D02C0F2"/>
    <w:rsid w:val="1D62E005"/>
    <w:rsid w:val="1E334E53"/>
    <w:rsid w:val="1E6E8922"/>
    <w:rsid w:val="1EAB1C7C"/>
    <w:rsid w:val="1F846D4E"/>
    <w:rsid w:val="1FF72F5F"/>
    <w:rsid w:val="202A1A3F"/>
    <w:rsid w:val="2036C545"/>
    <w:rsid w:val="209A80C7"/>
    <w:rsid w:val="21CB309F"/>
    <w:rsid w:val="21EEED57"/>
    <w:rsid w:val="22265258"/>
    <w:rsid w:val="228A7228"/>
    <w:rsid w:val="22F5A0D1"/>
    <w:rsid w:val="23301636"/>
    <w:rsid w:val="24A09B76"/>
    <w:rsid w:val="25044544"/>
    <w:rsid w:val="266BD53F"/>
    <w:rsid w:val="268BC810"/>
    <w:rsid w:val="269A1E5D"/>
    <w:rsid w:val="26EB0899"/>
    <w:rsid w:val="28E7A446"/>
    <w:rsid w:val="28E95AAB"/>
    <w:rsid w:val="2900D843"/>
    <w:rsid w:val="298E99A6"/>
    <w:rsid w:val="29A13E36"/>
    <w:rsid w:val="2A1686DB"/>
    <w:rsid w:val="2AA25A40"/>
    <w:rsid w:val="2B1BFDA3"/>
    <w:rsid w:val="2D031C83"/>
    <w:rsid w:val="2DAD408B"/>
    <w:rsid w:val="2DF52617"/>
    <w:rsid w:val="2F0DA970"/>
    <w:rsid w:val="318B3F27"/>
    <w:rsid w:val="323474B2"/>
    <w:rsid w:val="3241476D"/>
    <w:rsid w:val="32CFA23B"/>
    <w:rsid w:val="330DE72B"/>
    <w:rsid w:val="334FD26C"/>
    <w:rsid w:val="33BE16C8"/>
    <w:rsid w:val="3412F9D5"/>
    <w:rsid w:val="34C2DFE9"/>
    <w:rsid w:val="351B0D5F"/>
    <w:rsid w:val="364DB557"/>
    <w:rsid w:val="381F81B1"/>
    <w:rsid w:val="38791E47"/>
    <w:rsid w:val="3B2D5896"/>
    <w:rsid w:val="3BB767BE"/>
    <w:rsid w:val="3C4100F6"/>
    <w:rsid w:val="3F35ACA7"/>
    <w:rsid w:val="407C560A"/>
    <w:rsid w:val="4087D773"/>
    <w:rsid w:val="42611CFC"/>
    <w:rsid w:val="44E3BEDD"/>
    <w:rsid w:val="46ACCBED"/>
    <w:rsid w:val="49DC4BCE"/>
    <w:rsid w:val="4BA1C5F2"/>
    <w:rsid w:val="4BA86B7F"/>
    <w:rsid w:val="4C1A1022"/>
    <w:rsid w:val="4C89619E"/>
    <w:rsid w:val="4D230895"/>
    <w:rsid w:val="4DD2A215"/>
    <w:rsid w:val="4E557163"/>
    <w:rsid w:val="4F0AD65B"/>
    <w:rsid w:val="4F4D2FAC"/>
    <w:rsid w:val="4F79D8DA"/>
    <w:rsid w:val="508F4A16"/>
    <w:rsid w:val="50E6BEB6"/>
    <w:rsid w:val="5197EE95"/>
    <w:rsid w:val="5432765E"/>
    <w:rsid w:val="565C0E91"/>
    <w:rsid w:val="56E3DA68"/>
    <w:rsid w:val="576C3BD5"/>
    <w:rsid w:val="582AD47B"/>
    <w:rsid w:val="58B8EA55"/>
    <w:rsid w:val="59A2FF2B"/>
    <w:rsid w:val="59DBA96E"/>
    <w:rsid w:val="5A2DEEEB"/>
    <w:rsid w:val="5AA12330"/>
    <w:rsid w:val="5AB31E67"/>
    <w:rsid w:val="5ADBE8BD"/>
    <w:rsid w:val="5AF6DE20"/>
    <w:rsid w:val="5BB02348"/>
    <w:rsid w:val="5BC17A0E"/>
    <w:rsid w:val="5C88639F"/>
    <w:rsid w:val="5E882A31"/>
    <w:rsid w:val="5F8845FE"/>
    <w:rsid w:val="60009B8A"/>
    <w:rsid w:val="615ED49A"/>
    <w:rsid w:val="61D21771"/>
    <w:rsid w:val="62165510"/>
    <w:rsid w:val="628F6C62"/>
    <w:rsid w:val="62970A44"/>
    <w:rsid w:val="63CF3EA5"/>
    <w:rsid w:val="66FDA1E1"/>
    <w:rsid w:val="68462367"/>
    <w:rsid w:val="6BD4E4B1"/>
    <w:rsid w:val="6C2537F6"/>
    <w:rsid w:val="6CACBC99"/>
    <w:rsid w:val="6D3485AE"/>
    <w:rsid w:val="6D5564FD"/>
    <w:rsid w:val="6D70E9F2"/>
    <w:rsid w:val="6DA30DAA"/>
    <w:rsid w:val="6E937BD0"/>
    <w:rsid w:val="6EB20369"/>
    <w:rsid w:val="6FD61F5D"/>
    <w:rsid w:val="705A030E"/>
    <w:rsid w:val="706AFDD5"/>
    <w:rsid w:val="71F50808"/>
    <w:rsid w:val="734BC1FD"/>
    <w:rsid w:val="73A0F101"/>
    <w:rsid w:val="76DCFBC6"/>
    <w:rsid w:val="778077D1"/>
    <w:rsid w:val="7797415A"/>
    <w:rsid w:val="79454CAE"/>
    <w:rsid w:val="7A6E12BC"/>
    <w:rsid w:val="7BE05014"/>
    <w:rsid w:val="7CE22937"/>
    <w:rsid w:val="7D5E664F"/>
    <w:rsid w:val="7DC4910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435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68C"/>
    <w:pPr>
      <w:spacing w:after="200" w:line="276" w:lineRule="auto"/>
    </w:pPr>
    <w:rPr>
      <w:rFonts w:ascii="Calibri" w:eastAsia="Calibri" w:hAnsi="Calibri" w:cs="Times New Roman"/>
    </w:rPr>
  </w:style>
  <w:style w:type="paragraph" w:styleId="Heading1">
    <w:name w:val="heading 1"/>
    <w:basedOn w:val="Heading10"/>
    <w:next w:val="Normal"/>
    <w:link w:val="Heading1Char"/>
    <w:uiPriority w:val="9"/>
    <w:qFormat/>
    <w:rsid w:val="008C4B3C"/>
    <w:pPr>
      <w:spacing w:before="1000"/>
      <w:jc w:val="center"/>
      <w:outlineLvl w:val="0"/>
    </w:pPr>
    <w:rPr>
      <w:sz w:val="72"/>
      <w:szCs w:val="72"/>
    </w:rPr>
  </w:style>
  <w:style w:type="paragraph" w:styleId="Heading2">
    <w:name w:val="heading 2"/>
    <w:basedOn w:val="Normal"/>
    <w:next w:val="Normal"/>
    <w:link w:val="Heading2Char"/>
    <w:uiPriority w:val="9"/>
    <w:unhideWhenUsed/>
    <w:qFormat/>
    <w:rsid w:val="004C7458"/>
    <w:pPr>
      <w:keepNext/>
      <w:keepLines/>
      <w:tabs>
        <w:tab w:val="left" w:pos="1701"/>
      </w:tabs>
      <w:spacing w:before="360" w:after="120" w:line="240" w:lineRule="auto"/>
      <w:outlineLvl w:val="1"/>
    </w:pPr>
    <w:rPr>
      <w:rFonts w:ascii="Franklin Gothic Medium" w:eastAsiaTheme="majorEastAsia" w:hAnsi="Franklin Gothic Medium" w:cstheme="majorBidi"/>
      <w:color w:val="000000" w:themeColor="text1"/>
      <w:sz w:val="32"/>
      <w:szCs w:val="26"/>
    </w:rPr>
  </w:style>
  <w:style w:type="paragraph" w:styleId="Heading3">
    <w:name w:val="heading 3"/>
    <w:basedOn w:val="Heading2"/>
    <w:next w:val="Normal"/>
    <w:link w:val="Heading3Char"/>
    <w:uiPriority w:val="9"/>
    <w:unhideWhenUsed/>
    <w:qFormat/>
    <w:rsid w:val="00713728"/>
    <w:pPr>
      <w:tabs>
        <w:tab w:val="clear" w:pos="1701"/>
      </w:tabs>
      <w:spacing w:line="276" w:lineRule="auto"/>
      <w:outlineLvl w:val="2"/>
    </w:pPr>
    <w:rPr>
      <w:rFonts w:ascii="Calibri" w:eastAsia="MS Gothic" w:hAnsi="Calibri" w:cs="Times New Roman"/>
      <w:b/>
      <w:bCs/>
      <w:i/>
      <w:color w:val="auto"/>
      <w:sz w:val="24"/>
      <w:szCs w:val="24"/>
    </w:rPr>
  </w:style>
  <w:style w:type="paragraph" w:styleId="Heading4">
    <w:name w:val="heading 4"/>
    <w:basedOn w:val="Normal"/>
    <w:next w:val="Normal"/>
    <w:link w:val="Heading4Char"/>
    <w:uiPriority w:val="9"/>
    <w:unhideWhenUsed/>
    <w:qFormat/>
    <w:rsid w:val="00E2287D"/>
    <w:pPr>
      <w:keepNext/>
      <w:keepLines/>
      <w:spacing w:before="40" w:after="0"/>
      <w:outlineLvl w:val="3"/>
    </w:pPr>
    <w:rPr>
      <w:rFonts w:asciiTheme="majorHAnsi" w:eastAsiaTheme="majorEastAsia" w:hAnsiTheme="majorHAnsi" w:cstheme="majorBidi"/>
      <w:i/>
      <w:iCs/>
      <w:color w:val="0020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78E7"/>
    <w:rPr>
      <w:rFonts w:ascii="Times New Roman" w:hAnsi="Times New Roman" w:cs="Times New Roman" w:hint="default"/>
      <w:color w:val="0000FF"/>
      <w:u w:val="single"/>
    </w:rPr>
  </w:style>
  <w:style w:type="paragraph" w:customStyle="1" w:styleId="Heading10">
    <w:name w:val="Heading1"/>
    <w:rsid w:val="006478E7"/>
    <w:pPr>
      <w:spacing w:after="200" w:line="240" w:lineRule="auto"/>
    </w:pPr>
    <w:rPr>
      <w:rFonts w:ascii="Calibri" w:eastAsia="Calibri" w:hAnsi="Calibri" w:cs="Calibri"/>
      <w:b/>
      <w:bCs/>
      <w:color w:val="000000"/>
      <w:sz w:val="36"/>
      <w:szCs w:val="36"/>
      <w:u w:color="000000"/>
      <w:lang w:val="en-US" w:eastAsia="en-AU"/>
    </w:rPr>
  </w:style>
  <w:style w:type="character" w:customStyle="1" w:styleId="Heading2Char">
    <w:name w:val="Heading 2 Char"/>
    <w:basedOn w:val="DefaultParagraphFont"/>
    <w:link w:val="Heading2"/>
    <w:uiPriority w:val="9"/>
    <w:rsid w:val="004C7458"/>
    <w:rPr>
      <w:rFonts w:ascii="Franklin Gothic Medium" w:eastAsiaTheme="majorEastAsia" w:hAnsi="Franklin Gothic Medium" w:cstheme="majorBidi"/>
      <w:color w:val="000000" w:themeColor="text1"/>
      <w:sz w:val="32"/>
      <w:szCs w:val="26"/>
    </w:rPr>
  </w:style>
  <w:style w:type="table" w:customStyle="1" w:styleId="TableGrid1">
    <w:name w:val="Table Grid1"/>
    <w:basedOn w:val="TableNormal"/>
    <w:uiPriority w:val="59"/>
    <w:rsid w:val="006478E7"/>
    <w:pPr>
      <w:spacing w:after="240" w:line="240" w:lineRule="auto"/>
      <w:ind w:left="72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478E7"/>
    <w:pPr>
      <w:ind w:left="720"/>
      <w:contextualSpacing/>
    </w:pPr>
  </w:style>
  <w:style w:type="table" w:styleId="TableGrid">
    <w:name w:val="Table Grid"/>
    <w:aliases w:val="Summary box,Table Gridbeth,RTI AMCP Table,new style,ASD Table,HealthConsult"/>
    <w:basedOn w:val="TableNormal"/>
    <w:uiPriority w:val="59"/>
    <w:rsid w:val="002F3E40"/>
    <w:pPr>
      <w:spacing w:after="0" w:line="240" w:lineRule="auto"/>
    </w:pPr>
    <w:rPr>
      <w:rFonts w:ascii="Times New Roman" w:hAnsi="Times New Roman"/>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qFormat/>
    <w:rsid w:val="00E01349"/>
    <w:pPr>
      <w:keepNext/>
      <w:spacing w:before="360" w:after="120" w:line="240" w:lineRule="auto"/>
      <w:ind w:left="709" w:hanging="709"/>
    </w:pPr>
    <w:rPr>
      <w:rFonts w:ascii="Arial Narrow" w:eastAsia="Times New Roman" w:hAnsi="Arial Narrow" w:cs="Tahoma"/>
      <w:b/>
      <w:sz w:val="20"/>
      <w:szCs w:val="20"/>
      <w:lang w:val="en-GB" w:eastAsia="ja-JP"/>
    </w:rPr>
  </w:style>
  <w:style w:type="paragraph" w:customStyle="1" w:styleId="TableHeading">
    <w:name w:val="TableHeading"/>
    <w:basedOn w:val="Normal"/>
    <w:link w:val="TableHeadingChar"/>
    <w:qFormat/>
    <w:rsid w:val="000939E0"/>
    <w:pPr>
      <w:keepNext/>
      <w:spacing w:before="40" w:after="40" w:line="240" w:lineRule="auto"/>
    </w:pPr>
    <w:rPr>
      <w:rFonts w:ascii="Arial Narrow" w:eastAsia="Times New Roman" w:hAnsi="Arial Narrow" w:cs="Tahoma"/>
      <w:b/>
      <w:sz w:val="20"/>
      <w:szCs w:val="20"/>
      <w:lang w:eastAsia="en-AU"/>
    </w:rPr>
  </w:style>
  <w:style w:type="character" w:customStyle="1" w:styleId="TableHeadingChar">
    <w:name w:val="TableHeading Char"/>
    <w:link w:val="TableHeading"/>
    <w:rsid w:val="000939E0"/>
    <w:rPr>
      <w:rFonts w:ascii="Arial Narrow" w:eastAsia="Times New Roman" w:hAnsi="Arial Narrow" w:cs="Tahoma"/>
      <w:b/>
      <w:sz w:val="20"/>
      <w:szCs w:val="20"/>
      <w:lang w:eastAsia="en-AU"/>
    </w:rPr>
  </w:style>
  <w:style w:type="paragraph" w:customStyle="1" w:styleId="Tabletext">
    <w:name w:val="Table text"/>
    <w:basedOn w:val="Normal"/>
    <w:link w:val="TabletextChar"/>
    <w:qFormat/>
    <w:rsid w:val="000939E0"/>
    <w:pPr>
      <w:spacing w:before="40" w:after="40" w:line="240" w:lineRule="auto"/>
    </w:pPr>
    <w:rPr>
      <w:rFonts w:ascii="Arial Narrow" w:eastAsia="Times New Roman" w:hAnsi="Arial Narrow" w:cs="Tahoma"/>
      <w:sz w:val="20"/>
      <w:szCs w:val="20"/>
      <w:lang w:eastAsia="en-AU"/>
    </w:rPr>
  </w:style>
  <w:style w:type="character" w:customStyle="1" w:styleId="TabletextChar">
    <w:name w:val="Table text Char"/>
    <w:link w:val="Tabletext"/>
    <w:rsid w:val="000939E0"/>
    <w:rPr>
      <w:rFonts w:ascii="Arial Narrow" w:eastAsia="Times New Roman" w:hAnsi="Arial Narrow" w:cs="Tahoma"/>
      <w:sz w:val="20"/>
      <w:szCs w:val="20"/>
      <w:lang w:eastAsia="en-AU"/>
    </w:rPr>
  </w:style>
  <w:style w:type="paragraph" w:customStyle="1" w:styleId="Tablenotes">
    <w:name w:val="Tablenotes"/>
    <w:basedOn w:val="Normal"/>
    <w:link w:val="TablenotesChar"/>
    <w:qFormat/>
    <w:rsid w:val="000939E0"/>
    <w:pPr>
      <w:widowControl w:val="0"/>
      <w:spacing w:after="120" w:line="240" w:lineRule="auto"/>
      <w:jc w:val="both"/>
    </w:pPr>
    <w:rPr>
      <w:rFonts w:ascii="Arial Narrow" w:eastAsia="Times New Roman" w:hAnsi="Arial Narrow" w:cs="Arial"/>
      <w:snapToGrid w:val="0"/>
      <w:sz w:val="18"/>
      <w:szCs w:val="20"/>
    </w:rPr>
  </w:style>
  <w:style w:type="character" w:customStyle="1" w:styleId="TablenotesChar">
    <w:name w:val="Tablenotes Char"/>
    <w:basedOn w:val="DefaultParagraphFont"/>
    <w:link w:val="Tablenotes"/>
    <w:rsid w:val="000939E0"/>
    <w:rPr>
      <w:rFonts w:ascii="Arial Narrow" w:eastAsia="Times New Roman" w:hAnsi="Arial Narrow" w:cs="Arial"/>
      <w:snapToGrid w:val="0"/>
      <w:sz w:val="18"/>
      <w:szCs w:val="20"/>
    </w:rPr>
  </w:style>
  <w:style w:type="paragraph" w:customStyle="1" w:styleId="TableName">
    <w:name w:val="TableName"/>
    <w:basedOn w:val="Normal"/>
    <w:qFormat/>
    <w:rsid w:val="00891488"/>
    <w:pPr>
      <w:keepNext/>
      <w:spacing w:after="240" w:line="240" w:lineRule="auto"/>
      <w:ind w:left="1134" w:hanging="1134"/>
    </w:pPr>
    <w:rPr>
      <w:rFonts w:ascii="Franklin Gothic Medium" w:eastAsiaTheme="minorHAnsi" w:hAnsi="Franklin Gothic Medium" w:cstheme="minorBidi"/>
    </w:rPr>
  </w:style>
  <w:style w:type="character" w:customStyle="1" w:styleId="ListParagraphChar">
    <w:name w:val="List Paragraph Char"/>
    <w:basedOn w:val="DefaultParagraphFont"/>
    <w:link w:val="ListParagraph"/>
    <w:uiPriority w:val="34"/>
    <w:rsid w:val="00D867D5"/>
    <w:rPr>
      <w:rFonts w:ascii="Calibri" w:eastAsia="Calibri" w:hAnsi="Calibri" w:cs="Times New Roman"/>
    </w:rPr>
  </w:style>
  <w:style w:type="paragraph" w:styleId="Header">
    <w:name w:val="header"/>
    <w:basedOn w:val="Normal"/>
    <w:link w:val="HeaderChar"/>
    <w:uiPriority w:val="99"/>
    <w:unhideWhenUsed/>
    <w:rsid w:val="001631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315C"/>
    <w:rPr>
      <w:rFonts w:ascii="Calibri" w:eastAsia="Calibri" w:hAnsi="Calibri" w:cs="Times New Roman"/>
    </w:rPr>
  </w:style>
  <w:style w:type="paragraph" w:styleId="Footer">
    <w:name w:val="footer"/>
    <w:basedOn w:val="Normal"/>
    <w:link w:val="FooterChar"/>
    <w:uiPriority w:val="99"/>
    <w:unhideWhenUsed/>
    <w:rsid w:val="001631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315C"/>
    <w:rPr>
      <w:rFonts w:ascii="Calibri" w:eastAsia="Calibri" w:hAnsi="Calibri" w:cs="Times New Roman"/>
    </w:rPr>
  </w:style>
  <w:style w:type="paragraph" w:styleId="Subtitle">
    <w:name w:val="Subtitle"/>
    <w:basedOn w:val="Normal"/>
    <w:next w:val="Normal"/>
    <w:link w:val="SubtitleChar"/>
    <w:uiPriority w:val="11"/>
    <w:qFormat/>
    <w:rsid w:val="006F01C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F01C4"/>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A331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3126"/>
    <w:rPr>
      <w:rFonts w:ascii="Segoe UI" w:eastAsia="Calibri" w:hAnsi="Segoe UI" w:cs="Segoe UI"/>
      <w:sz w:val="18"/>
      <w:szCs w:val="18"/>
    </w:rPr>
  </w:style>
  <w:style w:type="character" w:styleId="CommentReference">
    <w:name w:val="annotation reference"/>
    <w:aliases w:val="Table Title"/>
    <w:basedOn w:val="DefaultParagraphFont"/>
    <w:uiPriority w:val="99"/>
    <w:unhideWhenUsed/>
    <w:qFormat/>
    <w:rsid w:val="00D84E12"/>
    <w:rPr>
      <w:sz w:val="16"/>
      <w:szCs w:val="16"/>
    </w:rPr>
  </w:style>
  <w:style w:type="paragraph" w:styleId="CommentText">
    <w:name w:val="annotation text"/>
    <w:basedOn w:val="Normal"/>
    <w:link w:val="CommentTextChar"/>
    <w:uiPriority w:val="99"/>
    <w:unhideWhenUsed/>
    <w:rsid w:val="00D84E12"/>
    <w:pPr>
      <w:spacing w:line="240" w:lineRule="auto"/>
    </w:pPr>
    <w:rPr>
      <w:sz w:val="20"/>
      <w:szCs w:val="20"/>
    </w:rPr>
  </w:style>
  <w:style w:type="character" w:customStyle="1" w:styleId="CommentTextChar">
    <w:name w:val="Comment Text Char"/>
    <w:basedOn w:val="DefaultParagraphFont"/>
    <w:link w:val="CommentText"/>
    <w:uiPriority w:val="99"/>
    <w:rsid w:val="00D84E1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84E12"/>
    <w:rPr>
      <w:b/>
      <w:bCs/>
    </w:rPr>
  </w:style>
  <w:style w:type="character" w:customStyle="1" w:styleId="CommentSubjectChar">
    <w:name w:val="Comment Subject Char"/>
    <w:basedOn w:val="CommentTextChar"/>
    <w:link w:val="CommentSubject"/>
    <w:uiPriority w:val="99"/>
    <w:semiHidden/>
    <w:rsid w:val="00D84E12"/>
    <w:rPr>
      <w:rFonts w:ascii="Calibri" w:eastAsia="Calibri" w:hAnsi="Calibri" w:cs="Times New Roman"/>
      <w:b/>
      <w:bCs/>
      <w:sz w:val="20"/>
      <w:szCs w:val="20"/>
    </w:rPr>
  </w:style>
  <w:style w:type="character" w:styleId="FollowedHyperlink">
    <w:name w:val="FollowedHyperlink"/>
    <w:basedOn w:val="DefaultParagraphFont"/>
    <w:uiPriority w:val="99"/>
    <w:semiHidden/>
    <w:unhideWhenUsed/>
    <w:rsid w:val="008C4B3C"/>
    <w:rPr>
      <w:color w:val="954F72" w:themeColor="followedHyperlink"/>
      <w:u w:val="single"/>
    </w:rPr>
  </w:style>
  <w:style w:type="character" w:customStyle="1" w:styleId="Heading1Char">
    <w:name w:val="Heading 1 Char"/>
    <w:basedOn w:val="DefaultParagraphFont"/>
    <w:link w:val="Heading1"/>
    <w:uiPriority w:val="9"/>
    <w:rsid w:val="008C4B3C"/>
    <w:rPr>
      <w:rFonts w:ascii="Calibri" w:eastAsia="Calibri" w:hAnsi="Calibri" w:cs="Calibri"/>
      <w:b/>
      <w:bCs/>
      <w:color w:val="000000"/>
      <w:sz w:val="72"/>
      <w:szCs w:val="72"/>
      <w:u w:color="000000"/>
      <w:lang w:val="en-US" w:eastAsia="en-AU"/>
    </w:rPr>
  </w:style>
  <w:style w:type="paragraph" w:customStyle="1" w:styleId="Instructionaltext">
    <w:name w:val="Instructional text"/>
    <w:basedOn w:val="Normal"/>
    <w:link w:val="InstructionaltextChar"/>
    <w:qFormat/>
    <w:rsid w:val="006A467F"/>
    <w:pPr>
      <w:spacing w:before="120" w:after="160" w:line="259" w:lineRule="auto"/>
    </w:pPr>
    <w:rPr>
      <w:rFonts w:eastAsiaTheme="minorHAnsi" w:cstheme="minorBidi"/>
      <w:color w:val="258221"/>
    </w:rPr>
  </w:style>
  <w:style w:type="character" w:customStyle="1" w:styleId="InstructionaltextChar">
    <w:name w:val="Instructional text Char"/>
    <w:basedOn w:val="DefaultParagraphFont"/>
    <w:link w:val="Instructionaltext"/>
    <w:rsid w:val="006A467F"/>
    <w:rPr>
      <w:rFonts w:ascii="Calibri" w:hAnsi="Calibri"/>
      <w:color w:val="258221"/>
    </w:rPr>
  </w:style>
  <w:style w:type="character" w:customStyle="1" w:styleId="Heading3Char">
    <w:name w:val="Heading 3 Char"/>
    <w:basedOn w:val="DefaultParagraphFont"/>
    <w:link w:val="Heading3"/>
    <w:uiPriority w:val="9"/>
    <w:rsid w:val="00713728"/>
    <w:rPr>
      <w:rFonts w:ascii="Calibri" w:eastAsia="MS Gothic" w:hAnsi="Calibri" w:cs="Times New Roman"/>
      <w:b/>
      <w:bCs/>
      <w:i/>
      <w:sz w:val="24"/>
      <w:szCs w:val="24"/>
    </w:rPr>
  </w:style>
  <w:style w:type="paragraph" w:customStyle="1" w:styleId="Instructionaltext-bullet">
    <w:name w:val="Instructional text - bullet"/>
    <w:basedOn w:val="Instructionaltext"/>
    <w:qFormat/>
    <w:rsid w:val="006A467F"/>
    <w:pPr>
      <w:numPr>
        <w:numId w:val="3"/>
      </w:numPr>
      <w:spacing w:before="0" w:after="0"/>
    </w:pPr>
  </w:style>
  <w:style w:type="paragraph" w:customStyle="1" w:styleId="Guidelinescross-ref">
    <w:name w:val="Guidelines cross-ref"/>
    <w:basedOn w:val="Normal"/>
    <w:qFormat/>
    <w:rsid w:val="00E01349"/>
    <w:pPr>
      <w:keepNext/>
      <w:spacing w:before="240" w:after="240" w:line="259" w:lineRule="auto"/>
    </w:pPr>
    <w:rPr>
      <w:rFonts w:eastAsiaTheme="minorHAnsi" w:cstheme="minorBidi"/>
      <w:b/>
      <w:color w:val="0070C0"/>
      <w:sz w:val="24"/>
    </w:rPr>
  </w:style>
  <w:style w:type="paragraph" w:customStyle="1" w:styleId="Instructionaltext-afterfiguretable">
    <w:name w:val="Instructional text - after figure/table"/>
    <w:basedOn w:val="Instructionaltext"/>
    <w:qFormat/>
    <w:rsid w:val="00E01349"/>
    <w:pPr>
      <w:spacing w:before="360"/>
    </w:pPr>
  </w:style>
  <w:style w:type="paragraph" w:styleId="Revision">
    <w:name w:val="Revision"/>
    <w:hidden/>
    <w:uiPriority w:val="99"/>
    <w:semiHidden/>
    <w:rsid w:val="004E3ABF"/>
    <w:pPr>
      <w:spacing w:after="0" w:line="240" w:lineRule="auto"/>
    </w:pPr>
    <w:rPr>
      <w:rFonts w:ascii="Calibri" w:eastAsia="Calibri" w:hAnsi="Calibri" w:cs="Times New Roman"/>
    </w:rPr>
  </w:style>
  <w:style w:type="paragraph" w:customStyle="1" w:styleId="TableText0">
    <w:name w:val="Table Text"/>
    <w:basedOn w:val="Normal"/>
    <w:link w:val="TableTextChar0"/>
    <w:qFormat/>
    <w:rsid w:val="000D1FCF"/>
    <w:pPr>
      <w:spacing w:before="40" w:after="40" w:line="240" w:lineRule="auto"/>
    </w:pPr>
    <w:rPr>
      <w:rFonts w:ascii="Arial Narrow" w:eastAsiaTheme="minorHAnsi" w:hAnsi="Arial Narrow" w:cstheme="minorBidi"/>
      <w:sz w:val="20"/>
    </w:rPr>
  </w:style>
  <w:style w:type="character" w:customStyle="1" w:styleId="TableTextChar0">
    <w:name w:val="Table Text Char"/>
    <w:basedOn w:val="DefaultParagraphFont"/>
    <w:link w:val="TableText0"/>
    <w:rsid w:val="000D1FCF"/>
    <w:rPr>
      <w:rFonts w:ascii="Arial Narrow" w:hAnsi="Arial Narrow"/>
      <w:sz w:val="20"/>
    </w:rPr>
  </w:style>
  <w:style w:type="character" w:styleId="PageNumber">
    <w:name w:val="page number"/>
    <w:basedOn w:val="DefaultParagraphFont"/>
    <w:uiPriority w:val="99"/>
    <w:semiHidden/>
    <w:unhideWhenUsed/>
    <w:rsid w:val="00685355"/>
  </w:style>
  <w:style w:type="character" w:styleId="UnresolvedMention">
    <w:name w:val="Unresolved Mention"/>
    <w:basedOn w:val="DefaultParagraphFont"/>
    <w:uiPriority w:val="99"/>
    <w:unhideWhenUsed/>
    <w:rsid w:val="00BB0FFB"/>
    <w:rPr>
      <w:color w:val="605E5C"/>
      <w:shd w:val="clear" w:color="auto" w:fill="E1DFDD"/>
    </w:rPr>
  </w:style>
  <w:style w:type="table" w:customStyle="1" w:styleId="TableGrid11">
    <w:name w:val="Table Grid11"/>
    <w:basedOn w:val="TableNormal"/>
    <w:uiPriority w:val="59"/>
    <w:rsid w:val="00E03083"/>
    <w:pPr>
      <w:spacing w:after="240" w:line="240" w:lineRule="auto"/>
      <w:ind w:left="720" w:hanging="36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807730"/>
    <w:rPr>
      <w:color w:val="2B579A"/>
      <w:shd w:val="clear" w:color="auto" w:fill="E1DFDD"/>
    </w:rPr>
  </w:style>
  <w:style w:type="character" w:customStyle="1" w:styleId="Heading4Char">
    <w:name w:val="Heading 4 Char"/>
    <w:basedOn w:val="DefaultParagraphFont"/>
    <w:link w:val="Heading4"/>
    <w:uiPriority w:val="9"/>
    <w:rsid w:val="00E2287D"/>
    <w:rPr>
      <w:rFonts w:asciiTheme="majorHAnsi" w:eastAsiaTheme="majorEastAsia" w:hAnsiTheme="majorHAnsi" w:cstheme="majorBidi"/>
      <w:i/>
      <w:iCs/>
      <w:color w:val="002060"/>
    </w:rPr>
  </w:style>
  <w:style w:type="paragraph" w:customStyle="1" w:styleId="EndNoteBibliographyTitle">
    <w:name w:val="EndNote Bibliography Title"/>
    <w:basedOn w:val="Normal"/>
    <w:link w:val="EndNoteBibliographyTitleChar"/>
    <w:rsid w:val="00CD328D"/>
    <w:pPr>
      <w:spacing w:after="0"/>
      <w:jc w:val="center"/>
    </w:pPr>
    <w:rPr>
      <w:rFonts w:cs="Calibri"/>
      <w:noProof/>
      <w:lang w:val="en-US"/>
    </w:rPr>
  </w:style>
  <w:style w:type="character" w:customStyle="1" w:styleId="EndNoteBibliographyTitleChar">
    <w:name w:val="EndNote Bibliography Title Char"/>
    <w:basedOn w:val="InstructionaltextChar"/>
    <w:link w:val="EndNoteBibliographyTitle"/>
    <w:rsid w:val="00CD328D"/>
    <w:rPr>
      <w:rFonts w:ascii="Calibri" w:eastAsia="Calibri" w:hAnsi="Calibri" w:cs="Calibri"/>
      <w:noProof/>
      <w:color w:val="258221"/>
      <w:lang w:val="en-US"/>
    </w:rPr>
  </w:style>
  <w:style w:type="paragraph" w:customStyle="1" w:styleId="EndNoteBibliography">
    <w:name w:val="EndNote Bibliography"/>
    <w:basedOn w:val="Normal"/>
    <w:link w:val="EndNoteBibliographyChar"/>
    <w:rsid w:val="00CD328D"/>
    <w:pPr>
      <w:spacing w:line="240" w:lineRule="auto"/>
    </w:pPr>
    <w:rPr>
      <w:rFonts w:cs="Calibri"/>
      <w:noProof/>
      <w:lang w:val="en-US"/>
    </w:rPr>
  </w:style>
  <w:style w:type="character" w:customStyle="1" w:styleId="EndNoteBibliographyChar">
    <w:name w:val="EndNote Bibliography Char"/>
    <w:basedOn w:val="InstructionaltextChar"/>
    <w:link w:val="EndNoteBibliography"/>
    <w:rsid w:val="00CD328D"/>
    <w:rPr>
      <w:rFonts w:ascii="Calibri" w:eastAsia="Calibri" w:hAnsi="Calibri" w:cs="Calibri"/>
      <w:noProof/>
      <w:color w:val="258221"/>
      <w:lang w:val="en-US"/>
    </w:rPr>
  </w:style>
  <w:style w:type="paragraph" w:styleId="FootnoteText">
    <w:name w:val="footnote text"/>
    <w:basedOn w:val="Normal"/>
    <w:link w:val="FootnoteTextChar"/>
    <w:uiPriority w:val="99"/>
    <w:semiHidden/>
    <w:unhideWhenUsed/>
    <w:rsid w:val="003230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308B"/>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32308B"/>
    <w:rPr>
      <w:vertAlign w:val="superscript"/>
    </w:rPr>
  </w:style>
  <w:style w:type="paragraph" w:styleId="NormalWeb">
    <w:name w:val="Normal (Web)"/>
    <w:basedOn w:val="Normal"/>
    <w:uiPriority w:val="99"/>
    <w:semiHidden/>
    <w:unhideWhenUsed/>
    <w:rsid w:val="00706F98"/>
    <w:pPr>
      <w:spacing w:before="100" w:beforeAutospacing="1" w:after="100" w:afterAutospacing="1" w:line="240" w:lineRule="auto"/>
    </w:pPr>
    <w:rPr>
      <w:rFonts w:ascii="Times New Roman" w:eastAsia="Times New Roman" w:hAnsi="Times New Roman"/>
      <w:sz w:val="24"/>
      <w:szCs w:val="24"/>
      <w:lang w:eastAsia="en-AU"/>
    </w:rPr>
  </w:style>
  <w:style w:type="character" w:styleId="Strong">
    <w:name w:val="Strong"/>
    <w:basedOn w:val="DefaultParagraphFont"/>
    <w:uiPriority w:val="22"/>
    <w:qFormat/>
    <w:rsid w:val="00706F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00520">
      <w:bodyDiv w:val="1"/>
      <w:marLeft w:val="0"/>
      <w:marRight w:val="0"/>
      <w:marTop w:val="0"/>
      <w:marBottom w:val="0"/>
      <w:divBdr>
        <w:top w:val="none" w:sz="0" w:space="0" w:color="auto"/>
        <w:left w:val="none" w:sz="0" w:space="0" w:color="auto"/>
        <w:bottom w:val="none" w:sz="0" w:space="0" w:color="auto"/>
        <w:right w:val="none" w:sz="0" w:space="0" w:color="auto"/>
      </w:divBdr>
    </w:div>
    <w:div w:id="116920213">
      <w:bodyDiv w:val="1"/>
      <w:marLeft w:val="0"/>
      <w:marRight w:val="0"/>
      <w:marTop w:val="0"/>
      <w:marBottom w:val="0"/>
      <w:divBdr>
        <w:top w:val="none" w:sz="0" w:space="0" w:color="auto"/>
        <w:left w:val="none" w:sz="0" w:space="0" w:color="auto"/>
        <w:bottom w:val="none" w:sz="0" w:space="0" w:color="auto"/>
        <w:right w:val="none" w:sz="0" w:space="0" w:color="auto"/>
      </w:divBdr>
    </w:div>
    <w:div w:id="378169523">
      <w:bodyDiv w:val="1"/>
      <w:marLeft w:val="0"/>
      <w:marRight w:val="0"/>
      <w:marTop w:val="0"/>
      <w:marBottom w:val="0"/>
      <w:divBdr>
        <w:top w:val="none" w:sz="0" w:space="0" w:color="auto"/>
        <w:left w:val="none" w:sz="0" w:space="0" w:color="auto"/>
        <w:bottom w:val="none" w:sz="0" w:space="0" w:color="auto"/>
        <w:right w:val="none" w:sz="0" w:space="0" w:color="auto"/>
      </w:divBdr>
    </w:div>
    <w:div w:id="402030214">
      <w:bodyDiv w:val="1"/>
      <w:marLeft w:val="0"/>
      <w:marRight w:val="0"/>
      <w:marTop w:val="0"/>
      <w:marBottom w:val="0"/>
      <w:divBdr>
        <w:top w:val="none" w:sz="0" w:space="0" w:color="auto"/>
        <w:left w:val="none" w:sz="0" w:space="0" w:color="auto"/>
        <w:bottom w:val="none" w:sz="0" w:space="0" w:color="auto"/>
        <w:right w:val="none" w:sz="0" w:space="0" w:color="auto"/>
      </w:divBdr>
    </w:div>
    <w:div w:id="510267069">
      <w:bodyDiv w:val="1"/>
      <w:marLeft w:val="0"/>
      <w:marRight w:val="0"/>
      <w:marTop w:val="0"/>
      <w:marBottom w:val="0"/>
      <w:divBdr>
        <w:top w:val="none" w:sz="0" w:space="0" w:color="auto"/>
        <w:left w:val="none" w:sz="0" w:space="0" w:color="auto"/>
        <w:bottom w:val="none" w:sz="0" w:space="0" w:color="auto"/>
        <w:right w:val="none" w:sz="0" w:space="0" w:color="auto"/>
      </w:divBdr>
    </w:div>
    <w:div w:id="557087695">
      <w:bodyDiv w:val="1"/>
      <w:marLeft w:val="0"/>
      <w:marRight w:val="0"/>
      <w:marTop w:val="0"/>
      <w:marBottom w:val="0"/>
      <w:divBdr>
        <w:top w:val="none" w:sz="0" w:space="0" w:color="auto"/>
        <w:left w:val="none" w:sz="0" w:space="0" w:color="auto"/>
        <w:bottom w:val="none" w:sz="0" w:space="0" w:color="auto"/>
        <w:right w:val="none" w:sz="0" w:space="0" w:color="auto"/>
      </w:divBdr>
    </w:div>
    <w:div w:id="688532201">
      <w:bodyDiv w:val="1"/>
      <w:marLeft w:val="0"/>
      <w:marRight w:val="0"/>
      <w:marTop w:val="0"/>
      <w:marBottom w:val="0"/>
      <w:divBdr>
        <w:top w:val="none" w:sz="0" w:space="0" w:color="auto"/>
        <w:left w:val="none" w:sz="0" w:space="0" w:color="auto"/>
        <w:bottom w:val="none" w:sz="0" w:space="0" w:color="auto"/>
        <w:right w:val="none" w:sz="0" w:space="0" w:color="auto"/>
      </w:divBdr>
    </w:div>
    <w:div w:id="1023242140">
      <w:bodyDiv w:val="1"/>
      <w:marLeft w:val="0"/>
      <w:marRight w:val="0"/>
      <w:marTop w:val="0"/>
      <w:marBottom w:val="0"/>
      <w:divBdr>
        <w:top w:val="none" w:sz="0" w:space="0" w:color="auto"/>
        <w:left w:val="none" w:sz="0" w:space="0" w:color="auto"/>
        <w:bottom w:val="none" w:sz="0" w:space="0" w:color="auto"/>
        <w:right w:val="none" w:sz="0" w:space="0" w:color="auto"/>
      </w:divBdr>
    </w:div>
    <w:div w:id="1258444929">
      <w:bodyDiv w:val="1"/>
      <w:marLeft w:val="0"/>
      <w:marRight w:val="0"/>
      <w:marTop w:val="0"/>
      <w:marBottom w:val="0"/>
      <w:divBdr>
        <w:top w:val="none" w:sz="0" w:space="0" w:color="auto"/>
        <w:left w:val="none" w:sz="0" w:space="0" w:color="auto"/>
        <w:bottom w:val="none" w:sz="0" w:space="0" w:color="auto"/>
        <w:right w:val="none" w:sz="0" w:space="0" w:color="auto"/>
      </w:divBdr>
    </w:div>
    <w:div w:id="1511987132">
      <w:bodyDiv w:val="1"/>
      <w:marLeft w:val="0"/>
      <w:marRight w:val="0"/>
      <w:marTop w:val="0"/>
      <w:marBottom w:val="0"/>
      <w:divBdr>
        <w:top w:val="none" w:sz="0" w:space="0" w:color="auto"/>
        <w:left w:val="none" w:sz="0" w:space="0" w:color="auto"/>
        <w:bottom w:val="none" w:sz="0" w:space="0" w:color="auto"/>
        <w:right w:val="none" w:sz="0" w:space="0" w:color="auto"/>
      </w:divBdr>
    </w:div>
    <w:div w:id="1559246317">
      <w:bodyDiv w:val="1"/>
      <w:marLeft w:val="0"/>
      <w:marRight w:val="0"/>
      <w:marTop w:val="0"/>
      <w:marBottom w:val="0"/>
      <w:divBdr>
        <w:top w:val="none" w:sz="0" w:space="0" w:color="auto"/>
        <w:left w:val="none" w:sz="0" w:space="0" w:color="auto"/>
        <w:bottom w:val="none" w:sz="0" w:space="0" w:color="auto"/>
        <w:right w:val="none" w:sz="0" w:space="0" w:color="auto"/>
      </w:divBdr>
    </w:div>
    <w:div w:id="1689982625">
      <w:bodyDiv w:val="1"/>
      <w:marLeft w:val="0"/>
      <w:marRight w:val="0"/>
      <w:marTop w:val="0"/>
      <w:marBottom w:val="0"/>
      <w:divBdr>
        <w:top w:val="none" w:sz="0" w:space="0" w:color="auto"/>
        <w:left w:val="none" w:sz="0" w:space="0" w:color="auto"/>
        <w:bottom w:val="none" w:sz="0" w:space="0" w:color="auto"/>
        <w:right w:val="none" w:sz="0" w:space="0" w:color="auto"/>
      </w:divBdr>
    </w:div>
    <w:div w:id="1776095209">
      <w:bodyDiv w:val="1"/>
      <w:marLeft w:val="0"/>
      <w:marRight w:val="0"/>
      <w:marTop w:val="0"/>
      <w:marBottom w:val="0"/>
      <w:divBdr>
        <w:top w:val="none" w:sz="0" w:space="0" w:color="auto"/>
        <w:left w:val="none" w:sz="0" w:space="0" w:color="auto"/>
        <w:bottom w:val="none" w:sz="0" w:space="0" w:color="auto"/>
        <w:right w:val="none" w:sz="0" w:space="0" w:color="auto"/>
      </w:divBdr>
    </w:div>
    <w:div w:id="2032880099">
      <w:bodyDiv w:val="1"/>
      <w:marLeft w:val="0"/>
      <w:marRight w:val="0"/>
      <w:marTop w:val="0"/>
      <w:marBottom w:val="0"/>
      <w:divBdr>
        <w:top w:val="none" w:sz="0" w:space="0" w:color="auto"/>
        <w:left w:val="none" w:sz="0" w:space="0" w:color="auto"/>
        <w:bottom w:val="none" w:sz="0" w:space="0" w:color="auto"/>
        <w:right w:val="none" w:sz="0" w:space="0" w:color="auto"/>
      </w:divBdr>
    </w:div>
    <w:div w:id="204991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athwesttd.health.wa.gov.au/testdirectory/testdetail.aspx?TestID=61" TargetMode="External"/><Relationship Id="rId18" Type="http://schemas.openxmlformats.org/officeDocument/2006/relationships/hyperlink" Target="https://www.clinpath.com.au/patients/patient-resources/testing-information/chromogranin-a/"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adelaidephn.com.au/news-events/announcements/chromogranin-a-testing" TargetMode="External"/><Relationship Id="rId17" Type="http://schemas.openxmlformats.org/officeDocument/2006/relationships/hyperlink" Target="https://www.thermh.org.au/health-professionals/pathology-handbook/chromogranin-a"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rch.org.au/specimen-collection/Chromogranin_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austinpathology.org.au/test-directory/995" TargetMode="External"/><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app.magicapp.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sydpath.com.au/wp-content/uploads/2024/01/SydPath-Non-Medicare-Rebatable-Test-List.pdf"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ancer.org.au/health-professionals/clinical-practice-guidelines/neuroendocrine-neoplasms-ne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C0ADB-7CCF-4BC9-8F3A-D8E39C8F0463}">
  <ds:schemaRefs>
    <ds:schemaRef ds:uri="http://schemas.openxmlformats.org/officeDocument/2006/bibliography"/>
  </ds:schemaRefs>
</ds:datastoreItem>
</file>

<file path=docMetadata/LabelInfo.xml><?xml version="1.0" encoding="utf-8"?>
<clbl:labelList xmlns:clbl="http://schemas.microsoft.com/office/2020/mipLabelMetadata">
  <clbl:label id="{0507654c-1543-47e1-81c5-300c2627be14}" enabled="1" method="Standar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26</Pages>
  <Words>14027</Words>
  <Characters>84866</Characters>
  <Application>Microsoft Office Word</Application>
  <DocSecurity>0</DocSecurity>
  <Lines>1414</Lines>
  <Paragraphs>672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2026-10-06T03:08:00Z</dcterms:created>
  <dcterms:modified xsi:type="dcterms:W3CDTF">2026-10-06T06:08:00Z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2da110a9,8d59be4,2bf775ae</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2ba3c9f1,2856aba3,4b2ae6d4</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2026-10-06T03:09:40Z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1af6cba8-e373-42ef-aec9-2dd2c72273bc</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