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E6B6C" w14:textId="38CC7182" w:rsidR="006478E7" w:rsidRPr="00490FBB" w:rsidRDefault="006478E7" w:rsidP="001C4F81">
      <w:pPr>
        <w:spacing w:before="120" w:after="120" w:line="312" w:lineRule="auto"/>
        <w:jc w:val="right"/>
      </w:pPr>
    </w:p>
    <w:p w14:paraId="50B6D781" w14:textId="47D93650" w:rsidR="006478E7" w:rsidRPr="00490FBB" w:rsidRDefault="00BB0FFB" w:rsidP="00BB0FFB">
      <w:pPr>
        <w:pStyle w:val="Heading10"/>
        <w:spacing w:before="2880"/>
        <w:jc w:val="center"/>
        <w:rPr>
          <w:sz w:val="48"/>
          <w:szCs w:val="48"/>
        </w:rPr>
      </w:pPr>
      <w:r>
        <w:rPr>
          <w:sz w:val="48"/>
          <w:szCs w:val="48"/>
        </w:rPr>
        <w:t xml:space="preserve">MSAC </w:t>
      </w:r>
      <w:r w:rsidR="006478E7" w:rsidRPr="00490FBB">
        <w:rPr>
          <w:sz w:val="48"/>
          <w:szCs w:val="48"/>
        </w:rPr>
        <w:t xml:space="preserve">Application </w:t>
      </w:r>
      <w:r w:rsidR="0013137F">
        <w:rPr>
          <w:sz w:val="48"/>
          <w:szCs w:val="48"/>
        </w:rPr>
        <w:t>1822</w:t>
      </w:r>
    </w:p>
    <w:p w14:paraId="11765312" w14:textId="4569297B" w:rsidR="006478E7" w:rsidRPr="00C42875" w:rsidRDefault="00696557" w:rsidP="006478E7">
      <w:pPr>
        <w:pStyle w:val="Heading10"/>
        <w:jc w:val="center"/>
        <w:rPr>
          <w:color w:val="002060"/>
          <w:sz w:val="48"/>
          <w:szCs w:val="48"/>
        </w:rPr>
      </w:pPr>
      <w:r w:rsidRPr="00696557">
        <w:rPr>
          <w:color w:val="002060"/>
          <w:sz w:val="48"/>
          <w:szCs w:val="48"/>
        </w:rPr>
        <w:t>F-18 Fluorodeoxyglucose (FDG) positron emission tomography (PET) for evaluation of complex infection</w:t>
      </w:r>
    </w:p>
    <w:p w14:paraId="44FD303D" w14:textId="2B11C547" w:rsidR="00477EE1" w:rsidRPr="00C42875" w:rsidRDefault="00D47F16" w:rsidP="00477EE1">
      <w:pPr>
        <w:pStyle w:val="Heading10"/>
        <w:jc w:val="center"/>
        <w:rPr>
          <w:color w:val="002060"/>
          <w:sz w:val="40"/>
          <w:szCs w:val="40"/>
        </w:rPr>
      </w:pPr>
      <w:r w:rsidRPr="5B38E9A5">
        <w:rPr>
          <w:color w:val="002060"/>
          <w:sz w:val="40"/>
          <w:szCs w:val="40"/>
        </w:rPr>
        <w:t xml:space="preserve">Applicant: </w:t>
      </w:r>
      <w:r w:rsidR="0013137F" w:rsidRPr="5B38E9A5">
        <w:rPr>
          <w:color w:val="002060"/>
          <w:sz w:val="40"/>
          <w:szCs w:val="40"/>
        </w:rPr>
        <w:t>Queensland X-Ray Pty Ltd</w:t>
      </w:r>
    </w:p>
    <w:p w14:paraId="23900CA0" w14:textId="1B33621D" w:rsidR="006478E7" w:rsidRPr="00490FBB" w:rsidRDefault="006478E7" w:rsidP="00BB0FFB">
      <w:pPr>
        <w:pStyle w:val="Heading1"/>
      </w:pPr>
      <w:r w:rsidRPr="00490FBB">
        <w:t>PICO Confirmation</w:t>
      </w:r>
      <w:r w:rsidRPr="00490FBB">
        <w:br w:type="page"/>
      </w:r>
    </w:p>
    <w:p w14:paraId="219312C8" w14:textId="4F6D1915" w:rsidR="006478E7" w:rsidRPr="00D52956" w:rsidRDefault="006478E7" w:rsidP="00BB0FFB">
      <w:pPr>
        <w:pStyle w:val="Heading2"/>
      </w:pPr>
      <w:r w:rsidRPr="00D52956">
        <w:lastRenderedPageBreak/>
        <w:t xml:space="preserve">Summary of </w:t>
      </w:r>
      <w:r w:rsidR="00235B21">
        <w:t xml:space="preserve">PPICO criteria to define </w:t>
      </w:r>
      <w:r w:rsidRPr="00D52956">
        <w:t>questions to be addressed in an Assessment Report to the Medical Services Advisory Committee (MSAC)</w:t>
      </w:r>
    </w:p>
    <w:p w14:paraId="224459F3" w14:textId="0A6D06E2" w:rsidR="00D52956" w:rsidRDefault="00D52956" w:rsidP="00D52956">
      <w:pPr>
        <w:pStyle w:val="Caption"/>
      </w:pPr>
      <w:bookmarkStart w:id="0" w:name="_Ref69732160"/>
      <w:bookmarkStart w:id="1" w:name="_Ref69732155"/>
      <w:r>
        <w:t>Table</w:t>
      </w:r>
      <w:r w:rsidR="00FD4C65">
        <w:t> </w:t>
      </w:r>
      <w:r>
        <w:fldChar w:fldCharType="begin"/>
      </w:r>
      <w:r>
        <w:instrText xml:space="preserve"> SEQ Table \* ARABIC </w:instrText>
      </w:r>
      <w:r>
        <w:fldChar w:fldCharType="separate"/>
      </w:r>
      <w:r w:rsidR="003C210B">
        <w:rPr>
          <w:noProof/>
        </w:rPr>
        <w:t>1</w:t>
      </w:r>
      <w:r>
        <w:fldChar w:fldCharType="end"/>
      </w:r>
      <w:bookmarkEnd w:id="0"/>
      <w:r>
        <w:tab/>
        <w:t>P</w:t>
      </w:r>
      <w:r w:rsidR="00943688">
        <w:t>P</w:t>
      </w:r>
      <w:r>
        <w:t xml:space="preserve">ICO </w:t>
      </w:r>
      <w:r w:rsidRPr="009C7374">
        <w:t xml:space="preserve">for </w:t>
      </w:r>
      <w:r w:rsidR="00497BE6" w:rsidRPr="009C7374">
        <w:t xml:space="preserve">F-18 </w:t>
      </w:r>
      <w:r w:rsidR="00E974F8" w:rsidRPr="009C7374">
        <w:t>FDG</w:t>
      </w:r>
      <w:r w:rsidR="00AA4F21">
        <w:t xml:space="preserve"> </w:t>
      </w:r>
      <w:r w:rsidR="00E974F8" w:rsidRPr="009C7374">
        <w:t>PET</w:t>
      </w:r>
      <w:r>
        <w:t xml:space="preserve"> in </w:t>
      </w:r>
      <w:r w:rsidR="00EC0CFE">
        <w:t>patients with complex infection</w:t>
      </w:r>
      <w:r>
        <w:t>: PICO Set 1</w:t>
      </w:r>
      <w:bookmarkEnd w:id="1"/>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0A0" w:firstRow="1" w:lastRow="0" w:firstColumn="1" w:lastColumn="0" w:noHBand="0" w:noVBand="0"/>
        <w:tblCaption w:val="PPICO for F-18 FDG PET in patients with complex infection: PICO Set 1"/>
        <w:tblDescription w:val="This table presents the first PPICO for the assessment. "/>
      </w:tblPr>
      <w:tblGrid>
        <w:gridCol w:w="1923"/>
        <w:gridCol w:w="7643"/>
      </w:tblGrid>
      <w:tr w:rsidR="006478E7" w:rsidRPr="00490FBB" w14:paraId="2A509B30" w14:textId="77777777" w:rsidTr="55B5D1E8">
        <w:trPr>
          <w:trHeight w:val="372"/>
          <w:tblHeader/>
        </w:trPr>
        <w:tc>
          <w:tcPr>
            <w:tcW w:w="1005" w:type="pct"/>
            <w:tcBorders>
              <w:top w:val="single" w:sz="8" w:space="0" w:color="auto"/>
              <w:left w:val="single" w:sz="8" w:space="0" w:color="auto"/>
              <w:bottom w:val="single" w:sz="8" w:space="0" w:color="auto"/>
              <w:right w:val="single" w:sz="4" w:space="0" w:color="auto"/>
            </w:tcBorders>
            <w:shd w:val="clear" w:color="auto" w:fill="D9D9D9" w:themeFill="background1" w:themeFillShade="D9"/>
            <w:vAlign w:val="center"/>
            <w:hideMark/>
          </w:tcPr>
          <w:p w14:paraId="333B8A35" w14:textId="77777777" w:rsidR="006478E7" w:rsidRPr="00490FBB" w:rsidRDefault="006478E7" w:rsidP="00837F53">
            <w:pPr>
              <w:pStyle w:val="TableHeading"/>
            </w:pPr>
            <w:bookmarkStart w:id="2" w:name="Title_Table1" w:colFirst="0" w:colLast="0"/>
            <w:r w:rsidRPr="00490FBB">
              <w:t>Component</w:t>
            </w:r>
          </w:p>
        </w:tc>
        <w:tc>
          <w:tcPr>
            <w:tcW w:w="399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31DF4F" w14:textId="77777777" w:rsidR="006478E7" w:rsidRPr="00490FBB" w:rsidRDefault="006478E7" w:rsidP="00837F53">
            <w:pPr>
              <w:pStyle w:val="TableHeading"/>
            </w:pPr>
            <w:r w:rsidRPr="00490FBB">
              <w:t>Description</w:t>
            </w:r>
          </w:p>
        </w:tc>
      </w:tr>
      <w:bookmarkEnd w:id="2"/>
      <w:tr w:rsidR="006478E7" w:rsidRPr="00490FBB" w14:paraId="78E0BB65" w14:textId="77777777" w:rsidTr="55B5D1E8">
        <w:tc>
          <w:tcPr>
            <w:tcW w:w="1005" w:type="pct"/>
            <w:tcBorders>
              <w:top w:val="single" w:sz="8" w:space="0" w:color="auto"/>
              <w:left w:val="single" w:sz="8" w:space="0" w:color="auto"/>
              <w:bottom w:val="single" w:sz="4" w:space="0" w:color="auto"/>
              <w:right w:val="single" w:sz="4" w:space="0" w:color="auto"/>
            </w:tcBorders>
            <w:hideMark/>
          </w:tcPr>
          <w:p w14:paraId="715E50D5" w14:textId="74EB4863" w:rsidR="006478E7" w:rsidRPr="00D6625D" w:rsidRDefault="00F660E8" w:rsidP="00837F53">
            <w:pPr>
              <w:pStyle w:val="TableText0"/>
              <w:rPr>
                <w:b/>
                <w:bCs/>
              </w:rPr>
            </w:pPr>
            <w:r w:rsidRPr="00D6625D">
              <w:rPr>
                <w:b/>
                <w:bCs/>
              </w:rPr>
              <w:t>Population</w:t>
            </w:r>
          </w:p>
        </w:tc>
        <w:tc>
          <w:tcPr>
            <w:tcW w:w="3995" w:type="pct"/>
            <w:tcBorders>
              <w:top w:val="single" w:sz="4" w:space="0" w:color="auto"/>
              <w:left w:val="single" w:sz="4" w:space="0" w:color="auto"/>
              <w:bottom w:val="single" w:sz="4" w:space="0" w:color="auto"/>
              <w:right w:val="single" w:sz="4" w:space="0" w:color="auto"/>
            </w:tcBorders>
            <w:hideMark/>
          </w:tcPr>
          <w:p w14:paraId="138F96F4" w14:textId="15F4ECFD" w:rsidR="006478E7" w:rsidRDefault="00882BD1" w:rsidP="00837F53">
            <w:pPr>
              <w:pStyle w:val="TableText0"/>
            </w:pPr>
            <w:r>
              <w:t xml:space="preserve">Patients with </w:t>
            </w:r>
            <w:r w:rsidR="00AD564E">
              <w:t xml:space="preserve">suspected </w:t>
            </w:r>
            <w:r w:rsidR="00A872F4">
              <w:t>deep-seated or complex infection</w:t>
            </w:r>
            <w:r w:rsidR="000F6D77">
              <w:t>, in whom standard initial clinical evaluation</w:t>
            </w:r>
            <w:r w:rsidR="003E5A73">
              <w:t xml:space="preserve"> </w:t>
            </w:r>
            <w:r w:rsidR="005F24DA">
              <w:t xml:space="preserve">consisting of </w:t>
            </w:r>
            <w:r w:rsidR="003E5A73">
              <w:t>clinical history, physical examination, laboratory tests</w:t>
            </w:r>
            <w:r w:rsidR="00D2396B">
              <w:t xml:space="preserve"> and targeted imaging</w:t>
            </w:r>
            <w:r w:rsidR="005F24DA">
              <w:t xml:space="preserve"> </w:t>
            </w:r>
            <w:r w:rsidR="000F6D77">
              <w:t>has not provided a definitive diagnosis</w:t>
            </w:r>
            <w:r w:rsidR="003F01B9">
              <w:t>.</w:t>
            </w:r>
            <w:r w:rsidR="00E11DA7">
              <w:t xml:space="preserve"> </w:t>
            </w:r>
            <w:r w:rsidR="006505A1">
              <w:t>Subgroups to be c</w:t>
            </w:r>
            <w:r w:rsidR="004229AD">
              <w:t>onsidered</w:t>
            </w:r>
            <w:r w:rsidR="00DF1EA2">
              <w:t xml:space="preserve"> include</w:t>
            </w:r>
            <w:r w:rsidR="00A64805">
              <w:t>:</w:t>
            </w:r>
          </w:p>
          <w:p w14:paraId="05D2058C" w14:textId="150F0215" w:rsidR="00A64805" w:rsidRDefault="00DF1EA2" w:rsidP="00CA0DA3">
            <w:pPr>
              <w:pStyle w:val="TableText0"/>
              <w:numPr>
                <w:ilvl w:val="0"/>
                <w:numId w:val="4"/>
              </w:numPr>
            </w:pPr>
            <w:r>
              <w:t>s</w:t>
            </w:r>
            <w:r w:rsidR="00A64805">
              <w:t>pinal infections (</w:t>
            </w:r>
            <w:r w:rsidR="00F36440">
              <w:t xml:space="preserve">e.g. </w:t>
            </w:r>
            <w:r w:rsidR="00A64805">
              <w:t xml:space="preserve">vertebral osteomyelitis, </w:t>
            </w:r>
            <w:r w:rsidR="00597F3D">
              <w:t>discitis,</w:t>
            </w:r>
            <w:r w:rsidR="00A64805">
              <w:t xml:space="preserve"> or epidural abscess)  </w:t>
            </w:r>
          </w:p>
          <w:p w14:paraId="0503FE60" w14:textId="7112060E" w:rsidR="00A64805" w:rsidRDefault="00DF1EA2" w:rsidP="00CA0DA3">
            <w:pPr>
              <w:pStyle w:val="TableText0"/>
              <w:numPr>
                <w:ilvl w:val="0"/>
                <w:numId w:val="4"/>
              </w:numPr>
            </w:pPr>
            <w:r>
              <w:t>o</w:t>
            </w:r>
            <w:r w:rsidR="00A64805">
              <w:t>steomyelitis in cases of a known soft tissue infection (including diabetic foot ulcers), fracture</w:t>
            </w:r>
            <w:r w:rsidR="004F59D6">
              <w:t>-</w:t>
            </w:r>
            <w:r w:rsidR="00A64805">
              <w:t xml:space="preserve">related osteomyelitis, and </w:t>
            </w:r>
            <w:r w:rsidR="008E062B">
              <w:t xml:space="preserve">potential </w:t>
            </w:r>
            <w:r w:rsidR="00A64805">
              <w:t xml:space="preserve">dissemination of infection to other skeletal sites or organs  </w:t>
            </w:r>
          </w:p>
          <w:p w14:paraId="10197959" w14:textId="53362BB1" w:rsidR="00A64805" w:rsidRDefault="00DF1EA2" w:rsidP="00CA0DA3">
            <w:pPr>
              <w:pStyle w:val="TableText0"/>
              <w:numPr>
                <w:ilvl w:val="0"/>
                <w:numId w:val="4"/>
              </w:numPr>
            </w:pPr>
            <w:r>
              <w:t>b</w:t>
            </w:r>
            <w:r w:rsidR="00A64805">
              <w:t xml:space="preserve">one and joint infections in children  </w:t>
            </w:r>
          </w:p>
          <w:p w14:paraId="0874B216" w14:textId="7DFA1F48" w:rsidR="00A64805" w:rsidRDefault="00DF1EA2" w:rsidP="00CA0DA3">
            <w:pPr>
              <w:pStyle w:val="TableText0"/>
              <w:numPr>
                <w:ilvl w:val="0"/>
                <w:numId w:val="4"/>
              </w:numPr>
            </w:pPr>
            <w:r>
              <w:t>p</w:t>
            </w:r>
            <w:r w:rsidR="00A64805">
              <w:t xml:space="preserve">rosthetic joint infection or other orthopaedic hardware infection, if more than 2 years post-surgery  </w:t>
            </w:r>
          </w:p>
          <w:p w14:paraId="5F4FA62D" w14:textId="7036C600" w:rsidR="00A64805" w:rsidRDefault="00DF1EA2" w:rsidP="00CA0DA3">
            <w:pPr>
              <w:pStyle w:val="TableText0"/>
              <w:numPr>
                <w:ilvl w:val="0"/>
                <w:numId w:val="4"/>
              </w:numPr>
            </w:pPr>
            <w:r>
              <w:t>i</w:t>
            </w:r>
            <w:r w:rsidR="00A64805">
              <w:t xml:space="preserve">nfective endocarditis, including following congenital heart disease, or due to prosthetic valve infection, cardiac implantable electronic device </w:t>
            </w:r>
            <w:r w:rsidR="00D7135A">
              <w:t xml:space="preserve">(CIED) </w:t>
            </w:r>
            <w:r w:rsidR="00A64805">
              <w:t>infection</w:t>
            </w:r>
            <w:r w:rsidR="00267615">
              <w:t xml:space="preserve"> or</w:t>
            </w:r>
            <w:r w:rsidR="00A64805">
              <w:t xml:space="preserve"> septic emboli   </w:t>
            </w:r>
          </w:p>
          <w:p w14:paraId="0DA701FD" w14:textId="41BC6085" w:rsidR="00A64805" w:rsidRDefault="00DF1EA2" w:rsidP="00CA0DA3">
            <w:pPr>
              <w:pStyle w:val="TableText0"/>
              <w:numPr>
                <w:ilvl w:val="0"/>
                <w:numId w:val="4"/>
              </w:numPr>
            </w:pPr>
            <w:r>
              <w:t>e</w:t>
            </w:r>
            <w:r w:rsidR="00A64805">
              <w:t xml:space="preserve">xtrapulmonary non-tuberculous mycobacterial (EPNTM) infection  </w:t>
            </w:r>
          </w:p>
          <w:p w14:paraId="0743AA4B" w14:textId="0D705C39" w:rsidR="00A64805" w:rsidRDefault="003A6C5F" w:rsidP="00CA0DA3">
            <w:pPr>
              <w:pStyle w:val="TableText0"/>
              <w:numPr>
                <w:ilvl w:val="0"/>
                <w:numId w:val="4"/>
              </w:numPr>
            </w:pPr>
            <w:r>
              <w:t>s</w:t>
            </w:r>
            <w:r w:rsidR="00896E13">
              <w:t xml:space="preserve">uspected metastatic infection secondary to </w:t>
            </w:r>
            <w:r w:rsidR="00DF1EA2">
              <w:t>b</w:t>
            </w:r>
            <w:r w:rsidR="00A64805">
              <w:t xml:space="preserve">acteraemia (for example </w:t>
            </w:r>
            <w:r w:rsidR="00A64805" w:rsidRPr="00912102">
              <w:rPr>
                <w:i/>
                <w:iCs/>
              </w:rPr>
              <w:t>Staphylococcus aureus</w:t>
            </w:r>
            <w:r w:rsidR="00A64805">
              <w:t xml:space="preserve"> or other pathogens with a high risk of metastatic infection) </w:t>
            </w:r>
          </w:p>
          <w:p w14:paraId="4A4FF7C2" w14:textId="5CA7A9D5" w:rsidR="00A2320F" w:rsidRPr="00D52956" w:rsidRDefault="00A2320F" w:rsidP="003F01B9">
            <w:pPr>
              <w:pStyle w:val="TableText0"/>
              <w:ind w:left="720"/>
            </w:pPr>
          </w:p>
        </w:tc>
      </w:tr>
      <w:tr w:rsidR="006478E7" w:rsidRPr="00490FBB" w14:paraId="2A9CC9A6" w14:textId="77777777" w:rsidTr="55B5D1E8">
        <w:tc>
          <w:tcPr>
            <w:tcW w:w="1005" w:type="pct"/>
            <w:tcBorders>
              <w:top w:val="single" w:sz="8" w:space="0" w:color="auto"/>
              <w:left w:val="single" w:sz="8" w:space="0" w:color="auto"/>
              <w:bottom w:val="single" w:sz="4" w:space="0" w:color="auto"/>
              <w:right w:val="single" w:sz="4" w:space="0" w:color="auto"/>
            </w:tcBorders>
            <w:hideMark/>
          </w:tcPr>
          <w:p w14:paraId="75E49351" w14:textId="2DC2CD99" w:rsidR="006478E7" w:rsidRPr="00D6625D" w:rsidRDefault="006478E7" w:rsidP="00837F53">
            <w:pPr>
              <w:pStyle w:val="TableText0"/>
              <w:rPr>
                <w:b/>
                <w:bCs/>
              </w:rPr>
            </w:pPr>
            <w:r w:rsidRPr="00D6625D">
              <w:rPr>
                <w:b/>
                <w:bCs/>
              </w:rPr>
              <w:t>Prior tests</w:t>
            </w:r>
            <w:r w:rsidR="00C54349" w:rsidRPr="00D6625D">
              <w:rPr>
                <w:b/>
                <w:bCs/>
              </w:rPr>
              <w:t xml:space="preserve"> </w:t>
            </w:r>
          </w:p>
        </w:tc>
        <w:tc>
          <w:tcPr>
            <w:tcW w:w="3995" w:type="pct"/>
            <w:tcBorders>
              <w:top w:val="single" w:sz="4" w:space="0" w:color="auto"/>
              <w:left w:val="single" w:sz="4" w:space="0" w:color="auto"/>
              <w:bottom w:val="single" w:sz="4" w:space="0" w:color="auto"/>
              <w:right w:val="single" w:sz="4" w:space="0" w:color="auto"/>
            </w:tcBorders>
            <w:hideMark/>
          </w:tcPr>
          <w:p w14:paraId="0D127CAD" w14:textId="794F567F" w:rsidR="006478E7" w:rsidRDefault="004443FF" w:rsidP="00837F53">
            <w:pPr>
              <w:pStyle w:val="TableText0"/>
            </w:pPr>
            <w:r>
              <w:t xml:space="preserve">Vary by subgroup but </w:t>
            </w:r>
            <w:r w:rsidR="007D71CD">
              <w:t>may</w:t>
            </w:r>
            <w:r>
              <w:t xml:space="preserve"> include:</w:t>
            </w:r>
          </w:p>
          <w:p w14:paraId="6906CBCE" w14:textId="3FDBEE9D" w:rsidR="004443FF" w:rsidRDefault="00DF1EA2" w:rsidP="00CA0DA3">
            <w:pPr>
              <w:pStyle w:val="TableText0"/>
              <w:numPr>
                <w:ilvl w:val="0"/>
                <w:numId w:val="5"/>
              </w:numPr>
            </w:pPr>
            <w:r>
              <w:t>l</w:t>
            </w:r>
            <w:r w:rsidR="004443FF">
              <w:t>aboratory tests (</w:t>
            </w:r>
            <w:r w:rsidR="00C72B25">
              <w:t xml:space="preserve">e.g. </w:t>
            </w:r>
            <w:r w:rsidR="00574CED">
              <w:t xml:space="preserve">full blood </w:t>
            </w:r>
            <w:r w:rsidR="008D273F">
              <w:t>count</w:t>
            </w:r>
            <w:r w:rsidR="00574CED">
              <w:t xml:space="preserve"> (FBC)</w:t>
            </w:r>
            <w:r w:rsidR="008D273F">
              <w:t>, C-reactive protein</w:t>
            </w:r>
            <w:r w:rsidR="00024CE8">
              <w:t xml:space="preserve"> (CRP)</w:t>
            </w:r>
            <w:r w:rsidR="008D273F">
              <w:t>, erythrocyte sedimentation rate</w:t>
            </w:r>
            <w:r w:rsidR="00024CE8">
              <w:t xml:space="preserve"> (ESR),</w:t>
            </w:r>
            <w:r w:rsidR="003F5DA8">
              <w:t xml:space="preserve"> </w:t>
            </w:r>
            <w:r w:rsidR="00AB3C41">
              <w:t>e</w:t>
            </w:r>
            <w:r w:rsidR="003F5DA8">
              <w:t xml:space="preserve">lectrolytes, </w:t>
            </w:r>
            <w:r w:rsidR="00AB3C41">
              <w:t>u</w:t>
            </w:r>
            <w:r w:rsidR="003F5DA8">
              <w:t xml:space="preserve">rea, and </w:t>
            </w:r>
            <w:r w:rsidR="00AB3C41">
              <w:t>c</w:t>
            </w:r>
            <w:r w:rsidR="003F5DA8">
              <w:t xml:space="preserve">reatinine (EUC), </w:t>
            </w:r>
            <w:r w:rsidR="00023F4A">
              <w:t>liver function test (LFT))</w:t>
            </w:r>
          </w:p>
          <w:p w14:paraId="1F5E20E0" w14:textId="64337E0F" w:rsidR="00BB087A" w:rsidRDefault="00F3410F" w:rsidP="00CA0DA3">
            <w:pPr>
              <w:pStyle w:val="TableText0"/>
              <w:numPr>
                <w:ilvl w:val="0"/>
                <w:numId w:val="5"/>
              </w:numPr>
            </w:pPr>
            <w:r>
              <w:t xml:space="preserve">microscopy, </w:t>
            </w:r>
            <w:r w:rsidR="00DF1EA2">
              <w:t>c</w:t>
            </w:r>
            <w:r w:rsidR="00FE0603">
              <w:t>ulture</w:t>
            </w:r>
            <w:r w:rsidR="000B5D30">
              <w:t xml:space="preserve"> </w:t>
            </w:r>
            <w:r>
              <w:t>and sensitivity</w:t>
            </w:r>
            <w:r w:rsidR="000B5D30">
              <w:t xml:space="preserve"> </w:t>
            </w:r>
            <w:r w:rsidR="00DE6742">
              <w:t xml:space="preserve">of </w:t>
            </w:r>
            <w:r w:rsidR="000B5D30">
              <w:t>blood or other</w:t>
            </w:r>
            <w:r w:rsidR="00AC1E3B">
              <w:t xml:space="preserve"> </w:t>
            </w:r>
            <w:r w:rsidR="00D612DA">
              <w:t>body flu</w:t>
            </w:r>
            <w:r w:rsidR="00DE6742">
              <w:t>i</w:t>
            </w:r>
            <w:r w:rsidR="00D612DA">
              <w:t>d or tissue</w:t>
            </w:r>
          </w:p>
          <w:p w14:paraId="2E97E902" w14:textId="6210F0C8" w:rsidR="00A51BFB" w:rsidRDefault="007D71CD" w:rsidP="00CA0DA3">
            <w:pPr>
              <w:pStyle w:val="TableText0"/>
              <w:numPr>
                <w:ilvl w:val="0"/>
                <w:numId w:val="5"/>
              </w:numPr>
            </w:pPr>
            <w:r>
              <w:t>biopsy/histology</w:t>
            </w:r>
          </w:p>
          <w:p w14:paraId="31234D68" w14:textId="6BC4E431" w:rsidR="00EA1FE4" w:rsidRDefault="00A74AAF" w:rsidP="00CA0DA3">
            <w:pPr>
              <w:pStyle w:val="TableText0"/>
              <w:numPr>
                <w:ilvl w:val="0"/>
                <w:numId w:val="5"/>
              </w:numPr>
            </w:pPr>
            <w:r>
              <w:t>e</w:t>
            </w:r>
            <w:r w:rsidR="009F436B">
              <w:t>lectrocardiogram (</w:t>
            </w:r>
            <w:r w:rsidR="00EA1FE4">
              <w:t>ECG</w:t>
            </w:r>
            <w:r w:rsidR="009F436B">
              <w:t>)</w:t>
            </w:r>
            <w:r w:rsidR="00EA1FE4">
              <w:t xml:space="preserve"> where endoc</w:t>
            </w:r>
            <w:r w:rsidR="00BB11D7">
              <w:t>arditis is a possibility</w:t>
            </w:r>
          </w:p>
          <w:p w14:paraId="15DC60E5" w14:textId="46BCED44" w:rsidR="00BB11D7" w:rsidRDefault="00A74AAF" w:rsidP="00CA0DA3">
            <w:pPr>
              <w:pStyle w:val="TableText0"/>
              <w:numPr>
                <w:ilvl w:val="0"/>
                <w:numId w:val="5"/>
              </w:numPr>
            </w:pPr>
            <w:r>
              <w:t>t</w:t>
            </w:r>
            <w:r w:rsidR="007D5CF3">
              <w:t>argeted i</w:t>
            </w:r>
            <w:r w:rsidR="00BB11D7">
              <w:t>maging (</w:t>
            </w:r>
            <w:r w:rsidR="008A5DE3">
              <w:t>X</w:t>
            </w:r>
            <w:r w:rsidR="00BB11D7">
              <w:t xml:space="preserve">-ray, </w:t>
            </w:r>
            <w:r w:rsidR="00A86431">
              <w:t>magnetic</w:t>
            </w:r>
            <w:r w:rsidR="007D5CF3">
              <w:t xml:space="preserve"> resonance imaging (</w:t>
            </w:r>
            <w:r w:rsidR="00C67854">
              <w:t>MRI</w:t>
            </w:r>
            <w:r w:rsidR="007D5CF3">
              <w:t>)</w:t>
            </w:r>
            <w:r w:rsidR="00C67854">
              <w:t>,</w:t>
            </w:r>
            <w:r w:rsidR="007D5CF3">
              <w:t xml:space="preserve"> computed tomography (</w:t>
            </w:r>
            <w:r w:rsidR="00C67854">
              <w:t>CT</w:t>
            </w:r>
            <w:r w:rsidR="007D5CF3">
              <w:t>)</w:t>
            </w:r>
            <w:r w:rsidR="00243264">
              <w:t>, ultrasound</w:t>
            </w:r>
            <w:r w:rsidR="00C67854">
              <w:t>)</w:t>
            </w:r>
          </w:p>
          <w:p w14:paraId="5CF47E43" w14:textId="43FC8C12" w:rsidR="009F436B" w:rsidRPr="00D52956" w:rsidRDefault="00A74AAF" w:rsidP="00CA0DA3">
            <w:pPr>
              <w:pStyle w:val="TableText0"/>
              <w:numPr>
                <w:ilvl w:val="0"/>
                <w:numId w:val="5"/>
              </w:numPr>
            </w:pPr>
            <w:r>
              <w:t>n</w:t>
            </w:r>
            <w:r w:rsidR="007D5CF3">
              <w:t>uclear imaging (</w:t>
            </w:r>
            <w:r w:rsidR="00EB2BFE">
              <w:t xml:space="preserve">bone scan, labelled </w:t>
            </w:r>
            <w:r w:rsidR="00F302B0">
              <w:t xml:space="preserve">white </w:t>
            </w:r>
            <w:r w:rsidR="00BF3F2A">
              <w:t xml:space="preserve">blood </w:t>
            </w:r>
            <w:r w:rsidR="00F302B0">
              <w:t>cell</w:t>
            </w:r>
            <w:r w:rsidR="00BF3F2A">
              <w:t xml:space="preserve"> (WBC)</w:t>
            </w:r>
            <w:r w:rsidR="00EB2BFE">
              <w:t xml:space="preserve"> scan</w:t>
            </w:r>
            <w:r w:rsidR="00A86431">
              <w:t>)</w:t>
            </w:r>
          </w:p>
        </w:tc>
      </w:tr>
      <w:tr w:rsidR="006478E7" w:rsidRPr="00490FBB" w14:paraId="654E13A9" w14:textId="77777777" w:rsidTr="55B5D1E8">
        <w:tc>
          <w:tcPr>
            <w:tcW w:w="1005" w:type="pct"/>
            <w:tcBorders>
              <w:top w:val="single" w:sz="4" w:space="0" w:color="auto"/>
              <w:left w:val="single" w:sz="8" w:space="0" w:color="auto"/>
              <w:bottom w:val="single" w:sz="4" w:space="0" w:color="auto"/>
              <w:right w:val="single" w:sz="4" w:space="0" w:color="auto"/>
            </w:tcBorders>
            <w:hideMark/>
          </w:tcPr>
          <w:p w14:paraId="5BF0C211" w14:textId="77777777" w:rsidR="006478E7" w:rsidRPr="00D6625D" w:rsidRDefault="006478E7" w:rsidP="00837F53">
            <w:pPr>
              <w:pStyle w:val="TableText0"/>
              <w:rPr>
                <w:b/>
                <w:bCs/>
              </w:rPr>
            </w:pPr>
            <w:r w:rsidRPr="00D6625D">
              <w:rPr>
                <w:b/>
                <w:bCs/>
              </w:rPr>
              <w:t>Intervention</w:t>
            </w:r>
          </w:p>
        </w:tc>
        <w:tc>
          <w:tcPr>
            <w:tcW w:w="3995" w:type="pct"/>
            <w:tcBorders>
              <w:top w:val="single" w:sz="4" w:space="0" w:color="auto"/>
              <w:left w:val="single" w:sz="4" w:space="0" w:color="auto"/>
              <w:bottom w:val="single" w:sz="4" w:space="0" w:color="auto"/>
              <w:right w:val="single" w:sz="4" w:space="0" w:color="auto"/>
            </w:tcBorders>
            <w:hideMark/>
          </w:tcPr>
          <w:p w14:paraId="3E51DB12" w14:textId="483BD50C" w:rsidR="006478E7" w:rsidRPr="00D52956" w:rsidRDefault="00CD2284" w:rsidP="00837F53">
            <w:pPr>
              <w:pStyle w:val="TableText0"/>
            </w:pPr>
            <w:r>
              <w:t>FDG</w:t>
            </w:r>
            <w:r w:rsidR="006E4607">
              <w:t xml:space="preserve"> </w:t>
            </w:r>
            <w:r>
              <w:t>PET</w:t>
            </w:r>
            <w:r w:rsidR="00A8496D">
              <w:t>/CT</w:t>
            </w:r>
          </w:p>
        </w:tc>
      </w:tr>
      <w:tr w:rsidR="006478E7" w:rsidRPr="00490FBB" w14:paraId="1F5647C3" w14:textId="77777777" w:rsidTr="55B5D1E8">
        <w:tc>
          <w:tcPr>
            <w:tcW w:w="1005" w:type="pct"/>
            <w:tcBorders>
              <w:top w:val="single" w:sz="4" w:space="0" w:color="auto"/>
              <w:left w:val="single" w:sz="8" w:space="0" w:color="auto"/>
              <w:bottom w:val="single" w:sz="4" w:space="0" w:color="auto"/>
              <w:right w:val="single" w:sz="4" w:space="0" w:color="auto"/>
            </w:tcBorders>
            <w:hideMark/>
          </w:tcPr>
          <w:p w14:paraId="7F55173A" w14:textId="77777777" w:rsidR="006478E7" w:rsidRPr="00D6625D" w:rsidRDefault="006478E7" w:rsidP="00837F53">
            <w:pPr>
              <w:pStyle w:val="TableText0"/>
              <w:rPr>
                <w:b/>
                <w:bCs/>
              </w:rPr>
            </w:pPr>
            <w:r w:rsidRPr="00D6625D">
              <w:rPr>
                <w:b/>
                <w:bCs/>
              </w:rPr>
              <w:t>Comparator</w:t>
            </w:r>
            <w:r w:rsidR="00D83062" w:rsidRPr="00D6625D">
              <w:rPr>
                <w:b/>
                <w:bCs/>
              </w:rPr>
              <w:t>/s</w:t>
            </w:r>
          </w:p>
        </w:tc>
        <w:tc>
          <w:tcPr>
            <w:tcW w:w="3995" w:type="pct"/>
            <w:tcBorders>
              <w:top w:val="single" w:sz="4" w:space="0" w:color="auto"/>
              <w:left w:val="single" w:sz="4" w:space="0" w:color="auto"/>
              <w:bottom w:val="single" w:sz="4" w:space="0" w:color="auto"/>
              <w:right w:val="single" w:sz="4" w:space="0" w:color="auto"/>
            </w:tcBorders>
            <w:hideMark/>
          </w:tcPr>
          <w:p w14:paraId="315C2FF4" w14:textId="2A34287D" w:rsidR="00142017" w:rsidRPr="00142017" w:rsidRDefault="00142017" w:rsidP="00587855">
            <w:pPr>
              <w:pStyle w:val="TableText0"/>
            </w:pPr>
            <w:r>
              <w:t>Either:</w:t>
            </w:r>
          </w:p>
          <w:p w14:paraId="3A8C17C2" w14:textId="3EF21F58" w:rsidR="00A13A71" w:rsidRPr="00587855" w:rsidRDefault="00142017" w:rsidP="00587855">
            <w:pPr>
              <w:pStyle w:val="TableText0"/>
              <w:numPr>
                <w:ilvl w:val="0"/>
                <w:numId w:val="6"/>
              </w:numPr>
            </w:pPr>
            <w:r>
              <w:t>r</w:t>
            </w:r>
            <w:r w:rsidR="00D2450D">
              <w:t xml:space="preserve">epeat </w:t>
            </w:r>
            <w:r w:rsidR="00C01563">
              <w:t>targeted imaging (MRI, CT)</w:t>
            </w:r>
            <w:r w:rsidR="00832E5B">
              <w:t>,</w:t>
            </w:r>
            <w:r w:rsidR="00A13A71">
              <w:t xml:space="preserve"> </w:t>
            </w:r>
            <w:r w:rsidR="27EAAAF4">
              <w:t>and/or</w:t>
            </w:r>
          </w:p>
          <w:p w14:paraId="20073B7E" w14:textId="00E03BB9" w:rsidR="00A13A71" w:rsidRPr="00587855" w:rsidRDefault="00832E5B" w:rsidP="00587855">
            <w:pPr>
              <w:pStyle w:val="TableText0"/>
              <w:numPr>
                <w:ilvl w:val="0"/>
                <w:numId w:val="6"/>
              </w:numPr>
            </w:pPr>
            <w:r>
              <w:t>n</w:t>
            </w:r>
            <w:r w:rsidR="00C01563">
              <w:t>uclear imaging</w:t>
            </w:r>
            <w:r w:rsidR="00E228F2">
              <w:t xml:space="preserve"> (bone scan, WBC scan)</w:t>
            </w:r>
            <w:r>
              <w:t xml:space="preserve">, </w:t>
            </w:r>
            <w:r w:rsidR="4C73F776">
              <w:t>and/</w:t>
            </w:r>
            <w:r w:rsidR="13653870">
              <w:t>or</w:t>
            </w:r>
          </w:p>
          <w:p w14:paraId="7E690E4B" w14:textId="3BEBCE6F" w:rsidR="006478E7" w:rsidRPr="00D52956" w:rsidRDefault="00832E5B" w:rsidP="00CA0DA3">
            <w:pPr>
              <w:pStyle w:val="TableText0"/>
              <w:numPr>
                <w:ilvl w:val="0"/>
                <w:numId w:val="6"/>
              </w:numPr>
            </w:pPr>
            <w:r>
              <w:t>g</w:t>
            </w:r>
            <w:r w:rsidR="007B1661">
              <w:t>allium</w:t>
            </w:r>
            <w:r w:rsidR="00E944A5">
              <w:t>-67</w:t>
            </w:r>
            <w:r w:rsidR="007B1661">
              <w:t xml:space="preserve"> citrate</w:t>
            </w:r>
            <w:r w:rsidR="007B1661" w:rsidRPr="006C4B09">
              <w:rPr>
                <w:rFonts w:ascii="Arial" w:hAnsi="Arial" w:cs="Arial"/>
              </w:rPr>
              <w:t xml:space="preserve"> </w:t>
            </w:r>
            <w:r w:rsidR="007B1661">
              <w:rPr>
                <w:rFonts w:ascii="Arial" w:hAnsi="Arial" w:cs="Arial"/>
              </w:rPr>
              <w:t>(</w:t>
            </w:r>
            <w:r w:rsidR="006C4B09" w:rsidRPr="006C4B09">
              <w:t>Ga</w:t>
            </w:r>
            <w:r w:rsidR="00494796">
              <w:t>-67</w:t>
            </w:r>
            <w:r w:rsidR="007B1661">
              <w:t>)</w:t>
            </w:r>
            <w:r w:rsidR="006C4B09" w:rsidRPr="006C4B09">
              <w:t xml:space="preserve"> scintigraphy</w:t>
            </w:r>
            <w:r>
              <w:t>.</w:t>
            </w:r>
          </w:p>
        </w:tc>
      </w:tr>
      <w:tr w:rsidR="00C64764" w:rsidRPr="00490FBB" w14:paraId="7B9D3F1A" w14:textId="77777777" w:rsidTr="55B5D1E8">
        <w:tc>
          <w:tcPr>
            <w:tcW w:w="1005" w:type="pct"/>
            <w:tcBorders>
              <w:top w:val="single" w:sz="4" w:space="0" w:color="auto"/>
              <w:left w:val="single" w:sz="8" w:space="0" w:color="auto"/>
              <w:bottom w:val="single" w:sz="4" w:space="0" w:color="auto"/>
              <w:right w:val="single" w:sz="4" w:space="0" w:color="auto"/>
            </w:tcBorders>
          </w:tcPr>
          <w:p w14:paraId="4C0BC8B3" w14:textId="10BB1C86" w:rsidR="00C64764" w:rsidRPr="00D6625D" w:rsidRDefault="00C64764" w:rsidP="00837F53">
            <w:pPr>
              <w:pStyle w:val="TableText0"/>
              <w:rPr>
                <w:b/>
                <w:bCs/>
              </w:rPr>
            </w:pPr>
            <w:r w:rsidRPr="00D6625D">
              <w:rPr>
                <w:b/>
                <w:bCs/>
              </w:rPr>
              <w:t xml:space="preserve">Reference standard </w:t>
            </w:r>
          </w:p>
        </w:tc>
        <w:tc>
          <w:tcPr>
            <w:tcW w:w="3995" w:type="pct"/>
            <w:tcBorders>
              <w:top w:val="single" w:sz="4" w:space="0" w:color="auto"/>
              <w:left w:val="single" w:sz="4" w:space="0" w:color="auto"/>
              <w:bottom w:val="single" w:sz="4" w:space="0" w:color="auto"/>
              <w:right w:val="single" w:sz="4" w:space="0" w:color="auto"/>
            </w:tcBorders>
          </w:tcPr>
          <w:p w14:paraId="7B1F5217" w14:textId="25488888" w:rsidR="00C64764" w:rsidRPr="00D52956" w:rsidRDefault="22B41133" w:rsidP="00837F53">
            <w:pPr>
              <w:pStyle w:val="TableText0"/>
            </w:pPr>
            <w:r>
              <w:t>Clinical d</w:t>
            </w:r>
            <w:r w:rsidR="00380D9B">
              <w:t>iagnosis</w:t>
            </w:r>
            <w:r w:rsidR="000009E4">
              <w:t xml:space="preserve"> at final follow-up</w:t>
            </w:r>
            <w:r w:rsidR="00380D9B">
              <w:t xml:space="preserve"> incorporating all </w:t>
            </w:r>
            <w:r w:rsidR="006E19AE">
              <w:t xml:space="preserve">available </w:t>
            </w:r>
            <w:r w:rsidR="000009E4">
              <w:t xml:space="preserve">clinical </w:t>
            </w:r>
            <w:r w:rsidR="006E19AE">
              <w:t>information</w:t>
            </w:r>
          </w:p>
        </w:tc>
      </w:tr>
      <w:tr w:rsidR="006478E7" w:rsidRPr="00490FBB" w14:paraId="591B1D2D" w14:textId="77777777" w:rsidTr="55B5D1E8">
        <w:tc>
          <w:tcPr>
            <w:tcW w:w="1005" w:type="pct"/>
            <w:tcBorders>
              <w:top w:val="single" w:sz="4" w:space="0" w:color="auto"/>
              <w:left w:val="single" w:sz="8" w:space="0" w:color="auto"/>
              <w:bottom w:val="single" w:sz="4" w:space="0" w:color="auto"/>
              <w:right w:val="single" w:sz="4" w:space="0" w:color="auto"/>
            </w:tcBorders>
            <w:hideMark/>
          </w:tcPr>
          <w:p w14:paraId="635F9D15" w14:textId="77777777" w:rsidR="006478E7" w:rsidRPr="00D6625D" w:rsidRDefault="006478E7" w:rsidP="00837F53">
            <w:pPr>
              <w:pStyle w:val="TableText0"/>
              <w:rPr>
                <w:b/>
                <w:bCs/>
              </w:rPr>
            </w:pPr>
            <w:r w:rsidRPr="00D6625D">
              <w:rPr>
                <w:b/>
                <w:bCs/>
              </w:rPr>
              <w:t>Outcomes</w:t>
            </w:r>
          </w:p>
        </w:tc>
        <w:tc>
          <w:tcPr>
            <w:tcW w:w="3995" w:type="pct"/>
            <w:tcBorders>
              <w:top w:val="single" w:sz="4" w:space="0" w:color="auto"/>
              <w:left w:val="single" w:sz="4" w:space="0" w:color="auto"/>
              <w:bottom w:val="single" w:sz="4" w:space="0" w:color="auto"/>
              <w:right w:val="single" w:sz="4" w:space="0" w:color="auto"/>
            </w:tcBorders>
            <w:hideMark/>
          </w:tcPr>
          <w:p w14:paraId="1C468A5F" w14:textId="3CBA73A7" w:rsidR="00E01349" w:rsidRDefault="00D461ED" w:rsidP="00837F53">
            <w:pPr>
              <w:pStyle w:val="TableText0"/>
              <w:rPr>
                <w:b/>
                <w:bCs/>
              </w:rPr>
            </w:pPr>
            <w:r>
              <w:rPr>
                <w:b/>
                <w:bCs/>
              </w:rPr>
              <w:t>Safety outcomes</w:t>
            </w:r>
          </w:p>
          <w:p w14:paraId="5FFFD2CD" w14:textId="4CAA0364" w:rsidR="00D461ED" w:rsidRPr="00456B74" w:rsidRDefault="00445860" w:rsidP="00CA0DA3">
            <w:pPr>
              <w:pStyle w:val="TableText0"/>
              <w:numPr>
                <w:ilvl w:val="0"/>
                <w:numId w:val="7"/>
              </w:numPr>
              <w:rPr>
                <w:b/>
                <w:bCs/>
              </w:rPr>
            </w:pPr>
            <w:r>
              <w:t>Harms from the test procedure (</w:t>
            </w:r>
            <w:r w:rsidR="00C72B25">
              <w:t xml:space="preserve">e.g. </w:t>
            </w:r>
            <w:r>
              <w:t>r</w:t>
            </w:r>
            <w:r w:rsidR="00544B47">
              <w:t>adiation exposure, exposure to contrast agent</w:t>
            </w:r>
            <w:r w:rsidR="00456B74">
              <w:t xml:space="preserve"> and/or radiotracers</w:t>
            </w:r>
            <w:r>
              <w:t>, requirements for sedation/anaesthesia)</w:t>
            </w:r>
          </w:p>
          <w:p w14:paraId="2C0CA5F0" w14:textId="47E45CE8" w:rsidR="00456B74" w:rsidRPr="00B21896" w:rsidRDefault="003F087D" w:rsidP="00CA0DA3">
            <w:pPr>
              <w:pStyle w:val="TableText0"/>
              <w:numPr>
                <w:ilvl w:val="0"/>
                <w:numId w:val="7"/>
              </w:numPr>
              <w:rPr>
                <w:b/>
                <w:bCs/>
              </w:rPr>
            </w:pPr>
            <w:r>
              <w:t>Harms from false positive</w:t>
            </w:r>
            <w:r w:rsidR="00A14006">
              <w:t xml:space="preserve"> (FP) and</w:t>
            </w:r>
            <w:r>
              <w:t xml:space="preserve"> false negative</w:t>
            </w:r>
            <w:r w:rsidR="00A14006">
              <w:t xml:space="preserve"> (FN)</w:t>
            </w:r>
            <w:r>
              <w:t xml:space="preserve"> result</w:t>
            </w:r>
            <w:r w:rsidR="00A14006">
              <w:t>s</w:t>
            </w:r>
          </w:p>
          <w:p w14:paraId="4AC266F7" w14:textId="15E57A6A" w:rsidR="00A90432" w:rsidRPr="00B21896" w:rsidRDefault="00A90432" w:rsidP="00CA0DA3">
            <w:pPr>
              <w:pStyle w:val="TableText0"/>
              <w:numPr>
                <w:ilvl w:val="0"/>
                <w:numId w:val="7"/>
              </w:numPr>
            </w:pPr>
            <w:r>
              <w:t>Harms from subsequent focal investigations e.g. biopsy</w:t>
            </w:r>
            <w:r w:rsidR="2320ED8E">
              <w:t xml:space="preserve"> or from follow up of incidental findings</w:t>
            </w:r>
          </w:p>
          <w:p w14:paraId="1963BE4F" w14:textId="77777777" w:rsidR="00F0461C" w:rsidRDefault="00117AC9" w:rsidP="00837F53">
            <w:pPr>
              <w:pStyle w:val="TableText0"/>
              <w:rPr>
                <w:b/>
                <w:bCs/>
              </w:rPr>
            </w:pPr>
            <w:r>
              <w:rPr>
                <w:b/>
                <w:bCs/>
              </w:rPr>
              <w:t>Clinical effectiveness outcomes</w:t>
            </w:r>
          </w:p>
          <w:p w14:paraId="2C34204A" w14:textId="77777777" w:rsidR="00117AC9" w:rsidRPr="00E855D0" w:rsidRDefault="00672649" w:rsidP="00837F53">
            <w:pPr>
              <w:pStyle w:val="TableText0"/>
            </w:pPr>
            <w:r w:rsidRPr="00E855D0">
              <w:t>Test performance</w:t>
            </w:r>
          </w:p>
          <w:p w14:paraId="4585C839" w14:textId="218A3A26" w:rsidR="00672649" w:rsidRDefault="00672649" w:rsidP="00CA0DA3">
            <w:pPr>
              <w:pStyle w:val="TableText0"/>
              <w:numPr>
                <w:ilvl w:val="0"/>
                <w:numId w:val="8"/>
              </w:numPr>
            </w:pPr>
            <w:r>
              <w:t>Diagnostic accuracy (sensitivit</w:t>
            </w:r>
            <w:r w:rsidR="00666D6D">
              <w:t xml:space="preserve">y, specificity, additional </w:t>
            </w:r>
            <w:r w:rsidR="00452A3A">
              <w:t>true positive (T</w:t>
            </w:r>
            <w:r w:rsidR="00DC03C0">
              <w:t>P</w:t>
            </w:r>
            <w:r w:rsidR="00452A3A">
              <w:t>)</w:t>
            </w:r>
            <w:r w:rsidR="00666D6D">
              <w:t xml:space="preserve"> </w:t>
            </w:r>
            <w:r w:rsidR="00BE7413">
              <w:t>and</w:t>
            </w:r>
            <w:r w:rsidR="00666D6D">
              <w:t xml:space="preserve"> </w:t>
            </w:r>
            <w:r w:rsidR="002249CC">
              <w:t xml:space="preserve">additional </w:t>
            </w:r>
            <w:r w:rsidR="00452A3A">
              <w:t>true negative (</w:t>
            </w:r>
            <w:r w:rsidR="00666D6D">
              <w:t>TN</w:t>
            </w:r>
            <w:r w:rsidR="00452A3A">
              <w:t>)</w:t>
            </w:r>
            <w:r w:rsidR="00666D6D">
              <w:t>)</w:t>
            </w:r>
          </w:p>
          <w:p w14:paraId="4DADEC1C" w14:textId="1B4C1E26" w:rsidR="00343BF5" w:rsidRDefault="00343BF5" w:rsidP="00CA0DA3">
            <w:pPr>
              <w:pStyle w:val="TableText0"/>
              <w:numPr>
                <w:ilvl w:val="0"/>
                <w:numId w:val="8"/>
              </w:numPr>
            </w:pPr>
            <w:r>
              <w:lastRenderedPageBreak/>
              <w:t>Diagnostic yield</w:t>
            </w:r>
            <w:r w:rsidR="000F0188">
              <w:t xml:space="preserve"> </w:t>
            </w:r>
            <w:r w:rsidR="00D71065">
              <w:t>(where there are insufficient findings arising from diagnostic accuracy studies or it provides additional information due to the heterogenous diagnostic outcomes arising from the proposed technology</w:t>
            </w:r>
            <w:r w:rsidR="0049744A">
              <w:t>)</w:t>
            </w:r>
          </w:p>
          <w:p w14:paraId="5DC07AD9" w14:textId="57FD6D41" w:rsidR="00433866" w:rsidRDefault="00AB6891" w:rsidP="00CA0DA3">
            <w:pPr>
              <w:pStyle w:val="TableText0"/>
              <w:numPr>
                <w:ilvl w:val="0"/>
                <w:numId w:val="8"/>
              </w:numPr>
            </w:pPr>
            <w:r>
              <w:t>Rate of failed and/or inconclusive tests</w:t>
            </w:r>
            <w:r w:rsidR="523B333D">
              <w:t xml:space="preserve"> resulting in no change to management</w:t>
            </w:r>
          </w:p>
          <w:p w14:paraId="18CF6A65" w14:textId="77777777" w:rsidR="00613BC1" w:rsidRPr="00F9429A" w:rsidRDefault="00613BC1" w:rsidP="00A757A0">
            <w:pPr>
              <w:pStyle w:val="TableText0"/>
              <w:keepNext/>
            </w:pPr>
            <w:r w:rsidRPr="00F9429A">
              <w:t>Change in management outcomes</w:t>
            </w:r>
          </w:p>
          <w:p w14:paraId="5A3DF1CE" w14:textId="24DF3741" w:rsidR="00D15D5C" w:rsidRDefault="00D15D5C" w:rsidP="00CA0DA3">
            <w:pPr>
              <w:pStyle w:val="TableText0"/>
              <w:numPr>
                <w:ilvl w:val="0"/>
                <w:numId w:val="9"/>
              </w:numPr>
            </w:pPr>
            <w:r>
              <w:t>Change in procedures</w:t>
            </w:r>
            <w:r w:rsidR="00522FAA">
              <w:t xml:space="preserve"> (</w:t>
            </w:r>
            <w:r w:rsidR="0055138B">
              <w:t xml:space="preserve">e.g. </w:t>
            </w:r>
            <w:r w:rsidR="00522FAA">
              <w:t>biopsies, surgeries, investigations)</w:t>
            </w:r>
          </w:p>
          <w:p w14:paraId="44E7A36A" w14:textId="30D45A94" w:rsidR="00613BC1" w:rsidRDefault="00613BC1" w:rsidP="00CA0DA3">
            <w:pPr>
              <w:pStyle w:val="TableText0"/>
              <w:numPr>
                <w:ilvl w:val="0"/>
                <w:numId w:val="9"/>
              </w:numPr>
            </w:pPr>
            <w:r>
              <w:t>Change in treatment (</w:t>
            </w:r>
            <w:r w:rsidR="0055138B">
              <w:t xml:space="preserve">e.g. </w:t>
            </w:r>
            <w:r>
              <w:t>treatment cease</w:t>
            </w:r>
            <w:r w:rsidR="00D666C6">
              <w:t>d</w:t>
            </w:r>
            <w:r>
              <w:t>, initiated, avoided</w:t>
            </w:r>
            <w:r w:rsidR="00C11C95">
              <w:t xml:space="preserve">, de-escalated, </w:t>
            </w:r>
            <w:r w:rsidR="0062479B">
              <w:t>targeted</w:t>
            </w:r>
            <w:r>
              <w:t>)</w:t>
            </w:r>
          </w:p>
          <w:p w14:paraId="0F3E0CD7" w14:textId="60D9CE48" w:rsidR="00613BC1" w:rsidRDefault="00613BC1" w:rsidP="00CA0DA3">
            <w:pPr>
              <w:pStyle w:val="TableText0"/>
              <w:numPr>
                <w:ilvl w:val="0"/>
                <w:numId w:val="9"/>
              </w:numPr>
            </w:pPr>
            <w:r>
              <w:t>Time to correct diagnosis</w:t>
            </w:r>
            <w:r w:rsidR="5F3ECC4D">
              <w:t>/treatment</w:t>
            </w:r>
          </w:p>
          <w:p w14:paraId="2D62717E" w14:textId="7A222157" w:rsidR="00613BC1" w:rsidRDefault="00613BC1" w:rsidP="00CA0DA3">
            <w:pPr>
              <w:pStyle w:val="TableText0"/>
              <w:numPr>
                <w:ilvl w:val="0"/>
                <w:numId w:val="9"/>
              </w:numPr>
            </w:pPr>
          </w:p>
          <w:p w14:paraId="2AE9E345" w14:textId="3C443B21" w:rsidR="00252F1D" w:rsidRPr="00A757A0" w:rsidRDefault="00252F1D" w:rsidP="00837F53">
            <w:pPr>
              <w:pStyle w:val="TableText0"/>
            </w:pPr>
            <w:r w:rsidRPr="00A757A0">
              <w:t>Patient</w:t>
            </w:r>
            <w:r w:rsidR="006A198C" w:rsidRPr="00A757A0">
              <w:t xml:space="preserve"> health</w:t>
            </w:r>
            <w:r w:rsidRPr="00A757A0">
              <w:t xml:space="preserve"> outcomes</w:t>
            </w:r>
          </w:p>
          <w:p w14:paraId="210E38DC" w14:textId="77777777" w:rsidR="00252F1D" w:rsidRDefault="009E4828" w:rsidP="00CA0DA3">
            <w:pPr>
              <w:pStyle w:val="TableText0"/>
              <w:numPr>
                <w:ilvl w:val="0"/>
                <w:numId w:val="10"/>
              </w:numPr>
            </w:pPr>
            <w:r>
              <w:t>Disease-specific mortality</w:t>
            </w:r>
          </w:p>
          <w:p w14:paraId="47842B89" w14:textId="77777777" w:rsidR="00ED184A" w:rsidRDefault="00ED184A" w:rsidP="00CA0DA3">
            <w:pPr>
              <w:pStyle w:val="TableText0"/>
              <w:numPr>
                <w:ilvl w:val="0"/>
                <w:numId w:val="10"/>
              </w:numPr>
            </w:pPr>
            <w:r>
              <w:t>Morbidity</w:t>
            </w:r>
          </w:p>
          <w:p w14:paraId="261C3BE7" w14:textId="7757C222" w:rsidR="00687AA0" w:rsidRDefault="00687AA0" w:rsidP="00CA0DA3">
            <w:pPr>
              <w:pStyle w:val="TableText0"/>
              <w:numPr>
                <w:ilvl w:val="0"/>
                <w:numId w:val="10"/>
              </w:numPr>
            </w:pPr>
            <w:r>
              <w:t>Health</w:t>
            </w:r>
            <w:r w:rsidR="0055138B">
              <w:t>-</w:t>
            </w:r>
            <w:r>
              <w:t>related quality of life</w:t>
            </w:r>
          </w:p>
          <w:p w14:paraId="666D8B63" w14:textId="77777777" w:rsidR="00ED57FF" w:rsidRDefault="00ED57FF" w:rsidP="00837F53">
            <w:pPr>
              <w:pStyle w:val="TableText0"/>
              <w:rPr>
                <w:b/>
                <w:bCs/>
              </w:rPr>
            </w:pPr>
            <w:r>
              <w:rPr>
                <w:b/>
                <w:bCs/>
              </w:rPr>
              <w:t>Health care resources</w:t>
            </w:r>
          </w:p>
          <w:p w14:paraId="62ECEDBB" w14:textId="77777777" w:rsidR="00ED57FF" w:rsidRDefault="00ED57FF" w:rsidP="00CA0DA3">
            <w:pPr>
              <w:pStyle w:val="TableText0"/>
              <w:numPr>
                <w:ilvl w:val="0"/>
                <w:numId w:val="11"/>
              </w:numPr>
            </w:pPr>
            <w:r>
              <w:t>Cost of testing</w:t>
            </w:r>
          </w:p>
          <w:p w14:paraId="4B30D4D2" w14:textId="77777777" w:rsidR="00ED57FF" w:rsidRDefault="00ED57FF" w:rsidP="00CA0DA3">
            <w:pPr>
              <w:pStyle w:val="TableText0"/>
              <w:numPr>
                <w:ilvl w:val="0"/>
                <w:numId w:val="11"/>
              </w:numPr>
            </w:pPr>
            <w:r>
              <w:t xml:space="preserve">Cost of </w:t>
            </w:r>
            <w:r w:rsidR="005C6585">
              <w:t>treatment</w:t>
            </w:r>
          </w:p>
          <w:p w14:paraId="72E8713C" w14:textId="77777777" w:rsidR="005C6585" w:rsidRDefault="005C6585" w:rsidP="00CA0DA3">
            <w:pPr>
              <w:pStyle w:val="TableText0"/>
              <w:numPr>
                <w:ilvl w:val="0"/>
                <w:numId w:val="11"/>
              </w:numPr>
            </w:pPr>
            <w:r>
              <w:t>Cost of adverse events</w:t>
            </w:r>
          </w:p>
          <w:p w14:paraId="461EE957" w14:textId="77777777" w:rsidR="005C6585" w:rsidRDefault="00D0350B" w:rsidP="00837F53">
            <w:pPr>
              <w:pStyle w:val="TableText0"/>
              <w:rPr>
                <w:b/>
                <w:bCs/>
              </w:rPr>
            </w:pPr>
            <w:r>
              <w:rPr>
                <w:b/>
                <w:bCs/>
              </w:rPr>
              <w:t>Cost-effectiveness</w:t>
            </w:r>
          </w:p>
          <w:p w14:paraId="62EFEEFD" w14:textId="0AC4948E" w:rsidR="00CF787E" w:rsidRPr="00B21896" w:rsidRDefault="00CF787E" w:rsidP="00B21896">
            <w:pPr>
              <w:pStyle w:val="TableText0"/>
              <w:numPr>
                <w:ilvl w:val="0"/>
                <w:numId w:val="29"/>
              </w:numPr>
            </w:pPr>
            <w:r>
              <w:t>Incremental cost per QALY gained</w:t>
            </w:r>
          </w:p>
          <w:p w14:paraId="6F9242D7" w14:textId="34ADAA14" w:rsidR="00D0350B" w:rsidRPr="00D0350B" w:rsidRDefault="006A198C" w:rsidP="00837F53">
            <w:pPr>
              <w:pStyle w:val="TableText0"/>
              <w:rPr>
                <w:b/>
                <w:bCs/>
              </w:rPr>
            </w:pPr>
            <w:r>
              <w:rPr>
                <w:b/>
                <w:bCs/>
              </w:rPr>
              <w:t>Total Australian Government health care costs</w:t>
            </w:r>
          </w:p>
        </w:tc>
      </w:tr>
      <w:tr w:rsidR="00BB1698" w:rsidRPr="00490FBB" w14:paraId="4A55FFDB" w14:textId="77777777" w:rsidTr="55B5D1E8">
        <w:tc>
          <w:tcPr>
            <w:tcW w:w="1005" w:type="pct"/>
            <w:tcBorders>
              <w:top w:val="single" w:sz="4" w:space="0" w:color="auto"/>
              <w:left w:val="single" w:sz="8" w:space="0" w:color="auto"/>
              <w:bottom w:val="single" w:sz="8" w:space="0" w:color="auto"/>
              <w:right w:val="single" w:sz="4" w:space="0" w:color="auto"/>
            </w:tcBorders>
          </w:tcPr>
          <w:p w14:paraId="003B36EC" w14:textId="77777777" w:rsidR="00BB1698" w:rsidRPr="00490FBB" w:rsidRDefault="00BB1698" w:rsidP="00837F53">
            <w:pPr>
              <w:pStyle w:val="TableText0"/>
            </w:pPr>
            <w:r w:rsidRPr="00490FBB">
              <w:lastRenderedPageBreak/>
              <w:t>Assessment questions</w:t>
            </w:r>
          </w:p>
        </w:tc>
        <w:tc>
          <w:tcPr>
            <w:tcW w:w="3995" w:type="pct"/>
            <w:tcBorders>
              <w:top w:val="single" w:sz="4" w:space="0" w:color="auto"/>
              <w:left w:val="single" w:sz="4" w:space="0" w:color="auto"/>
              <w:bottom w:val="single" w:sz="4" w:space="0" w:color="auto"/>
              <w:right w:val="single" w:sz="4" w:space="0" w:color="auto"/>
            </w:tcBorders>
          </w:tcPr>
          <w:p w14:paraId="739AC757" w14:textId="46FD2306" w:rsidR="00BB1698" w:rsidRDefault="00BB1698" w:rsidP="001C4F81">
            <w:pPr>
              <w:pStyle w:val="TableText0"/>
              <w:numPr>
                <w:ilvl w:val="0"/>
                <w:numId w:val="26"/>
              </w:numPr>
              <w:rPr>
                <w:color w:val="000000" w:themeColor="text1"/>
              </w:rPr>
            </w:pPr>
            <w:r w:rsidRPr="55B5D1E8">
              <w:rPr>
                <w:color w:val="000000" w:themeColor="text1"/>
              </w:rPr>
              <w:t>What is the safety, effectiveness</w:t>
            </w:r>
            <w:r w:rsidR="00F60BF2" w:rsidRPr="55B5D1E8">
              <w:rPr>
                <w:color w:val="000000" w:themeColor="text1"/>
              </w:rPr>
              <w:t xml:space="preserve">, </w:t>
            </w:r>
            <w:r w:rsidRPr="55B5D1E8">
              <w:rPr>
                <w:color w:val="000000" w:themeColor="text1"/>
              </w:rPr>
              <w:t xml:space="preserve">cost-effectiveness </w:t>
            </w:r>
            <w:r w:rsidR="00F60BF2" w:rsidRPr="55B5D1E8">
              <w:rPr>
                <w:color w:val="000000" w:themeColor="text1"/>
              </w:rPr>
              <w:t xml:space="preserve">and </w:t>
            </w:r>
            <w:r w:rsidR="00602FD3" w:rsidRPr="55B5D1E8">
              <w:rPr>
                <w:color w:val="000000" w:themeColor="text1"/>
              </w:rPr>
              <w:t>financial impact</w:t>
            </w:r>
            <w:r w:rsidRPr="55B5D1E8">
              <w:rPr>
                <w:color w:val="000000" w:themeColor="text1"/>
              </w:rPr>
              <w:t xml:space="preserve"> of </w:t>
            </w:r>
            <w:r w:rsidR="00B30C0C" w:rsidRPr="55B5D1E8">
              <w:rPr>
                <w:color w:val="000000" w:themeColor="text1"/>
              </w:rPr>
              <w:t>FDG</w:t>
            </w:r>
            <w:r w:rsidR="00AA4F21" w:rsidRPr="55B5D1E8">
              <w:rPr>
                <w:color w:val="000000" w:themeColor="text1"/>
              </w:rPr>
              <w:t xml:space="preserve"> </w:t>
            </w:r>
            <w:r w:rsidR="00B30C0C" w:rsidRPr="55B5D1E8">
              <w:rPr>
                <w:color w:val="000000" w:themeColor="text1"/>
              </w:rPr>
              <w:t>PET/CT</w:t>
            </w:r>
            <w:r w:rsidRPr="55B5D1E8">
              <w:rPr>
                <w:color w:val="000000" w:themeColor="text1"/>
              </w:rPr>
              <w:t xml:space="preserve"> versus</w:t>
            </w:r>
            <w:r w:rsidR="00B43840">
              <w:rPr>
                <w:color w:val="000000" w:themeColor="text1"/>
              </w:rPr>
              <w:t xml:space="preserve"> </w:t>
            </w:r>
            <w:r w:rsidR="66A49C3E" w:rsidRPr="55B5D1E8">
              <w:rPr>
                <w:color w:val="000000" w:themeColor="text1"/>
              </w:rPr>
              <w:t xml:space="preserve">other forms of </w:t>
            </w:r>
            <w:r w:rsidR="00B30C0C" w:rsidRPr="55B5D1E8">
              <w:rPr>
                <w:color w:val="000000" w:themeColor="text1"/>
              </w:rPr>
              <w:t xml:space="preserve">targeted imaging </w:t>
            </w:r>
            <w:r w:rsidRPr="55B5D1E8">
              <w:rPr>
                <w:color w:val="000000" w:themeColor="text1"/>
              </w:rPr>
              <w:t xml:space="preserve">in </w:t>
            </w:r>
            <w:r w:rsidR="007D667C" w:rsidRPr="55B5D1E8">
              <w:rPr>
                <w:color w:val="000000" w:themeColor="text1"/>
              </w:rPr>
              <w:t>p</w:t>
            </w:r>
            <w:r w:rsidR="007D667C">
              <w:t xml:space="preserve">atients with suspected deep-seated or complex infection, in whom standard initial clinical evaluation </w:t>
            </w:r>
            <w:r w:rsidR="00470D91">
              <w:t>ha</w:t>
            </w:r>
            <w:r w:rsidR="00D36B6E">
              <w:t>s</w:t>
            </w:r>
            <w:r w:rsidR="00470D91">
              <w:t xml:space="preserve"> not provided a definitive diagnosis</w:t>
            </w:r>
            <w:r w:rsidRPr="55B5D1E8">
              <w:rPr>
                <w:color w:val="000000" w:themeColor="text1"/>
              </w:rPr>
              <w:t>?</w:t>
            </w:r>
          </w:p>
          <w:p w14:paraId="7AB69A9A" w14:textId="205F6586" w:rsidR="00862DAB" w:rsidRPr="00FD4C65" w:rsidRDefault="00862DAB" w:rsidP="007F1B94">
            <w:pPr>
              <w:pStyle w:val="TableText0"/>
              <w:ind w:left="720"/>
              <w:rPr>
                <w:color w:val="000000" w:themeColor="text1"/>
              </w:rPr>
            </w:pPr>
          </w:p>
        </w:tc>
      </w:tr>
    </w:tbl>
    <w:p w14:paraId="7EB1642C" w14:textId="7499B232" w:rsidR="00C354CF" w:rsidRDefault="006478E7" w:rsidP="0060371E">
      <w:pPr>
        <w:pStyle w:val="Caption"/>
        <w:spacing w:before="0"/>
      </w:pPr>
      <w:r w:rsidRPr="00490FBB">
        <w:br w:type="page"/>
      </w:r>
      <w:r w:rsidR="00C354CF" w:rsidRPr="00303551">
        <w:lastRenderedPageBreak/>
        <w:t>Table </w:t>
      </w:r>
      <w:r w:rsidR="00C354CF" w:rsidRPr="00303551">
        <w:fldChar w:fldCharType="begin"/>
      </w:r>
      <w:r w:rsidR="00C354CF" w:rsidRPr="00303551">
        <w:instrText xml:space="preserve"> SEQ Table \* ARABIC </w:instrText>
      </w:r>
      <w:r w:rsidR="00C354CF" w:rsidRPr="00303551">
        <w:fldChar w:fldCharType="separate"/>
      </w:r>
      <w:r w:rsidR="003C210B">
        <w:rPr>
          <w:noProof/>
        </w:rPr>
        <w:t>2</w:t>
      </w:r>
      <w:r w:rsidR="00C354CF" w:rsidRPr="00303551">
        <w:fldChar w:fldCharType="end"/>
      </w:r>
      <w:r w:rsidR="00C354CF" w:rsidRPr="00303551">
        <w:tab/>
        <w:t>P</w:t>
      </w:r>
      <w:r w:rsidR="00943688">
        <w:t>P</w:t>
      </w:r>
      <w:r w:rsidR="00C354CF" w:rsidRPr="00303551">
        <w:t xml:space="preserve">ICO for </w:t>
      </w:r>
      <w:r w:rsidR="00303551" w:rsidRPr="00303551">
        <w:t>F-18 FDG</w:t>
      </w:r>
      <w:r w:rsidR="00AA4F21">
        <w:t xml:space="preserve"> </w:t>
      </w:r>
      <w:r w:rsidR="00303551" w:rsidRPr="00303551">
        <w:t>PET</w:t>
      </w:r>
      <w:r w:rsidR="00C354CF" w:rsidRPr="00303551">
        <w:t xml:space="preserve"> in </w:t>
      </w:r>
      <w:r w:rsidR="00303551" w:rsidRPr="00303551">
        <w:t>patients with fever of unknown origin</w:t>
      </w:r>
      <w:r w:rsidR="00C354CF" w:rsidRPr="00303551">
        <w:t>: PICO Set 2</w:t>
      </w: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0A0" w:firstRow="1" w:lastRow="0" w:firstColumn="1" w:lastColumn="0" w:noHBand="0" w:noVBand="0"/>
        <w:tblCaption w:val="PPICO for F-18 FDG PET in patients with fever of unknown origin: PICO Set 2"/>
        <w:tblDescription w:val="This table presents the second PPICO for the assessment."/>
      </w:tblPr>
      <w:tblGrid>
        <w:gridCol w:w="1923"/>
        <w:gridCol w:w="7643"/>
      </w:tblGrid>
      <w:tr w:rsidR="00C354CF" w:rsidRPr="00490FBB" w14:paraId="53D58D59" w14:textId="77777777" w:rsidTr="55B5D1E8">
        <w:trPr>
          <w:trHeight w:val="372"/>
          <w:tblHeader/>
        </w:trPr>
        <w:tc>
          <w:tcPr>
            <w:tcW w:w="1005" w:type="pct"/>
            <w:tcBorders>
              <w:top w:val="single" w:sz="8" w:space="0" w:color="auto"/>
              <w:left w:val="single" w:sz="8" w:space="0" w:color="auto"/>
              <w:bottom w:val="single" w:sz="8" w:space="0" w:color="auto"/>
              <w:right w:val="single" w:sz="4" w:space="0" w:color="auto"/>
            </w:tcBorders>
            <w:shd w:val="clear" w:color="auto" w:fill="D9D9D9" w:themeFill="background1" w:themeFillShade="D9"/>
            <w:vAlign w:val="center"/>
            <w:hideMark/>
          </w:tcPr>
          <w:p w14:paraId="765CEA3C" w14:textId="77777777" w:rsidR="00C354CF" w:rsidRPr="00490FBB" w:rsidRDefault="00C354CF" w:rsidP="00D34B1A">
            <w:pPr>
              <w:pStyle w:val="TableHeading"/>
            </w:pPr>
            <w:r w:rsidRPr="00490FBB">
              <w:t>Component</w:t>
            </w:r>
          </w:p>
        </w:tc>
        <w:tc>
          <w:tcPr>
            <w:tcW w:w="399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93028B" w14:textId="77777777" w:rsidR="00C354CF" w:rsidRPr="00490FBB" w:rsidRDefault="00C354CF" w:rsidP="00D34B1A">
            <w:pPr>
              <w:pStyle w:val="TableHeading"/>
            </w:pPr>
            <w:r w:rsidRPr="00490FBB">
              <w:t>Description</w:t>
            </w:r>
          </w:p>
        </w:tc>
      </w:tr>
      <w:tr w:rsidR="00C354CF" w:rsidRPr="00490FBB" w14:paraId="17003973" w14:textId="77777777" w:rsidTr="55B5D1E8">
        <w:tc>
          <w:tcPr>
            <w:tcW w:w="1005" w:type="pct"/>
            <w:tcBorders>
              <w:top w:val="single" w:sz="8" w:space="0" w:color="auto"/>
              <w:left w:val="single" w:sz="8" w:space="0" w:color="auto"/>
              <w:bottom w:val="single" w:sz="4" w:space="0" w:color="auto"/>
              <w:right w:val="single" w:sz="4" w:space="0" w:color="auto"/>
            </w:tcBorders>
            <w:hideMark/>
          </w:tcPr>
          <w:p w14:paraId="429C7D07" w14:textId="77777777" w:rsidR="00C354CF" w:rsidRPr="00D6625D" w:rsidRDefault="00C354CF" w:rsidP="00D34B1A">
            <w:pPr>
              <w:pStyle w:val="TableText0"/>
              <w:rPr>
                <w:b/>
                <w:bCs/>
              </w:rPr>
            </w:pPr>
            <w:r w:rsidRPr="00D6625D">
              <w:rPr>
                <w:b/>
                <w:bCs/>
              </w:rPr>
              <w:t>Population</w:t>
            </w:r>
          </w:p>
        </w:tc>
        <w:tc>
          <w:tcPr>
            <w:tcW w:w="3995" w:type="pct"/>
            <w:tcBorders>
              <w:top w:val="single" w:sz="4" w:space="0" w:color="auto"/>
              <w:left w:val="single" w:sz="4" w:space="0" w:color="auto"/>
              <w:bottom w:val="single" w:sz="4" w:space="0" w:color="auto"/>
              <w:right w:val="single" w:sz="4" w:space="0" w:color="auto"/>
            </w:tcBorders>
            <w:hideMark/>
          </w:tcPr>
          <w:p w14:paraId="18291753" w14:textId="5A106F9D" w:rsidR="00E34DC4" w:rsidRDefault="00E34DC4" w:rsidP="00D34B1A">
            <w:pPr>
              <w:pStyle w:val="TableText0"/>
            </w:pPr>
            <w:r>
              <w:t xml:space="preserve">Patients with persistent or recurrent fever </w:t>
            </w:r>
            <w:r w:rsidR="005710CC">
              <w:t>in whom baseline investigations have not identified the cause of fever</w:t>
            </w:r>
            <w:r w:rsidR="002259E0">
              <w:t xml:space="preserve"> or there is significant concern for additional undetected infections (e.g. fungal infection) or concern for undetected nidus of infection of a known pathogen (for instance, bacteraemia with concern for deep seated infection)</w:t>
            </w:r>
            <w:r w:rsidR="005710CC">
              <w:t>. Subgroups to be considered</w:t>
            </w:r>
            <w:r w:rsidR="00A74AAF">
              <w:t xml:space="preserve"> include</w:t>
            </w:r>
            <w:r w:rsidR="005710CC">
              <w:t>:</w:t>
            </w:r>
          </w:p>
          <w:p w14:paraId="34215A30" w14:textId="5BE052F9" w:rsidR="00464D29" w:rsidRDefault="00A74AAF" w:rsidP="00CA0DA3">
            <w:pPr>
              <w:pStyle w:val="TableText0"/>
              <w:numPr>
                <w:ilvl w:val="0"/>
                <w:numId w:val="17"/>
              </w:numPr>
            </w:pPr>
            <w:r>
              <w:t>p</w:t>
            </w:r>
            <w:r w:rsidR="00464D29">
              <w:t>atients with persistent fever</w:t>
            </w:r>
            <w:r w:rsidR="00511898">
              <w:t>/pyrexia</w:t>
            </w:r>
            <w:r w:rsidR="00F43048">
              <w:t xml:space="preserve"> </w:t>
            </w:r>
            <w:r w:rsidR="00FD4B8B">
              <w:t>of unknown origin</w:t>
            </w:r>
            <w:r w:rsidR="00464D29">
              <w:t xml:space="preserve"> </w:t>
            </w:r>
            <w:r w:rsidR="00F54D87">
              <w:t xml:space="preserve">(FUO/PUO) </w:t>
            </w:r>
            <w:r w:rsidR="00464D29">
              <w:t xml:space="preserve">defined as: </w:t>
            </w:r>
          </w:p>
          <w:p w14:paraId="7E8DABAA" w14:textId="4BB086BD" w:rsidR="00464D29" w:rsidRDefault="320A699F" w:rsidP="00CA0DA3">
            <w:pPr>
              <w:pStyle w:val="TableText0"/>
              <w:numPr>
                <w:ilvl w:val="1"/>
                <w:numId w:val="17"/>
              </w:numPr>
            </w:pPr>
            <w:r>
              <w:t>d</w:t>
            </w:r>
            <w:r w:rsidR="302AEA4A">
              <w:t xml:space="preserve">ocumented fever ≥38.3 °C on </w:t>
            </w:r>
            <w:r w:rsidR="232CE12C">
              <w:t>multiple</w:t>
            </w:r>
            <w:r w:rsidR="302AEA4A">
              <w:t xml:space="preserve"> occasions; and  </w:t>
            </w:r>
          </w:p>
          <w:p w14:paraId="18BF03BA" w14:textId="39B4ABB0" w:rsidR="007D4324" w:rsidRDefault="001D6CF0" w:rsidP="00CA0DA3">
            <w:pPr>
              <w:pStyle w:val="TableText0"/>
              <w:numPr>
                <w:ilvl w:val="1"/>
                <w:numId w:val="17"/>
              </w:numPr>
            </w:pPr>
            <w:r>
              <w:t>d</w:t>
            </w:r>
            <w:r w:rsidR="00464D29">
              <w:t>uration of fever ≥3 weeks</w:t>
            </w:r>
          </w:p>
          <w:p w14:paraId="31A4E466" w14:textId="1B5CF91E" w:rsidR="00A74AAF" w:rsidRDefault="00A74AAF" w:rsidP="00A87194">
            <w:pPr>
              <w:pStyle w:val="TableText0"/>
              <w:ind w:left="720"/>
            </w:pPr>
            <w:r>
              <w:t>or</w:t>
            </w:r>
          </w:p>
          <w:p w14:paraId="72FEB608" w14:textId="4777DEC2" w:rsidR="005E004E" w:rsidRDefault="00A81C78" w:rsidP="00CA0DA3">
            <w:pPr>
              <w:pStyle w:val="TableText0"/>
              <w:numPr>
                <w:ilvl w:val="0"/>
                <w:numId w:val="17"/>
              </w:numPr>
            </w:pPr>
            <w:r>
              <w:t>p</w:t>
            </w:r>
            <w:r w:rsidR="005E004E">
              <w:t>atients with persistent or recurrent high-risk neutropenic fever defined as:</w:t>
            </w:r>
          </w:p>
          <w:p w14:paraId="60DC0BDC" w14:textId="729909A3" w:rsidR="00101547" w:rsidRDefault="001D6CF0" w:rsidP="00CA0DA3">
            <w:pPr>
              <w:pStyle w:val="TableText0"/>
              <w:numPr>
                <w:ilvl w:val="1"/>
                <w:numId w:val="17"/>
              </w:numPr>
            </w:pPr>
            <w:r>
              <w:t>a</w:t>
            </w:r>
            <w:r w:rsidR="00101547">
              <w:t>bsolute neutrophil count &lt;0.5 X 10</w:t>
            </w:r>
            <w:r w:rsidR="00101547" w:rsidRPr="00A87194">
              <w:rPr>
                <w:vertAlign w:val="superscript"/>
              </w:rPr>
              <w:t>9</w:t>
            </w:r>
            <w:r w:rsidR="00101547">
              <w:t>/L</w:t>
            </w:r>
          </w:p>
          <w:p w14:paraId="309A4B57" w14:textId="60D5F443" w:rsidR="005E004E" w:rsidRDefault="320A699F" w:rsidP="00CA0DA3">
            <w:pPr>
              <w:pStyle w:val="TableText0"/>
              <w:numPr>
                <w:ilvl w:val="0"/>
                <w:numId w:val="18"/>
              </w:numPr>
            </w:pPr>
            <w:r>
              <w:t>p</w:t>
            </w:r>
            <w:r w:rsidR="28CCB034">
              <w:t>ersistent fever: fever ≥38.0 °C daily for  3 days</w:t>
            </w:r>
            <w:r w:rsidR="5BA5C593">
              <w:t xml:space="preserve"> or more</w:t>
            </w:r>
            <w:r w:rsidR="28CCB034">
              <w:t xml:space="preserve">; </w:t>
            </w:r>
            <w:r w:rsidR="3BA6E0DD">
              <w:t>or</w:t>
            </w:r>
            <w:r w:rsidR="28CCB034">
              <w:t xml:space="preserve">  </w:t>
            </w:r>
          </w:p>
          <w:p w14:paraId="08754C63" w14:textId="75E4DDA6" w:rsidR="005E004E" w:rsidRPr="00D52956" w:rsidRDefault="001D6CF0" w:rsidP="00CA0DA3">
            <w:pPr>
              <w:pStyle w:val="TableText0"/>
              <w:numPr>
                <w:ilvl w:val="0"/>
                <w:numId w:val="18"/>
              </w:numPr>
            </w:pPr>
            <w:r>
              <w:t>r</w:t>
            </w:r>
            <w:r w:rsidR="005E004E">
              <w:t xml:space="preserve">ecurrent fever: </w:t>
            </w:r>
            <w:r w:rsidR="00101547">
              <w:t>d</w:t>
            </w:r>
            <w:r w:rsidR="005E004E">
              <w:t>ocumented fever ≥38.0 °C which has recurred during same neutropenic episode after an initial episode of neutropenic fever (temperature ≥38.0 °C sustained over 1 hour).</w:t>
            </w:r>
          </w:p>
        </w:tc>
      </w:tr>
      <w:tr w:rsidR="00C354CF" w:rsidRPr="00490FBB" w14:paraId="7F28E4F1" w14:textId="77777777" w:rsidTr="55B5D1E8">
        <w:tc>
          <w:tcPr>
            <w:tcW w:w="1005" w:type="pct"/>
            <w:tcBorders>
              <w:top w:val="single" w:sz="8" w:space="0" w:color="auto"/>
              <w:left w:val="single" w:sz="8" w:space="0" w:color="auto"/>
              <w:bottom w:val="single" w:sz="4" w:space="0" w:color="auto"/>
              <w:right w:val="single" w:sz="4" w:space="0" w:color="auto"/>
            </w:tcBorders>
            <w:hideMark/>
          </w:tcPr>
          <w:p w14:paraId="7EA8AF30" w14:textId="7C3D3EB2" w:rsidR="00C354CF" w:rsidRPr="00D6625D" w:rsidRDefault="00C354CF" w:rsidP="00D34B1A">
            <w:pPr>
              <w:pStyle w:val="TableText0"/>
              <w:rPr>
                <w:b/>
                <w:bCs/>
              </w:rPr>
            </w:pPr>
            <w:r w:rsidRPr="00D6625D">
              <w:rPr>
                <w:b/>
                <w:bCs/>
              </w:rPr>
              <w:t xml:space="preserve">Prior tests </w:t>
            </w:r>
          </w:p>
        </w:tc>
        <w:tc>
          <w:tcPr>
            <w:tcW w:w="3995" w:type="pct"/>
            <w:tcBorders>
              <w:top w:val="single" w:sz="4" w:space="0" w:color="auto"/>
              <w:left w:val="single" w:sz="4" w:space="0" w:color="auto"/>
              <w:bottom w:val="single" w:sz="4" w:space="0" w:color="auto"/>
              <w:right w:val="single" w:sz="4" w:space="0" w:color="auto"/>
            </w:tcBorders>
            <w:hideMark/>
          </w:tcPr>
          <w:p w14:paraId="76FEC221" w14:textId="0769ACB2" w:rsidR="00F40EC7" w:rsidRDefault="00F40EC7" w:rsidP="00F40EC7">
            <w:pPr>
              <w:pStyle w:val="TableText0"/>
            </w:pPr>
            <w:r>
              <w:t>Subgroup 1:</w:t>
            </w:r>
            <w:r w:rsidR="009962C4">
              <w:t xml:space="preserve"> FUO/PUO</w:t>
            </w:r>
          </w:p>
          <w:p w14:paraId="6A82545B" w14:textId="67C3FAE1" w:rsidR="00C354CF" w:rsidRDefault="00A81C78" w:rsidP="00CA0DA3">
            <w:pPr>
              <w:pStyle w:val="TableText0"/>
              <w:numPr>
                <w:ilvl w:val="0"/>
                <w:numId w:val="12"/>
              </w:numPr>
            </w:pPr>
            <w:r>
              <w:t>d</w:t>
            </w:r>
            <w:r w:rsidR="00FC3488">
              <w:t>etailed clinical history</w:t>
            </w:r>
          </w:p>
          <w:p w14:paraId="7D6C0E8F" w14:textId="3EB51966" w:rsidR="00FC3488" w:rsidRDefault="00A81C78" w:rsidP="00CA0DA3">
            <w:pPr>
              <w:pStyle w:val="TableText0"/>
              <w:numPr>
                <w:ilvl w:val="0"/>
                <w:numId w:val="12"/>
              </w:numPr>
            </w:pPr>
            <w:r>
              <w:t>l</w:t>
            </w:r>
            <w:r w:rsidR="00FC3488">
              <w:t>aboratory tests (</w:t>
            </w:r>
            <w:r w:rsidR="009F37CF">
              <w:t>e.g.</w:t>
            </w:r>
            <w:r w:rsidR="00875BD6">
              <w:t xml:space="preserve"> full blood count (FBC), C-reactive protein (CRP), erythrocyte sedimentation rate (ESR), electrolytes, urea, and creatinine (EUC), liver function test (LFT)</w:t>
            </w:r>
            <w:r w:rsidR="000E11DC">
              <w:t xml:space="preserve">, </w:t>
            </w:r>
            <w:r w:rsidR="00AE1A4E">
              <w:t>a</w:t>
            </w:r>
            <w:r w:rsidR="000E11DC">
              <w:t xml:space="preserve">ntinuclear </w:t>
            </w:r>
            <w:r w:rsidR="00AE1A4E">
              <w:t>a</w:t>
            </w:r>
            <w:r w:rsidR="000E11DC">
              <w:t>ntibody (ANA)</w:t>
            </w:r>
            <w:r w:rsidR="002F736C">
              <w:t>, rheumatoid factor</w:t>
            </w:r>
            <w:r w:rsidR="00A46488">
              <w:t>, thyroid function test (</w:t>
            </w:r>
            <w:r w:rsidR="002F736C">
              <w:t>TFT</w:t>
            </w:r>
            <w:r w:rsidR="00A46488">
              <w:t>)</w:t>
            </w:r>
            <w:r w:rsidR="00FC3488">
              <w:t>)</w:t>
            </w:r>
          </w:p>
          <w:p w14:paraId="3A232687" w14:textId="69BC94BD" w:rsidR="00A46488" w:rsidRDefault="00A81C78" w:rsidP="00CA0DA3">
            <w:pPr>
              <w:pStyle w:val="TableText0"/>
              <w:numPr>
                <w:ilvl w:val="0"/>
                <w:numId w:val="12"/>
              </w:numPr>
            </w:pPr>
            <w:r>
              <w:t>s</w:t>
            </w:r>
            <w:r w:rsidR="00250535">
              <w:t>putum culture</w:t>
            </w:r>
          </w:p>
          <w:p w14:paraId="2DAE7056" w14:textId="1AFAE3E2" w:rsidR="00250535" w:rsidRDefault="00A81C78" w:rsidP="00CA0DA3">
            <w:pPr>
              <w:pStyle w:val="TableText0"/>
              <w:numPr>
                <w:ilvl w:val="0"/>
                <w:numId w:val="12"/>
              </w:numPr>
            </w:pPr>
            <w:r>
              <w:t>m</w:t>
            </w:r>
            <w:r w:rsidR="00806F2B">
              <w:t>id-stream urine (MSU) microscopy, culture and susceptibility testing (MCS)</w:t>
            </w:r>
          </w:p>
          <w:p w14:paraId="60CBA6C4" w14:textId="75406D6D" w:rsidR="00806F2B" w:rsidRDefault="00A81C78" w:rsidP="00CA0DA3">
            <w:pPr>
              <w:pStyle w:val="TableText0"/>
              <w:numPr>
                <w:ilvl w:val="0"/>
                <w:numId w:val="12"/>
              </w:numPr>
            </w:pPr>
            <w:r>
              <w:t>h</w:t>
            </w:r>
            <w:r w:rsidR="00F828CB" w:rsidRPr="00F828CB">
              <w:t xml:space="preserve">uman immunodeficiency virus </w:t>
            </w:r>
            <w:r w:rsidR="00F828CB">
              <w:t>(</w:t>
            </w:r>
            <w:r w:rsidR="00806F2B">
              <w:t>HIV</w:t>
            </w:r>
            <w:r w:rsidR="00F828CB">
              <w:t>)</w:t>
            </w:r>
            <w:r w:rsidR="00806F2B">
              <w:t xml:space="preserve"> serology</w:t>
            </w:r>
          </w:p>
          <w:p w14:paraId="7812B082" w14:textId="45EDA4D4" w:rsidR="00806F2B" w:rsidRDefault="00A81C78" w:rsidP="00CA0DA3">
            <w:pPr>
              <w:pStyle w:val="TableText0"/>
              <w:numPr>
                <w:ilvl w:val="0"/>
                <w:numId w:val="12"/>
              </w:numPr>
            </w:pPr>
            <w:r>
              <w:t>c</w:t>
            </w:r>
            <w:r w:rsidR="00436B86">
              <w:t xml:space="preserve">hest </w:t>
            </w:r>
            <w:r w:rsidR="008A5DE3">
              <w:t>X</w:t>
            </w:r>
            <w:r w:rsidR="00436B86">
              <w:t>-ray</w:t>
            </w:r>
          </w:p>
          <w:p w14:paraId="00531838" w14:textId="2AA538CD" w:rsidR="00FC3488" w:rsidRDefault="00A81C78" w:rsidP="00CA0DA3">
            <w:pPr>
              <w:pStyle w:val="TableText0"/>
              <w:numPr>
                <w:ilvl w:val="0"/>
                <w:numId w:val="12"/>
              </w:numPr>
            </w:pPr>
            <w:r>
              <w:t>e</w:t>
            </w:r>
            <w:r w:rsidR="00436B86">
              <w:t>chocardiogram (where indicated i.e. heart murmur)</w:t>
            </w:r>
          </w:p>
          <w:p w14:paraId="225562F2" w14:textId="2C0AE322" w:rsidR="00F40EC7" w:rsidRDefault="00F40EC7" w:rsidP="00F40EC7">
            <w:pPr>
              <w:pStyle w:val="TableText0"/>
            </w:pPr>
            <w:r>
              <w:t>Subgroup 2:</w:t>
            </w:r>
            <w:r w:rsidR="317E3B73">
              <w:t xml:space="preserve"> </w:t>
            </w:r>
            <w:r w:rsidR="002040E7">
              <w:t>P</w:t>
            </w:r>
            <w:r w:rsidR="317E3B73">
              <w:t>ersistent or recurrent high-risk neutropenic fever</w:t>
            </w:r>
          </w:p>
          <w:p w14:paraId="1CEEC922" w14:textId="5C6F02BD" w:rsidR="00F40EC7" w:rsidRDefault="00A81C78" w:rsidP="00CA0DA3">
            <w:pPr>
              <w:pStyle w:val="TableText0"/>
              <w:numPr>
                <w:ilvl w:val="0"/>
                <w:numId w:val="13"/>
              </w:numPr>
            </w:pPr>
            <w:r>
              <w:t>b</w:t>
            </w:r>
            <w:r w:rsidR="00F40EC7">
              <w:t>lood cultures (2 or more)</w:t>
            </w:r>
          </w:p>
          <w:p w14:paraId="0FA6D507" w14:textId="04DD9FCA" w:rsidR="00F40EC7" w:rsidRDefault="00A81C78" w:rsidP="00CA0DA3">
            <w:pPr>
              <w:pStyle w:val="TableText0"/>
              <w:numPr>
                <w:ilvl w:val="0"/>
                <w:numId w:val="13"/>
              </w:numPr>
            </w:pPr>
            <w:r>
              <w:t>o</w:t>
            </w:r>
            <w:r w:rsidR="00F40EC7">
              <w:t>ther cultures based on clinical suspicion (e.g. urine, stool, sputum)</w:t>
            </w:r>
          </w:p>
          <w:p w14:paraId="0E471F73" w14:textId="72222067" w:rsidR="00F40EC7" w:rsidRDefault="00A81C78" w:rsidP="00CA0DA3">
            <w:pPr>
              <w:pStyle w:val="TableText0"/>
              <w:numPr>
                <w:ilvl w:val="0"/>
                <w:numId w:val="13"/>
              </w:numPr>
            </w:pPr>
            <w:r>
              <w:t>l</w:t>
            </w:r>
            <w:r w:rsidR="00F40EC7">
              <w:t>aboratory tests (</w:t>
            </w:r>
            <w:r w:rsidR="009F37CF">
              <w:t xml:space="preserve">e.g. </w:t>
            </w:r>
            <w:r w:rsidR="005E7460">
              <w:t>FBC,</w:t>
            </w:r>
            <w:r w:rsidR="009F37CF">
              <w:t xml:space="preserve"> </w:t>
            </w:r>
            <w:r w:rsidR="00F40EC7">
              <w:t>EUC, LFT, CRP)</w:t>
            </w:r>
          </w:p>
          <w:p w14:paraId="6208B65E" w14:textId="6CE19C73" w:rsidR="00F40EC7" w:rsidRDefault="00A81C78" w:rsidP="00CA0DA3">
            <w:pPr>
              <w:pStyle w:val="TableText0"/>
              <w:numPr>
                <w:ilvl w:val="0"/>
                <w:numId w:val="13"/>
              </w:numPr>
            </w:pPr>
            <w:r>
              <w:t>c</w:t>
            </w:r>
            <w:r w:rsidR="00F40EC7">
              <w:t xml:space="preserve">hest </w:t>
            </w:r>
            <w:r w:rsidR="00B028F8">
              <w:t>X</w:t>
            </w:r>
            <w:r w:rsidR="00F40EC7">
              <w:t>-ray</w:t>
            </w:r>
          </w:p>
          <w:p w14:paraId="2855D068" w14:textId="0015BF8F" w:rsidR="00F40EC7" w:rsidRPr="00D52956" w:rsidRDefault="00A81C78" w:rsidP="00CA0DA3">
            <w:pPr>
              <w:pStyle w:val="TableText0"/>
              <w:numPr>
                <w:ilvl w:val="0"/>
                <w:numId w:val="13"/>
              </w:numPr>
            </w:pPr>
            <w:r>
              <w:t>t</w:t>
            </w:r>
            <w:r w:rsidR="00F40EC7">
              <w:t xml:space="preserve">argeted imaging based on clinical suspicion (e.g. brain </w:t>
            </w:r>
            <w:r w:rsidR="00D1220E">
              <w:t xml:space="preserve">(magnetic resonance imaging) </w:t>
            </w:r>
            <w:r w:rsidR="00F40EC7">
              <w:t>MRI</w:t>
            </w:r>
            <w:r w:rsidR="00E84F1A">
              <w:t xml:space="preserve"> </w:t>
            </w:r>
            <w:r w:rsidR="00E84F1A" w:rsidRPr="00E84F1A">
              <w:t>computed tomography</w:t>
            </w:r>
            <w:r w:rsidR="00F40EC7">
              <w:t xml:space="preserve"> </w:t>
            </w:r>
            <w:r w:rsidR="00CA0573">
              <w:t>(</w:t>
            </w:r>
            <w:r w:rsidR="00F40EC7">
              <w:t>CT</w:t>
            </w:r>
            <w:r w:rsidR="00CA0573">
              <w:t>)</w:t>
            </w:r>
            <w:r w:rsidR="00F40EC7">
              <w:t xml:space="preserve"> sinuses, high-resolution chest CT)</w:t>
            </w:r>
          </w:p>
        </w:tc>
      </w:tr>
      <w:tr w:rsidR="00C354CF" w:rsidRPr="00490FBB" w14:paraId="67A1A943" w14:textId="77777777" w:rsidTr="55B5D1E8">
        <w:tc>
          <w:tcPr>
            <w:tcW w:w="1005" w:type="pct"/>
            <w:tcBorders>
              <w:top w:val="single" w:sz="4" w:space="0" w:color="auto"/>
              <w:left w:val="single" w:sz="8" w:space="0" w:color="auto"/>
              <w:bottom w:val="single" w:sz="4" w:space="0" w:color="auto"/>
              <w:right w:val="single" w:sz="4" w:space="0" w:color="auto"/>
            </w:tcBorders>
            <w:hideMark/>
          </w:tcPr>
          <w:p w14:paraId="5EE3F679" w14:textId="77777777" w:rsidR="00C354CF" w:rsidRPr="00D6625D" w:rsidRDefault="00C354CF" w:rsidP="00D34B1A">
            <w:pPr>
              <w:pStyle w:val="TableText0"/>
              <w:rPr>
                <w:b/>
                <w:bCs/>
              </w:rPr>
            </w:pPr>
            <w:r w:rsidRPr="00D6625D">
              <w:rPr>
                <w:b/>
                <w:bCs/>
              </w:rPr>
              <w:t>Intervention</w:t>
            </w:r>
          </w:p>
        </w:tc>
        <w:tc>
          <w:tcPr>
            <w:tcW w:w="3995" w:type="pct"/>
            <w:tcBorders>
              <w:top w:val="single" w:sz="4" w:space="0" w:color="auto"/>
              <w:left w:val="single" w:sz="4" w:space="0" w:color="auto"/>
              <w:bottom w:val="single" w:sz="4" w:space="0" w:color="auto"/>
              <w:right w:val="single" w:sz="4" w:space="0" w:color="auto"/>
            </w:tcBorders>
            <w:hideMark/>
          </w:tcPr>
          <w:p w14:paraId="6A7362C9" w14:textId="78FD5A48" w:rsidR="00C354CF" w:rsidRPr="00D52956" w:rsidRDefault="00115E91" w:rsidP="00D34B1A">
            <w:pPr>
              <w:pStyle w:val="TableText0"/>
            </w:pPr>
            <w:r w:rsidRPr="00115E91">
              <w:t>F</w:t>
            </w:r>
            <w:r w:rsidR="00C20E1B">
              <w:t>-18</w:t>
            </w:r>
            <w:r w:rsidRPr="00115E91">
              <w:t xml:space="preserve"> </w:t>
            </w:r>
            <w:r w:rsidR="008724B2">
              <w:t>fluorodeoxyglucose positron emission tomography</w:t>
            </w:r>
            <w:r w:rsidR="00A631A3">
              <w:t xml:space="preserve"> (FDG PET)</w:t>
            </w:r>
            <w:r w:rsidR="008724B2">
              <w:t xml:space="preserve"> </w:t>
            </w:r>
            <w:r w:rsidR="005E3329">
              <w:t>/CT</w:t>
            </w:r>
            <w:r w:rsidR="008E489C">
              <w:t xml:space="preserve"> </w:t>
            </w:r>
          </w:p>
        </w:tc>
      </w:tr>
      <w:tr w:rsidR="00C354CF" w:rsidRPr="00490FBB" w14:paraId="4C86A686" w14:textId="77777777" w:rsidTr="55B5D1E8">
        <w:tc>
          <w:tcPr>
            <w:tcW w:w="1005" w:type="pct"/>
            <w:tcBorders>
              <w:top w:val="single" w:sz="4" w:space="0" w:color="auto"/>
              <w:left w:val="single" w:sz="8" w:space="0" w:color="auto"/>
              <w:bottom w:val="single" w:sz="4" w:space="0" w:color="auto"/>
              <w:right w:val="single" w:sz="4" w:space="0" w:color="auto"/>
            </w:tcBorders>
            <w:hideMark/>
          </w:tcPr>
          <w:p w14:paraId="3FE74CED" w14:textId="77777777" w:rsidR="00C354CF" w:rsidRPr="00D6625D" w:rsidRDefault="00C354CF" w:rsidP="00D34B1A">
            <w:pPr>
              <w:pStyle w:val="TableText0"/>
              <w:rPr>
                <w:b/>
                <w:bCs/>
              </w:rPr>
            </w:pPr>
            <w:r w:rsidRPr="00D6625D">
              <w:rPr>
                <w:b/>
                <w:bCs/>
              </w:rPr>
              <w:t>Comparator/s</w:t>
            </w:r>
          </w:p>
        </w:tc>
        <w:tc>
          <w:tcPr>
            <w:tcW w:w="3995" w:type="pct"/>
            <w:tcBorders>
              <w:top w:val="single" w:sz="4" w:space="0" w:color="auto"/>
              <w:left w:val="single" w:sz="4" w:space="0" w:color="auto"/>
              <w:bottom w:val="single" w:sz="4" w:space="0" w:color="auto"/>
              <w:right w:val="single" w:sz="4" w:space="0" w:color="auto"/>
            </w:tcBorders>
            <w:hideMark/>
          </w:tcPr>
          <w:p w14:paraId="39CEC020" w14:textId="04982205" w:rsidR="00B25CD1" w:rsidRDefault="00F40EC7" w:rsidP="00D34B1A">
            <w:pPr>
              <w:pStyle w:val="TableText0"/>
            </w:pPr>
            <w:r>
              <w:t xml:space="preserve">Subgroup 1: </w:t>
            </w:r>
            <w:r w:rsidR="006C736A">
              <w:t>FUO/PUO</w:t>
            </w:r>
          </w:p>
          <w:p w14:paraId="46B1505E" w14:textId="3A611AFF" w:rsidR="00C354CF" w:rsidRDefault="00A74AAF" w:rsidP="00CA0DA3">
            <w:pPr>
              <w:pStyle w:val="TableText0"/>
              <w:numPr>
                <w:ilvl w:val="0"/>
                <w:numId w:val="19"/>
              </w:numPr>
            </w:pPr>
            <w:r>
              <w:t>c</w:t>
            </w:r>
            <w:r w:rsidR="0009326D">
              <w:t xml:space="preserve">ontrast enhanced CT of the chest, </w:t>
            </w:r>
            <w:r w:rsidR="003D35C9">
              <w:t>abdomen,</w:t>
            </w:r>
            <w:r w:rsidR="0009326D">
              <w:t xml:space="preserve"> and pelvis</w:t>
            </w:r>
            <w:r w:rsidR="00AD594F">
              <w:t xml:space="preserve">, </w:t>
            </w:r>
            <w:r w:rsidR="00D82B96">
              <w:t>and</w:t>
            </w:r>
            <w:r w:rsidR="00C4130B">
              <w:t>/</w:t>
            </w:r>
            <w:r w:rsidR="00AD594F">
              <w:t>or</w:t>
            </w:r>
          </w:p>
          <w:p w14:paraId="281B4AE1" w14:textId="581FCDB4" w:rsidR="00B25CD1" w:rsidRDefault="008B536F" w:rsidP="00CA0DA3">
            <w:pPr>
              <w:pStyle w:val="TableText0"/>
              <w:numPr>
                <w:ilvl w:val="0"/>
                <w:numId w:val="19"/>
              </w:numPr>
            </w:pPr>
            <w:r>
              <w:t>g</w:t>
            </w:r>
            <w:r w:rsidR="009A6F51">
              <w:t>allium-67 citrate</w:t>
            </w:r>
            <w:r w:rsidR="009A6F51" w:rsidRPr="009A6F51">
              <w:rPr>
                <w:vertAlign w:val="superscript"/>
              </w:rPr>
              <w:t xml:space="preserve"> </w:t>
            </w:r>
            <w:r w:rsidR="009A6F51">
              <w:rPr>
                <w:vertAlign w:val="superscript"/>
              </w:rPr>
              <w:t>(</w:t>
            </w:r>
            <w:r w:rsidR="00B25CD1" w:rsidRPr="00427C30">
              <w:t>Ga</w:t>
            </w:r>
            <w:r w:rsidR="00B01CB6">
              <w:t>-67</w:t>
            </w:r>
            <w:r w:rsidR="009A6F51">
              <w:t>)</w:t>
            </w:r>
            <w:r w:rsidR="00B25CD1" w:rsidRPr="00427C30">
              <w:t xml:space="preserve"> scintigraphy</w:t>
            </w:r>
            <w:r w:rsidR="00AD594F">
              <w:t xml:space="preserve">, </w:t>
            </w:r>
            <w:r w:rsidR="00C4130B">
              <w:t>and/</w:t>
            </w:r>
            <w:r w:rsidR="00AD594F">
              <w:t>or</w:t>
            </w:r>
          </w:p>
          <w:p w14:paraId="3682C4D2" w14:textId="492F68AC" w:rsidR="00B25CD1" w:rsidRDefault="008B536F" w:rsidP="00CA0DA3">
            <w:pPr>
              <w:pStyle w:val="TableText0"/>
              <w:numPr>
                <w:ilvl w:val="0"/>
                <w:numId w:val="19"/>
              </w:numPr>
            </w:pPr>
            <w:r>
              <w:t>w</w:t>
            </w:r>
            <w:r w:rsidR="00126843">
              <w:t>hite blood cell (</w:t>
            </w:r>
            <w:r w:rsidR="00B25CD1">
              <w:t>WBC</w:t>
            </w:r>
            <w:r w:rsidR="00126843">
              <w:t>)</w:t>
            </w:r>
            <w:r w:rsidR="00B25CD1">
              <w:t xml:space="preserve"> scan</w:t>
            </w:r>
            <w:r w:rsidR="00AD594F">
              <w:t>.</w:t>
            </w:r>
          </w:p>
          <w:p w14:paraId="3EF2780B" w14:textId="06827F26" w:rsidR="00965913" w:rsidRDefault="00F40EC7" w:rsidP="00D34B1A">
            <w:pPr>
              <w:pStyle w:val="TableText0"/>
            </w:pPr>
            <w:r>
              <w:t xml:space="preserve">Subgroup 2: </w:t>
            </w:r>
            <w:r w:rsidR="006C736A">
              <w:t>Persistent or recurrent high-risk neutropenic fever</w:t>
            </w:r>
          </w:p>
          <w:p w14:paraId="4F42EA2F" w14:textId="349F8362" w:rsidR="00F40EC7" w:rsidRDefault="00A74AAF" w:rsidP="00CA0DA3">
            <w:pPr>
              <w:pStyle w:val="TableText0"/>
              <w:numPr>
                <w:ilvl w:val="0"/>
                <w:numId w:val="19"/>
              </w:numPr>
            </w:pPr>
            <w:r>
              <w:t>h</w:t>
            </w:r>
            <w:r w:rsidR="00F40EC7">
              <w:t>igh-resolution CT (chest +/- brain, sinus, abdomen, pelvis)</w:t>
            </w:r>
            <w:r w:rsidR="00021712">
              <w:t xml:space="preserve">, </w:t>
            </w:r>
            <w:r w:rsidR="00C4130B">
              <w:t>and/</w:t>
            </w:r>
            <w:r w:rsidR="00021712">
              <w:t>or</w:t>
            </w:r>
          </w:p>
          <w:p w14:paraId="277EF4EB" w14:textId="739FB00C" w:rsidR="00B25CD1" w:rsidRPr="00D52956" w:rsidRDefault="00965913" w:rsidP="00CA0DA3">
            <w:pPr>
              <w:pStyle w:val="TableText0"/>
              <w:numPr>
                <w:ilvl w:val="0"/>
                <w:numId w:val="19"/>
              </w:numPr>
            </w:pPr>
            <w:r>
              <w:t>WBC scan</w:t>
            </w:r>
            <w:r w:rsidR="00C90A36">
              <w:t>.</w:t>
            </w:r>
          </w:p>
        </w:tc>
      </w:tr>
      <w:tr w:rsidR="00C354CF" w:rsidRPr="00490FBB" w14:paraId="6F758DE9" w14:textId="77777777" w:rsidTr="55B5D1E8">
        <w:tc>
          <w:tcPr>
            <w:tcW w:w="1005" w:type="pct"/>
            <w:tcBorders>
              <w:top w:val="single" w:sz="4" w:space="0" w:color="auto"/>
              <w:left w:val="single" w:sz="8" w:space="0" w:color="auto"/>
              <w:bottom w:val="single" w:sz="4" w:space="0" w:color="auto"/>
              <w:right w:val="single" w:sz="4" w:space="0" w:color="auto"/>
            </w:tcBorders>
          </w:tcPr>
          <w:p w14:paraId="64AF43A3" w14:textId="55A772BF" w:rsidR="00C354CF" w:rsidRPr="00D6625D" w:rsidRDefault="00C354CF" w:rsidP="00D34B1A">
            <w:pPr>
              <w:pStyle w:val="TableText0"/>
              <w:rPr>
                <w:b/>
                <w:bCs/>
              </w:rPr>
            </w:pPr>
            <w:r w:rsidRPr="00D6625D">
              <w:rPr>
                <w:b/>
                <w:bCs/>
              </w:rPr>
              <w:t xml:space="preserve">Reference standard </w:t>
            </w:r>
          </w:p>
        </w:tc>
        <w:tc>
          <w:tcPr>
            <w:tcW w:w="3995" w:type="pct"/>
            <w:tcBorders>
              <w:top w:val="single" w:sz="4" w:space="0" w:color="auto"/>
              <w:left w:val="single" w:sz="4" w:space="0" w:color="auto"/>
              <w:bottom w:val="single" w:sz="4" w:space="0" w:color="auto"/>
              <w:right w:val="single" w:sz="4" w:space="0" w:color="auto"/>
            </w:tcBorders>
          </w:tcPr>
          <w:p w14:paraId="32C29FB4" w14:textId="4833420E" w:rsidR="00C354CF" w:rsidRPr="00D52956" w:rsidRDefault="00901AD4" w:rsidP="00D34B1A">
            <w:pPr>
              <w:pStyle w:val="TableText0"/>
            </w:pPr>
            <w:r>
              <w:t>Diagnosis at final follow-up incorporating all available clinical information</w:t>
            </w:r>
          </w:p>
        </w:tc>
      </w:tr>
      <w:tr w:rsidR="00811275" w:rsidRPr="00490FBB" w14:paraId="0F30C8AE" w14:textId="77777777" w:rsidTr="55B5D1E8">
        <w:tc>
          <w:tcPr>
            <w:tcW w:w="1005" w:type="pct"/>
            <w:tcBorders>
              <w:top w:val="single" w:sz="4" w:space="0" w:color="auto"/>
              <w:left w:val="single" w:sz="8" w:space="0" w:color="auto"/>
              <w:bottom w:val="single" w:sz="4" w:space="0" w:color="auto"/>
              <w:right w:val="single" w:sz="4" w:space="0" w:color="auto"/>
            </w:tcBorders>
            <w:hideMark/>
          </w:tcPr>
          <w:p w14:paraId="6A2EB9CC" w14:textId="77777777" w:rsidR="00811275" w:rsidRPr="00D6625D" w:rsidRDefault="00811275" w:rsidP="00811275">
            <w:pPr>
              <w:pStyle w:val="TableText0"/>
              <w:rPr>
                <w:b/>
                <w:bCs/>
              </w:rPr>
            </w:pPr>
            <w:r w:rsidRPr="00D6625D">
              <w:rPr>
                <w:b/>
                <w:bCs/>
              </w:rPr>
              <w:t>Outcomes</w:t>
            </w:r>
          </w:p>
        </w:tc>
        <w:tc>
          <w:tcPr>
            <w:tcW w:w="3995" w:type="pct"/>
            <w:tcBorders>
              <w:top w:val="single" w:sz="4" w:space="0" w:color="auto"/>
              <w:left w:val="single" w:sz="4" w:space="0" w:color="auto"/>
              <w:bottom w:val="single" w:sz="4" w:space="0" w:color="auto"/>
              <w:right w:val="single" w:sz="4" w:space="0" w:color="auto"/>
            </w:tcBorders>
            <w:hideMark/>
          </w:tcPr>
          <w:p w14:paraId="295AD7DB" w14:textId="0FF81E98" w:rsidR="00811275" w:rsidRDefault="00811275" w:rsidP="00811275">
            <w:pPr>
              <w:pStyle w:val="TableText0"/>
              <w:rPr>
                <w:b/>
                <w:bCs/>
              </w:rPr>
            </w:pPr>
            <w:r>
              <w:rPr>
                <w:b/>
                <w:bCs/>
              </w:rPr>
              <w:t>Safety outcomes</w:t>
            </w:r>
          </w:p>
          <w:p w14:paraId="1D17B8B0" w14:textId="5E38EEA0" w:rsidR="00811275" w:rsidRPr="00456B74" w:rsidRDefault="00811275" w:rsidP="00CA0DA3">
            <w:pPr>
              <w:pStyle w:val="TableText0"/>
              <w:numPr>
                <w:ilvl w:val="0"/>
                <w:numId w:val="7"/>
              </w:numPr>
              <w:rPr>
                <w:b/>
                <w:bCs/>
              </w:rPr>
            </w:pPr>
            <w:r>
              <w:t>Harms from the test procedure (radiation exposure, exposure to contrast agent and/or radiotracers)</w:t>
            </w:r>
          </w:p>
          <w:p w14:paraId="32150065" w14:textId="77777777" w:rsidR="00811275" w:rsidRPr="00B21896" w:rsidRDefault="00811275" w:rsidP="00CA0DA3">
            <w:pPr>
              <w:pStyle w:val="TableText0"/>
              <w:numPr>
                <w:ilvl w:val="0"/>
                <w:numId w:val="7"/>
              </w:numPr>
              <w:rPr>
                <w:b/>
                <w:bCs/>
              </w:rPr>
            </w:pPr>
            <w:r>
              <w:t>Harms from false positive (FP) and false negative (FN) results</w:t>
            </w:r>
          </w:p>
          <w:p w14:paraId="1C6AE2AB" w14:textId="62BEEE77" w:rsidR="007E73E0" w:rsidRPr="00B21896" w:rsidRDefault="007E73E0" w:rsidP="007E73E0">
            <w:pPr>
              <w:pStyle w:val="TableText0"/>
              <w:numPr>
                <w:ilvl w:val="0"/>
                <w:numId w:val="7"/>
              </w:numPr>
            </w:pPr>
            <w:r w:rsidRPr="00B928E0">
              <w:t>Harms from subsequent focal investigations e.g. biopsy</w:t>
            </w:r>
          </w:p>
          <w:p w14:paraId="6ABCEEF7" w14:textId="77777777" w:rsidR="00811275" w:rsidRDefault="00811275" w:rsidP="00874D54">
            <w:pPr>
              <w:pStyle w:val="TableText0"/>
              <w:keepNext/>
              <w:rPr>
                <w:b/>
                <w:bCs/>
              </w:rPr>
            </w:pPr>
            <w:r>
              <w:rPr>
                <w:b/>
                <w:bCs/>
              </w:rPr>
              <w:lastRenderedPageBreak/>
              <w:t>Clinical effectiveness outcomes</w:t>
            </w:r>
          </w:p>
          <w:p w14:paraId="6D28767C" w14:textId="77777777" w:rsidR="00811275" w:rsidRPr="00874D54" w:rsidRDefault="00811275" w:rsidP="00874D54">
            <w:pPr>
              <w:pStyle w:val="TableText0"/>
              <w:keepNext/>
            </w:pPr>
            <w:r w:rsidRPr="00874D54">
              <w:t>Test performance</w:t>
            </w:r>
          </w:p>
          <w:p w14:paraId="44565D72" w14:textId="7673C84D" w:rsidR="00811275" w:rsidRDefault="00811275" w:rsidP="00CA0DA3">
            <w:pPr>
              <w:pStyle w:val="TableText0"/>
              <w:numPr>
                <w:ilvl w:val="0"/>
                <w:numId w:val="8"/>
              </w:numPr>
            </w:pPr>
            <w:r>
              <w:t>Diagnostic accuracy (sensitivity, specificity, additional true positive (T</w:t>
            </w:r>
            <w:r w:rsidR="00DC03C0">
              <w:t>P</w:t>
            </w:r>
            <w:r>
              <w:t xml:space="preserve">) </w:t>
            </w:r>
            <w:r w:rsidR="00BE7413">
              <w:t>and</w:t>
            </w:r>
            <w:r>
              <w:t xml:space="preserve"> </w:t>
            </w:r>
            <w:r w:rsidR="000B03D8">
              <w:t xml:space="preserve">additional </w:t>
            </w:r>
            <w:r>
              <w:t>true negative (TN))</w:t>
            </w:r>
          </w:p>
          <w:p w14:paraId="404BB58E" w14:textId="10147D86" w:rsidR="00811275" w:rsidRDefault="00811275" w:rsidP="00CA0DA3">
            <w:pPr>
              <w:pStyle w:val="TableText0"/>
              <w:numPr>
                <w:ilvl w:val="0"/>
                <w:numId w:val="8"/>
              </w:numPr>
            </w:pPr>
            <w:r>
              <w:t>Diagnostic yield</w:t>
            </w:r>
            <w:r w:rsidR="00235361">
              <w:t xml:space="preserve"> of </w:t>
            </w:r>
            <w:r w:rsidR="00235361" w:rsidRPr="00235361">
              <w:t>confirmed deep-seated or complex infection</w:t>
            </w:r>
            <w:r w:rsidR="0049744A">
              <w:t xml:space="preserve"> (where there are insufficient findings arising from diagnostic accuracy studies or it provides additional information due to the heterogenous diagnostic outcomes arising from the proposed technology)</w:t>
            </w:r>
          </w:p>
          <w:p w14:paraId="3380EBF1" w14:textId="77777777" w:rsidR="00811275" w:rsidRDefault="00811275" w:rsidP="00CA0DA3">
            <w:pPr>
              <w:pStyle w:val="TableText0"/>
              <w:numPr>
                <w:ilvl w:val="0"/>
                <w:numId w:val="8"/>
              </w:numPr>
            </w:pPr>
            <w:r>
              <w:t>Rate of failed and/or inconclusive tests</w:t>
            </w:r>
          </w:p>
          <w:p w14:paraId="73E850D8" w14:textId="77777777" w:rsidR="00811275" w:rsidRPr="00874D54" w:rsidRDefault="00811275" w:rsidP="00811275">
            <w:pPr>
              <w:pStyle w:val="TableText0"/>
            </w:pPr>
            <w:r w:rsidRPr="00874D54">
              <w:t>Change in management outcomes</w:t>
            </w:r>
          </w:p>
          <w:p w14:paraId="32725592" w14:textId="2B7DED26" w:rsidR="00811275" w:rsidRDefault="00811275" w:rsidP="00CA0DA3">
            <w:pPr>
              <w:pStyle w:val="TableText0"/>
              <w:numPr>
                <w:ilvl w:val="0"/>
                <w:numId w:val="9"/>
              </w:numPr>
            </w:pPr>
            <w:r>
              <w:t>Change in procedures (</w:t>
            </w:r>
            <w:r w:rsidR="00E72B73">
              <w:t xml:space="preserve">e.g. </w:t>
            </w:r>
            <w:r>
              <w:t>biopsies, surgeries, investigations)</w:t>
            </w:r>
          </w:p>
          <w:p w14:paraId="6749997A" w14:textId="4CA84B02" w:rsidR="00811275" w:rsidRDefault="00811275" w:rsidP="00CA0DA3">
            <w:pPr>
              <w:pStyle w:val="TableText0"/>
              <w:numPr>
                <w:ilvl w:val="0"/>
                <w:numId w:val="9"/>
              </w:numPr>
            </w:pPr>
            <w:r>
              <w:t>Change in treatment (</w:t>
            </w:r>
            <w:r w:rsidR="00E72B73">
              <w:t xml:space="preserve">e.g. </w:t>
            </w:r>
            <w:r>
              <w:t>treatment ceased, initiated, avoided, de-escalated, targeted)</w:t>
            </w:r>
          </w:p>
          <w:p w14:paraId="0D91DC8D" w14:textId="77777777" w:rsidR="00811275" w:rsidRDefault="00811275" w:rsidP="00CA0DA3">
            <w:pPr>
              <w:pStyle w:val="TableText0"/>
              <w:numPr>
                <w:ilvl w:val="0"/>
                <w:numId w:val="9"/>
              </w:numPr>
            </w:pPr>
            <w:r>
              <w:t>Time to correct diagnosis</w:t>
            </w:r>
          </w:p>
          <w:p w14:paraId="794E0881" w14:textId="2647C5F9" w:rsidR="00811275" w:rsidRDefault="00811275" w:rsidP="003F0484">
            <w:pPr>
              <w:pStyle w:val="TableText0"/>
              <w:numPr>
                <w:ilvl w:val="0"/>
                <w:numId w:val="9"/>
              </w:numPr>
            </w:pPr>
            <w:r>
              <w:t>Time to appropriate treatment</w:t>
            </w:r>
          </w:p>
          <w:p w14:paraId="41A92C95" w14:textId="77777777" w:rsidR="00811275" w:rsidRPr="00874D54" w:rsidRDefault="00811275" w:rsidP="00811275">
            <w:pPr>
              <w:pStyle w:val="TableText0"/>
            </w:pPr>
            <w:r w:rsidRPr="00874D54">
              <w:t>Patient health outcomes</w:t>
            </w:r>
          </w:p>
          <w:p w14:paraId="12202361" w14:textId="77777777" w:rsidR="00811275" w:rsidRDefault="00811275" w:rsidP="00CA0DA3">
            <w:pPr>
              <w:pStyle w:val="TableText0"/>
              <w:numPr>
                <w:ilvl w:val="0"/>
                <w:numId w:val="10"/>
              </w:numPr>
            </w:pPr>
            <w:r>
              <w:t>Disease-specific mortality</w:t>
            </w:r>
          </w:p>
          <w:p w14:paraId="75F9EC25" w14:textId="77777777" w:rsidR="00811275" w:rsidRDefault="00811275" w:rsidP="00CA0DA3">
            <w:pPr>
              <w:pStyle w:val="TableText0"/>
              <w:numPr>
                <w:ilvl w:val="0"/>
                <w:numId w:val="10"/>
              </w:numPr>
            </w:pPr>
            <w:r>
              <w:t>Morbidity</w:t>
            </w:r>
          </w:p>
          <w:p w14:paraId="0FE53238" w14:textId="77777777" w:rsidR="00811275" w:rsidRDefault="00811275" w:rsidP="00CA0DA3">
            <w:pPr>
              <w:pStyle w:val="TableText0"/>
              <w:numPr>
                <w:ilvl w:val="0"/>
                <w:numId w:val="10"/>
              </w:numPr>
            </w:pPr>
            <w:r>
              <w:t>Time to clinical response to therapy</w:t>
            </w:r>
          </w:p>
          <w:p w14:paraId="66C43BAC" w14:textId="219E775F" w:rsidR="00811275" w:rsidRDefault="00811275" w:rsidP="00CA0DA3">
            <w:pPr>
              <w:pStyle w:val="TableText0"/>
              <w:numPr>
                <w:ilvl w:val="0"/>
                <w:numId w:val="10"/>
              </w:numPr>
            </w:pPr>
            <w:r>
              <w:t>Health</w:t>
            </w:r>
            <w:r w:rsidR="00536F60">
              <w:t>-</w:t>
            </w:r>
            <w:r>
              <w:t>related quality of life</w:t>
            </w:r>
          </w:p>
          <w:p w14:paraId="11323192" w14:textId="77777777" w:rsidR="00811275" w:rsidRDefault="00811275" w:rsidP="00811275">
            <w:pPr>
              <w:pStyle w:val="TableText0"/>
              <w:rPr>
                <w:b/>
                <w:bCs/>
              </w:rPr>
            </w:pPr>
            <w:r>
              <w:rPr>
                <w:b/>
                <w:bCs/>
              </w:rPr>
              <w:t>Health care resources</w:t>
            </w:r>
          </w:p>
          <w:p w14:paraId="4DA459B9" w14:textId="77777777" w:rsidR="00811275" w:rsidRDefault="00811275" w:rsidP="00CA0DA3">
            <w:pPr>
              <w:pStyle w:val="TableText0"/>
              <w:numPr>
                <w:ilvl w:val="0"/>
                <w:numId w:val="11"/>
              </w:numPr>
            </w:pPr>
            <w:r>
              <w:t>Cost of testing</w:t>
            </w:r>
          </w:p>
          <w:p w14:paraId="3512E413" w14:textId="77777777" w:rsidR="00811275" w:rsidRDefault="00811275" w:rsidP="00CA0DA3">
            <w:pPr>
              <w:pStyle w:val="TableText0"/>
              <w:numPr>
                <w:ilvl w:val="0"/>
                <w:numId w:val="11"/>
              </w:numPr>
            </w:pPr>
            <w:r>
              <w:t>Cost of treatment</w:t>
            </w:r>
          </w:p>
          <w:p w14:paraId="30C48CE3" w14:textId="77777777" w:rsidR="00811275" w:rsidRDefault="00811275" w:rsidP="00CA0DA3">
            <w:pPr>
              <w:pStyle w:val="TableText0"/>
              <w:numPr>
                <w:ilvl w:val="0"/>
                <w:numId w:val="11"/>
              </w:numPr>
            </w:pPr>
            <w:r>
              <w:t>Cost of adverse events</w:t>
            </w:r>
          </w:p>
          <w:p w14:paraId="7F5DAE16" w14:textId="77777777" w:rsidR="00811275" w:rsidRDefault="00811275" w:rsidP="00811275">
            <w:pPr>
              <w:pStyle w:val="TableText0"/>
              <w:rPr>
                <w:b/>
                <w:bCs/>
              </w:rPr>
            </w:pPr>
            <w:r>
              <w:rPr>
                <w:b/>
                <w:bCs/>
              </w:rPr>
              <w:t>Cost-effectiveness</w:t>
            </w:r>
          </w:p>
          <w:p w14:paraId="7CE8FA55" w14:textId="52263F40" w:rsidR="00F818C5" w:rsidRPr="00B21896" w:rsidRDefault="00F818C5" w:rsidP="00B21896">
            <w:pPr>
              <w:pStyle w:val="TableText0"/>
              <w:numPr>
                <w:ilvl w:val="0"/>
                <w:numId w:val="30"/>
              </w:numPr>
            </w:pPr>
            <w:r>
              <w:t>Incremental cost per QALY gained</w:t>
            </w:r>
          </w:p>
          <w:p w14:paraId="530C0536" w14:textId="47EC8916" w:rsidR="00811275" w:rsidRPr="00D52956" w:rsidRDefault="00811275" w:rsidP="00811275">
            <w:pPr>
              <w:pStyle w:val="TableText0"/>
            </w:pPr>
            <w:r>
              <w:rPr>
                <w:b/>
                <w:bCs/>
              </w:rPr>
              <w:t>Total Australian Government health care costs</w:t>
            </w:r>
          </w:p>
        </w:tc>
      </w:tr>
      <w:tr w:rsidR="00811275" w:rsidRPr="00490FBB" w14:paraId="0E3970B8" w14:textId="77777777" w:rsidTr="55B5D1E8">
        <w:tc>
          <w:tcPr>
            <w:tcW w:w="1005" w:type="pct"/>
            <w:tcBorders>
              <w:top w:val="single" w:sz="4" w:space="0" w:color="auto"/>
              <w:left w:val="single" w:sz="8" w:space="0" w:color="auto"/>
              <w:bottom w:val="single" w:sz="8" w:space="0" w:color="auto"/>
              <w:right w:val="single" w:sz="4" w:space="0" w:color="auto"/>
            </w:tcBorders>
          </w:tcPr>
          <w:p w14:paraId="5D8F6971" w14:textId="77777777" w:rsidR="00811275" w:rsidRPr="00D6625D" w:rsidRDefault="00811275" w:rsidP="00811275">
            <w:pPr>
              <w:pStyle w:val="TableText0"/>
              <w:rPr>
                <w:b/>
                <w:bCs/>
              </w:rPr>
            </w:pPr>
            <w:r w:rsidRPr="00D6625D">
              <w:rPr>
                <w:b/>
                <w:bCs/>
              </w:rPr>
              <w:lastRenderedPageBreak/>
              <w:t>Assessment questions</w:t>
            </w:r>
          </w:p>
        </w:tc>
        <w:tc>
          <w:tcPr>
            <w:tcW w:w="3995" w:type="pct"/>
            <w:tcBorders>
              <w:top w:val="single" w:sz="4" w:space="0" w:color="auto"/>
              <w:left w:val="single" w:sz="4" w:space="0" w:color="auto"/>
              <w:bottom w:val="single" w:sz="4" w:space="0" w:color="auto"/>
              <w:right w:val="single" w:sz="4" w:space="0" w:color="auto"/>
            </w:tcBorders>
          </w:tcPr>
          <w:p w14:paraId="5F4F03EB" w14:textId="38B86226" w:rsidR="00811275" w:rsidRDefault="004E7217" w:rsidP="001C4F81">
            <w:pPr>
              <w:pStyle w:val="TableText0"/>
              <w:numPr>
                <w:ilvl w:val="0"/>
                <w:numId w:val="27"/>
              </w:numPr>
              <w:rPr>
                <w:color w:val="000000" w:themeColor="text1"/>
              </w:rPr>
            </w:pPr>
            <w:r w:rsidRPr="00FD4C65">
              <w:rPr>
                <w:color w:val="000000" w:themeColor="text1"/>
              </w:rPr>
              <w:t>What</w:t>
            </w:r>
            <w:r w:rsidRPr="00490FBB">
              <w:rPr>
                <w:color w:val="000000" w:themeColor="text1"/>
              </w:rPr>
              <w:t xml:space="preserve"> is the safety, effectiveness and cost-effectiveness of </w:t>
            </w:r>
            <w:r>
              <w:rPr>
                <w:color w:val="000000" w:themeColor="text1"/>
              </w:rPr>
              <w:t>FDG</w:t>
            </w:r>
            <w:r w:rsidR="00AA4F21">
              <w:rPr>
                <w:color w:val="000000" w:themeColor="text1"/>
              </w:rPr>
              <w:t xml:space="preserve"> </w:t>
            </w:r>
            <w:r>
              <w:rPr>
                <w:color w:val="000000" w:themeColor="text1"/>
              </w:rPr>
              <w:t>PET/CT</w:t>
            </w:r>
            <w:r w:rsidRPr="00490FBB">
              <w:rPr>
                <w:color w:val="000000" w:themeColor="text1"/>
              </w:rPr>
              <w:t xml:space="preserve"> versus</w:t>
            </w:r>
            <w:r>
              <w:rPr>
                <w:color w:val="000000" w:themeColor="text1"/>
              </w:rPr>
              <w:t xml:space="preserve"> </w:t>
            </w:r>
            <w:r w:rsidR="00947685">
              <w:rPr>
                <w:color w:val="000000" w:themeColor="text1"/>
              </w:rPr>
              <w:t xml:space="preserve">contrast enhanced </w:t>
            </w:r>
            <w:r>
              <w:rPr>
                <w:color w:val="000000" w:themeColor="text1"/>
              </w:rPr>
              <w:t>CT</w:t>
            </w:r>
            <w:r w:rsidR="00B25CD1">
              <w:rPr>
                <w:color w:val="000000" w:themeColor="text1"/>
              </w:rPr>
              <w:t xml:space="preserve">, </w:t>
            </w:r>
            <w:r w:rsidR="00B25CD1" w:rsidRPr="00427C30">
              <w:t>Ga</w:t>
            </w:r>
            <w:r w:rsidR="00AF7876">
              <w:t>-67</w:t>
            </w:r>
            <w:r w:rsidR="00B25CD1" w:rsidRPr="00427C30">
              <w:t xml:space="preserve"> scintigraphy</w:t>
            </w:r>
            <w:r w:rsidR="001C285F">
              <w:t xml:space="preserve"> </w:t>
            </w:r>
            <w:r w:rsidR="00905F1C">
              <w:t xml:space="preserve">or </w:t>
            </w:r>
            <w:r w:rsidR="00B25CD1">
              <w:t>WBC scan</w:t>
            </w:r>
            <w:r w:rsidRPr="00490FBB">
              <w:rPr>
                <w:color w:val="000000" w:themeColor="text1"/>
              </w:rPr>
              <w:t xml:space="preserve"> in </w:t>
            </w:r>
            <w:r>
              <w:rPr>
                <w:color w:val="000000" w:themeColor="text1"/>
              </w:rPr>
              <w:t>p</w:t>
            </w:r>
            <w:r>
              <w:t xml:space="preserve">atients with </w:t>
            </w:r>
            <w:r w:rsidR="00947685">
              <w:t>FUO</w:t>
            </w:r>
            <w:r w:rsidR="0060383D">
              <w:t>/PUO</w:t>
            </w:r>
            <w:r w:rsidR="00947685">
              <w:t xml:space="preserve"> </w:t>
            </w:r>
            <w:r w:rsidR="00295B8C">
              <w:t>in whom baseline investigations have not identified the cause of fever or there is significant concern for additional undetected infections</w:t>
            </w:r>
            <w:r w:rsidRPr="00FD4C65">
              <w:rPr>
                <w:color w:val="000000" w:themeColor="text1"/>
              </w:rPr>
              <w:t>?</w:t>
            </w:r>
          </w:p>
          <w:p w14:paraId="61CCF0A9" w14:textId="76FC6F9F" w:rsidR="00947685" w:rsidRPr="00FD4C65" w:rsidRDefault="00947685" w:rsidP="001C4F81">
            <w:pPr>
              <w:pStyle w:val="TableText0"/>
              <w:numPr>
                <w:ilvl w:val="0"/>
                <w:numId w:val="27"/>
              </w:numPr>
              <w:rPr>
                <w:color w:val="000000" w:themeColor="text1"/>
              </w:rPr>
            </w:pPr>
            <w:r w:rsidRPr="00FD4C65">
              <w:rPr>
                <w:color w:val="000000" w:themeColor="text1"/>
              </w:rPr>
              <w:t>What</w:t>
            </w:r>
            <w:r w:rsidRPr="00490FBB">
              <w:rPr>
                <w:color w:val="000000" w:themeColor="text1"/>
              </w:rPr>
              <w:t xml:space="preserve"> is the safety, effectiveness and cost-effectiveness of </w:t>
            </w:r>
            <w:r>
              <w:rPr>
                <w:color w:val="000000" w:themeColor="text1"/>
              </w:rPr>
              <w:t>FDG</w:t>
            </w:r>
            <w:r w:rsidR="00AA4F21">
              <w:rPr>
                <w:color w:val="000000" w:themeColor="text1"/>
              </w:rPr>
              <w:t xml:space="preserve"> </w:t>
            </w:r>
            <w:r>
              <w:rPr>
                <w:color w:val="000000" w:themeColor="text1"/>
              </w:rPr>
              <w:t>PET/CT</w:t>
            </w:r>
            <w:r w:rsidRPr="00490FBB">
              <w:rPr>
                <w:color w:val="000000" w:themeColor="text1"/>
              </w:rPr>
              <w:t xml:space="preserve"> versus</w:t>
            </w:r>
            <w:r>
              <w:rPr>
                <w:color w:val="000000" w:themeColor="text1"/>
              </w:rPr>
              <w:t xml:space="preserve"> high-resolution CT</w:t>
            </w:r>
            <w:r w:rsidR="00B25CD1">
              <w:rPr>
                <w:color w:val="000000" w:themeColor="text1"/>
              </w:rPr>
              <w:t xml:space="preserve"> </w:t>
            </w:r>
            <w:r w:rsidR="006671B2">
              <w:rPr>
                <w:color w:val="000000" w:themeColor="text1"/>
              </w:rPr>
              <w:t xml:space="preserve">or </w:t>
            </w:r>
            <w:r w:rsidR="00B25CD1">
              <w:rPr>
                <w:color w:val="000000" w:themeColor="text1"/>
              </w:rPr>
              <w:t>WBC scan</w:t>
            </w:r>
            <w:r>
              <w:rPr>
                <w:color w:val="000000" w:themeColor="text1"/>
              </w:rPr>
              <w:t xml:space="preserve"> </w:t>
            </w:r>
            <w:r w:rsidRPr="00490FBB">
              <w:rPr>
                <w:color w:val="000000" w:themeColor="text1"/>
              </w:rPr>
              <w:t xml:space="preserve">in </w:t>
            </w:r>
            <w:r>
              <w:rPr>
                <w:color w:val="000000" w:themeColor="text1"/>
              </w:rPr>
              <w:t>p</w:t>
            </w:r>
            <w:r>
              <w:t>atients with persistent or recurrent neutropenic fever in whom baseline investigations have not identified the cause of fever or there is significant concern for additional undetected infections</w:t>
            </w:r>
            <w:r w:rsidR="002F008F">
              <w:t xml:space="preserve"> or </w:t>
            </w:r>
            <w:r w:rsidR="00BF164A">
              <w:t xml:space="preserve">an undetected </w:t>
            </w:r>
            <w:r w:rsidR="00313DE8">
              <w:t>nidus</w:t>
            </w:r>
            <w:r w:rsidR="00BF164A">
              <w:t xml:space="preserve"> of infection from a known pathogen</w:t>
            </w:r>
            <w:r w:rsidRPr="00FD4C65">
              <w:rPr>
                <w:color w:val="000000" w:themeColor="text1"/>
              </w:rPr>
              <w:t>?</w:t>
            </w:r>
          </w:p>
        </w:tc>
      </w:tr>
    </w:tbl>
    <w:p w14:paraId="2AC36E19" w14:textId="5BE794A3" w:rsidR="00D35EBD" w:rsidRPr="00490FBB" w:rsidRDefault="00C354CF" w:rsidP="00772317">
      <w:pPr>
        <w:pStyle w:val="Tablenotes"/>
        <w:jc w:val="left"/>
      </w:pPr>
      <w:r w:rsidRPr="00490FBB">
        <w:br w:type="page"/>
      </w:r>
    </w:p>
    <w:p w14:paraId="53297713" w14:textId="0DA7B658" w:rsidR="00912660" w:rsidRDefault="00912660" w:rsidP="00713728">
      <w:pPr>
        <w:pStyle w:val="Heading2"/>
      </w:pPr>
      <w:r>
        <w:lastRenderedPageBreak/>
        <w:t>Purpose of application</w:t>
      </w:r>
    </w:p>
    <w:p w14:paraId="0E65AD1B" w14:textId="21649D3B" w:rsidR="004C2C5E" w:rsidRDefault="004C2C5E" w:rsidP="004C2C5E">
      <w:pPr>
        <w:spacing w:after="240"/>
        <w:rPr>
          <w:iCs/>
        </w:rPr>
      </w:pPr>
      <w:r w:rsidRPr="009F445A">
        <w:rPr>
          <w:iCs/>
        </w:rPr>
        <w:t xml:space="preserve">An application requesting Medicare Benefits Schedule (MBS) listing of </w:t>
      </w:r>
      <w:r w:rsidR="00115E91" w:rsidRPr="009F445A">
        <w:t>F</w:t>
      </w:r>
      <w:r w:rsidR="00695EAE">
        <w:t>-18</w:t>
      </w:r>
      <w:r w:rsidR="00115E91" w:rsidRPr="009F445A">
        <w:t xml:space="preserve"> fluorodeoxyglucose </w:t>
      </w:r>
      <w:r w:rsidR="00115E91">
        <w:t>positron emission tomography (</w:t>
      </w:r>
      <w:r w:rsidR="00D64D40">
        <w:t xml:space="preserve">FDG </w:t>
      </w:r>
      <w:r w:rsidR="00115E91">
        <w:t xml:space="preserve">PET) </w:t>
      </w:r>
      <w:r w:rsidRPr="009A3778">
        <w:rPr>
          <w:iCs/>
        </w:rPr>
        <w:t xml:space="preserve">for </w:t>
      </w:r>
      <w:r w:rsidR="009F445A">
        <w:rPr>
          <w:iCs/>
        </w:rPr>
        <w:t xml:space="preserve">the evaluation of complex </w:t>
      </w:r>
      <w:r w:rsidR="003566B5">
        <w:rPr>
          <w:iCs/>
        </w:rPr>
        <w:t>infection</w:t>
      </w:r>
      <w:r w:rsidRPr="009A3778">
        <w:rPr>
          <w:iCs/>
        </w:rPr>
        <w:t xml:space="preserve"> was received from </w:t>
      </w:r>
      <w:r w:rsidR="009F445A">
        <w:rPr>
          <w:iCs/>
        </w:rPr>
        <w:t>Queensland X</w:t>
      </w:r>
      <w:r w:rsidR="006A56BA">
        <w:rPr>
          <w:iCs/>
        </w:rPr>
        <w:noBreakHyphen/>
      </w:r>
      <w:r w:rsidR="009F445A">
        <w:rPr>
          <w:iCs/>
        </w:rPr>
        <w:t>Ray Pty L</w:t>
      </w:r>
      <w:r w:rsidR="008E51B5">
        <w:rPr>
          <w:iCs/>
        </w:rPr>
        <w:t>imited</w:t>
      </w:r>
      <w:r w:rsidRPr="009A3778">
        <w:rPr>
          <w:iCs/>
        </w:rPr>
        <w:t xml:space="preserve"> by the </w:t>
      </w:r>
      <w:r w:rsidR="009F445A">
        <w:rPr>
          <w:iCs/>
        </w:rPr>
        <w:t xml:space="preserve">Department of Health, </w:t>
      </w:r>
      <w:r w:rsidR="008E51B5">
        <w:rPr>
          <w:iCs/>
        </w:rPr>
        <w:t>Disability and Ageing (the department)</w:t>
      </w:r>
      <w:r w:rsidRPr="009A3778">
        <w:rPr>
          <w:iCs/>
        </w:rPr>
        <w:t>.</w:t>
      </w:r>
    </w:p>
    <w:p w14:paraId="3FED3CA0" w14:textId="5A65529D" w:rsidR="003F182C" w:rsidRPr="009A3778" w:rsidRDefault="003F182C" w:rsidP="004C2C5E">
      <w:pPr>
        <w:spacing w:after="240"/>
        <w:rPr>
          <w:iCs/>
        </w:rPr>
      </w:pPr>
      <w:r>
        <w:t>The clinical claim is that FDG PET</w:t>
      </w:r>
      <w:r w:rsidR="00737823">
        <w:t>/</w:t>
      </w:r>
      <w:r w:rsidR="0090443E">
        <w:t>CT</w:t>
      </w:r>
      <w:r>
        <w:t xml:space="preserve"> imaging is superior to other second-line advanced imaging techniques for patients with complex infection, resulting in a quicker, more </w:t>
      </w:r>
      <w:r w:rsidR="00C20B6F">
        <w:t xml:space="preserve">informed </w:t>
      </w:r>
      <w:r>
        <w:t>diagnosis, and lowered healthcare burden.</w:t>
      </w:r>
    </w:p>
    <w:p w14:paraId="18E66948" w14:textId="77777777" w:rsidR="00D73332" w:rsidRPr="00FD4C65" w:rsidRDefault="00D73332" w:rsidP="00FD4C65">
      <w:pPr>
        <w:pStyle w:val="Heading2"/>
      </w:pPr>
      <w:r w:rsidRPr="00FD4C65">
        <w:t xml:space="preserve">PICO </w:t>
      </w:r>
      <w:r w:rsidR="00FD4E33" w:rsidRPr="00FD4C65">
        <w:t xml:space="preserve">criteria </w:t>
      </w:r>
    </w:p>
    <w:p w14:paraId="06B30611" w14:textId="513E4236" w:rsidR="007D6B83" w:rsidRDefault="007D6B83" w:rsidP="007D6B83">
      <w:pPr>
        <w:pStyle w:val="Heading3"/>
      </w:pPr>
      <w:r w:rsidRPr="00713728">
        <w:t>Population</w:t>
      </w:r>
    </w:p>
    <w:p w14:paraId="7AEEA1AF" w14:textId="6463D844" w:rsidR="009A5D98" w:rsidRDefault="009A5D98" w:rsidP="009A5D98">
      <w:r>
        <w:t>The</w:t>
      </w:r>
      <w:r w:rsidR="008A5E27">
        <w:t xml:space="preserve"> application includes 2 PICO sets with multiple subgroups.</w:t>
      </w:r>
    </w:p>
    <w:p w14:paraId="42CBC636" w14:textId="7C1F3C54" w:rsidR="00B46A69" w:rsidRDefault="00B46A69" w:rsidP="00597FFA">
      <w:pPr>
        <w:spacing w:after="0"/>
      </w:pPr>
      <w:r w:rsidRPr="00597FFA">
        <w:rPr>
          <w:b/>
          <w:bCs/>
        </w:rPr>
        <w:t>PICO Set 1:</w:t>
      </w:r>
      <w:r>
        <w:t xml:space="preserve"> patients with deep seated</w:t>
      </w:r>
      <w:r w:rsidR="002E208F">
        <w:t>,</w:t>
      </w:r>
      <w:r>
        <w:t xml:space="preserve"> </w:t>
      </w:r>
      <w:r w:rsidR="004D24FA">
        <w:t>complex,</w:t>
      </w:r>
      <w:r>
        <w:t xml:space="preserve"> </w:t>
      </w:r>
      <w:r w:rsidR="0015610C">
        <w:t xml:space="preserve">or rare </w:t>
      </w:r>
      <w:r>
        <w:t xml:space="preserve">infection, in whom standard initial clinical evaluation </w:t>
      </w:r>
      <w:r w:rsidR="006E471A">
        <w:t xml:space="preserve">consisting of clinical history, physical examination, laboratory tests and targeted imaging (unless contraindicated) </w:t>
      </w:r>
      <w:r>
        <w:t xml:space="preserve">has not provided a definitive diagnosis and where treatment decisions depend on accurate and timely identification of the infection sites. </w:t>
      </w:r>
    </w:p>
    <w:p w14:paraId="1E7FDF9C" w14:textId="32671432" w:rsidR="00B46A69" w:rsidRDefault="00B46A69" w:rsidP="005451A0">
      <w:pPr>
        <w:spacing w:after="0"/>
      </w:pPr>
      <w:r>
        <w:t>Subgroups to be considered</w:t>
      </w:r>
      <w:r w:rsidR="00C65A0D">
        <w:t xml:space="preserve"> include</w:t>
      </w:r>
      <w:r>
        <w:t>:</w:t>
      </w:r>
    </w:p>
    <w:p w14:paraId="2AB21CEB" w14:textId="2F962BA3" w:rsidR="00B46A69" w:rsidRDefault="00C65A0D" w:rsidP="00CA0DA3">
      <w:pPr>
        <w:pStyle w:val="ListParagraph"/>
        <w:numPr>
          <w:ilvl w:val="0"/>
          <w:numId w:val="14"/>
        </w:numPr>
      </w:pPr>
      <w:r>
        <w:t>s</w:t>
      </w:r>
      <w:r w:rsidR="00B46A69">
        <w:t xml:space="preserve">pinal infections (vertebral osteomyelitis, discitis, or epidural abscess)  </w:t>
      </w:r>
    </w:p>
    <w:p w14:paraId="0E0C3486" w14:textId="1CA4FF59" w:rsidR="00B46A69" w:rsidRDefault="00C65A0D" w:rsidP="00CA0DA3">
      <w:pPr>
        <w:pStyle w:val="ListParagraph"/>
        <w:numPr>
          <w:ilvl w:val="0"/>
          <w:numId w:val="14"/>
        </w:numPr>
      </w:pPr>
      <w:r>
        <w:t>o</w:t>
      </w:r>
      <w:r w:rsidR="00B46A69">
        <w:t xml:space="preserve">steomyelitis in cases of a known soft tissue infection (including diabetic foot ulcers), fracture related osteomyelitis, and to assess for dissemination of infection to other skeletal sites or organs  </w:t>
      </w:r>
    </w:p>
    <w:p w14:paraId="0547A14B" w14:textId="5861B083" w:rsidR="00B46A69" w:rsidRDefault="00C65A0D" w:rsidP="00CA0DA3">
      <w:pPr>
        <w:pStyle w:val="ListParagraph"/>
        <w:numPr>
          <w:ilvl w:val="0"/>
          <w:numId w:val="14"/>
        </w:numPr>
      </w:pPr>
      <w:r>
        <w:t>b</w:t>
      </w:r>
      <w:r w:rsidR="00B46A69">
        <w:t xml:space="preserve">one and joint infections in children  </w:t>
      </w:r>
    </w:p>
    <w:p w14:paraId="28037EF5" w14:textId="0B003C78" w:rsidR="00B46A69" w:rsidRDefault="00C65A0D" w:rsidP="00CA0DA3">
      <w:pPr>
        <w:pStyle w:val="ListParagraph"/>
        <w:numPr>
          <w:ilvl w:val="0"/>
          <w:numId w:val="14"/>
        </w:numPr>
      </w:pPr>
      <w:r>
        <w:t>p</w:t>
      </w:r>
      <w:r w:rsidR="00B46A69">
        <w:t xml:space="preserve">rosthetic joint infection or other orthopaedic hardware infection, if more than 2 years post-surgery  </w:t>
      </w:r>
    </w:p>
    <w:p w14:paraId="292A4623" w14:textId="161E5843" w:rsidR="00B46A69" w:rsidRDefault="00C65A0D" w:rsidP="00CA0DA3">
      <w:pPr>
        <w:pStyle w:val="ListParagraph"/>
        <w:numPr>
          <w:ilvl w:val="0"/>
          <w:numId w:val="14"/>
        </w:numPr>
      </w:pPr>
      <w:r>
        <w:t>i</w:t>
      </w:r>
      <w:r w:rsidR="00B46A69">
        <w:t xml:space="preserve">nfective endocarditis, including following congenital heart disease, or due to prosthetic valve infection, cardiac implantable electronic device (CIED) infection or septic emboli   </w:t>
      </w:r>
    </w:p>
    <w:p w14:paraId="55D16AFB" w14:textId="33E78F75" w:rsidR="00B46A69" w:rsidRDefault="00C65A0D" w:rsidP="00CA0DA3">
      <w:pPr>
        <w:pStyle w:val="ListParagraph"/>
        <w:numPr>
          <w:ilvl w:val="0"/>
          <w:numId w:val="14"/>
        </w:numPr>
      </w:pPr>
      <w:r>
        <w:t>e</w:t>
      </w:r>
      <w:r w:rsidR="00B46A69">
        <w:t xml:space="preserve">xtrapulmonary non-tuberculous mycobacterial (EPNTM) infection  </w:t>
      </w:r>
    </w:p>
    <w:p w14:paraId="73C4368D" w14:textId="555A66EA" w:rsidR="009A5D98" w:rsidRDefault="003A6C5F" w:rsidP="00CA0DA3">
      <w:pPr>
        <w:pStyle w:val="ListParagraph"/>
        <w:numPr>
          <w:ilvl w:val="0"/>
          <w:numId w:val="14"/>
        </w:numPr>
      </w:pPr>
      <w:r>
        <w:t xml:space="preserve">suspected metastatic infection secondary to </w:t>
      </w:r>
      <w:r w:rsidR="00C65A0D">
        <w:t>b</w:t>
      </w:r>
      <w:r w:rsidR="00B46A69">
        <w:t xml:space="preserve">acteraemia (for example </w:t>
      </w:r>
      <w:r w:rsidR="00B46A69" w:rsidRPr="00DD55D8">
        <w:rPr>
          <w:i/>
          <w:iCs/>
        </w:rPr>
        <w:t>Staphylococcus aureus</w:t>
      </w:r>
      <w:r w:rsidR="00B46A69">
        <w:t xml:space="preserve"> or other pathogens with a high risk of metastatic infection) </w:t>
      </w:r>
    </w:p>
    <w:p w14:paraId="1C253A3B" w14:textId="2E935C08" w:rsidR="007E6005" w:rsidRDefault="00F30350" w:rsidP="005451A0">
      <w:pPr>
        <w:spacing w:after="0"/>
      </w:pPr>
      <w:r w:rsidRPr="00CE34D7">
        <w:rPr>
          <w:b/>
          <w:bCs/>
        </w:rPr>
        <w:t>PICO Set 2:</w:t>
      </w:r>
      <w:r>
        <w:t xml:space="preserve"> </w:t>
      </w:r>
      <w:r w:rsidR="009224CF">
        <w:t xml:space="preserve">patients with persistent fever of unknown origin </w:t>
      </w:r>
      <w:r w:rsidR="00103B03">
        <w:t>or</w:t>
      </w:r>
      <w:r w:rsidR="009224CF">
        <w:t xml:space="preserve"> </w:t>
      </w:r>
      <w:r w:rsidR="00103B03">
        <w:t>persistent</w:t>
      </w:r>
      <w:r w:rsidR="00760773">
        <w:t xml:space="preserve"> or recurrent </w:t>
      </w:r>
      <w:r w:rsidR="00567150">
        <w:t xml:space="preserve">neutropenic fever </w:t>
      </w:r>
      <w:r w:rsidR="007E6005">
        <w:t>consists of two subgroups</w:t>
      </w:r>
      <w:r w:rsidR="008F4186">
        <w:t>:</w:t>
      </w:r>
    </w:p>
    <w:p w14:paraId="2B92CAC8" w14:textId="2FD6A7CB" w:rsidR="00F30350" w:rsidRDefault="008F4186" w:rsidP="00CA0DA3">
      <w:pPr>
        <w:pStyle w:val="ListParagraph"/>
        <w:numPr>
          <w:ilvl w:val="0"/>
          <w:numId w:val="15"/>
        </w:numPr>
      </w:pPr>
      <w:r>
        <w:t>p</w:t>
      </w:r>
      <w:r w:rsidR="00D11BF8">
        <w:t>atients with persistent fever</w:t>
      </w:r>
      <w:r w:rsidR="00F44F86">
        <w:t>/pyrexia</w:t>
      </w:r>
      <w:r w:rsidR="00312158">
        <w:t xml:space="preserve"> of unknown origin</w:t>
      </w:r>
      <w:r w:rsidR="002F710C">
        <w:t xml:space="preserve"> (FUO</w:t>
      </w:r>
      <w:r w:rsidR="00C345F7">
        <w:t>/PUO)</w:t>
      </w:r>
      <w:r w:rsidR="00D11BF8">
        <w:t xml:space="preserve"> with absence of diagnosis or resolution despite </w:t>
      </w:r>
      <w:r w:rsidR="00597FFA">
        <w:t xml:space="preserve">initial </w:t>
      </w:r>
      <w:r w:rsidR="00D11BF8">
        <w:t>investigations</w:t>
      </w:r>
      <w:r w:rsidR="00CE34D7">
        <w:t>.</w:t>
      </w:r>
      <w:r w:rsidR="00C345F7">
        <w:t xml:space="preserve"> </w:t>
      </w:r>
      <w:r w:rsidR="00F30350">
        <w:t>FUO/PUO</w:t>
      </w:r>
      <w:r w:rsidR="00710E26">
        <w:t>,</w:t>
      </w:r>
      <w:r w:rsidR="00F30350">
        <w:t xml:space="preserve"> defined as: </w:t>
      </w:r>
    </w:p>
    <w:p w14:paraId="397A1CE5" w14:textId="4CF22D98" w:rsidR="00F30350" w:rsidRDefault="008F4186" w:rsidP="00CA0DA3">
      <w:pPr>
        <w:pStyle w:val="ListParagraph"/>
        <w:numPr>
          <w:ilvl w:val="1"/>
          <w:numId w:val="14"/>
        </w:numPr>
      </w:pPr>
      <w:r>
        <w:t>d</w:t>
      </w:r>
      <w:r w:rsidR="00F30350">
        <w:t>ocumented fever ≥38.3 °C on at least two occasions</w:t>
      </w:r>
      <w:r w:rsidR="006F5107">
        <w:t>;</w:t>
      </w:r>
      <w:r w:rsidR="00F30350">
        <w:t xml:space="preserve"> and  </w:t>
      </w:r>
    </w:p>
    <w:p w14:paraId="128152C2" w14:textId="7B7AE90C" w:rsidR="0094388A" w:rsidRDefault="008F4186" w:rsidP="005451A0">
      <w:pPr>
        <w:pStyle w:val="ListParagraph"/>
        <w:numPr>
          <w:ilvl w:val="1"/>
          <w:numId w:val="14"/>
        </w:numPr>
        <w:spacing w:after="0"/>
      </w:pPr>
      <w:r>
        <w:t>d</w:t>
      </w:r>
      <w:r w:rsidR="00F30350">
        <w:t>uration of fever ≥3 weeks</w:t>
      </w:r>
    </w:p>
    <w:p w14:paraId="747F5293" w14:textId="4C1BF509" w:rsidR="00F30350" w:rsidRDefault="008F4186" w:rsidP="005451A0">
      <w:pPr>
        <w:spacing w:after="0"/>
        <w:ind w:left="720"/>
      </w:pPr>
      <w:r>
        <w:t>or</w:t>
      </w:r>
    </w:p>
    <w:p w14:paraId="4C06D2F0" w14:textId="26E44B49" w:rsidR="00F30350" w:rsidRDefault="008F4186" w:rsidP="00CA0DA3">
      <w:pPr>
        <w:pStyle w:val="ListParagraph"/>
        <w:numPr>
          <w:ilvl w:val="0"/>
          <w:numId w:val="14"/>
        </w:numPr>
      </w:pPr>
      <w:r>
        <w:t>p</w:t>
      </w:r>
      <w:r w:rsidR="00F30350">
        <w:t>atients with persistent or recurrent high-risk neutropenic fever defined as:</w:t>
      </w:r>
    </w:p>
    <w:p w14:paraId="3CD7140F" w14:textId="5EAF5891" w:rsidR="00F30350" w:rsidRDefault="008F4186" w:rsidP="00CA0DA3">
      <w:pPr>
        <w:pStyle w:val="ListParagraph"/>
        <w:numPr>
          <w:ilvl w:val="1"/>
          <w:numId w:val="14"/>
        </w:numPr>
      </w:pPr>
      <w:r>
        <w:t>p</w:t>
      </w:r>
      <w:r w:rsidR="00F30350">
        <w:t xml:space="preserve">ersistent fever: </w:t>
      </w:r>
      <w:r>
        <w:t>a</w:t>
      </w:r>
      <w:r w:rsidR="00F30350">
        <w:t>bsolute neutrophil count &lt;0.5 X 10</w:t>
      </w:r>
      <w:r w:rsidR="00F30350" w:rsidRPr="005451A0">
        <w:rPr>
          <w:vertAlign w:val="superscript"/>
        </w:rPr>
        <w:t>9</w:t>
      </w:r>
      <w:r w:rsidR="00F30350">
        <w:t xml:space="preserve">/L and documented fever ≥38.0 °C daily for at least 3 days; </w:t>
      </w:r>
      <w:r w:rsidR="004978EE">
        <w:t>or</w:t>
      </w:r>
      <w:r w:rsidR="00F30350">
        <w:t xml:space="preserve">  </w:t>
      </w:r>
    </w:p>
    <w:p w14:paraId="015FE60D" w14:textId="0DB8DFAE" w:rsidR="00F30350" w:rsidRDefault="008F4186">
      <w:pPr>
        <w:pStyle w:val="ListParagraph"/>
        <w:numPr>
          <w:ilvl w:val="1"/>
          <w:numId w:val="14"/>
        </w:numPr>
        <w:spacing w:before="120" w:after="0"/>
        <w:ind w:left="720"/>
      </w:pPr>
      <w:r>
        <w:t>r</w:t>
      </w:r>
      <w:r w:rsidR="00F30350">
        <w:t xml:space="preserve">ecurrent fever: </w:t>
      </w:r>
      <w:r>
        <w:t>d</w:t>
      </w:r>
      <w:r w:rsidR="00F30350">
        <w:t>ocumented fever ≥38.0 °C which has recurred during same neutropenic episode after an initial episode of neutropenic fever (temperature ≥38.0 °C sustained over 1 hour during absolute neutrophil count &lt;0.5 X 10</w:t>
      </w:r>
      <w:r w:rsidR="00F30350" w:rsidRPr="00CC7E20">
        <w:rPr>
          <w:vertAlign w:val="superscript"/>
        </w:rPr>
        <w:t>9</w:t>
      </w:r>
      <w:r w:rsidR="00F30350">
        <w:t>/L)</w:t>
      </w:r>
      <w:r w:rsidR="00CE4620">
        <w:t xml:space="preserve"> </w:t>
      </w:r>
      <w:r>
        <w:t>i</w:t>
      </w:r>
      <w:r w:rsidR="00F30350">
        <w:t xml:space="preserve">n whom baseline investigations have not identified the </w:t>
      </w:r>
      <w:r w:rsidR="00F30350">
        <w:lastRenderedPageBreak/>
        <w:t>cause of fever, or there is significant concern for additional undetected infections (</w:t>
      </w:r>
      <w:r w:rsidR="003F51C3">
        <w:t>e.g.</w:t>
      </w:r>
      <w:r w:rsidR="00F30350">
        <w:t xml:space="preserve"> fungal infection) or concern for undetected nidus of infection of a known pathogen (</w:t>
      </w:r>
      <w:r w:rsidR="0050796C">
        <w:t>e.g.</w:t>
      </w:r>
      <w:r w:rsidR="00F30350">
        <w:t xml:space="preserve"> bacteraemia with concern for deep seated infection)</w:t>
      </w:r>
      <w:r w:rsidR="003F51C3">
        <w:t>.</w:t>
      </w:r>
    </w:p>
    <w:p w14:paraId="07A4CE11" w14:textId="77777777" w:rsidR="00CE4620" w:rsidRDefault="00CE4620" w:rsidP="007F1B94">
      <w:pPr>
        <w:pStyle w:val="ListParagraph"/>
        <w:spacing w:before="120" w:after="0"/>
      </w:pPr>
    </w:p>
    <w:p w14:paraId="2E9765E4" w14:textId="7D252C36" w:rsidR="00553601" w:rsidRDefault="000A5805" w:rsidP="00927F7C">
      <w:r>
        <w:t xml:space="preserve">The indications in the application are all </w:t>
      </w:r>
      <w:r w:rsidR="00427A0C">
        <w:t xml:space="preserve">diagnostically challenging </w:t>
      </w:r>
      <w:r w:rsidR="00361638">
        <w:t>with</w:t>
      </w:r>
      <w:r w:rsidR="00427A0C">
        <w:t xml:space="preserve"> no single routine test available </w:t>
      </w:r>
      <w:r w:rsidR="00142CFB">
        <w:t>with high diagnostic accuracy</w:t>
      </w:r>
      <w:r w:rsidR="00C54343">
        <w:t xml:space="preserve">. Diagnosis is usually made </w:t>
      </w:r>
      <w:r w:rsidR="00BC21FE">
        <w:t>with a combination of clinical, laboratory, microbiological and imaging tests</w:t>
      </w:r>
      <w:r w:rsidR="0050796C">
        <w:t>,</w:t>
      </w:r>
      <w:r w:rsidR="007427DD">
        <w:t xml:space="preserve"> and these can be determined based on</w:t>
      </w:r>
      <w:r w:rsidR="00AB068F">
        <w:t xml:space="preserve"> clinical presentation,</w:t>
      </w:r>
      <w:r w:rsidR="007427DD">
        <w:t xml:space="preserve"> personal experience, </w:t>
      </w:r>
      <w:r w:rsidR="009305C1">
        <w:t xml:space="preserve">test </w:t>
      </w:r>
      <w:r w:rsidR="007427DD">
        <w:t xml:space="preserve">availability, institutional </w:t>
      </w:r>
      <w:r w:rsidR="00361638">
        <w:t>experience,</w:t>
      </w:r>
      <w:r w:rsidR="007427DD">
        <w:t xml:space="preserve"> and financial </w:t>
      </w:r>
      <w:r w:rsidR="009305C1">
        <w:t>considerations</w:t>
      </w:r>
      <w:r w:rsidR="00756D2F">
        <w:t>. The</w:t>
      </w:r>
      <w:r w:rsidR="000A26A3">
        <w:t>se</w:t>
      </w:r>
      <w:r w:rsidR="00756D2F">
        <w:t xml:space="preserve"> </w:t>
      </w:r>
      <w:r w:rsidR="00CC6609">
        <w:t>testing stra</w:t>
      </w:r>
      <w:r w:rsidR="00E666C3">
        <w:t>tegies</w:t>
      </w:r>
      <w:r w:rsidR="00756D2F">
        <w:t xml:space="preserve"> </w:t>
      </w:r>
      <w:r w:rsidR="00E666C3">
        <w:t xml:space="preserve">each </w:t>
      </w:r>
      <w:r w:rsidR="00756D2F">
        <w:t xml:space="preserve">have their limitations </w:t>
      </w:r>
      <w:r w:rsidR="00761818" w:rsidRPr="00761818">
        <w:rPr>
          <w:rFonts w:cs="Calibri"/>
        </w:rPr>
        <w:t>(Glaudemans et al. 2019)</w:t>
      </w:r>
      <w:r w:rsidR="00756D2F">
        <w:t>.</w:t>
      </w:r>
      <w:r w:rsidR="00E86D8B">
        <w:t xml:space="preserve"> The gold standard for many indications </w:t>
      </w:r>
      <w:r w:rsidR="006B7AF4">
        <w:t xml:space="preserve">is </w:t>
      </w:r>
      <w:r w:rsidR="00B26D08">
        <w:t xml:space="preserve">histopathological examination of tissue sample obtained by </w:t>
      </w:r>
      <w:r w:rsidR="006B7AF4">
        <w:t xml:space="preserve">biopsy and </w:t>
      </w:r>
      <w:r w:rsidR="00B26D08">
        <w:t xml:space="preserve">microbiological </w:t>
      </w:r>
      <w:r w:rsidR="006B7AF4">
        <w:t>culture of the infected site</w:t>
      </w:r>
      <w:r w:rsidR="00AB082D">
        <w:t>;</w:t>
      </w:r>
      <w:r w:rsidR="006B7AF4">
        <w:t xml:space="preserve"> however</w:t>
      </w:r>
      <w:r w:rsidR="00AB082D">
        <w:t>,</w:t>
      </w:r>
      <w:r w:rsidR="006B7AF4">
        <w:t xml:space="preserve"> this requires prior identification of the site</w:t>
      </w:r>
      <w:r w:rsidR="00DC3B3B">
        <w:t>, may require</w:t>
      </w:r>
      <w:r w:rsidR="006B7AF4">
        <w:t xml:space="preserve"> image guidance</w:t>
      </w:r>
      <w:r w:rsidR="00DC3B3B">
        <w:t xml:space="preserve"> and</w:t>
      </w:r>
      <w:r w:rsidR="006B7AF4">
        <w:t xml:space="preserve"> can be invasive. </w:t>
      </w:r>
    </w:p>
    <w:p w14:paraId="5E987364" w14:textId="33C2F4FD" w:rsidR="00004DC8" w:rsidRDefault="0089353B" w:rsidP="00004DC8">
      <w:pPr>
        <w:pStyle w:val="Heading4"/>
      </w:pPr>
      <w:r>
        <w:t>PICO Set 1: complex infection</w:t>
      </w:r>
    </w:p>
    <w:p w14:paraId="33134FB6" w14:textId="319C9095" w:rsidR="00717392" w:rsidRDefault="00717392" w:rsidP="00717392">
      <w:r>
        <w:t>There are 8 subgroups of complex infection to be considered</w:t>
      </w:r>
      <w:r w:rsidR="00E666C3">
        <w:t>;</w:t>
      </w:r>
      <w:r w:rsidR="00C838F6">
        <w:t xml:space="preserve"> however</w:t>
      </w:r>
      <w:r w:rsidR="00E666C3">
        <w:t>,</w:t>
      </w:r>
      <w:r w:rsidR="00C838F6">
        <w:t xml:space="preserve"> across all subgroups</w:t>
      </w:r>
      <w:r w:rsidR="004C0DC2">
        <w:t>,</w:t>
      </w:r>
      <w:r w:rsidR="000B1170">
        <w:t xml:space="preserve"> the eligible patients are those who have already undergone standard </w:t>
      </w:r>
      <w:r w:rsidR="00AF576D">
        <w:t>initial</w:t>
      </w:r>
      <w:r w:rsidR="000B1170">
        <w:t xml:space="preserve"> investigations. </w:t>
      </w:r>
      <w:r w:rsidR="006B6141">
        <w:t>These differ  for different subgroups</w:t>
      </w:r>
      <w:r w:rsidR="005F5D9F">
        <w:t xml:space="preserve"> but include laboratory tests, </w:t>
      </w:r>
      <w:r w:rsidR="00526E97">
        <w:t xml:space="preserve">plain </w:t>
      </w:r>
      <w:r w:rsidR="008A5DE3">
        <w:t>X</w:t>
      </w:r>
      <w:r w:rsidR="00526E97">
        <w:t>-ray, cultures</w:t>
      </w:r>
      <w:r w:rsidR="00A32528">
        <w:t>, and biopsy. They are high-yield and low</w:t>
      </w:r>
      <w:r w:rsidR="001C6B76">
        <w:t>-</w:t>
      </w:r>
      <w:r w:rsidR="00A32528">
        <w:t>cost</w:t>
      </w:r>
      <w:r w:rsidR="001C6B76">
        <w:t xml:space="preserve"> tests</w:t>
      </w:r>
      <w:r w:rsidR="60820913">
        <w:t xml:space="preserve"> and can</w:t>
      </w:r>
      <w:r w:rsidR="00A32528">
        <w:t xml:space="preserve"> identify the source of infection in </w:t>
      </w:r>
      <w:r w:rsidR="009A6BB2">
        <w:t>most cases</w:t>
      </w:r>
      <w:r w:rsidR="001C6B76">
        <w:t>.</w:t>
      </w:r>
      <w:r w:rsidR="00336A82">
        <w:t xml:space="preserve"> </w:t>
      </w:r>
      <w:r w:rsidR="001C6B76">
        <w:t>T</w:t>
      </w:r>
      <w:r w:rsidR="00336A82">
        <w:t>herefore</w:t>
      </w:r>
      <w:r w:rsidR="001C6B76">
        <w:t>,</w:t>
      </w:r>
      <w:r w:rsidR="00336A82">
        <w:t xml:space="preserve"> the proposed population is patients </w:t>
      </w:r>
      <w:r w:rsidR="00DE4A8C">
        <w:t xml:space="preserve">where there remains diagnostic uncertainty following </w:t>
      </w:r>
      <w:r w:rsidR="00956F97">
        <w:t>initial investigations</w:t>
      </w:r>
      <w:r w:rsidR="5817A0E2">
        <w:t xml:space="preserve"> and patients remain clinically unwell</w:t>
      </w:r>
      <w:r w:rsidR="00956F97">
        <w:t xml:space="preserve">. </w:t>
      </w:r>
      <w:r w:rsidR="00740920">
        <w:t xml:space="preserve">Noting that there is heterogeneity in clinical pathways, a summary of the prior and comparator tests for each subgroup is presented in </w:t>
      </w:r>
      <w:r>
        <w:fldChar w:fldCharType="begin"/>
      </w:r>
      <w:r>
        <w:instrText xml:space="preserve"> REF _Ref234313368 \h </w:instrText>
      </w:r>
      <w:r>
        <w:fldChar w:fldCharType="separate"/>
      </w:r>
      <w:r w:rsidR="00A37EFA">
        <w:t xml:space="preserve">Table </w:t>
      </w:r>
      <w:r w:rsidR="00A37EFA" w:rsidRPr="55B5D1E8">
        <w:rPr>
          <w:noProof/>
        </w:rPr>
        <w:t>3</w:t>
      </w:r>
      <w:r>
        <w:fldChar w:fldCharType="end"/>
      </w:r>
      <w:r w:rsidR="00A37EFA">
        <w:t>, noting the atypical or uncommon subgroup is not included in the table due to the heterogeneity within this population group</w:t>
      </w:r>
      <w:r w:rsidR="005D45DB">
        <w:t>.</w:t>
      </w:r>
    </w:p>
    <w:p w14:paraId="5E02DC93" w14:textId="6B5E08DA" w:rsidR="00AD5C4F" w:rsidRPr="00717392" w:rsidRDefault="005750DC" w:rsidP="00717392">
      <w:r>
        <w:t>The subgroups are not mutually exclusive</w:t>
      </w:r>
      <w:r w:rsidR="003B3B35">
        <w:t>;</w:t>
      </w:r>
      <w:r>
        <w:t xml:space="preserve"> for example, </w:t>
      </w:r>
      <w:r w:rsidR="00CB569B">
        <w:t>bacteraemia</w:t>
      </w:r>
      <w:r>
        <w:t xml:space="preserve"> can lead to osteomyelitis and/or infective endocarditis</w:t>
      </w:r>
      <w:r w:rsidR="00F41414">
        <w:t>. Furthermore, there are more granular indications within subgroups</w:t>
      </w:r>
      <w:r w:rsidR="003B3B35">
        <w:t>;</w:t>
      </w:r>
      <w:r w:rsidR="00F41414">
        <w:t xml:space="preserve"> for example, </w:t>
      </w:r>
      <w:r w:rsidR="00703B06">
        <w:t>prosthetic joint</w:t>
      </w:r>
      <w:r w:rsidR="00F41414">
        <w:t xml:space="preserve"> </w:t>
      </w:r>
      <w:r w:rsidR="006D6367">
        <w:t xml:space="preserve">infections </w:t>
      </w:r>
      <w:r w:rsidR="00703B06">
        <w:t>at different sites (hip, knee, shoulder etc.)</w:t>
      </w:r>
      <w:r w:rsidR="00B0182D">
        <w:t xml:space="preserve">, fracture-related </w:t>
      </w:r>
      <w:r w:rsidR="00321B55">
        <w:t xml:space="preserve">osteomyelitis, and endocarditis </w:t>
      </w:r>
      <w:r w:rsidR="0071237E">
        <w:t>of prosthetic</w:t>
      </w:r>
      <w:r w:rsidR="00547871">
        <w:t xml:space="preserve"> valves</w:t>
      </w:r>
      <w:r w:rsidR="009D4D8A">
        <w:t xml:space="preserve">, </w:t>
      </w:r>
      <w:r w:rsidR="0071237E">
        <w:t>native valves</w:t>
      </w:r>
      <w:r w:rsidR="009D4D8A">
        <w:t>,</w:t>
      </w:r>
      <w:r w:rsidR="002B20D0">
        <w:t xml:space="preserve"> cardiac implantable electronic devices (CIEDs) and ventricular assist devices (VADs). </w:t>
      </w:r>
    </w:p>
    <w:p w14:paraId="088F250E" w14:textId="5F2F8608" w:rsidR="00890568" w:rsidRDefault="00890568" w:rsidP="00890568">
      <w:pPr>
        <w:pStyle w:val="Caption"/>
      </w:pPr>
      <w:bookmarkStart w:id="3" w:name="_Ref234313368"/>
      <w:r>
        <w:lastRenderedPageBreak/>
        <w:t xml:space="preserve">Table </w:t>
      </w:r>
      <w:r>
        <w:fldChar w:fldCharType="begin"/>
      </w:r>
      <w:r>
        <w:instrText xml:space="preserve"> SEQ Table \* ARABIC </w:instrText>
      </w:r>
      <w:r>
        <w:fldChar w:fldCharType="separate"/>
      </w:r>
      <w:r w:rsidR="003C210B">
        <w:rPr>
          <w:noProof/>
        </w:rPr>
        <w:t>3</w:t>
      </w:r>
      <w:r>
        <w:fldChar w:fldCharType="end"/>
      </w:r>
      <w:bookmarkEnd w:id="3"/>
      <w:r>
        <w:tab/>
        <w:t>Summary of prior tests and comparator tests for each sub-group of PICO Set 1</w:t>
      </w:r>
    </w:p>
    <w:tbl>
      <w:tblPr>
        <w:tblStyle w:val="TableGrid"/>
        <w:tblW w:w="0" w:type="auto"/>
        <w:tblInd w:w="0" w:type="dxa"/>
        <w:tblLayout w:type="fixed"/>
        <w:tblLook w:val="04A0" w:firstRow="1" w:lastRow="0" w:firstColumn="1" w:lastColumn="0" w:noHBand="0" w:noVBand="1"/>
        <w:tblCaption w:val="Summary of prior tests and comparator tests for each sub-group of PICO Set 1"/>
        <w:tblDescription w:val="This table summarises the prior tests and the comparator tests for each subpopulation of PICO Set 1."/>
      </w:tblPr>
      <w:tblGrid>
        <w:gridCol w:w="1129"/>
        <w:gridCol w:w="238"/>
        <w:gridCol w:w="968"/>
        <w:gridCol w:w="399"/>
        <w:gridCol w:w="807"/>
        <w:gridCol w:w="560"/>
        <w:gridCol w:w="646"/>
        <w:gridCol w:w="722"/>
        <w:gridCol w:w="484"/>
        <w:gridCol w:w="883"/>
        <w:gridCol w:w="323"/>
        <w:gridCol w:w="1044"/>
        <w:gridCol w:w="162"/>
        <w:gridCol w:w="1206"/>
      </w:tblGrid>
      <w:tr w:rsidR="007359AB" w14:paraId="380B4587" w14:textId="21BB9E1B" w:rsidTr="00C2002D">
        <w:trPr>
          <w:tblHeader/>
        </w:trPr>
        <w:tc>
          <w:tcPr>
            <w:tcW w:w="1129" w:type="dxa"/>
          </w:tcPr>
          <w:p w14:paraId="5DE77C02" w14:textId="5C27E62A" w:rsidR="00B91A31" w:rsidRDefault="00B91A31" w:rsidP="00B91A31">
            <w:pPr>
              <w:pStyle w:val="TableHeading"/>
            </w:pPr>
            <w:bookmarkStart w:id="4" w:name="_Hlk234159011"/>
          </w:p>
        </w:tc>
        <w:tc>
          <w:tcPr>
            <w:tcW w:w="1206" w:type="dxa"/>
            <w:gridSpan w:val="2"/>
            <w:tcBorders>
              <w:bottom w:val="single" w:sz="4" w:space="0" w:color="auto"/>
            </w:tcBorders>
          </w:tcPr>
          <w:p w14:paraId="148D41C7" w14:textId="18639071" w:rsidR="00B91A31" w:rsidRDefault="00B91A31" w:rsidP="00B91A31">
            <w:pPr>
              <w:pStyle w:val="TableHeading"/>
            </w:pPr>
            <w:r w:rsidRPr="00474760">
              <w:t xml:space="preserve">Spinal </w:t>
            </w:r>
            <w:r w:rsidR="00613AF1">
              <w:t>i</w:t>
            </w:r>
            <w:r w:rsidRPr="00474760">
              <w:t>nfections</w:t>
            </w:r>
          </w:p>
        </w:tc>
        <w:tc>
          <w:tcPr>
            <w:tcW w:w="1206" w:type="dxa"/>
            <w:gridSpan w:val="2"/>
            <w:tcBorders>
              <w:bottom w:val="single" w:sz="4" w:space="0" w:color="auto"/>
            </w:tcBorders>
          </w:tcPr>
          <w:p w14:paraId="0A213C19" w14:textId="2302E3D6" w:rsidR="00B91A31" w:rsidRDefault="00B91A31" w:rsidP="00B91A31">
            <w:pPr>
              <w:pStyle w:val="TableHeading"/>
            </w:pPr>
            <w:r w:rsidRPr="00474760">
              <w:t>Osteo</w:t>
            </w:r>
            <w:r w:rsidR="001C14B5">
              <w:t>-</w:t>
            </w:r>
            <w:r w:rsidRPr="00474760">
              <w:t>myelitis</w:t>
            </w:r>
          </w:p>
        </w:tc>
        <w:tc>
          <w:tcPr>
            <w:tcW w:w="1206" w:type="dxa"/>
            <w:gridSpan w:val="2"/>
            <w:tcBorders>
              <w:bottom w:val="single" w:sz="4" w:space="0" w:color="auto"/>
            </w:tcBorders>
          </w:tcPr>
          <w:p w14:paraId="5BE54151" w14:textId="1ACA7E42" w:rsidR="00B91A31" w:rsidRPr="00474760" w:rsidRDefault="00B91A31" w:rsidP="00B91A31">
            <w:pPr>
              <w:pStyle w:val="TableHeading"/>
            </w:pPr>
            <w:r w:rsidRPr="00951F90">
              <w:t xml:space="preserve">Paediatric </w:t>
            </w:r>
            <w:r w:rsidR="00711C8E">
              <w:t xml:space="preserve">bone &amp; </w:t>
            </w:r>
            <w:r w:rsidRPr="00951F90">
              <w:t>joint infections</w:t>
            </w:r>
          </w:p>
        </w:tc>
        <w:tc>
          <w:tcPr>
            <w:tcW w:w="1206" w:type="dxa"/>
            <w:gridSpan w:val="2"/>
            <w:tcBorders>
              <w:bottom w:val="single" w:sz="4" w:space="0" w:color="auto"/>
            </w:tcBorders>
          </w:tcPr>
          <w:p w14:paraId="199D5543" w14:textId="4AB29DE0" w:rsidR="00B91A31" w:rsidRPr="00474760" w:rsidRDefault="00B91A31" w:rsidP="00B91A31">
            <w:pPr>
              <w:pStyle w:val="TableHeading"/>
            </w:pPr>
            <w:r w:rsidRPr="00951F90">
              <w:t>Prosthetic joint infections</w:t>
            </w:r>
          </w:p>
        </w:tc>
        <w:tc>
          <w:tcPr>
            <w:tcW w:w="1206" w:type="dxa"/>
            <w:gridSpan w:val="2"/>
            <w:tcBorders>
              <w:bottom w:val="single" w:sz="4" w:space="0" w:color="auto"/>
            </w:tcBorders>
          </w:tcPr>
          <w:p w14:paraId="039B3FD0" w14:textId="7C21C4C8" w:rsidR="00B91A31" w:rsidRPr="00474760" w:rsidRDefault="00B91A31" w:rsidP="00B91A31">
            <w:pPr>
              <w:pStyle w:val="TableHeading"/>
            </w:pPr>
            <w:r w:rsidRPr="00951F90">
              <w:t>Infective endocarditis</w:t>
            </w:r>
          </w:p>
        </w:tc>
        <w:tc>
          <w:tcPr>
            <w:tcW w:w="1206" w:type="dxa"/>
            <w:gridSpan w:val="2"/>
            <w:tcBorders>
              <w:bottom w:val="single" w:sz="4" w:space="0" w:color="auto"/>
            </w:tcBorders>
          </w:tcPr>
          <w:p w14:paraId="7966E1CE" w14:textId="06FFC7E3" w:rsidR="00B91A31" w:rsidRPr="00474760" w:rsidRDefault="00B91A31" w:rsidP="00B91A31">
            <w:pPr>
              <w:pStyle w:val="TableHeading"/>
            </w:pPr>
            <w:r w:rsidRPr="00951F90">
              <w:t>EPNTM infections</w:t>
            </w:r>
          </w:p>
        </w:tc>
        <w:tc>
          <w:tcPr>
            <w:tcW w:w="1206" w:type="dxa"/>
            <w:tcBorders>
              <w:bottom w:val="single" w:sz="4" w:space="0" w:color="auto"/>
            </w:tcBorders>
          </w:tcPr>
          <w:p w14:paraId="35AD28A8" w14:textId="1DA40B1C" w:rsidR="00B91A31" w:rsidRPr="00474760" w:rsidRDefault="00B91A31" w:rsidP="00B91A31">
            <w:pPr>
              <w:pStyle w:val="TableHeading"/>
            </w:pPr>
            <w:r w:rsidRPr="00951F90">
              <w:t>Bacteraemia with high risk of metastatic infection</w:t>
            </w:r>
          </w:p>
        </w:tc>
      </w:tr>
      <w:tr w:rsidR="001254BF" w14:paraId="517C27C3" w14:textId="63451726" w:rsidTr="00C2002D">
        <w:trPr>
          <w:tblHeader/>
        </w:trPr>
        <w:tc>
          <w:tcPr>
            <w:tcW w:w="1129" w:type="dxa"/>
            <w:tcBorders>
              <w:right w:val="nil"/>
            </w:tcBorders>
          </w:tcPr>
          <w:p w14:paraId="23771999" w14:textId="13DE74D6" w:rsidR="00B91A31" w:rsidRDefault="00A96FF3" w:rsidP="00036264">
            <w:pPr>
              <w:pStyle w:val="TableHeading"/>
            </w:pPr>
            <w:r>
              <w:t>Prior t</w:t>
            </w:r>
            <w:r w:rsidR="00036264">
              <w:t>es</w:t>
            </w:r>
            <w:r>
              <w:t>ts</w:t>
            </w:r>
          </w:p>
        </w:tc>
        <w:tc>
          <w:tcPr>
            <w:tcW w:w="1206" w:type="dxa"/>
            <w:gridSpan w:val="2"/>
            <w:tcBorders>
              <w:left w:val="nil"/>
              <w:right w:val="nil"/>
            </w:tcBorders>
          </w:tcPr>
          <w:p w14:paraId="2B1DB5FC" w14:textId="77777777" w:rsidR="00B91A31" w:rsidRDefault="00B91A31" w:rsidP="00036264">
            <w:pPr>
              <w:pStyle w:val="TableHeading"/>
            </w:pPr>
          </w:p>
        </w:tc>
        <w:tc>
          <w:tcPr>
            <w:tcW w:w="1206" w:type="dxa"/>
            <w:gridSpan w:val="2"/>
            <w:tcBorders>
              <w:left w:val="nil"/>
              <w:right w:val="nil"/>
            </w:tcBorders>
          </w:tcPr>
          <w:p w14:paraId="2DDB4F40" w14:textId="77777777" w:rsidR="00B91A31" w:rsidRDefault="00B91A31" w:rsidP="00036264">
            <w:pPr>
              <w:pStyle w:val="TableHeading"/>
            </w:pPr>
          </w:p>
        </w:tc>
        <w:tc>
          <w:tcPr>
            <w:tcW w:w="1206" w:type="dxa"/>
            <w:gridSpan w:val="2"/>
            <w:tcBorders>
              <w:left w:val="nil"/>
              <w:right w:val="nil"/>
            </w:tcBorders>
          </w:tcPr>
          <w:p w14:paraId="5BE14038" w14:textId="77777777" w:rsidR="00B91A31" w:rsidRDefault="00B91A31" w:rsidP="00036264">
            <w:pPr>
              <w:pStyle w:val="TableHeading"/>
            </w:pPr>
          </w:p>
        </w:tc>
        <w:tc>
          <w:tcPr>
            <w:tcW w:w="1206" w:type="dxa"/>
            <w:gridSpan w:val="2"/>
            <w:tcBorders>
              <w:left w:val="nil"/>
              <w:right w:val="nil"/>
            </w:tcBorders>
          </w:tcPr>
          <w:p w14:paraId="0CC75263" w14:textId="77777777" w:rsidR="00B91A31" w:rsidRDefault="00B91A31" w:rsidP="00036264">
            <w:pPr>
              <w:pStyle w:val="TableHeading"/>
            </w:pPr>
          </w:p>
        </w:tc>
        <w:tc>
          <w:tcPr>
            <w:tcW w:w="1206" w:type="dxa"/>
            <w:gridSpan w:val="2"/>
            <w:tcBorders>
              <w:left w:val="nil"/>
              <w:right w:val="nil"/>
            </w:tcBorders>
          </w:tcPr>
          <w:p w14:paraId="292324BB" w14:textId="77777777" w:rsidR="00B91A31" w:rsidRDefault="00B91A31" w:rsidP="00036264">
            <w:pPr>
              <w:pStyle w:val="TableHeading"/>
            </w:pPr>
          </w:p>
        </w:tc>
        <w:tc>
          <w:tcPr>
            <w:tcW w:w="1206" w:type="dxa"/>
            <w:gridSpan w:val="2"/>
            <w:tcBorders>
              <w:left w:val="nil"/>
              <w:right w:val="nil"/>
            </w:tcBorders>
          </w:tcPr>
          <w:p w14:paraId="0983E31C" w14:textId="77777777" w:rsidR="00B91A31" w:rsidRDefault="00B91A31" w:rsidP="00036264">
            <w:pPr>
              <w:pStyle w:val="TableHeading"/>
            </w:pPr>
          </w:p>
        </w:tc>
        <w:tc>
          <w:tcPr>
            <w:tcW w:w="1206" w:type="dxa"/>
            <w:tcBorders>
              <w:left w:val="nil"/>
            </w:tcBorders>
          </w:tcPr>
          <w:p w14:paraId="6C95F9F9" w14:textId="77777777" w:rsidR="00B91A31" w:rsidRDefault="00B91A31" w:rsidP="00036264">
            <w:pPr>
              <w:pStyle w:val="TableHeading"/>
            </w:pPr>
          </w:p>
        </w:tc>
      </w:tr>
      <w:tr w:rsidR="007359AB" w14:paraId="145C3FA2" w14:textId="3A337923" w:rsidTr="00C2002D">
        <w:trPr>
          <w:tblHeader/>
        </w:trPr>
        <w:tc>
          <w:tcPr>
            <w:tcW w:w="1129" w:type="dxa"/>
          </w:tcPr>
          <w:p w14:paraId="230E31B1" w14:textId="0F083B14" w:rsidR="0051275F" w:rsidRDefault="0051275F" w:rsidP="0051275F">
            <w:pPr>
              <w:pStyle w:val="TableText0"/>
            </w:pPr>
            <w:r w:rsidRPr="00E00E42">
              <w:t xml:space="preserve">Laboratory tests </w:t>
            </w:r>
          </w:p>
        </w:tc>
        <w:tc>
          <w:tcPr>
            <w:tcW w:w="1206" w:type="dxa"/>
            <w:gridSpan w:val="2"/>
          </w:tcPr>
          <w:p w14:paraId="72952292" w14:textId="78C19796" w:rsidR="0051275F" w:rsidRDefault="0051275F" w:rsidP="0051275F">
            <w:pPr>
              <w:pStyle w:val="TableText0"/>
            </w:pPr>
            <w:r w:rsidRPr="00FF64F9">
              <w:t>FBC, CRP, ESR</w:t>
            </w:r>
          </w:p>
        </w:tc>
        <w:tc>
          <w:tcPr>
            <w:tcW w:w="1206" w:type="dxa"/>
            <w:gridSpan w:val="2"/>
          </w:tcPr>
          <w:p w14:paraId="5E5C41FC" w14:textId="7E6518BC" w:rsidR="0051275F" w:rsidRDefault="0051275F" w:rsidP="0051275F">
            <w:pPr>
              <w:pStyle w:val="TableText0"/>
            </w:pPr>
            <w:r w:rsidRPr="00FF64F9">
              <w:t xml:space="preserve">FBC, ESR, CRP, </w:t>
            </w:r>
            <w:r w:rsidRPr="005C26E8">
              <w:t>EUC</w:t>
            </w:r>
            <w:r w:rsidRPr="00FF64F9">
              <w:t>, LFT</w:t>
            </w:r>
          </w:p>
        </w:tc>
        <w:tc>
          <w:tcPr>
            <w:tcW w:w="1206" w:type="dxa"/>
            <w:gridSpan w:val="2"/>
          </w:tcPr>
          <w:p w14:paraId="0BE2523A" w14:textId="3F8B0245" w:rsidR="0051275F" w:rsidRDefault="0051275F" w:rsidP="0051275F">
            <w:pPr>
              <w:pStyle w:val="TableText0"/>
            </w:pPr>
            <w:r w:rsidRPr="00FF64F9">
              <w:t xml:space="preserve">FBC, CRP (+/-ESR)  </w:t>
            </w:r>
          </w:p>
        </w:tc>
        <w:tc>
          <w:tcPr>
            <w:tcW w:w="1206" w:type="dxa"/>
            <w:gridSpan w:val="2"/>
          </w:tcPr>
          <w:p w14:paraId="73A0F6A1" w14:textId="54DB897C" w:rsidR="0051275F" w:rsidRDefault="0051275F" w:rsidP="0051275F">
            <w:pPr>
              <w:pStyle w:val="TableText0"/>
            </w:pPr>
            <w:bookmarkStart w:id="5" w:name="_Hlk233987487"/>
            <w:r w:rsidRPr="00FF64F9">
              <w:t>FBC, ESR, CRP, EUC, LFT</w:t>
            </w:r>
            <w:bookmarkEnd w:id="5"/>
          </w:p>
        </w:tc>
        <w:tc>
          <w:tcPr>
            <w:tcW w:w="1206" w:type="dxa"/>
            <w:gridSpan w:val="2"/>
          </w:tcPr>
          <w:p w14:paraId="3DE0E7E3" w14:textId="648BCCC6" w:rsidR="0051275F" w:rsidRDefault="0051275F" w:rsidP="0051275F">
            <w:pPr>
              <w:pStyle w:val="TableText0"/>
            </w:pPr>
            <w:r w:rsidRPr="00FF64F9">
              <w:t xml:space="preserve">FBC, CRP or ESR </w:t>
            </w:r>
          </w:p>
        </w:tc>
        <w:tc>
          <w:tcPr>
            <w:tcW w:w="1206" w:type="dxa"/>
            <w:gridSpan w:val="2"/>
            <w:shd w:val="clear" w:color="auto" w:fill="D9D9D9" w:themeFill="background1" w:themeFillShade="D9"/>
          </w:tcPr>
          <w:p w14:paraId="128806F9" w14:textId="77777777" w:rsidR="0051275F" w:rsidRDefault="0051275F" w:rsidP="0051275F">
            <w:pPr>
              <w:pStyle w:val="TableText0"/>
            </w:pPr>
          </w:p>
        </w:tc>
        <w:tc>
          <w:tcPr>
            <w:tcW w:w="1206" w:type="dxa"/>
          </w:tcPr>
          <w:p w14:paraId="63BB0B9B" w14:textId="07A7AF82" w:rsidR="0051275F" w:rsidRDefault="0051275F" w:rsidP="0051275F">
            <w:pPr>
              <w:pStyle w:val="TableText0"/>
            </w:pPr>
            <w:r w:rsidRPr="0051275F">
              <w:t xml:space="preserve">FBC, CRP or ESR, LFT, </w:t>
            </w:r>
            <w:r w:rsidR="00E27111">
              <w:t>E</w:t>
            </w:r>
            <w:r w:rsidRPr="0051275F">
              <w:t>UC, lactate</w:t>
            </w:r>
          </w:p>
        </w:tc>
      </w:tr>
      <w:tr w:rsidR="007359AB" w14:paraId="565E1F63" w14:textId="77777777" w:rsidTr="00C2002D">
        <w:trPr>
          <w:tblHeader/>
        </w:trPr>
        <w:tc>
          <w:tcPr>
            <w:tcW w:w="1129" w:type="dxa"/>
          </w:tcPr>
          <w:p w14:paraId="3BF1C191" w14:textId="49CF29C2" w:rsidR="00FF377F" w:rsidRDefault="00FF377F" w:rsidP="00FF377F">
            <w:pPr>
              <w:pStyle w:val="TableText0"/>
            </w:pPr>
            <w:r w:rsidRPr="00E00E42">
              <w:t xml:space="preserve">X-ray </w:t>
            </w:r>
          </w:p>
        </w:tc>
        <w:tc>
          <w:tcPr>
            <w:tcW w:w="1206" w:type="dxa"/>
            <w:gridSpan w:val="2"/>
            <w:shd w:val="clear" w:color="auto" w:fill="D9D9D9" w:themeFill="background1" w:themeFillShade="D9"/>
          </w:tcPr>
          <w:p w14:paraId="449BB15D" w14:textId="77777777" w:rsidR="00FF377F" w:rsidRDefault="00FF377F" w:rsidP="00FF377F">
            <w:pPr>
              <w:pStyle w:val="TableText0"/>
            </w:pPr>
          </w:p>
        </w:tc>
        <w:tc>
          <w:tcPr>
            <w:tcW w:w="1206" w:type="dxa"/>
            <w:gridSpan w:val="2"/>
          </w:tcPr>
          <w:p w14:paraId="23F026E3" w14:textId="40E25CF2" w:rsidR="00FF377F" w:rsidRDefault="00FF377F" w:rsidP="00FF377F">
            <w:pPr>
              <w:pStyle w:val="TableText0"/>
            </w:pPr>
            <w:r>
              <w:rPr>
                <w:rFonts w:ascii="Wingdings" w:eastAsia="Wingdings" w:hAnsi="Wingdings" w:cs="Wingdings"/>
              </w:rPr>
              <w:t>ü</w:t>
            </w:r>
          </w:p>
        </w:tc>
        <w:tc>
          <w:tcPr>
            <w:tcW w:w="1206" w:type="dxa"/>
            <w:gridSpan w:val="2"/>
          </w:tcPr>
          <w:p w14:paraId="4F108DBC" w14:textId="62E2D725" w:rsidR="00FF377F" w:rsidRDefault="00FF377F" w:rsidP="00FF377F">
            <w:pPr>
              <w:pStyle w:val="TableText0"/>
            </w:pPr>
            <w:r>
              <w:rPr>
                <w:rFonts w:ascii="Wingdings" w:eastAsia="Wingdings" w:hAnsi="Wingdings" w:cs="Wingdings"/>
              </w:rPr>
              <w:t>ü</w:t>
            </w:r>
          </w:p>
        </w:tc>
        <w:tc>
          <w:tcPr>
            <w:tcW w:w="1206" w:type="dxa"/>
            <w:gridSpan w:val="2"/>
          </w:tcPr>
          <w:p w14:paraId="491A32C6" w14:textId="0B627A48" w:rsidR="00FF377F" w:rsidRDefault="00FF377F" w:rsidP="00FF377F">
            <w:pPr>
              <w:pStyle w:val="TableText0"/>
            </w:pPr>
            <w:r>
              <w:rPr>
                <w:rFonts w:ascii="Wingdings" w:eastAsia="Wingdings" w:hAnsi="Wingdings" w:cs="Wingdings"/>
              </w:rPr>
              <w:t>ü</w:t>
            </w:r>
          </w:p>
        </w:tc>
        <w:tc>
          <w:tcPr>
            <w:tcW w:w="1206" w:type="dxa"/>
            <w:gridSpan w:val="2"/>
            <w:shd w:val="clear" w:color="auto" w:fill="D9D9D9" w:themeFill="background1" w:themeFillShade="D9"/>
          </w:tcPr>
          <w:p w14:paraId="0D1AA8BB" w14:textId="77777777" w:rsidR="00FF377F" w:rsidRDefault="00FF377F" w:rsidP="00FF377F">
            <w:pPr>
              <w:pStyle w:val="TableText0"/>
            </w:pPr>
          </w:p>
        </w:tc>
        <w:tc>
          <w:tcPr>
            <w:tcW w:w="1206" w:type="dxa"/>
            <w:gridSpan w:val="2"/>
            <w:shd w:val="clear" w:color="auto" w:fill="D9D9D9" w:themeFill="background1" w:themeFillShade="D9"/>
          </w:tcPr>
          <w:p w14:paraId="52C7B665" w14:textId="77777777" w:rsidR="00FF377F" w:rsidRDefault="00FF377F" w:rsidP="00FF377F">
            <w:pPr>
              <w:pStyle w:val="TableText0"/>
            </w:pPr>
          </w:p>
        </w:tc>
        <w:tc>
          <w:tcPr>
            <w:tcW w:w="1206" w:type="dxa"/>
            <w:shd w:val="clear" w:color="auto" w:fill="D9D9D9" w:themeFill="background1" w:themeFillShade="D9"/>
          </w:tcPr>
          <w:p w14:paraId="52AD1DD4" w14:textId="77777777" w:rsidR="00FF377F" w:rsidRDefault="00FF377F" w:rsidP="00FF377F">
            <w:pPr>
              <w:pStyle w:val="TableText0"/>
            </w:pPr>
          </w:p>
        </w:tc>
      </w:tr>
      <w:tr w:rsidR="00314183" w14:paraId="719E7C0B" w14:textId="77777777" w:rsidTr="00C2002D">
        <w:trPr>
          <w:tblHeader/>
        </w:trPr>
        <w:tc>
          <w:tcPr>
            <w:tcW w:w="1129" w:type="dxa"/>
          </w:tcPr>
          <w:p w14:paraId="7CF8BB96" w14:textId="2B81D9DC" w:rsidR="00FF377F" w:rsidRDefault="00FF377F" w:rsidP="00FF377F">
            <w:pPr>
              <w:pStyle w:val="TableText0"/>
            </w:pPr>
            <w:r w:rsidRPr="00E00E42">
              <w:t xml:space="preserve">Culture </w:t>
            </w:r>
          </w:p>
        </w:tc>
        <w:tc>
          <w:tcPr>
            <w:tcW w:w="1206" w:type="dxa"/>
            <w:gridSpan w:val="2"/>
            <w:shd w:val="clear" w:color="auto" w:fill="D9D9D9" w:themeFill="background1" w:themeFillShade="D9"/>
          </w:tcPr>
          <w:p w14:paraId="6D4156BC" w14:textId="77777777" w:rsidR="00FF377F" w:rsidRDefault="00FF377F" w:rsidP="00FF377F">
            <w:pPr>
              <w:pStyle w:val="TableText0"/>
            </w:pPr>
          </w:p>
        </w:tc>
        <w:tc>
          <w:tcPr>
            <w:tcW w:w="1206" w:type="dxa"/>
            <w:gridSpan w:val="2"/>
          </w:tcPr>
          <w:p w14:paraId="7EA96434" w14:textId="06709D87" w:rsidR="00FF377F" w:rsidRDefault="00FF377F" w:rsidP="00FF377F">
            <w:pPr>
              <w:pStyle w:val="TableText0"/>
            </w:pPr>
            <w:r>
              <w:rPr>
                <w:rFonts w:ascii="Wingdings" w:eastAsia="Wingdings" w:hAnsi="Wingdings" w:cs="Wingdings"/>
              </w:rPr>
              <w:t>ü</w:t>
            </w:r>
          </w:p>
        </w:tc>
        <w:tc>
          <w:tcPr>
            <w:tcW w:w="1206" w:type="dxa"/>
            <w:gridSpan w:val="2"/>
          </w:tcPr>
          <w:p w14:paraId="43760D1C" w14:textId="3364805C" w:rsidR="00FF377F" w:rsidRDefault="00FF377F" w:rsidP="00FF377F">
            <w:pPr>
              <w:pStyle w:val="TableText0"/>
            </w:pPr>
            <w:r>
              <w:rPr>
                <w:rFonts w:ascii="Wingdings" w:eastAsia="Wingdings" w:hAnsi="Wingdings" w:cs="Wingdings"/>
              </w:rPr>
              <w:t>ü</w:t>
            </w:r>
          </w:p>
        </w:tc>
        <w:tc>
          <w:tcPr>
            <w:tcW w:w="1206" w:type="dxa"/>
            <w:gridSpan w:val="2"/>
          </w:tcPr>
          <w:p w14:paraId="22E1CC81" w14:textId="5BF9C909" w:rsidR="00FF377F" w:rsidRDefault="00FF377F" w:rsidP="00FF377F">
            <w:pPr>
              <w:pStyle w:val="TableText0"/>
            </w:pPr>
            <w:r>
              <w:rPr>
                <w:rFonts w:ascii="Wingdings" w:eastAsia="Wingdings" w:hAnsi="Wingdings" w:cs="Wingdings"/>
              </w:rPr>
              <w:t>ü</w:t>
            </w:r>
          </w:p>
        </w:tc>
        <w:tc>
          <w:tcPr>
            <w:tcW w:w="1206" w:type="dxa"/>
            <w:gridSpan w:val="2"/>
          </w:tcPr>
          <w:p w14:paraId="4B6F48D4" w14:textId="54951189" w:rsidR="00FF377F" w:rsidRDefault="00FF377F" w:rsidP="00FF377F">
            <w:pPr>
              <w:pStyle w:val="TableText0"/>
            </w:pPr>
            <w:r>
              <w:rPr>
                <w:rFonts w:ascii="Wingdings" w:eastAsia="Wingdings" w:hAnsi="Wingdings" w:cs="Wingdings"/>
              </w:rPr>
              <w:t>ü</w:t>
            </w:r>
          </w:p>
        </w:tc>
        <w:tc>
          <w:tcPr>
            <w:tcW w:w="1206" w:type="dxa"/>
            <w:gridSpan w:val="2"/>
          </w:tcPr>
          <w:p w14:paraId="0749D04D" w14:textId="75CE920D" w:rsidR="00FF377F" w:rsidRDefault="00FF377F" w:rsidP="00FF377F">
            <w:pPr>
              <w:pStyle w:val="TableText0"/>
            </w:pPr>
            <w:r>
              <w:rPr>
                <w:rFonts w:ascii="Wingdings" w:eastAsia="Wingdings" w:hAnsi="Wingdings" w:cs="Wingdings"/>
              </w:rPr>
              <w:t>ü</w:t>
            </w:r>
          </w:p>
        </w:tc>
        <w:tc>
          <w:tcPr>
            <w:tcW w:w="1206" w:type="dxa"/>
          </w:tcPr>
          <w:p w14:paraId="35C8C0F0" w14:textId="1756B855" w:rsidR="00FF377F" w:rsidRDefault="00FF377F" w:rsidP="00FF377F">
            <w:pPr>
              <w:pStyle w:val="TableText0"/>
            </w:pPr>
            <w:r>
              <w:rPr>
                <w:rFonts w:ascii="Wingdings" w:eastAsia="Wingdings" w:hAnsi="Wingdings" w:cs="Wingdings"/>
              </w:rPr>
              <w:t>ü</w:t>
            </w:r>
          </w:p>
        </w:tc>
      </w:tr>
      <w:tr w:rsidR="007359AB" w14:paraId="0C38A122" w14:textId="77777777" w:rsidTr="00C2002D">
        <w:trPr>
          <w:tblHeader/>
        </w:trPr>
        <w:tc>
          <w:tcPr>
            <w:tcW w:w="1129" w:type="dxa"/>
          </w:tcPr>
          <w:p w14:paraId="55633C14" w14:textId="2F8F935B" w:rsidR="00036264" w:rsidRDefault="00036264" w:rsidP="00036264">
            <w:pPr>
              <w:pStyle w:val="TableText0"/>
            </w:pPr>
            <w:r w:rsidRPr="00E00E42">
              <w:t xml:space="preserve">Biopsy and/or histology </w:t>
            </w:r>
          </w:p>
        </w:tc>
        <w:tc>
          <w:tcPr>
            <w:tcW w:w="1206" w:type="dxa"/>
            <w:gridSpan w:val="2"/>
            <w:shd w:val="clear" w:color="auto" w:fill="D9D9D9" w:themeFill="background1" w:themeFillShade="D9"/>
          </w:tcPr>
          <w:p w14:paraId="5B04A94D" w14:textId="77777777" w:rsidR="00036264" w:rsidRDefault="00036264" w:rsidP="00036264">
            <w:pPr>
              <w:pStyle w:val="TableText0"/>
            </w:pPr>
          </w:p>
        </w:tc>
        <w:tc>
          <w:tcPr>
            <w:tcW w:w="1206" w:type="dxa"/>
            <w:gridSpan w:val="2"/>
          </w:tcPr>
          <w:p w14:paraId="5CDFC73D" w14:textId="29580229" w:rsidR="00036264" w:rsidRDefault="00016B79" w:rsidP="00036264">
            <w:pPr>
              <w:pStyle w:val="TableText0"/>
            </w:pPr>
            <w:r>
              <w:rPr>
                <w:rFonts w:ascii="Wingdings" w:eastAsia="Wingdings" w:hAnsi="Wingdings" w:cs="Wingdings"/>
              </w:rPr>
              <w:t>ü</w:t>
            </w:r>
          </w:p>
        </w:tc>
        <w:tc>
          <w:tcPr>
            <w:tcW w:w="1206" w:type="dxa"/>
            <w:gridSpan w:val="2"/>
            <w:shd w:val="clear" w:color="auto" w:fill="D9D9D9" w:themeFill="background1" w:themeFillShade="D9"/>
          </w:tcPr>
          <w:p w14:paraId="0FEB47F4" w14:textId="77777777" w:rsidR="00036264" w:rsidRDefault="00036264" w:rsidP="00036264">
            <w:pPr>
              <w:pStyle w:val="TableText0"/>
            </w:pPr>
          </w:p>
        </w:tc>
        <w:tc>
          <w:tcPr>
            <w:tcW w:w="1206" w:type="dxa"/>
            <w:gridSpan w:val="2"/>
          </w:tcPr>
          <w:p w14:paraId="5034187B" w14:textId="781EE71C" w:rsidR="00036264" w:rsidRDefault="00FF377F" w:rsidP="00036264">
            <w:pPr>
              <w:pStyle w:val="TableText0"/>
            </w:pPr>
            <w:r>
              <w:rPr>
                <w:rFonts w:ascii="Wingdings" w:eastAsia="Wingdings" w:hAnsi="Wingdings" w:cs="Wingdings"/>
              </w:rPr>
              <w:t>ü</w:t>
            </w:r>
          </w:p>
        </w:tc>
        <w:tc>
          <w:tcPr>
            <w:tcW w:w="1206" w:type="dxa"/>
            <w:gridSpan w:val="2"/>
            <w:shd w:val="clear" w:color="auto" w:fill="D9D9D9" w:themeFill="background1" w:themeFillShade="D9"/>
          </w:tcPr>
          <w:p w14:paraId="799C1367" w14:textId="77777777" w:rsidR="00036264" w:rsidRDefault="00036264" w:rsidP="00036264">
            <w:pPr>
              <w:pStyle w:val="TableText0"/>
            </w:pPr>
          </w:p>
        </w:tc>
        <w:tc>
          <w:tcPr>
            <w:tcW w:w="1206" w:type="dxa"/>
            <w:gridSpan w:val="2"/>
          </w:tcPr>
          <w:p w14:paraId="73A145C2" w14:textId="10C60266" w:rsidR="00036264" w:rsidRDefault="00FF377F" w:rsidP="00036264">
            <w:pPr>
              <w:pStyle w:val="TableText0"/>
            </w:pPr>
            <w:r>
              <w:rPr>
                <w:rFonts w:ascii="Wingdings" w:eastAsia="Wingdings" w:hAnsi="Wingdings" w:cs="Wingdings"/>
              </w:rPr>
              <w:t>ü</w:t>
            </w:r>
          </w:p>
        </w:tc>
        <w:tc>
          <w:tcPr>
            <w:tcW w:w="1206" w:type="dxa"/>
            <w:shd w:val="clear" w:color="auto" w:fill="D9D9D9" w:themeFill="background1" w:themeFillShade="D9"/>
          </w:tcPr>
          <w:p w14:paraId="0CFE20AF" w14:textId="77777777" w:rsidR="00036264" w:rsidRDefault="00036264" w:rsidP="00036264">
            <w:pPr>
              <w:pStyle w:val="TableText0"/>
            </w:pPr>
          </w:p>
        </w:tc>
      </w:tr>
      <w:tr w:rsidR="007359AB" w14:paraId="162A8D58" w14:textId="77777777" w:rsidTr="00C2002D">
        <w:trPr>
          <w:tblHeader/>
        </w:trPr>
        <w:tc>
          <w:tcPr>
            <w:tcW w:w="1129" w:type="dxa"/>
          </w:tcPr>
          <w:p w14:paraId="709142C8" w14:textId="3214DA02" w:rsidR="00036264" w:rsidRDefault="00036264" w:rsidP="00036264">
            <w:pPr>
              <w:pStyle w:val="TableText0"/>
            </w:pPr>
            <w:r w:rsidRPr="00E00E42">
              <w:t xml:space="preserve">Urine MCS </w:t>
            </w:r>
          </w:p>
        </w:tc>
        <w:tc>
          <w:tcPr>
            <w:tcW w:w="1206" w:type="dxa"/>
            <w:gridSpan w:val="2"/>
            <w:shd w:val="clear" w:color="auto" w:fill="D9D9D9" w:themeFill="background1" w:themeFillShade="D9"/>
          </w:tcPr>
          <w:p w14:paraId="0FBBD737" w14:textId="77777777" w:rsidR="00036264" w:rsidRDefault="00036264" w:rsidP="00036264">
            <w:pPr>
              <w:pStyle w:val="TableText0"/>
            </w:pPr>
          </w:p>
        </w:tc>
        <w:tc>
          <w:tcPr>
            <w:tcW w:w="1206" w:type="dxa"/>
            <w:gridSpan w:val="2"/>
            <w:shd w:val="clear" w:color="auto" w:fill="D9D9D9" w:themeFill="background1" w:themeFillShade="D9"/>
          </w:tcPr>
          <w:p w14:paraId="343C0377" w14:textId="77777777" w:rsidR="00036264" w:rsidRDefault="00036264" w:rsidP="00036264">
            <w:pPr>
              <w:pStyle w:val="TableText0"/>
            </w:pPr>
          </w:p>
        </w:tc>
        <w:tc>
          <w:tcPr>
            <w:tcW w:w="1206" w:type="dxa"/>
            <w:gridSpan w:val="2"/>
            <w:shd w:val="clear" w:color="auto" w:fill="D9D9D9" w:themeFill="background1" w:themeFillShade="D9"/>
          </w:tcPr>
          <w:p w14:paraId="7D5DC5B1" w14:textId="77777777" w:rsidR="00036264" w:rsidRDefault="00036264" w:rsidP="00036264">
            <w:pPr>
              <w:pStyle w:val="TableText0"/>
            </w:pPr>
          </w:p>
        </w:tc>
        <w:tc>
          <w:tcPr>
            <w:tcW w:w="1206" w:type="dxa"/>
            <w:gridSpan w:val="2"/>
            <w:shd w:val="clear" w:color="auto" w:fill="D9D9D9" w:themeFill="background1" w:themeFillShade="D9"/>
          </w:tcPr>
          <w:p w14:paraId="117612DC" w14:textId="77777777" w:rsidR="00036264" w:rsidRDefault="00036264" w:rsidP="00036264">
            <w:pPr>
              <w:pStyle w:val="TableText0"/>
            </w:pPr>
          </w:p>
        </w:tc>
        <w:tc>
          <w:tcPr>
            <w:tcW w:w="1206" w:type="dxa"/>
            <w:gridSpan w:val="2"/>
          </w:tcPr>
          <w:p w14:paraId="79BE49A0" w14:textId="6721507D" w:rsidR="00036264" w:rsidRDefault="00D4010E" w:rsidP="00036264">
            <w:pPr>
              <w:pStyle w:val="TableText0"/>
            </w:pPr>
            <w:r>
              <w:rPr>
                <w:rFonts w:ascii="Wingdings" w:eastAsia="Wingdings" w:hAnsi="Wingdings" w:cs="Wingdings"/>
              </w:rPr>
              <w:t>ü</w:t>
            </w:r>
          </w:p>
        </w:tc>
        <w:tc>
          <w:tcPr>
            <w:tcW w:w="1206" w:type="dxa"/>
            <w:gridSpan w:val="2"/>
            <w:shd w:val="clear" w:color="auto" w:fill="D9D9D9" w:themeFill="background1" w:themeFillShade="D9"/>
          </w:tcPr>
          <w:p w14:paraId="141B78D0" w14:textId="77777777" w:rsidR="00036264" w:rsidRDefault="00036264" w:rsidP="00036264">
            <w:pPr>
              <w:pStyle w:val="TableText0"/>
            </w:pPr>
          </w:p>
        </w:tc>
        <w:tc>
          <w:tcPr>
            <w:tcW w:w="1206" w:type="dxa"/>
            <w:shd w:val="clear" w:color="auto" w:fill="D9D9D9" w:themeFill="background1" w:themeFillShade="D9"/>
          </w:tcPr>
          <w:p w14:paraId="7CF6766F" w14:textId="77777777" w:rsidR="00036264" w:rsidRDefault="00036264" w:rsidP="00036264">
            <w:pPr>
              <w:pStyle w:val="TableText0"/>
            </w:pPr>
          </w:p>
        </w:tc>
      </w:tr>
      <w:tr w:rsidR="007359AB" w14:paraId="4EA47C7B" w14:textId="77777777" w:rsidTr="00C2002D">
        <w:trPr>
          <w:tblHeader/>
        </w:trPr>
        <w:tc>
          <w:tcPr>
            <w:tcW w:w="1129" w:type="dxa"/>
          </w:tcPr>
          <w:p w14:paraId="72BA1599" w14:textId="64FC514C" w:rsidR="00036264" w:rsidRDefault="00036264" w:rsidP="00036264">
            <w:pPr>
              <w:pStyle w:val="TableText0"/>
            </w:pPr>
            <w:r w:rsidRPr="00E00E42">
              <w:t xml:space="preserve">ECG </w:t>
            </w:r>
          </w:p>
        </w:tc>
        <w:tc>
          <w:tcPr>
            <w:tcW w:w="1206" w:type="dxa"/>
            <w:gridSpan w:val="2"/>
            <w:shd w:val="clear" w:color="auto" w:fill="D9D9D9" w:themeFill="background1" w:themeFillShade="D9"/>
          </w:tcPr>
          <w:p w14:paraId="67DB8065" w14:textId="77777777" w:rsidR="00036264" w:rsidRDefault="00036264" w:rsidP="00036264">
            <w:pPr>
              <w:pStyle w:val="TableText0"/>
            </w:pPr>
          </w:p>
        </w:tc>
        <w:tc>
          <w:tcPr>
            <w:tcW w:w="1206" w:type="dxa"/>
            <w:gridSpan w:val="2"/>
            <w:shd w:val="clear" w:color="auto" w:fill="D9D9D9" w:themeFill="background1" w:themeFillShade="D9"/>
          </w:tcPr>
          <w:p w14:paraId="6AD99F98" w14:textId="77777777" w:rsidR="00036264" w:rsidRDefault="00036264" w:rsidP="00036264">
            <w:pPr>
              <w:pStyle w:val="TableText0"/>
            </w:pPr>
          </w:p>
        </w:tc>
        <w:tc>
          <w:tcPr>
            <w:tcW w:w="1206" w:type="dxa"/>
            <w:gridSpan w:val="2"/>
            <w:shd w:val="clear" w:color="auto" w:fill="D9D9D9" w:themeFill="background1" w:themeFillShade="D9"/>
          </w:tcPr>
          <w:p w14:paraId="39CC828E" w14:textId="77777777" w:rsidR="00036264" w:rsidRDefault="00036264" w:rsidP="00036264">
            <w:pPr>
              <w:pStyle w:val="TableText0"/>
            </w:pPr>
          </w:p>
        </w:tc>
        <w:tc>
          <w:tcPr>
            <w:tcW w:w="1206" w:type="dxa"/>
            <w:gridSpan w:val="2"/>
            <w:shd w:val="clear" w:color="auto" w:fill="D9D9D9" w:themeFill="background1" w:themeFillShade="D9"/>
          </w:tcPr>
          <w:p w14:paraId="75B950A2" w14:textId="77777777" w:rsidR="00036264" w:rsidRDefault="00036264" w:rsidP="00036264">
            <w:pPr>
              <w:pStyle w:val="TableText0"/>
            </w:pPr>
          </w:p>
        </w:tc>
        <w:tc>
          <w:tcPr>
            <w:tcW w:w="1206" w:type="dxa"/>
            <w:gridSpan w:val="2"/>
          </w:tcPr>
          <w:p w14:paraId="615748E4" w14:textId="0419B759" w:rsidR="00036264" w:rsidRDefault="00D4010E" w:rsidP="00036264">
            <w:pPr>
              <w:pStyle w:val="TableText0"/>
            </w:pPr>
            <w:r>
              <w:rPr>
                <w:rFonts w:ascii="Wingdings" w:eastAsia="Wingdings" w:hAnsi="Wingdings" w:cs="Wingdings"/>
              </w:rPr>
              <w:t>ü</w:t>
            </w:r>
          </w:p>
        </w:tc>
        <w:tc>
          <w:tcPr>
            <w:tcW w:w="1206" w:type="dxa"/>
            <w:gridSpan w:val="2"/>
            <w:shd w:val="clear" w:color="auto" w:fill="D9D9D9" w:themeFill="background1" w:themeFillShade="D9"/>
          </w:tcPr>
          <w:p w14:paraId="6C943E59" w14:textId="77777777" w:rsidR="00036264" w:rsidRDefault="00036264" w:rsidP="00036264">
            <w:pPr>
              <w:pStyle w:val="TableText0"/>
            </w:pPr>
          </w:p>
        </w:tc>
        <w:tc>
          <w:tcPr>
            <w:tcW w:w="1206" w:type="dxa"/>
          </w:tcPr>
          <w:p w14:paraId="0E28CF47" w14:textId="74EA4DF9" w:rsidR="00036264" w:rsidRDefault="00FF377F" w:rsidP="00036264">
            <w:pPr>
              <w:pStyle w:val="TableText0"/>
            </w:pPr>
            <w:r>
              <w:rPr>
                <w:rFonts w:ascii="Wingdings" w:eastAsia="Wingdings" w:hAnsi="Wingdings" w:cs="Wingdings"/>
              </w:rPr>
              <w:t>ü</w:t>
            </w:r>
          </w:p>
        </w:tc>
      </w:tr>
      <w:tr w:rsidR="00314183" w14:paraId="4F8FAC40" w14:textId="77777777" w:rsidTr="00C2002D">
        <w:trPr>
          <w:tblHeader/>
        </w:trPr>
        <w:tc>
          <w:tcPr>
            <w:tcW w:w="1129" w:type="dxa"/>
          </w:tcPr>
          <w:p w14:paraId="2B6A0D33" w14:textId="3EC7B0E5" w:rsidR="00D4010E" w:rsidRDefault="00D4010E" w:rsidP="00D4010E">
            <w:pPr>
              <w:pStyle w:val="TableText0"/>
            </w:pPr>
            <w:r w:rsidRPr="00E00E42">
              <w:t xml:space="preserve">Targeted imaging </w:t>
            </w:r>
          </w:p>
        </w:tc>
        <w:tc>
          <w:tcPr>
            <w:tcW w:w="1206" w:type="dxa"/>
            <w:gridSpan w:val="2"/>
          </w:tcPr>
          <w:p w14:paraId="1E891C3F" w14:textId="5ECE8CE8" w:rsidR="00D4010E" w:rsidRDefault="00D4010E" w:rsidP="00D4010E">
            <w:pPr>
              <w:pStyle w:val="TableText0"/>
            </w:pPr>
            <w:r w:rsidRPr="00154D08">
              <w:t xml:space="preserve">CE-MRI </w:t>
            </w:r>
          </w:p>
        </w:tc>
        <w:tc>
          <w:tcPr>
            <w:tcW w:w="1206" w:type="dxa"/>
            <w:gridSpan w:val="2"/>
          </w:tcPr>
          <w:p w14:paraId="0D0D51A4" w14:textId="27A7C250" w:rsidR="00D4010E" w:rsidRDefault="00D4010E" w:rsidP="00D4010E">
            <w:pPr>
              <w:pStyle w:val="TableText0"/>
            </w:pPr>
            <w:r w:rsidRPr="00154D08">
              <w:t>CT and/or MRI</w:t>
            </w:r>
          </w:p>
        </w:tc>
        <w:tc>
          <w:tcPr>
            <w:tcW w:w="1206" w:type="dxa"/>
            <w:gridSpan w:val="2"/>
          </w:tcPr>
          <w:p w14:paraId="5301AF42" w14:textId="06450CBD" w:rsidR="00D4010E" w:rsidRDefault="00AB45D9" w:rsidP="00D4010E">
            <w:pPr>
              <w:pStyle w:val="TableText0"/>
            </w:pPr>
            <w:r>
              <w:t>Targeted</w:t>
            </w:r>
            <w:r w:rsidR="00D4010E">
              <w:t xml:space="preserve"> MRI</w:t>
            </w:r>
          </w:p>
        </w:tc>
        <w:tc>
          <w:tcPr>
            <w:tcW w:w="1206" w:type="dxa"/>
            <w:gridSpan w:val="2"/>
          </w:tcPr>
          <w:p w14:paraId="02AD570A" w14:textId="0F43EE17" w:rsidR="00D4010E" w:rsidRDefault="00D4010E" w:rsidP="00D4010E">
            <w:pPr>
              <w:pStyle w:val="TableText0"/>
            </w:pPr>
            <w:r w:rsidRPr="00427C30">
              <w:t>CT and/or MRI</w:t>
            </w:r>
          </w:p>
        </w:tc>
        <w:tc>
          <w:tcPr>
            <w:tcW w:w="1206" w:type="dxa"/>
            <w:gridSpan w:val="2"/>
          </w:tcPr>
          <w:p w14:paraId="4EF0C8DD" w14:textId="1868588A" w:rsidR="00D4010E" w:rsidRDefault="007272B2" w:rsidP="00D4010E">
            <w:pPr>
              <w:pStyle w:val="TableText0"/>
            </w:pPr>
            <w:r>
              <w:t>TTE</w:t>
            </w:r>
            <w:r w:rsidR="00D4010E" w:rsidRPr="00427C30">
              <w:t> </w:t>
            </w:r>
          </w:p>
        </w:tc>
        <w:tc>
          <w:tcPr>
            <w:tcW w:w="1206" w:type="dxa"/>
            <w:gridSpan w:val="2"/>
          </w:tcPr>
          <w:p w14:paraId="0656A2E7" w14:textId="4B0FE407" w:rsidR="00D4010E" w:rsidRDefault="00D4010E" w:rsidP="00D4010E">
            <w:pPr>
              <w:pStyle w:val="TableText0"/>
            </w:pPr>
            <w:r w:rsidRPr="00427C30">
              <w:t>CT and/or MRI</w:t>
            </w:r>
          </w:p>
        </w:tc>
        <w:tc>
          <w:tcPr>
            <w:tcW w:w="1206" w:type="dxa"/>
          </w:tcPr>
          <w:p w14:paraId="44B42F84" w14:textId="5637E8E9" w:rsidR="00D4010E" w:rsidRDefault="00D4010E" w:rsidP="00D4010E">
            <w:pPr>
              <w:pStyle w:val="TableText0"/>
            </w:pPr>
            <w:r w:rsidRPr="00427C30">
              <w:t>CT and/or MRI</w:t>
            </w:r>
          </w:p>
        </w:tc>
      </w:tr>
      <w:tr w:rsidR="007359AB" w14:paraId="5ABB2D26" w14:textId="77777777" w:rsidTr="00C2002D">
        <w:trPr>
          <w:tblHeader/>
        </w:trPr>
        <w:tc>
          <w:tcPr>
            <w:tcW w:w="1129" w:type="dxa"/>
          </w:tcPr>
          <w:p w14:paraId="34819380" w14:textId="0DDA0455" w:rsidR="00D4010E" w:rsidRDefault="00D4010E" w:rsidP="00D4010E">
            <w:pPr>
              <w:pStyle w:val="TableText0"/>
            </w:pPr>
            <w:r w:rsidRPr="00E00E42">
              <w:t xml:space="preserve">Nuclear medicine </w:t>
            </w:r>
          </w:p>
        </w:tc>
        <w:tc>
          <w:tcPr>
            <w:tcW w:w="1206" w:type="dxa"/>
            <w:gridSpan w:val="2"/>
            <w:tcBorders>
              <w:bottom w:val="single" w:sz="4" w:space="0" w:color="auto"/>
            </w:tcBorders>
          </w:tcPr>
          <w:p w14:paraId="6A0476D4" w14:textId="0A1833B5" w:rsidR="00D4010E" w:rsidRDefault="00D4010E" w:rsidP="00D4010E">
            <w:pPr>
              <w:pStyle w:val="TableText0"/>
            </w:pPr>
            <w:r w:rsidRPr="00154D08">
              <w:t>Bone scan</w:t>
            </w:r>
          </w:p>
        </w:tc>
        <w:tc>
          <w:tcPr>
            <w:tcW w:w="1206" w:type="dxa"/>
            <w:gridSpan w:val="2"/>
            <w:tcBorders>
              <w:bottom w:val="single" w:sz="4" w:space="0" w:color="auto"/>
            </w:tcBorders>
          </w:tcPr>
          <w:p w14:paraId="484FA158" w14:textId="3E3399A9" w:rsidR="00D4010E" w:rsidRDefault="00D4010E" w:rsidP="00D4010E">
            <w:pPr>
              <w:pStyle w:val="TableText0"/>
            </w:pPr>
            <w:r w:rsidRPr="00154D08">
              <w:rPr>
                <w:rFonts w:ascii="Arial" w:hAnsi="Arial" w:cs="Arial"/>
              </w:rPr>
              <w:t> </w:t>
            </w:r>
            <w:r w:rsidRPr="00154D08">
              <w:t>Bone scan</w:t>
            </w:r>
          </w:p>
        </w:tc>
        <w:tc>
          <w:tcPr>
            <w:tcW w:w="1206" w:type="dxa"/>
            <w:gridSpan w:val="2"/>
            <w:tcBorders>
              <w:bottom w:val="single" w:sz="4" w:space="0" w:color="auto"/>
            </w:tcBorders>
            <w:shd w:val="clear" w:color="auto" w:fill="D9D9D9" w:themeFill="background1" w:themeFillShade="D9"/>
          </w:tcPr>
          <w:p w14:paraId="31ED9040" w14:textId="77777777" w:rsidR="00D4010E" w:rsidRDefault="00D4010E" w:rsidP="00D4010E">
            <w:pPr>
              <w:pStyle w:val="TableText0"/>
            </w:pPr>
          </w:p>
        </w:tc>
        <w:tc>
          <w:tcPr>
            <w:tcW w:w="1206" w:type="dxa"/>
            <w:gridSpan w:val="2"/>
            <w:tcBorders>
              <w:bottom w:val="single" w:sz="4" w:space="0" w:color="auto"/>
            </w:tcBorders>
          </w:tcPr>
          <w:p w14:paraId="01C3B495" w14:textId="5DFFC72A" w:rsidR="00D4010E" w:rsidRDefault="00D4010E" w:rsidP="00D4010E">
            <w:pPr>
              <w:pStyle w:val="TableText0"/>
            </w:pPr>
            <w:r w:rsidRPr="00427C30">
              <w:t>Bone scan  </w:t>
            </w:r>
          </w:p>
        </w:tc>
        <w:tc>
          <w:tcPr>
            <w:tcW w:w="1206" w:type="dxa"/>
            <w:gridSpan w:val="2"/>
            <w:tcBorders>
              <w:bottom w:val="single" w:sz="4" w:space="0" w:color="auto"/>
            </w:tcBorders>
            <w:shd w:val="clear" w:color="auto" w:fill="D9D9D9" w:themeFill="background1" w:themeFillShade="D9"/>
          </w:tcPr>
          <w:p w14:paraId="4BF356A0" w14:textId="77777777" w:rsidR="00D4010E" w:rsidRDefault="00D4010E" w:rsidP="00D4010E">
            <w:pPr>
              <w:pStyle w:val="TableText0"/>
            </w:pPr>
          </w:p>
        </w:tc>
        <w:tc>
          <w:tcPr>
            <w:tcW w:w="1206" w:type="dxa"/>
            <w:gridSpan w:val="2"/>
            <w:tcBorders>
              <w:bottom w:val="single" w:sz="4" w:space="0" w:color="auto"/>
            </w:tcBorders>
            <w:shd w:val="clear" w:color="auto" w:fill="D9D9D9" w:themeFill="background1" w:themeFillShade="D9"/>
          </w:tcPr>
          <w:p w14:paraId="514F0F31" w14:textId="77777777" w:rsidR="00D4010E" w:rsidRDefault="00D4010E" w:rsidP="00D4010E">
            <w:pPr>
              <w:pStyle w:val="TableText0"/>
            </w:pPr>
          </w:p>
        </w:tc>
        <w:tc>
          <w:tcPr>
            <w:tcW w:w="1206" w:type="dxa"/>
            <w:tcBorders>
              <w:bottom w:val="single" w:sz="4" w:space="0" w:color="auto"/>
            </w:tcBorders>
          </w:tcPr>
          <w:p w14:paraId="6106BE30" w14:textId="098EA079" w:rsidR="00D4010E" w:rsidRDefault="00D4010E" w:rsidP="00D4010E">
            <w:pPr>
              <w:pStyle w:val="TableText0"/>
            </w:pPr>
            <w:r w:rsidRPr="00427C30">
              <w:t>Bone scan</w:t>
            </w:r>
          </w:p>
        </w:tc>
      </w:tr>
      <w:tr w:rsidR="00314183" w14:paraId="08499F76" w14:textId="77777777" w:rsidTr="00C2002D">
        <w:trPr>
          <w:tblHeader/>
        </w:trPr>
        <w:tc>
          <w:tcPr>
            <w:tcW w:w="1367" w:type="dxa"/>
            <w:gridSpan w:val="2"/>
            <w:tcBorders>
              <w:right w:val="nil"/>
            </w:tcBorders>
          </w:tcPr>
          <w:p w14:paraId="075EC14A" w14:textId="5C19F93A" w:rsidR="00314183" w:rsidRDefault="00314183" w:rsidP="00033C11">
            <w:pPr>
              <w:pStyle w:val="TableHeading"/>
            </w:pPr>
            <w:r>
              <w:t>Comparator tests</w:t>
            </w:r>
          </w:p>
        </w:tc>
        <w:tc>
          <w:tcPr>
            <w:tcW w:w="1367" w:type="dxa"/>
            <w:gridSpan w:val="2"/>
            <w:tcBorders>
              <w:left w:val="nil"/>
              <w:right w:val="nil"/>
            </w:tcBorders>
          </w:tcPr>
          <w:p w14:paraId="5929E6FC" w14:textId="77777777" w:rsidR="00314183" w:rsidRDefault="00314183" w:rsidP="00033C11">
            <w:pPr>
              <w:pStyle w:val="TableHeading"/>
            </w:pPr>
          </w:p>
        </w:tc>
        <w:tc>
          <w:tcPr>
            <w:tcW w:w="1367" w:type="dxa"/>
            <w:gridSpan w:val="2"/>
            <w:tcBorders>
              <w:left w:val="nil"/>
              <w:right w:val="nil"/>
            </w:tcBorders>
          </w:tcPr>
          <w:p w14:paraId="378F26BE" w14:textId="77777777" w:rsidR="00314183" w:rsidRDefault="00314183" w:rsidP="00033C11">
            <w:pPr>
              <w:pStyle w:val="TableHeading"/>
            </w:pPr>
          </w:p>
        </w:tc>
        <w:tc>
          <w:tcPr>
            <w:tcW w:w="1368" w:type="dxa"/>
            <w:gridSpan w:val="2"/>
            <w:tcBorders>
              <w:left w:val="nil"/>
              <w:right w:val="nil"/>
            </w:tcBorders>
          </w:tcPr>
          <w:p w14:paraId="09CE0EA9" w14:textId="77777777" w:rsidR="00314183" w:rsidRDefault="00314183" w:rsidP="00033C11">
            <w:pPr>
              <w:pStyle w:val="TableHeading"/>
            </w:pPr>
          </w:p>
        </w:tc>
        <w:tc>
          <w:tcPr>
            <w:tcW w:w="1367" w:type="dxa"/>
            <w:gridSpan w:val="2"/>
            <w:tcBorders>
              <w:left w:val="nil"/>
              <w:right w:val="nil"/>
            </w:tcBorders>
          </w:tcPr>
          <w:p w14:paraId="41150F62" w14:textId="77777777" w:rsidR="00314183" w:rsidRDefault="00314183" w:rsidP="00033C11">
            <w:pPr>
              <w:pStyle w:val="TableHeading"/>
            </w:pPr>
          </w:p>
        </w:tc>
        <w:tc>
          <w:tcPr>
            <w:tcW w:w="1367" w:type="dxa"/>
            <w:gridSpan w:val="2"/>
            <w:tcBorders>
              <w:left w:val="nil"/>
              <w:right w:val="nil"/>
            </w:tcBorders>
          </w:tcPr>
          <w:p w14:paraId="5FFBFFF6" w14:textId="77777777" w:rsidR="00314183" w:rsidRDefault="00314183" w:rsidP="00033C11">
            <w:pPr>
              <w:pStyle w:val="TableHeading"/>
            </w:pPr>
          </w:p>
        </w:tc>
        <w:tc>
          <w:tcPr>
            <w:tcW w:w="1368" w:type="dxa"/>
            <w:gridSpan w:val="2"/>
            <w:tcBorders>
              <w:left w:val="nil"/>
            </w:tcBorders>
          </w:tcPr>
          <w:p w14:paraId="619766A5" w14:textId="77777777" w:rsidR="00314183" w:rsidRDefault="00314183" w:rsidP="00033C11">
            <w:pPr>
              <w:pStyle w:val="TableHeading"/>
            </w:pPr>
          </w:p>
        </w:tc>
      </w:tr>
      <w:tr w:rsidR="00033C11" w14:paraId="60FE08AC" w14:textId="77777777" w:rsidTr="00C2002D">
        <w:trPr>
          <w:tblHeader/>
        </w:trPr>
        <w:tc>
          <w:tcPr>
            <w:tcW w:w="1129" w:type="dxa"/>
            <w:vAlign w:val="bottom"/>
          </w:tcPr>
          <w:p w14:paraId="6F0BB7A0" w14:textId="0AF2A00D" w:rsidR="00033C11" w:rsidRDefault="00033C11" w:rsidP="00033C11">
            <w:pPr>
              <w:pStyle w:val="TableText0"/>
            </w:pPr>
            <w:r w:rsidRPr="00427C30">
              <w:t>MRI</w:t>
            </w:r>
          </w:p>
        </w:tc>
        <w:tc>
          <w:tcPr>
            <w:tcW w:w="1206" w:type="dxa"/>
            <w:gridSpan w:val="2"/>
          </w:tcPr>
          <w:p w14:paraId="2F905BA1" w14:textId="0C6E3D28" w:rsidR="00033C11" w:rsidRDefault="00681630" w:rsidP="00033C11">
            <w:pPr>
              <w:pStyle w:val="TableText0"/>
            </w:pPr>
            <w:r>
              <w:rPr>
                <w:rFonts w:ascii="Wingdings" w:eastAsia="Wingdings" w:hAnsi="Wingdings" w:cs="Wingdings"/>
              </w:rPr>
              <w:t>ü</w:t>
            </w:r>
          </w:p>
        </w:tc>
        <w:tc>
          <w:tcPr>
            <w:tcW w:w="1206" w:type="dxa"/>
            <w:gridSpan w:val="2"/>
          </w:tcPr>
          <w:p w14:paraId="5017F58C" w14:textId="7C2CD742" w:rsidR="00033C11" w:rsidRDefault="00681630" w:rsidP="00033C11">
            <w:pPr>
              <w:pStyle w:val="TableText0"/>
            </w:pPr>
            <w:r>
              <w:rPr>
                <w:rFonts w:ascii="Wingdings" w:eastAsia="Wingdings" w:hAnsi="Wingdings" w:cs="Wingdings"/>
              </w:rPr>
              <w:t>ü</w:t>
            </w:r>
          </w:p>
        </w:tc>
        <w:tc>
          <w:tcPr>
            <w:tcW w:w="1206" w:type="dxa"/>
            <w:gridSpan w:val="2"/>
          </w:tcPr>
          <w:p w14:paraId="4233CF54" w14:textId="5F4AF3DD" w:rsidR="00033C11" w:rsidRDefault="00681630" w:rsidP="00033C11">
            <w:pPr>
              <w:pStyle w:val="TableText0"/>
            </w:pPr>
            <w:r>
              <w:rPr>
                <w:rFonts w:ascii="Wingdings" w:eastAsia="Wingdings" w:hAnsi="Wingdings" w:cs="Wingdings"/>
              </w:rPr>
              <w:t>ü</w:t>
            </w:r>
          </w:p>
        </w:tc>
        <w:tc>
          <w:tcPr>
            <w:tcW w:w="1206" w:type="dxa"/>
            <w:gridSpan w:val="2"/>
          </w:tcPr>
          <w:p w14:paraId="58A5B0B1" w14:textId="597A4CE9" w:rsidR="00033C11" w:rsidRDefault="00681630" w:rsidP="00033C11">
            <w:pPr>
              <w:pStyle w:val="TableText0"/>
            </w:pPr>
            <w:r>
              <w:rPr>
                <w:rFonts w:ascii="Wingdings" w:eastAsia="Wingdings" w:hAnsi="Wingdings" w:cs="Wingdings"/>
              </w:rPr>
              <w:t>ü</w:t>
            </w:r>
          </w:p>
        </w:tc>
        <w:tc>
          <w:tcPr>
            <w:tcW w:w="1206" w:type="dxa"/>
            <w:gridSpan w:val="2"/>
          </w:tcPr>
          <w:p w14:paraId="677854B5" w14:textId="43E56880" w:rsidR="00033C11" w:rsidRDefault="00681630" w:rsidP="00033C11">
            <w:pPr>
              <w:pStyle w:val="TableText0"/>
            </w:pPr>
            <w:r>
              <w:rPr>
                <w:rFonts w:ascii="Wingdings" w:eastAsia="Wingdings" w:hAnsi="Wingdings" w:cs="Wingdings"/>
              </w:rPr>
              <w:t>ü</w:t>
            </w:r>
          </w:p>
        </w:tc>
        <w:tc>
          <w:tcPr>
            <w:tcW w:w="1206" w:type="dxa"/>
            <w:gridSpan w:val="2"/>
          </w:tcPr>
          <w:p w14:paraId="0E569EDD" w14:textId="52E6D8E1" w:rsidR="00033C11" w:rsidRDefault="00681630" w:rsidP="00033C11">
            <w:pPr>
              <w:pStyle w:val="TableText0"/>
            </w:pPr>
            <w:r>
              <w:rPr>
                <w:rFonts w:ascii="Wingdings" w:eastAsia="Wingdings" w:hAnsi="Wingdings" w:cs="Wingdings"/>
              </w:rPr>
              <w:t>ü</w:t>
            </w:r>
          </w:p>
        </w:tc>
        <w:tc>
          <w:tcPr>
            <w:tcW w:w="1206" w:type="dxa"/>
          </w:tcPr>
          <w:p w14:paraId="2C194879" w14:textId="7D1B1C88" w:rsidR="00033C11" w:rsidRDefault="00681630" w:rsidP="00033C11">
            <w:pPr>
              <w:pStyle w:val="TableText0"/>
            </w:pPr>
            <w:r>
              <w:rPr>
                <w:rFonts w:ascii="Wingdings" w:eastAsia="Wingdings" w:hAnsi="Wingdings" w:cs="Wingdings"/>
              </w:rPr>
              <w:t>ü</w:t>
            </w:r>
          </w:p>
        </w:tc>
      </w:tr>
      <w:tr w:rsidR="00B41A6A" w14:paraId="6A719671" w14:textId="77777777" w:rsidTr="00C2002D">
        <w:trPr>
          <w:tblHeader/>
        </w:trPr>
        <w:tc>
          <w:tcPr>
            <w:tcW w:w="1129" w:type="dxa"/>
            <w:vAlign w:val="bottom"/>
          </w:tcPr>
          <w:p w14:paraId="795E6124" w14:textId="3FE9E597" w:rsidR="00B41A6A" w:rsidRDefault="00B41A6A" w:rsidP="00B41A6A">
            <w:pPr>
              <w:pStyle w:val="TableText0"/>
            </w:pPr>
            <w:r w:rsidRPr="00427C30">
              <w:t>CT</w:t>
            </w:r>
          </w:p>
        </w:tc>
        <w:tc>
          <w:tcPr>
            <w:tcW w:w="1206" w:type="dxa"/>
            <w:gridSpan w:val="2"/>
          </w:tcPr>
          <w:p w14:paraId="34C1A880" w14:textId="142283B9" w:rsidR="00B41A6A" w:rsidRDefault="00B41A6A" w:rsidP="00B41A6A">
            <w:pPr>
              <w:pStyle w:val="TableText0"/>
            </w:pPr>
            <w:r>
              <w:rPr>
                <w:rFonts w:ascii="Wingdings" w:eastAsia="Wingdings" w:hAnsi="Wingdings" w:cs="Wingdings"/>
              </w:rPr>
              <w:t>ü</w:t>
            </w:r>
          </w:p>
        </w:tc>
        <w:tc>
          <w:tcPr>
            <w:tcW w:w="1206" w:type="dxa"/>
            <w:gridSpan w:val="2"/>
          </w:tcPr>
          <w:p w14:paraId="046A0B3F" w14:textId="3160F2A1" w:rsidR="00B41A6A" w:rsidRDefault="00B41A6A" w:rsidP="00B41A6A">
            <w:pPr>
              <w:pStyle w:val="TableText0"/>
            </w:pPr>
            <w:r>
              <w:rPr>
                <w:rFonts w:ascii="Wingdings" w:eastAsia="Wingdings" w:hAnsi="Wingdings" w:cs="Wingdings"/>
              </w:rPr>
              <w:t>ü</w:t>
            </w:r>
          </w:p>
        </w:tc>
        <w:tc>
          <w:tcPr>
            <w:tcW w:w="1206" w:type="dxa"/>
            <w:gridSpan w:val="2"/>
            <w:shd w:val="clear" w:color="auto" w:fill="D9D9D9" w:themeFill="background1" w:themeFillShade="D9"/>
          </w:tcPr>
          <w:p w14:paraId="733E3412" w14:textId="77777777" w:rsidR="00B41A6A" w:rsidRDefault="00B41A6A" w:rsidP="00B41A6A">
            <w:pPr>
              <w:pStyle w:val="TableText0"/>
            </w:pPr>
          </w:p>
        </w:tc>
        <w:tc>
          <w:tcPr>
            <w:tcW w:w="1206" w:type="dxa"/>
            <w:gridSpan w:val="2"/>
          </w:tcPr>
          <w:p w14:paraId="34607B9E" w14:textId="4DF6924D" w:rsidR="00B41A6A" w:rsidRDefault="00B41A6A" w:rsidP="00B41A6A">
            <w:pPr>
              <w:pStyle w:val="TableText0"/>
            </w:pPr>
            <w:r>
              <w:rPr>
                <w:rFonts w:ascii="Wingdings" w:eastAsia="Wingdings" w:hAnsi="Wingdings" w:cs="Wingdings"/>
              </w:rPr>
              <w:t>ü</w:t>
            </w:r>
          </w:p>
        </w:tc>
        <w:tc>
          <w:tcPr>
            <w:tcW w:w="1206" w:type="dxa"/>
            <w:gridSpan w:val="2"/>
          </w:tcPr>
          <w:p w14:paraId="74733795" w14:textId="71052C6F" w:rsidR="00B41A6A" w:rsidRDefault="00B41A6A" w:rsidP="00B41A6A">
            <w:pPr>
              <w:pStyle w:val="TableText0"/>
            </w:pPr>
            <w:r>
              <w:rPr>
                <w:rFonts w:ascii="Wingdings" w:eastAsia="Wingdings" w:hAnsi="Wingdings" w:cs="Wingdings"/>
              </w:rPr>
              <w:t>ü</w:t>
            </w:r>
          </w:p>
        </w:tc>
        <w:tc>
          <w:tcPr>
            <w:tcW w:w="1206" w:type="dxa"/>
            <w:gridSpan w:val="2"/>
          </w:tcPr>
          <w:p w14:paraId="03285182" w14:textId="49D7E249" w:rsidR="00B41A6A" w:rsidRDefault="00B41A6A" w:rsidP="00B41A6A">
            <w:pPr>
              <w:pStyle w:val="TableText0"/>
            </w:pPr>
            <w:r>
              <w:rPr>
                <w:rFonts w:ascii="Wingdings" w:eastAsia="Wingdings" w:hAnsi="Wingdings" w:cs="Wingdings"/>
              </w:rPr>
              <w:t>ü</w:t>
            </w:r>
          </w:p>
        </w:tc>
        <w:tc>
          <w:tcPr>
            <w:tcW w:w="1206" w:type="dxa"/>
          </w:tcPr>
          <w:p w14:paraId="3CCB9DCD" w14:textId="1ACF8542" w:rsidR="00B41A6A" w:rsidRDefault="00B41A6A" w:rsidP="00B41A6A">
            <w:pPr>
              <w:pStyle w:val="TableText0"/>
            </w:pPr>
            <w:r>
              <w:rPr>
                <w:rFonts w:ascii="Wingdings" w:eastAsia="Wingdings" w:hAnsi="Wingdings" w:cs="Wingdings"/>
              </w:rPr>
              <w:t>ü</w:t>
            </w:r>
          </w:p>
        </w:tc>
      </w:tr>
      <w:tr w:rsidR="00B41A6A" w14:paraId="447903C8" w14:textId="77777777" w:rsidTr="00C2002D">
        <w:trPr>
          <w:tblHeader/>
        </w:trPr>
        <w:tc>
          <w:tcPr>
            <w:tcW w:w="1129" w:type="dxa"/>
            <w:vAlign w:val="bottom"/>
          </w:tcPr>
          <w:p w14:paraId="586F327C" w14:textId="5F10070E" w:rsidR="00B41A6A" w:rsidRDefault="00B41A6A" w:rsidP="00B41A6A">
            <w:pPr>
              <w:pStyle w:val="TableText0"/>
            </w:pPr>
            <w:r w:rsidRPr="00427C30">
              <w:t>Ga</w:t>
            </w:r>
            <w:r w:rsidR="00862C70">
              <w:t>-67</w:t>
            </w:r>
            <w:r w:rsidRPr="00427C30">
              <w:t xml:space="preserve"> scintigraphy</w:t>
            </w:r>
          </w:p>
        </w:tc>
        <w:tc>
          <w:tcPr>
            <w:tcW w:w="1206" w:type="dxa"/>
            <w:gridSpan w:val="2"/>
          </w:tcPr>
          <w:p w14:paraId="3CF0997C" w14:textId="0B23FC7E" w:rsidR="00B41A6A" w:rsidRDefault="00B41A6A" w:rsidP="00B41A6A">
            <w:pPr>
              <w:pStyle w:val="TableText0"/>
            </w:pPr>
            <w:r>
              <w:rPr>
                <w:rFonts w:ascii="Wingdings" w:eastAsia="Wingdings" w:hAnsi="Wingdings" w:cs="Wingdings"/>
              </w:rPr>
              <w:t>ü</w:t>
            </w:r>
          </w:p>
        </w:tc>
        <w:tc>
          <w:tcPr>
            <w:tcW w:w="1206" w:type="dxa"/>
            <w:gridSpan w:val="2"/>
          </w:tcPr>
          <w:p w14:paraId="753D0D19" w14:textId="6F48D617" w:rsidR="00B41A6A" w:rsidRDefault="00B41A6A" w:rsidP="00B41A6A">
            <w:pPr>
              <w:pStyle w:val="TableText0"/>
            </w:pPr>
            <w:r>
              <w:rPr>
                <w:rFonts w:ascii="Wingdings" w:eastAsia="Wingdings" w:hAnsi="Wingdings" w:cs="Wingdings"/>
              </w:rPr>
              <w:t>ü</w:t>
            </w:r>
          </w:p>
        </w:tc>
        <w:tc>
          <w:tcPr>
            <w:tcW w:w="1206" w:type="dxa"/>
            <w:gridSpan w:val="2"/>
            <w:shd w:val="clear" w:color="auto" w:fill="D9D9D9" w:themeFill="background1" w:themeFillShade="D9"/>
          </w:tcPr>
          <w:p w14:paraId="422C7D3B" w14:textId="77777777" w:rsidR="00B41A6A" w:rsidRDefault="00B41A6A" w:rsidP="00B41A6A">
            <w:pPr>
              <w:pStyle w:val="TableText0"/>
            </w:pPr>
          </w:p>
        </w:tc>
        <w:tc>
          <w:tcPr>
            <w:tcW w:w="1206" w:type="dxa"/>
            <w:gridSpan w:val="2"/>
          </w:tcPr>
          <w:p w14:paraId="3FCD11BB" w14:textId="0757747C" w:rsidR="00B41A6A" w:rsidRDefault="00B41A6A" w:rsidP="00B41A6A">
            <w:pPr>
              <w:pStyle w:val="TableText0"/>
            </w:pPr>
            <w:r>
              <w:rPr>
                <w:rFonts w:ascii="Wingdings" w:eastAsia="Wingdings" w:hAnsi="Wingdings" w:cs="Wingdings"/>
              </w:rPr>
              <w:t>ü</w:t>
            </w:r>
          </w:p>
        </w:tc>
        <w:tc>
          <w:tcPr>
            <w:tcW w:w="1206" w:type="dxa"/>
            <w:gridSpan w:val="2"/>
          </w:tcPr>
          <w:p w14:paraId="392E0FD8" w14:textId="6E868EA4" w:rsidR="00B41A6A" w:rsidRDefault="00B41A6A" w:rsidP="00B41A6A">
            <w:pPr>
              <w:pStyle w:val="TableText0"/>
            </w:pPr>
            <w:r>
              <w:rPr>
                <w:rFonts w:ascii="Wingdings" w:eastAsia="Wingdings" w:hAnsi="Wingdings" w:cs="Wingdings"/>
              </w:rPr>
              <w:t>ü</w:t>
            </w:r>
          </w:p>
        </w:tc>
        <w:tc>
          <w:tcPr>
            <w:tcW w:w="1206" w:type="dxa"/>
            <w:gridSpan w:val="2"/>
          </w:tcPr>
          <w:p w14:paraId="3722B44D" w14:textId="7A10DA17" w:rsidR="00B41A6A" w:rsidRDefault="00B41A6A" w:rsidP="00B41A6A">
            <w:pPr>
              <w:pStyle w:val="TableText0"/>
            </w:pPr>
            <w:r>
              <w:rPr>
                <w:rFonts w:ascii="Wingdings" w:eastAsia="Wingdings" w:hAnsi="Wingdings" w:cs="Wingdings"/>
              </w:rPr>
              <w:t>ü</w:t>
            </w:r>
          </w:p>
        </w:tc>
        <w:tc>
          <w:tcPr>
            <w:tcW w:w="1206" w:type="dxa"/>
          </w:tcPr>
          <w:p w14:paraId="496BB7DA" w14:textId="2637EDED" w:rsidR="00B41A6A" w:rsidRDefault="00B41A6A" w:rsidP="00B41A6A">
            <w:pPr>
              <w:pStyle w:val="TableText0"/>
            </w:pPr>
            <w:r>
              <w:rPr>
                <w:rFonts w:ascii="Wingdings" w:eastAsia="Wingdings" w:hAnsi="Wingdings" w:cs="Wingdings"/>
              </w:rPr>
              <w:t>ü</w:t>
            </w:r>
          </w:p>
        </w:tc>
      </w:tr>
      <w:tr w:rsidR="00B41A6A" w14:paraId="23395287" w14:textId="77777777" w:rsidTr="00C2002D">
        <w:trPr>
          <w:tblHeader/>
        </w:trPr>
        <w:tc>
          <w:tcPr>
            <w:tcW w:w="1129" w:type="dxa"/>
            <w:vAlign w:val="bottom"/>
          </w:tcPr>
          <w:p w14:paraId="014945CD" w14:textId="0B492E67" w:rsidR="00B41A6A" w:rsidRDefault="00B41A6A" w:rsidP="00B41A6A">
            <w:pPr>
              <w:pStyle w:val="TableText0"/>
            </w:pPr>
            <w:r w:rsidRPr="00427C30">
              <w:t>3-phase bone scan</w:t>
            </w:r>
          </w:p>
        </w:tc>
        <w:tc>
          <w:tcPr>
            <w:tcW w:w="1206" w:type="dxa"/>
            <w:gridSpan w:val="2"/>
          </w:tcPr>
          <w:p w14:paraId="7307700F" w14:textId="7E9A2EA8" w:rsidR="00B41A6A" w:rsidRDefault="00B41A6A" w:rsidP="00B41A6A">
            <w:pPr>
              <w:pStyle w:val="TableText0"/>
            </w:pPr>
            <w:r>
              <w:rPr>
                <w:rFonts w:ascii="Wingdings" w:eastAsia="Wingdings" w:hAnsi="Wingdings" w:cs="Wingdings"/>
              </w:rPr>
              <w:t>ü</w:t>
            </w:r>
          </w:p>
        </w:tc>
        <w:tc>
          <w:tcPr>
            <w:tcW w:w="1206" w:type="dxa"/>
            <w:gridSpan w:val="2"/>
          </w:tcPr>
          <w:p w14:paraId="7F62DE31" w14:textId="584A14C2" w:rsidR="00B41A6A" w:rsidRDefault="00B41A6A" w:rsidP="00B41A6A">
            <w:pPr>
              <w:pStyle w:val="TableText0"/>
            </w:pPr>
            <w:r>
              <w:rPr>
                <w:rFonts w:ascii="Wingdings" w:eastAsia="Wingdings" w:hAnsi="Wingdings" w:cs="Wingdings"/>
              </w:rPr>
              <w:t>ü</w:t>
            </w:r>
          </w:p>
        </w:tc>
        <w:tc>
          <w:tcPr>
            <w:tcW w:w="1206" w:type="dxa"/>
            <w:gridSpan w:val="2"/>
            <w:shd w:val="clear" w:color="auto" w:fill="D9D9D9" w:themeFill="background1" w:themeFillShade="D9"/>
          </w:tcPr>
          <w:p w14:paraId="0EF2F504" w14:textId="77777777" w:rsidR="00B41A6A" w:rsidRDefault="00B41A6A" w:rsidP="00B41A6A">
            <w:pPr>
              <w:pStyle w:val="TableText0"/>
            </w:pPr>
          </w:p>
        </w:tc>
        <w:tc>
          <w:tcPr>
            <w:tcW w:w="1206" w:type="dxa"/>
            <w:gridSpan w:val="2"/>
          </w:tcPr>
          <w:p w14:paraId="19AE4DA2" w14:textId="411C6AB9" w:rsidR="00B41A6A" w:rsidRDefault="00B41A6A" w:rsidP="00B41A6A">
            <w:pPr>
              <w:pStyle w:val="TableText0"/>
            </w:pPr>
            <w:r>
              <w:rPr>
                <w:rFonts w:ascii="Wingdings" w:eastAsia="Wingdings" w:hAnsi="Wingdings" w:cs="Wingdings"/>
              </w:rPr>
              <w:t>ü</w:t>
            </w:r>
          </w:p>
        </w:tc>
        <w:tc>
          <w:tcPr>
            <w:tcW w:w="1206" w:type="dxa"/>
            <w:gridSpan w:val="2"/>
            <w:shd w:val="clear" w:color="auto" w:fill="D9D9D9" w:themeFill="background1" w:themeFillShade="D9"/>
          </w:tcPr>
          <w:p w14:paraId="4EE4F5A6" w14:textId="77777777" w:rsidR="00B41A6A" w:rsidRDefault="00B41A6A" w:rsidP="00B41A6A">
            <w:pPr>
              <w:pStyle w:val="TableText0"/>
            </w:pPr>
          </w:p>
        </w:tc>
        <w:tc>
          <w:tcPr>
            <w:tcW w:w="1206" w:type="dxa"/>
            <w:gridSpan w:val="2"/>
          </w:tcPr>
          <w:p w14:paraId="40B0CB2E" w14:textId="738BA0CF" w:rsidR="00B41A6A" w:rsidRDefault="00B41A6A" w:rsidP="00B41A6A">
            <w:pPr>
              <w:pStyle w:val="TableText0"/>
            </w:pPr>
            <w:r>
              <w:rPr>
                <w:rFonts w:ascii="Wingdings" w:eastAsia="Wingdings" w:hAnsi="Wingdings" w:cs="Wingdings"/>
              </w:rPr>
              <w:t>ü</w:t>
            </w:r>
          </w:p>
        </w:tc>
        <w:tc>
          <w:tcPr>
            <w:tcW w:w="1206" w:type="dxa"/>
          </w:tcPr>
          <w:p w14:paraId="596F7070" w14:textId="4AAF525F" w:rsidR="00B41A6A" w:rsidRDefault="00B41A6A" w:rsidP="00B41A6A">
            <w:pPr>
              <w:pStyle w:val="TableText0"/>
            </w:pPr>
            <w:r>
              <w:rPr>
                <w:rFonts w:ascii="Wingdings" w:eastAsia="Wingdings" w:hAnsi="Wingdings" w:cs="Wingdings"/>
              </w:rPr>
              <w:t>ü</w:t>
            </w:r>
          </w:p>
        </w:tc>
      </w:tr>
      <w:tr w:rsidR="00314183" w14:paraId="68575FB7" w14:textId="77777777" w:rsidTr="00C2002D">
        <w:trPr>
          <w:tblHeader/>
        </w:trPr>
        <w:tc>
          <w:tcPr>
            <w:tcW w:w="1129" w:type="dxa"/>
            <w:vAlign w:val="bottom"/>
          </w:tcPr>
          <w:p w14:paraId="21C60D66" w14:textId="2666B788" w:rsidR="00B41A6A" w:rsidRDefault="00B41A6A" w:rsidP="00B41A6A">
            <w:pPr>
              <w:pStyle w:val="TableText0"/>
            </w:pPr>
            <w:r w:rsidRPr="00427C30">
              <w:t>WBC</w:t>
            </w:r>
            <w:r w:rsidR="00BF3CC8">
              <w:t xml:space="preserve"> </w:t>
            </w:r>
            <w:r w:rsidRPr="00427C30">
              <w:t>scan</w:t>
            </w:r>
          </w:p>
        </w:tc>
        <w:tc>
          <w:tcPr>
            <w:tcW w:w="1206" w:type="dxa"/>
            <w:gridSpan w:val="2"/>
          </w:tcPr>
          <w:p w14:paraId="45FCBB3A" w14:textId="7BFCEEC5" w:rsidR="00B41A6A" w:rsidRDefault="00B41A6A" w:rsidP="00B41A6A">
            <w:pPr>
              <w:pStyle w:val="TableText0"/>
            </w:pPr>
            <w:r>
              <w:rPr>
                <w:rFonts w:ascii="Wingdings" w:eastAsia="Wingdings" w:hAnsi="Wingdings" w:cs="Wingdings"/>
              </w:rPr>
              <w:t>ü</w:t>
            </w:r>
          </w:p>
        </w:tc>
        <w:tc>
          <w:tcPr>
            <w:tcW w:w="1206" w:type="dxa"/>
            <w:gridSpan w:val="2"/>
          </w:tcPr>
          <w:p w14:paraId="0BA76A41" w14:textId="2D0B3F9A" w:rsidR="00B41A6A" w:rsidRDefault="00B41A6A" w:rsidP="00B41A6A">
            <w:pPr>
              <w:pStyle w:val="TableText0"/>
            </w:pPr>
            <w:r>
              <w:rPr>
                <w:rFonts w:ascii="Wingdings" w:eastAsia="Wingdings" w:hAnsi="Wingdings" w:cs="Wingdings"/>
              </w:rPr>
              <w:t>ü</w:t>
            </w:r>
          </w:p>
        </w:tc>
        <w:tc>
          <w:tcPr>
            <w:tcW w:w="1206" w:type="dxa"/>
            <w:gridSpan w:val="2"/>
            <w:shd w:val="clear" w:color="auto" w:fill="D9D9D9" w:themeFill="background1" w:themeFillShade="D9"/>
          </w:tcPr>
          <w:p w14:paraId="30A3EC59" w14:textId="77777777" w:rsidR="00B41A6A" w:rsidRDefault="00B41A6A" w:rsidP="00B41A6A">
            <w:pPr>
              <w:pStyle w:val="TableText0"/>
            </w:pPr>
          </w:p>
        </w:tc>
        <w:tc>
          <w:tcPr>
            <w:tcW w:w="1206" w:type="dxa"/>
            <w:gridSpan w:val="2"/>
          </w:tcPr>
          <w:p w14:paraId="1BAED6AB" w14:textId="7A372574" w:rsidR="00B41A6A" w:rsidRDefault="00B41A6A" w:rsidP="00B41A6A">
            <w:pPr>
              <w:pStyle w:val="TableText0"/>
            </w:pPr>
            <w:r>
              <w:rPr>
                <w:rFonts w:ascii="Wingdings" w:eastAsia="Wingdings" w:hAnsi="Wingdings" w:cs="Wingdings"/>
              </w:rPr>
              <w:t>ü</w:t>
            </w:r>
          </w:p>
        </w:tc>
        <w:tc>
          <w:tcPr>
            <w:tcW w:w="1206" w:type="dxa"/>
            <w:gridSpan w:val="2"/>
          </w:tcPr>
          <w:p w14:paraId="1D6E2AC6" w14:textId="3B1B0E35" w:rsidR="00B41A6A" w:rsidRDefault="00B41A6A" w:rsidP="00B41A6A">
            <w:pPr>
              <w:pStyle w:val="TableText0"/>
            </w:pPr>
            <w:r>
              <w:rPr>
                <w:rFonts w:ascii="Wingdings" w:eastAsia="Wingdings" w:hAnsi="Wingdings" w:cs="Wingdings"/>
              </w:rPr>
              <w:t>ü</w:t>
            </w:r>
          </w:p>
        </w:tc>
        <w:tc>
          <w:tcPr>
            <w:tcW w:w="1206" w:type="dxa"/>
            <w:gridSpan w:val="2"/>
          </w:tcPr>
          <w:p w14:paraId="266BC0CD" w14:textId="4EA51A29" w:rsidR="00B41A6A" w:rsidRDefault="00B41A6A" w:rsidP="00B41A6A">
            <w:pPr>
              <w:pStyle w:val="TableText0"/>
            </w:pPr>
            <w:r>
              <w:rPr>
                <w:rFonts w:ascii="Wingdings" w:eastAsia="Wingdings" w:hAnsi="Wingdings" w:cs="Wingdings"/>
              </w:rPr>
              <w:t>ü</w:t>
            </w:r>
          </w:p>
        </w:tc>
        <w:tc>
          <w:tcPr>
            <w:tcW w:w="1206" w:type="dxa"/>
          </w:tcPr>
          <w:p w14:paraId="0ED04E45" w14:textId="42F7E5F8" w:rsidR="00B41A6A" w:rsidRDefault="00B41A6A" w:rsidP="00B41A6A">
            <w:pPr>
              <w:pStyle w:val="TableText0"/>
            </w:pPr>
            <w:r>
              <w:rPr>
                <w:rFonts w:ascii="Wingdings" w:eastAsia="Wingdings" w:hAnsi="Wingdings" w:cs="Wingdings"/>
              </w:rPr>
              <w:t>ü</w:t>
            </w:r>
          </w:p>
        </w:tc>
      </w:tr>
    </w:tbl>
    <w:bookmarkEnd w:id="4"/>
    <w:p w14:paraId="44579436" w14:textId="7F30AACF" w:rsidR="006F27D0" w:rsidRDefault="005A0CA2" w:rsidP="005A0CA2">
      <w:pPr>
        <w:pStyle w:val="Tablenotes"/>
        <w:jc w:val="left"/>
      </w:pPr>
      <w:r>
        <w:t xml:space="preserve">CE = contrast enhanced; CRP = c-reactive protein; CT = computed tomography; </w:t>
      </w:r>
      <w:r w:rsidR="00890568">
        <w:t>ECG = ec</w:t>
      </w:r>
      <w:r w:rsidR="00611829">
        <w:t>ho</w:t>
      </w:r>
      <w:r w:rsidR="00890568">
        <w:t xml:space="preserve">cardiogram; </w:t>
      </w:r>
      <w:r>
        <w:t xml:space="preserve">EPNTM = extrapulmonary non-tuberculous mycobacterial; ESR = erythrocyte sedimentation rate; </w:t>
      </w:r>
      <w:r w:rsidR="00A20CB0" w:rsidRPr="00A20CB0">
        <w:t xml:space="preserve">EUC = </w:t>
      </w:r>
      <w:r w:rsidR="005C26E8" w:rsidRPr="00A20CB0">
        <w:t>electrolytes</w:t>
      </w:r>
      <w:r w:rsidR="00A20CB0" w:rsidRPr="00A20CB0">
        <w:t>, urea, creatinine;</w:t>
      </w:r>
      <w:r w:rsidR="005C26E8">
        <w:t xml:space="preserve"> </w:t>
      </w:r>
      <w:r>
        <w:t xml:space="preserve">FBC = full blood count; </w:t>
      </w:r>
      <w:r w:rsidR="00862C70">
        <w:t xml:space="preserve">Ga-67 = gallium-67 citrate; </w:t>
      </w:r>
      <w:r>
        <w:t xml:space="preserve">LFT = liver function test; MCS = microscopy, culture, and sensitivity; MRI = magnetic resonance imaging; </w:t>
      </w:r>
      <w:r w:rsidR="00A820B7" w:rsidRPr="00A820B7">
        <w:t>TTE = transthoracic echocardiogram;</w:t>
      </w:r>
      <w:r w:rsidR="00A820B7" w:rsidRPr="00A820B7" w:rsidDel="00E27111">
        <w:t xml:space="preserve"> </w:t>
      </w:r>
      <w:r>
        <w:t>WBC = white blood cell</w:t>
      </w:r>
    </w:p>
    <w:p w14:paraId="560F0D9D" w14:textId="77777777" w:rsidR="00ED3AAA" w:rsidRDefault="00ED3AAA" w:rsidP="00ED3AAA">
      <w:pPr>
        <w:pStyle w:val="Heading5"/>
      </w:pPr>
      <w:r>
        <w:t>Spinal infection</w:t>
      </w:r>
    </w:p>
    <w:p w14:paraId="32D2A4F5" w14:textId="735FF116" w:rsidR="00ED3AAA" w:rsidRDefault="00C35219" w:rsidP="006F27D0">
      <w:r>
        <w:t>Spinal infections</w:t>
      </w:r>
      <w:r w:rsidR="00716E98">
        <w:t xml:space="preserve"> </w:t>
      </w:r>
      <w:r>
        <w:t xml:space="preserve">are </w:t>
      </w:r>
      <w:r w:rsidR="00C006DE">
        <w:t>a spectrum of infectious diseases</w:t>
      </w:r>
      <w:r w:rsidR="00135EA0">
        <w:t xml:space="preserve"> that can affect the vertebral body</w:t>
      </w:r>
      <w:r w:rsidR="006A0A70">
        <w:t xml:space="preserve"> (vertebral osteomyelitis)</w:t>
      </w:r>
      <w:r w:rsidR="00135EA0">
        <w:t>, intervertebral discs</w:t>
      </w:r>
      <w:r w:rsidR="006A0A70">
        <w:t xml:space="preserve"> (</w:t>
      </w:r>
      <w:r w:rsidR="2C8D6242">
        <w:t>discitis</w:t>
      </w:r>
      <w:r w:rsidR="006A0A70">
        <w:t>)</w:t>
      </w:r>
      <w:r w:rsidR="00C05813">
        <w:t>, endplates (</w:t>
      </w:r>
      <w:r w:rsidR="00023E5E">
        <w:t xml:space="preserve">spondylitis), facet joints </w:t>
      </w:r>
      <w:r w:rsidR="000F06E6">
        <w:t xml:space="preserve">(septic arthritis) </w:t>
      </w:r>
      <w:r w:rsidR="00023E5E">
        <w:t>and adjacent tissues</w:t>
      </w:r>
      <w:r w:rsidR="006D5C56">
        <w:t xml:space="preserve"> (soft tissue epidural </w:t>
      </w:r>
      <w:r w:rsidR="00E10878">
        <w:t>abscess</w:t>
      </w:r>
      <w:r w:rsidR="006D5C56">
        <w:t>)</w:t>
      </w:r>
      <w:r w:rsidR="00023E5E">
        <w:t xml:space="preserve">. </w:t>
      </w:r>
      <w:r w:rsidR="00FB21C5">
        <w:t xml:space="preserve">Infections </w:t>
      </w:r>
      <w:r w:rsidR="00E10878">
        <w:t xml:space="preserve">are </w:t>
      </w:r>
      <w:r w:rsidR="00FB21C5">
        <w:t xml:space="preserve">usually diffuse and affect </w:t>
      </w:r>
      <w:r w:rsidR="00D92C98">
        <w:t>multiple structures</w:t>
      </w:r>
      <w:r w:rsidR="00E2416E">
        <w:t xml:space="preserve"> and are referred to </w:t>
      </w:r>
      <w:r w:rsidR="00185210">
        <w:t xml:space="preserve">broadly </w:t>
      </w:r>
      <w:r w:rsidR="00E2416E">
        <w:t>as spondylodis</w:t>
      </w:r>
      <w:r w:rsidR="00C45252">
        <w:t>c</w:t>
      </w:r>
      <w:r w:rsidR="00E2416E">
        <w:t>itis</w:t>
      </w:r>
      <w:r w:rsidR="00D92C98">
        <w:t>. Primary spinal infections originate from a distant site</w:t>
      </w:r>
      <w:r w:rsidR="00661DF3">
        <w:t xml:space="preserve"> (e.g. </w:t>
      </w:r>
      <w:r w:rsidR="00F953D8">
        <w:t>genitourinary, gastrointestinal, respiratory tract, oral cavity)</w:t>
      </w:r>
      <w:r w:rsidR="00D92C98">
        <w:t xml:space="preserve"> and reach the </w:t>
      </w:r>
      <w:r w:rsidR="002D3D17">
        <w:t xml:space="preserve">spinal structures by hematogenous spread whereas </w:t>
      </w:r>
      <w:r w:rsidR="0060338E">
        <w:t xml:space="preserve">secondary infections originate </w:t>
      </w:r>
      <w:r w:rsidR="0061441C">
        <w:t xml:space="preserve">via </w:t>
      </w:r>
      <w:r w:rsidR="000C7E07">
        <w:t>direct</w:t>
      </w:r>
      <w:r w:rsidR="0061441C">
        <w:t xml:space="preserve"> contamination</w:t>
      </w:r>
      <w:r w:rsidR="000C7E07">
        <w:t xml:space="preserve"> </w:t>
      </w:r>
      <w:r w:rsidR="003E1201">
        <w:t>through</w:t>
      </w:r>
      <w:r w:rsidR="000C7E07">
        <w:t xml:space="preserve"> </w:t>
      </w:r>
      <w:r w:rsidR="003E1201">
        <w:t xml:space="preserve">interventions, </w:t>
      </w:r>
      <w:r w:rsidR="00661DF3">
        <w:t>surgery,</w:t>
      </w:r>
      <w:r w:rsidR="003E1201">
        <w:t xml:space="preserve"> or trauma</w:t>
      </w:r>
      <w:r w:rsidR="000C7E07">
        <w:t>.</w:t>
      </w:r>
      <w:r w:rsidR="008622D2">
        <w:t xml:space="preserve"> In </w:t>
      </w:r>
      <w:r w:rsidR="0028361F">
        <w:t>nearly</w:t>
      </w:r>
      <w:r w:rsidR="008622D2">
        <w:t xml:space="preserve"> 50% of cases</w:t>
      </w:r>
      <w:r w:rsidR="0028361F">
        <w:t xml:space="preserve"> the original source of infection remains unidentified </w:t>
      </w:r>
      <w:r w:rsidR="009827E1" w:rsidRPr="009827E1">
        <w:rPr>
          <w:rFonts w:cs="Calibri"/>
        </w:rPr>
        <w:t>(Muharremi et al. 2025)</w:t>
      </w:r>
      <w:r w:rsidR="0028361F">
        <w:t xml:space="preserve">. </w:t>
      </w:r>
    </w:p>
    <w:p w14:paraId="049917F0" w14:textId="7675E801" w:rsidR="00FA21E3" w:rsidRDefault="00FA21E3" w:rsidP="006F27D0">
      <w:r>
        <w:t>Spinal infections can occur at any age but are most common in adults aged 50 to 70 years</w:t>
      </w:r>
      <w:r w:rsidR="002A35B4">
        <w:t xml:space="preserve"> or in people who are immunosuppressed</w:t>
      </w:r>
      <w:r w:rsidR="00984D83">
        <w:t>,</w:t>
      </w:r>
      <w:r w:rsidR="00727714">
        <w:t xml:space="preserve"> are</w:t>
      </w:r>
      <w:r w:rsidR="00984D83">
        <w:t xml:space="preserve"> </w:t>
      </w:r>
      <w:r w:rsidR="002A35B4">
        <w:t>intravenous drug users</w:t>
      </w:r>
      <w:r w:rsidR="00984D83">
        <w:t xml:space="preserve"> or have surgical implants</w:t>
      </w:r>
      <w:r w:rsidR="002A35B4">
        <w:t xml:space="preserve">. </w:t>
      </w:r>
      <w:r w:rsidR="00561EC2">
        <w:t xml:space="preserve">Patients </w:t>
      </w:r>
      <w:r w:rsidR="00751868">
        <w:t xml:space="preserve">commonly </w:t>
      </w:r>
      <w:r w:rsidR="00561EC2">
        <w:t>present with pain</w:t>
      </w:r>
      <w:r w:rsidR="003C30BC">
        <w:t xml:space="preserve"> with or without fever</w:t>
      </w:r>
      <w:r w:rsidR="006A5A9D">
        <w:t xml:space="preserve"> (absent in up to half of cases)</w:t>
      </w:r>
      <w:r w:rsidR="00BB5FBD">
        <w:t xml:space="preserve">. </w:t>
      </w:r>
      <w:r w:rsidR="00374AC0">
        <w:t>N</w:t>
      </w:r>
      <w:r w:rsidR="00BB5FBD">
        <w:t xml:space="preserve">eurological </w:t>
      </w:r>
      <w:r w:rsidR="00413EF1">
        <w:t xml:space="preserve">symptoms can occur in more advanced infections. </w:t>
      </w:r>
      <w:r w:rsidR="006108D4">
        <w:t>Clinical presentation</w:t>
      </w:r>
      <w:r w:rsidR="009A5F49">
        <w:t xml:space="preserve"> can be insidio</w:t>
      </w:r>
      <w:r w:rsidR="006108D4">
        <w:t>us, nonspecific and progressive</w:t>
      </w:r>
      <w:r w:rsidR="005B12A9">
        <w:t>;</w:t>
      </w:r>
      <w:r w:rsidR="00C234D0">
        <w:t xml:space="preserve"> an average delay in diagnosis of 2 to 4 months is reported </w:t>
      </w:r>
      <w:r w:rsidR="00C234D0" w:rsidRPr="00C234D0">
        <w:rPr>
          <w:rFonts w:cs="Calibri"/>
        </w:rPr>
        <w:t>(Laur et al. 2024)</w:t>
      </w:r>
      <w:r w:rsidR="00C234D0">
        <w:t xml:space="preserve">. </w:t>
      </w:r>
    </w:p>
    <w:p w14:paraId="25F79ABC" w14:textId="01E182BB" w:rsidR="00B96C69" w:rsidRDefault="00B96C69" w:rsidP="006F27D0">
      <w:r>
        <w:lastRenderedPageBreak/>
        <w:t xml:space="preserve">Initial investigations are </w:t>
      </w:r>
      <w:r w:rsidR="00551B5D">
        <w:t>laboratory test</w:t>
      </w:r>
      <w:r w:rsidR="0012160C">
        <w:t>s</w:t>
      </w:r>
      <w:r w:rsidR="00551B5D">
        <w:t xml:space="preserve"> (</w:t>
      </w:r>
      <w:r w:rsidR="00AD3A9E">
        <w:t xml:space="preserve">e.g. </w:t>
      </w:r>
      <w:r w:rsidR="00AD3A9E" w:rsidRPr="00AD3A9E">
        <w:t xml:space="preserve">white blood cell </w:t>
      </w:r>
      <w:r w:rsidR="00D7150A">
        <w:t>(</w:t>
      </w:r>
      <w:r w:rsidR="00551B5D">
        <w:t>WBC</w:t>
      </w:r>
      <w:r w:rsidR="00D7150A">
        <w:t>)</w:t>
      </w:r>
      <w:r w:rsidR="00D33823">
        <w:t xml:space="preserve"> </w:t>
      </w:r>
      <w:r w:rsidR="6F36EE6A">
        <w:t>count and differential</w:t>
      </w:r>
      <w:r w:rsidR="00551B5D">
        <w:t xml:space="preserve">, </w:t>
      </w:r>
      <w:r w:rsidR="00D7150A" w:rsidRPr="00D7150A">
        <w:t xml:space="preserve">c-reactive protein </w:t>
      </w:r>
      <w:r w:rsidR="00D7150A">
        <w:t>(</w:t>
      </w:r>
      <w:r w:rsidR="00551B5D">
        <w:t>CRP</w:t>
      </w:r>
      <w:r w:rsidR="00D7150A">
        <w:t xml:space="preserve">) and </w:t>
      </w:r>
      <w:r w:rsidR="008C35BD" w:rsidRPr="008C35BD">
        <w:t>erythrocyte sedimentation rate</w:t>
      </w:r>
      <w:r w:rsidR="00551B5D">
        <w:t xml:space="preserve"> </w:t>
      </w:r>
      <w:r w:rsidR="008C35BD">
        <w:t>(</w:t>
      </w:r>
      <w:r w:rsidR="00551B5D">
        <w:t>ESR)</w:t>
      </w:r>
      <w:r w:rsidR="008C35BD">
        <w:t xml:space="preserve"> tests)</w:t>
      </w:r>
      <w:r w:rsidR="00DB4A25">
        <w:t xml:space="preserve"> </w:t>
      </w:r>
      <w:r w:rsidR="00C55E65">
        <w:t>that can help to differentiate infection from chronic degenerative back pain</w:t>
      </w:r>
      <w:r w:rsidR="005D1857">
        <w:t xml:space="preserve">. </w:t>
      </w:r>
      <w:r w:rsidR="00DE53AD">
        <w:t xml:space="preserve">Plain </w:t>
      </w:r>
      <w:r w:rsidR="005D1857">
        <w:t xml:space="preserve">X-rays are commonly performed </w:t>
      </w:r>
      <w:r w:rsidR="00DE53AD">
        <w:t xml:space="preserve">as part of the </w:t>
      </w:r>
      <w:r w:rsidR="005D1857">
        <w:t>initial</w:t>
      </w:r>
      <w:r w:rsidR="00C56C99">
        <w:t xml:space="preserve"> clinical pathway, although they have limited</w:t>
      </w:r>
      <w:r w:rsidR="005D1857">
        <w:t xml:space="preserve"> sensitivity and specificity </w:t>
      </w:r>
      <w:r w:rsidR="003627A7">
        <w:t>in the early stages of infection</w:t>
      </w:r>
      <w:r w:rsidR="00A26F79">
        <w:t xml:space="preserve"> before bone </w:t>
      </w:r>
      <w:r w:rsidR="00D37E4F">
        <w:t>destruction</w:t>
      </w:r>
      <w:r w:rsidR="00B36A69">
        <w:t>,</w:t>
      </w:r>
      <w:r w:rsidR="00D37E4F">
        <w:t xml:space="preserve"> and are </w:t>
      </w:r>
      <w:r w:rsidR="0059091D">
        <w:t>not recommended for suspec</w:t>
      </w:r>
      <w:r w:rsidR="00287030">
        <w:t xml:space="preserve">ted spinal infection. They are </w:t>
      </w:r>
      <w:r w:rsidR="00D37E4F">
        <w:t xml:space="preserve">therefore not considered a component of the clinical pathway. </w:t>
      </w:r>
      <w:r w:rsidR="00687876">
        <w:t xml:space="preserve">Where spinal </w:t>
      </w:r>
      <w:r w:rsidR="0085056C">
        <w:t xml:space="preserve">infection is suspected, MRI </w:t>
      </w:r>
      <w:r w:rsidR="00A229D8">
        <w:t>is recommended first-line imaging test.</w:t>
      </w:r>
    </w:p>
    <w:p w14:paraId="2CD03F62" w14:textId="709AD359" w:rsidR="00F0772D" w:rsidRDefault="00F0772D" w:rsidP="006F27D0">
      <w:r>
        <w:t xml:space="preserve">Where spinal infection remains suspected </w:t>
      </w:r>
      <w:r w:rsidR="009F3CD3">
        <w:t>based on</w:t>
      </w:r>
      <w:r>
        <w:t xml:space="preserve"> clinical presentation, history and laboratory findings</w:t>
      </w:r>
      <w:r w:rsidR="00560A6B">
        <w:t xml:space="preserve">, contrast-enhanced MRI is </w:t>
      </w:r>
      <w:r w:rsidR="009F3CD3">
        <w:t xml:space="preserve">the recommended first-line imaging approach </w:t>
      </w:r>
      <w:r w:rsidR="002F0B4F" w:rsidRPr="002F0B4F">
        <w:rPr>
          <w:rFonts w:cs="Calibri"/>
        </w:rPr>
        <w:t>(Lazzeri et al. 2019</w:t>
      </w:r>
      <w:r w:rsidR="0E43C876" w:rsidRPr="19A1EBD5">
        <w:rPr>
          <w:rFonts w:cs="Calibri"/>
        </w:rPr>
        <w:t>)</w:t>
      </w:r>
      <w:r w:rsidR="3EA10F6F" w:rsidRPr="19A1EBD5">
        <w:rPr>
          <w:rFonts w:cs="Calibri"/>
        </w:rPr>
        <w:t>.</w:t>
      </w:r>
      <w:r w:rsidR="03EC7747">
        <w:t>I</w:t>
      </w:r>
      <w:r w:rsidR="00183F4D">
        <w:t xml:space="preserve">t </w:t>
      </w:r>
      <w:r w:rsidR="00217656">
        <w:t>has high sensitivity for both soft tissue and bone</w:t>
      </w:r>
      <w:r w:rsidR="00F61AD9">
        <w:t xml:space="preserve"> marrow abnormalities, no ionising radiation and </w:t>
      </w:r>
      <w:r w:rsidR="008E4514">
        <w:t xml:space="preserve">can detect infection earlier than other </w:t>
      </w:r>
      <w:r w:rsidR="00C351E5">
        <w:t>modalities.</w:t>
      </w:r>
    </w:p>
    <w:p w14:paraId="37137BEC" w14:textId="0CFA4B52" w:rsidR="00C167E2" w:rsidRDefault="000057B6" w:rsidP="006F27D0">
      <w:r>
        <w:t>Antibiotic</w:t>
      </w:r>
      <w:r w:rsidR="00B87AA7">
        <w:t xml:space="preserve"> therapy is the mainstay of treatment</w:t>
      </w:r>
      <w:r w:rsidR="00AC48FF">
        <w:t>;</w:t>
      </w:r>
      <w:r w:rsidR="00B87AA7">
        <w:t xml:space="preserve"> </w:t>
      </w:r>
      <w:r w:rsidR="00F03727">
        <w:t>however</w:t>
      </w:r>
      <w:r w:rsidR="00AC48FF">
        <w:t>,</w:t>
      </w:r>
      <w:r w:rsidR="00F03727">
        <w:t xml:space="preserve"> surgical intervention may be required </w:t>
      </w:r>
      <w:r w:rsidR="00B4133B">
        <w:t xml:space="preserve">if conservative treatment fails, </w:t>
      </w:r>
      <w:r w:rsidR="00AC48FF">
        <w:t xml:space="preserve">or </w:t>
      </w:r>
      <w:r w:rsidR="00B4133B">
        <w:t xml:space="preserve">there is spinal instability or neurologic deficit </w:t>
      </w:r>
      <w:r w:rsidR="00DB7A34" w:rsidRPr="00DB7A34">
        <w:rPr>
          <w:rFonts w:cs="Calibri"/>
        </w:rPr>
        <w:t>(Laur et al. 2024)</w:t>
      </w:r>
      <w:r w:rsidR="00D86823">
        <w:t>.</w:t>
      </w:r>
    </w:p>
    <w:p w14:paraId="0E82DEAF" w14:textId="68166424" w:rsidR="00D86823" w:rsidRDefault="00D86823" w:rsidP="00D86823">
      <w:pPr>
        <w:pStyle w:val="Heading5"/>
      </w:pPr>
      <w:r>
        <w:t>Osteomyelitis</w:t>
      </w:r>
    </w:p>
    <w:p w14:paraId="01175E8F" w14:textId="745247A2" w:rsidR="00130F45" w:rsidRDefault="00F9212A" w:rsidP="00F9212A">
      <w:r>
        <w:t>Osteomyelitis refers to a primary infection of the bone marrow with subsequent involvement of the cortical bone</w:t>
      </w:r>
      <w:r w:rsidR="00A40642">
        <w:t xml:space="preserve">. </w:t>
      </w:r>
      <w:r w:rsidR="0083174F">
        <w:t>The term osteomyelitis</w:t>
      </w:r>
      <w:r w:rsidR="00A40642">
        <w:t xml:space="preserve"> is often used interchangeably with </w:t>
      </w:r>
      <w:r w:rsidR="00F974B5">
        <w:t xml:space="preserve">osteitis, which is a </w:t>
      </w:r>
      <w:r w:rsidR="0083174F">
        <w:t xml:space="preserve">superficial </w:t>
      </w:r>
      <w:r w:rsidR="00837CF5">
        <w:t xml:space="preserve">infection of the </w:t>
      </w:r>
      <w:r w:rsidR="0083174F">
        <w:t xml:space="preserve">bone </w:t>
      </w:r>
      <w:r w:rsidR="00837CF5">
        <w:t>and surrounding soft tissue</w:t>
      </w:r>
      <w:r w:rsidR="00E10446">
        <w:t>.</w:t>
      </w:r>
      <w:r w:rsidR="0019312C">
        <w:t xml:space="preserve"> </w:t>
      </w:r>
      <w:r w:rsidR="00C94B4A">
        <w:t>Although spinal infections are a type of osteomyelitis</w:t>
      </w:r>
      <w:r w:rsidR="00C95E17">
        <w:t xml:space="preserve">, peripheral osteomyelitis </w:t>
      </w:r>
      <w:r w:rsidR="00C16300">
        <w:t xml:space="preserve">behaves differently and therefore there are some differences in diagnostic approach. </w:t>
      </w:r>
      <w:r w:rsidR="004D40AA">
        <w:t xml:space="preserve">There are also differences in </w:t>
      </w:r>
      <w:r w:rsidR="00717927">
        <w:t xml:space="preserve">aetiology and </w:t>
      </w:r>
      <w:r w:rsidR="00052A83">
        <w:t>clinical characteristics</w:t>
      </w:r>
      <w:r w:rsidR="00717927">
        <w:t xml:space="preserve"> in children compared to adults (for both spinal and peripheral osteomyelitis)</w:t>
      </w:r>
      <w:r w:rsidR="00052A83">
        <w:t xml:space="preserve"> </w:t>
      </w:r>
      <w:r w:rsidR="006714D4" w:rsidRPr="006714D4">
        <w:rPr>
          <w:rFonts w:cs="Calibri"/>
        </w:rPr>
        <w:t>(Glaudemans et al. 2019)</w:t>
      </w:r>
      <w:r w:rsidR="00052A83">
        <w:t xml:space="preserve">. </w:t>
      </w:r>
    </w:p>
    <w:p w14:paraId="3AF8E166" w14:textId="1F2BC310" w:rsidR="00D86823" w:rsidRDefault="009376D7" w:rsidP="003E3744">
      <w:r>
        <w:t>Osteomyelitis</w:t>
      </w:r>
      <w:r w:rsidR="00B0638F">
        <w:t xml:space="preserve"> can be </w:t>
      </w:r>
      <w:r w:rsidR="639B4284">
        <w:t xml:space="preserve">seeded from </w:t>
      </w:r>
      <w:r w:rsidR="593DCA5D">
        <w:t>haem</w:t>
      </w:r>
      <w:r w:rsidR="35B44DA4">
        <w:t>atogenous</w:t>
      </w:r>
      <w:r w:rsidR="2016E5DC">
        <w:t xml:space="preserve"> spread</w:t>
      </w:r>
      <w:r w:rsidR="007D4859">
        <w:t xml:space="preserve">, which is most common in children (and in the spine) or </w:t>
      </w:r>
      <w:r w:rsidR="00612BC7">
        <w:t xml:space="preserve">secondary to a contiguous focus of infection in adjacent soft </w:t>
      </w:r>
      <w:r w:rsidR="001723AC">
        <w:t>tissue, which is the most common form in adults. This includes surgical site infections</w:t>
      </w:r>
      <w:r w:rsidR="00C959E9">
        <w:t xml:space="preserve"> and, </w:t>
      </w:r>
      <w:r w:rsidR="7BEDA427">
        <w:t>mo</w:t>
      </w:r>
      <w:r w:rsidR="1A00219A">
        <w:t>re</w:t>
      </w:r>
      <w:r w:rsidR="00C959E9">
        <w:t xml:space="preserve"> commonly, infections in </w:t>
      </w:r>
      <w:r w:rsidR="00BB04EA">
        <w:t xml:space="preserve">patients with diabetes due to neuropathy and peripheral vascular disease. </w:t>
      </w:r>
      <w:r w:rsidR="003E3744" w:rsidRPr="003E3744">
        <w:rPr>
          <w:i/>
          <w:iCs/>
        </w:rPr>
        <w:t>Staphylococcus aureus</w:t>
      </w:r>
      <w:r w:rsidR="003E3744">
        <w:t xml:space="preserve"> is the most common organism causing osteomyelitis</w:t>
      </w:r>
      <w:r w:rsidR="00A67DD7">
        <w:t xml:space="preserve"> </w:t>
      </w:r>
      <w:r w:rsidR="5E0061D7">
        <w:t>accounting for</w:t>
      </w:r>
      <w:r w:rsidR="00A67DD7">
        <w:t xml:space="preserve">, alone or in </w:t>
      </w:r>
      <w:r w:rsidR="375F9742">
        <w:t>combination with another pathogen</w:t>
      </w:r>
      <w:r w:rsidR="00A67DD7">
        <w:t>, for around 50% of all infections</w:t>
      </w:r>
      <w:r w:rsidR="00EC1518">
        <w:t xml:space="preserve"> </w:t>
      </w:r>
      <w:r w:rsidR="00EC1518" w:rsidRPr="00EC1518">
        <w:rPr>
          <w:rFonts w:cs="Calibri"/>
        </w:rPr>
        <w:t>(Arnold et al. 2026)</w:t>
      </w:r>
      <w:r w:rsidR="00C26D51">
        <w:t>.</w:t>
      </w:r>
      <w:r w:rsidR="006F7DB3">
        <w:t xml:space="preserve"> </w:t>
      </w:r>
      <w:r w:rsidR="0056669D">
        <w:t xml:space="preserve">Incidence is highest in adults </w:t>
      </w:r>
      <w:r w:rsidR="002E0BA6">
        <w:t>aged 60 or more</w:t>
      </w:r>
      <w:r w:rsidR="00D73942">
        <w:t xml:space="preserve"> and is higher in people w</w:t>
      </w:r>
      <w:r w:rsidR="00867201">
        <w:t xml:space="preserve">ho are immunocompromised or have peripheral vascular disease. </w:t>
      </w:r>
    </w:p>
    <w:p w14:paraId="3B74AB9F" w14:textId="6CE6F5AE" w:rsidR="00C44A32" w:rsidRDefault="00C44A32" w:rsidP="003E3744">
      <w:r>
        <w:t>Patients will typically present with fever</w:t>
      </w:r>
      <w:r w:rsidR="004929FA">
        <w:t>,</w:t>
      </w:r>
      <w:r>
        <w:t xml:space="preserve"> pain</w:t>
      </w:r>
      <w:r w:rsidR="004929FA">
        <w:t xml:space="preserve">, swelling, inflammation and </w:t>
      </w:r>
      <w:r w:rsidR="00F27629">
        <w:t>reduced</w:t>
      </w:r>
      <w:r w:rsidR="004929FA">
        <w:t xml:space="preserve"> function</w:t>
      </w:r>
      <w:r w:rsidR="00F27629">
        <w:t xml:space="preserve"> (e.g. limp or refusal to bear weight)</w:t>
      </w:r>
      <w:r w:rsidR="0032140C">
        <w:t>;</w:t>
      </w:r>
      <w:r w:rsidR="00476C34">
        <w:t xml:space="preserve"> however</w:t>
      </w:r>
      <w:r w:rsidR="0032140C">
        <w:t>,</w:t>
      </w:r>
      <w:r w:rsidR="00476C34">
        <w:t xml:space="preserve"> osteomyelitis associated with pressure ulcers or diabetic foo</w:t>
      </w:r>
      <w:r w:rsidR="00655B3B">
        <w:t>t</w:t>
      </w:r>
      <w:r w:rsidR="00476C34">
        <w:t xml:space="preserve"> wounds</w:t>
      </w:r>
      <w:r w:rsidR="00426BC4">
        <w:t xml:space="preserve"> often do not present with pain as underlying conditions may lead to loss of sensation </w:t>
      </w:r>
      <w:r w:rsidR="00426BC4" w:rsidRPr="00426BC4">
        <w:rPr>
          <w:rFonts w:cs="Calibri"/>
        </w:rPr>
        <w:t>(Arnold et al. 2026)</w:t>
      </w:r>
      <w:r w:rsidR="00834B17">
        <w:t>.</w:t>
      </w:r>
    </w:p>
    <w:p w14:paraId="25C1FD03" w14:textId="1065F3F0" w:rsidR="00834B17" w:rsidRDefault="00834B17" w:rsidP="003E3744">
      <w:r>
        <w:t xml:space="preserve">Initial investigations are </w:t>
      </w:r>
      <w:r w:rsidR="00745D76">
        <w:t>clinical assessment</w:t>
      </w:r>
      <w:r w:rsidR="00B054A7">
        <w:t xml:space="preserve"> and </w:t>
      </w:r>
      <w:r>
        <w:t xml:space="preserve">laboratory </w:t>
      </w:r>
      <w:r w:rsidR="007637A0">
        <w:t>testing for systemic inflammation (</w:t>
      </w:r>
      <w:r w:rsidR="004338FF">
        <w:t>e.g. full blood count (</w:t>
      </w:r>
      <w:r w:rsidR="00875DE7" w:rsidRPr="00FF64F9">
        <w:t>FBC</w:t>
      </w:r>
      <w:r w:rsidR="004338FF">
        <w:t>)</w:t>
      </w:r>
      <w:r w:rsidR="00875DE7" w:rsidRPr="00FF64F9">
        <w:t>, ESR, CRP</w:t>
      </w:r>
      <w:r w:rsidR="00875DE7">
        <w:t>)</w:t>
      </w:r>
      <w:r w:rsidR="00D91A3F">
        <w:t>;</w:t>
      </w:r>
      <w:r w:rsidR="002B13FD">
        <w:t xml:space="preserve"> however</w:t>
      </w:r>
      <w:r w:rsidR="00D91A3F">
        <w:t>,</w:t>
      </w:r>
      <w:r w:rsidR="002B13FD">
        <w:t xml:space="preserve"> their specificity in </w:t>
      </w:r>
      <w:r w:rsidR="00CE3766">
        <w:t>differentiati</w:t>
      </w:r>
      <w:r w:rsidR="00A7479A">
        <w:t>ng</w:t>
      </w:r>
      <w:r w:rsidR="002B13FD">
        <w:t xml:space="preserve"> osteomyelitis from other </w:t>
      </w:r>
      <w:r w:rsidR="00CE3766">
        <w:t>clinical conditions is low</w:t>
      </w:r>
      <w:r w:rsidR="004957FC">
        <w:t xml:space="preserve">. This is usually followed by plain X-ray with bone changes usually seen 7 to 10 days from symptom onset, </w:t>
      </w:r>
      <w:r w:rsidR="00D91A3F">
        <w:t xml:space="preserve">although </w:t>
      </w:r>
      <w:r w:rsidR="004957FC">
        <w:t>in anatomically complex locations CT may replace radiographs</w:t>
      </w:r>
      <w:r w:rsidR="00B15B9F">
        <w:t>.</w:t>
      </w:r>
      <w:r w:rsidR="0091604E">
        <w:t xml:space="preserve"> </w:t>
      </w:r>
      <w:r w:rsidR="00B15B9F">
        <w:t>Blood cultures may be taken and aid diagnosis when positive</w:t>
      </w:r>
      <w:r w:rsidR="005437FA">
        <w:t>,</w:t>
      </w:r>
      <w:r w:rsidR="00B15B9F">
        <w:t xml:space="preserve"> but findings are frequently negative </w:t>
      </w:r>
      <w:r w:rsidR="00C478D8" w:rsidRPr="00C478D8">
        <w:rPr>
          <w:rFonts w:cs="Calibri"/>
        </w:rPr>
        <w:t>(Glaudemans et al. 2019)</w:t>
      </w:r>
      <w:r w:rsidR="00C478D8">
        <w:t xml:space="preserve">. </w:t>
      </w:r>
      <w:r w:rsidR="00A7463C">
        <w:t xml:space="preserve">In </w:t>
      </w:r>
      <w:r w:rsidR="00EE1E59">
        <w:t xml:space="preserve">suspected </w:t>
      </w:r>
      <w:r w:rsidR="00A7463C">
        <w:t>diabetic foot</w:t>
      </w:r>
      <w:r w:rsidR="00EE1E59">
        <w:t xml:space="preserve"> infections, a probe-to-bone test may also be undertaken</w:t>
      </w:r>
      <w:r w:rsidR="00B23EFD">
        <w:t>.</w:t>
      </w:r>
      <w:r w:rsidR="00A7463C">
        <w:t xml:space="preserve"> </w:t>
      </w:r>
    </w:p>
    <w:p w14:paraId="10EF4AB8" w14:textId="4360FB5A" w:rsidR="008E48FB" w:rsidRDefault="00B46BAD" w:rsidP="003E3744">
      <w:r>
        <w:t>Initial tests may</w:t>
      </w:r>
      <w:r w:rsidR="005437FA">
        <w:t xml:space="preserve"> </w:t>
      </w:r>
      <w:r>
        <w:t>be sufficient for diagnosis and treatment</w:t>
      </w:r>
      <w:r w:rsidR="005437FA">
        <w:t>;</w:t>
      </w:r>
      <w:r>
        <w:t xml:space="preserve"> however</w:t>
      </w:r>
      <w:r w:rsidR="005437FA">
        <w:t>,</w:t>
      </w:r>
      <w:r w:rsidR="009F0B7C">
        <w:t xml:space="preserve"> </w:t>
      </w:r>
      <w:r w:rsidR="0008152D">
        <w:t>advanced imaging may</w:t>
      </w:r>
      <w:r w:rsidR="003C400E">
        <w:t xml:space="preserve"> </w:t>
      </w:r>
      <w:r w:rsidR="0008152D">
        <w:t xml:space="preserve">be required </w:t>
      </w:r>
      <w:r w:rsidR="009F0B7C">
        <w:t>where</w:t>
      </w:r>
      <w:r>
        <w:t xml:space="preserve"> diagnostic uncertainty remain</w:t>
      </w:r>
      <w:r w:rsidR="009F0B7C">
        <w:t>s</w:t>
      </w:r>
      <w:r>
        <w:t xml:space="preserve">, </w:t>
      </w:r>
      <w:r w:rsidR="00547886">
        <w:t>there</w:t>
      </w:r>
      <w:r w:rsidR="0008152D">
        <w:t xml:space="preserve"> is </w:t>
      </w:r>
      <w:r w:rsidR="00547886">
        <w:t>a lack of response to therapy</w:t>
      </w:r>
      <w:r w:rsidR="003C400E">
        <w:t>,</w:t>
      </w:r>
      <w:r w:rsidR="00547886">
        <w:t xml:space="preserve"> or there </w:t>
      </w:r>
      <w:r w:rsidR="0008152D">
        <w:t>is</w:t>
      </w:r>
      <w:r w:rsidR="00547886">
        <w:t xml:space="preserve"> a need for surgical planning. </w:t>
      </w:r>
      <w:r w:rsidR="00D67D55">
        <w:t>N</w:t>
      </w:r>
      <w:r w:rsidR="00A911B1">
        <w:t>on-contrast enhanced MRI is the preferred imaging approach</w:t>
      </w:r>
      <w:r w:rsidR="00B34F40">
        <w:t xml:space="preserve"> </w:t>
      </w:r>
      <w:r w:rsidR="00401496">
        <w:t>due t</w:t>
      </w:r>
      <w:r w:rsidR="00F85D09">
        <w:t>o</w:t>
      </w:r>
      <w:r w:rsidR="00401496">
        <w:t xml:space="preserve"> its high resolution for marrow and soft tissue</w:t>
      </w:r>
      <w:r w:rsidR="00576C80">
        <w:t>,</w:t>
      </w:r>
      <w:r w:rsidR="00F85D09">
        <w:t xml:space="preserve"> </w:t>
      </w:r>
      <w:r w:rsidR="00216C4A">
        <w:t xml:space="preserve">test </w:t>
      </w:r>
      <w:r w:rsidR="00E618C2">
        <w:t>availability,</w:t>
      </w:r>
      <w:r w:rsidR="00F85D09">
        <w:t xml:space="preserve"> and lack of radiation burden</w:t>
      </w:r>
      <w:r w:rsidR="00216C4A">
        <w:t>.</w:t>
      </w:r>
      <w:r w:rsidR="00576C80">
        <w:t xml:space="preserve"> </w:t>
      </w:r>
      <w:r w:rsidR="00216C4A">
        <w:t>I</w:t>
      </w:r>
      <w:r w:rsidR="00576C80">
        <w:t xml:space="preserve">t may be contraindicated </w:t>
      </w:r>
      <w:r w:rsidR="00800486">
        <w:t xml:space="preserve"> in </w:t>
      </w:r>
      <w:r w:rsidR="00800486">
        <w:lastRenderedPageBreak/>
        <w:t xml:space="preserve">patients with </w:t>
      </w:r>
      <w:r w:rsidR="10142953">
        <w:t xml:space="preserve">an </w:t>
      </w:r>
      <w:r w:rsidR="00891EB1">
        <w:t>implanted prosthesis</w:t>
      </w:r>
      <w:r w:rsidR="00B235AC">
        <w:t xml:space="preserve">. </w:t>
      </w:r>
      <w:r w:rsidR="00AC00E1">
        <w:t xml:space="preserve">Nuclear imaging is </w:t>
      </w:r>
      <w:r w:rsidR="00A83923">
        <w:t>then used i</w:t>
      </w:r>
      <w:r w:rsidR="004B0194">
        <w:t>f further imaging is required</w:t>
      </w:r>
      <w:r w:rsidR="006F40A2">
        <w:t>, most commonly bone sc</w:t>
      </w:r>
      <w:r w:rsidR="00FE3A30">
        <w:t>an</w:t>
      </w:r>
      <w:r w:rsidR="00671A1A">
        <w:t>ning</w:t>
      </w:r>
      <w:r w:rsidR="00177CBA">
        <w:t>,</w:t>
      </w:r>
      <w:r w:rsidR="00FE3A30">
        <w:t xml:space="preserve"> </w:t>
      </w:r>
      <w:r w:rsidR="00A54260">
        <w:t>which has high sensitivity but lacks specificity</w:t>
      </w:r>
      <w:r w:rsidR="00177CBA">
        <w:t>,</w:t>
      </w:r>
      <w:r w:rsidR="00E8233B">
        <w:t xml:space="preserve"> particularly post-surgery or trauma</w:t>
      </w:r>
      <w:r w:rsidR="008077AE">
        <w:t xml:space="preserve"> </w:t>
      </w:r>
      <w:r w:rsidR="008077AE" w:rsidRPr="00C478D8">
        <w:rPr>
          <w:rFonts w:cs="Calibri"/>
        </w:rPr>
        <w:t>(Glaudemans et al. 2019)</w:t>
      </w:r>
      <w:r w:rsidR="00E8233B">
        <w:t xml:space="preserve">. </w:t>
      </w:r>
      <w:r w:rsidR="2CDB5294">
        <w:t xml:space="preserve">In </w:t>
      </w:r>
      <w:r w:rsidR="6E513994">
        <w:t>a patient with a suspected diabetic foot infection</w:t>
      </w:r>
      <w:r w:rsidR="002B5609">
        <w:t xml:space="preserve">, a WBC scan is </w:t>
      </w:r>
      <w:r w:rsidR="002B35BA">
        <w:t>recommended</w:t>
      </w:r>
      <w:r w:rsidR="00E9381C">
        <w:t xml:space="preserve"> </w:t>
      </w:r>
      <w:r w:rsidR="00A34ACB" w:rsidRPr="00A34ACB">
        <w:rPr>
          <w:rFonts w:cs="Calibri"/>
        </w:rPr>
        <w:t>(Yin et al. 2026)</w:t>
      </w:r>
      <w:r w:rsidR="002B35BA">
        <w:t>.</w:t>
      </w:r>
      <w:r w:rsidR="00A54260">
        <w:t xml:space="preserve"> </w:t>
      </w:r>
    </w:p>
    <w:p w14:paraId="1A68499B" w14:textId="734CFC28" w:rsidR="00757957" w:rsidRPr="00B94BB3" w:rsidRDefault="000234ED" w:rsidP="00757957">
      <w:r>
        <w:t xml:space="preserve">Osteomyelitis can become chronic and treatment </w:t>
      </w:r>
      <w:r w:rsidR="005571AD">
        <w:t xml:space="preserve">challenging. The </w:t>
      </w:r>
      <w:r w:rsidR="009F5A2D">
        <w:t>principles of management are</w:t>
      </w:r>
      <w:r w:rsidR="005571AD">
        <w:t xml:space="preserve"> confirmation of diagnosis, </w:t>
      </w:r>
      <w:r w:rsidR="009F5A2D">
        <w:t>debridement of non-viable tissue</w:t>
      </w:r>
      <w:r w:rsidR="00AC5E59">
        <w:t xml:space="preserve">, systemic and/or local antibiotics and preservation of function. Coordinated, multidisciplinary care may be required including general medicine, infectious diseases, orthopaedic surgery, radiology, physical therapy, nutrition, plastic and vascular surgery and others </w:t>
      </w:r>
      <w:r w:rsidR="00AC5E59" w:rsidRPr="00AC5E59">
        <w:rPr>
          <w:rFonts w:cs="Calibri"/>
        </w:rPr>
        <w:t>(Arnold et al. 2026)</w:t>
      </w:r>
      <w:r w:rsidR="00AC5E59">
        <w:t>.</w:t>
      </w:r>
    </w:p>
    <w:p w14:paraId="4217EFB8" w14:textId="1F7E4CC2" w:rsidR="008077AE" w:rsidRDefault="00E0527C" w:rsidP="00E0527C">
      <w:pPr>
        <w:pStyle w:val="Heading5"/>
      </w:pPr>
      <w:r>
        <w:t>Paediatric</w:t>
      </w:r>
      <w:r w:rsidR="000867A5">
        <w:t xml:space="preserve"> bone and</w:t>
      </w:r>
      <w:r>
        <w:t xml:space="preserve"> joint infections</w:t>
      </w:r>
    </w:p>
    <w:p w14:paraId="37BFFFCD" w14:textId="3FDEB91F" w:rsidR="00E0527C" w:rsidRDefault="00CF218B" w:rsidP="00E0527C">
      <w:r>
        <w:t xml:space="preserve">Osteomyelitis and septic arthritis in children </w:t>
      </w:r>
      <w:r w:rsidR="00FA6BCA">
        <w:t xml:space="preserve">are associated with serious morbidity and can cause </w:t>
      </w:r>
      <w:r w:rsidR="00611118">
        <w:t>permanent</w:t>
      </w:r>
      <w:r w:rsidR="00FA6BCA">
        <w:t xml:space="preserve"> </w:t>
      </w:r>
      <w:r w:rsidR="001A0ABD">
        <w:t>disability</w:t>
      </w:r>
      <w:r w:rsidR="009F75B0">
        <w:t>;</w:t>
      </w:r>
      <w:r w:rsidR="001A0ABD">
        <w:t xml:space="preserve"> therefore</w:t>
      </w:r>
      <w:r w:rsidR="009F75B0">
        <w:t>,</w:t>
      </w:r>
      <w:r w:rsidR="001A0ABD">
        <w:t xml:space="preserve"> they require prompt and effective treatment</w:t>
      </w:r>
      <w:r w:rsidR="00EC7A1E">
        <w:t xml:space="preserve">. </w:t>
      </w:r>
      <w:r w:rsidR="00FB7E98">
        <w:t>Most</w:t>
      </w:r>
      <w:r w:rsidR="00CE2917">
        <w:t xml:space="preserve"> paed</w:t>
      </w:r>
      <w:r w:rsidR="00FC0969">
        <w:t>iatric cases are due to haematogenous spread</w:t>
      </w:r>
      <w:r w:rsidR="0001056F">
        <w:t xml:space="preserve"> </w:t>
      </w:r>
      <w:r w:rsidR="00A90EDC">
        <w:t>in health</w:t>
      </w:r>
      <w:r w:rsidR="00FB7E98">
        <w:t>y</w:t>
      </w:r>
      <w:r w:rsidR="00A90EDC">
        <w:t xml:space="preserve"> individuals</w:t>
      </w:r>
      <w:r w:rsidR="001A1B6F">
        <w:t xml:space="preserve"> although repeated infection should prompt consideration of </w:t>
      </w:r>
      <w:r w:rsidR="00BC3DAD">
        <w:t>inborn errors of immunity (</w:t>
      </w:r>
      <w:r w:rsidR="006B4078">
        <w:t>Orange et al. 2026</w:t>
      </w:r>
      <w:r w:rsidR="00FA79C3">
        <w:t>)</w:t>
      </w:r>
      <w:r w:rsidR="00FC0969">
        <w:t>. In osteomyelitis th</w:t>
      </w:r>
      <w:r w:rsidR="00927A6B">
        <w:t xml:space="preserve">e most common sites </w:t>
      </w:r>
      <w:r w:rsidR="39AA8C0F">
        <w:t xml:space="preserve">affected </w:t>
      </w:r>
      <w:r w:rsidR="0195B708">
        <w:t>are</w:t>
      </w:r>
      <w:r w:rsidR="00927A6B">
        <w:t xml:space="preserve"> the femur and tibia</w:t>
      </w:r>
      <w:r w:rsidR="00AA621D">
        <w:t xml:space="preserve"> and in septic arthritis the most common sites </w:t>
      </w:r>
      <w:r w:rsidR="0DD3204C">
        <w:t xml:space="preserve">affected </w:t>
      </w:r>
      <w:r w:rsidR="06B4A0E1">
        <w:t>are</w:t>
      </w:r>
      <w:r w:rsidR="00AA621D">
        <w:t xml:space="preserve"> the hip and knee joints</w:t>
      </w:r>
      <w:r w:rsidR="0080097D">
        <w:t>. The inflammatory response leads to rapid joint destruction</w:t>
      </w:r>
      <w:r w:rsidR="00511F42">
        <w:t xml:space="preserve"> </w:t>
      </w:r>
      <w:r w:rsidR="00511F42" w:rsidRPr="00511F42">
        <w:rPr>
          <w:rFonts w:cs="Calibri"/>
        </w:rPr>
        <w:t>(Iliadis and Ramachandran 2017)</w:t>
      </w:r>
      <w:r w:rsidR="0080097D">
        <w:t xml:space="preserve">. </w:t>
      </w:r>
    </w:p>
    <w:p w14:paraId="6A076760" w14:textId="3E1BBB51" w:rsidR="00A90EDC" w:rsidRDefault="00DC7BC8" w:rsidP="00E0527C">
      <w:r>
        <w:t xml:space="preserve">Children may present with fever, </w:t>
      </w:r>
      <w:r w:rsidR="00105CBB">
        <w:t>pain,</w:t>
      </w:r>
      <w:r>
        <w:t xml:space="preserve"> and limited use of the affected limb or joint. </w:t>
      </w:r>
      <w:r w:rsidR="00D77EA4">
        <w:t>Fever and systemic symptoms are less common in osteomyelitis than septic arthritis</w:t>
      </w:r>
      <w:r w:rsidR="00B534A0">
        <w:rPr>
          <w:rStyle w:val="FootnoteReference"/>
        </w:rPr>
        <w:footnoteReference w:id="2"/>
      </w:r>
      <w:r w:rsidR="00D77EA4">
        <w:t xml:space="preserve">. </w:t>
      </w:r>
      <w:r w:rsidR="00105CBB">
        <w:t xml:space="preserve">Initial tests are the same as those in adults, namely </w:t>
      </w:r>
      <w:r w:rsidR="00B139A7">
        <w:t xml:space="preserve">laboratory tests (FBC, ESR, CRP), </w:t>
      </w:r>
      <w:r w:rsidR="00E133AF">
        <w:t xml:space="preserve">blood culture and </w:t>
      </w:r>
      <w:r w:rsidR="008A5DE3">
        <w:t>X</w:t>
      </w:r>
      <w:r w:rsidR="00E133AF">
        <w:t>-ray</w:t>
      </w:r>
      <w:r w:rsidR="009335F5">
        <w:t>,</w:t>
      </w:r>
      <w:r w:rsidR="00E133AF">
        <w:t xml:space="preserve"> and if a diagnosis is made on this </w:t>
      </w:r>
      <w:r w:rsidR="00480B34">
        <w:t>basis,</w:t>
      </w:r>
      <w:r w:rsidR="00E133AF">
        <w:t xml:space="preserve"> then the patient is </w:t>
      </w:r>
      <w:r w:rsidR="00857CA9">
        <w:t xml:space="preserve">initiated on antibiotics and, for septic arthritis, referred urgently to </w:t>
      </w:r>
      <w:r w:rsidR="00250665">
        <w:t>orthopaedics</w:t>
      </w:r>
      <w:r w:rsidR="00857CA9">
        <w:t xml:space="preserve"> for </w:t>
      </w:r>
      <w:r w:rsidR="00250665">
        <w:t xml:space="preserve">consideration of arthrotomy, irrigation and debridement. </w:t>
      </w:r>
      <w:r w:rsidR="00E638FC">
        <w:t>If further imaging is required, the preferred test is contrast enhanced MRI</w:t>
      </w:r>
      <w:r w:rsidR="00A91A42">
        <w:t xml:space="preserve"> for osteomyelitis</w:t>
      </w:r>
      <w:r w:rsidR="0088363D">
        <w:t>.</w:t>
      </w:r>
      <w:r w:rsidR="00A91A42">
        <w:t xml:space="preserve"> </w:t>
      </w:r>
      <w:r w:rsidR="0088363D">
        <w:t>U</w:t>
      </w:r>
      <w:r w:rsidR="00A91A42">
        <w:t xml:space="preserve">ltrasound </w:t>
      </w:r>
      <w:r w:rsidR="0088363D">
        <w:t>can be used to identify</w:t>
      </w:r>
      <w:r w:rsidR="00A91A42">
        <w:t xml:space="preserve"> </w:t>
      </w:r>
      <w:r w:rsidR="00480B34">
        <w:t xml:space="preserve">joint effusions. </w:t>
      </w:r>
    </w:p>
    <w:p w14:paraId="364ABEDE" w14:textId="62FBF137" w:rsidR="00E0527C" w:rsidRDefault="00C26AE7" w:rsidP="00E0527C">
      <w:r>
        <w:t xml:space="preserve">In paediatric patients, </w:t>
      </w:r>
      <w:r w:rsidR="00694612">
        <w:t xml:space="preserve">MRI is the preferred imaging modality, particularly in localised cases. </w:t>
      </w:r>
      <w:r w:rsidR="003775DC">
        <w:t>However,</w:t>
      </w:r>
      <w:r w:rsidR="00694612">
        <w:t xml:space="preserve"> for whole-body imaging, </w:t>
      </w:r>
      <w:r w:rsidR="00B43ED4">
        <w:t>MRI</w:t>
      </w:r>
      <w:r w:rsidR="00F845BD">
        <w:t xml:space="preserve"> frequently requires </w:t>
      </w:r>
      <w:r w:rsidR="00DF0626">
        <w:t xml:space="preserve">general </w:t>
      </w:r>
      <w:r w:rsidR="00E4486E">
        <w:t>anaesthesia</w:t>
      </w:r>
      <w:r w:rsidR="00172364">
        <w:t xml:space="preserve"> whereas FDG PET</w:t>
      </w:r>
      <w:r w:rsidR="006E5B9E">
        <w:t>/CT</w:t>
      </w:r>
      <w:r w:rsidR="00172364">
        <w:t xml:space="preserve"> does not</w:t>
      </w:r>
      <w:r w:rsidR="005D6A38">
        <w:t>.</w:t>
      </w:r>
      <w:r w:rsidR="00B6337D">
        <w:t xml:space="preserve"> </w:t>
      </w:r>
      <w:r w:rsidR="005D6A38">
        <w:t>T</w:t>
      </w:r>
      <w:r w:rsidR="00B6337D">
        <w:t xml:space="preserve">here are significant practical and clinical advantages associated with </w:t>
      </w:r>
      <w:r w:rsidR="0014509C">
        <w:t xml:space="preserve">avoiding general anaesthesia including resource implications, procedural risk and delays. </w:t>
      </w:r>
      <w:r w:rsidR="00C76389">
        <w:t>Therefore, in some cases FDG PET</w:t>
      </w:r>
      <w:r w:rsidR="006E5B9E">
        <w:t>/CT</w:t>
      </w:r>
      <w:r w:rsidR="00C76389">
        <w:t xml:space="preserve"> will be the preferred imaging technique, for example, in </w:t>
      </w:r>
      <w:r w:rsidR="745FAC4B">
        <w:t xml:space="preserve">neonates and young infants with a </w:t>
      </w:r>
      <w:r w:rsidR="2C5DA89C">
        <w:t>prolonged</w:t>
      </w:r>
      <w:r w:rsidR="00C76389">
        <w:t xml:space="preserve"> fever without localisation despite investigation </w:t>
      </w:r>
      <w:r w:rsidR="00232DC5">
        <w:t xml:space="preserve">where localisation is challenging or </w:t>
      </w:r>
      <w:r w:rsidR="62910BEB">
        <w:t xml:space="preserve">there is a </w:t>
      </w:r>
      <w:r w:rsidR="00F66D33">
        <w:t>suspected multifocal infection</w:t>
      </w:r>
      <w:r w:rsidR="002E3896">
        <w:rPr>
          <w:rStyle w:val="FootnoteReference"/>
        </w:rPr>
        <w:footnoteReference w:id="3"/>
      </w:r>
      <w:r w:rsidR="00F66D33">
        <w:t xml:space="preserve">. </w:t>
      </w:r>
      <w:r w:rsidR="3D211998">
        <w:t>T</w:t>
      </w:r>
      <w:r w:rsidR="2A56EBF4">
        <w:t xml:space="preserve">here is no MBS listed item for whole-body MRI for this purpose, which means that access </w:t>
      </w:r>
      <w:r w:rsidR="779E6BB8">
        <w:t xml:space="preserve">may be </w:t>
      </w:r>
      <w:r w:rsidR="20EF1941">
        <w:t>restricted</w:t>
      </w:r>
      <w:r w:rsidR="779E6BB8">
        <w:t xml:space="preserve"> where</w:t>
      </w:r>
      <w:r w:rsidR="2A56EBF4">
        <w:t xml:space="preserve"> patients </w:t>
      </w:r>
      <w:r w:rsidR="779E6BB8">
        <w:t>need to pay</w:t>
      </w:r>
      <w:r w:rsidR="2A56EBF4">
        <w:t xml:space="preserve"> privately </w:t>
      </w:r>
      <w:r w:rsidR="73593794">
        <w:t xml:space="preserve">for the scan </w:t>
      </w:r>
      <w:r w:rsidR="2A56EBF4">
        <w:t xml:space="preserve">or </w:t>
      </w:r>
      <w:r w:rsidR="16B21D4C">
        <w:t>rely on</w:t>
      </w:r>
      <w:r w:rsidR="2A56EBF4">
        <w:t xml:space="preserve"> public hospital arrangements. </w:t>
      </w:r>
      <w:r w:rsidR="7E924BD2">
        <w:t>There is one MBS item (</w:t>
      </w:r>
      <w:hyperlink r:id="rId8" w:history="1">
        <w:r w:rsidR="7E924BD2" w:rsidRPr="00381B97">
          <w:rPr>
            <w:rStyle w:val="Hyperlink"/>
            <w:rFonts w:ascii="Calibri" w:hAnsi="Calibri"/>
          </w:rPr>
          <w:t>63304</w:t>
        </w:r>
      </w:hyperlink>
      <w:r w:rsidR="73993F99">
        <w:t>)</w:t>
      </w:r>
      <w:r w:rsidR="5D2C7209">
        <w:t>, which allows for a</w:t>
      </w:r>
      <w:r w:rsidR="7E924BD2">
        <w:t xml:space="preserve"> scan of</w:t>
      </w:r>
      <w:r w:rsidR="7DC94294">
        <w:t xml:space="preserve"> the</w:t>
      </w:r>
      <w:r w:rsidR="7E924BD2">
        <w:t xml:space="preserve"> musculoskeletal system for infection arising in bone or musculoskeletal system</w:t>
      </w:r>
      <w:r w:rsidR="7C8F0A3D">
        <w:t xml:space="preserve">, however this is for </w:t>
      </w:r>
      <w:r w:rsidR="061C9058">
        <w:t xml:space="preserve">a </w:t>
      </w:r>
      <w:r w:rsidR="7C8F0A3D">
        <w:t xml:space="preserve">regional scan rather than whole-body. </w:t>
      </w:r>
    </w:p>
    <w:p w14:paraId="0EC74565" w14:textId="6D25424E" w:rsidR="00044D00" w:rsidRPr="00044D00" w:rsidRDefault="00044D00" w:rsidP="00044D00">
      <w:pPr>
        <w:pStyle w:val="Heading5"/>
      </w:pPr>
      <w:r w:rsidRPr="00044D00">
        <w:t>Prosthetic joint infections</w:t>
      </w:r>
    </w:p>
    <w:p w14:paraId="0AB95569" w14:textId="50EC6514" w:rsidR="00044D00" w:rsidRDefault="00846997" w:rsidP="00044D00">
      <w:r>
        <w:t xml:space="preserve">Prosthetic joint infections </w:t>
      </w:r>
      <w:r w:rsidR="00D47335">
        <w:t>can occur early</w:t>
      </w:r>
      <w:r w:rsidR="00EB2096">
        <w:t xml:space="preserve"> (within the first 3 months </w:t>
      </w:r>
      <w:r w:rsidR="00495E60">
        <w:t xml:space="preserve">after </w:t>
      </w:r>
      <w:r w:rsidR="00EB2096">
        <w:t>surgery), delayed (up to 2 years post-surgery) or late</w:t>
      </w:r>
      <w:r w:rsidR="00FA4DE6">
        <w:t xml:space="preserve"> (more than 2 years after surgery)</w:t>
      </w:r>
      <w:r w:rsidR="00EB2096">
        <w:t xml:space="preserve">. </w:t>
      </w:r>
      <w:r w:rsidR="00D40654">
        <w:t>E</w:t>
      </w:r>
      <w:r w:rsidR="00EB2096">
        <w:t xml:space="preserve">arly </w:t>
      </w:r>
      <w:r w:rsidR="006A3E0C">
        <w:t xml:space="preserve">or delayed infections will be </w:t>
      </w:r>
      <w:r w:rsidR="00782D48">
        <w:t>more easily</w:t>
      </w:r>
      <w:r w:rsidR="006A3E0C">
        <w:t xml:space="preserve"> recognised and likely to have reached the prosthesis at the time of </w:t>
      </w:r>
      <w:r w:rsidR="00434DD0">
        <w:t>surgery</w:t>
      </w:r>
      <w:r w:rsidR="006A3E0C">
        <w:t xml:space="preserve">. These patients are referred to the orthopaedic surgeon. </w:t>
      </w:r>
      <w:r w:rsidR="00D40654">
        <w:t>The proposed population is patients with late prosthetic joint infections.</w:t>
      </w:r>
    </w:p>
    <w:p w14:paraId="67C5520A" w14:textId="79896939" w:rsidR="00F07643" w:rsidRDefault="00F07643" w:rsidP="00044D00">
      <w:r>
        <w:lastRenderedPageBreak/>
        <w:t>Late prosthetic joint infections are more likely to be caused by haematogenous spread</w:t>
      </w:r>
      <w:r w:rsidR="00CA68BB">
        <w:t xml:space="preserve"> and present with </w:t>
      </w:r>
      <w:r w:rsidR="002D31BC">
        <w:t xml:space="preserve">local symptoms </w:t>
      </w:r>
      <w:r w:rsidR="00550723">
        <w:t>such as pain, swelling and reduced function</w:t>
      </w:r>
      <w:r w:rsidR="009266DA">
        <w:t xml:space="preserve">. Symptoms </w:t>
      </w:r>
      <w:r w:rsidR="00373B71">
        <w:t>are not</w:t>
      </w:r>
      <w:r w:rsidR="009266DA">
        <w:t xml:space="preserve"> specific for infection</w:t>
      </w:r>
      <w:r w:rsidR="00373B71">
        <w:t xml:space="preserve"> and so differential diagnosis with aseptic loosening is required. </w:t>
      </w:r>
      <w:r w:rsidR="003D0535">
        <w:t>Initial tests are the same as for osteomyelitis; laboratory tests (</w:t>
      </w:r>
      <w:r w:rsidR="00F63BED">
        <w:t xml:space="preserve">e.g. </w:t>
      </w:r>
      <w:r w:rsidR="003D0535" w:rsidRPr="003D0535">
        <w:t xml:space="preserve">FBC, ESR, CRP, </w:t>
      </w:r>
      <w:r w:rsidR="00F63BED" w:rsidRPr="00F63BED">
        <w:t xml:space="preserve">electrolytes, urea, creatinine </w:t>
      </w:r>
      <w:r w:rsidR="00F63BED">
        <w:t>(</w:t>
      </w:r>
      <w:r w:rsidR="003D0535" w:rsidRPr="003D0535">
        <w:t>EUC</w:t>
      </w:r>
      <w:r w:rsidR="00F63BED">
        <w:t>)</w:t>
      </w:r>
      <w:r w:rsidR="003D0535" w:rsidRPr="003D0535">
        <w:t xml:space="preserve">, </w:t>
      </w:r>
      <w:r w:rsidR="00F63BED">
        <w:t>liver function test (</w:t>
      </w:r>
      <w:r w:rsidR="003D0535" w:rsidRPr="003D0535">
        <w:t>LFT</w:t>
      </w:r>
      <w:r w:rsidR="003D0535">
        <w:t>)</w:t>
      </w:r>
      <w:r w:rsidR="00F63BED">
        <w:t>)</w:t>
      </w:r>
      <w:r w:rsidR="00112284">
        <w:t xml:space="preserve">, </w:t>
      </w:r>
      <w:r w:rsidR="003D0535">
        <w:t xml:space="preserve">plain </w:t>
      </w:r>
      <w:r w:rsidR="008A5DE3">
        <w:t>X</w:t>
      </w:r>
      <w:r w:rsidR="003D0535">
        <w:t>-ray</w:t>
      </w:r>
      <w:r w:rsidR="00112284">
        <w:t xml:space="preserve"> and blood culture</w:t>
      </w:r>
      <w:r w:rsidR="00F57628">
        <w:t xml:space="preserve">; </w:t>
      </w:r>
      <w:r w:rsidR="00893484">
        <w:t>however, a</w:t>
      </w:r>
      <w:r w:rsidR="00F57628">
        <w:t xml:space="preserve"> negative result </w:t>
      </w:r>
      <w:r w:rsidR="6D874C48">
        <w:t xml:space="preserve">in some or all of these </w:t>
      </w:r>
      <w:r w:rsidR="77A16BC3">
        <w:t>does</w:t>
      </w:r>
      <w:r w:rsidR="00F57628">
        <w:t xml:space="preserve"> not exclude prosthetic joint infection. </w:t>
      </w:r>
    </w:p>
    <w:p w14:paraId="7F91F58D" w14:textId="3C61900E" w:rsidR="00E71124" w:rsidRDefault="0DB025F2" w:rsidP="00044D00">
      <w:r>
        <w:t>The next investigation may be a</w:t>
      </w:r>
      <w:r w:rsidR="008E36D5">
        <w:t xml:space="preserve"> biopsy of the infected site, under image guidance</w:t>
      </w:r>
      <w:r w:rsidR="00724B17">
        <w:t xml:space="preserve"> </w:t>
      </w:r>
      <w:r w:rsidR="00490E6E">
        <w:t>or further</w:t>
      </w:r>
      <w:r w:rsidR="00724B17">
        <w:t xml:space="preserve"> imaging</w:t>
      </w:r>
      <w:r w:rsidR="005C7B57">
        <w:t xml:space="preserve">. MRI </w:t>
      </w:r>
      <w:r w:rsidR="103A74FC">
        <w:t xml:space="preserve">can </w:t>
      </w:r>
      <w:r w:rsidR="0D1B404F">
        <w:t>be</w:t>
      </w:r>
      <w:r w:rsidR="005C7B57">
        <w:t xml:space="preserve"> complicated by the implant but </w:t>
      </w:r>
      <w:r w:rsidR="1DDB3417">
        <w:t xml:space="preserve">may </w:t>
      </w:r>
      <w:r w:rsidR="473645BF">
        <w:t>no</w:t>
      </w:r>
      <w:r w:rsidR="00537A35">
        <w:t xml:space="preserve"> longer </w:t>
      </w:r>
      <w:r w:rsidR="61213FDA">
        <w:t xml:space="preserve">be </w:t>
      </w:r>
      <w:r w:rsidR="473645BF">
        <w:t>a</w:t>
      </w:r>
      <w:r w:rsidR="00537A35">
        <w:t xml:space="preserve"> contraindication due to </w:t>
      </w:r>
      <w:r w:rsidR="005B0E13">
        <w:t xml:space="preserve">MRI compatible prostheses and improved MRI sequences </w:t>
      </w:r>
      <w:r w:rsidR="00323593" w:rsidRPr="00323593">
        <w:rPr>
          <w:rFonts w:cs="Calibri"/>
        </w:rPr>
        <w:t>(Signore et al. 2019)</w:t>
      </w:r>
      <w:r w:rsidR="005B0E13">
        <w:t>.</w:t>
      </w:r>
      <w:r w:rsidR="00F7672F">
        <w:t xml:space="preserve"> </w:t>
      </w:r>
      <w:r w:rsidR="00EF3DC0">
        <w:t>CT can also be used for diagnosis.</w:t>
      </w:r>
      <w:r w:rsidR="007374FE">
        <w:t xml:space="preserve"> </w:t>
      </w:r>
      <w:r w:rsidR="00D53573">
        <w:t xml:space="preserve">Additional imaging can </w:t>
      </w:r>
      <w:r w:rsidR="76F5086A">
        <w:t xml:space="preserve">include a </w:t>
      </w:r>
      <w:r w:rsidR="6FCF3FA7">
        <w:t>bone</w:t>
      </w:r>
      <w:r w:rsidR="00D53573">
        <w:t xml:space="preserve"> scan,</w:t>
      </w:r>
      <w:r w:rsidR="6FCF3FA7">
        <w:t xml:space="preserve"> </w:t>
      </w:r>
      <w:r w:rsidR="20377F85">
        <w:t>a</w:t>
      </w:r>
      <w:r w:rsidR="00D53573">
        <w:t xml:space="preserve"> WBC scan or FDG</w:t>
      </w:r>
      <w:r w:rsidR="00AA4F21">
        <w:t xml:space="preserve"> </w:t>
      </w:r>
      <w:r w:rsidR="00D53573">
        <w:t>PET</w:t>
      </w:r>
      <w:r w:rsidR="004E1643">
        <w:t>/CT</w:t>
      </w:r>
      <w:r w:rsidR="0174C635">
        <w:t>,</w:t>
      </w:r>
      <w:r w:rsidR="00112BE5">
        <w:t xml:space="preserve"> with clinical guidelines recommending </w:t>
      </w:r>
      <w:r w:rsidR="0080297C">
        <w:t>bone scan</w:t>
      </w:r>
      <w:r w:rsidR="00A70D10">
        <w:t>ning</w:t>
      </w:r>
      <w:r w:rsidR="00112BE5">
        <w:t xml:space="preserve"> or FDG</w:t>
      </w:r>
      <w:r w:rsidR="00AA4F21">
        <w:t xml:space="preserve"> </w:t>
      </w:r>
      <w:r w:rsidR="00112BE5">
        <w:t>PET</w:t>
      </w:r>
      <w:r w:rsidR="004E1643">
        <w:t>/CT</w:t>
      </w:r>
      <w:r w:rsidR="00112BE5">
        <w:t xml:space="preserve"> as an initial</w:t>
      </w:r>
      <w:r w:rsidR="00961543">
        <w:t xml:space="preserve"> nuclear medicine approach in </w:t>
      </w:r>
      <w:r w:rsidR="0080297C">
        <w:t>suspected</w:t>
      </w:r>
      <w:r w:rsidR="00961543">
        <w:t xml:space="preserve"> prosthetic joint infections more than 2 years after implant</w:t>
      </w:r>
      <w:r w:rsidR="00D90385">
        <w:t>. H</w:t>
      </w:r>
      <w:r w:rsidR="00961543">
        <w:t>owever</w:t>
      </w:r>
      <w:r w:rsidR="00D90385">
        <w:t>,</w:t>
      </w:r>
      <w:r w:rsidR="00961543">
        <w:t xml:space="preserve"> </w:t>
      </w:r>
      <w:r w:rsidR="00F870AE">
        <w:t xml:space="preserve">they also recommend a </w:t>
      </w:r>
      <w:r w:rsidR="00961543">
        <w:t>follow-up</w:t>
      </w:r>
      <w:r w:rsidR="0080297C">
        <w:t xml:space="preserve"> </w:t>
      </w:r>
      <w:r w:rsidR="1A78CF2B">
        <w:t xml:space="preserve">a </w:t>
      </w:r>
      <w:r w:rsidR="36AE6CF9">
        <w:t>WBC</w:t>
      </w:r>
      <w:r w:rsidR="0080297C">
        <w:t xml:space="preserve"> scan where the </w:t>
      </w:r>
      <w:r w:rsidR="00613E5F">
        <w:t xml:space="preserve">bone scan or FDG PET/CT </w:t>
      </w:r>
      <w:r w:rsidR="0080297C">
        <w:t>test is positive due to the low specificity of both</w:t>
      </w:r>
      <w:r w:rsidR="001E28E7">
        <w:t xml:space="preserve"> </w:t>
      </w:r>
      <w:r w:rsidR="00207A22" w:rsidRPr="00323593">
        <w:rPr>
          <w:rFonts w:cs="Calibri"/>
        </w:rPr>
        <w:t>(Signore et al. 2019)</w:t>
      </w:r>
      <w:r w:rsidR="005A217E">
        <w:t>.</w:t>
      </w:r>
      <w:r w:rsidR="00207A22">
        <w:t xml:space="preserve"> </w:t>
      </w:r>
    </w:p>
    <w:p w14:paraId="16274502" w14:textId="54300B2E" w:rsidR="0065030E" w:rsidRDefault="0065030E" w:rsidP="0065030E">
      <w:pPr>
        <w:pStyle w:val="Heading5"/>
      </w:pPr>
      <w:r>
        <w:t>Infective endocarditis</w:t>
      </w:r>
    </w:p>
    <w:p w14:paraId="2919DC36" w14:textId="05E0446D" w:rsidR="0065030E" w:rsidRDefault="00B408E1" w:rsidP="0065030E">
      <w:r>
        <w:t>Infective endocarditis has high mor</w:t>
      </w:r>
      <w:r w:rsidR="002864CA">
        <w:t>tality rates and severe complications</w:t>
      </w:r>
      <w:r w:rsidR="001E28E7">
        <w:t>,</w:t>
      </w:r>
      <w:r w:rsidR="002864CA">
        <w:t xml:space="preserve"> so early </w:t>
      </w:r>
      <w:r w:rsidR="00F53782">
        <w:t>identification</w:t>
      </w:r>
      <w:r w:rsidR="002864CA">
        <w:t xml:space="preserve"> and treatment are essential. </w:t>
      </w:r>
      <w:r w:rsidR="00BC1204">
        <w:t xml:space="preserve">Those most at risk </w:t>
      </w:r>
      <w:r w:rsidR="0091699F">
        <w:t>a</w:t>
      </w:r>
      <w:r w:rsidR="00F53782">
        <w:t>re</w:t>
      </w:r>
      <w:r w:rsidR="0091699F">
        <w:t xml:space="preserve"> patients with prosthetic valves, </w:t>
      </w:r>
      <w:r w:rsidR="008E3E43">
        <w:t xml:space="preserve">a previous episode </w:t>
      </w:r>
      <w:r w:rsidR="003176EF">
        <w:t xml:space="preserve">of endocarditis </w:t>
      </w:r>
      <w:r w:rsidR="00F53782">
        <w:t>or</w:t>
      </w:r>
      <w:r w:rsidR="008E3E43">
        <w:t xml:space="preserve"> congenital </w:t>
      </w:r>
      <w:r w:rsidR="00F53782">
        <w:t xml:space="preserve">heart disease </w:t>
      </w:r>
      <w:r w:rsidR="00F53782" w:rsidRPr="00F53782">
        <w:rPr>
          <w:rFonts w:cs="Calibri"/>
        </w:rPr>
        <w:t>(Habib et al. 2015)</w:t>
      </w:r>
      <w:r w:rsidR="00F53782">
        <w:t>.</w:t>
      </w:r>
      <w:r w:rsidR="00067CBD">
        <w:t xml:space="preserve"> Clinical presentation can vary </w:t>
      </w:r>
      <w:r w:rsidR="00A97E41">
        <w:t xml:space="preserve">but commonly includes fever and heart murmurs. </w:t>
      </w:r>
      <w:r w:rsidR="3AD02B9D">
        <w:t>The distal effects of e</w:t>
      </w:r>
      <w:r w:rsidR="176BA88A">
        <w:t>mboli</w:t>
      </w:r>
      <w:r w:rsidR="00A97E41">
        <w:t xml:space="preserve"> are a common presenting </w:t>
      </w:r>
      <w:r w:rsidR="007C3484">
        <w:t>feature.</w:t>
      </w:r>
      <w:r w:rsidR="00A5047B">
        <w:t xml:space="preserve"> </w:t>
      </w:r>
    </w:p>
    <w:p w14:paraId="122F034B" w14:textId="07ADCD30" w:rsidR="001A5AAE" w:rsidRDefault="001A5AAE" w:rsidP="0065030E">
      <w:r>
        <w:t>International guidelines provide clear diagnostic criteria for infective endocarditis</w:t>
      </w:r>
      <w:r w:rsidR="00225BD9">
        <w:t xml:space="preserve">. The first investigation, before empiric antibiotic therapy, is blood culture. </w:t>
      </w:r>
      <w:r w:rsidR="00C2731F">
        <w:t>While t</w:t>
      </w:r>
      <w:r w:rsidR="00015D66">
        <w:t>h</w:t>
      </w:r>
      <w:r w:rsidR="00162CFA">
        <w:t>is</w:t>
      </w:r>
      <w:r w:rsidR="00015D66">
        <w:t xml:space="preserve"> </w:t>
      </w:r>
      <w:r w:rsidR="00162CFA">
        <w:t>is</w:t>
      </w:r>
      <w:r w:rsidR="00015D66">
        <w:t xml:space="preserve"> </w:t>
      </w:r>
      <w:r w:rsidR="00966D4F">
        <w:t>a</w:t>
      </w:r>
      <w:r w:rsidR="00015D66">
        <w:t xml:space="preserve"> key investigation</w:t>
      </w:r>
      <w:r w:rsidR="00D14CAC">
        <w:t xml:space="preserve">, they </w:t>
      </w:r>
      <w:r w:rsidR="007101E7">
        <w:t xml:space="preserve">are negative in almost a third of cases </w:t>
      </w:r>
      <w:r w:rsidR="007101E7" w:rsidRPr="007101E7">
        <w:rPr>
          <w:rFonts w:cs="Calibri"/>
        </w:rPr>
        <w:t>(Habib et al. 2015)</w:t>
      </w:r>
      <w:r w:rsidR="0096690E">
        <w:t xml:space="preserve">. The initial imaging test is echocardiography, which again can be normal or inconclusive in up to 30% of cases. </w:t>
      </w:r>
      <w:r w:rsidR="007623FA">
        <w:t xml:space="preserve">Therefore, if </w:t>
      </w:r>
      <w:r w:rsidR="00C66212">
        <w:t>suspicion</w:t>
      </w:r>
      <w:r w:rsidR="007623FA">
        <w:t xml:space="preserve"> remains following these </w:t>
      </w:r>
      <w:r w:rsidR="002352B3">
        <w:t>tests,</w:t>
      </w:r>
      <w:r w:rsidR="00C66212">
        <w:t xml:space="preserve"> then </w:t>
      </w:r>
      <w:r w:rsidR="003F4F44">
        <w:t>FDG PET</w:t>
      </w:r>
      <w:r w:rsidR="004E1643">
        <w:t>/CT</w:t>
      </w:r>
      <w:r w:rsidR="003F4F44">
        <w:t xml:space="preserve"> or </w:t>
      </w:r>
      <w:r w:rsidR="596B6B54">
        <w:t xml:space="preserve">a </w:t>
      </w:r>
      <w:r w:rsidR="72CEA5D9">
        <w:t>WBC</w:t>
      </w:r>
      <w:r w:rsidR="003F4F44">
        <w:t xml:space="preserve"> scan are recommended, particularly where patients have a prosthetic valve. </w:t>
      </w:r>
      <w:r w:rsidR="0037665D">
        <w:t>A positive FDG PET</w:t>
      </w:r>
      <w:r w:rsidR="004E1643">
        <w:t>/CT</w:t>
      </w:r>
      <w:r w:rsidR="0037665D">
        <w:t xml:space="preserve"> finding is recognised as one of the ten major criteria for diagnosis of infective endocarditis</w:t>
      </w:r>
      <w:r w:rsidR="000622F7">
        <w:t xml:space="preserve"> </w:t>
      </w:r>
      <w:r w:rsidR="003B0452" w:rsidRPr="003B0452">
        <w:rPr>
          <w:rFonts w:cs="Calibri"/>
        </w:rPr>
        <w:t>(Fowler et al. 2023)</w:t>
      </w:r>
      <w:r w:rsidR="0037665D">
        <w:t xml:space="preserve">. </w:t>
      </w:r>
    </w:p>
    <w:p w14:paraId="0C53D909" w14:textId="08203AA4" w:rsidR="0065030E" w:rsidRDefault="00C012B9" w:rsidP="0065030E">
      <w:pPr>
        <w:pStyle w:val="Heading5"/>
      </w:pPr>
      <w:r>
        <w:t>Extrapulmonary non-tuberculous mycobacterial (EPNTM) infection</w:t>
      </w:r>
    </w:p>
    <w:p w14:paraId="1231E59D" w14:textId="2F24F649" w:rsidR="00545088" w:rsidRDefault="00B51B86" w:rsidP="00C509AE">
      <w:r>
        <w:t>Non</w:t>
      </w:r>
      <w:r w:rsidR="00C61DB9">
        <w:t>-</w:t>
      </w:r>
      <w:r>
        <w:t xml:space="preserve">tuberculous mycobacteria (NTM) </w:t>
      </w:r>
      <w:r w:rsidR="00C509AE">
        <w:t>are</w:t>
      </w:r>
      <w:r w:rsidR="00C509AE" w:rsidRPr="00C509AE">
        <w:t xml:space="preserve"> </w:t>
      </w:r>
      <w:r w:rsidR="00C509AE">
        <w:t xml:space="preserve">a diverse group of </w:t>
      </w:r>
      <w:r w:rsidR="00C509AE" w:rsidRPr="00C509AE">
        <w:rPr>
          <w:i/>
          <w:iCs/>
        </w:rPr>
        <w:t>Mycobacteria</w:t>
      </w:r>
      <w:r w:rsidR="00C509AE">
        <w:t xml:space="preserve"> representing over 200 species that are ubiquitous in the environment, including soil, dust, and natural and drinking water sources. It excludes </w:t>
      </w:r>
      <w:r w:rsidRPr="00C509AE">
        <w:rPr>
          <w:i/>
          <w:iCs/>
        </w:rPr>
        <w:t>Mycobacterium tuberculosis</w:t>
      </w:r>
      <w:r>
        <w:t xml:space="preserve"> and </w:t>
      </w:r>
      <w:r w:rsidRPr="00C509AE">
        <w:rPr>
          <w:i/>
          <w:iCs/>
        </w:rPr>
        <w:t>Mycobacterium leprae</w:t>
      </w:r>
      <w:r w:rsidR="00C509AE">
        <w:t>.</w:t>
      </w:r>
      <w:r w:rsidR="00DE4944">
        <w:t xml:space="preserve"> Infection is more likely in immunocompromised</w:t>
      </w:r>
      <w:r w:rsidR="008D4792">
        <w:t xml:space="preserve"> individuals</w:t>
      </w:r>
      <w:r w:rsidR="00DE4944">
        <w:t xml:space="preserve"> </w:t>
      </w:r>
      <w:r w:rsidR="000E1AAC">
        <w:t xml:space="preserve">and occurs via </w:t>
      </w:r>
      <w:r w:rsidR="00EB55F3">
        <w:t>inhalation, ingestion or inoculation of a wound through</w:t>
      </w:r>
      <w:r>
        <w:t xml:space="preserve"> </w:t>
      </w:r>
      <w:r w:rsidR="00EB55F3">
        <w:t xml:space="preserve">injury or surgery </w:t>
      </w:r>
      <w:r w:rsidR="00056577" w:rsidRPr="00056577">
        <w:rPr>
          <w:rFonts w:cs="Calibri"/>
        </w:rPr>
        <w:t>(Rath et al. 2025)</w:t>
      </w:r>
      <w:r w:rsidR="00EB55F3">
        <w:t xml:space="preserve">. </w:t>
      </w:r>
      <w:r w:rsidR="00CF2953">
        <w:t xml:space="preserve">The most common clinical </w:t>
      </w:r>
      <w:r w:rsidR="14B19C13">
        <w:t xml:space="preserve">presentation </w:t>
      </w:r>
      <w:r w:rsidR="34AE651D">
        <w:t>is</w:t>
      </w:r>
      <w:r w:rsidR="00ED3CDF">
        <w:t xml:space="preserve"> </w:t>
      </w:r>
      <w:r w:rsidR="33C7D318">
        <w:t xml:space="preserve">with </w:t>
      </w:r>
      <w:r w:rsidR="34AE651D">
        <w:t>pulmonary</w:t>
      </w:r>
      <w:r w:rsidR="00ED3CDF">
        <w:t xml:space="preserve"> disease, </w:t>
      </w:r>
      <w:r w:rsidR="00381221">
        <w:t>although</w:t>
      </w:r>
      <w:r w:rsidR="00ED3CDF">
        <w:t xml:space="preserve"> </w:t>
      </w:r>
      <w:r w:rsidR="00175407">
        <w:t xml:space="preserve">extrapulmonary disease contributes 20-30% of cases. </w:t>
      </w:r>
    </w:p>
    <w:p w14:paraId="133D9AE3" w14:textId="33DA247B" w:rsidR="00E87451" w:rsidRPr="00545088" w:rsidRDefault="00E87451" w:rsidP="00C509AE">
      <w:r>
        <w:t>EPNTM infections can involve the skin and soft tissue, lymph nodes, bones and joints, urinary trac</w:t>
      </w:r>
      <w:r w:rsidR="00D84183">
        <w:t>t</w:t>
      </w:r>
      <w:r>
        <w:t>, and blood</w:t>
      </w:r>
      <w:r w:rsidR="00D534CD">
        <w:t>.</w:t>
      </w:r>
      <w:r w:rsidR="005A0B91">
        <w:t xml:space="preserve"> </w:t>
      </w:r>
      <w:r w:rsidR="00D534CD">
        <w:t>C</w:t>
      </w:r>
      <w:r w:rsidR="005A0B91">
        <w:t>linical presentation is variable</w:t>
      </w:r>
      <w:r w:rsidR="000E2C6C">
        <w:t xml:space="preserve"> and </w:t>
      </w:r>
      <w:r w:rsidR="4F0D588D">
        <w:t>depend</w:t>
      </w:r>
      <w:r w:rsidR="5BF0FF9E">
        <w:t>s</w:t>
      </w:r>
      <w:r w:rsidR="000E2C6C">
        <w:t xml:space="preserve"> on the site(s) of infection</w:t>
      </w:r>
      <w:r w:rsidR="005A0B91">
        <w:t xml:space="preserve">. </w:t>
      </w:r>
      <w:r w:rsidR="00636B90">
        <w:t xml:space="preserve">Diagnosis is </w:t>
      </w:r>
      <w:r w:rsidR="002056A2">
        <w:t xml:space="preserve">complex </w:t>
      </w:r>
      <w:r w:rsidR="724E8C50">
        <w:t xml:space="preserve">and </w:t>
      </w:r>
      <w:r w:rsidR="59A6714D">
        <w:t>relies</w:t>
      </w:r>
      <w:r w:rsidR="002056A2">
        <w:t xml:space="preserve"> on culture, </w:t>
      </w:r>
      <w:r w:rsidR="005F113D">
        <w:t xml:space="preserve">histopathology and molecular </w:t>
      </w:r>
      <w:r w:rsidR="004A38D0">
        <w:t>studies</w:t>
      </w:r>
      <w:r w:rsidR="00897FB3">
        <w:t xml:space="preserve"> (such as </w:t>
      </w:r>
      <w:r w:rsidR="00032ED4">
        <w:t>nucleic acid amplification tests</w:t>
      </w:r>
      <w:r w:rsidR="00C157EB">
        <w:t xml:space="preserve"> to detect NTM</w:t>
      </w:r>
      <w:r w:rsidR="004A297A">
        <w:t>)</w:t>
      </w:r>
      <w:r w:rsidR="004A38D0">
        <w:t xml:space="preserve"> when available. </w:t>
      </w:r>
      <w:r w:rsidR="49DEC7E6">
        <w:t>Th</w:t>
      </w:r>
      <w:r w:rsidR="11637ADC">
        <w:t>ese</w:t>
      </w:r>
      <w:r w:rsidR="00D7135E">
        <w:t xml:space="preserve"> may be sufficient for diagnosis and treatment planning</w:t>
      </w:r>
      <w:r w:rsidR="009B26A0">
        <w:t>.</w:t>
      </w:r>
      <w:r w:rsidR="00D7135E">
        <w:t xml:space="preserve"> </w:t>
      </w:r>
      <w:r w:rsidR="009B26A0">
        <w:t>H</w:t>
      </w:r>
      <w:r w:rsidR="00D7135E">
        <w:t>owever</w:t>
      </w:r>
      <w:r w:rsidR="009B26A0">
        <w:t>,</w:t>
      </w:r>
      <w:r w:rsidR="00D7135E">
        <w:t xml:space="preserve"> for </w:t>
      </w:r>
      <w:r w:rsidR="00271AA5">
        <w:t xml:space="preserve">suspected infections involving </w:t>
      </w:r>
      <w:r w:rsidR="005D4124">
        <w:t>bone or dissemination</w:t>
      </w:r>
      <w:r w:rsidR="00D534CD">
        <w:t>,</w:t>
      </w:r>
      <w:r w:rsidR="005D4124">
        <w:t xml:space="preserve"> imaging may</w:t>
      </w:r>
      <w:r w:rsidR="00A62696">
        <w:t xml:space="preserve"> </w:t>
      </w:r>
      <w:r w:rsidR="005D4124">
        <w:t>be required</w:t>
      </w:r>
      <w:r w:rsidR="002B52B1">
        <w:t xml:space="preserve"> and could involve CT, MRI or ultrasound. </w:t>
      </w:r>
      <w:r w:rsidR="00EA30B9">
        <w:t>As a whole-body functional imaging approach, FDG PET</w:t>
      </w:r>
      <w:r w:rsidR="00F17EF9">
        <w:t>/CT</w:t>
      </w:r>
      <w:r w:rsidR="00EA30B9">
        <w:t xml:space="preserve"> is proposed </w:t>
      </w:r>
      <w:r w:rsidR="005F7455">
        <w:t>to document the</w:t>
      </w:r>
      <w:r w:rsidR="00A95D89">
        <w:t xml:space="preserve"> extent of dissemination </w:t>
      </w:r>
      <w:r w:rsidR="003F0625">
        <w:t xml:space="preserve">and </w:t>
      </w:r>
      <w:r w:rsidR="00A95D89">
        <w:t xml:space="preserve">to guide </w:t>
      </w:r>
      <w:r w:rsidR="005F7455">
        <w:t>treatment</w:t>
      </w:r>
      <w:r w:rsidR="003F0625">
        <w:t xml:space="preserve"> where required</w:t>
      </w:r>
      <w:r w:rsidR="005F7455">
        <w:t xml:space="preserve">. </w:t>
      </w:r>
    </w:p>
    <w:p w14:paraId="78AEF01D" w14:textId="5E54C485" w:rsidR="00C012B9" w:rsidRDefault="00C012B9" w:rsidP="00C012B9">
      <w:pPr>
        <w:pStyle w:val="Heading5"/>
      </w:pPr>
      <w:r w:rsidRPr="00951F90">
        <w:lastRenderedPageBreak/>
        <w:t>Bacteraemia</w:t>
      </w:r>
    </w:p>
    <w:p w14:paraId="35804ED4" w14:textId="571E9B0C" w:rsidR="00687CB4" w:rsidRDefault="00687CB4" w:rsidP="00687CB4">
      <w:r>
        <w:t xml:space="preserve">Bacteraemia </w:t>
      </w:r>
      <w:r w:rsidR="00E15E7E">
        <w:t xml:space="preserve">refers to viable </w:t>
      </w:r>
      <w:r w:rsidR="43774FFC">
        <w:t>bacteria</w:t>
      </w:r>
      <w:r w:rsidR="00E15E7E">
        <w:t xml:space="preserve"> in the blood</w:t>
      </w:r>
      <w:r w:rsidR="0004601C">
        <w:t>.</w:t>
      </w:r>
      <w:r w:rsidR="0028100D">
        <w:t xml:space="preserve"> </w:t>
      </w:r>
      <w:r w:rsidR="0004601C">
        <w:t>While</w:t>
      </w:r>
      <w:r w:rsidR="0028100D">
        <w:t xml:space="preserve"> often transient and clinically benign, </w:t>
      </w:r>
      <w:r w:rsidR="00FC0A0C">
        <w:t>it can lead to</w:t>
      </w:r>
      <w:r w:rsidR="001E058B">
        <w:t xml:space="preserve"> clinically relevant bloodstream</w:t>
      </w:r>
      <w:r w:rsidR="00FC0A0C">
        <w:t xml:space="preserve"> infection </w:t>
      </w:r>
      <w:r w:rsidR="00191FDA">
        <w:t>and progress to s</w:t>
      </w:r>
      <w:r w:rsidR="0078687A">
        <w:t>epsis.</w:t>
      </w:r>
      <w:r w:rsidR="00DE2F09">
        <w:t xml:space="preserve"> </w:t>
      </w:r>
      <w:r w:rsidR="009A614D">
        <w:t xml:space="preserve">Clinical presentation </w:t>
      </w:r>
      <w:r w:rsidR="007A29F8">
        <w:t>can be overt</w:t>
      </w:r>
      <w:r w:rsidR="0004601C">
        <w:t>,</w:t>
      </w:r>
      <w:r w:rsidR="007A29F8">
        <w:t xml:space="preserve"> with fever, rigors, hypotension and systemic inflammatory response, or</w:t>
      </w:r>
      <w:r w:rsidR="00284176">
        <w:t xml:space="preserve"> </w:t>
      </w:r>
      <w:r w:rsidR="007A29F8">
        <w:t>more subtle</w:t>
      </w:r>
      <w:r w:rsidR="00702F94">
        <w:t>, with</w:t>
      </w:r>
      <w:r w:rsidR="007A29F8">
        <w:t xml:space="preserve"> </w:t>
      </w:r>
      <w:r w:rsidR="00C53EC7">
        <w:t xml:space="preserve">features such as delirium, </w:t>
      </w:r>
      <w:r w:rsidR="00EE37EC">
        <w:t>malaise</w:t>
      </w:r>
      <w:r w:rsidR="00C53EC7">
        <w:t xml:space="preserve"> or unexplained deterioration. </w:t>
      </w:r>
      <w:r w:rsidR="00066195">
        <w:t xml:space="preserve">Infection can </w:t>
      </w:r>
      <w:r w:rsidR="13BDBA19">
        <w:t xml:space="preserve">result in </w:t>
      </w:r>
      <w:r w:rsidR="00066195">
        <w:t xml:space="preserve">serious complications such as infective endocarditis and metastatic </w:t>
      </w:r>
      <w:r w:rsidR="005A25BC">
        <w:t>deep tissue infection</w:t>
      </w:r>
      <w:r w:rsidR="009C60E2">
        <w:t xml:space="preserve"> leading to increased </w:t>
      </w:r>
      <w:r w:rsidR="00893484">
        <w:t>mortality.</w:t>
      </w:r>
      <w:r w:rsidR="009C60E2">
        <w:t xml:space="preserve"> </w:t>
      </w:r>
      <w:r w:rsidR="0020394A">
        <w:t xml:space="preserve">Blood culture is the </w:t>
      </w:r>
      <w:r w:rsidR="00AE550F">
        <w:t xml:space="preserve">key </w:t>
      </w:r>
      <w:r w:rsidR="00440173">
        <w:t>first</w:t>
      </w:r>
      <w:r w:rsidR="00171074">
        <w:t>-</w:t>
      </w:r>
      <w:r w:rsidR="00440173">
        <w:t xml:space="preserve">line investigation along with </w:t>
      </w:r>
      <w:r w:rsidR="149091CD">
        <w:t xml:space="preserve">other </w:t>
      </w:r>
      <w:r w:rsidR="046AD310">
        <w:t>laboratory tests</w:t>
      </w:r>
      <w:r w:rsidR="21F6E351">
        <w:t>.</w:t>
      </w:r>
      <w:r w:rsidR="006A2A12">
        <w:t xml:space="preserve"> Further investigations depend on clinical signs and symptoms</w:t>
      </w:r>
      <w:r w:rsidR="00206664">
        <w:t xml:space="preserve"> and aim to determine the source </w:t>
      </w:r>
      <w:r w:rsidR="00937280">
        <w:t xml:space="preserve">and extent </w:t>
      </w:r>
      <w:r w:rsidR="00206664">
        <w:t>of infection, including a</w:t>
      </w:r>
      <w:r w:rsidR="009946DA">
        <w:t xml:space="preserve">ny metastatic sites of infection. </w:t>
      </w:r>
      <w:r w:rsidR="00372261">
        <w:t>Echocardiogram is recommended in all patients to rule out infective endocarditis</w:t>
      </w:r>
      <w:r w:rsidR="00A95D3C">
        <w:rPr>
          <w:rStyle w:val="FootnoteReference"/>
        </w:rPr>
        <w:footnoteReference w:id="4"/>
      </w:r>
      <w:r w:rsidR="00372261">
        <w:t xml:space="preserve">. </w:t>
      </w:r>
    </w:p>
    <w:p w14:paraId="463DE812" w14:textId="66369827" w:rsidR="001157D4" w:rsidRPr="00687CB4" w:rsidRDefault="00DB0A6F" w:rsidP="00687CB4">
      <w:r>
        <w:t>Further imaging is targeted based on signs and symptoms but may include</w:t>
      </w:r>
      <w:r w:rsidR="00DC055E">
        <w:t xml:space="preserve"> MRI or </w:t>
      </w:r>
      <w:r w:rsidR="0A109396">
        <w:t xml:space="preserve">a </w:t>
      </w:r>
      <w:r w:rsidR="00DC055E">
        <w:t>WBC scan where there is back, joint or bone pain</w:t>
      </w:r>
      <w:r w:rsidR="00D6491A">
        <w:t>,</w:t>
      </w:r>
      <w:r w:rsidR="00533463">
        <w:t xml:space="preserve"> or </w:t>
      </w:r>
      <w:r w:rsidR="0CEEF35C">
        <w:t xml:space="preserve">an </w:t>
      </w:r>
      <w:r w:rsidR="4EE523EC">
        <w:t>ultrasound</w:t>
      </w:r>
      <w:r w:rsidR="00533463">
        <w:t xml:space="preserve"> </w:t>
      </w:r>
      <w:r w:rsidR="78B646E2">
        <w:t xml:space="preserve">looking for </w:t>
      </w:r>
      <w:r w:rsidR="4EE523EC">
        <w:t>joint</w:t>
      </w:r>
      <w:r w:rsidR="00533463">
        <w:t xml:space="preserve"> swelling. FDG PET</w:t>
      </w:r>
      <w:r w:rsidR="00F17EF9">
        <w:t>/CT</w:t>
      </w:r>
      <w:r w:rsidR="00533463">
        <w:t xml:space="preserve"> is </w:t>
      </w:r>
      <w:r w:rsidR="00BD23F0">
        <w:t xml:space="preserve">proposed </w:t>
      </w:r>
      <w:r w:rsidR="00630F73">
        <w:t>as</w:t>
      </w:r>
      <w:r w:rsidR="00A86C79">
        <w:t xml:space="preserve"> an additional tool</w:t>
      </w:r>
      <w:r w:rsidR="002602E2">
        <w:t xml:space="preserve"> for </w:t>
      </w:r>
      <w:r w:rsidR="00886CB6">
        <w:t xml:space="preserve">the detection of </w:t>
      </w:r>
      <w:r w:rsidR="00A86D69">
        <w:t>metastatic foci</w:t>
      </w:r>
      <w:r w:rsidR="00DA1F28">
        <w:t>. Up to a third of complicating infectious foci do not have localising symptoms and signs</w:t>
      </w:r>
      <w:r w:rsidR="006F4631">
        <w:t xml:space="preserve">, </w:t>
      </w:r>
      <w:r w:rsidR="00F0164F">
        <w:t xml:space="preserve">but </w:t>
      </w:r>
      <w:r w:rsidR="006F4631">
        <w:t xml:space="preserve">their identification leads to </w:t>
      </w:r>
      <w:r w:rsidR="00F0164F">
        <w:t xml:space="preserve">important </w:t>
      </w:r>
      <w:r w:rsidR="00A86D69">
        <w:t xml:space="preserve">management changes </w:t>
      </w:r>
      <w:r w:rsidR="00F0164F">
        <w:t>such as</w:t>
      </w:r>
      <w:r w:rsidR="00A86D69">
        <w:t xml:space="preserve"> </w:t>
      </w:r>
      <w:r w:rsidR="00B52665">
        <w:t>prolong</w:t>
      </w:r>
      <w:r w:rsidR="002A6A37">
        <w:t>ed</w:t>
      </w:r>
      <w:r w:rsidR="00B52665">
        <w:t xml:space="preserve"> antibiotic treatment </w:t>
      </w:r>
      <w:r w:rsidR="002A6A37">
        <w:t>or</w:t>
      </w:r>
      <w:r w:rsidR="00214A58">
        <w:t xml:space="preserve"> </w:t>
      </w:r>
      <w:r w:rsidR="7DA18F92">
        <w:t>site-specific</w:t>
      </w:r>
      <w:r w:rsidR="00763329">
        <w:t xml:space="preserve"> treatments such as drainage</w:t>
      </w:r>
      <w:r w:rsidR="00F028C0">
        <w:t xml:space="preserve"> </w:t>
      </w:r>
      <w:r w:rsidR="00BD0EFA" w:rsidRPr="00BD0EFA">
        <w:rPr>
          <w:rFonts w:cs="Calibri"/>
        </w:rPr>
        <w:t>(Vos et al. 2010)</w:t>
      </w:r>
      <w:r w:rsidR="00763329">
        <w:t xml:space="preserve">. </w:t>
      </w:r>
      <w:r w:rsidR="00B52665">
        <w:t xml:space="preserve"> </w:t>
      </w:r>
    </w:p>
    <w:p w14:paraId="52A327DC" w14:textId="15185E48" w:rsidR="00706582" w:rsidRDefault="00706582" w:rsidP="00706582">
      <w:pPr>
        <w:pStyle w:val="Heading5"/>
      </w:pPr>
      <w:r>
        <w:t>Estimated population size</w:t>
      </w:r>
      <w:r w:rsidR="00DE5BCC">
        <w:t xml:space="preserve"> for PICO set 1</w:t>
      </w:r>
    </w:p>
    <w:p w14:paraId="5D2D1C4D" w14:textId="6C38AB8D" w:rsidR="00706582" w:rsidRDefault="008D3F73" w:rsidP="00706582">
      <w:r>
        <w:t xml:space="preserve">The application </w:t>
      </w:r>
      <w:r w:rsidR="00203AEF">
        <w:t xml:space="preserve">estimated the </w:t>
      </w:r>
      <w:r w:rsidR="003311A7">
        <w:t>size of the population using a market-share approach</w:t>
      </w:r>
      <w:r w:rsidR="006466A5">
        <w:t>.</w:t>
      </w:r>
      <w:r w:rsidR="003311A7">
        <w:t xml:space="preserve"> MBS claims for comparator metabolic imaging</w:t>
      </w:r>
      <w:r w:rsidR="006466A5">
        <w:t xml:space="preserve"> technologies</w:t>
      </w:r>
      <w:r w:rsidR="003311A7">
        <w:t xml:space="preserve"> over the period 2022-23 to 2024-25</w:t>
      </w:r>
      <w:r w:rsidR="00223A9C">
        <w:t xml:space="preserve"> </w:t>
      </w:r>
      <w:r w:rsidR="000F18D1">
        <w:t xml:space="preserve">are </w:t>
      </w:r>
      <w:r w:rsidR="006E3854">
        <w:t>not specific for complex infection</w:t>
      </w:r>
      <w:r w:rsidR="0013077A">
        <w:t xml:space="preserve">, but infection is assumed to account for 75% with the remainder </w:t>
      </w:r>
      <w:r w:rsidR="00AE7245">
        <w:t xml:space="preserve">being other conditions such as inflammation. </w:t>
      </w:r>
      <w:r w:rsidR="005145E3">
        <w:t>The total number of claims in 20</w:t>
      </w:r>
      <w:r w:rsidR="00694818">
        <w:t>24/25 was 4,182</w:t>
      </w:r>
      <w:r w:rsidR="001F70F2">
        <w:t>;</w:t>
      </w:r>
      <w:r w:rsidR="00694818">
        <w:t xml:space="preserve"> therefore</w:t>
      </w:r>
      <w:r w:rsidR="001F70F2">
        <w:t>,</w:t>
      </w:r>
      <w:r w:rsidR="00694818">
        <w:t xml:space="preserve"> the estimated patient population is </w:t>
      </w:r>
      <w:r w:rsidR="00D15664">
        <w:t>3,137</w:t>
      </w:r>
      <w:r w:rsidR="001F70F2">
        <w:t>.</w:t>
      </w:r>
      <w:r w:rsidR="00D15664">
        <w:t xml:space="preserve"> </w:t>
      </w:r>
      <w:r w:rsidR="00241931">
        <w:t>T</w:t>
      </w:r>
      <w:r w:rsidR="00D15664">
        <w:t xml:space="preserve">he application estimates that </w:t>
      </w:r>
      <w:r w:rsidR="003C4636">
        <w:t xml:space="preserve">25% would not have </w:t>
      </w:r>
      <w:r w:rsidR="00C16D63">
        <w:t xml:space="preserve">ready </w:t>
      </w:r>
      <w:r w:rsidR="003C4636">
        <w:t xml:space="preserve">access to PET due to geographical </w:t>
      </w:r>
      <w:r w:rsidR="00C16D63">
        <w:t xml:space="preserve">constraints </w:t>
      </w:r>
      <w:r w:rsidR="003C4636">
        <w:t xml:space="preserve">and therefore the total uptake would be 2,352 patients. </w:t>
      </w:r>
    </w:p>
    <w:p w14:paraId="0F20D559" w14:textId="56A51F53" w:rsidR="000A3CA8" w:rsidRDefault="00A536AC" w:rsidP="00706582">
      <w:r>
        <w:t xml:space="preserve">MBS item </w:t>
      </w:r>
      <w:hyperlink r:id="rId9" w:history="1">
        <w:r w:rsidR="003B32E3" w:rsidRPr="00B83A3D">
          <w:rPr>
            <w:rStyle w:val="Hyperlink"/>
            <w:rFonts w:ascii="Calibri" w:hAnsi="Calibri"/>
          </w:rPr>
          <w:t>61527</w:t>
        </w:r>
      </w:hyperlink>
      <w:r w:rsidR="003B32E3">
        <w:t xml:space="preserve"> </w:t>
      </w:r>
      <w:r w:rsidR="00207B05">
        <w:t>currently provides</w:t>
      </w:r>
      <w:r w:rsidR="00870E3E">
        <w:t xml:space="preserve"> access to FDG PET </w:t>
      </w:r>
      <w:r w:rsidR="002A1617">
        <w:t xml:space="preserve">as an alternative to </w:t>
      </w:r>
      <w:r w:rsidR="00870E3E">
        <w:t>Ga-67 scintigraphy where Ga-67 is unavailable</w:t>
      </w:r>
      <w:r w:rsidR="008C40F3">
        <w:t>. It</w:t>
      </w:r>
      <w:r w:rsidR="00870E3E" w:rsidDel="0094673D">
        <w:t xml:space="preserve"> </w:t>
      </w:r>
      <w:r w:rsidR="003B32E3">
        <w:t xml:space="preserve">was introduced in 2022 </w:t>
      </w:r>
      <w:r w:rsidR="003B0C45">
        <w:t>and has seen</w:t>
      </w:r>
      <w:r w:rsidR="00CA6EF8">
        <w:t xml:space="preserve"> </w:t>
      </w:r>
      <w:r w:rsidR="0007402F">
        <w:t>increasing claims each year</w:t>
      </w:r>
      <w:r w:rsidR="00E10711">
        <w:t xml:space="preserve"> reaching 2,</w:t>
      </w:r>
      <w:r w:rsidR="00B935B6">
        <w:t>539 in 2024</w:t>
      </w:r>
      <w:r w:rsidR="0099523F">
        <w:t>-</w:t>
      </w:r>
      <w:r w:rsidR="00B935B6">
        <w:t>25</w:t>
      </w:r>
      <w:r w:rsidR="00E059FA">
        <w:t xml:space="preserve"> (</w:t>
      </w:r>
      <w:r w:rsidR="00E059FA">
        <w:fldChar w:fldCharType="begin"/>
      </w:r>
      <w:r w:rsidR="00E059FA">
        <w:instrText xml:space="preserve"> REF _Ref234318614 \h </w:instrText>
      </w:r>
      <w:r w:rsidR="00E059FA">
        <w:fldChar w:fldCharType="separate"/>
      </w:r>
      <w:r w:rsidR="00E059FA">
        <w:t xml:space="preserve">Figure </w:t>
      </w:r>
      <w:r w:rsidR="00E059FA">
        <w:rPr>
          <w:noProof/>
        </w:rPr>
        <w:t>1</w:t>
      </w:r>
      <w:r w:rsidR="00E059FA">
        <w:fldChar w:fldCharType="end"/>
      </w:r>
      <w:r w:rsidR="00E059FA">
        <w:t>)</w:t>
      </w:r>
      <w:r w:rsidR="00B935B6">
        <w:t>.</w:t>
      </w:r>
      <w:r w:rsidR="00C230E4">
        <w:t xml:space="preserve"> </w:t>
      </w:r>
      <w:r w:rsidR="00B935B6">
        <w:t>T</w:t>
      </w:r>
      <w:r w:rsidR="00C230E4">
        <w:t>herefore</w:t>
      </w:r>
      <w:r w:rsidR="001D7B8D">
        <w:t xml:space="preserve">, based on current MBS claims, </w:t>
      </w:r>
      <w:r w:rsidR="001F000F">
        <w:t xml:space="preserve">a substantial impact of funding the proposed </w:t>
      </w:r>
      <w:r w:rsidR="00D53F04">
        <w:t>intervention would be a shift in claims from an existing FDG PET MBS item</w:t>
      </w:r>
      <w:r w:rsidR="004144E6">
        <w:t>, with no defined</w:t>
      </w:r>
      <w:r w:rsidR="00AE336D">
        <w:t xml:space="preserve"> a specific clinical</w:t>
      </w:r>
      <w:r w:rsidR="004144E6">
        <w:t xml:space="preserve"> indication,</w:t>
      </w:r>
      <w:r w:rsidR="00D53F04">
        <w:t xml:space="preserve"> to </w:t>
      </w:r>
      <w:r w:rsidR="001F1D72">
        <w:t xml:space="preserve">the proposed indication-specific </w:t>
      </w:r>
      <w:r w:rsidR="00D53F04">
        <w:t>MBS items</w:t>
      </w:r>
      <w:r w:rsidR="006A79FC">
        <w:t>. Claims for Ga</w:t>
      </w:r>
      <w:r w:rsidR="003E7679">
        <w:t>-67</w:t>
      </w:r>
      <w:r w:rsidR="006A79FC">
        <w:t xml:space="preserve"> sc</w:t>
      </w:r>
      <w:r w:rsidR="00B537FF">
        <w:t>intigraphy</w:t>
      </w:r>
      <w:r w:rsidR="006A79FC">
        <w:t xml:space="preserve"> have declined substantially over the past 10 years, </w:t>
      </w:r>
      <w:r w:rsidR="00732D40">
        <w:t xml:space="preserve">but </w:t>
      </w:r>
      <w:r w:rsidR="00DB617C">
        <w:t>other nuclear metabolic imaging claims have been more stable (</w:t>
      </w:r>
      <w:r w:rsidR="00DB617C">
        <w:fldChar w:fldCharType="begin"/>
      </w:r>
      <w:r w:rsidR="00DB617C">
        <w:instrText xml:space="preserve"> REF _Ref234318614 \h </w:instrText>
      </w:r>
      <w:r w:rsidR="00DB617C">
        <w:fldChar w:fldCharType="separate"/>
      </w:r>
      <w:r w:rsidR="00DB617C">
        <w:t xml:space="preserve">Figure </w:t>
      </w:r>
      <w:r w:rsidR="00DB617C">
        <w:rPr>
          <w:noProof/>
        </w:rPr>
        <w:t>1</w:t>
      </w:r>
      <w:r w:rsidR="00DB617C">
        <w:fldChar w:fldCharType="end"/>
      </w:r>
      <w:r w:rsidR="00DB617C">
        <w:t>).</w:t>
      </w:r>
    </w:p>
    <w:p w14:paraId="3786641C" w14:textId="6826F8EA" w:rsidR="000A3CA8" w:rsidRDefault="000A3CA8" w:rsidP="000A3CA8">
      <w:pPr>
        <w:pStyle w:val="Caption"/>
      </w:pPr>
      <w:bookmarkStart w:id="6" w:name="_Ref234318614"/>
      <w:r>
        <w:lastRenderedPageBreak/>
        <w:t xml:space="preserve">Figure </w:t>
      </w:r>
      <w:r>
        <w:fldChar w:fldCharType="begin"/>
      </w:r>
      <w:r>
        <w:instrText xml:space="preserve"> SEQ Figure \* ARABIC </w:instrText>
      </w:r>
      <w:r>
        <w:fldChar w:fldCharType="separate"/>
      </w:r>
      <w:r w:rsidR="00CC1847">
        <w:rPr>
          <w:noProof/>
        </w:rPr>
        <w:t>1</w:t>
      </w:r>
      <w:r>
        <w:fldChar w:fldCharType="end"/>
      </w:r>
      <w:bookmarkEnd w:id="6"/>
      <w:r>
        <w:tab/>
        <w:t>MBS claims for comparator metabolic imaging, 2010/11 to 2023/24</w:t>
      </w:r>
    </w:p>
    <w:p w14:paraId="113958C4" w14:textId="01871C6E" w:rsidR="00A80BB5" w:rsidRPr="00706582" w:rsidRDefault="003E1312" w:rsidP="00706582">
      <w:r>
        <w:rPr>
          <w:noProof/>
        </w:rPr>
        <w:drawing>
          <wp:inline distT="0" distB="0" distL="0" distR="0" wp14:anchorId="311DFBDB" wp14:editId="03B93CF3">
            <wp:extent cx="4615108" cy="2972182"/>
            <wp:effectExtent l="0" t="0" r="0" b="0"/>
            <wp:docPr id="3" name="Picture 3" descr="MBS claims for comparator metabolic imaging, 2010/11 to 202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BS claims for comparator metabolic imaging, 2010/11 to 2023/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15108" cy="2972182"/>
                    </a:xfrm>
                    <a:prstGeom prst="rect">
                      <a:avLst/>
                    </a:prstGeom>
                    <a:noFill/>
                  </pic:spPr>
                </pic:pic>
              </a:graphicData>
            </a:graphic>
          </wp:inline>
        </w:drawing>
      </w:r>
    </w:p>
    <w:p w14:paraId="16F96BC1" w14:textId="1E2E866A" w:rsidR="003E1312" w:rsidRDefault="00804E76" w:rsidP="003E1312">
      <w:pPr>
        <w:pStyle w:val="Tablenotes"/>
      </w:pPr>
      <w:r>
        <w:t xml:space="preserve">Data are from </w:t>
      </w:r>
      <w:hyperlink r:id="rId11" w:tooltip="Link to Medicare Item Reports website" w:history="1">
        <w:r w:rsidRPr="00804E76">
          <w:rPr>
            <w:rStyle w:val="Hyperlink"/>
            <w:rFonts w:ascii="Arial Narrow" w:hAnsi="Arial Narrow" w:cs="Arial"/>
          </w:rPr>
          <w:t>Medicare Item Reports</w:t>
        </w:r>
      </w:hyperlink>
      <w:r>
        <w:t>. MBS item numbers included for Ga</w:t>
      </w:r>
      <w:r w:rsidR="003E7679">
        <w:t>-67</w:t>
      </w:r>
      <w:r>
        <w:t xml:space="preserve"> s</w:t>
      </w:r>
      <w:r w:rsidR="00A65F73">
        <w:t>cintigraphy</w:t>
      </w:r>
      <w:r>
        <w:t xml:space="preserve"> are </w:t>
      </w:r>
      <w:r w:rsidR="00A74393">
        <w:t>61429, 61430, 61450, 61442, 61453</w:t>
      </w:r>
      <w:r w:rsidR="00413C9B">
        <w:t>. Items included for WBC/bone scan</w:t>
      </w:r>
      <w:r w:rsidR="00A65F73">
        <w:t>ning</w:t>
      </w:r>
      <w:r w:rsidR="00413C9B">
        <w:t xml:space="preserve"> are 61433, 61457, 61454, 61434. PET </w:t>
      </w:r>
      <w:r w:rsidR="004A16B8">
        <w:t xml:space="preserve">MBS </w:t>
      </w:r>
      <w:r w:rsidR="00413C9B">
        <w:t xml:space="preserve">item </w:t>
      </w:r>
      <w:r w:rsidR="00AE127A">
        <w:t xml:space="preserve">61527 was introduced in August 2022 and is </w:t>
      </w:r>
      <w:r w:rsidR="00E72779">
        <w:t xml:space="preserve">for </w:t>
      </w:r>
      <w:r w:rsidR="00AE127A">
        <w:t>whole body PET where Ga</w:t>
      </w:r>
      <w:r w:rsidR="00AF7876">
        <w:t>-67</w:t>
      </w:r>
      <w:r w:rsidR="00AE127A">
        <w:t xml:space="preserve"> is unavailable. </w:t>
      </w:r>
    </w:p>
    <w:p w14:paraId="3F136AC1" w14:textId="054BFEE5" w:rsidR="00DB7B0D" w:rsidRDefault="00DB7B0D" w:rsidP="00DB7B0D">
      <w:r>
        <w:t xml:space="preserve">An alternative approach might be to </w:t>
      </w:r>
      <w:r w:rsidR="00883D50">
        <w:t>use</w:t>
      </w:r>
      <w:r>
        <w:t xml:space="preserve"> the </w:t>
      </w:r>
      <w:r w:rsidR="00C41978">
        <w:t xml:space="preserve">total number of oncology PET </w:t>
      </w:r>
      <w:r w:rsidR="00883D50">
        <w:t xml:space="preserve">claims and identify the market share that infection would </w:t>
      </w:r>
      <w:r w:rsidR="00525EE4">
        <w:t xml:space="preserve">assume. In </w:t>
      </w:r>
      <w:r w:rsidR="00893275">
        <w:t>England</w:t>
      </w:r>
      <w:r w:rsidR="00525EE4">
        <w:t>,</w:t>
      </w:r>
      <w:r w:rsidR="00E01640">
        <w:t xml:space="preserve"> </w:t>
      </w:r>
      <w:r w:rsidR="005E1430">
        <w:t>non-oncology indications</w:t>
      </w:r>
      <w:r w:rsidR="00112EE9">
        <w:t xml:space="preserve"> – which are broader than the requested indications </w:t>
      </w:r>
      <w:r w:rsidR="00A038F5">
        <w:t>- are</w:t>
      </w:r>
      <w:r w:rsidR="005E1430">
        <w:t xml:space="preserve"> allow</w:t>
      </w:r>
      <w:r w:rsidR="00F8130B">
        <w:t>ed</w:t>
      </w:r>
      <w:r w:rsidR="005E1430">
        <w:t xml:space="preserve"> up to a threshold </w:t>
      </w:r>
      <w:r w:rsidR="00F8130B">
        <w:t>equal to 10% of oncology activity</w:t>
      </w:r>
      <w:r w:rsidR="000E4610">
        <w:rPr>
          <w:rStyle w:val="FootnoteReference"/>
        </w:rPr>
        <w:footnoteReference w:id="5"/>
      </w:r>
      <w:r w:rsidR="00017C77">
        <w:t xml:space="preserve"> suggesting </w:t>
      </w:r>
      <w:r w:rsidR="00B05311">
        <w:t>an upper limit to any estimates</w:t>
      </w:r>
      <w:r w:rsidR="00525EE4">
        <w:t xml:space="preserve"> </w:t>
      </w:r>
    </w:p>
    <w:p w14:paraId="3D4562AC" w14:textId="407B5130" w:rsidR="00263FEB" w:rsidRDefault="0012466D" w:rsidP="00263FEB">
      <w:pPr>
        <w:pStyle w:val="Heading4"/>
      </w:pPr>
      <w:r>
        <w:t xml:space="preserve">PICO Set 2: </w:t>
      </w:r>
      <w:r w:rsidR="00D4633E">
        <w:t>p</w:t>
      </w:r>
      <w:r w:rsidR="00640F8F">
        <w:t>ersistent or recurrent fever</w:t>
      </w:r>
    </w:p>
    <w:p w14:paraId="6B1AEE83" w14:textId="0E6B1A6C" w:rsidR="00E520EE" w:rsidRPr="00E520EE" w:rsidRDefault="00E520EE" w:rsidP="002D78F8">
      <w:r>
        <w:t>There are two subgroups to be considered for PICO Set 2</w:t>
      </w:r>
      <w:r w:rsidR="000B60EA">
        <w:t xml:space="preserve">: </w:t>
      </w:r>
      <w:r w:rsidR="00A1386C" w:rsidRPr="00A1386C">
        <w:t>fever/pyrexia of unknown origin (FUO/PUO)</w:t>
      </w:r>
      <w:r w:rsidR="00A1386C">
        <w:t xml:space="preserve"> and </w:t>
      </w:r>
      <w:r w:rsidR="00F134E0">
        <w:t>neutropenic FUO</w:t>
      </w:r>
      <w:r w:rsidR="000B60EA">
        <w:t xml:space="preserve">. Neutropenic </w:t>
      </w:r>
      <w:r w:rsidR="00AF584A">
        <w:t xml:space="preserve">fever </w:t>
      </w:r>
      <w:r w:rsidR="002D78F8">
        <w:t>is</w:t>
      </w:r>
      <w:r w:rsidR="00855889">
        <w:t xml:space="preserve"> clinically </w:t>
      </w:r>
      <w:r w:rsidR="006D2216">
        <w:t xml:space="preserve">distinct as it occurs in </w:t>
      </w:r>
      <w:r w:rsidR="00FC7116">
        <w:t xml:space="preserve">patients who are already </w:t>
      </w:r>
      <w:r w:rsidR="00837A64">
        <w:t xml:space="preserve">immunologically </w:t>
      </w:r>
      <w:r w:rsidR="00FC7116">
        <w:t>compromised and require urgent treatment</w:t>
      </w:r>
      <w:r w:rsidR="00875431">
        <w:t>.</w:t>
      </w:r>
      <w:r w:rsidR="00FC7116">
        <w:t xml:space="preserve"> </w:t>
      </w:r>
      <w:r w:rsidR="00875431">
        <w:t>F</w:t>
      </w:r>
      <w:r w:rsidR="00FC7116">
        <w:t>or this reason, the place of FDG</w:t>
      </w:r>
      <w:r w:rsidR="00AA4F21">
        <w:t xml:space="preserve"> </w:t>
      </w:r>
      <w:r w:rsidR="00FC7116">
        <w:t>PET/CT in the diagnostic pathway differs</w:t>
      </w:r>
      <w:r w:rsidR="00A6407B">
        <w:t xml:space="preserve"> for </w:t>
      </w:r>
      <w:r w:rsidR="006A27F9">
        <w:t xml:space="preserve">the neutropenic fever </w:t>
      </w:r>
      <w:r w:rsidR="00A6407B">
        <w:t>subpopulation,</w:t>
      </w:r>
      <w:r w:rsidR="00C571B5">
        <w:t xml:space="preserve"> with fewer prior test</w:t>
      </w:r>
      <w:r w:rsidR="00A6407B">
        <w:t>s</w:t>
      </w:r>
      <w:r w:rsidR="00C571B5">
        <w:t xml:space="preserve"> required before the proposed intervention (</w:t>
      </w:r>
      <w:r w:rsidR="00C571B5">
        <w:fldChar w:fldCharType="begin"/>
      </w:r>
      <w:r w:rsidR="00C571B5">
        <w:instrText xml:space="preserve"> REF _Ref234160372 \h </w:instrText>
      </w:r>
      <w:r w:rsidR="00C571B5">
        <w:fldChar w:fldCharType="separate"/>
      </w:r>
      <w:r w:rsidR="006F7F63">
        <w:t xml:space="preserve">Table </w:t>
      </w:r>
      <w:r w:rsidR="006F7F63">
        <w:rPr>
          <w:noProof/>
        </w:rPr>
        <w:t>4</w:t>
      </w:r>
      <w:r w:rsidR="00C571B5">
        <w:fldChar w:fldCharType="end"/>
      </w:r>
      <w:r w:rsidR="00C571B5">
        <w:t>)</w:t>
      </w:r>
      <w:r w:rsidR="00FC7116">
        <w:t>.</w:t>
      </w:r>
      <w:r w:rsidR="00C12C71">
        <w:t xml:space="preserve"> The population in PICO Set 2 may also overlap with th</w:t>
      </w:r>
      <w:r w:rsidR="007566B9">
        <w:t>at</w:t>
      </w:r>
      <w:r w:rsidR="00C12C71">
        <w:t xml:space="preserve"> of PICO Set 1 with the identification of</w:t>
      </w:r>
      <w:r w:rsidR="00D770C8">
        <w:t xml:space="preserve"> potential</w:t>
      </w:r>
      <w:r w:rsidR="006B143B">
        <w:t xml:space="preserve"> sites of infection </w:t>
      </w:r>
      <w:r w:rsidR="00D770C8">
        <w:t>moving the patient from FUO to one of the suspected diagnoses described in PICO Set 1</w:t>
      </w:r>
      <w:r w:rsidR="005C4197">
        <w:t xml:space="preserve">. </w:t>
      </w:r>
    </w:p>
    <w:p w14:paraId="4DB77FE4" w14:textId="4F3BE4AD" w:rsidR="00390C35" w:rsidRDefault="00390C35" w:rsidP="009A4895">
      <w:pPr>
        <w:pStyle w:val="Caption"/>
      </w:pPr>
      <w:bookmarkStart w:id="7" w:name="_Ref234160372"/>
      <w:r>
        <w:lastRenderedPageBreak/>
        <w:t xml:space="preserve">Table </w:t>
      </w:r>
      <w:r>
        <w:fldChar w:fldCharType="begin"/>
      </w:r>
      <w:r>
        <w:instrText xml:space="preserve"> SEQ Table \* ARABIC </w:instrText>
      </w:r>
      <w:r>
        <w:fldChar w:fldCharType="separate"/>
      </w:r>
      <w:r w:rsidR="00A56032">
        <w:rPr>
          <w:noProof/>
        </w:rPr>
        <w:t>4</w:t>
      </w:r>
      <w:r>
        <w:fldChar w:fldCharType="end"/>
      </w:r>
      <w:bookmarkEnd w:id="7"/>
      <w:r>
        <w:tab/>
      </w:r>
      <w:r w:rsidR="009A4895">
        <w:t>Summary of prior tests and comparator tests for each sub-group of PICO Set 2</w:t>
      </w:r>
    </w:p>
    <w:tbl>
      <w:tblPr>
        <w:tblStyle w:val="TableGrid"/>
        <w:tblW w:w="5000" w:type="pct"/>
        <w:tblInd w:w="0" w:type="dxa"/>
        <w:tblLook w:val="04A0" w:firstRow="1" w:lastRow="0" w:firstColumn="1" w:lastColumn="0" w:noHBand="0" w:noVBand="1"/>
        <w:tblCaption w:val="Summary of prior tests and comparator tests for each sub-group of PICO Set 2"/>
        <w:tblDescription w:val="This table summarises the prior tests and comparator tests for PICO set 2."/>
      </w:tblPr>
      <w:tblGrid>
        <w:gridCol w:w="3190"/>
        <w:gridCol w:w="3190"/>
        <w:gridCol w:w="3191"/>
      </w:tblGrid>
      <w:tr w:rsidR="005863D4" w14:paraId="56C4A2BD" w14:textId="77777777" w:rsidTr="00DE4DB0">
        <w:trPr>
          <w:cantSplit/>
          <w:tblHeader/>
        </w:trPr>
        <w:tc>
          <w:tcPr>
            <w:tcW w:w="1666" w:type="pct"/>
          </w:tcPr>
          <w:p w14:paraId="29EEE114" w14:textId="77777777" w:rsidR="005863D4" w:rsidRDefault="005863D4" w:rsidP="00574894">
            <w:pPr>
              <w:pStyle w:val="TableHeading"/>
            </w:pPr>
          </w:p>
        </w:tc>
        <w:tc>
          <w:tcPr>
            <w:tcW w:w="1666" w:type="pct"/>
            <w:tcBorders>
              <w:bottom w:val="single" w:sz="4" w:space="0" w:color="auto"/>
            </w:tcBorders>
          </w:tcPr>
          <w:p w14:paraId="4C3D8CBD" w14:textId="55AC213E" w:rsidR="005863D4" w:rsidRDefault="001B05AC" w:rsidP="00574894">
            <w:pPr>
              <w:pStyle w:val="TableHeading"/>
            </w:pPr>
            <w:r>
              <w:t>Fever of unknown origin</w:t>
            </w:r>
          </w:p>
        </w:tc>
        <w:tc>
          <w:tcPr>
            <w:tcW w:w="1667" w:type="pct"/>
            <w:tcBorders>
              <w:bottom w:val="single" w:sz="4" w:space="0" w:color="auto"/>
            </w:tcBorders>
          </w:tcPr>
          <w:p w14:paraId="704D0BA5" w14:textId="547179B1" w:rsidR="005863D4" w:rsidRDefault="001B05AC" w:rsidP="00574894">
            <w:pPr>
              <w:pStyle w:val="TableHeading"/>
            </w:pPr>
            <w:r>
              <w:t>Recurrent high-risk neutropenic fever</w:t>
            </w:r>
          </w:p>
        </w:tc>
      </w:tr>
      <w:tr w:rsidR="005863D4" w14:paraId="0EB1CD94" w14:textId="77777777" w:rsidTr="00DE4DB0">
        <w:trPr>
          <w:cantSplit/>
          <w:tblHeader/>
        </w:trPr>
        <w:tc>
          <w:tcPr>
            <w:tcW w:w="1666" w:type="pct"/>
            <w:tcBorders>
              <w:right w:val="nil"/>
            </w:tcBorders>
          </w:tcPr>
          <w:p w14:paraId="50A418C8" w14:textId="77777777" w:rsidR="005863D4" w:rsidRDefault="005863D4" w:rsidP="00574894">
            <w:pPr>
              <w:pStyle w:val="TableHeading"/>
            </w:pPr>
            <w:r>
              <w:t>Prior tests</w:t>
            </w:r>
          </w:p>
        </w:tc>
        <w:tc>
          <w:tcPr>
            <w:tcW w:w="1666" w:type="pct"/>
            <w:tcBorders>
              <w:left w:val="nil"/>
              <w:right w:val="nil"/>
            </w:tcBorders>
          </w:tcPr>
          <w:p w14:paraId="42578E9E" w14:textId="77777777" w:rsidR="005863D4" w:rsidRDefault="005863D4" w:rsidP="00574894">
            <w:pPr>
              <w:pStyle w:val="TableHeading"/>
            </w:pPr>
          </w:p>
        </w:tc>
        <w:tc>
          <w:tcPr>
            <w:tcW w:w="1667" w:type="pct"/>
            <w:tcBorders>
              <w:left w:val="nil"/>
              <w:right w:val="single" w:sz="4" w:space="0" w:color="auto"/>
            </w:tcBorders>
          </w:tcPr>
          <w:p w14:paraId="340714B2" w14:textId="77777777" w:rsidR="005863D4" w:rsidRDefault="005863D4" w:rsidP="00574894">
            <w:pPr>
              <w:pStyle w:val="TableHeading"/>
            </w:pPr>
          </w:p>
        </w:tc>
      </w:tr>
      <w:tr w:rsidR="001B05AC" w14:paraId="60570724" w14:textId="77777777" w:rsidTr="00DE4DB0">
        <w:trPr>
          <w:cantSplit/>
          <w:tblHeader/>
        </w:trPr>
        <w:tc>
          <w:tcPr>
            <w:tcW w:w="1666" w:type="pct"/>
          </w:tcPr>
          <w:p w14:paraId="5628633B" w14:textId="77777777" w:rsidR="001B05AC" w:rsidRDefault="001B05AC" w:rsidP="001B05AC">
            <w:pPr>
              <w:pStyle w:val="TableText0"/>
            </w:pPr>
            <w:r w:rsidRPr="00E00E42">
              <w:t xml:space="preserve">Laboratory tests </w:t>
            </w:r>
          </w:p>
        </w:tc>
        <w:tc>
          <w:tcPr>
            <w:tcW w:w="1666" w:type="pct"/>
          </w:tcPr>
          <w:p w14:paraId="6673BEAD" w14:textId="6F94E168" w:rsidR="001B05AC" w:rsidRDefault="001B05AC" w:rsidP="001B05AC">
            <w:pPr>
              <w:pStyle w:val="TableText0"/>
            </w:pPr>
            <w:r w:rsidRPr="007451CC">
              <w:t>FBC, ESR, CRP, EUC, LFT, ANA, rheumatoid factor, TFT, HIV serology</w:t>
            </w:r>
          </w:p>
        </w:tc>
        <w:tc>
          <w:tcPr>
            <w:tcW w:w="1667" w:type="pct"/>
          </w:tcPr>
          <w:p w14:paraId="0166D070" w14:textId="785FBC15" w:rsidR="001B05AC" w:rsidRDefault="00147ACA" w:rsidP="001B05AC">
            <w:pPr>
              <w:pStyle w:val="TableText0"/>
            </w:pPr>
            <w:r>
              <w:t>EU</w:t>
            </w:r>
            <w:r w:rsidR="001B05AC" w:rsidRPr="007451CC">
              <w:t>C, LFT, CRP</w:t>
            </w:r>
          </w:p>
        </w:tc>
      </w:tr>
      <w:tr w:rsidR="005863D4" w14:paraId="03870E8A" w14:textId="77777777" w:rsidTr="00DE4DB0">
        <w:trPr>
          <w:cantSplit/>
          <w:tblHeader/>
        </w:trPr>
        <w:tc>
          <w:tcPr>
            <w:tcW w:w="1666" w:type="pct"/>
          </w:tcPr>
          <w:p w14:paraId="05B9E199" w14:textId="77777777" w:rsidR="005863D4" w:rsidRDefault="005863D4" w:rsidP="00574894">
            <w:pPr>
              <w:pStyle w:val="TableText0"/>
            </w:pPr>
            <w:r w:rsidRPr="00E00E42">
              <w:t xml:space="preserve">X-ray </w:t>
            </w:r>
          </w:p>
        </w:tc>
        <w:tc>
          <w:tcPr>
            <w:tcW w:w="1666" w:type="pct"/>
          </w:tcPr>
          <w:p w14:paraId="471070A4" w14:textId="510FD20D" w:rsidR="005863D4" w:rsidRDefault="001B05AC" w:rsidP="00574894">
            <w:pPr>
              <w:pStyle w:val="TableText0"/>
            </w:pPr>
            <w:r>
              <w:t>Chest</w:t>
            </w:r>
          </w:p>
        </w:tc>
        <w:tc>
          <w:tcPr>
            <w:tcW w:w="1667" w:type="pct"/>
          </w:tcPr>
          <w:p w14:paraId="5CBE170C" w14:textId="7DC539B6" w:rsidR="005863D4" w:rsidRDefault="001B05AC" w:rsidP="00574894">
            <w:pPr>
              <w:pStyle w:val="TableText0"/>
            </w:pPr>
            <w:r>
              <w:t>Chest</w:t>
            </w:r>
          </w:p>
        </w:tc>
      </w:tr>
      <w:tr w:rsidR="005863D4" w14:paraId="76C06DE2" w14:textId="77777777" w:rsidTr="00DE4DB0">
        <w:trPr>
          <w:cantSplit/>
          <w:tblHeader/>
        </w:trPr>
        <w:tc>
          <w:tcPr>
            <w:tcW w:w="1666" w:type="pct"/>
          </w:tcPr>
          <w:p w14:paraId="6F457C2D" w14:textId="77777777" w:rsidR="005863D4" w:rsidRDefault="005863D4" w:rsidP="00574894">
            <w:pPr>
              <w:pStyle w:val="TableText0"/>
            </w:pPr>
            <w:r w:rsidRPr="00E00E42">
              <w:t xml:space="preserve">Culture </w:t>
            </w:r>
          </w:p>
        </w:tc>
        <w:tc>
          <w:tcPr>
            <w:tcW w:w="1666" w:type="pct"/>
          </w:tcPr>
          <w:p w14:paraId="57B9C574" w14:textId="22AAEAB6" w:rsidR="005863D4" w:rsidRDefault="001B05AC" w:rsidP="00574894">
            <w:pPr>
              <w:pStyle w:val="TableText0"/>
            </w:pPr>
            <w:r>
              <w:rPr>
                <w:rFonts w:ascii="Wingdings" w:eastAsia="Wingdings" w:hAnsi="Wingdings" w:cs="Wingdings"/>
              </w:rPr>
              <w:t>ü</w:t>
            </w:r>
          </w:p>
        </w:tc>
        <w:tc>
          <w:tcPr>
            <w:tcW w:w="1667" w:type="pct"/>
          </w:tcPr>
          <w:p w14:paraId="0CD8DDC4" w14:textId="77777777" w:rsidR="005863D4" w:rsidRDefault="005863D4" w:rsidP="00574894">
            <w:pPr>
              <w:pStyle w:val="TableText0"/>
            </w:pPr>
            <w:r>
              <w:rPr>
                <w:rFonts w:ascii="Wingdings" w:eastAsia="Wingdings" w:hAnsi="Wingdings" w:cs="Wingdings"/>
              </w:rPr>
              <w:t>ü</w:t>
            </w:r>
          </w:p>
        </w:tc>
      </w:tr>
      <w:tr w:rsidR="005863D4" w14:paraId="4DF5024F" w14:textId="77777777" w:rsidTr="00DE4DB0">
        <w:trPr>
          <w:cantSplit/>
          <w:tblHeader/>
        </w:trPr>
        <w:tc>
          <w:tcPr>
            <w:tcW w:w="1666" w:type="pct"/>
          </w:tcPr>
          <w:p w14:paraId="4F447475" w14:textId="77777777" w:rsidR="005863D4" w:rsidRDefault="005863D4" w:rsidP="00574894">
            <w:pPr>
              <w:pStyle w:val="TableText0"/>
            </w:pPr>
            <w:r w:rsidRPr="00E00E42">
              <w:t xml:space="preserve">Biopsy and/or histology </w:t>
            </w:r>
          </w:p>
        </w:tc>
        <w:tc>
          <w:tcPr>
            <w:tcW w:w="1666" w:type="pct"/>
            <w:shd w:val="clear" w:color="auto" w:fill="D9D9D9" w:themeFill="background1" w:themeFillShade="D9"/>
          </w:tcPr>
          <w:p w14:paraId="10348200" w14:textId="77777777" w:rsidR="005863D4" w:rsidRDefault="005863D4" w:rsidP="00574894">
            <w:pPr>
              <w:pStyle w:val="TableText0"/>
            </w:pPr>
          </w:p>
        </w:tc>
        <w:tc>
          <w:tcPr>
            <w:tcW w:w="1667" w:type="pct"/>
            <w:shd w:val="clear" w:color="auto" w:fill="D9D9D9" w:themeFill="background1" w:themeFillShade="D9"/>
          </w:tcPr>
          <w:p w14:paraId="496BF724" w14:textId="3F5EB0D0" w:rsidR="005863D4" w:rsidRDefault="005863D4" w:rsidP="00574894">
            <w:pPr>
              <w:pStyle w:val="TableText0"/>
            </w:pPr>
          </w:p>
        </w:tc>
      </w:tr>
      <w:tr w:rsidR="005863D4" w14:paraId="77201DE1" w14:textId="77777777" w:rsidTr="00DE4DB0">
        <w:trPr>
          <w:cantSplit/>
          <w:tblHeader/>
        </w:trPr>
        <w:tc>
          <w:tcPr>
            <w:tcW w:w="1666" w:type="pct"/>
          </w:tcPr>
          <w:p w14:paraId="4B666F8F" w14:textId="77777777" w:rsidR="005863D4" w:rsidRDefault="005863D4" w:rsidP="00574894">
            <w:pPr>
              <w:pStyle w:val="TableText0"/>
            </w:pPr>
            <w:r w:rsidRPr="00E00E42">
              <w:t xml:space="preserve">Urine MCS </w:t>
            </w:r>
          </w:p>
        </w:tc>
        <w:tc>
          <w:tcPr>
            <w:tcW w:w="1666" w:type="pct"/>
          </w:tcPr>
          <w:p w14:paraId="33D29924" w14:textId="51858945" w:rsidR="005863D4" w:rsidRDefault="001B05AC" w:rsidP="00574894">
            <w:pPr>
              <w:pStyle w:val="TableText0"/>
            </w:pPr>
            <w:r>
              <w:rPr>
                <w:rFonts w:ascii="Wingdings" w:eastAsia="Wingdings" w:hAnsi="Wingdings" w:cs="Wingdings"/>
              </w:rPr>
              <w:t>ü</w:t>
            </w:r>
          </w:p>
        </w:tc>
        <w:tc>
          <w:tcPr>
            <w:tcW w:w="1667" w:type="pct"/>
            <w:shd w:val="clear" w:color="auto" w:fill="D9D9D9" w:themeFill="background1" w:themeFillShade="D9"/>
          </w:tcPr>
          <w:p w14:paraId="3149CBE7" w14:textId="77777777" w:rsidR="005863D4" w:rsidRDefault="005863D4" w:rsidP="00574894">
            <w:pPr>
              <w:pStyle w:val="TableText0"/>
            </w:pPr>
          </w:p>
        </w:tc>
      </w:tr>
      <w:tr w:rsidR="005863D4" w14:paraId="04DE965C" w14:textId="77777777" w:rsidTr="00DE4DB0">
        <w:trPr>
          <w:cantSplit/>
          <w:tblHeader/>
        </w:trPr>
        <w:tc>
          <w:tcPr>
            <w:tcW w:w="1666" w:type="pct"/>
          </w:tcPr>
          <w:p w14:paraId="26272D16" w14:textId="77777777" w:rsidR="005863D4" w:rsidRDefault="005863D4" w:rsidP="00574894">
            <w:pPr>
              <w:pStyle w:val="TableText0"/>
            </w:pPr>
            <w:r w:rsidRPr="00E00E42">
              <w:t xml:space="preserve">ECG </w:t>
            </w:r>
          </w:p>
        </w:tc>
        <w:tc>
          <w:tcPr>
            <w:tcW w:w="1666" w:type="pct"/>
          </w:tcPr>
          <w:p w14:paraId="47F971A5" w14:textId="2D527AA3" w:rsidR="005863D4" w:rsidRDefault="00E06452" w:rsidP="00574894">
            <w:pPr>
              <w:pStyle w:val="TableText0"/>
            </w:pPr>
            <w:r>
              <w:t>If heart murmur present</w:t>
            </w:r>
          </w:p>
        </w:tc>
        <w:tc>
          <w:tcPr>
            <w:tcW w:w="1667" w:type="pct"/>
            <w:shd w:val="clear" w:color="auto" w:fill="D9D9D9" w:themeFill="background1" w:themeFillShade="D9"/>
          </w:tcPr>
          <w:p w14:paraId="478999D0" w14:textId="77777777" w:rsidR="005863D4" w:rsidRDefault="005863D4" w:rsidP="00574894">
            <w:pPr>
              <w:pStyle w:val="TableText0"/>
            </w:pPr>
          </w:p>
        </w:tc>
      </w:tr>
      <w:tr w:rsidR="005863D4" w14:paraId="6CA26002" w14:textId="77777777" w:rsidTr="00DE4DB0">
        <w:trPr>
          <w:cantSplit/>
          <w:tblHeader/>
        </w:trPr>
        <w:tc>
          <w:tcPr>
            <w:tcW w:w="1666" w:type="pct"/>
          </w:tcPr>
          <w:p w14:paraId="6A3AFA12" w14:textId="77777777" w:rsidR="005863D4" w:rsidRDefault="005863D4" w:rsidP="00574894">
            <w:pPr>
              <w:pStyle w:val="TableText0"/>
            </w:pPr>
            <w:r w:rsidRPr="00E00E42">
              <w:t xml:space="preserve">Targeted imaging </w:t>
            </w:r>
          </w:p>
        </w:tc>
        <w:tc>
          <w:tcPr>
            <w:tcW w:w="1666" w:type="pct"/>
            <w:shd w:val="clear" w:color="auto" w:fill="D9D9D9" w:themeFill="background1" w:themeFillShade="D9"/>
          </w:tcPr>
          <w:p w14:paraId="73987CA5" w14:textId="3D3B624C" w:rsidR="005863D4" w:rsidRDefault="005863D4" w:rsidP="00574894">
            <w:pPr>
              <w:pStyle w:val="TableText0"/>
            </w:pPr>
          </w:p>
        </w:tc>
        <w:tc>
          <w:tcPr>
            <w:tcW w:w="1667" w:type="pct"/>
          </w:tcPr>
          <w:p w14:paraId="3BF2CCAA" w14:textId="240DB73D" w:rsidR="005863D4" w:rsidRDefault="00E06452" w:rsidP="00574894">
            <w:pPr>
              <w:pStyle w:val="TableText0"/>
            </w:pPr>
            <w:r>
              <w:t>MRI</w:t>
            </w:r>
            <w:r w:rsidR="005863D4" w:rsidRPr="00154D08">
              <w:t xml:space="preserve"> and/or </w:t>
            </w:r>
            <w:r>
              <w:t>CT</w:t>
            </w:r>
            <w:r w:rsidR="005863D4" w:rsidRPr="00154D08">
              <w:t xml:space="preserve"> </w:t>
            </w:r>
          </w:p>
        </w:tc>
      </w:tr>
      <w:tr w:rsidR="005863D4" w14:paraId="3D55D0A4" w14:textId="77777777" w:rsidTr="00DE4DB0">
        <w:trPr>
          <w:cantSplit/>
          <w:tblHeader/>
        </w:trPr>
        <w:tc>
          <w:tcPr>
            <w:tcW w:w="1666" w:type="pct"/>
          </w:tcPr>
          <w:p w14:paraId="2C4A2D28" w14:textId="77777777" w:rsidR="005863D4" w:rsidRDefault="005863D4" w:rsidP="00574894">
            <w:pPr>
              <w:pStyle w:val="TableText0"/>
            </w:pPr>
            <w:r w:rsidRPr="00E00E42">
              <w:t xml:space="preserve">Nuclear medicine </w:t>
            </w:r>
          </w:p>
        </w:tc>
        <w:tc>
          <w:tcPr>
            <w:tcW w:w="1666" w:type="pct"/>
            <w:tcBorders>
              <w:bottom w:val="single" w:sz="4" w:space="0" w:color="auto"/>
            </w:tcBorders>
            <w:shd w:val="clear" w:color="auto" w:fill="D9D9D9" w:themeFill="background1" w:themeFillShade="D9"/>
          </w:tcPr>
          <w:p w14:paraId="34B317E5" w14:textId="132C599A" w:rsidR="005863D4" w:rsidRDefault="005863D4" w:rsidP="00574894">
            <w:pPr>
              <w:pStyle w:val="TableText0"/>
            </w:pPr>
          </w:p>
        </w:tc>
        <w:tc>
          <w:tcPr>
            <w:tcW w:w="1667" w:type="pct"/>
            <w:tcBorders>
              <w:bottom w:val="single" w:sz="4" w:space="0" w:color="auto"/>
            </w:tcBorders>
            <w:shd w:val="clear" w:color="auto" w:fill="D9D9D9" w:themeFill="background1" w:themeFillShade="D9"/>
          </w:tcPr>
          <w:p w14:paraId="55A88727" w14:textId="6A8F368B" w:rsidR="005863D4" w:rsidRDefault="005863D4" w:rsidP="00574894">
            <w:pPr>
              <w:pStyle w:val="TableText0"/>
            </w:pPr>
          </w:p>
        </w:tc>
      </w:tr>
      <w:tr w:rsidR="005863D4" w14:paraId="4C3BD602" w14:textId="77777777" w:rsidTr="00DE4DB0">
        <w:trPr>
          <w:cantSplit/>
          <w:tblHeader/>
        </w:trPr>
        <w:tc>
          <w:tcPr>
            <w:tcW w:w="1666" w:type="pct"/>
            <w:tcBorders>
              <w:right w:val="nil"/>
            </w:tcBorders>
          </w:tcPr>
          <w:p w14:paraId="2031E584" w14:textId="77777777" w:rsidR="005863D4" w:rsidRDefault="005863D4" w:rsidP="00574894">
            <w:pPr>
              <w:pStyle w:val="TableHeading"/>
            </w:pPr>
            <w:r>
              <w:t>Comparator tests</w:t>
            </w:r>
          </w:p>
        </w:tc>
        <w:tc>
          <w:tcPr>
            <w:tcW w:w="1666" w:type="pct"/>
            <w:tcBorders>
              <w:left w:val="nil"/>
              <w:right w:val="nil"/>
            </w:tcBorders>
          </w:tcPr>
          <w:p w14:paraId="353ECCCD" w14:textId="77777777" w:rsidR="005863D4" w:rsidRDefault="005863D4" w:rsidP="00574894">
            <w:pPr>
              <w:pStyle w:val="TableHeading"/>
            </w:pPr>
          </w:p>
        </w:tc>
        <w:tc>
          <w:tcPr>
            <w:tcW w:w="1667" w:type="pct"/>
            <w:tcBorders>
              <w:left w:val="nil"/>
              <w:right w:val="single" w:sz="4" w:space="0" w:color="auto"/>
            </w:tcBorders>
          </w:tcPr>
          <w:p w14:paraId="454391C4" w14:textId="77777777" w:rsidR="005863D4" w:rsidRDefault="005863D4" w:rsidP="00574894">
            <w:pPr>
              <w:pStyle w:val="TableHeading"/>
            </w:pPr>
          </w:p>
        </w:tc>
      </w:tr>
      <w:tr w:rsidR="005863D4" w14:paraId="3B3581B7" w14:textId="77777777" w:rsidTr="00DE4DB0">
        <w:trPr>
          <w:cantSplit/>
          <w:tblHeader/>
        </w:trPr>
        <w:tc>
          <w:tcPr>
            <w:tcW w:w="1666" w:type="pct"/>
            <w:vAlign w:val="bottom"/>
          </w:tcPr>
          <w:p w14:paraId="2E8DE158" w14:textId="3261CF72" w:rsidR="005863D4" w:rsidRDefault="005863D4" w:rsidP="00574894">
            <w:pPr>
              <w:pStyle w:val="TableText0"/>
            </w:pPr>
            <w:r w:rsidRPr="00427C30">
              <w:t>MRI</w:t>
            </w:r>
          </w:p>
        </w:tc>
        <w:tc>
          <w:tcPr>
            <w:tcW w:w="1666" w:type="pct"/>
            <w:shd w:val="clear" w:color="auto" w:fill="D9D9D9" w:themeFill="background1" w:themeFillShade="D9"/>
          </w:tcPr>
          <w:p w14:paraId="140AC5E9" w14:textId="78D1310B" w:rsidR="005863D4" w:rsidRDefault="005863D4" w:rsidP="00574894">
            <w:pPr>
              <w:pStyle w:val="TableText0"/>
            </w:pPr>
          </w:p>
        </w:tc>
        <w:tc>
          <w:tcPr>
            <w:tcW w:w="1667" w:type="pct"/>
            <w:shd w:val="clear" w:color="auto" w:fill="D9D9D9" w:themeFill="background1" w:themeFillShade="D9"/>
          </w:tcPr>
          <w:p w14:paraId="7C57466B" w14:textId="27761A06" w:rsidR="005863D4" w:rsidRDefault="005863D4" w:rsidP="00574894">
            <w:pPr>
              <w:pStyle w:val="TableText0"/>
            </w:pPr>
          </w:p>
        </w:tc>
      </w:tr>
      <w:tr w:rsidR="005863D4" w14:paraId="5E46F0CF" w14:textId="77777777" w:rsidTr="00DE4DB0">
        <w:trPr>
          <w:cantSplit/>
          <w:tblHeader/>
        </w:trPr>
        <w:tc>
          <w:tcPr>
            <w:tcW w:w="1666" w:type="pct"/>
            <w:vAlign w:val="bottom"/>
          </w:tcPr>
          <w:p w14:paraId="0EBE134A" w14:textId="58B93B65" w:rsidR="005863D4" w:rsidRDefault="005863D4" w:rsidP="00574894">
            <w:pPr>
              <w:pStyle w:val="TableText0"/>
            </w:pPr>
            <w:r w:rsidRPr="00427C30">
              <w:t>CT</w:t>
            </w:r>
          </w:p>
        </w:tc>
        <w:tc>
          <w:tcPr>
            <w:tcW w:w="1666" w:type="pct"/>
          </w:tcPr>
          <w:p w14:paraId="2CF6AE23" w14:textId="6054D09B" w:rsidR="005863D4" w:rsidRDefault="00E06452" w:rsidP="00574894">
            <w:pPr>
              <w:pStyle w:val="TableText0"/>
            </w:pPr>
            <w:r>
              <w:t>contrast enhance</w:t>
            </w:r>
            <w:r w:rsidR="009A4895">
              <w:t>d</w:t>
            </w:r>
          </w:p>
        </w:tc>
        <w:tc>
          <w:tcPr>
            <w:tcW w:w="1667" w:type="pct"/>
          </w:tcPr>
          <w:p w14:paraId="0E834DA8" w14:textId="0A99A0D7" w:rsidR="005863D4" w:rsidRDefault="00E06452" w:rsidP="00574894">
            <w:pPr>
              <w:pStyle w:val="TableText0"/>
            </w:pPr>
            <w:r>
              <w:t>high resolution</w:t>
            </w:r>
          </w:p>
        </w:tc>
      </w:tr>
      <w:tr w:rsidR="005863D4" w14:paraId="4854D3AA" w14:textId="77777777" w:rsidTr="00DE4DB0">
        <w:trPr>
          <w:cantSplit/>
          <w:tblHeader/>
        </w:trPr>
        <w:tc>
          <w:tcPr>
            <w:tcW w:w="1666" w:type="pct"/>
            <w:vAlign w:val="bottom"/>
          </w:tcPr>
          <w:p w14:paraId="629119AD" w14:textId="63C2DC9A" w:rsidR="005863D4" w:rsidRDefault="005863D4" w:rsidP="00574894">
            <w:pPr>
              <w:pStyle w:val="TableText0"/>
            </w:pPr>
            <w:r w:rsidRPr="00427C30">
              <w:t>Ga</w:t>
            </w:r>
            <w:r w:rsidR="008721D9">
              <w:t>-67</w:t>
            </w:r>
            <w:r w:rsidRPr="00427C30">
              <w:t xml:space="preserve"> scintigraphy</w:t>
            </w:r>
          </w:p>
        </w:tc>
        <w:tc>
          <w:tcPr>
            <w:tcW w:w="1666" w:type="pct"/>
          </w:tcPr>
          <w:p w14:paraId="7392F1F0" w14:textId="77777777" w:rsidR="005863D4" w:rsidRDefault="005863D4" w:rsidP="00574894">
            <w:pPr>
              <w:pStyle w:val="TableText0"/>
            </w:pPr>
            <w:r>
              <w:rPr>
                <w:rFonts w:ascii="Wingdings" w:eastAsia="Wingdings" w:hAnsi="Wingdings" w:cs="Wingdings"/>
              </w:rPr>
              <w:t>ü</w:t>
            </w:r>
          </w:p>
        </w:tc>
        <w:tc>
          <w:tcPr>
            <w:tcW w:w="1667" w:type="pct"/>
            <w:shd w:val="clear" w:color="auto" w:fill="D9D9D9" w:themeFill="background1" w:themeFillShade="D9"/>
          </w:tcPr>
          <w:p w14:paraId="67587A33" w14:textId="3976635E" w:rsidR="005863D4" w:rsidRDefault="005863D4" w:rsidP="00574894">
            <w:pPr>
              <w:pStyle w:val="TableText0"/>
            </w:pPr>
          </w:p>
        </w:tc>
      </w:tr>
      <w:tr w:rsidR="005863D4" w14:paraId="7BD0219E" w14:textId="77777777" w:rsidTr="00DE4DB0">
        <w:trPr>
          <w:cantSplit/>
          <w:tblHeader/>
        </w:trPr>
        <w:tc>
          <w:tcPr>
            <w:tcW w:w="1666" w:type="pct"/>
            <w:vAlign w:val="bottom"/>
          </w:tcPr>
          <w:p w14:paraId="7948F220" w14:textId="03324555" w:rsidR="005863D4" w:rsidRDefault="005863D4" w:rsidP="00574894">
            <w:pPr>
              <w:pStyle w:val="TableText0"/>
            </w:pPr>
            <w:r w:rsidRPr="00427C30">
              <w:t>3-phase bone scan</w:t>
            </w:r>
          </w:p>
        </w:tc>
        <w:tc>
          <w:tcPr>
            <w:tcW w:w="1666" w:type="pct"/>
            <w:shd w:val="clear" w:color="auto" w:fill="D9D9D9" w:themeFill="background1" w:themeFillShade="D9"/>
          </w:tcPr>
          <w:p w14:paraId="7E7DBFDD" w14:textId="53C59D7F" w:rsidR="005863D4" w:rsidRDefault="005863D4" w:rsidP="00574894">
            <w:pPr>
              <w:pStyle w:val="TableText0"/>
            </w:pPr>
          </w:p>
        </w:tc>
        <w:tc>
          <w:tcPr>
            <w:tcW w:w="1667" w:type="pct"/>
            <w:shd w:val="clear" w:color="auto" w:fill="D9D9D9" w:themeFill="background1" w:themeFillShade="D9"/>
          </w:tcPr>
          <w:p w14:paraId="3936866F" w14:textId="0DCEDB74" w:rsidR="005863D4" w:rsidRDefault="005863D4" w:rsidP="00574894">
            <w:pPr>
              <w:pStyle w:val="TableText0"/>
            </w:pPr>
          </w:p>
        </w:tc>
      </w:tr>
      <w:tr w:rsidR="005863D4" w14:paraId="4CE098CB" w14:textId="77777777" w:rsidTr="00DE4DB0">
        <w:trPr>
          <w:cantSplit/>
          <w:tblHeader/>
        </w:trPr>
        <w:tc>
          <w:tcPr>
            <w:tcW w:w="1666" w:type="pct"/>
            <w:vAlign w:val="bottom"/>
          </w:tcPr>
          <w:p w14:paraId="7AA6ADAB" w14:textId="5EF3E008" w:rsidR="005863D4" w:rsidRDefault="005863D4" w:rsidP="00574894">
            <w:pPr>
              <w:pStyle w:val="TableText0"/>
            </w:pPr>
            <w:r w:rsidRPr="00427C30">
              <w:t>WBC scan</w:t>
            </w:r>
          </w:p>
        </w:tc>
        <w:tc>
          <w:tcPr>
            <w:tcW w:w="1666" w:type="pct"/>
          </w:tcPr>
          <w:p w14:paraId="67618250" w14:textId="77777777" w:rsidR="005863D4" w:rsidRDefault="005863D4" w:rsidP="00574894">
            <w:pPr>
              <w:pStyle w:val="TableText0"/>
            </w:pPr>
            <w:r>
              <w:rPr>
                <w:rFonts w:ascii="Wingdings" w:eastAsia="Wingdings" w:hAnsi="Wingdings" w:cs="Wingdings"/>
              </w:rPr>
              <w:t>ü</w:t>
            </w:r>
          </w:p>
        </w:tc>
        <w:tc>
          <w:tcPr>
            <w:tcW w:w="1667" w:type="pct"/>
          </w:tcPr>
          <w:p w14:paraId="22D12762" w14:textId="77777777" w:rsidR="005863D4" w:rsidRDefault="005863D4" w:rsidP="00574894">
            <w:pPr>
              <w:pStyle w:val="TableText0"/>
            </w:pPr>
            <w:r>
              <w:rPr>
                <w:rFonts w:ascii="Wingdings" w:eastAsia="Wingdings" w:hAnsi="Wingdings" w:cs="Wingdings"/>
              </w:rPr>
              <w:t>ü</w:t>
            </w:r>
          </w:p>
        </w:tc>
      </w:tr>
    </w:tbl>
    <w:p w14:paraId="3648B6BE" w14:textId="023B7EDA" w:rsidR="005863D4" w:rsidRPr="005863D4" w:rsidRDefault="001244F5" w:rsidP="001244F5">
      <w:pPr>
        <w:pStyle w:val="Tablenotes"/>
      </w:pPr>
      <w:r w:rsidRPr="001244F5">
        <w:t xml:space="preserve">ANA = antinuclear </w:t>
      </w:r>
      <w:r w:rsidR="003B543F">
        <w:t>a</w:t>
      </w:r>
      <w:r w:rsidRPr="001244F5">
        <w:t>ntibody;</w:t>
      </w:r>
      <w:r w:rsidR="00852088">
        <w:t xml:space="preserve"> CRP = c-reactive protein; CT = computed tomography; ECG = electrocardiogram; ESR = erythrocyte sedimentation rate; EUC = electrolytes, urea, creatinine; FBC = full blood count; </w:t>
      </w:r>
      <w:r w:rsidR="008721D9">
        <w:t>Ga-67 = gallium-67 citrate;</w:t>
      </w:r>
      <w:r w:rsidR="008721D9" w:rsidRPr="001244F5">
        <w:t xml:space="preserve"> </w:t>
      </w:r>
      <w:r w:rsidR="002A264F" w:rsidRPr="002A264F">
        <w:t>HIV = human immunodeficiency virus;</w:t>
      </w:r>
      <w:r w:rsidR="002A264F">
        <w:t xml:space="preserve"> </w:t>
      </w:r>
      <w:r w:rsidR="00852088">
        <w:t xml:space="preserve">LFT = liver function test; MCS = microscopy, culture, and sensitivity; MRI = magnetic resonance imaging; </w:t>
      </w:r>
      <w:r w:rsidR="00333D52" w:rsidRPr="00333D52">
        <w:t>TFT = thyroid function test;</w:t>
      </w:r>
      <w:r w:rsidR="00333D52" w:rsidRPr="00333D52" w:rsidDel="00147ACA">
        <w:t xml:space="preserve"> </w:t>
      </w:r>
      <w:r w:rsidR="00852088">
        <w:t>WBC = white blood cell.</w:t>
      </w:r>
    </w:p>
    <w:p w14:paraId="7AF18D03" w14:textId="3588571B" w:rsidR="00E938F1" w:rsidRDefault="00E938F1" w:rsidP="00E938F1">
      <w:pPr>
        <w:pStyle w:val="Heading5"/>
      </w:pPr>
      <w:r>
        <w:t>Persistent fever of unknown origin</w:t>
      </w:r>
    </w:p>
    <w:p w14:paraId="2E2BF064" w14:textId="5E99A5AB" w:rsidR="009053CB" w:rsidRDefault="009053CB" w:rsidP="008721D9">
      <w:pPr>
        <w:spacing w:after="0"/>
      </w:pPr>
      <w:r>
        <w:t>FUO</w:t>
      </w:r>
      <w:r w:rsidR="005332E6">
        <w:t>/PUO</w:t>
      </w:r>
      <w:r>
        <w:t xml:space="preserve"> is defined as: </w:t>
      </w:r>
    </w:p>
    <w:p w14:paraId="66B1FD79" w14:textId="013EA114" w:rsidR="009053CB" w:rsidRDefault="000F753A" w:rsidP="00CA0DA3">
      <w:pPr>
        <w:pStyle w:val="ListParagraph"/>
        <w:numPr>
          <w:ilvl w:val="0"/>
          <w:numId w:val="15"/>
        </w:numPr>
      </w:pPr>
      <w:r>
        <w:t>d</w:t>
      </w:r>
      <w:r w:rsidR="009053CB">
        <w:t xml:space="preserve">ocumented fever ≥38.3 °C on at least two occasions; and  </w:t>
      </w:r>
    </w:p>
    <w:p w14:paraId="7AB7C02D" w14:textId="039B0759" w:rsidR="000622F7" w:rsidRDefault="000F753A" w:rsidP="00CA0DA3">
      <w:pPr>
        <w:pStyle w:val="ListParagraph"/>
        <w:numPr>
          <w:ilvl w:val="0"/>
          <w:numId w:val="15"/>
        </w:numPr>
      </w:pPr>
      <w:r>
        <w:t>d</w:t>
      </w:r>
      <w:r w:rsidR="009053CB">
        <w:t>uration of fever ≥3 weeks</w:t>
      </w:r>
    </w:p>
    <w:p w14:paraId="400D6150" w14:textId="7A23FA34" w:rsidR="00D46C8A" w:rsidRDefault="000F753A" w:rsidP="00CA0DA3">
      <w:pPr>
        <w:pStyle w:val="ListParagraph"/>
        <w:numPr>
          <w:ilvl w:val="0"/>
          <w:numId w:val="15"/>
        </w:numPr>
      </w:pPr>
      <w:r>
        <w:t>f</w:t>
      </w:r>
      <w:r w:rsidR="00D46C8A">
        <w:t>ailure to reach a diagnosis</w:t>
      </w:r>
      <w:r w:rsidR="00883DE6">
        <w:t xml:space="preserve"> despite investigations</w:t>
      </w:r>
      <w:r w:rsidR="004A569F">
        <w:rPr>
          <w:rStyle w:val="FootnoteReference"/>
        </w:rPr>
        <w:footnoteReference w:id="6"/>
      </w:r>
      <w:r w:rsidR="00D46C8A">
        <w:t>.</w:t>
      </w:r>
    </w:p>
    <w:p w14:paraId="7C113551" w14:textId="77777777" w:rsidR="00E61FF9" w:rsidRDefault="0006137D" w:rsidP="009505D0">
      <w:r>
        <w:t xml:space="preserve">FUO is, by definition, </w:t>
      </w:r>
      <w:r w:rsidR="00277B96">
        <w:t xml:space="preserve">a collection of multiple, </w:t>
      </w:r>
      <w:r w:rsidR="008E5EDF">
        <w:t>disparate</w:t>
      </w:r>
      <w:r w:rsidR="00277B96">
        <w:t xml:space="preserve"> diseases </w:t>
      </w:r>
      <w:r w:rsidR="00DC1EBF">
        <w:t xml:space="preserve">that are diagnostically challenging. </w:t>
      </w:r>
      <w:r w:rsidR="0047310E">
        <w:t xml:space="preserve">Nevertheless, they can be grouped into </w:t>
      </w:r>
      <w:r w:rsidR="00F922A0">
        <w:t>categories: infection, neoplasm, inflammation,</w:t>
      </w:r>
      <w:r w:rsidR="000052DD">
        <w:t xml:space="preserve"> miscellaneous and undiagnosed. The proportion of each varies according to time period, geography and patient </w:t>
      </w:r>
      <w:r w:rsidR="00F710ED">
        <w:t>cohort</w:t>
      </w:r>
      <w:r w:rsidR="00490CC8">
        <w:t xml:space="preserve">. </w:t>
      </w:r>
    </w:p>
    <w:p w14:paraId="5A6BB580" w14:textId="753CA4F0" w:rsidR="009505D0" w:rsidRDefault="008D5324" w:rsidP="00397904">
      <w:r>
        <w:t>The diagnosis begins with a th</w:t>
      </w:r>
      <w:r w:rsidR="004D723C">
        <w:t>o</w:t>
      </w:r>
      <w:r>
        <w:t>rough patient history</w:t>
      </w:r>
      <w:r w:rsidR="004A430D">
        <w:t>,</w:t>
      </w:r>
      <w:r>
        <w:t xml:space="preserve"> </w:t>
      </w:r>
      <w:r w:rsidR="00397904">
        <w:t>emphasising travel, occupational, zoonotic and environmental exposures,</w:t>
      </w:r>
      <w:r w:rsidR="00277B96">
        <w:t xml:space="preserve"> </w:t>
      </w:r>
      <w:r w:rsidR="000D03A8">
        <w:t xml:space="preserve">followed by a systematic physical examination. Baseline investigations include a </w:t>
      </w:r>
      <w:r w:rsidR="009F7177">
        <w:t xml:space="preserve">broad </w:t>
      </w:r>
      <w:r w:rsidR="000D03A8">
        <w:t>range of laboratory markers</w:t>
      </w:r>
      <w:r w:rsidR="00F3293E">
        <w:t>, cultures</w:t>
      </w:r>
      <w:r w:rsidR="00511DAC">
        <w:t xml:space="preserve"> (urine, blood and sputum in adults)</w:t>
      </w:r>
      <w:r w:rsidR="00F3293E">
        <w:t xml:space="preserve"> and a chest </w:t>
      </w:r>
      <w:r w:rsidR="008A5DE3">
        <w:t>X</w:t>
      </w:r>
      <w:r w:rsidR="00F3293E">
        <w:t>-ray</w:t>
      </w:r>
      <w:r w:rsidR="00F3293E">
        <w:rPr>
          <w:rStyle w:val="FootnoteReference"/>
        </w:rPr>
        <w:footnoteReference w:id="7"/>
      </w:r>
      <w:r w:rsidR="00F3293E">
        <w:t>.</w:t>
      </w:r>
      <w:r w:rsidR="007B04F7">
        <w:t xml:space="preserve"> An echocardiogram should be undertaken if there is a risk of endocarditis. </w:t>
      </w:r>
    </w:p>
    <w:p w14:paraId="263A237E" w14:textId="0470DFE5" w:rsidR="00150030" w:rsidRPr="000622F7" w:rsidRDefault="00150030" w:rsidP="00397904">
      <w:r>
        <w:t>Where these tests fail to diagnose</w:t>
      </w:r>
      <w:r w:rsidR="26747C77">
        <w:t xml:space="preserve"> a condition</w:t>
      </w:r>
      <w:r w:rsidR="005E00FC">
        <w:t>, patients may</w:t>
      </w:r>
      <w:r w:rsidR="00BB09F7">
        <w:t xml:space="preserve"> </w:t>
      </w:r>
      <w:r w:rsidR="005E00FC">
        <w:t xml:space="preserve">be referred </w:t>
      </w:r>
      <w:r w:rsidR="003A74A8">
        <w:t xml:space="preserve">to hospital-based services </w:t>
      </w:r>
      <w:r w:rsidR="00103020">
        <w:t>and undergo further evaluation</w:t>
      </w:r>
      <w:r w:rsidR="00182ADB">
        <w:t>. This may include CT or nuclear imaging, expanded autoimmune and microbiological testing</w:t>
      </w:r>
      <w:r w:rsidR="00EB1BB7">
        <w:t xml:space="preserve">, and tissue or bone marrow biopsy if indicated. </w:t>
      </w:r>
      <w:r w:rsidR="00E36D5F">
        <w:t>FDG</w:t>
      </w:r>
      <w:r w:rsidR="00AA4F21">
        <w:t xml:space="preserve"> </w:t>
      </w:r>
      <w:r w:rsidR="00E36D5F">
        <w:t>PET</w:t>
      </w:r>
      <w:r w:rsidR="00714275">
        <w:t>/CT</w:t>
      </w:r>
      <w:r w:rsidR="00E36D5F">
        <w:t xml:space="preserve"> is proposed to be used within this second-line setting</w:t>
      </w:r>
      <w:r w:rsidR="00A562C4">
        <w:t xml:space="preserve"> because it is</w:t>
      </w:r>
      <w:r w:rsidR="000F753A">
        <w:t xml:space="preserve"> a</w:t>
      </w:r>
      <w:r w:rsidR="00A562C4">
        <w:t xml:space="preserve"> whole-body </w:t>
      </w:r>
      <w:r w:rsidR="000F753A">
        <w:t xml:space="preserve">test </w:t>
      </w:r>
      <w:r w:rsidR="00A562C4">
        <w:t xml:space="preserve">and </w:t>
      </w:r>
      <w:r w:rsidR="00B00414">
        <w:t xml:space="preserve">can detect both neoplastic and infectious disease. </w:t>
      </w:r>
      <w:r w:rsidR="0063402F">
        <w:t>T</w:t>
      </w:r>
      <w:r w:rsidR="00D141A2">
        <w:t>umour markers</w:t>
      </w:r>
      <w:r w:rsidR="0063402F">
        <w:t xml:space="preserve"> are unreliable </w:t>
      </w:r>
      <w:r w:rsidR="00DA59AE">
        <w:t xml:space="preserve">as a </w:t>
      </w:r>
      <w:r w:rsidR="00437C03">
        <w:t>screening test</w:t>
      </w:r>
      <w:r w:rsidR="00DA59AE">
        <w:t xml:space="preserve"> for occult malignancy</w:t>
      </w:r>
      <w:r w:rsidR="00B0352A">
        <w:rPr>
          <w:rStyle w:val="FootnoteReference"/>
        </w:rPr>
        <w:footnoteReference w:id="8"/>
      </w:r>
      <w:r w:rsidR="00DA59AE">
        <w:t xml:space="preserve">, and therefore </w:t>
      </w:r>
      <w:r w:rsidR="00DA59AE">
        <w:lastRenderedPageBreak/>
        <w:t>the use of FDG</w:t>
      </w:r>
      <w:r w:rsidR="00461CE5">
        <w:t> </w:t>
      </w:r>
      <w:r w:rsidR="00DA59AE">
        <w:t>PET</w:t>
      </w:r>
      <w:r w:rsidR="00D8695B">
        <w:t>/CT</w:t>
      </w:r>
      <w:r w:rsidR="00DA59AE">
        <w:t xml:space="preserve"> enables identification </w:t>
      </w:r>
      <w:r w:rsidR="00D614DF">
        <w:t xml:space="preserve">of </w:t>
      </w:r>
      <w:r w:rsidR="007B1857">
        <w:t>lesions and areas of interest for further evaluation via biopsy</w:t>
      </w:r>
      <w:r w:rsidR="00362E52">
        <w:t xml:space="preserve"> or fine needle aspiration</w:t>
      </w:r>
      <w:r w:rsidR="007B1857">
        <w:t xml:space="preserve">. </w:t>
      </w:r>
    </w:p>
    <w:p w14:paraId="06EA0E3A" w14:textId="5FC9F6B9" w:rsidR="00E938F1" w:rsidRDefault="00E938F1" w:rsidP="00E938F1">
      <w:pPr>
        <w:pStyle w:val="Heading5"/>
      </w:pPr>
      <w:r>
        <w:t>Persistent or recurrent neutropenic fever</w:t>
      </w:r>
    </w:p>
    <w:p w14:paraId="4D4B2296" w14:textId="75322CA3" w:rsidR="00362E52" w:rsidRDefault="00B376D6" w:rsidP="00FF2F8D">
      <w:r>
        <w:t>Neutropenia is defined as a</w:t>
      </w:r>
      <w:r w:rsidR="007A419C">
        <w:t>n absolute neutrophil count (ANC) of &lt;0.5 x10</w:t>
      </w:r>
      <w:r w:rsidR="007A419C" w:rsidRPr="007A419C">
        <w:rPr>
          <w:vertAlign w:val="superscript"/>
        </w:rPr>
        <w:t>9</w:t>
      </w:r>
      <w:r w:rsidR="007A419C">
        <w:t xml:space="preserve">/L with profound neutropenia </w:t>
      </w:r>
      <w:r w:rsidR="00C9397F">
        <w:t>sometimes described as an ANC &lt;</w:t>
      </w:r>
      <w:r w:rsidR="007125C4">
        <w:t xml:space="preserve"> 0.1 x10</w:t>
      </w:r>
      <w:r w:rsidR="007125C4" w:rsidRPr="007A419C">
        <w:rPr>
          <w:vertAlign w:val="superscript"/>
        </w:rPr>
        <w:t>9</w:t>
      </w:r>
      <w:r w:rsidR="007125C4">
        <w:t>/L</w:t>
      </w:r>
      <w:r w:rsidR="00460478">
        <w:t xml:space="preserve"> </w:t>
      </w:r>
      <w:r w:rsidR="00460478" w:rsidRPr="00460478">
        <w:rPr>
          <w:rFonts w:cs="Calibri"/>
        </w:rPr>
        <w:t>(Freifeld et al. 2011)</w:t>
      </w:r>
      <w:r w:rsidR="00A71F5D">
        <w:t>. It</w:t>
      </w:r>
      <w:r w:rsidR="000140BB">
        <w:t xml:space="preserve"> is a common side effect of intensive chemotherapy</w:t>
      </w:r>
      <w:r w:rsidR="00600287">
        <w:t xml:space="preserve"> and</w:t>
      </w:r>
      <w:r w:rsidR="00394E86">
        <w:t>/or</w:t>
      </w:r>
      <w:r w:rsidR="00600287">
        <w:t xml:space="preserve"> bone marrow transplant</w:t>
      </w:r>
      <w:r w:rsidR="00B00D02">
        <w:t xml:space="preserve">. </w:t>
      </w:r>
      <w:r w:rsidR="00600287">
        <w:t>Pat</w:t>
      </w:r>
      <w:r w:rsidR="006812DC">
        <w:t xml:space="preserve">ients with persistent </w:t>
      </w:r>
      <w:r w:rsidR="008003ED">
        <w:t xml:space="preserve">(3 or more days) </w:t>
      </w:r>
      <w:r w:rsidR="006812DC">
        <w:t>or recurrent neutropenic fever</w:t>
      </w:r>
      <w:r w:rsidR="00B00D02">
        <w:t xml:space="preserve"> will usually be inpatients in a </w:t>
      </w:r>
      <w:r w:rsidR="0085601D">
        <w:t>haematology ward of a tertiary centre already under close observation</w:t>
      </w:r>
      <w:r w:rsidR="00E87D1D">
        <w:t>, for example, outpatients receiving chemotherapy</w:t>
      </w:r>
      <w:r w:rsidR="0085601D">
        <w:t xml:space="preserve">. </w:t>
      </w:r>
      <w:r w:rsidR="00AF310A">
        <w:t>Fever in these patients is a</w:t>
      </w:r>
      <w:r w:rsidR="00D0130C">
        <w:t xml:space="preserve"> clinical</w:t>
      </w:r>
      <w:r w:rsidR="00AF310A">
        <w:t xml:space="preserve"> emergency </w:t>
      </w:r>
      <w:r w:rsidR="006B1307">
        <w:t>but not always related to infection</w:t>
      </w:r>
      <w:r w:rsidR="002A7D72">
        <w:t>;</w:t>
      </w:r>
      <w:r w:rsidR="006B1307">
        <w:t xml:space="preserve"> however standard of care is treatment with broad-spectrum antibiotics</w:t>
      </w:r>
      <w:r w:rsidR="00D0130C">
        <w:t>.</w:t>
      </w:r>
      <w:r w:rsidR="004F7E3B">
        <w:t xml:space="preserve"> There is often a lack o</w:t>
      </w:r>
      <w:r w:rsidR="0068275F">
        <w:t>f focal signs or symptoms to localise infection</w:t>
      </w:r>
      <w:r w:rsidR="00736827">
        <w:t xml:space="preserve"> and, being heavily immunocompromised, there is a greater risk of multiple infective and non-infective causes of fever simultaneously. </w:t>
      </w:r>
    </w:p>
    <w:p w14:paraId="0F294934" w14:textId="677A3CA8" w:rsidR="00FB0A24" w:rsidRDefault="00F87914" w:rsidP="00FF2F8D">
      <w:r>
        <w:t>The initial investigation</w:t>
      </w:r>
      <w:r w:rsidR="009C7959">
        <w:t>s</w:t>
      </w:r>
      <w:r>
        <w:t xml:space="preserve"> </w:t>
      </w:r>
      <w:r w:rsidR="009C7959">
        <w:t>are</w:t>
      </w:r>
      <w:r>
        <w:t xml:space="preserve"> blood cultures, including from any central line if applicable</w:t>
      </w:r>
      <w:r w:rsidR="009D4A1C">
        <w:t>, inflammatory markers (</w:t>
      </w:r>
      <w:r w:rsidR="00B529FC">
        <w:t>EU</w:t>
      </w:r>
      <w:r w:rsidR="009D4A1C">
        <w:t xml:space="preserve">C, LFT, CRP) and chest </w:t>
      </w:r>
      <w:r w:rsidR="008A5DE3">
        <w:t>X</w:t>
      </w:r>
      <w:r w:rsidR="009D4A1C">
        <w:t xml:space="preserve">-ray as </w:t>
      </w:r>
      <w:r w:rsidR="00BF29D7">
        <w:t xml:space="preserve">lungs are common sites of infection. </w:t>
      </w:r>
      <w:r w:rsidR="00FD04F3">
        <w:t>This is usually followed by targeted imaging based on clinical suspicion using MRI or CT</w:t>
      </w:r>
      <w:r w:rsidR="00B529FC">
        <w:t>;</w:t>
      </w:r>
      <w:r w:rsidR="0022002F">
        <w:t xml:space="preserve"> for example, MRI of the brain if CNS infection is suspected or CT of sinuses if there is a concern for fungal sinusitis. </w:t>
      </w:r>
    </w:p>
    <w:p w14:paraId="542CDD37" w14:textId="3D632925" w:rsidR="00F87914" w:rsidRDefault="0022002F" w:rsidP="00FF2F8D">
      <w:r>
        <w:t>FDG PET</w:t>
      </w:r>
      <w:r w:rsidR="00714275">
        <w:t>/CT</w:t>
      </w:r>
      <w:r>
        <w:t xml:space="preserve"> is proposed to be used where </w:t>
      </w:r>
      <w:r w:rsidR="00FB0A24">
        <w:t xml:space="preserve">the cause of fever remains unclear following these investigations </w:t>
      </w:r>
      <w:r w:rsidR="00590C58">
        <w:t>(pathogen and/or sites of infection), or where there is significant concern for additional undetected infections</w:t>
      </w:r>
      <w:r w:rsidR="009D24C2">
        <w:t xml:space="preserve">, or sites of infection. </w:t>
      </w:r>
      <w:r w:rsidR="00BC2B72">
        <w:t>The use of FDG PET</w:t>
      </w:r>
      <w:r w:rsidR="00714275">
        <w:t>/CT</w:t>
      </w:r>
      <w:r w:rsidR="00BC2B72">
        <w:t xml:space="preserve"> in this setting is proposed to guide treatment</w:t>
      </w:r>
      <w:r w:rsidR="00D22328">
        <w:t>;</w:t>
      </w:r>
      <w:r w:rsidR="00BC2B72">
        <w:t xml:space="preserve"> in particular</w:t>
      </w:r>
      <w:r w:rsidR="00D22328">
        <w:t>,</w:t>
      </w:r>
      <w:r w:rsidR="00723F99">
        <w:t xml:space="preserve"> it has been proposed as a mechanism of safely </w:t>
      </w:r>
      <w:r w:rsidR="000B68FD">
        <w:t>de-escalating or ceasing antibiotic treatment</w:t>
      </w:r>
      <w:r w:rsidR="00F42FC8">
        <w:t xml:space="preserve"> as </w:t>
      </w:r>
      <w:r w:rsidR="00D22328">
        <w:t xml:space="preserve">management </w:t>
      </w:r>
      <w:r w:rsidR="00F42FC8">
        <w:t>is switched from an empiric to targeted approach</w:t>
      </w:r>
      <w:r w:rsidR="00CE3208">
        <w:t xml:space="preserve"> </w:t>
      </w:r>
      <w:r w:rsidR="00CE3208" w:rsidRPr="00CE3208">
        <w:rPr>
          <w:rFonts w:cs="Calibri"/>
        </w:rPr>
        <w:t>(Douglas et al. 2022)</w:t>
      </w:r>
      <w:r w:rsidR="00F42FC8">
        <w:t xml:space="preserve">. </w:t>
      </w:r>
    </w:p>
    <w:p w14:paraId="1B95F9CD" w14:textId="0CCE92EB" w:rsidR="00E96F3F" w:rsidRDefault="00E96F3F" w:rsidP="00E96F3F">
      <w:pPr>
        <w:pStyle w:val="Heading5"/>
      </w:pPr>
      <w:r>
        <w:t>Estimated population size</w:t>
      </w:r>
    </w:p>
    <w:p w14:paraId="16EFD323" w14:textId="24959456" w:rsidR="00E96F3F" w:rsidRDefault="00337532" w:rsidP="00E96F3F">
      <w:r>
        <w:t xml:space="preserve">The application did not estimate a population </w:t>
      </w:r>
      <w:r w:rsidR="00B6694C">
        <w:t>size for PICO Set 2</w:t>
      </w:r>
      <w:r w:rsidR="00764167">
        <w:t xml:space="preserve">, noting </w:t>
      </w:r>
      <w:r w:rsidR="00955F3A">
        <w:t>potential</w:t>
      </w:r>
      <w:r w:rsidR="00B6694C">
        <w:t xml:space="preserve"> overlap with </w:t>
      </w:r>
      <w:r w:rsidR="00F060A4">
        <w:t>the in PICO Set 1</w:t>
      </w:r>
      <w:r w:rsidR="00955F3A">
        <w:t xml:space="preserve"> population</w:t>
      </w:r>
      <w:r w:rsidR="00021053">
        <w:t xml:space="preserve"> because patients may subsequently meet a PICO Set 1 indication once further investigation identifies a suspected infection site</w:t>
      </w:r>
      <w:r w:rsidR="00F060A4">
        <w:t>.</w:t>
      </w:r>
      <w:r w:rsidR="00955F3A">
        <w:t xml:space="preserve"> However, the extent of this overlap was not quantified.</w:t>
      </w:r>
      <w:r w:rsidR="00F060A4">
        <w:t xml:space="preserve"> </w:t>
      </w:r>
    </w:p>
    <w:p w14:paraId="1FA7BE61" w14:textId="7C618E23" w:rsidR="00687CCF" w:rsidRDefault="00687CCF" w:rsidP="55B5D1E8">
      <w:pPr>
        <w:autoSpaceDE w:val="0"/>
        <w:autoSpaceDN w:val="0"/>
        <w:adjustRightInd w:val="0"/>
        <w:spacing w:line="23" w:lineRule="atLeast"/>
        <w:rPr>
          <w:rFonts w:asciiTheme="minorHAnsi" w:hAnsiTheme="minorHAnsi" w:cstheme="minorBidi"/>
          <w:i/>
          <w:iCs/>
        </w:rPr>
      </w:pPr>
      <w:r w:rsidRPr="55B5D1E8">
        <w:rPr>
          <w:rFonts w:asciiTheme="minorHAnsi" w:hAnsiTheme="minorHAnsi" w:cstheme="minorBidi"/>
          <w:i/>
          <w:iCs/>
        </w:rPr>
        <w:t>PASC noted that the subpopulations specified in PICO Set 1 were heterogenous and that it was unclear which subpopulations  would be most likely to benefit from FDG PET/CT through changes in clinical management leading to better health outcomes</w:t>
      </w:r>
      <w:r w:rsidR="40133AA0" w:rsidRPr="55B5D1E8">
        <w:rPr>
          <w:rFonts w:asciiTheme="minorHAnsi" w:hAnsiTheme="minorHAnsi" w:cstheme="minorBidi"/>
          <w:i/>
          <w:iCs/>
        </w:rPr>
        <w:t xml:space="preserve"> and are supported by sufficient evidence to support evaluation.</w:t>
      </w:r>
    </w:p>
    <w:p w14:paraId="013F5261" w14:textId="6A726CFE" w:rsidR="00687CCF" w:rsidRDefault="00687CCF" w:rsidP="55B5D1E8">
      <w:pPr>
        <w:autoSpaceDE w:val="0"/>
        <w:autoSpaceDN w:val="0"/>
        <w:adjustRightInd w:val="0"/>
        <w:spacing w:line="23" w:lineRule="atLeast"/>
        <w:rPr>
          <w:rFonts w:asciiTheme="minorHAnsi" w:hAnsiTheme="minorHAnsi" w:cstheme="minorBidi"/>
          <w:i/>
          <w:iCs/>
        </w:rPr>
      </w:pPr>
      <w:r w:rsidRPr="55B5D1E8">
        <w:rPr>
          <w:rFonts w:asciiTheme="minorHAnsi" w:hAnsiTheme="minorHAnsi" w:cstheme="minorBidi"/>
          <w:i/>
          <w:iCs/>
        </w:rPr>
        <w:t>PASC noted that the proposed population spans a diverse range of clinical presentations and considered that defining the clinical trigger for testing may be more informative than defining eligibility solely by disease subgroup. PASC further noted that while a broader population may be appropriate, FDG PET/CT is intended for a subset of patients at a defined point in the diagnostic pathway and not for all patients with suspected infection. PASC considered that further refinement of the population is required, including consideration of the clinical circumstances or point in the diagnostic pathway where FDG PET/CT adds value</w:t>
      </w:r>
      <w:r w:rsidR="62936B4C" w:rsidRPr="55B5D1E8">
        <w:rPr>
          <w:rFonts w:asciiTheme="minorHAnsi" w:hAnsiTheme="minorHAnsi" w:cstheme="minorBidi"/>
          <w:i/>
          <w:iCs/>
        </w:rPr>
        <w:t>, supported by an appropriate evidence base</w:t>
      </w:r>
    </w:p>
    <w:p w14:paraId="6FE147F8" w14:textId="37D9294F" w:rsidR="00687CCF" w:rsidRPr="004A4D2F" w:rsidRDefault="00687CCF" w:rsidP="00687CCF">
      <w:pPr>
        <w:autoSpaceDE w:val="0"/>
        <w:autoSpaceDN w:val="0"/>
        <w:adjustRightInd w:val="0"/>
        <w:spacing w:line="23" w:lineRule="atLeast"/>
      </w:pPr>
      <w:r w:rsidRPr="55B5D1E8">
        <w:rPr>
          <w:rFonts w:asciiTheme="minorHAnsi" w:hAnsiTheme="minorHAnsi" w:cstheme="minorBidi"/>
          <w:i/>
          <w:iCs/>
        </w:rPr>
        <w:t xml:space="preserve">PASC questioned whether the proposed populations were </w:t>
      </w:r>
      <w:r w:rsidR="73D01193" w:rsidRPr="55B5D1E8">
        <w:rPr>
          <w:rFonts w:asciiTheme="minorHAnsi" w:hAnsiTheme="minorHAnsi" w:cstheme="minorBidi"/>
          <w:i/>
          <w:iCs/>
        </w:rPr>
        <w:t>more likely to be</w:t>
      </w:r>
      <w:r w:rsidR="007D1485">
        <w:rPr>
          <w:rFonts w:asciiTheme="minorHAnsi" w:hAnsiTheme="minorHAnsi" w:cstheme="minorBidi"/>
          <w:i/>
          <w:iCs/>
        </w:rPr>
        <w:t xml:space="preserve"> </w:t>
      </w:r>
      <w:r w:rsidR="00B1E274" w:rsidRPr="55B5D1E8">
        <w:rPr>
          <w:rFonts w:asciiTheme="minorHAnsi" w:hAnsiTheme="minorHAnsi" w:cstheme="minorBidi"/>
          <w:i/>
          <w:iCs/>
        </w:rPr>
        <w:t xml:space="preserve">in the acute </w:t>
      </w:r>
      <w:r w:rsidR="1BB9A9AF" w:rsidRPr="55B5D1E8">
        <w:rPr>
          <w:rFonts w:asciiTheme="minorHAnsi" w:hAnsiTheme="minorHAnsi" w:cstheme="minorBidi"/>
          <w:i/>
          <w:iCs/>
        </w:rPr>
        <w:t xml:space="preserve">or chronic </w:t>
      </w:r>
      <w:r w:rsidR="00B1E274" w:rsidRPr="55B5D1E8">
        <w:rPr>
          <w:rFonts w:asciiTheme="minorHAnsi" w:hAnsiTheme="minorHAnsi" w:cstheme="minorBidi"/>
          <w:i/>
          <w:iCs/>
        </w:rPr>
        <w:t xml:space="preserve">phase of illness </w:t>
      </w:r>
      <w:r w:rsidRPr="55B5D1E8">
        <w:rPr>
          <w:rFonts w:asciiTheme="minorHAnsi" w:hAnsiTheme="minorHAnsi" w:cstheme="minorBidi"/>
          <w:i/>
          <w:iCs/>
        </w:rPr>
        <w:t>. The applicant clarified that many of the indications, particularly those within PICO Set 1, relate to occult infections that are difficult to detect. Patients may be clinically stable at presentation but remain at risk of significant long-term complications if the infection is not identified and appropriately managed. Examples of subpopulations where patients may present with an indolent infection include diabetic foot infections, subacute infective endocarditis, Q fever and EPNTM infections.</w:t>
      </w:r>
      <w:r w:rsidR="36F5926E" w:rsidRPr="55B5D1E8">
        <w:rPr>
          <w:rFonts w:asciiTheme="minorHAnsi" w:hAnsiTheme="minorHAnsi" w:cstheme="minorBidi"/>
          <w:i/>
          <w:iCs/>
        </w:rPr>
        <w:t xml:space="preserve"> </w:t>
      </w:r>
      <w:r w:rsidR="00CA1155">
        <w:rPr>
          <w:rFonts w:asciiTheme="minorHAnsi" w:hAnsiTheme="minorHAnsi" w:cstheme="minorBidi"/>
          <w:i/>
          <w:iCs/>
        </w:rPr>
        <w:t>PASC considered that a</w:t>
      </w:r>
      <w:r w:rsidR="00FE7C9A">
        <w:rPr>
          <w:rFonts w:asciiTheme="minorHAnsi" w:hAnsiTheme="minorHAnsi" w:cstheme="minorBidi"/>
          <w:i/>
          <w:iCs/>
        </w:rPr>
        <w:t>typica</w:t>
      </w:r>
      <w:r w:rsidR="00B31D60">
        <w:rPr>
          <w:rFonts w:asciiTheme="minorHAnsi" w:hAnsiTheme="minorHAnsi" w:cstheme="minorBidi"/>
          <w:i/>
          <w:iCs/>
        </w:rPr>
        <w:t>l</w:t>
      </w:r>
      <w:r w:rsidR="00FE7C9A">
        <w:rPr>
          <w:rFonts w:asciiTheme="minorHAnsi" w:hAnsiTheme="minorHAnsi" w:cstheme="minorBidi"/>
          <w:i/>
          <w:iCs/>
        </w:rPr>
        <w:t xml:space="preserve"> </w:t>
      </w:r>
      <w:r w:rsidR="00FE7C9A">
        <w:rPr>
          <w:rFonts w:asciiTheme="minorHAnsi" w:hAnsiTheme="minorHAnsi" w:cstheme="minorBidi"/>
          <w:i/>
          <w:iCs/>
        </w:rPr>
        <w:lastRenderedPageBreak/>
        <w:t>a</w:t>
      </w:r>
      <w:r w:rsidR="00B31D60">
        <w:rPr>
          <w:rFonts w:asciiTheme="minorHAnsi" w:hAnsiTheme="minorHAnsi" w:cstheme="minorBidi"/>
          <w:i/>
          <w:iCs/>
        </w:rPr>
        <w:t>nd uncommon infectious disease should be removed as a subgroup and noted</w:t>
      </w:r>
      <w:r w:rsidR="36F5926E" w:rsidRPr="55B5D1E8">
        <w:rPr>
          <w:rFonts w:asciiTheme="minorHAnsi" w:hAnsiTheme="minorHAnsi" w:cstheme="minorBidi"/>
          <w:i/>
          <w:iCs/>
        </w:rPr>
        <w:t xml:space="preserve"> that a clinical trigger or a clinical context would be needed to define which patients with chronic infections would require a FDG</w:t>
      </w:r>
      <w:r w:rsidR="2DA2A1CA" w:rsidRPr="55B5D1E8">
        <w:rPr>
          <w:rFonts w:asciiTheme="minorHAnsi" w:hAnsiTheme="minorHAnsi" w:cstheme="minorBidi"/>
          <w:i/>
          <w:iCs/>
        </w:rPr>
        <w:t xml:space="preserve"> PET/CT.</w:t>
      </w:r>
      <w:r w:rsidRPr="55B5D1E8">
        <w:rPr>
          <w:rFonts w:asciiTheme="minorHAnsi" w:hAnsiTheme="minorHAnsi" w:cstheme="minorBidi"/>
          <w:i/>
          <w:iCs/>
        </w:rPr>
        <w:t xml:space="preserve"> </w:t>
      </w:r>
    </w:p>
    <w:p w14:paraId="7547FD1F" w14:textId="62B18BF6" w:rsidR="00687CCF" w:rsidRPr="004A4D2F" w:rsidRDefault="40B590FA">
      <w:pPr>
        <w:spacing w:line="23" w:lineRule="atLeast"/>
        <w:rPr>
          <w:rFonts w:asciiTheme="minorHAnsi" w:hAnsiTheme="minorHAnsi" w:cstheme="minorBidi"/>
          <w:i/>
          <w:iCs/>
        </w:rPr>
      </w:pPr>
      <w:r w:rsidRPr="55B5D1E8">
        <w:rPr>
          <w:rFonts w:asciiTheme="minorHAnsi" w:hAnsiTheme="minorHAnsi" w:cstheme="minorBidi"/>
          <w:i/>
          <w:iCs/>
        </w:rPr>
        <w:t xml:space="preserve">PASC noted that </w:t>
      </w:r>
      <w:r w:rsidR="00687CCF" w:rsidRPr="55B5D1E8">
        <w:rPr>
          <w:rFonts w:asciiTheme="minorHAnsi" w:hAnsiTheme="minorHAnsi" w:cstheme="minorBidi"/>
          <w:i/>
          <w:iCs/>
        </w:rPr>
        <w:t xml:space="preserve">patients with neutropenic fever are largely managed at tertiary centres, where FDG PET/CT may already be available as part of hospital-based care. PASC considered that further </w:t>
      </w:r>
      <w:r w:rsidR="00397D4B" w:rsidRPr="55B5D1E8">
        <w:rPr>
          <w:rFonts w:asciiTheme="minorHAnsi" w:hAnsiTheme="minorHAnsi" w:cstheme="minorBidi"/>
          <w:i/>
          <w:iCs/>
        </w:rPr>
        <w:t>refinement</w:t>
      </w:r>
      <w:r w:rsidR="00366AAC" w:rsidRPr="55B5D1E8">
        <w:rPr>
          <w:rFonts w:asciiTheme="minorHAnsi" w:hAnsiTheme="minorHAnsi" w:cstheme="minorBidi"/>
          <w:i/>
          <w:iCs/>
        </w:rPr>
        <w:t xml:space="preserve"> was needed</w:t>
      </w:r>
      <w:r w:rsidR="00687CCF" w:rsidRPr="55B5D1E8">
        <w:rPr>
          <w:rFonts w:asciiTheme="minorHAnsi" w:hAnsiTheme="minorHAnsi" w:cstheme="minorBidi"/>
          <w:i/>
          <w:iCs/>
        </w:rPr>
        <w:t xml:space="preserve"> of the population most likely to be eligible for the service if MBS listed</w:t>
      </w:r>
      <w:r w:rsidR="00397D4B" w:rsidRPr="55B5D1E8">
        <w:rPr>
          <w:rFonts w:asciiTheme="minorHAnsi" w:hAnsiTheme="minorHAnsi" w:cstheme="minorBidi"/>
          <w:i/>
          <w:iCs/>
        </w:rPr>
        <w:t xml:space="preserve">, including </w:t>
      </w:r>
      <w:r w:rsidR="00340A6C" w:rsidRPr="55B5D1E8">
        <w:rPr>
          <w:rFonts w:asciiTheme="minorHAnsi" w:hAnsiTheme="minorHAnsi" w:cstheme="minorBidi"/>
          <w:i/>
          <w:iCs/>
        </w:rPr>
        <w:t xml:space="preserve">a </w:t>
      </w:r>
      <w:r w:rsidR="00397D4B" w:rsidRPr="55B5D1E8">
        <w:rPr>
          <w:rFonts w:asciiTheme="minorHAnsi" w:hAnsiTheme="minorHAnsi" w:cstheme="minorBidi"/>
          <w:i/>
          <w:iCs/>
        </w:rPr>
        <w:t>clearer definition of the clinical circumstances, thresholds, and diagnostic uncertainty that would support use of FDG PET/CT</w:t>
      </w:r>
      <w:r w:rsidR="0E0907E9" w:rsidRPr="55B5D1E8">
        <w:rPr>
          <w:rFonts w:asciiTheme="minorHAnsi" w:hAnsiTheme="minorHAnsi" w:cstheme="minorBidi"/>
          <w:i/>
          <w:iCs/>
        </w:rPr>
        <w:t xml:space="preserve"> across all populations.</w:t>
      </w:r>
    </w:p>
    <w:p w14:paraId="65C67CB5" w14:textId="3F6AB4FD" w:rsidR="00687CCF" w:rsidRDefault="00687CCF" w:rsidP="55B5D1E8">
      <w:pPr>
        <w:autoSpaceDE w:val="0"/>
        <w:autoSpaceDN w:val="0"/>
        <w:adjustRightInd w:val="0"/>
        <w:spacing w:line="23" w:lineRule="atLeast"/>
        <w:rPr>
          <w:rFonts w:asciiTheme="minorHAnsi" w:hAnsiTheme="minorHAnsi" w:cstheme="minorBidi"/>
          <w:i/>
          <w:iCs/>
        </w:rPr>
      </w:pPr>
      <w:r w:rsidRPr="55B5D1E8">
        <w:rPr>
          <w:rFonts w:asciiTheme="minorHAnsi" w:hAnsiTheme="minorHAnsi" w:cstheme="minorBidi"/>
          <w:i/>
          <w:iCs/>
        </w:rPr>
        <w:t>For PICO Set 1, PASC noted the Australasian Association of Nuclear Medicine Specialists (AANMS) concerns regarding the availability of evidence for many of the subpopulations and considered that infective endocarditis and bacteraemia with suspected metastatic infection appeared to have the strongest supporting evidence base. PASC also considered that the role of FDG PET/CT within the diagnostic pathway remained unclear for several of the proposed subpopulations. When asked to justify the proposed subpopulations, the applicant advised that they were proposed by a group of infectious diseases physicians coordinated by the Australasian Society for Infectious Diseases. The applicant further noted that the application was informed by the European Association of Nuclear Medicine (EANM) guidelines (Hess et al. 2024). The applicant acknowledged that the evidence base is relatively strong for bacteraemia and endocarditis, whereas for other indications, such as osteomyelitis, FDG PET/CT and WBC scans may have similar diagnostic performance and test selection may be influenced by clinical utility and practical considerations.</w:t>
      </w:r>
      <w:r w:rsidR="4077C50D" w:rsidRPr="55B5D1E8">
        <w:rPr>
          <w:rFonts w:asciiTheme="minorHAnsi" w:hAnsiTheme="minorHAnsi" w:cstheme="minorBidi"/>
          <w:i/>
          <w:iCs/>
        </w:rPr>
        <w:t xml:space="preserve"> PASC advised that proposed subpopulations will require an appro</w:t>
      </w:r>
      <w:r w:rsidR="0131CFD5" w:rsidRPr="55B5D1E8">
        <w:rPr>
          <w:rFonts w:asciiTheme="minorHAnsi" w:hAnsiTheme="minorHAnsi" w:cstheme="minorBidi"/>
          <w:i/>
          <w:iCs/>
        </w:rPr>
        <w:t>priate evidence base to support evaluation and where this was not available, inclusion of the particular subpopulation(s) should be reconsidered.</w:t>
      </w:r>
    </w:p>
    <w:p w14:paraId="0AAB0718" w14:textId="77777777" w:rsidR="00687CCF" w:rsidRDefault="00687CCF" w:rsidP="00687CCF">
      <w:pPr>
        <w:autoSpaceDE w:val="0"/>
        <w:autoSpaceDN w:val="0"/>
        <w:adjustRightInd w:val="0"/>
        <w:spacing w:line="23" w:lineRule="atLeast"/>
        <w:rPr>
          <w:rFonts w:asciiTheme="minorHAnsi" w:hAnsiTheme="minorHAnsi" w:cstheme="minorHAnsi"/>
          <w:i/>
          <w:iCs/>
        </w:rPr>
      </w:pPr>
      <w:r>
        <w:rPr>
          <w:rFonts w:asciiTheme="minorHAnsi" w:hAnsiTheme="minorHAnsi" w:cstheme="minorHAnsi"/>
          <w:i/>
          <w:iCs/>
        </w:rPr>
        <w:t xml:space="preserve">For PICO Set 2, the applicant’s clinical expert advised that for FUO, there are few international guideline recommendations. However, a recent international Delphi consensus statement concluded that CT would usually be the first-line investigation, with FDG PET/CT considered subsequently where CT findings are inconclusive or fail to identify a cause. </w:t>
      </w:r>
    </w:p>
    <w:p w14:paraId="5E3BE74D" w14:textId="77777777" w:rsidR="00687CCF" w:rsidRDefault="00687CCF" w:rsidP="00687CCF">
      <w:pPr>
        <w:autoSpaceDE w:val="0"/>
        <w:autoSpaceDN w:val="0"/>
        <w:adjustRightInd w:val="0"/>
        <w:spacing w:line="23" w:lineRule="atLeast"/>
        <w:rPr>
          <w:rFonts w:asciiTheme="minorHAnsi" w:hAnsiTheme="minorHAnsi" w:cstheme="minorHAnsi"/>
          <w:i/>
          <w:iCs/>
        </w:rPr>
      </w:pPr>
      <w:r>
        <w:rPr>
          <w:rFonts w:asciiTheme="minorHAnsi" w:hAnsiTheme="minorHAnsi" w:cstheme="minorHAnsi"/>
          <w:i/>
          <w:iCs/>
        </w:rPr>
        <w:t xml:space="preserve">In neutropenic fever, the applicant’s clinical expert stated that the Australasian practice guidelines have been published and recommend FDG PET/CT, where accessible, or CT in patients with persistent fever (at least 72 hours) with no evidence on culture or basic imaging (e.g. chest x-ray) of infection source (Douglas et al. 2025). In this population, FDG PET/CT is proposed as a replacement test; however, if the patient is critically unwell, a CT scan or no imaging may be preferred. A positive FDG PET/CT is likely to identify a source but targeted investigation, such as a bronchoscopy, may be required to reach a final diagnosis. </w:t>
      </w:r>
    </w:p>
    <w:p w14:paraId="41D66FB5" w14:textId="7E933FA5" w:rsidR="00687CCF" w:rsidRPr="00B21896" w:rsidRDefault="00687CCF" w:rsidP="00B21896">
      <w:pPr>
        <w:autoSpaceDE w:val="0"/>
        <w:autoSpaceDN w:val="0"/>
        <w:adjustRightInd w:val="0"/>
        <w:spacing w:line="23" w:lineRule="atLeast"/>
        <w:rPr>
          <w:rFonts w:asciiTheme="minorHAnsi" w:hAnsiTheme="minorHAnsi" w:cstheme="minorHAnsi"/>
          <w:i/>
          <w:iCs/>
        </w:rPr>
      </w:pPr>
      <w:r>
        <w:rPr>
          <w:rFonts w:asciiTheme="minorHAnsi" w:hAnsiTheme="minorHAnsi" w:cstheme="minorHAnsi"/>
          <w:i/>
          <w:iCs/>
        </w:rPr>
        <w:t>PASC considered that the populations within PICO Set 2 appeared comparatively better established than those proposed in PICO Set 1. PASC noted the potential overlap between the two PICO sets, as patients presenting with fever of unknown origin or neutropenic fever may meet a PICO Set 1 indication once a site or source of infection is identified. Therefore, PASC advised that further population refinement is required.</w:t>
      </w:r>
    </w:p>
    <w:p w14:paraId="0E38780D" w14:textId="77777777" w:rsidR="007A66C8" w:rsidRDefault="007A66C8" w:rsidP="00713728">
      <w:pPr>
        <w:pStyle w:val="Heading3"/>
      </w:pPr>
      <w:r w:rsidRPr="008F1532">
        <w:t>Intervention</w:t>
      </w:r>
    </w:p>
    <w:p w14:paraId="605E95A9" w14:textId="72A4F648" w:rsidR="00DF1D4E" w:rsidRDefault="00E149A5" w:rsidP="002E5AC3">
      <w:r>
        <w:t xml:space="preserve">The intervention is </w:t>
      </w:r>
      <w:r w:rsidR="00E57795" w:rsidRPr="00E57795">
        <w:t>FDG PET/CT</w:t>
      </w:r>
      <w:r>
        <w:t>.</w:t>
      </w:r>
      <w:r w:rsidR="0012214B">
        <w:t xml:space="preserve"> </w:t>
      </w:r>
      <w:r w:rsidR="00FF2D09">
        <w:t>PET is a minimally invasive nuclear imaging technique that uses short-lived radiopharmaceuticals</w:t>
      </w:r>
      <w:r w:rsidR="00C32A66">
        <w:t>,</w:t>
      </w:r>
      <w:r w:rsidR="000904DC">
        <w:t xml:space="preserve"> the most common of which is </w:t>
      </w:r>
      <w:r w:rsidR="00986C7F">
        <w:t xml:space="preserve">F-18 </w:t>
      </w:r>
      <w:r w:rsidR="00DA75AF">
        <w:t>FDG</w:t>
      </w:r>
      <w:r w:rsidR="000405ED">
        <w:t>, a radioactive analogue of glucose</w:t>
      </w:r>
      <w:r w:rsidR="00BE22BA">
        <w:t xml:space="preserve">. </w:t>
      </w:r>
      <w:r w:rsidR="0078208C">
        <w:t>FDG is take</w:t>
      </w:r>
      <w:r w:rsidR="004A6344">
        <w:t>n</w:t>
      </w:r>
      <w:r w:rsidR="0078208C">
        <w:t xml:space="preserve"> up by cell</w:t>
      </w:r>
      <w:r w:rsidR="007C2BA1">
        <w:t>s</w:t>
      </w:r>
      <w:r w:rsidR="0078208C">
        <w:t xml:space="preserve"> via cell membrane glucose transporters</w:t>
      </w:r>
      <w:r w:rsidR="00305393">
        <w:t>,</w:t>
      </w:r>
      <w:r w:rsidR="008003B2">
        <w:t xml:space="preserve"> with areas of higher uptake indicating </w:t>
      </w:r>
      <w:r w:rsidR="007F2B62">
        <w:t xml:space="preserve">higher </w:t>
      </w:r>
      <w:r w:rsidR="00FC5F68">
        <w:t xml:space="preserve">metabolic activity. </w:t>
      </w:r>
      <w:r w:rsidR="00FE4387">
        <w:t>While</w:t>
      </w:r>
      <w:r w:rsidR="00631224">
        <w:t xml:space="preserve"> predominately used for oncological indications, </w:t>
      </w:r>
      <w:r w:rsidR="00A37130">
        <w:t>FDG PET</w:t>
      </w:r>
      <w:r w:rsidR="00631224">
        <w:t xml:space="preserve"> </w:t>
      </w:r>
      <w:r w:rsidR="00FE4387">
        <w:t>is</w:t>
      </w:r>
      <w:r w:rsidR="00631224">
        <w:t xml:space="preserve"> also </w:t>
      </w:r>
      <w:r w:rsidR="00FE4387">
        <w:t xml:space="preserve">well suited to </w:t>
      </w:r>
      <w:r w:rsidR="00631224">
        <w:t>detect</w:t>
      </w:r>
      <w:r w:rsidR="00FE4387">
        <w:t>ing</w:t>
      </w:r>
      <w:r w:rsidR="00631224">
        <w:t xml:space="preserve"> sites of infection and inflammation due to the glycolytic activity of the cells involved in the inflammatory response, particularly neutrophils and the monocyte/macrophage family </w:t>
      </w:r>
      <w:r w:rsidR="00631224" w:rsidRPr="00B23F02">
        <w:rPr>
          <w:rFonts w:cs="Calibri"/>
        </w:rPr>
        <w:t>(Treglia 2019)</w:t>
      </w:r>
      <w:r w:rsidR="00631224">
        <w:t>.</w:t>
      </w:r>
    </w:p>
    <w:p w14:paraId="21B15E5C" w14:textId="79A03846" w:rsidR="007F2B62" w:rsidRDefault="00264ADF" w:rsidP="002E5AC3">
      <w:r>
        <w:lastRenderedPageBreak/>
        <w:t>PET is performed with a low-dose CT scan for attenuation correction and anatomical localisation</w:t>
      </w:r>
      <w:r w:rsidR="006035C7">
        <w:t xml:space="preserve">. </w:t>
      </w:r>
      <w:r w:rsidR="00BA6E69">
        <w:t>When clinically indicated, a diagnostic-quality CT may be performed concurrently, often with oral and/or intravenous contrast</w:t>
      </w:r>
      <w:r w:rsidR="00582208">
        <w:t xml:space="preserve">. </w:t>
      </w:r>
      <w:r w:rsidR="006035C7">
        <w:t xml:space="preserve">Stand-alone PET is </w:t>
      </w:r>
      <w:r w:rsidR="00582208">
        <w:t xml:space="preserve">no longer </w:t>
      </w:r>
      <w:r w:rsidR="005B63A4">
        <w:t>performed,</w:t>
      </w:r>
      <w:r w:rsidR="00582208">
        <w:t xml:space="preserve"> and studies of PET </w:t>
      </w:r>
      <w:r w:rsidR="001E5AD5">
        <w:t xml:space="preserve">imaging performed without an integrated CT scanner </w:t>
      </w:r>
      <w:r w:rsidR="00582208">
        <w:t xml:space="preserve">should not be included in the assessment. </w:t>
      </w:r>
    </w:p>
    <w:p w14:paraId="4E2D6F4B" w14:textId="391D70F4" w:rsidR="0000231B" w:rsidRDefault="0000231B" w:rsidP="002E5AC3">
      <w:r>
        <w:t>FDG PET/CT is widely established in Australia. It</w:t>
      </w:r>
      <w:r w:rsidR="002D5388">
        <w:t xml:space="preserve"> </w:t>
      </w:r>
      <w:r>
        <w:t xml:space="preserve">first </w:t>
      </w:r>
      <w:r w:rsidR="000F1F63">
        <w:t xml:space="preserve">underwent </w:t>
      </w:r>
      <w:r>
        <w:t>HTA assessment in 1990</w:t>
      </w:r>
      <w:r w:rsidR="0050454D">
        <w:rPr>
          <w:rStyle w:val="FootnoteReference"/>
        </w:rPr>
        <w:footnoteReference w:id="9"/>
      </w:r>
      <w:r w:rsidR="00345D7A">
        <w:t xml:space="preserve"> and has since been assessed on </w:t>
      </w:r>
      <w:r w:rsidR="006F17AD">
        <w:t>numerous</w:t>
      </w:r>
      <w:r w:rsidR="00345D7A">
        <w:t xml:space="preserve"> occasions by MSA</w:t>
      </w:r>
      <w:r w:rsidR="001D24E4">
        <w:t xml:space="preserve">C. It is currently publicly funded for </w:t>
      </w:r>
      <w:r w:rsidR="00C41427">
        <w:t>a broad range of</w:t>
      </w:r>
      <w:r w:rsidR="001D24E4">
        <w:t xml:space="preserve"> oncology </w:t>
      </w:r>
      <w:r w:rsidR="003E47AF">
        <w:t>indications</w:t>
      </w:r>
      <w:r w:rsidR="00B2495C">
        <w:t>, for the evaluation of refractory epi</w:t>
      </w:r>
      <w:r w:rsidR="00BF38E6">
        <w:t>lepsy and for the diagnosis of Alzheimer’s disease</w:t>
      </w:r>
      <w:r w:rsidR="004A1EBF">
        <w:t xml:space="preserve">. </w:t>
      </w:r>
      <w:r w:rsidR="00751CE1">
        <w:t>There are over 100 PET units established in Australia</w:t>
      </w:r>
      <w:r w:rsidR="00DA3ABC">
        <w:t>, primarily in major cities</w:t>
      </w:r>
      <w:r w:rsidR="005F2E8A">
        <w:rPr>
          <w:rStyle w:val="FootnoteReference"/>
        </w:rPr>
        <w:footnoteReference w:id="10"/>
      </w:r>
      <w:r w:rsidR="00DA3ABC">
        <w:t>.</w:t>
      </w:r>
      <w:r w:rsidR="002D5388">
        <w:t xml:space="preserve"> </w:t>
      </w:r>
      <w:r w:rsidR="006B4CDE">
        <w:t>Between 2012-13 to 2022-23</w:t>
      </w:r>
      <w:r w:rsidR="00C15189">
        <w:t xml:space="preserve">, a large increase in number of </w:t>
      </w:r>
      <w:r w:rsidR="00AE4620">
        <w:t xml:space="preserve">PET </w:t>
      </w:r>
      <w:r w:rsidR="00C15189">
        <w:t xml:space="preserve">services </w:t>
      </w:r>
      <w:r w:rsidR="00AE4620">
        <w:t>was observed</w:t>
      </w:r>
      <w:r w:rsidR="000A79CA">
        <w:t xml:space="preserve"> </w:t>
      </w:r>
      <w:r w:rsidR="00ED3ACA">
        <w:t>from 45,000 to 203,000</w:t>
      </w:r>
      <w:r w:rsidR="000A79CA">
        <w:t>,</w:t>
      </w:r>
      <w:r w:rsidR="00ED3ACA">
        <w:t xml:space="preserve"> </w:t>
      </w:r>
      <w:r w:rsidR="00C15189">
        <w:t>and</w:t>
      </w:r>
      <w:r w:rsidR="00ED3ACA">
        <w:t xml:space="preserve"> </w:t>
      </w:r>
      <w:r w:rsidR="00E049C0">
        <w:t>total</w:t>
      </w:r>
      <w:r w:rsidR="00ED3ACA">
        <w:t xml:space="preserve"> Medicare benefits </w:t>
      </w:r>
      <w:r w:rsidR="000A79CA">
        <w:t xml:space="preserve">paid increased </w:t>
      </w:r>
      <w:r w:rsidR="00ED3ACA">
        <w:t>from $48 million to $189 million</w:t>
      </w:r>
      <w:r w:rsidR="005A551C">
        <w:rPr>
          <w:rStyle w:val="FootnoteReference"/>
        </w:rPr>
        <w:footnoteReference w:id="11"/>
      </w:r>
      <w:r w:rsidR="00042C74">
        <w:t>.</w:t>
      </w:r>
      <w:r w:rsidR="00C15189">
        <w:t xml:space="preserve"> </w:t>
      </w:r>
    </w:p>
    <w:p w14:paraId="55905B58" w14:textId="335337BF" w:rsidR="00B34983" w:rsidRDefault="00A70786" w:rsidP="00887425">
      <w:r>
        <w:t xml:space="preserve">The </w:t>
      </w:r>
      <w:r w:rsidR="005A0CCF">
        <w:t xml:space="preserve">proposed </w:t>
      </w:r>
      <w:r>
        <w:t xml:space="preserve">service requires an on-site cyclotron </w:t>
      </w:r>
      <w:r w:rsidR="00CF49ED">
        <w:t>and</w:t>
      </w:r>
      <w:r w:rsidR="002B46AD">
        <w:t xml:space="preserve"> </w:t>
      </w:r>
      <w:r w:rsidR="00CF49ED">
        <w:t xml:space="preserve">radiopharmacy </w:t>
      </w:r>
      <w:r w:rsidR="004E46E4">
        <w:t>production capacity</w:t>
      </w:r>
      <w:r w:rsidR="00CF49ED">
        <w:t xml:space="preserve"> or </w:t>
      </w:r>
      <w:r w:rsidR="004E46E4">
        <w:t xml:space="preserve">access to </w:t>
      </w:r>
      <w:r w:rsidR="00CF49ED">
        <w:t>commercial supplie</w:t>
      </w:r>
      <w:r w:rsidR="004E46E4">
        <w:t>s</w:t>
      </w:r>
      <w:r w:rsidR="00FA616D">
        <w:t>. It</w:t>
      </w:r>
      <w:r w:rsidR="0085142B" w:rsidRPr="0085142B">
        <w:t xml:space="preserve"> </w:t>
      </w:r>
      <w:r w:rsidR="0085142B">
        <w:t xml:space="preserve">is provided by a nuclear medicine specialist </w:t>
      </w:r>
      <w:r w:rsidR="00B34983">
        <w:t>or consultant physician</w:t>
      </w:r>
      <w:r w:rsidR="00666B63">
        <w:rPr>
          <w:rStyle w:val="FootnoteReference"/>
        </w:rPr>
        <w:footnoteReference w:id="12"/>
      </w:r>
      <w:r w:rsidR="00B34983">
        <w:t xml:space="preserve"> </w:t>
      </w:r>
      <w:r w:rsidR="0085142B">
        <w:t>upon receipt of a written referral from a medical specialist, most likely an infectious disease specialist for these indications</w:t>
      </w:r>
      <w:r w:rsidR="00CF49ED">
        <w:t>.</w:t>
      </w:r>
      <w:r w:rsidR="004E3E85">
        <w:t xml:space="preserve"> Equipment handling and </w:t>
      </w:r>
      <w:r w:rsidR="00887425">
        <w:t xml:space="preserve">radiopharmaceutical administration are performed by trained and registered </w:t>
      </w:r>
      <w:r w:rsidR="003F7F62">
        <w:t>n</w:t>
      </w:r>
      <w:r w:rsidR="00887425">
        <w:t xml:space="preserve">uclear </w:t>
      </w:r>
      <w:r w:rsidR="003F7F62">
        <w:t>m</w:t>
      </w:r>
      <w:r w:rsidR="00887425">
        <w:t xml:space="preserve">edicine </w:t>
      </w:r>
      <w:r w:rsidR="003F7F62">
        <w:t>t</w:t>
      </w:r>
      <w:r w:rsidR="00887425">
        <w:t>echnologists.</w:t>
      </w:r>
    </w:p>
    <w:p w14:paraId="36C57B43" w14:textId="3F5D6926" w:rsidR="00F307B1" w:rsidRDefault="00207126" w:rsidP="00BC47BD">
      <w:r>
        <w:t xml:space="preserve">Specific patient </w:t>
      </w:r>
      <w:r w:rsidR="005D43B3">
        <w:t>considerations apply to imaging for suspected infective endocarditis due to the uptake of glucose by the normal myocardium</w:t>
      </w:r>
      <w:r w:rsidR="0040041E">
        <w:t xml:space="preserve">, </w:t>
      </w:r>
      <w:r w:rsidR="00544D28">
        <w:t xml:space="preserve">and </w:t>
      </w:r>
      <w:r w:rsidR="008C4988">
        <w:t xml:space="preserve">specific protocols are used to minimise </w:t>
      </w:r>
      <w:r w:rsidR="003F28A6">
        <w:t xml:space="preserve">physiological uptake in the heart. </w:t>
      </w:r>
      <w:r w:rsidR="00BC47BD">
        <w:t xml:space="preserve">Current recommendations suggest a prolonged fasting period of at least 12 hours preceded by a high fat-low/no carbohydrate-diet for 24-48 hours, with or without the administration of intravenous heparin (50 IU/kg) 15 min before tracer injection </w:t>
      </w:r>
      <w:r w:rsidR="005C6A78" w:rsidRPr="005C6A78">
        <w:rPr>
          <w:rFonts w:cs="Calibri"/>
        </w:rPr>
        <w:t>(Abikhzer et al. 2025)</w:t>
      </w:r>
      <w:r w:rsidR="005C6A78">
        <w:t xml:space="preserve">. </w:t>
      </w:r>
    </w:p>
    <w:p w14:paraId="6C54A25F" w14:textId="49E3C235" w:rsidR="000E2C5C" w:rsidRDefault="005140A5" w:rsidP="00BC47BD">
      <w:r>
        <w:t>Blood glucose levels should also be monitored in patients with diabetes</w:t>
      </w:r>
      <w:r w:rsidR="006B1071">
        <w:t xml:space="preserve"> as high levels can potentially interfere with radiotracer uptake in target sites. </w:t>
      </w:r>
      <w:r w:rsidR="007E300F">
        <w:t>It is also recommended that FDG</w:t>
      </w:r>
      <w:r w:rsidR="00461CE5">
        <w:t xml:space="preserve"> </w:t>
      </w:r>
      <w:r w:rsidR="007E300F">
        <w:t xml:space="preserve">PET/CT be undertaken before </w:t>
      </w:r>
      <w:r w:rsidR="000A1156">
        <w:t xml:space="preserve">any antibiotic or glucocorticoid treatment as these can decrease signal </w:t>
      </w:r>
      <w:r w:rsidR="000A1156" w:rsidRPr="000A1156">
        <w:rPr>
          <w:rFonts w:cs="Calibri"/>
        </w:rPr>
        <w:t>(Abikhzer et al. 2025)</w:t>
      </w:r>
      <w:r w:rsidR="000A1156">
        <w:t>.</w:t>
      </w:r>
      <w:r w:rsidR="00C45FD0">
        <w:t xml:space="preserve"> Undertak</w:t>
      </w:r>
      <w:r w:rsidR="007462C7">
        <w:t>ing</w:t>
      </w:r>
      <w:r w:rsidR="00C45FD0">
        <w:t xml:space="preserve"> PET/CT scans on critically ill patients presents both logistical and technical challenges</w:t>
      </w:r>
      <w:r w:rsidR="009E75E9">
        <w:t xml:space="preserve"> and is a consideration for some populations in the application. </w:t>
      </w:r>
      <w:r w:rsidR="00C24F3B">
        <w:t xml:space="preserve">Similarly, </w:t>
      </w:r>
      <w:r w:rsidR="003A022D">
        <w:t>paediatric patients will require spe</w:t>
      </w:r>
      <w:r w:rsidR="00731754">
        <w:t xml:space="preserve">cific considerations including dose adjustment, specialist paediatric consultation and consideration of </w:t>
      </w:r>
      <w:r w:rsidR="00C24F3B">
        <w:t>sedation</w:t>
      </w:r>
      <w:r w:rsidR="00CA3116">
        <w:t>.</w:t>
      </w:r>
      <w:r w:rsidR="00C24F3B">
        <w:t xml:space="preserve"> </w:t>
      </w:r>
    </w:p>
    <w:p w14:paraId="75B5945E" w14:textId="4739605D" w:rsidR="0057510D" w:rsidRDefault="007C4B86" w:rsidP="002E5AC3">
      <w:r>
        <w:t>PET/CT scan</w:t>
      </w:r>
      <w:r w:rsidR="00AA25A4">
        <w:t>s</w:t>
      </w:r>
      <w:r>
        <w:t xml:space="preserve"> </w:t>
      </w:r>
      <w:r w:rsidR="00446E70">
        <w:t>are typically a</w:t>
      </w:r>
      <w:r w:rsidR="00576348">
        <w:t>cquired</w:t>
      </w:r>
      <w:r>
        <w:t xml:space="preserve"> from the base of the skull to the upper thighs</w:t>
      </w:r>
      <w:r w:rsidR="006E7DBC">
        <w:t xml:space="preserve"> or toes but can be localised to specific areas of clinical concern </w:t>
      </w:r>
      <w:r w:rsidR="00576348">
        <w:t>where</w:t>
      </w:r>
      <w:r w:rsidR="00530F50">
        <w:t xml:space="preserve"> </w:t>
      </w:r>
      <w:r w:rsidR="006E7DBC">
        <w:t xml:space="preserve">appropriate. </w:t>
      </w:r>
    </w:p>
    <w:p w14:paraId="7BB98FBD" w14:textId="32E7B675" w:rsidR="006A62F4" w:rsidRDefault="00CB4BBE" w:rsidP="00400285">
      <w:r>
        <w:lastRenderedPageBreak/>
        <w:t>In oncology semi-quantitative analysis is often used</w:t>
      </w:r>
      <w:r w:rsidR="00076395">
        <w:t>;</w:t>
      </w:r>
      <w:r>
        <w:t xml:space="preserve"> however</w:t>
      </w:r>
      <w:r w:rsidR="00076395">
        <w:t>,</w:t>
      </w:r>
      <w:r>
        <w:t xml:space="preserve"> th</w:t>
      </w:r>
      <w:r w:rsidR="006B236B">
        <w:t>is</w:t>
      </w:r>
      <w:r>
        <w:t xml:space="preserve"> ha</w:t>
      </w:r>
      <w:r w:rsidR="006B236B">
        <w:t>s</w:t>
      </w:r>
      <w:r>
        <w:t xml:space="preserve"> not been validated in infection</w:t>
      </w:r>
      <w:r w:rsidR="00303936">
        <w:t xml:space="preserve"> and qualitative visual analysis is recommended </w:t>
      </w:r>
      <w:r w:rsidR="00303936" w:rsidRPr="00303936">
        <w:rPr>
          <w:rFonts w:cs="Calibri"/>
        </w:rPr>
        <w:t>(Abikhzer et al. 2025)</w:t>
      </w:r>
      <w:r w:rsidR="00546D43">
        <w:t xml:space="preserve"> based on the intensity and pattern of uptake</w:t>
      </w:r>
      <w:r w:rsidR="00F74658">
        <w:t xml:space="preserve"> and correlation with location and morphologic data from the CT.</w:t>
      </w:r>
    </w:p>
    <w:p w14:paraId="7D86E32E" w14:textId="1666F48C" w:rsidR="00BB65FC" w:rsidRDefault="00971728" w:rsidP="00971728">
      <w:r>
        <w:t xml:space="preserve">For an average 75 kg individual, typical </w:t>
      </w:r>
      <w:r w:rsidR="39131E3C">
        <w:t>radio</w:t>
      </w:r>
      <w:r>
        <w:t>activity ranges from 180 to 260 </w:t>
      </w:r>
      <w:r w:rsidR="0098555C">
        <w:t>megabecquerel</w:t>
      </w:r>
      <w:r w:rsidR="00AB1D64">
        <w:t>s</w:t>
      </w:r>
      <w:r w:rsidR="0098555C" w:rsidRPr="0098555C">
        <w:t xml:space="preserve"> </w:t>
      </w:r>
      <w:r w:rsidR="0098555C">
        <w:t>(</w:t>
      </w:r>
      <w:r>
        <w:t>MBq</w:t>
      </w:r>
      <w:r w:rsidR="0098555C">
        <w:t>)</w:t>
      </w:r>
      <w:r>
        <w:t xml:space="preserve">, and dosage is generally calculated at approximately 3-5 MBq per kilogram of body weight, with </w:t>
      </w:r>
      <w:r w:rsidR="003703E6">
        <w:t>the Australian Radiation Protection and Nuclear Safety Agency (</w:t>
      </w:r>
      <w:r>
        <w:t>ARPANSA</w:t>
      </w:r>
      <w:r w:rsidR="003703E6">
        <w:t>)</w:t>
      </w:r>
      <w:r>
        <w:t xml:space="preserve"> recommending 3.5</w:t>
      </w:r>
      <w:r w:rsidR="002103FE">
        <w:t xml:space="preserve"> </w:t>
      </w:r>
      <w:r>
        <w:t>MBq/kg</w:t>
      </w:r>
      <w:r w:rsidR="00DD4322">
        <w:rPr>
          <w:rStyle w:val="FootnoteReference"/>
        </w:rPr>
        <w:footnoteReference w:id="13"/>
      </w:r>
      <w:r>
        <w:t>. Estimated effective doses for patients receiving between 150 and 450</w:t>
      </w:r>
      <w:r w:rsidR="002103FE">
        <w:t xml:space="preserve"> </w:t>
      </w:r>
      <w:r>
        <w:t>MBq of FDG are 3-9</w:t>
      </w:r>
      <w:r w:rsidR="002103FE">
        <w:t xml:space="preserve"> </w:t>
      </w:r>
      <w:r w:rsidR="00514C19" w:rsidRPr="00514C19">
        <w:t xml:space="preserve">millisievert </w:t>
      </w:r>
      <w:r w:rsidR="00514C19">
        <w:t>(</w:t>
      </w:r>
      <w:r>
        <w:t>mSv</w:t>
      </w:r>
      <w:r w:rsidR="00514C19">
        <w:t>)</w:t>
      </w:r>
      <w:r>
        <w:t>.</w:t>
      </w:r>
      <w:r w:rsidR="008B72BD" w:rsidRPr="008B72BD">
        <w:t xml:space="preserve"> </w:t>
      </w:r>
      <w:r w:rsidR="008B72BD">
        <w:t>The CT generally adds 4-5mSv radiation dose depending on arm position and length of scan.</w:t>
      </w:r>
    </w:p>
    <w:p w14:paraId="2882A0F2" w14:textId="31731D71" w:rsidR="000E5A37" w:rsidRPr="002E5AC3" w:rsidRDefault="00DB5F31" w:rsidP="00971728">
      <w:r>
        <w:t xml:space="preserve">The application is for a single diagnostic </w:t>
      </w:r>
      <w:r w:rsidR="000E5A37">
        <w:t>FDG</w:t>
      </w:r>
      <w:r w:rsidR="00461CE5">
        <w:t xml:space="preserve"> </w:t>
      </w:r>
      <w:r w:rsidR="000E5A37">
        <w:t>PET/</w:t>
      </w:r>
      <w:r w:rsidR="00A737AC">
        <w:t>CT;</w:t>
      </w:r>
      <w:r>
        <w:t xml:space="preserve"> </w:t>
      </w:r>
      <w:r w:rsidR="00D4633E">
        <w:t>however,</w:t>
      </w:r>
      <w:r>
        <w:t xml:space="preserve"> it is noted that patients </w:t>
      </w:r>
      <w:r w:rsidR="009947AC">
        <w:t>may experience infections multiple times in a lifetime, particularly patients at higher risk (</w:t>
      </w:r>
      <w:r w:rsidR="00F37801">
        <w:t xml:space="preserve">e.g. </w:t>
      </w:r>
      <w:r w:rsidR="009947AC">
        <w:t>immunocompromised</w:t>
      </w:r>
      <w:r w:rsidR="00F37801">
        <w:t xml:space="preserve"> patients</w:t>
      </w:r>
      <w:r w:rsidR="009947AC">
        <w:t>, injecting drug user</w:t>
      </w:r>
      <w:r w:rsidR="00F37801">
        <w:t>s</w:t>
      </w:r>
      <w:r w:rsidR="009D07B6">
        <w:t>) and therefore may have multiple scan</w:t>
      </w:r>
      <w:r w:rsidR="00730CD9">
        <w:t>s</w:t>
      </w:r>
      <w:r w:rsidR="009D07B6">
        <w:t xml:space="preserve"> over </w:t>
      </w:r>
      <w:r w:rsidR="00A737AC">
        <w:t>time. FDG</w:t>
      </w:r>
      <w:r w:rsidR="00461CE5">
        <w:t xml:space="preserve"> </w:t>
      </w:r>
      <w:r w:rsidR="00A737AC">
        <w:t xml:space="preserve">PET/CT can also be used to monitor treatment </w:t>
      </w:r>
      <w:r w:rsidR="009F68AF">
        <w:t>response,</w:t>
      </w:r>
      <w:r w:rsidR="00A737AC">
        <w:t xml:space="preserve"> </w:t>
      </w:r>
      <w:r w:rsidR="006F3AB2">
        <w:t>but monitoring applications are</w:t>
      </w:r>
      <w:r w:rsidR="009F68AF">
        <w:t xml:space="preserve"> not part of this application. </w:t>
      </w:r>
    </w:p>
    <w:p w14:paraId="7DEED7CB" w14:textId="4E775364" w:rsidR="00634FCB" w:rsidRDefault="00634FCB">
      <w:pPr>
        <w:spacing w:line="23" w:lineRule="atLeast"/>
        <w:rPr>
          <w:rFonts w:asciiTheme="minorHAnsi" w:hAnsiTheme="minorHAnsi" w:cstheme="minorBidi"/>
          <w:i/>
          <w:iCs/>
        </w:rPr>
      </w:pPr>
      <w:r w:rsidRPr="55B5D1E8">
        <w:rPr>
          <w:rFonts w:asciiTheme="minorHAnsi" w:hAnsiTheme="minorHAnsi" w:cstheme="minorBidi"/>
          <w:i/>
          <w:iCs/>
        </w:rPr>
        <w:t>PASC noted that increased metabolic activity detected on FDG PET/CT is not specific to infection and could also indicate inflammation or malignancy. PASC also noted that there can be challenges in performing FDG PET/CT in some of the proposed subgroups (critically ill, high glucose etc.). These considerations contributed to PASC’s view that the population in PICO Set 1 required further consideration</w:t>
      </w:r>
      <w:r w:rsidR="044EF5E0" w:rsidRPr="55B5D1E8">
        <w:rPr>
          <w:rFonts w:asciiTheme="minorHAnsi" w:hAnsiTheme="minorHAnsi" w:cstheme="minorBidi"/>
          <w:i/>
          <w:iCs/>
        </w:rPr>
        <w:t xml:space="preserve">, with a view to clinical subpopulations where FDG PET/CT is able to </w:t>
      </w:r>
      <w:r w:rsidR="20966CDE" w:rsidRPr="55B5D1E8">
        <w:rPr>
          <w:rFonts w:asciiTheme="minorHAnsi" w:hAnsiTheme="minorHAnsi" w:cstheme="minorBidi"/>
          <w:i/>
          <w:iCs/>
        </w:rPr>
        <w:t>direct a change in clinical management and outcomes supported by an appropriate evidence base</w:t>
      </w:r>
    </w:p>
    <w:p w14:paraId="4ED98CA4" w14:textId="77777777" w:rsidR="00634FCB" w:rsidRDefault="00634FCB" w:rsidP="00634FCB">
      <w:pPr>
        <w:autoSpaceDE w:val="0"/>
        <w:autoSpaceDN w:val="0"/>
        <w:adjustRightInd w:val="0"/>
        <w:spacing w:line="23" w:lineRule="atLeast"/>
        <w:rPr>
          <w:rFonts w:asciiTheme="minorHAnsi" w:hAnsiTheme="minorHAnsi" w:cstheme="minorHAnsi"/>
          <w:i/>
          <w:iCs/>
        </w:rPr>
      </w:pPr>
      <w:r>
        <w:rPr>
          <w:rFonts w:asciiTheme="minorHAnsi" w:hAnsiTheme="minorHAnsi" w:cstheme="minorHAnsi"/>
          <w:i/>
          <w:iCs/>
        </w:rPr>
        <w:t xml:space="preserve">PASC noted that PET units are primarily located in major cities and questioned whether public funding would improve access for rural and remote patients. The applicant suggested that public funding may improve access for these patients by enabling greater use of PET in private centres in regional areas and reduce out-of-pocket costs for patients who would otherwise need to travel to public PET centres in metropolitan areas. The applicant further indicated that patients with complex infections are often managed in regional hospitals, where infectious diseases specialists are commonly available and that some relevant infections, such as Q fever, are more prevalent in regional and remote areas.  </w:t>
      </w:r>
    </w:p>
    <w:p w14:paraId="0AF56033" w14:textId="0A33F885" w:rsidR="00634FCB" w:rsidRDefault="00634FCB" w:rsidP="00634FCB">
      <w:pPr>
        <w:autoSpaceDE w:val="0"/>
        <w:autoSpaceDN w:val="0"/>
        <w:adjustRightInd w:val="0"/>
        <w:spacing w:line="23" w:lineRule="atLeast"/>
        <w:rPr>
          <w:rFonts w:asciiTheme="minorHAnsi" w:hAnsiTheme="minorHAnsi" w:cstheme="minorHAnsi"/>
          <w:i/>
          <w:iCs/>
        </w:rPr>
      </w:pPr>
      <w:r>
        <w:rPr>
          <w:rFonts w:asciiTheme="minorHAnsi" w:hAnsiTheme="minorHAnsi" w:cstheme="minorHAnsi"/>
          <w:i/>
          <w:iCs/>
        </w:rPr>
        <w:t xml:space="preserve">PASC considered that clinical evidence using stand-alone FDG PET is not applicable because the intervention comprises combined FDG PET and CT. </w:t>
      </w:r>
    </w:p>
    <w:p w14:paraId="0F3DE34E" w14:textId="2A34CFA9" w:rsidR="00EB0B1E" w:rsidRPr="004A4D2F" w:rsidRDefault="00634FCB" w:rsidP="00634FCB">
      <w:pPr>
        <w:rPr>
          <w:rFonts w:asciiTheme="minorHAnsi" w:hAnsiTheme="minorHAnsi" w:cstheme="minorHAnsi"/>
        </w:rPr>
      </w:pPr>
      <w:r>
        <w:rPr>
          <w:rFonts w:asciiTheme="minorHAnsi" w:hAnsiTheme="minorHAnsi" w:cstheme="minorHAnsi"/>
          <w:i/>
          <w:iCs/>
        </w:rPr>
        <w:t>PASC noted that the proposed role of FDG PET/CT is to support diagnosis, rather than monitoring response to treatment. The applicant clarified that a follow-up FDG PET/CT may be clinically indicated in limited circumstances, such as prolonged antimicrobial therapy for invasive fungal infection in neutropenic patients or in Q fever, particularly where there are prosthetic devices in situ.</w:t>
      </w:r>
    </w:p>
    <w:p w14:paraId="665B0675" w14:textId="5FDFCB88" w:rsidR="007A66C8" w:rsidRDefault="007A66C8" w:rsidP="00713728">
      <w:pPr>
        <w:pStyle w:val="Heading3"/>
      </w:pPr>
      <w:r w:rsidRPr="008F1532">
        <w:t>Comparator</w:t>
      </w:r>
      <w:r w:rsidR="007D6B83">
        <w:t>(</w:t>
      </w:r>
      <w:r w:rsidR="008F1532">
        <w:t>s</w:t>
      </w:r>
      <w:r w:rsidR="007D6B83">
        <w:t>)</w:t>
      </w:r>
    </w:p>
    <w:p w14:paraId="31F38459" w14:textId="476C4AA3" w:rsidR="00D4633E" w:rsidRDefault="00D4633E" w:rsidP="00D4633E">
      <w:r>
        <w:t>Comparators for PICO Set 1</w:t>
      </w:r>
      <w:r w:rsidR="008E74E9">
        <w:t xml:space="preserve"> (</w:t>
      </w:r>
      <w:r w:rsidR="00A56032">
        <w:fldChar w:fldCharType="begin"/>
      </w:r>
      <w:r w:rsidR="00A56032">
        <w:instrText xml:space="preserve"> REF _Ref234313368 \h </w:instrText>
      </w:r>
      <w:r w:rsidR="00A56032">
        <w:fldChar w:fldCharType="separate"/>
      </w:r>
      <w:r w:rsidR="00A56032">
        <w:t xml:space="preserve">Table </w:t>
      </w:r>
      <w:r w:rsidR="00A56032">
        <w:rPr>
          <w:noProof/>
        </w:rPr>
        <w:t>3</w:t>
      </w:r>
      <w:r w:rsidR="00A56032">
        <w:fldChar w:fldCharType="end"/>
      </w:r>
      <w:r w:rsidR="008E74E9">
        <w:t>)</w:t>
      </w:r>
      <w:r>
        <w:t xml:space="preserve"> and 2 </w:t>
      </w:r>
      <w:r w:rsidR="008E74E9">
        <w:t>(</w:t>
      </w:r>
      <w:r w:rsidR="00FB2C4F">
        <w:fldChar w:fldCharType="begin"/>
      </w:r>
      <w:r w:rsidR="00FB2C4F">
        <w:instrText xml:space="preserve"> REF _Ref234160372 \h </w:instrText>
      </w:r>
      <w:r w:rsidR="00FB2C4F">
        <w:fldChar w:fldCharType="separate"/>
      </w:r>
      <w:r w:rsidR="00FB2C4F">
        <w:t xml:space="preserve">Table </w:t>
      </w:r>
      <w:r w:rsidR="00FB2C4F">
        <w:rPr>
          <w:noProof/>
        </w:rPr>
        <w:t>4</w:t>
      </w:r>
      <w:r w:rsidR="00FB2C4F">
        <w:fldChar w:fldCharType="end"/>
      </w:r>
      <w:r w:rsidR="008E74E9">
        <w:t>)</w:t>
      </w:r>
      <w:r w:rsidR="00333D10">
        <w:t xml:space="preserve"> </w:t>
      </w:r>
      <w:r w:rsidR="00C84F15">
        <w:t xml:space="preserve">include </w:t>
      </w:r>
      <w:r w:rsidR="00A45440">
        <w:t>(</w:t>
      </w:r>
      <w:r w:rsidR="00C84F15">
        <w:t>repeat</w:t>
      </w:r>
      <w:r w:rsidR="00A45440">
        <w:t>)</w:t>
      </w:r>
      <w:r w:rsidR="00C84F15">
        <w:t xml:space="preserve"> MRI and/or CT, </w:t>
      </w:r>
      <w:r w:rsidR="0020026B">
        <w:t>Ga</w:t>
      </w:r>
      <w:r w:rsidR="00356043">
        <w:t>-67</w:t>
      </w:r>
      <w:r w:rsidR="0020026B">
        <w:t xml:space="preserve"> scintigraphy, labelled WBC scan</w:t>
      </w:r>
      <w:r w:rsidR="00174D26">
        <w:t>ning</w:t>
      </w:r>
      <w:r w:rsidR="0020026B">
        <w:t xml:space="preserve"> and 3-phase bone scan</w:t>
      </w:r>
      <w:r w:rsidR="00174D26">
        <w:t>ning</w:t>
      </w:r>
      <w:r w:rsidR="0020026B">
        <w:t xml:space="preserve">. </w:t>
      </w:r>
    </w:p>
    <w:p w14:paraId="4C952139" w14:textId="3DED6EE5" w:rsidR="00CB0136" w:rsidRDefault="00CB0136" w:rsidP="00CB0136">
      <w:pPr>
        <w:pStyle w:val="Heading4"/>
      </w:pPr>
      <w:r>
        <w:t>Anatomical imaging</w:t>
      </w:r>
    </w:p>
    <w:p w14:paraId="7691AD0D" w14:textId="07E60A7C" w:rsidR="00C01D6D" w:rsidRDefault="6A4CE0A8">
      <w:r>
        <w:t>Depending on the clinical context</w:t>
      </w:r>
      <w:r w:rsidR="004D0C0E">
        <w:t>, MRI is the suggested initial imaging test</w:t>
      </w:r>
      <w:r w:rsidR="007C3EDE">
        <w:t xml:space="preserve"> because it can evaluate both </w:t>
      </w:r>
      <w:r w:rsidR="00650047">
        <w:t>bone and soft tissue</w:t>
      </w:r>
      <w:r w:rsidR="00A368AF">
        <w:t xml:space="preserve"> and</w:t>
      </w:r>
      <w:r w:rsidR="00613AB5">
        <w:t xml:space="preserve"> entails no radiation exposure</w:t>
      </w:r>
      <w:r w:rsidR="00A368AF">
        <w:t xml:space="preserve">. </w:t>
      </w:r>
      <w:r w:rsidR="004B521D">
        <w:t xml:space="preserve">Furthermore, although metallic implants were </w:t>
      </w:r>
      <w:r w:rsidR="007E0179">
        <w:t xml:space="preserve">historically </w:t>
      </w:r>
      <w:r w:rsidR="00E57037">
        <w:t xml:space="preserve">considered a contraindication to MRI, </w:t>
      </w:r>
      <w:r w:rsidR="000945EE">
        <w:t>advances in</w:t>
      </w:r>
      <w:r w:rsidR="00E57037">
        <w:t xml:space="preserve"> implant</w:t>
      </w:r>
      <w:r w:rsidR="000945EE">
        <w:t xml:space="preserve"> design</w:t>
      </w:r>
      <w:r w:rsidR="00E57037">
        <w:t xml:space="preserve"> and </w:t>
      </w:r>
      <w:r w:rsidR="000945EE">
        <w:t xml:space="preserve">MRI </w:t>
      </w:r>
      <w:r w:rsidR="00E50388">
        <w:t>tech</w:t>
      </w:r>
      <w:r w:rsidR="002117E3">
        <w:t>nology</w:t>
      </w:r>
      <w:r w:rsidR="00E50388">
        <w:t xml:space="preserve"> </w:t>
      </w:r>
      <w:r w:rsidR="002117E3">
        <w:t xml:space="preserve">have made </w:t>
      </w:r>
      <w:r w:rsidR="00E50388">
        <w:t xml:space="preserve">this </w:t>
      </w:r>
      <w:r w:rsidR="002117E3">
        <w:t>con</w:t>
      </w:r>
      <w:r w:rsidR="009C43D2">
        <w:t>siderably less common</w:t>
      </w:r>
      <w:r w:rsidR="00E50388">
        <w:t xml:space="preserve"> </w:t>
      </w:r>
      <w:r w:rsidR="00E50388" w:rsidRPr="55B5D1E8">
        <w:rPr>
          <w:rFonts w:cs="Calibri"/>
        </w:rPr>
        <w:t>(Glaudemans et al. 2019)</w:t>
      </w:r>
      <w:r w:rsidR="00150FA2">
        <w:t>.</w:t>
      </w:r>
      <w:r w:rsidR="005879B8">
        <w:t xml:space="preserve"> For all subgroups in PICO Set 1, </w:t>
      </w:r>
      <w:r w:rsidR="007E2A1D">
        <w:t xml:space="preserve">the </w:t>
      </w:r>
      <w:r w:rsidR="005879B8">
        <w:lastRenderedPageBreak/>
        <w:t xml:space="preserve">diagnostic pathway </w:t>
      </w:r>
      <w:r w:rsidR="009C43D2">
        <w:t>assumes patients</w:t>
      </w:r>
      <w:r w:rsidR="005879B8">
        <w:t xml:space="preserve"> have already had targeted </w:t>
      </w:r>
      <w:r w:rsidR="3BD18BD6">
        <w:t xml:space="preserve">CT or </w:t>
      </w:r>
      <w:r w:rsidR="005879B8">
        <w:t>MRI  or</w:t>
      </w:r>
      <w:r w:rsidR="00FD5F32">
        <w:t xml:space="preserve"> </w:t>
      </w:r>
      <w:r w:rsidR="38B66F06">
        <w:t xml:space="preserve">for suspected IE, </w:t>
      </w:r>
      <w:r w:rsidR="000968ED">
        <w:t>transthoracic echocardiogram (</w:t>
      </w:r>
      <w:r w:rsidR="00FD5F32">
        <w:t>TTE</w:t>
      </w:r>
      <w:r w:rsidR="000968ED">
        <w:t>)</w:t>
      </w:r>
      <w:r w:rsidR="005879B8">
        <w:t xml:space="preserve"> . </w:t>
      </w:r>
      <w:r w:rsidR="00767463">
        <w:t>Therefore, MRI and</w:t>
      </w:r>
      <w:r w:rsidR="005B200B">
        <w:t>/or</w:t>
      </w:r>
      <w:r w:rsidR="00767463">
        <w:t xml:space="preserve"> CT </w:t>
      </w:r>
      <w:r w:rsidR="00197760">
        <w:t xml:space="preserve">are </w:t>
      </w:r>
      <w:r w:rsidR="005B200B">
        <w:t xml:space="preserve">prior tests for most </w:t>
      </w:r>
      <w:r w:rsidR="00197760">
        <w:t xml:space="preserve">subgroups </w:t>
      </w:r>
      <w:r w:rsidR="00D20FA0">
        <w:t>rather than</w:t>
      </w:r>
      <w:r w:rsidR="00197760">
        <w:t xml:space="preserve"> comparators</w:t>
      </w:r>
      <w:r w:rsidR="00D20FA0">
        <w:t>.</w:t>
      </w:r>
      <w:r w:rsidR="00197760">
        <w:t xml:space="preserve"> </w:t>
      </w:r>
      <w:r w:rsidR="00D20FA0">
        <w:t>H</w:t>
      </w:r>
      <w:r w:rsidR="00197760">
        <w:t>owever</w:t>
      </w:r>
      <w:r w:rsidR="00D20FA0">
        <w:t>,</w:t>
      </w:r>
      <w:r w:rsidR="00BD36F2">
        <w:t xml:space="preserve"> </w:t>
      </w:r>
      <w:r w:rsidR="00427123">
        <w:t xml:space="preserve">where </w:t>
      </w:r>
      <w:r w:rsidR="00BD36F2">
        <w:t>the</w:t>
      </w:r>
      <w:r w:rsidR="00D20FA0">
        <w:t>se tests</w:t>
      </w:r>
      <w:r w:rsidR="00BD36F2">
        <w:t xml:space="preserve"> </w:t>
      </w:r>
      <w:r w:rsidR="00427123">
        <w:t>are</w:t>
      </w:r>
      <w:r w:rsidR="00BD36F2">
        <w:t xml:space="preserve"> repeated</w:t>
      </w:r>
      <w:r w:rsidR="00E11EA9">
        <w:t xml:space="preserve"> with higher resolution or the addition of contrast</w:t>
      </w:r>
      <w:r w:rsidR="70D2ECE6">
        <w:t>, or image a different anatomical site</w:t>
      </w:r>
      <w:r w:rsidR="00E11EA9">
        <w:t xml:space="preserve"> the</w:t>
      </w:r>
      <w:r w:rsidR="00427123">
        <w:t>y</w:t>
      </w:r>
      <w:r w:rsidR="00E11EA9">
        <w:t xml:space="preserve"> </w:t>
      </w:r>
      <w:r w:rsidR="004E6571">
        <w:t>are comparators to FDG</w:t>
      </w:r>
      <w:r w:rsidR="00AD428D">
        <w:t> </w:t>
      </w:r>
      <w:r w:rsidR="004E6571">
        <w:t>PET/CT</w:t>
      </w:r>
      <w:r w:rsidR="00751AC9">
        <w:t>,</w:t>
      </w:r>
      <w:r w:rsidR="00C01D6D">
        <w:t xml:space="preserve"> which is proposed to replace either repeat testing</w:t>
      </w:r>
      <w:r w:rsidR="00B06AE3">
        <w:t xml:space="preserve"> or follow-up CT testing after non-diagnostic MRI (or the reverse).</w:t>
      </w:r>
    </w:p>
    <w:p w14:paraId="56A2DCD9" w14:textId="66DA7F16" w:rsidR="005B6122" w:rsidRDefault="005B6122">
      <w:r>
        <w:t xml:space="preserve">However, for PICO Set 2, MRI and CT </w:t>
      </w:r>
      <w:r w:rsidR="75B17F6C">
        <w:t>have not been routinely</w:t>
      </w:r>
      <w:r>
        <w:t xml:space="preserve"> included as prior tests unless </w:t>
      </w:r>
      <w:r w:rsidR="009147CA">
        <w:t xml:space="preserve">there is clinical suspicion that directs focal imaging. </w:t>
      </w:r>
      <w:r w:rsidR="00605939">
        <w:t>FDG</w:t>
      </w:r>
      <w:r w:rsidR="00AD428D">
        <w:t xml:space="preserve"> </w:t>
      </w:r>
      <w:r w:rsidR="00605939">
        <w:t>PET/CT is proposed to be used in the diagnostic pathway as an alternative to high-resolution</w:t>
      </w:r>
      <w:r w:rsidR="00244EA5">
        <w:t xml:space="preserve"> or contrast enhanced  CT</w:t>
      </w:r>
      <w:r w:rsidR="00900EF6">
        <w:t xml:space="preserve"> and is proposed to replace</w:t>
      </w:r>
      <w:r w:rsidR="00437EB0">
        <w:t xml:space="preserve"> or displace</w:t>
      </w:r>
      <w:r w:rsidR="00900EF6">
        <w:t xml:space="preserve"> CT in this diagnostic pathway. </w:t>
      </w:r>
      <w:r w:rsidR="00633D26">
        <w:t xml:space="preserve">Where it displaces </w:t>
      </w:r>
      <w:r w:rsidR="00B1196C">
        <w:t xml:space="preserve">CT, FDG PET/CT </w:t>
      </w:r>
      <w:r w:rsidR="0044668B">
        <w:t xml:space="preserve">findings </w:t>
      </w:r>
      <w:r w:rsidR="00B1196C">
        <w:t xml:space="preserve">would direct </w:t>
      </w:r>
      <w:r w:rsidR="0044668B">
        <w:t xml:space="preserve">subsequent </w:t>
      </w:r>
      <w:r w:rsidR="00B1196C">
        <w:t>focal imaging</w:t>
      </w:r>
      <w:r w:rsidR="007B7339">
        <w:t xml:space="preserve"> by CT</w:t>
      </w:r>
      <w:r w:rsidR="00B1196C">
        <w:t>.</w:t>
      </w:r>
      <w:r w:rsidR="1DDA3AD5">
        <w:t xml:space="preserve"> However this will be dependent on local availability of FDG PET/CT compared with CT.</w:t>
      </w:r>
    </w:p>
    <w:p w14:paraId="69632C00" w14:textId="6BFB3875" w:rsidR="000E4A1F" w:rsidRDefault="000E4A1F" w:rsidP="00D4633E">
      <w:r>
        <w:t xml:space="preserve">The </w:t>
      </w:r>
      <w:r w:rsidR="00171E71">
        <w:t xml:space="preserve">application states the </w:t>
      </w:r>
      <w:r>
        <w:t>advantage</w:t>
      </w:r>
      <w:r w:rsidR="00171E71">
        <w:t>s</w:t>
      </w:r>
      <w:r>
        <w:t xml:space="preserve"> of FDG</w:t>
      </w:r>
      <w:r w:rsidR="00AD428D">
        <w:t xml:space="preserve"> </w:t>
      </w:r>
      <w:r>
        <w:t xml:space="preserve">PET/CT over MRI and CT </w:t>
      </w:r>
      <w:r w:rsidR="00171E71">
        <w:t>are</w:t>
      </w:r>
      <w:r>
        <w:t xml:space="preserve"> that </w:t>
      </w:r>
      <w:r w:rsidR="00D0259B">
        <w:t>it provide</w:t>
      </w:r>
      <w:r w:rsidR="002D4824">
        <w:t>s</w:t>
      </w:r>
      <w:r w:rsidR="00D0259B">
        <w:t xml:space="preserve"> both </w:t>
      </w:r>
      <w:r w:rsidR="002D4824">
        <w:t>functional</w:t>
      </w:r>
      <w:r w:rsidR="00D0259B">
        <w:t xml:space="preserve"> and anatomic imaging</w:t>
      </w:r>
      <w:r w:rsidR="00C81726">
        <w:t xml:space="preserve">, is </w:t>
      </w:r>
      <w:r w:rsidR="00E62C24">
        <w:t xml:space="preserve">able to provide </w:t>
      </w:r>
      <w:r w:rsidR="00C81726">
        <w:t xml:space="preserve">whole body </w:t>
      </w:r>
      <w:r w:rsidR="00E62C24">
        <w:t xml:space="preserve">imaging </w:t>
      </w:r>
      <w:r w:rsidR="00C81726">
        <w:t>and has higher specificity than anatomical imaging alone</w:t>
      </w:r>
      <w:r w:rsidR="00EF2D08">
        <w:t>.</w:t>
      </w:r>
      <w:r w:rsidR="00DA5E33">
        <w:t xml:space="preserve"> </w:t>
      </w:r>
      <w:r w:rsidR="00EF2D08">
        <w:t>H</w:t>
      </w:r>
      <w:r w:rsidR="00DA5E33">
        <w:t>owever</w:t>
      </w:r>
      <w:r w:rsidR="00EF2D08">
        <w:t>,</w:t>
      </w:r>
      <w:r w:rsidR="00DA5E33">
        <w:t xml:space="preserve"> FDG</w:t>
      </w:r>
      <w:r w:rsidR="00AD428D">
        <w:t xml:space="preserve"> </w:t>
      </w:r>
      <w:r w:rsidR="00DA5E33">
        <w:t>PET/CT is more costly</w:t>
      </w:r>
      <w:r w:rsidR="00EA72FA">
        <w:t xml:space="preserve">, involves radiotracer production and handling, has a longer scan </w:t>
      </w:r>
      <w:r w:rsidR="00F12EC0">
        <w:t>a</w:t>
      </w:r>
      <w:r w:rsidR="00491BB1">
        <w:t xml:space="preserve">cquisition </w:t>
      </w:r>
      <w:r w:rsidR="00EA72FA">
        <w:t xml:space="preserve">time and </w:t>
      </w:r>
      <w:r w:rsidR="7091D256">
        <w:t xml:space="preserve">is </w:t>
      </w:r>
      <w:r w:rsidR="00491BB1">
        <w:t>not as readily</w:t>
      </w:r>
      <w:r w:rsidR="00EA72FA">
        <w:t xml:space="preserve"> available</w:t>
      </w:r>
      <w:r w:rsidR="00DE4E06">
        <w:t xml:space="preserve"> than MRI or CT</w:t>
      </w:r>
      <w:r w:rsidR="66491293">
        <w:t>, particularly in regional and rural areas</w:t>
      </w:r>
      <w:r w:rsidR="00EA72FA">
        <w:t xml:space="preserve">. </w:t>
      </w:r>
    </w:p>
    <w:p w14:paraId="52557622" w14:textId="0584F766" w:rsidR="005458E4" w:rsidRDefault="005458E4" w:rsidP="00D4633E">
      <w:r>
        <w:t>An additional advantage of FDG</w:t>
      </w:r>
      <w:r w:rsidR="00AD428D">
        <w:t xml:space="preserve"> </w:t>
      </w:r>
      <w:r>
        <w:t>PET/CT over MRI is proposed in paediatric bone and joint infections</w:t>
      </w:r>
      <w:r w:rsidR="00476F6C">
        <w:t xml:space="preserve"> where sedation or anaesthesia is commonly required for MRI but can be omitted in FDG</w:t>
      </w:r>
      <w:r w:rsidR="00AD428D">
        <w:t xml:space="preserve"> </w:t>
      </w:r>
      <w:r w:rsidR="00476F6C">
        <w:t>PET/CT</w:t>
      </w:r>
      <w:r w:rsidR="001F3B9D">
        <w:t>.</w:t>
      </w:r>
      <w:r w:rsidR="00476F6C">
        <w:t xml:space="preserve"> </w:t>
      </w:r>
      <w:r w:rsidR="001F3B9D">
        <w:t>T</w:t>
      </w:r>
      <w:r w:rsidR="00476F6C">
        <w:t>herefore</w:t>
      </w:r>
      <w:r w:rsidR="001F3B9D">
        <w:t>,</w:t>
      </w:r>
      <w:r w:rsidR="00476F6C">
        <w:t xml:space="preserve"> for this subpopulation</w:t>
      </w:r>
      <w:r w:rsidR="00DC5B65">
        <w:t>,</w:t>
      </w:r>
      <w:r w:rsidR="00476F6C">
        <w:t xml:space="preserve"> </w:t>
      </w:r>
      <w:r w:rsidR="00DC5B65">
        <w:t xml:space="preserve">the </w:t>
      </w:r>
      <w:r w:rsidR="009C39D9">
        <w:t>practical advantage</w:t>
      </w:r>
      <w:r w:rsidR="00DC5B65">
        <w:t>s</w:t>
      </w:r>
      <w:r w:rsidR="009C39D9">
        <w:t xml:space="preserve"> of the proposed intervention over MRI are greater</w:t>
      </w:r>
      <w:r w:rsidR="00FD4065">
        <w:t xml:space="preserve"> and it is anticipated that FDG</w:t>
      </w:r>
      <w:r w:rsidR="00AD428D">
        <w:t xml:space="preserve"> </w:t>
      </w:r>
      <w:r w:rsidR="00FD4065">
        <w:t xml:space="preserve">PET/CT </w:t>
      </w:r>
      <w:r w:rsidR="627CCCF5">
        <w:t>c</w:t>
      </w:r>
      <w:r w:rsidR="00FD4065">
        <w:t>ould replace MRI in many cases</w:t>
      </w:r>
      <w:r w:rsidR="4A59141A">
        <w:t>,</w:t>
      </w:r>
      <w:r w:rsidR="00FD4065">
        <w:t xml:space="preserve"> </w:t>
      </w:r>
      <w:r w:rsidR="4A59141A">
        <w:t xml:space="preserve">depending on machine availability, </w:t>
      </w:r>
      <w:r w:rsidR="00FD4065">
        <w:t>rather than be undertaken following negative MRI.</w:t>
      </w:r>
    </w:p>
    <w:p w14:paraId="2327DB67" w14:textId="773F6D6C" w:rsidR="00900EF6" w:rsidRDefault="00900EF6" w:rsidP="00900EF6">
      <w:pPr>
        <w:pStyle w:val="Heading4"/>
      </w:pPr>
      <w:r>
        <w:t>Nuclear imaging</w:t>
      </w:r>
    </w:p>
    <w:p w14:paraId="3AD91F1E" w14:textId="777D5FEC" w:rsidR="00D30EE1" w:rsidRDefault="003D3E31" w:rsidP="00900EF6">
      <w:r>
        <w:t xml:space="preserve">Where anatomical imaging fails to lead to diagnosis or is insufficient to direct treatment, </w:t>
      </w:r>
      <w:r w:rsidR="006D73CF">
        <w:t xml:space="preserve">nuclear imaging is used. There are 3 tests relevant to the </w:t>
      </w:r>
      <w:r w:rsidR="00313777">
        <w:t>assessment:</w:t>
      </w:r>
      <w:r w:rsidR="006D73CF">
        <w:t xml:space="preserve"> Ga</w:t>
      </w:r>
      <w:r w:rsidR="004B0159">
        <w:t>-67</w:t>
      </w:r>
      <w:r w:rsidR="006D73CF">
        <w:t xml:space="preserve"> scintigraphy</w:t>
      </w:r>
      <w:r w:rsidR="00437040">
        <w:t>;</w:t>
      </w:r>
      <w:r w:rsidR="006D73CF">
        <w:t xml:space="preserve"> 3-phase bone scan</w:t>
      </w:r>
      <w:r w:rsidR="00DC485F">
        <w:t>ning</w:t>
      </w:r>
      <w:r w:rsidR="00437040">
        <w:t>;</w:t>
      </w:r>
      <w:r w:rsidR="006D73CF">
        <w:t xml:space="preserve"> and WBC scan</w:t>
      </w:r>
      <w:r w:rsidR="00DC485F">
        <w:t>ning</w:t>
      </w:r>
      <w:r w:rsidR="00720609">
        <w:t xml:space="preserve"> (</w:t>
      </w:r>
      <w:r w:rsidR="00720609">
        <w:fldChar w:fldCharType="begin"/>
      </w:r>
      <w:r w:rsidR="00720609">
        <w:instrText xml:space="preserve"> REF _Ref234347050 \h </w:instrText>
      </w:r>
      <w:r w:rsidR="00720609">
        <w:fldChar w:fldCharType="separate"/>
      </w:r>
      <w:r w:rsidR="00123047">
        <w:t xml:space="preserve">Table </w:t>
      </w:r>
      <w:r w:rsidR="00123047">
        <w:rPr>
          <w:noProof/>
        </w:rPr>
        <w:t>5</w:t>
      </w:r>
      <w:r w:rsidR="00720609">
        <w:fldChar w:fldCharType="end"/>
      </w:r>
      <w:r w:rsidR="00720609">
        <w:t>)</w:t>
      </w:r>
      <w:r w:rsidR="006D73CF">
        <w:t xml:space="preserve">. </w:t>
      </w:r>
      <w:r w:rsidR="00182752">
        <w:t>All can be combined with</w:t>
      </w:r>
      <w:r w:rsidR="0014255F" w:rsidRPr="0014255F">
        <w:t xml:space="preserve"> single photon emission computed tomography</w:t>
      </w:r>
      <w:r w:rsidR="0014255F">
        <w:t xml:space="preserve"> (</w:t>
      </w:r>
      <w:r w:rsidR="00182752">
        <w:t>SPECT</w:t>
      </w:r>
      <w:r w:rsidR="00F41DF4">
        <w:t>) or SPECT/</w:t>
      </w:r>
      <w:r w:rsidR="00182752">
        <w:t xml:space="preserve">CT to improve anatomic localisation. </w:t>
      </w:r>
      <w:r w:rsidR="002B33B3">
        <w:t xml:space="preserve">Not all are relevant to each </w:t>
      </w:r>
      <w:r w:rsidR="009107F3">
        <w:t>subgroup,</w:t>
      </w:r>
      <w:r w:rsidR="002B33B3">
        <w:t xml:space="preserve"> but </w:t>
      </w:r>
      <w:r w:rsidR="00D36E06">
        <w:t>they are all proposed as direct comparators to FDG</w:t>
      </w:r>
      <w:r w:rsidR="00AD428D">
        <w:t xml:space="preserve"> </w:t>
      </w:r>
      <w:r w:rsidR="00D36E06">
        <w:t xml:space="preserve">PET/CT </w:t>
      </w:r>
      <w:r w:rsidR="0087574B">
        <w:t>and are proposed to be</w:t>
      </w:r>
      <w:r w:rsidR="00ED1745">
        <w:t xml:space="preserve"> replaced by</w:t>
      </w:r>
      <w:r w:rsidR="00A0048C">
        <w:t xml:space="preserve"> the introduction of the proposed intervention. However, </w:t>
      </w:r>
      <w:r w:rsidR="00920166">
        <w:t>replacement may only be partial as in some cases one of the existing tests may</w:t>
      </w:r>
      <w:r w:rsidR="00725A44">
        <w:t xml:space="preserve"> </w:t>
      </w:r>
      <w:r w:rsidR="00920166">
        <w:t>be preferred</w:t>
      </w:r>
      <w:r w:rsidR="003943A0">
        <w:t xml:space="preserve">, </w:t>
      </w:r>
      <w:r w:rsidR="00D751C9">
        <w:t>su</w:t>
      </w:r>
      <w:r w:rsidR="00B43C99">
        <w:t>c</w:t>
      </w:r>
      <w:r w:rsidR="00D751C9">
        <w:t>h as</w:t>
      </w:r>
      <w:r w:rsidR="003943A0">
        <w:t xml:space="preserve"> where a patient has had recent surgery or fracture that may show high FDG uptake due to inflammation.</w:t>
      </w:r>
      <w:r w:rsidR="007858A9">
        <w:t xml:space="preserve"> </w:t>
      </w:r>
      <w:r w:rsidR="00983A0A">
        <w:t xml:space="preserve">Furthermore, </w:t>
      </w:r>
      <w:r w:rsidR="00A4484B">
        <w:t>because of the</w:t>
      </w:r>
      <w:r w:rsidR="00983A0A">
        <w:t xml:space="preserve"> limitations</w:t>
      </w:r>
      <w:r w:rsidR="00A4484B">
        <w:t xml:space="preserve"> of individual </w:t>
      </w:r>
      <w:r w:rsidR="0034663A">
        <w:t>nuclear imaging tests</w:t>
      </w:r>
      <w:r w:rsidR="00983A0A">
        <w:t>, patients who are diagnostically challenging may have more than one nuclear imaging test</w:t>
      </w:r>
      <w:r w:rsidR="00D30EE1">
        <w:t>.</w:t>
      </w:r>
    </w:p>
    <w:p w14:paraId="72D73CA0" w14:textId="4DF463CB" w:rsidR="009E557E" w:rsidRDefault="009E557E" w:rsidP="009E557E">
      <w:pPr>
        <w:pStyle w:val="Caption"/>
      </w:pPr>
      <w:bookmarkStart w:id="8" w:name="_Ref234347050"/>
      <w:r>
        <w:lastRenderedPageBreak/>
        <w:t xml:space="preserve">Table </w:t>
      </w:r>
      <w:r>
        <w:fldChar w:fldCharType="begin"/>
      </w:r>
      <w:r>
        <w:instrText xml:space="preserve"> SEQ Table \* ARABIC </w:instrText>
      </w:r>
      <w:r>
        <w:fldChar w:fldCharType="separate"/>
      </w:r>
      <w:r w:rsidR="003C210B">
        <w:rPr>
          <w:noProof/>
        </w:rPr>
        <w:t>5</w:t>
      </w:r>
      <w:r>
        <w:fldChar w:fldCharType="end"/>
      </w:r>
      <w:bookmarkEnd w:id="8"/>
      <w:r>
        <w:tab/>
        <w:t>Summary of comparator nuclear imaging tests and t</w:t>
      </w:r>
      <w:r w:rsidR="00F877B2">
        <w:t xml:space="preserve">heir </w:t>
      </w:r>
      <w:r w:rsidR="000141D7">
        <w:t xml:space="preserve">key </w:t>
      </w:r>
      <w:r w:rsidR="00F877B2">
        <w:t>advantages and disadvantages compared to FDG</w:t>
      </w:r>
      <w:r w:rsidR="00AD428D">
        <w:t> </w:t>
      </w:r>
      <w:r w:rsidR="00F877B2">
        <w:t>PET/CT</w:t>
      </w:r>
    </w:p>
    <w:tbl>
      <w:tblPr>
        <w:tblStyle w:val="TableGrid"/>
        <w:tblW w:w="0" w:type="auto"/>
        <w:tblInd w:w="0" w:type="dxa"/>
        <w:tblLook w:val="04A0" w:firstRow="1" w:lastRow="0" w:firstColumn="1" w:lastColumn="0" w:noHBand="0" w:noVBand="1"/>
        <w:tblCaption w:val="Summary of comparator nuclear imaging tests and their key advantages and disadvantages compared to FDG PET/CT"/>
        <w:tblDescription w:val="Table that summarises key differences and advantages and disadvantages of the comparator nuclear imaging tests"/>
      </w:tblPr>
      <w:tblGrid>
        <w:gridCol w:w="1413"/>
        <w:gridCol w:w="2039"/>
        <w:gridCol w:w="2040"/>
        <w:gridCol w:w="2039"/>
        <w:gridCol w:w="2040"/>
      </w:tblGrid>
      <w:tr w:rsidR="002E00CC" w14:paraId="24887057" w14:textId="77777777" w:rsidTr="00DE4DB0">
        <w:trPr>
          <w:cantSplit/>
          <w:tblHeader/>
        </w:trPr>
        <w:tc>
          <w:tcPr>
            <w:tcW w:w="1413" w:type="dxa"/>
          </w:tcPr>
          <w:p w14:paraId="5790415B" w14:textId="09C4FDE4" w:rsidR="002E00CC" w:rsidRDefault="00F52836" w:rsidP="002E00CC">
            <w:pPr>
              <w:pStyle w:val="TableHeading"/>
            </w:pPr>
            <w:r>
              <w:t>Item</w:t>
            </w:r>
          </w:p>
        </w:tc>
        <w:tc>
          <w:tcPr>
            <w:tcW w:w="2039" w:type="dxa"/>
          </w:tcPr>
          <w:p w14:paraId="192C44EB" w14:textId="237C685E" w:rsidR="002E00CC" w:rsidRPr="002E00CC" w:rsidRDefault="002E00CC" w:rsidP="002E00CC">
            <w:pPr>
              <w:pStyle w:val="TableHeading"/>
            </w:pPr>
            <w:r w:rsidRPr="002E00CC">
              <w:t>Ga</w:t>
            </w:r>
            <w:r w:rsidR="00402D89">
              <w:t>-67</w:t>
            </w:r>
            <w:r w:rsidRPr="002E00CC">
              <w:t xml:space="preserve"> scintigraphy</w:t>
            </w:r>
          </w:p>
        </w:tc>
        <w:tc>
          <w:tcPr>
            <w:tcW w:w="2040" w:type="dxa"/>
          </w:tcPr>
          <w:p w14:paraId="54281B18" w14:textId="60779DBC" w:rsidR="002E00CC" w:rsidRDefault="002E00CC" w:rsidP="002E00CC">
            <w:pPr>
              <w:pStyle w:val="TableHeading"/>
            </w:pPr>
            <w:r>
              <w:t>3-phase bone scan</w:t>
            </w:r>
          </w:p>
        </w:tc>
        <w:tc>
          <w:tcPr>
            <w:tcW w:w="2039" w:type="dxa"/>
          </w:tcPr>
          <w:p w14:paraId="21A45C29" w14:textId="2AF8172E" w:rsidR="002E00CC" w:rsidRDefault="002E00CC" w:rsidP="002E00CC">
            <w:pPr>
              <w:pStyle w:val="TableHeading"/>
            </w:pPr>
            <w:r>
              <w:t>WBC scan</w:t>
            </w:r>
          </w:p>
        </w:tc>
        <w:tc>
          <w:tcPr>
            <w:tcW w:w="2040" w:type="dxa"/>
          </w:tcPr>
          <w:p w14:paraId="39704EB6" w14:textId="0ABD6731" w:rsidR="002E00CC" w:rsidRDefault="002E00CC" w:rsidP="002E00CC">
            <w:pPr>
              <w:pStyle w:val="TableHeading"/>
            </w:pPr>
            <w:r>
              <w:t>FDG</w:t>
            </w:r>
            <w:r w:rsidR="00D8196B">
              <w:t xml:space="preserve"> </w:t>
            </w:r>
            <w:r>
              <w:t>PET/CT</w:t>
            </w:r>
          </w:p>
        </w:tc>
      </w:tr>
      <w:tr w:rsidR="002E00CC" w14:paraId="11E17AD7" w14:textId="77777777" w:rsidTr="00DE4DB0">
        <w:trPr>
          <w:cantSplit/>
          <w:tblHeader/>
        </w:trPr>
        <w:tc>
          <w:tcPr>
            <w:tcW w:w="1413" w:type="dxa"/>
          </w:tcPr>
          <w:p w14:paraId="214A7361" w14:textId="54854C03" w:rsidR="002E00CC" w:rsidRDefault="002E00CC" w:rsidP="002E00CC">
            <w:pPr>
              <w:pStyle w:val="TableText0"/>
            </w:pPr>
            <w:r>
              <w:t>Tracer</w:t>
            </w:r>
          </w:p>
        </w:tc>
        <w:tc>
          <w:tcPr>
            <w:tcW w:w="2039" w:type="dxa"/>
          </w:tcPr>
          <w:p w14:paraId="2A52CA60" w14:textId="0548C74B" w:rsidR="002E00CC" w:rsidRDefault="00165A14" w:rsidP="00312B2C">
            <w:pPr>
              <w:pStyle w:val="TableText0"/>
            </w:pPr>
            <w:r w:rsidRPr="00165A14">
              <w:t>Ga-67 citrate</w:t>
            </w:r>
          </w:p>
        </w:tc>
        <w:tc>
          <w:tcPr>
            <w:tcW w:w="2040" w:type="dxa"/>
          </w:tcPr>
          <w:p w14:paraId="40390570" w14:textId="50202E98" w:rsidR="002E00CC" w:rsidRDefault="00165A14" w:rsidP="002E00CC">
            <w:pPr>
              <w:pStyle w:val="TableText0"/>
            </w:pPr>
            <w:r>
              <w:t xml:space="preserve">Technetium-99m </w:t>
            </w:r>
            <w:r w:rsidR="00617028" w:rsidRPr="00617028">
              <w:t xml:space="preserve">methylene diphosphonate </w:t>
            </w:r>
            <w:r w:rsidR="00617028">
              <w:t>(</w:t>
            </w:r>
            <w:r>
              <w:t>MDP</w:t>
            </w:r>
            <w:r w:rsidR="00617028">
              <w:t>)</w:t>
            </w:r>
          </w:p>
        </w:tc>
        <w:tc>
          <w:tcPr>
            <w:tcW w:w="2039" w:type="dxa"/>
          </w:tcPr>
          <w:p w14:paraId="6692722D" w14:textId="3310CF7A" w:rsidR="002E00CC" w:rsidRDefault="00541CC6" w:rsidP="002E00CC">
            <w:pPr>
              <w:pStyle w:val="TableText0"/>
            </w:pPr>
            <w:r w:rsidRPr="00541CC6">
              <w:t>technetium-99m stannous colloid</w:t>
            </w:r>
            <w:r>
              <w:rPr>
                <w:vertAlign w:val="superscript"/>
              </w:rPr>
              <w:t>a</w:t>
            </w:r>
          </w:p>
        </w:tc>
        <w:tc>
          <w:tcPr>
            <w:tcW w:w="2040" w:type="dxa"/>
          </w:tcPr>
          <w:p w14:paraId="1B33160C" w14:textId="59BFD95C" w:rsidR="002E00CC" w:rsidRDefault="000A1C0E" w:rsidP="002E00CC">
            <w:pPr>
              <w:pStyle w:val="TableText0"/>
            </w:pPr>
            <w:r>
              <w:t>F-</w:t>
            </w:r>
            <w:r w:rsidR="000504B2">
              <w:t xml:space="preserve">18 </w:t>
            </w:r>
            <w:r>
              <w:t>fluorodeoxyglucose</w:t>
            </w:r>
          </w:p>
        </w:tc>
      </w:tr>
      <w:tr w:rsidR="002E00CC" w14:paraId="110027DE" w14:textId="77777777" w:rsidTr="00DE4DB0">
        <w:trPr>
          <w:cantSplit/>
          <w:tblHeader/>
        </w:trPr>
        <w:tc>
          <w:tcPr>
            <w:tcW w:w="1413" w:type="dxa"/>
          </w:tcPr>
          <w:p w14:paraId="12325197" w14:textId="2772AE28" w:rsidR="002E00CC" w:rsidRDefault="00C7462B" w:rsidP="002E00CC">
            <w:pPr>
              <w:pStyle w:val="TableText0"/>
            </w:pPr>
            <w:r>
              <w:t>Scan duration (from injection)</w:t>
            </w:r>
          </w:p>
        </w:tc>
        <w:tc>
          <w:tcPr>
            <w:tcW w:w="2039" w:type="dxa"/>
          </w:tcPr>
          <w:p w14:paraId="382D5397" w14:textId="7BCC7BAB" w:rsidR="002E00CC" w:rsidRDefault="00C7462B" w:rsidP="002E00CC">
            <w:pPr>
              <w:pStyle w:val="TableText0"/>
            </w:pPr>
            <w:r>
              <w:t>up to 72 hours</w:t>
            </w:r>
          </w:p>
        </w:tc>
        <w:tc>
          <w:tcPr>
            <w:tcW w:w="2040" w:type="dxa"/>
          </w:tcPr>
          <w:p w14:paraId="2F70CC46" w14:textId="6EDFE82E" w:rsidR="002E00CC" w:rsidRDefault="00C7462B" w:rsidP="002E00CC">
            <w:pPr>
              <w:pStyle w:val="TableText0"/>
            </w:pPr>
            <w:r>
              <w:t>2 – 4 hours</w:t>
            </w:r>
          </w:p>
        </w:tc>
        <w:tc>
          <w:tcPr>
            <w:tcW w:w="2039" w:type="dxa"/>
          </w:tcPr>
          <w:p w14:paraId="155958AC" w14:textId="3A7182D5" w:rsidR="002E00CC" w:rsidRDefault="00C7462B" w:rsidP="002E00CC">
            <w:pPr>
              <w:pStyle w:val="TableText0"/>
            </w:pPr>
            <w:r>
              <w:t>4 – 24 hours</w:t>
            </w:r>
          </w:p>
        </w:tc>
        <w:tc>
          <w:tcPr>
            <w:tcW w:w="2040" w:type="dxa"/>
          </w:tcPr>
          <w:p w14:paraId="1FAB7DA7" w14:textId="2092CD88" w:rsidR="002E00CC" w:rsidRDefault="00763BDB" w:rsidP="002E00CC">
            <w:pPr>
              <w:pStyle w:val="TableText0"/>
            </w:pPr>
            <w:r>
              <w:t>1 – 2 hours</w:t>
            </w:r>
          </w:p>
        </w:tc>
      </w:tr>
      <w:tr w:rsidR="002E00CC" w14:paraId="4D9C215D" w14:textId="77777777" w:rsidTr="00DE4DB0">
        <w:trPr>
          <w:cantSplit/>
          <w:tblHeader/>
        </w:trPr>
        <w:tc>
          <w:tcPr>
            <w:tcW w:w="1413" w:type="dxa"/>
          </w:tcPr>
          <w:p w14:paraId="4E062BF7" w14:textId="18582AC4" w:rsidR="002E00CC" w:rsidRDefault="00ED2F22" w:rsidP="002E00CC">
            <w:pPr>
              <w:pStyle w:val="TableText0"/>
            </w:pPr>
            <w:r>
              <w:t>Advantages</w:t>
            </w:r>
          </w:p>
        </w:tc>
        <w:tc>
          <w:tcPr>
            <w:tcW w:w="2039" w:type="dxa"/>
          </w:tcPr>
          <w:p w14:paraId="1285D542" w14:textId="0D8A93EB" w:rsidR="002E00CC" w:rsidRDefault="004018D5" w:rsidP="002E00CC">
            <w:pPr>
              <w:pStyle w:val="TableText0"/>
            </w:pPr>
            <w:r>
              <w:t>Whole body</w:t>
            </w:r>
          </w:p>
        </w:tc>
        <w:tc>
          <w:tcPr>
            <w:tcW w:w="2040" w:type="dxa"/>
          </w:tcPr>
          <w:p w14:paraId="66FF3AAB" w14:textId="77777777" w:rsidR="002E00CC" w:rsidRDefault="00DE6664" w:rsidP="002E00CC">
            <w:pPr>
              <w:pStyle w:val="TableText0"/>
            </w:pPr>
            <w:r>
              <w:t>Specific for bone pathology</w:t>
            </w:r>
          </w:p>
          <w:p w14:paraId="5DD18509" w14:textId="4EB3619B" w:rsidR="00687A31" w:rsidRDefault="00687A31" w:rsidP="00402D89">
            <w:pPr>
              <w:pStyle w:val="TableText0"/>
              <w:spacing w:before="120"/>
            </w:pPr>
            <w:r>
              <w:t>Low cost</w:t>
            </w:r>
          </w:p>
        </w:tc>
        <w:tc>
          <w:tcPr>
            <w:tcW w:w="2039" w:type="dxa"/>
          </w:tcPr>
          <w:p w14:paraId="0D71FF50" w14:textId="77777777" w:rsidR="002E00CC" w:rsidRDefault="004018D5" w:rsidP="002E00CC">
            <w:pPr>
              <w:pStyle w:val="TableText0"/>
            </w:pPr>
            <w:r>
              <w:t>Whole body</w:t>
            </w:r>
          </w:p>
          <w:p w14:paraId="49E99019" w14:textId="382B7A15" w:rsidR="002A5A2D" w:rsidRDefault="002A5A2D" w:rsidP="00402D89">
            <w:pPr>
              <w:pStyle w:val="TableText0"/>
              <w:spacing w:before="120"/>
            </w:pPr>
            <w:r>
              <w:t>Most specific for infection</w:t>
            </w:r>
          </w:p>
        </w:tc>
        <w:tc>
          <w:tcPr>
            <w:tcW w:w="2040" w:type="dxa"/>
          </w:tcPr>
          <w:p w14:paraId="5A05F45F" w14:textId="523C952E" w:rsidR="004018D5" w:rsidRDefault="004018D5" w:rsidP="002E00CC">
            <w:pPr>
              <w:pStyle w:val="TableText0"/>
            </w:pPr>
            <w:r>
              <w:t>Whole body</w:t>
            </w:r>
          </w:p>
          <w:p w14:paraId="016B69AB" w14:textId="6DA12499" w:rsidR="002E00CC" w:rsidRDefault="00921AF9" w:rsidP="00402D89">
            <w:pPr>
              <w:pStyle w:val="TableText0"/>
              <w:spacing w:before="120"/>
            </w:pPr>
            <w:r>
              <w:t>Fast with only 1 timestamp</w:t>
            </w:r>
          </w:p>
          <w:p w14:paraId="2049E327" w14:textId="4603AE50" w:rsidR="00921AF9" w:rsidRDefault="00921AF9" w:rsidP="00402D89">
            <w:pPr>
              <w:pStyle w:val="TableText0"/>
              <w:spacing w:before="120"/>
            </w:pPr>
            <w:r>
              <w:t>Better anatomical imag</w:t>
            </w:r>
            <w:r w:rsidR="00604726">
              <w:t>e resolution</w:t>
            </w:r>
          </w:p>
        </w:tc>
      </w:tr>
      <w:tr w:rsidR="002E00CC" w14:paraId="5BEF2570" w14:textId="77777777" w:rsidTr="00DE4DB0">
        <w:trPr>
          <w:cantSplit/>
          <w:tblHeader/>
        </w:trPr>
        <w:tc>
          <w:tcPr>
            <w:tcW w:w="1413" w:type="dxa"/>
          </w:tcPr>
          <w:p w14:paraId="79B8D096" w14:textId="53F39869" w:rsidR="002E00CC" w:rsidRDefault="00ED2F22" w:rsidP="002E00CC">
            <w:pPr>
              <w:pStyle w:val="TableText0"/>
            </w:pPr>
            <w:r>
              <w:t>Disadvantages</w:t>
            </w:r>
          </w:p>
        </w:tc>
        <w:tc>
          <w:tcPr>
            <w:tcW w:w="2039" w:type="dxa"/>
          </w:tcPr>
          <w:p w14:paraId="7B671DA4" w14:textId="5DF1C8DC" w:rsidR="00900DAF" w:rsidRDefault="00921AF9" w:rsidP="002E00CC">
            <w:pPr>
              <w:pStyle w:val="TableText0"/>
            </w:pPr>
            <w:r>
              <w:t>Close contact restrictions</w:t>
            </w:r>
            <w:r w:rsidR="00701F05">
              <w:t>/ higher radiation dose</w:t>
            </w:r>
          </w:p>
          <w:p w14:paraId="1FD991F5" w14:textId="15B27CB6" w:rsidR="002E00CC" w:rsidRDefault="00921AF9" w:rsidP="00402D89">
            <w:pPr>
              <w:pStyle w:val="TableText0"/>
              <w:spacing w:before="120"/>
            </w:pPr>
            <w:r>
              <w:t>Long duration</w:t>
            </w:r>
          </w:p>
          <w:p w14:paraId="3DF0B2B2" w14:textId="5B18559C" w:rsidR="00F149A1" w:rsidRDefault="00F149A1" w:rsidP="00402D89">
            <w:pPr>
              <w:pStyle w:val="TableText0"/>
              <w:spacing w:before="120"/>
            </w:pPr>
            <w:r>
              <w:t>Tracer availability maybe limited</w:t>
            </w:r>
          </w:p>
        </w:tc>
        <w:tc>
          <w:tcPr>
            <w:tcW w:w="2040" w:type="dxa"/>
          </w:tcPr>
          <w:p w14:paraId="42270899" w14:textId="499DF085" w:rsidR="002E00CC" w:rsidRDefault="00E776EA" w:rsidP="002E00CC">
            <w:pPr>
              <w:pStyle w:val="TableText0"/>
            </w:pPr>
            <w:r>
              <w:t>Not applicable for non-bone sites</w:t>
            </w:r>
          </w:p>
        </w:tc>
        <w:tc>
          <w:tcPr>
            <w:tcW w:w="2039" w:type="dxa"/>
          </w:tcPr>
          <w:p w14:paraId="6E81A408" w14:textId="379F7A2E" w:rsidR="002E00CC" w:rsidRDefault="00672E93" w:rsidP="002E00CC">
            <w:pPr>
              <w:pStyle w:val="TableText0"/>
            </w:pPr>
            <w:r>
              <w:t>Requires blood handling</w:t>
            </w:r>
            <w:r w:rsidR="00A46F5F">
              <w:t xml:space="preserve">/ </w:t>
            </w:r>
            <w:r w:rsidR="00A54B87">
              <w:t>labour-intensive</w:t>
            </w:r>
          </w:p>
        </w:tc>
        <w:tc>
          <w:tcPr>
            <w:tcW w:w="2040" w:type="dxa"/>
          </w:tcPr>
          <w:p w14:paraId="7E7EA78F" w14:textId="48597757" w:rsidR="00DE6664" w:rsidRDefault="00F11EFF" w:rsidP="002E00CC">
            <w:pPr>
              <w:pStyle w:val="TableText0"/>
            </w:pPr>
            <w:r>
              <w:t>Uptake not specific to infection, also due to inflammation, malignancy</w:t>
            </w:r>
          </w:p>
        </w:tc>
      </w:tr>
      <w:tr w:rsidR="00D857C3" w14:paraId="798C6258" w14:textId="77777777" w:rsidTr="00DE4DB0">
        <w:trPr>
          <w:cantSplit/>
          <w:tblHeader/>
        </w:trPr>
        <w:tc>
          <w:tcPr>
            <w:tcW w:w="1413" w:type="dxa"/>
          </w:tcPr>
          <w:p w14:paraId="007C29B6" w14:textId="14B636CD" w:rsidR="00D857C3" w:rsidRDefault="00D857C3" w:rsidP="00D857C3">
            <w:pPr>
              <w:pStyle w:val="TableText0"/>
            </w:pPr>
            <w:r>
              <w:t>MBS items</w:t>
            </w:r>
          </w:p>
        </w:tc>
        <w:tc>
          <w:tcPr>
            <w:tcW w:w="2039" w:type="dxa"/>
          </w:tcPr>
          <w:p w14:paraId="6EC8FFED" w14:textId="35758225" w:rsidR="00D857C3" w:rsidRDefault="00D857C3" w:rsidP="00D857C3">
            <w:pPr>
              <w:pStyle w:val="TableText0"/>
            </w:pPr>
            <w:r w:rsidRPr="00B40B2F">
              <w:t>61429, 61430, 61442, 61450 or 61453.</w:t>
            </w:r>
          </w:p>
        </w:tc>
        <w:tc>
          <w:tcPr>
            <w:tcW w:w="2040" w:type="dxa"/>
          </w:tcPr>
          <w:p w14:paraId="3658CD6F" w14:textId="610942BE" w:rsidR="00D857C3" w:rsidRDefault="00D857C3" w:rsidP="00D857C3">
            <w:pPr>
              <w:pStyle w:val="TableText0"/>
            </w:pPr>
            <w:r>
              <w:t>61446</w:t>
            </w:r>
            <w:r w:rsidR="00C723C4">
              <w:t>, 61499</w:t>
            </w:r>
          </w:p>
        </w:tc>
        <w:tc>
          <w:tcPr>
            <w:tcW w:w="2039" w:type="dxa"/>
          </w:tcPr>
          <w:p w14:paraId="07CDFC83" w14:textId="050950DF" w:rsidR="00D857C3" w:rsidRDefault="00D857C3" w:rsidP="00D857C3">
            <w:pPr>
              <w:pStyle w:val="TableText0"/>
            </w:pPr>
            <w:r>
              <w:t>61433, 61434</w:t>
            </w:r>
            <w:r w:rsidR="000E660A">
              <w:t>, 6145</w:t>
            </w:r>
            <w:r w:rsidR="00516B46">
              <w:t>4, 61457</w:t>
            </w:r>
          </w:p>
        </w:tc>
        <w:tc>
          <w:tcPr>
            <w:tcW w:w="2040" w:type="dxa"/>
          </w:tcPr>
          <w:p w14:paraId="045CDCB9" w14:textId="3AB6D434" w:rsidR="00D857C3" w:rsidRDefault="0092623E" w:rsidP="00D857C3">
            <w:pPr>
              <w:pStyle w:val="TableText0"/>
            </w:pPr>
            <w:r>
              <w:t>-</w:t>
            </w:r>
          </w:p>
        </w:tc>
      </w:tr>
      <w:tr w:rsidR="00D857C3" w14:paraId="2A309A27" w14:textId="77777777" w:rsidTr="00DE4DB0">
        <w:trPr>
          <w:cantSplit/>
          <w:tblHeader/>
        </w:trPr>
        <w:tc>
          <w:tcPr>
            <w:tcW w:w="1413" w:type="dxa"/>
          </w:tcPr>
          <w:p w14:paraId="19A5D291" w14:textId="75B02F91" w:rsidR="00D857C3" w:rsidRDefault="00D857C3" w:rsidP="00D857C3">
            <w:pPr>
              <w:pStyle w:val="TableText0"/>
            </w:pPr>
            <w:r>
              <w:t>MBS fee</w:t>
            </w:r>
          </w:p>
        </w:tc>
        <w:tc>
          <w:tcPr>
            <w:tcW w:w="2039" w:type="dxa"/>
          </w:tcPr>
          <w:p w14:paraId="36513AAB" w14:textId="1E2585F6" w:rsidR="00D857C3" w:rsidRDefault="00D857C3" w:rsidP="00D857C3">
            <w:pPr>
              <w:pStyle w:val="TableText0"/>
            </w:pPr>
            <w:r w:rsidRPr="009F285A">
              <w:t>$1,763.20</w:t>
            </w:r>
          </w:p>
        </w:tc>
        <w:tc>
          <w:tcPr>
            <w:tcW w:w="2040" w:type="dxa"/>
          </w:tcPr>
          <w:p w14:paraId="098BBD40" w14:textId="6829DA17" w:rsidR="00D857C3" w:rsidRDefault="00C723C4" w:rsidP="00D857C3">
            <w:pPr>
              <w:pStyle w:val="TableText0"/>
            </w:pPr>
            <w:r>
              <w:t>$496.05</w:t>
            </w:r>
          </w:p>
        </w:tc>
        <w:tc>
          <w:tcPr>
            <w:tcW w:w="2039" w:type="dxa"/>
          </w:tcPr>
          <w:p w14:paraId="50E7F90C" w14:textId="7016406E" w:rsidR="00D857C3" w:rsidRDefault="00D857C3" w:rsidP="00D857C3">
            <w:pPr>
              <w:pStyle w:val="TableText0"/>
            </w:pPr>
            <w:r>
              <w:t>$540.40</w:t>
            </w:r>
          </w:p>
        </w:tc>
        <w:tc>
          <w:tcPr>
            <w:tcW w:w="2040" w:type="dxa"/>
          </w:tcPr>
          <w:p w14:paraId="6E4A0F0F" w14:textId="6E8AB707" w:rsidR="00D857C3" w:rsidRDefault="00F8630E" w:rsidP="00D857C3">
            <w:pPr>
              <w:pStyle w:val="TableText0"/>
            </w:pPr>
            <w:r>
              <w:t>-</w:t>
            </w:r>
          </w:p>
        </w:tc>
      </w:tr>
    </w:tbl>
    <w:p w14:paraId="7B9C8877" w14:textId="53E13DB2" w:rsidR="00893205" w:rsidRDefault="00687721" w:rsidP="002E1325">
      <w:pPr>
        <w:pStyle w:val="Tablenotes"/>
      </w:pPr>
      <w:r w:rsidRPr="00687721">
        <w:t>CT = computed tomography;</w:t>
      </w:r>
      <w:r>
        <w:t xml:space="preserve"> </w:t>
      </w:r>
      <w:r w:rsidR="002E1325">
        <w:t>FDG = F</w:t>
      </w:r>
      <w:r w:rsidR="00183B5B">
        <w:t>-18</w:t>
      </w:r>
      <w:r w:rsidR="002E1325">
        <w:t xml:space="preserve"> fluorodeoxyglucose; </w:t>
      </w:r>
      <w:r w:rsidR="00402D89">
        <w:t xml:space="preserve">Ga-67 = gallium-67 citrate; </w:t>
      </w:r>
      <w:r w:rsidR="002E1325">
        <w:t>MBS = Medicare Benefits Schedule; PET = positron emission tomography; WBC = white blood cell.</w:t>
      </w:r>
    </w:p>
    <w:p w14:paraId="62A21715" w14:textId="442004D6" w:rsidR="00541CC6" w:rsidRDefault="00541CC6" w:rsidP="009A34DA">
      <w:pPr>
        <w:pStyle w:val="Tablenotes"/>
        <w:jc w:val="left"/>
      </w:pPr>
      <w:r>
        <w:t xml:space="preserve">a. </w:t>
      </w:r>
      <w:r w:rsidR="00817D8D">
        <w:t xml:space="preserve">In the literature, </w:t>
      </w:r>
      <w:r w:rsidR="00E06987">
        <w:t xml:space="preserve">WBC scanning </w:t>
      </w:r>
      <w:r w:rsidR="009865CC">
        <w:t xml:space="preserve">frequently uses </w:t>
      </w:r>
      <w:r w:rsidR="00817D8D">
        <w:t xml:space="preserve">indium-111 </w:t>
      </w:r>
      <w:r w:rsidR="009865CC">
        <w:t xml:space="preserve">or </w:t>
      </w:r>
      <w:r w:rsidR="00817D8D">
        <w:t>technetium-99m labelled</w:t>
      </w:r>
      <w:r w:rsidR="00DF0EAB">
        <w:t>-</w:t>
      </w:r>
      <w:r w:rsidR="00817D8D" w:rsidRPr="004D7237">
        <w:t xml:space="preserve">hexamethylpropyleneamine oxime </w:t>
      </w:r>
      <w:r w:rsidR="00817D8D">
        <w:t xml:space="preserve">(HMPAO), </w:t>
      </w:r>
      <w:r w:rsidR="00CA28B0">
        <w:t xml:space="preserve">but </w:t>
      </w:r>
      <w:hyperlink r:id="rId12" w:tooltip="Link to the application on the MSAC website" w:history="1">
        <w:r w:rsidR="00BE3FA6" w:rsidRPr="00116D34">
          <w:rPr>
            <w:rStyle w:val="Hyperlink"/>
            <w:rFonts w:ascii="Arial Narrow" w:hAnsi="Arial Narrow" w:cs="Arial"/>
          </w:rPr>
          <w:t>MSAC Application 1056</w:t>
        </w:r>
      </w:hyperlink>
      <w:r w:rsidR="00BE3FA6">
        <w:t xml:space="preserve"> indicates that </w:t>
      </w:r>
      <w:r w:rsidR="009A34DA" w:rsidRPr="00541CC6">
        <w:t>technetium-99m stannous colloid</w:t>
      </w:r>
      <w:r w:rsidR="009A34DA">
        <w:t xml:space="preserve"> is the most common tracer used in Australia.</w:t>
      </w:r>
    </w:p>
    <w:p w14:paraId="49335A1C" w14:textId="08197E33" w:rsidR="00D30EE1" w:rsidRDefault="00A044E1" w:rsidP="003F270B">
      <w:r>
        <w:t>Of the nuclear imaging comparators,</w:t>
      </w:r>
      <w:r w:rsidR="00D30EE1">
        <w:t xml:space="preserve"> </w:t>
      </w:r>
      <w:r w:rsidR="00D30EE1" w:rsidRPr="002E00CC">
        <w:t>Ga</w:t>
      </w:r>
      <w:r w:rsidR="004B0159">
        <w:t>-67</w:t>
      </w:r>
      <w:r w:rsidR="00D30EE1" w:rsidRPr="002E00CC">
        <w:t xml:space="preserve"> scintigraphy</w:t>
      </w:r>
      <w:r>
        <w:t xml:space="preserve"> is the most likely to be wholly replaced by FDG</w:t>
      </w:r>
      <w:r w:rsidR="000063E0">
        <w:t> </w:t>
      </w:r>
      <w:r>
        <w:t>PET/CT</w:t>
      </w:r>
      <w:r w:rsidR="00BA2A97">
        <w:t xml:space="preserve">. This is due to the higher radiation burden, longer scan time and poorer image quality of </w:t>
      </w:r>
      <w:r w:rsidR="00BA2A97" w:rsidRPr="002E00CC">
        <w:t>Ga</w:t>
      </w:r>
      <w:r w:rsidR="00AF7876">
        <w:t>-67</w:t>
      </w:r>
      <w:r w:rsidR="00BA2A97" w:rsidRPr="002E00CC">
        <w:t xml:space="preserve"> scintigraphy</w:t>
      </w:r>
      <w:r w:rsidR="007149C2">
        <w:t>,</w:t>
      </w:r>
      <w:r w:rsidR="00BA2A97">
        <w:t xml:space="preserve"> without </w:t>
      </w:r>
      <w:r w:rsidR="00C911B6">
        <w:t xml:space="preserve">any </w:t>
      </w:r>
      <w:r w:rsidR="00BA2A97">
        <w:t>specific advantages over FDG</w:t>
      </w:r>
      <w:r w:rsidR="000063E0">
        <w:t xml:space="preserve"> </w:t>
      </w:r>
      <w:r w:rsidR="00BA2A97">
        <w:t>PET/CT.</w:t>
      </w:r>
    </w:p>
    <w:p w14:paraId="4E658DB3" w14:textId="2B8597B3" w:rsidR="0080448E" w:rsidRDefault="0080448E" w:rsidP="003F270B">
      <w:r>
        <w:t xml:space="preserve">However, both bone </w:t>
      </w:r>
      <w:r w:rsidR="00154F71">
        <w:t>scan</w:t>
      </w:r>
      <w:r w:rsidR="00C911B6">
        <w:t>ning</w:t>
      </w:r>
      <w:r w:rsidR="00154F71">
        <w:t xml:space="preserve"> and WBC scan</w:t>
      </w:r>
      <w:r w:rsidR="00C911B6">
        <w:t>ning</w:t>
      </w:r>
      <w:r w:rsidR="00154F71">
        <w:t xml:space="preserve"> have advantages</w:t>
      </w:r>
      <w:r w:rsidR="00750488">
        <w:t xml:space="preserve"> and disadvantages</w:t>
      </w:r>
      <w:r w:rsidR="00154F71">
        <w:t xml:space="preserve"> compared to FDG</w:t>
      </w:r>
      <w:r w:rsidR="000063E0">
        <w:t> </w:t>
      </w:r>
      <w:r w:rsidR="00154F71">
        <w:t>PET/CT depending on the clinical indication and may only be partially replaced</w:t>
      </w:r>
      <w:r w:rsidR="00041D82">
        <w:t>.</w:t>
      </w:r>
      <w:r w:rsidR="000F4DAD">
        <w:t xml:space="preserve"> For</w:t>
      </w:r>
      <w:r w:rsidR="00041D82">
        <w:t xml:space="preserve"> </w:t>
      </w:r>
      <w:r w:rsidR="007928CF">
        <w:t>WBC</w:t>
      </w:r>
      <w:r w:rsidR="000F4DAD">
        <w:t xml:space="preserve"> scanning, </w:t>
      </w:r>
      <w:r w:rsidR="00C70E29">
        <w:t xml:space="preserve">a sample of the </w:t>
      </w:r>
      <w:r w:rsidR="00D108D7">
        <w:t>patient’s</w:t>
      </w:r>
      <w:r w:rsidR="00C70E29">
        <w:t xml:space="preserve"> blood is collected, labelled </w:t>
      </w:r>
      <w:r w:rsidR="00C70E29" w:rsidRPr="004B0159">
        <w:t>ex vivo</w:t>
      </w:r>
      <w:r w:rsidR="00C70E29">
        <w:t xml:space="preserve"> and then reinjected</w:t>
      </w:r>
      <w:r w:rsidR="007B71D0">
        <w:t>, which</w:t>
      </w:r>
      <w:r w:rsidR="00A56103">
        <w:t xml:space="preserve"> pos</w:t>
      </w:r>
      <w:r w:rsidR="007B71D0">
        <w:t>es</w:t>
      </w:r>
      <w:r w:rsidR="00A56103">
        <w:t xml:space="preserve"> risk</w:t>
      </w:r>
      <w:r w:rsidR="00941629">
        <w:t>s</w:t>
      </w:r>
      <w:r w:rsidR="00A56103">
        <w:t xml:space="preserve"> to </w:t>
      </w:r>
      <w:r w:rsidR="00284CBA">
        <w:t>patients, clinicians and technicians</w:t>
      </w:r>
      <w:r w:rsidR="00941629">
        <w:t>.</w:t>
      </w:r>
      <w:r w:rsidR="00F03BF2">
        <w:t xml:space="preserve"> </w:t>
      </w:r>
      <w:r w:rsidR="00941629">
        <w:t>H</w:t>
      </w:r>
      <w:r w:rsidR="00F03BF2">
        <w:t>owever</w:t>
      </w:r>
      <w:r w:rsidR="00941629">
        <w:t>,</w:t>
      </w:r>
      <w:r w:rsidR="00F03BF2">
        <w:t xml:space="preserve"> </w:t>
      </w:r>
      <w:r w:rsidR="00657516">
        <w:t xml:space="preserve">it is more specific to infection and therefore might be preferred where the pre-test probability is higher </w:t>
      </w:r>
      <w:r w:rsidR="00657516" w:rsidRPr="00657516">
        <w:rPr>
          <w:rFonts w:cs="Calibri"/>
        </w:rPr>
        <w:t>(Signore et al. 2018)</w:t>
      </w:r>
      <w:r w:rsidR="0059691B">
        <w:t xml:space="preserve">. In addition to autologous WBC scanning, </w:t>
      </w:r>
      <w:r w:rsidR="000006C0">
        <w:t xml:space="preserve">commercially available </w:t>
      </w:r>
      <w:r w:rsidR="003A3B6D">
        <w:t>antibody-based</w:t>
      </w:r>
      <w:r w:rsidR="000006C0">
        <w:t xml:space="preserve"> kits</w:t>
      </w:r>
      <w:r w:rsidR="00982F44">
        <w:t xml:space="preserve"> are available</w:t>
      </w:r>
      <w:r w:rsidR="00D94133">
        <w:t xml:space="preserve"> that negate the need </w:t>
      </w:r>
      <w:r w:rsidR="00477713">
        <w:t>for</w:t>
      </w:r>
      <w:r w:rsidR="00D94133">
        <w:t xml:space="preserve"> </w:t>
      </w:r>
      <w:r w:rsidR="00D94133" w:rsidRPr="00F72E26">
        <w:t>ex vivo</w:t>
      </w:r>
      <w:r w:rsidR="00D94133">
        <w:t xml:space="preserve"> labelling</w:t>
      </w:r>
      <w:r w:rsidR="002A1175">
        <w:t>.</w:t>
      </w:r>
      <w:r w:rsidR="000006C0">
        <w:t xml:space="preserve"> </w:t>
      </w:r>
      <w:r w:rsidR="002A1175">
        <w:t xml:space="preserve">For example, </w:t>
      </w:r>
      <w:r w:rsidR="00787FB8">
        <w:t>LeukoScan</w:t>
      </w:r>
      <w:r w:rsidR="000A1B03">
        <w:t xml:space="preserve"> </w:t>
      </w:r>
      <w:r w:rsidR="002A1175">
        <w:t xml:space="preserve">is </w:t>
      </w:r>
      <w:r w:rsidR="00D94133">
        <w:t>MBS</w:t>
      </w:r>
      <w:r w:rsidR="00E55912">
        <w:t>-</w:t>
      </w:r>
      <w:r w:rsidR="00D94133">
        <w:t>listed (</w:t>
      </w:r>
      <w:r w:rsidR="00B805B9">
        <w:t xml:space="preserve">MBS item 61650, </w:t>
      </w:r>
      <w:hyperlink r:id="rId13" w:tooltip="Link ot application 1056 on the MSAC website" w:history="1">
        <w:r w:rsidR="00B805B9" w:rsidRPr="007F45E0">
          <w:rPr>
            <w:rStyle w:val="Hyperlink"/>
            <w:rFonts w:ascii="Calibri" w:hAnsi="Calibri"/>
          </w:rPr>
          <w:t>M</w:t>
        </w:r>
        <w:r w:rsidR="00A10106" w:rsidRPr="007F45E0">
          <w:rPr>
            <w:rStyle w:val="Hyperlink"/>
            <w:rFonts w:ascii="Calibri" w:hAnsi="Calibri"/>
          </w:rPr>
          <w:t>SAC</w:t>
        </w:r>
        <w:r w:rsidR="00B805B9" w:rsidRPr="007F45E0">
          <w:rPr>
            <w:rStyle w:val="Hyperlink"/>
            <w:rFonts w:ascii="Calibri" w:hAnsi="Calibri"/>
          </w:rPr>
          <w:t xml:space="preserve"> application 1056</w:t>
        </w:r>
      </w:hyperlink>
      <w:r w:rsidR="00B805B9">
        <w:t xml:space="preserve">), </w:t>
      </w:r>
      <w:r w:rsidR="00E55912">
        <w:t xml:space="preserve">although </w:t>
      </w:r>
      <w:r w:rsidR="00B805B9">
        <w:t xml:space="preserve">it is restricted to patients who do not have access to </w:t>
      </w:r>
      <w:r w:rsidR="00B805B9" w:rsidRPr="00F72E26">
        <w:t>ex vivo</w:t>
      </w:r>
      <w:r w:rsidR="00B805B9">
        <w:t xml:space="preserve"> WBC scanning</w:t>
      </w:r>
      <w:r w:rsidR="00B81D07">
        <w:t xml:space="preserve"> and for imaging</w:t>
      </w:r>
      <w:r w:rsidR="00924B95">
        <w:t xml:space="preserve"> only</w:t>
      </w:r>
      <w:r w:rsidR="00B81D07">
        <w:t xml:space="preserve"> the long bones and feet, including in patients with diabetic ulcers</w:t>
      </w:r>
      <w:r w:rsidR="00B805B9">
        <w:t xml:space="preserve">. </w:t>
      </w:r>
    </w:p>
    <w:p w14:paraId="7C56BA69" w14:textId="77777777" w:rsidR="004F1F19" w:rsidRDefault="004F1F19" w:rsidP="004F1F19">
      <w:pPr>
        <w:autoSpaceDE w:val="0"/>
        <w:autoSpaceDN w:val="0"/>
        <w:adjustRightInd w:val="0"/>
        <w:spacing w:line="23" w:lineRule="atLeast"/>
        <w:rPr>
          <w:rFonts w:asciiTheme="minorHAnsi" w:hAnsiTheme="minorHAnsi" w:cstheme="minorHAnsi"/>
          <w:i/>
          <w:iCs/>
        </w:rPr>
      </w:pPr>
      <w:r>
        <w:rPr>
          <w:rFonts w:asciiTheme="minorHAnsi" w:hAnsiTheme="minorHAnsi" w:cstheme="minorHAnsi"/>
          <w:i/>
          <w:iCs/>
        </w:rPr>
        <w:t xml:space="preserve">PASC considered that the role of FDG PET/CT within the diagnostic pathway remained unclear for several proposed indications. PASC noted that the proposed indications encompass diverse clinical scenarios and acknowledged that clarification of the role of FDG PET/CT would inform the selection of comparators, including whether FDG PET/CT should be characterised as a replacement or add-on test. </w:t>
      </w:r>
    </w:p>
    <w:p w14:paraId="263A3DA4" w14:textId="38D9B20F" w:rsidR="004F1F19" w:rsidRDefault="004F1F19" w:rsidP="55B5D1E8">
      <w:pPr>
        <w:autoSpaceDE w:val="0"/>
        <w:autoSpaceDN w:val="0"/>
        <w:adjustRightInd w:val="0"/>
        <w:spacing w:line="23" w:lineRule="atLeast"/>
        <w:rPr>
          <w:rFonts w:asciiTheme="minorHAnsi" w:hAnsiTheme="minorHAnsi" w:cstheme="minorBidi"/>
          <w:i/>
          <w:iCs/>
        </w:rPr>
      </w:pPr>
      <w:r w:rsidRPr="55B5D1E8">
        <w:rPr>
          <w:rFonts w:asciiTheme="minorHAnsi" w:hAnsiTheme="minorHAnsi" w:cstheme="minorBidi"/>
          <w:i/>
          <w:iCs/>
        </w:rPr>
        <w:t>PASC sought clarification on the comparators, particularly the extent to which FDG PET/CT would replace them or be an add-on test</w:t>
      </w:r>
      <w:r w:rsidR="4E215FEE" w:rsidRPr="55B5D1E8">
        <w:rPr>
          <w:rFonts w:asciiTheme="minorHAnsi" w:hAnsiTheme="minorHAnsi" w:cstheme="minorBidi"/>
          <w:i/>
          <w:iCs/>
        </w:rPr>
        <w:t>. This is particularly important for PICO2 where FDG PET/CT may not be readily available and CT is</w:t>
      </w:r>
      <w:r w:rsidR="0565B80C" w:rsidRPr="55B5D1E8">
        <w:rPr>
          <w:rFonts w:asciiTheme="minorHAnsi" w:hAnsiTheme="minorHAnsi" w:cstheme="minorBidi"/>
          <w:i/>
          <w:iCs/>
        </w:rPr>
        <w:t>, and noting the international guidelines recommending CT as the initial test</w:t>
      </w:r>
    </w:p>
    <w:p w14:paraId="235B7AD8" w14:textId="3A9F46BF" w:rsidR="004F1F19" w:rsidRDefault="004F1F19" w:rsidP="55B5D1E8">
      <w:pPr>
        <w:autoSpaceDE w:val="0"/>
        <w:autoSpaceDN w:val="0"/>
        <w:adjustRightInd w:val="0"/>
        <w:spacing w:line="23" w:lineRule="atLeast"/>
        <w:rPr>
          <w:rFonts w:asciiTheme="minorHAnsi" w:hAnsiTheme="minorHAnsi" w:cstheme="minorBidi"/>
          <w:i/>
          <w:iCs/>
        </w:rPr>
      </w:pPr>
      <w:r w:rsidRPr="55B5D1E8">
        <w:rPr>
          <w:rFonts w:asciiTheme="minorHAnsi" w:hAnsiTheme="minorHAnsi" w:cstheme="minorBidi"/>
          <w:i/>
          <w:iCs/>
        </w:rPr>
        <w:lastRenderedPageBreak/>
        <w:t xml:space="preserve">For PICO Set 1, the applicant’s clinical expert gave the example of Q fever. In this situation, it would be common to do a transthoracic echocardiogram, a transesophageal echocardiogram, vascular imaging, and an MRI of the spine. </w:t>
      </w:r>
      <w:r w:rsidR="000068C4" w:rsidRPr="55B5D1E8">
        <w:rPr>
          <w:rFonts w:asciiTheme="minorHAnsi" w:hAnsiTheme="minorHAnsi" w:cstheme="minorBidi"/>
          <w:i/>
          <w:iCs/>
        </w:rPr>
        <w:t>The applicant’s clinical expert stated that a</w:t>
      </w:r>
      <w:r w:rsidRPr="55B5D1E8">
        <w:rPr>
          <w:rFonts w:asciiTheme="minorHAnsi" w:hAnsiTheme="minorHAnsi" w:cstheme="minorBidi"/>
          <w:i/>
          <w:iCs/>
        </w:rPr>
        <w:t>ll these investigations could be replaced by FDG PET/CT.</w:t>
      </w:r>
    </w:p>
    <w:p w14:paraId="07848823" w14:textId="77777777" w:rsidR="004F1F19" w:rsidRDefault="004F1F19" w:rsidP="004F1F19">
      <w:pPr>
        <w:autoSpaceDE w:val="0"/>
        <w:autoSpaceDN w:val="0"/>
        <w:adjustRightInd w:val="0"/>
        <w:spacing w:line="23" w:lineRule="atLeast"/>
        <w:rPr>
          <w:rFonts w:asciiTheme="minorHAnsi" w:hAnsiTheme="minorHAnsi" w:cstheme="minorHAnsi"/>
          <w:i/>
          <w:iCs/>
        </w:rPr>
      </w:pPr>
      <w:r>
        <w:rPr>
          <w:rFonts w:asciiTheme="minorHAnsi" w:hAnsiTheme="minorHAnsi" w:cstheme="minorHAnsi"/>
          <w:i/>
          <w:iCs/>
        </w:rPr>
        <w:t xml:space="preserve">For PICO Set 2, the applicant’s clinical expert confirmed that </w:t>
      </w:r>
      <w:r w:rsidRPr="00B909C3">
        <w:rPr>
          <w:rFonts w:asciiTheme="minorHAnsi" w:hAnsiTheme="minorHAnsi" w:cstheme="minorHAnsi"/>
          <w:i/>
          <w:iCs/>
        </w:rPr>
        <w:t>Ga-67 scintigraphy</w:t>
      </w:r>
      <w:r>
        <w:rPr>
          <w:rFonts w:asciiTheme="minorHAnsi" w:hAnsiTheme="minorHAnsi" w:cstheme="minorHAnsi"/>
          <w:i/>
          <w:iCs/>
        </w:rPr>
        <w:t xml:space="preserve"> is not a comparator for neutropenic fever and stated that WBC scans are of limited use in these patients because they have low WBCs.  </w:t>
      </w:r>
    </w:p>
    <w:p w14:paraId="02676E20" w14:textId="0B69D5C5" w:rsidR="004F1F19" w:rsidRPr="004A4D2F" w:rsidRDefault="004F1F19" w:rsidP="004F1F19">
      <w:pPr>
        <w:autoSpaceDE w:val="0"/>
        <w:autoSpaceDN w:val="0"/>
        <w:adjustRightInd w:val="0"/>
        <w:spacing w:line="23" w:lineRule="atLeast"/>
        <w:rPr>
          <w:rFonts w:asciiTheme="minorHAnsi" w:hAnsiTheme="minorHAnsi" w:cstheme="minorHAnsi"/>
          <w:i/>
          <w:iCs/>
        </w:rPr>
      </w:pPr>
      <w:r>
        <w:rPr>
          <w:rFonts w:asciiTheme="minorHAnsi" w:hAnsiTheme="minorHAnsi" w:cstheme="minorHAnsi"/>
          <w:i/>
          <w:iCs/>
        </w:rPr>
        <w:t xml:space="preserve">The applicant discussed the practical difficulties associated with the nuclear imaging comparators, including limited availability, long acquisition times and workforce or supply constraints. For </w:t>
      </w:r>
      <w:r w:rsidRPr="00B909C3">
        <w:rPr>
          <w:rFonts w:asciiTheme="minorHAnsi" w:hAnsiTheme="minorHAnsi" w:cstheme="minorHAnsi"/>
          <w:i/>
          <w:iCs/>
        </w:rPr>
        <w:t>Ga-67 scintigraphy</w:t>
      </w:r>
      <w:r>
        <w:rPr>
          <w:rFonts w:asciiTheme="minorHAnsi" w:hAnsiTheme="minorHAnsi" w:cstheme="minorHAnsi"/>
          <w:i/>
          <w:iCs/>
        </w:rPr>
        <w:t xml:space="preserve">, the cost of obtaining the </w:t>
      </w:r>
      <w:r w:rsidRPr="00B909C3">
        <w:rPr>
          <w:rFonts w:asciiTheme="minorHAnsi" w:hAnsiTheme="minorHAnsi" w:cstheme="minorHAnsi"/>
          <w:i/>
          <w:iCs/>
        </w:rPr>
        <w:t xml:space="preserve">Ga-67 </w:t>
      </w:r>
      <w:r>
        <w:rPr>
          <w:rFonts w:asciiTheme="minorHAnsi" w:hAnsiTheme="minorHAnsi" w:cstheme="minorHAnsi"/>
          <w:i/>
          <w:iCs/>
        </w:rPr>
        <w:t xml:space="preserve">is higher than the rebate and there is often a wait of 3 weeks to obtain it. Similarly, for WBC scans there is a shortage of the radiopharmaceutical to undertake the test. Furthermore, both tests are slower to perform than FDG PET/CT. </w:t>
      </w:r>
      <w:r w:rsidRPr="00B909C3">
        <w:rPr>
          <w:rFonts w:asciiTheme="minorHAnsi" w:hAnsiTheme="minorHAnsi" w:cstheme="minorHAnsi"/>
          <w:i/>
          <w:iCs/>
        </w:rPr>
        <w:t>Ga-67 scintigraphy</w:t>
      </w:r>
      <w:r>
        <w:rPr>
          <w:rFonts w:asciiTheme="minorHAnsi" w:hAnsiTheme="minorHAnsi" w:cstheme="minorHAnsi"/>
          <w:i/>
          <w:iCs/>
        </w:rPr>
        <w:t xml:space="preserve"> is a 2-to-3-day scan and so may not be suitable for patients who are sick or need to travel to access the test. WBC scans take approximately 8 hours compared to 1.5 to 2 hours for FDG PET/CT. Furthermore, PET is a modality that is expanding and there is a resulting lack of investment in the comparators, particularly in regional areas. The applicant indicated that these factors may influence the role of comparator tests in clinical practice and their likelihood </w:t>
      </w:r>
      <w:r w:rsidR="00BD1A44">
        <w:rPr>
          <w:rFonts w:asciiTheme="minorHAnsi" w:hAnsiTheme="minorHAnsi" w:cstheme="minorHAnsi"/>
          <w:i/>
          <w:iCs/>
        </w:rPr>
        <w:t>of</w:t>
      </w:r>
      <w:r>
        <w:rPr>
          <w:rFonts w:asciiTheme="minorHAnsi" w:hAnsiTheme="minorHAnsi" w:cstheme="minorHAnsi"/>
          <w:i/>
          <w:iCs/>
        </w:rPr>
        <w:t xml:space="preserve"> being replaced by FDG PET/CT.</w:t>
      </w:r>
    </w:p>
    <w:p w14:paraId="7BA72EDE" w14:textId="1C2DDD47" w:rsidR="004F1F19" w:rsidRPr="00B21896" w:rsidRDefault="004F1F19" w:rsidP="55B5D1E8">
      <w:pPr>
        <w:autoSpaceDE w:val="0"/>
        <w:autoSpaceDN w:val="0"/>
        <w:adjustRightInd w:val="0"/>
        <w:spacing w:line="23" w:lineRule="atLeast"/>
        <w:rPr>
          <w:rFonts w:asciiTheme="minorHAnsi" w:hAnsiTheme="minorHAnsi" w:cstheme="minorBidi"/>
          <w:i/>
          <w:iCs/>
        </w:rPr>
      </w:pPr>
      <w:r w:rsidRPr="55B5D1E8">
        <w:rPr>
          <w:rFonts w:asciiTheme="minorHAnsi" w:hAnsiTheme="minorHAnsi" w:cstheme="minorBidi"/>
          <w:i/>
          <w:iCs/>
        </w:rPr>
        <w:t>PASC concluded that refinement of the target population would inform the selection of appropriate comparators. PASC also noted that whether FDG PET/CT is best characterised as an add-on or a replacement test will depend on the clinical context</w:t>
      </w:r>
      <w:r w:rsidR="0070355E">
        <w:rPr>
          <w:rFonts w:asciiTheme="minorHAnsi" w:hAnsiTheme="minorHAnsi" w:cstheme="minorBidi"/>
          <w:i/>
          <w:iCs/>
        </w:rPr>
        <w:t>.</w:t>
      </w:r>
      <w:r w:rsidRPr="55B5D1E8">
        <w:rPr>
          <w:rFonts w:asciiTheme="minorHAnsi" w:hAnsiTheme="minorHAnsi" w:cstheme="minorBidi"/>
          <w:i/>
          <w:iCs/>
        </w:rPr>
        <w:t xml:space="preserve"> </w:t>
      </w:r>
    </w:p>
    <w:p w14:paraId="15863BAA" w14:textId="7286E480" w:rsidR="00677AE3" w:rsidRDefault="00677AE3" w:rsidP="00713728">
      <w:pPr>
        <w:pStyle w:val="Heading3"/>
      </w:pPr>
      <w:r w:rsidRPr="008F1532">
        <w:t xml:space="preserve">Reference standard </w:t>
      </w:r>
    </w:p>
    <w:p w14:paraId="627E38CB" w14:textId="595BD485" w:rsidR="0015441B" w:rsidRDefault="007B6BBD" w:rsidP="006D11BD">
      <w:r>
        <w:t xml:space="preserve">The best way to determine the presence of infection is generally </w:t>
      </w:r>
      <w:r w:rsidR="664A3B11">
        <w:t xml:space="preserve">microbiological culture or </w:t>
      </w:r>
      <w:r>
        <w:t xml:space="preserve">biopsy </w:t>
      </w:r>
      <w:r w:rsidR="007F4DDA">
        <w:t xml:space="preserve">with </w:t>
      </w:r>
      <w:r>
        <w:t>histolog</w:t>
      </w:r>
      <w:r w:rsidR="007F4DDA">
        <w:t>ical examination</w:t>
      </w:r>
      <w:r w:rsidR="1C268C6F">
        <w:t>.</w:t>
      </w:r>
      <w:r w:rsidR="007F4DDA">
        <w:t>;</w:t>
      </w:r>
      <w:r>
        <w:t xml:space="preserve"> however</w:t>
      </w:r>
      <w:r w:rsidR="007F4DDA">
        <w:t>,</w:t>
      </w:r>
      <w:r>
        <w:t xml:space="preserve"> </w:t>
      </w:r>
      <w:r w:rsidR="007F4DDA">
        <w:t>these procedures are</w:t>
      </w:r>
      <w:r>
        <w:t xml:space="preserve"> </w:t>
      </w:r>
      <w:r w:rsidR="00892633">
        <w:t xml:space="preserve">invasive and </w:t>
      </w:r>
      <w:r w:rsidR="00DA5219">
        <w:t xml:space="preserve">are therefore </w:t>
      </w:r>
      <w:r w:rsidR="00892633">
        <w:t>not always undertaken</w:t>
      </w:r>
      <w:r w:rsidR="00571140">
        <w:t>,</w:t>
      </w:r>
      <w:r w:rsidR="00892633">
        <w:t xml:space="preserve"> particularly in patients </w:t>
      </w:r>
      <w:r w:rsidR="00571140">
        <w:t>with</w:t>
      </w:r>
      <w:r w:rsidR="00892633">
        <w:t xml:space="preserve"> negative</w:t>
      </w:r>
      <w:r w:rsidR="00571140">
        <w:t xml:space="preserve"> imaging findings or low clinical suspicion of infection</w:t>
      </w:r>
      <w:r w:rsidR="004E305D">
        <w:t>.</w:t>
      </w:r>
      <w:r w:rsidR="0043621E">
        <w:t xml:space="preserve"> </w:t>
      </w:r>
      <w:r w:rsidR="004E305D">
        <w:t>T</w:t>
      </w:r>
      <w:r w:rsidR="0043621E">
        <w:t>herefore</w:t>
      </w:r>
      <w:r w:rsidR="004E305D">
        <w:t>,</w:t>
      </w:r>
      <w:r w:rsidR="0043621E">
        <w:t xml:space="preserve"> the proposed reference standard is </w:t>
      </w:r>
      <w:r w:rsidR="004E3E20">
        <w:t xml:space="preserve">diagnosis at final follow-up incorporating all available clinical information. However, given the diversity of </w:t>
      </w:r>
      <w:r w:rsidR="00D26804">
        <w:t>clinical indications and comparators, alternative reference standards should also be considered</w:t>
      </w:r>
      <w:r w:rsidR="0015441B">
        <w:t xml:space="preserve"> for inclusion in the assessment. </w:t>
      </w:r>
    </w:p>
    <w:p w14:paraId="44313866" w14:textId="63613011" w:rsidR="0015441B" w:rsidRPr="006D11BD" w:rsidRDefault="0015441B" w:rsidP="006D11BD">
      <w:r>
        <w:t xml:space="preserve">Further complicating the assessment of diagnostic accuracy is that </w:t>
      </w:r>
      <w:r w:rsidR="00523596">
        <w:t>a positive FDG</w:t>
      </w:r>
      <w:r w:rsidR="000063E0">
        <w:t xml:space="preserve"> </w:t>
      </w:r>
      <w:r w:rsidR="00523596">
        <w:t>PET/CT scan</w:t>
      </w:r>
      <w:r w:rsidR="00D934CB">
        <w:t>, particularly</w:t>
      </w:r>
      <w:r w:rsidR="00523596">
        <w:t xml:space="preserve"> in FUO</w:t>
      </w:r>
      <w:r w:rsidR="00D934CB">
        <w:t>,</w:t>
      </w:r>
      <w:r w:rsidR="00523596">
        <w:t xml:space="preserve"> may not lead to a diagnosis of infection, </w:t>
      </w:r>
      <w:r w:rsidR="00AD2C59">
        <w:t xml:space="preserve">but rather malignancy or an inflammatory disease. </w:t>
      </w:r>
      <w:r w:rsidR="00E44054">
        <w:t>Therefore,</w:t>
      </w:r>
      <w:r w:rsidR="00F00D72">
        <w:t xml:space="preserve"> </w:t>
      </w:r>
      <w:r w:rsidR="00D934CB">
        <w:t xml:space="preserve">diagnostic </w:t>
      </w:r>
      <w:r w:rsidR="000E60B2">
        <w:t>yield may also be relevant to the assessment</w:t>
      </w:r>
      <w:r w:rsidR="00F5742A">
        <w:t>.</w:t>
      </w:r>
    </w:p>
    <w:p w14:paraId="29C1EA87" w14:textId="77777777" w:rsidR="007A66C8" w:rsidRDefault="007A66C8" w:rsidP="00713728">
      <w:pPr>
        <w:pStyle w:val="Heading3"/>
      </w:pPr>
      <w:r w:rsidRPr="008F1532">
        <w:t xml:space="preserve">Outcomes </w:t>
      </w:r>
    </w:p>
    <w:p w14:paraId="555456F7" w14:textId="0BDB99F1" w:rsidR="009562CF" w:rsidRDefault="009562CF" w:rsidP="009562CF">
      <w:r>
        <w:t xml:space="preserve">The outcomes are the same for both PICO sets and all subgroups, </w:t>
      </w:r>
      <w:r w:rsidR="00443135">
        <w:t>except</w:t>
      </w:r>
      <w:r>
        <w:t xml:space="preserve"> for the requirement for sedation and/or </w:t>
      </w:r>
      <w:r w:rsidR="007F55B9">
        <w:t>anaesthesia</w:t>
      </w:r>
      <w:r w:rsidR="00615BD1">
        <w:t>,</w:t>
      </w:r>
      <w:r>
        <w:t xml:space="preserve"> which is proposed t</w:t>
      </w:r>
      <w:r w:rsidR="007F55B9">
        <w:t>o be a unique advantage of FDG</w:t>
      </w:r>
      <w:r w:rsidR="000063E0">
        <w:t xml:space="preserve"> </w:t>
      </w:r>
      <w:r w:rsidR="007F55B9">
        <w:t xml:space="preserve">PET/CT compared to MRI in the paediatric population. </w:t>
      </w:r>
      <w:r w:rsidR="00CE50F2">
        <w:t xml:space="preserve">The outcomes are summarised in </w:t>
      </w:r>
      <w:r w:rsidR="00CE50F2">
        <w:fldChar w:fldCharType="begin"/>
      </w:r>
      <w:r w:rsidR="00CE50F2">
        <w:instrText xml:space="preserve"> REF _Ref234403144 \h </w:instrText>
      </w:r>
      <w:r w:rsidR="00CE50F2">
        <w:fldChar w:fldCharType="separate"/>
      </w:r>
      <w:r w:rsidR="00CE50F2">
        <w:t xml:space="preserve">Table </w:t>
      </w:r>
      <w:r w:rsidR="00CE50F2">
        <w:rPr>
          <w:noProof/>
        </w:rPr>
        <w:t>6</w:t>
      </w:r>
      <w:r w:rsidR="00CE50F2">
        <w:fldChar w:fldCharType="end"/>
      </w:r>
      <w:r w:rsidR="00CE50F2">
        <w:t>.</w:t>
      </w:r>
      <w:r w:rsidR="000C5C0C">
        <w:t xml:space="preserve"> No intermediate or surrogate outcomes are proposed, as all outcomes are classified as test performance, change-in-management or patient health outcomes.</w:t>
      </w:r>
    </w:p>
    <w:p w14:paraId="7063F66F" w14:textId="474C2612" w:rsidR="003C210B" w:rsidRDefault="003C210B" w:rsidP="003C210B">
      <w:pPr>
        <w:pStyle w:val="Caption"/>
      </w:pPr>
      <w:bookmarkStart w:id="9" w:name="_Ref234403144"/>
      <w:r>
        <w:lastRenderedPageBreak/>
        <w:t xml:space="preserve">Table </w:t>
      </w:r>
      <w:r>
        <w:fldChar w:fldCharType="begin"/>
      </w:r>
      <w:r>
        <w:instrText xml:space="preserve"> SEQ Table \* ARABIC </w:instrText>
      </w:r>
      <w:r>
        <w:fldChar w:fldCharType="separate"/>
      </w:r>
      <w:r>
        <w:rPr>
          <w:noProof/>
        </w:rPr>
        <w:t>6</w:t>
      </w:r>
      <w:r>
        <w:fldChar w:fldCharType="end"/>
      </w:r>
      <w:bookmarkEnd w:id="9"/>
      <w:r w:rsidR="006430ED">
        <w:tab/>
        <w:t>Outcomes relevant to the assessment of FDG</w:t>
      </w:r>
      <w:r w:rsidR="000063E0">
        <w:t xml:space="preserve"> </w:t>
      </w:r>
      <w:r w:rsidR="006430ED">
        <w:t>PET/CT testing for diagnosis in complex</w:t>
      </w:r>
      <w:r w:rsidR="002138FA">
        <w:t xml:space="preserve"> infection</w:t>
      </w:r>
    </w:p>
    <w:tbl>
      <w:tblPr>
        <w:tblStyle w:val="TableGrid"/>
        <w:tblW w:w="0" w:type="auto"/>
        <w:tblInd w:w="0" w:type="dxa"/>
        <w:tblLook w:val="04A0" w:firstRow="1" w:lastRow="0" w:firstColumn="1" w:lastColumn="0" w:noHBand="0" w:noVBand="1"/>
        <w:tblCaption w:val="Outcomes relevant to the assessment of FDG PET/CT testing for diagnosis in complex infection"/>
        <w:tblDescription w:val="This table lists the outcomes relevant to the assessment."/>
      </w:tblPr>
      <w:tblGrid>
        <w:gridCol w:w="2689"/>
        <w:gridCol w:w="6882"/>
      </w:tblGrid>
      <w:tr w:rsidR="007C395C" w14:paraId="18DEF103" w14:textId="77777777" w:rsidTr="00DE4DB0">
        <w:trPr>
          <w:cantSplit/>
          <w:tblHeader/>
        </w:trPr>
        <w:tc>
          <w:tcPr>
            <w:tcW w:w="2689" w:type="dxa"/>
          </w:tcPr>
          <w:p w14:paraId="5EAC4C43" w14:textId="42641BBD" w:rsidR="007C395C" w:rsidRDefault="003465E5" w:rsidP="003465E5">
            <w:pPr>
              <w:pStyle w:val="TableHeading"/>
            </w:pPr>
            <w:r>
              <w:t>Outcome type</w:t>
            </w:r>
          </w:p>
        </w:tc>
        <w:tc>
          <w:tcPr>
            <w:tcW w:w="6882" w:type="dxa"/>
          </w:tcPr>
          <w:p w14:paraId="12F695D6" w14:textId="6DFCB276" w:rsidR="007C395C" w:rsidRDefault="003465E5" w:rsidP="003465E5">
            <w:pPr>
              <w:pStyle w:val="TableHeading"/>
            </w:pPr>
            <w:r>
              <w:t>Outcome</w:t>
            </w:r>
          </w:p>
        </w:tc>
      </w:tr>
      <w:tr w:rsidR="007C395C" w14:paraId="317897E5" w14:textId="77777777" w:rsidTr="00DE4DB0">
        <w:trPr>
          <w:cantSplit/>
          <w:tblHeader/>
        </w:trPr>
        <w:tc>
          <w:tcPr>
            <w:tcW w:w="2689" w:type="dxa"/>
          </w:tcPr>
          <w:p w14:paraId="3BD0B165" w14:textId="55223DDC" w:rsidR="007C395C" w:rsidRDefault="003465E5" w:rsidP="003465E5">
            <w:pPr>
              <w:pStyle w:val="TableText0"/>
            </w:pPr>
            <w:r w:rsidRPr="003465E5">
              <w:t>Safety</w:t>
            </w:r>
          </w:p>
        </w:tc>
        <w:tc>
          <w:tcPr>
            <w:tcW w:w="6882" w:type="dxa"/>
          </w:tcPr>
          <w:p w14:paraId="1BC48E6D" w14:textId="77777777" w:rsidR="003465E5" w:rsidRDefault="003465E5" w:rsidP="008E7673">
            <w:pPr>
              <w:pStyle w:val="TableText0"/>
            </w:pPr>
            <w:r>
              <w:t>Harms from the test procedure (radiation exposure, exposure to contrast agent and/or radiotracers, requirements for sedation/anaesthesia)</w:t>
            </w:r>
          </w:p>
          <w:p w14:paraId="13BF0B19" w14:textId="77777777" w:rsidR="00AB52C0" w:rsidRDefault="003465E5" w:rsidP="008E7673">
            <w:pPr>
              <w:pStyle w:val="TableText0"/>
            </w:pPr>
            <w:r>
              <w:t>Harms from FP and FN results</w:t>
            </w:r>
          </w:p>
          <w:p w14:paraId="50323719" w14:textId="530768B3" w:rsidR="007E73E0" w:rsidRDefault="007E73E0" w:rsidP="007E73E0">
            <w:pPr>
              <w:pStyle w:val="TableText0"/>
            </w:pPr>
            <w:r w:rsidRPr="00B928E0">
              <w:t>Harms from subsequent focal investigations e.g. biopsy</w:t>
            </w:r>
          </w:p>
        </w:tc>
      </w:tr>
      <w:tr w:rsidR="007C395C" w14:paraId="2B691A1C" w14:textId="77777777" w:rsidTr="00DE4DB0">
        <w:trPr>
          <w:cantSplit/>
          <w:tblHeader/>
        </w:trPr>
        <w:tc>
          <w:tcPr>
            <w:tcW w:w="2689" w:type="dxa"/>
          </w:tcPr>
          <w:p w14:paraId="7A67EF8C" w14:textId="18217BA8" w:rsidR="007C395C" w:rsidRDefault="008354CD" w:rsidP="003465E5">
            <w:pPr>
              <w:pStyle w:val="TableText0"/>
            </w:pPr>
            <w:r>
              <w:t>Efficacy/effectiveness – primary health outcomes</w:t>
            </w:r>
          </w:p>
        </w:tc>
        <w:tc>
          <w:tcPr>
            <w:tcW w:w="6882" w:type="dxa"/>
          </w:tcPr>
          <w:p w14:paraId="3B4517D8" w14:textId="22B07F7C" w:rsidR="008354CD" w:rsidRDefault="008354CD" w:rsidP="008354CD">
            <w:pPr>
              <w:pStyle w:val="TableText0"/>
            </w:pPr>
            <w:r>
              <w:t>Disease-specific mortality</w:t>
            </w:r>
          </w:p>
          <w:p w14:paraId="64B09481" w14:textId="667EDA19" w:rsidR="008354CD" w:rsidRDefault="008354CD" w:rsidP="008354CD">
            <w:pPr>
              <w:pStyle w:val="TableText0"/>
            </w:pPr>
            <w:r>
              <w:t>Morbidity</w:t>
            </w:r>
          </w:p>
          <w:p w14:paraId="653E0D4D" w14:textId="310446DC" w:rsidR="008354CD" w:rsidRDefault="008354CD" w:rsidP="008354CD">
            <w:pPr>
              <w:pStyle w:val="TableText0"/>
            </w:pPr>
            <w:r>
              <w:t>Time to clinical response to therapy</w:t>
            </w:r>
          </w:p>
          <w:p w14:paraId="005DD961" w14:textId="23D5A4EC" w:rsidR="007C395C" w:rsidRDefault="008354CD" w:rsidP="008354CD">
            <w:pPr>
              <w:pStyle w:val="TableText0"/>
            </w:pPr>
            <w:r>
              <w:t>Health related quality of life</w:t>
            </w:r>
          </w:p>
        </w:tc>
      </w:tr>
      <w:tr w:rsidR="007C395C" w14:paraId="66718A20" w14:textId="77777777" w:rsidTr="00DE4DB0">
        <w:trPr>
          <w:cantSplit/>
          <w:tblHeader/>
        </w:trPr>
        <w:tc>
          <w:tcPr>
            <w:tcW w:w="2689" w:type="dxa"/>
          </w:tcPr>
          <w:p w14:paraId="7A1B5CAB" w14:textId="1216B233" w:rsidR="007C395C" w:rsidRDefault="00520D76" w:rsidP="003465E5">
            <w:pPr>
              <w:pStyle w:val="TableText0"/>
            </w:pPr>
            <w:r>
              <w:t>Additional outcomes using a linked evidence approach</w:t>
            </w:r>
          </w:p>
        </w:tc>
        <w:tc>
          <w:tcPr>
            <w:tcW w:w="6882" w:type="dxa"/>
          </w:tcPr>
          <w:p w14:paraId="514F45A2" w14:textId="04B46CF6" w:rsidR="00520D76" w:rsidRDefault="00520D76" w:rsidP="00520D76">
            <w:pPr>
              <w:pStyle w:val="TableText0"/>
            </w:pPr>
            <w:r>
              <w:t>Test performance</w:t>
            </w:r>
          </w:p>
          <w:p w14:paraId="692F3C7A" w14:textId="421B4B3F" w:rsidR="00520D76" w:rsidRDefault="00520D76" w:rsidP="00520D76">
            <w:pPr>
              <w:pStyle w:val="TableText0"/>
              <w:ind w:left="720"/>
            </w:pPr>
            <w:r>
              <w:t xml:space="preserve">Diagnostic accuracy (sensitivity, specificity, additional </w:t>
            </w:r>
            <w:r w:rsidR="001B4305">
              <w:t>T</w:t>
            </w:r>
            <w:r w:rsidR="00A0183F">
              <w:t>P</w:t>
            </w:r>
            <w:r>
              <w:t xml:space="preserve"> </w:t>
            </w:r>
            <w:r w:rsidR="009F37CF">
              <w:t>and</w:t>
            </w:r>
            <w:r>
              <w:t xml:space="preserve"> </w:t>
            </w:r>
            <w:r w:rsidR="009F37CF">
              <w:t xml:space="preserve">additional </w:t>
            </w:r>
            <w:r>
              <w:t>TN)</w:t>
            </w:r>
          </w:p>
          <w:p w14:paraId="54301259" w14:textId="2870E5F1" w:rsidR="00520D76" w:rsidRDefault="00520D76" w:rsidP="00520D76">
            <w:pPr>
              <w:pStyle w:val="TableText0"/>
              <w:ind w:left="720"/>
            </w:pPr>
            <w:r>
              <w:t>Diagnostic yield</w:t>
            </w:r>
          </w:p>
          <w:p w14:paraId="1738705C" w14:textId="77777777" w:rsidR="007C395C" w:rsidRDefault="00520D76" w:rsidP="00520D76">
            <w:pPr>
              <w:pStyle w:val="TableText0"/>
              <w:ind w:left="720"/>
            </w:pPr>
            <w:r>
              <w:t>Rate of failed and/or inconclusive tests</w:t>
            </w:r>
          </w:p>
          <w:p w14:paraId="6992B6F5" w14:textId="25980553" w:rsidR="00F122FC" w:rsidRDefault="00F122FC" w:rsidP="00F122FC">
            <w:pPr>
              <w:pStyle w:val="TableText0"/>
            </w:pPr>
            <w:r>
              <w:t>Change in management outcomes</w:t>
            </w:r>
          </w:p>
          <w:p w14:paraId="3C81C8D8" w14:textId="0AE5354A" w:rsidR="00F122FC" w:rsidRDefault="00F122FC" w:rsidP="00F122FC">
            <w:pPr>
              <w:pStyle w:val="TableText0"/>
              <w:ind w:left="720"/>
            </w:pPr>
            <w:r>
              <w:t>Change in procedures (biopsies, surgeries, investigations)</w:t>
            </w:r>
          </w:p>
          <w:p w14:paraId="5A02D943" w14:textId="3F34078E" w:rsidR="00F122FC" w:rsidRDefault="00F122FC" w:rsidP="00F122FC">
            <w:pPr>
              <w:pStyle w:val="TableText0"/>
              <w:ind w:left="720"/>
            </w:pPr>
            <w:r>
              <w:t>Change in treatment (treatment ceased, initiated, avoided, de-escalated, targeted)</w:t>
            </w:r>
          </w:p>
          <w:p w14:paraId="3A55D487" w14:textId="4B6A6C61" w:rsidR="00F122FC" w:rsidRDefault="00F122FC" w:rsidP="00F122FC">
            <w:pPr>
              <w:pStyle w:val="TableText0"/>
              <w:ind w:left="720"/>
            </w:pPr>
            <w:r>
              <w:t>Time to correct diagnosis</w:t>
            </w:r>
          </w:p>
          <w:p w14:paraId="09C71C2F" w14:textId="60DA359E" w:rsidR="00F122FC" w:rsidRDefault="00F122FC" w:rsidP="00F122FC">
            <w:pPr>
              <w:pStyle w:val="TableText0"/>
              <w:ind w:left="720"/>
            </w:pPr>
            <w:r>
              <w:t>Time to appropriate treatment</w:t>
            </w:r>
          </w:p>
          <w:p w14:paraId="06BEF2B4" w14:textId="0A5F1ABB" w:rsidR="00520D76" w:rsidRDefault="00520D76" w:rsidP="00F122FC">
            <w:pPr>
              <w:pStyle w:val="TableText0"/>
              <w:ind w:left="720"/>
            </w:pPr>
          </w:p>
        </w:tc>
      </w:tr>
      <w:tr w:rsidR="007C395C" w14:paraId="248F5B78" w14:textId="77777777" w:rsidTr="00DE4DB0">
        <w:trPr>
          <w:cantSplit/>
          <w:tblHeader/>
        </w:trPr>
        <w:tc>
          <w:tcPr>
            <w:tcW w:w="2689" w:type="dxa"/>
          </w:tcPr>
          <w:p w14:paraId="2CCCEA4F" w14:textId="240F729C" w:rsidR="007C395C" w:rsidRDefault="00176E88" w:rsidP="003465E5">
            <w:pPr>
              <w:pStyle w:val="TableText0"/>
            </w:pPr>
            <w:r>
              <w:t>Health care resources (including patient out-of-pocket costs)</w:t>
            </w:r>
          </w:p>
        </w:tc>
        <w:tc>
          <w:tcPr>
            <w:tcW w:w="6882" w:type="dxa"/>
          </w:tcPr>
          <w:p w14:paraId="59914A46" w14:textId="7964203D" w:rsidR="00176E88" w:rsidRDefault="00176E88" w:rsidP="00176E88">
            <w:pPr>
              <w:pStyle w:val="TableText0"/>
            </w:pPr>
            <w:r>
              <w:t>Cost of testing</w:t>
            </w:r>
          </w:p>
          <w:p w14:paraId="35DB39DE" w14:textId="53739B4B" w:rsidR="00176E88" w:rsidRDefault="00176E88" w:rsidP="00176E88">
            <w:pPr>
              <w:pStyle w:val="TableText0"/>
            </w:pPr>
            <w:r>
              <w:t>Cost of treatment</w:t>
            </w:r>
          </w:p>
          <w:p w14:paraId="4C4595C4" w14:textId="0D84A81A" w:rsidR="007C395C" w:rsidRDefault="00176E88" w:rsidP="00176E88">
            <w:pPr>
              <w:pStyle w:val="TableText0"/>
            </w:pPr>
            <w:r>
              <w:t>Cost of adverse events</w:t>
            </w:r>
          </w:p>
        </w:tc>
      </w:tr>
      <w:tr w:rsidR="00176E88" w14:paraId="0CD0E3D4" w14:textId="77777777" w:rsidTr="00DE4DB0">
        <w:trPr>
          <w:cantSplit/>
          <w:tblHeader/>
        </w:trPr>
        <w:tc>
          <w:tcPr>
            <w:tcW w:w="2689" w:type="dxa"/>
          </w:tcPr>
          <w:p w14:paraId="57705240" w14:textId="739E5CB4" w:rsidR="00176E88" w:rsidRDefault="00176E88" w:rsidP="003465E5">
            <w:pPr>
              <w:pStyle w:val="TableText0"/>
            </w:pPr>
            <w:r w:rsidRPr="00176E88">
              <w:t>Cost-effectiveness</w:t>
            </w:r>
          </w:p>
        </w:tc>
        <w:tc>
          <w:tcPr>
            <w:tcW w:w="6882" w:type="dxa"/>
          </w:tcPr>
          <w:p w14:paraId="0B105671" w14:textId="2437D739" w:rsidR="007545FC" w:rsidRDefault="007545FC" w:rsidP="003465E5">
            <w:pPr>
              <w:pStyle w:val="TableText0"/>
            </w:pPr>
            <w:r>
              <w:t>Incremental cost per QALY gained</w:t>
            </w:r>
          </w:p>
        </w:tc>
      </w:tr>
      <w:tr w:rsidR="00176E88" w14:paraId="4F9B43FD" w14:textId="77777777" w:rsidTr="00DE4DB0">
        <w:trPr>
          <w:cantSplit/>
          <w:tblHeader/>
        </w:trPr>
        <w:tc>
          <w:tcPr>
            <w:tcW w:w="2689" w:type="dxa"/>
          </w:tcPr>
          <w:p w14:paraId="10656755" w14:textId="17267BEA" w:rsidR="00176E88" w:rsidRDefault="00176E88" w:rsidP="003465E5">
            <w:pPr>
              <w:pStyle w:val="TableText0"/>
            </w:pPr>
            <w:r w:rsidRPr="00176E88">
              <w:t>Total Australian Government health care costs</w:t>
            </w:r>
          </w:p>
        </w:tc>
        <w:tc>
          <w:tcPr>
            <w:tcW w:w="6882" w:type="dxa"/>
          </w:tcPr>
          <w:p w14:paraId="3A13BB67" w14:textId="77777777" w:rsidR="00176E88" w:rsidRDefault="00176E88" w:rsidP="003465E5">
            <w:pPr>
              <w:pStyle w:val="TableText0"/>
            </w:pPr>
            <w:r>
              <w:t>Total cost to the MBS</w:t>
            </w:r>
          </w:p>
          <w:p w14:paraId="1D39DB35" w14:textId="16A7ED85" w:rsidR="00176E88" w:rsidRDefault="00176E88" w:rsidP="003465E5">
            <w:pPr>
              <w:pStyle w:val="TableText0"/>
            </w:pPr>
            <w:r>
              <w:t>Total cost to the PBS</w:t>
            </w:r>
          </w:p>
        </w:tc>
      </w:tr>
    </w:tbl>
    <w:p w14:paraId="0813FFCA" w14:textId="16BE3FE6" w:rsidR="007C395C" w:rsidRDefault="00741D44" w:rsidP="00046FC0">
      <w:pPr>
        <w:pStyle w:val="Tablenotes"/>
        <w:jc w:val="left"/>
      </w:pPr>
      <w:r>
        <w:t xml:space="preserve">FN = false negative; FP = false positive; MBS = Medicare Benefits Schedule; </w:t>
      </w:r>
      <w:r w:rsidR="004E4631" w:rsidRPr="004E4631">
        <w:t>PBS = Pharmaceutical Benefits Scheme;</w:t>
      </w:r>
      <w:r w:rsidR="004E4631">
        <w:t xml:space="preserve"> </w:t>
      </w:r>
      <w:r w:rsidR="00046FC0" w:rsidRPr="00046FC0">
        <w:t>QALY = quality adjusted life years;</w:t>
      </w:r>
      <w:r w:rsidR="00046FC0">
        <w:t xml:space="preserve"> </w:t>
      </w:r>
      <w:r>
        <w:t>TN = true negative; TP = true positive.</w:t>
      </w:r>
    </w:p>
    <w:p w14:paraId="66479CDA" w14:textId="2AA90788" w:rsidR="005D1C24" w:rsidRDefault="005D1C24" w:rsidP="55B5D1E8">
      <w:pPr>
        <w:autoSpaceDE w:val="0"/>
        <w:autoSpaceDN w:val="0"/>
        <w:adjustRightInd w:val="0"/>
        <w:spacing w:line="23" w:lineRule="atLeast"/>
        <w:rPr>
          <w:rFonts w:asciiTheme="minorHAnsi" w:hAnsiTheme="minorHAnsi" w:cstheme="minorBidi"/>
          <w:i/>
          <w:iCs/>
        </w:rPr>
      </w:pPr>
      <w:r w:rsidRPr="55B5D1E8">
        <w:rPr>
          <w:rFonts w:asciiTheme="minorHAnsi" w:hAnsiTheme="minorHAnsi" w:cstheme="minorBidi"/>
          <w:i/>
          <w:iCs/>
        </w:rPr>
        <w:t>PASC considered the proposed outcomes and noted that the use of FDG PET/CT could lead to additional investigations as well as reduce the need for further testing</w:t>
      </w:r>
      <w:r w:rsidR="35DA84A2" w:rsidRPr="55B5D1E8">
        <w:rPr>
          <w:rFonts w:asciiTheme="minorHAnsi" w:hAnsiTheme="minorHAnsi" w:cstheme="minorBidi"/>
          <w:i/>
          <w:iCs/>
        </w:rPr>
        <w:t xml:space="preserve"> for incidental/additional findings that are unrelated to the test indication</w:t>
      </w:r>
      <w:r w:rsidRPr="55B5D1E8">
        <w:rPr>
          <w:rFonts w:asciiTheme="minorHAnsi" w:hAnsiTheme="minorHAnsi" w:cstheme="minorBidi"/>
          <w:i/>
          <w:iCs/>
        </w:rPr>
        <w:t xml:space="preserve">. Consequently, PASC considered that the change in management outcomes should capture both increases and decreases in subsequent investigations. </w:t>
      </w:r>
    </w:p>
    <w:p w14:paraId="123FF17E" w14:textId="43E08AE3" w:rsidR="00EB0B1E" w:rsidRDefault="005D1C24" w:rsidP="00B21896">
      <w:pPr>
        <w:autoSpaceDE w:val="0"/>
        <w:autoSpaceDN w:val="0"/>
        <w:adjustRightInd w:val="0"/>
        <w:spacing w:line="23" w:lineRule="atLeast"/>
        <w:rPr>
          <w:rFonts w:asciiTheme="minorHAnsi" w:hAnsiTheme="minorHAnsi" w:cstheme="minorHAnsi"/>
          <w:i/>
          <w:iCs/>
        </w:rPr>
      </w:pPr>
      <w:r>
        <w:rPr>
          <w:rFonts w:asciiTheme="minorHAnsi" w:hAnsiTheme="minorHAnsi" w:cstheme="minorHAnsi"/>
          <w:i/>
          <w:iCs/>
        </w:rPr>
        <w:t xml:space="preserve">PASC noted uncertainty around the inclusion of  ‘other changes occurring in </w:t>
      </w:r>
      <w:r>
        <w:rPr>
          <w:rFonts w:cs="Calibri"/>
          <w:i/>
          <w:iCs/>
        </w:rPr>
        <w:t>≥</w:t>
      </w:r>
      <w:r>
        <w:rPr>
          <w:rFonts w:asciiTheme="minorHAnsi" w:hAnsiTheme="minorHAnsi" w:cstheme="minorHAnsi"/>
          <w:i/>
          <w:iCs/>
        </w:rPr>
        <w:t xml:space="preserve">10% of patients’ </w:t>
      </w:r>
      <w:r w:rsidR="00D97836">
        <w:rPr>
          <w:rFonts w:asciiTheme="minorHAnsi" w:hAnsiTheme="minorHAnsi" w:cstheme="minorHAnsi"/>
          <w:i/>
          <w:iCs/>
        </w:rPr>
        <w:t xml:space="preserve">in the proposed </w:t>
      </w:r>
      <w:r w:rsidR="00417375">
        <w:rPr>
          <w:rFonts w:asciiTheme="minorHAnsi" w:hAnsiTheme="minorHAnsi" w:cstheme="minorHAnsi"/>
          <w:i/>
          <w:iCs/>
        </w:rPr>
        <w:t xml:space="preserve">outcomes </w:t>
      </w:r>
      <w:r>
        <w:rPr>
          <w:rFonts w:asciiTheme="minorHAnsi" w:hAnsiTheme="minorHAnsi" w:cstheme="minorHAnsi"/>
          <w:i/>
          <w:iCs/>
        </w:rPr>
        <w:t xml:space="preserve">and stated that ’requirements for sedation/anaesthesia’ was only </w:t>
      </w:r>
      <w:r w:rsidR="000E1EAF">
        <w:rPr>
          <w:rFonts w:asciiTheme="minorHAnsi" w:hAnsiTheme="minorHAnsi" w:cstheme="minorHAnsi"/>
          <w:i/>
          <w:iCs/>
        </w:rPr>
        <w:t xml:space="preserve">relevant </w:t>
      </w:r>
      <w:r>
        <w:rPr>
          <w:rFonts w:asciiTheme="minorHAnsi" w:hAnsiTheme="minorHAnsi" w:cstheme="minorHAnsi"/>
          <w:i/>
          <w:iCs/>
        </w:rPr>
        <w:t xml:space="preserve">if the paediatric subgroup was retained. PASC stated that ’harms from subsequent focal investigations’ should be included as an outcome. </w:t>
      </w:r>
    </w:p>
    <w:p w14:paraId="66ED7ACD" w14:textId="352933CA" w:rsidR="08C1E339" w:rsidRPr="0037409B" w:rsidRDefault="0037409B" w:rsidP="0037409B">
      <w:pPr>
        <w:autoSpaceDE w:val="0"/>
        <w:autoSpaceDN w:val="0"/>
        <w:adjustRightInd w:val="0"/>
        <w:spacing w:line="23" w:lineRule="atLeast"/>
        <w:rPr>
          <w:rFonts w:asciiTheme="minorHAnsi" w:hAnsiTheme="minorHAnsi" w:cstheme="minorHAnsi"/>
          <w:i/>
          <w:iCs/>
        </w:rPr>
      </w:pPr>
      <w:r>
        <w:rPr>
          <w:rFonts w:asciiTheme="minorHAnsi" w:hAnsiTheme="minorHAnsi" w:cstheme="minorHAnsi"/>
          <w:i/>
          <w:iCs/>
        </w:rPr>
        <w:t>PASC considered that the outcome ‘cost per correct diagnosis’ is unlikely to be an informative measure of cost-effectiveness and agreed that a cost-utility assessment was the appropriate measure of cost-effectiveness.</w:t>
      </w:r>
    </w:p>
    <w:p w14:paraId="4BBF84CB" w14:textId="23B5AC60" w:rsidR="009B31CC" w:rsidRDefault="009B31CC" w:rsidP="00713728">
      <w:pPr>
        <w:pStyle w:val="Heading2"/>
      </w:pPr>
      <w:r w:rsidRPr="00490FBB">
        <w:t xml:space="preserve">Assessment framework </w:t>
      </w:r>
    </w:p>
    <w:p w14:paraId="58B05499" w14:textId="5DE8E488" w:rsidR="00A822F0" w:rsidRPr="00A822F0" w:rsidRDefault="00173770" w:rsidP="00A822F0">
      <w:r>
        <w:t>The application has made a claim of superior health outcomes</w:t>
      </w:r>
      <w:r w:rsidR="00292D56">
        <w:t xml:space="preserve"> for </w:t>
      </w:r>
      <w:r w:rsidR="007839D3">
        <w:t>FDG PET/CT.</w:t>
      </w:r>
      <w:r w:rsidR="00B36EB7">
        <w:t xml:space="preserve"> </w:t>
      </w:r>
      <w:r w:rsidR="007839D3">
        <w:t>A</w:t>
      </w:r>
      <w:r w:rsidR="00B36EB7">
        <w:t xml:space="preserve">s limited direct evidence is anticipated, a linked evidence approach is </w:t>
      </w:r>
      <w:r w:rsidR="003C2964">
        <w:t>necessary</w:t>
      </w:r>
      <w:r w:rsidR="00B36EB7">
        <w:t xml:space="preserve">. </w:t>
      </w:r>
      <w:r w:rsidR="00BF3C20">
        <w:t xml:space="preserve">This will require each step of the assessment framework </w:t>
      </w:r>
      <w:r w:rsidR="000F45EE">
        <w:t>(</w:t>
      </w:r>
      <w:r w:rsidR="000F45EE">
        <w:fldChar w:fldCharType="begin"/>
      </w:r>
      <w:r w:rsidR="000F45EE">
        <w:instrText xml:space="preserve"> REF _Ref68327680 \h </w:instrText>
      </w:r>
      <w:r w:rsidR="000F45EE">
        <w:fldChar w:fldCharType="separate"/>
      </w:r>
      <w:r w:rsidR="000F45EE">
        <w:t>Figure </w:t>
      </w:r>
      <w:r w:rsidR="000F45EE">
        <w:rPr>
          <w:noProof/>
        </w:rPr>
        <w:t>2</w:t>
      </w:r>
      <w:r w:rsidR="000F45EE">
        <w:fldChar w:fldCharType="end"/>
      </w:r>
      <w:r w:rsidR="000F45EE">
        <w:t xml:space="preserve">) </w:t>
      </w:r>
      <w:r w:rsidR="00BF3C20">
        <w:t>to be addressed individually</w:t>
      </w:r>
      <w:r w:rsidR="000F45EE">
        <w:t xml:space="preserve">. </w:t>
      </w:r>
    </w:p>
    <w:p w14:paraId="12F2305D" w14:textId="72946CD3" w:rsidR="00717443" w:rsidRPr="00490FBB" w:rsidRDefault="00717443" w:rsidP="009B31CC">
      <w:pPr>
        <w:keepNext/>
      </w:pPr>
      <w:r>
        <w:rPr>
          <w:noProof/>
          <w:lang w:eastAsia="en-AU"/>
        </w:rPr>
        <w:lastRenderedPageBreak/>
        <w:drawing>
          <wp:inline distT="0" distB="0" distL="0" distR="0" wp14:anchorId="431FC2CE" wp14:editId="462EAB73">
            <wp:extent cx="5727700" cy="2044700"/>
            <wp:effectExtent l="0" t="0" r="0" b="0"/>
            <wp:docPr id="4" name="Picture 4" descr="Diagrammatic representation of intermediate steps and links between test population and health outcomes. Test population is linked to test results information (numbered 2 and labelled as testing, with a side link to adverse events of the test, numbered 7). Test results information is linked to change in clinical decisions (numbered 3 and labelled as decision-making). change in clinical decisions is linked to intermediate outcomes (numbered 5 and labelled as treatment/management, with a side link to adverse events of treatment, numbered 8). Intermediate outcomes is linked to health outcomes with a dotted line (numbered 6 and labelled as association). Testing is also linked directly to health outcomes (numbered 1). Treatment/management is also linked directly to health outcomes (numbere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matic representation of intermediate steps and links between test population and health outcomes. Test population is linked to test results information (numbered 2 and labelled as testing, with a side link to adverse events of the test, numbered 7). Test results information is linked to change in clinical decisions (numbered 3 and labelled as decision-making). change in clinical decisions is linked to intermediate outcomes (numbered 5 and labelled as treatment/management, with a side link to adverse events of treatment, numbered 8). Intermediate outcomes is linked to health outcomes with a dotted line (numbered 6 and labelled as association). Testing is also linked directly to health outcomes (numbered 1). Treatment/management is also linked directly to health outcomes (numbered 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27700" cy="2044700"/>
                    </a:xfrm>
                    <a:prstGeom prst="rect">
                      <a:avLst/>
                    </a:prstGeom>
                  </pic:spPr>
                </pic:pic>
              </a:graphicData>
            </a:graphic>
          </wp:inline>
        </w:drawing>
      </w:r>
    </w:p>
    <w:p w14:paraId="58E23E9A" w14:textId="52680A93" w:rsidR="009B31CC" w:rsidRDefault="00AE6FE0" w:rsidP="00C40CC4">
      <w:pPr>
        <w:pStyle w:val="Caption"/>
      </w:pPr>
      <w:bookmarkStart w:id="10" w:name="_Ref68327593"/>
      <w:bookmarkStart w:id="11" w:name="_Ref68327680"/>
      <w:r>
        <w:t>Figure</w:t>
      </w:r>
      <w:bookmarkEnd w:id="10"/>
      <w:r w:rsidR="00E607F3">
        <w:t> </w:t>
      </w:r>
      <w:r>
        <w:fldChar w:fldCharType="begin"/>
      </w:r>
      <w:r>
        <w:instrText xml:space="preserve"> SEQ Figure \* ARABIC </w:instrText>
      </w:r>
      <w:r>
        <w:fldChar w:fldCharType="separate"/>
      </w:r>
      <w:r w:rsidR="00CC1847">
        <w:rPr>
          <w:noProof/>
        </w:rPr>
        <w:t>2</w:t>
      </w:r>
      <w:r>
        <w:fldChar w:fldCharType="end"/>
      </w:r>
      <w:bookmarkEnd w:id="11"/>
      <w:r w:rsidR="009B31CC" w:rsidRPr="00490FBB">
        <w:tab/>
        <w:t>Generic assessment framework showing the links from the test population to health outcomes</w:t>
      </w:r>
    </w:p>
    <w:p w14:paraId="534738C5" w14:textId="5594621B" w:rsidR="00C40CC4" w:rsidRPr="00C40CC4" w:rsidRDefault="00C40CC4" w:rsidP="00C40CC4">
      <w:pPr>
        <w:pStyle w:val="Tablenotes"/>
        <w:keepLines/>
        <w:rPr>
          <w:szCs w:val="18"/>
        </w:rPr>
      </w:pPr>
      <w:r w:rsidRPr="00C40CC4">
        <w:rPr>
          <w:szCs w:val="18"/>
        </w:rPr>
        <w:t>Figure notes: 1: direct from test to health outcomes evidence; 2: test accuracy; 3: change in diagnosis/treatment/management; 4: influence of the change in management on health outcomes; 5: influence of the change in management on intermediate outcomes; 6: association of intermediate outcomes with health outcomes; 7: adverse events due to testing; 8: adverse events due to treatment</w:t>
      </w:r>
    </w:p>
    <w:p w14:paraId="7A8877D4" w14:textId="1F41B467" w:rsidR="009B31CC" w:rsidRDefault="000F45EE" w:rsidP="000F45EE">
      <w:r>
        <w:t>The q</w:t>
      </w:r>
      <w:r w:rsidR="00A15B5C">
        <w:t>uestions to be addressed for each step of the assessment framework are listed</w:t>
      </w:r>
      <w:r w:rsidR="00553BCA">
        <w:t xml:space="preserve"> below</w:t>
      </w:r>
      <w:r w:rsidR="0010537D">
        <w:t>.</w:t>
      </w:r>
      <w:r w:rsidR="00EE3CB7">
        <w:t xml:space="preserve"> </w:t>
      </w:r>
    </w:p>
    <w:p w14:paraId="40BCADE8" w14:textId="515C1FBB" w:rsidR="0010537D" w:rsidRDefault="0010537D" w:rsidP="000F45EE">
      <w:pPr>
        <w:rPr>
          <w:b/>
          <w:bCs/>
        </w:rPr>
      </w:pPr>
      <w:r>
        <w:rPr>
          <w:b/>
          <w:bCs/>
        </w:rPr>
        <w:t>Direct evidence</w:t>
      </w:r>
    </w:p>
    <w:p w14:paraId="0F6616D4" w14:textId="68A292CD" w:rsidR="0010537D" w:rsidRDefault="0010537D" w:rsidP="000F45EE">
      <w:r>
        <w:t xml:space="preserve">1. </w:t>
      </w:r>
      <w:r w:rsidR="002F133C">
        <w:t>Does the use of FDG</w:t>
      </w:r>
      <w:r w:rsidR="000063E0">
        <w:t xml:space="preserve"> </w:t>
      </w:r>
      <w:r w:rsidR="002F133C">
        <w:t>PET/CT in place of the comparator tests</w:t>
      </w:r>
      <w:r w:rsidR="000E16ED">
        <w:t xml:space="preserve"> result in superior health outcomes (mortality, mo</w:t>
      </w:r>
      <w:r w:rsidR="002222C3">
        <w:t>r</w:t>
      </w:r>
      <w:r w:rsidR="000E16ED">
        <w:t xml:space="preserve">bidity, time to clinical response, </w:t>
      </w:r>
      <w:r w:rsidR="002222C3">
        <w:t>health</w:t>
      </w:r>
      <w:r w:rsidR="006D6EAF">
        <w:t>-</w:t>
      </w:r>
      <w:r w:rsidR="002222C3">
        <w:t>related quality of life)?</w:t>
      </w:r>
    </w:p>
    <w:p w14:paraId="625343FB" w14:textId="2D43BCC6" w:rsidR="004F5F09" w:rsidRDefault="004F5F09" w:rsidP="000F45EE">
      <w:pPr>
        <w:rPr>
          <w:b/>
          <w:bCs/>
        </w:rPr>
      </w:pPr>
      <w:r>
        <w:rPr>
          <w:b/>
          <w:bCs/>
        </w:rPr>
        <w:t>Linked evidence</w:t>
      </w:r>
    </w:p>
    <w:p w14:paraId="16F99F66" w14:textId="4F7BCAC9" w:rsidR="004F5F09" w:rsidRDefault="004F5F09" w:rsidP="000F45EE">
      <w:r>
        <w:t>2. How does the information from the proposed test differ from that of the comparator</w:t>
      </w:r>
      <w:r w:rsidR="00421727">
        <w:t>s</w:t>
      </w:r>
      <w:r>
        <w:t>?</w:t>
      </w:r>
      <w:r w:rsidR="00CA190F">
        <w:t xml:space="preserve"> What is the accuracy of FDG</w:t>
      </w:r>
      <w:r w:rsidR="000063E0">
        <w:t xml:space="preserve"> </w:t>
      </w:r>
      <w:r w:rsidR="00CA190F">
        <w:t>PET/CT compared to the comparator</w:t>
      </w:r>
      <w:r w:rsidR="006D6EAF">
        <w:t xml:space="preserve"> test</w:t>
      </w:r>
      <w:r w:rsidR="00CA190F">
        <w:t>s</w:t>
      </w:r>
      <w:r w:rsidR="009D1279">
        <w:t>?</w:t>
      </w:r>
    </w:p>
    <w:p w14:paraId="63522A37" w14:textId="6D47DBB9" w:rsidR="009D1279" w:rsidRDefault="009D1279" w:rsidP="000F45EE">
      <w:r>
        <w:t>3. Does the information from FDG</w:t>
      </w:r>
      <w:r w:rsidR="000063E0">
        <w:t xml:space="preserve"> </w:t>
      </w:r>
      <w:r>
        <w:t>PET/CT</w:t>
      </w:r>
      <w:r w:rsidR="00C21C3B">
        <w:t xml:space="preserve"> lead to a change in management compared to the information gained from the comparator tests?</w:t>
      </w:r>
    </w:p>
    <w:p w14:paraId="69F32CFE" w14:textId="1DBD5CB6" w:rsidR="00297083" w:rsidRDefault="00297083" w:rsidP="000F45EE">
      <w:r>
        <w:t xml:space="preserve">4. Do the </w:t>
      </w:r>
      <w:r w:rsidR="00BF14E7">
        <w:t>differences in management derived from FDG</w:t>
      </w:r>
      <w:r w:rsidR="000063E0">
        <w:t xml:space="preserve"> </w:t>
      </w:r>
      <w:r w:rsidR="00BF14E7">
        <w:t>PET/CT, relative to the comparator tests, result in the claimed health outcomes?</w:t>
      </w:r>
    </w:p>
    <w:p w14:paraId="19B48FA8" w14:textId="36611E42" w:rsidR="00F93F08" w:rsidRDefault="00F93F08" w:rsidP="000F45EE">
      <w:r>
        <w:t xml:space="preserve">5. Not applicable as no surrogate outcomes are </w:t>
      </w:r>
      <w:r w:rsidR="00A96638">
        <w:t>proposed in the assessment.</w:t>
      </w:r>
    </w:p>
    <w:p w14:paraId="26FABD61" w14:textId="55E650B6" w:rsidR="00CE18FA" w:rsidRDefault="00CE18FA" w:rsidP="000F45EE">
      <w:r>
        <w:t xml:space="preserve">7. </w:t>
      </w:r>
      <w:r w:rsidR="00255A3C">
        <w:t>What are the adverse events associated with FDG</w:t>
      </w:r>
      <w:r w:rsidR="000063E0">
        <w:t xml:space="preserve"> </w:t>
      </w:r>
      <w:r w:rsidR="00255A3C">
        <w:t>PET/CT compared to those associated with the comparator tests (radiation exposure, sedation/ae</w:t>
      </w:r>
      <w:r w:rsidR="00063E78">
        <w:t>sthesia</w:t>
      </w:r>
      <w:r w:rsidR="00052DE9">
        <w:t>, biopsy</w:t>
      </w:r>
      <w:r w:rsidR="00D352B9">
        <w:t xml:space="preserve"> etc.)?</w:t>
      </w:r>
    </w:p>
    <w:p w14:paraId="7D1067F4" w14:textId="7C23FB1C" w:rsidR="00D352B9" w:rsidRPr="004F5F09" w:rsidRDefault="00D352B9" w:rsidP="000F45EE">
      <w:r>
        <w:t>8. What are the adverse events associated with the change in tr</w:t>
      </w:r>
      <w:r w:rsidR="007C6590">
        <w:t xml:space="preserve">eatments/interventions </w:t>
      </w:r>
      <w:r w:rsidR="007D4F42">
        <w:t xml:space="preserve">that </w:t>
      </w:r>
      <w:r w:rsidR="000A1854">
        <w:t xml:space="preserve">arise </w:t>
      </w:r>
      <w:r w:rsidR="007D4F42">
        <w:t xml:space="preserve">from management decisions </w:t>
      </w:r>
      <w:r w:rsidR="004402E3">
        <w:t>altered by the use of FDG</w:t>
      </w:r>
      <w:r w:rsidR="000063E0">
        <w:t xml:space="preserve"> </w:t>
      </w:r>
      <w:r w:rsidR="004402E3">
        <w:t xml:space="preserve">PET/CT? </w:t>
      </w:r>
    </w:p>
    <w:p w14:paraId="5C03C717" w14:textId="639CF883" w:rsidR="00EB0B1E" w:rsidRPr="004A4D2F" w:rsidRDefault="007847B7" w:rsidP="55B5D1E8">
      <w:pPr>
        <w:rPr>
          <w:rFonts w:asciiTheme="minorHAnsi" w:hAnsiTheme="minorHAnsi" w:cstheme="minorBidi"/>
        </w:rPr>
      </w:pPr>
      <w:r w:rsidRPr="55B5D1E8">
        <w:rPr>
          <w:rFonts w:asciiTheme="minorHAnsi" w:hAnsiTheme="minorHAnsi" w:cstheme="minorBidi"/>
          <w:i/>
          <w:iCs/>
        </w:rPr>
        <w:t xml:space="preserve">PASC considered that direct evidence </w:t>
      </w:r>
      <w:r w:rsidR="00E257BE">
        <w:rPr>
          <w:rFonts w:asciiTheme="minorHAnsi" w:hAnsiTheme="minorHAnsi" w:cstheme="minorBidi"/>
          <w:i/>
          <w:iCs/>
        </w:rPr>
        <w:t>may not</w:t>
      </w:r>
      <w:r w:rsidRPr="55B5D1E8">
        <w:rPr>
          <w:rFonts w:asciiTheme="minorHAnsi" w:hAnsiTheme="minorHAnsi" w:cstheme="minorBidi"/>
          <w:i/>
          <w:iCs/>
        </w:rPr>
        <w:t xml:space="preserve"> be available and a linked evidence approach will </w:t>
      </w:r>
      <w:r w:rsidR="00D77C9E">
        <w:rPr>
          <w:rFonts w:asciiTheme="minorHAnsi" w:hAnsiTheme="minorHAnsi" w:cstheme="minorBidi"/>
          <w:i/>
          <w:iCs/>
        </w:rPr>
        <w:t>likely</w:t>
      </w:r>
      <w:r w:rsidRPr="55B5D1E8">
        <w:rPr>
          <w:rFonts w:asciiTheme="minorHAnsi" w:hAnsiTheme="minorHAnsi" w:cstheme="minorBidi"/>
          <w:i/>
          <w:iCs/>
        </w:rPr>
        <w:t xml:space="preserve"> be required. </w:t>
      </w:r>
    </w:p>
    <w:p w14:paraId="66097E6A" w14:textId="77777777" w:rsidR="00EB0B1E" w:rsidRPr="004A4D2F" w:rsidRDefault="00EB0B1E" w:rsidP="00EB0B1E">
      <w:pPr>
        <w:rPr>
          <w:rFonts w:asciiTheme="minorHAnsi" w:hAnsiTheme="minorHAnsi" w:cstheme="minorHAnsi"/>
        </w:rPr>
      </w:pPr>
    </w:p>
    <w:p w14:paraId="6069F0B5" w14:textId="77777777" w:rsidR="00D73332" w:rsidRPr="00490FBB" w:rsidRDefault="00D73332" w:rsidP="00713728">
      <w:pPr>
        <w:pStyle w:val="Heading2"/>
        <w:rPr>
          <w:b/>
          <w:bCs/>
          <w:i/>
        </w:rPr>
      </w:pPr>
      <w:r w:rsidRPr="00490FBB">
        <w:lastRenderedPageBreak/>
        <w:t>Clinical management algorithms</w:t>
      </w:r>
    </w:p>
    <w:p w14:paraId="08FF34F9" w14:textId="34E842EA" w:rsidR="007D2DED" w:rsidRDefault="00A20580" w:rsidP="00A20580">
      <w:pPr>
        <w:pStyle w:val="Heading4"/>
      </w:pPr>
      <w:r>
        <w:t>PICO Set 1</w:t>
      </w:r>
    </w:p>
    <w:p w14:paraId="7B98E663" w14:textId="5477B004" w:rsidR="0030735D" w:rsidRDefault="00FB4364" w:rsidP="00663C8B">
      <w:r>
        <w:t xml:space="preserve">In current practice, patients who present with </w:t>
      </w:r>
      <w:r w:rsidR="00724E82">
        <w:t>signs of complex infection will undergo first-line investigations tailored to the</w:t>
      </w:r>
      <w:r w:rsidR="001A33E8">
        <w:t>ir</w:t>
      </w:r>
      <w:r w:rsidR="00724E82">
        <w:t xml:space="preserve"> clinical history and symptoms</w:t>
      </w:r>
      <w:r w:rsidR="00EA0835">
        <w:t xml:space="preserve">. </w:t>
      </w:r>
      <w:r w:rsidR="00E71B93">
        <w:t>Th</w:t>
      </w:r>
      <w:r w:rsidR="008000FD">
        <w:t>ese</w:t>
      </w:r>
      <w:r w:rsidR="00E71B93">
        <w:t xml:space="preserve"> </w:t>
      </w:r>
      <w:r w:rsidR="008000FD">
        <w:t xml:space="preserve">typically </w:t>
      </w:r>
      <w:r w:rsidR="00E71B93">
        <w:t>include laboratory markers of infection (</w:t>
      </w:r>
      <w:r w:rsidR="008000FD">
        <w:t xml:space="preserve">e.g. </w:t>
      </w:r>
      <w:r w:rsidR="00E71B93">
        <w:t>CRP, ESR)</w:t>
      </w:r>
      <w:r w:rsidR="008000FD">
        <w:t>,</w:t>
      </w:r>
      <w:r w:rsidR="00E71B93">
        <w:t xml:space="preserve"> </w:t>
      </w:r>
      <w:r w:rsidR="00850ACA">
        <w:t xml:space="preserve">with additional </w:t>
      </w:r>
      <w:r w:rsidR="00A85148">
        <w:t xml:space="preserve">laboratory testing </w:t>
      </w:r>
      <w:r w:rsidR="008000FD">
        <w:t>performed according to</w:t>
      </w:r>
      <w:r w:rsidR="00B109A9">
        <w:t xml:space="preserve"> the suspected diagnosis</w:t>
      </w:r>
      <w:r w:rsidR="00A85148">
        <w:t>. I</w:t>
      </w:r>
      <w:r w:rsidR="003D2F46">
        <w:t>nvestigations</w:t>
      </w:r>
      <w:r w:rsidR="00A85148">
        <w:t xml:space="preserve"> may include plain </w:t>
      </w:r>
      <w:r w:rsidR="008A5DE3">
        <w:t>X</w:t>
      </w:r>
      <w:r w:rsidR="00A85148">
        <w:t>-ray</w:t>
      </w:r>
      <w:r w:rsidR="003D2F46">
        <w:t>s</w:t>
      </w:r>
      <w:r w:rsidR="00A85148">
        <w:t xml:space="preserve"> </w:t>
      </w:r>
      <w:r w:rsidR="003D2F46">
        <w:t>where</w:t>
      </w:r>
      <w:r w:rsidR="00A85148">
        <w:t xml:space="preserve"> bone involve</w:t>
      </w:r>
      <w:r w:rsidR="003D2F46">
        <w:t>ment is suspected</w:t>
      </w:r>
      <w:r w:rsidR="001B1BC8">
        <w:t>,</w:t>
      </w:r>
      <w:r w:rsidR="00A85148">
        <w:t xml:space="preserve"> </w:t>
      </w:r>
      <w:r w:rsidR="006D113B">
        <w:t>blood cultures in many subgroups</w:t>
      </w:r>
      <w:r w:rsidR="00815459">
        <w:t xml:space="preserve">, </w:t>
      </w:r>
      <w:r w:rsidR="001B1BC8">
        <w:t xml:space="preserve">and microbiological culture </w:t>
      </w:r>
      <w:r w:rsidR="00815459">
        <w:t xml:space="preserve">of any </w:t>
      </w:r>
      <w:r w:rsidR="001B1BC8">
        <w:t xml:space="preserve">relevant </w:t>
      </w:r>
      <w:r w:rsidR="00815459">
        <w:t>discharge or aspirate</w:t>
      </w:r>
      <w:r w:rsidR="001B1BC8">
        <w:t>d fluid</w:t>
      </w:r>
      <w:r w:rsidR="00815459">
        <w:t>.</w:t>
      </w:r>
      <w:r w:rsidR="0030735D">
        <w:t xml:space="preserve"> A probe</w:t>
      </w:r>
      <w:r w:rsidR="008715C1">
        <w:t>-</w:t>
      </w:r>
      <w:r w:rsidR="0030735D">
        <w:t>to</w:t>
      </w:r>
      <w:r w:rsidR="008715C1">
        <w:t>-</w:t>
      </w:r>
      <w:r w:rsidR="0030735D">
        <w:t>bone test is recommended in patients with diabetic ulcers.</w:t>
      </w:r>
      <w:r w:rsidR="00815459">
        <w:t xml:space="preserve"> </w:t>
      </w:r>
      <w:r w:rsidR="00B95A36">
        <w:t xml:space="preserve">Patients may be initiated on </w:t>
      </w:r>
      <w:r w:rsidR="00071D18">
        <w:t>empiric</w:t>
      </w:r>
      <w:r w:rsidR="00B95A36">
        <w:t xml:space="preserve"> antibiotic therapy </w:t>
      </w:r>
      <w:r w:rsidR="00F60AEC">
        <w:t xml:space="preserve">depending on </w:t>
      </w:r>
      <w:r w:rsidR="00D25AAD">
        <w:t xml:space="preserve">the level of </w:t>
      </w:r>
      <w:r w:rsidR="00F60AEC">
        <w:t>suspicion</w:t>
      </w:r>
      <w:r w:rsidR="00D25AAD">
        <w:t xml:space="preserve"> and their clinical stability.</w:t>
      </w:r>
      <w:r w:rsidR="00F60AEC">
        <w:t xml:space="preserve"> </w:t>
      </w:r>
    </w:p>
    <w:p w14:paraId="4D5BD63C" w14:textId="59BDB133" w:rsidR="00663C8B" w:rsidRDefault="001D4B57" w:rsidP="00663C8B">
      <w:r>
        <w:t xml:space="preserve">If further diagnosis is required, either due to ongoing uncertainty or requirement for </w:t>
      </w:r>
      <w:r w:rsidR="004B75A1">
        <w:t xml:space="preserve">biopsy localisation or surgical planning, then targeted imaging is usually the next investigation. </w:t>
      </w:r>
      <w:r w:rsidR="0030735D">
        <w:t>MRI</w:t>
      </w:r>
      <w:r w:rsidR="004B75A1">
        <w:t xml:space="preserve"> </w:t>
      </w:r>
      <w:r w:rsidR="00703EB8">
        <w:t xml:space="preserve">is recommended in suspected spinal infection and paediatric </w:t>
      </w:r>
      <w:r w:rsidR="00F056D1">
        <w:t xml:space="preserve">bone and </w:t>
      </w:r>
      <w:r w:rsidR="00703EB8">
        <w:t xml:space="preserve">joint infections and TTE in </w:t>
      </w:r>
      <w:r w:rsidR="00142F37">
        <w:t xml:space="preserve">suspected infective endocarditis. CT or MRI are suitable for other indications depending on </w:t>
      </w:r>
      <w:r w:rsidR="17A45BB1">
        <w:t xml:space="preserve">the suspected </w:t>
      </w:r>
      <w:r w:rsidR="005C028B">
        <w:t xml:space="preserve">location of </w:t>
      </w:r>
      <w:r w:rsidR="682BF795">
        <w:t>infection</w:t>
      </w:r>
      <w:r w:rsidR="00644CA7">
        <w:t>.</w:t>
      </w:r>
      <w:r w:rsidR="004562D8">
        <w:t xml:space="preserve"> For many patients, these investigations </w:t>
      </w:r>
      <w:r w:rsidR="001374AA">
        <w:t>are</w:t>
      </w:r>
      <w:r w:rsidR="00E770C2">
        <w:t xml:space="preserve"> sufficient </w:t>
      </w:r>
      <w:r w:rsidR="001374AA">
        <w:t xml:space="preserve">to establish the </w:t>
      </w:r>
      <w:r w:rsidR="00E770C2">
        <w:t xml:space="preserve">diagnosis </w:t>
      </w:r>
      <w:r w:rsidR="001374AA">
        <w:t>or to identify a suitable site for</w:t>
      </w:r>
      <w:r w:rsidR="00E770C2">
        <w:t xml:space="preserve"> targeted biopsy </w:t>
      </w:r>
      <w:r w:rsidR="001374AA">
        <w:t>or aspiration</w:t>
      </w:r>
      <w:r w:rsidR="008F5019">
        <w:t xml:space="preserve">, enabling </w:t>
      </w:r>
      <w:r w:rsidR="00E770C2">
        <w:t>confirm</w:t>
      </w:r>
      <w:r w:rsidR="008F5019">
        <w:t>ation of the</w:t>
      </w:r>
      <w:r w:rsidR="00E770C2">
        <w:t xml:space="preserve"> diagnosis and</w:t>
      </w:r>
      <w:r w:rsidR="00837249">
        <w:t xml:space="preserve"> guiding</w:t>
      </w:r>
      <w:r w:rsidR="00E770C2">
        <w:t xml:space="preserve"> subsequent treatment</w:t>
      </w:r>
      <w:r w:rsidR="00837249">
        <w:t>,</w:t>
      </w:r>
      <w:r w:rsidR="00E770C2">
        <w:t xml:space="preserve"> which may include</w:t>
      </w:r>
      <w:r w:rsidR="00837249">
        <w:t xml:space="preserve"> antib</w:t>
      </w:r>
      <w:r w:rsidR="00427DB9">
        <w:t>iotics,</w:t>
      </w:r>
      <w:r w:rsidR="00E770C2">
        <w:t xml:space="preserve"> </w:t>
      </w:r>
      <w:r w:rsidR="002E2FDE">
        <w:t>surgery</w:t>
      </w:r>
      <w:r w:rsidR="00427DB9">
        <w:t>,</w:t>
      </w:r>
      <w:r w:rsidR="002E2FDE">
        <w:t xml:space="preserve"> </w:t>
      </w:r>
      <w:r w:rsidR="00427DB9">
        <w:t>or both</w:t>
      </w:r>
      <w:r w:rsidR="002E2FDE">
        <w:t xml:space="preserve">. </w:t>
      </w:r>
      <w:r w:rsidR="006D5535">
        <w:t xml:space="preserve">However, for some patients, first-line testing is </w:t>
      </w:r>
      <w:r w:rsidR="002722C7">
        <w:t xml:space="preserve">equivocal </w:t>
      </w:r>
      <w:r w:rsidR="008B3534">
        <w:t xml:space="preserve">or insufficient </w:t>
      </w:r>
      <w:r w:rsidR="002722C7">
        <w:t>to localise sites of infection for ongoing management decisions</w:t>
      </w:r>
      <w:r w:rsidR="008B3534">
        <w:t>,</w:t>
      </w:r>
      <w:r w:rsidR="0079670B">
        <w:t xml:space="preserve"> or there are contraindications to baseline testing (e.g. </w:t>
      </w:r>
      <w:r w:rsidR="008B3534">
        <w:t xml:space="preserve">the </w:t>
      </w:r>
      <w:r w:rsidR="0079670B">
        <w:t>requirement for anaesthesia in paediatric patients)</w:t>
      </w:r>
      <w:r w:rsidR="14F0D708">
        <w:t xml:space="preserve"> and diagnostic uncertainty remains</w:t>
      </w:r>
      <w:r w:rsidR="00137D06">
        <w:t>.</w:t>
      </w:r>
      <w:r w:rsidR="002B7A4B">
        <w:t xml:space="preserve"> </w:t>
      </w:r>
      <w:r w:rsidR="001B2E0E">
        <w:t xml:space="preserve">These </w:t>
      </w:r>
      <w:r w:rsidR="00635884">
        <w:t>p</w:t>
      </w:r>
      <w:r w:rsidR="002B7A4B">
        <w:t xml:space="preserve">atients would </w:t>
      </w:r>
      <w:r w:rsidR="00B13D1F">
        <w:t xml:space="preserve">be referred to </w:t>
      </w:r>
      <w:r w:rsidR="00635884">
        <w:t xml:space="preserve">an </w:t>
      </w:r>
      <w:r w:rsidR="00B13D1F">
        <w:t xml:space="preserve">infectious </w:t>
      </w:r>
      <w:r w:rsidR="002E3250">
        <w:t>diseases</w:t>
      </w:r>
      <w:r w:rsidR="00B13D1F">
        <w:t xml:space="preserve"> service.</w:t>
      </w:r>
    </w:p>
    <w:p w14:paraId="5A9F80C3" w14:textId="15AABB62" w:rsidR="008C4767" w:rsidRDefault="000B4B3F" w:rsidP="00663C8B">
      <w:r>
        <w:t xml:space="preserve">If infective endocarditis remains a concern and TTE is equivocal, a </w:t>
      </w:r>
      <w:r w:rsidR="006C1DCF" w:rsidRPr="006C1DCF">
        <w:t xml:space="preserve">transesophageal echocardiogram </w:t>
      </w:r>
      <w:r w:rsidR="006C1DCF">
        <w:t>(</w:t>
      </w:r>
      <w:r>
        <w:t>TOE</w:t>
      </w:r>
      <w:r w:rsidR="006C1DCF">
        <w:t>)</w:t>
      </w:r>
      <w:r>
        <w:t xml:space="preserve"> is recommended. </w:t>
      </w:r>
      <w:r w:rsidR="00824124">
        <w:t>For suspected bone</w:t>
      </w:r>
      <w:r w:rsidR="00F83BD1">
        <w:t xml:space="preserve"> infections, </w:t>
      </w:r>
      <w:r w:rsidR="00E43B42">
        <w:t xml:space="preserve">a bone scan is a likely next step. </w:t>
      </w:r>
      <w:r w:rsidR="00920045">
        <w:t xml:space="preserve">Beyond this, </w:t>
      </w:r>
      <w:r w:rsidR="002E2EC6">
        <w:t>further advanced imaging is utilised and differs with each indication</w:t>
      </w:r>
      <w:r w:rsidR="00D7570D">
        <w:t xml:space="preserve"> but may include anatomical imaging (CT, MRI and sometimes ultrasound) and</w:t>
      </w:r>
      <w:r w:rsidR="00F66CE9">
        <w:t>,</w:t>
      </w:r>
      <w:r w:rsidR="00D50397">
        <w:t xml:space="preserve"> if required, metabolic imaging </w:t>
      </w:r>
      <w:r w:rsidR="001674A7">
        <w:t>(3-phase bone scan</w:t>
      </w:r>
      <w:r w:rsidR="00EE2FFA">
        <w:t>n</w:t>
      </w:r>
      <w:r w:rsidR="00F66CE9">
        <w:t>ing</w:t>
      </w:r>
      <w:r w:rsidR="001674A7">
        <w:t>, labelled WBC scan</w:t>
      </w:r>
      <w:r w:rsidR="00EE2FFA">
        <w:t>n</w:t>
      </w:r>
      <w:r w:rsidR="00F66CE9">
        <w:t>ing</w:t>
      </w:r>
      <w:r w:rsidR="001674A7">
        <w:t>, Ga</w:t>
      </w:r>
      <w:r w:rsidR="00FB540D">
        <w:t>-67</w:t>
      </w:r>
      <w:r w:rsidR="001674A7">
        <w:t xml:space="preserve"> sc</w:t>
      </w:r>
      <w:r w:rsidR="009804EC">
        <w:t>intigraphy</w:t>
      </w:r>
      <w:r w:rsidR="001674A7">
        <w:t>)</w:t>
      </w:r>
      <w:r w:rsidR="006E6674">
        <w:t xml:space="preserve">. </w:t>
      </w:r>
      <w:r w:rsidR="004770E3">
        <w:t xml:space="preserve">In current practice, FDG PET/CT may be used </w:t>
      </w:r>
      <w:r w:rsidR="00A310B0">
        <w:t>as an alternative to GA-67 scintigraphy under MBS item</w:t>
      </w:r>
      <w:r w:rsidR="00977567">
        <w:t xml:space="preserve"> 61527</w:t>
      </w:r>
      <w:r w:rsidR="000D4CA6">
        <w:t>; however</w:t>
      </w:r>
      <w:r w:rsidR="00977567">
        <w:t>, this</w:t>
      </w:r>
      <w:r w:rsidR="000D4CA6">
        <w:t xml:space="preserve"> existing use</w:t>
      </w:r>
      <w:r w:rsidR="00977567">
        <w:t xml:space="preserve"> is not shown in the clinical management algorithm.</w:t>
      </w:r>
      <w:r w:rsidR="00A310B0">
        <w:t xml:space="preserve"> </w:t>
      </w:r>
      <w:r w:rsidR="006E6674">
        <w:t xml:space="preserve">Although there are guidelines for some indications, </w:t>
      </w:r>
      <w:r w:rsidR="004740B0">
        <w:t xml:space="preserve">the diagnostic pathway </w:t>
      </w:r>
      <w:r w:rsidR="009804EC">
        <w:t>varies according to</w:t>
      </w:r>
      <w:r w:rsidR="004740B0">
        <w:t xml:space="preserve"> </w:t>
      </w:r>
      <w:r w:rsidR="00F40C3D">
        <w:t>local availability</w:t>
      </w:r>
      <w:r w:rsidR="00FC1966">
        <w:t xml:space="preserve"> and </w:t>
      </w:r>
      <w:r w:rsidR="00F40C3D">
        <w:t>clinical expertise</w:t>
      </w:r>
      <w:r w:rsidR="00E17275">
        <w:t xml:space="preserve">. </w:t>
      </w:r>
      <w:r w:rsidR="003031CB">
        <w:t xml:space="preserve">If </w:t>
      </w:r>
      <w:r w:rsidR="00F962CE">
        <w:t>uncertainty remains</w:t>
      </w:r>
      <w:r w:rsidR="003031CB">
        <w:t xml:space="preserve"> following </w:t>
      </w:r>
      <w:r w:rsidR="00CA6264">
        <w:t xml:space="preserve">one of more of </w:t>
      </w:r>
      <w:r w:rsidR="003031CB">
        <w:t xml:space="preserve">these advanced imaging </w:t>
      </w:r>
      <w:r w:rsidR="008F36F5">
        <w:t>investigations</w:t>
      </w:r>
      <w:r w:rsidR="00EA472C">
        <w:t xml:space="preserve">, </w:t>
      </w:r>
      <w:r w:rsidR="008F36F5">
        <w:t xml:space="preserve">options may include </w:t>
      </w:r>
      <w:r w:rsidR="00EA472C">
        <w:t xml:space="preserve">repeat imaging after </w:t>
      </w:r>
      <w:r w:rsidR="008F36F5">
        <w:t xml:space="preserve">a period of </w:t>
      </w:r>
      <w:r w:rsidR="00EA472C">
        <w:t xml:space="preserve">close </w:t>
      </w:r>
      <w:r w:rsidR="008F36F5">
        <w:t>clini</w:t>
      </w:r>
      <w:r w:rsidR="00E11671">
        <w:t xml:space="preserve">cal </w:t>
      </w:r>
      <w:r w:rsidR="00EA472C">
        <w:t xml:space="preserve">monitoring, invasive </w:t>
      </w:r>
      <w:r w:rsidR="005622C0">
        <w:t>biops</w:t>
      </w:r>
      <w:r w:rsidR="00E11671">
        <w:t>y</w:t>
      </w:r>
      <w:r w:rsidR="00EA472C">
        <w:t>, or empirical broad-</w:t>
      </w:r>
      <w:r w:rsidR="005622C0">
        <w:t>spectrum</w:t>
      </w:r>
      <w:r w:rsidR="00EA472C">
        <w:t xml:space="preserve"> </w:t>
      </w:r>
      <w:r w:rsidR="00E11671">
        <w:t xml:space="preserve">antimicrobial </w:t>
      </w:r>
      <w:r w:rsidR="00EA472C">
        <w:t>therapy</w:t>
      </w:r>
      <w:r w:rsidR="25873CE4">
        <w:t>.</w:t>
      </w:r>
    </w:p>
    <w:p w14:paraId="45C3B707" w14:textId="315B04FB" w:rsidR="000B4B3F" w:rsidRDefault="00386B5A" w:rsidP="00663C8B">
      <w:r>
        <w:t>The</w:t>
      </w:r>
      <w:r w:rsidR="006C74E7">
        <w:t xml:space="preserve"> current clinical management algorithm is presented in </w:t>
      </w:r>
      <w:r w:rsidR="006C74E7">
        <w:fldChar w:fldCharType="begin"/>
      </w:r>
      <w:r w:rsidR="006C74E7">
        <w:instrText xml:space="preserve"> REF _Ref234483513 \h </w:instrText>
      </w:r>
      <w:r w:rsidR="006C74E7">
        <w:fldChar w:fldCharType="separate"/>
      </w:r>
      <w:r w:rsidR="006C74E7">
        <w:t xml:space="preserve">Figure </w:t>
      </w:r>
      <w:r w:rsidR="006C74E7">
        <w:rPr>
          <w:noProof/>
        </w:rPr>
        <w:t>3</w:t>
      </w:r>
      <w:r w:rsidR="006C74E7">
        <w:fldChar w:fldCharType="end"/>
      </w:r>
      <w:r>
        <w:t>.</w:t>
      </w:r>
    </w:p>
    <w:p w14:paraId="0BDAD9CB" w14:textId="7507D563" w:rsidR="006F4BDD" w:rsidRDefault="006F4BDD" w:rsidP="00663C8B">
      <w:r>
        <w:t>The addition of FDG</w:t>
      </w:r>
      <w:r w:rsidR="000063E0">
        <w:t xml:space="preserve"> </w:t>
      </w:r>
      <w:r>
        <w:t>PET/CT</w:t>
      </w:r>
      <w:r w:rsidR="00AC2B50">
        <w:t xml:space="preserve"> </w:t>
      </w:r>
      <w:r w:rsidR="006F55FA">
        <w:t>provides an additional advanced imaging option and would replace many</w:t>
      </w:r>
      <w:r w:rsidR="000C6B2D">
        <w:t xml:space="preserve">, but not all, tests at this point in the diagnostic pathway. </w:t>
      </w:r>
      <w:r w:rsidR="001A7567">
        <w:t>It is proposed to enable a quicker diagnosis and reduced likelihood of requiring further or repeat imaging</w:t>
      </w:r>
      <w:r w:rsidR="00247E36">
        <w:t xml:space="preserve"> (where it has higher sensitivity than the comparators). </w:t>
      </w:r>
      <w:r w:rsidR="009E3106">
        <w:t>Where it has equivalent sensitivity, FDG</w:t>
      </w:r>
      <w:r w:rsidR="000063E0">
        <w:t xml:space="preserve"> </w:t>
      </w:r>
      <w:r w:rsidR="009E3106">
        <w:t>PET/CT is proposed to retain advantages over the comparators</w:t>
      </w:r>
      <w:r w:rsidR="00CB6FB4">
        <w:t xml:space="preserve"> as it is simpler to administer</w:t>
      </w:r>
      <w:r w:rsidR="005D405F">
        <w:t xml:space="preserve"> and</w:t>
      </w:r>
      <w:r w:rsidR="00CB6FB4">
        <w:t xml:space="preserve"> has a shorter scan </w:t>
      </w:r>
      <w:r w:rsidR="005D32A2">
        <w:t xml:space="preserve">acquisition </w:t>
      </w:r>
      <w:r w:rsidR="00CB6FB4">
        <w:t>time</w:t>
      </w:r>
      <w:r w:rsidR="005D405F">
        <w:t>.</w:t>
      </w:r>
      <w:r w:rsidR="00240867">
        <w:t xml:space="preserve"> It also has a high negative predictive value and </w:t>
      </w:r>
      <w:r w:rsidR="00EC3407">
        <w:t>provides</w:t>
      </w:r>
      <w:r w:rsidR="00240867">
        <w:t xml:space="preserve"> whole body</w:t>
      </w:r>
      <w:r w:rsidR="00EC3407">
        <w:t xml:space="preserve"> imaging.</w:t>
      </w:r>
      <w:r w:rsidR="00240867">
        <w:t xml:space="preserve"> </w:t>
      </w:r>
      <w:r w:rsidR="00EC3407">
        <w:t>T</w:t>
      </w:r>
      <w:r w:rsidR="00240867">
        <w:t>herefore</w:t>
      </w:r>
      <w:r w:rsidR="00EC3407">
        <w:t>,</w:t>
      </w:r>
      <w:r w:rsidR="00240867">
        <w:t xml:space="preserve"> a negative scan </w:t>
      </w:r>
      <w:r w:rsidR="001E36E5">
        <w:t>is more likely to lead to cessation of further investigations and a conservative ongoing approach</w:t>
      </w:r>
      <w:r w:rsidR="009B7554">
        <w:t xml:space="preserve">. </w:t>
      </w:r>
    </w:p>
    <w:p w14:paraId="70E5C6BE" w14:textId="550F4954" w:rsidR="00201640" w:rsidRPr="00663C8B" w:rsidRDefault="00201640" w:rsidP="00663C8B">
      <w:r>
        <w:t xml:space="preserve">The proposed clinical management algorithm is presented in </w:t>
      </w:r>
      <w:r>
        <w:fldChar w:fldCharType="begin"/>
      </w:r>
      <w:r>
        <w:instrText xml:space="preserve"> REF _Ref234484311 \h </w:instrText>
      </w:r>
      <w:r>
        <w:fldChar w:fldCharType="separate"/>
      </w:r>
      <w:r>
        <w:t xml:space="preserve">Figure </w:t>
      </w:r>
      <w:r>
        <w:rPr>
          <w:noProof/>
        </w:rPr>
        <w:t>4</w:t>
      </w:r>
      <w:r>
        <w:fldChar w:fldCharType="end"/>
      </w:r>
    </w:p>
    <w:p w14:paraId="49C225E9" w14:textId="71B028F8" w:rsidR="00A20580" w:rsidRDefault="00A20580" w:rsidP="00A20580">
      <w:pPr>
        <w:pStyle w:val="Caption"/>
      </w:pPr>
      <w:bookmarkStart w:id="12" w:name="_Ref234483513"/>
      <w:r>
        <w:lastRenderedPageBreak/>
        <w:t xml:space="preserve">Figure </w:t>
      </w:r>
      <w:r>
        <w:fldChar w:fldCharType="begin"/>
      </w:r>
      <w:r>
        <w:instrText xml:space="preserve"> SEQ Figure \* ARABIC </w:instrText>
      </w:r>
      <w:r>
        <w:fldChar w:fldCharType="separate"/>
      </w:r>
      <w:r w:rsidR="00CC1847">
        <w:rPr>
          <w:noProof/>
        </w:rPr>
        <w:t>3</w:t>
      </w:r>
      <w:r>
        <w:fldChar w:fldCharType="end"/>
      </w:r>
      <w:bookmarkEnd w:id="12"/>
      <w:r>
        <w:tab/>
      </w:r>
      <w:r w:rsidR="00277D0F">
        <w:t>Current clinical management algorithm for PICO Set 1</w:t>
      </w:r>
    </w:p>
    <w:p w14:paraId="6DB8EB30" w14:textId="743407D7" w:rsidR="00A20580" w:rsidRPr="00A20580" w:rsidRDefault="00662BC4" w:rsidP="00A20580">
      <w:r>
        <w:rPr>
          <w:noProof/>
        </w:rPr>
        <w:drawing>
          <wp:inline distT="0" distB="0" distL="0" distR="0" wp14:anchorId="586CEBB8" wp14:editId="67B66775">
            <wp:extent cx="5358765" cy="6730365"/>
            <wp:effectExtent l="0" t="0" r="0" b="0"/>
            <wp:docPr id="1228324160" name="Picture 1228324160" descr="Shows the current testing pathway for PICO Se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324160" name="Picture 1228324160" descr="Shows the current testing pathway for PICO Set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58765" cy="6730365"/>
                    </a:xfrm>
                    <a:prstGeom prst="rect">
                      <a:avLst/>
                    </a:prstGeom>
                    <a:noFill/>
                  </pic:spPr>
                </pic:pic>
              </a:graphicData>
            </a:graphic>
          </wp:inline>
        </w:drawing>
      </w:r>
    </w:p>
    <w:p w14:paraId="6DDCED38" w14:textId="5F758015" w:rsidR="007D2DED" w:rsidRDefault="00155BFA" w:rsidP="001A64C2">
      <w:pPr>
        <w:pStyle w:val="Tablenotes"/>
      </w:pPr>
      <w:r w:rsidRPr="00155BFA">
        <w:t>CRP = c-reactive protein;</w:t>
      </w:r>
      <w:r>
        <w:t xml:space="preserve"> </w:t>
      </w:r>
      <w:r w:rsidR="001A64C2">
        <w:t xml:space="preserve">CT = computed tomography; EPNTM = extrapulmonary non-tuberculous mycobacterial; </w:t>
      </w:r>
      <w:r w:rsidR="003D30F5" w:rsidRPr="003D30F5">
        <w:t>ESR = erythrocyte sedimentation rate;</w:t>
      </w:r>
      <w:r w:rsidR="003D30F5">
        <w:t xml:space="preserve"> </w:t>
      </w:r>
      <w:r w:rsidR="001A64C2">
        <w:t xml:space="preserve">EUC = electrolytes, urea, creatinine; FBC = full blood count; </w:t>
      </w:r>
      <w:r w:rsidR="00AF4348" w:rsidRPr="00AF4348">
        <w:t>FOV = field of view;</w:t>
      </w:r>
      <w:r w:rsidR="00AF4348">
        <w:t xml:space="preserve"> </w:t>
      </w:r>
      <w:r w:rsidR="00A851E7">
        <w:t xml:space="preserve">Ga-67 = gallium-67 citrate; </w:t>
      </w:r>
      <w:r w:rsidR="001A64C2">
        <w:t xml:space="preserve">LFT = liver function test; MRI = magnetic resonance imaging; </w:t>
      </w:r>
      <w:r w:rsidR="00944226" w:rsidRPr="00944226">
        <w:t xml:space="preserve">PJI = prosthetic joint infection; </w:t>
      </w:r>
      <w:r w:rsidR="00572D52" w:rsidRPr="00572D52">
        <w:t xml:space="preserve">TOE = transesophageal echocardiogram; </w:t>
      </w:r>
      <w:r w:rsidR="002D30F8" w:rsidRPr="002D30F8">
        <w:t xml:space="preserve">TTE = transthoracic echocardiogram; </w:t>
      </w:r>
      <w:r w:rsidR="001A64C2">
        <w:t>WBC = white blood cell.</w:t>
      </w:r>
    </w:p>
    <w:p w14:paraId="4C28F878" w14:textId="77777777" w:rsidR="007D2DED" w:rsidRDefault="007D2DED" w:rsidP="007D2DED"/>
    <w:p w14:paraId="63A8AA4E" w14:textId="77777777" w:rsidR="00613F12" w:rsidRDefault="00613F12" w:rsidP="000C1BC0">
      <w:pPr>
        <w:pStyle w:val="Caption"/>
        <w:sectPr w:rsidR="00613F12" w:rsidSect="001F0C55">
          <w:headerReference w:type="even" r:id="rId16"/>
          <w:headerReference w:type="default" r:id="rId17"/>
          <w:footerReference w:type="even" r:id="rId18"/>
          <w:footerReference w:type="default" r:id="rId19"/>
          <w:headerReference w:type="first" r:id="rId20"/>
          <w:footerReference w:type="first" r:id="rId21"/>
          <w:pgSz w:w="11906" w:h="16838"/>
          <w:pgMar w:top="682" w:right="1134" w:bottom="1021" w:left="1191" w:header="709" w:footer="567" w:gutter="0"/>
          <w:cols w:space="708"/>
          <w:docGrid w:linePitch="360"/>
        </w:sectPr>
      </w:pPr>
      <w:bookmarkStart w:id="13" w:name="_Ref234484311"/>
    </w:p>
    <w:p w14:paraId="4A8DD98E" w14:textId="5A873F31" w:rsidR="000C1BC0" w:rsidRDefault="000C1BC0" w:rsidP="000C1BC0">
      <w:pPr>
        <w:pStyle w:val="Caption"/>
      </w:pPr>
      <w:r>
        <w:lastRenderedPageBreak/>
        <w:t xml:space="preserve">Figure </w:t>
      </w:r>
      <w:r>
        <w:fldChar w:fldCharType="begin"/>
      </w:r>
      <w:r>
        <w:instrText xml:space="preserve"> SEQ Figure \* ARABIC </w:instrText>
      </w:r>
      <w:r>
        <w:fldChar w:fldCharType="separate"/>
      </w:r>
      <w:r w:rsidR="00CC1847">
        <w:rPr>
          <w:noProof/>
        </w:rPr>
        <w:t>4</w:t>
      </w:r>
      <w:r>
        <w:fldChar w:fldCharType="end"/>
      </w:r>
      <w:bookmarkEnd w:id="13"/>
      <w:r>
        <w:tab/>
        <w:t>Proposed clinical management algorithm</w:t>
      </w:r>
      <w:r w:rsidR="00201640">
        <w:t xml:space="preserve"> for PICO Set 1</w:t>
      </w:r>
    </w:p>
    <w:p w14:paraId="31139BCB" w14:textId="4464F5A9" w:rsidR="00C402ED" w:rsidRDefault="00545D6E" w:rsidP="00FB5A35">
      <w:r>
        <w:rPr>
          <w:noProof/>
        </w:rPr>
        <w:drawing>
          <wp:inline distT="0" distB="0" distL="0" distR="0" wp14:anchorId="4E948F9B" wp14:editId="2F003D9F">
            <wp:extent cx="6060114" cy="6414136"/>
            <wp:effectExtent l="0" t="0" r="0" b="5715"/>
            <wp:docPr id="1228324161" name="Picture 1228324161" descr="Shows the proposed testing pathway for PICO Se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324161" name="Picture 1228324161" descr="Shows the proposed testing pathway for PICO Set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65940" cy="6420303"/>
                    </a:xfrm>
                    <a:prstGeom prst="rect">
                      <a:avLst/>
                    </a:prstGeom>
                    <a:noFill/>
                  </pic:spPr>
                </pic:pic>
              </a:graphicData>
            </a:graphic>
          </wp:inline>
        </w:drawing>
      </w:r>
    </w:p>
    <w:p w14:paraId="0AB3E9C6" w14:textId="2706770A" w:rsidR="00C402ED" w:rsidRDefault="00544B24" w:rsidP="002752E8">
      <w:pPr>
        <w:pStyle w:val="Tablenotes"/>
      </w:pPr>
      <w:r w:rsidRPr="00544B24">
        <w:t>CRP = c-reactive protein;</w:t>
      </w:r>
      <w:r>
        <w:t xml:space="preserve"> </w:t>
      </w:r>
      <w:r w:rsidR="002752E8">
        <w:t xml:space="preserve">CT = computed tomography; EPNTM = extrapulmonary non-tuberculous mycobacterial; </w:t>
      </w:r>
      <w:r w:rsidR="005528C8" w:rsidRPr="005528C8">
        <w:t>ESR = erythrocyte sedimentation rate;</w:t>
      </w:r>
      <w:r w:rsidR="005528C8">
        <w:t xml:space="preserve"> </w:t>
      </w:r>
      <w:r w:rsidR="002752E8">
        <w:t xml:space="preserve">EUC = electrolytes, urea, creatinine; FBC = full blood count; </w:t>
      </w:r>
      <w:bookmarkStart w:id="14" w:name="_Hlk234422461"/>
      <w:r w:rsidR="002752E8">
        <w:t>FDG = F</w:t>
      </w:r>
      <w:r w:rsidR="00183B5B">
        <w:t>-18</w:t>
      </w:r>
      <w:r w:rsidR="002752E8">
        <w:t xml:space="preserve"> fluorodeoxyglucose; </w:t>
      </w:r>
      <w:bookmarkEnd w:id="14"/>
      <w:r w:rsidR="001D58BB" w:rsidRPr="001D58BB">
        <w:t>FOV = field of view;</w:t>
      </w:r>
      <w:r w:rsidR="001D58BB">
        <w:t xml:space="preserve"> </w:t>
      </w:r>
      <w:r w:rsidR="004204F7">
        <w:t xml:space="preserve">Ga-67 = gallium-67 citrate; </w:t>
      </w:r>
      <w:r w:rsidR="002752E8">
        <w:t xml:space="preserve">LFT = liver function test; MRI = magnetic resonance imaging; </w:t>
      </w:r>
      <w:r w:rsidR="002752E8" w:rsidRPr="00944226">
        <w:t xml:space="preserve">PET = positron emission tomography; PJI = prosthetic joint infection; </w:t>
      </w:r>
      <w:r w:rsidR="002752E8" w:rsidRPr="00572D52">
        <w:t xml:space="preserve">TOE = transesophageal echocardiogram; </w:t>
      </w:r>
      <w:r w:rsidR="002752E8" w:rsidRPr="002D30F8">
        <w:t xml:space="preserve">TTE = transthoracic echocardiogram; </w:t>
      </w:r>
      <w:r w:rsidR="002752E8">
        <w:t>WBC = white blood cell.</w:t>
      </w:r>
    </w:p>
    <w:p w14:paraId="65A6053B" w14:textId="5E582E4E" w:rsidR="004A0984" w:rsidRDefault="004A0984" w:rsidP="0038002D">
      <w:pPr>
        <w:pStyle w:val="Heading4"/>
      </w:pPr>
      <w:r>
        <w:t>PICO Set 2</w:t>
      </w:r>
    </w:p>
    <w:p w14:paraId="6E032E8A" w14:textId="7E2FBCFC" w:rsidR="00E71928" w:rsidRDefault="00866D61" w:rsidP="00F33D96">
      <w:r>
        <w:t xml:space="preserve">The clinical management pathways differ initially between the two PICO </w:t>
      </w:r>
      <w:r w:rsidR="00DF00DF">
        <w:t>Set 2 subgroups. For p</w:t>
      </w:r>
      <w:r w:rsidR="0038002D">
        <w:t>atients who present with fever of unknown origin</w:t>
      </w:r>
      <w:r w:rsidR="00F54AFD">
        <w:t xml:space="preserve"> </w:t>
      </w:r>
      <w:r w:rsidR="00EF4FBD">
        <w:t>(</w:t>
      </w:r>
      <w:r w:rsidR="00F54AFD">
        <w:t>not neutropenic</w:t>
      </w:r>
      <w:r w:rsidR="00EF4FBD">
        <w:t>)</w:t>
      </w:r>
      <w:r w:rsidR="007D50AB">
        <w:t>,</w:t>
      </w:r>
      <w:r w:rsidR="00F54AFD">
        <w:t xml:space="preserve"> </w:t>
      </w:r>
      <w:r w:rsidR="65DB34E6">
        <w:t>undergo</w:t>
      </w:r>
      <w:r w:rsidR="00F54AFD">
        <w:t xml:space="preserve"> </w:t>
      </w:r>
      <w:r w:rsidR="009124BB">
        <w:t xml:space="preserve">a detailed </w:t>
      </w:r>
      <w:r w:rsidR="00A9211C">
        <w:t>history and physical assessment, wide-ranging laboratory test</w:t>
      </w:r>
      <w:r w:rsidR="00D837A0">
        <w:t>s</w:t>
      </w:r>
      <w:r w:rsidR="00590C54">
        <w:t xml:space="preserve">, </w:t>
      </w:r>
      <w:r w:rsidR="009140C7">
        <w:t xml:space="preserve">microbiological </w:t>
      </w:r>
      <w:r w:rsidR="00590C54">
        <w:t>cultures</w:t>
      </w:r>
      <w:r w:rsidR="00EA0178">
        <w:t xml:space="preserve">, chest </w:t>
      </w:r>
      <w:r w:rsidR="008A5DE3">
        <w:t>X</w:t>
      </w:r>
      <w:r w:rsidR="00EA0178">
        <w:t>-ray</w:t>
      </w:r>
      <w:r w:rsidR="00590C54">
        <w:t xml:space="preserve"> and</w:t>
      </w:r>
      <w:r w:rsidR="009A36B0">
        <w:t>,</w:t>
      </w:r>
      <w:r w:rsidR="00590C54">
        <w:t xml:space="preserve"> if there is </w:t>
      </w:r>
      <w:r w:rsidR="3EB060D9">
        <w:t xml:space="preserve">a </w:t>
      </w:r>
      <w:r w:rsidR="00590C54">
        <w:t>heart murmur or other risks for infective endocarditis</w:t>
      </w:r>
      <w:r w:rsidR="009A36B0">
        <w:t>, an echocardiogram</w:t>
      </w:r>
      <w:r w:rsidR="00590C54">
        <w:t>.</w:t>
      </w:r>
      <w:r w:rsidR="00EA0178">
        <w:t xml:space="preserve"> If these tests fail to yield a diagnosis </w:t>
      </w:r>
      <w:r w:rsidR="00EA0178">
        <w:lastRenderedPageBreak/>
        <w:t xml:space="preserve">and </w:t>
      </w:r>
      <w:r w:rsidR="00EF54A7">
        <w:t xml:space="preserve">fever has not </w:t>
      </w:r>
      <w:r w:rsidR="004775F9">
        <w:t>resolved,</w:t>
      </w:r>
      <w:r w:rsidR="00EF54A7">
        <w:t xml:space="preserve"> they will be referred to hospital-based general specialists or infectious disease services and progress to targeted imaging</w:t>
      </w:r>
      <w:r w:rsidR="00894C1E">
        <w:t>.</w:t>
      </w:r>
    </w:p>
    <w:p w14:paraId="113A94B6" w14:textId="3497FA77" w:rsidR="00430A91" w:rsidRDefault="00DF00DF" w:rsidP="00F33D96">
      <w:r>
        <w:t>For patients with persistent or recurrent</w:t>
      </w:r>
      <w:r w:rsidR="007D50AB">
        <w:t xml:space="preserve"> </w:t>
      </w:r>
      <w:r>
        <w:t>n</w:t>
      </w:r>
      <w:r w:rsidR="00972265">
        <w:t>eutropenic</w:t>
      </w:r>
      <w:r w:rsidR="004775F9">
        <w:t xml:space="preserve"> </w:t>
      </w:r>
      <w:r w:rsidR="007D50AB">
        <w:t xml:space="preserve">fever, </w:t>
      </w:r>
      <w:r w:rsidR="003469E2">
        <w:t>are likely to be hospitalised</w:t>
      </w:r>
      <w:r w:rsidR="00CA50FC">
        <w:t xml:space="preserve"> already</w:t>
      </w:r>
      <w:r w:rsidR="00972265">
        <w:t>,</w:t>
      </w:r>
      <w:r w:rsidR="003469E2">
        <w:t xml:space="preserve"> or </w:t>
      </w:r>
      <w:r w:rsidR="00972265">
        <w:t xml:space="preserve">will be hospitalised on presentation, </w:t>
      </w:r>
      <w:r w:rsidR="00545344">
        <w:t xml:space="preserve">and </w:t>
      </w:r>
      <w:r w:rsidR="00894C1E">
        <w:t>there is greater urgency in diagnosis</w:t>
      </w:r>
      <w:r w:rsidR="7FC87158">
        <w:t>, due to the risk of rapid onset of sepsis</w:t>
      </w:r>
      <w:r w:rsidR="00545344">
        <w:t xml:space="preserve">. </w:t>
      </w:r>
      <w:r w:rsidR="00AE21CA">
        <w:t>The initial investigation</w:t>
      </w:r>
      <w:r w:rsidR="380A64F8">
        <w:t>s</w:t>
      </w:r>
      <w:r w:rsidR="00AE21CA">
        <w:t xml:space="preserve"> </w:t>
      </w:r>
      <w:r w:rsidR="499FBA84">
        <w:t xml:space="preserve">are </w:t>
      </w:r>
      <w:r w:rsidR="00AE21CA">
        <w:t>2 sets of blood cultures</w:t>
      </w:r>
      <w:r w:rsidR="00430A91">
        <w:t xml:space="preserve"> and </w:t>
      </w:r>
      <w:r w:rsidR="00AE21CA">
        <w:t>laboratory markers for infection</w:t>
      </w:r>
      <w:r w:rsidR="00430A91">
        <w:t xml:space="preserve">. Further cultures </w:t>
      </w:r>
      <w:r w:rsidR="7EEF52CA">
        <w:t>and/</w:t>
      </w:r>
      <w:r w:rsidR="00430A91">
        <w:t xml:space="preserve">or a </w:t>
      </w:r>
      <w:r w:rsidR="00AE21CA">
        <w:t xml:space="preserve">chest </w:t>
      </w:r>
      <w:r w:rsidR="00747A33">
        <w:t>X</w:t>
      </w:r>
      <w:r w:rsidR="00AE21CA">
        <w:t>-ray</w:t>
      </w:r>
      <w:r w:rsidR="00430A91">
        <w:t xml:space="preserve"> may be undertaken depending on clinical suspicion.</w:t>
      </w:r>
    </w:p>
    <w:p w14:paraId="6B5EF8FB" w14:textId="2C56A415" w:rsidR="007F2D43" w:rsidRDefault="00430A91" w:rsidP="00F33D96">
      <w:r>
        <w:t>For both presentations, these initial investigations would be followed by targeted imaging, mostly likely CT</w:t>
      </w:r>
      <w:r w:rsidR="0007116F">
        <w:t xml:space="preserve">. </w:t>
      </w:r>
      <w:r w:rsidR="00C3149F">
        <w:t>In many cases, this would identify a</w:t>
      </w:r>
      <w:r w:rsidR="00011E95">
        <w:t xml:space="preserve">n abnormality that would then direct further </w:t>
      </w:r>
      <w:r w:rsidR="00E013A2">
        <w:t>diagnostics (</w:t>
      </w:r>
      <w:r w:rsidR="00052757">
        <w:t xml:space="preserve">e.g. </w:t>
      </w:r>
      <w:r w:rsidR="00E013A2">
        <w:t>image-guided biopsy, aspiration and culture, tumour markers</w:t>
      </w:r>
      <w:r w:rsidR="001C35A4">
        <w:t>) and/or appropriate referral and treatment</w:t>
      </w:r>
      <w:r w:rsidR="00E12845">
        <w:t xml:space="preserve"> (</w:t>
      </w:r>
      <w:r w:rsidR="009002C0">
        <w:t xml:space="preserve">e.g. </w:t>
      </w:r>
      <w:r w:rsidR="00E12845">
        <w:t xml:space="preserve">oncology, orthopaedic surgery, </w:t>
      </w:r>
      <w:r w:rsidR="00A803CA">
        <w:t>rhe</w:t>
      </w:r>
      <w:r w:rsidR="00967035">
        <w:t>umatology</w:t>
      </w:r>
      <w:r w:rsidR="00E12845">
        <w:t>)</w:t>
      </w:r>
      <w:r w:rsidR="0013713A">
        <w:t xml:space="preserve">. However, if CT is negative, further imaging </w:t>
      </w:r>
      <w:r w:rsidR="005F1F8B">
        <w:t>using function</w:t>
      </w:r>
      <w:r w:rsidR="008B273F">
        <w:t>al</w:t>
      </w:r>
      <w:r w:rsidR="005F1F8B">
        <w:t xml:space="preserve"> markers may be required</w:t>
      </w:r>
      <w:r w:rsidR="008B273F">
        <w:t>, either labelled WBC scan</w:t>
      </w:r>
      <w:r w:rsidR="00967035">
        <w:t>ning</w:t>
      </w:r>
      <w:r w:rsidR="008B273F">
        <w:t xml:space="preserve"> or Ga</w:t>
      </w:r>
      <w:r w:rsidR="00F86F29">
        <w:t>-67</w:t>
      </w:r>
      <w:r w:rsidR="008B273F">
        <w:t xml:space="preserve"> sc</w:t>
      </w:r>
      <w:r w:rsidR="00EE2FFA">
        <w:t>intigraphy</w:t>
      </w:r>
      <w:r w:rsidR="00B10807">
        <w:t xml:space="preserve"> plus additional diagnostic approaches depending on clinical suspicion. </w:t>
      </w:r>
      <w:r w:rsidR="007F2D43">
        <w:t>In current practice, FDG PET/CT may be used as an alternative to GA-67 scintigraphy under MBS item 61527</w:t>
      </w:r>
      <w:r w:rsidR="000D4CA6">
        <w:t>; however</w:t>
      </w:r>
      <w:r w:rsidR="007F2D43">
        <w:t xml:space="preserve">, this </w:t>
      </w:r>
      <w:r w:rsidR="000D4CA6">
        <w:t>existing use</w:t>
      </w:r>
      <w:r w:rsidR="00FC362D">
        <w:t xml:space="preserve"> </w:t>
      </w:r>
      <w:r w:rsidR="007F2D43">
        <w:t>is not shown in the clinical management algorithm.</w:t>
      </w:r>
    </w:p>
    <w:p w14:paraId="37379D53" w14:textId="318C3877" w:rsidR="00894C1E" w:rsidRDefault="000D4DA0" w:rsidP="00F33D96">
      <w:r>
        <w:t>FDG</w:t>
      </w:r>
      <w:r w:rsidR="000063E0">
        <w:t xml:space="preserve"> </w:t>
      </w:r>
      <w:r>
        <w:t xml:space="preserve">PET/CT is proposed to replace </w:t>
      </w:r>
      <w:r w:rsidR="00C01422">
        <w:t>alternative functional imaging approaches in this pathway and may partially replace CT</w:t>
      </w:r>
      <w:r w:rsidR="00D93B82">
        <w:t>. Although specificity is low because FDG</w:t>
      </w:r>
      <w:r w:rsidR="000063E0">
        <w:t xml:space="preserve"> </w:t>
      </w:r>
      <w:r w:rsidR="00D93B82">
        <w:t xml:space="preserve">PET/CT does not differentiate between malignancy, infection and inflammation, a positive scan can </w:t>
      </w:r>
      <w:r w:rsidR="00E9078D">
        <w:t>focus further tests such as image-guide biopsy</w:t>
      </w:r>
      <w:r w:rsidR="00BD6D7C">
        <w:t xml:space="preserve">, leading to appropriate diagnosis and referral. Conversely, the high negative predive value </w:t>
      </w:r>
      <w:r w:rsidR="00967035">
        <w:t xml:space="preserve">of </w:t>
      </w:r>
      <w:r w:rsidR="00775CF3">
        <w:t xml:space="preserve">FDG PET/CT </w:t>
      </w:r>
      <w:r w:rsidR="004A41E7">
        <w:t xml:space="preserve">can reduce ongoing testing and enable a conservative management approach. </w:t>
      </w:r>
      <w:r w:rsidR="00430A91">
        <w:t xml:space="preserve"> </w:t>
      </w:r>
    </w:p>
    <w:p w14:paraId="578BA5E6" w14:textId="2A158B06" w:rsidR="00EA0178" w:rsidRDefault="00CA27B6" w:rsidP="00F33D96">
      <w:r>
        <w:t xml:space="preserve">The current clinical management algorithm is presented in </w:t>
      </w:r>
      <w:r>
        <w:fldChar w:fldCharType="begin"/>
      </w:r>
      <w:r>
        <w:instrText xml:space="preserve"> REF _Ref234485997 \h </w:instrText>
      </w:r>
      <w:r>
        <w:fldChar w:fldCharType="separate"/>
      </w:r>
      <w:r>
        <w:t xml:space="preserve">Figure </w:t>
      </w:r>
      <w:r>
        <w:rPr>
          <w:noProof/>
        </w:rPr>
        <w:t>5</w:t>
      </w:r>
      <w:r>
        <w:fldChar w:fldCharType="end"/>
      </w:r>
      <w:r>
        <w:t xml:space="preserve"> and the proposed clinical management algorithm is presented in </w:t>
      </w:r>
      <w:r>
        <w:fldChar w:fldCharType="begin"/>
      </w:r>
      <w:r>
        <w:instrText xml:space="preserve"> REF _Ref234486001 \h </w:instrText>
      </w:r>
      <w:r>
        <w:fldChar w:fldCharType="separate"/>
      </w:r>
      <w:r>
        <w:t xml:space="preserve">Figure </w:t>
      </w:r>
      <w:r>
        <w:rPr>
          <w:noProof/>
        </w:rPr>
        <w:t>6</w:t>
      </w:r>
      <w:r>
        <w:fldChar w:fldCharType="end"/>
      </w:r>
      <w:r>
        <w:t>.</w:t>
      </w:r>
    </w:p>
    <w:p w14:paraId="77F33988" w14:textId="6555500E" w:rsidR="00EA0178" w:rsidRDefault="00216F1C">
      <w:pPr>
        <w:rPr>
          <w:rFonts w:asciiTheme="minorHAnsi" w:hAnsiTheme="minorHAnsi" w:cstheme="minorBidi"/>
          <w:i/>
          <w:iCs/>
        </w:rPr>
        <w:sectPr w:rsidR="00EA0178" w:rsidSect="001F0C55">
          <w:pgSz w:w="11906" w:h="16838"/>
          <w:pgMar w:top="682" w:right="1134" w:bottom="1021" w:left="1191" w:header="709" w:footer="567" w:gutter="0"/>
          <w:cols w:space="708"/>
          <w:docGrid w:linePitch="360"/>
        </w:sectPr>
      </w:pPr>
      <w:r w:rsidRPr="55B5D1E8">
        <w:rPr>
          <w:rFonts w:asciiTheme="minorHAnsi" w:hAnsiTheme="minorHAnsi" w:cstheme="minorBidi"/>
          <w:i/>
          <w:iCs/>
        </w:rPr>
        <w:t xml:space="preserve">PASC considered the clinical management algorithms and noted that for PICO Set 1, patients may undergo nuclear imaging and radiology (i.e. CT or MRI) sequentially and this relationship should be reflected in the current clinical management algorithm (Figure 3). Furthermore, PASC was concerned that the proposed clinical management algorithms (Figures 4 and 6) showed that the results from FDG PET/CT resulted in a diagnostic outcome (diagnosis or no diagnosis), whereas a positive FDG PET/CT </w:t>
      </w:r>
      <w:r w:rsidR="6965B773" w:rsidRPr="55B5D1E8">
        <w:rPr>
          <w:rFonts w:asciiTheme="minorHAnsi" w:hAnsiTheme="minorHAnsi" w:cstheme="minorBidi"/>
          <w:i/>
          <w:iCs/>
        </w:rPr>
        <w:t>may be</w:t>
      </w:r>
      <w:r w:rsidRPr="55B5D1E8">
        <w:rPr>
          <w:rFonts w:asciiTheme="minorHAnsi" w:hAnsiTheme="minorHAnsi" w:cstheme="minorBidi"/>
          <w:i/>
          <w:iCs/>
        </w:rPr>
        <w:t xml:space="preserve"> more likely to inform further targeted investigations </w:t>
      </w:r>
      <w:r w:rsidR="679E42D3" w:rsidRPr="55B5D1E8">
        <w:rPr>
          <w:rFonts w:asciiTheme="minorHAnsi" w:hAnsiTheme="minorHAnsi" w:cstheme="minorBidi"/>
          <w:i/>
          <w:iCs/>
        </w:rPr>
        <w:t>(</w:t>
      </w:r>
      <w:r w:rsidR="002056D5" w:rsidRPr="55B5D1E8">
        <w:rPr>
          <w:rFonts w:asciiTheme="minorHAnsi" w:hAnsiTheme="minorHAnsi" w:cstheme="minorBidi"/>
          <w:i/>
          <w:iCs/>
        </w:rPr>
        <w:t>e.g.</w:t>
      </w:r>
      <w:r w:rsidR="679E42D3" w:rsidRPr="55B5D1E8">
        <w:rPr>
          <w:rFonts w:asciiTheme="minorHAnsi" w:hAnsiTheme="minorHAnsi" w:cstheme="minorBidi"/>
          <w:i/>
          <w:iCs/>
        </w:rPr>
        <w:t xml:space="preserve"> biopsy an area of increased uptake or targeted anatomical imaging) </w:t>
      </w:r>
      <w:r w:rsidRPr="55B5D1E8">
        <w:rPr>
          <w:rFonts w:asciiTheme="minorHAnsi" w:hAnsiTheme="minorHAnsi" w:cstheme="minorBidi"/>
          <w:i/>
          <w:iCs/>
        </w:rPr>
        <w:t>than result in a definitive diagnosis.</w:t>
      </w:r>
      <w:r w:rsidR="54A69F80" w:rsidRPr="55B5D1E8">
        <w:rPr>
          <w:rFonts w:asciiTheme="minorHAnsi" w:hAnsiTheme="minorHAnsi" w:cstheme="minorBidi"/>
          <w:i/>
          <w:iCs/>
        </w:rPr>
        <w:t xml:space="preserve"> PASC noted that the clinical algorithms will need to be revised depending on the final populations.</w:t>
      </w:r>
    </w:p>
    <w:p w14:paraId="20B27D28" w14:textId="1BAB743D" w:rsidR="00E71928" w:rsidRDefault="00E71928" w:rsidP="00E71928">
      <w:pPr>
        <w:pStyle w:val="Caption"/>
      </w:pPr>
      <w:bookmarkStart w:id="15" w:name="_Ref234485997"/>
      <w:r>
        <w:lastRenderedPageBreak/>
        <w:t xml:space="preserve">Figure </w:t>
      </w:r>
      <w:r>
        <w:fldChar w:fldCharType="begin"/>
      </w:r>
      <w:r>
        <w:instrText xml:space="preserve"> SEQ Figure \* ARABIC </w:instrText>
      </w:r>
      <w:r>
        <w:fldChar w:fldCharType="separate"/>
      </w:r>
      <w:r w:rsidR="00CC1847">
        <w:rPr>
          <w:noProof/>
        </w:rPr>
        <w:t>5</w:t>
      </w:r>
      <w:r>
        <w:fldChar w:fldCharType="end"/>
      </w:r>
      <w:bookmarkEnd w:id="15"/>
      <w:r w:rsidR="004A0984">
        <w:tab/>
        <w:t>Current clinical management algorithm</w:t>
      </w:r>
      <w:r w:rsidR="00201640">
        <w:t xml:space="preserve"> for PICO Set 2</w:t>
      </w:r>
    </w:p>
    <w:p w14:paraId="45DC4AC0" w14:textId="4D218BD8" w:rsidR="004D2826" w:rsidRDefault="004D2826" w:rsidP="003A036C">
      <w:pPr>
        <w:pStyle w:val="Tablenotes"/>
      </w:pPr>
    </w:p>
    <w:p w14:paraId="0A922B79" w14:textId="2ACA0C61" w:rsidR="00C923C2" w:rsidRDefault="00237513" w:rsidP="00613F12">
      <w:pPr>
        <w:pStyle w:val="Tablenotes"/>
        <w:jc w:val="center"/>
      </w:pPr>
      <w:r>
        <w:rPr>
          <w:noProof/>
        </w:rPr>
        <w:drawing>
          <wp:inline distT="0" distB="0" distL="0" distR="0" wp14:anchorId="0BA65BE2" wp14:editId="3A7606D6">
            <wp:extent cx="6319520" cy="4453212"/>
            <wp:effectExtent l="0" t="0" r="5080" b="5080"/>
            <wp:docPr id="1228324162" name="Picture 1228324162" descr="Shows the current testing pathway for PICO Se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324162" name="Picture 1228324162" descr="Shows the current testing pathway for PICO Set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335863" cy="4464729"/>
                    </a:xfrm>
                    <a:prstGeom prst="rect">
                      <a:avLst/>
                    </a:prstGeom>
                    <a:noFill/>
                  </pic:spPr>
                </pic:pic>
              </a:graphicData>
            </a:graphic>
          </wp:inline>
        </w:drawing>
      </w:r>
    </w:p>
    <w:p w14:paraId="11042619" w14:textId="77777777" w:rsidR="00CE20A7" w:rsidRDefault="00CE20A7" w:rsidP="003A036C">
      <w:pPr>
        <w:pStyle w:val="Tablenotes"/>
      </w:pPr>
    </w:p>
    <w:p w14:paraId="39C2AED1" w14:textId="06B0D39F" w:rsidR="003A036C" w:rsidRDefault="004A00C0" w:rsidP="00FF5953">
      <w:pPr>
        <w:pStyle w:val="Tablenotes"/>
        <w:jc w:val="left"/>
      </w:pPr>
      <w:r>
        <w:t xml:space="preserve">ANA = antinuclear </w:t>
      </w:r>
      <w:r w:rsidR="008D6803">
        <w:t>a</w:t>
      </w:r>
      <w:r>
        <w:t xml:space="preserve">ntibody; CRP = c-reactive protein; CT = computed tomography; ESR = erythrocyte sedimentation rate; EUC = electrolytes, urea, creatinine; FBC = full blood count; </w:t>
      </w:r>
      <w:r w:rsidR="00C67689">
        <w:t>FDG = F</w:t>
      </w:r>
      <w:r w:rsidR="00183B5B">
        <w:t>-18</w:t>
      </w:r>
      <w:r w:rsidR="00C67689">
        <w:t xml:space="preserve"> fluorodeoxyglucose; </w:t>
      </w:r>
      <w:r w:rsidR="005E27BD" w:rsidRPr="005E27BD">
        <w:t xml:space="preserve">FUO = fever of unknown origin; </w:t>
      </w:r>
      <w:r w:rsidR="005E27BD">
        <w:t xml:space="preserve"> </w:t>
      </w:r>
      <w:r w:rsidR="00F86F29">
        <w:t>Ga</w:t>
      </w:r>
      <w:r w:rsidR="00AF7876">
        <w:t>-67</w:t>
      </w:r>
      <w:r w:rsidR="00F86F29">
        <w:t xml:space="preserve"> = gallium-67 citrate; </w:t>
      </w:r>
      <w:r>
        <w:t xml:space="preserve">HIV = human immunodeficiency virus; LFT = liver function test; MCS = microscopy, culture, and sensitivity; </w:t>
      </w:r>
      <w:r w:rsidR="00462528" w:rsidRPr="00462528">
        <w:t xml:space="preserve">MRI = magnetic resonance imaging; </w:t>
      </w:r>
      <w:r>
        <w:t xml:space="preserve">MSU = mid-stream urine; </w:t>
      </w:r>
      <w:r w:rsidR="00C67689" w:rsidRPr="00944226">
        <w:t xml:space="preserve">PET = positron emission tomography; </w:t>
      </w:r>
      <w:r>
        <w:t>TFT = thyroid function test</w:t>
      </w:r>
      <w:r w:rsidR="00535209">
        <w:t xml:space="preserve">; </w:t>
      </w:r>
      <w:r>
        <w:t>WBC = white blood cell</w:t>
      </w:r>
      <w:r w:rsidR="00535209">
        <w:t>.</w:t>
      </w:r>
    </w:p>
    <w:p w14:paraId="016CA1C5" w14:textId="130C3D7C" w:rsidR="00CC1847" w:rsidRDefault="00CC1847" w:rsidP="00CC1847">
      <w:pPr>
        <w:pStyle w:val="Caption"/>
      </w:pPr>
      <w:bookmarkStart w:id="16" w:name="_Ref234486001"/>
      <w:r>
        <w:lastRenderedPageBreak/>
        <w:t xml:space="preserve">Figure </w:t>
      </w:r>
      <w:r>
        <w:fldChar w:fldCharType="begin"/>
      </w:r>
      <w:r>
        <w:instrText xml:space="preserve"> SEQ Figure \* ARABIC </w:instrText>
      </w:r>
      <w:r>
        <w:fldChar w:fldCharType="separate"/>
      </w:r>
      <w:r>
        <w:rPr>
          <w:noProof/>
        </w:rPr>
        <w:t>6</w:t>
      </w:r>
      <w:r>
        <w:fldChar w:fldCharType="end"/>
      </w:r>
      <w:bookmarkEnd w:id="16"/>
      <w:r>
        <w:tab/>
        <w:t>Proposed clinical management algorithm</w:t>
      </w:r>
      <w:r w:rsidR="00201640">
        <w:t xml:space="preserve"> for PICO Set 2</w:t>
      </w:r>
    </w:p>
    <w:p w14:paraId="13931367" w14:textId="29D62469" w:rsidR="008A18C7" w:rsidRPr="00CE2BE6" w:rsidRDefault="00182F25" w:rsidP="00613F12">
      <w:pPr>
        <w:jc w:val="center"/>
      </w:pPr>
      <w:r>
        <w:rPr>
          <w:noProof/>
        </w:rPr>
        <w:drawing>
          <wp:inline distT="0" distB="0" distL="0" distR="0" wp14:anchorId="733BC682" wp14:editId="1EE860DF">
            <wp:extent cx="7286632" cy="4866640"/>
            <wp:effectExtent l="0" t="0" r="9525" b="0"/>
            <wp:docPr id="1228324163" name="Picture 1228324163" descr="Shows the proposed testing pathway for PICO Se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324163" name="Picture 1228324163" descr="Shows the proposed testing pathway for PICO Set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11264" cy="4883091"/>
                    </a:xfrm>
                    <a:prstGeom prst="rect">
                      <a:avLst/>
                    </a:prstGeom>
                    <a:noFill/>
                  </pic:spPr>
                </pic:pic>
              </a:graphicData>
            </a:graphic>
          </wp:inline>
        </w:drawing>
      </w:r>
    </w:p>
    <w:p w14:paraId="188D4354" w14:textId="79EF56E4" w:rsidR="00C67689" w:rsidRDefault="00C67689" w:rsidP="00FF5953">
      <w:pPr>
        <w:pStyle w:val="Tablenotes"/>
        <w:jc w:val="left"/>
      </w:pPr>
      <w:r>
        <w:t xml:space="preserve">ANA = antinuclear Antibody; CRP = c-reactive protein; CT = computed tomography; ESR = erythrocyte sedimentation rate; EUC = electrolytes, urea, creatinine; </w:t>
      </w:r>
      <w:r w:rsidR="00B62148" w:rsidRPr="00B62148">
        <w:t>FDG = F-18 fluorodeoxyglucose;</w:t>
      </w:r>
      <w:r w:rsidR="00B62148">
        <w:t xml:space="preserve"> </w:t>
      </w:r>
      <w:r>
        <w:t xml:space="preserve">FBC = full blood count; </w:t>
      </w:r>
      <w:r w:rsidR="00F86F29">
        <w:t xml:space="preserve">Ga-67 = gallium-67 citrate; </w:t>
      </w:r>
      <w:r>
        <w:t xml:space="preserve">HIV = human immunodeficiency virus; LFT = liver function test; MCS = microscopy, culture, and sensitivity; MSU = mid-stream urine; </w:t>
      </w:r>
      <w:r w:rsidR="00B62148" w:rsidRPr="00B62148">
        <w:t xml:space="preserve">PET = positron emission tomography; </w:t>
      </w:r>
      <w:r>
        <w:t>TFT = thyroid function test; UEC = urea, electrolytes, and creatinine; WBC = white blood cell.</w:t>
      </w:r>
    </w:p>
    <w:p w14:paraId="48F30F44" w14:textId="1BAD79E7" w:rsidR="00C67689" w:rsidRDefault="00C67689" w:rsidP="004D2826">
      <w:pPr>
        <w:sectPr w:rsidR="00C67689" w:rsidSect="00E71928">
          <w:pgSz w:w="16838" w:h="11906" w:orient="landscape"/>
          <w:pgMar w:top="1191" w:right="682" w:bottom="1134" w:left="1021" w:header="709" w:footer="567" w:gutter="0"/>
          <w:cols w:space="708"/>
          <w:docGrid w:linePitch="360"/>
        </w:sectPr>
      </w:pPr>
    </w:p>
    <w:p w14:paraId="2BDE22B9" w14:textId="6582A3EE" w:rsidR="00D73332" w:rsidRDefault="00D73332" w:rsidP="00713728">
      <w:pPr>
        <w:pStyle w:val="Heading2"/>
      </w:pPr>
      <w:r w:rsidRPr="00490FBB">
        <w:lastRenderedPageBreak/>
        <w:t>Proposed economic evaluation</w:t>
      </w:r>
    </w:p>
    <w:p w14:paraId="0B12DECA" w14:textId="5C91AB1C" w:rsidR="00CA27B6" w:rsidRPr="00CA27B6" w:rsidRDefault="005820D7" w:rsidP="00CA27B6">
      <w:r>
        <w:t>The applicant has claimed that FDG</w:t>
      </w:r>
      <w:r w:rsidR="000063E0">
        <w:t xml:space="preserve"> </w:t>
      </w:r>
      <w:r>
        <w:t xml:space="preserve">PET/CT </w:t>
      </w:r>
      <w:r w:rsidR="00E01976">
        <w:t>results in</w:t>
      </w:r>
      <w:r>
        <w:t xml:space="preserve"> superior </w:t>
      </w:r>
      <w:r w:rsidR="00E01976">
        <w:t xml:space="preserve">health outcomes compared </w:t>
      </w:r>
      <w:r>
        <w:t>to the comparator tests</w:t>
      </w:r>
      <w:r w:rsidR="00983CCE">
        <w:t>. The test is proposed to be more accurate and safer</w:t>
      </w:r>
      <w:r w:rsidR="00D734DC">
        <w:t xml:space="preserve"> (compared to other nuclear imaging tests)</w:t>
      </w:r>
      <w:r w:rsidR="009122D8">
        <w:t>, although the relative additional value for each varies by indication</w:t>
      </w:r>
      <w:r w:rsidR="00983CCE">
        <w:t xml:space="preserve">. </w:t>
      </w:r>
      <w:r w:rsidR="009122D8">
        <w:t>On the basis of these cl</w:t>
      </w:r>
      <w:r w:rsidR="00D72193">
        <w:t>inical claims, the appropriate economic evaluation is a cost-effectiveness analysis or a cost-utility analysis (</w:t>
      </w:r>
      <w:r w:rsidR="00E862CD">
        <w:fldChar w:fldCharType="begin"/>
      </w:r>
      <w:r w:rsidR="00E862CD">
        <w:instrText xml:space="preserve"> REF _Ref54260209 \h </w:instrText>
      </w:r>
      <w:r w:rsidR="00E862CD">
        <w:fldChar w:fldCharType="separate"/>
      </w:r>
      <w:r w:rsidR="00E862CD" w:rsidRPr="00490FBB">
        <w:t>Table</w:t>
      </w:r>
      <w:r w:rsidR="00E862CD">
        <w:t> </w:t>
      </w:r>
      <w:r w:rsidR="00E862CD">
        <w:rPr>
          <w:noProof/>
        </w:rPr>
        <w:t>7</w:t>
      </w:r>
      <w:r w:rsidR="00E862CD">
        <w:fldChar w:fldCharType="end"/>
      </w:r>
      <w:r w:rsidR="00E862CD">
        <w:t>)</w:t>
      </w:r>
      <w:r w:rsidR="00D72193">
        <w:t xml:space="preserve">. </w:t>
      </w:r>
    </w:p>
    <w:p w14:paraId="6DAB2DBD" w14:textId="4D658DF9" w:rsidR="000939E0" w:rsidRPr="00490FBB" w:rsidRDefault="000939E0" w:rsidP="00C40CC4">
      <w:pPr>
        <w:pStyle w:val="Caption"/>
      </w:pPr>
      <w:bookmarkStart w:id="17" w:name="_Ref54260209"/>
      <w:bookmarkStart w:id="18" w:name="_Toc423450289"/>
      <w:r w:rsidRPr="00490FBB">
        <w:t>Table</w:t>
      </w:r>
      <w:r w:rsidR="00DE762F">
        <w:t> </w:t>
      </w:r>
      <w:r w:rsidRPr="00490FBB">
        <w:fldChar w:fldCharType="begin"/>
      </w:r>
      <w:r w:rsidRPr="00490FBB">
        <w:instrText xml:space="preserve"> SEQ Table \* ARABIC </w:instrText>
      </w:r>
      <w:r w:rsidRPr="00490FBB">
        <w:fldChar w:fldCharType="separate"/>
      </w:r>
      <w:r w:rsidR="003C210B">
        <w:rPr>
          <w:noProof/>
        </w:rPr>
        <w:t>7</w:t>
      </w:r>
      <w:r w:rsidRPr="00490FBB">
        <w:fldChar w:fldCharType="end"/>
      </w:r>
      <w:bookmarkEnd w:id="17"/>
      <w:r w:rsidR="001A5D2F">
        <w:tab/>
        <w:t>Classification of</w:t>
      </w:r>
      <w:r w:rsidRPr="00490FBB">
        <w:t xml:space="preserve"> comparative effectiveness and safety of the proposed intervention</w:t>
      </w:r>
      <w:r w:rsidR="001A5D2F">
        <w:t>,</w:t>
      </w:r>
      <w:r w:rsidRPr="00490FBB">
        <w:t xml:space="preserve"> compared with its main comparator</w:t>
      </w:r>
      <w:r w:rsidR="001A5D2F">
        <w:t>,</w:t>
      </w:r>
      <w:r w:rsidRPr="00490FBB">
        <w:t xml:space="preserve"> and guide to the suitable type of economic evaluation</w:t>
      </w:r>
      <w:bookmarkEnd w:id="18"/>
    </w:p>
    <w:tbl>
      <w:tblPr>
        <w:tblW w:w="4872" w:type="pct"/>
        <w:tblInd w:w="115" w:type="dxa"/>
        <w:tblLayout w:type="fixed"/>
        <w:tblCellMar>
          <w:left w:w="115" w:type="dxa"/>
          <w:right w:w="115" w:type="dxa"/>
        </w:tblCellMar>
        <w:tblLook w:val="01E0" w:firstRow="1" w:lastRow="1" w:firstColumn="1" w:lastColumn="1" w:noHBand="0" w:noVBand="0"/>
        <w:tblCaption w:val="Table 19 Classification of the comparative effectiveness and safety of the proposed therapeutic medical service compared with its main comparator and guide to the suitable type of economic evaluation"/>
        <w:tblDescription w:val="The table presents a matrix of comparative safety (inferior, unccertain, non-inferior, superior) against comparative effectiveness (inferior, uncertain, non-inmferior, superior)."/>
      </w:tblPr>
      <w:tblGrid>
        <w:gridCol w:w="2012"/>
        <w:gridCol w:w="1905"/>
        <w:gridCol w:w="2227"/>
        <w:gridCol w:w="1748"/>
        <w:gridCol w:w="1434"/>
      </w:tblGrid>
      <w:tr w:rsidR="00686EED" w:rsidRPr="00490FBB" w14:paraId="5238F44C" w14:textId="77777777" w:rsidTr="00421EF2">
        <w:trPr>
          <w:tblHeader/>
        </w:trPr>
        <w:tc>
          <w:tcPr>
            <w:tcW w:w="2012" w:type="dxa"/>
            <w:vMerge w:val="restart"/>
            <w:tcBorders>
              <w:top w:val="single" w:sz="4" w:space="0" w:color="auto"/>
              <w:left w:val="single" w:sz="4" w:space="0" w:color="auto"/>
              <w:right w:val="single" w:sz="4" w:space="0" w:color="auto"/>
            </w:tcBorders>
          </w:tcPr>
          <w:p w14:paraId="5B06A6EA" w14:textId="2690703D" w:rsidR="00686EED" w:rsidRPr="00490FBB" w:rsidRDefault="00686EED" w:rsidP="00C40CC4">
            <w:pPr>
              <w:pStyle w:val="TableHeading"/>
            </w:pPr>
            <w:bookmarkStart w:id="19" w:name="Title_Table2" w:colFirst="0" w:colLast="0"/>
            <w:r w:rsidRPr="00490FBB">
              <w:t>Comparative safety</w:t>
            </w:r>
          </w:p>
        </w:tc>
        <w:tc>
          <w:tcPr>
            <w:tcW w:w="1905" w:type="dxa"/>
            <w:tcBorders>
              <w:top w:val="single" w:sz="4" w:space="0" w:color="auto"/>
              <w:left w:val="single" w:sz="4" w:space="0" w:color="auto"/>
              <w:bottom w:val="single" w:sz="4" w:space="0" w:color="auto"/>
              <w:right w:val="nil"/>
            </w:tcBorders>
          </w:tcPr>
          <w:p w14:paraId="293E5792" w14:textId="77777777" w:rsidR="00686EED" w:rsidRPr="00490FBB" w:rsidRDefault="00686EED" w:rsidP="00C40CC4">
            <w:pPr>
              <w:pStyle w:val="TableHeading"/>
              <w:jc w:val="center"/>
            </w:pPr>
          </w:p>
        </w:tc>
        <w:tc>
          <w:tcPr>
            <w:tcW w:w="2227" w:type="dxa"/>
            <w:tcBorders>
              <w:top w:val="single" w:sz="4" w:space="0" w:color="auto"/>
              <w:left w:val="nil"/>
              <w:bottom w:val="single" w:sz="4" w:space="0" w:color="auto"/>
            </w:tcBorders>
          </w:tcPr>
          <w:p w14:paraId="57B2397B" w14:textId="77777777" w:rsidR="00686EED" w:rsidRPr="00490FBB" w:rsidRDefault="00686EED" w:rsidP="00C40CC4">
            <w:pPr>
              <w:pStyle w:val="TableHeading"/>
              <w:ind w:left="-75" w:right="-127"/>
              <w:jc w:val="center"/>
            </w:pPr>
            <w:r w:rsidRPr="00490FBB">
              <w:t>Comparative effectiveness</w:t>
            </w:r>
          </w:p>
        </w:tc>
        <w:tc>
          <w:tcPr>
            <w:tcW w:w="1748" w:type="dxa"/>
            <w:tcBorders>
              <w:top w:val="single" w:sz="4" w:space="0" w:color="auto"/>
              <w:left w:val="nil"/>
              <w:bottom w:val="single" w:sz="4" w:space="0" w:color="auto"/>
            </w:tcBorders>
          </w:tcPr>
          <w:p w14:paraId="6B53FB6C" w14:textId="77777777" w:rsidR="00686EED" w:rsidRPr="00490FBB" w:rsidRDefault="00686EED" w:rsidP="00C40CC4">
            <w:pPr>
              <w:pStyle w:val="TableHeading"/>
              <w:jc w:val="center"/>
            </w:pPr>
          </w:p>
        </w:tc>
        <w:tc>
          <w:tcPr>
            <w:tcW w:w="1434" w:type="dxa"/>
            <w:tcBorders>
              <w:top w:val="single" w:sz="4" w:space="0" w:color="auto"/>
              <w:left w:val="nil"/>
              <w:bottom w:val="single" w:sz="4" w:space="0" w:color="auto"/>
              <w:right w:val="single" w:sz="4" w:space="0" w:color="auto"/>
            </w:tcBorders>
          </w:tcPr>
          <w:p w14:paraId="0FE152FA" w14:textId="77777777" w:rsidR="00686EED" w:rsidRPr="00490FBB" w:rsidRDefault="00686EED" w:rsidP="00C40CC4">
            <w:pPr>
              <w:pStyle w:val="TableHeading"/>
              <w:jc w:val="center"/>
            </w:pPr>
          </w:p>
        </w:tc>
      </w:tr>
      <w:bookmarkEnd w:id="19"/>
      <w:tr w:rsidR="00686EED" w:rsidRPr="00490FBB" w14:paraId="78A8F3F1" w14:textId="77777777" w:rsidTr="00421EF2">
        <w:trPr>
          <w:tblHeader/>
        </w:trPr>
        <w:tc>
          <w:tcPr>
            <w:tcW w:w="2012" w:type="dxa"/>
            <w:vMerge/>
            <w:tcBorders>
              <w:left w:val="single" w:sz="4" w:space="0" w:color="auto"/>
              <w:bottom w:val="single" w:sz="4" w:space="0" w:color="auto"/>
              <w:right w:val="single" w:sz="4" w:space="0" w:color="auto"/>
            </w:tcBorders>
          </w:tcPr>
          <w:p w14:paraId="6E00D947" w14:textId="57BEC7DE" w:rsidR="00686EED" w:rsidRPr="00490FBB" w:rsidRDefault="00686EED" w:rsidP="00C40CC4">
            <w:pPr>
              <w:pStyle w:val="TableHeading"/>
            </w:pPr>
          </w:p>
        </w:tc>
        <w:tc>
          <w:tcPr>
            <w:tcW w:w="1905" w:type="dxa"/>
            <w:tcBorders>
              <w:left w:val="single" w:sz="4" w:space="0" w:color="auto"/>
              <w:bottom w:val="single" w:sz="4" w:space="0" w:color="auto"/>
              <w:right w:val="single" w:sz="4" w:space="0" w:color="auto"/>
            </w:tcBorders>
          </w:tcPr>
          <w:p w14:paraId="319C788C" w14:textId="77777777" w:rsidR="00686EED" w:rsidRPr="00490FBB" w:rsidRDefault="00686EED" w:rsidP="00C40CC4">
            <w:pPr>
              <w:pStyle w:val="TableHeading"/>
              <w:jc w:val="center"/>
            </w:pPr>
            <w:r w:rsidRPr="00490FBB">
              <w:t>Inferior</w:t>
            </w:r>
          </w:p>
        </w:tc>
        <w:tc>
          <w:tcPr>
            <w:tcW w:w="2227" w:type="dxa"/>
            <w:tcBorders>
              <w:top w:val="single" w:sz="4" w:space="0" w:color="auto"/>
              <w:left w:val="single" w:sz="4" w:space="0" w:color="auto"/>
              <w:bottom w:val="single" w:sz="4" w:space="0" w:color="auto"/>
              <w:right w:val="single" w:sz="4" w:space="0" w:color="auto"/>
            </w:tcBorders>
          </w:tcPr>
          <w:p w14:paraId="5AC96128" w14:textId="77777777" w:rsidR="00686EED" w:rsidRPr="00490FBB" w:rsidRDefault="00686EED" w:rsidP="00C40CC4">
            <w:pPr>
              <w:pStyle w:val="TableHeading"/>
              <w:jc w:val="center"/>
            </w:pPr>
            <w:r w:rsidRPr="00490FBB">
              <w:t>Uncertain</w:t>
            </w:r>
            <w:r w:rsidRPr="00490FBB">
              <w:rPr>
                <w:vertAlign w:val="superscript"/>
              </w:rPr>
              <w:t>a</w:t>
            </w:r>
          </w:p>
        </w:tc>
        <w:tc>
          <w:tcPr>
            <w:tcW w:w="1748" w:type="dxa"/>
            <w:tcBorders>
              <w:top w:val="single" w:sz="4" w:space="0" w:color="auto"/>
              <w:left w:val="single" w:sz="4" w:space="0" w:color="auto"/>
              <w:bottom w:val="single" w:sz="4" w:space="0" w:color="auto"/>
              <w:right w:val="single" w:sz="4" w:space="0" w:color="auto"/>
            </w:tcBorders>
          </w:tcPr>
          <w:p w14:paraId="7AA1349D" w14:textId="4BA1ADFE" w:rsidR="00686EED" w:rsidRPr="00490FBB" w:rsidRDefault="00686EED" w:rsidP="00C40CC4">
            <w:pPr>
              <w:pStyle w:val="TableHeading"/>
              <w:jc w:val="center"/>
            </w:pPr>
            <w:r w:rsidRPr="00490FBB">
              <w:t>Noninferior</w:t>
            </w:r>
            <w:r w:rsidRPr="00490FBB">
              <w:rPr>
                <w:vertAlign w:val="superscript"/>
              </w:rPr>
              <w:t>b</w:t>
            </w:r>
          </w:p>
        </w:tc>
        <w:tc>
          <w:tcPr>
            <w:tcW w:w="1434" w:type="dxa"/>
            <w:tcBorders>
              <w:top w:val="single" w:sz="4" w:space="0" w:color="auto"/>
              <w:left w:val="single" w:sz="4" w:space="0" w:color="auto"/>
              <w:bottom w:val="single" w:sz="4" w:space="0" w:color="auto"/>
              <w:right w:val="single" w:sz="4" w:space="0" w:color="auto"/>
            </w:tcBorders>
          </w:tcPr>
          <w:p w14:paraId="156C5942" w14:textId="77777777" w:rsidR="00686EED" w:rsidRPr="00490FBB" w:rsidRDefault="00686EED" w:rsidP="00C40CC4">
            <w:pPr>
              <w:pStyle w:val="TableHeading"/>
              <w:jc w:val="center"/>
            </w:pPr>
            <w:r w:rsidRPr="00490FBB">
              <w:t>Superior</w:t>
            </w:r>
          </w:p>
        </w:tc>
      </w:tr>
      <w:tr w:rsidR="000939E0" w:rsidRPr="00490FBB" w14:paraId="1E111DC3" w14:textId="77777777" w:rsidTr="00421EF2">
        <w:tc>
          <w:tcPr>
            <w:tcW w:w="2012" w:type="dxa"/>
            <w:tcBorders>
              <w:top w:val="single" w:sz="4" w:space="0" w:color="auto"/>
              <w:left w:val="single" w:sz="4" w:space="0" w:color="auto"/>
              <w:bottom w:val="single" w:sz="4" w:space="0" w:color="auto"/>
              <w:right w:val="single" w:sz="4" w:space="0" w:color="auto"/>
            </w:tcBorders>
            <w:vAlign w:val="center"/>
          </w:tcPr>
          <w:p w14:paraId="04A362E2" w14:textId="77777777" w:rsidR="000939E0" w:rsidRPr="00490FBB" w:rsidRDefault="000939E0" w:rsidP="00C40CC4">
            <w:pPr>
              <w:pStyle w:val="Tabletext"/>
              <w:keepNext/>
            </w:pPr>
            <w:r w:rsidRPr="00490FBB">
              <w:t>Inferior</w:t>
            </w:r>
          </w:p>
        </w:tc>
        <w:tc>
          <w:tcPr>
            <w:tcW w:w="1905" w:type="dxa"/>
            <w:tcBorders>
              <w:top w:val="single" w:sz="4" w:space="0" w:color="auto"/>
              <w:left w:val="single" w:sz="4" w:space="0" w:color="auto"/>
              <w:bottom w:val="single" w:sz="4" w:space="0" w:color="auto"/>
              <w:right w:val="single" w:sz="4" w:space="0" w:color="auto"/>
            </w:tcBorders>
            <w:vAlign w:val="center"/>
          </w:tcPr>
          <w:p w14:paraId="0B15352C" w14:textId="77777777" w:rsidR="000939E0" w:rsidRPr="00490FBB" w:rsidRDefault="000939E0" w:rsidP="00C40CC4">
            <w:pPr>
              <w:pStyle w:val="Tabletext"/>
              <w:keepNext/>
            </w:pPr>
            <w:r w:rsidRPr="00490FBB">
              <w:t>Health forgone: need other supportive factors</w:t>
            </w:r>
          </w:p>
        </w:tc>
        <w:tc>
          <w:tcPr>
            <w:tcW w:w="2227" w:type="dxa"/>
            <w:tcBorders>
              <w:top w:val="single" w:sz="4" w:space="0" w:color="auto"/>
              <w:left w:val="single" w:sz="4" w:space="0" w:color="auto"/>
              <w:bottom w:val="single" w:sz="4" w:space="0" w:color="auto"/>
              <w:right w:val="single" w:sz="4" w:space="0" w:color="auto"/>
            </w:tcBorders>
            <w:vAlign w:val="center"/>
          </w:tcPr>
          <w:p w14:paraId="47A58DE2" w14:textId="77777777" w:rsidR="000939E0" w:rsidRPr="00490FBB" w:rsidRDefault="000939E0" w:rsidP="00C40CC4">
            <w:pPr>
              <w:pStyle w:val="Tabletext"/>
              <w:keepNext/>
            </w:pPr>
            <w:r w:rsidRPr="00490FBB">
              <w:t>Health forgone possible: need other supportive factors</w:t>
            </w:r>
          </w:p>
        </w:tc>
        <w:tc>
          <w:tcPr>
            <w:tcW w:w="1748" w:type="dxa"/>
            <w:tcBorders>
              <w:top w:val="single" w:sz="4" w:space="0" w:color="auto"/>
              <w:left w:val="single" w:sz="4" w:space="0" w:color="auto"/>
              <w:bottom w:val="single" w:sz="4" w:space="0" w:color="auto"/>
              <w:right w:val="single" w:sz="4" w:space="0" w:color="auto"/>
            </w:tcBorders>
            <w:vAlign w:val="center"/>
          </w:tcPr>
          <w:p w14:paraId="3540FA15" w14:textId="77777777" w:rsidR="000939E0" w:rsidRPr="00490FBB" w:rsidRDefault="000939E0" w:rsidP="00C40CC4">
            <w:pPr>
              <w:pStyle w:val="Tabletext"/>
              <w:keepNext/>
            </w:pPr>
            <w:r w:rsidRPr="00490FBB">
              <w:t>Health forgone: need other supportive factors</w:t>
            </w:r>
          </w:p>
        </w:tc>
        <w:tc>
          <w:tcPr>
            <w:tcW w:w="1434" w:type="dxa"/>
            <w:tcBorders>
              <w:top w:val="single" w:sz="4" w:space="0" w:color="auto"/>
              <w:left w:val="single" w:sz="4" w:space="0" w:color="auto"/>
              <w:bottom w:val="single" w:sz="4" w:space="0" w:color="auto"/>
              <w:right w:val="single" w:sz="4" w:space="0" w:color="auto"/>
            </w:tcBorders>
            <w:vAlign w:val="center"/>
          </w:tcPr>
          <w:p w14:paraId="18C6CF73" w14:textId="77777777" w:rsidR="000939E0" w:rsidRPr="00490FBB" w:rsidRDefault="000939E0" w:rsidP="00C40CC4">
            <w:pPr>
              <w:pStyle w:val="Tabletext"/>
              <w:keepNext/>
            </w:pPr>
            <w:r w:rsidRPr="00490FBB">
              <w:t>? Likely CUA</w:t>
            </w:r>
          </w:p>
        </w:tc>
      </w:tr>
      <w:tr w:rsidR="000939E0" w:rsidRPr="00490FBB" w14:paraId="463C2753" w14:textId="77777777" w:rsidTr="00421EF2">
        <w:tc>
          <w:tcPr>
            <w:tcW w:w="2012" w:type="dxa"/>
            <w:tcBorders>
              <w:top w:val="single" w:sz="4" w:space="0" w:color="auto"/>
              <w:left w:val="single" w:sz="4" w:space="0" w:color="auto"/>
              <w:bottom w:val="single" w:sz="4" w:space="0" w:color="auto"/>
              <w:right w:val="single" w:sz="4" w:space="0" w:color="auto"/>
            </w:tcBorders>
            <w:vAlign w:val="center"/>
          </w:tcPr>
          <w:p w14:paraId="11AF710C" w14:textId="77777777" w:rsidR="000939E0" w:rsidRPr="00490FBB" w:rsidRDefault="000939E0" w:rsidP="00C40CC4">
            <w:pPr>
              <w:pStyle w:val="Tabletext"/>
              <w:keepNext/>
            </w:pPr>
            <w:r w:rsidRPr="00490FBB">
              <w:t>Uncertain</w:t>
            </w:r>
            <w:r w:rsidRPr="00490FBB">
              <w:rPr>
                <w:vertAlign w:val="superscript"/>
              </w:rPr>
              <w:t>a</w:t>
            </w:r>
          </w:p>
        </w:tc>
        <w:tc>
          <w:tcPr>
            <w:tcW w:w="1905" w:type="dxa"/>
            <w:tcBorders>
              <w:top w:val="single" w:sz="4" w:space="0" w:color="auto"/>
              <w:left w:val="single" w:sz="4" w:space="0" w:color="auto"/>
              <w:bottom w:val="single" w:sz="4" w:space="0" w:color="auto"/>
              <w:right w:val="single" w:sz="4" w:space="0" w:color="auto"/>
            </w:tcBorders>
            <w:vAlign w:val="center"/>
          </w:tcPr>
          <w:p w14:paraId="12909D79" w14:textId="77777777" w:rsidR="000939E0" w:rsidRPr="00490FBB" w:rsidRDefault="000939E0" w:rsidP="00C40CC4">
            <w:pPr>
              <w:pStyle w:val="Tabletext"/>
              <w:keepNext/>
            </w:pPr>
            <w:r w:rsidRPr="00490FBB">
              <w:t>Health forgone possible: need other supportive factors</w:t>
            </w:r>
          </w:p>
        </w:tc>
        <w:tc>
          <w:tcPr>
            <w:tcW w:w="2227" w:type="dxa"/>
            <w:tcBorders>
              <w:top w:val="single" w:sz="4" w:space="0" w:color="auto"/>
              <w:left w:val="single" w:sz="4" w:space="0" w:color="auto"/>
              <w:bottom w:val="single" w:sz="4" w:space="0" w:color="auto"/>
              <w:right w:val="single" w:sz="4" w:space="0" w:color="auto"/>
            </w:tcBorders>
            <w:vAlign w:val="center"/>
          </w:tcPr>
          <w:p w14:paraId="50F5E2B4" w14:textId="77777777" w:rsidR="000939E0" w:rsidRPr="00490FBB" w:rsidRDefault="000939E0" w:rsidP="00C40CC4">
            <w:pPr>
              <w:pStyle w:val="Tabletext"/>
              <w:keepNext/>
            </w:pPr>
            <w:r w:rsidRPr="00490FBB">
              <w:t>?</w:t>
            </w:r>
          </w:p>
        </w:tc>
        <w:tc>
          <w:tcPr>
            <w:tcW w:w="1748" w:type="dxa"/>
            <w:tcBorders>
              <w:top w:val="single" w:sz="4" w:space="0" w:color="auto"/>
              <w:left w:val="single" w:sz="4" w:space="0" w:color="auto"/>
              <w:bottom w:val="single" w:sz="4" w:space="0" w:color="auto"/>
              <w:right w:val="single" w:sz="4" w:space="0" w:color="auto"/>
            </w:tcBorders>
            <w:vAlign w:val="center"/>
          </w:tcPr>
          <w:p w14:paraId="0406F2A1" w14:textId="77777777" w:rsidR="000939E0" w:rsidRPr="00490FBB" w:rsidRDefault="000939E0" w:rsidP="00C40CC4">
            <w:pPr>
              <w:pStyle w:val="Tabletext"/>
              <w:keepNext/>
            </w:pPr>
            <w:r w:rsidRPr="00490FBB">
              <w:t>?</w:t>
            </w:r>
          </w:p>
        </w:tc>
        <w:tc>
          <w:tcPr>
            <w:tcW w:w="1434" w:type="dxa"/>
            <w:tcBorders>
              <w:top w:val="single" w:sz="4" w:space="0" w:color="auto"/>
              <w:left w:val="single" w:sz="4" w:space="0" w:color="auto"/>
              <w:bottom w:val="single" w:sz="4" w:space="0" w:color="auto"/>
              <w:right w:val="single" w:sz="4" w:space="0" w:color="auto"/>
            </w:tcBorders>
            <w:vAlign w:val="center"/>
          </w:tcPr>
          <w:p w14:paraId="1996B8CC" w14:textId="77777777" w:rsidR="000939E0" w:rsidRPr="00490FBB" w:rsidRDefault="000939E0" w:rsidP="00C40CC4">
            <w:pPr>
              <w:pStyle w:val="Tabletext"/>
              <w:keepNext/>
            </w:pPr>
            <w:r w:rsidRPr="00490FBB">
              <w:t>? Likely CEA/CUA</w:t>
            </w:r>
          </w:p>
        </w:tc>
      </w:tr>
      <w:tr w:rsidR="000939E0" w:rsidRPr="00490FBB" w14:paraId="47335FF9" w14:textId="77777777" w:rsidTr="00421EF2">
        <w:tc>
          <w:tcPr>
            <w:tcW w:w="2012" w:type="dxa"/>
            <w:tcBorders>
              <w:top w:val="single" w:sz="4" w:space="0" w:color="auto"/>
              <w:left w:val="single" w:sz="4" w:space="0" w:color="auto"/>
              <w:bottom w:val="single" w:sz="4" w:space="0" w:color="auto"/>
              <w:right w:val="single" w:sz="4" w:space="0" w:color="auto"/>
            </w:tcBorders>
            <w:vAlign w:val="center"/>
          </w:tcPr>
          <w:p w14:paraId="0CBD845B" w14:textId="149CC18B" w:rsidR="000939E0" w:rsidRPr="00490FBB" w:rsidRDefault="000939E0" w:rsidP="00C40CC4">
            <w:pPr>
              <w:pStyle w:val="Tabletext"/>
              <w:keepNext/>
            </w:pPr>
            <w:r w:rsidRPr="00490FBB">
              <w:t>Noninferior</w:t>
            </w:r>
            <w:r w:rsidRPr="00490FBB">
              <w:rPr>
                <w:vertAlign w:val="superscript"/>
              </w:rPr>
              <w:t>b</w:t>
            </w:r>
          </w:p>
        </w:tc>
        <w:tc>
          <w:tcPr>
            <w:tcW w:w="1905" w:type="dxa"/>
            <w:tcBorders>
              <w:top w:val="single" w:sz="4" w:space="0" w:color="auto"/>
              <w:left w:val="single" w:sz="4" w:space="0" w:color="auto"/>
              <w:bottom w:val="single" w:sz="4" w:space="0" w:color="auto"/>
              <w:right w:val="single" w:sz="4" w:space="0" w:color="auto"/>
            </w:tcBorders>
            <w:vAlign w:val="center"/>
          </w:tcPr>
          <w:p w14:paraId="5D8B4B6F" w14:textId="77777777" w:rsidR="000939E0" w:rsidRPr="00490FBB" w:rsidRDefault="000939E0" w:rsidP="00C40CC4">
            <w:pPr>
              <w:pStyle w:val="Tabletext"/>
              <w:keepNext/>
            </w:pPr>
            <w:r w:rsidRPr="00490FBB">
              <w:t>Health forgone: need other supportive factors</w:t>
            </w:r>
          </w:p>
        </w:tc>
        <w:tc>
          <w:tcPr>
            <w:tcW w:w="2227" w:type="dxa"/>
            <w:tcBorders>
              <w:top w:val="single" w:sz="4" w:space="0" w:color="auto"/>
              <w:left w:val="single" w:sz="4" w:space="0" w:color="auto"/>
              <w:bottom w:val="single" w:sz="4" w:space="0" w:color="auto"/>
              <w:right w:val="single" w:sz="4" w:space="0" w:color="auto"/>
            </w:tcBorders>
            <w:vAlign w:val="center"/>
          </w:tcPr>
          <w:p w14:paraId="43D9B9E4" w14:textId="77777777" w:rsidR="000939E0" w:rsidRPr="00490FBB" w:rsidRDefault="000939E0" w:rsidP="00C40CC4">
            <w:pPr>
              <w:pStyle w:val="Tabletext"/>
              <w:keepNext/>
            </w:pPr>
            <w:r w:rsidRPr="00490FBB">
              <w:t>?</w:t>
            </w:r>
          </w:p>
        </w:tc>
        <w:tc>
          <w:tcPr>
            <w:tcW w:w="1748" w:type="dxa"/>
            <w:tcBorders>
              <w:top w:val="single" w:sz="4" w:space="0" w:color="auto"/>
              <w:left w:val="single" w:sz="4" w:space="0" w:color="auto"/>
              <w:bottom w:val="single" w:sz="4" w:space="0" w:color="auto"/>
              <w:right w:val="single" w:sz="4" w:space="0" w:color="auto"/>
            </w:tcBorders>
            <w:vAlign w:val="center"/>
          </w:tcPr>
          <w:p w14:paraId="12BD2E22" w14:textId="77777777" w:rsidR="000939E0" w:rsidRPr="00490FBB" w:rsidRDefault="000939E0" w:rsidP="00C40CC4">
            <w:pPr>
              <w:pStyle w:val="Tabletext"/>
              <w:keepNext/>
            </w:pPr>
            <w:r w:rsidRPr="00490FBB">
              <w:t>CMA</w:t>
            </w:r>
          </w:p>
        </w:tc>
        <w:tc>
          <w:tcPr>
            <w:tcW w:w="1434" w:type="dxa"/>
            <w:tcBorders>
              <w:top w:val="single" w:sz="4" w:space="0" w:color="auto"/>
              <w:left w:val="single" w:sz="4" w:space="0" w:color="auto"/>
              <w:bottom w:val="single" w:sz="4" w:space="0" w:color="auto"/>
              <w:right w:val="single" w:sz="4" w:space="0" w:color="auto"/>
            </w:tcBorders>
            <w:vAlign w:val="center"/>
          </w:tcPr>
          <w:p w14:paraId="7E9F7AB5" w14:textId="77777777" w:rsidR="000939E0" w:rsidRPr="00490FBB" w:rsidRDefault="000939E0" w:rsidP="00C40CC4">
            <w:pPr>
              <w:pStyle w:val="Tabletext"/>
              <w:keepNext/>
            </w:pPr>
            <w:r w:rsidRPr="00490FBB">
              <w:t>CEA/CUA</w:t>
            </w:r>
          </w:p>
        </w:tc>
      </w:tr>
      <w:tr w:rsidR="000939E0" w:rsidRPr="00490FBB" w14:paraId="41AB5715" w14:textId="77777777" w:rsidTr="00421EF2">
        <w:tc>
          <w:tcPr>
            <w:tcW w:w="2012" w:type="dxa"/>
            <w:tcBorders>
              <w:top w:val="single" w:sz="4" w:space="0" w:color="auto"/>
              <w:left w:val="single" w:sz="4" w:space="0" w:color="auto"/>
              <w:bottom w:val="single" w:sz="4" w:space="0" w:color="auto"/>
              <w:right w:val="single" w:sz="4" w:space="0" w:color="auto"/>
            </w:tcBorders>
            <w:vAlign w:val="center"/>
          </w:tcPr>
          <w:p w14:paraId="18F5B4CB" w14:textId="77777777" w:rsidR="000939E0" w:rsidRPr="00490FBB" w:rsidRDefault="000939E0" w:rsidP="00C40CC4">
            <w:pPr>
              <w:pStyle w:val="Tabletext"/>
              <w:keepNext/>
            </w:pPr>
            <w:r w:rsidRPr="00490FBB">
              <w:t>Superior</w:t>
            </w:r>
          </w:p>
        </w:tc>
        <w:tc>
          <w:tcPr>
            <w:tcW w:w="1905" w:type="dxa"/>
            <w:tcBorders>
              <w:top w:val="single" w:sz="4" w:space="0" w:color="auto"/>
              <w:left w:val="single" w:sz="4" w:space="0" w:color="auto"/>
              <w:bottom w:val="single" w:sz="4" w:space="0" w:color="auto"/>
              <w:right w:val="single" w:sz="4" w:space="0" w:color="auto"/>
            </w:tcBorders>
            <w:vAlign w:val="center"/>
          </w:tcPr>
          <w:p w14:paraId="2525815A" w14:textId="77777777" w:rsidR="000939E0" w:rsidRPr="00490FBB" w:rsidRDefault="000939E0" w:rsidP="00C40CC4">
            <w:pPr>
              <w:pStyle w:val="Tabletext"/>
              <w:keepNext/>
            </w:pPr>
            <w:r w:rsidRPr="00490FBB">
              <w:t>? Likely CUA</w:t>
            </w:r>
          </w:p>
        </w:tc>
        <w:tc>
          <w:tcPr>
            <w:tcW w:w="2227" w:type="dxa"/>
            <w:tcBorders>
              <w:top w:val="single" w:sz="4" w:space="0" w:color="auto"/>
              <w:left w:val="single" w:sz="4" w:space="0" w:color="auto"/>
              <w:bottom w:val="single" w:sz="4" w:space="0" w:color="auto"/>
              <w:right w:val="single" w:sz="4" w:space="0" w:color="auto"/>
            </w:tcBorders>
            <w:vAlign w:val="center"/>
          </w:tcPr>
          <w:p w14:paraId="2AE0169D" w14:textId="77777777" w:rsidR="000939E0" w:rsidRPr="00490FBB" w:rsidRDefault="000939E0" w:rsidP="00C40CC4">
            <w:pPr>
              <w:pStyle w:val="Tabletext"/>
              <w:keepNext/>
            </w:pPr>
            <w:r w:rsidRPr="00490FBB">
              <w:t>? Likely CEA/CUA</w:t>
            </w:r>
          </w:p>
        </w:tc>
        <w:tc>
          <w:tcPr>
            <w:tcW w:w="1748" w:type="dxa"/>
            <w:tcBorders>
              <w:top w:val="single" w:sz="4" w:space="0" w:color="auto"/>
              <w:left w:val="single" w:sz="4" w:space="0" w:color="auto"/>
              <w:bottom w:val="single" w:sz="4" w:space="0" w:color="auto"/>
              <w:right w:val="single" w:sz="4" w:space="0" w:color="auto"/>
            </w:tcBorders>
            <w:vAlign w:val="center"/>
          </w:tcPr>
          <w:p w14:paraId="71D0525C" w14:textId="77777777" w:rsidR="000939E0" w:rsidRPr="00490FBB" w:rsidRDefault="000939E0" w:rsidP="00C40CC4">
            <w:pPr>
              <w:pStyle w:val="Tabletext"/>
              <w:keepNext/>
            </w:pPr>
            <w:r w:rsidRPr="00490FBB">
              <w:t>CEA/CUA</w:t>
            </w:r>
          </w:p>
        </w:tc>
        <w:tc>
          <w:tcPr>
            <w:tcW w:w="14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F47EA5" w14:textId="77777777" w:rsidR="000939E0" w:rsidRPr="00CA27B6" w:rsidRDefault="000939E0" w:rsidP="00C40CC4">
            <w:pPr>
              <w:pStyle w:val="Tabletext"/>
              <w:keepNext/>
              <w:rPr>
                <w:b/>
                <w:bCs/>
              </w:rPr>
            </w:pPr>
            <w:r w:rsidRPr="00CA27B6">
              <w:rPr>
                <w:b/>
                <w:bCs/>
              </w:rPr>
              <w:t>CEA/CUA</w:t>
            </w:r>
          </w:p>
        </w:tc>
      </w:tr>
    </w:tbl>
    <w:p w14:paraId="6538A3FB" w14:textId="77777777" w:rsidR="000939E0" w:rsidRPr="00490FBB" w:rsidRDefault="000939E0" w:rsidP="00C40CC4">
      <w:pPr>
        <w:pStyle w:val="Tablenotes"/>
        <w:keepNext/>
        <w:spacing w:before="120"/>
        <w:rPr>
          <w:szCs w:val="18"/>
        </w:rPr>
      </w:pPr>
      <w:r w:rsidRPr="00490FBB">
        <w:rPr>
          <w:szCs w:val="18"/>
        </w:rPr>
        <w:t>CEA=cost-effectiveness analysis; CMA=cost-minimisation analysis; CUA=cost-utility analysis</w:t>
      </w:r>
    </w:p>
    <w:p w14:paraId="48F7CED7" w14:textId="77777777" w:rsidR="000939E0" w:rsidRPr="00490FBB" w:rsidRDefault="000939E0" w:rsidP="00C40CC4">
      <w:pPr>
        <w:pStyle w:val="Tablenotes"/>
        <w:keepNext/>
        <w:rPr>
          <w:b/>
          <w:szCs w:val="18"/>
        </w:rPr>
      </w:pPr>
      <w:r w:rsidRPr="00490FBB">
        <w:rPr>
          <w:szCs w:val="18"/>
        </w:rPr>
        <w:t xml:space="preserve">? = reflect uncertainties and any identified health trade-offs in the economic evaluation, as a minimum in a cost-consequences analysis </w:t>
      </w:r>
    </w:p>
    <w:p w14:paraId="65C6F534" w14:textId="77777777" w:rsidR="000939E0" w:rsidRPr="00490FBB" w:rsidRDefault="000939E0" w:rsidP="00C40CC4">
      <w:pPr>
        <w:pStyle w:val="Tablenotes"/>
        <w:keepNext/>
        <w:rPr>
          <w:b/>
          <w:szCs w:val="18"/>
        </w:rPr>
      </w:pPr>
      <w:r w:rsidRPr="00490FBB">
        <w:rPr>
          <w:szCs w:val="18"/>
          <w:vertAlign w:val="superscript"/>
        </w:rPr>
        <w:t>a</w:t>
      </w:r>
      <w:r w:rsidRPr="00490FBB">
        <w:rPr>
          <w:szCs w:val="18"/>
        </w:rPr>
        <w:t> ‘Uncertainty’ covers concepts such as inadequate minimisation of important sources of bias, lack of statistical significance in an underpowered trial, detecting clinically unimportant therapeutic differences, inconsistent results across trials, and trade-offs within the comparative effectiveness and/or the comparative safety considerations</w:t>
      </w:r>
    </w:p>
    <w:p w14:paraId="1CB9C9B3" w14:textId="62B12B0E" w:rsidR="000939E0" w:rsidRDefault="000939E0" w:rsidP="000939E0">
      <w:pPr>
        <w:pStyle w:val="Tablenotes"/>
        <w:rPr>
          <w:szCs w:val="18"/>
        </w:rPr>
      </w:pPr>
      <w:r w:rsidRPr="00490FBB">
        <w:rPr>
          <w:szCs w:val="18"/>
          <w:vertAlign w:val="superscript"/>
        </w:rPr>
        <w:t>b</w:t>
      </w:r>
      <w:r w:rsidRPr="00490FBB">
        <w:rPr>
          <w:szCs w:val="18"/>
        </w:rPr>
        <w:t> An adequate assessment of ‘noninferiority’ is the preferred basis for demonstrating equivalence</w:t>
      </w:r>
    </w:p>
    <w:p w14:paraId="0FFB4C1F" w14:textId="26B43370" w:rsidR="00525A8A" w:rsidRDefault="00E862CD" w:rsidP="00E862CD">
      <w:r>
        <w:t>FDG</w:t>
      </w:r>
      <w:r w:rsidR="000063E0">
        <w:t xml:space="preserve"> </w:t>
      </w:r>
      <w:r>
        <w:t>PET/CT is an estab</w:t>
      </w:r>
      <w:r w:rsidR="00D41E27">
        <w:t>lished technology</w:t>
      </w:r>
      <w:r w:rsidR="00180292">
        <w:t xml:space="preserve"> </w:t>
      </w:r>
      <w:r w:rsidR="00597D66">
        <w:t xml:space="preserve">that is </w:t>
      </w:r>
      <w:r w:rsidR="00345BEA">
        <w:t xml:space="preserve">widely used </w:t>
      </w:r>
      <w:r w:rsidR="00641A7C">
        <w:t>in</w:t>
      </w:r>
      <w:r w:rsidR="00345BEA">
        <w:t xml:space="preserve"> oncology </w:t>
      </w:r>
      <w:r w:rsidR="00641A7C">
        <w:t xml:space="preserve">and </w:t>
      </w:r>
      <w:r w:rsidR="00345BEA">
        <w:t xml:space="preserve">a large volume of evidence for </w:t>
      </w:r>
      <w:r w:rsidR="00ED0FEE">
        <w:t>its use in infection</w:t>
      </w:r>
      <w:r w:rsidR="009F55B7">
        <w:t xml:space="preserve"> is available.</w:t>
      </w:r>
      <w:r w:rsidR="0060583D">
        <w:t xml:space="preserve"> </w:t>
      </w:r>
      <w:r w:rsidR="009F55B7">
        <w:t>T</w:t>
      </w:r>
      <w:r w:rsidR="0060583D">
        <w:t xml:space="preserve">he </w:t>
      </w:r>
      <w:r w:rsidR="00881EBA">
        <w:t xml:space="preserve">joint </w:t>
      </w:r>
      <w:r w:rsidR="0060583D">
        <w:t xml:space="preserve">European Association of Nuclear Medicine (EANM) and </w:t>
      </w:r>
      <w:r w:rsidR="00881EBA">
        <w:t xml:space="preserve">Society of Nuclear Medicine and Molecular Imaging (SNMMI) </w:t>
      </w:r>
      <w:r w:rsidR="00DF0EFB">
        <w:t xml:space="preserve">guideline </w:t>
      </w:r>
      <w:r w:rsidR="00DF0EFB" w:rsidRPr="00DF0EFB">
        <w:rPr>
          <w:rFonts w:cs="Calibri"/>
        </w:rPr>
        <w:t>(Abikhzer et al. 2025)</w:t>
      </w:r>
      <w:r w:rsidR="009F55B7">
        <w:t xml:space="preserve"> recently summarised </w:t>
      </w:r>
      <w:r w:rsidR="00A51F05">
        <w:t xml:space="preserve">this </w:t>
      </w:r>
      <w:r w:rsidR="009F55B7">
        <w:t>evidence</w:t>
      </w:r>
      <w:r w:rsidR="00A51F05">
        <w:t>,</w:t>
      </w:r>
      <w:r w:rsidR="00560AFE">
        <w:t xml:space="preserve"> includ</w:t>
      </w:r>
      <w:r w:rsidR="00A51F05">
        <w:t>ing</w:t>
      </w:r>
      <w:r w:rsidR="00560AFE">
        <w:t xml:space="preserve"> all systematic reviews and metanalyses published in the 10</w:t>
      </w:r>
      <w:r w:rsidR="008745AB">
        <w:t xml:space="preserve"> </w:t>
      </w:r>
      <w:r w:rsidR="00560AFE">
        <w:t xml:space="preserve">years to </w:t>
      </w:r>
      <w:r w:rsidR="00880124">
        <w:t>January 2023</w:t>
      </w:r>
      <w:r w:rsidR="00F85E9E">
        <w:t xml:space="preserve">. Similarly, the EANM summarised the </w:t>
      </w:r>
      <w:r w:rsidR="002C3CCD">
        <w:t>evidence on the use of FDG</w:t>
      </w:r>
      <w:r w:rsidR="000063E0">
        <w:t xml:space="preserve"> </w:t>
      </w:r>
      <w:r w:rsidR="002C3CCD">
        <w:t>PET/CT in FUO in 2024</w:t>
      </w:r>
      <w:r w:rsidR="008745AB">
        <w:t>,</w:t>
      </w:r>
      <w:r w:rsidR="002C3CCD">
        <w:t xml:space="preserve"> including 9 systematic reviews and 49 primary studies </w:t>
      </w:r>
      <w:r w:rsidR="00085475" w:rsidRPr="00085475">
        <w:rPr>
          <w:rFonts w:cs="Calibri"/>
        </w:rPr>
        <w:t>(Hess et al. 2024)</w:t>
      </w:r>
      <w:r w:rsidR="00525A8A">
        <w:t xml:space="preserve">. </w:t>
      </w:r>
      <w:r w:rsidR="00F54C14">
        <w:t>In 2019</w:t>
      </w:r>
      <w:r w:rsidR="00EE0150">
        <w:t>,</w:t>
      </w:r>
      <w:r w:rsidR="00F54C14">
        <w:t xml:space="preserve"> a</w:t>
      </w:r>
      <w:r w:rsidR="00E26B6A">
        <w:t xml:space="preserve"> </w:t>
      </w:r>
      <w:r w:rsidR="00EE0150">
        <w:t xml:space="preserve">comprehensive </w:t>
      </w:r>
      <w:r w:rsidR="004900F8">
        <w:t>report</w:t>
      </w:r>
      <w:r w:rsidR="009E0E60">
        <w:t xml:space="preserve"> conducted under the</w:t>
      </w:r>
      <w:r w:rsidR="00E26B6A">
        <w:t xml:space="preserve"> </w:t>
      </w:r>
      <w:r w:rsidR="004900F8" w:rsidRPr="004900F8">
        <w:t>UK Health Technology Assessment (HTA) Programme</w:t>
      </w:r>
      <w:r w:rsidR="004900F8" w:rsidRPr="004900F8" w:rsidDel="004900F8">
        <w:t xml:space="preserve"> </w:t>
      </w:r>
      <w:r w:rsidR="000B5C7A">
        <w:t xml:space="preserve">of the </w:t>
      </w:r>
      <w:r w:rsidR="006D05EE" w:rsidRPr="006D05EE">
        <w:t>National Institute for Health Research</w:t>
      </w:r>
      <w:r w:rsidR="006D05EE">
        <w:t xml:space="preserve"> </w:t>
      </w:r>
      <w:r w:rsidR="007F30C9">
        <w:t xml:space="preserve">evaluated </w:t>
      </w:r>
      <w:r w:rsidR="008F4FC1">
        <w:t xml:space="preserve">imaging tests for osteomyelitis and included 81 studies </w:t>
      </w:r>
      <w:r w:rsidR="008F4FC1" w:rsidRPr="008F4FC1">
        <w:rPr>
          <w:rFonts w:cs="Calibri"/>
        </w:rPr>
        <w:t>(Llewellyn et al. 2019)</w:t>
      </w:r>
      <w:r w:rsidR="00C34892">
        <w:t>.</w:t>
      </w:r>
    </w:p>
    <w:p w14:paraId="28C38F64" w14:textId="0065F2A0" w:rsidR="00C34892" w:rsidRDefault="0001593E" w:rsidP="00E862CD">
      <w:r>
        <w:t>An</w:t>
      </w:r>
      <w:r w:rsidR="00C34892">
        <w:t xml:space="preserve"> RCT </w:t>
      </w:r>
      <w:r w:rsidR="00732C98">
        <w:t>(</w:t>
      </w:r>
      <w:r w:rsidR="00BD4D88">
        <w:t xml:space="preserve">PIPPIN </w:t>
      </w:r>
      <w:hyperlink r:id="rId25" w:tooltip="Link to the trial entry on clinicaltrials.gov" w:history="1">
        <w:r w:rsidR="00732C98" w:rsidRPr="00281A27">
          <w:rPr>
            <w:rStyle w:val="Hyperlink"/>
            <w:rFonts w:ascii="Calibri" w:hAnsi="Calibri"/>
          </w:rPr>
          <w:t>NCT03429387</w:t>
        </w:r>
      </w:hyperlink>
      <w:r w:rsidR="00732C98">
        <w:t xml:space="preserve">) </w:t>
      </w:r>
      <w:r w:rsidR="00907F35">
        <w:t>comparing FDG</w:t>
      </w:r>
      <w:r w:rsidR="000063E0">
        <w:t xml:space="preserve"> </w:t>
      </w:r>
      <w:r w:rsidR="00907F35">
        <w:t xml:space="preserve">PET/CT with CT for </w:t>
      </w:r>
      <w:r>
        <w:t>persistent</w:t>
      </w:r>
      <w:r w:rsidR="00907F35">
        <w:t xml:space="preserve"> or recurrent </w:t>
      </w:r>
      <w:r>
        <w:t xml:space="preserve">neutropenic fever was published in 2022, </w:t>
      </w:r>
      <w:r w:rsidR="00CE2BA4">
        <w:t>but</w:t>
      </w:r>
      <w:r>
        <w:t xml:space="preserve"> does not provide direct </w:t>
      </w:r>
      <w:r w:rsidR="006275F6">
        <w:t xml:space="preserve">evidence as the </w:t>
      </w:r>
      <w:r w:rsidR="006275F6" w:rsidRPr="006275F6">
        <w:t>primary endpoint was a composite of starting, stopping, or changing the spectrum (broadening or narrowing) of antimicrobial therapy</w:t>
      </w:r>
      <w:r w:rsidR="006275F6">
        <w:t xml:space="preserve"> (referred to as </w:t>
      </w:r>
      <w:r w:rsidR="00DF1C6D">
        <w:t>antimicrobial rationalisation)</w:t>
      </w:r>
      <w:r w:rsidR="001478CD">
        <w:t>,</w:t>
      </w:r>
      <w:r w:rsidR="00DF1C6D">
        <w:t xml:space="preserve"> which is a change in management outcome and not a clinical outcome</w:t>
      </w:r>
      <w:r w:rsidR="00E66DDF">
        <w:t xml:space="preserve"> </w:t>
      </w:r>
      <w:r w:rsidR="00E66DDF" w:rsidRPr="00E66DDF">
        <w:rPr>
          <w:rFonts w:cs="Calibri"/>
        </w:rPr>
        <w:t>(Douglas et al. 2022)</w:t>
      </w:r>
      <w:r w:rsidR="001478CD">
        <w:t>.</w:t>
      </w:r>
      <w:r w:rsidR="00BA3886">
        <w:t xml:space="preserve"> </w:t>
      </w:r>
      <w:r w:rsidR="001478CD">
        <w:t>N</w:t>
      </w:r>
      <w:r w:rsidR="00BA3886">
        <w:t>evertheless, it was conducted in Australia and provides</w:t>
      </w:r>
      <w:r w:rsidR="001F4C1D">
        <w:t xml:space="preserve"> a level of evidence rarely available for change of management outcomes. </w:t>
      </w:r>
      <w:r w:rsidR="002F76A7">
        <w:t>An economic evaluation of the PIPPIN clinical trial reported dominance of FDG</w:t>
      </w:r>
      <w:r w:rsidR="000063E0">
        <w:t xml:space="preserve"> </w:t>
      </w:r>
      <w:r w:rsidR="002F76A7">
        <w:t xml:space="preserve">PET/CT over CT </w:t>
      </w:r>
      <w:r w:rsidR="002F76A7" w:rsidRPr="00DB68C9">
        <w:rPr>
          <w:rFonts w:cs="Calibri"/>
        </w:rPr>
        <w:t>(Tew et al. 2023)</w:t>
      </w:r>
      <w:r w:rsidR="002F76A7">
        <w:t>.</w:t>
      </w:r>
    </w:p>
    <w:p w14:paraId="7808E929" w14:textId="12BA37F7" w:rsidR="004C72DD" w:rsidRDefault="00576849" w:rsidP="00E862CD">
      <w:r>
        <w:t>T</w:t>
      </w:r>
      <w:r w:rsidR="00525A8A">
        <w:t>he complexity of the PICOs</w:t>
      </w:r>
      <w:r w:rsidR="009E4612">
        <w:t>,</w:t>
      </w:r>
      <w:r w:rsidR="00525A8A">
        <w:t xml:space="preserve"> with </w:t>
      </w:r>
      <w:r w:rsidR="00F63903">
        <w:t>their multiple</w:t>
      </w:r>
      <w:r w:rsidR="00525A8A">
        <w:t xml:space="preserve"> subpopulations and </w:t>
      </w:r>
      <w:r w:rsidR="00F63903">
        <w:t xml:space="preserve">comparators alongside variable clinical pathways dependent on a mixture of clinical presentation, test availability and </w:t>
      </w:r>
      <w:r w:rsidR="00154DBE">
        <w:t>provider expertise</w:t>
      </w:r>
      <w:r w:rsidR="009E4612">
        <w:t>,</w:t>
      </w:r>
      <w:r w:rsidR="00154DBE">
        <w:t xml:space="preserve"> </w:t>
      </w:r>
      <w:r w:rsidR="00154DBE">
        <w:lastRenderedPageBreak/>
        <w:t>will present a challenge for the clinical assessment and the economic evaluation. A</w:t>
      </w:r>
      <w:r w:rsidR="00525A8A">
        <w:t xml:space="preserve"> pragmatic approach utilis</w:t>
      </w:r>
      <w:r w:rsidR="00711BFA">
        <w:t>ing</w:t>
      </w:r>
      <w:r w:rsidR="00525A8A">
        <w:t xml:space="preserve"> existing </w:t>
      </w:r>
      <w:r w:rsidR="004C72DD">
        <w:t xml:space="preserve">systematic </w:t>
      </w:r>
      <w:r w:rsidR="008434AC">
        <w:t xml:space="preserve">reviews </w:t>
      </w:r>
      <w:r w:rsidR="00711BFA">
        <w:t>might</w:t>
      </w:r>
      <w:r w:rsidR="008434AC">
        <w:t xml:space="preserve"> be considered</w:t>
      </w:r>
      <w:r>
        <w:t xml:space="preserve"> for the </w:t>
      </w:r>
      <w:r w:rsidR="00EB7E0D">
        <w:t xml:space="preserve">clinical </w:t>
      </w:r>
      <w:r>
        <w:t>assessment</w:t>
      </w:r>
      <w:r w:rsidR="004C72DD">
        <w:t>.</w:t>
      </w:r>
      <w:r w:rsidR="00EB7E0D">
        <w:t xml:space="preserve"> </w:t>
      </w:r>
      <w:r w:rsidR="00556C16">
        <w:t>A</w:t>
      </w:r>
      <w:r w:rsidR="00AC2314">
        <w:t xml:space="preserve"> 2-stage assessment </w:t>
      </w:r>
      <w:r w:rsidR="00556C16">
        <w:t xml:space="preserve">could be used to </w:t>
      </w:r>
      <w:r w:rsidR="00CF0E29">
        <w:t>confirm the clinical assessment and guide subsequent requirements for economic and financial analysis.</w:t>
      </w:r>
    </w:p>
    <w:p w14:paraId="02D8EFC4" w14:textId="196869B5" w:rsidR="00CF0E29" w:rsidRDefault="00DA76E6" w:rsidP="00E862CD">
      <w:r>
        <w:t>MSAC guidelines describe an exemplar/facilitated</w:t>
      </w:r>
      <w:r w:rsidR="00F06F88">
        <w:t xml:space="preserve"> assessment that is intended to simplify assessment specifically of gene related technologies, however it has been used in imaging assessments such as </w:t>
      </w:r>
      <w:hyperlink r:id="rId26" w:tooltip="Link to MSAC Application 1702 on the MSAC website" w:history="1">
        <w:r w:rsidR="00F06F88" w:rsidRPr="00F06F88">
          <w:rPr>
            <w:rStyle w:val="Hyperlink"/>
            <w:rFonts w:ascii="Calibri" w:hAnsi="Calibri"/>
          </w:rPr>
          <w:t>Application 1702</w:t>
        </w:r>
      </w:hyperlink>
      <w:r w:rsidR="00F06F88">
        <w:t>, albeit for a population with a genetic condition.</w:t>
      </w:r>
      <w:r w:rsidR="00FD6FE0">
        <w:t xml:space="preserve"> The comparator tests are largely not restricted to </w:t>
      </w:r>
      <w:r w:rsidR="00883B8A">
        <w:t>defined</w:t>
      </w:r>
      <w:r w:rsidR="00FD6FE0">
        <w:t xml:space="preserve"> clinical indications</w:t>
      </w:r>
      <w:r w:rsidR="000F1A75">
        <w:t xml:space="preserve"> but have generic listings</w:t>
      </w:r>
      <w:r w:rsidR="00156835">
        <w:t>.</w:t>
      </w:r>
      <w:r w:rsidR="00E62358">
        <w:t xml:space="preserve"> </w:t>
      </w:r>
    </w:p>
    <w:p w14:paraId="6EC3DB4A" w14:textId="78B912BF" w:rsidR="004C72DD" w:rsidRDefault="004C72DD" w:rsidP="00E862CD">
      <w:r>
        <w:t>The clinical evidence is spa</w:t>
      </w:r>
      <w:r w:rsidR="007B770B">
        <w:t>rs</w:t>
      </w:r>
      <w:r>
        <w:t>e for the role of FDG</w:t>
      </w:r>
      <w:r w:rsidR="000063E0">
        <w:t xml:space="preserve"> </w:t>
      </w:r>
      <w:r>
        <w:t>PET/CT in paediatric patients</w:t>
      </w:r>
      <w:r w:rsidR="00F8488D">
        <w:t>.</w:t>
      </w:r>
      <w:r w:rsidR="003975F1">
        <w:t xml:space="preserve"> </w:t>
      </w:r>
      <w:r w:rsidR="00F8488D">
        <w:t>T</w:t>
      </w:r>
      <w:r w:rsidR="003975F1">
        <w:t xml:space="preserve">he </w:t>
      </w:r>
      <w:r w:rsidR="00540ADD">
        <w:t xml:space="preserve">assessment may need to justify the </w:t>
      </w:r>
      <w:r w:rsidR="009D1B8A">
        <w:t xml:space="preserve">claim made in the </w:t>
      </w:r>
      <w:r w:rsidR="003975F1">
        <w:t>application that in this population</w:t>
      </w:r>
      <w:r w:rsidR="009D1B8A">
        <w:t>,</w:t>
      </w:r>
      <w:r w:rsidR="003975F1">
        <w:t xml:space="preserve"> FDG</w:t>
      </w:r>
      <w:r w:rsidR="000063E0">
        <w:t xml:space="preserve"> </w:t>
      </w:r>
      <w:r w:rsidR="003975F1">
        <w:t>PET/CT is preferred over MRI due to a reduce</w:t>
      </w:r>
      <w:r w:rsidR="007A3BFD">
        <w:t>d</w:t>
      </w:r>
      <w:r w:rsidR="003975F1">
        <w:t xml:space="preserve"> requirement for sedation and/or anaesthesia</w:t>
      </w:r>
      <w:r w:rsidR="00FE7297">
        <w:t>,</w:t>
      </w:r>
      <w:r w:rsidR="003975F1">
        <w:t xml:space="preserve"> as </w:t>
      </w:r>
      <w:r w:rsidR="0037035D">
        <w:t>th</w:t>
      </w:r>
      <w:r w:rsidR="00FE7297">
        <w:t>is does not appear to be clearly supported in th</w:t>
      </w:r>
      <w:r w:rsidR="00374827">
        <w:t>e</w:t>
      </w:r>
      <w:r w:rsidR="0037035D">
        <w:t xml:space="preserve"> literature </w:t>
      </w:r>
      <w:r w:rsidR="0037035D" w:rsidRPr="0037035D">
        <w:rPr>
          <w:rFonts w:cs="Calibri"/>
        </w:rPr>
        <w:t>(Oztek et al. 2026)</w:t>
      </w:r>
      <w:r w:rsidR="006E15FA">
        <w:t>. Existing FDG</w:t>
      </w:r>
      <w:r w:rsidR="000063E0">
        <w:t xml:space="preserve"> </w:t>
      </w:r>
      <w:r w:rsidR="006E15FA">
        <w:t xml:space="preserve">PET/CT </w:t>
      </w:r>
      <w:r w:rsidR="006126C3">
        <w:t xml:space="preserve">MBS </w:t>
      </w:r>
      <w:r w:rsidR="006E15FA">
        <w:t>items are not restricted to adults</w:t>
      </w:r>
      <w:r w:rsidR="007A3BFD">
        <w:t>.</w:t>
      </w:r>
    </w:p>
    <w:p w14:paraId="69B9E065" w14:textId="08D627FE" w:rsidR="00B2612A" w:rsidRDefault="00A27BA8" w:rsidP="00E862CD">
      <w:r>
        <w:t>Inflammatory conditions</w:t>
      </w:r>
      <w:r w:rsidR="000E6629">
        <w:t xml:space="preserve"> </w:t>
      </w:r>
      <w:r w:rsidR="00CA6226">
        <w:t>are also an indication for FDG</w:t>
      </w:r>
      <w:r w:rsidR="00CE0D9D">
        <w:t xml:space="preserve"> PET/CT and are frequently considered alongside infection in the relevant literature</w:t>
      </w:r>
      <w:r w:rsidR="00D92572">
        <w:t xml:space="preserve"> </w:t>
      </w:r>
      <w:r w:rsidR="00D92572" w:rsidRPr="08C1E339">
        <w:rPr>
          <w:rFonts w:cs="Calibri"/>
        </w:rPr>
        <w:t>(Abikhzer et al. 2025; Hess et al. 2024)</w:t>
      </w:r>
      <w:r w:rsidR="005B70E5">
        <w:t>.</w:t>
      </w:r>
      <w:r w:rsidR="00CE0D9D">
        <w:t xml:space="preserve"> </w:t>
      </w:r>
      <w:r w:rsidR="00580AF4">
        <w:t>In this application, i</w:t>
      </w:r>
      <w:r w:rsidR="00CE0D9D">
        <w:t>n</w:t>
      </w:r>
      <w:r w:rsidR="00901E94">
        <w:t>flammatory conditions may be identified as an underlying cause in patients meeting the FUO/PUO criteria but are not proposed as an additional population outside those criteria.</w:t>
      </w:r>
    </w:p>
    <w:p w14:paraId="2597BF8B" w14:textId="508831DD" w:rsidR="00EB0B1E" w:rsidRPr="004A4D2F" w:rsidRDefault="001732AD" w:rsidP="55B5D1E8">
      <w:pPr>
        <w:rPr>
          <w:rFonts w:asciiTheme="minorHAnsi" w:hAnsiTheme="minorHAnsi" w:cstheme="minorBidi"/>
        </w:rPr>
      </w:pPr>
      <w:r w:rsidRPr="55B5D1E8">
        <w:rPr>
          <w:rFonts w:asciiTheme="minorHAnsi" w:hAnsiTheme="minorHAnsi" w:cstheme="minorBidi"/>
          <w:i/>
          <w:iCs/>
        </w:rPr>
        <w:t>PASC discussed the economic evaluation and stated that a cost-utility analysis was the most appropriate approach. PASC did not consider an exemplar approach to be suitable</w:t>
      </w:r>
      <w:r w:rsidR="6F5B973A" w:rsidRPr="55B5D1E8">
        <w:rPr>
          <w:rFonts w:asciiTheme="minorHAnsi" w:hAnsiTheme="minorHAnsi" w:cstheme="minorBidi"/>
          <w:i/>
          <w:iCs/>
        </w:rPr>
        <w:t xml:space="preserve"> based on this </w:t>
      </w:r>
      <w:r w:rsidR="004E4343" w:rsidRPr="55B5D1E8">
        <w:rPr>
          <w:rFonts w:asciiTheme="minorHAnsi" w:hAnsiTheme="minorHAnsi" w:cstheme="minorBidi"/>
          <w:i/>
          <w:iCs/>
        </w:rPr>
        <w:t>application and</w:t>
      </w:r>
      <w:r w:rsidRPr="55B5D1E8">
        <w:rPr>
          <w:rFonts w:asciiTheme="minorHAnsi" w:hAnsiTheme="minorHAnsi" w:cstheme="minorBidi"/>
          <w:i/>
          <w:iCs/>
        </w:rPr>
        <w:t xml:space="preserve"> had a preference to refine the population to the groups where FDG PET/CT would be of most value, enabling conduct of an economic analysis.</w:t>
      </w:r>
    </w:p>
    <w:p w14:paraId="047E4738" w14:textId="3742EE42" w:rsidR="00D73332" w:rsidRDefault="00D73332" w:rsidP="00DE762F">
      <w:pPr>
        <w:pStyle w:val="Heading2"/>
      </w:pPr>
      <w:r w:rsidRPr="00DE762F">
        <w:t>Propos</w:t>
      </w:r>
      <w:r w:rsidR="000D1FCF" w:rsidRPr="00DE762F">
        <w:t>al for public funding</w:t>
      </w:r>
    </w:p>
    <w:p w14:paraId="66AD0D48" w14:textId="134CDEA1" w:rsidR="009E21E6" w:rsidRDefault="00ED5A82" w:rsidP="009E21E6">
      <w:r>
        <w:t xml:space="preserve">The application proposed the creation of 2 </w:t>
      </w:r>
      <w:r w:rsidR="00731283">
        <w:t>new MBS items to support the use of FDG</w:t>
      </w:r>
      <w:r w:rsidR="000063E0">
        <w:t xml:space="preserve"> </w:t>
      </w:r>
      <w:r w:rsidR="00731283">
        <w:t>PET/CT</w:t>
      </w:r>
      <w:r w:rsidR="005B034A">
        <w:t xml:space="preserve"> in the diagnosis of complex infections</w:t>
      </w:r>
      <w:r w:rsidR="0036782C">
        <w:t>, FUO/PUO</w:t>
      </w:r>
      <w:r w:rsidR="005B034A">
        <w:t xml:space="preserve"> and recurrent or persistent </w:t>
      </w:r>
      <w:r w:rsidR="00230435">
        <w:t xml:space="preserve">neutropenic </w:t>
      </w:r>
      <w:r w:rsidR="005B034A">
        <w:t>fever</w:t>
      </w:r>
      <w:r w:rsidR="00230435">
        <w:t xml:space="preserve"> populations</w:t>
      </w:r>
      <w:r w:rsidR="00312DEB">
        <w:t xml:space="preserve"> (</w:t>
      </w:r>
      <w:r w:rsidR="00312DEB">
        <w:fldChar w:fldCharType="begin"/>
      </w:r>
      <w:r w:rsidR="00312DEB">
        <w:instrText xml:space="preserve"> REF _Ref232509780 \h </w:instrText>
      </w:r>
      <w:r w:rsidR="00312DEB">
        <w:fldChar w:fldCharType="separate"/>
      </w:r>
      <w:r w:rsidR="00312DEB" w:rsidRPr="00B97CD9">
        <w:t xml:space="preserve">Table </w:t>
      </w:r>
      <w:r w:rsidR="00312DEB">
        <w:rPr>
          <w:noProof/>
        </w:rPr>
        <w:t>8</w:t>
      </w:r>
      <w:r w:rsidR="00312DEB">
        <w:fldChar w:fldCharType="end"/>
      </w:r>
      <w:r w:rsidR="00312DEB">
        <w:t>)</w:t>
      </w:r>
      <w:r w:rsidR="005B034A">
        <w:t>.</w:t>
      </w:r>
      <w:r w:rsidR="00312DEB">
        <w:t xml:space="preserve"> The proposed fee is the same as existing FDG</w:t>
      </w:r>
      <w:r w:rsidR="000063E0">
        <w:t xml:space="preserve"> </w:t>
      </w:r>
      <w:r w:rsidR="00312DEB">
        <w:t xml:space="preserve">PET </w:t>
      </w:r>
      <w:r w:rsidR="006A5CF7">
        <w:t xml:space="preserve">MBS </w:t>
      </w:r>
      <w:r w:rsidR="00312DEB">
        <w:t xml:space="preserve">items. </w:t>
      </w:r>
      <w:r w:rsidR="00B33094">
        <w:t xml:space="preserve">The CT component of the scan is claimed with the existing </w:t>
      </w:r>
      <w:hyperlink r:id="rId27" w:tooltip="Link to the MBS item" w:history="1">
        <w:r w:rsidR="00B33094" w:rsidRPr="004C73EE">
          <w:rPr>
            <w:rStyle w:val="Hyperlink"/>
            <w:rFonts w:ascii="Calibri" w:hAnsi="Calibri"/>
          </w:rPr>
          <w:t xml:space="preserve">MBS item </w:t>
        </w:r>
        <w:r w:rsidR="004B2990" w:rsidRPr="004C73EE">
          <w:rPr>
            <w:rStyle w:val="Hyperlink"/>
            <w:rFonts w:ascii="Calibri" w:hAnsi="Calibri"/>
          </w:rPr>
          <w:t>61505</w:t>
        </w:r>
      </w:hyperlink>
      <w:r w:rsidR="0008476E">
        <w:t>,</w:t>
      </w:r>
      <w:r w:rsidR="004B2990">
        <w:t xml:space="preserve"> which is for anatomic localisation and/or </w:t>
      </w:r>
      <w:r w:rsidR="004C73EE">
        <w:t>attenuation correction with PET or SPECT and attracts a fee of $100.</w:t>
      </w:r>
      <w:r w:rsidR="002069C3">
        <w:t xml:space="preserve"> If a diagnostic</w:t>
      </w:r>
      <w:r w:rsidR="0008476E">
        <w:t>-</w:t>
      </w:r>
      <w:r w:rsidR="002069C3">
        <w:t>quality CT is also undertaken, it would be claimed as a separate MBS item</w:t>
      </w:r>
      <w:r w:rsidR="00B554C6">
        <w:t xml:space="preserve"> and frequently undertaken in a separate session</w:t>
      </w:r>
      <w:r w:rsidR="002069C3">
        <w:t>.</w:t>
      </w:r>
    </w:p>
    <w:p w14:paraId="44EF8339" w14:textId="0A5D8DDB" w:rsidR="76A189B5" w:rsidRDefault="009E21E6">
      <w:r>
        <w:t xml:space="preserve">Although there are </w:t>
      </w:r>
      <w:r w:rsidR="0008476E">
        <w:t xml:space="preserve">2 </w:t>
      </w:r>
      <w:r>
        <w:t xml:space="preserve">PICOs, they could be combined into a single MBS item. </w:t>
      </w:r>
      <w:r w:rsidR="006233E2">
        <w:t>N</w:t>
      </w:r>
      <w:r w:rsidR="00E60993">
        <w:t>o restriction on the number of times the item can be claimed has been proposed</w:t>
      </w:r>
      <w:r w:rsidR="00FF65A8">
        <w:t xml:space="preserve">, </w:t>
      </w:r>
      <w:r w:rsidR="00D40958">
        <w:t>which may</w:t>
      </w:r>
      <w:r w:rsidR="00FF65A8">
        <w:t xml:space="preserve"> risk</w:t>
      </w:r>
      <w:r w:rsidR="00E60993">
        <w:t xml:space="preserve"> </w:t>
      </w:r>
      <w:r w:rsidR="00837B8D">
        <w:t xml:space="preserve">expansion of </w:t>
      </w:r>
      <w:r w:rsidR="006233E2">
        <w:t>use</w:t>
      </w:r>
      <w:r w:rsidR="00D40958">
        <w:t xml:space="preserve"> beyond diagnostic purposes (i.e.</w:t>
      </w:r>
      <w:r w:rsidR="006233E2">
        <w:t xml:space="preserve"> for monitoring treatment response</w:t>
      </w:r>
      <w:r w:rsidR="00837B8D">
        <w:t>)</w:t>
      </w:r>
      <w:r w:rsidR="006233E2">
        <w:t xml:space="preserve">. </w:t>
      </w:r>
      <w:r w:rsidR="00FF65A8">
        <w:t>It is relevant to note that patients with neutropenic fever are often cancer patients</w:t>
      </w:r>
      <w:r w:rsidR="0012395A">
        <w:t xml:space="preserve"> and</w:t>
      </w:r>
      <w:r w:rsidR="007D5A0B">
        <w:t xml:space="preserve"> malignancy is a differential diagnosis in FUO</w:t>
      </w:r>
      <w:r w:rsidR="00E654CB">
        <w:t>;</w:t>
      </w:r>
      <w:r w:rsidR="007D5A0B">
        <w:t xml:space="preserve"> therefore</w:t>
      </w:r>
      <w:r w:rsidR="00E654CB">
        <w:t>,</w:t>
      </w:r>
      <w:r w:rsidR="007D5A0B">
        <w:t xml:space="preserve"> </w:t>
      </w:r>
      <w:r w:rsidR="006E7505">
        <w:t>FDG</w:t>
      </w:r>
      <w:r w:rsidR="000063E0">
        <w:t xml:space="preserve"> </w:t>
      </w:r>
      <w:r w:rsidR="006E7505">
        <w:t xml:space="preserve">PET may be available for some </w:t>
      </w:r>
      <w:r w:rsidR="00B569CC">
        <w:t xml:space="preserve">of the proposed population under existing MBS items. </w:t>
      </w:r>
    </w:p>
    <w:p w14:paraId="0D07F4C9" w14:textId="648A0D5C" w:rsidR="005C5C96" w:rsidRDefault="005C5C96">
      <w:r>
        <w:t xml:space="preserve">First-line investigations (prior tests) have not been specified </w:t>
      </w:r>
      <w:r w:rsidR="00AC01F7">
        <w:t xml:space="preserve">however </w:t>
      </w:r>
      <w:r w:rsidR="00C01242">
        <w:t xml:space="preserve">the PICO </w:t>
      </w:r>
      <w:r w:rsidR="00325F99">
        <w:t>states</w:t>
      </w:r>
      <w:r w:rsidR="00C01242">
        <w:t xml:space="preserve"> ‘standard initial clinical </w:t>
      </w:r>
      <w:r w:rsidR="00C01242" w:rsidRPr="00C01242">
        <w:t>evaluation consisting of clinical history, physical examination, laboratory tests and targeted imaging (unless contraindicated)</w:t>
      </w:r>
      <w:r w:rsidR="00A93107" w:rsidRPr="00A93107">
        <w:t xml:space="preserve"> has not provided a definitive diagnosis and where treatment decisions depend on accurate and timely identification of the infection sites</w:t>
      </w:r>
      <w:r w:rsidR="00912BD0">
        <w:t xml:space="preserve">’ for the complex infection populations and this wording may </w:t>
      </w:r>
      <w:r w:rsidR="00A93107">
        <w:t xml:space="preserve">be </w:t>
      </w:r>
      <w:r w:rsidR="00AF277C">
        <w:t xml:space="preserve">more </w:t>
      </w:r>
      <w:r w:rsidR="00AC5D67">
        <w:t xml:space="preserve">suitable for </w:t>
      </w:r>
      <w:r w:rsidR="00445A6B">
        <w:t xml:space="preserve">the MBS item descriptor. </w:t>
      </w:r>
    </w:p>
    <w:p w14:paraId="028A2B70" w14:textId="358C1EE9" w:rsidR="00AF277C" w:rsidRDefault="00A57B89">
      <w:r>
        <w:lastRenderedPageBreak/>
        <w:t>Similarly,</w:t>
      </w:r>
      <w:r w:rsidR="00D657C1">
        <w:t xml:space="preserve"> the atypical or uncommon infectious disease subpopulation states </w:t>
      </w:r>
      <w:r w:rsidR="00B22BEA">
        <w:t>‘where</w:t>
      </w:r>
      <w:r>
        <w:t xml:space="preserve"> </w:t>
      </w:r>
      <w:r w:rsidR="00B22BEA">
        <w:t>FDG PET is expected to inform a significant change in patient management.’ This coul</w:t>
      </w:r>
      <w:r w:rsidR="008065D4">
        <w:t>d</w:t>
      </w:r>
      <w:r w:rsidR="00B22BEA">
        <w:t xml:space="preserve"> </w:t>
      </w:r>
      <w:r w:rsidR="75663412">
        <w:t xml:space="preserve">be </w:t>
      </w:r>
      <w:r w:rsidR="008065D4">
        <w:t xml:space="preserve">defined in </w:t>
      </w:r>
      <w:r w:rsidR="008F0078">
        <w:t>greater</w:t>
      </w:r>
      <w:r w:rsidR="008065D4">
        <w:t xml:space="preserve"> detail</w:t>
      </w:r>
      <w:r w:rsidR="00B22BEA">
        <w:t xml:space="preserve">, for example, ‘where FDG PET is </w:t>
      </w:r>
      <w:r w:rsidR="00B40184">
        <w:t>expected to inform appropriate antimicrobial prescribing, surgical planning or further targeted investigations including biopsy and imaging.’</w:t>
      </w:r>
      <w:r w:rsidR="008F0078">
        <w:t xml:space="preserve"> </w:t>
      </w:r>
      <w:r w:rsidR="00C13135">
        <w:t xml:space="preserve">The paediatric subpopulation has not been included in the proposed MBS item descriptor as existing MBS items for PET do not specify age </w:t>
      </w:r>
      <w:r w:rsidR="00325F99">
        <w:t>limits</w:t>
      </w:r>
      <w:r w:rsidR="00C13135">
        <w:t xml:space="preserve"> and therefore, paediatric patients would be eligible under ‘suspected </w:t>
      </w:r>
      <w:r w:rsidR="00325F99">
        <w:t>osteomyelitis.’</w:t>
      </w:r>
    </w:p>
    <w:p w14:paraId="13CFD390" w14:textId="32CB252C" w:rsidR="00B97CD9" w:rsidRPr="00B97CD9" w:rsidRDefault="00B97CD9" w:rsidP="00B97CD9">
      <w:pPr>
        <w:pStyle w:val="Caption"/>
      </w:pPr>
      <w:bookmarkStart w:id="20" w:name="_Ref232509780"/>
      <w:r w:rsidRPr="00B97CD9">
        <w:t xml:space="preserve">Table </w:t>
      </w:r>
      <w:r w:rsidRPr="00B97CD9">
        <w:fldChar w:fldCharType="begin"/>
      </w:r>
      <w:r w:rsidRPr="00B97CD9">
        <w:instrText xml:space="preserve"> SEQ Table \* ARABIC </w:instrText>
      </w:r>
      <w:r w:rsidRPr="00B97CD9">
        <w:fldChar w:fldCharType="separate"/>
      </w:r>
      <w:r w:rsidR="003C210B">
        <w:rPr>
          <w:noProof/>
        </w:rPr>
        <w:t>8</w:t>
      </w:r>
      <w:r w:rsidRPr="00B97CD9">
        <w:fldChar w:fldCharType="end"/>
      </w:r>
      <w:bookmarkEnd w:id="20"/>
      <w:r w:rsidRPr="00B97CD9">
        <w:tab/>
        <w:t>Proposed new MBS items</w:t>
      </w:r>
    </w:p>
    <w:tbl>
      <w:tblPr>
        <w:tblStyle w:val="TableGrid"/>
        <w:tblW w:w="5000" w:type="pct"/>
        <w:tblInd w:w="0" w:type="dxa"/>
        <w:tblLook w:val="04A0" w:firstRow="1" w:lastRow="0" w:firstColumn="1" w:lastColumn="0" w:noHBand="0" w:noVBand="1"/>
        <w:tblCaption w:val="Proposed new MBS items"/>
        <w:tblDescription w:val="This table presents the new MBS items proposed in the application"/>
      </w:tblPr>
      <w:tblGrid>
        <w:gridCol w:w="9571"/>
      </w:tblGrid>
      <w:tr w:rsidR="00B97CD9" w:rsidRPr="00B97CD9" w14:paraId="7AA04493" w14:textId="77777777" w:rsidTr="00B97CD9">
        <w:tc>
          <w:tcPr>
            <w:tcW w:w="5000" w:type="pct"/>
            <w:tcBorders>
              <w:top w:val="single" w:sz="4" w:space="0" w:color="auto"/>
              <w:left w:val="single" w:sz="4" w:space="0" w:color="auto"/>
              <w:bottom w:val="single" w:sz="4" w:space="0" w:color="auto"/>
              <w:right w:val="single" w:sz="4" w:space="0" w:color="auto"/>
            </w:tcBorders>
            <w:hideMark/>
          </w:tcPr>
          <w:p w14:paraId="26F4063E" w14:textId="77777777" w:rsidR="00B97CD9" w:rsidRPr="00B97CD9" w:rsidRDefault="00B97CD9" w:rsidP="00B97CD9">
            <w:pPr>
              <w:pStyle w:val="TableText0"/>
              <w:jc w:val="right"/>
            </w:pPr>
            <w:r w:rsidRPr="00B97CD9">
              <w:t>Category 5 – DIAGNOSTIC IMAGING SERVICES</w:t>
            </w:r>
          </w:p>
        </w:tc>
      </w:tr>
      <w:tr w:rsidR="00211220" w:rsidRPr="00B97CD9" w14:paraId="59F2A895" w14:textId="77777777" w:rsidTr="00574894">
        <w:tc>
          <w:tcPr>
            <w:tcW w:w="5000" w:type="pct"/>
            <w:tcBorders>
              <w:top w:val="single" w:sz="4" w:space="0" w:color="auto"/>
              <w:left w:val="single" w:sz="4" w:space="0" w:color="auto"/>
              <w:bottom w:val="single" w:sz="4" w:space="0" w:color="auto"/>
              <w:right w:val="single" w:sz="4" w:space="0" w:color="auto"/>
            </w:tcBorders>
          </w:tcPr>
          <w:p w14:paraId="28486715" w14:textId="7BBDDDE4" w:rsidR="00211220" w:rsidRPr="00B97CD9" w:rsidRDefault="00211220" w:rsidP="00B97CD9">
            <w:pPr>
              <w:pStyle w:val="TableText0"/>
            </w:pPr>
            <w:r w:rsidRPr="00B97CD9">
              <w:t xml:space="preserve">MBS item </w:t>
            </w:r>
            <w:r>
              <w:t>AAAA</w:t>
            </w:r>
          </w:p>
          <w:p w14:paraId="2335FC4C" w14:textId="77777777" w:rsidR="002D7FFB" w:rsidRDefault="002D7FFB" w:rsidP="00B97CD9">
            <w:pPr>
              <w:pStyle w:val="TableText0"/>
            </w:pPr>
          </w:p>
          <w:p w14:paraId="7CA76B10" w14:textId="44EECF95" w:rsidR="00211220" w:rsidRPr="00B97CD9" w:rsidRDefault="00211220" w:rsidP="00B97CD9">
            <w:pPr>
              <w:pStyle w:val="TableText0"/>
            </w:pPr>
            <w:r w:rsidRPr="00B97CD9">
              <w:t xml:space="preserve">Whole body FDG PET study for the evaluation of suspected deep seated, complex, or rare infection in </w:t>
            </w:r>
            <w:r w:rsidR="00C80797">
              <w:t xml:space="preserve">patients in </w:t>
            </w:r>
            <w:r w:rsidRPr="00B97CD9">
              <w:t xml:space="preserve">whom first-line investigations were equivocal or contraindicated, including one or more of:  </w:t>
            </w:r>
          </w:p>
          <w:p w14:paraId="3DC34E3B" w14:textId="77777777" w:rsidR="00211220" w:rsidRPr="00B97CD9" w:rsidRDefault="00211220" w:rsidP="00CA0DA3">
            <w:pPr>
              <w:pStyle w:val="TableText0"/>
              <w:numPr>
                <w:ilvl w:val="0"/>
                <w:numId w:val="16"/>
              </w:numPr>
            </w:pPr>
            <w:r w:rsidRPr="00B97CD9">
              <w:t xml:space="preserve">Suspected spinal infection (vertebral osteomyelitis, discitis or epidural abscess); or  </w:t>
            </w:r>
          </w:p>
          <w:p w14:paraId="089D0C5F" w14:textId="77777777" w:rsidR="00211220" w:rsidRPr="00B97CD9" w:rsidRDefault="00211220" w:rsidP="00CA0DA3">
            <w:pPr>
              <w:pStyle w:val="TableText0"/>
              <w:numPr>
                <w:ilvl w:val="0"/>
                <w:numId w:val="16"/>
              </w:numPr>
            </w:pPr>
            <w:r w:rsidRPr="00B97CD9">
              <w:t xml:space="preserve">Suspected osteomyelitis in cases of a known soft tissue infection (including diabetic foot ulcers), fracture related osteomyelitis, and to assess for dissemination of infection to other skeletal sites or organs    </w:t>
            </w:r>
          </w:p>
          <w:p w14:paraId="0BF05150" w14:textId="77777777" w:rsidR="00211220" w:rsidRPr="00B97CD9" w:rsidRDefault="00211220" w:rsidP="00CA0DA3">
            <w:pPr>
              <w:pStyle w:val="TableText0"/>
              <w:numPr>
                <w:ilvl w:val="0"/>
                <w:numId w:val="16"/>
              </w:numPr>
            </w:pPr>
            <w:r w:rsidRPr="00B97CD9">
              <w:t xml:space="preserve">Suspected prosthetic joint infection or other orthopaedic hardware infection, if more than 2 years post-surgery  </w:t>
            </w:r>
          </w:p>
          <w:p w14:paraId="1D6C1167" w14:textId="77777777" w:rsidR="00211220" w:rsidRPr="00B97CD9" w:rsidRDefault="00211220" w:rsidP="00CA0DA3">
            <w:pPr>
              <w:pStyle w:val="TableText0"/>
              <w:numPr>
                <w:ilvl w:val="0"/>
                <w:numId w:val="16"/>
              </w:numPr>
            </w:pPr>
            <w:r w:rsidRPr="00B97CD9">
              <w:t xml:space="preserve">Suspected infective endocarditis, including following congenital heart disease, or due to prosthetic valve infection, cardiac implantable electronic device infection and septic emboli   </w:t>
            </w:r>
          </w:p>
          <w:p w14:paraId="55E45DC1" w14:textId="77777777" w:rsidR="00211220" w:rsidRPr="00B97CD9" w:rsidRDefault="00211220" w:rsidP="00CA0DA3">
            <w:pPr>
              <w:pStyle w:val="TableText0"/>
              <w:numPr>
                <w:ilvl w:val="0"/>
                <w:numId w:val="16"/>
              </w:numPr>
            </w:pPr>
            <w:r w:rsidRPr="00B97CD9">
              <w:t xml:space="preserve">High-risk bacteraemia (for example Staphylococcus aureus or other pathogens with a high risk of metastatic infection) where metastatic infection is suspected </w:t>
            </w:r>
          </w:p>
          <w:p w14:paraId="34ED9DF0" w14:textId="77777777" w:rsidR="00211220" w:rsidRPr="00B97CD9" w:rsidRDefault="00211220" w:rsidP="00CA0DA3">
            <w:pPr>
              <w:pStyle w:val="TableText0"/>
              <w:numPr>
                <w:ilvl w:val="0"/>
                <w:numId w:val="16"/>
              </w:numPr>
            </w:pPr>
            <w:r w:rsidRPr="00B97CD9">
              <w:t>Extrapulmonary non-tuberculous mycobacterial (EPNTM) infection with suspected disseminated infection</w:t>
            </w:r>
          </w:p>
          <w:p w14:paraId="1AD0DE73" w14:textId="434E826C" w:rsidR="00211220" w:rsidRPr="00B97CD9" w:rsidRDefault="00211220" w:rsidP="001170A6">
            <w:pPr>
              <w:pStyle w:val="TableText0"/>
              <w:ind w:left="720"/>
            </w:pPr>
          </w:p>
        </w:tc>
      </w:tr>
      <w:tr w:rsidR="00211220" w:rsidRPr="00B97CD9" w14:paraId="42B00B57" w14:textId="77777777" w:rsidTr="00574894">
        <w:tc>
          <w:tcPr>
            <w:tcW w:w="5000" w:type="pct"/>
            <w:tcBorders>
              <w:top w:val="single" w:sz="4" w:space="0" w:color="auto"/>
              <w:left w:val="single" w:sz="4" w:space="0" w:color="auto"/>
              <w:bottom w:val="single" w:sz="4" w:space="0" w:color="auto"/>
              <w:right w:val="single" w:sz="4" w:space="0" w:color="auto"/>
            </w:tcBorders>
            <w:vAlign w:val="center"/>
          </w:tcPr>
          <w:p w14:paraId="26D7DFC3" w14:textId="578EFFE5" w:rsidR="00211220" w:rsidRPr="00B97CD9" w:rsidRDefault="00211220" w:rsidP="00B97CD9">
            <w:pPr>
              <w:pStyle w:val="TableText0"/>
            </w:pPr>
            <w:r w:rsidRPr="00B97CD9">
              <w:rPr>
                <w:b/>
                <w:bCs/>
              </w:rPr>
              <w:t>Fee:</w:t>
            </w:r>
            <w:r w:rsidRPr="00B97CD9">
              <w:t xml:space="preserve"> $953.00 </w:t>
            </w:r>
            <w:r w:rsidRPr="00B97CD9">
              <w:rPr>
                <w:b/>
                <w:bCs/>
              </w:rPr>
              <w:t>Benefit:</w:t>
            </w:r>
            <w:r w:rsidRPr="00B97CD9">
              <w:t xml:space="preserve"> 75% = $714.75 85% = $848.50</w:t>
            </w:r>
            <w:r w:rsidR="141FB7CA">
              <w:t>*</w:t>
            </w:r>
          </w:p>
        </w:tc>
      </w:tr>
      <w:tr w:rsidR="00B97CD9" w:rsidRPr="00B97CD9" w14:paraId="5B7A99EC" w14:textId="77777777" w:rsidTr="00574894">
        <w:tc>
          <w:tcPr>
            <w:tcW w:w="5000" w:type="pct"/>
            <w:tcBorders>
              <w:top w:val="single" w:sz="4" w:space="0" w:color="auto"/>
              <w:left w:val="single" w:sz="4" w:space="0" w:color="auto"/>
              <w:bottom w:val="single" w:sz="4" w:space="0" w:color="auto"/>
              <w:right w:val="single" w:sz="4" w:space="0" w:color="auto"/>
            </w:tcBorders>
            <w:shd w:val="clear" w:color="auto" w:fill="FFFFFF" w:themeFill="background1"/>
          </w:tcPr>
          <w:p w14:paraId="7173A340" w14:textId="5E409231" w:rsidR="00B97CD9" w:rsidRPr="00B97CD9" w:rsidRDefault="00B97CD9" w:rsidP="00B97CD9">
            <w:pPr>
              <w:pStyle w:val="TableText0"/>
            </w:pPr>
            <w:r w:rsidRPr="00B97CD9">
              <w:t xml:space="preserve">MBS item </w:t>
            </w:r>
            <w:r w:rsidR="00211220">
              <w:t>BBBB</w:t>
            </w:r>
            <w:r w:rsidRPr="00B97CD9">
              <w:br/>
            </w:r>
            <w:r w:rsidRPr="00B97CD9">
              <w:br/>
              <w:t xml:space="preserve">Whole body FDG PET study for the evaluation of fever/pyrexia of unknown origin (FUO/PUO), or persistent or recurrent high-risk neutropenic fever, where there is clinical concern for an underlying infective, inflammatory, or malignant cause, where an appropriately detailed initial evaluation has not established a diagnosis, and the patient has persistent symptoms.   </w:t>
            </w:r>
          </w:p>
          <w:p w14:paraId="7C4AC528" w14:textId="77777777" w:rsidR="00B97CD9" w:rsidRPr="00B97CD9" w:rsidRDefault="00B97CD9" w:rsidP="00B97CD9">
            <w:pPr>
              <w:pStyle w:val="TableText0"/>
            </w:pPr>
          </w:p>
        </w:tc>
      </w:tr>
      <w:tr w:rsidR="00B97CD9" w:rsidRPr="00B97CD9" w14:paraId="7CCC1A0D" w14:textId="77777777" w:rsidTr="00574894">
        <w:tc>
          <w:tcPr>
            <w:tcW w:w="5000" w:type="pct"/>
            <w:tcBorders>
              <w:top w:val="single" w:sz="4" w:space="0" w:color="auto"/>
              <w:left w:val="single" w:sz="4" w:space="0" w:color="auto"/>
              <w:bottom w:val="single" w:sz="4" w:space="0" w:color="auto"/>
              <w:right w:val="single" w:sz="4" w:space="0" w:color="auto"/>
            </w:tcBorders>
            <w:vAlign w:val="center"/>
          </w:tcPr>
          <w:p w14:paraId="04EFC102" w14:textId="1A235604" w:rsidR="00B97CD9" w:rsidRPr="00B97CD9" w:rsidRDefault="00B97CD9" w:rsidP="00B97CD9">
            <w:pPr>
              <w:pStyle w:val="TableText0"/>
            </w:pPr>
            <w:r w:rsidRPr="00B97CD9">
              <w:rPr>
                <w:b/>
                <w:bCs/>
              </w:rPr>
              <w:t>Fee:</w:t>
            </w:r>
            <w:r w:rsidRPr="00B97CD9">
              <w:t xml:space="preserve"> $953.00 </w:t>
            </w:r>
            <w:r w:rsidRPr="00B97CD9">
              <w:rPr>
                <w:b/>
                <w:bCs/>
              </w:rPr>
              <w:t>Benefit:</w:t>
            </w:r>
            <w:r w:rsidRPr="00B97CD9">
              <w:t xml:space="preserve"> 75% = $714.75 85% = $848.50</w:t>
            </w:r>
            <w:r w:rsidR="092BE8A9">
              <w:t>*</w:t>
            </w:r>
          </w:p>
        </w:tc>
      </w:tr>
    </w:tbl>
    <w:p w14:paraId="45EE5C80" w14:textId="78E5D975" w:rsidR="085A8BEB" w:rsidRDefault="4CC1BD9D" w:rsidP="001C4F81">
      <w:pPr>
        <w:pStyle w:val="Tablenotes"/>
      </w:pPr>
      <w:r>
        <w:t>* 85% benefit reflects the 1 November 2025 Greatest Permissible Gap (GPG) of $104.50. All out-of-hospital Medicare services that have an MBS fee of $697.00 or more will attract a benefit that is greater than 85% of the MBS fee – being the schedule fee less the GPG amount. The GPG amount is indexed annually on 1 November in line with the Consumer Price Index (CPI) (June quarter).</w:t>
      </w:r>
    </w:p>
    <w:p w14:paraId="2CB793B9" w14:textId="6C3B3FEC" w:rsidR="00131CFF" w:rsidRDefault="00131CFF" w:rsidP="55B5D1E8">
      <w:pPr>
        <w:autoSpaceDE w:val="0"/>
        <w:autoSpaceDN w:val="0"/>
        <w:adjustRightInd w:val="0"/>
        <w:spacing w:line="23" w:lineRule="atLeast"/>
        <w:rPr>
          <w:rFonts w:asciiTheme="minorHAnsi" w:hAnsiTheme="minorHAnsi" w:cstheme="minorBidi"/>
          <w:i/>
          <w:iCs/>
        </w:rPr>
      </w:pPr>
      <w:r w:rsidRPr="55B5D1E8">
        <w:rPr>
          <w:rFonts w:asciiTheme="minorHAnsi" w:hAnsiTheme="minorHAnsi" w:cstheme="minorBidi"/>
          <w:i/>
          <w:iCs/>
        </w:rPr>
        <w:t xml:space="preserve">PASC acknowledged that targeting specific indications may not future proof the item(s) and risks </w:t>
      </w:r>
      <w:r w:rsidR="6EC3697E" w:rsidRPr="55B5D1E8">
        <w:rPr>
          <w:rFonts w:asciiTheme="minorHAnsi" w:hAnsiTheme="minorHAnsi" w:cstheme="minorBidi"/>
          <w:i/>
          <w:iCs/>
        </w:rPr>
        <w:t>'</w:t>
      </w:r>
      <w:r w:rsidRPr="55B5D1E8">
        <w:rPr>
          <w:rFonts w:asciiTheme="minorHAnsi" w:hAnsiTheme="minorHAnsi" w:cstheme="minorBidi"/>
          <w:i/>
          <w:iCs/>
        </w:rPr>
        <w:t>over specifying</w:t>
      </w:r>
      <w:r w:rsidR="102E7B06" w:rsidRPr="55B5D1E8">
        <w:rPr>
          <w:rFonts w:asciiTheme="minorHAnsi" w:hAnsiTheme="minorHAnsi" w:cstheme="minorBidi"/>
          <w:i/>
          <w:iCs/>
        </w:rPr>
        <w:t>’</w:t>
      </w:r>
      <w:r w:rsidRPr="55B5D1E8">
        <w:rPr>
          <w:rFonts w:asciiTheme="minorHAnsi" w:hAnsiTheme="minorHAnsi" w:cstheme="minorBidi"/>
          <w:i/>
          <w:iCs/>
        </w:rPr>
        <w:t xml:space="preserve"> clinical use. PASC further noted that the comparator items do not specify clinical indications, particularly in the context of complex infection. PASC considered that a focus on individual indications could exclude patients who would benefit from FDG PET/CT and considered whether a broader listing approach may be appropriate. However, PASC considered that the proposed service may need to be restricted to clearly define the clinical circumstances to ensure that FDG PET/CT is used in the intended patient population and at the appropriate point in the diagnostic pathway.</w:t>
      </w:r>
    </w:p>
    <w:p w14:paraId="19AAD988" w14:textId="09E9DF0A" w:rsidR="00131CFF" w:rsidRDefault="00131CFF" w:rsidP="55B5D1E8">
      <w:pPr>
        <w:autoSpaceDE w:val="0"/>
        <w:autoSpaceDN w:val="0"/>
        <w:adjustRightInd w:val="0"/>
        <w:spacing w:line="23" w:lineRule="atLeast"/>
        <w:rPr>
          <w:rFonts w:asciiTheme="minorHAnsi" w:hAnsiTheme="minorHAnsi" w:cstheme="minorBidi"/>
          <w:i/>
          <w:iCs/>
        </w:rPr>
      </w:pPr>
      <w:r w:rsidRPr="55B5D1E8">
        <w:rPr>
          <w:rFonts w:asciiTheme="minorHAnsi" w:hAnsiTheme="minorHAnsi" w:cstheme="minorBidi"/>
          <w:i/>
          <w:iCs/>
        </w:rPr>
        <w:t xml:space="preserve">PASC considered the MBS item descriptors proposed in the application and an alternative proposed by the department that combined both PICO Sets into a single MBS item. PASC supported a single MBS item and the phrase ‘one scan per course of illness’ to distinguish the proposed use for investigation and </w:t>
      </w:r>
      <w:r w:rsidR="00582C89" w:rsidRPr="55B5D1E8">
        <w:rPr>
          <w:rFonts w:asciiTheme="minorHAnsi" w:hAnsiTheme="minorHAnsi" w:cstheme="minorBidi"/>
          <w:i/>
          <w:iCs/>
        </w:rPr>
        <w:t xml:space="preserve">diagnosis </w:t>
      </w:r>
      <w:r w:rsidR="229DC30C" w:rsidRPr="55B5D1E8">
        <w:rPr>
          <w:rFonts w:asciiTheme="minorHAnsi" w:hAnsiTheme="minorHAnsi" w:cstheme="minorBidi"/>
          <w:i/>
          <w:iCs/>
        </w:rPr>
        <w:t>rather than</w:t>
      </w:r>
      <w:r w:rsidRPr="55B5D1E8">
        <w:rPr>
          <w:rFonts w:asciiTheme="minorHAnsi" w:hAnsiTheme="minorHAnsi" w:cstheme="minorBidi"/>
          <w:i/>
          <w:iCs/>
        </w:rPr>
        <w:t xml:space="preserve"> monitoring and to ensure that patients remain eligible for testing if they have experienced subsequent infections requiring investigation.   </w:t>
      </w:r>
    </w:p>
    <w:p w14:paraId="4A67E829" w14:textId="29B20B74" w:rsidR="00131CFF" w:rsidRDefault="00131CFF" w:rsidP="10A287CB">
      <w:pPr>
        <w:autoSpaceDE w:val="0"/>
        <w:autoSpaceDN w:val="0"/>
        <w:adjustRightInd w:val="0"/>
        <w:spacing w:line="23" w:lineRule="atLeast"/>
        <w:rPr>
          <w:rFonts w:asciiTheme="minorHAnsi" w:hAnsiTheme="minorHAnsi" w:cstheme="minorBidi"/>
          <w:i/>
          <w:iCs/>
        </w:rPr>
      </w:pPr>
      <w:r w:rsidRPr="10A287CB">
        <w:rPr>
          <w:rFonts w:asciiTheme="minorHAnsi" w:hAnsiTheme="minorHAnsi" w:cstheme="minorBidi"/>
          <w:i/>
          <w:iCs/>
        </w:rPr>
        <w:t>PASC reiterated the need to refine the populations specified in PICO Set 1 as this would be reflected in the proposed MBS item.</w:t>
      </w:r>
      <w:r w:rsidR="00F874BD" w:rsidRPr="10A287CB">
        <w:rPr>
          <w:rFonts w:asciiTheme="minorHAnsi" w:hAnsiTheme="minorHAnsi" w:cstheme="minorBidi"/>
          <w:i/>
          <w:iCs/>
        </w:rPr>
        <w:t xml:space="preserve"> </w:t>
      </w:r>
      <w:r w:rsidR="003146C3" w:rsidRPr="10A287CB">
        <w:rPr>
          <w:rFonts w:asciiTheme="minorHAnsi" w:hAnsiTheme="minorHAnsi" w:cstheme="minorBidi"/>
          <w:i/>
          <w:iCs/>
        </w:rPr>
        <w:t xml:space="preserve">PASC considered </w:t>
      </w:r>
      <w:r w:rsidR="00137394" w:rsidRPr="10A287CB">
        <w:rPr>
          <w:rFonts w:asciiTheme="minorHAnsi" w:hAnsiTheme="minorHAnsi" w:cstheme="minorBidi"/>
          <w:i/>
          <w:iCs/>
        </w:rPr>
        <w:t>the</w:t>
      </w:r>
      <w:r w:rsidR="00893F81" w:rsidRPr="10A287CB">
        <w:rPr>
          <w:rFonts w:asciiTheme="minorHAnsi" w:hAnsiTheme="minorHAnsi" w:cstheme="minorBidi"/>
          <w:i/>
          <w:iCs/>
        </w:rPr>
        <w:t xml:space="preserve"> revised </w:t>
      </w:r>
      <w:r w:rsidR="00BE26EE" w:rsidRPr="10A287CB">
        <w:rPr>
          <w:rFonts w:asciiTheme="minorHAnsi" w:hAnsiTheme="minorHAnsi" w:cstheme="minorBidi"/>
          <w:i/>
          <w:iCs/>
        </w:rPr>
        <w:t xml:space="preserve">MBS </w:t>
      </w:r>
      <w:r w:rsidR="006D41BD" w:rsidRPr="10A287CB">
        <w:rPr>
          <w:rFonts w:asciiTheme="minorHAnsi" w:hAnsiTheme="minorHAnsi" w:cstheme="minorBidi"/>
          <w:i/>
          <w:iCs/>
        </w:rPr>
        <w:t>item</w:t>
      </w:r>
      <w:r w:rsidR="00BE26EE" w:rsidRPr="10A287CB">
        <w:rPr>
          <w:rFonts w:asciiTheme="minorHAnsi" w:hAnsiTheme="minorHAnsi" w:cstheme="minorBidi"/>
          <w:i/>
          <w:iCs/>
        </w:rPr>
        <w:t xml:space="preserve"> descriptor</w:t>
      </w:r>
      <w:r w:rsidR="001D635A" w:rsidRPr="10A287CB">
        <w:rPr>
          <w:rFonts w:asciiTheme="minorHAnsi" w:hAnsiTheme="minorHAnsi" w:cstheme="minorBidi"/>
          <w:i/>
          <w:iCs/>
        </w:rPr>
        <w:t xml:space="preserve"> should </w:t>
      </w:r>
      <w:r w:rsidR="001C7EAB" w:rsidRPr="10A287CB">
        <w:rPr>
          <w:rFonts w:asciiTheme="minorHAnsi" w:hAnsiTheme="minorHAnsi" w:cstheme="minorBidi"/>
          <w:i/>
          <w:iCs/>
        </w:rPr>
        <w:t>define</w:t>
      </w:r>
      <w:r w:rsidR="00170CE9" w:rsidRPr="10A287CB">
        <w:rPr>
          <w:rFonts w:asciiTheme="minorHAnsi" w:hAnsiTheme="minorHAnsi" w:cstheme="minorBidi"/>
          <w:i/>
          <w:iCs/>
        </w:rPr>
        <w:t xml:space="preserve"> eligibility for the item</w:t>
      </w:r>
      <w:r w:rsidR="001C7EAB" w:rsidRPr="10A287CB">
        <w:rPr>
          <w:rFonts w:asciiTheme="minorHAnsi" w:hAnsiTheme="minorHAnsi" w:cstheme="minorBidi"/>
          <w:i/>
          <w:iCs/>
        </w:rPr>
        <w:t xml:space="preserve"> based on</w:t>
      </w:r>
      <w:r w:rsidR="00913379" w:rsidRPr="10A287CB">
        <w:rPr>
          <w:rFonts w:asciiTheme="minorHAnsi" w:hAnsiTheme="minorHAnsi" w:cstheme="minorBidi"/>
          <w:i/>
          <w:iCs/>
        </w:rPr>
        <w:t xml:space="preserve"> </w:t>
      </w:r>
      <w:r w:rsidR="13CE3B86" w:rsidRPr="10A287CB">
        <w:rPr>
          <w:rFonts w:asciiTheme="minorHAnsi" w:hAnsiTheme="minorHAnsi" w:cstheme="minorBidi"/>
          <w:i/>
          <w:iCs/>
        </w:rPr>
        <w:t xml:space="preserve">the features of a </w:t>
      </w:r>
      <w:r w:rsidR="07325A5C" w:rsidRPr="10A287CB">
        <w:rPr>
          <w:rFonts w:asciiTheme="minorHAnsi" w:hAnsiTheme="minorHAnsi" w:cstheme="minorBidi"/>
          <w:i/>
          <w:iCs/>
        </w:rPr>
        <w:t>patient's</w:t>
      </w:r>
      <w:r w:rsidR="00EF113B" w:rsidRPr="10A287CB">
        <w:rPr>
          <w:rFonts w:asciiTheme="minorHAnsi" w:hAnsiTheme="minorHAnsi" w:cstheme="minorBidi"/>
          <w:i/>
          <w:iCs/>
        </w:rPr>
        <w:t xml:space="preserve"> </w:t>
      </w:r>
      <w:r w:rsidR="17076CDD" w:rsidRPr="10A287CB">
        <w:rPr>
          <w:rFonts w:asciiTheme="minorHAnsi" w:hAnsiTheme="minorHAnsi" w:cstheme="minorBidi"/>
          <w:i/>
          <w:iCs/>
        </w:rPr>
        <w:t xml:space="preserve">presentation and </w:t>
      </w:r>
      <w:r w:rsidR="4FDD7F42" w:rsidRPr="10A287CB">
        <w:rPr>
          <w:rFonts w:asciiTheme="minorHAnsi" w:hAnsiTheme="minorHAnsi" w:cstheme="minorBidi"/>
          <w:i/>
          <w:iCs/>
        </w:rPr>
        <w:t xml:space="preserve">clinical </w:t>
      </w:r>
      <w:r w:rsidR="6CBF5B27" w:rsidRPr="10A287CB">
        <w:rPr>
          <w:rFonts w:asciiTheme="minorHAnsi" w:hAnsiTheme="minorHAnsi" w:cstheme="minorBidi"/>
          <w:i/>
          <w:iCs/>
        </w:rPr>
        <w:t xml:space="preserve">parameters, rather than a list of suspected </w:t>
      </w:r>
      <w:r w:rsidR="6CBF5B27" w:rsidRPr="10A287CB">
        <w:rPr>
          <w:rFonts w:asciiTheme="minorHAnsi" w:hAnsiTheme="minorHAnsi" w:cstheme="minorBidi"/>
          <w:i/>
          <w:iCs/>
        </w:rPr>
        <w:lastRenderedPageBreak/>
        <w:t>clinical condit</w:t>
      </w:r>
      <w:r w:rsidR="7300D83D" w:rsidRPr="10A287CB">
        <w:rPr>
          <w:rFonts w:asciiTheme="minorHAnsi" w:hAnsiTheme="minorHAnsi" w:cstheme="minorBidi"/>
          <w:i/>
          <w:iCs/>
        </w:rPr>
        <w:t>i</w:t>
      </w:r>
      <w:r w:rsidR="6CBF5B27" w:rsidRPr="10A287CB">
        <w:rPr>
          <w:rFonts w:asciiTheme="minorHAnsi" w:hAnsiTheme="minorHAnsi" w:cstheme="minorBidi"/>
          <w:i/>
          <w:iCs/>
        </w:rPr>
        <w:t xml:space="preserve">ons. </w:t>
      </w:r>
      <w:r w:rsidR="11430126" w:rsidRPr="10A287CB">
        <w:rPr>
          <w:rFonts w:asciiTheme="minorHAnsi" w:hAnsiTheme="minorHAnsi" w:cstheme="minorBidi"/>
          <w:i/>
          <w:iCs/>
        </w:rPr>
        <w:t xml:space="preserve">The item descriptor should also include the indication </w:t>
      </w:r>
      <w:r w:rsidR="6B3B1E9A" w:rsidRPr="10A287CB">
        <w:rPr>
          <w:rFonts w:asciiTheme="minorHAnsi" w:hAnsiTheme="minorHAnsi" w:cstheme="minorBidi"/>
          <w:i/>
          <w:iCs/>
        </w:rPr>
        <w:t>that</w:t>
      </w:r>
      <w:r w:rsidR="00EF113B" w:rsidRPr="10A287CB">
        <w:rPr>
          <w:rFonts w:asciiTheme="minorHAnsi" w:hAnsiTheme="minorHAnsi" w:cstheme="minorBidi"/>
          <w:i/>
          <w:iCs/>
        </w:rPr>
        <w:t xml:space="preserve"> </w:t>
      </w:r>
      <w:r w:rsidR="00EF113B" w:rsidRPr="00075882">
        <w:rPr>
          <w:i/>
          <w:iCs/>
        </w:rPr>
        <w:t>initial investigations</w:t>
      </w:r>
      <w:r w:rsidR="00177CDA" w:rsidRPr="00075882">
        <w:rPr>
          <w:i/>
          <w:iCs/>
        </w:rPr>
        <w:t xml:space="preserve"> </w:t>
      </w:r>
      <w:r w:rsidR="00CC78DA" w:rsidRPr="00075882">
        <w:rPr>
          <w:i/>
          <w:iCs/>
        </w:rPr>
        <w:t>were equivocal</w:t>
      </w:r>
      <w:r w:rsidR="0020633D" w:rsidRPr="00075882">
        <w:rPr>
          <w:i/>
          <w:iCs/>
        </w:rPr>
        <w:t xml:space="preserve"> or insufficient </w:t>
      </w:r>
      <w:r w:rsidR="00075882">
        <w:rPr>
          <w:i/>
          <w:iCs/>
        </w:rPr>
        <w:t xml:space="preserve">for a definitive diagnosis </w:t>
      </w:r>
      <w:r w:rsidR="4B01E04A" w:rsidRPr="10A287CB">
        <w:rPr>
          <w:i/>
          <w:iCs/>
        </w:rPr>
        <w:t>,</w:t>
      </w:r>
      <w:r w:rsidR="0020633D" w:rsidRPr="10A287CB">
        <w:rPr>
          <w:i/>
          <w:iCs/>
        </w:rPr>
        <w:t xml:space="preserve"> </w:t>
      </w:r>
      <w:r w:rsidR="4B01E04A" w:rsidRPr="10A287CB">
        <w:rPr>
          <w:i/>
          <w:iCs/>
        </w:rPr>
        <w:t>with the purpose of imaging being to inform</w:t>
      </w:r>
      <w:r w:rsidR="0020633D" w:rsidRPr="00075882">
        <w:rPr>
          <w:i/>
          <w:iCs/>
        </w:rPr>
        <w:t xml:space="preserve"> ongoing management decisions</w:t>
      </w:r>
      <w:r w:rsidR="0C6246E7" w:rsidRPr="10A287CB">
        <w:rPr>
          <w:i/>
          <w:iCs/>
        </w:rPr>
        <w:t xml:space="preserve"> which will influence treatment</w:t>
      </w:r>
      <w:r w:rsidR="00703022" w:rsidRPr="00075882">
        <w:rPr>
          <w:i/>
          <w:iCs/>
        </w:rPr>
        <w:t>.</w:t>
      </w:r>
      <w:r w:rsidR="00913379" w:rsidRPr="10A287CB">
        <w:rPr>
          <w:rFonts w:asciiTheme="minorHAnsi" w:hAnsiTheme="minorHAnsi" w:cstheme="minorBidi"/>
          <w:i/>
          <w:iCs/>
        </w:rPr>
        <w:t xml:space="preserve"> </w:t>
      </w:r>
      <w:r w:rsidR="00BE26EE" w:rsidRPr="10A287CB">
        <w:rPr>
          <w:rFonts w:asciiTheme="minorHAnsi" w:hAnsiTheme="minorHAnsi" w:cstheme="minorBidi"/>
          <w:i/>
          <w:iCs/>
        </w:rPr>
        <w:t xml:space="preserve"> </w:t>
      </w:r>
      <w:r w:rsidRPr="10A287CB">
        <w:rPr>
          <w:rFonts w:asciiTheme="minorHAnsi" w:hAnsiTheme="minorHAnsi" w:cstheme="minorBidi"/>
          <w:i/>
          <w:iCs/>
        </w:rPr>
        <w:t xml:space="preserve">PASC considered this may require prior tests to be specified, and expected change in management included within the item descriptor. PASC was concerned about use outside of the proposed population and considered that the descriptor should clearly identify the clinical circumstance in which FDG PET/CT would be used, noting that it is not intended as a baseline test for patients with suspected infection. </w:t>
      </w:r>
    </w:p>
    <w:p w14:paraId="39103BDE" w14:textId="6B7F10B9" w:rsidR="00EB0B1E" w:rsidRPr="004A4D2F" w:rsidRDefault="00131CFF" w:rsidP="00B21896">
      <w:pPr>
        <w:pStyle w:val="Tablenotes"/>
      </w:pPr>
      <w:r w:rsidRPr="051BEB5C">
        <w:rPr>
          <w:rFonts w:asciiTheme="minorHAnsi" w:hAnsiTheme="minorHAnsi" w:cstheme="minorBidi"/>
          <w:i/>
          <w:sz w:val="22"/>
        </w:rPr>
        <w:t xml:space="preserve">PASC noted stakeholder inputs that the proposed fee may be inadequate because imaging </w:t>
      </w:r>
      <w:r>
        <w:rPr>
          <w:rFonts w:asciiTheme="minorHAnsi" w:hAnsiTheme="minorHAnsi" w:cstheme="minorBidi"/>
          <w:i/>
          <w:sz w:val="22"/>
        </w:rPr>
        <w:t>to investigate infection</w:t>
      </w:r>
      <w:r w:rsidRPr="051BEB5C">
        <w:rPr>
          <w:rFonts w:asciiTheme="minorHAnsi" w:hAnsiTheme="minorHAnsi" w:cstheme="minorBidi"/>
          <w:i/>
          <w:sz w:val="22"/>
        </w:rPr>
        <w:t xml:space="preserve"> may require a larger fi</w:t>
      </w:r>
      <w:r>
        <w:rPr>
          <w:rFonts w:asciiTheme="minorHAnsi" w:hAnsiTheme="minorHAnsi" w:cstheme="minorBidi"/>
          <w:i/>
          <w:sz w:val="22"/>
        </w:rPr>
        <w:t>el</w:t>
      </w:r>
      <w:r w:rsidRPr="051BEB5C">
        <w:rPr>
          <w:rFonts w:asciiTheme="minorHAnsi" w:hAnsiTheme="minorHAnsi" w:cstheme="minorBidi"/>
          <w:i/>
          <w:sz w:val="22"/>
        </w:rPr>
        <w:t>d than many oncology indications, as imaging may extend from vertex to toes rather than vertex to thighs. Stakeholders proposed fees of $999 (consistent with MBS items 61533 and 61640) and $1,053. PASC also noted that the current fee for MBS item 61527 is $752.35 (PET scan due to unavailability of Ga-67) which is lower than the proposed fee. PASC considered that further work was required to determine the appropriate fee.</w:t>
      </w:r>
    </w:p>
    <w:p w14:paraId="62338695" w14:textId="775A0FF4" w:rsidR="00D37A3F" w:rsidRPr="00D37A3F" w:rsidRDefault="1608EEAE" w:rsidP="00450AE9">
      <w:pPr>
        <w:pStyle w:val="Heading2"/>
      </w:pPr>
      <w:r>
        <w:t xml:space="preserve">Summary of public consultation </w:t>
      </w:r>
      <w:r w:rsidR="6C8603F1">
        <w:t>input</w:t>
      </w:r>
    </w:p>
    <w:p w14:paraId="41A93AD4" w14:textId="2012A28F" w:rsidR="001702A2" w:rsidRDefault="001702A2" w:rsidP="001702A2">
      <w:pPr>
        <w:spacing w:after="120"/>
        <w:rPr>
          <w:i/>
          <w:iCs/>
        </w:rPr>
      </w:pPr>
      <w:r w:rsidRPr="00E95336">
        <w:rPr>
          <w:i/>
          <w:iCs/>
        </w:rPr>
        <w:t>PASC noted and welcomed consulta</w:t>
      </w:r>
      <w:r w:rsidRPr="00397EAE">
        <w:rPr>
          <w:i/>
          <w:iCs/>
        </w:rPr>
        <w:t>tion input from</w:t>
      </w:r>
      <w:r>
        <w:rPr>
          <w:i/>
          <w:iCs/>
        </w:rPr>
        <w:t xml:space="preserve"> 5</w:t>
      </w:r>
      <w:r w:rsidRPr="00397EAE">
        <w:rPr>
          <w:i/>
          <w:iCs/>
        </w:rPr>
        <w:t xml:space="preserve"> organisations and no individual input was received. The 5 organisations that submitted input were: </w:t>
      </w:r>
    </w:p>
    <w:p w14:paraId="1442A146" w14:textId="77777777" w:rsidR="001702A2" w:rsidRPr="007C4197" w:rsidRDefault="001702A2" w:rsidP="001702A2">
      <w:pPr>
        <w:pStyle w:val="ListParagraph"/>
        <w:numPr>
          <w:ilvl w:val="0"/>
          <w:numId w:val="31"/>
        </w:numPr>
        <w:spacing w:after="120" w:line="259" w:lineRule="auto"/>
      </w:pPr>
      <w:r w:rsidRPr="007C4197">
        <w:t>Australasian Association of Nuclear Medicine Specialists (AANMS)</w:t>
      </w:r>
    </w:p>
    <w:p w14:paraId="5B31AE21" w14:textId="77777777" w:rsidR="001702A2" w:rsidRPr="007C4197" w:rsidRDefault="001702A2" w:rsidP="001702A2">
      <w:pPr>
        <w:pStyle w:val="ListParagraph"/>
        <w:numPr>
          <w:ilvl w:val="0"/>
          <w:numId w:val="31"/>
        </w:numPr>
        <w:spacing w:after="120" w:line="259" w:lineRule="auto"/>
      </w:pPr>
      <w:r w:rsidRPr="007C4197">
        <w:t>Australian Diagnostic Imaging Association</w:t>
      </w:r>
      <w:r>
        <w:t xml:space="preserve"> (ADIA)</w:t>
      </w:r>
    </w:p>
    <w:p w14:paraId="1BF20E91" w14:textId="77777777" w:rsidR="001702A2" w:rsidRDefault="001702A2" w:rsidP="001702A2">
      <w:pPr>
        <w:pStyle w:val="ListParagraph"/>
        <w:numPr>
          <w:ilvl w:val="0"/>
          <w:numId w:val="31"/>
        </w:numPr>
        <w:spacing w:after="120" w:line="259" w:lineRule="auto"/>
      </w:pPr>
      <w:r w:rsidRPr="007C4197">
        <w:t>Cyclotek</w:t>
      </w:r>
    </w:p>
    <w:p w14:paraId="30259DB4" w14:textId="77777777" w:rsidR="001702A2" w:rsidRPr="006133FA" w:rsidRDefault="001702A2" w:rsidP="001702A2">
      <w:pPr>
        <w:pStyle w:val="ListParagraph"/>
        <w:numPr>
          <w:ilvl w:val="0"/>
          <w:numId w:val="31"/>
        </w:numPr>
        <w:spacing w:after="120" w:line="259" w:lineRule="auto"/>
      </w:pPr>
      <w:r w:rsidRPr="006133FA">
        <w:t xml:space="preserve">The Australian and New Zealand Society of Nuclear Medicine (ANZSNM) </w:t>
      </w:r>
    </w:p>
    <w:p w14:paraId="2E1FD1BE" w14:textId="77777777" w:rsidR="001702A2" w:rsidRDefault="001702A2" w:rsidP="001702A2">
      <w:pPr>
        <w:pStyle w:val="ListParagraph"/>
        <w:numPr>
          <w:ilvl w:val="0"/>
          <w:numId w:val="31"/>
        </w:numPr>
        <w:spacing w:after="120" w:line="259" w:lineRule="auto"/>
      </w:pPr>
      <w:r w:rsidRPr="007C4197">
        <w:t>The Royal Australian and New Zealand College of Radiologists (RANZCR)</w:t>
      </w:r>
      <w:r>
        <w:t>.</w:t>
      </w:r>
    </w:p>
    <w:p w14:paraId="15BE2737" w14:textId="77777777" w:rsidR="001702A2" w:rsidRPr="003E628D" w:rsidRDefault="001702A2" w:rsidP="001702A2">
      <w:pPr>
        <w:rPr>
          <w:rFonts w:eastAsia="Times New Roman" w:cstheme="minorHAnsi"/>
          <w:lang w:eastAsia="en-AU"/>
        </w:rPr>
      </w:pPr>
      <w:r w:rsidRPr="003E628D">
        <w:rPr>
          <w:rFonts w:eastAsia="Times New Roman" w:cstheme="minorHAnsi"/>
          <w:lang w:eastAsia="en-AU"/>
        </w:rPr>
        <w:t xml:space="preserve">Consultation input was supportive of public funding for FDG PET/CT for evaluation of complex infection. </w:t>
      </w:r>
    </w:p>
    <w:p w14:paraId="3AF31D81" w14:textId="77777777" w:rsidR="001702A2" w:rsidRDefault="001702A2" w:rsidP="001702A2">
      <w:pPr>
        <w:rPr>
          <w:b/>
          <w:bCs/>
        </w:rPr>
      </w:pPr>
      <w:r>
        <w:rPr>
          <w:b/>
          <w:bCs/>
        </w:rPr>
        <w:t>Benefits and Disadvantages</w:t>
      </w:r>
    </w:p>
    <w:p w14:paraId="1BBFC45E" w14:textId="77777777" w:rsidR="001702A2" w:rsidRPr="003E628D" w:rsidRDefault="001702A2" w:rsidP="001702A2">
      <w:r w:rsidRPr="003E628D">
        <w:t xml:space="preserve">The main benefits of public funding reported in the consultation input included improved access to FDG PET/CT for evaluation of complex infection, earlier and more accurate diagnosis, more timely clinical decision-making and improved treatment guidance. </w:t>
      </w:r>
      <w:r>
        <w:t xml:space="preserve">AANMS stated that the conditions outlined in the application can disproportionally affect vulnerable populations, including First Nations peoples, who are unable to self-fund imaging and that public funding would improve equitable access. </w:t>
      </w:r>
      <w:r w:rsidRPr="003E628D">
        <w:t>Consultation input also highlighted the potential to reduce hospital length of stay, reduce reliance on comparator investigations and support more efficient use of healthcare resources.</w:t>
      </w:r>
      <w:r>
        <w:t xml:space="preserve"> AANMS stated that FDG PET/CT de</w:t>
      </w:r>
      <w:r w:rsidRPr="00B123C5">
        <w:t>livers a whole-body study in a single attendance</w:t>
      </w:r>
      <w:r>
        <w:t xml:space="preserve"> unlike labelled WBC scanning and Ga-67 scintigraphy which require sequential imaging over consecutive days.</w:t>
      </w:r>
    </w:p>
    <w:p w14:paraId="26DD1035" w14:textId="7ACE6AAE" w:rsidR="001702A2" w:rsidRPr="003E628D" w:rsidRDefault="001702A2" w:rsidP="001702A2">
      <w:r>
        <w:t xml:space="preserve">The main disadvantages of public funding reported in the consultation input related to uncertainty regarding the strength of evidence and clinical utility across  proposed subpopulations. </w:t>
      </w:r>
    </w:p>
    <w:p w14:paraId="09C394BA" w14:textId="77777777" w:rsidR="001702A2" w:rsidRDefault="001702A2" w:rsidP="001702A2">
      <w:pPr>
        <w:rPr>
          <w:b/>
          <w:bCs/>
        </w:rPr>
      </w:pPr>
      <w:r>
        <w:rPr>
          <w:b/>
          <w:bCs/>
        </w:rPr>
        <w:t>Population, Comparator (current management) and Delivery</w:t>
      </w:r>
    </w:p>
    <w:p w14:paraId="2F2D6462" w14:textId="77777777" w:rsidR="001702A2" w:rsidRPr="00530F14" w:rsidRDefault="001702A2" w:rsidP="00B21896">
      <w:r w:rsidRPr="00530F14">
        <w:t xml:space="preserve">The consultation input partly agreed with the proposed population. ANZSNM considered the proposed population closely aligned with the </w:t>
      </w:r>
      <w:r w:rsidRPr="00B123C5">
        <w:t>European Association of Nuclear Medicine Guideline for FDG PET/CT in infection and inflammation in adults</w:t>
      </w:r>
      <w:r w:rsidRPr="00530F14">
        <w:t>. AANMS considered the proposed eligibility criteria too broad and highlighted that the populations of PUO/FUO, high-risk neutropenic fever,</w:t>
      </w:r>
      <w:r w:rsidRPr="00530F14">
        <w:rPr>
          <w:rFonts w:ascii="OpenSans-Regular" w:hAnsi="OpenSans-Regular" w:cs="OpenSans-Regular"/>
        </w:rPr>
        <w:t xml:space="preserve"> </w:t>
      </w:r>
      <w:r w:rsidRPr="00530F14">
        <w:t xml:space="preserve">infective endocarditis, and bacteraemia with suspected metastatic infection were most likely to benefit. RANZCR proposed </w:t>
      </w:r>
      <w:r w:rsidRPr="00530F14">
        <w:lastRenderedPageBreak/>
        <w:t>broadening the population to include inflammation in addition to complex infection and Cyclotek suggested alignment with existing gallium infection imaging indications.</w:t>
      </w:r>
    </w:p>
    <w:p w14:paraId="349B61D6" w14:textId="77777777" w:rsidR="001702A2" w:rsidRPr="008D45F3" w:rsidRDefault="001702A2" w:rsidP="00F04F9A">
      <w:r w:rsidRPr="008D45F3">
        <w:t xml:space="preserve">The consultation input </w:t>
      </w:r>
      <w:r>
        <w:t>agreed with</w:t>
      </w:r>
      <w:r w:rsidRPr="008D45F3">
        <w:t xml:space="preserve"> the proposed comparator and considered it reflective of current Australian clinical practice. </w:t>
      </w:r>
      <w:r>
        <w:t xml:space="preserve">AANMS, Cyclotek and RANZCR stated that WBC kits for labelled WBC scanning and </w:t>
      </w:r>
      <w:r w:rsidRPr="00B123C5">
        <w:t xml:space="preserve">gallium-67 </w:t>
      </w:r>
      <w:r>
        <w:t xml:space="preserve">for Ga-67 scintigraphy are produced overseas and are subject to supply issues and increasing costs. AANMS considered that </w:t>
      </w:r>
      <w:r w:rsidRPr="008D45F3">
        <w:t xml:space="preserve">conventional imaging investigations would continue to play an important role in the diagnostic pathway and that FDG PET/CT is most appropriately used as an adjunct to existing </w:t>
      </w:r>
      <w:r>
        <w:t xml:space="preserve">first-line </w:t>
      </w:r>
      <w:r w:rsidRPr="008D45F3">
        <w:t>investigations.</w:t>
      </w:r>
    </w:p>
    <w:p w14:paraId="48051300" w14:textId="77777777" w:rsidR="001702A2" w:rsidRPr="003E628D" w:rsidRDefault="001702A2" w:rsidP="001702A2">
      <w:r w:rsidRPr="003E628D">
        <w:t xml:space="preserve">Other services identified in the consultation input as being needed before or after the intervention included conventional imaging investigations, specialist clinical assessment and multidisciplinary management. </w:t>
      </w:r>
    </w:p>
    <w:p w14:paraId="05B6D30D" w14:textId="77777777" w:rsidR="001702A2" w:rsidRPr="0036777F" w:rsidRDefault="001702A2" w:rsidP="001702A2">
      <w:pPr>
        <w:rPr>
          <w:b/>
          <w:bCs/>
        </w:rPr>
      </w:pPr>
      <w:r w:rsidRPr="0036777F">
        <w:rPr>
          <w:b/>
          <w:bCs/>
        </w:rPr>
        <w:t>MBS Item Descriptor and Fee</w:t>
      </w:r>
    </w:p>
    <w:p w14:paraId="51CB4A5A" w14:textId="77777777" w:rsidR="001702A2" w:rsidRPr="005A2E1A" w:rsidRDefault="001702A2" w:rsidP="00B21896">
      <w:r w:rsidRPr="005A2E1A">
        <w:t xml:space="preserve">The consultation input mostly disagreed with the proposed item descriptors. AANMS considered the proposed indications too broad and should be restricted to certain clinical indications following appropriate first-line investigations that have failed to establish a diagnosis. RANZCR recommended defining equivocal first-line tests as “non-diagnostic or technically limited work up, contraindication to first line imaging, or persistent inability to localise the clinical problem despite baseline assessment”. ANZSNM and AANMS advised that the item should be restricted to once per discrete episode, whereas Cyclotek advised that the item frequency should be left to clinician discretion. </w:t>
      </w:r>
    </w:p>
    <w:p w14:paraId="600C1912" w14:textId="77777777" w:rsidR="001702A2" w:rsidRPr="008D45F3" w:rsidRDefault="001702A2" w:rsidP="001702A2">
      <w:r w:rsidRPr="008D45F3">
        <w:t xml:space="preserve">The consultation input ranged from </w:t>
      </w:r>
      <w:r>
        <w:t>agreeing to disagreeing with</w:t>
      </w:r>
      <w:r w:rsidRPr="008D45F3">
        <w:t xml:space="preserve"> the proposed </w:t>
      </w:r>
      <w:r>
        <w:t xml:space="preserve">MBS item </w:t>
      </w:r>
      <w:r w:rsidRPr="008D45F3">
        <w:t xml:space="preserve">fee. AANMS supported the proposed fee. ANZSNM, ADIA and Cyclotek considered a higher fee </w:t>
      </w:r>
      <w:r>
        <w:t>ranging from $999 to $1053 was appropriate to cover vertex to toes scanning for infection assessment, rather than the proposed fee that corresponds to vertex to thighs scanning.</w:t>
      </w:r>
    </w:p>
    <w:p w14:paraId="4B2AADF7" w14:textId="77777777" w:rsidR="001702A2" w:rsidRPr="00597C21" w:rsidRDefault="001702A2" w:rsidP="001702A2">
      <w:r w:rsidRPr="00C50417">
        <w:rPr>
          <w:b/>
          <w:bCs/>
        </w:rPr>
        <w:t xml:space="preserve">Additional </w:t>
      </w:r>
      <w:r>
        <w:rPr>
          <w:b/>
          <w:bCs/>
        </w:rPr>
        <w:t>C</w:t>
      </w:r>
      <w:r w:rsidRPr="00C50417">
        <w:rPr>
          <w:b/>
          <w:bCs/>
        </w:rPr>
        <w:t xml:space="preserve">omments </w:t>
      </w:r>
    </w:p>
    <w:p w14:paraId="3F60C22F" w14:textId="77777777" w:rsidR="001702A2" w:rsidRPr="00821D08" w:rsidRDefault="001702A2" w:rsidP="001702A2">
      <w:r w:rsidRPr="00821D08">
        <w:t>Consultation input noted that FDG PET/CT is already routinely used in clinical practice for evaluation of complex infection and that existing PET infrastructure and workforce capability would support implementation of the proposed service.</w:t>
      </w:r>
    </w:p>
    <w:p w14:paraId="751CDEB2" w14:textId="7A6FC9FA" w:rsidR="00131CFF" w:rsidRDefault="00131CFF" w:rsidP="55B5D1E8">
      <w:pPr>
        <w:autoSpaceDE w:val="0"/>
        <w:autoSpaceDN w:val="0"/>
        <w:adjustRightInd w:val="0"/>
        <w:spacing w:line="23" w:lineRule="atLeast"/>
        <w:rPr>
          <w:rFonts w:asciiTheme="minorHAnsi" w:hAnsiTheme="minorHAnsi" w:cstheme="minorBidi"/>
          <w:i/>
          <w:iCs/>
        </w:rPr>
      </w:pPr>
      <w:r w:rsidRPr="55B5D1E8">
        <w:rPr>
          <w:rFonts w:asciiTheme="minorHAnsi" w:hAnsiTheme="minorHAnsi" w:cstheme="minorBidi"/>
          <w:i/>
          <w:iCs/>
        </w:rPr>
        <w:t xml:space="preserve">PASC noted the public consultation feedback, particularly that provided by the AANMS who considered the criteria too broad and that the proposed population included  patients </w:t>
      </w:r>
      <w:r w:rsidR="7A52569E" w:rsidRPr="55B5D1E8">
        <w:rPr>
          <w:rFonts w:asciiTheme="minorHAnsi" w:hAnsiTheme="minorHAnsi" w:cstheme="minorBidi"/>
          <w:i/>
          <w:iCs/>
        </w:rPr>
        <w:t xml:space="preserve">who </w:t>
      </w:r>
      <w:r w:rsidRPr="55B5D1E8">
        <w:rPr>
          <w:rFonts w:asciiTheme="minorHAnsi" w:hAnsiTheme="minorHAnsi" w:cstheme="minorBidi"/>
          <w:i/>
          <w:iCs/>
        </w:rPr>
        <w:t>were unlikely to benefit from FDG PET/CT. The AANMS commented that clear thresholds for clinical suspicion should be established and the stage of illness at which the scan is indicated requires definition. AANMS raised the concern that clinical benefit was most likely for PICO Set 2 in patients where there are no localising signs of infection. In this case, FDG PET/CT would be a first-line investigation. For PICO Set 1, infective endocarditis and bacteraemia with suspected metastatic infection would be the most likely subpopulations to benefit and FDG PET/CT should complement rather than replace other imaging.</w:t>
      </w:r>
    </w:p>
    <w:p w14:paraId="6F983CAF" w14:textId="4BC311A4" w:rsidR="00131CFF" w:rsidRDefault="00131CFF" w:rsidP="00131CFF">
      <w:pPr>
        <w:autoSpaceDE w:val="0"/>
        <w:autoSpaceDN w:val="0"/>
        <w:adjustRightInd w:val="0"/>
        <w:spacing w:line="23" w:lineRule="atLeast"/>
        <w:rPr>
          <w:rFonts w:asciiTheme="minorHAnsi" w:hAnsiTheme="minorHAnsi" w:cstheme="minorHAnsi"/>
          <w:i/>
          <w:iCs/>
        </w:rPr>
      </w:pPr>
      <w:r>
        <w:rPr>
          <w:rFonts w:asciiTheme="minorHAnsi" w:hAnsiTheme="minorHAnsi" w:cstheme="minorHAnsi"/>
          <w:i/>
          <w:iCs/>
        </w:rPr>
        <w:t xml:space="preserve">AANMS stated that FDG PET/CT has advantages over other nuclear imaging options in certain circumstances but recognised the limited specificity of the test. Nevertheless, the high negative predictive value was recognised for the potential to avoid unnecessary investigations or treatment. </w:t>
      </w:r>
      <w:r w:rsidR="006676F9">
        <w:rPr>
          <w:rFonts w:asciiTheme="minorHAnsi" w:hAnsiTheme="minorHAnsi" w:cstheme="minorHAnsi"/>
          <w:i/>
          <w:iCs/>
        </w:rPr>
        <w:t xml:space="preserve"> </w:t>
      </w:r>
    </w:p>
    <w:p w14:paraId="1F90C2CB" w14:textId="52A06FBE" w:rsidR="00EB0B1E" w:rsidRPr="004A4D2F" w:rsidRDefault="00131CFF" w:rsidP="00EB0B1E">
      <w:pPr>
        <w:rPr>
          <w:rFonts w:asciiTheme="minorHAnsi" w:hAnsiTheme="minorHAnsi" w:cstheme="minorHAnsi"/>
        </w:rPr>
      </w:pPr>
      <w:r>
        <w:rPr>
          <w:rFonts w:asciiTheme="minorHAnsi" w:hAnsiTheme="minorHAnsi" w:cstheme="minorHAnsi"/>
          <w:i/>
          <w:iCs/>
        </w:rPr>
        <w:t>Feedback was also received from the Royal Australian and New Zealand College of Radiologists (RANZCR) who requested clarification of the terms ‘equivocal or contraindicated’ within the proposed item descriptor.</w:t>
      </w:r>
    </w:p>
    <w:p w14:paraId="4E68667F" w14:textId="77777777" w:rsidR="00D37A3F" w:rsidRPr="00D37A3F" w:rsidRDefault="00D37A3F" w:rsidP="00713728">
      <w:pPr>
        <w:pStyle w:val="Heading2"/>
      </w:pPr>
      <w:r>
        <w:lastRenderedPageBreak/>
        <w:t>Next steps</w:t>
      </w:r>
    </w:p>
    <w:p w14:paraId="044DA003" w14:textId="034AAE2D" w:rsidR="00EB0B1E" w:rsidRPr="004A4D2F" w:rsidRDefault="00131CFF" w:rsidP="55B5D1E8">
      <w:pPr>
        <w:rPr>
          <w:rFonts w:asciiTheme="minorHAnsi" w:hAnsiTheme="minorHAnsi" w:cstheme="minorBidi"/>
        </w:rPr>
      </w:pPr>
      <w:r w:rsidRPr="55B5D1E8">
        <w:rPr>
          <w:rFonts w:asciiTheme="minorHAnsi" w:hAnsiTheme="minorHAnsi" w:cstheme="minorBidi"/>
          <w:i/>
          <w:iCs/>
        </w:rPr>
        <w:t>PASC considered that the proposed population requires further refinement, including clearer definition of the clinical circumstances, clinical thresholds and level of diagnostic uncertainty that would support use of FDG PET/CT</w:t>
      </w:r>
      <w:r w:rsidR="0F9E5515" w:rsidRPr="55B5D1E8">
        <w:rPr>
          <w:rFonts w:asciiTheme="minorHAnsi" w:hAnsiTheme="minorHAnsi" w:cstheme="minorBidi"/>
          <w:i/>
          <w:iCs/>
        </w:rPr>
        <w:t>, and that proposed subpopulations will require an appropriate evidence basis to facilitate evaluation via a HTA pathway</w:t>
      </w:r>
      <w:r w:rsidRPr="55B5D1E8">
        <w:rPr>
          <w:rFonts w:asciiTheme="minorHAnsi" w:hAnsiTheme="minorHAnsi" w:cstheme="minorBidi"/>
          <w:i/>
          <w:iCs/>
        </w:rPr>
        <w:t xml:space="preserve"> PASC advised that further consultation between the applicant, clinical experts, and the department is required to refine the proposed population before the application returns to PASC for further consideration.</w:t>
      </w:r>
    </w:p>
    <w:p w14:paraId="75EF6B21" w14:textId="77777777" w:rsidR="00105946" w:rsidRPr="00105946" w:rsidRDefault="00105946" w:rsidP="00105946">
      <w:pPr>
        <w:keepNext/>
        <w:keepLines/>
        <w:tabs>
          <w:tab w:val="left" w:pos="1701"/>
        </w:tabs>
        <w:spacing w:before="360" w:after="120" w:line="240" w:lineRule="auto"/>
        <w:outlineLvl w:val="1"/>
        <w:rPr>
          <w:rFonts w:ascii="Franklin Gothic Medium" w:eastAsia="Times New Roman" w:hAnsi="Franklin Gothic Medium"/>
          <w:color w:val="000000"/>
          <w:sz w:val="32"/>
          <w:szCs w:val="26"/>
        </w:rPr>
      </w:pPr>
      <w:r w:rsidRPr="00105946">
        <w:rPr>
          <w:rFonts w:ascii="Franklin Gothic Medium" w:eastAsia="Times New Roman" w:hAnsi="Franklin Gothic Medium"/>
          <w:color w:val="000000"/>
          <w:sz w:val="32"/>
          <w:szCs w:val="26"/>
        </w:rPr>
        <w:t>Applicant Comments on Ratified PICO</w:t>
      </w:r>
    </w:p>
    <w:p w14:paraId="2F10CE1C" w14:textId="2D8405DE" w:rsidR="000067F2" w:rsidRPr="000067F2" w:rsidRDefault="000067F2" w:rsidP="00105946">
      <w:pPr>
        <w:spacing w:after="160" w:line="259" w:lineRule="auto"/>
        <w:rPr>
          <w:rFonts w:cs="Calibri"/>
        </w:rPr>
      </w:pPr>
      <w:bookmarkStart w:id="21" w:name="_Hlk167437372"/>
      <w:r w:rsidRPr="000067F2">
        <w:rPr>
          <w:rFonts w:cs="Calibri"/>
        </w:rPr>
        <w:t>We welcome PASC’s recognition that an overly prescriptive list of conditions could exclude patients who would benefit from FDG PET/CT. Additionally, we support further defining the clinical circumstances in which FDG PET/CT would inform management. We request that the proposed subgroups remain under consideration while criteria and supporting evidence are reviewed with clinical experts.</w:t>
      </w:r>
    </w:p>
    <w:bookmarkEnd w:id="21"/>
    <w:p w14:paraId="26412513" w14:textId="77777777" w:rsidR="00EB0B1E" w:rsidRPr="004A4D2F" w:rsidRDefault="00EB0B1E" w:rsidP="00EB0B1E">
      <w:pPr>
        <w:rPr>
          <w:rFonts w:asciiTheme="minorHAnsi" w:hAnsiTheme="minorHAnsi" w:cstheme="minorHAnsi"/>
        </w:rPr>
      </w:pPr>
    </w:p>
    <w:p w14:paraId="343F0557" w14:textId="77777777" w:rsidR="00196F67" w:rsidRDefault="00196F67">
      <w:pPr>
        <w:spacing w:after="160" w:line="259" w:lineRule="auto"/>
        <w:rPr>
          <w:rFonts w:ascii="Franklin Gothic Medium" w:eastAsiaTheme="majorEastAsia" w:hAnsi="Franklin Gothic Medium" w:cstheme="majorBidi"/>
          <w:color w:val="000000" w:themeColor="text1"/>
          <w:sz w:val="32"/>
          <w:szCs w:val="26"/>
        </w:rPr>
      </w:pPr>
      <w:r>
        <w:br w:type="page"/>
      </w:r>
    </w:p>
    <w:p w14:paraId="73A2A9C9" w14:textId="142D9879" w:rsidR="006478E7" w:rsidRDefault="00A33126" w:rsidP="00713728">
      <w:pPr>
        <w:pStyle w:val="Heading2"/>
      </w:pPr>
      <w:r w:rsidRPr="00A33126">
        <w:lastRenderedPageBreak/>
        <w:t>References</w:t>
      </w:r>
    </w:p>
    <w:p w14:paraId="24E22E7C" w14:textId="1D137B65" w:rsidR="00D92572" w:rsidRPr="00D92572" w:rsidRDefault="00D92572" w:rsidP="00D92572">
      <w:pPr>
        <w:pStyle w:val="Bibliography"/>
      </w:pPr>
      <w:r w:rsidRPr="00D92572">
        <w:t xml:space="preserve">Abikhzer G, Treglia G, Pelletier-Galarneau M, Buscombe J, Chiti A, Dibble EH, Glaudemans AWJM, Palestro CJ, Sathekge M, Signore A, Jamar F, Israel O and Gheysens O (2025) ‘EANM/SNMMI guideline/procedure standard for [18F]FDG hybrid PET use in infection and inflammation in adults v2.0’, </w:t>
      </w:r>
      <w:r w:rsidRPr="00D92572">
        <w:rPr>
          <w:i/>
          <w:iCs/>
        </w:rPr>
        <w:t>European Journal of Nuclear Medicine and Molecular Imaging</w:t>
      </w:r>
      <w:r w:rsidRPr="00D92572">
        <w:t>, 52(2):510–538, doi:10.1007/s00259-024-06915-3.</w:t>
      </w:r>
    </w:p>
    <w:p w14:paraId="141E233E" w14:textId="77777777" w:rsidR="00D92572" w:rsidRPr="00D92572" w:rsidRDefault="00D92572" w:rsidP="00D92572">
      <w:pPr>
        <w:pStyle w:val="Bibliography"/>
      </w:pPr>
      <w:r w:rsidRPr="00D92572">
        <w:t xml:space="preserve">Arnold SR, Giordano V, Obremskey WT, Schwarz EM, Smeltzer MS, Veis DJ and Cassat JE (2026) ‘Osteomyelitis’, </w:t>
      </w:r>
      <w:r w:rsidRPr="00D92572">
        <w:rPr>
          <w:i/>
          <w:iCs/>
        </w:rPr>
        <w:t>Nature Reviews Disease Primers</w:t>
      </w:r>
      <w:r w:rsidRPr="00D92572">
        <w:t>, 12(1):33, doi:10.1038/s41572-026-00707-9.</w:t>
      </w:r>
    </w:p>
    <w:p w14:paraId="0A8EFE47" w14:textId="77777777" w:rsidR="004B30C1" w:rsidRPr="004B30C1" w:rsidRDefault="004B30C1" w:rsidP="004B30C1">
      <w:pPr>
        <w:pStyle w:val="Bibliography"/>
      </w:pPr>
      <w:r w:rsidRPr="004B30C1">
        <w:t xml:space="preserve">Douglas AP, McMullan B, Yap N, Bajel A, Alcorn K, Cooley L, Kinsella P, Laundy N, Bupha‐Intr O, Legg A, Roberts J, Trubiano JA, Sasadeusz J, Conyers R, Thursky KA, and the Australasian Neutropenic Fever Guidelines Steering Committee (2025) ‘Consensus guidelines for the subsequent management of neutropenic fever after empiric therapy’, </w:t>
      </w:r>
      <w:r w:rsidRPr="004B30C1">
        <w:rPr>
          <w:i/>
          <w:iCs/>
        </w:rPr>
        <w:t>Internal Medicine Journal</w:t>
      </w:r>
      <w:r w:rsidRPr="004B30C1">
        <w:t>, 55(S7):68–94, doi:</w:t>
      </w:r>
      <w:hyperlink r:id="rId28" w:history="1">
        <w:r w:rsidRPr="004B30C1">
          <w:rPr>
            <w:rStyle w:val="Hyperlink"/>
            <w:rFonts w:ascii="Calibri" w:hAnsi="Calibri"/>
          </w:rPr>
          <w:t>10.1111/imj.70249</w:t>
        </w:r>
      </w:hyperlink>
      <w:r w:rsidRPr="004B30C1">
        <w:t>.</w:t>
      </w:r>
    </w:p>
    <w:p w14:paraId="633AACFB" w14:textId="2ABF8AA5" w:rsidR="00D92572" w:rsidRPr="00D92572" w:rsidRDefault="00D92572" w:rsidP="00D92572">
      <w:pPr>
        <w:pStyle w:val="Bibliography"/>
      </w:pPr>
      <w:r w:rsidRPr="00D92572">
        <w:t xml:space="preserve">Douglas A, Thursky K, Spelman T, Szer J, Bajel A, Harrison S, Tio SY, Bupha-Intr O, Tew M, Worth L, Teh B, Chee L, Ng A, Carney D, Khot A, Haeusler G, Yong M, Trubiano J, Chen S, Hicks R, Ritchie D and Slavin M (2022) ‘[18F]FDG-PET-CT compared with CT for persistent or recurrent neutropenic fever in high-risk patients (PIPPIN): a multicentre, open-label, phase 3, randomised, controlled trial’, </w:t>
      </w:r>
      <w:r w:rsidRPr="00D92572">
        <w:rPr>
          <w:i/>
          <w:iCs/>
        </w:rPr>
        <w:t>The Lancet Haematology</w:t>
      </w:r>
      <w:r w:rsidRPr="00D92572">
        <w:t>, 9(8):e573–e584, doi:10.1016/S2352-3026(22)00166-1.</w:t>
      </w:r>
    </w:p>
    <w:p w14:paraId="5D0B0082" w14:textId="77777777" w:rsidR="00D92572" w:rsidRPr="00D92572" w:rsidRDefault="00D92572" w:rsidP="00D92572">
      <w:pPr>
        <w:pStyle w:val="Bibliography"/>
      </w:pPr>
      <w:r w:rsidRPr="00D92572">
        <w:t xml:space="preserve">Fowler VG, Durack DT, Selton-Suty C, Athan E, Bayer AS, Chamis AL, Dahl A, DiBernardo L, Durante-Mangoni E, Duval X, Fortes CQ, Fosbøl E, Hannan MM, Hasse B, Hoen B, Karchmer AW, Mestres CA, Petti CA, Pizzi MN, Preston SD, Roque A, Vandenesch F, Van Der Meer JTM, Van Der Vaart TW and Miro JM (2023) ‘The 2023 Duke-International Society for Cardiovascular Infectious Diseases Criteria for Infective Endocarditis: Updating the Modified Duke Criteria’, </w:t>
      </w:r>
      <w:r w:rsidRPr="00D92572">
        <w:rPr>
          <w:i/>
          <w:iCs/>
        </w:rPr>
        <w:t>Clinical Infectious Diseases</w:t>
      </w:r>
      <w:r w:rsidRPr="00D92572">
        <w:t>, 77(4):518–526, doi:10.1093/cid/ciad271.</w:t>
      </w:r>
    </w:p>
    <w:p w14:paraId="0A1F6794" w14:textId="77777777" w:rsidR="00D92572" w:rsidRPr="00D92572" w:rsidRDefault="00D92572" w:rsidP="00D92572">
      <w:pPr>
        <w:pStyle w:val="Bibliography"/>
      </w:pPr>
      <w:r w:rsidRPr="00D92572">
        <w:t xml:space="preserve">Freifeld AG, Bow EJ, Sepkowitz KA, Boeckh MJ, Ito JI, Mullen CA, Raad II, Rolston KV, Young J-AH and Wingard JR (2011) ‘Clinical Practice Guideline for the Use of Antimicrobial Agents in Neutropenic Patients with Cancer: 2010 Update by the Infectious Diseases Society of America’, </w:t>
      </w:r>
      <w:r w:rsidRPr="00D92572">
        <w:rPr>
          <w:i/>
          <w:iCs/>
        </w:rPr>
        <w:t>Clinical Infectious Diseases</w:t>
      </w:r>
      <w:r w:rsidRPr="00D92572">
        <w:t>, 52(4):e56–e93, doi:10.1093/cid/cir073.</w:t>
      </w:r>
    </w:p>
    <w:p w14:paraId="71D53EE7" w14:textId="77777777" w:rsidR="00D92572" w:rsidRPr="00D92572" w:rsidRDefault="00D92572" w:rsidP="00D92572">
      <w:pPr>
        <w:pStyle w:val="Bibliography"/>
      </w:pPr>
      <w:r w:rsidRPr="00D92572">
        <w:t xml:space="preserve">Glaudemans AWJM, Jutte PC, Cataldo MA, Cassar-Pullicino V, Gheysens O, Borens O, Trampuz A, Wörtler K, Petrosillo N, Winkler H, Signore A and Sconfienza LM (2019) ‘Consensus document for the diagnosis of peripheral bone infection in adults: a joint paper by the EANM, EBJIS, and ESR (with ESCMID endorsement)’, </w:t>
      </w:r>
      <w:r w:rsidRPr="00D92572">
        <w:rPr>
          <w:i/>
          <w:iCs/>
        </w:rPr>
        <w:t>European Journal of Nuclear Medicine and Molecular Imaging</w:t>
      </w:r>
      <w:r w:rsidRPr="00D92572">
        <w:t>, 46(4):957–970, doi:10.1007/s00259-019-4262-x.</w:t>
      </w:r>
    </w:p>
    <w:p w14:paraId="1CDB0F38" w14:textId="77777777" w:rsidR="00D92572" w:rsidRPr="00D92572" w:rsidRDefault="00D92572" w:rsidP="00D92572">
      <w:pPr>
        <w:pStyle w:val="Bibliography"/>
      </w:pPr>
      <w:r w:rsidRPr="00D92572">
        <w:t xml:space="preserve">Habib G, Lancellotti P, Antunes MJ, Bongiorni MG, Casalta J-P, Del Zotti F, Dulgheru R, El Khoury G, Erba PA, Iung B, Miro JM, Mulder BJ, Plonska-Gosciniak E, Price S, Roos-Hesselink J, Snygg-Martin U, Thuny F, Tornos Mas P, Vilacosta I and Zamorano JL (2015) ‘2015 ESC Guidelines for the management of infective endocarditis: The Task Force for the Management of Infective Endocarditis of the European Society of Cardiology (ESC)Endorsed by: European Association for Cardio-Thoracic Surgery (EACTS), the European Association of Nuclear Medicine (EANM)’, </w:t>
      </w:r>
      <w:r w:rsidRPr="00D92572">
        <w:rPr>
          <w:i/>
          <w:iCs/>
        </w:rPr>
        <w:t>European Heart Journal</w:t>
      </w:r>
      <w:r w:rsidRPr="00D92572">
        <w:t>, 36(44):3075–3128, doi:10.1093/eurheartj/ehv319.</w:t>
      </w:r>
    </w:p>
    <w:p w14:paraId="1AE38F05" w14:textId="77777777" w:rsidR="00D92572" w:rsidRPr="00D92572" w:rsidRDefault="00D92572" w:rsidP="00D92572">
      <w:pPr>
        <w:pStyle w:val="Bibliography"/>
      </w:pPr>
      <w:r w:rsidRPr="00D92572">
        <w:t xml:space="preserve">Haidar G and Singh N (2022) ‘Fever of Unknown Origin’, </w:t>
      </w:r>
      <w:r w:rsidRPr="00D92572">
        <w:rPr>
          <w:i/>
          <w:iCs/>
        </w:rPr>
        <w:t>New England Journal of Medicine</w:t>
      </w:r>
      <w:r w:rsidRPr="00D92572">
        <w:t>, 386(5):463–477, doi:10.1056/NEJMra2111003.</w:t>
      </w:r>
    </w:p>
    <w:p w14:paraId="26F264B8" w14:textId="77777777" w:rsidR="00D92572" w:rsidRPr="00D92572" w:rsidRDefault="00D92572" w:rsidP="00D92572">
      <w:pPr>
        <w:pStyle w:val="Bibliography"/>
      </w:pPr>
      <w:r w:rsidRPr="00D92572">
        <w:t xml:space="preserve">Hess S, Noriega-Álvarez E, Leccisotti L, Treglia G, Albano D, Roivainen A, Glaudemans AWJM and Gheysens O (2024) ‘EANM consensus document on the use of [18F]FDG PET/CT in fever and inflammation of </w:t>
      </w:r>
      <w:r w:rsidRPr="00D92572">
        <w:lastRenderedPageBreak/>
        <w:t xml:space="preserve">unknown origin’, </w:t>
      </w:r>
      <w:r w:rsidRPr="00D92572">
        <w:rPr>
          <w:i/>
          <w:iCs/>
        </w:rPr>
        <w:t>European Journal of Nuclear Medicine and Molecular Imaging</w:t>
      </w:r>
      <w:r w:rsidRPr="00D92572">
        <w:t>, 51(9):2597–2613, doi:10.1007/s00259-024-06732-8.</w:t>
      </w:r>
    </w:p>
    <w:p w14:paraId="3C0EBFA2" w14:textId="77777777" w:rsidR="00D92572" w:rsidRPr="00D92572" w:rsidRDefault="00D92572" w:rsidP="00D92572">
      <w:pPr>
        <w:pStyle w:val="Bibliography"/>
      </w:pPr>
      <w:r w:rsidRPr="00D92572">
        <w:t xml:space="preserve">Iliadis AD and Ramachandran M (2017) ‘Paediatric bone and joint infection’, </w:t>
      </w:r>
      <w:r w:rsidRPr="00D92572">
        <w:rPr>
          <w:i/>
          <w:iCs/>
        </w:rPr>
        <w:t>EFORT Open Reviews</w:t>
      </w:r>
      <w:r w:rsidRPr="00D92572">
        <w:t>, 2(1):7–12, doi:10.1302/2058-5241.2.160027.</w:t>
      </w:r>
    </w:p>
    <w:p w14:paraId="1CDA8D0F" w14:textId="77777777" w:rsidR="00D92572" w:rsidRPr="00D92572" w:rsidRDefault="00D92572" w:rsidP="00D92572">
      <w:pPr>
        <w:pStyle w:val="Bibliography"/>
      </w:pPr>
      <w:r w:rsidRPr="00D92572">
        <w:t>Kouijzer IJE, Kampschreur LM, Wever PC, Hoekstra C, Van Kasteren MEE, De Jager-Leclercq MGL, Nabuurs-Franssen MH, Wegdam-Blans MCA, Ammerlaan HSM, Buijs J, Geus-Oei L-FD, Oyen WJG and Bleeker-Rovers CP (2018) ‘The Value of</w:t>
      </w:r>
      <w:r w:rsidRPr="00D92572">
        <w:rPr>
          <w:vertAlign w:val="superscript"/>
        </w:rPr>
        <w:t>18</w:t>
      </w:r>
      <w:r w:rsidRPr="00D92572">
        <w:t xml:space="preserve"> F-FDG PET/CT in Diagnosis and During Follow-up in 273 Patients with Chronic Q Fever’, </w:t>
      </w:r>
      <w:r w:rsidRPr="00D92572">
        <w:rPr>
          <w:i/>
          <w:iCs/>
        </w:rPr>
        <w:t>Journal of Nuclear Medicine</w:t>
      </w:r>
      <w:r w:rsidRPr="00D92572">
        <w:t>, 59(1):127–133, doi:10.2967/jnumed.117.192492.</w:t>
      </w:r>
    </w:p>
    <w:p w14:paraId="07623ED0" w14:textId="77777777" w:rsidR="00D92572" w:rsidRPr="00D92572" w:rsidRDefault="00D92572" w:rsidP="00D92572">
      <w:pPr>
        <w:pStyle w:val="Bibliography"/>
      </w:pPr>
      <w:r w:rsidRPr="00D92572">
        <w:t xml:space="preserve">Laur O, Schonberger A, Gunio D, Minkowitz S, Salama G, Burke CJ and Bartolotta RJ (2024) ‘Imaging assessment of spine infection’, </w:t>
      </w:r>
      <w:r w:rsidRPr="00D92572">
        <w:rPr>
          <w:i/>
          <w:iCs/>
        </w:rPr>
        <w:t>Skeletal Radiology</w:t>
      </w:r>
      <w:r w:rsidRPr="00D92572">
        <w:t>, 53(10):2067–2079, doi:10.1007/s00256-023-04558-3.</w:t>
      </w:r>
    </w:p>
    <w:p w14:paraId="5F10542E" w14:textId="77777777" w:rsidR="00D92572" w:rsidRPr="00D92572" w:rsidRDefault="00D92572" w:rsidP="00D92572">
      <w:pPr>
        <w:pStyle w:val="Bibliography"/>
      </w:pPr>
      <w:r w:rsidRPr="00D92572">
        <w:t xml:space="preserve">Lazzeri E, Bozzao A, Cataldo MA, Petrosillo N, Manfrè L, Trampuz A, Signore A and Muto M (2019) ‘Joint EANM/ESNR and ESCMID-endorsed consensus document for the diagnosis of spine infection (spondylodiscitis) in adults’, </w:t>
      </w:r>
      <w:r w:rsidRPr="00D92572">
        <w:rPr>
          <w:i/>
          <w:iCs/>
        </w:rPr>
        <w:t>European Journal of Nuclear Medicine and Molecular Imaging</w:t>
      </w:r>
      <w:r w:rsidRPr="00D92572">
        <w:t>, 46(12):2464–2487, doi:10.1007/s00259-019-04393-6.</w:t>
      </w:r>
    </w:p>
    <w:p w14:paraId="107A3F68" w14:textId="77777777" w:rsidR="00D92572" w:rsidRPr="00D92572" w:rsidRDefault="00D92572" w:rsidP="00D92572">
      <w:pPr>
        <w:pStyle w:val="Bibliography"/>
      </w:pPr>
      <w:r w:rsidRPr="00D92572">
        <w:t xml:space="preserve">Llewellyn A, Jones-Diette J, Kraft J, Holton C, Harden M and Simmonds M (2019) ‘Imaging tests for the detection of osteomyelitis: a systematic review’, </w:t>
      </w:r>
      <w:r w:rsidRPr="00D92572">
        <w:rPr>
          <w:i/>
          <w:iCs/>
        </w:rPr>
        <w:t>Health Technology Assessment</w:t>
      </w:r>
      <w:r w:rsidRPr="00D92572">
        <w:t>, 23(61):1–128, doi:10.3310/hta23610.</w:t>
      </w:r>
    </w:p>
    <w:p w14:paraId="3CDF3254" w14:textId="77777777" w:rsidR="00D92572" w:rsidRPr="00D92572" w:rsidRDefault="00D92572" w:rsidP="00D92572">
      <w:pPr>
        <w:pStyle w:val="Bibliography"/>
      </w:pPr>
      <w:r w:rsidRPr="00D92572">
        <w:t xml:space="preserve">Muharremi E, Demiraj F, Babici D, Shaban A, Kutuk T and Nath S (2025) ‘Acute Spinal Infections: A Modern Narrative Review With Evidence Through 2024’, </w:t>
      </w:r>
      <w:r w:rsidRPr="00D92572">
        <w:rPr>
          <w:i/>
          <w:iCs/>
        </w:rPr>
        <w:t>Clinical Infection and Immunity</w:t>
      </w:r>
      <w:r w:rsidRPr="00D92572">
        <w:t>, 10(3):41–50, doi:10.14740/cii509.</w:t>
      </w:r>
    </w:p>
    <w:p w14:paraId="57102E3C" w14:textId="5729597E" w:rsidR="00865E4E" w:rsidRDefault="004C7408" w:rsidP="00D92572">
      <w:pPr>
        <w:pStyle w:val="Bibliography"/>
      </w:pPr>
      <w:r w:rsidRPr="004C7408">
        <w:t>Orange JS, Chinen J, Horner CC, Kobrynski LJ, Ballow M, Butte MJ, Chandrakasan S, Chinn IK, Satter LF, Freeman AF, Heimall JR, Knight V, Lawrence MG, Lehman HK, Maglione PJ, Perez EE, Risma KA, Walter JE, Abraham RS, Barmettler S, Broderick L, Chang CC, Chan AY, Chen K, Connelly J, Danziger-Isakov LA, De la Morena MT, DiGiacomo D, Dimitriades VR, Dorsey MJ, Dulek DE, Dutmer CM, Dvorak CC, Farmer JR, Frazer-Abel A, Joshi AY, Keller MD, Khan YW, Kitcharoensakkul M, Leiding JW, Myers KC, Nandakumar V, Platt CD, Pai SY, Patel NC, Pozos TC, Puck JM, Rider NL, Sacco KA, Williams KW, Lieberman JA, Rank MA, Shaker MS, Abrams EM, Bernstein JA, Chu DK, Ellis AK, Golden DBK, Greenhawt M, Ledford DK, Mosnaim G, Wang J</w:t>
      </w:r>
      <w:r w:rsidR="00F70D95">
        <w:t xml:space="preserve"> (</w:t>
      </w:r>
      <w:r w:rsidRPr="004C7408">
        <w:t>202</w:t>
      </w:r>
      <w:r w:rsidR="00A020F8">
        <w:t>6</w:t>
      </w:r>
      <w:r w:rsidR="00F70D95">
        <w:t>)</w:t>
      </w:r>
      <w:r w:rsidRPr="004C7408">
        <w:t xml:space="preserve"> </w:t>
      </w:r>
      <w:r w:rsidR="00F70D95">
        <w:t>‘</w:t>
      </w:r>
      <w:r w:rsidR="00A020F8">
        <w:t xml:space="preserve">2025 </w:t>
      </w:r>
      <w:r w:rsidRPr="004C7408">
        <w:t>Inborn errors of immunity practice parameter: Guidance from the Joint Task Force on Practice Parameters, the American Academy of Allergy, Asthma &amp; Immunology (AAAAI), the American College of Allergy, Asthma and Immunology (ACAAI) and the Clinical Immunology Society (CIS)</w:t>
      </w:r>
      <w:r w:rsidR="007C7C9E">
        <w:t>’,</w:t>
      </w:r>
      <w:r w:rsidRPr="004C7408">
        <w:t xml:space="preserve"> </w:t>
      </w:r>
      <w:r w:rsidRPr="001C4F81">
        <w:rPr>
          <w:i/>
          <w:iCs/>
        </w:rPr>
        <w:t>Ann</w:t>
      </w:r>
      <w:r w:rsidR="009818D8">
        <w:rPr>
          <w:i/>
          <w:iCs/>
        </w:rPr>
        <w:t>als of</w:t>
      </w:r>
      <w:r w:rsidRPr="001C4F81">
        <w:rPr>
          <w:i/>
          <w:iCs/>
        </w:rPr>
        <w:t xml:space="preserve"> Allergy</w:t>
      </w:r>
      <w:r w:rsidR="009818D8">
        <w:rPr>
          <w:i/>
          <w:iCs/>
        </w:rPr>
        <w:t>,</w:t>
      </w:r>
      <w:r w:rsidRPr="001C4F81">
        <w:rPr>
          <w:i/>
          <w:iCs/>
        </w:rPr>
        <w:t xml:space="preserve"> Asthma </w:t>
      </w:r>
      <w:r w:rsidR="009818D8">
        <w:rPr>
          <w:i/>
          <w:iCs/>
        </w:rPr>
        <w:t xml:space="preserve">and </w:t>
      </w:r>
      <w:r w:rsidRPr="001C4F81">
        <w:rPr>
          <w:i/>
          <w:iCs/>
        </w:rPr>
        <w:t>Immunol</w:t>
      </w:r>
      <w:r w:rsidR="009818D8">
        <w:rPr>
          <w:i/>
          <w:iCs/>
        </w:rPr>
        <w:t>ogy,</w:t>
      </w:r>
      <w:r w:rsidRPr="004C7408">
        <w:t xml:space="preserve"> 136(4):426-493</w:t>
      </w:r>
      <w:r w:rsidR="00C30A36">
        <w:t>,</w:t>
      </w:r>
      <w:r w:rsidRPr="004C7408">
        <w:t xml:space="preserve"> doi: 10.1016/j.anai.2025.10.026. </w:t>
      </w:r>
    </w:p>
    <w:p w14:paraId="599A872C" w14:textId="22DB6DCE" w:rsidR="00D92572" w:rsidRPr="00D92572" w:rsidRDefault="00D92572" w:rsidP="00D92572">
      <w:pPr>
        <w:pStyle w:val="Bibliography"/>
      </w:pPr>
      <w:r w:rsidRPr="00D92572">
        <w:t xml:space="preserve">Oztek MA, Shulkin BL and Parisi MT (2026) ‘Pediatric infection imaging focusing on FDG PET/CT: Techniques, safety, and indications’, </w:t>
      </w:r>
      <w:r w:rsidRPr="00D92572">
        <w:rPr>
          <w:i/>
          <w:iCs/>
        </w:rPr>
        <w:t>Seminars in Nuclear Medicine</w:t>
      </w:r>
      <w:r w:rsidRPr="00D92572">
        <w:t>, 56(3):511–527, doi:10.1053/j.semnuclmed.2026.03.011.</w:t>
      </w:r>
    </w:p>
    <w:p w14:paraId="184087D7" w14:textId="77777777" w:rsidR="00D92572" w:rsidRPr="00D92572" w:rsidRDefault="00D92572" w:rsidP="00D92572">
      <w:pPr>
        <w:pStyle w:val="Bibliography"/>
      </w:pPr>
      <w:r w:rsidRPr="00D92572">
        <w:t xml:space="preserve">Rath S, Firdaus S, Nayak G and Mohanty M (2025) ‘Extrapulmonary Nontuberculous Mycobacteria Infection: The New-Age Neglected Infectious Disease’, </w:t>
      </w:r>
      <w:r w:rsidRPr="00D92572">
        <w:rPr>
          <w:i/>
          <w:iCs/>
        </w:rPr>
        <w:t>Cureus</w:t>
      </w:r>
      <w:r w:rsidRPr="00D92572">
        <w:t>, doi:10.7759/cureus.81017.</w:t>
      </w:r>
    </w:p>
    <w:p w14:paraId="7EA8094F" w14:textId="77777777" w:rsidR="00D92572" w:rsidRPr="00D92572" w:rsidRDefault="00D92572" w:rsidP="00D92572">
      <w:pPr>
        <w:pStyle w:val="Bibliography"/>
      </w:pPr>
      <w:r w:rsidRPr="00D92572">
        <w:t xml:space="preserve">Signore A, Jamar F, Israel O, Buscombe J, Martin-Comin J and Lazzeri E (2018) ‘Clinical indications, image acquisition and data interpretation for white blood cells and anti-granulocyte monoclonal antibody scintigraphy: an EANM procedural guideline’, </w:t>
      </w:r>
      <w:r w:rsidRPr="00D92572">
        <w:rPr>
          <w:i/>
          <w:iCs/>
        </w:rPr>
        <w:t>European Journal of Nuclear Medicine and Molecular Imaging</w:t>
      </w:r>
      <w:r w:rsidRPr="00D92572">
        <w:t>, 45(10):1816–1831, doi:10.1007/s00259-018-4052-x.</w:t>
      </w:r>
    </w:p>
    <w:p w14:paraId="0F7A2379" w14:textId="77777777" w:rsidR="00D92572" w:rsidRPr="00D92572" w:rsidRDefault="00D92572" w:rsidP="00D92572">
      <w:pPr>
        <w:pStyle w:val="Bibliography"/>
      </w:pPr>
      <w:r w:rsidRPr="00D92572">
        <w:t xml:space="preserve">Signore A, Sconfienza LM, Borens O, Glaudemans AWJM, Cassar-Pullicino V, Trampuz A, Winkler H, Gheysens O, Vanhoenacker FMHM, Petrosillo N and Jutte PC (2019) ‘Consensus document for the </w:t>
      </w:r>
      <w:r w:rsidRPr="00D92572">
        <w:lastRenderedPageBreak/>
        <w:t xml:space="preserve">diagnosis of prosthetic joint infections: a joint paper by the EANM, EBJIS, and ESR (with ESCMID endorsement)’, </w:t>
      </w:r>
      <w:r w:rsidRPr="00D92572">
        <w:rPr>
          <w:i/>
          <w:iCs/>
        </w:rPr>
        <w:t>European Journal of Nuclear Medicine and Molecular Imaging</w:t>
      </w:r>
      <w:r w:rsidRPr="00D92572">
        <w:t>, 46(4):971–988, doi:10.1007/s00259-019-4263-9.</w:t>
      </w:r>
    </w:p>
    <w:p w14:paraId="5BAF9187" w14:textId="5164291E" w:rsidR="00D92572" w:rsidRPr="00D92572" w:rsidRDefault="00D92572" w:rsidP="00D92572">
      <w:pPr>
        <w:pStyle w:val="Bibliography"/>
      </w:pPr>
      <w:r w:rsidRPr="00D92572">
        <w:t>Tew M, Douglas AP, Szer J, Bajel A, Harrison SJ, Tio SY, Worth LJ, Hicks RJ, Ritchie D, Slavin MA, Thursky KA and Dalziel K (2023) ‘Evaluating the cost-effectiveness of [18F]</w:t>
      </w:r>
      <w:r w:rsidR="00700F8D">
        <w:t xml:space="preserve"> </w:t>
      </w:r>
      <w:r w:rsidRPr="00D92572">
        <w:t xml:space="preserve">FDG-PET/CT for investigation of persistent or recurrent neutropenic fever in high-risk haematology patients’, </w:t>
      </w:r>
      <w:r w:rsidRPr="00D92572">
        <w:rPr>
          <w:i/>
          <w:iCs/>
        </w:rPr>
        <w:t>Cancer Imaging</w:t>
      </w:r>
      <w:r w:rsidRPr="00D92572">
        <w:t>, 23(1):119, doi:10.1186/s40644-023-00647-7.</w:t>
      </w:r>
    </w:p>
    <w:p w14:paraId="796EC733" w14:textId="77777777" w:rsidR="00D92572" w:rsidRPr="00D92572" w:rsidRDefault="00D92572" w:rsidP="00D92572">
      <w:pPr>
        <w:pStyle w:val="Bibliography"/>
      </w:pPr>
      <w:r w:rsidRPr="00D92572">
        <w:t>Treglia G (2019) ‘Diagnostic Performance of</w:t>
      </w:r>
      <w:r w:rsidRPr="00D92572">
        <w:rPr>
          <w:vertAlign w:val="superscript"/>
        </w:rPr>
        <w:t>18</w:t>
      </w:r>
      <w:r w:rsidRPr="00D92572">
        <w:t xml:space="preserve"> F-FDG PET/CT in Infectious and Inflammatory Diseases according to Published Meta-Analyses’, </w:t>
      </w:r>
      <w:r w:rsidRPr="00D92572">
        <w:rPr>
          <w:i/>
          <w:iCs/>
        </w:rPr>
        <w:t>Contrast Media &amp; Molecular Imaging</w:t>
      </w:r>
      <w:r w:rsidRPr="00D92572">
        <w:t>, 2019:1–12, doi:10.1155/2019/3018349.</w:t>
      </w:r>
    </w:p>
    <w:p w14:paraId="29DCE398" w14:textId="77777777" w:rsidR="00D92572" w:rsidRPr="00D92572" w:rsidRDefault="00D92572" w:rsidP="00D92572">
      <w:pPr>
        <w:pStyle w:val="Bibliography"/>
      </w:pPr>
      <w:r w:rsidRPr="00D92572">
        <w:t>Vos FJ, Bleeker-Rovers CP, Sturm PD, Krabbe PFM, Van Dijk APJ, Cuijpers MLH, Adang EMM, Wanten GJA, Kullberg B-J and Oyen WJG (2010) ‘</w:t>
      </w:r>
      <w:r w:rsidRPr="00D92572">
        <w:rPr>
          <w:vertAlign w:val="superscript"/>
        </w:rPr>
        <w:t>18</w:t>
      </w:r>
      <w:r w:rsidRPr="00D92572">
        <w:t xml:space="preserve"> F-FDG PET/CT for Detection of Metastatic Infection in Gram-Positive Bacteremia’, </w:t>
      </w:r>
      <w:r w:rsidRPr="00D92572">
        <w:rPr>
          <w:i/>
          <w:iCs/>
        </w:rPr>
        <w:t>Journal of Nuclear Medicine</w:t>
      </w:r>
      <w:r w:rsidRPr="00D92572">
        <w:t>, 51(8):1234–1240, doi:10.2967/jnumed.109.072371.</w:t>
      </w:r>
    </w:p>
    <w:p w14:paraId="1A13FFA2" w14:textId="77777777" w:rsidR="00D92572" w:rsidRPr="00D92572" w:rsidRDefault="00D92572" w:rsidP="00D92572">
      <w:pPr>
        <w:pStyle w:val="Bibliography"/>
      </w:pPr>
      <w:r w:rsidRPr="00D92572">
        <w:t xml:space="preserve">Yin P, Sherwood A, Castellino LM, Crisologo PA, Israel O, Öz OK and Abikhzer G (2026) ‘Imaging trends in diabetic foot infections’, </w:t>
      </w:r>
      <w:r w:rsidRPr="00D92572">
        <w:rPr>
          <w:i/>
          <w:iCs/>
        </w:rPr>
        <w:t>Seminars in Nuclear Medicine</w:t>
      </w:r>
      <w:r w:rsidRPr="00D92572">
        <w:t>, 56(3):430–441, doi:10.1053/j.semnuclmed.2026.03.012.</w:t>
      </w:r>
    </w:p>
    <w:p w14:paraId="400C944C" w14:textId="79932586" w:rsidR="00786FA1" w:rsidRPr="00E01349" w:rsidRDefault="00786FA1" w:rsidP="00786FA1"/>
    <w:p w14:paraId="3923ED2A" w14:textId="653B53FB" w:rsidR="005A0C40" w:rsidRPr="00E01349" w:rsidRDefault="005A0C40" w:rsidP="00D64DED">
      <w:pPr>
        <w:pStyle w:val="Instructionaltext"/>
      </w:pPr>
    </w:p>
    <w:sectPr w:rsidR="005A0C40" w:rsidRPr="00E01349" w:rsidSect="001F0C55">
      <w:pgSz w:w="11906" w:h="16838"/>
      <w:pgMar w:top="682" w:right="1134" w:bottom="1021" w:left="119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65D95" w14:textId="77777777" w:rsidR="005523EB" w:rsidRDefault="005523EB" w:rsidP="0016315C">
      <w:pPr>
        <w:spacing w:after="0" w:line="240" w:lineRule="auto"/>
      </w:pPr>
      <w:r>
        <w:separator/>
      </w:r>
    </w:p>
  </w:endnote>
  <w:endnote w:type="continuationSeparator" w:id="0">
    <w:p w14:paraId="3D716C64" w14:textId="77777777" w:rsidR="005523EB" w:rsidRDefault="005523EB" w:rsidP="0016315C">
      <w:pPr>
        <w:spacing w:after="0" w:line="240" w:lineRule="auto"/>
      </w:pPr>
      <w:r>
        <w:continuationSeparator/>
      </w:r>
    </w:p>
  </w:endnote>
  <w:endnote w:type="continuationNotice" w:id="1">
    <w:p w14:paraId="219EB13F" w14:textId="77777777" w:rsidR="005523EB" w:rsidRDefault="005523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OpenSans-Regular">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D3D2" w14:textId="66B7E31F" w:rsidR="00685355" w:rsidRDefault="0089396B">
    <w:pPr>
      <w:pStyle w:val="Footer"/>
      <w:framePr w:wrap="none" w:vAnchor="text" w:hAnchor="margin" w:xAlign="right" w:y="1"/>
      <w:rPr>
        <w:rStyle w:val="PageNumber"/>
      </w:rPr>
    </w:pPr>
    <w:r>
      <w:rPr>
        <w:noProof/>
      </w:rPr>
      <mc:AlternateContent>
        <mc:Choice Requires="wps">
          <w:drawing>
            <wp:anchor distT="0" distB="0" distL="0" distR="0" simplePos="0" relativeHeight="251668484" behindDoc="0" locked="0" layoutInCell="1" allowOverlap="1" wp14:anchorId="379104CA" wp14:editId="46EC7C8D">
              <wp:simplePos x="635" y="635"/>
              <wp:positionH relativeFrom="page">
                <wp:align>center</wp:align>
              </wp:positionH>
              <wp:positionV relativeFrom="page">
                <wp:align>bottom</wp:align>
              </wp:positionV>
              <wp:extent cx="622300" cy="404495"/>
              <wp:effectExtent l="0" t="0" r="6350" b="0"/>
              <wp:wrapNone/>
              <wp:docPr id="499420624"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9A60BDD" w14:textId="4221C1DA" w:rsidR="0089396B" w:rsidRPr="0089396B" w:rsidRDefault="0089396B" w:rsidP="0089396B">
                          <w:pPr>
                            <w:spacing w:after="0"/>
                            <w:rPr>
                              <w:rFonts w:ascii="Aptos" w:eastAsia="Aptos" w:hAnsi="Aptos" w:cs="Aptos"/>
                              <w:noProof/>
                              <w:color w:val="FF0000"/>
                              <w:sz w:val="24"/>
                              <w:szCs w:val="24"/>
                            </w:rPr>
                          </w:pPr>
                          <w:r w:rsidRPr="0089396B">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9104CA" id="_x0000_t202" coordsize="21600,21600" o:spt="202" path="m,l,21600r21600,l21600,xe">
              <v:stroke joinstyle="miter"/>
              <v:path gradientshapeok="t" o:connecttype="rect"/>
            </v:shapetype>
            <v:shape id="Text Box 9" o:spid="_x0000_s1027" type="#_x0000_t202" alt="OFFICIAL" style="position:absolute;margin-left:0;margin-top:0;width:49pt;height:31.85pt;z-index:2516684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v88lUAwCAAAcBAAA&#10;DgAAAAAAAAAAAAAAAAAuAgAAZHJzL2Uyb0RvYy54bWxQSwECLQAUAAYACAAAACEAVqe4ytoAAAAD&#10;AQAADwAAAAAAAAAAAAAAAABmBAAAZHJzL2Rvd25yZXYueG1sUEsFBgAAAAAEAAQA8wAAAG0FAAAA&#10;AA==&#10;" filled="f" stroked="f">
              <v:fill o:detectmouseclick="t"/>
              <v:textbox style="mso-fit-shape-to-text:t" inset="0,0,0,15pt">
                <w:txbxContent>
                  <w:p w14:paraId="09A60BDD" w14:textId="4221C1DA" w:rsidR="0089396B" w:rsidRPr="0089396B" w:rsidRDefault="0089396B" w:rsidP="0089396B">
                    <w:pPr>
                      <w:spacing w:after="0"/>
                      <w:rPr>
                        <w:rFonts w:ascii="Aptos" w:eastAsia="Aptos" w:hAnsi="Aptos" w:cs="Aptos"/>
                        <w:noProof/>
                        <w:color w:val="FF0000"/>
                        <w:sz w:val="24"/>
                        <w:szCs w:val="24"/>
                      </w:rPr>
                    </w:pPr>
                    <w:r w:rsidRPr="0089396B">
                      <w:rPr>
                        <w:rFonts w:ascii="Aptos" w:eastAsia="Aptos" w:hAnsi="Aptos" w:cs="Aptos"/>
                        <w:noProof/>
                        <w:color w:val="FF0000"/>
                        <w:sz w:val="24"/>
                        <w:szCs w:val="24"/>
                      </w:rPr>
                      <w:t>OFFICIAL</w:t>
                    </w:r>
                  </w:p>
                </w:txbxContent>
              </v:textbox>
              <w10:wrap anchorx="page" anchory="page"/>
            </v:shape>
          </w:pict>
        </mc:Fallback>
      </mc:AlternateContent>
    </w:r>
    <w:r w:rsidR="00685355">
      <w:rPr>
        <w:rStyle w:val="PageNumber"/>
      </w:rPr>
      <w:fldChar w:fldCharType="begin"/>
    </w:r>
    <w:r w:rsidR="00685355">
      <w:rPr>
        <w:rStyle w:val="PageNumber"/>
      </w:rPr>
      <w:instrText xml:space="preserve"> PAGE </w:instrText>
    </w:r>
    <w:r w:rsidR="00685355">
      <w:rPr>
        <w:rStyle w:val="PageNumber"/>
      </w:rPr>
      <w:fldChar w:fldCharType="separate"/>
    </w:r>
    <w:r w:rsidR="003A1E02">
      <w:rPr>
        <w:rStyle w:val="PageNumber"/>
        <w:noProof/>
      </w:rPr>
      <w:t>1</w:t>
    </w:r>
    <w:r w:rsidR="00685355">
      <w:rPr>
        <w:rStyle w:val="PageNumber"/>
      </w:rPr>
      <w:fldChar w:fldCharType="end"/>
    </w:r>
  </w:p>
  <w:p w14:paraId="74E72C2D" w14:textId="77777777" w:rsidR="00685355" w:rsidRDefault="00685355" w:rsidP="0068535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ECA8" w14:textId="6D8FECAA" w:rsidR="0015018B" w:rsidRPr="009B57D9" w:rsidRDefault="0015018B" w:rsidP="0015018B">
    <w:pPr>
      <w:spacing w:after="0"/>
      <w:contextualSpacing/>
      <w:jc w:val="center"/>
      <w:rPr>
        <w:sz w:val="18"/>
        <w:szCs w:val="18"/>
      </w:rPr>
    </w:pPr>
  </w:p>
  <w:p w14:paraId="3B4966E4" w14:textId="6959DF2F" w:rsidR="0015018B" w:rsidRDefault="005523EB" w:rsidP="001F0C55">
    <w:pPr>
      <w:pStyle w:val="Footer"/>
      <w:framePr w:wrap="none" w:vAnchor="page" w:hAnchor="page" w:x="10666" w:y="15301"/>
      <w:rPr>
        <w:rStyle w:val="PageNumber"/>
      </w:rPr>
    </w:pPr>
    <w:sdt>
      <w:sdtPr>
        <w:rPr>
          <w:rStyle w:val="PageNumber"/>
        </w:rPr>
        <w:id w:val="-2093382827"/>
        <w:docPartObj>
          <w:docPartGallery w:val="Page Numbers (Bottom of Page)"/>
          <w:docPartUnique/>
        </w:docPartObj>
      </w:sdtPr>
      <w:sdtEndPr>
        <w:rPr>
          <w:rStyle w:val="PageNumber"/>
        </w:rPr>
      </w:sdtEndPr>
      <w:sdtContent>
        <w:r w:rsidR="0015018B">
          <w:rPr>
            <w:rStyle w:val="PageNumber"/>
          </w:rPr>
          <w:fldChar w:fldCharType="begin"/>
        </w:r>
        <w:r w:rsidR="0015018B">
          <w:rPr>
            <w:rStyle w:val="PageNumber"/>
          </w:rPr>
          <w:instrText xml:space="preserve"> PAGE </w:instrText>
        </w:r>
        <w:r w:rsidR="0015018B">
          <w:rPr>
            <w:rStyle w:val="PageNumber"/>
          </w:rPr>
          <w:fldChar w:fldCharType="separate"/>
        </w:r>
        <w:r w:rsidR="0015018B">
          <w:rPr>
            <w:rStyle w:val="PageNumber"/>
            <w:noProof/>
          </w:rPr>
          <w:t>1</w:t>
        </w:r>
        <w:r w:rsidR="0015018B">
          <w:rPr>
            <w:rStyle w:val="PageNumber"/>
          </w:rPr>
          <w:fldChar w:fldCharType="end"/>
        </w:r>
      </w:sdtContent>
    </w:sdt>
  </w:p>
  <w:p w14:paraId="33649654" w14:textId="775FC0E4" w:rsidR="0016315C" w:rsidRPr="00685355" w:rsidRDefault="0060371E" w:rsidP="001F0C55">
    <w:pPr>
      <w:jc w:val="center"/>
    </w:pPr>
    <w:r>
      <w:t xml:space="preserve">Ratified </w:t>
    </w:r>
    <w:r w:rsidR="60009B8A">
      <w:t xml:space="preserve">PICO Confirmation – </w:t>
    </w:r>
    <w:r w:rsidR="00696557" w:rsidRPr="00696557">
      <w:t>August 2026</w:t>
    </w:r>
    <w:r w:rsidR="60009B8A" w:rsidRPr="00696557">
      <w:t xml:space="preserve"> PASC Meeting</w:t>
    </w:r>
    <w:r w:rsidR="00BB0FFB">
      <w:br/>
    </w:r>
    <w:r w:rsidR="60009B8A">
      <w:t xml:space="preserve">Application </w:t>
    </w:r>
    <w:r w:rsidR="00696557">
      <w:t>1822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34D21" w14:textId="13E3336D" w:rsidR="009A4FFB" w:rsidRDefault="0089396B">
    <w:pPr>
      <w:pStyle w:val="Footer"/>
    </w:pPr>
    <w:r>
      <w:rPr>
        <w:noProof/>
      </w:rPr>
      <mc:AlternateContent>
        <mc:Choice Requires="wps">
          <w:drawing>
            <wp:anchor distT="0" distB="0" distL="0" distR="0" simplePos="0" relativeHeight="251667460" behindDoc="0" locked="0" layoutInCell="1" allowOverlap="1" wp14:anchorId="0E38A9C7" wp14:editId="3ADACCE4">
              <wp:simplePos x="635" y="635"/>
              <wp:positionH relativeFrom="page">
                <wp:align>center</wp:align>
              </wp:positionH>
              <wp:positionV relativeFrom="page">
                <wp:align>bottom</wp:align>
              </wp:positionV>
              <wp:extent cx="622300" cy="404495"/>
              <wp:effectExtent l="0" t="0" r="6350" b="0"/>
              <wp:wrapNone/>
              <wp:docPr id="2093994907"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020934A" w14:textId="5CBF5985" w:rsidR="0089396B" w:rsidRPr="0089396B" w:rsidRDefault="0089396B" w:rsidP="0089396B">
                          <w:pPr>
                            <w:spacing w:after="0"/>
                            <w:rPr>
                              <w:rFonts w:ascii="Aptos" w:eastAsia="Aptos" w:hAnsi="Aptos" w:cs="Aptos"/>
                              <w:noProof/>
                              <w:color w:val="FF0000"/>
                              <w:sz w:val="24"/>
                              <w:szCs w:val="24"/>
                            </w:rPr>
                          </w:pPr>
                          <w:r w:rsidRPr="0089396B">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38A9C7" id="_x0000_t202" coordsize="21600,21600" o:spt="202" path="m,l,21600r21600,l21600,xe">
              <v:stroke joinstyle="miter"/>
              <v:path gradientshapeok="t" o:connecttype="rect"/>
            </v:shapetype>
            <v:shape id="Text Box 8" o:spid="_x0000_s1029" type="#_x0000_t202" alt="OFFICIAL" style="position:absolute;margin-left:0;margin-top:0;width:49pt;height:31.85pt;z-index:2516674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ArDgIAABwEAAAOAAAAZHJzL2Uyb0RvYy54bWysU8Fu2zAMvQ/YPwi6L3bStF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z+f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BlsUArDgIAABwE&#10;AAAOAAAAAAAAAAAAAAAAAC4CAABkcnMvZTJvRG9jLnhtbFBLAQItABQABgAIAAAAIQBWp7jK2gAA&#10;AAMBAAAPAAAAAAAAAAAAAAAAAGgEAABkcnMvZG93bnJldi54bWxQSwUGAAAAAAQABADzAAAAbwUA&#10;AAAA&#10;" filled="f" stroked="f">
              <v:fill o:detectmouseclick="t"/>
              <v:textbox style="mso-fit-shape-to-text:t" inset="0,0,0,15pt">
                <w:txbxContent>
                  <w:p w14:paraId="6020934A" w14:textId="5CBF5985" w:rsidR="0089396B" w:rsidRPr="0089396B" w:rsidRDefault="0089396B" w:rsidP="0089396B">
                    <w:pPr>
                      <w:spacing w:after="0"/>
                      <w:rPr>
                        <w:rFonts w:ascii="Aptos" w:eastAsia="Aptos" w:hAnsi="Aptos" w:cs="Aptos"/>
                        <w:noProof/>
                        <w:color w:val="FF0000"/>
                        <w:sz w:val="24"/>
                        <w:szCs w:val="24"/>
                      </w:rPr>
                    </w:pPr>
                    <w:r w:rsidRPr="0089396B">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1DCCA" w14:textId="77777777" w:rsidR="005523EB" w:rsidRDefault="005523EB" w:rsidP="0016315C">
      <w:pPr>
        <w:spacing w:after="0" w:line="240" w:lineRule="auto"/>
      </w:pPr>
      <w:r>
        <w:separator/>
      </w:r>
    </w:p>
  </w:footnote>
  <w:footnote w:type="continuationSeparator" w:id="0">
    <w:p w14:paraId="49C51F42" w14:textId="77777777" w:rsidR="005523EB" w:rsidRDefault="005523EB" w:rsidP="0016315C">
      <w:pPr>
        <w:spacing w:after="0" w:line="240" w:lineRule="auto"/>
      </w:pPr>
      <w:r>
        <w:continuationSeparator/>
      </w:r>
    </w:p>
  </w:footnote>
  <w:footnote w:type="continuationNotice" w:id="1">
    <w:p w14:paraId="685B95A1" w14:textId="77777777" w:rsidR="005523EB" w:rsidRDefault="005523EB">
      <w:pPr>
        <w:spacing w:after="0" w:line="240" w:lineRule="auto"/>
      </w:pPr>
    </w:p>
  </w:footnote>
  <w:footnote w:id="2">
    <w:p w14:paraId="774F737E" w14:textId="67910C4C" w:rsidR="00B534A0" w:rsidRDefault="00B534A0">
      <w:pPr>
        <w:pStyle w:val="FootnoteText"/>
      </w:pPr>
      <w:r>
        <w:rPr>
          <w:rStyle w:val="FootnoteReference"/>
        </w:rPr>
        <w:footnoteRef/>
      </w:r>
      <w:r>
        <w:t xml:space="preserve"> </w:t>
      </w:r>
      <w:r w:rsidR="00212235">
        <w:t xml:space="preserve">The Royal Children’s Hospital Melbourne, Clinical Practice Guidelines, </w:t>
      </w:r>
      <w:hyperlink r:id="rId1" w:tooltip="Link to the clinical practice guideline" w:history="1">
        <w:r w:rsidR="00212235" w:rsidRPr="00212235">
          <w:rPr>
            <w:rStyle w:val="Hyperlink"/>
            <w:rFonts w:ascii="Calibri" w:hAnsi="Calibri"/>
          </w:rPr>
          <w:t>Bone and Joint Infection</w:t>
        </w:r>
      </w:hyperlink>
      <w:r w:rsidR="00212235">
        <w:t>.</w:t>
      </w:r>
    </w:p>
  </w:footnote>
  <w:footnote w:id="3">
    <w:p w14:paraId="73318E9C" w14:textId="1FFB0D48" w:rsidR="002E3896" w:rsidRDefault="002E3896">
      <w:pPr>
        <w:pStyle w:val="FootnoteText"/>
      </w:pPr>
      <w:r>
        <w:rPr>
          <w:rStyle w:val="FootnoteReference"/>
        </w:rPr>
        <w:footnoteRef/>
      </w:r>
      <w:r>
        <w:t xml:space="preserve"> Advice provided by </w:t>
      </w:r>
      <w:r w:rsidR="00A56082">
        <w:t>applicant’s clinical paediatric infectious disease specialists via written response.</w:t>
      </w:r>
    </w:p>
  </w:footnote>
  <w:footnote w:id="4">
    <w:p w14:paraId="6EBD80E4" w14:textId="105025FA" w:rsidR="00A95D3C" w:rsidRDefault="00A95D3C">
      <w:pPr>
        <w:pStyle w:val="FootnoteText"/>
      </w:pPr>
      <w:r>
        <w:rPr>
          <w:rStyle w:val="FootnoteReference"/>
        </w:rPr>
        <w:footnoteRef/>
      </w:r>
      <w:r>
        <w:t xml:space="preserve"> </w:t>
      </w:r>
      <w:hyperlink r:id="rId2" w:tooltip="Link to the guideline" w:history="1">
        <w:r w:rsidR="00EC1186" w:rsidRPr="00DE5BFA">
          <w:rPr>
            <w:rStyle w:val="Hyperlink"/>
            <w:rFonts w:ascii="Calibri" w:hAnsi="Calibri"/>
          </w:rPr>
          <w:t>Staphylococcus aureus Bacteraemia (SAB) Management Clinical Guideline</w:t>
        </w:r>
      </w:hyperlink>
      <w:r w:rsidR="00DE5BFA">
        <w:t>, Version 2.0 27 February 2023, SA Health.</w:t>
      </w:r>
    </w:p>
  </w:footnote>
  <w:footnote w:id="5">
    <w:p w14:paraId="66891407" w14:textId="2A167BF8" w:rsidR="000E4610" w:rsidRDefault="000E4610" w:rsidP="00C47659">
      <w:pPr>
        <w:pStyle w:val="FootnoteText"/>
      </w:pPr>
      <w:r>
        <w:rPr>
          <w:rStyle w:val="FootnoteReference"/>
        </w:rPr>
        <w:footnoteRef/>
      </w:r>
      <w:r>
        <w:t xml:space="preserve"> NHS England, </w:t>
      </w:r>
      <w:hyperlink r:id="rId3" w:tooltip="Link to NHS England PET-CT webpage" w:history="1">
        <w:r w:rsidR="00C47659" w:rsidRPr="002A287A">
          <w:rPr>
            <w:rStyle w:val="Hyperlink"/>
            <w:rFonts w:ascii="Calibri" w:hAnsi="Calibri"/>
          </w:rPr>
          <w:t>Clinical Commissioning Policy Statement: Positron Emission Tomography-Computed Tomography (PET-CT) Guidelines (all ages)</w:t>
        </w:r>
      </w:hyperlink>
    </w:p>
  </w:footnote>
  <w:footnote w:id="6">
    <w:p w14:paraId="169180BB" w14:textId="20126D63" w:rsidR="004A569F" w:rsidRDefault="004A569F">
      <w:pPr>
        <w:pStyle w:val="FootnoteText"/>
      </w:pPr>
      <w:r>
        <w:rPr>
          <w:rStyle w:val="FootnoteReference"/>
        </w:rPr>
        <w:footnoteRef/>
      </w:r>
      <w:r>
        <w:t xml:space="preserve"> </w:t>
      </w:r>
      <w:r w:rsidR="00913D17">
        <w:t>Originally defined as failure to reach a diagnosis despite 1 week of inpatient investigations</w:t>
      </w:r>
      <w:r w:rsidR="00D13066">
        <w:t xml:space="preserve"> and subsequently shortened to 3 inpatient days or 3 outpatient visits</w:t>
      </w:r>
      <w:r w:rsidR="00EE782B">
        <w:t xml:space="preserve"> </w:t>
      </w:r>
      <w:r w:rsidR="00FB7B23" w:rsidRPr="00FB7B23">
        <w:rPr>
          <w:rFonts w:cs="Calibri"/>
        </w:rPr>
        <w:t>(Haidar and Singh 2022)</w:t>
      </w:r>
    </w:p>
  </w:footnote>
  <w:footnote w:id="7">
    <w:p w14:paraId="4E507801" w14:textId="033357CD" w:rsidR="00F3293E" w:rsidRDefault="00F3293E">
      <w:pPr>
        <w:pStyle w:val="FootnoteText"/>
      </w:pPr>
      <w:r>
        <w:rPr>
          <w:rStyle w:val="FootnoteReference"/>
        </w:rPr>
        <w:footnoteRef/>
      </w:r>
      <w:r>
        <w:t xml:space="preserve"> </w:t>
      </w:r>
      <w:hyperlink r:id="rId4" w:tooltip="Link to referral criteria for pyrexia of unknown origin" w:history="1">
        <w:r w:rsidR="00D70398" w:rsidRPr="00D70398">
          <w:rPr>
            <w:rStyle w:val="Hyperlink"/>
            <w:rFonts w:ascii="Calibri" w:hAnsi="Calibri"/>
          </w:rPr>
          <w:t>Pyrexia of unknown origin</w:t>
        </w:r>
      </w:hyperlink>
      <w:r w:rsidR="00D70398">
        <w:t>, Metro North Health, Queensland Government.</w:t>
      </w:r>
    </w:p>
  </w:footnote>
  <w:footnote w:id="8">
    <w:p w14:paraId="755E8B60" w14:textId="6A1871EE" w:rsidR="00B0352A" w:rsidRPr="00B0352A" w:rsidRDefault="00B0352A">
      <w:pPr>
        <w:pStyle w:val="FootnoteText"/>
        <w:rPr>
          <w:lang w:val="en-US"/>
        </w:rPr>
      </w:pPr>
      <w:r>
        <w:rPr>
          <w:rStyle w:val="FootnoteReference"/>
        </w:rPr>
        <w:footnoteRef/>
      </w:r>
      <w:r>
        <w:t xml:space="preserve"> </w:t>
      </w:r>
      <w:hyperlink r:id="rId5" w:tooltip="Link to the RCPA website " w:history="1">
        <w:r w:rsidR="009D6652" w:rsidRPr="0090561C">
          <w:rPr>
            <w:rStyle w:val="Hyperlink"/>
            <w:rFonts w:ascii="Calibri" w:hAnsi="Calibri"/>
            <w:lang w:val="en-US"/>
          </w:rPr>
          <w:t>Pyrexia of unknown origin</w:t>
        </w:r>
      </w:hyperlink>
      <w:r w:rsidR="009D6652">
        <w:rPr>
          <w:lang w:val="en-US"/>
        </w:rPr>
        <w:t xml:space="preserve">, </w:t>
      </w:r>
      <w:r w:rsidR="0090561C" w:rsidRPr="0090561C">
        <w:rPr>
          <w:lang w:val="en-US"/>
        </w:rPr>
        <w:t>Royal College of Pathologists of Australasia</w:t>
      </w:r>
    </w:p>
  </w:footnote>
  <w:footnote w:id="9">
    <w:p w14:paraId="68177C16" w14:textId="74EE7F10" w:rsidR="0050454D" w:rsidRDefault="0050454D">
      <w:pPr>
        <w:pStyle w:val="FootnoteText"/>
      </w:pPr>
      <w:r>
        <w:rPr>
          <w:rStyle w:val="FootnoteReference"/>
        </w:rPr>
        <w:footnoteRef/>
      </w:r>
      <w:r>
        <w:t xml:space="preserve"> </w:t>
      </w:r>
      <w:hyperlink r:id="rId6" w:tooltip="Link to the report" w:history="1">
        <w:r w:rsidRPr="00F331B8">
          <w:rPr>
            <w:rStyle w:val="Hyperlink"/>
            <w:rFonts w:ascii="Calibri" w:hAnsi="Calibri"/>
          </w:rPr>
          <w:t>Positron emission tomography</w:t>
        </w:r>
      </w:hyperlink>
      <w:r w:rsidR="00F331B8">
        <w:t>, National Health Technology Advisory Panel (1990)</w:t>
      </w:r>
    </w:p>
  </w:footnote>
  <w:footnote w:id="10">
    <w:p w14:paraId="3578421D" w14:textId="57591463" w:rsidR="005F2E8A" w:rsidRDefault="005F2E8A">
      <w:pPr>
        <w:pStyle w:val="FootnoteText"/>
      </w:pPr>
      <w:r>
        <w:rPr>
          <w:rStyle w:val="FootnoteReference"/>
        </w:rPr>
        <w:footnoteRef/>
      </w:r>
      <w:r>
        <w:t xml:space="preserve"> Department of Health, Disability and Ageing, </w:t>
      </w:r>
      <w:hyperlink r:id="rId7" w:tooltip="Link to the Department of Health, Disability and Ageing information on number of PET units" w:history="1">
        <w:r w:rsidRPr="00C77931">
          <w:rPr>
            <w:rStyle w:val="Hyperlink"/>
            <w:rFonts w:ascii="Calibri" w:hAnsi="Calibri"/>
          </w:rPr>
          <w:t>PET units in Australia</w:t>
        </w:r>
      </w:hyperlink>
    </w:p>
  </w:footnote>
  <w:footnote w:id="11">
    <w:p w14:paraId="014E6FE7" w14:textId="35DC3EEA" w:rsidR="005A551C" w:rsidRDefault="005A551C">
      <w:pPr>
        <w:pStyle w:val="FootnoteText"/>
      </w:pPr>
      <w:r>
        <w:rPr>
          <w:rStyle w:val="FootnoteReference"/>
        </w:rPr>
        <w:footnoteRef/>
      </w:r>
      <w:r>
        <w:t xml:space="preserve"> </w:t>
      </w:r>
      <w:r w:rsidRPr="005A551C">
        <w:t xml:space="preserve">AIHW (Australian Institute of Health and Welfare) (2024) </w:t>
      </w:r>
      <w:hyperlink r:id="rId8" w:tooltip="Link to the report" w:history="1">
        <w:r w:rsidRPr="00256A0B">
          <w:rPr>
            <w:rStyle w:val="Hyperlink"/>
            <w:rFonts w:ascii="Calibri" w:hAnsi="Calibri"/>
          </w:rPr>
          <w:t>Pathology, imaging and other diagnostic services</w:t>
        </w:r>
      </w:hyperlink>
      <w:r w:rsidRPr="005A551C">
        <w:t>, AIHW, Australian Government, accessed 6 July 2026.</w:t>
      </w:r>
    </w:p>
  </w:footnote>
  <w:footnote w:id="12">
    <w:p w14:paraId="12C6BCD7" w14:textId="68EFBAFA" w:rsidR="00666B63" w:rsidRDefault="00666B63" w:rsidP="00D12997">
      <w:pPr>
        <w:pStyle w:val="FootnoteText"/>
      </w:pPr>
      <w:r>
        <w:rPr>
          <w:rStyle w:val="FootnoteReference"/>
        </w:rPr>
        <w:footnoteRef/>
      </w:r>
      <w:r>
        <w:t xml:space="preserve"> Credentialled under the Joint Nuclear Medicine Specialist Credentialling Program for the Recognition of the Credentials of Nuclear Medicine Specialists for PET overseen by the Joint Nuclear Medicine Credentialling and Accreditation Committee of the </w:t>
      </w:r>
      <w:r w:rsidR="002F06F3">
        <w:t>Royal Australasian College of Physicians (</w:t>
      </w:r>
      <w:r>
        <w:t>RACP</w:t>
      </w:r>
      <w:r w:rsidR="002F06F3">
        <w:t>)</w:t>
      </w:r>
      <w:r>
        <w:t xml:space="preserve"> and </w:t>
      </w:r>
      <w:r w:rsidR="002F06F3">
        <w:t>Royal Australian and New Zealand College of Radiologists (</w:t>
      </w:r>
      <w:r>
        <w:t>RANZCR</w:t>
      </w:r>
      <w:r w:rsidR="002F06F3">
        <w:t>).</w:t>
      </w:r>
      <w:r w:rsidR="008B5BA0">
        <w:t xml:space="preserve"> Alternatively, it can be performed by </w:t>
      </w:r>
      <w:r w:rsidR="00D12997">
        <w:t>a practitioner who is a Fellow of either RACP or RANZCR, and who, prior to 1 November 2011, reported 400 or more studies forming part of PET services for which a Medicare benefit was payable, and who holds a current licence from the relevant State radiation licensing body to prescribe and administer the intended PET radiopharmaceuticals to humans.</w:t>
      </w:r>
    </w:p>
  </w:footnote>
  <w:footnote w:id="13">
    <w:p w14:paraId="2A457925" w14:textId="103524BE" w:rsidR="00DD4322" w:rsidRDefault="00DD4322">
      <w:pPr>
        <w:pStyle w:val="FootnoteText"/>
      </w:pPr>
      <w:r>
        <w:rPr>
          <w:rStyle w:val="FootnoteReference"/>
        </w:rPr>
        <w:footnoteRef/>
      </w:r>
      <w:r>
        <w:t xml:space="preserve"> </w:t>
      </w:r>
      <w:hyperlink r:id="rId9" w:tooltip="Link to the ARPANSA reference levels" w:history="1">
        <w:r w:rsidR="003703E6">
          <w:rPr>
            <w:rStyle w:val="Hyperlink"/>
            <w:rFonts w:ascii="Calibri" w:hAnsi="Calibri"/>
          </w:rPr>
          <w:t>Australian national diagnostic reference levels for nuclear medicine and PET</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B082F" w14:textId="03E4F6C6" w:rsidR="009A4FFB" w:rsidRDefault="0089396B">
    <w:pPr>
      <w:pStyle w:val="Header"/>
    </w:pPr>
    <w:r>
      <w:rPr>
        <w:noProof/>
      </w:rPr>
      <mc:AlternateContent>
        <mc:Choice Requires="wps">
          <w:drawing>
            <wp:anchor distT="0" distB="0" distL="0" distR="0" simplePos="0" relativeHeight="251665412" behindDoc="0" locked="0" layoutInCell="1" allowOverlap="1" wp14:anchorId="01DBB3D2" wp14:editId="1453C307">
              <wp:simplePos x="635" y="635"/>
              <wp:positionH relativeFrom="page">
                <wp:align>center</wp:align>
              </wp:positionH>
              <wp:positionV relativeFrom="page">
                <wp:align>top</wp:align>
              </wp:positionV>
              <wp:extent cx="622300" cy="404495"/>
              <wp:effectExtent l="0" t="0" r="6350" b="14605"/>
              <wp:wrapNone/>
              <wp:docPr id="1776351277"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B951987" w14:textId="62012BAE" w:rsidR="0089396B" w:rsidRPr="0089396B" w:rsidRDefault="0089396B" w:rsidP="0089396B">
                          <w:pPr>
                            <w:spacing w:after="0"/>
                            <w:rPr>
                              <w:rFonts w:ascii="Aptos" w:eastAsia="Aptos" w:hAnsi="Aptos" w:cs="Aptos"/>
                              <w:noProof/>
                              <w:color w:val="FF0000"/>
                              <w:sz w:val="24"/>
                              <w:szCs w:val="24"/>
                            </w:rPr>
                          </w:pPr>
                          <w:r w:rsidRPr="0089396B">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DBB3D2" id="_x0000_t202" coordsize="21600,21600" o:spt="202" path="m,l,21600r21600,l21600,xe">
              <v:stroke joinstyle="miter"/>
              <v:path gradientshapeok="t" o:connecttype="rect"/>
            </v:shapetype>
            <v:shape id="Text Box 6" o:spid="_x0000_s1026" type="#_x0000_t202" alt="OFFICIAL" style="position:absolute;margin-left:0;margin-top:0;width:49pt;height:31.85pt;z-index:2516654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fill o:detectmouseclick="t"/>
              <v:textbox style="mso-fit-shape-to-text:t" inset="0,15pt,0,0">
                <w:txbxContent>
                  <w:p w14:paraId="3B951987" w14:textId="62012BAE" w:rsidR="0089396B" w:rsidRPr="0089396B" w:rsidRDefault="0089396B" w:rsidP="0089396B">
                    <w:pPr>
                      <w:spacing w:after="0"/>
                      <w:rPr>
                        <w:rFonts w:ascii="Aptos" w:eastAsia="Aptos" w:hAnsi="Aptos" w:cs="Aptos"/>
                        <w:noProof/>
                        <w:color w:val="FF0000"/>
                        <w:sz w:val="24"/>
                        <w:szCs w:val="24"/>
                      </w:rPr>
                    </w:pPr>
                    <w:r w:rsidRPr="0089396B">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90"/>
      <w:gridCol w:w="3190"/>
      <w:gridCol w:w="3190"/>
    </w:tblGrid>
    <w:tr w:rsidR="628F6C62" w14:paraId="30E3AEF3" w14:textId="77777777" w:rsidTr="009A4FFB">
      <w:trPr>
        <w:trHeight w:val="300"/>
      </w:trPr>
      <w:tc>
        <w:tcPr>
          <w:tcW w:w="3190" w:type="dxa"/>
        </w:tcPr>
        <w:p w14:paraId="49F52A5F" w14:textId="0E3E9539" w:rsidR="628F6C62" w:rsidRDefault="628F6C62" w:rsidP="009A4FFB">
          <w:pPr>
            <w:pStyle w:val="Header"/>
            <w:ind w:left="-115"/>
          </w:pPr>
        </w:p>
      </w:tc>
      <w:tc>
        <w:tcPr>
          <w:tcW w:w="3190" w:type="dxa"/>
        </w:tcPr>
        <w:p w14:paraId="36E67869" w14:textId="784854AB" w:rsidR="628F6C62" w:rsidRDefault="628F6C62" w:rsidP="009A4FFB">
          <w:pPr>
            <w:pStyle w:val="Header"/>
            <w:jc w:val="center"/>
          </w:pPr>
        </w:p>
      </w:tc>
      <w:tc>
        <w:tcPr>
          <w:tcW w:w="3190" w:type="dxa"/>
        </w:tcPr>
        <w:p w14:paraId="7D0E02FB" w14:textId="1ED15B37" w:rsidR="628F6C62" w:rsidRDefault="628F6C62" w:rsidP="009A4FFB">
          <w:pPr>
            <w:pStyle w:val="Header"/>
            <w:ind w:right="-115"/>
            <w:jc w:val="right"/>
          </w:pPr>
        </w:p>
      </w:tc>
    </w:tr>
  </w:tbl>
  <w:p w14:paraId="1C2EB0F3" w14:textId="752CD67A" w:rsidR="628F6C62" w:rsidRDefault="628F6C62" w:rsidP="009A4F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AD54B" w14:textId="58497112" w:rsidR="009A4FFB" w:rsidRDefault="0089396B">
    <w:pPr>
      <w:pStyle w:val="Header"/>
    </w:pPr>
    <w:r>
      <w:rPr>
        <w:noProof/>
      </w:rPr>
      <mc:AlternateContent>
        <mc:Choice Requires="wps">
          <w:drawing>
            <wp:anchor distT="0" distB="0" distL="0" distR="0" simplePos="0" relativeHeight="251664388" behindDoc="0" locked="0" layoutInCell="1" allowOverlap="1" wp14:anchorId="1483B33B" wp14:editId="3E2314B5">
              <wp:simplePos x="635" y="635"/>
              <wp:positionH relativeFrom="page">
                <wp:align>center</wp:align>
              </wp:positionH>
              <wp:positionV relativeFrom="page">
                <wp:align>top</wp:align>
              </wp:positionV>
              <wp:extent cx="622300" cy="404495"/>
              <wp:effectExtent l="0" t="0" r="6350" b="14605"/>
              <wp:wrapNone/>
              <wp:docPr id="1296402437"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AA84B51" w14:textId="755E1872" w:rsidR="0089396B" w:rsidRPr="0089396B" w:rsidRDefault="0089396B" w:rsidP="0089396B">
                          <w:pPr>
                            <w:spacing w:after="0"/>
                            <w:rPr>
                              <w:rFonts w:ascii="Aptos" w:eastAsia="Aptos" w:hAnsi="Aptos" w:cs="Aptos"/>
                              <w:noProof/>
                              <w:color w:val="FF0000"/>
                              <w:sz w:val="24"/>
                              <w:szCs w:val="24"/>
                            </w:rPr>
                          </w:pPr>
                          <w:r w:rsidRPr="0089396B">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83B33B" id="_x0000_t202" coordsize="21600,21600" o:spt="202" path="m,l,21600r21600,l21600,xe">
              <v:stroke joinstyle="miter"/>
              <v:path gradientshapeok="t" o:connecttype="rect"/>
            </v:shapetype>
            <v:shape id="Text Box 5" o:spid="_x0000_s1028" type="#_x0000_t202" alt="OFFICIAL" style="position:absolute;margin-left:0;margin-top:0;width:49pt;height:31.85pt;z-index:2516643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lsmjog0CAAAcBAAA&#10;DgAAAAAAAAAAAAAAAAAuAgAAZHJzL2Uyb0RvYy54bWxQSwECLQAUAAYACAAAACEAtVRkddkAAAAD&#10;AQAADwAAAAAAAAAAAAAAAABnBAAAZHJzL2Rvd25yZXYueG1sUEsFBgAAAAAEAAQA8wAAAG0FAAAA&#10;AA==&#10;" filled="f" stroked="f">
              <v:fill o:detectmouseclick="t"/>
              <v:textbox style="mso-fit-shape-to-text:t" inset="0,15pt,0,0">
                <w:txbxContent>
                  <w:p w14:paraId="0AA84B51" w14:textId="755E1872" w:rsidR="0089396B" w:rsidRPr="0089396B" w:rsidRDefault="0089396B" w:rsidP="0089396B">
                    <w:pPr>
                      <w:spacing w:after="0"/>
                      <w:rPr>
                        <w:rFonts w:ascii="Aptos" w:eastAsia="Aptos" w:hAnsi="Aptos" w:cs="Aptos"/>
                        <w:noProof/>
                        <w:color w:val="FF0000"/>
                        <w:sz w:val="24"/>
                        <w:szCs w:val="24"/>
                      </w:rPr>
                    </w:pPr>
                    <w:r w:rsidRPr="0089396B">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4CA7"/>
    <w:multiLevelType w:val="hybridMultilevel"/>
    <w:tmpl w:val="DECE310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D44DEC"/>
    <w:multiLevelType w:val="hybridMultilevel"/>
    <w:tmpl w:val="3E6E69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2EB109D"/>
    <w:multiLevelType w:val="hybridMultilevel"/>
    <w:tmpl w:val="39946B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7E7C4E"/>
    <w:multiLevelType w:val="hybridMultilevel"/>
    <w:tmpl w:val="420413C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0764AA"/>
    <w:multiLevelType w:val="hybridMultilevel"/>
    <w:tmpl w:val="3B0EE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31A78C2"/>
    <w:multiLevelType w:val="hybridMultilevel"/>
    <w:tmpl w:val="DA6C0C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4066AFD"/>
    <w:multiLevelType w:val="hybridMultilevel"/>
    <w:tmpl w:val="B7CA6768"/>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8023445"/>
    <w:multiLevelType w:val="hybridMultilevel"/>
    <w:tmpl w:val="0CE4E2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2316B0"/>
    <w:multiLevelType w:val="hybridMultilevel"/>
    <w:tmpl w:val="3CB09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C953BDD"/>
    <w:multiLevelType w:val="hybridMultilevel"/>
    <w:tmpl w:val="B662771A"/>
    <w:lvl w:ilvl="0" w:tplc="0C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20B61576"/>
    <w:multiLevelType w:val="hybridMultilevel"/>
    <w:tmpl w:val="0D40C5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446384E"/>
    <w:multiLevelType w:val="hybridMultilevel"/>
    <w:tmpl w:val="73F02E8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625D51"/>
    <w:multiLevelType w:val="hybridMultilevel"/>
    <w:tmpl w:val="54CC94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0BB450F"/>
    <w:multiLevelType w:val="hybridMultilevel"/>
    <w:tmpl w:val="265874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3015F8B"/>
    <w:multiLevelType w:val="hybridMultilevel"/>
    <w:tmpl w:val="627CBF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5F40DBF"/>
    <w:multiLevelType w:val="hybridMultilevel"/>
    <w:tmpl w:val="EF5893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EE33B25"/>
    <w:multiLevelType w:val="hybridMultilevel"/>
    <w:tmpl w:val="500657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40E0512"/>
    <w:multiLevelType w:val="hybridMultilevel"/>
    <w:tmpl w:val="59A693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5691D52"/>
    <w:multiLevelType w:val="hybridMultilevel"/>
    <w:tmpl w:val="141CCD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7095746"/>
    <w:multiLevelType w:val="hybridMultilevel"/>
    <w:tmpl w:val="0AEE8E02"/>
    <w:lvl w:ilvl="0" w:tplc="55CCDBB2">
      <w:start w:val="1"/>
      <w:numFmt w:val="bullet"/>
      <w:lvlText w:val=""/>
      <w:lvlJc w:val="left"/>
      <w:pPr>
        <w:ind w:left="720" w:hanging="360"/>
      </w:pPr>
      <w:rPr>
        <w:rFonts w:ascii="Symbol" w:hAnsi="Symbol" w:cs="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4FF0110"/>
    <w:multiLevelType w:val="hybridMultilevel"/>
    <w:tmpl w:val="DBA873F8"/>
    <w:lvl w:ilvl="0" w:tplc="03DA1D4E">
      <w:start w:val="1"/>
      <w:numFmt w:val="bullet"/>
      <w:pStyle w:val="Instructionaltext-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cs="Wingdings" w:hint="default"/>
      </w:rPr>
    </w:lvl>
    <w:lvl w:ilvl="3" w:tplc="0C090001" w:tentative="1">
      <w:start w:val="1"/>
      <w:numFmt w:val="bullet"/>
      <w:lvlText w:val=""/>
      <w:lvlJc w:val="left"/>
      <w:pPr>
        <w:ind w:left="3237" w:hanging="360"/>
      </w:pPr>
      <w:rPr>
        <w:rFonts w:ascii="Symbol" w:hAnsi="Symbol" w:cs="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cs="Wingdings" w:hint="default"/>
      </w:rPr>
    </w:lvl>
    <w:lvl w:ilvl="6" w:tplc="0C090001" w:tentative="1">
      <w:start w:val="1"/>
      <w:numFmt w:val="bullet"/>
      <w:lvlText w:val=""/>
      <w:lvlJc w:val="left"/>
      <w:pPr>
        <w:ind w:left="5397" w:hanging="360"/>
      </w:pPr>
      <w:rPr>
        <w:rFonts w:ascii="Symbol" w:hAnsi="Symbol" w:cs="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cs="Wingdings" w:hint="default"/>
      </w:rPr>
    </w:lvl>
  </w:abstractNum>
  <w:abstractNum w:abstractNumId="21" w15:restartNumberingAfterBreak="0">
    <w:nsid w:val="54FF7BD0"/>
    <w:multiLevelType w:val="hybridMultilevel"/>
    <w:tmpl w:val="7AE2AC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C265945"/>
    <w:multiLevelType w:val="hybridMultilevel"/>
    <w:tmpl w:val="3B9C509E"/>
    <w:lvl w:ilvl="0" w:tplc="0C090001">
      <w:start w:val="1"/>
      <w:numFmt w:val="bullet"/>
      <w:lvlText w:val=""/>
      <w:lvlJc w:val="left"/>
      <w:pPr>
        <w:ind w:left="720" w:hanging="360"/>
      </w:pPr>
      <w:rPr>
        <w:rFonts w:ascii="Symbol" w:hAnsi="Symbol" w:hint="default"/>
      </w:rPr>
    </w:lvl>
    <w:lvl w:ilvl="1" w:tplc="2316865C">
      <w:numFmt w:val="bullet"/>
      <w:lvlText w:val="•"/>
      <w:lvlJc w:val="left"/>
      <w:pPr>
        <w:ind w:left="1800" w:hanging="720"/>
      </w:pPr>
      <w:rPr>
        <w:rFonts w:ascii="Calibri" w:eastAsia="Calibr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0C95369"/>
    <w:multiLevelType w:val="hybridMultilevel"/>
    <w:tmpl w:val="5540EFD4"/>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61055862"/>
    <w:multiLevelType w:val="hybridMultilevel"/>
    <w:tmpl w:val="315E3C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8334D0A"/>
    <w:multiLevelType w:val="hybridMultilevel"/>
    <w:tmpl w:val="E500F232"/>
    <w:lvl w:ilvl="0" w:tplc="0C090001">
      <w:start w:val="1"/>
      <w:numFmt w:val="bullet"/>
      <w:lvlText w:val=""/>
      <w:lvlJc w:val="left"/>
      <w:pPr>
        <w:ind w:left="720" w:hanging="360"/>
      </w:pPr>
      <w:rPr>
        <w:rFonts w:ascii="Symbol" w:hAnsi="Symbol" w:hint="default"/>
      </w:rPr>
    </w:lvl>
    <w:lvl w:ilvl="1" w:tplc="1ED418CA">
      <w:numFmt w:val="bullet"/>
      <w:lvlText w:val="•"/>
      <w:lvlJc w:val="left"/>
      <w:pPr>
        <w:ind w:left="1440" w:hanging="360"/>
      </w:pPr>
      <w:rPr>
        <w:rFonts w:ascii="Calibri" w:eastAsia="Calibr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C4F5833"/>
    <w:multiLevelType w:val="hybridMultilevel"/>
    <w:tmpl w:val="B36E273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05F33B6"/>
    <w:multiLevelType w:val="hybridMultilevel"/>
    <w:tmpl w:val="F416AB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37940CE"/>
    <w:multiLevelType w:val="hybridMultilevel"/>
    <w:tmpl w:val="D0F00082"/>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CB33F2E"/>
    <w:multiLevelType w:val="hybridMultilevel"/>
    <w:tmpl w:val="50DEA33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E5D1AB8"/>
    <w:multiLevelType w:val="hybridMultilevel"/>
    <w:tmpl w:val="6E32E1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25964751">
    <w:abstractNumId w:val="20"/>
  </w:num>
  <w:num w:numId="2" w16cid:durableId="195045709">
    <w:abstractNumId w:val="23"/>
  </w:num>
  <w:num w:numId="3" w16cid:durableId="2091461749">
    <w:abstractNumId w:val="19"/>
  </w:num>
  <w:num w:numId="4" w16cid:durableId="961225302">
    <w:abstractNumId w:val="2"/>
  </w:num>
  <w:num w:numId="5" w16cid:durableId="907350088">
    <w:abstractNumId w:val="21"/>
  </w:num>
  <w:num w:numId="6" w16cid:durableId="656763902">
    <w:abstractNumId w:val="13"/>
  </w:num>
  <w:num w:numId="7" w16cid:durableId="1724519165">
    <w:abstractNumId w:val="8"/>
  </w:num>
  <w:num w:numId="8" w16cid:durableId="708381261">
    <w:abstractNumId w:val="27"/>
  </w:num>
  <w:num w:numId="9" w16cid:durableId="1562594857">
    <w:abstractNumId w:val="16"/>
  </w:num>
  <w:num w:numId="10" w16cid:durableId="7217583">
    <w:abstractNumId w:val="22"/>
  </w:num>
  <w:num w:numId="11" w16cid:durableId="219361869">
    <w:abstractNumId w:val="1"/>
  </w:num>
  <w:num w:numId="12" w16cid:durableId="530459975">
    <w:abstractNumId w:val="17"/>
  </w:num>
  <w:num w:numId="13" w16cid:durableId="1506700922">
    <w:abstractNumId w:val="10"/>
  </w:num>
  <w:num w:numId="14" w16cid:durableId="11226546">
    <w:abstractNumId w:val="26"/>
  </w:num>
  <w:num w:numId="15" w16cid:durableId="1108887248">
    <w:abstractNumId w:val="25"/>
  </w:num>
  <w:num w:numId="16" w16cid:durableId="1139609793">
    <w:abstractNumId w:val="28"/>
  </w:num>
  <w:num w:numId="17" w16cid:durableId="1315989675">
    <w:abstractNumId w:val="14"/>
  </w:num>
  <w:num w:numId="18" w16cid:durableId="1092163477">
    <w:abstractNumId w:val="9"/>
  </w:num>
  <w:num w:numId="19" w16cid:durableId="855775846">
    <w:abstractNumId w:val="24"/>
  </w:num>
  <w:num w:numId="20" w16cid:durableId="1014384725">
    <w:abstractNumId w:val="15"/>
  </w:num>
  <w:num w:numId="21" w16cid:durableId="1860191296">
    <w:abstractNumId w:val="3"/>
  </w:num>
  <w:num w:numId="22" w16cid:durableId="860629614">
    <w:abstractNumId w:val="0"/>
  </w:num>
  <w:num w:numId="23" w16cid:durableId="47196112">
    <w:abstractNumId w:val="30"/>
  </w:num>
  <w:num w:numId="24" w16cid:durableId="2138838928">
    <w:abstractNumId w:val="5"/>
  </w:num>
  <w:num w:numId="25" w16cid:durableId="1850412130">
    <w:abstractNumId w:val="18"/>
  </w:num>
  <w:num w:numId="26" w16cid:durableId="711806055">
    <w:abstractNumId w:val="6"/>
  </w:num>
  <w:num w:numId="27" w16cid:durableId="1603755868">
    <w:abstractNumId w:val="11"/>
  </w:num>
  <w:num w:numId="28" w16cid:durableId="731001813">
    <w:abstractNumId w:val="29"/>
  </w:num>
  <w:num w:numId="29" w16cid:durableId="179198231">
    <w:abstractNumId w:val="4"/>
  </w:num>
  <w:num w:numId="30" w16cid:durableId="1667980528">
    <w:abstractNumId w:val="12"/>
  </w:num>
  <w:num w:numId="31" w16cid:durableId="1344354995">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F9C"/>
    <w:rsid w:val="00000127"/>
    <w:rsid w:val="000006C0"/>
    <w:rsid w:val="000009E4"/>
    <w:rsid w:val="00000BC7"/>
    <w:rsid w:val="00000D1B"/>
    <w:rsid w:val="000013CE"/>
    <w:rsid w:val="0000231B"/>
    <w:rsid w:val="0000315C"/>
    <w:rsid w:val="000039DD"/>
    <w:rsid w:val="000045C5"/>
    <w:rsid w:val="000047AB"/>
    <w:rsid w:val="00004DC8"/>
    <w:rsid w:val="000052DD"/>
    <w:rsid w:val="000057B6"/>
    <w:rsid w:val="00005D25"/>
    <w:rsid w:val="000063E0"/>
    <w:rsid w:val="0000679D"/>
    <w:rsid w:val="000067F2"/>
    <w:rsid w:val="000068C4"/>
    <w:rsid w:val="00006AD1"/>
    <w:rsid w:val="00007370"/>
    <w:rsid w:val="000073AA"/>
    <w:rsid w:val="00007FAD"/>
    <w:rsid w:val="0001033D"/>
    <w:rsid w:val="000104C2"/>
    <w:rsid w:val="0001056F"/>
    <w:rsid w:val="00010C28"/>
    <w:rsid w:val="0001190B"/>
    <w:rsid w:val="00011E95"/>
    <w:rsid w:val="0001236A"/>
    <w:rsid w:val="000128AA"/>
    <w:rsid w:val="00012DD3"/>
    <w:rsid w:val="000140BB"/>
    <w:rsid w:val="000141D7"/>
    <w:rsid w:val="00014900"/>
    <w:rsid w:val="0001593E"/>
    <w:rsid w:val="00015CD5"/>
    <w:rsid w:val="00015D66"/>
    <w:rsid w:val="00015F76"/>
    <w:rsid w:val="00016B79"/>
    <w:rsid w:val="00017C77"/>
    <w:rsid w:val="00020280"/>
    <w:rsid w:val="00020C0C"/>
    <w:rsid w:val="00021053"/>
    <w:rsid w:val="0002137B"/>
    <w:rsid w:val="00021712"/>
    <w:rsid w:val="00021934"/>
    <w:rsid w:val="00021B95"/>
    <w:rsid w:val="00021FB0"/>
    <w:rsid w:val="00022829"/>
    <w:rsid w:val="000229CC"/>
    <w:rsid w:val="00022B7C"/>
    <w:rsid w:val="00022D4E"/>
    <w:rsid w:val="00023263"/>
    <w:rsid w:val="000234ED"/>
    <w:rsid w:val="000237A2"/>
    <w:rsid w:val="00023E5E"/>
    <w:rsid w:val="00023F4A"/>
    <w:rsid w:val="000243D0"/>
    <w:rsid w:val="00024978"/>
    <w:rsid w:val="00024998"/>
    <w:rsid w:val="00024CE8"/>
    <w:rsid w:val="00025043"/>
    <w:rsid w:val="000250C4"/>
    <w:rsid w:val="000251AB"/>
    <w:rsid w:val="000256A6"/>
    <w:rsid w:val="00026DC8"/>
    <w:rsid w:val="000278CB"/>
    <w:rsid w:val="00027EE4"/>
    <w:rsid w:val="00027F23"/>
    <w:rsid w:val="00030099"/>
    <w:rsid w:val="00030439"/>
    <w:rsid w:val="00031B0F"/>
    <w:rsid w:val="0003207B"/>
    <w:rsid w:val="000321A6"/>
    <w:rsid w:val="00032DA6"/>
    <w:rsid w:val="00032ED4"/>
    <w:rsid w:val="00033714"/>
    <w:rsid w:val="00033C11"/>
    <w:rsid w:val="0003467B"/>
    <w:rsid w:val="00034B5D"/>
    <w:rsid w:val="00034C7A"/>
    <w:rsid w:val="00034D9D"/>
    <w:rsid w:val="00034F71"/>
    <w:rsid w:val="00036264"/>
    <w:rsid w:val="00036EF9"/>
    <w:rsid w:val="000373B1"/>
    <w:rsid w:val="000405ED"/>
    <w:rsid w:val="00040FA8"/>
    <w:rsid w:val="000410C1"/>
    <w:rsid w:val="000415FA"/>
    <w:rsid w:val="00041D82"/>
    <w:rsid w:val="00042B22"/>
    <w:rsid w:val="00042C74"/>
    <w:rsid w:val="00043A61"/>
    <w:rsid w:val="00043BD7"/>
    <w:rsid w:val="00043BEE"/>
    <w:rsid w:val="000443FA"/>
    <w:rsid w:val="0004448A"/>
    <w:rsid w:val="00044C62"/>
    <w:rsid w:val="00044D00"/>
    <w:rsid w:val="00044D8B"/>
    <w:rsid w:val="00045250"/>
    <w:rsid w:val="000455BD"/>
    <w:rsid w:val="00045835"/>
    <w:rsid w:val="00045FFA"/>
    <w:rsid w:val="0004601C"/>
    <w:rsid w:val="0004637F"/>
    <w:rsid w:val="00046FC0"/>
    <w:rsid w:val="000473B2"/>
    <w:rsid w:val="00047BDE"/>
    <w:rsid w:val="00050303"/>
    <w:rsid w:val="000504B2"/>
    <w:rsid w:val="00052757"/>
    <w:rsid w:val="000529E6"/>
    <w:rsid w:val="00052A83"/>
    <w:rsid w:val="00052DE9"/>
    <w:rsid w:val="00052EF9"/>
    <w:rsid w:val="000531F4"/>
    <w:rsid w:val="00053441"/>
    <w:rsid w:val="00054A13"/>
    <w:rsid w:val="00054E7A"/>
    <w:rsid w:val="00055272"/>
    <w:rsid w:val="00055D44"/>
    <w:rsid w:val="00056577"/>
    <w:rsid w:val="000567AC"/>
    <w:rsid w:val="00056BB4"/>
    <w:rsid w:val="00057488"/>
    <w:rsid w:val="00060238"/>
    <w:rsid w:val="0006080C"/>
    <w:rsid w:val="00060C19"/>
    <w:rsid w:val="00060DFD"/>
    <w:rsid w:val="0006137D"/>
    <w:rsid w:val="0006158C"/>
    <w:rsid w:val="00061A60"/>
    <w:rsid w:val="000622F7"/>
    <w:rsid w:val="00062470"/>
    <w:rsid w:val="00062A20"/>
    <w:rsid w:val="000632A1"/>
    <w:rsid w:val="000636E3"/>
    <w:rsid w:val="0006379D"/>
    <w:rsid w:val="00063D1B"/>
    <w:rsid w:val="00063E78"/>
    <w:rsid w:val="00064880"/>
    <w:rsid w:val="00065079"/>
    <w:rsid w:val="00065FE5"/>
    <w:rsid w:val="00066195"/>
    <w:rsid w:val="00066210"/>
    <w:rsid w:val="000665F3"/>
    <w:rsid w:val="0006662C"/>
    <w:rsid w:val="00066CEC"/>
    <w:rsid w:val="00067CBD"/>
    <w:rsid w:val="00067ECB"/>
    <w:rsid w:val="00070026"/>
    <w:rsid w:val="0007116F"/>
    <w:rsid w:val="000717C8"/>
    <w:rsid w:val="00071D18"/>
    <w:rsid w:val="0007211D"/>
    <w:rsid w:val="00072EE8"/>
    <w:rsid w:val="00073324"/>
    <w:rsid w:val="00073C39"/>
    <w:rsid w:val="0007402F"/>
    <w:rsid w:val="00075174"/>
    <w:rsid w:val="0007570F"/>
    <w:rsid w:val="00075882"/>
    <w:rsid w:val="00075E77"/>
    <w:rsid w:val="000761FF"/>
    <w:rsid w:val="00076395"/>
    <w:rsid w:val="00077037"/>
    <w:rsid w:val="000773F5"/>
    <w:rsid w:val="000777F8"/>
    <w:rsid w:val="00077FC4"/>
    <w:rsid w:val="00080A13"/>
    <w:rsid w:val="00080B46"/>
    <w:rsid w:val="00080E24"/>
    <w:rsid w:val="000813A3"/>
    <w:rsid w:val="0008152D"/>
    <w:rsid w:val="000816AE"/>
    <w:rsid w:val="0008235D"/>
    <w:rsid w:val="0008296B"/>
    <w:rsid w:val="00083F40"/>
    <w:rsid w:val="00084545"/>
    <w:rsid w:val="000846D3"/>
    <w:rsid w:val="0008476E"/>
    <w:rsid w:val="000852E6"/>
    <w:rsid w:val="00085388"/>
    <w:rsid w:val="00085475"/>
    <w:rsid w:val="00085ADC"/>
    <w:rsid w:val="00085BEC"/>
    <w:rsid w:val="000867A5"/>
    <w:rsid w:val="000867C6"/>
    <w:rsid w:val="0008699D"/>
    <w:rsid w:val="00086D01"/>
    <w:rsid w:val="000901D6"/>
    <w:rsid w:val="000904DC"/>
    <w:rsid w:val="00090B20"/>
    <w:rsid w:val="00092987"/>
    <w:rsid w:val="0009326D"/>
    <w:rsid w:val="000938CD"/>
    <w:rsid w:val="000939E0"/>
    <w:rsid w:val="00094394"/>
    <w:rsid w:val="00094538"/>
    <w:rsid w:val="000945DC"/>
    <w:rsid w:val="000945EE"/>
    <w:rsid w:val="000954FD"/>
    <w:rsid w:val="00095530"/>
    <w:rsid w:val="000958BE"/>
    <w:rsid w:val="00095AE1"/>
    <w:rsid w:val="000968ED"/>
    <w:rsid w:val="00096DC8"/>
    <w:rsid w:val="000A0569"/>
    <w:rsid w:val="000A0C22"/>
    <w:rsid w:val="000A0EA5"/>
    <w:rsid w:val="000A1069"/>
    <w:rsid w:val="000A1156"/>
    <w:rsid w:val="000A1854"/>
    <w:rsid w:val="000A1AED"/>
    <w:rsid w:val="000A1B03"/>
    <w:rsid w:val="000A1C0E"/>
    <w:rsid w:val="000A2654"/>
    <w:rsid w:val="000A26A3"/>
    <w:rsid w:val="000A320C"/>
    <w:rsid w:val="000A3242"/>
    <w:rsid w:val="000A3794"/>
    <w:rsid w:val="000A3CA8"/>
    <w:rsid w:val="000A51B1"/>
    <w:rsid w:val="000A5413"/>
    <w:rsid w:val="000A56FE"/>
    <w:rsid w:val="000A5727"/>
    <w:rsid w:val="000A5805"/>
    <w:rsid w:val="000A6940"/>
    <w:rsid w:val="000A69DA"/>
    <w:rsid w:val="000A6DD5"/>
    <w:rsid w:val="000A73C2"/>
    <w:rsid w:val="000A79CA"/>
    <w:rsid w:val="000A7F57"/>
    <w:rsid w:val="000A7FC6"/>
    <w:rsid w:val="000B02A6"/>
    <w:rsid w:val="000B03D8"/>
    <w:rsid w:val="000B0675"/>
    <w:rsid w:val="000B07E1"/>
    <w:rsid w:val="000B0F85"/>
    <w:rsid w:val="000B1170"/>
    <w:rsid w:val="000B1EA8"/>
    <w:rsid w:val="000B282D"/>
    <w:rsid w:val="000B2A87"/>
    <w:rsid w:val="000B3114"/>
    <w:rsid w:val="000B36F7"/>
    <w:rsid w:val="000B397C"/>
    <w:rsid w:val="000B3F28"/>
    <w:rsid w:val="000B40A7"/>
    <w:rsid w:val="000B422D"/>
    <w:rsid w:val="000B4B3F"/>
    <w:rsid w:val="000B54F2"/>
    <w:rsid w:val="000B59DB"/>
    <w:rsid w:val="000B5C14"/>
    <w:rsid w:val="000B5C7A"/>
    <w:rsid w:val="000B5D30"/>
    <w:rsid w:val="000B60EA"/>
    <w:rsid w:val="000B68FD"/>
    <w:rsid w:val="000B7A66"/>
    <w:rsid w:val="000C0164"/>
    <w:rsid w:val="000C0D61"/>
    <w:rsid w:val="000C12DD"/>
    <w:rsid w:val="000C190E"/>
    <w:rsid w:val="000C1BC0"/>
    <w:rsid w:val="000C1C3D"/>
    <w:rsid w:val="000C2BF9"/>
    <w:rsid w:val="000C2ED3"/>
    <w:rsid w:val="000C2FB4"/>
    <w:rsid w:val="000C3690"/>
    <w:rsid w:val="000C376F"/>
    <w:rsid w:val="000C3908"/>
    <w:rsid w:val="000C3EFB"/>
    <w:rsid w:val="000C3F1A"/>
    <w:rsid w:val="000C51F3"/>
    <w:rsid w:val="000C5208"/>
    <w:rsid w:val="000C522C"/>
    <w:rsid w:val="000C539F"/>
    <w:rsid w:val="000C591B"/>
    <w:rsid w:val="000C5C0C"/>
    <w:rsid w:val="000C5C84"/>
    <w:rsid w:val="000C5FBD"/>
    <w:rsid w:val="000C6544"/>
    <w:rsid w:val="000C6976"/>
    <w:rsid w:val="000C6AA8"/>
    <w:rsid w:val="000C6B2D"/>
    <w:rsid w:val="000C779C"/>
    <w:rsid w:val="000C7CC7"/>
    <w:rsid w:val="000C7E07"/>
    <w:rsid w:val="000D03A8"/>
    <w:rsid w:val="000D11C1"/>
    <w:rsid w:val="000D13DA"/>
    <w:rsid w:val="000D19E7"/>
    <w:rsid w:val="000D1FCF"/>
    <w:rsid w:val="000D257F"/>
    <w:rsid w:val="000D28C8"/>
    <w:rsid w:val="000D45F1"/>
    <w:rsid w:val="000D4CA6"/>
    <w:rsid w:val="000D4DA0"/>
    <w:rsid w:val="000D5913"/>
    <w:rsid w:val="000D61BD"/>
    <w:rsid w:val="000D6541"/>
    <w:rsid w:val="000D6DD2"/>
    <w:rsid w:val="000D74CE"/>
    <w:rsid w:val="000E0D50"/>
    <w:rsid w:val="000E11DC"/>
    <w:rsid w:val="000E16ED"/>
    <w:rsid w:val="000E1AAC"/>
    <w:rsid w:val="000E1B6D"/>
    <w:rsid w:val="000E1BCF"/>
    <w:rsid w:val="000E1BE7"/>
    <w:rsid w:val="000E1EAF"/>
    <w:rsid w:val="000E1F19"/>
    <w:rsid w:val="000E2580"/>
    <w:rsid w:val="000E26D2"/>
    <w:rsid w:val="000E2C5C"/>
    <w:rsid w:val="000E2C6C"/>
    <w:rsid w:val="000E33DD"/>
    <w:rsid w:val="000E4045"/>
    <w:rsid w:val="000E4120"/>
    <w:rsid w:val="000E44A3"/>
    <w:rsid w:val="000E4610"/>
    <w:rsid w:val="000E4A1F"/>
    <w:rsid w:val="000E52A3"/>
    <w:rsid w:val="000E57E2"/>
    <w:rsid w:val="000E5A37"/>
    <w:rsid w:val="000E5E82"/>
    <w:rsid w:val="000E5F37"/>
    <w:rsid w:val="000E5FA5"/>
    <w:rsid w:val="000E60A2"/>
    <w:rsid w:val="000E60B2"/>
    <w:rsid w:val="000E623D"/>
    <w:rsid w:val="000E660A"/>
    <w:rsid w:val="000E6629"/>
    <w:rsid w:val="000E6A24"/>
    <w:rsid w:val="000E7F5C"/>
    <w:rsid w:val="000F0188"/>
    <w:rsid w:val="000F05D1"/>
    <w:rsid w:val="000F06E6"/>
    <w:rsid w:val="000F0E0E"/>
    <w:rsid w:val="000F16B0"/>
    <w:rsid w:val="000F18D1"/>
    <w:rsid w:val="000F1900"/>
    <w:rsid w:val="000F1A75"/>
    <w:rsid w:val="000F1EDC"/>
    <w:rsid w:val="000F1F63"/>
    <w:rsid w:val="000F2223"/>
    <w:rsid w:val="000F2B62"/>
    <w:rsid w:val="000F30C9"/>
    <w:rsid w:val="000F3587"/>
    <w:rsid w:val="000F3CFD"/>
    <w:rsid w:val="000F443C"/>
    <w:rsid w:val="000F45EE"/>
    <w:rsid w:val="000F4DAD"/>
    <w:rsid w:val="000F69CA"/>
    <w:rsid w:val="000F6D77"/>
    <w:rsid w:val="000F7136"/>
    <w:rsid w:val="000F753A"/>
    <w:rsid w:val="000F7C35"/>
    <w:rsid w:val="000F7D37"/>
    <w:rsid w:val="00100112"/>
    <w:rsid w:val="0010087F"/>
    <w:rsid w:val="00101547"/>
    <w:rsid w:val="00103020"/>
    <w:rsid w:val="001031F5"/>
    <w:rsid w:val="0010325A"/>
    <w:rsid w:val="00103306"/>
    <w:rsid w:val="00103409"/>
    <w:rsid w:val="0010374D"/>
    <w:rsid w:val="001039F2"/>
    <w:rsid w:val="00103A66"/>
    <w:rsid w:val="00103B03"/>
    <w:rsid w:val="0010402D"/>
    <w:rsid w:val="00104AE8"/>
    <w:rsid w:val="00104EC1"/>
    <w:rsid w:val="0010537D"/>
    <w:rsid w:val="0010550D"/>
    <w:rsid w:val="00105704"/>
    <w:rsid w:val="001057DA"/>
    <w:rsid w:val="00105946"/>
    <w:rsid w:val="00105CBB"/>
    <w:rsid w:val="0010624D"/>
    <w:rsid w:val="00106515"/>
    <w:rsid w:val="00106656"/>
    <w:rsid w:val="00106A29"/>
    <w:rsid w:val="00106EA3"/>
    <w:rsid w:val="0010766C"/>
    <w:rsid w:val="00110102"/>
    <w:rsid w:val="0011054C"/>
    <w:rsid w:val="0011099B"/>
    <w:rsid w:val="00110AB0"/>
    <w:rsid w:val="00110BA4"/>
    <w:rsid w:val="00111510"/>
    <w:rsid w:val="001117DA"/>
    <w:rsid w:val="00111DCC"/>
    <w:rsid w:val="001120E9"/>
    <w:rsid w:val="00112284"/>
    <w:rsid w:val="001124B3"/>
    <w:rsid w:val="00112534"/>
    <w:rsid w:val="00112BE5"/>
    <w:rsid w:val="00112C62"/>
    <w:rsid w:val="00112EE9"/>
    <w:rsid w:val="00113EFF"/>
    <w:rsid w:val="0011499B"/>
    <w:rsid w:val="001157B8"/>
    <w:rsid w:val="001157D4"/>
    <w:rsid w:val="00115B42"/>
    <w:rsid w:val="00115E91"/>
    <w:rsid w:val="001164DD"/>
    <w:rsid w:val="00116D34"/>
    <w:rsid w:val="001170A6"/>
    <w:rsid w:val="0011766C"/>
    <w:rsid w:val="001178CF"/>
    <w:rsid w:val="00117AC9"/>
    <w:rsid w:val="001200C5"/>
    <w:rsid w:val="00120F8A"/>
    <w:rsid w:val="0012160C"/>
    <w:rsid w:val="00121F9C"/>
    <w:rsid w:val="0012214B"/>
    <w:rsid w:val="00123047"/>
    <w:rsid w:val="00123086"/>
    <w:rsid w:val="001230FB"/>
    <w:rsid w:val="0012395A"/>
    <w:rsid w:val="0012395B"/>
    <w:rsid w:val="001239B2"/>
    <w:rsid w:val="00123EE4"/>
    <w:rsid w:val="001244F5"/>
    <w:rsid w:val="001245D1"/>
    <w:rsid w:val="0012466D"/>
    <w:rsid w:val="001254BF"/>
    <w:rsid w:val="0012667B"/>
    <w:rsid w:val="00126843"/>
    <w:rsid w:val="00127A31"/>
    <w:rsid w:val="001302EA"/>
    <w:rsid w:val="0013077A"/>
    <w:rsid w:val="00130EA6"/>
    <w:rsid w:val="00130F45"/>
    <w:rsid w:val="00131079"/>
    <w:rsid w:val="00131286"/>
    <w:rsid w:val="0013137F"/>
    <w:rsid w:val="00131CFF"/>
    <w:rsid w:val="0013207B"/>
    <w:rsid w:val="00132F23"/>
    <w:rsid w:val="001339C7"/>
    <w:rsid w:val="0013439F"/>
    <w:rsid w:val="00134CFF"/>
    <w:rsid w:val="001354C4"/>
    <w:rsid w:val="0013576B"/>
    <w:rsid w:val="00135E1A"/>
    <w:rsid w:val="00135EA0"/>
    <w:rsid w:val="0013612A"/>
    <w:rsid w:val="00136401"/>
    <w:rsid w:val="0013713A"/>
    <w:rsid w:val="00137394"/>
    <w:rsid w:val="001374AA"/>
    <w:rsid w:val="00137D06"/>
    <w:rsid w:val="0014014B"/>
    <w:rsid w:val="00140FD2"/>
    <w:rsid w:val="001413E1"/>
    <w:rsid w:val="00141547"/>
    <w:rsid w:val="001415D7"/>
    <w:rsid w:val="00142017"/>
    <w:rsid w:val="00142240"/>
    <w:rsid w:val="0014255F"/>
    <w:rsid w:val="00142CFB"/>
    <w:rsid w:val="00142F37"/>
    <w:rsid w:val="00143391"/>
    <w:rsid w:val="00143584"/>
    <w:rsid w:val="0014377F"/>
    <w:rsid w:val="0014417C"/>
    <w:rsid w:val="0014509C"/>
    <w:rsid w:val="00145998"/>
    <w:rsid w:val="001459C0"/>
    <w:rsid w:val="001466D5"/>
    <w:rsid w:val="001478CD"/>
    <w:rsid w:val="00147ACA"/>
    <w:rsid w:val="00150013"/>
    <w:rsid w:val="00150030"/>
    <w:rsid w:val="0015018B"/>
    <w:rsid w:val="0015036D"/>
    <w:rsid w:val="0015064B"/>
    <w:rsid w:val="00150BF8"/>
    <w:rsid w:val="00150FA2"/>
    <w:rsid w:val="00150FE5"/>
    <w:rsid w:val="00151691"/>
    <w:rsid w:val="00151D69"/>
    <w:rsid w:val="00152B09"/>
    <w:rsid w:val="00152BF8"/>
    <w:rsid w:val="0015441B"/>
    <w:rsid w:val="0015461C"/>
    <w:rsid w:val="001548E4"/>
    <w:rsid w:val="00154DBE"/>
    <w:rsid w:val="00154F71"/>
    <w:rsid w:val="00155623"/>
    <w:rsid w:val="00155B5C"/>
    <w:rsid w:val="00155BFA"/>
    <w:rsid w:val="00155DD8"/>
    <w:rsid w:val="0015610C"/>
    <w:rsid w:val="001561DB"/>
    <w:rsid w:val="001563FD"/>
    <w:rsid w:val="00156835"/>
    <w:rsid w:val="00156897"/>
    <w:rsid w:val="00156FA2"/>
    <w:rsid w:val="00161727"/>
    <w:rsid w:val="00162900"/>
    <w:rsid w:val="00162CFA"/>
    <w:rsid w:val="00162DF7"/>
    <w:rsid w:val="0016315C"/>
    <w:rsid w:val="001644E1"/>
    <w:rsid w:val="001647ED"/>
    <w:rsid w:val="00165A14"/>
    <w:rsid w:val="00165CDA"/>
    <w:rsid w:val="00165E59"/>
    <w:rsid w:val="001674A7"/>
    <w:rsid w:val="00167A0E"/>
    <w:rsid w:val="00167CB1"/>
    <w:rsid w:val="00167FC6"/>
    <w:rsid w:val="00170196"/>
    <w:rsid w:val="001701B3"/>
    <w:rsid w:val="001702A2"/>
    <w:rsid w:val="00170CE9"/>
    <w:rsid w:val="00171074"/>
    <w:rsid w:val="00171621"/>
    <w:rsid w:val="001718B7"/>
    <w:rsid w:val="00171E71"/>
    <w:rsid w:val="00172261"/>
    <w:rsid w:val="00172364"/>
    <w:rsid w:val="001723AC"/>
    <w:rsid w:val="00172B4E"/>
    <w:rsid w:val="001732AD"/>
    <w:rsid w:val="00173763"/>
    <w:rsid w:val="00173770"/>
    <w:rsid w:val="00173850"/>
    <w:rsid w:val="00173A43"/>
    <w:rsid w:val="00174543"/>
    <w:rsid w:val="00174D26"/>
    <w:rsid w:val="00174D89"/>
    <w:rsid w:val="00175407"/>
    <w:rsid w:val="00175A6C"/>
    <w:rsid w:val="00176395"/>
    <w:rsid w:val="00176949"/>
    <w:rsid w:val="00176C80"/>
    <w:rsid w:val="00176E88"/>
    <w:rsid w:val="0017752D"/>
    <w:rsid w:val="00177CA1"/>
    <w:rsid w:val="00177CBA"/>
    <w:rsid w:val="00177CDA"/>
    <w:rsid w:val="00180292"/>
    <w:rsid w:val="001805F0"/>
    <w:rsid w:val="0018096C"/>
    <w:rsid w:val="00180CD5"/>
    <w:rsid w:val="0018141A"/>
    <w:rsid w:val="0018162C"/>
    <w:rsid w:val="00182752"/>
    <w:rsid w:val="00182ADB"/>
    <w:rsid w:val="00182F25"/>
    <w:rsid w:val="001838A6"/>
    <w:rsid w:val="00183B5B"/>
    <w:rsid w:val="00183EC0"/>
    <w:rsid w:val="00183EFD"/>
    <w:rsid w:val="00183F4D"/>
    <w:rsid w:val="00184540"/>
    <w:rsid w:val="0018460A"/>
    <w:rsid w:val="00184A84"/>
    <w:rsid w:val="00185078"/>
    <w:rsid w:val="00185210"/>
    <w:rsid w:val="0018560B"/>
    <w:rsid w:val="0018588C"/>
    <w:rsid w:val="00186CC4"/>
    <w:rsid w:val="00190586"/>
    <w:rsid w:val="001908FC"/>
    <w:rsid w:val="00191C98"/>
    <w:rsid w:val="00191FDA"/>
    <w:rsid w:val="0019312C"/>
    <w:rsid w:val="00193C61"/>
    <w:rsid w:val="001962D4"/>
    <w:rsid w:val="001964F8"/>
    <w:rsid w:val="001966FC"/>
    <w:rsid w:val="00196F67"/>
    <w:rsid w:val="00197690"/>
    <w:rsid w:val="00197760"/>
    <w:rsid w:val="00197EFC"/>
    <w:rsid w:val="001A0550"/>
    <w:rsid w:val="001A0ABD"/>
    <w:rsid w:val="001A0B40"/>
    <w:rsid w:val="001A0D73"/>
    <w:rsid w:val="001A1B6F"/>
    <w:rsid w:val="001A2A4B"/>
    <w:rsid w:val="001A33E8"/>
    <w:rsid w:val="001A40CD"/>
    <w:rsid w:val="001A4172"/>
    <w:rsid w:val="001A4E46"/>
    <w:rsid w:val="001A5AAE"/>
    <w:rsid w:val="001A5D2F"/>
    <w:rsid w:val="001A64C2"/>
    <w:rsid w:val="001A6CEA"/>
    <w:rsid w:val="001A6D7B"/>
    <w:rsid w:val="001A7567"/>
    <w:rsid w:val="001A7778"/>
    <w:rsid w:val="001A7DC4"/>
    <w:rsid w:val="001B05AC"/>
    <w:rsid w:val="001B07B6"/>
    <w:rsid w:val="001B0DE2"/>
    <w:rsid w:val="001B1BC8"/>
    <w:rsid w:val="001B1D2F"/>
    <w:rsid w:val="001B1F14"/>
    <w:rsid w:val="001B2E0E"/>
    <w:rsid w:val="001B3FBC"/>
    <w:rsid w:val="001B4090"/>
    <w:rsid w:val="001B4305"/>
    <w:rsid w:val="001B490C"/>
    <w:rsid w:val="001B596D"/>
    <w:rsid w:val="001B5ADA"/>
    <w:rsid w:val="001B62FC"/>
    <w:rsid w:val="001B697B"/>
    <w:rsid w:val="001B6F12"/>
    <w:rsid w:val="001B6FDC"/>
    <w:rsid w:val="001B73F6"/>
    <w:rsid w:val="001B7A84"/>
    <w:rsid w:val="001C0489"/>
    <w:rsid w:val="001C0A49"/>
    <w:rsid w:val="001C14B5"/>
    <w:rsid w:val="001C1E56"/>
    <w:rsid w:val="001C285F"/>
    <w:rsid w:val="001C2DDF"/>
    <w:rsid w:val="001C2E54"/>
    <w:rsid w:val="001C2F57"/>
    <w:rsid w:val="001C3480"/>
    <w:rsid w:val="001C35A4"/>
    <w:rsid w:val="001C39CA"/>
    <w:rsid w:val="001C3B28"/>
    <w:rsid w:val="001C3C41"/>
    <w:rsid w:val="001C3F6D"/>
    <w:rsid w:val="001C473C"/>
    <w:rsid w:val="001C4F81"/>
    <w:rsid w:val="001C5195"/>
    <w:rsid w:val="001C5266"/>
    <w:rsid w:val="001C5D02"/>
    <w:rsid w:val="001C624E"/>
    <w:rsid w:val="001C664E"/>
    <w:rsid w:val="001C6736"/>
    <w:rsid w:val="001C6B76"/>
    <w:rsid w:val="001C7292"/>
    <w:rsid w:val="001C7374"/>
    <w:rsid w:val="001C7A19"/>
    <w:rsid w:val="001C7EAB"/>
    <w:rsid w:val="001D111E"/>
    <w:rsid w:val="001D2409"/>
    <w:rsid w:val="001D247E"/>
    <w:rsid w:val="001D24E4"/>
    <w:rsid w:val="001D29A0"/>
    <w:rsid w:val="001D2AB5"/>
    <w:rsid w:val="001D2C76"/>
    <w:rsid w:val="001D30C6"/>
    <w:rsid w:val="001D31BC"/>
    <w:rsid w:val="001D383F"/>
    <w:rsid w:val="001D4B57"/>
    <w:rsid w:val="001D5182"/>
    <w:rsid w:val="001D58BB"/>
    <w:rsid w:val="001D635A"/>
    <w:rsid w:val="001D6CF0"/>
    <w:rsid w:val="001D7094"/>
    <w:rsid w:val="001D7B8D"/>
    <w:rsid w:val="001E03FB"/>
    <w:rsid w:val="001E04C0"/>
    <w:rsid w:val="001E058B"/>
    <w:rsid w:val="001E075C"/>
    <w:rsid w:val="001E097C"/>
    <w:rsid w:val="001E0A8F"/>
    <w:rsid w:val="001E13D0"/>
    <w:rsid w:val="001E1E4A"/>
    <w:rsid w:val="001E28E7"/>
    <w:rsid w:val="001E2BB5"/>
    <w:rsid w:val="001E36E5"/>
    <w:rsid w:val="001E40A2"/>
    <w:rsid w:val="001E4ECC"/>
    <w:rsid w:val="001E4F4E"/>
    <w:rsid w:val="001E5AD5"/>
    <w:rsid w:val="001E5F9C"/>
    <w:rsid w:val="001E6596"/>
    <w:rsid w:val="001E68F3"/>
    <w:rsid w:val="001E7068"/>
    <w:rsid w:val="001E7550"/>
    <w:rsid w:val="001E797C"/>
    <w:rsid w:val="001F000E"/>
    <w:rsid w:val="001F000F"/>
    <w:rsid w:val="001F0462"/>
    <w:rsid w:val="001F0598"/>
    <w:rsid w:val="001F0C55"/>
    <w:rsid w:val="001F1479"/>
    <w:rsid w:val="001F18B6"/>
    <w:rsid w:val="001F1A29"/>
    <w:rsid w:val="001F1D72"/>
    <w:rsid w:val="001F1FCC"/>
    <w:rsid w:val="001F2166"/>
    <w:rsid w:val="001F275E"/>
    <w:rsid w:val="001F303C"/>
    <w:rsid w:val="001F3AB5"/>
    <w:rsid w:val="001F3B9D"/>
    <w:rsid w:val="001F43D3"/>
    <w:rsid w:val="001F4C1D"/>
    <w:rsid w:val="001F5524"/>
    <w:rsid w:val="001F62B4"/>
    <w:rsid w:val="001F6341"/>
    <w:rsid w:val="001F6E25"/>
    <w:rsid w:val="001F6EA8"/>
    <w:rsid w:val="001F70F2"/>
    <w:rsid w:val="001F76B3"/>
    <w:rsid w:val="001F7AF4"/>
    <w:rsid w:val="0020012A"/>
    <w:rsid w:val="0020026B"/>
    <w:rsid w:val="0020064A"/>
    <w:rsid w:val="00201336"/>
    <w:rsid w:val="00201640"/>
    <w:rsid w:val="002018A4"/>
    <w:rsid w:val="002019E2"/>
    <w:rsid w:val="00201CB1"/>
    <w:rsid w:val="002031E3"/>
    <w:rsid w:val="0020394A"/>
    <w:rsid w:val="00203AEF"/>
    <w:rsid w:val="002040E7"/>
    <w:rsid w:val="002042C6"/>
    <w:rsid w:val="00204805"/>
    <w:rsid w:val="00204D27"/>
    <w:rsid w:val="0020537C"/>
    <w:rsid w:val="002056A2"/>
    <w:rsid w:val="002056D5"/>
    <w:rsid w:val="0020594D"/>
    <w:rsid w:val="0020633D"/>
    <w:rsid w:val="00206435"/>
    <w:rsid w:val="00206664"/>
    <w:rsid w:val="00206790"/>
    <w:rsid w:val="002069C3"/>
    <w:rsid w:val="00206B61"/>
    <w:rsid w:val="00207126"/>
    <w:rsid w:val="00207548"/>
    <w:rsid w:val="00207A22"/>
    <w:rsid w:val="00207B05"/>
    <w:rsid w:val="002100F2"/>
    <w:rsid w:val="002103FE"/>
    <w:rsid w:val="00210E29"/>
    <w:rsid w:val="00211220"/>
    <w:rsid w:val="0021173B"/>
    <w:rsid w:val="002117E3"/>
    <w:rsid w:val="00211B19"/>
    <w:rsid w:val="00211D81"/>
    <w:rsid w:val="00212235"/>
    <w:rsid w:val="00212DB6"/>
    <w:rsid w:val="002136D7"/>
    <w:rsid w:val="002138FA"/>
    <w:rsid w:val="00214096"/>
    <w:rsid w:val="002145E9"/>
    <w:rsid w:val="00214A1D"/>
    <w:rsid w:val="00214A58"/>
    <w:rsid w:val="0021515C"/>
    <w:rsid w:val="0021543E"/>
    <w:rsid w:val="002157BA"/>
    <w:rsid w:val="00216B19"/>
    <w:rsid w:val="00216C4A"/>
    <w:rsid w:val="00216F1C"/>
    <w:rsid w:val="00217656"/>
    <w:rsid w:val="00217734"/>
    <w:rsid w:val="00217CC9"/>
    <w:rsid w:val="0022002F"/>
    <w:rsid w:val="002208CE"/>
    <w:rsid w:val="00222089"/>
    <w:rsid w:val="002222C3"/>
    <w:rsid w:val="002236E7"/>
    <w:rsid w:val="00223A9C"/>
    <w:rsid w:val="002249CC"/>
    <w:rsid w:val="00224F6D"/>
    <w:rsid w:val="002259E0"/>
    <w:rsid w:val="00225BD9"/>
    <w:rsid w:val="00225F51"/>
    <w:rsid w:val="00226280"/>
    <w:rsid w:val="00226611"/>
    <w:rsid w:val="00227A88"/>
    <w:rsid w:val="00230435"/>
    <w:rsid w:val="0023048C"/>
    <w:rsid w:val="0023060A"/>
    <w:rsid w:val="00230A7E"/>
    <w:rsid w:val="002315A3"/>
    <w:rsid w:val="00231A20"/>
    <w:rsid w:val="00231AC7"/>
    <w:rsid w:val="00231F02"/>
    <w:rsid w:val="00232A57"/>
    <w:rsid w:val="00232DC5"/>
    <w:rsid w:val="002336FC"/>
    <w:rsid w:val="00233B81"/>
    <w:rsid w:val="00234D32"/>
    <w:rsid w:val="002352B3"/>
    <w:rsid w:val="00235361"/>
    <w:rsid w:val="00235670"/>
    <w:rsid w:val="002358EE"/>
    <w:rsid w:val="00235B21"/>
    <w:rsid w:val="00235F7A"/>
    <w:rsid w:val="0023605A"/>
    <w:rsid w:val="00236FB8"/>
    <w:rsid w:val="00237038"/>
    <w:rsid w:val="00237513"/>
    <w:rsid w:val="002400EB"/>
    <w:rsid w:val="00240867"/>
    <w:rsid w:val="002408F8"/>
    <w:rsid w:val="00241931"/>
    <w:rsid w:val="00241F37"/>
    <w:rsid w:val="0024205F"/>
    <w:rsid w:val="00242A0D"/>
    <w:rsid w:val="00242E9F"/>
    <w:rsid w:val="002431FD"/>
    <w:rsid w:val="00243264"/>
    <w:rsid w:val="002434D4"/>
    <w:rsid w:val="00243F77"/>
    <w:rsid w:val="002448ED"/>
    <w:rsid w:val="00244EA5"/>
    <w:rsid w:val="002454D8"/>
    <w:rsid w:val="0024591C"/>
    <w:rsid w:val="00245955"/>
    <w:rsid w:val="00245EE3"/>
    <w:rsid w:val="00246C04"/>
    <w:rsid w:val="002475D1"/>
    <w:rsid w:val="00247B5B"/>
    <w:rsid w:val="00247E36"/>
    <w:rsid w:val="002500FF"/>
    <w:rsid w:val="00250535"/>
    <w:rsid w:val="00250665"/>
    <w:rsid w:val="00251E68"/>
    <w:rsid w:val="0025206A"/>
    <w:rsid w:val="00252152"/>
    <w:rsid w:val="0025224F"/>
    <w:rsid w:val="0025235E"/>
    <w:rsid w:val="00252F1D"/>
    <w:rsid w:val="002542B5"/>
    <w:rsid w:val="00254576"/>
    <w:rsid w:val="00254CE1"/>
    <w:rsid w:val="00254E09"/>
    <w:rsid w:val="00255236"/>
    <w:rsid w:val="0025531D"/>
    <w:rsid w:val="0025580D"/>
    <w:rsid w:val="00255A3C"/>
    <w:rsid w:val="00256350"/>
    <w:rsid w:val="00256A0B"/>
    <w:rsid w:val="002571A8"/>
    <w:rsid w:val="00257223"/>
    <w:rsid w:val="00257C0E"/>
    <w:rsid w:val="002602E2"/>
    <w:rsid w:val="00260F29"/>
    <w:rsid w:val="002610E7"/>
    <w:rsid w:val="00261A54"/>
    <w:rsid w:val="0026205D"/>
    <w:rsid w:val="002623CC"/>
    <w:rsid w:val="0026244C"/>
    <w:rsid w:val="0026289B"/>
    <w:rsid w:val="002631FD"/>
    <w:rsid w:val="00263583"/>
    <w:rsid w:val="00263EDA"/>
    <w:rsid w:val="00263FEB"/>
    <w:rsid w:val="00264ADF"/>
    <w:rsid w:val="00264E87"/>
    <w:rsid w:val="002653EF"/>
    <w:rsid w:val="00265E6E"/>
    <w:rsid w:val="0026600A"/>
    <w:rsid w:val="002660F4"/>
    <w:rsid w:val="00266112"/>
    <w:rsid w:val="002661D7"/>
    <w:rsid w:val="00267615"/>
    <w:rsid w:val="00267B8F"/>
    <w:rsid w:val="00267DEB"/>
    <w:rsid w:val="00270A76"/>
    <w:rsid w:val="00271554"/>
    <w:rsid w:val="0027170F"/>
    <w:rsid w:val="00271AA5"/>
    <w:rsid w:val="00272105"/>
    <w:rsid w:val="002722C7"/>
    <w:rsid w:val="00272482"/>
    <w:rsid w:val="00272AAD"/>
    <w:rsid w:val="00273C4B"/>
    <w:rsid w:val="00273CD8"/>
    <w:rsid w:val="00273FB7"/>
    <w:rsid w:val="002745F7"/>
    <w:rsid w:val="002752E8"/>
    <w:rsid w:val="00275DB0"/>
    <w:rsid w:val="00276DF5"/>
    <w:rsid w:val="00277B96"/>
    <w:rsid w:val="00277D0F"/>
    <w:rsid w:val="0028100D"/>
    <w:rsid w:val="002817D8"/>
    <w:rsid w:val="00281A27"/>
    <w:rsid w:val="00281F78"/>
    <w:rsid w:val="00282CC4"/>
    <w:rsid w:val="00282FAE"/>
    <w:rsid w:val="0028317D"/>
    <w:rsid w:val="00283323"/>
    <w:rsid w:val="0028361F"/>
    <w:rsid w:val="002837CD"/>
    <w:rsid w:val="00284176"/>
    <w:rsid w:val="00284CBA"/>
    <w:rsid w:val="00285DBD"/>
    <w:rsid w:val="002862A0"/>
    <w:rsid w:val="002864CA"/>
    <w:rsid w:val="0028692C"/>
    <w:rsid w:val="00286985"/>
    <w:rsid w:val="00286B2A"/>
    <w:rsid w:val="00286FF6"/>
    <w:rsid w:val="00287022"/>
    <w:rsid w:val="00287030"/>
    <w:rsid w:val="0028774E"/>
    <w:rsid w:val="00287B07"/>
    <w:rsid w:val="002904BF"/>
    <w:rsid w:val="002906AC"/>
    <w:rsid w:val="00290AE0"/>
    <w:rsid w:val="0029166A"/>
    <w:rsid w:val="0029192A"/>
    <w:rsid w:val="00292D56"/>
    <w:rsid w:val="00294AA4"/>
    <w:rsid w:val="00295B8C"/>
    <w:rsid w:val="00295E1A"/>
    <w:rsid w:val="0029631F"/>
    <w:rsid w:val="00297083"/>
    <w:rsid w:val="00297F5B"/>
    <w:rsid w:val="002A0772"/>
    <w:rsid w:val="002A0F0A"/>
    <w:rsid w:val="002A1175"/>
    <w:rsid w:val="002A153F"/>
    <w:rsid w:val="002A1617"/>
    <w:rsid w:val="002A197B"/>
    <w:rsid w:val="002A1FEE"/>
    <w:rsid w:val="002A22D0"/>
    <w:rsid w:val="002A264F"/>
    <w:rsid w:val="002A287A"/>
    <w:rsid w:val="002A28EE"/>
    <w:rsid w:val="002A35B4"/>
    <w:rsid w:val="002A3B3B"/>
    <w:rsid w:val="002A3E71"/>
    <w:rsid w:val="002A44F3"/>
    <w:rsid w:val="002A465E"/>
    <w:rsid w:val="002A49A0"/>
    <w:rsid w:val="002A5A2D"/>
    <w:rsid w:val="002A6873"/>
    <w:rsid w:val="002A6A37"/>
    <w:rsid w:val="002A6AD0"/>
    <w:rsid w:val="002A6F8F"/>
    <w:rsid w:val="002A72E3"/>
    <w:rsid w:val="002A7D65"/>
    <w:rsid w:val="002A7D72"/>
    <w:rsid w:val="002A7EDD"/>
    <w:rsid w:val="002A7F9A"/>
    <w:rsid w:val="002B0674"/>
    <w:rsid w:val="002B0CA1"/>
    <w:rsid w:val="002B0E11"/>
    <w:rsid w:val="002B103E"/>
    <w:rsid w:val="002B13FD"/>
    <w:rsid w:val="002B1DF7"/>
    <w:rsid w:val="002B1FF3"/>
    <w:rsid w:val="002B20D0"/>
    <w:rsid w:val="002B23F9"/>
    <w:rsid w:val="002B255F"/>
    <w:rsid w:val="002B25B3"/>
    <w:rsid w:val="002B2ADA"/>
    <w:rsid w:val="002B332E"/>
    <w:rsid w:val="002B33B3"/>
    <w:rsid w:val="002B35BA"/>
    <w:rsid w:val="002B382E"/>
    <w:rsid w:val="002B46AD"/>
    <w:rsid w:val="002B4A65"/>
    <w:rsid w:val="002B52B1"/>
    <w:rsid w:val="002B5609"/>
    <w:rsid w:val="002B57D8"/>
    <w:rsid w:val="002B5F35"/>
    <w:rsid w:val="002B7A4B"/>
    <w:rsid w:val="002B7E98"/>
    <w:rsid w:val="002C08E8"/>
    <w:rsid w:val="002C0A55"/>
    <w:rsid w:val="002C0F02"/>
    <w:rsid w:val="002C1F89"/>
    <w:rsid w:val="002C1FA3"/>
    <w:rsid w:val="002C253F"/>
    <w:rsid w:val="002C2FA4"/>
    <w:rsid w:val="002C35DE"/>
    <w:rsid w:val="002C3952"/>
    <w:rsid w:val="002C3B90"/>
    <w:rsid w:val="002C3CCD"/>
    <w:rsid w:val="002C4BFA"/>
    <w:rsid w:val="002C4D25"/>
    <w:rsid w:val="002C5478"/>
    <w:rsid w:val="002C55B2"/>
    <w:rsid w:val="002C575F"/>
    <w:rsid w:val="002C5981"/>
    <w:rsid w:val="002C5D5E"/>
    <w:rsid w:val="002C630E"/>
    <w:rsid w:val="002C6669"/>
    <w:rsid w:val="002C7301"/>
    <w:rsid w:val="002D07BC"/>
    <w:rsid w:val="002D17E3"/>
    <w:rsid w:val="002D1E2D"/>
    <w:rsid w:val="002D2122"/>
    <w:rsid w:val="002D21A1"/>
    <w:rsid w:val="002D244B"/>
    <w:rsid w:val="002D2C4D"/>
    <w:rsid w:val="002D2FC7"/>
    <w:rsid w:val="002D30F8"/>
    <w:rsid w:val="002D31BC"/>
    <w:rsid w:val="002D3A2E"/>
    <w:rsid w:val="002D3D17"/>
    <w:rsid w:val="002D4824"/>
    <w:rsid w:val="002D5388"/>
    <w:rsid w:val="002D5AF5"/>
    <w:rsid w:val="002D5D59"/>
    <w:rsid w:val="002D62CB"/>
    <w:rsid w:val="002D6882"/>
    <w:rsid w:val="002D6C18"/>
    <w:rsid w:val="002D6EAD"/>
    <w:rsid w:val="002D78F8"/>
    <w:rsid w:val="002D7FFB"/>
    <w:rsid w:val="002E00CC"/>
    <w:rsid w:val="002E044F"/>
    <w:rsid w:val="002E0A4C"/>
    <w:rsid w:val="002E0BA6"/>
    <w:rsid w:val="002E115F"/>
    <w:rsid w:val="002E1325"/>
    <w:rsid w:val="002E16B3"/>
    <w:rsid w:val="002E1FC0"/>
    <w:rsid w:val="002E208F"/>
    <w:rsid w:val="002E2EC6"/>
    <w:rsid w:val="002E2FDE"/>
    <w:rsid w:val="002E3250"/>
    <w:rsid w:val="002E32D4"/>
    <w:rsid w:val="002E3638"/>
    <w:rsid w:val="002E3896"/>
    <w:rsid w:val="002E389F"/>
    <w:rsid w:val="002E3D79"/>
    <w:rsid w:val="002E4544"/>
    <w:rsid w:val="002E46B6"/>
    <w:rsid w:val="002E571E"/>
    <w:rsid w:val="002E5AC3"/>
    <w:rsid w:val="002E5D66"/>
    <w:rsid w:val="002E6A07"/>
    <w:rsid w:val="002E6A49"/>
    <w:rsid w:val="002E7CF0"/>
    <w:rsid w:val="002F008F"/>
    <w:rsid w:val="002F06F3"/>
    <w:rsid w:val="002F0A10"/>
    <w:rsid w:val="002F0B4F"/>
    <w:rsid w:val="002F10B8"/>
    <w:rsid w:val="002F133C"/>
    <w:rsid w:val="002F166E"/>
    <w:rsid w:val="002F175D"/>
    <w:rsid w:val="002F1D90"/>
    <w:rsid w:val="002F2295"/>
    <w:rsid w:val="002F2382"/>
    <w:rsid w:val="002F2733"/>
    <w:rsid w:val="002F29B3"/>
    <w:rsid w:val="002F2D00"/>
    <w:rsid w:val="002F3263"/>
    <w:rsid w:val="002F3A75"/>
    <w:rsid w:val="002F3E40"/>
    <w:rsid w:val="002F43DA"/>
    <w:rsid w:val="002F4733"/>
    <w:rsid w:val="002F511F"/>
    <w:rsid w:val="002F5204"/>
    <w:rsid w:val="002F54A6"/>
    <w:rsid w:val="002F6062"/>
    <w:rsid w:val="002F6083"/>
    <w:rsid w:val="002F68B1"/>
    <w:rsid w:val="002F710C"/>
    <w:rsid w:val="002F736C"/>
    <w:rsid w:val="002F76A7"/>
    <w:rsid w:val="002F7C7C"/>
    <w:rsid w:val="00300AD4"/>
    <w:rsid w:val="003013F6"/>
    <w:rsid w:val="00301943"/>
    <w:rsid w:val="003029AC"/>
    <w:rsid w:val="003031CB"/>
    <w:rsid w:val="003032E4"/>
    <w:rsid w:val="00303551"/>
    <w:rsid w:val="00303936"/>
    <w:rsid w:val="00304056"/>
    <w:rsid w:val="003042BE"/>
    <w:rsid w:val="00304B5F"/>
    <w:rsid w:val="00304BE0"/>
    <w:rsid w:val="0030508D"/>
    <w:rsid w:val="00305393"/>
    <w:rsid w:val="0030588A"/>
    <w:rsid w:val="003063B8"/>
    <w:rsid w:val="003069B2"/>
    <w:rsid w:val="00306EDB"/>
    <w:rsid w:val="00306F46"/>
    <w:rsid w:val="00307045"/>
    <w:rsid w:val="0030735D"/>
    <w:rsid w:val="00307766"/>
    <w:rsid w:val="00310309"/>
    <w:rsid w:val="00310739"/>
    <w:rsid w:val="00311C79"/>
    <w:rsid w:val="00312158"/>
    <w:rsid w:val="00312435"/>
    <w:rsid w:val="00312875"/>
    <w:rsid w:val="00312B2C"/>
    <w:rsid w:val="00312DEB"/>
    <w:rsid w:val="0031363F"/>
    <w:rsid w:val="00313777"/>
    <w:rsid w:val="00313C73"/>
    <w:rsid w:val="00313CED"/>
    <w:rsid w:val="00313DE8"/>
    <w:rsid w:val="003140CA"/>
    <w:rsid w:val="00314183"/>
    <w:rsid w:val="003146C3"/>
    <w:rsid w:val="003147D3"/>
    <w:rsid w:val="00314E35"/>
    <w:rsid w:val="00314FC0"/>
    <w:rsid w:val="00315E70"/>
    <w:rsid w:val="0031643F"/>
    <w:rsid w:val="00316457"/>
    <w:rsid w:val="003175A4"/>
    <w:rsid w:val="003176EF"/>
    <w:rsid w:val="003178A7"/>
    <w:rsid w:val="0032120D"/>
    <w:rsid w:val="0032140C"/>
    <w:rsid w:val="00321B55"/>
    <w:rsid w:val="00321BA4"/>
    <w:rsid w:val="00321D7C"/>
    <w:rsid w:val="003225C7"/>
    <w:rsid w:val="0032298B"/>
    <w:rsid w:val="0032348E"/>
    <w:rsid w:val="00323593"/>
    <w:rsid w:val="00323658"/>
    <w:rsid w:val="0032366A"/>
    <w:rsid w:val="00323768"/>
    <w:rsid w:val="00323A88"/>
    <w:rsid w:val="00324B43"/>
    <w:rsid w:val="00324EF8"/>
    <w:rsid w:val="003250C9"/>
    <w:rsid w:val="00325C42"/>
    <w:rsid w:val="00325DB3"/>
    <w:rsid w:val="00325F99"/>
    <w:rsid w:val="003269E0"/>
    <w:rsid w:val="00326BC0"/>
    <w:rsid w:val="00326DC5"/>
    <w:rsid w:val="00327708"/>
    <w:rsid w:val="00327CE4"/>
    <w:rsid w:val="00327D31"/>
    <w:rsid w:val="00327FA3"/>
    <w:rsid w:val="003306B8"/>
    <w:rsid w:val="00330D19"/>
    <w:rsid w:val="003311A7"/>
    <w:rsid w:val="003317E5"/>
    <w:rsid w:val="003318DD"/>
    <w:rsid w:val="003321C4"/>
    <w:rsid w:val="00332292"/>
    <w:rsid w:val="00332837"/>
    <w:rsid w:val="003329CD"/>
    <w:rsid w:val="00332C41"/>
    <w:rsid w:val="00333910"/>
    <w:rsid w:val="00333D10"/>
    <w:rsid w:val="00333D52"/>
    <w:rsid w:val="00334975"/>
    <w:rsid w:val="00334E00"/>
    <w:rsid w:val="00334E30"/>
    <w:rsid w:val="00335603"/>
    <w:rsid w:val="0033692E"/>
    <w:rsid w:val="00336A82"/>
    <w:rsid w:val="00336CC5"/>
    <w:rsid w:val="00337532"/>
    <w:rsid w:val="00337E9F"/>
    <w:rsid w:val="003402CA"/>
    <w:rsid w:val="003405DB"/>
    <w:rsid w:val="00340A6C"/>
    <w:rsid w:val="00341935"/>
    <w:rsid w:val="00341B3A"/>
    <w:rsid w:val="00341CF6"/>
    <w:rsid w:val="0034308E"/>
    <w:rsid w:val="00343BF5"/>
    <w:rsid w:val="003442CE"/>
    <w:rsid w:val="0034487F"/>
    <w:rsid w:val="00344961"/>
    <w:rsid w:val="00345108"/>
    <w:rsid w:val="00345B66"/>
    <w:rsid w:val="00345BEA"/>
    <w:rsid w:val="00345D3B"/>
    <w:rsid w:val="00345D7A"/>
    <w:rsid w:val="00346343"/>
    <w:rsid w:val="003465E5"/>
    <w:rsid w:val="0034663A"/>
    <w:rsid w:val="003469E2"/>
    <w:rsid w:val="00346AFD"/>
    <w:rsid w:val="00346FF3"/>
    <w:rsid w:val="0034704A"/>
    <w:rsid w:val="00347F81"/>
    <w:rsid w:val="003501A4"/>
    <w:rsid w:val="00350579"/>
    <w:rsid w:val="003508C2"/>
    <w:rsid w:val="00351D0A"/>
    <w:rsid w:val="003528DA"/>
    <w:rsid w:val="00352954"/>
    <w:rsid w:val="00353408"/>
    <w:rsid w:val="00353F9B"/>
    <w:rsid w:val="0035401E"/>
    <w:rsid w:val="003540CF"/>
    <w:rsid w:val="003541ED"/>
    <w:rsid w:val="003552C3"/>
    <w:rsid w:val="00356043"/>
    <w:rsid w:val="003566B5"/>
    <w:rsid w:val="00356875"/>
    <w:rsid w:val="00357661"/>
    <w:rsid w:val="00357D7D"/>
    <w:rsid w:val="00360502"/>
    <w:rsid w:val="00361638"/>
    <w:rsid w:val="00361B95"/>
    <w:rsid w:val="003622C3"/>
    <w:rsid w:val="003627A7"/>
    <w:rsid w:val="00362E3D"/>
    <w:rsid w:val="00362E52"/>
    <w:rsid w:val="0036356E"/>
    <w:rsid w:val="00363827"/>
    <w:rsid w:val="00363CAD"/>
    <w:rsid w:val="00364945"/>
    <w:rsid w:val="0036531F"/>
    <w:rsid w:val="003653AD"/>
    <w:rsid w:val="003654DF"/>
    <w:rsid w:val="00365642"/>
    <w:rsid w:val="003657B5"/>
    <w:rsid w:val="00366AAC"/>
    <w:rsid w:val="00366DE1"/>
    <w:rsid w:val="00367185"/>
    <w:rsid w:val="0036782C"/>
    <w:rsid w:val="00367DF7"/>
    <w:rsid w:val="0037035D"/>
    <w:rsid w:val="003703E6"/>
    <w:rsid w:val="003706B0"/>
    <w:rsid w:val="003708B1"/>
    <w:rsid w:val="00370C88"/>
    <w:rsid w:val="00370DAC"/>
    <w:rsid w:val="00371734"/>
    <w:rsid w:val="00371B5E"/>
    <w:rsid w:val="00372261"/>
    <w:rsid w:val="003722A7"/>
    <w:rsid w:val="0037251E"/>
    <w:rsid w:val="003727C4"/>
    <w:rsid w:val="0037284C"/>
    <w:rsid w:val="0037340C"/>
    <w:rsid w:val="00373B71"/>
    <w:rsid w:val="00373CB9"/>
    <w:rsid w:val="00373D52"/>
    <w:rsid w:val="0037409B"/>
    <w:rsid w:val="00374827"/>
    <w:rsid w:val="00374AC0"/>
    <w:rsid w:val="00374B59"/>
    <w:rsid w:val="00374F96"/>
    <w:rsid w:val="00375837"/>
    <w:rsid w:val="0037583E"/>
    <w:rsid w:val="00375EB9"/>
    <w:rsid w:val="00376195"/>
    <w:rsid w:val="00376229"/>
    <w:rsid w:val="003765EF"/>
    <w:rsid w:val="0037665D"/>
    <w:rsid w:val="00376FFA"/>
    <w:rsid w:val="003775DC"/>
    <w:rsid w:val="00377AA2"/>
    <w:rsid w:val="00377ADA"/>
    <w:rsid w:val="00377B5D"/>
    <w:rsid w:val="00377E86"/>
    <w:rsid w:val="0038002D"/>
    <w:rsid w:val="003800F2"/>
    <w:rsid w:val="00380568"/>
    <w:rsid w:val="003808AD"/>
    <w:rsid w:val="00380D9B"/>
    <w:rsid w:val="00380DAD"/>
    <w:rsid w:val="00381221"/>
    <w:rsid w:val="00381B97"/>
    <w:rsid w:val="00381C73"/>
    <w:rsid w:val="00381D6D"/>
    <w:rsid w:val="00382105"/>
    <w:rsid w:val="00382AA7"/>
    <w:rsid w:val="00382AFF"/>
    <w:rsid w:val="00382DDA"/>
    <w:rsid w:val="00383178"/>
    <w:rsid w:val="00383309"/>
    <w:rsid w:val="00383615"/>
    <w:rsid w:val="00383AB9"/>
    <w:rsid w:val="00383B56"/>
    <w:rsid w:val="003847FE"/>
    <w:rsid w:val="00384A42"/>
    <w:rsid w:val="003858F0"/>
    <w:rsid w:val="00386B5A"/>
    <w:rsid w:val="00386F5A"/>
    <w:rsid w:val="00387234"/>
    <w:rsid w:val="0039002B"/>
    <w:rsid w:val="0039066D"/>
    <w:rsid w:val="003909ED"/>
    <w:rsid w:val="00390C35"/>
    <w:rsid w:val="00391AC0"/>
    <w:rsid w:val="00391C91"/>
    <w:rsid w:val="00391E82"/>
    <w:rsid w:val="00391F9A"/>
    <w:rsid w:val="003926CC"/>
    <w:rsid w:val="00392737"/>
    <w:rsid w:val="003928FC"/>
    <w:rsid w:val="00392958"/>
    <w:rsid w:val="00392F1B"/>
    <w:rsid w:val="00392FC1"/>
    <w:rsid w:val="00393880"/>
    <w:rsid w:val="003943A0"/>
    <w:rsid w:val="00394AA7"/>
    <w:rsid w:val="00394E86"/>
    <w:rsid w:val="0039506D"/>
    <w:rsid w:val="00395580"/>
    <w:rsid w:val="00396DAA"/>
    <w:rsid w:val="00396EF6"/>
    <w:rsid w:val="0039715A"/>
    <w:rsid w:val="00397257"/>
    <w:rsid w:val="003975F1"/>
    <w:rsid w:val="00397904"/>
    <w:rsid w:val="00397D4B"/>
    <w:rsid w:val="003A022D"/>
    <w:rsid w:val="003A032A"/>
    <w:rsid w:val="003A036C"/>
    <w:rsid w:val="003A03FA"/>
    <w:rsid w:val="003A04C3"/>
    <w:rsid w:val="003A060B"/>
    <w:rsid w:val="003A0620"/>
    <w:rsid w:val="003A0A57"/>
    <w:rsid w:val="003A0E6B"/>
    <w:rsid w:val="003A1193"/>
    <w:rsid w:val="003A12E3"/>
    <w:rsid w:val="003A1D03"/>
    <w:rsid w:val="003A1E02"/>
    <w:rsid w:val="003A2A05"/>
    <w:rsid w:val="003A3712"/>
    <w:rsid w:val="003A3B6D"/>
    <w:rsid w:val="003A42FD"/>
    <w:rsid w:val="003A4378"/>
    <w:rsid w:val="003A498E"/>
    <w:rsid w:val="003A4CD9"/>
    <w:rsid w:val="003A5C35"/>
    <w:rsid w:val="003A668C"/>
    <w:rsid w:val="003A6B9D"/>
    <w:rsid w:val="003A6C3E"/>
    <w:rsid w:val="003A6C5F"/>
    <w:rsid w:val="003A74A8"/>
    <w:rsid w:val="003B0452"/>
    <w:rsid w:val="003B0846"/>
    <w:rsid w:val="003B0C45"/>
    <w:rsid w:val="003B0EA9"/>
    <w:rsid w:val="003B103A"/>
    <w:rsid w:val="003B1AAA"/>
    <w:rsid w:val="003B1D0E"/>
    <w:rsid w:val="003B1DA3"/>
    <w:rsid w:val="003B2206"/>
    <w:rsid w:val="003B2367"/>
    <w:rsid w:val="003B27F2"/>
    <w:rsid w:val="003B2B86"/>
    <w:rsid w:val="003B32E3"/>
    <w:rsid w:val="003B398C"/>
    <w:rsid w:val="003B3B35"/>
    <w:rsid w:val="003B3C26"/>
    <w:rsid w:val="003B46AC"/>
    <w:rsid w:val="003B4A5A"/>
    <w:rsid w:val="003B52BC"/>
    <w:rsid w:val="003B533F"/>
    <w:rsid w:val="003B543F"/>
    <w:rsid w:val="003B577E"/>
    <w:rsid w:val="003B5FE6"/>
    <w:rsid w:val="003B6148"/>
    <w:rsid w:val="003B661E"/>
    <w:rsid w:val="003B66AB"/>
    <w:rsid w:val="003B6ABD"/>
    <w:rsid w:val="003B6C53"/>
    <w:rsid w:val="003B6CBA"/>
    <w:rsid w:val="003B7291"/>
    <w:rsid w:val="003B7EA6"/>
    <w:rsid w:val="003C01FC"/>
    <w:rsid w:val="003C0427"/>
    <w:rsid w:val="003C057D"/>
    <w:rsid w:val="003C1092"/>
    <w:rsid w:val="003C130A"/>
    <w:rsid w:val="003C210B"/>
    <w:rsid w:val="003C2180"/>
    <w:rsid w:val="003C2293"/>
    <w:rsid w:val="003C2964"/>
    <w:rsid w:val="003C2D55"/>
    <w:rsid w:val="003C30BC"/>
    <w:rsid w:val="003C350D"/>
    <w:rsid w:val="003C400E"/>
    <w:rsid w:val="003C4636"/>
    <w:rsid w:val="003C52E7"/>
    <w:rsid w:val="003C671E"/>
    <w:rsid w:val="003D0535"/>
    <w:rsid w:val="003D0B56"/>
    <w:rsid w:val="003D0F9C"/>
    <w:rsid w:val="003D2CD8"/>
    <w:rsid w:val="003D2F46"/>
    <w:rsid w:val="003D30F5"/>
    <w:rsid w:val="003D31F6"/>
    <w:rsid w:val="003D35C9"/>
    <w:rsid w:val="003D3E31"/>
    <w:rsid w:val="003D42C6"/>
    <w:rsid w:val="003D49E9"/>
    <w:rsid w:val="003D4CD5"/>
    <w:rsid w:val="003D559A"/>
    <w:rsid w:val="003D5912"/>
    <w:rsid w:val="003D5AA8"/>
    <w:rsid w:val="003D6002"/>
    <w:rsid w:val="003D713F"/>
    <w:rsid w:val="003D7A0F"/>
    <w:rsid w:val="003E0A63"/>
    <w:rsid w:val="003E1201"/>
    <w:rsid w:val="003E1312"/>
    <w:rsid w:val="003E1D35"/>
    <w:rsid w:val="003E2A45"/>
    <w:rsid w:val="003E3744"/>
    <w:rsid w:val="003E3800"/>
    <w:rsid w:val="003E47AF"/>
    <w:rsid w:val="003E4A85"/>
    <w:rsid w:val="003E53C6"/>
    <w:rsid w:val="003E5A73"/>
    <w:rsid w:val="003E60AF"/>
    <w:rsid w:val="003E73D3"/>
    <w:rsid w:val="003E7679"/>
    <w:rsid w:val="003E7BE5"/>
    <w:rsid w:val="003F01B9"/>
    <w:rsid w:val="003F0412"/>
    <w:rsid w:val="003F0484"/>
    <w:rsid w:val="003F0625"/>
    <w:rsid w:val="003F087D"/>
    <w:rsid w:val="003F08C1"/>
    <w:rsid w:val="003F0A39"/>
    <w:rsid w:val="003F1381"/>
    <w:rsid w:val="003F182C"/>
    <w:rsid w:val="003F1D5B"/>
    <w:rsid w:val="003F1D9C"/>
    <w:rsid w:val="003F1D9E"/>
    <w:rsid w:val="003F1ECC"/>
    <w:rsid w:val="003F227A"/>
    <w:rsid w:val="003F270B"/>
    <w:rsid w:val="003F28A6"/>
    <w:rsid w:val="003F29A6"/>
    <w:rsid w:val="003F2B00"/>
    <w:rsid w:val="003F420C"/>
    <w:rsid w:val="003F4A5D"/>
    <w:rsid w:val="003F4F44"/>
    <w:rsid w:val="003F51C3"/>
    <w:rsid w:val="003F5453"/>
    <w:rsid w:val="003F59A3"/>
    <w:rsid w:val="003F5DA8"/>
    <w:rsid w:val="003F678B"/>
    <w:rsid w:val="003F67B5"/>
    <w:rsid w:val="003F6B09"/>
    <w:rsid w:val="003F6C1B"/>
    <w:rsid w:val="003F6D7A"/>
    <w:rsid w:val="003F6E78"/>
    <w:rsid w:val="003F7F62"/>
    <w:rsid w:val="004000D4"/>
    <w:rsid w:val="00400285"/>
    <w:rsid w:val="0040041E"/>
    <w:rsid w:val="00400B72"/>
    <w:rsid w:val="00401496"/>
    <w:rsid w:val="004018D5"/>
    <w:rsid w:val="00401965"/>
    <w:rsid w:val="00402D89"/>
    <w:rsid w:val="00402F58"/>
    <w:rsid w:val="00403676"/>
    <w:rsid w:val="00405738"/>
    <w:rsid w:val="00405A98"/>
    <w:rsid w:val="00405DA4"/>
    <w:rsid w:val="00405F29"/>
    <w:rsid w:val="00406CB6"/>
    <w:rsid w:val="00406E89"/>
    <w:rsid w:val="0041106F"/>
    <w:rsid w:val="004114B8"/>
    <w:rsid w:val="00411C89"/>
    <w:rsid w:val="0041201E"/>
    <w:rsid w:val="00412834"/>
    <w:rsid w:val="00412F99"/>
    <w:rsid w:val="00413BC7"/>
    <w:rsid w:val="00413C9B"/>
    <w:rsid w:val="00413EF1"/>
    <w:rsid w:val="00413FE6"/>
    <w:rsid w:val="004144E6"/>
    <w:rsid w:val="00414EE5"/>
    <w:rsid w:val="00416361"/>
    <w:rsid w:val="004165EB"/>
    <w:rsid w:val="00416E23"/>
    <w:rsid w:val="004171D2"/>
    <w:rsid w:val="00417375"/>
    <w:rsid w:val="00417494"/>
    <w:rsid w:val="00417CCA"/>
    <w:rsid w:val="00417F17"/>
    <w:rsid w:val="00420161"/>
    <w:rsid w:val="00420472"/>
    <w:rsid w:val="004204F7"/>
    <w:rsid w:val="004208B1"/>
    <w:rsid w:val="00421727"/>
    <w:rsid w:val="00421EF2"/>
    <w:rsid w:val="004223F3"/>
    <w:rsid w:val="004229AD"/>
    <w:rsid w:val="00422C35"/>
    <w:rsid w:val="00422D77"/>
    <w:rsid w:val="00422FB8"/>
    <w:rsid w:val="00424F03"/>
    <w:rsid w:val="0042534C"/>
    <w:rsid w:val="004255E2"/>
    <w:rsid w:val="00425A44"/>
    <w:rsid w:val="00425F31"/>
    <w:rsid w:val="0042647F"/>
    <w:rsid w:val="004268B8"/>
    <w:rsid w:val="0042693E"/>
    <w:rsid w:val="00426BC4"/>
    <w:rsid w:val="00427123"/>
    <w:rsid w:val="00427923"/>
    <w:rsid w:val="00427A0C"/>
    <w:rsid w:val="00427C30"/>
    <w:rsid w:val="00427D6B"/>
    <w:rsid w:val="00427DB9"/>
    <w:rsid w:val="00427EB1"/>
    <w:rsid w:val="004307D5"/>
    <w:rsid w:val="00430828"/>
    <w:rsid w:val="00430A91"/>
    <w:rsid w:val="00431B45"/>
    <w:rsid w:val="00431F3D"/>
    <w:rsid w:val="00432C13"/>
    <w:rsid w:val="0043300A"/>
    <w:rsid w:val="00433538"/>
    <w:rsid w:val="00433866"/>
    <w:rsid w:val="004338FF"/>
    <w:rsid w:val="0043404D"/>
    <w:rsid w:val="004346C7"/>
    <w:rsid w:val="00434806"/>
    <w:rsid w:val="00434DD0"/>
    <w:rsid w:val="00434DD2"/>
    <w:rsid w:val="004351FA"/>
    <w:rsid w:val="004355E1"/>
    <w:rsid w:val="0043621E"/>
    <w:rsid w:val="00436B86"/>
    <w:rsid w:val="00437040"/>
    <w:rsid w:val="004371B6"/>
    <w:rsid w:val="004371CD"/>
    <w:rsid w:val="00437321"/>
    <w:rsid w:val="0043785A"/>
    <w:rsid w:val="00437C03"/>
    <w:rsid w:val="00437EB0"/>
    <w:rsid w:val="00440173"/>
    <w:rsid w:val="004402E3"/>
    <w:rsid w:val="004405BE"/>
    <w:rsid w:val="0044064F"/>
    <w:rsid w:val="004406E1"/>
    <w:rsid w:val="0044194C"/>
    <w:rsid w:val="00441DC3"/>
    <w:rsid w:val="004420BA"/>
    <w:rsid w:val="00442351"/>
    <w:rsid w:val="00442375"/>
    <w:rsid w:val="0044249E"/>
    <w:rsid w:val="00443135"/>
    <w:rsid w:val="00443EE2"/>
    <w:rsid w:val="0044428C"/>
    <w:rsid w:val="004443FF"/>
    <w:rsid w:val="004445C9"/>
    <w:rsid w:val="00444976"/>
    <w:rsid w:val="00445498"/>
    <w:rsid w:val="00445860"/>
    <w:rsid w:val="00445898"/>
    <w:rsid w:val="00445A6B"/>
    <w:rsid w:val="00445C57"/>
    <w:rsid w:val="00445FAF"/>
    <w:rsid w:val="0044668B"/>
    <w:rsid w:val="00446774"/>
    <w:rsid w:val="00446916"/>
    <w:rsid w:val="0044697C"/>
    <w:rsid w:val="00446E70"/>
    <w:rsid w:val="00447166"/>
    <w:rsid w:val="00447D34"/>
    <w:rsid w:val="00447D92"/>
    <w:rsid w:val="0045008F"/>
    <w:rsid w:val="004508E1"/>
    <w:rsid w:val="00450AE9"/>
    <w:rsid w:val="004523B9"/>
    <w:rsid w:val="00452A3A"/>
    <w:rsid w:val="00452E06"/>
    <w:rsid w:val="004534BD"/>
    <w:rsid w:val="004534DC"/>
    <w:rsid w:val="0045377C"/>
    <w:rsid w:val="004547E6"/>
    <w:rsid w:val="00455AC9"/>
    <w:rsid w:val="00455B6C"/>
    <w:rsid w:val="00456200"/>
    <w:rsid w:val="004562D8"/>
    <w:rsid w:val="00456B74"/>
    <w:rsid w:val="00457856"/>
    <w:rsid w:val="00457C19"/>
    <w:rsid w:val="00460478"/>
    <w:rsid w:val="004613DB"/>
    <w:rsid w:val="00461CE5"/>
    <w:rsid w:val="00462076"/>
    <w:rsid w:val="00462528"/>
    <w:rsid w:val="0046261B"/>
    <w:rsid w:val="00462914"/>
    <w:rsid w:val="00462C1A"/>
    <w:rsid w:val="00462C66"/>
    <w:rsid w:val="00463997"/>
    <w:rsid w:val="00463A0D"/>
    <w:rsid w:val="00463ABB"/>
    <w:rsid w:val="004642A9"/>
    <w:rsid w:val="00464791"/>
    <w:rsid w:val="00464A59"/>
    <w:rsid w:val="00464D29"/>
    <w:rsid w:val="00465A66"/>
    <w:rsid w:val="00465E75"/>
    <w:rsid w:val="004669C9"/>
    <w:rsid w:val="00467E4D"/>
    <w:rsid w:val="00467FE1"/>
    <w:rsid w:val="004705C9"/>
    <w:rsid w:val="004708A1"/>
    <w:rsid w:val="00470D91"/>
    <w:rsid w:val="00470F91"/>
    <w:rsid w:val="0047102C"/>
    <w:rsid w:val="00471CF6"/>
    <w:rsid w:val="00471EA3"/>
    <w:rsid w:val="00472347"/>
    <w:rsid w:val="004726C1"/>
    <w:rsid w:val="0047270B"/>
    <w:rsid w:val="00472C53"/>
    <w:rsid w:val="0047310E"/>
    <w:rsid w:val="00473910"/>
    <w:rsid w:val="004740B0"/>
    <w:rsid w:val="004741C4"/>
    <w:rsid w:val="0047425C"/>
    <w:rsid w:val="00474760"/>
    <w:rsid w:val="0047532A"/>
    <w:rsid w:val="0047552B"/>
    <w:rsid w:val="004755B2"/>
    <w:rsid w:val="0047580A"/>
    <w:rsid w:val="004760BF"/>
    <w:rsid w:val="00476B72"/>
    <w:rsid w:val="00476C34"/>
    <w:rsid w:val="00476F6C"/>
    <w:rsid w:val="004770E3"/>
    <w:rsid w:val="004775F9"/>
    <w:rsid w:val="00477713"/>
    <w:rsid w:val="00477B3B"/>
    <w:rsid w:val="00477CDE"/>
    <w:rsid w:val="00477E92"/>
    <w:rsid w:val="00477EE1"/>
    <w:rsid w:val="004801F5"/>
    <w:rsid w:val="00480B34"/>
    <w:rsid w:val="0048103D"/>
    <w:rsid w:val="0048238D"/>
    <w:rsid w:val="004828E1"/>
    <w:rsid w:val="00482FBD"/>
    <w:rsid w:val="00483413"/>
    <w:rsid w:val="0048353C"/>
    <w:rsid w:val="00483B36"/>
    <w:rsid w:val="00485A6B"/>
    <w:rsid w:val="0048636A"/>
    <w:rsid w:val="004864F7"/>
    <w:rsid w:val="00486576"/>
    <w:rsid w:val="0048718B"/>
    <w:rsid w:val="00487521"/>
    <w:rsid w:val="0049002D"/>
    <w:rsid w:val="004900F8"/>
    <w:rsid w:val="00490734"/>
    <w:rsid w:val="00490B1C"/>
    <w:rsid w:val="00490CC8"/>
    <w:rsid w:val="00490E6E"/>
    <w:rsid w:val="00490FBB"/>
    <w:rsid w:val="004911E8"/>
    <w:rsid w:val="004911EC"/>
    <w:rsid w:val="00491636"/>
    <w:rsid w:val="00491BB1"/>
    <w:rsid w:val="00491E3B"/>
    <w:rsid w:val="00491E90"/>
    <w:rsid w:val="004929FA"/>
    <w:rsid w:val="00492A22"/>
    <w:rsid w:val="0049359C"/>
    <w:rsid w:val="00494796"/>
    <w:rsid w:val="00494876"/>
    <w:rsid w:val="004948F8"/>
    <w:rsid w:val="00494F23"/>
    <w:rsid w:val="00494FA4"/>
    <w:rsid w:val="004952BC"/>
    <w:rsid w:val="004957FC"/>
    <w:rsid w:val="00495E60"/>
    <w:rsid w:val="0049608D"/>
    <w:rsid w:val="00496E65"/>
    <w:rsid w:val="0049744A"/>
    <w:rsid w:val="004978EE"/>
    <w:rsid w:val="00497BE6"/>
    <w:rsid w:val="004A00C0"/>
    <w:rsid w:val="004A05BC"/>
    <w:rsid w:val="004A0984"/>
    <w:rsid w:val="004A0D42"/>
    <w:rsid w:val="004A0D91"/>
    <w:rsid w:val="004A0DE7"/>
    <w:rsid w:val="004A0F40"/>
    <w:rsid w:val="004A1162"/>
    <w:rsid w:val="004A16B8"/>
    <w:rsid w:val="004A1EBF"/>
    <w:rsid w:val="004A26AE"/>
    <w:rsid w:val="004A297A"/>
    <w:rsid w:val="004A2B75"/>
    <w:rsid w:val="004A2E31"/>
    <w:rsid w:val="004A38D0"/>
    <w:rsid w:val="004A394D"/>
    <w:rsid w:val="004A3B74"/>
    <w:rsid w:val="004A3BE8"/>
    <w:rsid w:val="004A4029"/>
    <w:rsid w:val="004A41E7"/>
    <w:rsid w:val="004A430D"/>
    <w:rsid w:val="004A569F"/>
    <w:rsid w:val="004A5931"/>
    <w:rsid w:val="004A5BD7"/>
    <w:rsid w:val="004A5C8F"/>
    <w:rsid w:val="004A6344"/>
    <w:rsid w:val="004A7550"/>
    <w:rsid w:val="004A7F1C"/>
    <w:rsid w:val="004A7F37"/>
    <w:rsid w:val="004B0159"/>
    <w:rsid w:val="004B0194"/>
    <w:rsid w:val="004B040B"/>
    <w:rsid w:val="004B074E"/>
    <w:rsid w:val="004B0EE2"/>
    <w:rsid w:val="004B101A"/>
    <w:rsid w:val="004B11ED"/>
    <w:rsid w:val="004B1A87"/>
    <w:rsid w:val="004B1B9D"/>
    <w:rsid w:val="004B214C"/>
    <w:rsid w:val="004B2990"/>
    <w:rsid w:val="004B2EE2"/>
    <w:rsid w:val="004B30C1"/>
    <w:rsid w:val="004B3239"/>
    <w:rsid w:val="004B41E9"/>
    <w:rsid w:val="004B4273"/>
    <w:rsid w:val="004B42EC"/>
    <w:rsid w:val="004B430E"/>
    <w:rsid w:val="004B43DB"/>
    <w:rsid w:val="004B4E47"/>
    <w:rsid w:val="004B4F6B"/>
    <w:rsid w:val="004B521D"/>
    <w:rsid w:val="004B6B06"/>
    <w:rsid w:val="004B75A1"/>
    <w:rsid w:val="004B7BF9"/>
    <w:rsid w:val="004C0273"/>
    <w:rsid w:val="004C0DC2"/>
    <w:rsid w:val="004C0F8C"/>
    <w:rsid w:val="004C1F3E"/>
    <w:rsid w:val="004C241E"/>
    <w:rsid w:val="004C2538"/>
    <w:rsid w:val="004C2C5E"/>
    <w:rsid w:val="004C3262"/>
    <w:rsid w:val="004C326B"/>
    <w:rsid w:val="004C37C9"/>
    <w:rsid w:val="004C4736"/>
    <w:rsid w:val="004C669F"/>
    <w:rsid w:val="004C677B"/>
    <w:rsid w:val="004C6EA6"/>
    <w:rsid w:val="004C6F9B"/>
    <w:rsid w:val="004C72DD"/>
    <w:rsid w:val="004C73EE"/>
    <w:rsid w:val="004C7408"/>
    <w:rsid w:val="004C7458"/>
    <w:rsid w:val="004C76D7"/>
    <w:rsid w:val="004C7CC3"/>
    <w:rsid w:val="004D065B"/>
    <w:rsid w:val="004D0A38"/>
    <w:rsid w:val="004D0C0E"/>
    <w:rsid w:val="004D1235"/>
    <w:rsid w:val="004D1A0A"/>
    <w:rsid w:val="004D1B6E"/>
    <w:rsid w:val="004D24FA"/>
    <w:rsid w:val="004D2826"/>
    <w:rsid w:val="004D2AC1"/>
    <w:rsid w:val="004D2BAB"/>
    <w:rsid w:val="004D2BE8"/>
    <w:rsid w:val="004D2FDE"/>
    <w:rsid w:val="004D3FED"/>
    <w:rsid w:val="004D40AA"/>
    <w:rsid w:val="004D54EE"/>
    <w:rsid w:val="004D5D2B"/>
    <w:rsid w:val="004D6ACB"/>
    <w:rsid w:val="004D701C"/>
    <w:rsid w:val="004D7237"/>
    <w:rsid w:val="004D723C"/>
    <w:rsid w:val="004D72A7"/>
    <w:rsid w:val="004D7548"/>
    <w:rsid w:val="004D7755"/>
    <w:rsid w:val="004D7FE1"/>
    <w:rsid w:val="004E04AE"/>
    <w:rsid w:val="004E1643"/>
    <w:rsid w:val="004E179C"/>
    <w:rsid w:val="004E2105"/>
    <w:rsid w:val="004E21D5"/>
    <w:rsid w:val="004E2808"/>
    <w:rsid w:val="004E305D"/>
    <w:rsid w:val="004E3478"/>
    <w:rsid w:val="004E3ABF"/>
    <w:rsid w:val="004E3B8F"/>
    <w:rsid w:val="004E3E20"/>
    <w:rsid w:val="004E3E85"/>
    <w:rsid w:val="004E4343"/>
    <w:rsid w:val="004E45EC"/>
    <w:rsid w:val="004E4631"/>
    <w:rsid w:val="004E46E4"/>
    <w:rsid w:val="004E4D16"/>
    <w:rsid w:val="004E56EA"/>
    <w:rsid w:val="004E5DBD"/>
    <w:rsid w:val="004E6571"/>
    <w:rsid w:val="004E7217"/>
    <w:rsid w:val="004E787C"/>
    <w:rsid w:val="004E79B8"/>
    <w:rsid w:val="004E79BA"/>
    <w:rsid w:val="004F1794"/>
    <w:rsid w:val="004F18B5"/>
    <w:rsid w:val="004F1926"/>
    <w:rsid w:val="004F1E8B"/>
    <w:rsid w:val="004F1F19"/>
    <w:rsid w:val="004F2478"/>
    <w:rsid w:val="004F284E"/>
    <w:rsid w:val="004F2F49"/>
    <w:rsid w:val="004F2F76"/>
    <w:rsid w:val="004F34C0"/>
    <w:rsid w:val="004F47DE"/>
    <w:rsid w:val="004F577E"/>
    <w:rsid w:val="004F59D6"/>
    <w:rsid w:val="004F5F09"/>
    <w:rsid w:val="004F66D9"/>
    <w:rsid w:val="004F6886"/>
    <w:rsid w:val="004F6A4C"/>
    <w:rsid w:val="004F7505"/>
    <w:rsid w:val="004F7778"/>
    <w:rsid w:val="004F7A63"/>
    <w:rsid w:val="004F7E3B"/>
    <w:rsid w:val="004F7FCB"/>
    <w:rsid w:val="0050145D"/>
    <w:rsid w:val="00501C2B"/>
    <w:rsid w:val="0050277B"/>
    <w:rsid w:val="0050292F"/>
    <w:rsid w:val="005029EE"/>
    <w:rsid w:val="005030AA"/>
    <w:rsid w:val="00503301"/>
    <w:rsid w:val="00503F3E"/>
    <w:rsid w:val="0050454D"/>
    <w:rsid w:val="0050518C"/>
    <w:rsid w:val="00505419"/>
    <w:rsid w:val="00505577"/>
    <w:rsid w:val="00505733"/>
    <w:rsid w:val="00506D8C"/>
    <w:rsid w:val="0050796C"/>
    <w:rsid w:val="005112FB"/>
    <w:rsid w:val="005114CB"/>
    <w:rsid w:val="00511898"/>
    <w:rsid w:val="00511A0B"/>
    <w:rsid w:val="00511DAC"/>
    <w:rsid w:val="00511F42"/>
    <w:rsid w:val="00512220"/>
    <w:rsid w:val="00512377"/>
    <w:rsid w:val="0051275F"/>
    <w:rsid w:val="00512E13"/>
    <w:rsid w:val="00513922"/>
    <w:rsid w:val="005140A5"/>
    <w:rsid w:val="0051416C"/>
    <w:rsid w:val="0051452F"/>
    <w:rsid w:val="005145E3"/>
    <w:rsid w:val="0051469A"/>
    <w:rsid w:val="00514C19"/>
    <w:rsid w:val="00514E9C"/>
    <w:rsid w:val="0051521A"/>
    <w:rsid w:val="00516195"/>
    <w:rsid w:val="00516432"/>
    <w:rsid w:val="00516B46"/>
    <w:rsid w:val="00517B31"/>
    <w:rsid w:val="00517CA8"/>
    <w:rsid w:val="00520D76"/>
    <w:rsid w:val="00522BCF"/>
    <w:rsid w:val="00522FAA"/>
    <w:rsid w:val="00523596"/>
    <w:rsid w:val="0052372B"/>
    <w:rsid w:val="005244FC"/>
    <w:rsid w:val="005254AC"/>
    <w:rsid w:val="00525A8A"/>
    <w:rsid w:val="00525EE4"/>
    <w:rsid w:val="00526585"/>
    <w:rsid w:val="005269E7"/>
    <w:rsid w:val="00526E97"/>
    <w:rsid w:val="00527C95"/>
    <w:rsid w:val="005307A2"/>
    <w:rsid w:val="005308AC"/>
    <w:rsid w:val="00530E5D"/>
    <w:rsid w:val="00530E7D"/>
    <w:rsid w:val="00530F50"/>
    <w:rsid w:val="00531787"/>
    <w:rsid w:val="005332E6"/>
    <w:rsid w:val="00533463"/>
    <w:rsid w:val="00533616"/>
    <w:rsid w:val="00533BCD"/>
    <w:rsid w:val="00533D49"/>
    <w:rsid w:val="0053441E"/>
    <w:rsid w:val="0053445B"/>
    <w:rsid w:val="005344C2"/>
    <w:rsid w:val="00534769"/>
    <w:rsid w:val="00534C31"/>
    <w:rsid w:val="00535209"/>
    <w:rsid w:val="00535576"/>
    <w:rsid w:val="00535915"/>
    <w:rsid w:val="00536F60"/>
    <w:rsid w:val="00537161"/>
    <w:rsid w:val="005377D7"/>
    <w:rsid w:val="00537A35"/>
    <w:rsid w:val="00537EC1"/>
    <w:rsid w:val="00540ADD"/>
    <w:rsid w:val="00540D04"/>
    <w:rsid w:val="00541057"/>
    <w:rsid w:val="005410D7"/>
    <w:rsid w:val="005413A6"/>
    <w:rsid w:val="00541CC6"/>
    <w:rsid w:val="00541CD2"/>
    <w:rsid w:val="005426B9"/>
    <w:rsid w:val="005426BA"/>
    <w:rsid w:val="0054274C"/>
    <w:rsid w:val="00542C54"/>
    <w:rsid w:val="005437FA"/>
    <w:rsid w:val="00543D37"/>
    <w:rsid w:val="00543F65"/>
    <w:rsid w:val="00544672"/>
    <w:rsid w:val="00544961"/>
    <w:rsid w:val="00544B24"/>
    <w:rsid w:val="00544B47"/>
    <w:rsid w:val="00544D28"/>
    <w:rsid w:val="00545088"/>
    <w:rsid w:val="005451A0"/>
    <w:rsid w:val="00545344"/>
    <w:rsid w:val="005458E4"/>
    <w:rsid w:val="00545D6E"/>
    <w:rsid w:val="00546440"/>
    <w:rsid w:val="005468EF"/>
    <w:rsid w:val="00546D43"/>
    <w:rsid w:val="00547871"/>
    <w:rsid w:val="00547886"/>
    <w:rsid w:val="005478CB"/>
    <w:rsid w:val="00550458"/>
    <w:rsid w:val="00550723"/>
    <w:rsid w:val="0055086B"/>
    <w:rsid w:val="0055096A"/>
    <w:rsid w:val="0055138B"/>
    <w:rsid w:val="005513E9"/>
    <w:rsid w:val="00551472"/>
    <w:rsid w:val="00551AE2"/>
    <w:rsid w:val="00551B5D"/>
    <w:rsid w:val="00551CBA"/>
    <w:rsid w:val="00551E53"/>
    <w:rsid w:val="00552102"/>
    <w:rsid w:val="005523EB"/>
    <w:rsid w:val="005528C8"/>
    <w:rsid w:val="00552B68"/>
    <w:rsid w:val="00552C06"/>
    <w:rsid w:val="00553094"/>
    <w:rsid w:val="005535E8"/>
    <w:rsid w:val="00553601"/>
    <w:rsid w:val="00553BCA"/>
    <w:rsid w:val="00553E2C"/>
    <w:rsid w:val="005556CD"/>
    <w:rsid w:val="00555B94"/>
    <w:rsid w:val="00555D8B"/>
    <w:rsid w:val="00555DC4"/>
    <w:rsid w:val="00555EA8"/>
    <w:rsid w:val="005561A0"/>
    <w:rsid w:val="00556C16"/>
    <w:rsid w:val="00557173"/>
    <w:rsid w:val="005571AD"/>
    <w:rsid w:val="00557205"/>
    <w:rsid w:val="00557FD9"/>
    <w:rsid w:val="005605BA"/>
    <w:rsid w:val="00560A6B"/>
    <w:rsid w:val="00560AFE"/>
    <w:rsid w:val="0056101E"/>
    <w:rsid w:val="00561079"/>
    <w:rsid w:val="00561305"/>
    <w:rsid w:val="0056160A"/>
    <w:rsid w:val="0056181E"/>
    <w:rsid w:val="00561BD9"/>
    <w:rsid w:val="00561EC2"/>
    <w:rsid w:val="005622C0"/>
    <w:rsid w:val="0056287A"/>
    <w:rsid w:val="00562F62"/>
    <w:rsid w:val="00563711"/>
    <w:rsid w:val="00566107"/>
    <w:rsid w:val="0056623D"/>
    <w:rsid w:val="0056669D"/>
    <w:rsid w:val="00566C92"/>
    <w:rsid w:val="00566F00"/>
    <w:rsid w:val="00567150"/>
    <w:rsid w:val="005672AE"/>
    <w:rsid w:val="005673AD"/>
    <w:rsid w:val="0056744E"/>
    <w:rsid w:val="005700AE"/>
    <w:rsid w:val="00570208"/>
    <w:rsid w:val="00570508"/>
    <w:rsid w:val="005706E0"/>
    <w:rsid w:val="005710CC"/>
    <w:rsid w:val="00571140"/>
    <w:rsid w:val="005716BD"/>
    <w:rsid w:val="00571E84"/>
    <w:rsid w:val="00572165"/>
    <w:rsid w:val="00572D52"/>
    <w:rsid w:val="00573EC4"/>
    <w:rsid w:val="00574894"/>
    <w:rsid w:val="00574CED"/>
    <w:rsid w:val="005750DC"/>
    <w:rsid w:val="0057510D"/>
    <w:rsid w:val="005754F3"/>
    <w:rsid w:val="00575E85"/>
    <w:rsid w:val="00576348"/>
    <w:rsid w:val="00576849"/>
    <w:rsid w:val="005768EF"/>
    <w:rsid w:val="00576C80"/>
    <w:rsid w:val="005770FE"/>
    <w:rsid w:val="00577100"/>
    <w:rsid w:val="005771DC"/>
    <w:rsid w:val="00577814"/>
    <w:rsid w:val="00577C8A"/>
    <w:rsid w:val="00577FDA"/>
    <w:rsid w:val="00580AF4"/>
    <w:rsid w:val="005817D6"/>
    <w:rsid w:val="00581A8A"/>
    <w:rsid w:val="00581B8A"/>
    <w:rsid w:val="00581CD8"/>
    <w:rsid w:val="005820D7"/>
    <w:rsid w:val="00582208"/>
    <w:rsid w:val="00582667"/>
    <w:rsid w:val="00582731"/>
    <w:rsid w:val="005829C6"/>
    <w:rsid w:val="00582C89"/>
    <w:rsid w:val="00582F9E"/>
    <w:rsid w:val="0058340E"/>
    <w:rsid w:val="005848A8"/>
    <w:rsid w:val="00584AAC"/>
    <w:rsid w:val="00584F8A"/>
    <w:rsid w:val="00585BD1"/>
    <w:rsid w:val="005863C9"/>
    <w:rsid w:val="005863D4"/>
    <w:rsid w:val="00586EC8"/>
    <w:rsid w:val="005870A1"/>
    <w:rsid w:val="00587855"/>
    <w:rsid w:val="00587857"/>
    <w:rsid w:val="005879B8"/>
    <w:rsid w:val="00587E1E"/>
    <w:rsid w:val="0059091D"/>
    <w:rsid w:val="00590C54"/>
    <w:rsid w:val="00590C58"/>
    <w:rsid w:val="00590C85"/>
    <w:rsid w:val="00592532"/>
    <w:rsid w:val="00592719"/>
    <w:rsid w:val="00593624"/>
    <w:rsid w:val="00593825"/>
    <w:rsid w:val="00593A0D"/>
    <w:rsid w:val="00593FD1"/>
    <w:rsid w:val="0059515E"/>
    <w:rsid w:val="005959AA"/>
    <w:rsid w:val="0059691B"/>
    <w:rsid w:val="005973E3"/>
    <w:rsid w:val="00597811"/>
    <w:rsid w:val="00597981"/>
    <w:rsid w:val="00597984"/>
    <w:rsid w:val="00597C21"/>
    <w:rsid w:val="00597D66"/>
    <w:rsid w:val="00597F3D"/>
    <w:rsid w:val="00597FFA"/>
    <w:rsid w:val="005A0B91"/>
    <w:rsid w:val="005A0C40"/>
    <w:rsid w:val="005A0CA2"/>
    <w:rsid w:val="005A0CCF"/>
    <w:rsid w:val="005A0F80"/>
    <w:rsid w:val="005A142F"/>
    <w:rsid w:val="005A16E0"/>
    <w:rsid w:val="005A1974"/>
    <w:rsid w:val="005A197B"/>
    <w:rsid w:val="005A19B2"/>
    <w:rsid w:val="005A217E"/>
    <w:rsid w:val="005A25BC"/>
    <w:rsid w:val="005A27E1"/>
    <w:rsid w:val="005A2D75"/>
    <w:rsid w:val="005A4AC0"/>
    <w:rsid w:val="005A4CE2"/>
    <w:rsid w:val="005A4D24"/>
    <w:rsid w:val="005A4EDC"/>
    <w:rsid w:val="005A551C"/>
    <w:rsid w:val="005A6DCC"/>
    <w:rsid w:val="005A7BD6"/>
    <w:rsid w:val="005B034A"/>
    <w:rsid w:val="005B0CBF"/>
    <w:rsid w:val="005B0E13"/>
    <w:rsid w:val="005B0FDC"/>
    <w:rsid w:val="005B12A9"/>
    <w:rsid w:val="005B1682"/>
    <w:rsid w:val="005B1BF2"/>
    <w:rsid w:val="005B1F28"/>
    <w:rsid w:val="005B200B"/>
    <w:rsid w:val="005B28A4"/>
    <w:rsid w:val="005B2C95"/>
    <w:rsid w:val="005B2D18"/>
    <w:rsid w:val="005B3649"/>
    <w:rsid w:val="005B3D7B"/>
    <w:rsid w:val="005B4E1A"/>
    <w:rsid w:val="005B568C"/>
    <w:rsid w:val="005B6122"/>
    <w:rsid w:val="005B63A4"/>
    <w:rsid w:val="005B6C49"/>
    <w:rsid w:val="005B70E5"/>
    <w:rsid w:val="005B7264"/>
    <w:rsid w:val="005B75A3"/>
    <w:rsid w:val="005C00C1"/>
    <w:rsid w:val="005C011A"/>
    <w:rsid w:val="005C028B"/>
    <w:rsid w:val="005C0654"/>
    <w:rsid w:val="005C0854"/>
    <w:rsid w:val="005C0CB1"/>
    <w:rsid w:val="005C0DA8"/>
    <w:rsid w:val="005C118F"/>
    <w:rsid w:val="005C1511"/>
    <w:rsid w:val="005C1627"/>
    <w:rsid w:val="005C1E1F"/>
    <w:rsid w:val="005C1F40"/>
    <w:rsid w:val="005C26E8"/>
    <w:rsid w:val="005C2C0F"/>
    <w:rsid w:val="005C2D21"/>
    <w:rsid w:val="005C335B"/>
    <w:rsid w:val="005C4197"/>
    <w:rsid w:val="005C53E5"/>
    <w:rsid w:val="005C572F"/>
    <w:rsid w:val="005C5C96"/>
    <w:rsid w:val="005C60A8"/>
    <w:rsid w:val="005C6585"/>
    <w:rsid w:val="005C679C"/>
    <w:rsid w:val="005C67D1"/>
    <w:rsid w:val="005C6A41"/>
    <w:rsid w:val="005C6A78"/>
    <w:rsid w:val="005C6C5E"/>
    <w:rsid w:val="005C7077"/>
    <w:rsid w:val="005C7282"/>
    <w:rsid w:val="005C7342"/>
    <w:rsid w:val="005C7652"/>
    <w:rsid w:val="005C7918"/>
    <w:rsid w:val="005C7B57"/>
    <w:rsid w:val="005D03F9"/>
    <w:rsid w:val="005D0E76"/>
    <w:rsid w:val="005D1857"/>
    <w:rsid w:val="005D19F4"/>
    <w:rsid w:val="005D1C24"/>
    <w:rsid w:val="005D23EE"/>
    <w:rsid w:val="005D2D70"/>
    <w:rsid w:val="005D32A2"/>
    <w:rsid w:val="005D358D"/>
    <w:rsid w:val="005D3622"/>
    <w:rsid w:val="005D38B9"/>
    <w:rsid w:val="005D405F"/>
    <w:rsid w:val="005D4124"/>
    <w:rsid w:val="005D43B3"/>
    <w:rsid w:val="005D4432"/>
    <w:rsid w:val="005D45DB"/>
    <w:rsid w:val="005D506A"/>
    <w:rsid w:val="005D65E5"/>
    <w:rsid w:val="005D6A38"/>
    <w:rsid w:val="005D71AB"/>
    <w:rsid w:val="005E004E"/>
    <w:rsid w:val="005E00FC"/>
    <w:rsid w:val="005E0353"/>
    <w:rsid w:val="005E0AE1"/>
    <w:rsid w:val="005E11DE"/>
    <w:rsid w:val="005E140D"/>
    <w:rsid w:val="005E1430"/>
    <w:rsid w:val="005E1AC4"/>
    <w:rsid w:val="005E1F4A"/>
    <w:rsid w:val="005E27BD"/>
    <w:rsid w:val="005E2C3F"/>
    <w:rsid w:val="005E3134"/>
    <w:rsid w:val="005E3329"/>
    <w:rsid w:val="005E33A5"/>
    <w:rsid w:val="005E4188"/>
    <w:rsid w:val="005E454E"/>
    <w:rsid w:val="005E4C2B"/>
    <w:rsid w:val="005E55CC"/>
    <w:rsid w:val="005E59DE"/>
    <w:rsid w:val="005E5C44"/>
    <w:rsid w:val="005E5D70"/>
    <w:rsid w:val="005E5E70"/>
    <w:rsid w:val="005E5F18"/>
    <w:rsid w:val="005E7460"/>
    <w:rsid w:val="005E769D"/>
    <w:rsid w:val="005F04DD"/>
    <w:rsid w:val="005F05EC"/>
    <w:rsid w:val="005F113D"/>
    <w:rsid w:val="005F1383"/>
    <w:rsid w:val="005F1AD1"/>
    <w:rsid w:val="005F1F32"/>
    <w:rsid w:val="005F1F8B"/>
    <w:rsid w:val="005F2306"/>
    <w:rsid w:val="005F24DA"/>
    <w:rsid w:val="005F2E8A"/>
    <w:rsid w:val="005F3AC7"/>
    <w:rsid w:val="005F4929"/>
    <w:rsid w:val="005F4BDD"/>
    <w:rsid w:val="005F5BE2"/>
    <w:rsid w:val="005F5D9F"/>
    <w:rsid w:val="005F5E33"/>
    <w:rsid w:val="005F5E56"/>
    <w:rsid w:val="005F601E"/>
    <w:rsid w:val="005F73FE"/>
    <w:rsid w:val="005F7455"/>
    <w:rsid w:val="00600287"/>
    <w:rsid w:val="006012EF"/>
    <w:rsid w:val="00601DAC"/>
    <w:rsid w:val="00602B61"/>
    <w:rsid w:val="00602FD3"/>
    <w:rsid w:val="00603119"/>
    <w:rsid w:val="0060338E"/>
    <w:rsid w:val="006035C7"/>
    <w:rsid w:val="0060371E"/>
    <w:rsid w:val="0060383D"/>
    <w:rsid w:val="00604533"/>
    <w:rsid w:val="00604726"/>
    <w:rsid w:val="00605391"/>
    <w:rsid w:val="0060583D"/>
    <w:rsid w:val="00605939"/>
    <w:rsid w:val="00605995"/>
    <w:rsid w:val="00605F76"/>
    <w:rsid w:val="00606B01"/>
    <w:rsid w:val="006071B9"/>
    <w:rsid w:val="0060791F"/>
    <w:rsid w:val="00607F93"/>
    <w:rsid w:val="006107A9"/>
    <w:rsid w:val="006108D4"/>
    <w:rsid w:val="0061094A"/>
    <w:rsid w:val="00610DE6"/>
    <w:rsid w:val="00611118"/>
    <w:rsid w:val="00611829"/>
    <w:rsid w:val="00611938"/>
    <w:rsid w:val="00611D2C"/>
    <w:rsid w:val="006126C3"/>
    <w:rsid w:val="00612BC7"/>
    <w:rsid w:val="00612C5C"/>
    <w:rsid w:val="006131F3"/>
    <w:rsid w:val="00613AB5"/>
    <w:rsid w:val="00613AF1"/>
    <w:rsid w:val="00613BC1"/>
    <w:rsid w:val="00613E51"/>
    <w:rsid w:val="00613E5F"/>
    <w:rsid w:val="00613F12"/>
    <w:rsid w:val="006143CE"/>
    <w:rsid w:val="0061441C"/>
    <w:rsid w:val="00614D6C"/>
    <w:rsid w:val="006151A7"/>
    <w:rsid w:val="00615675"/>
    <w:rsid w:val="00615999"/>
    <w:rsid w:val="00615BD1"/>
    <w:rsid w:val="00615C3C"/>
    <w:rsid w:val="00615F97"/>
    <w:rsid w:val="006166DD"/>
    <w:rsid w:val="00617028"/>
    <w:rsid w:val="0061786F"/>
    <w:rsid w:val="00617D81"/>
    <w:rsid w:val="00620A98"/>
    <w:rsid w:val="00620EB3"/>
    <w:rsid w:val="0062127E"/>
    <w:rsid w:val="00622066"/>
    <w:rsid w:val="006233E2"/>
    <w:rsid w:val="00623889"/>
    <w:rsid w:val="0062479B"/>
    <w:rsid w:val="00624B3E"/>
    <w:rsid w:val="006253DD"/>
    <w:rsid w:val="006275F6"/>
    <w:rsid w:val="006276DD"/>
    <w:rsid w:val="00627895"/>
    <w:rsid w:val="00627CF9"/>
    <w:rsid w:val="00627ECF"/>
    <w:rsid w:val="00630F3C"/>
    <w:rsid w:val="00630F73"/>
    <w:rsid w:val="00631224"/>
    <w:rsid w:val="00631DEE"/>
    <w:rsid w:val="00632089"/>
    <w:rsid w:val="0063244A"/>
    <w:rsid w:val="00632530"/>
    <w:rsid w:val="0063275A"/>
    <w:rsid w:val="00632B45"/>
    <w:rsid w:val="0063391B"/>
    <w:rsid w:val="00633A07"/>
    <w:rsid w:val="00633A9A"/>
    <w:rsid w:val="00633D26"/>
    <w:rsid w:val="0063400D"/>
    <w:rsid w:val="0063402F"/>
    <w:rsid w:val="006346D5"/>
    <w:rsid w:val="00634E97"/>
    <w:rsid w:val="00634FCB"/>
    <w:rsid w:val="0063550E"/>
    <w:rsid w:val="00635884"/>
    <w:rsid w:val="00635B2C"/>
    <w:rsid w:val="00635B50"/>
    <w:rsid w:val="006365A3"/>
    <w:rsid w:val="00636720"/>
    <w:rsid w:val="00636B90"/>
    <w:rsid w:val="0063722E"/>
    <w:rsid w:val="006377F3"/>
    <w:rsid w:val="006379EB"/>
    <w:rsid w:val="006406B4"/>
    <w:rsid w:val="00640F8F"/>
    <w:rsid w:val="00641A7C"/>
    <w:rsid w:val="00641CF8"/>
    <w:rsid w:val="006428B8"/>
    <w:rsid w:val="00642BFE"/>
    <w:rsid w:val="00642E63"/>
    <w:rsid w:val="00643017"/>
    <w:rsid w:val="0064302E"/>
    <w:rsid w:val="006430ED"/>
    <w:rsid w:val="00643263"/>
    <w:rsid w:val="00643E92"/>
    <w:rsid w:val="00644533"/>
    <w:rsid w:val="00644A1F"/>
    <w:rsid w:val="00644ABC"/>
    <w:rsid w:val="00644CA7"/>
    <w:rsid w:val="00645932"/>
    <w:rsid w:val="00646342"/>
    <w:rsid w:val="006466A5"/>
    <w:rsid w:val="006478E7"/>
    <w:rsid w:val="00647E0D"/>
    <w:rsid w:val="00650047"/>
    <w:rsid w:val="0065030E"/>
    <w:rsid w:val="006505A1"/>
    <w:rsid w:val="00650832"/>
    <w:rsid w:val="0065128E"/>
    <w:rsid w:val="00651490"/>
    <w:rsid w:val="006515E3"/>
    <w:rsid w:val="00651938"/>
    <w:rsid w:val="0065205D"/>
    <w:rsid w:val="0065211B"/>
    <w:rsid w:val="00652C8C"/>
    <w:rsid w:val="00653A45"/>
    <w:rsid w:val="00653EB8"/>
    <w:rsid w:val="00654FA5"/>
    <w:rsid w:val="0065501A"/>
    <w:rsid w:val="00655B3B"/>
    <w:rsid w:val="00655BC0"/>
    <w:rsid w:val="00656A12"/>
    <w:rsid w:val="00656D2B"/>
    <w:rsid w:val="00657516"/>
    <w:rsid w:val="00657AC6"/>
    <w:rsid w:val="00657CB5"/>
    <w:rsid w:val="006604C1"/>
    <w:rsid w:val="00660826"/>
    <w:rsid w:val="00661942"/>
    <w:rsid w:val="00661C5A"/>
    <w:rsid w:val="00661DF3"/>
    <w:rsid w:val="00662424"/>
    <w:rsid w:val="00662BC4"/>
    <w:rsid w:val="00662CE2"/>
    <w:rsid w:val="006639EE"/>
    <w:rsid w:val="00663C8B"/>
    <w:rsid w:val="00663F5A"/>
    <w:rsid w:val="006643DD"/>
    <w:rsid w:val="006644A1"/>
    <w:rsid w:val="00666395"/>
    <w:rsid w:val="00666B63"/>
    <w:rsid w:val="00666D6D"/>
    <w:rsid w:val="006671B2"/>
    <w:rsid w:val="00667556"/>
    <w:rsid w:val="006676F9"/>
    <w:rsid w:val="00670D89"/>
    <w:rsid w:val="006714D4"/>
    <w:rsid w:val="006714F2"/>
    <w:rsid w:val="00671A1A"/>
    <w:rsid w:val="00671A6A"/>
    <w:rsid w:val="00671B38"/>
    <w:rsid w:val="00672649"/>
    <w:rsid w:val="0067296A"/>
    <w:rsid w:val="00672E93"/>
    <w:rsid w:val="006730F2"/>
    <w:rsid w:val="00674406"/>
    <w:rsid w:val="0067505B"/>
    <w:rsid w:val="00675959"/>
    <w:rsid w:val="00676360"/>
    <w:rsid w:val="0067682D"/>
    <w:rsid w:val="00676AED"/>
    <w:rsid w:val="00676C9B"/>
    <w:rsid w:val="00677339"/>
    <w:rsid w:val="00677AE3"/>
    <w:rsid w:val="00677D9C"/>
    <w:rsid w:val="00677DD5"/>
    <w:rsid w:val="0068039A"/>
    <w:rsid w:val="0068080F"/>
    <w:rsid w:val="006810BA"/>
    <w:rsid w:val="006812DC"/>
    <w:rsid w:val="006813B6"/>
    <w:rsid w:val="00681630"/>
    <w:rsid w:val="00681C3C"/>
    <w:rsid w:val="0068275F"/>
    <w:rsid w:val="00682C02"/>
    <w:rsid w:val="00682E43"/>
    <w:rsid w:val="006835DD"/>
    <w:rsid w:val="00684C8B"/>
    <w:rsid w:val="00684FBD"/>
    <w:rsid w:val="00685355"/>
    <w:rsid w:val="006855DA"/>
    <w:rsid w:val="00685FB1"/>
    <w:rsid w:val="00686200"/>
    <w:rsid w:val="00686EED"/>
    <w:rsid w:val="006874EC"/>
    <w:rsid w:val="00687721"/>
    <w:rsid w:val="00687876"/>
    <w:rsid w:val="00687A31"/>
    <w:rsid w:val="00687A3F"/>
    <w:rsid w:val="00687AA0"/>
    <w:rsid w:val="00687CB4"/>
    <w:rsid w:val="00687CCF"/>
    <w:rsid w:val="0069021C"/>
    <w:rsid w:val="00690299"/>
    <w:rsid w:val="00690408"/>
    <w:rsid w:val="00690D2E"/>
    <w:rsid w:val="00690E16"/>
    <w:rsid w:val="00690E4B"/>
    <w:rsid w:val="006915AB"/>
    <w:rsid w:val="00691BB9"/>
    <w:rsid w:val="00692A0F"/>
    <w:rsid w:val="00692D01"/>
    <w:rsid w:val="00692FC9"/>
    <w:rsid w:val="0069353D"/>
    <w:rsid w:val="00693A8C"/>
    <w:rsid w:val="00693E52"/>
    <w:rsid w:val="00694612"/>
    <w:rsid w:val="00694818"/>
    <w:rsid w:val="00695EAE"/>
    <w:rsid w:val="00695F19"/>
    <w:rsid w:val="00696296"/>
    <w:rsid w:val="00696557"/>
    <w:rsid w:val="00696CF3"/>
    <w:rsid w:val="00696ED4"/>
    <w:rsid w:val="0069781C"/>
    <w:rsid w:val="006A0073"/>
    <w:rsid w:val="006A021E"/>
    <w:rsid w:val="006A0A70"/>
    <w:rsid w:val="006A1145"/>
    <w:rsid w:val="006A1601"/>
    <w:rsid w:val="006A18DF"/>
    <w:rsid w:val="006A198C"/>
    <w:rsid w:val="006A19B7"/>
    <w:rsid w:val="006A1CE3"/>
    <w:rsid w:val="006A26C5"/>
    <w:rsid w:val="006A27F9"/>
    <w:rsid w:val="006A2A12"/>
    <w:rsid w:val="006A378B"/>
    <w:rsid w:val="006A3E0C"/>
    <w:rsid w:val="006A467F"/>
    <w:rsid w:val="006A56BA"/>
    <w:rsid w:val="006A5A9D"/>
    <w:rsid w:val="006A5CF7"/>
    <w:rsid w:val="006A62F4"/>
    <w:rsid w:val="006A631A"/>
    <w:rsid w:val="006A645F"/>
    <w:rsid w:val="006A64A7"/>
    <w:rsid w:val="006A6FF8"/>
    <w:rsid w:val="006A79FC"/>
    <w:rsid w:val="006A7C12"/>
    <w:rsid w:val="006B00AB"/>
    <w:rsid w:val="006B1071"/>
    <w:rsid w:val="006B1307"/>
    <w:rsid w:val="006B143B"/>
    <w:rsid w:val="006B1898"/>
    <w:rsid w:val="006B236B"/>
    <w:rsid w:val="006B2B2A"/>
    <w:rsid w:val="006B3357"/>
    <w:rsid w:val="006B3631"/>
    <w:rsid w:val="006B4078"/>
    <w:rsid w:val="006B4CDE"/>
    <w:rsid w:val="006B4D2D"/>
    <w:rsid w:val="006B4E45"/>
    <w:rsid w:val="006B50C7"/>
    <w:rsid w:val="006B510F"/>
    <w:rsid w:val="006B604A"/>
    <w:rsid w:val="006B6141"/>
    <w:rsid w:val="006B63A2"/>
    <w:rsid w:val="006B6558"/>
    <w:rsid w:val="006B6AF9"/>
    <w:rsid w:val="006B6B17"/>
    <w:rsid w:val="006B6C63"/>
    <w:rsid w:val="006B6D9C"/>
    <w:rsid w:val="006B6EF5"/>
    <w:rsid w:val="006B71B9"/>
    <w:rsid w:val="006B72CC"/>
    <w:rsid w:val="006B7433"/>
    <w:rsid w:val="006B773F"/>
    <w:rsid w:val="006B7AF4"/>
    <w:rsid w:val="006B7C23"/>
    <w:rsid w:val="006B7EE0"/>
    <w:rsid w:val="006C0580"/>
    <w:rsid w:val="006C0713"/>
    <w:rsid w:val="006C0BFF"/>
    <w:rsid w:val="006C1656"/>
    <w:rsid w:val="006C1C2E"/>
    <w:rsid w:val="006C1CE8"/>
    <w:rsid w:val="006C1DCF"/>
    <w:rsid w:val="006C1EF7"/>
    <w:rsid w:val="006C2251"/>
    <w:rsid w:val="006C2A81"/>
    <w:rsid w:val="006C2D98"/>
    <w:rsid w:val="006C3123"/>
    <w:rsid w:val="006C3340"/>
    <w:rsid w:val="006C3A6B"/>
    <w:rsid w:val="006C4B09"/>
    <w:rsid w:val="006C552F"/>
    <w:rsid w:val="006C5CC0"/>
    <w:rsid w:val="006C5E40"/>
    <w:rsid w:val="006C632F"/>
    <w:rsid w:val="006C64A4"/>
    <w:rsid w:val="006C6E85"/>
    <w:rsid w:val="006C721A"/>
    <w:rsid w:val="006C736A"/>
    <w:rsid w:val="006C74E7"/>
    <w:rsid w:val="006C76CD"/>
    <w:rsid w:val="006D0334"/>
    <w:rsid w:val="006D05EE"/>
    <w:rsid w:val="006D113B"/>
    <w:rsid w:val="006D11BD"/>
    <w:rsid w:val="006D12D8"/>
    <w:rsid w:val="006D1780"/>
    <w:rsid w:val="006D1C72"/>
    <w:rsid w:val="006D2216"/>
    <w:rsid w:val="006D264B"/>
    <w:rsid w:val="006D2DFC"/>
    <w:rsid w:val="006D333D"/>
    <w:rsid w:val="006D39E9"/>
    <w:rsid w:val="006D3EAB"/>
    <w:rsid w:val="006D41BD"/>
    <w:rsid w:val="006D4C35"/>
    <w:rsid w:val="006D4F78"/>
    <w:rsid w:val="006D5535"/>
    <w:rsid w:val="006D5A00"/>
    <w:rsid w:val="006D5A3A"/>
    <w:rsid w:val="006D5C56"/>
    <w:rsid w:val="006D6367"/>
    <w:rsid w:val="006D6EAF"/>
    <w:rsid w:val="006D73CF"/>
    <w:rsid w:val="006D75D7"/>
    <w:rsid w:val="006E0150"/>
    <w:rsid w:val="006E0E30"/>
    <w:rsid w:val="006E0FDF"/>
    <w:rsid w:val="006E136C"/>
    <w:rsid w:val="006E15FA"/>
    <w:rsid w:val="006E19AE"/>
    <w:rsid w:val="006E1DA3"/>
    <w:rsid w:val="006E2351"/>
    <w:rsid w:val="006E3854"/>
    <w:rsid w:val="006E39E9"/>
    <w:rsid w:val="006E3E31"/>
    <w:rsid w:val="006E44F6"/>
    <w:rsid w:val="006E4607"/>
    <w:rsid w:val="006E471A"/>
    <w:rsid w:val="006E5B03"/>
    <w:rsid w:val="006E5B9E"/>
    <w:rsid w:val="006E5D6D"/>
    <w:rsid w:val="006E5D7E"/>
    <w:rsid w:val="006E63EA"/>
    <w:rsid w:val="006E6674"/>
    <w:rsid w:val="006E679B"/>
    <w:rsid w:val="006E6A39"/>
    <w:rsid w:val="006E6D44"/>
    <w:rsid w:val="006E7505"/>
    <w:rsid w:val="006E7DBC"/>
    <w:rsid w:val="006F01C4"/>
    <w:rsid w:val="006F0648"/>
    <w:rsid w:val="006F0B3A"/>
    <w:rsid w:val="006F1613"/>
    <w:rsid w:val="006F17AD"/>
    <w:rsid w:val="006F22FF"/>
    <w:rsid w:val="006F27D0"/>
    <w:rsid w:val="006F3038"/>
    <w:rsid w:val="006F32CA"/>
    <w:rsid w:val="006F3359"/>
    <w:rsid w:val="006F36BC"/>
    <w:rsid w:val="006F3AB2"/>
    <w:rsid w:val="006F3EB2"/>
    <w:rsid w:val="006F3F52"/>
    <w:rsid w:val="006F40A2"/>
    <w:rsid w:val="006F4631"/>
    <w:rsid w:val="006F48F7"/>
    <w:rsid w:val="006F4BDD"/>
    <w:rsid w:val="006F5107"/>
    <w:rsid w:val="006F55FA"/>
    <w:rsid w:val="006F5650"/>
    <w:rsid w:val="006F59BF"/>
    <w:rsid w:val="006F5F79"/>
    <w:rsid w:val="006F723F"/>
    <w:rsid w:val="006F7718"/>
    <w:rsid w:val="006F7DB3"/>
    <w:rsid w:val="006F7F63"/>
    <w:rsid w:val="0070020A"/>
    <w:rsid w:val="00700B49"/>
    <w:rsid w:val="00700C7E"/>
    <w:rsid w:val="00700F8D"/>
    <w:rsid w:val="00701A6D"/>
    <w:rsid w:val="00701DE3"/>
    <w:rsid w:val="00701F05"/>
    <w:rsid w:val="00702A33"/>
    <w:rsid w:val="00702F94"/>
    <w:rsid w:val="00703022"/>
    <w:rsid w:val="007032FF"/>
    <w:rsid w:val="0070355E"/>
    <w:rsid w:val="00703B06"/>
    <w:rsid w:val="00703EB8"/>
    <w:rsid w:val="00703F15"/>
    <w:rsid w:val="00704059"/>
    <w:rsid w:val="0070414C"/>
    <w:rsid w:val="00704B13"/>
    <w:rsid w:val="00704DC8"/>
    <w:rsid w:val="00704E65"/>
    <w:rsid w:val="007053DF"/>
    <w:rsid w:val="007057D3"/>
    <w:rsid w:val="00706231"/>
    <w:rsid w:val="00706582"/>
    <w:rsid w:val="00707B66"/>
    <w:rsid w:val="007101E7"/>
    <w:rsid w:val="00710888"/>
    <w:rsid w:val="00710E26"/>
    <w:rsid w:val="00711BFA"/>
    <w:rsid w:val="00711C8E"/>
    <w:rsid w:val="007121EB"/>
    <w:rsid w:val="0071236F"/>
    <w:rsid w:val="0071237E"/>
    <w:rsid w:val="007123F2"/>
    <w:rsid w:val="007125C4"/>
    <w:rsid w:val="007126F7"/>
    <w:rsid w:val="007128F9"/>
    <w:rsid w:val="0071292A"/>
    <w:rsid w:val="00713728"/>
    <w:rsid w:val="00714275"/>
    <w:rsid w:val="00714558"/>
    <w:rsid w:val="007149C2"/>
    <w:rsid w:val="00715891"/>
    <w:rsid w:val="007158F7"/>
    <w:rsid w:val="00715BE3"/>
    <w:rsid w:val="00716E8A"/>
    <w:rsid w:val="00716E98"/>
    <w:rsid w:val="00716F30"/>
    <w:rsid w:val="00717392"/>
    <w:rsid w:val="00717443"/>
    <w:rsid w:val="00717927"/>
    <w:rsid w:val="00720248"/>
    <w:rsid w:val="007203DB"/>
    <w:rsid w:val="007203DF"/>
    <w:rsid w:val="00720609"/>
    <w:rsid w:val="00721B9D"/>
    <w:rsid w:val="007225BC"/>
    <w:rsid w:val="00722DE1"/>
    <w:rsid w:val="00722E87"/>
    <w:rsid w:val="00723F99"/>
    <w:rsid w:val="007243F4"/>
    <w:rsid w:val="00724587"/>
    <w:rsid w:val="00724B17"/>
    <w:rsid w:val="00724E82"/>
    <w:rsid w:val="00724F14"/>
    <w:rsid w:val="00725A44"/>
    <w:rsid w:val="00725FFF"/>
    <w:rsid w:val="00726083"/>
    <w:rsid w:val="007263CA"/>
    <w:rsid w:val="007272B2"/>
    <w:rsid w:val="007276FB"/>
    <w:rsid w:val="00727714"/>
    <w:rsid w:val="00727D70"/>
    <w:rsid w:val="00730CA7"/>
    <w:rsid w:val="00730CD9"/>
    <w:rsid w:val="00730F0D"/>
    <w:rsid w:val="00731283"/>
    <w:rsid w:val="00731754"/>
    <w:rsid w:val="00732B57"/>
    <w:rsid w:val="00732C98"/>
    <w:rsid w:val="00732D40"/>
    <w:rsid w:val="007330C1"/>
    <w:rsid w:val="00733F4F"/>
    <w:rsid w:val="00734153"/>
    <w:rsid w:val="007351E5"/>
    <w:rsid w:val="007357C5"/>
    <w:rsid w:val="00735977"/>
    <w:rsid w:val="007359AB"/>
    <w:rsid w:val="00735EFC"/>
    <w:rsid w:val="007362FF"/>
    <w:rsid w:val="007366D3"/>
    <w:rsid w:val="00736827"/>
    <w:rsid w:val="00736B2B"/>
    <w:rsid w:val="00736C3F"/>
    <w:rsid w:val="00736EBB"/>
    <w:rsid w:val="007374FE"/>
    <w:rsid w:val="0073777B"/>
    <w:rsid w:val="00737823"/>
    <w:rsid w:val="007379AE"/>
    <w:rsid w:val="00737A22"/>
    <w:rsid w:val="00740920"/>
    <w:rsid w:val="00740FA7"/>
    <w:rsid w:val="00741D44"/>
    <w:rsid w:val="0074232E"/>
    <w:rsid w:val="007424E8"/>
    <w:rsid w:val="00742551"/>
    <w:rsid w:val="007426DF"/>
    <w:rsid w:val="007427DD"/>
    <w:rsid w:val="00742985"/>
    <w:rsid w:val="00742B51"/>
    <w:rsid w:val="00742F86"/>
    <w:rsid w:val="007431D8"/>
    <w:rsid w:val="00743379"/>
    <w:rsid w:val="0074398F"/>
    <w:rsid w:val="007442BF"/>
    <w:rsid w:val="00744370"/>
    <w:rsid w:val="007449A9"/>
    <w:rsid w:val="00744DB0"/>
    <w:rsid w:val="00745D76"/>
    <w:rsid w:val="007462C7"/>
    <w:rsid w:val="00746D89"/>
    <w:rsid w:val="0074799E"/>
    <w:rsid w:val="00747A33"/>
    <w:rsid w:val="00747C19"/>
    <w:rsid w:val="00747C24"/>
    <w:rsid w:val="00750488"/>
    <w:rsid w:val="0075158A"/>
    <w:rsid w:val="00751868"/>
    <w:rsid w:val="00751AC9"/>
    <w:rsid w:val="00751CE1"/>
    <w:rsid w:val="00751F9E"/>
    <w:rsid w:val="00751FC2"/>
    <w:rsid w:val="007523E6"/>
    <w:rsid w:val="00752492"/>
    <w:rsid w:val="00752647"/>
    <w:rsid w:val="0075348C"/>
    <w:rsid w:val="007537CA"/>
    <w:rsid w:val="00753B6D"/>
    <w:rsid w:val="00753DD3"/>
    <w:rsid w:val="007545FC"/>
    <w:rsid w:val="00755680"/>
    <w:rsid w:val="00755D57"/>
    <w:rsid w:val="007566B9"/>
    <w:rsid w:val="00756781"/>
    <w:rsid w:val="00756D2F"/>
    <w:rsid w:val="007578EC"/>
    <w:rsid w:val="00757957"/>
    <w:rsid w:val="00760773"/>
    <w:rsid w:val="00760B21"/>
    <w:rsid w:val="0076159E"/>
    <w:rsid w:val="00761818"/>
    <w:rsid w:val="007623FA"/>
    <w:rsid w:val="007625B6"/>
    <w:rsid w:val="007626A5"/>
    <w:rsid w:val="00763167"/>
    <w:rsid w:val="00763329"/>
    <w:rsid w:val="00763741"/>
    <w:rsid w:val="007637A0"/>
    <w:rsid w:val="00763BDB"/>
    <w:rsid w:val="00764167"/>
    <w:rsid w:val="00764247"/>
    <w:rsid w:val="00764E47"/>
    <w:rsid w:val="0076508F"/>
    <w:rsid w:val="007652AB"/>
    <w:rsid w:val="00765683"/>
    <w:rsid w:val="0076633C"/>
    <w:rsid w:val="00766FFC"/>
    <w:rsid w:val="0076740E"/>
    <w:rsid w:val="00767463"/>
    <w:rsid w:val="00770372"/>
    <w:rsid w:val="00770A16"/>
    <w:rsid w:val="00771724"/>
    <w:rsid w:val="0077194E"/>
    <w:rsid w:val="00772276"/>
    <w:rsid w:val="00772317"/>
    <w:rsid w:val="0077233F"/>
    <w:rsid w:val="00773C4D"/>
    <w:rsid w:val="00775781"/>
    <w:rsid w:val="00775CF3"/>
    <w:rsid w:val="007762F0"/>
    <w:rsid w:val="00776345"/>
    <w:rsid w:val="00776547"/>
    <w:rsid w:val="00776683"/>
    <w:rsid w:val="00776862"/>
    <w:rsid w:val="00776CD0"/>
    <w:rsid w:val="00776DEE"/>
    <w:rsid w:val="007770D4"/>
    <w:rsid w:val="007819EA"/>
    <w:rsid w:val="0078208C"/>
    <w:rsid w:val="00782419"/>
    <w:rsid w:val="00782D48"/>
    <w:rsid w:val="007839D3"/>
    <w:rsid w:val="007847B7"/>
    <w:rsid w:val="007850BB"/>
    <w:rsid w:val="007858A9"/>
    <w:rsid w:val="00785C2F"/>
    <w:rsid w:val="0078620C"/>
    <w:rsid w:val="00786397"/>
    <w:rsid w:val="0078687A"/>
    <w:rsid w:val="00786AA0"/>
    <w:rsid w:val="00786FA1"/>
    <w:rsid w:val="00787426"/>
    <w:rsid w:val="00787B6A"/>
    <w:rsid w:val="00787C75"/>
    <w:rsid w:val="00787FB8"/>
    <w:rsid w:val="00790952"/>
    <w:rsid w:val="00790DC1"/>
    <w:rsid w:val="00790F13"/>
    <w:rsid w:val="0079107D"/>
    <w:rsid w:val="00791A55"/>
    <w:rsid w:val="007928CF"/>
    <w:rsid w:val="0079322E"/>
    <w:rsid w:val="0079369A"/>
    <w:rsid w:val="00793CEB"/>
    <w:rsid w:val="0079410C"/>
    <w:rsid w:val="00794A2F"/>
    <w:rsid w:val="00796513"/>
    <w:rsid w:val="0079670B"/>
    <w:rsid w:val="007967FC"/>
    <w:rsid w:val="007977D8"/>
    <w:rsid w:val="007979F6"/>
    <w:rsid w:val="00797BCD"/>
    <w:rsid w:val="00797D6B"/>
    <w:rsid w:val="007A08B0"/>
    <w:rsid w:val="007A1D6D"/>
    <w:rsid w:val="007A29F8"/>
    <w:rsid w:val="007A2E69"/>
    <w:rsid w:val="007A3600"/>
    <w:rsid w:val="007A3BFD"/>
    <w:rsid w:val="007A419C"/>
    <w:rsid w:val="007A4A84"/>
    <w:rsid w:val="007A4E3B"/>
    <w:rsid w:val="007A6513"/>
    <w:rsid w:val="007A66C8"/>
    <w:rsid w:val="007A6793"/>
    <w:rsid w:val="007A6A11"/>
    <w:rsid w:val="007A6B77"/>
    <w:rsid w:val="007B04F7"/>
    <w:rsid w:val="007B128A"/>
    <w:rsid w:val="007B1661"/>
    <w:rsid w:val="007B1857"/>
    <w:rsid w:val="007B21DD"/>
    <w:rsid w:val="007B226F"/>
    <w:rsid w:val="007B2D20"/>
    <w:rsid w:val="007B4C0B"/>
    <w:rsid w:val="007B4F95"/>
    <w:rsid w:val="007B6BBD"/>
    <w:rsid w:val="007B71D0"/>
    <w:rsid w:val="007B7339"/>
    <w:rsid w:val="007B7368"/>
    <w:rsid w:val="007B7543"/>
    <w:rsid w:val="007B770B"/>
    <w:rsid w:val="007B7792"/>
    <w:rsid w:val="007B7966"/>
    <w:rsid w:val="007C0AFD"/>
    <w:rsid w:val="007C0CDC"/>
    <w:rsid w:val="007C130A"/>
    <w:rsid w:val="007C1EBF"/>
    <w:rsid w:val="007C2BA1"/>
    <w:rsid w:val="007C2EBB"/>
    <w:rsid w:val="007C3484"/>
    <w:rsid w:val="007C367E"/>
    <w:rsid w:val="007C395C"/>
    <w:rsid w:val="007C398C"/>
    <w:rsid w:val="007C39DE"/>
    <w:rsid w:val="007C3A5C"/>
    <w:rsid w:val="007C3EDE"/>
    <w:rsid w:val="007C4B86"/>
    <w:rsid w:val="007C4EF6"/>
    <w:rsid w:val="007C6590"/>
    <w:rsid w:val="007C7C9E"/>
    <w:rsid w:val="007D0243"/>
    <w:rsid w:val="007D05CC"/>
    <w:rsid w:val="007D0C2D"/>
    <w:rsid w:val="007D0EC4"/>
    <w:rsid w:val="007D1485"/>
    <w:rsid w:val="007D2063"/>
    <w:rsid w:val="007D2DED"/>
    <w:rsid w:val="007D426E"/>
    <w:rsid w:val="007D4324"/>
    <w:rsid w:val="007D4859"/>
    <w:rsid w:val="007D4D69"/>
    <w:rsid w:val="007D4F42"/>
    <w:rsid w:val="007D4FB6"/>
    <w:rsid w:val="007D5039"/>
    <w:rsid w:val="007D50AB"/>
    <w:rsid w:val="007D5A0B"/>
    <w:rsid w:val="007D5A6D"/>
    <w:rsid w:val="007D5CF3"/>
    <w:rsid w:val="007D5D2C"/>
    <w:rsid w:val="007D5FAD"/>
    <w:rsid w:val="007D6302"/>
    <w:rsid w:val="007D667C"/>
    <w:rsid w:val="007D6B83"/>
    <w:rsid w:val="007D71CD"/>
    <w:rsid w:val="007D7AC5"/>
    <w:rsid w:val="007D7E4F"/>
    <w:rsid w:val="007E0179"/>
    <w:rsid w:val="007E0C53"/>
    <w:rsid w:val="007E15E6"/>
    <w:rsid w:val="007E1726"/>
    <w:rsid w:val="007E1EC1"/>
    <w:rsid w:val="007E2A1D"/>
    <w:rsid w:val="007E300F"/>
    <w:rsid w:val="007E3C2E"/>
    <w:rsid w:val="007E3D9C"/>
    <w:rsid w:val="007E3E78"/>
    <w:rsid w:val="007E433B"/>
    <w:rsid w:val="007E5AFB"/>
    <w:rsid w:val="007E5B53"/>
    <w:rsid w:val="007E5D35"/>
    <w:rsid w:val="007E5DC3"/>
    <w:rsid w:val="007E5F4F"/>
    <w:rsid w:val="007E6005"/>
    <w:rsid w:val="007E6843"/>
    <w:rsid w:val="007E687B"/>
    <w:rsid w:val="007E6E29"/>
    <w:rsid w:val="007E73E0"/>
    <w:rsid w:val="007E741F"/>
    <w:rsid w:val="007E7F0B"/>
    <w:rsid w:val="007E7FFA"/>
    <w:rsid w:val="007F0497"/>
    <w:rsid w:val="007F08F2"/>
    <w:rsid w:val="007F1256"/>
    <w:rsid w:val="007F1344"/>
    <w:rsid w:val="007F1B94"/>
    <w:rsid w:val="007F2AD9"/>
    <w:rsid w:val="007F2B62"/>
    <w:rsid w:val="007F2D43"/>
    <w:rsid w:val="007F3015"/>
    <w:rsid w:val="007F30C9"/>
    <w:rsid w:val="007F396E"/>
    <w:rsid w:val="007F3AF9"/>
    <w:rsid w:val="007F422B"/>
    <w:rsid w:val="007F45E0"/>
    <w:rsid w:val="007F4B44"/>
    <w:rsid w:val="007F4DDA"/>
    <w:rsid w:val="007F4EB8"/>
    <w:rsid w:val="007F55B9"/>
    <w:rsid w:val="007F6A83"/>
    <w:rsid w:val="007F6CC8"/>
    <w:rsid w:val="007F6CF1"/>
    <w:rsid w:val="008000FD"/>
    <w:rsid w:val="008003B2"/>
    <w:rsid w:val="008003ED"/>
    <w:rsid w:val="00800486"/>
    <w:rsid w:val="0080097D"/>
    <w:rsid w:val="00800C48"/>
    <w:rsid w:val="00801A23"/>
    <w:rsid w:val="0080297C"/>
    <w:rsid w:val="008033B0"/>
    <w:rsid w:val="00803597"/>
    <w:rsid w:val="00803A3A"/>
    <w:rsid w:val="00803B5E"/>
    <w:rsid w:val="00803D59"/>
    <w:rsid w:val="00804057"/>
    <w:rsid w:val="008040C6"/>
    <w:rsid w:val="00804420"/>
    <w:rsid w:val="0080448E"/>
    <w:rsid w:val="00804504"/>
    <w:rsid w:val="00804E76"/>
    <w:rsid w:val="008055E1"/>
    <w:rsid w:val="008055E5"/>
    <w:rsid w:val="008058C8"/>
    <w:rsid w:val="00805F6E"/>
    <w:rsid w:val="008061B4"/>
    <w:rsid w:val="008065D4"/>
    <w:rsid w:val="008068F9"/>
    <w:rsid w:val="00806A92"/>
    <w:rsid w:val="00806D7E"/>
    <w:rsid w:val="00806F2B"/>
    <w:rsid w:val="00807730"/>
    <w:rsid w:val="008077AE"/>
    <w:rsid w:val="00807AA2"/>
    <w:rsid w:val="00807C5D"/>
    <w:rsid w:val="00810F85"/>
    <w:rsid w:val="00811275"/>
    <w:rsid w:val="00811F83"/>
    <w:rsid w:val="00812EEE"/>
    <w:rsid w:val="00813281"/>
    <w:rsid w:val="008134D1"/>
    <w:rsid w:val="0081374E"/>
    <w:rsid w:val="00814164"/>
    <w:rsid w:val="008141EC"/>
    <w:rsid w:val="00815459"/>
    <w:rsid w:val="008155DC"/>
    <w:rsid w:val="00815F35"/>
    <w:rsid w:val="00815F78"/>
    <w:rsid w:val="00817823"/>
    <w:rsid w:val="00817D8D"/>
    <w:rsid w:val="0082063F"/>
    <w:rsid w:val="008226AD"/>
    <w:rsid w:val="00822793"/>
    <w:rsid w:val="00823D04"/>
    <w:rsid w:val="00823E25"/>
    <w:rsid w:val="00824124"/>
    <w:rsid w:val="0082446A"/>
    <w:rsid w:val="00824ADD"/>
    <w:rsid w:val="00825137"/>
    <w:rsid w:val="008251B3"/>
    <w:rsid w:val="008251CB"/>
    <w:rsid w:val="00825285"/>
    <w:rsid w:val="0082532F"/>
    <w:rsid w:val="00825DC1"/>
    <w:rsid w:val="00826A27"/>
    <w:rsid w:val="00827127"/>
    <w:rsid w:val="0083068B"/>
    <w:rsid w:val="00830958"/>
    <w:rsid w:val="00830B53"/>
    <w:rsid w:val="00830FCF"/>
    <w:rsid w:val="00831202"/>
    <w:rsid w:val="00831428"/>
    <w:rsid w:val="0083174F"/>
    <w:rsid w:val="00831ED4"/>
    <w:rsid w:val="008324AD"/>
    <w:rsid w:val="008324FB"/>
    <w:rsid w:val="00832E4D"/>
    <w:rsid w:val="00832E5B"/>
    <w:rsid w:val="00832F5B"/>
    <w:rsid w:val="008332B0"/>
    <w:rsid w:val="008336B9"/>
    <w:rsid w:val="00833FFB"/>
    <w:rsid w:val="0083470C"/>
    <w:rsid w:val="00834B17"/>
    <w:rsid w:val="00835269"/>
    <w:rsid w:val="00835299"/>
    <w:rsid w:val="0083547D"/>
    <w:rsid w:val="008354CD"/>
    <w:rsid w:val="0083675F"/>
    <w:rsid w:val="00837249"/>
    <w:rsid w:val="00837A64"/>
    <w:rsid w:val="00837B8D"/>
    <w:rsid w:val="00837CF5"/>
    <w:rsid w:val="00837F53"/>
    <w:rsid w:val="00840D8D"/>
    <w:rsid w:val="0084124B"/>
    <w:rsid w:val="0084125F"/>
    <w:rsid w:val="0084148F"/>
    <w:rsid w:val="008415D3"/>
    <w:rsid w:val="00841A9C"/>
    <w:rsid w:val="00841E08"/>
    <w:rsid w:val="00841FF0"/>
    <w:rsid w:val="008425CA"/>
    <w:rsid w:val="008434AC"/>
    <w:rsid w:val="00843DC4"/>
    <w:rsid w:val="008445A0"/>
    <w:rsid w:val="008446D9"/>
    <w:rsid w:val="00844AFF"/>
    <w:rsid w:val="00844E9E"/>
    <w:rsid w:val="008454C6"/>
    <w:rsid w:val="008467C2"/>
    <w:rsid w:val="00846997"/>
    <w:rsid w:val="0084699B"/>
    <w:rsid w:val="00847CB5"/>
    <w:rsid w:val="00847E40"/>
    <w:rsid w:val="00850317"/>
    <w:rsid w:val="0085033B"/>
    <w:rsid w:val="0085056C"/>
    <w:rsid w:val="00850766"/>
    <w:rsid w:val="00850ACA"/>
    <w:rsid w:val="008511A7"/>
    <w:rsid w:val="008512E5"/>
    <w:rsid w:val="0085133F"/>
    <w:rsid w:val="0085142B"/>
    <w:rsid w:val="008516D8"/>
    <w:rsid w:val="00851D86"/>
    <w:rsid w:val="00852088"/>
    <w:rsid w:val="00852709"/>
    <w:rsid w:val="00853FF8"/>
    <w:rsid w:val="00854132"/>
    <w:rsid w:val="0085484B"/>
    <w:rsid w:val="00855066"/>
    <w:rsid w:val="00855491"/>
    <w:rsid w:val="00855565"/>
    <w:rsid w:val="00855889"/>
    <w:rsid w:val="00856017"/>
    <w:rsid w:val="0085601D"/>
    <w:rsid w:val="008571C4"/>
    <w:rsid w:val="0085747B"/>
    <w:rsid w:val="00857CA9"/>
    <w:rsid w:val="00860255"/>
    <w:rsid w:val="00860264"/>
    <w:rsid w:val="00861484"/>
    <w:rsid w:val="008621BC"/>
    <w:rsid w:val="008622D2"/>
    <w:rsid w:val="008629C6"/>
    <w:rsid w:val="00862C70"/>
    <w:rsid w:val="00862DAB"/>
    <w:rsid w:val="008635F3"/>
    <w:rsid w:val="00863A76"/>
    <w:rsid w:val="00863B9B"/>
    <w:rsid w:val="008652B4"/>
    <w:rsid w:val="0086546D"/>
    <w:rsid w:val="00865E4E"/>
    <w:rsid w:val="00866A7D"/>
    <w:rsid w:val="00866D61"/>
    <w:rsid w:val="00867201"/>
    <w:rsid w:val="00867F0B"/>
    <w:rsid w:val="00870A86"/>
    <w:rsid w:val="00870E3E"/>
    <w:rsid w:val="008715C1"/>
    <w:rsid w:val="008721D9"/>
    <w:rsid w:val="008724B2"/>
    <w:rsid w:val="0087281E"/>
    <w:rsid w:val="008735E4"/>
    <w:rsid w:val="008737F9"/>
    <w:rsid w:val="00873A6C"/>
    <w:rsid w:val="00873AC5"/>
    <w:rsid w:val="00873EFE"/>
    <w:rsid w:val="0087426F"/>
    <w:rsid w:val="008745AB"/>
    <w:rsid w:val="00874D54"/>
    <w:rsid w:val="008751F7"/>
    <w:rsid w:val="00875431"/>
    <w:rsid w:val="0087574B"/>
    <w:rsid w:val="00875BD6"/>
    <w:rsid w:val="00875DE7"/>
    <w:rsid w:val="0087722B"/>
    <w:rsid w:val="00880124"/>
    <w:rsid w:val="00880B80"/>
    <w:rsid w:val="00881163"/>
    <w:rsid w:val="0088158E"/>
    <w:rsid w:val="00881780"/>
    <w:rsid w:val="00881888"/>
    <w:rsid w:val="00881E1A"/>
    <w:rsid w:val="00881EBA"/>
    <w:rsid w:val="00882063"/>
    <w:rsid w:val="00882BD1"/>
    <w:rsid w:val="00882E91"/>
    <w:rsid w:val="00883293"/>
    <w:rsid w:val="0088363D"/>
    <w:rsid w:val="008836D2"/>
    <w:rsid w:val="008838FB"/>
    <w:rsid w:val="00883B8A"/>
    <w:rsid w:val="00883D50"/>
    <w:rsid w:val="00883D65"/>
    <w:rsid w:val="00883DE6"/>
    <w:rsid w:val="00883F97"/>
    <w:rsid w:val="0088505A"/>
    <w:rsid w:val="00885263"/>
    <w:rsid w:val="008852B1"/>
    <w:rsid w:val="00885FC1"/>
    <w:rsid w:val="00886CB6"/>
    <w:rsid w:val="00887425"/>
    <w:rsid w:val="0089015F"/>
    <w:rsid w:val="00890568"/>
    <w:rsid w:val="00890907"/>
    <w:rsid w:val="0089110F"/>
    <w:rsid w:val="00891488"/>
    <w:rsid w:val="0089161C"/>
    <w:rsid w:val="00891EB1"/>
    <w:rsid w:val="008923EB"/>
    <w:rsid w:val="00892633"/>
    <w:rsid w:val="008926D4"/>
    <w:rsid w:val="0089285F"/>
    <w:rsid w:val="00892B1A"/>
    <w:rsid w:val="00893205"/>
    <w:rsid w:val="00893275"/>
    <w:rsid w:val="00893484"/>
    <w:rsid w:val="0089353B"/>
    <w:rsid w:val="008938F3"/>
    <w:rsid w:val="0089396B"/>
    <w:rsid w:val="00893F81"/>
    <w:rsid w:val="00894B0C"/>
    <w:rsid w:val="00894BAA"/>
    <w:rsid w:val="00894C1E"/>
    <w:rsid w:val="00896E13"/>
    <w:rsid w:val="00897016"/>
    <w:rsid w:val="008973B8"/>
    <w:rsid w:val="00897F5C"/>
    <w:rsid w:val="00897FB3"/>
    <w:rsid w:val="008A0514"/>
    <w:rsid w:val="008A0DA1"/>
    <w:rsid w:val="008A0EBE"/>
    <w:rsid w:val="008A0EC3"/>
    <w:rsid w:val="008A105E"/>
    <w:rsid w:val="008A10B3"/>
    <w:rsid w:val="008A18C7"/>
    <w:rsid w:val="008A1D04"/>
    <w:rsid w:val="008A1E01"/>
    <w:rsid w:val="008A244F"/>
    <w:rsid w:val="008A3C39"/>
    <w:rsid w:val="008A4A41"/>
    <w:rsid w:val="008A4EC4"/>
    <w:rsid w:val="008A4F40"/>
    <w:rsid w:val="008A5DE3"/>
    <w:rsid w:val="008A5E27"/>
    <w:rsid w:val="008A7776"/>
    <w:rsid w:val="008A7EFF"/>
    <w:rsid w:val="008B0045"/>
    <w:rsid w:val="008B0EEC"/>
    <w:rsid w:val="008B1060"/>
    <w:rsid w:val="008B1176"/>
    <w:rsid w:val="008B1E2F"/>
    <w:rsid w:val="008B1F3A"/>
    <w:rsid w:val="008B224F"/>
    <w:rsid w:val="008B273F"/>
    <w:rsid w:val="008B3534"/>
    <w:rsid w:val="008B367E"/>
    <w:rsid w:val="008B3A0F"/>
    <w:rsid w:val="008B3B4E"/>
    <w:rsid w:val="008B3C71"/>
    <w:rsid w:val="008B46BC"/>
    <w:rsid w:val="008B4FBF"/>
    <w:rsid w:val="008B536F"/>
    <w:rsid w:val="008B549E"/>
    <w:rsid w:val="008B5BA0"/>
    <w:rsid w:val="008B5D23"/>
    <w:rsid w:val="008B675A"/>
    <w:rsid w:val="008B6825"/>
    <w:rsid w:val="008B72BD"/>
    <w:rsid w:val="008B763D"/>
    <w:rsid w:val="008C0D3D"/>
    <w:rsid w:val="008C0F21"/>
    <w:rsid w:val="008C1574"/>
    <w:rsid w:val="008C194E"/>
    <w:rsid w:val="008C22FA"/>
    <w:rsid w:val="008C2B02"/>
    <w:rsid w:val="008C30E2"/>
    <w:rsid w:val="008C35BD"/>
    <w:rsid w:val="008C3759"/>
    <w:rsid w:val="008C3CD4"/>
    <w:rsid w:val="008C40F3"/>
    <w:rsid w:val="008C4767"/>
    <w:rsid w:val="008C4988"/>
    <w:rsid w:val="008C4B3C"/>
    <w:rsid w:val="008C50F4"/>
    <w:rsid w:val="008C57A0"/>
    <w:rsid w:val="008C5800"/>
    <w:rsid w:val="008C5CF2"/>
    <w:rsid w:val="008C6DB5"/>
    <w:rsid w:val="008C70C5"/>
    <w:rsid w:val="008C7FFD"/>
    <w:rsid w:val="008D0441"/>
    <w:rsid w:val="008D0A51"/>
    <w:rsid w:val="008D0DAA"/>
    <w:rsid w:val="008D1246"/>
    <w:rsid w:val="008D1A9B"/>
    <w:rsid w:val="008D1F6A"/>
    <w:rsid w:val="008D259D"/>
    <w:rsid w:val="008D273F"/>
    <w:rsid w:val="008D30C8"/>
    <w:rsid w:val="008D3473"/>
    <w:rsid w:val="008D3BE3"/>
    <w:rsid w:val="008D3C9E"/>
    <w:rsid w:val="008D3F73"/>
    <w:rsid w:val="008D4608"/>
    <w:rsid w:val="008D4792"/>
    <w:rsid w:val="008D4D67"/>
    <w:rsid w:val="008D51B1"/>
    <w:rsid w:val="008D5324"/>
    <w:rsid w:val="008D5567"/>
    <w:rsid w:val="008D5FF1"/>
    <w:rsid w:val="008D61B5"/>
    <w:rsid w:val="008D61F1"/>
    <w:rsid w:val="008D6803"/>
    <w:rsid w:val="008D7A25"/>
    <w:rsid w:val="008E0231"/>
    <w:rsid w:val="008E04DA"/>
    <w:rsid w:val="008E062B"/>
    <w:rsid w:val="008E085C"/>
    <w:rsid w:val="008E0919"/>
    <w:rsid w:val="008E0D00"/>
    <w:rsid w:val="008E1316"/>
    <w:rsid w:val="008E148D"/>
    <w:rsid w:val="008E16F8"/>
    <w:rsid w:val="008E1BF5"/>
    <w:rsid w:val="008E25B4"/>
    <w:rsid w:val="008E36D5"/>
    <w:rsid w:val="008E3E43"/>
    <w:rsid w:val="008E44F1"/>
    <w:rsid w:val="008E4514"/>
    <w:rsid w:val="008E489C"/>
    <w:rsid w:val="008E48FB"/>
    <w:rsid w:val="008E4DD8"/>
    <w:rsid w:val="008E51B5"/>
    <w:rsid w:val="008E5EB4"/>
    <w:rsid w:val="008E5EDF"/>
    <w:rsid w:val="008E638D"/>
    <w:rsid w:val="008E6680"/>
    <w:rsid w:val="008E72F2"/>
    <w:rsid w:val="008E74E9"/>
    <w:rsid w:val="008E7673"/>
    <w:rsid w:val="008F0078"/>
    <w:rsid w:val="008F05AD"/>
    <w:rsid w:val="008F0A02"/>
    <w:rsid w:val="008F1532"/>
    <w:rsid w:val="008F1B9A"/>
    <w:rsid w:val="008F225C"/>
    <w:rsid w:val="008F235D"/>
    <w:rsid w:val="008F27CB"/>
    <w:rsid w:val="008F30C6"/>
    <w:rsid w:val="008F35E0"/>
    <w:rsid w:val="008F36F5"/>
    <w:rsid w:val="008F3BB4"/>
    <w:rsid w:val="008F4186"/>
    <w:rsid w:val="008F4FC1"/>
    <w:rsid w:val="008F5019"/>
    <w:rsid w:val="008F5344"/>
    <w:rsid w:val="008F5D36"/>
    <w:rsid w:val="008F5E46"/>
    <w:rsid w:val="008F5EB6"/>
    <w:rsid w:val="008F6084"/>
    <w:rsid w:val="008F645A"/>
    <w:rsid w:val="008F692E"/>
    <w:rsid w:val="008F74C6"/>
    <w:rsid w:val="008F762B"/>
    <w:rsid w:val="008F7810"/>
    <w:rsid w:val="00900298"/>
    <w:rsid w:val="009002C0"/>
    <w:rsid w:val="009006C3"/>
    <w:rsid w:val="00900B04"/>
    <w:rsid w:val="00900C85"/>
    <w:rsid w:val="00900DAF"/>
    <w:rsid w:val="00900EF6"/>
    <w:rsid w:val="00901647"/>
    <w:rsid w:val="00901AD4"/>
    <w:rsid w:val="00901E94"/>
    <w:rsid w:val="009020AC"/>
    <w:rsid w:val="0090293C"/>
    <w:rsid w:val="009030B6"/>
    <w:rsid w:val="00903D4A"/>
    <w:rsid w:val="009041EA"/>
    <w:rsid w:val="00904356"/>
    <w:rsid w:val="0090443E"/>
    <w:rsid w:val="00904C6A"/>
    <w:rsid w:val="00904DA7"/>
    <w:rsid w:val="00904F00"/>
    <w:rsid w:val="009053CB"/>
    <w:rsid w:val="00905557"/>
    <w:rsid w:val="0090561C"/>
    <w:rsid w:val="0090572F"/>
    <w:rsid w:val="009058EB"/>
    <w:rsid w:val="00905C02"/>
    <w:rsid w:val="00905C19"/>
    <w:rsid w:val="00905F1C"/>
    <w:rsid w:val="0090672B"/>
    <w:rsid w:val="00906846"/>
    <w:rsid w:val="00906C8D"/>
    <w:rsid w:val="00906F48"/>
    <w:rsid w:val="00907303"/>
    <w:rsid w:val="00907637"/>
    <w:rsid w:val="00907D43"/>
    <w:rsid w:val="00907F35"/>
    <w:rsid w:val="00907FB7"/>
    <w:rsid w:val="00910252"/>
    <w:rsid w:val="009107F3"/>
    <w:rsid w:val="00911AA8"/>
    <w:rsid w:val="00911BAC"/>
    <w:rsid w:val="00912102"/>
    <w:rsid w:val="009122D8"/>
    <w:rsid w:val="009124BB"/>
    <w:rsid w:val="00912660"/>
    <w:rsid w:val="00912BD0"/>
    <w:rsid w:val="00913379"/>
    <w:rsid w:val="009135AB"/>
    <w:rsid w:val="009138EF"/>
    <w:rsid w:val="00913B4C"/>
    <w:rsid w:val="00913D17"/>
    <w:rsid w:val="00913F28"/>
    <w:rsid w:val="00914093"/>
    <w:rsid w:val="009140C7"/>
    <w:rsid w:val="00914379"/>
    <w:rsid w:val="009147CA"/>
    <w:rsid w:val="009152CF"/>
    <w:rsid w:val="00915DE8"/>
    <w:rsid w:val="0091604E"/>
    <w:rsid w:val="0091699F"/>
    <w:rsid w:val="00916A4F"/>
    <w:rsid w:val="00920045"/>
    <w:rsid w:val="00920165"/>
    <w:rsid w:val="00920166"/>
    <w:rsid w:val="00920336"/>
    <w:rsid w:val="00920792"/>
    <w:rsid w:val="00920E76"/>
    <w:rsid w:val="00921303"/>
    <w:rsid w:val="00921617"/>
    <w:rsid w:val="00921AF9"/>
    <w:rsid w:val="009224CF"/>
    <w:rsid w:val="00923089"/>
    <w:rsid w:val="0092373E"/>
    <w:rsid w:val="00923A20"/>
    <w:rsid w:val="00923B19"/>
    <w:rsid w:val="00924140"/>
    <w:rsid w:val="00924B95"/>
    <w:rsid w:val="00925C27"/>
    <w:rsid w:val="00926148"/>
    <w:rsid w:val="0092623E"/>
    <w:rsid w:val="009266DA"/>
    <w:rsid w:val="00926E99"/>
    <w:rsid w:val="00927A6B"/>
    <w:rsid w:val="00927DB6"/>
    <w:rsid w:val="00927F7C"/>
    <w:rsid w:val="009305C1"/>
    <w:rsid w:val="0093110C"/>
    <w:rsid w:val="009318DF"/>
    <w:rsid w:val="00931E31"/>
    <w:rsid w:val="00932028"/>
    <w:rsid w:val="00932A8F"/>
    <w:rsid w:val="00932D76"/>
    <w:rsid w:val="00932F1D"/>
    <w:rsid w:val="009335F5"/>
    <w:rsid w:val="0093380D"/>
    <w:rsid w:val="00933860"/>
    <w:rsid w:val="00933B2B"/>
    <w:rsid w:val="00933BB2"/>
    <w:rsid w:val="00933CD1"/>
    <w:rsid w:val="009349BA"/>
    <w:rsid w:val="00934F0F"/>
    <w:rsid w:val="00935047"/>
    <w:rsid w:val="0093558C"/>
    <w:rsid w:val="0093610E"/>
    <w:rsid w:val="00936466"/>
    <w:rsid w:val="00937280"/>
    <w:rsid w:val="0093737D"/>
    <w:rsid w:val="009376D7"/>
    <w:rsid w:val="00937A50"/>
    <w:rsid w:val="00937A9D"/>
    <w:rsid w:val="00937F6F"/>
    <w:rsid w:val="00940646"/>
    <w:rsid w:val="00940A4A"/>
    <w:rsid w:val="00941063"/>
    <w:rsid w:val="00941096"/>
    <w:rsid w:val="00941629"/>
    <w:rsid w:val="00942866"/>
    <w:rsid w:val="00942A5B"/>
    <w:rsid w:val="00942B1A"/>
    <w:rsid w:val="00943688"/>
    <w:rsid w:val="00943803"/>
    <w:rsid w:val="0094388A"/>
    <w:rsid w:val="00943CA7"/>
    <w:rsid w:val="00943E4E"/>
    <w:rsid w:val="00944226"/>
    <w:rsid w:val="009443B9"/>
    <w:rsid w:val="00944B23"/>
    <w:rsid w:val="009458E3"/>
    <w:rsid w:val="00945953"/>
    <w:rsid w:val="00945F8F"/>
    <w:rsid w:val="009462A1"/>
    <w:rsid w:val="0094673D"/>
    <w:rsid w:val="00946C49"/>
    <w:rsid w:val="00947685"/>
    <w:rsid w:val="0094788D"/>
    <w:rsid w:val="009503DC"/>
    <w:rsid w:val="009505D0"/>
    <w:rsid w:val="009505EB"/>
    <w:rsid w:val="00950746"/>
    <w:rsid w:val="00950778"/>
    <w:rsid w:val="00951407"/>
    <w:rsid w:val="0095176F"/>
    <w:rsid w:val="00951CFB"/>
    <w:rsid w:val="009520A5"/>
    <w:rsid w:val="00952A12"/>
    <w:rsid w:val="00952D6C"/>
    <w:rsid w:val="00953025"/>
    <w:rsid w:val="009537E7"/>
    <w:rsid w:val="00953ECA"/>
    <w:rsid w:val="00954A29"/>
    <w:rsid w:val="00954E90"/>
    <w:rsid w:val="00955F3A"/>
    <w:rsid w:val="009562CF"/>
    <w:rsid w:val="00956D09"/>
    <w:rsid w:val="00956F97"/>
    <w:rsid w:val="00957569"/>
    <w:rsid w:val="009579DB"/>
    <w:rsid w:val="00957B05"/>
    <w:rsid w:val="00957DA9"/>
    <w:rsid w:val="00957E56"/>
    <w:rsid w:val="009604DB"/>
    <w:rsid w:val="00960EF7"/>
    <w:rsid w:val="00961440"/>
    <w:rsid w:val="00961543"/>
    <w:rsid w:val="00961863"/>
    <w:rsid w:val="00961B32"/>
    <w:rsid w:val="00961EA7"/>
    <w:rsid w:val="00961F7C"/>
    <w:rsid w:val="00962405"/>
    <w:rsid w:val="0096253C"/>
    <w:rsid w:val="00962699"/>
    <w:rsid w:val="00962B1D"/>
    <w:rsid w:val="00962E64"/>
    <w:rsid w:val="00963197"/>
    <w:rsid w:val="009633FA"/>
    <w:rsid w:val="0096401D"/>
    <w:rsid w:val="00964516"/>
    <w:rsid w:val="009651D8"/>
    <w:rsid w:val="009651E0"/>
    <w:rsid w:val="00965546"/>
    <w:rsid w:val="009658E2"/>
    <w:rsid w:val="00965913"/>
    <w:rsid w:val="00965A05"/>
    <w:rsid w:val="009665AB"/>
    <w:rsid w:val="0096690E"/>
    <w:rsid w:val="00966C5F"/>
    <w:rsid w:val="00966D4F"/>
    <w:rsid w:val="00966E0C"/>
    <w:rsid w:val="00967035"/>
    <w:rsid w:val="00967379"/>
    <w:rsid w:val="0097049F"/>
    <w:rsid w:val="0097158F"/>
    <w:rsid w:val="00971728"/>
    <w:rsid w:val="00972265"/>
    <w:rsid w:val="00972606"/>
    <w:rsid w:val="00972B14"/>
    <w:rsid w:val="00973357"/>
    <w:rsid w:val="00973642"/>
    <w:rsid w:val="00973FE1"/>
    <w:rsid w:val="00974436"/>
    <w:rsid w:val="0097492A"/>
    <w:rsid w:val="00974A78"/>
    <w:rsid w:val="009750E1"/>
    <w:rsid w:val="00975731"/>
    <w:rsid w:val="00976453"/>
    <w:rsid w:val="00976803"/>
    <w:rsid w:val="0097736B"/>
    <w:rsid w:val="009774E8"/>
    <w:rsid w:val="00977567"/>
    <w:rsid w:val="00977C48"/>
    <w:rsid w:val="00980420"/>
    <w:rsid w:val="009804EC"/>
    <w:rsid w:val="0098067F"/>
    <w:rsid w:val="00980799"/>
    <w:rsid w:val="0098083E"/>
    <w:rsid w:val="009809E8"/>
    <w:rsid w:val="009811E1"/>
    <w:rsid w:val="0098134D"/>
    <w:rsid w:val="00981468"/>
    <w:rsid w:val="009818D8"/>
    <w:rsid w:val="00981E01"/>
    <w:rsid w:val="00982667"/>
    <w:rsid w:val="00982724"/>
    <w:rsid w:val="009827E1"/>
    <w:rsid w:val="00982F44"/>
    <w:rsid w:val="009833D8"/>
    <w:rsid w:val="009838C7"/>
    <w:rsid w:val="00983A0A"/>
    <w:rsid w:val="00983CCE"/>
    <w:rsid w:val="00983F89"/>
    <w:rsid w:val="00984006"/>
    <w:rsid w:val="009846A8"/>
    <w:rsid w:val="009848D5"/>
    <w:rsid w:val="00984BE7"/>
    <w:rsid w:val="00984D83"/>
    <w:rsid w:val="00985020"/>
    <w:rsid w:val="009852E2"/>
    <w:rsid w:val="009854EF"/>
    <w:rsid w:val="0098555C"/>
    <w:rsid w:val="009859BA"/>
    <w:rsid w:val="009865CC"/>
    <w:rsid w:val="00986715"/>
    <w:rsid w:val="009867D7"/>
    <w:rsid w:val="00986826"/>
    <w:rsid w:val="00986C7F"/>
    <w:rsid w:val="009872EB"/>
    <w:rsid w:val="00987E87"/>
    <w:rsid w:val="009902D5"/>
    <w:rsid w:val="00990C10"/>
    <w:rsid w:val="009919F4"/>
    <w:rsid w:val="00992F12"/>
    <w:rsid w:val="00993538"/>
    <w:rsid w:val="00993619"/>
    <w:rsid w:val="00993790"/>
    <w:rsid w:val="00993DFA"/>
    <w:rsid w:val="0099455E"/>
    <w:rsid w:val="00994688"/>
    <w:rsid w:val="009946DA"/>
    <w:rsid w:val="009947AC"/>
    <w:rsid w:val="009951DD"/>
    <w:rsid w:val="0099523F"/>
    <w:rsid w:val="00995E7F"/>
    <w:rsid w:val="009960B3"/>
    <w:rsid w:val="009962C4"/>
    <w:rsid w:val="00997620"/>
    <w:rsid w:val="009977D6"/>
    <w:rsid w:val="00997E16"/>
    <w:rsid w:val="009A0284"/>
    <w:rsid w:val="009A06CF"/>
    <w:rsid w:val="009A11C3"/>
    <w:rsid w:val="009A1E8B"/>
    <w:rsid w:val="009A278C"/>
    <w:rsid w:val="009A2BE1"/>
    <w:rsid w:val="009A34DA"/>
    <w:rsid w:val="009A36B0"/>
    <w:rsid w:val="009A3967"/>
    <w:rsid w:val="009A3978"/>
    <w:rsid w:val="009A3F53"/>
    <w:rsid w:val="009A4895"/>
    <w:rsid w:val="009A4FFB"/>
    <w:rsid w:val="009A5636"/>
    <w:rsid w:val="009A5D98"/>
    <w:rsid w:val="009A5F49"/>
    <w:rsid w:val="009A614D"/>
    <w:rsid w:val="009A6BB2"/>
    <w:rsid w:val="009A6DF1"/>
    <w:rsid w:val="009A6F51"/>
    <w:rsid w:val="009A7521"/>
    <w:rsid w:val="009A7852"/>
    <w:rsid w:val="009B0E64"/>
    <w:rsid w:val="009B1331"/>
    <w:rsid w:val="009B17ED"/>
    <w:rsid w:val="009B1857"/>
    <w:rsid w:val="009B1E6D"/>
    <w:rsid w:val="009B1FAA"/>
    <w:rsid w:val="009B26A0"/>
    <w:rsid w:val="009B29E2"/>
    <w:rsid w:val="009B2A98"/>
    <w:rsid w:val="009B319F"/>
    <w:rsid w:val="009B31CC"/>
    <w:rsid w:val="009B39DB"/>
    <w:rsid w:val="009B409E"/>
    <w:rsid w:val="009B4160"/>
    <w:rsid w:val="009B4592"/>
    <w:rsid w:val="009B4C5A"/>
    <w:rsid w:val="009B567D"/>
    <w:rsid w:val="009B57D9"/>
    <w:rsid w:val="009B5AE5"/>
    <w:rsid w:val="009B5ED4"/>
    <w:rsid w:val="009B5FA3"/>
    <w:rsid w:val="009B62D1"/>
    <w:rsid w:val="009B639E"/>
    <w:rsid w:val="009B6DF4"/>
    <w:rsid w:val="009B6E27"/>
    <w:rsid w:val="009B7554"/>
    <w:rsid w:val="009B7730"/>
    <w:rsid w:val="009B7B6D"/>
    <w:rsid w:val="009C15B7"/>
    <w:rsid w:val="009C1D90"/>
    <w:rsid w:val="009C2BB5"/>
    <w:rsid w:val="009C2D24"/>
    <w:rsid w:val="009C3481"/>
    <w:rsid w:val="009C3523"/>
    <w:rsid w:val="009C39D9"/>
    <w:rsid w:val="009C43D2"/>
    <w:rsid w:val="009C482D"/>
    <w:rsid w:val="009C48BD"/>
    <w:rsid w:val="009C4AF2"/>
    <w:rsid w:val="009C4DB1"/>
    <w:rsid w:val="009C5585"/>
    <w:rsid w:val="009C592E"/>
    <w:rsid w:val="009C5C40"/>
    <w:rsid w:val="009C60E2"/>
    <w:rsid w:val="009C6669"/>
    <w:rsid w:val="009C6CCE"/>
    <w:rsid w:val="009C6D5C"/>
    <w:rsid w:val="009C6D64"/>
    <w:rsid w:val="009C7374"/>
    <w:rsid w:val="009C7499"/>
    <w:rsid w:val="009C790B"/>
    <w:rsid w:val="009C7959"/>
    <w:rsid w:val="009D07B6"/>
    <w:rsid w:val="009D0834"/>
    <w:rsid w:val="009D0D8B"/>
    <w:rsid w:val="009D0ED1"/>
    <w:rsid w:val="009D1279"/>
    <w:rsid w:val="009D1B8A"/>
    <w:rsid w:val="009D1D74"/>
    <w:rsid w:val="009D1FA4"/>
    <w:rsid w:val="009D24C2"/>
    <w:rsid w:val="009D25E9"/>
    <w:rsid w:val="009D278A"/>
    <w:rsid w:val="009D3862"/>
    <w:rsid w:val="009D38A1"/>
    <w:rsid w:val="009D3A4B"/>
    <w:rsid w:val="009D430C"/>
    <w:rsid w:val="009D4518"/>
    <w:rsid w:val="009D4578"/>
    <w:rsid w:val="009D4A1C"/>
    <w:rsid w:val="009D4D8A"/>
    <w:rsid w:val="009D5D85"/>
    <w:rsid w:val="009D6594"/>
    <w:rsid w:val="009D6652"/>
    <w:rsid w:val="009D6922"/>
    <w:rsid w:val="009D6B5B"/>
    <w:rsid w:val="009D6E68"/>
    <w:rsid w:val="009D70CF"/>
    <w:rsid w:val="009D737C"/>
    <w:rsid w:val="009D7C38"/>
    <w:rsid w:val="009E02BB"/>
    <w:rsid w:val="009E05EB"/>
    <w:rsid w:val="009E0CE1"/>
    <w:rsid w:val="009E0E60"/>
    <w:rsid w:val="009E1637"/>
    <w:rsid w:val="009E218C"/>
    <w:rsid w:val="009E21E6"/>
    <w:rsid w:val="009E26B3"/>
    <w:rsid w:val="009E2916"/>
    <w:rsid w:val="009E2E5F"/>
    <w:rsid w:val="009E3019"/>
    <w:rsid w:val="009E3106"/>
    <w:rsid w:val="009E3729"/>
    <w:rsid w:val="009E3789"/>
    <w:rsid w:val="009E3EAF"/>
    <w:rsid w:val="009E44DF"/>
    <w:rsid w:val="009E4612"/>
    <w:rsid w:val="009E4828"/>
    <w:rsid w:val="009E509E"/>
    <w:rsid w:val="009E557E"/>
    <w:rsid w:val="009E6A9A"/>
    <w:rsid w:val="009E6E07"/>
    <w:rsid w:val="009E70D9"/>
    <w:rsid w:val="009E70FE"/>
    <w:rsid w:val="009E75E9"/>
    <w:rsid w:val="009F06C6"/>
    <w:rsid w:val="009F09C0"/>
    <w:rsid w:val="009F0B7C"/>
    <w:rsid w:val="009F0FB6"/>
    <w:rsid w:val="009F106D"/>
    <w:rsid w:val="009F11C5"/>
    <w:rsid w:val="009F1737"/>
    <w:rsid w:val="009F1CA9"/>
    <w:rsid w:val="009F1D92"/>
    <w:rsid w:val="009F200E"/>
    <w:rsid w:val="009F285A"/>
    <w:rsid w:val="009F2C8E"/>
    <w:rsid w:val="009F3410"/>
    <w:rsid w:val="009F37CF"/>
    <w:rsid w:val="009F3CD3"/>
    <w:rsid w:val="009F4250"/>
    <w:rsid w:val="009F436B"/>
    <w:rsid w:val="009F445A"/>
    <w:rsid w:val="009F50F6"/>
    <w:rsid w:val="009F55B7"/>
    <w:rsid w:val="009F5A2D"/>
    <w:rsid w:val="009F68AF"/>
    <w:rsid w:val="009F6D03"/>
    <w:rsid w:val="009F70F5"/>
    <w:rsid w:val="009F7177"/>
    <w:rsid w:val="009F75B0"/>
    <w:rsid w:val="009F7699"/>
    <w:rsid w:val="009F7A10"/>
    <w:rsid w:val="00A001BA"/>
    <w:rsid w:val="00A002B4"/>
    <w:rsid w:val="00A0048C"/>
    <w:rsid w:val="00A0062E"/>
    <w:rsid w:val="00A00BDC"/>
    <w:rsid w:val="00A00D80"/>
    <w:rsid w:val="00A00FF9"/>
    <w:rsid w:val="00A0183F"/>
    <w:rsid w:val="00A01AFF"/>
    <w:rsid w:val="00A01EA4"/>
    <w:rsid w:val="00A020F8"/>
    <w:rsid w:val="00A02460"/>
    <w:rsid w:val="00A025E2"/>
    <w:rsid w:val="00A025F2"/>
    <w:rsid w:val="00A02D71"/>
    <w:rsid w:val="00A03139"/>
    <w:rsid w:val="00A03364"/>
    <w:rsid w:val="00A03711"/>
    <w:rsid w:val="00A038F5"/>
    <w:rsid w:val="00A03D49"/>
    <w:rsid w:val="00A044E1"/>
    <w:rsid w:val="00A04AEC"/>
    <w:rsid w:val="00A04C6C"/>
    <w:rsid w:val="00A04CC8"/>
    <w:rsid w:val="00A05028"/>
    <w:rsid w:val="00A05437"/>
    <w:rsid w:val="00A06CC8"/>
    <w:rsid w:val="00A06E23"/>
    <w:rsid w:val="00A0712B"/>
    <w:rsid w:val="00A0737A"/>
    <w:rsid w:val="00A10106"/>
    <w:rsid w:val="00A10865"/>
    <w:rsid w:val="00A108CE"/>
    <w:rsid w:val="00A10F17"/>
    <w:rsid w:val="00A10FC2"/>
    <w:rsid w:val="00A128B1"/>
    <w:rsid w:val="00A12B69"/>
    <w:rsid w:val="00A1336F"/>
    <w:rsid w:val="00A1386C"/>
    <w:rsid w:val="00A13A71"/>
    <w:rsid w:val="00A14006"/>
    <w:rsid w:val="00A14CFF"/>
    <w:rsid w:val="00A1505B"/>
    <w:rsid w:val="00A15B5C"/>
    <w:rsid w:val="00A161DC"/>
    <w:rsid w:val="00A16672"/>
    <w:rsid w:val="00A16EAF"/>
    <w:rsid w:val="00A176BC"/>
    <w:rsid w:val="00A17F06"/>
    <w:rsid w:val="00A201C9"/>
    <w:rsid w:val="00A20580"/>
    <w:rsid w:val="00A20ADF"/>
    <w:rsid w:val="00A20CB0"/>
    <w:rsid w:val="00A20CF9"/>
    <w:rsid w:val="00A210DF"/>
    <w:rsid w:val="00A21BC0"/>
    <w:rsid w:val="00A229D8"/>
    <w:rsid w:val="00A2320F"/>
    <w:rsid w:val="00A239C6"/>
    <w:rsid w:val="00A23CC1"/>
    <w:rsid w:val="00A249CB"/>
    <w:rsid w:val="00A24F03"/>
    <w:rsid w:val="00A2533D"/>
    <w:rsid w:val="00A25525"/>
    <w:rsid w:val="00A2595C"/>
    <w:rsid w:val="00A26683"/>
    <w:rsid w:val="00A26F79"/>
    <w:rsid w:val="00A27BA8"/>
    <w:rsid w:val="00A3027E"/>
    <w:rsid w:val="00A30561"/>
    <w:rsid w:val="00A30A20"/>
    <w:rsid w:val="00A310B0"/>
    <w:rsid w:val="00A3115A"/>
    <w:rsid w:val="00A31505"/>
    <w:rsid w:val="00A32528"/>
    <w:rsid w:val="00A33126"/>
    <w:rsid w:val="00A3440B"/>
    <w:rsid w:val="00A34769"/>
    <w:rsid w:val="00A34956"/>
    <w:rsid w:val="00A34ACB"/>
    <w:rsid w:val="00A34CA8"/>
    <w:rsid w:val="00A34E04"/>
    <w:rsid w:val="00A34F10"/>
    <w:rsid w:val="00A34F77"/>
    <w:rsid w:val="00A35B77"/>
    <w:rsid w:val="00A3687E"/>
    <w:rsid w:val="00A3688A"/>
    <w:rsid w:val="00A368AF"/>
    <w:rsid w:val="00A37130"/>
    <w:rsid w:val="00A3755E"/>
    <w:rsid w:val="00A37EB4"/>
    <w:rsid w:val="00A37EFA"/>
    <w:rsid w:val="00A40642"/>
    <w:rsid w:val="00A40A87"/>
    <w:rsid w:val="00A4132B"/>
    <w:rsid w:val="00A413F8"/>
    <w:rsid w:val="00A4161F"/>
    <w:rsid w:val="00A420CE"/>
    <w:rsid w:val="00A423E1"/>
    <w:rsid w:val="00A42431"/>
    <w:rsid w:val="00A42C90"/>
    <w:rsid w:val="00A43298"/>
    <w:rsid w:val="00A43356"/>
    <w:rsid w:val="00A44049"/>
    <w:rsid w:val="00A442A7"/>
    <w:rsid w:val="00A443BE"/>
    <w:rsid w:val="00A447DE"/>
    <w:rsid w:val="00A4484B"/>
    <w:rsid w:val="00A451A2"/>
    <w:rsid w:val="00A45440"/>
    <w:rsid w:val="00A459E1"/>
    <w:rsid w:val="00A45ACF"/>
    <w:rsid w:val="00A45C46"/>
    <w:rsid w:val="00A46488"/>
    <w:rsid w:val="00A469ED"/>
    <w:rsid w:val="00A46F5F"/>
    <w:rsid w:val="00A47C71"/>
    <w:rsid w:val="00A5047B"/>
    <w:rsid w:val="00A50962"/>
    <w:rsid w:val="00A51424"/>
    <w:rsid w:val="00A518D5"/>
    <w:rsid w:val="00A51BFB"/>
    <w:rsid w:val="00A51CEA"/>
    <w:rsid w:val="00A51F05"/>
    <w:rsid w:val="00A51F56"/>
    <w:rsid w:val="00A52875"/>
    <w:rsid w:val="00A529E5"/>
    <w:rsid w:val="00A52E95"/>
    <w:rsid w:val="00A53023"/>
    <w:rsid w:val="00A536AC"/>
    <w:rsid w:val="00A539BF"/>
    <w:rsid w:val="00A53C01"/>
    <w:rsid w:val="00A54260"/>
    <w:rsid w:val="00A54B87"/>
    <w:rsid w:val="00A5526D"/>
    <w:rsid w:val="00A55580"/>
    <w:rsid w:val="00A55966"/>
    <w:rsid w:val="00A56032"/>
    <w:rsid w:val="00A56082"/>
    <w:rsid w:val="00A56103"/>
    <w:rsid w:val="00A562C4"/>
    <w:rsid w:val="00A578F4"/>
    <w:rsid w:val="00A57B89"/>
    <w:rsid w:val="00A60153"/>
    <w:rsid w:val="00A607A3"/>
    <w:rsid w:val="00A6174B"/>
    <w:rsid w:val="00A61A4B"/>
    <w:rsid w:val="00A62163"/>
    <w:rsid w:val="00A62696"/>
    <w:rsid w:val="00A631A3"/>
    <w:rsid w:val="00A6407B"/>
    <w:rsid w:val="00A64370"/>
    <w:rsid w:val="00A64805"/>
    <w:rsid w:val="00A64B0D"/>
    <w:rsid w:val="00A657FE"/>
    <w:rsid w:val="00A658DB"/>
    <w:rsid w:val="00A65B04"/>
    <w:rsid w:val="00A65F73"/>
    <w:rsid w:val="00A65FD0"/>
    <w:rsid w:val="00A66E31"/>
    <w:rsid w:val="00A67DD7"/>
    <w:rsid w:val="00A70786"/>
    <w:rsid w:val="00A7093D"/>
    <w:rsid w:val="00A70D10"/>
    <w:rsid w:val="00A71464"/>
    <w:rsid w:val="00A71521"/>
    <w:rsid w:val="00A71C1A"/>
    <w:rsid w:val="00A71EAF"/>
    <w:rsid w:val="00A71F5D"/>
    <w:rsid w:val="00A72373"/>
    <w:rsid w:val="00A731FB"/>
    <w:rsid w:val="00A737AC"/>
    <w:rsid w:val="00A739AC"/>
    <w:rsid w:val="00A73DE1"/>
    <w:rsid w:val="00A73FE6"/>
    <w:rsid w:val="00A7403F"/>
    <w:rsid w:val="00A74311"/>
    <w:rsid w:val="00A74393"/>
    <w:rsid w:val="00A7463C"/>
    <w:rsid w:val="00A746AE"/>
    <w:rsid w:val="00A7479A"/>
    <w:rsid w:val="00A74981"/>
    <w:rsid w:val="00A74AAF"/>
    <w:rsid w:val="00A74BB9"/>
    <w:rsid w:val="00A750CD"/>
    <w:rsid w:val="00A757A0"/>
    <w:rsid w:val="00A75C39"/>
    <w:rsid w:val="00A75EED"/>
    <w:rsid w:val="00A764C5"/>
    <w:rsid w:val="00A77887"/>
    <w:rsid w:val="00A778DF"/>
    <w:rsid w:val="00A77D5E"/>
    <w:rsid w:val="00A803CA"/>
    <w:rsid w:val="00A8089A"/>
    <w:rsid w:val="00A808BE"/>
    <w:rsid w:val="00A8090B"/>
    <w:rsid w:val="00A8094E"/>
    <w:rsid w:val="00A80BB5"/>
    <w:rsid w:val="00A813E2"/>
    <w:rsid w:val="00A81C78"/>
    <w:rsid w:val="00A820B7"/>
    <w:rsid w:val="00A822F0"/>
    <w:rsid w:val="00A83923"/>
    <w:rsid w:val="00A83C83"/>
    <w:rsid w:val="00A8437B"/>
    <w:rsid w:val="00A84599"/>
    <w:rsid w:val="00A84605"/>
    <w:rsid w:val="00A84727"/>
    <w:rsid w:val="00A8496D"/>
    <w:rsid w:val="00A85031"/>
    <w:rsid w:val="00A85148"/>
    <w:rsid w:val="00A851E7"/>
    <w:rsid w:val="00A85EB0"/>
    <w:rsid w:val="00A86431"/>
    <w:rsid w:val="00A86C79"/>
    <w:rsid w:val="00A86D14"/>
    <w:rsid w:val="00A86D69"/>
    <w:rsid w:val="00A87194"/>
    <w:rsid w:val="00A872F4"/>
    <w:rsid w:val="00A87CF4"/>
    <w:rsid w:val="00A90432"/>
    <w:rsid w:val="00A90E1B"/>
    <w:rsid w:val="00A90EDC"/>
    <w:rsid w:val="00A911B1"/>
    <w:rsid w:val="00A91A42"/>
    <w:rsid w:val="00A9211C"/>
    <w:rsid w:val="00A92374"/>
    <w:rsid w:val="00A92594"/>
    <w:rsid w:val="00A93107"/>
    <w:rsid w:val="00A93928"/>
    <w:rsid w:val="00A94F6F"/>
    <w:rsid w:val="00A9541A"/>
    <w:rsid w:val="00A9579D"/>
    <w:rsid w:val="00A957A6"/>
    <w:rsid w:val="00A95D3C"/>
    <w:rsid w:val="00A95D89"/>
    <w:rsid w:val="00A95E35"/>
    <w:rsid w:val="00A96638"/>
    <w:rsid w:val="00A96FF3"/>
    <w:rsid w:val="00A972EE"/>
    <w:rsid w:val="00A97555"/>
    <w:rsid w:val="00A975AA"/>
    <w:rsid w:val="00A97E41"/>
    <w:rsid w:val="00AA0248"/>
    <w:rsid w:val="00AA04BB"/>
    <w:rsid w:val="00AA0517"/>
    <w:rsid w:val="00AA0C9B"/>
    <w:rsid w:val="00AA1FCE"/>
    <w:rsid w:val="00AA2048"/>
    <w:rsid w:val="00AA2179"/>
    <w:rsid w:val="00AA22D1"/>
    <w:rsid w:val="00AA25A4"/>
    <w:rsid w:val="00AA2AE4"/>
    <w:rsid w:val="00AA4F21"/>
    <w:rsid w:val="00AA4F52"/>
    <w:rsid w:val="00AA5AC7"/>
    <w:rsid w:val="00AA60CA"/>
    <w:rsid w:val="00AA621D"/>
    <w:rsid w:val="00AA6BA4"/>
    <w:rsid w:val="00AA758D"/>
    <w:rsid w:val="00AA7911"/>
    <w:rsid w:val="00AB068F"/>
    <w:rsid w:val="00AB082D"/>
    <w:rsid w:val="00AB0C38"/>
    <w:rsid w:val="00AB0EF3"/>
    <w:rsid w:val="00AB1D64"/>
    <w:rsid w:val="00AB252B"/>
    <w:rsid w:val="00AB2A33"/>
    <w:rsid w:val="00AB2AB3"/>
    <w:rsid w:val="00AB2B56"/>
    <w:rsid w:val="00AB2C9F"/>
    <w:rsid w:val="00AB2D17"/>
    <w:rsid w:val="00AB3069"/>
    <w:rsid w:val="00AB3410"/>
    <w:rsid w:val="00AB3C41"/>
    <w:rsid w:val="00AB45D9"/>
    <w:rsid w:val="00AB47DC"/>
    <w:rsid w:val="00AB4D05"/>
    <w:rsid w:val="00AB4DE0"/>
    <w:rsid w:val="00AB52C0"/>
    <w:rsid w:val="00AB6891"/>
    <w:rsid w:val="00AB7F27"/>
    <w:rsid w:val="00AC00E1"/>
    <w:rsid w:val="00AC01F7"/>
    <w:rsid w:val="00AC0476"/>
    <w:rsid w:val="00AC08CA"/>
    <w:rsid w:val="00AC0B9C"/>
    <w:rsid w:val="00AC0C25"/>
    <w:rsid w:val="00AC1180"/>
    <w:rsid w:val="00AC12FE"/>
    <w:rsid w:val="00AC13F9"/>
    <w:rsid w:val="00AC1493"/>
    <w:rsid w:val="00AC1667"/>
    <w:rsid w:val="00AC1E3B"/>
    <w:rsid w:val="00AC1ECB"/>
    <w:rsid w:val="00AC224C"/>
    <w:rsid w:val="00AC2314"/>
    <w:rsid w:val="00AC27B5"/>
    <w:rsid w:val="00AC2B50"/>
    <w:rsid w:val="00AC3018"/>
    <w:rsid w:val="00AC4809"/>
    <w:rsid w:val="00AC48FF"/>
    <w:rsid w:val="00AC4AC6"/>
    <w:rsid w:val="00AC4E87"/>
    <w:rsid w:val="00AC538A"/>
    <w:rsid w:val="00AC59AB"/>
    <w:rsid w:val="00AC59D4"/>
    <w:rsid w:val="00AC5D67"/>
    <w:rsid w:val="00AC5E59"/>
    <w:rsid w:val="00AC675D"/>
    <w:rsid w:val="00AC696B"/>
    <w:rsid w:val="00AC6D0D"/>
    <w:rsid w:val="00AC7097"/>
    <w:rsid w:val="00AC79F6"/>
    <w:rsid w:val="00AD042B"/>
    <w:rsid w:val="00AD062E"/>
    <w:rsid w:val="00AD0A65"/>
    <w:rsid w:val="00AD0FF8"/>
    <w:rsid w:val="00AD1100"/>
    <w:rsid w:val="00AD118F"/>
    <w:rsid w:val="00AD2695"/>
    <w:rsid w:val="00AD2B49"/>
    <w:rsid w:val="00AD2C59"/>
    <w:rsid w:val="00AD2FC1"/>
    <w:rsid w:val="00AD35D6"/>
    <w:rsid w:val="00AD3A9E"/>
    <w:rsid w:val="00AD428D"/>
    <w:rsid w:val="00AD47B5"/>
    <w:rsid w:val="00AD5325"/>
    <w:rsid w:val="00AD564E"/>
    <w:rsid w:val="00AD594F"/>
    <w:rsid w:val="00AD5C4F"/>
    <w:rsid w:val="00AD5FF6"/>
    <w:rsid w:val="00AD60B0"/>
    <w:rsid w:val="00AD639E"/>
    <w:rsid w:val="00AD675C"/>
    <w:rsid w:val="00AD67E1"/>
    <w:rsid w:val="00AD725C"/>
    <w:rsid w:val="00AD774C"/>
    <w:rsid w:val="00AD7C4F"/>
    <w:rsid w:val="00AE0554"/>
    <w:rsid w:val="00AE0B1C"/>
    <w:rsid w:val="00AE127A"/>
    <w:rsid w:val="00AE1A4E"/>
    <w:rsid w:val="00AE21CA"/>
    <w:rsid w:val="00AE22C5"/>
    <w:rsid w:val="00AE2363"/>
    <w:rsid w:val="00AE2BAD"/>
    <w:rsid w:val="00AE336D"/>
    <w:rsid w:val="00AE4620"/>
    <w:rsid w:val="00AE4744"/>
    <w:rsid w:val="00AE54C6"/>
    <w:rsid w:val="00AE550F"/>
    <w:rsid w:val="00AE6CFA"/>
    <w:rsid w:val="00AE6FE0"/>
    <w:rsid w:val="00AE7245"/>
    <w:rsid w:val="00AE75AE"/>
    <w:rsid w:val="00AE7A68"/>
    <w:rsid w:val="00AE7DC5"/>
    <w:rsid w:val="00AF0F1F"/>
    <w:rsid w:val="00AF183F"/>
    <w:rsid w:val="00AF1F61"/>
    <w:rsid w:val="00AF22EA"/>
    <w:rsid w:val="00AF277C"/>
    <w:rsid w:val="00AF310A"/>
    <w:rsid w:val="00AF4348"/>
    <w:rsid w:val="00AF470E"/>
    <w:rsid w:val="00AF4A49"/>
    <w:rsid w:val="00AF5520"/>
    <w:rsid w:val="00AF576D"/>
    <w:rsid w:val="00AF584A"/>
    <w:rsid w:val="00AF6211"/>
    <w:rsid w:val="00AF7135"/>
    <w:rsid w:val="00AF7876"/>
    <w:rsid w:val="00AF796D"/>
    <w:rsid w:val="00AF7A53"/>
    <w:rsid w:val="00AF7DC2"/>
    <w:rsid w:val="00B00414"/>
    <w:rsid w:val="00B008BD"/>
    <w:rsid w:val="00B00943"/>
    <w:rsid w:val="00B00D02"/>
    <w:rsid w:val="00B0171B"/>
    <w:rsid w:val="00B0182D"/>
    <w:rsid w:val="00B018C2"/>
    <w:rsid w:val="00B01A9A"/>
    <w:rsid w:val="00B01CB6"/>
    <w:rsid w:val="00B023D6"/>
    <w:rsid w:val="00B028F8"/>
    <w:rsid w:val="00B02D25"/>
    <w:rsid w:val="00B02F3E"/>
    <w:rsid w:val="00B032DE"/>
    <w:rsid w:val="00B034C5"/>
    <w:rsid w:val="00B0352A"/>
    <w:rsid w:val="00B03A13"/>
    <w:rsid w:val="00B040A9"/>
    <w:rsid w:val="00B0490B"/>
    <w:rsid w:val="00B05311"/>
    <w:rsid w:val="00B054A7"/>
    <w:rsid w:val="00B05654"/>
    <w:rsid w:val="00B0638F"/>
    <w:rsid w:val="00B06AE3"/>
    <w:rsid w:val="00B06E0F"/>
    <w:rsid w:val="00B076B1"/>
    <w:rsid w:val="00B10027"/>
    <w:rsid w:val="00B1014D"/>
    <w:rsid w:val="00B1028C"/>
    <w:rsid w:val="00B102C5"/>
    <w:rsid w:val="00B10753"/>
    <w:rsid w:val="00B10807"/>
    <w:rsid w:val="00B109A9"/>
    <w:rsid w:val="00B10CC5"/>
    <w:rsid w:val="00B10F4C"/>
    <w:rsid w:val="00B10F84"/>
    <w:rsid w:val="00B1125A"/>
    <w:rsid w:val="00B1174D"/>
    <w:rsid w:val="00B1196C"/>
    <w:rsid w:val="00B119C3"/>
    <w:rsid w:val="00B11C28"/>
    <w:rsid w:val="00B11FB4"/>
    <w:rsid w:val="00B12A59"/>
    <w:rsid w:val="00B135AF"/>
    <w:rsid w:val="00B136BC"/>
    <w:rsid w:val="00B1393F"/>
    <w:rsid w:val="00B139A7"/>
    <w:rsid w:val="00B13D1F"/>
    <w:rsid w:val="00B14129"/>
    <w:rsid w:val="00B14215"/>
    <w:rsid w:val="00B14405"/>
    <w:rsid w:val="00B14FE9"/>
    <w:rsid w:val="00B15879"/>
    <w:rsid w:val="00B15B9F"/>
    <w:rsid w:val="00B15FAF"/>
    <w:rsid w:val="00B16440"/>
    <w:rsid w:val="00B1691B"/>
    <w:rsid w:val="00B172D0"/>
    <w:rsid w:val="00B17B75"/>
    <w:rsid w:val="00B1E274"/>
    <w:rsid w:val="00B2077C"/>
    <w:rsid w:val="00B2123C"/>
    <w:rsid w:val="00B21688"/>
    <w:rsid w:val="00B21896"/>
    <w:rsid w:val="00B21E41"/>
    <w:rsid w:val="00B22029"/>
    <w:rsid w:val="00B22643"/>
    <w:rsid w:val="00B229C9"/>
    <w:rsid w:val="00B22B6D"/>
    <w:rsid w:val="00B22BEA"/>
    <w:rsid w:val="00B235AC"/>
    <w:rsid w:val="00B23DC4"/>
    <w:rsid w:val="00B23EFD"/>
    <w:rsid w:val="00B23F02"/>
    <w:rsid w:val="00B240F0"/>
    <w:rsid w:val="00B24441"/>
    <w:rsid w:val="00B2495C"/>
    <w:rsid w:val="00B25040"/>
    <w:rsid w:val="00B2561D"/>
    <w:rsid w:val="00B25B66"/>
    <w:rsid w:val="00B25CD1"/>
    <w:rsid w:val="00B25CDA"/>
    <w:rsid w:val="00B2612A"/>
    <w:rsid w:val="00B26658"/>
    <w:rsid w:val="00B26D08"/>
    <w:rsid w:val="00B278A4"/>
    <w:rsid w:val="00B308CB"/>
    <w:rsid w:val="00B30B97"/>
    <w:rsid w:val="00B30C0C"/>
    <w:rsid w:val="00B312D5"/>
    <w:rsid w:val="00B3143B"/>
    <w:rsid w:val="00B31D60"/>
    <w:rsid w:val="00B31ED5"/>
    <w:rsid w:val="00B325BD"/>
    <w:rsid w:val="00B3298E"/>
    <w:rsid w:val="00B33094"/>
    <w:rsid w:val="00B3351C"/>
    <w:rsid w:val="00B3394F"/>
    <w:rsid w:val="00B34026"/>
    <w:rsid w:val="00B34186"/>
    <w:rsid w:val="00B343B3"/>
    <w:rsid w:val="00B34595"/>
    <w:rsid w:val="00B34983"/>
    <w:rsid w:val="00B34AFD"/>
    <w:rsid w:val="00B34CC6"/>
    <w:rsid w:val="00B34F40"/>
    <w:rsid w:val="00B354E8"/>
    <w:rsid w:val="00B36102"/>
    <w:rsid w:val="00B36A69"/>
    <w:rsid w:val="00B36EB7"/>
    <w:rsid w:val="00B370E4"/>
    <w:rsid w:val="00B376D6"/>
    <w:rsid w:val="00B37722"/>
    <w:rsid w:val="00B379C8"/>
    <w:rsid w:val="00B37B5C"/>
    <w:rsid w:val="00B37D00"/>
    <w:rsid w:val="00B40184"/>
    <w:rsid w:val="00B4054D"/>
    <w:rsid w:val="00B407AD"/>
    <w:rsid w:val="00B408A5"/>
    <w:rsid w:val="00B408E1"/>
    <w:rsid w:val="00B40B2F"/>
    <w:rsid w:val="00B4133B"/>
    <w:rsid w:val="00B41491"/>
    <w:rsid w:val="00B41957"/>
    <w:rsid w:val="00B41A6A"/>
    <w:rsid w:val="00B41E80"/>
    <w:rsid w:val="00B4205F"/>
    <w:rsid w:val="00B420CB"/>
    <w:rsid w:val="00B422CF"/>
    <w:rsid w:val="00B423F8"/>
    <w:rsid w:val="00B42C9D"/>
    <w:rsid w:val="00B42F37"/>
    <w:rsid w:val="00B433CB"/>
    <w:rsid w:val="00B43840"/>
    <w:rsid w:val="00B43C99"/>
    <w:rsid w:val="00B43E1B"/>
    <w:rsid w:val="00B43ED4"/>
    <w:rsid w:val="00B44B89"/>
    <w:rsid w:val="00B455A7"/>
    <w:rsid w:val="00B45763"/>
    <w:rsid w:val="00B46475"/>
    <w:rsid w:val="00B4658C"/>
    <w:rsid w:val="00B469BC"/>
    <w:rsid w:val="00B46A69"/>
    <w:rsid w:val="00B46A87"/>
    <w:rsid w:val="00B46BAD"/>
    <w:rsid w:val="00B46DFA"/>
    <w:rsid w:val="00B46E66"/>
    <w:rsid w:val="00B47810"/>
    <w:rsid w:val="00B47BB5"/>
    <w:rsid w:val="00B50075"/>
    <w:rsid w:val="00B5079B"/>
    <w:rsid w:val="00B51088"/>
    <w:rsid w:val="00B5111C"/>
    <w:rsid w:val="00B518C8"/>
    <w:rsid w:val="00B51B86"/>
    <w:rsid w:val="00B524AC"/>
    <w:rsid w:val="00B52573"/>
    <w:rsid w:val="00B52665"/>
    <w:rsid w:val="00B529FC"/>
    <w:rsid w:val="00B532FE"/>
    <w:rsid w:val="00B534A0"/>
    <w:rsid w:val="00B534DD"/>
    <w:rsid w:val="00B537FF"/>
    <w:rsid w:val="00B5398E"/>
    <w:rsid w:val="00B53ADD"/>
    <w:rsid w:val="00B53B5F"/>
    <w:rsid w:val="00B53BD0"/>
    <w:rsid w:val="00B54291"/>
    <w:rsid w:val="00B54D87"/>
    <w:rsid w:val="00B554C6"/>
    <w:rsid w:val="00B5553E"/>
    <w:rsid w:val="00B55597"/>
    <w:rsid w:val="00B561CD"/>
    <w:rsid w:val="00B569AD"/>
    <w:rsid w:val="00B569CC"/>
    <w:rsid w:val="00B56BD7"/>
    <w:rsid w:val="00B56CBE"/>
    <w:rsid w:val="00B57B04"/>
    <w:rsid w:val="00B57E28"/>
    <w:rsid w:val="00B60C59"/>
    <w:rsid w:val="00B615DC"/>
    <w:rsid w:val="00B61E87"/>
    <w:rsid w:val="00B62148"/>
    <w:rsid w:val="00B62DE1"/>
    <w:rsid w:val="00B6337D"/>
    <w:rsid w:val="00B63601"/>
    <w:rsid w:val="00B636B7"/>
    <w:rsid w:val="00B63DFA"/>
    <w:rsid w:val="00B65304"/>
    <w:rsid w:val="00B6599B"/>
    <w:rsid w:val="00B65BBE"/>
    <w:rsid w:val="00B66619"/>
    <w:rsid w:val="00B6694C"/>
    <w:rsid w:val="00B70014"/>
    <w:rsid w:val="00B7049A"/>
    <w:rsid w:val="00B70931"/>
    <w:rsid w:val="00B71A3C"/>
    <w:rsid w:val="00B71D22"/>
    <w:rsid w:val="00B72AD8"/>
    <w:rsid w:val="00B73926"/>
    <w:rsid w:val="00B74B87"/>
    <w:rsid w:val="00B7507C"/>
    <w:rsid w:val="00B751D3"/>
    <w:rsid w:val="00B75D93"/>
    <w:rsid w:val="00B76DA5"/>
    <w:rsid w:val="00B7749C"/>
    <w:rsid w:val="00B775FE"/>
    <w:rsid w:val="00B77951"/>
    <w:rsid w:val="00B805B9"/>
    <w:rsid w:val="00B80721"/>
    <w:rsid w:val="00B80A74"/>
    <w:rsid w:val="00B81D07"/>
    <w:rsid w:val="00B8251D"/>
    <w:rsid w:val="00B82A03"/>
    <w:rsid w:val="00B82C3D"/>
    <w:rsid w:val="00B83447"/>
    <w:rsid w:val="00B83A3D"/>
    <w:rsid w:val="00B845DB"/>
    <w:rsid w:val="00B84B52"/>
    <w:rsid w:val="00B84E36"/>
    <w:rsid w:val="00B86A25"/>
    <w:rsid w:val="00B86EC9"/>
    <w:rsid w:val="00B86FC1"/>
    <w:rsid w:val="00B8741A"/>
    <w:rsid w:val="00B87468"/>
    <w:rsid w:val="00B878C2"/>
    <w:rsid w:val="00B87A76"/>
    <w:rsid w:val="00B87AA7"/>
    <w:rsid w:val="00B90020"/>
    <w:rsid w:val="00B909C3"/>
    <w:rsid w:val="00B90FC9"/>
    <w:rsid w:val="00B90FFA"/>
    <w:rsid w:val="00B918F8"/>
    <w:rsid w:val="00B91A31"/>
    <w:rsid w:val="00B928BE"/>
    <w:rsid w:val="00B93383"/>
    <w:rsid w:val="00B935B6"/>
    <w:rsid w:val="00B937DF"/>
    <w:rsid w:val="00B93FDA"/>
    <w:rsid w:val="00B94BB3"/>
    <w:rsid w:val="00B95922"/>
    <w:rsid w:val="00B95A36"/>
    <w:rsid w:val="00B95C71"/>
    <w:rsid w:val="00B96C69"/>
    <w:rsid w:val="00B96F89"/>
    <w:rsid w:val="00B976A8"/>
    <w:rsid w:val="00B97CD9"/>
    <w:rsid w:val="00BA01B6"/>
    <w:rsid w:val="00BA01F0"/>
    <w:rsid w:val="00BA04F0"/>
    <w:rsid w:val="00BA0967"/>
    <w:rsid w:val="00BA123B"/>
    <w:rsid w:val="00BA16E9"/>
    <w:rsid w:val="00BA2A97"/>
    <w:rsid w:val="00BA328D"/>
    <w:rsid w:val="00BA3886"/>
    <w:rsid w:val="00BA3DC1"/>
    <w:rsid w:val="00BA4C3B"/>
    <w:rsid w:val="00BA4C9C"/>
    <w:rsid w:val="00BA5D51"/>
    <w:rsid w:val="00BA5FED"/>
    <w:rsid w:val="00BA6D38"/>
    <w:rsid w:val="00BA6E69"/>
    <w:rsid w:val="00BA7291"/>
    <w:rsid w:val="00BA772B"/>
    <w:rsid w:val="00BA78D3"/>
    <w:rsid w:val="00BA7C03"/>
    <w:rsid w:val="00BB04EA"/>
    <w:rsid w:val="00BB087A"/>
    <w:rsid w:val="00BB09F7"/>
    <w:rsid w:val="00BB0B83"/>
    <w:rsid w:val="00BB0C52"/>
    <w:rsid w:val="00BB0FFB"/>
    <w:rsid w:val="00BB1036"/>
    <w:rsid w:val="00BB1074"/>
    <w:rsid w:val="00BB11D7"/>
    <w:rsid w:val="00BB1698"/>
    <w:rsid w:val="00BB1C4C"/>
    <w:rsid w:val="00BB3059"/>
    <w:rsid w:val="00BB3207"/>
    <w:rsid w:val="00BB38E6"/>
    <w:rsid w:val="00BB39F2"/>
    <w:rsid w:val="00BB3E3F"/>
    <w:rsid w:val="00BB43A1"/>
    <w:rsid w:val="00BB5759"/>
    <w:rsid w:val="00BB5FBD"/>
    <w:rsid w:val="00BB6224"/>
    <w:rsid w:val="00BB65FC"/>
    <w:rsid w:val="00BB6743"/>
    <w:rsid w:val="00BB6773"/>
    <w:rsid w:val="00BB68E3"/>
    <w:rsid w:val="00BB6CEF"/>
    <w:rsid w:val="00BB7152"/>
    <w:rsid w:val="00BB71DA"/>
    <w:rsid w:val="00BB7D02"/>
    <w:rsid w:val="00BC014A"/>
    <w:rsid w:val="00BC1204"/>
    <w:rsid w:val="00BC21FE"/>
    <w:rsid w:val="00BC2373"/>
    <w:rsid w:val="00BC296B"/>
    <w:rsid w:val="00BC2B72"/>
    <w:rsid w:val="00BC324D"/>
    <w:rsid w:val="00BC347D"/>
    <w:rsid w:val="00BC3DAD"/>
    <w:rsid w:val="00BC4344"/>
    <w:rsid w:val="00BC47BD"/>
    <w:rsid w:val="00BC51DB"/>
    <w:rsid w:val="00BC55E4"/>
    <w:rsid w:val="00BC5845"/>
    <w:rsid w:val="00BC5E70"/>
    <w:rsid w:val="00BC6067"/>
    <w:rsid w:val="00BC68AF"/>
    <w:rsid w:val="00BC6C28"/>
    <w:rsid w:val="00BC7DD4"/>
    <w:rsid w:val="00BD0232"/>
    <w:rsid w:val="00BD0E6A"/>
    <w:rsid w:val="00BD0EFA"/>
    <w:rsid w:val="00BD14A5"/>
    <w:rsid w:val="00BD14D3"/>
    <w:rsid w:val="00BD1A44"/>
    <w:rsid w:val="00BD2282"/>
    <w:rsid w:val="00BD23F0"/>
    <w:rsid w:val="00BD3647"/>
    <w:rsid w:val="00BD36F2"/>
    <w:rsid w:val="00BD3E27"/>
    <w:rsid w:val="00BD41B5"/>
    <w:rsid w:val="00BD4B4E"/>
    <w:rsid w:val="00BD4D88"/>
    <w:rsid w:val="00BD4E13"/>
    <w:rsid w:val="00BD4F4C"/>
    <w:rsid w:val="00BD518F"/>
    <w:rsid w:val="00BD668C"/>
    <w:rsid w:val="00BD69F5"/>
    <w:rsid w:val="00BD6D7C"/>
    <w:rsid w:val="00BD7747"/>
    <w:rsid w:val="00BE0316"/>
    <w:rsid w:val="00BE0D4C"/>
    <w:rsid w:val="00BE12B8"/>
    <w:rsid w:val="00BE1ACB"/>
    <w:rsid w:val="00BE1D53"/>
    <w:rsid w:val="00BE22BA"/>
    <w:rsid w:val="00BE2698"/>
    <w:rsid w:val="00BE26EE"/>
    <w:rsid w:val="00BE2BF6"/>
    <w:rsid w:val="00BE31FE"/>
    <w:rsid w:val="00BE34F1"/>
    <w:rsid w:val="00BE3816"/>
    <w:rsid w:val="00BE39A0"/>
    <w:rsid w:val="00BE39B6"/>
    <w:rsid w:val="00BE3FA6"/>
    <w:rsid w:val="00BE3FD5"/>
    <w:rsid w:val="00BE4BB7"/>
    <w:rsid w:val="00BE4E4B"/>
    <w:rsid w:val="00BE4F10"/>
    <w:rsid w:val="00BE6300"/>
    <w:rsid w:val="00BE63C4"/>
    <w:rsid w:val="00BE6E41"/>
    <w:rsid w:val="00BE6F06"/>
    <w:rsid w:val="00BE71DB"/>
    <w:rsid w:val="00BE7358"/>
    <w:rsid w:val="00BE7403"/>
    <w:rsid w:val="00BE7413"/>
    <w:rsid w:val="00BE7666"/>
    <w:rsid w:val="00BE778C"/>
    <w:rsid w:val="00BF03BF"/>
    <w:rsid w:val="00BF0C4A"/>
    <w:rsid w:val="00BF11F5"/>
    <w:rsid w:val="00BF1285"/>
    <w:rsid w:val="00BF12D6"/>
    <w:rsid w:val="00BF14E7"/>
    <w:rsid w:val="00BF164A"/>
    <w:rsid w:val="00BF2585"/>
    <w:rsid w:val="00BF292C"/>
    <w:rsid w:val="00BF29D7"/>
    <w:rsid w:val="00BF2EAE"/>
    <w:rsid w:val="00BF38E6"/>
    <w:rsid w:val="00BF3C20"/>
    <w:rsid w:val="00BF3CC8"/>
    <w:rsid w:val="00BF3F2A"/>
    <w:rsid w:val="00BF472F"/>
    <w:rsid w:val="00BF58B3"/>
    <w:rsid w:val="00BF595B"/>
    <w:rsid w:val="00BF5D41"/>
    <w:rsid w:val="00BF5FFF"/>
    <w:rsid w:val="00BF60D8"/>
    <w:rsid w:val="00BF6772"/>
    <w:rsid w:val="00BF6A76"/>
    <w:rsid w:val="00C00407"/>
    <w:rsid w:val="00C006DE"/>
    <w:rsid w:val="00C007EB"/>
    <w:rsid w:val="00C00852"/>
    <w:rsid w:val="00C01242"/>
    <w:rsid w:val="00C012B9"/>
    <w:rsid w:val="00C013C5"/>
    <w:rsid w:val="00C01422"/>
    <w:rsid w:val="00C01563"/>
    <w:rsid w:val="00C01B2D"/>
    <w:rsid w:val="00C01D6D"/>
    <w:rsid w:val="00C02492"/>
    <w:rsid w:val="00C03621"/>
    <w:rsid w:val="00C045B3"/>
    <w:rsid w:val="00C0460F"/>
    <w:rsid w:val="00C049EB"/>
    <w:rsid w:val="00C04BD4"/>
    <w:rsid w:val="00C05813"/>
    <w:rsid w:val="00C05ED2"/>
    <w:rsid w:val="00C06208"/>
    <w:rsid w:val="00C063D2"/>
    <w:rsid w:val="00C06F84"/>
    <w:rsid w:val="00C07AB7"/>
    <w:rsid w:val="00C10741"/>
    <w:rsid w:val="00C10F44"/>
    <w:rsid w:val="00C11245"/>
    <w:rsid w:val="00C11B39"/>
    <w:rsid w:val="00C11C95"/>
    <w:rsid w:val="00C1282B"/>
    <w:rsid w:val="00C12933"/>
    <w:rsid w:val="00C12C71"/>
    <w:rsid w:val="00C13135"/>
    <w:rsid w:val="00C133C2"/>
    <w:rsid w:val="00C13AB6"/>
    <w:rsid w:val="00C14055"/>
    <w:rsid w:val="00C144C8"/>
    <w:rsid w:val="00C15165"/>
    <w:rsid w:val="00C15189"/>
    <w:rsid w:val="00C157EB"/>
    <w:rsid w:val="00C15A58"/>
    <w:rsid w:val="00C15EDF"/>
    <w:rsid w:val="00C16058"/>
    <w:rsid w:val="00C16300"/>
    <w:rsid w:val="00C167E2"/>
    <w:rsid w:val="00C16A50"/>
    <w:rsid w:val="00C16D63"/>
    <w:rsid w:val="00C178F0"/>
    <w:rsid w:val="00C1794B"/>
    <w:rsid w:val="00C17B27"/>
    <w:rsid w:val="00C2002D"/>
    <w:rsid w:val="00C20A4F"/>
    <w:rsid w:val="00C20B6F"/>
    <w:rsid w:val="00C20E1B"/>
    <w:rsid w:val="00C2166C"/>
    <w:rsid w:val="00C21C3B"/>
    <w:rsid w:val="00C2236E"/>
    <w:rsid w:val="00C229FF"/>
    <w:rsid w:val="00C230E4"/>
    <w:rsid w:val="00C234D0"/>
    <w:rsid w:val="00C23C2A"/>
    <w:rsid w:val="00C23C90"/>
    <w:rsid w:val="00C24492"/>
    <w:rsid w:val="00C24BAB"/>
    <w:rsid w:val="00C24F3B"/>
    <w:rsid w:val="00C25C67"/>
    <w:rsid w:val="00C25E07"/>
    <w:rsid w:val="00C2671E"/>
    <w:rsid w:val="00C26AE7"/>
    <w:rsid w:val="00C26B2F"/>
    <w:rsid w:val="00C26D51"/>
    <w:rsid w:val="00C26E12"/>
    <w:rsid w:val="00C2731F"/>
    <w:rsid w:val="00C27505"/>
    <w:rsid w:val="00C277F7"/>
    <w:rsid w:val="00C30720"/>
    <w:rsid w:val="00C309E1"/>
    <w:rsid w:val="00C30A36"/>
    <w:rsid w:val="00C30EFA"/>
    <w:rsid w:val="00C3124F"/>
    <w:rsid w:val="00C3149F"/>
    <w:rsid w:val="00C315D9"/>
    <w:rsid w:val="00C3218A"/>
    <w:rsid w:val="00C328AC"/>
    <w:rsid w:val="00C32A66"/>
    <w:rsid w:val="00C33498"/>
    <w:rsid w:val="00C335DC"/>
    <w:rsid w:val="00C345F7"/>
    <w:rsid w:val="00C3478A"/>
    <w:rsid w:val="00C34892"/>
    <w:rsid w:val="00C351E5"/>
    <w:rsid w:val="00C35219"/>
    <w:rsid w:val="00C3536E"/>
    <w:rsid w:val="00C354CF"/>
    <w:rsid w:val="00C35F80"/>
    <w:rsid w:val="00C36388"/>
    <w:rsid w:val="00C368EC"/>
    <w:rsid w:val="00C36CD2"/>
    <w:rsid w:val="00C402ED"/>
    <w:rsid w:val="00C4038C"/>
    <w:rsid w:val="00C4097A"/>
    <w:rsid w:val="00C40CC4"/>
    <w:rsid w:val="00C40DAE"/>
    <w:rsid w:val="00C4130B"/>
    <w:rsid w:val="00C41427"/>
    <w:rsid w:val="00C41978"/>
    <w:rsid w:val="00C42692"/>
    <w:rsid w:val="00C42875"/>
    <w:rsid w:val="00C43F59"/>
    <w:rsid w:val="00C44A32"/>
    <w:rsid w:val="00C44A7B"/>
    <w:rsid w:val="00C45252"/>
    <w:rsid w:val="00C45347"/>
    <w:rsid w:val="00C45B08"/>
    <w:rsid w:val="00C45FBE"/>
    <w:rsid w:val="00C45FD0"/>
    <w:rsid w:val="00C46B6A"/>
    <w:rsid w:val="00C46DA8"/>
    <w:rsid w:val="00C47659"/>
    <w:rsid w:val="00C478D8"/>
    <w:rsid w:val="00C47A39"/>
    <w:rsid w:val="00C47CBB"/>
    <w:rsid w:val="00C509AE"/>
    <w:rsid w:val="00C50A53"/>
    <w:rsid w:val="00C51F16"/>
    <w:rsid w:val="00C5207B"/>
    <w:rsid w:val="00C52144"/>
    <w:rsid w:val="00C525E1"/>
    <w:rsid w:val="00C530BC"/>
    <w:rsid w:val="00C533ED"/>
    <w:rsid w:val="00C5362E"/>
    <w:rsid w:val="00C53698"/>
    <w:rsid w:val="00C53EC7"/>
    <w:rsid w:val="00C541E6"/>
    <w:rsid w:val="00C54343"/>
    <w:rsid w:val="00C54349"/>
    <w:rsid w:val="00C55E65"/>
    <w:rsid w:val="00C55F89"/>
    <w:rsid w:val="00C564F1"/>
    <w:rsid w:val="00C56778"/>
    <w:rsid w:val="00C5679E"/>
    <w:rsid w:val="00C56C99"/>
    <w:rsid w:val="00C5706C"/>
    <w:rsid w:val="00C571B5"/>
    <w:rsid w:val="00C57384"/>
    <w:rsid w:val="00C57547"/>
    <w:rsid w:val="00C575CE"/>
    <w:rsid w:val="00C578C3"/>
    <w:rsid w:val="00C60119"/>
    <w:rsid w:val="00C60312"/>
    <w:rsid w:val="00C60471"/>
    <w:rsid w:val="00C61162"/>
    <w:rsid w:val="00C61327"/>
    <w:rsid w:val="00C61C4E"/>
    <w:rsid w:val="00C61DB9"/>
    <w:rsid w:val="00C621E6"/>
    <w:rsid w:val="00C6221C"/>
    <w:rsid w:val="00C6290A"/>
    <w:rsid w:val="00C62C9C"/>
    <w:rsid w:val="00C63176"/>
    <w:rsid w:val="00C634E7"/>
    <w:rsid w:val="00C63B94"/>
    <w:rsid w:val="00C64764"/>
    <w:rsid w:val="00C64DA3"/>
    <w:rsid w:val="00C64E68"/>
    <w:rsid w:val="00C65483"/>
    <w:rsid w:val="00C65A0D"/>
    <w:rsid w:val="00C66212"/>
    <w:rsid w:val="00C6670E"/>
    <w:rsid w:val="00C66D0E"/>
    <w:rsid w:val="00C67092"/>
    <w:rsid w:val="00C67230"/>
    <w:rsid w:val="00C67689"/>
    <w:rsid w:val="00C67854"/>
    <w:rsid w:val="00C67F49"/>
    <w:rsid w:val="00C707F1"/>
    <w:rsid w:val="00C70BC4"/>
    <w:rsid w:val="00C70E29"/>
    <w:rsid w:val="00C711EA"/>
    <w:rsid w:val="00C71976"/>
    <w:rsid w:val="00C723C4"/>
    <w:rsid w:val="00C72B25"/>
    <w:rsid w:val="00C72F17"/>
    <w:rsid w:val="00C73E34"/>
    <w:rsid w:val="00C73EBD"/>
    <w:rsid w:val="00C7406B"/>
    <w:rsid w:val="00C7414E"/>
    <w:rsid w:val="00C7462B"/>
    <w:rsid w:val="00C75F31"/>
    <w:rsid w:val="00C7604D"/>
    <w:rsid w:val="00C76064"/>
    <w:rsid w:val="00C76389"/>
    <w:rsid w:val="00C76823"/>
    <w:rsid w:val="00C768A1"/>
    <w:rsid w:val="00C770FC"/>
    <w:rsid w:val="00C77931"/>
    <w:rsid w:val="00C77B29"/>
    <w:rsid w:val="00C80068"/>
    <w:rsid w:val="00C80797"/>
    <w:rsid w:val="00C81726"/>
    <w:rsid w:val="00C81E63"/>
    <w:rsid w:val="00C82207"/>
    <w:rsid w:val="00C822D0"/>
    <w:rsid w:val="00C82378"/>
    <w:rsid w:val="00C823B7"/>
    <w:rsid w:val="00C82476"/>
    <w:rsid w:val="00C838F6"/>
    <w:rsid w:val="00C84327"/>
    <w:rsid w:val="00C84887"/>
    <w:rsid w:val="00C84D1A"/>
    <w:rsid w:val="00C84E1A"/>
    <w:rsid w:val="00C84F15"/>
    <w:rsid w:val="00C84F51"/>
    <w:rsid w:val="00C8547A"/>
    <w:rsid w:val="00C85970"/>
    <w:rsid w:val="00C85F9F"/>
    <w:rsid w:val="00C8602C"/>
    <w:rsid w:val="00C861E1"/>
    <w:rsid w:val="00C865E5"/>
    <w:rsid w:val="00C866A9"/>
    <w:rsid w:val="00C86BB6"/>
    <w:rsid w:val="00C86BDA"/>
    <w:rsid w:val="00C877A6"/>
    <w:rsid w:val="00C87C42"/>
    <w:rsid w:val="00C90A36"/>
    <w:rsid w:val="00C90FEE"/>
    <w:rsid w:val="00C911B6"/>
    <w:rsid w:val="00C923C2"/>
    <w:rsid w:val="00C9310D"/>
    <w:rsid w:val="00C9316E"/>
    <w:rsid w:val="00C93273"/>
    <w:rsid w:val="00C9397F"/>
    <w:rsid w:val="00C9434E"/>
    <w:rsid w:val="00C94A0C"/>
    <w:rsid w:val="00C94B4A"/>
    <w:rsid w:val="00C950DE"/>
    <w:rsid w:val="00C9552A"/>
    <w:rsid w:val="00C95838"/>
    <w:rsid w:val="00C959E9"/>
    <w:rsid w:val="00C95E17"/>
    <w:rsid w:val="00C97703"/>
    <w:rsid w:val="00C97768"/>
    <w:rsid w:val="00C97C1D"/>
    <w:rsid w:val="00CA0573"/>
    <w:rsid w:val="00CA0A85"/>
    <w:rsid w:val="00CA0DA3"/>
    <w:rsid w:val="00CA10B6"/>
    <w:rsid w:val="00CA1155"/>
    <w:rsid w:val="00CA18A3"/>
    <w:rsid w:val="00CA190F"/>
    <w:rsid w:val="00CA2001"/>
    <w:rsid w:val="00CA27B6"/>
    <w:rsid w:val="00CA28B0"/>
    <w:rsid w:val="00CA30EC"/>
    <w:rsid w:val="00CA310B"/>
    <w:rsid w:val="00CA3116"/>
    <w:rsid w:val="00CA3EE1"/>
    <w:rsid w:val="00CA3F9E"/>
    <w:rsid w:val="00CA425E"/>
    <w:rsid w:val="00CA491E"/>
    <w:rsid w:val="00CA4E67"/>
    <w:rsid w:val="00CA50FC"/>
    <w:rsid w:val="00CA597D"/>
    <w:rsid w:val="00CA6226"/>
    <w:rsid w:val="00CA6264"/>
    <w:rsid w:val="00CA68BB"/>
    <w:rsid w:val="00CA6E2A"/>
    <w:rsid w:val="00CA6EF8"/>
    <w:rsid w:val="00CA6F38"/>
    <w:rsid w:val="00CA753A"/>
    <w:rsid w:val="00CB0136"/>
    <w:rsid w:val="00CB1118"/>
    <w:rsid w:val="00CB15C8"/>
    <w:rsid w:val="00CB21B2"/>
    <w:rsid w:val="00CB287F"/>
    <w:rsid w:val="00CB29DB"/>
    <w:rsid w:val="00CB2C6D"/>
    <w:rsid w:val="00CB4BBE"/>
    <w:rsid w:val="00CB5035"/>
    <w:rsid w:val="00CB569B"/>
    <w:rsid w:val="00CB5B05"/>
    <w:rsid w:val="00CB6FB4"/>
    <w:rsid w:val="00CB74E1"/>
    <w:rsid w:val="00CB7624"/>
    <w:rsid w:val="00CB7C7A"/>
    <w:rsid w:val="00CC0418"/>
    <w:rsid w:val="00CC05AC"/>
    <w:rsid w:val="00CC0B63"/>
    <w:rsid w:val="00CC1847"/>
    <w:rsid w:val="00CC18ED"/>
    <w:rsid w:val="00CC1FCB"/>
    <w:rsid w:val="00CC2AAF"/>
    <w:rsid w:val="00CC2ED3"/>
    <w:rsid w:val="00CC392C"/>
    <w:rsid w:val="00CC4F34"/>
    <w:rsid w:val="00CC535F"/>
    <w:rsid w:val="00CC5ECE"/>
    <w:rsid w:val="00CC6247"/>
    <w:rsid w:val="00CC6609"/>
    <w:rsid w:val="00CC66A2"/>
    <w:rsid w:val="00CC7024"/>
    <w:rsid w:val="00CC719A"/>
    <w:rsid w:val="00CC73A0"/>
    <w:rsid w:val="00CC78DA"/>
    <w:rsid w:val="00CC7E20"/>
    <w:rsid w:val="00CD0BA5"/>
    <w:rsid w:val="00CD0FDE"/>
    <w:rsid w:val="00CD147C"/>
    <w:rsid w:val="00CD1601"/>
    <w:rsid w:val="00CD1ABC"/>
    <w:rsid w:val="00CD1E5A"/>
    <w:rsid w:val="00CD2284"/>
    <w:rsid w:val="00CD2702"/>
    <w:rsid w:val="00CD2FD7"/>
    <w:rsid w:val="00CD3583"/>
    <w:rsid w:val="00CD3601"/>
    <w:rsid w:val="00CD3DE8"/>
    <w:rsid w:val="00CD4105"/>
    <w:rsid w:val="00CD430F"/>
    <w:rsid w:val="00CD48E9"/>
    <w:rsid w:val="00CD5208"/>
    <w:rsid w:val="00CD5230"/>
    <w:rsid w:val="00CD5B1A"/>
    <w:rsid w:val="00CD5E0F"/>
    <w:rsid w:val="00CD60F9"/>
    <w:rsid w:val="00CD6F42"/>
    <w:rsid w:val="00CD7D12"/>
    <w:rsid w:val="00CE05B9"/>
    <w:rsid w:val="00CE0C75"/>
    <w:rsid w:val="00CE0D9D"/>
    <w:rsid w:val="00CE159D"/>
    <w:rsid w:val="00CE18C2"/>
    <w:rsid w:val="00CE18FA"/>
    <w:rsid w:val="00CE1B13"/>
    <w:rsid w:val="00CE1E49"/>
    <w:rsid w:val="00CE20A7"/>
    <w:rsid w:val="00CE2884"/>
    <w:rsid w:val="00CE2917"/>
    <w:rsid w:val="00CE2BA4"/>
    <w:rsid w:val="00CE2BE6"/>
    <w:rsid w:val="00CE3208"/>
    <w:rsid w:val="00CE3361"/>
    <w:rsid w:val="00CE34D7"/>
    <w:rsid w:val="00CE373E"/>
    <w:rsid w:val="00CE3766"/>
    <w:rsid w:val="00CE38A7"/>
    <w:rsid w:val="00CE3EEF"/>
    <w:rsid w:val="00CE4181"/>
    <w:rsid w:val="00CE4194"/>
    <w:rsid w:val="00CE4620"/>
    <w:rsid w:val="00CE50F2"/>
    <w:rsid w:val="00CE60A5"/>
    <w:rsid w:val="00CE62D3"/>
    <w:rsid w:val="00CE689E"/>
    <w:rsid w:val="00CE6F17"/>
    <w:rsid w:val="00CE780C"/>
    <w:rsid w:val="00CF0009"/>
    <w:rsid w:val="00CF05C8"/>
    <w:rsid w:val="00CF05E3"/>
    <w:rsid w:val="00CF0A18"/>
    <w:rsid w:val="00CF0E29"/>
    <w:rsid w:val="00CF1EA4"/>
    <w:rsid w:val="00CF1FF8"/>
    <w:rsid w:val="00CF218B"/>
    <w:rsid w:val="00CF2953"/>
    <w:rsid w:val="00CF2F59"/>
    <w:rsid w:val="00CF3044"/>
    <w:rsid w:val="00CF320F"/>
    <w:rsid w:val="00CF4581"/>
    <w:rsid w:val="00CF49ED"/>
    <w:rsid w:val="00CF5391"/>
    <w:rsid w:val="00CF5D63"/>
    <w:rsid w:val="00CF5EF0"/>
    <w:rsid w:val="00CF67AC"/>
    <w:rsid w:val="00CF6D66"/>
    <w:rsid w:val="00CF6F7A"/>
    <w:rsid w:val="00CF6FD8"/>
    <w:rsid w:val="00CF7146"/>
    <w:rsid w:val="00CF7718"/>
    <w:rsid w:val="00CF7780"/>
    <w:rsid w:val="00CF787E"/>
    <w:rsid w:val="00D00033"/>
    <w:rsid w:val="00D0130C"/>
    <w:rsid w:val="00D0259B"/>
    <w:rsid w:val="00D02CA0"/>
    <w:rsid w:val="00D0317B"/>
    <w:rsid w:val="00D0350B"/>
    <w:rsid w:val="00D03EA7"/>
    <w:rsid w:val="00D04DDF"/>
    <w:rsid w:val="00D05130"/>
    <w:rsid w:val="00D0526A"/>
    <w:rsid w:val="00D05480"/>
    <w:rsid w:val="00D0622B"/>
    <w:rsid w:val="00D06579"/>
    <w:rsid w:val="00D0689C"/>
    <w:rsid w:val="00D071DB"/>
    <w:rsid w:val="00D0765B"/>
    <w:rsid w:val="00D07B1B"/>
    <w:rsid w:val="00D108D7"/>
    <w:rsid w:val="00D1111A"/>
    <w:rsid w:val="00D11BF8"/>
    <w:rsid w:val="00D1220E"/>
    <w:rsid w:val="00D124F6"/>
    <w:rsid w:val="00D126A3"/>
    <w:rsid w:val="00D1296F"/>
    <w:rsid w:val="00D12997"/>
    <w:rsid w:val="00D13066"/>
    <w:rsid w:val="00D13368"/>
    <w:rsid w:val="00D13BAA"/>
    <w:rsid w:val="00D141A2"/>
    <w:rsid w:val="00D14739"/>
    <w:rsid w:val="00D14CAC"/>
    <w:rsid w:val="00D14CC3"/>
    <w:rsid w:val="00D15159"/>
    <w:rsid w:val="00D15664"/>
    <w:rsid w:val="00D15D5C"/>
    <w:rsid w:val="00D17986"/>
    <w:rsid w:val="00D20731"/>
    <w:rsid w:val="00D20FA0"/>
    <w:rsid w:val="00D220AB"/>
    <w:rsid w:val="00D22328"/>
    <w:rsid w:val="00D22C27"/>
    <w:rsid w:val="00D2360B"/>
    <w:rsid w:val="00D2374E"/>
    <w:rsid w:val="00D2396B"/>
    <w:rsid w:val="00D23B99"/>
    <w:rsid w:val="00D24486"/>
    <w:rsid w:val="00D2450D"/>
    <w:rsid w:val="00D2454D"/>
    <w:rsid w:val="00D245B2"/>
    <w:rsid w:val="00D24A06"/>
    <w:rsid w:val="00D24B39"/>
    <w:rsid w:val="00D24DB1"/>
    <w:rsid w:val="00D25382"/>
    <w:rsid w:val="00D2556B"/>
    <w:rsid w:val="00D25AAD"/>
    <w:rsid w:val="00D2670B"/>
    <w:rsid w:val="00D26804"/>
    <w:rsid w:val="00D26815"/>
    <w:rsid w:val="00D26A52"/>
    <w:rsid w:val="00D30286"/>
    <w:rsid w:val="00D303E1"/>
    <w:rsid w:val="00D30438"/>
    <w:rsid w:val="00D3080B"/>
    <w:rsid w:val="00D30EE1"/>
    <w:rsid w:val="00D31874"/>
    <w:rsid w:val="00D318A6"/>
    <w:rsid w:val="00D321F0"/>
    <w:rsid w:val="00D322A3"/>
    <w:rsid w:val="00D332F8"/>
    <w:rsid w:val="00D334E5"/>
    <w:rsid w:val="00D33823"/>
    <w:rsid w:val="00D33DAC"/>
    <w:rsid w:val="00D341B8"/>
    <w:rsid w:val="00D34402"/>
    <w:rsid w:val="00D34453"/>
    <w:rsid w:val="00D34B1A"/>
    <w:rsid w:val="00D34F77"/>
    <w:rsid w:val="00D352B9"/>
    <w:rsid w:val="00D354A8"/>
    <w:rsid w:val="00D35EBD"/>
    <w:rsid w:val="00D36994"/>
    <w:rsid w:val="00D36B6E"/>
    <w:rsid w:val="00D36C24"/>
    <w:rsid w:val="00D36CE7"/>
    <w:rsid w:val="00D36E06"/>
    <w:rsid w:val="00D3730F"/>
    <w:rsid w:val="00D3736A"/>
    <w:rsid w:val="00D3747D"/>
    <w:rsid w:val="00D377F7"/>
    <w:rsid w:val="00D37A3F"/>
    <w:rsid w:val="00D37E4F"/>
    <w:rsid w:val="00D400D2"/>
    <w:rsid w:val="00D4010E"/>
    <w:rsid w:val="00D40654"/>
    <w:rsid w:val="00D40958"/>
    <w:rsid w:val="00D41CB0"/>
    <w:rsid w:val="00D41E27"/>
    <w:rsid w:val="00D424D6"/>
    <w:rsid w:val="00D441CC"/>
    <w:rsid w:val="00D443FD"/>
    <w:rsid w:val="00D45333"/>
    <w:rsid w:val="00D45A95"/>
    <w:rsid w:val="00D45FA2"/>
    <w:rsid w:val="00D4600E"/>
    <w:rsid w:val="00D461ED"/>
    <w:rsid w:val="00D4633E"/>
    <w:rsid w:val="00D46C8A"/>
    <w:rsid w:val="00D47335"/>
    <w:rsid w:val="00D47388"/>
    <w:rsid w:val="00D47F16"/>
    <w:rsid w:val="00D5007A"/>
    <w:rsid w:val="00D50397"/>
    <w:rsid w:val="00D50B24"/>
    <w:rsid w:val="00D50F91"/>
    <w:rsid w:val="00D51C77"/>
    <w:rsid w:val="00D51DCF"/>
    <w:rsid w:val="00D52007"/>
    <w:rsid w:val="00D528BA"/>
    <w:rsid w:val="00D52956"/>
    <w:rsid w:val="00D52E74"/>
    <w:rsid w:val="00D531C5"/>
    <w:rsid w:val="00D534CD"/>
    <w:rsid w:val="00D53573"/>
    <w:rsid w:val="00D53B06"/>
    <w:rsid w:val="00D53F04"/>
    <w:rsid w:val="00D5451B"/>
    <w:rsid w:val="00D55011"/>
    <w:rsid w:val="00D562ED"/>
    <w:rsid w:val="00D573F0"/>
    <w:rsid w:val="00D577EF"/>
    <w:rsid w:val="00D57E2C"/>
    <w:rsid w:val="00D6023A"/>
    <w:rsid w:val="00D6071D"/>
    <w:rsid w:val="00D609C0"/>
    <w:rsid w:val="00D612DA"/>
    <w:rsid w:val="00D614DF"/>
    <w:rsid w:val="00D617DD"/>
    <w:rsid w:val="00D61CF0"/>
    <w:rsid w:val="00D64583"/>
    <w:rsid w:val="00D6491A"/>
    <w:rsid w:val="00D64D40"/>
    <w:rsid w:val="00D64DED"/>
    <w:rsid w:val="00D653E8"/>
    <w:rsid w:val="00D657C1"/>
    <w:rsid w:val="00D6625D"/>
    <w:rsid w:val="00D666C4"/>
    <w:rsid w:val="00D666C6"/>
    <w:rsid w:val="00D667EA"/>
    <w:rsid w:val="00D673A7"/>
    <w:rsid w:val="00D674F9"/>
    <w:rsid w:val="00D67595"/>
    <w:rsid w:val="00D677C6"/>
    <w:rsid w:val="00D677F6"/>
    <w:rsid w:val="00D67D55"/>
    <w:rsid w:val="00D70398"/>
    <w:rsid w:val="00D7078C"/>
    <w:rsid w:val="00D7104C"/>
    <w:rsid w:val="00D71065"/>
    <w:rsid w:val="00D7135A"/>
    <w:rsid w:val="00D7135E"/>
    <w:rsid w:val="00D7150A"/>
    <w:rsid w:val="00D717E6"/>
    <w:rsid w:val="00D72193"/>
    <w:rsid w:val="00D7265C"/>
    <w:rsid w:val="00D727AF"/>
    <w:rsid w:val="00D72ED9"/>
    <w:rsid w:val="00D731C3"/>
    <w:rsid w:val="00D73323"/>
    <w:rsid w:val="00D73332"/>
    <w:rsid w:val="00D734DC"/>
    <w:rsid w:val="00D73521"/>
    <w:rsid w:val="00D73942"/>
    <w:rsid w:val="00D73CBB"/>
    <w:rsid w:val="00D744C5"/>
    <w:rsid w:val="00D747ED"/>
    <w:rsid w:val="00D74F3D"/>
    <w:rsid w:val="00D751C9"/>
    <w:rsid w:val="00D75652"/>
    <w:rsid w:val="00D7570D"/>
    <w:rsid w:val="00D75B1B"/>
    <w:rsid w:val="00D75B92"/>
    <w:rsid w:val="00D75BF0"/>
    <w:rsid w:val="00D75C41"/>
    <w:rsid w:val="00D75DAA"/>
    <w:rsid w:val="00D75DAC"/>
    <w:rsid w:val="00D76027"/>
    <w:rsid w:val="00D76BB2"/>
    <w:rsid w:val="00D76E39"/>
    <w:rsid w:val="00D770C8"/>
    <w:rsid w:val="00D77C9E"/>
    <w:rsid w:val="00D77EA4"/>
    <w:rsid w:val="00D80637"/>
    <w:rsid w:val="00D80815"/>
    <w:rsid w:val="00D81096"/>
    <w:rsid w:val="00D8196B"/>
    <w:rsid w:val="00D81F67"/>
    <w:rsid w:val="00D82281"/>
    <w:rsid w:val="00D82B96"/>
    <w:rsid w:val="00D83062"/>
    <w:rsid w:val="00D837A0"/>
    <w:rsid w:val="00D837AC"/>
    <w:rsid w:val="00D837E6"/>
    <w:rsid w:val="00D83C4F"/>
    <w:rsid w:val="00D84183"/>
    <w:rsid w:val="00D84816"/>
    <w:rsid w:val="00D84934"/>
    <w:rsid w:val="00D84E12"/>
    <w:rsid w:val="00D85150"/>
    <w:rsid w:val="00D853FA"/>
    <w:rsid w:val="00D85582"/>
    <w:rsid w:val="00D857C3"/>
    <w:rsid w:val="00D8586C"/>
    <w:rsid w:val="00D85D79"/>
    <w:rsid w:val="00D8616E"/>
    <w:rsid w:val="00D861DA"/>
    <w:rsid w:val="00D8648F"/>
    <w:rsid w:val="00D867D5"/>
    <w:rsid w:val="00D86823"/>
    <w:rsid w:val="00D8695B"/>
    <w:rsid w:val="00D86D39"/>
    <w:rsid w:val="00D86FBD"/>
    <w:rsid w:val="00D8744A"/>
    <w:rsid w:val="00D876DC"/>
    <w:rsid w:val="00D90385"/>
    <w:rsid w:val="00D91711"/>
    <w:rsid w:val="00D91733"/>
    <w:rsid w:val="00D91A3F"/>
    <w:rsid w:val="00D91B0E"/>
    <w:rsid w:val="00D92572"/>
    <w:rsid w:val="00D92624"/>
    <w:rsid w:val="00D92C98"/>
    <w:rsid w:val="00D92EC5"/>
    <w:rsid w:val="00D934CB"/>
    <w:rsid w:val="00D93B82"/>
    <w:rsid w:val="00D93E97"/>
    <w:rsid w:val="00D94133"/>
    <w:rsid w:val="00D942E6"/>
    <w:rsid w:val="00D94BB3"/>
    <w:rsid w:val="00D957BA"/>
    <w:rsid w:val="00D95B96"/>
    <w:rsid w:val="00D95F6E"/>
    <w:rsid w:val="00D96EC0"/>
    <w:rsid w:val="00D96ED9"/>
    <w:rsid w:val="00D97836"/>
    <w:rsid w:val="00D9796C"/>
    <w:rsid w:val="00D97D18"/>
    <w:rsid w:val="00DA0DD2"/>
    <w:rsid w:val="00DA0EBC"/>
    <w:rsid w:val="00DA10BB"/>
    <w:rsid w:val="00DA1F28"/>
    <w:rsid w:val="00DA2921"/>
    <w:rsid w:val="00DA2F71"/>
    <w:rsid w:val="00DA3164"/>
    <w:rsid w:val="00DA3ABC"/>
    <w:rsid w:val="00DA509D"/>
    <w:rsid w:val="00DA5219"/>
    <w:rsid w:val="00DA5232"/>
    <w:rsid w:val="00DA54D0"/>
    <w:rsid w:val="00DA551C"/>
    <w:rsid w:val="00DA59AE"/>
    <w:rsid w:val="00DA5B68"/>
    <w:rsid w:val="00DA5BD7"/>
    <w:rsid w:val="00DA5E33"/>
    <w:rsid w:val="00DA69CF"/>
    <w:rsid w:val="00DA75AF"/>
    <w:rsid w:val="00DA76E6"/>
    <w:rsid w:val="00DA7B0D"/>
    <w:rsid w:val="00DB044E"/>
    <w:rsid w:val="00DB066C"/>
    <w:rsid w:val="00DB0A6F"/>
    <w:rsid w:val="00DB0C31"/>
    <w:rsid w:val="00DB2F46"/>
    <w:rsid w:val="00DB30B8"/>
    <w:rsid w:val="00DB3407"/>
    <w:rsid w:val="00DB3D96"/>
    <w:rsid w:val="00DB4060"/>
    <w:rsid w:val="00DB4A25"/>
    <w:rsid w:val="00DB5F31"/>
    <w:rsid w:val="00DB602E"/>
    <w:rsid w:val="00DB617C"/>
    <w:rsid w:val="00DB629A"/>
    <w:rsid w:val="00DB671A"/>
    <w:rsid w:val="00DB67F8"/>
    <w:rsid w:val="00DB68C9"/>
    <w:rsid w:val="00DB742E"/>
    <w:rsid w:val="00DB7A34"/>
    <w:rsid w:val="00DB7B0D"/>
    <w:rsid w:val="00DB7C95"/>
    <w:rsid w:val="00DC03BB"/>
    <w:rsid w:val="00DC03C0"/>
    <w:rsid w:val="00DC03CC"/>
    <w:rsid w:val="00DC055E"/>
    <w:rsid w:val="00DC05EC"/>
    <w:rsid w:val="00DC071C"/>
    <w:rsid w:val="00DC07A2"/>
    <w:rsid w:val="00DC0893"/>
    <w:rsid w:val="00DC11A8"/>
    <w:rsid w:val="00DC16AB"/>
    <w:rsid w:val="00DC1B89"/>
    <w:rsid w:val="00DC1BEC"/>
    <w:rsid w:val="00DC1EBF"/>
    <w:rsid w:val="00DC2067"/>
    <w:rsid w:val="00DC325F"/>
    <w:rsid w:val="00DC353A"/>
    <w:rsid w:val="00DC3582"/>
    <w:rsid w:val="00DC38F8"/>
    <w:rsid w:val="00DC3B3B"/>
    <w:rsid w:val="00DC485F"/>
    <w:rsid w:val="00DC4A55"/>
    <w:rsid w:val="00DC5B57"/>
    <w:rsid w:val="00DC5B65"/>
    <w:rsid w:val="00DC5E27"/>
    <w:rsid w:val="00DC616A"/>
    <w:rsid w:val="00DC63A4"/>
    <w:rsid w:val="00DC75D3"/>
    <w:rsid w:val="00DC781D"/>
    <w:rsid w:val="00DC7A27"/>
    <w:rsid w:val="00DC7B39"/>
    <w:rsid w:val="00DC7BC8"/>
    <w:rsid w:val="00DC7D1F"/>
    <w:rsid w:val="00DD188D"/>
    <w:rsid w:val="00DD2947"/>
    <w:rsid w:val="00DD4322"/>
    <w:rsid w:val="00DD46BB"/>
    <w:rsid w:val="00DD55D8"/>
    <w:rsid w:val="00DD5CCC"/>
    <w:rsid w:val="00DD618F"/>
    <w:rsid w:val="00DD64DD"/>
    <w:rsid w:val="00DD7061"/>
    <w:rsid w:val="00DE034A"/>
    <w:rsid w:val="00DE0DFA"/>
    <w:rsid w:val="00DE1C76"/>
    <w:rsid w:val="00DE25A1"/>
    <w:rsid w:val="00DE2661"/>
    <w:rsid w:val="00DE2F09"/>
    <w:rsid w:val="00DE32A0"/>
    <w:rsid w:val="00DE3739"/>
    <w:rsid w:val="00DE4944"/>
    <w:rsid w:val="00DE4A8C"/>
    <w:rsid w:val="00DE4DB0"/>
    <w:rsid w:val="00DE4E06"/>
    <w:rsid w:val="00DE53AD"/>
    <w:rsid w:val="00DE5BCC"/>
    <w:rsid w:val="00DE5BFA"/>
    <w:rsid w:val="00DE62A9"/>
    <w:rsid w:val="00DE64B9"/>
    <w:rsid w:val="00DE6664"/>
    <w:rsid w:val="00DE6742"/>
    <w:rsid w:val="00DE7601"/>
    <w:rsid w:val="00DE762F"/>
    <w:rsid w:val="00DE7B09"/>
    <w:rsid w:val="00DF00DF"/>
    <w:rsid w:val="00DF0626"/>
    <w:rsid w:val="00DF0906"/>
    <w:rsid w:val="00DF0EAB"/>
    <w:rsid w:val="00DF0EFB"/>
    <w:rsid w:val="00DF1228"/>
    <w:rsid w:val="00DF1625"/>
    <w:rsid w:val="00DF1B90"/>
    <w:rsid w:val="00DF1C6D"/>
    <w:rsid w:val="00DF1D4E"/>
    <w:rsid w:val="00DF1EA2"/>
    <w:rsid w:val="00DF2454"/>
    <w:rsid w:val="00DF2CBB"/>
    <w:rsid w:val="00DF2F5F"/>
    <w:rsid w:val="00DF30ED"/>
    <w:rsid w:val="00DF341C"/>
    <w:rsid w:val="00DF3533"/>
    <w:rsid w:val="00DF36E0"/>
    <w:rsid w:val="00DF4195"/>
    <w:rsid w:val="00DF4C15"/>
    <w:rsid w:val="00DF4E0F"/>
    <w:rsid w:val="00DF61EE"/>
    <w:rsid w:val="00DF628C"/>
    <w:rsid w:val="00DF6489"/>
    <w:rsid w:val="00DF7DB3"/>
    <w:rsid w:val="00E00147"/>
    <w:rsid w:val="00E00B22"/>
    <w:rsid w:val="00E01203"/>
    <w:rsid w:val="00E01349"/>
    <w:rsid w:val="00E013A2"/>
    <w:rsid w:val="00E0146F"/>
    <w:rsid w:val="00E014B8"/>
    <w:rsid w:val="00E01609"/>
    <w:rsid w:val="00E01640"/>
    <w:rsid w:val="00E01976"/>
    <w:rsid w:val="00E019D7"/>
    <w:rsid w:val="00E01E93"/>
    <w:rsid w:val="00E02159"/>
    <w:rsid w:val="00E021AE"/>
    <w:rsid w:val="00E027CF"/>
    <w:rsid w:val="00E02CB6"/>
    <w:rsid w:val="00E02CFE"/>
    <w:rsid w:val="00E03083"/>
    <w:rsid w:val="00E0333F"/>
    <w:rsid w:val="00E03982"/>
    <w:rsid w:val="00E03DDA"/>
    <w:rsid w:val="00E047CD"/>
    <w:rsid w:val="00E0496E"/>
    <w:rsid w:val="00E049C0"/>
    <w:rsid w:val="00E04C2E"/>
    <w:rsid w:val="00E04DF4"/>
    <w:rsid w:val="00E0527C"/>
    <w:rsid w:val="00E059FA"/>
    <w:rsid w:val="00E05D1F"/>
    <w:rsid w:val="00E06452"/>
    <w:rsid w:val="00E06987"/>
    <w:rsid w:val="00E073B3"/>
    <w:rsid w:val="00E07EC9"/>
    <w:rsid w:val="00E10446"/>
    <w:rsid w:val="00E10711"/>
    <w:rsid w:val="00E10878"/>
    <w:rsid w:val="00E110DE"/>
    <w:rsid w:val="00E11671"/>
    <w:rsid w:val="00E117E6"/>
    <w:rsid w:val="00E11DA7"/>
    <w:rsid w:val="00E11EA9"/>
    <w:rsid w:val="00E124C5"/>
    <w:rsid w:val="00E12845"/>
    <w:rsid w:val="00E1337F"/>
    <w:rsid w:val="00E133AF"/>
    <w:rsid w:val="00E134B7"/>
    <w:rsid w:val="00E13757"/>
    <w:rsid w:val="00E14060"/>
    <w:rsid w:val="00E149A5"/>
    <w:rsid w:val="00E14C0F"/>
    <w:rsid w:val="00E14F1E"/>
    <w:rsid w:val="00E15E7E"/>
    <w:rsid w:val="00E16C31"/>
    <w:rsid w:val="00E17275"/>
    <w:rsid w:val="00E17E57"/>
    <w:rsid w:val="00E20FE7"/>
    <w:rsid w:val="00E210B0"/>
    <w:rsid w:val="00E21276"/>
    <w:rsid w:val="00E21FA3"/>
    <w:rsid w:val="00E221FA"/>
    <w:rsid w:val="00E22215"/>
    <w:rsid w:val="00E22844"/>
    <w:rsid w:val="00E2287D"/>
    <w:rsid w:val="00E228F2"/>
    <w:rsid w:val="00E2296E"/>
    <w:rsid w:val="00E2416E"/>
    <w:rsid w:val="00E24B22"/>
    <w:rsid w:val="00E252A1"/>
    <w:rsid w:val="00E256F7"/>
    <w:rsid w:val="00E257BE"/>
    <w:rsid w:val="00E2586B"/>
    <w:rsid w:val="00E25E41"/>
    <w:rsid w:val="00E261E9"/>
    <w:rsid w:val="00E26373"/>
    <w:rsid w:val="00E26A6D"/>
    <w:rsid w:val="00E26B6A"/>
    <w:rsid w:val="00E26CE1"/>
    <w:rsid w:val="00E26F7D"/>
    <w:rsid w:val="00E27111"/>
    <w:rsid w:val="00E2719D"/>
    <w:rsid w:val="00E2733D"/>
    <w:rsid w:val="00E277E1"/>
    <w:rsid w:val="00E27872"/>
    <w:rsid w:val="00E301CC"/>
    <w:rsid w:val="00E30297"/>
    <w:rsid w:val="00E305D2"/>
    <w:rsid w:val="00E306FD"/>
    <w:rsid w:val="00E30AA4"/>
    <w:rsid w:val="00E30F17"/>
    <w:rsid w:val="00E31093"/>
    <w:rsid w:val="00E316A0"/>
    <w:rsid w:val="00E316E3"/>
    <w:rsid w:val="00E31B9E"/>
    <w:rsid w:val="00E32230"/>
    <w:rsid w:val="00E324B6"/>
    <w:rsid w:val="00E32CA6"/>
    <w:rsid w:val="00E3448B"/>
    <w:rsid w:val="00E347F9"/>
    <w:rsid w:val="00E34DC4"/>
    <w:rsid w:val="00E35AFA"/>
    <w:rsid w:val="00E3662B"/>
    <w:rsid w:val="00E367FD"/>
    <w:rsid w:val="00E36D5F"/>
    <w:rsid w:val="00E36E9E"/>
    <w:rsid w:val="00E371E4"/>
    <w:rsid w:val="00E3744F"/>
    <w:rsid w:val="00E37CB2"/>
    <w:rsid w:val="00E40096"/>
    <w:rsid w:val="00E40371"/>
    <w:rsid w:val="00E40A14"/>
    <w:rsid w:val="00E416F5"/>
    <w:rsid w:val="00E41A1A"/>
    <w:rsid w:val="00E42B81"/>
    <w:rsid w:val="00E430CF"/>
    <w:rsid w:val="00E43B42"/>
    <w:rsid w:val="00E43DB2"/>
    <w:rsid w:val="00E44054"/>
    <w:rsid w:val="00E44479"/>
    <w:rsid w:val="00E4486E"/>
    <w:rsid w:val="00E44A76"/>
    <w:rsid w:val="00E44A8D"/>
    <w:rsid w:val="00E4597C"/>
    <w:rsid w:val="00E4611E"/>
    <w:rsid w:val="00E46744"/>
    <w:rsid w:val="00E46A64"/>
    <w:rsid w:val="00E46C1C"/>
    <w:rsid w:val="00E46E3E"/>
    <w:rsid w:val="00E470B0"/>
    <w:rsid w:val="00E471E7"/>
    <w:rsid w:val="00E47A6C"/>
    <w:rsid w:val="00E5018C"/>
    <w:rsid w:val="00E50388"/>
    <w:rsid w:val="00E50660"/>
    <w:rsid w:val="00E50770"/>
    <w:rsid w:val="00E51301"/>
    <w:rsid w:val="00E520E8"/>
    <w:rsid w:val="00E520EE"/>
    <w:rsid w:val="00E5401C"/>
    <w:rsid w:val="00E55840"/>
    <w:rsid w:val="00E5584A"/>
    <w:rsid w:val="00E5590D"/>
    <w:rsid w:val="00E55912"/>
    <w:rsid w:val="00E56149"/>
    <w:rsid w:val="00E5661A"/>
    <w:rsid w:val="00E57037"/>
    <w:rsid w:val="00E57795"/>
    <w:rsid w:val="00E5783A"/>
    <w:rsid w:val="00E57899"/>
    <w:rsid w:val="00E57A90"/>
    <w:rsid w:val="00E57CAF"/>
    <w:rsid w:val="00E607B5"/>
    <w:rsid w:val="00E607F3"/>
    <w:rsid w:val="00E60972"/>
    <w:rsid w:val="00E60993"/>
    <w:rsid w:val="00E609CA"/>
    <w:rsid w:val="00E618C2"/>
    <w:rsid w:val="00E61D7F"/>
    <w:rsid w:val="00E61FF9"/>
    <w:rsid w:val="00E622D6"/>
    <w:rsid w:val="00E622F7"/>
    <w:rsid w:val="00E62358"/>
    <w:rsid w:val="00E627A4"/>
    <w:rsid w:val="00E62C24"/>
    <w:rsid w:val="00E63514"/>
    <w:rsid w:val="00E638FC"/>
    <w:rsid w:val="00E64009"/>
    <w:rsid w:val="00E6429C"/>
    <w:rsid w:val="00E645BF"/>
    <w:rsid w:val="00E64B8A"/>
    <w:rsid w:val="00E65236"/>
    <w:rsid w:val="00E654CB"/>
    <w:rsid w:val="00E65617"/>
    <w:rsid w:val="00E663F0"/>
    <w:rsid w:val="00E666C3"/>
    <w:rsid w:val="00E66BF7"/>
    <w:rsid w:val="00E66DDF"/>
    <w:rsid w:val="00E670A0"/>
    <w:rsid w:val="00E672DC"/>
    <w:rsid w:val="00E70013"/>
    <w:rsid w:val="00E71124"/>
    <w:rsid w:val="00E71928"/>
    <w:rsid w:val="00E71A37"/>
    <w:rsid w:val="00E71AE8"/>
    <w:rsid w:val="00E71B93"/>
    <w:rsid w:val="00E72779"/>
    <w:rsid w:val="00E72B73"/>
    <w:rsid w:val="00E73539"/>
    <w:rsid w:val="00E73E19"/>
    <w:rsid w:val="00E743F1"/>
    <w:rsid w:val="00E75163"/>
    <w:rsid w:val="00E75321"/>
    <w:rsid w:val="00E7577A"/>
    <w:rsid w:val="00E75AAA"/>
    <w:rsid w:val="00E770C2"/>
    <w:rsid w:val="00E770D3"/>
    <w:rsid w:val="00E776EA"/>
    <w:rsid w:val="00E77DAD"/>
    <w:rsid w:val="00E802EB"/>
    <w:rsid w:val="00E805FA"/>
    <w:rsid w:val="00E811CC"/>
    <w:rsid w:val="00E81CFA"/>
    <w:rsid w:val="00E81F92"/>
    <w:rsid w:val="00E822EF"/>
    <w:rsid w:val="00E8233B"/>
    <w:rsid w:val="00E82760"/>
    <w:rsid w:val="00E83474"/>
    <w:rsid w:val="00E84283"/>
    <w:rsid w:val="00E84F1A"/>
    <w:rsid w:val="00E855D0"/>
    <w:rsid w:val="00E862B5"/>
    <w:rsid w:val="00E862CD"/>
    <w:rsid w:val="00E86CA1"/>
    <w:rsid w:val="00E86D8B"/>
    <w:rsid w:val="00E87451"/>
    <w:rsid w:val="00E87D1D"/>
    <w:rsid w:val="00E87EC4"/>
    <w:rsid w:val="00E9078D"/>
    <w:rsid w:val="00E919C7"/>
    <w:rsid w:val="00E91A8E"/>
    <w:rsid w:val="00E91D19"/>
    <w:rsid w:val="00E92473"/>
    <w:rsid w:val="00E92A7E"/>
    <w:rsid w:val="00E93765"/>
    <w:rsid w:val="00E937E5"/>
    <w:rsid w:val="00E9381C"/>
    <w:rsid w:val="00E938F1"/>
    <w:rsid w:val="00E93EA4"/>
    <w:rsid w:val="00E944A5"/>
    <w:rsid w:val="00E94859"/>
    <w:rsid w:val="00E94DF4"/>
    <w:rsid w:val="00E95304"/>
    <w:rsid w:val="00E956C9"/>
    <w:rsid w:val="00E96F3F"/>
    <w:rsid w:val="00E974D3"/>
    <w:rsid w:val="00E974F8"/>
    <w:rsid w:val="00E978AE"/>
    <w:rsid w:val="00E97C4B"/>
    <w:rsid w:val="00EA0178"/>
    <w:rsid w:val="00EA04C3"/>
    <w:rsid w:val="00EA0835"/>
    <w:rsid w:val="00EA14D4"/>
    <w:rsid w:val="00EA1F5A"/>
    <w:rsid w:val="00EA1F87"/>
    <w:rsid w:val="00EA1FE4"/>
    <w:rsid w:val="00EA2916"/>
    <w:rsid w:val="00EA2F31"/>
    <w:rsid w:val="00EA30B9"/>
    <w:rsid w:val="00EA3304"/>
    <w:rsid w:val="00EA34DD"/>
    <w:rsid w:val="00EA41D6"/>
    <w:rsid w:val="00EA472C"/>
    <w:rsid w:val="00EA4F05"/>
    <w:rsid w:val="00EA631B"/>
    <w:rsid w:val="00EA6C4C"/>
    <w:rsid w:val="00EA6C4E"/>
    <w:rsid w:val="00EA6F25"/>
    <w:rsid w:val="00EA72FA"/>
    <w:rsid w:val="00EB0610"/>
    <w:rsid w:val="00EB0A02"/>
    <w:rsid w:val="00EB0B1E"/>
    <w:rsid w:val="00EB0BBA"/>
    <w:rsid w:val="00EB0C02"/>
    <w:rsid w:val="00EB1BB7"/>
    <w:rsid w:val="00EB1D50"/>
    <w:rsid w:val="00EB2096"/>
    <w:rsid w:val="00EB268B"/>
    <w:rsid w:val="00EB2A53"/>
    <w:rsid w:val="00EB2B5D"/>
    <w:rsid w:val="00EB2BFE"/>
    <w:rsid w:val="00EB2F4F"/>
    <w:rsid w:val="00EB35B6"/>
    <w:rsid w:val="00EB3662"/>
    <w:rsid w:val="00EB3E3F"/>
    <w:rsid w:val="00EB4109"/>
    <w:rsid w:val="00EB4476"/>
    <w:rsid w:val="00EB4670"/>
    <w:rsid w:val="00EB49DE"/>
    <w:rsid w:val="00EB55F3"/>
    <w:rsid w:val="00EB58A3"/>
    <w:rsid w:val="00EB6AB1"/>
    <w:rsid w:val="00EB6E39"/>
    <w:rsid w:val="00EB702B"/>
    <w:rsid w:val="00EB76B0"/>
    <w:rsid w:val="00EB7E0D"/>
    <w:rsid w:val="00EC0AA5"/>
    <w:rsid w:val="00EC0CB5"/>
    <w:rsid w:val="00EC0CFE"/>
    <w:rsid w:val="00EC0F73"/>
    <w:rsid w:val="00EC1186"/>
    <w:rsid w:val="00EC14A8"/>
    <w:rsid w:val="00EC1518"/>
    <w:rsid w:val="00EC187C"/>
    <w:rsid w:val="00EC24F4"/>
    <w:rsid w:val="00EC293B"/>
    <w:rsid w:val="00EC2E39"/>
    <w:rsid w:val="00EC3407"/>
    <w:rsid w:val="00EC4CDF"/>
    <w:rsid w:val="00EC4F01"/>
    <w:rsid w:val="00EC57F8"/>
    <w:rsid w:val="00EC58A6"/>
    <w:rsid w:val="00EC59C1"/>
    <w:rsid w:val="00EC5BDC"/>
    <w:rsid w:val="00EC6172"/>
    <w:rsid w:val="00EC6F21"/>
    <w:rsid w:val="00EC7215"/>
    <w:rsid w:val="00EC74D3"/>
    <w:rsid w:val="00EC7A1E"/>
    <w:rsid w:val="00ED0FEE"/>
    <w:rsid w:val="00ED1745"/>
    <w:rsid w:val="00ED184A"/>
    <w:rsid w:val="00ED2F22"/>
    <w:rsid w:val="00ED3887"/>
    <w:rsid w:val="00ED3AAA"/>
    <w:rsid w:val="00ED3ACA"/>
    <w:rsid w:val="00ED3CDF"/>
    <w:rsid w:val="00ED54AC"/>
    <w:rsid w:val="00ED57FF"/>
    <w:rsid w:val="00ED5A82"/>
    <w:rsid w:val="00ED5C00"/>
    <w:rsid w:val="00ED63E6"/>
    <w:rsid w:val="00ED6CB9"/>
    <w:rsid w:val="00ED71DC"/>
    <w:rsid w:val="00EE0150"/>
    <w:rsid w:val="00EE0341"/>
    <w:rsid w:val="00EE0D7A"/>
    <w:rsid w:val="00EE161D"/>
    <w:rsid w:val="00EE1E59"/>
    <w:rsid w:val="00EE2049"/>
    <w:rsid w:val="00EE2DA4"/>
    <w:rsid w:val="00EE2FFA"/>
    <w:rsid w:val="00EE37EC"/>
    <w:rsid w:val="00EE38F7"/>
    <w:rsid w:val="00EE3CB7"/>
    <w:rsid w:val="00EE4537"/>
    <w:rsid w:val="00EE5763"/>
    <w:rsid w:val="00EE6A28"/>
    <w:rsid w:val="00EE6D3E"/>
    <w:rsid w:val="00EE782B"/>
    <w:rsid w:val="00EE7D61"/>
    <w:rsid w:val="00EF00BE"/>
    <w:rsid w:val="00EF0735"/>
    <w:rsid w:val="00EF0D4C"/>
    <w:rsid w:val="00EF0F83"/>
    <w:rsid w:val="00EF113B"/>
    <w:rsid w:val="00EF1567"/>
    <w:rsid w:val="00EF1CB4"/>
    <w:rsid w:val="00EF1D79"/>
    <w:rsid w:val="00EF1DDF"/>
    <w:rsid w:val="00EF238C"/>
    <w:rsid w:val="00EF290F"/>
    <w:rsid w:val="00EF29B2"/>
    <w:rsid w:val="00EF29ED"/>
    <w:rsid w:val="00EF2D08"/>
    <w:rsid w:val="00EF2E2D"/>
    <w:rsid w:val="00EF35BB"/>
    <w:rsid w:val="00EF3DC0"/>
    <w:rsid w:val="00EF3F34"/>
    <w:rsid w:val="00EF405E"/>
    <w:rsid w:val="00EF4283"/>
    <w:rsid w:val="00EF4D3B"/>
    <w:rsid w:val="00EF4D3E"/>
    <w:rsid w:val="00EF4FBD"/>
    <w:rsid w:val="00EF5253"/>
    <w:rsid w:val="00EF54A7"/>
    <w:rsid w:val="00EF599E"/>
    <w:rsid w:val="00EF59E4"/>
    <w:rsid w:val="00EF6349"/>
    <w:rsid w:val="00EF6F92"/>
    <w:rsid w:val="00EF772E"/>
    <w:rsid w:val="00EF79FF"/>
    <w:rsid w:val="00EF7B56"/>
    <w:rsid w:val="00EF7DFB"/>
    <w:rsid w:val="00F00640"/>
    <w:rsid w:val="00F00898"/>
    <w:rsid w:val="00F00D72"/>
    <w:rsid w:val="00F0127E"/>
    <w:rsid w:val="00F014D7"/>
    <w:rsid w:val="00F0164F"/>
    <w:rsid w:val="00F01C37"/>
    <w:rsid w:val="00F0204F"/>
    <w:rsid w:val="00F028C0"/>
    <w:rsid w:val="00F02B3E"/>
    <w:rsid w:val="00F02D9D"/>
    <w:rsid w:val="00F03727"/>
    <w:rsid w:val="00F03BF2"/>
    <w:rsid w:val="00F04223"/>
    <w:rsid w:val="00F0461C"/>
    <w:rsid w:val="00F04686"/>
    <w:rsid w:val="00F04999"/>
    <w:rsid w:val="00F04D80"/>
    <w:rsid w:val="00F04F9A"/>
    <w:rsid w:val="00F05102"/>
    <w:rsid w:val="00F0517C"/>
    <w:rsid w:val="00F056D1"/>
    <w:rsid w:val="00F060A4"/>
    <w:rsid w:val="00F06563"/>
    <w:rsid w:val="00F06694"/>
    <w:rsid w:val="00F06F88"/>
    <w:rsid w:val="00F0707B"/>
    <w:rsid w:val="00F075D9"/>
    <w:rsid w:val="00F07643"/>
    <w:rsid w:val="00F0772D"/>
    <w:rsid w:val="00F1080C"/>
    <w:rsid w:val="00F10917"/>
    <w:rsid w:val="00F114D4"/>
    <w:rsid w:val="00F11967"/>
    <w:rsid w:val="00F11D06"/>
    <w:rsid w:val="00F11EFF"/>
    <w:rsid w:val="00F12032"/>
    <w:rsid w:val="00F122FC"/>
    <w:rsid w:val="00F12851"/>
    <w:rsid w:val="00F12EC0"/>
    <w:rsid w:val="00F13046"/>
    <w:rsid w:val="00F134E0"/>
    <w:rsid w:val="00F138A0"/>
    <w:rsid w:val="00F13B80"/>
    <w:rsid w:val="00F1402D"/>
    <w:rsid w:val="00F142A7"/>
    <w:rsid w:val="00F146B4"/>
    <w:rsid w:val="00F148A9"/>
    <w:rsid w:val="00F149A1"/>
    <w:rsid w:val="00F14B3E"/>
    <w:rsid w:val="00F14F88"/>
    <w:rsid w:val="00F162D7"/>
    <w:rsid w:val="00F16A06"/>
    <w:rsid w:val="00F16E08"/>
    <w:rsid w:val="00F177B6"/>
    <w:rsid w:val="00F17D52"/>
    <w:rsid w:val="00F17EF9"/>
    <w:rsid w:val="00F2073A"/>
    <w:rsid w:val="00F2086B"/>
    <w:rsid w:val="00F20A92"/>
    <w:rsid w:val="00F21396"/>
    <w:rsid w:val="00F214FD"/>
    <w:rsid w:val="00F21926"/>
    <w:rsid w:val="00F21FED"/>
    <w:rsid w:val="00F2240B"/>
    <w:rsid w:val="00F2272A"/>
    <w:rsid w:val="00F22B3D"/>
    <w:rsid w:val="00F22E88"/>
    <w:rsid w:val="00F230B9"/>
    <w:rsid w:val="00F23875"/>
    <w:rsid w:val="00F23DA5"/>
    <w:rsid w:val="00F23DD2"/>
    <w:rsid w:val="00F2426D"/>
    <w:rsid w:val="00F25161"/>
    <w:rsid w:val="00F25539"/>
    <w:rsid w:val="00F255EB"/>
    <w:rsid w:val="00F2562C"/>
    <w:rsid w:val="00F26837"/>
    <w:rsid w:val="00F26F50"/>
    <w:rsid w:val="00F27629"/>
    <w:rsid w:val="00F2794F"/>
    <w:rsid w:val="00F27ABD"/>
    <w:rsid w:val="00F27B42"/>
    <w:rsid w:val="00F27B55"/>
    <w:rsid w:val="00F27DD6"/>
    <w:rsid w:val="00F3024D"/>
    <w:rsid w:val="00F302B0"/>
    <w:rsid w:val="00F30350"/>
    <w:rsid w:val="00F307B1"/>
    <w:rsid w:val="00F3100A"/>
    <w:rsid w:val="00F316DA"/>
    <w:rsid w:val="00F3293E"/>
    <w:rsid w:val="00F32AE2"/>
    <w:rsid w:val="00F32C6F"/>
    <w:rsid w:val="00F330A0"/>
    <w:rsid w:val="00F331B8"/>
    <w:rsid w:val="00F3348E"/>
    <w:rsid w:val="00F33D82"/>
    <w:rsid w:val="00F33D96"/>
    <w:rsid w:val="00F3410F"/>
    <w:rsid w:val="00F36212"/>
    <w:rsid w:val="00F36440"/>
    <w:rsid w:val="00F37801"/>
    <w:rsid w:val="00F3E373"/>
    <w:rsid w:val="00F40285"/>
    <w:rsid w:val="00F40C3D"/>
    <w:rsid w:val="00F40EC7"/>
    <w:rsid w:val="00F41414"/>
    <w:rsid w:val="00F41DF4"/>
    <w:rsid w:val="00F42409"/>
    <w:rsid w:val="00F4274F"/>
    <w:rsid w:val="00F42FC8"/>
    <w:rsid w:val="00F43048"/>
    <w:rsid w:val="00F43308"/>
    <w:rsid w:val="00F4340A"/>
    <w:rsid w:val="00F43F31"/>
    <w:rsid w:val="00F4402E"/>
    <w:rsid w:val="00F446EF"/>
    <w:rsid w:val="00F44AD5"/>
    <w:rsid w:val="00F44F86"/>
    <w:rsid w:val="00F44FDB"/>
    <w:rsid w:val="00F45997"/>
    <w:rsid w:val="00F45A20"/>
    <w:rsid w:val="00F45B52"/>
    <w:rsid w:val="00F464F2"/>
    <w:rsid w:val="00F4695E"/>
    <w:rsid w:val="00F47906"/>
    <w:rsid w:val="00F51019"/>
    <w:rsid w:val="00F51603"/>
    <w:rsid w:val="00F51759"/>
    <w:rsid w:val="00F51B48"/>
    <w:rsid w:val="00F52836"/>
    <w:rsid w:val="00F533B8"/>
    <w:rsid w:val="00F53443"/>
    <w:rsid w:val="00F53782"/>
    <w:rsid w:val="00F54533"/>
    <w:rsid w:val="00F54AFD"/>
    <w:rsid w:val="00F54C14"/>
    <w:rsid w:val="00F54D87"/>
    <w:rsid w:val="00F558CD"/>
    <w:rsid w:val="00F558FE"/>
    <w:rsid w:val="00F56069"/>
    <w:rsid w:val="00F56CD0"/>
    <w:rsid w:val="00F571F6"/>
    <w:rsid w:val="00F5742A"/>
    <w:rsid w:val="00F57628"/>
    <w:rsid w:val="00F60606"/>
    <w:rsid w:val="00F60AEC"/>
    <w:rsid w:val="00F60B8A"/>
    <w:rsid w:val="00F60BF2"/>
    <w:rsid w:val="00F61AD9"/>
    <w:rsid w:val="00F61F53"/>
    <w:rsid w:val="00F622C2"/>
    <w:rsid w:val="00F62316"/>
    <w:rsid w:val="00F623F5"/>
    <w:rsid w:val="00F62968"/>
    <w:rsid w:val="00F63903"/>
    <w:rsid w:val="00F63BED"/>
    <w:rsid w:val="00F63FCA"/>
    <w:rsid w:val="00F644BA"/>
    <w:rsid w:val="00F658D0"/>
    <w:rsid w:val="00F65A08"/>
    <w:rsid w:val="00F66035"/>
    <w:rsid w:val="00F660E8"/>
    <w:rsid w:val="00F6626A"/>
    <w:rsid w:val="00F66CE9"/>
    <w:rsid w:val="00F66D33"/>
    <w:rsid w:val="00F67271"/>
    <w:rsid w:val="00F674CC"/>
    <w:rsid w:val="00F6759C"/>
    <w:rsid w:val="00F702B9"/>
    <w:rsid w:val="00F70808"/>
    <w:rsid w:val="00F70D95"/>
    <w:rsid w:val="00F710ED"/>
    <w:rsid w:val="00F71822"/>
    <w:rsid w:val="00F71C75"/>
    <w:rsid w:val="00F727B9"/>
    <w:rsid w:val="00F72E26"/>
    <w:rsid w:val="00F72FBD"/>
    <w:rsid w:val="00F7306C"/>
    <w:rsid w:val="00F7382A"/>
    <w:rsid w:val="00F73C99"/>
    <w:rsid w:val="00F73E4B"/>
    <w:rsid w:val="00F744A0"/>
    <w:rsid w:val="00F745D8"/>
    <w:rsid w:val="00F74658"/>
    <w:rsid w:val="00F74A09"/>
    <w:rsid w:val="00F75003"/>
    <w:rsid w:val="00F752A4"/>
    <w:rsid w:val="00F7672F"/>
    <w:rsid w:val="00F76B5F"/>
    <w:rsid w:val="00F77EF5"/>
    <w:rsid w:val="00F80725"/>
    <w:rsid w:val="00F80CBC"/>
    <w:rsid w:val="00F80D81"/>
    <w:rsid w:val="00F81010"/>
    <w:rsid w:val="00F81179"/>
    <w:rsid w:val="00F8130B"/>
    <w:rsid w:val="00F818C5"/>
    <w:rsid w:val="00F828CB"/>
    <w:rsid w:val="00F829F9"/>
    <w:rsid w:val="00F82F10"/>
    <w:rsid w:val="00F830B8"/>
    <w:rsid w:val="00F83504"/>
    <w:rsid w:val="00F837B6"/>
    <w:rsid w:val="00F83BD1"/>
    <w:rsid w:val="00F83CF8"/>
    <w:rsid w:val="00F841B3"/>
    <w:rsid w:val="00F84373"/>
    <w:rsid w:val="00F84573"/>
    <w:rsid w:val="00F845BD"/>
    <w:rsid w:val="00F8488D"/>
    <w:rsid w:val="00F848C4"/>
    <w:rsid w:val="00F854BC"/>
    <w:rsid w:val="00F855FD"/>
    <w:rsid w:val="00F85D09"/>
    <w:rsid w:val="00F85E9E"/>
    <w:rsid w:val="00F8630E"/>
    <w:rsid w:val="00F86416"/>
    <w:rsid w:val="00F86C7B"/>
    <w:rsid w:val="00F86CBE"/>
    <w:rsid w:val="00F86F29"/>
    <w:rsid w:val="00F870AE"/>
    <w:rsid w:val="00F87272"/>
    <w:rsid w:val="00F874BD"/>
    <w:rsid w:val="00F877B2"/>
    <w:rsid w:val="00F87914"/>
    <w:rsid w:val="00F87937"/>
    <w:rsid w:val="00F906DE"/>
    <w:rsid w:val="00F9098F"/>
    <w:rsid w:val="00F912EF"/>
    <w:rsid w:val="00F914AD"/>
    <w:rsid w:val="00F91A02"/>
    <w:rsid w:val="00F9212A"/>
    <w:rsid w:val="00F922A0"/>
    <w:rsid w:val="00F92DE4"/>
    <w:rsid w:val="00F92FE5"/>
    <w:rsid w:val="00F933DA"/>
    <w:rsid w:val="00F93A2B"/>
    <w:rsid w:val="00F93F08"/>
    <w:rsid w:val="00F9429A"/>
    <w:rsid w:val="00F94485"/>
    <w:rsid w:val="00F94732"/>
    <w:rsid w:val="00F94D9C"/>
    <w:rsid w:val="00F94E42"/>
    <w:rsid w:val="00F953D8"/>
    <w:rsid w:val="00F95440"/>
    <w:rsid w:val="00F95A80"/>
    <w:rsid w:val="00F962CE"/>
    <w:rsid w:val="00F9637C"/>
    <w:rsid w:val="00F963B9"/>
    <w:rsid w:val="00F972F7"/>
    <w:rsid w:val="00F974B5"/>
    <w:rsid w:val="00F975F1"/>
    <w:rsid w:val="00F97811"/>
    <w:rsid w:val="00FA0273"/>
    <w:rsid w:val="00FA0BCA"/>
    <w:rsid w:val="00FA1652"/>
    <w:rsid w:val="00FA21E3"/>
    <w:rsid w:val="00FA28C4"/>
    <w:rsid w:val="00FA2F06"/>
    <w:rsid w:val="00FA412B"/>
    <w:rsid w:val="00FA4260"/>
    <w:rsid w:val="00FA432B"/>
    <w:rsid w:val="00FA4664"/>
    <w:rsid w:val="00FA4AF1"/>
    <w:rsid w:val="00FA4D2D"/>
    <w:rsid w:val="00FA4DE6"/>
    <w:rsid w:val="00FA5538"/>
    <w:rsid w:val="00FA5E17"/>
    <w:rsid w:val="00FA616D"/>
    <w:rsid w:val="00FA6363"/>
    <w:rsid w:val="00FA6375"/>
    <w:rsid w:val="00FA6449"/>
    <w:rsid w:val="00FA66D0"/>
    <w:rsid w:val="00FA6BCA"/>
    <w:rsid w:val="00FA6E08"/>
    <w:rsid w:val="00FA72ED"/>
    <w:rsid w:val="00FA732C"/>
    <w:rsid w:val="00FA7635"/>
    <w:rsid w:val="00FA7699"/>
    <w:rsid w:val="00FA79A8"/>
    <w:rsid w:val="00FA79B6"/>
    <w:rsid w:val="00FA79C3"/>
    <w:rsid w:val="00FA7A4B"/>
    <w:rsid w:val="00FB06DE"/>
    <w:rsid w:val="00FB0A24"/>
    <w:rsid w:val="00FB1467"/>
    <w:rsid w:val="00FB21C5"/>
    <w:rsid w:val="00FB248A"/>
    <w:rsid w:val="00FB2513"/>
    <w:rsid w:val="00FB2AD1"/>
    <w:rsid w:val="00FB2C4F"/>
    <w:rsid w:val="00FB2DEE"/>
    <w:rsid w:val="00FB2F4A"/>
    <w:rsid w:val="00FB30F7"/>
    <w:rsid w:val="00FB3F72"/>
    <w:rsid w:val="00FB433D"/>
    <w:rsid w:val="00FB4364"/>
    <w:rsid w:val="00FB46BE"/>
    <w:rsid w:val="00FB4840"/>
    <w:rsid w:val="00FB48C8"/>
    <w:rsid w:val="00FB48ED"/>
    <w:rsid w:val="00FB540D"/>
    <w:rsid w:val="00FB5A35"/>
    <w:rsid w:val="00FB7B23"/>
    <w:rsid w:val="00FB7E98"/>
    <w:rsid w:val="00FC04A5"/>
    <w:rsid w:val="00FC0969"/>
    <w:rsid w:val="00FC0A0C"/>
    <w:rsid w:val="00FC0C1B"/>
    <w:rsid w:val="00FC1725"/>
    <w:rsid w:val="00FC1770"/>
    <w:rsid w:val="00FC1966"/>
    <w:rsid w:val="00FC1BA7"/>
    <w:rsid w:val="00FC20A5"/>
    <w:rsid w:val="00FC233A"/>
    <w:rsid w:val="00FC236B"/>
    <w:rsid w:val="00FC2C20"/>
    <w:rsid w:val="00FC2C97"/>
    <w:rsid w:val="00FC3488"/>
    <w:rsid w:val="00FC362D"/>
    <w:rsid w:val="00FC3E1F"/>
    <w:rsid w:val="00FC438F"/>
    <w:rsid w:val="00FC4F61"/>
    <w:rsid w:val="00FC50CE"/>
    <w:rsid w:val="00FC5F68"/>
    <w:rsid w:val="00FC6A83"/>
    <w:rsid w:val="00FC7116"/>
    <w:rsid w:val="00FD04F3"/>
    <w:rsid w:val="00FD0E99"/>
    <w:rsid w:val="00FD1627"/>
    <w:rsid w:val="00FD17F9"/>
    <w:rsid w:val="00FD1CBE"/>
    <w:rsid w:val="00FD3F96"/>
    <w:rsid w:val="00FD3FE9"/>
    <w:rsid w:val="00FD4065"/>
    <w:rsid w:val="00FD4B8B"/>
    <w:rsid w:val="00FD4C65"/>
    <w:rsid w:val="00FD4E33"/>
    <w:rsid w:val="00FD5F32"/>
    <w:rsid w:val="00FD6127"/>
    <w:rsid w:val="00FD6E5C"/>
    <w:rsid w:val="00FD6FE0"/>
    <w:rsid w:val="00FD71D1"/>
    <w:rsid w:val="00FD790D"/>
    <w:rsid w:val="00FD7B07"/>
    <w:rsid w:val="00FE0603"/>
    <w:rsid w:val="00FE1ACB"/>
    <w:rsid w:val="00FE1B2A"/>
    <w:rsid w:val="00FE2409"/>
    <w:rsid w:val="00FE3743"/>
    <w:rsid w:val="00FE3A30"/>
    <w:rsid w:val="00FE4387"/>
    <w:rsid w:val="00FE564F"/>
    <w:rsid w:val="00FE5661"/>
    <w:rsid w:val="00FE5C8B"/>
    <w:rsid w:val="00FE6958"/>
    <w:rsid w:val="00FE6B6C"/>
    <w:rsid w:val="00FE6C26"/>
    <w:rsid w:val="00FE6FB5"/>
    <w:rsid w:val="00FE6FE7"/>
    <w:rsid w:val="00FE7297"/>
    <w:rsid w:val="00FE7360"/>
    <w:rsid w:val="00FE79DC"/>
    <w:rsid w:val="00FE7C9A"/>
    <w:rsid w:val="00FE7FCA"/>
    <w:rsid w:val="00FF02DB"/>
    <w:rsid w:val="00FF058E"/>
    <w:rsid w:val="00FF06BB"/>
    <w:rsid w:val="00FF0860"/>
    <w:rsid w:val="00FF1032"/>
    <w:rsid w:val="00FF19BC"/>
    <w:rsid w:val="00FF1D60"/>
    <w:rsid w:val="00FF2D09"/>
    <w:rsid w:val="00FF2F8D"/>
    <w:rsid w:val="00FF3042"/>
    <w:rsid w:val="00FF360B"/>
    <w:rsid w:val="00FF377F"/>
    <w:rsid w:val="00FF3F49"/>
    <w:rsid w:val="00FF454C"/>
    <w:rsid w:val="00FF5953"/>
    <w:rsid w:val="00FF5B6F"/>
    <w:rsid w:val="00FF65A8"/>
    <w:rsid w:val="00FF67B2"/>
    <w:rsid w:val="00FF7ED3"/>
    <w:rsid w:val="01100C8E"/>
    <w:rsid w:val="0131CFD5"/>
    <w:rsid w:val="0150ADD4"/>
    <w:rsid w:val="0158ACE2"/>
    <w:rsid w:val="0174C635"/>
    <w:rsid w:val="01914478"/>
    <w:rsid w:val="0195B708"/>
    <w:rsid w:val="01D402A2"/>
    <w:rsid w:val="02021C0E"/>
    <w:rsid w:val="0205B2DC"/>
    <w:rsid w:val="02345862"/>
    <w:rsid w:val="023DB096"/>
    <w:rsid w:val="0276FF5C"/>
    <w:rsid w:val="0284DF58"/>
    <w:rsid w:val="031E496D"/>
    <w:rsid w:val="03280AAF"/>
    <w:rsid w:val="03344538"/>
    <w:rsid w:val="0335A93D"/>
    <w:rsid w:val="03872050"/>
    <w:rsid w:val="0390C6B2"/>
    <w:rsid w:val="03910908"/>
    <w:rsid w:val="03A44A05"/>
    <w:rsid w:val="03BE221B"/>
    <w:rsid w:val="03CDDCF9"/>
    <w:rsid w:val="03EC7747"/>
    <w:rsid w:val="040163F3"/>
    <w:rsid w:val="0411948C"/>
    <w:rsid w:val="043A0C6C"/>
    <w:rsid w:val="044EF5E0"/>
    <w:rsid w:val="046AD310"/>
    <w:rsid w:val="046F0914"/>
    <w:rsid w:val="0508A8CB"/>
    <w:rsid w:val="051BEB5C"/>
    <w:rsid w:val="053BE2BD"/>
    <w:rsid w:val="053F051E"/>
    <w:rsid w:val="0540F339"/>
    <w:rsid w:val="0565B80C"/>
    <w:rsid w:val="056D01D1"/>
    <w:rsid w:val="05B4418C"/>
    <w:rsid w:val="05B9CF90"/>
    <w:rsid w:val="05EF1DBD"/>
    <w:rsid w:val="060A88AB"/>
    <w:rsid w:val="0617DFFF"/>
    <w:rsid w:val="061C9058"/>
    <w:rsid w:val="062F4474"/>
    <w:rsid w:val="06471023"/>
    <w:rsid w:val="06780D08"/>
    <w:rsid w:val="06B4A0E1"/>
    <w:rsid w:val="06B4D0CA"/>
    <w:rsid w:val="06BA5AB2"/>
    <w:rsid w:val="06C915D5"/>
    <w:rsid w:val="06E9D083"/>
    <w:rsid w:val="06FA0559"/>
    <w:rsid w:val="070E35FC"/>
    <w:rsid w:val="0713338F"/>
    <w:rsid w:val="072D7D7D"/>
    <w:rsid w:val="07325A5C"/>
    <w:rsid w:val="0780351D"/>
    <w:rsid w:val="07C6F918"/>
    <w:rsid w:val="07E1DF65"/>
    <w:rsid w:val="0819B4A4"/>
    <w:rsid w:val="082505AF"/>
    <w:rsid w:val="083E5244"/>
    <w:rsid w:val="085059C1"/>
    <w:rsid w:val="085A8BEB"/>
    <w:rsid w:val="08767E08"/>
    <w:rsid w:val="087E5480"/>
    <w:rsid w:val="0896AA47"/>
    <w:rsid w:val="08AE73D1"/>
    <w:rsid w:val="08C1E339"/>
    <w:rsid w:val="08F5B721"/>
    <w:rsid w:val="08F7D0CF"/>
    <w:rsid w:val="091C51A8"/>
    <w:rsid w:val="092BE8A9"/>
    <w:rsid w:val="095BDE65"/>
    <w:rsid w:val="0970B293"/>
    <w:rsid w:val="098A4DDC"/>
    <w:rsid w:val="09A5C1C9"/>
    <w:rsid w:val="09AC3E53"/>
    <w:rsid w:val="09DB0345"/>
    <w:rsid w:val="09E06ED2"/>
    <w:rsid w:val="09ED2E30"/>
    <w:rsid w:val="0A0D2DF3"/>
    <w:rsid w:val="0A109396"/>
    <w:rsid w:val="0A3CB0D6"/>
    <w:rsid w:val="0ACC10B2"/>
    <w:rsid w:val="0B134290"/>
    <w:rsid w:val="0B53D64A"/>
    <w:rsid w:val="0B5EC664"/>
    <w:rsid w:val="0B75C885"/>
    <w:rsid w:val="0BB732C7"/>
    <w:rsid w:val="0C1F51C6"/>
    <w:rsid w:val="0C2EC50F"/>
    <w:rsid w:val="0C6246E7"/>
    <w:rsid w:val="0C80FE44"/>
    <w:rsid w:val="0CDB4D26"/>
    <w:rsid w:val="0CE7D5F0"/>
    <w:rsid w:val="0CEEF35C"/>
    <w:rsid w:val="0D0AB7D0"/>
    <w:rsid w:val="0D1B404F"/>
    <w:rsid w:val="0D459B8A"/>
    <w:rsid w:val="0D4CBC3B"/>
    <w:rsid w:val="0D7AD627"/>
    <w:rsid w:val="0D838FD8"/>
    <w:rsid w:val="0D973CBF"/>
    <w:rsid w:val="0DB025F2"/>
    <w:rsid w:val="0DB1FA3F"/>
    <w:rsid w:val="0DBFDC87"/>
    <w:rsid w:val="0DD3204C"/>
    <w:rsid w:val="0E0907E9"/>
    <w:rsid w:val="0E0CADCE"/>
    <w:rsid w:val="0E3891A8"/>
    <w:rsid w:val="0E43C876"/>
    <w:rsid w:val="0E483599"/>
    <w:rsid w:val="0E4EA55A"/>
    <w:rsid w:val="0E5770CA"/>
    <w:rsid w:val="0EC99D0D"/>
    <w:rsid w:val="0EE09F16"/>
    <w:rsid w:val="0F187C0D"/>
    <w:rsid w:val="0F1B662E"/>
    <w:rsid w:val="0F37FC9B"/>
    <w:rsid w:val="0F9E5515"/>
    <w:rsid w:val="0FD8590D"/>
    <w:rsid w:val="0FE0C30D"/>
    <w:rsid w:val="0FEC047F"/>
    <w:rsid w:val="0FF69441"/>
    <w:rsid w:val="1005BC84"/>
    <w:rsid w:val="10142953"/>
    <w:rsid w:val="102E7B06"/>
    <w:rsid w:val="103A74FC"/>
    <w:rsid w:val="10A287CB"/>
    <w:rsid w:val="10ADE58C"/>
    <w:rsid w:val="10CC4F9B"/>
    <w:rsid w:val="10CD85C3"/>
    <w:rsid w:val="10EEDED6"/>
    <w:rsid w:val="110EFF7D"/>
    <w:rsid w:val="113719B6"/>
    <w:rsid w:val="11430126"/>
    <w:rsid w:val="11637ADC"/>
    <w:rsid w:val="11898636"/>
    <w:rsid w:val="121E865D"/>
    <w:rsid w:val="123C379F"/>
    <w:rsid w:val="12403EC3"/>
    <w:rsid w:val="126405AD"/>
    <w:rsid w:val="129FD259"/>
    <w:rsid w:val="12A31391"/>
    <w:rsid w:val="12B2426A"/>
    <w:rsid w:val="12B7295F"/>
    <w:rsid w:val="12EFC560"/>
    <w:rsid w:val="13206B20"/>
    <w:rsid w:val="1339D78C"/>
    <w:rsid w:val="13653870"/>
    <w:rsid w:val="136EF7E9"/>
    <w:rsid w:val="13870E12"/>
    <w:rsid w:val="13A18A0B"/>
    <w:rsid w:val="13BDBA19"/>
    <w:rsid w:val="13CE3B86"/>
    <w:rsid w:val="13DC0E0B"/>
    <w:rsid w:val="13E6F7C8"/>
    <w:rsid w:val="13F7CD66"/>
    <w:rsid w:val="141FB7CA"/>
    <w:rsid w:val="142DCC2B"/>
    <w:rsid w:val="14391FC6"/>
    <w:rsid w:val="145F81F8"/>
    <w:rsid w:val="1461CBBC"/>
    <w:rsid w:val="149091CD"/>
    <w:rsid w:val="14B19C13"/>
    <w:rsid w:val="14B7EEEF"/>
    <w:rsid w:val="14BC3A88"/>
    <w:rsid w:val="14C6B26D"/>
    <w:rsid w:val="14DF4B93"/>
    <w:rsid w:val="14F0D708"/>
    <w:rsid w:val="14FBDEF7"/>
    <w:rsid w:val="15043986"/>
    <w:rsid w:val="1545663D"/>
    <w:rsid w:val="15F62877"/>
    <w:rsid w:val="1608EEAE"/>
    <w:rsid w:val="162EDEDB"/>
    <w:rsid w:val="16361287"/>
    <w:rsid w:val="1692DDE5"/>
    <w:rsid w:val="16B21D4C"/>
    <w:rsid w:val="16DE7076"/>
    <w:rsid w:val="1702C164"/>
    <w:rsid w:val="17076CDD"/>
    <w:rsid w:val="173EAB33"/>
    <w:rsid w:val="176BA88A"/>
    <w:rsid w:val="17892BEB"/>
    <w:rsid w:val="178CB744"/>
    <w:rsid w:val="179C97B1"/>
    <w:rsid w:val="17A45BB1"/>
    <w:rsid w:val="17AC3195"/>
    <w:rsid w:val="17AEC2C4"/>
    <w:rsid w:val="180E877C"/>
    <w:rsid w:val="182F3524"/>
    <w:rsid w:val="184E276F"/>
    <w:rsid w:val="1863AE6E"/>
    <w:rsid w:val="18884A24"/>
    <w:rsid w:val="18A5337E"/>
    <w:rsid w:val="18A9A069"/>
    <w:rsid w:val="18EA4DA9"/>
    <w:rsid w:val="18F3FAF9"/>
    <w:rsid w:val="191BBF89"/>
    <w:rsid w:val="194BD252"/>
    <w:rsid w:val="19543B76"/>
    <w:rsid w:val="19666DFA"/>
    <w:rsid w:val="197112FB"/>
    <w:rsid w:val="19A1EBD5"/>
    <w:rsid w:val="19A4DABC"/>
    <w:rsid w:val="19EDA3BF"/>
    <w:rsid w:val="19F4BC21"/>
    <w:rsid w:val="1A00219A"/>
    <w:rsid w:val="1A252DE2"/>
    <w:rsid w:val="1A2932D8"/>
    <w:rsid w:val="1A2B3F43"/>
    <w:rsid w:val="1A4CF852"/>
    <w:rsid w:val="1A576C30"/>
    <w:rsid w:val="1A5D0FF6"/>
    <w:rsid w:val="1A63969A"/>
    <w:rsid w:val="1A667F7D"/>
    <w:rsid w:val="1A714A96"/>
    <w:rsid w:val="1A78CF2B"/>
    <w:rsid w:val="1ABB078A"/>
    <w:rsid w:val="1AF108EC"/>
    <w:rsid w:val="1AFB1798"/>
    <w:rsid w:val="1BB9A9AF"/>
    <w:rsid w:val="1C268C6F"/>
    <w:rsid w:val="1C71F4B9"/>
    <w:rsid w:val="1C917D17"/>
    <w:rsid w:val="1D02C0F2"/>
    <w:rsid w:val="1D0F5745"/>
    <w:rsid w:val="1D26CA8A"/>
    <w:rsid w:val="1D563A6B"/>
    <w:rsid w:val="1D62E005"/>
    <w:rsid w:val="1DB104C0"/>
    <w:rsid w:val="1DBD1841"/>
    <w:rsid w:val="1DC51262"/>
    <w:rsid w:val="1DCDB928"/>
    <w:rsid w:val="1DDA3AD5"/>
    <w:rsid w:val="1DDB3417"/>
    <w:rsid w:val="1DED99C8"/>
    <w:rsid w:val="1DFD7D6A"/>
    <w:rsid w:val="1E648B9C"/>
    <w:rsid w:val="1E813634"/>
    <w:rsid w:val="1E8402D0"/>
    <w:rsid w:val="1EAD90EB"/>
    <w:rsid w:val="1EAEEAD0"/>
    <w:rsid w:val="1EB6377C"/>
    <w:rsid w:val="1EFE012A"/>
    <w:rsid w:val="1F39E45D"/>
    <w:rsid w:val="1F7D0537"/>
    <w:rsid w:val="1FD0A8B3"/>
    <w:rsid w:val="2003B8CC"/>
    <w:rsid w:val="2011C31C"/>
    <w:rsid w:val="2016E5DC"/>
    <w:rsid w:val="20377F85"/>
    <w:rsid w:val="20966CDE"/>
    <w:rsid w:val="209A80C7"/>
    <w:rsid w:val="20B93727"/>
    <w:rsid w:val="20DF2E8A"/>
    <w:rsid w:val="20EB7B20"/>
    <w:rsid w:val="20EF1941"/>
    <w:rsid w:val="20FC01EE"/>
    <w:rsid w:val="2126F2E4"/>
    <w:rsid w:val="212CED74"/>
    <w:rsid w:val="21A29063"/>
    <w:rsid w:val="21A3A0CE"/>
    <w:rsid w:val="21F6E351"/>
    <w:rsid w:val="21FD0F6E"/>
    <w:rsid w:val="2218853A"/>
    <w:rsid w:val="222EB2AA"/>
    <w:rsid w:val="22786ADA"/>
    <w:rsid w:val="227A4BD8"/>
    <w:rsid w:val="227A9076"/>
    <w:rsid w:val="229DC30C"/>
    <w:rsid w:val="22B41133"/>
    <w:rsid w:val="230A5881"/>
    <w:rsid w:val="2320ED8E"/>
    <w:rsid w:val="232CE12C"/>
    <w:rsid w:val="2346B031"/>
    <w:rsid w:val="23AD902F"/>
    <w:rsid w:val="23C15D23"/>
    <w:rsid w:val="23CFF851"/>
    <w:rsid w:val="23D501E2"/>
    <w:rsid w:val="23D610E0"/>
    <w:rsid w:val="23E32A92"/>
    <w:rsid w:val="23ECF76B"/>
    <w:rsid w:val="242CAC4E"/>
    <w:rsid w:val="243281D1"/>
    <w:rsid w:val="245C51D3"/>
    <w:rsid w:val="24634488"/>
    <w:rsid w:val="2486DD94"/>
    <w:rsid w:val="24ECFDC0"/>
    <w:rsid w:val="2521AEC9"/>
    <w:rsid w:val="2526F58D"/>
    <w:rsid w:val="2560201B"/>
    <w:rsid w:val="257A816B"/>
    <w:rsid w:val="25873CE4"/>
    <w:rsid w:val="25F0894B"/>
    <w:rsid w:val="261C75EC"/>
    <w:rsid w:val="26369730"/>
    <w:rsid w:val="26747C77"/>
    <w:rsid w:val="26932861"/>
    <w:rsid w:val="26A8E4FA"/>
    <w:rsid w:val="26AEC5EE"/>
    <w:rsid w:val="26D6E573"/>
    <w:rsid w:val="26DD2D01"/>
    <w:rsid w:val="26EB0899"/>
    <w:rsid w:val="27729125"/>
    <w:rsid w:val="277A30F8"/>
    <w:rsid w:val="27A051CE"/>
    <w:rsid w:val="27AFF09B"/>
    <w:rsid w:val="27BD35E8"/>
    <w:rsid w:val="27CC20AE"/>
    <w:rsid w:val="27DE7F17"/>
    <w:rsid w:val="27EAAAF4"/>
    <w:rsid w:val="28267538"/>
    <w:rsid w:val="288DEE59"/>
    <w:rsid w:val="288EB410"/>
    <w:rsid w:val="289BC1DB"/>
    <w:rsid w:val="28A16236"/>
    <w:rsid w:val="28BBFB41"/>
    <w:rsid w:val="28CCB034"/>
    <w:rsid w:val="28E95AAB"/>
    <w:rsid w:val="2900D843"/>
    <w:rsid w:val="29458421"/>
    <w:rsid w:val="29481EE7"/>
    <w:rsid w:val="298E99A6"/>
    <w:rsid w:val="299FF406"/>
    <w:rsid w:val="29A13E36"/>
    <w:rsid w:val="29E2B0A5"/>
    <w:rsid w:val="2A0806F5"/>
    <w:rsid w:val="2A3C7706"/>
    <w:rsid w:val="2A56EBF4"/>
    <w:rsid w:val="2A5CBF35"/>
    <w:rsid w:val="2A707406"/>
    <w:rsid w:val="2AA751EB"/>
    <w:rsid w:val="2ABDE34E"/>
    <w:rsid w:val="2AFC2924"/>
    <w:rsid w:val="2B18E62A"/>
    <w:rsid w:val="2B1BFDA3"/>
    <w:rsid w:val="2B38E06B"/>
    <w:rsid w:val="2B604896"/>
    <w:rsid w:val="2B9A4897"/>
    <w:rsid w:val="2BA6F03C"/>
    <w:rsid w:val="2BAF6585"/>
    <w:rsid w:val="2BC91E80"/>
    <w:rsid w:val="2BFF7DB1"/>
    <w:rsid w:val="2C3E0844"/>
    <w:rsid w:val="2C5DA89C"/>
    <w:rsid w:val="2C8D6242"/>
    <w:rsid w:val="2C8F7825"/>
    <w:rsid w:val="2CD4D166"/>
    <w:rsid w:val="2CDB5294"/>
    <w:rsid w:val="2D36ED70"/>
    <w:rsid w:val="2DA2A1CA"/>
    <w:rsid w:val="2DE2D18D"/>
    <w:rsid w:val="2ED723F9"/>
    <w:rsid w:val="2EF8DC69"/>
    <w:rsid w:val="2F0DA970"/>
    <w:rsid w:val="2F64A6E9"/>
    <w:rsid w:val="2F913D5E"/>
    <w:rsid w:val="2FC5D617"/>
    <w:rsid w:val="2FE157A9"/>
    <w:rsid w:val="30299A35"/>
    <w:rsid w:val="302AEA4A"/>
    <w:rsid w:val="3043EB55"/>
    <w:rsid w:val="3048F1F7"/>
    <w:rsid w:val="306CB074"/>
    <w:rsid w:val="308CB017"/>
    <w:rsid w:val="30A45BBC"/>
    <w:rsid w:val="30BF3923"/>
    <w:rsid w:val="30C4977A"/>
    <w:rsid w:val="30E34626"/>
    <w:rsid w:val="30E69D4C"/>
    <w:rsid w:val="31368A1E"/>
    <w:rsid w:val="31437419"/>
    <w:rsid w:val="317E3B73"/>
    <w:rsid w:val="31871134"/>
    <w:rsid w:val="318B3F27"/>
    <w:rsid w:val="318E84B4"/>
    <w:rsid w:val="319762C9"/>
    <w:rsid w:val="31A6DDD1"/>
    <w:rsid w:val="31B46616"/>
    <w:rsid w:val="31BB7A27"/>
    <w:rsid w:val="31E791D4"/>
    <w:rsid w:val="31EBE5DE"/>
    <w:rsid w:val="320301FB"/>
    <w:rsid w:val="320A699F"/>
    <w:rsid w:val="323E8C4D"/>
    <w:rsid w:val="3241476D"/>
    <w:rsid w:val="325563C3"/>
    <w:rsid w:val="32577649"/>
    <w:rsid w:val="32805195"/>
    <w:rsid w:val="32AFD22E"/>
    <w:rsid w:val="32D24075"/>
    <w:rsid w:val="32E35AD4"/>
    <w:rsid w:val="330DE72B"/>
    <w:rsid w:val="3373C4C3"/>
    <w:rsid w:val="33928632"/>
    <w:rsid w:val="33C7D318"/>
    <w:rsid w:val="34035E83"/>
    <w:rsid w:val="34113B8F"/>
    <w:rsid w:val="341E1E65"/>
    <w:rsid w:val="348256BD"/>
    <w:rsid w:val="34AE651D"/>
    <w:rsid w:val="34C2DFE9"/>
    <w:rsid w:val="3510AAFA"/>
    <w:rsid w:val="35131D81"/>
    <w:rsid w:val="351CDC49"/>
    <w:rsid w:val="35960EFD"/>
    <w:rsid w:val="35AB7D88"/>
    <w:rsid w:val="35B44DA4"/>
    <w:rsid w:val="35C7FA0F"/>
    <w:rsid w:val="35DA84A2"/>
    <w:rsid w:val="35DE4C84"/>
    <w:rsid w:val="362078BC"/>
    <w:rsid w:val="36294EEB"/>
    <w:rsid w:val="3666A090"/>
    <w:rsid w:val="3696845D"/>
    <w:rsid w:val="36AE6CF9"/>
    <w:rsid w:val="36F5926E"/>
    <w:rsid w:val="37293645"/>
    <w:rsid w:val="373F3601"/>
    <w:rsid w:val="375F9742"/>
    <w:rsid w:val="3769DDE1"/>
    <w:rsid w:val="379081E5"/>
    <w:rsid w:val="379701C8"/>
    <w:rsid w:val="37A57977"/>
    <w:rsid w:val="37BA65AB"/>
    <w:rsid w:val="380A64F8"/>
    <w:rsid w:val="381F81B1"/>
    <w:rsid w:val="3837C854"/>
    <w:rsid w:val="3837CBAF"/>
    <w:rsid w:val="383E5500"/>
    <w:rsid w:val="3886CB6D"/>
    <w:rsid w:val="3893AB73"/>
    <w:rsid w:val="38988CA4"/>
    <w:rsid w:val="38A118A3"/>
    <w:rsid w:val="38B66F06"/>
    <w:rsid w:val="38B77331"/>
    <w:rsid w:val="38B7BEDD"/>
    <w:rsid w:val="38F5163A"/>
    <w:rsid w:val="38F73DA5"/>
    <w:rsid w:val="38FCB49B"/>
    <w:rsid w:val="38FF2541"/>
    <w:rsid w:val="3902F5AF"/>
    <w:rsid w:val="39131E3C"/>
    <w:rsid w:val="3939D465"/>
    <w:rsid w:val="39AA8C0F"/>
    <w:rsid w:val="39CBFEB0"/>
    <w:rsid w:val="3A0F9F86"/>
    <w:rsid w:val="3A566192"/>
    <w:rsid w:val="3A612473"/>
    <w:rsid w:val="3A616AD2"/>
    <w:rsid w:val="3AD02B9D"/>
    <w:rsid w:val="3AE43930"/>
    <w:rsid w:val="3AEBDD2B"/>
    <w:rsid w:val="3B04792D"/>
    <w:rsid w:val="3B2C0843"/>
    <w:rsid w:val="3B2D5896"/>
    <w:rsid w:val="3B2E9108"/>
    <w:rsid w:val="3B3BCED5"/>
    <w:rsid w:val="3B58ACEF"/>
    <w:rsid w:val="3B997D5C"/>
    <w:rsid w:val="3BA6E0DD"/>
    <w:rsid w:val="3BD18BD6"/>
    <w:rsid w:val="3BD4D051"/>
    <w:rsid w:val="3BD5E768"/>
    <w:rsid w:val="3C0B90C9"/>
    <w:rsid w:val="3C102820"/>
    <w:rsid w:val="3C888495"/>
    <w:rsid w:val="3CAD7624"/>
    <w:rsid w:val="3CADBD87"/>
    <w:rsid w:val="3CAF86B5"/>
    <w:rsid w:val="3CFC413F"/>
    <w:rsid w:val="3D211998"/>
    <w:rsid w:val="3D292CD0"/>
    <w:rsid w:val="3D5AD385"/>
    <w:rsid w:val="3D7FFECB"/>
    <w:rsid w:val="3DA6F1A2"/>
    <w:rsid w:val="3DAB1351"/>
    <w:rsid w:val="3DAB7645"/>
    <w:rsid w:val="3DEA2D0D"/>
    <w:rsid w:val="3E0DD36E"/>
    <w:rsid w:val="3E0F6DFE"/>
    <w:rsid w:val="3E18F3D8"/>
    <w:rsid w:val="3E19DDFF"/>
    <w:rsid w:val="3E3DAF55"/>
    <w:rsid w:val="3E866CB2"/>
    <w:rsid w:val="3E9412D7"/>
    <w:rsid w:val="3EA10F6F"/>
    <w:rsid w:val="3EACF66B"/>
    <w:rsid w:val="3EB060D9"/>
    <w:rsid w:val="3EB75E23"/>
    <w:rsid w:val="3EED524F"/>
    <w:rsid w:val="3F19C68A"/>
    <w:rsid w:val="3F7D23AC"/>
    <w:rsid w:val="40133AA0"/>
    <w:rsid w:val="4077C50D"/>
    <w:rsid w:val="407EF453"/>
    <w:rsid w:val="40B590FA"/>
    <w:rsid w:val="40BF1138"/>
    <w:rsid w:val="40D526D3"/>
    <w:rsid w:val="410BBE26"/>
    <w:rsid w:val="411B0DD9"/>
    <w:rsid w:val="411D0794"/>
    <w:rsid w:val="41338D48"/>
    <w:rsid w:val="4139BE62"/>
    <w:rsid w:val="4170D5B8"/>
    <w:rsid w:val="41739510"/>
    <w:rsid w:val="418098CA"/>
    <w:rsid w:val="41A013AB"/>
    <w:rsid w:val="41F9160C"/>
    <w:rsid w:val="42055FAE"/>
    <w:rsid w:val="42358BF5"/>
    <w:rsid w:val="42594AA4"/>
    <w:rsid w:val="42611CFC"/>
    <w:rsid w:val="4267B027"/>
    <w:rsid w:val="42ACC2AA"/>
    <w:rsid w:val="42F5964D"/>
    <w:rsid w:val="4337F3E1"/>
    <w:rsid w:val="43774FFC"/>
    <w:rsid w:val="43949C3A"/>
    <w:rsid w:val="43DC7D38"/>
    <w:rsid w:val="43F9ABBB"/>
    <w:rsid w:val="44152DA6"/>
    <w:rsid w:val="44CA18A9"/>
    <w:rsid w:val="44E0A8D7"/>
    <w:rsid w:val="44E1AA9C"/>
    <w:rsid w:val="451AE93D"/>
    <w:rsid w:val="452F2B5B"/>
    <w:rsid w:val="4540528E"/>
    <w:rsid w:val="456128F9"/>
    <w:rsid w:val="45863AEB"/>
    <w:rsid w:val="45F8830D"/>
    <w:rsid w:val="4611092A"/>
    <w:rsid w:val="463EA66B"/>
    <w:rsid w:val="4691A173"/>
    <w:rsid w:val="46AD37C5"/>
    <w:rsid w:val="46C933DC"/>
    <w:rsid w:val="46EE7051"/>
    <w:rsid w:val="46F4CEB3"/>
    <w:rsid w:val="4702C904"/>
    <w:rsid w:val="471AFFCC"/>
    <w:rsid w:val="4735BA88"/>
    <w:rsid w:val="473645BF"/>
    <w:rsid w:val="477927FD"/>
    <w:rsid w:val="47FEEE57"/>
    <w:rsid w:val="4802B0CC"/>
    <w:rsid w:val="4857204B"/>
    <w:rsid w:val="486FB378"/>
    <w:rsid w:val="487D560E"/>
    <w:rsid w:val="4885026A"/>
    <w:rsid w:val="48B66F6D"/>
    <w:rsid w:val="493110D4"/>
    <w:rsid w:val="49402901"/>
    <w:rsid w:val="4955696D"/>
    <w:rsid w:val="49709960"/>
    <w:rsid w:val="499FBA84"/>
    <w:rsid w:val="49B97A2D"/>
    <w:rsid w:val="49DA6F57"/>
    <w:rsid w:val="49DEC7E6"/>
    <w:rsid w:val="49E7D22F"/>
    <w:rsid w:val="4A59141A"/>
    <w:rsid w:val="4A67838C"/>
    <w:rsid w:val="4A8228AE"/>
    <w:rsid w:val="4AA0D378"/>
    <w:rsid w:val="4AC2A639"/>
    <w:rsid w:val="4ACB2E2F"/>
    <w:rsid w:val="4AF61683"/>
    <w:rsid w:val="4AFD0487"/>
    <w:rsid w:val="4B0096C1"/>
    <w:rsid w:val="4B01E04A"/>
    <w:rsid w:val="4B280669"/>
    <w:rsid w:val="4B413A3D"/>
    <w:rsid w:val="4B4C3927"/>
    <w:rsid w:val="4B5185CB"/>
    <w:rsid w:val="4B577F26"/>
    <w:rsid w:val="4BA1C5F2"/>
    <w:rsid w:val="4BBD052F"/>
    <w:rsid w:val="4BEDFD45"/>
    <w:rsid w:val="4C0DBC24"/>
    <w:rsid w:val="4C73F776"/>
    <w:rsid w:val="4C81C74A"/>
    <w:rsid w:val="4C865F8D"/>
    <w:rsid w:val="4C90234E"/>
    <w:rsid w:val="4C93B7F6"/>
    <w:rsid w:val="4CC1286E"/>
    <w:rsid w:val="4CC1BD9D"/>
    <w:rsid w:val="4CD3C745"/>
    <w:rsid w:val="4D09C29C"/>
    <w:rsid w:val="4D6261DE"/>
    <w:rsid w:val="4D81E2FF"/>
    <w:rsid w:val="4D8253F8"/>
    <w:rsid w:val="4DB0B45E"/>
    <w:rsid w:val="4DFA9742"/>
    <w:rsid w:val="4E215FEE"/>
    <w:rsid w:val="4E2608C1"/>
    <w:rsid w:val="4E30B597"/>
    <w:rsid w:val="4E557163"/>
    <w:rsid w:val="4EBCBB34"/>
    <w:rsid w:val="4ECE7BC2"/>
    <w:rsid w:val="4EE523EC"/>
    <w:rsid w:val="4EF325C5"/>
    <w:rsid w:val="4F072BFD"/>
    <w:rsid w:val="4F0D588D"/>
    <w:rsid w:val="4F5A56BE"/>
    <w:rsid w:val="4F68AF1E"/>
    <w:rsid w:val="4FB48186"/>
    <w:rsid w:val="4FD6CD30"/>
    <w:rsid w:val="4FDD7F42"/>
    <w:rsid w:val="5024D13A"/>
    <w:rsid w:val="50301705"/>
    <w:rsid w:val="5062FB06"/>
    <w:rsid w:val="50900612"/>
    <w:rsid w:val="50B74337"/>
    <w:rsid w:val="50E6BEB6"/>
    <w:rsid w:val="50E7AB02"/>
    <w:rsid w:val="51378E13"/>
    <w:rsid w:val="514A882F"/>
    <w:rsid w:val="5152D955"/>
    <w:rsid w:val="518AC29A"/>
    <w:rsid w:val="5197EE95"/>
    <w:rsid w:val="51FCD539"/>
    <w:rsid w:val="5206B824"/>
    <w:rsid w:val="520A41D9"/>
    <w:rsid w:val="523B333D"/>
    <w:rsid w:val="529E2AC1"/>
    <w:rsid w:val="52CDBF6F"/>
    <w:rsid w:val="5330FAD5"/>
    <w:rsid w:val="5337C218"/>
    <w:rsid w:val="53847DA4"/>
    <w:rsid w:val="53981527"/>
    <w:rsid w:val="53FE2718"/>
    <w:rsid w:val="53FF8B17"/>
    <w:rsid w:val="541595A8"/>
    <w:rsid w:val="543DBF82"/>
    <w:rsid w:val="545CBBA2"/>
    <w:rsid w:val="5462E19C"/>
    <w:rsid w:val="546DA0DC"/>
    <w:rsid w:val="549D3B68"/>
    <w:rsid w:val="54A69F80"/>
    <w:rsid w:val="54BC5C0C"/>
    <w:rsid w:val="54BD6CEE"/>
    <w:rsid w:val="54BF1ECD"/>
    <w:rsid w:val="54DE479A"/>
    <w:rsid w:val="55462893"/>
    <w:rsid w:val="5558241E"/>
    <w:rsid w:val="5573D96D"/>
    <w:rsid w:val="55759D8E"/>
    <w:rsid w:val="5580E783"/>
    <w:rsid w:val="5597E0EA"/>
    <w:rsid w:val="559C14AD"/>
    <w:rsid w:val="55B5D1E8"/>
    <w:rsid w:val="55BFE362"/>
    <w:rsid w:val="55C8B5EE"/>
    <w:rsid w:val="565C0E91"/>
    <w:rsid w:val="56BBBB2F"/>
    <w:rsid w:val="576C3BD5"/>
    <w:rsid w:val="57828F23"/>
    <w:rsid w:val="57CF132E"/>
    <w:rsid w:val="580D658A"/>
    <w:rsid w:val="580EF68C"/>
    <w:rsid w:val="58143DC0"/>
    <w:rsid w:val="5817A0E2"/>
    <w:rsid w:val="583663E1"/>
    <w:rsid w:val="5864173E"/>
    <w:rsid w:val="5899B932"/>
    <w:rsid w:val="58E5C8A3"/>
    <w:rsid w:val="591F921D"/>
    <w:rsid w:val="593DCA5D"/>
    <w:rsid w:val="594D317D"/>
    <w:rsid w:val="596B6B54"/>
    <w:rsid w:val="59712503"/>
    <w:rsid w:val="59A47086"/>
    <w:rsid w:val="59A6714D"/>
    <w:rsid w:val="59BB5F3E"/>
    <w:rsid w:val="59BB7930"/>
    <w:rsid w:val="5A2DEEEB"/>
    <w:rsid w:val="5A4D1F07"/>
    <w:rsid w:val="5A6C8FD3"/>
    <w:rsid w:val="5AAE2E24"/>
    <w:rsid w:val="5AB31E67"/>
    <w:rsid w:val="5AD54EED"/>
    <w:rsid w:val="5B37127B"/>
    <w:rsid w:val="5B38E9A5"/>
    <w:rsid w:val="5B86D0C1"/>
    <w:rsid w:val="5BA5C593"/>
    <w:rsid w:val="5BC3C93C"/>
    <w:rsid w:val="5BF0FF9E"/>
    <w:rsid w:val="5C5BA555"/>
    <w:rsid w:val="5C8719C5"/>
    <w:rsid w:val="5C88639F"/>
    <w:rsid w:val="5CBC73B6"/>
    <w:rsid w:val="5D145E6C"/>
    <w:rsid w:val="5D1A285F"/>
    <w:rsid w:val="5D2992DA"/>
    <w:rsid w:val="5D2C7209"/>
    <w:rsid w:val="5D41659E"/>
    <w:rsid w:val="5D44B387"/>
    <w:rsid w:val="5D688696"/>
    <w:rsid w:val="5D6ECEFC"/>
    <w:rsid w:val="5D9D83F7"/>
    <w:rsid w:val="5E0061D7"/>
    <w:rsid w:val="5E122488"/>
    <w:rsid w:val="5E17E2DE"/>
    <w:rsid w:val="5E9AA76A"/>
    <w:rsid w:val="5EAF2738"/>
    <w:rsid w:val="5EAFBF60"/>
    <w:rsid w:val="5ECD0B16"/>
    <w:rsid w:val="5F0F7175"/>
    <w:rsid w:val="5F3D42B4"/>
    <w:rsid w:val="5F3ECC4D"/>
    <w:rsid w:val="5F499904"/>
    <w:rsid w:val="5F8E60CB"/>
    <w:rsid w:val="60009B8A"/>
    <w:rsid w:val="60820913"/>
    <w:rsid w:val="60A4256A"/>
    <w:rsid w:val="60EF8F76"/>
    <w:rsid w:val="61074D4B"/>
    <w:rsid w:val="610EEEC6"/>
    <w:rsid w:val="610F1163"/>
    <w:rsid w:val="61213FDA"/>
    <w:rsid w:val="612ED2C9"/>
    <w:rsid w:val="615F0FC9"/>
    <w:rsid w:val="61686183"/>
    <w:rsid w:val="6181096B"/>
    <w:rsid w:val="61B7E5AB"/>
    <w:rsid w:val="61C47BBD"/>
    <w:rsid w:val="61D6D29E"/>
    <w:rsid w:val="61F6BA21"/>
    <w:rsid w:val="62165510"/>
    <w:rsid w:val="6226C281"/>
    <w:rsid w:val="627CCCF5"/>
    <w:rsid w:val="628F6C62"/>
    <w:rsid w:val="62910BEB"/>
    <w:rsid w:val="62936B4C"/>
    <w:rsid w:val="62970A44"/>
    <w:rsid w:val="6303935F"/>
    <w:rsid w:val="63217A94"/>
    <w:rsid w:val="632BE22F"/>
    <w:rsid w:val="634D5B05"/>
    <w:rsid w:val="639B4284"/>
    <w:rsid w:val="63D41B6E"/>
    <w:rsid w:val="6443F0BE"/>
    <w:rsid w:val="644DE1C0"/>
    <w:rsid w:val="64714F58"/>
    <w:rsid w:val="64BC368D"/>
    <w:rsid w:val="64CC4E24"/>
    <w:rsid w:val="64D1992C"/>
    <w:rsid w:val="64D71E42"/>
    <w:rsid w:val="64DD25C2"/>
    <w:rsid w:val="6513AA99"/>
    <w:rsid w:val="6545A8C5"/>
    <w:rsid w:val="6556CFA0"/>
    <w:rsid w:val="65764442"/>
    <w:rsid w:val="659F8459"/>
    <w:rsid w:val="65DB34E6"/>
    <w:rsid w:val="65EAA366"/>
    <w:rsid w:val="6626139A"/>
    <w:rsid w:val="6634FD6C"/>
    <w:rsid w:val="66491293"/>
    <w:rsid w:val="66492211"/>
    <w:rsid w:val="664A3B11"/>
    <w:rsid w:val="664D6AAD"/>
    <w:rsid w:val="66A49C3E"/>
    <w:rsid w:val="66F2918E"/>
    <w:rsid w:val="67003524"/>
    <w:rsid w:val="671A5393"/>
    <w:rsid w:val="6772B34C"/>
    <w:rsid w:val="6778C599"/>
    <w:rsid w:val="67973BE0"/>
    <w:rsid w:val="679E42D3"/>
    <w:rsid w:val="67E90858"/>
    <w:rsid w:val="68285954"/>
    <w:rsid w:val="682BF795"/>
    <w:rsid w:val="68462367"/>
    <w:rsid w:val="68540962"/>
    <w:rsid w:val="687356D6"/>
    <w:rsid w:val="6875E7BD"/>
    <w:rsid w:val="68848D93"/>
    <w:rsid w:val="68A42E0E"/>
    <w:rsid w:val="68ECA7CA"/>
    <w:rsid w:val="68EEF454"/>
    <w:rsid w:val="690B2EDE"/>
    <w:rsid w:val="69150428"/>
    <w:rsid w:val="691EB6BD"/>
    <w:rsid w:val="692F2E1C"/>
    <w:rsid w:val="695ED345"/>
    <w:rsid w:val="6965B773"/>
    <w:rsid w:val="6976220E"/>
    <w:rsid w:val="69961732"/>
    <w:rsid w:val="699789E7"/>
    <w:rsid w:val="69C54221"/>
    <w:rsid w:val="69DBABB5"/>
    <w:rsid w:val="6A4CE0A8"/>
    <w:rsid w:val="6A55B7C0"/>
    <w:rsid w:val="6AF597C1"/>
    <w:rsid w:val="6B068121"/>
    <w:rsid w:val="6B29DDE5"/>
    <w:rsid w:val="6B3B1E9A"/>
    <w:rsid w:val="6B56DB11"/>
    <w:rsid w:val="6B67D64F"/>
    <w:rsid w:val="6B90E6E7"/>
    <w:rsid w:val="6BB0122D"/>
    <w:rsid w:val="6BD63FC0"/>
    <w:rsid w:val="6C0C8CA0"/>
    <w:rsid w:val="6C16F282"/>
    <w:rsid w:val="6C2D7AFC"/>
    <w:rsid w:val="6C800BCC"/>
    <w:rsid w:val="6C8603F1"/>
    <w:rsid w:val="6C970402"/>
    <w:rsid w:val="6CBF5B27"/>
    <w:rsid w:val="6CF421EF"/>
    <w:rsid w:val="6D1AEFD5"/>
    <w:rsid w:val="6D430B10"/>
    <w:rsid w:val="6D6677E5"/>
    <w:rsid w:val="6D68882E"/>
    <w:rsid w:val="6D7ACD08"/>
    <w:rsid w:val="6D874C48"/>
    <w:rsid w:val="6DA0EEB0"/>
    <w:rsid w:val="6DC6A2E6"/>
    <w:rsid w:val="6DE03392"/>
    <w:rsid w:val="6E071057"/>
    <w:rsid w:val="6E21888D"/>
    <w:rsid w:val="6E34854A"/>
    <w:rsid w:val="6E3F1573"/>
    <w:rsid w:val="6E415BCE"/>
    <w:rsid w:val="6E513994"/>
    <w:rsid w:val="6E937BD0"/>
    <w:rsid w:val="6E9BD013"/>
    <w:rsid w:val="6EB1D49C"/>
    <w:rsid w:val="6EC3697E"/>
    <w:rsid w:val="6EDFAF0F"/>
    <w:rsid w:val="6F2BFE84"/>
    <w:rsid w:val="6F2FE9BE"/>
    <w:rsid w:val="6F3681F2"/>
    <w:rsid w:val="6F36EE6A"/>
    <w:rsid w:val="6F4C3D8A"/>
    <w:rsid w:val="6F592C40"/>
    <w:rsid w:val="6F5B973A"/>
    <w:rsid w:val="6F5DD62F"/>
    <w:rsid w:val="6F6B57C5"/>
    <w:rsid w:val="6FC227BF"/>
    <w:rsid w:val="6FCF3FA7"/>
    <w:rsid w:val="700E28A8"/>
    <w:rsid w:val="70149AB2"/>
    <w:rsid w:val="7016E23D"/>
    <w:rsid w:val="7079A7CF"/>
    <w:rsid w:val="7091D256"/>
    <w:rsid w:val="70B03EBC"/>
    <w:rsid w:val="70D2ECE6"/>
    <w:rsid w:val="70FC29C5"/>
    <w:rsid w:val="715C3147"/>
    <w:rsid w:val="71B9CA8E"/>
    <w:rsid w:val="71E0D483"/>
    <w:rsid w:val="71F12D53"/>
    <w:rsid w:val="724E8C50"/>
    <w:rsid w:val="729176B8"/>
    <w:rsid w:val="729C45E4"/>
    <w:rsid w:val="72B4C8F8"/>
    <w:rsid w:val="72CEA5D9"/>
    <w:rsid w:val="72E4BDC5"/>
    <w:rsid w:val="7300D83D"/>
    <w:rsid w:val="7340D84E"/>
    <w:rsid w:val="7350610A"/>
    <w:rsid w:val="73593794"/>
    <w:rsid w:val="7392AE3E"/>
    <w:rsid w:val="73993F99"/>
    <w:rsid w:val="73A0F101"/>
    <w:rsid w:val="73BA7FE0"/>
    <w:rsid w:val="73BF78E7"/>
    <w:rsid w:val="73D01193"/>
    <w:rsid w:val="73DB7381"/>
    <w:rsid w:val="73FFD2EF"/>
    <w:rsid w:val="7402CD32"/>
    <w:rsid w:val="7455D433"/>
    <w:rsid w:val="745FAC4B"/>
    <w:rsid w:val="7490A542"/>
    <w:rsid w:val="74A6C9FB"/>
    <w:rsid w:val="750C5EA6"/>
    <w:rsid w:val="75263A61"/>
    <w:rsid w:val="75652CB3"/>
    <w:rsid w:val="75663412"/>
    <w:rsid w:val="756D9DA1"/>
    <w:rsid w:val="7578B6EB"/>
    <w:rsid w:val="75B17F6C"/>
    <w:rsid w:val="75DE404B"/>
    <w:rsid w:val="75E6CFCA"/>
    <w:rsid w:val="763E6710"/>
    <w:rsid w:val="764E8949"/>
    <w:rsid w:val="7685C31D"/>
    <w:rsid w:val="76A189B5"/>
    <w:rsid w:val="76CF01F1"/>
    <w:rsid w:val="76F5086A"/>
    <w:rsid w:val="7736AF40"/>
    <w:rsid w:val="7741F3D3"/>
    <w:rsid w:val="77564C8C"/>
    <w:rsid w:val="7770A847"/>
    <w:rsid w:val="777911AA"/>
    <w:rsid w:val="779E6BB8"/>
    <w:rsid w:val="77A16BC3"/>
    <w:rsid w:val="77A62273"/>
    <w:rsid w:val="77BF1206"/>
    <w:rsid w:val="77D73F55"/>
    <w:rsid w:val="77E29CC1"/>
    <w:rsid w:val="780D761F"/>
    <w:rsid w:val="781D72B1"/>
    <w:rsid w:val="78B646E2"/>
    <w:rsid w:val="78B6A555"/>
    <w:rsid w:val="78C0A20D"/>
    <w:rsid w:val="78C4B737"/>
    <w:rsid w:val="79352FD8"/>
    <w:rsid w:val="79575102"/>
    <w:rsid w:val="79643814"/>
    <w:rsid w:val="79E2A51C"/>
    <w:rsid w:val="79E81DAF"/>
    <w:rsid w:val="7A0F9DA1"/>
    <w:rsid w:val="7A52569E"/>
    <w:rsid w:val="7A56B21A"/>
    <w:rsid w:val="7A79CCA9"/>
    <w:rsid w:val="7AAB611D"/>
    <w:rsid w:val="7AB070AA"/>
    <w:rsid w:val="7B0F25F2"/>
    <w:rsid w:val="7B50CC07"/>
    <w:rsid w:val="7B99679A"/>
    <w:rsid w:val="7BB949C2"/>
    <w:rsid w:val="7BEDA427"/>
    <w:rsid w:val="7BFB6AF4"/>
    <w:rsid w:val="7C4CBBEE"/>
    <w:rsid w:val="7C8F0A3D"/>
    <w:rsid w:val="7C9404A5"/>
    <w:rsid w:val="7CA0CBFD"/>
    <w:rsid w:val="7CA313CA"/>
    <w:rsid w:val="7CDAA549"/>
    <w:rsid w:val="7CEDF05C"/>
    <w:rsid w:val="7D0325FC"/>
    <w:rsid w:val="7D1B8369"/>
    <w:rsid w:val="7DA18F92"/>
    <w:rsid w:val="7DC4910D"/>
    <w:rsid w:val="7DC94294"/>
    <w:rsid w:val="7DDF8123"/>
    <w:rsid w:val="7DF1A692"/>
    <w:rsid w:val="7E14C19F"/>
    <w:rsid w:val="7E18CB7C"/>
    <w:rsid w:val="7E4127C0"/>
    <w:rsid w:val="7E427E17"/>
    <w:rsid w:val="7E924BD2"/>
    <w:rsid w:val="7EECFFFE"/>
    <w:rsid w:val="7EEF52CA"/>
    <w:rsid w:val="7F1FFEB4"/>
    <w:rsid w:val="7F82EAE1"/>
    <w:rsid w:val="7F87002B"/>
    <w:rsid w:val="7F89E0FE"/>
    <w:rsid w:val="7F94F1D4"/>
    <w:rsid w:val="7FA1AF2F"/>
    <w:rsid w:val="7FA7E21E"/>
    <w:rsid w:val="7FB1098B"/>
    <w:rsid w:val="7FC8715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9435B3"/>
  <w15:chartTrackingRefBased/>
  <w15:docId w15:val="{DD0A00D4-2F2E-4A3B-9E1B-F4AE35031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68C"/>
    <w:pPr>
      <w:spacing w:after="200" w:line="276" w:lineRule="auto"/>
    </w:pPr>
    <w:rPr>
      <w:rFonts w:ascii="Calibri" w:eastAsia="Calibri" w:hAnsi="Calibri" w:cs="Times New Roman"/>
    </w:rPr>
  </w:style>
  <w:style w:type="paragraph" w:styleId="Heading1">
    <w:name w:val="heading 1"/>
    <w:basedOn w:val="Heading10"/>
    <w:next w:val="Normal"/>
    <w:link w:val="Heading1Char"/>
    <w:uiPriority w:val="9"/>
    <w:qFormat/>
    <w:rsid w:val="008C4B3C"/>
    <w:pPr>
      <w:spacing w:before="1000"/>
      <w:jc w:val="center"/>
      <w:outlineLvl w:val="0"/>
    </w:pPr>
    <w:rPr>
      <w:sz w:val="72"/>
      <w:szCs w:val="72"/>
    </w:rPr>
  </w:style>
  <w:style w:type="paragraph" w:styleId="Heading2">
    <w:name w:val="heading 2"/>
    <w:basedOn w:val="Normal"/>
    <w:next w:val="Normal"/>
    <w:link w:val="Heading2Char"/>
    <w:uiPriority w:val="9"/>
    <w:unhideWhenUsed/>
    <w:qFormat/>
    <w:rsid w:val="004C7458"/>
    <w:pPr>
      <w:keepNext/>
      <w:keepLines/>
      <w:tabs>
        <w:tab w:val="left" w:pos="1701"/>
      </w:tabs>
      <w:spacing w:before="360" w:after="120" w:line="240" w:lineRule="auto"/>
      <w:outlineLvl w:val="1"/>
    </w:pPr>
    <w:rPr>
      <w:rFonts w:ascii="Franklin Gothic Medium" w:eastAsiaTheme="majorEastAsia" w:hAnsi="Franklin Gothic Medium" w:cstheme="majorBidi"/>
      <w:color w:val="000000" w:themeColor="text1"/>
      <w:sz w:val="32"/>
      <w:szCs w:val="26"/>
    </w:rPr>
  </w:style>
  <w:style w:type="paragraph" w:styleId="Heading3">
    <w:name w:val="heading 3"/>
    <w:basedOn w:val="Heading2"/>
    <w:next w:val="Normal"/>
    <w:link w:val="Heading3Char"/>
    <w:uiPriority w:val="9"/>
    <w:unhideWhenUsed/>
    <w:qFormat/>
    <w:rsid w:val="00713728"/>
    <w:pPr>
      <w:tabs>
        <w:tab w:val="clear" w:pos="1701"/>
      </w:tabs>
      <w:spacing w:line="276" w:lineRule="auto"/>
      <w:outlineLvl w:val="2"/>
    </w:pPr>
    <w:rPr>
      <w:rFonts w:ascii="Calibri" w:eastAsia="MS Gothic" w:hAnsi="Calibri" w:cs="Times New Roman"/>
      <w:b/>
      <w:bCs/>
      <w:i/>
      <w:color w:val="auto"/>
      <w:sz w:val="24"/>
      <w:szCs w:val="24"/>
    </w:rPr>
  </w:style>
  <w:style w:type="paragraph" w:styleId="Heading4">
    <w:name w:val="heading 4"/>
    <w:basedOn w:val="Normal"/>
    <w:next w:val="Normal"/>
    <w:link w:val="Heading4Char"/>
    <w:uiPriority w:val="9"/>
    <w:unhideWhenUsed/>
    <w:qFormat/>
    <w:rsid w:val="00E2287D"/>
    <w:pPr>
      <w:keepNext/>
      <w:keepLines/>
      <w:spacing w:before="40" w:after="0"/>
      <w:outlineLvl w:val="3"/>
    </w:pPr>
    <w:rPr>
      <w:rFonts w:asciiTheme="majorHAnsi" w:eastAsiaTheme="majorEastAsia" w:hAnsiTheme="majorHAnsi" w:cstheme="majorBidi"/>
      <w:i/>
      <w:iCs/>
      <w:color w:val="002060"/>
    </w:rPr>
  </w:style>
  <w:style w:type="paragraph" w:styleId="Heading5">
    <w:name w:val="heading 5"/>
    <w:basedOn w:val="Normal"/>
    <w:next w:val="Normal"/>
    <w:link w:val="Heading5Char"/>
    <w:uiPriority w:val="9"/>
    <w:unhideWhenUsed/>
    <w:qFormat/>
    <w:rsid w:val="00832E4D"/>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78E7"/>
    <w:rPr>
      <w:rFonts w:ascii="Times New Roman" w:hAnsi="Times New Roman" w:cs="Times New Roman" w:hint="default"/>
      <w:color w:val="0000FF"/>
      <w:u w:val="single"/>
    </w:rPr>
  </w:style>
  <w:style w:type="paragraph" w:customStyle="1" w:styleId="Heading10">
    <w:name w:val="Heading1"/>
    <w:rsid w:val="006478E7"/>
    <w:pPr>
      <w:spacing w:after="200" w:line="240" w:lineRule="auto"/>
    </w:pPr>
    <w:rPr>
      <w:rFonts w:ascii="Calibri" w:eastAsia="Calibri" w:hAnsi="Calibri" w:cs="Calibri"/>
      <w:b/>
      <w:bCs/>
      <w:color w:val="000000"/>
      <w:sz w:val="36"/>
      <w:szCs w:val="36"/>
      <w:u w:color="000000"/>
      <w:lang w:val="en-US" w:eastAsia="en-AU"/>
    </w:rPr>
  </w:style>
  <w:style w:type="character" w:customStyle="1" w:styleId="Heading2Char">
    <w:name w:val="Heading 2 Char"/>
    <w:basedOn w:val="DefaultParagraphFont"/>
    <w:link w:val="Heading2"/>
    <w:uiPriority w:val="9"/>
    <w:rsid w:val="004C7458"/>
    <w:rPr>
      <w:rFonts w:ascii="Franklin Gothic Medium" w:eastAsiaTheme="majorEastAsia" w:hAnsi="Franklin Gothic Medium" w:cstheme="majorBidi"/>
      <w:color w:val="000000" w:themeColor="text1"/>
      <w:sz w:val="32"/>
      <w:szCs w:val="26"/>
    </w:rPr>
  </w:style>
  <w:style w:type="table" w:customStyle="1" w:styleId="TableGrid1">
    <w:name w:val="Table Grid1"/>
    <w:basedOn w:val="TableNormal"/>
    <w:uiPriority w:val="59"/>
    <w:rsid w:val="006478E7"/>
    <w:pPr>
      <w:spacing w:after="240" w:line="240" w:lineRule="auto"/>
      <w:ind w:left="72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6478E7"/>
    <w:pPr>
      <w:ind w:left="720"/>
      <w:contextualSpacing/>
    </w:pPr>
  </w:style>
  <w:style w:type="table" w:styleId="TableGrid">
    <w:name w:val="Table Grid"/>
    <w:aliases w:val="Summary box,Table Gridbeth,RTI AMCP Table,new style,ASD Table,HealthConsult"/>
    <w:basedOn w:val="TableNormal"/>
    <w:uiPriority w:val="59"/>
    <w:rsid w:val="002F3E40"/>
    <w:pPr>
      <w:spacing w:after="0" w:line="240" w:lineRule="auto"/>
    </w:pPr>
    <w:rPr>
      <w:rFonts w:ascii="Times New Roman" w:hAnsi="Times New Roman"/>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E01349"/>
    <w:pPr>
      <w:keepNext/>
      <w:spacing w:before="360" w:after="120" w:line="240" w:lineRule="auto"/>
      <w:ind w:left="709" w:hanging="709"/>
    </w:pPr>
    <w:rPr>
      <w:rFonts w:ascii="Arial Narrow" w:eastAsia="Times New Roman" w:hAnsi="Arial Narrow" w:cs="Tahoma"/>
      <w:b/>
      <w:sz w:val="20"/>
      <w:szCs w:val="20"/>
      <w:lang w:val="en-GB" w:eastAsia="ja-JP"/>
    </w:rPr>
  </w:style>
  <w:style w:type="paragraph" w:customStyle="1" w:styleId="TableHeading">
    <w:name w:val="TableHeading"/>
    <w:basedOn w:val="Normal"/>
    <w:link w:val="TableHeadingChar"/>
    <w:qFormat/>
    <w:rsid w:val="000939E0"/>
    <w:pPr>
      <w:keepNext/>
      <w:spacing w:before="40" w:after="40" w:line="240" w:lineRule="auto"/>
    </w:pPr>
    <w:rPr>
      <w:rFonts w:ascii="Arial Narrow" w:eastAsia="Times New Roman" w:hAnsi="Arial Narrow" w:cs="Tahoma"/>
      <w:b/>
      <w:sz w:val="20"/>
      <w:szCs w:val="20"/>
      <w:lang w:eastAsia="en-AU"/>
    </w:rPr>
  </w:style>
  <w:style w:type="character" w:customStyle="1" w:styleId="TableHeadingChar">
    <w:name w:val="TableHeading Char"/>
    <w:link w:val="TableHeading"/>
    <w:rsid w:val="000939E0"/>
    <w:rPr>
      <w:rFonts w:ascii="Arial Narrow" w:eastAsia="Times New Roman" w:hAnsi="Arial Narrow" w:cs="Tahoma"/>
      <w:b/>
      <w:sz w:val="20"/>
      <w:szCs w:val="20"/>
      <w:lang w:eastAsia="en-AU"/>
    </w:rPr>
  </w:style>
  <w:style w:type="paragraph" w:customStyle="1" w:styleId="Tabletext">
    <w:name w:val="Table text"/>
    <w:basedOn w:val="Normal"/>
    <w:link w:val="TabletextChar"/>
    <w:qFormat/>
    <w:rsid w:val="000939E0"/>
    <w:pPr>
      <w:spacing w:before="40" w:after="40" w:line="240" w:lineRule="auto"/>
    </w:pPr>
    <w:rPr>
      <w:rFonts w:ascii="Arial Narrow" w:eastAsia="Times New Roman" w:hAnsi="Arial Narrow" w:cs="Tahoma"/>
      <w:sz w:val="20"/>
      <w:szCs w:val="20"/>
      <w:lang w:eastAsia="en-AU"/>
    </w:rPr>
  </w:style>
  <w:style w:type="character" w:customStyle="1" w:styleId="TabletextChar">
    <w:name w:val="Table text Char"/>
    <w:link w:val="Tabletext"/>
    <w:rsid w:val="000939E0"/>
    <w:rPr>
      <w:rFonts w:ascii="Arial Narrow" w:eastAsia="Times New Roman" w:hAnsi="Arial Narrow" w:cs="Tahoma"/>
      <w:sz w:val="20"/>
      <w:szCs w:val="20"/>
      <w:lang w:eastAsia="en-AU"/>
    </w:rPr>
  </w:style>
  <w:style w:type="paragraph" w:customStyle="1" w:styleId="Tablenotes">
    <w:name w:val="Tablenotes"/>
    <w:basedOn w:val="Normal"/>
    <w:link w:val="TablenotesChar"/>
    <w:qFormat/>
    <w:rsid w:val="000939E0"/>
    <w:pPr>
      <w:widowControl w:val="0"/>
      <w:spacing w:after="120" w:line="240" w:lineRule="auto"/>
      <w:jc w:val="both"/>
    </w:pPr>
    <w:rPr>
      <w:rFonts w:ascii="Arial Narrow" w:eastAsia="Times New Roman" w:hAnsi="Arial Narrow" w:cs="Arial"/>
      <w:snapToGrid w:val="0"/>
      <w:sz w:val="18"/>
      <w:szCs w:val="20"/>
    </w:rPr>
  </w:style>
  <w:style w:type="character" w:customStyle="1" w:styleId="TablenotesChar">
    <w:name w:val="Tablenotes Char"/>
    <w:basedOn w:val="DefaultParagraphFont"/>
    <w:link w:val="Tablenotes"/>
    <w:rsid w:val="000939E0"/>
    <w:rPr>
      <w:rFonts w:ascii="Arial Narrow" w:eastAsia="Times New Roman" w:hAnsi="Arial Narrow" w:cs="Arial"/>
      <w:snapToGrid w:val="0"/>
      <w:sz w:val="18"/>
      <w:szCs w:val="20"/>
    </w:rPr>
  </w:style>
  <w:style w:type="paragraph" w:customStyle="1" w:styleId="TableName">
    <w:name w:val="TableName"/>
    <w:basedOn w:val="Normal"/>
    <w:qFormat/>
    <w:rsid w:val="00891488"/>
    <w:pPr>
      <w:keepNext/>
      <w:spacing w:after="240" w:line="240" w:lineRule="auto"/>
      <w:ind w:left="1134" w:hanging="1134"/>
    </w:pPr>
    <w:rPr>
      <w:rFonts w:ascii="Franklin Gothic Medium" w:eastAsiaTheme="minorHAnsi" w:hAnsi="Franklin Gothic Medium" w:cstheme="minorBidi"/>
    </w:rPr>
  </w:style>
  <w:style w:type="character" w:customStyle="1" w:styleId="ListParagraphChar">
    <w:name w:val="List Paragraph Char"/>
    <w:basedOn w:val="DefaultParagraphFont"/>
    <w:link w:val="ListParagraph"/>
    <w:uiPriority w:val="34"/>
    <w:rsid w:val="00D867D5"/>
    <w:rPr>
      <w:rFonts w:ascii="Calibri" w:eastAsia="Calibri" w:hAnsi="Calibri" w:cs="Times New Roman"/>
    </w:rPr>
  </w:style>
  <w:style w:type="paragraph" w:styleId="Header">
    <w:name w:val="header"/>
    <w:basedOn w:val="Normal"/>
    <w:link w:val="HeaderChar"/>
    <w:uiPriority w:val="99"/>
    <w:unhideWhenUsed/>
    <w:rsid w:val="001631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315C"/>
    <w:rPr>
      <w:rFonts w:ascii="Calibri" w:eastAsia="Calibri" w:hAnsi="Calibri" w:cs="Times New Roman"/>
    </w:rPr>
  </w:style>
  <w:style w:type="paragraph" w:styleId="Footer">
    <w:name w:val="footer"/>
    <w:basedOn w:val="Normal"/>
    <w:link w:val="FooterChar"/>
    <w:uiPriority w:val="99"/>
    <w:unhideWhenUsed/>
    <w:rsid w:val="001631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315C"/>
    <w:rPr>
      <w:rFonts w:ascii="Calibri" w:eastAsia="Calibri" w:hAnsi="Calibri" w:cs="Times New Roman"/>
    </w:rPr>
  </w:style>
  <w:style w:type="paragraph" w:styleId="Subtitle">
    <w:name w:val="Subtitle"/>
    <w:basedOn w:val="Normal"/>
    <w:next w:val="Normal"/>
    <w:link w:val="SubtitleChar"/>
    <w:uiPriority w:val="11"/>
    <w:qFormat/>
    <w:rsid w:val="006F01C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F01C4"/>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A331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3126"/>
    <w:rPr>
      <w:rFonts w:ascii="Segoe UI" w:eastAsia="Calibri" w:hAnsi="Segoe UI" w:cs="Segoe UI"/>
      <w:sz w:val="18"/>
      <w:szCs w:val="18"/>
    </w:rPr>
  </w:style>
  <w:style w:type="character" w:styleId="CommentReference">
    <w:name w:val="annotation reference"/>
    <w:aliases w:val="Table Title"/>
    <w:basedOn w:val="DefaultParagraphFont"/>
    <w:uiPriority w:val="99"/>
    <w:unhideWhenUsed/>
    <w:qFormat/>
    <w:rsid w:val="00D84E12"/>
    <w:rPr>
      <w:sz w:val="16"/>
      <w:szCs w:val="16"/>
    </w:rPr>
  </w:style>
  <w:style w:type="paragraph" w:styleId="CommentText">
    <w:name w:val="annotation text"/>
    <w:basedOn w:val="Normal"/>
    <w:link w:val="CommentTextChar"/>
    <w:uiPriority w:val="99"/>
    <w:unhideWhenUsed/>
    <w:rsid w:val="00D84E12"/>
    <w:pPr>
      <w:spacing w:line="240" w:lineRule="auto"/>
    </w:pPr>
    <w:rPr>
      <w:sz w:val="20"/>
      <w:szCs w:val="20"/>
    </w:rPr>
  </w:style>
  <w:style w:type="character" w:customStyle="1" w:styleId="CommentTextChar">
    <w:name w:val="Comment Text Char"/>
    <w:basedOn w:val="DefaultParagraphFont"/>
    <w:link w:val="CommentText"/>
    <w:uiPriority w:val="99"/>
    <w:rsid w:val="00D84E1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84E12"/>
    <w:rPr>
      <w:b/>
      <w:bCs/>
    </w:rPr>
  </w:style>
  <w:style w:type="character" w:customStyle="1" w:styleId="CommentSubjectChar">
    <w:name w:val="Comment Subject Char"/>
    <w:basedOn w:val="CommentTextChar"/>
    <w:link w:val="CommentSubject"/>
    <w:uiPriority w:val="99"/>
    <w:semiHidden/>
    <w:rsid w:val="00D84E12"/>
    <w:rPr>
      <w:rFonts w:ascii="Calibri" w:eastAsia="Calibri" w:hAnsi="Calibri" w:cs="Times New Roman"/>
      <w:b/>
      <w:bCs/>
      <w:sz w:val="20"/>
      <w:szCs w:val="20"/>
    </w:rPr>
  </w:style>
  <w:style w:type="character" w:styleId="FollowedHyperlink">
    <w:name w:val="FollowedHyperlink"/>
    <w:basedOn w:val="DefaultParagraphFont"/>
    <w:uiPriority w:val="99"/>
    <w:semiHidden/>
    <w:unhideWhenUsed/>
    <w:rsid w:val="008C4B3C"/>
    <w:rPr>
      <w:color w:val="954F72" w:themeColor="followedHyperlink"/>
      <w:u w:val="single"/>
    </w:rPr>
  </w:style>
  <w:style w:type="character" w:customStyle="1" w:styleId="Heading1Char">
    <w:name w:val="Heading 1 Char"/>
    <w:basedOn w:val="DefaultParagraphFont"/>
    <w:link w:val="Heading1"/>
    <w:uiPriority w:val="9"/>
    <w:rsid w:val="008C4B3C"/>
    <w:rPr>
      <w:rFonts w:ascii="Calibri" w:eastAsia="Calibri" w:hAnsi="Calibri" w:cs="Calibri"/>
      <w:b/>
      <w:bCs/>
      <w:color w:val="000000"/>
      <w:sz w:val="72"/>
      <w:szCs w:val="72"/>
      <w:u w:color="000000"/>
      <w:lang w:val="en-US" w:eastAsia="en-AU"/>
    </w:rPr>
  </w:style>
  <w:style w:type="paragraph" w:customStyle="1" w:styleId="Instructionaltext">
    <w:name w:val="Instructional text"/>
    <w:basedOn w:val="Normal"/>
    <w:link w:val="InstructionaltextChar"/>
    <w:qFormat/>
    <w:rsid w:val="006A467F"/>
    <w:pPr>
      <w:spacing w:before="120" w:after="160" w:line="259" w:lineRule="auto"/>
    </w:pPr>
    <w:rPr>
      <w:rFonts w:eastAsiaTheme="minorHAnsi" w:cstheme="minorBidi"/>
      <w:color w:val="258221"/>
    </w:rPr>
  </w:style>
  <w:style w:type="character" w:customStyle="1" w:styleId="InstructionaltextChar">
    <w:name w:val="Instructional text Char"/>
    <w:basedOn w:val="DefaultParagraphFont"/>
    <w:link w:val="Instructionaltext"/>
    <w:rsid w:val="006A467F"/>
    <w:rPr>
      <w:rFonts w:ascii="Calibri" w:hAnsi="Calibri"/>
      <w:color w:val="258221"/>
    </w:rPr>
  </w:style>
  <w:style w:type="character" w:customStyle="1" w:styleId="Heading3Char">
    <w:name w:val="Heading 3 Char"/>
    <w:basedOn w:val="DefaultParagraphFont"/>
    <w:link w:val="Heading3"/>
    <w:uiPriority w:val="9"/>
    <w:rsid w:val="00713728"/>
    <w:rPr>
      <w:rFonts w:ascii="Calibri" w:eastAsia="MS Gothic" w:hAnsi="Calibri" w:cs="Times New Roman"/>
      <w:b/>
      <w:bCs/>
      <w:i/>
      <w:sz w:val="24"/>
      <w:szCs w:val="24"/>
    </w:rPr>
  </w:style>
  <w:style w:type="paragraph" w:customStyle="1" w:styleId="Instructionaltext-bullet">
    <w:name w:val="Instructional text - bullet"/>
    <w:basedOn w:val="Instructionaltext"/>
    <w:qFormat/>
    <w:rsid w:val="006A467F"/>
    <w:pPr>
      <w:numPr>
        <w:numId w:val="1"/>
      </w:numPr>
      <w:spacing w:before="0" w:after="0"/>
    </w:pPr>
  </w:style>
  <w:style w:type="paragraph" w:customStyle="1" w:styleId="Guidelinescross-ref">
    <w:name w:val="Guidelines cross-ref"/>
    <w:basedOn w:val="Normal"/>
    <w:qFormat/>
    <w:rsid w:val="00E01349"/>
    <w:pPr>
      <w:keepNext/>
      <w:spacing w:before="240" w:after="240" w:line="259" w:lineRule="auto"/>
    </w:pPr>
    <w:rPr>
      <w:rFonts w:eastAsiaTheme="minorHAnsi" w:cstheme="minorBidi"/>
      <w:b/>
      <w:color w:val="0070C0"/>
      <w:sz w:val="24"/>
    </w:rPr>
  </w:style>
  <w:style w:type="paragraph" w:customStyle="1" w:styleId="Instructionaltext-afterfiguretable">
    <w:name w:val="Instructional text - after figure/table"/>
    <w:basedOn w:val="Instructionaltext"/>
    <w:qFormat/>
    <w:rsid w:val="00E01349"/>
    <w:pPr>
      <w:spacing w:before="360"/>
    </w:pPr>
  </w:style>
  <w:style w:type="paragraph" w:styleId="Revision">
    <w:name w:val="Revision"/>
    <w:hidden/>
    <w:uiPriority w:val="99"/>
    <w:semiHidden/>
    <w:rsid w:val="004E3ABF"/>
    <w:pPr>
      <w:spacing w:after="0" w:line="240" w:lineRule="auto"/>
    </w:pPr>
    <w:rPr>
      <w:rFonts w:ascii="Calibri" w:eastAsia="Calibri" w:hAnsi="Calibri" w:cs="Times New Roman"/>
    </w:rPr>
  </w:style>
  <w:style w:type="paragraph" w:customStyle="1" w:styleId="TableText0">
    <w:name w:val="Table Text"/>
    <w:basedOn w:val="Normal"/>
    <w:link w:val="TableTextChar0"/>
    <w:qFormat/>
    <w:rsid w:val="000D1FCF"/>
    <w:pPr>
      <w:spacing w:before="40" w:after="40" w:line="240" w:lineRule="auto"/>
    </w:pPr>
    <w:rPr>
      <w:rFonts w:ascii="Arial Narrow" w:eastAsiaTheme="minorHAnsi" w:hAnsi="Arial Narrow" w:cstheme="minorBidi"/>
      <w:sz w:val="20"/>
    </w:rPr>
  </w:style>
  <w:style w:type="character" w:customStyle="1" w:styleId="TableTextChar0">
    <w:name w:val="Table Text Char"/>
    <w:basedOn w:val="DefaultParagraphFont"/>
    <w:link w:val="TableText0"/>
    <w:rsid w:val="000D1FCF"/>
    <w:rPr>
      <w:rFonts w:ascii="Arial Narrow" w:hAnsi="Arial Narrow"/>
      <w:sz w:val="20"/>
    </w:rPr>
  </w:style>
  <w:style w:type="character" w:styleId="PageNumber">
    <w:name w:val="page number"/>
    <w:basedOn w:val="DefaultParagraphFont"/>
    <w:uiPriority w:val="99"/>
    <w:semiHidden/>
    <w:unhideWhenUsed/>
    <w:rsid w:val="00685355"/>
  </w:style>
  <w:style w:type="character" w:styleId="UnresolvedMention">
    <w:name w:val="Unresolved Mention"/>
    <w:basedOn w:val="DefaultParagraphFont"/>
    <w:uiPriority w:val="99"/>
    <w:unhideWhenUsed/>
    <w:rsid w:val="00BB0FFB"/>
    <w:rPr>
      <w:color w:val="605E5C"/>
      <w:shd w:val="clear" w:color="auto" w:fill="E1DFDD"/>
    </w:rPr>
  </w:style>
  <w:style w:type="table" w:customStyle="1" w:styleId="TableGrid11">
    <w:name w:val="Table Grid11"/>
    <w:basedOn w:val="TableNormal"/>
    <w:uiPriority w:val="59"/>
    <w:rsid w:val="00E03083"/>
    <w:pPr>
      <w:spacing w:after="240" w:line="240" w:lineRule="auto"/>
      <w:ind w:left="720" w:hanging="36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807730"/>
    <w:rPr>
      <w:color w:val="2B579A"/>
      <w:shd w:val="clear" w:color="auto" w:fill="E1DFDD"/>
    </w:rPr>
  </w:style>
  <w:style w:type="character" w:customStyle="1" w:styleId="Heading4Char">
    <w:name w:val="Heading 4 Char"/>
    <w:basedOn w:val="DefaultParagraphFont"/>
    <w:link w:val="Heading4"/>
    <w:uiPriority w:val="9"/>
    <w:rsid w:val="00E2287D"/>
    <w:rPr>
      <w:rFonts w:asciiTheme="majorHAnsi" w:eastAsiaTheme="majorEastAsia" w:hAnsiTheme="majorHAnsi" w:cstheme="majorBidi"/>
      <w:i/>
      <w:iCs/>
      <w:color w:val="002060"/>
    </w:rPr>
  </w:style>
  <w:style w:type="character" w:customStyle="1" w:styleId="Heading5Char">
    <w:name w:val="Heading 5 Char"/>
    <w:basedOn w:val="DefaultParagraphFont"/>
    <w:link w:val="Heading5"/>
    <w:uiPriority w:val="9"/>
    <w:rsid w:val="00832E4D"/>
    <w:rPr>
      <w:rFonts w:asciiTheme="majorHAnsi" w:eastAsiaTheme="majorEastAsia" w:hAnsiTheme="majorHAnsi" w:cstheme="majorBidi"/>
      <w:color w:val="2E74B5" w:themeColor="accent1" w:themeShade="BF"/>
    </w:rPr>
  </w:style>
  <w:style w:type="character" w:customStyle="1" w:styleId="normaltextrun">
    <w:name w:val="normaltextrun"/>
    <w:basedOn w:val="DefaultParagraphFont"/>
    <w:rsid w:val="0001033D"/>
  </w:style>
  <w:style w:type="character" w:customStyle="1" w:styleId="eop">
    <w:name w:val="eop"/>
    <w:basedOn w:val="DefaultParagraphFont"/>
    <w:rsid w:val="0001033D"/>
  </w:style>
  <w:style w:type="paragraph" w:styleId="FootnoteText">
    <w:name w:val="footnote text"/>
    <w:basedOn w:val="Normal"/>
    <w:link w:val="FootnoteTextChar"/>
    <w:uiPriority w:val="99"/>
    <w:semiHidden/>
    <w:unhideWhenUsed/>
    <w:rsid w:val="00B534A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34A0"/>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B534A0"/>
    <w:rPr>
      <w:vertAlign w:val="superscript"/>
    </w:rPr>
  </w:style>
  <w:style w:type="paragraph" w:styleId="Bibliography">
    <w:name w:val="Bibliography"/>
    <w:basedOn w:val="Normal"/>
    <w:next w:val="Normal"/>
    <w:uiPriority w:val="37"/>
    <w:unhideWhenUsed/>
    <w:rsid w:val="00786FA1"/>
    <w:pPr>
      <w:spacing w:after="240" w:line="240" w:lineRule="auto"/>
    </w:pPr>
  </w:style>
  <w:style w:type="paragraph" w:customStyle="1" w:styleId="Default">
    <w:name w:val="Default"/>
    <w:rsid w:val="00562F62"/>
    <w:pPr>
      <w:autoSpaceDE w:val="0"/>
      <w:autoSpaceDN w:val="0"/>
      <w:adjustRightInd w:val="0"/>
      <w:spacing w:after="0" w:line="240" w:lineRule="auto"/>
    </w:pPr>
    <w:rPr>
      <w:rFonts w:ascii="Calibri" w:hAnsi="Calibri" w:cs="Calibri"/>
      <w:color w:val="000000"/>
      <w:sz w:val="24"/>
      <w:szCs w:val="24"/>
    </w:rPr>
  </w:style>
  <w:style w:type="table" w:customStyle="1" w:styleId="HealthConsult1">
    <w:name w:val="HealthConsult1"/>
    <w:basedOn w:val="TableNormal"/>
    <w:next w:val="TableGrid"/>
    <w:uiPriority w:val="59"/>
    <w:rsid w:val="00105946"/>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5946">
      <w:bodyDiv w:val="1"/>
      <w:marLeft w:val="0"/>
      <w:marRight w:val="0"/>
      <w:marTop w:val="0"/>
      <w:marBottom w:val="0"/>
      <w:divBdr>
        <w:top w:val="none" w:sz="0" w:space="0" w:color="auto"/>
        <w:left w:val="none" w:sz="0" w:space="0" w:color="auto"/>
        <w:bottom w:val="none" w:sz="0" w:space="0" w:color="auto"/>
        <w:right w:val="none" w:sz="0" w:space="0" w:color="auto"/>
      </w:divBdr>
      <w:divsChild>
        <w:div w:id="10374553">
          <w:marLeft w:val="0"/>
          <w:marRight w:val="0"/>
          <w:marTop w:val="0"/>
          <w:marBottom w:val="0"/>
          <w:divBdr>
            <w:top w:val="none" w:sz="0" w:space="0" w:color="auto"/>
            <w:left w:val="none" w:sz="0" w:space="0" w:color="auto"/>
            <w:bottom w:val="none" w:sz="0" w:space="0" w:color="auto"/>
            <w:right w:val="none" w:sz="0" w:space="0" w:color="auto"/>
          </w:divBdr>
          <w:divsChild>
            <w:div w:id="1975138932">
              <w:marLeft w:val="0"/>
              <w:marRight w:val="0"/>
              <w:marTop w:val="0"/>
              <w:marBottom w:val="0"/>
              <w:divBdr>
                <w:top w:val="none" w:sz="0" w:space="0" w:color="auto"/>
                <w:left w:val="none" w:sz="0" w:space="0" w:color="auto"/>
                <w:bottom w:val="none" w:sz="0" w:space="0" w:color="auto"/>
                <w:right w:val="none" w:sz="0" w:space="0" w:color="auto"/>
              </w:divBdr>
            </w:div>
          </w:divsChild>
        </w:div>
        <w:div w:id="34744029">
          <w:marLeft w:val="0"/>
          <w:marRight w:val="0"/>
          <w:marTop w:val="0"/>
          <w:marBottom w:val="0"/>
          <w:divBdr>
            <w:top w:val="none" w:sz="0" w:space="0" w:color="auto"/>
            <w:left w:val="none" w:sz="0" w:space="0" w:color="auto"/>
            <w:bottom w:val="none" w:sz="0" w:space="0" w:color="auto"/>
            <w:right w:val="none" w:sz="0" w:space="0" w:color="auto"/>
          </w:divBdr>
          <w:divsChild>
            <w:div w:id="1278021580">
              <w:marLeft w:val="0"/>
              <w:marRight w:val="0"/>
              <w:marTop w:val="0"/>
              <w:marBottom w:val="0"/>
              <w:divBdr>
                <w:top w:val="none" w:sz="0" w:space="0" w:color="auto"/>
                <w:left w:val="none" w:sz="0" w:space="0" w:color="auto"/>
                <w:bottom w:val="none" w:sz="0" w:space="0" w:color="auto"/>
                <w:right w:val="none" w:sz="0" w:space="0" w:color="auto"/>
              </w:divBdr>
            </w:div>
          </w:divsChild>
        </w:div>
        <w:div w:id="52851167">
          <w:marLeft w:val="0"/>
          <w:marRight w:val="0"/>
          <w:marTop w:val="0"/>
          <w:marBottom w:val="0"/>
          <w:divBdr>
            <w:top w:val="none" w:sz="0" w:space="0" w:color="auto"/>
            <w:left w:val="none" w:sz="0" w:space="0" w:color="auto"/>
            <w:bottom w:val="none" w:sz="0" w:space="0" w:color="auto"/>
            <w:right w:val="none" w:sz="0" w:space="0" w:color="auto"/>
          </w:divBdr>
          <w:divsChild>
            <w:div w:id="1997757580">
              <w:marLeft w:val="0"/>
              <w:marRight w:val="0"/>
              <w:marTop w:val="0"/>
              <w:marBottom w:val="0"/>
              <w:divBdr>
                <w:top w:val="none" w:sz="0" w:space="0" w:color="auto"/>
                <w:left w:val="none" w:sz="0" w:space="0" w:color="auto"/>
                <w:bottom w:val="none" w:sz="0" w:space="0" w:color="auto"/>
                <w:right w:val="none" w:sz="0" w:space="0" w:color="auto"/>
              </w:divBdr>
            </w:div>
          </w:divsChild>
        </w:div>
        <w:div w:id="59865773">
          <w:marLeft w:val="0"/>
          <w:marRight w:val="0"/>
          <w:marTop w:val="0"/>
          <w:marBottom w:val="0"/>
          <w:divBdr>
            <w:top w:val="none" w:sz="0" w:space="0" w:color="auto"/>
            <w:left w:val="none" w:sz="0" w:space="0" w:color="auto"/>
            <w:bottom w:val="none" w:sz="0" w:space="0" w:color="auto"/>
            <w:right w:val="none" w:sz="0" w:space="0" w:color="auto"/>
          </w:divBdr>
          <w:divsChild>
            <w:div w:id="118107870">
              <w:marLeft w:val="0"/>
              <w:marRight w:val="0"/>
              <w:marTop w:val="0"/>
              <w:marBottom w:val="0"/>
              <w:divBdr>
                <w:top w:val="none" w:sz="0" w:space="0" w:color="auto"/>
                <w:left w:val="none" w:sz="0" w:space="0" w:color="auto"/>
                <w:bottom w:val="none" w:sz="0" w:space="0" w:color="auto"/>
                <w:right w:val="none" w:sz="0" w:space="0" w:color="auto"/>
              </w:divBdr>
            </w:div>
          </w:divsChild>
        </w:div>
        <w:div w:id="134760117">
          <w:marLeft w:val="0"/>
          <w:marRight w:val="0"/>
          <w:marTop w:val="0"/>
          <w:marBottom w:val="0"/>
          <w:divBdr>
            <w:top w:val="none" w:sz="0" w:space="0" w:color="auto"/>
            <w:left w:val="none" w:sz="0" w:space="0" w:color="auto"/>
            <w:bottom w:val="none" w:sz="0" w:space="0" w:color="auto"/>
            <w:right w:val="none" w:sz="0" w:space="0" w:color="auto"/>
          </w:divBdr>
          <w:divsChild>
            <w:div w:id="1111586407">
              <w:marLeft w:val="0"/>
              <w:marRight w:val="0"/>
              <w:marTop w:val="0"/>
              <w:marBottom w:val="0"/>
              <w:divBdr>
                <w:top w:val="none" w:sz="0" w:space="0" w:color="auto"/>
                <w:left w:val="none" w:sz="0" w:space="0" w:color="auto"/>
                <w:bottom w:val="none" w:sz="0" w:space="0" w:color="auto"/>
                <w:right w:val="none" w:sz="0" w:space="0" w:color="auto"/>
              </w:divBdr>
            </w:div>
          </w:divsChild>
        </w:div>
        <w:div w:id="187838386">
          <w:marLeft w:val="0"/>
          <w:marRight w:val="0"/>
          <w:marTop w:val="0"/>
          <w:marBottom w:val="0"/>
          <w:divBdr>
            <w:top w:val="none" w:sz="0" w:space="0" w:color="auto"/>
            <w:left w:val="none" w:sz="0" w:space="0" w:color="auto"/>
            <w:bottom w:val="none" w:sz="0" w:space="0" w:color="auto"/>
            <w:right w:val="none" w:sz="0" w:space="0" w:color="auto"/>
          </w:divBdr>
          <w:divsChild>
            <w:div w:id="1733307218">
              <w:marLeft w:val="0"/>
              <w:marRight w:val="0"/>
              <w:marTop w:val="0"/>
              <w:marBottom w:val="0"/>
              <w:divBdr>
                <w:top w:val="none" w:sz="0" w:space="0" w:color="auto"/>
                <w:left w:val="none" w:sz="0" w:space="0" w:color="auto"/>
                <w:bottom w:val="none" w:sz="0" w:space="0" w:color="auto"/>
                <w:right w:val="none" w:sz="0" w:space="0" w:color="auto"/>
              </w:divBdr>
            </w:div>
          </w:divsChild>
        </w:div>
        <w:div w:id="217934291">
          <w:marLeft w:val="0"/>
          <w:marRight w:val="0"/>
          <w:marTop w:val="0"/>
          <w:marBottom w:val="0"/>
          <w:divBdr>
            <w:top w:val="none" w:sz="0" w:space="0" w:color="auto"/>
            <w:left w:val="none" w:sz="0" w:space="0" w:color="auto"/>
            <w:bottom w:val="none" w:sz="0" w:space="0" w:color="auto"/>
            <w:right w:val="none" w:sz="0" w:space="0" w:color="auto"/>
          </w:divBdr>
          <w:divsChild>
            <w:div w:id="289479302">
              <w:marLeft w:val="0"/>
              <w:marRight w:val="0"/>
              <w:marTop w:val="0"/>
              <w:marBottom w:val="0"/>
              <w:divBdr>
                <w:top w:val="none" w:sz="0" w:space="0" w:color="auto"/>
                <w:left w:val="none" w:sz="0" w:space="0" w:color="auto"/>
                <w:bottom w:val="none" w:sz="0" w:space="0" w:color="auto"/>
                <w:right w:val="none" w:sz="0" w:space="0" w:color="auto"/>
              </w:divBdr>
            </w:div>
          </w:divsChild>
        </w:div>
        <w:div w:id="231620480">
          <w:marLeft w:val="0"/>
          <w:marRight w:val="0"/>
          <w:marTop w:val="0"/>
          <w:marBottom w:val="0"/>
          <w:divBdr>
            <w:top w:val="none" w:sz="0" w:space="0" w:color="auto"/>
            <w:left w:val="none" w:sz="0" w:space="0" w:color="auto"/>
            <w:bottom w:val="none" w:sz="0" w:space="0" w:color="auto"/>
            <w:right w:val="none" w:sz="0" w:space="0" w:color="auto"/>
          </w:divBdr>
          <w:divsChild>
            <w:div w:id="976103811">
              <w:marLeft w:val="0"/>
              <w:marRight w:val="0"/>
              <w:marTop w:val="0"/>
              <w:marBottom w:val="0"/>
              <w:divBdr>
                <w:top w:val="none" w:sz="0" w:space="0" w:color="auto"/>
                <w:left w:val="none" w:sz="0" w:space="0" w:color="auto"/>
                <w:bottom w:val="none" w:sz="0" w:space="0" w:color="auto"/>
                <w:right w:val="none" w:sz="0" w:space="0" w:color="auto"/>
              </w:divBdr>
            </w:div>
          </w:divsChild>
        </w:div>
        <w:div w:id="235366244">
          <w:marLeft w:val="0"/>
          <w:marRight w:val="0"/>
          <w:marTop w:val="0"/>
          <w:marBottom w:val="0"/>
          <w:divBdr>
            <w:top w:val="none" w:sz="0" w:space="0" w:color="auto"/>
            <w:left w:val="none" w:sz="0" w:space="0" w:color="auto"/>
            <w:bottom w:val="none" w:sz="0" w:space="0" w:color="auto"/>
            <w:right w:val="none" w:sz="0" w:space="0" w:color="auto"/>
          </w:divBdr>
          <w:divsChild>
            <w:div w:id="1314140013">
              <w:marLeft w:val="0"/>
              <w:marRight w:val="0"/>
              <w:marTop w:val="0"/>
              <w:marBottom w:val="0"/>
              <w:divBdr>
                <w:top w:val="none" w:sz="0" w:space="0" w:color="auto"/>
                <w:left w:val="none" w:sz="0" w:space="0" w:color="auto"/>
                <w:bottom w:val="none" w:sz="0" w:space="0" w:color="auto"/>
                <w:right w:val="none" w:sz="0" w:space="0" w:color="auto"/>
              </w:divBdr>
            </w:div>
          </w:divsChild>
        </w:div>
        <w:div w:id="240452438">
          <w:marLeft w:val="0"/>
          <w:marRight w:val="0"/>
          <w:marTop w:val="0"/>
          <w:marBottom w:val="0"/>
          <w:divBdr>
            <w:top w:val="none" w:sz="0" w:space="0" w:color="auto"/>
            <w:left w:val="none" w:sz="0" w:space="0" w:color="auto"/>
            <w:bottom w:val="none" w:sz="0" w:space="0" w:color="auto"/>
            <w:right w:val="none" w:sz="0" w:space="0" w:color="auto"/>
          </w:divBdr>
          <w:divsChild>
            <w:div w:id="301858936">
              <w:marLeft w:val="0"/>
              <w:marRight w:val="0"/>
              <w:marTop w:val="0"/>
              <w:marBottom w:val="0"/>
              <w:divBdr>
                <w:top w:val="none" w:sz="0" w:space="0" w:color="auto"/>
                <w:left w:val="none" w:sz="0" w:space="0" w:color="auto"/>
                <w:bottom w:val="none" w:sz="0" w:space="0" w:color="auto"/>
                <w:right w:val="none" w:sz="0" w:space="0" w:color="auto"/>
              </w:divBdr>
            </w:div>
          </w:divsChild>
        </w:div>
        <w:div w:id="304042690">
          <w:marLeft w:val="0"/>
          <w:marRight w:val="0"/>
          <w:marTop w:val="0"/>
          <w:marBottom w:val="0"/>
          <w:divBdr>
            <w:top w:val="none" w:sz="0" w:space="0" w:color="auto"/>
            <w:left w:val="none" w:sz="0" w:space="0" w:color="auto"/>
            <w:bottom w:val="none" w:sz="0" w:space="0" w:color="auto"/>
            <w:right w:val="none" w:sz="0" w:space="0" w:color="auto"/>
          </w:divBdr>
          <w:divsChild>
            <w:div w:id="2113623820">
              <w:marLeft w:val="0"/>
              <w:marRight w:val="0"/>
              <w:marTop w:val="0"/>
              <w:marBottom w:val="0"/>
              <w:divBdr>
                <w:top w:val="none" w:sz="0" w:space="0" w:color="auto"/>
                <w:left w:val="none" w:sz="0" w:space="0" w:color="auto"/>
                <w:bottom w:val="none" w:sz="0" w:space="0" w:color="auto"/>
                <w:right w:val="none" w:sz="0" w:space="0" w:color="auto"/>
              </w:divBdr>
            </w:div>
          </w:divsChild>
        </w:div>
        <w:div w:id="308831219">
          <w:marLeft w:val="0"/>
          <w:marRight w:val="0"/>
          <w:marTop w:val="0"/>
          <w:marBottom w:val="0"/>
          <w:divBdr>
            <w:top w:val="none" w:sz="0" w:space="0" w:color="auto"/>
            <w:left w:val="none" w:sz="0" w:space="0" w:color="auto"/>
            <w:bottom w:val="none" w:sz="0" w:space="0" w:color="auto"/>
            <w:right w:val="none" w:sz="0" w:space="0" w:color="auto"/>
          </w:divBdr>
          <w:divsChild>
            <w:div w:id="539778472">
              <w:marLeft w:val="0"/>
              <w:marRight w:val="0"/>
              <w:marTop w:val="0"/>
              <w:marBottom w:val="0"/>
              <w:divBdr>
                <w:top w:val="none" w:sz="0" w:space="0" w:color="auto"/>
                <w:left w:val="none" w:sz="0" w:space="0" w:color="auto"/>
                <w:bottom w:val="none" w:sz="0" w:space="0" w:color="auto"/>
                <w:right w:val="none" w:sz="0" w:space="0" w:color="auto"/>
              </w:divBdr>
            </w:div>
          </w:divsChild>
        </w:div>
        <w:div w:id="310212958">
          <w:marLeft w:val="0"/>
          <w:marRight w:val="0"/>
          <w:marTop w:val="0"/>
          <w:marBottom w:val="0"/>
          <w:divBdr>
            <w:top w:val="none" w:sz="0" w:space="0" w:color="auto"/>
            <w:left w:val="none" w:sz="0" w:space="0" w:color="auto"/>
            <w:bottom w:val="none" w:sz="0" w:space="0" w:color="auto"/>
            <w:right w:val="none" w:sz="0" w:space="0" w:color="auto"/>
          </w:divBdr>
          <w:divsChild>
            <w:div w:id="1785297265">
              <w:marLeft w:val="0"/>
              <w:marRight w:val="0"/>
              <w:marTop w:val="0"/>
              <w:marBottom w:val="0"/>
              <w:divBdr>
                <w:top w:val="none" w:sz="0" w:space="0" w:color="auto"/>
                <w:left w:val="none" w:sz="0" w:space="0" w:color="auto"/>
                <w:bottom w:val="none" w:sz="0" w:space="0" w:color="auto"/>
                <w:right w:val="none" w:sz="0" w:space="0" w:color="auto"/>
              </w:divBdr>
            </w:div>
          </w:divsChild>
        </w:div>
        <w:div w:id="319575299">
          <w:marLeft w:val="0"/>
          <w:marRight w:val="0"/>
          <w:marTop w:val="0"/>
          <w:marBottom w:val="0"/>
          <w:divBdr>
            <w:top w:val="none" w:sz="0" w:space="0" w:color="auto"/>
            <w:left w:val="none" w:sz="0" w:space="0" w:color="auto"/>
            <w:bottom w:val="none" w:sz="0" w:space="0" w:color="auto"/>
            <w:right w:val="none" w:sz="0" w:space="0" w:color="auto"/>
          </w:divBdr>
          <w:divsChild>
            <w:div w:id="778791497">
              <w:marLeft w:val="0"/>
              <w:marRight w:val="0"/>
              <w:marTop w:val="0"/>
              <w:marBottom w:val="0"/>
              <w:divBdr>
                <w:top w:val="none" w:sz="0" w:space="0" w:color="auto"/>
                <w:left w:val="none" w:sz="0" w:space="0" w:color="auto"/>
                <w:bottom w:val="none" w:sz="0" w:space="0" w:color="auto"/>
                <w:right w:val="none" w:sz="0" w:space="0" w:color="auto"/>
              </w:divBdr>
            </w:div>
          </w:divsChild>
        </w:div>
        <w:div w:id="321473234">
          <w:marLeft w:val="0"/>
          <w:marRight w:val="0"/>
          <w:marTop w:val="0"/>
          <w:marBottom w:val="0"/>
          <w:divBdr>
            <w:top w:val="none" w:sz="0" w:space="0" w:color="auto"/>
            <w:left w:val="none" w:sz="0" w:space="0" w:color="auto"/>
            <w:bottom w:val="none" w:sz="0" w:space="0" w:color="auto"/>
            <w:right w:val="none" w:sz="0" w:space="0" w:color="auto"/>
          </w:divBdr>
          <w:divsChild>
            <w:div w:id="1974365222">
              <w:marLeft w:val="0"/>
              <w:marRight w:val="0"/>
              <w:marTop w:val="0"/>
              <w:marBottom w:val="0"/>
              <w:divBdr>
                <w:top w:val="none" w:sz="0" w:space="0" w:color="auto"/>
                <w:left w:val="none" w:sz="0" w:space="0" w:color="auto"/>
                <w:bottom w:val="none" w:sz="0" w:space="0" w:color="auto"/>
                <w:right w:val="none" w:sz="0" w:space="0" w:color="auto"/>
              </w:divBdr>
            </w:div>
          </w:divsChild>
        </w:div>
        <w:div w:id="322052456">
          <w:marLeft w:val="0"/>
          <w:marRight w:val="0"/>
          <w:marTop w:val="0"/>
          <w:marBottom w:val="0"/>
          <w:divBdr>
            <w:top w:val="none" w:sz="0" w:space="0" w:color="auto"/>
            <w:left w:val="none" w:sz="0" w:space="0" w:color="auto"/>
            <w:bottom w:val="none" w:sz="0" w:space="0" w:color="auto"/>
            <w:right w:val="none" w:sz="0" w:space="0" w:color="auto"/>
          </w:divBdr>
          <w:divsChild>
            <w:div w:id="558128732">
              <w:marLeft w:val="0"/>
              <w:marRight w:val="0"/>
              <w:marTop w:val="0"/>
              <w:marBottom w:val="0"/>
              <w:divBdr>
                <w:top w:val="none" w:sz="0" w:space="0" w:color="auto"/>
                <w:left w:val="none" w:sz="0" w:space="0" w:color="auto"/>
                <w:bottom w:val="none" w:sz="0" w:space="0" w:color="auto"/>
                <w:right w:val="none" w:sz="0" w:space="0" w:color="auto"/>
              </w:divBdr>
            </w:div>
          </w:divsChild>
        </w:div>
        <w:div w:id="351928587">
          <w:marLeft w:val="0"/>
          <w:marRight w:val="0"/>
          <w:marTop w:val="0"/>
          <w:marBottom w:val="0"/>
          <w:divBdr>
            <w:top w:val="none" w:sz="0" w:space="0" w:color="auto"/>
            <w:left w:val="none" w:sz="0" w:space="0" w:color="auto"/>
            <w:bottom w:val="none" w:sz="0" w:space="0" w:color="auto"/>
            <w:right w:val="none" w:sz="0" w:space="0" w:color="auto"/>
          </w:divBdr>
          <w:divsChild>
            <w:div w:id="1982036751">
              <w:marLeft w:val="0"/>
              <w:marRight w:val="0"/>
              <w:marTop w:val="0"/>
              <w:marBottom w:val="0"/>
              <w:divBdr>
                <w:top w:val="none" w:sz="0" w:space="0" w:color="auto"/>
                <w:left w:val="none" w:sz="0" w:space="0" w:color="auto"/>
                <w:bottom w:val="none" w:sz="0" w:space="0" w:color="auto"/>
                <w:right w:val="none" w:sz="0" w:space="0" w:color="auto"/>
              </w:divBdr>
            </w:div>
          </w:divsChild>
        </w:div>
        <w:div w:id="358092224">
          <w:marLeft w:val="0"/>
          <w:marRight w:val="0"/>
          <w:marTop w:val="0"/>
          <w:marBottom w:val="0"/>
          <w:divBdr>
            <w:top w:val="none" w:sz="0" w:space="0" w:color="auto"/>
            <w:left w:val="none" w:sz="0" w:space="0" w:color="auto"/>
            <w:bottom w:val="none" w:sz="0" w:space="0" w:color="auto"/>
            <w:right w:val="none" w:sz="0" w:space="0" w:color="auto"/>
          </w:divBdr>
          <w:divsChild>
            <w:div w:id="290523257">
              <w:marLeft w:val="0"/>
              <w:marRight w:val="0"/>
              <w:marTop w:val="0"/>
              <w:marBottom w:val="0"/>
              <w:divBdr>
                <w:top w:val="none" w:sz="0" w:space="0" w:color="auto"/>
                <w:left w:val="none" w:sz="0" w:space="0" w:color="auto"/>
                <w:bottom w:val="none" w:sz="0" w:space="0" w:color="auto"/>
                <w:right w:val="none" w:sz="0" w:space="0" w:color="auto"/>
              </w:divBdr>
            </w:div>
          </w:divsChild>
        </w:div>
        <w:div w:id="377120913">
          <w:marLeft w:val="0"/>
          <w:marRight w:val="0"/>
          <w:marTop w:val="0"/>
          <w:marBottom w:val="0"/>
          <w:divBdr>
            <w:top w:val="none" w:sz="0" w:space="0" w:color="auto"/>
            <w:left w:val="none" w:sz="0" w:space="0" w:color="auto"/>
            <w:bottom w:val="none" w:sz="0" w:space="0" w:color="auto"/>
            <w:right w:val="none" w:sz="0" w:space="0" w:color="auto"/>
          </w:divBdr>
          <w:divsChild>
            <w:div w:id="390008383">
              <w:marLeft w:val="0"/>
              <w:marRight w:val="0"/>
              <w:marTop w:val="0"/>
              <w:marBottom w:val="0"/>
              <w:divBdr>
                <w:top w:val="none" w:sz="0" w:space="0" w:color="auto"/>
                <w:left w:val="none" w:sz="0" w:space="0" w:color="auto"/>
                <w:bottom w:val="none" w:sz="0" w:space="0" w:color="auto"/>
                <w:right w:val="none" w:sz="0" w:space="0" w:color="auto"/>
              </w:divBdr>
            </w:div>
          </w:divsChild>
        </w:div>
        <w:div w:id="458037502">
          <w:marLeft w:val="0"/>
          <w:marRight w:val="0"/>
          <w:marTop w:val="0"/>
          <w:marBottom w:val="0"/>
          <w:divBdr>
            <w:top w:val="none" w:sz="0" w:space="0" w:color="auto"/>
            <w:left w:val="none" w:sz="0" w:space="0" w:color="auto"/>
            <w:bottom w:val="none" w:sz="0" w:space="0" w:color="auto"/>
            <w:right w:val="none" w:sz="0" w:space="0" w:color="auto"/>
          </w:divBdr>
          <w:divsChild>
            <w:div w:id="266545255">
              <w:marLeft w:val="0"/>
              <w:marRight w:val="0"/>
              <w:marTop w:val="0"/>
              <w:marBottom w:val="0"/>
              <w:divBdr>
                <w:top w:val="none" w:sz="0" w:space="0" w:color="auto"/>
                <w:left w:val="none" w:sz="0" w:space="0" w:color="auto"/>
                <w:bottom w:val="none" w:sz="0" w:space="0" w:color="auto"/>
                <w:right w:val="none" w:sz="0" w:space="0" w:color="auto"/>
              </w:divBdr>
            </w:div>
          </w:divsChild>
        </w:div>
        <w:div w:id="465969616">
          <w:marLeft w:val="0"/>
          <w:marRight w:val="0"/>
          <w:marTop w:val="0"/>
          <w:marBottom w:val="0"/>
          <w:divBdr>
            <w:top w:val="none" w:sz="0" w:space="0" w:color="auto"/>
            <w:left w:val="none" w:sz="0" w:space="0" w:color="auto"/>
            <w:bottom w:val="none" w:sz="0" w:space="0" w:color="auto"/>
            <w:right w:val="none" w:sz="0" w:space="0" w:color="auto"/>
          </w:divBdr>
          <w:divsChild>
            <w:div w:id="1995644097">
              <w:marLeft w:val="0"/>
              <w:marRight w:val="0"/>
              <w:marTop w:val="0"/>
              <w:marBottom w:val="0"/>
              <w:divBdr>
                <w:top w:val="none" w:sz="0" w:space="0" w:color="auto"/>
                <w:left w:val="none" w:sz="0" w:space="0" w:color="auto"/>
                <w:bottom w:val="none" w:sz="0" w:space="0" w:color="auto"/>
                <w:right w:val="none" w:sz="0" w:space="0" w:color="auto"/>
              </w:divBdr>
            </w:div>
          </w:divsChild>
        </w:div>
        <w:div w:id="489178500">
          <w:marLeft w:val="0"/>
          <w:marRight w:val="0"/>
          <w:marTop w:val="0"/>
          <w:marBottom w:val="0"/>
          <w:divBdr>
            <w:top w:val="none" w:sz="0" w:space="0" w:color="auto"/>
            <w:left w:val="none" w:sz="0" w:space="0" w:color="auto"/>
            <w:bottom w:val="none" w:sz="0" w:space="0" w:color="auto"/>
            <w:right w:val="none" w:sz="0" w:space="0" w:color="auto"/>
          </w:divBdr>
          <w:divsChild>
            <w:div w:id="709954912">
              <w:marLeft w:val="0"/>
              <w:marRight w:val="0"/>
              <w:marTop w:val="0"/>
              <w:marBottom w:val="0"/>
              <w:divBdr>
                <w:top w:val="none" w:sz="0" w:space="0" w:color="auto"/>
                <w:left w:val="none" w:sz="0" w:space="0" w:color="auto"/>
                <w:bottom w:val="none" w:sz="0" w:space="0" w:color="auto"/>
                <w:right w:val="none" w:sz="0" w:space="0" w:color="auto"/>
              </w:divBdr>
            </w:div>
          </w:divsChild>
        </w:div>
        <w:div w:id="516240025">
          <w:marLeft w:val="0"/>
          <w:marRight w:val="0"/>
          <w:marTop w:val="0"/>
          <w:marBottom w:val="0"/>
          <w:divBdr>
            <w:top w:val="none" w:sz="0" w:space="0" w:color="auto"/>
            <w:left w:val="none" w:sz="0" w:space="0" w:color="auto"/>
            <w:bottom w:val="none" w:sz="0" w:space="0" w:color="auto"/>
            <w:right w:val="none" w:sz="0" w:space="0" w:color="auto"/>
          </w:divBdr>
          <w:divsChild>
            <w:div w:id="888806433">
              <w:marLeft w:val="0"/>
              <w:marRight w:val="0"/>
              <w:marTop w:val="0"/>
              <w:marBottom w:val="0"/>
              <w:divBdr>
                <w:top w:val="none" w:sz="0" w:space="0" w:color="auto"/>
                <w:left w:val="none" w:sz="0" w:space="0" w:color="auto"/>
                <w:bottom w:val="none" w:sz="0" w:space="0" w:color="auto"/>
                <w:right w:val="none" w:sz="0" w:space="0" w:color="auto"/>
              </w:divBdr>
            </w:div>
          </w:divsChild>
        </w:div>
        <w:div w:id="614485556">
          <w:marLeft w:val="0"/>
          <w:marRight w:val="0"/>
          <w:marTop w:val="0"/>
          <w:marBottom w:val="0"/>
          <w:divBdr>
            <w:top w:val="none" w:sz="0" w:space="0" w:color="auto"/>
            <w:left w:val="none" w:sz="0" w:space="0" w:color="auto"/>
            <w:bottom w:val="none" w:sz="0" w:space="0" w:color="auto"/>
            <w:right w:val="none" w:sz="0" w:space="0" w:color="auto"/>
          </w:divBdr>
          <w:divsChild>
            <w:div w:id="1588073060">
              <w:marLeft w:val="0"/>
              <w:marRight w:val="0"/>
              <w:marTop w:val="0"/>
              <w:marBottom w:val="0"/>
              <w:divBdr>
                <w:top w:val="none" w:sz="0" w:space="0" w:color="auto"/>
                <w:left w:val="none" w:sz="0" w:space="0" w:color="auto"/>
                <w:bottom w:val="none" w:sz="0" w:space="0" w:color="auto"/>
                <w:right w:val="none" w:sz="0" w:space="0" w:color="auto"/>
              </w:divBdr>
            </w:div>
          </w:divsChild>
        </w:div>
        <w:div w:id="652370839">
          <w:marLeft w:val="0"/>
          <w:marRight w:val="0"/>
          <w:marTop w:val="0"/>
          <w:marBottom w:val="0"/>
          <w:divBdr>
            <w:top w:val="none" w:sz="0" w:space="0" w:color="auto"/>
            <w:left w:val="none" w:sz="0" w:space="0" w:color="auto"/>
            <w:bottom w:val="none" w:sz="0" w:space="0" w:color="auto"/>
            <w:right w:val="none" w:sz="0" w:space="0" w:color="auto"/>
          </w:divBdr>
          <w:divsChild>
            <w:div w:id="1039010744">
              <w:marLeft w:val="0"/>
              <w:marRight w:val="0"/>
              <w:marTop w:val="0"/>
              <w:marBottom w:val="0"/>
              <w:divBdr>
                <w:top w:val="none" w:sz="0" w:space="0" w:color="auto"/>
                <w:left w:val="none" w:sz="0" w:space="0" w:color="auto"/>
                <w:bottom w:val="none" w:sz="0" w:space="0" w:color="auto"/>
                <w:right w:val="none" w:sz="0" w:space="0" w:color="auto"/>
              </w:divBdr>
            </w:div>
          </w:divsChild>
        </w:div>
        <w:div w:id="659039649">
          <w:marLeft w:val="0"/>
          <w:marRight w:val="0"/>
          <w:marTop w:val="0"/>
          <w:marBottom w:val="0"/>
          <w:divBdr>
            <w:top w:val="none" w:sz="0" w:space="0" w:color="auto"/>
            <w:left w:val="none" w:sz="0" w:space="0" w:color="auto"/>
            <w:bottom w:val="none" w:sz="0" w:space="0" w:color="auto"/>
            <w:right w:val="none" w:sz="0" w:space="0" w:color="auto"/>
          </w:divBdr>
          <w:divsChild>
            <w:div w:id="1408452741">
              <w:marLeft w:val="0"/>
              <w:marRight w:val="0"/>
              <w:marTop w:val="0"/>
              <w:marBottom w:val="0"/>
              <w:divBdr>
                <w:top w:val="none" w:sz="0" w:space="0" w:color="auto"/>
                <w:left w:val="none" w:sz="0" w:space="0" w:color="auto"/>
                <w:bottom w:val="none" w:sz="0" w:space="0" w:color="auto"/>
                <w:right w:val="none" w:sz="0" w:space="0" w:color="auto"/>
              </w:divBdr>
            </w:div>
          </w:divsChild>
        </w:div>
        <w:div w:id="659190840">
          <w:marLeft w:val="0"/>
          <w:marRight w:val="0"/>
          <w:marTop w:val="0"/>
          <w:marBottom w:val="0"/>
          <w:divBdr>
            <w:top w:val="none" w:sz="0" w:space="0" w:color="auto"/>
            <w:left w:val="none" w:sz="0" w:space="0" w:color="auto"/>
            <w:bottom w:val="none" w:sz="0" w:space="0" w:color="auto"/>
            <w:right w:val="none" w:sz="0" w:space="0" w:color="auto"/>
          </w:divBdr>
          <w:divsChild>
            <w:div w:id="2095474533">
              <w:marLeft w:val="0"/>
              <w:marRight w:val="0"/>
              <w:marTop w:val="0"/>
              <w:marBottom w:val="0"/>
              <w:divBdr>
                <w:top w:val="none" w:sz="0" w:space="0" w:color="auto"/>
                <w:left w:val="none" w:sz="0" w:space="0" w:color="auto"/>
                <w:bottom w:val="none" w:sz="0" w:space="0" w:color="auto"/>
                <w:right w:val="none" w:sz="0" w:space="0" w:color="auto"/>
              </w:divBdr>
            </w:div>
          </w:divsChild>
        </w:div>
        <w:div w:id="670451105">
          <w:marLeft w:val="0"/>
          <w:marRight w:val="0"/>
          <w:marTop w:val="0"/>
          <w:marBottom w:val="0"/>
          <w:divBdr>
            <w:top w:val="none" w:sz="0" w:space="0" w:color="auto"/>
            <w:left w:val="none" w:sz="0" w:space="0" w:color="auto"/>
            <w:bottom w:val="none" w:sz="0" w:space="0" w:color="auto"/>
            <w:right w:val="none" w:sz="0" w:space="0" w:color="auto"/>
          </w:divBdr>
          <w:divsChild>
            <w:div w:id="55319298">
              <w:marLeft w:val="0"/>
              <w:marRight w:val="0"/>
              <w:marTop w:val="0"/>
              <w:marBottom w:val="0"/>
              <w:divBdr>
                <w:top w:val="none" w:sz="0" w:space="0" w:color="auto"/>
                <w:left w:val="none" w:sz="0" w:space="0" w:color="auto"/>
                <w:bottom w:val="none" w:sz="0" w:space="0" w:color="auto"/>
                <w:right w:val="none" w:sz="0" w:space="0" w:color="auto"/>
              </w:divBdr>
            </w:div>
          </w:divsChild>
        </w:div>
        <w:div w:id="684941125">
          <w:marLeft w:val="0"/>
          <w:marRight w:val="0"/>
          <w:marTop w:val="0"/>
          <w:marBottom w:val="0"/>
          <w:divBdr>
            <w:top w:val="none" w:sz="0" w:space="0" w:color="auto"/>
            <w:left w:val="none" w:sz="0" w:space="0" w:color="auto"/>
            <w:bottom w:val="none" w:sz="0" w:space="0" w:color="auto"/>
            <w:right w:val="none" w:sz="0" w:space="0" w:color="auto"/>
          </w:divBdr>
          <w:divsChild>
            <w:div w:id="938415276">
              <w:marLeft w:val="0"/>
              <w:marRight w:val="0"/>
              <w:marTop w:val="0"/>
              <w:marBottom w:val="0"/>
              <w:divBdr>
                <w:top w:val="none" w:sz="0" w:space="0" w:color="auto"/>
                <w:left w:val="none" w:sz="0" w:space="0" w:color="auto"/>
                <w:bottom w:val="none" w:sz="0" w:space="0" w:color="auto"/>
                <w:right w:val="none" w:sz="0" w:space="0" w:color="auto"/>
              </w:divBdr>
            </w:div>
          </w:divsChild>
        </w:div>
        <w:div w:id="695078228">
          <w:marLeft w:val="0"/>
          <w:marRight w:val="0"/>
          <w:marTop w:val="0"/>
          <w:marBottom w:val="0"/>
          <w:divBdr>
            <w:top w:val="none" w:sz="0" w:space="0" w:color="auto"/>
            <w:left w:val="none" w:sz="0" w:space="0" w:color="auto"/>
            <w:bottom w:val="none" w:sz="0" w:space="0" w:color="auto"/>
            <w:right w:val="none" w:sz="0" w:space="0" w:color="auto"/>
          </w:divBdr>
          <w:divsChild>
            <w:div w:id="2140372915">
              <w:marLeft w:val="0"/>
              <w:marRight w:val="0"/>
              <w:marTop w:val="0"/>
              <w:marBottom w:val="0"/>
              <w:divBdr>
                <w:top w:val="none" w:sz="0" w:space="0" w:color="auto"/>
                <w:left w:val="none" w:sz="0" w:space="0" w:color="auto"/>
                <w:bottom w:val="none" w:sz="0" w:space="0" w:color="auto"/>
                <w:right w:val="none" w:sz="0" w:space="0" w:color="auto"/>
              </w:divBdr>
            </w:div>
          </w:divsChild>
        </w:div>
        <w:div w:id="747187288">
          <w:marLeft w:val="0"/>
          <w:marRight w:val="0"/>
          <w:marTop w:val="0"/>
          <w:marBottom w:val="0"/>
          <w:divBdr>
            <w:top w:val="none" w:sz="0" w:space="0" w:color="auto"/>
            <w:left w:val="none" w:sz="0" w:space="0" w:color="auto"/>
            <w:bottom w:val="none" w:sz="0" w:space="0" w:color="auto"/>
            <w:right w:val="none" w:sz="0" w:space="0" w:color="auto"/>
          </w:divBdr>
          <w:divsChild>
            <w:div w:id="1709253515">
              <w:marLeft w:val="0"/>
              <w:marRight w:val="0"/>
              <w:marTop w:val="0"/>
              <w:marBottom w:val="0"/>
              <w:divBdr>
                <w:top w:val="none" w:sz="0" w:space="0" w:color="auto"/>
                <w:left w:val="none" w:sz="0" w:space="0" w:color="auto"/>
                <w:bottom w:val="none" w:sz="0" w:space="0" w:color="auto"/>
                <w:right w:val="none" w:sz="0" w:space="0" w:color="auto"/>
              </w:divBdr>
            </w:div>
          </w:divsChild>
        </w:div>
        <w:div w:id="765809294">
          <w:marLeft w:val="0"/>
          <w:marRight w:val="0"/>
          <w:marTop w:val="0"/>
          <w:marBottom w:val="0"/>
          <w:divBdr>
            <w:top w:val="none" w:sz="0" w:space="0" w:color="auto"/>
            <w:left w:val="none" w:sz="0" w:space="0" w:color="auto"/>
            <w:bottom w:val="none" w:sz="0" w:space="0" w:color="auto"/>
            <w:right w:val="none" w:sz="0" w:space="0" w:color="auto"/>
          </w:divBdr>
          <w:divsChild>
            <w:div w:id="1263996803">
              <w:marLeft w:val="0"/>
              <w:marRight w:val="0"/>
              <w:marTop w:val="0"/>
              <w:marBottom w:val="0"/>
              <w:divBdr>
                <w:top w:val="none" w:sz="0" w:space="0" w:color="auto"/>
                <w:left w:val="none" w:sz="0" w:space="0" w:color="auto"/>
                <w:bottom w:val="none" w:sz="0" w:space="0" w:color="auto"/>
                <w:right w:val="none" w:sz="0" w:space="0" w:color="auto"/>
              </w:divBdr>
            </w:div>
          </w:divsChild>
        </w:div>
        <w:div w:id="789710385">
          <w:marLeft w:val="0"/>
          <w:marRight w:val="0"/>
          <w:marTop w:val="0"/>
          <w:marBottom w:val="0"/>
          <w:divBdr>
            <w:top w:val="none" w:sz="0" w:space="0" w:color="auto"/>
            <w:left w:val="none" w:sz="0" w:space="0" w:color="auto"/>
            <w:bottom w:val="none" w:sz="0" w:space="0" w:color="auto"/>
            <w:right w:val="none" w:sz="0" w:space="0" w:color="auto"/>
          </w:divBdr>
          <w:divsChild>
            <w:div w:id="232473392">
              <w:marLeft w:val="0"/>
              <w:marRight w:val="0"/>
              <w:marTop w:val="0"/>
              <w:marBottom w:val="0"/>
              <w:divBdr>
                <w:top w:val="none" w:sz="0" w:space="0" w:color="auto"/>
                <w:left w:val="none" w:sz="0" w:space="0" w:color="auto"/>
                <w:bottom w:val="none" w:sz="0" w:space="0" w:color="auto"/>
                <w:right w:val="none" w:sz="0" w:space="0" w:color="auto"/>
              </w:divBdr>
            </w:div>
          </w:divsChild>
        </w:div>
        <w:div w:id="796803570">
          <w:marLeft w:val="0"/>
          <w:marRight w:val="0"/>
          <w:marTop w:val="0"/>
          <w:marBottom w:val="0"/>
          <w:divBdr>
            <w:top w:val="none" w:sz="0" w:space="0" w:color="auto"/>
            <w:left w:val="none" w:sz="0" w:space="0" w:color="auto"/>
            <w:bottom w:val="none" w:sz="0" w:space="0" w:color="auto"/>
            <w:right w:val="none" w:sz="0" w:space="0" w:color="auto"/>
          </w:divBdr>
          <w:divsChild>
            <w:div w:id="971323087">
              <w:marLeft w:val="0"/>
              <w:marRight w:val="0"/>
              <w:marTop w:val="0"/>
              <w:marBottom w:val="0"/>
              <w:divBdr>
                <w:top w:val="none" w:sz="0" w:space="0" w:color="auto"/>
                <w:left w:val="none" w:sz="0" w:space="0" w:color="auto"/>
                <w:bottom w:val="none" w:sz="0" w:space="0" w:color="auto"/>
                <w:right w:val="none" w:sz="0" w:space="0" w:color="auto"/>
              </w:divBdr>
            </w:div>
          </w:divsChild>
        </w:div>
        <w:div w:id="804739088">
          <w:marLeft w:val="0"/>
          <w:marRight w:val="0"/>
          <w:marTop w:val="0"/>
          <w:marBottom w:val="0"/>
          <w:divBdr>
            <w:top w:val="none" w:sz="0" w:space="0" w:color="auto"/>
            <w:left w:val="none" w:sz="0" w:space="0" w:color="auto"/>
            <w:bottom w:val="none" w:sz="0" w:space="0" w:color="auto"/>
            <w:right w:val="none" w:sz="0" w:space="0" w:color="auto"/>
          </w:divBdr>
          <w:divsChild>
            <w:div w:id="1081221584">
              <w:marLeft w:val="0"/>
              <w:marRight w:val="0"/>
              <w:marTop w:val="0"/>
              <w:marBottom w:val="0"/>
              <w:divBdr>
                <w:top w:val="none" w:sz="0" w:space="0" w:color="auto"/>
                <w:left w:val="none" w:sz="0" w:space="0" w:color="auto"/>
                <w:bottom w:val="none" w:sz="0" w:space="0" w:color="auto"/>
                <w:right w:val="none" w:sz="0" w:space="0" w:color="auto"/>
              </w:divBdr>
            </w:div>
          </w:divsChild>
        </w:div>
        <w:div w:id="823670130">
          <w:marLeft w:val="0"/>
          <w:marRight w:val="0"/>
          <w:marTop w:val="0"/>
          <w:marBottom w:val="0"/>
          <w:divBdr>
            <w:top w:val="none" w:sz="0" w:space="0" w:color="auto"/>
            <w:left w:val="none" w:sz="0" w:space="0" w:color="auto"/>
            <w:bottom w:val="none" w:sz="0" w:space="0" w:color="auto"/>
            <w:right w:val="none" w:sz="0" w:space="0" w:color="auto"/>
          </w:divBdr>
          <w:divsChild>
            <w:div w:id="1928999620">
              <w:marLeft w:val="0"/>
              <w:marRight w:val="0"/>
              <w:marTop w:val="0"/>
              <w:marBottom w:val="0"/>
              <w:divBdr>
                <w:top w:val="none" w:sz="0" w:space="0" w:color="auto"/>
                <w:left w:val="none" w:sz="0" w:space="0" w:color="auto"/>
                <w:bottom w:val="none" w:sz="0" w:space="0" w:color="auto"/>
                <w:right w:val="none" w:sz="0" w:space="0" w:color="auto"/>
              </w:divBdr>
            </w:div>
          </w:divsChild>
        </w:div>
        <w:div w:id="839124173">
          <w:marLeft w:val="0"/>
          <w:marRight w:val="0"/>
          <w:marTop w:val="0"/>
          <w:marBottom w:val="0"/>
          <w:divBdr>
            <w:top w:val="none" w:sz="0" w:space="0" w:color="auto"/>
            <w:left w:val="none" w:sz="0" w:space="0" w:color="auto"/>
            <w:bottom w:val="none" w:sz="0" w:space="0" w:color="auto"/>
            <w:right w:val="none" w:sz="0" w:space="0" w:color="auto"/>
          </w:divBdr>
          <w:divsChild>
            <w:div w:id="1235160340">
              <w:marLeft w:val="0"/>
              <w:marRight w:val="0"/>
              <w:marTop w:val="0"/>
              <w:marBottom w:val="0"/>
              <w:divBdr>
                <w:top w:val="none" w:sz="0" w:space="0" w:color="auto"/>
                <w:left w:val="none" w:sz="0" w:space="0" w:color="auto"/>
                <w:bottom w:val="none" w:sz="0" w:space="0" w:color="auto"/>
                <w:right w:val="none" w:sz="0" w:space="0" w:color="auto"/>
              </w:divBdr>
            </w:div>
          </w:divsChild>
        </w:div>
        <w:div w:id="840510094">
          <w:marLeft w:val="0"/>
          <w:marRight w:val="0"/>
          <w:marTop w:val="0"/>
          <w:marBottom w:val="0"/>
          <w:divBdr>
            <w:top w:val="none" w:sz="0" w:space="0" w:color="auto"/>
            <w:left w:val="none" w:sz="0" w:space="0" w:color="auto"/>
            <w:bottom w:val="none" w:sz="0" w:space="0" w:color="auto"/>
            <w:right w:val="none" w:sz="0" w:space="0" w:color="auto"/>
          </w:divBdr>
          <w:divsChild>
            <w:div w:id="1585526262">
              <w:marLeft w:val="0"/>
              <w:marRight w:val="0"/>
              <w:marTop w:val="0"/>
              <w:marBottom w:val="0"/>
              <w:divBdr>
                <w:top w:val="none" w:sz="0" w:space="0" w:color="auto"/>
                <w:left w:val="none" w:sz="0" w:space="0" w:color="auto"/>
                <w:bottom w:val="none" w:sz="0" w:space="0" w:color="auto"/>
                <w:right w:val="none" w:sz="0" w:space="0" w:color="auto"/>
              </w:divBdr>
            </w:div>
          </w:divsChild>
        </w:div>
        <w:div w:id="856893607">
          <w:marLeft w:val="0"/>
          <w:marRight w:val="0"/>
          <w:marTop w:val="0"/>
          <w:marBottom w:val="0"/>
          <w:divBdr>
            <w:top w:val="none" w:sz="0" w:space="0" w:color="auto"/>
            <w:left w:val="none" w:sz="0" w:space="0" w:color="auto"/>
            <w:bottom w:val="none" w:sz="0" w:space="0" w:color="auto"/>
            <w:right w:val="none" w:sz="0" w:space="0" w:color="auto"/>
          </w:divBdr>
          <w:divsChild>
            <w:div w:id="1002775079">
              <w:marLeft w:val="0"/>
              <w:marRight w:val="0"/>
              <w:marTop w:val="0"/>
              <w:marBottom w:val="0"/>
              <w:divBdr>
                <w:top w:val="none" w:sz="0" w:space="0" w:color="auto"/>
                <w:left w:val="none" w:sz="0" w:space="0" w:color="auto"/>
                <w:bottom w:val="none" w:sz="0" w:space="0" w:color="auto"/>
                <w:right w:val="none" w:sz="0" w:space="0" w:color="auto"/>
              </w:divBdr>
            </w:div>
          </w:divsChild>
        </w:div>
        <w:div w:id="882718918">
          <w:marLeft w:val="0"/>
          <w:marRight w:val="0"/>
          <w:marTop w:val="0"/>
          <w:marBottom w:val="0"/>
          <w:divBdr>
            <w:top w:val="none" w:sz="0" w:space="0" w:color="auto"/>
            <w:left w:val="none" w:sz="0" w:space="0" w:color="auto"/>
            <w:bottom w:val="none" w:sz="0" w:space="0" w:color="auto"/>
            <w:right w:val="none" w:sz="0" w:space="0" w:color="auto"/>
          </w:divBdr>
          <w:divsChild>
            <w:div w:id="1855024474">
              <w:marLeft w:val="0"/>
              <w:marRight w:val="0"/>
              <w:marTop w:val="0"/>
              <w:marBottom w:val="0"/>
              <w:divBdr>
                <w:top w:val="none" w:sz="0" w:space="0" w:color="auto"/>
                <w:left w:val="none" w:sz="0" w:space="0" w:color="auto"/>
                <w:bottom w:val="none" w:sz="0" w:space="0" w:color="auto"/>
                <w:right w:val="none" w:sz="0" w:space="0" w:color="auto"/>
              </w:divBdr>
            </w:div>
          </w:divsChild>
        </w:div>
        <w:div w:id="936908293">
          <w:marLeft w:val="0"/>
          <w:marRight w:val="0"/>
          <w:marTop w:val="0"/>
          <w:marBottom w:val="0"/>
          <w:divBdr>
            <w:top w:val="none" w:sz="0" w:space="0" w:color="auto"/>
            <w:left w:val="none" w:sz="0" w:space="0" w:color="auto"/>
            <w:bottom w:val="none" w:sz="0" w:space="0" w:color="auto"/>
            <w:right w:val="none" w:sz="0" w:space="0" w:color="auto"/>
          </w:divBdr>
          <w:divsChild>
            <w:div w:id="1902594181">
              <w:marLeft w:val="0"/>
              <w:marRight w:val="0"/>
              <w:marTop w:val="0"/>
              <w:marBottom w:val="0"/>
              <w:divBdr>
                <w:top w:val="none" w:sz="0" w:space="0" w:color="auto"/>
                <w:left w:val="none" w:sz="0" w:space="0" w:color="auto"/>
                <w:bottom w:val="none" w:sz="0" w:space="0" w:color="auto"/>
                <w:right w:val="none" w:sz="0" w:space="0" w:color="auto"/>
              </w:divBdr>
            </w:div>
          </w:divsChild>
        </w:div>
        <w:div w:id="953098336">
          <w:marLeft w:val="0"/>
          <w:marRight w:val="0"/>
          <w:marTop w:val="0"/>
          <w:marBottom w:val="0"/>
          <w:divBdr>
            <w:top w:val="none" w:sz="0" w:space="0" w:color="auto"/>
            <w:left w:val="none" w:sz="0" w:space="0" w:color="auto"/>
            <w:bottom w:val="none" w:sz="0" w:space="0" w:color="auto"/>
            <w:right w:val="none" w:sz="0" w:space="0" w:color="auto"/>
          </w:divBdr>
          <w:divsChild>
            <w:div w:id="743259579">
              <w:marLeft w:val="0"/>
              <w:marRight w:val="0"/>
              <w:marTop w:val="0"/>
              <w:marBottom w:val="0"/>
              <w:divBdr>
                <w:top w:val="none" w:sz="0" w:space="0" w:color="auto"/>
                <w:left w:val="none" w:sz="0" w:space="0" w:color="auto"/>
                <w:bottom w:val="none" w:sz="0" w:space="0" w:color="auto"/>
                <w:right w:val="none" w:sz="0" w:space="0" w:color="auto"/>
              </w:divBdr>
            </w:div>
          </w:divsChild>
        </w:div>
        <w:div w:id="956839940">
          <w:marLeft w:val="0"/>
          <w:marRight w:val="0"/>
          <w:marTop w:val="0"/>
          <w:marBottom w:val="0"/>
          <w:divBdr>
            <w:top w:val="none" w:sz="0" w:space="0" w:color="auto"/>
            <w:left w:val="none" w:sz="0" w:space="0" w:color="auto"/>
            <w:bottom w:val="none" w:sz="0" w:space="0" w:color="auto"/>
            <w:right w:val="none" w:sz="0" w:space="0" w:color="auto"/>
          </w:divBdr>
          <w:divsChild>
            <w:div w:id="820732219">
              <w:marLeft w:val="0"/>
              <w:marRight w:val="0"/>
              <w:marTop w:val="0"/>
              <w:marBottom w:val="0"/>
              <w:divBdr>
                <w:top w:val="none" w:sz="0" w:space="0" w:color="auto"/>
                <w:left w:val="none" w:sz="0" w:space="0" w:color="auto"/>
                <w:bottom w:val="none" w:sz="0" w:space="0" w:color="auto"/>
                <w:right w:val="none" w:sz="0" w:space="0" w:color="auto"/>
              </w:divBdr>
            </w:div>
          </w:divsChild>
        </w:div>
        <w:div w:id="1043211713">
          <w:marLeft w:val="0"/>
          <w:marRight w:val="0"/>
          <w:marTop w:val="0"/>
          <w:marBottom w:val="0"/>
          <w:divBdr>
            <w:top w:val="none" w:sz="0" w:space="0" w:color="auto"/>
            <w:left w:val="none" w:sz="0" w:space="0" w:color="auto"/>
            <w:bottom w:val="none" w:sz="0" w:space="0" w:color="auto"/>
            <w:right w:val="none" w:sz="0" w:space="0" w:color="auto"/>
          </w:divBdr>
          <w:divsChild>
            <w:div w:id="937448986">
              <w:marLeft w:val="0"/>
              <w:marRight w:val="0"/>
              <w:marTop w:val="0"/>
              <w:marBottom w:val="0"/>
              <w:divBdr>
                <w:top w:val="none" w:sz="0" w:space="0" w:color="auto"/>
                <w:left w:val="none" w:sz="0" w:space="0" w:color="auto"/>
                <w:bottom w:val="none" w:sz="0" w:space="0" w:color="auto"/>
                <w:right w:val="none" w:sz="0" w:space="0" w:color="auto"/>
              </w:divBdr>
            </w:div>
          </w:divsChild>
        </w:div>
        <w:div w:id="1055352096">
          <w:marLeft w:val="0"/>
          <w:marRight w:val="0"/>
          <w:marTop w:val="0"/>
          <w:marBottom w:val="0"/>
          <w:divBdr>
            <w:top w:val="none" w:sz="0" w:space="0" w:color="auto"/>
            <w:left w:val="none" w:sz="0" w:space="0" w:color="auto"/>
            <w:bottom w:val="none" w:sz="0" w:space="0" w:color="auto"/>
            <w:right w:val="none" w:sz="0" w:space="0" w:color="auto"/>
          </w:divBdr>
          <w:divsChild>
            <w:div w:id="411513881">
              <w:marLeft w:val="0"/>
              <w:marRight w:val="0"/>
              <w:marTop w:val="0"/>
              <w:marBottom w:val="0"/>
              <w:divBdr>
                <w:top w:val="none" w:sz="0" w:space="0" w:color="auto"/>
                <w:left w:val="none" w:sz="0" w:space="0" w:color="auto"/>
                <w:bottom w:val="none" w:sz="0" w:space="0" w:color="auto"/>
                <w:right w:val="none" w:sz="0" w:space="0" w:color="auto"/>
              </w:divBdr>
            </w:div>
          </w:divsChild>
        </w:div>
        <w:div w:id="1070007275">
          <w:marLeft w:val="0"/>
          <w:marRight w:val="0"/>
          <w:marTop w:val="0"/>
          <w:marBottom w:val="0"/>
          <w:divBdr>
            <w:top w:val="none" w:sz="0" w:space="0" w:color="auto"/>
            <w:left w:val="none" w:sz="0" w:space="0" w:color="auto"/>
            <w:bottom w:val="none" w:sz="0" w:space="0" w:color="auto"/>
            <w:right w:val="none" w:sz="0" w:space="0" w:color="auto"/>
          </w:divBdr>
          <w:divsChild>
            <w:div w:id="1590036889">
              <w:marLeft w:val="0"/>
              <w:marRight w:val="0"/>
              <w:marTop w:val="0"/>
              <w:marBottom w:val="0"/>
              <w:divBdr>
                <w:top w:val="none" w:sz="0" w:space="0" w:color="auto"/>
                <w:left w:val="none" w:sz="0" w:space="0" w:color="auto"/>
                <w:bottom w:val="none" w:sz="0" w:space="0" w:color="auto"/>
                <w:right w:val="none" w:sz="0" w:space="0" w:color="auto"/>
              </w:divBdr>
            </w:div>
          </w:divsChild>
        </w:div>
        <w:div w:id="1077901327">
          <w:marLeft w:val="0"/>
          <w:marRight w:val="0"/>
          <w:marTop w:val="0"/>
          <w:marBottom w:val="0"/>
          <w:divBdr>
            <w:top w:val="none" w:sz="0" w:space="0" w:color="auto"/>
            <w:left w:val="none" w:sz="0" w:space="0" w:color="auto"/>
            <w:bottom w:val="none" w:sz="0" w:space="0" w:color="auto"/>
            <w:right w:val="none" w:sz="0" w:space="0" w:color="auto"/>
          </w:divBdr>
          <w:divsChild>
            <w:div w:id="561525095">
              <w:marLeft w:val="0"/>
              <w:marRight w:val="0"/>
              <w:marTop w:val="0"/>
              <w:marBottom w:val="0"/>
              <w:divBdr>
                <w:top w:val="none" w:sz="0" w:space="0" w:color="auto"/>
                <w:left w:val="none" w:sz="0" w:space="0" w:color="auto"/>
                <w:bottom w:val="none" w:sz="0" w:space="0" w:color="auto"/>
                <w:right w:val="none" w:sz="0" w:space="0" w:color="auto"/>
              </w:divBdr>
            </w:div>
          </w:divsChild>
        </w:div>
        <w:div w:id="1092505673">
          <w:marLeft w:val="0"/>
          <w:marRight w:val="0"/>
          <w:marTop w:val="0"/>
          <w:marBottom w:val="0"/>
          <w:divBdr>
            <w:top w:val="none" w:sz="0" w:space="0" w:color="auto"/>
            <w:left w:val="none" w:sz="0" w:space="0" w:color="auto"/>
            <w:bottom w:val="none" w:sz="0" w:space="0" w:color="auto"/>
            <w:right w:val="none" w:sz="0" w:space="0" w:color="auto"/>
          </w:divBdr>
          <w:divsChild>
            <w:div w:id="1622493287">
              <w:marLeft w:val="0"/>
              <w:marRight w:val="0"/>
              <w:marTop w:val="0"/>
              <w:marBottom w:val="0"/>
              <w:divBdr>
                <w:top w:val="none" w:sz="0" w:space="0" w:color="auto"/>
                <w:left w:val="none" w:sz="0" w:space="0" w:color="auto"/>
                <w:bottom w:val="none" w:sz="0" w:space="0" w:color="auto"/>
                <w:right w:val="none" w:sz="0" w:space="0" w:color="auto"/>
              </w:divBdr>
            </w:div>
          </w:divsChild>
        </w:div>
        <w:div w:id="1099594447">
          <w:marLeft w:val="0"/>
          <w:marRight w:val="0"/>
          <w:marTop w:val="0"/>
          <w:marBottom w:val="0"/>
          <w:divBdr>
            <w:top w:val="none" w:sz="0" w:space="0" w:color="auto"/>
            <w:left w:val="none" w:sz="0" w:space="0" w:color="auto"/>
            <w:bottom w:val="none" w:sz="0" w:space="0" w:color="auto"/>
            <w:right w:val="none" w:sz="0" w:space="0" w:color="auto"/>
          </w:divBdr>
          <w:divsChild>
            <w:div w:id="625280285">
              <w:marLeft w:val="0"/>
              <w:marRight w:val="0"/>
              <w:marTop w:val="0"/>
              <w:marBottom w:val="0"/>
              <w:divBdr>
                <w:top w:val="none" w:sz="0" w:space="0" w:color="auto"/>
                <w:left w:val="none" w:sz="0" w:space="0" w:color="auto"/>
                <w:bottom w:val="none" w:sz="0" w:space="0" w:color="auto"/>
                <w:right w:val="none" w:sz="0" w:space="0" w:color="auto"/>
              </w:divBdr>
            </w:div>
          </w:divsChild>
        </w:div>
        <w:div w:id="1099646075">
          <w:marLeft w:val="0"/>
          <w:marRight w:val="0"/>
          <w:marTop w:val="0"/>
          <w:marBottom w:val="0"/>
          <w:divBdr>
            <w:top w:val="none" w:sz="0" w:space="0" w:color="auto"/>
            <w:left w:val="none" w:sz="0" w:space="0" w:color="auto"/>
            <w:bottom w:val="none" w:sz="0" w:space="0" w:color="auto"/>
            <w:right w:val="none" w:sz="0" w:space="0" w:color="auto"/>
          </w:divBdr>
          <w:divsChild>
            <w:div w:id="2107532040">
              <w:marLeft w:val="0"/>
              <w:marRight w:val="0"/>
              <w:marTop w:val="0"/>
              <w:marBottom w:val="0"/>
              <w:divBdr>
                <w:top w:val="none" w:sz="0" w:space="0" w:color="auto"/>
                <w:left w:val="none" w:sz="0" w:space="0" w:color="auto"/>
                <w:bottom w:val="none" w:sz="0" w:space="0" w:color="auto"/>
                <w:right w:val="none" w:sz="0" w:space="0" w:color="auto"/>
              </w:divBdr>
            </w:div>
          </w:divsChild>
        </w:div>
        <w:div w:id="1137911341">
          <w:marLeft w:val="0"/>
          <w:marRight w:val="0"/>
          <w:marTop w:val="0"/>
          <w:marBottom w:val="0"/>
          <w:divBdr>
            <w:top w:val="none" w:sz="0" w:space="0" w:color="auto"/>
            <w:left w:val="none" w:sz="0" w:space="0" w:color="auto"/>
            <w:bottom w:val="none" w:sz="0" w:space="0" w:color="auto"/>
            <w:right w:val="none" w:sz="0" w:space="0" w:color="auto"/>
          </w:divBdr>
          <w:divsChild>
            <w:div w:id="281770017">
              <w:marLeft w:val="0"/>
              <w:marRight w:val="0"/>
              <w:marTop w:val="0"/>
              <w:marBottom w:val="0"/>
              <w:divBdr>
                <w:top w:val="none" w:sz="0" w:space="0" w:color="auto"/>
                <w:left w:val="none" w:sz="0" w:space="0" w:color="auto"/>
                <w:bottom w:val="none" w:sz="0" w:space="0" w:color="auto"/>
                <w:right w:val="none" w:sz="0" w:space="0" w:color="auto"/>
              </w:divBdr>
            </w:div>
          </w:divsChild>
        </w:div>
        <w:div w:id="1211647666">
          <w:marLeft w:val="0"/>
          <w:marRight w:val="0"/>
          <w:marTop w:val="0"/>
          <w:marBottom w:val="0"/>
          <w:divBdr>
            <w:top w:val="none" w:sz="0" w:space="0" w:color="auto"/>
            <w:left w:val="none" w:sz="0" w:space="0" w:color="auto"/>
            <w:bottom w:val="none" w:sz="0" w:space="0" w:color="auto"/>
            <w:right w:val="none" w:sz="0" w:space="0" w:color="auto"/>
          </w:divBdr>
          <w:divsChild>
            <w:div w:id="389109154">
              <w:marLeft w:val="0"/>
              <w:marRight w:val="0"/>
              <w:marTop w:val="0"/>
              <w:marBottom w:val="0"/>
              <w:divBdr>
                <w:top w:val="none" w:sz="0" w:space="0" w:color="auto"/>
                <w:left w:val="none" w:sz="0" w:space="0" w:color="auto"/>
                <w:bottom w:val="none" w:sz="0" w:space="0" w:color="auto"/>
                <w:right w:val="none" w:sz="0" w:space="0" w:color="auto"/>
              </w:divBdr>
            </w:div>
          </w:divsChild>
        </w:div>
        <w:div w:id="1222903745">
          <w:marLeft w:val="0"/>
          <w:marRight w:val="0"/>
          <w:marTop w:val="0"/>
          <w:marBottom w:val="0"/>
          <w:divBdr>
            <w:top w:val="none" w:sz="0" w:space="0" w:color="auto"/>
            <w:left w:val="none" w:sz="0" w:space="0" w:color="auto"/>
            <w:bottom w:val="none" w:sz="0" w:space="0" w:color="auto"/>
            <w:right w:val="none" w:sz="0" w:space="0" w:color="auto"/>
          </w:divBdr>
          <w:divsChild>
            <w:div w:id="488522825">
              <w:marLeft w:val="0"/>
              <w:marRight w:val="0"/>
              <w:marTop w:val="0"/>
              <w:marBottom w:val="0"/>
              <w:divBdr>
                <w:top w:val="none" w:sz="0" w:space="0" w:color="auto"/>
                <w:left w:val="none" w:sz="0" w:space="0" w:color="auto"/>
                <w:bottom w:val="none" w:sz="0" w:space="0" w:color="auto"/>
                <w:right w:val="none" w:sz="0" w:space="0" w:color="auto"/>
              </w:divBdr>
            </w:div>
          </w:divsChild>
        </w:div>
        <w:div w:id="1229196398">
          <w:marLeft w:val="0"/>
          <w:marRight w:val="0"/>
          <w:marTop w:val="0"/>
          <w:marBottom w:val="0"/>
          <w:divBdr>
            <w:top w:val="none" w:sz="0" w:space="0" w:color="auto"/>
            <w:left w:val="none" w:sz="0" w:space="0" w:color="auto"/>
            <w:bottom w:val="none" w:sz="0" w:space="0" w:color="auto"/>
            <w:right w:val="none" w:sz="0" w:space="0" w:color="auto"/>
          </w:divBdr>
          <w:divsChild>
            <w:div w:id="1961373935">
              <w:marLeft w:val="0"/>
              <w:marRight w:val="0"/>
              <w:marTop w:val="0"/>
              <w:marBottom w:val="0"/>
              <w:divBdr>
                <w:top w:val="none" w:sz="0" w:space="0" w:color="auto"/>
                <w:left w:val="none" w:sz="0" w:space="0" w:color="auto"/>
                <w:bottom w:val="none" w:sz="0" w:space="0" w:color="auto"/>
                <w:right w:val="none" w:sz="0" w:space="0" w:color="auto"/>
              </w:divBdr>
            </w:div>
          </w:divsChild>
        </w:div>
        <w:div w:id="1279339591">
          <w:marLeft w:val="0"/>
          <w:marRight w:val="0"/>
          <w:marTop w:val="0"/>
          <w:marBottom w:val="0"/>
          <w:divBdr>
            <w:top w:val="none" w:sz="0" w:space="0" w:color="auto"/>
            <w:left w:val="none" w:sz="0" w:space="0" w:color="auto"/>
            <w:bottom w:val="none" w:sz="0" w:space="0" w:color="auto"/>
            <w:right w:val="none" w:sz="0" w:space="0" w:color="auto"/>
          </w:divBdr>
          <w:divsChild>
            <w:div w:id="1607035446">
              <w:marLeft w:val="0"/>
              <w:marRight w:val="0"/>
              <w:marTop w:val="0"/>
              <w:marBottom w:val="0"/>
              <w:divBdr>
                <w:top w:val="none" w:sz="0" w:space="0" w:color="auto"/>
                <w:left w:val="none" w:sz="0" w:space="0" w:color="auto"/>
                <w:bottom w:val="none" w:sz="0" w:space="0" w:color="auto"/>
                <w:right w:val="none" w:sz="0" w:space="0" w:color="auto"/>
              </w:divBdr>
            </w:div>
          </w:divsChild>
        </w:div>
        <w:div w:id="1285574528">
          <w:marLeft w:val="0"/>
          <w:marRight w:val="0"/>
          <w:marTop w:val="0"/>
          <w:marBottom w:val="0"/>
          <w:divBdr>
            <w:top w:val="none" w:sz="0" w:space="0" w:color="auto"/>
            <w:left w:val="none" w:sz="0" w:space="0" w:color="auto"/>
            <w:bottom w:val="none" w:sz="0" w:space="0" w:color="auto"/>
            <w:right w:val="none" w:sz="0" w:space="0" w:color="auto"/>
          </w:divBdr>
          <w:divsChild>
            <w:div w:id="638800774">
              <w:marLeft w:val="0"/>
              <w:marRight w:val="0"/>
              <w:marTop w:val="0"/>
              <w:marBottom w:val="0"/>
              <w:divBdr>
                <w:top w:val="none" w:sz="0" w:space="0" w:color="auto"/>
                <w:left w:val="none" w:sz="0" w:space="0" w:color="auto"/>
                <w:bottom w:val="none" w:sz="0" w:space="0" w:color="auto"/>
                <w:right w:val="none" w:sz="0" w:space="0" w:color="auto"/>
              </w:divBdr>
            </w:div>
          </w:divsChild>
        </w:div>
        <w:div w:id="1288969712">
          <w:marLeft w:val="0"/>
          <w:marRight w:val="0"/>
          <w:marTop w:val="0"/>
          <w:marBottom w:val="0"/>
          <w:divBdr>
            <w:top w:val="none" w:sz="0" w:space="0" w:color="auto"/>
            <w:left w:val="none" w:sz="0" w:space="0" w:color="auto"/>
            <w:bottom w:val="none" w:sz="0" w:space="0" w:color="auto"/>
            <w:right w:val="none" w:sz="0" w:space="0" w:color="auto"/>
          </w:divBdr>
          <w:divsChild>
            <w:div w:id="630522532">
              <w:marLeft w:val="0"/>
              <w:marRight w:val="0"/>
              <w:marTop w:val="0"/>
              <w:marBottom w:val="0"/>
              <w:divBdr>
                <w:top w:val="none" w:sz="0" w:space="0" w:color="auto"/>
                <w:left w:val="none" w:sz="0" w:space="0" w:color="auto"/>
                <w:bottom w:val="none" w:sz="0" w:space="0" w:color="auto"/>
                <w:right w:val="none" w:sz="0" w:space="0" w:color="auto"/>
              </w:divBdr>
            </w:div>
          </w:divsChild>
        </w:div>
        <w:div w:id="1297836371">
          <w:marLeft w:val="0"/>
          <w:marRight w:val="0"/>
          <w:marTop w:val="0"/>
          <w:marBottom w:val="0"/>
          <w:divBdr>
            <w:top w:val="none" w:sz="0" w:space="0" w:color="auto"/>
            <w:left w:val="none" w:sz="0" w:space="0" w:color="auto"/>
            <w:bottom w:val="none" w:sz="0" w:space="0" w:color="auto"/>
            <w:right w:val="none" w:sz="0" w:space="0" w:color="auto"/>
          </w:divBdr>
          <w:divsChild>
            <w:div w:id="1600285405">
              <w:marLeft w:val="0"/>
              <w:marRight w:val="0"/>
              <w:marTop w:val="0"/>
              <w:marBottom w:val="0"/>
              <w:divBdr>
                <w:top w:val="none" w:sz="0" w:space="0" w:color="auto"/>
                <w:left w:val="none" w:sz="0" w:space="0" w:color="auto"/>
                <w:bottom w:val="none" w:sz="0" w:space="0" w:color="auto"/>
                <w:right w:val="none" w:sz="0" w:space="0" w:color="auto"/>
              </w:divBdr>
            </w:div>
          </w:divsChild>
        </w:div>
        <w:div w:id="1303652053">
          <w:marLeft w:val="0"/>
          <w:marRight w:val="0"/>
          <w:marTop w:val="0"/>
          <w:marBottom w:val="0"/>
          <w:divBdr>
            <w:top w:val="none" w:sz="0" w:space="0" w:color="auto"/>
            <w:left w:val="none" w:sz="0" w:space="0" w:color="auto"/>
            <w:bottom w:val="none" w:sz="0" w:space="0" w:color="auto"/>
            <w:right w:val="none" w:sz="0" w:space="0" w:color="auto"/>
          </w:divBdr>
          <w:divsChild>
            <w:div w:id="437452985">
              <w:marLeft w:val="0"/>
              <w:marRight w:val="0"/>
              <w:marTop w:val="0"/>
              <w:marBottom w:val="0"/>
              <w:divBdr>
                <w:top w:val="none" w:sz="0" w:space="0" w:color="auto"/>
                <w:left w:val="none" w:sz="0" w:space="0" w:color="auto"/>
                <w:bottom w:val="none" w:sz="0" w:space="0" w:color="auto"/>
                <w:right w:val="none" w:sz="0" w:space="0" w:color="auto"/>
              </w:divBdr>
            </w:div>
          </w:divsChild>
        </w:div>
        <w:div w:id="1307323359">
          <w:marLeft w:val="0"/>
          <w:marRight w:val="0"/>
          <w:marTop w:val="0"/>
          <w:marBottom w:val="0"/>
          <w:divBdr>
            <w:top w:val="none" w:sz="0" w:space="0" w:color="auto"/>
            <w:left w:val="none" w:sz="0" w:space="0" w:color="auto"/>
            <w:bottom w:val="none" w:sz="0" w:space="0" w:color="auto"/>
            <w:right w:val="none" w:sz="0" w:space="0" w:color="auto"/>
          </w:divBdr>
          <w:divsChild>
            <w:div w:id="1119837386">
              <w:marLeft w:val="0"/>
              <w:marRight w:val="0"/>
              <w:marTop w:val="0"/>
              <w:marBottom w:val="0"/>
              <w:divBdr>
                <w:top w:val="none" w:sz="0" w:space="0" w:color="auto"/>
                <w:left w:val="none" w:sz="0" w:space="0" w:color="auto"/>
                <w:bottom w:val="none" w:sz="0" w:space="0" w:color="auto"/>
                <w:right w:val="none" w:sz="0" w:space="0" w:color="auto"/>
              </w:divBdr>
            </w:div>
          </w:divsChild>
        </w:div>
        <w:div w:id="1312561163">
          <w:marLeft w:val="0"/>
          <w:marRight w:val="0"/>
          <w:marTop w:val="0"/>
          <w:marBottom w:val="0"/>
          <w:divBdr>
            <w:top w:val="none" w:sz="0" w:space="0" w:color="auto"/>
            <w:left w:val="none" w:sz="0" w:space="0" w:color="auto"/>
            <w:bottom w:val="none" w:sz="0" w:space="0" w:color="auto"/>
            <w:right w:val="none" w:sz="0" w:space="0" w:color="auto"/>
          </w:divBdr>
          <w:divsChild>
            <w:div w:id="783420996">
              <w:marLeft w:val="0"/>
              <w:marRight w:val="0"/>
              <w:marTop w:val="0"/>
              <w:marBottom w:val="0"/>
              <w:divBdr>
                <w:top w:val="none" w:sz="0" w:space="0" w:color="auto"/>
                <w:left w:val="none" w:sz="0" w:space="0" w:color="auto"/>
                <w:bottom w:val="none" w:sz="0" w:space="0" w:color="auto"/>
                <w:right w:val="none" w:sz="0" w:space="0" w:color="auto"/>
              </w:divBdr>
            </w:div>
          </w:divsChild>
        </w:div>
        <w:div w:id="1324359902">
          <w:marLeft w:val="0"/>
          <w:marRight w:val="0"/>
          <w:marTop w:val="0"/>
          <w:marBottom w:val="0"/>
          <w:divBdr>
            <w:top w:val="none" w:sz="0" w:space="0" w:color="auto"/>
            <w:left w:val="none" w:sz="0" w:space="0" w:color="auto"/>
            <w:bottom w:val="none" w:sz="0" w:space="0" w:color="auto"/>
            <w:right w:val="none" w:sz="0" w:space="0" w:color="auto"/>
          </w:divBdr>
          <w:divsChild>
            <w:div w:id="72314766">
              <w:marLeft w:val="0"/>
              <w:marRight w:val="0"/>
              <w:marTop w:val="0"/>
              <w:marBottom w:val="0"/>
              <w:divBdr>
                <w:top w:val="none" w:sz="0" w:space="0" w:color="auto"/>
                <w:left w:val="none" w:sz="0" w:space="0" w:color="auto"/>
                <w:bottom w:val="none" w:sz="0" w:space="0" w:color="auto"/>
                <w:right w:val="none" w:sz="0" w:space="0" w:color="auto"/>
              </w:divBdr>
            </w:div>
          </w:divsChild>
        </w:div>
        <w:div w:id="1332444856">
          <w:marLeft w:val="0"/>
          <w:marRight w:val="0"/>
          <w:marTop w:val="0"/>
          <w:marBottom w:val="0"/>
          <w:divBdr>
            <w:top w:val="none" w:sz="0" w:space="0" w:color="auto"/>
            <w:left w:val="none" w:sz="0" w:space="0" w:color="auto"/>
            <w:bottom w:val="none" w:sz="0" w:space="0" w:color="auto"/>
            <w:right w:val="none" w:sz="0" w:space="0" w:color="auto"/>
          </w:divBdr>
          <w:divsChild>
            <w:div w:id="2052655884">
              <w:marLeft w:val="0"/>
              <w:marRight w:val="0"/>
              <w:marTop w:val="0"/>
              <w:marBottom w:val="0"/>
              <w:divBdr>
                <w:top w:val="none" w:sz="0" w:space="0" w:color="auto"/>
                <w:left w:val="none" w:sz="0" w:space="0" w:color="auto"/>
                <w:bottom w:val="none" w:sz="0" w:space="0" w:color="auto"/>
                <w:right w:val="none" w:sz="0" w:space="0" w:color="auto"/>
              </w:divBdr>
            </w:div>
          </w:divsChild>
        </w:div>
        <w:div w:id="1341354612">
          <w:marLeft w:val="0"/>
          <w:marRight w:val="0"/>
          <w:marTop w:val="0"/>
          <w:marBottom w:val="0"/>
          <w:divBdr>
            <w:top w:val="none" w:sz="0" w:space="0" w:color="auto"/>
            <w:left w:val="none" w:sz="0" w:space="0" w:color="auto"/>
            <w:bottom w:val="none" w:sz="0" w:space="0" w:color="auto"/>
            <w:right w:val="none" w:sz="0" w:space="0" w:color="auto"/>
          </w:divBdr>
          <w:divsChild>
            <w:div w:id="1276867184">
              <w:marLeft w:val="0"/>
              <w:marRight w:val="0"/>
              <w:marTop w:val="0"/>
              <w:marBottom w:val="0"/>
              <w:divBdr>
                <w:top w:val="none" w:sz="0" w:space="0" w:color="auto"/>
                <w:left w:val="none" w:sz="0" w:space="0" w:color="auto"/>
                <w:bottom w:val="none" w:sz="0" w:space="0" w:color="auto"/>
                <w:right w:val="none" w:sz="0" w:space="0" w:color="auto"/>
              </w:divBdr>
            </w:div>
          </w:divsChild>
        </w:div>
        <w:div w:id="1361399790">
          <w:marLeft w:val="0"/>
          <w:marRight w:val="0"/>
          <w:marTop w:val="0"/>
          <w:marBottom w:val="0"/>
          <w:divBdr>
            <w:top w:val="none" w:sz="0" w:space="0" w:color="auto"/>
            <w:left w:val="none" w:sz="0" w:space="0" w:color="auto"/>
            <w:bottom w:val="none" w:sz="0" w:space="0" w:color="auto"/>
            <w:right w:val="none" w:sz="0" w:space="0" w:color="auto"/>
          </w:divBdr>
          <w:divsChild>
            <w:div w:id="1800345163">
              <w:marLeft w:val="0"/>
              <w:marRight w:val="0"/>
              <w:marTop w:val="0"/>
              <w:marBottom w:val="0"/>
              <w:divBdr>
                <w:top w:val="none" w:sz="0" w:space="0" w:color="auto"/>
                <w:left w:val="none" w:sz="0" w:space="0" w:color="auto"/>
                <w:bottom w:val="none" w:sz="0" w:space="0" w:color="auto"/>
                <w:right w:val="none" w:sz="0" w:space="0" w:color="auto"/>
              </w:divBdr>
            </w:div>
          </w:divsChild>
        </w:div>
        <w:div w:id="1370836055">
          <w:marLeft w:val="0"/>
          <w:marRight w:val="0"/>
          <w:marTop w:val="0"/>
          <w:marBottom w:val="0"/>
          <w:divBdr>
            <w:top w:val="none" w:sz="0" w:space="0" w:color="auto"/>
            <w:left w:val="none" w:sz="0" w:space="0" w:color="auto"/>
            <w:bottom w:val="none" w:sz="0" w:space="0" w:color="auto"/>
            <w:right w:val="none" w:sz="0" w:space="0" w:color="auto"/>
          </w:divBdr>
          <w:divsChild>
            <w:div w:id="336157768">
              <w:marLeft w:val="0"/>
              <w:marRight w:val="0"/>
              <w:marTop w:val="0"/>
              <w:marBottom w:val="0"/>
              <w:divBdr>
                <w:top w:val="none" w:sz="0" w:space="0" w:color="auto"/>
                <w:left w:val="none" w:sz="0" w:space="0" w:color="auto"/>
                <w:bottom w:val="none" w:sz="0" w:space="0" w:color="auto"/>
                <w:right w:val="none" w:sz="0" w:space="0" w:color="auto"/>
              </w:divBdr>
            </w:div>
          </w:divsChild>
        </w:div>
        <w:div w:id="1389383347">
          <w:marLeft w:val="0"/>
          <w:marRight w:val="0"/>
          <w:marTop w:val="0"/>
          <w:marBottom w:val="0"/>
          <w:divBdr>
            <w:top w:val="none" w:sz="0" w:space="0" w:color="auto"/>
            <w:left w:val="none" w:sz="0" w:space="0" w:color="auto"/>
            <w:bottom w:val="none" w:sz="0" w:space="0" w:color="auto"/>
            <w:right w:val="none" w:sz="0" w:space="0" w:color="auto"/>
          </w:divBdr>
          <w:divsChild>
            <w:div w:id="290132812">
              <w:marLeft w:val="0"/>
              <w:marRight w:val="0"/>
              <w:marTop w:val="0"/>
              <w:marBottom w:val="0"/>
              <w:divBdr>
                <w:top w:val="none" w:sz="0" w:space="0" w:color="auto"/>
                <w:left w:val="none" w:sz="0" w:space="0" w:color="auto"/>
                <w:bottom w:val="none" w:sz="0" w:space="0" w:color="auto"/>
                <w:right w:val="none" w:sz="0" w:space="0" w:color="auto"/>
              </w:divBdr>
            </w:div>
          </w:divsChild>
        </w:div>
        <w:div w:id="1397778293">
          <w:marLeft w:val="0"/>
          <w:marRight w:val="0"/>
          <w:marTop w:val="0"/>
          <w:marBottom w:val="0"/>
          <w:divBdr>
            <w:top w:val="none" w:sz="0" w:space="0" w:color="auto"/>
            <w:left w:val="none" w:sz="0" w:space="0" w:color="auto"/>
            <w:bottom w:val="none" w:sz="0" w:space="0" w:color="auto"/>
            <w:right w:val="none" w:sz="0" w:space="0" w:color="auto"/>
          </w:divBdr>
          <w:divsChild>
            <w:div w:id="1140155264">
              <w:marLeft w:val="0"/>
              <w:marRight w:val="0"/>
              <w:marTop w:val="0"/>
              <w:marBottom w:val="0"/>
              <w:divBdr>
                <w:top w:val="none" w:sz="0" w:space="0" w:color="auto"/>
                <w:left w:val="none" w:sz="0" w:space="0" w:color="auto"/>
                <w:bottom w:val="none" w:sz="0" w:space="0" w:color="auto"/>
                <w:right w:val="none" w:sz="0" w:space="0" w:color="auto"/>
              </w:divBdr>
            </w:div>
          </w:divsChild>
        </w:div>
        <w:div w:id="1416514850">
          <w:marLeft w:val="0"/>
          <w:marRight w:val="0"/>
          <w:marTop w:val="0"/>
          <w:marBottom w:val="0"/>
          <w:divBdr>
            <w:top w:val="none" w:sz="0" w:space="0" w:color="auto"/>
            <w:left w:val="none" w:sz="0" w:space="0" w:color="auto"/>
            <w:bottom w:val="none" w:sz="0" w:space="0" w:color="auto"/>
            <w:right w:val="none" w:sz="0" w:space="0" w:color="auto"/>
          </w:divBdr>
          <w:divsChild>
            <w:div w:id="2065642155">
              <w:marLeft w:val="0"/>
              <w:marRight w:val="0"/>
              <w:marTop w:val="0"/>
              <w:marBottom w:val="0"/>
              <w:divBdr>
                <w:top w:val="none" w:sz="0" w:space="0" w:color="auto"/>
                <w:left w:val="none" w:sz="0" w:space="0" w:color="auto"/>
                <w:bottom w:val="none" w:sz="0" w:space="0" w:color="auto"/>
                <w:right w:val="none" w:sz="0" w:space="0" w:color="auto"/>
              </w:divBdr>
            </w:div>
          </w:divsChild>
        </w:div>
        <w:div w:id="1491169847">
          <w:marLeft w:val="0"/>
          <w:marRight w:val="0"/>
          <w:marTop w:val="0"/>
          <w:marBottom w:val="0"/>
          <w:divBdr>
            <w:top w:val="none" w:sz="0" w:space="0" w:color="auto"/>
            <w:left w:val="none" w:sz="0" w:space="0" w:color="auto"/>
            <w:bottom w:val="none" w:sz="0" w:space="0" w:color="auto"/>
            <w:right w:val="none" w:sz="0" w:space="0" w:color="auto"/>
          </w:divBdr>
          <w:divsChild>
            <w:div w:id="949630135">
              <w:marLeft w:val="0"/>
              <w:marRight w:val="0"/>
              <w:marTop w:val="0"/>
              <w:marBottom w:val="0"/>
              <w:divBdr>
                <w:top w:val="none" w:sz="0" w:space="0" w:color="auto"/>
                <w:left w:val="none" w:sz="0" w:space="0" w:color="auto"/>
                <w:bottom w:val="none" w:sz="0" w:space="0" w:color="auto"/>
                <w:right w:val="none" w:sz="0" w:space="0" w:color="auto"/>
              </w:divBdr>
            </w:div>
          </w:divsChild>
        </w:div>
        <w:div w:id="1519348156">
          <w:marLeft w:val="0"/>
          <w:marRight w:val="0"/>
          <w:marTop w:val="0"/>
          <w:marBottom w:val="0"/>
          <w:divBdr>
            <w:top w:val="none" w:sz="0" w:space="0" w:color="auto"/>
            <w:left w:val="none" w:sz="0" w:space="0" w:color="auto"/>
            <w:bottom w:val="none" w:sz="0" w:space="0" w:color="auto"/>
            <w:right w:val="none" w:sz="0" w:space="0" w:color="auto"/>
          </w:divBdr>
          <w:divsChild>
            <w:div w:id="545723346">
              <w:marLeft w:val="0"/>
              <w:marRight w:val="0"/>
              <w:marTop w:val="0"/>
              <w:marBottom w:val="0"/>
              <w:divBdr>
                <w:top w:val="none" w:sz="0" w:space="0" w:color="auto"/>
                <w:left w:val="none" w:sz="0" w:space="0" w:color="auto"/>
                <w:bottom w:val="none" w:sz="0" w:space="0" w:color="auto"/>
                <w:right w:val="none" w:sz="0" w:space="0" w:color="auto"/>
              </w:divBdr>
            </w:div>
          </w:divsChild>
        </w:div>
        <w:div w:id="1524005435">
          <w:marLeft w:val="0"/>
          <w:marRight w:val="0"/>
          <w:marTop w:val="0"/>
          <w:marBottom w:val="0"/>
          <w:divBdr>
            <w:top w:val="none" w:sz="0" w:space="0" w:color="auto"/>
            <w:left w:val="none" w:sz="0" w:space="0" w:color="auto"/>
            <w:bottom w:val="none" w:sz="0" w:space="0" w:color="auto"/>
            <w:right w:val="none" w:sz="0" w:space="0" w:color="auto"/>
          </w:divBdr>
          <w:divsChild>
            <w:div w:id="642857223">
              <w:marLeft w:val="0"/>
              <w:marRight w:val="0"/>
              <w:marTop w:val="0"/>
              <w:marBottom w:val="0"/>
              <w:divBdr>
                <w:top w:val="none" w:sz="0" w:space="0" w:color="auto"/>
                <w:left w:val="none" w:sz="0" w:space="0" w:color="auto"/>
                <w:bottom w:val="none" w:sz="0" w:space="0" w:color="auto"/>
                <w:right w:val="none" w:sz="0" w:space="0" w:color="auto"/>
              </w:divBdr>
            </w:div>
          </w:divsChild>
        </w:div>
        <w:div w:id="1545025479">
          <w:marLeft w:val="0"/>
          <w:marRight w:val="0"/>
          <w:marTop w:val="0"/>
          <w:marBottom w:val="0"/>
          <w:divBdr>
            <w:top w:val="none" w:sz="0" w:space="0" w:color="auto"/>
            <w:left w:val="none" w:sz="0" w:space="0" w:color="auto"/>
            <w:bottom w:val="none" w:sz="0" w:space="0" w:color="auto"/>
            <w:right w:val="none" w:sz="0" w:space="0" w:color="auto"/>
          </w:divBdr>
          <w:divsChild>
            <w:div w:id="1863516446">
              <w:marLeft w:val="0"/>
              <w:marRight w:val="0"/>
              <w:marTop w:val="0"/>
              <w:marBottom w:val="0"/>
              <w:divBdr>
                <w:top w:val="none" w:sz="0" w:space="0" w:color="auto"/>
                <w:left w:val="none" w:sz="0" w:space="0" w:color="auto"/>
                <w:bottom w:val="none" w:sz="0" w:space="0" w:color="auto"/>
                <w:right w:val="none" w:sz="0" w:space="0" w:color="auto"/>
              </w:divBdr>
            </w:div>
          </w:divsChild>
        </w:div>
        <w:div w:id="1557815743">
          <w:marLeft w:val="0"/>
          <w:marRight w:val="0"/>
          <w:marTop w:val="0"/>
          <w:marBottom w:val="0"/>
          <w:divBdr>
            <w:top w:val="none" w:sz="0" w:space="0" w:color="auto"/>
            <w:left w:val="none" w:sz="0" w:space="0" w:color="auto"/>
            <w:bottom w:val="none" w:sz="0" w:space="0" w:color="auto"/>
            <w:right w:val="none" w:sz="0" w:space="0" w:color="auto"/>
          </w:divBdr>
          <w:divsChild>
            <w:div w:id="317999378">
              <w:marLeft w:val="0"/>
              <w:marRight w:val="0"/>
              <w:marTop w:val="0"/>
              <w:marBottom w:val="0"/>
              <w:divBdr>
                <w:top w:val="none" w:sz="0" w:space="0" w:color="auto"/>
                <w:left w:val="none" w:sz="0" w:space="0" w:color="auto"/>
                <w:bottom w:val="none" w:sz="0" w:space="0" w:color="auto"/>
                <w:right w:val="none" w:sz="0" w:space="0" w:color="auto"/>
              </w:divBdr>
            </w:div>
          </w:divsChild>
        </w:div>
        <w:div w:id="1584140994">
          <w:marLeft w:val="0"/>
          <w:marRight w:val="0"/>
          <w:marTop w:val="0"/>
          <w:marBottom w:val="0"/>
          <w:divBdr>
            <w:top w:val="none" w:sz="0" w:space="0" w:color="auto"/>
            <w:left w:val="none" w:sz="0" w:space="0" w:color="auto"/>
            <w:bottom w:val="none" w:sz="0" w:space="0" w:color="auto"/>
            <w:right w:val="none" w:sz="0" w:space="0" w:color="auto"/>
          </w:divBdr>
          <w:divsChild>
            <w:div w:id="614672916">
              <w:marLeft w:val="0"/>
              <w:marRight w:val="0"/>
              <w:marTop w:val="0"/>
              <w:marBottom w:val="0"/>
              <w:divBdr>
                <w:top w:val="none" w:sz="0" w:space="0" w:color="auto"/>
                <w:left w:val="none" w:sz="0" w:space="0" w:color="auto"/>
                <w:bottom w:val="none" w:sz="0" w:space="0" w:color="auto"/>
                <w:right w:val="none" w:sz="0" w:space="0" w:color="auto"/>
              </w:divBdr>
            </w:div>
          </w:divsChild>
        </w:div>
        <w:div w:id="1604336558">
          <w:marLeft w:val="0"/>
          <w:marRight w:val="0"/>
          <w:marTop w:val="0"/>
          <w:marBottom w:val="0"/>
          <w:divBdr>
            <w:top w:val="none" w:sz="0" w:space="0" w:color="auto"/>
            <w:left w:val="none" w:sz="0" w:space="0" w:color="auto"/>
            <w:bottom w:val="none" w:sz="0" w:space="0" w:color="auto"/>
            <w:right w:val="none" w:sz="0" w:space="0" w:color="auto"/>
          </w:divBdr>
          <w:divsChild>
            <w:div w:id="1060321356">
              <w:marLeft w:val="0"/>
              <w:marRight w:val="0"/>
              <w:marTop w:val="0"/>
              <w:marBottom w:val="0"/>
              <w:divBdr>
                <w:top w:val="none" w:sz="0" w:space="0" w:color="auto"/>
                <w:left w:val="none" w:sz="0" w:space="0" w:color="auto"/>
                <w:bottom w:val="none" w:sz="0" w:space="0" w:color="auto"/>
                <w:right w:val="none" w:sz="0" w:space="0" w:color="auto"/>
              </w:divBdr>
            </w:div>
          </w:divsChild>
        </w:div>
        <w:div w:id="1633249015">
          <w:marLeft w:val="0"/>
          <w:marRight w:val="0"/>
          <w:marTop w:val="0"/>
          <w:marBottom w:val="0"/>
          <w:divBdr>
            <w:top w:val="none" w:sz="0" w:space="0" w:color="auto"/>
            <w:left w:val="none" w:sz="0" w:space="0" w:color="auto"/>
            <w:bottom w:val="none" w:sz="0" w:space="0" w:color="auto"/>
            <w:right w:val="none" w:sz="0" w:space="0" w:color="auto"/>
          </w:divBdr>
          <w:divsChild>
            <w:div w:id="521938786">
              <w:marLeft w:val="0"/>
              <w:marRight w:val="0"/>
              <w:marTop w:val="0"/>
              <w:marBottom w:val="0"/>
              <w:divBdr>
                <w:top w:val="none" w:sz="0" w:space="0" w:color="auto"/>
                <w:left w:val="none" w:sz="0" w:space="0" w:color="auto"/>
                <w:bottom w:val="none" w:sz="0" w:space="0" w:color="auto"/>
                <w:right w:val="none" w:sz="0" w:space="0" w:color="auto"/>
              </w:divBdr>
            </w:div>
          </w:divsChild>
        </w:div>
        <w:div w:id="1649438417">
          <w:marLeft w:val="0"/>
          <w:marRight w:val="0"/>
          <w:marTop w:val="0"/>
          <w:marBottom w:val="0"/>
          <w:divBdr>
            <w:top w:val="none" w:sz="0" w:space="0" w:color="auto"/>
            <w:left w:val="none" w:sz="0" w:space="0" w:color="auto"/>
            <w:bottom w:val="none" w:sz="0" w:space="0" w:color="auto"/>
            <w:right w:val="none" w:sz="0" w:space="0" w:color="auto"/>
          </w:divBdr>
          <w:divsChild>
            <w:div w:id="851382602">
              <w:marLeft w:val="0"/>
              <w:marRight w:val="0"/>
              <w:marTop w:val="0"/>
              <w:marBottom w:val="0"/>
              <w:divBdr>
                <w:top w:val="none" w:sz="0" w:space="0" w:color="auto"/>
                <w:left w:val="none" w:sz="0" w:space="0" w:color="auto"/>
                <w:bottom w:val="none" w:sz="0" w:space="0" w:color="auto"/>
                <w:right w:val="none" w:sz="0" w:space="0" w:color="auto"/>
              </w:divBdr>
            </w:div>
          </w:divsChild>
        </w:div>
        <w:div w:id="1656447785">
          <w:marLeft w:val="0"/>
          <w:marRight w:val="0"/>
          <w:marTop w:val="0"/>
          <w:marBottom w:val="0"/>
          <w:divBdr>
            <w:top w:val="none" w:sz="0" w:space="0" w:color="auto"/>
            <w:left w:val="none" w:sz="0" w:space="0" w:color="auto"/>
            <w:bottom w:val="none" w:sz="0" w:space="0" w:color="auto"/>
            <w:right w:val="none" w:sz="0" w:space="0" w:color="auto"/>
          </w:divBdr>
          <w:divsChild>
            <w:div w:id="1065105104">
              <w:marLeft w:val="0"/>
              <w:marRight w:val="0"/>
              <w:marTop w:val="0"/>
              <w:marBottom w:val="0"/>
              <w:divBdr>
                <w:top w:val="none" w:sz="0" w:space="0" w:color="auto"/>
                <w:left w:val="none" w:sz="0" w:space="0" w:color="auto"/>
                <w:bottom w:val="none" w:sz="0" w:space="0" w:color="auto"/>
                <w:right w:val="none" w:sz="0" w:space="0" w:color="auto"/>
              </w:divBdr>
            </w:div>
          </w:divsChild>
        </w:div>
        <w:div w:id="1661424803">
          <w:marLeft w:val="0"/>
          <w:marRight w:val="0"/>
          <w:marTop w:val="0"/>
          <w:marBottom w:val="0"/>
          <w:divBdr>
            <w:top w:val="none" w:sz="0" w:space="0" w:color="auto"/>
            <w:left w:val="none" w:sz="0" w:space="0" w:color="auto"/>
            <w:bottom w:val="none" w:sz="0" w:space="0" w:color="auto"/>
            <w:right w:val="none" w:sz="0" w:space="0" w:color="auto"/>
          </w:divBdr>
          <w:divsChild>
            <w:div w:id="1964118403">
              <w:marLeft w:val="0"/>
              <w:marRight w:val="0"/>
              <w:marTop w:val="0"/>
              <w:marBottom w:val="0"/>
              <w:divBdr>
                <w:top w:val="none" w:sz="0" w:space="0" w:color="auto"/>
                <w:left w:val="none" w:sz="0" w:space="0" w:color="auto"/>
                <w:bottom w:val="none" w:sz="0" w:space="0" w:color="auto"/>
                <w:right w:val="none" w:sz="0" w:space="0" w:color="auto"/>
              </w:divBdr>
            </w:div>
          </w:divsChild>
        </w:div>
        <w:div w:id="1683048871">
          <w:marLeft w:val="0"/>
          <w:marRight w:val="0"/>
          <w:marTop w:val="0"/>
          <w:marBottom w:val="0"/>
          <w:divBdr>
            <w:top w:val="none" w:sz="0" w:space="0" w:color="auto"/>
            <w:left w:val="none" w:sz="0" w:space="0" w:color="auto"/>
            <w:bottom w:val="none" w:sz="0" w:space="0" w:color="auto"/>
            <w:right w:val="none" w:sz="0" w:space="0" w:color="auto"/>
          </w:divBdr>
          <w:divsChild>
            <w:div w:id="1608731486">
              <w:marLeft w:val="0"/>
              <w:marRight w:val="0"/>
              <w:marTop w:val="0"/>
              <w:marBottom w:val="0"/>
              <w:divBdr>
                <w:top w:val="none" w:sz="0" w:space="0" w:color="auto"/>
                <w:left w:val="none" w:sz="0" w:space="0" w:color="auto"/>
                <w:bottom w:val="none" w:sz="0" w:space="0" w:color="auto"/>
                <w:right w:val="none" w:sz="0" w:space="0" w:color="auto"/>
              </w:divBdr>
            </w:div>
          </w:divsChild>
        </w:div>
        <w:div w:id="1694262821">
          <w:marLeft w:val="0"/>
          <w:marRight w:val="0"/>
          <w:marTop w:val="0"/>
          <w:marBottom w:val="0"/>
          <w:divBdr>
            <w:top w:val="none" w:sz="0" w:space="0" w:color="auto"/>
            <w:left w:val="none" w:sz="0" w:space="0" w:color="auto"/>
            <w:bottom w:val="none" w:sz="0" w:space="0" w:color="auto"/>
            <w:right w:val="none" w:sz="0" w:space="0" w:color="auto"/>
          </w:divBdr>
          <w:divsChild>
            <w:div w:id="911743938">
              <w:marLeft w:val="0"/>
              <w:marRight w:val="0"/>
              <w:marTop w:val="0"/>
              <w:marBottom w:val="0"/>
              <w:divBdr>
                <w:top w:val="none" w:sz="0" w:space="0" w:color="auto"/>
                <w:left w:val="none" w:sz="0" w:space="0" w:color="auto"/>
                <w:bottom w:val="none" w:sz="0" w:space="0" w:color="auto"/>
                <w:right w:val="none" w:sz="0" w:space="0" w:color="auto"/>
              </w:divBdr>
            </w:div>
          </w:divsChild>
        </w:div>
        <w:div w:id="1719696968">
          <w:marLeft w:val="0"/>
          <w:marRight w:val="0"/>
          <w:marTop w:val="0"/>
          <w:marBottom w:val="0"/>
          <w:divBdr>
            <w:top w:val="none" w:sz="0" w:space="0" w:color="auto"/>
            <w:left w:val="none" w:sz="0" w:space="0" w:color="auto"/>
            <w:bottom w:val="none" w:sz="0" w:space="0" w:color="auto"/>
            <w:right w:val="none" w:sz="0" w:space="0" w:color="auto"/>
          </w:divBdr>
          <w:divsChild>
            <w:div w:id="1264024661">
              <w:marLeft w:val="0"/>
              <w:marRight w:val="0"/>
              <w:marTop w:val="0"/>
              <w:marBottom w:val="0"/>
              <w:divBdr>
                <w:top w:val="none" w:sz="0" w:space="0" w:color="auto"/>
                <w:left w:val="none" w:sz="0" w:space="0" w:color="auto"/>
                <w:bottom w:val="none" w:sz="0" w:space="0" w:color="auto"/>
                <w:right w:val="none" w:sz="0" w:space="0" w:color="auto"/>
              </w:divBdr>
            </w:div>
          </w:divsChild>
        </w:div>
        <w:div w:id="1729062305">
          <w:marLeft w:val="0"/>
          <w:marRight w:val="0"/>
          <w:marTop w:val="0"/>
          <w:marBottom w:val="0"/>
          <w:divBdr>
            <w:top w:val="none" w:sz="0" w:space="0" w:color="auto"/>
            <w:left w:val="none" w:sz="0" w:space="0" w:color="auto"/>
            <w:bottom w:val="none" w:sz="0" w:space="0" w:color="auto"/>
            <w:right w:val="none" w:sz="0" w:space="0" w:color="auto"/>
          </w:divBdr>
          <w:divsChild>
            <w:div w:id="53311309">
              <w:marLeft w:val="0"/>
              <w:marRight w:val="0"/>
              <w:marTop w:val="0"/>
              <w:marBottom w:val="0"/>
              <w:divBdr>
                <w:top w:val="none" w:sz="0" w:space="0" w:color="auto"/>
                <w:left w:val="none" w:sz="0" w:space="0" w:color="auto"/>
                <w:bottom w:val="none" w:sz="0" w:space="0" w:color="auto"/>
                <w:right w:val="none" w:sz="0" w:space="0" w:color="auto"/>
              </w:divBdr>
            </w:div>
          </w:divsChild>
        </w:div>
        <w:div w:id="1794592349">
          <w:marLeft w:val="0"/>
          <w:marRight w:val="0"/>
          <w:marTop w:val="0"/>
          <w:marBottom w:val="0"/>
          <w:divBdr>
            <w:top w:val="none" w:sz="0" w:space="0" w:color="auto"/>
            <w:left w:val="none" w:sz="0" w:space="0" w:color="auto"/>
            <w:bottom w:val="none" w:sz="0" w:space="0" w:color="auto"/>
            <w:right w:val="none" w:sz="0" w:space="0" w:color="auto"/>
          </w:divBdr>
          <w:divsChild>
            <w:div w:id="799490959">
              <w:marLeft w:val="0"/>
              <w:marRight w:val="0"/>
              <w:marTop w:val="0"/>
              <w:marBottom w:val="0"/>
              <w:divBdr>
                <w:top w:val="none" w:sz="0" w:space="0" w:color="auto"/>
                <w:left w:val="none" w:sz="0" w:space="0" w:color="auto"/>
                <w:bottom w:val="none" w:sz="0" w:space="0" w:color="auto"/>
                <w:right w:val="none" w:sz="0" w:space="0" w:color="auto"/>
              </w:divBdr>
            </w:div>
          </w:divsChild>
        </w:div>
        <w:div w:id="1804734609">
          <w:marLeft w:val="0"/>
          <w:marRight w:val="0"/>
          <w:marTop w:val="0"/>
          <w:marBottom w:val="0"/>
          <w:divBdr>
            <w:top w:val="none" w:sz="0" w:space="0" w:color="auto"/>
            <w:left w:val="none" w:sz="0" w:space="0" w:color="auto"/>
            <w:bottom w:val="none" w:sz="0" w:space="0" w:color="auto"/>
            <w:right w:val="none" w:sz="0" w:space="0" w:color="auto"/>
          </w:divBdr>
          <w:divsChild>
            <w:div w:id="2009938794">
              <w:marLeft w:val="0"/>
              <w:marRight w:val="0"/>
              <w:marTop w:val="0"/>
              <w:marBottom w:val="0"/>
              <w:divBdr>
                <w:top w:val="none" w:sz="0" w:space="0" w:color="auto"/>
                <w:left w:val="none" w:sz="0" w:space="0" w:color="auto"/>
                <w:bottom w:val="none" w:sz="0" w:space="0" w:color="auto"/>
                <w:right w:val="none" w:sz="0" w:space="0" w:color="auto"/>
              </w:divBdr>
            </w:div>
          </w:divsChild>
        </w:div>
        <w:div w:id="1809126337">
          <w:marLeft w:val="0"/>
          <w:marRight w:val="0"/>
          <w:marTop w:val="0"/>
          <w:marBottom w:val="0"/>
          <w:divBdr>
            <w:top w:val="none" w:sz="0" w:space="0" w:color="auto"/>
            <w:left w:val="none" w:sz="0" w:space="0" w:color="auto"/>
            <w:bottom w:val="none" w:sz="0" w:space="0" w:color="auto"/>
            <w:right w:val="none" w:sz="0" w:space="0" w:color="auto"/>
          </w:divBdr>
          <w:divsChild>
            <w:div w:id="728040584">
              <w:marLeft w:val="0"/>
              <w:marRight w:val="0"/>
              <w:marTop w:val="0"/>
              <w:marBottom w:val="0"/>
              <w:divBdr>
                <w:top w:val="none" w:sz="0" w:space="0" w:color="auto"/>
                <w:left w:val="none" w:sz="0" w:space="0" w:color="auto"/>
                <w:bottom w:val="none" w:sz="0" w:space="0" w:color="auto"/>
                <w:right w:val="none" w:sz="0" w:space="0" w:color="auto"/>
              </w:divBdr>
            </w:div>
          </w:divsChild>
        </w:div>
        <w:div w:id="1815751577">
          <w:marLeft w:val="0"/>
          <w:marRight w:val="0"/>
          <w:marTop w:val="0"/>
          <w:marBottom w:val="0"/>
          <w:divBdr>
            <w:top w:val="none" w:sz="0" w:space="0" w:color="auto"/>
            <w:left w:val="none" w:sz="0" w:space="0" w:color="auto"/>
            <w:bottom w:val="none" w:sz="0" w:space="0" w:color="auto"/>
            <w:right w:val="none" w:sz="0" w:space="0" w:color="auto"/>
          </w:divBdr>
          <w:divsChild>
            <w:div w:id="1595430634">
              <w:marLeft w:val="0"/>
              <w:marRight w:val="0"/>
              <w:marTop w:val="0"/>
              <w:marBottom w:val="0"/>
              <w:divBdr>
                <w:top w:val="none" w:sz="0" w:space="0" w:color="auto"/>
                <w:left w:val="none" w:sz="0" w:space="0" w:color="auto"/>
                <w:bottom w:val="none" w:sz="0" w:space="0" w:color="auto"/>
                <w:right w:val="none" w:sz="0" w:space="0" w:color="auto"/>
              </w:divBdr>
            </w:div>
          </w:divsChild>
        </w:div>
        <w:div w:id="1827891519">
          <w:marLeft w:val="0"/>
          <w:marRight w:val="0"/>
          <w:marTop w:val="0"/>
          <w:marBottom w:val="0"/>
          <w:divBdr>
            <w:top w:val="none" w:sz="0" w:space="0" w:color="auto"/>
            <w:left w:val="none" w:sz="0" w:space="0" w:color="auto"/>
            <w:bottom w:val="none" w:sz="0" w:space="0" w:color="auto"/>
            <w:right w:val="none" w:sz="0" w:space="0" w:color="auto"/>
          </w:divBdr>
          <w:divsChild>
            <w:div w:id="1106539671">
              <w:marLeft w:val="0"/>
              <w:marRight w:val="0"/>
              <w:marTop w:val="0"/>
              <w:marBottom w:val="0"/>
              <w:divBdr>
                <w:top w:val="none" w:sz="0" w:space="0" w:color="auto"/>
                <w:left w:val="none" w:sz="0" w:space="0" w:color="auto"/>
                <w:bottom w:val="none" w:sz="0" w:space="0" w:color="auto"/>
                <w:right w:val="none" w:sz="0" w:space="0" w:color="auto"/>
              </w:divBdr>
            </w:div>
          </w:divsChild>
        </w:div>
        <w:div w:id="1832943090">
          <w:marLeft w:val="0"/>
          <w:marRight w:val="0"/>
          <w:marTop w:val="0"/>
          <w:marBottom w:val="0"/>
          <w:divBdr>
            <w:top w:val="none" w:sz="0" w:space="0" w:color="auto"/>
            <w:left w:val="none" w:sz="0" w:space="0" w:color="auto"/>
            <w:bottom w:val="none" w:sz="0" w:space="0" w:color="auto"/>
            <w:right w:val="none" w:sz="0" w:space="0" w:color="auto"/>
          </w:divBdr>
          <w:divsChild>
            <w:div w:id="881211982">
              <w:marLeft w:val="0"/>
              <w:marRight w:val="0"/>
              <w:marTop w:val="0"/>
              <w:marBottom w:val="0"/>
              <w:divBdr>
                <w:top w:val="none" w:sz="0" w:space="0" w:color="auto"/>
                <w:left w:val="none" w:sz="0" w:space="0" w:color="auto"/>
                <w:bottom w:val="none" w:sz="0" w:space="0" w:color="auto"/>
                <w:right w:val="none" w:sz="0" w:space="0" w:color="auto"/>
              </w:divBdr>
            </w:div>
          </w:divsChild>
        </w:div>
        <w:div w:id="1837762610">
          <w:marLeft w:val="0"/>
          <w:marRight w:val="0"/>
          <w:marTop w:val="0"/>
          <w:marBottom w:val="0"/>
          <w:divBdr>
            <w:top w:val="none" w:sz="0" w:space="0" w:color="auto"/>
            <w:left w:val="none" w:sz="0" w:space="0" w:color="auto"/>
            <w:bottom w:val="none" w:sz="0" w:space="0" w:color="auto"/>
            <w:right w:val="none" w:sz="0" w:space="0" w:color="auto"/>
          </w:divBdr>
          <w:divsChild>
            <w:div w:id="1259748592">
              <w:marLeft w:val="0"/>
              <w:marRight w:val="0"/>
              <w:marTop w:val="0"/>
              <w:marBottom w:val="0"/>
              <w:divBdr>
                <w:top w:val="none" w:sz="0" w:space="0" w:color="auto"/>
                <w:left w:val="none" w:sz="0" w:space="0" w:color="auto"/>
                <w:bottom w:val="none" w:sz="0" w:space="0" w:color="auto"/>
                <w:right w:val="none" w:sz="0" w:space="0" w:color="auto"/>
              </w:divBdr>
            </w:div>
          </w:divsChild>
        </w:div>
        <w:div w:id="1904901053">
          <w:marLeft w:val="0"/>
          <w:marRight w:val="0"/>
          <w:marTop w:val="0"/>
          <w:marBottom w:val="0"/>
          <w:divBdr>
            <w:top w:val="none" w:sz="0" w:space="0" w:color="auto"/>
            <w:left w:val="none" w:sz="0" w:space="0" w:color="auto"/>
            <w:bottom w:val="none" w:sz="0" w:space="0" w:color="auto"/>
            <w:right w:val="none" w:sz="0" w:space="0" w:color="auto"/>
          </w:divBdr>
          <w:divsChild>
            <w:div w:id="1829662964">
              <w:marLeft w:val="0"/>
              <w:marRight w:val="0"/>
              <w:marTop w:val="0"/>
              <w:marBottom w:val="0"/>
              <w:divBdr>
                <w:top w:val="none" w:sz="0" w:space="0" w:color="auto"/>
                <w:left w:val="none" w:sz="0" w:space="0" w:color="auto"/>
                <w:bottom w:val="none" w:sz="0" w:space="0" w:color="auto"/>
                <w:right w:val="none" w:sz="0" w:space="0" w:color="auto"/>
              </w:divBdr>
            </w:div>
          </w:divsChild>
        </w:div>
        <w:div w:id="1917324129">
          <w:marLeft w:val="0"/>
          <w:marRight w:val="0"/>
          <w:marTop w:val="0"/>
          <w:marBottom w:val="0"/>
          <w:divBdr>
            <w:top w:val="none" w:sz="0" w:space="0" w:color="auto"/>
            <w:left w:val="none" w:sz="0" w:space="0" w:color="auto"/>
            <w:bottom w:val="none" w:sz="0" w:space="0" w:color="auto"/>
            <w:right w:val="none" w:sz="0" w:space="0" w:color="auto"/>
          </w:divBdr>
          <w:divsChild>
            <w:div w:id="397093400">
              <w:marLeft w:val="0"/>
              <w:marRight w:val="0"/>
              <w:marTop w:val="0"/>
              <w:marBottom w:val="0"/>
              <w:divBdr>
                <w:top w:val="none" w:sz="0" w:space="0" w:color="auto"/>
                <w:left w:val="none" w:sz="0" w:space="0" w:color="auto"/>
                <w:bottom w:val="none" w:sz="0" w:space="0" w:color="auto"/>
                <w:right w:val="none" w:sz="0" w:space="0" w:color="auto"/>
              </w:divBdr>
            </w:div>
          </w:divsChild>
        </w:div>
        <w:div w:id="1941915073">
          <w:marLeft w:val="0"/>
          <w:marRight w:val="0"/>
          <w:marTop w:val="0"/>
          <w:marBottom w:val="0"/>
          <w:divBdr>
            <w:top w:val="none" w:sz="0" w:space="0" w:color="auto"/>
            <w:left w:val="none" w:sz="0" w:space="0" w:color="auto"/>
            <w:bottom w:val="none" w:sz="0" w:space="0" w:color="auto"/>
            <w:right w:val="none" w:sz="0" w:space="0" w:color="auto"/>
          </w:divBdr>
          <w:divsChild>
            <w:div w:id="912199314">
              <w:marLeft w:val="0"/>
              <w:marRight w:val="0"/>
              <w:marTop w:val="0"/>
              <w:marBottom w:val="0"/>
              <w:divBdr>
                <w:top w:val="none" w:sz="0" w:space="0" w:color="auto"/>
                <w:left w:val="none" w:sz="0" w:space="0" w:color="auto"/>
                <w:bottom w:val="none" w:sz="0" w:space="0" w:color="auto"/>
                <w:right w:val="none" w:sz="0" w:space="0" w:color="auto"/>
              </w:divBdr>
            </w:div>
          </w:divsChild>
        </w:div>
        <w:div w:id="1977107168">
          <w:marLeft w:val="0"/>
          <w:marRight w:val="0"/>
          <w:marTop w:val="0"/>
          <w:marBottom w:val="0"/>
          <w:divBdr>
            <w:top w:val="none" w:sz="0" w:space="0" w:color="auto"/>
            <w:left w:val="none" w:sz="0" w:space="0" w:color="auto"/>
            <w:bottom w:val="none" w:sz="0" w:space="0" w:color="auto"/>
            <w:right w:val="none" w:sz="0" w:space="0" w:color="auto"/>
          </w:divBdr>
          <w:divsChild>
            <w:div w:id="365525277">
              <w:marLeft w:val="0"/>
              <w:marRight w:val="0"/>
              <w:marTop w:val="0"/>
              <w:marBottom w:val="0"/>
              <w:divBdr>
                <w:top w:val="none" w:sz="0" w:space="0" w:color="auto"/>
                <w:left w:val="none" w:sz="0" w:space="0" w:color="auto"/>
                <w:bottom w:val="none" w:sz="0" w:space="0" w:color="auto"/>
                <w:right w:val="none" w:sz="0" w:space="0" w:color="auto"/>
              </w:divBdr>
            </w:div>
          </w:divsChild>
        </w:div>
        <w:div w:id="1986009616">
          <w:marLeft w:val="0"/>
          <w:marRight w:val="0"/>
          <w:marTop w:val="0"/>
          <w:marBottom w:val="0"/>
          <w:divBdr>
            <w:top w:val="none" w:sz="0" w:space="0" w:color="auto"/>
            <w:left w:val="none" w:sz="0" w:space="0" w:color="auto"/>
            <w:bottom w:val="none" w:sz="0" w:space="0" w:color="auto"/>
            <w:right w:val="none" w:sz="0" w:space="0" w:color="auto"/>
          </w:divBdr>
          <w:divsChild>
            <w:div w:id="1925990331">
              <w:marLeft w:val="0"/>
              <w:marRight w:val="0"/>
              <w:marTop w:val="0"/>
              <w:marBottom w:val="0"/>
              <w:divBdr>
                <w:top w:val="none" w:sz="0" w:space="0" w:color="auto"/>
                <w:left w:val="none" w:sz="0" w:space="0" w:color="auto"/>
                <w:bottom w:val="none" w:sz="0" w:space="0" w:color="auto"/>
                <w:right w:val="none" w:sz="0" w:space="0" w:color="auto"/>
              </w:divBdr>
            </w:div>
          </w:divsChild>
        </w:div>
        <w:div w:id="1992055124">
          <w:marLeft w:val="0"/>
          <w:marRight w:val="0"/>
          <w:marTop w:val="0"/>
          <w:marBottom w:val="0"/>
          <w:divBdr>
            <w:top w:val="none" w:sz="0" w:space="0" w:color="auto"/>
            <w:left w:val="none" w:sz="0" w:space="0" w:color="auto"/>
            <w:bottom w:val="none" w:sz="0" w:space="0" w:color="auto"/>
            <w:right w:val="none" w:sz="0" w:space="0" w:color="auto"/>
          </w:divBdr>
          <w:divsChild>
            <w:div w:id="120925897">
              <w:marLeft w:val="0"/>
              <w:marRight w:val="0"/>
              <w:marTop w:val="0"/>
              <w:marBottom w:val="0"/>
              <w:divBdr>
                <w:top w:val="none" w:sz="0" w:space="0" w:color="auto"/>
                <w:left w:val="none" w:sz="0" w:space="0" w:color="auto"/>
                <w:bottom w:val="none" w:sz="0" w:space="0" w:color="auto"/>
                <w:right w:val="none" w:sz="0" w:space="0" w:color="auto"/>
              </w:divBdr>
            </w:div>
          </w:divsChild>
        </w:div>
        <w:div w:id="2006011845">
          <w:marLeft w:val="0"/>
          <w:marRight w:val="0"/>
          <w:marTop w:val="0"/>
          <w:marBottom w:val="0"/>
          <w:divBdr>
            <w:top w:val="none" w:sz="0" w:space="0" w:color="auto"/>
            <w:left w:val="none" w:sz="0" w:space="0" w:color="auto"/>
            <w:bottom w:val="none" w:sz="0" w:space="0" w:color="auto"/>
            <w:right w:val="none" w:sz="0" w:space="0" w:color="auto"/>
          </w:divBdr>
          <w:divsChild>
            <w:div w:id="469712293">
              <w:marLeft w:val="0"/>
              <w:marRight w:val="0"/>
              <w:marTop w:val="0"/>
              <w:marBottom w:val="0"/>
              <w:divBdr>
                <w:top w:val="none" w:sz="0" w:space="0" w:color="auto"/>
                <w:left w:val="none" w:sz="0" w:space="0" w:color="auto"/>
                <w:bottom w:val="none" w:sz="0" w:space="0" w:color="auto"/>
                <w:right w:val="none" w:sz="0" w:space="0" w:color="auto"/>
              </w:divBdr>
            </w:div>
          </w:divsChild>
        </w:div>
        <w:div w:id="2019849527">
          <w:marLeft w:val="0"/>
          <w:marRight w:val="0"/>
          <w:marTop w:val="0"/>
          <w:marBottom w:val="0"/>
          <w:divBdr>
            <w:top w:val="none" w:sz="0" w:space="0" w:color="auto"/>
            <w:left w:val="none" w:sz="0" w:space="0" w:color="auto"/>
            <w:bottom w:val="none" w:sz="0" w:space="0" w:color="auto"/>
            <w:right w:val="none" w:sz="0" w:space="0" w:color="auto"/>
          </w:divBdr>
          <w:divsChild>
            <w:div w:id="1613628890">
              <w:marLeft w:val="0"/>
              <w:marRight w:val="0"/>
              <w:marTop w:val="0"/>
              <w:marBottom w:val="0"/>
              <w:divBdr>
                <w:top w:val="none" w:sz="0" w:space="0" w:color="auto"/>
                <w:left w:val="none" w:sz="0" w:space="0" w:color="auto"/>
                <w:bottom w:val="none" w:sz="0" w:space="0" w:color="auto"/>
                <w:right w:val="none" w:sz="0" w:space="0" w:color="auto"/>
              </w:divBdr>
            </w:div>
          </w:divsChild>
        </w:div>
        <w:div w:id="2038508008">
          <w:marLeft w:val="0"/>
          <w:marRight w:val="0"/>
          <w:marTop w:val="0"/>
          <w:marBottom w:val="0"/>
          <w:divBdr>
            <w:top w:val="none" w:sz="0" w:space="0" w:color="auto"/>
            <w:left w:val="none" w:sz="0" w:space="0" w:color="auto"/>
            <w:bottom w:val="none" w:sz="0" w:space="0" w:color="auto"/>
            <w:right w:val="none" w:sz="0" w:space="0" w:color="auto"/>
          </w:divBdr>
          <w:divsChild>
            <w:div w:id="1714501272">
              <w:marLeft w:val="0"/>
              <w:marRight w:val="0"/>
              <w:marTop w:val="0"/>
              <w:marBottom w:val="0"/>
              <w:divBdr>
                <w:top w:val="none" w:sz="0" w:space="0" w:color="auto"/>
                <w:left w:val="none" w:sz="0" w:space="0" w:color="auto"/>
                <w:bottom w:val="none" w:sz="0" w:space="0" w:color="auto"/>
                <w:right w:val="none" w:sz="0" w:space="0" w:color="auto"/>
              </w:divBdr>
            </w:div>
          </w:divsChild>
        </w:div>
        <w:div w:id="2058778064">
          <w:marLeft w:val="0"/>
          <w:marRight w:val="0"/>
          <w:marTop w:val="0"/>
          <w:marBottom w:val="0"/>
          <w:divBdr>
            <w:top w:val="none" w:sz="0" w:space="0" w:color="auto"/>
            <w:left w:val="none" w:sz="0" w:space="0" w:color="auto"/>
            <w:bottom w:val="none" w:sz="0" w:space="0" w:color="auto"/>
            <w:right w:val="none" w:sz="0" w:space="0" w:color="auto"/>
          </w:divBdr>
          <w:divsChild>
            <w:div w:id="313074737">
              <w:marLeft w:val="0"/>
              <w:marRight w:val="0"/>
              <w:marTop w:val="0"/>
              <w:marBottom w:val="0"/>
              <w:divBdr>
                <w:top w:val="none" w:sz="0" w:space="0" w:color="auto"/>
                <w:left w:val="none" w:sz="0" w:space="0" w:color="auto"/>
                <w:bottom w:val="none" w:sz="0" w:space="0" w:color="auto"/>
                <w:right w:val="none" w:sz="0" w:space="0" w:color="auto"/>
              </w:divBdr>
            </w:div>
          </w:divsChild>
        </w:div>
        <w:div w:id="2087527362">
          <w:marLeft w:val="0"/>
          <w:marRight w:val="0"/>
          <w:marTop w:val="0"/>
          <w:marBottom w:val="0"/>
          <w:divBdr>
            <w:top w:val="none" w:sz="0" w:space="0" w:color="auto"/>
            <w:left w:val="none" w:sz="0" w:space="0" w:color="auto"/>
            <w:bottom w:val="none" w:sz="0" w:space="0" w:color="auto"/>
            <w:right w:val="none" w:sz="0" w:space="0" w:color="auto"/>
          </w:divBdr>
          <w:divsChild>
            <w:div w:id="376012048">
              <w:marLeft w:val="0"/>
              <w:marRight w:val="0"/>
              <w:marTop w:val="0"/>
              <w:marBottom w:val="0"/>
              <w:divBdr>
                <w:top w:val="none" w:sz="0" w:space="0" w:color="auto"/>
                <w:left w:val="none" w:sz="0" w:space="0" w:color="auto"/>
                <w:bottom w:val="none" w:sz="0" w:space="0" w:color="auto"/>
                <w:right w:val="none" w:sz="0" w:space="0" w:color="auto"/>
              </w:divBdr>
            </w:div>
          </w:divsChild>
        </w:div>
        <w:div w:id="2101443817">
          <w:marLeft w:val="0"/>
          <w:marRight w:val="0"/>
          <w:marTop w:val="0"/>
          <w:marBottom w:val="0"/>
          <w:divBdr>
            <w:top w:val="none" w:sz="0" w:space="0" w:color="auto"/>
            <w:left w:val="none" w:sz="0" w:space="0" w:color="auto"/>
            <w:bottom w:val="none" w:sz="0" w:space="0" w:color="auto"/>
            <w:right w:val="none" w:sz="0" w:space="0" w:color="auto"/>
          </w:divBdr>
          <w:divsChild>
            <w:div w:id="1108312006">
              <w:marLeft w:val="0"/>
              <w:marRight w:val="0"/>
              <w:marTop w:val="0"/>
              <w:marBottom w:val="0"/>
              <w:divBdr>
                <w:top w:val="none" w:sz="0" w:space="0" w:color="auto"/>
                <w:left w:val="none" w:sz="0" w:space="0" w:color="auto"/>
                <w:bottom w:val="none" w:sz="0" w:space="0" w:color="auto"/>
                <w:right w:val="none" w:sz="0" w:space="0" w:color="auto"/>
              </w:divBdr>
            </w:div>
          </w:divsChild>
        </w:div>
        <w:div w:id="2139371401">
          <w:marLeft w:val="0"/>
          <w:marRight w:val="0"/>
          <w:marTop w:val="0"/>
          <w:marBottom w:val="0"/>
          <w:divBdr>
            <w:top w:val="none" w:sz="0" w:space="0" w:color="auto"/>
            <w:left w:val="none" w:sz="0" w:space="0" w:color="auto"/>
            <w:bottom w:val="none" w:sz="0" w:space="0" w:color="auto"/>
            <w:right w:val="none" w:sz="0" w:space="0" w:color="auto"/>
          </w:divBdr>
          <w:divsChild>
            <w:div w:id="171037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3730">
      <w:bodyDiv w:val="1"/>
      <w:marLeft w:val="0"/>
      <w:marRight w:val="0"/>
      <w:marTop w:val="0"/>
      <w:marBottom w:val="0"/>
      <w:divBdr>
        <w:top w:val="none" w:sz="0" w:space="0" w:color="auto"/>
        <w:left w:val="none" w:sz="0" w:space="0" w:color="auto"/>
        <w:bottom w:val="none" w:sz="0" w:space="0" w:color="auto"/>
        <w:right w:val="none" w:sz="0" w:space="0" w:color="auto"/>
      </w:divBdr>
    </w:div>
    <w:div w:id="42994227">
      <w:bodyDiv w:val="1"/>
      <w:marLeft w:val="0"/>
      <w:marRight w:val="0"/>
      <w:marTop w:val="0"/>
      <w:marBottom w:val="0"/>
      <w:divBdr>
        <w:top w:val="none" w:sz="0" w:space="0" w:color="auto"/>
        <w:left w:val="none" w:sz="0" w:space="0" w:color="auto"/>
        <w:bottom w:val="none" w:sz="0" w:space="0" w:color="auto"/>
        <w:right w:val="none" w:sz="0" w:space="0" w:color="auto"/>
      </w:divBdr>
    </w:div>
    <w:div w:id="55400520">
      <w:bodyDiv w:val="1"/>
      <w:marLeft w:val="0"/>
      <w:marRight w:val="0"/>
      <w:marTop w:val="0"/>
      <w:marBottom w:val="0"/>
      <w:divBdr>
        <w:top w:val="none" w:sz="0" w:space="0" w:color="auto"/>
        <w:left w:val="none" w:sz="0" w:space="0" w:color="auto"/>
        <w:bottom w:val="none" w:sz="0" w:space="0" w:color="auto"/>
        <w:right w:val="none" w:sz="0" w:space="0" w:color="auto"/>
      </w:divBdr>
    </w:div>
    <w:div w:id="93866039">
      <w:bodyDiv w:val="1"/>
      <w:marLeft w:val="0"/>
      <w:marRight w:val="0"/>
      <w:marTop w:val="0"/>
      <w:marBottom w:val="0"/>
      <w:divBdr>
        <w:top w:val="none" w:sz="0" w:space="0" w:color="auto"/>
        <w:left w:val="none" w:sz="0" w:space="0" w:color="auto"/>
        <w:bottom w:val="none" w:sz="0" w:space="0" w:color="auto"/>
        <w:right w:val="none" w:sz="0" w:space="0" w:color="auto"/>
      </w:divBdr>
    </w:div>
    <w:div w:id="116920213">
      <w:bodyDiv w:val="1"/>
      <w:marLeft w:val="0"/>
      <w:marRight w:val="0"/>
      <w:marTop w:val="0"/>
      <w:marBottom w:val="0"/>
      <w:divBdr>
        <w:top w:val="none" w:sz="0" w:space="0" w:color="auto"/>
        <w:left w:val="none" w:sz="0" w:space="0" w:color="auto"/>
        <w:bottom w:val="none" w:sz="0" w:space="0" w:color="auto"/>
        <w:right w:val="none" w:sz="0" w:space="0" w:color="auto"/>
      </w:divBdr>
    </w:div>
    <w:div w:id="308829213">
      <w:bodyDiv w:val="1"/>
      <w:marLeft w:val="0"/>
      <w:marRight w:val="0"/>
      <w:marTop w:val="0"/>
      <w:marBottom w:val="0"/>
      <w:divBdr>
        <w:top w:val="none" w:sz="0" w:space="0" w:color="auto"/>
        <w:left w:val="none" w:sz="0" w:space="0" w:color="auto"/>
        <w:bottom w:val="none" w:sz="0" w:space="0" w:color="auto"/>
        <w:right w:val="none" w:sz="0" w:space="0" w:color="auto"/>
      </w:divBdr>
    </w:div>
    <w:div w:id="349525551">
      <w:bodyDiv w:val="1"/>
      <w:marLeft w:val="0"/>
      <w:marRight w:val="0"/>
      <w:marTop w:val="0"/>
      <w:marBottom w:val="0"/>
      <w:divBdr>
        <w:top w:val="none" w:sz="0" w:space="0" w:color="auto"/>
        <w:left w:val="none" w:sz="0" w:space="0" w:color="auto"/>
        <w:bottom w:val="none" w:sz="0" w:space="0" w:color="auto"/>
        <w:right w:val="none" w:sz="0" w:space="0" w:color="auto"/>
      </w:divBdr>
      <w:divsChild>
        <w:div w:id="995691144">
          <w:marLeft w:val="480"/>
          <w:marRight w:val="0"/>
          <w:marTop w:val="0"/>
          <w:marBottom w:val="0"/>
          <w:divBdr>
            <w:top w:val="none" w:sz="0" w:space="0" w:color="auto"/>
            <w:left w:val="none" w:sz="0" w:space="0" w:color="auto"/>
            <w:bottom w:val="none" w:sz="0" w:space="0" w:color="auto"/>
            <w:right w:val="none" w:sz="0" w:space="0" w:color="auto"/>
          </w:divBdr>
          <w:divsChild>
            <w:div w:id="45279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784166">
      <w:bodyDiv w:val="1"/>
      <w:marLeft w:val="0"/>
      <w:marRight w:val="0"/>
      <w:marTop w:val="0"/>
      <w:marBottom w:val="0"/>
      <w:divBdr>
        <w:top w:val="none" w:sz="0" w:space="0" w:color="auto"/>
        <w:left w:val="none" w:sz="0" w:space="0" w:color="auto"/>
        <w:bottom w:val="none" w:sz="0" w:space="0" w:color="auto"/>
        <w:right w:val="none" w:sz="0" w:space="0" w:color="auto"/>
      </w:divBdr>
    </w:div>
    <w:div w:id="378169523">
      <w:bodyDiv w:val="1"/>
      <w:marLeft w:val="0"/>
      <w:marRight w:val="0"/>
      <w:marTop w:val="0"/>
      <w:marBottom w:val="0"/>
      <w:divBdr>
        <w:top w:val="none" w:sz="0" w:space="0" w:color="auto"/>
        <w:left w:val="none" w:sz="0" w:space="0" w:color="auto"/>
        <w:bottom w:val="none" w:sz="0" w:space="0" w:color="auto"/>
        <w:right w:val="none" w:sz="0" w:space="0" w:color="auto"/>
      </w:divBdr>
    </w:div>
    <w:div w:id="402030214">
      <w:bodyDiv w:val="1"/>
      <w:marLeft w:val="0"/>
      <w:marRight w:val="0"/>
      <w:marTop w:val="0"/>
      <w:marBottom w:val="0"/>
      <w:divBdr>
        <w:top w:val="none" w:sz="0" w:space="0" w:color="auto"/>
        <w:left w:val="none" w:sz="0" w:space="0" w:color="auto"/>
        <w:bottom w:val="none" w:sz="0" w:space="0" w:color="auto"/>
        <w:right w:val="none" w:sz="0" w:space="0" w:color="auto"/>
      </w:divBdr>
    </w:div>
    <w:div w:id="510267069">
      <w:bodyDiv w:val="1"/>
      <w:marLeft w:val="0"/>
      <w:marRight w:val="0"/>
      <w:marTop w:val="0"/>
      <w:marBottom w:val="0"/>
      <w:divBdr>
        <w:top w:val="none" w:sz="0" w:space="0" w:color="auto"/>
        <w:left w:val="none" w:sz="0" w:space="0" w:color="auto"/>
        <w:bottom w:val="none" w:sz="0" w:space="0" w:color="auto"/>
        <w:right w:val="none" w:sz="0" w:space="0" w:color="auto"/>
      </w:divBdr>
    </w:div>
    <w:div w:id="557087695">
      <w:bodyDiv w:val="1"/>
      <w:marLeft w:val="0"/>
      <w:marRight w:val="0"/>
      <w:marTop w:val="0"/>
      <w:marBottom w:val="0"/>
      <w:divBdr>
        <w:top w:val="none" w:sz="0" w:space="0" w:color="auto"/>
        <w:left w:val="none" w:sz="0" w:space="0" w:color="auto"/>
        <w:bottom w:val="none" w:sz="0" w:space="0" w:color="auto"/>
        <w:right w:val="none" w:sz="0" w:space="0" w:color="auto"/>
      </w:divBdr>
    </w:div>
    <w:div w:id="621351629">
      <w:bodyDiv w:val="1"/>
      <w:marLeft w:val="0"/>
      <w:marRight w:val="0"/>
      <w:marTop w:val="0"/>
      <w:marBottom w:val="0"/>
      <w:divBdr>
        <w:top w:val="none" w:sz="0" w:space="0" w:color="auto"/>
        <w:left w:val="none" w:sz="0" w:space="0" w:color="auto"/>
        <w:bottom w:val="none" w:sz="0" w:space="0" w:color="auto"/>
        <w:right w:val="none" w:sz="0" w:space="0" w:color="auto"/>
      </w:divBdr>
    </w:div>
    <w:div w:id="688532201">
      <w:bodyDiv w:val="1"/>
      <w:marLeft w:val="0"/>
      <w:marRight w:val="0"/>
      <w:marTop w:val="0"/>
      <w:marBottom w:val="0"/>
      <w:divBdr>
        <w:top w:val="none" w:sz="0" w:space="0" w:color="auto"/>
        <w:left w:val="none" w:sz="0" w:space="0" w:color="auto"/>
        <w:bottom w:val="none" w:sz="0" w:space="0" w:color="auto"/>
        <w:right w:val="none" w:sz="0" w:space="0" w:color="auto"/>
      </w:divBdr>
    </w:div>
    <w:div w:id="789129111">
      <w:bodyDiv w:val="1"/>
      <w:marLeft w:val="0"/>
      <w:marRight w:val="0"/>
      <w:marTop w:val="0"/>
      <w:marBottom w:val="0"/>
      <w:divBdr>
        <w:top w:val="none" w:sz="0" w:space="0" w:color="auto"/>
        <w:left w:val="none" w:sz="0" w:space="0" w:color="auto"/>
        <w:bottom w:val="none" w:sz="0" w:space="0" w:color="auto"/>
        <w:right w:val="none" w:sz="0" w:space="0" w:color="auto"/>
      </w:divBdr>
      <w:divsChild>
        <w:div w:id="18049655">
          <w:marLeft w:val="0"/>
          <w:marRight w:val="0"/>
          <w:marTop w:val="0"/>
          <w:marBottom w:val="0"/>
          <w:divBdr>
            <w:top w:val="none" w:sz="0" w:space="0" w:color="auto"/>
            <w:left w:val="none" w:sz="0" w:space="0" w:color="auto"/>
            <w:bottom w:val="none" w:sz="0" w:space="0" w:color="auto"/>
            <w:right w:val="none" w:sz="0" w:space="0" w:color="auto"/>
          </w:divBdr>
          <w:divsChild>
            <w:div w:id="1187983283">
              <w:marLeft w:val="0"/>
              <w:marRight w:val="0"/>
              <w:marTop w:val="0"/>
              <w:marBottom w:val="0"/>
              <w:divBdr>
                <w:top w:val="none" w:sz="0" w:space="0" w:color="auto"/>
                <w:left w:val="none" w:sz="0" w:space="0" w:color="auto"/>
                <w:bottom w:val="none" w:sz="0" w:space="0" w:color="auto"/>
                <w:right w:val="none" w:sz="0" w:space="0" w:color="auto"/>
              </w:divBdr>
            </w:div>
          </w:divsChild>
        </w:div>
        <w:div w:id="22563301">
          <w:marLeft w:val="0"/>
          <w:marRight w:val="0"/>
          <w:marTop w:val="0"/>
          <w:marBottom w:val="0"/>
          <w:divBdr>
            <w:top w:val="none" w:sz="0" w:space="0" w:color="auto"/>
            <w:left w:val="none" w:sz="0" w:space="0" w:color="auto"/>
            <w:bottom w:val="none" w:sz="0" w:space="0" w:color="auto"/>
            <w:right w:val="none" w:sz="0" w:space="0" w:color="auto"/>
          </w:divBdr>
          <w:divsChild>
            <w:div w:id="904296680">
              <w:marLeft w:val="0"/>
              <w:marRight w:val="0"/>
              <w:marTop w:val="0"/>
              <w:marBottom w:val="0"/>
              <w:divBdr>
                <w:top w:val="none" w:sz="0" w:space="0" w:color="auto"/>
                <w:left w:val="none" w:sz="0" w:space="0" w:color="auto"/>
                <w:bottom w:val="none" w:sz="0" w:space="0" w:color="auto"/>
                <w:right w:val="none" w:sz="0" w:space="0" w:color="auto"/>
              </w:divBdr>
            </w:div>
          </w:divsChild>
        </w:div>
        <w:div w:id="24795501">
          <w:marLeft w:val="0"/>
          <w:marRight w:val="0"/>
          <w:marTop w:val="0"/>
          <w:marBottom w:val="0"/>
          <w:divBdr>
            <w:top w:val="none" w:sz="0" w:space="0" w:color="auto"/>
            <w:left w:val="none" w:sz="0" w:space="0" w:color="auto"/>
            <w:bottom w:val="none" w:sz="0" w:space="0" w:color="auto"/>
            <w:right w:val="none" w:sz="0" w:space="0" w:color="auto"/>
          </w:divBdr>
          <w:divsChild>
            <w:div w:id="1129015643">
              <w:marLeft w:val="0"/>
              <w:marRight w:val="0"/>
              <w:marTop w:val="0"/>
              <w:marBottom w:val="0"/>
              <w:divBdr>
                <w:top w:val="none" w:sz="0" w:space="0" w:color="auto"/>
                <w:left w:val="none" w:sz="0" w:space="0" w:color="auto"/>
                <w:bottom w:val="none" w:sz="0" w:space="0" w:color="auto"/>
                <w:right w:val="none" w:sz="0" w:space="0" w:color="auto"/>
              </w:divBdr>
            </w:div>
          </w:divsChild>
        </w:div>
        <w:div w:id="45489580">
          <w:marLeft w:val="0"/>
          <w:marRight w:val="0"/>
          <w:marTop w:val="0"/>
          <w:marBottom w:val="0"/>
          <w:divBdr>
            <w:top w:val="none" w:sz="0" w:space="0" w:color="auto"/>
            <w:left w:val="none" w:sz="0" w:space="0" w:color="auto"/>
            <w:bottom w:val="none" w:sz="0" w:space="0" w:color="auto"/>
            <w:right w:val="none" w:sz="0" w:space="0" w:color="auto"/>
          </w:divBdr>
          <w:divsChild>
            <w:div w:id="120924717">
              <w:marLeft w:val="0"/>
              <w:marRight w:val="0"/>
              <w:marTop w:val="0"/>
              <w:marBottom w:val="0"/>
              <w:divBdr>
                <w:top w:val="none" w:sz="0" w:space="0" w:color="auto"/>
                <w:left w:val="none" w:sz="0" w:space="0" w:color="auto"/>
                <w:bottom w:val="none" w:sz="0" w:space="0" w:color="auto"/>
                <w:right w:val="none" w:sz="0" w:space="0" w:color="auto"/>
              </w:divBdr>
            </w:div>
          </w:divsChild>
        </w:div>
        <w:div w:id="62140390">
          <w:marLeft w:val="0"/>
          <w:marRight w:val="0"/>
          <w:marTop w:val="0"/>
          <w:marBottom w:val="0"/>
          <w:divBdr>
            <w:top w:val="none" w:sz="0" w:space="0" w:color="auto"/>
            <w:left w:val="none" w:sz="0" w:space="0" w:color="auto"/>
            <w:bottom w:val="none" w:sz="0" w:space="0" w:color="auto"/>
            <w:right w:val="none" w:sz="0" w:space="0" w:color="auto"/>
          </w:divBdr>
          <w:divsChild>
            <w:div w:id="2033678394">
              <w:marLeft w:val="0"/>
              <w:marRight w:val="0"/>
              <w:marTop w:val="0"/>
              <w:marBottom w:val="0"/>
              <w:divBdr>
                <w:top w:val="none" w:sz="0" w:space="0" w:color="auto"/>
                <w:left w:val="none" w:sz="0" w:space="0" w:color="auto"/>
                <w:bottom w:val="none" w:sz="0" w:space="0" w:color="auto"/>
                <w:right w:val="none" w:sz="0" w:space="0" w:color="auto"/>
              </w:divBdr>
            </w:div>
          </w:divsChild>
        </w:div>
        <w:div w:id="105584931">
          <w:marLeft w:val="0"/>
          <w:marRight w:val="0"/>
          <w:marTop w:val="0"/>
          <w:marBottom w:val="0"/>
          <w:divBdr>
            <w:top w:val="none" w:sz="0" w:space="0" w:color="auto"/>
            <w:left w:val="none" w:sz="0" w:space="0" w:color="auto"/>
            <w:bottom w:val="none" w:sz="0" w:space="0" w:color="auto"/>
            <w:right w:val="none" w:sz="0" w:space="0" w:color="auto"/>
          </w:divBdr>
          <w:divsChild>
            <w:div w:id="1909338579">
              <w:marLeft w:val="0"/>
              <w:marRight w:val="0"/>
              <w:marTop w:val="0"/>
              <w:marBottom w:val="0"/>
              <w:divBdr>
                <w:top w:val="none" w:sz="0" w:space="0" w:color="auto"/>
                <w:left w:val="none" w:sz="0" w:space="0" w:color="auto"/>
                <w:bottom w:val="none" w:sz="0" w:space="0" w:color="auto"/>
                <w:right w:val="none" w:sz="0" w:space="0" w:color="auto"/>
              </w:divBdr>
            </w:div>
          </w:divsChild>
        </w:div>
        <w:div w:id="130683602">
          <w:marLeft w:val="0"/>
          <w:marRight w:val="0"/>
          <w:marTop w:val="0"/>
          <w:marBottom w:val="0"/>
          <w:divBdr>
            <w:top w:val="none" w:sz="0" w:space="0" w:color="auto"/>
            <w:left w:val="none" w:sz="0" w:space="0" w:color="auto"/>
            <w:bottom w:val="none" w:sz="0" w:space="0" w:color="auto"/>
            <w:right w:val="none" w:sz="0" w:space="0" w:color="auto"/>
          </w:divBdr>
          <w:divsChild>
            <w:div w:id="1444420019">
              <w:marLeft w:val="0"/>
              <w:marRight w:val="0"/>
              <w:marTop w:val="0"/>
              <w:marBottom w:val="0"/>
              <w:divBdr>
                <w:top w:val="none" w:sz="0" w:space="0" w:color="auto"/>
                <w:left w:val="none" w:sz="0" w:space="0" w:color="auto"/>
                <w:bottom w:val="none" w:sz="0" w:space="0" w:color="auto"/>
                <w:right w:val="none" w:sz="0" w:space="0" w:color="auto"/>
              </w:divBdr>
            </w:div>
          </w:divsChild>
        </w:div>
        <w:div w:id="147525168">
          <w:marLeft w:val="0"/>
          <w:marRight w:val="0"/>
          <w:marTop w:val="0"/>
          <w:marBottom w:val="0"/>
          <w:divBdr>
            <w:top w:val="none" w:sz="0" w:space="0" w:color="auto"/>
            <w:left w:val="none" w:sz="0" w:space="0" w:color="auto"/>
            <w:bottom w:val="none" w:sz="0" w:space="0" w:color="auto"/>
            <w:right w:val="none" w:sz="0" w:space="0" w:color="auto"/>
          </w:divBdr>
          <w:divsChild>
            <w:div w:id="1476218282">
              <w:marLeft w:val="0"/>
              <w:marRight w:val="0"/>
              <w:marTop w:val="0"/>
              <w:marBottom w:val="0"/>
              <w:divBdr>
                <w:top w:val="none" w:sz="0" w:space="0" w:color="auto"/>
                <w:left w:val="none" w:sz="0" w:space="0" w:color="auto"/>
                <w:bottom w:val="none" w:sz="0" w:space="0" w:color="auto"/>
                <w:right w:val="none" w:sz="0" w:space="0" w:color="auto"/>
              </w:divBdr>
            </w:div>
          </w:divsChild>
        </w:div>
        <w:div w:id="173959044">
          <w:marLeft w:val="0"/>
          <w:marRight w:val="0"/>
          <w:marTop w:val="0"/>
          <w:marBottom w:val="0"/>
          <w:divBdr>
            <w:top w:val="none" w:sz="0" w:space="0" w:color="auto"/>
            <w:left w:val="none" w:sz="0" w:space="0" w:color="auto"/>
            <w:bottom w:val="none" w:sz="0" w:space="0" w:color="auto"/>
            <w:right w:val="none" w:sz="0" w:space="0" w:color="auto"/>
          </w:divBdr>
          <w:divsChild>
            <w:div w:id="368651804">
              <w:marLeft w:val="0"/>
              <w:marRight w:val="0"/>
              <w:marTop w:val="0"/>
              <w:marBottom w:val="0"/>
              <w:divBdr>
                <w:top w:val="none" w:sz="0" w:space="0" w:color="auto"/>
                <w:left w:val="none" w:sz="0" w:space="0" w:color="auto"/>
                <w:bottom w:val="none" w:sz="0" w:space="0" w:color="auto"/>
                <w:right w:val="none" w:sz="0" w:space="0" w:color="auto"/>
              </w:divBdr>
            </w:div>
          </w:divsChild>
        </w:div>
        <w:div w:id="210046253">
          <w:marLeft w:val="0"/>
          <w:marRight w:val="0"/>
          <w:marTop w:val="0"/>
          <w:marBottom w:val="0"/>
          <w:divBdr>
            <w:top w:val="none" w:sz="0" w:space="0" w:color="auto"/>
            <w:left w:val="none" w:sz="0" w:space="0" w:color="auto"/>
            <w:bottom w:val="none" w:sz="0" w:space="0" w:color="auto"/>
            <w:right w:val="none" w:sz="0" w:space="0" w:color="auto"/>
          </w:divBdr>
          <w:divsChild>
            <w:div w:id="432284338">
              <w:marLeft w:val="0"/>
              <w:marRight w:val="0"/>
              <w:marTop w:val="0"/>
              <w:marBottom w:val="0"/>
              <w:divBdr>
                <w:top w:val="none" w:sz="0" w:space="0" w:color="auto"/>
                <w:left w:val="none" w:sz="0" w:space="0" w:color="auto"/>
                <w:bottom w:val="none" w:sz="0" w:space="0" w:color="auto"/>
                <w:right w:val="none" w:sz="0" w:space="0" w:color="auto"/>
              </w:divBdr>
            </w:div>
          </w:divsChild>
        </w:div>
        <w:div w:id="211770701">
          <w:marLeft w:val="0"/>
          <w:marRight w:val="0"/>
          <w:marTop w:val="0"/>
          <w:marBottom w:val="0"/>
          <w:divBdr>
            <w:top w:val="none" w:sz="0" w:space="0" w:color="auto"/>
            <w:left w:val="none" w:sz="0" w:space="0" w:color="auto"/>
            <w:bottom w:val="none" w:sz="0" w:space="0" w:color="auto"/>
            <w:right w:val="none" w:sz="0" w:space="0" w:color="auto"/>
          </w:divBdr>
          <w:divsChild>
            <w:div w:id="523787588">
              <w:marLeft w:val="0"/>
              <w:marRight w:val="0"/>
              <w:marTop w:val="0"/>
              <w:marBottom w:val="0"/>
              <w:divBdr>
                <w:top w:val="none" w:sz="0" w:space="0" w:color="auto"/>
                <w:left w:val="none" w:sz="0" w:space="0" w:color="auto"/>
                <w:bottom w:val="none" w:sz="0" w:space="0" w:color="auto"/>
                <w:right w:val="none" w:sz="0" w:space="0" w:color="auto"/>
              </w:divBdr>
            </w:div>
          </w:divsChild>
        </w:div>
        <w:div w:id="236093119">
          <w:marLeft w:val="0"/>
          <w:marRight w:val="0"/>
          <w:marTop w:val="0"/>
          <w:marBottom w:val="0"/>
          <w:divBdr>
            <w:top w:val="none" w:sz="0" w:space="0" w:color="auto"/>
            <w:left w:val="none" w:sz="0" w:space="0" w:color="auto"/>
            <w:bottom w:val="none" w:sz="0" w:space="0" w:color="auto"/>
            <w:right w:val="none" w:sz="0" w:space="0" w:color="auto"/>
          </w:divBdr>
          <w:divsChild>
            <w:div w:id="1910722282">
              <w:marLeft w:val="0"/>
              <w:marRight w:val="0"/>
              <w:marTop w:val="0"/>
              <w:marBottom w:val="0"/>
              <w:divBdr>
                <w:top w:val="none" w:sz="0" w:space="0" w:color="auto"/>
                <w:left w:val="none" w:sz="0" w:space="0" w:color="auto"/>
                <w:bottom w:val="none" w:sz="0" w:space="0" w:color="auto"/>
                <w:right w:val="none" w:sz="0" w:space="0" w:color="auto"/>
              </w:divBdr>
            </w:div>
          </w:divsChild>
        </w:div>
        <w:div w:id="259334524">
          <w:marLeft w:val="0"/>
          <w:marRight w:val="0"/>
          <w:marTop w:val="0"/>
          <w:marBottom w:val="0"/>
          <w:divBdr>
            <w:top w:val="none" w:sz="0" w:space="0" w:color="auto"/>
            <w:left w:val="none" w:sz="0" w:space="0" w:color="auto"/>
            <w:bottom w:val="none" w:sz="0" w:space="0" w:color="auto"/>
            <w:right w:val="none" w:sz="0" w:space="0" w:color="auto"/>
          </w:divBdr>
          <w:divsChild>
            <w:div w:id="1491678229">
              <w:marLeft w:val="0"/>
              <w:marRight w:val="0"/>
              <w:marTop w:val="0"/>
              <w:marBottom w:val="0"/>
              <w:divBdr>
                <w:top w:val="none" w:sz="0" w:space="0" w:color="auto"/>
                <w:left w:val="none" w:sz="0" w:space="0" w:color="auto"/>
                <w:bottom w:val="none" w:sz="0" w:space="0" w:color="auto"/>
                <w:right w:val="none" w:sz="0" w:space="0" w:color="auto"/>
              </w:divBdr>
            </w:div>
          </w:divsChild>
        </w:div>
        <w:div w:id="272906468">
          <w:marLeft w:val="0"/>
          <w:marRight w:val="0"/>
          <w:marTop w:val="0"/>
          <w:marBottom w:val="0"/>
          <w:divBdr>
            <w:top w:val="none" w:sz="0" w:space="0" w:color="auto"/>
            <w:left w:val="none" w:sz="0" w:space="0" w:color="auto"/>
            <w:bottom w:val="none" w:sz="0" w:space="0" w:color="auto"/>
            <w:right w:val="none" w:sz="0" w:space="0" w:color="auto"/>
          </w:divBdr>
          <w:divsChild>
            <w:div w:id="931166947">
              <w:marLeft w:val="0"/>
              <w:marRight w:val="0"/>
              <w:marTop w:val="0"/>
              <w:marBottom w:val="0"/>
              <w:divBdr>
                <w:top w:val="none" w:sz="0" w:space="0" w:color="auto"/>
                <w:left w:val="none" w:sz="0" w:space="0" w:color="auto"/>
                <w:bottom w:val="none" w:sz="0" w:space="0" w:color="auto"/>
                <w:right w:val="none" w:sz="0" w:space="0" w:color="auto"/>
              </w:divBdr>
            </w:div>
          </w:divsChild>
        </w:div>
        <w:div w:id="287905479">
          <w:marLeft w:val="0"/>
          <w:marRight w:val="0"/>
          <w:marTop w:val="0"/>
          <w:marBottom w:val="0"/>
          <w:divBdr>
            <w:top w:val="none" w:sz="0" w:space="0" w:color="auto"/>
            <w:left w:val="none" w:sz="0" w:space="0" w:color="auto"/>
            <w:bottom w:val="none" w:sz="0" w:space="0" w:color="auto"/>
            <w:right w:val="none" w:sz="0" w:space="0" w:color="auto"/>
          </w:divBdr>
          <w:divsChild>
            <w:div w:id="2108501976">
              <w:marLeft w:val="0"/>
              <w:marRight w:val="0"/>
              <w:marTop w:val="0"/>
              <w:marBottom w:val="0"/>
              <w:divBdr>
                <w:top w:val="none" w:sz="0" w:space="0" w:color="auto"/>
                <w:left w:val="none" w:sz="0" w:space="0" w:color="auto"/>
                <w:bottom w:val="none" w:sz="0" w:space="0" w:color="auto"/>
                <w:right w:val="none" w:sz="0" w:space="0" w:color="auto"/>
              </w:divBdr>
            </w:div>
          </w:divsChild>
        </w:div>
        <w:div w:id="306471996">
          <w:marLeft w:val="0"/>
          <w:marRight w:val="0"/>
          <w:marTop w:val="0"/>
          <w:marBottom w:val="0"/>
          <w:divBdr>
            <w:top w:val="none" w:sz="0" w:space="0" w:color="auto"/>
            <w:left w:val="none" w:sz="0" w:space="0" w:color="auto"/>
            <w:bottom w:val="none" w:sz="0" w:space="0" w:color="auto"/>
            <w:right w:val="none" w:sz="0" w:space="0" w:color="auto"/>
          </w:divBdr>
          <w:divsChild>
            <w:div w:id="1312176723">
              <w:marLeft w:val="0"/>
              <w:marRight w:val="0"/>
              <w:marTop w:val="0"/>
              <w:marBottom w:val="0"/>
              <w:divBdr>
                <w:top w:val="none" w:sz="0" w:space="0" w:color="auto"/>
                <w:left w:val="none" w:sz="0" w:space="0" w:color="auto"/>
                <w:bottom w:val="none" w:sz="0" w:space="0" w:color="auto"/>
                <w:right w:val="none" w:sz="0" w:space="0" w:color="auto"/>
              </w:divBdr>
            </w:div>
          </w:divsChild>
        </w:div>
        <w:div w:id="347101384">
          <w:marLeft w:val="0"/>
          <w:marRight w:val="0"/>
          <w:marTop w:val="0"/>
          <w:marBottom w:val="0"/>
          <w:divBdr>
            <w:top w:val="none" w:sz="0" w:space="0" w:color="auto"/>
            <w:left w:val="none" w:sz="0" w:space="0" w:color="auto"/>
            <w:bottom w:val="none" w:sz="0" w:space="0" w:color="auto"/>
            <w:right w:val="none" w:sz="0" w:space="0" w:color="auto"/>
          </w:divBdr>
          <w:divsChild>
            <w:div w:id="577328898">
              <w:marLeft w:val="0"/>
              <w:marRight w:val="0"/>
              <w:marTop w:val="0"/>
              <w:marBottom w:val="0"/>
              <w:divBdr>
                <w:top w:val="none" w:sz="0" w:space="0" w:color="auto"/>
                <w:left w:val="none" w:sz="0" w:space="0" w:color="auto"/>
                <w:bottom w:val="none" w:sz="0" w:space="0" w:color="auto"/>
                <w:right w:val="none" w:sz="0" w:space="0" w:color="auto"/>
              </w:divBdr>
            </w:div>
          </w:divsChild>
        </w:div>
        <w:div w:id="357120948">
          <w:marLeft w:val="0"/>
          <w:marRight w:val="0"/>
          <w:marTop w:val="0"/>
          <w:marBottom w:val="0"/>
          <w:divBdr>
            <w:top w:val="none" w:sz="0" w:space="0" w:color="auto"/>
            <w:left w:val="none" w:sz="0" w:space="0" w:color="auto"/>
            <w:bottom w:val="none" w:sz="0" w:space="0" w:color="auto"/>
            <w:right w:val="none" w:sz="0" w:space="0" w:color="auto"/>
          </w:divBdr>
          <w:divsChild>
            <w:div w:id="1553275729">
              <w:marLeft w:val="0"/>
              <w:marRight w:val="0"/>
              <w:marTop w:val="0"/>
              <w:marBottom w:val="0"/>
              <w:divBdr>
                <w:top w:val="none" w:sz="0" w:space="0" w:color="auto"/>
                <w:left w:val="none" w:sz="0" w:space="0" w:color="auto"/>
                <w:bottom w:val="none" w:sz="0" w:space="0" w:color="auto"/>
                <w:right w:val="none" w:sz="0" w:space="0" w:color="auto"/>
              </w:divBdr>
            </w:div>
          </w:divsChild>
        </w:div>
        <w:div w:id="359087959">
          <w:marLeft w:val="0"/>
          <w:marRight w:val="0"/>
          <w:marTop w:val="0"/>
          <w:marBottom w:val="0"/>
          <w:divBdr>
            <w:top w:val="none" w:sz="0" w:space="0" w:color="auto"/>
            <w:left w:val="none" w:sz="0" w:space="0" w:color="auto"/>
            <w:bottom w:val="none" w:sz="0" w:space="0" w:color="auto"/>
            <w:right w:val="none" w:sz="0" w:space="0" w:color="auto"/>
          </w:divBdr>
          <w:divsChild>
            <w:div w:id="1316107515">
              <w:marLeft w:val="0"/>
              <w:marRight w:val="0"/>
              <w:marTop w:val="0"/>
              <w:marBottom w:val="0"/>
              <w:divBdr>
                <w:top w:val="none" w:sz="0" w:space="0" w:color="auto"/>
                <w:left w:val="none" w:sz="0" w:space="0" w:color="auto"/>
                <w:bottom w:val="none" w:sz="0" w:space="0" w:color="auto"/>
                <w:right w:val="none" w:sz="0" w:space="0" w:color="auto"/>
              </w:divBdr>
            </w:div>
          </w:divsChild>
        </w:div>
        <w:div w:id="363217115">
          <w:marLeft w:val="0"/>
          <w:marRight w:val="0"/>
          <w:marTop w:val="0"/>
          <w:marBottom w:val="0"/>
          <w:divBdr>
            <w:top w:val="none" w:sz="0" w:space="0" w:color="auto"/>
            <w:left w:val="none" w:sz="0" w:space="0" w:color="auto"/>
            <w:bottom w:val="none" w:sz="0" w:space="0" w:color="auto"/>
            <w:right w:val="none" w:sz="0" w:space="0" w:color="auto"/>
          </w:divBdr>
          <w:divsChild>
            <w:div w:id="492337374">
              <w:marLeft w:val="0"/>
              <w:marRight w:val="0"/>
              <w:marTop w:val="0"/>
              <w:marBottom w:val="0"/>
              <w:divBdr>
                <w:top w:val="none" w:sz="0" w:space="0" w:color="auto"/>
                <w:left w:val="none" w:sz="0" w:space="0" w:color="auto"/>
                <w:bottom w:val="none" w:sz="0" w:space="0" w:color="auto"/>
                <w:right w:val="none" w:sz="0" w:space="0" w:color="auto"/>
              </w:divBdr>
            </w:div>
          </w:divsChild>
        </w:div>
        <w:div w:id="373384958">
          <w:marLeft w:val="0"/>
          <w:marRight w:val="0"/>
          <w:marTop w:val="0"/>
          <w:marBottom w:val="0"/>
          <w:divBdr>
            <w:top w:val="none" w:sz="0" w:space="0" w:color="auto"/>
            <w:left w:val="none" w:sz="0" w:space="0" w:color="auto"/>
            <w:bottom w:val="none" w:sz="0" w:space="0" w:color="auto"/>
            <w:right w:val="none" w:sz="0" w:space="0" w:color="auto"/>
          </w:divBdr>
          <w:divsChild>
            <w:div w:id="646325995">
              <w:marLeft w:val="0"/>
              <w:marRight w:val="0"/>
              <w:marTop w:val="0"/>
              <w:marBottom w:val="0"/>
              <w:divBdr>
                <w:top w:val="none" w:sz="0" w:space="0" w:color="auto"/>
                <w:left w:val="none" w:sz="0" w:space="0" w:color="auto"/>
                <w:bottom w:val="none" w:sz="0" w:space="0" w:color="auto"/>
                <w:right w:val="none" w:sz="0" w:space="0" w:color="auto"/>
              </w:divBdr>
            </w:div>
          </w:divsChild>
        </w:div>
        <w:div w:id="377629047">
          <w:marLeft w:val="0"/>
          <w:marRight w:val="0"/>
          <w:marTop w:val="0"/>
          <w:marBottom w:val="0"/>
          <w:divBdr>
            <w:top w:val="none" w:sz="0" w:space="0" w:color="auto"/>
            <w:left w:val="none" w:sz="0" w:space="0" w:color="auto"/>
            <w:bottom w:val="none" w:sz="0" w:space="0" w:color="auto"/>
            <w:right w:val="none" w:sz="0" w:space="0" w:color="auto"/>
          </w:divBdr>
          <w:divsChild>
            <w:div w:id="385028278">
              <w:marLeft w:val="0"/>
              <w:marRight w:val="0"/>
              <w:marTop w:val="0"/>
              <w:marBottom w:val="0"/>
              <w:divBdr>
                <w:top w:val="none" w:sz="0" w:space="0" w:color="auto"/>
                <w:left w:val="none" w:sz="0" w:space="0" w:color="auto"/>
                <w:bottom w:val="none" w:sz="0" w:space="0" w:color="auto"/>
                <w:right w:val="none" w:sz="0" w:space="0" w:color="auto"/>
              </w:divBdr>
            </w:div>
          </w:divsChild>
        </w:div>
        <w:div w:id="421801415">
          <w:marLeft w:val="0"/>
          <w:marRight w:val="0"/>
          <w:marTop w:val="0"/>
          <w:marBottom w:val="0"/>
          <w:divBdr>
            <w:top w:val="none" w:sz="0" w:space="0" w:color="auto"/>
            <w:left w:val="none" w:sz="0" w:space="0" w:color="auto"/>
            <w:bottom w:val="none" w:sz="0" w:space="0" w:color="auto"/>
            <w:right w:val="none" w:sz="0" w:space="0" w:color="auto"/>
          </w:divBdr>
          <w:divsChild>
            <w:div w:id="1853103363">
              <w:marLeft w:val="0"/>
              <w:marRight w:val="0"/>
              <w:marTop w:val="0"/>
              <w:marBottom w:val="0"/>
              <w:divBdr>
                <w:top w:val="none" w:sz="0" w:space="0" w:color="auto"/>
                <w:left w:val="none" w:sz="0" w:space="0" w:color="auto"/>
                <w:bottom w:val="none" w:sz="0" w:space="0" w:color="auto"/>
                <w:right w:val="none" w:sz="0" w:space="0" w:color="auto"/>
              </w:divBdr>
            </w:div>
          </w:divsChild>
        </w:div>
        <w:div w:id="424882091">
          <w:marLeft w:val="0"/>
          <w:marRight w:val="0"/>
          <w:marTop w:val="0"/>
          <w:marBottom w:val="0"/>
          <w:divBdr>
            <w:top w:val="none" w:sz="0" w:space="0" w:color="auto"/>
            <w:left w:val="none" w:sz="0" w:space="0" w:color="auto"/>
            <w:bottom w:val="none" w:sz="0" w:space="0" w:color="auto"/>
            <w:right w:val="none" w:sz="0" w:space="0" w:color="auto"/>
          </w:divBdr>
          <w:divsChild>
            <w:div w:id="1441415530">
              <w:marLeft w:val="0"/>
              <w:marRight w:val="0"/>
              <w:marTop w:val="0"/>
              <w:marBottom w:val="0"/>
              <w:divBdr>
                <w:top w:val="none" w:sz="0" w:space="0" w:color="auto"/>
                <w:left w:val="none" w:sz="0" w:space="0" w:color="auto"/>
                <w:bottom w:val="none" w:sz="0" w:space="0" w:color="auto"/>
                <w:right w:val="none" w:sz="0" w:space="0" w:color="auto"/>
              </w:divBdr>
            </w:div>
          </w:divsChild>
        </w:div>
        <w:div w:id="438571558">
          <w:marLeft w:val="0"/>
          <w:marRight w:val="0"/>
          <w:marTop w:val="0"/>
          <w:marBottom w:val="0"/>
          <w:divBdr>
            <w:top w:val="none" w:sz="0" w:space="0" w:color="auto"/>
            <w:left w:val="none" w:sz="0" w:space="0" w:color="auto"/>
            <w:bottom w:val="none" w:sz="0" w:space="0" w:color="auto"/>
            <w:right w:val="none" w:sz="0" w:space="0" w:color="auto"/>
          </w:divBdr>
          <w:divsChild>
            <w:div w:id="1194030559">
              <w:marLeft w:val="0"/>
              <w:marRight w:val="0"/>
              <w:marTop w:val="0"/>
              <w:marBottom w:val="0"/>
              <w:divBdr>
                <w:top w:val="none" w:sz="0" w:space="0" w:color="auto"/>
                <w:left w:val="none" w:sz="0" w:space="0" w:color="auto"/>
                <w:bottom w:val="none" w:sz="0" w:space="0" w:color="auto"/>
                <w:right w:val="none" w:sz="0" w:space="0" w:color="auto"/>
              </w:divBdr>
            </w:div>
          </w:divsChild>
        </w:div>
        <w:div w:id="463886641">
          <w:marLeft w:val="0"/>
          <w:marRight w:val="0"/>
          <w:marTop w:val="0"/>
          <w:marBottom w:val="0"/>
          <w:divBdr>
            <w:top w:val="none" w:sz="0" w:space="0" w:color="auto"/>
            <w:left w:val="none" w:sz="0" w:space="0" w:color="auto"/>
            <w:bottom w:val="none" w:sz="0" w:space="0" w:color="auto"/>
            <w:right w:val="none" w:sz="0" w:space="0" w:color="auto"/>
          </w:divBdr>
          <w:divsChild>
            <w:div w:id="2100518946">
              <w:marLeft w:val="0"/>
              <w:marRight w:val="0"/>
              <w:marTop w:val="0"/>
              <w:marBottom w:val="0"/>
              <w:divBdr>
                <w:top w:val="none" w:sz="0" w:space="0" w:color="auto"/>
                <w:left w:val="none" w:sz="0" w:space="0" w:color="auto"/>
                <w:bottom w:val="none" w:sz="0" w:space="0" w:color="auto"/>
                <w:right w:val="none" w:sz="0" w:space="0" w:color="auto"/>
              </w:divBdr>
            </w:div>
          </w:divsChild>
        </w:div>
        <w:div w:id="505749192">
          <w:marLeft w:val="0"/>
          <w:marRight w:val="0"/>
          <w:marTop w:val="0"/>
          <w:marBottom w:val="0"/>
          <w:divBdr>
            <w:top w:val="none" w:sz="0" w:space="0" w:color="auto"/>
            <w:left w:val="none" w:sz="0" w:space="0" w:color="auto"/>
            <w:bottom w:val="none" w:sz="0" w:space="0" w:color="auto"/>
            <w:right w:val="none" w:sz="0" w:space="0" w:color="auto"/>
          </w:divBdr>
          <w:divsChild>
            <w:div w:id="196359336">
              <w:marLeft w:val="0"/>
              <w:marRight w:val="0"/>
              <w:marTop w:val="0"/>
              <w:marBottom w:val="0"/>
              <w:divBdr>
                <w:top w:val="none" w:sz="0" w:space="0" w:color="auto"/>
                <w:left w:val="none" w:sz="0" w:space="0" w:color="auto"/>
                <w:bottom w:val="none" w:sz="0" w:space="0" w:color="auto"/>
                <w:right w:val="none" w:sz="0" w:space="0" w:color="auto"/>
              </w:divBdr>
            </w:div>
          </w:divsChild>
        </w:div>
        <w:div w:id="535048699">
          <w:marLeft w:val="0"/>
          <w:marRight w:val="0"/>
          <w:marTop w:val="0"/>
          <w:marBottom w:val="0"/>
          <w:divBdr>
            <w:top w:val="none" w:sz="0" w:space="0" w:color="auto"/>
            <w:left w:val="none" w:sz="0" w:space="0" w:color="auto"/>
            <w:bottom w:val="none" w:sz="0" w:space="0" w:color="auto"/>
            <w:right w:val="none" w:sz="0" w:space="0" w:color="auto"/>
          </w:divBdr>
          <w:divsChild>
            <w:div w:id="334038157">
              <w:marLeft w:val="0"/>
              <w:marRight w:val="0"/>
              <w:marTop w:val="0"/>
              <w:marBottom w:val="0"/>
              <w:divBdr>
                <w:top w:val="none" w:sz="0" w:space="0" w:color="auto"/>
                <w:left w:val="none" w:sz="0" w:space="0" w:color="auto"/>
                <w:bottom w:val="none" w:sz="0" w:space="0" w:color="auto"/>
                <w:right w:val="none" w:sz="0" w:space="0" w:color="auto"/>
              </w:divBdr>
            </w:div>
          </w:divsChild>
        </w:div>
        <w:div w:id="541017877">
          <w:marLeft w:val="0"/>
          <w:marRight w:val="0"/>
          <w:marTop w:val="0"/>
          <w:marBottom w:val="0"/>
          <w:divBdr>
            <w:top w:val="none" w:sz="0" w:space="0" w:color="auto"/>
            <w:left w:val="none" w:sz="0" w:space="0" w:color="auto"/>
            <w:bottom w:val="none" w:sz="0" w:space="0" w:color="auto"/>
            <w:right w:val="none" w:sz="0" w:space="0" w:color="auto"/>
          </w:divBdr>
          <w:divsChild>
            <w:div w:id="1413311166">
              <w:marLeft w:val="0"/>
              <w:marRight w:val="0"/>
              <w:marTop w:val="0"/>
              <w:marBottom w:val="0"/>
              <w:divBdr>
                <w:top w:val="none" w:sz="0" w:space="0" w:color="auto"/>
                <w:left w:val="none" w:sz="0" w:space="0" w:color="auto"/>
                <w:bottom w:val="none" w:sz="0" w:space="0" w:color="auto"/>
                <w:right w:val="none" w:sz="0" w:space="0" w:color="auto"/>
              </w:divBdr>
            </w:div>
          </w:divsChild>
        </w:div>
        <w:div w:id="610404866">
          <w:marLeft w:val="0"/>
          <w:marRight w:val="0"/>
          <w:marTop w:val="0"/>
          <w:marBottom w:val="0"/>
          <w:divBdr>
            <w:top w:val="none" w:sz="0" w:space="0" w:color="auto"/>
            <w:left w:val="none" w:sz="0" w:space="0" w:color="auto"/>
            <w:bottom w:val="none" w:sz="0" w:space="0" w:color="auto"/>
            <w:right w:val="none" w:sz="0" w:space="0" w:color="auto"/>
          </w:divBdr>
          <w:divsChild>
            <w:div w:id="407532039">
              <w:marLeft w:val="0"/>
              <w:marRight w:val="0"/>
              <w:marTop w:val="0"/>
              <w:marBottom w:val="0"/>
              <w:divBdr>
                <w:top w:val="none" w:sz="0" w:space="0" w:color="auto"/>
                <w:left w:val="none" w:sz="0" w:space="0" w:color="auto"/>
                <w:bottom w:val="none" w:sz="0" w:space="0" w:color="auto"/>
                <w:right w:val="none" w:sz="0" w:space="0" w:color="auto"/>
              </w:divBdr>
            </w:div>
          </w:divsChild>
        </w:div>
        <w:div w:id="636029345">
          <w:marLeft w:val="0"/>
          <w:marRight w:val="0"/>
          <w:marTop w:val="0"/>
          <w:marBottom w:val="0"/>
          <w:divBdr>
            <w:top w:val="none" w:sz="0" w:space="0" w:color="auto"/>
            <w:left w:val="none" w:sz="0" w:space="0" w:color="auto"/>
            <w:bottom w:val="none" w:sz="0" w:space="0" w:color="auto"/>
            <w:right w:val="none" w:sz="0" w:space="0" w:color="auto"/>
          </w:divBdr>
          <w:divsChild>
            <w:div w:id="10688167">
              <w:marLeft w:val="0"/>
              <w:marRight w:val="0"/>
              <w:marTop w:val="0"/>
              <w:marBottom w:val="0"/>
              <w:divBdr>
                <w:top w:val="none" w:sz="0" w:space="0" w:color="auto"/>
                <w:left w:val="none" w:sz="0" w:space="0" w:color="auto"/>
                <w:bottom w:val="none" w:sz="0" w:space="0" w:color="auto"/>
                <w:right w:val="none" w:sz="0" w:space="0" w:color="auto"/>
              </w:divBdr>
            </w:div>
          </w:divsChild>
        </w:div>
        <w:div w:id="642274127">
          <w:marLeft w:val="0"/>
          <w:marRight w:val="0"/>
          <w:marTop w:val="0"/>
          <w:marBottom w:val="0"/>
          <w:divBdr>
            <w:top w:val="none" w:sz="0" w:space="0" w:color="auto"/>
            <w:left w:val="none" w:sz="0" w:space="0" w:color="auto"/>
            <w:bottom w:val="none" w:sz="0" w:space="0" w:color="auto"/>
            <w:right w:val="none" w:sz="0" w:space="0" w:color="auto"/>
          </w:divBdr>
          <w:divsChild>
            <w:div w:id="999501264">
              <w:marLeft w:val="0"/>
              <w:marRight w:val="0"/>
              <w:marTop w:val="0"/>
              <w:marBottom w:val="0"/>
              <w:divBdr>
                <w:top w:val="none" w:sz="0" w:space="0" w:color="auto"/>
                <w:left w:val="none" w:sz="0" w:space="0" w:color="auto"/>
                <w:bottom w:val="none" w:sz="0" w:space="0" w:color="auto"/>
                <w:right w:val="none" w:sz="0" w:space="0" w:color="auto"/>
              </w:divBdr>
            </w:div>
          </w:divsChild>
        </w:div>
        <w:div w:id="664743626">
          <w:marLeft w:val="0"/>
          <w:marRight w:val="0"/>
          <w:marTop w:val="0"/>
          <w:marBottom w:val="0"/>
          <w:divBdr>
            <w:top w:val="none" w:sz="0" w:space="0" w:color="auto"/>
            <w:left w:val="none" w:sz="0" w:space="0" w:color="auto"/>
            <w:bottom w:val="none" w:sz="0" w:space="0" w:color="auto"/>
            <w:right w:val="none" w:sz="0" w:space="0" w:color="auto"/>
          </w:divBdr>
          <w:divsChild>
            <w:div w:id="933172577">
              <w:marLeft w:val="0"/>
              <w:marRight w:val="0"/>
              <w:marTop w:val="0"/>
              <w:marBottom w:val="0"/>
              <w:divBdr>
                <w:top w:val="none" w:sz="0" w:space="0" w:color="auto"/>
                <w:left w:val="none" w:sz="0" w:space="0" w:color="auto"/>
                <w:bottom w:val="none" w:sz="0" w:space="0" w:color="auto"/>
                <w:right w:val="none" w:sz="0" w:space="0" w:color="auto"/>
              </w:divBdr>
            </w:div>
          </w:divsChild>
        </w:div>
        <w:div w:id="684787793">
          <w:marLeft w:val="0"/>
          <w:marRight w:val="0"/>
          <w:marTop w:val="0"/>
          <w:marBottom w:val="0"/>
          <w:divBdr>
            <w:top w:val="none" w:sz="0" w:space="0" w:color="auto"/>
            <w:left w:val="none" w:sz="0" w:space="0" w:color="auto"/>
            <w:bottom w:val="none" w:sz="0" w:space="0" w:color="auto"/>
            <w:right w:val="none" w:sz="0" w:space="0" w:color="auto"/>
          </w:divBdr>
          <w:divsChild>
            <w:div w:id="339696297">
              <w:marLeft w:val="0"/>
              <w:marRight w:val="0"/>
              <w:marTop w:val="0"/>
              <w:marBottom w:val="0"/>
              <w:divBdr>
                <w:top w:val="none" w:sz="0" w:space="0" w:color="auto"/>
                <w:left w:val="none" w:sz="0" w:space="0" w:color="auto"/>
                <w:bottom w:val="none" w:sz="0" w:space="0" w:color="auto"/>
                <w:right w:val="none" w:sz="0" w:space="0" w:color="auto"/>
              </w:divBdr>
            </w:div>
          </w:divsChild>
        </w:div>
        <w:div w:id="752354084">
          <w:marLeft w:val="0"/>
          <w:marRight w:val="0"/>
          <w:marTop w:val="0"/>
          <w:marBottom w:val="0"/>
          <w:divBdr>
            <w:top w:val="none" w:sz="0" w:space="0" w:color="auto"/>
            <w:left w:val="none" w:sz="0" w:space="0" w:color="auto"/>
            <w:bottom w:val="none" w:sz="0" w:space="0" w:color="auto"/>
            <w:right w:val="none" w:sz="0" w:space="0" w:color="auto"/>
          </w:divBdr>
          <w:divsChild>
            <w:div w:id="668289290">
              <w:marLeft w:val="0"/>
              <w:marRight w:val="0"/>
              <w:marTop w:val="0"/>
              <w:marBottom w:val="0"/>
              <w:divBdr>
                <w:top w:val="none" w:sz="0" w:space="0" w:color="auto"/>
                <w:left w:val="none" w:sz="0" w:space="0" w:color="auto"/>
                <w:bottom w:val="none" w:sz="0" w:space="0" w:color="auto"/>
                <w:right w:val="none" w:sz="0" w:space="0" w:color="auto"/>
              </w:divBdr>
            </w:div>
          </w:divsChild>
        </w:div>
        <w:div w:id="773280202">
          <w:marLeft w:val="0"/>
          <w:marRight w:val="0"/>
          <w:marTop w:val="0"/>
          <w:marBottom w:val="0"/>
          <w:divBdr>
            <w:top w:val="none" w:sz="0" w:space="0" w:color="auto"/>
            <w:left w:val="none" w:sz="0" w:space="0" w:color="auto"/>
            <w:bottom w:val="none" w:sz="0" w:space="0" w:color="auto"/>
            <w:right w:val="none" w:sz="0" w:space="0" w:color="auto"/>
          </w:divBdr>
          <w:divsChild>
            <w:div w:id="1419982316">
              <w:marLeft w:val="0"/>
              <w:marRight w:val="0"/>
              <w:marTop w:val="0"/>
              <w:marBottom w:val="0"/>
              <w:divBdr>
                <w:top w:val="none" w:sz="0" w:space="0" w:color="auto"/>
                <w:left w:val="none" w:sz="0" w:space="0" w:color="auto"/>
                <w:bottom w:val="none" w:sz="0" w:space="0" w:color="auto"/>
                <w:right w:val="none" w:sz="0" w:space="0" w:color="auto"/>
              </w:divBdr>
            </w:div>
          </w:divsChild>
        </w:div>
        <w:div w:id="786044932">
          <w:marLeft w:val="0"/>
          <w:marRight w:val="0"/>
          <w:marTop w:val="0"/>
          <w:marBottom w:val="0"/>
          <w:divBdr>
            <w:top w:val="none" w:sz="0" w:space="0" w:color="auto"/>
            <w:left w:val="none" w:sz="0" w:space="0" w:color="auto"/>
            <w:bottom w:val="none" w:sz="0" w:space="0" w:color="auto"/>
            <w:right w:val="none" w:sz="0" w:space="0" w:color="auto"/>
          </w:divBdr>
          <w:divsChild>
            <w:div w:id="1811049931">
              <w:marLeft w:val="0"/>
              <w:marRight w:val="0"/>
              <w:marTop w:val="0"/>
              <w:marBottom w:val="0"/>
              <w:divBdr>
                <w:top w:val="none" w:sz="0" w:space="0" w:color="auto"/>
                <w:left w:val="none" w:sz="0" w:space="0" w:color="auto"/>
                <w:bottom w:val="none" w:sz="0" w:space="0" w:color="auto"/>
                <w:right w:val="none" w:sz="0" w:space="0" w:color="auto"/>
              </w:divBdr>
            </w:div>
          </w:divsChild>
        </w:div>
        <w:div w:id="788276617">
          <w:marLeft w:val="0"/>
          <w:marRight w:val="0"/>
          <w:marTop w:val="0"/>
          <w:marBottom w:val="0"/>
          <w:divBdr>
            <w:top w:val="none" w:sz="0" w:space="0" w:color="auto"/>
            <w:left w:val="none" w:sz="0" w:space="0" w:color="auto"/>
            <w:bottom w:val="none" w:sz="0" w:space="0" w:color="auto"/>
            <w:right w:val="none" w:sz="0" w:space="0" w:color="auto"/>
          </w:divBdr>
          <w:divsChild>
            <w:div w:id="2118019814">
              <w:marLeft w:val="0"/>
              <w:marRight w:val="0"/>
              <w:marTop w:val="0"/>
              <w:marBottom w:val="0"/>
              <w:divBdr>
                <w:top w:val="none" w:sz="0" w:space="0" w:color="auto"/>
                <w:left w:val="none" w:sz="0" w:space="0" w:color="auto"/>
                <w:bottom w:val="none" w:sz="0" w:space="0" w:color="auto"/>
                <w:right w:val="none" w:sz="0" w:space="0" w:color="auto"/>
              </w:divBdr>
            </w:div>
          </w:divsChild>
        </w:div>
        <w:div w:id="789322169">
          <w:marLeft w:val="0"/>
          <w:marRight w:val="0"/>
          <w:marTop w:val="0"/>
          <w:marBottom w:val="0"/>
          <w:divBdr>
            <w:top w:val="none" w:sz="0" w:space="0" w:color="auto"/>
            <w:left w:val="none" w:sz="0" w:space="0" w:color="auto"/>
            <w:bottom w:val="none" w:sz="0" w:space="0" w:color="auto"/>
            <w:right w:val="none" w:sz="0" w:space="0" w:color="auto"/>
          </w:divBdr>
          <w:divsChild>
            <w:div w:id="2051152318">
              <w:marLeft w:val="0"/>
              <w:marRight w:val="0"/>
              <w:marTop w:val="0"/>
              <w:marBottom w:val="0"/>
              <w:divBdr>
                <w:top w:val="none" w:sz="0" w:space="0" w:color="auto"/>
                <w:left w:val="none" w:sz="0" w:space="0" w:color="auto"/>
                <w:bottom w:val="none" w:sz="0" w:space="0" w:color="auto"/>
                <w:right w:val="none" w:sz="0" w:space="0" w:color="auto"/>
              </w:divBdr>
            </w:div>
          </w:divsChild>
        </w:div>
        <w:div w:id="799879525">
          <w:marLeft w:val="0"/>
          <w:marRight w:val="0"/>
          <w:marTop w:val="0"/>
          <w:marBottom w:val="0"/>
          <w:divBdr>
            <w:top w:val="none" w:sz="0" w:space="0" w:color="auto"/>
            <w:left w:val="none" w:sz="0" w:space="0" w:color="auto"/>
            <w:bottom w:val="none" w:sz="0" w:space="0" w:color="auto"/>
            <w:right w:val="none" w:sz="0" w:space="0" w:color="auto"/>
          </w:divBdr>
          <w:divsChild>
            <w:div w:id="1369527950">
              <w:marLeft w:val="0"/>
              <w:marRight w:val="0"/>
              <w:marTop w:val="0"/>
              <w:marBottom w:val="0"/>
              <w:divBdr>
                <w:top w:val="none" w:sz="0" w:space="0" w:color="auto"/>
                <w:left w:val="none" w:sz="0" w:space="0" w:color="auto"/>
                <w:bottom w:val="none" w:sz="0" w:space="0" w:color="auto"/>
                <w:right w:val="none" w:sz="0" w:space="0" w:color="auto"/>
              </w:divBdr>
            </w:div>
          </w:divsChild>
        </w:div>
        <w:div w:id="834565724">
          <w:marLeft w:val="0"/>
          <w:marRight w:val="0"/>
          <w:marTop w:val="0"/>
          <w:marBottom w:val="0"/>
          <w:divBdr>
            <w:top w:val="none" w:sz="0" w:space="0" w:color="auto"/>
            <w:left w:val="none" w:sz="0" w:space="0" w:color="auto"/>
            <w:bottom w:val="none" w:sz="0" w:space="0" w:color="auto"/>
            <w:right w:val="none" w:sz="0" w:space="0" w:color="auto"/>
          </w:divBdr>
          <w:divsChild>
            <w:div w:id="2125539442">
              <w:marLeft w:val="0"/>
              <w:marRight w:val="0"/>
              <w:marTop w:val="0"/>
              <w:marBottom w:val="0"/>
              <w:divBdr>
                <w:top w:val="none" w:sz="0" w:space="0" w:color="auto"/>
                <w:left w:val="none" w:sz="0" w:space="0" w:color="auto"/>
                <w:bottom w:val="none" w:sz="0" w:space="0" w:color="auto"/>
                <w:right w:val="none" w:sz="0" w:space="0" w:color="auto"/>
              </w:divBdr>
            </w:div>
          </w:divsChild>
        </w:div>
        <w:div w:id="835146967">
          <w:marLeft w:val="0"/>
          <w:marRight w:val="0"/>
          <w:marTop w:val="0"/>
          <w:marBottom w:val="0"/>
          <w:divBdr>
            <w:top w:val="none" w:sz="0" w:space="0" w:color="auto"/>
            <w:left w:val="none" w:sz="0" w:space="0" w:color="auto"/>
            <w:bottom w:val="none" w:sz="0" w:space="0" w:color="auto"/>
            <w:right w:val="none" w:sz="0" w:space="0" w:color="auto"/>
          </w:divBdr>
          <w:divsChild>
            <w:div w:id="1565338702">
              <w:marLeft w:val="0"/>
              <w:marRight w:val="0"/>
              <w:marTop w:val="0"/>
              <w:marBottom w:val="0"/>
              <w:divBdr>
                <w:top w:val="none" w:sz="0" w:space="0" w:color="auto"/>
                <w:left w:val="none" w:sz="0" w:space="0" w:color="auto"/>
                <w:bottom w:val="none" w:sz="0" w:space="0" w:color="auto"/>
                <w:right w:val="none" w:sz="0" w:space="0" w:color="auto"/>
              </w:divBdr>
            </w:div>
          </w:divsChild>
        </w:div>
        <w:div w:id="861632524">
          <w:marLeft w:val="0"/>
          <w:marRight w:val="0"/>
          <w:marTop w:val="0"/>
          <w:marBottom w:val="0"/>
          <w:divBdr>
            <w:top w:val="none" w:sz="0" w:space="0" w:color="auto"/>
            <w:left w:val="none" w:sz="0" w:space="0" w:color="auto"/>
            <w:bottom w:val="none" w:sz="0" w:space="0" w:color="auto"/>
            <w:right w:val="none" w:sz="0" w:space="0" w:color="auto"/>
          </w:divBdr>
          <w:divsChild>
            <w:div w:id="1316714359">
              <w:marLeft w:val="0"/>
              <w:marRight w:val="0"/>
              <w:marTop w:val="0"/>
              <w:marBottom w:val="0"/>
              <w:divBdr>
                <w:top w:val="none" w:sz="0" w:space="0" w:color="auto"/>
                <w:left w:val="none" w:sz="0" w:space="0" w:color="auto"/>
                <w:bottom w:val="none" w:sz="0" w:space="0" w:color="auto"/>
                <w:right w:val="none" w:sz="0" w:space="0" w:color="auto"/>
              </w:divBdr>
            </w:div>
          </w:divsChild>
        </w:div>
        <w:div w:id="875436296">
          <w:marLeft w:val="0"/>
          <w:marRight w:val="0"/>
          <w:marTop w:val="0"/>
          <w:marBottom w:val="0"/>
          <w:divBdr>
            <w:top w:val="none" w:sz="0" w:space="0" w:color="auto"/>
            <w:left w:val="none" w:sz="0" w:space="0" w:color="auto"/>
            <w:bottom w:val="none" w:sz="0" w:space="0" w:color="auto"/>
            <w:right w:val="none" w:sz="0" w:space="0" w:color="auto"/>
          </w:divBdr>
          <w:divsChild>
            <w:div w:id="35784219">
              <w:marLeft w:val="0"/>
              <w:marRight w:val="0"/>
              <w:marTop w:val="0"/>
              <w:marBottom w:val="0"/>
              <w:divBdr>
                <w:top w:val="none" w:sz="0" w:space="0" w:color="auto"/>
                <w:left w:val="none" w:sz="0" w:space="0" w:color="auto"/>
                <w:bottom w:val="none" w:sz="0" w:space="0" w:color="auto"/>
                <w:right w:val="none" w:sz="0" w:space="0" w:color="auto"/>
              </w:divBdr>
            </w:div>
          </w:divsChild>
        </w:div>
        <w:div w:id="942105279">
          <w:marLeft w:val="0"/>
          <w:marRight w:val="0"/>
          <w:marTop w:val="0"/>
          <w:marBottom w:val="0"/>
          <w:divBdr>
            <w:top w:val="none" w:sz="0" w:space="0" w:color="auto"/>
            <w:left w:val="none" w:sz="0" w:space="0" w:color="auto"/>
            <w:bottom w:val="none" w:sz="0" w:space="0" w:color="auto"/>
            <w:right w:val="none" w:sz="0" w:space="0" w:color="auto"/>
          </w:divBdr>
          <w:divsChild>
            <w:div w:id="463894628">
              <w:marLeft w:val="0"/>
              <w:marRight w:val="0"/>
              <w:marTop w:val="0"/>
              <w:marBottom w:val="0"/>
              <w:divBdr>
                <w:top w:val="none" w:sz="0" w:space="0" w:color="auto"/>
                <w:left w:val="none" w:sz="0" w:space="0" w:color="auto"/>
                <w:bottom w:val="none" w:sz="0" w:space="0" w:color="auto"/>
                <w:right w:val="none" w:sz="0" w:space="0" w:color="auto"/>
              </w:divBdr>
            </w:div>
          </w:divsChild>
        </w:div>
        <w:div w:id="972561375">
          <w:marLeft w:val="0"/>
          <w:marRight w:val="0"/>
          <w:marTop w:val="0"/>
          <w:marBottom w:val="0"/>
          <w:divBdr>
            <w:top w:val="none" w:sz="0" w:space="0" w:color="auto"/>
            <w:left w:val="none" w:sz="0" w:space="0" w:color="auto"/>
            <w:bottom w:val="none" w:sz="0" w:space="0" w:color="auto"/>
            <w:right w:val="none" w:sz="0" w:space="0" w:color="auto"/>
          </w:divBdr>
          <w:divsChild>
            <w:div w:id="1981687732">
              <w:marLeft w:val="0"/>
              <w:marRight w:val="0"/>
              <w:marTop w:val="0"/>
              <w:marBottom w:val="0"/>
              <w:divBdr>
                <w:top w:val="none" w:sz="0" w:space="0" w:color="auto"/>
                <w:left w:val="none" w:sz="0" w:space="0" w:color="auto"/>
                <w:bottom w:val="none" w:sz="0" w:space="0" w:color="auto"/>
                <w:right w:val="none" w:sz="0" w:space="0" w:color="auto"/>
              </w:divBdr>
            </w:div>
          </w:divsChild>
        </w:div>
        <w:div w:id="974144335">
          <w:marLeft w:val="0"/>
          <w:marRight w:val="0"/>
          <w:marTop w:val="0"/>
          <w:marBottom w:val="0"/>
          <w:divBdr>
            <w:top w:val="none" w:sz="0" w:space="0" w:color="auto"/>
            <w:left w:val="none" w:sz="0" w:space="0" w:color="auto"/>
            <w:bottom w:val="none" w:sz="0" w:space="0" w:color="auto"/>
            <w:right w:val="none" w:sz="0" w:space="0" w:color="auto"/>
          </w:divBdr>
          <w:divsChild>
            <w:div w:id="1636913800">
              <w:marLeft w:val="0"/>
              <w:marRight w:val="0"/>
              <w:marTop w:val="0"/>
              <w:marBottom w:val="0"/>
              <w:divBdr>
                <w:top w:val="none" w:sz="0" w:space="0" w:color="auto"/>
                <w:left w:val="none" w:sz="0" w:space="0" w:color="auto"/>
                <w:bottom w:val="none" w:sz="0" w:space="0" w:color="auto"/>
                <w:right w:val="none" w:sz="0" w:space="0" w:color="auto"/>
              </w:divBdr>
            </w:div>
          </w:divsChild>
        </w:div>
        <w:div w:id="979532238">
          <w:marLeft w:val="0"/>
          <w:marRight w:val="0"/>
          <w:marTop w:val="0"/>
          <w:marBottom w:val="0"/>
          <w:divBdr>
            <w:top w:val="none" w:sz="0" w:space="0" w:color="auto"/>
            <w:left w:val="none" w:sz="0" w:space="0" w:color="auto"/>
            <w:bottom w:val="none" w:sz="0" w:space="0" w:color="auto"/>
            <w:right w:val="none" w:sz="0" w:space="0" w:color="auto"/>
          </w:divBdr>
          <w:divsChild>
            <w:div w:id="1319504598">
              <w:marLeft w:val="0"/>
              <w:marRight w:val="0"/>
              <w:marTop w:val="0"/>
              <w:marBottom w:val="0"/>
              <w:divBdr>
                <w:top w:val="none" w:sz="0" w:space="0" w:color="auto"/>
                <w:left w:val="none" w:sz="0" w:space="0" w:color="auto"/>
                <w:bottom w:val="none" w:sz="0" w:space="0" w:color="auto"/>
                <w:right w:val="none" w:sz="0" w:space="0" w:color="auto"/>
              </w:divBdr>
            </w:div>
          </w:divsChild>
        </w:div>
        <w:div w:id="995307782">
          <w:marLeft w:val="0"/>
          <w:marRight w:val="0"/>
          <w:marTop w:val="0"/>
          <w:marBottom w:val="0"/>
          <w:divBdr>
            <w:top w:val="none" w:sz="0" w:space="0" w:color="auto"/>
            <w:left w:val="none" w:sz="0" w:space="0" w:color="auto"/>
            <w:bottom w:val="none" w:sz="0" w:space="0" w:color="auto"/>
            <w:right w:val="none" w:sz="0" w:space="0" w:color="auto"/>
          </w:divBdr>
          <w:divsChild>
            <w:div w:id="1295717382">
              <w:marLeft w:val="0"/>
              <w:marRight w:val="0"/>
              <w:marTop w:val="0"/>
              <w:marBottom w:val="0"/>
              <w:divBdr>
                <w:top w:val="none" w:sz="0" w:space="0" w:color="auto"/>
                <w:left w:val="none" w:sz="0" w:space="0" w:color="auto"/>
                <w:bottom w:val="none" w:sz="0" w:space="0" w:color="auto"/>
                <w:right w:val="none" w:sz="0" w:space="0" w:color="auto"/>
              </w:divBdr>
            </w:div>
          </w:divsChild>
        </w:div>
        <w:div w:id="1033265884">
          <w:marLeft w:val="0"/>
          <w:marRight w:val="0"/>
          <w:marTop w:val="0"/>
          <w:marBottom w:val="0"/>
          <w:divBdr>
            <w:top w:val="none" w:sz="0" w:space="0" w:color="auto"/>
            <w:left w:val="none" w:sz="0" w:space="0" w:color="auto"/>
            <w:bottom w:val="none" w:sz="0" w:space="0" w:color="auto"/>
            <w:right w:val="none" w:sz="0" w:space="0" w:color="auto"/>
          </w:divBdr>
          <w:divsChild>
            <w:div w:id="2052877074">
              <w:marLeft w:val="0"/>
              <w:marRight w:val="0"/>
              <w:marTop w:val="0"/>
              <w:marBottom w:val="0"/>
              <w:divBdr>
                <w:top w:val="none" w:sz="0" w:space="0" w:color="auto"/>
                <w:left w:val="none" w:sz="0" w:space="0" w:color="auto"/>
                <w:bottom w:val="none" w:sz="0" w:space="0" w:color="auto"/>
                <w:right w:val="none" w:sz="0" w:space="0" w:color="auto"/>
              </w:divBdr>
            </w:div>
          </w:divsChild>
        </w:div>
        <w:div w:id="1049574541">
          <w:marLeft w:val="0"/>
          <w:marRight w:val="0"/>
          <w:marTop w:val="0"/>
          <w:marBottom w:val="0"/>
          <w:divBdr>
            <w:top w:val="none" w:sz="0" w:space="0" w:color="auto"/>
            <w:left w:val="none" w:sz="0" w:space="0" w:color="auto"/>
            <w:bottom w:val="none" w:sz="0" w:space="0" w:color="auto"/>
            <w:right w:val="none" w:sz="0" w:space="0" w:color="auto"/>
          </w:divBdr>
          <w:divsChild>
            <w:div w:id="139545950">
              <w:marLeft w:val="0"/>
              <w:marRight w:val="0"/>
              <w:marTop w:val="0"/>
              <w:marBottom w:val="0"/>
              <w:divBdr>
                <w:top w:val="none" w:sz="0" w:space="0" w:color="auto"/>
                <w:left w:val="none" w:sz="0" w:space="0" w:color="auto"/>
                <w:bottom w:val="none" w:sz="0" w:space="0" w:color="auto"/>
                <w:right w:val="none" w:sz="0" w:space="0" w:color="auto"/>
              </w:divBdr>
            </w:div>
          </w:divsChild>
        </w:div>
        <w:div w:id="1058169404">
          <w:marLeft w:val="0"/>
          <w:marRight w:val="0"/>
          <w:marTop w:val="0"/>
          <w:marBottom w:val="0"/>
          <w:divBdr>
            <w:top w:val="none" w:sz="0" w:space="0" w:color="auto"/>
            <w:left w:val="none" w:sz="0" w:space="0" w:color="auto"/>
            <w:bottom w:val="none" w:sz="0" w:space="0" w:color="auto"/>
            <w:right w:val="none" w:sz="0" w:space="0" w:color="auto"/>
          </w:divBdr>
          <w:divsChild>
            <w:div w:id="266933928">
              <w:marLeft w:val="0"/>
              <w:marRight w:val="0"/>
              <w:marTop w:val="0"/>
              <w:marBottom w:val="0"/>
              <w:divBdr>
                <w:top w:val="none" w:sz="0" w:space="0" w:color="auto"/>
                <w:left w:val="none" w:sz="0" w:space="0" w:color="auto"/>
                <w:bottom w:val="none" w:sz="0" w:space="0" w:color="auto"/>
                <w:right w:val="none" w:sz="0" w:space="0" w:color="auto"/>
              </w:divBdr>
            </w:div>
          </w:divsChild>
        </w:div>
        <w:div w:id="1096512211">
          <w:marLeft w:val="0"/>
          <w:marRight w:val="0"/>
          <w:marTop w:val="0"/>
          <w:marBottom w:val="0"/>
          <w:divBdr>
            <w:top w:val="none" w:sz="0" w:space="0" w:color="auto"/>
            <w:left w:val="none" w:sz="0" w:space="0" w:color="auto"/>
            <w:bottom w:val="none" w:sz="0" w:space="0" w:color="auto"/>
            <w:right w:val="none" w:sz="0" w:space="0" w:color="auto"/>
          </w:divBdr>
          <w:divsChild>
            <w:div w:id="1084378199">
              <w:marLeft w:val="0"/>
              <w:marRight w:val="0"/>
              <w:marTop w:val="0"/>
              <w:marBottom w:val="0"/>
              <w:divBdr>
                <w:top w:val="none" w:sz="0" w:space="0" w:color="auto"/>
                <w:left w:val="none" w:sz="0" w:space="0" w:color="auto"/>
                <w:bottom w:val="none" w:sz="0" w:space="0" w:color="auto"/>
                <w:right w:val="none" w:sz="0" w:space="0" w:color="auto"/>
              </w:divBdr>
            </w:div>
          </w:divsChild>
        </w:div>
        <w:div w:id="1102645007">
          <w:marLeft w:val="0"/>
          <w:marRight w:val="0"/>
          <w:marTop w:val="0"/>
          <w:marBottom w:val="0"/>
          <w:divBdr>
            <w:top w:val="none" w:sz="0" w:space="0" w:color="auto"/>
            <w:left w:val="none" w:sz="0" w:space="0" w:color="auto"/>
            <w:bottom w:val="none" w:sz="0" w:space="0" w:color="auto"/>
            <w:right w:val="none" w:sz="0" w:space="0" w:color="auto"/>
          </w:divBdr>
          <w:divsChild>
            <w:div w:id="1639993064">
              <w:marLeft w:val="0"/>
              <w:marRight w:val="0"/>
              <w:marTop w:val="0"/>
              <w:marBottom w:val="0"/>
              <w:divBdr>
                <w:top w:val="none" w:sz="0" w:space="0" w:color="auto"/>
                <w:left w:val="none" w:sz="0" w:space="0" w:color="auto"/>
                <w:bottom w:val="none" w:sz="0" w:space="0" w:color="auto"/>
                <w:right w:val="none" w:sz="0" w:space="0" w:color="auto"/>
              </w:divBdr>
            </w:div>
          </w:divsChild>
        </w:div>
        <w:div w:id="1125194771">
          <w:marLeft w:val="0"/>
          <w:marRight w:val="0"/>
          <w:marTop w:val="0"/>
          <w:marBottom w:val="0"/>
          <w:divBdr>
            <w:top w:val="none" w:sz="0" w:space="0" w:color="auto"/>
            <w:left w:val="none" w:sz="0" w:space="0" w:color="auto"/>
            <w:bottom w:val="none" w:sz="0" w:space="0" w:color="auto"/>
            <w:right w:val="none" w:sz="0" w:space="0" w:color="auto"/>
          </w:divBdr>
          <w:divsChild>
            <w:div w:id="26880231">
              <w:marLeft w:val="0"/>
              <w:marRight w:val="0"/>
              <w:marTop w:val="0"/>
              <w:marBottom w:val="0"/>
              <w:divBdr>
                <w:top w:val="none" w:sz="0" w:space="0" w:color="auto"/>
                <w:left w:val="none" w:sz="0" w:space="0" w:color="auto"/>
                <w:bottom w:val="none" w:sz="0" w:space="0" w:color="auto"/>
                <w:right w:val="none" w:sz="0" w:space="0" w:color="auto"/>
              </w:divBdr>
            </w:div>
          </w:divsChild>
        </w:div>
        <w:div w:id="1135755019">
          <w:marLeft w:val="0"/>
          <w:marRight w:val="0"/>
          <w:marTop w:val="0"/>
          <w:marBottom w:val="0"/>
          <w:divBdr>
            <w:top w:val="none" w:sz="0" w:space="0" w:color="auto"/>
            <w:left w:val="none" w:sz="0" w:space="0" w:color="auto"/>
            <w:bottom w:val="none" w:sz="0" w:space="0" w:color="auto"/>
            <w:right w:val="none" w:sz="0" w:space="0" w:color="auto"/>
          </w:divBdr>
          <w:divsChild>
            <w:div w:id="471875904">
              <w:marLeft w:val="0"/>
              <w:marRight w:val="0"/>
              <w:marTop w:val="0"/>
              <w:marBottom w:val="0"/>
              <w:divBdr>
                <w:top w:val="none" w:sz="0" w:space="0" w:color="auto"/>
                <w:left w:val="none" w:sz="0" w:space="0" w:color="auto"/>
                <w:bottom w:val="none" w:sz="0" w:space="0" w:color="auto"/>
                <w:right w:val="none" w:sz="0" w:space="0" w:color="auto"/>
              </w:divBdr>
            </w:div>
          </w:divsChild>
        </w:div>
        <w:div w:id="1144003149">
          <w:marLeft w:val="0"/>
          <w:marRight w:val="0"/>
          <w:marTop w:val="0"/>
          <w:marBottom w:val="0"/>
          <w:divBdr>
            <w:top w:val="none" w:sz="0" w:space="0" w:color="auto"/>
            <w:left w:val="none" w:sz="0" w:space="0" w:color="auto"/>
            <w:bottom w:val="none" w:sz="0" w:space="0" w:color="auto"/>
            <w:right w:val="none" w:sz="0" w:space="0" w:color="auto"/>
          </w:divBdr>
          <w:divsChild>
            <w:div w:id="1747722027">
              <w:marLeft w:val="0"/>
              <w:marRight w:val="0"/>
              <w:marTop w:val="0"/>
              <w:marBottom w:val="0"/>
              <w:divBdr>
                <w:top w:val="none" w:sz="0" w:space="0" w:color="auto"/>
                <w:left w:val="none" w:sz="0" w:space="0" w:color="auto"/>
                <w:bottom w:val="none" w:sz="0" w:space="0" w:color="auto"/>
                <w:right w:val="none" w:sz="0" w:space="0" w:color="auto"/>
              </w:divBdr>
            </w:div>
          </w:divsChild>
        </w:div>
        <w:div w:id="1150826470">
          <w:marLeft w:val="0"/>
          <w:marRight w:val="0"/>
          <w:marTop w:val="0"/>
          <w:marBottom w:val="0"/>
          <w:divBdr>
            <w:top w:val="none" w:sz="0" w:space="0" w:color="auto"/>
            <w:left w:val="none" w:sz="0" w:space="0" w:color="auto"/>
            <w:bottom w:val="none" w:sz="0" w:space="0" w:color="auto"/>
            <w:right w:val="none" w:sz="0" w:space="0" w:color="auto"/>
          </w:divBdr>
          <w:divsChild>
            <w:div w:id="514157087">
              <w:marLeft w:val="0"/>
              <w:marRight w:val="0"/>
              <w:marTop w:val="0"/>
              <w:marBottom w:val="0"/>
              <w:divBdr>
                <w:top w:val="none" w:sz="0" w:space="0" w:color="auto"/>
                <w:left w:val="none" w:sz="0" w:space="0" w:color="auto"/>
                <w:bottom w:val="none" w:sz="0" w:space="0" w:color="auto"/>
                <w:right w:val="none" w:sz="0" w:space="0" w:color="auto"/>
              </w:divBdr>
            </w:div>
          </w:divsChild>
        </w:div>
        <w:div w:id="1156603834">
          <w:marLeft w:val="0"/>
          <w:marRight w:val="0"/>
          <w:marTop w:val="0"/>
          <w:marBottom w:val="0"/>
          <w:divBdr>
            <w:top w:val="none" w:sz="0" w:space="0" w:color="auto"/>
            <w:left w:val="none" w:sz="0" w:space="0" w:color="auto"/>
            <w:bottom w:val="none" w:sz="0" w:space="0" w:color="auto"/>
            <w:right w:val="none" w:sz="0" w:space="0" w:color="auto"/>
          </w:divBdr>
          <w:divsChild>
            <w:div w:id="1311516847">
              <w:marLeft w:val="0"/>
              <w:marRight w:val="0"/>
              <w:marTop w:val="0"/>
              <w:marBottom w:val="0"/>
              <w:divBdr>
                <w:top w:val="none" w:sz="0" w:space="0" w:color="auto"/>
                <w:left w:val="none" w:sz="0" w:space="0" w:color="auto"/>
                <w:bottom w:val="none" w:sz="0" w:space="0" w:color="auto"/>
                <w:right w:val="none" w:sz="0" w:space="0" w:color="auto"/>
              </w:divBdr>
            </w:div>
          </w:divsChild>
        </w:div>
        <w:div w:id="1198467321">
          <w:marLeft w:val="0"/>
          <w:marRight w:val="0"/>
          <w:marTop w:val="0"/>
          <w:marBottom w:val="0"/>
          <w:divBdr>
            <w:top w:val="none" w:sz="0" w:space="0" w:color="auto"/>
            <w:left w:val="none" w:sz="0" w:space="0" w:color="auto"/>
            <w:bottom w:val="none" w:sz="0" w:space="0" w:color="auto"/>
            <w:right w:val="none" w:sz="0" w:space="0" w:color="auto"/>
          </w:divBdr>
          <w:divsChild>
            <w:div w:id="899948811">
              <w:marLeft w:val="0"/>
              <w:marRight w:val="0"/>
              <w:marTop w:val="0"/>
              <w:marBottom w:val="0"/>
              <w:divBdr>
                <w:top w:val="none" w:sz="0" w:space="0" w:color="auto"/>
                <w:left w:val="none" w:sz="0" w:space="0" w:color="auto"/>
                <w:bottom w:val="none" w:sz="0" w:space="0" w:color="auto"/>
                <w:right w:val="none" w:sz="0" w:space="0" w:color="auto"/>
              </w:divBdr>
            </w:div>
          </w:divsChild>
        </w:div>
        <w:div w:id="1218321694">
          <w:marLeft w:val="0"/>
          <w:marRight w:val="0"/>
          <w:marTop w:val="0"/>
          <w:marBottom w:val="0"/>
          <w:divBdr>
            <w:top w:val="none" w:sz="0" w:space="0" w:color="auto"/>
            <w:left w:val="none" w:sz="0" w:space="0" w:color="auto"/>
            <w:bottom w:val="none" w:sz="0" w:space="0" w:color="auto"/>
            <w:right w:val="none" w:sz="0" w:space="0" w:color="auto"/>
          </w:divBdr>
          <w:divsChild>
            <w:div w:id="1282153979">
              <w:marLeft w:val="0"/>
              <w:marRight w:val="0"/>
              <w:marTop w:val="0"/>
              <w:marBottom w:val="0"/>
              <w:divBdr>
                <w:top w:val="none" w:sz="0" w:space="0" w:color="auto"/>
                <w:left w:val="none" w:sz="0" w:space="0" w:color="auto"/>
                <w:bottom w:val="none" w:sz="0" w:space="0" w:color="auto"/>
                <w:right w:val="none" w:sz="0" w:space="0" w:color="auto"/>
              </w:divBdr>
            </w:div>
          </w:divsChild>
        </w:div>
        <w:div w:id="1265923835">
          <w:marLeft w:val="0"/>
          <w:marRight w:val="0"/>
          <w:marTop w:val="0"/>
          <w:marBottom w:val="0"/>
          <w:divBdr>
            <w:top w:val="none" w:sz="0" w:space="0" w:color="auto"/>
            <w:left w:val="none" w:sz="0" w:space="0" w:color="auto"/>
            <w:bottom w:val="none" w:sz="0" w:space="0" w:color="auto"/>
            <w:right w:val="none" w:sz="0" w:space="0" w:color="auto"/>
          </w:divBdr>
          <w:divsChild>
            <w:div w:id="1332490936">
              <w:marLeft w:val="0"/>
              <w:marRight w:val="0"/>
              <w:marTop w:val="0"/>
              <w:marBottom w:val="0"/>
              <w:divBdr>
                <w:top w:val="none" w:sz="0" w:space="0" w:color="auto"/>
                <w:left w:val="none" w:sz="0" w:space="0" w:color="auto"/>
                <w:bottom w:val="none" w:sz="0" w:space="0" w:color="auto"/>
                <w:right w:val="none" w:sz="0" w:space="0" w:color="auto"/>
              </w:divBdr>
            </w:div>
          </w:divsChild>
        </w:div>
        <w:div w:id="1269894886">
          <w:marLeft w:val="0"/>
          <w:marRight w:val="0"/>
          <w:marTop w:val="0"/>
          <w:marBottom w:val="0"/>
          <w:divBdr>
            <w:top w:val="none" w:sz="0" w:space="0" w:color="auto"/>
            <w:left w:val="none" w:sz="0" w:space="0" w:color="auto"/>
            <w:bottom w:val="none" w:sz="0" w:space="0" w:color="auto"/>
            <w:right w:val="none" w:sz="0" w:space="0" w:color="auto"/>
          </w:divBdr>
          <w:divsChild>
            <w:div w:id="276986026">
              <w:marLeft w:val="0"/>
              <w:marRight w:val="0"/>
              <w:marTop w:val="0"/>
              <w:marBottom w:val="0"/>
              <w:divBdr>
                <w:top w:val="none" w:sz="0" w:space="0" w:color="auto"/>
                <w:left w:val="none" w:sz="0" w:space="0" w:color="auto"/>
                <w:bottom w:val="none" w:sz="0" w:space="0" w:color="auto"/>
                <w:right w:val="none" w:sz="0" w:space="0" w:color="auto"/>
              </w:divBdr>
            </w:div>
          </w:divsChild>
        </w:div>
        <w:div w:id="1273979212">
          <w:marLeft w:val="0"/>
          <w:marRight w:val="0"/>
          <w:marTop w:val="0"/>
          <w:marBottom w:val="0"/>
          <w:divBdr>
            <w:top w:val="none" w:sz="0" w:space="0" w:color="auto"/>
            <w:left w:val="none" w:sz="0" w:space="0" w:color="auto"/>
            <w:bottom w:val="none" w:sz="0" w:space="0" w:color="auto"/>
            <w:right w:val="none" w:sz="0" w:space="0" w:color="auto"/>
          </w:divBdr>
          <w:divsChild>
            <w:div w:id="1638953237">
              <w:marLeft w:val="0"/>
              <w:marRight w:val="0"/>
              <w:marTop w:val="0"/>
              <w:marBottom w:val="0"/>
              <w:divBdr>
                <w:top w:val="none" w:sz="0" w:space="0" w:color="auto"/>
                <w:left w:val="none" w:sz="0" w:space="0" w:color="auto"/>
                <w:bottom w:val="none" w:sz="0" w:space="0" w:color="auto"/>
                <w:right w:val="none" w:sz="0" w:space="0" w:color="auto"/>
              </w:divBdr>
            </w:div>
          </w:divsChild>
        </w:div>
        <w:div w:id="1275401128">
          <w:marLeft w:val="0"/>
          <w:marRight w:val="0"/>
          <w:marTop w:val="0"/>
          <w:marBottom w:val="0"/>
          <w:divBdr>
            <w:top w:val="none" w:sz="0" w:space="0" w:color="auto"/>
            <w:left w:val="none" w:sz="0" w:space="0" w:color="auto"/>
            <w:bottom w:val="none" w:sz="0" w:space="0" w:color="auto"/>
            <w:right w:val="none" w:sz="0" w:space="0" w:color="auto"/>
          </w:divBdr>
          <w:divsChild>
            <w:div w:id="1095827875">
              <w:marLeft w:val="0"/>
              <w:marRight w:val="0"/>
              <w:marTop w:val="0"/>
              <w:marBottom w:val="0"/>
              <w:divBdr>
                <w:top w:val="none" w:sz="0" w:space="0" w:color="auto"/>
                <w:left w:val="none" w:sz="0" w:space="0" w:color="auto"/>
                <w:bottom w:val="none" w:sz="0" w:space="0" w:color="auto"/>
                <w:right w:val="none" w:sz="0" w:space="0" w:color="auto"/>
              </w:divBdr>
            </w:div>
          </w:divsChild>
        </w:div>
        <w:div w:id="1322736619">
          <w:marLeft w:val="0"/>
          <w:marRight w:val="0"/>
          <w:marTop w:val="0"/>
          <w:marBottom w:val="0"/>
          <w:divBdr>
            <w:top w:val="none" w:sz="0" w:space="0" w:color="auto"/>
            <w:left w:val="none" w:sz="0" w:space="0" w:color="auto"/>
            <w:bottom w:val="none" w:sz="0" w:space="0" w:color="auto"/>
            <w:right w:val="none" w:sz="0" w:space="0" w:color="auto"/>
          </w:divBdr>
          <w:divsChild>
            <w:div w:id="506288566">
              <w:marLeft w:val="0"/>
              <w:marRight w:val="0"/>
              <w:marTop w:val="0"/>
              <w:marBottom w:val="0"/>
              <w:divBdr>
                <w:top w:val="none" w:sz="0" w:space="0" w:color="auto"/>
                <w:left w:val="none" w:sz="0" w:space="0" w:color="auto"/>
                <w:bottom w:val="none" w:sz="0" w:space="0" w:color="auto"/>
                <w:right w:val="none" w:sz="0" w:space="0" w:color="auto"/>
              </w:divBdr>
            </w:div>
          </w:divsChild>
        </w:div>
        <w:div w:id="1338995301">
          <w:marLeft w:val="0"/>
          <w:marRight w:val="0"/>
          <w:marTop w:val="0"/>
          <w:marBottom w:val="0"/>
          <w:divBdr>
            <w:top w:val="none" w:sz="0" w:space="0" w:color="auto"/>
            <w:left w:val="none" w:sz="0" w:space="0" w:color="auto"/>
            <w:bottom w:val="none" w:sz="0" w:space="0" w:color="auto"/>
            <w:right w:val="none" w:sz="0" w:space="0" w:color="auto"/>
          </w:divBdr>
          <w:divsChild>
            <w:div w:id="66272436">
              <w:marLeft w:val="0"/>
              <w:marRight w:val="0"/>
              <w:marTop w:val="0"/>
              <w:marBottom w:val="0"/>
              <w:divBdr>
                <w:top w:val="none" w:sz="0" w:space="0" w:color="auto"/>
                <w:left w:val="none" w:sz="0" w:space="0" w:color="auto"/>
                <w:bottom w:val="none" w:sz="0" w:space="0" w:color="auto"/>
                <w:right w:val="none" w:sz="0" w:space="0" w:color="auto"/>
              </w:divBdr>
            </w:div>
          </w:divsChild>
        </w:div>
        <w:div w:id="1354916073">
          <w:marLeft w:val="0"/>
          <w:marRight w:val="0"/>
          <w:marTop w:val="0"/>
          <w:marBottom w:val="0"/>
          <w:divBdr>
            <w:top w:val="none" w:sz="0" w:space="0" w:color="auto"/>
            <w:left w:val="none" w:sz="0" w:space="0" w:color="auto"/>
            <w:bottom w:val="none" w:sz="0" w:space="0" w:color="auto"/>
            <w:right w:val="none" w:sz="0" w:space="0" w:color="auto"/>
          </w:divBdr>
          <w:divsChild>
            <w:div w:id="1244222862">
              <w:marLeft w:val="0"/>
              <w:marRight w:val="0"/>
              <w:marTop w:val="0"/>
              <w:marBottom w:val="0"/>
              <w:divBdr>
                <w:top w:val="none" w:sz="0" w:space="0" w:color="auto"/>
                <w:left w:val="none" w:sz="0" w:space="0" w:color="auto"/>
                <w:bottom w:val="none" w:sz="0" w:space="0" w:color="auto"/>
                <w:right w:val="none" w:sz="0" w:space="0" w:color="auto"/>
              </w:divBdr>
            </w:div>
          </w:divsChild>
        </w:div>
        <w:div w:id="1364747304">
          <w:marLeft w:val="0"/>
          <w:marRight w:val="0"/>
          <w:marTop w:val="0"/>
          <w:marBottom w:val="0"/>
          <w:divBdr>
            <w:top w:val="none" w:sz="0" w:space="0" w:color="auto"/>
            <w:left w:val="none" w:sz="0" w:space="0" w:color="auto"/>
            <w:bottom w:val="none" w:sz="0" w:space="0" w:color="auto"/>
            <w:right w:val="none" w:sz="0" w:space="0" w:color="auto"/>
          </w:divBdr>
          <w:divsChild>
            <w:div w:id="259721519">
              <w:marLeft w:val="0"/>
              <w:marRight w:val="0"/>
              <w:marTop w:val="0"/>
              <w:marBottom w:val="0"/>
              <w:divBdr>
                <w:top w:val="none" w:sz="0" w:space="0" w:color="auto"/>
                <w:left w:val="none" w:sz="0" w:space="0" w:color="auto"/>
                <w:bottom w:val="none" w:sz="0" w:space="0" w:color="auto"/>
                <w:right w:val="none" w:sz="0" w:space="0" w:color="auto"/>
              </w:divBdr>
            </w:div>
          </w:divsChild>
        </w:div>
        <w:div w:id="1419063838">
          <w:marLeft w:val="0"/>
          <w:marRight w:val="0"/>
          <w:marTop w:val="0"/>
          <w:marBottom w:val="0"/>
          <w:divBdr>
            <w:top w:val="none" w:sz="0" w:space="0" w:color="auto"/>
            <w:left w:val="none" w:sz="0" w:space="0" w:color="auto"/>
            <w:bottom w:val="none" w:sz="0" w:space="0" w:color="auto"/>
            <w:right w:val="none" w:sz="0" w:space="0" w:color="auto"/>
          </w:divBdr>
          <w:divsChild>
            <w:div w:id="1601991620">
              <w:marLeft w:val="0"/>
              <w:marRight w:val="0"/>
              <w:marTop w:val="0"/>
              <w:marBottom w:val="0"/>
              <w:divBdr>
                <w:top w:val="none" w:sz="0" w:space="0" w:color="auto"/>
                <w:left w:val="none" w:sz="0" w:space="0" w:color="auto"/>
                <w:bottom w:val="none" w:sz="0" w:space="0" w:color="auto"/>
                <w:right w:val="none" w:sz="0" w:space="0" w:color="auto"/>
              </w:divBdr>
            </w:div>
          </w:divsChild>
        </w:div>
        <w:div w:id="1443258865">
          <w:marLeft w:val="0"/>
          <w:marRight w:val="0"/>
          <w:marTop w:val="0"/>
          <w:marBottom w:val="0"/>
          <w:divBdr>
            <w:top w:val="none" w:sz="0" w:space="0" w:color="auto"/>
            <w:left w:val="none" w:sz="0" w:space="0" w:color="auto"/>
            <w:bottom w:val="none" w:sz="0" w:space="0" w:color="auto"/>
            <w:right w:val="none" w:sz="0" w:space="0" w:color="auto"/>
          </w:divBdr>
          <w:divsChild>
            <w:div w:id="1216160019">
              <w:marLeft w:val="0"/>
              <w:marRight w:val="0"/>
              <w:marTop w:val="0"/>
              <w:marBottom w:val="0"/>
              <w:divBdr>
                <w:top w:val="none" w:sz="0" w:space="0" w:color="auto"/>
                <w:left w:val="none" w:sz="0" w:space="0" w:color="auto"/>
                <w:bottom w:val="none" w:sz="0" w:space="0" w:color="auto"/>
                <w:right w:val="none" w:sz="0" w:space="0" w:color="auto"/>
              </w:divBdr>
            </w:div>
          </w:divsChild>
        </w:div>
        <w:div w:id="1477793148">
          <w:marLeft w:val="0"/>
          <w:marRight w:val="0"/>
          <w:marTop w:val="0"/>
          <w:marBottom w:val="0"/>
          <w:divBdr>
            <w:top w:val="none" w:sz="0" w:space="0" w:color="auto"/>
            <w:left w:val="none" w:sz="0" w:space="0" w:color="auto"/>
            <w:bottom w:val="none" w:sz="0" w:space="0" w:color="auto"/>
            <w:right w:val="none" w:sz="0" w:space="0" w:color="auto"/>
          </w:divBdr>
          <w:divsChild>
            <w:div w:id="385959313">
              <w:marLeft w:val="0"/>
              <w:marRight w:val="0"/>
              <w:marTop w:val="0"/>
              <w:marBottom w:val="0"/>
              <w:divBdr>
                <w:top w:val="none" w:sz="0" w:space="0" w:color="auto"/>
                <w:left w:val="none" w:sz="0" w:space="0" w:color="auto"/>
                <w:bottom w:val="none" w:sz="0" w:space="0" w:color="auto"/>
                <w:right w:val="none" w:sz="0" w:space="0" w:color="auto"/>
              </w:divBdr>
            </w:div>
          </w:divsChild>
        </w:div>
        <w:div w:id="1481456849">
          <w:marLeft w:val="0"/>
          <w:marRight w:val="0"/>
          <w:marTop w:val="0"/>
          <w:marBottom w:val="0"/>
          <w:divBdr>
            <w:top w:val="none" w:sz="0" w:space="0" w:color="auto"/>
            <w:left w:val="none" w:sz="0" w:space="0" w:color="auto"/>
            <w:bottom w:val="none" w:sz="0" w:space="0" w:color="auto"/>
            <w:right w:val="none" w:sz="0" w:space="0" w:color="auto"/>
          </w:divBdr>
          <w:divsChild>
            <w:div w:id="1825003618">
              <w:marLeft w:val="0"/>
              <w:marRight w:val="0"/>
              <w:marTop w:val="0"/>
              <w:marBottom w:val="0"/>
              <w:divBdr>
                <w:top w:val="none" w:sz="0" w:space="0" w:color="auto"/>
                <w:left w:val="none" w:sz="0" w:space="0" w:color="auto"/>
                <w:bottom w:val="none" w:sz="0" w:space="0" w:color="auto"/>
                <w:right w:val="none" w:sz="0" w:space="0" w:color="auto"/>
              </w:divBdr>
            </w:div>
          </w:divsChild>
        </w:div>
        <w:div w:id="1493911294">
          <w:marLeft w:val="0"/>
          <w:marRight w:val="0"/>
          <w:marTop w:val="0"/>
          <w:marBottom w:val="0"/>
          <w:divBdr>
            <w:top w:val="none" w:sz="0" w:space="0" w:color="auto"/>
            <w:left w:val="none" w:sz="0" w:space="0" w:color="auto"/>
            <w:bottom w:val="none" w:sz="0" w:space="0" w:color="auto"/>
            <w:right w:val="none" w:sz="0" w:space="0" w:color="auto"/>
          </w:divBdr>
          <w:divsChild>
            <w:div w:id="190538588">
              <w:marLeft w:val="0"/>
              <w:marRight w:val="0"/>
              <w:marTop w:val="0"/>
              <w:marBottom w:val="0"/>
              <w:divBdr>
                <w:top w:val="none" w:sz="0" w:space="0" w:color="auto"/>
                <w:left w:val="none" w:sz="0" w:space="0" w:color="auto"/>
                <w:bottom w:val="none" w:sz="0" w:space="0" w:color="auto"/>
                <w:right w:val="none" w:sz="0" w:space="0" w:color="auto"/>
              </w:divBdr>
            </w:div>
          </w:divsChild>
        </w:div>
        <w:div w:id="1493983674">
          <w:marLeft w:val="0"/>
          <w:marRight w:val="0"/>
          <w:marTop w:val="0"/>
          <w:marBottom w:val="0"/>
          <w:divBdr>
            <w:top w:val="none" w:sz="0" w:space="0" w:color="auto"/>
            <w:left w:val="none" w:sz="0" w:space="0" w:color="auto"/>
            <w:bottom w:val="none" w:sz="0" w:space="0" w:color="auto"/>
            <w:right w:val="none" w:sz="0" w:space="0" w:color="auto"/>
          </w:divBdr>
          <w:divsChild>
            <w:div w:id="299070344">
              <w:marLeft w:val="0"/>
              <w:marRight w:val="0"/>
              <w:marTop w:val="0"/>
              <w:marBottom w:val="0"/>
              <w:divBdr>
                <w:top w:val="none" w:sz="0" w:space="0" w:color="auto"/>
                <w:left w:val="none" w:sz="0" w:space="0" w:color="auto"/>
                <w:bottom w:val="none" w:sz="0" w:space="0" w:color="auto"/>
                <w:right w:val="none" w:sz="0" w:space="0" w:color="auto"/>
              </w:divBdr>
            </w:div>
          </w:divsChild>
        </w:div>
        <w:div w:id="1507600246">
          <w:marLeft w:val="0"/>
          <w:marRight w:val="0"/>
          <w:marTop w:val="0"/>
          <w:marBottom w:val="0"/>
          <w:divBdr>
            <w:top w:val="none" w:sz="0" w:space="0" w:color="auto"/>
            <w:left w:val="none" w:sz="0" w:space="0" w:color="auto"/>
            <w:bottom w:val="none" w:sz="0" w:space="0" w:color="auto"/>
            <w:right w:val="none" w:sz="0" w:space="0" w:color="auto"/>
          </w:divBdr>
          <w:divsChild>
            <w:div w:id="2017994220">
              <w:marLeft w:val="0"/>
              <w:marRight w:val="0"/>
              <w:marTop w:val="0"/>
              <w:marBottom w:val="0"/>
              <w:divBdr>
                <w:top w:val="none" w:sz="0" w:space="0" w:color="auto"/>
                <w:left w:val="none" w:sz="0" w:space="0" w:color="auto"/>
                <w:bottom w:val="none" w:sz="0" w:space="0" w:color="auto"/>
                <w:right w:val="none" w:sz="0" w:space="0" w:color="auto"/>
              </w:divBdr>
            </w:div>
          </w:divsChild>
        </w:div>
        <w:div w:id="1565485638">
          <w:marLeft w:val="0"/>
          <w:marRight w:val="0"/>
          <w:marTop w:val="0"/>
          <w:marBottom w:val="0"/>
          <w:divBdr>
            <w:top w:val="none" w:sz="0" w:space="0" w:color="auto"/>
            <w:left w:val="none" w:sz="0" w:space="0" w:color="auto"/>
            <w:bottom w:val="none" w:sz="0" w:space="0" w:color="auto"/>
            <w:right w:val="none" w:sz="0" w:space="0" w:color="auto"/>
          </w:divBdr>
          <w:divsChild>
            <w:div w:id="134107050">
              <w:marLeft w:val="0"/>
              <w:marRight w:val="0"/>
              <w:marTop w:val="0"/>
              <w:marBottom w:val="0"/>
              <w:divBdr>
                <w:top w:val="none" w:sz="0" w:space="0" w:color="auto"/>
                <w:left w:val="none" w:sz="0" w:space="0" w:color="auto"/>
                <w:bottom w:val="none" w:sz="0" w:space="0" w:color="auto"/>
                <w:right w:val="none" w:sz="0" w:space="0" w:color="auto"/>
              </w:divBdr>
            </w:div>
          </w:divsChild>
        </w:div>
        <w:div w:id="1577394555">
          <w:marLeft w:val="0"/>
          <w:marRight w:val="0"/>
          <w:marTop w:val="0"/>
          <w:marBottom w:val="0"/>
          <w:divBdr>
            <w:top w:val="none" w:sz="0" w:space="0" w:color="auto"/>
            <w:left w:val="none" w:sz="0" w:space="0" w:color="auto"/>
            <w:bottom w:val="none" w:sz="0" w:space="0" w:color="auto"/>
            <w:right w:val="none" w:sz="0" w:space="0" w:color="auto"/>
          </w:divBdr>
          <w:divsChild>
            <w:div w:id="603848796">
              <w:marLeft w:val="0"/>
              <w:marRight w:val="0"/>
              <w:marTop w:val="0"/>
              <w:marBottom w:val="0"/>
              <w:divBdr>
                <w:top w:val="none" w:sz="0" w:space="0" w:color="auto"/>
                <w:left w:val="none" w:sz="0" w:space="0" w:color="auto"/>
                <w:bottom w:val="none" w:sz="0" w:space="0" w:color="auto"/>
                <w:right w:val="none" w:sz="0" w:space="0" w:color="auto"/>
              </w:divBdr>
            </w:div>
          </w:divsChild>
        </w:div>
        <w:div w:id="1621838273">
          <w:marLeft w:val="0"/>
          <w:marRight w:val="0"/>
          <w:marTop w:val="0"/>
          <w:marBottom w:val="0"/>
          <w:divBdr>
            <w:top w:val="none" w:sz="0" w:space="0" w:color="auto"/>
            <w:left w:val="none" w:sz="0" w:space="0" w:color="auto"/>
            <w:bottom w:val="none" w:sz="0" w:space="0" w:color="auto"/>
            <w:right w:val="none" w:sz="0" w:space="0" w:color="auto"/>
          </w:divBdr>
          <w:divsChild>
            <w:div w:id="798955571">
              <w:marLeft w:val="0"/>
              <w:marRight w:val="0"/>
              <w:marTop w:val="0"/>
              <w:marBottom w:val="0"/>
              <w:divBdr>
                <w:top w:val="none" w:sz="0" w:space="0" w:color="auto"/>
                <w:left w:val="none" w:sz="0" w:space="0" w:color="auto"/>
                <w:bottom w:val="none" w:sz="0" w:space="0" w:color="auto"/>
                <w:right w:val="none" w:sz="0" w:space="0" w:color="auto"/>
              </w:divBdr>
            </w:div>
          </w:divsChild>
        </w:div>
        <w:div w:id="1625426592">
          <w:marLeft w:val="0"/>
          <w:marRight w:val="0"/>
          <w:marTop w:val="0"/>
          <w:marBottom w:val="0"/>
          <w:divBdr>
            <w:top w:val="none" w:sz="0" w:space="0" w:color="auto"/>
            <w:left w:val="none" w:sz="0" w:space="0" w:color="auto"/>
            <w:bottom w:val="none" w:sz="0" w:space="0" w:color="auto"/>
            <w:right w:val="none" w:sz="0" w:space="0" w:color="auto"/>
          </w:divBdr>
          <w:divsChild>
            <w:div w:id="144473386">
              <w:marLeft w:val="0"/>
              <w:marRight w:val="0"/>
              <w:marTop w:val="0"/>
              <w:marBottom w:val="0"/>
              <w:divBdr>
                <w:top w:val="none" w:sz="0" w:space="0" w:color="auto"/>
                <w:left w:val="none" w:sz="0" w:space="0" w:color="auto"/>
                <w:bottom w:val="none" w:sz="0" w:space="0" w:color="auto"/>
                <w:right w:val="none" w:sz="0" w:space="0" w:color="auto"/>
              </w:divBdr>
            </w:div>
          </w:divsChild>
        </w:div>
        <w:div w:id="1626351481">
          <w:marLeft w:val="0"/>
          <w:marRight w:val="0"/>
          <w:marTop w:val="0"/>
          <w:marBottom w:val="0"/>
          <w:divBdr>
            <w:top w:val="none" w:sz="0" w:space="0" w:color="auto"/>
            <w:left w:val="none" w:sz="0" w:space="0" w:color="auto"/>
            <w:bottom w:val="none" w:sz="0" w:space="0" w:color="auto"/>
            <w:right w:val="none" w:sz="0" w:space="0" w:color="auto"/>
          </w:divBdr>
          <w:divsChild>
            <w:div w:id="461777578">
              <w:marLeft w:val="0"/>
              <w:marRight w:val="0"/>
              <w:marTop w:val="0"/>
              <w:marBottom w:val="0"/>
              <w:divBdr>
                <w:top w:val="none" w:sz="0" w:space="0" w:color="auto"/>
                <w:left w:val="none" w:sz="0" w:space="0" w:color="auto"/>
                <w:bottom w:val="none" w:sz="0" w:space="0" w:color="auto"/>
                <w:right w:val="none" w:sz="0" w:space="0" w:color="auto"/>
              </w:divBdr>
            </w:div>
          </w:divsChild>
        </w:div>
        <w:div w:id="1637102766">
          <w:marLeft w:val="0"/>
          <w:marRight w:val="0"/>
          <w:marTop w:val="0"/>
          <w:marBottom w:val="0"/>
          <w:divBdr>
            <w:top w:val="none" w:sz="0" w:space="0" w:color="auto"/>
            <w:left w:val="none" w:sz="0" w:space="0" w:color="auto"/>
            <w:bottom w:val="none" w:sz="0" w:space="0" w:color="auto"/>
            <w:right w:val="none" w:sz="0" w:space="0" w:color="auto"/>
          </w:divBdr>
          <w:divsChild>
            <w:div w:id="1430851741">
              <w:marLeft w:val="0"/>
              <w:marRight w:val="0"/>
              <w:marTop w:val="0"/>
              <w:marBottom w:val="0"/>
              <w:divBdr>
                <w:top w:val="none" w:sz="0" w:space="0" w:color="auto"/>
                <w:left w:val="none" w:sz="0" w:space="0" w:color="auto"/>
                <w:bottom w:val="none" w:sz="0" w:space="0" w:color="auto"/>
                <w:right w:val="none" w:sz="0" w:space="0" w:color="auto"/>
              </w:divBdr>
            </w:div>
          </w:divsChild>
        </w:div>
        <w:div w:id="1649941659">
          <w:marLeft w:val="0"/>
          <w:marRight w:val="0"/>
          <w:marTop w:val="0"/>
          <w:marBottom w:val="0"/>
          <w:divBdr>
            <w:top w:val="none" w:sz="0" w:space="0" w:color="auto"/>
            <w:left w:val="none" w:sz="0" w:space="0" w:color="auto"/>
            <w:bottom w:val="none" w:sz="0" w:space="0" w:color="auto"/>
            <w:right w:val="none" w:sz="0" w:space="0" w:color="auto"/>
          </w:divBdr>
          <w:divsChild>
            <w:div w:id="2092969066">
              <w:marLeft w:val="0"/>
              <w:marRight w:val="0"/>
              <w:marTop w:val="0"/>
              <w:marBottom w:val="0"/>
              <w:divBdr>
                <w:top w:val="none" w:sz="0" w:space="0" w:color="auto"/>
                <w:left w:val="none" w:sz="0" w:space="0" w:color="auto"/>
                <w:bottom w:val="none" w:sz="0" w:space="0" w:color="auto"/>
                <w:right w:val="none" w:sz="0" w:space="0" w:color="auto"/>
              </w:divBdr>
            </w:div>
          </w:divsChild>
        </w:div>
        <w:div w:id="1653289008">
          <w:marLeft w:val="0"/>
          <w:marRight w:val="0"/>
          <w:marTop w:val="0"/>
          <w:marBottom w:val="0"/>
          <w:divBdr>
            <w:top w:val="none" w:sz="0" w:space="0" w:color="auto"/>
            <w:left w:val="none" w:sz="0" w:space="0" w:color="auto"/>
            <w:bottom w:val="none" w:sz="0" w:space="0" w:color="auto"/>
            <w:right w:val="none" w:sz="0" w:space="0" w:color="auto"/>
          </w:divBdr>
          <w:divsChild>
            <w:div w:id="293213798">
              <w:marLeft w:val="0"/>
              <w:marRight w:val="0"/>
              <w:marTop w:val="0"/>
              <w:marBottom w:val="0"/>
              <w:divBdr>
                <w:top w:val="none" w:sz="0" w:space="0" w:color="auto"/>
                <w:left w:val="none" w:sz="0" w:space="0" w:color="auto"/>
                <w:bottom w:val="none" w:sz="0" w:space="0" w:color="auto"/>
                <w:right w:val="none" w:sz="0" w:space="0" w:color="auto"/>
              </w:divBdr>
            </w:div>
          </w:divsChild>
        </w:div>
        <w:div w:id="1714190653">
          <w:marLeft w:val="0"/>
          <w:marRight w:val="0"/>
          <w:marTop w:val="0"/>
          <w:marBottom w:val="0"/>
          <w:divBdr>
            <w:top w:val="none" w:sz="0" w:space="0" w:color="auto"/>
            <w:left w:val="none" w:sz="0" w:space="0" w:color="auto"/>
            <w:bottom w:val="none" w:sz="0" w:space="0" w:color="auto"/>
            <w:right w:val="none" w:sz="0" w:space="0" w:color="auto"/>
          </w:divBdr>
          <w:divsChild>
            <w:div w:id="152914645">
              <w:marLeft w:val="0"/>
              <w:marRight w:val="0"/>
              <w:marTop w:val="0"/>
              <w:marBottom w:val="0"/>
              <w:divBdr>
                <w:top w:val="none" w:sz="0" w:space="0" w:color="auto"/>
                <w:left w:val="none" w:sz="0" w:space="0" w:color="auto"/>
                <w:bottom w:val="none" w:sz="0" w:space="0" w:color="auto"/>
                <w:right w:val="none" w:sz="0" w:space="0" w:color="auto"/>
              </w:divBdr>
            </w:div>
          </w:divsChild>
        </w:div>
        <w:div w:id="1760563118">
          <w:marLeft w:val="0"/>
          <w:marRight w:val="0"/>
          <w:marTop w:val="0"/>
          <w:marBottom w:val="0"/>
          <w:divBdr>
            <w:top w:val="none" w:sz="0" w:space="0" w:color="auto"/>
            <w:left w:val="none" w:sz="0" w:space="0" w:color="auto"/>
            <w:bottom w:val="none" w:sz="0" w:space="0" w:color="auto"/>
            <w:right w:val="none" w:sz="0" w:space="0" w:color="auto"/>
          </w:divBdr>
          <w:divsChild>
            <w:div w:id="1533150508">
              <w:marLeft w:val="0"/>
              <w:marRight w:val="0"/>
              <w:marTop w:val="0"/>
              <w:marBottom w:val="0"/>
              <w:divBdr>
                <w:top w:val="none" w:sz="0" w:space="0" w:color="auto"/>
                <w:left w:val="none" w:sz="0" w:space="0" w:color="auto"/>
                <w:bottom w:val="none" w:sz="0" w:space="0" w:color="auto"/>
                <w:right w:val="none" w:sz="0" w:space="0" w:color="auto"/>
              </w:divBdr>
            </w:div>
          </w:divsChild>
        </w:div>
        <w:div w:id="1826624274">
          <w:marLeft w:val="0"/>
          <w:marRight w:val="0"/>
          <w:marTop w:val="0"/>
          <w:marBottom w:val="0"/>
          <w:divBdr>
            <w:top w:val="none" w:sz="0" w:space="0" w:color="auto"/>
            <w:left w:val="none" w:sz="0" w:space="0" w:color="auto"/>
            <w:bottom w:val="none" w:sz="0" w:space="0" w:color="auto"/>
            <w:right w:val="none" w:sz="0" w:space="0" w:color="auto"/>
          </w:divBdr>
          <w:divsChild>
            <w:div w:id="1663240305">
              <w:marLeft w:val="0"/>
              <w:marRight w:val="0"/>
              <w:marTop w:val="0"/>
              <w:marBottom w:val="0"/>
              <w:divBdr>
                <w:top w:val="none" w:sz="0" w:space="0" w:color="auto"/>
                <w:left w:val="none" w:sz="0" w:space="0" w:color="auto"/>
                <w:bottom w:val="none" w:sz="0" w:space="0" w:color="auto"/>
                <w:right w:val="none" w:sz="0" w:space="0" w:color="auto"/>
              </w:divBdr>
            </w:div>
          </w:divsChild>
        </w:div>
        <w:div w:id="1843355950">
          <w:marLeft w:val="0"/>
          <w:marRight w:val="0"/>
          <w:marTop w:val="0"/>
          <w:marBottom w:val="0"/>
          <w:divBdr>
            <w:top w:val="none" w:sz="0" w:space="0" w:color="auto"/>
            <w:left w:val="none" w:sz="0" w:space="0" w:color="auto"/>
            <w:bottom w:val="none" w:sz="0" w:space="0" w:color="auto"/>
            <w:right w:val="none" w:sz="0" w:space="0" w:color="auto"/>
          </w:divBdr>
          <w:divsChild>
            <w:div w:id="1563059764">
              <w:marLeft w:val="0"/>
              <w:marRight w:val="0"/>
              <w:marTop w:val="0"/>
              <w:marBottom w:val="0"/>
              <w:divBdr>
                <w:top w:val="none" w:sz="0" w:space="0" w:color="auto"/>
                <w:left w:val="none" w:sz="0" w:space="0" w:color="auto"/>
                <w:bottom w:val="none" w:sz="0" w:space="0" w:color="auto"/>
                <w:right w:val="none" w:sz="0" w:space="0" w:color="auto"/>
              </w:divBdr>
            </w:div>
          </w:divsChild>
        </w:div>
        <w:div w:id="1852066867">
          <w:marLeft w:val="0"/>
          <w:marRight w:val="0"/>
          <w:marTop w:val="0"/>
          <w:marBottom w:val="0"/>
          <w:divBdr>
            <w:top w:val="none" w:sz="0" w:space="0" w:color="auto"/>
            <w:left w:val="none" w:sz="0" w:space="0" w:color="auto"/>
            <w:bottom w:val="none" w:sz="0" w:space="0" w:color="auto"/>
            <w:right w:val="none" w:sz="0" w:space="0" w:color="auto"/>
          </w:divBdr>
          <w:divsChild>
            <w:div w:id="1543860425">
              <w:marLeft w:val="0"/>
              <w:marRight w:val="0"/>
              <w:marTop w:val="0"/>
              <w:marBottom w:val="0"/>
              <w:divBdr>
                <w:top w:val="none" w:sz="0" w:space="0" w:color="auto"/>
                <w:left w:val="none" w:sz="0" w:space="0" w:color="auto"/>
                <w:bottom w:val="none" w:sz="0" w:space="0" w:color="auto"/>
                <w:right w:val="none" w:sz="0" w:space="0" w:color="auto"/>
              </w:divBdr>
            </w:div>
          </w:divsChild>
        </w:div>
        <w:div w:id="1877502016">
          <w:marLeft w:val="0"/>
          <w:marRight w:val="0"/>
          <w:marTop w:val="0"/>
          <w:marBottom w:val="0"/>
          <w:divBdr>
            <w:top w:val="none" w:sz="0" w:space="0" w:color="auto"/>
            <w:left w:val="none" w:sz="0" w:space="0" w:color="auto"/>
            <w:bottom w:val="none" w:sz="0" w:space="0" w:color="auto"/>
            <w:right w:val="none" w:sz="0" w:space="0" w:color="auto"/>
          </w:divBdr>
          <w:divsChild>
            <w:div w:id="1095134869">
              <w:marLeft w:val="0"/>
              <w:marRight w:val="0"/>
              <w:marTop w:val="0"/>
              <w:marBottom w:val="0"/>
              <w:divBdr>
                <w:top w:val="none" w:sz="0" w:space="0" w:color="auto"/>
                <w:left w:val="none" w:sz="0" w:space="0" w:color="auto"/>
                <w:bottom w:val="none" w:sz="0" w:space="0" w:color="auto"/>
                <w:right w:val="none" w:sz="0" w:space="0" w:color="auto"/>
              </w:divBdr>
            </w:div>
          </w:divsChild>
        </w:div>
        <w:div w:id="1887643050">
          <w:marLeft w:val="0"/>
          <w:marRight w:val="0"/>
          <w:marTop w:val="0"/>
          <w:marBottom w:val="0"/>
          <w:divBdr>
            <w:top w:val="none" w:sz="0" w:space="0" w:color="auto"/>
            <w:left w:val="none" w:sz="0" w:space="0" w:color="auto"/>
            <w:bottom w:val="none" w:sz="0" w:space="0" w:color="auto"/>
            <w:right w:val="none" w:sz="0" w:space="0" w:color="auto"/>
          </w:divBdr>
          <w:divsChild>
            <w:div w:id="464277736">
              <w:marLeft w:val="0"/>
              <w:marRight w:val="0"/>
              <w:marTop w:val="0"/>
              <w:marBottom w:val="0"/>
              <w:divBdr>
                <w:top w:val="none" w:sz="0" w:space="0" w:color="auto"/>
                <w:left w:val="none" w:sz="0" w:space="0" w:color="auto"/>
                <w:bottom w:val="none" w:sz="0" w:space="0" w:color="auto"/>
                <w:right w:val="none" w:sz="0" w:space="0" w:color="auto"/>
              </w:divBdr>
            </w:div>
          </w:divsChild>
        </w:div>
        <w:div w:id="1897156759">
          <w:marLeft w:val="0"/>
          <w:marRight w:val="0"/>
          <w:marTop w:val="0"/>
          <w:marBottom w:val="0"/>
          <w:divBdr>
            <w:top w:val="none" w:sz="0" w:space="0" w:color="auto"/>
            <w:left w:val="none" w:sz="0" w:space="0" w:color="auto"/>
            <w:bottom w:val="none" w:sz="0" w:space="0" w:color="auto"/>
            <w:right w:val="none" w:sz="0" w:space="0" w:color="auto"/>
          </w:divBdr>
          <w:divsChild>
            <w:div w:id="124929859">
              <w:marLeft w:val="0"/>
              <w:marRight w:val="0"/>
              <w:marTop w:val="0"/>
              <w:marBottom w:val="0"/>
              <w:divBdr>
                <w:top w:val="none" w:sz="0" w:space="0" w:color="auto"/>
                <w:left w:val="none" w:sz="0" w:space="0" w:color="auto"/>
                <w:bottom w:val="none" w:sz="0" w:space="0" w:color="auto"/>
                <w:right w:val="none" w:sz="0" w:space="0" w:color="auto"/>
              </w:divBdr>
            </w:div>
          </w:divsChild>
        </w:div>
        <w:div w:id="1903514398">
          <w:marLeft w:val="0"/>
          <w:marRight w:val="0"/>
          <w:marTop w:val="0"/>
          <w:marBottom w:val="0"/>
          <w:divBdr>
            <w:top w:val="none" w:sz="0" w:space="0" w:color="auto"/>
            <w:left w:val="none" w:sz="0" w:space="0" w:color="auto"/>
            <w:bottom w:val="none" w:sz="0" w:space="0" w:color="auto"/>
            <w:right w:val="none" w:sz="0" w:space="0" w:color="auto"/>
          </w:divBdr>
          <w:divsChild>
            <w:div w:id="795753202">
              <w:marLeft w:val="0"/>
              <w:marRight w:val="0"/>
              <w:marTop w:val="0"/>
              <w:marBottom w:val="0"/>
              <w:divBdr>
                <w:top w:val="none" w:sz="0" w:space="0" w:color="auto"/>
                <w:left w:val="none" w:sz="0" w:space="0" w:color="auto"/>
                <w:bottom w:val="none" w:sz="0" w:space="0" w:color="auto"/>
                <w:right w:val="none" w:sz="0" w:space="0" w:color="auto"/>
              </w:divBdr>
            </w:div>
          </w:divsChild>
        </w:div>
        <w:div w:id="1924297722">
          <w:marLeft w:val="0"/>
          <w:marRight w:val="0"/>
          <w:marTop w:val="0"/>
          <w:marBottom w:val="0"/>
          <w:divBdr>
            <w:top w:val="none" w:sz="0" w:space="0" w:color="auto"/>
            <w:left w:val="none" w:sz="0" w:space="0" w:color="auto"/>
            <w:bottom w:val="none" w:sz="0" w:space="0" w:color="auto"/>
            <w:right w:val="none" w:sz="0" w:space="0" w:color="auto"/>
          </w:divBdr>
          <w:divsChild>
            <w:div w:id="1880126562">
              <w:marLeft w:val="0"/>
              <w:marRight w:val="0"/>
              <w:marTop w:val="0"/>
              <w:marBottom w:val="0"/>
              <w:divBdr>
                <w:top w:val="none" w:sz="0" w:space="0" w:color="auto"/>
                <w:left w:val="none" w:sz="0" w:space="0" w:color="auto"/>
                <w:bottom w:val="none" w:sz="0" w:space="0" w:color="auto"/>
                <w:right w:val="none" w:sz="0" w:space="0" w:color="auto"/>
              </w:divBdr>
            </w:div>
          </w:divsChild>
        </w:div>
        <w:div w:id="1992439767">
          <w:marLeft w:val="0"/>
          <w:marRight w:val="0"/>
          <w:marTop w:val="0"/>
          <w:marBottom w:val="0"/>
          <w:divBdr>
            <w:top w:val="none" w:sz="0" w:space="0" w:color="auto"/>
            <w:left w:val="none" w:sz="0" w:space="0" w:color="auto"/>
            <w:bottom w:val="none" w:sz="0" w:space="0" w:color="auto"/>
            <w:right w:val="none" w:sz="0" w:space="0" w:color="auto"/>
          </w:divBdr>
          <w:divsChild>
            <w:div w:id="345518473">
              <w:marLeft w:val="0"/>
              <w:marRight w:val="0"/>
              <w:marTop w:val="0"/>
              <w:marBottom w:val="0"/>
              <w:divBdr>
                <w:top w:val="none" w:sz="0" w:space="0" w:color="auto"/>
                <w:left w:val="none" w:sz="0" w:space="0" w:color="auto"/>
                <w:bottom w:val="none" w:sz="0" w:space="0" w:color="auto"/>
                <w:right w:val="none" w:sz="0" w:space="0" w:color="auto"/>
              </w:divBdr>
            </w:div>
          </w:divsChild>
        </w:div>
        <w:div w:id="2013753549">
          <w:marLeft w:val="0"/>
          <w:marRight w:val="0"/>
          <w:marTop w:val="0"/>
          <w:marBottom w:val="0"/>
          <w:divBdr>
            <w:top w:val="none" w:sz="0" w:space="0" w:color="auto"/>
            <w:left w:val="none" w:sz="0" w:space="0" w:color="auto"/>
            <w:bottom w:val="none" w:sz="0" w:space="0" w:color="auto"/>
            <w:right w:val="none" w:sz="0" w:space="0" w:color="auto"/>
          </w:divBdr>
          <w:divsChild>
            <w:div w:id="901404885">
              <w:marLeft w:val="0"/>
              <w:marRight w:val="0"/>
              <w:marTop w:val="0"/>
              <w:marBottom w:val="0"/>
              <w:divBdr>
                <w:top w:val="none" w:sz="0" w:space="0" w:color="auto"/>
                <w:left w:val="none" w:sz="0" w:space="0" w:color="auto"/>
                <w:bottom w:val="none" w:sz="0" w:space="0" w:color="auto"/>
                <w:right w:val="none" w:sz="0" w:space="0" w:color="auto"/>
              </w:divBdr>
            </w:div>
          </w:divsChild>
        </w:div>
        <w:div w:id="2023775845">
          <w:marLeft w:val="0"/>
          <w:marRight w:val="0"/>
          <w:marTop w:val="0"/>
          <w:marBottom w:val="0"/>
          <w:divBdr>
            <w:top w:val="none" w:sz="0" w:space="0" w:color="auto"/>
            <w:left w:val="none" w:sz="0" w:space="0" w:color="auto"/>
            <w:bottom w:val="none" w:sz="0" w:space="0" w:color="auto"/>
            <w:right w:val="none" w:sz="0" w:space="0" w:color="auto"/>
          </w:divBdr>
          <w:divsChild>
            <w:div w:id="1496913955">
              <w:marLeft w:val="0"/>
              <w:marRight w:val="0"/>
              <w:marTop w:val="0"/>
              <w:marBottom w:val="0"/>
              <w:divBdr>
                <w:top w:val="none" w:sz="0" w:space="0" w:color="auto"/>
                <w:left w:val="none" w:sz="0" w:space="0" w:color="auto"/>
                <w:bottom w:val="none" w:sz="0" w:space="0" w:color="auto"/>
                <w:right w:val="none" w:sz="0" w:space="0" w:color="auto"/>
              </w:divBdr>
            </w:div>
          </w:divsChild>
        </w:div>
        <w:div w:id="2040931832">
          <w:marLeft w:val="0"/>
          <w:marRight w:val="0"/>
          <w:marTop w:val="0"/>
          <w:marBottom w:val="0"/>
          <w:divBdr>
            <w:top w:val="none" w:sz="0" w:space="0" w:color="auto"/>
            <w:left w:val="none" w:sz="0" w:space="0" w:color="auto"/>
            <w:bottom w:val="none" w:sz="0" w:space="0" w:color="auto"/>
            <w:right w:val="none" w:sz="0" w:space="0" w:color="auto"/>
          </w:divBdr>
          <w:divsChild>
            <w:div w:id="1397629053">
              <w:marLeft w:val="0"/>
              <w:marRight w:val="0"/>
              <w:marTop w:val="0"/>
              <w:marBottom w:val="0"/>
              <w:divBdr>
                <w:top w:val="none" w:sz="0" w:space="0" w:color="auto"/>
                <w:left w:val="none" w:sz="0" w:space="0" w:color="auto"/>
                <w:bottom w:val="none" w:sz="0" w:space="0" w:color="auto"/>
                <w:right w:val="none" w:sz="0" w:space="0" w:color="auto"/>
              </w:divBdr>
            </w:div>
          </w:divsChild>
        </w:div>
        <w:div w:id="2046635523">
          <w:marLeft w:val="0"/>
          <w:marRight w:val="0"/>
          <w:marTop w:val="0"/>
          <w:marBottom w:val="0"/>
          <w:divBdr>
            <w:top w:val="none" w:sz="0" w:space="0" w:color="auto"/>
            <w:left w:val="none" w:sz="0" w:space="0" w:color="auto"/>
            <w:bottom w:val="none" w:sz="0" w:space="0" w:color="auto"/>
            <w:right w:val="none" w:sz="0" w:space="0" w:color="auto"/>
          </w:divBdr>
          <w:divsChild>
            <w:div w:id="1729573798">
              <w:marLeft w:val="0"/>
              <w:marRight w:val="0"/>
              <w:marTop w:val="0"/>
              <w:marBottom w:val="0"/>
              <w:divBdr>
                <w:top w:val="none" w:sz="0" w:space="0" w:color="auto"/>
                <w:left w:val="none" w:sz="0" w:space="0" w:color="auto"/>
                <w:bottom w:val="none" w:sz="0" w:space="0" w:color="auto"/>
                <w:right w:val="none" w:sz="0" w:space="0" w:color="auto"/>
              </w:divBdr>
            </w:div>
          </w:divsChild>
        </w:div>
        <w:div w:id="2061047690">
          <w:marLeft w:val="0"/>
          <w:marRight w:val="0"/>
          <w:marTop w:val="0"/>
          <w:marBottom w:val="0"/>
          <w:divBdr>
            <w:top w:val="none" w:sz="0" w:space="0" w:color="auto"/>
            <w:left w:val="none" w:sz="0" w:space="0" w:color="auto"/>
            <w:bottom w:val="none" w:sz="0" w:space="0" w:color="auto"/>
            <w:right w:val="none" w:sz="0" w:space="0" w:color="auto"/>
          </w:divBdr>
          <w:divsChild>
            <w:div w:id="1758398648">
              <w:marLeft w:val="0"/>
              <w:marRight w:val="0"/>
              <w:marTop w:val="0"/>
              <w:marBottom w:val="0"/>
              <w:divBdr>
                <w:top w:val="none" w:sz="0" w:space="0" w:color="auto"/>
                <w:left w:val="none" w:sz="0" w:space="0" w:color="auto"/>
                <w:bottom w:val="none" w:sz="0" w:space="0" w:color="auto"/>
                <w:right w:val="none" w:sz="0" w:space="0" w:color="auto"/>
              </w:divBdr>
            </w:div>
          </w:divsChild>
        </w:div>
        <w:div w:id="2101758203">
          <w:marLeft w:val="0"/>
          <w:marRight w:val="0"/>
          <w:marTop w:val="0"/>
          <w:marBottom w:val="0"/>
          <w:divBdr>
            <w:top w:val="none" w:sz="0" w:space="0" w:color="auto"/>
            <w:left w:val="none" w:sz="0" w:space="0" w:color="auto"/>
            <w:bottom w:val="none" w:sz="0" w:space="0" w:color="auto"/>
            <w:right w:val="none" w:sz="0" w:space="0" w:color="auto"/>
          </w:divBdr>
          <w:divsChild>
            <w:div w:id="38165197">
              <w:marLeft w:val="0"/>
              <w:marRight w:val="0"/>
              <w:marTop w:val="0"/>
              <w:marBottom w:val="0"/>
              <w:divBdr>
                <w:top w:val="none" w:sz="0" w:space="0" w:color="auto"/>
                <w:left w:val="none" w:sz="0" w:space="0" w:color="auto"/>
                <w:bottom w:val="none" w:sz="0" w:space="0" w:color="auto"/>
                <w:right w:val="none" w:sz="0" w:space="0" w:color="auto"/>
              </w:divBdr>
            </w:div>
          </w:divsChild>
        </w:div>
        <w:div w:id="2111509599">
          <w:marLeft w:val="0"/>
          <w:marRight w:val="0"/>
          <w:marTop w:val="0"/>
          <w:marBottom w:val="0"/>
          <w:divBdr>
            <w:top w:val="none" w:sz="0" w:space="0" w:color="auto"/>
            <w:left w:val="none" w:sz="0" w:space="0" w:color="auto"/>
            <w:bottom w:val="none" w:sz="0" w:space="0" w:color="auto"/>
            <w:right w:val="none" w:sz="0" w:space="0" w:color="auto"/>
          </w:divBdr>
          <w:divsChild>
            <w:div w:id="1561134430">
              <w:marLeft w:val="0"/>
              <w:marRight w:val="0"/>
              <w:marTop w:val="0"/>
              <w:marBottom w:val="0"/>
              <w:divBdr>
                <w:top w:val="none" w:sz="0" w:space="0" w:color="auto"/>
                <w:left w:val="none" w:sz="0" w:space="0" w:color="auto"/>
                <w:bottom w:val="none" w:sz="0" w:space="0" w:color="auto"/>
                <w:right w:val="none" w:sz="0" w:space="0" w:color="auto"/>
              </w:divBdr>
            </w:div>
          </w:divsChild>
        </w:div>
        <w:div w:id="2136832444">
          <w:marLeft w:val="0"/>
          <w:marRight w:val="0"/>
          <w:marTop w:val="0"/>
          <w:marBottom w:val="0"/>
          <w:divBdr>
            <w:top w:val="none" w:sz="0" w:space="0" w:color="auto"/>
            <w:left w:val="none" w:sz="0" w:space="0" w:color="auto"/>
            <w:bottom w:val="none" w:sz="0" w:space="0" w:color="auto"/>
            <w:right w:val="none" w:sz="0" w:space="0" w:color="auto"/>
          </w:divBdr>
          <w:divsChild>
            <w:div w:id="1068697527">
              <w:marLeft w:val="0"/>
              <w:marRight w:val="0"/>
              <w:marTop w:val="0"/>
              <w:marBottom w:val="0"/>
              <w:divBdr>
                <w:top w:val="none" w:sz="0" w:space="0" w:color="auto"/>
                <w:left w:val="none" w:sz="0" w:space="0" w:color="auto"/>
                <w:bottom w:val="none" w:sz="0" w:space="0" w:color="auto"/>
                <w:right w:val="none" w:sz="0" w:space="0" w:color="auto"/>
              </w:divBdr>
            </w:div>
          </w:divsChild>
        </w:div>
        <w:div w:id="2143842016">
          <w:marLeft w:val="0"/>
          <w:marRight w:val="0"/>
          <w:marTop w:val="0"/>
          <w:marBottom w:val="0"/>
          <w:divBdr>
            <w:top w:val="none" w:sz="0" w:space="0" w:color="auto"/>
            <w:left w:val="none" w:sz="0" w:space="0" w:color="auto"/>
            <w:bottom w:val="none" w:sz="0" w:space="0" w:color="auto"/>
            <w:right w:val="none" w:sz="0" w:space="0" w:color="auto"/>
          </w:divBdr>
          <w:divsChild>
            <w:div w:id="177736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591708">
      <w:bodyDiv w:val="1"/>
      <w:marLeft w:val="0"/>
      <w:marRight w:val="0"/>
      <w:marTop w:val="0"/>
      <w:marBottom w:val="0"/>
      <w:divBdr>
        <w:top w:val="none" w:sz="0" w:space="0" w:color="auto"/>
        <w:left w:val="none" w:sz="0" w:space="0" w:color="auto"/>
        <w:bottom w:val="none" w:sz="0" w:space="0" w:color="auto"/>
        <w:right w:val="none" w:sz="0" w:space="0" w:color="auto"/>
      </w:divBdr>
    </w:div>
    <w:div w:id="794760655">
      <w:bodyDiv w:val="1"/>
      <w:marLeft w:val="0"/>
      <w:marRight w:val="0"/>
      <w:marTop w:val="0"/>
      <w:marBottom w:val="0"/>
      <w:divBdr>
        <w:top w:val="none" w:sz="0" w:space="0" w:color="auto"/>
        <w:left w:val="none" w:sz="0" w:space="0" w:color="auto"/>
        <w:bottom w:val="none" w:sz="0" w:space="0" w:color="auto"/>
        <w:right w:val="none" w:sz="0" w:space="0" w:color="auto"/>
      </w:divBdr>
    </w:div>
    <w:div w:id="931815304">
      <w:bodyDiv w:val="1"/>
      <w:marLeft w:val="0"/>
      <w:marRight w:val="0"/>
      <w:marTop w:val="0"/>
      <w:marBottom w:val="0"/>
      <w:divBdr>
        <w:top w:val="none" w:sz="0" w:space="0" w:color="auto"/>
        <w:left w:val="none" w:sz="0" w:space="0" w:color="auto"/>
        <w:bottom w:val="none" w:sz="0" w:space="0" w:color="auto"/>
        <w:right w:val="none" w:sz="0" w:space="0" w:color="auto"/>
      </w:divBdr>
    </w:div>
    <w:div w:id="955260554">
      <w:bodyDiv w:val="1"/>
      <w:marLeft w:val="0"/>
      <w:marRight w:val="0"/>
      <w:marTop w:val="0"/>
      <w:marBottom w:val="0"/>
      <w:divBdr>
        <w:top w:val="none" w:sz="0" w:space="0" w:color="auto"/>
        <w:left w:val="none" w:sz="0" w:space="0" w:color="auto"/>
        <w:bottom w:val="none" w:sz="0" w:space="0" w:color="auto"/>
        <w:right w:val="none" w:sz="0" w:space="0" w:color="auto"/>
      </w:divBdr>
    </w:div>
    <w:div w:id="1023242140">
      <w:bodyDiv w:val="1"/>
      <w:marLeft w:val="0"/>
      <w:marRight w:val="0"/>
      <w:marTop w:val="0"/>
      <w:marBottom w:val="0"/>
      <w:divBdr>
        <w:top w:val="none" w:sz="0" w:space="0" w:color="auto"/>
        <w:left w:val="none" w:sz="0" w:space="0" w:color="auto"/>
        <w:bottom w:val="none" w:sz="0" w:space="0" w:color="auto"/>
        <w:right w:val="none" w:sz="0" w:space="0" w:color="auto"/>
      </w:divBdr>
    </w:div>
    <w:div w:id="1114865317">
      <w:bodyDiv w:val="1"/>
      <w:marLeft w:val="0"/>
      <w:marRight w:val="0"/>
      <w:marTop w:val="0"/>
      <w:marBottom w:val="0"/>
      <w:divBdr>
        <w:top w:val="none" w:sz="0" w:space="0" w:color="auto"/>
        <w:left w:val="none" w:sz="0" w:space="0" w:color="auto"/>
        <w:bottom w:val="none" w:sz="0" w:space="0" w:color="auto"/>
        <w:right w:val="none" w:sz="0" w:space="0" w:color="auto"/>
      </w:divBdr>
    </w:div>
    <w:div w:id="1226331118">
      <w:bodyDiv w:val="1"/>
      <w:marLeft w:val="0"/>
      <w:marRight w:val="0"/>
      <w:marTop w:val="0"/>
      <w:marBottom w:val="0"/>
      <w:divBdr>
        <w:top w:val="none" w:sz="0" w:space="0" w:color="auto"/>
        <w:left w:val="none" w:sz="0" w:space="0" w:color="auto"/>
        <w:bottom w:val="none" w:sz="0" w:space="0" w:color="auto"/>
        <w:right w:val="none" w:sz="0" w:space="0" w:color="auto"/>
      </w:divBdr>
    </w:div>
    <w:div w:id="1258444929">
      <w:bodyDiv w:val="1"/>
      <w:marLeft w:val="0"/>
      <w:marRight w:val="0"/>
      <w:marTop w:val="0"/>
      <w:marBottom w:val="0"/>
      <w:divBdr>
        <w:top w:val="none" w:sz="0" w:space="0" w:color="auto"/>
        <w:left w:val="none" w:sz="0" w:space="0" w:color="auto"/>
        <w:bottom w:val="none" w:sz="0" w:space="0" w:color="auto"/>
        <w:right w:val="none" w:sz="0" w:space="0" w:color="auto"/>
      </w:divBdr>
    </w:div>
    <w:div w:id="1348748323">
      <w:bodyDiv w:val="1"/>
      <w:marLeft w:val="0"/>
      <w:marRight w:val="0"/>
      <w:marTop w:val="0"/>
      <w:marBottom w:val="0"/>
      <w:divBdr>
        <w:top w:val="none" w:sz="0" w:space="0" w:color="auto"/>
        <w:left w:val="none" w:sz="0" w:space="0" w:color="auto"/>
        <w:bottom w:val="none" w:sz="0" w:space="0" w:color="auto"/>
        <w:right w:val="none" w:sz="0" w:space="0" w:color="auto"/>
      </w:divBdr>
    </w:div>
    <w:div w:id="1412433523">
      <w:bodyDiv w:val="1"/>
      <w:marLeft w:val="0"/>
      <w:marRight w:val="0"/>
      <w:marTop w:val="0"/>
      <w:marBottom w:val="0"/>
      <w:divBdr>
        <w:top w:val="none" w:sz="0" w:space="0" w:color="auto"/>
        <w:left w:val="none" w:sz="0" w:space="0" w:color="auto"/>
        <w:bottom w:val="none" w:sz="0" w:space="0" w:color="auto"/>
        <w:right w:val="none" w:sz="0" w:space="0" w:color="auto"/>
      </w:divBdr>
      <w:divsChild>
        <w:div w:id="1063722101">
          <w:marLeft w:val="0"/>
          <w:marRight w:val="0"/>
          <w:marTop w:val="0"/>
          <w:marBottom w:val="0"/>
          <w:divBdr>
            <w:top w:val="none" w:sz="0" w:space="0" w:color="auto"/>
            <w:left w:val="none" w:sz="0" w:space="0" w:color="auto"/>
            <w:bottom w:val="none" w:sz="0" w:space="0" w:color="auto"/>
            <w:right w:val="none" w:sz="0" w:space="0" w:color="auto"/>
          </w:divBdr>
          <w:divsChild>
            <w:div w:id="138183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633171">
      <w:bodyDiv w:val="1"/>
      <w:marLeft w:val="0"/>
      <w:marRight w:val="0"/>
      <w:marTop w:val="0"/>
      <w:marBottom w:val="0"/>
      <w:divBdr>
        <w:top w:val="none" w:sz="0" w:space="0" w:color="auto"/>
        <w:left w:val="none" w:sz="0" w:space="0" w:color="auto"/>
        <w:bottom w:val="none" w:sz="0" w:space="0" w:color="auto"/>
        <w:right w:val="none" w:sz="0" w:space="0" w:color="auto"/>
      </w:divBdr>
    </w:div>
    <w:div w:id="1501235967">
      <w:bodyDiv w:val="1"/>
      <w:marLeft w:val="0"/>
      <w:marRight w:val="0"/>
      <w:marTop w:val="0"/>
      <w:marBottom w:val="0"/>
      <w:divBdr>
        <w:top w:val="none" w:sz="0" w:space="0" w:color="auto"/>
        <w:left w:val="none" w:sz="0" w:space="0" w:color="auto"/>
        <w:bottom w:val="none" w:sz="0" w:space="0" w:color="auto"/>
        <w:right w:val="none" w:sz="0" w:space="0" w:color="auto"/>
      </w:divBdr>
    </w:div>
    <w:div w:id="1511987132">
      <w:bodyDiv w:val="1"/>
      <w:marLeft w:val="0"/>
      <w:marRight w:val="0"/>
      <w:marTop w:val="0"/>
      <w:marBottom w:val="0"/>
      <w:divBdr>
        <w:top w:val="none" w:sz="0" w:space="0" w:color="auto"/>
        <w:left w:val="none" w:sz="0" w:space="0" w:color="auto"/>
        <w:bottom w:val="none" w:sz="0" w:space="0" w:color="auto"/>
        <w:right w:val="none" w:sz="0" w:space="0" w:color="auto"/>
      </w:divBdr>
    </w:div>
    <w:div w:id="1528790381">
      <w:bodyDiv w:val="1"/>
      <w:marLeft w:val="0"/>
      <w:marRight w:val="0"/>
      <w:marTop w:val="0"/>
      <w:marBottom w:val="0"/>
      <w:divBdr>
        <w:top w:val="none" w:sz="0" w:space="0" w:color="auto"/>
        <w:left w:val="none" w:sz="0" w:space="0" w:color="auto"/>
        <w:bottom w:val="none" w:sz="0" w:space="0" w:color="auto"/>
        <w:right w:val="none" w:sz="0" w:space="0" w:color="auto"/>
      </w:divBdr>
    </w:div>
    <w:div w:id="1559246317">
      <w:bodyDiv w:val="1"/>
      <w:marLeft w:val="0"/>
      <w:marRight w:val="0"/>
      <w:marTop w:val="0"/>
      <w:marBottom w:val="0"/>
      <w:divBdr>
        <w:top w:val="none" w:sz="0" w:space="0" w:color="auto"/>
        <w:left w:val="none" w:sz="0" w:space="0" w:color="auto"/>
        <w:bottom w:val="none" w:sz="0" w:space="0" w:color="auto"/>
        <w:right w:val="none" w:sz="0" w:space="0" w:color="auto"/>
      </w:divBdr>
    </w:div>
    <w:div w:id="1671130654">
      <w:bodyDiv w:val="1"/>
      <w:marLeft w:val="0"/>
      <w:marRight w:val="0"/>
      <w:marTop w:val="0"/>
      <w:marBottom w:val="0"/>
      <w:divBdr>
        <w:top w:val="none" w:sz="0" w:space="0" w:color="auto"/>
        <w:left w:val="none" w:sz="0" w:space="0" w:color="auto"/>
        <w:bottom w:val="none" w:sz="0" w:space="0" w:color="auto"/>
        <w:right w:val="none" w:sz="0" w:space="0" w:color="auto"/>
      </w:divBdr>
    </w:div>
    <w:div w:id="1689982625">
      <w:bodyDiv w:val="1"/>
      <w:marLeft w:val="0"/>
      <w:marRight w:val="0"/>
      <w:marTop w:val="0"/>
      <w:marBottom w:val="0"/>
      <w:divBdr>
        <w:top w:val="none" w:sz="0" w:space="0" w:color="auto"/>
        <w:left w:val="none" w:sz="0" w:space="0" w:color="auto"/>
        <w:bottom w:val="none" w:sz="0" w:space="0" w:color="auto"/>
        <w:right w:val="none" w:sz="0" w:space="0" w:color="auto"/>
      </w:divBdr>
    </w:div>
    <w:div w:id="1702634277">
      <w:bodyDiv w:val="1"/>
      <w:marLeft w:val="0"/>
      <w:marRight w:val="0"/>
      <w:marTop w:val="0"/>
      <w:marBottom w:val="0"/>
      <w:divBdr>
        <w:top w:val="none" w:sz="0" w:space="0" w:color="auto"/>
        <w:left w:val="none" w:sz="0" w:space="0" w:color="auto"/>
        <w:bottom w:val="none" w:sz="0" w:space="0" w:color="auto"/>
        <w:right w:val="none" w:sz="0" w:space="0" w:color="auto"/>
      </w:divBdr>
    </w:div>
    <w:div w:id="1767268541">
      <w:bodyDiv w:val="1"/>
      <w:marLeft w:val="0"/>
      <w:marRight w:val="0"/>
      <w:marTop w:val="0"/>
      <w:marBottom w:val="0"/>
      <w:divBdr>
        <w:top w:val="none" w:sz="0" w:space="0" w:color="auto"/>
        <w:left w:val="none" w:sz="0" w:space="0" w:color="auto"/>
        <w:bottom w:val="none" w:sz="0" w:space="0" w:color="auto"/>
        <w:right w:val="none" w:sz="0" w:space="0" w:color="auto"/>
      </w:divBdr>
    </w:div>
    <w:div w:id="1775322436">
      <w:bodyDiv w:val="1"/>
      <w:marLeft w:val="0"/>
      <w:marRight w:val="0"/>
      <w:marTop w:val="0"/>
      <w:marBottom w:val="0"/>
      <w:divBdr>
        <w:top w:val="none" w:sz="0" w:space="0" w:color="auto"/>
        <w:left w:val="none" w:sz="0" w:space="0" w:color="auto"/>
        <w:bottom w:val="none" w:sz="0" w:space="0" w:color="auto"/>
        <w:right w:val="none" w:sz="0" w:space="0" w:color="auto"/>
      </w:divBdr>
    </w:div>
    <w:div w:id="1776095209">
      <w:bodyDiv w:val="1"/>
      <w:marLeft w:val="0"/>
      <w:marRight w:val="0"/>
      <w:marTop w:val="0"/>
      <w:marBottom w:val="0"/>
      <w:divBdr>
        <w:top w:val="none" w:sz="0" w:space="0" w:color="auto"/>
        <w:left w:val="none" w:sz="0" w:space="0" w:color="auto"/>
        <w:bottom w:val="none" w:sz="0" w:space="0" w:color="auto"/>
        <w:right w:val="none" w:sz="0" w:space="0" w:color="auto"/>
      </w:divBdr>
    </w:div>
    <w:div w:id="1850564096">
      <w:bodyDiv w:val="1"/>
      <w:marLeft w:val="0"/>
      <w:marRight w:val="0"/>
      <w:marTop w:val="0"/>
      <w:marBottom w:val="0"/>
      <w:divBdr>
        <w:top w:val="none" w:sz="0" w:space="0" w:color="auto"/>
        <w:left w:val="none" w:sz="0" w:space="0" w:color="auto"/>
        <w:bottom w:val="none" w:sz="0" w:space="0" w:color="auto"/>
        <w:right w:val="none" w:sz="0" w:space="0" w:color="auto"/>
      </w:divBdr>
    </w:div>
    <w:div w:id="1865091858">
      <w:bodyDiv w:val="1"/>
      <w:marLeft w:val="0"/>
      <w:marRight w:val="0"/>
      <w:marTop w:val="0"/>
      <w:marBottom w:val="0"/>
      <w:divBdr>
        <w:top w:val="none" w:sz="0" w:space="0" w:color="auto"/>
        <w:left w:val="none" w:sz="0" w:space="0" w:color="auto"/>
        <w:bottom w:val="none" w:sz="0" w:space="0" w:color="auto"/>
        <w:right w:val="none" w:sz="0" w:space="0" w:color="auto"/>
      </w:divBdr>
      <w:divsChild>
        <w:div w:id="1923371126">
          <w:marLeft w:val="480"/>
          <w:marRight w:val="0"/>
          <w:marTop w:val="0"/>
          <w:marBottom w:val="0"/>
          <w:divBdr>
            <w:top w:val="none" w:sz="0" w:space="0" w:color="auto"/>
            <w:left w:val="none" w:sz="0" w:space="0" w:color="auto"/>
            <w:bottom w:val="none" w:sz="0" w:space="0" w:color="auto"/>
            <w:right w:val="none" w:sz="0" w:space="0" w:color="auto"/>
          </w:divBdr>
          <w:divsChild>
            <w:div w:id="138768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095713">
      <w:bodyDiv w:val="1"/>
      <w:marLeft w:val="0"/>
      <w:marRight w:val="0"/>
      <w:marTop w:val="0"/>
      <w:marBottom w:val="0"/>
      <w:divBdr>
        <w:top w:val="none" w:sz="0" w:space="0" w:color="auto"/>
        <w:left w:val="none" w:sz="0" w:space="0" w:color="auto"/>
        <w:bottom w:val="none" w:sz="0" w:space="0" w:color="auto"/>
        <w:right w:val="none" w:sz="0" w:space="0" w:color="auto"/>
      </w:divBdr>
    </w:div>
    <w:div w:id="2032880099">
      <w:bodyDiv w:val="1"/>
      <w:marLeft w:val="0"/>
      <w:marRight w:val="0"/>
      <w:marTop w:val="0"/>
      <w:marBottom w:val="0"/>
      <w:divBdr>
        <w:top w:val="none" w:sz="0" w:space="0" w:color="auto"/>
        <w:left w:val="none" w:sz="0" w:space="0" w:color="auto"/>
        <w:bottom w:val="none" w:sz="0" w:space="0" w:color="auto"/>
        <w:right w:val="none" w:sz="0" w:space="0" w:color="auto"/>
      </w:divBdr>
    </w:div>
    <w:div w:id="2043898033">
      <w:bodyDiv w:val="1"/>
      <w:marLeft w:val="0"/>
      <w:marRight w:val="0"/>
      <w:marTop w:val="0"/>
      <w:marBottom w:val="0"/>
      <w:divBdr>
        <w:top w:val="none" w:sz="0" w:space="0" w:color="auto"/>
        <w:left w:val="none" w:sz="0" w:space="0" w:color="auto"/>
        <w:bottom w:val="none" w:sz="0" w:space="0" w:color="auto"/>
        <w:right w:val="none" w:sz="0" w:space="0" w:color="auto"/>
      </w:divBdr>
    </w:div>
    <w:div w:id="204991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9.health.gov.au/mbs/fullDisplay.cfm?type=item&amp;q=63304&amp;qt=item&amp;criteria=63304" TargetMode="External"/><Relationship Id="rId13" Type="http://schemas.openxmlformats.org/officeDocument/2006/relationships/hyperlink" Target="https://www.msac.gov.au/applications/1056" TargetMode="External"/><Relationship Id="rId18" Type="http://schemas.openxmlformats.org/officeDocument/2006/relationships/footer" Target="footer1.xml"/><Relationship Id="rId26" Type="http://schemas.openxmlformats.org/officeDocument/2006/relationships/hyperlink" Target="https://www.msac.gov.au/applications/1702"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msac.gov.au/applications/1056" TargetMode="External"/><Relationship Id="rId17" Type="http://schemas.openxmlformats.org/officeDocument/2006/relationships/header" Target="header2.xml"/><Relationship Id="rId25" Type="http://schemas.openxmlformats.org/officeDocument/2006/relationships/hyperlink" Target="https://clinicaltrials.gov/study/NCT03429387"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dicarestatistics.humanservices.gov.au/VEA0032/SAS.Web/statistics/mbs_item.html" TargetMode="External"/><Relationship Id="rId24"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5.png"/><Relationship Id="rId28" Type="http://schemas.openxmlformats.org/officeDocument/2006/relationships/hyperlink" Target="https://doi.org/10.1111/imj.70249" TargetMode="Externa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9.health.gov.au/mbs/fullDisplay.cfm?type=item&amp;q=61527&amp;qt=item&amp;criteria=61527" TargetMode="External"/><Relationship Id="rId14" Type="http://schemas.openxmlformats.org/officeDocument/2006/relationships/image" Target="media/image2.jpeg"/><Relationship Id="rId22" Type="http://schemas.openxmlformats.org/officeDocument/2006/relationships/image" Target="media/image4.png"/><Relationship Id="rId27" Type="http://schemas.openxmlformats.org/officeDocument/2006/relationships/hyperlink" Target="https://www9.health.gov.au/mbs/fullDisplay.cfm?type=item&amp;q=61505&amp;qt=item&amp;criteria=attenuation%20"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aihw.gov.au/reports/diagnostic-services/pathology-imaging-and-other-diagnostic-services" TargetMode="External"/><Relationship Id="rId3" Type="http://schemas.openxmlformats.org/officeDocument/2006/relationships/hyperlink" Target="https://www.england.nhs.uk/commissioning/spec-services/npc-crg/group-b/specialised-cancer-diagnostics/" TargetMode="External"/><Relationship Id="rId7" Type="http://schemas.openxmlformats.org/officeDocument/2006/relationships/hyperlink" Target="https://www.health.gov.au/topics/diagnostic-imaging/mri-and-pet-locations/PET-Australia" TargetMode="External"/><Relationship Id="rId2" Type="http://schemas.openxmlformats.org/officeDocument/2006/relationships/hyperlink" Target="https://www.sahealth.sa.gov.au/wps/wcm/connect/public+content/sa+health+internet/about+us/governance/policy+governance/policies/staphylococcus+aureus+bacteraemia+sab+management+clinical+guideline" TargetMode="External"/><Relationship Id="rId1" Type="http://schemas.openxmlformats.org/officeDocument/2006/relationships/hyperlink" Target="https://www.rch.org.au/clinicalguide/guideline_index/Bone_and_joint_infection/" TargetMode="External"/><Relationship Id="rId6" Type="http://schemas.openxmlformats.org/officeDocument/2006/relationships/hyperlink" Target="https://www.aihw.gov.au/reports/corporate-publications/positron-emission-tomography/contents/summary" TargetMode="External"/><Relationship Id="rId5" Type="http://schemas.openxmlformats.org/officeDocument/2006/relationships/hyperlink" Target="https://www.rcpa.edu.au/Manuals/RCPA-Manual/Clinical-Presentations-and-Diagnoses/P/Pyrexia-of-unknown-origin" TargetMode="External"/><Relationship Id="rId4" Type="http://schemas.openxmlformats.org/officeDocument/2006/relationships/hyperlink" Target="https://metronorth.health.qld.gov.au/specialist_service/refer-your-patient/infectious-diseases/pyrexia-unknown-origin" TargetMode="External"/><Relationship Id="rId9" Type="http://schemas.openxmlformats.org/officeDocument/2006/relationships/hyperlink" Target="https://www.arpansa.gov.au/sites/default/files/documents/2024-05/NDRL%20-%20nuclear%20medicine%20and%20P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C0ADB-7CCF-4BC9-8F3A-D8E39C8F0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14549</Words>
  <Characters>84967</Characters>
  <Application>Microsoft Office Word</Application>
  <DocSecurity>0</DocSecurity>
  <Lines>1544</Lines>
  <Paragraphs>721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COSH, Jacqui</dc:creator>
  <cp:keywords/>
  <dc:description/>
  <cp:lastModifiedBy>COSH, Jacqui</cp:lastModifiedBy>
  <cp:revision>2</cp:revision>
  <dcterms:created xsi:type="dcterms:W3CDTF">2026-09-30T07:08:00Z</dcterms:created>
  <dcterms:modified xsi:type="dcterms:W3CDTF">2026-09-30T07:08:00Z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4d458805,69e0f82d,4053e396</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7ccfd39b,1dc48dd0,23b3bfbe</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2026-09-30T07:06:12Z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68675504-2a25-486a-a234-8ddfb6508dd6</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