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6B6C" w14:textId="38CC7182" w:rsidR="006478E7" w:rsidRPr="00490FBB" w:rsidRDefault="006478E7" w:rsidP="006478E7">
      <w:pPr>
        <w:spacing w:before="120" w:after="120" w:line="312" w:lineRule="auto"/>
        <w:jc w:val="center"/>
      </w:pPr>
    </w:p>
    <w:p w14:paraId="50B6D781" w14:textId="2C447855" w:rsidR="006478E7" w:rsidRPr="00490FBB" w:rsidRDefault="00BB0FFB" w:rsidP="00BB0FFB">
      <w:pPr>
        <w:pStyle w:val="Heading10"/>
        <w:spacing w:before="2880"/>
        <w:jc w:val="center"/>
        <w:rPr>
          <w:sz w:val="48"/>
          <w:szCs w:val="48"/>
        </w:rPr>
      </w:pPr>
      <w:r>
        <w:rPr>
          <w:sz w:val="48"/>
          <w:szCs w:val="48"/>
        </w:rPr>
        <w:t xml:space="preserve">MSAC </w:t>
      </w:r>
      <w:r w:rsidR="006478E7" w:rsidRPr="00490FBB">
        <w:rPr>
          <w:sz w:val="48"/>
          <w:szCs w:val="48"/>
        </w:rPr>
        <w:t xml:space="preserve">Application </w:t>
      </w:r>
      <w:r w:rsidR="00A24B94">
        <w:rPr>
          <w:sz w:val="48"/>
          <w:szCs w:val="48"/>
        </w:rPr>
        <w:t>1826</w:t>
      </w:r>
    </w:p>
    <w:p w14:paraId="47BEF4A0" w14:textId="3FEBC1EC" w:rsidR="00BF0516" w:rsidRDefault="00BF0516" w:rsidP="00477EE1">
      <w:pPr>
        <w:pStyle w:val="Heading10"/>
        <w:jc w:val="center"/>
        <w:rPr>
          <w:color w:val="002060"/>
          <w:sz w:val="48"/>
          <w:szCs w:val="48"/>
        </w:rPr>
      </w:pPr>
      <w:r w:rsidRPr="00BF0516">
        <w:rPr>
          <w:color w:val="002060"/>
          <w:sz w:val="48"/>
          <w:szCs w:val="48"/>
        </w:rPr>
        <w:t xml:space="preserve">N-Terminal-pro Brain Natriuretic Peptide (NT-proBNP) testing </w:t>
      </w:r>
      <w:r w:rsidR="004D5533">
        <w:rPr>
          <w:color w:val="002060"/>
          <w:sz w:val="48"/>
          <w:szCs w:val="48"/>
        </w:rPr>
        <w:t>to support</w:t>
      </w:r>
      <w:r w:rsidRPr="00BF0516">
        <w:rPr>
          <w:color w:val="002060"/>
          <w:sz w:val="48"/>
          <w:szCs w:val="48"/>
        </w:rPr>
        <w:t xml:space="preserve"> management of patients with heart failure </w:t>
      </w:r>
    </w:p>
    <w:p w14:paraId="44FD303D" w14:textId="0425E02D" w:rsidR="00477EE1" w:rsidRPr="00C42875" w:rsidRDefault="00D47F16" w:rsidP="00477EE1">
      <w:pPr>
        <w:pStyle w:val="Heading10"/>
        <w:jc w:val="center"/>
        <w:rPr>
          <w:color w:val="002060"/>
          <w:sz w:val="40"/>
          <w:szCs w:val="40"/>
        </w:rPr>
      </w:pPr>
      <w:r w:rsidRPr="00E24B22">
        <w:rPr>
          <w:color w:val="002060"/>
          <w:sz w:val="40"/>
          <w:szCs w:val="40"/>
        </w:rPr>
        <w:t xml:space="preserve">Applicant: </w:t>
      </w:r>
      <w:r w:rsidR="00BF0516">
        <w:rPr>
          <w:color w:val="002060"/>
          <w:sz w:val="40"/>
          <w:szCs w:val="40"/>
        </w:rPr>
        <w:t>Roche Diagnostics Australia Pty Ltd</w:t>
      </w:r>
    </w:p>
    <w:p w14:paraId="23900CA0" w14:textId="19143DA7" w:rsidR="006478E7" w:rsidRPr="00490FBB" w:rsidRDefault="006478E7" w:rsidP="00BB0FFB">
      <w:pPr>
        <w:pStyle w:val="Heading1"/>
      </w:pPr>
      <w:r>
        <w:t>PICO Confirmation</w:t>
      </w:r>
      <w:r w:rsidR="007F6523">
        <w:br w:type="page"/>
      </w:r>
    </w:p>
    <w:p w14:paraId="219312C8" w14:textId="6F0610B7" w:rsidR="006478E7" w:rsidRPr="00D52956" w:rsidRDefault="006478E7" w:rsidP="00BB0FFB">
      <w:pPr>
        <w:pStyle w:val="Heading2"/>
      </w:pPr>
      <w:r w:rsidRPr="00D52956">
        <w:lastRenderedPageBreak/>
        <w:t xml:space="preserve">Summary of </w:t>
      </w:r>
      <w:r w:rsidR="00235B21">
        <w:t xml:space="preserve">PPICO criteria to define </w:t>
      </w:r>
      <w:r w:rsidRPr="00D52956">
        <w:t>question(s) to be addressed in an Assessment Report to the Medical Services Advisory Committee (MSAC)</w:t>
      </w:r>
    </w:p>
    <w:p w14:paraId="224459F3" w14:textId="3ADC9499" w:rsidR="00D52956" w:rsidRDefault="00D52956" w:rsidP="00D52956">
      <w:pPr>
        <w:pStyle w:val="Caption"/>
      </w:pPr>
      <w:bookmarkStart w:id="0" w:name="_Ref69732160"/>
      <w:bookmarkStart w:id="1" w:name="_Ref69732155"/>
      <w:r>
        <w:t>Table</w:t>
      </w:r>
      <w:r w:rsidR="00FD4C65">
        <w:t> </w:t>
      </w:r>
      <w:r>
        <w:fldChar w:fldCharType="begin"/>
      </w:r>
      <w:r>
        <w:instrText xml:space="preserve"> SEQ Table \* ARABIC </w:instrText>
      </w:r>
      <w:r>
        <w:fldChar w:fldCharType="separate"/>
      </w:r>
      <w:r w:rsidR="00E10360">
        <w:rPr>
          <w:noProof/>
        </w:rPr>
        <w:t>1</w:t>
      </w:r>
      <w:r>
        <w:fldChar w:fldCharType="end"/>
      </w:r>
      <w:bookmarkEnd w:id="0"/>
      <w:r>
        <w:tab/>
        <w:t>P</w:t>
      </w:r>
      <w:r w:rsidR="0010181C">
        <w:t>P</w:t>
      </w:r>
      <w:r>
        <w:t xml:space="preserve">ICO for </w:t>
      </w:r>
      <w:r w:rsidR="00A559A4">
        <w:t>NT-proBNP</w:t>
      </w:r>
      <w:r w:rsidR="00692AB0">
        <w:t xml:space="preserve"> testing</w:t>
      </w:r>
      <w:r>
        <w:t xml:space="preserve"> </w:t>
      </w:r>
      <w:r w:rsidR="00A7437F">
        <w:t>to support management</w:t>
      </w:r>
      <w:r w:rsidR="00C22DFF">
        <w:t xml:space="preserve"> of</w:t>
      </w:r>
      <w:r w:rsidR="00A7437F">
        <w:t xml:space="preserve"> </w:t>
      </w:r>
      <w:r w:rsidR="00692AB0">
        <w:t>patients with heart failure</w:t>
      </w:r>
      <w:bookmarkEnd w:id="1"/>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0A0" w:firstRow="1" w:lastRow="0" w:firstColumn="1" w:lastColumn="0" w:noHBand="0" w:noVBand="0"/>
        <w:tblCaption w:val="PPICO for NT-proBNP testing in managing patients with heart failure"/>
        <w:tblDescription w:val="Describes the population, prior tests, intervention, comparator, reference standard, outcomes and the clinical question for the assessment"/>
      </w:tblPr>
      <w:tblGrid>
        <w:gridCol w:w="1923"/>
        <w:gridCol w:w="7643"/>
      </w:tblGrid>
      <w:tr w:rsidR="006478E7" w:rsidRPr="00490FBB" w14:paraId="2A509B30" w14:textId="77777777" w:rsidTr="07FE9B1B">
        <w:trPr>
          <w:trHeight w:val="372"/>
          <w:tblHeader/>
        </w:trPr>
        <w:tc>
          <w:tcPr>
            <w:tcW w:w="1005" w:type="pct"/>
            <w:tcBorders>
              <w:top w:val="single" w:sz="8" w:space="0" w:color="auto"/>
              <w:left w:val="single" w:sz="8" w:space="0" w:color="auto"/>
              <w:bottom w:val="single" w:sz="8" w:space="0" w:color="auto"/>
              <w:right w:val="single" w:sz="4" w:space="0" w:color="auto"/>
            </w:tcBorders>
            <w:shd w:val="clear" w:color="auto" w:fill="D9D9D9" w:themeFill="background1" w:themeFillShade="D9"/>
            <w:vAlign w:val="center"/>
            <w:hideMark/>
          </w:tcPr>
          <w:p w14:paraId="333B8A35" w14:textId="77777777" w:rsidR="006478E7" w:rsidRPr="00490FBB" w:rsidRDefault="006478E7" w:rsidP="009F3799">
            <w:pPr>
              <w:pStyle w:val="TableHeading"/>
            </w:pPr>
            <w:bookmarkStart w:id="2" w:name="Title_Table1" w:colFirst="0" w:colLast="0"/>
            <w:r w:rsidRPr="00490FBB">
              <w:t>Component</w:t>
            </w:r>
          </w:p>
        </w:tc>
        <w:tc>
          <w:tcPr>
            <w:tcW w:w="39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31DF4F" w14:textId="77777777" w:rsidR="006478E7" w:rsidRPr="00490FBB" w:rsidRDefault="006478E7" w:rsidP="009F3799">
            <w:pPr>
              <w:pStyle w:val="TableHeading"/>
            </w:pPr>
            <w:r w:rsidRPr="00490FBB">
              <w:t>Description</w:t>
            </w:r>
          </w:p>
        </w:tc>
      </w:tr>
      <w:bookmarkEnd w:id="2"/>
      <w:tr w:rsidR="006478E7" w:rsidRPr="00490FBB" w14:paraId="78E0BB65" w14:textId="77777777" w:rsidTr="07FE9B1B">
        <w:tc>
          <w:tcPr>
            <w:tcW w:w="1005" w:type="pct"/>
            <w:tcBorders>
              <w:top w:val="single" w:sz="8" w:space="0" w:color="auto"/>
              <w:left w:val="single" w:sz="8" w:space="0" w:color="auto"/>
              <w:bottom w:val="single" w:sz="4" w:space="0" w:color="auto"/>
              <w:right w:val="single" w:sz="4" w:space="0" w:color="auto"/>
            </w:tcBorders>
            <w:hideMark/>
          </w:tcPr>
          <w:p w14:paraId="715E50D5" w14:textId="74EB4863" w:rsidR="006478E7" w:rsidRPr="00490FBB" w:rsidRDefault="00F660E8" w:rsidP="009F3799">
            <w:pPr>
              <w:pStyle w:val="TableText0"/>
              <w:rPr>
                <w:rFonts w:cs="Arial"/>
              </w:rPr>
            </w:pPr>
            <w:r>
              <w:rPr>
                <w:rFonts w:cs="Arial"/>
              </w:rPr>
              <w:t>Population</w:t>
            </w:r>
          </w:p>
        </w:tc>
        <w:tc>
          <w:tcPr>
            <w:tcW w:w="3995" w:type="pct"/>
            <w:tcBorders>
              <w:top w:val="single" w:sz="4" w:space="0" w:color="auto"/>
              <w:left w:val="single" w:sz="4" w:space="0" w:color="auto"/>
              <w:bottom w:val="single" w:sz="4" w:space="0" w:color="auto"/>
              <w:right w:val="single" w:sz="4" w:space="0" w:color="auto"/>
            </w:tcBorders>
            <w:hideMark/>
          </w:tcPr>
          <w:p w14:paraId="0A4B853D" w14:textId="08DDDC85" w:rsidR="006478E7" w:rsidRDefault="00AE3899" w:rsidP="009F3799">
            <w:pPr>
              <w:pStyle w:val="TableText0"/>
            </w:pPr>
            <w:r>
              <w:t>Patients</w:t>
            </w:r>
            <w:r w:rsidR="005C2831">
              <w:t xml:space="preserve"> </w:t>
            </w:r>
            <w:r w:rsidR="00B36003">
              <w:t xml:space="preserve">in the immediate post-discharge </w:t>
            </w:r>
            <w:r w:rsidR="0013775A">
              <w:t xml:space="preserve">phase following hospitalisation </w:t>
            </w:r>
            <w:r w:rsidR="00E41B82">
              <w:t>for treatment of heart failure</w:t>
            </w:r>
            <w:r w:rsidR="00A13B94">
              <w:t xml:space="preserve"> (HF)</w:t>
            </w:r>
            <w:r w:rsidR="00493E8D">
              <w:t xml:space="preserve"> with reduced ejection fraction (EF)</w:t>
            </w:r>
            <w:r w:rsidR="00E41B82">
              <w:t xml:space="preserve"> who:</w:t>
            </w:r>
          </w:p>
          <w:p w14:paraId="4E90C168" w14:textId="5B18F7D6" w:rsidR="00E41B82" w:rsidRDefault="00480398" w:rsidP="00855185">
            <w:pPr>
              <w:pStyle w:val="TableText0"/>
              <w:numPr>
                <w:ilvl w:val="0"/>
                <w:numId w:val="4"/>
              </w:numPr>
            </w:pPr>
            <w:r>
              <w:t xml:space="preserve">are </w:t>
            </w:r>
            <w:r w:rsidR="00842A62">
              <w:t>i</w:t>
            </w:r>
            <w:r w:rsidR="00E4271A">
              <w:t>ntended to be treated or managed with guideline directed medical therapy</w:t>
            </w:r>
            <w:r w:rsidR="00757A53">
              <w:t xml:space="preserve"> (GDMT)</w:t>
            </w:r>
            <w:r w:rsidR="006230B2">
              <w:t xml:space="preserve">, </w:t>
            </w:r>
            <w:r w:rsidR="00697731">
              <w:t xml:space="preserve">from </w:t>
            </w:r>
            <w:r w:rsidR="00B323B8">
              <w:t xml:space="preserve">at least 3 of the 4 </w:t>
            </w:r>
            <w:r w:rsidR="00E10DAA">
              <w:t xml:space="preserve">of the following </w:t>
            </w:r>
            <w:r w:rsidR="00B323B8">
              <w:t>classes</w:t>
            </w:r>
            <w:r w:rsidR="006230B2">
              <w:t>:</w:t>
            </w:r>
          </w:p>
          <w:p w14:paraId="269E5CB1" w14:textId="4A77EB16" w:rsidR="006230B2" w:rsidRDefault="00842A62" w:rsidP="00855185">
            <w:pPr>
              <w:pStyle w:val="TableText0"/>
              <w:numPr>
                <w:ilvl w:val="1"/>
                <w:numId w:val="4"/>
              </w:numPr>
            </w:pPr>
            <w:r>
              <w:t>a</w:t>
            </w:r>
            <w:r w:rsidR="006230B2">
              <w:t>ngiotensin-converting enzyme inhibitor (ACEi)</w:t>
            </w:r>
            <w:r w:rsidR="00203263">
              <w:t xml:space="preserve">/ </w:t>
            </w:r>
            <w:r w:rsidR="0093211A" w:rsidRPr="0093211A">
              <w:t>angiotensin receptor neprilysin inhibitor</w:t>
            </w:r>
            <w:r w:rsidR="0093211A">
              <w:t xml:space="preserve"> (ARNI)/ </w:t>
            </w:r>
            <w:r w:rsidR="0093211A" w:rsidRPr="0093211A">
              <w:t>angiotensin receptor blocker</w:t>
            </w:r>
            <w:r w:rsidR="0093211A">
              <w:t xml:space="preserve"> (ARB)</w:t>
            </w:r>
          </w:p>
          <w:p w14:paraId="60956C95" w14:textId="6B2023CF" w:rsidR="006230B2" w:rsidRDefault="00842A62" w:rsidP="00855185">
            <w:pPr>
              <w:pStyle w:val="TableText0"/>
              <w:numPr>
                <w:ilvl w:val="1"/>
                <w:numId w:val="4"/>
              </w:numPr>
            </w:pPr>
            <w:r>
              <w:t>b</w:t>
            </w:r>
            <w:r w:rsidR="006230B2">
              <w:t>eta blocker</w:t>
            </w:r>
          </w:p>
          <w:p w14:paraId="24B78A62" w14:textId="4CE658AC" w:rsidR="006230B2" w:rsidRDefault="00842A62" w:rsidP="00855185">
            <w:pPr>
              <w:pStyle w:val="TableText0"/>
              <w:numPr>
                <w:ilvl w:val="1"/>
                <w:numId w:val="4"/>
              </w:numPr>
            </w:pPr>
            <w:r>
              <w:t>m</w:t>
            </w:r>
            <w:r w:rsidR="006230B2">
              <w:t>iner</w:t>
            </w:r>
            <w:r w:rsidR="003154EF">
              <w:t>alocorticoid receptor antagonist (MRA), and/or</w:t>
            </w:r>
          </w:p>
          <w:p w14:paraId="579FEF88" w14:textId="19E557CF" w:rsidR="003154EF" w:rsidRDefault="00842A62" w:rsidP="00855185">
            <w:pPr>
              <w:pStyle w:val="TableText0"/>
              <w:numPr>
                <w:ilvl w:val="1"/>
                <w:numId w:val="4"/>
              </w:numPr>
            </w:pPr>
            <w:r>
              <w:t>s</w:t>
            </w:r>
            <w:r w:rsidR="003154EF">
              <w:t>odium-glucose cotransporter 2</w:t>
            </w:r>
            <w:r w:rsidR="0093211A">
              <w:t xml:space="preserve"> (SG</w:t>
            </w:r>
            <w:r w:rsidR="00880373">
              <w:t>LT2)</w:t>
            </w:r>
            <w:r w:rsidR="003154EF">
              <w:t xml:space="preserve"> inhibitor</w:t>
            </w:r>
          </w:p>
          <w:p w14:paraId="0ECCC263" w14:textId="2FDDD725" w:rsidR="00795D95" w:rsidRDefault="00480398" w:rsidP="00855185">
            <w:pPr>
              <w:pStyle w:val="TableText0"/>
              <w:numPr>
                <w:ilvl w:val="0"/>
                <w:numId w:val="4"/>
              </w:numPr>
            </w:pPr>
            <w:r>
              <w:t xml:space="preserve">are </w:t>
            </w:r>
            <w:r w:rsidR="00842A62">
              <w:t>n</w:t>
            </w:r>
            <w:r w:rsidR="00795D95">
              <w:t xml:space="preserve">ot currently treated with &gt;50% of maximum doses of </w:t>
            </w:r>
            <w:r w:rsidR="00757A53">
              <w:t>GDMT</w:t>
            </w:r>
            <w:r w:rsidR="00A96F09">
              <w:t>, and</w:t>
            </w:r>
          </w:p>
          <w:p w14:paraId="4A4FF7C2" w14:textId="5ADA5D81" w:rsidR="001D17C0" w:rsidRPr="00D52956" w:rsidRDefault="00480398" w:rsidP="00D93C78">
            <w:pPr>
              <w:pStyle w:val="TableText0"/>
              <w:numPr>
                <w:ilvl w:val="0"/>
                <w:numId w:val="4"/>
              </w:numPr>
            </w:pPr>
            <w:r>
              <w:t>h</w:t>
            </w:r>
            <w:r w:rsidR="00757A53">
              <w:t xml:space="preserve">ad an </w:t>
            </w:r>
            <w:r w:rsidR="00745DC2">
              <w:t xml:space="preserve">elevated </w:t>
            </w:r>
            <w:r w:rsidR="00757A53">
              <w:t xml:space="preserve">NT-proBNP measurement during or immediately prior to </w:t>
            </w:r>
            <w:r w:rsidR="00877EAB">
              <w:t>hospitalisation.</w:t>
            </w:r>
          </w:p>
        </w:tc>
      </w:tr>
      <w:tr w:rsidR="006478E7" w:rsidRPr="00490FBB" w14:paraId="2A9CC9A6" w14:textId="77777777" w:rsidTr="07FE9B1B">
        <w:tc>
          <w:tcPr>
            <w:tcW w:w="1005" w:type="pct"/>
            <w:tcBorders>
              <w:top w:val="single" w:sz="8" w:space="0" w:color="auto"/>
              <w:left w:val="single" w:sz="8" w:space="0" w:color="auto"/>
              <w:bottom w:val="single" w:sz="4" w:space="0" w:color="auto"/>
              <w:right w:val="single" w:sz="4" w:space="0" w:color="auto"/>
            </w:tcBorders>
            <w:hideMark/>
          </w:tcPr>
          <w:p w14:paraId="75E49351" w14:textId="12453602" w:rsidR="006478E7" w:rsidRPr="00490FBB" w:rsidRDefault="006478E7" w:rsidP="009F3799">
            <w:pPr>
              <w:pStyle w:val="TableText0"/>
              <w:rPr>
                <w:rFonts w:cs="Arial"/>
              </w:rPr>
            </w:pPr>
            <w:r w:rsidRPr="00490FBB">
              <w:rPr>
                <w:rFonts w:cs="Arial"/>
              </w:rPr>
              <w:t>Prior tests</w:t>
            </w:r>
            <w:r w:rsidR="00C54349">
              <w:rPr>
                <w:rFonts w:cs="Arial"/>
              </w:rPr>
              <w:t xml:space="preserve"> </w:t>
            </w:r>
          </w:p>
        </w:tc>
        <w:tc>
          <w:tcPr>
            <w:tcW w:w="3995" w:type="pct"/>
            <w:tcBorders>
              <w:top w:val="single" w:sz="4" w:space="0" w:color="auto"/>
              <w:left w:val="single" w:sz="4" w:space="0" w:color="auto"/>
              <w:bottom w:val="single" w:sz="4" w:space="0" w:color="auto"/>
              <w:right w:val="single" w:sz="4" w:space="0" w:color="auto"/>
            </w:tcBorders>
            <w:hideMark/>
          </w:tcPr>
          <w:p w14:paraId="5CF47E43" w14:textId="6EFBC9E7" w:rsidR="006478E7" w:rsidRPr="00D52956" w:rsidRDefault="009E24C5" w:rsidP="009F3799">
            <w:pPr>
              <w:pStyle w:val="TableText0"/>
            </w:pPr>
            <w:r>
              <w:t>Baseline NT-proBNP test</w:t>
            </w:r>
            <w:r w:rsidR="00526A5C">
              <w:t xml:space="preserve"> (during or immediately prior to hospitalisation)</w:t>
            </w:r>
          </w:p>
        </w:tc>
      </w:tr>
      <w:tr w:rsidR="006478E7" w:rsidRPr="00490FBB" w14:paraId="654E13A9" w14:textId="77777777" w:rsidTr="07FE9B1B">
        <w:tc>
          <w:tcPr>
            <w:tcW w:w="1005" w:type="pct"/>
            <w:tcBorders>
              <w:top w:val="single" w:sz="4" w:space="0" w:color="auto"/>
              <w:left w:val="single" w:sz="8" w:space="0" w:color="auto"/>
              <w:bottom w:val="single" w:sz="4" w:space="0" w:color="auto"/>
              <w:right w:val="single" w:sz="4" w:space="0" w:color="auto"/>
            </w:tcBorders>
            <w:hideMark/>
          </w:tcPr>
          <w:p w14:paraId="5BF0C211" w14:textId="77777777" w:rsidR="006478E7" w:rsidRPr="00490FBB" w:rsidRDefault="006478E7" w:rsidP="009F3799">
            <w:pPr>
              <w:pStyle w:val="TableText0"/>
              <w:rPr>
                <w:rFonts w:cs="Arial"/>
              </w:rPr>
            </w:pPr>
            <w:r w:rsidRPr="00490FBB">
              <w:rPr>
                <w:rFonts w:cs="Arial"/>
              </w:rPr>
              <w:t>Intervention</w:t>
            </w:r>
          </w:p>
        </w:tc>
        <w:tc>
          <w:tcPr>
            <w:tcW w:w="3995" w:type="pct"/>
            <w:tcBorders>
              <w:top w:val="single" w:sz="4" w:space="0" w:color="auto"/>
              <w:left w:val="single" w:sz="4" w:space="0" w:color="auto"/>
              <w:bottom w:val="single" w:sz="4" w:space="0" w:color="auto"/>
              <w:right w:val="single" w:sz="4" w:space="0" w:color="auto"/>
            </w:tcBorders>
            <w:hideMark/>
          </w:tcPr>
          <w:p w14:paraId="3E51DB12" w14:textId="6BE8B810" w:rsidR="006478E7" w:rsidRPr="00D52956" w:rsidRDefault="00DB483B" w:rsidP="009F3799">
            <w:pPr>
              <w:pStyle w:val="TableText0"/>
            </w:pPr>
            <w:r>
              <w:t>NT-proBNP testing</w:t>
            </w:r>
            <w:r w:rsidR="00F20047">
              <w:t xml:space="preserve"> in addition to current standard </w:t>
            </w:r>
            <w:r w:rsidR="00291921">
              <w:t>medical management</w:t>
            </w:r>
            <w:r w:rsidR="00046F73">
              <w:t xml:space="preserve"> as an aid to the titration of GDMT post-hospitalisation for HF.</w:t>
            </w:r>
            <w:r>
              <w:t xml:space="preserve"> </w:t>
            </w:r>
            <w:r w:rsidR="00AD5760">
              <w:t xml:space="preserve">Testing to be undertaken up to 5 times in the </w:t>
            </w:r>
            <w:r w:rsidR="005F0A13">
              <w:t>post-discharge period (noting this is typically defined as the 6</w:t>
            </w:r>
            <w:r w:rsidR="007D4F65">
              <w:t>-</w:t>
            </w:r>
            <w:r w:rsidR="005F0A13">
              <w:t>week period</w:t>
            </w:r>
            <w:r w:rsidR="00AD5760">
              <w:t xml:space="preserve"> post-hospitalisation</w:t>
            </w:r>
            <w:r w:rsidR="005F0A13">
              <w:t xml:space="preserve">, but testing will be permitted in the 3 month period post-hospitalisation </w:t>
            </w:r>
            <w:r w:rsidR="008531A6">
              <w:t xml:space="preserve">to account for </w:t>
            </w:r>
            <w:r w:rsidR="003003DC">
              <w:t>potential</w:t>
            </w:r>
            <w:r w:rsidR="008531A6">
              <w:t xml:space="preserve"> delay</w:t>
            </w:r>
            <w:r w:rsidR="003003DC">
              <w:t>s</w:t>
            </w:r>
            <w:r w:rsidR="008531A6">
              <w:t xml:space="preserve"> in</w:t>
            </w:r>
            <w:r w:rsidR="003003DC">
              <w:t xml:space="preserve"> accessing </w:t>
            </w:r>
            <w:r w:rsidR="00916897">
              <w:t>follow up</w:t>
            </w:r>
            <w:r w:rsidR="005F0A13">
              <w:t xml:space="preserve"> </w:t>
            </w:r>
            <w:r w:rsidR="00EB69E3">
              <w:t>healthcare in the shorter timeframe)</w:t>
            </w:r>
            <w:r w:rsidR="00AD5760">
              <w:t>.</w:t>
            </w:r>
          </w:p>
        </w:tc>
      </w:tr>
      <w:tr w:rsidR="006478E7" w:rsidRPr="00490FBB" w14:paraId="1F5647C3" w14:textId="77777777" w:rsidTr="07FE9B1B">
        <w:tc>
          <w:tcPr>
            <w:tcW w:w="1005" w:type="pct"/>
            <w:tcBorders>
              <w:top w:val="single" w:sz="4" w:space="0" w:color="auto"/>
              <w:left w:val="single" w:sz="8" w:space="0" w:color="auto"/>
              <w:bottom w:val="single" w:sz="4" w:space="0" w:color="auto"/>
              <w:right w:val="single" w:sz="4" w:space="0" w:color="auto"/>
            </w:tcBorders>
            <w:hideMark/>
          </w:tcPr>
          <w:p w14:paraId="7F55173A" w14:textId="77777777" w:rsidR="006478E7" w:rsidRPr="00490FBB" w:rsidRDefault="006478E7" w:rsidP="009F3799">
            <w:pPr>
              <w:pStyle w:val="TableText0"/>
              <w:rPr>
                <w:rFonts w:cs="Arial"/>
              </w:rPr>
            </w:pPr>
            <w:r w:rsidRPr="00490FBB">
              <w:rPr>
                <w:rFonts w:cs="Arial"/>
              </w:rPr>
              <w:t>Comparator</w:t>
            </w:r>
            <w:r w:rsidR="00D83062">
              <w:rPr>
                <w:rFonts w:cs="Arial"/>
              </w:rPr>
              <w:t>/s</w:t>
            </w:r>
          </w:p>
        </w:tc>
        <w:tc>
          <w:tcPr>
            <w:tcW w:w="3995" w:type="pct"/>
            <w:tcBorders>
              <w:top w:val="single" w:sz="4" w:space="0" w:color="auto"/>
              <w:left w:val="single" w:sz="4" w:space="0" w:color="auto"/>
              <w:bottom w:val="single" w:sz="4" w:space="0" w:color="auto"/>
              <w:right w:val="single" w:sz="4" w:space="0" w:color="auto"/>
            </w:tcBorders>
            <w:hideMark/>
          </w:tcPr>
          <w:p w14:paraId="7E690E4B" w14:textId="7AAF0D67" w:rsidR="006478E7" w:rsidRPr="00D52956" w:rsidRDefault="00C47963" w:rsidP="009F3799">
            <w:pPr>
              <w:pStyle w:val="TableText0"/>
            </w:pPr>
            <w:r>
              <w:t xml:space="preserve">Current standard </w:t>
            </w:r>
            <w:r w:rsidR="00291921">
              <w:t>medical management</w:t>
            </w:r>
            <w:r>
              <w:t xml:space="preserve"> consisting of clinical observations and </w:t>
            </w:r>
            <w:r w:rsidR="00F20047">
              <w:t>standard laboratory measurements</w:t>
            </w:r>
            <w:r w:rsidR="00FB421B">
              <w:t xml:space="preserve"> </w:t>
            </w:r>
            <w:r w:rsidR="00FB421B" w:rsidRPr="00FB421B">
              <w:t>without NT-proBNP testing</w:t>
            </w:r>
          </w:p>
        </w:tc>
      </w:tr>
      <w:tr w:rsidR="009E4B89" w:rsidRPr="00490FBB" w14:paraId="7B9D3F1A" w14:textId="77777777" w:rsidTr="07FE9B1B">
        <w:tc>
          <w:tcPr>
            <w:tcW w:w="1005" w:type="pct"/>
            <w:tcBorders>
              <w:top w:val="single" w:sz="4" w:space="0" w:color="auto"/>
              <w:left w:val="single" w:sz="8" w:space="0" w:color="auto"/>
              <w:bottom w:val="single" w:sz="4" w:space="0" w:color="auto"/>
              <w:right w:val="single" w:sz="4" w:space="0" w:color="auto"/>
            </w:tcBorders>
          </w:tcPr>
          <w:p w14:paraId="4C0BC8B3" w14:textId="58D939AD" w:rsidR="009E4B89" w:rsidRPr="00490FBB" w:rsidRDefault="009E4B89" w:rsidP="009E4B89">
            <w:pPr>
              <w:pStyle w:val="TableText0"/>
              <w:rPr>
                <w:rFonts w:cs="Arial"/>
              </w:rPr>
            </w:pPr>
            <w:r w:rsidRPr="00490FBB">
              <w:rPr>
                <w:rFonts w:cs="Arial"/>
              </w:rPr>
              <w:t xml:space="preserve">Reference standard </w:t>
            </w:r>
          </w:p>
        </w:tc>
        <w:tc>
          <w:tcPr>
            <w:tcW w:w="3995" w:type="pct"/>
            <w:tcBorders>
              <w:top w:val="single" w:sz="4" w:space="0" w:color="auto"/>
              <w:left w:val="single" w:sz="4" w:space="0" w:color="auto"/>
              <w:bottom w:val="single" w:sz="4" w:space="0" w:color="auto"/>
              <w:right w:val="single" w:sz="4" w:space="0" w:color="auto"/>
            </w:tcBorders>
          </w:tcPr>
          <w:p w14:paraId="7B1F5217" w14:textId="47AFBA53" w:rsidR="009E4B89" w:rsidRPr="00D52956" w:rsidRDefault="007D5ADE" w:rsidP="009E4B89">
            <w:pPr>
              <w:pStyle w:val="TableText0"/>
            </w:pPr>
            <w:r>
              <w:t>T</w:t>
            </w:r>
            <w:r w:rsidR="009E4B89">
              <w:t xml:space="preserve">he health outcome being considered (mortality, HF </w:t>
            </w:r>
            <w:r w:rsidR="00730F19">
              <w:t xml:space="preserve">related </w:t>
            </w:r>
            <w:r w:rsidR="00537784">
              <w:t>re</w:t>
            </w:r>
            <w:r w:rsidR="009E4B89">
              <w:t>hospitalisation)</w:t>
            </w:r>
          </w:p>
        </w:tc>
      </w:tr>
      <w:tr w:rsidR="009E4B89" w:rsidRPr="00490FBB" w14:paraId="591B1D2D" w14:textId="77777777" w:rsidTr="07FE9B1B">
        <w:tc>
          <w:tcPr>
            <w:tcW w:w="1005" w:type="pct"/>
            <w:tcBorders>
              <w:top w:val="single" w:sz="4" w:space="0" w:color="auto"/>
              <w:left w:val="single" w:sz="8" w:space="0" w:color="auto"/>
              <w:bottom w:val="single" w:sz="4" w:space="0" w:color="auto"/>
              <w:right w:val="single" w:sz="4" w:space="0" w:color="auto"/>
            </w:tcBorders>
            <w:hideMark/>
          </w:tcPr>
          <w:p w14:paraId="635F9D15" w14:textId="77777777" w:rsidR="009E4B89" w:rsidRPr="00490FBB" w:rsidRDefault="009E4B89" w:rsidP="009E4B89">
            <w:pPr>
              <w:pStyle w:val="TableText0"/>
              <w:rPr>
                <w:rFonts w:cs="Arial"/>
              </w:rPr>
            </w:pPr>
            <w:r w:rsidRPr="00490FBB">
              <w:rPr>
                <w:rFonts w:cs="Arial"/>
              </w:rPr>
              <w:t>Outcomes</w:t>
            </w:r>
          </w:p>
        </w:tc>
        <w:tc>
          <w:tcPr>
            <w:tcW w:w="3995" w:type="pct"/>
            <w:tcBorders>
              <w:top w:val="single" w:sz="4" w:space="0" w:color="auto"/>
              <w:left w:val="single" w:sz="4" w:space="0" w:color="auto"/>
              <w:bottom w:val="single" w:sz="4" w:space="0" w:color="auto"/>
              <w:right w:val="single" w:sz="4" w:space="0" w:color="auto"/>
            </w:tcBorders>
            <w:hideMark/>
          </w:tcPr>
          <w:p w14:paraId="5D868239" w14:textId="77777777" w:rsidR="009E4B89" w:rsidRPr="00F26F8A" w:rsidRDefault="009E4B89" w:rsidP="009E4B89">
            <w:pPr>
              <w:pStyle w:val="TableText0"/>
              <w:rPr>
                <w:b/>
                <w:bCs/>
              </w:rPr>
            </w:pPr>
            <w:r w:rsidRPr="00F26F8A">
              <w:rPr>
                <w:b/>
                <w:bCs/>
              </w:rPr>
              <w:t>Safety</w:t>
            </w:r>
          </w:p>
          <w:p w14:paraId="24C4A511" w14:textId="4832BCEC" w:rsidR="009E4B89" w:rsidRDefault="009E4B89" w:rsidP="00855185">
            <w:pPr>
              <w:pStyle w:val="TableText0"/>
              <w:numPr>
                <w:ilvl w:val="0"/>
                <w:numId w:val="5"/>
              </w:numPr>
            </w:pPr>
            <w:r>
              <w:t>Adverse events due to testing</w:t>
            </w:r>
          </w:p>
          <w:p w14:paraId="77FBD147" w14:textId="245CD2CD" w:rsidR="009E4B89" w:rsidRPr="00D52956" w:rsidRDefault="009E4B89" w:rsidP="00855185">
            <w:pPr>
              <w:pStyle w:val="TableText0"/>
              <w:numPr>
                <w:ilvl w:val="0"/>
                <w:numId w:val="5"/>
              </w:numPr>
            </w:pPr>
            <w:r>
              <w:t>Harms associated with change of management</w:t>
            </w:r>
          </w:p>
          <w:p w14:paraId="6D964095" w14:textId="2279EF7E" w:rsidR="009E4B89" w:rsidRPr="00F26F8A" w:rsidRDefault="009E4B89" w:rsidP="009E4B89">
            <w:pPr>
              <w:pStyle w:val="TableText0"/>
              <w:rPr>
                <w:b/>
                <w:bCs/>
              </w:rPr>
            </w:pPr>
            <w:r w:rsidRPr="00F26F8A">
              <w:rPr>
                <w:b/>
                <w:bCs/>
              </w:rPr>
              <w:t>Efficacy/effectiveness</w:t>
            </w:r>
          </w:p>
          <w:p w14:paraId="109A915F" w14:textId="3B830B1A" w:rsidR="009E4B89" w:rsidRPr="00BB4F80" w:rsidRDefault="009E4B89" w:rsidP="009E4B89">
            <w:pPr>
              <w:pStyle w:val="TableText0"/>
              <w:rPr>
                <w:u w:val="single"/>
              </w:rPr>
            </w:pPr>
            <w:r w:rsidRPr="00BB4F80">
              <w:rPr>
                <w:u w:val="single"/>
              </w:rPr>
              <w:t>Primary health outcomes</w:t>
            </w:r>
          </w:p>
          <w:p w14:paraId="1A72C93B" w14:textId="7A792229" w:rsidR="009E4B89" w:rsidRDefault="009E4B89" w:rsidP="00855185">
            <w:pPr>
              <w:pStyle w:val="TableText0"/>
              <w:numPr>
                <w:ilvl w:val="0"/>
                <w:numId w:val="5"/>
              </w:numPr>
            </w:pPr>
            <w:r>
              <w:t>Mortality</w:t>
            </w:r>
          </w:p>
          <w:p w14:paraId="39928590" w14:textId="4EAE544B" w:rsidR="00CA3C88" w:rsidRDefault="00CA3C88" w:rsidP="00855185">
            <w:pPr>
              <w:pStyle w:val="TableText0"/>
              <w:numPr>
                <w:ilvl w:val="0"/>
                <w:numId w:val="5"/>
              </w:numPr>
            </w:pPr>
            <w:r>
              <w:t>Repeat HF hospitalisation</w:t>
            </w:r>
          </w:p>
          <w:p w14:paraId="0E7320E4" w14:textId="21913D4F" w:rsidR="009E4B89" w:rsidRDefault="009E4B89" w:rsidP="00855185">
            <w:pPr>
              <w:pStyle w:val="TableText0"/>
              <w:numPr>
                <w:ilvl w:val="0"/>
                <w:numId w:val="5"/>
              </w:numPr>
            </w:pPr>
            <w:r>
              <w:t>Functional status</w:t>
            </w:r>
          </w:p>
          <w:p w14:paraId="7AB1F543" w14:textId="0AEBED44" w:rsidR="009E4B89" w:rsidRDefault="009E4B89" w:rsidP="00855185">
            <w:pPr>
              <w:pStyle w:val="TableText0"/>
              <w:numPr>
                <w:ilvl w:val="0"/>
                <w:numId w:val="5"/>
              </w:numPr>
            </w:pPr>
            <w:r>
              <w:t>Quality of life</w:t>
            </w:r>
            <w:r w:rsidR="00CA3C88">
              <w:t xml:space="preserve"> using disease specific and generic tools</w:t>
            </w:r>
          </w:p>
          <w:p w14:paraId="0CCE5DCD" w14:textId="5BF48C87" w:rsidR="009E4B89" w:rsidRPr="00BB4F80" w:rsidRDefault="009E4B89" w:rsidP="009E4B89">
            <w:pPr>
              <w:pStyle w:val="TableText0"/>
              <w:rPr>
                <w:u w:val="single"/>
              </w:rPr>
            </w:pPr>
            <w:r w:rsidRPr="00BB4F80">
              <w:rPr>
                <w:u w:val="single"/>
              </w:rPr>
              <w:t>Intermediate/surrogate outcomes</w:t>
            </w:r>
          </w:p>
          <w:p w14:paraId="129B97DF" w14:textId="584E79D2" w:rsidR="009E4B89" w:rsidRDefault="009E4B89" w:rsidP="00855185">
            <w:pPr>
              <w:pStyle w:val="TableText0"/>
              <w:numPr>
                <w:ilvl w:val="0"/>
                <w:numId w:val="5"/>
              </w:numPr>
            </w:pPr>
            <w:r>
              <w:t>Time to optimal dose/proportion on optimal dose</w:t>
            </w:r>
          </w:p>
          <w:p w14:paraId="1BB69E3D" w14:textId="7768DD47" w:rsidR="009E4B89" w:rsidRDefault="009E4B89" w:rsidP="00855185">
            <w:pPr>
              <w:pStyle w:val="TableText0"/>
              <w:numPr>
                <w:ilvl w:val="0"/>
                <w:numId w:val="5"/>
              </w:numPr>
            </w:pPr>
            <w:r>
              <w:t>Left ventricular ejection fraction (LVEF)</w:t>
            </w:r>
          </w:p>
          <w:p w14:paraId="28A6DB4B" w14:textId="6FA8FAFA" w:rsidR="009E4B89" w:rsidRPr="00BB4F80" w:rsidRDefault="009E4B89" w:rsidP="009E4B89">
            <w:pPr>
              <w:pStyle w:val="TableText0"/>
              <w:rPr>
                <w:u w:val="single"/>
              </w:rPr>
            </w:pPr>
            <w:r w:rsidRPr="00BB4F80">
              <w:rPr>
                <w:u w:val="single"/>
              </w:rPr>
              <w:t>Additional outcomes using linked evidence approach</w:t>
            </w:r>
          </w:p>
          <w:p w14:paraId="00E3EFE0" w14:textId="44895378" w:rsidR="009E4B89" w:rsidRPr="00BB4F80" w:rsidRDefault="009E4B89" w:rsidP="009E4B89">
            <w:pPr>
              <w:pStyle w:val="TableText0"/>
              <w:rPr>
                <w:i/>
                <w:iCs/>
              </w:rPr>
            </w:pPr>
            <w:r w:rsidRPr="00BB4F80">
              <w:rPr>
                <w:i/>
                <w:iCs/>
              </w:rPr>
              <w:t>Change in management</w:t>
            </w:r>
          </w:p>
          <w:p w14:paraId="000BD597" w14:textId="40B05210" w:rsidR="009E4B89" w:rsidRDefault="009E4B89" w:rsidP="00855185">
            <w:pPr>
              <w:pStyle w:val="TableText0"/>
              <w:numPr>
                <w:ilvl w:val="0"/>
                <w:numId w:val="5"/>
              </w:numPr>
            </w:pPr>
            <w:r>
              <w:t>Dose</w:t>
            </w:r>
            <w:r w:rsidR="00B2565E">
              <w:t>(s) of medication(s)</w:t>
            </w:r>
            <w:r>
              <w:t xml:space="preserve"> up-titrated/down-titrated</w:t>
            </w:r>
          </w:p>
          <w:p w14:paraId="3A135EC3" w14:textId="193E79F1" w:rsidR="009E4B89" w:rsidRDefault="009E4B89" w:rsidP="00855185">
            <w:pPr>
              <w:pStyle w:val="TableText0"/>
              <w:numPr>
                <w:ilvl w:val="0"/>
                <w:numId w:val="5"/>
              </w:numPr>
            </w:pPr>
            <w:r>
              <w:t>Medication</w:t>
            </w:r>
            <w:r w:rsidR="006B140F">
              <w:t>(s)</w:t>
            </w:r>
            <w:r>
              <w:t xml:space="preserve"> initiated, ceased etc.</w:t>
            </w:r>
          </w:p>
          <w:p w14:paraId="1DC6316C" w14:textId="43E56541" w:rsidR="009E4B89" w:rsidRDefault="009E4B89" w:rsidP="00855185">
            <w:pPr>
              <w:pStyle w:val="TableText0"/>
              <w:numPr>
                <w:ilvl w:val="0"/>
                <w:numId w:val="5"/>
              </w:numPr>
            </w:pPr>
            <w:r>
              <w:t>Number of post-discharge visits (specialist, GP etc.)</w:t>
            </w:r>
          </w:p>
          <w:p w14:paraId="50914BA8" w14:textId="0CFD5909" w:rsidR="009E4B89" w:rsidRDefault="009E4B89" w:rsidP="00855185">
            <w:pPr>
              <w:pStyle w:val="TableText0"/>
              <w:numPr>
                <w:ilvl w:val="0"/>
                <w:numId w:val="5"/>
              </w:numPr>
            </w:pPr>
            <w:r>
              <w:t>Other changes (additional/reduced imaging/laboratory tests etc.)</w:t>
            </w:r>
          </w:p>
          <w:p w14:paraId="7E860386" w14:textId="6BCB5FEB" w:rsidR="009E4B89" w:rsidRPr="000066E9" w:rsidRDefault="009E4B89" w:rsidP="009E4B89">
            <w:pPr>
              <w:pStyle w:val="TableText0"/>
              <w:rPr>
                <w:i/>
                <w:iCs/>
              </w:rPr>
            </w:pPr>
            <w:r w:rsidRPr="00B35DB8">
              <w:rPr>
                <w:i/>
                <w:iCs/>
              </w:rPr>
              <w:t>Test performance/Analytical validity</w:t>
            </w:r>
          </w:p>
          <w:p w14:paraId="6D52F3D8" w14:textId="77777777" w:rsidR="009E4B89" w:rsidRPr="008F21FD" w:rsidRDefault="009E4B89" w:rsidP="00855185">
            <w:pPr>
              <w:pStyle w:val="TableText0"/>
              <w:numPr>
                <w:ilvl w:val="0"/>
                <w:numId w:val="5"/>
              </w:numPr>
            </w:pPr>
            <w:r>
              <w:t>Prognostic and predictive value</w:t>
            </w:r>
          </w:p>
          <w:p w14:paraId="28224F3B" w14:textId="75404C0C" w:rsidR="009E4B89" w:rsidRDefault="009E4B89" w:rsidP="00855185">
            <w:pPr>
              <w:pStyle w:val="TableText0"/>
              <w:numPr>
                <w:ilvl w:val="0"/>
                <w:numId w:val="5"/>
              </w:numPr>
            </w:pPr>
            <w:r>
              <w:t>Responsiveness</w:t>
            </w:r>
          </w:p>
          <w:p w14:paraId="51904E2B" w14:textId="5F71BF19" w:rsidR="009E4B89" w:rsidRPr="00D52956" w:rsidRDefault="009E4B89" w:rsidP="00855185">
            <w:pPr>
              <w:pStyle w:val="TableText0"/>
              <w:numPr>
                <w:ilvl w:val="0"/>
                <w:numId w:val="5"/>
              </w:numPr>
            </w:pPr>
            <w:r>
              <w:t>Reproducibility, reliability, acceptability</w:t>
            </w:r>
          </w:p>
          <w:p w14:paraId="38387490" w14:textId="651E1499" w:rsidR="009E4B89" w:rsidRPr="00A55996" w:rsidRDefault="009E4B89" w:rsidP="00D93C78">
            <w:pPr>
              <w:pStyle w:val="TableText0"/>
              <w:keepNext/>
              <w:keepLines/>
              <w:rPr>
                <w:b/>
                <w:bCs/>
              </w:rPr>
            </w:pPr>
            <w:r w:rsidRPr="00A55996">
              <w:rPr>
                <w:b/>
                <w:bCs/>
              </w:rPr>
              <w:t>Health care resources (including patient out-of-pocket costs)</w:t>
            </w:r>
          </w:p>
          <w:p w14:paraId="03D1C927" w14:textId="4397237E" w:rsidR="009E4B89" w:rsidRDefault="009E4B89" w:rsidP="00D93C78">
            <w:pPr>
              <w:pStyle w:val="TableText0"/>
              <w:keepNext/>
              <w:keepLines/>
              <w:numPr>
                <w:ilvl w:val="0"/>
                <w:numId w:val="5"/>
              </w:numPr>
            </w:pPr>
            <w:r>
              <w:t>Cost of NT-proBNP testing</w:t>
            </w:r>
          </w:p>
          <w:p w14:paraId="58CFB5A9" w14:textId="216604F4" w:rsidR="009E4B89" w:rsidRDefault="009E4B89" w:rsidP="00855185">
            <w:pPr>
              <w:pStyle w:val="TableText0"/>
              <w:numPr>
                <w:ilvl w:val="0"/>
                <w:numId w:val="5"/>
              </w:numPr>
            </w:pPr>
            <w:r>
              <w:t>Cost of post-discharge care including NT-proBNP testing</w:t>
            </w:r>
          </w:p>
          <w:p w14:paraId="464FEDE8" w14:textId="1E51722C" w:rsidR="009E4B89" w:rsidRPr="00D52956" w:rsidRDefault="009E4B89" w:rsidP="00855185">
            <w:pPr>
              <w:pStyle w:val="TableText0"/>
              <w:numPr>
                <w:ilvl w:val="0"/>
                <w:numId w:val="5"/>
              </w:numPr>
            </w:pPr>
            <w:r>
              <w:lastRenderedPageBreak/>
              <w:t>Costs associated with change in management (additional visits, medication changes)</w:t>
            </w:r>
          </w:p>
          <w:p w14:paraId="056B3DA4" w14:textId="77777777" w:rsidR="009E4B89" w:rsidRDefault="009E4B89" w:rsidP="009E4B89">
            <w:pPr>
              <w:pStyle w:val="TableText0"/>
              <w:rPr>
                <w:b/>
                <w:bCs/>
              </w:rPr>
            </w:pPr>
            <w:r w:rsidRPr="00AD0601">
              <w:rPr>
                <w:b/>
                <w:bCs/>
              </w:rPr>
              <w:t>Cost-effectiveness</w:t>
            </w:r>
          </w:p>
          <w:p w14:paraId="6A6454DF" w14:textId="4F86E77B" w:rsidR="009E4B89" w:rsidRDefault="009E4B89" w:rsidP="009E4B89">
            <w:pPr>
              <w:pStyle w:val="TableText0"/>
              <w:rPr>
                <w:b/>
                <w:bCs/>
              </w:rPr>
            </w:pPr>
            <w:r w:rsidRPr="00EF5236">
              <w:rPr>
                <w:b/>
                <w:bCs/>
              </w:rPr>
              <w:t>Total Australian Government health care costs</w:t>
            </w:r>
          </w:p>
          <w:p w14:paraId="76C55844" w14:textId="1891C5C6" w:rsidR="009E4B89" w:rsidRPr="00EF5236" w:rsidRDefault="009E4B89" w:rsidP="00855185">
            <w:pPr>
              <w:pStyle w:val="TableText0"/>
              <w:numPr>
                <w:ilvl w:val="0"/>
                <w:numId w:val="5"/>
              </w:numPr>
              <w:rPr>
                <w:b/>
                <w:bCs/>
              </w:rPr>
            </w:pPr>
            <w:r>
              <w:t>Total cost to the Medica</w:t>
            </w:r>
            <w:r w:rsidR="00C12C28">
              <w:t>re</w:t>
            </w:r>
            <w:r>
              <w:t xml:space="preserve"> Benefits Schedule (MBS)</w:t>
            </w:r>
          </w:p>
          <w:p w14:paraId="6F9242D7" w14:textId="6337C499" w:rsidR="009E4B89" w:rsidRPr="007A4B20" w:rsidRDefault="009E4B89" w:rsidP="00855185">
            <w:pPr>
              <w:pStyle w:val="TableText0"/>
              <w:numPr>
                <w:ilvl w:val="0"/>
                <w:numId w:val="5"/>
              </w:numPr>
              <w:rPr>
                <w:b/>
                <w:bCs/>
              </w:rPr>
            </w:pPr>
            <w:r>
              <w:t>Total cost to the Pharmaceutical Benefits Schedule (PBS)</w:t>
            </w:r>
          </w:p>
        </w:tc>
      </w:tr>
      <w:tr w:rsidR="009E4B89" w:rsidRPr="00490FBB" w14:paraId="4A55FFDB" w14:textId="77777777" w:rsidTr="07FE9B1B">
        <w:tc>
          <w:tcPr>
            <w:tcW w:w="1005" w:type="pct"/>
            <w:tcBorders>
              <w:top w:val="single" w:sz="4" w:space="0" w:color="auto"/>
              <w:left w:val="single" w:sz="8" w:space="0" w:color="auto"/>
              <w:bottom w:val="single" w:sz="8" w:space="0" w:color="auto"/>
              <w:right w:val="single" w:sz="4" w:space="0" w:color="auto"/>
            </w:tcBorders>
          </w:tcPr>
          <w:p w14:paraId="003B36EC" w14:textId="77777777" w:rsidR="009E4B89" w:rsidRPr="00490FBB" w:rsidRDefault="009E4B89" w:rsidP="009E4B89">
            <w:pPr>
              <w:pStyle w:val="TableText0"/>
              <w:rPr>
                <w:rFonts w:cs="Arial"/>
              </w:rPr>
            </w:pPr>
            <w:r w:rsidRPr="00490FBB">
              <w:rPr>
                <w:rFonts w:cs="Arial"/>
              </w:rPr>
              <w:lastRenderedPageBreak/>
              <w:t>Assessment questions</w:t>
            </w:r>
          </w:p>
        </w:tc>
        <w:tc>
          <w:tcPr>
            <w:tcW w:w="3995" w:type="pct"/>
            <w:tcBorders>
              <w:top w:val="single" w:sz="4" w:space="0" w:color="auto"/>
              <w:left w:val="single" w:sz="4" w:space="0" w:color="auto"/>
              <w:bottom w:val="single" w:sz="4" w:space="0" w:color="auto"/>
              <w:right w:val="single" w:sz="4" w:space="0" w:color="auto"/>
            </w:tcBorders>
          </w:tcPr>
          <w:p w14:paraId="7AB69A9A" w14:textId="7FEEEA6B" w:rsidR="009E4B89" w:rsidRPr="00FD4C65" w:rsidRDefault="009E4B89" w:rsidP="009E4B89">
            <w:pPr>
              <w:pStyle w:val="TableText0"/>
              <w:rPr>
                <w:color w:val="000000" w:themeColor="text1"/>
              </w:rPr>
            </w:pPr>
            <w:r w:rsidRPr="00FD4C65">
              <w:rPr>
                <w:color w:val="000000" w:themeColor="text1"/>
              </w:rPr>
              <w:t>What</w:t>
            </w:r>
            <w:r w:rsidRPr="00490FBB">
              <w:rPr>
                <w:color w:val="000000" w:themeColor="text1"/>
              </w:rPr>
              <w:t xml:space="preserve"> is the safety, effectiveness and cost-effectiveness of </w:t>
            </w:r>
            <w:r w:rsidR="002F0EEA">
              <w:rPr>
                <w:color w:val="000000" w:themeColor="text1"/>
              </w:rPr>
              <w:t>NT-proBNP testing</w:t>
            </w:r>
            <w:r w:rsidR="00DE1D0B">
              <w:rPr>
                <w:color w:val="000000" w:themeColor="text1"/>
              </w:rPr>
              <w:t xml:space="preserve"> in addition to standard </w:t>
            </w:r>
            <w:r w:rsidR="00FF10B3">
              <w:rPr>
                <w:color w:val="000000" w:themeColor="text1"/>
              </w:rPr>
              <w:t>medical management</w:t>
            </w:r>
            <w:r w:rsidR="002F0EEA">
              <w:rPr>
                <w:color w:val="000000" w:themeColor="text1"/>
              </w:rPr>
              <w:t xml:space="preserve"> as an aid to rapid </w:t>
            </w:r>
            <w:r w:rsidR="007E2F82">
              <w:rPr>
                <w:color w:val="000000" w:themeColor="text1"/>
              </w:rPr>
              <w:t>optimisation</w:t>
            </w:r>
            <w:r w:rsidR="002F0EEA">
              <w:rPr>
                <w:color w:val="000000" w:themeColor="text1"/>
              </w:rPr>
              <w:t xml:space="preserve"> of GDMT</w:t>
            </w:r>
            <w:r w:rsidRPr="00490FBB">
              <w:rPr>
                <w:color w:val="000000" w:themeColor="text1"/>
              </w:rPr>
              <w:t xml:space="preserve"> versus </w:t>
            </w:r>
            <w:r w:rsidR="00DE1D0B">
              <w:rPr>
                <w:color w:val="000000" w:themeColor="text1"/>
              </w:rPr>
              <w:t xml:space="preserve">standard </w:t>
            </w:r>
            <w:r w:rsidR="00FF10B3">
              <w:rPr>
                <w:color w:val="000000" w:themeColor="text1"/>
              </w:rPr>
              <w:t>medical management</w:t>
            </w:r>
            <w:r w:rsidR="00DE1D0B">
              <w:rPr>
                <w:color w:val="000000" w:themeColor="text1"/>
              </w:rPr>
              <w:t xml:space="preserve"> alone</w:t>
            </w:r>
            <w:r w:rsidRPr="00490FBB">
              <w:rPr>
                <w:color w:val="000000" w:themeColor="text1"/>
              </w:rPr>
              <w:t xml:space="preserve"> in</w:t>
            </w:r>
            <w:r w:rsidR="00DE1D0B">
              <w:rPr>
                <w:color w:val="000000" w:themeColor="text1"/>
              </w:rPr>
              <w:t xml:space="preserve"> </w:t>
            </w:r>
            <w:r w:rsidR="00A0123C">
              <w:rPr>
                <w:color w:val="000000" w:themeColor="text1"/>
              </w:rPr>
              <w:t xml:space="preserve">patients in the immediate post-discharge period following hospitalisation for </w:t>
            </w:r>
            <w:r w:rsidR="00DE1D0B">
              <w:rPr>
                <w:color w:val="000000" w:themeColor="text1"/>
              </w:rPr>
              <w:t>acute HF</w:t>
            </w:r>
            <w:r w:rsidRPr="00FD4C65">
              <w:rPr>
                <w:color w:val="000000" w:themeColor="text1"/>
              </w:rPr>
              <w:t>?</w:t>
            </w:r>
          </w:p>
        </w:tc>
      </w:tr>
    </w:tbl>
    <w:p w14:paraId="5D5376EF" w14:textId="77777777" w:rsidR="006478E7" w:rsidRPr="00490FBB" w:rsidRDefault="006478E7" w:rsidP="00E01349">
      <w:r w:rsidRPr="00490FBB">
        <w:br w:type="page"/>
      </w:r>
    </w:p>
    <w:p w14:paraId="53297713" w14:textId="6615774B" w:rsidR="00912660" w:rsidRDefault="00912660" w:rsidP="00713728">
      <w:pPr>
        <w:pStyle w:val="Heading2"/>
      </w:pPr>
      <w:bookmarkStart w:id="3" w:name="_Hlk109226403"/>
      <w:bookmarkEnd w:id="3"/>
      <w:r>
        <w:lastRenderedPageBreak/>
        <w:t>Purpose of application</w:t>
      </w:r>
    </w:p>
    <w:p w14:paraId="0E65AD1B" w14:textId="23838E91" w:rsidR="004C2C5E" w:rsidRDefault="004C2C5E" w:rsidP="004C2C5E">
      <w:pPr>
        <w:spacing w:after="240"/>
        <w:rPr>
          <w:iCs/>
        </w:rPr>
      </w:pPr>
      <w:r w:rsidRPr="009A3778">
        <w:rPr>
          <w:iCs/>
        </w:rPr>
        <w:t xml:space="preserve">An application requesting </w:t>
      </w:r>
      <w:r w:rsidRPr="00FE616A">
        <w:rPr>
          <w:iCs/>
        </w:rPr>
        <w:t>Medicare Benefits Schedule (MBS) listing</w:t>
      </w:r>
      <w:r w:rsidRPr="009A3778">
        <w:rPr>
          <w:iCs/>
        </w:rPr>
        <w:t xml:space="preserve"> of </w:t>
      </w:r>
      <w:r w:rsidR="000B2438" w:rsidRPr="000B2438">
        <w:rPr>
          <w:iCs/>
        </w:rPr>
        <w:t>N-</w:t>
      </w:r>
      <w:r w:rsidR="00D12B32">
        <w:rPr>
          <w:iCs/>
        </w:rPr>
        <w:t>t</w:t>
      </w:r>
      <w:r w:rsidR="000B2438" w:rsidRPr="000B2438">
        <w:rPr>
          <w:iCs/>
        </w:rPr>
        <w:t xml:space="preserve">erminal-pro </w:t>
      </w:r>
      <w:r w:rsidR="00B44A7C">
        <w:rPr>
          <w:iCs/>
        </w:rPr>
        <w:t>b</w:t>
      </w:r>
      <w:r w:rsidR="000B2438" w:rsidRPr="000B2438">
        <w:rPr>
          <w:iCs/>
        </w:rPr>
        <w:t xml:space="preserve">rain </w:t>
      </w:r>
      <w:r w:rsidR="00B44A7C">
        <w:rPr>
          <w:iCs/>
        </w:rPr>
        <w:t>n</w:t>
      </w:r>
      <w:r w:rsidR="000B2438" w:rsidRPr="000B2438">
        <w:rPr>
          <w:iCs/>
        </w:rPr>
        <w:t xml:space="preserve">atriuretic </w:t>
      </w:r>
      <w:r w:rsidR="00B44A7C">
        <w:rPr>
          <w:iCs/>
        </w:rPr>
        <w:t>p</w:t>
      </w:r>
      <w:r w:rsidR="000B2438" w:rsidRPr="000B2438">
        <w:rPr>
          <w:iCs/>
        </w:rPr>
        <w:t>eptide</w:t>
      </w:r>
      <w:r w:rsidR="001459B1">
        <w:rPr>
          <w:rStyle w:val="FootnoteReference"/>
          <w:iCs/>
        </w:rPr>
        <w:footnoteReference w:id="2"/>
      </w:r>
      <w:r w:rsidR="000B2438" w:rsidRPr="000B2438">
        <w:rPr>
          <w:iCs/>
        </w:rPr>
        <w:t xml:space="preserve"> (NT-proBNP) testing </w:t>
      </w:r>
      <w:r w:rsidR="00B106D8">
        <w:rPr>
          <w:iCs/>
        </w:rPr>
        <w:t xml:space="preserve">as an aid </w:t>
      </w:r>
      <w:r w:rsidRPr="009A3778">
        <w:rPr>
          <w:iCs/>
        </w:rPr>
        <w:t xml:space="preserve">for </w:t>
      </w:r>
      <w:r w:rsidR="007A201E">
        <w:rPr>
          <w:iCs/>
        </w:rPr>
        <w:t xml:space="preserve">the management of </w:t>
      </w:r>
      <w:r w:rsidR="00B106D8">
        <w:rPr>
          <w:iCs/>
        </w:rPr>
        <w:t xml:space="preserve">patients </w:t>
      </w:r>
      <w:r w:rsidR="002615FC">
        <w:rPr>
          <w:iCs/>
        </w:rPr>
        <w:t xml:space="preserve">with </w:t>
      </w:r>
      <w:r w:rsidR="007A201E">
        <w:rPr>
          <w:iCs/>
        </w:rPr>
        <w:t>heart failure</w:t>
      </w:r>
      <w:r w:rsidR="000F6BC9">
        <w:rPr>
          <w:iCs/>
        </w:rPr>
        <w:t xml:space="preserve"> (HF)</w:t>
      </w:r>
      <w:r w:rsidR="007A201E">
        <w:rPr>
          <w:iCs/>
        </w:rPr>
        <w:t xml:space="preserve"> </w:t>
      </w:r>
      <w:r w:rsidRPr="009A3778">
        <w:rPr>
          <w:iCs/>
        </w:rPr>
        <w:t xml:space="preserve">was received from </w:t>
      </w:r>
      <w:r w:rsidR="00890781">
        <w:rPr>
          <w:iCs/>
        </w:rPr>
        <w:t>Roche Diagnostics Australia Pty Limited</w:t>
      </w:r>
      <w:r w:rsidRPr="009A3778">
        <w:rPr>
          <w:iCs/>
        </w:rPr>
        <w:t xml:space="preserve"> by </w:t>
      </w:r>
      <w:r w:rsidR="00CC4274">
        <w:rPr>
          <w:iCs/>
        </w:rPr>
        <w:t>the Department of Health, Disability and Ageing (the department)</w:t>
      </w:r>
      <w:r w:rsidRPr="009A3778">
        <w:rPr>
          <w:iCs/>
        </w:rPr>
        <w:t>.</w:t>
      </w:r>
      <w:r w:rsidR="00D26291">
        <w:rPr>
          <w:iCs/>
        </w:rPr>
        <w:t xml:space="preserve"> </w:t>
      </w:r>
    </w:p>
    <w:p w14:paraId="2941BDFF" w14:textId="462761DB" w:rsidR="001D446E" w:rsidRDefault="001D446E" w:rsidP="004C2C5E">
      <w:pPr>
        <w:spacing w:after="240"/>
        <w:rPr>
          <w:iCs/>
        </w:rPr>
      </w:pPr>
      <w:r>
        <w:rPr>
          <w:iCs/>
        </w:rPr>
        <w:t xml:space="preserve">The </w:t>
      </w:r>
      <w:r w:rsidR="00D57711">
        <w:rPr>
          <w:iCs/>
        </w:rPr>
        <w:t xml:space="preserve">application is for the use of NT-proBNP testing to be used in </w:t>
      </w:r>
      <w:r w:rsidR="00690D76">
        <w:rPr>
          <w:iCs/>
        </w:rPr>
        <w:t xml:space="preserve">the </w:t>
      </w:r>
      <w:r w:rsidR="00A15F4A">
        <w:rPr>
          <w:iCs/>
        </w:rPr>
        <w:t xml:space="preserve">period </w:t>
      </w:r>
      <w:r w:rsidR="004A294D">
        <w:rPr>
          <w:iCs/>
        </w:rPr>
        <w:t>post-discharge from a hospitalisation for HF</w:t>
      </w:r>
      <w:r w:rsidR="003532FF">
        <w:rPr>
          <w:iCs/>
        </w:rPr>
        <w:t xml:space="preserve"> to enable </w:t>
      </w:r>
      <w:r w:rsidR="008E20F6">
        <w:rPr>
          <w:iCs/>
        </w:rPr>
        <w:t>more rapid dose escalation of guideline</w:t>
      </w:r>
      <w:r w:rsidR="00530D5D">
        <w:rPr>
          <w:iCs/>
        </w:rPr>
        <w:t>-</w:t>
      </w:r>
      <w:r w:rsidR="008E20F6">
        <w:rPr>
          <w:iCs/>
        </w:rPr>
        <w:t xml:space="preserve">directed medical therapy (GDMT). </w:t>
      </w:r>
      <w:r w:rsidR="001C09BC">
        <w:rPr>
          <w:iCs/>
        </w:rPr>
        <w:t>The test is proposed to be used up to 5 times within 6</w:t>
      </w:r>
      <w:r w:rsidR="0073151C">
        <w:rPr>
          <w:iCs/>
        </w:rPr>
        <w:t xml:space="preserve"> </w:t>
      </w:r>
      <w:r w:rsidR="001C09BC">
        <w:rPr>
          <w:iCs/>
        </w:rPr>
        <w:t>weeks of the index hospitalisation</w:t>
      </w:r>
      <w:r w:rsidR="00686D19">
        <w:rPr>
          <w:iCs/>
        </w:rPr>
        <w:t xml:space="preserve">. </w:t>
      </w:r>
      <w:r w:rsidR="00DB61C4">
        <w:rPr>
          <w:iCs/>
        </w:rPr>
        <w:t xml:space="preserve">The use of the proposed technology is claimed to result in superior health outcomes compared </w:t>
      </w:r>
      <w:r w:rsidR="005B409D">
        <w:rPr>
          <w:iCs/>
        </w:rPr>
        <w:t>to</w:t>
      </w:r>
      <w:r w:rsidR="00DB61C4">
        <w:rPr>
          <w:iCs/>
        </w:rPr>
        <w:t xml:space="preserve"> standard practice. </w:t>
      </w:r>
    </w:p>
    <w:p w14:paraId="5AFFB44B" w14:textId="655972C0" w:rsidR="00C00EC3" w:rsidRDefault="00C00EC3" w:rsidP="001A47D0">
      <w:pPr>
        <w:spacing w:after="240"/>
        <w:rPr>
          <w:iCs/>
        </w:rPr>
      </w:pPr>
      <w:r>
        <w:rPr>
          <w:iCs/>
        </w:rPr>
        <w:t>NT-proBNP</w:t>
      </w:r>
      <w:r w:rsidR="00E96C35">
        <w:rPr>
          <w:iCs/>
        </w:rPr>
        <w:t xml:space="preserve"> (or </w:t>
      </w:r>
      <w:r w:rsidR="00195E01">
        <w:rPr>
          <w:iCs/>
        </w:rPr>
        <w:t>b</w:t>
      </w:r>
      <w:r w:rsidR="00195E01" w:rsidRPr="000B2438">
        <w:rPr>
          <w:iCs/>
        </w:rPr>
        <w:t xml:space="preserve">rain </w:t>
      </w:r>
      <w:r w:rsidR="00195E01">
        <w:rPr>
          <w:iCs/>
        </w:rPr>
        <w:t>n</w:t>
      </w:r>
      <w:r w:rsidR="00195E01" w:rsidRPr="000B2438">
        <w:rPr>
          <w:iCs/>
        </w:rPr>
        <w:t xml:space="preserve">atriuretic </w:t>
      </w:r>
      <w:r w:rsidR="00195E01">
        <w:rPr>
          <w:iCs/>
        </w:rPr>
        <w:t>p</w:t>
      </w:r>
      <w:r w:rsidR="00195E01" w:rsidRPr="000B2438">
        <w:rPr>
          <w:iCs/>
        </w:rPr>
        <w:t>eptide</w:t>
      </w:r>
      <w:r w:rsidR="00195E01">
        <w:rPr>
          <w:iCs/>
        </w:rPr>
        <w:t xml:space="preserve"> [</w:t>
      </w:r>
      <w:r w:rsidR="00E96C35">
        <w:rPr>
          <w:iCs/>
        </w:rPr>
        <w:t>BNP</w:t>
      </w:r>
      <w:r w:rsidR="00195E01">
        <w:rPr>
          <w:iCs/>
        </w:rPr>
        <w:t>]</w:t>
      </w:r>
      <w:r w:rsidR="00E96C35">
        <w:rPr>
          <w:iCs/>
        </w:rPr>
        <w:t>)</w:t>
      </w:r>
      <w:r>
        <w:rPr>
          <w:iCs/>
        </w:rPr>
        <w:t xml:space="preserve"> testing has been considered by the Medical Services Advisory Committee (MSAC) on </w:t>
      </w:r>
      <w:r w:rsidR="00B71943">
        <w:rPr>
          <w:iCs/>
        </w:rPr>
        <w:t>4</w:t>
      </w:r>
      <w:r>
        <w:rPr>
          <w:iCs/>
        </w:rPr>
        <w:t xml:space="preserve"> previous occasions (</w:t>
      </w:r>
      <w:r w:rsidR="00B71943">
        <w:rPr>
          <w:iCs/>
        </w:rPr>
        <w:fldChar w:fldCharType="begin"/>
      </w:r>
      <w:r w:rsidR="00B71943">
        <w:rPr>
          <w:iCs/>
        </w:rPr>
        <w:instrText xml:space="preserve"> REF _Ref231218806 \h </w:instrText>
      </w:r>
      <w:r w:rsidR="00B71943">
        <w:rPr>
          <w:iCs/>
        </w:rPr>
      </w:r>
      <w:r w:rsidR="00B71943">
        <w:rPr>
          <w:iCs/>
        </w:rPr>
        <w:fldChar w:fldCharType="separate"/>
      </w:r>
      <w:r w:rsidR="00E10360">
        <w:t xml:space="preserve">Table </w:t>
      </w:r>
      <w:r w:rsidR="00E10360">
        <w:rPr>
          <w:noProof/>
        </w:rPr>
        <w:t>2</w:t>
      </w:r>
      <w:r w:rsidR="00B71943">
        <w:rPr>
          <w:iCs/>
        </w:rPr>
        <w:fldChar w:fldCharType="end"/>
      </w:r>
      <w:r>
        <w:rPr>
          <w:iCs/>
        </w:rPr>
        <w:t>)</w:t>
      </w:r>
      <w:r w:rsidR="000F6BC9">
        <w:rPr>
          <w:iCs/>
        </w:rPr>
        <w:t xml:space="preserve">, 2 of which relate to </w:t>
      </w:r>
      <w:r w:rsidR="009608F6">
        <w:rPr>
          <w:iCs/>
        </w:rPr>
        <w:t>HF</w:t>
      </w:r>
      <w:r w:rsidR="002812CE">
        <w:rPr>
          <w:iCs/>
        </w:rPr>
        <w:t>.</w:t>
      </w:r>
      <w:r w:rsidR="008249E2">
        <w:rPr>
          <w:iCs/>
        </w:rPr>
        <w:t xml:space="preserve"> O</w:t>
      </w:r>
      <w:r w:rsidR="009608F6">
        <w:rPr>
          <w:iCs/>
        </w:rPr>
        <w:t>ne o</w:t>
      </w:r>
      <w:r w:rsidR="008249E2">
        <w:rPr>
          <w:iCs/>
        </w:rPr>
        <w:t>f the</w:t>
      </w:r>
      <w:r w:rsidR="009608F6">
        <w:rPr>
          <w:iCs/>
        </w:rPr>
        <w:t>se</w:t>
      </w:r>
      <w:r w:rsidR="001A47D0">
        <w:rPr>
          <w:iCs/>
        </w:rPr>
        <w:t>, 10</w:t>
      </w:r>
      <w:r w:rsidR="0003577B">
        <w:rPr>
          <w:iCs/>
        </w:rPr>
        <w:t>8</w:t>
      </w:r>
      <w:r w:rsidR="001A47D0">
        <w:rPr>
          <w:iCs/>
        </w:rPr>
        <w:t>7,</w:t>
      </w:r>
      <w:r w:rsidR="008249E2">
        <w:rPr>
          <w:iCs/>
        </w:rPr>
        <w:t xml:space="preserve"> considered monitori</w:t>
      </w:r>
      <w:r w:rsidR="00B51A58">
        <w:rPr>
          <w:iCs/>
        </w:rPr>
        <w:t>ng</w:t>
      </w:r>
      <w:r w:rsidR="00443A5E">
        <w:rPr>
          <w:iCs/>
        </w:rPr>
        <w:t xml:space="preserve"> of HF</w:t>
      </w:r>
      <w:r w:rsidR="001A47D0">
        <w:rPr>
          <w:iCs/>
        </w:rPr>
        <w:t>.</w:t>
      </w:r>
      <w:r w:rsidR="00DD70EF">
        <w:rPr>
          <w:iCs/>
        </w:rPr>
        <w:t xml:space="preserve"> MSAC conclud</w:t>
      </w:r>
      <w:r w:rsidR="001A47D0">
        <w:rPr>
          <w:iCs/>
        </w:rPr>
        <w:t>ed</w:t>
      </w:r>
      <w:r w:rsidR="00DD70EF">
        <w:rPr>
          <w:iCs/>
        </w:rPr>
        <w:t xml:space="preserve"> that there was</w:t>
      </w:r>
      <w:r w:rsidR="001A47D0">
        <w:rPr>
          <w:iCs/>
        </w:rPr>
        <w:t xml:space="preserve"> </w:t>
      </w:r>
      <w:r w:rsidR="001A47D0" w:rsidRPr="001A47D0">
        <w:rPr>
          <w:iCs/>
        </w:rPr>
        <w:t>insufficient evidence of effectiveness and cost-effectiveness for the use</w:t>
      </w:r>
      <w:r w:rsidR="001A47D0">
        <w:rPr>
          <w:iCs/>
        </w:rPr>
        <w:t xml:space="preserve"> of BNP</w:t>
      </w:r>
      <w:r w:rsidR="00CD0604">
        <w:rPr>
          <w:iCs/>
        </w:rPr>
        <w:t xml:space="preserve"> </w:t>
      </w:r>
      <w:r w:rsidR="007E2526">
        <w:rPr>
          <w:iCs/>
        </w:rPr>
        <w:t>assays</w:t>
      </w:r>
      <w:r w:rsidR="001A47D0" w:rsidRPr="001A47D0">
        <w:rPr>
          <w:iCs/>
        </w:rPr>
        <w:t xml:space="preserve"> in monitoring the progress of patients with </w:t>
      </w:r>
      <w:r w:rsidR="009F273F">
        <w:rPr>
          <w:iCs/>
        </w:rPr>
        <w:t>HF</w:t>
      </w:r>
      <w:r w:rsidR="007E2526">
        <w:rPr>
          <w:iCs/>
        </w:rPr>
        <w:t>.</w:t>
      </w:r>
      <w:r w:rsidR="00B51A58">
        <w:rPr>
          <w:iCs/>
        </w:rPr>
        <w:t xml:space="preserve"> </w:t>
      </w:r>
      <w:r w:rsidR="0028020A">
        <w:rPr>
          <w:iCs/>
        </w:rPr>
        <w:t xml:space="preserve">Numerous trials of NT-proBNP </w:t>
      </w:r>
      <w:r w:rsidR="00417724">
        <w:rPr>
          <w:iCs/>
        </w:rPr>
        <w:t>monitoring in HF have since been conducted</w:t>
      </w:r>
      <w:r w:rsidR="00205C2E">
        <w:rPr>
          <w:iCs/>
        </w:rPr>
        <w:t>;</w:t>
      </w:r>
      <w:r w:rsidR="00CC1A85">
        <w:rPr>
          <w:iCs/>
        </w:rPr>
        <w:t xml:space="preserve"> however</w:t>
      </w:r>
      <w:r w:rsidR="00205C2E">
        <w:rPr>
          <w:iCs/>
        </w:rPr>
        <w:t>,</w:t>
      </w:r>
      <w:r w:rsidR="00CC1A85">
        <w:rPr>
          <w:iCs/>
        </w:rPr>
        <w:t xml:space="preserve"> the </w:t>
      </w:r>
      <w:r w:rsidR="00630C45">
        <w:rPr>
          <w:iCs/>
        </w:rPr>
        <w:t xml:space="preserve">current </w:t>
      </w:r>
      <w:r w:rsidR="00CC1A85">
        <w:rPr>
          <w:iCs/>
        </w:rPr>
        <w:t>application is</w:t>
      </w:r>
      <w:r w:rsidR="00365B56">
        <w:rPr>
          <w:iCs/>
        </w:rPr>
        <w:t xml:space="preserve"> restricted </w:t>
      </w:r>
      <w:r w:rsidR="00575D5F">
        <w:rPr>
          <w:iCs/>
        </w:rPr>
        <w:t xml:space="preserve">to the </w:t>
      </w:r>
      <w:r w:rsidR="00365B56">
        <w:rPr>
          <w:iCs/>
        </w:rPr>
        <w:t xml:space="preserve">use of NT-proBNP in the immediate post-discharge period to guide </w:t>
      </w:r>
      <w:r w:rsidR="005F6022">
        <w:rPr>
          <w:iCs/>
        </w:rPr>
        <w:t>treatment</w:t>
      </w:r>
      <w:r w:rsidR="00B45B90">
        <w:rPr>
          <w:iCs/>
        </w:rPr>
        <w:t xml:space="preserve"> optimisation</w:t>
      </w:r>
      <w:r w:rsidR="00365B56">
        <w:rPr>
          <w:iCs/>
        </w:rPr>
        <w:t xml:space="preserve"> and not for more general </w:t>
      </w:r>
      <w:r w:rsidR="00575D5F">
        <w:rPr>
          <w:iCs/>
        </w:rPr>
        <w:t>monitoring</w:t>
      </w:r>
      <w:r w:rsidR="00417724">
        <w:rPr>
          <w:iCs/>
        </w:rPr>
        <w:t xml:space="preserve">. </w:t>
      </w:r>
    </w:p>
    <w:p w14:paraId="27DB5BE4" w14:textId="76635EEE" w:rsidR="00F96FCE" w:rsidRDefault="00F96FCE" w:rsidP="00F96FCE">
      <w:pPr>
        <w:pStyle w:val="Caption"/>
      </w:pPr>
      <w:bookmarkStart w:id="4" w:name="_Ref231218806"/>
      <w:r>
        <w:t xml:space="preserve">Table </w:t>
      </w:r>
      <w:r>
        <w:fldChar w:fldCharType="begin"/>
      </w:r>
      <w:r>
        <w:instrText xml:space="preserve"> SEQ Table \* ARABIC </w:instrText>
      </w:r>
      <w:r>
        <w:fldChar w:fldCharType="separate"/>
      </w:r>
      <w:r w:rsidR="00E10360">
        <w:rPr>
          <w:noProof/>
        </w:rPr>
        <w:t>2</w:t>
      </w:r>
      <w:r>
        <w:fldChar w:fldCharType="end"/>
      </w:r>
      <w:bookmarkEnd w:id="4"/>
      <w:r>
        <w:tab/>
        <w:t>Prior MSAC application for NT-proBNP testing</w:t>
      </w:r>
    </w:p>
    <w:tbl>
      <w:tblPr>
        <w:tblStyle w:val="TableGrid"/>
        <w:tblW w:w="0" w:type="auto"/>
        <w:tblInd w:w="0" w:type="dxa"/>
        <w:tblLook w:val="04A0" w:firstRow="1" w:lastRow="0" w:firstColumn="1" w:lastColumn="0" w:noHBand="0" w:noVBand="1"/>
        <w:tblCaption w:val="Prior MSAC application for NT-proBNP testing"/>
        <w:tblDescription w:val="Lists prior relevant assessments and their outcomes"/>
      </w:tblPr>
      <w:tblGrid>
        <w:gridCol w:w="1271"/>
        <w:gridCol w:w="3827"/>
        <w:gridCol w:w="2080"/>
        <w:gridCol w:w="2393"/>
      </w:tblGrid>
      <w:tr w:rsidR="008D4FFE" w14:paraId="6B53C610" w14:textId="77777777" w:rsidTr="00417E5A">
        <w:tc>
          <w:tcPr>
            <w:tcW w:w="1271" w:type="dxa"/>
          </w:tcPr>
          <w:p w14:paraId="34EE1EFF" w14:textId="15AA6389" w:rsidR="008D4FFE" w:rsidRDefault="008D4FFE" w:rsidP="008D4FFE">
            <w:pPr>
              <w:pStyle w:val="TableHeading"/>
            </w:pPr>
            <w:r>
              <w:t>Application No.</w:t>
            </w:r>
          </w:p>
        </w:tc>
        <w:tc>
          <w:tcPr>
            <w:tcW w:w="3827" w:type="dxa"/>
          </w:tcPr>
          <w:p w14:paraId="2E27E877" w14:textId="1A13AEDD" w:rsidR="008D4FFE" w:rsidRDefault="008D4FFE" w:rsidP="008D4FFE">
            <w:pPr>
              <w:pStyle w:val="TableHeading"/>
            </w:pPr>
            <w:r>
              <w:t>Title of application</w:t>
            </w:r>
          </w:p>
        </w:tc>
        <w:tc>
          <w:tcPr>
            <w:tcW w:w="2080" w:type="dxa"/>
          </w:tcPr>
          <w:p w14:paraId="4C0DF02D" w14:textId="68D61BF5" w:rsidR="008D4FFE" w:rsidRDefault="00A616E7" w:rsidP="008D4FFE">
            <w:pPr>
              <w:pStyle w:val="TableHeading"/>
            </w:pPr>
            <w:r>
              <w:t xml:space="preserve">MSAC </w:t>
            </w:r>
            <w:r w:rsidR="008D4FFE">
              <w:t>Meeting date</w:t>
            </w:r>
          </w:p>
        </w:tc>
        <w:tc>
          <w:tcPr>
            <w:tcW w:w="2393" w:type="dxa"/>
          </w:tcPr>
          <w:p w14:paraId="4DC3CB1C" w14:textId="2935F665" w:rsidR="008D4FFE" w:rsidRDefault="008D4FFE" w:rsidP="008D4FFE">
            <w:pPr>
              <w:pStyle w:val="TableHeading"/>
            </w:pPr>
            <w:r>
              <w:t>Outcome</w:t>
            </w:r>
          </w:p>
        </w:tc>
      </w:tr>
      <w:tr w:rsidR="008D4FFE" w14:paraId="57B1DAF5" w14:textId="77777777" w:rsidTr="00417E5A">
        <w:tc>
          <w:tcPr>
            <w:tcW w:w="1271" w:type="dxa"/>
          </w:tcPr>
          <w:p w14:paraId="07E24C4D" w14:textId="58E0D208" w:rsidR="008D4FFE" w:rsidRDefault="00055A76" w:rsidP="008D4FFE">
            <w:pPr>
              <w:pStyle w:val="TableText0"/>
            </w:pPr>
            <w:hyperlink r:id="rId11" w:tooltip="Link to Application 1807 on the MSAC webpage" w:history="1">
              <w:r w:rsidRPr="006D29F0">
                <w:rPr>
                  <w:rStyle w:val="Hyperlink"/>
                  <w:rFonts w:ascii="Arial Narrow" w:hAnsi="Arial Narrow" w:cstheme="minorBidi"/>
                </w:rPr>
                <w:t>10</w:t>
              </w:r>
              <w:r w:rsidR="00530F6F">
                <w:rPr>
                  <w:rStyle w:val="Hyperlink"/>
                  <w:rFonts w:ascii="Arial Narrow" w:hAnsi="Arial Narrow" w:cstheme="minorBidi"/>
                </w:rPr>
                <w:t>8</w:t>
              </w:r>
              <w:r w:rsidRPr="006D29F0">
                <w:rPr>
                  <w:rStyle w:val="Hyperlink"/>
                  <w:rFonts w:ascii="Arial Narrow" w:hAnsi="Arial Narrow" w:cstheme="minorBidi"/>
                </w:rPr>
                <w:t>7</w:t>
              </w:r>
            </w:hyperlink>
          </w:p>
        </w:tc>
        <w:tc>
          <w:tcPr>
            <w:tcW w:w="3827" w:type="dxa"/>
          </w:tcPr>
          <w:p w14:paraId="0F95DC73" w14:textId="36D81B8F" w:rsidR="008D4FFE" w:rsidRDefault="004076D3" w:rsidP="008D4FFE">
            <w:pPr>
              <w:pStyle w:val="TableText0"/>
            </w:pPr>
            <w:r w:rsidRPr="004076D3">
              <w:t>Brain natriuretic peptide assays in the diagnosis and monitoring of heart failur</w:t>
            </w:r>
            <w:r>
              <w:t>e</w:t>
            </w:r>
          </w:p>
        </w:tc>
        <w:tc>
          <w:tcPr>
            <w:tcW w:w="2080" w:type="dxa"/>
          </w:tcPr>
          <w:p w14:paraId="2404841A" w14:textId="77777777" w:rsidR="008D4FFE" w:rsidRDefault="004076D3" w:rsidP="008D4FFE">
            <w:pPr>
              <w:pStyle w:val="TableText0"/>
            </w:pPr>
            <w:r>
              <w:t>15 November 2006</w:t>
            </w:r>
          </w:p>
          <w:p w14:paraId="0336DD48" w14:textId="72848286" w:rsidR="004076D3" w:rsidRDefault="00E6103C" w:rsidP="008D4FFE">
            <w:pPr>
              <w:pStyle w:val="TableText0"/>
            </w:pPr>
            <w:r>
              <w:t>6-7 April 2017 (</w:t>
            </w:r>
            <w:r w:rsidR="006C4622">
              <w:t xml:space="preserve">report to MSAC on the </w:t>
            </w:r>
            <w:r>
              <w:t>predicted versus actual</w:t>
            </w:r>
            <w:r w:rsidR="006C4622">
              <w:t xml:space="preserve"> impact</w:t>
            </w:r>
            <w:r w:rsidR="00CE6673">
              <w:t xml:space="preserve">s </w:t>
            </w:r>
            <w:r w:rsidR="00C549C0">
              <w:t xml:space="preserve">following </w:t>
            </w:r>
            <w:r w:rsidR="00034C1D">
              <w:t xml:space="preserve">its </w:t>
            </w:r>
            <w:r w:rsidR="00C549C0">
              <w:t xml:space="preserve">support of </w:t>
            </w:r>
            <w:r w:rsidR="00034C1D">
              <w:t>the application</w:t>
            </w:r>
            <w:r>
              <w:t>)</w:t>
            </w:r>
          </w:p>
        </w:tc>
        <w:tc>
          <w:tcPr>
            <w:tcW w:w="2393" w:type="dxa"/>
          </w:tcPr>
          <w:p w14:paraId="0E26E430" w14:textId="77777777" w:rsidR="008D4FFE" w:rsidRDefault="00F318F3" w:rsidP="008D4FFE">
            <w:pPr>
              <w:pStyle w:val="TableText0"/>
            </w:pPr>
            <w:r>
              <w:t>Supported – hospital emergency setting</w:t>
            </w:r>
          </w:p>
          <w:p w14:paraId="6AD3BACB" w14:textId="5EBDE9E1" w:rsidR="00F318F3" w:rsidRDefault="00F318F3" w:rsidP="008D4FFE">
            <w:pPr>
              <w:pStyle w:val="TableText0"/>
            </w:pPr>
            <w:r>
              <w:t>Not Supported – non-hospital setting</w:t>
            </w:r>
          </w:p>
        </w:tc>
      </w:tr>
      <w:tr w:rsidR="008D4FFE" w14:paraId="78C3934F" w14:textId="77777777" w:rsidTr="00417E5A">
        <w:tc>
          <w:tcPr>
            <w:tcW w:w="1271" w:type="dxa"/>
          </w:tcPr>
          <w:p w14:paraId="5D29D86C" w14:textId="444D88DA" w:rsidR="008D4FFE" w:rsidRDefault="00281895" w:rsidP="008D4FFE">
            <w:pPr>
              <w:pStyle w:val="TableText0"/>
            </w:pPr>
            <w:hyperlink r:id="rId12" w:tooltip="Link to Application 1689 on the MSAC website" w:history="1">
              <w:r w:rsidRPr="00F54B93">
                <w:rPr>
                  <w:rStyle w:val="Hyperlink"/>
                  <w:rFonts w:ascii="Arial Narrow" w:hAnsi="Arial Narrow" w:cstheme="minorBidi"/>
                </w:rPr>
                <w:t>1689</w:t>
              </w:r>
            </w:hyperlink>
          </w:p>
        </w:tc>
        <w:tc>
          <w:tcPr>
            <w:tcW w:w="3827" w:type="dxa"/>
          </w:tcPr>
          <w:p w14:paraId="296084E5" w14:textId="61E5C08C" w:rsidR="008D4FFE" w:rsidRDefault="00F54B93" w:rsidP="008D4FFE">
            <w:pPr>
              <w:pStyle w:val="TableText0"/>
            </w:pPr>
            <w:r w:rsidRPr="00F54B93">
              <w:t>Quantification of NT-proBNP in patients with systemic sclerosis, and in patients with diagnosed pulmonary arterial hypertension</w:t>
            </w:r>
          </w:p>
        </w:tc>
        <w:tc>
          <w:tcPr>
            <w:tcW w:w="2080" w:type="dxa"/>
          </w:tcPr>
          <w:p w14:paraId="76D720FA" w14:textId="574AAA8C" w:rsidR="008D4FFE" w:rsidRDefault="005F23C4" w:rsidP="008D4FFE">
            <w:pPr>
              <w:pStyle w:val="TableText0"/>
            </w:pPr>
            <w:r>
              <w:t>28–29 July 2022</w:t>
            </w:r>
          </w:p>
        </w:tc>
        <w:tc>
          <w:tcPr>
            <w:tcW w:w="2393" w:type="dxa"/>
          </w:tcPr>
          <w:p w14:paraId="664AAD65" w14:textId="77777777" w:rsidR="008D4FFE" w:rsidRDefault="005F23C4" w:rsidP="008D4FFE">
            <w:pPr>
              <w:pStyle w:val="TableText0"/>
            </w:pPr>
            <w:r>
              <w:t xml:space="preserve">Supported – diagnosis </w:t>
            </w:r>
          </w:p>
          <w:p w14:paraId="36190437" w14:textId="7BCE8EE7" w:rsidR="00252B25" w:rsidRDefault="00252B25" w:rsidP="008D4FFE">
            <w:pPr>
              <w:pStyle w:val="TableText0"/>
            </w:pPr>
            <w:r>
              <w:t>Not Supported - monitoring</w:t>
            </w:r>
          </w:p>
        </w:tc>
      </w:tr>
      <w:tr w:rsidR="008D4FFE" w14:paraId="71CB7DC0" w14:textId="77777777" w:rsidTr="00417E5A">
        <w:tc>
          <w:tcPr>
            <w:tcW w:w="1271" w:type="dxa"/>
          </w:tcPr>
          <w:p w14:paraId="01F73C08" w14:textId="1546854B" w:rsidR="008D4FFE" w:rsidRDefault="00281895" w:rsidP="008D4FFE">
            <w:pPr>
              <w:pStyle w:val="TableText0"/>
            </w:pPr>
            <w:hyperlink r:id="rId13" w:tooltip="Link to Application 1689.1 on the MSAC website" w:history="1">
              <w:r w:rsidRPr="00275FC3">
                <w:rPr>
                  <w:rStyle w:val="Hyperlink"/>
                  <w:rFonts w:ascii="Arial Narrow" w:hAnsi="Arial Narrow" w:cstheme="minorBidi"/>
                </w:rPr>
                <w:t>1689.1</w:t>
              </w:r>
            </w:hyperlink>
          </w:p>
        </w:tc>
        <w:tc>
          <w:tcPr>
            <w:tcW w:w="3827" w:type="dxa"/>
          </w:tcPr>
          <w:p w14:paraId="04C6BBFA" w14:textId="48E59BDD" w:rsidR="008D4FFE" w:rsidRDefault="00502118" w:rsidP="008D4FFE">
            <w:pPr>
              <w:pStyle w:val="TableText0"/>
            </w:pPr>
            <w:r w:rsidRPr="00502118">
              <w:t>Quantification of NT-proBNP in patients with diagnosed pulmonary arterial hypertension for ongoing risk assessment</w:t>
            </w:r>
            <w:r w:rsidR="008F7F02">
              <w:t xml:space="preserve"> (i.e. </w:t>
            </w:r>
            <w:r w:rsidR="000B6D6A">
              <w:t>monitoring population not supported in 1689)</w:t>
            </w:r>
          </w:p>
        </w:tc>
        <w:tc>
          <w:tcPr>
            <w:tcW w:w="2080" w:type="dxa"/>
          </w:tcPr>
          <w:p w14:paraId="57261AB9" w14:textId="72C2B486" w:rsidR="008D4FFE" w:rsidRDefault="00F91499" w:rsidP="008D4FFE">
            <w:pPr>
              <w:pStyle w:val="TableText0"/>
            </w:pPr>
            <w:r>
              <w:t>27–28 July 2023</w:t>
            </w:r>
          </w:p>
        </w:tc>
        <w:tc>
          <w:tcPr>
            <w:tcW w:w="2393" w:type="dxa"/>
          </w:tcPr>
          <w:p w14:paraId="6BDBFED1" w14:textId="5FE0C9D6" w:rsidR="008D4FFE" w:rsidRDefault="00F91499" w:rsidP="008D4FFE">
            <w:pPr>
              <w:pStyle w:val="TableText0"/>
            </w:pPr>
            <w:r>
              <w:t>Supported</w:t>
            </w:r>
          </w:p>
        </w:tc>
      </w:tr>
      <w:tr w:rsidR="008D4FFE" w14:paraId="7F4F470F" w14:textId="77777777" w:rsidTr="00417E5A">
        <w:tc>
          <w:tcPr>
            <w:tcW w:w="1271" w:type="dxa"/>
          </w:tcPr>
          <w:p w14:paraId="26A42942" w14:textId="031804B5" w:rsidR="008D4FFE" w:rsidRDefault="00281895" w:rsidP="008D4FFE">
            <w:pPr>
              <w:pStyle w:val="TableText0"/>
            </w:pPr>
            <w:hyperlink r:id="rId14" w:tooltip="Link to Application 1740 on the MSAC website" w:history="1">
              <w:r w:rsidRPr="003350D5">
                <w:rPr>
                  <w:rStyle w:val="Hyperlink"/>
                  <w:rFonts w:ascii="Arial Narrow" w:hAnsi="Arial Narrow" w:cstheme="minorBidi"/>
                </w:rPr>
                <w:t>1740</w:t>
              </w:r>
            </w:hyperlink>
          </w:p>
        </w:tc>
        <w:tc>
          <w:tcPr>
            <w:tcW w:w="3827" w:type="dxa"/>
          </w:tcPr>
          <w:p w14:paraId="02CFA238" w14:textId="23F62C11" w:rsidR="008D4FFE" w:rsidRDefault="003350D5" w:rsidP="008D4FFE">
            <w:pPr>
              <w:pStyle w:val="TableText0"/>
            </w:pPr>
            <w:r w:rsidRPr="003350D5">
              <w:t>N-Terminal-pro Brain Natriuretic Peptide (NT-proBNP) to aid in the diagnosis of patients with suspected heart failure in a non-hospital setting</w:t>
            </w:r>
          </w:p>
        </w:tc>
        <w:tc>
          <w:tcPr>
            <w:tcW w:w="2080" w:type="dxa"/>
          </w:tcPr>
          <w:p w14:paraId="728EFEA1" w14:textId="57C218AF" w:rsidR="008D4FFE" w:rsidRDefault="00A03DF3" w:rsidP="008D4FFE">
            <w:pPr>
              <w:pStyle w:val="TableText0"/>
            </w:pPr>
            <w:r>
              <w:t>23–24 November 2023</w:t>
            </w:r>
          </w:p>
        </w:tc>
        <w:tc>
          <w:tcPr>
            <w:tcW w:w="2393" w:type="dxa"/>
          </w:tcPr>
          <w:p w14:paraId="72CB60D9" w14:textId="2A2B42C2" w:rsidR="008D4FFE" w:rsidRDefault="002D16C6" w:rsidP="008D4FFE">
            <w:pPr>
              <w:pStyle w:val="TableText0"/>
            </w:pPr>
            <w:r>
              <w:t>Supported</w:t>
            </w:r>
          </w:p>
        </w:tc>
      </w:tr>
    </w:tbl>
    <w:p w14:paraId="708C3E8A" w14:textId="5B92FA24" w:rsidR="004C7DA5" w:rsidRPr="009A3778" w:rsidRDefault="00F27664" w:rsidP="00F27664">
      <w:pPr>
        <w:pStyle w:val="Tablenotes"/>
      </w:pPr>
      <w:r>
        <w:t>MSAC = Medical Services Advisory Committee</w:t>
      </w:r>
      <w:r w:rsidR="00A616E7">
        <w:t xml:space="preserve">; NT-proBNP = </w:t>
      </w:r>
      <w:r w:rsidR="00A616E7" w:rsidRPr="000B2438">
        <w:rPr>
          <w:iCs/>
        </w:rPr>
        <w:t>N-Terminal-pro Brain Natriuretic Peptide</w:t>
      </w:r>
      <w:r w:rsidR="00776B83">
        <w:rPr>
          <w:iCs/>
        </w:rPr>
        <w:t>.</w:t>
      </w:r>
    </w:p>
    <w:p w14:paraId="18E66948" w14:textId="77777777" w:rsidR="00D73332" w:rsidRPr="00FD4C65" w:rsidRDefault="00D73332" w:rsidP="00FD4C65">
      <w:pPr>
        <w:pStyle w:val="Heading2"/>
      </w:pPr>
      <w:r w:rsidRPr="00FD4C65">
        <w:t xml:space="preserve">PICO </w:t>
      </w:r>
      <w:r w:rsidR="00FD4E33" w:rsidRPr="00FD4C65">
        <w:t xml:space="preserve">criteria </w:t>
      </w:r>
    </w:p>
    <w:p w14:paraId="06B30611" w14:textId="77777777" w:rsidR="007D6B83" w:rsidRDefault="007D6B83" w:rsidP="007D6B83">
      <w:pPr>
        <w:pStyle w:val="Heading3"/>
      </w:pPr>
      <w:r w:rsidRPr="00713728">
        <w:t>Population</w:t>
      </w:r>
    </w:p>
    <w:p w14:paraId="53C19BBA" w14:textId="6EB035A6" w:rsidR="00F60265" w:rsidRDefault="00F60265" w:rsidP="00F60265">
      <w:pPr>
        <w:spacing w:before="120" w:after="120" w:line="240" w:lineRule="auto"/>
      </w:pPr>
      <w:r>
        <w:t>The proposed population is patients in the immediate post-discharge phase following hospitalisation for treatment of HF who:</w:t>
      </w:r>
    </w:p>
    <w:p w14:paraId="45802123" w14:textId="7B213ED1" w:rsidR="00F60265" w:rsidRDefault="009012FD" w:rsidP="00855185">
      <w:pPr>
        <w:pStyle w:val="ListParagraph"/>
        <w:numPr>
          <w:ilvl w:val="0"/>
          <w:numId w:val="3"/>
        </w:numPr>
      </w:pPr>
      <w:r>
        <w:t xml:space="preserve">are </w:t>
      </w:r>
      <w:r w:rsidR="00063E45">
        <w:t>i</w:t>
      </w:r>
      <w:r w:rsidR="00F60265">
        <w:t>ntended to be treated or managed with at least 3 of the 4 classes of GDMT, consisting of:</w:t>
      </w:r>
    </w:p>
    <w:p w14:paraId="5F840B23" w14:textId="6A670D50" w:rsidR="00F60265" w:rsidRDefault="00D44DA0" w:rsidP="00855185">
      <w:pPr>
        <w:pStyle w:val="ListParagraph"/>
        <w:numPr>
          <w:ilvl w:val="1"/>
          <w:numId w:val="3"/>
        </w:numPr>
      </w:pPr>
      <w:r>
        <w:lastRenderedPageBreak/>
        <w:t>a</w:t>
      </w:r>
      <w:r w:rsidR="00F60265">
        <w:t>ngiotensin-converting enzyme (ACE)</w:t>
      </w:r>
      <w:r w:rsidR="00C63F84" w:rsidRPr="00C63F84">
        <w:t xml:space="preserve"> </w:t>
      </w:r>
      <w:r w:rsidR="00C63F84">
        <w:t>inhibitor</w:t>
      </w:r>
      <w:r w:rsidR="001D2B4E">
        <w:t>/</w:t>
      </w:r>
      <w:r w:rsidR="00FC28FE" w:rsidRPr="00FC28FE">
        <w:t xml:space="preserve"> </w:t>
      </w:r>
      <w:r w:rsidR="00FC28FE">
        <w:t xml:space="preserve">angiotensin receptor neprilysin inhibitor </w:t>
      </w:r>
      <w:r w:rsidR="00DB2327">
        <w:t>(</w:t>
      </w:r>
      <w:r w:rsidR="001D2B4E">
        <w:t>ARNI</w:t>
      </w:r>
      <w:r w:rsidR="00DB2327">
        <w:t>)</w:t>
      </w:r>
      <w:r w:rsidR="00F13177">
        <w:t>/</w:t>
      </w:r>
      <w:r w:rsidR="00DB2327" w:rsidRPr="00DB2327">
        <w:t xml:space="preserve"> </w:t>
      </w:r>
      <w:r w:rsidR="00DB2327">
        <w:t>angiotensin receptor blocker (</w:t>
      </w:r>
      <w:r w:rsidR="001D2B4E">
        <w:t>ARB</w:t>
      </w:r>
      <w:r w:rsidR="00DB2327">
        <w:t>)</w:t>
      </w:r>
    </w:p>
    <w:p w14:paraId="67AC2C3B" w14:textId="748F1C02" w:rsidR="00F60265" w:rsidRDefault="00D44DA0" w:rsidP="00855185">
      <w:pPr>
        <w:pStyle w:val="ListParagraph"/>
        <w:numPr>
          <w:ilvl w:val="1"/>
          <w:numId w:val="3"/>
        </w:numPr>
      </w:pPr>
      <w:r>
        <w:t>b</w:t>
      </w:r>
      <w:r w:rsidR="00F60265">
        <w:t>eta blocker</w:t>
      </w:r>
    </w:p>
    <w:p w14:paraId="5329D090" w14:textId="7E504B4C" w:rsidR="00F60265" w:rsidRDefault="00D44DA0" w:rsidP="00855185">
      <w:pPr>
        <w:pStyle w:val="ListParagraph"/>
        <w:numPr>
          <w:ilvl w:val="1"/>
          <w:numId w:val="3"/>
        </w:numPr>
      </w:pPr>
      <w:r>
        <w:t>m</w:t>
      </w:r>
      <w:r w:rsidR="00F60265">
        <w:t>ineralocorticoid receptor antagonist (MRA), and/or</w:t>
      </w:r>
    </w:p>
    <w:p w14:paraId="06330B31" w14:textId="0570D079" w:rsidR="00F60265" w:rsidRDefault="00D44DA0" w:rsidP="00855185">
      <w:pPr>
        <w:pStyle w:val="ListParagraph"/>
        <w:numPr>
          <w:ilvl w:val="1"/>
          <w:numId w:val="3"/>
        </w:numPr>
      </w:pPr>
      <w:r>
        <w:t>s</w:t>
      </w:r>
      <w:r w:rsidR="00F60265">
        <w:t xml:space="preserve">odium-glucose cotransporter 2 </w:t>
      </w:r>
      <w:r w:rsidR="008F5DB1">
        <w:t>(SGLT2)</w:t>
      </w:r>
      <w:r w:rsidR="00905F61">
        <w:t xml:space="preserve"> inhibitor</w:t>
      </w:r>
    </w:p>
    <w:p w14:paraId="6CAD3F2D" w14:textId="436D2C3B" w:rsidR="00F60265" w:rsidRDefault="009012FD" w:rsidP="00855185">
      <w:pPr>
        <w:pStyle w:val="ListParagraph"/>
        <w:numPr>
          <w:ilvl w:val="0"/>
          <w:numId w:val="3"/>
        </w:numPr>
      </w:pPr>
      <w:r>
        <w:t xml:space="preserve">are </w:t>
      </w:r>
      <w:r w:rsidR="001939C0">
        <w:t>n</w:t>
      </w:r>
      <w:r w:rsidR="00F60265">
        <w:t>ot currently treated with &gt;50% of maximum doses of GDMT, and</w:t>
      </w:r>
    </w:p>
    <w:p w14:paraId="1ECDAF0F" w14:textId="52B518CD" w:rsidR="00F60265" w:rsidRDefault="001939C0" w:rsidP="00855185">
      <w:pPr>
        <w:pStyle w:val="ListParagraph"/>
        <w:numPr>
          <w:ilvl w:val="0"/>
          <w:numId w:val="3"/>
        </w:numPr>
      </w:pPr>
      <w:r>
        <w:t>h</w:t>
      </w:r>
      <w:r w:rsidR="00F60265">
        <w:t>ad an NT-proBNP measurement during or immediately prior to hospitalisation of &gt;2,500</w:t>
      </w:r>
      <w:r w:rsidR="00102ACF">
        <w:t xml:space="preserve"> </w:t>
      </w:r>
      <w:r w:rsidR="00F60265">
        <w:t>pg/mL.</w:t>
      </w:r>
    </w:p>
    <w:p w14:paraId="0E617A2F" w14:textId="54A0EC93" w:rsidR="00670DD9" w:rsidRDefault="00670DD9" w:rsidP="00670DD9">
      <w:r>
        <w:t xml:space="preserve">These criteria have been </w:t>
      </w:r>
      <w:r w:rsidR="00BB65D6">
        <w:t xml:space="preserve">proposed as they align with the population studied in the pivotal </w:t>
      </w:r>
      <w:r w:rsidR="00262D25">
        <w:t>trial</w:t>
      </w:r>
      <w:r w:rsidR="0077435F">
        <w:t xml:space="preserve"> referred to as</w:t>
      </w:r>
      <w:r w:rsidR="006B09A1">
        <w:t xml:space="preserve"> </w:t>
      </w:r>
      <w:r w:rsidR="00BB65D6">
        <w:t>STRONG-HF (</w:t>
      </w:r>
      <w:r w:rsidR="00AE4987">
        <w:t>Mebazaa et al. 2022</w:t>
      </w:r>
      <w:r w:rsidR="0007794A">
        <w:t>;</w:t>
      </w:r>
      <w:r w:rsidR="00606634">
        <w:t xml:space="preserve"> </w:t>
      </w:r>
      <w:hyperlink r:id="rId15" w:tooltip="Link to the trial on clinicaltrials.gov" w:history="1">
        <w:r w:rsidR="00606634" w:rsidRPr="00845B29">
          <w:rPr>
            <w:rStyle w:val="Hyperlink"/>
            <w:rFonts w:ascii="Calibri" w:hAnsi="Calibri"/>
          </w:rPr>
          <w:t>NCT03412201</w:t>
        </w:r>
      </w:hyperlink>
      <w:r w:rsidR="00B21368">
        <w:rPr>
          <w:rStyle w:val="Hyperlink"/>
          <w:rFonts w:ascii="Calibri" w:hAnsi="Calibri"/>
        </w:rPr>
        <w:t xml:space="preserve"> </w:t>
      </w:r>
      <w:r w:rsidR="002A6046">
        <w:rPr>
          <w:rStyle w:val="Hyperlink"/>
          <w:rFonts w:ascii="Calibri" w:hAnsi="Calibri"/>
        </w:rPr>
        <w:fldChar w:fldCharType="begin"/>
      </w:r>
      <w:r w:rsidR="002A6046">
        <w:rPr>
          <w:rStyle w:val="Hyperlink"/>
          <w:rFonts w:ascii="Calibri" w:hAnsi="Calibri"/>
        </w:rPr>
        <w:instrText xml:space="preserve"> REF _Ref233622523 \h </w:instrText>
      </w:r>
      <w:r w:rsidR="002A6046">
        <w:rPr>
          <w:rStyle w:val="Hyperlink"/>
          <w:rFonts w:ascii="Calibri" w:hAnsi="Calibri"/>
        </w:rPr>
      </w:r>
      <w:r w:rsidR="002A6046">
        <w:rPr>
          <w:rStyle w:val="Hyperlink"/>
          <w:rFonts w:ascii="Calibri" w:hAnsi="Calibri"/>
        </w:rPr>
        <w:fldChar w:fldCharType="separate"/>
      </w:r>
      <w:r w:rsidR="00E10360">
        <w:t xml:space="preserve">Table </w:t>
      </w:r>
      <w:r w:rsidR="00E10360">
        <w:rPr>
          <w:noProof/>
        </w:rPr>
        <w:t>3</w:t>
      </w:r>
      <w:r w:rsidR="002A6046">
        <w:rPr>
          <w:rStyle w:val="Hyperlink"/>
          <w:rFonts w:ascii="Calibri" w:hAnsi="Calibri"/>
        </w:rPr>
        <w:fldChar w:fldCharType="end"/>
      </w:r>
      <w:r w:rsidR="0007794A">
        <w:t>)</w:t>
      </w:r>
      <w:r w:rsidR="0077435F">
        <w:t xml:space="preserve">. This trial </w:t>
      </w:r>
      <w:r w:rsidR="001518D0">
        <w:t xml:space="preserve">was </w:t>
      </w:r>
      <w:r w:rsidR="001518D0" w:rsidRPr="001518D0">
        <w:t xml:space="preserve">designed to </w:t>
      </w:r>
      <w:r w:rsidR="000168D6">
        <w:t>comp</w:t>
      </w:r>
      <w:r w:rsidR="00DD136F">
        <w:t>a</w:t>
      </w:r>
      <w:r w:rsidR="000168D6">
        <w:t>re usual care with</w:t>
      </w:r>
      <w:r w:rsidR="004F18EF">
        <w:t xml:space="preserve"> ‘high</w:t>
      </w:r>
      <w:r w:rsidR="00AC1322">
        <w:t>-</w:t>
      </w:r>
      <w:r w:rsidR="004F18EF">
        <w:t xml:space="preserve">intensity care.’ </w:t>
      </w:r>
      <w:r w:rsidR="006C095A">
        <w:t>In the high-intensity care arm</w:t>
      </w:r>
      <w:r w:rsidR="00966CCD">
        <w:t>,</w:t>
      </w:r>
      <w:r w:rsidR="001518D0" w:rsidRPr="001518D0">
        <w:t xml:space="preserve"> </w:t>
      </w:r>
      <w:r w:rsidR="0059169E">
        <w:t xml:space="preserve">rapid </w:t>
      </w:r>
      <w:r w:rsidR="001518D0" w:rsidRPr="001518D0">
        <w:t xml:space="preserve">up-titration of </w:t>
      </w:r>
      <w:r w:rsidR="00922FAE">
        <w:t>GDMT</w:t>
      </w:r>
      <w:r w:rsidR="001518D0" w:rsidRPr="001518D0">
        <w:t xml:space="preserve"> </w:t>
      </w:r>
      <w:r w:rsidR="00DD136F">
        <w:t xml:space="preserve">is facilitated </w:t>
      </w:r>
      <w:r w:rsidR="006B6816">
        <w:t>by the assessment of routine laboratory measures and biomarkers, including NT-proBNP, and frequent post-discharge visits</w:t>
      </w:r>
      <w:r w:rsidR="001518D0" w:rsidRPr="001518D0">
        <w:t>.</w:t>
      </w:r>
    </w:p>
    <w:p w14:paraId="338C6A2A" w14:textId="1AD8E682" w:rsidR="00085EC5" w:rsidRDefault="00330F1F" w:rsidP="00670DD9">
      <w:r>
        <w:t>T</w:t>
      </w:r>
      <w:r w:rsidR="002A6046">
        <w:t>he STRONG-HF</w:t>
      </w:r>
      <w:r w:rsidR="002C139A">
        <w:t xml:space="preserve"> randomised controlled</w:t>
      </w:r>
      <w:r w:rsidR="002A6046">
        <w:t xml:space="preserve"> trial</w:t>
      </w:r>
      <w:r>
        <w:t xml:space="preserve"> </w:t>
      </w:r>
      <w:r w:rsidR="002C139A">
        <w:t xml:space="preserve">(RCT) </w:t>
      </w:r>
      <w:r w:rsidR="0001071A">
        <w:t xml:space="preserve">was enriched for sicker patients </w:t>
      </w:r>
      <w:r w:rsidR="002A1FB4">
        <w:t>due to the requirement for a high NT-proBNP level at baseline</w:t>
      </w:r>
      <w:r w:rsidR="001C0FF0">
        <w:t xml:space="preserve">. In an emergency department setting, the </w:t>
      </w:r>
      <w:r w:rsidR="00F57AD6">
        <w:t>diagnostic cut-off</w:t>
      </w:r>
      <w:r w:rsidR="001C0FF0">
        <w:t xml:space="preserve"> for acute HF is an NT-proBNP level of </w:t>
      </w:r>
      <w:r w:rsidR="00F57AD6">
        <w:t>&gt;9</w:t>
      </w:r>
      <w:r w:rsidR="001C0FF0">
        <w:t>00 pg/mL</w:t>
      </w:r>
      <w:r w:rsidR="00F57AD6">
        <w:t xml:space="preserve"> (age 50-75 years)</w:t>
      </w:r>
      <w:r w:rsidR="00102ACF">
        <w:t>;</w:t>
      </w:r>
      <w:r w:rsidR="001C0FF0">
        <w:t xml:space="preserve"> however</w:t>
      </w:r>
      <w:r w:rsidR="00102ACF">
        <w:t>,</w:t>
      </w:r>
      <w:r w:rsidR="001C0FF0">
        <w:t xml:space="preserve"> </w:t>
      </w:r>
      <w:r w:rsidR="00E240D5">
        <w:t>the applicant’s clinical expert</w:t>
      </w:r>
      <w:r w:rsidR="008E087E">
        <w:t xml:space="preserve"> estimated that &gt;85% of presenting patients </w:t>
      </w:r>
      <w:r w:rsidR="008359D8">
        <w:t>had</w:t>
      </w:r>
      <w:r w:rsidR="008E087E">
        <w:t xml:space="preserve"> a level &gt;2,500 pg/mL</w:t>
      </w:r>
      <w:r w:rsidR="008E087E">
        <w:rPr>
          <w:rStyle w:val="FootnoteReference"/>
        </w:rPr>
        <w:footnoteReference w:id="3"/>
      </w:r>
      <w:r w:rsidR="00694360">
        <w:t xml:space="preserve">. </w:t>
      </w:r>
      <w:r w:rsidR="00D349F0">
        <w:t>The current MBS item for HF diagnosis in the emergency setting (</w:t>
      </w:r>
      <w:r w:rsidR="000349AD">
        <w:t xml:space="preserve">MBS item </w:t>
      </w:r>
      <w:r w:rsidR="003C68AD">
        <w:t xml:space="preserve">66830, </w:t>
      </w:r>
      <w:r w:rsidR="00D349F0">
        <w:t>the baseline test) is for both BNP and NT-proBNP testing</w:t>
      </w:r>
      <w:r w:rsidR="00737EDC" w:rsidRPr="00737EDC">
        <w:t xml:space="preserve"> </w:t>
      </w:r>
      <w:r w:rsidR="00820486">
        <w:t>and could restrict access where BNP was the initial test</w:t>
      </w:r>
      <w:r w:rsidR="006B595C">
        <w:t>, most likely in rural and remote locations</w:t>
      </w:r>
      <w:r w:rsidR="00820486">
        <w:t>.</w:t>
      </w:r>
    </w:p>
    <w:p w14:paraId="7562BC3C" w14:textId="7DD6C68F" w:rsidR="002A6046" w:rsidRDefault="00694360" w:rsidP="00670DD9">
      <w:r>
        <w:t xml:space="preserve">At the time of the trial, SGLT2 was not </w:t>
      </w:r>
      <w:r w:rsidR="008477ED">
        <w:t>established as GDMT and therefore did not form part of the trial inclusion criteria</w:t>
      </w:r>
      <w:r w:rsidR="00EF6328">
        <w:t xml:space="preserve"> and f</w:t>
      </w:r>
      <w:r w:rsidR="00A519C1">
        <w:t xml:space="preserve">ew patients in the trial were </w:t>
      </w:r>
      <w:r w:rsidR="00EF6328">
        <w:t>prescribed SGLT2 inhibitors</w:t>
      </w:r>
      <w:r w:rsidR="00234E25">
        <w:t xml:space="preserve"> (10% in the intervention arm)</w:t>
      </w:r>
      <w:r w:rsidR="00EF6328">
        <w:t xml:space="preserve">. </w:t>
      </w:r>
      <w:r w:rsidR="00833C81">
        <w:t xml:space="preserve">SGLT2 is now </w:t>
      </w:r>
      <w:r w:rsidR="008E6FEC">
        <w:t xml:space="preserve">recommended as part </w:t>
      </w:r>
      <w:r w:rsidR="00833C81">
        <w:t xml:space="preserve">of GDMT in </w:t>
      </w:r>
      <w:r w:rsidR="008E6FEC">
        <w:t>an Australian consensus statement (</w:t>
      </w:r>
      <w:r w:rsidR="0015656A" w:rsidRPr="00C312C1">
        <w:t>Sindone et al. 2022</w:t>
      </w:r>
      <w:r w:rsidR="00615535">
        <w:t xml:space="preserve">) </w:t>
      </w:r>
      <w:r w:rsidR="00206653">
        <w:t>and is PBS-listed for HF.</w:t>
      </w:r>
    </w:p>
    <w:p w14:paraId="2FC83FC3" w14:textId="1688FFE3" w:rsidR="004A1B0A" w:rsidRDefault="004A1B0A" w:rsidP="00670DD9">
      <w:r>
        <w:t xml:space="preserve">In comparison </w:t>
      </w:r>
      <w:r w:rsidR="00FD668C">
        <w:t>with</w:t>
      </w:r>
      <w:r>
        <w:t xml:space="preserve"> the proposed </w:t>
      </w:r>
      <w:r w:rsidR="00E440B7">
        <w:t xml:space="preserve">PICO </w:t>
      </w:r>
      <w:r>
        <w:t xml:space="preserve">population, the </w:t>
      </w:r>
      <w:r w:rsidR="00CD188C">
        <w:t xml:space="preserve">RCT </w:t>
      </w:r>
      <w:r>
        <w:t>did not enrol patients older than 85 years</w:t>
      </w:r>
      <w:r w:rsidR="00EB2FA5">
        <w:t xml:space="preserve">, nor those with a range of comorbidities and clinical characteristics all of which are likely to be common in a hospitalised HF cohort. </w:t>
      </w:r>
      <w:r w:rsidR="00C94AC5">
        <w:t xml:space="preserve">Sub-optimal GDMT is not as tightly defined in the proposed </w:t>
      </w:r>
      <w:r w:rsidR="00E440B7">
        <w:t xml:space="preserve">PICO </w:t>
      </w:r>
      <w:r w:rsidR="00C94AC5">
        <w:t>population as it was in the trial.</w:t>
      </w:r>
    </w:p>
    <w:p w14:paraId="6C855070" w14:textId="4BA0FB65" w:rsidR="003F5282" w:rsidRDefault="003F5282" w:rsidP="003F5282">
      <w:pPr>
        <w:pStyle w:val="Caption"/>
      </w:pPr>
      <w:bookmarkStart w:id="6" w:name="_Ref233622523"/>
      <w:r>
        <w:lastRenderedPageBreak/>
        <w:t xml:space="preserve">Table </w:t>
      </w:r>
      <w:r>
        <w:fldChar w:fldCharType="begin"/>
      </w:r>
      <w:r>
        <w:instrText xml:space="preserve"> SEQ Table \* ARABIC </w:instrText>
      </w:r>
      <w:r>
        <w:fldChar w:fldCharType="separate"/>
      </w:r>
      <w:r w:rsidR="00E10360">
        <w:rPr>
          <w:noProof/>
        </w:rPr>
        <w:t>3</w:t>
      </w:r>
      <w:r>
        <w:fldChar w:fldCharType="end"/>
      </w:r>
      <w:bookmarkEnd w:id="6"/>
      <w:r>
        <w:tab/>
        <w:t xml:space="preserve">Key inclusion and exclusion criteria </w:t>
      </w:r>
      <w:r w:rsidR="002A6046">
        <w:t xml:space="preserve">for the STRONG-HF </w:t>
      </w:r>
      <w:r w:rsidR="00CD188C">
        <w:t>RCT</w:t>
      </w:r>
    </w:p>
    <w:tbl>
      <w:tblPr>
        <w:tblStyle w:val="TableGrid"/>
        <w:tblW w:w="0" w:type="auto"/>
        <w:tblInd w:w="0" w:type="dxa"/>
        <w:tblLook w:val="04A0" w:firstRow="1" w:lastRow="0" w:firstColumn="1" w:lastColumn="0" w:noHBand="0" w:noVBand="1"/>
        <w:tblCaption w:val="Key inclusion and exclusion criteria for the STRONG-HF RCT"/>
        <w:tblDescription w:val="Summarises the inclusion and exclusion criteria for the STRONG-HF trial"/>
      </w:tblPr>
      <w:tblGrid>
        <w:gridCol w:w="4785"/>
        <w:gridCol w:w="4786"/>
      </w:tblGrid>
      <w:tr w:rsidR="00500F4C" w14:paraId="4A06ACD5" w14:textId="77777777" w:rsidTr="007C5C75">
        <w:trPr>
          <w:cantSplit/>
        </w:trPr>
        <w:tc>
          <w:tcPr>
            <w:tcW w:w="4785" w:type="dxa"/>
          </w:tcPr>
          <w:p w14:paraId="52B3C167" w14:textId="5ECA03DC" w:rsidR="00500F4C" w:rsidRDefault="00500F4C" w:rsidP="00500F4C">
            <w:pPr>
              <w:pStyle w:val="TableHeading"/>
            </w:pPr>
            <w:r>
              <w:t>Inclusion criteria</w:t>
            </w:r>
          </w:p>
        </w:tc>
        <w:tc>
          <w:tcPr>
            <w:tcW w:w="4786" w:type="dxa"/>
          </w:tcPr>
          <w:p w14:paraId="550F60F0" w14:textId="574A530E" w:rsidR="00500F4C" w:rsidRDefault="00500F4C" w:rsidP="00500F4C">
            <w:pPr>
              <w:pStyle w:val="TableHeading"/>
            </w:pPr>
            <w:r>
              <w:t>Exclusion criteria</w:t>
            </w:r>
          </w:p>
        </w:tc>
      </w:tr>
      <w:tr w:rsidR="00500F4C" w14:paraId="06AF9D76" w14:textId="77777777" w:rsidTr="007C5C75">
        <w:trPr>
          <w:cantSplit/>
        </w:trPr>
        <w:tc>
          <w:tcPr>
            <w:tcW w:w="4785" w:type="dxa"/>
          </w:tcPr>
          <w:p w14:paraId="5359EAA2" w14:textId="7C4C5C32" w:rsidR="00500F4C" w:rsidRDefault="0016381F" w:rsidP="00855185">
            <w:pPr>
              <w:pStyle w:val="TableText0"/>
              <w:numPr>
                <w:ilvl w:val="0"/>
                <w:numId w:val="13"/>
              </w:numPr>
            </w:pPr>
            <w:r>
              <w:t xml:space="preserve">SBP </w:t>
            </w:r>
            <w:r w:rsidR="00BC73C7">
              <w:t>≥</w:t>
            </w:r>
            <w:r>
              <w:t>100 mmHg and HR ≥</w:t>
            </w:r>
            <w:r w:rsidR="00DF1E70">
              <w:t xml:space="preserve"> 60</w:t>
            </w:r>
            <w:r w:rsidR="003B21FD">
              <w:t xml:space="preserve"> </w:t>
            </w:r>
            <w:r w:rsidR="00DF1E70">
              <w:t>bpm</w:t>
            </w:r>
          </w:p>
          <w:p w14:paraId="27FEEE43" w14:textId="61EFB8CD" w:rsidR="00DF1E70" w:rsidRDefault="00DF1E70" w:rsidP="00855185">
            <w:pPr>
              <w:pStyle w:val="TableText0"/>
              <w:numPr>
                <w:ilvl w:val="0"/>
                <w:numId w:val="13"/>
              </w:numPr>
            </w:pPr>
            <w:r>
              <w:t>K</w:t>
            </w:r>
            <w:r w:rsidR="003B21FD">
              <w:t>+</w:t>
            </w:r>
            <w:r>
              <w:t xml:space="preserve"> ≤ </w:t>
            </w:r>
            <w:r w:rsidR="00E570C3">
              <w:t>5.0 mmol/L</w:t>
            </w:r>
          </w:p>
          <w:p w14:paraId="16E5A1BA" w14:textId="1B66D86E" w:rsidR="00E570C3" w:rsidRDefault="00E570C3" w:rsidP="00855185">
            <w:pPr>
              <w:pStyle w:val="TableText0"/>
              <w:numPr>
                <w:ilvl w:val="0"/>
                <w:numId w:val="13"/>
              </w:numPr>
            </w:pPr>
            <w:r>
              <w:t>NT</w:t>
            </w:r>
            <w:r w:rsidR="007F60B4">
              <w:t>-</w:t>
            </w:r>
            <w:r>
              <w:t>proBNP</w:t>
            </w:r>
          </w:p>
          <w:p w14:paraId="0635D75B" w14:textId="482CAC77" w:rsidR="00E570C3" w:rsidRDefault="00E570C3" w:rsidP="00855185">
            <w:pPr>
              <w:pStyle w:val="TableText0"/>
              <w:numPr>
                <w:ilvl w:val="1"/>
                <w:numId w:val="13"/>
              </w:numPr>
            </w:pPr>
            <w:r>
              <w:t>&gt;</w:t>
            </w:r>
            <w:r w:rsidR="00303F03">
              <w:t>2,500 pg/mL at screening</w:t>
            </w:r>
          </w:p>
          <w:p w14:paraId="7C1050C9" w14:textId="524292E8" w:rsidR="00303F03" w:rsidRDefault="00303F03" w:rsidP="00855185">
            <w:pPr>
              <w:pStyle w:val="TableText0"/>
              <w:numPr>
                <w:ilvl w:val="1"/>
                <w:numId w:val="13"/>
              </w:numPr>
            </w:pPr>
            <w:r>
              <w:t>&gt;1, 500 pg/mL at randomisation (1-2 days before discharge)</w:t>
            </w:r>
            <w:r w:rsidR="00E115D4">
              <w:t xml:space="preserve"> &amp; decreased &gt;10% from screening</w:t>
            </w:r>
          </w:p>
          <w:p w14:paraId="0995220F" w14:textId="77777777" w:rsidR="00757EF0" w:rsidRDefault="00B40A65" w:rsidP="00757EF0">
            <w:pPr>
              <w:pStyle w:val="TableText0"/>
              <w:numPr>
                <w:ilvl w:val="0"/>
                <w:numId w:val="13"/>
              </w:numPr>
            </w:pPr>
            <w:r>
              <w:t>Either</w:t>
            </w:r>
            <w:r w:rsidR="00757EF0">
              <w:t>:</w:t>
            </w:r>
          </w:p>
          <w:p w14:paraId="7B99EE56" w14:textId="64F8927C" w:rsidR="00E115D4" w:rsidRDefault="00860580" w:rsidP="00F531C5">
            <w:pPr>
              <w:pStyle w:val="TableText0"/>
              <w:numPr>
                <w:ilvl w:val="1"/>
                <w:numId w:val="13"/>
              </w:numPr>
            </w:pPr>
            <w:r>
              <w:t xml:space="preserve">≤ </w:t>
            </w:r>
            <w:r w:rsidR="00791963">
              <w:t>50%</w:t>
            </w:r>
            <w:r>
              <w:t xml:space="preserve"> </w:t>
            </w:r>
            <w:r w:rsidR="008A4F67">
              <w:t xml:space="preserve">recommended dose of ACE inhibitor/ARB/ARNI, no beta blocker and </w:t>
            </w:r>
            <w:r w:rsidR="00223041">
              <w:t>≤</w:t>
            </w:r>
            <w:r w:rsidR="0068470A">
              <w:t>50%</w:t>
            </w:r>
            <w:r w:rsidR="00223041">
              <w:t xml:space="preserve"> recommended dose of MRA prescribed, or</w:t>
            </w:r>
          </w:p>
          <w:p w14:paraId="7D213274" w14:textId="70DD148B" w:rsidR="00E570C3" w:rsidRDefault="00662EF9" w:rsidP="00F531C5">
            <w:pPr>
              <w:pStyle w:val="TableText0"/>
              <w:numPr>
                <w:ilvl w:val="1"/>
                <w:numId w:val="13"/>
              </w:numPr>
            </w:pPr>
            <w:r>
              <w:t>No ACE inhibitor/ARB/ARNI, ≤</w:t>
            </w:r>
            <w:r w:rsidR="00791963">
              <w:t>50%</w:t>
            </w:r>
            <w:r w:rsidR="006F2AEE">
              <w:t xml:space="preserve"> recommended dose of beta blocker prescribed and ≤</w:t>
            </w:r>
            <w:r w:rsidR="00791963">
              <w:t>50%</w:t>
            </w:r>
            <w:r w:rsidR="006F2AEE">
              <w:t xml:space="preserve"> recommended dose of MRA prescribed</w:t>
            </w:r>
          </w:p>
        </w:tc>
        <w:tc>
          <w:tcPr>
            <w:tcW w:w="4786" w:type="dxa"/>
          </w:tcPr>
          <w:p w14:paraId="44B3083E" w14:textId="507DF0E1" w:rsidR="00500F4C" w:rsidRDefault="00BC73C7" w:rsidP="00855185">
            <w:pPr>
              <w:pStyle w:val="TableText0"/>
              <w:numPr>
                <w:ilvl w:val="0"/>
                <w:numId w:val="14"/>
              </w:numPr>
            </w:pPr>
            <w:r>
              <w:t xml:space="preserve">Age </w:t>
            </w:r>
            <w:r w:rsidR="002C5397">
              <w:t xml:space="preserve">&lt;18 </w:t>
            </w:r>
            <w:r w:rsidR="0050446D">
              <w:t>or &gt;</w:t>
            </w:r>
            <w:r w:rsidR="002C5397">
              <w:t>85 years</w:t>
            </w:r>
          </w:p>
          <w:p w14:paraId="74F28E17" w14:textId="1879E7E6" w:rsidR="002C5397" w:rsidRDefault="00CD40E8" w:rsidP="00855185">
            <w:pPr>
              <w:pStyle w:val="TableText0"/>
              <w:numPr>
                <w:ilvl w:val="0"/>
                <w:numId w:val="14"/>
              </w:numPr>
            </w:pPr>
            <w:r>
              <w:t xml:space="preserve">Intolerance to </w:t>
            </w:r>
            <w:r w:rsidR="00433B8B">
              <w:t xml:space="preserve">high doses of </w:t>
            </w:r>
            <w:r>
              <w:t>beta blocker</w:t>
            </w:r>
            <w:r w:rsidR="0050446D">
              <w:t xml:space="preserve"> or</w:t>
            </w:r>
            <w:r>
              <w:t xml:space="preserve"> ACE inhibitors </w:t>
            </w:r>
            <w:r w:rsidR="0050446D">
              <w:t>and</w:t>
            </w:r>
            <w:r>
              <w:t xml:space="preserve"> A</w:t>
            </w:r>
            <w:r w:rsidR="0050446D">
              <w:t>RB</w:t>
            </w:r>
          </w:p>
          <w:p w14:paraId="7D58A05F" w14:textId="2D92FD2C" w:rsidR="00866458" w:rsidRDefault="00932432" w:rsidP="00855185">
            <w:pPr>
              <w:pStyle w:val="TableText0"/>
              <w:numPr>
                <w:ilvl w:val="0"/>
                <w:numId w:val="14"/>
              </w:numPr>
            </w:pPr>
            <w:r>
              <w:t>Significant pulmonary disease</w:t>
            </w:r>
          </w:p>
          <w:p w14:paraId="646D9FBC" w14:textId="01679F1E" w:rsidR="00932432" w:rsidRDefault="001411FE" w:rsidP="00855185">
            <w:pPr>
              <w:pStyle w:val="TableText0"/>
              <w:numPr>
                <w:ilvl w:val="0"/>
                <w:numId w:val="14"/>
              </w:numPr>
            </w:pPr>
            <w:r w:rsidRPr="001411FE">
              <w:t>Myocardial infarction, unstable angina or cardiac surgery within 3 months, or cardiac resynchronization therapy device implantation within 3 months, or percutaneous transluminal coronary intervention, within 1 month prior to screening.</w:t>
            </w:r>
          </w:p>
          <w:p w14:paraId="088DB370" w14:textId="0A59D1E2" w:rsidR="00A61BFA" w:rsidRPr="005502DA" w:rsidRDefault="00A61BFA" w:rsidP="00855185">
            <w:pPr>
              <w:pStyle w:val="TableText0"/>
              <w:numPr>
                <w:ilvl w:val="0"/>
                <w:numId w:val="14"/>
              </w:numPr>
            </w:pPr>
            <w:r>
              <w:t>Index admission triggered by correctable etiology (</w:t>
            </w:r>
            <w:r w:rsidR="005164E8">
              <w:t>atrial fibrillation, tachycardia, infection, anaemia etc</w:t>
            </w:r>
            <w:r w:rsidR="00D95133" w:rsidRPr="005502DA">
              <w:t>.</w:t>
            </w:r>
            <w:r w:rsidR="005164E8" w:rsidRPr="005502DA">
              <w:t>)</w:t>
            </w:r>
          </w:p>
          <w:p w14:paraId="2DDE5FEF" w14:textId="3F82C603" w:rsidR="001241E7" w:rsidRPr="00F531C5" w:rsidRDefault="001241E7" w:rsidP="00855185">
            <w:pPr>
              <w:pStyle w:val="TableText0"/>
              <w:numPr>
                <w:ilvl w:val="0"/>
                <w:numId w:val="14"/>
              </w:numPr>
            </w:pPr>
            <w:r w:rsidRPr="005502DA">
              <w:t>Renal</w:t>
            </w:r>
            <w:r>
              <w:t xml:space="preserve"> disease or eGFR &lt;30</w:t>
            </w:r>
            <w:r w:rsidR="00224F49">
              <w:t xml:space="preserve"> </w:t>
            </w:r>
            <w:r>
              <w:t>mL/min</w:t>
            </w:r>
            <w:r w:rsidR="00570B38">
              <w:t>/1.73</w:t>
            </w:r>
            <w:r w:rsidR="005D0561">
              <w:t xml:space="preserve"> </w:t>
            </w:r>
            <w:r w:rsidR="00570B38">
              <w:t>m</w:t>
            </w:r>
            <w:r w:rsidR="00570B38" w:rsidRPr="00570B38">
              <w:rPr>
                <w:vertAlign w:val="superscript"/>
              </w:rPr>
              <w:t>2</w:t>
            </w:r>
            <w:r w:rsidR="005502DA" w:rsidRPr="00F531C5">
              <w:t xml:space="preserve"> </w:t>
            </w:r>
          </w:p>
          <w:p w14:paraId="062F4607" w14:textId="4D28C55E" w:rsidR="00570B38" w:rsidRDefault="004B330A" w:rsidP="00855185">
            <w:pPr>
              <w:pStyle w:val="TableText0"/>
              <w:numPr>
                <w:ilvl w:val="0"/>
                <w:numId w:val="14"/>
              </w:numPr>
            </w:pPr>
            <w:r w:rsidRPr="00224F49">
              <w:t>Discharge estimated to be &gt;14 days from</w:t>
            </w:r>
            <w:r>
              <w:t xml:space="preserve"> admission or to a long-term care facility</w:t>
            </w:r>
          </w:p>
          <w:p w14:paraId="7D998C7D" w14:textId="60FEEE30" w:rsidR="0050446D" w:rsidRDefault="00417FEF" w:rsidP="00855185">
            <w:pPr>
              <w:pStyle w:val="TableText0"/>
              <w:numPr>
                <w:ilvl w:val="0"/>
                <w:numId w:val="14"/>
              </w:numPr>
            </w:pPr>
            <w:r>
              <w:t xml:space="preserve">Inability to comply with all study requirements due to major co-morbidities, social or financial issues </w:t>
            </w:r>
            <w:r w:rsidR="000D6C67">
              <w:t>or a history of noncompliance with medical regimens</w:t>
            </w:r>
          </w:p>
        </w:tc>
      </w:tr>
    </w:tbl>
    <w:p w14:paraId="4273BC34" w14:textId="18F87A67" w:rsidR="00036DF8" w:rsidRDefault="00480E17" w:rsidP="00FC28FE">
      <w:pPr>
        <w:pStyle w:val="Tablenotes"/>
        <w:jc w:val="left"/>
      </w:pPr>
      <w:r>
        <w:t xml:space="preserve">ACE = angiotensin-converting enzyme; ARB = angiotensin receptor blocker; ARNI = angiotensin receptor neprilysin inhibitor; bpm = beats per minute; eGFR = estimated glomerular filtration rate; </w:t>
      </w:r>
      <w:r w:rsidR="003B21FD" w:rsidRPr="003B21FD">
        <w:t>HR = heart rate;</w:t>
      </w:r>
      <w:r w:rsidR="003B21FD">
        <w:t xml:space="preserve"> </w:t>
      </w:r>
      <w:r>
        <w:t>K+ = potassium; min = minute</w:t>
      </w:r>
      <w:r w:rsidR="00FC28FE">
        <w:t xml:space="preserve">; </w:t>
      </w:r>
      <w:r>
        <w:t>mL</w:t>
      </w:r>
      <w:r w:rsidR="00FC28FE">
        <w:t xml:space="preserve"> = </w:t>
      </w:r>
      <w:r>
        <w:t>millilitres</w:t>
      </w:r>
      <w:r w:rsidR="00FC28FE">
        <w:t xml:space="preserve">; </w:t>
      </w:r>
      <w:r>
        <w:t>mmHg</w:t>
      </w:r>
      <w:r w:rsidR="00FC28FE">
        <w:t xml:space="preserve"> = </w:t>
      </w:r>
      <w:r>
        <w:t>milligrams of mercury</w:t>
      </w:r>
      <w:r w:rsidR="00FC28FE">
        <w:t xml:space="preserve">; </w:t>
      </w:r>
      <w:r w:rsidR="000A6EE3" w:rsidRPr="000A6EE3">
        <w:t>MRA = mineralocorticoid receptor antagonist;</w:t>
      </w:r>
      <w:r w:rsidR="000A6EE3">
        <w:t xml:space="preserve"> </w:t>
      </w:r>
      <w:r>
        <w:t>NT-proBNP</w:t>
      </w:r>
      <w:r w:rsidR="00FC28FE">
        <w:t xml:space="preserve"> = </w:t>
      </w:r>
      <w:r>
        <w:t>N-Terminal-pro Brain Natriuretic Peptide</w:t>
      </w:r>
      <w:r w:rsidR="000B716B">
        <w:t xml:space="preserve">; </w:t>
      </w:r>
      <w:r w:rsidR="00361A59" w:rsidRPr="004D0E88">
        <w:t>pg = picograms;</w:t>
      </w:r>
      <w:r w:rsidR="00361A59">
        <w:t xml:space="preserve"> </w:t>
      </w:r>
      <w:r w:rsidR="000B716B" w:rsidRPr="000B716B">
        <w:t>RCT = randomised controlled trial</w:t>
      </w:r>
      <w:r w:rsidR="00AB0416">
        <w:t xml:space="preserve">; </w:t>
      </w:r>
      <w:r w:rsidR="00AB0416" w:rsidRPr="00AB0416">
        <w:t>SBP = systolic blood pressure</w:t>
      </w:r>
      <w:r w:rsidR="00AB0416">
        <w:t>.</w:t>
      </w:r>
    </w:p>
    <w:p w14:paraId="503ECFF2" w14:textId="77156B5B" w:rsidR="00D578FD" w:rsidRDefault="00D578FD" w:rsidP="00D578FD">
      <w:pPr>
        <w:pStyle w:val="Tablenotes"/>
      </w:pPr>
      <w:r w:rsidRPr="00D578FD">
        <w:t>Source: Supplementary Table 2 of Kimmoun et al. (2019)</w:t>
      </w:r>
    </w:p>
    <w:p w14:paraId="1A734256" w14:textId="1F8BCF34" w:rsidR="00F60265" w:rsidRDefault="00444F26" w:rsidP="00992AEE">
      <w:pPr>
        <w:pStyle w:val="Heading4"/>
      </w:pPr>
      <w:r>
        <w:t>Heart Failure</w:t>
      </w:r>
    </w:p>
    <w:p w14:paraId="230938E8" w14:textId="4906B0B4" w:rsidR="001E5758" w:rsidRDefault="002A05BB" w:rsidP="004E167A">
      <w:r>
        <w:t>HF</w:t>
      </w:r>
      <w:r w:rsidR="00480C15" w:rsidRPr="00480C15">
        <w:t xml:space="preserve"> </w:t>
      </w:r>
      <w:r w:rsidR="00E15869">
        <w:t xml:space="preserve">is a complex clinical syndrome with typical symptoms and signs that generally occur on </w:t>
      </w:r>
      <w:r w:rsidR="00C137FE">
        <w:t>exertion but</w:t>
      </w:r>
      <w:r w:rsidR="00E15869">
        <w:t xml:space="preserve"> can also occur at rest (particularly when recumbent). It is secondary to an abnormality of cardiac structure or function that impairs the ability of the heart to fill with blood at normal pressure or eject blood sufficient to fulfil the needs of the metabolising organs</w:t>
      </w:r>
      <w:r w:rsidR="008E2B59">
        <w:t xml:space="preserve"> </w:t>
      </w:r>
      <w:r w:rsidR="00DC7CCB" w:rsidRPr="00DC7CCB">
        <w:rPr>
          <w:rFonts w:cs="Calibri"/>
        </w:rPr>
        <w:t>(Atherton et al. 2018)</w:t>
      </w:r>
      <w:r w:rsidR="00480C15" w:rsidRPr="00480C15">
        <w:t>.</w:t>
      </w:r>
      <w:r w:rsidR="003F5609">
        <w:t xml:space="preserve"> </w:t>
      </w:r>
    </w:p>
    <w:p w14:paraId="698E782E" w14:textId="1EA9D8C9" w:rsidR="00444F26" w:rsidRDefault="002A05BB" w:rsidP="009A1694">
      <w:r>
        <w:t>HF</w:t>
      </w:r>
      <w:r w:rsidR="003F5609" w:rsidRPr="003F5609">
        <w:t xml:space="preserve"> </w:t>
      </w:r>
      <w:r w:rsidR="00D30FD9">
        <w:t xml:space="preserve">is primarily classified </w:t>
      </w:r>
      <w:r w:rsidR="003F5609" w:rsidRPr="003F5609">
        <w:t xml:space="preserve">with reference to the percentage of blood ejected from the left ventricle in each cardiac contraction </w:t>
      </w:r>
      <w:r w:rsidR="00311D6D">
        <w:t>measured using echocardiography</w:t>
      </w:r>
      <w:r w:rsidR="002F1360">
        <w:t>.</w:t>
      </w:r>
      <w:r w:rsidR="003F5609" w:rsidRPr="003F5609">
        <w:t xml:space="preserve"> </w:t>
      </w:r>
      <w:r w:rsidR="000037D2">
        <w:t xml:space="preserve">The lower limit of normal is a left ventricular ejection fraction (LVEF) of </w:t>
      </w:r>
      <w:r w:rsidR="00F73A6D">
        <w:t>50-55% and on this basis</w:t>
      </w:r>
      <w:r w:rsidR="00BE0163">
        <w:t>,</w:t>
      </w:r>
      <w:r w:rsidR="00F73A6D">
        <w:t xml:space="preserve"> HF is classified </w:t>
      </w:r>
      <w:r w:rsidR="009674D1">
        <w:t xml:space="preserve">into </w:t>
      </w:r>
      <w:r w:rsidR="004F5F12">
        <w:t xml:space="preserve">2 </w:t>
      </w:r>
      <w:r w:rsidR="009674D1">
        <w:t xml:space="preserve">main types, </w:t>
      </w:r>
      <w:r w:rsidR="009F60C9">
        <w:t>with reduced ejection fraction (HFrEF) or</w:t>
      </w:r>
      <w:r w:rsidR="00A4443B">
        <w:t xml:space="preserve"> </w:t>
      </w:r>
      <w:r w:rsidR="009F60C9">
        <w:t>wit</w:t>
      </w:r>
      <w:r w:rsidR="006A1B7B">
        <w:t>h preserved ejection fraction (HFpEF)</w:t>
      </w:r>
      <w:r w:rsidR="008E024A">
        <w:t xml:space="preserve">. </w:t>
      </w:r>
      <w:r w:rsidR="00F54C7D">
        <w:t xml:space="preserve">In Australian guidelines HFrEF is </w:t>
      </w:r>
      <w:r w:rsidR="00091BD1">
        <w:t xml:space="preserve">&lt;50% </w:t>
      </w:r>
      <w:r w:rsidR="00A3458A" w:rsidRPr="00A3458A">
        <w:rPr>
          <w:rFonts w:cs="Calibri"/>
        </w:rPr>
        <w:t>(Atherton et al. 2018)</w:t>
      </w:r>
      <w:r w:rsidR="009207C3">
        <w:t>;</w:t>
      </w:r>
      <w:r w:rsidR="00A3458A">
        <w:t xml:space="preserve"> however</w:t>
      </w:r>
      <w:r w:rsidR="009207C3">
        <w:t>,</w:t>
      </w:r>
      <w:r w:rsidR="00A3458A">
        <w:t xml:space="preserve"> </w:t>
      </w:r>
      <w:r w:rsidR="007D2FDF">
        <w:t xml:space="preserve">variable cut-offs are used in </w:t>
      </w:r>
      <w:r w:rsidR="003803E3">
        <w:t xml:space="preserve">HF </w:t>
      </w:r>
      <w:r w:rsidR="00232399">
        <w:t xml:space="preserve">studies. </w:t>
      </w:r>
    </w:p>
    <w:p w14:paraId="25905408" w14:textId="0CD3AB8F" w:rsidR="002F1360" w:rsidRDefault="00003CE1" w:rsidP="004E167A">
      <w:r>
        <w:t xml:space="preserve">HF </w:t>
      </w:r>
      <w:r w:rsidR="00232399">
        <w:t xml:space="preserve">symptoms impact </w:t>
      </w:r>
      <w:r w:rsidR="002F1360" w:rsidRPr="003F5609">
        <w:t xml:space="preserve">on daily activities </w:t>
      </w:r>
      <w:r w:rsidR="00232399">
        <w:t xml:space="preserve">which </w:t>
      </w:r>
      <w:r>
        <w:t xml:space="preserve">can be </w:t>
      </w:r>
      <w:r w:rsidR="001B4D50">
        <w:t xml:space="preserve">assessed using </w:t>
      </w:r>
      <w:r w:rsidR="002F1360" w:rsidRPr="003F5609">
        <w:t xml:space="preserve">the New York Heart Association </w:t>
      </w:r>
      <w:r w:rsidR="001B4D50">
        <w:t>(</w:t>
      </w:r>
      <w:r w:rsidR="002F1360" w:rsidRPr="003F5609">
        <w:t>NYHA</w:t>
      </w:r>
      <w:r w:rsidR="001B4D50">
        <w:t>)</w:t>
      </w:r>
      <w:r w:rsidR="002F1360" w:rsidRPr="003F5609">
        <w:t xml:space="preserve"> severity scale, ranging from </w:t>
      </w:r>
      <w:r w:rsidR="005E5E38">
        <w:t xml:space="preserve">Class </w:t>
      </w:r>
      <w:r w:rsidR="002F1360" w:rsidRPr="003F5609">
        <w:t>I, no limitation</w:t>
      </w:r>
      <w:r w:rsidR="005E5E38">
        <w:t xml:space="preserve"> of ordinary physical activity</w:t>
      </w:r>
      <w:r w:rsidR="002F1360" w:rsidRPr="003F5609">
        <w:t xml:space="preserve">, to </w:t>
      </w:r>
      <w:r w:rsidR="005E5E38">
        <w:t xml:space="preserve">Class </w:t>
      </w:r>
      <w:r w:rsidR="002F1360" w:rsidRPr="003F5609">
        <w:t>IV,</w:t>
      </w:r>
      <w:r w:rsidR="005E5E38">
        <w:t xml:space="preserve"> where patients experience symptoms on any physical activity or at rest</w:t>
      </w:r>
      <w:r w:rsidR="002F1360" w:rsidRPr="003F5609">
        <w:t>.</w:t>
      </w:r>
    </w:p>
    <w:p w14:paraId="76E910B6" w14:textId="76894433" w:rsidR="00A50D48" w:rsidRDefault="000854A9" w:rsidP="004E167A">
      <w:r>
        <w:t xml:space="preserve">Acute HF can refer to </w:t>
      </w:r>
      <w:r w:rsidR="00A84A34">
        <w:t xml:space="preserve">either an </w:t>
      </w:r>
      <w:r>
        <w:t>acute onset or significant worsening of symptoms in a patient with chronic HF</w:t>
      </w:r>
      <w:r w:rsidR="003D24BF">
        <w:t xml:space="preserve"> </w:t>
      </w:r>
      <w:r w:rsidR="00A84A34">
        <w:t xml:space="preserve">that is </w:t>
      </w:r>
      <w:r w:rsidR="003D24BF">
        <w:t>sufficient to warrant treatment (</w:t>
      </w:r>
      <w:r w:rsidR="00D83BD3">
        <w:t>acute-on-chronic)</w:t>
      </w:r>
      <w:r w:rsidR="00A84A34">
        <w:t xml:space="preserve">. </w:t>
      </w:r>
      <w:r w:rsidR="00DF77CE">
        <w:t xml:space="preserve">Most patients present with the latter. </w:t>
      </w:r>
      <w:r w:rsidR="00A84A34">
        <w:t>The proposed population includes both presentations</w:t>
      </w:r>
      <w:r w:rsidR="006F2151">
        <w:t xml:space="preserve"> provided they have had an unplanned and immediate admission to hospital for treatment of HF. </w:t>
      </w:r>
      <w:r w:rsidR="00942BAF">
        <w:t>When hospitalised, a</w:t>
      </w:r>
      <w:r w:rsidR="00EE4CD8" w:rsidRPr="00EE4CD8">
        <w:t>s part of individual patient treatment decisions, patients are likely to be initiated on</w:t>
      </w:r>
      <w:r w:rsidR="00152E2C">
        <w:t xml:space="preserve"> medication</w:t>
      </w:r>
      <w:r w:rsidR="00EE4CD8" w:rsidRPr="00EE4CD8">
        <w:t xml:space="preserve"> or have doses of current medications adjusted in line with clinical guidelines for the management of </w:t>
      </w:r>
      <w:r w:rsidR="002A05BB">
        <w:t>HF</w:t>
      </w:r>
      <w:r w:rsidR="00EE4CD8" w:rsidRPr="00EE4CD8">
        <w:t>.</w:t>
      </w:r>
    </w:p>
    <w:p w14:paraId="762C3415" w14:textId="6DBFA3F9" w:rsidR="00440413" w:rsidRDefault="006A5EA0" w:rsidP="006B697F">
      <w:r>
        <w:t xml:space="preserve">HF is associated with both </w:t>
      </w:r>
      <w:r w:rsidR="00BD134D">
        <w:t xml:space="preserve">increasing </w:t>
      </w:r>
      <w:r>
        <w:t xml:space="preserve">age and </w:t>
      </w:r>
      <w:r w:rsidR="00BD5B0A">
        <w:t>comorbidity</w:t>
      </w:r>
      <w:r w:rsidR="00272B96">
        <w:t xml:space="preserve">. </w:t>
      </w:r>
      <w:r w:rsidR="000D2934">
        <w:t>In a</w:t>
      </w:r>
      <w:r w:rsidR="00F232F8">
        <w:t xml:space="preserve"> study </w:t>
      </w:r>
      <w:r w:rsidR="000D1658">
        <w:t xml:space="preserve">of consecutive patients admitted to hospital with acute HF </w:t>
      </w:r>
      <w:r w:rsidR="00F232F8">
        <w:t>as part of the Victorian Cardiac Outcomes Registry (VCOR</w:t>
      </w:r>
      <w:r w:rsidR="004A12AA">
        <w:t>)</w:t>
      </w:r>
      <w:r w:rsidR="001E74E3">
        <w:t>, t</w:t>
      </w:r>
      <w:r w:rsidR="00AE21A2">
        <w:t xml:space="preserve">he mean age was </w:t>
      </w:r>
      <w:r w:rsidR="0065663F">
        <w:t>77 years</w:t>
      </w:r>
      <w:r w:rsidR="001E74E3">
        <w:t xml:space="preserve"> and there were high rates of comorbidity</w:t>
      </w:r>
      <w:r w:rsidR="00334584">
        <w:t xml:space="preserve"> including hypertension (75%), chronic renal disease (64%)</w:t>
      </w:r>
      <w:r w:rsidR="00AE51BE">
        <w:t xml:space="preserve">, </w:t>
      </w:r>
      <w:r w:rsidR="00392E78">
        <w:t xml:space="preserve">atrial fibrillation (55%), diabetes (44%) and </w:t>
      </w:r>
      <w:r w:rsidR="00AE51BE">
        <w:t>chronic obstructive pulmonary disease (COPD) (32%)</w:t>
      </w:r>
      <w:r w:rsidR="00101E99">
        <w:t xml:space="preserve"> </w:t>
      </w:r>
      <w:r w:rsidR="00E62C25" w:rsidRPr="00E62C25">
        <w:rPr>
          <w:rFonts w:cs="Calibri"/>
        </w:rPr>
        <w:t xml:space="preserve">(Driscoll </w:t>
      </w:r>
      <w:r w:rsidR="00E62C25" w:rsidRPr="00E62C25">
        <w:rPr>
          <w:rFonts w:cs="Calibri"/>
        </w:rPr>
        <w:lastRenderedPageBreak/>
        <w:t>et al. 2020)</w:t>
      </w:r>
      <w:r w:rsidR="00CA67AE">
        <w:t>.</w:t>
      </w:r>
      <w:r w:rsidR="00101E99">
        <w:t xml:space="preserve"> </w:t>
      </w:r>
      <w:r w:rsidR="00272B96">
        <w:t>For comparison, in a</w:t>
      </w:r>
      <w:r w:rsidR="00211204">
        <w:t>n Australian</w:t>
      </w:r>
      <w:r w:rsidR="00272B96">
        <w:t xml:space="preserve"> general practice cohort </w:t>
      </w:r>
      <w:r w:rsidR="00211204">
        <w:t xml:space="preserve">with HF </w:t>
      </w:r>
      <w:r w:rsidR="00272B96">
        <w:t xml:space="preserve">the mean age was </w:t>
      </w:r>
      <w:r w:rsidR="0038416D">
        <w:t xml:space="preserve">70 years, </w:t>
      </w:r>
      <w:r w:rsidR="000162D7">
        <w:t xml:space="preserve">41% had hypertension, 25% </w:t>
      </w:r>
      <w:r w:rsidR="00303B08">
        <w:t xml:space="preserve">had </w:t>
      </w:r>
      <w:r w:rsidR="000162D7">
        <w:t xml:space="preserve">COPD and </w:t>
      </w:r>
      <w:r w:rsidR="008C288E">
        <w:t xml:space="preserve">6.4% </w:t>
      </w:r>
      <w:r w:rsidR="00303B08">
        <w:t xml:space="preserve">had </w:t>
      </w:r>
      <w:r w:rsidR="008C288E">
        <w:t>sever</w:t>
      </w:r>
      <w:r w:rsidR="00C127A9">
        <w:t>e</w:t>
      </w:r>
      <w:r w:rsidR="008C288E">
        <w:t xml:space="preserve"> renal impairment </w:t>
      </w:r>
      <w:r w:rsidR="00725D32" w:rsidRPr="00725D32">
        <w:rPr>
          <w:rFonts w:cs="Calibri"/>
        </w:rPr>
        <w:t>(Sindone et al. 2021)</w:t>
      </w:r>
      <w:r w:rsidR="008C288E">
        <w:t xml:space="preserve">. </w:t>
      </w:r>
    </w:p>
    <w:p w14:paraId="2D1BB0D1" w14:textId="6C966BA9" w:rsidR="003A685C" w:rsidRPr="003A685C" w:rsidRDefault="003A685C" w:rsidP="005C6543">
      <w:pPr>
        <w:pStyle w:val="Heading4"/>
      </w:pPr>
      <w:r>
        <w:t>Pharmacological management of HF</w:t>
      </w:r>
    </w:p>
    <w:p w14:paraId="4B217D20" w14:textId="60A50058" w:rsidR="00073110" w:rsidRDefault="000C00DD" w:rsidP="00ED0A92">
      <w:r w:rsidRPr="000C00DD">
        <w:t xml:space="preserve">The aim of medication in treating </w:t>
      </w:r>
      <w:r w:rsidR="00010FAF">
        <w:t>HF</w:t>
      </w:r>
      <w:r w:rsidRPr="000C00DD">
        <w:t xml:space="preserve"> is to improve cardiac output and reduce biomechanical stress within the heart. This reduces the risk of mortality and improves everyday quality of life through restoring the heart’s capacity to meet </w:t>
      </w:r>
      <w:r w:rsidR="009F5AE7" w:rsidRPr="000C00DD">
        <w:t>every day</w:t>
      </w:r>
      <w:r w:rsidRPr="000C00DD">
        <w:t xml:space="preserve"> metabolic demands.</w:t>
      </w:r>
      <w:r w:rsidR="00010FAF">
        <w:t xml:space="preserve"> </w:t>
      </w:r>
      <w:r w:rsidR="00D405B0">
        <w:t>Australian GDMT is detailed in</w:t>
      </w:r>
      <w:r w:rsidR="00CA5853" w:rsidRPr="00CA5853">
        <w:t xml:space="preserve"> the 2018 </w:t>
      </w:r>
      <w:r w:rsidR="00CC69DA" w:rsidRPr="00CC69DA">
        <w:t>Cardiac Society of Australia and New Zealand</w:t>
      </w:r>
      <w:r w:rsidR="00CC69DA">
        <w:t xml:space="preserve"> (CSANZ) </w:t>
      </w:r>
      <w:r w:rsidR="00CA5853" w:rsidRPr="00CA5853">
        <w:t>Guidelines (Atherton et al. 2018)</w:t>
      </w:r>
      <w:r w:rsidR="003C559E">
        <w:t xml:space="preserve"> and</w:t>
      </w:r>
      <w:r w:rsidR="00D405B0">
        <w:t xml:space="preserve"> a</w:t>
      </w:r>
      <w:r w:rsidR="003C559E">
        <w:t xml:space="preserve"> </w:t>
      </w:r>
      <w:r w:rsidR="00D405B0">
        <w:t xml:space="preserve">consensus statement </w:t>
      </w:r>
      <w:r w:rsidR="009E3BEB" w:rsidRPr="009E3BEB">
        <w:rPr>
          <w:rFonts w:cs="Calibri"/>
        </w:rPr>
        <w:t>(Sindone et al. 2022)</w:t>
      </w:r>
      <w:r w:rsidR="00B63ED2">
        <w:t xml:space="preserve"> </w:t>
      </w:r>
      <w:r w:rsidR="00763262">
        <w:t xml:space="preserve">that </w:t>
      </w:r>
      <w:r w:rsidR="007F1B3B">
        <w:t>updates</w:t>
      </w:r>
      <w:r w:rsidR="003C559E">
        <w:t xml:space="preserve"> the</w:t>
      </w:r>
      <w:r w:rsidR="00176A94">
        <w:t xml:space="preserve"> guideline recommendations</w:t>
      </w:r>
      <w:r w:rsidR="00037BFE">
        <w:t xml:space="preserve"> based on more recent </w:t>
      </w:r>
      <w:r w:rsidR="00954514">
        <w:t>evidence</w:t>
      </w:r>
      <w:r w:rsidR="007F1B3B">
        <w:t xml:space="preserve">. </w:t>
      </w:r>
    </w:p>
    <w:p w14:paraId="2387D089" w14:textId="77777777" w:rsidR="003961DA" w:rsidRDefault="00073110" w:rsidP="00D578FD">
      <w:pPr>
        <w:keepNext/>
      </w:pPr>
      <w:r>
        <w:t>All patients with HFrEF are</w:t>
      </w:r>
      <w:r w:rsidR="00A65C61">
        <w:t xml:space="preserve"> </w:t>
      </w:r>
      <w:r w:rsidR="00927C3F">
        <w:t>recommend</w:t>
      </w:r>
      <w:r>
        <w:t>ed t</w:t>
      </w:r>
      <w:r w:rsidR="009B264C">
        <w:t>o commence on 4 destination therapies</w:t>
      </w:r>
      <w:r w:rsidR="003961DA">
        <w:t>:</w:t>
      </w:r>
    </w:p>
    <w:p w14:paraId="597CA053" w14:textId="7FA19C55" w:rsidR="003961DA" w:rsidRDefault="003961DA" w:rsidP="00855185">
      <w:pPr>
        <w:pStyle w:val="ListParagraph"/>
        <w:numPr>
          <w:ilvl w:val="0"/>
          <w:numId w:val="8"/>
        </w:numPr>
      </w:pPr>
      <w:r>
        <w:t>ARNI or ACE inhibitor</w:t>
      </w:r>
      <w:r w:rsidR="006659E6">
        <w:rPr>
          <w:rStyle w:val="FootnoteReference"/>
        </w:rPr>
        <w:footnoteReference w:id="4"/>
      </w:r>
      <w:r>
        <w:t>; and</w:t>
      </w:r>
    </w:p>
    <w:p w14:paraId="1D1F7622" w14:textId="77777777" w:rsidR="003961DA" w:rsidRDefault="003961DA" w:rsidP="00855185">
      <w:pPr>
        <w:pStyle w:val="ListParagraph"/>
        <w:numPr>
          <w:ilvl w:val="0"/>
          <w:numId w:val="8"/>
        </w:numPr>
      </w:pPr>
      <w:r>
        <w:t>HF specific beta blocker; and</w:t>
      </w:r>
    </w:p>
    <w:p w14:paraId="5B03B1FE" w14:textId="77777777" w:rsidR="003961DA" w:rsidRDefault="003961DA" w:rsidP="00855185">
      <w:pPr>
        <w:pStyle w:val="ListParagraph"/>
        <w:numPr>
          <w:ilvl w:val="0"/>
          <w:numId w:val="8"/>
        </w:numPr>
      </w:pPr>
      <w:r>
        <w:t>MRA; and</w:t>
      </w:r>
    </w:p>
    <w:p w14:paraId="31BE6624" w14:textId="27A62222" w:rsidR="00BA3372" w:rsidRDefault="003961DA" w:rsidP="00855185">
      <w:pPr>
        <w:pStyle w:val="ListParagraph"/>
        <w:numPr>
          <w:ilvl w:val="0"/>
          <w:numId w:val="8"/>
        </w:numPr>
      </w:pPr>
      <w:r>
        <w:t>SGLT2 inhibitor</w:t>
      </w:r>
      <w:r w:rsidR="00BA3372">
        <w:t xml:space="preserve"> </w:t>
      </w:r>
      <w:r w:rsidR="003764BA">
        <w:t>(</w:t>
      </w:r>
      <w:r w:rsidR="003764BA">
        <w:fldChar w:fldCharType="begin"/>
      </w:r>
      <w:r w:rsidR="003764BA">
        <w:instrText xml:space="preserve"> REF _Ref232947389 \h </w:instrText>
      </w:r>
      <w:r w:rsidR="003764BA">
        <w:fldChar w:fldCharType="separate"/>
      </w:r>
      <w:r w:rsidR="00E10360">
        <w:t xml:space="preserve">Figure </w:t>
      </w:r>
      <w:r w:rsidR="00E10360">
        <w:rPr>
          <w:noProof/>
        </w:rPr>
        <w:t>1</w:t>
      </w:r>
      <w:r w:rsidR="003764BA">
        <w:fldChar w:fldCharType="end"/>
      </w:r>
      <w:r w:rsidR="003764BA">
        <w:t>)</w:t>
      </w:r>
      <w:r w:rsidR="007844D4">
        <w:t xml:space="preserve">. </w:t>
      </w:r>
    </w:p>
    <w:p w14:paraId="07D35551" w14:textId="07F99994" w:rsidR="005D05F7" w:rsidRDefault="007844D4" w:rsidP="00BA3372">
      <w:r>
        <w:t xml:space="preserve">The consensus statement differs from the 2018 Guidelines in recommending ARNI </w:t>
      </w:r>
      <w:r w:rsidR="0093116B">
        <w:t>in preference to</w:t>
      </w:r>
      <w:r>
        <w:t xml:space="preserve"> ACE </w:t>
      </w:r>
      <w:r w:rsidR="00BB2450">
        <w:t xml:space="preserve">inhibitors and </w:t>
      </w:r>
      <w:r w:rsidR="00DF7C6B">
        <w:t>broadening the use of</w:t>
      </w:r>
      <w:r w:rsidR="00BB2450">
        <w:t xml:space="preserve"> SGLT2 inhibitors</w:t>
      </w:r>
      <w:r w:rsidR="00633C4B">
        <w:t xml:space="preserve"> (previously only for patients with Type 2 diabetes)</w:t>
      </w:r>
      <w:r w:rsidR="007E2A35">
        <w:t xml:space="preserve">. </w:t>
      </w:r>
      <w:r w:rsidR="003B279D">
        <w:t xml:space="preserve">Further, </w:t>
      </w:r>
      <w:r w:rsidR="009646FB">
        <w:t>the consensus statement specifically</w:t>
      </w:r>
      <w:r w:rsidR="003B279D">
        <w:t xml:space="preserve"> notes that </w:t>
      </w:r>
      <w:r w:rsidR="00181BF3">
        <w:t xml:space="preserve">the therapies should be </w:t>
      </w:r>
      <w:proofErr w:type="gramStart"/>
      <w:r w:rsidR="00905F61">
        <w:t>up</w:t>
      </w:r>
      <w:r w:rsidR="00F039E5">
        <w:t>-</w:t>
      </w:r>
      <w:r w:rsidR="00905F61">
        <w:t>titrated</w:t>
      </w:r>
      <w:proofErr w:type="gramEnd"/>
      <w:r w:rsidR="00181BF3">
        <w:t xml:space="preserve"> to the maximum </w:t>
      </w:r>
      <w:r w:rsidR="00B65859">
        <w:t>tolerated</w:t>
      </w:r>
      <w:r w:rsidR="00181BF3">
        <w:t xml:space="preserve"> dose</w:t>
      </w:r>
      <w:r w:rsidR="000329D9">
        <w:t xml:space="preserve"> (</w:t>
      </w:r>
      <w:r w:rsidR="000329D9">
        <w:fldChar w:fldCharType="begin"/>
      </w:r>
      <w:r w:rsidR="000329D9">
        <w:instrText xml:space="preserve"> REF _Ref233202696 \h </w:instrText>
      </w:r>
      <w:r w:rsidR="000329D9">
        <w:fldChar w:fldCharType="separate"/>
      </w:r>
      <w:r w:rsidR="00E10360">
        <w:t xml:space="preserve">Table </w:t>
      </w:r>
      <w:r w:rsidR="00E10360">
        <w:rPr>
          <w:noProof/>
        </w:rPr>
        <w:t>4</w:t>
      </w:r>
      <w:r w:rsidR="000329D9">
        <w:fldChar w:fldCharType="end"/>
      </w:r>
      <w:r w:rsidR="000329D9">
        <w:t>)</w:t>
      </w:r>
      <w:r w:rsidR="00C20B1F">
        <w:t xml:space="preserve"> and should be commenced </w:t>
      </w:r>
      <w:r w:rsidR="00B31CBF">
        <w:t xml:space="preserve">together </w:t>
      </w:r>
      <w:r w:rsidR="00B65859">
        <w:t>(not in a stepwise manner)</w:t>
      </w:r>
      <w:r w:rsidR="001C6FBE">
        <w:t xml:space="preserve"> before full titration of individual medications.</w:t>
      </w:r>
      <w:r w:rsidR="00BE0BA5">
        <w:t xml:space="preserve"> </w:t>
      </w:r>
    </w:p>
    <w:p w14:paraId="0C494DE2" w14:textId="233942FE" w:rsidR="00B22447" w:rsidRDefault="00B22447" w:rsidP="00B22447">
      <w:pPr>
        <w:pStyle w:val="Caption"/>
      </w:pPr>
      <w:bookmarkStart w:id="7" w:name="_Ref232947389"/>
      <w:r>
        <w:t xml:space="preserve">Figure </w:t>
      </w:r>
      <w:r>
        <w:fldChar w:fldCharType="begin"/>
      </w:r>
      <w:r>
        <w:instrText xml:space="preserve"> SEQ Figure \* ARABIC </w:instrText>
      </w:r>
      <w:r>
        <w:fldChar w:fldCharType="separate"/>
      </w:r>
      <w:r w:rsidR="00E10360">
        <w:rPr>
          <w:noProof/>
        </w:rPr>
        <w:t>1</w:t>
      </w:r>
      <w:r>
        <w:fldChar w:fldCharType="end"/>
      </w:r>
      <w:bookmarkEnd w:id="7"/>
      <w:r>
        <w:tab/>
      </w:r>
      <w:bookmarkStart w:id="8" w:name="_Hlk233968723"/>
      <w:r w:rsidR="000F42FA">
        <w:t xml:space="preserve">HFrEF medication management algorithm </w:t>
      </w:r>
      <w:r w:rsidR="00D120D1">
        <w:t xml:space="preserve">updated </w:t>
      </w:r>
      <w:r w:rsidR="00550C86">
        <w:t>in consensus statement</w:t>
      </w:r>
      <w:r w:rsidR="00BD781B">
        <w:t xml:space="preserve"> (Sindone et al. 2022)</w:t>
      </w:r>
      <w:r w:rsidR="00550C86">
        <w:t xml:space="preserve"> </w:t>
      </w:r>
      <w:r w:rsidR="008E63E8">
        <w:t>from the</w:t>
      </w:r>
      <w:r w:rsidR="000D7C17">
        <w:t xml:space="preserve"> original </w:t>
      </w:r>
      <w:r w:rsidR="008E63E8">
        <w:t xml:space="preserve"> </w:t>
      </w:r>
      <w:r w:rsidR="00D120D1" w:rsidRPr="00D120D1">
        <w:t>2018 National Heart Foundation of Australia (NHFA) and Cardiac Society of Australia and New Zealand (CSANZ) heart failure guidelines</w:t>
      </w:r>
      <w:bookmarkEnd w:id="8"/>
      <w:r w:rsidR="00D120D1">
        <w:t xml:space="preserve"> </w:t>
      </w:r>
    </w:p>
    <w:p w14:paraId="45959DB7" w14:textId="6DE110A6" w:rsidR="00B22447" w:rsidRDefault="00B22447" w:rsidP="00ED0A92">
      <w:r>
        <w:rPr>
          <w:noProof/>
        </w:rPr>
        <w:drawing>
          <wp:inline distT="0" distB="0" distL="0" distR="0" wp14:anchorId="055BE6A0" wp14:editId="386A4B0A">
            <wp:extent cx="6083935" cy="3379470"/>
            <wp:effectExtent l="0" t="0" r="0" b="0"/>
            <wp:docPr id="3" name="Picture 3" descr="HFrEF medication management algorithm showing the four pillars of GDMT and their order for prescrib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FrEF medication management algorithm showing the four pillars of GDMT and their order for prescrib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83935" cy="3379470"/>
                    </a:xfrm>
                    <a:prstGeom prst="rect">
                      <a:avLst/>
                    </a:prstGeom>
                    <a:noFill/>
                    <a:ln>
                      <a:noFill/>
                    </a:ln>
                  </pic:spPr>
                </pic:pic>
              </a:graphicData>
            </a:graphic>
          </wp:inline>
        </w:drawing>
      </w:r>
    </w:p>
    <w:p w14:paraId="29D2C5B9" w14:textId="74B08A53" w:rsidR="00FC39A0" w:rsidRDefault="00FC39A0" w:rsidP="00C312C1">
      <w:pPr>
        <w:pStyle w:val="Tablenotes"/>
      </w:pPr>
      <w:r w:rsidRPr="00FC39A0">
        <w:t xml:space="preserve">ACE = angiotensin-converting enzyme; </w:t>
      </w:r>
      <w:r w:rsidR="008A6C87">
        <w:t xml:space="preserve">ARB= </w:t>
      </w:r>
      <w:r w:rsidR="003951F1">
        <w:t>a</w:t>
      </w:r>
      <w:r w:rsidR="008A6C87" w:rsidRPr="008A6C87">
        <w:t xml:space="preserve">ngiotensin </w:t>
      </w:r>
      <w:r w:rsidR="003951F1">
        <w:t>r</w:t>
      </w:r>
      <w:r w:rsidR="008A6C87" w:rsidRPr="008A6C87">
        <w:t xml:space="preserve">eceptor </w:t>
      </w:r>
      <w:r w:rsidR="003951F1">
        <w:t>b</w:t>
      </w:r>
      <w:r w:rsidR="008A6C87" w:rsidRPr="008A6C87">
        <w:t>locker</w:t>
      </w:r>
      <w:r w:rsidR="008A6C87">
        <w:t>,</w:t>
      </w:r>
      <w:r w:rsidR="008A6C87" w:rsidRPr="008A6C87">
        <w:t xml:space="preserve"> </w:t>
      </w:r>
      <w:r w:rsidRPr="00FC39A0">
        <w:t xml:space="preserve">ARNI = angiotensin receptor neprilysin inhibitor; </w:t>
      </w:r>
      <w:r w:rsidR="00764250" w:rsidRPr="00764250">
        <w:t>bpm = beats per minute;</w:t>
      </w:r>
      <w:r w:rsidR="00764250">
        <w:t xml:space="preserve"> </w:t>
      </w:r>
      <w:r w:rsidRPr="00FC39A0">
        <w:t xml:space="preserve">CRT = cardiac resynchronisation therapy; HFrEF = heart failure with reduced ejection fraction; ICD = implantable cardioverter defibrillator; LVEF = left ventricular ejection fraction; MRA = mineralocorticoid receptor antagonist; </w:t>
      </w:r>
      <w:r w:rsidR="004210EC">
        <w:t xml:space="preserve">ms = milliseconds; </w:t>
      </w:r>
      <w:r w:rsidR="005E54B1" w:rsidRPr="005E54B1">
        <w:t>QRS = QRS complex (electrocardiogram)</w:t>
      </w:r>
      <w:r w:rsidR="005E54B1">
        <w:t xml:space="preserve">; </w:t>
      </w:r>
      <w:r w:rsidRPr="00FC39A0">
        <w:t xml:space="preserve">SGLT2 </w:t>
      </w:r>
      <w:r w:rsidRPr="00FC39A0">
        <w:lastRenderedPageBreak/>
        <w:t>= sodium–glucose cotransporter 2; SR = sinus rhythm</w:t>
      </w:r>
      <w:r>
        <w:t>.</w:t>
      </w:r>
    </w:p>
    <w:p w14:paraId="33963EF2" w14:textId="25A28A96" w:rsidR="00B80409" w:rsidRDefault="00B80409" w:rsidP="00C312C1">
      <w:pPr>
        <w:pStyle w:val="Tablenotes"/>
      </w:pPr>
      <w:r>
        <w:t xml:space="preserve">The key overarching theme (green background) is to commence all patients on the </w:t>
      </w:r>
      <w:r w:rsidR="00774569">
        <w:t xml:space="preserve">4 </w:t>
      </w:r>
      <w:r>
        <w:t>destination therapies of ARNI/ACE inhibitor*, beta blocker†, MRA and SGLT2 inhibitor‡ as soon as clinically possible, given their early morbidity and mortality benefit. * ARNI preferred. ACE inhibitor can be considered as an alternative if problematic hypotension, and consider switching to ARNI later. † Use beta blocker with outcome trial proven HFrEF efficacy (i</w:t>
      </w:r>
      <w:r w:rsidR="004136F9">
        <w:t>.</w:t>
      </w:r>
      <w:r>
        <w:t>e</w:t>
      </w:r>
      <w:r w:rsidR="004136F9">
        <w:t>.</w:t>
      </w:r>
      <w:r>
        <w:t>, carvedilol, bisoprolol, metoprolol succinate or nebivolol). ‡ Use SGLT2 inhibitor with outcome trial proven HFrEF efficacy (i</w:t>
      </w:r>
      <w:r w:rsidR="004136F9">
        <w:t>.</w:t>
      </w:r>
      <w:r>
        <w:t>e</w:t>
      </w:r>
      <w:r w:rsidR="004136F9">
        <w:t>.</w:t>
      </w:r>
      <w:r>
        <w:t>, dapagliflozin or empagliflozin).</w:t>
      </w:r>
    </w:p>
    <w:p w14:paraId="55068964" w14:textId="589138CF" w:rsidR="00B80409" w:rsidRPr="00B80409" w:rsidRDefault="00B80409" w:rsidP="00C312C1">
      <w:pPr>
        <w:pStyle w:val="Tablenotes"/>
        <w:rPr>
          <w:color w:val="0000FF"/>
          <w:u w:val="single"/>
        </w:rPr>
      </w:pPr>
      <w:r>
        <w:t xml:space="preserve">Source: Box 4 of Sindone et al. </w:t>
      </w:r>
      <w:r w:rsidRPr="009926FD">
        <w:t>(2022)</w:t>
      </w:r>
      <w:r>
        <w:t xml:space="preserve"> licenced under </w:t>
      </w:r>
      <w:hyperlink r:id="rId17" w:tooltip="Link to CC BY-NY 4.0" w:history="1">
        <w:r w:rsidRPr="00E15812">
          <w:rPr>
            <w:rStyle w:val="Hyperlink"/>
            <w:rFonts w:ascii="Arial Narrow" w:hAnsi="Arial Narrow" w:cs="Arial"/>
          </w:rPr>
          <w:t>CC BY-NC 4.0</w:t>
        </w:r>
      </w:hyperlink>
    </w:p>
    <w:p w14:paraId="07DD3012" w14:textId="693C52C1" w:rsidR="000E7995" w:rsidRDefault="000E7995" w:rsidP="000E7995">
      <w:pPr>
        <w:pStyle w:val="Caption"/>
      </w:pPr>
      <w:bookmarkStart w:id="9" w:name="_Ref233202696"/>
      <w:r>
        <w:t xml:space="preserve">Table </w:t>
      </w:r>
      <w:r>
        <w:fldChar w:fldCharType="begin"/>
      </w:r>
      <w:r>
        <w:instrText xml:space="preserve"> SEQ Table \* ARABIC </w:instrText>
      </w:r>
      <w:r>
        <w:fldChar w:fldCharType="separate"/>
      </w:r>
      <w:r w:rsidR="00E10360">
        <w:rPr>
          <w:noProof/>
        </w:rPr>
        <w:t>4</w:t>
      </w:r>
      <w:r>
        <w:fldChar w:fldCharType="end"/>
      </w:r>
      <w:bookmarkEnd w:id="9"/>
      <w:r>
        <w:tab/>
      </w:r>
      <w:r w:rsidR="002B74A7">
        <w:t>Minimum and maximum dose for GDMT</w:t>
      </w:r>
    </w:p>
    <w:tbl>
      <w:tblPr>
        <w:tblStyle w:val="TableGrid"/>
        <w:tblW w:w="0" w:type="auto"/>
        <w:tblInd w:w="0" w:type="dxa"/>
        <w:tblLook w:val="04A0" w:firstRow="1" w:lastRow="0" w:firstColumn="1" w:lastColumn="0" w:noHBand="0" w:noVBand="1"/>
        <w:tblCaption w:val="Minimum and maximum dose for GDMT"/>
        <w:tblDescription w:val="Shows the minimum and maximum doses for HF medications indicating the amount of titration required"/>
      </w:tblPr>
      <w:tblGrid>
        <w:gridCol w:w="2263"/>
        <w:gridCol w:w="2675"/>
        <w:gridCol w:w="2426"/>
        <w:gridCol w:w="2207"/>
      </w:tblGrid>
      <w:tr w:rsidR="00D74C82" w14:paraId="73EC7BC1" w14:textId="20F34A00" w:rsidTr="001569AF">
        <w:tc>
          <w:tcPr>
            <w:tcW w:w="2263" w:type="dxa"/>
          </w:tcPr>
          <w:p w14:paraId="7747E788" w14:textId="7EAC2893" w:rsidR="00D74C82" w:rsidRDefault="00D74C82" w:rsidP="00E0158D">
            <w:pPr>
              <w:pStyle w:val="TableHeading"/>
            </w:pPr>
            <w:r>
              <w:t>Class</w:t>
            </w:r>
          </w:p>
        </w:tc>
        <w:tc>
          <w:tcPr>
            <w:tcW w:w="2675" w:type="dxa"/>
          </w:tcPr>
          <w:p w14:paraId="1C8A46C4" w14:textId="18F5CA90" w:rsidR="00D74C82" w:rsidRDefault="00D74C82" w:rsidP="00E0158D">
            <w:pPr>
              <w:pStyle w:val="TableHeading"/>
            </w:pPr>
            <w:r>
              <w:t>Drug</w:t>
            </w:r>
          </w:p>
        </w:tc>
        <w:tc>
          <w:tcPr>
            <w:tcW w:w="2426" w:type="dxa"/>
          </w:tcPr>
          <w:p w14:paraId="7FC99881" w14:textId="65DC4A5A" w:rsidR="00D74C82" w:rsidRDefault="00D74C82" w:rsidP="00E0158D">
            <w:pPr>
              <w:pStyle w:val="TableHeading"/>
            </w:pPr>
            <w:r>
              <w:t>Minimum dose</w:t>
            </w:r>
          </w:p>
        </w:tc>
        <w:tc>
          <w:tcPr>
            <w:tcW w:w="2207" w:type="dxa"/>
          </w:tcPr>
          <w:p w14:paraId="306AB82B" w14:textId="6CFC3773" w:rsidR="00D74C82" w:rsidRDefault="00D74C82" w:rsidP="00E0158D">
            <w:pPr>
              <w:pStyle w:val="TableHeading"/>
            </w:pPr>
            <w:r>
              <w:t>Maximum dose</w:t>
            </w:r>
          </w:p>
        </w:tc>
      </w:tr>
      <w:tr w:rsidR="0059006C" w14:paraId="2F467535" w14:textId="77777777" w:rsidTr="001569AF">
        <w:tc>
          <w:tcPr>
            <w:tcW w:w="2263" w:type="dxa"/>
          </w:tcPr>
          <w:p w14:paraId="2F9A2708" w14:textId="423545AB" w:rsidR="0059006C" w:rsidRDefault="00827DD3" w:rsidP="00827DD3">
            <w:pPr>
              <w:pStyle w:val="TableText0"/>
            </w:pPr>
            <w:r>
              <w:t>ACE inhibitor</w:t>
            </w:r>
          </w:p>
        </w:tc>
        <w:tc>
          <w:tcPr>
            <w:tcW w:w="2675" w:type="dxa"/>
          </w:tcPr>
          <w:p w14:paraId="47D8241D" w14:textId="59A34F00" w:rsidR="0059006C" w:rsidRDefault="00086DBB" w:rsidP="00827DD3">
            <w:pPr>
              <w:pStyle w:val="TableText0"/>
            </w:pPr>
            <w:r>
              <w:t>captopril</w:t>
            </w:r>
          </w:p>
        </w:tc>
        <w:tc>
          <w:tcPr>
            <w:tcW w:w="2426" w:type="dxa"/>
          </w:tcPr>
          <w:p w14:paraId="49EE4DF1" w14:textId="0C33E8A8" w:rsidR="0059006C" w:rsidRDefault="00AB06F8" w:rsidP="00827DD3">
            <w:pPr>
              <w:pStyle w:val="TableText0"/>
            </w:pPr>
            <w:r>
              <w:t>6.25 mg td</w:t>
            </w:r>
          </w:p>
        </w:tc>
        <w:tc>
          <w:tcPr>
            <w:tcW w:w="2207" w:type="dxa"/>
          </w:tcPr>
          <w:p w14:paraId="5630F57C" w14:textId="581D4275" w:rsidR="0059006C" w:rsidRDefault="00B938E7" w:rsidP="00827DD3">
            <w:pPr>
              <w:pStyle w:val="TableText0"/>
            </w:pPr>
            <w:r>
              <w:t>50 mg td</w:t>
            </w:r>
          </w:p>
        </w:tc>
      </w:tr>
      <w:tr w:rsidR="0059006C" w14:paraId="19D2A5A4" w14:textId="77777777" w:rsidTr="001569AF">
        <w:tc>
          <w:tcPr>
            <w:tcW w:w="2263" w:type="dxa"/>
          </w:tcPr>
          <w:p w14:paraId="3C6FA2C9" w14:textId="77777777" w:rsidR="0059006C" w:rsidRDefault="0059006C" w:rsidP="00827DD3">
            <w:pPr>
              <w:pStyle w:val="TableText0"/>
            </w:pPr>
          </w:p>
        </w:tc>
        <w:tc>
          <w:tcPr>
            <w:tcW w:w="2675" w:type="dxa"/>
          </w:tcPr>
          <w:p w14:paraId="21C4D14A" w14:textId="1C6C1FA3" w:rsidR="0059006C" w:rsidRDefault="00086DBB" w:rsidP="00827DD3">
            <w:pPr>
              <w:pStyle w:val="TableText0"/>
            </w:pPr>
            <w:r>
              <w:t>enalapril</w:t>
            </w:r>
          </w:p>
        </w:tc>
        <w:tc>
          <w:tcPr>
            <w:tcW w:w="2426" w:type="dxa"/>
          </w:tcPr>
          <w:p w14:paraId="169DB650" w14:textId="031EF1E6" w:rsidR="0059006C" w:rsidRDefault="00AB06F8" w:rsidP="00827DD3">
            <w:pPr>
              <w:pStyle w:val="TableText0"/>
            </w:pPr>
            <w:r>
              <w:t>2.5 mg bd</w:t>
            </w:r>
          </w:p>
        </w:tc>
        <w:tc>
          <w:tcPr>
            <w:tcW w:w="2207" w:type="dxa"/>
          </w:tcPr>
          <w:p w14:paraId="3B67D7E8" w14:textId="7BACF067" w:rsidR="0059006C" w:rsidRDefault="00B938E7" w:rsidP="00827DD3">
            <w:pPr>
              <w:pStyle w:val="TableText0"/>
            </w:pPr>
            <w:r>
              <w:t>10 – 20 mg bd</w:t>
            </w:r>
          </w:p>
        </w:tc>
      </w:tr>
      <w:tr w:rsidR="0059006C" w14:paraId="6D2DD1CD" w14:textId="77777777" w:rsidTr="001569AF">
        <w:tc>
          <w:tcPr>
            <w:tcW w:w="2263" w:type="dxa"/>
          </w:tcPr>
          <w:p w14:paraId="41F30E79" w14:textId="77777777" w:rsidR="0059006C" w:rsidRDefault="0059006C" w:rsidP="00827DD3">
            <w:pPr>
              <w:pStyle w:val="TableText0"/>
            </w:pPr>
          </w:p>
        </w:tc>
        <w:tc>
          <w:tcPr>
            <w:tcW w:w="2675" w:type="dxa"/>
          </w:tcPr>
          <w:p w14:paraId="247F2282" w14:textId="40E5FB0F" w:rsidR="0059006C" w:rsidRDefault="00086DBB" w:rsidP="00827DD3">
            <w:pPr>
              <w:pStyle w:val="TableText0"/>
            </w:pPr>
            <w:r>
              <w:t>lisinopril</w:t>
            </w:r>
          </w:p>
        </w:tc>
        <w:tc>
          <w:tcPr>
            <w:tcW w:w="2426" w:type="dxa"/>
          </w:tcPr>
          <w:p w14:paraId="3C5B93F1" w14:textId="029E1CE4" w:rsidR="0059006C" w:rsidRDefault="00AB06F8" w:rsidP="00827DD3">
            <w:pPr>
              <w:pStyle w:val="TableText0"/>
            </w:pPr>
            <w:r>
              <w:t>2.5</w:t>
            </w:r>
            <w:r w:rsidR="00B938E7">
              <w:t xml:space="preserve"> </w:t>
            </w:r>
            <w:r>
              <w:t>-</w:t>
            </w:r>
            <w:r w:rsidR="00B938E7">
              <w:t xml:space="preserve"> </w:t>
            </w:r>
            <w:r>
              <w:t>5</w:t>
            </w:r>
            <w:r w:rsidR="00864AAD">
              <w:t xml:space="preserve"> mg daily</w:t>
            </w:r>
          </w:p>
        </w:tc>
        <w:tc>
          <w:tcPr>
            <w:tcW w:w="2207" w:type="dxa"/>
          </w:tcPr>
          <w:p w14:paraId="20475FAA" w14:textId="1CD87542" w:rsidR="0059006C" w:rsidRDefault="00B938E7" w:rsidP="00827DD3">
            <w:pPr>
              <w:pStyle w:val="TableText0"/>
            </w:pPr>
            <w:r>
              <w:t>20 – 35 mg daily</w:t>
            </w:r>
          </w:p>
        </w:tc>
      </w:tr>
      <w:tr w:rsidR="0059006C" w14:paraId="153DA59C" w14:textId="77777777" w:rsidTr="001569AF">
        <w:tc>
          <w:tcPr>
            <w:tcW w:w="2263" w:type="dxa"/>
          </w:tcPr>
          <w:p w14:paraId="2FC9D413" w14:textId="77777777" w:rsidR="0059006C" w:rsidRDefault="0059006C" w:rsidP="00827DD3">
            <w:pPr>
              <w:pStyle w:val="TableText0"/>
            </w:pPr>
          </w:p>
        </w:tc>
        <w:tc>
          <w:tcPr>
            <w:tcW w:w="2675" w:type="dxa"/>
          </w:tcPr>
          <w:p w14:paraId="6CD9AE0C" w14:textId="2DFAB549" w:rsidR="0059006C" w:rsidRDefault="00086DBB" w:rsidP="00827DD3">
            <w:pPr>
              <w:pStyle w:val="TableText0"/>
            </w:pPr>
            <w:r>
              <w:t>ramipril</w:t>
            </w:r>
          </w:p>
        </w:tc>
        <w:tc>
          <w:tcPr>
            <w:tcW w:w="2426" w:type="dxa"/>
          </w:tcPr>
          <w:p w14:paraId="75F6F7B2" w14:textId="1EA7A6F6" w:rsidR="0059006C" w:rsidRDefault="00864AAD" w:rsidP="00827DD3">
            <w:pPr>
              <w:pStyle w:val="TableText0"/>
            </w:pPr>
            <w:r>
              <w:t>2.5 mg bd</w:t>
            </w:r>
          </w:p>
        </w:tc>
        <w:tc>
          <w:tcPr>
            <w:tcW w:w="2207" w:type="dxa"/>
          </w:tcPr>
          <w:p w14:paraId="1E8952E4" w14:textId="40627988" w:rsidR="0059006C" w:rsidRDefault="00B938E7" w:rsidP="00827DD3">
            <w:pPr>
              <w:pStyle w:val="TableText0"/>
            </w:pPr>
            <w:r>
              <w:t>5 mg bd</w:t>
            </w:r>
          </w:p>
        </w:tc>
      </w:tr>
      <w:tr w:rsidR="00CA482A" w14:paraId="6DCE1467" w14:textId="77777777" w:rsidTr="001569AF">
        <w:tc>
          <w:tcPr>
            <w:tcW w:w="2263" w:type="dxa"/>
          </w:tcPr>
          <w:p w14:paraId="6CF57071" w14:textId="77777777" w:rsidR="00CA482A" w:rsidRDefault="00CA482A" w:rsidP="00827DD3">
            <w:pPr>
              <w:pStyle w:val="TableText0"/>
            </w:pPr>
          </w:p>
        </w:tc>
        <w:tc>
          <w:tcPr>
            <w:tcW w:w="2675" w:type="dxa"/>
          </w:tcPr>
          <w:p w14:paraId="1EE79C1C" w14:textId="344E7B76" w:rsidR="00CA482A" w:rsidRDefault="00086DBB" w:rsidP="00827DD3">
            <w:pPr>
              <w:pStyle w:val="TableText0"/>
            </w:pPr>
            <w:r>
              <w:t>trandolapril</w:t>
            </w:r>
          </w:p>
        </w:tc>
        <w:tc>
          <w:tcPr>
            <w:tcW w:w="2426" w:type="dxa"/>
          </w:tcPr>
          <w:p w14:paraId="365CA355" w14:textId="7A1DBB8F" w:rsidR="00CA482A" w:rsidRDefault="00864AAD" w:rsidP="00827DD3">
            <w:pPr>
              <w:pStyle w:val="TableText0"/>
            </w:pPr>
            <w:r>
              <w:t>0.5 mg daily</w:t>
            </w:r>
          </w:p>
        </w:tc>
        <w:tc>
          <w:tcPr>
            <w:tcW w:w="2207" w:type="dxa"/>
          </w:tcPr>
          <w:p w14:paraId="1AF2C075" w14:textId="69A1C8EF" w:rsidR="00CA482A" w:rsidRDefault="00864AAD" w:rsidP="00827DD3">
            <w:pPr>
              <w:pStyle w:val="TableText0"/>
            </w:pPr>
            <w:r>
              <w:t>4 mg daily</w:t>
            </w:r>
          </w:p>
        </w:tc>
      </w:tr>
      <w:tr w:rsidR="008B5E65" w14:paraId="6F6F71E2" w14:textId="77777777" w:rsidTr="001569AF">
        <w:tc>
          <w:tcPr>
            <w:tcW w:w="2263" w:type="dxa"/>
          </w:tcPr>
          <w:p w14:paraId="356163E5" w14:textId="3B4B70E6" w:rsidR="008B5E65" w:rsidRDefault="008B5E65" w:rsidP="00E36C1C">
            <w:pPr>
              <w:pStyle w:val="TableText0"/>
            </w:pPr>
            <w:r>
              <w:t>ARN</w:t>
            </w:r>
            <w:r w:rsidR="005D5A9F">
              <w:t>I</w:t>
            </w:r>
          </w:p>
        </w:tc>
        <w:tc>
          <w:tcPr>
            <w:tcW w:w="2675" w:type="dxa"/>
          </w:tcPr>
          <w:p w14:paraId="74421AAF" w14:textId="43280015" w:rsidR="008B5E65" w:rsidRDefault="00086DBB" w:rsidP="00E36C1C">
            <w:pPr>
              <w:pStyle w:val="TableText0"/>
            </w:pPr>
            <w:r w:rsidRPr="00A65F4F">
              <w:t>sacubitril/valsartan</w:t>
            </w:r>
          </w:p>
        </w:tc>
        <w:tc>
          <w:tcPr>
            <w:tcW w:w="2426" w:type="dxa"/>
          </w:tcPr>
          <w:p w14:paraId="2706AB41" w14:textId="013F7AED" w:rsidR="008B5E65" w:rsidRDefault="00A65F4F" w:rsidP="00E36C1C">
            <w:pPr>
              <w:pStyle w:val="TableText0"/>
            </w:pPr>
            <w:r>
              <w:t>24/ 26</w:t>
            </w:r>
            <w:r w:rsidR="0043470D">
              <w:t xml:space="preserve"> </w:t>
            </w:r>
            <w:r>
              <w:t>mg bd</w:t>
            </w:r>
          </w:p>
        </w:tc>
        <w:tc>
          <w:tcPr>
            <w:tcW w:w="2207" w:type="dxa"/>
          </w:tcPr>
          <w:p w14:paraId="45E4A3DF" w14:textId="21B231AB" w:rsidR="008B5E65" w:rsidRDefault="00A65F4F" w:rsidP="00E36C1C">
            <w:pPr>
              <w:pStyle w:val="TableText0"/>
            </w:pPr>
            <w:r>
              <w:t>97/ 103 mg bd</w:t>
            </w:r>
          </w:p>
        </w:tc>
      </w:tr>
      <w:tr w:rsidR="00D74C82" w14:paraId="094C8941" w14:textId="1BB5A9BF" w:rsidTr="001569AF">
        <w:tc>
          <w:tcPr>
            <w:tcW w:w="2263" w:type="dxa"/>
          </w:tcPr>
          <w:p w14:paraId="4886FAA2" w14:textId="506CB340" w:rsidR="00D74C82" w:rsidRDefault="00D74C82" w:rsidP="00E36C1C">
            <w:pPr>
              <w:pStyle w:val="TableText0"/>
            </w:pPr>
            <w:r w:rsidRPr="00E36C1C">
              <w:t>HF specific beta blocker</w:t>
            </w:r>
          </w:p>
        </w:tc>
        <w:tc>
          <w:tcPr>
            <w:tcW w:w="2675" w:type="dxa"/>
          </w:tcPr>
          <w:p w14:paraId="7D49F276" w14:textId="0EEDB9CC" w:rsidR="00D74C82" w:rsidRDefault="00086DBB" w:rsidP="00E36C1C">
            <w:pPr>
              <w:pStyle w:val="TableText0"/>
            </w:pPr>
            <w:r>
              <w:t>c</w:t>
            </w:r>
            <w:r w:rsidRPr="00E36C1C">
              <w:t>arvedilol</w:t>
            </w:r>
          </w:p>
        </w:tc>
        <w:tc>
          <w:tcPr>
            <w:tcW w:w="2426" w:type="dxa"/>
          </w:tcPr>
          <w:p w14:paraId="18E7A25D" w14:textId="70B845F5" w:rsidR="00D74C82" w:rsidRDefault="00020788" w:rsidP="00E36C1C">
            <w:pPr>
              <w:pStyle w:val="TableText0"/>
            </w:pPr>
            <w:r>
              <w:t>6.25 mg bd</w:t>
            </w:r>
          </w:p>
        </w:tc>
        <w:tc>
          <w:tcPr>
            <w:tcW w:w="2207" w:type="dxa"/>
          </w:tcPr>
          <w:p w14:paraId="233DB2C5" w14:textId="3508E0C0" w:rsidR="00D74C82" w:rsidRDefault="00020788" w:rsidP="00E36C1C">
            <w:pPr>
              <w:pStyle w:val="TableText0"/>
            </w:pPr>
            <w:r>
              <w:t>25 mg bd</w:t>
            </w:r>
          </w:p>
        </w:tc>
      </w:tr>
      <w:tr w:rsidR="004C0BB8" w14:paraId="3BBD8642" w14:textId="77777777" w:rsidTr="001569AF">
        <w:tc>
          <w:tcPr>
            <w:tcW w:w="2263" w:type="dxa"/>
          </w:tcPr>
          <w:p w14:paraId="7FD7F298" w14:textId="77777777" w:rsidR="004C0BB8" w:rsidRPr="00E36C1C" w:rsidRDefault="004C0BB8" w:rsidP="00E36C1C">
            <w:pPr>
              <w:pStyle w:val="TableText0"/>
            </w:pPr>
          </w:p>
        </w:tc>
        <w:tc>
          <w:tcPr>
            <w:tcW w:w="2675" w:type="dxa"/>
          </w:tcPr>
          <w:p w14:paraId="1A829D58" w14:textId="722997CA" w:rsidR="004C0BB8" w:rsidRDefault="00086DBB" w:rsidP="00E36C1C">
            <w:pPr>
              <w:pStyle w:val="TableText0"/>
            </w:pPr>
            <w:r>
              <w:t>b</w:t>
            </w:r>
            <w:r w:rsidRPr="00E36C1C">
              <w:t>isoprolol</w:t>
            </w:r>
          </w:p>
        </w:tc>
        <w:tc>
          <w:tcPr>
            <w:tcW w:w="2426" w:type="dxa"/>
          </w:tcPr>
          <w:p w14:paraId="1FDAF0A5" w14:textId="32DBBDB2" w:rsidR="004C0BB8" w:rsidRDefault="00760E8B" w:rsidP="00E36C1C">
            <w:pPr>
              <w:pStyle w:val="TableText0"/>
            </w:pPr>
            <w:r>
              <w:t>1.2 mg daily</w:t>
            </w:r>
          </w:p>
        </w:tc>
        <w:tc>
          <w:tcPr>
            <w:tcW w:w="2207" w:type="dxa"/>
          </w:tcPr>
          <w:p w14:paraId="2D4E9BD8" w14:textId="29FB9280" w:rsidR="004C0BB8" w:rsidRDefault="00020788" w:rsidP="00E36C1C">
            <w:pPr>
              <w:pStyle w:val="TableText0"/>
            </w:pPr>
            <w:r>
              <w:t>10 mg daily</w:t>
            </w:r>
          </w:p>
        </w:tc>
      </w:tr>
      <w:tr w:rsidR="004C0BB8" w14:paraId="47769184" w14:textId="77777777" w:rsidTr="001569AF">
        <w:tc>
          <w:tcPr>
            <w:tcW w:w="2263" w:type="dxa"/>
          </w:tcPr>
          <w:p w14:paraId="0C416831" w14:textId="77777777" w:rsidR="004C0BB8" w:rsidRPr="00E36C1C" w:rsidRDefault="004C0BB8" w:rsidP="00E36C1C">
            <w:pPr>
              <w:pStyle w:val="TableText0"/>
            </w:pPr>
          </w:p>
        </w:tc>
        <w:tc>
          <w:tcPr>
            <w:tcW w:w="2675" w:type="dxa"/>
          </w:tcPr>
          <w:p w14:paraId="4446C68A" w14:textId="315D86FC" w:rsidR="004C0BB8" w:rsidRDefault="00086DBB" w:rsidP="00E36C1C">
            <w:pPr>
              <w:pStyle w:val="TableText0"/>
            </w:pPr>
            <w:r>
              <w:t>m</w:t>
            </w:r>
            <w:r w:rsidRPr="00E36C1C">
              <w:t>etoprolol succinate</w:t>
            </w:r>
          </w:p>
        </w:tc>
        <w:tc>
          <w:tcPr>
            <w:tcW w:w="2426" w:type="dxa"/>
          </w:tcPr>
          <w:p w14:paraId="6A3B7273" w14:textId="2E5CF7C0" w:rsidR="004C0BB8" w:rsidRDefault="00020788" w:rsidP="00E36C1C">
            <w:pPr>
              <w:pStyle w:val="TableText0"/>
            </w:pPr>
            <w:r>
              <w:t>23.75 mg daily</w:t>
            </w:r>
          </w:p>
        </w:tc>
        <w:tc>
          <w:tcPr>
            <w:tcW w:w="2207" w:type="dxa"/>
          </w:tcPr>
          <w:p w14:paraId="05A28936" w14:textId="6F280D4E" w:rsidR="004C0BB8" w:rsidRDefault="00020788" w:rsidP="00E36C1C">
            <w:pPr>
              <w:pStyle w:val="TableText0"/>
            </w:pPr>
            <w:r>
              <w:t>190 mg daily</w:t>
            </w:r>
          </w:p>
        </w:tc>
      </w:tr>
      <w:tr w:rsidR="004C0BB8" w14:paraId="6C3543A5" w14:textId="77777777" w:rsidTr="001569AF">
        <w:tc>
          <w:tcPr>
            <w:tcW w:w="2263" w:type="dxa"/>
          </w:tcPr>
          <w:p w14:paraId="4039788A" w14:textId="77777777" w:rsidR="004C0BB8" w:rsidRPr="00E36C1C" w:rsidRDefault="004C0BB8" w:rsidP="00E36C1C">
            <w:pPr>
              <w:pStyle w:val="TableText0"/>
            </w:pPr>
          </w:p>
        </w:tc>
        <w:tc>
          <w:tcPr>
            <w:tcW w:w="2675" w:type="dxa"/>
          </w:tcPr>
          <w:p w14:paraId="77D22BF5" w14:textId="6659AC59" w:rsidR="004C0BB8" w:rsidRDefault="00086DBB" w:rsidP="00E36C1C">
            <w:pPr>
              <w:pStyle w:val="TableText0"/>
            </w:pPr>
            <w:r>
              <w:t>n</w:t>
            </w:r>
            <w:r w:rsidRPr="00E36C1C">
              <w:t>ebivolol</w:t>
            </w:r>
          </w:p>
        </w:tc>
        <w:tc>
          <w:tcPr>
            <w:tcW w:w="2426" w:type="dxa"/>
          </w:tcPr>
          <w:p w14:paraId="54ED5070" w14:textId="4B030884" w:rsidR="004C0BB8" w:rsidRDefault="00254A52" w:rsidP="00E36C1C">
            <w:pPr>
              <w:pStyle w:val="TableText0"/>
            </w:pPr>
            <w:r>
              <w:t>1.2 mg daily</w:t>
            </w:r>
          </w:p>
        </w:tc>
        <w:tc>
          <w:tcPr>
            <w:tcW w:w="2207" w:type="dxa"/>
          </w:tcPr>
          <w:p w14:paraId="2F33AB09" w14:textId="5B265908" w:rsidR="004C0BB8" w:rsidRDefault="00254A52" w:rsidP="00E36C1C">
            <w:pPr>
              <w:pStyle w:val="TableText0"/>
            </w:pPr>
            <w:r>
              <w:t>10 mg daily</w:t>
            </w:r>
          </w:p>
        </w:tc>
      </w:tr>
      <w:tr w:rsidR="00D74C82" w14:paraId="34932270" w14:textId="073F1DA7" w:rsidTr="001569AF">
        <w:tc>
          <w:tcPr>
            <w:tcW w:w="2263" w:type="dxa"/>
          </w:tcPr>
          <w:p w14:paraId="583A3052" w14:textId="6C3426D7" w:rsidR="00D74C82" w:rsidRDefault="00D74C82" w:rsidP="00E36C1C">
            <w:pPr>
              <w:pStyle w:val="TableText0"/>
            </w:pPr>
            <w:r>
              <w:t>MRA</w:t>
            </w:r>
          </w:p>
        </w:tc>
        <w:tc>
          <w:tcPr>
            <w:tcW w:w="2675" w:type="dxa"/>
          </w:tcPr>
          <w:p w14:paraId="4B5C8BFC" w14:textId="15ED15A9" w:rsidR="00D74C82" w:rsidRDefault="00086DBB" w:rsidP="00E36C1C">
            <w:pPr>
              <w:pStyle w:val="TableText0"/>
            </w:pPr>
            <w:r>
              <w:t>spironolactone/ eplerenone</w:t>
            </w:r>
          </w:p>
        </w:tc>
        <w:tc>
          <w:tcPr>
            <w:tcW w:w="2426" w:type="dxa"/>
          </w:tcPr>
          <w:p w14:paraId="3873265A" w14:textId="0DF51F3B" w:rsidR="00D74C82" w:rsidRDefault="002600E8" w:rsidP="00E36C1C">
            <w:pPr>
              <w:pStyle w:val="TableText0"/>
            </w:pPr>
            <w:r>
              <w:t>12.5 mg daily</w:t>
            </w:r>
          </w:p>
        </w:tc>
        <w:tc>
          <w:tcPr>
            <w:tcW w:w="2207" w:type="dxa"/>
          </w:tcPr>
          <w:p w14:paraId="1B613A3B" w14:textId="7E15BFD7" w:rsidR="00D74C82" w:rsidRDefault="002600E8" w:rsidP="00E36C1C">
            <w:pPr>
              <w:pStyle w:val="TableText0"/>
            </w:pPr>
            <w:r>
              <w:t>25 – 50 mg daily</w:t>
            </w:r>
          </w:p>
        </w:tc>
      </w:tr>
      <w:tr w:rsidR="00D74C82" w14:paraId="3430B337" w14:textId="668E2B57" w:rsidTr="001569AF">
        <w:tc>
          <w:tcPr>
            <w:tcW w:w="2263" w:type="dxa"/>
          </w:tcPr>
          <w:p w14:paraId="0B9CF111" w14:textId="160CEB6A" w:rsidR="00D74C82" w:rsidRDefault="00D74C82" w:rsidP="00E36C1C">
            <w:pPr>
              <w:pStyle w:val="TableText0"/>
            </w:pPr>
            <w:r w:rsidRPr="00E36C1C">
              <w:t>SGLT2</w:t>
            </w:r>
            <w:r w:rsidR="002600E8">
              <w:t xml:space="preserve"> inhibitor</w:t>
            </w:r>
          </w:p>
        </w:tc>
        <w:tc>
          <w:tcPr>
            <w:tcW w:w="2675" w:type="dxa"/>
          </w:tcPr>
          <w:p w14:paraId="1ED8CC81" w14:textId="40B053D0" w:rsidR="00D74C82" w:rsidRDefault="00640CA2" w:rsidP="00E36C1C">
            <w:pPr>
              <w:pStyle w:val="TableText0"/>
            </w:pPr>
            <w:r w:rsidRPr="00E36C1C">
              <w:t>dapagliflozin</w:t>
            </w:r>
            <w:r>
              <w:t xml:space="preserve"> or</w:t>
            </w:r>
            <w:r w:rsidRPr="00E36C1C">
              <w:t xml:space="preserve"> empagliflozin</w:t>
            </w:r>
          </w:p>
        </w:tc>
        <w:tc>
          <w:tcPr>
            <w:tcW w:w="2426" w:type="dxa"/>
          </w:tcPr>
          <w:p w14:paraId="7E2A3498" w14:textId="4B1C0948" w:rsidR="00D74C82" w:rsidRDefault="00640CA2" w:rsidP="00E36C1C">
            <w:pPr>
              <w:pStyle w:val="TableText0"/>
            </w:pPr>
            <w:r>
              <w:t>10 mg daily</w:t>
            </w:r>
          </w:p>
        </w:tc>
        <w:tc>
          <w:tcPr>
            <w:tcW w:w="2207" w:type="dxa"/>
          </w:tcPr>
          <w:p w14:paraId="7721A5BC" w14:textId="7E2C0019" w:rsidR="00D74C82" w:rsidRDefault="00640CA2" w:rsidP="00E36C1C">
            <w:pPr>
              <w:pStyle w:val="TableText0"/>
            </w:pPr>
            <w:r>
              <w:t>N/A</w:t>
            </w:r>
          </w:p>
        </w:tc>
      </w:tr>
    </w:tbl>
    <w:p w14:paraId="474C0E4D" w14:textId="5F1ABB41" w:rsidR="004A7EFC" w:rsidRDefault="00D36C93" w:rsidP="00D36C93">
      <w:pPr>
        <w:pStyle w:val="Tablenotes"/>
        <w:jc w:val="left"/>
      </w:pPr>
      <w:r>
        <w:t xml:space="preserve">ACE = angiotensin-converting enzyme; ARNI = angiotensin receptor neprilysin inhibitor; bd = twice daily; </w:t>
      </w:r>
      <w:r w:rsidR="000863B8" w:rsidRPr="000863B8">
        <w:t>GDMT = guideline directed medical therapy</w:t>
      </w:r>
      <w:r w:rsidR="000863B8">
        <w:t xml:space="preserve">; </w:t>
      </w:r>
      <w:r>
        <w:t xml:space="preserve">HF = heart failure; </w:t>
      </w:r>
      <w:r w:rsidR="00A42465">
        <w:t xml:space="preserve">mg = </w:t>
      </w:r>
      <w:r w:rsidR="00E3173C">
        <w:t>milligrams</w:t>
      </w:r>
      <w:r w:rsidR="00A42465">
        <w:t xml:space="preserve">; </w:t>
      </w:r>
      <w:r>
        <w:t>MRA</w:t>
      </w:r>
      <w:r w:rsidR="00A42465">
        <w:t xml:space="preserve"> = </w:t>
      </w:r>
      <w:r>
        <w:t>mineralocorticoid receptor antagonist</w:t>
      </w:r>
      <w:r w:rsidR="00A42465">
        <w:t xml:space="preserve">; </w:t>
      </w:r>
      <w:r w:rsidR="00E3173C">
        <w:t xml:space="preserve">N/A = not applicable; </w:t>
      </w:r>
      <w:r>
        <w:t>SGLT2</w:t>
      </w:r>
      <w:r w:rsidR="00A42465">
        <w:t xml:space="preserve"> = </w:t>
      </w:r>
      <w:r w:rsidR="00005C61">
        <w:t>s</w:t>
      </w:r>
      <w:r>
        <w:t>odium-glucose cotransporter 2</w:t>
      </w:r>
      <w:r w:rsidR="00A42465">
        <w:t xml:space="preserve">; td = </w:t>
      </w:r>
      <w:r>
        <w:t>three times daily</w:t>
      </w:r>
    </w:p>
    <w:p w14:paraId="0CC0FF1E" w14:textId="5EAAE949" w:rsidR="00B80409" w:rsidRDefault="00B80409" w:rsidP="00B80409">
      <w:pPr>
        <w:pStyle w:val="Tablenotes"/>
      </w:pPr>
      <w:r>
        <w:t xml:space="preserve">Source: Sindone et al. (2006) and McDonagh </w:t>
      </w:r>
      <w:r w:rsidRPr="00A2305A">
        <w:t>(2021)</w:t>
      </w:r>
    </w:p>
    <w:p w14:paraId="2BE1D2C0" w14:textId="1FE3AF95" w:rsidR="001C6FBE" w:rsidRDefault="00E41243" w:rsidP="00ED0A92">
      <w:r>
        <w:t xml:space="preserve">Specific benefits of medical therapy have not been demonstrated in patients with </w:t>
      </w:r>
      <w:r w:rsidR="005326A5">
        <w:t xml:space="preserve">HFpEF </w:t>
      </w:r>
      <w:r w:rsidR="00457A8E">
        <w:t>with the exception of SGLT2 inhibitor</w:t>
      </w:r>
      <w:r w:rsidR="00537A1C">
        <w:t>s</w:t>
      </w:r>
      <w:r w:rsidR="00467198">
        <w:t xml:space="preserve">. </w:t>
      </w:r>
      <w:r w:rsidR="008C2040">
        <w:t>Therefore,</w:t>
      </w:r>
      <w:r w:rsidR="00467198">
        <w:t xml:space="preserve"> the consensus statement recommends an SGLT2 inhibitor be considered in these </w:t>
      </w:r>
      <w:r w:rsidR="00537A1C">
        <w:t>patients,</w:t>
      </w:r>
      <w:r w:rsidR="00467198">
        <w:t xml:space="preserve"> but no recommendations are made regarding </w:t>
      </w:r>
      <w:r w:rsidR="002A48C9">
        <w:t>other HF medications</w:t>
      </w:r>
      <w:r w:rsidR="00FB64CB">
        <w:t xml:space="preserve"> </w:t>
      </w:r>
      <w:r w:rsidR="00795AFC" w:rsidRPr="00795AFC">
        <w:rPr>
          <w:rFonts w:cs="Calibri"/>
        </w:rPr>
        <w:t>(Sindone et al. 2022)</w:t>
      </w:r>
      <w:r w:rsidR="002A48C9">
        <w:t>.</w:t>
      </w:r>
      <w:r w:rsidR="00073CAE">
        <w:t xml:space="preserve"> However, a </w:t>
      </w:r>
      <w:r w:rsidR="004B1153">
        <w:t>more recent</w:t>
      </w:r>
      <w:r w:rsidR="00073CAE">
        <w:t xml:space="preserve"> Australia</w:t>
      </w:r>
      <w:r w:rsidR="00684678">
        <w:t>n</w:t>
      </w:r>
      <w:r w:rsidR="00073CAE">
        <w:t xml:space="preserve"> consensus statement </w:t>
      </w:r>
      <w:r w:rsidR="00DD26D3" w:rsidRPr="00DD26D3">
        <w:rPr>
          <w:rFonts w:cs="Calibri"/>
        </w:rPr>
        <w:t>(Sindone et al. 2026)</w:t>
      </w:r>
      <w:r w:rsidR="008976A3">
        <w:t xml:space="preserve"> defines GDMT in HFpEF as including both SGLT2 inhibitor and MRA (f</w:t>
      </w:r>
      <w:r w:rsidR="008976A3" w:rsidRPr="00FC5160">
        <w:t>inerenone</w:t>
      </w:r>
      <w:r w:rsidR="008976A3">
        <w:t xml:space="preserve">) on the basis of </w:t>
      </w:r>
      <w:r w:rsidR="002C303D">
        <w:t xml:space="preserve">the </w:t>
      </w:r>
      <w:r w:rsidR="002C303D" w:rsidRPr="002C303D">
        <w:t>FINEARTS-HF</w:t>
      </w:r>
      <w:r w:rsidR="00124815">
        <w:t xml:space="preserve"> trial</w:t>
      </w:r>
      <w:r w:rsidR="00E7512E">
        <w:t xml:space="preserve"> </w:t>
      </w:r>
      <w:r w:rsidR="002C303D" w:rsidRPr="002C303D">
        <w:rPr>
          <w:rFonts w:cs="Calibri"/>
        </w:rPr>
        <w:t>(Solomon et al. 2024)</w:t>
      </w:r>
      <w:r w:rsidR="00FE7122">
        <w:rPr>
          <w:rStyle w:val="FootnoteReference"/>
        </w:rPr>
        <w:footnoteReference w:id="5"/>
      </w:r>
      <w:r w:rsidR="008069A2">
        <w:t>.</w:t>
      </w:r>
      <w:r w:rsidR="002A48C9">
        <w:t xml:space="preserve"> </w:t>
      </w:r>
      <w:r w:rsidR="0097762B">
        <w:t xml:space="preserve">Patients </w:t>
      </w:r>
      <w:r w:rsidR="002D0F1B">
        <w:t>were included in the STRONG-HF trial</w:t>
      </w:r>
      <w:r w:rsidR="0097762B">
        <w:t xml:space="preserve"> regardless of</w:t>
      </w:r>
      <w:r w:rsidR="00B85F8D">
        <w:t xml:space="preserve"> </w:t>
      </w:r>
      <w:r w:rsidR="00A10504">
        <w:t xml:space="preserve">baseline </w:t>
      </w:r>
      <w:r w:rsidR="00033103">
        <w:t>LVEF</w:t>
      </w:r>
      <w:r w:rsidR="0097762B">
        <w:t xml:space="preserve">, and no interaction between </w:t>
      </w:r>
      <w:r w:rsidR="00435F2D">
        <w:t>baseline LVEF and the trial outcomes</w:t>
      </w:r>
      <w:r w:rsidR="00EB0216">
        <w:t xml:space="preserve"> was observed</w:t>
      </w:r>
      <w:r w:rsidR="00DE2DCE">
        <w:t>.</w:t>
      </w:r>
      <w:r w:rsidR="00B54C23">
        <w:t xml:space="preserve"> </w:t>
      </w:r>
      <w:r w:rsidR="00DE2DCE">
        <w:t xml:space="preserve">Patients with LVEF </w:t>
      </w:r>
      <w:r w:rsidR="00DE2DCE">
        <w:rPr>
          <w:rFonts w:cs="Calibri"/>
        </w:rPr>
        <w:t>≥</w:t>
      </w:r>
      <w:r w:rsidR="00DE2DCE">
        <w:t xml:space="preserve">50% comprised </w:t>
      </w:r>
      <w:r w:rsidR="00B54C23">
        <w:t>15%</w:t>
      </w:r>
      <w:r w:rsidR="00D9391D">
        <w:t xml:space="preserve"> (163/1,075)</w:t>
      </w:r>
      <w:r w:rsidR="00B54C23">
        <w:t xml:space="preserve"> of </w:t>
      </w:r>
      <w:r w:rsidR="00DE2DCE">
        <w:t xml:space="preserve">the </w:t>
      </w:r>
      <w:r w:rsidR="00F67AB8">
        <w:t xml:space="preserve">STRONG-HF </w:t>
      </w:r>
      <w:r w:rsidR="00DE2DCE">
        <w:t xml:space="preserve">trial </w:t>
      </w:r>
      <w:r w:rsidR="00633222">
        <w:t>population</w:t>
      </w:r>
      <w:r w:rsidR="00F556C3">
        <w:t xml:space="preserve"> and were up-titrated to all 3 classes of GDMT at the same rate as patients with HFrEF</w:t>
      </w:r>
      <w:r w:rsidR="00633222">
        <w:t xml:space="preserve"> </w:t>
      </w:r>
      <w:r w:rsidR="001370E8" w:rsidRPr="001370E8">
        <w:rPr>
          <w:rFonts w:cs="Calibri"/>
        </w:rPr>
        <w:t>(Pagnesi et al. 2023)</w:t>
      </w:r>
      <w:r w:rsidR="001370E8">
        <w:t xml:space="preserve">. </w:t>
      </w:r>
      <w:r w:rsidR="000D23C0">
        <w:t xml:space="preserve">This is despite the </w:t>
      </w:r>
      <w:r w:rsidR="00502415">
        <w:t xml:space="preserve">lack of evidence, and </w:t>
      </w:r>
      <w:r w:rsidR="00D83805">
        <w:t>guideline recommendations,</w:t>
      </w:r>
      <w:r w:rsidR="00502415">
        <w:t xml:space="preserve"> for the use of these medications in HFpEF.</w:t>
      </w:r>
    </w:p>
    <w:p w14:paraId="6C634458" w14:textId="4EA9B9CA" w:rsidR="00A72CD4" w:rsidRDefault="00BD0EBB" w:rsidP="00830B5F">
      <w:r>
        <w:t xml:space="preserve">Several </w:t>
      </w:r>
      <w:r w:rsidR="00E01293">
        <w:t xml:space="preserve">medicines are restricted to HF patients under the </w:t>
      </w:r>
      <w:r w:rsidR="00FC6D37">
        <w:t>P</w:t>
      </w:r>
      <w:r w:rsidR="00E01293">
        <w:t xml:space="preserve">harmaceutical </w:t>
      </w:r>
      <w:r w:rsidR="00FC6D37">
        <w:t>B</w:t>
      </w:r>
      <w:r w:rsidR="00E01293">
        <w:t xml:space="preserve">enefits </w:t>
      </w:r>
      <w:r w:rsidR="00FC6D37">
        <w:t>S</w:t>
      </w:r>
      <w:r w:rsidR="00E01293">
        <w:t>cheme (PBS)</w:t>
      </w:r>
      <w:r w:rsidR="00EA56DE">
        <w:t xml:space="preserve"> (</w:t>
      </w:r>
      <w:r w:rsidR="00EA56DE">
        <w:fldChar w:fldCharType="begin"/>
      </w:r>
      <w:r w:rsidR="00EA56DE">
        <w:instrText xml:space="preserve"> REF _Ref233028055 \h </w:instrText>
      </w:r>
      <w:r w:rsidR="00EA56DE">
        <w:fldChar w:fldCharType="separate"/>
      </w:r>
      <w:r w:rsidR="00E10360">
        <w:t xml:space="preserve">Table </w:t>
      </w:r>
      <w:r w:rsidR="00E10360">
        <w:rPr>
          <w:noProof/>
        </w:rPr>
        <w:t>5</w:t>
      </w:r>
      <w:r w:rsidR="00EA56DE">
        <w:fldChar w:fldCharType="end"/>
      </w:r>
      <w:r w:rsidR="00EA56DE">
        <w:t>)</w:t>
      </w:r>
      <w:r w:rsidR="00C62008">
        <w:t xml:space="preserve"> and a condition of subsidy for these medicines includes prior or concomitant use with optimal standard chronic HF treatment </w:t>
      </w:r>
      <w:r w:rsidR="006100CD">
        <w:t>unless contraindica</w:t>
      </w:r>
      <w:r w:rsidR="00993276">
        <w:t>ted</w:t>
      </w:r>
      <w:r w:rsidR="006100CD">
        <w:t xml:space="preserve"> or not tolerated</w:t>
      </w:r>
      <w:r w:rsidR="00830B5F">
        <w:t>, usually an ACE</w:t>
      </w:r>
      <w:r w:rsidR="0024423D">
        <w:t xml:space="preserve"> inhibitor</w:t>
      </w:r>
      <w:r w:rsidR="00FB4686">
        <w:t>/</w:t>
      </w:r>
      <w:r w:rsidR="00830B5F">
        <w:t>ARB and/or a beta-blocker</w:t>
      </w:r>
      <w:r w:rsidR="003A5FD7">
        <w:rPr>
          <w:rStyle w:val="FootnoteReference"/>
        </w:rPr>
        <w:footnoteReference w:id="6"/>
      </w:r>
      <w:r w:rsidR="00830B5F">
        <w:t>.</w:t>
      </w:r>
      <w:r w:rsidR="00FC6D37">
        <w:t xml:space="preserve"> </w:t>
      </w:r>
      <w:r w:rsidR="00BA4726">
        <w:t xml:space="preserve">PBS restrictions do not necessarily align with </w:t>
      </w:r>
      <w:r w:rsidR="00BC6544">
        <w:t>GDMT as defined in the application</w:t>
      </w:r>
      <w:r w:rsidR="00B0299F">
        <w:t>;</w:t>
      </w:r>
      <w:r w:rsidR="00BC6544">
        <w:t xml:space="preserve"> for example, </w:t>
      </w:r>
      <w:r w:rsidR="00A906C3">
        <w:t>PBS-</w:t>
      </w:r>
      <w:r w:rsidR="007C4F6D">
        <w:t>subsidised</w:t>
      </w:r>
      <w:r w:rsidR="00A906C3">
        <w:t xml:space="preserve"> </w:t>
      </w:r>
      <w:r w:rsidR="00674CC5">
        <w:t>ARNI</w:t>
      </w:r>
      <w:r w:rsidR="00BC6544">
        <w:t xml:space="preserve"> and </w:t>
      </w:r>
      <w:r w:rsidR="00C80EF4">
        <w:t xml:space="preserve">the </w:t>
      </w:r>
      <w:r w:rsidR="00BC6544">
        <w:t>MRA</w:t>
      </w:r>
      <w:r w:rsidR="00C80EF4">
        <w:t xml:space="preserve"> e</w:t>
      </w:r>
      <w:r w:rsidR="00C80EF4" w:rsidRPr="00D60237">
        <w:t>plerenone</w:t>
      </w:r>
      <w:r w:rsidR="00674CC5">
        <w:t xml:space="preserve"> </w:t>
      </w:r>
      <w:r w:rsidR="00BC6544">
        <w:t>are</w:t>
      </w:r>
      <w:r w:rsidR="00674CC5">
        <w:t xml:space="preserve"> </w:t>
      </w:r>
      <w:r w:rsidR="00D261DB">
        <w:t>restricted</w:t>
      </w:r>
      <w:r w:rsidR="00674CC5">
        <w:t xml:space="preserve"> to patients with LVEF</w:t>
      </w:r>
      <w:r w:rsidR="00D261DB">
        <w:t xml:space="preserve"> </w:t>
      </w:r>
      <w:r w:rsidR="00D261DB">
        <w:rPr>
          <w:rFonts w:cs="Calibri"/>
        </w:rPr>
        <w:t>≤</w:t>
      </w:r>
      <w:r w:rsidR="00D261DB">
        <w:t>40%</w:t>
      </w:r>
      <w:r w:rsidR="002163A8">
        <w:t xml:space="preserve"> and require </w:t>
      </w:r>
      <w:r w:rsidR="00F5359E">
        <w:t xml:space="preserve">prior </w:t>
      </w:r>
      <w:r w:rsidR="00DA5163">
        <w:lastRenderedPageBreak/>
        <w:t>use of an ACE</w:t>
      </w:r>
      <w:r w:rsidR="0024423D">
        <w:t xml:space="preserve"> inhibitor</w:t>
      </w:r>
      <w:r w:rsidR="00DA5163">
        <w:t>/ARB</w:t>
      </w:r>
      <w:r w:rsidR="00B41EB6">
        <w:rPr>
          <w:rStyle w:val="FootnoteReference"/>
        </w:rPr>
        <w:footnoteReference w:id="7"/>
      </w:r>
      <w:r w:rsidR="00AB3399">
        <w:t>.</w:t>
      </w:r>
      <w:r w:rsidR="00D261DB">
        <w:t xml:space="preserve"> </w:t>
      </w:r>
      <w:r w:rsidR="00316421">
        <w:t>Other HF medications listed on the PBS have an unrestricted benefit including ACE</w:t>
      </w:r>
      <w:r w:rsidR="0024423D">
        <w:t xml:space="preserve"> inhibitors</w:t>
      </w:r>
      <w:r w:rsidR="00AC6BB3">
        <w:t xml:space="preserve">, </w:t>
      </w:r>
      <w:r w:rsidR="00316421">
        <w:t>ARB</w:t>
      </w:r>
      <w:r w:rsidR="00AB032B">
        <w:t>s</w:t>
      </w:r>
      <w:r w:rsidR="00316421">
        <w:t xml:space="preserve">, non-selective beta blockers, diuretics and the MRA spironolactone. </w:t>
      </w:r>
    </w:p>
    <w:p w14:paraId="7A2061BB" w14:textId="7BE0E168" w:rsidR="00E8151F" w:rsidRDefault="00E8151F" w:rsidP="00E8151F">
      <w:pPr>
        <w:pStyle w:val="Caption"/>
      </w:pPr>
      <w:bookmarkStart w:id="10" w:name="_Ref233028055"/>
      <w:r>
        <w:t xml:space="preserve">Table </w:t>
      </w:r>
      <w:r>
        <w:fldChar w:fldCharType="begin"/>
      </w:r>
      <w:r>
        <w:instrText xml:space="preserve"> SEQ Table \* ARABIC </w:instrText>
      </w:r>
      <w:r>
        <w:fldChar w:fldCharType="separate"/>
      </w:r>
      <w:r w:rsidR="00E10360">
        <w:rPr>
          <w:noProof/>
        </w:rPr>
        <w:t>5</w:t>
      </w:r>
      <w:r>
        <w:fldChar w:fldCharType="end"/>
      </w:r>
      <w:bookmarkEnd w:id="10"/>
      <w:r>
        <w:tab/>
      </w:r>
      <w:r w:rsidR="006E6DF2">
        <w:t>PBS-listed medicines for HF with restricted benefit/authority required</w:t>
      </w:r>
    </w:p>
    <w:tbl>
      <w:tblPr>
        <w:tblStyle w:val="TableGrid"/>
        <w:tblW w:w="0" w:type="auto"/>
        <w:tblInd w:w="0" w:type="dxa"/>
        <w:tblLook w:val="04A0" w:firstRow="1" w:lastRow="0" w:firstColumn="1" w:lastColumn="0" w:noHBand="0" w:noVBand="1"/>
        <w:tblCaption w:val="PBS-listed medicines for HF with restricted benefit/authority required"/>
        <w:tblDescription w:val="Lists PBS HF medications that have restrictions on the PBS"/>
      </w:tblPr>
      <w:tblGrid>
        <w:gridCol w:w="1064"/>
        <w:gridCol w:w="1741"/>
        <w:gridCol w:w="1399"/>
        <w:gridCol w:w="1041"/>
        <w:gridCol w:w="4326"/>
      </w:tblGrid>
      <w:tr w:rsidR="00CC1360" w14:paraId="04327E06" w14:textId="7853C59B" w:rsidTr="007C5C75">
        <w:trPr>
          <w:cantSplit/>
          <w:tblHeader/>
        </w:trPr>
        <w:tc>
          <w:tcPr>
            <w:tcW w:w="0" w:type="auto"/>
            <w:tcBorders>
              <w:bottom w:val="single" w:sz="4" w:space="0" w:color="auto"/>
            </w:tcBorders>
          </w:tcPr>
          <w:p w14:paraId="184D0DD3" w14:textId="24C69CC3" w:rsidR="00B56CBA" w:rsidRDefault="00B56CBA" w:rsidP="006100CD">
            <w:pPr>
              <w:pStyle w:val="TableHeading"/>
            </w:pPr>
            <w:r>
              <w:t>Class</w:t>
            </w:r>
          </w:p>
        </w:tc>
        <w:tc>
          <w:tcPr>
            <w:tcW w:w="0" w:type="auto"/>
          </w:tcPr>
          <w:p w14:paraId="5F18280D" w14:textId="5337BFA4" w:rsidR="00B56CBA" w:rsidRDefault="00B56CBA" w:rsidP="006100CD">
            <w:pPr>
              <w:pStyle w:val="TableHeading"/>
            </w:pPr>
            <w:r>
              <w:t>Medicine</w:t>
            </w:r>
          </w:p>
        </w:tc>
        <w:tc>
          <w:tcPr>
            <w:tcW w:w="0" w:type="auto"/>
          </w:tcPr>
          <w:p w14:paraId="3CC550BE" w14:textId="53E874DC" w:rsidR="00B56CBA" w:rsidRDefault="00B56CBA" w:rsidP="006100CD">
            <w:pPr>
              <w:pStyle w:val="TableHeading"/>
            </w:pPr>
            <w:r>
              <w:t>PBS item code</w:t>
            </w:r>
          </w:p>
        </w:tc>
        <w:tc>
          <w:tcPr>
            <w:tcW w:w="0" w:type="auto"/>
          </w:tcPr>
          <w:p w14:paraId="78B75094" w14:textId="01085CAA" w:rsidR="00B56CBA" w:rsidRDefault="00B56CBA" w:rsidP="006100CD">
            <w:pPr>
              <w:pStyle w:val="TableHeading"/>
            </w:pPr>
            <w:r>
              <w:t>PBS List date</w:t>
            </w:r>
          </w:p>
        </w:tc>
        <w:tc>
          <w:tcPr>
            <w:tcW w:w="0" w:type="auto"/>
          </w:tcPr>
          <w:p w14:paraId="40D0C07F" w14:textId="5D8F8C64" w:rsidR="00B56CBA" w:rsidRDefault="00DD28DD" w:rsidP="006100CD">
            <w:pPr>
              <w:pStyle w:val="TableHeading"/>
            </w:pPr>
            <w:r>
              <w:t>PBS r</w:t>
            </w:r>
            <w:r w:rsidR="00B56CBA">
              <w:t>estriction</w:t>
            </w:r>
          </w:p>
        </w:tc>
      </w:tr>
      <w:tr w:rsidR="00CC1360" w14:paraId="7DA6725F" w14:textId="35667F5A" w:rsidTr="007C5C75">
        <w:trPr>
          <w:cantSplit/>
        </w:trPr>
        <w:tc>
          <w:tcPr>
            <w:tcW w:w="0" w:type="auto"/>
            <w:tcBorders>
              <w:bottom w:val="nil"/>
            </w:tcBorders>
          </w:tcPr>
          <w:p w14:paraId="20196294" w14:textId="249CC8EF" w:rsidR="00B56CBA" w:rsidRDefault="00B56CBA" w:rsidP="006100CD">
            <w:pPr>
              <w:pStyle w:val="Tabletext"/>
            </w:pPr>
            <w:r>
              <w:t>Beta blockers</w:t>
            </w:r>
          </w:p>
        </w:tc>
        <w:tc>
          <w:tcPr>
            <w:tcW w:w="0" w:type="auto"/>
          </w:tcPr>
          <w:p w14:paraId="08E79CAA" w14:textId="1D80FF8A" w:rsidR="00B56CBA" w:rsidRDefault="00B56CBA" w:rsidP="00EE33BD">
            <w:pPr>
              <w:pStyle w:val="Tabletext"/>
            </w:pPr>
            <w:r>
              <w:t>Bisoprolol (as fumarate)</w:t>
            </w:r>
          </w:p>
        </w:tc>
        <w:tc>
          <w:tcPr>
            <w:tcW w:w="0" w:type="auto"/>
          </w:tcPr>
          <w:p w14:paraId="3871D184" w14:textId="3465DBF4" w:rsidR="00B56CBA" w:rsidRDefault="00B56CBA" w:rsidP="006100CD">
            <w:pPr>
              <w:pStyle w:val="Tabletext"/>
            </w:pPr>
            <w:r w:rsidRPr="00EE33BD">
              <w:t>8604W; 8605X; 86</w:t>
            </w:r>
            <w:r w:rsidR="00756F5B">
              <w:t>0</w:t>
            </w:r>
            <w:r w:rsidRPr="00EE33BD">
              <w:t>6Y</w:t>
            </w:r>
          </w:p>
        </w:tc>
        <w:tc>
          <w:tcPr>
            <w:tcW w:w="0" w:type="auto"/>
          </w:tcPr>
          <w:p w14:paraId="017F91CB" w14:textId="3671F233" w:rsidR="00B56CBA" w:rsidRDefault="00B56CBA" w:rsidP="006100CD">
            <w:pPr>
              <w:pStyle w:val="Tabletext"/>
            </w:pPr>
            <w:r w:rsidRPr="001D6D5F">
              <w:t>Aug</w:t>
            </w:r>
            <w:r>
              <w:t>ust</w:t>
            </w:r>
            <w:r w:rsidRPr="001D6D5F">
              <w:t xml:space="preserve"> 2002</w:t>
            </w:r>
          </w:p>
        </w:tc>
        <w:tc>
          <w:tcPr>
            <w:tcW w:w="0" w:type="auto"/>
          </w:tcPr>
          <w:p w14:paraId="7F53E25B" w14:textId="68A7DDE3" w:rsidR="002E1256" w:rsidRDefault="002E1256" w:rsidP="006100CD">
            <w:pPr>
              <w:pStyle w:val="Tabletext"/>
            </w:pPr>
            <w:r>
              <w:t>Moderate to severe HF</w:t>
            </w:r>
          </w:p>
          <w:p w14:paraId="38307E7B" w14:textId="1D9A395D" w:rsidR="002E1256" w:rsidRPr="001D6D5F" w:rsidRDefault="002E1256" w:rsidP="006100CD">
            <w:pPr>
              <w:pStyle w:val="Tabletext"/>
            </w:pPr>
            <w:r>
              <w:t>Must be stabilised on conventional therapy, which must include an ACE inhibitor</w:t>
            </w:r>
            <w:r w:rsidR="000A248E">
              <w:t xml:space="preserve"> or </w:t>
            </w:r>
            <w:r w:rsidR="00FF3A95">
              <w:t>ARB</w:t>
            </w:r>
            <w:r w:rsidR="00F80D9A">
              <w:t>, if tolerated</w:t>
            </w:r>
          </w:p>
        </w:tc>
      </w:tr>
      <w:tr w:rsidR="00CC1360" w14:paraId="552EA73E" w14:textId="3FAA50A9" w:rsidTr="007C5C75">
        <w:trPr>
          <w:cantSplit/>
        </w:trPr>
        <w:tc>
          <w:tcPr>
            <w:tcW w:w="0" w:type="auto"/>
            <w:tcBorders>
              <w:top w:val="nil"/>
              <w:bottom w:val="nil"/>
            </w:tcBorders>
          </w:tcPr>
          <w:p w14:paraId="757E9D58" w14:textId="77777777" w:rsidR="00B56CBA" w:rsidRDefault="00B56CBA" w:rsidP="006100CD">
            <w:pPr>
              <w:pStyle w:val="Tabletext"/>
            </w:pPr>
          </w:p>
        </w:tc>
        <w:tc>
          <w:tcPr>
            <w:tcW w:w="0" w:type="auto"/>
          </w:tcPr>
          <w:p w14:paraId="15673C79" w14:textId="607B3473" w:rsidR="00B56CBA" w:rsidRDefault="00B56CBA" w:rsidP="006100CD">
            <w:pPr>
              <w:pStyle w:val="Tabletext"/>
            </w:pPr>
            <w:r w:rsidRPr="001D6D5F">
              <w:t>Carvedilol</w:t>
            </w:r>
          </w:p>
        </w:tc>
        <w:tc>
          <w:tcPr>
            <w:tcW w:w="0" w:type="auto"/>
          </w:tcPr>
          <w:p w14:paraId="3487990B" w14:textId="4BB6AFCF" w:rsidR="00B56CBA" w:rsidRDefault="00B56CBA" w:rsidP="006100CD">
            <w:pPr>
              <w:pStyle w:val="Tabletext"/>
            </w:pPr>
            <w:r w:rsidRPr="00074EA1">
              <w:t>8255L; 8256M; 8257N; 8258P</w:t>
            </w:r>
          </w:p>
        </w:tc>
        <w:tc>
          <w:tcPr>
            <w:tcW w:w="0" w:type="auto"/>
          </w:tcPr>
          <w:p w14:paraId="5106FF7B" w14:textId="1601CDB5" w:rsidR="00B56CBA" w:rsidRDefault="00B56CBA" w:rsidP="006100CD">
            <w:pPr>
              <w:pStyle w:val="Tabletext"/>
            </w:pPr>
            <w:r w:rsidRPr="00074EA1">
              <w:t>May 1998</w:t>
            </w:r>
          </w:p>
        </w:tc>
        <w:tc>
          <w:tcPr>
            <w:tcW w:w="0" w:type="auto"/>
          </w:tcPr>
          <w:p w14:paraId="5B24AB6D" w14:textId="77777777" w:rsidR="0014561A" w:rsidRDefault="0014561A" w:rsidP="0014561A">
            <w:pPr>
              <w:pStyle w:val="Tabletext"/>
            </w:pPr>
            <w:r>
              <w:t>Moderate to severe HF</w:t>
            </w:r>
          </w:p>
          <w:p w14:paraId="03E52CE7" w14:textId="1AEFF699" w:rsidR="00B56CBA" w:rsidRPr="00074EA1" w:rsidRDefault="00774D51" w:rsidP="006100CD">
            <w:pPr>
              <w:pStyle w:val="Tabletext"/>
            </w:pPr>
            <w:r>
              <w:t xml:space="preserve">Must be stabilised on conventional therapy, which must include an ACE inhibitor or </w:t>
            </w:r>
            <w:r w:rsidR="00FF3A95">
              <w:t>ARB</w:t>
            </w:r>
            <w:r>
              <w:t>, if tolerated.</w:t>
            </w:r>
          </w:p>
        </w:tc>
      </w:tr>
      <w:tr w:rsidR="00CC1360" w14:paraId="5F546670" w14:textId="7AF60191" w:rsidTr="007C5C75">
        <w:trPr>
          <w:cantSplit/>
        </w:trPr>
        <w:tc>
          <w:tcPr>
            <w:tcW w:w="0" w:type="auto"/>
            <w:tcBorders>
              <w:top w:val="nil"/>
              <w:bottom w:val="nil"/>
            </w:tcBorders>
          </w:tcPr>
          <w:p w14:paraId="79D2EAEF" w14:textId="77777777" w:rsidR="00B56CBA" w:rsidRDefault="00B56CBA" w:rsidP="006100CD">
            <w:pPr>
              <w:pStyle w:val="Tabletext"/>
            </w:pPr>
          </w:p>
        </w:tc>
        <w:tc>
          <w:tcPr>
            <w:tcW w:w="0" w:type="auto"/>
          </w:tcPr>
          <w:p w14:paraId="2B8BC4DE" w14:textId="4C2A2E13" w:rsidR="00B56CBA" w:rsidRDefault="00B56CBA" w:rsidP="005370BD">
            <w:pPr>
              <w:pStyle w:val="Tabletext"/>
            </w:pPr>
            <w:r>
              <w:t>Metoprolol (as succinate)</w:t>
            </w:r>
          </w:p>
        </w:tc>
        <w:tc>
          <w:tcPr>
            <w:tcW w:w="0" w:type="auto"/>
          </w:tcPr>
          <w:p w14:paraId="2C0C3DCF" w14:textId="239E56BF" w:rsidR="00B56CBA" w:rsidRDefault="00B56CBA" w:rsidP="006100CD">
            <w:pPr>
              <w:pStyle w:val="Tabletext"/>
            </w:pPr>
            <w:r w:rsidRPr="00C42A21">
              <w:t>8732N; 8733P; 8734Q; 8735R</w:t>
            </w:r>
          </w:p>
        </w:tc>
        <w:tc>
          <w:tcPr>
            <w:tcW w:w="0" w:type="auto"/>
          </w:tcPr>
          <w:p w14:paraId="6CABFAC6" w14:textId="5AE8606B" w:rsidR="00B56CBA" w:rsidRDefault="00B56CBA" w:rsidP="006100CD">
            <w:pPr>
              <w:pStyle w:val="Tabletext"/>
            </w:pPr>
            <w:r w:rsidRPr="00C42A21">
              <w:t>May 2004</w:t>
            </w:r>
          </w:p>
        </w:tc>
        <w:tc>
          <w:tcPr>
            <w:tcW w:w="0" w:type="auto"/>
          </w:tcPr>
          <w:p w14:paraId="11069EB2" w14:textId="77777777" w:rsidR="00CD5B1B" w:rsidRDefault="00CD5B1B" w:rsidP="00CD5B1B">
            <w:pPr>
              <w:pStyle w:val="Tabletext"/>
            </w:pPr>
            <w:r>
              <w:t>Moderate to severe HF</w:t>
            </w:r>
          </w:p>
          <w:p w14:paraId="4AA70A3E" w14:textId="01CDBA95" w:rsidR="00B56CBA" w:rsidRPr="00C42A21" w:rsidRDefault="00CD5B1B" w:rsidP="00CD5B1B">
            <w:pPr>
              <w:pStyle w:val="Tabletext"/>
            </w:pPr>
            <w:r>
              <w:t xml:space="preserve">Must be stabilised on conventional therapy, which must include an ACE inhibitor or </w:t>
            </w:r>
            <w:r w:rsidR="00FF3A95">
              <w:t>ARB</w:t>
            </w:r>
            <w:r>
              <w:t>, if tolerated.</w:t>
            </w:r>
          </w:p>
        </w:tc>
      </w:tr>
      <w:tr w:rsidR="00CC1360" w14:paraId="56A61821" w14:textId="2690DFFC" w:rsidTr="007C5C75">
        <w:trPr>
          <w:cantSplit/>
        </w:trPr>
        <w:tc>
          <w:tcPr>
            <w:tcW w:w="0" w:type="auto"/>
            <w:tcBorders>
              <w:top w:val="nil"/>
            </w:tcBorders>
          </w:tcPr>
          <w:p w14:paraId="43EACC06" w14:textId="77777777" w:rsidR="00B56CBA" w:rsidRDefault="00B56CBA" w:rsidP="006100CD">
            <w:pPr>
              <w:pStyle w:val="Tabletext"/>
            </w:pPr>
          </w:p>
        </w:tc>
        <w:tc>
          <w:tcPr>
            <w:tcW w:w="0" w:type="auto"/>
          </w:tcPr>
          <w:p w14:paraId="21A1ED41" w14:textId="7EC2884C" w:rsidR="00B56CBA" w:rsidRDefault="00B56CBA" w:rsidP="006100CD">
            <w:pPr>
              <w:pStyle w:val="Tabletext"/>
            </w:pPr>
            <w:r w:rsidRPr="00C42A21">
              <w:t>Nebivolol</w:t>
            </w:r>
          </w:p>
        </w:tc>
        <w:tc>
          <w:tcPr>
            <w:tcW w:w="0" w:type="auto"/>
          </w:tcPr>
          <w:p w14:paraId="5C179FBE" w14:textId="5BAE65BD" w:rsidR="00B56CBA" w:rsidRDefault="00B56CBA" w:rsidP="000C1940">
            <w:pPr>
              <w:pStyle w:val="Tabletext"/>
            </w:pPr>
            <w:r w:rsidRPr="000C1940">
              <w:t>9316H; 9311C; 9312D</w:t>
            </w:r>
          </w:p>
        </w:tc>
        <w:tc>
          <w:tcPr>
            <w:tcW w:w="0" w:type="auto"/>
          </w:tcPr>
          <w:p w14:paraId="115820A8" w14:textId="68EEB4FE" w:rsidR="00B56CBA" w:rsidRDefault="00B56CBA" w:rsidP="006100CD">
            <w:pPr>
              <w:pStyle w:val="Tabletext"/>
            </w:pPr>
            <w:r w:rsidRPr="000C1940">
              <w:t>Mar</w:t>
            </w:r>
            <w:r>
              <w:t>ch</w:t>
            </w:r>
            <w:r w:rsidRPr="000C1940">
              <w:t xml:space="preserve"> 2010</w:t>
            </w:r>
          </w:p>
        </w:tc>
        <w:tc>
          <w:tcPr>
            <w:tcW w:w="0" w:type="auto"/>
          </w:tcPr>
          <w:p w14:paraId="1B97B448" w14:textId="77777777" w:rsidR="00A077B4" w:rsidRDefault="00A077B4" w:rsidP="00A077B4">
            <w:pPr>
              <w:pStyle w:val="Tabletext"/>
            </w:pPr>
            <w:r>
              <w:t>Moderate to severe HF</w:t>
            </w:r>
          </w:p>
          <w:p w14:paraId="1EED8770" w14:textId="39794D0B" w:rsidR="00B56CBA" w:rsidRPr="000C1940" w:rsidRDefault="00A077B4" w:rsidP="00A077B4">
            <w:pPr>
              <w:pStyle w:val="Tabletext"/>
            </w:pPr>
            <w:r>
              <w:t xml:space="preserve">Must be stabilised on conventional therapy, which must include an ACE inhibitor or </w:t>
            </w:r>
            <w:r w:rsidR="00FF3A95">
              <w:t>ARB</w:t>
            </w:r>
            <w:r>
              <w:t>, if tolerated.</w:t>
            </w:r>
          </w:p>
        </w:tc>
      </w:tr>
      <w:tr w:rsidR="00CC1360" w:rsidRPr="008B5CEB" w14:paraId="0371DA02" w14:textId="21736204" w:rsidTr="007C5C75">
        <w:trPr>
          <w:cantSplit/>
        </w:trPr>
        <w:tc>
          <w:tcPr>
            <w:tcW w:w="0" w:type="auto"/>
          </w:tcPr>
          <w:p w14:paraId="644C57A3" w14:textId="77777777" w:rsidR="00B56CBA" w:rsidRPr="008B5CEB" w:rsidRDefault="00B56CBA" w:rsidP="008B5CEB">
            <w:pPr>
              <w:pStyle w:val="Tabletext"/>
            </w:pPr>
            <w:r w:rsidRPr="008B5CEB">
              <w:t>ARNI</w:t>
            </w:r>
          </w:p>
        </w:tc>
        <w:tc>
          <w:tcPr>
            <w:tcW w:w="0" w:type="auto"/>
          </w:tcPr>
          <w:p w14:paraId="5FCAFB3A" w14:textId="77777777" w:rsidR="00B56CBA" w:rsidRPr="008B5CEB" w:rsidRDefault="00B56CBA" w:rsidP="008B5CEB">
            <w:pPr>
              <w:pStyle w:val="Tabletext"/>
            </w:pPr>
            <w:r w:rsidRPr="008B5CEB">
              <w:t>Sacubitril+Valsartan</w:t>
            </w:r>
          </w:p>
        </w:tc>
        <w:tc>
          <w:tcPr>
            <w:tcW w:w="0" w:type="auto"/>
          </w:tcPr>
          <w:p w14:paraId="0914D94F" w14:textId="77777777" w:rsidR="00B56CBA" w:rsidRPr="008B5CEB" w:rsidRDefault="00B56CBA" w:rsidP="008B5CEB">
            <w:pPr>
              <w:pStyle w:val="Tabletext"/>
            </w:pPr>
            <w:r w:rsidRPr="008B5CEB">
              <w:t>11123K; 11131W; 11122J;</w:t>
            </w:r>
          </w:p>
        </w:tc>
        <w:tc>
          <w:tcPr>
            <w:tcW w:w="0" w:type="auto"/>
          </w:tcPr>
          <w:p w14:paraId="7FE15B20" w14:textId="28A2590E" w:rsidR="00B56CBA" w:rsidRPr="008B5CEB" w:rsidRDefault="00B56CBA" w:rsidP="008B5CEB">
            <w:pPr>
              <w:pStyle w:val="Tabletext"/>
            </w:pPr>
            <w:r w:rsidRPr="00395E6D">
              <w:t>Jun</w:t>
            </w:r>
            <w:r>
              <w:t>e</w:t>
            </w:r>
            <w:r w:rsidRPr="00395E6D">
              <w:t xml:space="preserve"> 2017</w:t>
            </w:r>
          </w:p>
        </w:tc>
        <w:tc>
          <w:tcPr>
            <w:tcW w:w="0" w:type="auto"/>
          </w:tcPr>
          <w:p w14:paraId="78127E5E" w14:textId="490E5663" w:rsidR="00B56CBA" w:rsidRDefault="004D03E7" w:rsidP="008B5CEB">
            <w:pPr>
              <w:pStyle w:val="Tabletext"/>
            </w:pPr>
            <w:r>
              <w:t xml:space="preserve">Symptomatic chronic HF (NYHA classes </w:t>
            </w:r>
            <w:r w:rsidR="00505DEF">
              <w:t>II to IV</w:t>
            </w:r>
            <w:r w:rsidR="00E5025A">
              <w:t>)</w:t>
            </w:r>
          </w:p>
          <w:p w14:paraId="0982ADFB" w14:textId="77777777" w:rsidR="00505DEF" w:rsidRDefault="00505DEF" w:rsidP="008B5CEB">
            <w:pPr>
              <w:pStyle w:val="Tabletext"/>
            </w:pPr>
            <w:r>
              <w:t>LVEF ≤40%</w:t>
            </w:r>
          </w:p>
          <w:p w14:paraId="5CCEEA58" w14:textId="014C3E2E" w:rsidR="00505DEF" w:rsidRDefault="00CC1360" w:rsidP="008B5CEB">
            <w:pPr>
              <w:pStyle w:val="Tabletext"/>
            </w:pPr>
            <w:r>
              <w:t xml:space="preserve">Must receive concomitant optimal standard chronic HF treatment, which must include a beta-blocker, unless at least one of the following is present in relation to the beta-blocker: </w:t>
            </w:r>
            <w:r>
              <w:rPr>
                <w:rStyle w:val="inline-label"/>
              </w:rPr>
              <w:t>(i)</w:t>
            </w:r>
            <w:r>
              <w:t xml:space="preserve"> a contraindication listed in the </w:t>
            </w:r>
            <w:r w:rsidR="00AE1B45">
              <w:t>PI</w:t>
            </w:r>
            <w:r>
              <w:t xml:space="preserve">, </w:t>
            </w:r>
            <w:r>
              <w:rPr>
                <w:rStyle w:val="inline-label"/>
              </w:rPr>
              <w:t>(ii)</w:t>
            </w:r>
            <w:r>
              <w:t xml:space="preserve"> an existing/expected intolerance,</w:t>
            </w:r>
            <w:r w:rsidR="00B363E1">
              <w:t xml:space="preserve"> AND</w:t>
            </w:r>
          </w:p>
          <w:p w14:paraId="0F7EDD31" w14:textId="24EE0D1A" w:rsidR="00B363E1" w:rsidRDefault="00B363E1" w:rsidP="008B5CEB">
            <w:pPr>
              <w:pStyle w:val="Tabletext"/>
            </w:pPr>
            <w:r>
              <w:t>Must have been stabilised on an ACE inhibitor</w:t>
            </w:r>
            <w:r w:rsidR="00E51497">
              <w:t xml:space="preserve"> or </w:t>
            </w:r>
            <w:r w:rsidR="00FF3A95">
              <w:t>ARB</w:t>
            </w:r>
            <w:r>
              <w:t xml:space="preserve"> at the time of initiation with this drug, unless such treatment is contraindicated according to the TGA-approved </w:t>
            </w:r>
            <w:r w:rsidR="00AE1B45">
              <w:t>PI</w:t>
            </w:r>
            <w:r>
              <w:t xml:space="preserve"> or cannot be tolerated</w:t>
            </w:r>
            <w:r w:rsidR="00E51497">
              <w:t>, AND</w:t>
            </w:r>
          </w:p>
          <w:p w14:paraId="6283EEA5" w14:textId="326E234E" w:rsidR="00E51497" w:rsidRPr="00395E6D" w:rsidRDefault="00D6597C" w:rsidP="008B5CEB">
            <w:pPr>
              <w:pStyle w:val="Tabletext"/>
            </w:pPr>
            <w:r>
              <w:t xml:space="preserve">The treatment must not be co-administered with an ACE inhibitor or an </w:t>
            </w:r>
            <w:r w:rsidR="00CF1728">
              <w:t>ARB</w:t>
            </w:r>
            <w:r>
              <w:t>.</w:t>
            </w:r>
          </w:p>
        </w:tc>
      </w:tr>
      <w:tr w:rsidR="00CC1360" w14:paraId="1254BAB7" w14:textId="2108F323" w:rsidTr="007C5C75">
        <w:trPr>
          <w:cantSplit/>
        </w:trPr>
        <w:tc>
          <w:tcPr>
            <w:tcW w:w="0" w:type="auto"/>
            <w:tcBorders>
              <w:bottom w:val="single" w:sz="4" w:space="0" w:color="auto"/>
            </w:tcBorders>
          </w:tcPr>
          <w:p w14:paraId="3CF88B05" w14:textId="16DBD601" w:rsidR="00B56CBA" w:rsidRDefault="00B56CBA" w:rsidP="006100CD">
            <w:pPr>
              <w:pStyle w:val="Tabletext"/>
            </w:pPr>
            <w:r w:rsidRPr="000C1940">
              <w:t>MRA</w:t>
            </w:r>
          </w:p>
        </w:tc>
        <w:tc>
          <w:tcPr>
            <w:tcW w:w="0" w:type="auto"/>
          </w:tcPr>
          <w:p w14:paraId="25FA2146" w14:textId="4D1A363D" w:rsidR="00B56CBA" w:rsidRDefault="00B56CBA" w:rsidP="006100CD">
            <w:pPr>
              <w:pStyle w:val="Tabletext"/>
            </w:pPr>
            <w:r w:rsidRPr="00D60237">
              <w:t>Eplerenone</w:t>
            </w:r>
          </w:p>
        </w:tc>
        <w:tc>
          <w:tcPr>
            <w:tcW w:w="0" w:type="auto"/>
          </w:tcPr>
          <w:p w14:paraId="07DB47D6" w14:textId="741088E6" w:rsidR="00B56CBA" w:rsidRDefault="00B56CBA" w:rsidP="006100CD">
            <w:pPr>
              <w:pStyle w:val="Tabletext"/>
            </w:pPr>
            <w:r w:rsidRPr="00D60237">
              <w:t>8879H; 8880J</w:t>
            </w:r>
          </w:p>
        </w:tc>
        <w:tc>
          <w:tcPr>
            <w:tcW w:w="0" w:type="auto"/>
          </w:tcPr>
          <w:p w14:paraId="025F8236" w14:textId="3B7A5E9B" w:rsidR="00B56CBA" w:rsidRDefault="00B56CBA" w:rsidP="006100CD">
            <w:pPr>
              <w:pStyle w:val="Tabletext"/>
            </w:pPr>
            <w:r w:rsidRPr="00D60237">
              <w:t>Feb</w:t>
            </w:r>
            <w:r>
              <w:t>ruary</w:t>
            </w:r>
            <w:r w:rsidRPr="00D60237">
              <w:t xml:space="preserve"> 2006</w:t>
            </w:r>
          </w:p>
        </w:tc>
        <w:tc>
          <w:tcPr>
            <w:tcW w:w="0" w:type="auto"/>
          </w:tcPr>
          <w:p w14:paraId="1C60154F" w14:textId="3EAAAE36" w:rsidR="00F37AAE" w:rsidRDefault="00F37AAE" w:rsidP="00F37AAE">
            <w:pPr>
              <w:pStyle w:val="Tabletext"/>
            </w:pPr>
            <w:r>
              <w:t>Symptomatic chronic HF (NYHA classes II to IV</w:t>
            </w:r>
            <w:r w:rsidR="00E5025A">
              <w:t>)</w:t>
            </w:r>
          </w:p>
          <w:p w14:paraId="3C945419" w14:textId="77777777" w:rsidR="00B56CBA" w:rsidRDefault="00F37AAE" w:rsidP="00F37AAE">
            <w:pPr>
              <w:pStyle w:val="Tabletext"/>
            </w:pPr>
            <w:r>
              <w:t>LVEF ≤40%</w:t>
            </w:r>
          </w:p>
          <w:p w14:paraId="69BDF38C" w14:textId="23FFE25A" w:rsidR="000A75B7" w:rsidRDefault="000A75B7" w:rsidP="000A75B7">
            <w:pPr>
              <w:pStyle w:val="Tabletext"/>
            </w:pPr>
            <w:r>
              <w:t xml:space="preserve">Must receive concomitant optimal standard chronic HF treatment, which must include a beta-blocker, unless at least one of the following is present in relation to the beta-blocker: </w:t>
            </w:r>
            <w:r>
              <w:rPr>
                <w:rStyle w:val="inline-label"/>
              </w:rPr>
              <w:t>(i)</w:t>
            </w:r>
            <w:r>
              <w:t xml:space="preserve"> a contraindication listed in the </w:t>
            </w:r>
            <w:r w:rsidR="00EE1138">
              <w:t>PI</w:t>
            </w:r>
            <w:r>
              <w:t xml:space="preserve">, </w:t>
            </w:r>
            <w:r>
              <w:rPr>
                <w:rStyle w:val="inline-label"/>
              </w:rPr>
              <w:t>(ii)</w:t>
            </w:r>
            <w:r>
              <w:t xml:space="preserve"> an existing/expected intolerance, AND</w:t>
            </w:r>
          </w:p>
          <w:p w14:paraId="6F644002" w14:textId="39E34365" w:rsidR="000A75B7" w:rsidRPr="00D60237" w:rsidRDefault="000A75B7" w:rsidP="000A75B7">
            <w:pPr>
              <w:pStyle w:val="Tabletext"/>
            </w:pPr>
            <w:r>
              <w:t xml:space="preserve">Must have been stabilised on an ACE inhibitor or </w:t>
            </w:r>
            <w:r w:rsidR="00FF3A95">
              <w:t>ARB</w:t>
            </w:r>
            <w:r>
              <w:t xml:space="preserve"> at the time of initiation with this </w:t>
            </w:r>
            <w:r w:rsidR="00DB5657">
              <w:t>drug unless</w:t>
            </w:r>
            <w:r>
              <w:t xml:space="preserve"> such treatment is contraindicated according to the TGA-approved </w:t>
            </w:r>
            <w:r w:rsidR="00EE1138">
              <w:t>PI</w:t>
            </w:r>
            <w:r>
              <w:t xml:space="preserve"> or cannot be tolerated.</w:t>
            </w:r>
          </w:p>
        </w:tc>
      </w:tr>
      <w:tr w:rsidR="00CC1360" w14:paraId="51FAFD0B" w14:textId="6B5703F4" w:rsidTr="007C5C75">
        <w:trPr>
          <w:cantSplit/>
        </w:trPr>
        <w:tc>
          <w:tcPr>
            <w:tcW w:w="0" w:type="auto"/>
            <w:tcBorders>
              <w:bottom w:val="nil"/>
            </w:tcBorders>
          </w:tcPr>
          <w:p w14:paraId="578BB5C7" w14:textId="2403035D" w:rsidR="00B56CBA" w:rsidRDefault="00B56CBA" w:rsidP="006100CD">
            <w:pPr>
              <w:pStyle w:val="Tabletext"/>
            </w:pPr>
            <w:r w:rsidRPr="00257FF3">
              <w:lastRenderedPageBreak/>
              <w:t>SGLT2</w:t>
            </w:r>
            <w:r>
              <w:t xml:space="preserve"> </w:t>
            </w:r>
            <w:r w:rsidRPr="00257FF3">
              <w:t>i</w:t>
            </w:r>
            <w:r>
              <w:t>nhibitors</w:t>
            </w:r>
          </w:p>
        </w:tc>
        <w:tc>
          <w:tcPr>
            <w:tcW w:w="0" w:type="auto"/>
          </w:tcPr>
          <w:p w14:paraId="25C96F15" w14:textId="1E1DAB5C" w:rsidR="00B56CBA" w:rsidRDefault="00B56CBA" w:rsidP="00257FF3">
            <w:pPr>
              <w:pStyle w:val="Tabletext"/>
            </w:pPr>
            <w:r w:rsidRPr="00257FF3">
              <w:t>Dapagliflozin</w:t>
            </w:r>
          </w:p>
        </w:tc>
        <w:tc>
          <w:tcPr>
            <w:tcW w:w="0" w:type="auto"/>
          </w:tcPr>
          <w:p w14:paraId="3BB73FA9" w14:textId="6E5BCCE8" w:rsidR="00B56CBA" w:rsidRDefault="00B56CBA" w:rsidP="006100CD">
            <w:pPr>
              <w:pStyle w:val="Tabletext"/>
            </w:pPr>
            <w:r w:rsidRPr="00257FF3">
              <w:t>12823X</w:t>
            </w:r>
          </w:p>
        </w:tc>
        <w:tc>
          <w:tcPr>
            <w:tcW w:w="0" w:type="auto"/>
          </w:tcPr>
          <w:p w14:paraId="001217BB" w14:textId="7D40EF8E" w:rsidR="00B56CBA" w:rsidRDefault="00B56CBA" w:rsidP="006100CD">
            <w:pPr>
              <w:pStyle w:val="Tabletext"/>
            </w:pPr>
            <w:r w:rsidRPr="00257FF3">
              <w:t>Jan</w:t>
            </w:r>
            <w:r>
              <w:t>uary</w:t>
            </w:r>
            <w:r w:rsidRPr="00257FF3">
              <w:t xml:space="preserve"> 2022</w:t>
            </w:r>
          </w:p>
        </w:tc>
        <w:tc>
          <w:tcPr>
            <w:tcW w:w="0" w:type="auto"/>
          </w:tcPr>
          <w:p w14:paraId="24153F74" w14:textId="6ADD475D" w:rsidR="00654A72" w:rsidRDefault="00654A72" w:rsidP="00654A72">
            <w:pPr>
              <w:pStyle w:val="Tabletext"/>
            </w:pPr>
            <w:r>
              <w:t>Symptomatic chronic HF (NYHA classes II to IV</w:t>
            </w:r>
            <w:r w:rsidR="00E5025A">
              <w:t>)</w:t>
            </w:r>
          </w:p>
          <w:p w14:paraId="5E2FFF95" w14:textId="77777777" w:rsidR="00654A72" w:rsidRDefault="00654A72" w:rsidP="00654A72">
            <w:pPr>
              <w:pStyle w:val="Tabletext"/>
            </w:pPr>
            <w:r>
              <w:t>LVEF ≤40%</w:t>
            </w:r>
          </w:p>
          <w:p w14:paraId="046596A0" w14:textId="1D054150" w:rsidR="00B56CBA" w:rsidRDefault="002D0986" w:rsidP="006100CD">
            <w:pPr>
              <w:pStyle w:val="Tabletext"/>
            </w:pPr>
            <w:r>
              <w:t>T</w:t>
            </w:r>
            <w:r w:rsidR="00DB5657" w:rsidRPr="00DB5657">
              <w:t xml:space="preserve">reatment must be an add-on therapy to optimal standard chronic </w:t>
            </w:r>
            <w:r>
              <w:t>HF</w:t>
            </w:r>
            <w:r w:rsidR="00DB5657" w:rsidRPr="00DB5657">
              <w:t xml:space="preserve"> treatment, which must include a beta-blocker, unless contraindicated according to the TGA-approved </w:t>
            </w:r>
            <w:r>
              <w:t>PI</w:t>
            </w:r>
            <w:r w:rsidR="00DB5657" w:rsidRPr="00DB5657">
              <w:t xml:space="preserve"> or cannot be tolerated,</w:t>
            </w:r>
            <w:r w:rsidR="00BE10E4">
              <w:t xml:space="preserve"> AND</w:t>
            </w:r>
          </w:p>
          <w:p w14:paraId="5D5D97D4" w14:textId="6C4DD410" w:rsidR="00BE10E4" w:rsidRDefault="00BE10E4" w:rsidP="006100CD">
            <w:pPr>
              <w:pStyle w:val="Tabletext"/>
            </w:pPr>
            <w:r>
              <w:t>T</w:t>
            </w:r>
            <w:r w:rsidRPr="00BE10E4">
              <w:t xml:space="preserve">reatment must be an add-on therapy to optimal standard chronic </w:t>
            </w:r>
            <w:r w:rsidR="00EE1138">
              <w:t>HF</w:t>
            </w:r>
            <w:r w:rsidRPr="00BE10E4">
              <w:t xml:space="preserve"> treatment, which must include an ACE inhibitor</w:t>
            </w:r>
            <w:r>
              <w:t xml:space="preserve"> or </w:t>
            </w:r>
            <w:r w:rsidR="00FF3A95">
              <w:t>ARB</w:t>
            </w:r>
            <w:r>
              <w:t xml:space="preserve"> or ARNI</w:t>
            </w:r>
            <w:r w:rsidRPr="00BE10E4">
              <w:t xml:space="preserve">, unless contraindicated according to the TGA-approved </w:t>
            </w:r>
            <w:r w:rsidR="00EE1138">
              <w:t>PI</w:t>
            </w:r>
            <w:r w:rsidRPr="00BE10E4">
              <w:t xml:space="preserve"> or cannot be tolerated;</w:t>
            </w:r>
            <w:r w:rsidR="00EE50CB">
              <w:t xml:space="preserve"> AND</w:t>
            </w:r>
          </w:p>
          <w:p w14:paraId="043F8F0C" w14:textId="7C1109C6" w:rsidR="0029495E" w:rsidRPr="00257FF3" w:rsidRDefault="00EE50CB" w:rsidP="006100CD">
            <w:pPr>
              <w:pStyle w:val="Tabletext"/>
            </w:pPr>
            <w:r>
              <w:t>M</w:t>
            </w:r>
            <w:r w:rsidR="0029495E">
              <w:t>ust not be receiving treatment with another SGLT2</w:t>
            </w:r>
            <w:r>
              <w:t xml:space="preserve"> </w:t>
            </w:r>
            <w:r w:rsidR="0029495E">
              <w:t>inhibitor</w:t>
            </w:r>
            <w:r w:rsidR="002D0986">
              <w:t>.</w:t>
            </w:r>
          </w:p>
        </w:tc>
      </w:tr>
      <w:tr w:rsidR="00CD2D41" w14:paraId="4FF970ED" w14:textId="59E88FB4" w:rsidTr="007C5C75">
        <w:trPr>
          <w:cantSplit/>
        </w:trPr>
        <w:tc>
          <w:tcPr>
            <w:tcW w:w="0" w:type="auto"/>
            <w:tcBorders>
              <w:top w:val="nil"/>
            </w:tcBorders>
          </w:tcPr>
          <w:p w14:paraId="76EF95C0" w14:textId="77777777" w:rsidR="00CD2D41" w:rsidRDefault="00CD2D41" w:rsidP="00CD2D41">
            <w:pPr>
              <w:pStyle w:val="Tabletext"/>
            </w:pPr>
          </w:p>
        </w:tc>
        <w:tc>
          <w:tcPr>
            <w:tcW w:w="0" w:type="auto"/>
          </w:tcPr>
          <w:p w14:paraId="6050D03F" w14:textId="213EDE82" w:rsidR="00CD2D41" w:rsidRDefault="00CD2D41" w:rsidP="00CD2D41">
            <w:pPr>
              <w:pStyle w:val="Tabletext"/>
            </w:pPr>
            <w:r w:rsidRPr="002128FA">
              <w:t>Empagliflozin</w:t>
            </w:r>
          </w:p>
        </w:tc>
        <w:tc>
          <w:tcPr>
            <w:tcW w:w="0" w:type="auto"/>
          </w:tcPr>
          <w:p w14:paraId="1751F780" w14:textId="1636EEB8" w:rsidR="00CD2D41" w:rsidRDefault="00CD2D41" w:rsidP="00CD2D41">
            <w:pPr>
              <w:pStyle w:val="Tabletext"/>
            </w:pPr>
            <w:r w:rsidRPr="002128FA">
              <w:t>12918X</w:t>
            </w:r>
          </w:p>
        </w:tc>
        <w:tc>
          <w:tcPr>
            <w:tcW w:w="0" w:type="auto"/>
          </w:tcPr>
          <w:p w14:paraId="3E90B195" w14:textId="2827173B" w:rsidR="00CD2D41" w:rsidRDefault="00CD2D41" w:rsidP="00CD2D41">
            <w:pPr>
              <w:pStyle w:val="Tabletext"/>
            </w:pPr>
            <w:r w:rsidRPr="002128FA">
              <w:t>Apr</w:t>
            </w:r>
            <w:r>
              <w:t>il</w:t>
            </w:r>
            <w:r w:rsidRPr="002128FA">
              <w:t xml:space="preserve"> 2022</w:t>
            </w:r>
          </w:p>
        </w:tc>
        <w:tc>
          <w:tcPr>
            <w:tcW w:w="0" w:type="auto"/>
          </w:tcPr>
          <w:p w14:paraId="476DC7A7" w14:textId="0192503A" w:rsidR="00CD2D41" w:rsidRDefault="00CD2D41" w:rsidP="00CD2D41">
            <w:pPr>
              <w:pStyle w:val="Tabletext"/>
            </w:pPr>
            <w:r>
              <w:t>Symptomatic chronic HF (NYHA classes II to IV</w:t>
            </w:r>
            <w:r w:rsidR="006C79F2">
              <w:t>)</w:t>
            </w:r>
          </w:p>
          <w:p w14:paraId="59912357" w14:textId="77777777" w:rsidR="00CD2D41" w:rsidRDefault="00CD2D41" w:rsidP="00CD2D41">
            <w:pPr>
              <w:pStyle w:val="Tabletext"/>
            </w:pPr>
            <w:r>
              <w:t>LVEF ≤40%</w:t>
            </w:r>
          </w:p>
          <w:p w14:paraId="300599FF" w14:textId="7778471F" w:rsidR="00CD2D41" w:rsidRDefault="002D0986" w:rsidP="00CD2D41">
            <w:pPr>
              <w:pStyle w:val="Tabletext"/>
            </w:pPr>
            <w:r>
              <w:t>T</w:t>
            </w:r>
            <w:r w:rsidR="00CD2D41" w:rsidRPr="00DB5657">
              <w:t xml:space="preserve">reatment must be an add-on therapy to optimal standard chronic </w:t>
            </w:r>
            <w:r>
              <w:t>HF</w:t>
            </w:r>
            <w:r w:rsidR="00CD2D41" w:rsidRPr="00DB5657">
              <w:t xml:space="preserve"> treatment, which must include a beta-blocker, unless contraindicated according to the TGA-approved </w:t>
            </w:r>
            <w:r w:rsidR="005750CF">
              <w:t>PI</w:t>
            </w:r>
            <w:r w:rsidR="00CD2D41" w:rsidRPr="00DB5657">
              <w:t xml:space="preserve"> or cannot be tolerated,</w:t>
            </w:r>
            <w:r w:rsidR="00CD2D41">
              <w:t xml:space="preserve"> AND</w:t>
            </w:r>
          </w:p>
          <w:p w14:paraId="61F199DC" w14:textId="24849305" w:rsidR="00CD2D41" w:rsidRDefault="00CD2D41" w:rsidP="00CD2D41">
            <w:pPr>
              <w:pStyle w:val="Tabletext"/>
            </w:pPr>
            <w:r>
              <w:t>T</w:t>
            </w:r>
            <w:r w:rsidRPr="00BE10E4">
              <w:t xml:space="preserve">reatment must be an add-on therapy to optimal standard chronic </w:t>
            </w:r>
            <w:r w:rsidR="002D0986">
              <w:t>HF</w:t>
            </w:r>
            <w:r w:rsidRPr="00BE10E4">
              <w:t xml:space="preserve"> treatment, which must include an ACE inhibitor</w:t>
            </w:r>
            <w:r>
              <w:t xml:space="preserve"> or </w:t>
            </w:r>
            <w:r w:rsidR="005750CF">
              <w:t>ARB</w:t>
            </w:r>
            <w:r>
              <w:t xml:space="preserve"> or ARNI</w:t>
            </w:r>
            <w:r w:rsidRPr="00BE10E4">
              <w:t xml:space="preserve">, unless contraindicated according to the TGA-approved </w:t>
            </w:r>
            <w:r w:rsidR="005750CF">
              <w:t>PI</w:t>
            </w:r>
            <w:r w:rsidRPr="00BE10E4">
              <w:t xml:space="preserve"> or cannot be tolerated;</w:t>
            </w:r>
            <w:r>
              <w:t xml:space="preserve"> AND</w:t>
            </w:r>
          </w:p>
          <w:p w14:paraId="49DDC6E7" w14:textId="5F43178A" w:rsidR="00CD2D41" w:rsidRPr="002128FA" w:rsidRDefault="00CD2D41" w:rsidP="00CD2D41">
            <w:pPr>
              <w:pStyle w:val="Tabletext"/>
            </w:pPr>
            <w:r>
              <w:t>Must not be receiving treatment with another SGLT2 inhibitor</w:t>
            </w:r>
            <w:r w:rsidR="002D0986">
              <w:t>.</w:t>
            </w:r>
          </w:p>
        </w:tc>
      </w:tr>
      <w:tr w:rsidR="00CD2D41" w14:paraId="419623F7" w14:textId="4EB00494" w:rsidTr="007C5C75">
        <w:trPr>
          <w:cantSplit/>
        </w:trPr>
        <w:tc>
          <w:tcPr>
            <w:tcW w:w="0" w:type="auto"/>
          </w:tcPr>
          <w:p w14:paraId="272D2E80" w14:textId="5FD0F9F1" w:rsidR="00CD2D41" w:rsidRPr="00943A13" w:rsidRDefault="00CD2D41" w:rsidP="00CD2D41">
            <w:pPr>
              <w:pStyle w:val="Tabletext"/>
              <w:rPr>
                <w:i/>
                <w:iCs/>
              </w:rPr>
            </w:pPr>
            <w:r w:rsidRPr="00943A13">
              <w:rPr>
                <w:i/>
                <w:iCs/>
              </w:rPr>
              <w:t>HCN channel blocker</w:t>
            </w:r>
          </w:p>
        </w:tc>
        <w:tc>
          <w:tcPr>
            <w:tcW w:w="0" w:type="auto"/>
          </w:tcPr>
          <w:p w14:paraId="0B5DAFCE" w14:textId="2FFC5422" w:rsidR="00CD2D41" w:rsidRPr="00943A13" w:rsidRDefault="00CD2D41" w:rsidP="00CD2D41">
            <w:pPr>
              <w:pStyle w:val="Tabletext"/>
              <w:rPr>
                <w:i/>
                <w:iCs/>
              </w:rPr>
            </w:pPr>
            <w:r w:rsidRPr="00943A13">
              <w:rPr>
                <w:i/>
                <w:iCs/>
              </w:rPr>
              <w:t>Ivabradine</w:t>
            </w:r>
          </w:p>
        </w:tc>
        <w:tc>
          <w:tcPr>
            <w:tcW w:w="0" w:type="auto"/>
          </w:tcPr>
          <w:p w14:paraId="242E3A5E" w14:textId="6BD941D5" w:rsidR="00CD2D41" w:rsidRPr="00943A13" w:rsidRDefault="00CD2D41" w:rsidP="00CD2D41">
            <w:pPr>
              <w:pStyle w:val="Tabletext"/>
              <w:rPr>
                <w:i/>
                <w:iCs/>
              </w:rPr>
            </w:pPr>
            <w:r w:rsidRPr="00943A13">
              <w:rPr>
                <w:i/>
                <w:iCs/>
              </w:rPr>
              <w:t>10012Y; 2960T</w:t>
            </w:r>
          </w:p>
        </w:tc>
        <w:tc>
          <w:tcPr>
            <w:tcW w:w="0" w:type="auto"/>
          </w:tcPr>
          <w:p w14:paraId="1C81FB65" w14:textId="18F463A0" w:rsidR="00CD2D41" w:rsidRPr="00943A13" w:rsidRDefault="00CD2D41" w:rsidP="00CD2D41">
            <w:pPr>
              <w:pStyle w:val="Tabletext"/>
              <w:rPr>
                <w:i/>
                <w:iCs/>
              </w:rPr>
            </w:pPr>
            <w:r w:rsidRPr="00943A13">
              <w:rPr>
                <w:i/>
                <w:iCs/>
              </w:rPr>
              <w:t>Dec</w:t>
            </w:r>
            <w:r>
              <w:rPr>
                <w:i/>
                <w:iCs/>
              </w:rPr>
              <w:t>ember</w:t>
            </w:r>
            <w:r w:rsidRPr="00943A13">
              <w:rPr>
                <w:i/>
                <w:iCs/>
              </w:rPr>
              <w:t xml:space="preserve"> 2013</w:t>
            </w:r>
          </w:p>
        </w:tc>
        <w:tc>
          <w:tcPr>
            <w:tcW w:w="0" w:type="auto"/>
          </w:tcPr>
          <w:p w14:paraId="3C6C01E9" w14:textId="77777777" w:rsidR="00CD2D41" w:rsidRDefault="007A4C42" w:rsidP="00CD2D41">
            <w:pPr>
              <w:pStyle w:val="Tabletext"/>
              <w:rPr>
                <w:i/>
                <w:iCs/>
              </w:rPr>
            </w:pPr>
            <w:r>
              <w:rPr>
                <w:i/>
                <w:iCs/>
              </w:rPr>
              <w:t>Symptomatic chronic HF (NYHA classes II or III)</w:t>
            </w:r>
          </w:p>
          <w:p w14:paraId="2C319AAE" w14:textId="77777777" w:rsidR="007A4C42" w:rsidRDefault="00EE3C1F" w:rsidP="00CD2D41">
            <w:pPr>
              <w:pStyle w:val="Tabletext"/>
              <w:rPr>
                <w:i/>
                <w:iCs/>
              </w:rPr>
            </w:pPr>
            <w:r>
              <w:rPr>
                <w:i/>
                <w:iCs/>
              </w:rPr>
              <w:t>Must be in sinus rhythm</w:t>
            </w:r>
          </w:p>
          <w:p w14:paraId="4CBC6741" w14:textId="77777777" w:rsidR="00EE3C1F" w:rsidRDefault="0071002C" w:rsidP="00CD2D41">
            <w:pPr>
              <w:pStyle w:val="Tabletext"/>
              <w:rPr>
                <w:i/>
                <w:iCs/>
              </w:rPr>
            </w:pPr>
            <w:r>
              <w:rPr>
                <w:i/>
                <w:iCs/>
              </w:rPr>
              <w:t xml:space="preserve">Must have documented LVEF </w:t>
            </w:r>
            <w:r w:rsidRPr="0071002C">
              <w:rPr>
                <w:i/>
                <w:iCs/>
              </w:rPr>
              <w:t>≤</w:t>
            </w:r>
            <w:r w:rsidR="005C49B7">
              <w:rPr>
                <w:i/>
                <w:iCs/>
              </w:rPr>
              <w:t>35</w:t>
            </w:r>
            <w:r w:rsidRPr="0071002C">
              <w:rPr>
                <w:i/>
                <w:iCs/>
              </w:rPr>
              <w:t>%</w:t>
            </w:r>
          </w:p>
          <w:p w14:paraId="159E30BE" w14:textId="77777777" w:rsidR="005C49B7" w:rsidRDefault="005C49B7" w:rsidP="00CD2D41">
            <w:pPr>
              <w:pStyle w:val="Tabletext"/>
              <w:rPr>
                <w:i/>
                <w:iCs/>
              </w:rPr>
            </w:pPr>
            <w:r>
              <w:rPr>
                <w:i/>
                <w:iCs/>
              </w:rPr>
              <w:t>Must have resting HR ≥77 bpm</w:t>
            </w:r>
          </w:p>
          <w:p w14:paraId="51AC7443" w14:textId="346CD2EA" w:rsidR="005C49B7" w:rsidRPr="00943A13" w:rsidRDefault="00712610" w:rsidP="00CD2D41">
            <w:pPr>
              <w:pStyle w:val="Tabletext"/>
              <w:rPr>
                <w:i/>
                <w:iCs/>
              </w:rPr>
            </w:pPr>
            <w:r>
              <w:rPr>
                <w:i/>
                <w:iCs/>
              </w:rPr>
              <w:t>M</w:t>
            </w:r>
            <w:r w:rsidRPr="00712610">
              <w:rPr>
                <w:i/>
                <w:iCs/>
              </w:rPr>
              <w:t xml:space="preserve">ust receive concomitant optimal standard chronic </w:t>
            </w:r>
            <w:r>
              <w:rPr>
                <w:i/>
                <w:iCs/>
              </w:rPr>
              <w:t>HF</w:t>
            </w:r>
            <w:r w:rsidRPr="00712610">
              <w:rPr>
                <w:i/>
                <w:iCs/>
              </w:rPr>
              <w:t xml:space="preserve"> treatment, which must include the maximum tolerated dose of a beta-blocker, unless contraindicated or not tolerated.</w:t>
            </w:r>
          </w:p>
        </w:tc>
      </w:tr>
      <w:tr w:rsidR="00CD2D41" w14:paraId="74075C54" w14:textId="10A709C2" w:rsidTr="007C5C75">
        <w:trPr>
          <w:cantSplit/>
        </w:trPr>
        <w:tc>
          <w:tcPr>
            <w:tcW w:w="0" w:type="auto"/>
          </w:tcPr>
          <w:p w14:paraId="75DCB385" w14:textId="45FCBAAF" w:rsidR="00CD2D41" w:rsidRPr="00943A13" w:rsidRDefault="00CD2D41" w:rsidP="00CD2D41">
            <w:pPr>
              <w:pStyle w:val="Tabletext"/>
              <w:rPr>
                <w:i/>
                <w:iCs/>
              </w:rPr>
            </w:pPr>
            <w:r w:rsidRPr="00943A13">
              <w:rPr>
                <w:i/>
                <w:iCs/>
              </w:rPr>
              <w:t>sGC stimulator</w:t>
            </w:r>
          </w:p>
        </w:tc>
        <w:tc>
          <w:tcPr>
            <w:tcW w:w="0" w:type="auto"/>
          </w:tcPr>
          <w:p w14:paraId="2EDFF6B8" w14:textId="59234FA3" w:rsidR="00CD2D41" w:rsidRPr="00943A13" w:rsidRDefault="00CD2D41" w:rsidP="00CD2D41">
            <w:pPr>
              <w:pStyle w:val="Tabletext"/>
              <w:rPr>
                <w:i/>
                <w:iCs/>
              </w:rPr>
            </w:pPr>
            <w:r w:rsidRPr="00943A13">
              <w:rPr>
                <w:i/>
                <w:iCs/>
              </w:rPr>
              <w:t>Vericiguat</w:t>
            </w:r>
          </w:p>
        </w:tc>
        <w:tc>
          <w:tcPr>
            <w:tcW w:w="0" w:type="auto"/>
          </w:tcPr>
          <w:p w14:paraId="6108BEFE" w14:textId="5C5E1683" w:rsidR="00CD2D41" w:rsidRPr="00943A13" w:rsidRDefault="00CD2D41" w:rsidP="00CD2D41">
            <w:pPr>
              <w:pStyle w:val="Tabletext"/>
              <w:rPr>
                <w:i/>
                <w:iCs/>
              </w:rPr>
            </w:pPr>
            <w:r w:rsidRPr="00943A13">
              <w:rPr>
                <w:i/>
                <w:iCs/>
              </w:rPr>
              <w:t>13181R; 13178N; 13186B; 13189E; 13193J; 13192H</w:t>
            </w:r>
          </w:p>
        </w:tc>
        <w:tc>
          <w:tcPr>
            <w:tcW w:w="0" w:type="auto"/>
          </w:tcPr>
          <w:p w14:paraId="2794016C" w14:textId="1063E82E" w:rsidR="00CD2D41" w:rsidRPr="00943A13" w:rsidRDefault="00CD2D41" w:rsidP="00CD2D41">
            <w:pPr>
              <w:pStyle w:val="Tabletext"/>
              <w:rPr>
                <w:i/>
                <w:iCs/>
              </w:rPr>
            </w:pPr>
            <w:r w:rsidRPr="00943A13">
              <w:rPr>
                <w:i/>
                <w:iCs/>
              </w:rPr>
              <w:t>Dec</w:t>
            </w:r>
            <w:r>
              <w:rPr>
                <w:i/>
                <w:iCs/>
              </w:rPr>
              <w:t>ember</w:t>
            </w:r>
            <w:r w:rsidRPr="00943A13">
              <w:rPr>
                <w:i/>
                <w:iCs/>
              </w:rPr>
              <w:t xml:space="preserve"> 2022</w:t>
            </w:r>
          </w:p>
        </w:tc>
        <w:tc>
          <w:tcPr>
            <w:tcW w:w="0" w:type="auto"/>
          </w:tcPr>
          <w:p w14:paraId="3081D064" w14:textId="77777777" w:rsidR="00E5025A" w:rsidRPr="00E5025A" w:rsidRDefault="00E5025A" w:rsidP="00E5025A">
            <w:pPr>
              <w:pStyle w:val="Tabletext"/>
              <w:rPr>
                <w:i/>
                <w:iCs/>
              </w:rPr>
            </w:pPr>
            <w:r w:rsidRPr="00E5025A">
              <w:rPr>
                <w:i/>
                <w:iCs/>
              </w:rPr>
              <w:t>Symptomatic chronic HF (NYHA classes II to IV)</w:t>
            </w:r>
          </w:p>
          <w:p w14:paraId="4785EFFF" w14:textId="77777777" w:rsidR="00CD2D41" w:rsidRDefault="00E5025A" w:rsidP="00E5025A">
            <w:pPr>
              <w:pStyle w:val="Tabletext"/>
              <w:rPr>
                <w:i/>
                <w:iCs/>
              </w:rPr>
            </w:pPr>
            <w:r w:rsidRPr="00E5025A">
              <w:rPr>
                <w:i/>
                <w:iCs/>
              </w:rPr>
              <w:t>LVEF ≤4</w:t>
            </w:r>
            <w:r>
              <w:rPr>
                <w:i/>
                <w:iCs/>
              </w:rPr>
              <w:t>5</w:t>
            </w:r>
            <w:r w:rsidRPr="00E5025A">
              <w:rPr>
                <w:i/>
                <w:iCs/>
              </w:rPr>
              <w:t>%</w:t>
            </w:r>
          </w:p>
          <w:p w14:paraId="007D10D2" w14:textId="77777777" w:rsidR="00124F41" w:rsidRDefault="00124F41" w:rsidP="00E5025A">
            <w:pPr>
              <w:pStyle w:val="Tabletext"/>
              <w:rPr>
                <w:i/>
                <w:iCs/>
              </w:rPr>
            </w:pPr>
            <w:r w:rsidRPr="00124F41">
              <w:rPr>
                <w:i/>
                <w:iCs/>
              </w:rPr>
              <w:t>The condition must be stabilised following a decompensation event that required at least one of: (i) hospitalisation in the past 6 months, (ii) intravenous diuretic therapy in the past three months</w:t>
            </w:r>
            <w:r>
              <w:rPr>
                <w:i/>
                <w:iCs/>
              </w:rPr>
              <w:t>.</w:t>
            </w:r>
          </w:p>
          <w:p w14:paraId="7F5E5491" w14:textId="77777777" w:rsidR="00124F41" w:rsidRDefault="00124F41" w:rsidP="00E5025A">
            <w:pPr>
              <w:pStyle w:val="Tabletext"/>
              <w:rPr>
                <w:i/>
                <w:iCs/>
              </w:rPr>
            </w:pPr>
            <w:r>
              <w:rPr>
                <w:i/>
                <w:iCs/>
              </w:rPr>
              <w:t>N</w:t>
            </w:r>
            <w:r w:rsidR="00FC77BE">
              <w:rPr>
                <w:i/>
                <w:iCs/>
              </w:rPr>
              <w:t>ot have clinical signs of fluid overload in the previous 24 hours.</w:t>
            </w:r>
          </w:p>
          <w:p w14:paraId="1567523B" w14:textId="77777777" w:rsidR="00FC77BE" w:rsidRDefault="00FC77BE" w:rsidP="00E5025A">
            <w:pPr>
              <w:pStyle w:val="Tabletext"/>
              <w:rPr>
                <w:i/>
                <w:iCs/>
              </w:rPr>
            </w:pPr>
            <w:r>
              <w:rPr>
                <w:i/>
                <w:iCs/>
              </w:rPr>
              <w:t>Systolic BP &lt;100 mmHg</w:t>
            </w:r>
          </w:p>
          <w:p w14:paraId="641F7126" w14:textId="7BB4B3FD" w:rsidR="000967DA" w:rsidRPr="000967DA" w:rsidRDefault="001A0192" w:rsidP="000967DA">
            <w:pPr>
              <w:pStyle w:val="Tabletext"/>
              <w:rPr>
                <w:i/>
                <w:iCs/>
              </w:rPr>
            </w:pPr>
            <w:r>
              <w:rPr>
                <w:i/>
                <w:iCs/>
              </w:rPr>
              <w:t xml:space="preserve">Treatment must be an add-on therapy to optimal </w:t>
            </w:r>
            <w:r w:rsidR="000967DA" w:rsidRPr="000967DA">
              <w:rPr>
                <w:i/>
                <w:iCs/>
              </w:rPr>
              <w:t xml:space="preserve">chronic </w:t>
            </w:r>
            <w:r w:rsidR="005750CF">
              <w:rPr>
                <w:i/>
                <w:iCs/>
              </w:rPr>
              <w:t>HF</w:t>
            </w:r>
            <w:r w:rsidR="000967DA" w:rsidRPr="000967DA">
              <w:rPr>
                <w:i/>
                <w:iCs/>
              </w:rPr>
              <w:t xml:space="preserve"> treatment, which must include a beta-blocker, unless contraindicated according to the TGA-approved </w:t>
            </w:r>
            <w:r w:rsidR="005750CF">
              <w:rPr>
                <w:i/>
                <w:iCs/>
              </w:rPr>
              <w:t>PI</w:t>
            </w:r>
            <w:r w:rsidR="000967DA" w:rsidRPr="000967DA">
              <w:rPr>
                <w:i/>
                <w:iCs/>
              </w:rPr>
              <w:t xml:space="preserve"> or cannot be tolerated, AND</w:t>
            </w:r>
          </w:p>
          <w:p w14:paraId="732E2314" w14:textId="2DCBFE20" w:rsidR="00FC77BE" w:rsidRPr="00943A13" w:rsidRDefault="000967DA" w:rsidP="000967DA">
            <w:pPr>
              <w:pStyle w:val="Tabletext"/>
              <w:rPr>
                <w:i/>
                <w:iCs/>
              </w:rPr>
            </w:pPr>
            <w:r w:rsidRPr="000967DA">
              <w:rPr>
                <w:i/>
                <w:iCs/>
              </w:rPr>
              <w:t xml:space="preserve">Treatment must be an add-on therapy to optimal standard chronic heart failure treatment, which must include an ACE inhibitor or </w:t>
            </w:r>
            <w:r w:rsidR="00FF3A95">
              <w:rPr>
                <w:i/>
                <w:iCs/>
              </w:rPr>
              <w:t>ARB</w:t>
            </w:r>
            <w:r w:rsidRPr="000967DA">
              <w:rPr>
                <w:i/>
                <w:iCs/>
              </w:rPr>
              <w:t xml:space="preserve"> or ARNI, unless contraindicated according to the TGA-approved </w:t>
            </w:r>
            <w:r w:rsidR="005750CF">
              <w:rPr>
                <w:i/>
                <w:iCs/>
              </w:rPr>
              <w:t>PI</w:t>
            </w:r>
            <w:r w:rsidRPr="000967DA">
              <w:rPr>
                <w:i/>
                <w:iCs/>
              </w:rPr>
              <w:t xml:space="preserve"> or cannot be tolerated</w:t>
            </w:r>
            <w:r w:rsidR="003C2DF7">
              <w:rPr>
                <w:i/>
                <w:iCs/>
              </w:rPr>
              <w:t>.</w:t>
            </w:r>
          </w:p>
        </w:tc>
      </w:tr>
    </w:tbl>
    <w:p w14:paraId="3FAC26F4" w14:textId="6B641F8A" w:rsidR="009D21EA" w:rsidRDefault="009A6A54" w:rsidP="009D21EA">
      <w:pPr>
        <w:pStyle w:val="Tablenotes"/>
      </w:pPr>
      <w:r>
        <w:t xml:space="preserve">ACE = angiotensin-converting enzyme; ARB = angiotensin receptor blocker; </w:t>
      </w:r>
      <w:r w:rsidR="009D21EA" w:rsidRPr="00FC39A0">
        <w:t>ARNI = angiotensin receptor neprilysin inhibitor;</w:t>
      </w:r>
      <w:r w:rsidR="00AE7D16">
        <w:t xml:space="preserve"> </w:t>
      </w:r>
      <w:r w:rsidR="00847D04">
        <w:t>BP = blood pressure; bp</w:t>
      </w:r>
      <w:r w:rsidR="006A5B00">
        <w:t xml:space="preserve">m = beats per minute; </w:t>
      </w:r>
      <w:r w:rsidR="00AE7D16">
        <w:t>HCN</w:t>
      </w:r>
      <w:r w:rsidR="009D21EA" w:rsidRPr="00FC39A0">
        <w:t xml:space="preserve"> </w:t>
      </w:r>
      <w:r w:rsidR="00AE7D16">
        <w:t>= h</w:t>
      </w:r>
      <w:r w:rsidR="00474FE6" w:rsidRPr="00474FE6">
        <w:t xml:space="preserve">yperpolarization-activated </w:t>
      </w:r>
      <w:r w:rsidR="00AE7D16">
        <w:t>c</w:t>
      </w:r>
      <w:r w:rsidR="00474FE6" w:rsidRPr="00474FE6">
        <w:t xml:space="preserve">yclic </w:t>
      </w:r>
      <w:r w:rsidR="00AE7D16">
        <w:t>n</w:t>
      </w:r>
      <w:r w:rsidR="00474FE6" w:rsidRPr="00474FE6">
        <w:t>ucleotide-gated</w:t>
      </w:r>
      <w:r w:rsidR="00474FE6">
        <w:t xml:space="preserve">; </w:t>
      </w:r>
      <w:r w:rsidR="000B7D94" w:rsidRPr="000B7D94">
        <w:t>HF = heart failure;</w:t>
      </w:r>
      <w:r w:rsidR="000B7D94">
        <w:t xml:space="preserve"> </w:t>
      </w:r>
      <w:r w:rsidR="00D76445">
        <w:t xml:space="preserve">HR = heart rate; </w:t>
      </w:r>
      <w:r w:rsidR="00447DCD">
        <w:t xml:space="preserve">LVEF = left ventricular ejection fraction; </w:t>
      </w:r>
      <w:r w:rsidR="009D21EA" w:rsidRPr="00FC39A0">
        <w:t>MRA = mineralocorticoid receptor antagonist;</w:t>
      </w:r>
      <w:r w:rsidR="00447DCD">
        <w:t xml:space="preserve"> NYHA = New York Heart Association;</w:t>
      </w:r>
      <w:r w:rsidR="009D21EA" w:rsidRPr="00FC39A0">
        <w:t xml:space="preserve"> </w:t>
      </w:r>
      <w:r w:rsidR="00E75FCA" w:rsidRPr="00E75FCA">
        <w:t>PBS = Pharmaceutical Benefits Scheme;</w:t>
      </w:r>
      <w:r w:rsidR="00E75FCA">
        <w:t xml:space="preserve"> </w:t>
      </w:r>
      <w:r w:rsidR="00C92D6E">
        <w:t xml:space="preserve">PI = Product Information; </w:t>
      </w:r>
      <w:r w:rsidR="00AE7D16">
        <w:t xml:space="preserve">sGC = soluble guanylate cyclase; </w:t>
      </w:r>
      <w:r w:rsidR="009D21EA" w:rsidRPr="00FC39A0">
        <w:t>SGLT2 = sodium–glucose cotransporter 2</w:t>
      </w:r>
      <w:r w:rsidR="006A5B00">
        <w:t>; TGA = therapeutic goods authority</w:t>
      </w:r>
      <w:r w:rsidR="009D21EA">
        <w:t>.</w:t>
      </w:r>
    </w:p>
    <w:p w14:paraId="71C7378B" w14:textId="77777777" w:rsidR="00C512D0" w:rsidRDefault="00C512D0" w:rsidP="00C512D0">
      <w:pPr>
        <w:pStyle w:val="Tablenotes"/>
      </w:pPr>
      <w:r>
        <w:lastRenderedPageBreak/>
        <w:t>Italics indicate HF medications that are not part of GDMT as specified for the proposed population</w:t>
      </w:r>
    </w:p>
    <w:p w14:paraId="0C706696" w14:textId="51030F78" w:rsidR="00C512D0" w:rsidRDefault="00C512D0" w:rsidP="009D21EA">
      <w:pPr>
        <w:pStyle w:val="Tablenotes"/>
      </w:pPr>
      <w:r>
        <w:t xml:space="preserve">Source: Adapted from Table 1 of Gadzhanova and Roughead </w:t>
      </w:r>
      <w:r w:rsidRPr="00084F7E">
        <w:t>(2024)</w:t>
      </w:r>
    </w:p>
    <w:p w14:paraId="5D0FB77C" w14:textId="2E90BD93" w:rsidR="009F14E7" w:rsidRDefault="007549BC" w:rsidP="000F3F24">
      <w:r>
        <w:t xml:space="preserve">Use of GDMT in Australia </w:t>
      </w:r>
      <w:r w:rsidR="00FF1509">
        <w:t xml:space="preserve">has been reported as sub-optimal. </w:t>
      </w:r>
      <w:r w:rsidR="005520E8">
        <w:t xml:space="preserve">In </w:t>
      </w:r>
      <w:r w:rsidR="009F14E7">
        <w:t xml:space="preserve">the HF </w:t>
      </w:r>
      <w:r w:rsidR="000F3F24">
        <w:t>prevalent population in June 2023</w:t>
      </w:r>
      <w:r w:rsidR="009F14E7">
        <w:t xml:space="preserve">, </w:t>
      </w:r>
      <w:r w:rsidR="0028545D">
        <w:t>base</w:t>
      </w:r>
      <w:r w:rsidR="00BF2B8F">
        <w:t>d on</w:t>
      </w:r>
      <w:r w:rsidR="0028545D">
        <w:t xml:space="preserve"> </w:t>
      </w:r>
      <w:r w:rsidR="009F14E7">
        <w:t>PBS data</w:t>
      </w:r>
      <w:r w:rsidR="000F3F24">
        <w:t xml:space="preserve">: </w:t>
      </w:r>
    </w:p>
    <w:p w14:paraId="1FE290B7" w14:textId="2C4FA3E8" w:rsidR="004B4F8A" w:rsidRDefault="000F3F24" w:rsidP="00855185">
      <w:pPr>
        <w:pStyle w:val="ListParagraph"/>
        <w:numPr>
          <w:ilvl w:val="0"/>
          <w:numId w:val="6"/>
        </w:numPr>
      </w:pPr>
      <w:r>
        <w:t xml:space="preserve">22% of patients were receiving monotherapy (most commonly </w:t>
      </w:r>
      <w:r w:rsidR="004B4F8A">
        <w:t>beta blocker</w:t>
      </w:r>
      <w:r>
        <w:t xml:space="preserve">, followed by ARNI),  </w:t>
      </w:r>
    </w:p>
    <w:p w14:paraId="1B43DC33" w14:textId="313D3B60" w:rsidR="004B4F8A" w:rsidRDefault="000F3F24" w:rsidP="00855185">
      <w:pPr>
        <w:pStyle w:val="ListParagraph"/>
        <w:numPr>
          <w:ilvl w:val="0"/>
          <w:numId w:val="6"/>
        </w:numPr>
      </w:pPr>
      <w:r>
        <w:t xml:space="preserve">34% of patients were receiving dual therapy (most commonly </w:t>
      </w:r>
      <w:r w:rsidR="004B4F8A">
        <w:t>beta blocker</w:t>
      </w:r>
      <w:r>
        <w:t xml:space="preserve"> + ACE</w:t>
      </w:r>
      <w:r w:rsidR="00810FD4">
        <w:t xml:space="preserve"> inhibitor</w:t>
      </w:r>
      <w:r>
        <w:t xml:space="preserve"> or </w:t>
      </w:r>
      <w:r w:rsidR="004B4F8A">
        <w:t>beta blocker</w:t>
      </w:r>
      <w:r>
        <w:t xml:space="preserve"> + ARB),  </w:t>
      </w:r>
    </w:p>
    <w:p w14:paraId="7509BF28" w14:textId="2CB4E2CE" w:rsidR="004B4F8A" w:rsidRDefault="000F3F24" w:rsidP="00855185">
      <w:pPr>
        <w:pStyle w:val="ListParagraph"/>
        <w:numPr>
          <w:ilvl w:val="0"/>
          <w:numId w:val="6"/>
        </w:numPr>
      </w:pPr>
      <w:r>
        <w:t xml:space="preserve">28% of patients were receiving triple therapy (most commonly </w:t>
      </w:r>
      <w:r w:rsidR="00063183">
        <w:t>beta blocker</w:t>
      </w:r>
      <w:r>
        <w:t xml:space="preserve"> + ACE</w:t>
      </w:r>
      <w:r w:rsidR="00810FD4">
        <w:t xml:space="preserve"> inhibitor</w:t>
      </w:r>
      <w:r>
        <w:t xml:space="preserve"> + loop diuretic or </w:t>
      </w:r>
      <w:r w:rsidR="00063183">
        <w:t>beta blocker</w:t>
      </w:r>
      <w:r>
        <w:t xml:space="preserve"> + ARB + loop diuretic); and,  </w:t>
      </w:r>
    </w:p>
    <w:p w14:paraId="0246B3A8" w14:textId="33CA9B2B" w:rsidR="00D6790D" w:rsidRDefault="000F3F24" w:rsidP="00855185">
      <w:pPr>
        <w:pStyle w:val="ListParagraph"/>
        <w:numPr>
          <w:ilvl w:val="0"/>
          <w:numId w:val="6"/>
        </w:numPr>
      </w:pPr>
      <w:r>
        <w:t xml:space="preserve">17% of patients were receiving </w:t>
      </w:r>
      <w:r w:rsidR="00960F30">
        <w:t xml:space="preserve">4 </w:t>
      </w:r>
      <w:r>
        <w:t>or more therapies</w:t>
      </w:r>
      <w:r w:rsidR="00063183">
        <w:t xml:space="preserve"> </w:t>
      </w:r>
      <w:r w:rsidR="00063183" w:rsidRPr="00063183">
        <w:rPr>
          <w:rFonts w:cs="Calibri"/>
        </w:rPr>
        <w:t>(Gadzhanova and Roughead 2024)</w:t>
      </w:r>
      <w:r>
        <w:t>.</w:t>
      </w:r>
    </w:p>
    <w:p w14:paraId="7DF8D767" w14:textId="48B27BF6" w:rsidR="00E25772" w:rsidRDefault="00E25772" w:rsidP="00E25772">
      <w:r>
        <w:t xml:space="preserve">The analysis </w:t>
      </w:r>
      <w:r w:rsidR="0019451D">
        <w:t xml:space="preserve">found that </w:t>
      </w:r>
      <w:r w:rsidR="00FB3BD3">
        <w:t>the</w:t>
      </w:r>
      <w:r w:rsidR="00324E5F">
        <w:t xml:space="preserve"> proportion of the population </w:t>
      </w:r>
      <w:r w:rsidR="001C0A64">
        <w:t>receiving</w:t>
      </w:r>
      <w:r w:rsidR="00324E5F">
        <w:t xml:space="preserve"> </w:t>
      </w:r>
      <w:r w:rsidR="004C2B52">
        <w:t>standard of care</w:t>
      </w:r>
      <w:r w:rsidR="004850DE">
        <w:rPr>
          <w:rStyle w:val="FootnoteReference"/>
        </w:rPr>
        <w:footnoteReference w:id="8"/>
      </w:r>
      <w:r w:rsidR="004C2B52">
        <w:t xml:space="preserve"> </w:t>
      </w:r>
      <w:r w:rsidR="00FB3BD3">
        <w:t>was higher in people aged 64 to 84 years (37%) than those</w:t>
      </w:r>
      <w:r w:rsidR="00DC1445">
        <w:t xml:space="preserve"> aged 85 or over (25%) and noted th</w:t>
      </w:r>
      <w:r w:rsidR="004C0B2C">
        <w:t>e</w:t>
      </w:r>
      <w:r w:rsidR="00DC1445">
        <w:t xml:space="preserve"> challenges of managing comp</w:t>
      </w:r>
      <w:r w:rsidR="00D96372">
        <w:t>eting</w:t>
      </w:r>
      <w:r w:rsidR="00DC1445">
        <w:t xml:space="preserve"> health risks </w:t>
      </w:r>
      <w:r w:rsidR="00882EB7">
        <w:t xml:space="preserve">with increasing age and frailty. </w:t>
      </w:r>
      <w:r w:rsidR="00D40FF3">
        <w:t>A</w:t>
      </w:r>
      <w:r w:rsidR="00372193">
        <w:t xml:space="preserve"> consensus statement on HF and frailty</w:t>
      </w:r>
      <w:r w:rsidR="00D40FF3">
        <w:t xml:space="preserve"> notes there is</w:t>
      </w:r>
      <w:r w:rsidR="00372193">
        <w:t xml:space="preserve"> an evidence gap </w:t>
      </w:r>
      <w:r w:rsidR="0001371F">
        <w:t>due to the routine exclusion of older adults who are frail from clinical trials</w:t>
      </w:r>
      <w:r w:rsidR="005572B1">
        <w:t>. The statement further note</w:t>
      </w:r>
      <w:r w:rsidR="000C1A7D">
        <w:t>s</w:t>
      </w:r>
      <w:r w:rsidR="005572B1">
        <w:t xml:space="preserve"> that there are risk</w:t>
      </w:r>
      <w:r w:rsidR="000C1A7D">
        <w:t>s</w:t>
      </w:r>
      <w:r w:rsidR="005572B1">
        <w:t xml:space="preserve"> to polypharmacy in these patients </w:t>
      </w:r>
      <w:r w:rsidR="00B31413">
        <w:t xml:space="preserve">including falls, delirium and </w:t>
      </w:r>
      <w:r w:rsidR="000C1A7D">
        <w:t>incontinence</w:t>
      </w:r>
      <w:r w:rsidR="00B31413">
        <w:t xml:space="preserve"> and </w:t>
      </w:r>
      <w:r w:rsidR="00ED0BF6">
        <w:t xml:space="preserve">that older age is associated with lower </w:t>
      </w:r>
      <w:r w:rsidR="0056505B">
        <w:t xml:space="preserve">medication adherence and higher rates of discontinuation </w:t>
      </w:r>
      <w:r w:rsidR="005D6464" w:rsidRPr="005D6464">
        <w:rPr>
          <w:rFonts w:cs="Calibri"/>
        </w:rPr>
        <w:t>(McDonagh et al. 2025)</w:t>
      </w:r>
      <w:r w:rsidR="0056505B">
        <w:t>.</w:t>
      </w:r>
      <w:r w:rsidR="001034CA">
        <w:t xml:space="preserve"> The STRONG-HF trial excluded patients </w:t>
      </w:r>
      <w:r w:rsidR="00472B5B">
        <w:t xml:space="preserve">&gt;85 years </w:t>
      </w:r>
      <w:r w:rsidR="00000F89">
        <w:t xml:space="preserve">and </w:t>
      </w:r>
      <w:r w:rsidR="00C57325">
        <w:t xml:space="preserve">required patients to be </w:t>
      </w:r>
      <w:r w:rsidR="001A77F8">
        <w:t>hemodynamically stable</w:t>
      </w:r>
      <w:r w:rsidR="008E60A7">
        <w:t xml:space="preserve"> –</w:t>
      </w:r>
      <w:r w:rsidR="000348BB">
        <w:t xml:space="preserve"> </w:t>
      </w:r>
      <w:r w:rsidR="00BC0980">
        <w:t>the trial population</w:t>
      </w:r>
      <w:r w:rsidR="000348BB">
        <w:t xml:space="preserve"> had a mean age of 63 years</w:t>
      </w:r>
      <w:r w:rsidR="00E96F8B">
        <w:t xml:space="preserve"> </w:t>
      </w:r>
      <w:r w:rsidR="00145622" w:rsidRPr="00145622">
        <w:rPr>
          <w:rFonts w:cs="Calibri"/>
        </w:rPr>
        <w:t>(Mebazaa et al. 2022)</w:t>
      </w:r>
      <w:r w:rsidR="00BD5B0A">
        <w:t>.</w:t>
      </w:r>
      <w:r w:rsidR="001A77F8">
        <w:t xml:space="preserve"> </w:t>
      </w:r>
      <w:r w:rsidR="00302995">
        <w:t xml:space="preserve">Therefore, the </w:t>
      </w:r>
      <w:r w:rsidR="0022570F">
        <w:t xml:space="preserve">trial population may be younger, less comorbid and </w:t>
      </w:r>
      <w:r w:rsidR="00F93432">
        <w:t xml:space="preserve">less </w:t>
      </w:r>
      <w:r w:rsidR="0022570F">
        <w:t xml:space="preserve">frail than the population hospitalised with acute HF generally. </w:t>
      </w:r>
    </w:p>
    <w:p w14:paraId="03C1A941" w14:textId="688B4774" w:rsidR="00670679" w:rsidRDefault="00A3626B" w:rsidP="00E25772">
      <w:r>
        <w:t>Studies of i</w:t>
      </w:r>
      <w:r w:rsidR="005C545A">
        <w:t>nternational cohort</w:t>
      </w:r>
      <w:r w:rsidR="003817F4">
        <w:t>s</w:t>
      </w:r>
      <w:r w:rsidR="005C545A">
        <w:t xml:space="preserve"> also show low rates of both uptake and appropriate titration of GDMT </w:t>
      </w:r>
      <w:r w:rsidR="00355FE9" w:rsidRPr="00355FE9">
        <w:rPr>
          <w:rFonts w:cs="Calibri"/>
        </w:rPr>
        <w:t>(Malgie et al. 2023)</w:t>
      </w:r>
      <w:r w:rsidR="00355FE9">
        <w:t xml:space="preserve"> and </w:t>
      </w:r>
      <w:r w:rsidR="000B50E3">
        <w:t xml:space="preserve">have identified a range of barriers </w:t>
      </w:r>
      <w:r w:rsidR="00A81175">
        <w:t>at the patient, local and healthcare system level</w:t>
      </w:r>
      <w:r>
        <w:t>s</w:t>
      </w:r>
      <w:r w:rsidR="00645C2C">
        <w:t xml:space="preserve"> (</w:t>
      </w:r>
      <w:r w:rsidR="00645C2C">
        <w:fldChar w:fldCharType="begin"/>
      </w:r>
      <w:r w:rsidR="00645C2C">
        <w:instrText xml:space="preserve"> REF _Ref233019669 \h </w:instrText>
      </w:r>
      <w:r w:rsidR="00645C2C">
        <w:fldChar w:fldCharType="separate"/>
      </w:r>
      <w:r w:rsidR="00E10360">
        <w:t xml:space="preserve">Table </w:t>
      </w:r>
      <w:r w:rsidR="00E10360">
        <w:rPr>
          <w:noProof/>
        </w:rPr>
        <w:t>6</w:t>
      </w:r>
      <w:r w:rsidR="00645C2C">
        <w:fldChar w:fldCharType="end"/>
      </w:r>
      <w:r w:rsidR="00645C2C">
        <w:t>)</w:t>
      </w:r>
      <w:r w:rsidR="00A81175">
        <w:t>.</w:t>
      </w:r>
    </w:p>
    <w:p w14:paraId="01F6ED77" w14:textId="508810F4" w:rsidR="007A2A80" w:rsidRDefault="007A2A80" w:rsidP="007A2A80">
      <w:pPr>
        <w:pStyle w:val="Caption"/>
      </w:pPr>
      <w:bookmarkStart w:id="11" w:name="_Ref233019669"/>
      <w:r>
        <w:t xml:space="preserve">Table </w:t>
      </w:r>
      <w:r>
        <w:fldChar w:fldCharType="begin"/>
      </w:r>
      <w:r>
        <w:instrText xml:space="preserve"> SEQ Table \* ARABIC </w:instrText>
      </w:r>
      <w:r>
        <w:fldChar w:fldCharType="separate"/>
      </w:r>
      <w:r w:rsidR="00E10360">
        <w:rPr>
          <w:noProof/>
        </w:rPr>
        <w:t>6</w:t>
      </w:r>
      <w:r>
        <w:fldChar w:fldCharType="end"/>
      </w:r>
      <w:bookmarkEnd w:id="11"/>
      <w:r>
        <w:tab/>
        <w:t>Barriers to GDMT implementation</w:t>
      </w:r>
    </w:p>
    <w:tbl>
      <w:tblPr>
        <w:tblStyle w:val="TableGrid"/>
        <w:tblW w:w="0" w:type="auto"/>
        <w:tblInd w:w="0" w:type="dxa"/>
        <w:tblLook w:val="04A0" w:firstRow="1" w:lastRow="0" w:firstColumn="1" w:lastColumn="0" w:noHBand="0" w:noVBand="1"/>
        <w:tblCaption w:val="Barriers to GDMT implementation"/>
        <w:tblDescription w:val="Summarises barriers to GDMT implementation"/>
      </w:tblPr>
      <w:tblGrid>
        <w:gridCol w:w="3190"/>
        <w:gridCol w:w="3190"/>
        <w:gridCol w:w="3191"/>
      </w:tblGrid>
      <w:tr w:rsidR="003439DF" w14:paraId="606F3719" w14:textId="77777777" w:rsidTr="003439DF">
        <w:tc>
          <w:tcPr>
            <w:tcW w:w="3190" w:type="dxa"/>
          </w:tcPr>
          <w:p w14:paraId="1CAC5194" w14:textId="2C981F90" w:rsidR="003439DF" w:rsidRDefault="003439DF" w:rsidP="003817F4">
            <w:pPr>
              <w:pStyle w:val="TableHeading"/>
            </w:pPr>
            <w:r>
              <w:t xml:space="preserve">Patient </w:t>
            </w:r>
          </w:p>
        </w:tc>
        <w:tc>
          <w:tcPr>
            <w:tcW w:w="3190" w:type="dxa"/>
          </w:tcPr>
          <w:p w14:paraId="19C24913" w14:textId="1BAA64FA" w:rsidR="003439DF" w:rsidRDefault="003439DF" w:rsidP="003817F4">
            <w:pPr>
              <w:pStyle w:val="TableHeading"/>
            </w:pPr>
            <w:r>
              <w:t>Local hospital/ clinician</w:t>
            </w:r>
          </w:p>
        </w:tc>
        <w:tc>
          <w:tcPr>
            <w:tcW w:w="3191" w:type="dxa"/>
          </w:tcPr>
          <w:p w14:paraId="4D7A1B1E" w14:textId="53C876DC" w:rsidR="003439DF" w:rsidRDefault="003439DF" w:rsidP="003817F4">
            <w:pPr>
              <w:pStyle w:val="TableHeading"/>
            </w:pPr>
            <w:r>
              <w:t>Health care system</w:t>
            </w:r>
          </w:p>
        </w:tc>
      </w:tr>
      <w:tr w:rsidR="003439DF" w14:paraId="70FD41A4" w14:textId="77777777" w:rsidTr="003439DF">
        <w:tc>
          <w:tcPr>
            <w:tcW w:w="3190" w:type="dxa"/>
          </w:tcPr>
          <w:p w14:paraId="1DC8D4A5" w14:textId="77777777" w:rsidR="003439DF" w:rsidRDefault="003439DF" w:rsidP="003439DF">
            <w:pPr>
              <w:pStyle w:val="Tabletext"/>
            </w:pPr>
            <w:r>
              <w:t>Old age/frailty</w:t>
            </w:r>
          </w:p>
          <w:p w14:paraId="4288C516" w14:textId="77777777" w:rsidR="003439DF" w:rsidRDefault="003439DF" w:rsidP="003439DF">
            <w:pPr>
              <w:pStyle w:val="Tabletext"/>
            </w:pPr>
            <w:r>
              <w:t>Comorbidities</w:t>
            </w:r>
          </w:p>
          <w:p w14:paraId="79F5DD58" w14:textId="77777777" w:rsidR="003439DF" w:rsidRDefault="003439DF" w:rsidP="003439DF">
            <w:pPr>
              <w:pStyle w:val="Tabletext"/>
            </w:pPr>
            <w:r>
              <w:t>Psychological factors</w:t>
            </w:r>
          </w:p>
          <w:p w14:paraId="6FE3A14D" w14:textId="77777777" w:rsidR="003439DF" w:rsidRDefault="003439DF" w:rsidP="003439DF">
            <w:pPr>
              <w:pStyle w:val="Tabletext"/>
            </w:pPr>
            <w:r>
              <w:t>Poor health literacy</w:t>
            </w:r>
          </w:p>
          <w:p w14:paraId="08149029" w14:textId="77777777" w:rsidR="00DC0322" w:rsidRDefault="00DC0322" w:rsidP="003439DF">
            <w:pPr>
              <w:pStyle w:val="Tabletext"/>
            </w:pPr>
            <w:r>
              <w:t>Allergy</w:t>
            </w:r>
          </w:p>
          <w:p w14:paraId="6C09BEE3" w14:textId="77777777" w:rsidR="00DF4717" w:rsidRDefault="00DF4717" w:rsidP="003439DF">
            <w:pPr>
              <w:pStyle w:val="Tabletext"/>
            </w:pPr>
            <w:r>
              <w:t>Intolerance/ side effects</w:t>
            </w:r>
          </w:p>
          <w:p w14:paraId="03D8FE15" w14:textId="77777777" w:rsidR="00DF4717" w:rsidRDefault="00DF4717" w:rsidP="003439DF">
            <w:pPr>
              <w:pStyle w:val="Tabletext"/>
            </w:pPr>
            <w:r>
              <w:t>Socio-cultural factors</w:t>
            </w:r>
          </w:p>
          <w:p w14:paraId="2986CEE6" w14:textId="77777777" w:rsidR="00DF4717" w:rsidRDefault="00DF4717" w:rsidP="003439DF">
            <w:pPr>
              <w:pStyle w:val="Tabletext"/>
            </w:pPr>
            <w:r>
              <w:t>Cost</w:t>
            </w:r>
          </w:p>
          <w:p w14:paraId="25A194D2" w14:textId="6D6F9EF3" w:rsidR="00DF4717" w:rsidRDefault="006056A8" w:rsidP="003439DF">
            <w:pPr>
              <w:pStyle w:val="Tabletext"/>
            </w:pPr>
            <w:r>
              <w:t>Patient preference</w:t>
            </w:r>
          </w:p>
        </w:tc>
        <w:tc>
          <w:tcPr>
            <w:tcW w:w="3190" w:type="dxa"/>
          </w:tcPr>
          <w:p w14:paraId="46823D96" w14:textId="444119CB" w:rsidR="003439DF" w:rsidRDefault="0086556E" w:rsidP="003439DF">
            <w:pPr>
              <w:pStyle w:val="Tabletext"/>
            </w:pPr>
            <w:r>
              <w:t>Differences in clinic</w:t>
            </w:r>
            <w:r w:rsidR="009068C5">
              <w:t>ian’s risk assessment of side-effects</w:t>
            </w:r>
            <w:r w:rsidR="003868FF">
              <w:t xml:space="preserve"> as they relate to individual patient factors</w:t>
            </w:r>
          </w:p>
          <w:p w14:paraId="02B29753" w14:textId="3D53F3F8" w:rsidR="009068C5" w:rsidRDefault="00F03259" w:rsidP="003439DF">
            <w:pPr>
              <w:pStyle w:val="Tabletext"/>
            </w:pPr>
            <w:r>
              <w:t>Guideline</w:t>
            </w:r>
            <w:r w:rsidR="009068C5">
              <w:t xml:space="preserve"> complexity and perceived lack of guideline applicability</w:t>
            </w:r>
          </w:p>
          <w:p w14:paraId="7A81F2C7" w14:textId="77777777" w:rsidR="009068C5" w:rsidRDefault="009068C5" w:rsidP="003439DF">
            <w:pPr>
              <w:pStyle w:val="Tabletext"/>
            </w:pPr>
            <w:r>
              <w:t>Risk treatment paradox</w:t>
            </w:r>
          </w:p>
          <w:p w14:paraId="0BA66E2D" w14:textId="77777777" w:rsidR="00F03259" w:rsidRDefault="00F03259" w:rsidP="003439DF">
            <w:pPr>
              <w:pStyle w:val="Tabletext"/>
            </w:pPr>
            <w:r>
              <w:t>Clinical inertia</w:t>
            </w:r>
          </w:p>
          <w:p w14:paraId="58DEA9F6" w14:textId="77777777" w:rsidR="00FF76C7" w:rsidRDefault="00FF76C7" w:rsidP="003439DF">
            <w:pPr>
              <w:pStyle w:val="Tabletext"/>
            </w:pPr>
            <w:r>
              <w:t>Time pressures</w:t>
            </w:r>
          </w:p>
          <w:p w14:paraId="74772BF0" w14:textId="77777777" w:rsidR="00FF76C7" w:rsidRDefault="00FF76C7" w:rsidP="003439DF">
            <w:pPr>
              <w:pStyle w:val="Tabletext"/>
            </w:pPr>
            <w:r>
              <w:t>Therapeutic relationship</w:t>
            </w:r>
          </w:p>
          <w:p w14:paraId="42D714DB" w14:textId="1C381C43" w:rsidR="00DC2673" w:rsidRDefault="00DC2673" w:rsidP="003439DF">
            <w:pPr>
              <w:pStyle w:val="Tabletext"/>
            </w:pPr>
            <w:r>
              <w:t>Resistance to change (status quo bias)</w:t>
            </w:r>
          </w:p>
        </w:tc>
        <w:tc>
          <w:tcPr>
            <w:tcW w:w="3191" w:type="dxa"/>
          </w:tcPr>
          <w:p w14:paraId="6C626AA7" w14:textId="2601A4CC" w:rsidR="003439DF" w:rsidRDefault="003439DF" w:rsidP="003439DF">
            <w:pPr>
              <w:pStyle w:val="Tabletext"/>
            </w:pPr>
            <w:r>
              <w:t>Health care costs</w:t>
            </w:r>
          </w:p>
          <w:p w14:paraId="0B299B88" w14:textId="77777777" w:rsidR="0086556E" w:rsidRDefault="0086556E" w:rsidP="003439DF">
            <w:pPr>
              <w:pStyle w:val="Tabletext"/>
            </w:pPr>
            <w:r>
              <w:t>Government policies</w:t>
            </w:r>
          </w:p>
          <w:p w14:paraId="6E9E46AE" w14:textId="77777777" w:rsidR="0086556E" w:rsidRDefault="0086556E" w:rsidP="003439DF">
            <w:pPr>
              <w:pStyle w:val="Tabletext"/>
            </w:pPr>
            <w:r>
              <w:t>Access to healthcare</w:t>
            </w:r>
          </w:p>
          <w:p w14:paraId="058E2DA9" w14:textId="77777777" w:rsidR="0086556E" w:rsidRDefault="0086556E" w:rsidP="003439DF">
            <w:pPr>
              <w:pStyle w:val="Tabletext"/>
            </w:pPr>
            <w:r>
              <w:t>Health care provider education</w:t>
            </w:r>
          </w:p>
          <w:p w14:paraId="0F5F501A" w14:textId="77777777" w:rsidR="006056A8" w:rsidRDefault="006056A8" w:rsidP="003439DF">
            <w:pPr>
              <w:pStyle w:val="Tabletext"/>
            </w:pPr>
            <w:r>
              <w:t>Funding</w:t>
            </w:r>
          </w:p>
          <w:p w14:paraId="5047E3DC" w14:textId="6733724F" w:rsidR="006056A8" w:rsidRDefault="006056A8" w:rsidP="003439DF">
            <w:pPr>
              <w:pStyle w:val="Tabletext"/>
            </w:pPr>
            <w:r>
              <w:t>Staffing</w:t>
            </w:r>
          </w:p>
        </w:tc>
      </w:tr>
    </w:tbl>
    <w:p w14:paraId="478B9654" w14:textId="729A8338" w:rsidR="009857D5" w:rsidRDefault="009857D5" w:rsidP="00810FD4">
      <w:pPr>
        <w:pStyle w:val="Tablenotes"/>
      </w:pPr>
      <w:r>
        <w:t xml:space="preserve">GDMT = </w:t>
      </w:r>
      <w:r w:rsidR="001537FE">
        <w:t>guideline directed medical therapy</w:t>
      </w:r>
    </w:p>
    <w:p w14:paraId="2DB5127B" w14:textId="45D87BBC" w:rsidR="00E63F15" w:rsidRDefault="00A265BC" w:rsidP="00810FD4">
      <w:pPr>
        <w:pStyle w:val="Tablenotes"/>
      </w:pPr>
      <w:r>
        <w:t xml:space="preserve">Source Adapted from </w:t>
      </w:r>
      <w:r w:rsidR="008B4179">
        <w:t xml:space="preserve">Figure </w:t>
      </w:r>
      <w:r w:rsidR="00F75D03">
        <w:t xml:space="preserve">3 </w:t>
      </w:r>
      <w:r w:rsidR="008B4179">
        <w:t xml:space="preserve">of </w:t>
      </w:r>
      <w:r w:rsidR="008B4179" w:rsidRPr="008B4179">
        <w:t>M</w:t>
      </w:r>
      <w:r w:rsidR="00FC3E40">
        <w:t>algie</w:t>
      </w:r>
      <w:r w:rsidR="008B4179" w:rsidRPr="008B4179">
        <w:t xml:space="preserve"> et al.</w:t>
      </w:r>
      <w:r w:rsidR="008B4179">
        <w:t xml:space="preserve"> (202</w:t>
      </w:r>
      <w:r w:rsidR="00FC3E40">
        <w:t>3</w:t>
      </w:r>
      <w:r w:rsidR="008B4179">
        <w:t xml:space="preserve">) and </w:t>
      </w:r>
      <w:r w:rsidR="0037393B">
        <w:t xml:space="preserve">Figure 1 of </w:t>
      </w:r>
      <w:r w:rsidR="007907B3">
        <w:t xml:space="preserve">Freedman et al. </w:t>
      </w:r>
      <w:r w:rsidR="007907B3" w:rsidRPr="007907B3">
        <w:t>(2025)</w:t>
      </w:r>
    </w:p>
    <w:p w14:paraId="02E226E1" w14:textId="1E36A582" w:rsidR="003A685C" w:rsidRDefault="003A685C" w:rsidP="006B697F">
      <w:pPr>
        <w:pStyle w:val="Heading4"/>
      </w:pPr>
      <w:r>
        <w:t>Non-pharmacological management of heart failure</w:t>
      </w:r>
    </w:p>
    <w:p w14:paraId="39B3E18C" w14:textId="2AB1D6F8" w:rsidR="00055862" w:rsidRPr="00105D81" w:rsidRDefault="00333A5F" w:rsidP="006B697F">
      <w:r>
        <w:t>Effective long-term management of HF is not only pharmacological</w:t>
      </w:r>
      <w:r w:rsidR="00755D4B">
        <w:t xml:space="preserve">, </w:t>
      </w:r>
      <w:r w:rsidR="00C45314">
        <w:t>but it</w:t>
      </w:r>
      <w:r w:rsidR="00755D4B">
        <w:t xml:space="preserve"> also requires </w:t>
      </w:r>
      <w:r w:rsidR="007A5B90">
        <w:t>addressing comorbidity and polypharmacy</w:t>
      </w:r>
      <w:r w:rsidR="000F754C">
        <w:t xml:space="preserve"> and</w:t>
      </w:r>
      <w:r w:rsidR="007A5B90">
        <w:t xml:space="preserve"> supporting self-management</w:t>
      </w:r>
      <w:r w:rsidR="00F21112">
        <w:t xml:space="preserve">. </w:t>
      </w:r>
      <w:r w:rsidR="00A10E41">
        <w:t>Guideline</w:t>
      </w:r>
      <w:r w:rsidR="00E54B50">
        <w:t>s</w:t>
      </w:r>
      <w:r w:rsidR="00A10E41">
        <w:t xml:space="preserve"> recommend </w:t>
      </w:r>
      <w:r w:rsidR="00A90993">
        <w:t xml:space="preserve">regular moderate intensity continuous exercise </w:t>
      </w:r>
      <w:r w:rsidR="00ED11E5">
        <w:t>to improve physical functioning</w:t>
      </w:r>
      <w:r w:rsidR="00E83C13">
        <w:t xml:space="preserve"> and</w:t>
      </w:r>
      <w:r w:rsidR="00ED11E5">
        <w:t xml:space="preserve"> quality of life</w:t>
      </w:r>
      <w:r w:rsidR="00E83C13">
        <w:t>,</w:t>
      </w:r>
      <w:r w:rsidR="00ED11E5">
        <w:t xml:space="preserve"> and decrease </w:t>
      </w:r>
      <w:r w:rsidR="00ED11E5">
        <w:lastRenderedPageBreak/>
        <w:t>hospitalisation</w:t>
      </w:r>
      <w:r w:rsidR="002532B2">
        <w:t xml:space="preserve"> (Atherton et al. 2018)</w:t>
      </w:r>
      <w:r w:rsidR="000F754C">
        <w:t>.</w:t>
      </w:r>
      <w:r w:rsidR="00C77CE6">
        <w:t xml:space="preserve"> Fluid management, dietary </w:t>
      </w:r>
      <w:r w:rsidR="00F975AC">
        <w:t xml:space="preserve">approaches and risk factors are also discussed. </w:t>
      </w:r>
      <w:r w:rsidR="00C10299">
        <w:t>R</w:t>
      </w:r>
      <w:r w:rsidR="00055862">
        <w:t>ecommendations are also made regarding devices, surgery and percutaneous procedures</w:t>
      </w:r>
      <w:r w:rsidR="00C45314">
        <w:t>.</w:t>
      </w:r>
    </w:p>
    <w:p w14:paraId="24B81440" w14:textId="72A36EE4" w:rsidR="007F3947" w:rsidRDefault="007F3947" w:rsidP="007F3947">
      <w:pPr>
        <w:pStyle w:val="Heading4"/>
      </w:pPr>
      <w:r>
        <w:t>Post-discharge care</w:t>
      </w:r>
    </w:p>
    <w:p w14:paraId="18617336" w14:textId="1DCBF49B" w:rsidR="00306F46" w:rsidRDefault="00306F46" w:rsidP="00ED0A92">
      <w:r>
        <w:t xml:space="preserve">The </w:t>
      </w:r>
      <w:r w:rsidR="001D1AB2">
        <w:t>post</w:t>
      </w:r>
      <w:r w:rsidR="00EF69B6">
        <w:t>-</w:t>
      </w:r>
      <w:r w:rsidR="001D1AB2">
        <w:t xml:space="preserve">discharge period </w:t>
      </w:r>
      <w:r w:rsidR="006936F7">
        <w:t xml:space="preserve">is a critical </w:t>
      </w:r>
      <w:r w:rsidR="00757E3F">
        <w:t>period due</w:t>
      </w:r>
      <w:r w:rsidR="006936F7">
        <w:t xml:space="preserve"> to</w:t>
      </w:r>
      <w:r w:rsidR="0082583E">
        <w:t xml:space="preserve"> an</w:t>
      </w:r>
      <w:r w:rsidR="006936F7">
        <w:t xml:space="preserve"> </w:t>
      </w:r>
      <w:r w:rsidR="00021E86">
        <w:t xml:space="preserve">increased risk of mortality and rehospitalisation and </w:t>
      </w:r>
      <w:r w:rsidR="001D1AB2">
        <w:t>has been</w:t>
      </w:r>
      <w:r w:rsidR="00154A80">
        <w:t xml:space="preserve"> referred to as the vulnerable phase </w:t>
      </w:r>
      <w:r w:rsidR="00154A80" w:rsidRPr="00154A80">
        <w:rPr>
          <w:rFonts w:cs="Calibri"/>
        </w:rPr>
        <w:t>(Greene et al. 2015)</w:t>
      </w:r>
      <w:r w:rsidR="004A45FA">
        <w:t>. The exact duration of this period i</w:t>
      </w:r>
      <w:r w:rsidR="004D7BB8">
        <w:t>s</w:t>
      </w:r>
      <w:r w:rsidR="004A45FA">
        <w:t xml:space="preserve"> </w:t>
      </w:r>
      <w:r w:rsidR="009B6276">
        <w:t>unclear,</w:t>
      </w:r>
      <w:r w:rsidR="004A45FA">
        <w:t xml:space="preserve"> but it is suggested to last </w:t>
      </w:r>
      <w:r w:rsidR="00D257AE">
        <w:t>2-3 months</w:t>
      </w:r>
      <w:r w:rsidR="004D7BB8">
        <w:t xml:space="preserve">. </w:t>
      </w:r>
      <w:r w:rsidR="00501CA7">
        <w:t>Mortality and rehospitalisation occur for ma</w:t>
      </w:r>
      <w:r w:rsidR="009B6276">
        <w:t>n</w:t>
      </w:r>
      <w:r w:rsidR="00501CA7">
        <w:t>y different reasons</w:t>
      </w:r>
      <w:r w:rsidR="00082F40">
        <w:t>,</w:t>
      </w:r>
      <w:r w:rsidR="00501CA7">
        <w:t xml:space="preserve"> both cardiac and noncardiac</w:t>
      </w:r>
      <w:r w:rsidR="00082F40">
        <w:t>;</w:t>
      </w:r>
      <w:r w:rsidR="0075341E">
        <w:t xml:space="preserve"> however</w:t>
      </w:r>
      <w:r w:rsidR="00082F40">
        <w:t>,</w:t>
      </w:r>
      <w:r w:rsidR="0075341E">
        <w:t xml:space="preserve"> a large subset of patients </w:t>
      </w:r>
      <w:r w:rsidR="008748B0">
        <w:t xml:space="preserve">are rehospitalised due to </w:t>
      </w:r>
      <w:r w:rsidR="00EE78F8">
        <w:t xml:space="preserve">short-term worsening of haemodynamics, particularly increased left ventricular </w:t>
      </w:r>
      <w:r w:rsidR="009B6276">
        <w:t xml:space="preserve">filling </w:t>
      </w:r>
      <w:r w:rsidR="00EE78F8">
        <w:t>pressure</w:t>
      </w:r>
      <w:r w:rsidR="009B6276">
        <w:t xml:space="preserve">s </w:t>
      </w:r>
      <w:r w:rsidR="009B6276" w:rsidRPr="009B6276">
        <w:rPr>
          <w:rFonts w:cs="Calibri"/>
        </w:rPr>
        <w:t>(Greene et al. 2015)</w:t>
      </w:r>
      <w:r w:rsidR="009B6276">
        <w:t>.</w:t>
      </w:r>
    </w:p>
    <w:p w14:paraId="7F56F3E3" w14:textId="041D38E7" w:rsidR="001C336C" w:rsidRDefault="00271FCF" w:rsidP="00ED0A92">
      <w:r>
        <w:t>The Australian Clinical Practice guidelines acknowledge this as a vulnerable period and state th</w:t>
      </w:r>
      <w:r w:rsidR="000026D2">
        <w:t>at</w:t>
      </w:r>
      <w:r>
        <w:t xml:space="preserve"> ideally patients should be reviewed within the first 7-14 days</w:t>
      </w:r>
      <w:r w:rsidR="00C400FD">
        <w:t xml:space="preserve"> of discharge from hospital</w:t>
      </w:r>
      <w:r w:rsidR="00034DBF">
        <w:t>;</w:t>
      </w:r>
      <w:r w:rsidR="00C400FD">
        <w:t xml:space="preserve"> however</w:t>
      </w:r>
      <w:r w:rsidR="00034DBF">
        <w:t>,</w:t>
      </w:r>
      <w:r w:rsidR="00C400FD">
        <w:t xml:space="preserve"> no formal recommendation</w:t>
      </w:r>
      <w:r w:rsidR="000026D2">
        <w:t xml:space="preserve"> was made</w:t>
      </w:r>
      <w:r w:rsidR="002C6BC2">
        <w:t xml:space="preserve">. </w:t>
      </w:r>
      <w:r w:rsidR="00070F79">
        <w:t>Two related s</w:t>
      </w:r>
      <w:r w:rsidR="007C346E">
        <w:t>trong r</w:t>
      </w:r>
      <w:r w:rsidR="002C6BC2">
        <w:t>ecommendations were</w:t>
      </w:r>
      <w:r w:rsidR="007C013A">
        <w:t xml:space="preserve"> made</w:t>
      </w:r>
      <w:r w:rsidR="00070F79">
        <w:t>:</w:t>
      </w:r>
    </w:p>
    <w:p w14:paraId="21F18657" w14:textId="021E226B" w:rsidR="00271FCF" w:rsidRDefault="0095668D" w:rsidP="00855185">
      <w:pPr>
        <w:pStyle w:val="ListParagraph"/>
        <w:numPr>
          <w:ilvl w:val="0"/>
          <w:numId w:val="7"/>
        </w:numPr>
      </w:pPr>
      <w:r>
        <w:t>r</w:t>
      </w:r>
      <w:r w:rsidR="001C336C">
        <w:t xml:space="preserve">eferral to a multidisciplinary </w:t>
      </w:r>
      <w:r w:rsidR="004C1989">
        <w:t>HF</w:t>
      </w:r>
      <w:r w:rsidR="001C336C">
        <w:t xml:space="preserve"> disease-management program</w:t>
      </w:r>
      <w:r w:rsidR="00DA4A8C">
        <w:t xml:space="preserve"> is recommended</w:t>
      </w:r>
      <w:r w:rsidR="001C336C">
        <w:t xml:space="preserve"> in patients with HF associated with high-risk features to decrease mortality and rehospitalisation, and</w:t>
      </w:r>
    </w:p>
    <w:p w14:paraId="23273A9F" w14:textId="086AE197" w:rsidR="001C336C" w:rsidRDefault="0095668D" w:rsidP="00855185">
      <w:pPr>
        <w:pStyle w:val="ListParagraph"/>
        <w:numPr>
          <w:ilvl w:val="0"/>
          <w:numId w:val="7"/>
        </w:numPr>
      </w:pPr>
      <w:r>
        <w:t>n</w:t>
      </w:r>
      <w:r w:rsidR="000357A4">
        <w:t xml:space="preserve">urse-led medication titration is recommended in patients with HFrEF who have not achieved maximum tolerated doses of ACE inhibitors, ARBs, ARNIs, beta blockers or MRAs, to decrease hospitalisation </w:t>
      </w:r>
      <w:r w:rsidR="000357A4" w:rsidRPr="000357A4">
        <w:rPr>
          <w:rFonts w:cs="Calibri"/>
        </w:rPr>
        <w:t>(Atherton et al. 2018)</w:t>
      </w:r>
      <w:r w:rsidR="000357A4">
        <w:t>.</w:t>
      </w:r>
    </w:p>
    <w:p w14:paraId="600F8CBC" w14:textId="6D69C54C" w:rsidR="00006A3F" w:rsidRDefault="00006A3F" w:rsidP="001F7B78">
      <w:r>
        <w:t xml:space="preserve">Remote nurse-led titration of medication has been demonstrated to improve GDMT in the Australian context </w:t>
      </w:r>
      <w:r w:rsidRPr="000B0BF3">
        <w:rPr>
          <w:rFonts w:cs="Calibri"/>
        </w:rPr>
        <w:t>(Freedman et al. 2025)</w:t>
      </w:r>
      <w:r w:rsidR="001C67B9">
        <w:t>.</w:t>
      </w:r>
    </w:p>
    <w:p w14:paraId="6672728F" w14:textId="7DA61401" w:rsidR="0053426A" w:rsidRDefault="00CA67AE" w:rsidP="001F7B78">
      <w:r>
        <w:t>In the V</w:t>
      </w:r>
      <w:r w:rsidR="00101E99">
        <w:t>COR study</w:t>
      </w:r>
      <w:r w:rsidR="00CA51EA">
        <w:t xml:space="preserve"> (Victorian public and private hospitals)</w:t>
      </w:r>
      <w:r w:rsidR="007C1AF3">
        <w:t>,</w:t>
      </w:r>
      <w:r w:rsidR="00101E99">
        <w:t xml:space="preserve"> in</w:t>
      </w:r>
      <w:r>
        <w:t>-hospital mortality was 5.1% and 30-day mortality 9%. The readmission rate within 30</w:t>
      </w:r>
      <w:r w:rsidR="00C35A96">
        <w:t xml:space="preserve"> </w:t>
      </w:r>
      <w:r>
        <w:t>days was 24.4%</w:t>
      </w:r>
      <w:r w:rsidR="00101E99">
        <w:t xml:space="preserve"> </w:t>
      </w:r>
      <w:r w:rsidR="00101E99" w:rsidRPr="00101E99">
        <w:rPr>
          <w:rFonts w:cs="Calibri"/>
        </w:rPr>
        <w:t>(Driscoll et al. 2020)</w:t>
      </w:r>
      <w:r w:rsidR="00101E99">
        <w:t>.</w:t>
      </w:r>
      <w:r w:rsidR="002626A2">
        <w:t xml:space="preserve"> </w:t>
      </w:r>
      <w:r w:rsidR="00E10F07">
        <w:t>In this cohort</w:t>
      </w:r>
      <w:r w:rsidR="00CF2A57">
        <w:t>,</w:t>
      </w:r>
      <w:r w:rsidR="00E10F07">
        <w:t xml:space="preserve"> </w:t>
      </w:r>
      <w:r w:rsidR="00274C25">
        <w:t>62.5% of patients were referred to an outpatient clinic post</w:t>
      </w:r>
      <w:r w:rsidR="00CF2A57">
        <w:t xml:space="preserve"> </w:t>
      </w:r>
      <w:r w:rsidR="00274C25">
        <w:t>discharge</w:t>
      </w:r>
      <w:r w:rsidR="00195255">
        <w:t>,</w:t>
      </w:r>
      <w:r w:rsidR="00274C25">
        <w:t xml:space="preserve"> and at 30</w:t>
      </w:r>
      <w:r w:rsidR="00CF2A57">
        <w:t xml:space="preserve"> </w:t>
      </w:r>
      <w:r w:rsidR="00274C25">
        <w:t>days post</w:t>
      </w:r>
      <w:r w:rsidR="00CF2A57">
        <w:t xml:space="preserve"> </w:t>
      </w:r>
      <w:r w:rsidR="00274C25">
        <w:t>discharge, 25.</w:t>
      </w:r>
      <w:r w:rsidR="00EF40EC">
        <w:t xml:space="preserve">7% of these patients were waiting for an appointment date </w:t>
      </w:r>
      <w:r w:rsidR="00F706E4">
        <w:t>(</w:t>
      </w:r>
      <w:r w:rsidR="00EF40EC">
        <w:t>the average time to an outpatient clinical visit was 27 days</w:t>
      </w:r>
      <w:r w:rsidR="00F706E4">
        <w:t>)</w:t>
      </w:r>
      <w:r w:rsidR="006F1C59">
        <w:t>. A third of patients were referred to a HF disease management program (34.4%)</w:t>
      </w:r>
      <w:r w:rsidR="00207F69">
        <w:t>;</w:t>
      </w:r>
      <w:r w:rsidR="00C94B1B">
        <w:t xml:space="preserve"> of these</w:t>
      </w:r>
      <w:r w:rsidR="00207F69">
        <w:t>,</w:t>
      </w:r>
      <w:r w:rsidR="00C94B1B">
        <w:t xml:space="preserve"> 54% received a home visit within 30 days of discharge</w:t>
      </w:r>
      <w:r w:rsidR="00CC61CB">
        <w:t xml:space="preserve"> and the average time to review was 21 days.</w:t>
      </w:r>
      <w:r w:rsidR="001F7B78">
        <w:t xml:space="preserve"> An outpatient appointment within 30 days of discharge reduced the risk of mortality by 81% (OR 0.19, 95% CI 0.09–0.43).</w:t>
      </w:r>
    </w:p>
    <w:p w14:paraId="24AD6E1E" w14:textId="75C887A8" w:rsidR="00691382" w:rsidRDefault="006076CB" w:rsidP="001F7B78">
      <w:r>
        <w:t>A</w:t>
      </w:r>
      <w:r w:rsidR="00674BC7">
        <w:t>n analysis by the Australian Institute of Health and Welfare (AIHW</w:t>
      </w:r>
      <w:bookmarkStart w:id="12" w:name="_Ref235527419"/>
      <w:r w:rsidR="00674BC7">
        <w:rPr>
          <w:rStyle w:val="FootnoteReference"/>
        </w:rPr>
        <w:footnoteReference w:id="9"/>
      </w:r>
      <w:bookmarkEnd w:id="12"/>
      <w:r w:rsidR="00674BC7">
        <w:t xml:space="preserve">) reported on patients who were hospitalised for </w:t>
      </w:r>
      <w:r>
        <w:t>HF</w:t>
      </w:r>
      <w:r w:rsidR="00674BC7">
        <w:t xml:space="preserve"> in 2019 and the </w:t>
      </w:r>
      <w:r w:rsidR="00646F46">
        <w:t xml:space="preserve">post-discharge </w:t>
      </w:r>
      <w:r w:rsidR="00674BC7">
        <w:t>care they received</w:t>
      </w:r>
      <w:r w:rsidR="00420714">
        <w:t>;</w:t>
      </w:r>
      <w:r w:rsidR="00674BC7">
        <w:t xml:space="preserve"> </w:t>
      </w:r>
      <w:r w:rsidR="0033153A">
        <w:t>61% of the cohort visited a general practitioner (GP) within one week of discharge from the index hospitalisation</w:t>
      </w:r>
      <w:r w:rsidR="001A1461">
        <w:t xml:space="preserve"> and 38% visited a GP more than twice a month (on average) following their index hospitalisation.</w:t>
      </w:r>
      <w:r w:rsidR="00154799">
        <w:t xml:space="preserve"> In the year following hospitalisation, 77% of the cohort saw a specialist </w:t>
      </w:r>
      <w:r w:rsidR="0088654A">
        <w:t>o</w:t>
      </w:r>
      <w:r w:rsidR="00353C94">
        <w:t>f</w:t>
      </w:r>
      <w:r w:rsidR="0088654A">
        <w:t xml:space="preserve"> any type, 48% saw a cardiologist</w:t>
      </w:r>
      <w:r w:rsidR="00196CD4">
        <w:t xml:space="preserve"> and 22% access</w:t>
      </w:r>
      <w:r w:rsidR="00E35BA7">
        <w:t>ed</w:t>
      </w:r>
      <w:r w:rsidR="00196CD4">
        <w:t xml:space="preserve"> residential aged care. </w:t>
      </w:r>
      <w:r w:rsidR="00D710B1">
        <w:t>Fewer than 4% accessed a nurse practitioner</w:t>
      </w:r>
      <w:r w:rsidR="0002492C">
        <w:t xml:space="preserve"> </w:t>
      </w:r>
      <w:r w:rsidR="00736354">
        <w:t>during</w:t>
      </w:r>
      <w:r w:rsidR="0002492C">
        <w:t xml:space="preserve"> the </w:t>
      </w:r>
      <w:r w:rsidR="008E6ED9">
        <w:t>1-year</w:t>
      </w:r>
      <w:r w:rsidR="0002492C">
        <w:t xml:space="preserve"> post</w:t>
      </w:r>
      <w:r w:rsidR="00635610">
        <w:t>-</w:t>
      </w:r>
      <w:r w:rsidR="0002492C">
        <w:t>index hospitalisation</w:t>
      </w:r>
      <w:r w:rsidR="00736354">
        <w:t xml:space="preserve"> period</w:t>
      </w:r>
      <w:r w:rsidR="0002492C">
        <w:t xml:space="preserve">. </w:t>
      </w:r>
    </w:p>
    <w:p w14:paraId="76F38B20" w14:textId="176D096F" w:rsidR="002D2D44" w:rsidRDefault="00CD2D5D" w:rsidP="00CD2D5D">
      <w:pPr>
        <w:pStyle w:val="Heading5"/>
      </w:pPr>
      <w:r>
        <w:t>GDMT in the STRONG-HF trial</w:t>
      </w:r>
    </w:p>
    <w:p w14:paraId="6BE2C777" w14:textId="5CBD0408" w:rsidR="00A44465" w:rsidRDefault="0088505A" w:rsidP="00CD2D5D">
      <w:r>
        <w:t>Following randomisation into the intervention arm of STRONG-HF</w:t>
      </w:r>
      <w:r w:rsidR="00170F39">
        <w:t>,</w:t>
      </w:r>
      <w:r w:rsidR="00F512BF">
        <w:t xml:space="preserve"> patients were prescribed medical therapy with beta-blockers, ACE</w:t>
      </w:r>
      <w:r w:rsidR="007C0D4D">
        <w:t xml:space="preserve"> inhibitor</w:t>
      </w:r>
      <w:r w:rsidR="00F512BF">
        <w:t xml:space="preserve"> (</w:t>
      </w:r>
      <w:r w:rsidR="00A44465">
        <w:t>or ARB if intolerant to ACE</w:t>
      </w:r>
      <w:r w:rsidR="007C0D4D">
        <w:t xml:space="preserve"> inhibitor</w:t>
      </w:r>
      <w:r w:rsidR="00A44465">
        <w:t>) or ARNI, and MRA</w:t>
      </w:r>
      <w:r w:rsidR="00580C5E">
        <w:t xml:space="preserve"> adjusted to at least half the optimal dose. </w:t>
      </w:r>
      <w:r w:rsidR="009000E0">
        <w:t>Dose increases were recommended</w:t>
      </w:r>
      <w:r w:rsidR="000C01E0">
        <w:t xml:space="preserve"> in </w:t>
      </w:r>
      <w:r w:rsidR="00D16B03">
        <w:t>hemodynamically</w:t>
      </w:r>
      <w:r w:rsidR="000C01E0">
        <w:t xml:space="preserve"> stable patients</w:t>
      </w:r>
      <w:r w:rsidR="00D16B03">
        <w:t>,</w:t>
      </w:r>
      <w:r w:rsidR="000C01E0">
        <w:t xml:space="preserve"> ideally </w:t>
      </w:r>
      <w:r w:rsidR="000A559F">
        <w:t xml:space="preserve">in the same day, but if needed, over </w:t>
      </w:r>
      <w:r w:rsidR="0077654F">
        <w:t xml:space="preserve">the two days before discharge. </w:t>
      </w:r>
    </w:p>
    <w:p w14:paraId="15CB1AEA" w14:textId="33481B63" w:rsidR="00F415A9" w:rsidRDefault="00793FB1" w:rsidP="00CD2D5D">
      <w:r>
        <w:lastRenderedPageBreak/>
        <w:t>T</w:t>
      </w:r>
      <w:r w:rsidR="0077654F">
        <w:t xml:space="preserve">he study team </w:t>
      </w:r>
      <w:r>
        <w:t xml:space="preserve">assessed safety and tolerability </w:t>
      </w:r>
      <w:r w:rsidR="0077654F">
        <w:t xml:space="preserve">at </w:t>
      </w:r>
      <w:r w:rsidR="00D04EB9">
        <w:t xml:space="preserve">1, 2, 3 and 6 weeks </w:t>
      </w:r>
      <w:r w:rsidR="0043597A">
        <w:t xml:space="preserve">by </w:t>
      </w:r>
      <w:r w:rsidR="00092EE8">
        <w:t>a full physical examination</w:t>
      </w:r>
      <w:r w:rsidR="0043597A">
        <w:t xml:space="preserve"> and</w:t>
      </w:r>
      <w:r w:rsidR="00033964">
        <w:t xml:space="preserve"> laboratory assessment</w:t>
      </w:r>
      <w:r w:rsidR="00F415A9">
        <w:t>s</w:t>
      </w:r>
      <w:r w:rsidR="00033964">
        <w:t xml:space="preserve"> of NT-proBNP</w:t>
      </w:r>
      <w:r w:rsidR="00F415A9">
        <w:t>, growth differentiation factor 15 (GDNT-15)</w:t>
      </w:r>
      <w:r w:rsidR="00C843FF">
        <w:t>, sodium, potassium, glucose, kidney function, and haemoglobin measures.</w:t>
      </w:r>
      <w:r w:rsidR="006E2070">
        <w:t xml:space="preserve"> Two weeks following randomisation, up</w:t>
      </w:r>
      <w:r w:rsidR="002B0FDF">
        <w:t>-</w:t>
      </w:r>
      <w:r w:rsidR="002E265B">
        <w:t xml:space="preserve">titration to full optimal doses was </w:t>
      </w:r>
      <w:r w:rsidR="003F5EDB">
        <w:t>anticipated given adequate safety. Guidance for delaying up titrations was:</w:t>
      </w:r>
    </w:p>
    <w:p w14:paraId="3B488B08" w14:textId="3CB21B47" w:rsidR="003F5EDB" w:rsidRDefault="00B94305" w:rsidP="00B94305">
      <w:pPr>
        <w:pStyle w:val="ListParagraph"/>
        <w:numPr>
          <w:ilvl w:val="0"/>
          <w:numId w:val="25"/>
        </w:numPr>
      </w:pPr>
      <w:r>
        <w:t>ACE</w:t>
      </w:r>
      <w:r w:rsidR="007C0D4D">
        <w:t xml:space="preserve"> inhibitor</w:t>
      </w:r>
      <w:r>
        <w:t>/ARB/ARN</w:t>
      </w:r>
      <w:r w:rsidR="007C0D4D">
        <w:t>I</w:t>
      </w:r>
      <w:r>
        <w:t xml:space="preserve"> and/or MRAs will not be </w:t>
      </w:r>
      <w:r w:rsidR="00ED378E">
        <w:t>up</w:t>
      </w:r>
      <w:r w:rsidR="002B0FDF">
        <w:t>-</w:t>
      </w:r>
      <w:r w:rsidR="00ED378E">
        <w:t>titrated</w:t>
      </w:r>
      <w:r>
        <w:t xml:space="preserve"> if systolic blood pressure is &lt;95 mmHg, serum potassium &gt;5.0 mmol/L, or estimated glomerular filtration rate (eGFR) is &lt;30 mL/min/1.73 m</w:t>
      </w:r>
      <w:r w:rsidRPr="006B697F">
        <w:rPr>
          <w:vertAlign w:val="superscript"/>
        </w:rPr>
        <w:t>2</w:t>
      </w:r>
      <w:r>
        <w:t>.</w:t>
      </w:r>
    </w:p>
    <w:p w14:paraId="19E9D150" w14:textId="10DDD8A5" w:rsidR="00ED378E" w:rsidRDefault="00ED378E" w:rsidP="00ED378E">
      <w:pPr>
        <w:pStyle w:val="ListParagraph"/>
        <w:numPr>
          <w:ilvl w:val="0"/>
          <w:numId w:val="25"/>
        </w:numPr>
      </w:pPr>
      <w:r>
        <w:t>If eGFR alone is &lt;30 mL/min/1.73 m</w:t>
      </w:r>
      <w:r w:rsidRPr="006B697F">
        <w:rPr>
          <w:vertAlign w:val="superscript"/>
        </w:rPr>
        <w:t>2</w:t>
      </w:r>
      <w:r>
        <w:t>, investigators are encouraged to reduce the dose of diuretics, if those are deemed high or have been recently up titrated.</w:t>
      </w:r>
    </w:p>
    <w:p w14:paraId="790DE891" w14:textId="3B41E7E9" w:rsidR="000E4F41" w:rsidRDefault="000E4F41" w:rsidP="00016D8D">
      <w:pPr>
        <w:pStyle w:val="ListParagraph"/>
        <w:numPr>
          <w:ilvl w:val="0"/>
          <w:numId w:val="25"/>
        </w:numPr>
      </w:pPr>
      <w:r>
        <w:t>Beta blockers will not be up-titrated if heart rate &lt;55 bpm or systolic blood pressure is &lt;95 mmHg. If the NT-proBNP level is &gt;10%</w:t>
      </w:r>
      <w:r w:rsidR="00016D8D">
        <w:t xml:space="preserve"> </w:t>
      </w:r>
      <w:r>
        <w:t>higher than the pre-discharge level, physicians should consider not</w:t>
      </w:r>
    </w:p>
    <w:p w14:paraId="7BC8D714" w14:textId="3F4D4FF8" w:rsidR="000E4F41" w:rsidRDefault="000E4F41" w:rsidP="00016D8D">
      <w:pPr>
        <w:pStyle w:val="ListParagraph"/>
      </w:pPr>
      <w:r>
        <w:t>up-titrating BBs and consider increasing diuretics</w:t>
      </w:r>
      <w:r w:rsidR="00016D8D">
        <w:t>.</w:t>
      </w:r>
    </w:p>
    <w:p w14:paraId="67E4BD05" w14:textId="6C38FF22" w:rsidR="00016D8D" w:rsidRDefault="00016D8D" w:rsidP="00C646EE">
      <w:pPr>
        <w:pStyle w:val="ListParagraph"/>
        <w:numPr>
          <w:ilvl w:val="0"/>
          <w:numId w:val="25"/>
        </w:numPr>
      </w:pPr>
      <w:r>
        <w:t>If GDF-15 &gt;2500 pg/mL, the investigator will consider correcting</w:t>
      </w:r>
      <w:r w:rsidR="00C646EE">
        <w:t xml:space="preserve"> </w:t>
      </w:r>
      <w:r>
        <w:t>comorbidities, including diabetes or hypertension for instance,</w:t>
      </w:r>
      <w:r w:rsidR="00C646EE">
        <w:t xml:space="preserve"> </w:t>
      </w:r>
      <w:r>
        <w:t xml:space="preserve">if needed. </w:t>
      </w:r>
    </w:p>
    <w:p w14:paraId="718C1C48" w14:textId="22488603" w:rsidR="005E6954" w:rsidRPr="00CD2D5D" w:rsidRDefault="00495185" w:rsidP="006B697F">
      <w:pPr>
        <w:pStyle w:val="ListParagraph"/>
        <w:numPr>
          <w:ilvl w:val="0"/>
          <w:numId w:val="25"/>
        </w:numPr>
      </w:pPr>
      <w:r>
        <w:t xml:space="preserve">At each visit more than 1 week following randomization, if the patient </w:t>
      </w:r>
      <w:r w:rsidR="003475FE">
        <w:t>wa</w:t>
      </w:r>
      <w:r>
        <w:t>s not on maximally tolerated doses of Beta blockers and/or ACE</w:t>
      </w:r>
      <w:r w:rsidR="009A4B7B">
        <w:t xml:space="preserve"> inhibitors</w:t>
      </w:r>
      <w:r>
        <w:t>/ARBs/ARN</w:t>
      </w:r>
      <w:r w:rsidR="009A4B7B">
        <w:t>I</w:t>
      </w:r>
      <w:r>
        <w:t xml:space="preserve"> and based on the above criteria it is deemed safe to up-titrate these medications, further up-titrations </w:t>
      </w:r>
      <w:r w:rsidR="003475FE">
        <w:t>were</w:t>
      </w:r>
      <w:r>
        <w:t xml:space="preserve"> encouraged</w:t>
      </w:r>
      <w:r w:rsidR="003475FE">
        <w:t xml:space="preserve"> (Kimmoun et a. 2019)</w:t>
      </w:r>
      <w:r>
        <w:t>.</w:t>
      </w:r>
    </w:p>
    <w:p w14:paraId="76F5B491" w14:textId="2E5C6825" w:rsidR="003E5B2F" w:rsidRDefault="008F4072" w:rsidP="00B007E9">
      <w:pPr>
        <w:pStyle w:val="Heading4"/>
      </w:pPr>
      <w:r>
        <w:t xml:space="preserve">Estimated </w:t>
      </w:r>
      <w:r w:rsidR="00B007E9">
        <w:t xml:space="preserve">size of the eligible population </w:t>
      </w:r>
    </w:p>
    <w:p w14:paraId="1F49AC65" w14:textId="5934C79E" w:rsidR="00D35ADA" w:rsidRDefault="001D5045" w:rsidP="00ED0A92">
      <w:r>
        <w:t>The application</w:t>
      </w:r>
      <w:r w:rsidR="008D11C5">
        <w:t xml:space="preserve"> estimated the size of the eligible population using </w:t>
      </w:r>
      <w:r w:rsidR="00FF6548">
        <w:t>AIHW</w:t>
      </w:r>
      <w:r w:rsidR="00BB54C1">
        <w:t xml:space="preserve"> data</w:t>
      </w:r>
      <w:r w:rsidR="00B30E3D">
        <w:t xml:space="preserve">. </w:t>
      </w:r>
      <w:r w:rsidR="004C78C1">
        <w:t xml:space="preserve">The </w:t>
      </w:r>
      <w:r w:rsidR="003B44BF">
        <w:t xml:space="preserve">cohort </w:t>
      </w:r>
      <w:r w:rsidR="004C78C1">
        <w:t xml:space="preserve">included </w:t>
      </w:r>
      <w:r w:rsidR="004C78C1" w:rsidRPr="004C78C1">
        <w:t>71,494 Australians who had an</w:t>
      </w:r>
      <w:r w:rsidR="000F77DB">
        <w:t xml:space="preserve"> acute </w:t>
      </w:r>
      <w:r w:rsidR="00534582">
        <w:t>car</w:t>
      </w:r>
      <w:r w:rsidR="00574330">
        <w:t>e</w:t>
      </w:r>
      <w:r w:rsidR="00534582">
        <w:t xml:space="preserve"> </w:t>
      </w:r>
      <w:r w:rsidR="004C78C1" w:rsidRPr="004C78C1">
        <w:t>index admission to hospital with a diagnosis</w:t>
      </w:r>
      <w:r w:rsidR="006B720E">
        <w:t xml:space="preserve"> (principal or additional)</w:t>
      </w:r>
      <w:r w:rsidR="004C78C1" w:rsidRPr="004C78C1">
        <w:t xml:space="preserve"> of </w:t>
      </w:r>
      <w:r w:rsidR="006603B1">
        <w:t>HF</w:t>
      </w:r>
      <w:r w:rsidR="007C43DA">
        <w:t>.</w:t>
      </w:r>
      <w:r w:rsidR="00A310D7">
        <w:t xml:space="preserve"> </w:t>
      </w:r>
      <w:r w:rsidR="006603B1">
        <w:t>HF</w:t>
      </w:r>
      <w:r w:rsidR="00B60591">
        <w:t xml:space="preserve"> was </w:t>
      </w:r>
      <w:r w:rsidR="00B7742C">
        <w:t xml:space="preserve">identified </w:t>
      </w:r>
      <w:r w:rsidR="00B60591">
        <w:t xml:space="preserve">according to </w:t>
      </w:r>
      <w:r w:rsidR="00EB1DB3">
        <w:t>ICD-1</w:t>
      </w:r>
      <w:r w:rsidR="0061767B">
        <w:t>0 diagnostic classifications</w:t>
      </w:r>
      <w:r w:rsidR="00205859">
        <w:t xml:space="preserve">. The application considered </w:t>
      </w:r>
      <w:r w:rsidR="000B3BC1">
        <w:t xml:space="preserve">that </w:t>
      </w:r>
      <w:r w:rsidR="00205859">
        <w:t xml:space="preserve">only patients diagnosed with congestive HF, left ventricular failure and </w:t>
      </w:r>
      <w:r w:rsidR="008808E1">
        <w:t>‘</w:t>
      </w:r>
      <w:r w:rsidR="00205859">
        <w:t>HF</w:t>
      </w:r>
      <w:r w:rsidR="008808E1">
        <w:t>,</w:t>
      </w:r>
      <w:r w:rsidR="00205859">
        <w:t xml:space="preserve"> unspecified</w:t>
      </w:r>
      <w:r w:rsidR="008808E1">
        <w:t>’</w:t>
      </w:r>
      <w:r w:rsidR="00907B22">
        <w:t xml:space="preserve"> would form the eligible population</w:t>
      </w:r>
      <w:r w:rsidR="00C567AC">
        <w:t xml:space="preserve"> (</w:t>
      </w:r>
      <w:r w:rsidR="00C567AC">
        <w:fldChar w:fldCharType="begin"/>
      </w:r>
      <w:r w:rsidR="00C567AC">
        <w:instrText xml:space="preserve"> REF _Ref232608582 \h </w:instrText>
      </w:r>
      <w:r w:rsidR="00C567AC">
        <w:fldChar w:fldCharType="separate"/>
      </w:r>
      <w:r w:rsidR="00E10360">
        <w:t xml:space="preserve">Table </w:t>
      </w:r>
      <w:r w:rsidR="00E10360">
        <w:rPr>
          <w:noProof/>
        </w:rPr>
        <w:t>7</w:t>
      </w:r>
      <w:r w:rsidR="00C567AC">
        <w:fldChar w:fldCharType="end"/>
      </w:r>
      <w:r w:rsidR="00C567AC">
        <w:t>)</w:t>
      </w:r>
      <w:r w:rsidR="00907B22">
        <w:t xml:space="preserve">. This excluded patients with </w:t>
      </w:r>
      <w:r w:rsidR="00DF565E">
        <w:t>cardiomyopathies</w:t>
      </w:r>
      <w:r w:rsidR="002736A2">
        <w:t>, hypertensive HF and neonatal cardiac failure.</w:t>
      </w:r>
      <w:r w:rsidR="00C567AC">
        <w:t xml:space="preserve"> </w:t>
      </w:r>
      <w:r w:rsidR="002969C3">
        <w:t xml:space="preserve">The most likely population is </w:t>
      </w:r>
      <w:r w:rsidR="00D34EFC">
        <w:t xml:space="preserve">those patients admitted for a first HF hospitalisation </w:t>
      </w:r>
      <w:r w:rsidR="00A26270">
        <w:t xml:space="preserve">and </w:t>
      </w:r>
      <w:r w:rsidR="00B97770">
        <w:t xml:space="preserve">a </w:t>
      </w:r>
      <w:r w:rsidR="00A26270">
        <w:t xml:space="preserve">principal diagnosis </w:t>
      </w:r>
      <w:r w:rsidR="00B97770">
        <w:t>of</w:t>
      </w:r>
      <w:r w:rsidR="00A26270">
        <w:t xml:space="preserve"> HF</w:t>
      </w:r>
      <w:r w:rsidR="001C3F9C">
        <w:t xml:space="preserve"> </w:t>
      </w:r>
      <w:r w:rsidR="00D34EFC">
        <w:t>as they are most likely to be initiated on HF-specific treatment</w:t>
      </w:r>
      <w:r w:rsidR="00A26270">
        <w:t>.</w:t>
      </w:r>
      <w:r w:rsidR="001C3F9C">
        <w:t xml:space="preserve"> This </w:t>
      </w:r>
      <w:r w:rsidR="009B0FE9">
        <w:t>constituted</w:t>
      </w:r>
      <w:r w:rsidR="001C3F9C">
        <w:t xml:space="preserve"> 13,633 patients in </w:t>
      </w:r>
      <w:r w:rsidR="009B0FE9">
        <w:t>2019</w:t>
      </w:r>
      <w:r w:rsidR="00F610FF">
        <w:t>.</w:t>
      </w:r>
    </w:p>
    <w:p w14:paraId="02EA183D" w14:textId="09844235" w:rsidR="00930D16" w:rsidRDefault="00930D16" w:rsidP="00930D16">
      <w:pPr>
        <w:pStyle w:val="Caption"/>
      </w:pPr>
      <w:bookmarkStart w:id="13" w:name="_Ref232608582"/>
      <w:r>
        <w:t xml:space="preserve">Table </w:t>
      </w:r>
      <w:r>
        <w:fldChar w:fldCharType="begin"/>
      </w:r>
      <w:r>
        <w:instrText xml:space="preserve"> SEQ Table \* ARABIC </w:instrText>
      </w:r>
      <w:r>
        <w:fldChar w:fldCharType="separate"/>
      </w:r>
      <w:r w:rsidR="00E10360">
        <w:rPr>
          <w:noProof/>
        </w:rPr>
        <w:t>7</w:t>
      </w:r>
      <w:r>
        <w:fldChar w:fldCharType="end"/>
      </w:r>
      <w:bookmarkEnd w:id="13"/>
      <w:r>
        <w:tab/>
      </w:r>
      <w:r w:rsidR="007103C0">
        <w:t>Heart Failure classification at index hospitalisation</w:t>
      </w:r>
      <w:r w:rsidR="00112E62">
        <w:t xml:space="preserve"> - AIHW cohort hospitalised with HF in 2019</w:t>
      </w:r>
    </w:p>
    <w:tbl>
      <w:tblPr>
        <w:tblStyle w:val="TableGrid"/>
        <w:tblW w:w="5000" w:type="pct"/>
        <w:tblInd w:w="0" w:type="dxa"/>
        <w:tblLayout w:type="fixed"/>
        <w:tblLook w:val="04A0" w:firstRow="1" w:lastRow="0" w:firstColumn="1" w:lastColumn="0" w:noHBand="0" w:noVBand="1"/>
        <w:tblCaption w:val="Heart Failure classification at index hospitalisation"/>
        <w:tblDescription w:val="Provides data on the number of HF patients hospitalised in 2019"/>
      </w:tblPr>
      <w:tblGrid>
        <w:gridCol w:w="1551"/>
        <w:gridCol w:w="835"/>
        <w:gridCol w:w="1436"/>
        <w:gridCol w:w="1417"/>
        <w:gridCol w:w="745"/>
        <w:gridCol w:w="1382"/>
        <w:gridCol w:w="1418"/>
        <w:gridCol w:w="787"/>
      </w:tblGrid>
      <w:tr w:rsidR="00155083" w:rsidRPr="00F87E1A" w14:paraId="34BAE61F" w14:textId="1250A007" w:rsidTr="00B21D95">
        <w:trPr>
          <w:trHeight w:val="280"/>
        </w:trPr>
        <w:tc>
          <w:tcPr>
            <w:tcW w:w="811" w:type="pct"/>
            <w:tcBorders>
              <w:bottom w:val="nil"/>
            </w:tcBorders>
            <w:noWrap/>
          </w:tcPr>
          <w:p w14:paraId="6C4C2777" w14:textId="6D995585" w:rsidR="00155083" w:rsidRPr="00F87E1A" w:rsidRDefault="00155083" w:rsidP="00C454B5">
            <w:pPr>
              <w:pStyle w:val="TableHeading"/>
            </w:pPr>
            <w:r w:rsidRPr="00F87E1A">
              <w:t>Description</w:t>
            </w:r>
          </w:p>
        </w:tc>
        <w:tc>
          <w:tcPr>
            <w:tcW w:w="436" w:type="pct"/>
            <w:tcBorders>
              <w:bottom w:val="nil"/>
            </w:tcBorders>
            <w:noWrap/>
          </w:tcPr>
          <w:p w14:paraId="4092F1AC" w14:textId="2E72C841" w:rsidR="00155083" w:rsidRPr="00F87E1A" w:rsidRDefault="00155083" w:rsidP="00C454B5">
            <w:pPr>
              <w:pStyle w:val="TableHeading"/>
            </w:pPr>
            <w:r w:rsidRPr="00F87E1A">
              <w:t>ICD-10-AM</w:t>
            </w:r>
          </w:p>
        </w:tc>
        <w:tc>
          <w:tcPr>
            <w:tcW w:w="750" w:type="pct"/>
            <w:tcBorders>
              <w:right w:val="nil"/>
            </w:tcBorders>
            <w:noWrap/>
          </w:tcPr>
          <w:p w14:paraId="07392BC1" w14:textId="77777777" w:rsidR="00155083" w:rsidRDefault="00155083" w:rsidP="00C454B5">
            <w:pPr>
              <w:pStyle w:val="TableHeading"/>
            </w:pPr>
            <w:r>
              <w:t>Prior HF hospitalisation</w:t>
            </w:r>
          </w:p>
        </w:tc>
        <w:tc>
          <w:tcPr>
            <w:tcW w:w="740" w:type="pct"/>
            <w:tcBorders>
              <w:left w:val="nil"/>
              <w:right w:val="nil"/>
            </w:tcBorders>
          </w:tcPr>
          <w:p w14:paraId="37504C27" w14:textId="77777777" w:rsidR="00155083" w:rsidRDefault="00155083" w:rsidP="00C454B5">
            <w:pPr>
              <w:pStyle w:val="TableHeading"/>
            </w:pPr>
          </w:p>
        </w:tc>
        <w:tc>
          <w:tcPr>
            <w:tcW w:w="389" w:type="pct"/>
            <w:tcBorders>
              <w:left w:val="nil"/>
            </w:tcBorders>
          </w:tcPr>
          <w:p w14:paraId="455A819F" w14:textId="276C77B5" w:rsidR="00155083" w:rsidRDefault="00155083" w:rsidP="00C454B5">
            <w:pPr>
              <w:pStyle w:val="TableHeading"/>
            </w:pPr>
          </w:p>
        </w:tc>
        <w:tc>
          <w:tcPr>
            <w:tcW w:w="722" w:type="pct"/>
            <w:tcBorders>
              <w:right w:val="nil"/>
            </w:tcBorders>
            <w:noWrap/>
          </w:tcPr>
          <w:p w14:paraId="0C1AF9DB" w14:textId="77777777" w:rsidR="00155083" w:rsidRDefault="00155083" w:rsidP="00C454B5">
            <w:pPr>
              <w:pStyle w:val="TableHeading"/>
            </w:pPr>
            <w:r>
              <w:t>First HF hospitalisation</w:t>
            </w:r>
          </w:p>
        </w:tc>
        <w:tc>
          <w:tcPr>
            <w:tcW w:w="741" w:type="pct"/>
            <w:tcBorders>
              <w:left w:val="nil"/>
              <w:right w:val="nil"/>
            </w:tcBorders>
          </w:tcPr>
          <w:p w14:paraId="01F01071" w14:textId="77777777" w:rsidR="00155083" w:rsidRDefault="00155083" w:rsidP="00C454B5">
            <w:pPr>
              <w:pStyle w:val="TableHeading"/>
            </w:pPr>
          </w:p>
        </w:tc>
        <w:tc>
          <w:tcPr>
            <w:tcW w:w="411" w:type="pct"/>
            <w:tcBorders>
              <w:left w:val="nil"/>
            </w:tcBorders>
          </w:tcPr>
          <w:p w14:paraId="3A17ED6E" w14:textId="0AA236BF" w:rsidR="00155083" w:rsidRDefault="00155083" w:rsidP="00C454B5">
            <w:pPr>
              <w:pStyle w:val="TableHeading"/>
            </w:pPr>
          </w:p>
        </w:tc>
      </w:tr>
      <w:tr w:rsidR="00E63F10" w:rsidRPr="00F87E1A" w14:paraId="672530FF" w14:textId="4E2397FE" w:rsidTr="00B21D95">
        <w:trPr>
          <w:trHeight w:val="280"/>
        </w:trPr>
        <w:tc>
          <w:tcPr>
            <w:tcW w:w="811" w:type="pct"/>
            <w:tcBorders>
              <w:top w:val="nil"/>
            </w:tcBorders>
            <w:noWrap/>
          </w:tcPr>
          <w:p w14:paraId="35048E1F" w14:textId="1A1CEB12" w:rsidR="00E63F10" w:rsidRPr="00F87E1A" w:rsidRDefault="00E63F10" w:rsidP="00C454B5">
            <w:pPr>
              <w:pStyle w:val="TableHeading"/>
            </w:pPr>
          </w:p>
        </w:tc>
        <w:tc>
          <w:tcPr>
            <w:tcW w:w="436" w:type="pct"/>
            <w:tcBorders>
              <w:top w:val="nil"/>
            </w:tcBorders>
            <w:noWrap/>
          </w:tcPr>
          <w:p w14:paraId="0ACD1C39" w14:textId="2071DA58" w:rsidR="00E63F10" w:rsidRPr="00F87E1A" w:rsidRDefault="00E63F10" w:rsidP="00C454B5">
            <w:pPr>
              <w:pStyle w:val="TableHeading"/>
            </w:pPr>
          </w:p>
        </w:tc>
        <w:tc>
          <w:tcPr>
            <w:tcW w:w="750" w:type="pct"/>
            <w:noWrap/>
          </w:tcPr>
          <w:p w14:paraId="39A336A0" w14:textId="6A1534C2" w:rsidR="00E63F10" w:rsidRPr="00F87E1A" w:rsidRDefault="00E63F10" w:rsidP="00B21D95">
            <w:pPr>
              <w:pStyle w:val="TableHeading"/>
              <w:jc w:val="right"/>
            </w:pPr>
            <w:r>
              <w:t>Principal diagnosis</w:t>
            </w:r>
          </w:p>
        </w:tc>
        <w:tc>
          <w:tcPr>
            <w:tcW w:w="740" w:type="pct"/>
            <w:noWrap/>
            <w:hideMark/>
          </w:tcPr>
          <w:p w14:paraId="78EAC245" w14:textId="50554119" w:rsidR="00E63F10" w:rsidRPr="00F87E1A" w:rsidRDefault="00E63F10" w:rsidP="00B21D95">
            <w:pPr>
              <w:pStyle w:val="TableHeading"/>
              <w:jc w:val="right"/>
            </w:pPr>
            <w:r>
              <w:t>Additional diagnosis only</w:t>
            </w:r>
          </w:p>
        </w:tc>
        <w:tc>
          <w:tcPr>
            <w:tcW w:w="389" w:type="pct"/>
          </w:tcPr>
          <w:p w14:paraId="6079E7D4" w14:textId="6B8B39E8" w:rsidR="00E63F10" w:rsidRDefault="00E63F10" w:rsidP="00B21D95">
            <w:pPr>
              <w:pStyle w:val="TableHeading"/>
              <w:jc w:val="right"/>
            </w:pPr>
            <w:r>
              <w:t>Total</w:t>
            </w:r>
          </w:p>
        </w:tc>
        <w:tc>
          <w:tcPr>
            <w:tcW w:w="722" w:type="pct"/>
            <w:noWrap/>
          </w:tcPr>
          <w:p w14:paraId="4BB239ED" w14:textId="404D896F" w:rsidR="00E63F10" w:rsidRPr="00F87E1A" w:rsidRDefault="00E63F10" w:rsidP="00B21D95">
            <w:pPr>
              <w:pStyle w:val="TableHeading"/>
              <w:jc w:val="right"/>
            </w:pPr>
            <w:r>
              <w:t>Principal diagnosis</w:t>
            </w:r>
          </w:p>
        </w:tc>
        <w:tc>
          <w:tcPr>
            <w:tcW w:w="741" w:type="pct"/>
            <w:noWrap/>
            <w:hideMark/>
          </w:tcPr>
          <w:p w14:paraId="34D64460" w14:textId="4DDC3EF2" w:rsidR="00E63F10" w:rsidRPr="00F87E1A" w:rsidRDefault="00E63F10" w:rsidP="00B21D95">
            <w:pPr>
              <w:pStyle w:val="TableHeading"/>
              <w:jc w:val="right"/>
            </w:pPr>
            <w:r>
              <w:t>Additional diagnosis only</w:t>
            </w:r>
          </w:p>
        </w:tc>
        <w:tc>
          <w:tcPr>
            <w:tcW w:w="411" w:type="pct"/>
          </w:tcPr>
          <w:p w14:paraId="468ACCE8" w14:textId="674D8FBD" w:rsidR="00E63F10" w:rsidRDefault="00E63F10" w:rsidP="00B21D95">
            <w:pPr>
              <w:pStyle w:val="TableHeading"/>
              <w:jc w:val="right"/>
            </w:pPr>
            <w:r>
              <w:t>Total</w:t>
            </w:r>
          </w:p>
        </w:tc>
      </w:tr>
      <w:tr w:rsidR="00E63F10" w:rsidRPr="00F87E1A" w14:paraId="27E7BC3A" w14:textId="4AC95241" w:rsidTr="00B21D95">
        <w:trPr>
          <w:trHeight w:val="280"/>
        </w:trPr>
        <w:tc>
          <w:tcPr>
            <w:tcW w:w="811" w:type="pct"/>
            <w:noWrap/>
            <w:hideMark/>
          </w:tcPr>
          <w:p w14:paraId="18D58DF7" w14:textId="77777777" w:rsidR="00E63F10" w:rsidRPr="00F87E1A" w:rsidRDefault="00E63F10" w:rsidP="00B21D95">
            <w:pPr>
              <w:pStyle w:val="Tabletext"/>
              <w:keepNext/>
            </w:pPr>
            <w:r w:rsidRPr="00F87E1A">
              <w:t>Congestive heart failure</w:t>
            </w:r>
          </w:p>
        </w:tc>
        <w:tc>
          <w:tcPr>
            <w:tcW w:w="436" w:type="pct"/>
            <w:noWrap/>
            <w:hideMark/>
          </w:tcPr>
          <w:p w14:paraId="53B402B6" w14:textId="77777777" w:rsidR="00E63F10" w:rsidRPr="00F87E1A" w:rsidRDefault="00E63F10" w:rsidP="00B21D95">
            <w:pPr>
              <w:pStyle w:val="Tabletext"/>
              <w:keepNext/>
              <w:jc w:val="right"/>
            </w:pPr>
            <w:r w:rsidRPr="00F87E1A">
              <w:t>I50.0</w:t>
            </w:r>
          </w:p>
        </w:tc>
        <w:tc>
          <w:tcPr>
            <w:tcW w:w="750" w:type="pct"/>
            <w:noWrap/>
          </w:tcPr>
          <w:p w14:paraId="32AAB6B8" w14:textId="77777777" w:rsidR="00E63F10" w:rsidRPr="00F87E1A" w:rsidRDefault="00E63F10" w:rsidP="00B21D95">
            <w:pPr>
              <w:pStyle w:val="Tabletext"/>
              <w:keepNext/>
              <w:jc w:val="right"/>
            </w:pPr>
            <w:r w:rsidRPr="00F87E1A">
              <w:t>10,907</w:t>
            </w:r>
          </w:p>
        </w:tc>
        <w:tc>
          <w:tcPr>
            <w:tcW w:w="740" w:type="pct"/>
            <w:noWrap/>
            <w:hideMark/>
          </w:tcPr>
          <w:p w14:paraId="1308CFF7" w14:textId="77777777" w:rsidR="00E63F10" w:rsidRPr="00F87E1A" w:rsidRDefault="00E63F10" w:rsidP="00B21D95">
            <w:pPr>
              <w:pStyle w:val="Tabletext"/>
              <w:keepNext/>
              <w:jc w:val="right"/>
            </w:pPr>
            <w:r w:rsidRPr="00F87E1A">
              <w:t>12,000</w:t>
            </w:r>
          </w:p>
        </w:tc>
        <w:tc>
          <w:tcPr>
            <w:tcW w:w="389" w:type="pct"/>
          </w:tcPr>
          <w:p w14:paraId="3E5A96B9" w14:textId="5739585D" w:rsidR="00E63F10" w:rsidRPr="00F87E1A" w:rsidRDefault="00E63F10" w:rsidP="00B21D95">
            <w:pPr>
              <w:pStyle w:val="Tabletext"/>
              <w:keepNext/>
              <w:jc w:val="right"/>
            </w:pPr>
            <w:r w:rsidRPr="00F87E1A">
              <w:t>23,082</w:t>
            </w:r>
          </w:p>
        </w:tc>
        <w:tc>
          <w:tcPr>
            <w:tcW w:w="722" w:type="pct"/>
            <w:noWrap/>
          </w:tcPr>
          <w:p w14:paraId="53760017" w14:textId="77777777" w:rsidR="00E63F10" w:rsidRPr="00F87E1A" w:rsidRDefault="00E63F10" w:rsidP="00B21D95">
            <w:pPr>
              <w:pStyle w:val="Tabletext"/>
              <w:keepNext/>
              <w:jc w:val="right"/>
            </w:pPr>
            <w:r w:rsidRPr="00F87E1A">
              <w:t>10,967</w:t>
            </w:r>
          </w:p>
        </w:tc>
        <w:tc>
          <w:tcPr>
            <w:tcW w:w="741" w:type="pct"/>
            <w:noWrap/>
            <w:hideMark/>
          </w:tcPr>
          <w:p w14:paraId="03CDCABC" w14:textId="77777777" w:rsidR="00E63F10" w:rsidRPr="00F87E1A" w:rsidRDefault="00E63F10" w:rsidP="00B21D95">
            <w:pPr>
              <w:pStyle w:val="Tabletext"/>
              <w:keepNext/>
              <w:jc w:val="right"/>
            </w:pPr>
            <w:r w:rsidRPr="00F87E1A">
              <w:t>15,111</w:t>
            </w:r>
          </w:p>
        </w:tc>
        <w:tc>
          <w:tcPr>
            <w:tcW w:w="411" w:type="pct"/>
          </w:tcPr>
          <w:p w14:paraId="286564C0" w14:textId="2590414B" w:rsidR="00E63F10" w:rsidRPr="00F87E1A" w:rsidRDefault="00E63F10" w:rsidP="00B21D95">
            <w:pPr>
              <w:pStyle w:val="Tabletext"/>
              <w:keepNext/>
              <w:jc w:val="right"/>
            </w:pPr>
            <w:r w:rsidRPr="00F87E1A">
              <w:t>26,471</w:t>
            </w:r>
          </w:p>
        </w:tc>
      </w:tr>
      <w:tr w:rsidR="00E63F10" w:rsidRPr="00F87E1A" w14:paraId="4CD431B8" w14:textId="28048BCA" w:rsidTr="00B21D95">
        <w:trPr>
          <w:trHeight w:val="280"/>
        </w:trPr>
        <w:tc>
          <w:tcPr>
            <w:tcW w:w="811" w:type="pct"/>
            <w:noWrap/>
            <w:hideMark/>
          </w:tcPr>
          <w:p w14:paraId="002CD3C4" w14:textId="77777777" w:rsidR="00E63F10" w:rsidRPr="00F87E1A" w:rsidRDefault="00E63F10" w:rsidP="00B21D95">
            <w:pPr>
              <w:pStyle w:val="Tabletext"/>
              <w:keepNext/>
            </w:pPr>
            <w:r w:rsidRPr="00F87E1A">
              <w:t>Left ventricular failure</w:t>
            </w:r>
          </w:p>
        </w:tc>
        <w:tc>
          <w:tcPr>
            <w:tcW w:w="436" w:type="pct"/>
            <w:noWrap/>
            <w:hideMark/>
          </w:tcPr>
          <w:p w14:paraId="52C4BFBF" w14:textId="77777777" w:rsidR="00E63F10" w:rsidRPr="00F87E1A" w:rsidRDefault="00E63F10" w:rsidP="00B21D95">
            <w:pPr>
              <w:pStyle w:val="Tabletext"/>
              <w:keepNext/>
              <w:jc w:val="right"/>
            </w:pPr>
            <w:r w:rsidRPr="00F87E1A">
              <w:t>I50.1</w:t>
            </w:r>
          </w:p>
        </w:tc>
        <w:tc>
          <w:tcPr>
            <w:tcW w:w="750" w:type="pct"/>
            <w:noWrap/>
          </w:tcPr>
          <w:p w14:paraId="64CC1397" w14:textId="77777777" w:rsidR="00E63F10" w:rsidRPr="00F87E1A" w:rsidRDefault="00E63F10" w:rsidP="00B21D95">
            <w:pPr>
              <w:pStyle w:val="Tabletext"/>
              <w:keepNext/>
              <w:jc w:val="right"/>
            </w:pPr>
            <w:r w:rsidRPr="00F87E1A">
              <w:t>924</w:t>
            </w:r>
          </w:p>
        </w:tc>
        <w:tc>
          <w:tcPr>
            <w:tcW w:w="740" w:type="pct"/>
            <w:noWrap/>
            <w:hideMark/>
          </w:tcPr>
          <w:p w14:paraId="39B2F572" w14:textId="77777777" w:rsidR="00E63F10" w:rsidRPr="00F87E1A" w:rsidRDefault="00E63F10" w:rsidP="00B21D95">
            <w:pPr>
              <w:pStyle w:val="Tabletext"/>
              <w:keepNext/>
              <w:jc w:val="right"/>
            </w:pPr>
            <w:r w:rsidRPr="00F87E1A">
              <w:t>1,697</w:t>
            </w:r>
          </w:p>
        </w:tc>
        <w:tc>
          <w:tcPr>
            <w:tcW w:w="389" w:type="pct"/>
          </w:tcPr>
          <w:p w14:paraId="7E14829A" w14:textId="4DFFD4F5" w:rsidR="00E63F10" w:rsidRPr="00F87E1A" w:rsidRDefault="00E63F10" w:rsidP="00B21D95">
            <w:pPr>
              <w:pStyle w:val="Tabletext"/>
              <w:keepNext/>
              <w:jc w:val="right"/>
            </w:pPr>
            <w:r w:rsidRPr="00F87E1A">
              <w:t>2,673</w:t>
            </w:r>
          </w:p>
        </w:tc>
        <w:tc>
          <w:tcPr>
            <w:tcW w:w="722" w:type="pct"/>
            <w:noWrap/>
          </w:tcPr>
          <w:p w14:paraId="59CF1FE2" w14:textId="77777777" w:rsidR="00E63F10" w:rsidRPr="00F87E1A" w:rsidRDefault="00E63F10" w:rsidP="00B21D95">
            <w:pPr>
              <w:pStyle w:val="Tabletext"/>
              <w:keepNext/>
              <w:jc w:val="right"/>
            </w:pPr>
            <w:r w:rsidRPr="00F87E1A">
              <w:t>1,716</w:t>
            </w:r>
          </w:p>
        </w:tc>
        <w:tc>
          <w:tcPr>
            <w:tcW w:w="741" w:type="pct"/>
            <w:noWrap/>
            <w:hideMark/>
          </w:tcPr>
          <w:p w14:paraId="7B036821" w14:textId="77777777" w:rsidR="00E63F10" w:rsidRPr="00F87E1A" w:rsidRDefault="00E63F10" w:rsidP="00B21D95">
            <w:pPr>
              <w:pStyle w:val="Tabletext"/>
              <w:keepNext/>
              <w:jc w:val="right"/>
            </w:pPr>
            <w:r w:rsidRPr="00F87E1A">
              <w:t>5,928</w:t>
            </w:r>
          </w:p>
        </w:tc>
        <w:tc>
          <w:tcPr>
            <w:tcW w:w="411" w:type="pct"/>
          </w:tcPr>
          <w:p w14:paraId="51738EA3" w14:textId="2A25A8D9" w:rsidR="00E63F10" w:rsidRPr="00F87E1A" w:rsidRDefault="00E63F10" w:rsidP="00B21D95">
            <w:pPr>
              <w:pStyle w:val="Tabletext"/>
              <w:keepNext/>
              <w:jc w:val="right"/>
            </w:pPr>
            <w:r w:rsidRPr="00F87E1A">
              <w:t>7,853</w:t>
            </w:r>
          </w:p>
        </w:tc>
      </w:tr>
      <w:tr w:rsidR="00E63F10" w:rsidRPr="00F87E1A" w14:paraId="115D50AF" w14:textId="2805B08A" w:rsidTr="00B21D95">
        <w:trPr>
          <w:trHeight w:val="280"/>
        </w:trPr>
        <w:tc>
          <w:tcPr>
            <w:tcW w:w="811" w:type="pct"/>
            <w:noWrap/>
            <w:hideMark/>
          </w:tcPr>
          <w:p w14:paraId="038439E9" w14:textId="77777777" w:rsidR="00E63F10" w:rsidRPr="00F87E1A" w:rsidRDefault="00E63F10" w:rsidP="00B21D95">
            <w:pPr>
              <w:pStyle w:val="Tabletext"/>
              <w:keepNext/>
            </w:pPr>
            <w:r w:rsidRPr="00F87E1A">
              <w:t>Heart failure, unspecified</w:t>
            </w:r>
          </w:p>
        </w:tc>
        <w:tc>
          <w:tcPr>
            <w:tcW w:w="436" w:type="pct"/>
            <w:noWrap/>
            <w:hideMark/>
          </w:tcPr>
          <w:p w14:paraId="02AE5FDD" w14:textId="77777777" w:rsidR="00E63F10" w:rsidRPr="00F87E1A" w:rsidRDefault="00E63F10" w:rsidP="00B21D95">
            <w:pPr>
              <w:pStyle w:val="Tabletext"/>
              <w:keepNext/>
              <w:jc w:val="right"/>
            </w:pPr>
            <w:r w:rsidRPr="00F87E1A">
              <w:t>I50.9</w:t>
            </w:r>
          </w:p>
        </w:tc>
        <w:tc>
          <w:tcPr>
            <w:tcW w:w="750" w:type="pct"/>
            <w:noWrap/>
          </w:tcPr>
          <w:p w14:paraId="3BBF6CAE" w14:textId="77777777" w:rsidR="00E63F10" w:rsidRPr="00F87E1A" w:rsidRDefault="00E63F10" w:rsidP="00B21D95">
            <w:pPr>
              <w:pStyle w:val="Tabletext"/>
              <w:keepNext/>
              <w:jc w:val="right"/>
            </w:pPr>
            <w:r w:rsidRPr="00F87E1A">
              <w:t>505</w:t>
            </w:r>
          </w:p>
        </w:tc>
        <w:tc>
          <w:tcPr>
            <w:tcW w:w="740" w:type="pct"/>
            <w:noWrap/>
            <w:hideMark/>
          </w:tcPr>
          <w:p w14:paraId="0E37F71B" w14:textId="77777777" w:rsidR="00E63F10" w:rsidRPr="00F87E1A" w:rsidRDefault="00E63F10" w:rsidP="00B21D95">
            <w:pPr>
              <w:pStyle w:val="Tabletext"/>
              <w:keepNext/>
              <w:jc w:val="right"/>
            </w:pPr>
            <w:r w:rsidRPr="00F87E1A">
              <w:t>832</w:t>
            </w:r>
          </w:p>
        </w:tc>
        <w:tc>
          <w:tcPr>
            <w:tcW w:w="389" w:type="pct"/>
          </w:tcPr>
          <w:p w14:paraId="6B808EC2" w14:textId="6A99876E" w:rsidR="00E63F10" w:rsidRPr="00F87E1A" w:rsidRDefault="00E63F10" w:rsidP="00B21D95">
            <w:pPr>
              <w:pStyle w:val="Tabletext"/>
              <w:keepNext/>
              <w:jc w:val="right"/>
            </w:pPr>
            <w:r w:rsidRPr="00F87E1A">
              <w:t>1,402</w:t>
            </w:r>
          </w:p>
        </w:tc>
        <w:tc>
          <w:tcPr>
            <w:tcW w:w="722" w:type="pct"/>
            <w:noWrap/>
          </w:tcPr>
          <w:p w14:paraId="796C0A24" w14:textId="77777777" w:rsidR="00E63F10" w:rsidRPr="00F87E1A" w:rsidRDefault="00E63F10" w:rsidP="00B21D95">
            <w:pPr>
              <w:pStyle w:val="Tabletext"/>
              <w:keepNext/>
              <w:jc w:val="right"/>
            </w:pPr>
            <w:r w:rsidRPr="00F87E1A">
              <w:t>950</w:t>
            </w:r>
          </w:p>
        </w:tc>
        <w:tc>
          <w:tcPr>
            <w:tcW w:w="741" w:type="pct"/>
            <w:noWrap/>
            <w:hideMark/>
          </w:tcPr>
          <w:p w14:paraId="382E7292" w14:textId="77777777" w:rsidR="00E63F10" w:rsidRPr="00F87E1A" w:rsidRDefault="00E63F10" w:rsidP="00B21D95">
            <w:pPr>
              <w:pStyle w:val="Tabletext"/>
              <w:keepNext/>
              <w:jc w:val="right"/>
            </w:pPr>
            <w:r w:rsidRPr="00F87E1A">
              <w:t>2,262</w:t>
            </w:r>
          </w:p>
        </w:tc>
        <w:tc>
          <w:tcPr>
            <w:tcW w:w="411" w:type="pct"/>
          </w:tcPr>
          <w:p w14:paraId="7D526D7A" w14:textId="01CB5511" w:rsidR="00E63F10" w:rsidRPr="00F87E1A" w:rsidRDefault="00E63F10" w:rsidP="00B21D95">
            <w:pPr>
              <w:pStyle w:val="Tabletext"/>
              <w:keepNext/>
              <w:jc w:val="right"/>
            </w:pPr>
            <w:r w:rsidRPr="00F87E1A">
              <w:t>3,378</w:t>
            </w:r>
          </w:p>
        </w:tc>
      </w:tr>
      <w:tr w:rsidR="00E63F10" w:rsidRPr="00506ADB" w14:paraId="5C61DD08" w14:textId="7708FED0" w:rsidTr="00B21D95">
        <w:trPr>
          <w:trHeight w:val="280"/>
        </w:trPr>
        <w:tc>
          <w:tcPr>
            <w:tcW w:w="811" w:type="pct"/>
            <w:noWrap/>
          </w:tcPr>
          <w:p w14:paraId="48793B42" w14:textId="186D8DC8" w:rsidR="00E63F10" w:rsidRPr="00506ADB" w:rsidRDefault="00E63F10" w:rsidP="00B21D95">
            <w:pPr>
              <w:pStyle w:val="Tabletext"/>
              <w:keepNext/>
              <w:rPr>
                <w:b/>
                <w:bCs/>
              </w:rPr>
            </w:pPr>
            <w:r w:rsidRPr="00506ADB">
              <w:rPr>
                <w:b/>
                <w:bCs/>
              </w:rPr>
              <w:t>Total</w:t>
            </w:r>
          </w:p>
        </w:tc>
        <w:tc>
          <w:tcPr>
            <w:tcW w:w="436" w:type="pct"/>
            <w:noWrap/>
          </w:tcPr>
          <w:p w14:paraId="6DE322C6" w14:textId="77777777" w:rsidR="00E63F10" w:rsidRPr="00506ADB" w:rsidRDefault="00E63F10" w:rsidP="00B21D95">
            <w:pPr>
              <w:pStyle w:val="Tabletext"/>
              <w:keepNext/>
              <w:jc w:val="right"/>
              <w:rPr>
                <w:b/>
                <w:bCs/>
              </w:rPr>
            </w:pPr>
          </w:p>
        </w:tc>
        <w:tc>
          <w:tcPr>
            <w:tcW w:w="750" w:type="pct"/>
            <w:noWrap/>
          </w:tcPr>
          <w:p w14:paraId="78F16882" w14:textId="4F1E27FE" w:rsidR="00E63F10" w:rsidRPr="00506ADB" w:rsidRDefault="00E63F10" w:rsidP="00B21D95">
            <w:pPr>
              <w:pStyle w:val="Tabletext"/>
              <w:keepNext/>
              <w:jc w:val="right"/>
              <w:rPr>
                <w:b/>
                <w:bCs/>
              </w:rPr>
            </w:pPr>
            <w:r w:rsidRPr="00506ADB">
              <w:rPr>
                <w:b/>
                <w:bCs/>
              </w:rPr>
              <w:t>12,336</w:t>
            </w:r>
          </w:p>
        </w:tc>
        <w:tc>
          <w:tcPr>
            <w:tcW w:w="740" w:type="pct"/>
            <w:noWrap/>
          </w:tcPr>
          <w:p w14:paraId="0F1CE91C" w14:textId="2AC09B97" w:rsidR="00E63F10" w:rsidRPr="00506ADB" w:rsidRDefault="00E63F10" w:rsidP="00B21D95">
            <w:pPr>
              <w:pStyle w:val="Tabletext"/>
              <w:keepNext/>
              <w:jc w:val="right"/>
              <w:rPr>
                <w:b/>
                <w:bCs/>
              </w:rPr>
            </w:pPr>
            <w:r w:rsidRPr="00506ADB">
              <w:rPr>
                <w:b/>
                <w:bCs/>
              </w:rPr>
              <w:t>14,529</w:t>
            </w:r>
          </w:p>
        </w:tc>
        <w:tc>
          <w:tcPr>
            <w:tcW w:w="389" w:type="pct"/>
          </w:tcPr>
          <w:p w14:paraId="22A4B01C" w14:textId="1EED6B4B" w:rsidR="00E63F10" w:rsidRPr="00506ADB" w:rsidRDefault="00E63F10" w:rsidP="00B21D95">
            <w:pPr>
              <w:pStyle w:val="Tabletext"/>
              <w:keepNext/>
              <w:jc w:val="right"/>
              <w:rPr>
                <w:b/>
                <w:bCs/>
              </w:rPr>
            </w:pPr>
            <w:r w:rsidRPr="00506ADB">
              <w:rPr>
                <w:b/>
                <w:bCs/>
              </w:rPr>
              <w:t>27,157</w:t>
            </w:r>
          </w:p>
        </w:tc>
        <w:tc>
          <w:tcPr>
            <w:tcW w:w="722" w:type="pct"/>
            <w:noWrap/>
          </w:tcPr>
          <w:p w14:paraId="58FE7B62" w14:textId="5015C04E" w:rsidR="00E63F10" w:rsidRPr="00506ADB" w:rsidRDefault="00E63F10" w:rsidP="00B21D95">
            <w:pPr>
              <w:pStyle w:val="Tabletext"/>
              <w:keepNext/>
              <w:jc w:val="right"/>
              <w:rPr>
                <w:b/>
                <w:bCs/>
              </w:rPr>
            </w:pPr>
            <w:r w:rsidRPr="00506ADB">
              <w:rPr>
                <w:b/>
                <w:bCs/>
              </w:rPr>
              <w:t>13,633</w:t>
            </w:r>
          </w:p>
        </w:tc>
        <w:tc>
          <w:tcPr>
            <w:tcW w:w="741" w:type="pct"/>
            <w:noWrap/>
          </w:tcPr>
          <w:p w14:paraId="11CCC4CF" w14:textId="631F491D" w:rsidR="00E63F10" w:rsidRPr="00506ADB" w:rsidRDefault="00E63F10" w:rsidP="00B21D95">
            <w:pPr>
              <w:pStyle w:val="Tabletext"/>
              <w:keepNext/>
              <w:jc w:val="right"/>
              <w:rPr>
                <w:b/>
                <w:bCs/>
              </w:rPr>
            </w:pPr>
            <w:r w:rsidRPr="00506ADB">
              <w:rPr>
                <w:b/>
                <w:bCs/>
              </w:rPr>
              <w:t>23,301</w:t>
            </w:r>
          </w:p>
        </w:tc>
        <w:tc>
          <w:tcPr>
            <w:tcW w:w="411" w:type="pct"/>
          </w:tcPr>
          <w:p w14:paraId="2F247C1B" w14:textId="708B248C" w:rsidR="00E63F10" w:rsidRPr="00506ADB" w:rsidRDefault="00E63F10" w:rsidP="00B21D95">
            <w:pPr>
              <w:pStyle w:val="Tabletext"/>
              <w:keepNext/>
              <w:jc w:val="right"/>
              <w:rPr>
                <w:b/>
                <w:bCs/>
              </w:rPr>
            </w:pPr>
            <w:r w:rsidRPr="00506ADB">
              <w:rPr>
                <w:b/>
                <w:bCs/>
              </w:rPr>
              <w:t>37,702</w:t>
            </w:r>
          </w:p>
        </w:tc>
      </w:tr>
    </w:tbl>
    <w:p w14:paraId="48CE9352" w14:textId="3B1EA2B3" w:rsidR="00DB545B" w:rsidRDefault="00E72C05" w:rsidP="00AF55AF">
      <w:pPr>
        <w:pStyle w:val="Tablenotes"/>
      </w:pPr>
      <w:r>
        <w:t>HF = heart failure</w:t>
      </w:r>
      <w:r w:rsidR="00490617">
        <w:t>; ICD-10-AM International Statistical Classification of Diseases and Related Health Problems, Tenth Revision, Australian Modification.</w:t>
      </w:r>
    </w:p>
    <w:p w14:paraId="04A5C7E7" w14:textId="2DFB77EC" w:rsidR="00B21B3E" w:rsidRDefault="00B21B3E" w:rsidP="00AF55AF">
      <w:pPr>
        <w:pStyle w:val="Tablenotes"/>
      </w:pPr>
      <w:r>
        <w:t xml:space="preserve">Source: Adapted from Table S2.2 of </w:t>
      </w:r>
      <w:r w:rsidRPr="00E72C05">
        <w:t xml:space="preserve">AIHW (Australian Institute of Health and Welfare) (2025) </w:t>
      </w:r>
      <w:hyperlink r:id="rId18" w:tooltip="Link to the web report" w:history="1">
        <w:r w:rsidRPr="00E72C05">
          <w:rPr>
            <w:rStyle w:val="Hyperlink"/>
            <w:rFonts w:ascii="Arial Narrow" w:hAnsi="Arial Narrow" w:cs="Arial"/>
            <w:i/>
            <w:iCs/>
          </w:rPr>
          <w:t>Hospital to community: How Australians with heart failure receive health care</w:t>
        </w:r>
      </w:hyperlink>
      <w:r w:rsidRPr="00E72C05">
        <w:t>, AIHW, Australian Government, accessed 17 June 2026.</w:t>
      </w:r>
      <w:r>
        <w:t xml:space="preserve"> </w:t>
      </w:r>
    </w:p>
    <w:p w14:paraId="51CA6955" w14:textId="778D23DF" w:rsidR="00F910F1" w:rsidRDefault="00AC49FB" w:rsidP="00F910F1">
      <w:r>
        <w:lastRenderedPageBreak/>
        <w:t xml:space="preserve">The application considers that the sum of all HF hospitalisations, 64,859 patients, would be an upper bound of the eligible population </w:t>
      </w:r>
      <w:r w:rsidR="00597C39">
        <w:t xml:space="preserve">as many patients are not on optimal </w:t>
      </w:r>
      <w:r w:rsidR="00B975C5">
        <w:t>treatment and may need titration of medication even where it is not a first admission</w:t>
      </w:r>
      <w:r w:rsidR="00923FD6">
        <w:t>.</w:t>
      </w:r>
    </w:p>
    <w:p w14:paraId="62AE7B77" w14:textId="040B9596" w:rsidR="00EE12F9" w:rsidRDefault="00BF613F" w:rsidP="00F910F1">
      <w:r>
        <w:t xml:space="preserve">The number of </w:t>
      </w:r>
      <w:r w:rsidR="00737EDC">
        <w:t>BNP/</w:t>
      </w:r>
      <w:r>
        <w:t xml:space="preserve">NT-proBNP diagnostic services may also be indicative of the population size. The </w:t>
      </w:r>
      <w:r w:rsidR="002F639D">
        <w:t xml:space="preserve">annual number of </w:t>
      </w:r>
      <w:r w:rsidR="00737EDC">
        <w:t>BNP/</w:t>
      </w:r>
      <w:r w:rsidR="002F639D">
        <w:t xml:space="preserve">NT-proBNP test services </w:t>
      </w:r>
      <w:r w:rsidR="007B78F5">
        <w:t xml:space="preserve">for HF diagnosis in a hospital emergency department, MBS item 66830, has increased over time and </w:t>
      </w:r>
      <w:r w:rsidR="006711BB">
        <w:t>reached</w:t>
      </w:r>
      <w:r w:rsidR="007B78F5">
        <w:t xml:space="preserve"> </w:t>
      </w:r>
      <w:r w:rsidR="00141570">
        <w:t>43,628 in 2024/25</w:t>
      </w:r>
      <w:r w:rsidR="007F664B">
        <w:t xml:space="preserve"> (</w:t>
      </w:r>
      <w:r w:rsidR="007F664B">
        <w:fldChar w:fldCharType="begin"/>
      </w:r>
      <w:r w:rsidR="007F664B">
        <w:instrText xml:space="preserve"> REF _Ref233806086 \h </w:instrText>
      </w:r>
      <w:r w:rsidR="007F664B">
        <w:fldChar w:fldCharType="separate"/>
      </w:r>
      <w:r w:rsidR="007F664B">
        <w:t xml:space="preserve">Figure </w:t>
      </w:r>
      <w:r w:rsidR="007F664B">
        <w:rPr>
          <w:noProof/>
        </w:rPr>
        <w:t>2</w:t>
      </w:r>
      <w:r w:rsidR="007F664B">
        <w:fldChar w:fldCharType="end"/>
      </w:r>
      <w:r w:rsidR="007F664B">
        <w:t>)</w:t>
      </w:r>
      <w:r w:rsidR="00141570">
        <w:t xml:space="preserve">. </w:t>
      </w:r>
      <w:r w:rsidR="006D6552">
        <w:t>Baseline or diagnostic NT-proBNP</w:t>
      </w:r>
      <w:r w:rsidR="00141570">
        <w:t xml:space="preserve"> is a prerequisite test for the proposed</w:t>
      </w:r>
      <w:r w:rsidR="006D6552">
        <w:t xml:space="preserve"> service, however </w:t>
      </w:r>
      <w:r w:rsidR="00EC6497">
        <w:t>most</w:t>
      </w:r>
      <w:r w:rsidR="002A10F3">
        <w:t xml:space="preserve"> patients are likely to present to public emergency departments where the service is not billed to the MBS</w:t>
      </w:r>
      <w:r w:rsidR="00456020">
        <w:t xml:space="preserve">. </w:t>
      </w:r>
      <w:r w:rsidR="00A6335E">
        <w:t xml:space="preserve">MBS item 66829 for diagnosis in </w:t>
      </w:r>
      <w:r w:rsidR="0080504C">
        <w:t>the non-hospital setting</w:t>
      </w:r>
      <w:r w:rsidR="00A6335E">
        <w:t xml:space="preserve"> was more recently added to the </w:t>
      </w:r>
      <w:r w:rsidR="0080504C">
        <w:t xml:space="preserve">MBS; there were </w:t>
      </w:r>
      <w:r w:rsidR="00486E16">
        <w:t>58,815 services for this item in 2024/25</w:t>
      </w:r>
      <w:r w:rsidR="009A3E8D">
        <w:t>, its first year of listing</w:t>
      </w:r>
      <w:r w:rsidR="00241AC9">
        <w:t>. This</w:t>
      </w:r>
      <w:r w:rsidR="00857C07">
        <w:t xml:space="preserve"> exceed</w:t>
      </w:r>
      <w:r w:rsidR="00241AC9">
        <w:t>s</w:t>
      </w:r>
      <w:r w:rsidR="00857C07">
        <w:t xml:space="preserve"> the number of </w:t>
      </w:r>
      <w:r w:rsidR="00BA68E9">
        <w:t xml:space="preserve">in-hospital </w:t>
      </w:r>
      <w:r w:rsidR="00857C07">
        <w:t>diagnostic services</w:t>
      </w:r>
      <w:r w:rsidR="00BA68E9">
        <w:t xml:space="preserve"> for that period, which </w:t>
      </w:r>
      <w:r w:rsidR="00D43A50">
        <w:t>d</w:t>
      </w:r>
      <w:r w:rsidR="00BA68E9">
        <w:t xml:space="preserve">id not decline </w:t>
      </w:r>
      <w:r w:rsidR="00D43A50">
        <w:t>from prior years</w:t>
      </w:r>
      <w:r w:rsidR="007F664B">
        <w:t xml:space="preserve"> (</w:t>
      </w:r>
      <w:r w:rsidR="007F664B">
        <w:fldChar w:fldCharType="begin"/>
      </w:r>
      <w:r w:rsidR="007F664B">
        <w:instrText xml:space="preserve"> REF _Ref233806086 \h </w:instrText>
      </w:r>
      <w:r w:rsidR="007F664B">
        <w:fldChar w:fldCharType="separate"/>
      </w:r>
      <w:r w:rsidR="007F664B">
        <w:t xml:space="preserve">Figure </w:t>
      </w:r>
      <w:r w:rsidR="007F664B">
        <w:rPr>
          <w:noProof/>
        </w:rPr>
        <w:t>2</w:t>
      </w:r>
      <w:r w:rsidR="007F664B">
        <w:fldChar w:fldCharType="end"/>
      </w:r>
      <w:r w:rsidR="007F664B">
        <w:t>)</w:t>
      </w:r>
      <w:r w:rsidR="009A3E8D">
        <w:t>.</w:t>
      </w:r>
      <w:r w:rsidR="00EE3280">
        <w:t xml:space="preserve"> </w:t>
      </w:r>
      <w:r w:rsidR="00EE3280" w:rsidRPr="00EE3280">
        <w:t>Th</w:t>
      </w:r>
      <w:r w:rsidR="0000058F">
        <w:t xml:space="preserve">e observed high utilisation of </w:t>
      </w:r>
      <w:r w:rsidR="006F4182">
        <w:t>out-of-hospital diagnostic services</w:t>
      </w:r>
      <w:r w:rsidR="00EE3280" w:rsidRPr="00EE3280">
        <w:t xml:space="preserve"> may be indicative of potential</w:t>
      </w:r>
      <w:r w:rsidR="00CC0FE7">
        <w:t>ly high</w:t>
      </w:r>
      <w:r w:rsidR="00EE3280" w:rsidRPr="00EE3280">
        <w:t xml:space="preserve"> utilisation of an out-of-hospital monitoring NT-proBNP test</w:t>
      </w:r>
      <w:r w:rsidR="00D96945">
        <w:t xml:space="preserve">, especially where the population definition is broad and the time frame for testing is </w:t>
      </w:r>
      <w:r w:rsidR="009C7E07">
        <w:t>extended</w:t>
      </w:r>
      <w:r w:rsidR="00EE3280" w:rsidRPr="00EE3280">
        <w:t>.</w:t>
      </w:r>
      <w:r w:rsidR="009A3E8D">
        <w:t xml:space="preserve"> </w:t>
      </w:r>
      <w:r w:rsidR="00EE3280">
        <w:t xml:space="preserve"> </w:t>
      </w:r>
    </w:p>
    <w:p w14:paraId="7DEF2815" w14:textId="12200AC2" w:rsidR="00B665BF" w:rsidRDefault="00B665BF" w:rsidP="00B665BF">
      <w:pPr>
        <w:pStyle w:val="Caption"/>
      </w:pPr>
      <w:bookmarkStart w:id="14" w:name="_Ref233806086"/>
      <w:r>
        <w:t xml:space="preserve">Figure </w:t>
      </w:r>
      <w:r>
        <w:fldChar w:fldCharType="begin"/>
      </w:r>
      <w:r>
        <w:instrText xml:space="preserve"> SEQ Figure \* ARABIC </w:instrText>
      </w:r>
      <w:r>
        <w:fldChar w:fldCharType="separate"/>
      </w:r>
      <w:r w:rsidR="00E10360">
        <w:rPr>
          <w:noProof/>
        </w:rPr>
        <w:t>2</w:t>
      </w:r>
      <w:r>
        <w:fldChar w:fldCharType="end"/>
      </w:r>
      <w:bookmarkEnd w:id="14"/>
      <w:r>
        <w:tab/>
        <w:t xml:space="preserve">Number of MBS item 66830 </w:t>
      </w:r>
      <w:r w:rsidR="00105139">
        <w:t xml:space="preserve">services </w:t>
      </w:r>
      <w:r>
        <w:t>for</w:t>
      </w:r>
      <w:r w:rsidR="00B34432">
        <w:t xml:space="preserve"> </w:t>
      </w:r>
      <w:r w:rsidR="006C3068">
        <w:t xml:space="preserve">NT-proBNP tests for </w:t>
      </w:r>
      <w:r w:rsidR="00B34432">
        <w:t>HF diagnosis in a hospital emergency department</w:t>
      </w:r>
      <w:r w:rsidR="006C3068">
        <w:t xml:space="preserve"> from</w:t>
      </w:r>
      <w:r>
        <w:t xml:space="preserve"> 2015/16 to 20</w:t>
      </w:r>
      <w:r w:rsidR="003358FE">
        <w:t>24/25</w:t>
      </w:r>
    </w:p>
    <w:p w14:paraId="46C7EA00" w14:textId="6F3FD993" w:rsidR="00942B58" w:rsidRDefault="00942B58" w:rsidP="00F05C57">
      <w:pPr>
        <w:spacing w:after="0"/>
      </w:pPr>
      <w:r>
        <w:rPr>
          <w:noProof/>
        </w:rPr>
        <w:drawing>
          <wp:inline distT="0" distB="0" distL="0" distR="0" wp14:anchorId="0C6D7B20" wp14:editId="317D52DB">
            <wp:extent cx="5280022" cy="3030856"/>
            <wp:effectExtent l="19050" t="19050" r="16510" b="17145"/>
            <wp:docPr id="2" name="Picture 2" descr="Chart showing the increase in MBS item 66830 services from 2015/16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howing the increase in MBS item 66830 services from 2015/16 to 2024/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3078" cy="3032610"/>
                    </a:xfrm>
                    <a:prstGeom prst="rect">
                      <a:avLst/>
                    </a:prstGeom>
                    <a:noFill/>
                    <a:ln>
                      <a:solidFill>
                        <a:schemeClr val="tx1"/>
                      </a:solidFill>
                    </a:ln>
                  </pic:spPr>
                </pic:pic>
              </a:graphicData>
            </a:graphic>
          </wp:inline>
        </w:drawing>
      </w:r>
    </w:p>
    <w:p w14:paraId="7E8B0D64" w14:textId="20C05423" w:rsidR="00713039" w:rsidRDefault="00225A0E" w:rsidP="00F05C57">
      <w:pPr>
        <w:pStyle w:val="Tablenotes"/>
      </w:pPr>
      <w:r>
        <w:t>MBS = Medicare Benefits Schedule</w:t>
      </w:r>
    </w:p>
    <w:p w14:paraId="537AE50E" w14:textId="77777777" w:rsidR="00A02C15" w:rsidRDefault="00A02C15" w:rsidP="00F05C57">
      <w:pPr>
        <w:pStyle w:val="Tablenotes"/>
      </w:pPr>
    </w:p>
    <w:p w14:paraId="6A4504BE" w14:textId="77777777" w:rsidR="0049167B" w:rsidRDefault="0049167B" w:rsidP="0049167B">
      <w:pPr>
        <w:spacing w:line="257" w:lineRule="auto"/>
        <w:rPr>
          <w:rFonts w:cs="Calibri"/>
          <w:i/>
          <w:iCs/>
        </w:rPr>
      </w:pPr>
      <w:r>
        <w:rPr>
          <w:rFonts w:cs="Calibri"/>
          <w:i/>
          <w:iCs/>
        </w:rPr>
        <w:t>PASC discussed the STRONG HF trial as the primary evidence base for the application. PASC noted that:</w:t>
      </w:r>
    </w:p>
    <w:p w14:paraId="74D3E189" w14:textId="38710D41" w:rsidR="0049167B" w:rsidRPr="00F66188" w:rsidRDefault="0049167B" w:rsidP="0049167B">
      <w:pPr>
        <w:pStyle w:val="ListParagraph"/>
        <w:numPr>
          <w:ilvl w:val="0"/>
          <w:numId w:val="28"/>
        </w:numPr>
        <w:spacing w:line="257" w:lineRule="auto"/>
      </w:pPr>
      <w:r>
        <w:rPr>
          <w:rFonts w:cs="Calibri"/>
          <w:i/>
          <w:iCs/>
        </w:rPr>
        <w:t xml:space="preserve">The trial </w:t>
      </w:r>
      <w:r w:rsidRPr="00F66188">
        <w:rPr>
          <w:rFonts w:cs="Calibri"/>
          <w:i/>
          <w:iCs/>
        </w:rPr>
        <w:t xml:space="preserve">was </w:t>
      </w:r>
      <w:r>
        <w:rPr>
          <w:rFonts w:cs="Calibri"/>
          <w:i/>
          <w:iCs/>
        </w:rPr>
        <w:t>conducted predominately in</w:t>
      </w:r>
      <w:r w:rsidRPr="00F66188">
        <w:rPr>
          <w:rFonts w:cs="Calibri"/>
          <w:i/>
          <w:iCs/>
        </w:rPr>
        <w:t xml:space="preserve"> healthcare </w:t>
      </w:r>
      <w:r>
        <w:rPr>
          <w:rFonts w:cs="Calibri"/>
          <w:i/>
          <w:iCs/>
        </w:rPr>
        <w:t xml:space="preserve">settings with more limited access to care than Australia. PASC considered that the trial – and specifically the standard of care comparator </w:t>
      </w:r>
      <w:r w:rsidR="00954D68">
        <w:rPr>
          <w:rFonts w:cs="Calibri"/>
          <w:i/>
          <w:iCs/>
        </w:rPr>
        <w:t>– may</w:t>
      </w:r>
      <w:r>
        <w:rPr>
          <w:rFonts w:cs="Calibri"/>
          <w:i/>
          <w:iCs/>
        </w:rPr>
        <w:t xml:space="preserve"> therefore have limited applicability to the Australian context.</w:t>
      </w:r>
      <w:r w:rsidRPr="00F66188">
        <w:rPr>
          <w:rFonts w:cs="Calibri"/>
          <w:i/>
          <w:iCs/>
        </w:rPr>
        <w:t xml:space="preserve"> </w:t>
      </w:r>
    </w:p>
    <w:p w14:paraId="7F802FEA" w14:textId="5FC74CCF" w:rsidR="0049167B" w:rsidRPr="00F66188" w:rsidRDefault="2E742F13" w:rsidP="0049167B">
      <w:pPr>
        <w:pStyle w:val="ListParagraph"/>
        <w:numPr>
          <w:ilvl w:val="0"/>
          <w:numId w:val="28"/>
        </w:numPr>
        <w:spacing w:line="257" w:lineRule="auto"/>
      </w:pPr>
      <w:r w:rsidRPr="3E2525B0">
        <w:rPr>
          <w:rFonts w:cs="Calibri"/>
          <w:i/>
          <w:iCs/>
        </w:rPr>
        <w:t xml:space="preserve">It is difficult to assess the relative impact of each individual aspect of the intervention used in the trial given that it consisted of multiple components including frequent clinical review, medication up-titration and biomarker-guided management.  </w:t>
      </w:r>
      <w:r w:rsidR="4E747636" w:rsidRPr="3E2525B0">
        <w:rPr>
          <w:rFonts w:cs="Calibri"/>
          <w:i/>
          <w:iCs/>
        </w:rPr>
        <w:t>Therefore,</w:t>
      </w:r>
      <w:r w:rsidRPr="3E2525B0">
        <w:rPr>
          <w:rFonts w:cs="Calibri"/>
          <w:i/>
          <w:iCs/>
        </w:rPr>
        <w:t xml:space="preserve"> it is difficult to determine what contribution the proposed intervention </w:t>
      </w:r>
      <w:r w:rsidR="549A11D2" w:rsidRPr="3E2525B0">
        <w:rPr>
          <w:rFonts w:cs="Calibri"/>
          <w:i/>
          <w:iCs/>
        </w:rPr>
        <w:t xml:space="preserve">alone </w:t>
      </w:r>
      <w:r w:rsidRPr="3E2525B0">
        <w:rPr>
          <w:rFonts w:cs="Calibri"/>
          <w:i/>
          <w:iCs/>
        </w:rPr>
        <w:t>(i.e. NT-proBNP testing) made to final health outcomes.</w:t>
      </w:r>
    </w:p>
    <w:p w14:paraId="73BB1A9E" w14:textId="77777777" w:rsidR="0049167B" w:rsidRPr="00AB4F44" w:rsidRDefault="0049167B" w:rsidP="0049167B">
      <w:pPr>
        <w:pStyle w:val="ListParagraph"/>
        <w:numPr>
          <w:ilvl w:val="0"/>
          <w:numId w:val="28"/>
        </w:numPr>
        <w:spacing w:line="257" w:lineRule="auto"/>
      </w:pPr>
      <w:r>
        <w:rPr>
          <w:rFonts w:cs="Calibri"/>
          <w:i/>
          <w:iCs/>
        </w:rPr>
        <w:t>The trial was conducted prior to the widespread adoption of SGLT2 inhibitors, which are now part of GDMT and do not require up-titration.</w:t>
      </w:r>
    </w:p>
    <w:p w14:paraId="6F88A5CC" w14:textId="5F4D62BA" w:rsidR="007A66C8" w:rsidRDefault="0049167B" w:rsidP="07FE9B1B">
      <w:pPr>
        <w:spacing w:line="257" w:lineRule="auto"/>
        <w:rPr>
          <w:rFonts w:cs="Calibri"/>
          <w:i/>
          <w:iCs/>
        </w:rPr>
      </w:pPr>
      <w:r w:rsidRPr="07FE9B1B">
        <w:rPr>
          <w:rFonts w:cs="Calibri"/>
          <w:i/>
          <w:iCs/>
        </w:rPr>
        <w:lastRenderedPageBreak/>
        <w:t xml:space="preserve">PASC considered that the proposed population was </w:t>
      </w:r>
      <w:r w:rsidR="26F7DEA7" w:rsidRPr="07FE9B1B">
        <w:rPr>
          <w:rFonts w:cs="Calibri"/>
          <w:i/>
          <w:iCs/>
        </w:rPr>
        <w:t xml:space="preserve">somewhat </w:t>
      </w:r>
      <w:r w:rsidRPr="07FE9B1B">
        <w:rPr>
          <w:rFonts w:cs="Calibri"/>
          <w:i/>
          <w:iCs/>
        </w:rPr>
        <w:t>reflective of the population enrolled in the STRONG HF trial</w:t>
      </w:r>
      <w:r w:rsidR="26272781" w:rsidRPr="07FE9B1B">
        <w:rPr>
          <w:rFonts w:cs="Calibri"/>
          <w:i/>
          <w:iCs/>
        </w:rPr>
        <w:t xml:space="preserve"> noting that the trial had an upper age limit.</w:t>
      </w:r>
    </w:p>
    <w:p w14:paraId="5A49FF67" w14:textId="0F0A8A18" w:rsidR="00B55979" w:rsidRDefault="7E9F4664" w:rsidP="3E2525B0">
      <w:pPr>
        <w:spacing w:line="257" w:lineRule="auto"/>
        <w:rPr>
          <w:rFonts w:cs="Calibri"/>
          <w:i/>
          <w:iCs/>
        </w:rPr>
      </w:pPr>
      <w:r w:rsidRPr="3E2525B0">
        <w:rPr>
          <w:rFonts w:cs="Calibri"/>
          <w:i/>
          <w:iCs/>
        </w:rPr>
        <w:t xml:space="preserve">PASC discussed the inclusion of patients with HFpEF in the population, noting that only a small proportion of the trial population had HFpEF and that treatment </w:t>
      </w:r>
      <w:r w:rsidR="3D0FBD1B" w:rsidRPr="3E2525B0">
        <w:rPr>
          <w:rFonts w:cs="Calibri"/>
          <w:i/>
          <w:iCs/>
        </w:rPr>
        <w:t>strategies</w:t>
      </w:r>
      <w:r w:rsidRPr="3E2525B0">
        <w:rPr>
          <w:rFonts w:cs="Calibri"/>
          <w:i/>
          <w:iCs/>
        </w:rPr>
        <w:t xml:space="preserve"> for this population are different </w:t>
      </w:r>
      <w:r w:rsidR="6D489154" w:rsidRPr="3E2525B0">
        <w:rPr>
          <w:rFonts w:cs="Calibri"/>
          <w:i/>
          <w:iCs/>
        </w:rPr>
        <w:t xml:space="preserve">and not focussed on GDMT, </w:t>
      </w:r>
      <w:r w:rsidRPr="3E2525B0">
        <w:rPr>
          <w:rFonts w:cs="Calibri"/>
          <w:i/>
          <w:iCs/>
        </w:rPr>
        <w:t>compared to those for HFrEF. The applicant stated that they preferred the application to focus on a population that requires therapy optimisation across multiple drug classes rather than defining the population according to LVEF cut-off. PASC advised the assessment should specifically consider HF with reduced and moderately reduced EF as the sub-populations of primary interest; PASC advised that given the application will proceed as an applicant-developed assessment report (ADAR), the inclusion of patients with HFpEF was at the applicant’s discretion.</w:t>
      </w:r>
    </w:p>
    <w:p w14:paraId="63D7E7FC" w14:textId="77777777" w:rsidR="00B55979" w:rsidRDefault="00B55979" w:rsidP="00B55979">
      <w:pPr>
        <w:spacing w:line="257" w:lineRule="auto"/>
        <w:rPr>
          <w:rFonts w:cs="Calibri"/>
          <w:i/>
          <w:iCs/>
        </w:rPr>
      </w:pPr>
      <w:r>
        <w:rPr>
          <w:rFonts w:cs="Calibri"/>
          <w:i/>
          <w:iCs/>
        </w:rPr>
        <w:t>PASC discussed the NT-proBNP thresholds that were applied in the intervention arm of STRONG HF, noting that a NT-proBNP threshold of &gt;2,500 pg/mL is relatively high and could exclude some patients with clinically significant HF. PASC considered that this threshold was overly prescriptive for the proposed population. PASC also noted that in the STRONG HF trial patients were required to demonstrate a &gt;10% reduction in NT-proBNP levels between screening and randomisation (i.e. within 2 days before discharge) while maintaining a level above 1,500 pg/mL. PASC discussed whether this criterion should form part of the population but ultimately decided that it should be at the discretion of the treating clinician.</w:t>
      </w:r>
    </w:p>
    <w:p w14:paraId="1DD87999" w14:textId="5B0EA2B6" w:rsidR="007A66C8" w:rsidRPr="00493937" w:rsidRDefault="00B55979" w:rsidP="00493937">
      <w:pPr>
        <w:spacing w:line="257" w:lineRule="auto"/>
        <w:rPr>
          <w:rFonts w:cs="Calibri"/>
          <w:i/>
          <w:iCs/>
        </w:rPr>
      </w:pPr>
      <w:r>
        <w:rPr>
          <w:rFonts w:cs="Calibri"/>
          <w:i/>
          <w:iCs/>
        </w:rPr>
        <w:t>PASC noted the applicant’s clarification that although patients with reversible causes of HF were excluded from the STRONG HF trial, they would not be excluded from the proposed population.</w:t>
      </w:r>
      <w:r w:rsidR="65E049EB" w:rsidRPr="3EA6284F">
        <w:rPr>
          <w:rFonts w:cs="Calibri"/>
        </w:rPr>
        <w:t xml:space="preserve"> </w:t>
      </w:r>
    </w:p>
    <w:p w14:paraId="0E38780D" w14:textId="3D26F192" w:rsidR="007A66C8" w:rsidRDefault="007A66C8" w:rsidP="00713728">
      <w:pPr>
        <w:pStyle w:val="Heading3"/>
      </w:pPr>
      <w:r>
        <w:t>Intervention</w:t>
      </w:r>
    </w:p>
    <w:p w14:paraId="4322FF25" w14:textId="26E604B0" w:rsidR="00B505EE" w:rsidRDefault="009F48D5" w:rsidP="00D528B6">
      <w:r>
        <w:t xml:space="preserve">The proposed intervention is NT-proBNP testing in addition to standard </w:t>
      </w:r>
      <w:r w:rsidR="00DB4616">
        <w:t>medical management</w:t>
      </w:r>
      <w:r w:rsidR="0015790B">
        <w:t xml:space="preserve"> (i.e. </w:t>
      </w:r>
      <w:r w:rsidR="001D1203">
        <w:t xml:space="preserve">a </w:t>
      </w:r>
      <w:r w:rsidR="001D1203" w:rsidRPr="001D1203">
        <w:t>management strategy that incorporates the test</w:t>
      </w:r>
      <w:r w:rsidR="001D1203">
        <w:t>)</w:t>
      </w:r>
      <w:r w:rsidR="005F67C5">
        <w:t>. NT-proBNP</w:t>
      </w:r>
      <w:r>
        <w:t xml:space="preserve"> </w:t>
      </w:r>
      <w:r w:rsidR="00F27FEE">
        <w:t>is proposed to provide additional information for clinical decision-making during the vulnerable phase of HF following hospitalisation</w:t>
      </w:r>
      <w:r w:rsidR="00C41836">
        <w:t>.</w:t>
      </w:r>
      <w:r w:rsidR="000E4DD1">
        <w:t xml:space="preserve"> </w:t>
      </w:r>
      <w:r w:rsidR="00C41836">
        <w:t>T</w:t>
      </w:r>
      <w:r w:rsidR="000E4DD1">
        <w:t>his information is proposed to</w:t>
      </w:r>
      <w:r w:rsidR="00B505EE">
        <w:t xml:space="preserve"> support the rapid up-titration </w:t>
      </w:r>
      <w:r w:rsidR="008C618C">
        <w:t>of medication</w:t>
      </w:r>
      <w:r w:rsidR="0059021F">
        <w:t xml:space="preserve"> to achieve GDMT</w:t>
      </w:r>
      <w:r w:rsidR="004C278D">
        <w:t xml:space="preserve"> more quickly</w:t>
      </w:r>
      <w:r w:rsidR="00FD5E0E">
        <w:t xml:space="preserve"> than would be achieved under standard medical management</w:t>
      </w:r>
      <w:r w:rsidR="00B505EE">
        <w:t xml:space="preserve">. </w:t>
      </w:r>
      <w:r w:rsidR="00EF7B68">
        <w:t>GDMT</w:t>
      </w:r>
      <w:r w:rsidR="00BE1823">
        <w:t xml:space="preserve"> </w:t>
      </w:r>
      <w:r w:rsidR="002A400D">
        <w:t>involves achieving</w:t>
      </w:r>
      <w:r w:rsidR="00395F91">
        <w:t xml:space="preserve"> </w:t>
      </w:r>
      <w:r w:rsidR="002A400D">
        <w:t>100% maximal/optimal doses of all relevant therapies.</w:t>
      </w:r>
      <w:r w:rsidR="002E300E">
        <w:t xml:space="preserve"> </w:t>
      </w:r>
    </w:p>
    <w:p w14:paraId="10B2D923" w14:textId="7BA8217D" w:rsidR="00D528B6" w:rsidRDefault="00BD0016" w:rsidP="00D528B6">
      <w:r>
        <w:t>NT-proBNP is a biomarker for HF</w:t>
      </w:r>
      <w:r w:rsidR="00AA4AF1">
        <w:t xml:space="preserve"> associated with cardiac pathophysiology</w:t>
      </w:r>
      <w:r>
        <w:t>.</w:t>
      </w:r>
      <w:r w:rsidR="00AA4AF1">
        <w:t xml:space="preserve"> </w:t>
      </w:r>
      <w:r w:rsidR="001F7051">
        <w:t xml:space="preserve">BNP is </w:t>
      </w:r>
      <w:r w:rsidR="00787793">
        <w:t>produced</w:t>
      </w:r>
      <w:r w:rsidR="008D2D0B">
        <w:t xml:space="preserve"> </w:t>
      </w:r>
      <w:r w:rsidR="003A29FE">
        <w:t>predominately by cardiac myocytes</w:t>
      </w:r>
      <w:r w:rsidR="0002250F">
        <w:t xml:space="preserve"> in response to </w:t>
      </w:r>
      <w:r w:rsidR="00097F48">
        <w:t>ventricular</w:t>
      </w:r>
      <w:r w:rsidR="0002250F">
        <w:t xml:space="preserve"> dilation and pressure overload.</w:t>
      </w:r>
      <w:r w:rsidR="009C03A8">
        <w:t xml:space="preserve"> </w:t>
      </w:r>
      <w:r w:rsidR="00E024C7">
        <w:t>It is synthesised as a</w:t>
      </w:r>
      <w:r w:rsidR="00AA4AF1">
        <w:t xml:space="preserve"> precursor protein</w:t>
      </w:r>
      <w:r w:rsidR="004C2CF5">
        <w:t xml:space="preserve"> (</w:t>
      </w:r>
      <w:r w:rsidR="000F1CA6">
        <w:t>pre</w:t>
      </w:r>
      <w:r w:rsidR="004C2CF5">
        <w:t xml:space="preserve">proBNP) </w:t>
      </w:r>
      <w:r w:rsidR="000F1CA6">
        <w:t xml:space="preserve">that undergoes enzymatic cleavage to produce a biologically active </w:t>
      </w:r>
      <w:r w:rsidR="00B45955">
        <w:t xml:space="preserve">C-terminal fragment (BNP) and </w:t>
      </w:r>
      <w:r w:rsidR="00E50356">
        <w:t>an</w:t>
      </w:r>
      <w:r w:rsidR="00B45955">
        <w:t xml:space="preserve"> inactive </w:t>
      </w:r>
      <w:r w:rsidR="00D40A14" w:rsidRPr="00D40A14">
        <w:t>cleavage product (NT-proBNP)</w:t>
      </w:r>
      <w:r w:rsidR="00E50356">
        <w:t xml:space="preserve">. </w:t>
      </w:r>
      <w:r w:rsidR="00D528B6">
        <w:t>BNP has</w:t>
      </w:r>
      <w:r w:rsidR="00CC33B7">
        <w:t xml:space="preserve"> </w:t>
      </w:r>
      <w:r w:rsidR="00D528B6">
        <w:t>counter-regulatory</w:t>
      </w:r>
      <w:r w:rsidR="00CC33B7">
        <w:t xml:space="preserve"> effect</w:t>
      </w:r>
      <w:r w:rsidR="001C327C">
        <w:t>s</w:t>
      </w:r>
      <w:r w:rsidR="00CC33B7">
        <w:t xml:space="preserve"> on</w:t>
      </w:r>
      <w:r w:rsidR="00D528B6">
        <w:t xml:space="preserve"> the renin–angiotensin–aldosterone system</w:t>
      </w:r>
      <w:r w:rsidR="009E199A">
        <w:t>,</w:t>
      </w:r>
      <w:r w:rsidR="00383A78">
        <w:t xml:space="preserve"> induce</w:t>
      </w:r>
      <w:r w:rsidR="00CD73DC">
        <w:t>s</w:t>
      </w:r>
      <w:r w:rsidR="00383A78">
        <w:t xml:space="preserve"> diuresis, natriuresis and systemic vasodilation</w:t>
      </w:r>
      <w:r w:rsidR="009E199A">
        <w:t xml:space="preserve"> and has an antifibrotic role</w:t>
      </w:r>
      <w:r w:rsidR="00101C11">
        <w:t>. In HFrEF, elevated BNP/NT-proBNP reflects intracardiac pressures and wall stress and strongly predicts adverse outcomes</w:t>
      </w:r>
      <w:r w:rsidR="009E199A">
        <w:t xml:space="preserve"> </w:t>
      </w:r>
      <w:r w:rsidR="00863716" w:rsidRPr="00863716">
        <w:rPr>
          <w:rFonts w:cs="Calibri"/>
        </w:rPr>
        <w:t>(Panneflek et al. 2025)</w:t>
      </w:r>
      <w:r w:rsidR="007D0C14">
        <w:t>.</w:t>
      </w:r>
      <w:r w:rsidR="001E7D89" w:rsidRPr="001E7D89">
        <w:t xml:space="preserve"> </w:t>
      </w:r>
      <w:r w:rsidR="001E7D89">
        <w:t>In HFpEF, levels are often elevated but may be attenuated by smaller ventricular volumes and obesity-related deficiency</w:t>
      </w:r>
      <w:r w:rsidR="00320EC5">
        <w:t xml:space="preserve"> </w:t>
      </w:r>
      <w:r w:rsidR="00320EC5" w:rsidRPr="00863716">
        <w:rPr>
          <w:rFonts w:cs="Calibri"/>
        </w:rPr>
        <w:t>(Panneflek et al. 2025)</w:t>
      </w:r>
      <w:r w:rsidR="00320EC5">
        <w:t>.</w:t>
      </w:r>
    </w:p>
    <w:p w14:paraId="3A3B96F9" w14:textId="346CF998" w:rsidR="00530672" w:rsidRDefault="00315F6F" w:rsidP="00BF7136">
      <w:r>
        <w:t xml:space="preserve">Levels of both BNP and NT-proBNP can be measured in plasma, however </w:t>
      </w:r>
      <w:r w:rsidR="00C300B1">
        <w:t>BNP has a much shorter half-life (</w:t>
      </w:r>
      <w:r w:rsidR="00FD6437">
        <w:t xml:space="preserve">~20 minutes) than NT-proBNP. This is because BNP </w:t>
      </w:r>
      <w:r w:rsidR="00085731">
        <w:t>levels are regulated by enzymatic degradation</w:t>
      </w:r>
      <w:r w:rsidR="00DB0DA6">
        <w:t xml:space="preserve">, </w:t>
      </w:r>
      <w:r w:rsidR="002B304D">
        <w:t>including</w:t>
      </w:r>
      <w:r w:rsidR="00DB0DA6">
        <w:t xml:space="preserve"> </w:t>
      </w:r>
      <w:r w:rsidR="00FE7C31">
        <w:t xml:space="preserve">by </w:t>
      </w:r>
      <w:r w:rsidR="00DB0DA6">
        <w:t>neprilysin,</w:t>
      </w:r>
      <w:r w:rsidR="00085731">
        <w:t xml:space="preserve"> and receptor-mediated clearance</w:t>
      </w:r>
      <w:r w:rsidR="00A5028C">
        <w:t xml:space="preserve">. </w:t>
      </w:r>
      <w:r w:rsidR="002B304D">
        <w:t xml:space="preserve">In contrast, NT-proBNP </w:t>
      </w:r>
      <w:r w:rsidR="007D1282">
        <w:t>is cleared by the kidney</w:t>
      </w:r>
      <w:r w:rsidR="00CF70A6">
        <w:t>s</w:t>
      </w:r>
      <w:r w:rsidR="00C41836">
        <w:t>,</w:t>
      </w:r>
      <w:r w:rsidR="00340AE7">
        <w:t xml:space="preserve"> leading to a longer half-life but also elevation </w:t>
      </w:r>
      <w:r w:rsidR="00683F00">
        <w:t>with impaired renal function.</w:t>
      </w:r>
      <w:r w:rsidR="00FF5247">
        <w:t xml:space="preserve"> Although </w:t>
      </w:r>
      <w:r w:rsidR="0092504E">
        <w:t xml:space="preserve">either </w:t>
      </w:r>
      <w:r w:rsidR="008B4532">
        <w:t xml:space="preserve">test is available for diagnosis of HF (MBS item 66830 and </w:t>
      </w:r>
      <w:r w:rsidR="00AF536B">
        <w:t>66829)</w:t>
      </w:r>
      <w:r w:rsidR="00C41836">
        <w:t>,</w:t>
      </w:r>
      <w:r w:rsidR="00E94D3C">
        <w:t xml:space="preserve"> the</w:t>
      </w:r>
      <w:r w:rsidR="00C41836">
        <w:t xml:space="preserve"> current</w:t>
      </w:r>
      <w:r w:rsidR="00E94D3C">
        <w:t xml:space="preserve"> application is for the use </w:t>
      </w:r>
      <w:r w:rsidR="00C41836">
        <w:t xml:space="preserve">of </w:t>
      </w:r>
      <w:r w:rsidR="00E94D3C">
        <w:t>NT-proBNP testing only</w:t>
      </w:r>
      <w:r w:rsidR="00177798">
        <w:t xml:space="preserve">. </w:t>
      </w:r>
      <w:r w:rsidR="00504735">
        <w:t xml:space="preserve">MSAC Application 1689.1 </w:t>
      </w:r>
      <w:r w:rsidR="00274EE7">
        <w:t>(</w:t>
      </w:r>
      <w:r w:rsidR="00274EE7" w:rsidRPr="00F54B93">
        <w:t>Quantification of NT-proBNP in patients with systemic sclerosis, and in patients with diagnosed pulmonary arterial hypertension</w:t>
      </w:r>
      <w:r w:rsidR="00274EE7">
        <w:t xml:space="preserve">) </w:t>
      </w:r>
      <w:r w:rsidR="00504735">
        <w:t>was also for NT-proBNP testing only</w:t>
      </w:r>
      <w:r w:rsidR="30C20B9A">
        <w:t>.</w:t>
      </w:r>
      <w:r w:rsidR="00504735">
        <w:t xml:space="preserve"> </w:t>
      </w:r>
      <w:r w:rsidR="405E8B17">
        <w:t>H</w:t>
      </w:r>
      <w:r w:rsidR="00504735">
        <w:t>owever</w:t>
      </w:r>
      <w:r w:rsidR="0037689C">
        <w:t>,</w:t>
      </w:r>
      <w:r w:rsidR="00504735">
        <w:t xml:space="preserve"> </w:t>
      </w:r>
      <w:r w:rsidR="7F4CA865">
        <w:t xml:space="preserve">to maintain patient access </w:t>
      </w:r>
      <w:r w:rsidR="00504735">
        <w:t>the resulting MBS item number</w:t>
      </w:r>
      <w:r w:rsidR="00BB1E33">
        <w:t xml:space="preserve"> (MBS item 66586)</w:t>
      </w:r>
      <w:r w:rsidR="00504735">
        <w:t xml:space="preserve"> includes both BNP </w:t>
      </w:r>
      <w:r w:rsidR="00504735">
        <w:lastRenderedPageBreak/>
        <w:t>and NT-proBNP testing</w:t>
      </w:r>
      <w:r w:rsidR="1FB8D554">
        <w:t>s</w:t>
      </w:r>
      <w:r w:rsidR="00540C69">
        <w:t xml:space="preserve"> because, although</w:t>
      </w:r>
      <w:r w:rsidR="00637D1E">
        <w:t xml:space="preserve"> NT-proBNP is the more common laboratory measure, some laboratories </w:t>
      </w:r>
      <w:r w:rsidR="2F62E3E3">
        <w:t>could only provide</w:t>
      </w:r>
      <w:r w:rsidR="00637D1E">
        <w:t xml:space="preserve"> BNP on-site</w:t>
      </w:r>
      <w:r w:rsidR="00526B9E">
        <w:t xml:space="preserve">. </w:t>
      </w:r>
      <w:r w:rsidR="00530672">
        <w:t xml:space="preserve">In addition to its role as a biomarker, BNP has been tested as a therapeutic intervention and although BNP infusion has not been shown to improve HF outcomes, the inhibition of neprilysin (ARNI) is effective and forms part of GDMT </w:t>
      </w:r>
      <w:r w:rsidR="00530672" w:rsidRPr="00646683">
        <w:rPr>
          <w:rFonts w:cs="Calibri"/>
        </w:rPr>
        <w:t>(Panneflek et al. 2025)</w:t>
      </w:r>
      <w:r w:rsidR="00530672">
        <w:t xml:space="preserve">. </w:t>
      </w:r>
      <w:r w:rsidR="002301B9">
        <w:t>I</w:t>
      </w:r>
      <w:r w:rsidR="00240456">
        <w:t>n patients initiated on ARNI, levels of BNP increase before stabilising</w:t>
      </w:r>
      <w:r w:rsidR="00620839">
        <w:t xml:space="preserve"> after the ARNI reduces myocardial wall stre</w:t>
      </w:r>
      <w:r w:rsidR="000D0CF9">
        <w:t>s</w:t>
      </w:r>
      <w:r w:rsidR="00620839">
        <w:t>s</w:t>
      </w:r>
      <w:r w:rsidR="00527A86">
        <w:t>.</w:t>
      </w:r>
      <w:r w:rsidR="00240456">
        <w:t xml:space="preserve"> </w:t>
      </w:r>
      <w:r w:rsidR="00527A86">
        <w:t>L</w:t>
      </w:r>
      <w:r w:rsidR="00240456">
        <w:t>evels of NT-proBNP are more stable</w:t>
      </w:r>
      <w:r w:rsidR="00447B8E">
        <w:t xml:space="preserve"> as they are not </w:t>
      </w:r>
      <w:r w:rsidR="005519DF">
        <w:t>degraded by neprilysin</w:t>
      </w:r>
      <w:r w:rsidR="00CF25D6">
        <w:t>. However, many BNP assays cross-react with NT-proBNP</w:t>
      </w:r>
      <w:r w:rsidR="00240456">
        <w:t xml:space="preserve"> </w:t>
      </w:r>
      <w:r w:rsidR="007B7123" w:rsidRPr="007B7123">
        <w:rPr>
          <w:rFonts w:cs="Calibri"/>
        </w:rPr>
        <w:t>(Nishikimi and Nakagawa 2022)</w:t>
      </w:r>
      <w:r w:rsidR="00240456">
        <w:t>.</w:t>
      </w:r>
      <w:r w:rsidR="00600E9E">
        <w:t xml:space="preserve"> An Australian </w:t>
      </w:r>
      <w:r w:rsidR="00056856">
        <w:t xml:space="preserve">consensus </w:t>
      </w:r>
      <w:r w:rsidR="005F76E6">
        <w:t xml:space="preserve">statement </w:t>
      </w:r>
      <w:r w:rsidR="00437922">
        <w:t xml:space="preserve">on </w:t>
      </w:r>
      <w:r w:rsidR="00BF7136" w:rsidRPr="00BF7136">
        <w:t xml:space="preserve">optimisation of </w:t>
      </w:r>
      <w:r w:rsidR="00786BFB">
        <w:t>post-discharge HF pat</w:t>
      </w:r>
      <w:r w:rsidR="00BF7136" w:rsidRPr="00BF7136">
        <w:t xml:space="preserve">ient </w:t>
      </w:r>
      <w:r w:rsidR="00554F32">
        <w:t>ca</w:t>
      </w:r>
      <w:r w:rsidR="00BF7136" w:rsidRPr="00BF7136">
        <w:t xml:space="preserve">re </w:t>
      </w:r>
      <w:r w:rsidR="000837D3">
        <w:t>note</w:t>
      </w:r>
      <w:r w:rsidR="009A75F7">
        <w:t>s</w:t>
      </w:r>
      <w:r w:rsidR="000837D3">
        <w:t xml:space="preserve"> that in patients treated with ARNI, NT-proBNP is the preferred biomarker</w:t>
      </w:r>
      <w:r w:rsidR="00477151">
        <w:t xml:space="preserve"> </w:t>
      </w:r>
      <w:r w:rsidR="00E215AF" w:rsidRPr="00E215AF">
        <w:rPr>
          <w:rFonts w:cs="Calibri"/>
        </w:rPr>
        <w:t>(Sindone et al. 2026)</w:t>
      </w:r>
      <w:r w:rsidR="000837D3">
        <w:t>.</w:t>
      </w:r>
    </w:p>
    <w:p w14:paraId="4DF05971" w14:textId="4745D914" w:rsidR="00C96DDE" w:rsidRDefault="00E76BB4" w:rsidP="007F094B">
      <w:pPr>
        <w:rPr>
          <w:rStyle w:val="excluded"/>
        </w:rPr>
      </w:pPr>
      <w:r>
        <w:t>BNP and NT-proBNP levels can be elevated by factors other than HF</w:t>
      </w:r>
      <w:r w:rsidR="00F4493B">
        <w:t xml:space="preserve"> including </w:t>
      </w:r>
      <w:r w:rsidR="00E336A9">
        <w:rPr>
          <w:rStyle w:val="excluded"/>
        </w:rPr>
        <w:t>acute coronary syndrome, pulmonary embolism, shock, atrial arrhythmia, severe pneumonia and renal disease</w:t>
      </w:r>
      <w:r w:rsidR="00460625">
        <w:rPr>
          <w:rStyle w:val="excluded"/>
        </w:rPr>
        <w:t>.</w:t>
      </w:r>
      <w:r w:rsidR="00E336A9">
        <w:rPr>
          <w:rStyle w:val="excluded"/>
        </w:rPr>
        <w:t xml:space="preserve"> </w:t>
      </w:r>
      <w:r w:rsidR="00460625">
        <w:rPr>
          <w:rStyle w:val="excluded"/>
        </w:rPr>
        <w:t>T</w:t>
      </w:r>
      <w:r w:rsidR="00E336A9">
        <w:rPr>
          <w:rStyle w:val="excluded"/>
        </w:rPr>
        <w:t xml:space="preserve">hey are also higher in women than men, increase with age and have an inverse relationship with </w:t>
      </w:r>
      <w:r w:rsidR="00541617">
        <w:rPr>
          <w:rStyle w:val="excluded"/>
        </w:rPr>
        <w:t xml:space="preserve">body </w:t>
      </w:r>
      <w:r w:rsidR="0099631E">
        <w:rPr>
          <w:rStyle w:val="excluded"/>
        </w:rPr>
        <w:t>mass</w:t>
      </w:r>
      <w:r w:rsidR="00541617">
        <w:rPr>
          <w:rStyle w:val="excluded"/>
        </w:rPr>
        <w:t xml:space="preserve"> index</w:t>
      </w:r>
      <w:r w:rsidR="00E336A9">
        <w:rPr>
          <w:rStyle w:val="excluded"/>
        </w:rPr>
        <w:t xml:space="preserve"> (</w:t>
      </w:r>
      <w:r w:rsidR="0099631E">
        <w:rPr>
          <w:rStyle w:val="excluded"/>
        </w:rPr>
        <w:t xml:space="preserve">BMI, </w:t>
      </w:r>
      <w:r w:rsidR="00E336A9">
        <w:rPr>
          <w:rStyle w:val="excluded"/>
        </w:rPr>
        <w:t>lower in obesity)</w:t>
      </w:r>
      <w:r w:rsidR="00E336A9">
        <w:rPr>
          <w:rStyle w:val="FootnoteReference"/>
        </w:rPr>
        <w:footnoteReference w:id="10"/>
      </w:r>
      <w:r w:rsidR="00E336A9">
        <w:rPr>
          <w:rStyle w:val="excluded"/>
        </w:rPr>
        <w:t xml:space="preserve">. For this </w:t>
      </w:r>
      <w:r w:rsidR="00B77766">
        <w:rPr>
          <w:rStyle w:val="excluded"/>
        </w:rPr>
        <w:t>reason,</w:t>
      </w:r>
      <w:r w:rsidR="0053438D">
        <w:rPr>
          <w:rStyle w:val="excluded"/>
        </w:rPr>
        <w:t xml:space="preserve"> </w:t>
      </w:r>
      <w:r w:rsidR="00875DC3">
        <w:rPr>
          <w:rStyle w:val="excluded"/>
        </w:rPr>
        <w:t xml:space="preserve">age dependent cut-off values are used for the </w:t>
      </w:r>
      <w:r w:rsidR="00B77766">
        <w:rPr>
          <w:rStyle w:val="excluded"/>
        </w:rPr>
        <w:t xml:space="preserve">diagnosis of HF. </w:t>
      </w:r>
      <w:r w:rsidR="001425DC">
        <w:rPr>
          <w:rStyle w:val="excluded"/>
        </w:rPr>
        <w:t xml:space="preserve">Similarly, the intervention does not rely on a specific </w:t>
      </w:r>
      <w:r w:rsidR="008E4F9C">
        <w:rPr>
          <w:rStyle w:val="excluded"/>
        </w:rPr>
        <w:t xml:space="preserve">NT-proBNP value but on detecting an increase or decrease </w:t>
      </w:r>
      <w:r w:rsidR="00E10D00">
        <w:rPr>
          <w:rStyle w:val="excluded"/>
        </w:rPr>
        <w:t xml:space="preserve">from pre-discharge concentrations. The application states that an increase of </w:t>
      </w:r>
      <w:r w:rsidR="002474FD">
        <w:rPr>
          <w:rStyle w:val="excluded"/>
        </w:rPr>
        <w:t>more than 10% from pre-discharge may prompt treatment modifications</w:t>
      </w:r>
      <w:r w:rsidR="000032FB">
        <w:rPr>
          <w:rStyle w:val="excluded"/>
        </w:rPr>
        <w:t>, particularly not up-titrating beta blockers and, where clinically appropriate</w:t>
      </w:r>
      <w:r w:rsidR="00FC6E31">
        <w:rPr>
          <w:rStyle w:val="excluded"/>
        </w:rPr>
        <w:t>, up-titrating diuretics. Conversely, reduced levels may provide reassurance that up-titration of GDMT is safe</w:t>
      </w:r>
      <w:r w:rsidR="00DC314E">
        <w:rPr>
          <w:rStyle w:val="excluded"/>
        </w:rPr>
        <w:t xml:space="preserve">, particularly beta-blockers. </w:t>
      </w:r>
    </w:p>
    <w:p w14:paraId="46F64F81" w14:textId="580E23B3" w:rsidR="00D82B39" w:rsidRDefault="00530672" w:rsidP="007F094B">
      <w:r>
        <w:rPr>
          <w:rStyle w:val="excluded"/>
        </w:rPr>
        <w:t xml:space="preserve">The </w:t>
      </w:r>
      <w:r w:rsidR="008D59CE">
        <w:rPr>
          <w:rStyle w:val="excluded"/>
        </w:rPr>
        <w:t>applicant’s proposal is t</w:t>
      </w:r>
      <w:r w:rsidR="009D27F9">
        <w:rPr>
          <w:rStyle w:val="excluded"/>
        </w:rPr>
        <w:t xml:space="preserve">hat up to 5 </w:t>
      </w:r>
      <w:r w:rsidR="007334A0">
        <w:t>NT-proBNP</w:t>
      </w:r>
      <w:r w:rsidR="007E4E52">
        <w:t xml:space="preserve"> monitoring</w:t>
      </w:r>
      <w:r w:rsidR="007334A0">
        <w:t xml:space="preserve"> </w:t>
      </w:r>
      <w:r w:rsidR="009D27F9">
        <w:rPr>
          <w:rStyle w:val="excluded"/>
        </w:rPr>
        <w:t>tests are conducted following a hospital admission</w:t>
      </w:r>
      <w:r w:rsidR="007E4E52">
        <w:rPr>
          <w:rStyle w:val="excluded"/>
        </w:rPr>
        <w:t xml:space="preserve"> (not including any diagnostic or baseline</w:t>
      </w:r>
      <w:r w:rsidR="00764817">
        <w:rPr>
          <w:rStyle w:val="excluded"/>
        </w:rPr>
        <w:t xml:space="preserve"> tests</w:t>
      </w:r>
      <w:r w:rsidR="004128A0">
        <w:rPr>
          <w:rStyle w:val="excluded"/>
        </w:rPr>
        <w:t xml:space="preserve"> done at admission</w:t>
      </w:r>
      <w:r w:rsidR="00764817">
        <w:rPr>
          <w:rStyle w:val="excluded"/>
        </w:rPr>
        <w:t>)</w:t>
      </w:r>
      <w:r w:rsidR="00BA04B5">
        <w:rPr>
          <w:rStyle w:val="excluded"/>
        </w:rPr>
        <w:t>. The number of tests is</w:t>
      </w:r>
      <w:r w:rsidR="00AD36CF">
        <w:rPr>
          <w:rStyle w:val="excluded"/>
        </w:rPr>
        <w:t xml:space="preserve"> consistent with the STRONG-HF trial</w:t>
      </w:r>
      <w:r w:rsidR="00BA04B5">
        <w:rPr>
          <w:rStyle w:val="excluded"/>
        </w:rPr>
        <w:t xml:space="preserve"> where p</w:t>
      </w:r>
      <w:r w:rsidR="001F6E87">
        <w:t xml:space="preserve">atients in the </w:t>
      </w:r>
      <w:r w:rsidR="00BA04B5">
        <w:t>intervention arm</w:t>
      </w:r>
      <w:r w:rsidR="001F6E87">
        <w:t xml:space="preserve"> had</w:t>
      </w:r>
      <w:r w:rsidR="00B958FA">
        <w:t xml:space="preserve"> a </w:t>
      </w:r>
      <w:r w:rsidR="00BD6C2A">
        <w:t xml:space="preserve">screening (baseline) </w:t>
      </w:r>
      <w:r w:rsidR="00B958FA">
        <w:t xml:space="preserve">and </w:t>
      </w:r>
      <w:r w:rsidR="00BD6C2A">
        <w:t>randomisation</w:t>
      </w:r>
      <w:r w:rsidR="00452312">
        <w:t xml:space="preserve"> (</w:t>
      </w:r>
      <w:r w:rsidR="00B958FA">
        <w:t>pre-discharge</w:t>
      </w:r>
      <w:r w:rsidR="00452312">
        <w:t>)</w:t>
      </w:r>
      <w:r w:rsidR="00B958FA">
        <w:t xml:space="preserve"> NT-proBNP </w:t>
      </w:r>
      <w:r w:rsidR="009F2D2B">
        <w:t>test</w:t>
      </w:r>
      <w:r w:rsidR="002329F1">
        <w:t>.</w:t>
      </w:r>
      <w:r w:rsidR="009F2D2B">
        <w:t xml:space="preserve"> NT-proBNP was</w:t>
      </w:r>
      <w:r w:rsidR="002329F1">
        <w:t xml:space="preserve"> subsequently</w:t>
      </w:r>
      <w:r w:rsidR="009F2D2B">
        <w:t xml:space="preserve"> measured</w:t>
      </w:r>
      <w:r w:rsidR="001F6E87">
        <w:t xml:space="preserve"> </w:t>
      </w:r>
      <w:r w:rsidR="009F2D2B">
        <w:t xml:space="preserve">at </w:t>
      </w:r>
      <w:r w:rsidR="001F6E87">
        <w:t>follow-up visits at 1, 2, 3, and 6 weeks after randomi</w:t>
      </w:r>
      <w:r w:rsidR="006D58E1">
        <w:t>s</w:t>
      </w:r>
      <w:r w:rsidR="001F6E87">
        <w:t>ation</w:t>
      </w:r>
      <w:r w:rsidR="004128A0">
        <w:t xml:space="preserve">, totalling 5 tests for </w:t>
      </w:r>
      <w:r w:rsidR="003D39C3">
        <w:t>the purpose of medical management</w:t>
      </w:r>
      <w:r w:rsidR="001F6E87">
        <w:t>.</w:t>
      </w:r>
      <w:r w:rsidR="00480A12">
        <w:t xml:space="preserve"> </w:t>
      </w:r>
      <w:r w:rsidR="00471627">
        <w:t xml:space="preserve">The </w:t>
      </w:r>
      <w:r w:rsidR="00D81BAE">
        <w:t>frequency</w:t>
      </w:r>
      <w:r w:rsidR="00471627">
        <w:t xml:space="preserve"> of </w:t>
      </w:r>
      <w:r w:rsidR="00CF1863">
        <w:t xml:space="preserve">early </w:t>
      </w:r>
      <w:r w:rsidR="00D81BAE">
        <w:t xml:space="preserve">post-discharge </w:t>
      </w:r>
      <w:r w:rsidR="00471627">
        <w:t xml:space="preserve">appointments in the STRONG-HF trial </w:t>
      </w:r>
      <w:r w:rsidR="00D81BAE">
        <w:t>might be difficult to replicate in current practice</w:t>
      </w:r>
      <w:r w:rsidR="006B7423">
        <w:t>;</w:t>
      </w:r>
      <w:r w:rsidR="00D81BAE">
        <w:t xml:space="preserve"> the applicant stated that 3-months might be a suitable period for </w:t>
      </w:r>
      <w:r w:rsidR="001C4023">
        <w:t xml:space="preserve">monitoring and </w:t>
      </w:r>
      <w:r w:rsidR="006B7423">
        <w:t>treatment optimisation</w:t>
      </w:r>
      <w:r w:rsidR="001C4023">
        <w:t xml:space="preserve"> to enable some flexibility regarding appointment scheduling</w:t>
      </w:r>
      <w:r w:rsidR="00CF1863">
        <w:rPr>
          <w:rStyle w:val="FootnoteReference"/>
        </w:rPr>
        <w:footnoteReference w:id="11"/>
      </w:r>
      <w:r w:rsidR="001C4023">
        <w:t xml:space="preserve">. </w:t>
      </w:r>
      <w:r w:rsidR="00CF1863">
        <w:t xml:space="preserve">The </w:t>
      </w:r>
      <w:r w:rsidR="00407394">
        <w:t xml:space="preserve">applicant’s </w:t>
      </w:r>
      <w:r w:rsidR="00CF1863">
        <w:t xml:space="preserve">proposed MBS item </w:t>
      </w:r>
      <w:r w:rsidR="00407394">
        <w:t>wa</w:t>
      </w:r>
      <w:r w:rsidR="00D421DB">
        <w:t>s for 5 tests within 12 months (</w:t>
      </w:r>
      <w:r w:rsidR="00D421DB">
        <w:fldChar w:fldCharType="begin"/>
      </w:r>
      <w:r w:rsidR="00D421DB">
        <w:instrText xml:space="preserve"> REF _Ref233554874 \h </w:instrText>
      </w:r>
      <w:r w:rsidR="00D421DB">
        <w:fldChar w:fldCharType="separate"/>
      </w:r>
      <w:r w:rsidR="00D421DB">
        <w:t xml:space="preserve">Table </w:t>
      </w:r>
      <w:r w:rsidR="00D421DB">
        <w:rPr>
          <w:noProof/>
        </w:rPr>
        <w:t>11</w:t>
      </w:r>
      <w:r w:rsidR="00D421DB">
        <w:fldChar w:fldCharType="end"/>
      </w:r>
      <w:r w:rsidR="008D4277">
        <w:t>).</w:t>
      </w:r>
    </w:p>
    <w:p w14:paraId="6B6BA135" w14:textId="5341BFC3" w:rsidR="008D4277" w:rsidRDefault="008D4277" w:rsidP="007F094B">
      <w:r>
        <w:t>Patients are not expected to require repeat testing if they are subsequently rehospitalised unless they have ceased treatment with GDMT or are on lower doses of GDMT and therefore require a second titration.</w:t>
      </w:r>
      <w:r w:rsidR="003D301F">
        <w:t xml:space="preserve"> The application states that these would be exceptional cases</w:t>
      </w:r>
      <w:r w:rsidR="002512F8">
        <w:t>,</w:t>
      </w:r>
      <w:r w:rsidR="007E029F">
        <w:t xml:space="preserve"> </w:t>
      </w:r>
      <w:r w:rsidR="002512F8">
        <w:t xml:space="preserve">but </w:t>
      </w:r>
      <w:r w:rsidR="007E029F">
        <w:t xml:space="preserve">has proposed that the annual limit would facilitate access where this occurs. </w:t>
      </w:r>
    </w:p>
    <w:p w14:paraId="796E564F" w14:textId="6C4691F6" w:rsidR="00427F41" w:rsidRDefault="00427F41" w:rsidP="007F094B">
      <w:r>
        <w:t>No s</w:t>
      </w:r>
      <w:r w:rsidR="00661CC1">
        <w:t xml:space="preserve">pecific model of care or </w:t>
      </w:r>
      <w:r w:rsidR="00DF67A7">
        <w:t xml:space="preserve">schedule of </w:t>
      </w:r>
      <w:r w:rsidR="00661CC1">
        <w:t>post-admission outpatient visits are specified in the application</w:t>
      </w:r>
      <w:r w:rsidR="00DF67A7">
        <w:t>.</w:t>
      </w:r>
      <w:r w:rsidR="00A703B8">
        <w:t xml:space="preserve"> However, the</w:t>
      </w:r>
      <w:r w:rsidR="00D32CF2">
        <w:t xml:space="preserve"> application states that </w:t>
      </w:r>
      <w:r w:rsidR="004C222C">
        <w:t>a cardiologist</w:t>
      </w:r>
      <w:r w:rsidR="00691603">
        <w:t>,</w:t>
      </w:r>
      <w:r w:rsidR="004C222C">
        <w:t xml:space="preserve"> who will have overall </w:t>
      </w:r>
      <w:r w:rsidR="00465E3A">
        <w:t>responsibility</w:t>
      </w:r>
      <w:r w:rsidR="00691603">
        <w:t xml:space="preserve">, would recommend the use of NT-pro BNP testing as part of </w:t>
      </w:r>
      <w:r w:rsidR="00EE1347">
        <w:t xml:space="preserve">GDMT </w:t>
      </w:r>
      <w:r w:rsidR="00691603">
        <w:t>titration,</w:t>
      </w:r>
      <w:r w:rsidR="008D554D">
        <w:t xml:space="preserve"> while </w:t>
      </w:r>
      <w:r w:rsidR="00FE4CC0">
        <w:t xml:space="preserve">GPs and nurse practitioners may be involved in the care of the patient under a </w:t>
      </w:r>
      <w:r w:rsidR="001D1670">
        <w:t>collaborative model</w:t>
      </w:r>
      <w:r w:rsidR="005341F6">
        <w:t xml:space="preserve">. The application states that </w:t>
      </w:r>
      <w:r w:rsidR="00690D62">
        <w:t xml:space="preserve">consideration could be given to allowing GPs to request NT-proBNP tests for patients who are under the care of a cardiologist to support shared care models and/or telehealth. </w:t>
      </w:r>
      <w:r w:rsidR="005F15BA">
        <w:t xml:space="preserve">The current MBS item for NT-proBNP diagnosis of HF in a non-hospital setting </w:t>
      </w:r>
      <w:r w:rsidR="2097D8FB">
        <w:t>can be requested by</w:t>
      </w:r>
      <w:r w:rsidR="005F15BA">
        <w:t xml:space="preserve"> GPs (</w:t>
      </w:r>
      <w:r w:rsidR="00690D62">
        <w:t xml:space="preserve">MBS item </w:t>
      </w:r>
      <w:r w:rsidR="00617492">
        <w:t>66829</w:t>
      </w:r>
      <w:r w:rsidR="005F15BA">
        <w:t>).</w:t>
      </w:r>
      <w:r w:rsidR="0072714B">
        <w:t xml:space="preserve"> </w:t>
      </w:r>
    </w:p>
    <w:p w14:paraId="58334A56" w14:textId="2208D3BD" w:rsidR="00FA6006" w:rsidRDefault="15509740" w:rsidP="3E2525B0">
      <w:pPr>
        <w:spacing w:line="257" w:lineRule="auto"/>
        <w:rPr>
          <w:rFonts w:cs="Calibri"/>
          <w:i/>
          <w:iCs/>
        </w:rPr>
      </w:pPr>
      <w:r w:rsidRPr="3E2525B0">
        <w:rPr>
          <w:rFonts w:cs="Calibri"/>
          <w:i/>
          <w:iCs/>
        </w:rPr>
        <w:t xml:space="preserve">PASC considered whether the application should include BNP or remain restricted to NT-proBNP. PASC noted that in past assessments, BNP had been included due to equity concerns, particularly to support access in rural areas where access to NT-proBNP was previously limited. However, PASC noted that this is </w:t>
      </w:r>
      <w:r w:rsidRPr="3E2525B0">
        <w:rPr>
          <w:rFonts w:cs="Calibri"/>
          <w:i/>
          <w:iCs/>
        </w:rPr>
        <w:lastRenderedPageBreak/>
        <w:t xml:space="preserve">less likely to be a concern as NT-proBNP has become more widely available and is now the most commonly used measure. The applicant advised that NT-proBNP is broadly available in both public and private laboratories and is usually bulk billed. The applicant’s clinical expert advised that NT-proBNP is the preferred biomarker compared to BNP, due to the increase in BNP levels as a response to ARNI initiation. PASC agreed that the application should be restricted to NT-proBNP. </w:t>
      </w:r>
    </w:p>
    <w:p w14:paraId="33E4775F" w14:textId="52355FF2" w:rsidR="007A66C8" w:rsidRPr="00887D08" w:rsidRDefault="00FA6006" w:rsidP="3EA6284F">
      <w:pPr>
        <w:spacing w:after="160" w:line="257" w:lineRule="auto"/>
        <w:rPr>
          <w:rFonts w:cs="Calibri"/>
        </w:rPr>
      </w:pPr>
      <w:r>
        <w:rPr>
          <w:rFonts w:cs="Calibri"/>
          <w:i/>
          <w:iCs/>
        </w:rPr>
        <w:t>PASC discussed equity and workforce issues and noted that access to post-discharge HF care is often more readily available in public settings compared to private settings. PASC considered that improving access to structured post-discharge care may have a greater impact on patients’ outcomes than improving access to NT-proBNP testing. The applicant’s clinical expert stated that access to NT-proBNP can facilitate models of post-discharge care, including providing clinical information to guide management, particularly when undertaking telehealth consultations.</w:t>
      </w:r>
      <w:r w:rsidR="53C920BC" w:rsidRPr="3EA6284F">
        <w:rPr>
          <w:rFonts w:cs="Calibri"/>
        </w:rPr>
        <w:t xml:space="preserve"> </w:t>
      </w:r>
    </w:p>
    <w:p w14:paraId="665B0675" w14:textId="273D112B" w:rsidR="007A66C8" w:rsidRDefault="007A66C8" w:rsidP="00713728">
      <w:pPr>
        <w:pStyle w:val="Heading3"/>
      </w:pPr>
      <w:r>
        <w:t>Comparator</w:t>
      </w:r>
      <w:r w:rsidR="007D6B83">
        <w:t>(</w:t>
      </w:r>
      <w:r w:rsidR="008F1532">
        <w:t>s</w:t>
      </w:r>
      <w:r w:rsidR="007D6B83">
        <w:t>)</w:t>
      </w:r>
    </w:p>
    <w:p w14:paraId="4FFFE3AD" w14:textId="58CF86FC" w:rsidR="00446DC2" w:rsidRDefault="00872093" w:rsidP="00F43C79">
      <w:r>
        <w:t xml:space="preserve">The comparator is standard </w:t>
      </w:r>
      <w:r w:rsidR="00FD5E0E">
        <w:t>medical management</w:t>
      </w:r>
      <w:r w:rsidR="00374E8D">
        <w:t>,</w:t>
      </w:r>
      <w:r>
        <w:t xml:space="preserve"> which </w:t>
      </w:r>
      <w:r w:rsidR="00D80F57">
        <w:t>consists</w:t>
      </w:r>
      <w:r>
        <w:t xml:space="preserve"> of clinical observations and standard laboratory measurements</w:t>
      </w:r>
      <w:r w:rsidR="00526DC3">
        <w:t>, excluding NT-proBNP measurement,</w:t>
      </w:r>
      <w:r w:rsidR="00D80F57">
        <w:t xml:space="preserve"> </w:t>
      </w:r>
      <w:r w:rsidR="00C52BD7">
        <w:t xml:space="preserve">to guide medication up-titration in the post-discharge period </w:t>
      </w:r>
      <w:r w:rsidR="00D80F57">
        <w:t xml:space="preserve">and is based on the </w:t>
      </w:r>
      <w:r w:rsidR="0052690D" w:rsidRPr="0052690D">
        <w:t xml:space="preserve">CSANZ Heart Failure Guidelines </w:t>
      </w:r>
      <w:r w:rsidR="007621CE">
        <w:t>(</w:t>
      </w:r>
      <w:r w:rsidR="007621CE">
        <w:fldChar w:fldCharType="begin"/>
      </w:r>
      <w:r w:rsidR="007621CE">
        <w:instrText xml:space="preserve"> REF _Ref233192294 \h </w:instrText>
      </w:r>
      <w:r w:rsidR="007621CE">
        <w:fldChar w:fldCharType="separate"/>
      </w:r>
      <w:r w:rsidR="00E10360">
        <w:t xml:space="preserve">Table </w:t>
      </w:r>
      <w:r w:rsidR="00E10360">
        <w:rPr>
          <w:noProof/>
        </w:rPr>
        <w:t>8</w:t>
      </w:r>
      <w:r w:rsidR="007621CE">
        <w:fldChar w:fldCharType="end"/>
      </w:r>
      <w:r w:rsidR="007621CE">
        <w:t xml:space="preserve">) </w:t>
      </w:r>
      <w:r w:rsidR="0052690D" w:rsidRPr="0052690D">
        <w:rPr>
          <w:rFonts w:cs="Calibri"/>
        </w:rPr>
        <w:t>(Atherton et al. 2018)</w:t>
      </w:r>
      <w:r w:rsidR="0052690D">
        <w:t>.</w:t>
      </w:r>
      <w:r w:rsidR="003E5CF4">
        <w:t xml:space="preserve"> </w:t>
      </w:r>
      <w:r w:rsidR="007621CE">
        <w:t xml:space="preserve">Based on this schedule, </w:t>
      </w:r>
      <w:r w:rsidR="00B56D04">
        <w:t xml:space="preserve">patients should be offered 4 outpatient </w:t>
      </w:r>
      <w:r w:rsidR="004209EE">
        <w:t>visits,</w:t>
      </w:r>
      <w:r w:rsidR="00B56D04">
        <w:t xml:space="preserve"> and these would be completed within 12 weeks at the earliest. The application state</w:t>
      </w:r>
      <w:r w:rsidR="00646C76">
        <w:t>s that in usual care, full dose titration</w:t>
      </w:r>
      <w:r w:rsidR="00FE3DEB">
        <w:t xml:space="preserve"> to achieve GDMT</w:t>
      </w:r>
      <w:r w:rsidR="00646C76">
        <w:t xml:space="preserve"> can take more than 6 months post</w:t>
      </w:r>
      <w:r w:rsidR="00F5617A">
        <w:t xml:space="preserve"> </w:t>
      </w:r>
      <w:r w:rsidR="00646C76">
        <w:t xml:space="preserve">discharge. </w:t>
      </w:r>
      <w:r w:rsidR="00E034C7">
        <w:t>Blood pressure, blood biochemistry and clinical evaluation can be undertaken by a GP or specialist</w:t>
      </w:r>
      <w:r w:rsidR="002037AE">
        <w:t xml:space="preserve"> under existing MBS items.</w:t>
      </w:r>
    </w:p>
    <w:p w14:paraId="3B9E4436" w14:textId="71E8F9F1" w:rsidR="007D057E" w:rsidRDefault="007D057E" w:rsidP="007D057E">
      <w:pPr>
        <w:pStyle w:val="Caption"/>
      </w:pPr>
      <w:bookmarkStart w:id="15" w:name="_Ref233192294"/>
      <w:r>
        <w:lastRenderedPageBreak/>
        <w:t xml:space="preserve">Table </w:t>
      </w:r>
      <w:r>
        <w:fldChar w:fldCharType="begin"/>
      </w:r>
      <w:r>
        <w:instrText xml:space="preserve"> SEQ Table \* ARABIC </w:instrText>
      </w:r>
      <w:r>
        <w:fldChar w:fldCharType="separate"/>
      </w:r>
      <w:r w:rsidR="00E10360">
        <w:rPr>
          <w:noProof/>
        </w:rPr>
        <w:t>8</w:t>
      </w:r>
      <w:r>
        <w:fldChar w:fldCharType="end"/>
      </w:r>
      <w:bookmarkEnd w:id="15"/>
      <w:r>
        <w:tab/>
      </w:r>
      <w:r w:rsidR="00216B70">
        <w:t xml:space="preserve">Practice advice on </w:t>
      </w:r>
      <w:r w:rsidR="00AD5CF5">
        <w:t>medication titration</w:t>
      </w:r>
      <w:r w:rsidR="00A54281">
        <w:t xml:space="preserve"> </w:t>
      </w:r>
      <w:r w:rsidR="00216B70">
        <w:t>in Australian clinical practice guidelines</w:t>
      </w:r>
    </w:p>
    <w:tbl>
      <w:tblPr>
        <w:tblStyle w:val="TableGrid"/>
        <w:tblW w:w="0" w:type="auto"/>
        <w:tblInd w:w="0" w:type="dxa"/>
        <w:tblLook w:val="04A0" w:firstRow="1" w:lastRow="0" w:firstColumn="1" w:lastColumn="0" w:noHBand="0" w:noVBand="1"/>
        <w:tblCaption w:val="Standard of care for medication titration"/>
        <w:tblDescription w:val="Summarises standard of care for medication titration, which is the intervention."/>
      </w:tblPr>
      <w:tblGrid>
        <w:gridCol w:w="1106"/>
        <w:gridCol w:w="2084"/>
        <w:gridCol w:w="1492"/>
        <w:gridCol w:w="1367"/>
        <w:gridCol w:w="3522"/>
      </w:tblGrid>
      <w:tr w:rsidR="00FD784D" w14:paraId="2C691AC2" w14:textId="2CA40DBB" w:rsidTr="007C5C75">
        <w:trPr>
          <w:tblHeader/>
        </w:trPr>
        <w:tc>
          <w:tcPr>
            <w:tcW w:w="0" w:type="auto"/>
          </w:tcPr>
          <w:p w14:paraId="3F88C5F7" w14:textId="7846CB8A" w:rsidR="00C14D16" w:rsidRDefault="00C14D16" w:rsidP="002C2144">
            <w:pPr>
              <w:pStyle w:val="TableHeading"/>
            </w:pPr>
            <w:r>
              <w:t>Medication class</w:t>
            </w:r>
          </w:p>
        </w:tc>
        <w:tc>
          <w:tcPr>
            <w:tcW w:w="0" w:type="auto"/>
          </w:tcPr>
          <w:p w14:paraId="7D1F5F35" w14:textId="2CA02059" w:rsidR="00C14D16" w:rsidRDefault="00C14D16" w:rsidP="002C2144">
            <w:pPr>
              <w:pStyle w:val="TableHeading"/>
            </w:pPr>
            <w:r>
              <w:t>Titration schedule</w:t>
            </w:r>
          </w:p>
        </w:tc>
        <w:tc>
          <w:tcPr>
            <w:tcW w:w="0" w:type="auto"/>
          </w:tcPr>
          <w:p w14:paraId="37946339" w14:textId="33CCE2E9" w:rsidR="00C14D16" w:rsidRDefault="00C14D16" w:rsidP="002C2144">
            <w:pPr>
              <w:pStyle w:val="TableHeading"/>
            </w:pPr>
            <w:r>
              <w:t>Patient review</w:t>
            </w:r>
          </w:p>
        </w:tc>
        <w:tc>
          <w:tcPr>
            <w:tcW w:w="0" w:type="auto"/>
          </w:tcPr>
          <w:p w14:paraId="52AF5BFF" w14:textId="523C5A72" w:rsidR="00C14D16" w:rsidRDefault="00C14D16" w:rsidP="002C2144">
            <w:pPr>
              <w:pStyle w:val="TableHeading"/>
            </w:pPr>
            <w:r>
              <w:t>Tests</w:t>
            </w:r>
          </w:p>
        </w:tc>
        <w:tc>
          <w:tcPr>
            <w:tcW w:w="0" w:type="auto"/>
          </w:tcPr>
          <w:p w14:paraId="2CAF8AC3" w14:textId="510BE712" w:rsidR="00C14D16" w:rsidRDefault="00C14D16" w:rsidP="002C2144">
            <w:pPr>
              <w:pStyle w:val="TableHeading"/>
            </w:pPr>
            <w:r>
              <w:t>Management</w:t>
            </w:r>
          </w:p>
        </w:tc>
      </w:tr>
      <w:tr w:rsidR="00FD784D" w14:paraId="3B8D39D8" w14:textId="2F69518D" w:rsidTr="007C5C75">
        <w:trPr>
          <w:tblHeader/>
        </w:trPr>
        <w:tc>
          <w:tcPr>
            <w:tcW w:w="0" w:type="auto"/>
          </w:tcPr>
          <w:p w14:paraId="7C34C538" w14:textId="77777777" w:rsidR="00C14D16" w:rsidRDefault="00C14D16" w:rsidP="002C2144">
            <w:pPr>
              <w:pStyle w:val="TableText0"/>
            </w:pPr>
            <w:r>
              <w:t>ACE inhibitors</w:t>
            </w:r>
          </w:p>
          <w:p w14:paraId="187440D4" w14:textId="77777777" w:rsidR="00E969D9" w:rsidRDefault="00E969D9" w:rsidP="002C2144">
            <w:pPr>
              <w:pStyle w:val="TableText0"/>
            </w:pPr>
            <w:r>
              <w:t>ARB</w:t>
            </w:r>
          </w:p>
          <w:p w14:paraId="57344523" w14:textId="04943C68" w:rsidR="00E969D9" w:rsidRDefault="00E969D9" w:rsidP="002C2144">
            <w:pPr>
              <w:pStyle w:val="TableText0"/>
            </w:pPr>
            <w:r>
              <w:t>ARNI</w:t>
            </w:r>
          </w:p>
        </w:tc>
        <w:tc>
          <w:tcPr>
            <w:tcW w:w="0" w:type="auto"/>
          </w:tcPr>
          <w:p w14:paraId="0B4D468E" w14:textId="5788BECA" w:rsidR="00C14D16" w:rsidRDefault="00C14D16" w:rsidP="001030B3">
            <w:pPr>
              <w:pStyle w:val="TableText0"/>
            </w:pPr>
            <w:r>
              <w:t xml:space="preserve">Usually started at low doses and up-titrated by doubling the dose every </w:t>
            </w:r>
            <w:r w:rsidR="00FA1D9B">
              <w:t>2</w:t>
            </w:r>
            <w:r>
              <w:t xml:space="preserve"> weeks, aiming for target doses or maximum tolerated doses. Faster up-titration may occur with close monitoring (e.g. in an inpatient setting)</w:t>
            </w:r>
          </w:p>
        </w:tc>
        <w:tc>
          <w:tcPr>
            <w:tcW w:w="0" w:type="auto"/>
          </w:tcPr>
          <w:p w14:paraId="2E986C36" w14:textId="2E9F5009" w:rsidR="00C14D16" w:rsidRDefault="00C14D16" w:rsidP="000B51F0">
            <w:pPr>
              <w:pStyle w:val="TableText0"/>
              <w:widowControl w:val="0"/>
            </w:pPr>
            <w:r>
              <w:t>Following initiation and each dose escalation (1-2 weeks)</w:t>
            </w:r>
          </w:p>
        </w:tc>
        <w:tc>
          <w:tcPr>
            <w:tcW w:w="0" w:type="auto"/>
          </w:tcPr>
          <w:p w14:paraId="747AF8E7" w14:textId="4E158772" w:rsidR="00C14D16" w:rsidRDefault="00C14D16" w:rsidP="002C2144">
            <w:pPr>
              <w:pStyle w:val="TableText0"/>
            </w:pPr>
            <w:r>
              <w:t>Blood pressure</w:t>
            </w:r>
          </w:p>
          <w:p w14:paraId="287C170E" w14:textId="41F65918" w:rsidR="00C14D16" w:rsidRDefault="00C14D16" w:rsidP="000B51F0">
            <w:pPr>
              <w:pStyle w:val="TableText0"/>
              <w:widowControl w:val="0"/>
            </w:pPr>
            <w:r>
              <w:t>Blood biochemistry (renal function, potassium)</w:t>
            </w:r>
          </w:p>
        </w:tc>
        <w:tc>
          <w:tcPr>
            <w:tcW w:w="0" w:type="auto"/>
          </w:tcPr>
          <w:p w14:paraId="31F43B28" w14:textId="122D5EEB" w:rsidR="00C14D16" w:rsidRDefault="001E167F" w:rsidP="000B7E6D">
            <w:pPr>
              <w:pStyle w:val="TableText0"/>
            </w:pPr>
            <w:r>
              <w:t>If s</w:t>
            </w:r>
            <w:r w:rsidR="000B7E6D">
              <w:t>ymptomatic hypotension</w:t>
            </w:r>
            <w:r w:rsidR="008202A4">
              <w:t>,</w:t>
            </w:r>
            <w:r w:rsidR="00695708">
              <w:t xml:space="preserve"> </w:t>
            </w:r>
            <w:r w:rsidR="000B7E6D">
              <w:t xml:space="preserve">eGFR decreases </w:t>
            </w:r>
            <w:r w:rsidR="00453AA9">
              <w:t>&gt;</w:t>
            </w:r>
            <w:r w:rsidR="000B7E6D">
              <w:t xml:space="preserve">30%, or the serum potassium rises </w:t>
            </w:r>
            <w:r>
              <w:t>&gt;</w:t>
            </w:r>
            <w:r w:rsidR="000B7E6D">
              <w:t xml:space="preserve">5.5 mmol/L, </w:t>
            </w:r>
            <w:r w:rsidR="00F75ADE">
              <w:t>assess</w:t>
            </w:r>
            <w:r w:rsidR="000B7E6D">
              <w:t xml:space="preserve"> volume status and the need for other drugs that lower blood pressure or impact on renal function and potassium (e.g. calcium channel blockers, nitrates, NSAIDs, diuretics and potassium supplements)</w:t>
            </w:r>
            <w:r w:rsidR="00284AA3">
              <w:t xml:space="preserve">. </w:t>
            </w:r>
            <w:r w:rsidR="000B7E6D">
              <w:t>ACE</w:t>
            </w:r>
            <w:r w:rsidR="00F003FA">
              <w:t xml:space="preserve"> inhibitor/ARB/ARNI</w:t>
            </w:r>
            <w:r w:rsidR="000B7E6D">
              <w:t xml:space="preserve"> may need to be decreased (or ceased).</w:t>
            </w:r>
          </w:p>
          <w:p w14:paraId="0F2E4224" w14:textId="697BE828" w:rsidR="00D539D6" w:rsidRDefault="00D539D6" w:rsidP="000B7E6D">
            <w:pPr>
              <w:pStyle w:val="TableText0"/>
            </w:pPr>
            <w:r>
              <w:t xml:space="preserve">If angioedema, </w:t>
            </w:r>
            <w:r w:rsidR="000259A5">
              <w:t>c</w:t>
            </w:r>
            <w:r w:rsidR="009D5C6F">
              <w:t>e</w:t>
            </w:r>
            <w:r w:rsidR="000259A5">
              <w:t>ase ACE inhibitor</w:t>
            </w:r>
            <w:r w:rsidR="00CE0D4C">
              <w:t>/ ARNI</w:t>
            </w:r>
            <w:r w:rsidR="000259A5">
              <w:t>.</w:t>
            </w:r>
          </w:p>
          <w:p w14:paraId="766A6057" w14:textId="61111026" w:rsidR="000259A5" w:rsidRDefault="000259A5" w:rsidP="000B7E6D">
            <w:pPr>
              <w:pStyle w:val="TableText0"/>
            </w:pPr>
            <w:r>
              <w:t>If cough, consider if due to pulmonary congestion or lung disease</w:t>
            </w:r>
            <w:r w:rsidR="00A00958">
              <w:t>. If related to ACE inhibitor, change to ARB.</w:t>
            </w:r>
          </w:p>
        </w:tc>
      </w:tr>
      <w:tr w:rsidR="00FD784D" w14:paraId="1D6F1A7E" w14:textId="790C5EE5" w:rsidTr="007C5C75">
        <w:trPr>
          <w:tblHeader/>
        </w:trPr>
        <w:tc>
          <w:tcPr>
            <w:tcW w:w="0" w:type="auto"/>
          </w:tcPr>
          <w:p w14:paraId="33F0F16E" w14:textId="669AF2B0" w:rsidR="00C14D16" w:rsidRDefault="00B70290" w:rsidP="002C2144">
            <w:pPr>
              <w:pStyle w:val="TableText0"/>
            </w:pPr>
            <w:r>
              <w:t>Beta blockers</w:t>
            </w:r>
          </w:p>
        </w:tc>
        <w:tc>
          <w:tcPr>
            <w:tcW w:w="0" w:type="auto"/>
          </w:tcPr>
          <w:p w14:paraId="3D6ADA42" w14:textId="70238930" w:rsidR="00C14D16" w:rsidRDefault="00D624B9" w:rsidP="00D624B9">
            <w:pPr>
              <w:pStyle w:val="TableText0"/>
            </w:pPr>
            <w:r>
              <w:t>Usually started at low doses and gradually up</w:t>
            </w:r>
            <w:r w:rsidR="00474FF6">
              <w:t>-</w:t>
            </w:r>
            <w:r>
              <w:t>titrated by doubling the dose every 2–4 weeks,</w:t>
            </w:r>
            <w:r w:rsidR="00474FF6">
              <w:t xml:space="preserve"> </w:t>
            </w:r>
            <w:r>
              <w:t>aiming for target doses or maximum tolerated doses</w:t>
            </w:r>
          </w:p>
        </w:tc>
        <w:tc>
          <w:tcPr>
            <w:tcW w:w="0" w:type="auto"/>
          </w:tcPr>
          <w:p w14:paraId="4743F2E3" w14:textId="323AA503" w:rsidR="00C14D16" w:rsidRDefault="00897072" w:rsidP="002C2144">
            <w:pPr>
              <w:pStyle w:val="TableText0"/>
            </w:pPr>
            <w:r>
              <w:t>Following initiation and each dose escalation (1-2 weeks)</w:t>
            </w:r>
          </w:p>
        </w:tc>
        <w:tc>
          <w:tcPr>
            <w:tcW w:w="0" w:type="auto"/>
          </w:tcPr>
          <w:p w14:paraId="70811BF2" w14:textId="77777777" w:rsidR="00C14D16" w:rsidRDefault="00474FF6" w:rsidP="002C2144">
            <w:pPr>
              <w:pStyle w:val="TableText0"/>
            </w:pPr>
            <w:r>
              <w:t>Heart rate</w:t>
            </w:r>
          </w:p>
          <w:p w14:paraId="00C88BDB" w14:textId="77777777" w:rsidR="00474FF6" w:rsidRDefault="00474FF6" w:rsidP="002C2144">
            <w:pPr>
              <w:pStyle w:val="TableText0"/>
            </w:pPr>
            <w:r>
              <w:t>Blood pressure</w:t>
            </w:r>
          </w:p>
          <w:p w14:paraId="14C9D14C" w14:textId="676D49CA" w:rsidR="00474FF6" w:rsidRDefault="00474FF6" w:rsidP="002C2144">
            <w:pPr>
              <w:pStyle w:val="TableText0"/>
            </w:pPr>
            <w:r>
              <w:t>Clinical evaluation</w:t>
            </w:r>
          </w:p>
        </w:tc>
        <w:tc>
          <w:tcPr>
            <w:tcW w:w="0" w:type="auto"/>
          </w:tcPr>
          <w:p w14:paraId="79A4475A" w14:textId="456C4ED9" w:rsidR="00C14D16" w:rsidRDefault="00897072" w:rsidP="00897072">
            <w:pPr>
              <w:pStyle w:val="TableText0"/>
            </w:pPr>
            <w:r>
              <w:t>If symptomatic bradycardia</w:t>
            </w:r>
            <w:r w:rsidR="00284AA3">
              <w:t xml:space="preserve"> </w:t>
            </w:r>
            <w:r>
              <w:t xml:space="preserve">(&lt;50 bpm), </w:t>
            </w:r>
            <w:r w:rsidR="00DA643E">
              <w:t>arrange</w:t>
            </w:r>
            <w:r>
              <w:t xml:space="preserve"> ECG and review the need for other drugs that lower heart rate (e.g. digoxin and amiodarone). </w:t>
            </w:r>
            <w:r w:rsidR="00164381">
              <w:t>B</w:t>
            </w:r>
            <w:r>
              <w:t>eta blocker dose may need to be decreased and specialist advice sought.</w:t>
            </w:r>
          </w:p>
          <w:p w14:paraId="6CAECE74" w14:textId="497C0F55" w:rsidR="00475C4E" w:rsidRDefault="00511F1D" w:rsidP="007F4645">
            <w:pPr>
              <w:pStyle w:val="TableText0"/>
            </w:pPr>
            <w:r>
              <w:t>If symptomatic hypotension, assess</w:t>
            </w:r>
            <w:r w:rsidR="00A27565">
              <w:t xml:space="preserve"> </w:t>
            </w:r>
            <w:r>
              <w:t xml:space="preserve">volume status and review the need for other drugs that lower blood pressure (e.g. calcium channel blockers, nitrates, and diuretics). </w:t>
            </w:r>
            <w:r w:rsidR="007F4645">
              <w:t>B</w:t>
            </w:r>
            <w:r>
              <w:t>eta blocker dose may need to be decreased and specialist advice sought</w:t>
            </w:r>
            <w:r w:rsidR="007F4645">
              <w:t>.</w:t>
            </w:r>
          </w:p>
          <w:p w14:paraId="6AA176CB" w14:textId="30796A1C" w:rsidR="007F4645" w:rsidRDefault="007F4645" w:rsidP="007F4645">
            <w:pPr>
              <w:pStyle w:val="TableText0"/>
            </w:pPr>
            <w:r>
              <w:t>If increasing congesti</w:t>
            </w:r>
            <w:r w:rsidR="006159FF">
              <w:t>on</w:t>
            </w:r>
            <w:r>
              <w:t xml:space="preserve">, increase the </w:t>
            </w:r>
            <w:r w:rsidR="000F132F">
              <w:t>diuretic</w:t>
            </w:r>
            <w:r>
              <w:t xml:space="preserve"> dose</w:t>
            </w:r>
            <w:r w:rsidR="0068214B">
              <w:t>, occasionally may require a reduction in beta blocker dose.</w:t>
            </w:r>
          </w:p>
        </w:tc>
      </w:tr>
      <w:tr w:rsidR="00FD784D" w14:paraId="6E748D18" w14:textId="08BE60D8" w:rsidTr="007C5C75">
        <w:trPr>
          <w:tblHeader/>
        </w:trPr>
        <w:tc>
          <w:tcPr>
            <w:tcW w:w="0" w:type="auto"/>
          </w:tcPr>
          <w:p w14:paraId="76434FF5" w14:textId="742CF5DA" w:rsidR="00C14D16" w:rsidRDefault="00C36A72" w:rsidP="002C2144">
            <w:pPr>
              <w:pStyle w:val="TableText0"/>
            </w:pPr>
            <w:r>
              <w:t>MRAs</w:t>
            </w:r>
          </w:p>
        </w:tc>
        <w:tc>
          <w:tcPr>
            <w:tcW w:w="0" w:type="auto"/>
          </w:tcPr>
          <w:p w14:paraId="0F5F6EDB" w14:textId="15EF3F51" w:rsidR="00C14D16" w:rsidRDefault="00D977AD" w:rsidP="00D977AD">
            <w:pPr>
              <w:pStyle w:val="TableText0"/>
            </w:pPr>
            <w:r>
              <w:t>Low doses initially and up-titrating in 4–8 weeks</w:t>
            </w:r>
          </w:p>
        </w:tc>
        <w:tc>
          <w:tcPr>
            <w:tcW w:w="0" w:type="auto"/>
          </w:tcPr>
          <w:p w14:paraId="5B2C7CFB" w14:textId="0649172A" w:rsidR="00C14D16" w:rsidRDefault="0078711E" w:rsidP="002C2144">
            <w:pPr>
              <w:pStyle w:val="TableText0"/>
            </w:pPr>
            <w:r>
              <w:t xml:space="preserve">Following initiation and each dose escalation (1-2 weeks, then every 4 weeks for 12 </w:t>
            </w:r>
            <w:r w:rsidR="000B51F0">
              <w:t>weeks, and</w:t>
            </w:r>
            <w:r w:rsidR="00DA5A77">
              <w:t xml:space="preserve"> at 6 months</w:t>
            </w:r>
            <w:r>
              <w:t>)</w:t>
            </w:r>
          </w:p>
        </w:tc>
        <w:tc>
          <w:tcPr>
            <w:tcW w:w="0" w:type="auto"/>
          </w:tcPr>
          <w:p w14:paraId="74F4D5C1" w14:textId="77777777" w:rsidR="00C14D16" w:rsidRDefault="00DA5A77" w:rsidP="002C2144">
            <w:pPr>
              <w:pStyle w:val="TableText0"/>
            </w:pPr>
            <w:r>
              <w:t>Blood pressure</w:t>
            </w:r>
          </w:p>
          <w:p w14:paraId="54C39694" w14:textId="357E6696" w:rsidR="00DA5A77" w:rsidRDefault="00DA5A77" w:rsidP="002C2144">
            <w:pPr>
              <w:pStyle w:val="TableText0"/>
            </w:pPr>
            <w:r>
              <w:t>Blood biochemistry (renal function, potassium)</w:t>
            </w:r>
          </w:p>
        </w:tc>
        <w:tc>
          <w:tcPr>
            <w:tcW w:w="0" w:type="auto"/>
          </w:tcPr>
          <w:p w14:paraId="0A960069" w14:textId="6395D123" w:rsidR="00C14D16" w:rsidRDefault="00DA5A77" w:rsidP="00DA5A77">
            <w:pPr>
              <w:pStyle w:val="TableText0"/>
            </w:pPr>
            <w:r>
              <w:t>If eGFR decreases &gt;30% or serum potassium rises &gt;5.5 mmol/L, assess volume status and review the need for other drugs that affect renal fun</w:t>
            </w:r>
            <w:r w:rsidR="001E38CB">
              <w:t>c</w:t>
            </w:r>
            <w:r>
              <w:t>tion and potassium (e.g. NSAIDs and potassium supplements). If not successful, MRAs</w:t>
            </w:r>
            <w:r w:rsidR="001E38CB">
              <w:t xml:space="preserve"> </w:t>
            </w:r>
            <w:r>
              <w:t>should be reduced. If</w:t>
            </w:r>
            <w:r w:rsidR="001E38CB">
              <w:t xml:space="preserve"> </w:t>
            </w:r>
            <w:r>
              <w:t xml:space="preserve">serum potassium rises </w:t>
            </w:r>
            <w:r w:rsidR="001E38CB">
              <w:t>&gt;</w:t>
            </w:r>
            <w:r>
              <w:t xml:space="preserve">6.0 mmol/L, </w:t>
            </w:r>
            <w:r w:rsidR="00155F54">
              <w:t>c</w:t>
            </w:r>
            <w:r w:rsidR="009E5782">
              <w:t>e</w:t>
            </w:r>
            <w:r w:rsidR="00155F54">
              <w:t xml:space="preserve">ase </w:t>
            </w:r>
            <w:r>
              <w:t>MRA and s</w:t>
            </w:r>
            <w:r w:rsidR="00155F54">
              <w:t>eek s</w:t>
            </w:r>
            <w:r>
              <w:t>pecialist</w:t>
            </w:r>
            <w:r w:rsidR="00155F54">
              <w:t xml:space="preserve"> </w:t>
            </w:r>
            <w:r>
              <w:t>advice.</w:t>
            </w:r>
          </w:p>
        </w:tc>
      </w:tr>
      <w:tr w:rsidR="00FD784D" w14:paraId="0D080D1B" w14:textId="6F1E7C75" w:rsidTr="007C5C75">
        <w:trPr>
          <w:tblHeader/>
        </w:trPr>
        <w:tc>
          <w:tcPr>
            <w:tcW w:w="0" w:type="auto"/>
          </w:tcPr>
          <w:p w14:paraId="7D382F4D" w14:textId="4CB356A3" w:rsidR="00C14D16" w:rsidRDefault="005119A0" w:rsidP="002C2144">
            <w:pPr>
              <w:pStyle w:val="TableText0"/>
            </w:pPr>
            <w:r>
              <w:t>Diuretics</w:t>
            </w:r>
          </w:p>
        </w:tc>
        <w:tc>
          <w:tcPr>
            <w:tcW w:w="0" w:type="auto"/>
          </w:tcPr>
          <w:p w14:paraId="6F7BA244" w14:textId="4E30C5C0" w:rsidR="00C14D16" w:rsidRDefault="005119A0" w:rsidP="005119A0">
            <w:pPr>
              <w:pStyle w:val="TableText0"/>
            </w:pPr>
            <w:r>
              <w:t>Start at low dose and treatment adjusted according to clinical response</w:t>
            </w:r>
          </w:p>
        </w:tc>
        <w:tc>
          <w:tcPr>
            <w:tcW w:w="0" w:type="auto"/>
          </w:tcPr>
          <w:p w14:paraId="750D104C" w14:textId="42AF723E" w:rsidR="00C14D16" w:rsidRDefault="00FD784D" w:rsidP="002C2144">
            <w:pPr>
              <w:pStyle w:val="TableText0"/>
            </w:pPr>
            <w:r>
              <w:t>1-2 weeks</w:t>
            </w:r>
          </w:p>
        </w:tc>
        <w:tc>
          <w:tcPr>
            <w:tcW w:w="0" w:type="auto"/>
          </w:tcPr>
          <w:p w14:paraId="49FA2994" w14:textId="77777777" w:rsidR="00C14D16" w:rsidRDefault="005119A0" w:rsidP="002C2144">
            <w:pPr>
              <w:pStyle w:val="TableText0"/>
            </w:pPr>
            <w:r>
              <w:t>Volume status</w:t>
            </w:r>
          </w:p>
          <w:p w14:paraId="11372EB8" w14:textId="71139C96" w:rsidR="005119A0" w:rsidRDefault="005119A0" w:rsidP="002C2144">
            <w:pPr>
              <w:pStyle w:val="TableText0"/>
            </w:pPr>
            <w:r>
              <w:t>B</w:t>
            </w:r>
            <w:r w:rsidR="00FD784D">
              <w:t>lood b</w:t>
            </w:r>
            <w:r>
              <w:t xml:space="preserve">iochemistry (renal function, </w:t>
            </w:r>
            <w:r w:rsidR="00FD784D">
              <w:t>sodium, potassium)</w:t>
            </w:r>
          </w:p>
        </w:tc>
        <w:tc>
          <w:tcPr>
            <w:tcW w:w="0" w:type="auto"/>
          </w:tcPr>
          <w:p w14:paraId="7F99917B" w14:textId="780EAB83" w:rsidR="00C14D16" w:rsidRDefault="007C05D2" w:rsidP="007C05D2">
            <w:pPr>
              <w:pStyle w:val="TableText0"/>
            </w:pPr>
            <w:r>
              <w:t>Patients may also be educated to adjust the dose of diuretic.</w:t>
            </w:r>
          </w:p>
        </w:tc>
      </w:tr>
    </w:tbl>
    <w:p w14:paraId="3984ADAE" w14:textId="579A0DBE" w:rsidR="00637F79" w:rsidRDefault="00695708" w:rsidP="00695708">
      <w:pPr>
        <w:pStyle w:val="Tablenotes"/>
        <w:jc w:val="left"/>
      </w:pPr>
      <w:r>
        <w:t>ACE = angiotensin-converting enzyme; ARB = angiotensin receptor blocker; ARNI = angiotensin receptor neprilysin inhibitor; bpm = beats per minute; ECG = electrocardiogram; eGFR = estimated glomerular filtration rate; MRA = mineralocorticoid receptor antagonist; NSAIDs = nonsteroidal anti-inflammatory drugs</w:t>
      </w:r>
    </w:p>
    <w:p w14:paraId="6FE8C12B" w14:textId="6ED1BAAC" w:rsidR="000B51F0" w:rsidRDefault="000B51F0" w:rsidP="000B51F0">
      <w:pPr>
        <w:pStyle w:val="Tablenotes"/>
      </w:pPr>
      <w:r>
        <w:t>Source: Adapted from Atherton et al. (2018)</w:t>
      </w:r>
    </w:p>
    <w:p w14:paraId="0FA719B2" w14:textId="2D52E94B" w:rsidR="009A4FE3" w:rsidRDefault="00117F6A" w:rsidP="00CB68E1">
      <w:r>
        <w:t xml:space="preserve">There are numerous resources available to guide medication up-titration </w:t>
      </w:r>
      <w:r w:rsidR="006977B2">
        <w:t xml:space="preserve">and ongoing management for both health </w:t>
      </w:r>
      <w:r w:rsidR="009A4FE3">
        <w:t>care workers and patients and their careers, for example:</w:t>
      </w:r>
    </w:p>
    <w:p w14:paraId="5E172689" w14:textId="0860015A" w:rsidR="00CB68E1" w:rsidRDefault="00117F6A" w:rsidP="00855185">
      <w:pPr>
        <w:pStyle w:val="ListParagraph"/>
        <w:numPr>
          <w:ilvl w:val="0"/>
          <w:numId w:val="11"/>
        </w:numPr>
      </w:pPr>
      <w:hyperlink r:id="rId20" w:tooltip="Link to the guide" w:history="1">
        <w:r w:rsidRPr="00E8453A">
          <w:rPr>
            <w:rStyle w:val="Hyperlink"/>
            <w:rFonts w:ascii="Calibri" w:hAnsi="Calibri"/>
          </w:rPr>
          <w:t>Pharmacist quick reference guide</w:t>
        </w:r>
        <w:r w:rsidR="00E8453A" w:rsidRPr="00E8453A">
          <w:rPr>
            <w:rStyle w:val="Hyperlink"/>
            <w:rFonts w:ascii="Calibri" w:hAnsi="Calibri"/>
          </w:rPr>
          <w:t xml:space="preserve"> to: four pillars for the treatment of heart failure with reduced ejection fraction</w:t>
        </w:r>
      </w:hyperlink>
      <w:r w:rsidR="00E8453A">
        <w:t xml:space="preserve"> (Medicines Advice Initiative Australia/ Pharmaceutical Society of Australia)</w:t>
      </w:r>
      <w:r>
        <w:t xml:space="preserve"> </w:t>
      </w:r>
    </w:p>
    <w:p w14:paraId="048129E3" w14:textId="0AC617CC" w:rsidR="00E8453A" w:rsidRDefault="00525F74" w:rsidP="00855185">
      <w:pPr>
        <w:pStyle w:val="ListParagraph"/>
        <w:numPr>
          <w:ilvl w:val="0"/>
          <w:numId w:val="11"/>
        </w:numPr>
      </w:pPr>
      <w:hyperlink r:id="rId21" w:tooltip="Link to the heart failure webpage of the medicines advice initative " w:history="1">
        <w:r w:rsidRPr="00525F74">
          <w:rPr>
            <w:rStyle w:val="Hyperlink"/>
            <w:rFonts w:ascii="Calibri" w:hAnsi="Calibri"/>
          </w:rPr>
          <w:t>Medicines for patients with heart failure and reduced ejection fraction</w:t>
        </w:r>
      </w:hyperlink>
      <w:r>
        <w:t xml:space="preserve"> (Medicines Advice initiative Australia)</w:t>
      </w:r>
    </w:p>
    <w:p w14:paraId="7501CD29" w14:textId="4368AE7E" w:rsidR="00525F74" w:rsidRDefault="004702D5" w:rsidP="00855185">
      <w:pPr>
        <w:pStyle w:val="ListParagraph"/>
        <w:numPr>
          <w:ilvl w:val="0"/>
          <w:numId w:val="11"/>
        </w:numPr>
      </w:pPr>
      <w:hyperlink r:id="rId22" w:tooltip="Link to the resource" w:history="1">
        <w:r w:rsidRPr="00BA7867">
          <w:rPr>
            <w:rStyle w:val="Hyperlink"/>
            <w:rFonts w:ascii="Calibri" w:hAnsi="Calibri"/>
          </w:rPr>
          <w:t>Medications to manage heart failure</w:t>
        </w:r>
      </w:hyperlink>
      <w:r>
        <w:t xml:space="preserve"> (Queensland Health)</w:t>
      </w:r>
    </w:p>
    <w:p w14:paraId="73B90AE5" w14:textId="582568AE" w:rsidR="00A4212A" w:rsidRDefault="00843836" w:rsidP="00A4212A">
      <w:pPr>
        <w:pStyle w:val="ListParagraph"/>
        <w:numPr>
          <w:ilvl w:val="0"/>
          <w:numId w:val="11"/>
        </w:numPr>
      </w:pPr>
      <w:hyperlink r:id="rId23" w:history="1">
        <w:r w:rsidRPr="00843836">
          <w:rPr>
            <w:rStyle w:val="Hyperlink"/>
            <w:rFonts w:ascii="Calibri" w:hAnsi="Calibri"/>
          </w:rPr>
          <w:t xml:space="preserve">Heart online </w:t>
        </w:r>
        <w:r w:rsidR="00ED5F20">
          <w:rPr>
            <w:rStyle w:val="Hyperlink"/>
            <w:rFonts w:ascii="Calibri" w:hAnsi="Calibri"/>
          </w:rPr>
          <w:t>–</w:t>
        </w:r>
        <w:r w:rsidRPr="00843836">
          <w:rPr>
            <w:rStyle w:val="Hyperlink"/>
            <w:rFonts w:ascii="Calibri" w:hAnsi="Calibri"/>
          </w:rPr>
          <w:t xml:space="preserve"> titrating medications in heart failure</w:t>
        </w:r>
      </w:hyperlink>
      <w:r>
        <w:t xml:space="preserve"> </w:t>
      </w:r>
      <w:r w:rsidR="007E2661">
        <w:t>(</w:t>
      </w:r>
      <w:r>
        <w:t>Queensland Health/ National Heart Foundation of Australia)</w:t>
      </w:r>
      <w:r w:rsidR="00637F79">
        <w:t>.</w:t>
      </w:r>
    </w:p>
    <w:p w14:paraId="0B71A30C" w14:textId="77777777" w:rsidR="00242E57" w:rsidRDefault="00242E57" w:rsidP="00242E57">
      <w:pPr>
        <w:spacing w:line="257" w:lineRule="auto"/>
        <w:rPr>
          <w:rFonts w:cs="Calibri"/>
          <w:i/>
          <w:iCs/>
        </w:rPr>
      </w:pPr>
      <w:r>
        <w:rPr>
          <w:rFonts w:cs="Calibri"/>
          <w:i/>
          <w:iCs/>
        </w:rPr>
        <w:t xml:space="preserve">PASC agreed that the comparator, standard medical management without NT-proBNP measurement, is appropriate. </w:t>
      </w:r>
      <w:r w:rsidRPr="3EA6284F">
        <w:rPr>
          <w:rFonts w:cs="Calibri"/>
          <w:i/>
          <w:iCs/>
        </w:rPr>
        <w:t xml:space="preserve"> </w:t>
      </w:r>
    </w:p>
    <w:p w14:paraId="2B287E27" w14:textId="10C8ECC8" w:rsidR="00A4212A" w:rsidRDefault="00242E57" w:rsidP="00887D08">
      <w:pPr>
        <w:spacing w:line="257" w:lineRule="auto"/>
      </w:pPr>
      <w:r>
        <w:rPr>
          <w:rFonts w:cs="Calibri"/>
          <w:i/>
          <w:iCs/>
        </w:rPr>
        <w:t xml:space="preserve">PASC discussed the applicability of the comparator arm of STRONG HF to the Australian setting. PASC noted that the mean number of healthcare visits in the standard care arm of the trial was suboptimal by Australian standards and that rates of optimisation of GDMT were also substantially lower than anticipated in the Australian setting. PASC therefore considered that the comparator arm may not adequately reflect current Australian standards of care. PASC stated that the assessment will need to include supportive evidence from Australia regarding current post-discharge standard of care. </w:t>
      </w:r>
    </w:p>
    <w:p w14:paraId="15863BAA" w14:textId="5C44FABE" w:rsidR="00677AE3" w:rsidRDefault="00677AE3" w:rsidP="00713728">
      <w:pPr>
        <w:pStyle w:val="Heading3"/>
      </w:pPr>
      <w:r w:rsidRPr="008F1532">
        <w:t xml:space="preserve">Reference standard </w:t>
      </w:r>
    </w:p>
    <w:p w14:paraId="4A3243D3" w14:textId="3A5B309D" w:rsidR="00ED5F20" w:rsidRDefault="00ED5F20" w:rsidP="00666D5C">
      <w:r>
        <w:t xml:space="preserve">The proposed intervention is incorporation of NT-proBNP testing into post-discharge management to guide medication titration. There is no cut-off value </w:t>
      </w:r>
      <w:r w:rsidR="00B16DA0">
        <w:t>for making management changes, rather medication titration is dependent on trending values between measurements.</w:t>
      </w:r>
      <w:r>
        <w:t xml:space="preserve"> Therefore, </w:t>
      </w:r>
      <w:r w:rsidR="00B72344">
        <w:t xml:space="preserve">the assessment </w:t>
      </w:r>
      <w:r w:rsidR="002F3E2F">
        <w:t>should be of the longitudinal accuracy of the test</w:t>
      </w:r>
      <w:r>
        <w:t>, considering the clinical utility of NT-proBNP-guided post-discharge management compared with standard clinical management and medication optimisation in terms of patient-relevant outcomes such as mortality, HF rehospitalisation, and functional or quality-of-life outcomes</w:t>
      </w:r>
      <w:r w:rsidR="00F50C10">
        <w:t>.</w:t>
      </w:r>
      <w:r w:rsidR="002F3E2F">
        <w:t xml:space="preserve"> </w:t>
      </w:r>
      <w:r w:rsidR="00530A6B">
        <w:t>MSAC guidelines (Technical Guidance 2.4</w:t>
      </w:r>
      <w:r w:rsidR="004A37A8">
        <w:t xml:space="preserve">) state ‘if the purpose of the test is to predict a future health outcome, the reference standard is likely to be the health outcome.’ </w:t>
      </w:r>
      <w:r w:rsidR="002F3E2F">
        <w:t>Therefore, the reference standard is the health outcomes being considered</w:t>
      </w:r>
      <w:r w:rsidR="00987CE5">
        <w:t xml:space="preserve">: </w:t>
      </w:r>
      <w:r w:rsidR="005B4D1B">
        <w:t>mortality and HF hospitalisation</w:t>
      </w:r>
      <w:r w:rsidR="002F3E2F">
        <w:t>.</w:t>
      </w:r>
    </w:p>
    <w:p w14:paraId="5E426C35" w14:textId="6A9DDAD9" w:rsidR="007A66C8" w:rsidRDefault="00242E57" w:rsidP="007C5C75">
      <w:pPr>
        <w:spacing w:after="0" w:line="257" w:lineRule="auto"/>
      </w:pPr>
      <w:r>
        <w:rPr>
          <w:rFonts w:cs="Calibri"/>
          <w:i/>
          <w:iCs/>
        </w:rPr>
        <w:t>PASC agreed that the reference standard is appropriate.</w:t>
      </w:r>
    </w:p>
    <w:p w14:paraId="29C1EA87" w14:textId="779606B9" w:rsidR="007A66C8" w:rsidRDefault="007A66C8" w:rsidP="00713728">
      <w:pPr>
        <w:pStyle w:val="Heading3"/>
      </w:pPr>
      <w:r>
        <w:t xml:space="preserve">Outcomes </w:t>
      </w:r>
    </w:p>
    <w:p w14:paraId="6117E64C" w14:textId="101A82FD" w:rsidR="00712501" w:rsidRDefault="009E1828" w:rsidP="00712501">
      <w:r>
        <w:t xml:space="preserve">The outcomes relevant to the assessment </w:t>
      </w:r>
      <w:r w:rsidR="00FB576A">
        <w:t xml:space="preserve">of NT-proBNP testing </w:t>
      </w:r>
      <w:r w:rsidR="00783515">
        <w:t xml:space="preserve">for post-discharge patient management </w:t>
      </w:r>
      <w:r>
        <w:t>are su</w:t>
      </w:r>
      <w:r w:rsidR="00CC19D3">
        <w:t xml:space="preserve">mmarised in </w:t>
      </w:r>
      <w:r w:rsidR="00FD4C71">
        <w:fldChar w:fldCharType="begin"/>
      </w:r>
      <w:r w:rsidR="00FD4C71">
        <w:instrText xml:space="preserve"> REF _Ref233292743 \h </w:instrText>
      </w:r>
      <w:r w:rsidR="00FD4C71">
        <w:fldChar w:fldCharType="separate"/>
      </w:r>
      <w:r w:rsidR="00E10360">
        <w:t xml:space="preserve">Table </w:t>
      </w:r>
      <w:r w:rsidR="00E10360">
        <w:rPr>
          <w:noProof/>
        </w:rPr>
        <w:t>9</w:t>
      </w:r>
      <w:r w:rsidR="00FD4C71">
        <w:fldChar w:fldCharType="end"/>
      </w:r>
      <w:r w:rsidR="00FD4C71">
        <w:t>.</w:t>
      </w:r>
    </w:p>
    <w:p w14:paraId="09DD9C44" w14:textId="61D87B18" w:rsidR="00783515" w:rsidRDefault="00783515" w:rsidP="00783515">
      <w:pPr>
        <w:pStyle w:val="Caption"/>
      </w:pPr>
      <w:bookmarkStart w:id="16" w:name="_Ref233292743"/>
      <w:r>
        <w:t xml:space="preserve">Table </w:t>
      </w:r>
      <w:r>
        <w:fldChar w:fldCharType="begin"/>
      </w:r>
      <w:r>
        <w:instrText xml:space="preserve"> SEQ Table \* ARABIC </w:instrText>
      </w:r>
      <w:r>
        <w:fldChar w:fldCharType="separate"/>
      </w:r>
      <w:r w:rsidR="00E10360">
        <w:rPr>
          <w:noProof/>
        </w:rPr>
        <w:t>9</w:t>
      </w:r>
      <w:r>
        <w:fldChar w:fldCharType="end"/>
      </w:r>
      <w:bookmarkEnd w:id="16"/>
      <w:r w:rsidR="000D2B6C">
        <w:tab/>
        <w:t>Outcomes relevant to the assessment of NT-proBNP testing for patient man</w:t>
      </w:r>
      <w:r w:rsidR="00995F91">
        <w:t>a</w:t>
      </w:r>
      <w:r w:rsidR="000D2B6C">
        <w:t>gement</w:t>
      </w:r>
    </w:p>
    <w:tbl>
      <w:tblPr>
        <w:tblStyle w:val="TableGrid"/>
        <w:tblW w:w="0" w:type="auto"/>
        <w:tblInd w:w="0" w:type="dxa"/>
        <w:tblLook w:val="04A0" w:firstRow="1" w:lastRow="0" w:firstColumn="1" w:lastColumn="0" w:noHBand="0" w:noVBand="1"/>
        <w:tblCaption w:val="utcomes relevant to the assessment of NT-proBNP testing for patient management"/>
        <w:tblDescription w:val="Table presents a list of the outcomes to be considered in the assessment."/>
      </w:tblPr>
      <w:tblGrid>
        <w:gridCol w:w="2689"/>
        <w:gridCol w:w="6882"/>
      </w:tblGrid>
      <w:tr w:rsidR="00CC19D3" w14:paraId="670A3383" w14:textId="77777777" w:rsidTr="007C5C75">
        <w:trPr>
          <w:tblHeader/>
        </w:trPr>
        <w:tc>
          <w:tcPr>
            <w:tcW w:w="2689" w:type="dxa"/>
          </w:tcPr>
          <w:p w14:paraId="3C5C4CED" w14:textId="6A893AC6" w:rsidR="00CC19D3" w:rsidRDefault="00CC19D3" w:rsidP="00CC19D3">
            <w:pPr>
              <w:pStyle w:val="TableHeading"/>
            </w:pPr>
            <w:r>
              <w:t>Outcome type</w:t>
            </w:r>
          </w:p>
        </w:tc>
        <w:tc>
          <w:tcPr>
            <w:tcW w:w="6882" w:type="dxa"/>
          </w:tcPr>
          <w:p w14:paraId="3BFFFFEE" w14:textId="45AC07BA" w:rsidR="00CC19D3" w:rsidRDefault="00CC19D3" w:rsidP="00CC19D3">
            <w:pPr>
              <w:pStyle w:val="TableHeading"/>
            </w:pPr>
            <w:r>
              <w:t>Outcome</w:t>
            </w:r>
          </w:p>
        </w:tc>
      </w:tr>
      <w:tr w:rsidR="00CC19D3" w14:paraId="62223927" w14:textId="77777777" w:rsidTr="00491C30">
        <w:tc>
          <w:tcPr>
            <w:tcW w:w="2689" w:type="dxa"/>
          </w:tcPr>
          <w:p w14:paraId="0D671191" w14:textId="695B3309" w:rsidR="00CC19D3" w:rsidRDefault="00CC19D3" w:rsidP="00CC19D3">
            <w:pPr>
              <w:pStyle w:val="TableText0"/>
            </w:pPr>
            <w:r>
              <w:t>Safety</w:t>
            </w:r>
          </w:p>
        </w:tc>
        <w:tc>
          <w:tcPr>
            <w:tcW w:w="6882" w:type="dxa"/>
          </w:tcPr>
          <w:p w14:paraId="729D90D7" w14:textId="7C55DC73" w:rsidR="00CC19D3" w:rsidRDefault="00CC19D3" w:rsidP="00CC19D3">
            <w:pPr>
              <w:pStyle w:val="TableText0"/>
            </w:pPr>
            <w:r>
              <w:t>Adverse events due to testing</w:t>
            </w:r>
          </w:p>
          <w:p w14:paraId="4619AD82" w14:textId="17588A48" w:rsidR="00CC19D3" w:rsidRDefault="00CC19D3" w:rsidP="00CC19D3">
            <w:pPr>
              <w:pStyle w:val="TableText0"/>
            </w:pPr>
            <w:r>
              <w:t>Harms associated with change of management</w:t>
            </w:r>
          </w:p>
        </w:tc>
      </w:tr>
      <w:tr w:rsidR="00CC19D3" w14:paraId="20F6C7F2" w14:textId="77777777" w:rsidTr="00491C30">
        <w:tc>
          <w:tcPr>
            <w:tcW w:w="2689" w:type="dxa"/>
          </w:tcPr>
          <w:p w14:paraId="55F780B5" w14:textId="05A5D6E6" w:rsidR="00CC19D3" w:rsidRDefault="00274CF5" w:rsidP="00CC19D3">
            <w:pPr>
              <w:pStyle w:val="TableText0"/>
            </w:pPr>
            <w:r w:rsidRPr="00274CF5">
              <w:t>Efficacy/effectiveness</w:t>
            </w:r>
            <w:r>
              <w:t xml:space="preserve"> – primary health outcomes</w:t>
            </w:r>
          </w:p>
        </w:tc>
        <w:tc>
          <w:tcPr>
            <w:tcW w:w="6882" w:type="dxa"/>
          </w:tcPr>
          <w:p w14:paraId="6F85ECA8" w14:textId="46A8B1E2" w:rsidR="004464DC" w:rsidRDefault="004464DC" w:rsidP="00CC19D3">
            <w:pPr>
              <w:pStyle w:val="TableText0"/>
            </w:pPr>
            <w:r>
              <w:t>Primary health outcomes</w:t>
            </w:r>
          </w:p>
          <w:p w14:paraId="40F4F630" w14:textId="6601D644" w:rsidR="00CC19D3" w:rsidRDefault="00274CF5" w:rsidP="0067027B">
            <w:pPr>
              <w:pStyle w:val="TableText0"/>
              <w:ind w:left="720"/>
            </w:pPr>
            <w:r>
              <w:t>Mortality</w:t>
            </w:r>
          </w:p>
          <w:p w14:paraId="38E144E3" w14:textId="57821A11" w:rsidR="00274CF5" w:rsidRDefault="00274CF5" w:rsidP="0067027B">
            <w:pPr>
              <w:pStyle w:val="TableText0"/>
              <w:ind w:left="720"/>
            </w:pPr>
            <w:r>
              <w:t>Repeat HF hospitalisation</w:t>
            </w:r>
          </w:p>
          <w:p w14:paraId="3FC36B54" w14:textId="557C6833" w:rsidR="00CA3C88" w:rsidRDefault="00CA3C88" w:rsidP="0067027B">
            <w:pPr>
              <w:pStyle w:val="TableText0"/>
              <w:ind w:left="720"/>
            </w:pPr>
            <w:r>
              <w:t>Functional status</w:t>
            </w:r>
          </w:p>
          <w:p w14:paraId="4B896A22" w14:textId="679E522D" w:rsidR="00761A9C" w:rsidRDefault="00761A9C" w:rsidP="0067027B">
            <w:pPr>
              <w:pStyle w:val="TableText0"/>
              <w:ind w:left="720"/>
            </w:pPr>
            <w:r>
              <w:t>Quality of life using disease specific and generic tools</w:t>
            </w:r>
          </w:p>
          <w:p w14:paraId="4C00B93B" w14:textId="77777777" w:rsidR="004464DC" w:rsidRDefault="004464DC" w:rsidP="00CC19D3">
            <w:pPr>
              <w:pStyle w:val="TableText0"/>
            </w:pPr>
            <w:r>
              <w:t>Intermediate/ surrogate outcomes</w:t>
            </w:r>
          </w:p>
          <w:p w14:paraId="52CEEC44" w14:textId="77777777" w:rsidR="0067027B" w:rsidRDefault="0067027B" w:rsidP="0067027B">
            <w:pPr>
              <w:pStyle w:val="TableText0"/>
              <w:ind w:left="720"/>
            </w:pPr>
            <w:r>
              <w:t>Time to optimal dose/ proportion on optimal dose</w:t>
            </w:r>
          </w:p>
          <w:p w14:paraId="13117D0B" w14:textId="674AD2C1" w:rsidR="0067027B" w:rsidRDefault="0067027B" w:rsidP="0067027B">
            <w:pPr>
              <w:pStyle w:val="TableText0"/>
              <w:ind w:left="720"/>
            </w:pPr>
            <w:r>
              <w:t>LVEF</w:t>
            </w:r>
          </w:p>
        </w:tc>
      </w:tr>
      <w:tr w:rsidR="00CC19D3" w14:paraId="6FB62156" w14:textId="77777777" w:rsidTr="007C5C75">
        <w:trPr>
          <w:cantSplit/>
        </w:trPr>
        <w:tc>
          <w:tcPr>
            <w:tcW w:w="2689" w:type="dxa"/>
          </w:tcPr>
          <w:p w14:paraId="19852C6C" w14:textId="0F409209" w:rsidR="00CC19D3" w:rsidRDefault="0073308C" w:rsidP="00CC19D3">
            <w:pPr>
              <w:pStyle w:val="TableText0"/>
            </w:pPr>
            <w:r>
              <w:lastRenderedPageBreak/>
              <w:t>Additional outcomes using a linked evidence approach</w:t>
            </w:r>
          </w:p>
        </w:tc>
        <w:tc>
          <w:tcPr>
            <w:tcW w:w="6882" w:type="dxa"/>
          </w:tcPr>
          <w:p w14:paraId="179051DB" w14:textId="77777777" w:rsidR="00491C30" w:rsidRDefault="00491C30" w:rsidP="00491C30">
            <w:pPr>
              <w:pStyle w:val="TableText0"/>
            </w:pPr>
            <w:r>
              <w:t>Change in management</w:t>
            </w:r>
          </w:p>
          <w:p w14:paraId="16A0EF0A" w14:textId="28B0CA39" w:rsidR="00491C30" w:rsidRDefault="00491C30" w:rsidP="00491C30">
            <w:pPr>
              <w:pStyle w:val="TableText0"/>
              <w:ind w:left="720"/>
            </w:pPr>
            <w:r>
              <w:t>Dose up-titrated/down-titrated</w:t>
            </w:r>
          </w:p>
          <w:p w14:paraId="36FF1A1E" w14:textId="47F2B11B" w:rsidR="00491C30" w:rsidRDefault="00491C30" w:rsidP="00491C30">
            <w:pPr>
              <w:pStyle w:val="TableText0"/>
              <w:ind w:left="720"/>
            </w:pPr>
            <w:r>
              <w:t>Medication initiated, ceased etc.</w:t>
            </w:r>
          </w:p>
          <w:p w14:paraId="7399AF50" w14:textId="2D5846C5" w:rsidR="00491C30" w:rsidRDefault="00491C30" w:rsidP="00491C30">
            <w:pPr>
              <w:pStyle w:val="TableText0"/>
              <w:ind w:left="720"/>
            </w:pPr>
            <w:r>
              <w:t>Number of post-discharge visits (specialist, GP etc.)</w:t>
            </w:r>
          </w:p>
          <w:p w14:paraId="0719BD2F" w14:textId="77777777" w:rsidR="00CC19D3" w:rsidRDefault="00491C30" w:rsidP="00491C30">
            <w:pPr>
              <w:pStyle w:val="TableText0"/>
              <w:ind w:left="720"/>
            </w:pPr>
            <w:r>
              <w:t>Other changes (additional/reduced imaging/laboratory tests etc.)</w:t>
            </w:r>
          </w:p>
          <w:p w14:paraId="6F48EE06" w14:textId="77777777" w:rsidR="00491C30" w:rsidRDefault="00491C30" w:rsidP="00491C30">
            <w:pPr>
              <w:pStyle w:val="TableText0"/>
            </w:pPr>
            <w:r>
              <w:t>Test performance/Analytical validity</w:t>
            </w:r>
          </w:p>
          <w:p w14:paraId="5BE058B6" w14:textId="326DC4C2" w:rsidR="00491C30" w:rsidRDefault="00491C30" w:rsidP="00491C30">
            <w:pPr>
              <w:pStyle w:val="TableText0"/>
              <w:ind w:left="720"/>
            </w:pPr>
            <w:r>
              <w:t>Prognostic and predictive value</w:t>
            </w:r>
          </w:p>
          <w:p w14:paraId="48B813C3" w14:textId="234054FB" w:rsidR="00491C30" w:rsidRDefault="00491C30" w:rsidP="00491C30">
            <w:pPr>
              <w:pStyle w:val="TableText0"/>
              <w:ind w:left="720"/>
            </w:pPr>
            <w:r>
              <w:t>Responsiveness</w:t>
            </w:r>
            <w:r w:rsidR="00E26585">
              <w:t xml:space="preserve"> </w:t>
            </w:r>
          </w:p>
          <w:p w14:paraId="2505EF32" w14:textId="0E3E362A" w:rsidR="00491C30" w:rsidRDefault="00491C30" w:rsidP="00491C30">
            <w:pPr>
              <w:pStyle w:val="TableText0"/>
              <w:ind w:left="720"/>
            </w:pPr>
            <w:r>
              <w:t>Reproducibility, reliability, acceptability</w:t>
            </w:r>
          </w:p>
        </w:tc>
      </w:tr>
      <w:tr w:rsidR="00CC19D3" w14:paraId="2AB65056" w14:textId="77777777" w:rsidTr="00491C30">
        <w:tc>
          <w:tcPr>
            <w:tcW w:w="2689" w:type="dxa"/>
          </w:tcPr>
          <w:p w14:paraId="3929C7B8" w14:textId="78E24A65" w:rsidR="00CC19D3" w:rsidRDefault="00673B00" w:rsidP="00CC19D3">
            <w:pPr>
              <w:pStyle w:val="TableText0"/>
            </w:pPr>
            <w:r>
              <w:t>Health care resources (including patient out-of-pocket costs)</w:t>
            </w:r>
          </w:p>
        </w:tc>
        <w:tc>
          <w:tcPr>
            <w:tcW w:w="6882" w:type="dxa"/>
          </w:tcPr>
          <w:p w14:paraId="4C8424F6" w14:textId="6590807B" w:rsidR="00673B00" w:rsidRDefault="00673B00" w:rsidP="00673B00">
            <w:pPr>
              <w:pStyle w:val="TableText0"/>
            </w:pPr>
            <w:r>
              <w:t>Cost of NT-proBNP testing</w:t>
            </w:r>
          </w:p>
          <w:p w14:paraId="1DCDC541" w14:textId="77777777" w:rsidR="00CC19D3" w:rsidRDefault="00673B00" w:rsidP="00673B00">
            <w:pPr>
              <w:pStyle w:val="TableText0"/>
            </w:pPr>
            <w:r>
              <w:t>Cost of post-discharge care including NT-proBNP testing</w:t>
            </w:r>
          </w:p>
          <w:p w14:paraId="12DFB1D7" w14:textId="485D0FC3" w:rsidR="00673B00" w:rsidRDefault="00673B00" w:rsidP="00673B00">
            <w:pPr>
              <w:pStyle w:val="TableText0"/>
            </w:pPr>
            <w:r>
              <w:t>Costs associated with change in management (additional visits, medication changes)</w:t>
            </w:r>
          </w:p>
        </w:tc>
      </w:tr>
      <w:tr w:rsidR="00673B00" w14:paraId="02BA1F86" w14:textId="77777777" w:rsidTr="00491C30">
        <w:tc>
          <w:tcPr>
            <w:tcW w:w="2689" w:type="dxa"/>
          </w:tcPr>
          <w:p w14:paraId="4C9F145F" w14:textId="4BDCC24E" w:rsidR="00673B00" w:rsidRDefault="00314BB5" w:rsidP="00CC19D3">
            <w:pPr>
              <w:pStyle w:val="TableText0"/>
            </w:pPr>
            <w:r>
              <w:t>Cost effectiveness</w:t>
            </w:r>
          </w:p>
        </w:tc>
        <w:tc>
          <w:tcPr>
            <w:tcW w:w="6882" w:type="dxa"/>
          </w:tcPr>
          <w:p w14:paraId="0DDD6D63" w14:textId="61922AB6" w:rsidR="00673B00" w:rsidRDefault="006C0E6C" w:rsidP="00673B00">
            <w:pPr>
              <w:pStyle w:val="TableText0"/>
            </w:pPr>
            <w:r>
              <w:t>I</w:t>
            </w:r>
            <w:r w:rsidRPr="00EF151C">
              <w:t>ncremental cost per</w:t>
            </w:r>
            <w:r w:rsidR="00082289">
              <w:t xml:space="preserve"> </w:t>
            </w:r>
            <w:r w:rsidRPr="00EF151C">
              <w:t>QALY gained</w:t>
            </w:r>
          </w:p>
        </w:tc>
      </w:tr>
      <w:tr w:rsidR="00314BB5" w14:paraId="57BCF3BD" w14:textId="77777777" w:rsidTr="00491C30">
        <w:tc>
          <w:tcPr>
            <w:tcW w:w="2689" w:type="dxa"/>
          </w:tcPr>
          <w:p w14:paraId="0190249D" w14:textId="5B968D89" w:rsidR="00314BB5" w:rsidRDefault="00314BB5" w:rsidP="00CC19D3">
            <w:pPr>
              <w:pStyle w:val="TableText0"/>
            </w:pPr>
            <w:r>
              <w:t>Total Australian Government health care costs</w:t>
            </w:r>
          </w:p>
        </w:tc>
        <w:tc>
          <w:tcPr>
            <w:tcW w:w="6882" w:type="dxa"/>
          </w:tcPr>
          <w:p w14:paraId="650E6121" w14:textId="0E176836" w:rsidR="00314BB5" w:rsidRDefault="00314BB5" w:rsidP="00314BB5">
            <w:pPr>
              <w:pStyle w:val="TableText0"/>
            </w:pPr>
            <w:r>
              <w:t>Total cost to the MBS</w:t>
            </w:r>
          </w:p>
          <w:p w14:paraId="11D94872" w14:textId="7A4BDD6D" w:rsidR="00314BB5" w:rsidRDefault="00314BB5" w:rsidP="00314BB5">
            <w:pPr>
              <w:pStyle w:val="TableText0"/>
            </w:pPr>
            <w:r>
              <w:t>Total cost to the PBS</w:t>
            </w:r>
          </w:p>
        </w:tc>
      </w:tr>
    </w:tbl>
    <w:p w14:paraId="646486B3" w14:textId="00C31712" w:rsidR="00CC19D3" w:rsidRDefault="00820908" w:rsidP="00820908">
      <w:pPr>
        <w:pStyle w:val="Tablenotes"/>
        <w:jc w:val="left"/>
      </w:pPr>
      <w:r>
        <w:t>GP = general practitioner; HF = heart failure; LVEF = left ventricular ejection fraction; MBS = Medicare Benefits Schedule; NT-proBNP = N-Terminal-pro Brain Natriuretic Peptide; PBS = Pharmaceutical Benefits Scheme; QALY = quality adjusted life year</w:t>
      </w:r>
    </w:p>
    <w:p w14:paraId="4B042F26" w14:textId="5F6007C3" w:rsidR="00FB47C5" w:rsidRDefault="0092586D" w:rsidP="002673FC">
      <w:r>
        <w:t xml:space="preserve">The primary outcome in the STRONG-HF trial was </w:t>
      </w:r>
      <w:r w:rsidR="00530BEC">
        <w:t xml:space="preserve">180-day HF </w:t>
      </w:r>
      <w:r w:rsidR="00617065">
        <w:t>readmission o</w:t>
      </w:r>
      <w:r w:rsidR="00E338F8">
        <w:t>r</w:t>
      </w:r>
      <w:r w:rsidR="00617065">
        <w:t xml:space="preserve"> all-cause death and the secondary endpoints were </w:t>
      </w:r>
      <w:r w:rsidR="002673FC">
        <w:t>change in quality of life measured by the EQ-5D visual analogue scale (VAS), 180-day all-cause death, and 90-day HF readmission or all-cause mortality</w:t>
      </w:r>
      <w:r w:rsidR="00ED3BEA">
        <w:t xml:space="preserve"> </w:t>
      </w:r>
      <w:r w:rsidR="00E559C4" w:rsidRPr="00E559C4">
        <w:rPr>
          <w:rFonts w:cs="Calibri"/>
        </w:rPr>
        <w:t>(Mebazaa et al. 2022)</w:t>
      </w:r>
      <w:r w:rsidR="002673FC">
        <w:t>.</w:t>
      </w:r>
      <w:r w:rsidR="00E559C4">
        <w:t xml:space="preserve"> </w:t>
      </w:r>
    </w:p>
    <w:p w14:paraId="419A9C19" w14:textId="3CB9EA3A" w:rsidR="00B623E1" w:rsidRDefault="007E75E8" w:rsidP="002673FC">
      <w:r>
        <w:t xml:space="preserve">The application did not include </w:t>
      </w:r>
      <w:r w:rsidR="008A5288">
        <w:t xml:space="preserve">symptom resolution, functional </w:t>
      </w:r>
      <w:r w:rsidR="00E338F8">
        <w:t>status,</w:t>
      </w:r>
      <w:r w:rsidR="008A5288">
        <w:t xml:space="preserve"> or disease specific quality of life measures as </w:t>
      </w:r>
      <w:r w:rsidR="00614562">
        <w:t>outcomes</w:t>
      </w:r>
      <w:r w:rsidR="00FC1C72">
        <w:t>.</w:t>
      </w:r>
      <w:r w:rsidR="00614562">
        <w:t xml:space="preserve"> </w:t>
      </w:r>
      <w:r w:rsidR="00FC1C72">
        <w:t>F</w:t>
      </w:r>
      <w:r w:rsidR="00614562">
        <w:t xml:space="preserve">unctional status using the NYHA </w:t>
      </w:r>
      <w:r w:rsidR="00FC1C72">
        <w:t xml:space="preserve">severity scale </w:t>
      </w:r>
      <w:r w:rsidR="00614562">
        <w:t>was collected in the STRONG-HF trial.</w:t>
      </w:r>
      <w:r w:rsidR="00AD19BC">
        <w:t xml:space="preserve"> </w:t>
      </w:r>
      <w:r w:rsidR="00D84A6C">
        <w:t xml:space="preserve">Trials of HF medication reviewed by PBAC tend to report </w:t>
      </w:r>
      <w:r w:rsidR="00AD61E3">
        <w:t xml:space="preserve">mortality and hospitalisation as primary outcomes and not to report symptom status or functional outcomes. However, they </w:t>
      </w:r>
      <w:r w:rsidR="008C55F3">
        <w:t>do use a disease</w:t>
      </w:r>
      <w:r w:rsidR="00105022">
        <w:t>-</w:t>
      </w:r>
      <w:r w:rsidR="008C55F3">
        <w:t>specific quality</w:t>
      </w:r>
      <w:r w:rsidR="00105022">
        <w:t>-</w:t>
      </w:r>
      <w:r w:rsidR="008C55F3">
        <w:t>of</w:t>
      </w:r>
      <w:r w:rsidR="00105022">
        <w:t>-</w:t>
      </w:r>
      <w:r w:rsidR="008C55F3">
        <w:t xml:space="preserve">life tool (e.g. </w:t>
      </w:r>
      <w:r w:rsidR="008437C9">
        <w:t>Kansas City Cardiomyopathy Questionnaire</w:t>
      </w:r>
      <w:r w:rsidR="007D6E09" w:rsidRPr="007D6E09">
        <w:t xml:space="preserve"> </w:t>
      </w:r>
      <w:r w:rsidR="007D6E09">
        <w:t>[KCCQ]</w:t>
      </w:r>
      <w:r w:rsidR="007537C7">
        <w:rPr>
          <w:rStyle w:val="FootnoteReference"/>
        </w:rPr>
        <w:footnoteReference w:id="12"/>
      </w:r>
      <w:r w:rsidR="008437C9">
        <w:t>)</w:t>
      </w:r>
      <w:r w:rsidR="007D6E09">
        <w:t>.</w:t>
      </w:r>
    </w:p>
    <w:p w14:paraId="23D1C437" w14:textId="749401C6" w:rsidR="0092586D" w:rsidRDefault="00D102E6" w:rsidP="002673FC">
      <w:r>
        <w:t>The application presents the STRONG-HF trial as direct evidence</w:t>
      </w:r>
      <w:r w:rsidR="00CF1F01">
        <w:t>;</w:t>
      </w:r>
      <w:r>
        <w:t xml:space="preserve"> however</w:t>
      </w:r>
      <w:r w:rsidR="00CF1F01">
        <w:t>,</w:t>
      </w:r>
      <w:r>
        <w:t xml:space="preserve"> additional linked evidence will </w:t>
      </w:r>
      <w:r w:rsidR="00680341">
        <w:t xml:space="preserve">likely </w:t>
      </w:r>
      <w:r>
        <w:t xml:space="preserve">be required to </w:t>
      </w:r>
      <w:r w:rsidR="0062276C">
        <w:t xml:space="preserve">demonstrate that the effect of the STRONG-HF trial is due to NT-proBNP testing </w:t>
      </w:r>
      <w:r w:rsidR="00A62711">
        <w:t xml:space="preserve">independently of </w:t>
      </w:r>
      <w:r w:rsidR="0062276C">
        <w:t>intensification of post-discharge</w:t>
      </w:r>
      <w:r w:rsidR="00A62711">
        <w:t xml:space="preserve"> care. </w:t>
      </w:r>
      <w:r w:rsidR="00663090">
        <w:t>In particular, as the test is proposed to be undertaken on an approximately weekly basis to inform up and down titration of medication</w:t>
      </w:r>
      <w:r w:rsidR="00E26585">
        <w:t>,</w:t>
      </w:r>
      <w:r w:rsidR="005E0F09">
        <w:t xml:space="preserve"> </w:t>
      </w:r>
      <w:r w:rsidR="003639B1">
        <w:t xml:space="preserve">evidence </w:t>
      </w:r>
      <w:r w:rsidR="00A3795C">
        <w:t>regarding</w:t>
      </w:r>
      <w:r w:rsidR="00DB6B42">
        <w:t xml:space="preserve"> </w:t>
      </w:r>
      <w:r w:rsidR="005E0F09">
        <w:t>test responsiveness</w:t>
      </w:r>
      <w:r w:rsidR="00DF3AD1">
        <w:t xml:space="preserve"> (signal to noise ratio)</w:t>
      </w:r>
      <w:r w:rsidR="005E0F09">
        <w:t xml:space="preserve"> over this timeframe will be required</w:t>
      </w:r>
      <w:r w:rsidR="00DF3AD1">
        <w:t xml:space="preserve"> and change in management </w:t>
      </w:r>
      <w:r w:rsidR="0052480E">
        <w:t>evidence</w:t>
      </w:r>
      <w:r w:rsidR="00DF3AD1">
        <w:t xml:space="preserve"> as a result of</w:t>
      </w:r>
      <w:r w:rsidR="00EC1B30">
        <w:t xml:space="preserve"> the</w:t>
      </w:r>
      <w:r w:rsidR="00DF3AD1">
        <w:t xml:space="preserve"> test </w:t>
      </w:r>
      <w:r w:rsidR="005C5E1B">
        <w:t xml:space="preserve">should also be presented. </w:t>
      </w:r>
    </w:p>
    <w:p w14:paraId="4CBEDE76" w14:textId="3EA9B85D" w:rsidR="00A340A4" w:rsidRDefault="00A340A4" w:rsidP="002673FC">
      <w:r>
        <w:t>A</w:t>
      </w:r>
      <w:r w:rsidR="0049721A">
        <w:t>s</w:t>
      </w:r>
      <w:r>
        <w:t xml:space="preserve"> NT-proBNP levels are influenced by numerous patient-specific factors, no threshold </w:t>
      </w:r>
      <w:r w:rsidR="001C3905">
        <w:t>is available to define a positive test and interpretation for medication titration is based on trend</w:t>
      </w:r>
      <w:r w:rsidR="005943F0">
        <w:t>s</w:t>
      </w:r>
      <w:r w:rsidR="007715B4">
        <w:t xml:space="preserve"> over time with the application noting that a </w:t>
      </w:r>
      <w:r w:rsidR="004B2566">
        <w:t xml:space="preserve">greater than </w:t>
      </w:r>
      <w:r w:rsidR="007715B4">
        <w:t xml:space="preserve">10% </w:t>
      </w:r>
      <w:r w:rsidR="00EE1B26">
        <w:t xml:space="preserve">increase from pre-discharge concentrations </w:t>
      </w:r>
      <w:r w:rsidR="005D6721">
        <w:t xml:space="preserve">may prompt treatment modification, </w:t>
      </w:r>
      <w:r w:rsidR="00F37CE5">
        <w:t xml:space="preserve">including consideration of not up-titrating beta blockers and, where clinically appropriate, up-titrating diuretics. Conversely, a reduction in NT-proBNP levels may provide reassurance to support the safe up-titration of </w:t>
      </w:r>
      <w:r w:rsidR="001A26C4">
        <w:t>GDMT</w:t>
      </w:r>
      <w:r w:rsidR="00F37CE5">
        <w:t xml:space="preserve">, including beta blockers. Given this, </w:t>
      </w:r>
      <w:r w:rsidR="006B3BBA">
        <w:t xml:space="preserve">the assessment should demonstrate that a 10% change </w:t>
      </w:r>
      <w:r w:rsidR="00744FA0">
        <w:t xml:space="preserve">in </w:t>
      </w:r>
      <w:r w:rsidR="001A26C4">
        <w:t xml:space="preserve">NT-proBNP </w:t>
      </w:r>
      <w:r w:rsidR="00744FA0">
        <w:t>level</w:t>
      </w:r>
      <w:r w:rsidR="001A26C4">
        <w:t>s</w:t>
      </w:r>
      <w:r w:rsidR="00744FA0">
        <w:t xml:space="preserve"> is clinically significant and above the level of variability in test results due to </w:t>
      </w:r>
      <w:r w:rsidR="001A26C4">
        <w:t>random variation.</w:t>
      </w:r>
    </w:p>
    <w:p w14:paraId="7B6B3E9A" w14:textId="77777777" w:rsidR="00EB49EF" w:rsidRDefault="00EB49EF" w:rsidP="00EB49EF">
      <w:pPr>
        <w:spacing w:after="0" w:line="257" w:lineRule="auto"/>
      </w:pPr>
      <w:r>
        <w:rPr>
          <w:rFonts w:cs="Calibri"/>
          <w:i/>
          <w:iCs/>
        </w:rPr>
        <w:t>PASC requested that functional status and quality of life be included as outcome measures, as they are standard and clinically important outcomes used to assess therapy for HF.</w:t>
      </w:r>
    </w:p>
    <w:p w14:paraId="7CC582DE" w14:textId="0D34A907" w:rsidR="00C17536" w:rsidRDefault="009B31CC" w:rsidP="00CD35FA">
      <w:pPr>
        <w:pStyle w:val="Heading2"/>
      </w:pPr>
      <w:r>
        <w:lastRenderedPageBreak/>
        <w:t xml:space="preserve">Assessment framework </w:t>
      </w:r>
    </w:p>
    <w:p w14:paraId="456ABE60" w14:textId="77777777" w:rsidR="00A747B8" w:rsidRDefault="00A747B8" w:rsidP="006A2278">
      <w:pPr>
        <w:pStyle w:val="Caption"/>
      </w:pPr>
      <w:bookmarkStart w:id="18" w:name="_Ref68327593"/>
      <w:bookmarkStart w:id="19" w:name="_Ref68327680"/>
      <w:r>
        <w:rPr>
          <w:noProof/>
        </w:rPr>
        <w:drawing>
          <wp:inline distT="0" distB="0" distL="0" distR="0" wp14:anchorId="4E1C9784" wp14:editId="54605B77">
            <wp:extent cx="5986817" cy="2390775"/>
            <wp:effectExtent l="0" t="0" r="0" b="0"/>
            <wp:docPr id="28" name="Picture 28" descr="Assessment framework showing the links from the test population to health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ssessment framework showing the links from the test population to health outcom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18823" cy="2403556"/>
                    </a:xfrm>
                    <a:prstGeom prst="rect">
                      <a:avLst/>
                    </a:prstGeom>
                    <a:noFill/>
                  </pic:spPr>
                </pic:pic>
              </a:graphicData>
            </a:graphic>
          </wp:inline>
        </w:drawing>
      </w:r>
    </w:p>
    <w:p w14:paraId="58E23E9A" w14:textId="3F9154B0" w:rsidR="009B31CC" w:rsidRDefault="00AE6FE0" w:rsidP="006A2278">
      <w:pPr>
        <w:pStyle w:val="Caption"/>
      </w:pPr>
      <w:r>
        <w:t>Figure</w:t>
      </w:r>
      <w:bookmarkEnd w:id="18"/>
      <w:r w:rsidR="00E607F3">
        <w:t> </w:t>
      </w:r>
      <w:r>
        <w:fldChar w:fldCharType="begin"/>
      </w:r>
      <w:r>
        <w:instrText xml:space="preserve"> SEQ Figure \* ARABIC </w:instrText>
      </w:r>
      <w:r>
        <w:fldChar w:fldCharType="separate"/>
      </w:r>
      <w:r w:rsidR="00E10360">
        <w:rPr>
          <w:noProof/>
        </w:rPr>
        <w:t>3</w:t>
      </w:r>
      <w:r>
        <w:fldChar w:fldCharType="end"/>
      </w:r>
      <w:bookmarkEnd w:id="19"/>
      <w:r w:rsidR="009B31CC" w:rsidRPr="00490FBB">
        <w:tab/>
      </w:r>
      <w:r w:rsidR="00804D2F">
        <w:t>A</w:t>
      </w:r>
      <w:r w:rsidR="009B31CC" w:rsidRPr="00490FBB">
        <w:t>ssessment framework showing the links from the test population to health outcomes</w:t>
      </w:r>
    </w:p>
    <w:p w14:paraId="534738C5" w14:textId="16E77593" w:rsidR="00C40CC4" w:rsidRPr="00C40CC4" w:rsidRDefault="00C40CC4" w:rsidP="00C40CC4">
      <w:pPr>
        <w:pStyle w:val="Tablenotes"/>
        <w:keepLines/>
        <w:rPr>
          <w:szCs w:val="18"/>
        </w:rPr>
      </w:pPr>
      <w:r w:rsidRPr="00C40CC4">
        <w:rPr>
          <w:szCs w:val="18"/>
        </w:rPr>
        <w:t xml:space="preserve">Figure notes: 1: direct from test to health outcomes evidence; 2: </w:t>
      </w:r>
      <w:r w:rsidR="0020648A">
        <w:rPr>
          <w:szCs w:val="18"/>
        </w:rPr>
        <w:t xml:space="preserve">longitudinal </w:t>
      </w:r>
      <w:r w:rsidRPr="00C40CC4">
        <w:rPr>
          <w:szCs w:val="18"/>
        </w:rPr>
        <w:t xml:space="preserve">accuracy; 3: change in management; 4: influence of the change in management on health outcomes; </w:t>
      </w:r>
      <w:r w:rsidR="003121AD">
        <w:rPr>
          <w:szCs w:val="18"/>
        </w:rPr>
        <w:t>5</w:t>
      </w:r>
      <w:r w:rsidRPr="00C40CC4">
        <w:rPr>
          <w:szCs w:val="18"/>
        </w:rPr>
        <w:t xml:space="preserve">: adverse events due to testing; </w:t>
      </w:r>
      <w:r w:rsidR="003121AD">
        <w:rPr>
          <w:szCs w:val="18"/>
        </w:rPr>
        <w:t>6</w:t>
      </w:r>
      <w:r w:rsidRPr="00C40CC4">
        <w:rPr>
          <w:szCs w:val="18"/>
        </w:rPr>
        <w:t>: adverse events due to treatment</w:t>
      </w:r>
    </w:p>
    <w:p w14:paraId="2E2E79CE" w14:textId="27D93401" w:rsidR="008C678C" w:rsidRPr="00C40CC4" w:rsidRDefault="008C678C" w:rsidP="00C40CC4">
      <w:pPr>
        <w:pStyle w:val="Tablenotes"/>
        <w:keepLines/>
        <w:rPr>
          <w:szCs w:val="18"/>
        </w:rPr>
      </w:pPr>
      <w:r>
        <w:rPr>
          <w:szCs w:val="18"/>
        </w:rPr>
        <w:t xml:space="preserve">Abbreviations: </w:t>
      </w:r>
      <w:r w:rsidR="004B4FA1">
        <w:rPr>
          <w:szCs w:val="18"/>
        </w:rPr>
        <w:t>GDMT</w:t>
      </w:r>
      <w:r w:rsidR="00A13788" w:rsidRPr="00A13788">
        <w:rPr>
          <w:szCs w:val="18"/>
        </w:rPr>
        <w:t xml:space="preserve"> = guideline directed medical therapy</w:t>
      </w:r>
      <w:r w:rsidR="00A13788">
        <w:rPr>
          <w:szCs w:val="18"/>
        </w:rPr>
        <w:t>;</w:t>
      </w:r>
      <w:r w:rsidR="004B4FA1">
        <w:rPr>
          <w:szCs w:val="18"/>
        </w:rPr>
        <w:t xml:space="preserve"> </w:t>
      </w:r>
      <w:r>
        <w:rPr>
          <w:szCs w:val="18"/>
        </w:rPr>
        <w:t xml:space="preserve">HF= heart failure; </w:t>
      </w:r>
      <w:r>
        <w:t xml:space="preserve">NT-proBNP = N-Terminal-pro Brain Natriuretic Peptide; QoL = quality of life </w:t>
      </w:r>
    </w:p>
    <w:p w14:paraId="765FC437" w14:textId="27405461" w:rsidR="007607ED" w:rsidRDefault="007607ED" w:rsidP="007607ED">
      <w:r>
        <w:t>The assessment questions related to the assessment framework are listed below.</w:t>
      </w:r>
    </w:p>
    <w:p w14:paraId="220E0121" w14:textId="3640FE12" w:rsidR="00906694" w:rsidRPr="007607ED" w:rsidRDefault="00323A2F" w:rsidP="007607ED">
      <w:pPr>
        <w:rPr>
          <w:b/>
          <w:bCs/>
        </w:rPr>
      </w:pPr>
      <w:r w:rsidRPr="007607ED">
        <w:rPr>
          <w:b/>
          <w:bCs/>
        </w:rPr>
        <w:t>Direct evidence</w:t>
      </w:r>
    </w:p>
    <w:p w14:paraId="6E60C8CB" w14:textId="389EE7CC" w:rsidR="00323A2F" w:rsidRDefault="00323A2F" w:rsidP="00855185">
      <w:pPr>
        <w:pStyle w:val="ListParagraph"/>
        <w:numPr>
          <w:ilvl w:val="0"/>
          <w:numId w:val="9"/>
        </w:numPr>
      </w:pPr>
      <w:r>
        <w:t>In patients in the immediate post-discharge phase following hospitalisation for the treatment of HF</w:t>
      </w:r>
      <w:r w:rsidR="002B2E91">
        <w:t xml:space="preserve">, does the addition of NT-proBNP testing to standard </w:t>
      </w:r>
      <w:r w:rsidR="00732D58">
        <w:t>management improve health outcomes compared to standard management alone?</w:t>
      </w:r>
    </w:p>
    <w:p w14:paraId="618BE0DB" w14:textId="639502CD" w:rsidR="00732D58" w:rsidRPr="007607ED" w:rsidRDefault="00B954E1" w:rsidP="007607ED">
      <w:pPr>
        <w:rPr>
          <w:b/>
          <w:bCs/>
        </w:rPr>
      </w:pPr>
      <w:r w:rsidRPr="007607ED">
        <w:rPr>
          <w:b/>
          <w:bCs/>
        </w:rPr>
        <w:t>Indirect evidence</w:t>
      </w:r>
    </w:p>
    <w:p w14:paraId="2278E615" w14:textId="019F571D" w:rsidR="00B954E1" w:rsidRDefault="00B954E1" w:rsidP="00855185">
      <w:pPr>
        <w:pStyle w:val="ListParagraph"/>
        <w:numPr>
          <w:ilvl w:val="0"/>
          <w:numId w:val="9"/>
        </w:numPr>
      </w:pPr>
      <w:r>
        <w:t>In patients in the immediate post-discharge phase following hospitalisation for the treatment of HF</w:t>
      </w:r>
      <w:r w:rsidR="00B36B3A">
        <w:t>, how does the</w:t>
      </w:r>
      <w:r w:rsidR="0061260F">
        <w:t xml:space="preserve"> additional</w:t>
      </w:r>
      <w:r w:rsidR="00B36B3A">
        <w:t xml:space="preserve"> information from NT-proBNP </w:t>
      </w:r>
      <w:r w:rsidR="0061260F">
        <w:t>testing differ from the information obtained without NT-proBNP testing?</w:t>
      </w:r>
    </w:p>
    <w:p w14:paraId="704A446D" w14:textId="6C54C7B8" w:rsidR="00F4497F" w:rsidRDefault="00E35FC0" w:rsidP="00855185">
      <w:pPr>
        <w:pStyle w:val="ListParagraph"/>
        <w:numPr>
          <w:ilvl w:val="0"/>
          <w:numId w:val="10"/>
        </w:numPr>
      </w:pPr>
      <w:r>
        <w:t>W</w:t>
      </w:r>
      <w:r w:rsidR="00F4497F">
        <w:t xml:space="preserve">hat is the </w:t>
      </w:r>
      <w:r w:rsidR="003526C2">
        <w:t>prognostic</w:t>
      </w:r>
      <w:r w:rsidR="000E553B">
        <w:t xml:space="preserve"> value of </w:t>
      </w:r>
      <w:r w:rsidR="00CE7030">
        <w:t xml:space="preserve">a decline and/or increase in </w:t>
      </w:r>
      <w:r w:rsidR="000E553B">
        <w:t>NT-proBNP for predicting mortality and rehospitalisation</w:t>
      </w:r>
      <w:r w:rsidR="00291C01">
        <w:t xml:space="preserve"> in the immediate post-discharge period?</w:t>
      </w:r>
      <w:r w:rsidR="000E553B">
        <w:t xml:space="preserve">  </w:t>
      </w:r>
    </w:p>
    <w:p w14:paraId="1290A356" w14:textId="4531CAFD" w:rsidR="00282A56" w:rsidRDefault="00282A56" w:rsidP="00855185">
      <w:pPr>
        <w:pStyle w:val="ListParagraph"/>
        <w:numPr>
          <w:ilvl w:val="0"/>
          <w:numId w:val="10"/>
        </w:numPr>
      </w:pPr>
      <w:r>
        <w:t xml:space="preserve">How responsive is NT-proBNP to </w:t>
      </w:r>
      <w:r w:rsidR="009C6D49">
        <w:t xml:space="preserve">pathophysiological changes associated with HF </w:t>
      </w:r>
      <w:r w:rsidR="00981061">
        <w:t>(e.g. fluid overload) that are affected</w:t>
      </w:r>
      <w:r w:rsidR="009C6D49">
        <w:t xml:space="preserve"> by </w:t>
      </w:r>
      <w:r>
        <w:t>GDMT titration</w:t>
      </w:r>
      <w:r w:rsidR="00966329">
        <w:t>?</w:t>
      </w:r>
    </w:p>
    <w:p w14:paraId="2CD500D7" w14:textId="22004D33" w:rsidR="00966329" w:rsidRDefault="00F8023A" w:rsidP="00855185">
      <w:pPr>
        <w:pStyle w:val="ListParagraph"/>
        <w:numPr>
          <w:ilvl w:val="0"/>
          <w:numId w:val="9"/>
        </w:numPr>
      </w:pPr>
      <w:r>
        <w:t xml:space="preserve">Does the information from NT-proBNP testing lead to a change of management </w:t>
      </w:r>
      <w:r w:rsidR="005B6328">
        <w:t xml:space="preserve">of the patient </w:t>
      </w:r>
      <w:r>
        <w:t xml:space="preserve">compared to </w:t>
      </w:r>
      <w:r w:rsidR="00564A91">
        <w:t>no NT-proBNP testing?</w:t>
      </w:r>
    </w:p>
    <w:p w14:paraId="0B149FEA" w14:textId="2FEF3301" w:rsidR="00564A91" w:rsidRDefault="00564A91" w:rsidP="00855185">
      <w:pPr>
        <w:pStyle w:val="ListParagraph"/>
        <w:numPr>
          <w:ilvl w:val="0"/>
          <w:numId w:val="9"/>
        </w:numPr>
      </w:pPr>
      <w:r>
        <w:t xml:space="preserve">Do the differences in management </w:t>
      </w:r>
      <w:r w:rsidR="00467F4A">
        <w:t xml:space="preserve">(e.g. up-titration of GDMT, pause in up-titration of GDMT) </w:t>
      </w:r>
      <w:r w:rsidR="005E4B38">
        <w:t xml:space="preserve">derived from the </w:t>
      </w:r>
      <w:r w:rsidR="00467F4A">
        <w:t xml:space="preserve">NT-proBNP </w:t>
      </w:r>
      <w:r w:rsidR="005E4B38">
        <w:t>test</w:t>
      </w:r>
      <w:r w:rsidR="000C600C">
        <w:t xml:space="preserve"> </w:t>
      </w:r>
      <w:r w:rsidR="00AA4549">
        <w:t>lead to improved health outcomes compared to treatment based on symptoms alone?</w:t>
      </w:r>
    </w:p>
    <w:p w14:paraId="570F05D6" w14:textId="2F250900" w:rsidR="00AA4549" w:rsidRDefault="00AA4549" w:rsidP="00855185">
      <w:pPr>
        <w:pStyle w:val="ListParagraph"/>
        <w:numPr>
          <w:ilvl w:val="0"/>
          <w:numId w:val="9"/>
        </w:numPr>
      </w:pPr>
      <w:r>
        <w:t xml:space="preserve">What are the </w:t>
      </w:r>
      <w:r w:rsidR="00554B42">
        <w:t>(</w:t>
      </w:r>
      <w:r>
        <w:t>direct</w:t>
      </w:r>
      <w:r w:rsidR="00554B42">
        <w:t>)</w:t>
      </w:r>
      <w:r>
        <w:t xml:space="preserve"> adverse events associated with NT-proBNP testing</w:t>
      </w:r>
      <w:r w:rsidR="00810D21">
        <w:t xml:space="preserve"> in addition to standard </w:t>
      </w:r>
      <w:r w:rsidR="00205071">
        <w:t>medical management</w:t>
      </w:r>
      <w:r>
        <w:t xml:space="preserve"> for monitoring</w:t>
      </w:r>
      <w:r w:rsidR="0053455E">
        <w:t xml:space="preserve"> and </w:t>
      </w:r>
      <w:r w:rsidR="00205071">
        <w:t>standard medical management</w:t>
      </w:r>
      <w:r w:rsidR="0053455E">
        <w:t xml:space="preserve"> alone</w:t>
      </w:r>
      <w:r>
        <w:t>?</w:t>
      </w:r>
    </w:p>
    <w:p w14:paraId="545A8D62" w14:textId="66181A32" w:rsidR="00564A91" w:rsidRDefault="00554B42" w:rsidP="00855185">
      <w:pPr>
        <w:pStyle w:val="ListParagraph"/>
        <w:numPr>
          <w:ilvl w:val="0"/>
          <w:numId w:val="9"/>
        </w:numPr>
      </w:pPr>
      <w:r>
        <w:t>What are the adverse events associated with the treatments</w:t>
      </w:r>
      <w:r w:rsidR="000C20D3">
        <w:t>/</w:t>
      </w:r>
      <w:r w:rsidR="00E96BA8">
        <w:t xml:space="preserve"> interventions that lead from the management decision</w:t>
      </w:r>
      <w:r w:rsidR="0043250B">
        <w:t>s</w:t>
      </w:r>
      <w:r w:rsidR="00E96BA8">
        <w:t xml:space="preserve"> informed by the </w:t>
      </w:r>
      <w:r w:rsidR="000B644C">
        <w:t xml:space="preserve">NT-proBNP </w:t>
      </w:r>
      <w:r w:rsidR="00A32D0D">
        <w:t xml:space="preserve">testing </w:t>
      </w:r>
      <w:r w:rsidR="00810D21">
        <w:t xml:space="preserve">in addition to standard </w:t>
      </w:r>
      <w:r w:rsidR="00205071">
        <w:t>medical management</w:t>
      </w:r>
      <w:r w:rsidR="000B644C">
        <w:t xml:space="preserve"> and by the</w:t>
      </w:r>
      <w:r w:rsidR="00810D21">
        <w:t xml:space="preserve"> standard </w:t>
      </w:r>
      <w:r w:rsidR="00205071">
        <w:t>medical management</w:t>
      </w:r>
      <w:r w:rsidR="00810D21">
        <w:t xml:space="preserve"> alone</w:t>
      </w:r>
      <w:r w:rsidR="00E96BA8">
        <w:t>?</w:t>
      </w:r>
    </w:p>
    <w:p w14:paraId="70F96074" w14:textId="77777777" w:rsidR="00242E57" w:rsidRDefault="00242E57" w:rsidP="00242E57">
      <w:pPr>
        <w:spacing w:line="257" w:lineRule="auto"/>
      </w:pPr>
      <w:r>
        <w:rPr>
          <w:rFonts w:cs="Calibri"/>
          <w:i/>
          <w:iCs/>
        </w:rPr>
        <w:lastRenderedPageBreak/>
        <w:t xml:space="preserve">PASC confirmed that the assessment framework is appropriate. </w:t>
      </w:r>
    </w:p>
    <w:p w14:paraId="29F63B9A" w14:textId="77777777" w:rsidR="00242E57" w:rsidRPr="007421DF" w:rsidRDefault="00242E57" w:rsidP="00242E57">
      <w:pPr>
        <w:spacing w:line="257" w:lineRule="auto"/>
        <w:rPr>
          <w:rFonts w:cs="Calibri"/>
          <w:i/>
          <w:iCs/>
        </w:rPr>
      </w:pPr>
      <w:r>
        <w:rPr>
          <w:rFonts w:cs="Calibri"/>
          <w:i/>
          <w:iCs/>
        </w:rPr>
        <w:t xml:space="preserve">PASC considered that the additional questions within the linked evidence framework need to be addressed, particularly questions regarding prognosis and responsiveness (question 2) as this information is not available within the STRONG HF trial. </w:t>
      </w:r>
    </w:p>
    <w:p w14:paraId="6E162872" w14:textId="4911BC8D" w:rsidR="00D73332" w:rsidRPr="00887D08" w:rsidRDefault="00242E57" w:rsidP="00887D08">
      <w:pPr>
        <w:spacing w:line="257" w:lineRule="auto"/>
        <w:rPr>
          <w:rFonts w:cs="Calibri"/>
          <w:i/>
          <w:iCs/>
        </w:rPr>
      </w:pPr>
      <w:r>
        <w:rPr>
          <w:rFonts w:cs="Calibri"/>
          <w:i/>
          <w:iCs/>
        </w:rPr>
        <w:t>PASC noted that failure to up-titrate beta-blockers, based on NT-proBNP levels, is a potential adverse event associated with the intervention (question 6).</w:t>
      </w:r>
      <w:r w:rsidR="066FC1E5" w:rsidRPr="3EA6284F">
        <w:rPr>
          <w:rFonts w:cs="Calibri"/>
        </w:rPr>
        <w:t xml:space="preserve"> </w:t>
      </w:r>
    </w:p>
    <w:p w14:paraId="6069F0B5" w14:textId="0116299C" w:rsidR="00D73332" w:rsidRDefault="00D73332" w:rsidP="00713728">
      <w:pPr>
        <w:pStyle w:val="Heading2"/>
      </w:pPr>
      <w:r>
        <w:t>Clinical management algorithms</w:t>
      </w:r>
    </w:p>
    <w:p w14:paraId="731585C5" w14:textId="2B01DFB2" w:rsidR="005A0594" w:rsidRDefault="005A0594" w:rsidP="005A0594">
      <w:r>
        <w:t xml:space="preserve">There are Australian clinical practice guidelines </w:t>
      </w:r>
      <w:r w:rsidR="00B36077">
        <w:t>that describe GDMT</w:t>
      </w:r>
      <w:r w:rsidR="00303CC4">
        <w:t xml:space="preserve"> </w:t>
      </w:r>
      <w:r w:rsidR="00303CC4" w:rsidRPr="00303CC4">
        <w:rPr>
          <w:rFonts w:cs="Calibri"/>
        </w:rPr>
        <w:t>(Atherton et al. 2018)</w:t>
      </w:r>
      <w:r w:rsidR="00A32D0D">
        <w:t>;</w:t>
      </w:r>
      <w:r w:rsidR="00061AC8">
        <w:t xml:space="preserve"> however</w:t>
      </w:r>
      <w:r w:rsidR="00A32D0D">
        <w:t>,</w:t>
      </w:r>
      <w:r w:rsidR="00061AC8">
        <w:t xml:space="preserve"> as new trials are published and additional medications added to the PBS, </w:t>
      </w:r>
      <w:r w:rsidR="00D30D0D">
        <w:t xml:space="preserve">medical therapy </w:t>
      </w:r>
      <w:r w:rsidR="00061AC8">
        <w:t>ha</w:t>
      </w:r>
      <w:r w:rsidR="00D30D0D">
        <w:t>s</w:t>
      </w:r>
      <w:r w:rsidR="00061AC8">
        <w:t xml:space="preserve"> evolved and </w:t>
      </w:r>
      <w:r w:rsidR="0011669C">
        <w:t xml:space="preserve">guidance has </w:t>
      </w:r>
      <w:r w:rsidR="00061AC8">
        <w:t xml:space="preserve">been updated with </w:t>
      </w:r>
      <w:r w:rsidR="0011669C">
        <w:t xml:space="preserve">a </w:t>
      </w:r>
      <w:r w:rsidR="000945AC">
        <w:t>clinical consensus</w:t>
      </w:r>
      <w:r w:rsidR="00D30D0D">
        <w:t xml:space="preserve"> </w:t>
      </w:r>
      <w:r w:rsidR="009C3437">
        <w:t>statement</w:t>
      </w:r>
      <w:r w:rsidR="000945AC">
        <w:t xml:space="preserve"> </w:t>
      </w:r>
      <w:r w:rsidR="000945AC" w:rsidRPr="000945AC">
        <w:rPr>
          <w:rFonts w:cs="Calibri"/>
        </w:rPr>
        <w:t>(Sindone et al. 2022)</w:t>
      </w:r>
      <w:r w:rsidR="000945AC">
        <w:t>.</w:t>
      </w:r>
      <w:r w:rsidR="007C1312">
        <w:t xml:space="preserve"> </w:t>
      </w:r>
      <w:r w:rsidR="007C1312">
        <w:fldChar w:fldCharType="begin"/>
      </w:r>
      <w:r w:rsidR="007C1312">
        <w:instrText xml:space="preserve"> REF _Ref232947389 \h </w:instrText>
      </w:r>
      <w:r w:rsidR="007C1312">
        <w:fldChar w:fldCharType="separate"/>
      </w:r>
      <w:r w:rsidR="00E10360">
        <w:t xml:space="preserve">Figure </w:t>
      </w:r>
      <w:r w:rsidR="00E10360">
        <w:rPr>
          <w:noProof/>
        </w:rPr>
        <w:t>1</w:t>
      </w:r>
      <w:r w:rsidR="007C1312">
        <w:fldChar w:fldCharType="end"/>
      </w:r>
      <w:r w:rsidR="007C1312">
        <w:t xml:space="preserve"> shows th</w:t>
      </w:r>
      <w:r w:rsidR="00A34864">
        <w:t>e</w:t>
      </w:r>
      <w:r w:rsidR="007C1312">
        <w:t xml:space="preserve"> </w:t>
      </w:r>
      <w:r w:rsidR="003A7965">
        <w:t>updated clinical algorithm for the management of HFrEF</w:t>
      </w:r>
      <w:r w:rsidR="00C01A50">
        <w:t xml:space="preserve"> from the </w:t>
      </w:r>
      <w:r w:rsidR="008412EF">
        <w:t>consensus statement</w:t>
      </w:r>
      <w:r w:rsidR="0011669C">
        <w:t>;</w:t>
      </w:r>
      <w:r w:rsidR="006003AE">
        <w:t xml:space="preserve"> </w:t>
      </w:r>
      <w:r w:rsidR="00C01A50">
        <w:t>however</w:t>
      </w:r>
      <w:r w:rsidR="0011669C">
        <w:t>,</w:t>
      </w:r>
      <w:r w:rsidR="00C01A50">
        <w:t xml:space="preserve"> the guidelines are less directive regarding the model of care for implementing </w:t>
      </w:r>
      <w:r w:rsidR="001C2411">
        <w:t xml:space="preserve">medication in HF and ongoing monitoring. </w:t>
      </w:r>
      <w:r w:rsidR="00DC2401">
        <w:t xml:space="preserve">The majority of patients with </w:t>
      </w:r>
      <w:r w:rsidR="00907549">
        <w:t>HF</w:t>
      </w:r>
      <w:r w:rsidR="00DC2401">
        <w:t xml:space="preserve"> present at hospital</w:t>
      </w:r>
      <w:r w:rsidR="00DC693C">
        <w:t xml:space="preserve"> emergency departments</w:t>
      </w:r>
      <w:r w:rsidR="00185B3E">
        <w:t>, estimated at 90 to 95%</w:t>
      </w:r>
      <w:r w:rsidR="00D91484">
        <w:t xml:space="preserve">, most </w:t>
      </w:r>
      <w:r w:rsidR="0067010C">
        <w:t xml:space="preserve">of which </w:t>
      </w:r>
      <w:r w:rsidR="00D91484">
        <w:t>are</w:t>
      </w:r>
      <w:r w:rsidR="0067010C">
        <w:t xml:space="preserve"> at</w:t>
      </w:r>
      <w:r w:rsidR="00D91484">
        <w:t xml:space="preserve"> public hospitals.</w:t>
      </w:r>
      <w:r w:rsidR="00551075">
        <w:rPr>
          <w:rStyle w:val="FootnoteReference"/>
        </w:rPr>
        <w:footnoteReference w:id="13"/>
      </w:r>
      <w:r w:rsidR="00686DCB">
        <w:t xml:space="preserve"> </w:t>
      </w:r>
      <w:r w:rsidR="00D12F5D">
        <w:t>Post-discharge</w:t>
      </w:r>
      <w:r w:rsidR="0067010C">
        <w:t>,</w:t>
      </w:r>
      <w:r w:rsidR="00B615FC">
        <w:t xml:space="preserve"> </w:t>
      </w:r>
      <w:r w:rsidR="00506AB8">
        <w:t xml:space="preserve">the majority are </w:t>
      </w:r>
      <w:r w:rsidR="008D3347">
        <w:t>referred to an outpatient clinic</w:t>
      </w:r>
      <w:r w:rsidR="0011669C">
        <w:t>,</w:t>
      </w:r>
      <w:r w:rsidR="008D3347">
        <w:t xml:space="preserve"> although </w:t>
      </w:r>
      <w:r w:rsidR="001127C3">
        <w:t xml:space="preserve">around a quarter </w:t>
      </w:r>
      <w:r w:rsidR="008D3347">
        <w:t xml:space="preserve">remain waiting </w:t>
      </w:r>
      <w:r w:rsidR="001127C3">
        <w:t>for an appointment 1 month after discharge</w:t>
      </w:r>
      <w:r w:rsidR="000D4870">
        <w:t xml:space="preserve"> </w:t>
      </w:r>
      <w:r w:rsidR="000D4870" w:rsidRPr="000D4870">
        <w:rPr>
          <w:rFonts w:cs="Calibri"/>
        </w:rPr>
        <w:t>(Driscoll et al. 2020)</w:t>
      </w:r>
      <w:r w:rsidR="001127C3">
        <w:t>.</w:t>
      </w:r>
      <w:r w:rsidR="00B615FC">
        <w:t xml:space="preserve"> </w:t>
      </w:r>
      <w:r w:rsidR="00321B21">
        <w:t>In a separate analysis, more than half of patients saw a GP within a week of discharge</w:t>
      </w:r>
      <w:r w:rsidR="00E90790">
        <w:t xml:space="preserve"> but fewer than 20% saw a cardiologist within 30 days and fewer than half within </w:t>
      </w:r>
      <w:r w:rsidR="008F6AE6">
        <w:t xml:space="preserve">6 </w:t>
      </w:r>
      <w:r w:rsidR="00E90790">
        <w:t>months</w:t>
      </w:r>
      <w:r w:rsidR="00DB7816" w:rsidRPr="00DB7816">
        <w:rPr>
          <w:rStyle w:val="FootnoteReference"/>
        </w:rPr>
        <w:fldChar w:fldCharType="begin"/>
      </w:r>
      <w:r w:rsidR="00DB7816" w:rsidRPr="00151254">
        <w:rPr>
          <w:vertAlign w:val="superscript"/>
        </w:rPr>
        <w:instrText xml:space="preserve"> NOTEREF _Ref235527419 \h </w:instrText>
      </w:r>
      <w:r w:rsidR="00DB7816" w:rsidRPr="00151254">
        <w:rPr>
          <w:rStyle w:val="FootnoteReference"/>
        </w:rPr>
        <w:instrText xml:space="preserve"> \* MERGEFORMAT </w:instrText>
      </w:r>
      <w:r w:rsidR="00DB7816" w:rsidRPr="00DB7816">
        <w:rPr>
          <w:rStyle w:val="FootnoteReference"/>
        </w:rPr>
      </w:r>
      <w:r w:rsidR="00DB7816" w:rsidRPr="00DB7816">
        <w:rPr>
          <w:rStyle w:val="FootnoteReference"/>
        </w:rPr>
        <w:fldChar w:fldCharType="separate"/>
      </w:r>
      <w:r w:rsidR="00DB7816" w:rsidRPr="00151254">
        <w:rPr>
          <w:vertAlign w:val="superscript"/>
        </w:rPr>
        <w:t>8</w:t>
      </w:r>
      <w:r w:rsidR="00DB7816" w:rsidRPr="00DB7816">
        <w:rPr>
          <w:rStyle w:val="FootnoteReference"/>
        </w:rPr>
        <w:fldChar w:fldCharType="end"/>
      </w:r>
      <w:r w:rsidR="00E90790">
        <w:t>.</w:t>
      </w:r>
      <w:r w:rsidR="0048456F">
        <w:t xml:space="preserve"> No specific schedule of visit</w:t>
      </w:r>
      <w:r w:rsidR="000B0BF3">
        <w:t>s</w:t>
      </w:r>
      <w:r w:rsidR="0048456F">
        <w:t xml:space="preserve"> or type of health care provider is specified in the guidelines </w:t>
      </w:r>
      <w:r w:rsidR="000B0BF3">
        <w:t xml:space="preserve">although </w:t>
      </w:r>
      <w:r w:rsidR="00E72641">
        <w:t>they note that patients should be reviewed following initiation and each dose escalation with monitoring of blood pressure and blood biochemistry (</w:t>
      </w:r>
      <w:r w:rsidR="00970A97">
        <w:t>renal function, potassium) at 1-2 weeks.</w:t>
      </w:r>
      <w:r w:rsidR="00C95302">
        <w:t xml:space="preserve"> </w:t>
      </w:r>
      <w:r w:rsidR="00970A97">
        <w:t>T</w:t>
      </w:r>
      <w:r w:rsidR="00C95302">
        <w:t>here is a strong recommendation for nurse-led medication titration</w:t>
      </w:r>
      <w:r w:rsidR="00006A3F">
        <w:t xml:space="preserve">. </w:t>
      </w:r>
      <w:r w:rsidR="00F576E7">
        <w:t>The guidelines state that faster up</w:t>
      </w:r>
      <w:r w:rsidR="00CB0049">
        <w:t>-</w:t>
      </w:r>
      <w:r w:rsidR="00F576E7">
        <w:t xml:space="preserve">titration may occur with close monitoring </w:t>
      </w:r>
      <w:r w:rsidR="00851CC3">
        <w:t xml:space="preserve">(e.g. in an inpatient setting) </w:t>
      </w:r>
      <w:r w:rsidR="00851CC3" w:rsidRPr="00851CC3">
        <w:rPr>
          <w:rFonts w:cs="Calibri"/>
        </w:rPr>
        <w:t>(Atherton et al. 2018)</w:t>
      </w:r>
      <w:r w:rsidR="00851CC3">
        <w:t>.</w:t>
      </w:r>
    </w:p>
    <w:p w14:paraId="60A3B47C" w14:textId="55DCE1A4" w:rsidR="000E31FC" w:rsidRDefault="00933ADF" w:rsidP="005A0594">
      <w:r>
        <w:t>The application states that up</w:t>
      </w:r>
      <w:r w:rsidR="00745EE6">
        <w:t>-</w:t>
      </w:r>
      <w:r>
        <w:t xml:space="preserve">titration </w:t>
      </w:r>
      <w:r w:rsidR="004C7D1F">
        <w:t xml:space="preserve">can be completed within 12 weeks at the earliest based on the </w:t>
      </w:r>
      <w:r w:rsidR="00F772BD">
        <w:t xml:space="preserve">2018 </w:t>
      </w:r>
      <w:r w:rsidR="005B4717">
        <w:t>g</w:t>
      </w:r>
      <w:r w:rsidR="00F772BD">
        <w:t>uidelines and frequently takes more than 6</w:t>
      </w:r>
      <w:r w:rsidR="001B3430">
        <w:t xml:space="preserve"> </w:t>
      </w:r>
      <w:r w:rsidR="00F772BD">
        <w:t>months post-discharge. The</w:t>
      </w:r>
      <w:r w:rsidR="00136058">
        <w:t xml:space="preserve"> current clinical management algorithm </w:t>
      </w:r>
      <w:r w:rsidR="00BA0647">
        <w:t>(</w:t>
      </w:r>
      <w:r w:rsidR="00BA0647">
        <w:fldChar w:fldCharType="begin"/>
      </w:r>
      <w:r w:rsidR="00BA0647">
        <w:instrText xml:space="preserve"> REF _Ref233551657 \h </w:instrText>
      </w:r>
      <w:r w:rsidR="00BA0647">
        <w:fldChar w:fldCharType="separate"/>
      </w:r>
      <w:r w:rsidR="00E10360">
        <w:t xml:space="preserve">Figure </w:t>
      </w:r>
      <w:r w:rsidR="00E10360">
        <w:rPr>
          <w:noProof/>
        </w:rPr>
        <w:t>4</w:t>
      </w:r>
      <w:r w:rsidR="00BA0647">
        <w:fldChar w:fldCharType="end"/>
      </w:r>
      <w:r w:rsidR="00BA0647">
        <w:t xml:space="preserve">) </w:t>
      </w:r>
      <w:r w:rsidR="00136058">
        <w:t xml:space="preserve">shows the type of information that is considered for </w:t>
      </w:r>
      <w:r w:rsidR="00BA0647">
        <w:t>managing medication up</w:t>
      </w:r>
      <w:r w:rsidR="00893B1B">
        <w:t>-</w:t>
      </w:r>
      <w:r w:rsidR="00BA0647">
        <w:t xml:space="preserve">titration but cannot specify the number, frequency or type of post-discharge visits. Similarly, the proposed </w:t>
      </w:r>
      <w:r w:rsidR="00533189">
        <w:t>clinical management algorithm (</w:t>
      </w:r>
      <w:r w:rsidR="00533189">
        <w:fldChar w:fldCharType="begin"/>
      </w:r>
      <w:r w:rsidR="00533189">
        <w:instrText xml:space="preserve"> REF _Ref233551700 \h </w:instrText>
      </w:r>
      <w:r w:rsidR="00533189">
        <w:fldChar w:fldCharType="separate"/>
      </w:r>
      <w:r w:rsidR="00E10360">
        <w:t xml:space="preserve">Figure </w:t>
      </w:r>
      <w:r w:rsidR="00E10360">
        <w:rPr>
          <w:noProof/>
        </w:rPr>
        <w:t>5</w:t>
      </w:r>
      <w:r w:rsidR="00533189">
        <w:fldChar w:fldCharType="end"/>
      </w:r>
      <w:r w:rsidR="00533189">
        <w:t xml:space="preserve">) shows how the addition of NT-proBNP tests </w:t>
      </w:r>
      <w:proofErr w:type="gramStart"/>
      <w:r w:rsidR="00533189">
        <w:t>are</w:t>
      </w:r>
      <w:proofErr w:type="gramEnd"/>
      <w:r w:rsidR="00533189">
        <w:t xml:space="preserve"> intended to contribute to </w:t>
      </w:r>
      <w:r w:rsidR="004E1C29">
        <w:t>decisions regarding medication titration</w:t>
      </w:r>
      <w:r w:rsidR="006C7688">
        <w:t xml:space="preserve"> and facilitate more rapid up</w:t>
      </w:r>
      <w:r w:rsidR="00E13084">
        <w:t>-</w:t>
      </w:r>
      <w:r w:rsidR="006C7688">
        <w:t>titration, but the</w:t>
      </w:r>
      <w:r w:rsidR="00C03823">
        <w:t xml:space="preserve"> specifics of post-discharge care are not defined. </w:t>
      </w:r>
    </w:p>
    <w:p w14:paraId="4A6B86DA" w14:textId="418BCC15" w:rsidR="002E03F9" w:rsidRDefault="00F6151B" w:rsidP="007311C2">
      <w:r>
        <w:t xml:space="preserve">It is anticipated that there would be substantial variation in practice </w:t>
      </w:r>
      <w:r w:rsidR="00F47FE2">
        <w:t>when patients are discharged from hospital following acute HF and that care may</w:t>
      </w:r>
      <w:r w:rsidR="00C30BF6">
        <w:t xml:space="preserve"> </w:t>
      </w:r>
      <w:r w:rsidR="00F47FE2">
        <w:t xml:space="preserve">be overseen by a range of </w:t>
      </w:r>
      <w:r w:rsidR="009C6D8C">
        <w:t xml:space="preserve">clinical specialities </w:t>
      </w:r>
      <w:r w:rsidR="007F5C9F">
        <w:t>that could include</w:t>
      </w:r>
      <w:r w:rsidR="009C6D8C">
        <w:t xml:space="preserve"> geriatricians and discharge into aged care. </w:t>
      </w:r>
    </w:p>
    <w:p w14:paraId="79919D5C" w14:textId="77777777" w:rsidR="00E51B6E" w:rsidRDefault="00E51B6E" w:rsidP="00E51B6E">
      <w:pPr>
        <w:spacing w:after="0" w:line="257" w:lineRule="auto"/>
        <w:rPr>
          <w:rFonts w:cs="Calibri"/>
          <w:i/>
          <w:iCs/>
        </w:rPr>
      </w:pPr>
      <w:r>
        <w:rPr>
          <w:rFonts w:cs="Calibri"/>
          <w:i/>
          <w:iCs/>
        </w:rPr>
        <w:t xml:space="preserve">PASC noted that BNP and NT-proBNP are not necessary to establish a diagnosis of HF, however, PASC accepted the proposed clinical management algorithms.  </w:t>
      </w:r>
    </w:p>
    <w:p w14:paraId="7979C066" w14:textId="77777777" w:rsidR="002E03F9" w:rsidRDefault="002E03F9" w:rsidP="007311C2">
      <w:pPr>
        <w:sectPr w:rsidR="002E03F9" w:rsidSect="001F0C55">
          <w:headerReference w:type="even" r:id="rId25"/>
          <w:footerReference w:type="even" r:id="rId26"/>
          <w:footerReference w:type="default" r:id="rId27"/>
          <w:headerReference w:type="first" r:id="rId28"/>
          <w:footerReference w:type="first" r:id="rId29"/>
          <w:pgSz w:w="11906" w:h="16838"/>
          <w:pgMar w:top="682" w:right="1134" w:bottom="1021" w:left="1191" w:header="709" w:footer="567" w:gutter="0"/>
          <w:cols w:space="708"/>
          <w:docGrid w:linePitch="360"/>
        </w:sectPr>
      </w:pPr>
    </w:p>
    <w:p w14:paraId="7425726E" w14:textId="42DB32E7" w:rsidR="00466503" w:rsidRDefault="00466503" w:rsidP="00EF32AE">
      <w:pPr>
        <w:pStyle w:val="Caption"/>
      </w:pPr>
      <w:bookmarkStart w:id="20" w:name="_Ref233551657"/>
      <w:r>
        <w:lastRenderedPageBreak/>
        <w:t xml:space="preserve">Figure </w:t>
      </w:r>
      <w:r>
        <w:fldChar w:fldCharType="begin"/>
      </w:r>
      <w:r>
        <w:instrText xml:space="preserve"> SEQ Figure \* ARABIC </w:instrText>
      </w:r>
      <w:r>
        <w:fldChar w:fldCharType="separate"/>
      </w:r>
      <w:r w:rsidR="00E10360">
        <w:rPr>
          <w:noProof/>
        </w:rPr>
        <w:t>4</w:t>
      </w:r>
      <w:r>
        <w:fldChar w:fldCharType="end"/>
      </w:r>
      <w:bookmarkEnd w:id="20"/>
      <w:r>
        <w:tab/>
      </w:r>
      <w:r w:rsidR="00EF32AE">
        <w:t>Current clinical management algorithm</w:t>
      </w:r>
    </w:p>
    <w:p w14:paraId="0EEDA876" w14:textId="2477DD0E" w:rsidR="009275B3" w:rsidRDefault="00D64310" w:rsidP="00466503">
      <w:pPr>
        <w:jc w:val="center"/>
      </w:pPr>
      <w:r>
        <w:rPr>
          <w:noProof/>
        </w:rPr>
        <w:drawing>
          <wp:inline distT="0" distB="0" distL="0" distR="0" wp14:anchorId="25683063" wp14:editId="249C3590">
            <wp:extent cx="7085844" cy="4681860"/>
            <wp:effectExtent l="0" t="0" r="1270" b="4445"/>
            <wp:docPr id="857867086" name="Picture 11" descr="Shows that current clinical management algorithm. In the algorithm, patients are reviewed after discharge and decisions regarding medication titration are made based on clinical evaluation, blood pressure and blood bio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67086" name="Picture 11" descr="Shows that current clinical management algorithm. In the algorithm, patients are reviewed after discharge and decisions regarding medication titration are made based on clinical evaluation, blood pressure and blood biochemistry."/>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106599" cy="4695573"/>
                    </a:xfrm>
                    <a:prstGeom prst="rect">
                      <a:avLst/>
                    </a:prstGeom>
                  </pic:spPr>
                </pic:pic>
              </a:graphicData>
            </a:graphic>
          </wp:inline>
        </w:drawing>
      </w:r>
    </w:p>
    <w:p w14:paraId="51CE00DE" w14:textId="738726B7" w:rsidR="00466503" w:rsidRDefault="00683956" w:rsidP="00683956">
      <w:pPr>
        <w:pStyle w:val="Tablenotes"/>
      </w:pPr>
      <w:r>
        <w:t>ACE = angiotensin-converting enzyme; ARB = angiotensin receptor blocker; ARNI = angiotensin receptor neprilysin inhibitor; eGFR = estimated glomerular filtration rate</w:t>
      </w:r>
      <w:r w:rsidR="0026700D">
        <w:t xml:space="preserve">; </w:t>
      </w:r>
      <w:r>
        <w:t>GDMT</w:t>
      </w:r>
      <w:r w:rsidR="0026700D">
        <w:t xml:space="preserve"> = </w:t>
      </w:r>
      <w:r>
        <w:t xml:space="preserve">guideline directed medical therapy; GP= general practitioner; HF= heart failure; </w:t>
      </w:r>
      <w:r w:rsidR="00243A22">
        <w:t>HR = heart rate</w:t>
      </w:r>
      <w:r w:rsidR="00FB54B9">
        <w:t xml:space="preserve">; </w:t>
      </w:r>
      <w:r>
        <w:t>K+ = potassium</w:t>
      </w:r>
      <w:r w:rsidR="0026700D">
        <w:t xml:space="preserve">; </w:t>
      </w:r>
      <w:r>
        <w:t>min</w:t>
      </w:r>
      <w:r w:rsidR="0026700D">
        <w:t xml:space="preserve"> = </w:t>
      </w:r>
      <w:r>
        <w:t>minute; mL = millilitres; mmHg = milligrams of mercury</w:t>
      </w:r>
      <w:r w:rsidR="00B90D8B">
        <w:t xml:space="preserve">; </w:t>
      </w:r>
      <w:r>
        <w:t>MRA</w:t>
      </w:r>
      <w:r w:rsidR="0026700D">
        <w:t xml:space="preserve">= </w:t>
      </w:r>
      <w:r w:rsidR="00EA545F">
        <w:t>m</w:t>
      </w:r>
      <w:r>
        <w:t>ineralocorticoid receptor antagonist</w:t>
      </w:r>
      <w:r w:rsidR="0026700D">
        <w:t xml:space="preserve">; </w:t>
      </w:r>
      <w:r>
        <w:t>NP</w:t>
      </w:r>
      <w:r w:rsidR="0026700D">
        <w:t xml:space="preserve"> = </w:t>
      </w:r>
      <w:r>
        <w:t>nurse practitioner</w:t>
      </w:r>
      <w:r w:rsidR="00B90D8B">
        <w:t xml:space="preserve">; </w:t>
      </w:r>
      <w:r>
        <w:t>NT-proBNP</w:t>
      </w:r>
      <w:r w:rsidR="00B90D8B">
        <w:t xml:space="preserve"> = </w:t>
      </w:r>
      <w:r>
        <w:t>N-Terminal-pro Brain Natriuretic Peptide</w:t>
      </w:r>
      <w:r w:rsidR="00B90D8B">
        <w:t xml:space="preserve">; </w:t>
      </w:r>
      <w:r w:rsidR="004D0E88" w:rsidRPr="004D0E88">
        <w:t>pg = picograms;</w:t>
      </w:r>
      <w:r w:rsidR="004D0E88">
        <w:t xml:space="preserve"> </w:t>
      </w:r>
      <w:r>
        <w:t>SBP</w:t>
      </w:r>
      <w:r w:rsidR="00B90D8B">
        <w:t xml:space="preserve"> = </w:t>
      </w:r>
      <w:r>
        <w:t>systolic blood pressure</w:t>
      </w:r>
      <w:r w:rsidR="00B90D8B">
        <w:t xml:space="preserve">; </w:t>
      </w:r>
      <w:r>
        <w:t>SGLT2</w:t>
      </w:r>
      <w:r w:rsidR="00B90D8B">
        <w:t xml:space="preserve"> = </w:t>
      </w:r>
      <w:r>
        <w:t>Sodium-glucose cotransporter 2</w:t>
      </w:r>
    </w:p>
    <w:p w14:paraId="0F299327" w14:textId="3EBEEA08" w:rsidR="00194C7B" w:rsidRDefault="00194C7B" w:rsidP="00683956">
      <w:pPr>
        <w:pStyle w:val="Tablenotes"/>
      </w:pPr>
      <w:r>
        <w:t xml:space="preserve">Source: adapted from </w:t>
      </w:r>
      <w:r w:rsidR="00A918D4">
        <w:t xml:space="preserve">Figures 1, 2 and 3 of </w:t>
      </w:r>
      <w:r w:rsidR="00C954ED">
        <w:t xml:space="preserve">application </w:t>
      </w:r>
      <w:r w:rsidR="00BD189C">
        <w:t>PICO Set</w:t>
      </w:r>
    </w:p>
    <w:p w14:paraId="1C3D9826" w14:textId="1425F633" w:rsidR="00286FE7" w:rsidRDefault="00286FE7" w:rsidP="00286FE7">
      <w:pPr>
        <w:pStyle w:val="Caption"/>
      </w:pPr>
      <w:bookmarkStart w:id="21" w:name="_Ref233551700"/>
      <w:r>
        <w:lastRenderedPageBreak/>
        <w:t xml:space="preserve">Figure </w:t>
      </w:r>
      <w:r>
        <w:fldChar w:fldCharType="begin"/>
      </w:r>
      <w:r>
        <w:instrText xml:space="preserve"> SEQ Figure \* ARABIC </w:instrText>
      </w:r>
      <w:r>
        <w:fldChar w:fldCharType="separate"/>
      </w:r>
      <w:r w:rsidR="00E10360">
        <w:rPr>
          <w:noProof/>
        </w:rPr>
        <w:t>5</w:t>
      </w:r>
      <w:r>
        <w:fldChar w:fldCharType="end"/>
      </w:r>
      <w:bookmarkEnd w:id="21"/>
      <w:r w:rsidR="00EF32AE">
        <w:tab/>
        <w:t>Proposed clinical management algorithm</w:t>
      </w:r>
    </w:p>
    <w:p w14:paraId="36073538" w14:textId="703448B9" w:rsidR="007D4BAE" w:rsidRDefault="007D4BAE" w:rsidP="00286FE7">
      <w:pPr>
        <w:jc w:val="center"/>
      </w:pPr>
      <w:r>
        <w:rPr>
          <w:noProof/>
        </w:rPr>
        <w:drawing>
          <wp:inline distT="0" distB="0" distL="0" distR="0" wp14:anchorId="20D6D5CC" wp14:editId="5013D9ED">
            <wp:extent cx="7027594" cy="4687656"/>
            <wp:effectExtent l="0" t="0" r="1905" b="0"/>
            <wp:docPr id="877956059" name="Picture 10" descr="Shows the proposed clinical management algorithm. In the proposed algorithm, NT-proBNP testing is added to post-discharge clinical review to assist with medication ti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56059" name="Picture 10" descr="Shows the proposed clinical management algorithm. In the proposed algorithm, NT-proBNP testing is added to post-discharge clinical review to assist with medication titratio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69353" cy="4715511"/>
                    </a:xfrm>
                    <a:prstGeom prst="rect">
                      <a:avLst/>
                    </a:prstGeom>
                  </pic:spPr>
                </pic:pic>
              </a:graphicData>
            </a:graphic>
          </wp:inline>
        </w:drawing>
      </w:r>
    </w:p>
    <w:p w14:paraId="7B7B7AB8" w14:textId="33E86427" w:rsidR="00BD189C" w:rsidRDefault="00EA545F" w:rsidP="007F70A4">
      <w:pPr>
        <w:pStyle w:val="Tablenotes"/>
      </w:pPr>
      <w:r>
        <w:t xml:space="preserve">ACE = angiotensin-converting enzyme; ARB = angiotensin receptor blocker; ARNI = angiotensin receptor neprilysin inhibitor; eGFR = estimated glomerular filtration rate; GDMT = guideline directed medical therapy; GP= general practitioner; HF= heart failure; </w:t>
      </w:r>
      <w:r w:rsidR="002C70DC">
        <w:t xml:space="preserve">HR = heart rate; </w:t>
      </w:r>
      <w:r>
        <w:t xml:space="preserve">K+ = potassium; min = minute; mL = millilitres; mmHg = milligrams of mercury; MRA= mineralocorticoid receptor antagonist; NP = nurse practitioner; NT-proBNP = N-Terminal-pro Brain Natriuretic Peptide; </w:t>
      </w:r>
      <w:r w:rsidR="00553339" w:rsidRPr="00553339">
        <w:t>pg = picograms;</w:t>
      </w:r>
      <w:r w:rsidR="00553339">
        <w:t xml:space="preserve"> </w:t>
      </w:r>
      <w:r>
        <w:t>SBP = systolic blood pressure; SGLT2 = Sodium-glucose cotransporter 2</w:t>
      </w:r>
      <w:r w:rsidR="00BD189C">
        <w:t>Source: adapted from Figures 1, 2 and 3 of MSAC application PICO Set</w:t>
      </w:r>
    </w:p>
    <w:p w14:paraId="0C048863" w14:textId="77777777" w:rsidR="007F70A4" w:rsidRDefault="007F70A4" w:rsidP="007F70A4">
      <w:pPr>
        <w:pStyle w:val="Tablenotes"/>
      </w:pPr>
      <w:r>
        <w:t>Source: adapted from Figures 1, 2 and 3 of application PICO Set</w:t>
      </w:r>
    </w:p>
    <w:p w14:paraId="139744EF" w14:textId="20586DDD" w:rsidR="007F70A4" w:rsidRDefault="007F70A4" w:rsidP="002E03F9">
      <w:pPr>
        <w:sectPr w:rsidR="007F70A4" w:rsidSect="002E03F9">
          <w:pgSz w:w="16838" w:h="11906" w:orient="landscape"/>
          <w:pgMar w:top="1191" w:right="682" w:bottom="1134" w:left="1021" w:header="709" w:footer="567" w:gutter="0"/>
          <w:cols w:space="708"/>
          <w:docGrid w:linePitch="360"/>
        </w:sectPr>
      </w:pPr>
    </w:p>
    <w:p w14:paraId="2BDE22B9" w14:textId="3FF77CE6" w:rsidR="00D73332" w:rsidRDefault="00D73332" w:rsidP="00713728">
      <w:pPr>
        <w:pStyle w:val="Heading2"/>
      </w:pPr>
      <w:r>
        <w:lastRenderedPageBreak/>
        <w:t>Proposed economic evaluation</w:t>
      </w:r>
    </w:p>
    <w:p w14:paraId="25171B0B" w14:textId="78FE14B9" w:rsidR="00C03823" w:rsidRPr="00C03823" w:rsidRDefault="00AE0D3E" w:rsidP="00C03823">
      <w:r>
        <w:t>The application proposed a superior clinical claim</w:t>
      </w:r>
      <w:r w:rsidR="001D59BC">
        <w:t xml:space="preserve"> stating that NT-proBNP testing will lead to </w:t>
      </w:r>
      <w:r w:rsidR="000E1103">
        <w:t>optimised</w:t>
      </w:r>
      <w:r w:rsidR="001D59BC">
        <w:t xml:space="preserve"> GDMT, reduced readmission and better survival outcomes. </w:t>
      </w:r>
      <w:r w:rsidR="00A46BAE">
        <w:t>The applicant clarified pre-PASC that</w:t>
      </w:r>
      <w:r w:rsidR="00CD7482">
        <w:t xml:space="preserve"> the application also intended to </w:t>
      </w:r>
      <w:r w:rsidR="00E7282E">
        <w:t>claim non-inferior</w:t>
      </w:r>
      <w:r w:rsidR="00B42C46">
        <w:t xml:space="preserve"> safety</w:t>
      </w:r>
      <w:r w:rsidR="00B0510C">
        <w:t xml:space="preserve">. </w:t>
      </w:r>
      <w:proofErr w:type="gramStart"/>
      <w:r w:rsidR="00B0510C">
        <w:t>On the basis of</w:t>
      </w:r>
      <w:proofErr w:type="gramEnd"/>
      <w:r w:rsidR="00B0510C">
        <w:t xml:space="preserve"> these clinical claims, </w:t>
      </w:r>
      <w:r w:rsidR="006E4B0D">
        <w:t>the appropriate econo</w:t>
      </w:r>
      <w:r w:rsidR="00437EFF">
        <w:t>mic evaluation is a cost-effectiveness analysis or a cost-utility analysis (</w:t>
      </w:r>
      <w:r w:rsidR="00437EFF">
        <w:fldChar w:fldCharType="begin"/>
      </w:r>
      <w:r w:rsidR="00437EFF">
        <w:instrText xml:space="preserve"> REF _Ref54260209 \h </w:instrText>
      </w:r>
      <w:r w:rsidR="00437EFF">
        <w:fldChar w:fldCharType="separate"/>
      </w:r>
      <w:r w:rsidR="00E10360" w:rsidRPr="00490FBB">
        <w:t>Table</w:t>
      </w:r>
      <w:r w:rsidR="00E10360">
        <w:t> </w:t>
      </w:r>
      <w:r w:rsidR="00E10360">
        <w:rPr>
          <w:noProof/>
        </w:rPr>
        <w:t>10</w:t>
      </w:r>
      <w:r w:rsidR="00437EFF">
        <w:fldChar w:fldCharType="end"/>
      </w:r>
      <w:r w:rsidR="00437EFF">
        <w:t xml:space="preserve">). </w:t>
      </w:r>
    </w:p>
    <w:p w14:paraId="6DAB2DBD" w14:textId="471DD92B" w:rsidR="000939E0" w:rsidRPr="00490FBB" w:rsidRDefault="000939E0" w:rsidP="00C40CC4">
      <w:pPr>
        <w:pStyle w:val="Caption"/>
      </w:pPr>
      <w:bookmarkStart w:id="22" w:name="_Ref54260209"/>
      <w:bookmarkStart w:id="23" w:name="_Toc423450289"/>
      <w:r w:rsidRPr="00490FBB">
        <w:t>Table</w:t>
      </w:r>
      <w:r w:rsidR="00DE762F">
        <w:t> </w:t>
      </w:r>
      <w:r w:rsidRPr="00490FBB">
        <w:fldChar w:fldCharType="begin"/>
      </w:r>
      <w:r w:rsidRPr="00490FBB">
        <w:instrText xml:space="preserve"> SEQ Table \* ARABIC </w:instrText>
      </w:r>
      <w:r w:rsidRPr="00490FBB">
        <w:fldChar w:fldCharType="separate"/>
      </w:r>
      <w:r w:rsidR="00E10360">
        <w:rPr>
          <w:noProof/>
        </w:rPr>
        <w:t>10</w:t>
      </w:r>
      <w:r w:rsidRPr="00490FBB">
        <w:fldChar w:fldCharType="end"/>
      </w:r>
      <w:bookmarkEnd w:id="22"/>
      <w:r w:rsidR="001A5D2F">
        <w:tab/>
        <w:t>Classification of</w:t>
      </w:r>
      <w:r w:rsidRPr="00490FBB">
        <w:t xml:space="preserve"> comparative effectiveness and safety of the proposed intervention</w:t>
      </w:r>
      <w:r w:rsidR="001A5D2F">
        <w:t>,</w:t>
      </w:r>
      <w:r w:rsidRPr="00490FBB">
        <w:t xml:space="preserve"> compared with its main comparator</w:t>
      </w:r>
      <w:r w:rsidR="001A5D2F">
        <w:t>,</w:t>
      </w:r>
      <w:r w:rsidRPr="00490FBB">
        <w:t xml:space="preserve"> and guide to the suitable type of economic evaluation</w:t>
      </w:r>
      <w:bookmarkEnd w:id="23"/>
    </w:p>
    <w:tbl>
      <w:tblPr>
        <w:tblW w:w="5000" w:type="pct"/>
        <w:tblCellMar>
          <w:left w:w="115" w:type="dxa"/>
          <w:right w:w="115" w:type="dxa"/>
        </w:tblCellMar>
        <w:tblLook w:val="01E0" w:firstRow="1" w:lastRow="1" w:firstColumn="1" w:lastColumn="1" w:noHBand="0" w:noVBand="0"/>
        <w:tblCaption w:val="Table 19 Classification of the comparative effectiveness and safety of the proposed therapeutic medical service compared with its main comparator and guide to the suitable type of economic evaluation"/>
        <w:tblDescription w:val="The table presents a matrix of comparative safety (inferior, unccertain, non-inferior, superior) against comparative effectiveness (inferior, uncertain, non-inmferior, superior)."/>
      </w:tblPr>
      <w:tblGrid>
        <w:gridCol w:w="2065"/>
        <w:gridCol w:w="1954"/>
        <w:gridCol w:w="2286"/>
        <w:gridCol w:w="1794"/>
        <w:gridCol w:w="1472"/>
      </w:tblGrid>
      <w:tr w:rsidR="00686EED" w:rsidRPr="00490FBB" w14:paraId="5238F44C" w14:textId="77777777" w:rsidTr="00CC7321">
        <w:trPr>
          <w:tblHeader/>
        </w:trPr>
        <w:tc>
          <w:tcPr>
            <w:tcW w:w="1079" w:type="pct"/>
            <w:vMerge w:val="restart"/>
            <w:tcBorders>
              <w:top w:val="single" w:sz="4" w:space="0" w:color="auto"/>
              <w:left w:val="single" w:sz="4" w:space="0" w:color="auto"/>
              <w:right w:val="single" w:sz="4" w:space="0" w:color="auto"/>
            </w:tcBorders>
          </w:tcPr>
          <w:p w14:paraId="5B06A6EA" w14:textId="2690703D" w:rsidR="00686EED" w:rsidRPr="00490FBB" w:rsidRDefault="00686EED" w:rsidP="00C40CC4">
            <w:pPr>
              <w:pStyle w:val="TableHeading"/>
            </w:pPr>
            <w:bookmarkStart w:id="24" w:name="Title_Table2" w:colFirst="0" w:colLast="0"/>
            <w:r w:rsidRPr="00490FBB">
              <w:t>Comparative safety</w:t>
            </w:r>
          </w:p>
        </w:tc>
        <w:tc>
          <w:tcPr>
            <w:tcW w:w="1021" w:type="pct"/>
            <w:tcBorders>
              <w:top w:val="single" w:sz="4" w:space="0" w:color="auto"/>
              <w:left w:val="single" w:sz="4" w:space="0" w:color="auto"/>
              <w:bottom w:val="single" w:sz="4" w:space="0" w:color="auto"/>
              <w:right w:val="nil"/>
            </w:tcBorders>
          </w:tcPr>
          <w:p w14:paraId="293E5792" w14:textId="77777777" w:rsidR="00686EED" w:rsidRPr="00490FBB" w:rsidRDefault="00686EED" w:rsidP="00C40CC4">
            <w:pPr>
              <w:pStyle w:val="TableHeading"/>
              <w:jc w:val="center"/>
            </w:pPr>
          </w:p>
        </w:tc>
        <w:tc>
          <w:tcPr>
            <w:tcW w:w="1194" w:type="pct"/>
            <w:tcBorders>
              <w:top w:val="single" w:sz="4" w:space="0" w:color="auto"/>
              <w:left w:val="nil"/>
              <w:bottom w:val="single" w:sz="4" w:space="0" w:color="auto"/>
            </w:tcBorders>
          </w:tcPr>
          <w:p w14:paraId="57B2397B" w14:textId="77777777" w:rsidR="00686EED" w:rsidRPr="00490FBB" w:rsidRDefault="00686EED" w:rsidP="00C40CC4">
            <w:pPr>
              <w:pStyle w:val="TableHeading"/>
              <w:ind w:left="-75" w:right="-127"/>
              <w:jc w:val="center"/>
            </w:pPr>
            <w:r w:rsidRPr="00490FBB">
              <w:t>Comparative effectiveness</w:t>
            </w:r>
          </w:p>
        </w:tc>
        <w:tc>
          <w:tcPr>
            <w:tcW w:w="937" w:type="pct"/>
            <w:tcBorders>
              <w:top w:val="single" w:sz="4" w:space="0" w:color="auto"/>
              <w:left w:val="nil"/>
              <w:bottom w:val="single" w:sz="4" w:space="0" w:color="auto"/>
            </w:tcBorders>
          </w:tcPr>
          <w:p w14:paraId="6B53FB6C" w14:textId="77777777" w:rsidR="00686EED" w:rsidRPr="00490FBB" w:rsidRDefault="00686EED" w:rsidP="00C40CC4">
            <w:pPr>
              <w:pStyle w:val="TableHeading"/>
              <w:jc w:val="center"/>
            </w:pPr>
          </w:p>
        </w:tc>
        <w:tc>
          <w:tcPr>
            <w:tcW w:w="769" w:type="pct"/>
            <w:tcBorders>
              <w:top w:val="single" w:sz="4" w:space="0" w:color="auto"/>
              <w:left w:val="nil"/>
              <w:bottom w:val="single" w:sz="4" w:space="0" w:color="auto"/>
              <w:right w:val="single" w:sz="4" w:space="0" w:color="auto"/>
            </w:tcBorders>
          </w:tcPr>
          <w:p w14:paraId="0FE152FA" w14:textId="77777777" w:rsidR="00686EED" w:rsidRPr="00490FBB" w:rsidRDefault="00686EED" w:rsidP="00C40CC4">
            <w:pPr>
              <w:pStyle w:val="TableHeading"/>
              <w:jc w:val="center"/>
            </w:pPr>
          </w:p>
        </w:tc>
      </w:tr>
      <w:bookmarkEnd w:id="24"/>
      <w:tr w:rsidR="00686EED" w:rsidRPr="00490FBB" w14:paraId="78A8F3F1" w14:textId="77777777" w:rsidTr="00CC7321">
        <w:trPr>
          <w:tblHeader/>
        </w:trPr>
        <w:tc>
          <w:tcPr>
            <w:tcW w:w="1079" w:type="pct"/>
            <w:vMerge/>
            <w:tcBorders>
              <w:left w:val="single" w:sz="4" w:space="0" w:color="auto"/>
              <w:bottom w:val="single" w:sz="4" w:space="0" w:color="auto"/>
              <w:right w:val="single" w:sz="4" w:space="0" w:color="auto"/>
            </w:tcBorders>
          </w:tcPr>
          <w:p w14:paraId="6E00D947" w14:textId="57BEC7DE" w:rsidR="00686EED" w:rsidRPr="00490FBB" w:rsidRDefault="00686EED" w:rsidP="00C40CC4">
            <w:pPr>
              <w:pStyle w:val="TableHeading"/>
            </w:pPr>
          </w:p>
        </w:tc>
        <w:tc>
          <w:tcPr>
            <w:tcW w:w="1021" w:type="pct"/>
            <w:tcBorders>
              <w:left w:val="single" w:sz="4" w:space="0" w:color="auto"/>
              <w:bottom w:val="single" w:sz="4" w:space="0" w:color="auto"/>
              <w:right w:val="single" w:sz="4" w:space="0" w:color="auto"/>
            </w:tcBorders>
          </w:tcPr>
          <w:p w14:paraId="319C788C" w14:textId="77777777" w:rsidR="00686EED" w:rsidRPr="00490FBB" w:rsidRDefault="00686EED" w:rsidP="00C40CC4">
            <w:pPr>
              <w:pStyle w:val="TableHeading"/>
              <w:jc w:val="center"/>
            </w:pPr>
            <w:r w:rsidRPr="00490FBB">
              <w:t>Inferior</w:t>
            </w:r>
          </w:p>
        </w:tc>
        <w:tc>
          <w:tcPr>
            <w:tcW w:w="1194" w:type="pct"/>
            <w:tcBorders>
              <w:top w:val="single" w:sz="4" w:space="0" w:color="auto"/>
              <w:left w:val="single" w:sz="4" w:space="0" w:color="auto"/>
              <w:bottom w:val="single" w:sz="4" w:space="0" w:color="auto"/>
              <w:right w:val="single" w:sz="4" w:space="0" w:color="auto"/>
            </w:tcBorders>
          </w:tcPr>
          <w:p w14:paraId="5AC96128" w14:textId="77777777" w:rsidR="00686EED" w:rsidRPr="00490FBB" w:rsidRDefault="00686EED" w:rsidP="00C40CC4">
            <w:pPr>
              <w:pStyle w:val="TableHeading"/>
              <w:jc w:val="center"/>
            </w:pPr>
            <w:r w:rsidRPr="00490FBB">
              <w:t>Uncertain</w:t>
            </w:r>
            <w:r w:rsidRPr="00490FBB">
              <w:rPr>
                <w:vertAlign w:val="superscript"/>
              </w:rPr>
              <w:t>a</w:t>
            </w:r>
          </w:p>
        </w:tc>
        <w:tc>
          <w:tcPr>
            <w:tcW w:w="937" w:type="pct"/>
            <w:tcBorders>
              <w:top w:val="single" w:sz="4" w:space="0" w:color="auto"/>
              <w:left w:val="single" w:sz="4" w:space="0" w:color="auto"/>
              <w:bottom w:val="single" w:sz="4" w:space="0" w:color="auto"/>
              <w:right w:val="single" w:sz="4" w:space="0" w:color="auto"/>
            </w:tcBorders>
          </w:tcPr>
          <w:p w14:paraId="7AA1349D" w14:textId="4BA1ADFE" w:rsidR="00686EED" w:rsidRPr="00490FBB" w:rsidRDefault="00686EED" w:rsidP="00C40CC4">
            <w:pPr>
              <w:pStyle w:val="TableHeading"/>
              <w:jc w:val="center"/>
            </w:pPr>
            <w:r w:rsidRPr="00490FBB">
              <w:t>Noninferior</w:t>
            </w:r>
            <w:r w:rsidRPr="00490FBB">
              <w:rPr>
                <w:vertAlign w:val="superscript"/>
              </w:rPr>
              <w:t>b</w:t>
            </w:r>
          </w:p>
        </w:tc>
        <w:tc>
          <w:tcPr>
            <w:tcW w:w="769" w:type="pct"/>
            <w:tcBorders>
              <w:top w:val="single" w:sz="4" w:space="0" w:color="auto"/>
              <w:left w:val="single" w:sz="4" w:space="0" w:color="auto"/>
              <w:bottom w:val="single" w:sz="4" w:space="0" w:color="auto"/>
              <w:right w:val="single" w:sz="4" w:space="0" w:color="auto"/>
            </w:tcBorders>
          </w:tcPr>
          <w:p w14:paraId="156C5942" w14:textId="77777777" w:rsidR="00686EED" w:rsidRPr="00490FBB" w:rsidRDefault="00686EED" w:rsidP="00C40CC4">
            <w:pPr>
              <w:pStyle w:val="TableHeading"/>
              <w:jc w:val="center"/>
            </w:pPr>
            <w:r w:rsidRPr="00490FBB">
              <w:t>Superior</w:t>
            </w:r>
          </w:p>
        </w:tc>
      </w:tr>
      <w:tr w:rsidR="000939E0" w:rsidRPr="00490FBB" w14:paraId="1E111DC3" w14:textId="77777777" w:rsidTr="00CC7321">
        <w:tc>
          <w:tcPr>
            <w:tcW w:w="1079" w:type="pct"/>
            <w:tcBorders>
              <w:top w:val="single" w:sz="4" w:space="0" w:color="auto"/>
              <w:left w:val="single" w:sz="4" w:space="0" w:color="auto"/>
              <w:bottom w:val="single" w:sz="4" w:space="0" w:color="auto"/>
              <w:right w:val="single" w:sz="4" w:space="0" w:color="auto"/>
            </w:tcBorders>
            <w:vAlign w:val="center"/>
          </w:tcPr>
          <w:p w14:paraId="04A362E2" w14:textId="77777777" w:rsidR="000939E0" w:rsidRPr="00490FBB" w:rsidRDefault="000939E0" w:rsidP="00C40CC4">
            <w:pPr>
              <w:pStyle w:val="Tabletext"/>
              <w:keepNext/>
            </w:pPr>
            <w:r w:rsidRPr="00490FBB">
              <w:t>Inferior</w:t>
            </w:r>
          </w:p>
        </w:tc>
        <w:tc>
          <w:tcPr>
            <w:tcW w:w="1021" w:type="pct"/>
            <w:tcBorders>
              <w:top w:val="single" w:sz="4" w:space="0" w:color="auto"/>
              <w:left w:val="single" w:sz="4" w:space="0" w:color="auto"/>
              <w:bottom w:val="single" w:sz="4" w:space="0" w:color="auto"/>
              <w:right w:val="single" w:sz="4" w:space="0" w:color="auto"/>
            </w:tcBorders>
            <w:vAlign w:val="center"/>
          </w:tcPr>
          <w:p w14:paraId="0B15352C" w14:textId="77777777" w:rsidR="000939E0" w:rsidRPr="00490FBB" w:rsidRDefault="000939E0" w:rsidP="00C40CC4">
            <w:pPr>
              <w:pStyle w:val="Tabletext"/>
              <w:keepNext/>
            </w:pPr>
            <w:r w:rsidRPr="00490FB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7A58DE2" w14:textId="77777777" w:rsidR="000939E0" w:rsidRPr="00490FBB" w:rsidRDefault="000939E0" w:rsidP="00C40CC4">
            <w:pPr>
              <w:pStyle w:val="Tabletext"/>
              <w:keepNext/>
            </w:pPr>
            <w:r w:rsidRPr="00490FBB">
              <w:t>Health forgone possible: need other supportive factors</w:t>
            </w:r>
          </w:p>
        </w:tc>
        <w:tc>
          <w:tcPr>
            <w:tcW w:w="937" w:type="pct"/>
            <w:tcBorders>
              <w:top w:val="single" w:sz="4" w:space="0" w:color="auto"/>
              <w:left w:val="single" w:sz="4" w:space="0" w:color="auto"/>
              <w:bottom w:val="single" w:sz="4" w:space="0" w:color="auto"/>
              <w:right w:val="single" w:sz="4" w:space="0" w:color="auto"/>
            </w:tcBorders>
            <w:vAlign w:val="center"/>
          </w:tcPr>
          <w:p w14:paraId="3540FA15" w14:textId="77777777" w:rsidR="000939E0" w:rsidRPr="00490FBB" w:rsidRDefault="000939E0" w:rsidP="00C40CC4">
            <w:pPr>
              <w:pStyle w:val="Tabletext"/>
              <w:keepNext/>
            </w:pPr>
            <w:r w:rsidRPr="00490FBB">
              <w:t>Health forgone: need other supportive factors</w:t>
            </w:r>
          </w:p>
        </w:tc>
        <w:tc>
          <w:tcPr>
            <w:tcW w:w="769" w:type="pct"/>
            <w:tcBorders>
              <w:top w:val="single" w:sz="4" w:space="0" w:color="auto"/>
              <w:left w:val="single" w:sz="4" w:space="0" w:color="auto"/>
              <w:bottom w:val="single" w:sz="4" w:space="0" w:color="auto"/>
              <w:right w:val="single" w:sz="4" w:space="0" w:color="auto"/>
            </w:tcBorders>
            <w:vAlign w:val="center"/>
          </w:tcPr>
          <w:p w14:paraId="18C6CF73" w14:textId="77777777" w:rsidR="000939E0" w:rsidRPr="00490FBB" w:rsidRDefault="000939E0" w:rsidP="00C40CC4">
            <w:pPr>
              <w:pStyle w:val="Tabletext"/>
              <w:keepNext/>
            </w:pPr>
            <w:r w:rsidRPr="00490FBB">
              <w:t>? Likely CUA</w:t>
            </w:r>
          </w:p>
        </w:tc>
      </w:tr>
      <w:tr w:rsidR="000939E0" w:rsidRPr="00490FBB" w14:paraId="463C2753" w14:textId="77777777" w:rsidTr="00CC7321">
        <w:tc>
          <w:tcPr>
            <w:tcW w:w="1079" w:type="pct"/>
            <w:tcBorders>
              <w:top w:val="single" w:sz="4" w:space="0" w:color="auto"/>
              <w:left w:val="single" w:sz="4" w:space="0" w:color="auto"/>
              <w:bottom w:val="single" w:sz="4" w:space="0" w:color="auto"/>
              <w:right w:val="single" w:sz="4" w:space="0" w:color="auto"/>
            </w:tcBorders>
            <w:vAlign w:val="center"/>
          </w:tcPr>
          <w:p w14:paraId="11AF710C" w14:textId="77777777" w:rsidR="000939E0" w:rsidRPr="00490FBB" w:rsidRDefault="000939E0" w:rsidP="00C40CC4">
            <w:pPr>
              <w:pStyle w:val="Tabletext"/>
              <w:keepNext/>
            </w:pPr>
            <w:r w:rsidRPr="00490FBB">
              <w:t>Uncertain</w:t>
            </w:r>
            <w:r w:rsidRPr="00490FBB">
              <w:rPr>
                <w:vertAlign w:val="superscript"/>
              </w:rPr>
              <w:t>a</w:t>
            </w:r>
          </w:p>
        </w:tc>
        <w:tc>
          <w:tcPr>
            <w:tcW w:w="1021" w:type="pct"/>
            <w:tcBorders>
              <w:top w:val="single" w:sz="4" w:space="0" w:color="auto"/>
              <w:left w:val="single" w:sz="4" w:space="0" w:color="auto"/>
              <w:bottom w:val="single" w:sz="4" w:space="0" w:color="auto"/>
              <w:right w:val="single" w:sz="4" w:space="0" w:color="auto"/>
            </w:tcBorders>
            <w:vAlign w:val="center"/>
          </w:tcPr>
          <w:p w14:paraId="12909D79" w14:textId="77777777" w:rsidR="000939E0" w:rsidRPr="00490FBB" w:rsidRDefault="000939E0" w:rsidP="00C40CC4">
            <w:pPr>
              <w:pStyle w:val="Tabletext"/>
              <w:keepNext/>
            </w:pPr>
            <w:r w:rsidRPr="00490FBB">
              <w:t>Health forgone possible: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50F5E2B4" w14:textId="77777777" w:rsidR="000939E0" w:rsidRPr="00490FBB" w:rsidRDefault="000939E0" w:rsidP="00C40CC4">
            <w:pPr>
              <w:pStyle w:val="Tabletext"/>
              <w:keepNext/>
            </w:pPr>
            <w:r w:rsidRPr="00490FBB">
              <w:t>?</w:t>
            </w:r>
          </w:p>
        </w:tc>
        <w:tc>
          <w:tcPr>
            <w:tcW w:w="937" w:type="pct"/>
            <w:tcBorders>
              <w:top w:val="single" w:sz="4" w:space="0" w:color="auto"/>
              <w:left w:val="single" w:sz="4" w:space="0" w:color="auto"/>
              <w:bottom w:val="single" w:sz="4" w:space="0" w:color="auto"/>
              <w:right w:val="single" w:sz="4" w:space="0" w:color="auto"/>
            </w:tcBorders>
            <w:vAlign w:val="center"/>
          </w:tcPr>
          <w:p w14:paraId="0406F2A1" w14:textId="77777777" w:rsidR="000939E0" w:rsidRPr="00490FBB" w:rsidRDefault="000939E0" w:rsidP="00C40CC4">
            <w:pPr>
              <w:pStyle w:val="Tabletext"/>
              <w:keepNext/>
            </w:pPr>
            <w:r w:rsidRPr="00490FBB">
              <w:t>?</w:t>
            </w:r>
          </w:p>
        </w:tc>
        <w:tc>
          <w:tcPr>
            <w:tcW w:w="769" w:type="pct"/>
            <w:tcBorders>
              <w:top w:val="single" w:sz="4" w:space="0" w:color="auto"/>
              <w:left w:val="single" w:sz="4" w:space="0" w:color="auto"/>
              <w:bottom w:val="single" w:sz="4" w:space="0" w:color="auto"/>
              <w:right w:val="single" w:sz="4" w:space="0" w:color="auto"/>
            </w:tcBorders>
            <w:vAlign w:val="center"/>
          </w:tcPr>
          <w:p w14:paraId="1996B8CC" w14:textId="77777777" w:rsidR="000939E0" w:rsidRPr="00490FBB" w:rsidRDefault="000939E0" w:rsidP="00C40CC4">
            <w:pPr>
              <w:pStyle w:val="Tabletext"/>
              <w:keepNext/>
            </w:pPr>
            <w:r w:rsidRPr="00490FBB">
              <w:t>? Likely CEA/CUA</w:t>
            </w:r>
          </w:p>
        </w:tc>
      </w:tr>
      <w:tr w:rsidR="000939E0" w:rsidRPr="00490FBB" w14:paraId="47335FF9" w14:textId="77777777" w:rsidTr="006B697F">
        <w:tc>
          <w:tcPr>
            <w:tcW w:w="1079" w:type="pct"/>
            <w:tcBorders>
              <w:top w:val="single" w:sz="4" w:space="0" w:color="auto"/>
              <w:left w:val="single" w:sz="4" w:space="0" w:color="auto"/>
              <w:bottom w:val="single" w:sz="4" w:space="0" w:color="auto"/>
              <w:right w:val="single" w:sz="4" w:space="0" w:color="auto"/>
            </w:tcBorders>
            <w:vAlign w:val="center"/>
          </w:tcPr>
          <w:p w14:paraId="0CBD845B" w14:textId="149CC18B" w:rsidR="000939E0" w:rsidRPr="00490FBB" w:rsidRDefault="000939E0" w:rsidP="00C40CC4">
            <w:pPr>
              <w:pStyle w:val="Tabletext"/>
              <w:keepNext/>
            </w:pPr>
            <w:r w:rsidRPr="00490FBB">
              <w:t>Noninferior</w:t>
            </w:r>
            <w:r w:rsidRPr="00490FBB">
              <w:rPr>
                <w:vertAlign w:val="superscript"/>
              </w:rPr>
              <w:t>b</w:t>
            </w:r>
          </w:p>
        </w:tc>
        <w:tc>
          <w:tcPr>
            <w:tcW w:w="1021" w:type="pct"/>
            <w:tcBorders>
              <w:top w:val="single" w:sz="4" w:space="0" w:color="auto"/>
              <w:left w:val="single" w:sz="4" w:space="0" w:color="auto"/>
              <w:bottom w:val="single" w:sz="4" w:space="0" w:color="auto"/>
              <w:right w:val="single" w:sz="4" w:space="0" w:color="auto"/>
            </w:tcBorders>
            <w:vAlign w:val="center"/>
          </w:tcPr>
          <w:p w14:paraId="5D8B4B6F" w14:textId="77777777" w:rsidR="000939E0" w:rsidRPr="00490FBB" w:rsidRDefault="000939E0" w:rsidP="00C40CC4">
            <w:pPr>
              <w:pStyle w:val="Tabletext"/>
              <w:keepNext/>
            </w:pPr>
            <w:r w:rsidRPr="00490FBB">
              <w:t>Health forgone: need other supportive factors</w:t>
            </w:r>
          </w:p>
        </w:tc>
        <w:tc>
          <w:tcPr>
            <w:tcW w:w="1194" w:type="pct"/>
            <w:tcBorders>
              <w:top w:val="single" w:sz="4" w:space="0" w:color="auto"/>
              <w:left w:val="single" w:sz="4" w:space="0" w:color="auto"/>
              <w:bottom w:val="single" w:sz="4" w:space="0" w:color="auto"/>
              <w:right w:val="single" w:sz="4" w:space="0" w:color="auto"/>
            </w:tcBorders>
            <w:vAlign w:val="center"/>
          </w:tcPr>
          <w:p w14:paraId="43D9B9E4" w14:textId="77777777" w:rsidR="000939E0" w:rsidRPr="00490FBB" w:rsidRDefault="000939E0" w:rsidP="00C40CC4">
            <w:pPr>
              <w:pStyle w:val="Tabletext"/>
              <w:keepNext/>
            </w:pPr>
            <w:r w:rsidRPr="00490FBB">
              <w:t>?</w:t>
            </w:r>
          </w:p>
        </w:tc>
        <w:tc>
          <w:tcPr>
            <w:tcW w:w="937" w:type="pct"/>
            <w:tcBorders>
              <w:top w:val="single" w:sz="4" w:space="0" w:color="auto"/>
              <w:left w:val="single" w:sz="4" w:space="0" w:color="auto"/>
              <w:bottom w:val="single" w:sz="4" w:space="0" w:color="auto"/>
              <w:right w:val="single" w:sz="4" w:space="0" w:color="auto"/>
            </w:tcBorders>
            <w:vAlign w:val="center"/>
          </w:tcPr>
          <w:p w14:paraId="12BD2E22" w14:textId="77777777" w:rsidR="000939E0" w:rsidRPr="00490FBB" w:rsidRDefault="000939E0" w:rsidP="00C40CC4">
            <w:pPr>
              <w:pStyle w:val="Tabletext"/>
              <w:keepNext/>
            </w:pPr>
            <w:r w:rsidRPr="00490FBB">
              <w:t>CMA</w:t>
            </w:r>
          </w:p>
        </w:tc>
        <w:tc>
          <w:tcPr>
            <w:tcW w:w="7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9F7AB5" w14:textId="77777777" w:rsidR="000939E0" w:rsidRPr="006B697F" w:rsidRDefault="000939E0" w:rsidP="00C40CC4">
            <w:pPr>
              <w:pStyle w:val="Tabletext"/>
              <w:keepNext/>
              <w:rPr>
                <w:b/>
                <w:bCs/>
              </w:rPr>
            </w:pPr>
            <w:r w:rsidRPr="006B697F">
              <w:rPr>
                <w:b/>
                <w:bCs/>
              </w:rPr>
              <w:t>CEA/CUA</w:t>
            </w:r>
          </w:p>
        </w:tc>
      </w:tr>
      <w:tr w:rsidR="000939E0" w:rsidRPr="00490FBB" w14:paraId="41AB5715" w14:textId="77777777" w:rsidTr="006B697F">
        <w:tc>
          <w:tcPr>
            <w:tcW w:w="1079" w:type="pct"/>
            <w:tcBorders>
              <w:top w:val="single" w:sz="4" w:space="0" w:color="auto"/>
              <w:left w:val="single" w:sz="4" w:space="0" w:color="auto"/>
              <w:bottom w:val="single" w:sz="4" w:space="0" w:color="auto"/>
              <w:right w:val="single" w:sz="4" w:space="0" w:color="auto"/>
            </w:tcBorders>
            <w:vAlign w:val="center"/>
          </w:tcPr>
          <w:p w14:paraId="18F5B4CB" w14:textId="77777777" w:rsidR="000939E0" w:rsidRPr="00490FBB" w:rsidRDefault="000939E0" w:rsidP="00C40CC4">
            <w:pPr>
              <w:pStyle w:val="Tabletext"/>
              <w:keepNext/>
            </w:pPr>
            <w:r w:rsidRPr="00490FBB">
              <w:t>Superior</w:t>
            </w:r>
          </w:p>
        </w:tc>
        <w:tc>
          <w:tcPr>
            <w:tcW w:w="1021" w:type="pct"/>
            <w:tcBorders>
              <w:top w:val="single" w:sz="4" w:space="0" w:color="auto"/>
              <w:left w:val="single" w:sz="4" w:space="0" w:color="auto"/>
              <w:bottom w:val="single" w:sz="4" w:space="0" w:color="auto"/>
              <w:right w:val="single" w:sz="4" w:space="0" w:color="auto"/>
            </w:tcBorders>
            <w:vAlign w:val="center"/>
          </w:tcPr>
          <w:p w14:paraId="2525815A" w14:textId="77777777" w:rsidR="000939E0" w:rsidRPr="00490FBB" w:rsidRDefault="000939E0" w:rsidP="00C40CC4">
            <w:pPr>
              <w:pStyle w:val="Tabletext"/>
              <w:keepNext/>
            </w:pPr>
            <w:r w:rsidRPr="00490FBB">
              <w:t>? Likely CUA</w:t>
            </w:r>
          </w:p>
        </w:tc>
        <w:tc>
          <w:tcPr>
            <w:tcW w:w="1194" w:type="pct"/>
            <w:tcBorders>
              <w:top w:val="single" w:sz="4" w:space="0" w:color="auto"/>
              <w:left w:val="single" w:sz="4" w:space="0" w:color="auto"/>
              <w:bottom w:val="single" w:sz="4" w:space="0" w:color="auto"/>
              <w:right w:val="single" w:sz="4" w:space="0" w:color="auto"/>
            </w:tcBorders>
            <w:vAlign w:val="center"/>
          </w:tcPr>
          <w:p w14:paraId="2AE0169D" w14:textId="77777777" w:rsidR="000939E0" w:rsidRPr="00490FBB" w:rsidRDefault="000939E0" w:rsidP="00C40CC4">
            <w:pPr>
              <w:pStyle w:val="Tabletext"/>
              <w:keepNext/>
            </w:pPr>
            <w:r w:rsidRPr="00490FBB">
              <w:t>? Likely CEA/CUA</w:t>
            </w:r>
          </w:p>
        </w:tc>
        <w:tc>
          <w:tcPr>
            <w:tcW w:w="937" w:type="pct"/>
            <w:tcBorders>
              <w:top w:val="single" w:sz="4" w:space="0" w:color="auto"/>
              <w:left w:val="single" w:sz="4" w:space="0" w:color="auto"/>
              <w:bottom w:val="single" w:sz="4" w:space="0" w:color="auto"/>
              <w:right w:val="single" w:sz="4" w:space="0" w:color="auto"/>
            </w:tcBorders>
            <w:vAlign w:val="center"/>
          </w:tcPr>
          <w:p w14:paraId="71D0525C" w14:textId="77777777" w:rsidR="000939E0" w:rsidRPr="00490FBB" w:rsidRDefault="000939E0" w:rsidP="00C40CC4">
            <w:pPr>
              <w:pStyle w:val="Tabletext"/>
              <w:keepNext/>
            </w:pPr>
            <w:r w:rsidRPr="00490FBB">
              <w:t>CEA/CUA</w:t>
            </w:r>
          </w:p>
        </w:tc>
        <w:tc>
          <w:tcPr>
            <w:tcW w:w="7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F47EA5" w14:textId="77777777" w:rsidR="000939E0" w:rsidRPr="006B697F" w:rsidRDefault="000939E0" w:rsidP="00C40CC4">
            <w:pPr>
              <w:pStyle w:val="Tabletext"/>
              <w:keepNext/>
            </w:pPr>
            <w:r w:rsidRPr="006B697F">
              <w:t>CEA/CUA</w:t>
            </w:r>
          </w:p>
        </w:tc>
      </w:tr>
    </w:tbl>
    <w:p w14:paraId="6538A3FB" w14:textId="77777777" w:rsidR="000939E0" w:rsidRPr="00490FBB" w:rsidRDefault="000939E0" w:rsidP="00C40CC4">
      <w:pPr>
        <w:pStyle w:val="Tablenotes"/>
        <w:keepNext/>
        <w:spacing w:before="120"/>
        <w:rPr>
          <w:szCs w:val="18"/>
        </w:rPr>
      </w:pPr>
      <w:r w:rsidRPr="00490FBB">
        <w:rPr>
          <w:szCs w:val="18"/>
        </w:rPr>
        <w:t>CEA=cost-effectiveness analysis; CMA=cost-minimisation analysis; CUA=cost-utility analysis</w:t>
      </w:r>
    </w:p>
    <w:p w14:paraId="48F7CED7" w14:textId="77777777" w:rsidR="000939E0" w:rsidRPr="00490FBB" w:rsidRDefault="000939E0" w:rsidP="00C40CC4">
      <w:pPr>
        <w:pStyle w:val="Tablenotes"/>
        <w:keepNext/>
        <w:rPr>
          <w:b/>
          <w:szCs w:val="18"/>
        </w:rPr>
      </w:pPr>
      <w:r w:rsidRPr="00490FBB">
        <w:rPr>
          <w:szCs w:val="18"/>
        </w:rPr>
        <w:t xml:space="preserve">? = reflect uncertainties and any identified health trade-offs in the economic evaluation, as a minimum in a cost-consequences analysis </w:t>
      </w:r>
    </w:p>
    <w:p w14:paraId="65C6F534" w14:textId="77777777" w:rsidR="000939E0" w:rsidRPr="00490FBB" w:rsidRDefault="000939E0" w:rsidP="00C40CC4">
      <w:pPr>
        <w:pStyle w:val="Tablenotes"/>
        <w:keepNext/>
        <w:rPr>
          <w:b/>
          <w:szCs w:val="18"/>
        </w:rPr>
      </w:pPr>
      <w:r w:rsidRPr="00490FBB">
        <w:rPr>
          <w:szCs w:val="18"/>
          <w:vertAlign w:val="superscript"/>
        </w:rPr>
        <w:t>a</w:t>
      </w:r>
      <w:r w:rsidRPr="00490FBB">
        <w:rPr>
          <w:szCs w:val="18"/>
        </w:rPr>
        <w:t> ‘Uncertainty’ covers concepts such as inadequate minimisation of important sources of bias, lack of statistical significance in an underpowered trial, detecting clinically unimportant therapeutic differences, inconsistent results across trials, and trade-offs within the comparative effectiveness and/or the comparative safety considerations</w:t>
      </w:r>
    </w:p>
    <w:p w14:paraId="1CB9C9B3" w14:textId="5CB9A3EC" w:rsidR="000939E0" w:rsidRDefault="000939E0" w:rsidP="000939E0">
      <w:pPr>
        <w:pStyle w:val="Tablenotes"/>
        <w:rPr>
          <w:szCs w:val="18"/>
        </w:rPr>
      </w:pPr>
      <w:r w:rsidRPr="00490FBB">
        <w:rPr>
          <w:szCs w:val="18"/>
          <w:vertAlign w:val="superscript"/>
        </w:rPr>
        <w:t>b</w:t>
      </w:r>
      <w:r w:rsidRPr="00490FBB">
        <w:rPr>
          <w:szCs w:val="18"/>
        </w:rPr>
        <w:t> An adequate assessment of ‘noninferiority’ is the preferred basis for demonstrating equivalence</w:t>
      </w:r>
    </w:p>
    <w:p w14:paraId="1407C73F" w14:textId="370B7F1B" w:rsidR="00072E81" w:rsidRDefault="00072E81" w:rsidP="00FC5E88">
      <w:r>
        <w:t>The</w:t>
      </w:r>
      <w:r w:rsidR="00AD4DD6">
        <w:t xml:space="preserve">re have been numerous trials of BNP/NT-proBNP directed </w:t>
      </w:r>
      <w:r w:rsidR="00A73E0A">
        <w:t xml:space="preserve">treatment for HF with </w:t>
      </w:r>
      <w:r w:rsidR="008E613D">
        <w:t>mixed results leading to uncertain conclusion</w:t>
      </w:r>
      <w:r w:rsidR="00904663">
        <w:t>s</w:t>
      </w:r>
      <w:r w:rsidR="008E613D">
        <w:t xml:space="preserve"> regarding the clinical effectiveness of the approach </w:t>
      </w:r>
      <w:r w:rsidR="0017563A" w:rsidRPr="0017563A">
        <w:rPr>
          <w:rFonts w:cs="Calibri"/>
        </w:rPr>
        <w:t>(McLellan et al. 2016)</w:t>
      </w:r>
      <w:r w:rsidR="00F112BB">
        <w:t>. T</w:t>
      </w:r>
      <w:r w:rsidR="0017563A">
        <w:t>he</w:t>
      </w:r>
      <w:r w:rsidR="00396DBF">
        <w:t xml:space="preserve"> application is </w:t>
      </w:r>
      <w:r w:rsidR="00F112BB">
        <w:t xml:space="preserve">restricted to post-discharge treatment optimisation and </w:t>
      </w:r>
      <w:r w:rsidR="00E1193F">
        <w:t>the pivotal evidence is the</w:t>
      </w:r>
      <w:r>
        <w:t xml:space="preserve"> </w:t>
      </w:r>
      <w:r w:rsidR="00396DBF">
        <w:t>STRONG-HF trial</w:t>
      </w:r>
      <w:r w:rsidR="00E1193F">
        <w:t xml:space="preserve">. However, the STRONG-HF trial </w:t>
      </w:r>
      <w:r w:rsidR="000B182F">
        <w:t>compared high-intensity care</w:t>
      </w:r>
      <w:r w:rsidR="00D8641E">
        <w:t>,</w:t>
      </w:r>
      <w:r w:rsidR="000B182F">
        <w:t xml:space="preserve"> </w:t>
      </w:r>
      <w:r w:rsidR="00405D3A">
        <w:t xml:space="preserve">which </w:t>
      </w:r>
      <w:r w:rsidR="00D8641E">
        <w:t xml:space="preserve">included NT-proBNP measurement, to usual care. The </w:t>
      </w:r>
      <w:r w:rsidR="00C830A6">
        <w:t xml:space="preserve">usual care arm of the trial </w:t>
      </w:r>
      <w:r w:rsidR="00B175F4">
        <w:t xml:space="preserve">had </w:t>
      </w:r>
      <w:r w:rsidR="0052005E">
        <w:t>a mean of 1 follow-up visit in the first 90-days of the study</w:t>
      </w:r>
      <w:r w:rsidR="006A0827">
        <w:t>. The assessment will need to</w:t>
      </w:r>
      <w:r w:rsidR="00BD4B2A">
        <w:t xml:space="preserve"> consider the applicability of the comparator arm of the trial to usual care in Australia</w:t>
      </w:r>
      <w:r w:rsidR="000F7D8C">
        <w:t xml:space="preserve"> and </w:t>
      </w:r>
      <w:r w:rsidR="00546585">
        <w:t>the impact of NT-proBNP testing independently of intensified post-discharge follow-up.</w:t>
      </w:r>
      <w:r w:rsidR="00C02D37">
        <w:t xml:space="preserve"> </w:t>
      </w:r>
      <w:r w:rsidR="00B175F4">
        <w:t xml:space="preserve"> </w:t>
      </w:r>
    </w:p>
    <w:p w14:paraId="7B366356" w14:textId="0C0BAAB2" w:rsidR="00FC5E88" w:rsidRPr="00490FBB" w:rsidRDefault="00875A5A" w:rsidP="00FC5E88">
      <w:r>
        <w:t xml:space="preserve">An economic analysis of the STRONG-HF trial </w:t>
      </w:r>
      <w:r w:rsidR="00774135">
        <w:t xml:space="preserve">from a United States healthcare perspective </w:t>
      </w:r>
      <w:r>
        <w:t xml:space="preserve">has been published </w:t>
      </w:r>
      <w:r w:rsidR="00774135" w:rsidRPr="3EA6284F">
        <w:rPr>
          <w:rFonts w:cs="Calibri"/>
        </w:rPr>
        <w:t>(Dixit et al. 2023)</w:t>
      </w:r>
      <w:r w:rsidR="004014D8">
        <w:t>.</w:t>
      </w:r>
      <w:r w:rsidR="00D25C68">
        <w:t xml:space="preserve"> The </w:t>
      </w:r>
      <w:r w:rsidR="007A37CD">
        <w:t>authors</w:t>
      </w:r>
      <w:r w:rsidR="00D25C68">
        <w:t xml:space="preserve"> reported th</w:t>
      </w:r>
      <w:r w:rsidR="00E86549">
        <w:t xml:space="preserve">at </w:t>
      </w:r>
      <w:r w:rsidR="0013076C">
        <w:t>an intensive GDMT optimisation program was extremely cost-effective with incremental cost-effectiveness ratios &lt;$10,000 per QALY</w:t>
      </w:r>
      <w:r w:rsidR="00AF5F81">
        <w:t xml:space="preserve">. The analysis </w:t>
      </w:r>
      <w:r w:rsidR="00D8552C">
        <w:t xml:space="preserve">considered the impact of intensive GDMT </w:t>
      </w:r>
      <w:r w:rsidR="00072DC6">
        <w:t xml:space="preserve">optimisation </w:t>
      </w:r>
      <w:r w:rsidR="00D8552C">
        <w:t xml:space="preserve">and not the impact of repeat NT-proBNP testing. </w:t>
      </w:r>
    </w:p>
    <w:p w14:paraId="36C4BE39" w14:textId="63E444FB" w:rsidR="00D73332" w:rsidRDefault="00242E57" w:rsidP="008F2A32">
      <w:pPr>
        <w:spacing w:after="0" w:line="257" w:lineRule="auto"/>
      </w:pPr>
      <w:r>
        <w:rPr>
          <w:rFonts w:cs="Calibri"/>
          <w:i/>
          <w:iCs/>
        </w:rPr>
        <w:t xml:space="preserve">PASC agreed that a cost-utility analysis is appropriate, based on the applicant’s claim of superior effectiveness and non-inferior safety. </w:t>
      </w:r>
    </w:p>
    <w:p w14:paraId="047E4738" w14:textId="058C6D0C" w:rsidR="00D73332" w:rsidRDefault="00D73332" w:rsidP="00DE762F">
      <w:pPr>
        <w:pStyle w:val="Heading2"/>
      </w:pPr>
      <w:r>
        <w:t>Propos</w:t>
      </w:r>
      <w:r w:rsidR="000D1FCF">
        <w:t>al for public funding</w:t>
      </w:r>
    </w:p>
    <w:p w14:paraId="7F708290" w14:textId="6C0AA896" w:rsidR="00442C09" w:rsidRDefault="0071466C" w:rsidP="0071466C">
      <w:r>
        <w:t>The applicant’s proposed</w:t>
      </w:r>
      <w:r w:rsidR="00ED3D86">
        <w:t xml:space="preserve"> new</w:t>
      </w:r>
      <w:r>
        <w:t xml:space="preserve"> MBS item </w:t>
      </w:r>
      <w:r w:rsidR="001007E3">
        <w:t xml:space="preserve">is presented in </w:t>
      </w:r>
      <w:r w:rsidR="001007E3">
        <w:fldChar w:fldCharType="begin"/>
      </w:r>
      <w:r w:rsidR="001007E3">
        <w:instrText xml:space="preserve"> REF _Ref233554874 \h </w:instrText>
      </w:r>
      <w:r w:rsidR="001007E3">
        <w:fldChar w:fldCharType="separate"/>
      </w:r>
      <w:r w:rsidR="00E10360">
        <w:t xml:space="preserve">Table </w:t>
      </w:r>
      <w:r w:rsidR="00E10360">
        <w:rPr>
          <w:noProof/>
        </w:rPr>
        <w:t>11</w:t>
      </w:r>
      <w:r w:rsidR="001007E3">
        <w:fldChar w:fldCharType="end"/>
      </w:r>
      <w:r w:rsidR="001007E3">
        <w:t>.</w:t>
      </w:r>
      <w:r w:rsidR="001D7C03">
        <w:t xml:space="preserve"> The proposed fee and benefit are the same as existing MBS items for BNP/NT-proBNP testing</w:t>
      </w:r>
      <w:r w:rsidR="00755356">
        <w:t xml:space="preserve">. The proposed item descriptor is broader than the </w:t>
      </w:r>
      <w:r w:rsidR="004A73FD">
        <w:t>population defined in the application,</w:t>
      </w:r>
      <w:r w:rsidR="00C71CE1">
        <w:t xml:space="preserve"> as</w:t>
      </w:r>
      <w:r w:rsidR="004A73FD">
        <w:t xml:space="preserve"> </w:t>
      </w:r>
      <w:r w:rsidR="00A76FDF">
        <w:t>it</w:t>
      </w:r>
      <w:r w:rsidR="004A73FD">
        <w:t xml:space="preserve"> does not define optimal </w:t>
      </w:r>
      <w:r w:rsidR="004B3C31">
        <w:t>treatment and the tests are able to be used over a 12-month period</w:t>
      </w:r>
      <w:r w:rsidR="005E5C69">
        <w:t>.</w:t>
      </w:r>
      <w:r w:rsidR="004E339E">
        <w:t xml:space="preserve"> </w:t>
      </w:r>
      <w:r w:rsidR="00B0124C">
        <w:t xml:space="preserve">Although the application </w:t>
      </w:r>
      <w:r w:rsidR="006363F8">
        <w:t xml:space="preserve">is for use in the immediate post-discharge period, </w:t>
      </w:r>
      <w:r w:rsidR="006363F8">
        <w:lastRenderedPageBreak/>
        <w:t>defined as 6</w:t>
      </w:r>
      <w:r w:rsidR="00BF524C">
        <w:t xml:space="preserve"> </w:t>
      </w:r>
      <w:r w:rsidR="006363F8">
        <w:t xml:space="preserve">weeks, </w:t>
      </w:r>
      <w:r w:rsidR="00FE6CAC">
        <w:t xml:space="preserve">the </w:t>
      </w:r>
      <w:r w:rsidR="00C64556">
        <w:t xml:space="preserve">application </w:t>
      </w:r>
      <w:r w:rsidR="00F16E99">
        <w:t>states that, due to</w:t>
      </w:r>
      <w:r w:rsidR="0055610D">
        <w:t xml:space="preserve"> </w:t>
      </w:r>
      <w:r w:rsidR="00FE6CAC">
        <w:t>anticipated delays in accessing follow-up care</w:t>
      </w:r>
      <w:r w:rsidR="00F16E99">
        <w:t>, the extended testing period permitted in the proposed item descriptor is justified</w:t>
      </w:r>
      <w:r w:rsidR="00BF524C">
        <w:t>;</w:t>
      </w:r>
      <w:r w:rsidR="00442C09">
        <w:t xml:space="preserve"> however, t</w:t>
      </w:r>
      <w:r w:rsidR="004E339E">
        <w:t>his risk</w:t>
      </w:r>
      <w:r w:rsidR="00442C09">
        <w:t>s</w:t>
      </w:r>
      <w:r w:rsidR="004E339E">
        <w:t xml:space="preserve"> </w:t>
      </w:r>
      <w:r w:rsidR="00B0124C">
        <w:t xml:space="preserve">the item being available for more general monitoring beyond the intent of the application. </w:t>
      </w:r>
    </w:p>
    <w:p w14:paraId="12EE9E7A" w14:textId="658AB6FA" w:rsidR="00A40722" w:rsidRDefault="00A40722" w:rsidP="0071466C">
      <w:r w:rsidRPr="00957B51">
        <w:t>The proposed practice note</w:t>
      </w:r>
      <w:r>
        <w:t xml:space="preserve"> </w:t>
      </w:r>
      <w:r w:rsidR="002E6D53">
        <w:t xml:space="preserve">is intended to allow access </w:t>
      </w:r>
      <w:r w:rsidR="00230272">
        <w:t xml:space="preserve">by </w:t>
      </w:r>
      <w:r w:rsidR="002E6D53">
        <w:t xml:space="preserve">a general </w:t>
      </w:r>
      <w:r w:rsidR="00051870">
        <w:t>practitioner;</w:t>
      </w:r>
      <w:r w:rsidR="002E6D53">
        <w:t xml:space="preserve"> however</w:t>
      </w:r>
      <w:r w:rsidR="00230272">
        <w:t>,</w:t>
      </w:r>
      <w:r w:rsidR="002E6D53">
        <w:t xml:space="preserve"> this </w:t>
      </w:r>
      <w:r w:rsidR="004E339E">
        <w:t xml:space="preserve">is required to be undertaken in consultation with a specialist. </w:t>
      </w:r>
    </w:p>
    <w:p w14:paraId="67437D86" w14:textId="5E9B050C" w:rsidR="00BF0C4D" w:rsidRDefault="00BF0C4D" w:rsidP="00BF0C4D">
      <w:pPr>
        <w:pStyle w:val="Caption"/>
      </w:pPr>
      <w:bookmarkStart w:id="25" w:name="_Ref233554874"/>
      <w:r>
        <w:t xml:space="preserve">Table </w:t>
      </w:r>
      <w:r>
        <w:fldChar w:fldCharType="begin"/>
      </w:r>
      <w:r>
        <w:instrText xml:space="preserve"> SEQ Table \* ARABIC </w:instrText>
      </w:r>
      <w:r>
        <w:fldChar w:fldCharType="separate"/>
      </w:r>
      <w:r w:rsidR="00E10360">
        <w:rPr>
          <w:noProof/>
        </w:rPr>
        <w:t>11</w:t>
      </w:r>
      <w:r>
        <w:fldChar w:fldCharType="end"/>
      </w:r>
      <w:bookmarkEnd w:id="25"/>
      <w:r>
        <w:tab/>
        <w:t>MBS item proposed in the application</w:t>
      </w:r>
      <w:r w:rsidR="008F173F">
        <w:t xml:space="preserve"> (with PASC suggested changes)</w:t>
      </w:r>
    </w:p>
    <w:tbl>
      <w:tblPr>
        <w:tblStyle w:val="TableGrid"/>
        <w:tblW w:w="0" w:type="auto"/>
        <w:tblInd w:w="0" w:type="dxa"/>
        <w:tblLook w:val="04A0" w:firstRow="1" w:lastRow="0" w:firstColumn="1" w:lastColumn="0" w:noHBand="0" w:noVBand="1"/>
        <w:tblCaption w:val="New MBS item proposed in the application"/>
        <w:tblDescription w:val="Text and fee for the proposed new MBS item"/>
      </w:tblPr>
      <w:tblGrid>
        <w:gridCol w:w="9571"/>
      </w:tblGrid>
      <w:tr w:rsidR="008033FA" w14:paraId="3EBCFE08" w14:textId="77777777" w:rsidTr="008033FA">
        <w:tc>
          <w:tcPr>
            <w:tcW w:w="9571" w:type="dxa"/>
          </w:tcPr>
          <w:p w14:paraId="6BC6A536" w14:textId="12414C16" w:rsidR="008033FA" w:rsidRDefault="006043CF" w:rsidP="00883733">
            <w:pPr>
              <w:pStyle w:val="TableText0"/>
              <w:jc w:val="right"/>
            </w:pPr>
            <w:r>
              <w:t xml:space="preserve">Category 6 - </w:t>
            </w:r>
            <w:r w:rsidR="00883733">
              <w:t>Pathology Services</w:t>
            </w:r>
          </w:p>
        </w:tc>
      </w:tr>
      <w:tr w:rsidR="008033FA" w14:paraId="4ED8D35F" w14:textId="77777777" w:rsidTr="008033FA">
        <w:tc>
          <w:tcPr>
            <w:tcW w:w="9571" w:type="dxa"/>
          </w:tcPr>
          <w:p w14:paraId="110EBAE7" w14:textId="62A985BD" w:rsidR="006043CF" w:rsidRDefault="006043CF" w:rsidP="00EF1057">
            <w:pPr>
              <w:pStyle w:val="TableText0"/>
            </w:pPr>
            <w:r>
              <w:t>MBS item AAAA</w:t>
            </w:r>
          </w:p>
          <w:p w14:paraId="70A21541" w14:textId="77777777" w:rsidR="006043CF" w:rsidRDefault="006043CF" w:rsidP="00EF1057">
            <w:pPr>
              <w:pStyle w:val="TableText0"/>
            </w:pPr>
          </w:p>
          <w:p w14:paraId="550D20BE" w14:textId="5FC45D04" w:rsidR="003F7463" w:rsidRDefault="003F7463" w:rsidP="003F7463">
            <w:pPr>
              <w:pStyle w:val="TableText0"/>
            </w:pPr>
            <w:r>
              <w:t>Quantitation of NT-proBNP levels in patients with heart failure</w:t>
            </w:r>
            <w:r w:rsidR="0080162C">
              <w:t xml:space="preserve"> </w:t>
            </w:r>
            <w:r w:rsidR="0080162C" w:rsidRPr="00877EAB">
              <w:rPr>
                <w:color w:val="4472C4" w:themeColor="accent5"/>
              </w:rPr>
              <w:t>with reduced ejection fraction</w:t>
            </w:r>
            <w:r w:rsidR="002A7F74">
              <w:rPr>
                <w:color w:val="4472C4" w:themeColor="accent5"/>
              </w:rPr>
              <w:t xml:space="preserve"> to guide the optimisation of heart failure therapy if</w:t>
            </w:r>
            <w:r>
              <w:t xml:space="preserve">: </w:t>
            </w:r>
          </w:p>
          <w:p w14:paraId="73AE085D" w14:textId="77777777" w:rsidR="003F7463" w:rsidRDefault="003F7463" w:rsidP="003F7463">
            <w:pPr>
              <w:pStyle w:val="TableText0"/>
            </w:pPr>
          </w:p>
          <w:p w14:paraId="2C7D817B" w14:textId="6473DFEA" w:rsidR="002A7F74" w:rsidRDefault="001A32B3" w:rsidP="00CC7321">
            <w:pPr>
              <w:pStyle w:val="TableText0"/>
              <w:numPr>
                <w:ilvl w:val="0"/>
                <w:numId w:val="24"/>
              </w:numPr>
            </w:pPr>
            <w:r>
              <w:t>the patient has been hospitalised with heart failure within the previous 3 months; and</w:t>
            </w:r>
          </w:p>
          <w:p w14:paraId="5A33D0DE" w14:textId="18ED828C" w:rsidR="00CC7321" w:rsidRDefault="003F7463" w:rsidP="00CC7321">
            <w:pPr>
              <w:pStyle w:val="TableText0"/>
              <w:numPr>
                <w:ilvl w:val="0"/>
                <w:numId w:val="24"/>
              </w:numPr>
            </w:pPr>
            <w:r w:rsidRPr="00877EAB">
              <w:rPr>
                <w:strike/>
              </w:rPr>
              <w:t>where a</w:t>
            </w:r>
            <w:r w:rsidR="00BB448E">
              <w:rPr>
                <w:strike/>
              </w:rPr>
              <w:t xml:space="preserve"> </w:t>
            </w:r>
            <w:r w:rsidR="001A32B3" w:rsidRPr="00877EAB">
              <w:rPr>
                <w:color w:val="4472C4" w:themeColor="accent5"/>
              </w:rPr>
              <w:t xml:space="preserve">the </w:t>
            </w:r>
            <w:r>
              <w:t xml:space="preserve">patient </w:t>
            </w:r>
            <w:r w:rsidRPr="00877EAB">
              <w:rPr>
                <w:strike/>
              </w:rPr>
              <w:t>has</w:t>
            </w:r>
            <w:r w:rsidR="00D252E4" w:rsidRPr="00877EAB">
              <w:rPr>
                <w:strike/>
                <w:color w:val="4472C4" w:themeColor="accent5"/>
              </w:rPr>
              <w:t xml:space="preserve"> </w:t>
            </w:r>
            <w:r w:rsidR="00D252E4" w:rsidRPr="00877EAB">
              <w:rPr>
                <w:color w:val="4472C4" w:themeColor="accent5"/>
              </w:rPr>
              <w:t>had</w:t>
            </w:r>
            <w:r w:rsidRPr="00877EAB">
              <w:rPr>
                <w:color w:val="4472C4" w:themeColor="accent5"/>
              </w:rPr>
              <w:t xml:space="preserve"> </w:t>
            </w:r>
            <w:r>
              <w:t xml:space="preserve">an </w:t>
            </w:r>
            <w:r w:rsidR="00441D72" w:rsidRPr="00877EAB">
              <w:rPr>
                <w:color w:val="4472C4" w:themeColor="accent5"/>
              </w:rPr>
              <w:t xml:space="preserve">elevated </w:t>
            </w:r>
            <w:r>
              <w:t>NT-proBNP level</w:t>
            </w:r>
            <w:r w:rsidR="00EB4B6D">
              <w:t xml:space="preserve"> during or immediately prior to the initial hospitalisation</w:t>
            </w:r>
            <w:r>
              <w:t xml:space="preserve"> </w:t>
            </w:r>
            <w:r w:rsidRPr="00877EAB">
              <w:rPr>
                <w:strike/>
              </w:rPr>
              <w:t>of greater 2,500 pg/m</w:t>
            </w:r>
            <w:r>
              <w:t>l</w:t>
            </w:r>
            <w:r w:rsidRPr="00A7432A">
              <w:t>; and</w:t>
            </w:r>
            <w:r>
              <w:t xml:space="preserve"> </w:t>
            </w:r>
          </w:p>
          <w:p w14:paraId="1838A386" w14:textId="62E13334" w:rsidR="00CC7321" w:rsidRPr="00877EAB" w:rsidRDefault="003F7463" w:rsidP="00CC7321">
            <w:pPr>
              <w:pStyle w:val="TableText0"/>
              <w:numPr>
                <w:ilvl w:val="0"/>
                <w:numId w:val="24"/>
              </w:numPr>
              <w:rPr>
                <w:strike/>
              </w:rPr>
            </w:pPr>
            <w:r w:rsidRPr="00877EAB">
              <w:rPr>
                <w:strike/>
              </w:rPr>
              <w:t>patients</w:t>
            </w:r>
            <w:r>
              <w:t xml:space="preserve"> </w:t>
            </w:r>
            <w:r w:rsidR="00BB448E">
              <w:t xml:space="preserve">the patient </w:t>
            </w:r>
            <w:r w:rsidR="003A2A28" w:rsidRPr="00877EAB">
              <w:rPr>
                <w:color w:val="4472C4" w:themeColor="accent5"/>
              </w:rPr>
              <w:t xml:space="preserve">is </w:t>
            </w:r>
            <w:r>
              <w:t>not currently on optimal treatment</w:t>
            </w:r>
            <w:r w:rsidRPr="00877EAB">
              <w:rPr>
                <w:strike/>
              </w:rPr>
              <w:t xml:space="preserve">; and </w:t>
            </w:r>
          </w:p>
          <w:p w14:paraId="201C659F" w14:textId="233736A9" w:rsidR="00EF1057" w:rsidRPr="00CC7321" w:rsidRDefault="003F7463" w:rsidP="00CC7321">
            <w:pPr>
              <w:pStyle w:val="TableText0"/>
              <w:numPr>
                <w:ilvl w:val="0"/>
                <w:numId w:val="24"/>
              </w:numPr>
            </w:pPr>
            <w:r w:rsidRPr="00877EAB">
              <w:rPr>
                <w:strike/>
              </w:rPr>
              <w:t>to guide the optimisation of heart failure therapy.</w:t>
            </w:r>
          </w:p>
          <w:p w14:paraId="7C7340B3" w14:textId="77777777" w:rsidR="00EF1057" w:rsidRDefault="00EF1057" w:rsidP="00EF1057">
            <w:pPr>
              <w:pStyle w:val="TableText0"/>
            </w:pPr>
          </w:p>
          <w:p w14:paraId="736A44A8" w14:textId="310CD47C" w:rsidR="008033FA" w:rsidRDefault="00EF1057" w:rsidP="00EF1057">
            <w:pPr>
              <w:pStyle w:val="TableText0"/>
            </w:pPr>
            <w:r>
              <w:t xml:space="preserve">Applicable to a maximum of 5 tests per patient in any </w:t>
            </w:r>
            <w:r w:rsidR="0011293A" w:rsidRPr="00877EAB">
              <w:rPr>
                <w:color w:val="4472C4" w:themeColor="accent5"/>
              </w:rPr>
              <w:t>3</w:t>
            </w:r>
            <w:r w:rsidRPr="00877EAB">
              <w:rPr>
                <w:strike/>
              </w:rPr>
              <w:t>12</w:t>
            </w:r>
            <w:r w:rsidR="00514B9F" w:rsidRPr="009E7BAA">
              <w:rPr>
                <w:color w:val="0070C0"/>
              </w:rPr>
              <w:t>-</w:t>
            </w:r>
            <w:r>
              <w:t>month period.</w:t>
            </w:r>
          </w:p>
        </w:tc>
      </w:tr>
      <w:tr w:rsidR="008033FA" w14:paraId="634DEAF3" w14:textId="77777777" w:rsidTr="008033FA">
        <w:tc>
          <w:tcPr>
            <w:tcW w:w="9571" w:type="dxa"/>
          </w:tcPr>
          <w:p w14:paraId="6F31C48B" w14:textId="52C318FB" w:rsidR="008033FA" w:rsidRDefault="003313A0" w:rsidP="008033FA">
            <w:pPr>
              <w:pStyle w:val="TableText0"/>
            </w:pPr>
            <w:r w:rsidRPr="00DB43A8">
              <w:rPr>
                <w:b/>
                <w:bCs/>
              </w:rPr>
              <w:t>Fee:</w:t>
            </w:r>
            <w:r w:rsidRPr="003313A0">
              <w:t xml:space="preserve"> $58.50 </w:t>
            </w:r>
            <w:r w:rsidRPr="00DB43A8">
              <w:rPr>
                <w:b/>
                <w:bCs/>
              </w:rPr>
              <w:t>Benefit:</w:t>
            </w:r>
            <w:r w:rsidRPr="003313A0">
              <w:t xml:space="preserve"> 75% = $43.90 85% = $49.75</w:t>
            </w:r>
          </w:p>
        </w:tc>
      </w:tr>
      <w:tr w:rsidR="003313A0" w14:paraId="62EE1760" w14:textId="77777777" w:rsidTr="008033FA">
        <w:tc>
          <w:tcPr>
            <w:tcW w:w="9571" w:type="dxa"/>
          </w:tcPr>
          <w:p w14:paraId="441700A7" w14:textId="77777777" w:rsidR="00DB43A8" w:rsidRDefault="00DB43A8" w:rsidP="00DE3F3E">
            <w:pPr>
              <w:pStyle w:val="TableText0"/>
            </w:pPr>
            <w:r>
              <w:t xml:space="preserve">PN.X.X </w:t>
            </w:r>
          </w:p>
          <w:p w14:paraId="69906135" w14:textId="251E45BD" w:rsidR="003313A0" w:rsidRPr="003313A0" w:rsidRDefault="00480124" w:rsidP="00DE3F3E">
            <w:pPr>
              <w:pStyle w:val="TableText0"/>
            </w:pPr>
            <w:r w:rsidRPr="00480124">
              <w:t xml:space="preserve">Where MBS item </w:t>
            </w:r>
            <w:r w:rsidR="00D22A7D">
              <w:t>AAAA</w:t>
            </w:r>
            <w:r w:rsidRPr="00480124">
              <w:t xml:space="preserve"> is requested by a medical practitioner (other than a specialist or consultant physician), the request should be made in consultation with a specialist or consultant physician who manages the treatment of the patient.</w:t>
            </w:r>
          </w:p>
        </w:tc>
      </w:tr>
    </w:tbl>
    <w:p w14:paraId="3C69F4F4" w14:textId="7A9A9334" w:rsidR="0071466C" w:rsidRPr="0071466C" w:rsidRDefault="00E91CF0" w:rsidP="00877EAB">
      <w:pPr>
        <w:pStyle w:val="Tablenotes"/>
      </w:pPr>
      <w:r>
        <w:t xml:space="preserve"> </w:t>
      </w:r>
      <w:r w:rsidR="00450ABB">
        <w:t xml:space="preserve">Suggested amendments from PASC are shown in </w:t>
      </w:r>
      <w:r w:rsidR="002C0504">
        <w:t>strikethrough</w:t>
      </w:r>
      <w:r w:rsidR="00450ABB">
        <w:t xml:space="preserve"> and </w:t>
      </w:r>
      <w:r w:rsidR="00450ABB" w:rsidRPr="00B75B50">
        <w:rPr>
          <w:color w:val="4472C4" w:themeColor="accent5"/>
        </w:rPr>
        <w:t>blue</w:t>
      </w:r>
      <w:r w:rsidR="00450ABB">
        <w:t xml:space="preserve"> text</w:t>
      </w:r>
      <w:r w:rsidR="002C0504">
        <w:t>.</w:t>
      </w:r>
    </w:p>
    <w:p w14:paraId="75EE919C" w14:textId="77777777" w:rsidR="00961B10" w:rsidRDefault="00961B10" w:rsidP="00961B10">
      <w:pPr>
        <w:spacing w:line="257" w:lineRule="auto"/>
        <w:rPr>
          <w:rFonts w:cs="Calibri"/>
          <w:i/>
          <w:iCs/>
        </w:rPr>
      </w:pPr>
      <w:r>
        <w:rPr>
          <w:rFonts w:cs="Calibri"/>
          <w:i/>
          <w:iCs/>
        </w:rPr>
        <w:t>PASC agreed that the proposed MBS item requires substantial modification.</w:t>
      </w:r>
    </w:p>
    <w:p w14:paraId="5C54FA0E" w14:textId="27797D43" w:rsidR="00961B10" w:rsidRDefault="00961B10" w:rsidP="00961B10">
      <w:pPr>
        <w:spacing w:line="257" w:lineRule="auto"/>
        <w:rPr>
          <w:rFonts w:cs="Calibri"/>
          <w:i/>
          <w:iCs/>
        </w:rPr>
      </w:pPr>
      <w:r>
        <w:rPr>
          <w:rFonts w:cs="Calibri"/>
          <w:i/>
          <w:iCs/>
        </w:rPr>
        <w:t xml:space="preserve">PASC discussed the proposed 12-month applicability period for the proposed item and noted that, in the STRONG HF trial, biomarker testing was undertaken over a 6-week period post-discharge and that there were almost no changes to medication after 2 weeks. The applicant stated that the proposed 12-month period was intended to focus the item on therapy optimisation following an index HF hospitalisation rather than its use following repeat hospitalisation. The applicant also stated that the longer timeframe was intended to account for potential delays in accessing follow-up care. However, PASC considered that a 12-month applicability period would present a significant risk of </w:t>
      </w:r>
      <w:r w:rsidRPr="00ED42DA">
        <w:rPr>
          <w:rFonts w:cs="Calibri"/>
          <w:i/>
          <w:iCs/>
        </w:rPr>
        <w:t>use outside</w:t>
      </w:r>
      <w:r>
        <w:rPr>
          <w:rFonts w:cs="Calibri"/>
          <w:i/>
          <w:iCs/>
        </w:rPr>
        <w:t xml:space="preserve"> the intended </w:t>
      </w:r>
      <w:r w:rsidRPr="00ED42DA">
        <w:rPr>
          <w:rFonts w:cs="Calibri"/>
          <w:i/>
          <w:iCs/>
        </w:rPr>
        <w:t>population</w:t>
      </w:r>
      <w:r>
        <w:rPr>
          <w:rFonts w:cs="Calibri"/>
          <w:i/>
          <w:iCs/>
        </w:rPr>
        <w:t xml:space="preserve">. PASC considered that 3 months is a more suitable period, while still allowing some flexibility for patients to access follow-up care.  </w:t>
      </w:r>
    </w:p>
    <w:p w14:paraId="4309CE5E" w14:textId="77777777" w:rsidR="00961B10" w:rsidRDefault="00961B10" w:rsidP="00961B10">
      <w:pPr>
        <w:spacing w:line="257" w:lineRule="auto"/>
        <w:rPr>
          <w:rFonts w:cs="Calibri"/>
          <w:i/>
          <w:iCs/>
        </w:rPr>
      </w:pPr>
      <w:r>
        <w:rPr>
          <w:rFonts w:cs="Calibri"/>
          <w:i/>
          <w:iCs/>
        </w:rPr>
        <w:t xml:space="preserve">PASC did not consider that the level of NT-proBNP needed to be specified in the item descriptor and that the wording ‘elevated’ is sufficient, with further decision-making to be at clinicians’ discretion. PASC agreed that the MBS item should be limited to NT-proBNP. </w:t>
      </w:r>
    </w:p>
    <w:p w14:paraId="6A3EB979" w14:textId="77777777" w:rsidR="00961B10" w:rsidRDefault="00961B10" w:rsidP="00961B10">
      <w:pPr>
        <w:spacing w:line="257" w:lineRule="auto"/>
        <w:rPr>
          <w:rFonts w:cs="Calibri"/>
          <w:i/>
          <w:iCs/>
        </w:rPr>
      </w:pPr>
      <w:r>
        <w:rPr>
          <w:rFonts w:cs="Calibri"/>
          <w:i/>
          <w:iCs/>
        </w:rPr>
        <w:t xml:space="preserve">PASC noted that the population in the item descriptor could be restricted to patients with HFrEF depending on the outcomes of the assessment. </w:t>
      </w:r>
    </w:p>
    <w:p w14:paraId="035E422F" w14:textId="77777777" w:rsidR="00961B10" w:rsidRDefault="00961B10" w:rsidP="00961B10">
      <w:pPr>
        <w:spacing w:line="257" w:lineRule="auto"/>
        <w:rPr>
          <w:rFonts w:cs="Calibri"/>
          <w:i/>
          <w:iCs/>
        </w:rPr>
      </w:pPr>
      <w:r>
        <w:rPr>
          <w:rFonts w:cs="Calibri"/>
          <w:i/>
          <w:iCs/>
        </w:rPr>
        <w:t xml:space="preserve">PASC noted that Australian patients are commonly reviewed by their GP following hospitalisation for HF, and that GPs can manage these patients and up-titrate therapy. PASC therefore raised concerns about the proposed restriction to specialists and considered it would be beneficial if GPs involved in post-discharge management and optimisation of care were also able to request the item. </w:t>
      </w:r>
    </w:p>
    <w:p w14:paraId="521DB5C7" w14:textId="77777777" w:rsidR="00961B10" w:rsidRDefault="00961B10" w:rsidP="00961B10">
      <w:pPr>
        <w:spacing w:line="257" w:lineRule="auto"/>
        <w:rPr>
          <w:rFonts w:cs="Calibri"/>
          <w:i/>
          <w:iCs/>
        </w:rPr>
      </w:pPr>
      <w:r>
        <w:rPr>
          <w:rFonts w:cs="Calibri"/>
          <w:i/>
          <w:iCs/>
        </w:rPr>
        <w:t xml:space="preserve">PASC considered whether GDMT within the item descriptor should be described but considered this may be too complex. </w:t>
      </w:r>
    </w:p>
    <w:p w14:paraId="12A0BD57" w14:textId="2202FF9A" w:rsidR="3EA6284F" w:rsidRPr="003B51AC" w:rsidRDefault="00961B10" w:rsidP="003B51AC">
      <w:pPr>
        <w:spacing w:line="257" w:lineRule="auto"/>
        <w:rPr>
          <w:rFonts w:cs="Calibri"/>
          <w:i/>
          <w:iCs/>
        </w:rPr>
      </w:pPr>
      <w:r>
        <w:rPr>
          <w:rFonts w:cs="Calibri"/>
          <w:i/>
          <w:iCs/>
        </w:rPr>
        <w:lastRenderedPageBreak/>
        <w:t xml:space="preserve">PASC agreed with the proposed fee. </w:t>
      </w:r>
    </w:p>
    <w:p w14:paraId="62338695" w14:textId="775A0FF4" w:rsidR="00D37A3F" w:rsidRPr="00D37A3F" w:rsidRDefault="003F0A39" w:rsidP="00713728">
      <w:pPr>
        <w:pStyle w:val="Heading2"/>
      </w:pPr>
      <w:r>
        <w:t>Summary of public consultation</w:t>
      </w:r>
      <w:r w:rsidRPr="00D37A3F">
        <w:t xml:space="preserve"> </w:t>
      </w:r>
      <w:r w:rsidR="00E470B0">
        <w:t>input</w:t>
      </w:r>
    </w:p>
    <w:p w14:paraId="72B2FB8A" w14:textId="329F56ED" w:rsidR="003E020C" w:rsidRPr="000125BC" w:rsidRDefault="003E020C" w:rsidP="003E020C">
      <w:pPr>
        <w:spacing w:after="120"/>
      </w:pPr>
      <w:r w:rsidRPr="00E95336">
        <w:rPr>
          <w:i/>
          <w:iCs/>
        </w:rPr>
        <w:t>PASC noted and welcomed consultation input from</w:t>
      </w:r>
      <w:r w:rsidRPr="00D7667B">
        <w:t xml:space="preserve"> </w:t>
      </w:r>
      <w:r>
        <w:t xml:space="preserve">5 </w:t>
      </w:r>
      <w:r w:rsidRPr="000125BC">
        <w:t xml:space="preserve">organisations and </w:t>
      </w:r>
      <w:r>
        <w:t>no</w:t>
      </w:r>
      <w:r w:rsidRPr="000125BC">
        <w:t xml:space="preserve"> individual</w:t>
      </w:r>
      <w:r>
        <w:t xml:space="preserve"> input was received</w:t>
      </w:r>
      <w:r w:rsidRPr="000125BC">
        <w:t xml:space="preserve">. The </w:t>
      </w:r>
      <w:r>
        <w:t xml:space="preserve">5 </w:t>
      </w:r>
      <w:r w:rsidRPr="000125BC">
        <w:t xml:space="preserve">organisations that submitted input were: </w:t>
      </w:r>
    </w:p>
    <w:p w14:paraId="5768D923" w14:textId="77777777" w:rsidR="003E020C" w:rsidRDefault="003E020C" w:rsidP="003E020C">
      <w:pPr>
        <w:pStyle w:val="ListParagraph"/>
        <w:numPr>
          <w:ilvl w:val="0"/>
          <w:numId w:val="30"/>
        </w:numPr>
        <w:spacing w:after="120" w:line="259" w:lineRule="auto"/>
      </w:pPr>
      <w:r w:rsidRPr="00DF184C">
        <w:t>Arrhythmia Alliance</w:t>
      </w:r>
    </w:p>
    <w:p w14:paraId="6C5F053B" w14:textId="77777777" w:rsidR="003E020C" w:rsidRPr="00DF184C" w:rsidRDefault="003E020C" w:rsidP="003E020C">
      <w:pPr>
        <w:pStyle w:val="ListParagraph"/>
        <w:numPr>
          <w:ilvl w:val="0"/>
          <w:numId w:val="30"/>
        </w:numPr>
        <w:spacing w:after="120" w:line="259" w:lineRule="auto"/>
      </w:pPr>
      <w:r w:rsidRPr="00DF184C">
        <w:t>Heart Foundation</w:t>
      </w:r>
    </w:p>
    <w:p w14:paraId="14588965" w14:textId="77777777" w:rsidR="003E020C" w:rsidRDefault="003E020C" w:rsidP="003E020C">
      <w:pPr>
        <w:pStyle w:val="ListParagraph"/>
        <w:numPr>
          <w:ilvl w:val="0"/>
          <w:numId w:val="30"/>
        </w:numPr>
        <w:spacing w:after="120" w:line="259" w:lineRule="auto"/>
      </w:pPr>
      <w:r w:rsidRPr="00DF184C">
        <w:t>Hearts4heart</w:t>
      </w:r>
    </w:p>
    <w:p w14:paraId="239B9CF8" w14:textId="77777777" w:rsidR="003E020C" w:rsidRDefault="003E020C" w:rsidP="003E020C">
      <w:pPr>
        <w:pStyle w:val="ListParagraph"/>
        <w:numPr>
          <w:ilvl w:val="0"/>
          <w:numId w:val="30"/>
        </w:numPr>
        <w:spacing w:after="120" w:line="259" w:lineRule="auto"/>
      </w:pPr>
      <w:r w:rsidRPr="00F442AD">
        <w:t>Public Pathology Australia (PPA)</w:t>
      </w:r>
    </w:p>
    <w:p w14:paraId="1F3F0E04" w14:textId="27359478" w:rsidR="003E020C" w:rsidRPr="00A601DC" w:rsidRDefault="003E020C" w:rsidP="007C5C75">
      <w:pPr>
        <w:pStyle w:val="ListParagraph"/>
        <w:numPr>
          <w:ilvl w:val="0"/>
          <w:numId w:val="30"/>
        </w:numPr>
        <w:spacing w:after="120" w:line="259" w:lineRule="auto"/>
      </w:pPr>
      <w:r w:rsidRPr="00A601DC">
        <w:t>The Royal Australian College of General Practitioners (RACGP)</w:t>
      </w:r>
    </w:p>
    <w:p w14:paraId="5109604E" w14:textId="29C34C51" w:rsidR="003E020C" w:rsidRPr="00326F0E" w:rsidRDefault="003E020C" w:rsidP="003E020C">
      <w:r w:rsidRPr="00326F0E">
        <w:t xml:space="preserve">Consultation input was </w:t>
      </w:r>
      <w:r>
        <w:t>partly</w:t>
      </w:r>
      <w:r w:rsidRPr="00326F0E">
        <w:t xml:space="preserve"> supportive of public funding for NT-proBNP testing to support management of patients with heart failure</w:t>
      </w:r>
      <w:r w:rsidR="00803923">
        <w:t xml:space="preserve"> (the Heart Foundation and the RACGP were uncertain of their support, while the remaining organisations were supportive, </w:t>
      </w:r>
      <w:r w:rsidR="00D23C93">
        <w:t xml:space="preserve">although the </w:t>
      </w:r>
      <w:r w:rsidR="0024291A">
        <w:t>Arrythmia</w:t>
      </w:r>
      <w:r w:rsidR="00D23C93">
        <w:t xml:space="preserve"> Alliance included some caveats)</w:t>
      </w:r>
      <w:r w:rsidRPr="00326F0E">
        <w:t xml:space="preserve">. </w:t>
      </w:r>
      <w:r>
        <w:t>Consultation input</w:t>
      </w:r>
      <w:r w:rsidRPr="00326F0E">
        <w:t xml:space="preserve"> raised concerns regarding the </w:t>
      </w:r>
      <w:r>
        <w:t xml:space="preserve">evidence that </w:t>
      </w:r>
      <w:r w:rsidRPr="005F3ECD">
        <w:t>serial NT-proBNP testing</w:t>
      </w:r>
      <w:r>
        <w:t xml:space="preserve"> alone provides benefits in the absence of a coordinated care model.</w:t>
      </w:r>
    </w:p>
    <w:p w14:paraId="6FC07AA8" w14:textId="77777777" w:rsidR="003E020C" w:rsidRPr="004764A8" w:rsidRDefault="003E020C" w:rsidP="003E020C">
      <w:pPr>
        <w:rPr>
          <w:b/>
          <w:bCs/>
        </w:rPr>
      </w:pPr>
      <w:r w:rsidRPr="004764A8">
        <w:rPr>
          <w:b/>
          <w:bCs/>
        </w:rPr>
        <w:t>Consumer Experience</w:t>
      </w:r>
    </w:p>
    <w:p w14:paraId="462E7591" w14:textId="77777777" w:rsidR="003E020C" w:rsidRDefault="003E020C" w:rsidP="003E020C">
      <w:r>
        <w:t xml:space="preserve">The </w:t>
      </w:r>
      <w:r w:rsidRPr="004764A8">
        <w:t xml:space="preserve">Arrhythmia Alliance </w:t>
      </w:r>
      <w:r>
        <w:t xml:space="preserve">and </w:t>
      </w:r>
      <w:r w:rsidRPr="004764A8">
        <w:t xml:space="preserve">Hearts4heart </w:t>
      </w:r>
      <w:r>
        <w:t xml:space="preserve">provided consultation input stating </w:t>
      </w:r>
      <w:r w:rsidRPr="004764A8">
        <w:t xml:space="preserve">that people with heart failure </w:t>
      </w:r>
      <w:r>
        <w:t>often</w:t>
      </w:r>
      <w:r w:rsidRPr="004764A8">
        <w:t xml:space="preserve"> experience breathlessness, fatigue, oedema, reduced exercise tolerance, sleep disturbance, dizziness and weakness</w:t>
      </w:r>
      <w:r>
        <w:t>. These effects of heart failure</w:t>
      </w:r>
      <w:r w:rsidRPr="004764A8">
        <w:t xml:space="preserve"> can </w:t>
      </w:r>
      <w:r>
        <w:t>significantly impact</w:t>
      </w:r>
      <w:r w:rsidRPr="004764A8">
        <w:t xml:space="preserve"> work, driving, social activities</w:t>
      </w:r>
      <w:r>
        <w:t>,</w:t>
      </w:r>
      <w:r w:rsidRPr="004764A8">
        <w:t xml:space="preserve"> independence, mental wellbeing and daily living. </w:t>
      </w:r>
      <w:r>
        <w:t>Consultation input included that patients and carers are affected by</w:t>
      </w:r>
      <w:r w:rsidRPr="004764A8">
        <w:t xml:space="preserve"> </w:t>
      </w:r>
      <w:r>
        <w:t>the effects of heart failure which can include re</w:t>
      </w:r>
      <w:r w:rsidRPr="004764A8">
        <w:t xml:space="preserve">current hospital admissions </w:t>
      </w:r>
      <w:r>
        <w:t xml:space="preserve">that may </w:t>
      </w:r>
      <w:r w:rsidRPr="004764A8">
        <w:t>disrupt employment</w:t>
      </w:r>
      <w:r>
        <w:t xml:space="preserve"> and</w:t>
      </w:r>
      <w:r w:rsidRPr="004764A8">
        <w:t xml:space="preserve"> family life</w:t>
      </w:r>
      <w:r>
        <w:t>. O</w:t>
      </w:r>
      <w:r w:rsidRPr="004764A8">
        <w:t xml:space="preserve">ngoing management of medicines, symptoms and appointments can place a substantial </w:t>
      </w:r>
      <w:r>
        <w:t xml:space="preserve">emotional, physical, and financial burden </w:t>
      </w:r>
      <w:r w:rsidRPr="004764A8">
        <w:t>on patients and carers.</w:t>
      </w:r>
    </w:p>
    <w:p w14:paraId="7F61234C" w14:textId="77777777" w:rsidR="003E020C" w:rsidRDefault="003E020C" w:rsidP="003E020C">
      <w:pPr>
        <w:rPr>
          <w:b/>
          <w:bCs/>
        </w:rPr>
      </w:pPr>
      <w:r>
        <w:rPr>
          <w:b/>
          <w:bCs/>
        </w:rPr>
        <w:t>Benefits and Disadvantages</w:t>
      </w:r>
    </w:p>
    <w:p w14:paraId="4C9422D4" w14:textId="77777777" w:rsidR="003E020C" w:rsidRPr="002B4A66" w:rsidRDefault="003E020C" w:rsidP="003E020C">
      <w:r w:rsidRPr="002B4A66">
        <w:t>The main benefits of public funding reported in the consultation input included earlier optimisation of guideline-directed medical therapy, reduced heart failure readmissions and improved patient outcomes. Consultation input also highlighted the potential for improved treatment monitoring, quality of life and more structured post-discharge management for people living with heart failure.</w:t>
      </w:r>
    </w:p>
    <w:p w14:paraId="6A09018B" w14:textId="77777777" w:rsidR="003E020C" w:rsidRPr="0043230A" w:rsidRDefault="003E020C" w:rsidP="003E020C">
      <w:r w:rsidRPr="0043230A">
        <w:t>The main disadvantages of public funding reported in the consultation input related to</w:t>
      </w:r>
      <w:r>
        <w:t xml:space="preserve"> the</w:t>
      </w:r>
      <w:r w:rsidRPr="0043230A">
        <w:t xml:space="preserve"> uncertainty regarding the role of NT-proBNP testing within the supporting evidence. The Heart Foundation </w:t>
      </w:r>
      <w:r>
        <w:t xml:space="preserve">and the Arrhythmia Alliance </w:t>
      </w:r>
      <w:r w:rsidRPr="0043230A">
        <w:t xml:space="preserve">considered that the benefits reported in the evidence were attributable to the broader high-intensity care pathway rather than NT-proBNP testing alone. </w:t>
      </w:r>
      <w:r>
        <w:t xml:space="preserve">The </w:t>
      </w:r>
      <w:r w:rsidRPr="0043230A">
        <w:t xml:space="preserve">Arrhythmia Alliance </w:t>
      </w:r>
      <w:r>
        <w:t>also stated that using NT-proBNP alone may place an</w:t>
      </w:r>
      <w:r w:rsidRPr="007D3E51">
        <w:rPr>
          <w:rFonts w:ascii="OpenSans-Regular" w:hAnsi="OpenSans-Regular" w:cs="OpenSans-Regular"/>
          <w:sz w:val="15"/>
          <w:szCs w:val="15"/>
        </w:rPr>
        <w:t xml:space="preserve"> </w:t>
      </w:r>
      <w:r w:rsidRPr="007D3E51">
        <w:t>overemphasis on achieving nominal target doses</w:t>
      </w:r>
      <w:r>
        <w:t xml:space="preserve"> of medication</w:t>
      </w:r>
      <w:r w:rsidRPr="007D3E51">
        <w:t xml:space="preserve"> rather than</w:t>
      </w:r>
      <w:r>
        <w:t xml:space="preserve"> </w:t>
      </w:r>
      <w:r w:rsidRPr="007D3E51">
        <w:t>maximum tolerated, patient-centred treatment</w:t>
      </w:r>
      <w:r>
        <w:t>, noting that r</w:t>
      </w:r>
      <w:r w:rsidRPr="007D3E51">
        <w:t>apid medication optimisation can cause hypotension, renal</w:t>
      </w:r>
      <w:r>
        <w:t xml:space="preserve"> </w:t>
      </w:r>
      <w:r w:rsidRPr="007D3E51">
        <w:t>impairment, hyperkalaemia, bradycardia and other adverse effects</w:t>
      </w:r>
      <w:r>
        <w:t>.</w:t>
      </w:r>
      <w:r w:rsidRPr="007D3E51">
        <w:t xml:space="preserve"> </w:t>
      </w:r>
    </w:p>
    <w:p w14:paraId="768D2C3A" w14:textId="77777777" w:rsidR="003E020C" w:rsidRDefault="003E020C" w:rsidP="008F2A32">
      <w:pPr>
        <w:keepNext/>
        <w:keepLines/>
        <w:rPr>
          <w:b/>
          <w:bCs/>
        </w:rPr>
      </w:pPr>
      <w:r>
        <w:rPr>
          <w:b/>
          <w:bCs/>
        </w:rPr>
        <w:lastRenderedPageBreak/>
        <w:t>Population, Comparator (current management) and Delivery</w:t>
      </w:r>
    </w:p>
    <w:p w14:paraId="20E69B24" w14:textId="77777777" w:rsidR="003E020C" w:rsidRPr="002B4A66" w:rsidRDefault="003E020C" w:rsidP="008F2A32">
      <w:pPr>
        <w:keepNext/>
        <w:keepLines/>
      </w:pPr>
      <w:r w:rsidRPr="002B4A66">
        <w:t xml:space="preserve">The consultation input </w:t>
      </w:r>
      <w:r>
        <w:t>largely agreed with</w:t>
      </w:r>
      <w:r w:rsidRPr="002B4A66">
        <w:t xml:space="preserve"> the proposed population</w:t>
      </w:r>
      <w:r>
        <w:t xml:space="preserve"> focusing on patients in the </w:t>
      </w:r>
      <w:r w:rsidRPr="007D3E51">
        <w:t>immediate post-hospitalisation period</w:t>
      </w:r>
      <w:r>
        <w:t>.</w:t>
      </w:r>
      <w:r w:rsidRPr="002B4A66">
        <w:t xml:space="preserve"> </w:t>
      </w:r>
      <w:r>
        <w:t xml:space="preserve">The </w:t>
      </w:r>
      <w:r w:rsidRPr="002B4A66">
        <w:t>Arrhythmia Alliance and the Heart Foundation recommended closer alignment with the STRONG-HF trial and</w:t>
      </w:r>
      <w:r>
        <w:t xml:space="preserve"> a</w:t>
      </w:r>
      <w:r w:rsidRPr="002B4A66">
        <w:t xml:space="preserve"> clearer definition of patients most likely to benefit from the proposed pathway</w:t>
      </w:r>
      <w:r>
        <w:t xml:space="preserve">. Consultation input noted that patients on or near maximum tolerated GDMT are unlikely to benefit and that a </w:t>
      </w:r>
      <w:r w:rsidRPr="007D3E51">
        <w:t xml:space="preserve">requirement </w:t>
      </w:r>
      <w:r>
        <w:t xml:space="preserve">that </w:t>
      </w:r>
      <w:r w:rsidRPr="007D3E51">
        <w:t>every patient be intended for at least three of four medication classes may not be appropriate across all ejection-fraction</w:t>
      </w:r>
      <w:r>
        <w:t xml:space="preserve"> </w:t>
      </w:r>
      <w:r w:rsidRPr="007D3E51">
        <w:t>phenotypes</w:t>
      </w:r>
      <w:r w:rsidRPr="002B4A66">
        <w:t>.</w:t>
      </w:r>
    </w:p>
    <w:p w14:paraId="49DA8779" w14:textId="77777777" w:rsidR="003E020C" w:rsidRPr="002B4A66" w:rsidRDefault="003E020C" w:rsidP="003E020C">
      <w:r w:rsidRPr="002B4A66">
        <w:t xml:space="preserve">The </w:t>
      </w:r>
      <w:r>
        <w:t xml:space="preserve">organisations that provided </w:t>
      </w:r>
      <w:r w:rsidRPr="002B4A66">
        <w:t xml:space="preserve">consultation input generally </w:t>
      </w:r>
      <w:r>
        <w:t>disagreed with</w:t>
      </w:r>
      <w:r w:rsidRPr="002B4A66">
        <w:t xml:space="preserve"> the proposed comparator</w:t>
      </w:r>
      <w:r>
        <w:t xml:space="preserve"> of </w:t>
      </w:r>
      <w:r w:rsidRPr="00B079B6">
        <w:t>biochemistry tests,</w:t>
      </w:r>
      <w:r>
        <w:t xml:space="preserve"> </w:t>
      </w:r>
      <w:r w:rsidRPr="00B079B6">
        <w:t>vital signs, and clinical observations alone</w:t>
      </w:r>
      <w:r w:rsidRPr="002B4A66">
        <w:t xml:space="preserve">. The Heart Foundation considered that the </w:t>
      </w:r>
      <w:r>
        <w:t>correct</w:t>
      </w:r>
      <w:r w:rsidRPr="002B4A66">
        <w:t xml:space="preserve"> comparator </w:t>
      </w:r>
      <w:r>
        <w:t xml:space="preserve">is </w:t>
      </w:r>
      <w:r w:rsidRPr="00B079B6">
        <w:t>high-intensity up-titration care pathway without NT-proBNP</w:t>
      </w:r>
      <w:r>
        <w:t>. The Arrhythmia Alliance stated that c</w:t>
      </w:r>
      <w:r w:rsidRPr="00F85811">
        <w:t>ontemporary recommendations also recognise the preventive role of SGLT2</w:t>
      </w:r>
      <w:r>
        <w:t xml:space="preserve"> i</w:t>
      </w:r>
      <w:r w:rsidRPr="00F85811">
        <w:t>nhibitors in selected</w:t>
      </w:r>
      <w:r>
        <w:t>.</w:t>
      </w:r>
    </w:p>
    <w:p w14:paraId="5F8C0D2A" w14:textId="77777777" w:rsidR="003E020C" w:rsidRPr="002B4A66" w:rsidRDefault="003E020C" w:rsidP="003E020C">
      <w:r w:rsidRPr="002B4A66">
        <w:t>Other services identified in the consultation input as being needed before or after the intervention included specialist and primary care follow-up, medication optimisation, renal function and electrolyte monitoring, heart failure nursing support, pharmacy services and multidisciplinary care. Arrhythmia Alliance and the Heart Foundation highlighted that NT-proBNP testing should be delivered as part of a structured post-discharge treatment optimisation pathway with appropriate clinical review and follow-up.</w:t>
      </w:r>
    </w:p>
    <w:p w14:paraId="1AE1E6CB" w14:textId="77777777" w:rsidR="003E020C" w:rsidRDefault="003E020C" w:rsidP="003E020C">
      <w:pPr>
        <w:rPr>
          <w:b/>
          <w:bCs/>
        </w:rPr>
      </w:pPr>
      <w:r w:rsidRPr="00F41652">
        <w:rPr>
          <w:b/>
          <w:bCs/>
        </w:rPr>
        <w:t>MBS Item Descriptor and Fee</w:t>
      </w:r>
    </w:p>
    <w:p w14:paraId="675FA7C0" w14:textId="77777777" w:rsidR="003E020C" w:rsidRPr="002B4A66" w:rsidRDefault="003E020C" w:rsidP="003E020C">
      <w:r>
        <w:t>Organisations that provided</w:t>
      </w:r>
      <w:r w:rsidRPr="002B4A66">
        <w:t xml:space="preserve"> consultation input</w:t>
      </w:r>
      <w:r>
        <w:t xml:space="preserve"> on the proposed item descriptor</w:t>
      </w:r>
      <w:r w:rsidRPr="002B4A66">
        <w:t xml:space="preserve"> generally </w:t>
      </w:r>
      <w:r>
        <w:t>agreed with</w:t>
      </w:r>
      <w:r w:rsidRPr="002B4A66">
        <w:t xml:space="preserve"> the proposed </w:t>
      </w:r>
      <w:r>
        <w:t>item</w:t>
      </w:r>
      <w:r w:rsidRPr="002B4A66">
        <w:t xml:space="preserve"> descriptor. The Heart Foundation considered that the descriptor should better reflect the role of NT-proBNP testing within a structured post-discharge treatment optimisation pathway and specify the clinical context and timing of testing. </w:t>
      </w:r>
      <w:r>
        <w:t xml:space="preserve">The </w:t>
      </w:r>
      <w:r w:rsidRPr="002B4A66">
        <w:t xml:space="preserve">RACGP considered that the proposed specialist consultation requirement may create barriers to timely access and recommended that GPs be able to request testing as </w:t>
      </w:r>
      <w:r>
        <w:t>t</w:t>
      </w:r>
      <w:r w:rsidRPr="00362B42">
        <w:t>he titration of treatments for CCF falls well into the scope of practice for GPs</w:t>
      </w:r>
      <w:r>
        <w:t>.</w:t>
      </w:r>
    </w:p>
    <w:p w14:paraId="5BB35ED1" w14:textId="77777777" w:rsidR="003E020C" w:rsidRPr="00EC7CF7" w:rsidRDefault="003E020C" w:rsidP="003E020C">
      <w:r>
        <w:t>Organisations that provided consultation</w:t>
      </w:r>
      <w:r w:rsidRPr="00AD57C2">
        <w:t xml:space="preserve"> input </w:t>
      </w:r>
      <w:r>
        <w:t>agreed with</w:t>
      </w:r>
      <w:r w:rsidRPr="00AD57C2">
        <w:t xml:space="preserve"> the proposed service fee and considered it should be benchmarked against existing natriuretic peptide pathology items. </w:t>
      </w:r>
    </w:p>
    <w:p w14:paraId="0AF5C01C" w14:textId="22C165C2" w:rsidR="3EA6284F" w:rsidRPr="008F2A32" w:rsidRDefault="000726F1" w:rsidP="008F2A32">
      <w:pPr>
        <w:spacing w:after="0" w:line="257" w:lineRule="auto"/>
      </w:pPr>
      <w:r w:rsidRPr="07FE9B1B">
        <w:rPr>
          <w:rFonts w:cs="Calibri"/>
          <w:i/>
          <w:iCs/>
        </w:rPr>
        <w:t xml:space="preserve">PASC noted that feedback received during public consultation was mixed. The Heart Foundation and RACGP both responded to the question regarding whether they support public funding for the application as it is currently proposed as ‘unsure/other’. The Heart Foundation expressed concerns about the validity of the STRONG HF trial as the primary evidence base and noted that current treatment limitations in HF care in Australia are more closely related to access to clinical services than to access to biomarker testing. The Arrythmia Alliance was supportive with caveats, stating that public funding should support the entire package of care and the test needed to be part of a multidisciplinary approach. Hearts4heart and Public Pathology Australia were supportive. </w:t>
      </w:r>
    </w:p>
    <w:p w14:paraId="4E68667F" w14:textId="77777777" w:rsidR="00D37A3F" w:rsidRPr="00D37A3F" w:rsidRDefault="00D37A3F" w:rsidP="00713728">
      <w:pPr>
        <w:pStyle w:val="Heading2"/>
      </w:pPr>
      <w:r w:rsidRPr="00D37A3F">
        <w:t>Next steps</w:t>
      </w:r>
    </w:p>
    <w:p w14:paraId="3019E1CF" w14:textId="3193552C" w:rsidR="000726F1" w:rsidRDefault="000726F1" w:rsidP="00F52005">
      <w:pPr>
        <w:spacing w:after="0" w:line="257" w:lineRule="auto"/>
      </w:pPr>
      <w:r>
        <w:rPr>
          <w:rFonts w:cs="Calibri"/>
          <w:i/>
          <w:iCs/>
        </w:rPr>
        <w:t>Th</w:t>
      </w:r>
      <w:r w:rsidRPr="006308AD">
        <w:rPr>
          <w:rFonts w:cs="Calibri"/>
          <w:i/>
          <w:iCs/>
        </w:rPr>
        <w:t>e applicant confirmed that an ADAR will be submitted.</w:t>
      </w:r>
    </w:p>
    <w:p w14:paraId="568EBB69" w14:textId="388A61BC" w:rsidR="7C05C098" w:rsidRDefault="7C05C098" w:rsidP="3AA96A71">
      <w:pPr>
        <w:pStyle w:val="Heading2"/>
      </w:pPr>
      <w:r w:rsidRPr="3AA96A71">
        <w:rPr>
          <w:rFonts w:eastAsia="Franklin Gothic Medium" w:cs="Franklin Gothic Medium"/>
          <w:szCs w:val="32"/>
        </w:rPr>
        <w:t>Applicant Comments on Ratified PICO</w:t>
      </w:r>
    </w:p>
    <w:p w14:paraId="12459A2D" w14:textId="3216958A" w:rsidR="7C05C098" w:rsidRDefault="00F52005" w:rsidP="3AA96A71">
      <w:pPr>
        <w:spacing w:after="160" w:line="257" w:lineRule="auto"/>
      </w:pPr>
      <w:r w:rsidRPr="00F52005">
        <w:t xml:space="preserve">Roche Diagnostics Australia thanks PASC for the feedback provided and the ratified PICO. RDA confirms that it is likely that the Applicant Developed Assessment Report (ADAR) will include heart failure patients </w:t>
      </w:r>
      <w:r w:rsidRPr="00F52005">
        <w:lastRenderedPageBreak/>
        <w:t xml:space="preserve">across the full spectrum of left ventricular ejection fraction (LVEF), noting that PASC left this to the applicant’s discretion. In relation to the intervention described in the PICO, RDA clarifies that the second NT-proBNP test may take place in the hospital setting prior to discharge, but agrees with PASC that the benefits from the intervention are observed in the post-discharge period and that the proposed PICO is appropriate for the assessment process.  </w:t>
      </w:r>
    </w:p>
    <w:p w14:paraId="6E813E1A" w14:textId="79977C89" w:rsidR="3AA96A71" w:rsidRDefault="3AA96A71" w:rsidP="3AA96A71">
      <w:pPr>
        <w:spacing w:after="160" w:line="259" w:lineRule="auto"/>
      </w:pPr>
    </w:p>
    <w:p w14:paraId="343F0557" w14:textId="3997E4B6" w:rsidR="00196F67" w:rsidRDefault="00196F67" w:rsidP="3EA6284F">
      <w:pPr>
        <w:spacing w:after="160" w:line="259" w:lineRule="auto"/>
        <w:rPr>
          <w:rFonts w:ascii="Franklin Gothic Medium" w:eastAsiaTheme="majorEastAsia" w:hAnsi="Franklin Gothic Medium" w:cstheme="majorBidi"/>
          <w:color w:val="000000" w:themeColor="text1"/>
          <w:sz w:val="32"/>
          <w:szCs w:val="32"/>
        </w:rPr>
      </w:pPr>
      <w:r>
        <w:br w:type="page"/>
      </w:r>
    </w:p>
    <w:p w14:paraId="73A2A9C9" w14:textId="142D9879" w:rsidR="006478E7" w:rsidRDefault="00A33126" w:rsidP="00713728">
      <w:pPr>
        <w:pStyle w:val="Heading2"/>
      </w:pPr>
      <w:r w:rsidRPr="00A33126">
        <w:lastRenderedPageBreak/>
        <w:t>References</w:t>
      </w:r>
    </w:p>
    <w:p w14:paraId="54F608F6" w14:textId="1EE0141C" w:rsidR="0017563A" w:rsidRPr="0017563A" w:rsidRDefault="0017563A" w:rsidP="0017563A">
      <w:pPr>
        <w:pStyle w:val="Bibliography"/>
      </w:pPr>
      <w:r w:rsidRPr="0017563A">
        <w:t xml:space="preserve">Atherton JJ, Sindone A, De Pasquale CG, Driscoll A, MacDonald PS, Hopper I, Kistler P, Briffa TG, Wong J, Abhayaratna WP, Thomas L, Audehm R, Newton PJ, OˈLoughlin J, Connell C and Branagan M (2018) ‘National Heart Foundation of Australia and Cardiac Society of Australia and New Zealand: Australian clinical guidelines for the management of heart failure 2018’, </w:t>
      </w:r>
      <w:r w:rsidRPr="0017563A">
        <w:rPr>
          <w:i/>
          <w:iCs/>
        </w:rPr>
        <w:t>Medical Journal of Australia</w:t>
      </w:r>
      <w:r w:rsidRPr="0017563A">
        <w:t>, 209(8):363–369, doi:10.5694/mja18.00647.</w:t>
      </w:r>
    </w:p>
    <w:p w14:paraId="7DC2B1C9" w14:textId="77777777" w:rsidR="0017563A" w:rsidRPr="0017563A" w:rsidRDefault="0017563A" w:rsidP="0017563A">
      <w:pPr>
        <w:pStyle w:val="Bibliography"/>
      </w:pPr>
      <w:r w:rsidRPr="0017563A">
        <w:t xml:space="preserve">Dixit NM, Parikh NU, Ziaeian B and Fonarow GC (2023) ‘Economic Modeling Analysis of an Intensive GDMT Optimization Program in Hospitalized Heart Failure Patients’, </w:t>
      </w:r>
      <w:r w:rsidRPr="0017563A">
        <w:rPr>
          <w:i/>
          <w:iCs/>
        </w:rPr>
        <w:t>Circulation: Heart Failure</w:t>
      </w:r>
      <w:r w:rsidRPr="0017563A">
        <w:t>, 16(12), doi:10.1161/CIRCHEARTFAILURE.123.011218.</w:t>
      </w:r>
    </w:p>
    <w:p w14:paraId="312B65DB" w14:textId="77777777" w:rsidR="0017563A" w:rsidRPr="0017563A" w:rsidRDefault="0017563A" w:rsidP="0017563A">
      <w:pPr>
        <w:pStyle w:val="Bibliography"/>
      </w:pPr>
      <w:r w:rsidRPr="0017563A">
        <w:t xml:space="preserve">Driscoll A, Dinh D, Prior D, Kaye D, Hare D, Neil C, Lockwood S, Brennan A, Lefkovits J, Carruthers H, Amerena J, Cooke JC, Vaddadi G, Nadurata V and Reid CM (2020) ‘The Effect of Transitional Care on 30-Day Outcomes in Patients Hospitalised With Acute Heart Failure’, </w:t>
      </w:r>
      <w:r w:rsidRPr="0017563A">
        <w:rPr>
          <w:i/>
          <w:iCs/>
        </w:rPr>
        <w:t>Heart, Lung and Circulation</w:t>
      </w:r>
      <w:r w:rsidRPr="0017563A">
        <w:t>, 29(9):1347–1355, doi:10.1016/j.hlc.2020.03.004.</w:t>
      </w:r>
    </w:p>
    <w:p w14:paraId="68EF4385" w14:textId="77777777" w:rsidR="0017563A" w:rsidRPr="0017563A" w:rsidRDefault="0017563A" w:rsidP="0017563A">
      <w:pPr>
        <w:pStyle w:val="Bibliography"/>
      </w:pPr>
      <w:r w:rsidRPr="0017563A">
        <w:t xml:space="preserve">Freedman G, Watt R, Chowdhury EK, Quinlan K, Eccleston D, Driscoll A, Theuerle J and Kearney L (2025) ‘Nurse-Led, Remote Optimisation of Guideline-Directed Medical Therapy in Patients with Heart Failure and Reduced Ejection Fraction Across Australia’, </w:t>
      </w:r>
      <w:r w:rsidRPr="0017563A">
        <w:rPr>
          <w:i/>
          <w:iCs/>
        </w:rPr>
        <w:t>Journal of Clinical Medicine</w:t>
      </w:r>
      <w:r w:rsidRPr="0017563A">
        <w:t>, 14(15):5371, doi:10.3390/jcm14155371.</w:t>
      </w:r>
    </w:p>
    <w:p w14:paraId="3DFE31AA" w14:textId="77777777" w:rsidR="0017563A" w:rsidRPr="0017563A" w:rsidRDefault="0017563A" w:rsidP="0017563A">
      <w:pPr>
        <w:pStyle w:val="Bibliography"/>
      </w:pPr>
      <w:r w:rsidRPr="0017563A">
        <w:t xml:space="preserve">Gadzhanova S and Roughead L (2024) </w:t>
      </w:r>
      <w:r w:rsidRPr="0017563A">
        <w:rPr>
          <w:i/>
          <w:iCs/>
        </w:rPr>
        <w:t>Utilisation analysis of PBS-listed medicines for heart failure</w:t>
      </w:r>
      <w:r w:rsidRPr="0017563A">
        <w:t>, University of South Australia, https://pbs.gov.au/reviews/utilisation-analysis-of-pbs-listed-medicines-for-heart-failure, accessed 19 June 2026.</w:t>
      </w:r>
    </w:p>
    <w:p w14:paraId="5BC41342" w14:textId="77777777" w:rsidR="0017563A" w:rsidRPr="0017563A" w:rsidRDefault="0017563A" w:rsidP="0017563A">
      <w:pPr>
        <w:pStyle w:val="Bibliography"/>
      </w:pPr>
      <w:r w:rsidRPr="0017563A">
        <w:t xml:space="preserve">Greene SJ, Fonarow GC, Vaduganathan M, Khan SS, Butler J and Gheorghiade M (2015) ‘The vulnerable phase after hospitalization for heart failure’, </w:t>
      </w:r>
      <w:r w:rsidRPr="0017563A">
        <w:rPr>
          <w:i/>
          <w:iCs/>
        </w:rPr>
        <w:t>Nature Reviews Cardiology</w:t>
      </w:r>
      <w:r w:rsidRPr="0017563A">
        <w:t>, 12(4):220–229, doi:10.1038/nrcardio.2015.14.</w:t>
      </w:r>
    </w:p>
    <w:p w14:paraId="0C23B647" w14:textId="77777777" w:rsidR="0017563A" w:rsidRPr="0017563A" w:rsidRDefault="0017563A" w:rsidP="0017563A">
      <w:pPr>
        <w:pStyle w:val="Bibliography"/>
      </w:pPr>
      <w:r w:rsidRPr="0017563A">
        <w:t xml:space="preserve">Kimmoun A, Cotter G, Davison B, Takagi K, Addad F, Celutkiene J, Chioncel O, Solal AC, Diaz R, Damasceno A, Duengen H-D, Filippatos G, Goncalvesova E, Merai I, Metra M, Ponikowski P, Privalov D, Sliwa K, Sani MU, Voors AA, Shogenov Z and Mebazaa A (2019) ‘Safety, Tolerability and Efficacy of Rapid Optimization, Helped by NT-proBNP and GDF-15, of Heart Failure Therapies (STRONG-HF): Rationale and Design for a Multicentre, Randomized, Parallel-Group Study’, </w:t>
      </w:r>
      <w:r w:rsidRPr="0017563A">
        <w:rPr>
          <w:i/>
          <w:iCs/>
        </w:rPr>
        <w:t>European Journal of Heart Failure</w:t>
      </w:r>
      <w:r w:rsidRPr="0017563A">
        <w:t>, 21(11):1459–1467, doi:10.1002/ejhf.1575.</w:t>
      </w:r>
    </w:p>
    <w:p w14:paraId="51147977" w14:textId="77777777" w:rsidR="0017563A" w:rsidRPr="0017563A" w:rsidRDefault="0017563A" w:rsidP="0017563A">
      <w:pPr>
        <w:pStyle w:val="Bibliography"/>
      </w:pPr>
      <w:r w:rsidRPr="0017563A">
        <w:t xml:space="preserve">Malgie J, Clephas PRD, Brunner-La Rocca H-P, de Boer RA and Brugts JJ (2023) ‘Guideline-directed medical therapy for HFrEF: sequencing strategies and barriers for life-saving drug therapy’, </w:t>
      </w:r>
      <w:r w:rsidRPr="0017563A">
        <w:rPr>
          <w:i/>
          <w:iCs/>
        </w:rPr>
        <w:t>Heart Failure Reviews</w:t>
      </w:r>
      <w:r w:rsidRPr="0017563A">
        <w:t>, 28(5):1221–1234, doi:10.1007/s10741-023-10325-2.</w:t>
      </w:r>
    </w:p>
    <w:p w14:paraId="1984A280" w14:textId="77777777" w:rsidR="0017563A" w:rsidRPr="0017563A" w:rsidRDefault="0017563A" w:rsidP="0017563A">
      <w:pPr>
        <w:pStyle w:val="Bibliography"/>
      </w:pPr>
      <w:r w:rsidRPr="0017563A">
        <w:t xml:space="preserve">McDonagh J, Ferguson C, Hilmer SN, Hubbard RE, Lindley RI, Driscoll A, Maiorana A, Wu L, Atherton JJ, Bajorek BV, Carr B, Delbaere K, Dent E, Duong MH, Hickman LD, Hopper I, Huynh Q, Jha SR, Keech A, Sim M, Singh GK, Villani A, Shang C, Hsu M, Vandenberg J, Davidson PM and Macdonald PS (2025) ‘An Expert Opinion on the Management of Frailty in Heart Failure from the Australian Cardiovascular Alliance National Taskforce’, </w:t>
      </w:r>
      <w:r w:rsidRPr="0017563A">
        <w:rPr>
          <w:i/>
          <w:iCs/>
        </w:rPr>
        <w:t>Heart, Lung and Circulation</w:t>
      </w:r>
      <w:r w:rsidRPr="0017563A">
        <w:t>, 34(7):693–703, doi:10.1016/j.hlc.2025.01.012.</w:t>
      </w:r>
    </w:p>
    <w:p w14:paraId="105ABAEE" w14:textId="77777777" w:rsidR="0017563A" w:rsidRPr="0017563A" w:rsidRDefault="0017563A" w:rsidP="0017563A">
      <w:pPr>
        <w:pStyle w:val="Bibliography"/>
      </w:pPr>
      <w:r w:rsidRPr="0017563A">
        <w:t xml:space="preserve">McDonagh TA, Metra M, Adamo M, Gardner RS, Baumbach A, Böhm M, Burri H, Butler J, Čelutkienė J, Chioncel O, Cleland JGF, Coats AJS, Crespo-Leiro MG, Farmakis D, Gilard M, Heymans S, Hoes AW, Jaarsma T, Jankowska EA, Lainscak M, Lam CSP, Lyon AR, McMurray JJV, Mebazaa A, Mindham R, Muneretto C, Francesco Piepoli M, Price S, Rosano GMC, Ruschitzka F, Kathrine Skibelund A, ESC Scientific Document Group, De Boer RA, Christian Schulze P, Abdelhamid M, Aboyans V, Adamopoulos S, Anker SD, Arbelo E, Asteggiano R, Bauersachs J, Bayes-Genis A, Borger MA, Budts W, Cikes M, Damman K, Delgado V, Dendale P, Dilaveris P, Drexel H, Ezekowitz J, Falk V, Fauchier L, Filippatos G, Fraser A, Frey N, Gale CP, Gustafsson F, Harris J, Iung B, Janssens S, Jessup M, Konradi A, Kotecha D, Lambrinou E, Lancellotti P, Landmesser U, </w:t>
      </w:r>
      <w:r w:rsidRPr="0017563A">
        <w:lastRenderedPageBreak/>
        <w:t xml:space="preserve">Leclercq C, Lewis BS, Leyva F, Linhart A, Løchen M-L, Lund LH, Mancini D, Masip J, Milicic D, Mueller C, Nef H, Nielsen J-C, Neubeck L, Noutsias M, Petersen SE, Sonia Petronio A, Ponikowski P, Prescott E, Rakisheva A, Richter DJ, Schlyakhto E, Seferovic P, Senni M, Sitges M, Sousa-Uva M, Tocchetti CG, Touyz RM, Tschoepe C, Waltenberger J, Adamo M, Baumbach A, Böhm M, Burri H, Čelutkienė J, Chioncel O, Cleland JGF, Coats AJS, Crespo-Leiro MG, Farmakis D, Gardner RS, Gilard M, Heymans S, Hoes AW, Jaarsma T, Jankowska EA, Lainscak M, Lam CSP, Lyon AR, McMurray JJV, Mebazaa A, Mindham R, Muneretto C, Piepoli MF, Price S, Rosano GMC, Ruschitzka F and Skibelund AK (2021) ‘2021 ESC Guidelines for the diagnosis and treatment of acute and chronic heart failure’, </w:t>
      </w:r>
      <w:r w:rsidRPr="0017563A">
        <w:rPr>
          <w:i/>
          <w:iCs/>
        </w:rPr>
        <w:t>European Heart Journal</w:t>
      </w:r>
      <w:r w:rsidRPr="0017563A">
        <w:t>, 42(36):3599–3726, doi:10.1093/eurheartj/ehab368.</w:t>
      </w:r>
    </w:p>
    <w:p w14:paraId="03C1F94F" w14:textId="77777777" w:rsidR="0017563A" w:rsidRPr="0017563A" w:rsidRDefault="0017563A" w:rsidP="0017563A">
      <w:pPr>
        <w:pStyle w:val="Bibliography"/>
      </w:pPr>
      <w:r w:rsidRPr="0017563A">
        <w:t xml:space="preserve">McLellan J, Heneghan CJ, Perera R, Clements AM, Glasziou PP, Kearley KE, Pidduck N, Roberts NW, Tyndel S, Wright FL and Bankhead C (2016) ‘B-type natriuretic peptide-guided treatment for heart failure’, </w:t>
      </w:r>
      <w:r w:rsidRPr="0017563A">
        <w:rPr>
          <w:i/>
          <w:iCs/>
        </w:rPr>
        <w:t>Cochrane Database of Systematic Reviews</w:t>
      </w:r>
      <w:r w:rsidRPr="0017563A">
        <w:t>, 2016(12), doi:10.1002/14651858.CD008966.pub2.</w:t>
      </w:r>
    </w:p>
    <w:p w14:paraId="4385EBB2" w14:textId="77777777" w:rsidR="0017563A" w:rsidRPr="0017563A" w:rsidRDefault="0017563A" w:rsidP="0017563A">
      <w:pPr>
        <w:pStyle w:val="Bibliography"/>
      </w:pPr>
      <w:r w:rsidRPr="0017563A">
        <w:t xml:space="preserve">Mebazaa A, Davison B, Chioncel O, Cohen-Solal A, Diaz R, Filippatos G, Metra M, Ponikowski P, Sliwa K, Voors AA, Edwards C, Novosadova M, Takagi K, Damasceno A, Saidu H, Gayat E, Pang PS, Celutkiene J and Cotter G (2022) ‘Safety, tolerability and efficacy of up-titration of guideline-directed medical therapies for acute heart failure (STRONG-HF): a multinational, open-label, randomised, trial’, </w:t>
      </w:r>
      <w:r w:rsidRPr="0017563A">
        <w:rPr>
          <w:i/>
          <w:iCs/>
        </w:rPr>
        <w:t>The Lancet</w:t>
      </w:r>
      <w:r w:rsidRPr="0017563A">
        <w:t>, 400(10367):1938–1952, doi:10.1016/S0140-6736(22)02076-1.</w:t>
      </w:r>
    </w:p>
    <w:p w14:paraId="03AFD4A6" w14:textId="77777777" w:rsidR="0017563A" w:rsidRPr="0017563A" w:rsidRDefault="0017563A" w:rsidP="0017563A">
      <w:pPr>
        <w:pStyle w:val="Bibliography"/>
      </w:pPr>
      <w:r w:rsidRPr="0017563A">
        <w:t xml:space="preserve">Nishikimi T and Nakagawa Y (2022) ‘B-Type Natriuretic Peptide (BNP) Revisited—Is BNP Still a Biomarker for Heart Failure in the Angiotensin Receptor/Neprilysin Inhibitor Era?’, </w:t>
      </w:r>
      <w:r w:rsidRPr="0017563A">
        <w:rPr>
          <w:i/>
          <w:iCs/>
        </w:rPr>
        <w:t>Biology</w:t>
      </w:r>
      <w:r w:rsidRPr="0017563A">
        <w:t>, 11(7):1034, doi:10.3390/biology11071034.</w:t>
      </w:r>
    </w:p>
    <w:p w14:paraId="0B7D94A3" w14:textId="77777777" w:rsidR="0017563A" w:rsidRPr="0017563A" w:rsidRDefault="0017563A" w:rsidP="0017563A">
      <w:pPr>
        <w:pStyle w:val="Bibliography"/>
      </w:pPr>
      <w:r w:rsidRPr="0017563A">
        <w:t xml:space="preserve">Pagnesi M, Metra M, Cohen-Solal A, Edwards C, Adamo M, Tomasoni D, Lam CSP, Chioncel O, Diaz R, Filippatos G, Ponikowski P, Sliwa K, Voors AA, Kimmoun A, Novosadova M, Takagi K, Barros M, Damasceno A, Saidu H, Gayat E, Pang PS, Celutkiene J, Cotter G, Mebazaa A and Davison B (2023) ‘Uptitrating Treatment After Heart Failure Hospitalization Across the Spectrum of Left Ventricular Ejection Fraction’, </w:t>
      </w:r>
      <w:r w:rsidRPr="0017563A">
        <w:rPr>
          <w:i/>
          <w:iCs/>
        </w:rPr>
        <w:t>Journal of the American College of Cardiology</w:t>
      </w:r>
      <w:r w:rsidRPr="0017563A">
        <w:t>, 81(22):2131–2144, doi:10.1016/j.jacc.2023.03.426.</w:t>
      </w:r>
    </w:p>
    <w:p w14:paraId="6BBBEAC2" w14:textId="77777777" w:rsidR="0017563A" w:rsidRPr="0017563A" w:rsidRDefault="0017563A" w:rsidP="0017563A">
      <w:pPr>
        <w:pStyle w:val="Bibliography"/>
      </w:pPr>
      <w:r w:rsidRPr="0017563A">
        <w:t xml:space="preserve">Panneflek J, Barbarawi M, Kakarlapudi Y, Barbarawi Z, Lauzea B and Meraz-Torres M (2025) ‘Natriuretic Peptides as Multisystem Regulators: From Clinical Biomarkers to Therapeutic Targets in Cardio-immunology’, </w:t>
      </w:r>
      <w:r w:rsidRPr="0017563A">
        <w:rPr>
          <w:i/>
          <w:iCs/>
        </w:rPr>
        <w:t>Cardiovascular Drugs and Therapy</w:t>
      </w:r>
      <w:r w:rsidRPr="0017563A">
        <w:t>, doi:10.1007/s10557-025-07821-y.</w:t>
      </w:r>
    </w:p>
    <w:p w14:paraId="232A0180" w14:textId="77777777" w:rsidR="0017563A" w:rsidRPr="0017563A" w:rsidRDefault="0017563A" w:rsidP="0017563A">
      <w:pPr>
        <w:pStyle w:val="Bibliography"/>
      </w:pPr>
      <w:r w:rsidRPr="0017563A">
        <w:t xml:space="preserve">Sindone AP, Amerena J, De Pasquale CG, Chan AWP, Gan GCH, Rao SD, Burdeniuk C, Shah A and Atherton JJ (2026) ‘Consensus Statement on Optimisation of Patient Care After Hospitalisation for Acute Heart Failure’, </w:t>
      </w:r>
      <w:r w:rsidRPr="0017563A">
        <w:rPr>
          <w:i/>
          <w:iCs/>
        </w:rPr>
        <w:t>Heart, Lung and Circulation</w:t>
      </w:r>
      <w:r w:rsidRPr="0017563A">
        <w:t>, 35(2):157–170, doi:10.1016/j.hlc.2025.09.019.</w:t>
      </w:r>
    </w:p>
    <w:p w14:paraId="1D884A11" w14:textId="77777777" w:rsidR="0017563A" w:rsidRPr="0017563A" w:rsidRDefault="0017563A" w:rsidP="0017563A">
      <w:pPr>
        <w:pStyle w:val="Bibliography"/>
      </w:pPr>
      <w:r w:rsidRPr="0017563A">
        <w:t xml:space="preserve">Sindone AP, De Pasquale C, Amerena J, Burdeniuk C, Chan A, Coats A, Hare DL, Macdonald P, Sverdlov A and Atherton JJ (2022) ‘Consensus statement on the current pharmacological prevention and management of heart failure’, </w:t>
      </w:r>
      <w:r w:rsidRPr="0017563A">
        <w:rPr>
          <w:i/>
          <w:iCs/>
        </w:rPr>
        <w:t>Medical Journal of Australia</w:t>
      </w:r>
      <w:r w:rsidRPr="0017563A">
        <w:t>, 217(4):212–217, doi:10.5694/mja2.51656.</w:t>
      </w:r>
    </w:p>
    <w:p w14:paraId="108E3B5B" w14:textId="77777777" w:rsidR="0017563A" w:rsidRPr="0017563A" w:rsidRDefault="0017563A" w:rsidP="0017563A">
      <w:pPr>
        <w:pStyle w:val="Bibliography"/>
      </w:pPr>
      <w:r w:rsidRPr="0017563A">
        <w:t xml:space="preserve">Sindone AP, Haikerwal D, Audehm RG, Neville AM, Lim K, Parsons RW, Piazza P and Liew D (2021) ‘Clinical Characteristics of People with Heart Failure in Australian General Practice: Results from a Retrospective Cohort Study’, </w:t>
      </w:r>
      <w:r w:rsidRPr="0017563A">
        <w:rPr>
          <w:i/>
          <w:iCs/>
        </w:rPr>
        <w:t>ESC Heart Failure</w:t>
      </w:r>
      <w:r w:rsidRPr="0017563A">
        <w:t>, 8(6):4497–4505, doi:10.1002/ehf2.13661.</w:t>
      </w:r>
    </w:p>
    <w:p w14:paraId="3B87C8FB" w14:textId="77777777" w:rsidR="0017563A" w:rsidRPr="0017563A" w:rsidRDefault="0017563A" w:rsidP="0017563A">
      <w:pPr>
        <w:pStyle w:val="Bibliography"/>
      </w:pPr>
      <w:r w:rsidRPr="0017563A">
        <w:t xml:space="preserve">Solomon SD, McMurray JJV, Vaduganathan M, Claggett B, Jhund PS, Desai AS, Henderson AD, Lam CSP, Pitt B, Senni M, Shah SJ, Voors AA, Zannad F, Abidin IZ, Alcocer-Gamba MA, Atherton JJ, Bauersachs J, Chang-Sheng M, Chiang C-E, Chioncel O, Chopra V, Comin-Colet J, Filippatos G, Fonseca C, Gajos G, Goland S, Goncalvesova E, Kang S, Katova T, Kosiborod MN, Latkovskis G, Lee AP-W, Linssen GCM, Llamas-Esperón G, Mareev V, Martinez FA, Melenovský V, Merkely B, Nodari S, Petrie MC, Saldarriaga CI, Saraiva JFK, Sato N, Schou M, Sharma K, Troughton R, Udell JA, Ukkonen H, Vardeny O, Verma S, Lewinski D von, Voronkov L, Yilmaz MB, Zieroth S, Lay-Flurrie J, Gameren I van, Amarante F, Kolkhof P and Viswanathan P (2024) ‘Finerenone in Heart Failure with Mildly Reduced or Preserved Ejection Fraction’, </w:t>
      </w:r>
      <w:r w:rsidRPr="0017563A">
        <w:rPr>
          <w:i/>
          <w:iCs/>
        </w:rPr>
        <w:t>New England Journal of Medicine</w:t>
      </w:r>
      <w:r w:rsidRPr="0017563A">
        <w:t>, 391(16):1475–1485, doi:10.1056/NEJMoa2407107.</w:t>
      </w:r>
    </w:p>
    <w:p w14:paraId="3790849C" w14:textId="49A37584" w:rsidR="0015720A" w:rsidRPr="0015720A" w:rsidRDefault="0015720A" w:rsidP="00AB25F5"/>
    <w:p w14:paraId="3923ED2A" w14:textId="12756D2C" w:rsidR="005A0C40" w:rsidRPr="00E01349" w:rsidRDefault="005A0C40" w:rsidP="00D64DED">
      <w:pPr>
        <w:pStyle w:val="Instructionaltext"/>
      </w:pPr>
    </w:p>
    <w:sectPr w:rsidR="005A0C40" w:rsidRPr="00E01349" w:rsidSect="001F0C55">
      <w:pgSz w:w="11906" w:h="16838"/>
      <w:pgMar w:top="682" w:right="1134" w:bottom="1021" w:left="119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97E6C" w14:textId="77777777" w:rsidR="00715C69" w:rsidRDefault="00715C69" w:rsidP="0016315C">
      <w:pPr>
        <w:spacing w:after="0" w:line="240" w:lineRule="auto"/>
      </w:pPr>
      <w:r>
        <w:separator/>
      </w:r>
    </w:p>
  </w:endnote>
  <w:endnote w:type="continuationSeparator" w:id="0">
    <w:p w14:paraId="5994BD93" w14:textId="77777777" w:rsidR="00715C69" w:rsidRDefault="00715C69" w:rsidP="0016315C">
      <w:pPr>
        <w:spacing w:after="0" w:line="240" w:lineRule="auto"/>
      </w:pPr>
      <w:r>
        <w:continuationSeparator/>
      </w:r>
    </w:p>
  </w:endnote>
  <w:endnote w:type="continuationNotice" w:id="1">
    <w:p w14:paraId="4F871B05" w14:textId="77777777" w:rsidR="00715C69" w:rsidRDefault="00715C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OpenSans-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D3D2" w14:textId="7913EF37" w:rsidR="00685355" w:rsidRDefault="00B01FF4">
    <w:pPr>
      <w:pStyle w:val="Footer"/>
      <w:framePr w:wrap="none" w:vAnchor="text" w:hAnchor="margin" w:xAlign="right" w:y="1"/>
      <w:rPr>
        <w:rStyle w:val="PageNumber"/>
      </w:rPr>
    </w:pPr>
    <w:r>
      <w:rPr>
        <w:noProof/>
      </w:rPr>
      <mc:AlternateContent>
        <mc:Choice Requires="wps">
          <w:drawing>
            <wp:anchor distT="0" distB="0" distL="0" distR="0" simplePos="0" relativeHeight="251663365" behindDoc="0" locked="0" layoutInCell="1" allowOverlap="1" wp14:anchorId="0CCD14C8" wp14:editId="1C982D73">
              <wp:simplePos x="635" y="635"/>
              <wp:positionH relativeFrom="page">
                <wp:align>center</wp:align>
              </wp:positionH>
              <wp:positionV relativeFrom="page">
                <wp:align>bottom</wp:align>
              </wp:positionV>
              <wp:extent cx="622300" cy="404495"/>
              <wp:effectExtent l="0" t="0" r="6350" b="0"/>
              <wp:wrapNone/>
              <wp:docPr id="188152655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2CE7866" w14:textId="35EDBD24"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CD14C8" id="_x0000_t202" coordsize="21600,21600" o:spt="202" path="m,l,21600r21600,l21600,xe">
              <v:stroke joinstyle="miter"/>
              <v:path gradientshapeok="t" o:connecttype="rect"/>
            </v:shapetype>
            <v:shape id="Text Box 11" o:spid="_x0000_s1027" type="#_x0000_t202" alt="OFFICIAL" style="position:absolute;margin-left:0;margin-top:0;width:49pt;height:31.8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32CE7866" w14:textId="35EDBD24"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v:textbox>
              <w10:wrap anchorx="page" anchory="page"/>
            </v:shape>
          </w:pict>
        </mc:Fallback>
      </mc:AlternateContent>
    </w:r>
    <w:r w:rsidR="00685355">
      <w:rPr>
        <w:rStyle w:val="PageNumber"/>
      </w:rPr>
      <w:fldChar w:fldCharType="begin"/>
    </w:r>
    <w:r w:rsidR="00685355">
      <w:rPr>
        <w:rStyle w:val="PageNumber"/>
      </w:rPr>
      <w:instrText xml:space="preserve"> PAGE </w:instrText>
    </w:r>
    <w:r w:rsidR="00685355">
      <w:rPr>
        <w:rStyle w:val="PageNumber"/>
      </w:rPr>
      <w:fldChar w:fldCharType="separate"/>
    </w:r>
    <w:r w:rsidR="003A1E02">
      <w:rPr>
        <w:rStyle w:val="PageNumber"/>
        <w:noProof/>
      </w:rPr>
      <w:t>1</w:t>
    </w:r>
    <w:r w:rsidR="00685355">
      <w:rPr>
        <w:rStyle w:val="PageNumber"/>
      </w:rPr>
      <w:fldChar w:fldCharType="end"/>
    </w:r>
  </w:p>
  <w:p w14:paraId="74E72C2D" w14:textId="77777777" w:rsidR="00685355" w:rsidRDefault="00685355" w:rsidP="006853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CA8" w14:textId="33FDCF78" w:rsidR="0015018B" w:rsidRPr="009B57D9" w:rsidRDefault="0015018B" w:rsidP="0015018B">
    <w:pPr>
      <w:spacing w:after="0"/>
      <w:contextualSpacing/>
      <w:jc w:val="center"/>
      <w:rPr>
        <w:sz w:val="18"/>
        <w:szCs w:val="18"/>
      </w:rPr>
    </w:pPr>
  </w:p>
  <w:p w14:paraId="3B4966E4" w14:textId="6959DF2F" w:rsidR="0015018B" w:rsidRDefault="00715C69" w:rsidP="001F0C55">
    <w:pPr>
      <w:pStyle w:val="Footer"/>
      <w:framePr w:wrap="none" w:vAnchor="page" w:hAnchor="page" w:x="10666" w:y="15301"/>
      <w:rPr>
        <w:rStyle w:val="PageNumber"/>
      </w:rPr>
    </w:pPr>
    <w:sdt>
      <w:sdtPr>
        <w:rPr>
          <w:rStyle w:val="PageNumber"/>
        </w:rPr>
        <w:id w:val="-2093382827"/>
        <w:docPartObj>
          <w:docPartGallery w:val="Page Numbers (Bottom of Page)"/>
          <w:docPartUnique/>
        </w:docPartObj>
      </w:sdtPr>
      <w:sdtEndPr>
        <w:rPr>
          <w:rStyle w:val="PageNumber"/>
        </w:rPr>
      </w:sdtEndPr>
      <w:sdtContent>
        <w:r w:rsidR="0015018B">
          <w:rPr>
            <w:rStyle w:val="PageNumber"/>
          </w:rPr>
          <w:fldChar w:fldCharType="begin"/>
        </w:r>
        <w:r w:rsidR="0015018B">
          <w:rPr>
            <w:rStyle w:val="PageNumber"/>
          </w:rPr>
          <w:instrText xml:space="preserve"> PAGE </w:instrText>
        </w:r>
        <w:r w:rsidR="0015018B">
          <w:rPr>
            <w:rStyle w:val="PageNumber"/>
          </w:rPr>
          <w:fldChar w:fldCharType="separate"/>
        </w:r>
        <w:r w:rsidR="0015018B">
          <w:rPr>
            <w:rStyle w:val="PageNumber"/>
            <w:noProof/>
          </w:rPr>
          <w:t>1</w:t>
        </w:r>
        <w:r w:rsidR="0015018B">
          <w:rPr>
            <w:rStyle w:val="PageNumber"/>
          </w:rPr>
          <w:fldChar w:fldCharType="end"/>
        </w:r>
      </w:sdtContent>
    </w:sdt>
  </w:p>
  <w:p w14:paraId="33649654" w14:textId="4662EA01" w:rsidR="0016315C" w:rsidRPr="00685355" w:rsidRDefault="30D6E7DD" w:rsidP="001F0C55">
    <w:pPr>
      <w:jc w:val="center"/>
    </w:pPr>
    <w:r>
      <w:t>Ratified PICO Confirmation – August 2026 PASC Meeting</w:t>
    </w:r>
    <w:r w:rsidR="60009B8A">
      <w:br/>
    </w:r>
    <w:r>
      <w:t>Application 1826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4D21" w14:textId="75DFBD04" w:rsidR="009A4FFB" w:rsidRDefault="00B01FF4">
    <w:pPr>
      <w:pStyle w:val="Footer"/>
    </w:pPr>
    <w:r>
      <w:rPr>
        <w:noProof/>
      </w:rPr>
      <mc:AlternateContent>
        <mc:Choice Requires="wps">
          <w:drawing>
            <wp:anchor distT="0" distB="0" distL="0" distR="0" simplePos="0" relativeHeight="251662341" behindDoc="0" locked="0" layoutInCell="1" allowOverlap="1" wp14:anchorId="236342F5" wp14:editId="537FC85A">
              <wp:simplePos x="635" y="635"/>
              <wp:positionH relativeFrom="page">
                <wp:align>center</wp:align>
              </wp:positionH>
              <wp:positionV relativeFrom="page">
                <wp:align>bottom</wp:align>
              </wp:positionV>
              <wp:extent cx="622300" cy="404495"/>
              <wp:effectExtent l="0" t="0" r="6350" b="0"/>
              <wp:wrapNone/>
              <wp:docPr id="134445326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36E7237" w14:textId="5F207395"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6342F5" id="_x0000_t202" coordsize="21600,21600" o:spt="202" path="m,l,21600r21600,l21600,xe">
              <v:stroke joinstyle="miter"/>
              <v:path gradientshapeok="t" o:connecttype="rect"/>
            </v:shapetype>
            <v:shape id="Text Box 10" o:spid="_x0000_s1029" type="#_x0000_t202" alt="OFFICIAL" style="position:absolute;margin-left:0;margin-top:0;width:49pt;height:31.8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236E7237" w14:textId="5F207395"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AE88" w14:textId="77777777" w:rsidR="00715C69" w:rsidRDefault="00715C69" w:rsidP="0016315C">
      <w:pPr>
        <w:spacing w:after="0" w:line="240" w:lineRule="auto"/>
      </w:pPr>
      <w:r>
        <w:separator/>
      </w:r>
    </w:p>
  </w:footnote>
  <w:footnote w:type="continuationSeparator" w:id="0">
    <w:p w14:paraId="21ADF993" w14:textId="77777777" w:rsidR="00715C69" w:rsidRDefault="00715C69" w:rsidP="0016315C">
      <w:pPr>
        <w:spacing w:after="0" w:line="240" w:lineRule="auto"/>
      </w:pPr>
      <w:r>
        <w:continuationSeparator/>
      </w:r>
    </w:p>
  </w:footnote>
  <w:footnote w:type="continuationNotice" w:id="1">
    <w:p w14:paraId="4C02EC4D" w14:textId="77777777" w:rsidR="00715C69" w:rsidRDefault="00715C69">
      <w:pPr>
        <w:spacing w:after="0" w:line="240" w:lineRule="auto"/>
      </w:pPr>
    </w:p>
  </w:footnote>
  <w:footnote w:id="2">
    <w:p w14:paraId="1AFAF6B2" w14:textId="03BFC16E" w:rsidR="001459B1" w:rsidRDefault="001459B1">
      <w:pPr>
        <w:pStyle w:val="FootnoteText"/>
      </w:pPr>
      <w:r>
        <w:rPr>
          <w:rStyle w:val="FootnoteReference"/>
        </w:rPr>
        <w:footnoteRef/>
      </w:r>
      <w:r>
        <w:t xml:space="preserve"> </w:t>
      </w:r>
      <w:r w:rsidR="009575C9" w:rsidRPr="00831499">
        <w:rPr>
          <w:rFonts w:ascii="Arial Narrow" w:hAnsi="Arial Narrow"/>
          <w:iCs/>
          <w:sz w:val="18"/>
          <w:szCs w:val="18"/>
        </w:rPr>
        <w:t xml:space="preserve">Originally isolated from porcine brain tissue, </w:t>
      </w:r>
      <w:r w:rsidR="00145A9A" w:rsidRPr="00831499">
        <w:rPr>
          <w:rFonts w:ascii="Arial Narrow" w:hAnsi="Arial Narrow"/>
          <w:iCs/>
          <w:sz w:val="18"/>
          <w:szCs w:val="18"/>
        </w:rPr>
        <w:t>NT-proBNP is now more frequently referred to as</w:t>
      </w:r>
      <w:r w:rsidRPr="00831499">
        <w:rPr>
          <w:rFonts w:ascii="Arial Narrow" w:hAnsi="Arial Narrow"/>
          <w:iCs/>
          <w:sz w:val="18"/>
          <w:szCs w:val="18"/>
        </w:rPr>
        <w:t xml:space="preserve"> N-terminal pro-B-type natriuretic peptide</w:t>
      </w:r>
      <w:r w:rsidR="009575C9" w:rsidRPr="00831499">
        <w:rPr>
          <w:rFonts w:ascii="Arial Narrow" w:hAnsi="Arial Narrow"/>
          <w:iCs/>
          <w:sz w:val="18"/>
          <w:szCs w:val="18"/>
        </w:rPr>
        <w:t>.</w:t>
      </w:r>
    </w:p>
  </w:footnote>
  <w:footnote w:id="3">
    <w:p w14:paraId="5C70371B" w14:textId="3625266E" w:rsidR="008E087E" w:rsidRDefault="008E087E">
      <w:pPr>
        <w:pStyle w:val="FootnoteText"/>
      </w:pPr>
      <w:r>
        <w:rPr>
          <w:rStyle w:val="FootnoteReference"/>
        </w:rPr>
        <w:footnoteRef/>
      </w:r>
      <w:r>
        <w:t xml:space="preserve"> </w:t>
      </w:r>
      <w:bookmarkStart w:id="5" w:name="_Hlk235096173"/>
      <w:r w:rsidR="004C6B45">
        <w:rPr>
          <w:rFonts w:ascii="Arial Narrow" w:hAnsi="Arial Narrow"/>
          <w:sz w:val="18"/>
          <w:szCs w:val="18"/>
        </w:rPr>
        <w:t>Information supplied by the applicant d</w:t>
      </w:r>
      <w:r w:rsidRPr="00831499">
        <w:rPr>
          <w:rFonts w:ascii="Arial Narrow" w:hAnsi="Arial Narrow"/>
          <w:sz w:val="18"/>
          <w:szCs w:val="18"/>
        </w:rPr>
        <w:t xml:space="preserve">uring </w:t>
      </w:r>
      <w:r w:rsidR="00F54E37">
        <w:rPr>
          <w:rFonts w:ascii="Arial Narrow" w:hAnsi="Arial Narrow"/>
          <w:sz w:val="18"/>
          <w:szCs w:val="18"/>
        </w:rPr>
        <w:t>the</w:t>
      </w:r>
      <w:r w:rsidRPr="00831499">
        <w:rPr>
          <w:rFonts w:ascii="Arial Narrow" w:hAnsi="Arial Narrow"/>
          <w:sz w:val="18"/>
          <w:szCs w:val="18"/>
        </w:rPr>
        <w:t xml:space="preserve"> pre</w:t>
      </w:r>
      <w:r w:rsidR="00FA60EA" w:rsidRPr="00831499">
        <w:rPr>
          <w:rFonts w:ascii="Arial Narrow" w:hAnsi="Arial Narrow"/>
          <w:sz w:val="18"/>
          <w:szCs w:val="18"/>
        </w:rPr>
        <w:t>-PASC meeting, 15 June 2026.</w:t>
      </w:r>
      <w:bookmarkEnd w:id="5"/>
    </w:p>
  </w:footnote>
  <w:footnote w:id="4">
    <w:p w14:paraId="53BDE70D" w14:textId="02FE5FD4" w:rsidR="006659E6" w:rsidRPr="006659E6" w:rsidRDefault="006659E6">
      <w:pPr>
        <w:pStyle w:val="FootnoteText"/>
        <w:rPr>
          <w:lang w:val="en-US"/>
        </w:rPr>
      </w:pPr>
      <w:r>
        <w:rPr>
          <w:rStyle w:val="FootnoteReference"/>
        </w:rPr>
        <w:footnoteRef/>
      </w:r>
      <w:r>
        <w:t xml:space="preserve"> </w:t>
      </w:r>
      <w:r w:rsidR="00BA3372" w:rsidRPr="00BA3372">
        <w:rPr>
          <w:rFonts w:ascii="Arial Narrow" w:hAnsi="Arial Narrow"/>
          <w:sz w:val="18"/>
          <w:szCs w:val="18"/>
          <w:lang w:val="en-US"/>
        </w:rPr>
        <w:t>ARB</w:t>
      </w:r>
      <w:r w:rsidRPr="00BA3372">
        <w:rPr>
          <w:rFonts w:ascii="Arial Narrow" w:hAnsi="Arial Narrow"/>
          <w:sz w:val="18"/>
          <w:szCs w:val="18"/>
          <w:lang w:val="en-US"/>
        </w:rPr>
        <w:t xml:space="preserve"> can be used if intolerant to ARNI and ACE inhibit</w:t>
      </w:r>
      <w:r w:rsidR="00BA3372" w:rsidRPr="00BA3372">
        <w:rPr>
          <w:rFonts w:ascii="Arial Narrow" w:hAnsi="Arial Narrow"/>
          <w:sz w:val="18"/>
          <w:szCs w:val="18"/>
          <w:lang w:val="en-US"/>
        </w:rPr>
        <w:t>or.</w:t>
      </w:r>
    </w:p>
  </w:footnote>
  <w:footnote w:id="5">
    <w:p w14:paraId="3405D80A" w14:textId="6235A7AC" w:rsidR="00FE7122" w:rsidRPr="00FE7122" w:rsidRDefault="00FE7122" w:rsidP="00243505">
      <w:pPr>
        <w:pStyle w:val="FootnoteText"/>
        <w:spacing w:after="120"/>
        <w:rPr>
          <w:lang w:val="en-US"/>
        </w:rPr>
      </w:pPr>
      <w:r>
        <w:rPr>
          <w:rStyle w:val="FootnoteReference"/>
        </w:rPr>
        <w:footnoteRef/>
      </w:r>
      <w:r>
        <w:t xml:space="preserve"> </w:t>
      </w:r>
      <w:hyperlink r:id="rId1" w:tooltip="Link to entry on the PBS" w:history="1">
        <w:r w:rsidR="00341577" w:rsidRPr="007B445A">
          <w:rPr>
            <w:rStyle w:val="Hyperlink"/>
            <w:rFonts w:ascii="Arial Narrow" w:hAnsi="Arial Narrow"/>
            <w:sz w:val="18"/>
            <w:szCs w:val="18"/>
            <w:lang w:val="en-US"/>
          </w:rPr>
          <w:t>Finerenone</w:t>
        </w:r>
      </w:hyperlink>
      <w:r w:rsidR="00341577" w:rsidRPr="007B445A">
        <w:rPr>
          <w:rFonts w:ascii="Arial Narrow" w:hAnsi="Arial Narrow"/>
          <w:sz w:val="18"/>
          <w:szCs w:val="18"/>
          <w:lang w:val="en-US"/>
        </w:rPr>
        <w:t xml:space="preserve"> is currently restricted on the PBS to patients with chronic kidney disease with Type 2 diabetes</w:t>
      </w:r>
    </w:p>
  </w:footnote>
  <w:footnote w:id="6">
    <w:p w14:paraId="4DA2F7FE" w14:textId="44190D68" w:rsidR="003A5FD7" w:rsidRDefault="003A5FD7" w:rsidP="00C40B08">
      <w:pPr>
        <w:pStyle w:val="Tablenotes"/>
      </w:pPr>
      <w:r>
        <w:rPr>
          <w:rStyle w:val="FootnoteReference"/>
        </w:rPr>
        <w:footnoteRef/>
      </w:r>
      <w:r>
        <w:t xml:space="preserve"> </w:t>
      </w:r>
      <w:r w:rsidR="00C40B08">
        <w:t xml:space="preserve">Differs to GDMT </w:t>
      </w:r>
      <w:r w:rsidR="007E59E5">
        <w:t>as defined in the population</w:t>
      </w:r>
      <w:r w:rsidR="00734EF6">
        <w:t xml:space="preserve">. PBAC has noted that </w:t>
      </w:r>
      <w:r w:rsidR="00256D36">
        <w:t>restrictions may need to be revised to align with clinical guidelines (</w:t>
      </w:r>
      <w:hyperlink r:id="rId2" w:tooltip="Link to the PBAC Outcomes - September 2024" w:history="1">
        <w:r w:rsidR="00256D36" w:rsidRPr="001A04A0">
          <w:rPr>
            <w:rStyle w:val="Hyperlink"/>
            <w:rFonts w:ascii="Arial Narrow" w:hAnsi="Arial Narrow" w:cs="Arial"/>
          </w:rPr>
          <w:t>September 2024 PBAC outcomes</w:t>
        </w:r>
      </w:hyperlink>
      <w:r w:rsidR="00256D36">
        <w:t>.</w:t>
      </w:r>
      <w:r w:rsidR="00F34AE0">
        <w:t>)</w:t>
      </w:r>
      <w:r w:rsidR="00256D36">
        <w:t xml:space="preserve"> </w:t>
      </w:r>
    </w:p>
  </w:footnote>
  <w:footnote w:id="7">
    <w:p w14:paraId="634656FD" w14:textId="7B3AD69B" w:rsidR="00B41EB6" w:rsidRDefault="00B41EB6">
      <w:pPr>
        <w:pStyle w:val="FootnoteText"/>
      </w:pPr>
      <w:r>
        <w:rPr>
          <w:rStyle w:val="FootnoteReference"/>
        </w:rPr>
        <w:footnoteRef/>
      </w:r>
      <w:r>
        <w:t xml:space="preserve"> </w:t>
      </w:r>
      <w:r w:rsidR="00DC563C" w:rsidRPr="00AE5647">
        <w:rPr>
          <w:rFonts w:ascii="Arial Narrow" w:hAnsi="Arial Narrow"/>
          <w:sz w:val="18"/>
          <w:szCs w:val="18"/>
        </w:rPr>
        <w:t xml:space="preserve">PBAC did not support an application to expand </w:t>
      </w:r>
      <w:r w:rsidR="006B4D45" w:rsidRPr="00AE5647">
        <w:rPr>
          <w:rFonts w:ascii="Arial Narrow" w:hAnsi="Arial Narrow"/>
          <w:sz w:val="18"/>
          <w:szCs w:val="18"/>
        </w:rPr>
        <w:t xml:space="preserve">access to ARNI to LVEF 41 to </w:t>
      </w:r>
      <w:r w:rsidR="006B4D45" w:rsidRPr="00AE5647">
        <w:rPr>
          <w:rFonts w:ascii="Arial Narrow" w:hAnsi="Arial Narrow" w:cs="Calibri"/>
          <w:sz w:val="18"/>
          <w:szCs w:val="18"/>
        </w:rPr>
        <w:t>≤</w:t>
      </w:r>
      <w:r w:rsidR="002B5B54" w:rsidRPr="00AE5647">
        <w:rPr>
          <w:rFonts w:ascii="Arial Narrow" w:hAnsi="Arial Narrow"/>
          <w:sz w:val="18"/>
          <w:szCs w:val="18"/>
        </w:rPr>
        <w:t>50% or for first-line use (i</w:t>
      </w:r>
      <w:r w:rsidR="004136F9">
        <w:rPr>
          <w:rFonts w:ascii="Arial Narrow" w:hAnsi="Arial Narrow"/>
          <w:sz w:val="18"/>
          <w:szCs w:val="18"/>
        </w:rPr>
        <w:t>.</w:t>
      </w:r>
      <w:r w:rsidR="002B5B54" w:rsidRPr="00AE5647">
        <w:rPr>
          <w:rFonts w:ascii="Arial Narrow" w:hAnsi="Arial Narrow"/>
          <w:sz w:val="18"/>
          <w:szCs w:val="18"/>
        </w:rPr>
        <w:t>e.</w:t>
      </w:r>
      <w:r w:rsidR="004136F9">
        <w:rPr>
          <w:rFonts w:ascii="Arial Narrow" w:hAnsi="Arial Narrow"/>
          <w:sz w:val="18"/>
          <w:szCs w:val="18"/>
        </w:rPr>
        <w:t>,</w:t>
      </w:r>
      <w:r w:rsidR="002B5B54" w:rsidRPr="00AE5647">
        <w:rPr>
          <w:rFonts w:ascii="Arial Narrow" w:hAnsi="Arial Narrow"/>
          <w:sz w:val="18"/>
          <w:szCs w:val="18"/>
        </w:rPr>
        <w:t xml:space="preserve"> </w:t>
      </w:r>
      <w:r w:rsidR="00556C36">
        <w:rPr>
          <w:rFonts w:ascii="Arial Narrow" w:hAnsi="Arial Narrow"/>
          <w:sz w:val="18"/>
          <w:szCs w:val="18"/>
        </w:rPr>
        <w:t>t</w:t>
      </w:r>
      <w:r w:rsidR="002B5B54" w:rsidRPr="00AE5647">
        <w:rPr>
          <w:rFonts w:ascii="Arial Narrow" w:hAnsi="Arial Narrow"/>
          <w:sz w:val="18"/>
          <w:szCs w:val="18"/>
        </w:rPr>
        <w:t xml:space="preserve">o replace ACE/ARBs) </w:t>
      </w:r>
      <w:hyperlink r:id="rId3" w:tooltip="Link to the PBAC PSD" w:history="1">
        <w:r w:rsidR="00AE5647" w:rsidRPr="00AE5647">
          <w:rPr>
            <w:rStyle w:val="Hyperlink"/>
            <w:rFonts w:ascii="Arial Narrow" w:hAnsi="Arial Narrow"/>
            <w:sz w:val="18"/>
            <w:szCs w:val="18"/>
          </w:rPr>
          <w:t>Sacubitril with valsartan – November 2020 Public Summary Document</w:t>
        </w:r>
      </w:hyperlink>
      <w:r w:rsidR="00F81AE3">
        <w:t xml:space="preserve"> </w:t>
      </w:r>
    </w:p>
  </w:footnote>
  <w:footnote w:id="8">
    <w:p w14:paraId="7A7EF9B9" w14:textId="50D31BC5" w:rsidR="004850DE" w:rsidRDefault="004850DE">
      <w:pPr>
        <w:pStyle w:val="FootnoteText"/>
      </w:pPr>
      <w:r>
        <w:rPr>
          <w:rStyle w:val="FootnoteReference"/>
        </w:rPr>
        <w:footnoteRef/>
      </w:r>
      <w:r>
        <w:t xml:space="preserve"> </w:t>
      </w:r>
      <w:r w:rsidRPr="003154D5">
        <w:rPr>
          <w:rStyle w:val="TablenotesChar"/>
          <w:rFonts w:eastAsia="Calibri"/>
        </w:rPr>
        <w:t>Note that standard of care in the analysis consisted of ACE</w:t>
      </w:r>
      <w:r w:rsidR="00B3751E">
        <w:rPr>
          <w:rStyle w:val="TablenotesChar"/>
          <w:rFonts w:eastAsia="Calibri"/>
        </w:rPr>
        <w:t xml:space="preserve"> inhibitor</w:t>
      </w:r>
      <w:r w:rsidRPr="003154D5">
        <w:rPr>
          <w:rStyle w:val="TablenotesChar"/>
          <w:rFonts w:eastAsia="Calibri"/>
        </w:rPr>
        <w:t>/ARB</w:t>
      </w:r>
      <w:r w:rsidR="00976E2F" w:rsidRPr="003154D5">
        <w:rPr>
          <w:rStyle w:val="TablenotesChar"/>
          <w:rFonts w:eastAsia="Calibri"/>
        </w:rPr>
        <w:t xml:space="preserve">/ARNI + heart specific beta blocker +/- MRA +/- SGLT2 inhibitor and was therefore a less stringent definition than GDMT as defined in the proposed population. </w:t>
      </w:r>
    </w:p>
  </w:footnote>
  <w:footnote w:id="9">
    <w:p w14:paraId="1A7E8611" w14:textId="6D5CD4E2" w:rsidR="00674BC7" w:rsidRPr="009C4D31" w:rsidRDefault="00674BC7" w:rsidP="00674BC7">
      <w:pPr>
        <w:pStyle w:val="FootnoteText"/>
        <w:rPr>
          <w:rFonts w:ascii="Arial Narrow" w:hAnsi="Arial Narrow"/>
          <w:sz w:val="18"/>
          <w:szCs w:val="18"/>
        </w:rPr>
      </w:pPr>
      <w:r>
        <w:rPr>
          <w:rStyle w:val="FootnoteReference"/>
        </w:rPr>
        <w:footnoteRef/>
      </w:r>
      <w:r>
        <w:t xml:space="preserve"> </w:t>
      </w:r>
      <w:r w:rsidRPr="009E0E88">
        <w:rPr>
          <w:rFonts w:ascii="Arial Narrow" w:hAnsi="Arial Narrow"/>
          <w:sz w:val="18"/>
          <w:szCs w:val="18"/>
        </w:rPr>
        <w:t xml:space="preserve">AIHW (Australian Institute of Health and Welfare) (2025) </w:t>
      </w:r>
      <w:hyperlink r:id="rId4" w:tooltip="Link to the web report" w:history="1">
        <w:r w:rsidRPr="009E0E88">
          <w:rPr>
            <w:rStyle w:val="Hyperlink"/>
            <w:rFonts w:ascii="Arial Narrow" w:hAnsi="Arial Narrow"/>
            <w:i/>
            <w:iCs/>
            <w:sz w:val="18"/>
            <w:szCs w:val="18"/>
          </w:rPr>
          <w:t>Hospital to community: How Australians with heart failure receive health care</w:t>
        </w:r>
      </w:hyperlink>
      <w:r w:rsidRPr="009E0E88">
        <w:rPr>
          <w:rFonts w:ascii="Arial Narrow" w:hAnsi="Arial Narrow"/>
          <w:sz w:val="18"/>
          <w:szCs w:val="18"/>
        </w:rPr>
        <w:t>, AIHW, Australian Government, accessed 17 June 2026.</w:t>
      </w:r>
    </w:p>
  </w:footnote>
  <w:footnote w:id="10">
    <w:p w14:paraId="2D78FA16" w14:textId="40EE06CA" w:rsidR="00E336A9" w:rsidRDefault="00E336A9">
      <w:pPr>
        <w:pStyle w:val="FootnoteText"/>
      </w:pPr>
      <w:r>
        <w:rPr>
          <w:rStyle w:val="FootnoteReference"/>
        </w:rPr>
        <w:footnoteRef/>
      </w:r>
      <w:r>
        <w:t xml:space="preserve"> </w:t>
      </w:r>
      <w:r w:rsidR="000F2A7A" w:rsidRPr="00096F8B">
        <w:rPr>
          <w:rFonts w:ascii="Arial Narrow" w:hAnsi="Arial Narrow"/>
          <w:sz w:val="18"/>
          <w:szCs w:val="18"/>
        </w:rPr>
        <w:t>RCPA</w:t>
      </w:r>
      <w:r w:rsidR="00490DC3" w:rsidRPr="00096F8B">
        <w:rPr>
          <w:rFonts w:ascii="Arial Narrow" w:hAnsi="Arial Narrow"/>
          <w:sz w:val="18"/>
          <w:szCs w:val="18"/>
        </w:rPr>
        <w:t xml:space="preserve"> Manual – </w:t>
      </w:r>
      <w:hyperlink r:id="rId5" w:tooltip="Link to the webpage of NT-proBNP in the RCPA manual" w:history="1">
        <w:r w:rsidR="00490DC3" w:rsidRPr="00096F8B">
          <w:rPr>
            <w:rStyle w:val="Hyperlink"/>
            <w:rFonts w:ascii="Arial Narrow" w:hAnsi="Arial Narrow"/>
            <w:sz w:val="18"/>
            <w:szCs w:val="18"/>
          </w:rPr>
          <w:t>NT pro B-Natriuretic peptide</w:t>
        </w:r>
      </w:hyperlink>
    </w:p>
  </w:footnote>
  <w:footnote w:id="11">
    <w:p w14:paraId="4DEC566E" w14:textId="011600E0" w:rsidR="00CF1863" w:rsidRDefault="00CF1863">
      <w:pPr>
        <w:pStyle w:val="FootnoteText"/>
      </w:pPr>
      <w:r>
        <w:rPr>
          <w:rStyle w:val="FootnoteReference"/>
        </w:rPr>
        <w:footnoteRef/>
      </w:r>
      <w:r>
        <w:t xml:space="preserve"> </w:t>
      </w:r>
      <w:r>
        <w:rPr>
          <w:rFonts w:ascii="Arial Narrow" w:hAnsi="Arial Narrow"/>
          <w:sz w:val="18"/>
          <w:szCs w:val="18"/>
        </w:rPr>
        <w:t>Information supplied by the applicant d</w:t>
      </w:r>
      <w:r w:rsidRPr="00831499">
        <w:rPr>
          <w:rFonts w:ascii="Arial Narrow" w:hAnsi="Arial Narrow"/>
          <w:sz w:val="18"/>
          <w:szCs w:val="18"/>
        </w:rPr>
        <w:t xml:space="preserve">uring </w:t>
      </w:r>
      <w:r>
        <w:rPr>
          <w:rFonts w:ascii="Arial Narrow" w:hAnsi="Arial Narrow"/>
          <w:sz w:val="18"/>
          <w:szCs w:val="18"/>
        </w:rPr>
        <w:t>the</w:t>
      </w:r>
      <w:r w:rsidRPr="00831499">
        <w:rPr>
          <w:rFonts w:ascii="Arial Narrow" w:hAnsi="Arial Narrow"/>
          <w:sz w:val="18"/>
          <w:szCs w:val="18"/>
        </w:rPr>
        <w:t xml:space="preserve"> pre-PASC meeting, 15 June 2026.</w:t>
      </w:r>
    </w:p>
  </w:footnote>
  <w:footnote w:id="12">
    <w:p w14:paraId="624656EF" w14:textId="5DD61E8B" w:rsidR="007537C7" w:rsidRPr="00A02BE9" w:rsidRDefault="007537C7">
      <w:pPr>
        <w:pStyle w:val="FootnoteText"/>
        <w:rPr>
          <w:rFonts w:ascii="Arial Narrow" w:hAnsi="Arial Narrow"/>
          <w:sz w:val="18"/>
          <w:szCs w:val="18"/>
          <w:lang w:val="en-US"/>
        </w:rPr>
      </w:pPr>
      <w:r>
        <w:rPr>
          <w:rStyle w:val="FootnoteReference"/>
        </w:rPr>
        <w:footnoteRef/>
      </w:r>
      <w:r>
        <w:t xml:space="preserve"> </w:t>
      </w:r>
      <w:r w:rsidRPr="00A02BE9">
        <w:rPr>
          <w:rFonts w:ascii="Arial Narrow" w:hAnsi="Arial Narrow"/>
          <w:sz w:val="18"/>
          <w:szCs w:val="18"/>
          <w:lang w:val="en-US"/>
        </w:rPr>
        <w:t xml:space="preserve">For </w:t>
      </w:r>
      <w:r w:rsidRPr="00A02BE9">
        <w:rPr>
          <w:rFonts w:ascii="Arial Narrow" w:hAnsi="Arial Narrow"/>
          <w:sz w:val="18"/>
          <w:szCs w:val="18"/>
          <w:lang w:val="en-US"/>
        </w:rPr>
        <w:t>example</w:t>
      </w:r>
      <w:r w:rsidR="00B62BC4" w:rsidRPr="00A02BE9">
        <w:rPr>
          <w:rFonts w:ascii="Arial Narrow" w:hAnsi="Arial Narrow"/>
          <w:sz w:val="18"/>
          <w:szCs w:val="18"/>
          <w:lang w:val="en-US"/>
        </w:rPr>
        <w:t xml:space="preserve"> </w:t>
      </w:r>
      <w:hyperlink r:id="rId6" w:tooltip="Link to the PSD" w:history="1">
        <w:r w:rsidR="00B62BC4" w:rsidRPr="00A02BE9">
          <w:rPr>
            <w:rStyle w:val="Hyperlink"/>
            <w:rFonts w:ascii="Arial Narrow" w:hAnsi="Arial Narrow"/>
            <w:sz w:val="18"/>
            <w:szCs w:val="18"/>
            <w:lang w:val="en-US"/>
          </w:rPr>
          <w:t>Empagliflozin Public Summary Document</w:t>
        </w:r>
      </w:hyperlink>
      <w:r w:rsidR="00B62BC4" w:rsidRPr="00A02BE9">
        <w:rPr>
          <w:rFonts w:ascii="Arial Narrow" w:hAnsi="Arial Narrow"/>
          <w:sz w:val="18"/>
          <w:szCs w:val="18"/>
          <w:lang w:val="en-US"/>
        </w:rPr>
        <w:t xml:space="preserve"> (November 2021) and </w:t>
      </w:r>
      <w:bookmarkStart w:id="17" w:name="OLE_LINK1"/>
      <w:r w:rsidR="00A02BE9" w:rsidRPr="00A02BE9">
        <w:rPr>
          <w:rFonts w:ascii="Arial Narrow" w:hAnsi="Arial Narrow"/>
          <w:sz w:val="18"/>
          <w:szCs w:val="18"/>
          <w:lang w:val="en-US"/>
        </w:rPr>
        <w:fldChar w:fldCharType="begin"/>
      </w:r>
      <w:r w:rsidR="00A02BE9" w:rsidRPr="00A02BE9">
        <w:rPr>
          <w:rFonts w:ascii="Arial Narrow" w:hAnsi="Arial Narrow"/>
          <w:sz w:val="18"/>
          <w:szCs w:val="18"/>
          <w:lang w:val="en-US"/>
        </w:rPr>
        <w:instrText xml:space="preserve"> HYPERLINK "https://www.pbs.gov.au/industry/pbac/psd/2021/09/dapagliflozin-hf-psd-september-2021.pdf?variant=3" \o "Link to the PSD" </w:instrText>
      </w:r>
      <w:r w:rsidR="00A02BE9" w:rsidRPr="00A02BE9">
        <w:rPr>
          <w:rFonts w:ascii="Arial Narrow" w:hAnsi="Arial Narrow"/>
          <w:sz w:val="18"/>
          <w:szCs w:val="18"/>
          <w:lang w:val="en-US"/>
        </w:rPr>
      </w:r>
      <w:r w:rsidR="00A02BE9" w:rsidRPr="00A02BE9">
        <w:rPr>
          <w:rFonts w:ascii="Arial Narrow" w:hAnsi="Arial Narrow"/>
          <w:sz w:val="18"/>
          <w:szCs w:val="18"/>
          <w:lang w:val="en-US"/>
        </w:rPr>
        <w:fldChar w:fldCharType="separate"/>
      </w:r>
      <w:r w:rsidR="00A02BE9" w:rsidRPr="00A02BE9">
        <w:rPr>
          <w:rStyle w:val="Hyperlink"/>
          <w:rFonts w:ascii="Arial Narrow" w:hAnsi="Arial Narrow"/>
          <w:sz w:val="18"/>
          <w:szCs w:val="18"/>
          <w:lang w:val="en-US"/>
        </w:rPr>
        <w:t>Dapagliflozin Public Summary Document</w:t>
      </w:r>
      <w:bookmarkEnd w:id="17"/>
      <w:r w:rsidR="00A02BE9" w:rsidRPr="00A02BE9">
        <w:rPr>
          <w:rFonts w:ascii="Arial Narrow" w:hAnsi="Arial Narrow"/>
          <w:sz w:val="18"/>
          <w:szCs w:val="18"/>
          <w:lang w:val="en-US"/>
        </w:rPr>
        <w:fldChar w:fldCharType="end"/>
      </w:r>
      <w:r w:rsidR="00A02BE9" w:rsidRPr="00A02BE9">
        <w:rPr>
          <w:rFonts w:ascii="Arial Narrow" w:hAnsi="Arial Narrow"/>
          <w:sz w:val="18"/>
          <w:szCs w:val="18"/>
          <w:lang w:val="en-US"/>
        </w:rPr>
        <w:t xml:space="preserve"> (July 2021)</w:t>
      </w:r>
    </w:p>
  </w:footnote>
  <w:footnote w:id="13">
    <w:p w14:paraId="3B17787B" w14:textId="6ED41FC5" w:rsidR="00551075" w:rsidRPr="00551075" w:rsidRDefault="00551075">
      <w:pPr>
        <w:pStyle w:val="FootnoteText"/>
        <w:rPr>
          <w:lang w:val="en-US"/>
        </w:rPr>
      </w:pPr>
      <w:r>
        <w:rPr>
          <w:rStyle w:val="FootnoteReference"/>
        </w:rPr>
        <w:footnoteRef/>
      </w:r>
      <w:r>
        <w:t xml:space="preserve"> </w:t>
      </w:r>
      <w:hyperlink r:id="rId7" w:tooltip="Link to Application 1087 on the MSAC website" w:history="1">
        <w:r w:rsidRPr="00F90B0F">
          <w:rPr>
            <w:rStyle w:val="Hyperlink"/>
            <w:rFonts w:ascii="Arial Narrow" w:hAnsi="Arial Narrow"/>
            <w:sz w:val="18"/>
            <w:szCs w:val="18"/>
            <w:lang w:val="en-US"/>
          </w:rPr>
          <w:t>Application 1</w:t>
        </w:r>
        <w:r w:rsidR="00586CD3" w:rsidRPr="00F90B0F">
          <w:rPr>
            <w:rStyle w:val="Hyperlink"/>
            <w:rFonts w:ascii="Arial Narrow" w:hAnsi="Arial Narrow"/>
            <w:sz w:val="18"/>
            <w:szCs w:val="18"/>
            <w:lang w:val="en-US"/>
          </w:rPr>
          <w:t>087 Predicted versus actual utilization - Public Summary Document</w:t>
        </w:r>
      </w:hyperlink>
      <w:r w:rsidR="00586CD3" w:rsidRPr="00F90B0F">
        <w:rPr>
          <w:rFonts w:ascii="Arial Narrow" w:hAnsi="Arial Narrow"/>
          <w:sz w:val="18"/>
          <w:szCs w:val="18"/>
          <w:lang w:val="en-US"/>
        </w:rPr>
        <w:t xml:space="preserve"> (April 2017)</w:t>
      </w:r>
      <w:r w:rsidR="00F1671E">
        <w:rPr>
          <w:rFonts w:ascii="Arial Narrow" w:hAnsi="Arial Narrow"/>
          <w:sz w:val="18"/>
          <w:szCs w:val="18"/>
          <w:lang w:val="en-US"/>
        </w:rPr>
        <w:t xml:space="preserve"> and i</w:t>
      </w:r>
      <w:r w:rsidR="00F1671E" w:rsidRPr="00F1671E">
        <w:rPr>
          <w:rFonts w:ascii="Arial Narrow" w:hAnsi="Arial Narrow"/>
          <w:sz w:val="18"/>
          <w:szCs w:val="18"/>
          <w:lang w:val="en-US"/>
        </w:rPr>
        <w:t>nformation supplied by the applicant during the pre-PASC meeting, 15 June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082F" w14:textId="4621E13D" w:rsidR="009A4FFB" w:rsidRDefault="00B01FF4">
    <w:pPr>
      <w:pStyle w:val="Header"/>
    </w:pPr>
    <w:r>
      <w:rPr>
        <w:noProof/>
      </w:rPr>
      <mc:AlternateContent>
        <mc:Choice Requires="wps">
          <w:drawing>
            <wp:anchor distT="0" distB="0" distL="0" distR="0" simplePos="0" relativeHeight="251660293" behindDoc="0" locked="0" layoutInCell="1" allowOverlap="1" wp14:anchorId="1CCACCE9" wp14:editId="6C993809">
              <wp:simplePos x="635" y="635"/>
              <wp:positionH relativeFrom="page">
                <wp:align>center</wp:align>
              </wp:positionH>
              <wp:positionV relativeFrom="page">
                <wp:align>top</wp:align>
              </wp:positionV>
              <wp:extent cx="622300" cy="404495"/>
              <wp:effectExtent l="0" t="0" r="6350" b="14605"/>
              <wp:wrapNone/>
              <wp:docPr id="20709118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5CD3BBF" w14:textId="7D79C30F"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CACCE9" id="_x0000_t202" coordsize="21600,21600" o:spt="202" path="m,l,21600r21600,l21600,xe">
              <v:stroke joinstyle="miter"/>
              <v:path gradientshapeok="t" o:connecttype="rect"/>
            </v:shapetype>
            <v:shape id="Text Box 8" o:spid="_x0000_s1026" type="#_x0000_t202" alt="OFFICIAL" style="position:absolute;margin-left:0;margin-top:0;width:49pt;height:31.8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15CD3BBF" w14:textId="7D79C30F"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D54B" w14:textId="3ED980DE" w:rsidR="009A4FFB" w:rsidRDefault="00B01FF4">
    <w:pPr>
      <w:pStyle w:val="Header"/>
    </w:pPr>
    <w:r>
      <w:rPr>
        <w:noProof/>
      </w:rPr>
      <mc:AlternateContent>
        <mc:Choice Requires="wps">
          <w:drawing>
            <wp:anchor distT="0" distB="0" distL="0" distR="0" simplePos="0" relativeHeight="251659269" behindDoc="0" locked="0" layoutInCell="1" allowOverlap="1" wp14:anchorId="39318829" wp14:editId="43FC53EE">
              <wp:simplePos x="635" y="635"/>
              <wp:positionH relativeFrom="page">
                <wp:align>center</wp:align>
              </wp:positionH>
              <wp:positionV relativeFrom="page">
                <wp:align>top</wp:align>
              </wp:positionV>
              <wp:extent cx="622300" cy="404495"/>
              <wp:effectExtent l="0" t="0" r="6350" b="14605"/>
              <wp:wrapNone/>
              <wp:docPr id="79666641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218029A" w14:textId="5E289F9E"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318829" id="_x0000_t202" coordsize="21600,21600" o:spt="202" path="m,l,21600r21600,l21600,xe">
              <v:stroke joinstyle="miter"/>
              <v:path gradientshapeok="t" o:connecttype="rect"/>
            </v:shapetype>
            <v:shape id="Text Box 7" o:spid="_x0000_s1028" type="#_x0000_t202" alt="OFFICIAL" style="position:absolute;margin-left:0;margin-top:0;width:49pt;height:31.8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3218029A" w14:textId="5E289F9E" w:rsidR="00B01FF4" w:rsidRPr="00B01FF4" w:rsidRDefault="00B01FF4" w:rsidP="00B01FF4">
                    <w:pPr>
                      <w:spacing w:after="0"/>
                      <w:rPr>
                        <w:rFonts w:ascii="Aptos" w:eastAsia="Aptos" w:hAnsi="Aptos" w:cs="Aptos"/>
                        <w:noProof/>
                        <w:color w:val="FF0000"/>
                        <w:sz w:val="24"/>
                        <w:szCs w:val="24"/>
                      </w:rPr>
                    </w:pPr>
                    <w:r w:rsidRPr="00B01FF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F08C4"/>
    <w:multiLevelType w:val="hybridMultilevel"/>
    <w:tmpl w:val="74683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865841"/>
    <w:multiLevelType w:val="hybridMultilevel"/>
    <w:tmpl w:val="39DAEAEC"/>
    <w:lvl w:ilvl="0" w:tplc="FFFFFFFF">
      <w:start w:val="1"/>
      <w:numFmt w:val="lowerLetter"/>
      <w:lvlText w:val="%1)"/>
      <w:lvlJc w:val="left"/>
      <w:pPr>
        <w:ind w:left="720" w:hanging="360"/>
      </w:pPr>
    </w:lvl>
    <w:lvl w:ilvl="1" w:tplc="0C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9949CA"/>
    <w:multiLevelType w:val="hybridMultilevel"/>
    <w:tmpl w:val="F73A1D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B96726"/>
    <w:multiLevelType w:val="hybridMultilevel"/>
    <w:tmpl w:val="80AE09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6A0579"/>
    <w:multiLevelType w:val="hybridMultilevel"/>
    <w:tmpl w:val="35928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023445"/>
    <w:multiLevelType w:val="hybridMultilevel"/>
    <w:tmpl w:val="0CE4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54679"/>
    <w:multiLevelType w:val="hybridMultilevel"/>
    <w:tmpl w:val="C25E3E4A"/>
    <w:lvl w:ilvl="0" w:tplc="F626B196">
      <w:start w:val="1"/>
      <w:numFmt w:val="bullet"/>
      <w:lvlText w:val=""/>
      <w:lvlJc w:val="left"/>
      <w:pPr>
        <w:ind w:left="720" w:hanging="360"/>
      </w:pPr>
      <w:rPr>
        <w:rFonts w:ascii="Symbol" w:hAnsi="Symbol"/>
      </w:rPr>
    </w:lvl>
    <w:lvl w:ilvl="1" w:tplc="792611DC">
      <w:start w:val="1"/>
      <w:numFmt w:val="bullet"/>
      <w:lvlText w:val=""/>
      <w:lvlJc w:val="left"/>
      <w:pPr>
        <w:ind w:left="720" w:hanging="360"/>
      </w:pPr>
      <w:rPr>
        <w:rFonts w:ascii="Symbol" w:hAnsi="Symbol"/>
      </w:rPr>
    </w:lvl>
    <w:lvl w:ilvl="2" w:tplc="85A6C5F8">
      <w:start w:val="1"/>
      <w:numFmt w:val="bullet"/>
      <w:lvlText w:val=""/>
      <w:lvlJc w:val="left"/>
      <w:pPr>
        <w:ind w:left="720" w:hanging="360"/>
      </w:pPr>
      <w:rPr>
        <w:rFonts w:ascii="Symbol" w:hAnsi="Symbol"/>
      </w:rPr>
    </w:lvl>
    <w:lvl w:ilvl="3" w:tplc="3A7874F6">
      <w:start w:val="1"/>
      <w:numFmt w:val="bullet"/>
      <w:lvlText w:val=""/>
      <w:lvlJc w:val="left"/>
      <w:pPr>
        <w:ind w:left="720" w:hanging="360"/>
      </w:pPr>
      <w:rPr>
        <w:rFonts w:ascii="Symbol" w:hAnsi="Symbol"/>
      </w:rPr>
    </w:lvl>
    <w:lvl w:ilvl="4" w:tplc="68E82238">
      <w:start w:val="1"/>
      <w:numFmt w:val="bullet"/>
      <w:lvlText w:val=""/>
      <w:lvlJc w:val="left"/>
      <w:pPr>
        <w:ind w:left="720" w:hanging="360"/>
      </w:pPr>
      <w:rPr>
        <w:rFonts w:ascii="Symbol" w:hAnsi="Symbol"/>
      </w:rPr>
    </w:lvl>
    <w:lvl w:ilvl="5" w:tplc="0FF479C2">
      <w:start w:val="1"/>
      <w:numFmt w:val="bullet"/>
      <w:lvlText w:val=""/>
      <w:lvlJc w:val="left"/>
      <w:pPr>
        <w:ind w:left="720" w:hanging="360"/>
      </w:pPr>
      <w:rPr>
        <w:rFonts w:ascii="Symbol" w:hAnsi="Symbol"/>
      </w:rPr>
    </w:lvl>
    <w:lvl w:ilvl="6" w:tplc="72C2FE34">
      <w:start w:val="1"/>
      <w:numFmt w:val="bullet"/>
      <w:lvlText w:val=""/>
      <w:lvlJc w:val="left"/>
      <w:pPr>
        <w:ind w:left="720" w:hanging="360"/>
      </w:pPr>
      <w:rPr>
        <w:rFonts w:ascii="Symbol" w:hAnsi="Symbol"/>
      </w:rPr>
    </w:lvl>
    <w:lvl w:ilvl="7" w:tplc="BEC65418">
      <w:start w:val="1"/>
      <w:numFmt w:val="bullet"/>
      <w:lvlText w:val=""/>
      <w:lvlJc w:val="left"/>
      <w:pPr>
        <w:ind w:left="720" w:hanging="360"/>
      </w:pPr>
      <w:rPr>
        <w:rFonts w:ascii="Symbol" w:hAnsi="Symbol"/>
      </w:rPr>
    </w:lvl>
    <w:lvl w:ilvl="8" w:tplc="7708D094">
      <w:start w:val="1"/>
      <w:numFmt w:val="bullet"/>
      <w:lvlText w:val=""/>
      <w:lvlJc w:val="left"/>
      <w:pPr>
        <w:ind w:left="720" w:hanging="360"/>
      </w:pPr>
      <w:rPr>
        <w:rFonts w:ascii="Symbol" w:hAnsi="Symbol"/>
      </w:rPr>
    </w:lvl>
  </w:abstractNum>
  <w:abstractNum w:abstractNumId="7" w15:restartNumberingAfterBreak="0">
    <w:nsid w:val="1ECB0E03"/>
    <w:multiLevelType w:val="hybridMultilevel"/>
    <w:tmpl w:val="CD92F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086589"/>
    <w:multiLevelType w:val="hybridMultilevel"/>
    <w:tmpl w:val="665EA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5679D5"/>
    <w:multiLevelType w:val="hybridMultilevel"/>
    <w:tmpl w:val="5E3EF5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CC653A"/>
    <w:multiLevelType w:val="hybridMultilevel"/>
    <w:tmpl w:val="6640F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6820EC"/>
    <w:multiLevelType w:val="hybridMultilevel"/>
    <w:tmpl w:val="8A7E917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E074873"/>
    <w:multiLevelType w:val="hybridMultilevel"/>
    <w:tmpl w:val="83EC8236"/>
    <w:lvl w:ilvl="0" w:tplc="E788CDE0">
      <w:start w:val="1"/>
      <w:numFmt w:val="lowerLetter"/>
      <w:lvlText w:val="%1)"/>
      <w:lvlJc w:val="left"/>
      <w:pPr>
        <w:ind w:left="1080" w:hanging="360"/>
      </w:pPr>
      <w:rPr>
        <w:rFonts w:hint="default"/>
      </w:rPr>
    </w:lvl>
    <w:lvl w:ilvl="1" w:tplc="F0B4C6A2">
      <w:start w:val="1"/>
      <w:numFmt w:val="lowerLetter"/>
      <w:lvlText w:val="(%2)"/>
      <w:lvlJc w:val="left"/>
      <w:pPr>
        <w:ind w:left="2160" w:hanging="720"/>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41773210"/>
    <w:multiLevelType w:val="hybridMultilevel"/>
    <w:tmpl w:val="A7807370"/>
    <w:lvl w:ilvl="0" w:tplc="EC10CB92">
      <w:start w:val="1"/>
      <w:numFmt w:val="bullet"/>
      <w:lvlText w:val=""/>
      <w:lvlJc w:val="left"/>
      <w:pPr>
        <w:ind w:left="720" w:hanging="360"/>
      </w:pPr>
      <w:rPr>
        <w:rFonts w:ascii="Symbol" w:hAnsi="Symbol"/>
      </w:rPr>
    </w:lvl>
    <w:lvl w:ilvl="1" w:tplc="34E23932">
      <w:start w:val="1"/>
      <w:numFmt w:val="bullet"/>
      <w:lvlText w:val=""/>
      <w:lvlJc w:val="left"/>
      <w:pPr>
        <w:ind w:left="720" w:hanging="360"/>
      </w:pPr>
      <w:rPr>
        <w:rFonts w:ascii="Symbol" w:hAnsi="Symbol"/>
      </w:rPr>
    </w:lvl>
    <w:lvl w:ilvl="2" w:tplc="900CB6FC">
      <w:start w:val="1"/>
      <w:numFmt w:val="bullet"/>
      <w:lvlText w:val=""/>
      <w:lvlJc w:val="left"/>
      <w:pPr>
        <w:ind w:left="720" w:hanging="360"/>
      </w:pPr>
      <w:rPr>
        <w:rFonts w:ascii="Symbol" w:hAnsi="Symbol"/>
      </w:rPr>
    </w:lvl>
    <w:lvl w:ilvl="3" w:tplc="520289AE">
      <w:start w:val="1"/>
      <w:numFmt w:val="bullet"/>
      <w:lvlText w:val=""/>
      <w:lvlJc w:val="left"/>
      <w:pPr>
        <w:ind w:left="720" w:hanging="360"/>
      </w:pPr>
      <w:rPr>
        <w:rFonts w:ascii="Symbol" w:hAnsi="Symbol"/>
      </w:rPr>
    </w:lvl>
    <w:lvl w:ilvl="4" w:tplc="5F8CE482">
      <w:start w:val="1"/>
      <w:numFmt w:val="bullet"/>
      <w:lvlText w:val=""/>
      <w:lvlJc w:val="left"/>
      <w:pPr>
        <w:ind w:left="720" w:hanging="360"/>
      </w:pPr>
      <w:rPr>
        <w:rFonts w:ascii="Symbol" w:hAnsi="Symbol"/>
      </w:rPr>
    </w:lvl>
    <w:lvl w:ilvl="5" w:tplc="EE887030">
      <w:start w:val="1"/>
      <w:numFmt w:val="bullet"/>
      <w:lvlText w:val=""/>
      <w:lvlJc w:val="left"/>
      <w:pPr>
        <w:ind w:left="720" w:hanging="360"/>
      </w:pPr>
      <w:rPr>
        <w:rFonts w:ascii="Symbol" w:hAnsi="Symbol"/>
      </w:rPr>
    </w:lvl>
    <w:lvl w:ilvl="6" w:tplc="48AAFB3C">
      <w:start w:val="1"/>
      <w:numFmt w:val="bullet"/>
      <w:lvlText w:val=""/>
      <w:lvlJc w:val="left"/>
      <w:pPr>
        <w:ind w:left="720" w:hanging="360"/>
      </w:pPr>
      <w:rPr>
        <w:rFonts w:ascii="Symbol" w:hAnsi="Symbol"/>
      </w:rPr>
    </w:lvl>
    <w:lvl w:ilvl="7" w:tplc="C3703666">
      <w:start w:val="1"/>
      <w:numFmt w:val="bullet"/>
      <w:lvlText w:val=""/>
      <w:lvlJc w:val="left"/>
      <w:pPr>
        <w:ind w:left="720" w:hanging="360"/>
      </w:pPr>
      <w:rPr>
        <w:rFonts w:ascii="Symbol" w:hAnsi="Symbol"/>
      </w:rPr>
    </w:lvl>
    <w:lvl w:ilvl="8" w:tplc="488EDD90">
      <w:start w:val="1"/>
      <w:numFmt w:val="bullet"/>
      <w:lvlText w:val=""/>
      <w:lvlJc w:val="left"/>
      <w:pPr>
        <w:ind w:left="720" w:hanging="360"/>
      </w:pPr>
      <w:rPr>
        <w:rFonts w:ascii="Symbol" w:hAnsi="Symbol"/>
      </w:rPr>
    </w:lvl>
  </w:abstractNum>
  <w:abstractNum w:abstractNumId="14" w15:restartNumberingAfterBreak="0">
    <w:nsid w:val="444C4AA0"/>
    <w:multiLevelType w:val="hybridMultilevel"/>
    <w:tmpl w:val="62E8EB6A"/>
    <w:lvl w:ilvl="0" w:tplc="F0B4C6A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7095746"/>
    <w:multiLevelType w:val="hybridMultilevel"/>
    <w:tmpl w:val="0AEE8E02"/>
    <w:lvl w:ilvl="0" w:tplc="55CCDBB2">
      <w:start w:val="1"/>
      <w:numFmt w:val="bullet"/>
      <w:lvlText w:val=""/>
      <w:lvlJc w:val="left"/>
      <w:pPr>
        <w:ind w:left="720" w:hanging="360"/>
      </w:pPr>
      <w:rPr>
        <w:rFonts w:ascii="Symbol" w:hAnsi="Symbol" w:cs="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9336AC7"/>
    <w:multiLevelType w:val="hybridMultilevel"/>
    <w:tmpl w:val="69BCACF6"/>
    <w:lvl w:ilvl="0" w:tplc="FF26F3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ADA5FB5"/>
    <w:multiLevelType w:val="hybridMultilevel"/>
    <w:tmpl w:val="C484951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8" w15:restartNumberingAfterBreak="0">
    <w:nsid w:val="4FA23F82"/>
    <w:multiLevelType w:val="hybridMultilevel"/>
    <w:tmpl w:val="5CBE44C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14451E4"/>
    <w:multiLevelType w:val="hybridMultilevel"/>
    <w:tmpl w:val="D74C33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4A0261"/>
    <w:multiLevelType w:val="hybridMultilevel"/>
    <w:tmpl w:val="D620145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41D1C12"/>
    <w:multiLevelType w:val="hybridMultilevel"/>
    <w:tmpl w:val="20746BF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4FF0110"/>
    <w:multiLevelType w:val="hybridMultilevel"/>
    <w:tmpl w:val="DBA873F8"/>
    <w:lvl w:ilvl="0" w:tplc="03DA1D4E">
      <w:start w:val="1"/>
      <w:numFmt w:val="bullet"/>
      <w:pStyle w:val="Instructionaltex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cs="Wingdings" w:hint="default"/>
      </w:rPr>
    </w:lvl>
    <w:lvl w:ilvl="3" w:tplc="0C090001" w:tentative="1">
      <w:start w:val="1"/>
      <w:numFmt w:val="bullet"/>
      <w:lvlText w:val=""/>
      <w:lvlJc w:val="left"/>
      <w:pPr>
        <w:ind w:left="3237" w:hanging="360"/>
      </w:pPr>
      <w:rPr>
        <w:rFonts w:ascii="Symbol" w:hAnsi="Symbol" w:cs="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cs="Wingdings" w:hint="default"/>
      </w:rPr>
    </w:lvl>
    <w:lvl w:ilvl="6" w:tplc="0C090001" w:tentative="1">
      <w:start w:val="1"/>
      <w:numFmt w:val="bullet"/>
      <w:lvlText w:val=""/>
      <w:lvlJc w:val="left"/>
      <w:pPr>
        <w:ind w:left="5397" w:hanging="360"/>
      </w:pPr>
      <w:rPr>
        <w:rFonts w:ascii="Symbol" w:hAnsi="Symbol" w:cs="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cs="Wingdings" w:hint="default"/>
      </w:rPr>
    </w:lvl>
  </w:abstractNum>
  <w:abstractNum w:abstractNumId="23" w15:restartNumberingAfterBreak="0">
    <w:nsid w:val="582B3ECF"/>
    <w:multiLevelType w:val="hybridMultilevel"/>
    <w:tmpl w:val="A7086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EE1DF0"/>
    <w:multiLevelType w:val="hybridMultilevel"/>
    <w:tmpl w:val="73D67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DF5832"/>
    <w:multiLevelType w:val="hybridMultilevel"/>
    <w:tmpl w:val="7B18B2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1B651E"/>
    <w:multiLevelType w:val="hybridMultilevel"/>
    <w:tmpl w:val="8092E9EE"/>
    <w:lvl w:ilvl="0" w:tplc="D51C4BC4">
      <w:start w:val="1"/>
      <w:numFmt w:val="lowerLetter"/>
      <w:lvlText w:val="%1)"/>
      <w:lvlJc w:val="left"/>
      <w:pPr>
        <w:ind w:left="720" w:hanging="360"/>
      </w:pPr>
      <w:rPr>
        <w:strike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AAD3376"/>
    <w:multiLevelType w:val="hybridMultilevel"/>
    <w:tmpl w:val="D16A4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C57278"/>
    <w:multiLevelType w:val="hybridMultilevel"/>
    <w:tmpl w:val="E1C4C812"/>
    <w:lvl w:ilvl="0" w:tplc="3D44AD2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494350F"/>
    <w:multiLevelType w:val="hybridMultilevel"/>
    <w:tmpl w:val="7624D640"/>
    <w:lvl w:ilvl="0" w:tplc="0292E802">
      <w:numFmt w:val="bullet"/>
      <w:lvlText w:val="•"/>
      <w:lvlJc w:val="left"/>
      <w:pPr>
        <w:ind w:left="720" w:hanging="360"/>
      </w:pPr>
      <w:rPr>
        <w:rFonts w:ascii="Calibri" w:eastAsia="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8093375">
    <w:abstractNumId w:val="22"/>
  </w:num>
  <w:num w:numId="2" w16cid:durableId="823394897">
    <w:abstractNumId w:val="15"/>
  </w:num>
  <w:num w:numId="3" w16cid:durableId="2042046215">
    <w:abstractNumId w:val="25"/>
  </w:num>
  <w:num w:numId="4" w16cid:durableId="512964094">
    <w:abstractNumId w:val="3"/>
  </w:num>
  <w:num w:numId="5" w16cid:durableId="2000301114">
    <w:abstractNumId w:val="29"/>
  </w:num>
  <w:num w:numId="6" w16cid:durableId="1964727258">
    <w:abstractNumId w:val="2"/>
  </w:num>
  <w:num w:numId="7" w16cid:durableId="1316910340">
    <w:abstractNumId w:val="27"/>
  </w:num>
  <w:num w:numId="8" w16cid:durableId="560481234">
    <w:abstractNumId w:val="28"/>
  </w:num>
  <w:num w:numId="9" w16cid:durableId="799424298">
    <w:abstractNumId w:val="16"/>
  </w:num>
  <w:num w:numId="10" w16cid:durableId="1775125144">
    <w:abstractNumId w:val="12"/>
  </w:num>
  <w:num w:numId="11" w16cid:durableId="570849335">
    <w:abstractNumId w:val="8"/>
  </w:num>
  <w:num w:numId="12" w16cid:durableId="2002000571">
    <w:abstractNumId w:val="1"/>
  </w:num>
  <w:num w:numId="13" w16cid:durableId="1692680590">
    <w:abstractNumId w:val="9"/>
  </w:num>
  <w:num w:numId="14" w16cid:durableId="598372156">
    <w:abstractNumId w:val="21"/>
  </w:num>
  <w:num w:numId="15" w16cid:durableId="855924257">
    <w:abstractNumId w:val="19"/>
  </w:num>
  <w:num w:numId="16" w16cid:durableId="123085246">
    <w:abstractNumId w:val="7"/>
  </w:num>
  <w:num w:numId="17" w16cid:durableId="1242253019">
    <w:abstractNumId w:val="4"/>
  </w:num>
  <w:num w:numId="18" w16cid:durableId="1693337873">
    <w:abstractNumId w:val="24"/>
  </w:num>
  <w:num w:numId="19" w16cid:durableId="1399330461">
    <w:abstractNumId w:val="10"/>
  </w:num>
  <w:num w:numId="20" w16cid:durableId="577056114">
    <w:abstractNumId w:val="11"/>
  </w:num>
  <w:num w:numId="21" w16cid:durableId="878207427">
    <w:abstractNumId w:val="18"/>
  </w:num>
  <w:num w:numId="22" w16cid:durableId="1450660760">
    <w:abstractNumId w:val="14"/>
  </w:num>
  <w:num w:numId="23" w16cid:durableId="1423451230">
    <w:abstractNumId w:val="20"/>
  </w:num>
  <w:num w:numId="24" w16cid:durableId="73861869">
    <w:abstractNumId w:val="26"/>
  </w:num>
  <w:num w:numId="25" w16cid:durableId="1325084344">
    <w:abstractNumId w:val="0"/>
  </w:num>
  <w:num w:numId="26" w16cid:durableId="1338531665">
    <w:abstractNumId w:val="13"/>
  </w:num>
  <w:num w:numId="27" w16cid:durableId="539781538">
    <w:abstractNumId w:val="6"/>
  </w:num>
  <w:num w:numId="28" w16cid:durableId="640118936">
    <w:abstractNumId w:val="17"/>
  </w:num>
  <w:num w:numId="29" w16cid:durableId="1406488012">
    <w:abstractNumId w:val="23"/>
  </w:num>
  <w:num w:numId="30" w16cid:durableId="134435499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9C"/>
    <w:rsid w:val="0000058F"/>
    <w:rsid w:val="00000D1B"/>
    <w:rsid w:val="00000F89"/>
    <w:rsid w:val="000013FB"/>
    <w:rsid w:val="00001568"/>
    <w:rsid w:val="00001623"/>
    <w:rsid w:val="00001AC9"/>
    <w:rsid w:val="000026D2"/>
    <w:rsid w:val="000027E5"/>
    <w:rsid w:val="000032FB"/>
    <w:rsid w:val="000037D2"/>
    <w:rsid w:val="00003C3F"/>
    <w:rsid w:val="00003CE1"/>
    <w:rsid w:val="00005C61"/>
    <w:rsid w:val="000066E9"/>
    <w:rsid w:val="00006A3F"/>
    <w:rsid w:val="000073AA"/>
    <w:rsid w:val="000101A3"/>
    <w:rsid w:val="0001071A"/>
    <w:rsid w:val="00010FAF"/>
    <w:rsid w:val="000124D8"/>
    <w:rsid w:val="00012DD3"/>
    <w:rsid w:val="0001371F"/>
    <w:rsid w:val="000147B8"/>
    <w:rsid w:val="00015CD5"/>
    <w:rsid w:val="00015F76"/>
    <w:rsid w:val="000162D7"/>
    <w:rsid w:val="000164D9"/>
    <w:rsid w:val="000168D6"/>
    <w:rsid w:val="00016D8D"/>
    <w:rsid w:val="00017C6C"/>
    <w:rsid w:val="00017D84"/>
    <w:rsid w:val="0002008A"/>
    <w:rsid w:val="0002012F"/>
    <w:rsid w:val="00020722"/>
    <w:rsid w:val="00020788"/>
    <w:rsid w:val="00020E86"/>
    <w:rsid w:val="0002103D"/>
    <w:rsid w:val="00021DF6"/>
    <w:rsid w:val="00021E86"/>
    <w:rsid w:val="0002250F"/>
    <w:rsid w:val="0002287D"/>
    <w:rsid w:val="00022D53"/>
    <w:rsid w:val="00023A43"/>
    <w:rsid w:val="00024778"/>
    <w:rsid w:val="0002492C"/>
    <w:rsid w:val="00024978"/>
    <w:rsid w:val="000259A5"/>
    <w:rsid w:val="00026DC8"/>
    <w:rsid w:val="0002783F"/>
    <w:rsid w:val="000301E3"/>
    <w:rsid w:val="00031F37"/>
    <w:rsid w:val="00032655"/>
    <w:rsid w:val="000329D9"/>
    <w:rsid w:val="00032C69"/>
    <w:rsid w:val="00032D45"/>
    <w:rsid w:val="00033103"/>
    <w:rsid w:val="00033964"/>
    <w:rsid w:val="000348BB"/>
    <w:rsid w:val="000349AD"/>
    <w:rsid w:val="00034A0B"/>
    <w:rsid w:val="00034C1D"/>
    <w:rsid w:val="00034DBF"/>
    <w:rsid w:val="00035053"/>
    <w:rsid w:val="0003516E"/>
    <w:rsid w:val="000351F9"/>
    <w:rsid w:val="0003577B"/>
    <w:rsid w:val="000357A4"/>
    <w:rsid w:val="000363F0"/>
    <w:rsid w:val="000366FC"/>
    <w:rsid w:val="000368DE"/>
    <w:rsid w:val="00036DF8"/>
    <w:rsid w:val="00037BFE"/>
    <w:rsid w:val="00040B3A"/>
    <w:rsid w:val="00041479"/>
    <w:rsid w:val="00041C93"/>
    <w:rsid w:val="000425C8"/>
    <w:rsid w:val="000440EA"/>
    <w:rsid w:val="0004418A"/>
    <w:rsid w:val="0004556C"/>
    <w:rsid w:val="000457B6"/>
    <w:rsid w:val="00045F56"/>
    <w:rsid w:val="000460E1"/>
    <w:rsid w:val="000462FD"/>
    <w:rsid w:val="00046F73"/>
    <w:rsid w:val="0004736C"/>
    <w:rsid w:val="00051390"/>
    <w:rsid w:val="00051870"/>
    <w:rsid w:val="0005229C"/>
    <w:rsid w:val="00054A13"/>
    <w:rsid w:val="00054A38"/>
    <w:rsid w:val="00054DC5"/>
    <w:rsid w:val="00055272"/>
    <w:rsid w:val="0005561A"/>
    <w:rsid w:val="00055862"/>
    <w:rsid w:val="00055A76"/>
    <w:rsid w:val="00055C0A"/>
    <w:rsid w:val="00056151"/>
    <w:rsid w:val="00056856"/>
    <w:rsid w:val="000568D7"/>
    <w:rsid w:val="00056A51"/>
    <w:rsid w:val="00056CB5"/>
    <w:rsid w:val="00057033"/>
    <w:rsid w:val="000605F5"/>
    <w:rsid w:val="0006100A"/>
    <w:rsid w:val="000614B7"/>
    <w:rsid w:val="00061AC8"/>
    <w:rsid w:val="00063183"/>
    <w:rsid w:val="000634B7"/>
    <w:rsid w:val="00063639"/>
    <w:rsid w:val="00063E45"/>
    <w:rsid w:val="00066431"/>
    <w:rsid w:val="00067D4A"/>
    <w:rsid w:val="00070F79"/>
    <w:rsid w:val="000711AF"/>
    <w:rsid w:val="0007241F"/>
    <w:rsid w:val="00072680"/>
    <w:rsid w:val="000726F1"/>
    <w:rsid w:val="00072DC6"/>
    <w:rsid w:val="00072E81"/>
    <w:rsid w:val="000730AA"/>
    <w:rsid w:val="00073110"/>
    <w:rsid w:val="00073CAE"/>
    <w:rsid w:val="00073F4D"/>
    <w:rsid w:val="0007428E"/>
    <w:rsid w:val="00074341"/>
    <w:rsid w:val="00074EA1"/>
    <w:rsid w:val="00075E27"/>
    <w:rsid w:val="00075F02"/>
    <w:rsid w:val="00076755"/>
    <w:rsid w:val="00076BE7"/>
    <w:rsid w:val="0007794A"/>
    <w:rsid w:val="000803E3"/>
    <w:rsid w:val="0008052D"/>
    <w:rsid w:val="000813F1"/>
    <w:rsid w:val="00081C19"/>
    <w:rsid w:val="00082289"/>
    <w:rsid w:val="00082A6E"/>
    <w:rsid w:val="00082F40"/>
    <w:rsid w:val="000835C2"/>
    <w:rsid w:val="00083602"/>
    <w:rsid w:val="000837D3"/>
    <w:rsid w:val="00083A99"/>
    <w:rsid w:val="00083F40"/>
    <w:rsid w:val="000845A9"/>
    <w:rsid w:val="000846D3"/>
    <w:rsid w:val="0008484B"/>
    <w:rsid w:val="00084E29"/>
    <w:rsid w:val="00084F7E"/>
    <w:rsid w:val="000854A9"/>
    <w:rsid w:val="00085731"/>
    <w:rsid w:val="00085EC5"/>
    <w:rsid w:val="000863B8"/>
    <w:rsid w:val="00086693"/>
    <w:rsid w:val="000866A6"/>
    <w:rsid w:val="00086DBB"/>
    <w:rsid w:val="000873AA"/>
    <w:rsid w:val="000873E0"/>
    <w:rsid w:val="000900AC"/>
    <w:rsid w:val="00090233"/>
    <w:rsid w:val="00090F28"/>
    <w:rsid w:val="00091BCF"/>
    <w:rsid w:val="00091BD1"/>
    <w:rsid w:val="00092C34"/>
    <w:rsid w:val="00092EE8"/>
    <w:rsid w:val="000933F4"/>
    <w:rsid w:val="00093609"/>
    <w:rsid w:val="000939E0"/>
    <w:rsid w:val="000945AC"/>
    <w:rsid w:val="00094A4C"/>
    <w:rsid w:val="000967DA"/>
    <w:rsid w:val="0009691B"/>
    <w:rsid w:val="00096F8B"/>
    <w:rsid w:val="000974DC"/>
    <w:rsid w:val="00097A3C"/>
    <w:rsid w:val="00097F48"/>
    <w:rsid w:val="000A092B"/>
    <w:rsid w:val="000A15E3"/>
    <w:rsid w:val="000A248E"/>
    <w:rsid w:val="000A2E9C"/>
    <w:rsid w:val="000A3242"/>
    <w:rsid w:val="000A3CE8"/>
    <w:rsid w:val="000A3FD7"/>
    <w:rsid w:val="000A4139"/>
    <w:rsid w:val="000A4F72"/>
    <w:rsid w:val="000A559F"/>
    <w:rsid w:val="000A6EE3"/>
    <w:rsid w:val="000A73A9"/>
    <w:rsid w:val="000A75B7"/>
    <w:rsid w:val="000A79BE"/>
    <w:rsid w:val="000A7AE5"/>
    <w:rsid w:val="000B0BF3"/>
    <w:rsid w:val="000B0F85"/>
    <w:rsid w:val="000B131A"/>
    <w:rsid w:val="000B182F"/>
    <w:rsid w:val="000B2438"/>
    <w:rsid w:val="000B3BC1"/>
    <w:rsid w:val="000B3D1E"/>
    <w:rsid w:val="000B50E3"/>
    <w:rsid w:val="000B51F0"/>
    <w:rsid w:val="000B5C14"/>
    <w:rsid w:val="000B644C"/>
    <w:rsid w:val="000B69D7"/>
    <w:rsid w:val="000B6B4B"/>
    <w:rsid w:val="000B6D6A"/>
    <w:rsid w:val="000B716B"/>
    <w:rsid w:val="000B7D94"/>
    <w:rsid w:val="000B7E6D"/>
    <w:rsid w:val="000C00DD"/>
    <w:rsid w:val="000C01E0"/>
    <w:rsid w:val="000C0F56"/>
    <w:rsid w:val="000C1660"/>
    <w:rsid w:val="000C18CC"/>
    <w:rsid w:val="000C1940"/>
    <w:rsid w:val="000C1A7D"/>
    <w:rsid w:val="000C20D3"/>
    <w:rsid w:val="000C34EA"/>
    <w:rsid w:val="000C4151"/>
    <w:rsid w:val="000C4B42"/>
    <w:rsid w:val="000C4E0B"/>
    <w:rsid w:val="000C52D5"/>
    <w:rsid w:val="000C53FE"/>
    <w:rsid w:val="000C600C"/>
    <w:rsid w:val="000C60E7"/>
    <w:rsid w:val="000D0361"/>
    <w:rsid w:val="000D0407"/>
    <w:rsid w:val="000D0CF9"/>
    <w:rsid w:val="000D1658"/>
    <w:rsid w:val="000D1FCF"/>
    <w:rsid w:val="000D23C0"/>
    <w:rsid w:val="000D264C"/>
    <w:rsid w:val="000D2934"/>
    <w:rsid w:val="000D2B6C"/>
    <w:rsid w:val="000D2C91"/>
    <w:rsid w:val="000D4870"/>
    <w:rsid w:val="000D540C"/>
    <w:rsid w:val="000D552C"/>
    <w:rsid w:val="000D6949"/>
    <w:rsid w:val="000D6C67"/>
    <w:rsid w:val="000D6E0C"/>
    <w:rsid w:val="000D788C"/>
    <w:rsid w:val="000D7C17"/>
    <w:rsid w:val="000E0A08"/>
    <w:rsid w:val="000E1103"/>
    <w:rsid w:val="000E168E"/>
    <w:rsid w:val="000E31FC"/>
    <w:rsid w:val="000E3515"/>
    <w:rsid w:val="000E3CA2"/>
    <w:rsid w:val="000E42E7"/>
    <w:rsid w:val="000E4DD1"/>
    <w:rsid w:val="000E4EE7"/>
    <w:rsid w:val="000E4F41"/>
    <w:rsid w:val="000E553B"/>
    <w:rsid w:val="000E58E4"/>
    <w:rsid w:val="000E5F37"/>
    <w:rsid w:val="000E623D"/>
    <w:rsid w:val="000E646D"/>
    <w:rsid w:val="000E65FD"/>
    <w:rsid w:val="000E6B92"/>
    <w:rsid w:val="000E7823"/>
    <w:rsid w:val="000E7995"/>
    <w:rsid w:val="000F00EF"/>
    <w:rsid w:val="000F0552"/>
    <w:rsid w:val="000F0C31"/>
    <w:rsid w:val="000F132F"/>
    <w:rsid w:val="000F1CA6"/>
    <w:rsid w:val="000F1EBC"/>
    <w:rsid w:val="000F240F"/>
    <w:rsid w:val="000F27C5"/>
    <w:rsid w:val="000F2A7A"/>
    <w:rsid w:val="000F2AC9"/>
    <w:rsid w:val="000F3F24"/>
    <w:rsid w:val="000F42FA"/>
    <w:rsid w:val="000F4CF3"/>
    <w:rsid w:val="000F5230"/>
    <w:rsid w:val="000F5555"/>
    <w:rsid w:val="000F5B95"/>
    <w:rsid w:val="000F6664"/>
    <w:rsid w:val="000F6680"/>
    <w:rsid w:val="000F6BC9"/>
    <w:rsid w:val="000F6C3B"/>
    <w:rsid w:val="000F706B"/>
    <w:rsid w:val="000F754C"/>
    <w:rsid w:val="000F7581"/>
    <w:rsid w:val="000F77DB"/>
    <w:rsid w:val="000F789D"/>
    <w:rsid w:val="000F7C35"/>
    <w:rsid w:val="000F7D8C"/>
    <w:rsid w:val="001003FD"/>
    <w:rsid w:val="001007E3"/>
    <w:rsid w:val="00100EB8"/>
    <w:rsid w:val="0010181C"/>
    <w:rsid w:val="00101C11"/>
    <w:rsid w:val="00101E99"/>
    <w:rsid w:val="00102ACF"/>
    <w:rsid w:val="001030B3"/>
    <w:rsid w:val="001034CA"/>
    <w:rsid w:val="001034FE"/>
    <w:rsid w:val="00105022"/>
    <w:rsid w:val="00105139"/>
    <w:rsid w:val="00105B23"/>
    <w:rsid w:val="00105D81"/>
    <w:rsid w:val="00105E68"/>
    <w:rsid w:val="001060EF"/>
    <w:rsid w:val="0010661F"/>
    <w:rsid w:val="001072F9"/>
    <w:rsid w:val="00107ADB"/>
    <w:rsid w:val="00107E39"/>
    <w:rsid w:val="00111DAF"/>
    <w:rsid w:val="001121E6"/>
    <w:rsid w:val="001127C3"/>
    <w:rsid w:val="0011293A"/>
    <w:rsid w:val="00112E62"/>
    <w:rsid w:val="0011380B"/>
    <w:rsid w:val="00113A6C"/>
    <w:rsid w:val="001143F6"/>
    <w:rsid w:val="00114F3A"/>
    <w:rsid w:val="00115F32"/>
    <w:rsid w:val="0011669C"/>
    <w:rsid w:val="001169E5"/>
    <w:rsid w:val="00116D30"/>
    <w:rsid w:val="00117895"/>
    <w:rsid w:val="00117ED6"/>
    <w:rsid w:val="00117F6A"/>
    <w:rsid w:val="00120F8A"/>
    <w:rsid w:val="0012317F"/>
    <w:rsid w:val="001239B2"/>
    <w:rsid w:val="001241E7"/>
    <w:rsid w:val="00124304"/>
    <w:rsid w:val="00124340"/>
    <w:rsid w:val="00124815"/>
    <w:rsid w:val="00124AF8"/>
    <w:rsid w:val="00124F41"/>
    <w:rsid w:val="00126A8E"/>
    <w:rsid w:val="00126DC4"/>
    <w:rsid w:val="00127734"/>
    <w:rsid w:val="0013076C"/>
    <w:rsid w:val="00130F8C"/>
    <w:rsid w:val="001313DC"/>
    <w:rsid w:val="00132627"/>
    <w:rsid w:val="00134792"/>
    <w:rsid w:val="001347DA"/>
    <w:rsid w:val="00134DC1"/>
    <w:rsid w:val="00135716"/>
    <w:rsid w:val="00135763"/>
    <w:rsid w:val="00136058"/>
    <w:rsid w:val="00136816"/>
    <w:rsid w:val="001369A2"/>
    <w:rsid w:val="001370E8"/>
    <w:rsid w:val="001371AC"/>
    <w:rsid w:val="0013775A"/>
    <w:rsid w:val="0014014B"/>
    <w:rsid w:val="00140AF0"/>
    <w:rsid w:val="00140BC2"/>
    <w:rsid w:val="001411FE"/>
    <w:rsid w:val="00141570"/>
    <w:rsid w:val="001425DC"/>
    <w:rsid w:val="00143391"/>
    <w:rsid w:val="00144041"/>
    <w:rsid w:val="0014561A"/>
    <w:rsid w:val="00145622"/>
    <w:rsid w:val="001459B1"/>
    <w:rsid w:val="00145A9A"/>
    <w:rsid w:val="00145CE2"/>
    <w:rsid w:val="00145EEF"/>
    <w:rsid w:val="00146C8F"/>
    <w:rsid w:val="001477D6"/>
    <w:rsid w:val="0015018B"/>
    <w:rsid w:val="001504CA"/>
    <w:rsid w:val="00150A42"/>
    <w:rsid w:val="00151254"/>
    <w:rsid w:val="001518D0"/>
    <w:rsid w:val="00151F69"/>
    <w:rsid w:val="0015215C"/>
    <w:rsid w:val="00152327"/>
    <w:rsid w:val="001524D6"/>
    <w:rsid w:val="00152E2C"/>
    <w:rsid w:val="001534AC"/>
    <w:rsid w:val="001536EF"/>
    <w:rsid w:val="001537FE"/>
    <w:rsid w:val="00153B57"/>
    <w:rsid w:val="00154219"/>
    <w:rsid w:val="00154799"/>
    <w:rsid w:val="00154A80"/>
    <w:rsid w:val="00155083"/>
    <w:rsid w:val="0015571B"/>
    <w:rsid w:val="00155F54"/>
    <w:rsid w:val="0015656A"/>
    <w:rsid w:val="001569AF"/>
    <w:rsid w:val="00156E30"/>
    <w:rsid w:val="0015720A"/>
    <w:rsid w:val="00157325"/>
    <w:rsid w:val="001578EA"/>
    <w:rsid w:val="0015790B"/>
    <w:rsid w:val="00160B18"/>
    <w:rsid w:val="00161727"/>
    <w:rsid w:val="00161926"/>
    <w:rsid w:val="00161D06"/>
    <w:rsid w:val="001620D0"/>
    <w:rsid w:val="00162DF7"/>
    <w:rsid w:val="0016315C"/>
    <w:rsid w:val="0016381F"/>
    <w:rsid w:val="00164381"/>
    <w:rsid w:val="00164DD3"/>
    <w:rsid w:val="00166651"/>
    <w:rsid w:val="00166F73"/>
    <w:rsid w:val="001675BC"/>
    <w:rsid w:val="001707DC"/>
    <w:rsid w:val="00170A6E"/>
    <w:rsid w:val="00170F39"/>
    <w:rsid w:val="00173763"/>
    <w:rsid w:val="00173850"/>
    <w:rsid w:val="001743CC"/>
    <w:rsid w:val="0017489F"/>
    <w:rsid w:val="0017563A"/>
    <w:rsid w:val="00175AF5"/>
    <w:rsid w:val="00176949"/>
    <w:rsid w:val="00176A94"/>
    <w:rsid w:val="00176C48"/>
    <w:rsid w:val="00176EF3"/>
    <w:rsid w:val="00177798"/>
    <w:rsid w:val="00177996"/>
    <w:rsid w:val="00177B73"/>
    <w:rsid w:val="00177FCF"/>
    <w:rsid w:val="001800AC"/>
    <w:rsid w:val="00181423"/>
    <w:rsid w:val="00181BF3"/>
    <w:rsid w:val="00182996"/>
    <w:rsid w:val="001835AD"/>
    <w:rsid w:val="00184A84"/>
    <w:rsid w:val="00185B3E"/>
    <w:rsid w:val="00186932"/>
    <w:rsid w:val="00187772"/>
    <w:rsid w:val="00187D0F"/>
    <w:rsid w:val="00190D4F"/>
    <w:rsid w:val="00190F90"/>
    <w:rsid w:val="00191322"/>
    <w:rsid w:val="001913EB"/>
    <w:rsid w:val="00191609"/>
    <w:rsid w:val="00192FD9"/>
    <w:rsid w:val="001939C0"/>
    <w:rsid w:val="0019451D"/>
    <w:rsid w:val="00194C7B"/>
    <w:rsid w:val="00195255"/>
    <w:rsid w:val="00195388"/>
    <w:rsid w:val="001955E6"/>
    <w:rsid w:val="0019578A"/>
    <w:rsid w:val="00195E01"/>
    <w:rsid w:val="001966FC"/>
    <w:rsid w:val="00196C4D"/>
    <w:rsid w:val="00196CD4"/>
    <w:rsid w:val="00196DB1"/>
    <w:rsid w:val="00196F67"/>
    <w:rsid w:val="00197BB0"/>
    <w:rsid w:val="001A0192"/>
    <w:rsid w:val="001A04A0"/>
    <w:rsid w:val="001A1461"/>
    <w:rsid w:val="001A1839"/>
    <w:rsid w:val="001A26C4"/>
    <w:rsid w:val="001A32B3"/>
    <w:rsid w:val="001A3771"/>
    <w:rsid w:val="001A3A5A"/>
    <w:rsid w:val="001A4224"/>
    <w:rsid w:val="001A463E"/>
    <w:rsid w:val="001A47D0"/>
    <w:rsid w:val="001A4E02"/>
    <w:rsid w:val="001A4FE7"/>
    <w:rsid w:val="001A5AAB"/>
    <w:rsid w:val="001A5D2F"/>
    <w:rsid w:val="001A63C2"/>
    <w:rsid w:val="001A774D"/>
    <w:rsid w:val="001A77F8"/>
    <w:rsid w:val="001A7949"/>
    <w:rsid w:val="001B0722"/>
    <w:rsid w:val="001B110E"/>
    <w:rsid w:val="001B16AA"/>
    <w:rsid w:val="001B188E"/>
    <w:rsid w:val="001B1A52"/>
    <w:rsid w:val="001B1D5E"/>
    <w:rsid w:val="001B2A77"/>
    <w:rsid w:val="001B3430"/>
    <w:rsid w:val="001B41C8"/>
    <w:rsid w:val="001B490C"/>
    <w:rsid w:val="001B4B32"/>
    <w:rsid w:val="001B4D50"/>
    <w:rsid w:val="001B538E"/>
    <w:rsid w:val="001B538F"/>
    <w:rsid w:val="001B5C65"/>
    <w:rsid w:val="001B62FC"/>
    <w:rsid w:val="001B6609"/>
    <w:rsid w:val="001C037B"/>
    <w:rsid w:val="001C0772"/>
    <w:rsid w:val="001C09BC"/>
    <w:rsid w:val="001C0A64"/>
    <w:rsid w:val="001C0F23"/>
    <w:rsid w:val="001C0FF0"/>
    <w:rsid w:val="001C13AE"/>
    <w:rsid w:val="001C2411"/>
    <w:rsid w:val="001C327C"/>
    <w:rsid w:val="001C336C"/>
    <w:rsid w:val="001C3905"/>
    <w:rsid w:val="001C3F9C"/>
    <w:rsid w:val="001C4023"/>
    <w:rsid w:val="001C45EA"/>
    <w:rsid w:val="001C5970"/>
    <w:rsid w:val="001C608D"/>
    <w:rsid w:val="001C67B9"/>
    <w:rsid w:val="001C6AD6"/>
    <w:rsid w:val="001C6FBE"/>
    <w:rsid w:val="001C7C74"/>
    <w:rsid w:val="001D11CD"/>
    <w:rsid w:val="001D1203"/>
    <w:rsid w:val="001D1670"/>
    <w:rsid w:val="001D17C0"/>
    <w:rsid w:val="001D1AB2"/>
    <w:rsid w:val="001D247E"/>
    <w:rsid w:val="001D2B4E"/>
    <w:rsid w:val="001D2FAF"/>
    <w:rsid w:val="001D30B4"/>
    <w:rsid w:val="001D3B0E"/>
    <w:rsid w:val="001D3C0F"/>
    <w:rsid w:val="001D446E"/>
    <w:rsid w:val="001D4EB1"/>
    <w:rsid w:val="001D5045"/>
    <w:rsid w:val="001D5261"/>
    <w:rsid w:val="001D52F3"/>
    <w:rsid w:val="001D56AD"/>
    <w:rsid w:val="001D57E6"/>
    <w:rsid w:val="001D59BC"/>
    <w:rsid w:val="001D6236"/>
    <w:rsid w:val="001D6886"/>
    <w:rsid w:val="001D6D5F"/>
    <w:rsid w:val="001D7C03"/>
    <w:rsid w:val="001E097C"/>
    <w:rsid w:val="001E0C21"/>
    <w:rsid w:val="001E167F"/>
    <w:rsid w:val="001E1E4A"/>
    <w:rsid w:val="001E1F14"/>
    <w:rsid w:val="001E2087"/>
    <w:rsid w:val="001E20DC"/>
    <w:rsid w:val="001E25D2"/>
    <w:rsid w:val="001E2B08"/>
    <w:rsid w:val="001E38CB"/>
    <w:rsid w:val="001E3E00"/>
    <w:rsid w:val="001E4513"/>
    <w:rsid w:val="001E4A55"/>
    <w:rsid w:val="001E4EEE"/>
    <w:rsid w:val="001E532E"/>
    <w:rsid w:val="001E5758"/>
    <w:rsid w:val="001E5F9C"/>
    <w:rsid w:val="001E60FA"/>
    <w:rsid w:val="001E643A"/>
    <w:rsid w:val="001E74E3"/>
    <w:rsid w:val="001E7D89"/>
    <w:rsid w:val="001F0073"/>
    <w:rsid w:val="001F0157"/>
    <w:rsid w:val="001F0C55"/>
    <w:rsid w:val="001F18B6"/>
    <w:rsid w:val="001F21DF"/>
    <w:rsid w:val="001F57D7"/>
    <w:rsid w:val="001F6E87"/>
    <w:rsid w:val="001F7051"/>
    <w:rsid w:val="001F72F3"/>
    <w:rsid w:val="001F7364"/>
    <w:rsid w:val="001F7644"/>
    <w:rsid w:val="001F7B78"/>
    <w:rsid w:val="002008D9"/>
    <w:rsid w:val="00201376"/>
    <w:rsid w:val="0020142E"/>
    <w:rsid w:val="00203263"/>
    <w:rsid w:val="002037AE"/>
    <w:rsid w:val="00203AB2"/>
    <w:rsid w:val="00204C95"/>
    <w:rsid w:val="00205071"/>
    <w:rsid w:val="00205859"/>
    <w:rsid w:val="00205C2E"/>
    <w:rsid w:val="002060EF"/>
    <w:rsid w:val="0020648A"/>
    <w:rsid w:val="00206653"/>
    <w:rsid w:val="00206790"/>
    <w:rsid w:val="00206EE8"/>
    <w:rsid w:val="00207786"/>
    <w:rsid w:val="00207B37"/>
    <w:rsid w:val="00207DC5"/>
    <w:rsid w:val="00207F01"/>
    <w:rsid w:val="00207F69"/>
    <w:rsid w:val="0021026D"/>
    <w:rsid w:val="00210C85"/>
    <w:rsid w:val="00210F37"/>
    <w:rsid w:val="00211204"/>
    <w:rsid w:val="00211B19"/>
    <w:rsid w:val="002128FA"/>
    <w:rsid w:val="00213D7A"/>
    <w:rsid w:val="00214B34"/>
    <w:rsid w:val="0021501E"/>
    <w:rsid w:val="0021600B"/>
    <w:rsid w:val="002163A8"/>
    <w:rsid w:val="00216496"/>
    <w:rsid w:val="00216B70"/>
    <w:rsid w:val="00216F02"/>
    <w:rsid w:val="00217A6F"/>
    <w:rsid w:val="00217E5F"/>
    <w:rsid w:val="00220261"/>
    <w:rsid w:val="00221088"/>
    <w:rsid w:val="0022133B"/>
    <w:rsid w:val="002221FA"/>
    <w:rsid w:val="00222B96"/>
    <w:rsid w:val="00223041"/>
    <w:rsid w:val="00224226"/>
    <w:rsid w:val="00224265"/>
    <w:rsid w:val="00224F49"/>
    <w:rsid w:val="0022570F"/>
    <w:rsid w:val="00225A0E"/>
    <w:rsid w:val="00225EF0"/>
    <w:rsid w:val="0022616E"/>
    <w:rsid w:val="00226548"/>
    <w:rsid w:val="00226C43"/>
    <w:rsid w:val="0022711B"/>
    <w:rsid w:val="002301B9"/>
    <w:rsid w:val="00230272"/>
    <w:rsid w:val="002304F8"/>
    <w:rsid w:val="002310EB"/>
    <w:rsid w:val="00231E21"/>
    <w:rsid w:val="00232302"/>
    <w:rsid w:val="00232399"/>
    <w:rsid w:val="0023270C"/>
    <w:rsid w:val="002329F1"/>
    <w:rsid w:val="00232F3A"/>
    <w:rsid w:val="002330E4"/>
    <w:rsid w:val="002337EF"/>
    <w:rsid w:val="00234E25"/>
    <w:rsid w:val="002351CF"/>
    <w:rsid w:val="00235B21"/>
    <w:rsid w:val="002362E8"/>
    <w:rsid w:val="0023720B"/>
    <w:rsid w:val="00240456"/>
    <w:rsid w:val="00240A76"/>
    <w:rsid w:val="00240F3F"/>
    <w:rsid w:val="00241AC9"/>
    <w:rsid w:val="0024225E"/>
    <w:rsid w:val="002422BB"/>
    <w:rsid w:val="0024291A"/>
    <w:rsid w:val="00242E57"/>
    <w:rsid w:val="0024329F"/>
    <w:rsid w:val="00243505"/>
    <w:rsid w:val="002438BC"/>
    <w:rsid w:val="00243A22"/>
    <w:rsid w:val="00243AEA"/>
    <w:rsid w:val="0024423D"/>
    <w:rsid w:val="002454D8"/>
    <w:rsid w:val="00245955"/>
    <w:rsid w:val="00245EE3"/>
    <w:rsid w:val="00246143"/>
    <w:rsid w:val="002474FD"/>
    <w:rsid w:val="002512F8"/>
    <w:rsid w:val="0025162E"/>
    <w:rsid w:val="00251F9F"/>
    <w:rsid w:val="00252B25"/>
    <w:rsid w:val="002532B2"/>
    <w:rsid w:val="00253F24"/>
    <w:rsid w:val="00254A52"/>
    <w:rsid w:val="00254D28"/>
    <w:rsid w:val="00256642"/>
    <w:rsid w:val="002567C2"/>
    <w:rsid w:val="00256D36"/>
    <w:rsid w:val="002575EA"/>
    <w:rsid w:val="00257FF3"/>
    <w:rsid w:val="002600E8"/>
    <w:rsid w:val="002604A5"/>
    <w:rsid w:val="00261419"/>
    <w:rsid w:val="002615FC"/>
    <w:rsid w:val="00261C23"/>
    <w:rsid w:val="002626A2"/>
    <w:rsid w:val="00262C71"/>
    <w:rsid w:val="00262D25"/>
    <w:rsid w:val="002642B1"/>
    <w:rsid w:val="00265607"/>
    <w:rsid w:val="0026700D"/>
    <w:rsid w:val="002673FC"/>
    <w:rsid w:val="00267FE1"/>
    <w:rsid w:val="00270476"/>
    <w:rsid w:val="00270C73"/>
    <w:rsid w:val="0027170F"/>
    <w:rsid w:val="00271FCF"/>
    <w:rsid w:val="00272229"/>
    <w:rsid w:val="00272AF5"/>
    <w:rsid w:val="00272B96"/>
    <w:rsid w:val="00272D3D"/>
    <w:rsid w:val="002736A2"/>
    <w:rsid w:val="00273CD8"/>
    <w:rsid w:val="002743B4"/>
    <w:rsid w:val="002748CB"/>
    <w:rsid w:val="00274C25"/>
    <w:rsid w:val="00274CF5"/>
    <w:rsid w:val="00274EE7"/>
    <w:rsid w:val="00274EF1"/>
    <w:rsid w:val="0027550E"/>
    <w:rsid w:val="0027567A"/>
    <w:rsid w:val="00275F65"/>
    <w:rsid w:val="00275FA0"/>
    <w:rsid w:val="00275FC3"/>
    <w:rsid w:val="00276D32"/>
    <w:rsid w:val="0027779F"/>
    <w:rsid w:val="0028020A"/>
    <w:rsid w:val="00280233"/>
    <w:rsid w:val="00280EC4"/>
    <w:rsid w:val="002812CE"/>
    <w:rsid w:val="00281895"/>
    <w:rsid w:val="002822F7"/>
    <w:rsid w:val="00282A56"/>
    <w:rsid w:val="00282CC4"/>
    <w:rsid w:val="002835BE"/>
    <w:rsid w:val="00283B59"/>
    <w:rsid w:val="00284AA3"/>
    <w:rsid w:val="00284E78"/>
    <w:rsid w:val="00285315"/>
    <w:rsid w:val="0028545D"/>
    <w:rsid w:val="00285651"/>
    <w:rsid w:val="00286FE7"/>
    <w:rsid w:val="00286FF6"/>
    <w:rsid w:val="0028758F"/>
    <w:rsid w:val="00291921"/>
    <w:rsid w:val="00291C01"/>
    <w:rsid w:val="00292D08"/>
    <w:rsid w:val="002932CF"/>
    <w:rsid w:val="00294091"/>
    <w:rsid w:val="002946BD"/>
    <w:rsid w:val="0029495E"/>
    <w:rsid w:val="00294AE7"/>
    <w:rsid w:val="00294CDE"/>
    <w:rsid w:val="00294DCA"/>
    <w:rsid w:val="002969C3"/>
    <w:rsid w:val="002972B7"/>
    <w:rsid w:val="0029743C"/>
    <w:rsid w:val="00297B8E"/>
    <w:rsid w:val="00297CA6"/>
    <w:rsid w:val="002A05BB"/>
    <w:rsid w:val="002A0F55"/>
    <w:rsid w:val="002A10F3"/>
    <w:rsid w:val="002A1FB4"/>
    <w:rsid w:val="002A21BC"/>
    <w:rsid w:val="002A3085"/>
    <w:rsid w:val="002A400D"/>
    <w:rsid w:val="002A44BB"/>
    <w:rsid w:val="002A44F3"/>
    <w:rsid w:val="002A4707"/>
    <w:rsid w:val="002A4792"/>
    <w:rsid w:val="002A48C9"/>
    <w:rsid w:val="002A58E1"/>
    <w:rsid w:val="002A6046"/>
    <w:rsid w:val="002A6FF6"/>
    <w:rsid w:val="002A750B"/>
    <w:rsid w:val="002A7F74"/>
    <w:rsid w:val="002B05D6"/>
    <w:rsid w:val="002B0FDF"/>
    <w:rsid w:val="002B103E"/>
    <w:rsid w:val="002B2E07"/>
    <w:rsid w:val="002B2E91"/>
    <w:rsid w:val="002B304D"/>
    <w:rsid w:val="002B32C9"/>
    <w:rsid w:val="002B3F2D"/>
    <w:rsid w:val="002B4A65"/>
    <w:rsid w:val="002B56B3"/>
    <w:rsid w:val="002B584B"/>
    <w:rsid w:val="002B5B54"/>
    <w:rsid w:val="002B5E47"/>
    <w:rsid w:val="002B6135"/>
    <w:rsid w:val="002B74A7"/>
    <w:rsid w:val="002C0180"/>
    <w:rsid w:val="002C0504"/>
    <w:rsid w:val="002C1031"/>
    <w:rsid w:val="002C1298"/>
    <w:rsid w:val="002C139A"/>
    <w:rsid w:val="002C1BFD"/>
    <w:rsid w:val="002C2144"/>
    <w:rsid w:val="002C2267"/>
    <w:rsid w:val="002C29F9"/>
    <w:rsid w:val="002C2FA4"/>
    <w:rsid w:val="002C303D"/>
    <w:rsid w:val="002C49C8"/>
    <w:rsid w:val="002C4BFA"/>
    <w:rsid w:val="002C4D42"/>
    <w:rsid w:val="002C5397"/>
    <w:rsid w:val="002C5451"/>
    <w:rsid w:val="002C5478"/>
    <w:rsid w:val="002C59E4"/>
    <w:rsid w:val="002C5C6A"/>
    <w:rsid w:val="002C6BC2"/>
    <w:rsid w:val="002C70DC"/>
    <w:rsid w:val="002C7C35"/>
    <w:rsid w:val="002C7E01"/>
    <w:rsid w:val="002D0986"/>
    <w:rsid w:val="002D0A04"/>
    <w:rsid w:val="002D0B2D"/>
    <w:rsid w:val="002D0F1B"/>
    <w:rsid w:val="002D0F26"/>
    <w:rsid w:val="002D16C6"/>
    <w:rsid w:val="002D207E"/>
    <w:rsid w:val="002D2D44"/>
    <w:rsid w:val="002D3406"/>
    <w:rsid w:val="002D4F7C"/>
    <w:rsid w:val="002D5C41"/>
    <w:rsid w:val="002D5D59"/>
    <w:rsid w:val="002D6728"/>
    <w:rsid w:val="002D7EDB"/>
    <w:rsid w:val="002E03F9"/>
    <w:rsid w:val="002E10BD"/>
    <w:rsid w:val="002E1256"/>
    <w:rsid w:val="002E265B"/>
    <w:rsid w:val="002E300E"/>
    <w:rsid w:val="002E35DE"/>
    <w:rsid w:val="002E3DBE"/>
    <w:rsid w:val="002E3E02"/>
    <w:rsid w:val="002E5358"/>
    <w:rsid w:val="002E594C"/>
    <w:rsid w:val="002E67B3"/>
    <w:rsid w:val="002E6D53"/>
    <w:rsid w:val="002F0C84"/>
    <w:rsid w:val="002F0EEA"/>
    <w:rsid w:val="002F1360"/>
    <w:rsid w:val="002F166E"/>
    <w:rsid w:val="002F180D"/>
    <w:rsid w:val="002F1A3B"/>
    <w:rsid w:val="002F2001"/>
    <w:rsid w:val="002F2D00"/>
    <w:rsid w:val="002F36B0"/>
    <w:rsid w:val="002F3E2F"/>
    <w:rsid w:val="002F3E40"/>
    <w:rsid w:val="002F54A6"/>
    <w:rsid w:val="002F5BF1"/>
    <w:rsid w:val="002F5D50"/>
    <w:rsid w:val="002F639D"/>
    <w:rsid w:val="002F77DE"/>
    <w:rsid w:val="003003DC"/>
    <w:rsid w:val="00300BB5"/>
    <w:rsid w:val="00300C49"/>
    <w:rsid w:val="00301182"/>
    <w:rsid w:val="003013F6"/>
    <w:rsid w:val="00302995"/>
    <w:rsid w:val="003029AC"/>
    <w:rsid w:val="003036B9"/>
    <w:rsid w:val="00303B08"/>
    <w:rsid w:val="00303CC4"/>
    <w:rsid w:val="00303D00"/>
    <w:rsid w:val="00303D16"/>
    <w:rsid w:val="00303F03"/>
    <w:rsid w:val="0030485C"/>
    <w:rsid w:val="00305FB3"/>
    <w:rsid w:val="00306F46"/>
    <w:rsid w:val="00307C57"/>
    <w:rsid w:val="003113CF"/>
    <w:rsid w:val="00311C79"/>
    <w:rsid w:val="00311D6D"/>
    <w:rsid w:val="003121AD"/>
    <w:rsid w:val="003123B7"/>
    <w:rsid w:val="00312971"/>
    <w:rsid w:val="00312BCB"/>
    <w:rsid w:val="00312DFD"/>
    <w:rsid w:val="00313551"/>
    <w:rsid w:val="00313921"/>
    <w:rsid w:val="00313ABF"/>
    <w:rsid w:val="00313CED"/>
    <w:rsid w:val="00313EB5"/>
    <w:rsid w:val="00314668"/>
    <w:rsid w:val="00314BB5"/>
    <w:rsid w:val="003154D5"/>
    <w:rsid w:val="003154EF"/>
    <w:rsid w:val="0031563C"/>
    <w:rsid w:val="00315F6F"/>
    <w:rsid w:val="00316134"/>
    <w:rsid w:val="00316421"/>
    <w:rsid w:val="003178FE"/>
    <w:rsid w:val="00320105"/>
    <w:rsid w:val="00320EC5"/>
    <w:rsid w:val="00321B21"/>
    <w:rsid w:val="003226A9"/>
    <w:rsid w:val="0032298B"/>
    <w:rsid w:val="00323A2F"/>
    <w:rsid w:val="00323A88"/>
    <w:rsid w:val="003249EF"/>
    <w:rsid w:val="00324B87"/>
    <w:rsid w:val="00324C29"/>
    <w:rsid w:val="00324DF0"/>
    <w:rsid w:val="00324E5F"/>
    <w:rsid w:val="00324EF8"/>
    <w:rsid w:val="00325020"/>
    <w:rsid w:val="00325A66"/>
    <w:rsid w:val="00325DB3"/>
    <w:rsid w:val="00326DC5"/>
    <w:rsid w:val="00327055"/>
    <w:rsid w:val="00330F1F"/>
    <w:rsid w:val="003313A0"/>
    <w:rsid w:val="0033153A"/>
    <w:rsid w:val="00331EC0"/>
    <w:rsid w:val="00332866"/>
    <w:rsid w:val="0033311D"/>
    <w:rsid w:val="0033359F"/>
    <w:rsid w:val="003338E1"/>
    <w:rsid w:val="00333A5F"/>
    <w:rsid w:val="003344FB"/>
    <w:rsid w:val="00334584"/>
    <w:rsid w:val="00334CD7"/>
    <w:rsid w:val="003350D5"/>
    <w:rsid w:val="0033578A"/>
    <w:rsid w:val="003357D3"/>
    <w:rsid w:val="003358FE"/>
    <w:rsid w:val="00335A9D"/>
    <w:rsid w:val="0033619A"/>
    <w:rsid w:val="003362D2"/>
    <w:rsid w:val="0033716F"/>
    <w:rsid w:val="00340AE7"/>
    <w:rsid w:val="00340D7C"/>
    <w:rsid w:val="00341577"/>
    <w:rsid w:val="00341974"/>
    <w:rsid w:val="00342983"/>
    <w:rsid w:val="0034339D"/>
    <w:rsid w:val="003439DF"/>
    <w:rsid w:val="00343B42"/>
    <w:rsid w:val="0034704A"/>
    <w:rsid w:val="003475FE"/>
    <w:rsid w:val="00347D17"/>
    <w:rsid w:val="003503B4"/>
    <w:rsid w:val="00350579"/>
    <w:rsid w:val="003522C6"/>
    <w:rsid w:val="003526C2"/>
    <w:rsid w:val="00352AE7"/>
    <w:rsid w:val="00352B4A"/>
    <w:rsid w:val="00352E5D"/>
    <w:rsid w:val="003532FF"/>
    <w:rsid w:val="00353C94"/>
    <w:rsid w:val="00353CC3"/>
    <w:rsid w:val="00353FF0"/>
    <w:rsid w:val="003544F5"/>
    <w:rsid w:val="00355FE9"/>
    <w:rsid w:val="00361851"/>
    <w:rsid w:val="00361A59"/>
    <w:rsid w:val="00362D9F"/>
    <w:rsid w:val="00363322"/>
    <w:rsid w:val="003637E3"/>
    <w:rsid w:val="003639B1"/>
    <w:rsid w:val="00364411"/>
    <w:rsid w:val="0036491D"/>
    <w:rsid w:val="00364CCF"/>
    <w:rsid w:val="00365429"/>
    <w:rsid w:val="003657B5"/>
    <w:rsid w:val="00365B56"/>
    <w:rsid w:val="00366A0A"/>
    <w:rsid w:val="00367B10"/>
    <w:rsid w:val="00367B25"/>
    <w:rsid w:val="00367E58"/>
    <w:rsid w:val="003706B0"/>
    <w:rsid w:val="00372193"/>
    <w:rsid w:val="00372363"/>
    <w:rsid w:val="0037393B"/>
    <w:rsid w:val="00373B23"/>
    <w:rsid w:val="003746AA"/>
    <w:rsid w:val="003748F1"/>
    <w:rsid w:val="00374E8D"/>
    <w:rsid w:val="003764BA"/>
    <w:rsid w:val="0037683F"/>
    <w:rsid w:val="0037689C"/>
    <w:rsid w:val="00376D71"/>
    <w:rsid w:val="003803E3"/>
    <w:rsid w:val="00380752"/>
    <w:rsid w:val="00380DAD"/>
    <w:rsid w:val="003817F4"/>
    <w:rsid w:val="00382EF3"/>
    <w:rsid w:val="00383A78"/>
    <w:rsid w:val="00383F6A"/>
    <w:rsid w:val="0038416D"/>
    <w:rsid w:val="00384286"/>
    <w:rsid w:val="00384289"/>
    <w:rsid w:val="00384B9E"/>
    <w:rsid w:val="00386334"/>
    <w:rsid w:val="003868FF"/>
    <w:rsid w:val="003903BC"/>
    <w:rsid w:val="0039128B"/>
    <w:rsid w:val="00392E78"/>
    <w:rsid w:val="00393691"/>
    <w:rsid w:val="00393847"/>
    <w:rsid w:val="00393F20"/>
    <w:rsid w:val="00394276"/>
    <w:rsid w:val="00394DAF"/>
    <w:rsid w:val="003951F1"/>
    <w:rsid w:val="0039565A"/>
    <w:rsid w:val="00395E6D"/>
    <w:rsid w:val="00395F91"/>
    <w:rsid w:val="003961DA"/>
    <w:rsid w:val="00396DBF"/>
    <w:rsid w:val="00397C0A"/>
    <w:rsid w:val="003A060B"/>
    <w:rsid w:val="003A095D"/>
    <w:rsid w:val="003A15D9"/>
    <w:rsid w:val="003A1C3D"/>
    <w:rsid w:val="003A1E02"/>
    <w:rsid w:val="003A29FE"/>
    <w:rsid w:val="003A2A28"/>
    <w:rsid w:val="003A498E"/>
    <w:rsid w:val="003A5CF8"/>
    <w:rsid w:val="003A5FD7"/>
    <w:rsid w:val="003A634B"/>
    <w:rsid w:val="003A668C"/>
    <w:rsid w:val="003A685C"/>
    <w:rsid w:val="003A7965"/>
    <w:rsid w:val="003A7A67"/>
    <w:rsid w:val="003B0EA9"/>
    <w:rsid w:val="003B1293"/>
    <w:rsid w:val="003B14E8"/>
    <w:rsid w:val="003B1D41"/>
    <w:rsid w:val="003B21FD"/>
    <w:rsid w:val="003B24AF"/>
    <w:rsid w:val="003B26DB"/>
    <w:rsid w:val="003B279D"/>
    <w:rsid w:val="003B2B61"/>
    <w:rsid w:val="003B398C"/>
    <w:rsid w:val="003B3AB1"/>
    <w:rsid w:val="003B3E1C"/>
    <w:rsid w:val="003B44BF"/>
    <w:rsid w:val="003B4B1E"/>
    <w:rsid w:val="003B51AC"/>
    <w:rsid w:val="003B5D22"/>
    <w:rsid w:val="003B6C53"/>
    <w:rsid w:val="003B77E4"/>
    <w:rsid w:val="003B7EA6"/>
    <w:rsid w:val="003B7F3D"/>
    <w:rsid w:val="003C10AE"/>
    <w:rsid w:val="003C1121"/>
    <w:rsid w:val="003C16AE"/>
    <w:rsid w:val="003C2180"/>
    <w:rsid w:val="003C21B8"/>
    <w:rsid w:val="003C257F"/>
    <w:rsid w:val="003C2A1A"/>
    <w:rsid w:val="003C2DF7"/>
    <w:rsid w:val="003C3B9D"/>
    <w:rsid w:val="003C48C4"/>
    <w:rsid w:val="003C559E"/>
    <w:rsid w:val="003C6182"/>
    <w:rsid w:val="003C68AD"/>
    <w:rsid w:val="003C6CEC"/>
    <w:rsid w:val="003D093E"/>
    <w:rsid w:val="003D1213"/>
    <w:rsid w:val="003D2048"/>
    <w:rsid w:val="003D2174"/>
    <w:rsid w:val="003D24BF"/>
    <w:rsid w:val="003D2D19"/>
    <w:rsid w:val="003D301F"/>
    <w:rsid w:val="003D39C3"/>
    <w:rsid w:val="003D3AD4"/>
    <w:rsid w:val="003D42CF"/>
    <w:rsid w:val="003D50B7"/>
    <w:rsid w:val="003D6AB4"/>
    <w:rsid w:val="003D7646"/>
    <w:rsid w:val="003E020C"/>
    <w:rsid w:val="003E11D8"/>
    <w:rsid w:val="003E12C9"/>
    <w:rsid w:val="003E13DD"/>
    <w:rsid w:val="003E1674"/>
    <w:rsid w:val="003E18EF"/>
    <w:rsid w:val="003E3800"/>
    <w:rsid w:val="003E4EBE"/>
    <w:rsid w:val="003E5B2F"/>
    <w:rsid w:val="003E5CF4"/>
    <w:rsid w:val="003E5F83"/>
    <w:rsid w:val="003E62D7"/>
    <w:rsid w:val="003E65F3"/>
    <w:rsid w:val="003E73D3"/>
    <w:rsid w:val="003E77A5"/>
    <w:rsid w:val="003E7FE4"/>
    <w:rsid w:val="003F034D"/>
    <w:rsid w:val="003F0538"/>
    <w:rsid w:val="003F0A39"/>
    <w:rsid w:val="003F149F"/>
    <w:rsid w:val="003F1AAB"/>
    <w:rsid w:val="003F1AE0"/>
    <w:rsid w:val="003F402B"/>
    <w:rsid w:val="003F4A5D"/>
    <w:rsid w:val="003F4AB4"/>
    <w:rsid w:val="003F4F49"/>
    <w:rsid w:val="003F5282"/>
    <w:rsid w:val="003F5609"/>
    <w:rsid w:val="003F5EDB"/>
    <w:rsid w:val="003F6D34"/>
    <w:rsid w:val="003F7463"/>
    <w:rsid w:val="00400B15"/>
    <w:rsid w:val="004014D8"/>
    <w:rsid w:val="004016C3"/>
    <w:rsid w:val="00402729"/>
    <w:rsid w:val="004038E9"/>
    <w:rsid w:val="00404590"/>
    <w:rsid w:val="004045A3"/>
    <w:rsid w:val="0040491D"/>
    <w:rsid w:val="00405319"/>
    <w:rsid w:val="004053CB"/>
    <w:rsid w:val="00405605"/>
    <w:rsid w:val="00405D3A"/>
    <w:rsid w:val="004069BF"/>
    <w:rsid w:val="00406BE7"/>
    <w:rsid w:val="00407394"/>
    <w:rsid w:val="00407535"/>
    <w:rsid w:val="004076D3"/>
    <w:rsid w:val="00407C8B"/>
    <w:rsid w:val="004101D6"/>
    <w:rsid w:val="00410A45"/>
    <w:rsid w:val="00410D19"/>
    <w:rsid w:val="004118FB"/>
    <w:rsid w:val="004123A3"/>
    <w:rsid w:val="004128A0"/>
    <w:rsid w:val="00412BF1"/>
    <w:rsid w:val="004135AD"/>
    <w:rsid w:val="004136F9"/>
    <w:rsid w:val="004137B5"/>
    <w:rsid w:val="00413E1F"/>
    <w:rsid w:val="00414000"/>
    <w:rsid w:val="00414C3E"/>
    <w:rsid w:val="0041524E"/>
    <w:rsid w:val="00415A73"/>
    <w:rsid w:val="00415F98"/>
    <w:rsid w:val="0041676C"/>
    <w:rsid w:val="00417724"/>
    <w:rsid w:val="00417966"/>
    <w:rsid w:val="004179E6"/>
    <w:rsid w:val="00417E5A"/>
    <w:rsid w:val="00417FEF"/>
    <w:rsid w:val="00420714"/>
    <w:rsid w:val="004209EE"/>
    <w:rsid w:val="00420FAB"/>
    <w:rsid w:val="004210EC"/>
    <w:rsid w:val="00422241"/>
    <w:rsid w:val="00422528"/>
    <w:rsid w:val="00422AF6"/>
    <w:rsid w:val="0042453E"/>
    <w:rsid w:val="004255E2"/>
    <w:rsid w:val="00425CEC"/>
    <w:rsid w:val="00427059"/>
    <w:rsid w:val="004273DC"/>
    <w:rsid w:val="004277FF"/>
    <w:rsid w:val="00427F41"/>
    <w:rsid w:val="00431DBE"/>
    <w:rsid w:val="00431DC4"/>
    <w:rsid w:val="0043245A"/>
    <w:rsid w:val="0043250B"/>
    <w:rsid w:val="00432DD8"/>
    <w:rsid w:val="00433B8B"/>
    <w:rsid w:val="0043404D"/>
    <w:rsid w:val="0043470D"/>
    <w:rsid w:val="00434DD2"/>
    <w:rsid w:val="0043597A"/>
    <w:rsid w:val="00435A3A"/>
    <w:rsid w:val="00435DBC"/>
    <w:rsid w:val="00435F2D"/>
    <w:rsid w:val="004363B0"/>
    <w:rsid w:val="00436C65"/>
    <w:rsid w:val="004370FB"/>
    <w:rsid w:val="00437922"/>
    <w:rsid w:val="00437EFF"/>
    <w:rsid w:val="00440413"/>
    <w:rsid w:val="004404EB"/>
    <w:rsid w:val="004411AE"/>
    <w:rsid w:val="00441D72"/>
    <w:rsid w:val="00442C09"/>
    <w:rsid w:val="00443863"/>
    <w:rsid w:val="00443A5E"/>
    <w:rsid w:val="00444F26"/>
    <w:rsid w:val="00445050"/>
    <w:rsid w:val="0044571A"/>
    <w:rsid w:val="00445C0D"/>
    <w:rsid w:val="004464DC"/>
    <w:rsid w:val="0044690E"/>
    <w:rsid w:val="00446DC2"/>
    <w:rsid w:val="0044721E"/>
    <w:rsid w:val="00447B8E"/>
    <w:rsid w:val="00447DCD"/>
    <w:rsid w:val="0045077B"/>
    <w:rsid w:val="00450ABB"/>
    <w:rsid w:val="004517C0"/>
    <w:rsid w:val="00451C9A"/>
    <w:rsid w:val="00452312"/>
    <w:rsid w:val="00452E06"/>
    <w:rsid w:val="00452EE4"/>
    <w:rsid w:val="00453AA9"/>
    <w:rsid w:val="0045466F"/>
    <w:rsid w:val="0045549A"/>
    <w:rsid w:val="00455B29"/>
    <w:rsid w:val="00456020"/>
    <w:rsid w:val="004564B6"/>
    <w:rsid w:val="00456531"/>
    <w:rsid w:val="004569F4"/>
    <w:rsid w:val="00457A8E"/>
    <w:rsid w:val="00460023"/>
    <w:rsid w:val="00460625"/>
    <w:rsid w:val="0046114A"/>
    <w:rsid w:val="004613E2"/>
    <w:rsid w:val="00461E09"/>
    <w:rsid w:val="00462133"/>
    <w:rsid w:val="00462FCD"/>
    <w:rsid w:val="0046337F"/>
    <w:rsid w:val="00463832"/>
    <w:rsid w:val="00463BAE"/>
    <w:rsid w:val="004642A9"/>
    <w:rsid w:val="004643BB"/>
    <w:rsid w:val="00464666"/>
    <w:rsid w:val="004646C6"/>
    <w:rsid w:val="00465E3A"/>
    <w:rsid w:val="00466503"/>
    <w:rsid w:val="00466A6A"/>
    <w:rsid w:val="00467198"/>
    <w:rsid w:val="004671C8"/>
    <w:rsid w:val="00467F4A"/>
    <w:rsid w:val="004702D5"/>
    <w:rsid w:val="0047031C"/>
    <w:rsid w:val="004711C6"/>
    <w:rsid w:val="004712F7"/>
    <w:rsid w:val="00471627"/>
    <w:rsid w:val="00471718"/>
    <w:rsid w:val="004719AF"/>
    <w:rsid w:val="00471DCF"/>
    <w:rsid w:val="00471FED"/>
    <w:rsid w:val="004722C3"/>
    <w:rsid w:val="00472466"/>
    <w:rsid w:val="004724BA"/>
    <w:rsid w:val="00472B5B"/>
    <w:rsid w:val="00473CA7"/>
    <w:rsid w:val="0047442E"/>
    <w:rsid w:val="00474743"/>
    <w:rsid w:val="00474FE6"/>
    <w:rsid w:val="00474FF6"/>
    <w:rsid w:val="00475C4E"/>
    <w:rsid w:val="00475FF0"/>
    <w:rsid w:val="00476B40"/>
    <w:rsid w:val="00477151"/>
    <w:rsid w:val="00477EE1"/>
    <w:rsid w:val="00480124"/>
    <w:rsid w:val="00480398"/>
    <w:rsid w:val="00480A12"/>
    <w:rsid w:val="00480C15"/>
    <w:rsid w:val="00480D89"/>
    <w:rsid w:val="00480E17"/>
    <w:rsid w:val="00482715"/>
    <w:rsid w:val="00483051"/>
    <w:rsid w:val="004830BF"/>
    <w:rsid w:val="00483153"/>
    <w:rsid w:val="0048456F"/>
    <w:rsid w:val="004850DE"/>
    <w:rsid w:val="00486E16"/>
    <w:rsid w:val="00486F1E"/>
    <w:rsid w:val="00486F91"/>
    <w:rsid w:val="00487ECD"/>
    <w:rsid w:val="004901CD"/>
    <w:rsid w:val="004901FE"/>
    <w:rsid w:val="00490384"/>
    <w:rsid w:val="00490617"/>
    <w:rsid w:val="00490C74"/>
    <w:rsid w:val="00490CC5"/>
    <w:rsid w:val="00490DC3"/>
    <w:rsid w:val="00490F9A"/>
    <w:rsid w:val="00490FBB"/>
    <w:rsid w:val="004912C9"/>
    <w:rsid w:val="0049167B"/>
    <w:rsid w:val="00491BCA"/>
    <w:rsid w:val="00491C30"/>
    <w:rsid w:val="00491E90"/>
    <w:rsid w:val="004921D5"/>
    <w:rsid w:val="00493937"/>
    <w:rsid w:val="00493E8D"/>
    <w:rsid w:val="00493F0E"/>
    <w:rsid w:val="00494CCE"/>
    <w:rsid w:val="00495185"/>
    <w:rsid w:val="004958BE"/>
    <w:rsid w:val="00495A8C"/>
    <w:rsid w:val="0049721A"/>
    <w:rsid w:val="0049725C"/>
    <w:rsid w:val="004A05BC"/>
    <w:rsid w:val="004A0CF0"/>
    <w:rsid w:val="004A12AA"/>
    <w:rsid w:val="004A170D"/>
    <w:rsid w:val="004A1B0A"/>
    <w:rsid w:val="004A1B0B"/>
    <w:rsid w:val="004A294D"/>
    <w:rsid w:val="004A2962"/>
    <w:rsid w:val="004A37A8"/>
    <w:rsid w:val="004A39AC"/>
    <w:rsid w:val="004A4346"/>
    <w:rsid w:val="004A45FA"/>
    <w:rsid w:val="004A4778"/>
    <w:rsid w:val="004A5DDC"/>
    <w:rsid w:val="004A6406"/>
    <w:rsid w:val="004A73FD"/>
    <w:rsid w:val="004A7EFC"/>
    <w:rsid w:val="004B0979"/>
    <w:rsid w:val="004B1153"/>
    <w:rsid w:val="004B214C"/>
    <w:rsid w:val="004B2566"/>
    <w:rsid w:val="004B2C95"/>
    <w:rsid w:val="004B330A"/>
    <w:rsid w:val="004B3C31"/>
    <w:rsid w:val="004B3DA1"/>
    <w:rsid w:val="004B420B"/>
    <w:rsid w:val="004B4727"/>
    <w:rsid w:val="004B4C15"/>
    <w:rsid w:val="004B4F42"/>
    <w:rsid w:val="004B4F8A"/>
    <w:rsid w:val="004B4FA1"/>
    <w:rsid w:val="004B5537"/>
    <w:rsid w:val="004B5D52"/>
    <w:rsid w:val="004B7123"/>
    <w:rsid w:val="004B762E"/>
    <w:rsid w:val="004B7984"/>
    <w:rsid w:val="004B7BF9"/>
    <w:rsid w:val="004C0B2C"/>
    <w:rsid w:val="004C0B65"/>
    <w:rsid w:val="004C0BB8"/>
    <w:rsid w:val="004C1236"/>
    <w:rsid w:val="004C13D7"/>
    <w:rsid w:val="004C159E"/>
    <w:rsid w:val="004C1989"/>
    <w:rsid w:val="004C222C"/>
    <w:rsid w:val="004C278D"/>
    <w:rsid w:val="004C2B52"/>
    <w:rsid w:val="004C2C5E"/>
    <w:rsid w:val="004C2CF5"/>
    <w:rsid w:val="004C3398"/>
    <w:rsid w:val="004C3A9E"/>
    <w:rsid w:val="004C4736"/>
    <w:rsid w:val="004C5166"/>
    <w:rsid w:val="004C52CC"/>
    <w:rsid w:val="004C5613"/>
    <w:rsid w:val="004C669F"/>
    <w:rsid w:val="004C6B45"/>
    <w:rsid w:val="004C6F19"/>
    <w:rsid w:val="004C7458"/>
    <w:rsid w:val="004C78C1"/>
    <w:rsid w:val="004C7D1F"/>
    <w:rsid w:val="004C7DA5"/>
    <w:rsid w:val="004D03E7"/>
    <w:rsid w:val="004D0B61"/>
    <w:rsid w:val="004D0E88"/>
    <w:rsid w:val="004D2382"/>
    <w:rsid w:val="004D2FDE"/>
    <w:rsid w:val="004D3456"/>
    <w:rsid w:val="004D3A85"/>
    <w:rsid w:val="004D4052"/>
    <w:rsid w:val="004D46F4"/>
    <w:rsid w:val="004D5533"/>
    <w:rsid w:val="004D5DC9"/>
    <w:rsid w:val="004D63FA"/>
    <w:rsid w:val="004D7BB8"/>
    <w:rsid w:val="004E04AE"/>
    <w:rsid w:val="004E14B9"/>
    <w:rsid w:val="004E167A"/>
    <w:rsid w:val="004E1C29"/>
    <w:rsid w:val="004E2023"/>
    <w:rsid w:val="004E3024"/>
    <w:rsid w:val="004E339E"/>
    <w:rsid w:val="004E3478"/>
    <w:rsid w:val="004E3ABF"/>
    <w:rsid w:val="004E45EC"/>
    <w:rsid w:val="004E49B2"/>
    <w:rsid w:val="004E5151"/>
    <w:rsid w:val="004E5663"/>
    <w:rsid w:val="004E56EA"/>
    <w:rsid w:val="004E57F3"/>
    <w:rsid w:val="004E69ED"/>
    <w:rsid w:val="004E7E55"/>
    <w:rsid w:val="004E7F21"/>
    <w:rsid w:val="004F1120"/>
    <w:rsid w:val="004F18EF"/>
    <w:rsid w:val="004F1A82"/>
    <w:rsid w:val="004F1ECE"/>
    <w:rsid w:val="004F289F"/>
    <w:rsid w:val="004F348B"/>
    <w:rsid w:val="004F5401"/>
    <w:rsid w:val="004F5495"/>
    <w:rsid w:val="004F55C5"/>
    <w:rsid w:val="004F5F12"/>
    <w:rsid w:val="004F751C"/>
    <w:rsid w:val="004F7779"/>
    <w:rsid w:val="0050005F"/>
    <w:rsid w:val="00500F4C"/>
    <w:rsid w:val="00501745"/>
    <w:rsid w:val="00501CA7"/>
    <w:rsid w:val="00502118"/>
    <w:rsid w:val="005022EB"/>
    <w:rsid w:val="00502415"/>
    <w:rsid w:val="00502915"/>
    <w:rsid w:val="005031FB"/>
    <w:rsid w:val="0050332A"/>
    <w:rsid w:val="005035A2"/>
    <w:rsid w:val="0050428A"/>
    <w:rsid w:val="00504391"/>
    <w:rsid w:val="0050446D"/>
    <w:rsid w:val="00504735"/>
    <w:rsid w:val="0050541B"/>
    <w:rsid w:val="00505DEF"/>
    <w:rsid w:val="00506AB8"/>
    <w:rsid w:val="00506ADB"/>
    <w:rsid w:val="00506E80"/>
    <w:rsid w:val="00507380"/>
    <w:rsid w:val="00507ABA"/>
    <w:rsid w:val="00507BBA"/>
    <w:rsid w:val="005100CE"/>
    <w:rsid w:val="00510AAF"/>
    <w:rsid w:val="00510ADB"/>
    <w:rsid w:val="005118D3"/>
    <w:rsid w:val="005119A0"/>
    <w:rsid w:val="005119C5"/>
    <w:rsid w:val="00511A0B"/>
    <w:rsid w:val="00511CDA"/>
    <w:rsid w:val="00511F1D"/>
    <w:rsid w:val="00512220"/>
    <w:rsid w:val="005122B9"/>
    <w:rsid w:val="005123CF"/>
    <w:rsid w:val="00513358"/>
    <w:rsid w:val="005142F9"/>
    <w:rsid w:val="0051438B"/>
    <w:rsid w:val="00514B9F"/>
    <w:rsid w:val="005163E4"/>
    <w:rsid w:val="005164E8"/>
    <w:rsid w:val="00516878"/>
    <w:rsid w:val="0052005E"/>
    <w:rsid w:val="005216B4"/>
    <w:rsid w:val="00521948"/>
    <w:rsid w:val="00522B50"/>
    <w:rsid w:val="00522D7B"/>
    <w:rsid w:val="005231AA"/>
    <w:rsid w:val="00524088"/>
    <w:rsid w:val="0052434C"/>
    <w:rsid w:val="0052480E"/>
    <w:rsid w:val="0052522E"/>
    <w:rsid w:val="005257F1"/>
    <w:rsid w:val="00525F74"/>
    <w:rsid w:val="0052690D"/>
    <w:rsid w:val="00526A5C"/>
    <w:rsid w:val="00526B9E"/>
    <w:rsid w:val="00526DC3"/>
    <w:rsid w:val="00527A86"/>
    <w:rsid w:val="00530672"/>
    <w:rsid w:val="00530A6B"/>
    <w:rsid w:val="00530BEC"/>
    <w:rsid w:val="00530D5D"/>
    <w:rsid w:val="00530F6F"/>
    <w:rsid w:val="00531F3F"/>
    <w:rsid w:val="005326A5"/>
    <w:rsid w:val="00532724"/>
    <w:rsid w:val="00532A1F"/>
    <w:rsid w:val="00533189"/>
    <w:rsid w:val="00533309"/>
    <w:rsid w:val="0053364F"/>
    <w:rsid w:val="005341F6"/>
    <w:rsid w:val="0053426A"/>
    <w:rsid w:val="0053438D"/>
    <w:rsid w:val="0053455E"/>
    <w:rsid w:val="00534582"/>
    <w:rsid w:val="0053486A"/>
    <w:rsid w:val="00534C31"/>
    <w:rsid w:val="0053603C"/>
    <w:rsid w:val="00536953"/>
    <w:rsid w:val="005370BD"/>
    <w:rsid w:val="00537784"/>
    <w:rsid w:val="00537A1C"/>
    <w:rsid w:val="00540C69"/>
    <w:rsid w:val="00541617"/>
    <w:rsid w:val="0054214A"/>
    <w:rsid w:val="005438FF"/>
    <w:rsid w:val="00543C2D"/>
    <w:rsid w:val="00544961"/>
    <w:rsid w:val="00544A43"/>
    <w:rsid w:val="00544F9C"/>
    <w:rsid w:val="00545749"/>
    <w:rsid w:val="00546585"/>
    <w:rsid w:val="005469E2"/>
    <w:rsid w:val="005502DA"/>
    <w:rsid w:val="00550C86"/>
    <w:rsid w:val="00551075"/>
    <w:rsid w:val="00551862"/>
    <w:rsid w:val="005519DF"/>
    <w:rsid w:val="005520E8"/>
    <w:rsid w:val="0055222B"/>
    <w:rsid w:val="00552D87"/>
    <w:rsid w:val="00553339"/>
    <w:rsid w:val="00554B42"/>
    <w:rsid w:val="00554D7C"/>
    <w:rsid w:val="00554DE9"/>
    <w:rsid w:val="00554F32"/>
    <w:rsid w:val="00555291"/>
    <w:rsid w:val="0055582F"/>
    <w:rsid w:val="005558AA"/>
    <w:rsid w:val="0055610D"/>
    <w:rsid w:val="005563C2"/>
    <w:rsid w:val="00556C36"/>
    <w:rsid w:val="005572B1"/>
    <w:rsid w:val="00560387"/>
    <w:rsid w:val="005616F8"/>
    <w:rsid w:val="005620D3"/>
    <w:rsid w:val="00562599"/>
    <w:rsid w:val="00562627"/>
    <w:rsid w:val="00562D31"/>
    <w:rsid w:val="005631BD"/>
    <w:rsid w:val="005638EC"/>
    <w:rsid w:val="00564399"/>
    <w:rsid w:val="00564A91"/>
    <w:rsid w:val="0056505B"/>
    <w:rsid w:val="005657F0"/>
    <w:rsid w:val="00566107"/>
    <w:rsid w:val="00566CE9"/>
    <w:rsid w:val="00566E75"/>
    <w:rsid w:val="005672AE"/>
    <w:rsid w:val="005677A0"/>
    <w:rsid w:val="0057041F"/>
    <w:rsid w:val="00570A8C"/>
    <w:rsid w:val="00570B38"/>
    <w:rsid w:val="00570F00"/>
    <w:rsid w:val="005716BD"/>
    <w:rsid w:val="0057282C"/>
    <w:rsid w:val="00572949"/>
    <w:rsid w:val="00574330"/>
    <w:rsid w:val="00574BA2"/>
    <w:rsid w:val="00574CAA"/>
    <w:rsid w:val="00574CFD"/>
    <w:rsid w:val="00574FD2"/>
    <w:rsid w:val="005750CF"/>
    <w:rsid w:val="005752C0"/>
    <w:rsid w:val="005754F3"/>
    <w:rsid w:val="00575755"/>
    <w:rsid w:val="0057598C"/>
    <w:rsid w:val="00575D5F"/>
    <w:rsid w:val="005760F1"/>
    <w:rsid w:val="005771DC"/>
    <w:rsid w:val="005772CC"/>
    <w:rsid w:val="00577594"/>
    <w:rsid w:val="0057765C"/>
    <w:rsid w:val="00580072"/>
    <w:rsid w:val="00580C5E"/>
    <w:rsid w:val="005813BA"/>
    <w:rsid w:val="005817D6"/>
    <w:rsid w:val="005822D6"/>
    <w:rsid w:val="00582E64"/>
    <w:rsid w:val="00582F9E"/>
    <w:rsid w:val="0058340E"/>
    <w:rsid w:val="005837C5"/>
    <w:rsid w:val="0058430B"/>
    <w:rsid w:val="00584333"/>
    <w:rsid w:val="00586CD3"/>
    <w:rsid w:val="005870A1"/>
    <w:rsid w:val="00587AE8"/>
    <w:rsid w:val="0059006C"/>
    <w:rsid w:val="0059021F"/>
    <w:rsid w:val="00590694"/>
    <w:rsid w:val="005907CA"/>
    <w:rsid w:val="0059169E"/>
    <w:rsid w:val="00592225"/>
    <w:rsid w:val="005924BD"/>
    <w:rsid w:val="00592719"/>
    <w:rsid w:val="0059293A"/>
    <w:rsid w:val="00592E48"/>
    <w:rsid w:val="005935BC"/>
    <w:rsid w:val="005943F0"/>
    <w:rsid w:val="005954DA"/>
    <w:rsid w:val="00595511"/>
    <w:rsid w:val="00595719"/>
    <w:rsid w:val="00596773"/>
    <w:rsid w:val="00597021"/>
    <w:rsid w:val="005973E3"/>
    <w:rsid w:val="00597981"/>
    <w:rsid w:val="00597C39"/>
    <w:rsid w:val="005A0594"/>
    <w:rsid w:val="005A0C40"/>
    <w:rsid w:val="005A0CE0"/>
    <w:rsid w:val="005A3D1E"/>
    <w:rsid w:val="005A3D92"/>
    <w:rsid w:val="005A4EC1"/>
    <w:rsid w:val="005A5197"/>
    <w:rsid w:val="005A5257"/>
    <w:rsid w:val="005A5A2D"/>
    <w:rsid w:val="005A633E"/>
    <w:rsid w:val="005A6745"/>
    <w:rsid w:val="005A6794"/>
    <w:rsid w:val="005A6875"/>
    <w:rsid w:val="005A7201"/>
    <w:rsid w:val="005A7BD6"/>
    <w:rsid w:val="005A7E88"/>
    <w:rsid w:val="005B0C27"/>
    <w:rsid w:val="005B0F02"/>
    <w:rsid w:val="005B0F30"/>
    <w:rsid w:val="005B183D"/>
    <w:rsid w:val="005B1BF2"/>
    <w:rsid w:val="005B1F28"/>
    <w:rsid w:val="005B2593"/>
    <w:rsid w:val="005B409D"/>
    <w:rsid w:val="005B4717"/>
    <w:rsid w:val="005B4D1B"/>
    <w:rsid w:val="005B5022"/>
    <w:rsid w:val="005B5791"/>
    <w:rsid w:val="005B59A6"/>
    <w:rsid w:val="005B6328"/>
    <w:rsid w:val="005B7264"/>
    <w:rsid w:val="005C00C1"/>
    <w:rsid w:val="005C0DA8"/>
    <w:rsid w:val="005C0E5B"/>
    <w:rsid w:val="005C1AE7"/>
    <w:rsid w:val="005C1B7F"/>
    <w:rsid w:val="005C1E1F"/>
    <w:rsid w:val="005C2738"/>
    <w:rsid w:val="005C2831"/>
    <w:rsid w:val="005C2E02"/>
    <w:rsid w:val="005C49B7"/>
    <w:rsid w:val="005C4B05"/>
    <w:rsid w:val="005C4F1A"/>
    <w:rsid w:val="005C545A"/>
    <w:rsid w:val="005C5E1B"/>
    <w:rsid w:val="005C61BF"/>
    <w:rsid w:val="005C6543"/>
    <w:rsid w:val="005C753B"/>
    <w:rsid w:val="005C7A34"/>
    <w:rsid w:val="005C7C45"/>
    <w:rsid w:val="005C7EEA"/>
    <w:rsid w:val="005D00BC"/>
    <w:rsid w:val="005D0561"/>
    <w:rsid w:val="005D05F7"/>
    <w:rsid w:val="005D0B3E"/>
    <w:rsid w:val="005D160D"/>
    <w:rsid w:val="005D29F7"/>
    <w:rsid w:val="005D358D"/>
    <w:rsid w:val="005D410F"/>
    <w:rsid w:val="005D42BC"/>
    <w:rsid w:val="005D4D49"/>
    <w:rsid w:val="005D5902"/>
    <w:rsid w:val="005D5A9F"/>
    <w:rsid w:val="005D6464"/>
    <w:rsid w:val="005D64B8"/>
    <w:rsid w:val="005D6721"/>
    <w:rsid w:val="005D70F8"/>
    <w:rsid w:val="005D71AB"/>
    <w:rsid w:val="005D7681"/>
    <w:rsid w:val="005E023F"/>
    <w:rsid w:val="005E09B8"/>
    <w:rsid w:val="005E0AE1"/>
    <w:rsid w:val="005E0F09"/>
    <w:rsid w:val="005E11DE"/>
    <w:rsid w:val="005E140D"/>
    <w:rsid w:val="005E1453"/>
    <w:rsid w:val="005E163D"/>
    <w:rsid w:val="005E1AC4"/>
    <w:rsid w:val="005E1CE8"/>
    <w:rsid w:val="005E25CB"/>
    <w:rsid w:val="005E4417"/>
    <w:rsid w:val="005E4982"/>
    <w:rsid w:val="005E4B38"/>
    <w:rsid w:val="005E54B1"/>
    <w:rsid w:val="005E5676"/>
    <w:rsid w:val="005E5C69"/>
    <w:rsid w:val="005E5E38"/>
    <w:rsid w:val="005E5F18"/>
    <w:rsid w:val="005E6021"/>
    <w:rsid w:val="005E6078"/>
    <w:rsid w:val="005E6954"/>
    <w:rsid w:val="005E751F"/>
    <w:rsid w:val="005E7A33"/>
    <w:rsid w:val="005E7AD9"/>
    <w:rsid w:val="005F00DD"/>
    <w:rsid w:val="005F039A"/>
    <w:rsid w:val="005F03C9"/>
    <w:rsid w:val="005F0670"/>
    <w:rsid w:val="005F0A13"/>
    <w:rsid w:val="005F15BA"/>
    <w:rsid w:val="005F23C4"/>
    <w:rsid w:val="005F244A"/>
    <w:rsid w:val="005F2603"/>
    <w:rsid w:val="005F336C"/>
    <w:rsid w:val="005F4898"/>
    <w:rsid w:val="005F53A2"/>
    <w:rsid w:val="005F5D80"/>
    <w:rsid w:val="005F6022"/>
    <w:rsid w:val="005F6591"/>
    <w:rsid w:val="005F67C5"/>
    <w:rsid w:val="005F6DC0"/>
    <w:rsid w:val="005F73FE"/>
    <w:rsid w:val="005F7643"/>
    <w:rsid w:val="005F76E6"/>
    <w:rsid w:val="006003AE"/>
    <w:rsid w:val="00600427"/>
    <w:rsid w:val="00600E9E"/>
    <w:rsid w:val="00601A34"/>
    <w:rsid w:val="00601CFC"/>
    <w:rsid w:val="00601F32"/>
    <w:rsid w:val="00602223"/>
    <w:rsid w:val="006029C9"/>
    <w:rsid w:val="00602A4A"/>
    <w:rsid w:val="0060309A"/>
    <w:rsid w:val="00603B37"/>
    <w:rsid w:val="0060419E"/>
    <w:rsid w:val="006043CF"/>
    <w:rsid w:val="00604577"/>
    <w:rsid w:val="0060482C"/>
    <w:rsid w:val="00604D4D"/>
    <w:rsid w:val="00605080"/>
    <w:rsid w:val="006056A8"/>
    <w:rsid w:val="00605F2E"/>
    <w:rsid w:val="00606634"/>
    <w:rsid w:val="00606A5D"/>
    <w:rsid w:val="006076CB"/>
    <w:rsid w:val="006100CD"/>
    <w:rsid w:val="0061094A"/>
    <w:rsid w:val="00611938"/>
    <w:rsid w:val="00611A6E"/>
    <w:rsid w:val="00611BFE"/>
    <w:rsid w:val="0061259A"/>
    <w:rsid w:val="0061260F"/>
    <w:rsid w:val="00612FE3"/>
    <w:rsid w:val="006137FE"/>
    <w:rsid w:val="00613BE1"/>
    <w:rsid w:val="00614562"/>
    <w:rsid w:val="00615135"/>
    <w:rsid w:val="00615535"/>
    <w:rsid w:val="006159FF"/>
    <w:rsid w:val="00616C92"/>
    <w:rsid w:val="00617065"/>
    <w:rsid w:val="00617492"/>
    <w:rsid w:val="00617599"/>
    <w:rsid w:val="0061767B"/>
    <w:rsid w:val="006176FE"/>
    <w:rsid w:val="00617C56"/>
    <w:rsid w:val="00617CD4"/>
    <w:rsid w:val="00620499"/>
    <w:rsid w:val="00620658"/>
    <w:rsid w:val="0062082D"/>
    <w:rsid w:val="00620839"/>
    <w:rsid w:val="00620921"/>
    <w:rsid w:val="0062276C"/>
    <w:rsid w:val="00622B29"/>
    <w:rsid w:val="006230B2"/>
    <w:rsid w:val="006248FD"/>
    <w:rsid w:val="006256BB"/>
    <w:rsid w:val="006258B2"/>
    <w:rsid w:val="00626972"/>
    <w:rsid w:val="0062758C"/>
    <w:rsid w:val="006308AD"/>
    <w:rsid w:val="00630C45"/>
    <w:rsid w:val="00631E1D"/>
    <w:rsid w:val="00632602"/>
    <w:rsid w:val="0063290F"/>
    <w:rsid w:val="00632A2B"/>
    <w:rsid w:val="00632B45"/>
    <w:rsid w:val="00632D9C"/>
    <w:rsid w:val="00633222"/>
    <w:rsid w:val="0063352D"/>
    <w:rsid w:val="00633C4B"/>
    <w:rsid w:val="006342EA"/>
    <w:rsid w:val="006343BD"/>
    <w:rsid w:val="006344B6"/>
    <w:rsid w:val="00635337"/>
    <w:rsid w:val="00635610"/>
    <w:rsid w:val="006358AD"/>
    <w:rsid w:val="006359CF"/>
    <w:rsid w:val="006363F8"/>
    <w:rsid w:val="006365A3"/>
    <w:rsid w:val="006377F1"/>
    <w:rsid w:val="00637B23"/>
    <w:rsid w:val="00637D1E"/>
    <w:rsid w:val="00637F79"/>
    <w:rsid w:val="00640CA2"/>
    <w:rsid w:val="00640CF5"/>
    <w:rsid w:val="0064219A"/>
    <w:rsid w:val="006428AE"/>
    <w:rsid w:val="006428B8"/>
    <w:rsid w:val="00642BF6"/>
    <w:rsid w:val="00643651"/>
    <w:rsid w:val="00645AA4"/>
    <w:rsid w:val="00645C2C"/>
    <w:rsid w:val="00646683"/>
    <w:rsid w:val="00646C76"/>
    <w:rsid w:val="00646F46"/>
    <w:rsid w:val="006471FD"/>
    <w:rsid w:val="00647529"/>
    <w:rsid w:val="006478E7"/>
    <w:rsid w:val="0065079A"/>
    <w:rsid w:val="006507F8"/>
    <w:rsid w:val="0065191D"/>
    <w:rsid w:val="0065205D"/>
    <w:rsid w:val="00654A72"/>
    <w:rsid w:val="00654DBE"/>
    <w:rsid w:val="00655A46"/>
    <w:rsid w:val="00656329"/>
    <w:rsid w:val="0065663F"/>
    <w:rsid w:val="00656855"/>
    <w:rsid w:val="006603B1"/>
    <w:rsid w:val="0066083E"/>
    <w:rsid w:val="006608DF"/>
    <w:rsid w:val="00661559"/>
    <w:rsid w:val="00661B2E"/>
    <w:rsid w:val="00661BC5"/>
    <w:rsid w:val="00661CC1"/>
    <w:rsid w:val="0066217B"/>
    <w:rsid w:val="00662EF9"/>
    <w:rsid w:val="00663090"/>
    <w:rsid w:val="006630E7"/>
    <w:rsid w:val="0066339A"/>
    <w:rsid w:val="00663A0E"/>
    <w:rsid w:val="006647A8"/>
    <w:rsid w:val="00664D90"/>
    <w:rsid w:val="006655C8"/>
    <w:rsid w:val="006659E6"/>
    <w:rsid w:val="00666395"/>
    <w:rsid w:val="00666D5C"/>
    <w:rsid w:val="00667832"/>
    <w:rsid w:val="00667BAB"/>
    <w:rsid w:val="0067010C"/>
    <w:rsid w:val="00670147"/>
    <w:rsid w:val="0067019B"/>
    <w:rsid w:val="0067027B"/>
    <w:rsid w:val="00670679"/>
    <w:rsid w:val="00670C72"/>
    <w:rsid w:val="00670D1E"/>
    <w:rsid w:val="00670DD9"/>
    <w:rsid w:val="006711BB"/>
    <w:rsid w:val="0067142A"/>
    <w:rsid w:val="00672106"/>
    <w:rsid w:val="0067286E"/>
    <w:rsid w:val="00673582"/>
    <w:rsid w:val="00673B00"/>
    <w:rsid w:val="00673D20"/>
    <w:rsid w:val="00674406"/>
    <w:rsid w:val="00674629"/>
    <w:rsid w:val="00674821"/>
    <w:rsid w:val="00674BC2"/>
    <w:rsid w:val="00674BC7"/>
    <w:rsid w:val="00674CC5"/>
    <w:rsid w:val="006773B3"/>
    <w:rsid w:val="00677AE3"/>
    <w:rsid w:val="00680341"/>
    <w:rsid w:val="0068080F"/>
    <w:rsid w:val="00680FCB"/>
    <w:rsid w:val="00681BA6"/>
    <w:rsid w:val="00681C85"/>
    <w:rsid w:val="0068214B"/>
    <w:rsid w:val="0068281D"/>
    <w:rsid w:val="0068381C"/>
    <w:rsid w:val="00683956"/>
    <w:rsid w:val="00683F00"/>
    <w:rsid w:val="00684205"/>
    <w:rsid w:val="00684678"/>
    <w:rsid w:val="0068470A"/>
    <w:rsid w:val="0068470B"/>
    <w:rsid w:val="00684A7E"/>
    <w:rsid w:val="00684A92"/>
    <w:rsid w:val="00684B81"/>
    <w:rsid w:val="00685355"/>
    <w:rsid w:val="006858ED"/>
    <w:rsid w:val="00685AF7"/>
    <w:rsid w:val="00686BE0"/>
    <w:rsid w:val="00686D19"/>
    <w:rsid w:val="00686DCB"/>
    <w:rsid w:val="00686EED"/>
    <w:rsid w:val="00687B05"/>
    <w:rsid w:val="0069000A"/>
    <w:rsid w:val="006900C8"/>
    <w:rsid w:val="00690BED"/>
    <w:rsid w:val="00690D62"/>
    <w:rsid w:val="00690D76"/>
    <w:rsid w:val="00690F39"/>
    <w:rsid w:val="00691382"/>
    <w:rsid w:val="00691603"/>
    <w:rsid w:val="00691BB9"/>
    <w:rsid w:val="00691CF2"/>
    <w:rsid w:val="00691D98"/>
    <w:rsid w:val="00692A0F"/>
    <w:rsid w:val="00692A58"/>
    <w:rsid w:val="00692AB0"/>
    <w:rsid w:val="00693185"/>
    <w:rsid w:val="006936F7"/>
    <w:rsid w:val="00694360"/>
    <w:rsid w:val="0069451E"/>
    <w:rsid w:val="00695708"/>
    <w:rsid w:val="00696870"/>
    <w:rsid w:val="006968B7"/>
    <w:rsid w:val="00697731"/>
    <w:rsid w:val="006977B2"/>
    <w:rsid w:val="006A054B"/>
    <w:rsid w:val="006A0827"/>
    <w:rsid w:val="006A1429"/>
    <w:rsid w:val="006A1B7B"/>
    <w:rsid w:val="006A2175"/>
    <w:rsid w:val="006A2278"/>
    <w:rsid w:val="006A2A28"/>
    <w:rsid w:val="006A467F"/>
    <w:rsid w:val="006A4F9A"/>
    <w:rsid w:val="006A522E"/>
    <w:rsid w:val="006A5B00"/>
    <w:rsid w:val="006A5EA0"/>
    <w:rsid w:val="006A6971"/>
    <w:rsid w:val="006A69FF"/>
    <w:rsid w:val="006A6B02"/>
    <w:rsid w:val="006A70A7"/>
    <w:rsid w:val="006B09A1"/>
    <w:rsid w:val="006B140F"/>
    <w:rsid w:val="006B1D03"/>
    <w:rsid w:val="006B2656"/>
    <w:rsid w:val="006B30B5"/>
    <w:rsid w:val="006B3631"/>
    <w:rsid w:val="006B37D6"/>
    <w:rsid w:val="006B39AB"/>
    <w:rsid w:val="006B3BBA"/>
    <w:rsid w:val="006B4755"/>
    <w:rsid w:val="006B4D45"/>
    <w:rsid w:val="006B595C"/>
    <w:rsid w:val="006B5D97"/>
    <w:rsid w:val="006B6816"/>
    <w:rsid w:val="006B697F"/>
    <w:rsid w:val="006B720E"/>
    <w:rsid w:val="006B72DF"/>
    <w:rsid w:val="006B7423"/>
    <w:rsid w:val="006B7433"/>
    <w:rsid w:val="006C095A"/>
    <w:rsid w:val="006C0D32"/>
    <w:rsid w:val="006C0E6C"/>
    <w:rsid w:val="006C2315"/>
    <w:rsid w:val="006C2353"/>
    <w:rsid w:val="006C235F"/>
    <w:rsid w:val="006C2BF0"/>
    <w:rsid w:val="006C3068"/>
    <w:rsid w:val="006C35AC"/>
    <w:rsid w:val="006C3715"/>
    <w:rsid w:val="006C386B"/>
    <w:rsid w:val="006C4364"/>
    <w:rsid w:val="006C4622"/>
    <w:rsid w:val="006C4B1A"/>
    <w:rsid w:val="006C4C30"/>
    <w:rsid w:val="006C5003"/>
    <w:rsid w:val="006C5465"/>
    <w:rsid w:val="006C5750"/>
    <w:rsid w:val="006C690F"/>
    <w:rsid w:val="006C6B13"/>
    <w:rsid w:val="006C6F10"/>
    <w:rsid w:val="006C6F73"/>
    <w:rsid w:val="006C7688"/>
    <w:rsid w:val="006C76CD"/>
    <w:rsid w:val="006C79F2"/>
    <w:rsid w:val="006D0901"/>
    <w:rsid w:val="006D205B"/>
    <w:rsid w:val="006D2438"/>
    <w:rsid w:val="006D29F0"/>
    <w:rsid w:val="006D3D3F"/>
    <w:rsid w:val="006D452B"/>
    <w:rsid w:val="006D4A8D"/>
    <w:rsid w:val="006D5787"/>
    <w:rsid w:val="006D58E1"/>
    <w:rsid w:val="006D5DFC"/>
    <w:rsid w:val="006D5FFF"/>
    <w:rsid w:val="006D61A7"/>
    <w:rsid w:val="006D6552"/>
    <w:rsid w:val="006D7210"/>
    <w:rsid w:val="006E0E30"/>
    <w:rsid w:val="006E135B"/>
    <w:rsid w:val="006E1372"/>
    <w:rsid w:val="006E192F"/>
    <w:rsid w:val="006E2070"/>
    <w:rsid w:val="006E26A2"/>
    <w:rsid w:val="006E3E31"/>
    <w:rsid w:val="006E4B0D"/>
    <w:rsid w:val="006E5267"/>
    <w:rsid w:val="006E57E3"/>
    <w:rsid w:val="006E619F"/>
    <w:rsid w:val="006E6409"/>
    <w:rsid w:val="006E68DF"/>
    <w:rsid w:val="006E6939"/>
    <w:rsid w:val="006E6DF2"/>
    <w:rsid w:val="006F01C4"/>
    <w:rsid w:val="006F14CF"/>
    <w:rsid w:val="006F1C59"/>
    <w:rsid w:val="006F2151"/>
    <w:rsid w:val="006F26A4"/>
    <w:rsid w:val="006F2AEE"/>
    <w:rsid w:val="006F4182"/>
    <w:rsid w:val="006F45CB"/>
    <w:rsid w:val="006F470A"/>
    <w:rsid w:val="006F574C"/>
    <w:rsid w:val="006F6DEE"/>
    <w:rsid w:val="006F71D3"/>
    <w:rsid w:val="006F756B"/>
    <w:rsid w:val="006F7681"/>
    <w:rsid w:val="00700516"/>
    <w:rsid w:val="00700570"/>
    <w:rsid w:val="00700A2E"/>
    <w:rsid w:val="00701CD0"/>
    <w:rsid w:val="0070313E"/>
    <w:rsid w:val="0070320F"/>
    <w:rsid w:val="007035EF"/>
    <w:rsid w:val="00703926"/>
    <w:rsid w:val="00704587"/>
    <w:rsid w:val="007046F1"/>
    <w:rsid w:val="0070488D"/>
    <w:rsid w:val="007053DF"/>
    <w:rsid w:val="007055CF"/>
    <w:rsid w:val="00705660"/>
    <w:rsid w:val="00705962"/>
    <w:rsid w:val="00706064"/>
    <w:rsid w:val="00706C60"/>
    <w:rsid w:val="007074E4"/>
    <w:rsid w:val="00707E93"/>
    <w:rsid w:val="0071002C"/>
    <w:rsid w:val="007103C0"/>
    <w:rsid w:val="00710AD0"/>
    <w:rsid w:val="00710B71"/>
    <w:rsid w:val="00710ECE"/>
    <w:rsid w:val="00711125"/>
    <w:rsid w:val="0071236F"/>
    <w:rsid w:val="00712501"/>
    <w:rsid w:val="00712610"/>
    <w:rsid w:val="007126E9"/>
    <w:rsid w:val="00713039"/>
    <w:rsid w:val="00713559"/>
    <w:rsid w:val="00713728"/>
    <w:rsid w:val="0071466C"/>
    <w:rsid w:val="007151FB"/>
    <w:rsid w:val="00715C69"/>
    <w:rsid w:val="00716432"/>
    <w:rsid w:val="00716526"/>
    <w:rsid w:val="00717443"/>
    <w:rsid w:val="00717520"/>
    <w:rsid w:val="007175AE"/>
    <w:rsid w:val="00720248"/>
    <w:rsid w:val="00720761"/>
    <w:rsid w:val="007210DE"/>
    <w:rsid w:val="00721C70"/>
    <w:rsid w:val="00721D10"/>
    <w:rsid w:val="00722970"/>
    <w:rsid w:val="007235C5"/>
    <w:rsid w:val="00725D32"/>
    <w:rsid w:val="0072648C"/>
    <w:rsid w:val="0072714B"/>
    <w:rsid w:val="00730F19"/>
    <w:rsid w:val="007311C2"/>
    <w:rsid w:val="0073151C"/>
    <w:rsid w:val="0073250F"/>
    <w:rsid w:val="00732ADC"/>
    <w:rsid w:val="00732B57"/>
    <w:rsid w:val="00732D58"/>
    <w:rsid w:val="0073308C"/>
    <w:rsid w:val="007334A0"/>
    <w:rsid w:val="00733A0F"/>
    <w:rsid w:val="00734153"/>
    <w:rsid w:val="0073464B"/>
    <w:rsid w:val="007346AC"/>
    <w:rsid w:val="0073488E"/>
    <w:rsid w:val="00734928"/>
    <w:rsid w:val="00734E87"/>
    <w:rsid w:val="00734EF6"/>
    <w:rsid w:val="00736354"/>
    <w:rsid w:val="00736562"/>
    <w:rsid w:val="00736914"/>
    <w:rsid w:val="00736C3F"/>
    <w:rsid w:val="007377E0"/>
    <w:rsid w:val="00737EDC"/>
    <w:rsid w:val="00740FA7"/>
    <w:rsid w:val="0074143A"/>
    <w:rsid w:val="007421DF"/>
    <w:rsid w:val="0074317D"/>
    <w:rsid w:val="00743F06"/>
    <w:rsid w:val="00743FCC"/>
    <w:rsid w:val="00744181"/>
    <w:rsid w:val="00744370"/>
    <w:rsid w:val="00744808"/>
    <w:rsid w:val="00744EAF"/>
    <w:rsid w:val="00744FA0"/>
    <w:rsid w:val="00745DC2"/>
    <w:rsid w:val="00745EE6"/>
    <w:rsid w:val="007462B0"/>
    <w:rsid w:val="0074732A"/>
    <w:rsid w:val="00747373"/>
    <w:rsid w:val="00747572"/>
    <w:rsid w:val="0074799E"/>
    <w:rsid w:val="00747EB4"/>
    <w:rsid w:val="00750CA9"/>
    <w:rsid w:val="0075341E"/>
    <w:rsid w:val="007537C7"/>
    <w:rsid w:val="007537CA"/>
    <w:rsid w:val="007537E3"/>
    <w:rsid w:val="0075479F"/>
    <w:rsid w:val="00754821"/>
    <w:rsid w:val="007549BC"/>
    <w:rsid w:val="00755124"/>
    <w:rsid w:val="0075512B"/>
    <w:rsid w:val="00755356"/>
    <w:rsid w:val="00755D4B"/>
    <w:rsid w:val="00756405"/>
    <w:rsid w:val="007564AC"/>
    <w:rsid w:val="00756F5B"/>
    <w:rsid w:val="00757264"/>
    <w:rsid w:val="00757A53"/>
    <w:rsid w:val="00757BEE"/>
    <w:rsid w:val="00757E3F"/>
    <w:rsid w:val="00757EF0"/>
    <w:rsid w:val="007607ED"/>
    <w:rsid w:val="00760AB9"/>
    <w:rsid w:val="00760E8B"/>
    <w:rsid w:val="00760F17"/>
    <w:rsid w:val="00761856"/>
    <w:rsid w:val="007618E2"/>
    <w:rsid w:val="00761A9C"/>
    <w:rsid w:val="007621CE"/>
    <w:rsid w:val="007628B9"/>
    <w:rsid w:val="00762EF6"/>
    <w:rsid w:val="00763262"/>
    <w:rsid w:val="00763291"/>
    <w:rsid w:val="00763410"/>
    <w:rsid w:val="00764250"/>
    <w:rsid w:val="00764817"/>
    <w:rsid w:val="007649B0"/>
    <w:rsid w:val="007656AB"/>
    <w:rsid w:val="00766A57"/>
    <w:rsid w:val="00766DBC"/>
    <w:rsid w:val="0076740E"/>
    <w:rsid w:val="0076746F"/>
    <w:rsid w:val="007679FE"/>
    <w:rsid w:val="007701B1"/>
    <w:rsid w:val="0077099D"/>
    <w:rsid w:val="007715B4"/>
    <w:rsid w:val="0077223B"/>
    <w:rsid w:val="00773C4D"/>
    <w:rsid w:val="007740AE"/>
    <w:rsid w:val="00774135"/>
    <w:rsid w:val="0077435F"/>
    <w:rsid w:val="007743BC"/>
    <w:rsid w:val="00774569"/>
    <w:rsid w:val="00774A8E"/>
    <w:rsid w:val="00774D51"/>
    <w:rsid w:val="007753C2"/>
    <w:rsid w:val="00775C04"/>
    <w:rsid w:val="0077654F"/>
    <w:rsid w:val="00776B83"/>
    <w:rsid w:val="00776CD0"/>
    <w:rsid w:val="007800F3"/>
    <w:rsid w:val="0078147C"/>
    <w:rsid w:val="00783186"/>
    <w:rsid w:val="00783515"/>
    <w:rsid w:val="007844D4"/>
    <w:rsid w:val="00784591"/>
    <w:rsid w:val="007855D9"/>
    <w:rsid w:val="00785FF3"/>
    <w:rsid w:val="00786BFB"/>
    <w:rsid w:val="0078711E"/>
    <w:rsid w:val="00787462"/>
    <w:rsid w:val="00787793"/>
    <w:rsid w:val="00787EC3"/>
    <w:rsid w:val="007907B3"/>
    <w:rsid w:val="007910D1"/>
    <w:rsid w:val="00791963"/>
    <w:rsid w:val="00792B51"/>
    <w:rsid w:val="007932C3"/>
    <w:rsid w:val="007935B8"/>
    <w:rsid w:val="00793DA7"/>
    <w:rsid w:val="00793F0F"/>
    <w:rsid w:val="00793FB1"/>
    <w:rsid w:val="00793FDE"/>
    <w:rsid w:val="00794A2C"/>
    <w:rsid w:val="00794EF3"/>
    <w:rsid w:val="00795AFC"/>
    <w:rsid w:val="00795D2E"/>
    <w:rsid w:val="00795D95"/>
    <w:rsid w:val="0079610C"/>
    <w:rsid w:val="00796513"/>
    <w:rsid w:val="00797B6A"/>
    <w:rsid w:val="00797BCD"/>
    <w:rsid w:val="00797E4D"/>
    <w:rsid w:val="00797F92"/>
    <w:rsid w:val="007A01A8"/>
    <w:rsid w:val="007A169C"/>
    <w:rsid w:val="007A1DD6"/>
    <w:rsid w:val="007A201E"/>
    <w:rsid w:val="007A2331"/>
    <w:rsid w:val="007A2526"/>
    <w:rsid w:val="007A2A80"/>
    <w:rsid w:val="007A2D5F"/>
    <w:rsid w:val="007A37CD"/>
    <w:rsid w:val="007A3802"/>
    <w:rsid w:val="007A4830"/>
    <w:rsid w:val="007A49BF"/>
    <w:rsid w:val="007A4A84"/>
    <w:rsid w:val="007A4B20"/>
    <w:rsid w:val="007A4C42"/>
    <w:rsid w:val="007A5B90"/>
    <w:rsid w:val="007A66C8"/>
    <w:rsid w:val="007A7429"/>
    <w:rsid w:val="007A7BF6"/>
    <w:rsid w:val="007B0467"/>
    <w:rsid w:val="007B0651"/>
    <w:rsid w:val="007B26CD"/>
    <w:rsid w:val="007B2D20"/>
    <w:rsid w:val="007B445A"/>
    <w:rsid w:val="007B4670"/>
    <w:rsid w:val="007B6F87"/>
    <w:rsid w:val="007B7123"/>
    <w:rsid w:val="007B78F5"/>
    <w:rsid w:val="007C013A"/>
    <w:rsid w:val="007C05D2"/>
    <w:rsid w:val="007C0AFD"/>
    <w:rsid w:val="007C0C41"/>
    <w:rsid w:val="007C0D4D"/>
    <w:rsid w:val="007C105A"/>
    <w:rsid w:val="007C1312"/>
    <w:rsid w:val="007C1AF3"/>
    <w:rsid w:val="007C2A59"/>
    <w:rsid w:val="007C2EBB"/>
    <w:rsid w:val="007C346E"/>
    <w:rsid w:val="007C36B8"/>
    <w:rsid w:val="007C3829"/>
    <w:rsid w:val="007C3CD4"/>
    <w:rsid w:val="007C43DA"/>
    <w:rsid w:val="007C455A"/>
    <w:rsid w:val="007C4A19"/>
    <w:rsid w:val="007C4F6D"/>
    <w:rsid w:val="007C5B77"/>
    <w:rsid w:val="007C5C75"/>
    <w:rsid w:val="007C6BDD"/>
    <w:rsid w:val="007C6C23"/>
    <w:rsid w:val="007C7A76"/>
    <w:rsid w:val="007C7A77"/>
    <w:rsid w:val="007C7C0E"/>
    <w:rsid w:val="007D057E"/>
    <w:rsid w:val="007D0C14"/>
    <w:rsid w:val="007D1282"/>
    <w:rsid w:val="007D1602"/>
    <w:rsid w:val="007D2CF6"/>
    <w:rsid w:val="007D2FDF"/>
    <w:rsid w:val="007D3EA7"/>
    <w:rsid w:val="007D40F2"/>
    <w:rsid w:val="007D426E"/>
    <w:rsid w:val="007D4B6F"/>
    <w:rsid w:val="007D4BAE"/>
    <w:rsid w:val="007D4F65"/>
    <w:rsid w:val="007D51B7"/>
    <w:rsid w:val="007D5503"/>
    <w:rsid w:val="007D5ADE"/>
    <w:rsid w:val="007D5C19"/>
    <w:rsid w:val="007D6B83"/>
    <w:rsid w:val="007D6CF7"/>
    <w:rsid w:val="007D6E09"/>
    <w:rsid w:val="007D6EA9"/>
    <w:rsid w:val="007D778F"/>
    <w:rsid w:val="007D7FCC"/>
    <w:rsid w:val="007E029F"/>
    <w:rsid w:val="007E06D1"/>
    <w:rsid w:val="007E0E14"/>
    <w:rsid w:val="007E0F36"/>
    <w:rsid w:val="007E181D"/>
    <w:rsid w:val="007E18D4"/>
    <w:rsid w:val="007E2526"/>
    <w:rsid w:val="007E2661"/>
    <w:rsid w:val="007E2A35"/>
    <w:rsid w:val="007E2B91"/>
    <w:rsid w:val="007E2CD8"/>
    <w:rsid w:val="007E2DD0"/>
    <w:rsid w:val="007E2F82"/>
    <w:rsid w:val="007E3B67"/>
    <w:rsid w:val="007E433B"/>
    <w:rsid w:val="007E4E52"/>
    <w:rsid w:val="007E508D"/>
    <w:rsid w:val="007E51FD"/>
    <w:rsid w:val="007E56AB"/>
    <w:rsid w:val="007E59E5"/>
    <w:rsid w:val="007E5DC3"/>
    <w:rsid w:val="007E636F"/>
    <w:rsid w:val="007E697B"/>
    <w:rsid w:val="007E75E8"/>
    <w:rsid w:val="007E7A2B"/>
    <w:rsid w:val="007F002B"/>
    <w:rsid w:val="007F026D"/>
    <w:rsid w:val="007F094B"/>
    <w:rsid w:val="007F0DEC"/>
    <w:rsid w:val="007F1B3B"/>
    <w:rsid w:val="007F20BD"/>
    <w:rsid w:val="007F29C5"/>
    <w:rsid w:val="007F321D"/>
    <w:rsid w:val="007F3947"/>
    <w:rsid w:val="007F4645"/>
    <w:rsid w:val="007F4B44"/>
    <w:rsid w:val="007F5C9F"/>
    <w:rsid w:val="007F60B4"/>
    <w:rsid w:val="007F6523"/>
    <w:rsid w:val="007F664B"/>
    <w:rsid w:val="007F6BAC"/>
    <w:rsid w:val="007F70A4"/>
    <w:rsid w:val="007F7660"/>
    <w:rsid w:val="007F78F1"/>
    <w:rsid w:val="00800DAE"/>
    <w:rsid w:val="0080162C"/>
    <w:rsid w:val="00801B62"/>
    <w:rsid w:val="00801D6F"/>
    <w:rsid w:val="008033FA"/>
    <w:rsid w:val="00803923"/>
    <w:rsid w:val="008039B7"/>
    <w:rsid w:val="00804242"/>
    <w:rsid w:val="008043AB"/>
    <w:rsid w:val="00804D2F"/>
    <w:rsid w:val="00804D3F"/>
    <w:rsid w:val="0080504C"/>
    <w:rsid w:val="0080555D"/>
    <w:rsid w:val="00805710"/>
    <w:rsid w:val="008069A2"/>
    <w:rsid w:val="00806E53"/>
    <w:rsid w:val="00807730"/>
    <w:rsid w:val="00807ADC"/>
    <w:rsid w:val="008103FC"/>
    <w:rsid w:val="00810D21"/>
    <w:rsid w:val="00810FD4"/>
    <w:rsid w:val="008117EF"/>
    <w:rsid w:val="00811942"/>
    <w:rsid w:val="00811C53"/>
    <w:rsid w:val="00811C63"/>
    <w:rsid w:val="008126DB"/>
    <w:rsid w:val="008127C4"/>
    <w:rsid w:val="00812FF8"/>
    <w:rsid w:val="00813933"/>
    <w:rsid w:val="0081474A"/>
    <w:rsid w:val="008148A5"/>
    <w:rsid w:val="00815092"/>
    <w:rsid w:val="00815834"/>
    <w:rsid w:val="008178F5"/>
    <w:rsid w:val="00817CDF"/>
    <w:rsid w:val="008202A4"/>
    <w:rsid w:val="008202D4"/>
    <w:rsid w:val="00820486"/>
    <w:rsid w:val="00820908"/>
    <w:rsid w:val="00822557"/>
    <w:rsid w:val="008226B8"/>
    <w:rsid w:val="008227ED"/>
    <w:rsid w:val="0082288E"/>
    <w:rsid w:val="008230C3"/>
    <w:rsid w:val="008232FA"/>
    <w:rsid w:val="00823CA7"/>
    <w:rsid w:val="008249E2"/>
    <w:rsid w:val="00824AC6"/>
    <w:rsid w:val="00824BA2"/>
    <w:rsid w:val="0082520F"/>
    <w:rsid w:val="0082583E"/>
    <w:rsid w:val="008265AF"/>
    <w:rsid w:val="00826767"/>
    <w:rsid w:val="00826B72"/>
    <w:rsid w:val="00827658"/>
    <w:rsid w:val="00827DD3"/>
    <w:rsid w:val="008301CA"/>
    <w:rsid w:val="0083069F"/>
    <w:rsid w:val="00830B5F"/>
    <w:rsid w:val="00830FCF"/>
    <w:rsid w:val="00831499"/>
    <w:rsid w:val="0083151B"/>
    <w:rsid w:val="00831ABA"/>
    <w:rsid w:val="00832444"/>
    <w:rsid w:val="00832DB1"/>
    <w:rsid w:val="00833C81"/>
    <w:rsid w:val="00833FF3"/>
    <w:rsid w:val="00834B40"/>
    <w:rsid w:val="008352BB"/>
    <w:rsid w:val="008359D8"/>
    <w:rsid w:val="00836044"/>
    <w:rsid w:val="0083626B"/>
    <w:rsid w:val="00836FAC"/>
    <w:rsid w:val="00837446"/>
    <w:rsid w:val="008412EF"/>
    <w:rsid w:val="00841F1E"/>
    <w:rsid w:val="00842A62"/>
    <w:rsid w:val="0084330A"/>
    <w:rsid w:val="008437C9"/>
    <w:rsid w:val="00843836"/>
    <w:rsid w:val="00844759"/>
    <w:rsid w:val="0084541D"/>
    <w:rsid w:val="00845B29"/>
    <w:rsid w:val="00846C7E"/>
    <w:rsid w:val="008477ED"/>
    <w:rsid w:val="00847D04"/>
    <w:rsid w:val="00847D23"/>
    <w:rsid w:val="0085133F"/>
    <w:rsid w:val="00851CC3"/>
    <w:rsid w:val="0085205A"/>
    <w:rsid w:val="0085264D"/>
    <w:rsid w:val="008531A6"/>
    <w:rsid w:val="008546BC"/>
    <w:rsid w:val="00855185"/>
    <w:rsid w:val="00855CB7"/>
    <w:rsid w:val="00856E64"/>
    <w:rsid w:val="008575E4"/>
    <w:rsid w:val="00857C07"/>
    <w:rsid w:val="00860580"/>
    <w:rsid w:val="00860706"/>
    <w:rsid w:val="00860C23"/>
    <w:rsid w:val="008621E4"/>
    <w:rsid w:val="008627A7"/>
    <w:rsid w:val="0086282B"/>
    <w:rsid w:val="00862BDC"/>
    <w:rsid w:val="00862E00"/>
    <w:rsid w:val="00863716"/>
    <w:rsid w:val="00864AAD"/>
    <w:rsid w:val="00864AB3"/>
    <w:rsid w:val="00864F7B"/>
    <w:rsid w:val="008652B4"/>
    <w:rsid w:val="0086556E"/>
    <w:rsid w:val="00865597"/>
    <w:rsid w:val="00866458"/>
    <w:rsid w:val="00866B48"/>
    <w:rsid w:val="00866F14"/>
    <w:rsid w:val="00870A86"/>
    <w:rsid w:val="00870E6F"/>
    <w:rsid w:val="00871420"/>
    <w:rsid w:val="00871A90"/>
    <w:rsid w:val="00872093"/>
    <w:rsid w:val="008724A5"/>
    <w:rsid w:val="0087276B"/>
    <w:rsid w:val="008748B0"/>
    <w:rsid w:val="00875790"/>
    <w:rsid w:val="00875A5A"/>
    <w:rsid w:val="00875DC3"/>
    <w:rsid w:val="00877C0D"/>
    <w:rsid w:val="00877EAB"/>
    <w:rsid w:val="00877F39"/>
    <w:rsid w:val="00880373"/>
    <w:rsid w:val="008808E1"/>
    <w:rsid w:val="00880E44"/>
    <w:rsid w:val="0088158E"/>
    <w:rsid w:val="00881739"/>
    <w:rsid w:val="00881D06"/>
    <w:rsid w:val="00882EB7"/>
    <w:rsid w:val="00883126"/>
    <w:rsid w:val="008831E6"/>
    <w:rsid w:val="00883239"/>
    <w:rsid w:val="00883733"/>
    <w:rsid w:val="00884147"/>
    <w:rsid w:val="00884727"/>
    <w:rsid w:val="00884A5E"/>
    <w:rsid w:val="00884C6F"/>
    <w:rsid w:val="00884F56"/>
    <w:rsid w:val="0088505A"/>
    <w:rsid w:val="00885065"/>
    <w:rsid w:val="0088654A"/>
    <w:rsid w:val="0088659D"/>
    <w:rsid w:val="00886797"/>
    <w:rsid w:val="00887D08"/>
    <w:rsid w:val="00887E9E"/>
    <w:rsid w:val="00890781"/>
    <w:rsid w:val="00891488"/>
    <w:rsid w:val="0089161C"/>
    <w:rsid w:val="0089287F"/>
    <w:rsid w:val="008935B4"/>
    <w:rsid w:val="00893B1B"/>
    <w:rsid w:val="00893F65"/>
    <w:rsid w:val="0089486B"/>
    <w:rsid w:val="008951EE"/>
    <w:rsid w:val="00895EAA"/>
    <w:rsid w:val="00897072"/>
    <w:rsid w:val="0089718B"/>
    <w:rsid w:val="008976A3"/>
    <w:rsid w:val="008A0F72"/>
    <w:rsid w:val="008A10B3"/>
    <w:rsid w:val="008A244F"/>
    <w:rsid w:val="008A2545"/>
    <w:rsid w:val="008A2ED7"/>
    <w:rsid w:val="008A4F67"/>
    <w:rsid w:val="008A51DF"/>
    <w:rsid w:val="008A5288"/>
    <w:rsid w:val="008A58E8"/>
    <w:rsid w:val="008A6628"/>
    <w:rsid w:val="008A6C87"/>
    <w:rsid w:val="008A7731"/>
    <w:rsid w:val="008A7BC3"/>
    <w:rsid w:val="008B04D3"/>
    <w:rsid w:val="008B1E2F"/>
    <w:rsid w:val="008B2384"/>
    <w:rsid w:val="008B34B0"/>
    <w:rsid w:val="008B34DF"/>
    <w:rsid w:val="008B4106"/>
    <w:rsid w:val="008B4179"/>
    <w:rsid w:val="008B43B5"/>
    <w:rsid w:val="008B4532"/>
    <w:rsid w:val="008B5B6D"/>
    <w:rsid w:val="008B5CEB"/>
    <w:rsid w:val="008B5E65"/>
    <w:rsid w:val="008B61EC"/>
    <w:rsid w:val="008C0019"/>
    <w:rsid w:val="008C1317"/>
    <w:rsid w:val="008C2040"/>
    <w:rsid w:val="008C288E"/>
    <w:rsid w:val="008C34CD"/>
    <w:rsid w:val="008C3759"/>
    <w:rsid w:val="008C383E"/>
    <w:rsid w:val="008C447F"/>
    <w:rsid w:val="008C4B3C"/>
    <w:rsid w:val="008C55F3"/>
    <w:rsid w:val="008C618C"/>
    <w:rsid w:val="008C678C"/>
    <w:rsid w:val="008C6D57"/>
    <w:rsid w:val="008D00BE"/>
    <w:rsid w:val="008D0D77"/>
    <w:rsid w:val="008D0F32"/>
    <w:rsid w:val="008D11C5"/>
    <w:rsid w:val="008D2D0B"/>
    <w:rsid w:val="008D3347"/>
    <w:rsid w:val="008D339C"/>
    <w:rsid w:val="008D3C9E"/>
    <w:rsid w:val="008D4277"/>
    <w:rsid w:val="008D4FFE"/>
    <w:rsid w:val="008D554D"/>
    <w:rsid w:val="008D5568"/>
    <w:rsid w:val="008D59CE"/>
    <w:rsid w:val="008D79AD"/>
    <w:rsid w:val="008D7DD1"/>
    <w:rsid w:val="008E01F6"/>
    <w:rsid w:val="008E024A"/>
    <w:rsid w:val="008E087E"/>
    <w:rsid w:val="008E177D"/>
    <w:rsid w:val="008E20F6"/>
    <w:rsid w:val="008E2B59"/>
    <w:rsid w:val="008E3DEB"/>
    <w:rsid w:val="008E4823"/>
    <w:rsid w:val="008E4F9C"/>
    <w:rsid w:val="008E5750"/>
    <w:rsid w:val="008E607B"/>
    <w:rsid w:val="008E60A7"/>
    <w:rsid w:val="008E6118"/>
    <w:rsid w:val="008E613D"/>
    <w:rsid w:val="008E63E8"/>
    <w:rsid w:val="008E6405"/>
    <w:rsid w:val="008E6ED9"/>
    <w:rsid w:val="008E6FEC"/>
    <w:rsid w:val="008F051A"/>
    <w:rsid w:val="008F0B4C"/>
    <w:rsid w:val="008F1532"/>
    <w:rsid w:val="008F170D"/>
    <w:rsid w:val="008F173F"/>
    <w:rsid w:val="008F2A32"/>
    <w:rsid w:val="008F397A"/>
    <w:rsid w:val="008F4072"/>
    <w:rsid w:val="008F4A62"/>
    <w:rsid w:val="008F597A"/>
    <w:rsid w:val="008F5D36"/>
    <w:rsid w:val="008F5DB1"/>
    <w:rsid w:val="008F6AE6"/>
    <w:rsid w:val="008F7114"/>
    <w:rsid w:val="008F7F02"/>
    <w:rsid w:val="009000E0"/>
    <w:rsid w:val="00900696"/>
    <w:rsid w:val="00900C85"/>
    <w:rsid w:val="009012FD"/>
    <w:rsid w:val="0090386F"/>
    <w:rsid w:val="00903A20"/>
    <w:rsid w:val="00903FA4"/>
    <w:rsid w:val="009041A4"/>
    <w:rsid w:val="00904663"/>
    <w:rsid w:val="00904F00"/>
    <w:rsid w:val="00905CA6"/>
    <w:rsid w:val="00905DEA"/>
    <w:rsid w:val="00905F61"/>
    <w:rsid w:val="00906694"/>
    <w:rsid w:val="009068C5"/>
    <w:rsid w:val="00907549"/>
    <w:rsid w:val="00907B22"/>
    <w:rsid w:val="00907C3A"/>
    <w:rsid w:val="00907F35"/>
    <w:rsid w:val="009120E7"/>
    <w:rsid w:val="00912660"/>
    <w:rsid w:val="00913413"/>
    <w:rsid w:val="009135B8"/>
    <w:rsid w:val="00914093"/>
    <w:rsid w:val="0091417B"/>
    <w:rsid w:val="0091563E"/>
    <w:rsid w:val="0091593C"/>
    <w:rsid w:val="00916017"/>
    <w:rsid w:val="00916897"/>
    <w:rsid w:val="00916C57"/>
    <w:rsid w:val="00916CAD"/>
    <w:rsid w:val="00916DB6"/>
    <w:rsid w:val="00917284"/>
    <w:rsid w:val="00917493"/>
    <w:rsid w:val="009177BA"/>
    <w:rsid w:val="009205FA"/>
    <w:rsid w:val="009207C3"/>
    <w:rsid w:val="00920D42"/>
    <w:rsid w:val="0092227D"/>
    <w:rsid w:val="009222D2"/>
    <w:rsid w:val="00922A5E"/>
    <w:rsid w:val="00922E7C"/>
    <w:rsid w:val="00922FAE"/>
    <w:rsid w:val="00923A3C"/>
    <w:rsid w:val="00923FD6"/>
    <w:rsid w:val="00924C98"/>
    <w:rsid w:val="0092504E"/>
    <w:rsid w:val="0092586D"/>
    <w:rsid w:val="0092595C"/>
    <w:rsid w:val="0092683B"/>
    <w:rsid w:val="00926C7F"/>
    <w:rsid w:val="009272AE"/>
    <w:rsid w:val="009275B3"/>
    <w:rsid w:val="009276DC"/>
    <w:rsid w:val="0092799A"/>
    <w:rsid w:val="00927C3F"/>
    <w:rsid w:val="009300B4"/>
    <w:rsid w:val="00930232"/>
    <w:rsid w:val="00930D16"/>
    <w:rsid w:val="0093116B"/>
    <w:rsid w:val="0093162C"/>
    <w:rsid w:val="0093211A"/>
    <w:rsid w:val="00932432"/>
    <w:rsid w:val="00932F1D"/>
    <w:rsid w:val="0093302A"/>
    <w:rsid w:val="009330D2"/>
    <w:rsid w:val="00933860"/>
    <w:rsid w:val="00933ADF"/>
    <w:rsid w:val="00933EBB"/>
    <w:rsid w:val="0093413C"/>
    <w:rsid w:val="00934AAD"/>
    <w:rsid w:val="00935019"/>
    <w:rsid w:val="00935A3A"/>
    <w:rsid w:val="00935C62"/>
    <w:rsid w:val="00936039"/>
    <w:rsid w:val="0093651E"/>
    <w:rsid w:val="0093680E"/>
    <w:rsid w:val="00936D3F"/>
    <w:rsid w:val="0093786B"/>
    <w:rsid w:val="00937965"/>
    <w:rsid w:val="009379D3"/>
    <w:rsid w:val="00937A50"/>
    <w:rsid w:val="009403FF"/>
    <w:rsid w:val="009404CF"/>
    <w:rsid w:val="009406C7"/>
    <w:rsid w:val="00940A1A"/>
    <w:rsid w:val="00941380"/>
    <w:rsid w:val="009414A7"/>
    <w:rsid w:val="009424AD"/>
    <w:rsid w:val="0094287B"/>
    <w:rsid w:val="00942B58"/>
    <w:rsid w:val="00942BAF"/>
    <w:rsid w:val="00943941"/>
    <w:rsid w:val="00943A13"/>
    <w:rsid w:val="00943A16"/>
    <w:rsid w:val="00943CA9"/>
    <w:rsid w:val="0094550F"/>
    <w:rsid w:val="00945BC0"/>
    <w:rsid w:val="009460FA"/>
    <w:rsid w:val="00946B1D"/>
    <w:rsid w:val="00946D3E"/>
    <w:rsid w:val="009470F3"/>
    <w:rsid w:val="00950880"/>
    <w:rsid w:val="00950B1C"/>
    <w:rsid w:val="0095176F"/>
    <w:rsid w:val="0095318E"/>
    <w:rsid w:val="009536E4"/>
    <w:rsid w:val="00953BF0"/>
    <w:rsid w:val="00954514"/>
    <w:rsid w:val="00954D68"/>
    <w:rsid w:val="0095668D"/>
    <w:rsid w:val="009568F9"/>
    <w:rsid w:val="00957291"/>
    <w:rsid w:val="009575C9"/>
    <w:rsid w:val="00957B51"/>
    <w:rsid w:val="009602D5"/>
    <w:rsid w:val="009604DF"/>
    <w:rsid w:val="009607CC"/>
    <w:rsid w:val="009608EF"/>
    <w:rsid w:val="009608F6"/>
    <w:rsid w:val="00960F30"/>
    <w:rsid w:val="00961773"/>
    <w:rsid w:val="00961B10"/>
    <w:rsid w:val="00962934"/>
    <w:rsid w:val="009635D1"/>
    <w:rsid w:val="00963A57"/>
    <w:rsid w:val="009646FB"/>
    <w:rsid w:val="009647DE"/>
    <w:rsid w:val="00964F12"/>
    <w:rsid w:val="00965546"/>
    <w:rsid w:val="00965820"/>
    <w:rsid w:val="0096617C"/>
    <w:rsid w:val="00966329"/>
    <w:rsid w:val="00966438"/>
    <w:rsid w:val="00966CCD"/>
    <w:rsid w:val="00967444"/>
    <w:rsid w:val="009674D1"/>
    <w:rsid w:val="009679FE"/>
    <w:rsid w:val="0097049F"/>
    <w:rsid w:val="00970A97"/>
    <w:rsid w:val="00971473"/>
    <w:rsid w:val="009714B3"/>
    <w:rsid w:val="0097180C"/>
    <w:rsid w:val="009720D3"/>
    <w:rsid w:val="009739E5"/>
    <w:rsid w:val="009749C9"/>
    <w:rsid w:val="00976042"/>
    <w:rsid w:val="00976453"/>
    <w:rsid w:val="00976DC6"/>
    <w:rsid w:val="00976E2F"/>
    <w:rsid w:val="009774E8"/>
    <w:rsid w:val="0097762B"/>
    <w:rsid w:val="009802DB"/>
    <w:rsid w:val="00980D2B"/>
    <w:rsid w:val="00980E48"/>
    <w:rsid w:val="00981061"/>
    <w:rsid w:val="0098134D"/>
    <w:rsid w:val="0098148F"/>
    <w:rsid w:val="00982E25"/>
    <w:rsid w:val="00984CB4"/>
    <w:rsid w:val="00985572"/>
    <w:rsid w:val="009856C8"/>
    <w:rsid w:val="009857D5"/>
    <w:rsid w:val="00986B64"/>
    <w:rsid w:val="00986E74"/>
    <w:rsid w:val="0098765B"/>
    <w:rsid w:val="00987CE5"/>
    <w:rsid w:val="00991152"/>
    <w:rsid w:val="009926FD"/>
    <w:rsid w:val="00992AEE"/>
    <w:rsid w:val="00992E0E"/>
    <w:rsid w:val="00993211"/>
    <w:rsid w:val="00993276"/>
    <w:rsid w:val="00993538"/>
    <w:rsid w:val="00993A37"/>
    <w:rsid w:val="00993F7E"/>
    <w:rsid w:val="00993FF2"/>
    <w:rsid w:val="00994351"/>
    <w:rsid w:val="00994580"/>
    <w:rsid w:val="00994C58"/>
    <w:rsid w:val="009959EA"/>
    <w:rsid w:val="00995F91"/>
    <w:rsid w:val="0099631E"/>
    <w:rsid w:val="0099761C"/>
    <w:rsid w:val="0099789E"/>
    <w:rsid w:val="009A0224"/>
    <w:rsid w:val="009A0EC1"/>
    <w:rsid w:val="009A1694"/>
    <w:rsid w:val="009A1E8B"/>
    <w:rsid w:val="009A2D4A"/>
    <w:rsid w:val="009A361A"/>
    <w:rsid w:val="009A39DC"/>
    <w:rsid w:val="009A3E8D"/>
    <w:rsid w:val="009A3EFC"/>
    <w:rsid w:val="009A4689"/>
    <w:rsid w:val="009A49C8"/>
    <w:rsid w:val="009A4B7B"/>
    <w:rsid w:val="009A4FE3"/>
    <w:rsid w:val="009A4FFB"/>
    <w:rsid w:val="009A5695"/>
    <w:rsid w:val="009A6A54"/>
    <w:rsid w:val="009A6C2A"/>
    <w:rsid w:val="009A75F7"/>
    <w:rsid w:val="009A7ABE"/>
    <w:rsid w:val="009B0349"/>
    <w:rsid w:val="009B0FE9"/>
    <w:rsid w:val="009B1074"/>
    <w:rsid w:val="009B1331"/>
    <w:rsid w:val="009B14C3"/>
    <w:rsid w:val="009B1847"/>
    <w:rsid w:val="009B1FAA"/>
    <w:rsid w:val="009B2083"/>
    <w:rsid w:val="009B264C"/>
    <w:rsid w:val="009B31CC"/>
    <w:rsid w:val="009B3E36"/>
    <w:rsid w:val="009B57D9"/>
    <w:rsid w:val="009B6276"/>
    <w:rsid w:val="009B62F6"/>
    <w:rsid w:val="009B682E"/>
    <w:rsid w:val="009B7C6B"/>
    <w:rsid w:val="009C022C"/>
    <w:rsid w:val="009C03A8"/>
    <w:rsid w:val="009C0BBF"/>
    <w:rsid w:val="009C255B"/>
    <w:rsid w:val="009C287A"/>
    <w:rsid w:val="009C31F7"/>
    <w:rsid w:val="009C3437"/>
    <w:rsid w:val="009C3684"/>
    <w:rsid w:val="009C41CA"/>
    <w:rsid w:val="009C4282"/>
    <w:rsid w:val="009C4669"/>
    <w:rsid w:val="009C4AF2"/>
    <w:rsid w:val="009C4B5F"/>
    <w:rsid w:val="009C4D31"/>
    <w:rsid w:val="009C5585"/>
    <w:rsid w:val="009C6C31"/>
    <w:rsid w:val="009C6D49"/>
    <w:rsid w:val="009C6D8C"/>
    <w:rsid w:val="009C6E1E"/>
    <w:rsid w:val="009C73D5"/>
    <w:rsid w:val="009C7510"/>
    <w:rsid w:val="009C7E07"/>
    <w:rsid w:val="009D0085"/>
    <w:rsid w:val="009D1E13"/>
    <w:rsid w:val="009D21EA"/>
    <w:rsid w:val="009D27F9"/>
    <w:rsid w:val="009D2888"/>
    <w:rsid w:val="009D2944"/>
    <w:rsid w:val="009D37E0"/>
    <w:rsid w:val="009D4001"/>
    <w:rsid w:val="009D429F"/>
    <w:rsid w:val="009D5001"/>
    <w:rsid w:val="009D58BB"/>
    <w:rsid w:val="009D5BA9"/>
    <w:rsid w:val="009D5C6F"/>
    <w:rsid w:val="009D5DA9"/>
    <w:rsid w:val="009D6702"/>
    <w:rsid w:val="009D76C8"/>
    <w:rsid w:val="009D7C38"/>
    <w:rsid w:val="009E0468"/>
    <w:rsid w:val="009E0CA9"/>
    <w:rsid w:val="009E0E88"/>
    <w:rsid w:val="009E1828"/>
    <w:rsid w:val="009E199A"/>
    <w:rsid w:val="009E1D2F"/>
    <w:rsid w:val="009E2313"/>
    <w:rsid w:val="009E24C5"/>
    <w:rsid w:val="009E2D3E"/>
    <w:rsid w:val="009E3675"/>
    <w:rsid w:val="009E3BEB"/>
    <w:rsid w:val="009E3EC1"/>
    <w:rsid w:val="009E402F"/>
    <w:rsid w:val="009E4B89"/>
    <w:rsid w:val="009E5194"/>
    <w:rsid w:val="009E5782"/>
    <w:rsid w:val="009E621B"/>
    <w:rsid w:val="009E6464"/>
    <w:rsid w:val="009E6771"/>
    <w:rsid w:val="009E7BAA"/>
    <w:rsid w:val="009F03EA"/>
    <w:rsid w:val="009F0B4A"/>
    <w:rsid w:val="009F0CE1"/>
    <w:rsid w:val="009F14E7"/>
    <w:rsid w:val="009F19F8"/>
    <w:rsid w:val="009F1CFB"/>
    <w:rsid w:val="009F1F76"/>
    <w:rsid w:val="009F273F"/>
    <w:rsid w:val="009F278D"/>
    <w:rsid w:val="009F287A"/>
    <w:rsid w:val="009F2D2B"/>
    <w:rsid w:val="009F3799"/>
    <w:rsid w:val="009F3CA1"/>
    <w:rsid w:val="009F48D5"/>
    <w:rsid w:val="009F5AE7"/>
    <w:rsid w:val="009F5B6C"/>
    <w:rsid w:val="009F60C9"/>
    <w:rsid w:val="009F60E9"/>
    <w:rsid w:val="009F74F6"/>
    <w:rsid w:val="009F78ED"/>
    <w:rsid w:val="009F7BDA"/>
    <w:rsid w:val="00A00958"/>
    <w:rsid w:val="00A0123C"/>
    <w:rsid w:val="00A02BE9"/>
    <w:rsid w:val="00A02C15"/>
    <w:rsid w:val="00A035B1"/>
    <w:rsid w:val="00A03C3C"/>
    <w:rsid w:val="00A03D49"/>
    <w:rsid w:val="00A03DF3"/>
    <w:rsid w:val="00A04290"/>
    <w:rsid w:val="00A049A1"/>
    <w:rsid w:val="00A04C60"/>
    <w:rsid w:val="00A07458"/>
    <w:rsid w:val="00A077B4"/>
    <w:rsid w:val="00A07DD1"/>
    <w:rsid w:val="00A10110"/>
    <w:rsid w:val="00A10504"/>
    <w:rsid w:val="00A10E41"/>
    <w:rsid w:val="00A11A17"/>
    <w:rsid w:val="00A12B69"/>
    <w:rsid w:val="00A13788"/>
    <w:rsid w:val="00A13B6D"/>
    <w:rsid w:val="00A13B94"/>
    <w:rsid w:val="00A1505B"/>
    <w:rsid w:val="00A15F4A"/>
    <w:rsid w:val="00A15FAA"/>
    <w:rsid w:val="00A1640F"/>
    <w:rsid w:val="00A16F33"/>
    <w:rsid w:val="00A20CF9"/>
    <w:rsid w:val="00A21BC0"/>
    <w:rsid w:val="00A21F64"/>
    <w:rsid w:val="00A2305A"/>
    <w:rsid w:val="00A2403D"/>
    <w:rsid w:val="00A24158"/>
    <w:rsid w:val="00A24B94"/>
    <w:rsid w:val="00A24C06"/>
    <w:rsid w:val="00A25363"/>
    <w:rsid w:val="00A26270"/>
    <w:rsid w:val="00A265BC"/>
    <w:rsid w:val="00A26992"/>
    <w:rsid w:val="00A26A13"/>
    <w:rsid w:val="00A26E9C"/>
    <w:rsid w:val="00A27565"/>
    <w:rsid w:val="00A27DCD"/>
    <w:rsid w:val="00A30A83"/>
    <w:rsid w:val="00A310D7"/>
    <w:rsid w:val="00A3119E"/>
    <w:rsid w:val="00A31223"/>
    <w:rsid w:val="00A32408"/>
    <w:rsid w:val="00A32D0D"/>
    <w:rsid w:val="00A33126"/>
    <w:rsid w:val="00A33751"/>
    <w:rsid w:val="00A340A4"/>
    <w:rsid w:val="00A3440B"/>
    <w:rsid w:val="00A3458A"/>
    <w:rsid w:val="00A34864"/>
    <w:rsid w:val="00A3626B"/>
    <w:rsid w:val="00A36CE4"/>
    <w:rsid w:val="00A3720E"/>
    <w:rsid w:val="00A3795C"/>
    <w:rsid w:val="00A403A4"/>
    <w:rsid w:val="00A40538"/>
    <w:rsid w:val="00A40722"/>
    <w:rsid w:val="00A40E7A"/>
    <w:rsid w:val="00A411A9"/>
    <w:rsid w:val="00A4212A"/>
    <w:rsid w:val="00A423E1"/>
    <w:rsid w:val="00A42465"/>
    <w:rsid w:val="00A4290A"/>
    <w:rsid w:val="00A429CA"/>
    <w:rsid w:val="00A43AF1"/>
    <w:rsid w:val="00A44049"/>
    <w:rsid w:val="00A443BE"/>
    <w:rsid w:val="00A4443B"/>
    <w:rsid w:val="00A44465"/>
    <w:rsid w:val="00A4452D"/>
    <w:rsid w:val="00A445FC"/>
    <w:rsid w:val="00A44DAD"/>
    <w:rsid w:val="00A456AD"/>
    <w:rsid w:val="00A45CA7"/>
    <w:rsid w:val="00A45D09"/>
    <w:rsid w:val="00A46069"/>
    <w:rsid w:val="00A46733"/>
    <w:rsid w:val="00A46BAE"/>
    <w:rsid w:val="00A47394"/>
    <w:rsid w:val="00A47948"/>
    <w:rsid w:val="00A47C43"/>
    <w:rsid w:val="00A47E32"/>
    <w:rsid w:val="00A5028C"/>
    <w:rsid w:val="00A50D48"/>
    <w:rsid w:val="00A51599"/>
    <w:rsid w:val="00A519C1"/>
    <w:rsid w:val="00A51FFF"/>
    <w:rsid w:val="00A54281"/>
    <w:rsid w:val="00A54405"/>
    <w:rsid w:val="00A54B0D"/>
    <w:rsid w:val="00A55996"/>
    <w:rsid w:val="00A559A4"/>
    <w:rsid w:val="00A560A5"/>
    <w:rsid w:val="00A56703"/>
    <w:rsid w:val="00A56775"/>
    <w:rsid w:val="00A569B0"/>
    <w:rsid w:val="00A576C7"/>
    <w:rsid w:val="00A577FF"/>
    <w:rsid w:val="00A5781D"/>
    <w:rsid w:val="00A600DE"/>
    <w:rsid w:val="00A6031C"/>
    <w:rsid w:val="00A603CD"/>
    <w:rsid w:val="00A606B9"/>
    <w:rsid w:val="00A60924"/>
    <w:rsid w:val="00A616E7"/>
    <w:rsid w:val="00A619F8"/>
    <w:rsid w:val="00A61BFA"/>
    <w:rsid w:val="00A62163"/>
    <w:rsid w:val="00A62213"/>
    <w:rsid w:val="00A623F6"/>
    <w:rsid w:val="00A62711"/>
    <w:rsid w:val="00A6335E"/>
    <w:rsid w:val="00A63562"/>
    <w:rsid w:val="00A6407F"/>
    <w:rsid w:val="00A641AB"/>
    <w:rsid w:val="00A6458A"/>
    <w:rsid w:val="00A64CDF"/>
    <w:rsid w:val="00A6504B"/>
    <w:rsid w:val="00A659CC"/>
    <w:rsid w:val="00A65B04"/>
    <w:rsid w:val="00A65C61"/>
    <w:rsid w:val="00A65F4F"/>
    <w:rsid w:val="00A66185"/>
    <w:rsid w:val="00A6766D"/>
    <w:rsid w:val="00A67C1C"/>
    <w:rsid w:val="00A703B8"/>
    <w:rsid w:val="00A70892"/>
    <w:rsid w:val="00A71C1A"/>
    <w:rsid w:val="00A71D05"/>
    <w:rsid w:val="00A72373"/>
    <w:rsid w:val="00A72CD4"/>
    <w:rsid w:val="00A72E86"/>
    <w:rsid w:val="00A73703"/>
    <w:rsid w:val="00A73E0A"/>
    <w:rsid w:val="00A7403F"/>
    <w:rsid w:val="00A7432A"/>
    <w:rsid w:val="00A7437F"/>
    <w:rsid w:val="00A744F4"/>
    <w:rsid w:val="00A747B8"/>
    <w:rsid w:val="00A75413"/>
    <w:rsid w:val="00A75CBC"/>
    <w:rsid w:val="00A7611C"/>
    <w:rsid w:val="00A766DD"/>
    <w:rsid w:val="00A76FDF"/>
    <w:rsid w:val="00A77B00"/>
    <w:rsid w:val="00A80331"/>
    <w:rsid w:val="00A8089A"/>
    <w:rsid w:val="00A80BB2"/>
    <w:rsid w:val="00A81175"/>
    <w:rsid w:val="00A81399"/>
    <w:rsid w:val="00A81EA3"/>
    <w:rsid w:val="00A81FBE"/>
    <w:rsid w:val="00A838F7"/>
    <w:rsid w:val="00A83D3A"/>
    <w:rsid w:val="00A84A34"/>
    <w:rsid w:val="00A85213"/>
    <w:rsid w:val="00A906C3"/>
    <w:rsid w:val="00A9095B"/>
    <w:rsid w:val="00A90993"/>
    <w:rsid w:val="00A918D4"/>
    <w:rsid w:val="00A91D23"/>
    <w:rsid w:val="00A92146"/>
    <w:rsid w:val="00A93883"/>
    <w:rsid w:val="00A9426B"/>
    <w:rsid w:val="00A9618A"/>
    <w:rsid w:val="00A96F09"/>
    <w:rsid w:val="00AA043E"/>
    <w:rsid w:val="00AA06DF"/>
    <w:rsid w:val="00AA0D7D"/>
    <w:rsid w:val="00AA1BA3"/>
    <w:rsid w:val="00AA1FBA"/>
    <w:rsid w:val="00AA220E"/>
    <w:rsid w:val="00AA250B"/>
    <w:rsid w:val="00AA4549"/>
    <w:rsid w:val="00AA4AF1"/>
    <w:rsid w:val="00AA4EE7"/>
    <w:rsid w:val="00AA58B1"/>
    <w:rsid w:val="00AA67CD"/>
    <w:rsid w:val="00AA6A98"/>
    <w:rsid w:val="00AB032B"/>
    <w:rsid w:val="00AB0416"/>
    <w:rsid w:val="00AB06F8"/>
    <w:rsid w:val="00AB1655"/>
    <w:rsid w:val="00AB25F5"/>
    <w:rsid w:val="00AB26BE"/>
    <w:rsid w:val="00AB2AB3"/>
    <w:rsid w:val="00AB3399"/>
    <w:rsid w:val="00AB3F72"/>
    <w:rsid w:val="00AB4564"/>
    <w:rsid w:val="00AB4BD8"/>
    <w:rsid w:val="00AB4F44"/>
    <w:rsid w:val="00AB52D9"/>
    <w:rsid w:val="00AB6510"/>
    <w:rsid w:val="00AC1322"/>
    <w:rsid w:val="00AC1FC8"/>
    <w:rsid w:val="00AC2493"/>
    <w:rsid w:val="00AC24D9"/>
    <w:rsid w:val="00AC285B"/>
    <w:rsid w:val="00AC3C55"/>
    <w:rsid w:val="00AC421F"/>
    <w:rsid w:val="00AC4280"/>
    <w:rsid w:val="00AC4583"/>
    <w:rsid w:val="00AC49FB"/>
    <w:rsid w:val="00AC4AC6"/>
    <w:rsid w:val="00AC4E80"/>
    <w:rsid w:val="00AC5FA3"/>
    <w:rsid w:val="00AC6437"/>
    <w:rsid w:val="00AC6BB3"/>
    <w:rsid w:val="00AC6C46"/>
    <w:rsid w:val="00AC75A1"/>
    <w:rsid w:val="00AC7654"/>
    <w:rsid w:val="00AD0206"/>
    <w:rsid w:val="00AD0601"/>
    <w:rsid w:val="00AD0A31"/>
    <w:rsid w:val="00AD0A65"/>
    <w:rsid w:val="00AD19BC"/>
    <w:rsid w:val="00AD1DDC"/>
    <w:rsid w:val="00AD32B8"/>
    <w:rsid w:val="00AD36CF"/>
    <w:rsid w:val="00AD4DD6"/>
    <w:rsid w:val="00AD5083"/>
    <w:rsid w:val="00AD5760"/>
    <w:rsid w:val="00AD5CF5"/>
    <w:rsid w:val="00AD61E3"/>
    <w:rsid w:val="00AD66C2"/>
    <w:rsid w:val="00AD6937"/>
    <w:rsid w:val="00AD6A1F"/>
    <w:rsid w:val="00AD6DDF"/>
    <w:rsid w:val="00AD736E"/>
    <w:rsid w:val="00AD7BEB"/>
    <w:rsid w:val="00AE0C49"/>
    <w:rsid w:val="00AE0D3E"/>
    <w:rsid w:val="00AE189B"/>
    <w:rsid w:val="00AE1B45"/>
    <w:rsid w:val="00AE21A2"/>
    <w:rsid w:val="00AE2363"/>
    <w:rsid w:val="00AE2E49"/>
    <w:rsid w:val="00AE3899"/>
    <w:rsid w:val="00AE4987"/>
    <w:rsid w:val="00AE51BE"/>
    <w:rsid w:val="00AE54C6"/>
    <w:rsid w:val="00AE5647"/>
    <w:rsid w:val="00AE62A3"/>
    <w:rsid w:val="00AE6CFA"/>
    <w:rsid w:val="00AE6FE0"/>
    <w:rsid w:val="00AE7429"/>
    <w:rsid w:val="00AE7BD2"/>
    <w:rsid w:val="00AE7D16"/>
    <w:rsid w:val="00AF03D0"/>
    <w:rsid w:val="00AF0AE2"/>
    <w:rsid w:val="00AF1E8F"/>
    <w:rsid w:val="00AF1FCD"/>
    <w:rsid w:val="00AF420B"/>
    <w:rsid w:val="00AF427F"/>
    <w:rsid w:val="00AF4427"/>
    <w:rsid w:val="00AF4D5A"/>
    <w:rsid w:val="00AF512F"/>
    <w:rsid w:val="00AF519D"/>
    <w:rsid w:val="00AF536B"/>
    <w:rsid w:val="00AF55AF"/>
    <w:rsid w:val="00AF596E"/>
    <w:rsid w:val="00AF5F81"/>
    <w:rsid w:val="00AF61F9"/>
    <w:rsid w:val="00AF6211"/>
    <w:rsid w:val="00AF6B8F"/>
    <w:rsid w:val="00AF7C0A"/>
    <w:rsid w:val="00B004E4"/>
    <w:rsid w:val="00B005F2"/>
    <w:rsid w:val="00B007E9"/>
    <w:rsid w:val="00B0124C"/>
    <w:rsid w:val="00B01BEE"/>
    <w:rsid w:val="00B01CB9"/>
    <w:rsid w:val="00B01FF4"/>
    <w:rsid w:val="00B02314"/>
    <w:rsid w:val="00B0299F"/>
    <w:rsid w:val="00B036D6"/>
    <w:rsid w:val="00B048B6"/>
    <w:rsid w:val="00B04D83"/>
    <w:rsid w:val="00B0510C"/>
    <w:rsid w:val="00B064F7"/>
    <w:rsid w:val="00B06893"/>
    <w:rsid w:val="00B068DF"/>
    <w:rsid w:val="00B06EF4"/>
    <w:rsid w:val="00B07ADA"/>
    <w:rsid w:val="00B106D8"/>
    <w:rsid w:val="00B10B80"/>
    <w:rsid w:val="00B115E9"/>
    <w:rsid w:val="00B11696"/>
    <w:rsid w:val="00B11D74"/>
    <w:rsid w:val="00B11FB4"/>
    <w:rsid w:val="00B12EDA"/>
    <w:rsid w:val="00B14737"/>
    <w:rsid w:val="00B16DA0"/>
    <w:rsid w:val="00B16F05"/>
    <w:rsid w:val="00B16FE8"/>
    <w:rsid w:val="00B175F4"/>
    <w:rsid w:val="00B17697"/>
    <w:rsid w:val="00B17B75"/>
    <w:rsid w:val="00B21368"/>
    <w:rsid w:val="00B21B3E"/>
    <w:rsid w:val="00B21D95"/>
    <w:rsid w:val="00B21E21"/>
    <w:rsid w:val="00B21F0F"/>
    <w:rsid w:val="00B220C5"/>
    <w:rsid w:val="00B2232A"/>
    <w:rsid w:val="00B22447"/>
    <w:rsid w:val="00B22470"/>
    <w:rsid w:val="00B22B6D"/>
    <w:rsid w:val="00B23223"/>
    <w:rsid w:val="00B23FA9"/>
    <w:rsid w:val="00B25129"/>
    <w:rsid w:val="00B2565E"/>
    <w:rsid w:val="00B25785"/>
    <w:rsid w:val="00B269A2"/>
    <w:rsid w:val="00B277BD"/>
    <w:rsid w:val="00B27819"/>
    <w:rsid w:val="00B30A5D"/>
    <w:rsid w:val="00B30E3D"/>
    <w:rsid w:val="00B312A9"/>
    <w:rsid w:val="00B31413"/>
    <w:rsid w:val="00B31CBF"/>
    <w:rsid w:val="00B323B8"/>
    <w:rsid w:val="00B32503"/>
    <w:rsid w:val="00B325C5"/>
    <w:rsid w:val="00B32CBC"/>
    <w:rsid w:val="00B33060"/>
    <w:rsid w:val="00B34432"/>
    <w:rsid w:val="00B3526C"/>
    <w:rsid w:val="00B35DB8"/>
    <w:rsid w:val="00B35DC0"/>
    <w:rsid w:val="00B36003"/>
    <w:rsid w:val="00B36077"/>
    <w:rsid w:val="00B363E1"/>
    <w:rsid w:val="00B36B3A"/>
    <w:rsid w:val="00B36BFD"/>
    <w:rsid w:val="00B36DA2"/>
    <w:rsid w:val="00B36FE2"/>
    <w:rsid w:val="00B3751E"/>
    <w:rsid w:val="00B40A65"/>
    <w:rsid w:val="00B41370"/>
    <w:rsid w:val="00B41EB6"/>
    <w:rsid w:val="00B4273F"/>
    <w:rsid w:val="00B42B20"/>
    <w:rsid w:val="00B42C46"/>
    <w:rsid w:val="00B433CB"/>
    <w:rsid w:val="00B444D1"/>
    <w:rsid w:val="00B448C5"/>
    <w:rsid w:val="00B44A7C"/>
    <w:rsid w:val="00B4518A"/>
    <w:rsid w:val="00B45955"/>
    <w:rsid w:val="00B45B08"/>
    <w:rsid w:val="00B45B90"/>
    <w:rsid w:val="00B46DFA"/>
    <w:rsid w:val="00B46E17"/>
    <w:rsid w:val="00B505EE"/>
    <w:rsid w:val="00B51088"/>
    <w:rsid w:val="00B51862"/>
    <w:rsid w:val="00B51A58"/>
    <w:rsid w:val="00B51A63"/>
    <w:rsid w:val="00B51D7E"/>
    <w:rsid w:val="00B52527"/>
    <w:rsid w:val="00B5252C"/>
    <w:rsid w:val="00B52C3D"/>
    <w:rsid w:val="00B53093"/>
    <w:rsid w:val="00B53209"/>
    <w:rsid w:val="00B539B0"/>
    <w:rsid w:val="00B53E20"/>
    <w:rsid w:val="00B53E5E"/>
    <w:rsid w:val="00B54404"/>
    <w:rsid w:val="00B54A42"/>
    <w:rsid w:val="00B54C23"/>
    <w:rsid w:val="00B55724"/>
    <w:rsid w:val="00B55979"/>
    <w:rsid w:val="00B5604E"/>
    <w:rsid w:val="00B56B6F"/>
    <w:rsid w:val="00B56CBA"/>
    <w:rsid w:val="00B56D04"/>
    <w:rsid w:val="00B57B04"/>
    <w:rsid w:val="00B6037D"/>
    <w:rsid w:val="00B60591"/>
    <w:rsid w:val="00B615FC"/>
    <w:rsid w:val="00B61F01"/>
    <w:rsid w:val="00B623E1"/>
    <w:rsid w:val="00B62BC4"/>
    <w:rsid w:val="00B63099"/>
    <w:rsid w:val="00B634BD"/>
    <w:rsid w:val="00B63DFA"/>
    <w:rsid w:val="00B63ED2"/>
    <w:rsid w:val="00B6576B"/>
    <w:rsid w:val="00B65859"/>
    <w:rsid w:val="00B66267"/>
    <w:rsid w:val="00B665BF"/>
    <w:rsid w:val="00B669AE"/>
    <w:rsid w:val="00B70290"/>
    <w:rsid w:val="00B70931"/>
    <w:rsid w:val="00B71943"/>
    <w:rsid w:val="00B72344"/>
    <w:rsid w:val="00B73B93"/>
    <w:rsid w:val="00B743A7"/>
    <w:rsid w:val="00B74D54"/>
    <w:rsid w:val="00B74DC2"/>
    <w:rsid w:val="00B75B50"/>
    <w:rsid w:val="00B7742C"/>
    <w:rsid w:val="00B77766"/>
    <w:rsid w:val="00B777A0"/>
    <w:rsid w:val="00B77A2F"/>
    <w:rsid w:val="00B77D1E"/>
    <w:rsid w:val="00B80409"/>
    <w:rsid w:val="00B81294"/>
    <w:rsid w:val="00B813F0"/>
    <w:rsid w:val="00B8167A"/>
    <w:rsid w:val="00B8251D"/>
    <w:rsid w:val="00B82606"/>
    <w:rsid w:val="00B82A03"/>
    <w:rsid w:val="00B82D76"/>
    <w:rsid w:val="00B85413"/>
    <w:rsid w:val="00B85AB1"/>
    <w:rsid w:val="00B85F8D"/>
    <w:rsid w:val="00B86298"/>
    <w:rsid w:val="00B86C9C"/>
    <w:rsid w:val="00B873CF"/>
    <w:rsid w:val="00B87FCB"/>
    <w:rsid w:val="00B9012C"/>
    <w:rsid w:val="00B90D8B"/>
    <w:rsid w:val="00B9177B"/>
    <w:rsid w:val="00B91D66"/>
    <w:rsid w:val="00B929D5"/>
    <w:rsid w:val="00B936CA"/>
    <w:rsid w:val="00B938E7"/>
    <w:rsid w:val="00B939DD"/>
    <w:rsid w:val="00B94305"/>
    <w:rsid w:val="00B94A14"/>
    <w:rsid w:val="00B954E1"/>
    <w:rsid w:val="00B958FA"/>
    <w:rsid w:val="00B9595E"/>
    <w:rsid w:val="00B95C52"/>
    <w:rsid w:val="00B971E1"/>
    <w:rsid w:val="00B97437"/>
    <w:rsid w:val="00B975C5"/>
    <w:rsid w:val="00B976FF"/>
    <w:rsid w:val="00B97770"/>
    <w:rsid w:val="00BA04B5"/>
    <w:rsid w:val="00BA0647"/>
    <w:rsid w:val="00BA0967"/>
    <w:rsid w:val="00BA09A2"/>
    <w:rsid w:val="00BA1605"/>
    <w:rsid w:val="00BA2858"/>
    <w:rsid w:val="00BA2E0E"/>
    <w:rsid w:val="00BA3372"/>
    <w:rsid w:val="00BA4380"/>
    <w:rsid w:val="00BA4726"/>
    <w:rsid w:val="00BA4790"/>
    <w:rsid w:val="00BA4C66"/>
    <w:rsid w:val="00BA4C9C"/>
    <w:rsid w:val="00BA68E9"/>
    <w:rsid w:val="00BA7867"/>
    <w:rsid w:val="00BB0384"/>
    <w:rsid w:val="00BB0A06"/>
    <w:rsid w:val="00BB0DDF"/>
    <w:rsid w:val="00BB0FFB"/>
    <w:rsid w:val="00BB1074"/>
    <w:rsid w:val="00BB1698"/>
    <w:rsid w:val="00BB1E33"/>
    <w:rsid w:val="00BB23B1"/>
    <w:rsid w:val="00BB2450"/>
    <w:rsid w:val="00BB256D"/>
    <w:rsid w:val="00BB3207"/>
    <w:rsid w:val="00BB33A1"/>
    <w:rsid w:val="00BB34A9"/>
    <w:rsid w:val="00BB3506"/>
    <w:rsid w:val="00BB36D5"/>
    <w:rsid w:val="00BB433E"/>
    <w:rsid w:val="00BB43A1"/>
    <w:rsid w:val="00BB448E"/>
    <w:rsid w:val="00BB485B"/>
    <w:rsid w:val="00BB4907"/>
    <w:rsid w:val="00BB4F80"/>
    <w:rsid w:val="00BB54C1"/>
    <w:rsid w:val="00BB633A"/>
    <w:rsid w:val="00BB65D6"/>
    <w:rsid w:val="00BB6807"/>
    <w:rsid w:val="00BB6A4C"/>
    <w:rsid w:val="00BB6C10"/>
    <w:rsid w:val="00BB710E"/>
    <w:rsid w:val="00BC0980"/>
    <w:rsid w:val="00BC111A"/>
    <w:rsid w:val="00BC1149"/>
    <w:rsid w:val="00BC1704"/>
    <w:rsid w:val="00BC1CEC"/>
    <w:rsid w:val="00BC229A"/>
    <w:rsid w:val="00BC2F6E"/>
    <w:rsid w:val="00BC42B5"/>
    <w:rsid w:val="00BC60FF"/>
    <w:rsid w:val="00BC6544"/>
    <w:rsid w:val="00BC6D74"/>
    <w:rsid w:val="00BC73C7"/>
    <w:rsid w:val="00BC7DD4"/>
    <w:rsid w:val="00BD0016"/>
    <w:rsid w:val="00BD0EBB"/>
    <w:rsid w:val="00BD134D"/>
    <w:rsid w:val="00BD189C"/>
    <w:rsid w:val="00BD1CF7"/>
    <w:rsid w:val="00BD2525"/>
    <w:rsid w:val="00BD3993"/>
    <w:rsid w:val="00BD4B2A"/>
    <w:rsid w:val="00BD4E4A"/>
    <w:rsid w:val="00BD54CF"/>
    <w:rsid w:val="00BD5B0A"/>
    <w:rsid w:val="00BD5C58"/>
    <w:rsid w:val="00BD60B1"/>
    <w:rsid w:val="00BD6C2A"/>
    <w:rsid w:val="00BD6FAF"/>
    <w:rsid w:val="00BD781B"/>
    <w:rsid w:val="00BD7AB2"/>
    <w:rsid w:val="00BE0163"/>
    <w:rsid w:val="00BE0347"/>
    <w:rsid w:val="00BE0420"/>
    <w:rsid w:val="00BE0BA5"/>
    <w:rsid w:val="00BE10E4"/>
    <w:rsid w:val="00BE1211"/>
    <w:rsid w:val="00BE1823"/>
    <w:rsid w:val="00BE1ED7"/>
    <w:rsid w:val="00BE2477"/>
    <w:rsid w:val="00BE34CE"/>
    <w:rsid w:val="00BE34F1"/>
    <w:rsid w:val="00BE37D8"/>
    <w:rsid w:val="00BE4266"/>
    <w:rsid w:val="00BE446C"/>
    <w:rsid w:val="00BE4D22"/>
    <w:rsid w:val="00BE4F58"/>
    <w:rsid w:val="00BE5F1B"/>
    <w:rsid w:val="00BE68BB"/>
    <w:rsid w:val="00BE69B4"/>
    <w:rsid w:val="00BE6AB4"/>
    <w:rsid w:val="00BE6EF9"/>
    <w:rsid w:val="00BE6FB5"/>
    <w:rsid w:val="00BE702F"/>
    <w:rsid w:val="00BE71DB"/>
    <w:rsid w:val="00BF0516"/>
    <w:rsid w:val="00BF0C4D"/>
    <w:rsid w:val="00BF13B9"/>
    <w:rsid w:val="00BF178B"/>
    <w:rsid w:val="00BF23DC"/>
    <w:rsid w:val="00BF29E2"/>
    <w:rsid w:val="00BF2B8F"/>
    <w:rsid w:val="00BF2CE5"/>
    <w:rsid w:val="00BF2DC5"/>
    <w:rsid w:val="00BF4C57"/>
    <w:rsid w:val="00BF524C"/>
    <w:rsid w:val="00BF59CC"/>
    <w:rsid w:val="00BF5A78"/>
    <w:rsid w:val="00BF5D86"/>
    <w:rsid w:val="00BF613F"/>
    <w:rsid w:val="00BF67D6"/>
    <w:rsid w:val="00BF7136"/>
    <w:rsid w:val="00C006A8"/>
    <w:rsid w:val="00C00852"/>
    <w:rsid w:val="00C00EC3"/>
    <w:rsid w:val="00C011A6"/>
    <w:rsid w:val="00C01A50"/>
    <w:rsid w:val="00C02265"/>
    <w:rsid w:val="00C02667"/>
    <w:rsid w:val="00C02D37"/>
    <w:rsid w:val="00C03762"/>
    <w:rsid w:val="00C03823"/>
    <w:rsid w:val="00C03B3F"/>
    <w:rsid w:val="00C03B89"/>
    <w:rsid w:val="00C045B3"/>
    <w:rsid w:val="00C101AB"/>
    <w:rsid w:val="00C10299"/>
    <w:rsid w:val="00C10D00"/>
    <w:rsid w:val="00C11B39"/>
    <w:rsid w:val="00C124ED"/>
    <w:rsid w:val="00C127A9"/>
    <w:rsid w:val="00C12C28"/>
    <w:rsid w:val="00C12FDB"/>
    <w:rsid w:val="00C1321A"/>
    <w:rsid w:val="00C137FE"/>
    <w:rsid w:val="00C14BA6"/>
    <w:rsid w:val="00C14D16"/>
    <w:rsid w:val="00C150C4"/>
    <w:rsid w:val="00C153E3"/>
    <w:rsid w:val="00C15B99"/>
    <w:rsid w:val="00C170EF"/>
    <w:rsid w:val="00C17536"/>
    <w:rsid w:val="00C205A0"/>
    <w:rsid w:val="00C20A4F"/>
    <w:rsid w:val="00C20B1F"/>
    <w:rsid w:val="00C20E26"/>
    <w:rsid w:val="00C20F73"/>
    <w:rsid w:val="00C22046"/>
    <w:rsid w:val="00C224BA"/>
    <w:rsid w:val="00C2276E"/>
    <w:rsid w:val="00C22DFF"/>
    <w:rsid w:val="00C231A0"/>
    <w:rsid w:val="00C23C00"/>
    <w:rsid w:val="00C23C90"/>
    <w:rsid w:val="00C25178"/>
    <w:rsid w:val="00C25593"/>
    <w:rsid w:val="00C25F4A"/>
    <w:rsid w:val="00C25FD6"/>
    <w:rsid w:val="00C26A0F"/>
    <w:rsid w:val="00C277F7"/>
    <w:rsid w:val="00C30096"/>
    <w:rsid w:val="00C300B1"/>
    <w:rsid w:val="00C30755"/>
    <w:rsid w:val="00C30BF6"/>
    <w:rsid w:val="00C312C1"/>
    <w:rsid w:val="00C315A2"/>
    <w:rsid w:val="00C31871"/>
    <w:rsid w:val="00C32CD3"/>
    <w:rsid w:val="00C3396B"/>
    <w:rsid w:val="00C33B39"/>
    <w:rsid w:val="00C35A96"/>
    <w:rsid w:val="00C35D1F"/>
    <w:rsid w:val="00C367E3"/>
    <w:rsid w:val="00C369B5"/>
    <w:rsid w:val="00C36A72"/>
    <w:rsid w:val="00C400FD"/>
    <w:rsid w:val="00C40B08"/>
    <w:rsid w:val="00C40CC4"/>
    <w:rsid w:val="00C40F57"/>
    <w:rsid w:val="00C417A1"/>
    <w:rsid w:val="00C41836"/>
    <w:rsid w:val="00C41A6A"/>
    <w:rsid w:val="00C42875"/>
    <w:rsid w:val="00C42A21"/>
    <w:rsid w:val="00C42CE8"/>
    <w:rsid w:val="00C435A4"/>
    <w:rsid w:val="00C44540"/>
    <w:rsid w:val="00C44AC4"/>
    <w:rsid w:val="00C45314"/>
    <w:rsid w:val="00C454B5"/>
    <w:rsid w:val="00C45FBE"/>
    <w:rsid w:val="00C47963"/>
    <w:rsid w:val="00C503A0"/>
    <w:rsid w:val="00C50F8C"/>
    <w:rsid w:val="00C512D0"/>
    <w:rsid w:val="00C5211C"/>
    <w:rsid w:val="00C523EB"/>
    <w:rsid w:val="00C52BD7"/>
    <w:rsid w:val="00C52DD4"/>
    <w:rsid w:val="00C533FB"/>
    <w:rsid w:val="00C540C0"/>
    <w:rsid w:val="00C540C1"/>
    <w:rsid w:val="00C54349"/>
    <w:rsid w:val="00C549C0"/>
    <w:rsid w:val="00C55C5A"/>
    <w:rsid w:val="00C55E46"/>
    <w:rsid w:val="00C567AC"/>
    <w:rsid w:val="00C57325"/>
    <w:rsid w:val="00C578C3"/>
    <w:rsid w:val="00C6074B"/>
    <w:rsid w:val="00C616B5"/>
    <w:rsid w:val="00C62008"/>
    <w:rsid w:val="00C6290A"/>
    <w:rsid w:val="00C63F84"/>
    <w:rsid w:val="00C640DC"/>
    <w:rsid w:val="00C642A0"/>
    <w:rsid w:val="00C64556"/>
    <w:rsid w:val="00C646EE"/>
    <w:rsid w:val="00C64764"/>
    <w:rsid w:val="00C66C7C"/>
    <w:rsid w:val="00C673F5"/>
    <w:rsid w:val="00C67F49"/>
    <w:rsid w:val="00C707C7"/>
    <w:rsid w:val="00C711EA"/>
    <w:rsid w:val="00C71CE1"/>
    <w:rsid w:val="00C73BA9"/>
    <w:rsid w:val="00C73D69"/>
    <w:rsid w:val="00C76D28"/>
    <w:rsid w:val="00C77239"/>
    <w:rsid w:val="00C774B4"/>
    <w:rsid w:val="00C77A0C"/>
    <w:rsid w:val="00C77CE6"/>
    <w:rsid w:val="00C77D4B"/>
    <w:rsid w:val="00C8003D"/>
    <w:rsid w:val="00C807F6"/>
    <w:rsid w:val="00C80EF4"/>
    <w:rsid w:val="00C81106"/>
    <w:rsid w:val="00C818CF"/>
    <w:rsid w:val="00C82093"/>
    <w:rsid w:val="00C82EDE"/>
    <w:rsid w:val="00C830A6"/>
    <w:rsid w:val="00C830BA"/>
    <w:rsid w:val="00C832DC"/>
    <w:rsid w:val="00C84215"/>
    <w:rsid w:val="00C843FF"/>
    <w:rsid w:val="00C84ACD"/>
    <w:rsid w:val="00C84E1A"/>
    <w:rsid w:val="00C85F9F"/>
    <w:rsid w:val="00C87D2B"/>
    <w:rsid w:val="00C90452"/>
    <w:rsid w:val="00C90B8B"/>
    <w:rsid w:val="00C91764"/>
    <w:rsid w:val="00C91B35"/>
    <w:rsid w:val="00C9266A"/>
    <w:rsid w:val="00C9287B"/>
    <w:rsid w:val="00C92D6E"/>
    <w:rsid w:val="00C933FC"/>
    <w:rsid w:val="00C935E7"/>
    <w:rsid w:val="00C9465E"/>
    <w:rsid w:val="00C94AC5"/>
    <w:rsid w:val="00C94B1B"/>
    <w:rsid w:val="00C94D2E"/>
    <w:rsid w:val="00C95302"/>
    <w:rsid w:val="00C954ED"/>
    <w:rsid w:val="00C954F7"/>
    <w:rsid w:val="00C95857"/>
    <w:rsid w:val="00C95E20"/>
    <w:rsid w:val="00C96156"/>
    <w:rsid w:val="00C9658C"/>
    <w:rsid w:val="00C96DDE"/>
    <w:rsid w:val="00C97ABB"/>
    <w:rsid w:val="00CA18A3"/>
    <w:rsid w:val="00CA1C95"/>
    <w:rsid w:val="00CA1CE8"/>
    <w:rsid w:val="00CA271B"/>
    <w:rsid w:val="00CA2BA4"/>
    <w:rsid w:val="00CA2F84"/>
    <w:rsid w:val="00CA38DE"/>
    <w:rsid w:val="00CA3C88"/>
    <w:rsid w:val="00CA482A"/>
    <w:rsid w:val="00CA4CEA"/>
    <w:rsid w:val="00CA4D1F"/>
    <w:rsid w:val="00CA512A"/>
    <w:rsid w:val="00CA51EA"/>
    <w:rsid w:val="00CA53A1"/>
    <w:rsid w:val="00CA5853"/>
    <w:rsid w:val="00CA66BA"/>
    <w:rsid w:val="00CA67AE"/>
    <w:rsid w:val="00CA6C55"/>
    <w:rsid w:val="00CB0049"/>
    <w:rsid w:val="00CB0283"/>
    <w:rsid w:val="00CB0373"/>
    <w:rsid w:val="00CB06D5"/>
    <w:rsid w:val="00CB1CC3"/>
    <w:rsid w:val="00CB280A"/>
    <w:rsid w:val="00CB287F"/>
    <w:rsid w:val="00CB367A"/>
    <w:rsid w:val="00CB394E"/>
    <w:rsid w:val="00CB3BF1"/>
    <w:rsid w:val="00CB4125"/>
    <w:rsid w:val="00CB5513"/>
    <w:rsid w:val="00CB57A7"/>
    <w:rsid w:val="00CB59B2"/>
    <w:rsid w:val="00CB634D"/>
    <w:rsid w:val="00CB68E1"/>
    <w:rsid w:val="00CB755A"/>
    <w:rsid w:val="00CB773B"/>
    <w:rsid w:val="00CB796A"/>
    <w:rsid w:val="00CB7C7A"/>
    <w:rsid w:val="00CC0A34"/>
    <w:rsid w:val="00CC0CB2"/>
    <w:rsid w:val="00CC0FE7"/>
    <w:rsid w:val="00CC12F2"/>
    <w:rsid w:val="00CC1360"/>
    <w:rsid w:val="00CC188C"/>
    <w:rsid w:val="00CC19D3"/>
    <w:rsid w:val="00CC1A85"/>
    <w:rsid w:val="00CC33B7"/>
    <w:rsid w:val="00CC4274"/>
    <w:rsid w:val="00CC489C"/>
    <w:rsid w:val="00CC5005"/>
    <w:rsid w:val="00CC5176"/>
    <w:rsid w:val="00CC5AB0"/>
    <w:rsid w:val="00CC5F9D"/>
    <w:rsid w:val="00CC61CB"/>
    <w:rsid w:val="00CC69DA"/>
    <w:rsid w:val="00CC7321"/>
    <w:rsid w:val="00CC7966"/>
    <w:rsid w:val="00CD0604"/>
    <w:rsid w:val="00CD0AE8"/>
    <w:rsid w:val="00CD188C"/>
    <w:rsid w:val="00CD1B01"/>
    <w:rsid w:val="00CD2492"/>
    <w:rsid w:val="00CD2D41"/>
    <w:rsid w:val="00CD2D5D"/>
    <w:rsid w:val="00CD31E8"/>
    <w:rsid w:val="00CD35FA"/>
    <w:rsid w:val="00CD3B46"/>
    <w:rsid w:val="00CD40E8"/>
    <w:rsid w:val="00CD4EAE"/>
    <w:rsid w:val="00CD5570"/>
    <w:rsid w:val="00CD5B1B"/>
    <w:rsid w:val="00CD70CF"/>
    <w:rsid w:val="00CD71BF"/>
    <w:rsid w:val="00CD73DC"/>
    <w:rsid w:val="00CD7482"/>
    <w:rsid w:val="00CE0D4C"/>
    <w:rsid w:val="00CE191B"/>
    <w:rsid w:val="00CE1B13"/>
    <w:rsid w:val="00CE2028"/>
    <w:rsid w:val="00CE2884"/>
    <w:rsid w:val="00CE3B41"/>
    <w:rsid w:val="00CE4242"/>
    <w:rsid w:val="00CE4D39"/>
    <w:rsid w:val="00CE6673"/>
    <w:rsid w:val="00CE7030"/>
    <w:rsid w:val="00CE771F"/>
    <w:rsid w:val="00CE7ABE"/>
    <w:rsid w:val="00CF0125"/>
    <w:rsid w:val="00CF0253"/>
    <w:rsid w:val="00CF1728"/>
    <w:rsid w:val="00CF1863"/>
    <w:rsid w:val="00CF1F01"/>
    <w:rsid w:val="00CF25D6"/>
    <w:rsid w:val="00CF2A57"/>
    <w:rsid w:val="00CF2B46"/>
    <w:rsid w:val="00CF2B9B"/>
    <w:rsid w:val="00CF3407"/>
    <w:rsid w:val="00CF3F66"/>
    <w:rsid w:val="00CF4FF3"/>
    <w:rsid w:val="00CF70A6"/>
    <w:rsid w:val="00CF7629"/>
    <w:rsid w:val="00CF7732"/>
    <w:rsid w:val="00CF7C98"/>
    <w:rsid w:val="00D01429"/>
    <w:rsid w:val="00D025F1"/>
    <w:rsid w:val="00D02B4F"/>
    <w:rsid w:val="00D04D61"/>
    <w:rsid w:val="00D04EB9"/>
    <w:rsid w:val="00D051D5"/>
    <w:rsid w:val="00D05877"/>
    <w:rsid w:val="00D0607C"/>
    <w:rsid w:val="00D06095"/>
    <w:rsid w:val="00D071DB"/>
    <w:rsid w:val="00D102E6"/>
    <w:rsid w:val="00D108B2"/>
    <w:rsid w:val="00D11352"/>
    <w:rsid w:val="00D117DB"/>
    <w:rsid w:val="00D1180D"/>
    <w:rsid w:val="00D120D1"/>
    <w:rsid w:val="00D12B32"/>
    <w:rsid w:val="00D12F5D"/>
    <w:rsid w:val="00D13118"/>
    <w:rsid w:val="00D1366F"/>
    <w:rsid w:val="00D14D0D"/>
    <w:rsid w:val="00D15FD1"/>
    <w:rsid w:val="00D165B5"/>
    <w:rsid w:val="00D167A3"/>
    <w:rsid w:val="00D16B03"/>
    <w:rsid w:val="00D16E01"/>
    <w:rsid w:val="00D17731"/>
    <w:rsid w:val="00D17F38"/>
    <w:rsid w:val="00D217F0"/>
    <w:rsid w:val="00D220AB"/>
    <w:rsid w:val="00D22A7D"/>
    <w:rsid w:val="00D23952"/>
    <w:rsid w:val="00D23C93"/>
    <w:rsid w:val="00D252E4"/>
    <w:rsid w:val="00D25434"/>
    <w:rsid w:val="00D257AE"/>
    <w:rsid w:val="00D25C68"/>
    <w:rsid w:val="00D261DB"/>
    <w:rsid w:val="00D26291"/>
    <w:rsid w:val="00D264A1"/>
    <w:rsid w:val="00D2670B"/>
    <w:rsid w:val="00D268D6"/>
    <w:rsid w:val="00D269CB"/>
    <w:rsid w:val="00D27594"/>
    <w:rsid w:val="00D30D0D"/>
    <w:rsid w:val="00D30FD9"/>
    <w:rsid w:val="00D32472"/>
    <w:rsid w:val="00D32CF2"/>
    <w:rsid w:val="00D33A37"/>
    <w:rsid w:val="00D33A4E"/>
    <w:rsid w:val="00D349F0"/>
    <w:rsid w:val="00D34EFC"/>
    <w:rsid w:val="00D350C5"/>
    <w:rsid w:val="00D35ADA"/>
    <w:rsid w:val="00D35D54"/>
    <w:rsid w:val="00D3623D"/>
    <w:rsid w:val="00D36C93"/>
    <w:rsid w:val="00D36E06"/>
    <w:rsid w:val="00D36F8A"/>
    <w:rsid w:val="00D37A3F"/>
    <w:rsid w:val="00D37DE8"/>
    <w:rsid w:val="00D37E6F"/>
    <w:rsid w:val="00D405B0"/>
    <w:rsid w:val="00D40A14"/>
    <w:rsid w:val="00D40FF3"/>
    <w:rsid w:val="00D41889"/>
    <w:rsid w:val="00D419FC"/>
    <w:rsid w:val="00D421DB"/>
    <w:rsid w:val="00D43901"/>
    <w:rsid w:val="00D43A50"/>
    <w:rsid w:val="00D441CC"/>
    <w:rsid w:val="00D44DA0"/>
    <w:rsid w:val="00D458E8"/>
    <w:rsid w:val="00D45A59"/>
    <w:rsid w:val="00D45FA2"/>
    <w:rsid w:val="00D47388"/>
    <w:rsid w:val="00D473FC"/>
    <w:rsid w:val="00D4751D"/>
    <w:rsid w:val="00D47CCB"/>
    <w:rsid w:val="00D47F16"/>
    <w:rsid w:val="00D5007A"/>
    <w:rsid w:val="00D503C1"/>
    <w:rsid w:val="00D505B3"/>
    <w:rsid w:val="00D5161B"/>
    <w:rsid w:val="00D51C77"/>
    <w:rsid w:val="00D52007"/>
    <w:rsid w:val="00D528B6"/>
    <w:rsid w:val="00D52956"/>
    <w:rsid w:val="00D5331B"/>
    <w:rsid w:val="00D53336"/>
    <w:rsid w:val="00D53552"/>
    <w:rsid w:val="00D537C9"/>
    <w:rsid w:val="00D539D6"/>
    <w:rsid w:val="00D53F10"/>
    <w:rsid w:val="00D54E80"/>
    <w:rsid w:val="00D55644"/>
    <w:rsid w:val="00D559F8"/>
    <w:rsid w:val="00D55B2D"/>
    <w:rsid w:val="00D571C3"/>
    <w:rsid w:val="00D57711"/>
    <w:rsid w:val="00D578FD"/>
    <w:rsid w:val="00D60237"/>
    <w:rsid w:val="00D624B9"/>
    <w:rsid w:val="00D63D3A"/>
    <w:rsid w:val="00D63DF6"/>
    <w:rsid w:val="00D63E7E"/>
    <w:rsid w:val="00D64310"/>
    <w:rsid w:val="00D64DED"/>
    <w:rsid w:val="00D6597C"/>
    <w:rsid w:val="00D65E55"/>
    <w:rsid w:val="00D66D15"/>
    <w:rsid w:val="00D67162"/>
    <w:rsid w:val="00D677F6"/>
    <w:rsid w:val="00D6790D"/>
    <w:rsid w:val="00D67EE2"/>
    <w:rsid w:val="00D707B3"/>
    <w:rsid w:val="00D710B1"/>
    <w:rsid w:val="00D73332"/>
    <w:rsid w:val="00D74C82"/>
    <w:rsid w:val="00D74D72"/>
    <w:rsid w:val="00D76445"/>
    <w:rsid w:val="00D770CE"/>
    <w:rsid w:val="00D777E3"/>
    <w:rsid w:val="00D8009B"/>
    <w:rsid w:val="00D80116"/>
    <w:rsid w:val="00D809D0"/>
    <w:rsid w:val="00D80F57"/>
    <w:rsid w:val="00D814CE"/>
    <w:rsid w:val="00D81BAE"/>
    <w:rsid w:val="00D82281"/>
    <w:rsid w:val="00D8259C"/>
    <w:rsid w:val="00D82B39"/>
    <w:rsid w:val="00D82F8E"/>
    <w:rsid w:val="00D83062"/>
    <w:rsid w:val="00D83805"/>
    <w:rsid w:val="00D83BCD"/>
    <w:rsid w:val="00D83BD3"/>
    <w:rsid w:val="00D84724"/>
    <w:rsid w:val="00D84A6C"/>
    <w:rsid w:val="00D84E12"/>
    <w:rsid w:val="00D85150"/>
    <w:rsid w:val="00D8552C"/>
    <w:rsid w:val="00D85939"/>
    <w:rsid w:val="00D8641E"/>
    <w:rsid w:val="00D867D5"/>
    <w:rsid w:val="00D86B85"/>
    <w:rsid w:val="00D879E6"/>
    <w:rsid w:val="00D87D86"/>
    <w:rsid w:val="00D90404"/>
    <w:rsid w:val="00D90718"/>
    <w:rsid w:val="00D90D80"/>
    <w:rsid w:val="00D91414"/>
    <w:rsid w:val="00D91484"/>
    <w:rsid w:val="00D9186D"/>
    <w:rsid w:val="00D91A84"/>
    <w:rsid w:val="00D92A88"/>
    <w:rsid w:val="00D9391D"/>
    <w:rsid w:val="00D939A1"/>
    <w:rsid w:val="00D93C78"/>
    <w:rsid w:val="00D93DB7"/>
    <w:rsid w:val="00D94314"/>
    <w:rsid w:val="00D943F0"/>
    <w:rsid w:val="00D9442A"/>
    <w:rsid w:val="00D94C65"/>
    <w:rsid w:val="00D95133"/>
    <w:rsid w:val="00D958A5"/>
    <w:rsid w:val="00D95D78"/>
    <w:rsid w:val="00D95F6E"/>
    <w:rsid w:val="00D96372"/>
    <w:rsid w:val="00D96945"/>
    <w:rsid w:val="00D96AE1"/>
    <w:rsid w:val="00D977AD"/>
    <w:rsid w:val="00D97CF9"/>
    <w:rsid w:val="00DA0EF9"/>
    <w:rsid w:val="00DA10BB"/>
    <w:rsid w:val="00DA139C"/>
    <w:rsid w:val="00DA2767"/>
    <w:rsid w:val="00DA4A8C"/>
    <w:rsid w:val="00DA5163"/>
    <w:rsid w:val="00DA5A77"/>
    <w:rsid w:val="00DA62AA"/>
    <w:rsid w:val="00DA643E"/>
    <w:rsid w:val="00DB07C1"/>
    <w:rsid w:val="00DB09C0"/>
    <w:rsid w:val="00DB0DA6"/>
    <w:rsid w:val="00DB2327"/>
    <w:rsid w:val="00DB2B13"/>
    <w:rsid w:val="00DB3C82"/>
    <w:rsid w:val="00DB43A8"/>
    <w:rsid w:val="00DB4616"/>
    <w:rsid w:val="00DB46C1"/>
    <w:rsid w:val="00DB483B"/>
    <w:rsid w:val="00DB545B"/>
    <w:rsid w:val="00DB5657"/>
    <w:rsid w:val="00DB5B36"/>
    <w:rsid w:val="00DB61C4"/>
    <w:rsid w:val="00DB629A"/>
    <w:rsid w:val="00DB6780"/>
    <w:rsid w:val="00DB679B"/>
    <w:rsid w:val="00DB6B42"/>
    <w:rsid w:val="00DB6D39"/>
    <w:rsid w:val="00DB742E"/>
    <w:rsid w:val="00DB7816"/>
    <w:rsid w:val="00DB7921"/>
    <w:rsid w:val="00DC0322"/>
    <w:rsid w:val="00DC1445"/>
    <w:rsid w:val="00DC1BEC"/>
    <w:rsid w:val="00DC2401"/>
    <w:rsid w:val="00DC257B"/>
    <w:rsid w:val="00DC2673"/>
    <w:rsid w:val="00DC314E"/>
    <w:rsid w:val="00DC3582"/>
    <w:rsid w:val="00DC3D3B"/>
    <w:rsid w:val="00DC4873"/>
    <w:rsid w:val="00DC563C"/>
    <w:rsid w:val="00DC56B6"/>
    <w:rsid w:val="00DC616A"/>
    <w:rsid w:val="00DC6845"/>
    <w:rsid w:val="00DC693C"/>
    <w:rsid w:val="00DC6DFC"/>
    <w:rsid w:val="00DC6E4F"/>
    <w:rsid w:val="00DC7B4A"/>
    <w:rsid w:val="00DC7CCB"/>
    <w:rsid w:val="00DD08EF"/>
    <w:rsid w:val="00DD136F"/>
    <w:rsid w:val="00DD26D3"/>
    <w:rsid w:val="00DD28DD"/>
    <w:rsid w:val="00DD2CBC"/>
    <w:rsid w:val="00DD4069"/>
    <w:rsid w:val="00DD516D"/>
    <w:rsid w:val="00DD62FF"/>
    <w:rsid w:val="00DD70EF"/>
    <w:rsid w:val="00DD72DE"/>
    <w:rsid w:val="00DE0247"/>
    <w:rsid w:val="00DE0C06"/>
    <w:rsid w:val="00DE10E6"/>
    <w:rsid w:val="00DE179B"/>
    <w:rsid w:val="00DE1D0B"/>
    <w:rsid w:val="00DE2DCE"/>
    <w:rsid w:val="00DE3F3E"/>
    <w:rsid w:val="00DE4CFF"/>
    <w:rsid w:val="00DE4EB4"/>
    <w:rsid w:val="00DE6CD3"/>
    <w:rsid w:val="00DE762F"/>
    <w:rsid w:val="00DE77DE"/>
    <w:rsid w:val="00DF0470"/>
    <w:rsid w:val="00DF10D4"/>
    <w:rsid w:val="00DF13AD"/>
    <w:rsid w:val="00DF1699"/>
    <w:rsid w:val="00DF1AB2"/>
    <w:rsid w:val="00DF1E70"/>
    <w:rsid w:val="00DF2B2C"/>
    <w:rsid w:val="00DF347D"/>
    <w:rsid w:val="00DF3AD1"/>
    <w:rsid w:val="00DF4717"/>
    <w:rsid w:val="00DF4E0F"/>
    <w:rsid w:val="00DF565E"/>
    <w:rsid w:val="00DF5A5D"/>
    <w:rsid w:val="00DF6363"/>
    <w:rsid w:val="00DF67A7"/>
    <w:rsid w:val="00DF6A53"/>
    <w:rsid w:val="00DF76CD"/>
    <w:rsid w:val="00DF77CE"/>
    <w:rsid w:val="00DF7C6B"/>
    <w:rsid w:val="00E000AB"/>
    <w:rsid w:val="00E01293"/>
    <w:rsid w:val="00E01349"/>
    <w:rsid w:val="00E0158D"/>
    <w:rsid w:val="00E019D7"/>
    <w:rsid w:val="00E01B5F"/>
    <w:rsid w:val="00E021AC"/>
    <w:rsid w:val="00E024C7"/>
    <w:rsid w:val="00E02CB6"/>
    <w:rsid w:val="00E03083"/>
    <w:rsid w:val="00E0335C"/>
    <w:rsid w:val="00E034C7"/>
    <w:rsid w:val="00E03982"/>
    <w:rsid w:val="00E05129"/>
    <w:rsid w:val="00E05A01"/>
    <w:rsid w:val="00E06174"/>
    <w:rsid w:val="00E10360"/>
    <w:rsid w:val="00E10D00"/>
    <w:rsid w:val="00E10DAA"/>
    <w:rsid w:val="00E10F07"/>
    <w:rsid w:val="00E112BD"/>
    <w:rsid w:val="00E115D4"/>
    <w:rsid w:val="00E1193F"/>
    <w:rsid w:val="00E13084"/>
    <w:rsid w:val="00E13940"/>
    <w:rsid w:val="00E145A0"/>
    <w:rsid w:val="00E15812"/>
    <w:rsid w:val="00E15869"/>
    <w:rsid w:val="00E15DF2"/>
    <w:rsid w:val="00E1636E"/>
    <w:rsid w:val="00E167ED"/>
    <w:rsid w:val="00E17373"/>
    <w:rsid w:val="00E17B53"/>
    <w:rsid w:val="00E200D7"/>
    <w:rsid w:val="00E215AF"/>
    <w:rsid w:val="00E217E5"/>
    <w:rsid w:val="00E21B77"/>
    <w:rsid w:val="00E2287D"/>
    <w:rsid w:val="00E2296E"/>
    <w:rsid w:val="00E233AA"/>
    <w:rsid w:val="00E23639"/>
    <w:rsid w:val="00E240D5"/>
    <w:rsid w:val="00E242A5"/>
    <w:rsid w:val="00E24B22"/>
    <w:rsid w:val="00E25772"/>
    <w:rsid w:val="00E25C39"/>
    <w:rsid w:val="00E25E41"/>
    <w:rsid w:val="00E26585"/>
    <w:rsid w:val="00E27D64"/>
    <w:rsid w:val="00E27DF3"/>
    <w:rsid w:val="00E3173C"/>
    <w:rsid w:val="00E31CA5"/>
    <w:rsid w:val="00E31E10"/>
    <w:rsid w:val="00E320F8"/>
    <w:rsid w:val="00E324B6"/>
    <w:rsid w:val="00E32D05"/>
    <w:rsid w:val="00E336A9"/>
    <w:rsid w:val="00E338F8"/>
    <w:rsid w:val="00E34611"/>
    <w:rsid w:val="00E34E77"/>
    <w:rsid w:val="00E35BA7"/>
    <w:rsid w:val="00E35FC0"/>
    <w:rsid w:val="00E36C1C"/>
    <w:rsid w:val="00E40096"/>
    <w:rsid w:val="00E401E4"/>
    <w:rsid w:val="00E4028D"/>
    <w:rsid w:val="00E40F60"/>
    <w:rsid w:val="00E41243"/>
    <w:rsid w:val="00E4151E"/>
    <w:rsid w:val="00E418D2"/>
    <w:rsid w:val="00E419D2"/>
    <w:rsid w:val="00E41B82"/>
    <w:rsid w:val="00E4271A"/>
    <w:rsid w:val="00E42968"/>
    <w:rsid w:val="00E42B08"/>
    <w:rsid w:val="00E42F93"/>
    <w:rsid w:val="00E43C6B"/>
    <w:rsid w:val="00E44089"/>
    <w:rsid w:val="00E440B7"/>
    <w:rsid w:val="00E45895"/>
    <w:rsid w:val="00E45D5E"/>
    <w:rsid w:val="00E4703B"/>
    <w:rsid w:val="00E470B0"/>
    <w:rsid w:val="00E5025A"/>
    <w:rsid w:val="00E50356"/>
    <w:rsid w:val="00E51301"/>
    <w:rsid w:val="00E51497"/>
    <w:rsid w:val="00E51B6E"/>
    <w:rsid w:val="00E52B5B"/>
    <w:rsid w:val="00E53160"/>
    <w:rsid w:val="00E53960"/>
    <w:rsid w:val="00E54B50"/>
    <w:rsid w:val="00E55439"/>
    <w:rsid w:val="00E55668"/>
    <w:rsid w:val="00E559C4"/>
    <w:rsid w:val="00E56C0D"/>
    <w:rsid w:val="00E56DE4"/>
    <w:rsid w:val="00E57080"/>
    <w:rsid w:val="00E570C3"/>
    <w:rsid w:val="00E5744D"/>
    <w:rsid w:val="00E5783A"/>
    <w:rsid w:val="00E607F3"/>
    <w:rsid w:val="00E6103C"/>
    <w:rsid w:val="00E6171E"/>
    <w:rsid w:val="00E61B82"/>
    <w:rsid w:val="00E61E47"/>
    <w:rsid w:val="00E6260C"/>
    <w:rsid w:val="00E62C25"/>
    <w:rsid w:val="00E63059"/>
    <w:rsid w:val="00E63ABD"/>
    <w:rsid w:val="00E63F10"/>
    <w:rsid w:val="00E63F15"/>
    <w:rsid w:val="00E646AA"/>
    <w:rsid w:val="00E65236"/>
    <w:rsid w:val="00E65755"/>
    <w:rsid w:val="00E65A0E"/>
    <w:rsid w:val="00E666FD"/>
    <w:rsid w:val="00E66C89"/>
    <w:rsid w:val="00E67ABC"/>
    <w:rsid w:val="00E67ECB"/>
    <w:rsid w:val="00E70933"/>
    <w:rsid w:val="00E70F28"/>
    <w:rsid w:val="00E7100C"/>
    <w:rsid w:val="00E71A3D"/>
    <w:rsid w:val="00E72641"/>
    <w:rsid w:val="00E7282E"/>
    <w:rsid w:val="00E72C05"/>
    <w:rsid w:val="00E73144"/>
    <w:rsid w:val="00E7512E"/>
    <w:rsid w:val="00E751D9"/>
    <w:rsid w:val="00E75FCA"/>
    <w:rsid w:val="00E767CE"/>
    <w:rsid w:val="00E76BB4"/>
    <w:rsid w:val="00E807F3"/>
    <w:rsid w:val="00E81302"/>
    <w:rsid w:val="00E8151F"/>
    <w:rsid w:val="00E81CCB"/>
    <w:rsid w:val="00E824CD"/>
    <w:rsid w:val="00E827CC"/>
    <w:rsid w:val="00E83321"/>
    <w:rsid w:val="00E83727"/>
    <w:rsid w:val="00E83A95"/>
    <w:rsid w:val="00E83C13"/>
    <w:rsid w:val="00E840B6"/>
    <w:rsid w:val="00E8453A"/>
    <w:rsid w:val="00E857D2"/>
    <w:rsid w:val="00E861B5"/>
    <w:rsid w:val="00E86549"/>
    <w:rsid w:val="00E86D03"/>
    <w:rsid w:val="00E87718"/>
    <w:rsid w:val="00E90790"/>
    <w:rsid w:val="00E909AA"/>
    <w:rsid w:val="00E90B76"/>
    <w:rsid w:val="00E91080"/>
    <w:rsid w:val="00E91A2F"/>
    <w:rsid w:val="00E91B9D"/>
    <w:rsid w:val="00E91CF0"/>
    <w:rsid w:val="00E92119"/>
    <w:rsid w:val="00E94D3C"/>
    <w:rsid w:val="00E95AB0"/>
    <w:rsid w:val="00E969D9"/>
    <w:rsid w:val="00E96BA8"/>
    <w:rsid w:val="00E96C35"/>
    <w:rsid w:val="00E96F8B"/>
    <w:rsid w:val="00E97934"/>
    <w:rsid w:val="00EA043A"/>
    <w:rsid w:val="00EA1328"/>
    <w:rsid w:val="00EA232F"/>
    <w:rsid w:val="00EA2B85"/>
    <w:rsid w:val="00EA2E4D"/>
    <w:rsid w:val="00EA44E9"/>
    <w:rsid w:val="00EA4660"/>
    <w:rsid w:val="00EA46C8"/>
    <w:rsid w:val="00EA4D4B"/>
    <w:rsid w:val="00EA545F"/>
    <w:rsid w:val="00EA56DE"/>
    <w:rsid w:val="00EA5F51"/>
    <w:rsid w:val="00EA63E0"/>
    <w:rsid w:val="00EA6B16"/>
    <w:rsid w:val="00EA6C4C"/>
    <w:rsid w:val="00EA6C62"/>
    <w:rsid w:val="00EA6FD5"/>
    <w:rsid w:val="00EA7126"/>
    <w:rsid w:val="00EA71C2"/>
    <w:rsid w:val="00EA77CF"/>
    <w:rsid w:val="00EA7AAD"/>
    <w:rsid w:val="00EB0216"/>
    <w:rsid w:val="00EB0A02"/>
    <w:rsid w:val="00EB0D24"/>
    <w:rsid w:val="00EB134E"/>
    <w:rsid w:val="00EB1DB3"/>
    <w:rsid w:val="00EB22BE"/>
    <w:rsid w:val="00EB2FA5"/>
    <w:rsid w:val="00EB35B6"/>
    <w:rsid w:val="00EB45DA"/>
    <w:rsid w:val="00EB49EF"/>
    <w:rsid w:val="00EB4B6D"/>
    <w:rsid w:val="00EB4C98"/>
    <w:rsid w:val="00EB4E0D"/>
    <w:rsid w:val="00EB5249"/>
    <w:rsid w:val="00EB671A"/>
    <w:rsid w:val="00EB68B6"/>
    <w:rsid w:val="00EB69E3"/>
    <w:rsid w:val="00EB6AB1"/>
    <w:rsid w:val="00EB7056"/>
    <w:rsid w:val="00EB752D"/>
    <w:rsid w:val="00EB78CD"/>
    <w:rsid w:val="00EC05C0"/>
    <w:rsid w:val="00EC0925"/>
    <w:rsid w:val="00EC1B30"/>
    <w:rsid w:val="00EC1EF3"/>
    <w:rsid w:val="00EC3BA5"/>
    <w:rsid w:val="00EC40B9"/>
    <w:rsid w:val="00EC6497"/>
    <w:rsid w:val="00EC6CA7"/>
    <w:rsid w:val="00ED0A78"/>
    <w:rsid w:val="00ED0A92"/>
    <w:rsid w:val="00ED0BF6"/>
    <w:rsid w:val="00ED11E5"/>
    <w:rsid w:val="00ED2507"/>
    <w:rsid w:val="00ED2585"/>
    <w:rsid w:val="00ED378E"/>
    <w:rsid w:val="00ED3BEA"/>
    <w:rsid w:val="00ED3D86"/>
    <w:rsid w:val="00ED42DA"/>
    <w:rsid w:val="00ED5F20"/>
    <w:rsid w:val="00ED6A4D"/>
    <w:rsid w:val="00ED76E4"/>
    <w:rsid w:val="00EE0269"/>
    <w:rsid w:val="00EE0D7A"/>
    <w:rsid w:val="00EE1138"/>
    <w:rsid w:val="00EE12F9"/>
    <w:rsid w:val="00EE1347"/>
    <w:rsid w:val="00EE18BF"/>
    <w:rsid w:val="00EE1B26"/>
    <w:rsid w:val="00EE299F"/>
    <w:rsid w:val="00EE318E"/>
    <w:rsid w:val="00EE3280"/>
    <w:rsid w:val="00EE33BD"/>
    <w:rsid w:val="00EE3C1F"/>
    <w:rsid w:val="00EE4CD8"/>
    <w:rsid w:val="00EE4DA5"/>
    <w:rsid w:val="00EE4DEE"/>
    <w:rsid w:val="00EE50CB"/>
    <w:rsid w:val="00EE543C"/>
    <w:rsid w:val="00EE56EC"/>
    <w:rsid w:val="00EE71E9"/>
    <w:rsid w:val="00EE78F8"/>
    <w:rsid w:val="00EE7B5D"/>
    <w:rsid w:val="00EE7C17"/>
    <w:rsid w:val="00EF05D2"/>
    <w:rsid w:val="00EF0E4B"/>
    <w:rsid w:val="00EF1057"/>
    <w:rsid w:val="00EF13AD"/>
    <w:rsid w:val="00EF1E78"/>
    <w:rsid w:val="00EF32AE"/>
    <w:rsid w:val="00EF40EC"/>
    <w:rsid w:val="00EF4155"/>
    <w:rsid w:val="00EF5236"/>
    <w:rsid w:val="00EF6166"/>
    <w:rsid w:val="00EF6328"/>
    <w:rsid w:val="00EF63B3"/>
    <w:rsid w:val="00EF69B6"/>
    <w:rsid w:val="00EF6A58"/>
    <w:rsid w:val="00EF6E4F"/>
    <w:rsid w:val="00EF6F92"/>
    <w:rsid w:val="00EF7A2C"/>
    <w:rsid w:val="00EF7B68"/>
    <w:rsid w:val="00F003FA"/>
    <w:rsid w:val="00F00AC5"/>
    <w:rsid w:val="00F00C39"/>
    <w:rsid w:val="00F017BA"/>
    <w:rsid w:val="00F0187F"/>
    <w:rsid w:val="00F01C35"/>
    <w:rsid w:val="00F026EC"/>
    <w:rsid w:val="00F02FE0"/>
    <w:rsid w:val="00F03259"/>
    <w:rsid w:val="00F03520"/>
    <w:rsid w:val="00F039E5"/>
    <w:rsid w:val="00F03BDD"/>
    <w:rsid w:val="00F05362"/>
    <w:rsid w:val="00F05818"/>
    <w:rsid w:val="00F05C57"/>
    <w:rsid w:val="00F06A6B"/>
    <w:rsid w:val="00F07080"/>
    <w:rsid w:val="00F07479"/>
    <w:rsid w:val="00F077A4"/>
    <w:rsid w:val="00F07C75"/>
    <w:rsid w:val="00F10B61"/>
    <w:rsid w:val="00F112BB"/>
    <w:rsid w:val="00F11D31"/>
    <w:rsid w:val="00F123DC"/>
    <w:rsid w:val="00F12A0D"/>
    <w:rsid w:val="00F13177"/>
    <w:rsid w:val="00F142E1"/>
    <w:rsid w:val="00F14482"/>
    <w:rsid w:val="00F148A6"/>
    <w:rsid w:val="00F14DED"/>
    <w:rsid w:val="00F1577C"/>
    <w:rsid w:val="00F159B2"/>
    <w:rsid w:val="00F1628E"/>
    <w:rsid w:val="00F1671E"/>
    <w:rsid w:val="00F16E99"/>
    <w:rsid w:val="00F16EE5"/>
    <w:rsid w:val="00F1727F"/>
    <w:rsid w:val="00F20047"/>
    <w:rsid w:val="00F20229"/>
    <w:rsid w:val="00F2073A"/>
    <w:rsid w:val="00F210C8"/>
    <w:rsid w:val="00F21112"/>
    <w:rsid w:val="00F214FD"/>
    <w:rsid w:val="00F232F8"/>
    <w:rsid w:val="00F23BA4"/>
    <w:rsid w:val="00F23E0A"/>
    <w:rsid w:val="00F24491"/>
    <w:rsid w:val="00F24B5F"/>
    <w:rsid w:val="00F25D95"/>
    <w:rsid w:val="00F26F8A"/>
    <w:rsid w:val="00F27664"/>
    <w:rsid w:val="00F27768"/>
    <w:rsid w:val="00F27F21"/>
    <w:rsid w:val="00F27FEE"/>
    <w:rsid w:val="00F30158"/>
    <w:rsid w:val="00F30969"/>
    <w:rsid w:val="00F30BED"/>
    <w:rsid w:val="00F318F3"/>
    <w:rsid w:val="00F31F9E"/>
    <w:rsid w:val="00F32DC5"/>
    <w:rsid w:val="00F33F25"/>
    <w:rsid w:val="00F33FE5"/>
    <w:rsid w:val="00F340ED"/>
    <w:rsid w:val="00F34AE0"/>
    <w:rsid w:val="00F35684"/>
    <w:rsid w:val="00F35997"/>
    <w:rsid w:val="00F37291"/>
    <w:rsid w:val="00F375F8"/>
    <w:rsid w:val="00F37AAE"/>
    <w:rsid w:val="00F37CE5"/>
    <w:rsid w:val="00F40396"/>
    <w:rsid w:val="00F40538"/>
    <w:rsid w:val="00F410D4"/>
    <w:rsid w:val="00F415A9"/>
    <w:rsid w:val="00F416A6"/>
    <w:rsid w:val="00F41B56"/>
    <w:rsid w:val="00F41CF5"/>
    <w:rsid w:val="00F42053"/>
    <w:rsid w:val="00F43C79"/>
    <w:rsid w:val="00F43D03"/>
    <w:rsid w:val="00F43E1F"/>
    <w:rsid w:val="00F443D2"/>
    <w:rsid w:val="00F4493B"/>
    <w:rsid w:val="00F4497F"/>
    <w:rsid w:val="00F460DD"/>
    <w:rsid w:val="00F464F2"/>
    <w:rsid w:val="00F466B1"/>
    <w:rsid w:val="00F4695E"/>
    <w:rsid w:val="00F473CB"/>
    <w:rsid w:val="00F47FE2"/>
    <w:rsid w:val="00F50C10"/>
    <w:rsid w:val="00F50CF2"/>
    <w:rsid w:val="00F512BF"/>
    <w:rsid w:val="00F52005"/>
    <w:rsid w:val="00F526FF"/>
    <w:rsid w:val="00F52961"/>
    <w:rsid w:val="00F530DC"/>
    <w:rsid w:val="00F531C5"/>
    <w:rsid w:val="00F5359E"/>
    <w:rsid w:val="00F5369A"/>
    <w:rsid w:val="00F53B86"/>
    <w:rsid w:val="00F5429C"/>
    <w:rsid w:val="00F54B58"/>
    <w:rsid w:val="00F54B93"/>
    <w:rsid w:val="00F54C7D"/>
    <w:rsid w:val="00F54E37"/>
    <w:rsid w:val="00F556C3"/>
    <w:rsid w:val="00F55B04"/>
    <w:rsid w:val="00F5617A"/>
    <w:rsid w:val="00F576E7"/>
    <w:rsid w:val="00F57AD6"/>
    <w:rsid w:val="00F60265"/>
    <w:rsid w:val="00F60C7F"/>
    <w:rsid w:val="00F60EA7"/>
    <w:rsid w:val="00F610FF"/>
    <w:rsid w:val="00F6151B"/>
    <w:rsid w:val="00F61660"/>
    <w:rsid w:val="00F62209"/>
    <w:rsid w:val="00F62DE1"/>
    <w:rsid w:val="00F64CE7"/>
    <w:rsid w:val="00F64D23"/>
    <w:rsid w:val="00F660E8"/>
    <w:rsid w:val="00F6614C"/>
    <w:rsid w:val="00F66188"/>
    <w:rsid w:val="00F67AB8"/>
    <w:rsid w:val="00F70530"/>
    <w:rsid w:val="00F706E4"/>
    <w:rsid w:val="00F70808"/>
    <w:rsid w:val="00F71C75"/>
    <w:rsid w:val="00F72572"/>
    <w:rsid w:val="00F7306C"/>
    <w:rsid w:val="00F733DC"/>
    <w:rsid w:val="00F73A6D"/>
    <w:rsid w:val="00F73C99"/>
    <w:rsid w:val="00F7472B"/>
    <w:rsid w:val="00F7570D"/>
    <w:rsid w:val="00F75861"/>
    <w:rsid w:val="00F75ADE"/>
    <w:rsid w:val="00F75D03"/>
    <w:rsid w:val="00F76765"/>
    <w:rsid w:val="00F76B99"/>
    <w:rsid w:val="00F772BD"/>
    <w:rsid w:val="00F77718"/>
    <w:rsid w:val="00F77BA0"/>
    <w:rsid w:val="00F800A7"/>
    <w:rsid w:val="00F8023A"/>
    <w:rsid w:val="00F8044E"/>
    <w:rsid w:val="00F8053F"/>
    <w:rsid w:val="00F807FC"/>
    <w:rsid w:val="00F80CBC"/>
    <w:rsid w:val="00F80D9A"/>
    <w:rsid w:val="00F81AE3"/>
    <w:rsid w:val="00F828C9"/>
    <w:rsid w:val="00F82A00"/>
    <w:rsid w:val="00F831FB"/>
    <w:rsid w:val="00F847CD"/>
    <w:rsid w:val="00F84A80"/>
    <w:rsid w:val="00F85A19"/>
    <w:rsid w:val="00F86A20"/>
    <w:rsid w:val="00F8721B"/>
    <w:rsid w:val="00F87E1A"/>
    <w:rsid w:val="00F903A6"/>
    <w:rsid w:val="00F9089A"/>
    <w:rsid w:val="00F909B2"/>
    <w:rsid w:val="00F909E9"/>
    <w:rsid w:val="00F90B0F"/>
    <w:rsid w:val="00F90B1E"/>
    <w:rsid w:val="00F910F1"/>
    <w:rsid w:val="00F91153"/>
    <w:rsid w:val="00F91499"/>
    <w:rsid w:val="00F92A60"/>
    <w:rsid w:val="00F93432"/>
    <w:rsid w:val="00F93A2B"/>
    <w:rsid w:val="00F93C33"/>
    <w:rsid w:val="00F94AA9"/>
    <w:rsid w:val="00F95247"/>
    <w:rsid w:val="00F954FE"/>
    <w:rsid w:val="00F96FCE"/>
    <w:rsid w:val="00F974E6"/>
    <w:rsid w:val="00F975AC"/>
    <w:rsid w:val="00FA1D9B"/>
    <w:rsid w:val="00FA25E6"/>
    <w:rsid w:val="00FA3255"/>
    <w:rsid w:val="00FA3D76"/>
    <w:rsid w:val="00FA451F"/>
    <w:rsid w:val="00FA4D2D"/>
    <w:rsid w:val="00FA6006"/>
    <w:rsid w:val="00FA60EA"/>
    <w:rsid w:val="00FA66D0"/>
    <w:rsid w:val="00FA6702"/>
    <w:rsid w:val="00FA6DA9"/>
    <w:rsid w:val="00FA79A8"/>
    <w:rsid w:val="00FB0D4D"/>
    <w:rsid w:val="00FB0E24"/>
    <w:rsid w:val="00FB14F1"/>
    <w:rsid w:val="00FB195D"/>
    <w:rsid w:val="00FB2DEE"/>
    <w:rsid w:val="00FB2E8F"/>
    <w:rsid w:val="00FB3BD3"/>
    <w:rsid w:val="00FB421B"/>
    <w:rsid w:val="00FB4686"/>
    <w:rsid w:val="00FB47C5"/>
    <w:rsid w:val="00FB4AB8"/>
    <w:rsid w:val="00FB54B9"/>
    <w:rsid w:val="00FB5558"/>
    <w:rsid w:val="00FB576A"/>
    <w:rsid w:val="00FB64CB"/>
    <w:rsid w:val="00FB761B"/>
    <w:rsid w:val="00FB7819"/>
    <w:rsid w:val="00FB7FAD"/>
    <w:rsid w:val="00FC0E74"/>
    <w:rsid w:val="00FC1770"/>
    <w:rsid w:val="00FC17C6"/>
    <w:rsid w:val="00FC1C72"/>
    <w:rsid w:val="00FC26D1"/>
    <w:rsid w:val="00FC28FE"/>
    <w:rsid w:val="00FC2DD0"/>
    <w:rsid w:val="00FC38BB"/>
    <w:rsid w:val="00FC39A0"/>
    <w:rsid w:val="00FC3E40"/>
    <w:rsid w:val="00FC3EBF"/>
    <w:rsid w:val="00FC47B9"/>
    <w:rsid w:val="00FC4A96"/>
    <w:rsid w:val="00FC5160"/>
    <w:rsid w:val="00FC5E88"/>
    <w:rsid w:val="00FC6027"/>
    <w:rsid w:val="00FC6D37"/>
    <w:rsid w:val="00FC6E31"/>
    <w:rsid w:val="00FC706F"/>
    <w:rsid w:val="00FC77BE"/>
    <w:rsid w:val="00FC7AA8"/>
    <w:rsid w:val="00FD15EE"/>
    <w:rsid w:val="00FD231D"/>
    <w:rsid w:val="00FD34C4"/>
    <w:rsid w:val="00FD3CD1"/>
    <w:rsid w:val="00FD492E"/>
    <w:rsid w:val="00FD4C65"/>
    <w:rsid w:val="00FD4C71"/>
    <w:rsid w:val="00FD4E33"/>
    <w:rsid w:val="00FD4FB7"/>
    <w:rsid w:val="00FD536E"/>
    <w:rsid w:val="00FD5E0E"/>
    <w:rsid w:val="00FD6437"/>
    <w:rsid w:val="00FD668C"/>
    <w:rsid w:val="00FD6A2D"/>
    <w:rsid w:val="00FD784D"/>
    <w:rsid w:val="00FD7A06"/>
    <w:rsid w:val="00FD7D0F"/>
    <w:rsid w:val="00FE0097"/>
    <w:rsid w:val="00FE055A"/>
    <w:rsid w:val="00FE1235"/>
    <w:rsid w:val="00FE16A7"/>
    <w:rsid w:val="00FE19E6"/>
    <w:rsid w:val="00FE2137"/>
    <w:rsid w:val="00FE2409"/>
    <w:rsid w:val="00FE26C8"/>
    <w:rsid w:val="00FE33E7"/>
    <w:rsid w:val="00FE3DEB"/>
    <w:rsid w:val="00FE45CF"/>
    <w:rsid w:val="00FE4CC0"/>
    <w:rsid w:val="00FE5273"/>
    <w:rsid w:val="00FE53D5"/>
    <w:rsid w:val="00FE5FE5"/>
    <w:rsid w:val="00FE616A"/>
    <w:rsid w:val="00FE6CAC"/>
    <w:rsid w:val="00FE7122"/>
    <w:rsid w:val="00FE7C31"/>
    <w:rsid w:val="00FE7C68"/>
    <w:rsid w:val="00FF00CD"/>
    <w:rsid w:val="00FF022F"/>
    <w:rsid w:val="00FF0277"/>
    <w:rsid w:val="00FF062D"/>
    <w:rsid w:val="00FF0718"/>
    <w:rsid w:val="00FF0FF6"/>
    <w:rsid w:val="00FF10B3"/>
    <w:rsid w:val="00FF1509"/>
    <w:rsid w:val="00FF1D60"/>
    <w:rsid w:val="00FF24C3"/>
    <w:rsid w:val="00FF25D6"/>
    <w:rsid w:val="00FF3A95"/>
    <w:rsid w:val="00FF4198"/>
    <w:rsid w:val="00FF4B31"/>
    <w:rsid w:val="00FF5247"/>
    <w:rsid w:val="00FF5B6F"/>
    <w:rsid w:val="00FF5EDD"/>
    <w:rsid w:val="00FF6548"/>
    <w:rsid w:val="00FF76C7"/>
    <w:rsid w:val="00FF779C"/>
    <w:rsid w:val="02021C0E"/>
    <w:rsid w:val="02D3DD3D"/>
    <w:rsid w:val="03910908"/>
    <w:rsid w:val="04725541"/>
    <w:rsid w:val="04CC330C"/>
    <w:rsid w:val="066FC1E5"/>
    <w:rsid w:val="07FE9B1B"/>
    <w:rsid w:val="0970B293"/>
    <w:rsid w:val="097281E8"/>
    <w:rsid w:val="099A229C"/>
    <w:rsid w:val="09AC3E53"/>
    <w:rsid w:val="0A0D2DF3"/>
    <w:rsid w:val="0A54D598"/>
    <w:rsid w:val="0B4847FE"/>
    <w:rsid w:val="0D4CBC3B"/>
    <w:rsid w:val="0E3891A8"/>
    <w:rsid w:val="0E63DEEC"/>
    <w:rsid w:val="0EE09F16"/>
    <w:rsid w:val="123C379F"/>
    <w:rsid w:val="125C36D2"/>
    <w:rsid w:val="138D2233"/>
    <w:rsid w:val="142DCC2B"/>
    <w:rsid w:val="14C6B26D"/>
    <w:rsid w:val="15509740"/>
    <w:rsid w:val="176176D2"/>
    <w:rsid w:val="180E877C"/>
    <w:rsid w:val="1988F5EE"/>
    <w:rsid w:val="1A2B3F43"/>
    <w:rsid w:val="1AA3F86A"/>
    <w:rsid w:val="1AF108EC"/>
    <w:rsid w:val="1B4F1AC6"/>
    <w:rsid w:val="1B71E471"/>
    <w:rsid w:val="1D02C0F2"/>
    <w:rsid w:val="1D0C7C39"/>
    <w:rsid w:val="1D62E005"/>
    <w:rsid w:val="1FB8D554"/>
    <w:rsid w:val="204BC326"/>
    <w:rsid w:val="2097D8FB"/>
    <w:rsid w:val="209A80C7"/>
    <w:rsid w:val="2146DCAF"/>
    <w:rsid w:val="2195AA40"/>
    <w:rsid w:val="21D7CFBD"/>
    <w:rsid w:val="242F2292"/>
    <w:rsid w:val="26272781"/>
    <w:rsid w:val="266739B9"/>
    <w:rsid w:val="26EB0899"/>
    <w:rsid w:val="26F7DEA7"/>
    <w:rsid w:val="28E95AAB"/>
    <w:rsid w:val="2900D843"/>
    <w:rsid w:val="298E99A6"/>
    <w:rsid w:val="29A13E36"/>
    <w:rsid w:val="2B1BFDA3"/>
    <w:rsid w:val="2E742F13"/>
    <w:rsid w:val="2F0DA970"/>
    <w:rsid w:val="2F62E3E3"/>
    <w:rsid w:val="30C20B9A"/>
    <w:rsid w:val="30D6E7DD"/>
    <w:rsid w:val="310A6B90"/>
    <w:rsid w:val="318B3F27"/>
    <w:rsid w:val="3231852A"/>
    <w:rsid w:val="3241476D"/>
    <w:rsid w:val="330DE72B"/>
    <w:rsid w:val="34C2DFE9"/>
    <w:rsid w:val="3624319E"/>
    <w:rsid w:val="3657B2D6"/>
    <w:rsid w:val="381F81B1"/>
    <w:rsid w:val="39010D45"/>
    <w:rsid w:val="3AA96A71"/>
    <w:rsid w:val="3B2D5896"/>
    <w:rsid w:val="3C4C3286"/>
    <w:rsid w:val="3D0FBD1B"/>
    <w:rsid w:val="3D4F6B14"/>
    <w:rsid w:val="3D5BA86E"/>
    <w:rsid w:val="3E2525B0"/>
    <w:rsid w:val="3E3DEE80"/>
    <w:rsid w:val="3EA49066"/>
    <w:rsid w:val="3EA6284F"/>
    <w:rsid w:val="3FF0A446"/>
    <w:rsid w:val="405A30C6"/>
    <w:rsid w:val="405E8B17"/>
    <w:rsid w:val="42611CFC"/>
    <w:rsid w:val="429A1FFB"/>
    <w:rsid w:val="449EDC17"/>
    <w:rsid w:val="44D905AB"/>
    <w:rsid w:val="47F430D0"/>
    <w:rsid w:val="485267D2"/>
    <w:rsid w:val="487F48FA"/>
    <w:rsid w:val="4987BEAE"/>
    <w:rsid w:val="498FFB06"/>
    <w:rsid w:val="4A406D3D"/>
    <w:rsid w:val="4A7DEA02"/>
    <w:rsid w:val="4BA1C5F2"/>
    <w:rsid w:val="4E557163"/>
    <w:rsid w:val="4E5FE3D4"/>
    <w:rsid w:val="4E747636"/>
    <w:rsid w:val="4F74F164"/>
    <w:rsid w:val="50E6BEB6"/>
    <w:rsid w:val="5104B67E"/>
    <w:rsid w:val="5197EE95"/>
    <w:rsid w:val="5251FD88"/>
    <w:rsid w:val="53C920BC"/>
    <w:rsid w:val="549A11D2"/>
    <w:rsid w:val="565C0E91"/>
    <w:rsid w:val="576C3BD5"/>
    <w:rsid w:val="57F9662C"/>
    <w:rsid w:val="58E901BE"/>
    <w:rsid w:val="5A2DEEEB"/>
    <w:rsid w:val="5AB31E67"/>
    <w:rsid w:val="5BC5F6D4"/>
    <w:rsid w:val="5C7C1AA2"/>
    <w:rsid w:val="5C88639F"/>
    <w:rsid w:val="5DF7D672"/>
    <w:rsid w:val="5FE9062A"/>
    <w:rsid w:val="60009B8A"/>
    <w:rsid w:val="602BC23F"/>
    <w:rsid w:val="62165510"/>
    <w:rsid w:val="628F6C62"/>
    <w:rsid w:val="62970A44"/>
    <w:rsid w:val="63810A29"/>
    <w:rsid w:val="654DE3E8"/>
    <w:rsid w:val="65E049EB"/>
    <w:rsid w:val="68462367"/>
    <w:rsid w:val="68AD4B5F"/>
    <w:rsid w:val="6A4A1ABC"/>
    <w:rsid w:val="6A502E19"/>
    <w:rsid w:val="6B14D3F7"/>
    <w:rsid w:val="6B72E342"/>
    <w:rsid w:val="6B8047AD"/>
    <w:rsid w:val="6D489154"/>
    <w:rsid w:val="6DF1D7E2"/>
    <w:rsid w:val="6E937BD0"/>
    <w:rsid w:val="6FBCAF76"/>
    <w:rsid w:val="71CAF211"/>
    <w:rsid w:val="727049A6"/>
    <w:rsid w:val="73A0F101"/>
    <w:rsid w:val="73F97411"/>
    <w:rsid w:val="77936C60"/>
    <w:rsid w:val="77BFB3CD"/>
    <w:rsid w:val="781019AF"/>
    <w:rsid w:val="7B3AB0E7"/>
    <w:rsid w:val="7C05C098"/>
    <w:rsid w:val="7DC4910D"/>
    <w:rsid w:val="7E4BFA67"/>
    <w:rsid w:val="7E9F4664"/>
    <w:rsid w:val="7F4CA86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3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68C"/>
    <w:pPr>
      <w:spacing w:after="200" w:line="276" w:lineRule="auto"/>
    </w:pPr>
    <w:rPr>
      <w:rFonts w:ascii="Calibri" w:eastAsia="Calibri" w:hAnsi="Calibri" w:cs="Times New Roman"/>
    </w:rPr>
  </w:style>
  <w:style w:type="paragraph" w:styleId="Heading1">
    <w:name w:val="heading 1"/>
    <w:basedOn w:val="Heading10"/>
    <w:next w:val="Normal"/>
    <w:link w:val="Heading1Char"/>
    <w:uiPriority w:val="9"/>
    <w:qFormat/>
    <w:rsid w:val="008C4B3C"/>
    <w:pPr>
      <w:spacing w:before="1000"/>
      <w:jc w:val="center"/>
      <w:outlineLvl w:val="0"/>
    </w:pPr>
    <w:rPr>
      <w:sz w:val="72"/>
      <w:szCs w:val="72"/>
    </w:rPr>
  </w:style>
  <w:style w:type="paragraph" w:styleId="Heading2">
    <w:name w:val="heading 2"/>
    <w:basedOn w:val="Normal"/>
    <w:next w:val="Normal"/>
    <w:link w:val="Heading2Char"/>
    <w:uiPriority w:val="9"/>
    <w:unhideWhenUsed/>
    <w:qFormat/>
    <w:rsid w:val="004C7458"/>
    <w:pPr>
      <w:keepNext/>
      <w:keepLines/>
      <w:tabs>
        <w:tab w:val="left" w:pos="1701"/>
      </w:tabs>
      <w:spacing w:before="360" w:after="120" w:line="240" w:lineRule="auto"/>
      <w:outlineLvl w:val="1"/>
    </w:pPr>
    <w:rPr>
      <w:rFonts w:ascii="Franklin Gothic Medium" w:eastAsiaTheme="majorEastAsia" w:hAnsi="Franklin Gothic Medium" w:cstheme="majorBidi"/>
      <w:color w:val="000000" w:themeColor="text1"/>
      <w:sz w:val="32"/>
      <w:szCs w:val="26"/>
    </w:rPr>
  </w:style>
  <w:style w:type="paragraph" w:styleId="Heading3">
    <w:name w:val="heading 3"/>
    <w:basedOn w:val="Heading2"/>
    <w:next w:val="Normal"/>
    <w:link w:val="Heading3Char"/>
    <w:uiPriority w:val="9"/>
    <w:unhideWhenUsed/>
    <w:qFormat/>
    <w:rsid w:val="00713728"/>
    <w:pPr>
      <w:tabs>
        <w:tab w:val="clear" w:pos="1701"/>
      </w:tabs>
      <w:spacing w:line="276" w:lineRule="auto"/>
      <w:outlineLvl w:val="2"/>
    </w:pPr>
    <w:rPr>
      <w:rFonts w:ascii="Calibri" w:eastAsia="MS Gothic" w:hAnsi="Calibri" w:cs="Times New Roman"/>
      <w:b/>
      <w:bCs/>
      <w:i/>
      <w:color w:val="auto"/>
      <w:sz w:val="24"/>
      <w:szCs w:val="24"/>
    </w:rPr>
  </w:style>
  <w:style w:type="paragraph" w:styleId="Heading4">
    <w:name w:val="heading 4"/>
    <w:basedOn w:val="Normal"/>
    <w:next w:val="Normal"/>
    <w:link w:val="Heading4Char"/>
    <w:uiPriority w:val="9"/>
    <w:unhideWhenUsed/>
    <w:qFormat/>
    <w:rsid w:val="00E2287D"/>
    <w:pPr>
      <w:keepNext/>
      <w:keepLines/>
      <w:spacing w:before="40" w:after="0"/>
      <w:outlineLvl w:val="3"/>
    </w:pPr>
    <w:rPr>
      <w:rFonts w:asciiTheme="majorHAnsi" w:eastAsiaTheme="majorEastAsia" w:hAnsiTheme="majorHAnsi" w:cstheme="majorBidi"/>
      <w:i/>
      <w:iCs/>
      <w:color w:val="002060"/>
    </w:rPr>
  </w:style>
  <w:style w:type="paragraph" w:styleId="Heading5">
    <w:name w:val="heading 5"/>
    <w:basedOn w:val="Normal"/>
    <w:next w:val="Normal"/>
    <w:link w:val="Heading5Char"/>
    <w:uiPriority w:val="9"/>
    <w:unhideWhenUsed/>
    <w:qFormat/>
    <w:rsid w:val="00732D5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E7"/>
    <w:rPr>
      <w:rFonts w:ascii="Times New Roman" w:hAnsi="Times New Roman" w:cs="Times New Roman" w:hint="default"/>
      <w:color w:val="0000FF"/>
      <w:u w:val="single"/>
    </w:rPr>
  </w:style>
  <w:style w:type="paragraph" w:customStyle="1" w:styleId="Heading10">
    <w:name w:val="Heading1"/>
    <w:rsid w:val="006478E7"/>
    <w:pPr>
      <w:spacing w:after="200" w:line="240" w:lineRule="auto"/>
    </w:pPr>
    <w:rPr>
      <w:rFonts w:ascii="Calibri" w:eastAsia="Calibri" w:hAnsi="Calibri" w:cs="Calibri"/>
      <w:b/>
      <w:bCs/>
      <w:color w:val="000000"/>
      <w:sz w:val="36"/>
      <w:szCs w:val="36"/>
      <w:u w:color="000000"/>
      <w:lang w:val="en-US" w:eastAsia="en-AU"/>
    </w:rPr>
  </w:style>
  <w:style w:type="character" w:customStyle="1" w:styleId="Heading2Char">
    <w:name w:val="Heading 2 Char"/>
    <w:basedOn w:val="DefaultParagraphFont"/>
    <w:link w:val="Heading2"/>
    <w:uiPriority w:val="9"/>
    <w:rsid w:val="004C7458"/>
    <w:rPr>
      <w:rFonts w:ascii="Franklin Gothic Medium" w:eastAsiaTheme="majorEastAsia" w:hAnsi="Franklin Gothic Medium" w:cstheme="majorBidi"/>
      <w:color w:val="000000" w:themeColor="text1"/>
      <w:sz w:val="32"/>
      <w:szCs w:val="26"/>
    </w:rPr>
  </w:style>
  <w:style w:type="table" w:customStyle="1" w:styleId="TableGrid1">
    <w:name w:val="Table Grid1"/>
    <w:basedOn w:val="TableNormal"/>
    <w:uiPriority w:val="59"/>
    <w:rsid w:val="006478E7"/>
    <w:pPr>
      <w:spacing w:after="240" w:line="240" w:lineRule="auto"/>
      <w:ind w:left="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478E7"/>
    <w:pPr>
      <w:ind w:left="720"/>
      <w:contextualSpacing/>
    </w:pPr>
  </w:style>
  <w:style w:type="table" w:styleId="TableGrid">
    <w:name w:val="Table Grid"/>
    <w:aliases w:val="Summary box,Table Gridbeth,RTI AMCP Table,new style,ASD Table,HealthConsult"/>
    <w:basedOn w:val="TableNormal"/>
    <w:uiPriority w:val="59"/>
    <w:rsid w:val="002F3E40"/>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01349"/>
    <w:pPr>
      <w:keepNext/>
      <w:spacing w:before="360" w:after="120" w:line="240" w:lineRule="auto"/>
      <w:ind w:left="709" w:hanging="709"/>
    </w:pPr>
    <w:rPr>
      <w:rFonts w:ascii="Arial Narrow" w:eastAsia="Times New Roman" w:hAnsi="Arial Narrow" w:cs="Tahoma"/>
      <w:b/>
      <w:sz w:val="20"/>
      <w:szCs w:val="20"/>
      <w:lang w:val="en-GB" w:eastAsia="ja-JP"/>
    </w:rPr>
  </w:style>
  <w:style w:type="paragraph" w:customStyle="1" w:styleId="TableHeading">
    <w:name w:val="TableHeading"/>
    <w:basedOn w:val="Normal"/>
    <w:link w:val="TableHeadingChar"/>
    <w:qFormat/>
    <w:rsid w:val="000939E0"/>
    <w:pPr>
      <w:keepNext/>
      <w:spacing w:before="40" w:after="40" w:line="240" w:lineRule="auto"/>
    </w:pPr>
    <w:rPr>
      <w:rFonts w:ascii="Arial Narrow" w:eastAsia="Times New Roman" w:hAnsi="Arial Narrow" w:cs="Tahoma"/>
      <w:b/>
      <w:sz w:val="20"/>
      <w:szCs w:val="20"/>
      <w:lang w:eastAsia="en-AU"/>
    </w:rPr>
  </w:style>
  <w:style w:type="character" w:customStyle="1" w:styleId="TableHeadingChar">
    <w:name w:val="TableHeading Char"/>
    <w:link w:val="TableHeading"/>
    <w:rsid w:val="000939E0"/>
    <w:rPr>
      <w:rFonts w:ascii="Arial Narrow" w:eastAsia="Times New Roman" w:hAnsi="Arial Narrow" w:cs="Tahoma"/>
      <w:b/>
      <w:sz w:val="20"/>
      <w:szCs w:val="20"/>
      <w:lang w:eastAsia="en-AU"/>
    </w:rPr>
  </w:style>
  <w:style w:type="paragraph" w:customStyle="1" w:styleId="Tabletext">
    <w:name w:val="Table text"/>
    <w:basedOn w:val="Normal"/>
    <w:link w:val="TabletextChar"/>
    <w:qFormat/>
    <w:rsid w:val="000939E0"/>
    <w:pPr>
      <w:spacing w:before="40" w:after="40" w:line="240" w:lineRule="auto"/>
    </w:pPr>
    <w:rPr>
      <w:rFonts w:ascii="Arial Narrow" w:eastAsia="Times New Roman" w:hAnsi="Arial Narrow" w:cs="Tahoma"/>
      <w:sz w:val="20"/>
      <w:szCs w:val="20"/>
      <w:lang w:eastAsia="en-AU"/>
    </w:rPr>
  </w:style>
  <w:style w:type="character" w:customStyle="1" w:styleId="TabletextChar">
    <w:name w:val="Table text Char"/>
    <w:link w:val="Tabletext"/>
    <w:rsid w:val="000939E0"/>
    <w:rPr>
      <w:rFonts w:ascii="Arial Narrow" w:eastAsia="Times New Roman" w:hAnsi="Arial Narrow" w:cs="Tahoma"/>
      <w:sz w:val="20"/>
      <w:szCs w:val="20"/>
      <w:lang w:eastAsia="en-AU"/>
    </w:rPr>
  </w:style>
  <w:style w:type="paragraph" w:customStyle="1" w:styleId="Tablenotes">
    <w:name w:val="Tablenotes"/>
    <w:basedOn w:val="Normal"/>
    <w:link w:val="TablenotesChar"/>
    <w:qFormat/>
    <w:rsid w:val="000939E0"/>
    <w:pPr>
      <w:widowControl w:val="0"/>
      <w:spacing w:after="120" w:line="240" w:lineRule="auto"/>
      <w:jc w:val="both"/>
    </w:pPr>
    <w:rPr>
      <w:rFonts w:ascii="Arial Narrow" w:eastAsia="Times New Roman" w:hAnsi="Arial Narrow" w:cs="Arial"/>
      <w:snapToGrid w:val="0"/>
      <w:sz w:val="18"/>
      <w:szCs w:val="20"/>
    </w:rPr>
  </w:style>
  <w:style w:type="character" w:customStyle="1" w:styleId="TablenotesChar">
    <w:name w:val="Tablenotes Char"/>
    <w:basedOn w:val="DefaultParagraphFont"/>
    <w:link w:val="Tablenotes"/>
    <w:rsid w:val="000939E0"/>
    <w:rPr>
      <w:rFonts w:ascii="Arial Narrow" w:eastAsia="Times New Roman" w:hAnsi="Arial Narrow" w:cs="Arial"/>
      <w:snapToGrid w:val="0"/>
      <w:sz w:val="18"/>
      <w:szCs w:val="20"/>
    </w:rPr>
  </w:style>
  <w:style w:type="paragraph" w:customStyle="1" w:styleId="TableName">
    <w:name w:val="TableName"/>
    <w:basedOn w:val="Normal"/>
    <w:qFormat/>
    <w:rsid w:val="00891488"/>
    <w:pPr>
      <w:keepNext/>
      <w:spacing w:after="240" w:line="240" w:lineRule="auto"/>
      <w:ind w:left="1134" w:hanging="1134"/>
    </w:pPr>
    <w:rPr>
      <w:rFonts w:ascii="Franklin Gothic Medium" w:eastAsiaTheme="minorHAnsi" w:hAnsi="Franklin Gothic Medium" w:cstheme="minorBidi"/>
    </w:rPr>
  </w:style>
  <w:style w:type="character" w:customStyle="1" w:styleId="ListParagraphChar">
    <w:name w:val="List Paragraph Char"/>
    <w:basedOn w:val="DefaultParagraphFont"/>
    <w:link w:val="ListParagraph"/>
    <w:uiPriority w:val="34"/>
    <w:rsid w:val="00D867D5"/>
    <w:rPr>
      <w:rFonts w:ascii="Calibri" w:eastAsia="Calibri" w:hAnsi="Calibri" w:cs="Times New Roman"/>
    </w:rPr>
  </w:style>
  <w:style w:type="paragraph" w:styleId="Header">
    <w:name w:val="header"/>
    <w:basedOn w:val="Normal"/>
    <w:link w:val="HeaderChar"/>
    <w:uiPriority w:val="99"/>
    <w:unhideWhenUsed/>
    <w:rsid w:val="001631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315C"/>
    <w:rPr>
      <w:rFonts w:ascii="Calibri" w:eastAsia="Calibri" w:hAnsi="Calibri" w:cs="Times New Roman"/>
    </w:rPr>
  </w:style>
  <w:style w:type="paragraph" w:styleId="Footer">
    <w:name w:val="footer"/>
    <w:basedOn w:val="Normal"/>
    <w:link w:val="FooterChar"/>
    <w:uiPriority w:val="99"/>
    <w:unhideWhenUsed/>
    <w:rsid w:val="00163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315C"/>
    <w:rPr>
      <w:rFonts w:ascii="Calibri" w:eastAsia="Calibri" w:hAnsi="Calibri" w:cs="Times New Roman"/>
    </w:rPr>
  </w:style>
  <w:style w:type="paragraph" w:styleId="Subtitle">
    <w:name w:val="Subtitle"/>
    <w:basedOn w:val="Normal"/>
    <w:next w:val="Normal"/>
    <w:link w:val="SubtitleChar"/>
    <w:uiPriority w:val="11"/>
    <w:qFormat/>
    <w:rsid w:val="006F01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F01C4"/>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A33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126"/>
    <w:rPr>
      <w:rFonts w:ascii="Segoe UI" w:eastAsia="Calibri" w:hAnsi="Segoe UI" w:cs="Segoe UI"/>
      <w:sz w:val="18"/>
      <w:szCs w:val="18"/>
    </w:rPr>
  </w:style>
  <w:style w:type="character" w:styleId="CommentReference">
    <w:name w:val="annotation reference"/>
    <w:aliases w:val="Table Title"/>
    <w:basedOn w:val="DefaultParagraphFont"/>
    <w:uiPriority w:val="99"/>
    <w:unhideWhenUsed/>
    <w:qFormat/>
    <w:rsid w:val="00D84E12"/>
    <w:rPr>
      <w:sz w:val="16"/>
      <w:szCs w:val="16"/>
    </w:rPr>
  </w:style>
  <w:style w:type="paragraph" w:styleId="CommentText">
    <w:name w:val="annotation text"/>
    <w:basedOn w:val="Normal"/>
    <w:link w:val="CommentTextChar"/>
    <w:uiPriority w:val="99"/>
    <w:unhideWhenUsed/>
    <w:rsid w:val="00D84E12"/>
    <w:pPr>
      <w:spacing w:line="240" w:lineRule="auto"/>
    </w:pPr>
    <w:rPr>
      <w:sz w:val="20"/>
      <w:szCs w:val="20"/>
    </w:rPr>
  </w:style>
  <w:style w:type="character" w:customStyle="1" w:styleId="CommentTextChar">
    <w:name w:val="Comment Text Char"/>
    <w:basedOn w:val="DefaultParagraphFont"/>
    <w:link w:val="CommentText"/>
    <w:uiPriority w:val="99"/>
    <w:rsid w:val="00D84E1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84E12"/>
    <w:rPr>
      <w:b/>
      <w:bCs/>
    </w:rPr>
  </w:style>
  <w:style w:type="character" w:customStyle="1" w:styleId="CommentSubjectChar">
    <w:name w:val="Comment Subject Char"/>
    <w:basedOn w:val="CommentTextChar"/>
    <w:link w:val="CommentSubject"/>
    <w:uiPriority w:val="99"/>
    <w:semiHidden/>
    <w:rsid w:val="00D84E12"/>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C4B3C"/>
    <w:rPr>
      <w:color w:val="954F72" w:themeColor="followedHyperlink"/>
      <w:u w:val="single"/>
    </w:rPr>
  </w:style>
  <w:style w:type="character" w:customStyle="1" w:styleId="Heading1Char">
    <w:name w:val="Heading 1 Char"/>
    <w:basedOn w:val="DefaultParagraphFont"/>
    <w:link w:val="Heading1"/>
    <w:uiPriority w:val="9"/>
    <w:rsid w:val="008C4B3C"/>
    <w:rPr>
      <w:rFonts w:ascii="Calibri" w:eastAsia="Calibri" w:hAnsi="Calibri" w:cs="Calibri"/>
      <w:b/>
      <w:bCs/>
      <w:color w:val="000000"/>
      <w:sz w:val="72"/>
      <w:szCs w:val="72"/>
      <w:u w:color="000000"/>
      <w:lang w:val="en-US" w:eastAsia="en-AU"/>
    </w:rPr>
  </w:style>
  <w:style w:type="paragraph" w:customStyle="1" w:styleId="Instructionaltext">
    <w:name w:val="Instructional text"/>
    <w:basedOn w:val="Normal"/>
    <w:link w:val="InstructionaltextChar"/>
    <w:qFormat/>
    <w:rsid w:val="006A467F"/>
    <w:pPr>
      <w:spacing w:before="120" w:after="160" w:line="259" w:lineRule="auto"/>
    </w:pPr>
    <w:rPr>
      <w:rFonts w:eastAsiaTheme="minorHAnsi" w:cstheme="minorBidi"/>
      <w:color w:val="258221"/>
    </w:rPr>
  </w:style>
  <w:style w:type="character" w:customStyle="1" w:styleId="InstructionaltextChar">
    <w:name w:val="Instructional text Char"/>
    <w:basedOn w:val="DefaultParagraphFont"/>
    <w:link w:val="Instructionaltext"/>
    <w:rsid w:val="006A467F"/>
    <w:rPr>
      <w:rFonts w:ascii="Calibri" w:hAnsi="Calibri"/>
      <w:color w:val="258221"/>
    </w:rPr>
  </w:style>
  <w:style w:type="character" w:customStyle="1" w:styleId="Heading3Char">
    <w:name w:val="Heading 3 Char"/>
    <w:basedOn w:val="DefaultParagraphFont"/>
    <w:link w:val="Heading3"/>
    <w:uiPriority w:val="9"/>
    <w:rsid w:val="00713728"/>
    <w:rPr>
      <w:rFonts w:ascii="Calibri" w:eastAsia="MS Gothic" w:hAnsi="Calibri" w:cs="Times New Roman"/>
      <w:b/>
      <w:bCs/>
      <w:i/>
      <w:sz w:val="24"/>
      <w:szCs w:val="24"/>
    </w:rPr>
  </w:style>
  <w:style w:type="paragraph" w:customStyle="1" w:styleId="Instructionaltext-bullet">
    <w:name w:val="Instructional text - bullet"/>
    <w:basedOn w:val="Instructionaltext"/>
    <w:qFormat/>
    <w:rsid w:val="006A467F"/>
    <w:pPr>
      <w:numPr>
        <w:numId w:val="1"/>
      </w:numPr>
      <w:spacing w:before="0" w:after="0"/>
    </w:pPr>
  </w:style>
  <w:style w:type="paragraph" w:customStyle="1" w:styleId="Guidelinescross-ref">
    <w:name w:val="Guidelines cross-ref"/>
    <w:basedOn w:val="Normal"/>
    <w:qFormat/>
    <w:rsid w:val="00E01349"/>
    <w:pPr>
      <w:keepNext/>
      <w:spacing w:before="240" w:after="240" w:line="259" w:lineRule="auto"/>
    </w:pPr>
    <w:rPr>
      <w:rFonts w:eastAsiaTheme="minorHAnsi" w:cstheme="minorBidi"/>
      <w:b/>
      <w:color w:val="0070C0"/>
      <w:sz w:val="24"/>
    </w:rPr>
  </w:style>
  <w:style w:type="paragraph" w:customStyle="1" w:styleId="Instructionaltext-afterfiguretable">
    <w:name w:val="Instructional text - after figure/table"/>
    <w:basedOn w:val="Instructionaltext"/>
    <w:qFormat/>
    <w:rsid w:val="00E01349"/>
    <w:pPr>
      <w:spacing w:before="360"/>
    </w:pPr>
  </w:style>
  <w:style w:type="paragraph" w:styleId="Revision">
    <w:name w:val="Revision"/>
    <w:hidden/>
    <w:uiPriority w:val="99"/>
    <w:semiHidden/>
    <w:rsid w:val="004E3ABF"/>
    <w:pPr>
      <w:spacing w:after="0" w:line="240" w:lineRule="auto"/>
    </w:pPr>
    <w:rPr>
      <w:rFonts w:ascii="Calibri" w:eastAsia="Calibri" w:hAnsi="Calibri" w:cs="Times New Roman"/>
    </w:rPr>
  </w:style>
  <w:style w:type="paragraph" w:customStyle="1" w:styleId="TableText0">
    <w:name w:val="Table Text"/>
    <w:basedOn w:val="Normal"/>
    <w:link w:val="TableTextChar0"/>
    <w:qFormat/>
    <w:rsid w:val="000D1FCF"/>
    <w:pPr>
      <w:spacing w:before="40" w:after="40" w:line="240" w:lineRule="auto"/>
    </w:pPr>
    <w:rPr>
      <w:rFonts w:ascii="Arial Narrow" w:eastAsiaTheme="minorHAnsi" w:hAnsi="Arial Narrow" w:cstheme="minorBidi"/>
      <w:sz w:val="20"/>
    </w:rPr>
  </w:style>
  <w:style w:type="character" w:customStyle="1" w:styleId="TableTextChar0">
    <w:name w:val="Table Text Char"/>
    <w:basedOn w:val="DefaultParagraphFont"/>
    <w:link w:val="TableText0"/>
    <w:rsid w:val="000D1FCF"/>
    <w:rPr>
      <w:rFonts w:ascii="Arial Narrow" w:hAnsi="Arial Narrow"/>
      <w:sz w:val="20"/>
    </w:rPr>
  </w:style>
  <w:style w:type="character" w:styleId="PageNumber">
    <w:name w:val="page number"/>
    <w:basedOn w:val="DefaultParagraphFont"/>
    <w:uiPriority w:val="99"/>
    <w:semiHidden/>
    <w:unhideWhenUsed/>
    <w:rsid w:val="00685355"/>
  </w:style>
  <w:style w:type="character" w:styleId="UnresolvedMention">
    <w:name w:val="Unresolved Mention"/>
    <w:basedOn w:val="DefaultParagraphFont"/>
    <w:uiPriority w:val="99"/>
    <w:unhideWhenUsed/>
    <w:rsid w:val="00BB0FFB"/>
    <w:rPr>
      <w:color w:val="605E5C"/>
      <w:shd w:val="clear" w:color="auto" w:fill="E1DFDD"/>
    </w:rPr>
  </w:style>
  <w:style w:type="table" w:customStyle="1" w:styleId="TableGrid11">
    <w:name w:val="Table Grid11"/>
    <w:basedOn w:val="TableNormal"/>
    <w:uiPriority w:val="59"/>
    <w:rsid w:val="00E03083"/>
    <w:pPr>
      <w:spacing w:after="240" w:line="240" w:lineRule="auto"/>
      <w:ind w:left="720" w:hanging="36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07730"/>
    <w:rPr>
      <w:color w:val="2B579A"/>
      <w:shd w:val="clear" w:color="auto" w:fill="E1DFDD"/>
    </w:rPr>
  </w:style>
  <w:style w:type="character" w:customStyle="1" w:styleId="Heading4Char">
    <w:name w:val="Heading 4 Char"/>
    <w:basedOn w:val="DefaultParagraphFont"/>
    <w:link w:val="Heading4"/>
    <w:uiPriority w:val="9"/>
    <w:rsid w:val="00E2287D"/>
    <w:rPr>
      <w:rFonts w:asciiTheme="majorHAnsi" w:eastAsiaTheme="majorEastAsia" w:hAnsiTheme="majorHAnsi" w:cstheme="majorBidi"/>
      <w:i/>
      <w:iCs/>
      <w:color w:val="002060"/>
    </w:rPr>
  </w:style>
  <w:style w:type="paragraph" w:styleId="FootnoteText">
    <w:name w:val="footnote text"/>
    <w:basedOn w:val="Normal"/>
    <w:link w:val="FootnoteTextChar"/>
    <w:uiPriority w:val="99"/>
    <w:semiHidden/>
    <w:unhideWhenUsed/>
    <w:rsid w:val="00A577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7F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A577FF"/>
    <w:rPr>
      <w:vertAlign w:val="superscript"/>
    </w:rPr>
  </w:style>
  <w:style w:type="character" w:customStyle="1" w:styleId="excluded">
    <w:name w:val="excluded"/>
    <w:basedOn w:val="DefaultParagraphFont"/>
    <w:rsid w:val="00E336A9"/>
  </w:style>
  <w:style w:type="character" w:customStyle="1" w:styleId="Heading5Char">
    <w:name w:val="Heading 5 Char"/>
    <w:basedOn w:val="DefaultParagraphFont"/>
    <w:link w:val="Heading5"/>
    <w:uiPriority w:val="9"/>
    <w:rsid w:val="00732D58"/>
    <w:rPr>
      <w:rFonts w:asciiTheme="majorHAnsi" w:eastAsiaTheme="majorEastAsia" w:hAnsiTheme="majorHAnsi" w:cstheme="majorBidi"/>
      <w:color w:val="2E74B5" w:themeColor="accent1" w:themeShade="BF"/>
    </w:rPr>
  </w:style>
  <w:style w:type="paragraph" w:styleId="Bibliography">
    <w:name w:val="Bibliography"/>
    <w:basedOn w:val="Normal"/>
    <w:next w:val="Normal"/>
    <w:uiPriority w:val="37"/>
    <w:unhideWhenUsed/>
    <w:rsid w:val="0015720A"/>
    <w:pPr>
      <w:spacing w:after="240" w:line="240" w:lineRule="auto"/>
    </w:pPr>
  </w:style>
  <w:style w:type="character" w:customStyle="1" w:styleId="inline-label">
    <w:name w:val="inline-label"/>
    <w:basedOn w:val="DefaultParagraphFont"/>
    <w:rsid w:val="00CC1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00520">
      <w:bodyDiv w:val="1"/>
      <w:marLeft w:val="0"/>
      <w:marRight w:val="0"/>
      <w:marTop w:val="0"/>
      <w:marBottom w:val="0"/>
      <w:divBdr>
        <w:top w:val="none" w:sz="0" w:space="0" w:color="auto"/>
        <w:left w:val="none" w:sz="0" w:space="0" w:color="auto"/>
        <w:bottom w:val="none" w:sz="0" w:space="0" w:color="auto"/>
        <w:right w:val="none" w:sz="0" w:space="0" w:color="auto"/>
      </w:divBdr>
    </w:div>
    <w:div w:id="116920213">
      <w:bodyDiv w:val="1"/>
      <w:marLeft w:val="0"/>
      <w:marRight w:val="0"/>
      <w:marTop w:val="0"/>
      <w:marBottom w:val="0"/>
      <w:divBdr>
        <w:top w:val="none" w:sz="0" w:space="0" w:color="auto"/>
        <w:left w:val="none" w:sz="0" w:space="0" w:color="auto"/>
        <w:bottom w:val="none" w:sz="0" w:space="0" w:color="auto"/>
        <w:right w:val="none" w:sz="0" w:space="0" w:color="auto"/>
      </w:divBdr>
    </w:div>
    <w:div w:id="378169523">
      <w:bodyDiv w:val="1"/>
      <w:marLeft w:val="0"/>
      <w:marRight w:val="0"/>
      <w:marTop w:val="0"/>
      <w:marBottom w:val="0"/>
      <w:divBdr>
        <w:top w:val="none" w:sz="0" w:space="0" w:color="auto"/>
        <w:left w:val="none" w:sz="0" w:space="0" w:color="auto"/>
        <w:bottom w:val="none" w:sz="0" w:space="0" w:color="auto"/>
        <w:right w:val="none" w:sz="0" w:space="0" w:color="auto"/>
      </w:divBdr>
    </w:div>
    <w:div w:id="402030214">
      <w:bodyDiv w:val="1"/>
      <w:marLeft w:val="0"/>
      <w:marRight w:val="0"/>
      <w:marTop w:val="0"/>
      <w:marBottom w:val="0"/>
      <w:divBdr>
        <w:top w:val="none" w:sz="0" w:space="0" w:color="auto"/>
        <w:left w:val="none" w:sz="0" w:space="0" w:color="auto"/>
        <w:bottom w:val="none" w:sz="0" w:space="0" w:color="auto"/>
        <w:right w:val="none" w:sz="0" w:space="0" w:color="auto"/>
      </w:divBdr>
    </w:div>
    <w:div w:id="464088067">
      <w:bodyDiv w:val="1"/>
      <w:marLeft w:val="0"/>
      <w:marRight w:val="0"/>
      <w:marTop w:val="0"/>
      <w:marBottom w:val="0"/>
      <w:divBdr>
        <w:top w:val="none" w:sz="0" w:space="0" w:color="auto"/>
        <w:left w:val="none" w:sz="0" w:space="0" w:color="auto"/>
        <w:bottom w:val="none" w:sz="0" w:space="0" w:color="auto"/>
        <w:right w:val="none" w:sz="0" w:space="0" w:color="auto"/>
      </w:divBdr>
    </w:div>
    <w:div w:id="470489139">
      <w:bodyDiv w:val="1"/>
      <w:marLeft w:val="0"/>
      <w:marRight w:val="0"/>
      <w:marTop w:val="0"/>
      <w:marBottom w:val="0"/>
      <w:divBdr>
        <w:top w:val="none" w:sz="0" w:space="0" w:color="auto"/>
        <w:left w:val="none" w:sz="0" w:space="0" w:color="auto"/>
        <w:bottom w:val="none" w:sz="0" w:space="0" w:color="auto"/>
        <w:right w:val="none" w:sz="0" w:space="0" w:color="auto"/>
      </w:divBdr>
    </w:div>
    <w:div w:id="510267069">
      <w:bodyDiv w:val="1"/>
      <w:marLeft w:val="0"/>
      <w:marRight w:val="0"/>
      <w:marTop w:val="0"/>
      <w:marBottom w:val="0"/>
      <w:divBdr>
        <w:top w:val="none" w:sz="0" w:space="0" w:color="auto"/>
        <w:left w:val="none" w:sz="0" w:space="0" w:color="auto"/>
        <w:bottom w:val="none" w:sz="0" w:space="0" w:color="auto"/>
        <w:right w:val="none" w:sz="0" w:space="0" w:color="auto"/>
      </w:divBdr>
    </w:div>
    <w:div w:id="557087695">
      <w:bodyDiv w:val="1"/>
      <w:marLeft w:val="0"/>
      <w:marRight w:val="0"/>
      <w:marTop w:val="0"/>
      <w:marBottom w:val="0"/>
      <w:divBdr>
        <w:top w:val="none" w:sz="0" w:space="0" w:color="auto"/>
        <w:left w:val="none" w:sz="0" w:space="0" w:color="auto"/>
        <w:bottom w:val="none" w:sz="0" w:space="0" w:color="auto"/>
        <w:right w:val="none" w:sz="0" w:space="0" w:color="auto"/>
      </w:divBdr>
    </w:div>
    <w:div w:id="688532201">
      <w:bodyDiv w:val="1"/>
      <w:marLeft w:val="0"/>
      <w:marRight w:val="0"/>
      <w:marTop w:val="0"/>
      <w:marBottom w:val="0"/>
      <w:divBdr>
        <w:top w:val="none" w:sz="0" w:space="0" w:color="auto"/>
        <w:left w:val="none" w:sz="0" w:space="0" w:color="auto"/>
        <w:bottom w:val="none" w:sz="0" w:space="0" w:color="auto"/>
        <w:right w:val="none" w:sz="0" w:space="0" w:color="auto"/>
      </w:divBdr>
    </w:div>
    <w:div w:id="689456025">
      <w:bodyDiv w:val="1"/>
      <w:marLeft w:val="0"/>
      <w:marRight w:val="0"/>
      <w:marTop w:val="0"/>
      <w:marBottom w:val="0"/>
      <w:divBdr>
        <w:top w:val="none" w:sz="0" w:space="0" w:color="auto"/>
        <w:left w:val="none" w:sz="0" w:space="0" w:color="auto"/>
        <w:bottom w:val="none" w:sz="0" w:space="0" w:color="auto"/>
        <w:right w:val="none" w:sz="0" w:space="0" w:color="auto"/>
      </w:divBdr>
    </w:div>
    <w:div w:id="948197763">
      <w:bodyDiv w:val="1"/>
      <w:marLeft w:val="0"/>
      <w:marRight w:val="0"/>
      <w:marTop w:val="0"/>
      <w:marBottom w:val="0"/>
      <w:divBdr>
        <w:top w:val="none" w:sz="0" w:space="0" w:color="auto"/>
        <w:left w:val="none" w:sz="0" w:space="0" w:color="auto"/>
        <w:bottom w:val="none" w:sz="0" w:space="0" w:color="auto"/>
        <w:right w:val="none" w:sz="0" w:space="0" w:color="auto"/>
      </w:divBdr>
    </w:div>
    <w:div w:id="967467456">
      <w:bodyDiv w:val="1"/>
      <w:marLeft w:val="0"/>
      <w:marRight w:val="0"/>
      <w:marTop w:val="0"/>
      <w:marBottom w:val="0"/>
      <w:divBdr>
        <w:top w:val="none" w:sz="0" w:space="0" w:color="auto"/>
        <w:left w:val="none" w:sz="0" w:space="0" w:color="auto"/>
        <w:bottom w:val="none" w:sz="0" w:space="0" w:color="auto"/>
        <w:right w:val="none" w:sz="0" w:space="0" w:color="auto"/>
      </w:divBdr>
    </w:div>
    <w:div w:id="997155772">
      <w:bodyDiv w:val="1"/>
      <w:marLeft w:val="0"/>
      <w:marRight w:val="0"/>
      <w:marTop w:val="0"/>
      <w:marBottom w:val="0"/>
      <w:divBdr>
        <w:top w:val="none" w:sz="0" w:space="0" w:color="auto"/>
        <w:left w:val="none" w:sz="0" w:space="0" w:color="auto"/>
        <w:bottom w:val="none" w:sz="0" w:space="0" w:color="auto"/>
        <w:right w:val="none" w:sz="0" w:space="0" w:color="auto"/>
      </w:divBdr>
      <w:divsChild>
        <w:div w:id="69011948">
          <w:marLeft w:val="0"/>
          <w:marRight w:val="0"/>
          <w:marTop w:val="0"/>
          <w:marBottom w:val="0"/>
          <w:divBdr>
            <w:top w:val="none" w:sz="0" w:space="0" w:color="auto"/>
            <w:left w:val="none" w:sz="0" w:space="0" w:color="auto"/>
            <w:bottom w:val="none" w:sz="0" w:space="0" w:color="auto"/>
            <w:right w:val="none" w:sz="0" w:space="0" w:color="auto"/>
          </w:divBdr>
        </w:div>
        <w:div w:id="241984786">
          <w:marLeft w:val="0"/>
          <w:marRight w:val="0"/>
          <w:marTop w:val="0"/>
          <w:marBottom w:val="0"/>
          <w:divBdr>
            <w:top w:val="none" w:sz="0" w:space="0" w:color="auto"/>
            <w:left w:val="none" w:sz="0" w:space="0" w:color="auto"/>
            <w:bottom w:val="none" w:sz="0" w:space="0" w:color="auto"/>
            <w:right w:val="none" w:sz="0" w:space="0" w:color="auto"/>
          </w:divBdr>
        </w:div>
        <w:div w:id="245186915">
          <w:marLeft w:val="0"/>
          <w:marRight w:val="0"/>
          <w:marTop w:val="0"/>
          <w:marBottom w:val="0"/>
          <w:divBdr>
            <w:top w:val="none" w:sz="0" w:space="0" w:color="auto"/>
            <w:left w:val="none" w:sz="0" w:space="0" w:color="auto"/>
            <w:bottom w:val="none" w:sz="0" w:space="0" w:color="auto"/>
            <w:right w:val="none" w:sz="0" w:space="0" w:color="auto"/>
          </w:divBdr>
        </w:div>
        <w:div w:id="721709538">
          <w:marLeft w:val="0"/>
          <w:marRight w:val="0"/>
          <w:marTop w:val="0"/>
          <w:marBottom w:val="0"/>
          <w:divBdr>
            <w:top w:val="none" w:sz="0" w:space="0" w:color="auto"/>
            <w:left w:val="none" w:sz="0" w:space="0" w:color="auto"/>
            <w:bottom w:val="none" w:sz="0" w:space="0" w:color="auto"/>
            <w:right w:val="none" w:sz="0" w:space="0" w:color="auto"/>
          </w:divBdr>
        </w:div>
      </w:divsChild>
    </w:div>
    <w:div w:id="1023242140">
      <w:bodyDiv w:val="1"/>
      <w:marLeft w:val="0"/>
      <w:marRight w:val="0"/>
      <w:marTop w:val="0"/>
      <w:marBottom w:val="0"/>
      <w:divBdr>
        <w:top w:val="none" w:sz="0" w:space="0" w:color="auto"/>
        <w:left w:val="none" w:sz="0" w:space="0" w:color="auto"/>
        <w:bottom w:val="none" w:sz="0" w:space="0" w:color="auto"/>
        <w:right w:val="none" w:sz="0" w:space="0" w:color="auto"/>
      </w:divBdr>
    </w:div>
    <w:div w:id="1236893548">
      <w:bodyDiv w:val="1"/>
      <w:marLeft w:val="0"/>
      <w:marRight w:val="0"/>
      <w:marTop w:val="0"/>
      <w:marBottom w:val="0"/>
      <w:divBdr>
        <w:top w:val="none" w:sz="0" w:space="0" w:color="auto"/>
        <w:left w:val="none" w:sz="0" w:space="0" w:color="auto"/>
        <w:bottom w:val="none" w:sz="0" w:space="0" w:color="auto"/>
        <w:right w:val="none" w:sz="0" w:space="0" w:color="auto"/>
      </w:divBdr>
    </w:div>
    <w:div w:id="1258444929">
      <w:bodyDiv w:val="1"/>
      <w:marLeft w:val="0"/>
      <w:marRight w:val="0"/>
      <w:marTop w:val="0"/>
      <w:marBottom w:val="0"/>
      <w:divBdr>
        <w:top w:val="none" w:sz="0" w:space="0" w:color="auto"/>
        <w:left w:val="none" w:sz="0" w:space="0" w:color="auto"/>
        <w:bottom w:val="none" w:sz="0" w:space="0" w:color="auto"/>
        <w:right w:val="none" w:sz="0" w:space="0" w:color="auto"/>
      </w:divBdr>
    </w:div>
    <w:div w:id="1511987132">
      <w:bodyDiv w:val="1"/>
      <w:marLeft w:val="0"/>
      <w:marRight w:val="0"/>
      <w:marTop w:val="0"/>
      <w:marBottom w:val="0"/>
      <w:divBdr>
        <w:top w:val="none" w:sz="0" w:space="0" w:color="auto"/>
        <w:left w:val="none" w:sz="0" w:space="0" w:color="auto"/>
        <w:bottom w:val="none" w:sz="0" w:space="0" w:color="auto"/>
        <w:right w:val="none" w:sz="0" w:space="0" w:color="auto"/>
      </w:divBdr>
    </w:div>
    <w:div w:id="1559246317">
      <w:bodyDiv w:val="1"/>
      <w:marLeft w:val="0"/>
      <w:marRight w:val="0"/>
      <w:marTop w:val="0"/>
      <w:marBottom w:val="0"/>
      <w:divBdr>
        <w:top w:val="none" w:sz="0" w:space="0" w:color="auto"/>
        <w:left w:val="none" w:sz="0" w:space="0" w:color="auto"/>
        <w:bottom w:val="none" w:sz="0" w:space="0" w:color="auto"/>
        <w:right w:val="none" w:sz="0" w:space="0" w:color="auto"/>
      </w:divBdr>
    </w:div>
    <w:div w:id="1689982625">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1785926560">
      <w:bodyDiv w:val="1"/>
      <w:marLeft w:val="0"/>
      <w:marRight w:val="0"/>
      <w:marTop w:val="0"/>
      <w:marBottom w:val="0"/>
      <w:divBdr>
        <w:top w:val="none" w:sz="0" w:space="0" w:color="auto"/>
        <w:left w:val="none" w:sz="0" w:space="0" w:color="auto"/>
        <w:bottom w:val="none" w:sz="0" w:space="0" w:color="auto"/>
        <w:right w:val="none" w:sz="0" w:space="0" w:color="auto"/>
      </w:divBdr>
    </w:div>
    <w:div w:id="2032880099">
      <w:bodyDiv w:val="1"/>
      <w:marLeft w:val="0"/>
      <w:marRight w:val="0"/>
      <w:marTop w:val="0"/>
      <w:marBottom w:val="0"/>
      <w:divBdr>
        <w:top w:val="none" w:sz="0" w:space="0" w:color="auto"/>
        <w:left w:val="none" w:sz="0" w:space="0" w:color="auto"/>
        <w:bottom w:val="none" w:sz="0" w:space="0" w:color="auto"/>
        <w:right w:val="none" w:sz="0" w:space="0" w:color="auto"/>
      </w:divBdr>
    </w:div>
    <w:div w:id="20499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ac.gov.au/applications/1689-1" TargetMode="External"/><Relationship Id="rId18" Type="http://schemas.openxmlformats.org/officeDocument/2006/relationships/hyperlink" Target="https://www.aihw.gov.au/reports/heart-stroke-vascular-diseases/heart-failure-health-care/contents/abou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medicinesadvice.net.au/topics/heart-failure/" TargetMode="External"/><Relationship Id="rId7" Type="http://schemas.openxmlformats.org/officeDocument/2006/relationships/settings" Target="settings.xml"/><Relationship Id="rId12" Type="http://schemas.openxmlformats.org/officeDocument/2006/relationships/hyperlink" Target="https://www.msac.gov.au/applications/1689" TargetMode="External"/><Relationship Id="rId17" Type="http://schemas.openxmlformats.org/officeDocument/2006/relationships/hyperlink" Target="https://creativecommons.org/licenses/by-nc/4.0/"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s://www.psa.org.au/wp-content/uploads/2025/02/6045-MAIA-HFrEF-Quick-Reference-Guide-v3.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sac.gov.au/applications/1087" TargetMode="Externa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linicaltrials.gov/study/NCT03412201" TargetMode="External"/><Relationship Id="rId23" Type="http://schemas.openxmlformats.org/officeDocument/2006/relationships/hyperlink" Target="https://www.heartonline.org.au/articles/medications/titrating-medications-in-heart-failure"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sac.gov.au/applications/1740" TargetMode="External"/><Relationship Id="rId22" Type="http://schemas.openxmlformats.org/officeDocument/2006/relationships/hyperlink" Target="https://www.health.qld.gov.au/__data/assets/pdf_file/0030/993009/Medications-booklet-web-version.pdf" TargetMode="External"/><Relationship Id="rId27" Type="http://schemas.openxmlformats.org/officeDocument/2006/relationships/footer" Target="footer2.xml"/><Relationship Id="rId30" Type="http://schemas.openxmlformats.org/officeDocument/2006/relationships/image" Target="media/image4.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pbs.gov.au/industry/pbac/psd/2020/11/sacubitril-with-valsartan-november-2020-a265" TargetMode="External"/><Relationship Id="rId7" Type="http://schemas.openxmlformats.org/officeDocument/2006/relationships/hyperlink" Target="https://www.msac.gov.au/applications/1087" TargetMode="External"/><Relationship Id="rId2" Type="http://schemas.openxmlformats.org/officeDocument/2006/relationships/hyperlink" Target="https://pbs.gov.au/industry/listing/elements/pbac-meetings/pbac-outcomes/recommendations-made-by-the-pbac-september-2024-intracycle-meeting" TargetMode="External"/><Relationship Id="rId1" Type="http://schemas.openxmlformats.org/officeDocument/2006/relationships/hyperlink" Target="https://www.pbs.gov.au/medicine/item/13335W" TargetMode="External"/><Relationship Id="rId6" Type="http://schemas.openxmlformats.org/officeDocument/2006/relationships/hyperlink" Target="https://www.pbs.gov.au/industry/pbac/psd/2021/11/empagliflozin-psd-nov-2021.pdf?variant=3" TargetMode="External"/><Relationship Id="rId5" Type="http://schemas.openxmlformats.org/officeDocument/2006/relationships/hyperlink" Target="https://www.rcpa.edu.au/Manuals/RCPA-Manual/Pathology-Tests/N/NT-pro-B-Natriuretic-peptide" TargetMode="External"/><Relationship Id="rId4" Type="http://schemas.openxmlformats.org/officeDocument/2006/relationships/hyperlink" Target="https://www.aihw.gov.au/reports/heart-stroke-vascular-diseases/heart-failure-health-care/content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12E266AD69594FAC52E7A8B8B76707" ma:contentTypeVersion="18" ma:contentTypeDescription="Create a new document." ma:contentTypeScope="" ma:versionID="e611faff65fbe0e14fd70ca28cd3ddeb">
  <xsd:schema xmlns:xsd="http://www.w3.org/2001/XMLSchema" xmlns:xs="http://www.w3.org/2001/XMLSchema" xmlns:p="http://schemas.microsoft.com/office/2006/metadata/properties" xmlns:ns2="7ea72d31-b391-468a-afa4-2af449538c2c" xmlns:ns3="5e6c165d-1334-4e3d-ac4c-cda196070297" targetNamespace="http://schemas.microsoft.com/office/2006/metadata/properties" ma:root="true" ma:fieldsID="b1eadc43388ed47f675052d5a8171213" ns2:_="" ns3:_="">
    <xsd:import namespace="7ea72d31-b391-468a-afa4-2af449538c2c"/>
    <xsd:import namespace="5e6c165d-1334-4e3d-ac4c-cda1960702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72d31-b391-468a-afa4-2af449538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c165d-1334-4e3d-ac4c-cda1960702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b29e77-610f-4ec0-969b-1efd31da693b}" ma:internalName="TaxCatchAll" ma:showField="CatchAllData" ma:web="5e6c165d-1334-4e3d-ac4c-cda1960702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a72d31-b391-468a-afa4-2af449538c2c">
      <Terms xmlns="http://schemas.microsoft.com/office/infopath/2007/PartnerControls"/>
    </lcf76f155ced4ddcb4097134ff3c332f>
    <TaxCatchAll xmlns="5e6c165d-1334-4e3d-ac4c-cda19607029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C0ADB-7CCF-4BC9-8F3A-D8E39C8F0463}">
  <ds:schemaRefs>
    <ds:schemaRef ds:uri="http://schemas.openxmlformats.org/officeDocument/2006/bibliography"/>
  </ds:schemaRefs>
</ds:datastoreItem>
</file>

<file path=customXml/itemProps2.xml><?xml version="1.0" encoding="utf-8"?>
<ds:datastoreItem xmlns:ds="http://schemas.openxmlformats.org/officeDocument/2006/customXml" ds:itemID="{403CAFAF-F0AA-4E3B-BEF2-8C2D1FAB5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72d31-b391-468a-afa4-2af449538c2c"/>
    <ds:schemaRef ds:uri="5e6c165d-1334-4e3d-ac4c-cda196070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6C32D-E963-4C4A-AA8C-4F098E94304F}">
  <ds:schemaRefs>
    <ds:schemaRef ds:uri="http://schemas.microsoft.com/office/2006/metadata/properties"/>
    <ds:schemaRef ds:uri="http://schemas.microsoft.com/office/infopath/2007/PartnerControls"/>
    <ds:schemaRef ds:uri="7ea72d31-b391-468a-afa4-2af449538c2c"/>
    <ds:schemaRef ds:uri="5e6c165d-1334-4e3d-ac4c-cda196070297"/>
  </ds:schemaRefs>
</ds:datastoreItem>
</file>

<file path=customXml/itemProps4.xml><?xml version="1.0" encoding="utf-8"?>
<ds:datastoreItem xmlns:ds="http://schemas.openxmlformats.org/officeDocument/2006/customXml" ds:itemID="{4DF3F5CD-169B-4472-8AAB-7D1CD25520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12403</Words>
  <Characters>71942</Characters>
  <Application>Microsoft Office Word</Application>
  <DocSecurity>0</DocSecurity>
  <Lines>1438</Lines>
  <Paragraphs>746</Paragraphs>
  <ScaleCrop>false</ScaleCrop>
  <Company/>
  <LinksUpToDate>false</LinksUpToDate>
  <CharactersWithSpaces>83599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2026-09-25T03:06:00Z</dcterms:created>
  <dcterms:modified xsi:type="dcterms:W3CDTF">2026-10-01T02:07:00Z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2f7c2a2f,c57f5ef,3d36cf6d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5022ba93,7025d11c,30310b4d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2026-09-21T02:39:08Z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2d970764-300b-4bcc-bd8c-3a0ed11e6865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0x0101000A12E266AD69594FAC52E7A8B8B76707</vt:lpwstr>
  </property>
  <property fmtid="{D5CDD505-2E9C-101B-9397-08002B2CF9AE}" pid="18" name="ZOTERO_PREF_1">
    <vt:lpwstr>&lt;data data-version="3" zotero-version="9.0.5"&gt;&lt;session id="YnYhmUfU"/&gt;&lt;style id="http://www.zotero.org/styles/style-manual-australian-government" hasBibliography="1" bibliographyStyleHasBeenSet="1"/&gt;&lt;prefs&gt;&lt;pref name="fieldType" value="Field"/&gt;&lt;pref name=</vt:lpwstr>
  </property>
  <property fmtid="{D5CDD505-2E9C-101B-9397-08002B2CF9AE}" pid="19" name="ZOTERO_PREF_2">
    <vt:lpwstr>"automaticJournalAbbreviations" value="true"/&gt;&lt;/prefs&gt;&lt;/data&gt;</vt:lpwstr>
  </property>
  <property fmtid="{D5CDD505-2E9C-101B-9397-08002B2CF9AE}" pid="20" name="docLang">
    <vt:lpwstr>en</vt:lpwstr>
  </property>
</Properties>
</file>