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E6B6C" w14:textId="38CC7182" w:rsidR="006478E7" w:rsidRPr="00490FBB" w:rsidRDefault="006478E7" w:rsidP="006478E7">
      <w:pPr>
        <w:spacing w:before="120" w:after="120" w:line="312" w:lineRule="auto"/>
        <w:jc w:val="center"/>
      </w:pPr>
    </w:p>
    <w:p w14:paraId="50B6D781" w14:textId="315E1E65" w:rsidR="006478E7" w:rsidRPr="00490FBB" w:rsidRDefault="00BB0FFB" w:rsidP="00BB0FFB">
      <w:pPr>
        <w:pStyle w:val="Heading10"/>
        <w:spacing w:before="2880"/>
        <w:jc w:val="center"/>
        <w:rPr>
          <w:sz w:val="48"/>
          <w:szCs w:val="48"/>
        </w:rPr>
      </w:pPr>
      <w:r>
        <w:rPr>
          <w:sz w:val="48"/>
          <w:szCs w:val="48"/>
        </w:rPr>
        <w:t>MSAC Application 1827</w:t>
      </w:r>
    </w:p>
    <w:p w14:paraId="031B28D2" w14:textId="7D6453C6" w:rsidR="0011203A" w:rsidRPr="0011203A" w:rsidRDefault="0011203A" w:rsidP="0011203A">
      <w:pPr>
        <w:pStyle w:val="Heading10"/>
        <w:jc w:val="center"/>
        <w:rPr>
          <w:rFonts w:ascii="Segoe UI" w:hAnsi="Segoe UI" w:cs="Segoe UI"/>
          <w:color w:val="002060"/>
          <w:sz w:val="48"/>
          <w:szCs w:val="48"/>
          <w:lang w:val="en-AU"/>
        </w:rPr>
      </w:pPr>
      <w:r>
        <w:rPr>
          <w:rFonts w:ascii="Segoe UI" w:hAnsi="Segoe UI" w:cs="Segoe UI"/>
          <w:color w:val="002060"/>
          <w:sz w:val="48"/>
          <w:szCs w:val="48"/>
          <w:lang w:val="en-AU"/>
        </w:rPr>
        <w:t>Testing for hepatitis B virus (HBV) and hepatitis B virus surface antigen (HBsAg) to support the use of bepirovirsen in people with chronic hepatitis B (CHB)</w:t>
      </w:r>
    </w:p>
    <w:p w14:paraId="44FD303D" w14:textId="530663B1" w:rsidR="00477EE1" w:rsidRPr="00C42875" w:rsidRDefault="00D47F16" w:rsidP="00477EE1">
      <w:pPr>
        <w:pStyle w:val="Heading10"/>
        <w:jc w:val="center"/>
        <w:rPr>
          <w:color w:val="002060"/>
          <w:sz w:val="40"/>
          <w:szCs w:val="40"/>
        </w:rPr>
      </w:pPr>
      <w:r>
        <w:rPr>
          <w:color w:val="002060"/>
          <w:sz w:val="40"/>
          <w:szCs w:val="40"/>
        </w:rPr>
        <w:t xml:space="preserve">Applicant: </w:t>
      </w:r>
      <w:r>
        <w:rPr>
          <w:color w:val="002060"/>
          <w:sz w:val="40"/>
          <w:szCs w:val="40"/>
          <w:lang w:val="en-AU"/>
        </w:rPr>
        <w:t xml:space="preserve">GlaxoSmithKline </w:t>
      </w:r>
      <w:r>
        <w:rPr>
          <w:color w:val="002060"/>
          <w:sz w:val="40"/>
          <w:szCs w:val="40"/>
        </w:rPr>
        <w:t>Australia</w:t>
      </w:r>
    </w:p>
    <w:p w14:paraId="23900CA0" w14:textId="6B3DCB9D" w:rsidR="006478E7" w:rsidRPr="00490FBB" w:rsidRDefault="006478E7" w:rsidP="00BB0FFB">
      <w:pPr>
        <w:pStyle w:val="Heading1"/>
      </w:pPr>
      <w:r>
        <w:t>PICO Confirmation</w:t>
      </w:r>
      <w:r w:rsidR="004157FE">
        <w:br w:type="page"/>
      </w:r>
    </w:p>
    <w:p w14:paraId="219312C8" w14:textId="6705DB33" w:rsidR="006478E7" w:rsidRPr="00D52956" w:rsidRDefault="006478E7" w:rsidP="00BB0FFB">
      <w:pPr>
        <w:pStyle w:val="Heading2"/>
      </w:pPr>
      <w:r>
        <w:lastRenderedPageBreak/>
        <w:t>Summary of PPICO criteria to define question(s) to be addressed in an Assessment Report to the Medical Services Advisory Committee (MSAC)</w:t>
      </w:r>
    </w:p>
    <w:p w14:paraId="224459F3" w14:textId="7BD42DE0" w:rsidR="00D52956" w:rsidRDefault="00D52956" w:rsidP="00D52956">
      <w:pPr>
        <w:pStyle w:val="Caption"/>
      </w:pPr>
      <w:bookmarkStart w:id="0" w:name="_Ref69732160"/>
      <w:bookmarkStart w:id="1" w:name="_Ref69732155"/>
      <w:r>
        <w:t>Table </w:t>
      </w:r>
      <w:r>
        <w:fldChar w:fldCharType="begin"/>
      </w:r>
      <w:r>
        <w:instrText xml:space="preserve"> SEQ Table \* ARABIC </w:instrText>
      </w:r>
      <w:r>
        <w:fldChar w:fldCharType="separate"/>
      </w:r>
      <w:r w:rsidR="00A446A4">
        <w:rPr>
          <w:noProof/>
        </w:rPr>
        <w:t>1</w:t>
      </w:r>
      <w:r>
        <w:fldChar w:fldCharType="end"/>
      </w:r>
      <w:bookmarkEnd w:id="0"/>
      <w:r>
        <w:tab/>
      </w:r>
      <w:r w:rsidR="00593BE5">
        <w:t>P</w:t>
      </w:r>
      <w:r>
        <w:t>PICO for testing algorithm to support bepirovirsen treatment initiation and response monitoring in patients with chronic hepatitis B: PICO Set 1</w:t>
      </w:r>
      <w:bookmarkEnd w:id="1"/>
    </w:p>
    <w:tbl>
      <w:tblPr>
        <w:tblW w:w="50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0A0" w:firstRow="1" w:lastRow="0" w:firstColumn="1" w:lastColumn="0" w:noHBand="0" w:noVBand="0"/>
        <w:tblCaption w:val="Table 1 PPICO set 1"/>
        <w:tblDescription w:val="PPICO for testing algorithm to support bepirovirsen treatment initiation and response monitoring in patients with chronic hepatitis B."/>
      </w:tblPr>
      <w:tblGrid>
        <w:gridCol w:w="1923"/>
        <w:gridCol w:w="7643"/>
      </w:tblGrid>
      <w:tr w:rsidR="006478E7" w:rsidRPr="00490FBB" w14:paraId="2A509B30" w14:textId="77777777" w:rsidTr="53835B03">
        <w:trPr>
          <w:trHeight w:val="372"/>
          <w:tblHeader/>
        </w:trPr>
        <w:tc>
          <w:tcPr>
            <w:tcW w:w="1005" w:type="pct"/>
            <w:tcBorders>
              <w:top w:val="single" w:sz="8" w:space="0" w:color="auto"/>
              <w:left w:val="single" w:sz="8" w:space="0" w:color="auto"/>
              <w:bottom w:val="single" w:sz="8" w:space="0" w:color="auto"/>
              <w:right w:val="single" w:sz="4" w:space="0" w:color="auto"/>
            </w:tcBorders>
            <w:shd w:val="clear" w:color="auto" w:fill="D9D9D9" w:themeFill="background1" w:themeFillShade="D9"/>
            <w:vAlign w:val="center"/>
            <w:hideMark/>
          </w:tcPr>
          <w:p w14:paraId="333B8A35" w14:textId="77777777" w:rsidR="006478E7" w:rsidRPr="00490FBB" w:rsidRDefault="006478E7" w:rsidP="00C54349">
            <w:pPr>
              <w:spacing w:before="20" w:after="20" w:line="240" w:lineRule="auto"/>
              <w:rPr>
                <w:b/>
              </w:rPr>
            </w:pPr>
            <w:bookmarkStart w:id="2" w:name="Title_Table1" w:colFirst="0" w:colLast="0"/>
            <w:r>
              <w:rPr>
                <w:b/>
              </w:rPr>
              <w:t>Component</w:t>
            </w:r>
          </w:p>
        </w:tc>
        <w:tc>
          <w:tcPr>
            <w:tcW w:w="399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E31DF4F" w14:textId="77777777" w:rsidR="006478E7" w:rsidRPr="00490FBB" w:rsidRDefault="006478E7" w:rsidP="00C54349">
            <w:pPr>
              <w:spacing w:before="20" w:after="20" w:line="240" w:lineRule="auto"/>
              <w:rPr>
                <w:b/>
              </w:rPr>
            </w:pPr>
            <w:r>
              <w:rPr>
                <w:b/>
              </w:rPr>
              <w:t>Description</w:t>
            </w:r>
          </w:p>
        </w:tc>
      </w:tr>
      <w:bookmarkEnd w:id="2"/>
      <w:tr w:rsidR="006478E7" w:rsidRPr="00490FBB" w14:paraId="78E0BB65" w14:textId="77777777" w:rsidTr="53835B03">
        <w:tc>
          <w:tcPr>
            <w:tcW w:w="1005" w:type="pct"/>
            <w:tcBorders>
              <w:top w:val="single" w:sz="8" w:space="0" w:color="auto"/>
              <w:left w:val="single" w:sz="8" w:space="0" w:color="auto"/>
              <w:bottom w:val="single" w:sz="4" w:space="0" w:color="auto"/>
              <w:right w:val="single" w:sz="4" w:space="0" w:color="auto"/>
            </w:tcBorders>
            <w:hideMark/>
          </w:tcPr>
          <w:p w14:paraId="715E50D5" w14:textId="74EB4863" w:rsidR="006478E7" w:rsidRPr="00490FBB" w:rsidRDefault="00F660E8" w:rsidP="00E01349">
            <w:pPr>
              <w:spacing w:before="120" w:after="120" w:line="240" w:lineRule="auto"/>
              <w:rPr>
                <w:rFonts w:cs="Arial"/>
              </w:rPr>
            </w:pPr>
            <w:r>
              <w:rPr>
                <w:rFonts w:cs="Arial"/>
              </w:rPr>
              <w:t>Population</w:t>
            </w:r>
          </w:p>
        </w:tc>
        <w:tc>
          <w:tcPr>
            <w:tcW w:w="3995" w:type="pct"/>
            <w:tcBorders>
              <w:top w:val="single" w:sz="4" w:space="0" w:color="auto"/>
              <w:left w:val="single" w:sz="4" w:space="0" w:color="auto"/>
              <w:bottom w:val="single" w:sz="4" w:space="0" w:color="auto"/>
              <w:right w:val="single" w:sz="4" w:space="0" w:color="auto"/>
            </w:tcBorders>
            <w:hideMark/>
          </w:tcPr>
          <w:p w14:paraId="4A4FF7C2" w14:textId="7489B573" w:rsidR="00961575" w:rsidRPr="006E463A" w:rsidRDefault="00D60F1C" w:rsidP="006E463A">
            <w:pPr>
              <w:rPr>
                <w:rFonts w:cs="Arial"/>
              </w:rPr>
            </w:pPr>
            <w:r>
              <w:rPr>
                <w:rFonts w:cs="Arial"/>
              </w:rPr>
              <w:t xml:space="preserve">People diagnosed with chronic hepatitis B </w:t>
            </w:r>
            <w:r w:rsidR="00F21E88">
              <w:rPr>
                <w:rFonts w:cs="Arial"/>
              </w:rPr>
              <w:t xml:space="preserve">(CHB) </w:t>
            </w:r>
            <w:r>
              <w:rPr>
                <w:rFonts w:cs="Arial"/>
              </w:rPr>
              <w:t xml:space="preserve">on stable </w:t>
            </w:r>
            <w:r w:rsidR="00F21E88">
              <w:t>nucleos(t)ide analogue (</w:t>
            </w:r>
            <w:r>
              <w:rPr>
                <w:rFonts w:cs="Arial"/>
              </w:rPr>
              <w:t>NA</w:t>
            </w:r>
            <w:r w:rsidR="00F21E88">
              <w:rPr>
                <w:rFonts w:cs="Arial"/>
              </w:rPr>
              <w:t>)</w:t>
            </w:r>
            <w:r>
              <w:rPr>
                <w:rFonts w:cs="Arial"/>
              </w:rPr>
              <w:t xml:space="preserve"> therapy</w:t>
            </w:r>
            <w:r w:rsidR="0093799E">
              <w:rPr>
                <w:rFonts w:cs="Arial"/>
                <w:vertAlign w:val="superscript"/>
              </w:rPr>
              <w:t>a</w:t>
            </w:r>
            <w:r>
              <w:rPr>
                <w:rFonts w:cs="Arial"/>
              </w:rPr>
              <w:t xml:space="preserve"> </w:t>
            </w:r>
            <w:r w:rsidR="006D236E">
              <w:rPr>
                <w:rFonts w:cs="Arial"/>
              </w:rPr>
              <w:t xml:space="preserve">who are being assessed for </w:t>
            </w:r>
            <w:r w:rsidR="00A45FD8">
              <w:rPr>
                <w:rFonts w:cs="Arial"/>
              </w:rPr>
              <w:t xml:space="preserve">treatment with bepirovirsen or being treated with </w:t>
            </w:r>
            <w:r w:rsidR="006D236E">
              <w:rPr>
                <w:rFonts w:cs="Arial"/>
              </w:rPr>
              <w:t>bepirovirsen</w:t>
            </w:r>
            <w:r w:rsidR="00507CEF">
              <w:rPr>
                <w:rFonts w:cs="Arial"/>
              </w:rPr>
              <w:t>.</w:t>
            </w:r>
          </w:p>
        </w:tc>
      </w:tr>
      <w:tr w:rsidR="006478E7" w:rsidRPr="00490FBB" w14:paraId="2A9CC9A6" w14:textId="77777777" w:rsidTr="53835B03">
        <w:tc>
          <w:tcPr>
            <w:tcW w:w="1005" w:type="pct"/>
            <w:tcBorders>
              <w:top w:val="single" w:sz="8" w:space="0" w:color="auto"/>
              <w:left w:val="single" w:sz="8" w:space="0" w:color="auto"/>
              <w:bottom w:val="single" w:sz="4" w:space="0" w:color="auto"/>
              <w:right w:val="single" w:sz="4" w:space="0" w:color="auto"/>
            </w:tcBorders>
            <w:hideMark/>
          </w:tcPr>
          <w:p w14:paraId="75E49351" w14:textId="2631DED1" w:rsidR="006478E7" w:rsidRPr="00490FBB" w:rsidRDefault="006478E7" w:rsidP="00E01349">
            <w:pPr>
              <w:spacing w:before="120" w:after="120" w:line="240" w:lineRule="auto"/>
              <w:rPr>
                <w:rFonts w:cs="Arial"/>
              </w:rPr>
            </w:pPr>
            <w:r>
              <w:rPr>
                <w:rFonts w:cs="Arial"/>
              </w:rPr>
              <w:t xml:space="preserve">Prior tests </w:t>
            </w:r>
          </w:p>
        </w:tc>
        <w:tc>
          <w:tcPr>
            <w:tcW w:w="3995" w:type="pct"/>
            <w:tcBorders>
              <w:top w:val="single" w:sz="4" w:space="0" w:color="auto"/>
              <w:left w:val="single" w:sz="4" w:space="0" w:color="auto"/>
              <w:bottom w:val="single" w:sz="4" w:space="0" w:color="auto"/>
              <w:right w:val="single" w:sz="4" w:space="0" w:color="auto"/>
            </w:tcBorders>
            <w:hideMark/>
          </w:tcPr>
          <w:p w14:paraId="5CF47E43" w14:textId="6F897943" w:rsidR="006478E7" w:rsidRPr="00D52956" w:rsidRDefault="00D60F1C" w:rsidP="00A446A4">
            <w:r>
              <w:t xml:space="preserve">Diagnosis of </w:t>
            </w:r>
            <w:r w:rsidR="00243ACD">
              <w:t xml:space="preserve">infection with </w:t>
            </w:r>
            <w:r w:rsidR="00F21E88">
              <w:t xml:space="preserve">Hepatitis B </w:t>
            </w:r>
            <w:r w:rsidR="00243ACD">
              <w:t xml:space="preserve">virus </w:t>
            </w:r>
            <w:r w:rsidR="00F21E88">
              <w:t>(</w:t>
            </w:r>
            <w:r>
              <w:t>HBV</w:t>
            </w:r>
            <w:r w:rsidR="00F21E88">
              <w:t>)</w:t>
            </w:r>
            <w:r>
              <w:t xml:space="preserve"> by qualitative</w:t>
            </w:r>
            <w:r w:rsidR="00F21E88">
              <w:t xml:space="preserve"> </w:t>
            </w:r>
            <w:r w:rsidR="00F21E88" w:rsidRPr="00F21E88">
              <w:t>hepatitis B surface antigen</w:t>
            </w:r>
            <w:r>
              <w:t xml:space="preserve"> </w:t>
            </w:r>
            <w:r w:rsidR="00F21E88">
              <w:t>(</w:t>
            </w:r>
            <w:r>
              <w:t>HBsAg</w:t>
            </w:r>
            <w:r w:rsidR="00F21E88">
              <w:t>)</w:t>
            </w:r>
            <w:r>
              <w:t xml:space="preserve"> assay ±</w:t>
            </w:r>
            <w:r w:rsidR="001F5803">
              <w:t xml:space="preserve"> </w:t>
            </w:r>
            <w:r w:rsidR="00243ACD" w:rsidRPr="00243ACD">
              <w:t>antibody to hepatitis B core antigen</w:t>
            </w:r>
            <w:r>
              <w:t xml:space="preserve"> </w:t>
            </w:r>
            <w:r w:rsidR="00243ACD">
              <w:t>(</w:t>
            </w:r>
            <w:r>
              <w:t>anti-HBc</w:t>
            </w:r>
            <w:r w:rsidR="00243ACD">
              <w:t>)</w:t>
            </w:r>
            <w:r>
              <w:t xml:space="preserve"> and </w:t>
            </w:r>
            <w:r w:rsidR="00243ACD" w:rsidRPr="00243ACD">
              <w:t xml:space="preserve">antibody to hepatitis B surface antigen </w:t>
            </w:r>
            <w:r w:rsidR="00243ACD">
              <w:t>(</w:t>
            </w:r>
            <w:r>
              <w:t>anti-HBs)</w:t>
            </w:r>
          </w:p>
        </w:tc>
      </w:tr>
      <w:tr w:rsidR="006478E7" w:rsidRPr="00490FBB" w14:paraId="654E13A9" w14:textId="77777777" w:rsidTr="53835B03">
        <w:tc>
          <w:tcPr>
            <w:tcW w:w="1005" w:type="pct"/>
            <w:tcBorders>
              <w:top w:val="single" w:sz="4" w:space="0" w:color="auto"/>
              <w:left w:val="single" w:sz="8" w:space="0" w:color="auto"/>
              <w:bottom w:val="single" w:sz="4" w:space="0" w:color="auto"/>
              <w:right w:val="single" w:sz="4" w:space="0" w:color="auto"/>
            </w:tcBorders>
            <w:hideMark/>
          </w:tcPr>
          <w:p w14:paraId="5BF0C211" w14:textId="77777777" w:rsidR="006478E7" w:rsidRPr="00490FBB" w:rsidRDefault="006478E7" w:rsidP="00E01349">
            <w:pPr>
              <w:spacing w:before="120" w:after="120" w:line="240" w:lineRule="auto"/>
              <w:rPr>
                <w:rFonts w:cs="Arial"/>
              </w:rPr>
            </w:pPr>
            <w:r>
              <w:rPr>
                <w:rFonts w:cs="Arial"/>
              </w:rPr>
              <w:t>Intervention</w:t>
            </w:r>
          </w:p>
        </w:tc>
        <w:tc>
          <w:tcPr>
            <w:tcW w:w="3995" w:type="pct"/>
            <w:tcBorders>
              <w:top w:val="single" w:sz="4" w:space="0" w:color="auto"/>
              <w:left w:val="single" w:sz="4" w:space="0" w:color="auto"/>
              <w:bottom w:val="single" w:sz="4" w:space="0" w:color="auto"/>
              <w:right w:val="single" w:sz="4" w:space="0" w:color="auto"/>
            </w:tcBorders>
            <w:hideMark/>
          </w:tcPr>
          <w:p w14:paraId="3E51DB12" w14:textId="062F2862" w:rsidR="00497BC3" w:rsidRPr="00D52956" w:rsidRDefault="00797CAF" w:rsidP="00797CAF">
            <w:r>
              <w:t xml:space="preserve">New CHB testing algorithm that includes both quantitative </w:t>
            </w:r>
            <w:r w:rsidR="001F5803">
              <w:t xml:space="preserve">HBsAg (qHBsAg) </w:t>
            </w:r>
            <w:r>
              <w:t>and qualitative HBsAg tests and HBV DNA testing for purposes of selecting patients for bepirovirsen treatment, treatment monitoring, NA discontinuation and functional cure assessment.</w:t>
            </w:r>
          </w:p>
        </w:tc>
      </w:tr>
      <w:tr w:rsidR="006478E7" w:rsidRPr="00490FBB" w14:paraId="1F5647C3" w14:textId="77777777" w:rsidTr="53835B03">
        <w:tc>
          <w:tcPr>
            <w:tcW w:w="1005" w:type="pct"/>
            <w:tcBorders>
              <w:top w:val="single" w:sz="4" w:space="0" w:color="auto"/>
              <w:left w:val="single" w:sz="8" w:space="0" w:color="auto"/>
              <w:bottom w:val="single" w:sz="4" w:space="0" w:color="auto"/>
              <w:right w:val="single" w:sz="4" w:space="0" w:color="auto"/>
            </w:tcBorders>
            <w:hideMark/>
          </w:tcPr>
          <w:p w14:paraId="7F55173A" w14:textId="77777777" w:rsidR="006478E7" w:rsidRPr="00490FBB" w:rsidRDefault="006478E7" w:rsidP="00E01349">
            <w:pPr>
              <w:spacing w:before="120" w:after="120" w:line="240" w:lineRule="auto"/>
              <w:rPr>
                <w:rFonts w:cs="Arial"/>
              </w:rPr>
            </w:pPr>
            <w:r>
              <w:rPr>
                <w:rFonts w:cs="Arial"/>
              </w:rPr>
              <w:t>Comparator/s</w:t>
            </w:r>
          </w:p>
        </w:tc>
        <w:tc>
          <w:tcPr>
            <w:tcW w:w="3995" w:type="pct"/>
            <w:tcBorders>
              <w:top w:val="single" w:sz="4" w:space="0" w:color="auto"/>
              <w:left w:val="single" w:sz="4" w:space="0" w:color="auto"/>
              <w:bottom w:val="single" w:sz="4" w:space="0" w:color="auto"/>
              <w:right w:val="single" w:sz="4" w:space="0" w:color="auto"/>
            </w:tcBorders>
            <w:hideMark/>
          </w:tcPr>
          <w:p w14:paraId="7E690E4B" w14:textId="4B594405" w:rsidR="006478E7" w:rsidRPr="00D52956" w:rsidRDefault="00D47CA8" w:rsidP="00797CAF">
            <w:r>
              <w:t xml:space="preserve">Current </w:t>
            </w:r>
            <w:r w:rsidR="00FF4CF0">
              <w:t>standard of care</w:t>
            </w:r>
            <w:r w:rsidR="006F3A55">
              <w:t xml:space="preserve"> (</w:t>
            </w:r>
            <w:r w:rsidR="61AF5713">
              <w:t>SOC</w:t>
            </w:r>
            <w:r w:rsidR="006F3A55">
              <w:t>)</w:t>
            </w:r>
            <w:r>
              <w:t xml:space="preserve"> laboratory testing algorithm for CHB patients on stable NA therapy: HBV </w:t>
            </w:r>
            <w:r w:rsidR="61AF5713">
              <w:t>DNA</w:t>
            </w:r>
            <w:r w:rsidR="00404F75">
              <w:t xml:space="preserve"> testing </w:t>
            </w:r>
            <w:r w:rsidR="008D2360">
              <w:t>(</w:t>
            </w:r>
            <w:r w:rsidR="00404F75">
              <w:t>up to</w:t>
            </w:r>
            <w:r w:rsidR="30B710AE">
              <w:t xml:space="preserve"> </w:t>
            </w:r>
            <w:r w:rsidR="61AF5713">
              <w:t>4</w:t>
            </w:r>
            <w:r w:rsidR="00404F75">
              <w:t xml:space="preserve"> times</w:t>
            </w:r>
            <w:r w:rsidR="00F955B5">
              <w:t xml:space="preserve"> per </w:t>
            </w:r>
            <w:r>
              <w:t>year</w:t>
            </w:r>
            <w:r w:rsidR="003D5AD6">
              <w:t xml:space="preserve"> </w:t>
            </w:r>
            <w:r w:rsidR="00ED5757">
              <w:t>using</w:t>
            </w:r>
            <w:r w:rsidR="008D2360">
              <w:t xml:space="preserve"> current MBS </w:t>
            </w:r>
            <w:r w:rsidR="00ED5757">
              <w:t>items</w:t>
            </w:r>
            <w:r w:rsidR="008D2360">
              <w:t>)</w:t>
            </w:r>
            <w:r>
              <w:t>.</w:t>
            </w:r>
          </w:p>
        </w:tc>
      </w:tr>
      <w:tr w:rsidR="00C64764" w:rsidRPr="00490FBB" w14:paraId="7B9D3F1A" w14:textId="77777777" w:rsidTr="53835B03">
        <w:tc>
          <w:tcPr>
            <w:tcW w:w="1005" w:type="pct"/>
            <w:tcBorders>
              <w:top w:val="single" w:sz="4" w:space="0" w:color="auto"/>
              <w:left w:val="single" w:sz="8" w:space="0" w:color="auto"/>
              <w:bottom w:val="single" w:sz="4" w:space="0" w:color="auto"/>
              <w:right w:val="single" w:sz="4" w:space="0" w:color="auto"/>
            </w:tcBorders>
          </w:tcPr>
          <w:p w14:paraId="4C0BC8B3" w14:textId="2CB5653E" w:rsidR="00C64764" w:rsidRPr="00490FBB" w:rsidRDefault="00C64764" w:rsidP="00E01349">
            <w:pPr>
              <w:spacing w:before="120" w:after="120" w:line="240" w:lineRule="auto"/>
              <w:rPr>
                <w:rFonts w:cs="Arial"/>
              </w:rPr>
            </w:pPr>
            <w:r>
              <w:rPr>
                <w:rFonts w:cs="Arial"/>
              </w:rPr>
              <w:t xml:space="preserve">Reference standard </w:t>
            </w:r>
          </w:p>
        </w:tc>
        <w:tc>
          <w:tcPr>
            <w:tcW w:w="3995" w:type="pct"/>
            <w:tcBorders>
              <w:top w:val="single" w:sz="4" w:space="0" w:color="auto"/>
              <w:left w:val="single" w:sz="4" w:space="0" w:color="auto"/>
              <w:bottom w:val="single" w:sz="4" w:space="0" w:color="auto"/>
              <w:right w:val="single" w:sz="4" w:space="0" w:color="auto"/>
            </w:tcBorders>
          </w:tcPr>
          <w:p w14:paraId="7B1F5217" w14:textId="0CB19048" w:rsidR="006C177F" w:rsidRPr="00D52956" w:rsidRDefault="005C5B34" w:rsidP="000E45F0">
            <w:r>
              <w:t xml:space="preserve">Outcome-based clinical utility standard </w:t>
            </w:r>
            <w:r w:rsidR="00A926D1">
              <w:t>a</w:t>
            </w:r>
            <w:r w:rsidR="009719B0">
              <w:t>nchored to the B</w:t>
            </w:r>
            <w:r w:rsidR="003769AC">
              <w:t>-Well trial eligibility</w:t>
            </w:r>
            <w:r w:rsidR="00842493">
              <w:t xml:space="preserve">, </w:t>
            </w:r>
            <w:r w:rsidR="00DD1290">
              <w:t>testing schedule</w:t>
            </w:r>
            <w:r w:rsidR="00842493">
              <w:t>,</w:t>
            </w:r>
            <w:r w:rsidR="003769AC">
              <w:t xml:space="preserve"> and functional cure criteria.</w:t>
            </w:r>
            <w:r w:rsidR="00097A58" w:rsidRPr="00097A58">
              <w:t xml:space="preserve"> </w:t>
            </w:r>
          </w:p>
        </w:tc>
      </w:tr>
      <w:tr w:rsidR="00C64764" w:rsidRPr="00490FBB" w14:paraId="13D8130D" w14:textId="77777777" w:rsidTr="53835B03">
        <w:tc>
          <w:tcPr>
            <w:tcW w:w="1005" w:type="pct"/>
            <w:tcBorders>
              <w:top w:val="single" w:sz="4" w:space="0" w:color="auto"/>
              <w:left w:val="single" w:sz="8" w:space="0" w:color="auto"/>
              <w:bottom w:val="single" w:sz="4" w:space="0" w:color="auto"/>
              <w:right w:val="single" w:sz="4" w:space="0" w:color="auto"/>
            </w:tcBorders>
          </w:tcPr>
          <w:p w14:paraId="5A8AC74C" w14:textId="325CAD9F" w:rsidR="00C64764" w:rsidRPr="00490FBB" w:rsidRDefault="00C64764" w:rsidP="00E01349">
            <w:pPr>
              <w:spacing w:before="120" w:after="120" w:line="240" w:lineRule="auto"/>
              <w:rPr>
                <w:rFonts w:cs="Arial"/>
              </w:rPr>
            </w:pPr>
            <w:r>
              <w:rPr>
                <w:rFonts w:cs="Arial"/>
              </w:rPr>
              <w:t xml:space="preserve">Clinical utility standard </w:t>
            </w:r>
          </w:p>
        </w:tc>
        <w:tc>
          <w:tcPr>
            <w:tcW w:w="3995" w:type="pct"/>
            <w:tcBorders>
              <w:top w:val="single" w:sz="4" w:space="0" w:color="auto"/>
              <w:left w:val="single" w:sz="4" w:space="0" w:color="auto"/>
              <w:bottom w:val="single" w:sz="4" w:space="0" w:color="auto"/>
              <w:right w:val="single" w:sz="4" w:space="0" w:color="auto"/>
            </w:tcBorders>
          </w:tcPr>
          <w:p w14:paraId="190C9C62" w14:textId="3700622D" w:rsidR="00486E7C" w:rsidRPr="00D52956" w:rsidRDefault="001E4240" w:rsidP="005229D7">
            <w:r>
              <w:t xml:space="preserve">Roche Elecsys HBsAg II quant II immunoassay and HBV DNA </w:t>
            </w:r>
            <w:r w:rsidR="00243ACD">
              <w:t>lower limit of quantification (</w:t>
            </w:r>
            <w:r>
              <w:t>LLOQ</w:t>
            </w:r>
            <w:r w:rsidR="00243ACD">
              <w:t>)</w:t>
            </w:r>
            <w:r>
              <w:t xml:space="preserve"> is defined as being &lt;20 IU/mL, per B-Well trial protocol.</w:t>
            </w:r>
          </w:p>
        </w:tc>
      </w:tr>
      <w:tr w:rsidR="006478E7" w:rsidRPr="00557ADD" w14:paraId="591B1D2D" w14:textId="77777777" w:rsidTr="53835B03">
        <w:tc>
          <w:tcPr>
            <w:tcW w:w="1005" w:type="pct"/>
            <w:tcBorders>
              <w:top w:val="single" w:sz="4" w:space="0" w:color="auto"/>
              <w:left w:val="single" w:sz="8" w:space="0" w:color="auto"/>
              <w:bottom w:val="single" w:sz="4" w:space="0" w:color="auto"/>
              <w:right w:val="single" w:sz="4" w:space="0" w:color="auto"/>
            </w:tcBorders>
            <w:hideMark/>
          </w:tcPr>
          <w:p w14:paraId="635F9D15" w14:textId="77777777" w:rsidR="006478E7" w:rsidRPr="00490FBB" w:rsidRDefault="006478E7" w:rsidP="00E01349">
            <w:pPr>
              <w:spacing w:before="120" w:after="120" w:line="240" w:lineRule="auto"/>
              <w:rPr>
                <w:rFonts w:cs="Arial"/>
              </w:rPr>
            </w:pPr>
            <w:r>
              <w:rPr>
                <w:rFonts w:cs="Arial"/>
              </w:rPr>
              <w:t>Outcomes</w:t>
            </w:r>
          </w:p>
        </w:tc>
        <w:tc>
          <w:tcPr>
            <w:tcW w:w="3995" w:type="pct"/>
            <w:tcBorders>
              <w:top w:val="single" w:sz="4" w:space="0" w:color="auto"/>
              <w:left w:val="single" w:sz="4" w:space="0" w:color="auto"/>
              <w:bottom w:val="single" w:sz="4" w:space="0" w:color="auto"/>
              <w:right w:val="single" w:sz="4" w:space="0" w:color="auto"/>
            </w:tcBorders>
            <w:hideMark/>
          </w:tcPr>
          <w:p w14:paraId="4290130B" w14:textId="678F5215" w:rsidR="004D5E2B" w:rsidRDefault="004D5E2B" w:rsidP="00C507D2">
            <w:pPr>
              <w:spacing w:after="0"/>
            </w:pPr>
            <w:r>
              <w:t>Safety</w:t>
            </w:r>
          </w:p>
          <w:p w14:paraId="77BAA394" w14:textId="713BC9F8" w:rsidR="004D5E2B" w:rsidRDefault="00810448" w:rsidP="00881CC8">
            <w:pPr>
              <w:pStyle w:val="ListParagraph"/>
              <w:numPr>
                <w:ilvl w:val="0"/>
                <w:numId w:val="3"/>
              </w:numPr>
              <w:ind w:left="700"/>
            </w:pPr>
            <w:r>
              <w:t xml:space="preserve">Patient burden and anxiety </w:t>
            </w:r>
          </w:p>
          <w:p w14:paraId="75BB2EA9" w14:textId="729A3520" w:rsidR="00810448" w:rsidRDefault="00810448" w:rsidP="00881CC8">
            <w:pPr>
              <w:pStyle w:val="ListParagraph"/>
              <w:numPr>
                <w:ilvl w:val="0"/>
                <w:numId w:val="3"/>
              </w:numPr>
              <w:ind w:left="700"/>
            </w:pPr>
            <w:r>
              <w:t>Misclassification harm</w:t>
            </w:r>
          </w:p>
          <w:p w14:paraId="00E0EDD9" w14:textId="38A3FA9F" w:rsidR="00810448" w:rsidRDefault="00810448" w:rsidP="00881CC8">
            <w:pPr>
              <w:pStyle w:val="ListParagraph"/>
              <w:numPr>
                <w:ilvl w:val="0"/>
                <w:numId w:val="3"/>
              </w:numPr>
              <w:ind w:left="700"/>
            </w:pPr>
            <w:r>
              <w:t>Procedural risk (minor)</w:t>
            </w:r>
          </w:p>
          <w:p w14:paraId="1E3112F6" w14:textId="34A685B5" w:rsidR="004D5E2B" w:rsidRDefault="004D5E2B" w:rsidP="00C507D2">
            <w:pPr>
              <w:spacing w:after="0"/>
            </w:pPr>
            <w:r>
              <w:t>Efficacy/effectiveness</w:t>
            </w:r>
          </w:p>
          <w:p w14:paraId="05661A67" w14:textId="292BA4A6" w:rsidR="003F3838" w:rsidRPr="003F3838" w:rsidRDefault="003F3838" w:rsidP="003F3838">
            <w:pPr>
              <w:pStyle w:val="ListParagraph"/>
              <w:numPr>
                <w:ilvl w:val="0"/>
                <w:numId w:val="3"/>
              </w:numPr>
              <w:ind w:left="700"/>
            </w:pPr>
            <w:r w:rsidRPr="003F3838">
              <w:t>Analytical and diagnostic performance of q</w:t>
            </w:r>
            <w:r w:rsidR="003C3416">
              <w:t xml:space="preserve">uantitative </w:t>
            </w:r>
            <w:r w:rsidRPr="003F3838">
              <w:t>HBsAg assays</w:t>
            </w:r>
          </w:p>
          <w:p w14:paraId="7D983B02" w14:textId="164E67B6" w:rsidR="00E7268B" w:rsidRDefault="00E7268B" w:rsidP="00881CC8">
            <w:pPr>
              <w:pStyle w:val="ListParagraph"/>
              <w:numPr>
                <w:ilvl w:val="0"/>
                <w:numId w:val="3"/>
              </w:numPr>
              <w:ind w:left="700"/>
            </w:pPr>
            <w:r>
              <w:t xml:space="preserve">Concordance with the clinical utility standard </w:t>
            </w:r>
          </w:p>
          <w:p w14:paraId="5CE51CDC" w14:textId="59061241" w:rsidR="00810448" w:rsidRDefault="00810448" w:rsidP="00881CC8">
            <w:pPr>
              <w:pStyle w:val="ListParagraph"/>
              <w:numPr>
                <w:ilvl w:val="0"/>
                <w:numId w:val="3"/>
              </w:numPr>
              <w:ind w:left="700"/>
            </w:pPr>
            <w:r w:rsidRPr="00810448">
              <w:t>Accuracy of baseline qHBsAg for predicting response to bepirovirsen</w:t>
            </w:r>
          </w:p>
          <w:p w14:paraId="593B998B" w14:textId="7B288F74" w:rsidR="000E45F0" w:rsidRDefault="000E45F0" w:rsidP="00881CC8">
            <w:pPr>
              <w:pStyle w:val="ListParagraph"/>
              <w:numPr>
                <w:ilvl w:val="0"/>
                <w:numId w:val="3"/>
              </w:numPr>
              <w:ind w:left="700"/>
            </w:pPr>
            <w:r>
              <w:t>Signal-to-noise / distinguishing true response from background variation</w:t>
            </w:r>
          </w:p>
          <w:p w14:paraId="4FB80E67" w14:textId="7B5D6A12" w:rsidR="00557ADD" w:rsidRDefault="00D4328C" w:rsidP="00881CC8">
            <w:pPr>
              <w:pStyle w:val="ListParagraph"/>
              <w:numPr>
                <w:ilvl w:val="0"/>
                <w:numId w:val="3"/>
              </w:numPr>
              <w:ind w:left="700"/>
            </w:pPr>
            <w:r>
              <w:t>Bepirovirsen initiation</w:t>
            </w:r>
          </w:p>
          <w:p w14:paraId="48BE2169" w14:textId="44AF6AC2" w:rsidR="00810448" w:rsidRDefault="00810448" w:rsidP="00881CC8">
            <w:pPr>
              <w:pStyle w:val="ListParagraph"/>
              <w:numPr>
                <w:ilvl w:val="0"/>
                <w:numId w:val="3"/>
              </w:numPr>
              <w:ind w:left="700"/>
            </w:pPr>
            <w:r>
              <w:t>Treatment response at Week 12</w:t>
            </w:r>
          </w:p>
          <w:p w14:paraId="063A34D6" w14:textId="2952C3AA" w:rsidR="00D4328C" w:rsidRDefault="00D4328C" w:rsidP="00881CC8">
            <w:pPr>
              <w:pStyle w:val="ListParagraph"/>
              <w:numPr>
                <w:ilvl w:val="0"/>
                <w:numId w:val="3"/>
              </w:numPr>
              <w:ind w:left="700"/>
            </w:pPr>
            <w:r>
              <w:t>NA discontinuation at W</w:t>
            </w:r>
            <w:r w:rsidR="0064057C">
              <w:t xml:space="preserve">eek </w:t>
            </w:r>
            <w:r>
              <w:t>48</w:t>
            </w:r>
          </w:p>
          <w:p w14:paraId="77DCB775" w14:textId="5F2779CE" w:rsidR="00F42BB4" w:rsidRDefault="00557ADD" w:rsidP="00881CC8">
            <w:pPr>
              <w:pStyle w:val="ListParagraph"/>
              <w:numPr>
                <w:ilvl w:val="0"/>
                <w:numId w:val="3"/>
              </w:numPr>
              <w:ind w:left="700"/>
            </w:pPr>
            <w:r>
              <w:t>Functional cure rate at W</w:t>
            </w:r>
            <w:r w:rsidR="0064057C">
              <w:t xml:space="preserve">eek </w:t>
            </w:r>
            <w:r>
              <w:t>72 (sustained HBsAg loss + HBV DNA &lt;LLOQ at 24 weeks off-treatment)</w:t>
            </w:r>
          </w:p>
          <w:p w14:paraId="5B0EF93B" w14:textId="05AF428D" w:rsidR="00810448" w:rsidRDefault="00810448" w:rsidP="00C507D2">
            <w:pPr>
              <w:spacing w:after="0"/>
            </w:pPr>
            <w:r>
              <w:lastRenderedPageBreak/>
              <w:t>Healthcare resources</w:t>
            </w:r>
          </w:p>
          <w:p w14:paraId="4E5BFB50" w14:textId="22083D9E" w:rsidR="00E00B0B" w:rsidRDefault="00557ADD" w:rsidP="00881CC8">
            <w:pPr>
              <w:pStyle w:val="ListParagraph"/>
              <w:numPr>
                <w:ilvl w:val="0"/>
                <w:numId w:val="3"/>
              </w:numPr>
              <w:ind w:left="700"/>
            </w:pPr>
            <w:r>
              <w:t xml:space="preserve">Comparative test </w:t>
            </w:r>
            <w:r w:rsidR="0045365F">
              <w:t>utilisation</w:t>
            </w:r>
            <w:r w:rsidR="00810448">
              <w:t xml:space="preserve"> impact</w:t>
            </w:r>
          </w:p>
          <w:p w14:paraId="3F9D3C67" w14:textId="30A03C59" w:rsidR="00810448" w:rsidRDefault="00810448" w:rsidP="00C507D2">
            <w:pPr>
              <w:spacing w:after="0"/>
            </w:pPr>
            <w:r>
              <w:t>Cost-effectiveness</w:t>
            </w:r>
          </w:p>
          <w:p w14:paraId="547401EE" w14:textId="58E39B6B" w:rsidR="00810448" w:rsidRDefault="00557ADD" w:rsidP="00881CC8">
            <w:pPr>
              <w:pStyle w:val="ListParagraph"/>
              <w:numPr>
                <w:ilvl w:val="0"/>
                <w:numId w:val="3"/>
              </w:numPr>
              <w:ind w:left="700"/>
            </w:pPr>
            <w:r>
              <w:t>Cost-effectiveness</w:t>
            </w:r>
            <w:r w:rsidR="00810448">
              <w:t>/ cost -utility analysis</w:t>
            </w:r>
          </w:p>
          <w:p w14:paraId="5EE54D6A" w14:textId="2A45213C" w:rsidR="00810448" w:rsidRDefault="00810448" w:rsidP="00C507D2">
            <w:pPr>
              <w:spacing w:after="0"/>
            </w:pPr>
            <w:r>
              <w:t>Total Australian Government health care costs</w:t>
            </w:r>
          </w:p>
          <w:p w14:paraId="6F9242D7" w14:textId="2EB70E8A" w:rsidR="00557ADD" w:rsidRPr="00557ADD" w:rsidRDefault="00810448" w:rsidP="00881CC8">
            <w:pPr>
              <w:pStyle w:val="ListParagraph"/>
              <w:numPr>
                <w:ilvl w:val="0"/>
                <w:numId w:val="3"/>
              </w:numPr>
              <w:ind w:left="700"/>
            </w:pPr>
            <w:r>
              <w:t>Healthcare costs and budget impact</w:t>
            </w:r>
          </w:p>
        </w:tc>
      </w:tr>
      <w:tr w:rsidR="00BB1698" w:rsidRPr="00490FBB" w14:paraId="4A55FFDB" w14:textId="77777777" w:rsidTr="53835B03">
        <w:tc>
          <w:tcPr>
            <w:tcW w:w="1005" w:type="pct"/>
            <w:tcBorders>
              <w:top w:val="single" w:sz="4" w:space="0" w:color="auto"/>
              <w:left w:val="single" w:sz="8" w:space="0" w:color="auto"/>
              <w:bottom w:val="single" w:sz="8" w:space="0" w:color="auto"/>
              <w:right w:val="single" w:sz="4" w:space="0" w:color="auto"/>
            </w:tcBorders>
          </w:tcPr>
          <w:p w14:paraId="003B36EC" w14:textId="77777777" w:rsidR="00BB1698" w:rsidRPr="00490FBB" w:rsidRDefault="00BB1698" w:rsidP="00E01349">
            <w:pPr>
              <w:spacing w:before="120" w:after="120" w:line="240" w:lineRule="auto"/>
              <w:rPr>
                <w:rFonts w:cs="Arial"/>
              </w:rPr>
            </w:pPr>
            <w:r>
              <w:rPr>
                <w:rFonts w:cs="Arial"/>
              </w:rPr>
              <w:lastRenderedPageBreak/>
              <w:t>Assessment questions</w:t>
            </w:r>
          </w:p>
        </w:tc>
        <w:tc>
          <w:tcPr>
            <w:tcW w:w="3995" w:type="pct"/>
            <w:tcBorders>
              <w:top w:val="single" w:sz="4" w:space="0" w:color="auto"/>
              <w:left w:val="single" w:sz="4" w:space="0" w:color="auto"/>
              <w:bottom w:val="single" w:sz="4" w:space="0" w:color="auto"/>
              <w:right w:val="single" w:sz="4" w:space="0" w:color="auto"/>
            </w:tcBorders>
          </w:tcPr>
          <w:p w14:paraId="7AB69A9A" w14:textId="7295513F" w:rsidR="00ED6EF2" w:rsidRPr="00FD4C65" w:rsidRDefault="00256A5C" w:rsidP="00C507D2">
            <w:pPr>
              <w:rPr>
                <w:color w:val="000000" w:themeColor="text1"/>
              </w:rPr>
            </w:pPr>
            <w:r w:rsidRPr="001444B2">
              <w:t xml:space="preserve">What is the safety, effectiveness and cost-effectiveness of the proposed CHB testing algorithm </w:t>
            </w:r>
            <w:r w:rsidR="00ED6EF2" w:rsidRPr="001444B2">
              <w:t>versus current standard-of-care testing algorithm in patients with CHB being considered for or receiving bepirovirsen treatment?</w:t>
            </w:r>
          </w:p>
        </w:tc>
      </w:tr>
    </w:tbl>
    <w:p w14:paraId="17E005A7" w14:textId="29A20C8B" w:rsidR="007756A2" w:rsidRPr="00262571" w:rsidRDefault="002847C4" w:rsidP="00E01349">
      <w:pPr>
        <w:rPr>
          <w:sz w:val="20"/>
          <w:szCs w:val="20"/>
        </w:rPr>
      </w:pPr>
      <w:r w:rsidRPr="00262571">
        <w:rPr>
          <w:sz w:val="20"/>
          <w:szCs w:val="20"/>
          <w:vertAlign w:val="superscript"/>
        </w:rPr>
        <w:t>a</w:t>
      </w:r>
      <w:r w:rsidRPr="00262571">
        <w:rPr>
          <w:sz w:val="20"/>
          <w:szCs w:val="20"/>
        </w:rPr>
        <w:t xml:space="preserve"> </w:t>
      </w:r>
      <w:r w:rsidR="007D480B">
        <w:rPr>
          <w:sz w:val="20"/>
          <w:szCs w:val="20"/>
        </w:rPr>
        <w:t>“</w:t>
      </w:r>
      <w:r w:rsidRPr="00262571">
        <w:rPr>
          <w:i/>
          <w:iCs/>
          <w:sz w:val="20"/>
          <w:szCs w:val="20"/>
        </w:rPr>
        <w:t>Stable nucleos(t)ide analogue (NA) therapy” is defined as NA treatment for at least 6 months before screening, including at least 3 months on the current regimen if a switch has occurred for reasons other than loss of viral suppression or treatment failure, with no planned treatment changes.</w:t>
      </w:r>
    </w:p>
    <w:p w14:paraId="2E837994" w14:textId="3E332F36" w:rsidR="007756A2" w:rsidRDefault="007756A2" w:rsidP="007756A2">
      <w:pPr>
        <w:pStyle w:val="Caption"/>
      </w:pPr>
      <w:r>
        <w:t xml:space="preserve">Table </w:t>
      </w:r>
      <w:r>
        <w:fldChar w:fldCharType="begin"/>
      </w:r>
      <w:r>
        <w:instrText xml:space="preserve"> SEQ Table \* ARABIC </w:instrText>
      </w:r>
      <w:r>
        <w:fldChar w:fldCharType="separate"/>
      </w:r>
      <w:r w:rsidR="00A446A4">
        <w:rPr>
          <w:noProof/>
        </w:rPr>
        <w:t>2</w:t>
      </w:r>
      <w:r>
        <w:fldChar w:fldCharType="end"/>
      </w:r>
      <w:r>
        <w:tab/>
      </w:r>
      <w:r w:rsidR="00593BE5">
        <w:t>P</w:t>
      </w:r>
      <w:r>
        <w:t>PICO for post-treatment monitoring of functionally cured CHB patients: PICO Set 2</w:t>
      </w:r>
    </w:p>
    <w:tbl>
      <w:tblPr>
        <w:tblW w:w="50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0A0" w:firstRow="1" w:lastRow="0" w:firstColumn="1" w:lastColumn="0" w:noHBand="0" w:noVBand="0"/>
        <w:tblCaption w:val="Table 2 PPICO set 2 "/>
        <w:tblDescription w:val="PPICO for post-treatment monitoring of functunally cured CHB patients"/>
      </w:tblPr>
      <w:tblGrid>
        <w:gridCol w:w="1923"/>
        <w:gridCol w:w="7643"/>
      </w:tblGrid>
      <w:tr w:rsidR="007756A2" w:rsidRPr="00490FBB" w14:paraId="13F99B8F" w14:textId="77777777">
        <w:trPr>
          <w:trHeight w:val="372"/>
          <w:tblHeader/>
        </w:trPr>
        <w:tc>
          <w:tcPr>
            <w:tcW w:w="1005" w:type="pct"/>
            <w:tcBorders>
              <w:top w:val="single" w:sz="8" w:space="0" w:color="auto"/>
              <w:left w:val="single" w:sz="8" w:space="0" w:color="auto"/>
              <w:bottom w:val="single" w:sz="8" w:space="0" w:color="auto"/>
              <w:right w:val="single" w:sz="4" w:space="0" w:color="auto"/>
            </w:tcBorders>
            <w:shd w:val="clear" w:color="auto" w:fill="D9D9D9"/>
            <w:vAlign w:val="center"/>
            <w:hideMark/>
          </w:tcPr>
          <w:p w14:paraId="084597BC" w14:textId="77777777" w:rsidR="007756A2" w:rsidRPr="00490FBB" w:rsidRDefault="007756A2">
            <w:pPr>
              <w:spacing w:before="20" w:after="20" w:line="240" w:lineRule="auto"/>
              <w:rPr>
                <w:b/>
              </w:rPr>
            </w:pPr>
            <w:r>
              <w:rPr>
                <w:b/>
              </w:rPr>
              <w:t>Component</w:t>
            </w:r>
          </w:p>
        </w:tc>
        <w:tc>
          <w:tcPr>
            <w:tcW w:w="3995"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0DAC662" w14:textId="77777777" w:rsidR="007756A2" w:rsidRPr="00490FBB" w:rsidRDefault="007756A2">
            <w:pPr>
              <w:spacing w:before="20" w:after="20" w:line="240" w:lineRule="auto"/>
              <w:rPr>
                <w:b/>
              </w:rPr>
            </w:pPr>
            <w:r>
              <w:rPr>
                <w:b/>
              </w:rPr>
              <w:t>Description</w:t>
            </w:r>
          </w:p>
        </w:tc>
      </w:tr>
      <w:tr w:rsidR="007756A2" w:rsidRPr="00490FBB" w14:paraId="0175446F" w14:textId="77777777">
        <w:tc>
          <w:tcPr>
            <w:tcW w:w="1005" w:type="pct"/>
            <w:tcBorders>
              <w:top w:val="single" w:sz="8" w:space="0" w:color="auto"/>
              <w:left w:val="single" w:sz="8" w:space="0" w:color="auto"/>
              <w:bottom w:val="single" w:sz="4" w:space="0" w:color="auto"/>
              <w:right w:val="single" w:sz="4" w:space="0" w:color="auto"/>
            </w:tcBorders>
            <w:hideMark/>
          </w:tcPr>
          <w:p w14:paraId="69D17D76" w14:textId="77777777" w:rsidR="007756A2" w:rsidRPr="00490FBB" w:rsidRDefault="007756A2">
            <w:pPr>
              <w:spacing w:before="120" w:after="120" w:line="240" w:lineRule="auto"/>
              <w:rPr>
                <w:rFonts w:cs="Arial"/>
              </w:rPr>
            </w:pPr>
            <w:r>
              <w:rPr>
                <w:rFonts w:cs="Arial"/>
              </w:rPr>
              <w:t>Population</w:t>
            </w:r>
          </w:p>
        </w:tc>
        <w:tc>
          <w:tcPr>
            <w:tcW w:w="3995" w:type="pct"/>
            <w:tcBorders>
              <w:top w:val="single" w:sz="4" w:space="0" w:color="auto"/>
              <w:left w:val="single" w:sz="4" w:space="0" w:color="auto"/>
              <w:bottom w:val="single" w:sz="4" w:space="0" w:color="auto"/>
              <w:right w:val="single" w:sz="4" w:space="0" w:color="auto"/>
            </w:tcBorders>
            <w:hideMark/>
          </w:tcPr>
          <w:p w14:paraId="24C700C5" w14:textId="6D7FA5AB" w:rsidR="007756A2" w:rsidRPr="00797CAF" w:rsidRDefault="00D20B95">
            <w:pPr>
              <w:rPr>
                <w:rFonts w:cs="Arial"/>
              </w:rPr>
            </w:pPr>
            <w:r>
              <w:rPr>
                <w:rFonts w:cs="Arial"/>
              </w:rPr>
              <w:t xml:space="preserve">People with CHB </w:t>
            </w:r>
            <w:r w:rsidR="007756A2">
              <w:rPr>
                <w:rFonts w:cs="Arial"/>
              </w:rPr>
              <w:t xml:space="preserve">who achieve functional cure </w:t>
            </w:r>
            <w:r>
              <w:rPr>
                <w:rFonts w:cs="Arial"/>
              </w:rPr>
              <w:t>(</w:t>
            </w:r>
            <w:r>
              <w:t>defined as sustained HBsAg loss and HBV DNA below the lower limit of quantification for at least 24 weeks) following completion of a 24</w:t>
            </w:r>
            <w:r w:rsidR="000950E6">
              <w:t>-</w:t>
            </w:r>
            <w:r>
              <w:t>week course of bepirovirsen therapy</w:t>
            </w:r>
            <w:r>
              <w:rPr>
                <w:rFonts w:cs="Arial"/>
              </w:rPr>
              <w:t xml:space="preserve"> </w:t>
            </w:r>
            <w:r w:rsidR="007756A2">
              <w:rPr>
                <w:rFonts w:cs="Arial"/>
              </w:rPr>
              <w:t>and have ceased NA therapy.</w:t>
            </w:r>
          </w:p>
        </w:tc>
      </w:tr>
      <w:tr w:rsidR="007756A2" w:rsidRPr="00490FBB" w14:paraId="6F689B22" w14:textId="77777777">
        <w:tc>
          <w:tcPr>
            <w:tcW w:w="1005" w:type="pct"/>
            <w:tcBorders>
              <w:top w:val="single" w:sz="8" w:space="0" w:color="auto"/>
              <w:left w:val="single" w:sz="8" w:space="0" w:color="auto"/>
              <w:bottom w:val="single" w:sz="4" w:space="0" w:color="auto"/>
              <w:right w:val="single" w:sz="4" w:space="0" w:color="auto"/>
            </w:tcBorders>
            <w:hideMark/>
          </w:tcPr>
          <w:p w14:paraId="0ACF1904" w14:textId="77777777" w:rsidR="007756A2" w:rsidRPr="00490FBB" w:rsidRDefault="007756A2">
            <w:pPr>
              <w:spacing w:before="120" w:after="120" w:line="240" w:lineRule="auto"/>
              <w:rPr>
                <w:rFonts w:cs="Arial"/>
              </w:rPr>
            </w:pPr>
            <w:r>
              <w:rPr>
                <w:rFonts w:cs="Arial"/>
              </w:rPr>
              <w:t xml:space="preserve">Prior tests </w:t>
            </w:r>
          </w:p>
        </w:tc>
        <w:tc>
          <w:tcPr>
            <w:tcW w:w="3995" w:type="pct"/>
            <w:tcBorders>
              <w:top w:val="single" w:sz="4" w:space="0" w:color="auto"/>
              <w:left w:val="single" w:sz="4" w:space="0" w:color="auto"/>
              <w:bottom w:val="single" w:sz="4" w:space="0" w:color="auto"/>
              <w:right w:val="single" w:sz="4" w:space="0" w:color="auto"/>
            </w:tcBorders>
            <w:hideMark/>
          </w:tcPr>
          <w:p w14:paraId="45FF54E4" w14:textId="4AE66E5C" w:rsidR="007756A2" w:rsidRPr="00D52956" w:rsidRDefault="007756A2" w:rsidP="00805432">
            <w:r>
              <w:t>Confirmation of functional cure status, defined as HBsAg loss and HBV DNA &lt;LLOQ, sustained over 24 weeks off-treatment</w:t>
            </w:r>
            <w:r w:rsidR="00D20B95">
              <w:t>.</w:t>
            </w:r>
          </w:p>
        </w:tc>
      </w:tr>
      <w:tr w:rsidR="007756A2" w:rsidRPr="00490FBB" w14:paraId="0CCC43B9" w14:textId="77777777">
        <w:tc>
          <w:tcPr>
            <w:tcW w:w="1005" w:type="pct"/>
            <w:tcBorders>
              <w:top w:val="single" w:sz="4" w:space="0" w:color="auto"/>
              <w:left w:val="single" w:sz="8" w:space="0" w:color="auto"/>
              <w:bottom w:val="single" w:sz="4" w:space="0" w:color="auto"/>
              <w:right w:val="single" w:sz="4" w:space="0" w:color="auto"/>
            </w:tcBorders>
            <w:hideMark/>
          </w:tcPr>
          <w:p w14:paraId="1B1469E1" w14:textId="77777777" w:rsidR="007756A2" w:rsidRPr="00490FBB" w:rsidRDefault="007756A2">
            <w:pPr>
              <w:spacing w:before="120" w:after="120" w:line="240" w:lineRule="auto"/>
              <w:rPr>
                <w:rFonts w:cs="Arial"/>
              </w:rPr>
            </w:pPr>
            <w:r>
              <w:rPr>
                <w:rFonts w:cs="Arial"/>
              </w:rPr>
              <w:t>Intervention</w:t>
            </w:r>
          </w:p>
        </w:tc>
        <w:tc>
          <w:tcPr>
            <w:tcW w:w="3995" w:type="pct"/>
            <w:tcBorders>
              <w:top w:val="single" w:sz="4" w:space="0" w:color="auto"/>
              <w:left w:val="single" w:sz="4" w:space="0" w:color="auto"/>
              <w:bottom w:val="single" w:sz="4" w:space="0" w:color="auto"/>
              <w:right w:val="single" w:sz="4" w:space="0" w:color="auto"/>
            </w:tcBorders>
            <w:hideMark/>
          </w:tcPr>
          <w:p w14:paraId="792EA065" w14:textId="5D7EE75B" w:rsidR="007756A2" w:rsidRPr="00D52956" w:rsidRDefault="007756A2">
            <w:r>
              <w:t xml:space="preserve">Ongoing tapered monitoring of HBsAg and HBV DNA. HBV DNA testing only if HBsAg </w:t>
            </w:r>
            <w:r w:rsidR="00A75F65">
              <w:t xml:space="preserve">test result is </w:t>
            </w:r>
            <w:r>
              <w:t>positive.</w:t>
            </w:r>
          </w:p>
        </w:tc>
      </w:tr>
      <w:tr w:rsidR="007756A2" w:rsidRPr="00490FBB" w14:paraId="0A00B817" w14:textId="77777777">
        <w:tc>
          <w:tcPr>
            <w:tcW w:w="1005" w:type="pct"/>
            <w:tcBorders>
              <w:top w:val="single" w:sz="4" w:space="0" w:color="auto"/>
              <w:left w:val="single" w:sz="8" w:space="0" w:color="auto"/>
              <w:bottom w:val="single" w:sz="4" w:space="0" w:color="auto"/>
              <w:right w:val="single" w:sz="4" w:space="0" w:color="auto"/>
            </w:tcBorders>
            <w:hideMark/>
          </w:tcPr>
          <w:p w14:paraId="134EBB98" w14:textId="77777777" w:rsidR="007756A2" w:rsidRPr="00490FBB" w:rsidRDefault="007756A2">
            <w:pPr>
              <w:spacing w:before="120" w:after="120" w:line="240" w:lineRule="auto"/>
              <w:rPr>
                <w:rFonts w:cs="Arial"/>
              </w:rPr>
            </w:pPr>
            <w:r>
              <w:rPr>
                <w:rFonts w:cs="Arial"/>
              </w:rPr>
              <w:t>Comparator/s</w:t>
            </w:r>
          </w:p>
        </w:tc>
        <w:tc>
          <w:tcPr>
            <w:tcW w:w="3995" w:type="pct"/>
            <w:tcBorders>
              <w:top w:val="single" w:sz="4" w:space="0" w:color="auto"/>
              <w:left w:val="single" w:sz="4" w:space="0" w:color="auto"/>
              <w:bottom w:val="single" w:sz="4" w:space="0" w:color="auto"/>
              <w:right w:val="single" w:sz="4" w:space="0" w:color="auto"/>
            </w:tcBorders>
            <w:hideMark/>
          </w:tcPr>
          <w:p w14:paraId="4E7F7036" w14:textId="24BCDA1D" w:rsidR="007756A2" w:rsidRPr="00D52956" w:rsidRDefault="00660F30">
            <w:r>
              <w:t>Current EASL guideline-recommended monitoring after confirmed HBsAg loss</w:t>
            </w:r>
            <w:r w:rsidR="002A65AA">
              <w:t>/functional cure</w:t>
            </w:r>
            <w:r>
              <w:t xml:space="preserve"> on NA therapy (Year 1: 4x HBV DNA; Year 2+: 1-2x HBV DNA)</w:t>
            </w:r>
          </w:p>
        </w:tc>
      </w:tr>
      <w:tr w:rsidR="007756A2" w:rsidRPr="00490FBB" w14:paraId="79C9681E" w14:textId="77777777">
        <w:tc>
          <w:tcPr>
            <w:tcW w:w="1005" w:type="pct"/>
            <w:tcBorders>
              <w:top w:val="single" w:sz="4" w:space="0" w:color="auto"/>
              <w:left w:val="single" w:sz="8" w:space="0" w:color="auto"/>
              <w:bottom w:val="single" w:sz="4" w:space="0" w:color="auto"/>
              <w:right w:val="single" w:sz="4" w:space="0" w:color="auto"/>
            </w:tcBorders>
          </w:tcPr>
          <w:p w14:paraId="58A2F01E" w14:textId="76196041" w:rsidR="007756A2" w:rsidRPr="00490FBB" w:rsidRDefault="007756A2">
            <w:pPr>
              <w:spacing w:before="120" w:after="120" w:line="240" w:lineRule="auto"/>
              <w:rPr>
                <w:rFonts w:cs="Arial"/>
              </w:rPr>
            </w:pPr>
            <w:r>
              <w:rPr>
                <w:rFonts w:cs="Arial"/>
              </w:rPr>
              <w:t xml:space="preserve">Reference standard </w:t>
            </w:r>
          </w:p>
        </w:tc>
        <w:tc>
          <w:tcPr>
            <w:tcW w:w="3995" w:type="pct"/>
            <w:tcBorders>
              <w:top w:val="single" w:sz="4" w:space="0" w:color="auto"/>
              <w:left w:val="single" w:sz="4" w:space="0" w:color="auto"/>
              <w:bottom w:val="single" w:sz="4" w:space="0" w:color="auto"/>
              <w:right w:val="single" w:sz="4" w:space="0" w:color="auto"/>
            </w:tcBorders>
          </w:tcPr>
          <w:p w14:paraId="7DE29DB7" w14:textId="740FEAC6" w:rsidR="007756A2" w:rsidRPr="00D52956" w:rsidRDefault="004406AD">
            <w:r>
              <w:t xml:space="preserve">Longitudinal </w:t>
            </w:r>
            <w:r w:rsidR="0045502F">
              <w:t xml:space="preserve">follow-up assessing </w:t>
            </w:r>
            <w:r>
              <w:t>maintenance</w:t>
            </w:r>
            <w:r w:rsidR="00BC66AB">
              <w:t xml:space="preserve"> or loss of functional cure</w:t>
            </w:r>
            <w:r w:rsidR="00B82E39">
              <w:t xml:space="preserve">, </w:t>
            </w:r>
            <w:r w:rsidR="00C42332">
              <w:t>based on</w:t>
            </w:r>
            <w:r>
              <w:t xml:space="preserve"> HBsAg</w:t>
            </w:r>
            <w:r w:rsidR="00B82E39">
              <w:t xml:space="preserve"> and </w:t>
            </w:r>
            <w:r>
              <w:t xml:space="preserve">HBV DNA </w:t>
            </w:r>
            <w:r w:rsidR="00C42332">
              <w:t xml:space="preserve">results </w:t>
            </w:r>
            <w:r w:rsidR="00033A90">
              <w:t>and their consequences</w:t>
            </w:r>
            <w:r>
              <w:t xml:space="preserve"> for </w:t>
            </w:r>
            <w:r w:rsidR="00033A90">
              <w:t>clinical management</w:t>
            </w:r>
            <w:r w:rsidR="00097A58" w:rsidRPr="00097A58">
              <w:t xml:space="preserve">. </w:t>
            </w:r>
          </w:p>
        </w:tc>
      </w:tr>
      <w:tr w:rsidR="007756A2" w:rsidRPr="00490FBB" w14:paraId="56AD903A" w14:textId="77777777">
        <w:tc>
          <w:tcPr>
            <w:tcW w:w="1005" w:type="pct"/>
            <w:tcBorders>
              <w:top w:val="single" w:sz="4" w:space="0" w:color="auto"/>
              <w:left w:val="single" w:sz="8" w:space="0" w:color="auto"/>
              <w:bottom w:val="single" w:sz="4" w:space="0" w:color="auto"/>
              <w:right w:val="single" w:sz="4" w:space="0" w:color="auto"/>
            </w:tcBorders>
          </w:tcPr>
          <w:p w14:paraId="3EAC43CE" w14:textId="01455898" w:rsidR="007756A2" w:rsidRPr="00490FBB" w:rsidRDefault="007756A2">
            <w:pPr>
              <w:spacing w:before="120" w:after="120" w:line="240" w:lineRule="auto"/>
              <w:rPr>
                <w:rFonts w:cs="Arial"/>
              </w:rPr>
            </w:pPr>
            <w:r>
              <w:rPr>
                <w:rFonts w:cs="Arial"/>
              </w:rPr>
              <w:t xml:space="preserve">Clinical utility standard </w:t>
            </w:r>
          </w:p>
        </w:tc>
        <w:tc>
          <w:tcPr>
            <w:tcW w:w="3995" w:type="pct"/>
            <w:tcBorders>
              <w:top w:val="single" w:sz="4" w:space="0" w:color="auto"/>
              <w:left w:val="single" w:sz="4" w:space="0" w:color="auto"/>
              <w:bottom w:val="single" w:sz="4" w:space="0" w:color="auto"/>
              <w:right w:val="single" w:sz="4" w:space="0" w:color="auto"/>
            </w:tcBorders>
          </w:tcPr>
          <w:p w14:paraId="55E53EF8" w14:textId="6D8BDA0A" w:rsidR="007756A2" w:rsidRPr="00D52956" w:rsidRDefault="001F5803" w:rsidP="00660F30">
            <w:r w:rsidRPr="001F5803">
              <w:t>Per B-Well 1/2 trial protocol, Roche Elecsys HBsAg II Quant II immunoassay and HBV DNA LLOQ &lt;20 IU/mL. Evidence of functional cure durability following bepirovirsen treatment is not yet mature.</w:t>
            </w:r>
          </w:p>
        </w:tc>
      </w:tr>
      <w:tr w:rsidR="007756A2" w:rsidRPr="00557ADD" w14:paraId="22D1BD90" w14:textId="77777777">
        <w:tc>
          <w:tcPr>
            <w:tcW w:w="1005" w:type="pct"/>
            <w:tcBorders>
              <w:top w:val="single" w:sz="4" w:space="0" w:color="auto"/>
              <w:left w:val="single" w:sz="8" w:space="0" w:color="auto"/>
              <w:bottom w:val="single" w:sz="4" w:space="0" w:color="auto"/>
              <w:right w:val="single" w:sz="4" w:space="0" w:color="auto"/>
            </w:tcBorders>
            <w:hideMark/>
          </w:tcPr>
          <w:p w14:paraId="5B82DCA2" w14:textId="77777777" w:rsidR="007756A2" w:rsidRPr="00490FBB" w:rsidRDefault="007756A2">
            <w:pPr>
              <w:spacing w:before="120" w:after="120" w:line="240" w:lineRule="auto"/>
              <w:rPr>
                <w:rFonts w:cs="Arial"/>
              </w:rPr>
            </w:pPr>
            <w:r>
              <w:rPr>
                <w:rFonts w:cs="Arial"/>
              </w:rPr>
              <w:t>Outcomes</w:t>
            </w:r>
          </w:p>
        </w:tc>
        <w:tc>
          <w:tcPr>
            <w:tcW w:w="3995" w:type="pct"/>
            <w:tcBorders>
              <w:top w:val="single" w:sz="4" w:space="0" w:color="auto"/>
              <w:left w:val="single" w:sz="4" w:space="0" w:color="auto"/>
              <w:bottom w:val="single" w:sz="4" w:space="0" w:color="auto"/>
              <w:right w:val="single" w:sz="4" w:space="0" w:color="auto"/>
            </w:tcBorders>
            <w:hideMark/>
          </w:tcPr>
          <w:p w14:paraId="6DA74616" w14:textId="59EF11DC" w:rsidR="00810448" w:rsidRDefault="00810448" w:rsidP="00C507D2">
            <w:pPr>
              <w:spacing w:after="0"/>
            </w:pPr>
            <w:r>
              <w:t>Safety</w:t>
            </w:r>
          </w:p>
          <w:p w14:paraId="4C19EA6E" w14:textId="019A9A43" w:rsidR="00810448" w:rsidRDefault="00810448" w:rsidP="00881CC8">
            <w:pPr>
              <w:pStyle w:val="ListParagraph"/>
              <w:numPr>
                <w:ilvl w:val="0"/>
                <w:numId w:val="3"/>
              </w:numPr>
              <w:ind w:left="700"/>
            </w:pPr>
            <w:r>
              <w:t>Safety of the proposed tapered monitoring schedule</w:t>
            </w:r>
          </w:p>
          <w:p w14:paraId="3C0940B7" w14:textId="77F57B79" w:rsidR="00810448" w:rsidRDefault="00810448" w:rsidP="00881CC8">
            <w:pPr>
              <w:pStyle w:val="ListParagraph"/>
              <w:numPr>
                <w:ilvl w:val="0"/>
                <w:numId w:val="3"/>
              </w:numPr>
              <w:ind w:left="700"/>
            </w:pPr>
            <w:r>
              <w:t>Safety of NA therapy reinitiation when triggered by monitoring results</w:t>
            </w:r>
          </w:p>
          <w:p w14:paraId="09DF0651" w14:textId="3CE104F6" w:rsidR="00E00B0B" w:rsidRDefault="00E00B0B" w:rsidP="00607D7C">
            <w:pPr>
              <w:keepNext/>
              <w:keepLines/>
              <w:spacing w:after="0"/>
            </w:pPr>
            <w:r>
              <w:lastRenderedPageBreak/>
              <w:t>Efficacy/effectiveness</w:t>
            </w:r>
          </w:p>
          <w:p w14:paraId="6B348913" w14:textId="10963621" w:rsidR="004F5AF0" w:rsidRDefault="004F5AF0" w:rsidP="00607D7C">
            <w:pPr>
              <w:pStyle w:val="ListParagraph"/>
              <w:keepNext/>
              <w:keepLines/>
              <w:numPr>
                <w:ilvl w:val="0"/>
                <w:numId w:val="3"/>
              </w:numPr>
              <w:ind w:left="700"/>
            </w:pPr>
            <w:r>
              <w:t>Suitability for monitoring/ signal-to-noise, particularly at the lowest testing frequency (Year 3+)</w:t>
            </w:r>
          </w:p>
          <w:p w14:paraId="4209DB0E" w14:textId="0003B631" w:rsidR="00486E7C" w:rsidRDefault="004E7EE6" w:rsidP="00881CC8">
            <w:pPr>
              <w:pStyle w:val="ListParagraph"/>
              <w:numPr>
                <w:ilvl w:val="0"/>
                <w:numId w:val="3"/>
              </w:numPr>
              <w:ind w:left="700"/>
            </w:pPr>
            <w:r>
              <w:t>Detection of virological/serological relapse</w:t>
            </w:r>
          </w:p>
          <w:p w14:paraId="608C4450" w14:textId="07F3D1CB" w:rsidR="00486E7C" w:rsidRDefault="004E7EE6" w:rsidP="00881CC8">
            <w:pPr>
              <w:pStyle w:val="ListParagraph"/>
              <w:numPr>
                <w:ilvl w:val="0"/>
                <w:numId w:val="3"/>
              </w:numPr>
              <w:ind w:left="700"/>
            </w:pPr>
            <w:r>
              <w:t>Reinitiation of NA therapy if relapse detected</w:t>
            </w:r>
          </w:p>
          <w:p w14:paraId="40AF60E8" w14:textId="45D06650" w:rsidR="00486E7C" w:rsidRDefault="004F5AF0" w:rsidP="00881CC8">
            <w:pPr>
              <w:pStyle w:val="ListParagraph"/>
              <w:numPr>
                <w:ilvl w:val="0"/>
                <w:numId w:val="3"/>
              </w:numPr>
              <w:ind w:left="700"/>
            </w:pPr>
            <w:r>
              <w:t>Durability of functional cure</w:t>
            </w:r>
          </w:p>
          <w:p w14:paraId="4C5801FB" w14:textId="29389FDB" w:rsidR="004F5AF0" w:rsidRDefault="00E00B0B" w:rsidP="00C507D2">
            <w:pPr>
              <w:spacing w:after="0"/>
            </w:pPr>
            <w:r>
              <w:t>Healthcare resources</w:t>
            </w:r>
          </w:p>
          <w:p w14:paraId="6D57EA46" w14:textId="3D31E9F3" w:rsidR="00E00B0B" w:rsidRDefault="00E00B0B" w:rsidP="00881CC8">
            <w:pPr>
              <w:pStyle w:val="ListParagraph"/>
              <w:numPr>
                <w:ilvl w:val="0"/>
                <w:numId w:val="34"/>
              </w:numPr>
              <w:ind w:left="700"/>
            </w:pPr>
            <w:r w:rsidRPr="00E00B0B">
              <w:t>Downstream resource use associated with monitoring and any subsequent retreatment</w:t>
            </w:r>
          </w:p>
          <w:p w14:paraId="056053CF" w14:textId="6F7F52DF" w:rsidR="00E00B0B" w:rsidRDefault="00E00B0B" w:rsidP="00C507D2">
            <w:pPr>
              <w:spacing w:after="0"/>
            </w:pPr>
            <w:r>
              <w:t>Cost-effectiveness</w:t>
            </w:r>
          </w:p>
          <w:p w14:paraId="5B85A455" w14:textId="56935BCD" w:rsidR="00E00B0B" w:rsidRDefault="00E00B0B" w:rsidP="00881CC8">
            <w:pPr>
              <w:pStyle w:val="ListParagraph"/>
              <w:numPr>
                <w:ilvl w:val="0"/>
                <w:numId w:val="34"/>
              </w:numPr>
              <w:ind w:left="700"/>
            </w:pPr>
            <w:r>
              <w:t>Cost-effectiveness/cost-utility analysis</w:t>
            </w:r>
          </w:p>
          <w:p w14:paraId="13333B14" w14:textId="7627D3DC" w:rsidR="00E00B0B" w:rsidRDefault="00E00B0B" w:rsidP="00C507D2">
            <w:pPr>
              <w:spacing w:after="0"/>
            </w:pPr>
            <w:r>
              <w:t>Total Australian Government health care costs</w:t>
            </w:r>
          </w:p>
          <w:p w14:paraId="3E501F68" w14:textId="1A930464" w:rsidR="008326A0" w:rsidRPr="00557ADD" w:rsidRDefault="00E00B0B" w:rsidP="00881CC8">
            <w:pPr>
              <w:pStyle w:val="ListParagraph"/>
              <w:numPr>
                <w:ilvl w:val="0"/>
                <w:numId w:val="3"/>
              </w:numPr>
              <w:ind w:left="700"/>
            </w:pPr>
            <w:r>
              <w:t>Healthcare costs and budget impact</w:t>
            </w:r>
            <w:r w:rsidDel="00E00B0B">
              <w:t xml:space="preserve"> </w:t>
            </w:r>
          </w:p>
        </w:tc>
      </w:tr>
      <w:tr w:rsidR="007756A2" w:rsidRPr="00490FBB" w14:paraId="4E79F795" w14:textId="77777777">
        <w:tc>
          <w:tcPr>
            <w:tcW w:w="1005" w:type="pct"/>
            <w:tcBorders>
              <w:top w:val="single" w:sz="4" w:space="0" w:color="auto"/>
              <w:left w:val="single" w:sz="8" w:space="0" w:color="auto"/>
              <w:bottom w:val="single" w:sz="8" w:space="0" w:color="auto"/>
              <w:right w:val="single" w:sz="4" w:space="0" w:color="auto"/>
            </w:tcBorders>
          </w:tcPr>
          <w:p w14:paraId="63620804" w14:textId="77777777" w:rsidR="007756A2" w:rsidRPr="00490FBB" w:rsidRDefault="007756A2">
            <w:pPr>
              <w:spacing w:before="120" w:after="120" w:line="240" w:lineRule="auto"/>
              <w:rPr>
                <w:rFonts w:cs="Arial"/>
              </w:rPr>
            </w:pPr>
            <w:r>
              <w:rPr>
                <w:rFonts w:cs="Arial"/>
              </w:rPr>
              <w:lastRenderedPageBreak/>
              <w:t>Assessment questions</w:t>
            </w:r>
          </w:p>
        </w:tc>
        <w:tc>
          <w:tcPr>
            <w:tcW w:w="3995" w:type="pct"/>
            <w:tcBorders>
              <w:top w:val="single" w:sz="4" w:space="0" w:color="auto"/>
              <w:left w:val="single" w:sz="4" w:space="0" w:color="auto"/>
              <w:bottom w:val="single" w:sz="4" w:space="0" w:color="auto"/>
              <w:right w:val="single" w:sz="4" w:space="0" w:color="auto"/>
            </w:tcBorders>
          </w:tcPr>
          <w:p w14:paraId="42DA5EF7" w14:textId="040C4F6D" w:rsidR="00ED6EF2" w:rsidRPr="00FD4C65" w:rsidRDefault="00ED6EF2" w:rsidP="00972A8F">
            <w:r w:rsidRPr="009135A4">
              <w:t>What is the comparative safety, effectiveness and cost-effectiveness of the proposed post-functional cure monitoring algorithm versus current post-treatment monitoring in patients with CHB who have achieved functional cure following bepirovirsen treatment?</w:t>
            </w:r>
          </w:p>
        </w:tc>
      </w:tr>
    </w:tbl>
    <w:p w14:paraId="5D5376EF" w14:textId="6D3B52AF" w:rsidR="006478E7" w:rsidRPr="00490FBB" w:rsidRDefault="006478E7" w:rsidP="00E01349">
      <w:r>
        <w:br w:type="page"/>
      </w:r>
    </w:p>
    <w:p w14:paraId="53297713" w14:textId="15775986" w:rsidR="00912660" w:rsidRDefault="00912660" w:rsidP="00713728">
      <w:pPr>
        <w:pStyle w:val="Heading2"/>
      </w:pPr>
      <w:r>
        <w:lastRenderedPageBreak/>
        <w:t>Purpose of application</w:t>
      </w:r>
    </w:p>
    <w:p w14:paraId="6DAE944B" w14:textId="3CB17C4E" w:rsidR="004C2C5E" w:rsidRDefault="004C2C5E" w:rsidP="004C2C5E">
      <w:pPr>
        <w:spacing w:after="240"/>
        <w:rPr>
          <w:iCs/>
        </w:rPr>
      </w:pPr>
      <w:r>
        <w:rPr>
          <w:iCs/>
        </w:rPr>
        <w:t>An application requesting a change to the</w:t>
      </w:r>
      <w:r>
        <w:t xml:space="preserve"> Medicare Benefits Schedule</w:t>
      </w:r>
      <w:r>
        <w:rPr>
          <w:iCs/>
        </w:rPr>
        <w:t xml:space="preserve"> (MBS) items </w:t>
      </w:r>
      <w:r w:rsidRPr="00627777">
        <w:rPr>
          <w:iCs/>
        </w:rPr>
        <w:t>and/or</w:t>
      </w:r>
      <w:r>
        <w:rPr>
          <w:iCs/>
        </w:rPr>
        <w:t xml:space="preserve"> listing of new MBS items to support </w:t>
      </w:r>
      <w:r w:rsidR="00696617">
        <w:t xml:space="preserve">a </w:t>
      </w:r>
      <w:r w:rsidR="7629B300">
        <w:t>P</w:t>
      </w:r>
      <w:r w:rsidR="009C6DD1">
        <w:t xml:space="preserve">harmaceutical </w:t>
      </w:r>
      <w:r w:rsidR="7629B300">
        <w:t>B</w:t>
      </w:r>
      <w:r w:rsidR="009C6DD1">
        <w:t xml:space="preserve">enefits </w:t>
      </w:r>
      <w:r w:rsidR="7629B300">
        <w:t>S</w:t>
      </w:r>
      <w:r w:rsidR="00FB619F">
        <w:t xml:space="preserve">chedule </w:t>
      </w:r>
      <w:r w:rsidR="00652AAE">
        <w:t>(PBS)</w:t>
      </w:r>
      <w:r w:rsidR="7629B300">
        <w:t>-subsidised</w:t>
      </w:r>
      <w:r>
        <w:t xml:space="preserve"> </w:t>
      </w:r>
      <w:r>
        <w:rPr>
          <w:iCs/>
        </w:rPr>
        <w:t>bepirovirsen treatment pathway for patients with chronic hepatitis B (CHB) was received from GlaxoSmithKline Australia by the Department of Health</w:t>
      </w:r>
      <w:r w:rsidR="0DFFD316">
        <w:t>, Disability and Ageing</w:t>
      </w:r>
      <w:r>
        <w:rPr>
          <w:iCs/>
        </w:rPr>
        <w:t>.</w:t>
      </w:r>
    </w:p>
    <w:p w14:paraId="69031024" w14:textId="069DA309" w:rsidR="00B43366" w:rsidRPr="00B43366" w:rsidRDefault="00D24EC2" w:rsidP="00B43366">
      <w:r w:rsidRPr="00D24EC2">
        <w:t xml:space="preserve">Bepirovirsen is not currently </w:t>
      </w:r>
      <w:r>
        <w:t xml:space="preserve">listed on </w:t>
      </w:r>
      <w:r w:rsidR="00B47C78">
        <w:t xml:space="preserve">the </w:t>
      </w:r>
      <w:r w:rsidRPr="00D24EC2">
        <w:t xml:space="preserve">PBS. The applicant advises that </w:t>
      </w:r>
      <w:r w:rsidR="00B47C78">
        <w:t>a</w:t>
      </w:r>
      <w:r w:rsidRPr="00D24EC2">
        <w:t xml:space="preserve"> </w:t>
      </w:r>
      <w:r w:rsidR="00776DB3" w:rsidRPr="00D24EC2">
        <w:t xml:space="preserve">submission </w:t>
      </w:r>
      <w:r w:rsidR="00776DB3">
        <w:t xml:space="preserve">to the </w:t>
      </w:r>
      <w:r w:rsidRPr="00D24EC2">
        <w:t>Pharmaceutical Benefits Advisory Committee</w:t>
      </w:r>
      <w:r>
        <w:t xml:space="preserve"> (</w:t>
      </w:r>
      <w:r w:rsidRPr="00D24EC2">
        <w:t>PBAC</w:t>
      </w:r>
      <w:r>
        <w:t>)</w:t>
      </w:r>
      <w:r w:rsidRPr="00D24EC2">
        <w:t xml:space="preserve"> is planned for la</w:t>
      </w:r>
      <w:r>
        <w:t>te 2026</w:t>
      </w:r>
      <w:r w:rsidRPr="00D24EC2">
        <w:t xml:space="preserve">. </w:t>
      </w:r>
      <w:r w:rsidR="00B43366">
        <w:t xml:space="preserve">The </w:t>
      </w:r>
      <w:r w:rsidR="00E32EC4">
        <w:t>proposed testing algorithm is intended to support patient selection, treatment monitoring</w:t>
      </w:r>
      <w:r w:rsidR="00776DB3">
        <w:t>,</w:t>
      </w:r>
      <w:r w:rsidR="00E32EC4">
        <w:t xml:space="preserve"> and assessment </w:t>
      </w:r>
      <w:r w:rsidR="009A3846">
        <w:t xml:space="preserve">of functional </w:t>
      </w:r>
      <w:r w:rsidR="008B323E">
        <w:t>cure associated with bepi</w:t>
      </w:r>
      <w:r w:rsidR="00CE5E98">
        <w:t>rovirsen</w:t>
      </w:r>
      <w:r w:rsidR="009E02BB">
        <w:t xml:space="preserve"> treatment. Without access </w:t>
      </w:r>
      <w:r w:rsidR="00575233">
        <w:t>to bepirovirsen</w:t>
      </w:r>
      <w:r w:rsidR="00CE5E98">
        <w:t xml:space="preserve">, there is </w:t>
      </w:r>
      <w:r w:rsidR="00FD6A81">
        <w:t xml:space="preserve">limited clinical need for the proposed testing pathway. </w:t>
      </w:r>
      <w:r w:rsidR="00D165C5">
        <w:t>In turn, t</w:t>
      </w:r>
      <w:r w:rsidR="00FD6A81">
        <w:t>he proposed bepirovirsen treatment pathway rel</w:t>
      </w:r>
      <w:r w:rsidR="009731BB">
        <w:t xml:space="preserve">ies on access to the relevant </w:t>
      </w:r>
      <w:r w:rsidR="00AE112E">
        <w:t>biomarker testing to determine treatment eligibility, monitor</w:t>
      </w:r>
      <w:r w:rsidR="00776DB3">
        <w:t xml:space="preserve"> treatment</w:t>
      </w:r>
      <w:r w:rsidR="00AE112E">
        <w:t xml:space="preserve"> response and assess functional cure</w:t>
      </w:r>
      <w:r w:rsidR="00B43366">
        <w:t>.</w:t>
      </w:r>
    </w:p>
    <w:p w14:paraId="18E66948" w14:textId="5503869C" w:rsidR="00D73332" w:rsidRPr="00FD4C65" w:rsidRDefault="00D73332" w:rsidP="00FD4C65">
      <w:pPr>
        <w:pStyle w:val="Heading2"/>
      </w:pPr>
      <w:r>
        <w:t xml:space="preserve">PICO criteria </w:t>
      </w:r>
    </w:p>
    <w:p w14:paraId="06B30611" w14:textId="77777777" w:rsidR="007D6B83" w:rsidRDefault="007D6B83" w:rsidP="007D6B83">
      <w:pPr>
        <w:pStyle w:val="Heading3"/>
      </w:pPr>
      <w:r>
        <w:t>Population</w:t>
      </w:r>
    </w:p>
    <w:p w14:paraId="7893B9CC" w14:textId="68844FF5" w:rsidR="00290430" w:rsidRDefault="007C326B" w:rsidP="00290430">
      <w:r>
        <w:t>Hepatitis B (HBV) is an infection of the liver caused by the hepatitis B virus. The infection can be acute or chronic. The virus is most commonly transmitted from mother to child</w:t>
      </w:r>
      <w:r w:rsidR="009F2E8A">
        <w:t xml:space="preserve">, typically </w:t>
      </w:r>
      <w:r>
        <w:t xml:space="preserve">during </w:t>
      </w:r>
      <w:r w:rsidR="006E17B5">
        <w:t>child</w:t>
      </w:r>
      <w:r>
        <w:t xml:space="preserve">birth, </w:t>
      </w:r>
      <w:r w:rsidR="00434D64">
        <w:t xml:space="preserve">or </w:t>
      </w:r>
      <w:r>
        <w:t>in early childhood</w:t>
      </w:r>
      <w:r w:rsidR="006F6109">
        <w:t xml:space="preserve">. Transmission can also occur </w:t>
      </w:r>
      <w:r>
        <w:t>through contact with</w:t>
      </w:r>
      <w:r w:rsidR="00B81C68">
        <w:t xml:space="preserve"> infected</w:t>
      </w:r>
      <w:r>
        <w:t xml:space="preserve"> blood or other body fluids. HBV infection in adulthood leads to </w:t>
      </w:r>
      <w:r w:rsidR="00B347C2">
        <w:t>chronic hepatitis B (</w:t>
      </w:r>
      <w:r>
        <w:t>CHB</w:t>
      </w:r>
      <w:r w:rsidR="00B347C2">
        <w:t>)</w:t>
      </w:r>
      <w:r>
        <w:t xml:space="preserve"> in less than 5% of cases, whereas infection in infancy and early childhood leads to CHB in about 95% of cases. CHB predisposes a patient to the development of portal hypertension, cirrhosis, and its complications or hepatocellular carcinoma (HCC). </w:t>
      </w:r>
      <w:r w:rsidR="00290430" w:rsidRPr="00290430">
        <w:t xml:space="preserve">CHB is associated with substantial morbidity and mortality due to cirrhosis, liver failure and </w:t>
      </w:r>
      <w:r w:rsidR="00262829">
        <w:t>HCC</w:t>
      </w:r>
      <w:r w:rsidR="00F13016">
        <w:t xml:space="preserve"> </w:t>
      </w:r>
      <w:r w:rsidR="00F13016">
        <w:fldChar w:fldCharType="begin"/>
      </w:r>
      <w:r w:rsidR="00F13016">
        <w:instrText xml:space="preserve"> ADDIN EN.CITE &lt;EndNote&gt;&lt;Cite&gt;&lt;Author&gt;CDC&lt;/Author&gt;&lt;Year&gt;2025&lt;/Year&gt;&lt;RecNum&gt;7&lt;/RecNum&gt;&lt;DisplayText&gt;(CDC, 2025; WHO, 2026; WHO Europe, 2021)&lt;/DisplayText&gt;&lt;record&gt;&lt;rec-number&gt;7&lt;/rec-number&gt;&lt;foreign-keys&gt;&lt;key app="EN" db-id="zv5axz5eqtvwd2eve9npz227rdzp0s0r2r9s" timestamp="1783477531"&gt;7&lt;/key&gt;&lt;/foreign-keys&gt;&lt;ref-type name="Web Page"&gt;12&lt;/ref-type&gt;&lt;contributors&gt;&lt;authors&gt;&lt;author&gt;CDC,&lt;/author&gt;&lt;/authors&gt;&lt;/contributors&gt;&lt;titles&gt;&lt;title&gt;Clinical Overview of Hepatitis B &lt;/title&gt;&lt;/titles&gt;&lt;volume&gt;2026&lt;/volume&gt;&lt;number&gt;08 Jul&lt;/number&gt;&lt;dates&gt;&lt;year&gt;2025&lt;/year&gt;&lt;/dates&gt;&lt;urls&gt;&lt;related-urls&gt;&lt;url&gt;https://www.cdc.gov/hepatitis-b/hcp/clinical-overview/index.html&lt;/url&gt;&lt;/related-urls&gt;&lt;/urls&gt;&lt;/record&gt;&lt;/Cite&gt;&lt;Cite&gt;&lt;Author&gt;WHO&lt;/Author&gt;&lt;Year&gt;2026&lt;/Year&gt;&lt;RecNum&gt;6&lt;/RecNum&gt;&lt;record&gt;&lt;rec-number&gt;6&lt;/rec-number&gt;&lt;foreign-keys&gt;&lt;key app="EN" db-id="zv5axz5eqtvwd2eve9npz227rdzp0s0r2r9s" timestamp="1783477407"&gt;6&lt;/key&gt;&lt;/foreign-keys&gt;&lt;ref-type name="Web Page"&gt;12&lt;/ref-type&gt;&lt;contributors&gt;&lt;authors&gt;&lt;author&gt;WHO, &lt;/author&gt;&lt;/authors&gt;&lt;/contributors&gt;&lt;titles&gt;&lt;title&gt;Hepatitis B Fact Sheet&lt;/title&gt;&lt;/titles&gt;&lt;volume&gt;2026&lt;/volume&gt;&lt;number&gt;08 Jul&lt;/number&gt;&lt;dates&gt;&lt;year&gt;2026&lt;/year&gt;&lt;pub-dates&gt;&lt;date&gt;June 2026&lt;/date&gt;&lt;/pub-dates&gt;&lt;/dates&gt;&lt;urls&gt;&lt;related-urls&gt;&lt;url&gt;https://www.who.int/news-room/fact-sheets/detail/hepatitis-b&lt;/url&gt;&lt;/related-urls&gt;&lt;/urls&gt;&lt;/record&gt;&lt;/Cite&gt;&lt;Cite&gt;&lt;Author&gt;WHO Europe&lt;/Author&gt;&lt;Year&gt;2021&lt;/Year&gt;&lt;RecNum&gt;8&lt;/RecNum&gt;&lt;record&gt;&lt;rec-number&gt;8&lt;/rec-number&gt;&lt;foreign-keys&gt;&lt;key app="EN" db-id="zv5axz5eqtvwd2eve9npz227rdzp0s0r2r9s" timestamp="1783477652"&gt;8&lt;/key&gt;&lt;/foreign-keys&gt;&lt;ref-type name="Pamphlet"&gt;24&lt;/ref-type&gt;&lt;contributors&gt;&lt;authors&gt;&lt;author&gt;WHO Europe,&lt;/author&gt;&lt;/authors&gt;&lt;/contributors&gt;&lt;titles&gt;&lt;title&gt;Hepatitis B Fact Sheet &lt;/title&gt;&lt;/titles&gt;&lt;dates&gt;&lt;year&gt;2021&lt;/year&gt;&lt;/dates&gt;&lt;urls&gt;&lt;related-urls&gt;&lt;url&gt;https://www.who.int/docs/librariesprovider2/default-document-library/fact_sheet_hepatitis-b_july_2021.pdf&lt;/url&gt;&lt;/related-urls&gt;&lt;/urls&gt;&lt;access-date&gt;08 Jul 2026&lt;/access-date&gt;&lt;/record&gt;&lt;/Cite&gt;&lt;/EndNote&gt;</w:instrText>
      </w:r>
      <w:r w:rsidR="00F13016">
        <w:fldChar w:fldCharType="separate"/>
      </w:r>
      <w:r w:rsidR="00F13016">
        <w:rPr>
          <w:noProof/>
        </w:rPr>
        <w:t>(CDC, 2025; WHO, 2026; WHO Europe, 2021)</w:t>
      </w:r>
      <w:r w:rsidR="00F13016">
        <w:fldChar w:fldCharType="end"/>
      </w:r>
      <w:r w:rsidR="00290430" w:rsidRPr="00290430">
        <w:t>.</w:t>
      </w:r>
    </w:p>
    <w:p w14:paraId="07E46AF8" w14:textId="064F17DE" w:rsidR="00B22490" w:rsidRDefault="00B22490" w:rsidP="00B22490">
      <w:r>
        <w:t>Hepatitis B is a nationally notifiable disease in Australia (AIHW</w:t>
      </w:r>
      <w:r w:rsidR="00776DB3">
        <w:t>,</w:t>
      </w:r>
      <w:r>
        <w:t xml:space="preserve"> 2025). In 2023, there were an estimated 219,800 people living with CHB in Australia, but only around 67% of those are estimated to have been diagnosed</w:t>
      </w:r>
      <w:r w:rsidR="00262829">
        <w:t xml:space="preserve">. </w:t>
      </w:r>
      <w:r w:rsidR="00910558">
        <w:t>Approximately</w:t>
      </w:r>
      <w:r w:rsidR="00262829">
        <w:t xml:space="preserve"> one</w:t>
      </w:r>
      <w:r>
        <w:t xml:space="preserve"> quarter </w:t>
      </w:r>
      <w:r w:rsidR="00262829">
        <w:t>receive</w:t>
      </w:r>
      <w:r>
        <w:t xml:space="preserve"> ongoing monitoring</w:t>
      </w:r>
      <w:r w:rsidR="00262829">
        <w:t>, and</w:t>
      </w:r>
      <w:r>
        <w:t xml:space="preserve"> approximately half of th</w:t>
      </w:r>
      <w:r w:rsidR="00262829">
        <w:t>e</w:t>
      </w:r>
      <w:r>
        <w:t xml:space="preserve">se </w:t>
      </w:r>
      <w:r w:rsidR="00910558">
        <w:t>individuals</w:t>
      </w:r>
      <w:r w:rsidR="00262829">
        <w:t xml:space="preserve"> are </w:t>
      </w:r>
      <w:r>
        <w:t xml:space="preserve">accessing treatment </w:t>
      </w:r>
      <w:r>
        <w:fldChar w:fldCharType="begin"/>
      </w:r>
      <w:r>
        <w:instrText xml:space="preserve"> ADDIN EN.CITE &lt;EndNote&gt;&lt;Cite&gt;&lt;Author&gt;MacLachlan&lt;/Author&gt;&lt;Year&gt;2025&lt;/Year&gt;&lt;RecNum&gt;13&lt;/RecNum&gt;&lt;DisplayText&gt;(MacLachlan et al., 2025)&lt;/DisplayText&gt;&lt;record&gt;&lt;rec-number&gt;13&lt;/rec-number&gt;&lt;foreign-keys&gt;&lt;key app="EN" db-id="zv5axz5eqtvwd2eve9npz227rdzp0s0r2r9s" timestamp="1783482877"&gt;13&lt;/key&gt;&lt;/foreign-keys&gt;&lt;ref-type name="Report"&gt;27&lt;/ref-type&gt;&lt;contributors&gt;&lt;authors&gt;&lt;author&gt;MacLachlan, J.H.&lt;/author&gt;&lt;author&gt;Mondel, A.&lt;/author&gt;&lt;author&gt;Purcell, I.&lt;/author&gt;&lt;author&gt;Cowie, BC.&lt;/author&gt;&lt;/authors&gt;&lt;/contributors&gt;&lt;titles&gt;&lt;title&gt;Viral Hepatitis Mapping Project: Hepatitis B National Report 2023&lt;/title&gt;&lt;/titles&gt;&lt;dates&gt;&lt;year&gt;2025&lt;/year&gt;&lt;/dates&gt;&lt;publisher&gt;ASHM&lt;/publisher&gt;&lt;urls&gt;&lt;/urls&gt;&lt;/record&gt;&lt;/Cite&gt;&lt;/EndNote&gt;</w:instrText>
      </w:r>
      <w:r>
        <w:fldChar w:fldCharType="separate"/>
      </w:r>
      <w:r>
        <w:rPr>
          <w:noProof/>
        </w:rPr>
        <w:t>(MacLachlan et al., 2025)</w:t>
      </w:r>
      <w:r>
        <w:fldChar w:fldCharType="end"/>
      </w:r>
      <w:r>
        <w:t xml:space="preserve">. Among all Australians living with CHB the majority were born overseas, particularly in China and Vietnam. Other priority populations include Aboriginal and Torres Strait Islander peoples, people who inject drugs, and men who have sex with men. </w:t>
      </w:r>
    </w:p>
    <w:p w14:paraId="7F57AC9E" w14:textId="0808F3E5" w:rsidR="00E82755" w:rsidRDefault="00E82755" w:rsidP="00B22490">
      <w:r>
        <w:t>P</w:t>
      </w:r>
      <w:r w:rsidRPr="00E82755">
        <w:t>revention of HBV infection relies primarily on vaccination, which is included in the Australian National Immunisation Program</w:t>
      </w:r>
      <w:r>
        <w:t xml:space="preserve"> Schedule</w:t>
      </w:r>
      <w:r w:rsidRPr="00E82755">
        <w:t xml:space="preserve">. Additional measures include prevention of mother-to-child transmission through antenatal screening and appropriate management of pregnant women with HBV infection, safe injection and infection-control practices, blood donor screening, </w:t>
      </w:r>
      <w:r>
        <w:t xml:space="preserve">safer-sex practices </w:t>
      </w:r>
      <w:r w:rsidRPr="00E82755">
        <w:t xml:space="preserve">and harm-reduction strategies for people who inject drugs. Collectively, these measures have substantially reduced the incidence of HBV infection and the subsequent burden of </w:t>
      </w:r>
      <w:r>
        <w:t>CHB</w:t>
      </w:r>
      <w:r w:rsidRPr="00E82755">
        <w:t xml:space="preserve"> </w:t>
      </w:r>
      <w:r w:rsidR="00EF5AD8">
        <w:fldChar w:fldCharType="begin">
          <w:fldData xml:space="preserve">PEVuZE5vdGU+PENpdGU+PEF1dGhvcj5MdWJlbDwvQXV0aG9yPjxZZWFyPjIwMjI8L1llYXI+PFJl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</w:fldData>
        </w:fldChar>
      </w:r>
      <w:r w:rsidR="00EF5AD8">
        <w:instrText xml:space="preserve"> ADDIN EN.CITE </w:instrText>
      </w:r>
      <w:r w:rsidR="00EF5AD8">
        <w:fldChar w:fldCharType="begin">
          <w:fldData xml:space="preserve">PEVuZE5vdGU+PENpdGU+PEF1dGhvcj5MdWJlbDwvQXV0aG9yPjxZZWFyPjIwMjI8L1llYXI+PFJl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</w:fldData>
        </w:fldChar>
      </w:r>
      <w:r w:rsidR="00EF5AD8">
        <w:instrText xml:space="preserve"> ADDIN EN.CITE.DATA </w:instrText>
      </w:r>
      <w:r w:rsidR="00EF5AD8">
        <w:fldChar w:fldCharType="end"/>
      </w:r>
      <w:r w:rsidR="00EF5AD8">
        <w:fldChar w:fldCharType="separate"/>
      </w:r>
      <w:r w:rsidR="00EF5AD8">
        <w:rPr>
          <w:noProof/>
        </w:rPr>
        <w:t>(Lubel et al., 2022; WHO, 2026)</w:t>
      </w:r>
      <w:r w:rsidR="00EF5AD8">
        <w:fldChar w:fldCharType="end"/>
      </w:r>
      <w:r>
        <w:t>.</w:t>
      </w:r>
      <w:r w:rsidR="00EF5AD8">
        <w:t xml:space="preserve"> </w:t>
      </w:r>
    </w:p>
    <w:p w14:paraId="283BD021" w14:textId="4E8645D9" w:rsidR="008A63AB" w:rsidRDefault="00642832" w:rsidP="005F7895">
      <w:r>
        <w:t>C</w:t>
      </w:r>
      <w:r w:rsidR="005F7895">
        <w:t xml:space="preserve">urrent HBV infection </w:t>
      </w:r>
      <w:r w:rsidR="00A20893">
        <w:t>is</w:t>
      </w:r>
      <w:r w:rsidR="005F7895">
        <w:t xml:space="preserve"> </w:t>
      </w:r>
      <w:r w:rsidR="00B22365">
        <w:t xml:space="preserve">established by </w:t>
      </w:r>
      <w:r w:rsidR="00776DB3">
        <w:t>detecting</w:t>
      </w:r>
      <w:r w:rsidR="000D69BA">
        <w:t xml:space="preserve"> </w:t>
      </w:r>
      <w:r w:rsidR="005F7895">
        <w:t>hepatitis B surface antigen (HBsAg)</w:t>
      </w:r>
      <w:r w:rsidR="005C512D">
        <w:t>, most commonly us</w:t>
      </w:r>
      <w:r w:rsidR="009508DD">
        <w:t>ing a qualitative</w:t>
      </w:r>
      <w:r w:rsidR="00AE683D">
        <w:t xml:space="preserve"> enzy</w:t>
      </w:r>
      <w:r w:rsidR="00285B9B">
        <w:t>me immunoassay</w:t>
      </w:r>
      <w:r w:rsidR="001D38E7">
        <w:t xml:space="preserve"> to determine whether HBsAg is present. </w:t>
      </w:r>
      <w:r w:rsidR="004D348B">
        <w:t>Additional serological markers</w:t>
      </w:r>
      <w:r w:rsidR="000F45F9">
        <w:t xml:space="preserve">, including </w:t>
      </w:r>
      <w:r w:rsidR="005D40B4">
        <w:t>hepatitis B core antibody (anti-HBc) and hepatitis B surface antibody (anti-HB</w:t>
      </w:r>
      <w:r w:rsidR="00EF79E1">
        <w:t>s</w:t>
      </w:r>
      <w:r w:rsidR="005D40B4">
        <w:t xml:space="preserve">), are </w:t>
      </w:r>
      <w:r w:rsidR="005D40B4">
        <w:lastRenderedPageBreak/>
        <w:t xml:space="preserve">generally used to support diagnosis and characterise </w:t>
      </w:r>
      <w:r w:rsidR="00837B62">
        <w:t xml:space="preserve">infection status. </w:t>
      </w:r>
      <w:r w:rsidR="008C0DDD">
        <w:t xml:space="preserve">Quantitative </w:t>
      </w:r>
      <w:r w:rsidR="00CE15A9">
        <w:t>HBsAg</w:t>
      </w:r>
      <w:r w:rsidR="00402D75">
        <w:t xml:space="preserve"> (qHBsAg)</w:t>
      </w:r>
      <w:r w:rsidR="003062B7">
        <w:rPr>
          <w:rStyle w:val="FootnoteReference"/>
        </w:rPr>
        <w:footnoteReference w:id="2"/>
      </w:r>
      <w:r w:rsidR="00CE15A9">
        <w:t xml:space="preserve"> testing can also be performed to measure the concentration </w:t>
      </w:r>
      <w:r w:rsidR="00707609">
        <w:t>of HBsAg and has an emerging role in treatment decision-making and assessment of functional cure</w:t>
      </w:r>
      <w:r w:rsidR="005F7895">
        <w:t xml:space="preserve">. </w:t>
      </w:r>
      <w:r w:rsidR="008A63AB">
        <w:t>A summary of different H</w:t>
      </w:r>
      <w:r w:rsidR="00402D75">
        <w:t>BV</w:t>
      </w:r>
      <w:r w:rsidR="008A63AB">
        <w:t xml:space="preserve"> markers, their </w:t>
      </w:r>
      <w:r w:rsidR="00402D75">
        <w:t>intended</w:t>
      </w:r>
      <w:r w:rsidR="008A63AB">
        <w:t xml:space="preserve"> use and interpretation of results is shown in </w:t>
      </w:r>
      <w:r w:rsidR="008A63AB">
        <w:fldChar w:fldCharType="begin"/>
      </w:r>
      <w:r w:rsidR="008A63AB">
        <w:instrText xml:space="preserve"> REF _Ref235015748 \h </w:instrText>
      </w:r>
      <w:r w:rsidR="008A63AB">
        <w:fldChar w:fldCharType="separate"/>
      </w:r>
      <w:r w:rsidR="00A446A4">
        <w:t xml:space="preserve">Table </w:t>
      </w:r>
      <w:r w:rsidR="00A446A4">
        <w:rPr>
          <w:noProof/>
        </w:rPr>
        <w:t>3</w:t>
      </w:r>
      <w:r w:rsidR="008A63AB">
        <w:fldChar w:fldCharType="end"/>
      </w:r>
      <w:r w:rsidR="008A63AB">
        <w:t xml:space="preserve">. </w:t>
      </w:r>
    </w:p>
    <w:p w14:paraId="4D827241" w14:textId="7D8046D3" w:rsidR="005F7895" w:rsidRDefault="00E807DD" w:rsidP="005F7895">
      <w:r>
        <w:t xml:space="preserve">Differentiation between acute and chronic HBV infections generally requires evidence of persistent HBsAg positivity for ≥6 months. In clinical practice, however, the distinction can often be made earlier through consideration of patient history and interpretation of additional serological markers, including immunoglobulin (IgM) </w:t>
      </w:r>
      <w:r w:rsidR="00776DB3">
        <w:t xml:space="preserve">anti-HBc </w:t>
      </w:r>
      <w:r>
        <w:t xml:space="preserve">assay </w:t>
      </w:r>
      <w:r w:rsidR="00776DB3">
        <w:t>results</w:t>
      </w:r>
      <w:r>
        <w:fldChar w:fldCharType="begin">
          <w:fldData xml:space="preserve">PEVuZE5vdGU+PENpdGU+PEF1dGhvcj5MdWJlbDwvQXV0aG9yPjxZZWFyPjIwMjI8L1llYXI+PFJl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</w:fldData>
        </w:fldChar>
      </w:r>
      <w:r>
        <w:instrText xml:space="preserve"> ADDIN EN.CITE </w:instrText>
      </w:r>
      <w:r>
        <w:fldChar w:fldCharType="begin">
          <w:fldData xml:space="preserve">PEVuZE5vdGU+PENpdGU+PEF1dGhvcj5MdWJlbDwvQXV0aG9yPjxZZWFyPjIwMjI8L1llYXI+PFJl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</w:fldData>
        </w:fldChar>
      </w:r>
      <w:r>
        <w:instrText xml:space="preserve"> ADDIN EN.CITE.DATA </w:instrText>
      </w:r>
      <w:r>
        <w:fldChar w:fldCharType="end"/>
      </w:r>
      <w:r>
        <w:fldChar w:fldCharType="separate"/>
      </w:r>
      <w:r>
        <w:rPr>
          <w:noProof/>
        </w:rPr>
        <w:t>(Lubel et al., 2022; Towell &amp; Cowie, 2012)</w:t>
      </w:r>
      <w:r>
        <w:fldChar w:fldCharType="end"/>
      </w:r>
      <w:r>
        <w:t xml:space="preserve">. Chronic HBV infection typically produces no symptoms until advanced liver disease (cirrhosis, decompensation) has developed. Individuals with CHB are typically diagnosed incidentally through routine blood screening, blood donation, or investigation of an unrelated abnormal liver function test </w:t>
      </w:r>
      <w:r w:rsidR="00EF5AD8">
        <w:fldChar w:fldCharType="begin"/>
      </w:r>
      <w:r w:rsidR="00EF5AD8">
        <w:instrText xml:space="preserve"> ADDIN EN.CITE &lt;EndNote&gt;&lt;Cite&gt;&lt;Author&gt;Tang&lt;/Author&gt;&lt;Year&gt;2018&lt;/Year&gt;&lt;RecNum&gt;14&lt;/RecNum&gt;&lt;DisplayText&gt;(Tang et al., 2018)&lt;/DisplayText&gt;&lt;record&gt;&lt;rec-number&gt;14&lt;/rec-number&gt;&lt;foreign-keys&gt;&lt;key app="EN" db-id="zv5axz5eqtvwd2eve9npz227rdzp0s0r2r9s" timestamp="1784084406"&gt;14&lt;/key&gt;&lt;/foreign-keys&gt;&lt;ref-type name="Journal Article"&gt;17&lt;/ref-type&gt;&lt;contributors&gt;&lt;authors&gt;&lt;author&gt;Tang, Lydia S. Y.&lt;/author&gt;&lt;author&gt;Covert, Emily&lt;/author&gt;&lt;author&gt;Wilson, Eleanor&lt;/author&gt;&lt;author&gt;Kottilil, Shyam&lt;/author&gt;&lt;/authors&gt;&lt;/contributors&gt;&lt;titles&gt;&lt;title&gt;Chronic Hepatitis B Infection: A Review&lt;/title&gt;&lt;secondary-title&gt;JAMA&lt;/secondary-title&gt;&lt;/titles&gt;&lt;periodical&gt;&lt;full-title&gt;JAMA&lt;/full-title&gt;&lt;/periodical&gt;&lt;pages&gt;1802-1813&lt;/pages&gt;&lt;volume&gt;319&lt;/volume&gt;&lt;number&gt;17&lt;/number&gt;&lt;dates&gt;&lt;year&gt;2018&lt;/year&gt;&lt;/dates&gt;&lt;isbn&gt;0098-7484&lt;/isbn&gt;&lt;urls&gt;&lt;related-urls&gt;&lt;url&gt;https://doi.org/10.1001/jama.2018.3795&lt;/url&gt;&lt;/related-urls&gt;&lt;/urls&gt;&lt;electronic-resource-num&gt;10.1001/jama.2018.3795&lt;/electronic-resource-num&gt;&lt;access-date&gt;7/15/2026&lt;/access-date&gt;&lt;/record&gt;&lt;/Cite&gt;&lt;/EndNote&gt;</w:instrText>
      </w:r>
      <w:r w:rsidR="00EF5AD8">
        <w:fldChar w:fldCharType="separate"/>
      </w:r>
      <w:r w:rsidR="00EF5AD8">
        <w:rPr>
          <w:noProof/>
        </w:rPr>
        <w:t>(Tang et al., 2018)</w:t>
      </w:r>
      <w:r w:rsidR="00EF5AD8">
        <w:fldChar w:fldCharType="end"/>
      </w:r>
      <w:r>
        <w:t>. Diagnosis of CHB is complex, requiring a combination of laboratory testing, clinical history, and in some cases, repeated assessment over time.</w:t>
      </w:r>
      <w:r w:rsidR="00EB1903">
        <w:t xml:space="preserve"> </w:t>
      </w:r>
      <w:r w:rsidR="00EB1903" w:rsidRPr="00EB1903">
        <w:t>Chronic HBV infection is understood as a dynamic disease progressing through phases</w:t>
      </w:r>
      <w:r w:rsidR="00E82755">
        <w:t>, including</w:t>
      </w:r>
      <w:r w:rsidR="00EB1903" w:rsidRPr="00EB1903">
        <w:t xml:space="preserve"> immune-tolerant, </w:t>
      </w:r>
      <w:r w:rsidR="003062B7">
        <w:t>h</w:t>
      </w:r>
      <w:r w:rsidR="00402D75" w:rsidRPr="00402D75">
        <w:t>epatitis B e-antigen</w:t>
      </w:r>
      <w:r w:rsidR="003062B7">
        <w:t xml:space="preserve"> (</w:t>
      </w:r>
      <w:r w:rsidR="00EB1903" w:rsidRPr="00EB1903">
        <w:t>HBeAg</w:t>
      </w:r>
      <w:r w:rsidR="003062B7">
        <w:t>)</w:t>
      </w:r>
      <w:r w:rsidR="00EB1903" w:rsidRPr="00EB1903">
        <w:t>-positive immune active, HBeAg-negative immune active, and inactive</w:t>
      </w:r>
      <w:r w:rsidR="00E82755">
        <w:t xml:space="preserve">. </w:t>
      </w:r>
      <w:r w:rsidR="00262829" w:rsidRPr="00262829">
        <w:t>According to the AASLD-IDSA Practice Guideline</w:t>
      </w:r>
      <w:r w:rsidR="00262829">
        <w:t>, a</w:t>
      </w:r>
      <w:r w:rsidR="00EB1903" w:rsidRPr="00EB1903">
        <w:t xml:space="preserve"> substantial proportion of patients (up to 40%) fall into an "indeterminate" phase not meeting strict criteria for any of these categories </w:t>
      </w:r>
      <w:r w:rsidR="000324F2">
        <w:fldChar w:fldCharType="begin">
          <w:fldData xml:space="preserve">PEVuZE5vdGU+PENpdGU+PEF1dGhvcj5HaGFueTwvQXV0aG9yPjxZZWFyPjIwMjY8L1llYXI+PFJl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</w:fldData>
        </w:fldChar>
      </w:r>
      <w:r w:rsidR="000324F2">
        <w:instrText xml:space="preserve"> ADDIN EN.CITE </w:instrText>
      </w:r>
      <w:r w:rsidR="000324F2">
        <w:fldChar w:fldCharType="begin">
          <w:fldData xml:space="preserve">PEVuZE5vdGU+PENpdGU+PEF1dGhvcj5HaGFueTwvQXV0aG9yPjxZZWFyPjIwMjY8L1llYXI+PFJl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</w:fldData>
        </w:fldChar>
      </w:r>
      <w:r w:rsidR="000324F2">
        <w:instrText xml:space="preserve"> ADDIN EN.CITE.DATA </w:instrText>
      </w:r>
      <w:r w:rsidR="000324F2">
        <w:fldChar w:fldCharType="end"/>
      </w:r>
      <w:r w:rsidR="000324F2">
        <w:fldChar w:fldCharType="separate"/>
      </w:r>
      <w:r w:rsidR="000324F2">
        <w:rPr>
          <w:noProof/>
        </w:rPr>
        <w:t>(Ghany et al., 2026)</w:t>
      </w:r>
      <w:r w:rsidR="000324F2">
        <w:fldChar w:fldCharType="end"/>
      </w:r>
      <w:r w:rsidR="00EB1903" w:rsidRPr="00EB1903">
        <w:t>.</w:t>
      </w:r>
    </w:p>
    <w:p w14:paraId="0B5D334C" w14:textId="360B40C9" w:rsidR="00E807DD" w:rsidRDefault="00E807DD" w:rsidP="00524DA3">
      <w:pPr>
        <w:pStyle w:val="Caption"/>
      </w:pPr>
      <w:bookmarkStart w:id="3" w:name="_Ref235015748"/>
      <w:r>
        <w:t xml:space="preserve">Table </w:t>
      </w:r>
      <w:r>
        <w:fldChar w:fldCharType="begin"/>
      </w:r>
      <w:r>
        <w:instrText xml:space="preserve"> SEQ Table \* ARABIC </w:instrText>
      </w:r>
      <w:r>
        <w:fldChar w:fldCharType="separate"/>
      </w:r>
      <w:r w:rsidR="00A446A4">
        <w:rPr>
          <w:noProof/>
        </w:rPr>
        <w:t>3</w:t>
      </w:r>
      <w:r>
        <w:fldChar w:fldCharType="end"/>
      </w:r>
      <w:bookmarkEnd w:id="3"/>
      <w:r>
        <w:t xml:space="preserve"> Hepatitis B serological and virological markers</w:t>
      </w:r>
    </w:p>
    <w:tbl>
      <w:tblPr>
        <w:tblStyle w:val="TableGrid"/>
        <w:tblW w:w="0" w:type="auto"/>
        <w:tblInd w:w="0" w:type="dxa"/>
        <w:tblLook w:val="04A0" w:firstRow="1" w:lastRow="0" w:firstColumn="1" w:lastColumn="0" w:noHBand="0" w:noVBand="1"/>
        <w:tblCaption w:val="Table 3 Hepatitis B serological and virological markers"/>
        <w:tblDescription w:val="Table with a summary of Hepatitis B serological and virological markers, their uses and indications."/>
      </w:tblPr>
      <w:tblGrid>
        <w:gridCol w:w="1413"/>
        <w:gridCol w:w="1559"/>
        <w:gridCol w:w="3119"/>
        <w:gridCol w:w="3480"/>
      </w:tblGrid>
      <w:tr w:rsidR="00E807DD" w14:paraId="75F2E2EC" w14:textId="77777777" w:rsidTr="00A446A4">
        <w:trPr>
          <w:tblHeader/>
        </w:trPr>
        <w:tc>
          <w:tcPr>
            <w:tcW w:w="1413" w:type="dxa"/>
          </w:tcPr>
          <w:p w14:paraId="3F684729" w14:textId="3D71887A" w:rsidR="00E807DD" w:rsidRPr="00A446A4" w:rsidRDefault="003062B7" w:rsidP="00524DA3">
            <w:pPr>
              <w:pStyle w:val="Tabletext"/>
              <w:rPr>
                <w:b/>
                <w:bCs/>
                <w:lang w:val="en-GB"/>
              </w:rPr>
            </w:pPr>
            <w:r>
              <w:rPr>
                <w:b/>
                <w:bCs/>
                <w:lang w:val="en-GB"/>
              </w:rPr>
              <w:t>HBV marker</w:t>
            </w:r>
          </w:p>
        </w:tc>
        <w:tc>
          <w:tcPr>
            <w:tcW w:w="1559" w:type="dxa"/>
          </w:tcPr>
          <w:p w14:paraId="1E7EC05F" w14:textId="37C0756D" w:rsidR="00E807DD" w:rsidRPr="00A446A4" w:rsidRDefault="00E807DD" w:rsidP="00524DA3">
            <w:pPr>
              <w:pStyle w:val="Tabletext"/>
              <w:rPr>
                <w:b/>
                <w:bCs/>
              </w:rPr>
            </w:pPr>
            <w:r w:rsidRPr="00A446A4">
              <w:rPr>
                <w:b/>
                <w:bCs/>
              </w:rPr>
              <w:t>Full name</w:t>
            </w:r>
          </w:p>
        </w:tc>
        <w:tc>
          <w:tcPr>
            <w:tcW w:w="3119" w:type="dxa"/>
          </w:tcPr>
          <w:p w14:paraId="7FA6B322" w14:textId="1ADF47AB" w:rsidR="00E807DD" w:rsidRPr="00A446A4" w:rsidRDefault="00E807DD" w:rsidP="00524DA3">
            <w:pPr>
              <w:pStyle w:val="Tabletext"/>
              <w:rPr>
                <w:b/>
                <w:bCs/>
              </w:rPr>
            </w:pPr>
            <w:r w:rsidRPr="00A446A4">
              <w:rPr>
                <w:b/>
                <w:bCs/>
              </w:rPr>
              <w:t>When used</w:t>
            </w:r>
          </w:p>
        </w:tc>
        <w:tc>
          <w:tcPr>
            <w:tcW w:w="3480" w:type="dxa"/>
          </w:tcPr>
          <w:p w14:paraId="39330927" w14:textId="0798F204" w:rsidR="00E807DD" w:rsidRPr="00A446A4" w:rsidRDefault="00E807DD" w:rsidP="00524DA3">
            <w:pPr>
              <w:pStyle w:val="Tabletext"/>
              <w:rPr>
                <w:b/>
                <w:bCs/>
              </w:rPr>
            </w:pPr>
            <w:r w:rsidRPr="00A446A4">
              <w:rPr>
                <w:b/>
                <w:bCs/>
              </w:rPr>
              <w:t>What it indicates</w:t>
            </w:r>
          </w:p>
        </w:tc>
      </w:tr>
      <w:tr w:rsidR="00E807DD" w14:paraId="210927A3" w14:textId="77777777" w:rsidTr="00524DA3">
        <w:tc>
          <w:tcPr>
            <w:tcW w:w="1413" w:type="dxa"/>
          </w:tcPr>
          <w:p w14:paraId="01F87C10" w14:textId="00837120" w:rsidR="00E807DD" w:rsidRPr="00A446A4" w:rsidRDefault="00E807DD" w:rsidP="00524DA3">
            <w:pPr>
              <w:pStyle w:val="Tabletext"/>
              <w:rPr>
                <w:b/>
                <w:bCs/>
              </w:rPr>
            </w:pPr>
            <w:r w:rsidRPr="00A446A4">
              <w:rPr>
                <w:b/>
                <w:bCs/>
              </w:rPr>
              <w:t>HBsAg</w:t>
            </w:r>
          </w:p>
        </w:tc>
        <w:tc>
          <w:tcPr>
            <w:tcW w:w="1559" w:type="dxa"/>
          </w:tcPr>
          <w:p w14:paraId="34BC1CE6" w14:textId="05B2C82D" w:rsidR="00E807DD" w:rsidRDefault="00E807DD" w:rsidP="00524DA3">
            <w:pPr>
              <w:pStyle w:val="Tabletext"/>
            </w:pPr>
            <w:r>
              <w:t>Hepatitis B surface antigen (qualitative)</w:t>
            </w:r>
          </w:p>
        </w:tc>
        <w:tc>
          <w:tcPr>
            <w:tcW w:w="3119" w:type="dxa"/>
          </w:tcPr>
          <w:p w14:paraId="2FAD680B" w14:textId="71951B03" w:rsidR="00E807DD" w:rsidRDefault="00E807DD" w:rsidP="00524DA3">
            <w:pPr>
              <w:pStyle w:val="Tabletext"/>
            </w:pPr>
            <w:r>
              <w:t>Initial screening and diagnosis; Confirmation of chronic status.</w:t>
            </w:r>
          </w:p>
        </w:tc>
        <w:tc>
          <w:tcPr>
            <w:tcW w:w="3480" w:type="dxa"/>
          </w:tcPr>
          <w:p w14:paraId="2A7D393A" w14:textId="747E37FC" w:rsidR="00E807DD" w:rsidRDefault="00E807DD" w:rsidP="00524DA3">
            <w:pPr>
              <w:pStyle w:val="Tabletext"/>
            </w:pPr>
            <w:r>
              <w:t>Presence of current HBV infection. Persistence for at least 6 months defines CHB.</w:t>
            </w:r>
          </w:p>
        </w:tc>
      </w:tr>
      <w:tr w:rsidR="00E807DD" w14:paraId="2412F7EB" w14:textId="77777777" w:rsidTr="00524DA3">
        <w:tc>
          <w:tcPr>
            <w:tcW w:w="1413" w:type="dxa"/>
          </w:tcPr>
          <w:p w14:paraId="77424937" w14:textId="5E706F98" w:rsidR="00E807DD" w:rsidRPr="00A446A4" w:rsidRDefault="00E807DD" w:rsidP="00524DA3">
            <w:pPr>
              <w:pStyle w:val="Tabletext"/>
              <w:rPr>
                <w:b/>
                <w:bCs/>
              </w:rPr>
            </w:pPr>
            <w:r w:rsidRPr="00A446A4">
              <w:rPr>
                <w:b/>
                <w:bCs/>
              </w:rPr>
              <w:t>qHBsAg</w:t>
            </w:r>
          </w:p>
        </w:tc>
        <w:tc>
          <w:tcPr>
            <w:tcW w:w="1559" w:type="dxa"/>
          </w:tcPr>
          <w:p w14:paraId="44FFBB3E" w14:textId="6F3F7393" w:rsidR="00E807DD" w:rsidRDefault="00E807DD" w:rsidP="00524DA3">
            <w:pPr>
              <w:pStyle w:val="Tabletext"/>
            </w:pPr>
            <w:r>
              <w:t>Quantitative HBsAg</w:t>
            </w:r>
          </w:p>
        </w:tc>
        <w:tc>
          <w:tcPr>
            <w:tcW w:w="3119" w:type="dxa"/>
          </w:tcPr>
          <w:p w14:paraId="21BF0188" w14:textId="1FCFECC8" w:rsidR="00E807DD" w:rsidRDefault="008E3D4E" w:rsidP="00524DA3">
            <w:pPr>
              <w:pStyle w:val="Tabletext"/>
            </w:pPr>
            <w:r w:rsidRPr="008E3D4E">
              <w:t>Monitoring treatment response; predicting NA-discontinuation suitability and bepirovirsen eligibility (this application)</w:t>
            </w:r>
          </w:p>
        </w:tc>
        <w:tc>
          <w:tcPr>
            <w:tcW w:w="3480" w:type="dxa"/>
          </w:tcPr>
          <w:p w14:paraId="37AA873D" w14:textId="40D44A39" w:rsidR="00E807DD" w:rsidRDefault="008E3D4E" w:rsidP="00524DA3">
            <w:pPr>
              <w:pStyle w:val="Tabletext"/>
            </w:pPr>
            <w:r w:rsidRPr="008E3D4E">
              <w:t>Level (IU/mL) of circulating surface antigen; declining levels associated with likelihood of treatment response and approaching functional cure</w:t>
            </w:r>
          </w:p>
        </w:tc>
      </w:tr>
      <w:tr w:rsidR="00E807DD" w14:paraId="6083B356" w14:textId="77777777" w:rsidTr="00524DA3">
        <w:tc>
          <w:tcPr>
            <w:tcW w:w="1413" w:type="dxa"/>
          </w:tcPr>
          <w:p w14:paraId="06BDB429" w14:textId="0301506B" w:rsidR="00E807DD" w:rsidRPr="00A446A4" w:rsidRDefault="008E3D4E" w:rsidP="00524DA3">
            <w:pPr>
              <w:pStyle w:val="Tabletext"/>
              <w:rPr>
                <w:b/>
                <w:bCs/>
              </w:rPr>
            </w:pPr>
            <w:r w:rsidRPr="00A446A4">
              <w:rPr>
                <w:b/>
                <w:bCs/>
              </w:rPr>
              <w:t>Anti-HBs</w:t>
            </w:r>
          </w:p>
        </w:tc>
        <w:tc>
          <w:tcPr>
            <w:tcW w:w="1559" w:type="dxa"/>
          </w:tcPr>
          <w:p w14:paraId="36B54ECE" w14:textId="6919EDAC" w:rsidR="00E807DD" w:rsidRDefault="008E3D4E" w:rsidP="00524DA3">
            <w:pPr>
              <w:pStyle w:val="Tabletext"/>
            </w:pPr>
            <w:r w:rsidRPr="008E3D4E">
              <w:t>Antibody to HBsAg (HBsAb)</w:t>
            </w:r>
          </w:p>
        </w:tc>
        <w:tc>
          <w:tcPr>
            <w:tcW w:w="3119" w:type="dxa"/>
          </w:tcPr>
          <w:p w14:paraId="649CFA5E" w14:textId="295DD41E" w:rsidR="00E807DD" w:rsidRDefault="008E3D4E" w:rsidP="00524DA3">
            <w:pPr>
              <w:pStyle w:val="Tabletext"/>
            </w:pPr>
            <w:r w:rsidRPr="008E3D4E">
              <w:t>Screening (with HBsAg, anti-HBc) to determine immune status; monitoring for seroconversion after functional cure</w:t>
            </w:r>
          </w:p>
        </w:tc>
        <w:tc>
          <w:tcPr>
            <w:tcW w:w="3480" w:type="dxa"/>
          </w:tcPr>
          <w:p w14:paraId="753DD790" w14:textId="41430386" w:rsidR="00E807DD" w:rsidRDefault="008E3D4E" w:rsidP="00524DA3">
            <w:pPr>
              <w:pStyle w:val="Tabletext"/>
            </w:pPr>
            <w:r w:rsidRPr="008E3D4E">
              <w:t>Immunity</w:t>
            </w:r>
            <w:r w:rsidR="001444B2">
              <w:t>,</w:t>
            </w:r>
            <w:r w:rsidRPr="008E3D4E">
              <w:t xml:space="preserve"> either from resolved infection or vaccination. Levels ≥10 IU/L generally considered protective/immune.</w:t>
            </w:r>
          </w:p>
        </w:tc>
      </w:tr>
      <w:tr w:rsidR="00E807DD" w14:paraId="3583652D" w14:textId="77777777" w:rsidTr="00524DA3">
        <w:tc>
          <w:tcPr>
            <w:tcW w:w="1413" w:type="dxa"/>
          </w:tcPr>
          <w:p w14:paraId="3783C62E" w14:textId="21BA82B3" w:rsidR="00E807DD" w:rsidRPr="00A446A4" w:rsidRDefault="008A63AB" w:rsidP="00524DA3">
            <w:pPr>
              <w:pStyle w:val="Tabletext"/>
              <w:rPr>
                <w:b/>
                <w:bCs/>
              </w:rPr>
            </w:pPr>
            <w:r w:rsidRPr="00A446A4">
              <w:rPr>
                <w:b/>
                <w:bCs/>
              </w:rPr>
              <w:t>IgM a</w:t>
            </w:r>
            <w:r w:rsidR="008E3D4E" w:rsidRPr="00A446A4">
              <w:rPr>
                <w:b/>
                <w:bCs/>
              </w:rPr>
              <w:t>nti-HBc</w:t>
            </w:r>
          </w:p>
        </w:tc>
        <w:tc>
          <w:tcPr>
            <w:tcW w:w="1559" w:type="dxa"/>
          </w:tcPr>
          <w:p w14:paraId="5556A7AE" w14:textId="0E92C88C" w:rsidR="00E807DD" w:rsidRDefault="008A63AB" w:rsidP="00524DA3">
            <w:pPr>
              <w:pStyle w:val="Tabletext"/>
            </w:pPr>
            <w:r w:rsidRPr="008A63AB">
              <w:t>Immunoglobulin M antibody to hepatitis B core antigen</w:t>
            </w:r>
          </w:p>
        </w:tc>
        <w:tc>
          <w:tcPr>
            <w:tcW w:w="3119" w:type="dxa"/>
          </w:tcPr>
          <w:p w14:paraId="786B974C" w14:textId="344576F4" w:rsidR="00E807DD" w:rsidRDefault="008A63AB" w:rsidP="00524DA3">
            <w:pPr>
              <w:pStyle w:val="Tabletext"/>
            </w:pPr>
            <w:r w:rsidRPr="008A63AB">
              <w:t>Distinguishing acute from chronic infection where the 6-month HBsAg persistence criterion hasn't yet been met</w:t>
            </w:r>
          </w:p>
        </w:tc>
        <w:tc>
          <w:tcPr>
            <w:tcW w:w="3480" w:type="dxa"/>
          </w:tcPr>
          <w:p w14:paraId="52983DB0" w14:textId="4237AF1D" w:rsidR="00E807DD" w:rsidRDefault="008A63AB" w:rsidP="00524DA3">
            <w:pPr>
              <w:pStyle w:val="Tabletext"/>
            </w:pPr>
            <w:r w:rsidRPr="008A63AB">
              <w:t>Marker of recent/acute infection (or occasionally reactivation/flare in chronic infection); typically wanes within months</w:t>
            </w:r>
          </w:p>
        </w:tc>
      </w:tr>
      <w:tr w:rsidR="008A63AB" w14:paraId="4D90663A" w14:textId="77777777" w:rsidTr="008E3D4E">
        <w:tc>
          <w:tcPr>
            <w:tcW w:w="1413" w:type="dxa"/>
          </w:tcPr>
          <w:p w14:paraId="1F3675B5" w14:textId="0DF307C0" w:rsidR="008A63AB" w:rsidRPr="00A446A4" w:rsidRDefault="008A63AB" w:rsidP="00E807DD">
            <w:pPr>
              <w:pStyle w:val="Tabletext"/>
              <w:rPr>
                <w:b/>
                <w:bCs/>
              </w:rPr>
            </w:pPr>
            <w:r w:rsidRPr="00A446A4">
              <w:rPr>
                <w:b/>
                <w:bCs/>
              </w:rPr>
              <w:t>IgG anti-HBc</w:t>
            </w:r>
          </w:p>
        </w:tc>
        <w:tc>
          <w:tcPr>
            <w:tcW w:w="1559" w:type="dxa"/>
          </w:tcPr>
          <w:p w14:paraId="074E76C6" w14:textId="33CADC6E" w:rsidR="008A63AB" w:rsidRPr="008E3D4E" w:rsidRDefault="008A63AB" w:rsidP="00E807DD">
            <w:pPr>
              <w:pStyle w:val="Tabletext"/>
            </w:pPr>
            <w:r w:rsidRPr="008A63AB">
              <w:t>Immunoglobulin G antibody to hepatitis B core antigen</w:t>
            </w:r>
          </w:p>
        </w:tc>
        <w:tc>
          <w:tcPr>
            <w:tcW w:w="3119" w:type="dxa"/>
          </w:tcPr>
          <w:p w14:paraId="682F517C" w14:textId="2D6BA970" w:rsidR="008A63AB" w:rsidRPr="008E3D4E" w:rsidRDefault="008A63AB" w:rsidP="00E807DD">
            <w:pPr>
              <w:pStyle w:val="Tabletext"/>
            </w:pPr>
            <w:r w:rsidRPr="008A63AB">
              <w:t>Confirming prior HBV exposure; combined with HBsAg/anti-HBs to classify infection status (current, resolved, or occult)</w:t>
            </w:r>
          </w:p>
        </w:tc>
        <w:tc>
          <w:tcPr>
            <w:tcW w:w="3480" w:type="dxa"/>
          </w:tcPr>
          <w:p w14:paraId="7A55EDCA" w14:textId="6C5BEAC3" w:rsidR="008A63AB" w:rsidRPr="008E3D4E" w:rsidRDefault="008A63AB" w:rsidP="00E807DD">
            <w:pPr>
              <w:pStyle w:val="Tabletext"/>
            </w:pPr>
            <w:r w:rsidRPr="008A63AB">
              <w:t>Marker of past exposure to HBV (persists long-term); present in both chronic infection and resolved infection</w:t>
            </w:r>
            <w:r w:rsidR="001444B2">
              <w:t>. D</w:t>
            </w:r>
            <w:r w:rsidRPr="008A63AB">
              <w:t>oes not by itself indicate immunity</w:t>
            </w:r>
          </w:p>
        </w:tc>
      </w:tr>
      <w:tr w:rsidR="00E807DD" w14:paraId="1B92E83E" w14:textId="77777777" w:rsidTr="00524DA3">
        <w:tc>
          <w:tcPr>
            <w:tcW w:w="1413" w:type="dxa"/>
          </w:tcPr>
          <w:p w14:paraId="0CCD39D4" w14:textId="06932AC1" w:rsidR="00E807DD" w:rsidRPr="00A446A4" w:rsidRDefault="008E3D4E" w:rsidP="00524DA3">
            <w:pPr>
              <w:pStyle w:val="Tabletext"/>
              <w:rPr>
                <w:b/>
                <w:bCs/>
              </w:rPr>
            </w:pPr>
            <w:r w:rsidRPr="00A446A4">
              <w:rPr>
                <w:b/>
                <w:bCs/>
              </w:rPr>
              <w:t>HBeAg</w:t>
            </w:r>
          </w:p>
        </w:tc>
        <w:tc>
          <w:tcPr>
            <w:tcW w:w="1559" w:type="dxa"/>
          </w:tcPr>
          <w:p w14:paraId="3830429F" w14:textId="17C9E294" w:rsidR="00E807DD" w:rsidRDefault="008E3D4E" w:rsidP="00524DA3">
            <w:pPr>
              <w:pStyle w:val="Tabletext"/>
            </w:pPr>
            <w:r w:rsidRPr="008E3D4E">
              <w:t>Hepatitis B e-antigen</w:t>
            </w:r>
          </w:p>
        </w:tc>
        <w:tc>
          <w:tcPr>
            <w:tcW w:w="3119" w:type="dxa"/>
          </w:tcPr>
          <w:p w14:paraId="2E78A7FA" w14:textId="3117A9DA" w:rsidR="00E807DD" w:rsidRDefault="008E3D4E" w:rsidP="00524DA3">
            <w:pPr>
              <w:pStyle w:val="Tabletext"/>
            </w:pPr>
            <w:r w:rsidRPr="008E3D4E">
              <w:t>Phase determination (immunotolerant vs immunoactive); monitoring for HBeAg seroconversion during treatment</w:t>
            </w:r>
          </w:p>
        </w:tc>
        <w:tc>
          <w:tcPr>
            <w:tcW w:w="3480" w:type="dxa"/>
          </w:tcPr>
          <w:p w14:paraId="65D0EFF8" w14:textId="7E8E5394" w:rsidR="00E807DD" w:rsidRDefault="008E3D4E" w:rsidP="00524DA3">
            <w:pPr>
              <w:pStyle w:val="Tabletext"/>
            </w:pPr>
            <w:r w:rsidRPr="008E3D4E">
              <w:t>Marker of active viral replication and high infectivity; typically associated with high HBV DNA level</w:t>
            </w:r>
          </w:p>
        </w:tc>
      </w:tr>
      <w:tr w:rsidR="008E3D4E" w14:paraId="3479FACC" w14:textId="77777777" w:rsidTr="00524DA3">
        <w:tc>
          <w:tcPr>
            <w:tcW w:w="1413" w:type="dxa"/>
          </w:tcPr>
          <w:p w14:paraId="6BEE5CF3" w14:textId="2B2A4A2E" w:rsidR="008E3D4E" w:rsidRPr="00A446A4" w:rsidRDefault="008E3D4E" w:rsidP="00E807DD">
            <w:pPr>
              <w:pStyle w:val="Tabletext"/>
              <w:rPr>
                <w:b/>
                <w:bCs/>
              </w:rPr>
            </w:pPr>
            <w:r w:rsidRPr="00A446A4">
              <w:rPr>
                <w:b/>
                <w:bCs/>
              </w:rPr>
              <w:t>Anti-HBe</w:t>
            </w:r>
          </w:p>
        </w:tc>
        <w:tc>
          <w:tcPr>
            <w:tcW w:w="1559" w:type="dxa"/>
          </w:tcPr>
          <w:p w14:paraId="3270C399" w14:textId="0F51066A" w:rsidR="008E3D4E" w:rsidRPr="008E3D4E" w:rsidRDefault="008E3D4E" w:rsidP="00E807DD">
            <w:pPr>
              <w:pStyle w:val="Tabletext"/>
            </w:pPr>
            <w:r w:rsidRPr="008E3D4E">
              <w:t>Antibody to HBeAg (HBeAb)</w:t>
            </w:r>
          </w:p>
        </w:tc>
        <w:tc>
          <w:tcPr>
            <w:tcW w:w="3119" w:type="dxa"/>
          </w:tcPr>
          <w:p w14:paraId="2B0C9F06" w14:textId="048BBAB7" w:rsidR="008E3D4E" w:rsidRPr="008E3D4E" w:rsidRDefault="008E3D4E" w:rsidP="008E3D4E">
            <w:pPr>
              <w:pStyle w:val="Tabletext"/>
            </w:pPr>
            <w:r w:rsidRPr="008E3D4E">
              <w:t>Phase determination; assessing treatment response in HBeAg-positive patients</w:t>
            </w:r>
          </w:p>
        </w:tc>
        <w:tc>
          <w:tcPr>
            <w:tcW w:w="3480" w:type="dxa"/>
          </w:tcPr>
          <w:p w14:paraId="1E3D65E0" w14:textId="0490EEEF" w:rsidR="008E3D4E" w:rsidRPr="008E3D4E" w:rsidRDefault="008E3D4E" w:rsidP="008E3D4E">
            <w:pPr>
              <w:pStyle w:val="Tabletext"/>
            </w:pPr>
            <w:r w:rsidRPr="008E3D4E">
              <w:t>Usually indicates reduced viral replication following HBeAg loss ("HBeAg seroconversion")</w:t>
            </w:r>
          </w:p>
        </w:tc>
      </w:tr>
      <w:tr w:rsidR="008E3D4E" w14:paraId="347D5A55" w14:textId="77777777" w:rsidTr="00524DA3">
        <w:tc>
          <w:tcPr>
            <w:tcW w:w="1413" w:type="dxa"/>
          </w:tcPr>
          <w:p w14:paraId="5279C0CC" w14:textId="2CC5F27F" w:rsidR="008E3D4E" w:rsidRPr="00A446A4" w:rsidRDefault="008E3D4E" w:rsidP="00E807DD">
            <w:pPr>
              <w:pStyle w:val="Tabletext"/>
              <w:rPr>
                <w:b/>
                <w:bCs/>
              </w:rPr>
            </w:pPr>
            <w:r w:rsidRPr="00A446A4">
              <w:rPr>
                <w:b/>
                <w:bCs/>
              </w:rPr>
              <w:lastRenderedPageBreak/>
              <w:t>HBV DNA (quantitative PCR)</w:t>
            </w:r>
          </w:p>
        </w:tc>
        <w:tc>
          <w:tcPr>
            <w:tcW w:w="1559" w:type="dxa"/>
          </w:tcPr>
          <w:p w14:paraId="23E63BD6" w14:textId="2527D775" w:rsidR="008E3D4E" w:rsidRPr="008E3D4E" w:rsidRDefault="008E3D4E" w:rsidP="00E807DD">
            <w:pPr>
              <w:pStyle w:val="Tabletext"/>
            </w:pPr>
            <w:r w:rsidRPr="008E3D4E">
              <w:t>Hepatitis B viral load</w:t>
            </w:r>
          </w:p>
        </w:tc>
        <w:tc>
          <w:tcPr>
            <w:tcW w:w="3119" w:type="dxa"/>
          </w:tcPr>
          <w:p w14:paraId="52923F88" w14:textId="206B83F4" w:rsidR="008E3D4E" w:rsidRPr="008E3D4E" w:rsidRDefault="008E3D4E" w:rsidP="008E3D4E">
            <w:pPr>
              <w:pStyle w:val="Tabletext"/>
            </w:pPr>
            <w:r w:rsidRPr="008E3D4E">
              <w:t>Phase determination; monitoring on-treatment suppression; confirming functional cure (combined with HBsAg loss); relapse detection</w:t>
            </w:r>
          </w:p>
        </w:tc>
        <w:tc>
          <w:tcPr>
            <w:tcW w:w="3480" w:type="dxa"/>
          </w:tcPr>
          <w:p w14:paraId="4F9C267D" w14:textId="442B0A0A" w:rsidR="008E3D4E" w:rsidRPr="008E3D4E" w:rsidRDefault="008E3D4E" w:rsidP="008E3D4E">
            <w:pPr>
              <w:pStyle w:val="Tabletext"/>
            </w:pPr>
            <w:r w:rsidRPr="008E3D4E">
              <w:t>Direct measure of viral replication; used to define disease phase, treatment eligibility, and treatment response/suppression</w:t>
            </w:r>
          </w:p>
        </w:tc>
      </w:tr>
    </w:tbl>
    <w:p w14:paraId="522345CA" w14:textId="72620DCB" w:rsidR="00E807DD" w:rsidRDefault="00847917" w:rsidP="00524DA3">
      <w:pPr>
        <w:pStyle w:val="Tablenotes"/>
      </w:pPr>
      <w:r w:rsidRPr="001444B2">
        <w:t>Abbreviations:</w:t>
      </w:r>
      <w:r w:rsidR="00377181" w:rsidRPr="00377181">
        <w:t xml:space="preserve"> </w:t>
      </w:r>
      <w:r w:rsidR="00343C42" w:rsidRPr="00343C42">
        <w:t>Anti-HBe</w:t>
      </w:r>
      <w:r w:rsidR="00343C42">
        <w:t xml:space="preserve">, </w:t>
      </w:r>
      <w:r w:rsidR="00343C42" w:rsidRPr="00343C42">
        <w:t xml:space="preserve">Antibody to </w:t>
      </w:r>
      <w:r w:rsidR="00343C42">
        <w:t>h</w:t>
      </w:r>
      <w:r w:rsidR="00343C42" w:rsidRPr="00343C42">
        <w:t>epatitis B e-antigen</w:t>
      </w:r>
      <w:r w:rsidR="00B14357">
        <w:t xml:space="preserve"> </w:t>
      </w:r>
      <w:r w:rsidR="00B14357" w:rsidRPr="00B14357">
        <w:t>(HBeAb)</w:t>
      </w:r>
      <w:r w:rsidR="00343C42">
        <w:t xml:space="preserve">; </w:t>
      </w:r>
      <w:r w:rsidR="00343C42" w:rsidRPr="00343C42">
        <w:t>Anti-HBs</w:t>
      </w:r>
      <w:r w:rsidR="00343C42">
        <w:t xml:space="preserve">, </w:t>
      </w:r>
      <w:r w:rsidR="00343C42" w:rsidRPr="00343C42">
        <w:t>Antibody to HBsAg</w:t>
      </w:r>
      <w:r w:rsidR="00B14357" w:rsidRPr="00B14357">
        <w:t>(HBsAb)</w:t>
      </w:r>
      <w:r w:rsidR="00343C42">
        <w:t xml:space="preserve">; </w:t>
      </w:r>
      <w:r w:rsidR="00DF23F9">
        <w:t xml:space="preserve">CHB, chronic hepatitis B; </w:t>
      </w:r>
      <w:r w:rsidR="00B14357" w:rsidRPr="00B14357">
        <w:t>HBeAg</w:t>
      </w:r>
      <w:r w:rsidR="00B14357">
        <w:t xml:space="preserve">, </w:t>
      </w:r>
      <w:r w:rsidR="00B14357" w:rsidRPr="00B14357">
        <w:t>Hepatitis B e-antigen</w:t>
      </w:r>
      <w:r w:rsidR="00B14357">
        <w:t xml:space="preserve">; </w:t>
      </w:r>
      <w:r w:rsidR="00B14357" w:rsidRPr="00B14357">
        <w:t>HBsAg</w:t>
      </w:r>
      <w:r w:rsidR="00B14357">
        <w:t xml:space="preserve">, </w:t>
      </w:r>
      <w:r w:rsidR="00B14357" w:rsidRPr="00B14357">
        <w:t>Hepatitis B surface antigen (qualitative)</w:t>
      </w:r>
      <w:r w:rsidR="00B14357">
        <w:t xml:space="preserve">; </w:t>
      </w:r>
      <w:r w:rsidR="00B14357" w:rsidRPr="00B14357">
        <w:t>HBV</w:t>
      </w:r>
      <w:r w:rsidR="00B14357">
        <w:t>,</w:t>
      </w:r>
      <w:r w:rsidR="00B14357" w:rsidRPr="00B14357">
        <w:t xml:space="preserve"> Hepatitis B vir</w:t>
      </w:r>
      <w:r w:rsidR="00B14357">
        <w:t xml:space="preserve">us; </w:t>
      </w:r>
      <w:r w:rsidR="00B14357" w:rsidRPr="00B14357">
        <w:t>HBV DNA (quantitative PCR)</w:t>
      </w:r>
      <w:r w:rsidR="00B14357">
        <w:t xml:space="preserve">, </w:t>
      </w:r>
      <w:r w:rsidR="00B14357" w:rsidRPr="00B14357">
        <w:t>Hepatitis B viral load</w:t>
      </w:r>
      <w:r w:rsidR="00B14357">
        <w:t xml:space="preserve">; </w:t>
      </w:r>
      <w:r w:rsidR="00B14357" w:rsidRPr="00B14357">
        <w:t>IgG anti-HBc</w:t>
      </w:r>
      <w:r w:rsidR="00B14357">
        <w:t xml:space="preserve">, </w:t>
      </w:r>
      <w:r w:rsidR="00B14357" w:rsidRPr="00B14357">
        <w:t>Immunoglobulin G antibody to hepatitis B core antigen</w:t>
      </w:r>
      <w:r w:rsidR="00B14357">
        <w:t xml:space="preserve">; </w:t>
      </w:r>
      <w:r w:rsidR="00B14357" w:rsidRPr="00B14357">
        <w:t>IgM anti-HBc</w:t>
      </w:r>
      <w:r w:rsidR="00B14357">
        <w:t xml:space="preserve">, </w:t>
      </w:r>
      <w:r w:rsidR="00B14357" w:rsidRPr="00B14357">
        <w:t>Immunoglobulin M antibody to hepatitis B core antigen</w:t>
      </w:r>
      <w:r w:rsidR="00B14357">
        <w:t xml:space="preserve">; </w:t>
      </w:r>
      <w:r w:rsidR="00B14357" w:rsidRPr="00B14357">
        <w:t>qHBsAg</w:t>
      </w:r>
      <w:r w:rsidR="00B14357">
        <w:t xml:space="preserve">, </w:t>
      </w:r>
      <w:r w:rsidR="00432183">
        <w:t>q</w:t>
      </w:r>
      <w:r w:rsidR="00B14357" w:rsidRPr="00B14357">
        <w:t xml:space="preserve">uantitative </w:t>
      </w:r>
      <w:r w:rsidR="00432183">
        <w:t>h</w:t>
      </w:r>
      <w:r w:rsidR="00432183" w:rsidRPr="00432183">
        <w:t>epatitis B surface antigen</w:t>
      </w:r>
    </w:p>
    <w:p w14:paraId="20661443" w14:textId="18AC55EC" w:rsidR="005F7895" w:rsidRDefault="005F7895" w:rsidP="005F7895">
      <w:r>
        <w:t xml:space="preserve">Once a definitive diagnosis of CHB has been established, clinical management continues within a mixed general practice and specialist </w:t>
      </w:r>
      <w:r w:rsidR="00262829">
        <w:t xml:space="preserve">setting </w:t>
      </w:r>
      <w:r>
        <w:t xml:space="preserve">(hepatology, gastroenterology, infectious diseases). Recommended regular laboratory assessments conducted in this setting include HBV viral load, which is measured using a quantitative real time polymerase chain reaction (PCR) DNA assay, qualitative HBeAg status, </w:t>
      </w:r>
      <w:r w:rsidR="00262829">
        <w:t xml:space="preserve">qualitative </w:t>
      </w:r>
      <w:r>
        <w:t>HBsA</w:t>
      </w:r>
      <w:r w:rsidR="007A64B9">
        <w:t>g</w:t>
      </w:r>
      <w:r w:rsidR="00CB2B88">
        <w:t xml:space="preserve"> </w:t>
      </w:r>
      <w:r w:rsidR="007A64B9">
        <w:t>testing</w:t>
      </w:r>
      <w:r>
        <w:t xml:space="preserve">, standard liver function tests </w:t>
      </w:r>
      <w:r w:rsidR="006D41D6">
        <w:t>including alanine aminotransferase (</w:t>
      </w:r>
      <w:r>
        <w:t>ALT</w:t>
      </w:r>
      <w:r w:rsidR="006D41D6">
        <w:t>) and a</w:t>
      </w:r>
      <w:r w:rsidR="006D41D6" w:rsidRPr="006D41D6">
        <w:t xml:space="preserve">spartate </w:t>
      </w:r>
      <w:r w:rsidR="006D41D6">
        <w:t>t</w:t>
      </w:r>
      <w:r w:rsidR="006D41D6" w:rsidRPr="006D41D6">
        <w:t xml:space="preserve">ransaminase </w:t>
      </w:r>
      <w:r w:rsidR="006D41D6">
        <w:t>(</w:t>
      </w:r>
      <w:r>
        <w:t>AST), full blood examination, HCC surveillance, and periodic (non-invasive) assessment of fibrosis</w:t>
      </w:r>
      <w:r w:rsidR="0052108A">
        <w:t xml:space="preserve"> and </w:t>
      </w:r>
      <w:r>
        <w:t>cirrhosis</w:t>
      </w:r>
      <w:r w:rsidR="00F71700">
        <w:t xml:space="preserve"> </w:t>
      </w:r>
      <w:r w:rsidR="00F71700">
        <w:fldChar w:fldCharType="begin">
          <w:fldData xml:space="preserve">PEVuZE5vdGU+PENpdGU+PEF1dGhvcj5MdWJlbDwvQXV0aG9yPjxZZWFyPjIwMjI8L1llYXI+PFJl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</w:fldData>
        </w:fldChar>
      </w:r>
      <w:r w:rsidR="00F71700">
        <w:instrText xml:space="preserve"> ADDIN EN.CITE </w:instrText>
      </w:r>
      <w:r w:rsidR="00F71700">
        <w:fldChar w:fldCharType="begin">
          <w:fldData xml:space="preserve">PEVuZE5vdGU+PENpdGU+PEF1dGhvcj5MdWJlbDwvQXV0aG9yPjxZZWFyPjIwMjI8L1llYXI+PFJl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</w:fldData>
        </w:fldChar>
      </w:r>
      <w:r w:rsidR="00F71700">
        <w:instrText xml:space="preserve"> ADDIN EN.CITE.DATA </w:instrText>
      </w:r>
      <w:r w:rsidR="00F71700">
        <w:fldChar w:fldCharType="end"/>
      </w:r>
      <w:r w:rsidR="00F71700">
        <w:fldChar w:fldCharType="separate"/>
      </w:r>
      <w:r w:rsidR="00F71700">
        <w:rPr>
          <w:noProof/>
        </w:rPr>
        <w:t>(Lubel et al., 2022)</w:t>
      </w:r>
      <w:r w:rsidR="00F71700">
        <w:fldChar w:fldCharType="end"/>
      </w:r>
      <w:r>
        <w:t xml:space="preserve">. </w:t>
      </w:r>
    </w:p>
    <w:p w14:paraId="63E2F43F" w14:textId="77777777" w:rsidR="008B5DF1" w:rsidRDefault="005F7895" w:rsidP="005F7895">
      <w:r>
        <w:t>Antiviral treatment is recommended for a subset of patients with CHB, generally reserved for patients who have evidence of active viral replication, liver inflammation, fibrosis, or other factors that increase the risk of disease progression</w:t>
      </w:r>
      <w:r w:rsidR="00557DA3">
        <w:t xml:space="preserve"> </w:t>
      </w:r>
      <w:r w:rsidR="00557DA3">
        <w:fldChar w:fldCharType="begin">
          <w:fldData xml:space="preserve">PEVuZE5vdGU+PENpdGU+PEF1dGhvcj5MdWJlbDwvQXV0aG9yPjxZZWFyPjIwMjI8L1llYXI+PFJl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</w:fldData>
        </w:fldChar>
      </w:r>
      <w:r w:rsidR="00557DA3">
        <w:instrText xml:space="preserve"> ADDIN EN.CITE </w:instrText>
      </w:r>
      <w:r w:rsidR="00557DA3">
        <w:fldChar w:fldCharType="begin">
          <w:fldData xml:space="preserve">PEVuZE5vdGU+PENpdGU+PEF1dGhvcj5MdWJlbDwvQXV0aG9yPjxZZWFyPjIwMjI8L1llYXI+PFJl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</w:fldData>
        </w:fldChar>
      </w:r>
      <w:r w:rsidR="00557DA3">
        <w:instrText xml:space="preserve"> ADDIN EN.CITE.DATA </w:instrText>
      </w:r>
      <w:r w:rsidR="00557DA3">
        <w:fldChar w:fldCharType="end"/>
      </w:r>
      <w:r w:rsidR="00557DA3">
        <w:fldChar w:fldCharType="separate"/>
      </w:r>
      <w:r w:rsidR="00557DA3">
        <w:rPr>
          <w:noProof/>
        </w:rPr>
        <w:t>(Lubel et al., 2022)</w:t>
      </w:r>
      <w:r w:rsidR="00557DA3">
        <w:fldChar w:fldCharType="end"/>
      </w:r>
      <w:r>
        <w:t xml:space="preserve">. The main contemporary pharmacological management options are nucleos(t)ide analogues (NAs), including entecavir and tenofovir disoproxil or alafenamide (preferred) as well as lamivudine, adefovir and telbivudine (alternative). Pegylated interferon is another option in some cases but has been largely superseded as a frontline treatment in most developed country settings and is no longer reliably available in Australia. </w:t>
      </w:r>
    </w:p>
    <w:p w14:paraId="52753489" w14:textId="114FC975" w:rsidR="008B5DF1" w:rsidRPr="008B5DF1" w:rsidRDefault="008B5DF1" w:rsidP="008B5DF1">
      <w:r w:rsidRPr="008B5DF1">
        <w:t xml:space="preserve">Current </w:t>
      </w:r>
      <w:r>
        <w:t>NA</w:t>
      </w:r>
      <w:r w:rsidRPr="008B5DF1">
        <w:t xml:space="preserve"> therapies effectively suppress HBV replication but rarely achieve functional cure</w:t>
      </w:r>
      <w:r w:rsidR="00CB2B88">
        <w:t xml:space="preserve"> (3% to 5%)</w:t>
      </w:r>
      <w:r w:rsidRPr="008B5DF1">
        <w:t>, defined by sustained loss of HBsAg</w:t>
      </w:r>
      <w:r w:rsidR="00CB2B88">
        <w:t xml:space="preserve"> </w:t>
      </w:r>
      <w:r w:rsidR="00EF5AD8">
        <w:fldChar w:fldCharType="begin"/>
      </w:r>
      <w:r w:rsidR="00EF5AD8">
        <w:instrText xml:space="preserve"> ADDIN EN.CITE &lt;EndNote&gt;&lt;Cite&gt;&lt;Author&gt;Marrapu&lt;/Author&gt;&lt;Year&gt;2025&lt;/Year&gt;&lt;RecNum&gt;15&lt;/RecNum&gt;&lt;DisplayText&gt;(Marrapu et al., 2025)&lt;/DisplayText&gt;&lt;record&gt;&lt;rec-number&gt;15&lt;/rec-number&gt;&lt;foreign-keys&gt;&lt;key app="EN" db-id="zv5axz5eqtvwd2eve9npz227rdzp0s0r2r9s" timestamp="1784090007"&gt;15&lt;/key&gt;&lt;/foreign-keys&gt;&lt;ref-type name="Journal Article"&gt;17&lt;/ref-type&gt;&lt;contributors&gt;&lt;authors&gt;&lt;author&gt;Marrapu, S.&lt;/author&gt;&lt;author&gt;Soni, J. R.&lt;/author&gt;&lt;author&gt;Kamal, K.&lt;/author&gt;&lt;author&gt;Kumar, R.&lt;/author&gt;&lt;/authors&gt;&lt;/contributors&gt;&lt;auth-address&gt;Department of Gastroenterology, All India Institute of Medical Sciences, Patna 801507, India.&amp;#xD;Department of Gastroenterology, All India Institute of Medical Sciences, Patna 801507, India. docrameshkr@gmail.com.&lt;/auth-address&gt;&lt;titles&gt;&lt;title&gt;Hepatitis B functional cure: Current and future perspective&lt;/title&gt;&lt;secondary-title&gt;World J Hepatol&lt;/secondary-title&gt;&lt;/titles&gt;&lt;periodical&gt;&lt;full-title&gt;World J Hepatol&lt;/full-title&gt;&lt;/periodical&gt;&lt;pages&gt;110107&lt;/pages&gt;&lt;volume&gt;17&lt;/volume&gt;&lt;number&gt;10&lt;/number&gt;&lt;keywords&gt;&lt;keyword&gt;Functional cure&lt;/keyword&gt;&lt;keyword&gt;Hepatitis B&lt;/keyword&gt;&lt;keyword&gt;Hepatitis B surface antigen seroclearance&lt;/keyword&gt;&lt;keyword&gt;Surface antigen&lt;/keyword&gt;&lt;keyword&gt;Virological cure&lt;/keyword&gt;&lt;/keywords&gt;&lt;dates&gt;&lt;year&gt;2025&lt;/year&gt;&lt;pub-dates&gt;&lt;date&gt;Oct 27&lt;/date&gt;&lt;/pub-dates&gt;&lt;/dates&gt;&lt;isbn&gt;1948-5182 (Print)&lt;/isbn&gt;&lt;accession-num&gt;41179730&lt;/accession-num&gt;&lt;urls&gt;&lt;/urls&gt;&lt;custom1&gt;Conflict-of-interest statement: None of authors have any conflict-of-interest with regard to this work.&lt;/custom1&gt;&lt;custom2&gt;PMC12576716&lt;/custom2&gt;&lt;electronic-resource-num&gt;10.4254/wjh.v17.i10.110107&lt;/electronic-resource-num&gt;&lt;remote-database-provider&gt;NLM&lt;/remote-database-provider&gt;&lt;language&gt;eng&lt;/language&gt;&lt;/record&gt;&lt;/Cite&gt;&lt;/EndNote&gt;</w:instrText>
      </w:r>
      <w:r w:rsidR="00EF5AD8">
        <w:fldChar w:fldCharType="separate"/>
      </w:r>
      <w:r w:rsidR="00EF5AD8">
        <w:rPr>
          <w:noProof/>
        </w:rPr>
        <w:t>(Marrapu et al., 2025)</w:t>
      </w:r>
      <w:r w:rsidR="00EF5AD8">
        <w:fldChar w:fldCharType="end"/>
      </w:r>
      <w:r w:rsidRPr="008B5DF1">
        <w:t xml:space="preserve">. As a result, many patients require prolonged or lifelong treatment and monitoring to reduce the risk of cirrhosis, liver failure </w:t>
      </w:r>
      <w:r w:rsidR="002E41D9">
        <w:t>and</w:t>
      </w:r>
      <w:r w:rsidRPr="008B5DF1">
        <w:t xml:space="preserve"> </w:t>
      </w:r>
      <w:r w:rsidR="00262829">
        <w:t>HCC</w:t>
      </w:r>
      <w:r w:rsidRPr="008B5DF1">
        <w:t>. The development of therapies capable of achieving functional cure has therefore become an important goal in CHB management.</w:t>
      </w:r>
      <w:r>
        <w:t xml:space="preserve"> </w:t>
      </w:r>
    </w:p>
    <w:p w14:paraId="66ACB308" w14:textId="21AEE10D" w:rsidR="008B5DF1" w:rsidRDefault="00D52002" w:rsidP="008B5DF1">
      <w:r>
        <w:t>It</w:t>
      </w:r>
      <w:r w:rsidR="008B5DF1" w:rsidRPr="008B5DF1">
        <w:t xml:space="preserve"> should be recognised</w:t>
      </w:r>
      <w:r w:rsidR="00C651EC">
        <w:t xml:space="preserve"> </w:t>
      </w:r>
      <w:r w:rsidR="00CB2B88">
        <w:t xml:space="preserve">that </w:t>
      </w:r>
      <w:r w:rsidR="00C651EC">
        <w:t>functional</w:t>
      </w:r>
      <w:r w:rsidR="006F24E5">
        <w:t xml:space="preserve"> cure does not represent eradiation of HBV infection.</w:t>
      </w:r>
      <w:r w:rsidR="008B5DF1" w:rsidRPr="008B5DF1">
        <w:t xml:space="preserve"> </w:t>
      </w:r>
      <w:r w:rsidR="006F24E5">
        <w:t>E</w:t>
      </w:r>
      <w:r>
        <w:t>ven when functional cure is achieved,</w:t>
      </w:r>
      <w:r w:rsidR="008B5DF1" w:rsidRPr="008B5DF1">
        <w:t xml:space="preserve"> viral HBV DNA </w:t>
      </w:r>
      <w:r w:rsidR="00B428AB">
        <w:t>persists within hepatocytes</w:t>
      </w:r>
      <w:r w:rsidR="009E1023">
        <w:t xml:space="preserve"> </w:t>
      </w:r>
      <w:r w:rsidR="00CA3FBF">
        <w:t>as</w:t>
      </w:r>
      <w:r w:rsidR="008B5DF1" w:rsidRPr="008B5DF1">
        <w:t xml:space="preserve"> integrated HBV DNA and as </w:t>
      </w:r>
      <w:r w:rsidRPr="00D52002">
        <w:t>covalently closed circular DNA (cccDNA)</w:t>
      </w:r>
      <w:r w:rsidR="00EC1AB2">
        <w:t>. These viral reservoirs can</w:t>
      </w:r>
      <w:r w:rsidRPr="00D52002">
        <w:t xml:space="preserve"> continue to serve as a transcriptional template despite the absence of detectable HBsAg or HBV DNA in serum.</w:t>
      </w:r>
      <w:r>
        <w:t xml:space="preserve"> </w:t>
      </w:r>
      <w:r w:rsidR="00DD4AA7">
        <w:t>As a result</w:t>
      </w:r>
      <w:r w:rsidR="00B22490">
        <w:t>,</w:t>
      </w:r>
      <w:r>
        <w:t xml:space="preserve"> </w:t>
      </w:r>
      <w:r w:rsidR="008B5DF1" w:rsidRPr="008B5DF1">
        <w:t xml:space="preserve">HBV reactivation </w:t>
      </w:r>
      <w:r w:rsidR="002A038A">
        <w:t>remains possible, particularly</w:t>
      </w:r>
      <w:r w:rsidR="008B5DF1" w:rsidRPr="008B5DF1">
        <w:t xml:space="preserve"> in the setting of immunosuppression</w:t>
      </w:r>
      <w:r w:rsidR="008B5DF1">
        <w:t>.</w:t>
      </w:r>
    </w:p>
    <w:p w14:paraId="45BAE87B" w14:textId="0D675FCF" w:rsidR="00CE712E" w:rsidRDefault="00CE712E" w:rsidP="00CE712E">
      <w:r>
        <w:t xml:space="preserve">The population relevant to this application comprises patients with CHB receiving </w:t>
      </w:r>
      <w:r w:rsidR="00D82F40">
        <w:t xml:space="preserve">consistent </w:t>
      </w:r>
      <w:r>
        <w:t xml:space="preserve">NA </w:t>
      </w:r>
      <w:r w:rsidR="00D82F40">
        <w:t xml:space="preserve">regimen for at last 6 months, </w:t>
      </w:r>
      <w:r>
        <w:t>who may be eligible for a finite course of treatment with bepirovirsen</w:t>
      </w:r>
      <w:r w:rsidR="00865D4C">
        <w:t xml:space="preserve"> (or other curative therapy)</w:t>
      </w:r>
      <w:r>
        <w:t>, as well as those requiring follow-up after achieving functional cure.</w:t>
      </w:r>
      <w:r w:rsidR="00DD6684">
        <w:t xml:space="preserve"> </w:t>
      </w:r>
      <w:r>
        <w:t>The target population</w:t>
      </w:r>
      <w:r w:rsidR="00DD6684">
        <w:t>s</w:t>
      </w:r>
      <w:r>
        <w:t xml:space="preserve"> </w:t>
      </w:r>
      <w:r w:rsidR="00DD6684">
        <w:t>are</w:t>
      </w:r>
      <w:r>
        <w:t xml:space="preserve"> stratified into two groups reflecting distinct clinical phases and testing objectives</w:t>
      </w:r>
      <w:r w:rsidR="00DD6684">
        <w:t>.</w:t>
      </w:r>
    </w:p>
    <w:p w14:paraId="0365FB67" w14:textId="59267F7E" w:rsidR="00DD6684" w:rsidRPr="00DD6684" w:rsidRDefault="00DD6684" w:rsidP="00524DA3">
      <w:pPr>
        <w:pStyle w:val="Heading4"/>
      </w:pPr>
      <w:r w:rsidRPr="00DD6684">
        <w:t>PICO 1</w:t>
      </w:r>
    </w:p>
    <w:p w14:paraId="6D61AB6E" w14:textId="39DB3B9D" w:rsidR="00CE712E" w:rsidRDefault="00B97743" w:rsidP="00CE712E">
      <w:r>
        <w:t>The p</w:t>
      </w:r>
      <w:r w:rsidR="00DD6684">
        <w:t>roposed population for PICO 1 set</w:t>
      </w:r>
      <w:r w:rsidR="00B808A5">
        <w:t xml:space="preserve"> includes p</w:t>
      </w:r>
      <w:r w:rsidR="00B808A5" w:rsidRPr="00B808A5">
        <w:t xml:space="preserve">eople diagnosed with </w:t>
      </w:r>
      <w:r w:rsidR="00B808A5">
        <w:t>CHB</w:t>
      </w:r>
      <w:r w:rsidR="00B808A5" w:rsidRPr="00B808A5">
        <w:t xml:space="preserve"> on stable NA therapy</w:t>
      </w:r>
      <w:r w:rsidR="00753F4E">
        <w:t>. Stable NA therapy is</w:t>
      </w:r>
      <w:r w:rsidR="00B13E86">
        <w:t xml:space="preserve"> </w:t>
      </w:r>
      <w:r w:rsidR="00E82755">
        <w:rPr>
          <w:rFonts w:cs="Arial"/>
        </w:rPr>
        <w:t xml:space="preserve">defined as </w:t>
      </w:r>
      <w:r w:rsidR="00E82755" w:rsidRPr="00F21E88">
        <w:rPr>
          <w:rFonts w:cs="Arial"/>
        </w:rPr>
        <w:t>treatment for at least 6 months before screening, including at least 3 months on the current regimen if a</w:t>
      </w:r>
      <w:r w:rsidR="00E82755">
        <w:rPr>
          <w:rFonts w:cs="Arial"/>
        </w:rPr>
        <w:t xml:space="preserve"> </w:t>
      </w:r>
      <w:r w:rsidR="00E82755" w:rsidRPr="00F21E88">
        <w:rPr>
          <w:rFonts w:cs="Arial"/>
        </w:rPr>
        <w:t>switch has occurred</w:t>
      </w:r>
      <w:r w:rsidR="00E82755">
        <w:rPr>
          <w:rFonts w:cs="Arial"/>
        </w:rPr>
        <w:t xml:space="preserve"> </w:t>
      </w:r>
      <w:r w:rsidR="00E82755" w:rsidRPr="00F21E88">
        <w:rPr>
          <w:rFonts w:cs="Arial"/>
        </w:rPr>
        <w:t>for reasons other than loss of viral suppression or treatment failure, with no planned treatment changes</w:t>
      </w:r>
      <w:r w:rsidR="00753F4E">
        <w:rPr>
          <w:rFonts w:cs="Arial"/>
        </w:rPr>
        <w:t>. These patients are</w:t>
      </w:r>
      <w:r w:rsidR="00B808A5" w:rsidRPr="00B808A5">
        <w:t xml:space="preserve"> </w:t>
      </w:r>
      <w:r w:rsidR="00FA0C6B">
        <w:t xml:space="preserve">assessed for </w:t>
      </w:r>
      <w:r w:rsidR="0083701A">
        <w:t>bepirovirsen</w:t>
      </w:r>
      <w:r w:rsidR="00753F4E">
        <w:t xml:space="preserve"> treatment</w:t>
      </w:r>
      <w:r w:rsidR="0083701A">
        <w:t>. Within this</w:t>
      </w:r>
      <w:r w:rsidR="00B808A5" w:rsidRPr="00B808A5">
        <w:t xml:space="preserve"> population</w:t>
      </w:r>
      <w:r w:rsidR="00B75EB7">
        <w:t>,</w:t>
      </w:r>
      <w:r w:rsidR="00604DCE">
        <w:t xml:space="preserve"> successive testing and treatment points occur at baseline </w:t>
      </w:r>
      <w:r w:rsidR="00753F4E">
        <w:t xml:space="preserve">where </w:t>
      </w:r>
      <w:r w:rsidR="00604DCE">
        <w:t xml:space="preserve">treatment </w:t>
      </w:r>
      <w:r w:rsidR="00604DCE">
        <w:lastRenderedPageBreak/>
        <w:t>eligibility</w:t>
      </w:r>
      <w:r w:rsidR="00753F4E">
        <w:t xml:space="preserve"> is</w:t>
      </w:r>
      <w:r w:rsidR="00753F4E" w:rsidRPr="00753F4E">
        <w:t xml:space="preserve"> </w:t>
      </w:r>
      <w:r w:rsidR="00753F4E">
        <w:t>determined</w:t>
      </w:r>
      <w:r w:rsidR="00604DCE">
        <w:t>,</w:t>
      </w:r>
      <w:r w:rsidR="00753F4E">
        <w:t xml:space="preserve"> followed by progressive</w:t>
      </w:r>
      <w:r w:rsidR="00604DCE">
        <w:t xml:space="preserve"> </w:t>
      </w:r>
      <w:r w:rsidR="00B808A5" w:rsidRPr="00B808A5">
        <w:t xml:space="preserve">narrowing </w:t>
      </w:r>
      <w:r w:rsidR="00753F4E">
        <w:t xml:space="preserve">of the population </w:t>
      </w:r>
      <w:r w:rsidR="00B808A5" w:rsidRPr="00B808A5">
        <w:t>at</w:t>
      </w:r>
      <w:r w:rsidR="0072212A">
        <w:t xml:space="preserve"> each</w:t>
      </w:r>
      <w:r w:rsidR="00753F4E">
        <w:t xml:space="preserve"> subsequent assessment </w:t>
      </w:r>
      <w:r w:rsidR="0072212A">
        <w:t>point:</w:t>
      </w:r>
      <w:r w:rsidR="00B808A5" w:rsidRPr="00B808A5">
        <w:t xml:space="preserve"> </w:t>
      </w:r>
      <w:r w:rsidR="006C349A">
        <w:t>W</w:t>
      </w:r>
      <w:r w:rsidR="00B808A5" w:rsidRPr="00B808A5">
        <w:t>eek</w:t>
      </w:r>
      <w:r w:rsidR="00DD6684">
        <w:t xml:space="preserve"> 12</w:t>
      </w:r>
      <w:r w:rsidR="00753F4E">
        <w:t>,</w:t>
      </w:r>
      <w:r w:rsidR="00DD6684">
        <w:t xml:space="preserve"> </w:t>
      </w:r>
      <w:r w:rsidR="00A43F80">
        <w:t xml:space="preserve">to </w:t>
      </w:r>
      <w:r w:rsidR="0072212A">
        <w:t>patients demonstrat</w:t>
      </w:r>
      <w:r w:rsidR="00753F4E">
        <w:t>ing a</w:t>
      </w:r>
      <w:r w:rsidR="0072212A">
        <w:t xml:space="preserve"> </w:t>
      </w:r>
      <w:r w:rsidR="00DD6684">
        <w:t>treatment response</w:t>
      </w:r>
      <w:r w:rsidR="00753F4E">
        <w:t>;</w:t>
      </w:r>
      <w:r w:rsidR="00DD6684">
        <w:t xml:space="preserve"> </w:t>
      </w:r>
      <w:r w:rsidR="006C349A">
        <w:t>Week 48</w:t>
      </w:r>
      <w:r w:rsidR="00753F4E">
        <w:t>,</w:t>
      </w:r>
      <w:r w:rsidR="006C349A">
        <w:t xml:space="preserve"> </w:t>
      </w:r>
      <w:r w:rsidR="008F180E">
        <w:t xml:space="preserve">to </w:t>
      </w:r>
      <w:r w:rsidR="0072212A">
        <w:t>patients eligible</w:t>
      </w:r>
      <w:r w:rsidR="00B808A5" w:rsidRPr="00B808A5">
        <w:t xml:space="preserve"> for NA discontinuation</w:t>
      </w:r>
      <w:r w:rsidR="00753F4E">
        <w:t>;</w:t>
      </w:r>
      <w:r w:rsidR="00B808A5" w:rsidRPr="00B808A5">
        <w:t xml:space="preserve"> and </w:t>
      </w:r>
      <w:r w:rsidR="00045D70">
        <w:t>W</w:t>
      </w:r>
      <w:r w:rsidR="00B808A5" w:rsidRPr="00B808A5">
        <w:t>eek 72</w:t>
      </w:r>
      <w:r w:rsidR="00753F4E">
        <w:t>,</w:t>
      </w:r>
      <w:r w:rsidR="00B808A5" w:rsidRPr="00B808A5">
        <w:t xml:space="preserve"> </w:t>
      </w:r>
      <w:r w:rsidR="008F180E">
        <w:t xml:space="preserve">to </w:t>
      </w:r>
      <w:r w:rsidR="0072212A">
        <w:t>patients achieving</w:t>
      </w:r>
      <w:r w:rsidR="008F180E">
        <w:t xml:space="preserve"> </w:t>
      </w:r>
      <w:r w:rsidR="00B808A5" w:rsidRPr="00B808A5">
        <w:t>functional cure.</w:t>
      </w:r>
    </w:p>
    <w:p w14:paraId="6CB26367" w14:textId="7B32CE5A" w:rsidR="00CE712E" w:rsidRDefault="00CE712E" w:rsidP="00CE712E">
      <w:r>
        <w:t>The proposed indication for bepirovirsen is likely to involve patients with:</w:t>
      </w:r>
    </w:p>
    <w:p w14:paraId="129C4F9F" w14:textId="3044327B" w:rsidR="00CE712E" w:rsidRDefault="00CE712E" w:rsidP="003564C6">
      <w:pPr>
        <w:pStyle w:val="ListParagraph"/>
        <w:numPr>
          <w:ilvl w:val="0"/>
          <w:numId w:val="2"/>
        </w:numPr>
      </w:pPr>
      <w:r>
        <w:t>Confirmed CHB</w:t>
      </w:r>
      <w:r w:rsidR="00045D70">
        <w:t xml:space="preserve"> (based on laboratory assessment of HBsAg, anti-HBc and anti-HBc)</w:t>
      </w:r>
    </w:p>
    <w:p w14:paraId="11A73B24" w14:textId="77777777" w:rsidR="00CE712E" w:rsidRDefault="00CE712E" w:rsidP="003564C6">
      <w:pPr>
        <w:pStyle w:val="ListParagraph"/>
        <w:numPr>
          <w:ilvl w:val="0"/>
          <w:numId w:val="2"/>
        </w:numPr>
      </w:pPr>
      <w:r>
        <w:t>Stable NA therapy (≥6 months)</w:t>
      </w:r>
    </w:p>
    <w:p w14:paraId="57948647" w14:textId="6F782876" w:rsidR="00CE712E" w:rsidRDefault="00046891" w:rsidP="003564C6">
      <w:pPr>
        <w:pStyle w:val="ListParagraph"/>
        <w:numPr>
          <w:ilvl w:val="0"/>
          <w:numId w:val="2"/>
        </w:numPr>
      </w:pPr>
      <w:r>
        <w:t>q</w:t>
      </w:r>
      <w:r w:rsidR="00CE712E">
        <w:t>HBsAg</w:t>
      </w:r>
      <w:r w:rsidR="00B808A5">
        <w:t xml:space="preserve"> </w:t>
      </w:r>
      <w:r w:rsidR="00CE712E">
        <w:t>≤3,000 IU/mL</w:t>
      </w:r>
    </w:p>
    <w:p w14:paraId="77F04674" w14:textId="77777777" w:rsidR="00CE712E" w:rsidRDefault="00CE712E" w:rsidP="003564C6">
      <w:pPr>
        <w:pStyle w:val="ListParagraph"/>
        <w:numPr>
          <w:ilvl w:val="0"/>
          <w:numId w:val="2"/>
        </w:numPr>
      </w:pPr>
      <w:r>
        <w:t>HBV DNA &lt;90 IU/mL</w:t>
      </w:r>
    </w:p>
    <w:p w14:paraId="57CBC939" w14:textId="7746B43E" w:rsidR="00CE712E" w:rsidRDefault="00CE712E" w:rsidP="003564C6">
      <w:pPr>
        <w:pStyle w:val="ListParagraph"/>
        <w:numPr>
          <w:ilvl w:val="0"/>
          <w:numId w:val="2"/>
        </w:numPr>
      </w:pPr>
      <w:r>
        <w:t xml:space="preserve">ALT ≤2× </w:t>
      </w:r>
      <w:r w:rsidR="00A12390" w:rsidRPr="00A12390">
        <w:t>upper limit normal</w:t>
      </w:r>
      <w:r w:rsidR="00A12390">
        <w:t xml:space="preserve"> (</w:t>
      </w:r>
      <w:r>
        <w:t>ULN</w:t>
      </w:r>
      <w:r w:rsidR="00A12390">
        <w:t>)</w:t>
      </w:r>
    </w:p>
    <w:p w14:paraId="74AD4702" w14:textId="3FF37DED" w:rsidR="00CE712E" w:rsidRDefault="00CE712E" w:rsidP="003564C6">
      <w:pPr>
        <w:pStyle w:val="ListParagraph"/>
        <w:numPr>
          <w:ilvl w:val="0"/>
          <w:numId w:val="2"/>
        </w:numPr>
      </w:pPr>
      <w:r>
        <w:t>Management under specialist care</w:t>
      </w:r>
    </w:p>
    <w:p w14:paraId="3C422411" w14:textId="7E67DDB5" w:rsidR="00CA7374" w:rsidRDefault="00CA7374" w:rsidP="00CA7374">
      <w:r>
        <w:t xml:space="preserve">The applicant has indicated that the initially proposed Therapeutic Goods Administration (TGA) indication and PBS restriction for bepirovirsen will likely be for finite treatment of CHB (24 weeks) in patients already on stable NA therapy, with HBsAg levels ≤ 3,000 IU/mL. </w:t>
      </w:r>
      <w:r w:rsidR="00101874">
        <w:t xml:space="preserve">The proposed population for </w:t>
      </w:r>
      <w:r w:rsidR="003B2E41">
        <w:t xml:space="preserve">PICO </w:t>
      </w:r>
      <w:r w:rsidR="00922112">
        <w:t xml:space="preserve">set </w:t>
      </w:r>
      <w:r w:rsidR="002434BD">
        <w:t xml:space="preserve">1 </w:t>
      </w:r>
      <w:r w:rsidR="00922112">
        <w:t xml:space="preserve">includes </w:t>
      </w:r>
      <w:r w:rsidR="00035982">
        <w:t>patients with HBsA</w:t>
      </w:r>
      <w:r w:rsidR="00F538B7">
        <w:t>g</w:t>
      </w:r>
      <w:r w:rsidR="00035982">
        <w:t xml:space="preserve"> level </w:t>
      </w:r>
      <w:r w:rsidR="00F538B7">
        <w:t xml:space="preserve">≤3,000 IU/mL. </w:t>
      </w:r>
      <w:r w:rsidR="00FB6C5B">
        <w:t>E</w:t>
      </w:r>
      <w:r w:rsidR="00F538B7" w:rsidRPr="0086035D">
        <w:t xml:space="preserve">xisting guidance </w:t>
      </w:r>
      <w:r w:rsidR="008C6016">
        <w:t xml:space="preserve">from the </w:t>
      </w:r>
      <w:r w:rsidR="00F538B7" w:rsidRPr="0086035D">
        <w:t>AASLD</w:t>
      </w:r>
      <w:r w:rsidR="008C6016">
        <w:t>-</w:t>
      </w:r>
      <w:r w:rsidR="00F538B7" w:rsidRPr="0086035D">
        <w:t xml:space="preserve">IDSA </w:t>
      </w:r>
      <w:r w:rsidR="008C6016">
        <w:t xml:space="preserve">Practice Guidelines </w:t>
      </w:r>
      <w:r w:rsidR="00F538B7">
        <w:t>consider</w:t>
      </w:r>
      <w:r w:rsidR="000467D8">
        <w:t xml:space="preserve">s </w:t>
      </w:r>
      <w:r w:rsidR="00046891">
        <w:t>q</w:t>
      </w:r>
      <w:r w:rsidR="000467D8" w:rsidRPr="0086035D">
        <w:t>HBsAg &lt;100 IU/mL</w:t>
      </w:r>
      <w:r w:rsidR="000467D8">
        <w:t xml:space="preserve"> as </w:t>
      </w:r>
      <w:r w:rsidR="000467D8" w:rsidRPr="0086035D">
        <w:t>a reasonable threshold for considering NA discontinuation without additional therapy</w:t>
      </w:r>
      <w:r w:rsidR="008C6016">
        <w:t xml:space="preserve"> </w:t>
      </w:r>
      <w:r w:rsidR="008C6016">
        <w:fldChar w:fldCharType="begin">
          <w:fldData xml:space="preserve">PEVuZE5vdGU+PENpdGU+PEF1dGhvcj5HaGFueTwvQXV0aG9yPjxZZWFyPjIwMjY8L1llYXI+PFJl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</w:fldData>
        </w:fldChar>
      </w:r>
      <w:r w:rsidR="008C6016">
        <w:instrText xml:space="preserve"> ADDIN EN.CITE </w:instrText>
      </w:r>
      <w:r w:rsidR="008C6016">
        <w:fldChar w:fldCharType="begin">
          <w:fldData xml:space="preserve">PEVuZE5vdGU+PENpdGU+PEF1dGhvcj5HaGFueTwvQXV0aG9yPjxZZWFyPjIwMjY8L1llYXI+PFJl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</w:fldData>
        </w:fldChar>
      </w:r>
      <w:r w:rsidR="008C6016">
        <w:instrText xml:space="preserve"> ADDIN EN.CITE.DATA </w:instrText>
      </w:r>
      <w:r w:rsidR="008C6016">
        <w:fldChar w:fldCharType="end"/>
      </w:r>
      <w:r w:rsidR="008C6016">
        <w:fldChar w:fldCharType="separate"/>
      </w:r>
      <w:r w:rsidR="008C6016">
        <w:rPr>
          <w:noProof/>
        </w:rPr>
        <w:t>(Ghany et al., 2026)</w:t>
      </w:r>
      <w:r w:rsidR="008C6016">
        <w:fldChar w:fldCharType="end"/>
      </w:r>
      <w:r w:rsidR="000467D8" w:rsidRPr="0086035D">
        <w:t xml:space="preserve">. </w:t>
      </w:r>
    </w:p>
    <w:p w14:paraId="76CB52D8" w14:textId="71B168E1" w:rsidR="00E64E98" w:rsidRDefault="000467D8" w:rsidP="00F134EE">
      <w:r>
        <w:t xml:space="preserve">The </w:t>
      </w:r>
      <w:r w:rsidR="00DB3B2C">
        <w:t>threshold of</w:t>
      </w:r>
      <w:r w:rsidR="005F7412">
        <w:t xml:space="preserve"> ≤3,000 IU/mL</w:t>
      </w:r>
      <w:r w:rsidR="00107057">
        <w:t xml:space="preserve"> was derived from </w:t>
      </w:r>
      <w:r w:rsidR="00E64E98">
        <w:t>receiver-operating-characteristic (ROC) analysis of the B-Clear data</w:t>
      </w:r>
      <w:r w:rsidR="00881583">
        <w:rPr>
          <w:rStyle w:val="FootnoteReference"/>
        </w:rPr>
        <w:footnoteReference w:id="3"/>
      </w:r>
      <w:r w:rsidR="00E64E98">
        <w:t xml:space="preserve"> and subsequently adopted as </w:t>
      </w:r>
      <w:r w:rsidR="00F134EE">
        <w:t xml:space="preserve">an eligibility criterion in </w:t>
      </w:r>
      <w:r w:rsidR="008227D4">
        <w:t>the pivot</w:t>
      </w:r>
      <w:r w:rsidR="00FD3D15">
        <w:t>al</w:t>
      </w:r>
      <w:r w:rsidR="00E64E98">
        <w:t xml:space="preserve"> phase 3 B-Well 1/2 trials</w:t>
      </w:r>
      <w:r w:rsidR="00DD6684">
        <w:t xml:space="preserve"> </w:t>
      </w:r>
      <w:r w:rsidR="005D46AB">
        <w:fldChar w:fldCharType="begin">
          <w:fldData xml:space="preserve">PEVuZE5vdGU+PENpdGU+PEF1dGhvcj5ZdWVuPC9BdXRob3I+PFllYXI+MjAyMjwvWWVhcj48UmVj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=
</w:fldData>
        </w:fldChar>
      </w:r>
      <w:r w:rsidR="005D46AB">
        <w:instrText xml:space="preserve"> ADDIN EN.CITE </w:instrText>
      </w:r>
      <w:r w:rsidR="005D46AB">
        <w:fldChar w:fldCharType="begin">
          <w:fldData xml:space="preserve">PEVuZE5vdGU+PENpdGU+PEF1dGhvcj5ZdWVuPC9BdXRob3I+PFllYXI+MjAyMjwvWWVhcj48UmVj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=
</w:fldData>
        </w:fldChar>
      </w:r>
      <w:r w:rsidR="005D46AB">
        <w:instrText xml:space="preserve"> ADDIN EN.CITE.DATA </w:instrText>
      </w:r>
      <w:r w:rsidR="005D46AB">
        <w:fldChar w:fldCharType="end"/>
      </w:r>
      <w:r w:rsidR="005D46AB">
        <w:fldChar w:fldCharType="separate"/>
      </w:r>
      <w:r w:rsidR="005D46AB">
        <w:rPr>
          <w:noProof/>
        </w:rPr>
        <w:t>(Yuen et al., 2022)</w:t>
      </w:r>
      <w:r w:rsidR="005D46AB">
        <w:fldChar w:fldCharType="end"/>
      </w:r>
      <w:r w:rsidR="00E64E98">
        <w:t xml:space="preserve">. The now-published B-Well 1/2 phase 3 results </w:t>
      </w:r>
      <w:r w:rsidR="008227D4">
        <w:t xml:space="preserve">demonstrated </w:t>
      </w:r>
      <w:r w:rsidR="00E64E98">
        <w:t xml:space="preserve">clinically meaningful functional cure rates </w:t>
      </w:r>
      <w:r w:rsidR="008227D4">
        <w:t xml:space="preserve">of </w:t>
      </w:r>
      <w:r w:rsidR="00E64E98">
        <w:t>19</w:t>
      </w:r>
      <w:r w:rsidR="003062B7">
        <w:t xml:space="preserve">% to </w:t>
      </w:r>
      <w:r w:rsidR="00E64E98">
        <w:t xml:space="preserve">20% vs 0% placebo) </w:t>
      </w:r>
      <w:r w:rsidR="008309D7">
        <w:t>in</w:t>
      </w:r>
      <w:r w:rsidR="00E64E98">
        <w:t xml:space="preserve"> this biomarker-selected population</w:t>
      </w:r>
      <w:r w:rsidR="00DD6684">
        <w:t xml:space="preserve"> </w:t>
      </w:r>
      <w:r w:rsidR="005D46AB">
        <w:fldChar w:fldCharType="begin">
          <w:fldData xml:space="preserve">PEVuZE5vdGU+PENpdGU+PEF1dGhvcj5Ib3U8L0F1dGhvcj48WWVhcj4yMDI2PC9ZZWFyPjxSZWNO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</w:fldData>
        </w:fldChar>
      </w:r>
      <w:r w:rsidR="005D46AB">
        <w:instrText xml:space="preserve"> ADDIN EN.CITE </w:instrText>
      </w:r>
      <w:r w:rsidR="005D46AB">
        <w:fldChar w:fldCharType="begin">
          <w:fldData xml:space="preserve">PEVuZE5vdGU+PENpdGU+PEF1dGhvcj5Ib3U8L0F1dGhvcj48WWVhcj4yMDI2PC9ZZWFyPjxSZWNO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</w:fldData>
        </w:fldChar>
      </w:r>
      <w:r w:rsidR="005D46AB">
        <w:instrText xml:space="preserve"> ADDIN EN.CITE.DATA </w:instrText>
      </w:r>
      <w:r w:rsidR="005D46AB">
        <w:fldChar w:fldCharType="end"/>
      </w:r>
      <w:r w:rsidR="005D46AB">
        <w:fldChar w:fldCharType="separate"/>
      </w:r>
      <w:r w:rsidR="005D46AB">
        <w:rPr>
          <w:noProof/>
        </w:rPr>
        <w:t>(Hou et al., 2026)</w:t>
      </w:r>
      <w:r w:rsidR="005D46AB">
        <w:fldChar w:fldCharType="end"/>
      </w:r>
      <w:r w:rsidR="00E64E98">
        <w:t>.</w:t>
      </w:r>
      <w:r w:rsidR="00120D8D">
        <w:t xml:space="preserve"> </w:t>
      </w:r>
    </w:p>
    <w:p w14:paraId="43052D2F" w14:textId="79E12DE3" w:rsidR="00C6087A" w:rsidRDefault="00C6087A" w:rsidP="00F134EE">
      <w:r>
        <w:t>T</w:t>
      </w:r>
      <w:r w:rsidRPr="00C6087A">
        <w:t>he</w:t>
      </w:r>
      <w:r w:rsidR="00881583">
        <w:t xml:space="preserve"> assessment group </w:t>
      </w:r>
      <w:r w:rsidR="000D5710">
        <w:t xml:space="preserve">considers </w:t>
      </w:r>
      <w:r w:rsidR="00881583">
        <w:t>the</w:t>
      </w:r>
      <w:r w:rsidRPr="00C6087A">
        <w:t xml:space="preserve"> population reasonably appropriate for the applicant's stated </w:t>
      </w:r>
      <w:r w:rsidR="000D5710" w:rsidRPr="00C6087A">
        <w:t>purpose but</w:t>
      </w:r>
      <w:r w:rsidRPr="00C6087A">
        <w:t xml:space="preserve"> </w:t>
      </w:r>
      <w:r w:rsidR="000D5710">
        <w:t xml:space="preserve">notes that </w:t>
      </w:r>
      <w:r w:rsidRPr="00C6087A">
        <w:t>alignment with existing guidelines is partial. The broad entry population (stable, long-term NA therapy) corresponds to a group already recognised in AASLD</w:t>
      </w:r>
      <w:r w:rsidR="002B2192">
        <w:t>-</w:t>
      </w:r>
      <w:r w:rsidRPr="00C6087A">
        <w:t xml:space="preserve">IDSA </w:t>
      </w:r>
      <w:r w:rsidR="002B2192">
        <w:t>Practice Guideline</w:t>
      </w:r>
      <w:r w:rsidR="002B2192" w:rsidRPr="00C6087A">
        <w:t xml:space="preserve"> </w:t>
      </w:r>
      <w:r w:rsidR="000324F2">
        <w:fldChar w:fldCharType="begin">
          <w:fldData xml:space="preserve">PEVuZE5vdGU+PENpdGU+PEF1dGhvcj5HaGFueTwvQXV0aG9yPjxZZWFyPjIwMjY8L1llYXI+PFJl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</w:fldData>
        </w:fldChar>
      </w:r>
      <w:r w:rsidR="000324F2">
        <w:instrText xml:space="preserve"> ADDIN EN.CITE </w:instrText>
      </w:r>
      <w:r w:rsidR="000324F2">
        <w:fldChar w:fldCharType="begin">
          <w:fldData xml:space="preserve">PEVuZE5vdGU+PENpdGU+PEF1dGhvcj5HaGFueTwvQXV0aG9yPjxZZWFyPjIwMjY8L1llYXI+PFJl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</w:fldData>
        </w:fldChar>
      </w:r>
      <w:r w:rsidR="000324F2">
        <w:instrText xml:space="preserve"> ADDIN EN.CITE.DATA </w:instrText>
      </w:r>
      <w:r w:rsidR="000324F2">
        <w:fldChar w:fldCharType="end"/>
      </w:r>
      <w:r w:rsidR="000324F2">
        <w:fldChar w:fldCharType="separate"/>
      </w:r>
      <w:r w:rsidR="000324F2">
        <w:rPr>
          <w:noProof/>
        </w:rPr>
        <w:t>(Ghany et al., 2026)</w:t>
      </w:r>
      <w:r w:rsidR="000324F2">
        <w:fldChar w:fldCharType="end"/>
      </w:r>
      <w:r w:rsidR="000324F2">
        <w:t xml:space="preserve"> </w:t>
      </w:r>
      <w:r w:rsidRPr="00C6087A">
        <w:t>and EASL 2025 guidance on NA discontinuation</w:t>
      </w:r>
      <w:r w:rsidR="00C8796E">
        <w:t xml:space="preserve"> </w:t>
      </w:r>
      <w:r w:rsidR="00C8796E">
        <w:fldChar w:fldCharType="begin"/>
      </w:r>
      <w:r w:rsidR="00C8796E">
        <w:instrText xml:space="preserve"> ADDIN EN.CITE &lt;EndNote&gt;&lt;Cite&gt;&lt;Author&gt;Cornberg&lt;/Author&gt;&lt;Year&gt;2025&lt;/Year&gt;&lt;RecNum&gt;4&lt;/RecNum&gt;&lt;DisplayText&gt;(Cornberg et al., 2025)&lt;/DisplayText&gt;&lt;record&gt;&lt;rec-number&gt;4&lt;/rec-number&gt;&lt;foreign-keys&gt;&lt;key app="EN" db-id="zv5axz5eqtvwd2eve9npz227rdzp0s0r2r9s" timestamp="1783321169"&gt;4&lt;/key&gt;&lt;/foreign-keys&gt;&lt;ref-type name="Journal Article"&gt;17&lt;/ref-type&gt;&lt;contributors&gt;&lt;authors&gt;&lt;author&gt;Cornberg, Markus&lt;/author&gt;&lt;author&gt;Sandmann, Lisa&lt;/author&gt;&lt;author&gt;Jaroszewicz, Jerzy&lt;/author&gt;&lt;author&gt;Kennedy, Patrick&lt;/author&gt;&lt;author&gt;Lampertico, Pietro&lt;/author&gt;&lt;author&gt;Lemoine, Maud&lt;/author&gt;&lt;author&gt;Lens, Sabela&lt;/author&gt;&lt;author&gt;Testoni, Barbara&lt;/author&gt;&lt;author&gt;Lai-Hung Wong, Grace&lt;/author&gt;&lt;author&gt;Russo, Francesco Paolo&lt;/author&gt;&lt;/authors&gt;&lt;/contributors&gt;&lt;titles&gt;&lt;title&gt;EASL Clinical Practice Guidelines on the management of hepatitis B virus infection&lt;/title&gt;&lt;secondary-title&gt;Journal of Hepatology&lt;/secondary-title&gt;&lt;/titles&gt;&lt;periodical&gt;&lt;full-title&gt;Journal of Hepatology&lt;/full-title&gt;&lt;/periodical&gt;&lt;pages&gt;502-583&lt;/pages&gt;&lt;volume&gt;83&lt;/volume&gt;&lt;number&gt;2&lt;/number&gt;&lt;dates&gt;&lt;year&gt;2025&lt;/year&gt;&lt;/dates&gt;&lt;publisher&gt;Elsevier&lt;/publisher&gt;&lt;isbn&gt;0168-8278&lt;/isbn&gt;&lt;urls&gt;&lt;related-urls&gt;&lt;url&gt;https://doi.org/10.1016/j.jhep.2025.03.018&lt;/url&gt;&lt;/related-urls&gt;&lt;/urls&gt;&lt;electronic-resource-num&gt;10.1016/j.jhep.2025.03.018&lt;/electronic-resource-num&gt;&lt;access-date&gt;2026/07/05&lt;/access-date&gt;&lt;/record&gt;&lt;/Cite&gt;&lt;/EndNote&gt;</w:instrText>
      </w:r>
      <w:r w:rsidR="00C8796E">
        <w:fldChar w:fldCharType="separate"/>
      </w:r>
      <w:r w:rsidR="00C8796E">
        <w:rPr>
          <w:noProof/>
        </w:rPr>
        <w:t>(Cornberg et al., 2025)</w:t>
      </w:r>
      <w:r w:rsidR="00C8796E">
        <w:fldChar w:fldCharType="end"/>
      </w:r>
      <w:r w:rsidRPr="00C6087A">
        <w:t xml:space="preserve">. However, the specific HBsAg eligibility </w:t>
      </w:r>
      <w:r w:rsidR="002B2192">
        <w:t>threshold</w:t>
      </w:r>
      <w:r w:rsidR="002B2192" w:rsidRPr="00C6087A">
        <w:t xml:space="preserve"> </w:t>
      </w:r>
      <w:r w:rsidR="00881583">
        <w:t>(≤3,000 IU/mL</w:t>
      </w:r>
      <w:r w:rsidRPr="00C6087A">
        <w:t xml:space="preserve">) used to further restrict this population is not </w:t>
      </w:r>
      <w:r w:rsidR="00881583" w:rsidRPr="00C6087A">
        <w:t>derived</w:t>
      </w:r>
      <w:r w:rsidR="002B2192">
        <w:t xml:space="preserve"> from these guidelines</w:t>
      </w:r>
      <w:r w:rsidR="00881583">
        <w:t xml:space="preserve">. </w:t>
      </w:r>
      <w:r w:rsidR="002B2192">
        <w:t>Rather, t</w:t>
      </w:r>
      <w:r w:rsidR="00881583">
        <w:t>his eligibility criteri</w:t>
      </w:r>
      <w:r w:rsidR="002B2192">
        <w:t>on</w:t>
      </w:r>
      <w:r w:rsidR="00881583">
        <w:t xml:space="preserve"> for bepirovirsen treatment </w:t>
      </w:r>
      <w:r w:rsidR="002B2192">
        <w:t>is based on</w:t>
      </w:r>
      <w:r w:rsidRPr="00C6087A">
        <w:t xml:space="preserve"> a post-hoc ROC analysis in a single phase 2b trial. </w:t>
      </w:r>
      <w:r w:rsidR="00881583" w:rsidRPr="00881583">
        <w:t xml:space="preserve">The population-narrowing structure </w:t>
      </w:r>
      <w:r w:rsidR="002B2192">
        <w:t xml:space="preserve">at </w:t>
      </w:r>
      <w:r w:rsidR="00881583" w:rsidRPr="00881583">
        <w:t>Weeks 12</w:t>
      </w:r>
      <w:r w:rsidR="002B2192">
        <w:t>,</w:t>
      </w:r>
      <w:r w:rsidR="000D5710">
        <w:t xml:space="preserve"> </w:t>
      </w:r>
      <w:r w:rsidR="00881583" w:rsidRPr="00881583">
        <w:t>48</w:t>
      </w:r>
      <w:r w:rsidR="002B2192">
        <w:t xml:space="preserve"> and </w:t>
      </w:r>
      <w:r w:rsidR="00881583" w:rsidRPr="00881583">
        <w:t>72 also reflects the trial's visit schedule rather than an independently established Australian clinical practice pathway.</w:t>
      </w:r>
    </w:p>
    <w:p w14:paraId="59AF20AB" w14:textId="77777777" w:rsidR="00377F15" w:rsidRPr="00844D7E" w:rsidRDefault="00377F15" w:rsidP="00377F15">
      <w:pPr>
        <w:rPr>
          <w:i/>
          <w:iCs/>
        </w:rPr>
      </w:pPr>
      <w:r w:rsidRPr="00844D7E">
        <w:rPr>
          <w:i/>
          <w:iCs/>
        </w:rPr>
        <w:t>PASC considered the separation of the two PICO populations appropriate, as each reflects a distinct testing purpose.</w:t>
      </w:r>
    </w:p>
    <w:p w14:paraId="1D281305" w14:textId="4EAA65E9" w:rsidR="000D5710" w:rsidRPr="00844D7E" w:rsidRDefault="00377F15" w:rsidP="000D5710">
      <w:pPr>
        <w:rPr>
          <w:i/>
          <w:iCs/>
        </w:rPr>
      </w:pPr>
      <w:r w:rsidRPr="00844D7E">
        <w:rPr>
          <w:i/>
          <w:iCs/>
        </w:rPr>
        <w:t xml:space="preserve">For PICO 1, PASC noted the difference between the HBsAg eligibility thresholds used in the B-Well trials and those proposed for reimbursement. Trial eligibility required baseline HBsAg levels between 100 and 3,000 IU/mL, whereas the proposed reimbursement population may include patients with HBsAg levels below 3,000 IU/mL (which includes levels below 100 IU/ml), consistent with the proposed TGA indication. The applicant clarified in its pre-PASC response that patients with baseline HBsAg levels below 100 IU/mL were excluded from the B-Well trials because of their higher likelihood of spontaneous HBsAg loss, however, these patients are expected to be eligible for bepirovirsen treatment in clinical practice. PASC considered </w:t>
      </w:r>
      <w:r w:rsidRPr="00844D7E">
        <w:rPr>
          <w:i/>
          <w:iCs/>
        </w:rPr>
        <w:lastRenderedPageBreak/>
        <w:t>that the broader population is pragmatically appropriate and noted the rationale of the difference from the trial population and the proposed population.</w:t>
      </w:r>
    </w:p>
    <w:p w14:paraId="56FA87E8" w14:textId="43A9D694" w:rsidR="00CE712E" w:rsidRPr="00DD6684" w:rsidRDefault="00DD6684" w:rsidP="00524DA3">
      <w:pPr>
        <w:pStyle w:val="Heading4"/>
      </w:pPr>
      <w:r w:rsidRPr="00DD6684">
        <w:t>PICO 2</w:t>
      </w:r>
    </w:p>
    <w:p w14:paraId="7776D2A7" w14:textId="1CD8A032" w:rsidR="00313DA5" w:rsidRDefault="00DD6684" w:rsidP="00CE712E">
      <w:r>
        <w:t>Population relevant to PICO set 2 i</w:t>
      </w:r>
      <w:r w:rsidR="00CE712E">
        <w:t xml:space="preserve">ncludes patients who have achieved functional cure </w:t>
      </w:r>
      <w:r>
        <w:t xml:space="preserve">defined as </w:t>
      </w:r>
      <w:r w:rsidR="00CE712E">
        <w:t xml:space="preserve">sustained HBsAg loss and HBV DNA below the lower limit of quantification for at least 24 weeks following completion of a finite course of therapy. Testing is used to monitor durability of response and detect relapse over time. </w:t>
      </w:r>
    </w:p>
    <w:p w14:paraId="146C518D" w14:textId="02F12742" w:rsidR="00057F73" w:rsidRDefault="00057F73" w:rsidP="00CE712E">
      <w:r>
        <w:t xml:space="preserve">In the B-Well trials, functional cure was defined as sustained HBsAg loss and HBV DNA below the lower limit of quantification for at least 24 weeks following completion of a finite course of therapy. This is broadly consistent with contemporary guideline definitions of functional cure, which generally require HBsAg loss and sustained suppression of HBV DNA following treatment cessation </w:t>
      </w:r>
      <w:r>
        <w:fldChar w:fldCharType="begin">
          <w:fldData xml:space="preserve">PEVuZE5vdGU+PENpdGU+PEF1dGhvcj5Db3JuYmVyZzwvQXV0aG9yPjxZZWFyPjIwMjU8L1llYXI+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</w:fldData>
        </w:fldChar>
      </w:r>
      <w:r>
        <w:instrText xml:space="preserve"> ADDIN EN.CITE </w:instrText>
      </w:r>
      <w:r>
        <w:fldChar w:fldCharType="begin">
          <w:fldData xml:space="preserve">PEVuZE5vdGU+PENpdGU+PEF1dGhvcj5Db3JuYmVyZzwvQXV0aG9yPjxZZWFyPjIwMjU8L1llYXI+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</w:fldData>
        </w:fldChar>
      </w:r>
      <w:r>
        <w:instrText xml:space="preserve"> ADDIN EN.CITE.DATA </w:instrText>
      </w:r>
      <w:r>
        <w:fldChar w:fldCharType="end"/>
      </w:r>
      <w:r>
        <w:fldChar w:fldCharType="separate"/>
      </w:r>
      <w:r>
        <w:rPr>
          <w:noProof/>
        </w:rPr>
        <w:t>(Cornberg et al., 2025; Ghany et al., 2026; Lubel et al., 2022)</w:t>
      </w:r>
      <w:r>
        <w:fldChar w:fldCharType="end"/>
      </w:r>
      <w:r>
        <w:t>.</w:t>
      </w:r>
    </w:p>
    <w:p w14:paraId="33642CF5" w14:textId="61B99E2B" w:rsidR="0026682D" w:rsidRDefault="0026682D">
      <w:r>
        <w:t xml:space="preserve">The assessment group </w:t>
      </w:r>
      <w:r w:rsidR="002B2192">
        <w:t>considers</w:t>
      </w:r>
      <w:r>
        <w:t xml:space="preserve"> the</w:t>
      </w:r>
      <w:r w:rsidR="002B2192">
        <w:t xml:space="preserve"> proposed</w:t>
      </w:r>
      <w:r>
        <w:t xml:space="preserve"> population </w:t>
      </w:r>
      <w:r w:rsidR="002B2192">
        <w:t xml:space="preserve">to be </w:t>
      </w:r>
      <w:r>
        <w:t xml:space="preserve">reasonably appropriate for this application, </w:t>
      </w:r>
      <w:r w:rsidR="002B2192">
        <w:t>primarily because it</w:t>
      </w:r>
      <w:r>
        <w:t xml:space="preserve"> is </w:t>
      </w:r>
      <w:r w:rsidR="00F26F71">
        <w:t xml:space="preserve">more closely aligned with contemporary clinical </w:t>
      </w:r>
      <w:r>
        <w:t xml:space="preserve">guidelines than </w:t>
      </w:r>
      <w:r w:rsidR="00053427">
        <w:t xml:space="preserve">the population proposed </w:t>
      </w:r>
      <w:r>
        <w:t>for PICO</w:t>
      </w:r>
      <w:r w:rsidR="00053427">
        <w:t xml:space="preserve"> set</w:t>
      </w:r>
      <w:r>
        <w:t xml:space="preserve"> 1. </w:t>
      </w:r>
      <w:r w:rsidR="000D5710">
        <w:t xml:space="preserve">The </w:t>
      </w:r>
      <w:r>
        <w:t xml:space="preserve">EASL 2025 </w:t>
      </w:r>
      <w:r w:rsidR="002B2192">
        <w:t xml:space="preserve">Clinical Practice Guidelines </w:t>
      </w:r>
      <w:r>
        <w:t>explicitly recommend monitoring of HBV DNA and ALT</w:t>
      </w:r>
      <w:r w:rsidR="002B2192">
        <w:t>, rather than</w:t>
      </w:r>
      <w:r>
        <w:t xml:space="preserve"> HBsAg</w:t>
      </w:r>
      <w:r w:rsidR="002B2192">
        <w:t>,</w:t>
      </w:r>
      <w:r>
        <w:t xml:space="preserve"> at 3-monthly intervals during the first year following confirmed functional cure (</w:t>
      </w:r>
      <w:r w:rsidR="003062B7">
        <w:t xml:space="preserve">defined as </w:t>
      </w:r>
      <w:r>
        <w:t>HBsAg loss on two occasions 6 months apart</w:t>
      </w:r>
      <w:r w:rsidR="002046DC">
        <w:t xml:space="preserve"> with HBV DNA below the limit of quantification</w:t>
      </w:r>
      <w:r>
        <w:t>) and NA cessation</w:t>
      </w:r>
      <w:r w:rsidR="002B2192">
        <w:t>. Monitoring is then reduced</w:t>
      </w:r>
      <w:r>
        <w:t xml:space="preserve"> to 6</w:t>
      </w:r>
      <w:r w:rsidR="002B2192">
        <w:t>-</w:t>
      </w:r>
      <w:r>
        <w:t xml:space="preserve"> to 12-monthly intervals thereafter</w:t>
      </w:r>
      <w:r w:rsidR="000324F2">
        <w:t xml:space="preserve"> </w:t>
      </w:r>
      <w:r>
        <w:fldChar w:fldCharType="begin"/>
      </w:r>
      <w:r>
        <w:instrText xml:space="preserve"> ADDIN EN.CITE &lt;EndNote&gt;&lt;Cite&gt;&lt;Author&gt;Cornberg&lt;/Author&gt;&lt;Year&gt;2025&lt;/Year&gt;&lt;RecNum&gt;4&lt;/RecNum&gt;&lt;DisplayText&gt;(Cornberg et al., 2025)&lt;/DisplayText&gt;&lt;record&gt;&lt;rec-number&gt;4&lt;/rec-number&gt;&lt;foreign-keys&gt;&lt;key app="EN" db-id="zv5axz5eqtvwd2eve9npz227rdzp0s0r2r9s" timestamp="1783321169"&gt;4&lt;/key&gt;&lt;/foreign-keys&gt;&lt;ref-type name="Journal Article"&gt;17&lt;/ref-type&gt;&lt;contributors&gt;&lt;authors&gt;&lt;author&gt;Cornberg, Markus&lt;/author&gt;&lt;author&gt;Sandmann, Lisa&lt;/author&gt;&lt;author&gt;Jaroszewicz, Jerzy&lt;/author&gt;&lt;author&gt;Kennedy, Patrick&lt;/author&gt;&lt;author&gt;Lampertico, Pietro&lt;/author&gt;&lt;author&gt;Lemoine, Maud&lt;/author&gt;&lt;author&gt;Lens, Sabela&lt;/author&gt;&lt;author&gt;Testoni, Barbara&lt;/author&gt;&lt;author&gt;Lai-Hung Wong, Grace&lt;/author&gt;&lt;author&gt;Russo, Francesco Paolo&lt;/author&gt;&lt;/authors&gt;&lt;/contributors&gt;&lt;titles&gt;&lt;title&gt;EASL Clinical Practice Guidelines on the management of hepatitis B virus infection&lt;/title&gt;&lt;secondary-title&gt;Journal of Hepatology&lt;/secondary-title&gt;&lt;/titles&gt;&lt;periodical&gt;&lt;full-title&gt;Journal of Hepatology&lt;/full-title&gt;&lt;/periodical&gt;&lt;pages&gt;502-583&lt;/pages&gt;&lt;volume&gt;83&lt;/volume&gt;&lt;number&gt;2&lt;/number&gt;&lt;dates&gt;&lt;year&gt;2025&lt;/year&gt;&lt;/dates&gt;&lt;publisher&gt;Elsevier&lt;/publisher&gt;&lt;isbn&gt;0168-8278&lt;/isbn&gt;&lt;urls&gt;&lt;related-urls&gt;&lt;url&gt;https://doi.org/10.1016/j.jhep.2025.03.018&lt;/url&gt;&lt;/related-urls&gt;&lt;/urls&gt;&lt;electronic-resource-num&gt;10.1016/j.jhep.2025.03.018&lt;/electronic-resource-num&gt;&lt;access-date&gt;2026/07/05&lt;/access-date&gt;&lt;/record&gt;&lt;/Cite&gt;&lt;/EndNote&gt;</w:instrText>
      </w:r>
      <w:r>
        <w:fldChar w:fldCharType="separate"/>
      </w:r>
      <w:r w:rsidR="000324F2" w:rsidRPr="360A6772">
        <w:rPr>
          <w:noProof/>
        </w:rPr>
        <w:t>(Cornberg et al., 2025)</w:t>
      </w:r>
      <w:r>
        <w:fldChar w:fldCharType="end"/>
      </w:r>
      <w:r>
        <w:t>.</w:t>
      </w:r>
      <w:r w:rsidR="000D5710">
        <w:t xml:space="preserve"> The</w:t>
      </w:r>
      <w:r>
        <w:t xml:space="preserve"> AASLD</w:t>
      </w:r>
      <w:r w:rsidR="002B2192">
        <w:t>-</w:t>
      </w:r>
      <w:r>
        <w:t xml:space="preserve">IDSA </w:t>
      </w:r>
      <w:r w:rsidR="002B2192">
        <w:t xml:space="preserve">Practice Guideline </w:t>
      </w:r>
      <w:r>
        <w:t xml:space="preserve">addresses a related but distinct population, </w:t>
      </w:r>
      <w:r w:rsidR="002B2192">
        <w:t xml:space="preserve">namely </w:t>
      </w:r>
      <w:r>
        <w:t>patients stopping NA before achieving HBsAg loss (HBsAg &lt;100 IU/mL, HBV DNA undetectable ≥2 years) recommending a more intensive testing schedule for HBV DNA and ALT</w:t>
      </w:r>
      <w:r w:rsidR="000324F2">
        <w:t xml:space="preserve"> </w:t>
      </w:r>
      <w:r>
        <w:fldChar w:fldCharType="begin">
          <w:fldData xml:space="preserve">PEVuZE5vdGU+PENpdGU+PEF1dGhvcj5HaGFueTwvQXV0aG9yPjxZZWFyPjIwMjY8L1llYXI+PFJl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</w:fldData>
        </w:fldChar>
      </w:r>
      <w:r>
        <w:instrText xml:space="preserve"> ADDIN EN.CITE </w:instrText>
      </w:r>
      <w:r>
        <w:fldChar w:fldCharType="begin">
          <w:fldData xml:space="preserve">PEVuZE5vdGU+PENpdGU+PEF1dGhvcj5HaGFueTwvQXV0aG9yPjxZZWFyPjIwMjY8L1llYXI+PFJl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</w:fldData>
        </w:fldChar>
      </w:r>
      <w:r>
        <w:instrText xml:space="preserve"> ADDIN EN.CITE.DATA </w:instrText>
      </w:r>
      <w:r>
        <w:fldChar w:fldCharType="end"/>
      </w:r>
      <w:r>
        <w:fldChar w:fldCharType="separate"/>
      </w:r>
      <w:r w:rsidR="000324F2" w:rsidRPr="360A6772">
        <w:rPr>
          <w:noProof/>
        </w:rPr>
        <w:t>(Ghany et al., 2026)</w:t>
      </w:r>
      <w:r>
        <w:fldChar w:fldCharType="end"/>
      </w:r>
      <w:r>
        <w:t>.</w:t>
      </w:r>
    </w:p>
    <w:p w14:paraId="53013ACD" w14:textId="77777777" w:rsidR="00FB6C5B" w:rsidRPr="00844D7E" w:rsidRDefault="00FB6C5B" w:rsidP="00FB6C5B">
      <w:pPr>
        <w:rPr>
          <w:i/>
          <w:iCs/>
        </w:rPr>
      </w:pPr>
      <w:r w:rsidRPr="00844D7E">
        <w:rPr>
          <w:i/>
          <w:iCs/>
        </w:rPr>
        <w:t>PASC considered the definition of the PICO 2 population appropriate but noted the limited availability of guidelines, including consensus guidance, for this population.</w:t>
      </w:r>
    </w:p>
    <w:p w14:paraId="4F1BB7CC" w14:textId="6A70C546" w:rsidR="00FB6C5B" w:rsidRPr="00844D7E" w:rsidRDefault="00FB6C5B" w:rsidP="00FB6C5B">
      <w:pPr>
        <w:rPr>
          <w:i/>
          <w:iCs/>
        </w:rPr>
      </w:pPr>
      <w:r w:rsidRPr="00844D7E">
        <w:rPr>
          <w:i/>
          <w:iCs/>
        </w:rPr>
        <w:t xml:space="preserve">PASC noted that patients with cirrhosis were excluded from the B-Well trial and that no direct efficacy or safety evidence is currently available in this population. PASC considered that the generalisability of the evidence to patients with cirrhosis remains uncertain and </w:t>
      </w:r>
      <w:r w:rsidR="00A620BB">
        <w:rPr>
          <w:i/>
          <w:iCs/>
        </w:rPr>
        <w:t xml:space="preserve">the applicant’s </w:t>
      </w:r>
      <w:r w:rsidRPr="00844D7E">
        <w:rPr>
          <w:i/>
          <w:iCs/>
        </w:rPr>
        <w:t>clinical expert commented that clinicians would likely exercise caution in prescribing bepirovirsen for this population given the potential risk of treatment-related flares in ALT.</w:t>
      </w:r>
    </w:p>
    <w:p w14:paraId="17FBC61C" w14:textId="0350D8B1" w:rsidR="00C31883" w:rsidRPr="00844D7E" w:rsidRDefault="00C31883" w:rsidP="00C31883">
      <w:pPr>
        <w:rPr>
          <w:i/>
          <w:iCs/>
        </w:rPr>
      </w:pPr>
      <w:r w:rsidRPr="00844D7E">
        <w:rPr>
          <w:i/>
          <w:iCs/>
        </w:rPr>
        <w:t>PASC noted estimates that approximately 240,000 Australians have CHB, with around 36,000 currently receiving NA therapy and approximately 30,000 potentially meeting bepirovirsen treatment eligibility criteria</w:t>
      </w:r>
      <w:r w:rsidR="10148102" w:rsidRPr="71CC0376">
        <w:rPr>
          <w:i/>
          <w:iCs/>
        </w:rPr>
        <w:t xml:space="preserve">, noting this number is uncertain as there is minimal data on the prevalence of those with </w:t>
      </w:r>
      <w:r w:rsidR="4E563509" w:rsidRPr="71CC0376">
        <w:rPr>
          <w:i/>
          <w:iCs/>
        </w:rPr>
        <w:t>CHB and the specific quantitative sAg thresholds for treatment</w:t>
      </w:r>
      <w:r w:rsidRPr="71CC0376">
        <w:rPr>
          <w:i/>
          <w:iCs/>
        </w:rPr>
        <w:t>.</w:t>
      </w:r>
      <w:r w:rsidRPr="00844D7E">
        <w:rPr>
          <w:i/>
          <w:iCs/>
        </w:rPr>
        <w:t xml:space="preserve"> PASC noted that the uptake of bepirovirsen is expected to occur gradually through specialist centres during the initial implementation period.</w:t>
      </w:r>
    </w:p>
    <w:p w14:paraId="330021FD" w14:textId="536D50D1" w:rsidR="00FB6C5B" w:rsidRDefault="00FB6C5B" w:rsidP="00FB6C5B"/>
    <w:p w14:paraId="1E424637" w14:textId="541AE1D5" w:rsidR="273A0F1C" w:rsidRDefault="273A0F1C"/>
    <w:p w14:paraId="0E38780D" w14:textId="77777777" w:rsidR="007A66C8" w:rsidRDefault="007A66C8" w:rsidP="00713728">
      <w:pPr>
        <w:pStyle w:val="Heading3"/>
      </w:pPr>
      <w:r>
        <w:lastRenderedPageBreak/>
        <w:t>Intervention</w:t>
      </w:r>
    </w:p>
    <w:p w14:paraId="20D7559D" w14:textId="3D3F5D6F" w:rsidR="00E65429" w:rsidRPr="00E65429" w:rsidRDefault="00E65429" w:rsidP="00524DA3">
      <w:pPr>
        <w:pStyle w:val="Heading4"/>
      </w:pPr>
      <w:r>
        <w:t>PICO 1</w:t>
      </w:r>
    </w:p>
    <w:p w14:paraId="25D05C96" w14:textId="40BBAB83" w:rsidR="00313DA5" w:rsidRDefault="008C555E" w:rsidP="00984FAE">
      <w:r>
        <w:t xml:space="preserve">The proposed intervention is a laboratory testing algorithm for CHB used to identify patients eligible for a finite 24-week course of bepirovirsen, monitor treatment response, support treatment discontinuation decisions, and assess functional cure status. </w:t>
      </w:r>
    </w:p>
    <w:p w14:paraId="34CED8DB" w14:textId="71A85DFD" w:rsidR="00D66E70" w:rsidRDefault="00EF1FBC" w:rsidP="00EF1FBC">
      <w:r>
        <w:t xml:space="preserve">The proposed testing schedule as described by the applicant is summarised in </w:t>
      </w:r>
      <w:r>
        <w:fldChar w:fldCharType="begin"/>
      </w:r>
      <w:r>
        <w:instrText xml:space="preserve"> REF _Ref233969602 \h </w:instrText>
      </w:r>
      <w:r>
        <w:fldChar w:fldCharType="separate"/>
      </w:r>
      <w:r w:rsidR="00A446A4">
        <w:t xml:space="preserve">Table </w:t>
      </w:r>
      <w:r w:rsidR="00A446A4">
        <w:rPr>
          <w:noProof/>
        </w:rPr>
        <w:t>4</w:t>
      </w:r>
      <w:r>
        <w:fldChar w:fldCharType="end"/>
      </w:r>
      <w:r>
        <w:t xml:space="preserve">. </w:t>
      </w:r>
      <w:r w:rsidR="00046891">
        <w:t>q</w:t>
      </w:r>
      <w:r>
        <w:t xml:space="preserve">HBsAg and HBV DNA testing at Week 0 are required to determine eligibility for initiation of bepirovirsen treatment. </w:t>
      </w:r>
      <w:r w:rsidR="00046891">
        <w:t>q</w:t>
      </w:r>
      <w:r>
        <w:t xml:space="preserve">HBsAg testing at Week 12 is proposed as an early response assessment </w:t>
      </w:r>
      <w:r w:rsidR="009F092B">
        <w:t xml:space="preserve">with patients </w:t>
      </w:r>
      <w:r w:rsidR="002D674F">
        <w:t xml:space="preserve">who </w:t>
      </w:r>
      <w:r w:rsidR="009F092B">
        <w:t xml:space="preserve">do not achieve </w:t>
      </w:r>
      <w:r w:rsidR="009F092B" w:rsidRPr="009F092B">
        <w:t>qHBsAg</w:t>
      </w:r>
      <w:r w:rsidR="009F092B">
        <w:t xml:space="preserve"> &lt; 1 IU/ml discontinuing bepirovirsen</w:t>
      </w:r>
      <w:r>
        <w:t xml:space="preserve"> treatment. At Week 48, HBsAg, HBV DNA and HBeAg testing are proposed to assess treatment response and determine suitability for NA cessation</w:t>
      </w:r>
      <w:r w:rsidR="00BC7211">
        <w:t xml:space="preserve"> (</w:t>
      </w:r>
      <w:r w:rsidR="00EB64A6" w:rsidRPr="00EB64A6">
        <w:t>undetectable HBsAg and HBV DNA and HBeAg negative status</w:t>
      </w:r>
      <w:r w:rsidR="00BC7211">
        <w:t>)</w:t>
      </w:r>
      <w:r>
        <w:t>. Functional cure status is proposed to be assessed at Week 72 using HBsAg and HBV DNA results</w:t>
      </w:r>
      <w:r w:rsidR="00057F73">
        <w:t xml:space="preserve"> in those patients </w:t>
      </w:r>
      <w:r w:rsidR="002D674F">
        <w:t xml:space="preserve">who </w:t>
      </w:r>
      <w:r w:rsidR="00057F73">
        <w:t>discontinue NA therapy at Week 48</w:t>
      </w:r>
      <w:r>
        <w:t>. The HBsAg testing at Week 48 and 7</w:t>
      </w:r>
      <w:r w:rsidR="009F092B">
        <w:t>2</w:t>
      </w:r>
      <w:r>
        <w:t xml:space="preserve"> </w:t>
      </w:r>
      <w:r w:rsidR="00E96417">
        <w:t xml:space="preserve">following commencement of </w:t>
      </w:r>
      <w:r>
        <w:t xml:space="preserve">bepirovirsen treatment </w:t>
      </w:r>
      <w:r w:rsidR="00E96417">
        <w:t xml:space="preserve">is </w:t>
      </w:r>
      <w:r>
        <w:t xml:space="preserve">proposed to be qualitative. </w:t>
      </w:r>
    </w:p>
    <w:p w14:paraId="6C35E0BA" w14:textId="65B64349" w:rsidR="00B54A1A" w:rsidRDefault="00B54A1A" w:rsidP="00EF1FBC">
      <w:r>
        <w:t>Under the proposed testing algorithm,</w:t>
      </w:r>
      <w:r w:rsidR="00C96C75">
        <w:t xml:space="preserve"> both</w:t>
      </w:r>
      <w:r>
        <w:t xml:space="preserve"> HBsAg </w:t>
      </w:r>
      <w:r w:rsidR="00C96C75">
        <w:t>and</w:t>
      </w:r>
      <w:r>
        <w:t xml:space="preserve"> HBV DNA testing are required at Week</w:t>
      </w:r>
      <w:r w:rsidR="002D674F">
        <w:t>s</w:t>
      </w:r>
      <w:r>
        <w:t xml:space="preserve"> 0, 48 and 72. </w:t>
      </w:r>
      <w:r w:rsidRPr="00B54A1A">
        <w:t xml:space="preserve">Testing both markers ensures the functional cure definition can be </w:t>
      </w:r>
      <w:r w:rsidR="00C96C75">
        <w:t>appropriately</w:t>
      </w:r>
      <w:r w:rsidR="00C96C75" w:rsidRPr="00B54A1A">
        <w:t xml:space="preserve"> </w:t>
      </w:r>
      <w:r w:rsidRPr="00B54A1A">
        <w:t>verified at each assessment point.</w:t>
      </w:r>
      <w:r>
        <w:t xml:space="preserve"> It is important to note that under current MBS item restrictions, HBV DNA testing (items 69482 and 69483) </w:t>
      </w:r>
      <w:r w:rsidR="001444B2">
        <w:t>is</w:t>
      </w:r>
      <w:r>
        <w:t xml:space="preserve"> conditional on HBsAg positive status.   </w:t>
      </w:r>
    </w:p>
    <w:p w14:paraId="2267CF7E" w14:textId="0D1E25D8" w:rsidR="00905474" w:rsidRDefault="00905474" w:rsidP="00905474">
      <w:r>
        <w:t xml:space="preserve">In the B-Well trials, HBsAg and HBV DNA </w:t>
      </w:r>
      <w:r w:rsidR="00156F64">
        <w:t>were tested weekly from baseline to Week 26 and continued frequent ongoing monitoring through Week 72. HBeAg testing was conducted approximately every 6 weeks during the first 48 weeks and every 4 weeks thereafter. This is considerably</w:t>
      </w:r>
      <w:r>
        <w:t xml:space="preserve"> more frequently than </w:t>
      </w:r>
      <w:r w:rsidR="00701CDF">
        <w:t>the proposed testing schedule</w:t>
      </w:r>
      <w:r w:rsidR="002D674F">
        <w:t xml:space="preserve">, which includes </w:t>
      </w:r>
      <w:r w:rsidR="00303AC7">
        <w:t xml:space="preserve">4 </w:t>
      </w:r>
      <w:r w:rsidR="002D674F">
        <w:t xml:space="preserve">testing </w:t>
      </w:r>
      <w:r w:rsidR="00701CDF" w:rsidRPr="00701CDF">
        <w:t xml:space="preserve">timepoints </w:t>
      </w:r>
      <w:r w:rsidR="002D674F">
        <w:t>(</w:t>
      </w:r>
      <w:r w:rsidR="00701CDF" w:rsidRPr="00701CDF">
        <w:t>W</w:t>
      </w:r>
      <w:r w:rsidR="00701CDF">
        <w:t>eek</w:t>
      </w:r>
      <w:r w:rsidR="002D674F">
        <w:t>s</w:t>
      </w:r>
      <w:r w:rsidR="00701CDF">
        <w:t xml:space="preserve"> </w:t>
      </w:r>
      <w:r w:rsidR="00701CDF" w:rsidRPr="00701CDF">
        <w:t>0, 12, 48,</w:t>
      </w:r>
      <w:r w:rsidR="002D674F">
        <w:t xml:space="preserve"> and</w:t>
      </w:r>
      <w:r w:rsidR="00701CDF" w:rsidRPr="00701CDF">
        <w:t xml:space="preserve"> 72)</w:t>
      </w:r>
      <w:r w:rsidR="00701CDF">
        <w:t xml:space="preserve">. </w:t>
      </w:r>
    </w:p>
    <w:p w14:paraId="417F3C06" w14:textId="32753A7C" w:rsidR="00FB4660" w:rsidRDefault="00FB4660" w:rsidP="00FB4660">
      <w:pPr>
        <w:pStyle w:val="Caption"/>
      </w:pPr>
      <w:bookmarkStart w:id="4" w:name="_Ref233969602"/>
      <w:r>
        <w:t xml:space="preserve">Table </w:t>
      </w:r>
      <w:r>
        <w:fldChar w:fldCharType="begin"/>
      </w:r>
      <w:r>
        <w:instrText xml:space="preserve"> SEQ Table \* ARABIC </w:instrText>
      </w:r>
      <w:r>
        <w:fldChar w:fldCharType="separate"/>
      </w:r>
      <w:r w:rsidR="00A446A4">
        <w:rPr>
          <w:noProof/>
        </w:rPr>
        <w:t>4</w:t>
      </w:r>
      <w:r>
        <w:fldChar w:fldCharType="end"/>
      </w:r>
      <w:bookmarkEnd w:id="4"/>
      <w:r>
        <w:tab/>
        <w:t>The proposed testing schedule for PICO set 1</w:t>
      </w:r>
    </w:p>
    <w:tbl>
      <w:tblPr>
        <w:tblStyle w:val="TableGrid"/>
        <w:tblW w:w="0" w:type="auto"/>
        <w:tblInd w:w="-5" w:type="dxa"/>
        <w:tblLook w:val="04A0" w:firstRow="1" w:lastRow="0" w:firstColumn="1" w:lastColumn="0" w:noHBand="0" w:noVBand="1"/>
        <w:tblCaption w:val="Table 3 The proposed testing schedule for PICO set 1"/>
        <w:tblDescription w:val="Table showing details of proposed testing schedule for PICO set 2 - patients diagnosed with CHB on stable NA therapy for at least 6 months."/>
      </w:tblPr>
      <w:tblGrid>
        <w:gridCol w:w="1134"/>
        <w:gridCol w:w="2410"/>
        <w:gridCol w:w="241"/>
        <w:gridCol w:w="2022"/>
        <w:gridCol w:w="1893"/>
        <w:gridCol w:w="1876"/>
      </w:tblGrid>
      <w:tr w:rsidR="00057F73" w:rsidRPr="00EF1FBC" w14:paraId="2D9C83DF" w14:textId="77777777" w:rsidTr="00965EB4">
        <w:trPr>
          <w:tblHeader/>
        </w:trPr>
        <w:tc>
          <w:tcPr>
            <w:tcW w:w="1134" w:type="dxa"/>
            <w:tcBorders>
              <w:bottom w:val="single" w:sz="4" w:space="0" w:color="auto"/>
            </w:tcBorders>
            <w:hideMark/>
          </w:tcPr>
          <w:p w14:paraId="62C901E9" w14:textId="77777777" w:rsidR="00057F73" w:rsidRPr="00EF1FBC" w:rsidRDefault="00057F73" w:rsidP="00EF1FBC">
            <w:pPr>
              <w:pStyle w:val="TableHeading"/>
            </w:pPr>
            <w:r>
              <w:t>Phase / Timepoint</w:t>
            </w:r>
          </w:p>
        </w:tc>
        <w:tc>
          <w:tcPr>
            <w:tcW w:w="2651" w:type="dxa"/>
            <w:gridSpan w:val="2"/>
            <w:tcBorders>
              <w:bottom w:val="single" w:sz="4" w:space="0" w:color="auto"/>
            </w:tcBorders>
          </w:tcPr>
          <w:p w14:paraId="64B6AFAF" w14:textId="06DF7297" w:rsidR="00057F73" w:rsidRDefault="00057F73" w:rsidP="00EF1FBC">
            <w:pPr>
              <w:pStyle w:val="TableHeading"/>
            </w:pPr>
            <w:r>
              <w:t>Purpose of testing</w:t>
            </w:r>
          </w:p>
        </w:tc>
        <w:tc>
          <w:tcPr>
            <w:tcW w:w="2022" w:type="dxa"/>
            <w:tcBorders>
              <w:bottom w:val="single" w:sz="4" w:space="0" w:color="auto"/>
            </w:tcBorders>
            <w:hideMark/>
          </w:tcPr>
          <w:p w14:paraId="545B2D9F" w14:textId="0F37A4B7" w:rsidR="00057F73" w:rsidRPr="00EF1FBC" w:rsidRDefault="00057F73" w:rsidP="00EF1FBC">
            <w:pPr>
              <w:pStyle w:val="TableHeading"/>
            </w:pPr>
            <w:r>
              <w:t>HBsAg</w:t>
            </w:r>
          </w:p>
        </w:tc>
        <w:tc>
          <w:tcPr>
            <w:tcW w:w="1893" w:type="dxa"/>
            <w:tcBorders>
              <w:bottom w:val="single" w:sz="4" w:space="0" w:color="auto"/>
            </w:tcBorders>
            <w:hideMark/>
          </w:tcPr>
          <w:p w14:paraId="48F20EC5" w14:textId="77777777" w:rsidR="00057F73" w:rsidRPr="00EF1FBC" w:rsidRDefault="00057F73" w:rsidP="00EF1FBC">
            <w:pPr>
              <w:pStyle w:val="TableHeading"/>
            </w:pPr>
            <w:r>
              <w:t>HBeAg</w:t>
            </w:r>
          </w:p>
        </w:tc>
        <w:tc>
          <w:tcPr>
            <w:tcW w:w="1876" w:type="dxa"/>
            <w:tcBorders>
              <w:bottom w:val="single" w:sz="4" w:space="0" w:color="auto"/>
            </w:tcBorders>
            <w:hideMark/>
          </w:tcPr>
          <w:p w14:paraId="092D6586" w14:textId="150845E5" w:rsidR="00057F73" w:rsidRPr="00EF1FBC" w:rsidRDefault="00057F73" w:rsidP="00EF1FBC">
            <w:pPr>
              <w:pStyle w:val="TableHeading"/>
            </w:pPr>
            <w:r>
              <w:t>HBV DNA</w:t>
            </w:r>
          </w:p>
        </w:tc>
      </w:tr>
      <w:tr w:rsidR="00057F73" w:rsidRPr="00EF1FBC" w14:paraId="695EEB9D" w14:textId="77777777" w:rsidTr="00524DA3">
        <w:tc>
          <w:tcPr>
            <w:tcW w:w="1134" w:type="dxa"/>
            <w:tcBorders>
              <w:right w:val="nil"/>
            </w:tcBorders>
          </w:tcPr>
          <w:p w14:paraId="725861D0" w14:textId="7385DAC0" w:rsidR="00057F73" w:rsidRPr="00EF1FBC" w:rsidRDefault="00057F73" w:rsidP="00FB4660">
            <w:pPr>
              <w:pStyle w:val="TableHeading"/>
            </w:pPr>
            <w:r>
              <w:t>Eligibility</w:t>
            </w:r>
          </w:p>
        </w:tc>
        <w:tc>
          <w:tcPr>
            <w:tcW w:w="2651" w:type="dxa"/>
            <w:gridSpan w:val="2"/>
            <w:tcBorders>
              <w:left w:val="nil"/>
              <w:right w:val="nil"/>
            </w:tcBorders>
          </w:tcPr>
          <w:p w14:paraId="4B412578" w14:textId="77777777" w:rsidR="00057F73" w:rsidRPr="00EF1FBC" w:rsidRDefault="00057F73" w:rsidP="00EF1FBC">
            <w:pPr>
              <w:pStyle w:val="TableHeading"/>
            </w:pPr>
          </w:p>
        </w:tc>
        <w:tc>
          <w:tcPr>
            <w:tcW w:w="2022" w:type="dxa"/>
            <w:tcBorders>
              <w:left w:val="nil"/>
              <w:right w:val="nil"/>
            </w:tcBorders>
          </w:tcPr>
          <w:p w14:paraId="43AD6458" w14:textId="4F7EB70C" w:rsidR="00057F73" w:rsidRPr="00EF1FBC" w:rsidRDefault="00057F73" w:rsidP="00EF1FBC">
            <w:pPr>
              <w:pStyle w:val="TableHeading"/>
            </w:pPr>
          </w:p>
        </w:tc>
        <w:tc>
          <w:tcPr>
            <w:tcW w:w="1893" w:type="dxa"/>
            <w:tcBorders>
              <w:left w:val="nil"/>
              <w:right w:val="nil"/>
            </w:tcBorders>
          </w:tcPr>
          <w:p w14:paraId="6DEF6081" w14:textId="77777777" w:rsidR="00057F73" w:rsidRPr="00EF1FBC" w:rsidRDefault="00057F73" w:rsidP="00EF1FBC">
            <w:pPr>
              <w:pStyle w:val="TableHeading"/>
            </w:pPr>
          </w:p>
        </w:tc>
        <w:tc>
          <w:tcPr>
            <w:tcW w:w="1876" w:type="dxa"/>
            <w:tcBorders>
              <w:left w:val="nil"/>
            </w:tcBorders>
          </w:tcPr>
          <w:p w14:paraId="13561B38" w14:textId="77777777" w:rsidR="00057F73" w:rsidRPr="00EF1FBC" w:rsidRDefault="00057F73" w:rsidP="00EF1FBC">
            <w:pPr>
              <w:pStyle w:val="TableHeading"/>
            </w:pPr>
          </w:p>
        </w:tc>
      </w:tr>
      <w:tr w:rsidR="00057F73" w:rsidRPr="00EF1FBC" w14:paraId="7283BE86" w14:textId="77777777" w:rsidTr="00524DA3">
        <w:tc>
          <w:tcPr>
            <w:tcW w:w="1134" w:type="dxa"/>
            <w:tcBorders>
              <w:bottom w:val="single" w:sz="4" w:space="0" w:color="auto"/>
            </w:tcBorders>
            <w:hideMark/>
          </w:tcPr>
          <w:p w14:paraId="687BD2B5" w14:textId="1D388CEB" w:rsidR="00057F73" w:rsidRPr="00EF1FBC" w:rsidRDefault="00057F73" w:rsidP="00EF1FBC">
            <w:pPr>
              <w:pStyle w:val="Tabletext"/>
              <w:keepNext/>
            </w:pPr>
            <w:r>
              <w:t>Week 0</w:t>
            </w:r>
          </w:p>
        </w:tc>
        <w:tc>
          <w:tcPr>
            <w:tcW w:w="2651" w:type="dxa"/>
            <w:gridSpan w:val="2"/>
            <w:tcBorders>
              <w:bottom w:val="single" w:sz="4" w:space="0" w:color="auto"/>
            </w:tcBorders>
          </w:tcPr>
          <w:p w14:paraId="5334D8AF" w14:textId="38690480" w:rsidR="00057F73" w:rsidRDefault="00036F29" w:rsidP="00EF1FBC">
            <w:pPr>
              <w:pStyle w:val="TableHeading"/>
              <w:rPr>
                <w:b w:val="0"/>
                <w:bCs/>
              </w:rPr>
            </w:pPr>
            <w:r w:rsidRPr="00036F29">
              <w:rPr>
                <w:b w:val="0"/>
                <w:bCs/>
              </w:rPr>
              <w:t>Assessment of eligibility for bepirovirsen treatment</w:t>
            </w:r>
          </w:p>
        </w:tc>
        <w:tc>
          <w:tcPr>
            <w:tcW w:w="2022" w:type="dxa"/>
            <w:tcBorders>
              <w:bottom w:val="single" w:sz="4" w:space="0" w:color="auto"/>
            </w:tcBorders>
            <w:hideMark/>
          </w:tcPr>
          <w:p w14:paraId="714F5BA4" w14:textId="704E4A9D" w:rsidR="00057F73" w:rsidRPr="00EF1FBC" w:rsidRDefault="00057F73" w:rsidP="00EF1FBC">
            <w:pPr>
              <w:pStyle w:val="TableHeading"/>
              <w:rPr>
                <w:b w:val="0"/>
                <w:bCs/>
              </w:rPr>
            </w:pPr>
            <w:r>
              <w:rPr>
                <w:b w:val="0"/>
                <w:bCs/>
              </w:rPr>
              <w:t>Required (Quantitative)</w:t>
            </w:r>
            <w:r w:rsidR="00036F29">
              <w:rPr>
                <w:b w:val="0"/>
                <w:bCs/>
              </w:rPr>
              <w:br/>
              <w:t xml:space="preserve">Threshold: </w:t>
            </w:r>
            <w:r w:rsidR="00036F29" w:rsidRPr="00036F29">
              <w:rPr>
                <w:b w:val="0"/>
                <w:bCs/>
              </w:rPr>
              <w:t>≤3,000 IU/mL</w:t>
            </w:r>
          </w:p>
        </w:tc>
        <w:tc>
          <w:tcPr>
            <w:tcW w:w="1893" w:type="dxa"/>
            <w:tcBorders>
              <w:bottom w:val="single" w:sz="4" w:space="0" w:color="auto"/>
            </w:tcBorders>
            <w:hideMark/>
          </w:tcPr>
          <w:p w14:paraId="0C7BA661" w14:textId="77777777" w:rsidR="00057F73" w:rsidRPr="00EF1FBC" w:rsidRDefault="00057F73" w:rsidP="00EF1FBC">
            <w:pPr>
              <w:pStyle w:val="TableHeading"/>
              <w:rPr>
                <w:b w:val="0"/>
                <w:bCs/>
              </w:rPr>
            </w:pPr>
            <w:r>
              <w:rPr>
                <w:b w:val="0"/>
                <w:bCs/>
              </w:rPr>
              <w:t>Not required</w:t>
            </w:r>
          </w:p>
        </w:tc>
        <w:tc>
          <w:tcPr>
            <w:tcW w:w="1876" w:type="dxa"/>
            <w:tcBorders>
              <w:bottom w:val="single" w:sz="4" w:space="0" w:color="auto"/>
            </w:tcBorders>
            <w:hideMark/>
          </w:tcPr>
          <w:p w14:paraId="7EAA9E31" w14:textId="6637C190" w:rsidR="00036F29" w:rsidRPr="00EF1FBC" w:rsidRDefault="00057F73" w:rsidP="00EF1FBC">
            <w:pPr>
              <w:pStyle w:val="TableHeading"/>
              <w:rPr>
                <w:b w:val="0"/>
                <w:bCs/>
              </w:rPr>
            </w:pPr>
            <w:r>
              <w:rPr>
                <w:b w:val="0"/>
                <w:bCs/>
              </w:rPr>
              <w:t>Required</w:t>
            </w:r>
            <w:r w:rsidR="00036F29">
              <w:rPr>
                <w:b w:val="0"/>
                <w:bCs/>
              </w:rPr>
              <w:br/>
              <w:t>Threshold: &lt;90 IU/mL</w:t>
            </w:r>
          </w:p>
        </w:tc>
      </w:tr>
      <w:tr w:rsidR="00057F73" w:rsidRPr="00EF1FBC" w14:paraId="11E36B38" w14:textId="77777777" w:rsidTr="00A446A4">
        <w:tc>
          <w:tcPr>
            <w:tcW w:w="3544" w:type="dxa"/>
            <w:gridSpan w:val="2"/>
            <w:tcBorders>
              <w:right w:val="nil"/>
            </w:tcBorders>
            <w:hideMark/>
          </w:tcPr>
          <w:p w14:paraId="43311D48" w14:textId="77777777" w:rsidR="00057F73" w:rsidRPr="009A3483" w:rsidRDefault="00057F73" w:rsidP="00EF1FBC">
            <w:pPr>
              <w:pStyle w:val="Tabletext"/>
              <w:keepNext/>
              <w:rPr>
                <w:b/>
                <w:bCs/>
              </w:rPr>
            </w:pPr>
            <w:r>
              <w:rPr>
                <w:b/>
                <w:bCs/>
              </w:rPr>
              <w:t>On-treatment monitoring</w:t>
            </w:r>
          </w:p>
        </w:tc>
        <w:tc>
          <w:tcPr>
            <w:tcW w:w="241" w:type="dxa"/>
            <w:tcBorders>
              <w:left w:val="nil"/>
              <w:right w:val="nil"/>
            </w:tcBorders>
          </w:tcPr>
          <w:p w14:paraId="468BE25E" w14:textId="77777777" w:rsidR="00057F73" w:rsidRPr="009A3483" w:rsidRDefault="00057F73" w:rsidP="00EF1FBC">
            <w:pPr>
              <w:pStyle w:val="TableHeading"/>
              <w:rPr>
                <w:bCs/>
              </w:rPr>
            </w:pPr>
          </w:p>
        </w:tc>
        <w:tc>
          <w:tcPr>
            <w:tcW w:w="2022" w:type="dxa"/>
            <w:tcBorders>
              <w:left w:val="nil"/>
              <w:right w:val="nil"/>
            </w:tcBorders>
            <w:hideMark/>
          </w:tcPr>
          <w:p w14:paraId="4E3D1DB6" w14:textId="2D699528" w:rsidR="00057F73" w:rsidRPr="009A3483" w:rsidRDefault="00057F73" w:rsidP="00EF1FBC">
            <w:pPr>
              <w:pStyle w:val="TableHeading"/>
              <w:rPr>
                <w:bCs/>
              </w:rPr>
            </w:pPr>
          </w:p>
        </w:tc>
        <w:tc>
          <w:tcPr>
            <w:tcW w:w="1893" w:type="dxa"/>
            <w:tcBorders>
              <w:left w:val="nil"/>
              <w:right w:val="nil"/>
            </w:tcBorders>
            <w:hideMark/>
          </w:tcPr>
          <w:p w14:paraId="19A99EB2" w14:textId="77777777" w:rsidR="00057F73" w:rsidRPr="009A3483" w:rsidRDefault="00057F73" w:rsidP="00EF1FBC">
            <w:pPr>
              <w:pStyle w:val="TableHeading"/>
              <w:rPr>
                <w:bCs/>
              </w:rPr>
            </w:pPr>
          </w:p>
        </w:tc>
        <w:tc>
          <w:tcPr>
            <w:tcW w:w="1876" w:type="dxa"/>
            <w:tcBorders>
              <w:left w:val="nil"/>
            </w:tcBorders>
            <w:hideMark/>
          </w:tcPr>
          <w:p w14:paraId="1B39C265" w14:textId="77777777" w:rsidR="00057F73" w:rsidRPr="009A3483" w:rsidRDefault="00057F73" w:rsidP="00EF1FBC">
            <w:pPr>
              <w:pStyle w:val="TableHeading"/>
              <w:rPr>
                <w:bCs/>
              </w:rPr>
            </w:pPr>
          </w:p>
        </w:tc>
      </w:tr>
      <w:tr w:rsidR="00057F73" w:rsidRPr="00EF1FBC" w14:paraId="5C1B1A09" w14:textId="77777777" w:rsidTr="00524DA3">
        <w:tc>
          <w:tcPr>
            <w:tcW w:w="1134" w:type="dxa"/>
            <w:hideMark/>
          </w:tcPr>
          <w:p w14:paraId="5C95049B" w14:textId="77777777" w:rsidR="00057F73" w:rsidRPr="00EF1FBC" w:rsidRDefault="00057F73" w:rsidP="00EF1FBC">
            <w:pPr>
              <w:pStyle w:val="Tabletext"/>
              <w:keepNext/>
            </w:pPr>
            <w:r>
              <w:t>Week 12</w:t>
            </w:r>
          </w:p>
        </w:tc>
        <w:tc>
          <w:tcPr>
            <w:tcW w:w="2651" w:type="dxa"/>
            <w:gridSpan w:val="2"/>
          </w:tcPr>
          <w:p w14:paraId="3B467F08" w14:textId="20FC428F" w:rsidR="00057F73" w:rsidRDefault="00524DA3" w:rsidP="00EF1FBC">
            <w:pPr>
              <w:pStyle w:val="TableHeading"/>
              <w:rPr>
                <w:b w:val="0"/>
                <w:bCs/>
              </w:rPr>
            </w:pPr>
            <w:r>
              <w:rPr>
                <w:b w:val="0"/>
                <w:bCs/>
              </w:rPr>
              <w:t>Assessment of t</w:t>
            </w:r>
            <w:r w:rsidR="00036F29">
              <w:rPr>
                <w:b w:val="0"/>
                <w:bCs/>
              </w:rPr>
              <w:t>reatment response</w:t>
            </w:r>
          </w:p>
        </w:tc>
        <w:tc>
          <w:tcPr>
            <w:tcW w:w="2022" w:type="dxa"/>
            <w:hideMark/>
          </w:tcPr>
          <w:p w14:paraId="5BDE902A" w14:textId="0CB4EDD1" w:rsidR="00036F29" w:rsidRPr="00EF1FBC" w:rsidRDefault="00057F73" w:rsidP="00EF1FBC">
            <w:pPr>
              <w:pStyle w:val="TableHeading"/>
              <w:rPr>
                <w:b w:val="0"/>
                <w:bCs/>
              </w:rPr>
            </w:pPr>
            <w:r>
              <w:rPr>
                <w:b w:val="0"/>
                <w:bCs/>
              </w:rPr>
              <w:t>Required (Quantitative)</w:t>
            </w:r>
            <w:r w:rsidR="00036F29">
              <w:rPr>
                <w:b w:val="0"/>
                <w:bCs/>
              </w:rPr>
              <w:br/>
              <w:t>Threshold: &lt; 1 IU/mL</w:t>
            </w:r>
          </w:p>
        </w:tc>
        <w:tc>
          <w:tcPr>
            <w:tcW w:w="1893" w:type="dxa"/>
            <w:hideMark/>
          </w:tcPr>
          <w:p w14:paraId="044D7DA5" w14:textId="77777777" w:rsidR="00057F73" w:rsidRPr="00EF1FBC" w:rsidRDefault="00057F73" w:rsidP="00EF1FBC">
            <w:pPr>
              <w:pStyle w:val="TableHeading"/>
              <w:rPr>
                <w:b w:val="0"/>
                <w:bCs/>
              </w:rPr>
            </w:pPr>
            <w:r>
              <w:rPr>
                <w:b w:val="0"/>
                <w:bCs/>
              </w:rPr>
              <w:t>Not required</w:t>
            </w:r>
          </w:p>
        </w:tc>
        <w:tc>
          <w:tcPr>
            <w:tcW w:w="1876" w:type="dxa"/>
            <w:hideMark/>
          </w:tcPr>
          <w:p w14:paraId="2BD9C303" w14:textId="77777777" w:rsidR="00057F73" w:rsidRPr="00EF1FBC" w:rsidRDefault="00057F73" w:rsidP="00EF1FBC">
            <w:pPr>
              <w:pStyle w:val="TableHeading"/>
              <w:rPr>
                <w:b w:val="0"/>
                <w:bCs/>
              </w:rPr>
            </w:pPr>
            <w:r>
              <w:rPr>
                <w:b w:val="0"/>
                <w:bCs/>
              </w:rPr>
              <w:t>Not required</w:t>
            </w:r>
          </w:p>
        </w:tc>
      </w:tr>
      <w:tr w:rsidR="00057F73" w:rsidRPr="00EF1FBC" w14:paraId="15E880B1" w14:textId="77777777" w:rsidTr="00524DA3">
        <w:tc>
          <w:tcPr>
            <w:tcW w:w="1134" w:type="dxa"/>
            <w:hideMark/>
          </w:tcPr>
          <w:p w14:paraId="16C2C435" w14:textId="77777777" w:rsidR="00057F73" w:rsidRPr="00EF1FBC" w:rsidRDefault="00057F73" w:rsidP="00EF1FBC">
            <w:pPr>
              <w:pStyle w:val="Tabletext"/>
              <w:keepNext/>
            </w:pPr>
            <w:r>
              <w:t>Week 48</w:t>
            </w:r>
          </w:p>
        </w:tc>
        <w:tc>
          <w:tcPr>
            <w:tcW w:w="2651" w:type="dxa"/>
            <w:gridSpan w:val="2"/>
          </w:tcPr>
          <w:p w14:paraId="5A7397B7" w14:textId="330D43E9" w:rsidR="00057F73" w:rsidRDefault="00524DA3" w:rsidP="00EF1FBC">
            <w:pPr>
              <w:pStyle w:val="TableHeading"/>
              <w:rPr>
                <w:b w:val="0"/>
                <w:bCs/>
              </w:rPr>
            </w:pPr>
            <w:r>
              <w:rPr>
                <w:b w:val="0"/>
                <w:bCs/>
              </w:rPr>
              <w:t>Assessment of treatment response and s</w:t>
            </w:r>
            <w:r w:rsidR="00036F29">
              <w:rPr>
                <w:b w:val="0"/>
                <w:bCs/>
              </w:rPr>
              <w:t>uitability for NA cessation</w:t>
            </w:r>
          </w:p>
        </w:tc>
        <w:tc>
          <w:tcPr>
            <w:tcW w:w="2022" w:type="dxa"/>
            <w:hideMark/>
          </w:tcPr>
          <w:p w14:paraId="48EDDF2C" w14:textId="5F862DF8" w:rsidR="00057F73" w:rsidRPr="00EF1FBC" w:rsidRDefault="00057F73" w:rsidP="00EF1FBC">
            <w:pPr>
              <w:pStyle w:val="TableHeading"/>
              <w:rPr>
                <w:b w:val="0"/>
                <w:bCs/>
              </w:rPr>
            </w:pPr>
            <w:r>
              <w:rPr>
                <w:b w:val="0"/>
                <w:bCs/>
              </w:rPr>
              <w:t>Required (Qualitative)</w:t>
            </w:r>
            <w:r w:rsidR="00036F29">
              <w:rPr>
                <w:b w:val="0"/>
                <w:bCs/>
              </w:rPr>
              <w:br/>
              <w:t>Threshold: Undetectable</w:t>
            </w:r>
          </w:p>
        </w:tc>
        <w:tc>
          <w:tcPr>
            <w:tcW w:w="1893" w:type="dxa"/>
            <w:hideMark/>
          </w:tcPr>
          <w:p w14:paraId="39F4E6F4" w14:textId="77777777" w:rsidR="00057F73" w:rsidRDefault="00057F73" w:rsidP="00EF1FBC">
            <w:pPr>
              <w:pStyle w:val="TableHeading"/>
              <w:rPr>
                <w:b w:val="0"/>
                <w:bCs/>
              </w:rPr>
            </w:pPr>
            <w:r>
              <w:rPr>
                <w:b w:val="0"/>
                <w:bCs/>
              </w:rPr>
              <w:t>Required (Qualitative)</w:t>
            </w:r>
          </w:p>
          <w:p w14:paraId="6897847B" w14:textId="15509EE7" w:rsidR="00036F29" w:rsidRPr="00EF1FBC" w:rsidRDefault="00036F29" w:rsidP="00EF1FBC">
            <w:pPr>
              <w:pStyle w:val="TableHeading"/>
              <w:rPr>
                <w:b w:val="0"/>
                <w:bCs/>
              </w:rPr>
            </w:pPr>
            <w:r>
              <w:rPr>
                <w:b w:val="0"/>
                <w:bCs/>
              </w:rPr>
              <w:t>Threshold: Negative</w:t>
            </w:r>
          </w:p>
        </w:tc>
        <w:tc>
          <w:tcPr>
            <w:tcW w:w="1876" w:type="dxa"/>
            <w:hideMark/>
          </w:tcPr>
          <w:p w14:paraId="17C2594C" w14:textId="159EA2C5" w:rsidR="00057F73" w:rsidRPr="00EF1FBC" w:rsidRDefault="00057F73" w:rsidP="00EF1FBC">
            <w:pPr>
              <w:pStyle w:val="TableHeading"/>
              <w:rPr>
                <w:b w:val="0"/>
                <w:bCs/>
              </w:rPr>
            </w:pPr>
            <w:r>
              <w:rPr>
                <w:b w:val="0"/>
                <w:bCs/>
              </w:rPr>
              <w:t>Required</w:t>
            </w:r>
            <w:r w:rsidR="00036F29">
              <w:rPr>
                <w:b w:val="0"/>
                <w:bCs/>
              </w:rPr>
              <w:br/>
              <w:t>Threshold: LLOQ</w:t>
            </w:r>
          </w:p>
        </w:tc>
      </w:tr>
      <w:tr w:rsidR="00057F73" w:rsidRPr="00EF1FBC" w14:paraId="27B60CA5" w14:textId="77777777" w:rsidTr="00524DA3">
        <w:tc>
          <w:tcPr>
            <w:tcW w:w="1134" w:type="dxa"/>
            <w:hideMark/>
          </w:tcPr>
          <w:p w14:paraId="139DD61A" w14:textId="77777777" w:rsidR="00057F73" w:rsidRPr="00EF1FBC" w:rsidRDefault="00057F73" w:rsidP="00EF1FBC">
            <w:pPr>
              <w:pStyle w:val="Tabletext"/>
              <w:keepNext/>
            </w:pPr>
            <w:r>
              <w:t>Week 72</w:t>
            </w:r>
          </w:p>
        </w:tc>
        <w:tc>
          <w:tcPr>
            <w:tcW w:w="2651" w:type="dxa"/>
            <w:gridSpan w:val="2"/>
          </w:tcPr>
          <w:p w14:paraId="792CC382" w14:textId="41BB395B" w:rsidR="00057F73" w:rsidRDefault="00036F29" w:rsidP="00EF1FBC">
            <w:pPr>
              <w:pStyle w:val="TableHeading"/>
              <w:rPr>
                <w:b w:val="0"/>
                <w:bCs/>
              </w:rPr>
            </w:pPr>
            <w:r>
              <w:rPr>
                <w:b w:val="0"/>
                <w:bCs/>
              </w:rPr>
              <w:t xml:space="preserve">Functional cure assessment </w:t>
            </w:r>
          </w:p>
        </w:tc>
        <w:tc>
          <w:tcPr>
            <w:tcW w:w="2022" w:type="dxa"/>
            <w:hideMark/>
          </w:tcPr>
          <w:p w14:paraId="67AB515F" w14:textId="77777777" w:rsidR="00057F73" w:rsidRDefault="00057F73" w:rsidP="00EF1FBC">
            <w:pPr>
              <w:pStyle w:val="TableHeading"/>
              <w:rPr>
                <w:b w:val="0"/>
                <w:bCs/>
              </w:rPr>
            </w:pPr>
            <w:r>
              <w:rPr>
                <w:b w:val="0"/>
                <w:bCs/>
              </w:rPr>
              <w:t>Required (Qualitative)</w:t>
            </w:r>
          </w:p>
          <w:p w14:paraId="292B6815" w14:textId="2A6D19C9" w:rsidR="00036F29" w:rsidRPr="00EF1FBC" w:rsidRDefault="00036F29" w:rsidP="00EF1FBC">
            <w:pPr>
              <w:pStyle w:val="TableHeading"/>
              <w:rPr>
                <w:b w:val="0"/>
                <w:bCs/>
              </w:rPr>
            </w:pPr>
            <w:r>
              <w:rPr>
                <w:b w:val="0"/>
                <w:bCs/>
              </w:rPr>
              <w:t>Threshold: Undetectable</w:t>
            </w:r>
          </w:p>
        </w:tc>
        <w:tc>
          <w:tcPr>
            <w:tcW w:w="1893" w:type="dxa"/>
            <w:hideMark/>
          </w:tcPr>
          <w:p w14:paraId="0144AFCB" w14:textId="77777777" w:rsidR="00057F73" w:rsidRPr="00EF1FBC" w:rsidRDefault="00057F73" w:rsidP="00EF1FBC">
            <w:pPr>
              <w:pStyle w:val="TableHeading"/>
              <w:rPr>
                <w:b w:val="0"/>
                <w:bCs/>
              </w:rPr>
            </w:pPr>
            <w:r>
              <w:rPr>
                <w:b w:val="0"/>
                <w:bCs/>
              </w:rPr>
              <w:t>Not required</w:t>
            </w:r>
          </w:p>
        </w:tc>
        <w:tc>
          <w:tcPr>
            <w:tcW w:w="1876" w:type="dxa"/>
            <w:hideMark/>
          </w:tcPr>
          <w:p w14:paraId="525BD40B" w14:textId="77777777" w:rsidR="00057F73" w:rsidRDefault="00057F73" w:rsidP="00EF1FBC">
            <w:pPr>
              <w:pStyle w:val="TableHeading"/>
              <w:rPr>
                <w:b w:val="0"/>
                <w:bCs/>
              </w:rPr>
            </w:pPr>
            <w:r>
              <w:rPr>
                <w:b w:val="0"/>
                <w:bCs/>
              </w:rPr>
              <w:t>Required</w:t>
            </w:r>
          </w:p>
          <w:p w14:paraId="4318C122" w14:textId="0C596EF3" w:rsidR="00036F29" w:rsidRPr="00EF1FBC" w:rsidRDefault="00036F29" w:rsidP="00EF1FBC">
            <w:pPr>
              <w:pStyle w:val="TableHeading"/>
              <w:rPr>
                <w:b w:val="0"/>
                <w:bCs/>
              </w:rPr>
            </w:pPr>
            <w:r>
              <w:rPr>
                <w:b w:val="0"/>
                <w:bCs/>
              </w:rPr>
              <w:t>Threshold: LLOQ</w:t>
            </w:r>
          </w:p>
        </w:tc>
      </w:tr>
    </w:tbl>
    <w:p w14:paraId="40D5775E" w14:textId="77C9A219" w:rsidR="00DB5E7F" w:rsidRDefault="0082246C" w:rsidP="0082246C">
      <w:pPr>
        <w:pStyle w:val="Tablenotes"/>
      </w:pPr>
      <w:r>
        <w:t>Abbreviations: HBsAg, hepatitis B surface antigen; HBeAg, hepatitis B e-antigen; HBV DNA, hepatitis B viral DNA;</w:t>
      </w:r>
      <w:r w:rsidR="00036F29">
        <w:t xml:space="preserve"> LLOQ, lower limit of quanti</w:t>
      </w:r>
      <w:r w:rsidR="002F6EC9">
        <w:t>fic</w:t>
      </w:r>
      <w:r w:rsidR="00036F29">
        <w:t>ation;</w:t>
      </w:r>
      <w:r w:rsidR="00B14357" w:rsidRPr="00B14357">
        <w:t xml:space="preserve"> NA</w:t>
      </w:r>
      <w:r w:rsidR="00B14357">
        <w:t xml:space="preserve">, </w:t>
      </w:r>
      <w:r w:rsidR="00B14357" w:rsidRPr="00B14357">
        <w:t>nucleos(t)ide analogue</w:t>
      </w:r>
    </w:p>
    <w:p w14:paraId="13D9E4B1" w14:textId="1D7996FB" w:rsidR="00F46B02" w:rsidRPr="00BA4E6A" w:rsidRDefault="006944BB" w:rsidP="006944BB">
      <w:pPr>
        <w:rPr>
          <w:i/>
          <w:iCs/>
        </w:rPr>
      </w:pPr>
      <w:r w:rsidRPr="00BA4E6A">
        <w:rPr>
          <w:i/>
          <w:iCs/>
        </w:rPr>
        <w:t>PASC considered the proposed testing schedules for both PICOs broadly acceptable. PASC noted that qHBsAg testing is already available in Australian laboratories but not routinely reported.</w:t>
      </w:r>
    </w:p>
    <w:p w14:paraId="09302273" w14:textId="308F1B2F" w:rsidR="005C3974" w:rsidRPr="00BA4E6A" w:rsidRDefault="006944BB" w:rsidP="005C3974">
      <w:pPr>
        <w:rPr>
          <w:i/>
          <w:iCs/>
        </w:rPr>
      </w:pPr>
      <w:r w:rsidRPr="00BA4E6A">
        <w:rPr>
          <w:i/>
          <w:iCs/>
        </w:rPr>
        <w:lastRenderedPageBreak/>
        <w:t xml:space="preserve">PASC questioned whether the proposed testing schedule for PICO 1 was too </w:t>
      </w:r>
      <w:r w:rsidR="07A29F27" w:rsidRPr="71CC0376">
        <w:rPr>
          <w:i/>
          <w:iCs/>
        </w:rPr>
        <w:t>narrow</w:t>
      </w:r>
      <w:r w:rsidRPr="00BA4E6A">
        <w:rPr>
          <w:i/>
          <w:iCs/>
        </w:rPr>
        <w:t xml:space="preserve"> compared with the intensive monitoring used in the clinical trial. The </w:t>
      </w:r>
      <w:r w:rsidR="00455052">
        <w:rPr>
          <w:i/>
          <w:iCs/>
        </w:rPr>
        <w:t>a</w:t>
      </w:r>
      <w:r w:rsidRPr="00BA4E6A">
        <w:rPr>
          <w:i/>
          <w:iCs/>
        </w:rPr>
        <w:t xml:space="preserve">pplicant noted that the timing of testing within the proposed schedule focuses on key treatment decision points rather than intensive information gathering and that additional safety monitoring </w:t>
      </w:r>
      <w:r w:rsidR="000D5710" w:rsidRPr="00BA4E6A">
        <w:rPr>
          <w:i/>
          <w:iCs/>
        </w:rPr>
        <w:t>would still occur in practice, including</w:t>
      </w:r>
      <w:r w:rsidRPr="00BA4E6A">
        <w:rPr>
          <w:i/>
          <w:iCs/>
        </w:rPr>
        <w:t xml:space="preserve"> liver function tests, blood counts, </w:t>
      </w:r>
      <w:r w:rsidR="000D5710" w:rsidRPr="00BA4E6A">
        <w:rPr>
          <w:i/>
          <w:iCs/>
        </w:rPr>
        <w:t xml:space="preserve">and </w:t>
      </w:r>
      <w:r w:rsidRPr="00BA4E6A">
        <w:rPr>
          <w:i/>
          <w:iCs/>
        </w:rPr>
        <w:t xml:space="preserve">renal function tests. </w:t>
      </w:r>
      <w:r w:rsidR="005C3974" w:rsidRPr="00BA4E6A">
        <w:rPr>
          <w:i/>
          <w:iCs/>
        </w:rPr>
        <w:t xml:space="preserve">PASC concluded that PICO 1 intervention may require further refinement to better reflect realistic clinical practice, including consideration of additional </w:t>
      </w:r>
      <w:r w:rsidR="1175E3DE" w:rsidRPr="71CC0376">
        <w:rPr>
          <w:i/>
          <w:iCs/>
        </w:rPr>
        <w:t xml:space="preserve">testing for </w:t>
      </w:r>
      <w:r w:rsidR="005C3974" w:rsidRPr="00BA4E6A">
        <w:rPr>
          <w:i/>
          <w:iCs/>
        </w:rPr>
        <w:t>safety monitoring and the appropriate timing and frequency of testing.</w:t>
      </w:r>
    </w:p>
    <w:p w14:paraId="5BF23407" w14:textId="4E8ED6DB" w:rsidR="006944BB" w:rsidRPr="00BA4E6A" w:rsidRDefault="00C31883" w:rsidP="006944BB">
      <w:pPr>
        <w:rPr>
          <w:i/>
          <w:iCs/>
        </w:rPr>
      </w:pPr>
      <w:r w:rsidRPr="00BA4E6A">
        <w:rPr>
          <w:i/>
          <w:iCs/>
        </w:rPr>
        <w:t>PASC noted the applicant’s pre-PASC advice that the Week 12 early response testing would most likely be explored in a sensitivity or scenario analysis rather than included in the base case and considered that this approach may be appropriate</w:t>
      </w:r>
      <w:r w:rsidR="006944BB" w:rsidRPr="00BA4E6A">
        <w:rPr>
          <w:i/>
          <w:iCs/>
        </w:rPr>
        <w:t xml:space="preserve">. </w:t>
      </w:r>
    </w:p>
    <w:p w14:paraId="15EFFB86" w14:textId="12385B8B" w:rsidR="00E65429" w:rsidRPr="00E65429" w:rsidRDefault="00E65429" w:rsidP="00524DA3">
      <w:pPr>
        <w:pStyle w:val="Heading4"/>
      </w:pPr>
      <w:r>
        <w:t>PICO 2</w:t>
      </w:r>
    </w:p>
    <w:p w14:paraId="33E658DF" w14:textId="09BD68BB" w:rsidR="00174C7D" w:rsidRPr="00174C7D" w:rsidRDefault="00174C7D" w:rsidP="00174C7D">
      <w:r>
        <w:t>The proposed intervention is a laboratory testing algorithm for long-term monitoring of patients with CHB who achieve a functional cure following completion of a finite course of bepirovirsen treatment</w:t>
      </w:r>
      <w:r w:rsidR="00A80A5E">
        <w:t>. The purpose of monitoring is</w:t>
      </w:r>
      <w:r w:rsidR="00EE4F92">
        <w:t xml:space="preserve"> to </w:t>
      </w:r>
      <w:r w:rsidR="00A80A5E">
        <w:t>detect</w:t>
      </w:r>
      <w:r w:rsidR="00816903">
        <w:t xml:space="preserve"> relapse and </w:t>
      </w:r>
      <w:r w:rsidR="00A80A5E">
        <w:t xml:space="preserve">inform subsequent clinical </w:t>
      </w:r>
      <w:r w:rsidR="00816903">
        <w:t>management</w:t>
      </w:r>
      <w:r>
        <w:t>.</w:t>
      </w:r>
      <w:r w:rsidR="00EE4F92">
        <w:t xml:space="preserve"> </w:t>
      </w:r>
    </w:p>
    <w:p w14:paraId="2FC9F682" w14:textId="152AB568" w:rsidR="00A80A5E" w:rsidRDefault="0033014E" w:rsidP="00FD33E3">
      <w:r>
        <w:t xml:space="preserve">The proposed testing schedule as described by the applicant is summarised in </w:t>
      </w:r>
      <w:r>
        <w:fldChar w:fldCharType="begin"/>
      </w:r>
      <w:r>
        <w:instrText xml:space="preserve"> REF _Ref234245047 \h </w:instrText>
      </w:r>
      <w:r>
        <w:fldChar w:fldCharType="separate"/>
      </w:r>
      <w:r w:rsidR="00A446A4">
        <w:t xml:space="preserve">Table </w:t>
      </w:r>
      <w:r w:rsidR="00A446A4">
        <w:rPr>
          <w:noProof/>
        </w:rPr>
        <w:t>5</w:t>
      </w:r>
      <w:r>
        <w:fldChar w:fldCharType="end"/>
      </w:r>
      <w:r>
        <w:t xml:space="preserve">. Qualitative HBsAg testing would be undertaken to monitor </w:t>
      </w:r>
      <w:r w:rsidR="00C4226C">
        <w:t>th</w:t>
      </w:r>
      <w:r w:rsidR="00D70C9C">
        <w:t xml:space="preserve">at patients are </w:t>
      </w:r>
      <w:r>
        <w:t>maint</w:t>
      </w:r>
      <w:r w:rsidR="00D70C9C">
        <w:t>aining</w:t>
      </w:r>
      <w:r>
        <w:t xml:space="preserve"> functional cure</w:t>
      </w:r>
      <w:r w:rsidR="009B25A5">
        <w:t xml:space="preserve"> status</w:t>
      </w:r>
      <w:r>
        <w:t xml:space="preserve">, with the frequency of testing decreasing over time and being most intensive during the first year of follow-up. HBV DNA testing would be </w:t>
      </w:r>
      <w:r w:rsidR="00A80A5E">
        <w:t xml:space="preserve">performed </w:t>
      </w:r>
      <w:r>
        <w:t xml:space="preserve">only when HBsAg positivity is detected, suggesting a potential relapse. </w:t>
      </w:r>
    </w:p>
    <w:p w14:paraId="71DFA25D" w14:textId="62D21058" w:rsidR="00FD33E3" w:rsidRDefault="0033014E" w:rsidP="00FD33E3">
      <w:r>
        <w:t>In the B-Well trials, participants who achieved functional cure at Week 72 underwent HBsAg and HBV DNA testing every four weeks during the subsequent 24-week follow-up period. Long-term follow-up is ongoing and published evidence describing monitoring beyond this period is currently limited.</w:t>
      </w:r>
    </w:p>
    <w:p w14:paraId="5E556F23" w14:textId="4CA22612" w:rsidR="00A80A5E" w:rsidRDefault="00A80A5E" w:rsidP="00BC7AE3">
      <w:r>
        <w:t>The a</w:t>
      </w:r>
      <w:r w:rsidR="00A431FB">
        <w:t>pplicant</w:t>
      </w:r>
      <w:r w:rsidR="006944BB">
        <w:t xml:space="preserve"> provided clinical algorithm</w:t>
      </w:r>
      <w:r w:rsidR="00A431FB">
        <w:t xml:space="preserve"> </w:t>
      </w:r>
      <w:r w:rsidR="006944BB">
        <w:t>implies that</w:t>
      </w:r>
      <w:r>
        <w:t xml:space="preserve"> </w:t>
      </w:r>
      <w:r w:rsidR="006944BB">
        <w:t>monitoring would likely be indefinite. Monitoring</w:t>
      </w:r>
      <w:r w:rsidR="00A431FB" w:rsidRPr="00A431FB">
        <w:t xml:space="preserve"> is intended to ensure relapse can be quickly and appropriately managed </w:t>
      </w:r>
      <w:r w:rsidR="006944BB">
        <w:t xml:space="preserve">however no </w:t>
      </w:r>
      <w:r>
        <w:t>further detail</w:t>
      </w:r>
      <w:r w:rsidR="004140AF">
        <w:t xml:space="preserve"> on what appropriate management would involve</w:t>
      </w:r>
      <w:r w:rsidR="006944BB">
        <w:t xml:space="preserve"> was provided</w:t>
      </w:r>
      <w:r>
        <w:t>.</w:t>
      </w:r>
      <w:r w:rsidR="00A431FB" w:rsidRPr="00A431FB">
        <w:t xml:space="preserve"> </w:t>
      </w:r>
    </w:p>
    <w:p w14:paraId="7592979E" w14:textId="62A22D94" w:rsidR="0074214D" w:rsidRPr="0074214D" w:rsidRDefault="00A80A5E" w:rsidP="0074214D">
      <w:r>
        <w:t xml:space="preserve">Current clinical guidelines provide limited direction regarding management of patient who achieve functional cure. </w:t>
      </w:r>
      <w:r w:rsidR="00E96417">
        <w:t xml:space="preserve">The 2022 </w:t>
      </w:r>
      <w:r w:rsidR="00A431FB">
        <w:t xml:space="preserve">GESA </w:t>
      </w:r>
      <w:r w:rsidR="00E96417">
        <w:t xml:space="preserve">guidelines </w:t>
      </w:r>
      <w:r w:rsidR="00A431FB">
        <w:t xml:space="preserve">recommend </w:t>
      </w:r>
      <w:r>
        <w:t>ongoing</w:t>
      </w:r>
      <w:r w:rsidR="00A431FB">
        <w:t xml:space="preserve"> monitoring following cessation of NA therapy</w:t>
      </w:r>
      <w:r w:rsidR="00312001">
        <w:t xml:space="preserve"> </w:t>
      </w:r>
      <w:r w:rsidR="00E96417">
        <w:t xml:space="preserve">but do not </w:t>
      </w:r>
      <w:r w:rsidR="00312001">
        <w:t>specify the frequency</w:t>
      </w:r>
      <w:r w:rsidR="00E96417">
        <w:t xml:space="preserve"> of monitoring</w:t>
      </w:r>
      <w:r w:rsidR="00312001">
        <w:t xml:space="preserve">, </w:t>
      </w:r>
      <w:r w:rsidR="00E96417">
        <w:t xml:space="preserve">the combination of </w:t>
      </w:r>
      <w:r w:rsidR="00312001">
        <w:t>marker</w:t>
      </w:r>
      <w:r w:rsidR="00E96417">
        <w:t>s to be assessed, the</w:t>
      </w:r>
      <w:r w:rsidR="00312001">
        <w:t xml:space="preserve"> duration</w:t>
      </w:r>
      <w:r w:rsidR="00E96417">
        <w:t xml:space="preserve"> of follow-up, or thresholds for re-treatment</w:t>
      </w:r>
      <w:r w:rsidR="000428D0">
        <w:t xml:space="preserve"> </w:t>
      </w:r>
      <w:r w:rsidR="000428D0">
        <w:fldChar w:fldCharType="begin">
          <w:fldData xml:space="preserve">PEVuZE5vdGU+PENpdGU+PEF1dGhvcj5MdWJlbDwvQXV0aG9yPjxZZWFyPjIwMjI8L1llYXI+PFJl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</w:fldData>
        </w:fldChar>
      </w:r>
      <w:r w:rsidR="000428D0">
        <w:instrText xml:space="preserve"> ADDIN EN.CITE </w:instrText>
      </w:r>
      <w:r w:rsidR="000428D0">
        <w:fldChar w:fldCharType="begin">
          <w:fldData xml:space="preserve">PEVuZE5vdGU+PENpdGU+PEF1dGhvcj5MdWJlbDwvQXV0aG9yPjxZZWFyPjIwMjI8L1llYXI+PFJl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</w:fldData>
        </w:fldChar>
      </w:r>
      <w:r w:rsidR="000428D0">
        <w:instrText xml:space="preserve"> ADDIN EN.CITE.DATA </w:instrText>
      </w:r>
      <w:r w:rsidR="000428D0">
        <w:fldChar w:fldCharType="end"/>
      </w:r>
      <w:r w:rsidR="000428D0">
        <w:fldChar w:fldCharType="separate"/>
      </w:r>
      <w:r w:rsidR="000428D0">
        <w:rPr>
          <w:noProof/>
        </w:rPr>
        <w:t>(Lubel et al., 2022)</w:t>
      </w:r>
      <w:r w:rsidR="000428D0">
        <w:fldChar w:fldCharType="end"/>
      </w:r>
      <w:r w:rsidR="0074214D" w:rsidRPr="0074214D">
        <w:t>.</w:t>
      </w:r>
      <w:r w:rsidR="00312001">
        <w:t xml:space="preserve"> </w:t>
      </w:r>
      <w:r w:rsidR="00E96417">
        <w:t xml:space="preserve">The 2025 </w:t>
      </w:r>
      <w:r w:rsidR="00BC7AE3">
        <w:t xml:space="preserve">EASL </w:t>
      </w:r>
      <w:r w:rsidR="00E96417">
        <w:t xml:space="preserve">Clinical Practice Guidelines </w:t>
      </w:r>
      <w:r w:rsidR="00BC7AE3">
        <w:t>recommend</w:t>
      </w:r>
      <w:r w:rsidR="0074214D">
        <w:t>s</w:t>
      </w:r>
      <w:r w:rsidR="00BC7AE3">
        <w:t xml:space="preserve"> monitoring HBV DNA and ALT</w:t>
      </w:r>
      <w:r w:rsidR="0074214D">
        <w:t xml:space="preserve"> every 3 months</w:t>
      </w:r>
      <w:r w:rsidR="00BC7AE3">
        <w:t xml:space="preserve"> during the first year </w:t>
      </w:r>
      <w:r w:rsidR="0074214D">
        <w:t>following NA cessation and every</w:t>
      </w:r>
      <w:r w:rsidR="00EA0594">
        <w:t xml:space="preserve"> </w:t>
      </w:r>
      <w:r w:rsidR="00BC7AE3">
        <w:t>6</w:t>
      </w:r>
      <w:r w:rsidR="00EA0594">
        <w:t xml:space="preserve"> to </w:t>
      </w:r>
      <w:r w:rsidR="00BC7AE3">
        <w:t xml:space="preserve">12-month </w:t>
      </w:r>
      <w:r w:rsidR="0074214D">
        <w:t>thereafter</w:t>
      </w:r>
      <w:r w:rsidR="0022741D">
        <w:t xml:space="preserve">, </w:t>
      </w:r>
      <w:r w:rsidR="0074214D">
        <w:t>with monitoring individualised according to patient risk factors</w:t>
      </w:r>
      <w:r w:rsidR="000324F2">
        <w:t xml:space="preserve"> </w:t>
      </w:r>
      <w:r w:rsidR="000324F2">
        <w:fldChar w:fldCharType="begin"/>
      </w:r>
      <w:r w:rsidR="000324F2">
        <w:instrText xml:space="preserve"> ADDIN EN.CITE &lt;EndNote&gt;&lt;Cite&gt;&lt;Author&gt;Cornberg&lt;/Author&gt;&lt;Year&gt;2025&lt;/Year&gt;&lt;RecNum&gt;4&lt;/RecNum&gt;&lt;DisplayText&gt;(Cornberg et al., 2025)&lt;/DisplayText&gt;&lt;record&gt;&lt;rec-number&gt;4&lt;/rec-number&gt;&lt;foreign-keys&gt;&lt;key app="EN" db-id="zv5axz5eqtvwd2eve9npz227rdzp0s0r2r9s" timestamp="1783321169"&gt;4&lt;/key&gt;&lt;/foreign-keys&gt;&lt;ref-type name="Journal Article"&gt;17&lt;/ref-type&gt;&lt;contributors&gt;&lt;authors&gt;&lt;author&gt;Cornberg, Markus&lt;/author&gt;&lt;author&gt;Sandmann, Lisa&lt;/author&gt;&lt;author&gt;Jaroszewicz, Jerzy&lt;/author&gt;&lt;author&gt;Kennedy, Patrick&lt;/author&gt;&lt;author&gt;Lampertico, Pietro&lt;/author&gt;&lt;author&gt;Lemoine, Maud&lt;/author&gt;&lt;author&gt;Lens, Sabela&lt;/author&gt;&lt;author&gt;Testoni, Barbara&lt;/author&gt;&lt;author&gt;Lai-Hung Wong, Grace&lt;/author&gt;&lt;author&gt;Russo, Francesco Paolo&lt;/author&gt;&lt;/authors&gt;&lt;/contributors&gt;&lt;titles&gt;&lt;title&gt;EASL Clinical Practice Guidelines on the management of hepatitis B virus infection&lt;/title&gt;&lt;secondary-title&gt;Journal of Hepatology&lt;/secondary-title&gt;&lt;/titles&gt;&lt;periodical&gt;&lt;full-title&gt;Journal of Hepatology&lt;/full-title&gt;&lt;/periodical&gt;&lt;pages&gt;502-583&lt;/pages&gt;&lt;volume&gt;83&lt;/volume&gt;&lt;number&gt;2&lt;/number&gt;&lt;dates&gt;&lt;year&gt;2025&lt;/year&gt;&lt;/dates&gt;&lt;publisher&gt;Elsevier&lt;/publisher&gt;&lt;isbn&gt;0168-8278&lt;/isbn&gt;&lt;urls&gt;&lt;related-urls&gt;&lt;url&gt;https://doi.org/10.1016/j.jhep.2025.03.018&lt;/url&gt;&lt;/related-urls&gt;&lt;/urls&gt;&lt;electronic-resource-num&gt;10.1016/j.jhep.2025.03.018&lt;/electronic-resource-num&gt;&lt;access-date&gt;2026/07/05&lt;/access-date&gt;&lt;/record&gt;&lt;/Cite&gt;&lt;/EndNote&gt;</w:instrText>
      </w:r>
      <w:r w:rsidR="000324F2">
        <w:fldChar w:fldCharType="separate"/>
      </w:r>
      <w:r w:rsidR="000324F2">
        <w:rPr>
          <w:noProof/>
        </w:rPr>
        <w:t>(Cornberg et al., 2025)</w:t>
      </w:r>
      <w:r w:rsidR="000324F2">
        <w:fldChar w:fldCharType="end"/>
      </w:r>
      <w:r w:rsidR="0022741D">
        <w:t xml:space="preserve">. </w:t>
      </w:r>
      <w:r w:rsidR="0074214D">
        <w:t xml:space="preserve">Similarly, the </w:t>
      </w:r>
      <w:r w:rsidR="00780337">
        <w:t>AASLD</w:t>
      </w:r>
      <w:r w:rsidR="00E96417">
        <w:t>-</w:t>
      </w:r>
      <w:r w:rsidR="00780337">
        <w:t xml:space="preserve">IDSA </w:t>
      </w:r>
      <w:r w:rsidR="00E96417">
        <w:t>Practice Guideline</w:t>
      </w:r>
      <w:r w:rsidR="000324F2">
        <w:t xml:space="preserve"> </w:t>
      </w:r>
      <w:r w:rsidR="0074214D" w:rsidRPr="0074214D">
        <w:t>does not provide detailed recommendations regarding long-term monitoring after achievement of functional cure or HBsAg loss</w:t>
      </w:r>
      <w:r w:rsidR="00E96417">
        <w:fldChar w:fldCharType="begin">
          <w:fldData xml:space="preserve">PEVuZE5vdGU+PENpdGU+PEF1dGhvcj5HaGFueTwvQXV0aG9yPjxZZWFyPjIwMjY8L1llYXI+PFJl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</w:fldData>
        </w:fldChar>
      </w:r>
      <w:r w:rsidR="00E96417">
        <w:instrText xml:space="preserve"> ADDIN EN.CITE </w:instrText>
      </w:r>
      <w:r w:rsidR="00E96417">
        <w:fldChar w:fldCharType="begin">
          <w:fldData xml:space="preserve">PEVuZE5vdGU+PENpdGU+PEF1dGhvcj5HaGFueTwvQXV0aG9yPjxZZWFyPjIwMjY8L1llYXI+PFJl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</w:fldData>
        </w:fldChar>
      </w:r>
      <w:r w:rsidR="00E96417">
        <w:instrText xml:space="preserve"> ADDIN EN.CITE.DATA </w:instrText>
      </w:r>
      <w:r w:rsidR="00E96417">
        <w:fldChar w:fldCharType="end"/>
      </w:r>
      <w:r w:rsidR="00E96417">
        <w:fldChar w:fldCharType="separate"/>
      </w:r>
      <w:r w:rsidR="00E96417">
        <w:rPr>
          <w:noProof/>
        </w:rPr>
        <w:t>(Ghany et al., 2026)</w:t>
      </w:r>
      <w:r w:rsidR="00E96417">
        <w:fldChar w:fldCharType="end"/>
      </w:r>
      <w:r w:rsidR="0074214D" w:rsidRPr="0074214D">
        <w:t>.</w:t>
      </w:r>
    </w:p>
    <w:p w14:paraId="2D20E049" w14:textId="1AC7C3A3" w:rsidR="00A431FB" w:rsidRDefault="00C03FD4" w:rsidP="003D7AC8">
      <w:r>
        <w:t>Some guidelines</w:t>
      </w:r>
      <w:r w:rsidR="00E96417">
        <w:t xml:space="preserve">, including the </w:t>
      </w:r>
      <w:r w:rsidR="0074214D">
        <w:t xml:space="preserve">EASL </w:t>
      </w:r>
      <w:r w:rsidR="00E96417">
        <w:t xml:space="preserve">Clinical Practice Guidelines </w:t>
      </w:r>
      <w:r w:rsidR="000324F2">
        <w:t xml:space="preserve"> </w:t>
      </w:r>
      <w:r w:rsidR="000324F2">
        <w:fldChar w:fldCharType="begin"/>
      </w:r>
      <w:r w:rsidR="000324F2">
        <w:instrText xml:space="preserve"> ADDIN EN.CITE &lt;EndNote&gt;&lt;Cite&gt;&lt;Author&gt;Cornberg&lt;/Author&gt;&lt;Year&gt;2025&lt;/Year&gt;&lt;RecNum&gt;4&lt;/RecNum&gt;&lt;DisplayText&gt;(Cornberg et al., 2025)&lt;/DisplayText&gt;&lt;record&gt;&lt;rec-number&gt;4&lt;/rec-number&gt;&lt;foreign-keys&gt;&lt;key app="EN" db-id="zv5axz5eqtvwd2eve9npz227rdzp0s0r2r9s" timestamp="1783321169"&gt;4&lt;/key&gt;&lt;/foreign-keys&gt;&lt;ref-type name="Journal Article"&gt;17&lt;/ref-type&gt;&lt;contributors&gt;&lt;authors&gt;&lt;author&gt;Cornberg, Markus&lt;/author&gt;&lt;author&gt;Sandmann, Lisa&lt;/author&gt;&lt;author&gt;Jaroszewicz, Jerzy&lt;/author&gt;&lt;author&gt;Kennedy, Patrick&lt;/author&gt;&lt;author&gt;Lampertico, Pietro&lt;/author&gt;&lt;author&gt;Lemoine, Maud&lt;/author&gt;&lt;author&gt;Lens, Sabela&lt;/author&gt;&lt;author&gt;Testoni, Barbara&lt;/author&gt;&lt;author&gt;Lai-Hung Wong, Grace&lt;/author&gt;&lt;author&gt;Russo, Francesco Paolo&lt;/author&gt;&lt;/authors&gt;&lt;/contributors&gt;&lt;titles&gt;&lt;title&gt;EASL Clinical Practice Guidelines on the management of hepatitis B virus infection&lt;/title&gt;&lt;secondary-title&gt;Journal of Hepatology&lt;/secondary-title&gt;&lt;/titles&gt;&lt;periodical&gt;&lt;full-title&gt;Journal of Hepatology&lt;/full-title&gt;&lt;/periodical&gt;&lt;pages&gt;502-583&lt;/pages&gt;&lt;volume&gt;83&lt;/volume&gt;&lt;number&gt;2&lt;/number&gt;&lt;dates&gt;&lt;year&gt;2025&lt;/year&gt;&lt;/dates&gt;&lt;publisher&gt;Elsevier&lt;/publisher&gt;&lt;isbn&gt;0168-8278&lt;/isbn&gt;&lt;urls&gt;&lt;related-urls&gt;&lt;url&gt;https://doi.org/10.1016/j.jhep.2025.03.018&lt;/url&gt;&lt;/related-urls&gt;&lt;/urls&gt;&lt;electronic-resource-num&gt;10.1016/j.jhep.2025.03.018&lt;/electronic-resource-num&gt;&lt;access-date&gt;2026/07/05&lt;/access-date&gt;&lt;/record&gt;&lt;/Cite&gt;&lt;/EndNote&gt;</w:instrText>
      </w:r>
      <w:r w:rsidR="000324F2">
        <w:fldChar w:fldCharType="separate"/>
      </w:r>
      <w:r w:rsidR="000324F2">
        <w:rPr>
          <w:noProof/>
        </w:rPr>
        <w:t>(Cornberg et al., 2025)</w:t>
      </w:r>
      <w:r w:rsidR="000324F2">
        <w:fldChar w:fldCharType="end"/>
      </w:r>
      <w:r w:rsidR="0074214D">
        <w:t xml:space="preserve">, </w:t>
      </w:r>
      <w:r w:rsidR="00E96417">
        <w:t xml:space="preserve">and the </w:t>
      </w:r>
      <w:r w:rsidR="0074214D">
        <w:t>AASLD</w:t>
      </w:r>
      <w:r w:rsidR="00E96417">
        <w:t>-</w:t>
      </w:r>
      <w:r w:rsidR="0074214D">
        <w:t xml:space="preserve">ISDA </w:t>
      </w:r>
      <w:r w:rsidR="00E96417">
        <w:t xml:space="preserve">Practice Guideline </w:t>
      </w:r>
      <w:r w:rsidR="000324F2">
        <w:fldChar w:fldCharType="begin">
          <w:fldData xml:space="preserve">PEVuZE5vdGU+PENpdGU+PEF1dGhvcj5HaGFueTwvQXV0aG9yPjxZZWFyPjIwMjY8L1llYXI+PFJl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</w:fldData>
        </w:fldChar>
      </w:r>
      <w:r w:rsidR="000324F2">
        <w:instrText xml:space="preserve"> ADDIN EN.CITE </w:instrText>
      </w:r>
      <w:r w:rsidR="000324F2">
        <w:fldChar w:fldCharType="begin">
          <w:fldData xml:space="preserve">PEVuZE5vdGU+PENpdGU+PEF1dGhvcj5HaGFueTwvQXV0aG9yPjxZZWFyPjIwMjY8L1llYXI+PFJl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</w:fldData>
        </w:fldChar>
      </w:r>
      <w:r w:rsidR="000324F2">
        <w:instrText xml:space="preserve"> ADDIN EN.CITE.DATA </w:instrText>
      </w:r>
      <w:r w:rsidR="000324F2">
        <w:fldChar w:fldCharType="end"/>
      </w:r>
      <w:r w:rsidR="000324F2">
        <w:fldChar w:fldCharType="separate"/>
      </w:r>
      <w:r w:rsidR="000324F2">
        <w:rPr>
          <w:noProof/>
        </w:rPr>
        <w:t>(Ghany et al., 2026)</w:t>
      </w:r>
      <w:r w:rsidR="000324F2">
        <w:fldChar w:fldCharType="end"/>
      </w:r>
      <w:r w:rsidR="00E96417">
        <w:t>,</w:t>
      </w:r>
      <w:r w:rsidR="0074214D">
        <w:t xml:space="preserve"> </w:t>
      </w:r>
      <w:r w:rsidR="0074214D" w:rsidRPr="0074214D">
        <w:t>provide recommendations regarding re-initiation of treatment in patients who discontinue NA therapy before achieving HBsAg loss. These recommendations generally include patient preference, the development of extrahepatic manifestations of HBV infection, or re-emergence of treatment indications such as HBV DNA ≥2,000 IU/mL together with ALT ≥2× the upper limit of normal. Whether these criteria are applicable to patients who have achieved functional cure remains uncertain.</w:t>
      </w:r>
    </w:p>
    <w:p w14:paraId="266928DE" w14:textId="1DCAFD67" w:rsidR="00905474" w:rsidRDefault="00A80A5E" w:rsidP="00905474">
      <w:r>
        <w:lastRenderedPageBreak/>
        <w:t>Overall, c</w:t>
      </w:r>
      <w:r w:rsidR="00905474">
        <w:t xml:space="preserve">urrent hepatitis B guidelines support ongoing monitoring following treatment cessation; however, a specific </w:t>
      </w:r>
      <w:r>
        <w:t>clinical management</w:t>
      </w:r>
      <w:r w:rsidR="0074214D">
        <w:t xml:space="preserve"> </w:t>
      </w:r>
      <w:r w:rsidR="00905474">
        <w:t>pathway for patients achieving functional cure has not been established. The proposed testing schedule</w:t>
      </w:r>
      <w:r w:rsidR="002046DC">
        <w:t xml:space="preserve"> </w:t>
      </w:r>
      <w:r w:rsidR="00905474">
        <w:t xml:space="preserve">therefore appears to be derived from the </w:t>
      </w:r>
      <w:r w:rsidR="00EA0594">
        <w:t xml:space="preserve">B-clear and B-well </w:t>
      </w:r>
      <w:r w:rsidR="00905474">
        <w:t>clinical development program</w:t>
      </w:r>
      <w:r w:rsidR="0074214D">
        <w:t>s</w:t>
      </w:r>
      <w:r w:rsidR="00905474">
        <w:t xml:space="preserve"> and expert</w:t>
      </w:r>
      <w:r w:rsidR="0074214D">
        <w:t xml:space="preserve"> clinical</w:t>
      </w:r>
      <w:r w:rsidR="00905474">
        <w:t xml:space="preserve"> </w:t>
      </w:r>
      <w:r w:rsidR="0074214D">
        <w:t xml:space="preserve">opinion </w:t>
      </w:r>
      <w:r w:rsidR="00905474">
        <w:t>rather than a guideline-endorsed monitoring algorithm.</w:t>
      </w:r>
    </w:p>
    <w:p w14:paraId="5E964C3F" w14:textId="7CA90E51" w:rsidR="0074214D" w:rsidRDefault="0074214D" w:rsidP="00905474">
      <w:r>
        <w:t>The proposed algorithm demonstrates co-dependent use of biomarkers. During the post-treatment phase, HBV DNA testing is conditional on HBsAg positivity, such that HBsAg functions as a trigger for additional virological assessment. This represents a sequential testing strategy in which monitoring decisions depend on</w:t>
      </w:r>
      <w:r w:rsidR="00910558">
        <w:t xml:space="preserve"> the results of</w:t>
      </w:r>
      <w:r>
        <w:t xml:space="preserve"> preceding test</w:t>
      </w:r>
      <w:r w:rsidR="00910558">
        <w:t>s</w:t>
      </w:r>
      <w:r>
        <w:t>.</w:t>
      </w:r>
    </w:p>
    <w:p w14:paraId="77A744DF" w14:textId="1809D792" w:rsidR="00FB4660" w:rsidRDefault="00FB4660" w:rsidP="00FB4660">
      <w:pPr>
        <w:pStyle w:val="Caption"/>
      </w:pPr>
      <w:bookmarkStart w:id="5" w:name="_Ref234245047"/>
      <w:r>
        <w:t xml:space="preserve">Table </w:t>
      </w:r>
      <w:r>
        <w:fldChar w:fldCharType="begin"/>
      </w:r>
      <w:r>
        <w:instrText xml:space="preserve"> SEQ Table \* ARABIC </w:instrText>
      </w:r>
      <w:r>
        <w:fldChar w:fldCharType="separate"/>
      </w:r>
      <w:r w:rsidR="00A446A4">
        <w:rPr>
          <w:noProof/>
        </w:rPr>
        <w:t>5</w:t>
      </w:r>
      <w:r>
        <w:fldChar w:fldCharType="end"/>
      </w:r>
      <w:bookmarkEnd w:id="5"/>
      <w:r>
        <w:tab/>
        <w:t>The proposed testing schedule for PICO set 2</w:t>
      </w:r>
    </w:p>
    <w:tbl>
      <w:tblPr>
        <w:tblStyle w:val="TableGrid1"/>
        <w:tblW w:w="0" w:type="auto"/>
        <w:tblInd w:w="-5" w:type="dxa"/>
        <w:tblLook w:val="04A0" w:firstRow="1" w:lastRow="0" w:firstColumn="1" w:lastColumn="0" w:noHBand="0" w:noVBand="1"/>
        <w:tblCaption w:val="Table 4 The proposed testing schedule for PICO set 2"/>
        <w:tblDescription w:val="Table with detils of proposed testing schedule relevant to PICO set 2 - patients achieving funcitona cure."/>
      </w:tblPr>
      <w:tblGrid>
        <w:gridCol w:w="1985"/>
        <w:gridCol w:w="2977"/>
        <w:gridCol w:w="2268"/>
        <w:gridCol w:w="2346"/>
      </w:tblGrid>
      <w:tr w:rsidR="00FB4660" w:rsidRPr="00EF1FBC" w14:paraId="08444984" w14:textId="77777777" w:rsidTr="00965EB4">
        <w:trPr>
          <w:tblHeader/>
        </w:trPr>
        <w:tc>
          <w:tcPr>
            <w:tcW w:w="1985" w:type="dxa"/>
            <w:hideMark/>
          </w:tcPr>
          <w:p w14:paraId="0048C883" w14:textId="77777777" w:rsidR="00FB4660" w:rsidRPr="00EF1FBC" w:rsidRDefault="00FB4660">
            <w:pPr>
              <w:pStyle w:val="TableHeading"/>
              <w:ind w:left="0"/>
            </w:pPr>
            <w:r>
              <w:t>Phase / Timepoint</w:t>
            </w:r>
          </w:p>
        </w:tc>
        <w:tc>
          <w:tcPr>
            <w:tcW w:w="2977" w:type="dxa"/>
            <w:hideMark/>
          </w:tcPr>
          <w:p w14:paraId="0340EB76" w14:textId="77777777" w:rsidR="00FB4660" w:rsidRPr="00EF1FBC" w:rsidRDefault="00FB4660">
            <w:pPr>
              <w:pStyle w:val="TableHeading"/>
              <w:ind w:left="0"/>
            </w:pPr>
            <w:r>
              <w:t>HBsAg</w:t>
            </w:r>
          </w:p>
        </w:tc>
        <w:tc>
          <w:tcPr>
            <w:tcW w:w="2268" w:type="dxa"/>
            <w:hideMark/>
          </w:tcPr>
          <w:p w14:paraId="6C95C53D" w14:textId="77777777" w:rsidR="00FB4660" w:rsidRPr="00EF1FBC" w:rsidRDefault="00FB4660">
            <w:pPr>
              <w:pStyle w:val="TableHeading"/>
              <w:ind w:left="0"/>
            </w:pPr>
            <w:r>
              <w:t>HBeAg</w:t>
            </w:r>
          </w:p>
        </w:tc>
        <w:tc>
          <w:tcPr>
            <w:tcW w:w="2346" w:type="dxa"/>
            <w:hideMark/>
          </w:tcPr>
          <w:p w14:paraId="48BCA64A" w14:textId="77777777" w:rsidR="00FB4660" w:rsidRPr="00EF1FBC" w:rsidRDefault="00FB4660">
            <w:pPr>
              <w:pStyle w:val="TableHeading"/>
              <w:ind w:left="0"/>
            </w:pPr>
            <w:r>
              <w:t>HBV DNA</w:t>
            </w:r>
          </w:p>
        </w:tc>
      </w:tr>
      <w:tr w:rsidR="00FB4660" w:rsidRPr="00EF1FBC" w14:paraId="584515CC" w14:textId="77777777" w:rsidTr="00FB4660">
        <w:tc>
          <w:tcPr>
            <w:tcW w:w="1985" w:type="dxa"/>
            <w:hideMark/>
          </w:tcPr>
          <w:p w14:paraId="5451EADD" w14:textId="77777777" w:rsidR="00FB4660" w:rsidRPr="00EF1FBC" w:rsidRDefault="00FB4660">
            <w:pPr>
              <w:pStyle w:val="Tabletext"/>
              <w:keepNext/>
              <w:ind w:left="0"/>
            </w:pPr>
            <w:r>
              <w:t>Year 1</w:t>
            </w:r>
          </w:p>
        </w:tc>
        <w:tc>
          <w:tcPr>
            <w:tcW w:w="2977" w:type="dxa"/>
            <w:hideMark/>
          </w:tcPr>
          <w:p w14:paraId="65ABFD92" w14:textId="77777777" w:rsidR="00FB4660" w:rsidRDefault="00FB4660">
            <w:pPr>
              <w:pStyle w:val="TableHeading"/>
              <w:ind w:left="0"/>
              <w:rPr>
                <w:b w:val="0"/>
                <w:bCs/>
              </w:rPr>
            </w:pPr>
            <w:r>
              <w:rPr>
                <w:b w:val="0"/>
                <w:bCs/>
              </w:rPr>
              <w:t>Required (Qualitative) *</w:t>
            </w:r>
          </w:p>
          <w:p w14:paraId="122BA95A" w14:textId="454800D2" w:rsidR="00FB4660" w:rsidRPr="00EF1FBC" w:rsidRDefault="0033014E">
            <w:pPr>
              <w:pStyle w:val="TableHeading"/>
              <w:ind w:left="0"/>
              <w:rPr>
                <w:b w:val="0"/>
                <w:bCs/>
              </w:rPr>
            </w:pPr>
            <w:r>
              <w:rPr>
                <w:b w:val="0"/>
                <w:bCs/>
              </w:rPr>
              <w:t>Frequency: Weeks 4, 12, 24, 36, 48</w:t>
            </w:r>
          </w:p>
        </w:tc>
        <w:tc>
          <w:tcPr>
            <w:tcW w:w="2268" w:type="dxa"/>
            <w:hideMark/>
          </w:tcPr>
          <w:p w14:paraId="300C96F8" w14:textId="77777777" w:rsidR="00FB4660" w:rsidRPr="00EF1FBC" w:rsidRDefault="00FB4660">
            <w:pPr>
              <w:pStyle w:val="TableHeading"/>
              <w:ind w:left="0"/>
              <w:rPr>
                <w:b w:val="0"/>
                <w:bCs/>
              </w:rPr>
            </w:pPr>
            <w:r>
              <w:rPr>
                <w:b w:val="0"/>
                <w:bCs/>
              </w:rPr>
              <w:t>Not required</w:t>
            </w:r>
          </w:p>
        </w:tc>
        <w:tc>
          <w:tcPr>
            <w:tcW w:w="2346" w:type="dxa"/>
            <w:hideMark/>
          </w:tcPr>
          <w:p w14:paraId="6E08878D" w14:textId="77777777" w:rsidR="00FB4660" w:rsidRPr="00EF1FBC" w:rsidRDefault="00FB4660">
            <w:pPr>
              <w:pStyle w:val="TableHeading"/>
              <w:ind w:left="0"/>
              <w:rPr>
                <w:b w:val="0"/>
                <w:bCs/>
              </w:rPr>
            </w:pPr>
            <w:r>
              <w:rPr>
                <w:b w:val="0"/>
                <w:bCs/>
              </w:rPr>
              <w:t>Only if HBsAg becomes positive</w:t>
            </w:r>
          </w:p>
        </w:tc>
      </w:tr>
      <w:tr w:rsidR="00FB4660" w:rsidRPr="00EF1FBC" w14:paraId="5F1A0B8A" w14:textId="77777777" w:rsidTr="00FB4660">
        <w:tc>
          <w:tcPr>
            <w:tcW w:w="1985" w:type="dxa"/>
            <w:hideMark/>
          </w:tcPr>
          <w:p w14:paraId="6D620A66" w14:textId="77777777" w:rsidR="00FB4660" w:rsidRPr="00EF1FBC" w:rsidRDefault="00FB4660">
            <w:pPr>
              <w:pStyle w:val="Tabletext"/>
              <w:keepNext/>
              <w:ind w:left="0"/>
            </w:pPr>
            <w:r>
              <w:t>Year 2</w:t>
            </w:r>
          </w:p>
        </w:tc>
        <w:tc>
          <w:tcPr>
            <w:tcW w:w="2977" w:type="dxa"/>
            <w:hideMark/>
          </w:tcPr>
          <w:p w14:paraId="1EF0240D" w14:textId="77777777" w:rsidR="00FB4660" w:rsidRDefault="00FB4660">
            <w:pPr>
              <w:pStyle w:val="TableHeading"/>
              <w:ind w:left="0"/>
              <w:rPr>
                <w:b w:val="0"/>
                <w:bCs/>
              </w:rPr>
            </w:pPr>
            <w:r>
              <w:rPr>
                <w:b w:val="0"/>
                <w:bCs/>
              </w:rPr>
              <w:t xml:space="preserve">Required (Qualitative) * </w:t>
            </w:r>
          </w:p>
          <w:p w14:paraId="6535DC58" w14:textId="0B19A472" w:rsidR="0033014E" w:rsidRPr="00EF1FBC" w:rsidRDefault="0033014E">
            <w:pPr>
              <w:pStyle w:val="TableHeading"/>
              <w:ind w:left="0"/>
              <w:rPr>
                <w:b w:val="0"/>
                <w:bCs/>
              </w:rPr>
            </w:pPr>
            <w:r>
              <w:rPr>
                <w:b w:val="0"/>
                <w:bCs/>
              </w:rPr>
              <w:t>Frequency: Weeks 72, 96</w:t>
            </w:r>
          </w:p>
        </w:tc>
        <w:tc>
          <w:tcPr>
            <w:tcW w:w="2268" w:type="dxa"/>
            <w:hideMark/>
          </w:tcPr>
          <w:p w14:paraId="5E530E62" w14:textId="77777777" w:rsidR="00FB4660" w:rsidRPr="00EF1FBC" w:rsidRDefault="00FB4660">
            <w:pPr>
              <w:pStyle w:val="TableHeading"/>
              <w:ind w:left="0"/>
              <w:rPr>
                <w:b w:val="0"/>
                <w:bCs/>
              </w:rPr>
            </w:pPr>
            <w:r>
              <w:rPr>
                <w:b w:val="0"/>
                <w:bCs/>
              </w:rPr>
              <w:t>Not required</w:t>
            </w:r>
          </w:p>
        </w:tc>
        <w:tc>
          <w:tcPr>
            <w:tcW w:w="2346" w:type="dxa"/>
            <w:hideMark/>
          </w:tcPr>
          <w:p w14:paraId="335BAD74" w14:textId="77777777" w:rsidR="00FB4660" w:rsidRPr="00EF1FBC" w:rsidRDefault="00FB4660">
            <w:pPr>
              <w:pStyle w:val="TableHeading"/>
              <w:ind w:left="0"/>
              <w:rPr>
                <w:b w:val="0"/>
                <w:bCs/>
              </w:rPr>
            </w:pPr>
            <w:r>
              <w:rPr>
                <w:b w:val="0"/>
                <w:bCs/>
              </w:rPr>
              <w:t>Only if HBsAg becomes positive</w:t>
            </w:r>
          </w:p>
        </w:tc>
      </w:tr>
      <w:tr w:rsidR="00FB4660" w:rsidRPr="00EF1FBC" w14:paraId="7C9B7CCB" w14:textId="77777777" w:rsidTr="00FB4660">
        <w:tc>
          <w:tcPr>
            <w:tcW w:w="1985" w:type="dxa"/>
            <w:hideMark/>
          </w:tcPr>
          <w:p w14:paraId="05398328" w14:textId="77777777" w:rsidR="00FB4660" w:rsidRPr="00EF1FBC" w:rsidRDefault="00FB4660">
            <w:pPr>
              <w:pStyle w:val="Tabletext"/>
              <w:keepNext/>
              <w:ind w:left="0"/>
            </w:pPr>
            <w:r>
              <w:t>Year 3+</w:t>
            </w:r>
          </w:p>
        </w:tc>
        <w:tc>
          <w:tcPr>
            <w:tcW w:w="2977" w:type="dxa"/>
            <w:hideMark/>
          </w:tcPr>
          <w:p w14:paraId="0A6936BA" w14:textId="77777777" w:rsidR="00FB4660" w:rsidRDefault="00FB4660">
            <w:pPr>
              <w:pStyle w:val="TableHeading"/>
              <w:ind w:left="0"/>
              <w:rPr>
                <w:b w:val="0"/>
                <w:bCs/>
              </w:rPr>
            </w:pPr>
            <w:r>
              <w:rPr>
                <w:b w:val="0"/>
                <w:bCs/>
              </w:rPr>
              <w:t>Required (Qualitative) *</w:t>
            </w:r>
          </w:p>
          <w:p w14:paraId="016542F5" w14:textId="7667E719" w:rsidR="00FB4660" w:rsidRPr="00EF1FBC" w:rsidRDefault="0033014E">
            <w:pPr>
              <w:pStyle w:val="TableHeading"/>
              <w:ind w:left="0"/>
              <w:rPr>
                <w:b w:val="0"/>
                <w:bCs/>
              </w:rPr>
            </w:pPr>
            <w:r>
              <w:rPr>
                <w:b w:val="0"/>
                <w:bCs/>
              </w:rPr>
              <w:t>Frequency: yearly</w:t>
            </w:r>
          </w:p>
        </w:tc>
        <w:tc>
          <w:tcPr>
            <w:tcW w:w="2268" w:type="dxa"/>
            <w:hideMark/>
          </w:tcPr>
          <w:p w14:paraId="24C66C20" w14:textId="77777777" w:rsidR="00FB4660" w:rsidRPr="00EF1FBC" w:rsidRDefault="00FB4660">
            <w:pPr>
              <w:pStyle w:val="TableHeading"/>
              <w:ind w:left="0"/>
              <w:rPr>
                <w:b w:val="0"/>
                <w:bCs/>
              </w:rPr>
            </w:pPr>
            <w:r>
              <w:rPr>
                <w:b w:val="0"/>
                <w:bCs/>
              </w:rPr>
              <w:t>Not required</w:t>
            </w:r>
          </w:p>
        </w:tc>
        <w:tc>
          <w:tcPr>
            <w:tcW w:w="2346" w:type="dxa"/>
            <w:hideMark/>
          </w:tcPr>
          <w:p w14:paraId="6B2EC72A" w14:textId="77777777" w:rsidR="00FB4660" w:rsidRPr="00EF1FBC" w:rsidRDefault="00FB4660">
            <w:pPr>
              <w:pStyle w:val="TableHeading"/>
              <w:ind w:left="0"/>
              <w:rPr>
                <w:b w:val="0"/>
                <w:bCs/>
              </w:rPr>
            </w:pPr>
            <w:r>
              <w:rPr>
                <w:b w:val="0"/>
                <w:bCs/>
              </w:rPr>
              <w:t>Only if HBsAg becomes positive</w:t>
            </w:r>
          </w:p>
        </w:tc>
      </w:tr>
    </w:tbl>
    <w:p w14:paraId="32E8FF50" w14:textId="77777777" w:rsidR="009D14BA" w:rsidRPr="009D14BA" w:rsidRDefault="009D14BA" w:rsidP="009D14BA">
      <w:pPr>
        <w:pStyle w:val="Tablenotes"/>
      </w:pPr>
      <w:r>
        <w:t>Abbreviations: HBsAg, hepatitis B surface antigen; HBeAg, hepatitis B e-antigen; HBV DNA, hepatitis B viral DNA;</w:t>
      </w:r>
    </w:p>
    <w:p w14:paraId="5AEEAD42" w14:textId="3E396F37" w:rsidR="00D559A7" w:rsidRDefault="00FB4660" w:rsidP="00FB4660">
      <w:pPr>
        <w:pStyle w:val="Tablenotes"/>
      </w:pPr>
      <w:r>
        <w:t>* Testing frequency in the post-treatment phase (e.g. 5 tests in Year 1, 2 tests in Year 2, then annually) is proposed by the applicant.</w:t>
      </w:r>
    </w:p>
    <w:p w14:paraId="1DCB9B65" w14:textId="1C251A44" w:rsidR="00463231" w:rsidRPr="00BA4E6A" w:rsidRDefault="00463231" w:rsidP="00463231">
      <w:pPr>
        <w:rPr>
          <w:i/>
          <w:iCs/>
        </w:rPr>
      </w:pPr>
      <w:r w:rsidRPr="00BA4E6A">
        <w:rPr>
          <w:i/>
          <w:iCs/>
        </w:rPr>
        <w:t xml:space="preserve">PASC considered that the indefinite annual testing proposed for PICO 2 after 3 years was reasonable, noting that long-term evidence is currently </w:t>
      </w:r>
      <w:r w:rsidR="177D4CE9" w:rsidRPr="71CC0376">
        <w:rPr>
          <w:i/>
          <w:iCs/>
        </w:rPr>
        <w:t>unavailable</w:t>
      </w:r>
      <w:r w:rsidRPr="00BA4E6A">
        <w:rPr>
          <w:i/>
          <w:iCs/>
        </w:rPr>
        <w:t>.</w:t>
      </w:r>
    </w:p>
    <w:p w14:paraId="03EE4442" w14:textId="44A1A51D" w:rsidR="273A0F1C" w:rsidRPr="00BA4E6A" w:rsidRDefault="00463231" w:rsidP="00965EB4">
      <w:pPr>
        <w:rPr>
          <w:i/>
          <w:iCs/>
        </w:rPr>
      </w:pPr>
      <w:r w:rsidRPr="00BA4E6A">
        <w:rPr>
          <w:i/>
          <w:iCs/>
        </w:rPr>
        <w:t>PASC noted the importance of equitable access to testing and treatment pathways, particularly for Aboriginal and Torres Strait Islander peoples, migrant communities, and people living in rural and remote areas. Existing viral hepatitis testing pathways may facilitate access, however PASC noted the initial introduction of bepirovirsen through specialist centres may create practical access challenges during the early stages of rollout.</w:t>
      </w:r>
    </w:p>
    <w:p w14:paraId="577E22E0" w14:textId="77D37D80" w:rsidR="00B071F2" w:rsidRDefault="007A66C8" w:rsidP="00642B8A">
      <w:pPr>
        <w:pStyle w:val="Heading3"/>
        <w:tabs>
          <w:tab w:val="left" w:pos="2327"/>
        </w:tabs>
      </w:pPr>
      <w:r>
        <w:t>Comparator(s)</w:t>
      </w:r>
    </w:p>
    <w:p w14:paraId="665B0675" w14:textId="00FB38D3" w:rsidR="007A66C8" w:rsidRPr="00B071F2" w:rsidRDefault="00B071F2" w:rsidP="00524DA3">
      <w:pPr>
        <w:pStyle w:val="Heading4"/>
      </w:pPr>
      <w:r>
        <w:t>PICO 1</w:t>
      </w:r>
    </w:p>
    <w:p w14:paraId="203DF101" w14:textId="2F70390C" w:rsidR="00F06FF8" w:rsidRDefault="00F06FF8" w:rsidP="00813F88">
      <w:r w:rsidRPr="00F06FF8">
        <w:t xml:space="preserve">As bepirovirsen is an investigational therapy and is not currently incorporated into Australian or international hepatitis B management guidelines, no established comparator pathway exists for patients receiving bepirovirsen in combination with NA therapy. The </w:t>
      </w:r>
      <w:r w:rsidR="00A9148A">
        <w:t>most relevant</w:t>
      </w:r>
      <w:r w:rsidRPr="00F06FF8">
        <w:t xml:space="preserve"> comparator is current guideline-based management of patients receiving NA therapy alone, which represents the standard of care for patients with CHB. The proposed intervention population represents a subset of this broader NA-treated population.</w:t>
      </w:r>
      <w:r w:rsidR="0049686E">
        <w:t xml:space="preserve"> </w:t>
      </w:r>
    </w:p>
    <w:p w14:paraId="4CB6D060" w14:textId="646192E9" w:rsidR="0091668B" w:rsidRPr="00813F88" w:rsidRDefault="0091668B" w:rsidP="00813F88">
      <w:r>
        <w:t>P</w:t>
      </w:r>
      <w:r w:rsidR="00813F88">
        <w:t xml:space="preserve">atients receiving NA therapy undergo ongoing monitoring </w:t>
      </w:r>
      <w:r>
        <w:t xml:space="preserve">including </w:t>
      </w:r>
      <w:r w:rsidR="00813F88">
        <w:t>HBV DNA testing liver function test</w:t>
      </w:r>
      <w:r>
        <w:t xml:space="preserve">s (particularly ALT) </w:t>
      </w:r>
      <w:r w:rsidR="00813F88">
        <w:t>and hepatitis B serology, as clinically indicated</w:t>
      </w:r>
      <w:r w:rsidR="00C27812">
        <w:t xml:space="preserve"> </w:t>
      </w:r>
      <w:r w:rsidR="00872892">
        <w:fldChar w:fldCharType="begin">
          <w:fldData xml:space="preserve">PEVuZE5vdGU+PENpdGU+PEF1dGhvcj5MdWJlbDwvQXV0aG9yPjxZZWFyPjIwMjI8L1llYXI+PFJl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</w:fldData>
        </w:fldChar>
      </w:r>
      <w:r w:rsidR="00872892">
        <w:instrText xml:space="preserve"> ADDIN EN.CITE </w:instrText>
      </w:r>
      <w:r w:rsidR="00872892">
        <w:fldChar w:fldCharType="begin">
          <w:fldData xml:space="preserve">PEVuZE5vdGU+PENpdGU+PEF1dGhvcj5MdWJlbDwvQXV0aG9yPjxZZWFyPjIwMjI8L1llYXI+PFJl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</w:fldData>
        </w:fldChar>
      </w:r>
      <w:r w:rsidR="00872892">
        <w:instrText xml:space="preserve"> ADDIN EN.CITE.DATA </w:instrText>
      </w:r>
      <w:r w:rsidR="00872892">
        <w:fldChar w:fldCharType="end"/>
      </w:r>
      <w:r w:rsidR="00872892">
        <w:fldChar w:fldCharType="separate"/>
      </w:r>
      <w:r w:rsidR="00872892">
        <w:rPr>
          <w:noProof/>
        </w:rPr>
        <w:t>(Lubel et al., 2022)</w:t>
      </w:r>
      <w:r w:rsidR="00872892">
        <w:fldChar w:fldCharType="end"/>
      </w:r>
      <w:r w:rsidR="00813F88">
        <w:t xml:space="preserve">. </w:t>
      </w:r>
      <w:r w:rsidR="00495E3E" w:rsidRPr="00495E3E">
        <w:t>The frequency of monitoring is individualised according to disease activity, treatment status and risk of disease progression</w:t>
      </w:r>
      <w:r w:rsidR="00585A6D">
        <w:t xml:space="preserve"> (</w:t>
      </w:r>
      <w:r w:rsidR="00585A6D">
        <w:fldChar w:fldCharType="begin"/>
      </w:r>
      <w:r w:rsidR="00585A6D">
        <w:instrText xml:space="preserve"> REF _Ref235113828 \h </w:instrText>
      </w:r>
      <w:r w:rsidR="00585A6D">
        <w:fldChar w:fldCharType="separate"/>
      </w:r>
      <w:r w:rsidR="00A446A4">
        <w:t xml:space="preserve">Table </w:t>
      </w:r>
      <w:r w:rsidR="00A446A4">
        <w:rPr>
          <w:noProof/>
        </w:rPr>
        <w:t>6</w:t>
      </w:r>
      <w:r w:rsidR="00585A6D">
        <w:fldChar w:fldCharType="end"/>
      </w:r>
      <w:r w:rsidR="00585A6D">
        <w:t>)</w:t>
      </w:r>
      <w:r w:rsidR="00495E3E" w:rsidRPr="00495E3E">
        <w:t xml:space="preserve">. Under the current MBS, HBV DNA testing for patients receiving antiviral therapy is reimbursed up to four times within a 12-month period (MBS item 69483). </w:t>
      </w:r>
      <w:r w:rsidR="00813F88">
        <w:t>Monitoring is generally undertaken within a specialist-led model of care and is informed by disease activity, treatment status and risk of progression.</w:t>
      </w:r>
    </w:p>
    <w:p w14:paraId="3FC0A3BA" w14:textId="034FE152" w:rsidR="00813F88" w:rsidRPr="00813F88" w:rsidRDefault="00C80489" w:rsidP="00813F88">
      <w:r>
        <w:lastRenderedPageBreak/>
        <w:t>Quantitative HBsAg (</w:t>
      </w:r>
      <w:r w:rsidR="00046891">
        <w:t>q</w:t>
      </w:r>
      <w:r w:rsidR="00313E97" w:rsidRPr="00313E97">
        <w:t>HBsAg</w:t>
      </w:r>
      <w:r>
        <w:t>)</w:t>
      </w:r>
      <w:r w:rsidR="00313E97" w:rsidRPr="00313E97">
        <w:t xml:space="preserve"> has not been incorporated into routine treatment algorithms for </w:t>
      </w:r>
      <w:r w:rsidR="00313E97">
        <w:t>NA</w:t>
      </w:r>
      <w:r w:rsidR="00313E97" w:rsidRPr="00313E97">
        <w:t xml:space="preserve"> therapy because HBV DNA is a more direct measure of active viral replication and is the preferred biomarker for determining treatment eligibility and monitoring virological response. In contrast, qHBsAg provides complementary information regarding disease phase, prognosis and the likelihood of achieving HBsAg loss, making it increasingly relevant for finite</w:t>
      </w:r>
      <w:r w:rsidR="00495E3E">
        <w:t xml:space="preserve"> </w:t>
      </w:r>
      <w:r w:rsidR="00313E97" w:rsidRPr="00313E97">
        <w:t xml:space="preserve">treatment directed </w:t>
      </w:r>
      <w:r w:rsidR="00495E3E">
        <w:t>at achieving functional cure</w:t>
      </w:r>
      <w:r w:rsidR="00313E97">
        <w:t xml:space="preserve"> </w:t>
      </w:r>
      <w:r w:rsidR="00EF5AD8">
        <w:fldChar w:fldCharType="begin"/>
      </w:r>
      <w:r w:rsidR="00EF5AD8">
        <w:instrText xml:space="preserve"> ADDIN EN.CITE &lt;EndNote&gt;&lt;Cite&gt;&lt;Author&gt;Cornberg&lt;/Author&gt;&lt;Year&gt;2025&lt;/Year&gt;&lt;RecNum&gt;4&lt;/RecNum&gt;&lt;DisplayText&gt;(Cornberg et al., 2025)&lt;/DisplayText&gt;&lt;record&gt;&lt;rec-number&gt;4&lt;/rec-number&gt;&lt;foreign-keys&gt;&lt;key app="EN" db-id="zv5axz5eqtvwd2eve9npz227rdzp0s0r2r9s" timestamp="1783321169"&gt;4&lt;/key&gt;&lt;/foreign-keys&gt;&lt;ref-type name="Journal Article"&gt;17&lt;/ref-type&gt;&lt;contributors&gt;&lt;authors&gt;&lt;author&gt;Cornberg, Markus&lt;/author&gt;&lt;author&gt;Sandmann, Lisa&lt;/author&gt;&lt;author&gt;Jaroszewicz, Jerzy&lt;/author&gt;&lt;author&gt;Kennedy, Patrick&lt;/author&gt;&lt;author&gt;Lampertico, Pietro&lt;/author&gt;&lt;author&gt;Lemoine, Maud&lt;/author&gt;&lt;author&gt;Lens, Sabela&lt;/author&gt;&lt;author&gt;Testoni, Barbara&lt;/author&gt;&lt;author&gt;Lai-Hung Wong, Grace&lt;/author&gt;&lt;author&gt;Russo, Francesco Paolo&lt;/author&gt;&lt;/authors&gt;&lt;/contributors&gt;&lt;titles&gt;&lt;title&gt;EASL Clinical Practice Guidelines on the management of hepatitis B virus infection&lt;/title&gt;&lt;secondary-title&gt;Journal of Hepatology&lt;/secondary-title&gt;&lt;/titles&gt;&lt;periodical&gt;&lt;full-title&gt;Journal of Hepatology&lt;/full-title&gt;&lt;/periodical&gt;&lt;pages&gt;502-583&lt;/pages&gt;&lt;volume&gt;83&lt;/volume&gt;&lt;number&gt;2&lt;/number&gt;&lt;dates&gt;&lt;year&gt;2025&lt;/year&gt;&lt;/dates&gt;&lt;publisher&gt;Elsevier&lt;/publisher&gt;&lt;isbn&gt;0168-8278&lt;/isbn&gt;&lt;urls&gt;&lt;related-urls&gt;&lt;url&gt;https://doi.org/10.1016/j.jhep.2025.03.018&lt;/url&gt;&lt;/related-urls&gt;&lt;/urls&gt;&lt;electronic-resource-num&gt;10.1016/j.jhep.2025.03.018&lt;/electronic-resource-num&gt;&lt;access-date&gt;2026/07/05&lt;/access-date&gt;&lt;/record&gt;&lt;/Cite&gt;&lt;/EndNote&gt;</w:instrText>
      </w:r>
      <w:r w:rsidR="00EF5AD8">
        <w:fldChar w:fldCharType="separate"/>
      </w:r>
      <w:r w:rsidR="00EF5AD8">
        <w:rPr>
          <w:noProof/>
        </w:rPr>
        <w:t>(Cornberg et al., 2025)</w:t>
      </w:r>
      <w:r w:rsidR="00EF5AD8">
        <w:fldChar w:fldCharType="end"/>
      </w:r>
      <w:r w:rsidR="00A365D2" w:rsidRPr="00A365D2">
        <w:t>.</w:t>
      </w:r>
      <w:r w:rsidR="00495E3E">
        <w:t xml:space="preserve"> </w:t>
      </w:r>
      <w:r w:rsidR="00495E3E" w:rsidRPr="00495E3E">
        <w:t>The proposed use of bepirovirsen therefore represents a departure from current practice, as treatment eligibility would depend on predefined qHBsAg and HBV DNA thresholds, introducing a biomarker-guided treatment strategy that is not currently used for approved antiviral therapies</w:t>
      </w:r>
      <w:r w:rsidR="00813F88">
        <w:t>.</w:t>
      </w:r>
    </w:p>
    <w:p w14:paraId="7A58D96D" w14:textId="32CA737E" w:rsidR="00B071F2" w:rsidRPr="00B071F2" w:rsidRDefault="00B071F2" w:rsidP="00524DA3">
      <w:pPr>
        <w:pStyle w:val="Heading4"/>
      </w:pPr>
      <w:r>
        <w:t>PICO 2</w:t>
      </w:r>
    </w:p>
    <w:p w14:paraId="46BFB1D7" w14:textId="651BA589" w:rsidR="00737784" w:rsidRDefault="00495E3E" w:rsidP="00737784">
      <w:r>
        <w:t>Currently,</w:t>
      </w:r>
      <w:r w:rsidRPr="00495E3E">
        <w:t xml:space="preserve"> no cure-directed therapies are approved for </w:t>
      </w:r>
      <w:r>
        <w:t>CHB</w:t>
      </w:r>
      <w:r w:rsidRPr="00495E3E">
        <w:t xml:space="preserve">, </w:t>
      </w:r>
      <w:r>
        <w:t>and consequently</w:t>
      </w:r>
      <w:r w:rsidR="00910558">
        <w:t>,</w:t>
      </w:r>
      <w:r>
        <w:t xml:space="preserve"> </w:t>
      </w:r>
      <w:r w:rsidRPr="00495E3E">
        <w:t>there is no established monitoring pathway for patients achieving functional cure.</w:t>
      </w:r>
      <w:r>
        <w:t xml:space="preserve"> </w:t>
      </w:r>
      <w:r w:rsidR="008F0C4A">
        <w:t xml:space="preserve">The </w:t>
      </w:r>
      <w:r>
        <w:t xml:space="preserve">closest </w:t>
      </w:r>
      <w:r w:rsidR="00265874">
        <w:t xml:space="preserve">available </w:t>
      </w:r>
      <w:r w:rsidR="008F0C4A">
        <w:t xml:space="preserve">comparator </w:t>
      </w:r>
      <w:r w:rsidR="00265874">
        <w:t>evidence relates to</w:t>
      </w:r>
      <w:r w:rsidR="008F0C4A">
        <w:t xml:space="preserve"> monitoring following</w:t>
      </w:r>
      <w:r>
        <w:t xml:space="preserve"> </w:t>
      </w:r>
      <w:r w:rsidR="000D4639">
        <w:t xml:space="preserve">HBsAg loss after </w:t>
      </w:r>
      <w:r w:rsidR="00563D2F">
        <w:t xml:space="preserve">treatment </w:t>
      </w:r>
      <w:r w:rsidR="008F0C4A">
        <w:t>cessation</w:t>
      </w:r>
      <w:r w:rsidR="00563D2F">
        <w:t>, which overlaps substantially with, but is not necessarily identical to, the functionally cured population proposed in PICO set 2</w:t>
      </w:r>
      <w:r w:rsidR="00737784">
        <w:t xml:space="preserve">. </w:t>
      </w:r>
      <w:r w:rsidR="00563D2F">
        <w:t xml:space="preserve">The closest comparator is therefore monitoring following NA cessation. </w:t>
      </w:r>
      <w:r w:rsidR="00737784">
        <w:t xml:space="preserve">Among major </w:t>
      </w:r>
      <w:r w:rsidR="00910558">
        <w:t xml:space="preserve">clinical </w:t>
      </w:r>
      <w:r w:rsidR="00737784">
        <w:t xml:space="preserve">guidelines, </w:t>
      </w:r>
      <w:r w:rsidR="00585A6D">
        <w:t>t</w:t>
      </w:r>
      <w:r w:rsidR="00737784">
        <w:t xml:space="preserve">he </w:t>
      </w:r>
      <w:r w:rsidR="00910558">
        <w:t xml:space="preserve">2025 </w:t>
      </w:r>
      <w:r w:rsidR="00737784">
        <w:t xml:space="preserve">EASL </w:t>
      </w:r>
      <w:r w:rsidR="00910558">
        <w:t>Clinical Practice G</w:t>
      </w:r>
      <w:r w:rsidR="00737784">
        <w:t xml:space="preserve">uideline </w:t>
      </w:r>
      <w:r w:rsidR="000324F2">
        <w:t xml:space="preserve"> </w:t>
      </w:r>
      <w:r w:rsidR="00737784">
        <w:t xml:space="preserve">provide the most detailed recommendations, suggesting </w:t>
      </w:r>
      <w:r w:rsidR="008F0C4A">
        <w:t xml:space="preserve"> </w:t>
      </w:r>
      <w:r w:rsidR="00737784">
        <w:t xml:space="preserve">monitoring of </w:t>
      </w:r>
      <w:r w:rsidR="00737784" w:rsidRPr="00737784">
        <w:t>HBV DNA and ALT every three months during the first year following NA cessation and every six to twelve months thereafter</w:t>
      </w:r>
      <w:r w:rsidR="00573346">
        <w:t xml:space="preserve"> </w:t>
      </w:r>
      <w:r w:rsidR="00910558">
        <w:fldChar w:fldCharType="begin"/>
      </w:r>
      <w:r w:rsidR="00910558">
        <w:instrText xml:space="preserve"> ADDIN EN.CITE &lt;EndNote&gt;&lt;Cite&gt;&lt;Author&gt;Cornberg&lt;/Author&gt;&lt;Year&gt;2025&lt;/Year&gt;&lt;RecNum&gt;4&lt;/RecNum&gt;&lt;DisplayText&gt;(Cornberg et al., 2025)&lt;/DisplayText&gt;&lt;record&gt;&lt;rec-number&gt;4&lt;/rec-number&gt;&lt;foreign-keys&gt;&lt;key app="EN" db-id="zv5axz5eqtvwd2eve9npz227rdzp0s0r2r9s" timestamp="1783321169"&gt;4&lt;/key&gt;&lt;/foreign-keys&gt;&lt;ref-type name="Journal Article"&gt;17&lt;/ref-type&gt;&lt;contributors&gt;&lt;authors&gt;&lt;author&gt;Cornberg, Markus&lt;/author&gt;&lt;author&gt;Sandmann, Lisa&lt;/author&gt;&lt;author&gt;Jaroszewicz, Jerzy&lt;/author&gt;&lt;author&gt;Kennedy, Patrick&lt;/author&gt;&lt;author&gt;Lampertico, Pietro&lt;/author&gt;&lt;author&gt;Lemoine, Maud&lt;/author&gt;&lt;author&gt;Lens, Sabela&lt;/author&gt;&lt;author&gt;Testoni, Barbara&lt;/author&gt;&lt;author&gt;Lai-Hung Wong, Grace&lt;/author&gt;&lt;author&gt;Russo, Francesco Paolo&lt;/author&gt;&lt;/authors&gt;&lt;/contributors&gt;&lt;titles&gt;&lt;title&gt;EASL Clinical Practice Guidelines on the management of hepatitis B virus infection&lt;/title&gt;&lt;secondary-title&gt;Journal of Hepatology&lt;/secondary-title&gt;&lt;/titles&gt;&lt;periodical&gt;&lt;full-title&gt;Journal of Hepatology&lt;/full-title&gt;&lt;/periodical&gt;&lt;pages&gt;502-583&lt;/pages&gt;&lt;volume&gt;83&lt;/volume&gt;&lt;number&gt;2&lt;/number&gt;&lt;dates&gt;&lt;year&gt;2025&lt;/year&gt;&lt;/dates&gt;&lt;publisher&gt;Elsevier&lt;/publisher&gt;&lt;isbn&gt;0168-8278&lt;/isbn&gt;&lt;urls&gt;&lt;related-urls&gt;&lt;url&gt;https://doi.org/10.1016/j.jhep.2025.03.018&lt;/url&gt;&lt;/related-urls&gt;&lt;/urls&gt;&lt;electronic-resource-num&gt;10.1016/j.jhep.2025.03.018&lt;/electronic-resource-num&gt;&lt;access-date&gt;2026/07/05&lt;/access-date&gt;&lt;/record&gt;&lt;/Cite&gt;&lt;/EndNote&gt;</w:instrText>
      </w:r>
      <w:r w:rsidR="00910558">
        <w:fldChar w:fldCharType="separate"/>
      </w:r>
      <w:r w:rsidR="00910558">
        <w:rPr>
          <w:noProof/>
        </w:rPr>
        <w:t>(Cornberg et al., 2025)</w:t>
      </w:r>
      <w:r w:rsidR="00910558">
        <w:fldChar w:fldCharType="end"/>
      </w:r>
      <w:r w:rsidR="00737784">
        <w:t xml:space="preserve">. </w:t>
      </w:r>
    </w:p>
    <w:p w14:paraId="6B1EDD9B" w14:textId="4AA21F25" w:rsidR="00585A6D" w:rsidRDefault="00585A6D" w:rsidP="00585A6D">
      <w:pPr>
        <w:pStyle w:val="Caption"/>
      </w:pPr>
      <w:bookmarkStart w:id="6" w:name="_Ref235113828"/>
      <w:r>
        <w:t xml:space="preserve">Table </w:t>
      </w:r>
      <w:r>
        <w:fldChar w:fldCharType="begin"/>
      </w:r>
      <w:r>
        <w:instrText xml:space="preserve"> SEQ Table \* ARABIC </w:instrText>
      </w:r>
      <w:r>
        <w:fldChar w:fldCharType="separate"/>
      </w:r>
      <w:r w:rsidR="00A446A4">
        <w:rPr>
          <w:noProof/>
        </w:rPr>
        <w:t>6</w:t>
      </w:r>
      <w:r>
        <w:fldChar w:fldCharType="end"/>
      </w:r>
      <w:bookmarkEnd w:id="6"/>
      <w:r>
        <w:t xml:space="preserve"> T</w:t>
      </w:r>
      <w:r w:rsidRPr="007A0AE4">
        <w:t xml:space="preserve">esting </w:t>
      </w:r>
      <w:r>
        <w:t>recommendations in current CHB</w:t>
      </w:r>
      <w:r w:rsidRPr="007A0AE4">
        <w:t xml:space="preserve"> guidelines </w:t>
      </w:r>
    </w:p>
    <w:tbl>
      <w:tblPr>
        <w:tblStyle w:val="TableGrid"/>
        <w:tblW w:w="5000" w:type="pct"/>
        <w:tblInd w:w="0" w:type="dxa"/>
        <w:tblLook w:val="04A0" w:firstRow="1" w:lastRow="0" w:firstColumn="1" w:lastColumn="0" w:noHBand="0" w:noVBand="1"/>
        <w:tblCaption w:val="Table 6 Testing recommendations in current CHB guidelines "/>
        <w:tblDescription w:val="Table listing Hepatits B marker testing recommendations in guidelines, when patinets wiht CHB are treated with NA therapy or post HBsAg loss."/>
      </w:tblPr>
      <w:tblGrid>
        <w:gridCol w:w="1838"/>
        <w:gridCol w:w="2693"/>
        <w:gridCol w:w="2552"/>
        <w:gridCol w:w="2488"/>
      </w:tblGrid>
      <w:tr w:rsidR="00585A6D" w:rsidRPr="00D559A7" w14:paraId="04AC043C" w14:textId="77777777" w:rsidTr="00A446A4">
        <w:trPr>
          <w:tblHeader/>
        </w:trPr>
        <w:tc>
          <w:tcPr>
            <w:tcW w:w="960" w:type="pct"/>
            <w:tcBorders>
              <w:bottom w:val="single" w:sz="4" w:space="0" w:color="auto"/>
            </w:tcBorders>
          </w:tcPr>
          <w:p w14:paraId="1A286EFC" w14:textId="77777777" w:rsidR="00585A6D" w:rsidRPr="00A446A4" w:rsidRDefault="00585A6D">
            <w:pPr>
              <w:pStyle w:val="Tabletext"/>
              <w:rPr>
                <w:b/>
                <w:bCs/>
              </w:rPr>
            </w:pPr>
            <w:r w:rsidRPr="00A446A4">
              <w:rPr>
                <w:b/>
                <w:bCs/>
              </w:rPr>
              <w:t>Marker</w:t>
            </w:r>
          </w:p>
        </w:tc>
        <w:tc>
          <w:tcPr>
            <w:tcW w:w="1407" w:type="pct"/>
            <w:tcBorders>
              <w:bottom w:val="single" w:sz="4" w:space="0" w:color="auto"/>
            </w:tcBorders>
          </w:tcPr>
          <w:p w14:paraId="1C366DC6" w14:textId="76E087EF" w:rsidR="00585A6D" w:rsidRPr="00A446A4" w:rsidRDefault="00585A6D">
            <w:pPr>
              <w:pStyle w:val="Tabletext"/>
              <w:rPr>
                <w:b/>
                <w:bCs/>
              </w:rPr>
            </w:pPr>
            <w:r w:rsidRPr="00A446A4">
              <w:rPr>
                <w:b/>
                <w:bCs/>
              </w:rPr>
              <w:t>GESA 2022</w:t>
            </w:r>
            <w:r w:rsidR="000428D0">
              <w:rPr>
                <w:b/>
                <w:bCs/>
              </w:rPr>
              <w:t xml:space="preserve"> </w:t>
            </w:r>
            <w:r w:rsidR="000428D0">
              <w:rPr>
                <w:b/>
                <w:bCs/>
              </w:rPr>
              <w:fldChar w:fldCharType="begin">
                <w:fldData xml:space="preserve">PEVuZE5vdGU+PENpdGU+PEF1dGhvcj5MdWJlbDwvQXV0aG9yPjxZZWFyPjIwMjI8L1llYXI+PFJl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</w:fldData>
              </w:fldChar>
            </w:r>
            <w:r w:rsidR="000428D0">
              <w:rPr>
                <w:b/>
                <w:bCs/>
              </w:rPr>
              <w:instrText xml:space="preserve"> ADDIN EN.CITE </w:instrText>
            </w:r>
            <w:r w:rsidR="000428D0">
              <w:rPr>
                <w:b/>
                <w:bCs/>
              </w:rPr>
              <w:fldChar w:fldCharType="begin">
                <w:fldData xml:space="preserve">PEVuZE5vdGU+PENpdGU+PEF1dGhvcj5MdWJlbDwvQXV0aG9yPjxZZWFyPjIwMjI8L1llYXI+PFJl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</w:fldData>
              </w:fldChar>
            </w:r>
            <w:r w:rsidR="000428D0">
              <w:rPr>
                <w:b/>
                <w:bCs/>
              </w:rPr>
              <w:instrText xml:space="preserve"> ADDIN EN.CITE.DATA </w:instrText>
            </w:r>
            <w:r w:rsidR="000428D0">
              <w:rPr>
                <w:b/>
                <w:bCs/>
              </w:rPr>
            </w:r>
            <w:r w:rsidR="000428D0">
              <w:rPr>
                <w:b/>
                <w:bCs/>
              </w:rPr>
              <w:fldChar w:fldCharType="end"/>
            </w:r>
            <w:r w:rsidR="000428D0">
              <w:rPr>
                <w:b/>
                <w:bCs/>
              </w:rPr>
            </w:r>
            <w:r w:rsidR="000428D0">
              <w:rPr>
                <w:b/>
                <w:bCs/>
              </w:rPr>
              <w:fldChar w:fldCharType="separate"/>
            </w:r>
            <w:r w:rsidR="000428D0">
              <w:rPr>
                <w:b/>
                <w:bCs/>
                <w:noProof/>
              </w:rPr>
              <w:t>(Lubel et al., 2022)</w:t>
            </w:r>
            <w:r w:rsidR="000428D0">
              <w:rPr>
                <w:b/>
                <w:bCs/>
              </w:rPr>
              <w:fldChar w:fldCharType="end"/>
            </w:r>
          </w:p>
        </w:tc>
        <w:tc>
          <w:tcPr>
            <w:tcW w:w="1333" w:type="pct"/>
            <w:tcBorders>
              <w:bottom w:val="single" w:sz="4" w:space="0" w:color="auto"/>
            </w:tcBorders>
          </w:tcPr>
          <w:p w14:paraId="6F1E0F8E" w14:textId="5FBD2FE2" w:rsidR="00585A6D" w:rsidRPr="00A446A4" w:rsidRDefault="00585A6D">
            <w:pPr>
              <w:pStyle w:val="Tabletext"/>
              <w:rPr>
                <w:b/>
                <w:bCs/>
              </w:rPr>
            </w:pPr>
            <w:r w:rsidRPr="00A446A4">
              <w:rPr>
                <w:b/>
                <w:bCs/>
              </w:rPr>
              <w:t>EASL 2025</w:t>
            </w:r>
            <w:r w:rsidR="000324F2">
              <w:rPr>
                <w:b/>
                <w:bCs/>
              </w:rPr>
              <w:t xml:space="preserve"> </w:t>
            </w:r>
            <w:r w:rsidR="000324F2">
              <w:rPr>
                <w:b/>
                <w:bCs/>
              </w:rPr>
              <w:fldChar w:fldCharType="begin"/>
            </w:r>
            <w:r w:rsidR="000324F2">
              <w:rPr>
                <w:b/>
                <w:bCs/>
              </w:rPr>
              <w:instrText xml:space="preserve"> ADDIN EN.CITE &lt;EndNote&gt;&lt;Cite&gt;&lt;Author&gt;Cornberg&lt;/Author&gt;&lt;Year&gt;2025&lt;/Year&gt;&lt;RecNum&gt;4&lt;/RecNum&gt;&lt;DisplayText&gt;(Cornberg et al., 2025)&lt;/DisplayText&gt;&lt;record&gt;&lt;rec-number&gt;4&lt;/rec-number&gt;&lt;foreign-keys&gt;&lt;key app="EN" db-id="zv5axz5eqtvwd2eve9npz227rdzp0s0r2r9s" timestamp="1783321169"&gt;4&lt;/key&gt;&lt;/foreign-keys&gt;&lt;ref-type name="Journal Article"&gt;17&lt;/ref-type&gt;&lt;contributors&gt;&lt;authors&gt;&lt;author&gt;Cornberg, Markus&lt;/author&gt;&lt;author&gt;Sandmann, Lisa&lt;/author&gt;&lt;author&gt;Jaroszewicz, Jerzy&lt;/author&gt;&lt;author&gt;Kennedy, Patrick&lt;/author&gt;&lt;author&gt;Lampertico, Pietro&lt;/author&gt;&lt;author&gt;Lemoine, Maud&lt;/author&gt;&lt;author&gt;Lens, Sabela&lt;/author&gt;&lt;author&gt;Testoni, Barbara&lt;/author&gt;&lt;author&gt;Lai-Hung Wong, Grace&lt;/author&gt;&lt;author&gt;Russo, Francesco Paolo&lt;/author&gt;&lt;/authors&gt;&lt;/contributors&gt;&lt;titles&gt;&lt;title&gt;EASL Clinical Practice Guidelines on the management of hepatitis B virus infection&lt;/title&gt;&lt;secondary-title&gt;Journal of Hepatology&lt;/secondary-title&gt;&lt;/titles&gt;&lt;periodical&gt;&lt;full-title&gt;Journal of Hepatology&lt;/full-title&gt;&lt;/periodical&gt;&lt;pages&gt;502-583&lt;/pages&gt;&lt;volume&gt;83&lt;/volume&gt;&lt;number&gt;2&lt;/number&gt;&lt;dates&gt;&lt;year&gt;2025&lt;/year&gt;&lt;/dates&gt;&lt;publisher&gt;Elsevier&lt;/publisher&gt;&lt;isbn&gt;0168-8278&lt;/isbn&gt;&lt;urls&gt;&lt;related-urls&gt;&lt;url&gt;https://doi.org/10.1016/j.jhep.2025.03.018&lt;/url&gt;&lt;/related-urls&gt;&lt;/urls&gt;&lt;electronic-resource-num&gt;10.1016/j.jhep.2025.03.018&lt;/electronic-resource-num&gt;&lt;access-date&gt;2026/07/05&lt;/access-date&gt;&lt;/record&gt;&lt;/Cite&gt;&lt;/EndNote&gt;</w:instrText>
            </w:r>
            <w:r w:rsidR="000324F2">
              <w:rPr>
                <w:b/>
                <w:bCs/>
              </w:rPr>
              <w:fldChar w:fldCharType="separate"/>
            </w:r>
            <w:r w:rsidR="000324F2">
              <w:rPr>
                <w:b/>
                <w:bCs/>
                <w:noProof/>
              </w:rPr>
              <w:t>(Cornberg et al., 2025)</w:t>
            </w:r>
            <w:r w:rsidR="000324F2">
              <w:rPr>
                <w:b/>
                <w:bCs/>
              </w:rPr>
              <w:fldChar w:fldCharType="end"/>
            </w:r>
          </w:p>
        </w:tc>
        <w:tc>
          <w:tcPr>
            <w:tcW w:w="1300" w:type="pct"/>
            <w:tcBorders>
              <w:bottom w:val="single" w:sz="4" w:space="0" w:color="auto"/>
            </w:tcBorders>
          </w:tcPr>
          <w:p w14:paraId="6F47B77D" w14:textId="745D0189" w:rsidR="00585A6D" w:rsidRPr="00A446A4" w:rsidRDefault="00585A6D">
            <w:pPr>
              <w:pStyle w:val="Tabletext"/>
              <w:rPr>
                <w:b/>
                <w:bCs/>
              </w:rPr>
            </w:pPr>
            <w:r w:rsidRPr="00A446A4">
              <w:rPr>
                <w:b/>
                <w:bCs/>
              </w:rPr>
              <w:t>AASLD 2025</w:t>
            </w:r>
            <w:r w:rsidR="000324F2">
              <w:rPr>
                <w:b/>
                <w:bCs/>
              </w:rPr>
              <w:t xml:space="preserve"> </w:t>
            </w:r>
            <w:r w:rsidR="000324F2">
              <w:rPr>
                <w:b/>
                <w:bCs/>
              </w:rPr>
              <w:fldChar w:fldCharType="begin">
                <w:fldData xml:space="preserve">PEVuZE5vdGU+PENpdGU+PEF1dGhvcj5HaGFueTwvQXV0aG9yPjxZZWFyPjIwMjY8L1llYXI+PFJl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</w:fldData>
              </w:fldChar>
            </w:r>
            <w:r w:rsidR="000324F2">
              <w:rPr>
                <w:b/>
                <w:bCs/>
              </w:rPr>
              <w:instrText xml:space="preserve"> ADDIN EN.CITE </w:instrText>
            </w:r>
            <w:r w:rsidR="000324F2">
              <w:rPr>
                <w:b/>
                <w:bCs/>
              </w:rPr>
              <w:fldChar w:fldCharType="begin">
                <w:fldData xml:space="preserve">PEVuZE5vdGU+PENpdGU+PEF1dGhvcj5HaGFueTwvQXV0aG9yPjxZZWFyPjIwMjY8L1llYXI+PFJl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</w:fldData>
              </w:fldChar>
            </w:r>
            <w:r w:rsidR="000324F2">
              <w:rPr>
                <w:b/>
                <w:bCs/>
              </w:rPr>
              <w:instrText xml:space="preserve"> ADDIN EN.CITE.DATA </w:instrText>
            </w:r>
            <w:r w:rsidR="000324F2">
              <w:rPr>
                <w:b/>
                <w:bCs/>
              </w:rPr>
            </w:r>
            <w:r w:rsidR="000324F2">
              <w:rPr>
                <w:b/>
                <w:bCs/>
              </w:rPr>
              <w:fldChar w:fldCharType="end"/>
            </w:r>
            <w:r w:rsidR="000324F2">
              <w:rPr>
                <w:b/>
                <w:bCs/>
              </w:rPr>
            </w:r>
            <w:r w:rsidR="000324F2">
              <w:rPr>
                <w:b/>
                <w:bCs/>
              </w:rPr>
              <w:fldChar w:fldCharType="separate"/>
            </w:r>
            <w:r w:rsidR="000324F2">
              <w:rPr>
                <w:b/>
                <w:bCs/>
                <w:noProof/>
              </w:rPr>
              <w:t>(Ghany et al., 2026)</w:t>
            </w:r>
            <w:r w:rsidR="000324F2">
              <w:rPr>
                <w:b/>
                <w:bCs/>
              </w:rPr>
              <w:fldChar w:fldCharType="end"/>
            </w:r>
          </w:p>
        </w:tc>
      </w:tr>
      <w:tr w:rsidR="00585A6D" w:rsidRPr="00D559A7" w14:paraId="4C5C53F0" w14:textId="77777777" w:rsidTr="00A446A4">
        <w:tc>
          <w:tcPr>
            <w:tcW w:w="960" w:type="pct"/>
            <w:tcBorders>
              <w:right w:val="nil"/>
            </w:tcBorders>
          </w:tcPr>
          <w:p w14:paraId="6FEE6B91" w14:textId="6F118393" w:rsidR="00585A6D" w:rsidRPr="00A446A4" w:rsidRDefault="00585A6D">
            <w:pPr>
              <w:pStyle w:val="Tabletext"/>
              <w:rPr>
                <w:b/>
                <w:bCs/>
              </w:rPr>
            </w:pPr>
            <w:r w:rsidRPr="00A446A4">
              <w:rPr>
                <w:b/>
                <w:bCs/>
              </w:rPr>
              <w:t>NA therapy</w:t>
            </w:r>
          </w:p>
        </w:tc>
        <w:tc>
          <w:tcPr>
            <w:tcW w:w="1407" w:type="pct"/>
            <w:tcBorders>
              <w:left w:val="nil"/>
              <w:right w:val="nil"/>
            </w:tcBorders>
          </w:tcPr>
          <w:p w14:paraId="28A18919" w14:textId="77777777" w:rsidR="00585A6D" w:rsidRPr="00D559A7" w:rsidRDefault="00585A6D">
            <w:pPr>
              <w:pStyle w:val="Tabletext"/>
            </w:pPr>
          </w:p>
        </w:tc>
        <w:tc>
          <w:tcPr>
            <w:tcW w:w="1333" w:type="pct"/>
            <w:tcBorders>
              <w:left w:val="nil"/>
              <w:right w:val="nil"/>
            </w:tcBorders>
          </w:tcPr>
          <w:p w14:paraId="58153B74" w14:textId="77777777" w:rsidR="00585A6D" w:rsidRPr="00D559A7" w:rsidRDefault="00585A6D">
            <w:pPr>
              <w:pStyle w:val="Tabletext"/>
            </w:pPr>
          </w:p>
        </w:tc>
        <w:tc>
          <w:tcPr>
            <w:tcW w:w="1300" w:type="pct"/>
            <w:tcBorders>
              <w:left w:val="nil"/>
            </w:tcBorders>
          </w:tcPr>
          <w:p w14:paraId="4196B3E5" w14:textId="77777777" w:rsidR="00585A6D" w:rsidRPr="00D559A7" w:rsidRDefault="00585A6D">
            <w:pPr>
              <w:pStyle w:val="Tabletext"/>
            </w:pPr>
          </w:p>
        </w:tc>
      </w:tr>
      <w:tr w:rsidR="00585A6D" w:rsidRPr="00D559A7" w14:paraId="03E4F87F" w14:textId="77777777" w:rsidTr="00A446A4">
        <w:tc>
          <w:tcPr>
            <w:tcW w:w="960" w:type="pct"/>
          </w:tcPr>
          <w:p w14:paraId="459D0DB1" w14:textId="7B4882DC" w:rsidR="00585A6D" w:rsidRPr="00A446A4" w:rsidRDefault="000C4149">
            <w:pPr>
              <w:pStyle w:val="Tabletext"/>
              <w:rPr>
                <w:b/>
                <w:bCs/>
              </w:rPr>
            </w:pPr>
            <w:r w:rsidRPr="00A446A4">
              <w:rPr>
                <w:b/>
                <w:bCs/>
              </w:rPr>
              <w:t>ALT</w:t>
            </w:r>
          </w:p>
        </w:tc>
        <w:tc>
          <w:tcPr>
            <w:tcW w:w="1407" w:type="pct"/>
          </w:tcPr>
          <w:p w14:paraId="35232594" w14:textId="2A640A7C" w:rsidR="00585A6D" w:rsidRPr="00D559A7" w:rsidRDefault="000C4149">
            <w:pPr>
              <w:pStyle w:val="Tabletext"/>
            </w:pPr>
            <w:r>
              <w:t>Every 3 to 6 months (individualised)</w:t>
            </w:r>
          </w:p>
        </w:tc>
        <w:tc>
          <w:tcPr>
            <w:tcW w:w="1333" w:type="pct"/>
          </w:tcPr>
          <w:p w14:paraId="20657649" w14:textId="32D5D34D" w:rsidR="00585A6D" w:rsidRPr="00D559A7" w:rsidRDefault="000C4149">
            <w:pPr>
              <w:pStyle w:val="Tabletext"/>
            </w:pPr>
            <w:r w:rsidRPr="000C4149">
              <w:t>Every 3</w:t>
            </w:r>
            <w:r>
              <w:t xml:space="preserve"> to </w:t>
            </w:r>
            <w:r w:rsidRPr="000C4149">
              <w:t>6 months</w:t>
            </w:r>
          </w:p>
        </w:tc>
        <w:tc>
          <w:tcPr>
            <w:tcW w:w="1300" w:type="pct"/>
          </w:tcPr>
          <w:p w14:paraId="6F7787FD" w14:textId="2354B2E4" w:rsidR="00585A6D" w:rsidRPr="00D559A7" w:rsidRDefault="000C4149">
            <w:pPr>
              <w:pStyle w:val="Tabletext"/>
            </w:pPr>
            <w:r w:rsidRPr="000C4149">
              <w:t>Every 3</w:t>
            </w:r>
            <w:r>
              <w:t xml:space="preserve"> to </w:t>
            </w:r>
            <w:r w:rsidRPr="000C4149">
              <w:t>6 months</w:t>
            </w:r>
          </w:p>
        </w:tc>
      </w:tr>
      <w:tr w:rsidR="00585A6D" w:rsidRPr="00D559A7" w14:paraId="2298494E" w14:textId="77777777" w:rsidTr="00A446A4">
        <w:tc>
          <w:tcPr>
            <w:tcW w:w="960" w:type="pct"/>
          </w:tcPr>
          <w:p w14:paraId="3F545E86" w14:textId="514DC935" w:rsidR="00585A6D" w:rsidRPr="00A446A4" w:rsidRDefault="000C4149">
            <w:pPr>
              <w:pStyle w:val="Tabletext"/>
              <w:rPr>
                <w:b/>
                <w:bCs/>
              </w:rPr>
            </w:pPr>
            <w:r w:rsidRPr="00A446A4">
              <w:rPr>
                <w:b/>
                <w:bCs/>
              </w:rPr>
              <w:t>HBV DNA</w:t>
            </w:r>
          </w:p>
        </w:tc>
        <w:tc>
          <w:tcPr>
            <w:tcW w:w="1407" w:type="pct"/>
          </w:tcPr>
          <w:p w14:paraId="22BB0935" w14:textId="1ADC5E82" w:rsidR="00585A6D" w:rsidRPr="00D559A7" w:rsidRDefault="000C4149">
            <w:pPr>
              <w:pStyle w:val="Tabletext"/>
            </w:pPr>
            <w:r w:rsidRPr="000C4149">
              <w:t>Every 3</w:t>
            </w:r>
            <w:r>
              <w:t xml:space="preserve"> to </w:t>
            </w:r>
            <w:r w:rsidRPr="000C4149">
              <w:t>6 months</w:t>
            </w:r>
          </w:p>
        </w:tc>
        <w:tc>
          <w:tcPr>
            <w:tcW w:w="1333" w:type="pct"/>
          </w:tcPr>
          <w:p w14:paraId="7C5CF783" w14:textId="06522BA8" w:rsidR="00585A6D" w:rsidRPr="00D559A7" w:rsidRDefault="000C4149">
            <w:pPr>
              <w:pStyle w:val="Tabletext"/>
            </w:pPr>
            <w:r w:rsidRPr="000C4149">
              <w:t>Every 3</w:t>
            </w:r>
            <w:r>
              <w:t xml:space="preserve"> to </w:t>
            </w:r>
            <w:r w:rsidRPr="000C4149">
              <w:t>6 months</w:t>
            </w:r>
          </w:p>
        </w:tc>
        <w:tc>
          <w:tcPr>
            <w:tcW w:w="1300" w:type="pct"/>
          </w:tcPr>
          <w:p w14:paraId="159064D0" w14:textId="44F4C55D" w:rsidR="00585A6D" w:rsidRPr="00D559A7" w:rsidRDefault="000C4149">
            <w:pPr>
              <w:pStyle w:val="Tabletext"/>
            </w:pPr>
            <w:r w:rsidRPr="000C4149">
              <w:t>Every 3</w:t>
            </w:r>
            <w:r>
              <w:t xml:space="preserve"> to </w:t>
            </w:r>
            <w:r w:rsidRPr="000C4149">
              <w:t>6 months</w:t>
            </w:r>
          </w:p>
        </w:tc>
      </w:tr>
      <w:tr w:rsidR="000C4149" w:rsidRPr="00D559A7" w14:paraId="2C92DC35" w14:textId="77777777" w:rsidTr="00A446A4">
        <w:tc>
          <w:tcPr>
            <w:tcW w:w="960" w:type="pct"/>
            <w:tcBorders>
              <w:bottom w:val="single" w:sz="4" w:space="0" w:color="auto"/>
            </w:tcBorders>
          </w:tcPr>
          <w:p w14:paraId="3AE1F2CD" w14:textId="17FC42B7" w:rsidR="000C4149" w:rsidRPr="00A446A4" w:rsidRDefault="000C4149">
            <w:pPr>
              <w:pStyle w:val="Tabletext"/>
              <w:rPr>
                <w:b/>
                <w:bCs/>
              </w:rPr>
            </w:pPr>
            <w:r w:rsidRPr="00A446A4">
              <w:rPr>
                <w:b/>
                <w:bCs/>
              </w:rPr>
              <w:t>HBsAg</w:t>
            </w:r>
          </w:p>
        </w:tc>
        <w:tc>
          <w:tcPr>
            <w:tcW w:w="1407" w:type="pct"/>
            <w:tcBorders>
              <w:bottom w:val="single" w:sz="4" w:space="0" w:color="auto"/>
            </w:tcBorders>
          </w:tcPr>
          <w:p w14:paraId="092C7D70" w14:textId="10765464" w:rsidR="000C4149" w:rsidRPr="000C4149" w:rsidRDefault="000C4149">
            <w:pPr>
              <w:pStyle w:val="Tabletext"/>
            </w:pPr>
            <w:r w:rsidRPr="000C4149">
              <w:t>Not routinely recommended for monitoring; may be assessed to evaluate treatment response or HBsAg loss</w:t>
            </w:r>
          </w:p>
        </w:tc>
        <w:tc>
          <w:tcPr>
            <w:tcW w:w="1333" w:type="pct"/>
            <w:tcBorders>
              <w:bottom w:val="single" w:sz="4" w:space="0" w:color="auto"/>
            </w:tcBorders>
          </w:tcPr>
          <w:p w14:paraId="0AD4F8CC" w14:textId="1729FD45" w:rsidR="000C4149" w:rsidRPr="00D559A7" w:rsidRDefault="000C4149">
            <w:pPr>
              <w:pStyle w:val="Tabletext"/>
            </w:pPr>
            <w:r w:rsidRPr="000C4149">
              <w:t>qHBsAg recommended for disease characterisation and to guide management in selected settings</w:t>
            </w:r>
          </w:p>
        </w:tc>
        <w:tc>
          <w:tcPr>
            <w:tcW w:w="1300" w:type="pct"/>
            <w:tcBorders>
              <w:bottom w:val="single" w:sz="4" w:space="0" w:color="auto"/>
            </w:tcBorders>
          </w:tcPr>
          <w:p w14:paraId="27596C0C" w14:textId="1B5604D5" w:rsidR="000C4149" w:rsidRPr="00D559A7" w:rsidRDefault="000C4149">
            <w:pPr>
              <w:pStyle w:val="Tabletext"/>
            </w:pPr>
            <w:r w:rsidRPr="000C4149">
              <w:t>HBsAg loss assessed during therapy; no recommendation for routine serial qHBsAg monitoring</w:t>
            </w:r>
          </w:p>
        </w:tc>
      </w:tr>
      <w:tr w:rsidR="00053569" w:rsidRPr="00D559A7" w14:paraId="0FBA51A5" w14:textId="77777777" w:rsidTr="00053569">
        <w:tc>
          <w:tcPr>
            <w:tcW w:w="960" w:type="pct"/>
            <w:tcBorders>
              <w:bottom w:val="single" w:sz="4" w:space="0" w:color="auto"/>
            </w:tcBorders>
          </w:tcPr>
          <w:p w14:paraId="5DA2FBAC" w14:textId="5A9E5B16" w:rsidR="00053569" w:rsidRPr="00053569" w:rsidRDefault="00053569">
            <w:pPr>
              <w:pStyle w:val="Tabletext"/>
              <w:rPr>
                <w:b/>
                <w:bCs/>
              </w:rPr>
            </w:pPr>
            <w:r>
              <w:rPr>
                <w:b/>
                <w:bCs/>
              </w:rPr>
              <w:t>HBeAg*</w:t>
            </w:r>
          </w:p>
        </w:tc>
        <w:tc>
          <w:tcPr>
            <w:tcW w:w="1407" w:type="pct"/>
            <w:tcBorders>
              <w:bottom w:val="single" w:sz="4" w:space="0" w:color="auto"/>
            </w:tcBorders>
          </w:tcPr>
          <w:p w14:paraId="509DCFD9" w14:textId="5646513C" w:rsidR="00053569" w:rsidRPr="000C4149" w:rsidRDefault="00053569">
            <w:pPr>
              <w:pStyle w:val="Tabletext"/>
            </w:pPr>
            <w:r w:rsidRPr="000C4149">
              <w:t>Not addressed</w:t>
            </w:r>
          </w:p>
        </w:tc>
        <w:tc>
          <w:tcPr>
            <w:tcW w:w="1333" w:type="pct"/>
            <w:tcBorders>
              <w:bottom w:val="single" w:sz="4" w:space="0" w:color="auto"/>
            </w:tcBorders>
          </w:tcPr>
          <w:p w14:paraId="513B93EB" w14:textId="05ADBF8F" w:rsidR="00053569" w:rsidRPr="000C4149" w:rsidRDefault="00053569">
            <w:pPr>
              <w:pStyle w:val="Tabletext"/>
            </w:pPr>
            <w:r w:rsidRPr="000C4149">
              <w:t>Not addressed</w:t>
            </w:r>
          </w:p>
        </w:tc>
        <w:tc>
          <w:tcPr>
            <w:tcW w:w="1300" w:type="pct"/>
            <w:tcBorders>
              <w:bottom w:val="single" w:sz="4" w:space="0" w:color="auto"/>
            </w:tcBorders>
          </w:tcPr>
          <w:p w14:paraId="75A68146" w14:textId="3AFC2230" w:rsidR="00053569" w:rsidRPr="000C4149" w:rsidRDefault="00053569">
            <w:pPr>
              <w:pStyle w:val="Tabletext"/>
            </w:pPr>
            <w:r w:rsidRPr="000C4149">
              <w:t>Not addressed</w:t>
            </w:r>
          </w:p>
        </w:tc>
      </w:tr>
      <w:tr w:rsidR="00585A6D" w:rsidRPr="00D559A7" w14:paraId="09BC45B4" w14:textId="77777777" w:rsidTr="00A446A4">
        <w:tc>
          <w:tcPr>
            <w:tcW w:w="960" w:type="pct"/>
            <w:tcBorders>
              <w:right w:val="nil"/>
            </w:tcBorders>
          </w:tcPr>
          <w:p w14:paraId="11CD44F3" w14:textId="5A6C8C80" w:rsidR="00585A6D" w:rsidRPr="00A446A4" w:rsidRDefault="00585A6D">
            <w:pPr>
              <w:pStyle w:val="Tabletext"/>
              <w:rPr>
                <w:b/>
                <w:bCs/>
              </w:rPr>
            </w:pPr>
            <w:r w:rsidRPr="00A446A4">
              <w:rPr>
                <w:b/>
                <w:bCs/>
              </w:rPr>
              <w:t>Post HBsAg loss</w:t>
            </w:r>
          </w:p>
        </w:tc>
        <w:tc>
          <w:tcPr>
            <w:tcW w:w="1407" w:type="pct"/>
            <w:tcBorders>
              <w:left w:val="nil"/>
              <w:right w:val="nil"/>
            </w:tcBorders>
          </w:tcPr>
          <w:p w14:paraId="0ADAE863" w14:textId="77777777" w:rsidR="00585A6D" w:rsidRPr="00D559A7" w:rsidRDefault="00585A6D">
            <w:pPr>
              <w:pStyle w:val="Tabletext"/>
            </w:pPr>
          </w:p>
        </w:tc>
        <w:tc>
          <w:tcPr>
            <w:tcW w:w="1333" w:type="pct"/>
            <w:tcBorders>
              <w:left w:val="nil"/>
              <w:right w:val="nil"/>
            </w:tcBorders>
          </w:tcPr>
          <w:p w14:paraId="0B11C3BB" w14:textId="77777777" w:rsidR="00585A6D" w:rsidRPr="00D559A7" w:rsidRDefault="00585A6D">
            <w:pPr>
              <w:pStyle w:val="Tabletext"/>
            </w:pPr>
          </w:p>
        </w:tc>
        <w:tc>
          <w:tcPr>
            <w:tcW w:w="1300" w:type="pct"/>
            <w:tcBorders>
              <w:left w:val="nil"/>
            </w:tcBorders>
          </w:tcPr>
          <w:p w14:paraId="438EA564" w14:textId="77777777" w:rsidR="00585A6D" w:rsidRPr="00D559A7" w:rsidRDefault="00585A6D">
            <w:pPr>
              <w:pStyle w:val="Tabletext"/>
            </w:pPr>
          </w:p>
        </w:tc>
      </w:tr>
      <w:tr w:rsidR="000C4149" w:rsidRPr="00D559A7" w14:paraId="45A1C369" w14:textId="77777777" w:rsidTr="00A446A4">
        <w:tc>
          <w:tcPr>
            <w:tcW w:w="960" w:type="pct"/>
          </w:tcPr>
          <w:p w14:paraId="1CCAC0D9" w14:textId="00671955" w:rsidR="000C4149" w:rsidRPr="00A446A4" w:rsidRDefault="000C4149">
            <w:pPr>
              <w:pStyle w:val="Tabletext"/>
              <w:rPr>
                <w:b/>
                <w:bCs/>
              </w:rPr>
            </w:pPr>
            <w:r w:rsidRPr="00A446A4">
              <w:rPr>
                <w:b/>
                <w:bCs/>
              </w:rPr>
              <w:t>ALT</w:t>
            </w:r>
          </w:p>
        </w:tc>
        <w:tc>
          <w:tcPr>
            <w:tcW w:w="1407" w:type="pct"/>
          </w:tcPr>
          <w:p w14:paraId="2954F4B7" w14:textId="70A43DED" w:rsidR="000C4149" w:rsidRPr="00D559A7" w:rsidRDefault="000C4149">
            <w:pPr>
              <w:pStyle w:val="Tabletext"/>
            </w:pPr>
            <w:r w:rsidRPr="000C4149">
              <w:t>No specific schedule after HBsAg loss; ongoing clinical monitoring recommended</w:t>
            </w:r>
          </w:p>
        </w:tc>
        <w:tc>
          <w:tcPr>
            <w:tcW w:w="1333" w:type="pct"/>
          </w:tcPr>
          <w:p w14:paraId="3B3CC694" w14:textId="3784296E" w:rsidR="000C4149" w:rsidRPr="00D559A7" w:rsidRDefault="000C4149">
            <w:pPr>
              <w:pStyle w:val="Tabletext"/>
            </w:pPr>
            <w:r w:rsidRPr="000C4149">
              <w:t xml:space="preserve">Year 1: </w:t>
            </w:r>
            <w:r>
              <w:t>~ every</w:t>
            </w:r>
            <w:r w:rsidRPr="000C4149">
              <w:t xml:space="preserve"> 3 months; after every 6</w:t>
            </w:r>
            <w:r>
              <w:t xml:space="preserve"> to </w:t>
            </w:r>
            <w:r w:rsidRPr="000C4149">
              <w:t>12 months</w:t>
            </w:r>
          </w:p>
        </w:tc>
        <w:tc>
          <w:tcPr>
            <w:tcW w:w="1300" w:type="pct"/>
          </w:tcPr>
          <w:p w14:paraId="259AFB27" w14:textId="5397FE97" w:rsidR="000C4149" w:rsidRPr="00D559A7" w:rsidRDefault="000C4149">
            <w:pPr>
              <w:pStyle w:val="Tabletext"/>
            </w:pPr>
            <w:r w:rsidRPr="000C4149">
              <w:t xml:space="preserve">Not addressed </w:t>
            </w:r>
          </w:p>
        </w:tc>
      </w:tr>
      <w:tr w:rsidR="000C4149" w:rsidRPr="00D559A7" w14:paraId="459713F4" w14:textId="77777777" w:rsidTr="00A446A4">
        <w:tc>
          <w:tcPr>
            <w:tcW w:w="960" w:type="pct"/>
          </w:tcPr>
          <w:p w14:paraId="444E79AB" w14:textId="446C4945" w:rsidR="000C4149" w:rsidRPr="00A446A4" w:rsidRDefault="000C4149" w:rsidP="000C4149">
            <w:pPr>
              <w:pStyle w:val="Tabletext"/>
              <w:rPr>
                <w:b/>
                <w:bCs/>
              </w:rPr>
            </w:pPr>
            <w:r w:rsidRPr="00A446A4">
              <w:rPr>
                <w:b/>
                <w:bCs/>
              </w:rPr>
              <w:t>HBV DNA</w:t>
            </w:r>
          </w:p>
        </w:tc>
        <w:tc>
          <w:tcPr>
            <w:tcW w:w="1407" w:type="pct"/>
          </w:tcPr>
          <w:p w14:paraId="119E6825" w14:textId="0943BE4D" w:rsidR="000C4149" w:rsidRPr="00D559A7" w:rsidRDefault="000C4149" w:rsidP="000C4149">
            <w:pPr>
              <w:pStyle w:val="Tabletext"/>
            </w:pPr>
            <w:r w:rsidRPr="000C4149">
              <w:t>No specific schedule after HBsAg loss; following NA cessation, ongoing monitoring is recommended but frequency not specified</w:t>
            </w:r>
          </w:p>
        </w:tc>
        <w:tc>
          <w:tcPr>
            <w:tcW w:w="1333" w:type="pct"/>
          </w:tcPr>
          <w:p w14:paraId="050E10D0" w14:textId="06E84879" w:rsidR="000C4149" w:rsidRPr="00D559A7" w:rsidRDefault="000C4149" w:rsidP="000C4149">
            <w:pPr>
              <w:pStyle w:val="Tabletext"/>
            </w:pPr>
            <w:r w:rsidRPr="000C4149">
              <w:t xml:space="preserve">Year 1: </w:t>
            </w:r>
            <w:r>
              <w:t>~ every</w:t>
            </w:r>
            <w:r w:rsidRPr="000C4149">
              <w:t xml:space="preserve"> 3 months; after every 6</w:t>
            </w:r>
            <w:r>
              <w:t xml:space="preserve"> to </w:t>
            </w:r>
            <w:r w:rsidRPr="000C4149">
              <w:t>12 months</w:t>
            </w:r>
          </w:p>
        </w:tc>
        <w:tc>
          <w:tcPr>
            <w:tcW w:w="1300" w:type="pct"/>
          </w:tcPr>
          <w:p w14:paraId="07A7A5FA" w14:textId="415E63CB" w:rsidR="000C4149" w:rsidRPr="00D559A7" w:rsidRDefault="000C4149" w:rsidP="000C4149">
            <w:pPr>
              <w:pStyle w:val="Tabletext"/>
            </w:pPr>
            <w:r w:rsidRPr="00D559A7">
              <w:t>Not addressed</w:t>
            </w:r>
          </w:p>
        </w:tc>
      </w:tr>
      <w:tr w:rsidR="000C4149" w:rsidRPr="00D559A7" w14:paraId="6C289B95" w14:textId="77777777" w:rsidTr="00A446A4">
        <w:tc>
          <w:tcPr>
            <w:tcW w:w="960" w:type="pct"/>
          </w:tcPr>
          <w:p w14:paraId="562B3262" w14:textId="77777777" w:rsidR="000C4149" w:rsidRPr="00A446A4" w:rsidRDefault="000C4149" w:rsidP="000C4149">
            <w:pPr>
              <w:pStyle w:val="Tabletext"/>
              <w:rPr>
                <w:b/>
                <w:bCs/>
              </w:rPr>
            </w:pPr>
            <w:r w:rsidRPr="00A446A4">
              <w:rPr>
                <w:b/>
                <w:bCs/>
              </w:rPr>
              <w:t>HBsAg</w:t>
            </w:r>
          </w:p>
        </w:tc>
        <w:tc>
          <w:tcPr>
            <w:tcW w:w="1407" w:type="pct"/>
          </w:tcPr>
          <w:p w14:paraId="5238C978" w14:textId="0F46B993" w:rsidR="000C4149" w:rsidRPr="00D559A7" w:rsidRDefault="000C4149" w:rsidP="000C4149">
            <w:pPr>
              <w:pStyle w:val="Tabletext"/>
            </w:pPr>
            <w:r w:rsidRPr="00D559A7">
              <w:t xml:space="preserve">Not </w:t>
            </w:r>
            <w:r>
              <w:t>addressed</w:t>
            </w:r>
          </w:p>
        </w:tc>
        <w:tc>
          <w:tcPr>
            <w:tcW w:w="1333" w:type="pct"/>
          </w:tcPr>
          <w:p w14:paraId="6795E1B3" w14:textId="60A93576" w:rsidR="000C4149" w:rsidRPr="00D559A7" w:rsidRDefault="000C4149" w:rsidP="000C4149">
            <w:pPr>
              <w:pStyle w:val="Tabletext"/>
            </w:pPr>
            <w:r w:rsidRPr="00D559A7">
              <w:t>Not addressed</w:t>
            </w:r>
          </w:p>
        </w:tc>
        <w:tc>
          <w:tcPr>
            <w:tcW w:w="1300" w:type="pct"/>
          </w:tcPr>
          <w:p w14:paraId="7C007973" w14:textId="634A0F11" w:rsidR="000C4149" w:rsidRPr="00D559A7" w:rsidRDefault="000C4149" w:rsidP="000C4149">
            <w:pPr>
              <w:pStyle w:val="Tabletext"/>
            </w:pPr>
            <w:r w:rsidRPr="00D559A7">
              <w:t>Not addressed</w:t>
            </w:r>
          </w:p>
        </w:tc>
      </w:tr>
    </w:tbl>
    <w:p w14:paraId="06148825" w14:textId="4891A116" w:rsidR="00585A6D" w:rsidRDefault="00053569" w:rsidP="00053569">
      <w:pPr>
        <w:pStyle w:val="Tablenotes"/>
      </w:pPr>
      <w:r>
        <w:t xml:space="preserve">Abbreviations: ALT, alanine aminotransferase; </w:t>
      </w:r>
      <w:r w:rsidR="00432183">
        <w:t xml:space="preserve">CHB, chronic hepatitis B; </w:t>
      </w:r>
      <w:r>
        <w:t xml:space="preserve">HBeAg, hepatitis B e-antigen; </w:t>
      </w:r>
      <w:r w:rsidR="00432183">
        <w:t xml:space="preserve">HBsAg, hepatitis B surface antigen; </w:t>
      </w:r>
      <w:r>
        <w:t>HBV DNA, hepatitis B viral DNA;</w:t>
      </w:r>
      <w:r w:rsidR="00B14357">
        <w:t xml:space="preserve"> NA, </w:t>
      </w:r>
      <w:r w:rsidR="00B14357" w:rsidRPr="00B14357">
        <w:t>nucleos(t)ide analogue</w:t>
      </w:r>
      <w:r w:rsidR="00432183">
        <w:t xml:space="preserve">; </w:t>
      </w:r>
      <w:r w:rsidR="00432183" w:rsidRPr="000C4149">
        <w:t>qHBsAg</w:t>
      </w:r>
      <w:r w:rsidR="00432183">
        <w:t>, q</w:t>
      </w:r>
      <w:r w:rsidR="00432183" w:rsidRPr="00B14357">
        <w:t xml:space="preserve">uantitative </w:t>
      </w:r>
      <w:r w:rsidR="00432183">
        <w:t>h</w:t>
      </w:r>
      <w:r w:rsidR="00432183" w:rsidRPr="00432183">
        <w:t>epatitis B surface antigen</w:t>
      </w:r>
      <w:r w:rsidR="00432183">
        <w:t xml:space="preserve"> </w:t>
      </w:r>
    </w:p>
    <w:p w14:paraId="19158799" w14:textId="1552C1BF" w:rsidR="00053569" w:rsidRPr="00737784" w:rsidRDefault="00053569" w:rsidP="00A446A4">
      <w:pPr>
        <w:pStyle w:val="Tablenotes"/>
      </w:pPr>
      <w:r>
        <w:t>* If a patient is HBeAg-negative at baseline, routine repeat HBeAg testing is generally not recommended.</w:t>
      </w:r>
    </w:p>
    <w:p w14:paraId="549BA4F1" w14:textId="765A41C7" w:rsidR="360A6772" w:rsidRDefault="00383F95" w:rsidP="00187487">
      <w:r w:rsidRPr="00BA4E6A">
        <w:rPr>
          <w:i/>
          <w:iCs/>
        </w:rPr>
        <w:t xml:space="preserve">PASC considered </w:t>
      </w:r>
      <w:r w:rsidR="000D5710" w:rsidRPr="00BA4E6A">
        <w:rPr>
          <w:i/>
          <w:iCs/>
        </w:rPr>
        <w:t xml:space="preserve">that </w:t>
      </w:r>
      <w:r w:rsidRPr="00BA4E6A">
        <w:rPr>
          <w:i/>
          <w:iCs/>
        </w:rPr>
        <w:t>the proposed comparators were appropriate.</w:t>
      </w:r>
    </w:p>
    <w:p w14:paraId="15863BAA" w14:textId="76F3F5AA" w:rsidR="00677AE3" w:rsidRPr="00556DEB" w:rsidRDefault="00677AE3" w:rsidP="00713728">
      <w:pPr>
        <w:pStyle w:val="Heading3"/>
        <w:rPr>
          <w:bCs w:val="0"/>
        </w:rPr>
      </w:pPr>
      <w:r w:rsidRPr="00556DEB">
        <w:rPr>
          <w:bCs w:val="0"/>
        </w:rPr>
        <w:lastRenderedPageBreak/>
        <w:t xml:space="preserve">Reference standard </w:t>
      </w:r>
    </w:p>
    <w:p w14:paraId="4CA7FF41" w14:textId="4AA53EC5" w:rsidR="00387B05" w:rsidRPr="00387B05" w:rsidRDefault="00387B05" w:rsidP="00524DA3">
      <w:pPr>
        <w:pStyle w:val="Heading4"/>
      </w:pPr>
      <w:r>
        <w:t>PICO 1</w:t>
      </w:r>
    </w:p>
    <w:p w14:paraId="501FCA60" w14:textId="1BBF9408" w:rsidR="00663C23" w:rsidRDefault="00112045" w:rsidP="006C177F">
      <w:r>
        <w:t xml:space="preserve">The proposed testing algorithm is being used to identify eligibility for bepirovirsen, monitor </w:t>
      </w:r>
      <w:r w:rsidR="00552EAB">
        <w:t>response, determine suitability for NA cessation, and assess functional</w:t>
      </w:r>
      <w:r w:rsidR="00F7298C">
        <w:t xml:space="preserve"> cure. As such it is closer to a predictive/treatment-selection </w:t>
      </w:r>
      <w:r w:rsidR="00D72B7C">
        <w:t xml:space="preserve">algorithm than a conventional diagnostic test. Consistent with MSAC guidelines TG2.4, the </w:t>
      </w:r>
      <w:r w:rsidR="00B25F74">
        <w:t xml:space="preserve">algorithm is therefore more appropriately characterised as </w:t>
      </w:r>
      <w:r w:rsidR="00D72B7C">
        <w:t xml:space="preserve">a predictive </w:t>
      </w:r>
      <w:r w:rsidR="00B25F74">
        <w:t xml:space="preserve">or treatment selection strategy, than a conventional diagnostic test. </w:t>
      </w:r>
    </w:p>
    <w:p w14:paraId="12642196" w14:textId="0D5C9A30" w:rsidR="006C177F" w:rsidRDefault="004B7BAD" w:rsidP="00A446A4">
      <w:r>
        <w:t xml:space="preserve">As </w:t>
      </w:r>
      <w:r w:rsidR="006C177F">
        <w:t xml:space="preserve">no independent </w:t>
      </w:r>
      <w:r w:rsidR="00456CFD">
        <w:t xml:space="preserve">reference standard </w:t>
      </w:r>
      <w:r w:rsidR="006C177F">
        <w:t>exists separate from the biomarker</w:t>
      </w:r>
      <w:r w:rsidR="00456CFD">
        <w:t>-defined treatment pathway</w:t>
      </w:r>
      <w:r>
        <w:t xml:space="preserve"> t</w:t>
      </w:r>
      <w:r w:rsidR="006C177F">
        <w:t>he appropriate reference standard would</w:t>
      </w:r>
      <w:r w:rsidR="00E0265B">
        <w:t xml:space="preserve"> therefore</w:t>
      </w:r>
      <w:r w:rsidR="006C177F">
        <w:t xml:space="preserve"> be the pivotal B-Well 1/2 trials</w:t>
      </w:r>
      <w:r w:rsidR="00DF0813">
        <w:t xml:space="preserve"> criteria used to define bepirovirsen eligibility, response, NA-discontinuation eligibility, and functional cure, including </w:t>
      </w:r>
      <w:r w:rsidR="003F61B3">
        <w:t>the assay/platform and lower limit of quanti</w:t>
      </w:r>
      <w:r w:rsidR="002F6EC9">
        <w:t>fic</w:t>
      </w:r>
      <w:r w:rsidR="003F61B3">
        <w:t>ation assumptions used in those trials. In this context</w:t>
      </w:r>
      <w:r w:rsidR="006C177F">
        <w:t xml:space="preserve">, the reference standard </w:t>
      </w:r>
      <w:r w:rsidR="003F61B3">
        <w:t xml:space="preserve">for the whole algorithm is best understood as an outcome-based </w:t>
      </w:r>
      <w:r w:rsidR="006C177F">
        <w:t>clinical utility standard</w:t>
      </w:r>
      <w:r w:rsidR="00FB13C0">
        <w:t>,</w:t>
      </w:r>
      <w:r w:rsidR="006C177F">
        <w:t xml:space="preserve"> </w:t>
      </w:r>
      <w:r w:rsidR="003F61B3">
        <w:t xml:space="preserve">rather </w:t>
      </w:r>
      <w:r w:rsidR="00FB13C0">
        <w:t xml:space="preserve">than </w:t>
      </w:r>
      <w:r w:rsidR="00EF50B8">
        <w:t xml:space="preserve">an independent </w:t>
      </w:r>
      <w:r w:rsidR="00694657">
        <w:t>diagnostic gold standard</w:t>
      </w:r>
      <w:r w:rsidR="006C177F">
        <w:t xml:space="preserve">. </w:t>
      </w:r>
    </w:p>
    <w:p w14:paraId="235A1AD4" w14:textId="4B48D618" w:rsidR="00387B05" w:rsidRPr="00387B05" w:rsidRDefault="00387B05" w:rsidP="00524DA3">
      <w:pPr>
        <w:pStyle w:val="Heading4"/>
      </w:pPr>
      <w:r>
        <w:t>PICO 2</w:t>
      </w:r>
    </w:p>
    <w:p w14:paraId="088D23F8" w14:textId="28639567" w:rsidR="00B25F74" w:rsidRDefault="00602519" w:rsidP="006C177F">
      <w:r>
        <w:t>For patients who have achieved functional cure following bepirovirsen</w:t>
      </w:r>
      <w:r w:rsidR="00585A6D">
        <w:t xml:space="preserve"> treatment</w:t>
      </w:r>
      <w:r>
        <w:t>,</w:t>
      </w:r>
      <w:r w:rsidR="00053569">
        <w:t xml:space="preserve"> the condition of interest is</w:t>
      </w:r>
      <w:r w:rsidR="00B25F74" w:rsidRPr="00B25F74">
        <w:t xml:space="preserve"> maintenance of functional cure versus </w:t>
      </w:r>
      <w:r w:rsidR="00B25F74">
        <w:t>reactivation of CHB.</w:t>
      </w:r>
      <w:r>
        <w:t xml:space="preserve"> </w:t>
      </w:r>
      <w:r w:rsidR="004A523A">
        <w:t>N</w:t>
      </w:r>
      <w:r w:rsidR="00387B05">
        <w:t xml:space="preserve">o independent </w:t>
      </w:r>
      <w:r>
        <w:t xml:space="preserve">diagnostic gold standard appears to exist for maintenance or loss of functional cure separate from the biomarkers used to define the state. The </w:t>
      </w:r>
      <w:r w:rsidR="00B25F74">
        <w:t>most appropriate reference</w:t>
      </w:r>
      <w:r>
        <w:t xml:space="preserve"> standard is therefore a longitudinal clinical utility standard based on persistence or loss of functional cure over follow-up, </w:t>
      </w:r>
      <w:r w:rsidR="008E2C06">
        <w:t xml:space="preserve">assessed </w:t>
      </w:r>
      <w:r>
        <w:t>using HBsAg and HBV DNA results</w:t>
      </w:r>
      <w:r w:rsidR="008E2C06">
        <w:t xml:space="preserve"> and their consequences for clinical management</w:t>
      </w:r>
      <w:r>
        <w:t xml:space="preserve">. </w:t>
      </w:r>
    </w:p>
    <w:p w14:paraId="1AB5F649" w14:textId="0D52449F" w:rsidR="00383F95" w:rsidRPr="00BA4E6A" w:rsidRDefault="00383F95" w:rsidP="006C177F">
      <w:pPr>
        <w:rPr>
          <w:i/>
          <w:iCs/>
        </w:rPr>
      </w:pPr>
      <w:r w:rsidRPr="00BA4E6A">
        <w:rPr>
          <w:i/>
          <w:iCs/>
        </w:rPr>
        <w:t>PASC agreed that the clinical utility standard</w:t>
      </w:r>
      <w:r w:rsidRPr="00BA4E6A" w:rsidDel="000F1D68">
        <w:rPr>
          <w:i/>
          <w:iCs/>
        </w:rPr>
        <w:t xml:space="preserve"> </w:t>
      </w:r>
      <w:r w:rsidRPr="00BA4E6A">
        <w:rPr>
          <w:i/>
          <w:iCs/>
        </w:rPr>
        <w:t>was an appropriate reference standard for both PICO sets.</w:t>
      </w:r>
    </w:p>
    <w:p w14:paraId="3BC68763" w14:textId="39D9D260" w:rsidR="00CE1B13" w:rsidRPr="008F1532" w:rsidRDefault="00CE1B13" w:rsidP="00713728">
      <w:pPr>
        <w:pStyle w:val="Heading3"/>
      </w:pPr>
      <w:r>
        <w:t xml:space="preserve">Clinical utility standard </w:t>
      </w:r>
    </w:p>
    <w:p w14:paraId="4A93F8F0" w14:textId="197248B1" w:rsidR="00CE1B13" w:rsidRDefault="004F5AF0" w:rsidP="00524DA3">
      <w:pPr>
        <w:pStyle w:val="Heading4"/>
      </w:pPr>
      <w:r>
        <w:t>PICO 1</w:t>
      </w:r>
    </w:p>
    <w:p w14:paraId="4FB32270" w14:textId="2AB56F93" w:rsidR="00905474" w:rsidRDefault="00E20C80" w:rsidP="00905474">
      <w:r w:rsidRPr="00E20C80">
        <w:t>Per B-Well 1/2 trial protocol, Roche Elecsys HBsAg II Quant II immunoassay and HBV DNA LLOQ &lt;20 IU/mL. Eligibility threshold (HBsAg &gt;100</w:t>
      </w:r>
      <w:r>
        <w:t xml:space="preserve"> to </w:t>
      </w:r>
      <w:r w:rsidRPr="00E20C80">
        <w:t xml:space="preserve">3,000 IU/mL) derived from ROC analysis of B-Clear phase 2b data. Functional cure at week 72 confirmed in </w:t>
      </w:r>
      <w:r>
        <w:t xml:space="preserve">approximately </w:t>
      </w:r>
      <w:r w:rsidRPr="00E20C80">
        <w:t xml:space="preserve">20% of bepirovirsen-treated patients </w:t>
      </w:r>
      <w:r>
        <w:t>versus</w:t>
      </w:r>
      <w:r w:rsidRPr="00E20C80">
        <w:t xml:space="preserve"> 0% placebo </w:t>
      </w:r>
      <w:r w:rsidR="00872892">
        <w:fldChar w:fldCharType="begin">
          <w:fldData xml:space="preserve">PEVuZE5vdGU+PENpdGU+PEF1dGhvcj5Ib3U8L0F1dGhvcj48WWVhcj4yMDI2PC9ZZWFyPjxSZWNO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</w:fldData>
        </w:fldChar>
      </w:r>
      <w:r w:rsidR="00872892">
        <w:instrText xml:space="preserve"> ADDIN EN.CITE </w:instrText>
      </w:r>
      <w:r w:rsidR="00872892">
        <w:fldChar w:fldCharType="begin">
          <w:fldData xml:space="preserve">PEVuZE5vdGU+PENpdGU+PEF1dGhvcj5Ib3U8L0F1dGhvcj48WWVhcj4yMDI2PC9ZZWFyPjxSZWNO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</w:fldData>
        </w:fldChar>
      </w:r>
      <w:r w:rsidR="00872892">
        <w:instrText xml:space="preserve"> ADDIN EN.CITE.DATA </w:instrText>
      </w:r>
      <w:r w:rsidR="00872892">
        <w:fldChar w:fldCharType="end"/>
      </w:r>
      <w:r w:rsidR="00872892">
        <w:fldChar w:fldCharType="separate"/>
      </w:r>
      <w:r w:rsidR="00872892">
        <w:rPr>
          <w:noProof/>
        </w:rPr>
        <w:t>(Hou et al., 2026)</w:t>
      </w:r>
      <w:r w:rsidR="00872892">
        <w:fldChar w:fldCharType="end"/>
      </w:r>
      <w:r w:rsidRPr="00E20C80">
        <w:t>.</w:t>
      </w:r>
    </w:p>
    <w:p w14:paraId="5CF97E82" w14:textId="55D2450D" w:rsidR="004F5AF0" w:rsidRPr="004F5AF0" w:rsidRDefault="004F5AF0" w:rsidP="00524DA3">
      <w:pPr>
        <w:pStyle w:val="Heading4"/>
      </w:pPr>
      <w:r>
        <w:t>PICO 2</w:t>
      </w:r>
    </w:p>
    <w:p w14:paraId="3B2A169D" w14:textId="3B05B86D" w:rsidR="004F5AF0" w:rsidRDefault="0095649A" w:rsidP="004F5AF0">
      <w:r>
        <w:t xml:space="preserve">Per B-Well 1/2 trial protocol, Roche Elecsys HBsAg II Quant II immunoassay and HBV DNA LLOQ &lt;20 IU/mL. Evidence of functional cure durability </w:t>
      </w:r>
      <w:r w:rsidR="00CD172B">
        <w:t xml:space="preserve">following bepirovirsen treatment is not yet mature. </w:t>
      </w:r>
      <w:r w:rsidR="004F5AF0">
        <w:t>The B-Well 1/2 trial</w:t>
      </w:r>
      <w:r w:rsidR="00CD172B">
        <w:t>s</w:t>
      </w:r>
      <w:r w:rsidR="004F5AF0">
        <w:t xml:space="preserve"> </w:t>
      </w:r>
      <w:r w:rsidR="00556DEB">
        <w:t>include</w:t>
      </w:r>
      <w:r w:rsidR="004F5AF0">
        <w:t xml:space="preserve"> a planned durability-of-response assessment up to </w:t>
      </w:r>
      <w:r w:rsidR="00CD172B">
        <w:t>W</w:t>
      </w:r>
      <w:r w:rsidR="004F5AF0">
        <w:t xml:space="preserve">eek 96 in patients who </w:t>
      </w:r>
      <w:r w:rsidR="00CD172B">
        <w:t xml:space="preserve">achieved functional cure and </w:t>
      </w:r>
      <w:r w:rsidR="004F5AF0">
        <w:t xml:space="preserve">discontinued NA therapy, </w:t>
      </w:r>
      <w:r w:rsidR="00CD172B">
        <w:t>but these</w:t>
      </w:r>
      <w:r w:rsidR="004F5AF0">
        <w:t xml:space="preserve"> results are not yet available</w:t>
      </w:r>
      <w:r w:rsidR="003D46D7">
        <w:t xml:space="preserve"> </w:t>
      </w:r>
      <w:r>
        <w:fldChar w:fldCharType="begin">
          <w:fldData xml:space="preserve">PEVuZE5vdGU+PENpdGU+PEF1dGhvcj5Ib3U8L0F1dGhvcj48WWVhcj4yMDI2PC9ZZWFyPjxSZWNO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</w:fldData>
        </w:fldChar>
      </w:r>
      <w:r>
        <w:instrText xml:space="preserve"> ADDIN EN.CITE </w:instrText>
      </w:r>
      <w:r>
        <w:fldChar w:fldCharType="begin">
          <w:fldData xml:space="preserve">PEVuZE5vdGU+PENpdGU+PEF1dGhvcj5Ib3U8L0F1dGhvcj48WWVhcj4yMDI2PC9ZZWFyPjxSZWNO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</w:fldData>
        </w:fldChar>
      </w:r>
      <w:r>
        <w:instrText xml:space="preserve"> ADDIN EN.CITE.DATA </w:instrText>
      </w:r>
      <w:r>
        <w:fldChar w:fldCharType="end"/>
      </w:r>
      <w:r>
        <w:fldChar w:fldCharType="separate"/>
      </w:r>
      <w:r w:rsidR="00872892" w:rsidRPr="360A6772">
        <w:rPr>
          <w:noProof/>
        </w:rPr>
        <w:t>(Hou et al., 2026)</w:t>
      </w:r>
      <w:r>
        <w:fldChar w:fldCharType="end"/>
      </w:r>
      <w:r w:rsidR="004F5AF0">
        <w:t xml:space="preserve">. </w:t>
      </w:r>
      <w:r w:rsidR="00CD172B">
        <w:t xml:space="preserve">Longer term durability is also being evaluated in </w:t>
      </w:r>
      <w:r w:rsidR="004F5AF0">
        <w:t xml:space="preserve">the </w:t>
      </w:r>
      <w:r w:rsidR="00CD172B">
        <w:t xml:space="preserve">ongoing </w:t>
      </w:r>
      <w:r w:rsidR="004F5AF0">
        <w:t xml:space="preserve">B-Sure long-term extension study (NCT04954859), </w:t>
      </w:r>
      <w:r w:rsidR="00CD172B">
        <w:t xml:space="preserve">although results are not yet </w:t>
      </w:r>
      <w:r w:rsidR="004F5AF0">
        <w:t>published.</w:t>
      </w:r>
    </w:p>
    <w:p w14:paraId="53422A8B" w14:textId="57FFCAE3" w:rsidR="273A0F1C" w:rsidRPr="00BA4E6A" w:rsidRDefault="003F3838">
      <w:pPr>
        <w:rPr>
          <w:i/>
          <w:iCs/>
        </w:rPr>
      </w:pPr>
      <w:r w:rsidRPr="00BA4E6A">
        <w:rPr>
          <w:i/>
          <w:iCs/>
        </w:rPr>
        <w:t>PASC considered the outcome-based clinical utility standard, anchored to the pivotal B-Well trial protocol, to be appropriate and sufficient. PASC noted that further consideration of qHBsAg testing may be required given its role in treatment selection and the use of a specific assay platform in the B-Well trials. PASC noted the applicant's advice that an ultrasensitive HBV DNA assay (LLOQ &lt;20 IU/mL) was incorporated into the B-</w:t>
      </w:r>
      <w:r w:rsidRPr="00BA4E6A">
        <w:rPr>
          <w:i/>
          <w:iCs/>
        </w:rPr>
        <w:lastRenderedPageBreak/>
        <w:t>Well protocol in 2024 and that the lower limit of quantification used in practice will depend on the assay employed.</w:t>
      </w:r>
    </w:p>
    <w:p w14:paraId="29C1EA87" w14:textId="77777777" w:rsidR="007A66C8" w:rsidRDefault="007A66C8" w:rsidP="00713728">
      <w:pPr>
        <w:pStyle w:val="Heading3"/>
      </w:pPr>
      <w:r>
        <w:t xml:space="preserve">Outcomes </w:t>
      </w:r>
    </w:p>
    <w:p w14:paraId="6A6665CE" w14:textId="62BE99E1" w:rsidR="00905474" w:rsidRPr="00905474" w:rsidRDefault="00905474" w:rsidP="00524DA3">
      <w:pPr>
        <w:pStyle w:val="Heading4"/>
      </w:pPr>
      <w:r>
        <w:t>PICO 1</w:t>
      </w:r>
    </w:p>
    <w:p w14:paraId="01C65F51" w14:textId="77777777" w:rsidR="003B25CC" w:rsidRDefault="003B25CC" w:rsidP="00C507D2">
      <w:pPr>
        <w:spacing w:after="0"/>
      </w:pPr>
      <w:r>
        <w:t>Safety</w:t>
      </w:r>
    </w:p>
    <w:p w14:paraId="3243472C" w14:textId="77777777" w:rsidR="003B25CC" w:rsidRDefault="003B25CC" w:rsidP="003B4B09">
      <w:pPr>
        <w:pStyle w:val="ListParagraph"/>
        <w:numPr>
          <w:ilvl w:val="0"/>
          <w:numId w:val="3"/>
        </w:numPr>
        <w:ind w:left="700"/>
      </w:pPr>
      <w:r>
        <w:t xml:space="preserve">Patient burden and anxiety </w:t>
      </w:r>
    </w:p>
    <w:p w14:paraId="5A0E24EC" w14:textId="77777777" w:rsidR="003B25CC" w:rsidRDefault="003B25CC" w:rsidP="003B4B09">
      <w:pPr>
        <w:pStyle w:val="ListParagraph"/>
        <w:numPr>
          <w:ilvl w:val="0"/>
          <w:numId w:val="3"/>
        </w:numPr>
        <w:ind w:left="700"/>
      </w:pPr>
      <w:r>
        <w:t>Misclassification harm</w:t>
      </w:r>
    </w:p>
    <w:p w14:paraId="6BAB5C94" w14:textId="77777777" w:rsidR="003B25CC" w:rsidRDefault="003B25CC" w:rsidP="003B4B09">
      <w:pPr>
        <w:pStyle w:val="ListParagraph"/>
        <w:numPr>
          <w:ilvl w:val="0"/>
          <w:numId w:val="3"/>
        </w:numPr>
        <w:ind w:left="700"/>
      </w:pPr>
      <w:r>
        <w:t>Procedural risk (minor)</w:t>
      </w:r>
    </w:p>
    <w:p w14:paraId="5E9648D7" w14:textId="5E421C95" w:rsidR="003B25CC" w:rsidRDefault="003B25CC" w:rsidP="00C507D2">
      <w:pPr>
        <w:spacing w:after="0"/>
      </w:pPr>
      <w:r>
        <w:t>Efficacy/ effectiveness</w:t>
      </w:r>
    </w:p>
    <w:p w14:paraId="7DAAE06E" w14:textId="633B5DA5" w:rsidR="003F3838" w:rsidRDefault="003F3838" w:rsidP="003B4B09">
      <w:pPr>
        <w:pStyle w:val="ListParagraph"/>
        <w:numPr>
          <w:ilvl w:val="0"/>
          <w:numId w:val="3"/>
        </w:numPr>
        <w:ind w:left="700"/>
      </w:pPr>
      <w:r w:rsidRPr="003F3838">
        <w:t>Analytical and diagnostic performance of q</w:t>
      </w:r>
      <w:r w:rsidR="0034650C">
        <w:t xml:space="preserve">uantitative </w:t>
      </w:r>
      <w:r w:rsidRPr="003F3838">
        <w:t>HBsAg assays</w:t>
      </w:r>
    </w:p>
    <w:p w14:paraId="64B47F1D" w14:textId="066577A0" w:rsidR="00905474" w:rsidRDefault="00905474" w:rsidP="003B4B09">
      <w:pPr>
        <w:pStyle w:val="ListParagraph"/>
        <w:numPr>
          <w:ilvl w:val="0"/>
          <w:numId w:val="3"/>
        </w:numPr>
        <w:ind w:left="700"/>
      </w:pPr>
      <w:r>
        <w:t>Concordance with the clinical utility standard</w:t>
      </w:r>
    </w:p>
    <w:p w14:paraId="6515E25A" w14:textId="56958634" w:rsidR="003B25CC" w:rsidRDefault="003B25CC" w:rsidP="003B4B09">
      <w:pPr>
        <w:pStyle w:val="ListParagraph"/>
        <w:numPr>
          <w:ilvl w:val="0"/>
          <w:numId w:val="3"/>
        </w:numPr>
        <w:ind w:left="700"/>
      </w:pPr>
      <w:r w:rsidRPr="00810448">
        <w:t>Accuracy of baseline qHBsAg for predicting response to bepirovirsen</w:t>
      </w:r>
    </w:p>
    <w:p w14:paraId="7B7D5A17" w14:textId="41FEBFEE" w:rsidR="00905474" w:rsidRDefault="00905474" w:rsidP="003B4B09">
      <w:pPr>
        <w:pStyle w:val="ListParagraph"/>
        <w:numPr>
          <w:ilvl w:val="0"/>
          <w:numId w:val="3"/>
        </w:numPr>
        <w:ind w:left="700"/>
      </w:pPr>
      <w:r>
        <w:t>Signal-to-noise / distinguishing true response from background variation</w:t>
      </w:r>
    </w:p>
    <w:p w14:paraId="12F62D67" w14:textId="77777777" w:rsidR="00905474" w:rsidRDefault="00905474" w:rsidP="003B4B09">
      <w:pPr>
        <w:pStyle w:val="ListParagraph"/>
        <w:numPr>
          <w:ilvl w:val="0"/>
          <w:numId w:val="3"/>
        </w:numPr>
        <w:ind w:left="700"/>
      </w:pPr>
      <w:r>
        <w:t>Bepirovirsen initiation</w:t>
      </w:r>
    </w:p>
    <w:p w14:paraId="1D75C896" w14:textId="102A88A8" w:rsidR="003B25CC" w:rsidRDefault="003B25CC" w:rsidP="003B4B09">
      <w:pPr>
        <w:pStyle w:val="ListParagraph"/>
        <w:numPr>
          <w:ilvl w:val="0"/>
          <w:numId w:val="3"/>
        </w:numPr>
        <w:ind w:left="700"/>
      </w:pPr>
      <w:r w:rsidRPr="003B25CC">
        <w:t>Treatment response at Week 12</w:t>
      </w:r>
    </w:p>
    <w:p w14:paraId="09388470" w14:textId="4A26720B" w:rsidR="00905474" w:rsidRDefault="00905474" w:rsidP="003B4B09">
      <w:pPr>
        <w:pStyle w:val="ListParagraph"/>
        <w:numPr>
          <w:ilvl w:val="0"/>
          <w:numId w:val="3"/>
        </w:numPr>
        <w:ind w:left="700"/>
      </w:pPr>
      <w:r>
        <w:t>NA discontinuation at W</w:t>
      </w:r>
      <w:r w:rsidR="003B25CC">
        <w:t xml:space="preserve">eek </w:t>
      </w:r>
      <w:r>
        <w:t>48</w:t>
      </w:r>
    </w:p>
    <w:p w14:paraId="583D831E" w14:textId="70ED1F1C" w:rsidR="00905474" w:rsidRDefault="00905474" w:rsidP="003B4B09">
      <w:pPr>
        <w:pStyle w:val="ListParagraph"/>
        <w:numPr>
          <w:ilvl w:val="0"/>
          <w:numId w:val="3"/>
        </w:numPr>
        <w:ind w:left="700"/>
      </w:pPr>
      <w:r>
        <w:t>Functional cure rate at W</w:t>
      </w:r>
      <w:r w:rsidR="003B25CC">
        <w:t xml:space="preserve">eek </w:t>
      </w:r>
      <w:r>
        <w:t>72 (sustained HBsAg loss + HBV DNA &lt;LLOQ at 24 weeks off-treatment)</w:t>
      </w:r>
    </w:p>
    <w:p w14:paraId="51EA4C5E" w14:textId="1A57D14E" w:rsidR="003B25CC" w:rsidRDefault="003B25CC" w:rsidP="00C507D2">
      <w:pPr>
        <w:spacing w:after="0"/>
      </w:pPr>
      <w:r>
        <w:t>Healthcare resources</w:t>
      </w:r>
    </w:p>
    <w:p w14:paraId="7A2628D3" w14:textId="6EE9BE79" w:rsidR="00905474" w:rsidRDefault="00905474" w:rsidP="003B4B09">
      <w:pPr>
        <w:pStyle w:val="ListParagraph"/>
        <w:numPr>
          <w:ilvl w:val="0"/>
          <w:numId w:val="3"/>
        </w:numPr>
        <w:ind w:left="700"/>
      </w:pPr>
      <w:r>
        <w:t xml:space="preserve">Comparative test </w:t>
      </w:r>
      <w:r w:rsidR="002A3A56">
        <w:t>utilisation</w:t>
      </w:r>
      <w:r w:rsidR="00FC771D">
        <w:t xml:space="preserve"> impact</w:t>
      </w:r>
    </w:p>
    <w:p w14:paraId="1C9C2EF4" w14:textId="77777777" w:rsidR="00FC771D" w:rsidRDefault="00FC771D" w:rsidP="00C507D2">
      <w:pPr>
        <w:spacing w:after="0"/>
      </w:pPr>
      <w:r>
        <w:t>Cost-effectiveness</w:t>
      </w:r>
    </w:p>
    <w:p w14:paraId="06732FBB" w14:textId="5881166B" w:rsidR="00FC771D" w:rsidRDefault="00FC771D" w:rsidP="003B4B09">
      <w:pPr>
        <w:pStyle w:val="ListParagraph"/>
        <w:numPr>
          <w:ilvl w:val="0"/>
          <w:numId w:val="3"/>
        </w:numPr>
        <w:ind w:left="700"/>
      </w:pPr>
      <w:r>
        <w:t>Cost-effectiveness/ cost-utility analysis</w:t>
      </w:r>
    </w:p>
    <w:p w14:paraId="6433530F" w14:textId="3D544119" w:rsidR="00FC771D" w:rsidRDefault="00FC771D" w:rsidP="00C507D2">
      <w:pPr>
        <w:spacing w:after="0"/>
      </w:pPr>
      <w:r>
        <w:t>Total Australian Government health care costs</w:t>
      </w:r>
    </w:p>
    <w:p w14:paraId="271FF4C6" w14:textId="5A4C3E5D" w:rsidR="002A3A56" w:rsidRDefault="002A3A56" w:rsidP="003B4B09">
      <w:pPr>
        <w:pStyle w:val="ListParagraph"/>
        <w:numPr>
          <w:ilvl w:val="0"/>
          <w:numId w:val="3"/>
        </w:numPr>
        <w:ind w:left="700"/>
      </w:pPr>
      <w:r>
        <w:t>Healthcare costs</w:t>
      </w:r>
      <w:r w:rsidR="00FC771D">
        <w:t xml:space="preserve"> and budget impact</w:t>
      </w:r>
    </w:p>
    <w:p w14:paraId="068DC323" w14:textId="1B7EEA78" w:rsidR="00905474" w:rsidRDefault="00905474" w:rsidP="00524DA3">
      <w:pPr>
        <w:pStyle w:val="Heading4"/>
      </w:pPr>
      <w:r>
        <w:t>PICO 2</w:t>
      </w:r>
    </w:p>
    <w:p w14:paraId="198713FE" w14:textId="77777777" w:rsidR="00FC771D" w:rsidRDefault="00FC771D" w:rsidP="00C507D2">
      <w:pPr>
        <w:spacing w:after="0"/>
      </w:pPr>
      <w:r>
        <w:t>Safety</w:t>
      </w:r>
    </w:p>
    <w:p w14:paraId="6E16AA13" w14:textId="77777777" w:rsidR="00FC771D" w:rsidRDefault="00FC771D" w:rsidP="003B4B09">
      <w:pPr>
        <w:pStyle w:val="ListParagraph"/>
        <w:numPr>
          <w:ilvl w:val="0"/>
          <w:numId w:val="3"/>
        </w:numPr>
        <w:ind w:left="700"/>
      </w:pPr>
      <w:r>
        <w:t>Safety of the proposed tapered monitoring schedule</w:t>
      </w:r>
    </w:p>
    <w:p w14:paraId="76877A95" w14:textId="77777777" w:rsidR="00FC771D" w:rsidRDefault="00FC771D" w:rsidP="003B4B09">
      <w:pPr>
        <w:pStyle w:val="ListParagraph"/>
        <w:numPr>
          <w:ilvl w:val="0"/>
          <w:numId w:val="3"/>
        </w:numPr>
        <w:ind w:left="700"/>
      </w:pPr>
      <w:r>
        <w:t>Safety of NA therapy reinitiation when triggered by monitoring results</w:t>
      </w:r>
    </w:p>
    <w:p w14:paraId="2FDE3A95" w14:textId="53AC1B51" w:rsidR="00FC771D" w:rsidRDefault="00FC771D" w:rsidP="00C507D2">
      <w:pPr>
        <w:spacing w:after="0"/>
      </w:pPr>
      <w:r>
        <w:t>Efficacy/effectiveness</w:t>
      </w:r>
    </w:p>
    <w:p w14:paraId="7BCE8098" w14:textId="471C9DCA" w:rsidR="00905474" w:rsidRDefault="00905474" w:rsidP="003B4B09">
      <w:pPr>
        <w:pStyle w:val="ListParagraph"/>
        <w:numPr>
          <w:ilvl w:val="0"/>
          <w:numId w:val="3"/>
        </w:numPr>
        <w:ind w:left="700"/>
      </w:pPr>
      <w:r>
        <w:t>Suitability for monitoring / signal-to-noise, particularly at the lowest testing frequency (Year 3+)</w:t>
      </w:r>
    </w:p>
    <w:p w14:paraId="3C2846D2" w14:textId="77777777" w:rsidR="00905474" w:rsidRDefault="00905474" w:rsidP="003B4B09">
      <w:pPr>
        <w:pStyle w:val="ListParagraph"/>
        <w:numPr>
          <w:ilvl w:val="0"/>
          <w:numId w:val="3"/>
        </w:numPr>
        <w:ind w:left="700"/>
      </w:pPr>
      <w:r>
        <w:t>Detection of virological/serological relapse</w:t>
      </w:r>
    </w:p>
    <w:p w14:paraId="7031CD03" w14:textId="77777777" w:rsidR="00905474" w:rsidRDefault="00905474" w:rsidP="003B4B09">
      <w:pPr>
        <w:pStyle w:val="ListParagraph"/>
        <w:numPr>
          <w:ilvl w:val="0"/>
          <w:numId w:val="3"/>
        </w:numPr>
        <w:ind w:left="700"/>
      </w:pPr>
      <w:r>
        <w:t>Reinitiation of NA therapy if relapse detected</w:t>
      </w:r>
    </w:p>
    <w:p w14:paraId="4192ED6B" w14:textId="77777777" w:rsidR="00905474" w:rsidRDefault="00905474" w:rsidP="003B4B09">
      <w:pPr>
        <w:pStyle w:val="ListParagraph"/>
        <w:numPr>
          <w:ilvl w:val="0"/>
          <w:numId w:val="3"/>
        </w:numPr>
        <w:ind w:left="700"/>
      </w:pPr>
      <w:r>
        <w:t>Durability of functional cure</w:t>
      </w:r>
    </w:p>
    <w:p w14:paraId="3D2879B3" w14:textId="3437293C" w:rsidR="00FC771D" w:rsidRDefault="00FC771D" w:rsidP="00C507D2">
      <w:pPr>
        <w:spacing w:after="0"/>
      </w:pPr>
      <w:r>
        <w:t>Healthcare resources</w:t>
      </w:r>
    </w:p>
    <w:p w14:paraId="1877D522" w14:textId="7FD4A7E9" w:rsidR="00905474" w:rsidRPr="00A446A4" w:rsidRDefault="00905474" w:rsidP="003B4B09">
      <w:pPr>
        <w:pStyle w:val="ListParagraph"/>
        <w:numPr>
          <w:ilvl w:val="0"/>
          <w:numId w:val="3"/>
        </w:numPr>
        <w:ind w:left="700"/>
        <w:rPr>
          <w:u w:val="single"/>
        </w:rPr>
      </w:pPr>
      <w:r>
        <w:t>Downstream resource use</w:t>
      </w:r>
      <w:r w:rsidR="002A3A56">
        <w:t xml:space="preserve"> </w:t>
      </w:r>
      <w:r w:rsidR="00FC771D" w:rsidRPr="00E00B0B">
        <w:t>associated with monitoring and any subsequent retreatment</w:t>
      </w:r>
      <w:r w:rsidR="00FC771D" w:rsidDel="00FC771D">
        <w:t xml:space="preserve"> </w:t>
      </w:r>
    </w:p>
    <w:p w14:paraId="46263E24" w14:textId="4E769CD8" w:rsidR="00FC771D" w:rsidRPr="00FC771D" w:rsidRDefault="00FC771D" w:rsidP="00C507D2">
      <w:pPr>
        <w:spacing w:after="0"/>
      </w:pPr>
      <w:r w:rsidRPr="00A446A4">
        <w:t>Cost-effectiveness</w:t>
      </w:r>
    </w:p>
    <w:p w14:paraId="66B8A19E" w14:textId="13083389" w:rsidR="00905474" w:rsidRPr="00A446A4" w:rsidRDefault="00905474" w:rsidP="003B4B09">
      <w:pPr>
        <w:pStyle w:val="ListParagraph"/>
        <w:numPr>
          <w:ilvl w:val="0"/>
          <w:numId w:val="3"/>
        </w:numPr>
        <w:ind w:left="700"/>
        <w:rPr>
          <w:u w:val="single"/>
        </w:rPr>
      </w:pPr>
      <w:r>
        <w:t>Cost-effectiveness</w:t>
      </w:r>
      <w:r w:rsidR="00FC771D">
        <w:t>/ cost-utility analysis</w:t>
      </w:r>
    </w:p>
    <w:p w14:paraId="46B212E9" w14:textId="77777777" w:rsidR="00FC771D" w:rsidRDefault="00FC771D" w:rsidP="00C507D2">
      <w:pPr>
        <w:spacing w:after="0"/>
      </w:pPr>
      <w:r>
        <w:lastRenderedPageBreak/>
        <w:t>Total Australian Government health care costs</w:t>
      </w:r>
    </w:p>
    <w:p w14:paraId="1E6244EA" w14:textId="3CBC1708" w:rsidR="00CF5D9C" w:rsidRPr="00965EB4" w:rsidRDefault="00FC771D" w:rsidP="00CF5D9C">
      <w:pPr>
        <w:pStyle w:val="ListParagraph"/>
        <w:numPr>
          <w:ilvl w:val="0"/>
          <w:numId w:val="3"/>
        </w:numPr>
        <w:ind w:left="700"/>
        <w:rPr>
          <w:u w:val="single"/>
        </w:rPr>
      </w:pPr>
      <w:r>
        <w:t>Healthcare costs and budget impact</w:t>
      </w:r>
    </w:p>
    <w:p w14:paraId="49933E55" w14:textId="79E40394" w:rsidR="00CF5D9C" w:rsidRPr="00BA4E6A" w:rsidRDefault="00CF5D9C" w:rsidP="00965EB4">
      <w:pPr>
        <w:rPr>
          <w:i/>
          <w:iCs/>
        </w:rPr>
      </w:pPr>
      <w:r w:rsidRPr="00BA4E6A">
        <w:rPr>
          <w:i/>
          <w:iCs/>
        </w:rPr>
        <w:t>PASC considered the listed outcomes appropriate for both PICO sets. PASC agreed that the conventional definition of functional cure was appropriate for the assessment.</w:t>
      </w:r>
    </w:p>
    <w:p w14:paraId="4BBF84CB" w14:textId="04135FF0" w:rsidR="009B31CC" w:rsidRDefault="009B31CC" w:rsidP="00713728">
      <w:pPr>
        <w:pStyle w:val="Heading2"/>
      </w:pPr>
      <w:r>
        <w:t xml:space="preserve">Assessment framework </w:t>
      </w:r>
    </w:p>
    <w:p w14:paraId="1F704B0D" w14:textId="671AECA7" w:rsidR="006D528E" w:rsidRDefault="006D528E" w:rsidP="006D528E">
      <w:r>
        <w:t>For a claim of superiority, the assessment would need to show an improvement in health outcomes. The new testing algorithm for CHB would inform treatment decisions (enable access to bepi</w:t>
      </w:r>
      <w:r w:rsidR="0009138B">
        <w:t>r</w:t>
      </w:r>
      <w:r>
        <w:t xml:space="preserve">ovirsen treatment), and the change in treatment would result in health outcome changes to a patient. </w:t>
      </w:r>
    </w:p>
    <w:p w14:paraId="0F952B47" w14:textId="7AEA2866" w:rsidR="00E85D08" w:rsidRDefault="00C53210" w:rsidP="006D528E">
      <w:r>
        <w:t xml:space="preserve">If direct evidence is not available (a study comparing the proposed new CHB testing algorithm </w:t>
      </w:r>
      <w:r w:rsidR="00A9148A">
        <w:t xml:space="preserve">with </w:t>
      </w:r>
      <w:r>
        <w:t xml:space="preserve">the current standard-of-care testing algorithm), </w:t>
      </w:r>
      <w:r w:rsidR="009F5708">
        <w:t xml:space="preserve">linked </w:t>
      </w:r>
      <w:r>
        <w:t xml:space="preserve">evidence should be presented for each separate step. </w:t>
      </w:r>
      <w:r w:rsidR="002046DC">
        <w:t xml:space="preserve"> Assessment frameworks for PICO 1 and PICO 2 are shown in </w:t>
      </w:r>
      <w:r w:rsidR="002046DC">
        <w:fldChar w:fldCharType="begin"/>
      </w:r>
      <w:r w:rsidR="002046DC">
        <w:instrText xml:space="preserve"> REF _Ref235116604 \h </w:instrText>
      </w:r>
      <w:r w:rsidR="002046DC">
        <w:fldChar w:fldCharType="separate"/>
      </w:r>
      <w:r w:rsidR="002046DC">
        <w:t xml:space="preserve">Figure </w:t>
      </w:r>
      <w:r w:rsidR="002046DC">
        <w:rPr>
          <w:noProof/>
        </w:rPr>
        <w:t>1</w:t>
      </w:r>
      <w:r w:rsidR="002046DC">
        <w:fldChar w:fldCharType="end"/>
      </w:r>
      <w:r w:rsidR="002046DC">
        <w:t xml:space="preserve"> and </w:t>
      </w:r>
      <w:r w:rsidR="002046DC">
        <w:fldChar w:fldCharType="begin"/>
      </w:r>
      <w:r w:rsidR="002046DC">
        <w:instrText xml:space="preserve"> REF _Ref235216112 \h </w:instrText>
      </w:r>
      <w:r w:rsidR="002046DC">
        <w:fldChar w:fldCharType="separate"/>
      </w:r>
      <w:r w:rsidR="002046DC">
        <w:t xml:space="preserve">Figure </w:t>
      </w:r>
      <w:r w:rsidR="002046DC">
        <w:rPr>
          <w:noProof/>
        </w:rPr>
        <w:t>2</w:t>
      </w:r>
      <w:r w:rsidR="002046DC">
        <w:fldChar w:fldCharType="end"/>
      </w:r>
      <w:r w:rsidR="002046DC">
        <w:t>, respectively.</w:t>
      </w:r>
    </w:p>
    <w:p w14:paraId="7CD2680C" w14:textId="0B54E48B" w:rsidR="009F5077" w:rsidRPr="006D528E" w:rsidRDefault="00E85D08" w:rsidP="006D528E">
      <w:r>
        <w:t xml:space="preserve">For PICO 1, there are </w:t>
      </w:r>
      <w:r w:rsidR="00CD172B">
        <w:t xml:space="preserve">four </w:t>
      </w:r>
      <w:r>
        <w:t>distinct testing</w:t>
      </w:r>
      <w:r w:rsidR="00CD172B">
        <w:t xml:space="preserve"> and</w:t>
      </w:r>
      <w:r w:rsidR="009135A4">
        <w:t xml:space="preserve"> </w:t>
      </w:r>
      <w:r>
        <w:t>decision points</w:t>
      </w:r>
      <w:r w:rsidR="00CD172B">
        <w:t>:</w:t>
      </w:r>
      <w:r>
        <w:t xml:space="preserve"> </w:t>
      </w:r>
      <w:r w:rsidR="00C20602">
        <w:t>(</w:t>
      </w:r>
      <w:r>
        <w:t xml:space="preserve">a) baseline </w:t>
      </w:r>
      <w:r w:rsidR="00A9148A">
        <w:t>assessment of eligibility for</w:t>
      </w:r>
      <w:r w:rsidR="006F0855">
        <w:t xml:space="preserve"> </w:t>
      </w:r>
      <w:r>
        <w:t>bepirovirsen</w:t>
      </w:r>
      <w:r w:rsidR="00A9148A">
        <w:t xml:space="preserve"> treatment</w:t>
      </w:r>
      <w:r>
        <w:t xml:space="preserve">, </w:t>
      </w:r>
      <w:r w:rsidR="00C20602">
        <w:t>(</w:t>
      </w:r>
      <w:r>
        <w:t xml:space="preserve">b) </w:t>
      </w:r>
      <w:r w:rsidR="00CD172B">
        <w:t xml:space="preserve">Week 12 response assessment, </w:t>
      </w:r>
      <w:r w:rsidR="00C20602">
        <w:t>(</w:t>
      </w:r>
      <w:r w:rsidR="00CD172B">
        <w:t>c) W</w:t>
      </w:r>
      <w:r>
        <w:t>eek</w:t>
      </w:r>
      <w:r w:rsidR="00257EB9">
        <w:t xml:space="preserve"> </w:t>
      </w:r>
      <w:r>
        <w:t>48</w:t>
      </w:r>
      <w:r w:rsidR="00257EB9">
        <w:t xml:space="preserve"> assessment of eligibility for </w:t>
      </w:r>
      <w:r>
        <w:t xml:space="preserve">NA-discontinuation, and </w:t>
      </w:r>
      <w:r w:rsidR="00C20602">
        <w:t>(</w:t>
      </w:r>
      <w:r w:rsidR="00CD172B">
        <w:t>d</w:t>
      </w:r>
      <w:r>
        <w:t xml:space="preserve">) </w:t>
      </w:r>
      <w:r w:rsidR="00CD172B">
        <w:t>W</w:t>
      </w:r>
      <w:r>
        <w:t>eek</w:t>
      </w:r>
      <w:r w:rsidR="00257EB9">
        <w:t xml:space="preserve"> </w:t>
      </w:r>
      <w:r>
        <w:t xml:space="preserve">72 </w:t>
      </w:r>
      <w:r w:rsidR="00257EB9">
        <w:t xml:space="preserve">confirmation of </w:t>
      </w:r>
      <w:r>
        <w:t xml:space="preserve">functional cure. </w:t>
      </w:r>
    </w:p>
    <w:p w14:paraId="0386CC54" w14:textId="58AC0AFC" w:rsidR="00F80D7C" w:rsidRDefault="00580654" w:rsidP="00F80D7C">
      <w:pPr>
        <w:keepNext/>
      </w:pPr>
      <w:r>
        <w:rPr>
          <w:noProof/>
        </w:rPr>
        <w:drawing>
          <wp:inline distT="0" distB="0" distL="0" distR="0" wp14:anchorId="5B2E5989" wp14:editId="686722DE">
            <wp:extent cx="6083935" cy="2838450"/>
            <wp:effectExtent l="0" t="0" r="0" b="0"/>
            <wp:docPr id="1535378671" name="Picture 9" descr="Assessment framework showing the links from the test population to health outcomes. It highlights steps from test result information to changes in clinical decisions, response to treatment, and health outcomes, with key elements including adverse events from new testing and treatment, and the association between response and outco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378671" name="Picture 9" descr="Assessment framework showing the links from the test population to health outcomes. It highlights steps from test result information to changes in clinical decisions, response to treatment, and health outcomes, with key elements including adverse events from new testing and treatment, and the association between response and outcomes."/>
                    <pic:cNvPicPr/>
                  </pic:nvPicPr>
                  <pic:blipFill rotWithShape="1">
                    <a:blip r:embed="rId8" cstate="print">
                      <a:extLst>
                        <a:ext uri="{28A0092B-C50C-407E-A947-70E740481C1C}">
                          <a14:useLocalDpi xmlns:a14="http://schemas.microsoft.com/office/drawing/2010/main" val="0"/>
                        </a:ext>
                      </a:extLst>
                    </a:blip>
                    <a:srcRect/>
                    <a:stretch>
                      <a:fillRect/>
                    </a:stretch>
                  </pic:blipFill>
                  <pic:spPr bwMode="auto">
                    <a:xfrm>
                      <a:off x="0" y="0"/>
                      <a:ext cx="6083935" cy="2838450"/>
                    </a:xfrm>
                    <a:prstGeom prst="rect">
                      <a:avLst/>
                    </a:prstGeom>
                    <a:ln>
                      <a:noFill/>
                    </a:ln>
                    <a:extLst>
                      <a:ext uri="{53640926-AAD7-44D8-BBD7-CCE9431645EC}">
                        <a14:shadowObscured xmlns:a14="http://schemas.microsoft.com/office/drawing/2010/main"/>
                      </a:ext>
                    </a:extLst>
                  </pic:spPr>
                </pic:pic>
              </a:graphicData>
            </a:graphic>
          </wp:inline>
        </w:drawing>
      </w:r>
    </w:p>
    <w:p w14:paraId="12F2305D" w14:textId="76C5A538" w:rsidR="00717443" w:rsidRPr="00490FBB" w:rsidRDefault="00F80D7C" w:rsidP="00F80D7C">
      <w:pPr>
        <w:pStyle w:val="Caption"/>
      </w:pPr>
      <w:bookmarkStart w:id="7" w:name="_Ref235116604"/>
      <w:r>
        <w:t xml:space="preserve">Figure </w:t>
      </w:r>
      <w:r>
        <w:fldChar w:fldCharType="begin"/>
      </w:r>
      <w:r>
        <w:instrText xml:space="preserve"> SEQ Figure \* ARABIC </w:instrText>
      </w:r>
      <w:r>
        <w:fldChar w:fldCharType="separate"/>
      </w:r>
      <w:r w:rsidR="00A446A4">
        <w:rPr>
          <w:noProof/>
        </w:rPr>
        <w:t>1</w:t>
      </w:r>
      <w:r>
        <w:fldChar w:fldCharType="end"/>
      </w:r>
      <w:bookmarkEnd w:id="7"/>
      <w:r>
        <w:tab/>
        <w:t>Assessment framework showing the links from the test population to health outcomes</w:t>
      </w:r>
      <w:r w:rsidR="00AB6CA7">
        <w:t xml:space="preserve"> (PICO 1)</w:t>
      </w:r>
    </w:p>
    <w:p w14:paraId="54DE916D" w14:textId="27399DD5" w:rsidR="003D46D7" w:rsidRDefault="003D46D7" w:rsidP="00C40CC4">
      <w:pPr>
        <w:pStyle w:val="Tablenotes"/>
        <w:keepLines/>
        <w:rPr>
          <w:szCs w:val="18"/>
        </w:rPr>
      </w:pPr>
      <w:r>
        <w:rPr>
          <w:szCs w:val="18"/>
        </w:rPr>
        <w:t xml:space="preserve">Abbreviations: CHB, chronic hepatitis B; NA, </w:t>
      </w:r>
      <w:r w:rsidR="006D41D6">
        <w:t>nucleos(t)ide analogue</w:t>
      </w:r>
    </w:p>
    <w:p w14:paraId="534738C5" w14:textId="1E91A7C9" w:rsidR="00C40CC4" w:rsidRDefault="00C40CC4" w:rsidP="00C40CC4">
      <w:pPr>
        <w:pStyle w:val="Tablenotes"/>
        <w:keepLines/>
        <w:rPr>
          <w:szCs w:val="18"/>
        </w:rPr>
      </w:pPr>
      <w:r>
        <w:rPr>
          <w:szCs w:val="18"/>
        </w:rPr>
        <w:t>Figure notes: 1: direct from test to health outcomes evidence; 2: test accuracy; 3: change in diagnosis/treatment/management; 4: influence of the change in management on health outcomes; 5: influence of the change in management on intermediate outcomes; 6: association of intermediate outcomes with health outcomes; 7: adverse events due to testing; 8: adverse events due to treatment</w:t>
      </w:r>
    </w:p>
    <w:p w14:paraId="20292B1F" w14:textId="42A21F2B" w:rsidR="00580654" w:rsidRDefault="00580654" w:rsidP="00C40CC4">
      <w:pPr>
        <w:pStyle w:val="Tablenotes"/>
        <w:keepLines/>
        <w:rPr>
          <w:szCs w:val="18"/>
        </w:rPr>
      </w:pPr>
      <w:r>
        <w:rPr>
          <w:szCs w:val="18"/>
        </w:rPr>
        <w:t>*</w:t>
      </w:r>
      <w:r>
        <w:rPr>
          <w:rFonts w:ascii="Calibri" w:eastAsia="Calibri" w:hAnsi="Calibri" w:cs="Times New Roman"/>
          <w:snapToGrid/>
          <w:sz w:val="22"/>
          <w:szCs w:val="22"/>
        </w:rPr>
        <w:t xml:space="preserve"> </w:t>
      </w:r>
      <w:r>
        <w:rPr>
          <w:szCs w:val="18"/>
        </w:rPr>
        <w:t>PASC's guidance is sought on the applicant's position that accuracy evaluation is not required, given the intervention is a change in testing pattern/frequency of established</w:t>
      </w:r>
      <w:r w:rsidR="00006EEC">
        <w:rPr>
          <w:szCs w:val="18"/>
        </w:rPr>
        <w:t>,</w:t>
      </w:r>
      <w:r>
        <w:rPr>
          <w:szCs w:val="18"/>
        </w:rPr>
        <w:t xml:space="preserve"> ARTG-listed tests rather than a new test technology</w:t>
      </w:r>
    </w:p>
    <w:p w14:paraId="635D5E51" w14:textId="670FB832" w:rsidR="00580654" w:rsidRDefault="00580654" w:rsidP="00580654">
      <w:r>
        <w:t>Assessment questions:</w:t>
      </w:r>
    </w:p>
    <w:p w14:paraId="5F15D236" w14:textId="4D57B7FD" w:rsidR="00580654" w:rsidRPr="00856872" w:rsidRDefault="00580654" w:rsidP="00524DA3">
      <w:pPr>
        <w:pStyle w:val="Heading4"/>
      </w:pPr>
      <w:r>
        <w:lastRenderedPageBreak/>
        <w:t>PICO 1 – CHB testing algorithm for bepirovirsen selection and assessment</w:t>
      </w:r>
    </w:p>
    <w:p w14:paraId="45851E77" w14:textId="71470280" w:rsidR="00580654" w:rsidRDefault="00A30FF3" w:rsidP="003564C6">
      <w:pPr>
        <w:pStyle w:val="ListParagraph"/>
        <w:numPr>
          <w:ilvl w:val="0"/>
          <w:numId w:val="6"/>
        </w:numPr>
      </w:pPr>
      <w:r>
        <w:t xml:space="preserve">What is the </w:t>
      </w:r>
      <w:r w:rsidR="00394437">
        <w:t>c</w:t>
      </w:r>
      <w:r w:rsidR="00314999">
        <w:t xml:space="preserve">omparative </w:t>
      </w:r>
      <w:r>
        <w:t>safety, effectiveness and cost-effectiveness of</w:t>
      </w:r>
      <w:r w:rsidR="00580654">
        <w:t xml:space="preserve"> the proposed CHB testing algorithm </w:t>
      </w:r>
      <w:r w:rsidR="00607D14">
        <w:t>versus</w:t>
      </w:r>
      <w:r>
        <w:t xml:space="preserve"> </w:t>
      </w:r>
      <w:r w:rsidR="00580654">
        <w:t>current standard-of-care testing</w:t>
      </w:r>
      <w:r>
        <w:t xml:space="preserve"> </w:t>
      </w:r>
      <w:r w:rsidR="009D434A">
        <w:t xml:space="preserve">algorithm </w:t>
      </w:r>
      <w:r>
        <w:t xml:space="preserve">in patients with CHB </w:t>
      </w:r>
      <w:r w:rsidR="00607D14">
        <w:t xml:space="preserve">being considered for or </w:t>
      </w:r>
      <w:r>
        <w:t>receiving bepirovirsen treatment</w:t>
      </w:r>
      <w:r w:rsidR="00580654">
        <w:t>?</w:t>
      </w:r>
    </w:p>
    <w:p w14:paraId="63077100" w14:textId="5FBE21B2" w:rsidR="003F2A3C" w:rsidRPr="00A446A4" w:rsidRDefault="00C943D8" w:rsidP="003564C6">
      <w:pPr>
        <w:pStyle w:val="ListParagraph"/>
        <w:numPr>
          <w:ilvl w:val="0"/>
          <w:numId w:val="6"/>
        </w:numPr>
      </w:pPr>
      <w:r>
        <w:t>What evidence supports the use of</w:t>
      </w:r>
      <w:r w:rsidR="006656C5">
        <w:t xml:space="preserve"> </w:t>
      </w:r>
      <w:r w:rsidR="003F2A3C" w:rsidRPr="00A446A4">
        <w:t xml:space="preserve">baseline </w:t>
      </w:r>
      <w:r w:rsidR="00A30FF3" w:rsidRPr="00A446A4">
        <w:t>q</w:t>
      </w:r>
      <w:r w:rsidR="003F2A3C" w:rsidRPr="00A446A4">
        <w:t xml:space="preserve">HBsAg </w:t>
      </w:r>
      <w:r w:rsidR="00A30FF3" w:rsidRPr="00A446A4">
        <w:t>and HBV DNA measurements, and the associated eligibility criteria, for identifying patients who derive benefit from</w:t>
      </w:r>
      <w:r w:rsidR="003F2A3C" w:rsidRPr="00A446A4">
        <w:t xml:space="preserve"> bepirovirsen treatment?</w:t>
      </w:r>
    </w:p>
    <w:p w14:paraId="6B470096" w14:textId="013DD205" w:rsidR="00580654" w:rsidRDefault="00774307" w:rsidP="003564C6">
      <w:pPr>
        <w:pStyle w:val="ListParagraph"/>
        <w:numPr>
          <w:ilvl w:val="0"/>
          <w:numId w:val="6"/>
        </w:numPr>
      </w:pPr>
      <w:r>
        <w:t>D</w:t>
      </w:r>
      <w:r w:rsidR="00580654">
        <w:t>o the test result</w:t>
      </w:r>
      <w:r w:rsidR="00B92068">
        <w:t>s</w:t>
      </w:r>
      <w:r w:rsidR="00580654">
        <w:t xml:space="preserve"> </w:t>
      </w:r>
      <w:r w:rsidR="009D434A" w:rsidRPr="009D434A">
        <w:t xml:space="preserve">generated by the proposed algorithm </w:t>
      </w:r>
      <w:r w:rsidR="00580654">
        <w:t xml:space="preserve">appropriately inform each clinical decision in the pathway: bepirovirsen eligibility, </w:t>
      </w:r>
      <w:r w:rsidR="00044663">
        <w:t xml:space="preserve">Week 12 </w:t>
      </w:r>
      <w:r w:rsidR="00A30FF3">
        <w:t xml:space="preserve">treatment response, </w:t>
      </w:r>
      <w:r w:rsidR="00044663">
        <w:t xml:space="preserve">Week 48 </w:t>
      </w:r>
      <w:r w:rsidR="00580654">
        <w:t xml:space="preserve">NA-discontinuation eligibility, and </w:t>
      </w:r>
      <w:r w:rsidR="00044663">
        <w:t xml:space="preserve">Week 72 </w:t>
      </w:r>
      <w:r w:rsidR="00580654">
        <w:t xml:space="preserve">functional cure </w:t>
      </w:r>
      <w:r w:rsidR="00044663">
        <w:t>assessment</w:t>
      </w:r>
      <w:r w:rsidR="00580654">
        <w:t>?</w:t>
      </w:r>
    </w:p>
    <w:p w14:paraId="7AD6062C" w14:textId="4F3C7BDF" w:rsidR="00580654" w:rsidRDefault="003F2A3C" w:rsidP="003564C6">
      <w:pPr>
        <w:pStyle w:val="ListParagraph"/>
        <w:numPr>
          <w:ilvl w:val="0"/>
          <w:numId w:val="6"/>
        </w:numPr>
      </w:pPr>
      <w:r>
        <w:t>Is there existing evidence, to be evaluated separately by PBAC</w:t>
      </w:r>
      <w:r w:rsidR="009135A4">
        <w:t xml:space="preserve"> </w:t>
      </w:r>
      <w:r w:rsidR="00044663">
        <w:t>that</w:t>
      </w:r>
      <w:r>
        <w:t xml:space="preserve"> </w:t>
      </w:r>
      <w:r w:rsidR="005B2007">
        <w:t xml:space="preserve">the management </w:t>
      </w:r>
      <w:r w:rsidR="00487246">
        <w:t xml:space="preserve">pathway enabled by the </w:t>
      </w:r>
      <w:r>
        <w:t>bepirovirsen treatment improve</w:t>
      </w:r>
      <w:r w:rsidR="00044663">
        <w:t>s</w:t>
      </w:r>
      <w:r>
        <w:t xml:space="preserve"> long-term health outcomes </w:t>
      </w:r>
      <w:r w:rsidR="00044663">
        <w:t>compared with the</w:t>
      </w:r>
      <w:r w:rsidR="009D434A">
        <w:t xml:space="preserve"> standard </w:t>
      </w:r>
      <w:r w:rsidR="00697BED">
        <w:t>CHB management</w:t>
      </w:r>
      <w:r>
        <w:t>?</w:t>
      </w:r>
    </w:p>
    <w:p w14:paraId="123E17B4" w14:textId="030DBA19" w:rsidR="003F2A3C" w:rsidRDefault="00044663" w:rsidP="003564C6">
      <w:pPr>
        <w:pStyle w:val="ListParagraph"/>
        <w:numPr>
          <w:ilvl w:val="0"/>
          <w:numId w:val="6"/>
        </w:numPr>
      </w:pPr>
      <w:r>
        <w:t xml:space="preserve">Compared with the standard </w:t>
      </w:r>
      <w:r w:rsidR="004A4514">
        <w:t>CHB management</w:t>
      </w:r>
      <w:r>
        <w:t>, h</w:t>
      </w:r>
      <w:r w:rsidR="003F2A3C">
        <w:t xml:space="preserve">ow does </w:t>
      </w:r>
      <w:r>
        <w:t xml:space="preserve">the </w:t>
      </w:r>
      <w:r w:rsidR="00487246">
        <w:t xml:space="preserve">management pathway enabled by the </w:t>
      </w:r>
      <w:r>
        <w:t xml:space="preserve">proposed testing algorithm </w:t>
      </w:r>
      <w:r w:rsidR="003F2A3C">
        <w:t>impact</w:t>
      </w:r>
      <w:r>
        <w:t xml:space="preserve"> intermediate outcomes, including</w:t>
      </w:r>
      <w:r w:rsidR="003F2A3C">
        <w:t xml:space="preserve"> HBsAg and HBV DNA levels?</w:t>
      </w:r>
    </w:p>
    <w:p w14:paraId="52CF2118" w14:textId="4C590A75" w:rsidR="003F2A3C" w:rsidRDefault="00E46DE8" w:rsidP="003564C6">
      <w:pPr>
        <w:pStyle w:val="ListParagraph"/>
        <w:numPr>
          <w:ilvl w:val="0"/>
          <w:numId w:val="6"/>
        </w:numPr>
      </w:pPr>
      <w:r w:rsidRPr="00E46DE8">
        <w:t>Is achievement of functional cure (sustained HBsAg loss and HBV DNA suppression)</w:t>
      </w:r>
      <w:r w:rsidR="00891073">
        <w:t xml:space="preserve">, </w:t>
      </w:r>
      <w:r w:rsidR="006452F5">
        <w:t>with and without</w:t>
      </w:r>
      <w:r w:rsidR="00607D14">
        <w:t xml:space="preserve"> NA cessation</w:t>
      </w:r>
      <w:r w:rsidR="00891073">
        <w:t>,</w:t>
      </w:r>
      <w:r w:rsidR="00607D14">
        <w:t xml:space="preserve"> </w:t>
      </w:r>
      <w:r w:rsidRPr="00E46DE8">
        <w:t>associated with improved long-term health outcomes?</w:t>
      </w:r>
    </w:p>
    <w:p w14:paraId="5552428B" w14:textId="2602A363" w:rsidR="003F2A3C" w:rsidRDefault="003F2A3C" w:rsidP="003564C6">
      <w:pPr>
        <w:pStyle w:val="ListParagraph"/>
        <w:numPr>
          <w:ilvl w:val="0"/>
          <w:numId w:val="6"/>
        </w:numPr>
      </w:pPr>
      <w:r>
        <w:t>What is the</w:t>
      </w:r>
      <w:r w:rsidR="009D434A">
        <w:t xml:space="preserve"> comparative </w:t>
      </w:r>
      <w:r>
        <w:t>safety of the proposed CHB testing algorithm</w:t>
      </w:r>
      <w:r w:rsidR="00607D14">
        <w:t xml:space="preserve"> </w:t>
      </w:r>
      <w:r w:rsidR="009D434A">
        <w:t>versus</w:t>
      </w:r>
      <w:r w:rsidR="00607D14">
        <w:t xml:space="preserve"> standard of care testing</w:t>
      </w:r>
      <w:r w:rsidR="009D434A">
        <w:t xml:space="preserve"> algorithm</w:t>
      </w:r>
      <w:r>
        <w:t>?</w:t>
      </w:r>
    </w:p>
    <w:p w14:paraId="1BE72E17" w14:textId="23AEB9A8" w:rsidR="003F2A3C" w:rsidRDefault="003F2A3C" w:rsidP="003564C6">
      <w:pPr>
        <w:pStyle w:val="ListParagraph"/>
        <w:numPr>
          <w:ilvl w:val="0"/>
          <w:numId w:val="6"/>
        </w:numPr>
      </w:pPr>
      <w:r>
        <w:t xml:space="preserve">What is the </w:t>
      </w:r>
      <w:r w:rsidR="00044663">
        <w:t xml:space="preserve">comparative </w:t>
      </w:r>
      <w:r>
        <w:t>safety of bepirovirsen treatment in patients selected using the proposed testing algorithm</w:t>
      </w:r>
      <w:r w:rsidR="00044663">
        <w:t xml:space="preserve"> versus </w:t>
      </w:r>
      <w:r w:rsidR="009D434A">
        <w:t>patients selected using standard of care testing algorithm</w:t>
      </w:r>
      <w:r>
        <w:t>?</w:t>
      </w:r>
    </w:p>
    <w:p w14:paraId="74A2AB36" w14:textId="77777777" w:rsidR="00AB6CA7" w:rsidRDefault="00AB6CA7" w:rsidP="00A446A4">
      <w:pPr>
        <w:keepNext/>
      </w:pPr>
      <w:r>
        <w:rPr>
          <w:noProof/>
        </w:rPr>
        <w:drawing>
          <wp:inline distT="0" distB="0" distL="0" distR="0" wp14:anchorId="3D1AE487" wp14:editId="5F6608A9">
            <wp:extent cx="5566439" cy="2509214"/>
            <wp:effectExtent l="0" t="0" r="0" b="5715"/>
            <wp:docPr id="1898085127" name="Picture 6" descr="Assessment framework showing the links from the test population to health outcomes (PIC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085127" name="Picture 6" descr="Assessment framework showing the links from the test population to health outcomes (PICO 2)"/>
                    <pic:cNvPicPr/>
                  </pic:nvPicPr>
                  <pic:blipFill rotWithShape="1">
                    <a:blip r:embed="rId9" cstate="print">
                      <a:extLst>
                        <a:ext uri="{28A0092B-C50C-407E-A947-70E740481C1C}">
                          <a14:useLocalDpi xmlns:a14="http://schemas.microsoft.com/office/drawing/2010/main" val="0"/>
                        </a:ext>
                      </a:extLst>
                    </a:blip>
                    <a:srcRect/>
                    <a:stretch>
                      <a:fillRect/>
                    </a:stretch>
                  </pic:blipFill>
                  <pic:spPr bwMode="auto">
                    <a:xfrm>
                      <a:off x="0" y="0"/>
                      <a:ext cx="5581203" cy="2515869"/>
                    </a:xfrm>
                    <a:prstGeom prst="rect">
                      <a:avLst/>
                    </a:prstGeom>
                    <a:ln>
                      <a:noFill/>
                    </a:ln>
                    <a:extLst>
                      <a:ext uri="{53640926-AAD7-44D8-BBD7-CCE9431645EC}">
                        <a14:shadowObscured xmlns:a14="http://schemas.microsoft.com/office/drawing/2010/main"/>
                      </a:ext>
                    </a:extLst>
                  </pic:spPr>
                </pic:pic>
              </a:graphicData>
            </a:graphic>
          </wp:inline>
        </w:drawing>
      </w:r>
    </w:p>
    <w:p w14:paraId="2656C71A" w14:textId="6FFC3E08" w:rsidR="00AB6CA7" w:rsidRPr="00490FBB" w:rsidRDefault="00AB6CA7" w:rsidP="00AB6CA7">
      <w:pPr>
        <w:pStyle w:val="Caption"/>
      </w:pPr>
      <w:bookmarkStart w:id="8" w:name="_Ref235216112"/>
      <w:r>
        <w:t xml:space="preserve">Figure </w:t>
      </w:r>
      <w:r>
        <w:fldChar w:fldCharType="begin"/>
      </w:r>
      <w:r>
        <w:instrText xml:space="preserve"> SEQ Figure \* ARABIC </w:instrText>
      </w:r>
      <w:r>
        <w:fldChar w:fldCharType="separate"/>
      </w:r>
      <w:r w:rsidR="00A446A4">
        <w:rPr>
          <w:noProof/>
        </w:rPr>
        <w:t>2</w:t>
      </w:r>
      <w:r>
        <w:fldChar w:fldCharType="end"/>
      </w:r>
      <w:bookmarkEnd w:id="8"/>
      <w:r>
        <w:tab/>
        <w:t>Assessment framework showing the links from the test population to health outcomes (PICO 2)</w:t>
      </w:r>
    </w:p>
    <w:p w14:paraId="5761FFC5" w14:textId="77777777" w:rsidR="00AB6CA7" w:rsidRDefault="00AB6CA7" w:rsidP="00AB6CA7">
      <w:pPr>
        <w:pStyle w:val="Tablenotes"/>
        <w:keepLines/>
        <w:rPr>
          <w:szCs w:val="18"/>
        </w:rPr>
      </w:pPr>
      <w:r>
        <w:rPr>
          <w:szCs w:val="18"/>
        </w:rPr>
        <w:t xml:space="preserve">Abbreviations: CHB, chronic hepatitis B; NA, </w:t>
      </w:r>
      <w:r>
        <w:t>nucleos(t)ide analogue</w:t>
      </w:r>
    </w:p>
    <w:p w14:paraId="659E17C2" w14:textId="213265F0" w:rsidR="00AB6CA7" w:rsidRDefault="00AB6CA7" w:rsidP="00AB6CA7">
      <w:pPr>
        <w:pStyle w:val="Tablenotes"/>
        <w:keepLines/>
        <w:rPr>
          <w:szCs w:val="18"/>
        </w:rPr>
      </w:pPr>
      <w:r>
        <w:rPr>
          <w:szCs w:val="18"/>
        </w:rPr>
        <w:t>Figure notes: 1: direct from test to health outcomes evidence; 2: test accuracy; 3: change in diagnosis/treatment/management; 4: influence of the change in management on health outcomes; 5: adverse events due to testing; 6: adverse events due to treatment</w:t>
      </w:r>
    </w:p>
    <w:p w14:paraId="7A5287DF" w14:textId="6A2106E9" w:rsidR="00AB6CA7" w:rsidRPr="00A446A4" w:rsidRDefault="00AB6CA7" w:rsidP="00A446A4">
      <w:pPr>
        <w:pStyle w:val="Caption"/>
        <w:rPr>
          <w:lang w:val="en-AU"/>
        </w:rPr>
      </w:pPr>
    </w:p>
    <w:p w14:paraId="75836E9D" w14:textId="3CEC7B6D" w:rsidR="00856872" w:rsidRDefault="00856872" w:rsidP="00524DA3">
      <w:pPr>
        <w:pStyle w:val="Heading4"/>
      </w:pPr>
      <w:r>
        <w:t>PICO 2 – Post functional cure monitoring following NA cessation</w:t>
      </w:r>
    </w:p>
    <w:p w14:paraId="7AF0E312" w14:textId="4E42D259" w:rsidR="00856872" w:rsidRDefault="009135A4" w:rsidP="009135A4">
      <w:pPr>
        <w:pStyle w:val="ListParagraph"/>
        <w:numPr>
          <w:ilvl w:val="0"/>
          <w:numId w:val="7"/>
        </w:numPr>
      </w:pPr>
      <w:r w:rsidRPr="009135A4">
        <w:t>What is the comparative safety, effectiveness and cost-effectiveness of the proposed post-functional cure monitoring algorithm versus current post-treatment monitoring in patients with CHB who have achieved functional cure following bepirovirsen treatment?</w:t>
      </w:r>
    </w:p>
    <w:p w14:paraId="2080E100" w14:textId="62C82EFA" w:rsidR="00856872" w:rsidRPr="008612A9" w:rsidRDefault="000514B5" w:rsidP="008276FC">
      <w:pPr>
        <w:pStyle w:val="ListParagraph"/>
        <w:numPr>
          <w:ilvl w:val="0"/>
          <w:numId w:val="7"/>
        </w:numPr>
      </w:pPr>
      <w:r>
        <w:t>What evidence supports the proposed monitoring frequency and duration following functional cure</w:t>
      </w:r>
      <w:r w:rsidR="00E64B04">
        <w:t xml:space="preserve">? </w:t>
      </w:r>
    </w:p>
    <w:p w14:paraId="5C42A094" w14:textId="52AAFE6D" w:rsidR="00856872" w:rsidRDefault="009135A4" w:rsidP="003564C6">
      <w:pPr>
        <w:pStyle w:val="ListParagraph"/>
        <w:numPr>
          <w:ilvl w:val="0"/>
          <w:numId w:val="7"/>
        </w:numPr>
      </w:pPr>
      <w:r w:rsidRPr="009135A4">
        <w:t>Compared with current monitoring approaches, do</w:t>
      </w:r>
      <w:r w:rsidR="00517F41">
        <w:t>es</w:t>
      </w:r>
      <w:r w:rsidRPr="009135A4">
        <w:t xml:space="preserve"> the </w:t>
      </w:r>
      <w:r w:rsidR="00517F41" w:rsidRPr="00A446A4">
        <w:t>proposed monitoring algorithm</w:t>
      </w:r>
      <w:r w:rsidR="00517F41">
        <w:t xml:space="preserve">, </w:t>
      </w:r>
      <w:r w:rsidR="00517F41" w:rsidRPr="008276FC">
        <w:t>including the HBsAg-led strategy whereby HBV DNA testing is triggered by HBsAg positivity,</w:t>
      </w:r>
      <w:r w:rsidR="00517F41" w:rsidRPr="00A446A4">
        <w:t xml:space="preserve"> adequately detect loss of functional cure and inform reinitiation of </w:t>
      </w:r>
      <w:r w:rsidR="00517F41">
        <w:t xml:space="preserve">NA </w:t>
      </w:r>
      <w:r w:rsidR="00517F41" w:rsidRPr="00A446A4">
        <w:t>therapy</w:t>
      </w:r>
      <w:r w:rsidR="00517F41">
        <w:t>,</w:t>
      </w:r>
      <w:r w:rsidR="00517F41" w:rsidRPr="00A446A4">
        <w:t xml:space="preserve"> compared with current monitoring approaches?</w:t>
      </w:r>
    </w:p>
    <w:p w14:paraId="5D0346ED" w14:textId="17CE56A7" w:rsidR="00856872" w:rsidRDefault="008276FC" w:rsidP="003564C6">
      <w:pPr>
        <w:pStyle w:val="ListParagraph"/>
        <w:numPr>
          <w:ilvl w:val="0"/>
          <w:numId w:val="7"/>
        </w:numPr>
      </w:pPr>
      <w:r w:rsidRPr="008276FC">
        <w:t xml:space="preserve">Is earlier detection of relapse and subsequent timely reinitiation of NA therapy associated with improved long-term health outcomes, including avoidance of hepatic flare, decompensation and </w:t>
      </w:r>
      <w:r w:rsidR="00262829">
        <w:t>HCC</w:t>
      </w:r>
      <w:r w:rsidRPr="008276FC">
        <w:t>?</w:t>
      </w:r>
    </w:p>
    <w:p w14:paraId="3348BFE9" w14:textId="3A0DF747" w:rsidR="00856872" w:rsidRDefault="00856872" w:rsidP="003564C6">
      <w:pPr>
        <w:pStyle w:val="ListParagraph"/>
        <w:numPr>
          <w:ilvl w:val="0"/>
          <w:numId w:val="7"/>
        </w:numPr>
      </w:pPr>
      <w:r>
        <w:t>What is the</w:t>
      </w:r>
      <w:r w:rsidR="00C31B0C">
        <w:t xml:space="preserve"> comparative</w:t>
      </w:r>
      <w:r>
        <w:t xml:space="preserve"> safety of the proposed </w:t>
      </w:r>
      <w:r w:rsidR="00C31B0C">
        <w:t>post</w:t>
      </w:r>
      <w:r w:rsidR="008276FC">
        <w:t xml:space="preserve"> functional cure </w:t>
      </w:r>
      <w:r>
        <w:t xml:space="preserve">monitoring </w:t>
      </w:r>
      <w:r w:rsidR="008276FC">
        <w:t>algorithm versus current monitoring approaches</w:t>
      </w:r>
      <w:r>
        <w:t>?</w:t>
      </w:r>
    </w:p>
    <w:p w14:paraId="6A586CE2" w14:textId="1C1F8B86" w:rsidR="00856872" w:rsidRDefault="008276FC" w:rsidP="003564C6">
      <w:pPr>
        <w:pStyle w:val="ListParagraph"/>
        <w:numPr>
          <w:ilvl w:val="0"/>
          <w:numId w:val="7"/>
        </w:numPr>
      </w:pPr>
      <w:r>
        <w:t>What is the comparative safety of NA therapy re-initiation triggered by the proposed monitoring algorithm versus current monitoring approaches?</w:t>
      </w:r>
    </w:p>
    <w:p w14:paraId="7C3E1809" w14:textId="00E9AB96" w:rsidR="00580BC7" w:rsidRPr="002F52D6" w:rsidRDefault="00580BC7" w:rsidP="002F52D6">
      <w:pPr>
        <w:rPr>
          <w:i/>
          <w:iCs/>
        </w:rPr>
      </w:pPr>
      <w:r w:rsidRPr="002F52D6">
        <w:rPr>
          <w:i/>
          <w:iCs/>
        </w:rPr>
        <w:t>PASC agreed with the proposed assessment frameworks, noting that assessment of diagnostic accuracy would not be required for established tests, but further consideration of diagnostic accuracy regarding q</w:t>
      </w:r>
      <w:r w:rsidR="00012796">
        <w:rPr>
          <w:i/>
          <w:iCs/>
        </w:rPr>
        <w:t xml:space="preserve">uantitative </w:t>
      </w:r>
      <w:r w:rsidRPr="002F52D6">
        <w:rPr>
          <w:i/>
          <w:iCs/>
        </w:rPr>
        <w:t xml:space="preserve">HBsAg testing is required given </w:t>
      </w:r>
      <w:r w:rsidR="00A36EA8">
        <w:rPr>
          <w:i/>
          <w:iCs/>
        </w:rPr>
        <w:t>that it is not routinely used in clinical practice currently and</w:t>
      </w:r>
      <w:r w:rsidRPr="002F52D6">
        <w:rPr>
          <w:i/>
          <w:iCs/>
        </w:rPr>
        <w:t xml:space="preserve"> its role in treatment selection within the proposed algorithm. </w:t>
      </w:r>
    </w:p>
    <w:p w14:paraId="21931A43" w14:textId="195703CB" w:rsidR="273A0F1C" w:rsidRPr="002F52D6" w:rsidRDefault="00580BC7" w:rsidP="273A0F1C">
      <w:pPr>
        <w:rPr>
          <w:i/>
          <w:iCs/>
        </w:rPr>
      </w:pPr>
      <w:r w:rsidRPr="002F52D6">
        <w:rPr>
          <w:i/>
          <w:iCs/>
        </w:rPr>
        <w:t>PASC agreed that the application met the definition of a co-dependent technology, as testing is required to inform treatment decisions regarding bepirovirsen use.</w:t>
      </w:r>
    </w:p>
    <w:p w14:paraId="6069F0B5" w14:textId="77777777" w:rsidR="00D73332" w:rsidRDefault="00D73332" w:rsidP="00713728">
      <w:pPr>
        <w:pStyle w:val="Heading2"/>
      </w:pPr>
      <w:r>
        <w:t>Clinical management algorithms</w:t>
      </w:r>
    </w:p>
    <w:p w14:paraId="7119955A" w14:textId="77777777" w:rsidR="006C7A30" w:rsidRDefault="006C7A30" w:rsidP="00163ABF">
      <w:pPr>
        <w:pStyle w:val="Heading3"/>
      </w:pPr>
      <w:r>
        <w:t>Current clinical management</w:t>
      </w:r>
    </w:p>
    <w:p w14:paraId="7AC79913" w14:textId="2370F02C" w:rsidR="005B752D" w:rsidRPr="005C0F7D" w:rsidRDefault="005B752D" w:rsidP="00163ABF">
      <w:pPr>
        <w:pStyle w:val="Heading4"/>
      </w:pPr>
      <w:r>
        <w:t>PICO 1</w:t>
      </w:r>
    </w:p>
    <w:p w14:paraId="34036A60" w14:textId="01384FB4" w:rsidR="00A249AF" w:rsidRDefault="00A249AF" w:rsidP="00A249AF">
      <w:r>
        <w:t>T</w:t>
      </w:r>
      <w:r w:rsidRPr="005B752D">
        <w:t>he current clinical management pathway for patients with CHB receiving NA therapy</w:t>
      </w:r>
      <w:r>
        <w:t xml:space="preserve"> is presented in</w:t>
      </w:r>
      <w:r w:rsidR="00553267">
        <w:t xml:space="preserve"> Figure 3</w:t>
      </w:r>
      <w:r>
        <w:fldChar w:fldCharType="begin"/>
      </w:r>
      <w:r>
        <w:instrText xml:space="preserve"> REF _Ref235112152 \h </w:instrText>
      </w:r>
      <w:r>
        <w:fldChar w:fldCharType="end"/>
      </w:r>
      <w:r w:rsidRPr="005B752D">
        <w:t>.</w:t>
      </w:r>
    </w:p>
    <w:p w14:paraId="7D839128" w14:textId="563D8225" w:rsidR="006C7A30" w:rsidRDefault="006C7A30" w:rsidP="006C7A30">
      <w:r>
        <w:t xml:space="preserve">Patients with CHB receiving NA therapy are managed with long-term antiviral treatment and regular monitoring. </w:t>
      </w:r>
      <w:r w:rsidR="00C62336" w:rsidRPr="00C62336">
        <w:t>Current Australian consensus recommendations (GESA 2022) and international guidelines</w:t>
      </w:r>
      <w:r w:rsidR="00257EB9">
        <w:t>,</w:t>
      </w:r>
      <w:r w:rsidR="00C62336" w:rsidRPr="00C62336">
        <w:t xml:space="preserve"> </w:t>
      </w:r>
      <w:r w:rsidR="00257EB9">
        <w:t xml:space="preserve">including the </w:t>
      </w:r>
      <w:r w:rsidR="00257EB9" w:rsidRPr="00C62336">
        <w:t>2025</w:t>
      </w:r>
      <w:r w:rsidR="00257EB9" w:rsidRPr="00C62336" w:rsidDel="00257EB9">
        <w:t xml:space="preserve"> </w:t>
      </w:r>
      <w:r w:rsidR="00C62336" w:rsidRPr="00C62336">
        <w:t>EASL</w:t>
      </w:r>
      <w:r w:rsidR="00257EB9">
        <w:t xml:space="preserve"> Clinical Practice Guidelines and the</w:t>
      </w:r>
      <w:r w:rsidR="00C62336" w:rsidRPr="00C62336">
        <w:t xml:space="preserve"> AASLD</w:t>
      </w:r>
      <w:r w:rsidR="00257EB9">
        <w:t>-</w:t>
      </w:r>
      <w:r w:rsidR="00C62336" w:rsidRPr="00C62336">
        <w:t xml:space="preserve">IDSA </w:t>
      </w:r>
      <w:r w:rsidR="00257EB9">
        <w:t xml:space="preserve">Practice Guideline, </w:t>
      </w:r>
      <w:r w:rsidR="00C62336" w:rsidRPr="00C62336">
        <w:t xml:space="preserve">support </w:t>
      </w:r>
      <w:r w:rsidR="00C62336">
        <w:t>regular m</w:t>
      </w:r>
      <w:r>
        <w:t>onitoring includ</w:t>
      </w:r>
      <w:r w:rsidR="00C62336">
        <w:t>ing</w:t>
      </w:r>
      <w:r>
        <w:t xml:space="preserve"> HBV DNA</w:t>
      </w:r>
      <w:r w:rsidR="00AD6B73">
        <w:t xml:space="preserve">, </w:t>
      </w:r>
      <w:r>
        <w:t>ALT, and hepatitis B serolog</w:t>
      </w:r>
      <w:r w:rsidR="00257EB9">
        <w:t>ical markers</w:t>
      </w:r>
      <w:r>
        <w:t>, with the frequency and selection of tests guided by disease activity, treatment status, and individual patient factors.</w:t>
      </w:r>
      <w:r w:rsidR="004364DE" w:rsidRPr="004364DE">
        <w:t xml:space="preserve"> </w:t>
      </w:r>
      <w:r w:rsidR="004364DE">
        <w:t>Emerging guidance</w:t>
      </w:r>
      <w:r w:rsidR="00257EB9">
        <w:t>, particularly from</w:t>
      </w:r>
      <w:r w:rsidR="004364DE">
        <w:t xml:space="preserve"> EASL</w:t>
      </w:r>
      <w:r w:rsidR="00257EB9">
        <w:t>,</w:t>
      </w:r>
      <w:r w:rsidR="004364DE">
        <w:t xml:space="preserve"> also recognises an increasing role for qHBsAg in patient stratification, treatment decision-making and </w:t>
      </w:r>
      <w:r w:rsidR="00257EB9">
        <w:t xml:space="preserve">assessment of </w:t>
      </w:r>
      <w:r w:rsidR="004364DE">
        <w:t>functional cure.</w:t>
      </w:r>
    </w:p>
    <w:p w14:paraId="7C264EE5" w14:textId="467109AB" w:rsidR="004364DE" w:rsidRPr="005B752D" w:rsidRDefault="004364DE" w:rsidP="004364DE">
      <w:r>
        <w:t>L</w:t>
      </w:r>
      <w:r w:rsidRPr="005B752D">
        <w:t xml:space="preserve">oss of HBsAg may occur during long-term treatment, </w:t>
      </w:r>
      <w:r>
        <w:t xml:space="preserve">however </w:t>
      </w:r>
      <w:r w:rsidRPr="005B752D">
        <w:t xml:space="preserve">this outcome is </w:t>
      </w:r>
      <w:r>
        <w:t>rare</w:t>
      </w:r>
      <w:r w:rsidRPr="005B752D">
        <w:t xml:space="preserve"> with currently approved antiviral therapies. </w:t>
      </w:r>
      <w:r>
        <w:t>Therefore</w:t>
      </w:r>
      <w:r w:rsidRPr="005B752D">
        <w:t xml:space="preserve">, treatment is often continued for many years and may be lifelong </w:t>
      </w:r>
      <w:r w:rsidRPr="005B752D">
        <w:lastRenderedPageBreak/>
        <w:t>for some patients. Patients who achieve HBsAg loss may be considered for treatment cessation, with ongoing monitoring performed following discontinuation of therapy.</w:t>
      </w:r>
    </w:p>
    <w:p w14:paraId="0EF44548" w14:textId="77777777" w:rsidR="00A249AF" w:rsidRDefault="00A249AF" w:rsidP="00A249AF">
      <w:r>
        <w:rPr>
          <w:noProof/>
        </w:rPr>
        <w:drawing>
          <wp:inline distT="0" distB="0" distL="0" distR="0" wp14:anchorId="02C34D8B" wp14:editId="1982858C">
            <wp:extent cx="6083935" cy="3422015"/>
            <wp:effectExtent l="0" t="0" r="0" b="6985"/>
            <wp:docPr id="907699779" name="Picture 6" descr="Flowchart illustrating current chronic hepatitis B (CHB) diagnosis and treatment pathway, starting with clinical assessment and eligibility for nucleos(t)ide analog (NA) therapy. Key steps include routine and ongoing monitoring of HBV DNA, ALT, HBeAg, fibrosis, and HCC surveillance, with decision points on virological suppression, adherence, and functional cure guiding continuation or cessation of thera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699779" name="Picture 6" descr="Flowchart illustrating current chronic hepatitis B (CHB) diagnosis and treatment pathway, starting with clinical assessment and eligibility for nucleos(t)ide analog (NA) therapy. Key steps include routine and ongoing monitoring of HBV DNA, ALT, HBeAg, fibrosis, and HCC surveillance, with decision points on virological suppression, adherence, and functional cure guiding continuation or cessation of therapy."/>
                    <pic:cNvPicPr/>
                  </pic:nvPicPr>
                  <pic:blipFill>
                    <a:blip r:embed="rId10">
                      <a:extLst>
                        <a:ext uri="{28A0092B-C50C-407E-A947-70E740481C1C}">
                          <a14:useLocalDpi xmlns:a14="http://schemas.microsoft.com/office/drawing/2010/main" val="0"/>
                        </a:ext>
                      </a:extLst>
                    </a:blip>
                    <a:stretch>
                      <a:fillRect/>
                    </a:stretch>
                  </pic:blipFill>
                  <pic:spPr>
                    <a:xfrm>
                      <a:off x="0" y="0"/>
                      <a:ext cx="6083935" cy="3422015"/>
                    </a:xfrm>
                    <a:prstGeom prst="rect">
                      <a:avLst/>
                    </a:prstGeom>
                  </pic:spPr>
                </pic:pic>
              </a:graphicData>
            </a:graphic>
          </wp:inline>
        </w:drawing>
      </w:r>
    </w:p>
    <w:p w14:paraId="4C128BEF" w14:textId="009E90A9" w:rsidR="00A249AF" w:rsidRDefault="00A249AF" w:rsidP="00A249AF">
      <w:pPr>
        <w:pStyle w:val="Caption"/>
      </w:pPr>
      <w:r>
        <w:t xml:space="preserve">Figure </w:t>
      </w:r>
      <w:r>
        <w:fldChar w:fldCharType="begin"/>
      </w:r>
      <w:r>
        <w:instrText xml:space="preserve"> SEQ Figure \* ARABIC </w:instrText>
      </w:r>
      <w:r>
        <w:fldChar w:fldCharType="separate"/>
      </w:r>
      <w:r w:rsidR="00A446A4">
        <w:rPr>
          <w:noProof/>
        </w:rPr>
        <w:t>3</w:t>
      </w:r>
      <w:r>
        <w:fldChar w:fldCharType="end"/>
      </w:r>
      <w:r>
        <w:tab/>
        <w:t>Current clinical management algorithm for CHB in patients receiving NA therapy (PICO 1)</w:t>
      </w:r>
    </w:p>
    <w:p w14:paraId="7E8F332D" w14:textId="77777777" w:rsidR="00A249AF" w:rsidRDefault="00A249AF" w:rsidP="00A249AF">
      <w:pPr>
        <w:pStyle w:val="Tablenotes"/>
      </w:pPr>
      <w:r>
        <w:rPr>
          <w:lang w:val="en-GB" w:eastAsia="ja-JP"/>
        </w:rPr>
        <w:t xml:space="preserve">Abbreviations: ALT, </w:t>
      </w:r>
      <w:r>
        <w:t>alanine aminotransferase</w:t>
      </w:r>
      <w:r>
        <w:rPr>
          <w:lang w:eastAsia="ja-JP"/>
        </w:rPr>
        <w:t xml:space="preserve">; </w:t>
      </w:r>
      <w:r>
        <w:rPr>
          <w:lang w:val="en-GB" w:eastAsia="ja-JP"/>
        </w:rPr>
        <w:t xml:space="preserve">CHB, </w:t>
      </w:r>
      <w:r>
        <w:rPr>
          <w:szCs w:val="18"/>
        </w:rPr>
        <w:t>chronic hepatitis B;</w:t>
      </w:r>
      <w:r>
        <w:rPr>
          <w:lang w:val="en-GB" w:eastAsia="ja-JP"/>
        </w:rPr>
        <w:t xml:space="preserve"> </w:t>
      </w:r>
      <w:r>
        <w:t>HBeAg, hepatitis B e-antigen; HBsAg, hepatitis B surface antigen;</w:t>
      </w:r>
      <w:r>
        <w:rPr>
          <w:lang w:val="en-GB" w:eastAsia="ja-JP"/>
        </w:rPr>
        <w:t xml:space="preserve"> HCC, </w:t>
      </w:r>
      <w:r>
        <w:t>hepatocellular carcinoma;</w:t>
      </w:r>
      <w:r>
        <w:rPr>
          <w:lang w:val="en-GB" w:eastAsia="ja-JP"/>
        </w:rPr>
        <w:t xml:space="preserve"> HBV DNA; hepatis B viral DNA; </w:t>
      </w:r>
      <w:r>
        <w:rPr>
          <w:szCs w:val="18"/>
        </w:rPr>
        <w:t xml:space="preserve">NA, </w:t>
      </w:r>
      <w:r>
        <w:t>nucleos(t)ide analogue;</w:t>
      </w:r>
    </w:p>
    <w:p w14:paraId="56AB4001" w14:textId="77777777" w:rsidR="00A249AF" w:rsidRDefault="00A249AF" w:rsidP="001F5803">
      <w:pPr>
        <w:pStyle w:val="Tablenotes"/>
      </w:pPr>
      <w:r>
        <w:t>Source: Generated for the PICO based on CHB clinical practice guidelines (GESA 2022, EASL 2025, AASLD 2025)</w:t>
      </w:r>
    </w:p>
    <w:p w14:paraId="68D68C37" w14:textId="77777777" w:rsidR="001F5803" w:rsidRPr="001F5803" w:rsidRDefault="001F5803" w:rsidP="001F5803">
      <w:pPr>
        <w:pStyle w:val="Tablenotes"/>
      </w:pPr>
    </w:p>
    <w:p w14:paraId="53A47D90" w14:textId="37716402" w:rsidR="00A249AF" w:rsidRDefault="007C477A" w:rsidP="00163ABF">
      <w:pPr>
        <w:pStyle w:val="Heading4"/>
      </w:pPr>
      <w:r w:rsidRPr="00A446A4">
        <w:t>PICO 2</w:t>
      </w:r>
    </w:p>
    <w:p w14:paraId="743C1B46" w14:textId="12DA7BF4" w:rsidR="00A249AF" w:rsidRPr="00A249AF" w:rsidRDefault="00A249AF" w:rsidP="004364DE">
      <w:r>
        <w:t>T</w:t>
      </w:r>
      <w:r w:rsidRPr="005B752D">
        <w:t xml:space="preserve">he current clinical management pathway for patients with CHB </w:t>
      </w:r>
      <w:r>
        <w:t xml:space="preserve">who achieve a functional cure is presented in </w:t>
      </w:r>
      <w:r>
        <w:fldChar w:fldCharType="begin"/>
      </w:r>
      <w:r>
        <w:instrText xml:space="preserve"> REF _Ref235213096 \h </w:instrText>
      </w:r>
      <w:r>
        <w:fldChar w:fldCharType="separate"/>
      </w:r>
      <w:r w:rsidR="00A446A4">
        <w:t xml:space="preserve">Figure </w:t>
      </w:r>
      <w:r w:rsidR="00A446A4">
        <w:rPr>
          <w:noProof/>
        </w:rPr>
        <w:t>4</w:t>
      </w:r>
      <w:r>
        <w:fldChar w:fldCharType="end"/>
      </w:r>
      <w:r w:rsidRPr="005B752D">
        <w:t>.</w:t>
      </w:r>
    </w:p>
    <w:p w14:paraId="422D71DB" w14:textId="103AEAD7" w:rsidR="007C477A" w:rsidRDefault="00257EB9" w:rsidP="006C7A30">
      <w:r w:rsidRPr="00257EB9">
        <w:t>Guidance regarding monitoring and management following functional cure is limited. The 2025 EASL Clinical Practice Guidelines</w:t>
      </w:r>
      <w:r w:rsidR="000324F2">
        <w:fldChar w:fldCharType="begin"/>
      </w:r>
      <w:r w:rsidR="000324F2">
        <w:instrText xml:space="preserve"> ADDIN EN.CITE &lt;EndNote&gt;&lt;Cite&gt;&lt;Author&gt;Cornberg&lt;/Author&gt;&lt;Year&gt;2025&lt;/Year&gt;&lt;RecNum&gt;4&lt;/RecNum&gt;&lt;DisplayText&gt;(Cornberg et al., 2025)&lt;/DisplayText&gt;&lt;record&gt;&lt;rec-number&gt;4&lt;/rec-number&gt;&lt;foreign-keys&gt;&lt;key app="EN" db-id="zv5axz5eqtvwd2eve9npz227rdzp0s0r2r9s" timestamp="1783321169"&gt;4&lt;/key&gt;&lt;/foreign-keys&gt;&lt;ref-type name="Journal Article"&gt;17&lt;/ref-type&gt;&lt;contributors&gt;&lt;authors&gt;&lt;author&gt;Cornberg, Markus&lt;/author&gt;&lt;author&gt;Sandmann, Lisa&lt;/author&gt;&lt;author&gt;Jaroszewicz, Jerzy&lt;/author&gt;&lt;author&gt;Kennedy, Patrick&lt;/author&gt;&lt;author&gt;Lampertico, Pietro&lt;/author&gt;&lt;author&gt;Lemoine, Maud&lt;/author&gt;&lt;author&gt;Lens, Sabela&lt;/author&gt;&lt;author&gt;Testoni, Barbara&lt;/author&gt;&lt;author&gt;Lai-Hung Wong, Grace&lt;/author&gt;&lt;author&gt;Russo, Francesco Paolo&lt;/author&gt;&lt;/authors&gt;&lt;/contributors&gt;&lt;titles&gt;&lt;title&gt;EASL Clinical Practice Guidelines on the management of hepatitis B virus infection&lt;/title&gt;&lt;secondary-title&gt;Journal of Hepatology&lt;/secondary-title&gt;&lt;/titles&gt;&lt;periodical&gt;&lt;full-title&gt;Journal of Hepatology&lt;/full-title&gt;&lt;/periodical&gt;&lt;pages&gt;502-583&lt;/pages&gt;&lt;volume&gt;83&lt;/volume&gt;&lt;number&gt;2&lt;/number&gt;&lt;dates&gt;&lt;year&gt;2025&lt;/year&gt;&lt;/dates&gt;&lt;publisher&gt;Elsevier&lt;/publisher&gt;&lt;isbn&gt;0168-8278&lt;/isbn&gt;&lt;urls&gt;&lt;related-urls&gt;&lt;url&gt;https://doi.org/10.1016/j.jhep.2025.03.018&lt;/url&gt;&lt;/related-urls&gt;&lt;/urls&gt;&lt;electronic-resource-num&gt;10.1016/j.jhep.2025.03.018&lt;/electronic-resource-num&gt;&lt;access-date&gt;2026/07/05&lt;/access-date&gt;&lt;/record&gt;&lt;/Cite&gt;&lt;/EndNote&gt;</w:instrText>
      </w:r>
      <w:r w:rsidR="000324F2">
        <w:fldChar w:fldCharType="separate"/>
      </w:r>
      <w:r w:rsidR="000324F2">
        <w:rPr>
          <w:noProof/>
        </w:rPr>
        <w:t>(Cornberg et al., 2025)</w:t>
      </w:r>
      <w:r w:rsidR="000324F2">
        <w:fldChar w:fldCharType="end"/>
      </w:r>
      <w:r w:rsidR="000324F2">
        <w:t xml:space="preserve"> </w:t>
      </w:r>
      <w:r w:rsidR="006C7A30">
        <w:t>include an explicit statement regarding monitoring after confirmed HBsAg loss on NA therapy:</w:t>
      </w:r>
      <w:r w:rsidR="007C477A">
        <w:t xml:space="preserve"> </w:t>
      </w:r>
      <w:r w:rsidR="005E1B6B">
        <w:t xml:space="preserve"> </w:t>
      </w:r>
      <w:r w:rsidR="005E1B6B" w:rsidRPr="00A446A4">
        <w:rPr>
          <w:i/>
          <w:iCs/>
        </w:rPr>
        <w:t>“Data on long-term outcomes following HBsAg loss with antiviral therapy are limited. Therefore, regular monitoring of HBV DNA and ALT levels at 3-month intervals is recommended during the first year after discontinuing NA therapy. Subsequently, monitoring should be adjusted to 6-12-month intervals, considering factors such as comorbidities, age, sex, and the degree of liver fibrosis, particularly given the risk of developing HCC.</w:t>
      </w:r>
      <w:r w:rsidR="005E1B6B">
        <w:t>”</w:t>
      </w:r>
      <w:r w:rsidR="007C477A">
        <w:t xml:space="preserve"> </w:t>
      </w:r>
      <w:r w:rsidR="006C7A30">
        <w:t>However</w:t>
      </w:r>
      <w:r w:rsidR="006F1806">
        <w:t>,</w:t>
      </w:r>
      <w:r w:rsidR="00261A11">
        <w:t xml:space="preserve"> </w:t>
      </w:r>
      <w:r>
        <w:t xml:space="preserve">no specific recommendations regarding monitoring after confirmed HBsAg loss were identified </w:t>
      </w:r>
      <w:r w:rsidR="00261A11">
        <w:t>in</w:t>
      </w:r>
      <w:r w:rsidR="006C7A30">
        <w:t xml:space="preserve"> other </w:t>
      </w:r>
      <w:r w:rsidR="00261A11">
        <w:t xml:space="preserve">CHB </w:t>
      </w:r>
      <w:r w:rsidR="006C7A30">
        <w:t>guidelines</w:t>
      </w:r>
      <w:r>
        <w:t>,</w:t>
      </w:r>
      <w:r w:rsidR="00261A11">
        <w:t xml:space="preserve"> </w:t>
      </w:r>
      <w:r w:rsidR="007C477A">
        <w:t xml:space="preserve">including </w:t>
      </w:r>
      <w:r w:rsidR="00261A11">
        <w:t xml:space="preserve">GESA </w:t>
      </w:r>
      <w:r>
        <w:t xml:space="preserve">consensus recommendations </w:t>
      </w:r>
      <w:r w:rsidR="000428D0">
        <w:fldChar w:fldCharType="begin">
          <w:fldData xml:space="preserve">PEVuZE5vdGU+PENpdGU+PEF1dGhvcj5MdWJlbDwvQXV0aG9yPjxZZWFyPjIwMjI8L1llYXI+PFJl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</w:fldData>
        </w:fldChar>
      </w:r>
      <w:r w:rsidR="000428D0">
        <w:instrText xml:space="preserve"> ADDIN EN.CITE </w:instrText>
      </w:r>
      <w:r w:rsidR="000428D0">
        <w:fldChar w:fldCharType="begin">
          <w:fldData xml:space="preserve">PEVuZE5vdGU+PENpdGU+PEF1dGhvcj5MdWJlbDwvQXV0aG9yPjxZZWFyPjIwMjI8L1llYXI+PFJl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</w:fldData>
        </w:fldChar>
      </w:r>
      <w:r w:rsidR="000428D0">
        <w:instrText xml:space="preserve"> ADDIN EN.CITE.DATA </w:instrText>
      </w:r>
      <w:r w:rsidR="000428D0">
        <w:fldChar w:fldCharType="end"/>
      </w:r>
      <w:r w:rsidR="000428D0">
        <w:fldChar w:fldCharType="separate"/>
      </w:r>
      <w:r w:rsidR="000428D0">
        <w:rPr>
          <w:noProof/>
        </w:rPr>
        <w:t>(Lubel et al., 2022)</w:t>
      </w:r>
      <w:r w:rsidR="000428D0">
        <w:fldChar w:fldCharType="end"/>
      </w:r>
      <w:r w:rsidR="000428D0">
        <w:t xml:space="preserve"> </w:t>
      </w:r>
      <w:r>
        <w:t xml:space="preserve">and the </w:t>
      </w:r>
      <w:r w:rsidR="00261A11">
        <w:t>AASLD</w:t>
      </w:r>
      <w:r>
        <w:t>-IDSA Practice Guideline</w:t>
      </w:r>
      <w:r w:rsidR="000324F2">
        <w:t xml:space="preserve"> </w:t>
      </w:r>
      <w:r w:rsidR="000324F2">
        <w:fldChar w:fldCharType="begin">
          <w:fldData xml:space="preserve">PEVuZE5vdGU+PENpdGU+PEF1dGhvcj5HaGFueTwvQXV0aG9yPjxZZWFyPjIwMjY8L1llYXI+PFJl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</w:fldData>
        </w:fldChar>
      </w:r>
      <w:r w:rsidR="000324F2">
        <w:instrText xml:space="preserve"> ADDIN EN.CITE </w:instrText>
      </w:r>
      <w:r w:rsidR="000324F2">
        <w:fldChar w:fldCharType="begin">
          <w:fldData xml:space="preserve">PEVuZE5vdGU+PENpdGU+PEF1dGhvcj5HaGFueTwvQXV0aG9yPjxZZWFyPjIwMjY8L1llYXI+PFJl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</w:fldData>
        </w:fldChar>
      </w:r>
      <w:r w:rsidR="000324F2">
        <w:instrText xml:space="preserve"> ADDIN EN.CITE.DATA </w:instrText>
      </w:r>
      <w:r w:rsidR="000324F2">
        <w:fldChar w:fldCharType="end"/>
      </w:r>
      <w:r w:rsidR="000324F2">
        <w:fldChar w:fldCharType="separate"/>
      </w:r>
      <w:r w:rsidR="000324F2">
        <w:rPr>
          <w:noProof/>
        </w:rPr>
        <w:t>(Ghany et al., 2026)</w:t>
      </w:r>
      <w:r w:rsidR="000324F2">
        <w:fldChar w:fldCharType="end"/>
      </w:r>
      <w:r>
        <w:t>.</w:t>
      </w:r>
    </w:p>
    <w:p w14:paraId="6001B516" w14:textId="1872DC8E" w:rsidR="00D36CAD" w:rsidRDefault="00B92EFD" w:rsidP="00A446A4">
      <w:pPr>
        <w:pStyle w:val="Tablenotes"/>
        <w:keepNext/>
      </w:pPr>
      <w:r>
        <w:rPr>
          <w:noProof/>
          <w:snapToGrid/>
        </w:rPr>
        <w:lastRenderedPageBreak/>
        <w:drawing>
          <wp:inline distT="0" distB="0" distL="0" distR="0" wp14:anchorId="6A7216BF" wp14:editId="64297A36">
            <wp:extent cx="6083935" cy="3422015"/>
            <wp:effectExtent l="0" t="0" r="0" b="6985"/>
            <wp:docPr id="1863009243" name="Picture 9" descr="Flowchart illustrating current post-treatment monitoring and management for patients with chronic hepatitis B who have achieved functional cure. It details monitoring schedules for HBV DNA, ALT, and HBsAg, and decision points for evidence of relapse leading to either continued routine follow-up or clinical review and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009243" name="Picture 9" descr="Flowchart illustrating current post-treatment monitoring and management for patients with chronic hepatitis B who have achieved functional cure. It details monitoring schedules for HBV DNA, ALT, and HBsAg, and decision points for evidence of relapse leading to either continued routine follow-up or clinical review and management."/>
                    <pic:cNvPicPr/>
                  </pic:nvPicPr>
                  <pic:blipFill>
                    <a:blip r:embed="rId11">
                      <a:extLst>
                        <a:ext uri="{28A0092B-C50C-407E-A947-70E740481C1C}">
                          <a14:useLocalDpi xmlns:a14="http://schemas.microsoft.com/office/drawing/2010/main" val="0"/>
                        </a:ext>
                      </a:extLst>
                    </a:blip>
                    <a:stretch>
                      <a:fillRect/>
                    </a:stretch>
                  </pic:blipFill>
                  <pic:spPr>
                    <a:xfrm>
                      <a:off x="0" y="0"/>
                      <a:ext cx="6083935" cy="3422015"/>
                    </a:xfrm>
                    <a:prstGeom prst="rect">
                      <a:avLst/>
                    </a:prstGeom>
                  </pic:spPr>
                </pic:pic>
              </a:graphicData>
            </a:graphic>
          </wp:inline>
        </w:drawing>
      </w:r>
    </w:p>
    <w:p w14:paraId="6F32C596" w14:textId="58C96866" w:rsidR="00D36CAD" w:rsidRDefault="00D36CAD" w:rsidP="00D36CAD">
      <w:pPr>
        <w:pStyle w:val="Caption"/>
        <w:jc w:val="both"/>
      </w:pPr>
      <w:bookmarkStart w:id="9" w:name="_Ref235213096"/>
      <w:r>
        <w:t xml:space="preserve">Figure </w:t>
      </w:r>
      <w:r>
        <w:fldChar w:fldCharType="begin"/>
      </w:r>
      <w:r>
        <w:instrText xml:space="preserve"> SEQ Figure \* ARABIC </w:instrText>
      </w:r>
      <w:r>
        <w:fldChar w:fldCharType="separate"/>
      </w:r>
      <w:r w:rsidR="00A446A4">
        <w:rPr>
          <w:noProof/>
        </w:rPr>
        <w:t>4</w:t>
      </w:r>
      <w:r>
        <w:fldChar w:fldCharType="end"/>
      </w:r>
      <w:bookmarkEnd w:id="9"/>
      <w:r>
        <w:t xml:space="preserve"> Current clinical management algorithm for </w:t>
      </w:r>
      <w:r w:rsidR="00B92EFD">
        <w:t>CHB in patients who achieve functional cure (</w:t>
      </w:r>
      <w:r>
        <w:t>PICO 2</w:t>
      </w:r>
      <w:r w:rsidR="00B92EFD">
        <w:t>)</w:t>
      </w:r>
    </w:p>
    <w:p w14:paraId="1C1590CC" w14:textId="4B394AC0" w:rsidR="0090766A" w:rsidRPr="00A446A4" w:rsidRDefault="0090766A" w:rsidP="0090766A">
      <w:pPr>
        <w:pStyle w:val="Tablenotes"/>
      </w:pPr>
      <w:r>
        <w:rPr>
          <w:lang w:val="en-GB" w:eastAsia="ja-JP"/>
        </w:rPr>
        <w:t xml:space="preserve">Abbreviations: ALT, </w:t>
      </w:r>
      <w:r>
        <w:t>alanine aminotransferase</w:t>
      </w:r>
      <w:r>
        <w:rPr>
          <w:lang w:eastAsia="ja-JP"/>
        </w:rPr>
        <w:t xml:space="preserve">; </w:t>
      </w:r>
      <w:r>
        <w:rPr>
          <w:lang w:val="en-GB" w:eastAsia="ja-JP"/>
        </w:rPr>
        <w:t xml:space="preserve">CHB, </w:t>
      </w:r>
      <w:r>
        <w:rPr>
          <w:szCs w:val="18"/>
        </w:rPr>
        <w:t>chronic hepatitis B;</w:t>
      </w:r>
      <w:r>
        <w:rPr>
          <w:lang w:val="en-GB" w:eastAsia="ja-JP"/>
        </w:rPr>
        <w:t xml:space="preserve"> </w:t>
      </w:r>
      <w:r w:rsidR="00A12390">
        <w:t xml:space="preserve">HBsAg, hepatitis B surface antigen; </w:t>
      </w:r>
      <w:r>
        <w:rPr>
          <w:lang w:val="en-GB" w:eastAsia="ja-JP"/>
        </w:rPr>
        <w:t xml:space="preserve">HBV DNA; hepatis B viral DNA; LLOQ, lower level of quantification; </w:t>
      </w:r>
      <w:r>
        <w:rPr>
          <w:szCs w:val="18"/>
        </w:rPr>
        <w:t xml:space="preserve">NA, </w:t>
      </w:r>
      <w:r>
        <w:t>nucleos(t)ide analogue;</w:t>
      </w:r>
      <w:r w:rsidR="00A12390">
        <w:t xml:space="preserve"> ULN, upper limit normal</w:t>
      </w:r>
    </w:p>
    <w:p w14:paraId="2E30E626" w14:textId="5E27C8AD" w:rsidR="273A0F1C" w:rsidRPr="003B4B09" w:rsidRDefault="0090766A" w:rsidP="273A0F1C">
      <w:pPr>
        <w:pStyle w:val="Tablenotes"/>
      </w:pPr>
      <w:r w:rsidRPr="273A0F1C">
        <w:rPr>
          <w:lang w:val="en-GB" w:eastAsia="ja-JP"/>
        </w:rPr>
        <w:t>*</w:t>
      </w:r>
      <w:r>
        <w:t xml:space="preserve"> </w:t>
      </w:r>
      <w:r w:rsidRPr="273A0F1C">
        <w:rPr>
          <w:lang w:val="en-GB" w:eastAsia="ja-JP"/>
        </w:rPr>
        <w:t xml:space="preserve">Based on EASL recommendations following </w:t>
      </w:r>
      <w:r w:rsidR="007C477A" w:rsidRPr="273A0F1C">
        <w:rPr>
          <w:lang w:val="en-GB" w:eastAsia="ja-JP"/>
        </w:rPr>
        <w:t>HBsAg los</w:t>
      </w:r>
      <w:r w:rsidR="00A249AF" w:rsidRPr="273A0F1C">
        <w:rPr>
          <w:lang w:val="en-GB" w:eastAsia="ja-JP"/>
        </w:rPr>
        <w:t>s</w:t>
      </w:r>
    </w:p>
    <w:p w14:paraId="1F98E2FF" w14:textId="77777777" w:rsidR="006C7A30" w:rsidRDefault="006C7A30" w:rsidP="00163ABF">
      <w:pPr>
        <w:pStyle w:val="Heading3"/>
      </w:pPr>
      <w:r>
        <w:t>Proposed clinical management pathway</w:t>
      </w:r>
    </w:p>
    <w:p w14:paraId="3B883511" w14:textId="35AF59A1" w:rsidR="00A249AF" w:rsidRDefault="00A249AF" w:rsidP="00163ABF">
      <w:pPr>
        <w:pStyle w:val="Heading4"/>
      </w:pPr>
      <w:r>
        <w:t>PICO 1</w:t>
      </w:r>
    </w:p>
    <w:p w14:paraId="3AD51120" w14:textId="147E5DA6" w:rsidR="00A249AF" w:rsidRPr="00A446A4" w:rsidRDefault="00A249AF" w:rsidP="006C7A30">
      <w:r>
        <w:t>T</w:t>
      </w:r>
      <w:r w:rsidRPr="005B752D">
        <w:t xml:space="preserve">he </w:t>
      </w:r>
      <w:r>
        <w:t>proposed</w:t>
      </w:r>
      <w:r w:rsidRPr="005B752D">
        <w:t xml:space="preserve"> clinical management pathway for patients with CHB receiving NA therapy</w:t>
      </w:r>
      <w:r>
        <w:t xml:space="preserve"> is presented in </w:t>
      </w:r>
      <w:r w:rsidR="00C40965">
        <w:fldChar w:fldCharType="begin"/>
      </w:r>
      <w:r w:rsidR="00C40965">
        <w:instrText xml:space="preserve"> REF _Ref235449519 \h </w:instrText>
      </w:r>
      <w:r w:rsidR="00C40965">
        <w:fldChar w:fldCharType="separate"/>
      </w:r>
      <w:r w:rsidR="00C40965">
        <w:t xml:space="preserve">Figure </w:t>
      </w:r>
      <w:r w:rsidR="00C40965">
        <w:rPr>
          <w:noProof/>
        </w:rPr>
        <w:t>5</w:t>
      </w:r>
      <w:r w:rsidR="00C40965">
        <w:fldChar w:fldCharType="end"/>
      </w:r>
      <w:r>
        <w:fldChar w:fldCharType="begin"/>
      </w:r>
      <w:r>
        <w:instrText xml:space="preserve"> REF _Ref234324629 \h </w:instrText>
      </w:r>
      <w:r>
        <w:fldChar w:fldCharType="end"/>
      </w:r>
      <w:r w:rsidRPr="005B752D">
        <w:t>.</w:t>
      </w:r>
    </w:p>
    <w:p w14:paraId="47490862" w14:textId="5C08582B" w:rsidR="006C7A30" w:rsidRDefault="006C7A30" w:rsidP="00D77C84">
      <w:r>
        <w:t>Under the proposed pathway, patients with CHB receiving stable NA therapy</w:t>
      </w:r>
      <w:r w:rsidR="00B81D8C">
        <w:t xml:space="preserve"> </w:t>
      </w:r>
      <w:r w:rsidR="00AD6B73">
        <w:t>(</w:t>
      </w:r>
      <w:r w:rsidR="00AD6B73">
        <w:rPr>
          <w:rFonts w:cs="Arial"/>
        </w:rPr>
        <w:t xml:space="preserve">defined as </w:t>
      </w:r>
      <w:r w:rsidR="00AD6B73" w:rsidRPr="00F21E88">
        <w:rPr>
          <w:rFonts w:cs="Arial"/>
        </w:rPr>
        <w:t>treatment for at least 6 months before screening, including at least 3 months on the current regimen if a</w:t>
      </w:r>
      <w:r w:rsidR="00AD6B73">
        <w:rPr>
          <w:rFonts w:cs="Arial"/>
        </w:rPr>
        <w:t xml:space="preserve"> </w:t>
      </w:r>
      <w:r w:rsidR="00AD6B73" w:rsidRPr="00F21E88">
        <w:rPr>
          <w:rFonts w:cs="Arial"/>
        </w:rPr>
        <w:t>switch has occurred</w:t>
      </w:r>
      <w:r w:rsidR="00AD6B73">
        <w:rPr>
          <w:rFonts w:cs="Arial"/>
        </w:rPr>
        <w:t xml:space="preserve"> </w:t>
      </w:r>
      <w:r w:rsidR="00AD6B73" w:rsidRPr="00F21E88">
        <w:rPr>
          <w:rFonts w:cs="Arial"/>
        </w:rPr>
        <w:t>for reasons other than loss of viral suppression or treatment failure, with no planned treatment changes</w:t>
      </w:r>
      <w:r w:rsidR="00AD6B73">
        <w:rPr>
          <w:rFonts w:cs="Arial"/>
        </w:rPr>
        <w:t xml:space="preserve">) </w:t>
      </w:r>
      <w:r>
        <w:t>are assessed for eligibility to receive bepirovirsen using qHBsAg, HBV DNA and other clinical parameters. Eligible patients (qHBsAg ≤3,000 IU/mL, HBV DNA &lt;90 IU/mL, ALT ≤2× ULN) commence a finite 24-week course of bepirovirsen in addition to ongoing NA therapy.</w:t>
      </w:r>
    </w:p>
    <w:p w14:paraId="57D376D6" w14:textId="471F480D" w:rsidR="006C7A30" w:rsidRDefault="006C7A30" w:rsidP="006C7A30">
      <w:r>
        <w:t xml:space="preserve">During treatment, patients undergo additional biomarker testing to assess virological response and treatment effectiveness. The applicant has proposed an assessment point at Week 12 with only patients who have qHBsAg &lt; 1 IU/ml continuing bepirovirsen treatment. Patients complete bepirovirsen treatment at Week 24 but continue to receive NA therapy for </w:t>
      </w:r>
      <w:r w:rsidR="00AF017B">
        <w:t xml:space="preserve">a </w:t>
      </w:r>
      <w:r>
        <w:t xml:space="preserve">further 24 weeks. At Week 48, undetectable HBsAg and HBV DNA and HBeAg negative status </w:t>
      </w:r>
      <w:r w:rsidR="00211F20">
        <w:t xml:space="preserve">(applicant estimates that 99% expected to be negative for HBeAg) </w:t>
      </w:r>
      <w:r w:rsidR="00AD6B73">
        <w:t>are all required to determine if</w:t>
      </w:r>
      <w:r>
        <w:t xml:space="preserve"> NA can be ceased. Functional cure status is assessed approximately 6 months later (Week 72). Patients who achieve functional cure may discontinue NA therapy and enter a structured monitoring program.</w:t>
      </w:r>
      <w:r w:rsidR="00211F20">
        <w:t xml:space="preserve"> </w:t>
      </w:r>
    </w:p>
    <w:p w14:paraId="230F468D" w14:textId="7D3069FA" w:rsidR="007C4B62" w:rsidRDefault="008357E5" w:rsidP="007C4B62">
      <w:pPr>
        <w:rPr>
          <w:lang w:eastAsia="ja-JP"/>
        </w:rPr>
      </w:pPr>
      <w:r>
        <w:rPr>
          <w:lang w:eastAsia="ja-JP"/>
        </w:rPr>
        <w:lastRenderedPageBreak/>
        <w:t xml:space="preserve">The proposed pathway includes several decision points that determine whether patients progress to the next stage of treatment. </w:t>
      </w:r>
      <w:r w:rsidR="00012117">
        <w:rPr>
          <w:lang w:eastAsia="ja-JP"/>
        </w:rPr>
        <w:t>F</w:t>
      </w:r>
      <w:r w:rsidR="0065321B" w:rsidRPr="00627777">
        <w:rPr>
          <w:lang w:eastAsia="ja-JP"/>
        </w:rPr>
        <w:t>or example, patients found ineligible for bepirovirsen at</w:t>
      </w:r>
      <w:r w:rsidR="00012117">
        <w:rPr>
          <w:lang w:eastAsia="ja-JP"/>
        </w:rPr>
        <w:t xml:space="preserve"> Week 0</w:t>
      </w:r>
      <w:r w:rsidR="0065321B" w:rsidRPr="00627777">
        <w:rPr>
          <w:lang w:eastAsia="ja-JP"/>
        </w:rPr>
        <w:t xml:space="preserve">, non-responders at </w:t>
      </w:r>
      <w:r w:rsidR="0065321B">
        <w:rPr>
          <w:lang w:eastAsia="ja-JP"/>
        </w:rPr>
        <w:t>Week 12</w:t>
      </w:r>
      <w:r w:rsidR="0065321B" w:rsidRPr="00627777">
        <w:rPr>
          <w:lang w:eastAsia="ja-JP"/>
        </w:rPr>
        <w:t xml:space="preserve">, patients not eligible for NA discontinuation at </w:t>
      </w:r>
      <w:r w:rsidR="0065321B">
        <w:rPr>
          <w:lang w:eastAsia="ja-JP"/>
        </w:rPr>
        <w:t>Week 48</w:t>
      </w:r>
      <w:r w:rsidR="0065321B" w:rsidRPr="00627777">
        <w:rPr>
          <w:lang w:eastAsia="ja-JP"/>
        </w:rPr>
        <w:t xml:space="preserve">, and patients who discontinue NA but do not achieve confirmed functional cure at </w:t>
      </w:r>
      <w:r w:rsidR="0065321B">
        <w:rPr>
          <w:lang w:eastAsia="ja-JP"/>
        </w:rPr>
        <w:t>Week 72</w:t>
      </w:r>
      <w:r w:rsidR="0065321B" w:rsidRPr="00627777">
        <w:rPr>
          <w:lang w:eastAsia="ja-JP"/>
        </w:rPr>
        <w:t>. These patients are expected to continue on standard NA therapy under existing monitoring arrangements, rather than exiting clinical care altogether.</w:t>
      </w:r>
    </w:p>
    <w:p w14:paraId="6D88EFCB" w14:textId="1CBB97AA" w:rsidR="0065321B" w:rsidRDefault="0065321B" w:rsidP="006C7A30">
      <w:pPr>
        <w:rPr>
          <w:lang w:eastAsia="ja-JP"/>
        </w:rPr>
      </w:pPr>
    </w:p>
    <w:p w14:paraId="7D0F46AD" w14:textId="03F7EEB2" w:rsidR="00A446A4" w:rsidRDefault="00B34687" w:rsidP="00A446A4">
      <w:pPr>
        <w:keepNext/>
      </w:pPr>
      <w:r>
        <w:rPr>
          <w:noProof/>
        </w:rPr>
        <w:drawing>
          <wp:inline distT="0" distB="0" distL="0" distR="0" wp14:anchorId="75A22F05" wp14:editId="0258563D">
            <wp:extent cx="6083935" cy="3422015"/>
            <wp:effectExtent l="0" t="0" r="0" b="6985"/>
            <wp:docPr id="1199541686" name="Picture 6" descr="Flowchart illustrating the proposed clinical management algorithm for CHB with new testing algorithm and bepriovirsen treatment, starting with eligibility assessment based on HBeAg, HBV DNA, and ALT levels. Key steps include commencing, assessing responses at weeks 12, 48, and 72 with specific viral load and antigen criteria, and determining continuation or cessation of NA therapy with post-treatment monitoring or clinical review.&#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541686" name="Picture 6" descr="Flowchart illustrating the proposed clinical management algorithm for CHB with new testing algorithm and bepriovirsen treatment, starting with eligibility assessment based on HBeAg, HBV DNA, and ALT levels. Key steps include commencing, assessing responses at weeks 12, 48, and 72 with specific viral load and antigen criteria, and determining continuation or cessation of NA therapy with post-treatment monitoring or clinical review.&#10;"/>
                    <pic:cNvPicPr/>
                  </pic:nvPicPr>
                  <pic:blipFill>
                    <a:blip r:embed="rId12">
                      <a:extLst>
                        <a:ext uri="{28A0092B-C50C-407E-A947-70E740481C1C}">
                          <a14:useLocalDpi xmlns:a14="http://schemas.microsoft.com/office/drawing/2010/main" val="0"/>
                        </a:ext>
                      </a:extLst>
                    </a:blip>
                    <a:stretch>
                      <a:fillRect/>
                    </a:stretch>
                  </pic:blipFill>
                  <pic:spPr>
                    <a:xfrm>
                      <a:off x="0" y="0"/>
                      <a:ext cx="6083935" cy="3422015"/>
                    </a:xfrm>
                    <a:prstGeom prst="rect">
                      <a:avLst/>
                    </a:prstGeom>
                  </pic:spPr>
                </pic:pic>
              </a:graphicData>
            </a:graphic>
          </wp:inline>
        </w:drawing>
      </w:r>
    </w:p>
    <w:p w14:paraId="4E176072" w14:textId="13B86FC1" w:rsidR="00A446A4" w:rsidRDefault="00A446A4" w:rsidP="00A446A4">
      <w:pPr>
        <w:pStyle w:val="Caption"/>
      </w:pPr>
      <w:bookmarkStart w:id="10" w:name="_Ref235449519"/>
      <w:r>
        <w:t xml:space="preserve">Figure </w:t>
      </w:r>
      <w:r>
        <w:fldChar w:fldCharType="begin"/>
      </w:r>
      <w:r>
        <w:instrText xml:space="preserve"> SEQ Figure \* ARABIC </w:instrText>
      </w:r>
      <w:r>
        <w:fldChar w:fldCharType="separate"/>
      </w:r>
      <w:r>
        <w:rPr>
          <w:noProof/>
        </w:rPr>
        <w:t>5</w:t>
      </w:r>
      <w:r>
        <w:fldChar w:fldCharType="end"/>
      </w:r>
      <w:bookmarkEnd w:id="10"/>
      <w:r>
        <w:tab/>
        <w:t>Proposed clinical management algorithm for CHB with new testing algorithm and bep</w:t>
      </w:r>
      <w:r w:rsidR="00201471">
        <w:t>i</w:t>
      </w:r>
      <w:r>
        <w:t>rovirsen treatment (PICO 1)</w:t>
      </w:r>
    </w:p>
    <w:p w14:paraId="71DBCA28" w14:textId="2CD49271" w:rsidR="00A446A4" w:rsidRDefault="00A446A4" w:rsidP="00A446A4">
      <w:pPr>
        <w:pStyle w:val="Tablenotes"/>
      </w:pPr>
      <w:r>
        <w:rPr>
          <w:lang w:val="en-GB" w:eastAsia="ja-JP"/>
        </w:rPr>
        <w:t xml:space="preserve">Abbreviations: ALT, </w:t>
      </w:r>
      <w:r>
        <w:t>alanine aminotransferase</w:t>
      </w:r>
      <w:r>
        <w:rPr>
          <w:lang w:eastAsia="ja-JP"/>
        </w:rPr>
        <w:t xml:space="preserve">; </w:t>
      </w:r>
      <w:r>
        <w:rPr>
          <w:lang w:val="en-GB" w:eastAsia="ja-JP"/>
        </w:rPr>
        <w:t xml:space="preserve">CHB, </w:t>
      </w:r>
      <w:r>
        <w:t>chronic hepatitis B; HBeAg, hepatitis B e-antigen; HBsAg, hepatitis B surface antigen;</w:t>
      </w:r>
      <w:r>
        <w:rPr>
          <w:lang w:val="en-GB" w:eastAsia="ja-JP"/>
        </w:rPr>
        <w:t xml:space="preserve"> HBV DNA; </w:t>
      </w:r>
      <w:r w:rsidRPr="5743AA01">
        <w:rPr>
          <w:lang w:val="en-GB" w:eastAsia="ja-JP"/>
        </w:rPr>
        <w:t>hepati</w:t>
      </w:r>
      <w:r w:rsidR="16F02A8A" w:rsidRPr="5743AA01">
        <w:rPr>
          <w:lang w:val="en-GB" w:eastAsia="ja-JP"/>
        </w:rPr>
        <w:t>ti</w:t>
      </w:r>
      <w:r w:rsidRPr="5743AA01">
        <w:rPr>
          <w:lang w:val="en-GB" w:eastAsia="ja-JP"/>
        </w:rPr>
        <w:t>s</w:t>
      </w:r>
      <w:r>
        <w:rPr>
          <w:lang w:val="en-GB" w:eastAsia="ja-JP"/>
        </w:rPr>
        <w:t xml:space="preserve"> B viral DNA; LLOQ, lower level of quantification; </w:t>
      </w:r>
      <w:r>
        <w:t>NA, nucleos(t)ide analogue;</w:t>
      </w:r>
      <w:r w:rsidRPr="008953FD">
        <w:t xml:space="preserve"> qHBsAg, quantitative hepatitis B surface antigen</w:t>
      </w:r>
      <w:r>
        <w:t>; NA, nucleos(t)ide analogue</w:t>
      </w:r>
      <w:r w:rsidR="69494563">
        <w:t>; ULN, upper limit of normal</w:t>
      </w:r>
    </w:p>
    <w:p w14:paraId="023E2555" w14:textId="0ECBCFF7" w:rsidR="00A446A4" w:rsidRDefault="00A446A4" w:rsidP="00A446A4">
      <w:pPr>
        <w:pStyle w:val="Tablenotes"/>
      </w:pPr>
      <w:r>
        <w:t>Source: Generated for the PICO based on CHB clinical practice guidelines (GESA 2022, EASL 2025, AASLD 2025)</w:t>
      </w:r>
    </w:p>
    <w:p w14:paraId="313C1280" w14:textId="378F95C3" w:rsidR="00A446A4" w:rsidRDefault="00A446A4" w:rsidP="00163ABF">
      <w:pPr>
        <w:pStyle w:val="Heading4"/>
        <w:rPr>
          <w:lang w:eastAsia="ja-JP"/>
        </w:rPr>
      </w:pPr>
      <w:r w:rsidRPr="00A446A4">
        <w:rPr>
          <w:lang w:eastAsia="ja-JP"/>
        </w:rPr>
        <w:t>PICO 2</w:t>
      </w:r>
    </w:p>
    <w:p w14:paraId="5AED4FD9" w14:textId="313B1E63" w:rsidR="00A446A4" w:rsidRPr="00A446A4" w:rsidRDefault="00A446A4" w:rsidP="006C7A30">
      <w:r>
        <w:t>T</w:t>
      </w:r>
      <w:r w:rsidRPr="005B752D">
        <w:t xml:space="preserve">he current clinical management pathway for patients with CHB </w:t>
      </w:r>
      <w:r>
        <w:t xml:space="preserve">who achieve a functional cure is presented </w:t>
      </w:r>
      <w:r>
        <w:fldChar w:fldCharType="begin"/>
      </w:r>
      <w:r>
        <w:instrText xml:space="preserve"> REF _Ref235213272 \h </w:instrText>
      </w:r>
      <w:r>
        <w:fldChar w:fldCharType="separate"/>
      </w:r>
      <w:r>
        <w:t xml:space="preserve">Figure </w:t>
      </w:r>
      <w:r>
        <w:rPr>
          <w:noProof/>
        </w:rPr>
        <w:t>6</w:t>
      </w:r>
      <w:r>
        <w:fldChar w:fldCharType="end"/>
      </w:r>
      <w:r w:rsidRPr="005B752D">
        <w:t>.</w:t>
      </w:r>
    </w:p>
    <w:p w14:paraId="6682C469" w14:textId="083939B3" w:rsidR="006C7A30" w:rsidRDefault="00D77C84" w:rsidP="006C7A30">
      <w:r>
        <w:t xml:space="preserve">The proposed post-treatment monitoring primarily involves repeated HBsAg testing to assess durability of response and detect relapse. HBV DNA testing is performed if HBsAg becomes detectable, resulting in a </w:t>
      </w:r>
      <w:r w:rsidR="00012117">
        <w:t>reflexive</w:t>
      </w:r>
      <w:r>
        <w:t xml:space="preserve"> testing strategy in which subsequent testing is determined by preceding test results.</w:t>
      </w:r>
      <w:r w:rsidR="00012117">
        <w:t xml:space="preserve"> </w:t>
      </w:r>
    </w:p>
    <w:p w14:paraId="4274F585" w14:textId="7B97D880" w:rsidR="006C7A30" w:rsidRDefault="006C7A30" w:rsidP="006C7A30">
      <w:r>
        <w:t xml:space="preserve">Although several elements of the proposed </w:t>
      </w:r>
      <w:r w:rsidR="00EA0FFD">
        <w:t xml:space="preserve">clinical </w:t>
      </w:r>
      <w:r>
        <w:t>pathway are consistent with contemporary hepatitis B management principles, the specific testing schedules, conditional testing strategies and long-term monitoring arrangements proposed in this application are not currently standardised in clinical practice or explicitly recommended in clinical</w:t>
      </w:r>
      <w:r w:rsidR="00EA0FFD">
        <w:t xml:space="preserve"> practice</w:t>
      </w:r>
      <w:r>
        <w:t xml:space="preserve"> guidelines. These aspects appear to be derived from clinical trial protocols and emerging concepts of finite therapy and functional cure.</w:t>
      </w:r>
    </w:p>
    <w:p w14:paraId="623DFA81" w14:textId="41F0BECF" w:rsidR="00B92EFD" w:rsidRDefault="00B92EFD" w:rsidP="00A446A4">
      <w:pPr>
        <w:pStyle w:val="Tablenotes"/>
        <w:keepNext/>
      </w:pPr>
      <w:r>
        <w:rPr>
          <w:noProof/>
        </w:rPr>
        <w:lastRenderedPageBreak/>
        <w:drawing>
          <wp:inline distT="0" distB="0" distL="0" distR="0" wp14:anchorId="518CD88D" wp14:editId="1C03F8A1">
            <wp:extent cx="6330580" cy="2253081"/>
            <wp:effectExtent l="0" t="0" r="0" b="0"/>
            <wp:docPr id="2098460600" name="Picture 11" descr="Flowchart illustrating the proposed clinical management algorithm for patients with chronic hepatitis B who have achieved functional cure. It includes decision points based on HBsAg seroreversion, with instructions for routine follow-up or clinical review, and specifies monitoring intervals for HBsAg and HBV DNA te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460600" name="Picture 11" descr="Flowchart illustrating the proposed clinical management algorithm for patients with chronic hepatitis B who have achieved functional cure. It includes decision points based on HBsAg seroreversion, with instructions for routine follow-up or clinical review, and specifies monitoring intervals for HBsAg and HBV DNA tests."/>
                    <pic:cNvPicPr/>
                  </pic:nvPicPr>
                  <pic:blipFill rotWithShape="1">
                    <a:blip r:embed="rId13" cstate="print">
                      <a:extLst>
                        <a:ext uri="{28A0092B-C50C-407E-A947-70E740481C1C}">
                          <a14:useLocalDpi xmlns:a14="http://schemas.microsoft.com/office/drawing/2010/main" val="0"/>
                        </a:ext>
                      </a:extLst>
                    </a:blip>
                    <a:srcRect/>
                    <a:stretch>
                      <a:fillRect/>
                    </a:stretch>
                  </pic:blipFill>
                  <pic:spPr bwMode="auto">
                    <a:xfrm>
                      <a:off x="0" y="0"/>
                      <a:ext cx="6335798" cy="2254938"/>
                    </a:xfrm>
                    <a:prstGeom prst="rect">
                      <a:avLst/>
                    </a:prstGeom>
                    <a:ln>
                      <a:noFill/>
                    </a:ln>
                    <a:extLst>
                      <a:ext uri="{53640926-AAD7-44D8-BBD7-CCE9431645EC}">
                        <a14:shadowObscured xmlns:a14="http://schemas.microsoft.com/office/drawing/2010/main"/>
                      </a:ext>
                    </a:extLst>
                  </pic:spPr>
                </pic:pic>
              </a:graphicData>
            </a:graphic>
          </wp:inline>
        </w:drawing>
      </w:r>
    </w:p>
    <w:p w14:paraId="76F2E5E6" w14:textId="645226FE" w:rsidR="00B92EFD" w:rsidRDefault="00B92EFD" w:rsidP="00B92EFD">
      <w:pPr>
        <w:pStyle w:val="Caption"/>
        <w:jc w:val="both"/>
      </w:pPr>
      <w:bookmarkStart w:id="11" w:name="_Ref235213272"/>
      <w:r>
        <w:t xml:space="preserve">Figure </w:t>
      </w:r>
      <w:r>
        <w:fldChar w:fldCharType="begin"/>
      </w:r>
      <w:r>
        <w:instrText xml:space="preserve"> SEQ Figure \* ARABIC </w:instrText>
      </w:r>
      <w:r>
        <w:fldChar w:fldCharType="separate"/>
      </w:r>
      <w:r w:rsidR="00A446A4">
        <w:rPr>
          <w:noProof/>
        </w:rPr>
        <w:t>6</w:t>
      </w:r>
      <w:r>
        <w:fldChar w:fldCharType="end"/>
      </w:r>
      <w:bookmarkEnd w:id="11"/>
      <w:r>
        <w:tab/>
        <w:t>Proposed clinical management algorithm for CHB in patients that achieve functional cure (PICO 2)</w:t>
      </w:r>
    </w:p>
    <w:p w14:paraId="46B561AD" w14:textId="09755286" w:rsidR="00B92EFD" w:rsidRPr="00B92EFD" w:rsidRDefault="00B92EFD" w:rsidP="00A446A4">
      <w:pPr>
        <w:pStyle w:val="Tablenotes"/>
      </w:pPr>
      <w:r>
        <w:rPr>
          <w:lang w:val="en-GB" w:eastAsia="ja-JP"/>
        </w:rPr>
        <w:t xml:space="preserve">Abbreviations: CHB, </w:t>
      </w:r>
      <w:r>
        <w:rPr>
          <w:szCs w:val="18"/>
        </w:rPr>
        <w:t xml:space="preserve">chronic hepatitis B; HBsAg, </w:t>
      </w:r>
      <w:r>
        <w:t>hepatitis B surface antigen;</w:t>
      </w:r>
      <w:r>
        <w:rPr>
          <w:lang w:val="en-GB" w:eastAsia="ja-JP"/>
        </w:rPr>
        <w:t xml:space="preserve"> HBV DNA; hepatis B viral DNA; LLOQ, lower level of quantification; </w:t>
      </w:r>
    </w:p>
    <w:p w14:paraId="793804A2" w14:textId="556BD77E" w:rsidR="00B92EFD" w:rsidRPr="00B92EFD" w:rsidRDefault="00B92EFD" w:rsidP="00B92EFD">
      <w:pPr>
        <w:pStyle w:val="Tablenotes"/>
        <w:rPr>
          <w:lang w:val="en-GB" w:eastAsia="ja-JP"/>
        </w:rPr>
      </w:pPr>
      <w:r>
        <w:rPr>
          <w:lang w:val="en-GB" w:eastAsia="ja-JP"/>
        </w:rPr>
        <w:t xml:space="preserve">* </w:t>
      </w:r>
      <w:r w:rsidRPr="00B92EFD">
        <w:rPr>
          <w:lang w:val="en-GB" w:eastAsia="ja-JP"/>
        </w:rPr>
        <w:t>The applicant has not specified the criteria for defining HBsAg seroreversion (including whether confirmatory testing is required), the HBV DNA threshold for virological relapse, or the clinical management pathway following relapse. Current international guidelines do not provide specific recommendations for monitoring or management after relapse following cure-directed therapy.</w:t>
      </w:r>
    </w:p>
    <w:p w14:paraId="10CEAD41" w14:textId="3F6CFC8D" w:rsidR="00BC0E3D" w:rsidRPr="00B92EFD" w:rsidRDefault="00645205" w:rsidP="005860C6">
      <w:pPr>
        <w:pStyle w:val="Tablenotes"/>
      </w:pPr>
      <w:r w:rsidRPr="273A0F1C">
        <w:rPr>
          <w:lang w:val="en-GB" w:eastAsia="ja-JP"/>
        </w:rPr>
        <w:t xml:space="preserve">* </w:t>
      </w:r>
      <w:r w:rsidR="00076A5D" w:rsidRPr="273A0F1C">
        <w:rPr>
          <w:lang w:val="en-GB" w:eastAsia="ja-JP"/>
        </w:rPr>
        <w:t>Testing in Year 2 is proposed to be conducted at weeks 72 and 96.</w:t>
      </w:r>
    </w:p>
    <w:p w14:paraId="69EF564C" w14:textId="77777777" w:rsidR="00B34687" w:rsidRPr="00495424" w:rsidRDefault="00B34687" w:rsidP="00B34687">
      <w:pPr>
        <w:rPr>
          <w:i/>
          <w:iCs/>
          <w:lang w:val="en-GB" w:eastAsia="ja-JP"/>
        </w:rPr>
      </w:pPr>
      <w:r w:rsidRPr="00495424">
        <w:rPr>
          <w:i/>
          <w:iCs/>
          <w:lang w:val="en-GB" w:eastAsia="ja-JP"/>
        </w:rPr>
        <w:t xml:space="preserve">PASC agreed with the current and proposed clinical management algorithms. </w:t>
      </w:r>
    </w:p>
    <w:p w14:paraId="1B16FAC1" w14:textId="6E8D1126" w:rsidR="00B34687" w:rsidRPr="00495424" w:rsidRDefault="00B34687" w:rsidP="00B34687">
      <w:pPr>
        <w:rPr>
          <w:i/>
          <w:iCs/>
          <w:lang w:val="en-GB" w:eastAsia="ja-JP"/>
        </w:rPr>
      </w:pPr>
      <w:r w:rsidRPr="00495424">
        <w:rPr>
          <w:i/>
          <w:iCs/>
          <w:lang w:val="en-GB" w:eastAsia="ja-JP"/>
        </w:rPr>
        <w:t xml:space="preserve">PASC noted that transient fluctuations (“blips”) </w:t>
      </w:r>
      <w:r w:rsidR="007D4008">
        <w:rPr>
          <w:i/>
          <w:iCs/>
          <w:lang w:val="en-GB" w:eastAsia="ja-JP"/>
        </w:rPr>
        <w:t xml:space="preserve">in biomarker </w:t>
      </w:r>
      <w:r w:rsidR="00EC0DCD">
        <w:rPr>
          <w:i/>
          <w:iCs/>
          <w:lang w:val="en-GB" w:eastAsia="ja-JP"/>
        </w:rPr>
        <w:t>levels</w:t>
      </w:r>
      <w:r w:rsidR="00C84FFD">
        <w:rPr>
          <w:i/>
          <w:iCs/>
          <w:lang w:val="en-GB" w:eastAsia="ja-JP"/>
        </w:rPr>
        <w:t xml:space="preserve"> </w:t>
      </w:r>
      <w:r w:rsidRPr="00495424" w:rsidDel="006A0908">
        <w:rPr>
          <w:i/>
          <w:iCs/>
          <w:lang w:val="en-GB" w:eastAsia="ja-JP"/>
        </w:rPr>
        <w:t xml:space="preserve">around clinically relevant testing thresholds </w:t>
      </w:r>
      <w:r w:rsidR="00C84FFD">
        <w:rPr>
          <w:i/>
          <w:iCs/>
          <w:lang w:val="en-GB" w:eastAsia="ja-JP"/>
        </w:rPr>
        <w:t>were observed in the key clinical trial</w:t>
      </w:r>
      <w:r w:rsidR="00BF4CE8">
        <w:rPr>
          <w:i/>
          <w:iCs/>
          <w:lang w:val="en-GB" w:eastAsia="ja-JP"/>
        </w:rPr>
        <w:t xml:space="preserve">. </w:t>
      </w:r>
      <w:r w:rsidR="002A598D">
        <w:rPr>
          <w:i/>
          <w:iCs/>
          <w:lang w:val="en-GB" w:eastAsia="ja-JP"/>
        </w:rPr>
        <w:t>PASC noted the</w:t>
      </w:r>
      <w:r w:rsidR="00BF4CE8">
        <w:rPr>
          <w:i/>
          <w:iCs/>
          <w:lang w:val="en-GB" w:eastAsia="ja-JP"/>
        </w:rPr>
        <w:t xml:space="preserve"> applicant</w:t>
      </w:r>
      <w:r w:rsidR="002A598D">
        <w:rPr>
          <w:i/>
          <w:iCs/>
          <w:lang w:val="en-GB" w:eastAsia="ja-JP"/>
        </w:rPr>
        <w:t>’s</w:t>
      </w:r>
      <w:r w:rsidR="00BF4CE8">
        <w:rPr>
          <w:i/>
          <w:iCs/>
          <w:lang w:val="en-GB" w:eastAsia="ja-JP"/>
        </w:rPr>
        <w:t xml:space="preserve"> expla</w:t>
      </w:r>
      <w:r w:rsidR="002A598D">
        <w:rPr>
          <w:i/>
          <w:iCs/>
          <w:lang w:val="en-GB" w:eastAsia="ja-JP"/>
        </w:rPr>
        <w:t>nation</w:t>
      </w:r>
      <w:r w:rsidR="00BF4CE8">
        <w:rPr>
          <w:i/>
          <w:iCs/>
          <w:lang w:val="en-GB" w:eastAsia="ja-JP"/>
        </w:rPr>
        <w:t xml:space="preserve"> </w:t>
      </w:r>
      <w:r w:rsidRPr="00495424" w:rsidDel="006A0908">
        <w:rPr>
          <w:i/>
          <w:iCs/>
          <w:lang w:val="en-GB" w:eastAsia="ja-JP"/>
        </w:rPr>
        <w:t xml:space="preserve">that these </w:t>
      </w:r>
      <w:r w:rsidR="002A598D">
        <w:rPr>
          <w:i/>
          <w:iCs/>
          <w:lang w:val="en-GB" w:eastAsia="ja-JP"/>
        </w:rPr>
        <w:t xml:space="preserve">“blips” </w:t>
      </w:r>
      <w:r w:rsidRPr="00495424" w:rsidDel="006A0908">
        <w:rPr>
          <w:i/>
          <w:iCs/>
          <w:lang w:val="en-GB" w:eastAsia="ja-JP"/>
        </w:rPr>
        <w:t xml:space="preserve">were </w:t>
      </w:r>
      <w:r w:rsidRPr="00495424">
        <w:rPr>
          <w:i/>
          <w:iCs/>
          <w:lang w:val="en-GB" w:eastAsia="ja-JP"/>
        </w:rPr>
        <w:t>more likely to be observed in the clinical trials due to more intensive testing schedules</w:t>
      </w:r>
      <w:r w:rsidR="002A598D">
        <w:rPr>
          <w:i/>
          <w:iCs/>
          <w:lang w:val="en-GB" w:eastAsia="ja-JP"/>
        </w:rPr>
        <w:t xml:space="preserve"> and</w:t>
      </w:r>
      <w:r w:rsidR="00572671">
        <w:rPr>
          <w:i/>
          <w:iCs/>
          <w:lang w:val="en-GB" w:eastAsia="ja-JP"/>
        </w:rPr>
        <w:t xml:space="preserve"> </w:t>
      </w:r>
      <w:r w:rsidRPr="00495424">
        <w:rPr>
          <w:i/>
          <w:iCs/>
          <w:lang w:val="en-GB" w:eastAsia="ja-JP"/>
        </w:rPr>
        <w:t xml:space="preserve">may be less frequently </w:t>
      </w:r>
      <w:r w:rsidR="00BC06D7">
        <w:rPr>
          <w:i/>
          <w:iCs/>
          <w:lang w:val="en-GB" w:eastAsia="ja-JP"/>
        </w:rPr>
        <w:t>detect</w:t>
      </w:r>
      <w:r w:rsidRPr="00495424">
        <w:rPr>
          <w:i/>
          <w:iCs/>
          <w:lang w:val="en-GB" w:eastAsia="ja-JP"/>
        </w:rPr>
        <w:t>ed in routine clinical practice, where testing is less frequent. The applicant’s clinical expert advised that unexpected results would generally be confirmed through repeat testing before treatment decisions are modified.</w:t>
      </w:r>
    </w:p>
    <w:p w14:paraId="6ADFA3D9" w14:textId="77777777" w:rsidR="00B34687" w:rsidRPr="00495424" w:rsidRDefault="00B34687" w:rsidP="00B34687">
      <w:pPr>
        <w:rPr>
          <w:i/>
          <w:iCs/>
          <w:lang w:val="en-GB" w:eastAsia="ja-JP"/>
        </w:rPr>
      </w:pPr>
      <w:r w:rsidRPr="00495424">
        <w:rPr>
          <w:i/>
          <w:iCs/>
          <w:lang w:val="en-GB" w:eastAsia="ja-JP"/>
        </w:rPr>
        <w:t xml:space="preserve">PASC noted the applicant's clarification that patients would be eligible for only one course of bepirovirsen treatment during their lifetime and, therefore, would not require reassessment of treatment eligibility following completion of therapy, regardless of clinical outcome. </w:t>
      </w:r>
    </w:p>
    <w:p w14:paraId="351F3FEC" w14:textId="5E437704" w:rsidR="273A0F1C" w:rsidRPr="00495424" w:rsidRDefault="00B34687" w:rsidP="00965EB4">
      <w:pPr>
        <w:rPr>
          <w:i/>
          <w:iCs/>
          <w:lang w:val="en-GB" w:eastAsia="ja-JP"/>
        </w:rPr>
      </w:pPr>
      <w:r w:rsidRPr="00495424">
        <w:rPr>
          <w:i/>
          <w:iCs/>
          <w:lang w:val="en-GB" w:eastAsia="ja-JP"/>
        </w:rPr>
        <w:t>PASC noted the applicant’s rationale for the proposed HBsAg-led monitoring pathway for PICO set 2, whereby HBV DNA testing is triggered by HBsAg positivity. PASC also noted the limited evidence and guidance available regarding post-functional cure monitoring.</w:t>
      </w:r>
    </w:p>
    <w:p w14:paraId="2BDE22B9" w14:textId="51375EA6" w:rsidR="00D73332" w:rsidRDefault="00D73332" w:rsidP="00713728">
      <w:pPr>
        <w:pStyle w:val="Heading2"/>
      </w:pPr>
      <w:r>
        <w:t>Proposed economic evaluation</w:t>
      </w:r>
    </w:p>
    <w:p w14:paraId="60DAC134" w14:textId="4BD4F05A" w:rsidR="000B376C" w:rsidRDefault="000B376C" w:rsidP="000B376C">
      <w:r>
        <w:t xml:space="preserve">The overall claim by the applicant is that the proposed testing algorithm for patients with CHB receiving stable NA therapy will be superior in terms of </w:t>
      </w:r>
      <w:r w:rsidR="002A3A56">
        <w:t xml:space="preserve">downstream </w:t>
      </w:r>
      <w:r>
        <w:t xml:space="preserve">health outcomes </w:t>
      </w:r>
      <w:r w:rsidR="002A3A56">
        <w:t xml:space="preserve">when compared with </w:t>
      </w:r>
      <w:r>
        <w:t>current SOC testing</w:t>
      </w:r>
      <w:r w:rsidR="002A3A56">
        <w:t>,</w:t>
      </w:r>
      <w:r>
        <w:t xml:space="preserve"> in that it will facilitate treatment with bepirovirsen, and ideally other functionally curative treatment options for CHB. </w:t>
      </w:r>
      <w:r w:rsidR="00AD6B73">
        <w:t>The applicant is asked to clarify the safety claim</w:t>
      </w:r>
      <w:r w:rsidR="00EA0FFD">
        <w:t>.</w:t>
      </w:r>
      <w:r>
        <w:t xml:space="preserve"> </w:t>
      </w:r>
    </w:p>
    <w:p w14:paraId="3B54E352" w14:textId="47985CBE" w:rsidR="00FB4719" w:rsidRPr="000B376C" w:rsidRDefault="000B376C" w:rsidP="000B376C">
      <w:r>
        <w:t>Based on the clinical claim proposed by the applicant</w:t>
      </w:r>
      <w:r w:rsidR="00BD6219">
        <w:t xml:space="preserve">, and noting that the </w:t>
      </w:r>
      <w:r w:rsidR="00AE0F66">
        <w:t>intervention comprises established pathology test</w:t>
      </w:r>
      <w:r w:rsidR="0047330C">
        <w:t>ing</w:t>
      </w:r>
      <w:r w:rsidR="00AE0F66">
        <w:t xml:space="preserve"> used in a different testing algorithm</w:t>
      </w:r>
      <w:r w:rsidR="00333975">
        <w:t xml:space="preserve"> and frequency rather than a new testing technology</w:t>
      </w:r>
      <w:r>
        <w:t>, a cost-effectiveness/ cost-utility analysis is the most appropriate economic evaluation (</w:t>
      </w:r>
      <w:r>
        <w:fldChar w:fldCharType="begin"/>
      </w:r>
      <w:r>
        <w:instrText xml:space="preserve"> REF _Ref54260209 \h </w:instrText>
      </w:r>
      <w:r>
        <w:fldChar w:fldCharType="separate"/>
      </w:r>
      <w:r w:rsidR="00257EB9">
        <w:t>Table </w:t>
      </w:r>
      <w:r w:rsidR="00257EB9">
        <w:rPr>
          <w:noProof/>
        </w:rPr>
        <w:t>7</w:t>
      </w:r>
      <w:r>
        <w:fldChar w:fldCharType="end"/>
      </w:r>
      <w:r>
        <w:t>).</w:t>
      </w:r>
      <w:r w:rsidR="00F52ABC">
        <w:t xml:space="preserve"> </w:t>
      </w:r>
      <w:r w:rsidR="00C30469">
        <w:t>The assessment group considers an assumption of non</w:t>
      </w:r>
      <w:r w:rsidR="00FA1D74">
        <w:t>-</w:t>
      </w:r>
      <w:r w:rsidR="00C30469">
        <w:t xml:space="preserve">inferior </w:t>
      </w:r>
      <w:r w:rsidR="00FA1D74">
        <w:t>safety to be reasonable</w:t>
      </w:r>
      <w:r w:rsidR="008B0F91">
        <w:t xml:space="preserve"> as no </w:t>
      </w:r>
      <w:r w:rsidR="00061A1A">
        <w:lastRenderedPageBreak/>
        <w:t>o</w:t>
      </w:r>
      <w:r w:rsidR="00C55BA5">
        <w:t>b</w:t>
      </w:r>
      <w:r w:rsidR="00061A1A">
        <w:t xml:space="preserve">vious reason to expect </w:t>
      </w:r>
      <w:r w:rsidR="005D07C0">
        <w:t>material</w:t>
      </w:r>
      <w:r w:rsidR="00C55BA5">
        <w:t>ly different test-related safety outcomes compared with the comparator</w:t>
      </w:r>
      <w:r w:rsidR="000341F2">
        <w:t xml:space="preserve"> has been identified</w:t>
      </w:r>
      <w:r w:rsidR="00C55BA5">
        <w:t>.</w:t>
      </w:r>
    </w:p>
    <w:p w14:paraId="6DAB2DBD" w14:textId="1D24DD8C" w:rsidR="000939E0" w:rsidRPr="00490FBB" w:rsidRDefault="000939E0" w:rsidP="00C40CC4">
      <w:pPr>
        <w:pStyle w:val="Caption"/>
      </w:pPr>
      <w:bookmarkStart w:id="12" w:name="_Ref54260209"/>
      <w:bookmarkStart w:id="13" w:name="_Toc423450289"/>
      <w:r>
        <w:t>Table </w:t>
      </w:r>
      <w:r>
        <w:fldChar w:fldCharType="begin"/>
      </w:r>
      <w:r>
        <w:instrText xml:space="preserve"> SEQ Table \* ARABIC </w:instrText>
      </w:r>
      <w:r>
        <w:fldChar w:fldCharType="separate"/>
      </w:r>
      <w:r w:rsidR="00A446A4">
        <w:rPr>
          <w:noProof/>
        </w:rPr>
        <w:t>7</w:t>
      </w:r>
      <w:r>
        <w:fldChar w:fldCharType="end"/>
      </w:r>
      <w:bookmarkEnd w:id="12"/>
      <w:r>
        <w:tab/>
        <w:t>Classification of comparative effectiveness and safety of the proposed intervention, compared with its main comparator, and guide to the suitable type of economic evaluation</w:t>
      </w:r>
      <w:bookmarkEnd w:id="13"/>
    </w:p>
    <w:tbl>
      <w:tblPr>
        <w:tblW w:w="4872" w:type="pct"/>
        <w:tblInd w:w="115" w:type="dxa"/>
        <w:tblLayout w:type="fixed"/>
        <w:tblCellMar>
          <w:left w:w="115" w:type="dxa"/>
          <w:right w:w="115" w:type="dxa"/>
        </w:tblCellMar>
        <w:tblLook w:val="01E0" w:firstRow="1" w:lastRow="1" w:firstColumn="1" w:lastColumn="1" w:noHBand="0" w:noVBand="0"/>
        <w:tblCaption w:val="Table 19 Classification of the comparative effectiveness and safety of the proposed therapeutic medical service compared with its main comparator and guide to the suitable type of economic evaluation"/>
        <w:tblDescription w:val="The table presents a matrix of comparative safety (inferior, unccertain, non-inferior, superior) against comparative effectiveness (inferior, uncertain, non-inmferior, superior)."/>
      </w:tblPr>
      <w:tblGrid>
        <w:gridCol w:w="2012"/>
        <w:gridCol w:w="1905"/>
        <w:gridCol w:w="2227"/>
        <w:gridCol w:w="1748"/>
        <w:gridCol w:w="1434"/>
      </w:tblGrid>
      <w:tr w:rsidR="00686EED" w:rsidRPr="00490FBB" w14:paraId="5238F44C" w14:textId="77777777" w:rsidTr="00C456E2">
        <w:trPr>
          <w:tblHeader/>
        </w:trPr>
        <w:tc>
          <w:tcPr>
            <w:tcW w:w="2012" w:type="dxa"/>
            <w:vMerge w:val="restart"/>
            <w:tcBorders>
              <w:top w:val="single" w:sz="4" w:space="0" w:color="auto"/>
              <w:left w:val="single" w:sz="4" w:space="0" w:color="auto"/>
              <w:right w:val="single" w:sz="4" w:space="0" w:color="auto"/>
            </w:tcBorders>
          </w:tcPr>
          <w:p w14:paraId="5B06A6EA" w14:textId="2690703D" w:rsidR="00686EED" w:rsidRPr="00490FBB" w:rsidRDefault="00686EED" w:rsidP="00C40CC4">
            <w:pPr>
              <w:pStyle w:val="TableHeading"/>
            </w:pPr>
            <w:bookmarkStart w:id="14" w:name="Title_Table2" w:colFirst="0" w:colLast="0"/>
            <w:r>
              <w:t>Comparative safety</w:t>
            </w:r>
          </w:p>
        </w:tc>
        <w:tc>
          <w:tcPr>
            <w:tcW w:w="1905" w:type="dxa"/>
            <w:tcBorders>
              <w:top w:val="single" w:sz="4" w:space="0" w:color="auto"/>
              <w:left w:val="single" w:sz="4" w:space="0" w:color="auto"/>
              <w:bottom w:val="single" w:sz="4" w:space="0" w:color="auto"/>
              <w:right w:val="nil"/>
            </w:tcBorders>
          </w:tcPr>
          <w:p w14:paraId="293E5792" w14:textId="77777777" w:rsidR="00686EED" w:rsidRPr="00490FBB" w:rsidRDefault="00686EED" w:rsidP="00C40CC4">
            <w:pPr>
              <w:pStyle w:val="TableHeading"/>
              <w:jc w:val="center"/>
            </w:pPr>
          </w:p>
        </w:tc>
        <w:tc>
          <w:tcPr>
            <w:tcW w:w="2227" w:type="dxa"/>
            <w:tcBorders>
              <w:top w:val="single" w:sz="4" w:space="0" w:color="auto"/>
              <w:left w:val="nil"/>
              <w:bottom w:val="single" w:sz="4" w:space="0" w:color="auto"/>
            </w:tcBorders>
          </w:tcPr>
          <w:p w14:paraId="57B2397B" w14:textId="77777777" w:rsidR="00686EED" w:rsidRPr="00490FBB" w:rsidRDefault="00686EED" w:rsidP="00C40CC4">
            <w:pPr>
              <w:pStyle w:val="TableHeading"/>
              <w:ind w:left="-75" w:right="-127"/>
              <w:jc w:val="center"/>
            </w:pPr>
            <w:r>
              <w:t>Comparative effectiveness</w:t>
            </w:r>
          </w:p>
        </w:tc>
        <w:tc>
          <w:tcPr>
            <w:tcW w:w="1748" w:type="dxa"/>
            <w:tcBorders>
              <w:top w:val="single" w:sz="4" w:space="0" w:color="auto"/>
              <w:left w:val="nil"/>
              <w:bottom w:val="single" w:sz="4" w:space="0" w:color="auto"/>
            </w:tcBorders>
          </w:tcPr>
          <w:p w14:paraId="6B53FB6C" w14:textId="77777777" w:rsidR="00686EED" w:rsidRPr="00490FBB" w:rsidRDefault="00686EED" w:rsidP="00C40CC4">
            <w:pPr>
              <w:pStyle w:val="TableHeading"/>
              <w:jc w:val="center"/>
            </w:pPr>
          </w:p>
        </w:tc>
        <w:tc>
          <w:tcPr>
            <w:tcW w:w="1434" w:type="dxa"/>
            <w:tcBorders>
              <w:top w:val="single" w:sz="4" w:space="0" w:color="auto"/>
              <w:left w:val="nil"/>
              <w:bottom w:val="single" w:sz="4" w:space="0" w:color="auto"/>
              <w:right w:val="single" w:sz="4" w:space="0" w:color="auto"/>
            </w:tcBorders>
          </w:tcPr>
          <w:p w14:paraId="0FE152FA" w14:textId="77777777" w:rsidR="00686EED" w:rsidRPr="00490FBB" w:rsidRDefault="00686EED" w:rsidP="00C40CC4">
            <w:pPr>
              <w:pStyle w:val="TableHeading"/>
              <w:jc w:val="center"/>
            </w:pPr>
          </w:p>
        </w:tc>
      </w:tr>
      <w:bookmarkEnd w:id="14"/>
      <w:tr w:rsidR="00686EED" w:rsidRPr="00490FBB" w14:paraId="78A8F3F1" w14:textId="77777777" w:rsidTr="00C456E2">
        <w:trPr>
          <w:tblHeader/>
        </w:trPr>
        <w:tc>
          <w:tcPr>
            <w:tcW w:w="2012" w:type="dxa"/>
            <w:vMerge/>
            <w:tcBorders>
              <w:left w:val="single" w:sz="4" w:space="0" w:color="auto"/>
              <w:bottom w:val="single" w:sz="4" w:space="0" w:color="auto"/>
              <w:right w:val="single" w:sz="4" w:space="0" w:color="auto"/>
            </w:tcBorders>
          </w:tcPr>
          <w:p w14:paraId="6E00D947" w14:textId="57BEC7DE" w:rsidR="00686EED" w:rsidRPr="00490FBB" w:rsidRDefault="00686EED" w:rsidP="00C40CC4">
            <w:pPr>
              <w:pStyle w:val="TableHeading"/>
            </w:pPr>
          </w:p>
        </w:tc>
        <w:tc>
          <w:tcPr>
            <w:tcW w:w="1905" w:type="dxa"/>
            <w:tcBorders>
              <w:left w:val="single" w:sz="4" w:space="0" w:color="auto"/>
              <w:bottom w:val="single" w:sz="4" w:space="0" w:color="auto"/>
              <w:right w:val="single" w:sz="4" w:space="0" w:color="auto"/>
            </w:tcBorders>
          </w:tcPr>
          <w:p w14:paraId="319C788C" w14:textId="77777777" w:rsidR="00686EED" w:rsidRPr="00490FBB" w:rsidRDefault="00686EED" w:rsidP="00C40CC4">
            <w:pPr>
              <w:pStyle w:val="TableHeading"/>
              <w:jc w:val="center"/>
            </w:pPr>
            <w:r>
              <w:t>Inferior</w:t>
            </w:r>
          </w:p>
        </w:tc>
        <w:tc>
          <w:tcPr>
            <w:tcW w:w="2227" w:type="dxa"/>
            <w:tcBorders>
              <w:top w:val="single" w:sz="4" w:space="0" w:color="auto"/>
              <w:left w:val="single" w:sz="4" w:space="0" w:color="auto"/>
              <w:bottom w:val="single" w:sz="4" w:space="0" w:color="auto"/>
              <w:right w:val="single" w:sz="4" w:space="0" w:color="auto"/>
            </w:tcBorders>
          </w:tcPr>
          <w:p w14:paraId="5AC96128" w14:textId="77777777" w:rsidR="00686EED" w:rsidRPr="00490FBB" w:rsidRDefault="00686EED" w:rsidP="00C40CC4">
            <w:pPr>
              <w:pStyle w:val="TableHeading"/>
              <w:jc w:val="center"/>
            </w:pPr>
            <w:r>
              <w:t>Uncertain</w:t>
            </w:r>
            <w:r>
              <w:rPr>
                <w:vertAlign w:val="superscript"/>
              </w:rPr>
              <w:t>a</w:t>
            </w:r>
          </w:p>
        </w:tc>
        <w:tc>
          <w:tcPr>
            <w:tcW w:w="1748" w:type="dxa"/>
            <w:tcBorders>
              <w:top w:val="single" w:sz="4" w:space="0" w:color="auto"/>
              <w:left w:val="single" w:sz="4" w:space="0" w:color="auto"/>
              <w:bottom w:val="single" w:sz="4" w:space="0" w:color="auto"/>
              <w:right w:val="single" w:sz="4" w:space="0" w:color="auto"/>
            </w:tcBorders>
          </w:tcPr>
          <w:p w14:paraId="7AA1349D" w14:textId="4BA1ADFE" w:rsidR="00686EED" w:rsidRPr="00490FBB" w:rsidRDefault="00686EED" w:rsidP="00C40CC4">
            <w:pPr>
              <w:pStyle w:val="TableHeading"/>
              <w:jc w:val="center"/>
            </w:pPr>
            <w:r>
              <w:t>Noninferior</w:t>
            </w:r>
            <w:r>
              <w:rPr>
                <w:vertAlign w:val="superscript"/>
              </w:rPr>
              <w:t>b</w:t>
            </w:r>
          </w:p>
        </w:tc>
        <w:tc>
          <w:tcPr>
            <w:tcW w:w="1434" w:type="dxa"/>
            <w:tcBorders>
              <w:top w:val="single" w:sz="4" w:space="0" w:color="auto"/>
              <w:left w:val="single" w:sz="4" w:space="0" w:color="auto"/>
              <w:bottom w:val="single" w:sz="4" w:space="0" w:color="auto"/>
              <w:right w:val="single" w:sz="4" w:space="0" w:color="auto"/>
            </w:tcBorders>
          </w:tcPr>
          <w:p w14:paraId="156C5942" w14:textId="77777777" w:rsidR="00686EED" w:rsidRPr="00490FBB" w:rsidRDefault="00686EED" w:rsidP="00C40CC4">
            <w:pPr>
              <w:pStyle w:val="TableHeading"/>
              <w:jc w:val="center"/>
            </w:pPr>
            <w:r>
              <w:t>Superior</w:t>
            </w:r>
          </w:p>
        </w:tc>
      </w:tr>
      <w:tr w:rsidR="000939E0" w:rsidRPr="00490FBB" w14:paraId="1E111DC3" w14:textId="77777777" w:rsidTr="00C456E2">
        <w:tc>
          <w:tcPr>
            <w:tcW w:w="2012" w:type="dxa"/>
            <w:tcBorders>
              <w:top w:val="single" w:sz="4" w:space="0" w:color="auto"/>
              <w:left w:val="single" w:sz="4" w:space="0" w:color="auto"/>
              <w:bottom w:val="single" w:sz="4" w:space="0" w:color="auto"/>
              <w:right w:val="single" w:sz="4" w:space="0" w:color="auto"/>
            </w:tcBorders>
            <w:vAlign w:val="center"/>
          </w:tcPr>
          <w:p w14:paraId="04A362E2" w14:textId="77777777" w:rsidR="000939E0" w:rsidRPr="00490FBB" w:rsidRDefault="000939E0" w:rsidP="00C40CC4">
            <w:pPr>
              <w:pStyle w:val="Tabletext"/>
              <w:keepNext/>
            </w:pPr>
            <w:r>
              <w:t>Inferior</w:t>
            </w:r>
          </w:p>
        </w:tc>
        <w:tc>
          <w:tcPr>
            <w:tcW w:w="1905" w:type="dxa"/>
            <w:tcBorders>
              <w:top w:val="single" w:sz="4" w:space="0" w:color="auto"/>
              <w:left w:val="single" w:sz="4" w:space="0" w:color="auto"/>
              <w:bottom w:val="single" w:sz="4" w:space="0" w:color="auto"/>
              <w:right w:val="single" w:sz="4" w:space="0" w:color="auto"/>
            </w:tcBorders>
            <w:vAlign w:val="center"/>
          </w:tcPr>
          <w:p w14:paraId="0B15352C" w14:textId="77777777" w:rsidR="000939E0" w:rsidRPr="00490FBB" w:rsidRDefault="000939E0" w:rsidP="00C40CC4">
            <w:pPr>
              <w:pStyle w:val="Tabletext"/>
              <w:keepNext/>
            </w:pPr>
            <w:r>
              <w:t>Health forgone: need other supportive factors</w:t>
            </w:r>
          </w:p>
        </w:tc>
        <w:tc>
          <w:tcPr>
            <w:tcW w:w="2227" w:type="dxa"/>
            <w:tcBorders>
              <w:top w:val="single" w:sz="4" w:space="0" w:color="auto"/>
              <w:left w:val="single" w:sz="4" w:space="0" w:color="auto"/>
              <w:bottom w:val="single" w:sz="4" w:space="0" w:color="auto"/>
              <w:right w:val="single" w:sz="4" w:space="0" w:color="auto"/>
            </w:tcBorders>
            <w:vAlign w:val="center"/>
          </w:tcPr>
          <w:p w14:paraId="47A58DE2" w14:textId="77777777" w:rsidR="000939E0" w:rsidRPr="00490FBB" w:rsidRDefault="000939E0" w:rsidP="00C40CC4">
            <w:pPr>
              <w:pStyle w:val="Tabletext"/>
              <w:keepNext/>
            </w:pPr>
            <w:r>
              <w:t>Health forgone possible: need other supportive factors</w:t>
            </w:r>
          </w:p>
        </w:tc>
        <w:tc>
          <w:tcPr>
            <w:tcW w:w="1748" w:type="dxa"/>
            <w:tcBorders>
              <w:top w:val="single" w:sz="4" w:space="0" w:color="auto"/>
              <w:left w:val="single" w:sz="4" w:space="0" w:color="auto"/>
              <w:bottom w:val="single" w:sz="4" w:space="0" w:color="auto"/>
              <w:right w:val="single" w:sz="4" w:space="0" w:color="auto"/>
            </w:tcBorders>
            <w:vAlign w:val="center"/>
          </w:tcPr>
          <w:p w14:paraId="3540FA15" w14:textId="77777777" w:rsidR="000939E0" w:rsidRPr="00490FBB" w:rsidRDefault="000939E0" w:rsidP="00C40CC4">
            <w:pPr>
              <w:pStyle w:val="Tabletext"/>
              <w:keepNext/>
            </w:pPr>
            <w:r>
              <w:t>Health forgone: need other supportive factors</w:t>
            </w:r>
          </w:p>
        </w:tc>
        <w:tc>
          <w:tcPr>
            <w:tcW w:w="1434" w:type="dxa"/>
            <w:tcBorders>
              <w:top w:val="single" w:sz="4" w:space="0" w:color="auto"/>
              <w:left w:val="single" w:sz="4" w:space="0" w:color="auto"/>
              <w:bottom w:val="single" w:sz="4" w:space="0" w:color="auto"/>
              <w:right w:val="single" w:sz="4" w:space="0" w:color="auto"/>
            </w:tcBorders>
            <w:vAlign w:val="center"/>
          </w:tcPr>
          <w:p w14:paraId="18C6CF73" w14:textId="77777777" w:rsidR="000939E0" w:rsidRPr="00490FBB" w:rsidRDefault="000939E0" w:rsidP="00C40CC4">
            <w:pPr>
              <w:pStyle w:val="Tabletext"/>
              <w:keepNext/>
            </w:pPr>
            <w:r>
              <w:t>? Likely CUA</w:t>
            </w:r>
          </w:p>
        </w:tc>
      </w:tr>
      <w:tr w:rsidR="000939E0" w:rsidRPr="00490FBB" w14:paraId="463C2753" w14:textId="77777777" w:rsidTr="00C456E2">
        <w:tc>
          <w:tcPr>
            <w:tcW w:w="2012" w:type="dxa"/>
            <w:tcBorders>
              <w:top w:val="single" w:sz="4" w:space="0" w:color="auto"/>
              <w:left w:val="single" w:sz="4" w:space="0" w:color="auto"/>
              <w:bottom w:val="single" w:sz="4" w:space="0" w:color="auto"/>
              <w:right w:val="single" w:sz="4" w:space="0" w:color="auto"/>
            </w:tcBorders>
            <w:vAlign w:val="center"/>
          </w:tcPr>
          <w:p w14:paraId="11AF710C" w14:textId="77777777" w:rsidR="000939E0" w:rsidRPr="00490FBB" w:rsidRDefault="000939E0" w:rsidP="00C40CC4">
            <w:pPr>
              <w:pStyle w:val="Tabletext"/>
              <w:keepNext/>
            </w:pPr>
            <w:r>
              <w:t>Uncertain</w:t>
            </w:r>
            <w:r>
              <w:rPr>
                <w:vertAlign w:val="superscript"/>
              </w:rPr>
              <w:t>a</w:t>
            </w:r>
          </w:p>
        </w:tc>
        <w:tc>
          <w:tcPr>
            <w:tcW w:w="1905" w:type="dxa"/>
            <w:tcBorders>
              <w:top w:val="single" w:sz="4" w:space="0" w:color="auto"/>
              <w:left w:val="single" w:sz="4" w:space="0" w:color="auto"/>
              <w:bottom w:val="single" w:sz="4" w:space="0" w:color="auto"/>
              <w:right w:val="single" w:sz="4" w:space="0" w:color="auto"/>
            </w:tcBorders>
            <w:vAlign w:val="center"/>
          </w:tcPr>
          <w:p w14:paraId="12909D79" w14:textId="77777777" w:rsidR="000939E0" w:rsidRPr="00490FBB" w:rsidRDefault="000939E0" w:rsidP="00C40CC4">
            <w:pPr>
              <w:pStyle w:val="Tabletext"/>
              <w:keepNext/>
            </w:pPr>
            <w:r>
              <w:t>Health forgone possible: need other supportive factors</w:t>
            </w:r>
          </w:p>
        </w:tc>
        <w:tc>
          <w:tcPr>
            <w:tcW w:w="2227" w:type="dxa"/>
            <w:tcBorders>
              <w:top w:val="single" w:sz="4" w:space="0" w:color="auto"/>
              <w:left w:val="single" w:sz="4" w:space="0" w:color="auto"/>
              <w:bottom w:val="single" w:sz="4" w:space="0" w:color="auto"/>
              <w:right w:val="single" w:sz="4" w:space="0" w:color="auto"/>
            </w:tcBorders>
            <w:vAlign w:val="center"/>
          </w:tcPr>
          <w:p w14:paraId="50F5E2B4" w14:textId="77777777" w:rsidR="000939E0" w:rsidRPr="00490FBB" w:rsidRDefault="000939E0" w:rsidP="00C40CC4">
            <w:pPr>
              <w:pStyle w:val="Tabletext"/>
              <w:keepNext/>
            </w:pPr>
            <w:r>
              <w:t>?</w:t>
            </w:r>
          </w:p>
        </w:tc>
        <w:tc>
          <w:tcPr>
            <w:tcW w:w="1748" w:type="dxa"/>
            <w:tcBorders>
              <w:top w:val="single" w:sz="4" w:space="0" w:color="auto"/>
              <w:left w:val="single" w:sz="4" w:space="0" w:color="auto"/>
              <w:bottom w:val="single" w:sz="4" w:space="0" w:color="auto"/>
              <w:right w:val="single" w:sz="4" w:space="0" w:color="auto"/>
            </w:tcBorders>
            <w:vAlign w:val="center"/>
          </w:tcPr>
          <w:p w14:paraId="0406F2A1" w14:textId="77777777" w:rsidR="000939E0" w:rsidRPr="00490FBB" w:rsidRDefault="000939E0" w:rsidP="00C40CC4">
            <w:pPr>
              <w:pStyle w:val="Tabletext"/>
              <w:keepNext/>
            </w:pPr>
            <w:r>
              <w:t>?</w:t>
            </w:r>
          </w:p>
        </w:tc>
        <w:tc>
          <w:tcPr>
            <w:tcW w:w="1434" w:type="dxa"/>
            <w:tcBorders>
              <w:top w:val="single" w:sz="4" w:space="0" w:color="auto"/>
              <w:left w:val="single" w:sz="4" w:space="0" w:color="auto"/>
              <w:bottom w:val="single" w:sz="4" w:space="0" w:color="auto"/>
              <w:right w:val="single" w:sz="4" w:space="0" w:color="auto"/>
            </w:tcBorders>
            <w:vAlign w:val="center"/>
          </w:tcPr>
          <w:p w14:paraId="1996B8CC" w14:textId="77777777" w:rsidR="000939E0" w:rsidRPr="00490FBB" w:rsidRDefault="000939E0" w:rsidP="00C40CC4">
            <w:pPr>
              <w:pStyle w:val="Tabletext"/>
              <w:keepNext/>
            </w:pPr>
            <w:r>
              <w:t>? Likely CEA/CUA</w:t>
            </w:r>
          </w:p>
        </w:tc>
      </w:tr>
      <w:tr w:rsidR="000939E0" w:rsidRPr="00490FBB" w14:paraId="47335FF9" w14:textId="77777777" w:rsidTr="00C456E2">
        <w:tc>
          <w:tcPr>
            <w:tcW w:w="2012" w:type="dxa"/>
            <w:tcBorders>
              <w:top w:val="single" w:sz="4" w:space="0" w:color="auto"/>
              <w:left w:val="single" w:sz="4" w:space="0" w:color="auto"/>
              <w:bottom w:val="single" w:sz="4" w:space="0" w:color="auto"/>
              <w:right w:val="single" w:sz="4" w:space="0" w:color="auto"/>
            </w:tcBorders>
            <w:vAlign w:val="center"/>
          </w:tcPr>
          <w:p w14:paraId="0CBD845B" w14:textId="149CC18B" w:rsidR="000939E0" w:rsidRPr="00490FBB" w:rsidRDefault="000939E0" w:rsidP="00C40CC4">
            <w:pPr>
              <w:pStyle w:val="Tabletext"/>
              <w:keepNext/>
            </w:pPr>
            <w:r>
              <w:t>Noninferior</w:t>
            </w:r>
            <w:r>
              <w:rPr>
                <w:vertAlign w:val="superscript"/>
              </w:rPr>
              <w:t>b</w:t>
            </w:r>
          </w:p>
        </w:tc>
        <w:tc>
          <w:tcPr>
            <w:tcW w:w="1905" w:type="dxa"/>
            <w:tcBorders>
              <w:top w:val="single" w:sz="4" w:space="0" w:color="auto"/>
              <w:left w:val="single" w:sz="4" w:space="0" w:color="auto"/>
              <w:bottom w:val="single" w:sz="4" w:space="0" w:color="auto"/>
              <w:right w:val="single" w:sz="4" w:space="0" w:color="auto"/>
            </w:tcBorders>
            <w:vAlign w:val="center"/>
          </w:tcPr>
          <w:p w14:paraId="5D8B4B6F" w14:textId="77777777" w:rsidR="000939E0" w:rsidRPr="00490FBB" w:rsidRDefault="000939E0" w:rsidP="00C40CC4">
            <w:pPr>
              <w:pStyle w:val="Tabletext"/>
              <w:keepNext/>
            </w:pPr>
            <w:r>
              <w:t>Health forgone: need other supportive factors</w:t>
            </w:r>
          </w:p>
        </w:tc>
        <w:tc>
          <w:tcPr>
            <w:tcW w:w="2227" w:type="dxa"/>
            <w:tcBorders>
              <w:top w:val="single" w:sz="4" w:space="0" w:color="auto"/>
              <w:left w:val="single" w:sz="4" w:space="0" w:color="auto"/>
              <w:bottom w:val="single" w:sz="4" w:space="0" w:color="auto"/>
              <w:right w:val="single" w:sz="4" w:space="0" w:color="auto"/>
            </w:tcBorders>
            <w:vAlign w:val="center"/>
          </w:tcPr>
          <w:p w14:paraId="43D9B9E4" w14:textId="77777777" w:rsidR="000939E0" w:rsidRPr="00490FBB" w:rsidRDefault="000939E0" w:rsidP="00C40CC4">
            <w:pPr>
              <w:pStyle w:val="Tabletext"/>
              <w:keepNext/>
            </w:pPr>
            <w:r>
              <w:t>?</w:t>
            </w:r>
          </w:p>
        </w:tc>
        <w:tc>
          <w:tcPr>
            <w:tcW w:w="1748" w:type="dxa"/>
            <w:tcBorders>
              <w:top w:val="single" w:sz="4" w:space="0" w:color="auto"/>
              <w:left w:val="single" w:sz="4" w:space="0" w:color="auto"/>
              <w:bottom w:val="single" w:sz="4" w:space="0" w:color="auto"/>
              <w:right w:val="single" w:sz="4" w:space="0" w:color="auto"/>
            </w:tcBorders>
            <w:vAlign w:val="center"/>
          </w:tcPr>
          <w:p w14:paraId="12BD2E22" w14:textId="77777777" w:rsidR="000939E0" w:rsidRPr="00490FBB" w:rsidRDefault="000939E0" w:rsidP="00C40CC4">
            <w:pPr>
              <w:pStyle w:val="Tabletext"/>
              <w:keepNext/>
            </w:pPr>
            <w:r>
              <w:t>CMA</w:t>
            </w:r>
          </w:p>
        </w:tc>
        <w:tc>
          <w:tcPr>
            <w:tcW w:w="1434" w:type="dxa"/>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7E9F7AB5" w14:textId="77777777" w:rsidR="000939E0" w:rsidRPr="00490FBB" w:rsidRDefault="000939E0" w:rsidP="00C40CC4">
            <w:pPr>
              <w:pStyle w:val="Tabletext"/>
              <w:keepNext/>
            </w:pPr>
            <w:r>
              <w:t>CEA/CUA</w:t>
            </w:r>
          </w:p>
        </w:tc>
      </w:tr>
      <w:tr w:rsidR="000939E0" w:rsidRPr="00490FBB" w14:paraId="41AB5715" w14:textId="77777777" w:rsidTr="00C456E2">
        <w:tc>
          <w:tcPr>
            <w:tcW w:w="2012" w:type="dxa"/>
            <w:tcBorders>
              <w:top w:val="single" w:sz="4" w:space="0" w:color="auto"/>
              <w:left w:val="single" w:sz="4" w:space="0" w:color="auto"/>
              <w:bottom w:val="single" w:sz="4" w:space="0" w:color="auto"/>
              <w:right w:val="single" w:sz="4" w:space="0" w:color="auto"/>
            </w:tcBorders>
            <w:vAlign w:val="center"/>
          </w:tcPr>
          <w:p w14:paraId="18F5B4CB" w14:textId="77777777" w:rsidR="000939E0" w:rsidRPr="00490FBB" w:rsidRDefault="000939E0" w:rsidP="00C40CC4">
            <w:pPr>
              <w:pStyle w:val="Tabletext"/>
              <w:keepNext/>
            </w:pPr>
            <w:r>
              <w:t>Superior</w:t>
            </w:r>
          </w:p>
        </w:tc>
        <w:tc>
          <w:tcPr>
            <w:tcW w:w="1905" w:type="dxa"/>
            <w:tcBorders>
              <w:top w:val="single" w:sz="4" w:space="0" w:color="auto"/>
              <w:left w:val="single" w:sz="4" w:space="0" w:color="auto"/>
              <w:bottom w:val="single" w:sz="4" w:space="0" w:color="auto"/>
              <w:right w:val="single" w:sz="4" w:space="0" w:color="auto"/>
            </w:tcBorders>
            <w:vAlign w:val="center"/>
          </w:tcPr>
          <w:p w14:paraId="2525815A" w14:textId="77777777" w:rsidR="000939E0" w:rsidRPr="00490FBB" w:rsidRDefault="000939E0" w:rsidP="00C40CC4">
            <w:pPr>
              <w:pStyle w:val="Tabletext"/>
              <w:keepNext/>
            </w:pPr>
            <w:r>
              <w:t>? Likely CUA</w:t>
            </w:r>
          </w:p>
        </w:tc>
        <w:tc>
          <w:tcPr>
            <w:tcW w:w="2227" w:type="dxa"/>
            <w:tcBorders>
              <w:top w:val="single" w:sz="4" w:space="0" w:color="auto"/>
              <w:left w:val="single" w:sz="4" w:space="0" w:color="auto"/>
              <w:bottom w:val="single" w:sz="4" w:space="0" w:color="auto"/>
              <w:right w:val="single" w:sz="4" w:space="0" w:color="auto"/>
            </w:tcBorders>
            <w:vAlign w:val="center"/>
          </w:tcPr>
          <w:p w14:paraId="2AE0169D" w14:textId="77777777" w:rsidR="000939E0" w:rsidRPr="00490FBB" w:rsidRDefault="000939E0" w:rsidP="00C40CC4">
            <w:pPr>
              <w:pStyle w:val="Tabletext"/>
              <w:keepNext/>
            </w:pPr>
            <w:r>
              <w:t>? Likely CEA/CUA</w:t>
            </w:r>
          </w:p>
        </w:tc>
        <w:tc>
          <w:tcPr>
            <w:tcW w:w="1748" w:type="dxa"/>
            <w:tcBorders>
              <w:top w:val="single" w:sz="4" w:space="0" w:color="auto"/>
              <w:left w:val="single" w:sz="4" w:space="0" w:color="auto"/>
              <w:bottom w:val="single" w:sz="4" w:space="0" w:color="auto"/>
              <w:right w:val="single" w:sz="4" w:space="0" w:color="auto"/>
            </w:tcBorders>
            <w:vAlign w:val="center"/>
          </w:tcPr>
          <w:p w14:paraId="71D0525C" w14:textId="77777777" w:rsidR="000939E0" w:rsidRPr="00490FBB" w:rsidRDefault="000939E0" w:rsidP="00C40CC4">
            <w:pPr>
              <w:pStyle w:val="Tabletext"/>
              <w:keepNext/>
            </w:pPr>
            <w:r>
              <w:t>CEA/CUA</w:t>
            </w:r>
          </w:p>
        </w:tc>
        <w:tc>
          <w:tcPr>
            <w:tcW w:w="1434" w:type="dxa"/>
            <w:tcBorders>
              <w:top w:val="single" w:sz="4" w:space="0" w:color="auto"/>
              <w:left w:val="single" w:sz="4" w:space="0" w:color="auto"/>
              <w:bottom w:val="single" w:sz="4" w:space="0" w:color="auto"/>
              <w:right w:val="single" w:sz="4" w:space="0" w:color="auto"/>
            </w:tcBorders>
            <w:vAlign w:val="center"/>
          </w:tcPr>
          <w:p w14:paraId="5FF47EA5" w14:textId="77777777" w:rsidR="000939E0" w:rsidRPr="00490FBB" w:rsidRDefault="000939E0" w:rsidP="00C40CC4">
            <w:pPr>
              <w:pStyle w:val="Tabletext"/>
              <w:keepNext/>
            </w:pPr>
            <w:r>
              <w:t>CEA/CUA</w:t>
            </w:r>
          </w:p>
        </w:tc>
      </w:tr>
    </w:tbl>
    <w:p w14:paraId="6538A3FB" w14:textId="63146889" w:rsidR="000939E0" w:rsidRPr="00E135F2" w:rsidRDefault="00E135F2" w:rsidP="00E135F2">
      <w:pPr>
        <w:pStyle w:val="Tablenotes"/>
      </w:pPr>
      <w:r w:rsidRPr="00E135F2">
        <w:t xml:space="preserve">Abbreviations: </w:t>
      </w:r>
      <w:r w:rsidR="000939E0" w:rsidRPr="00E135F2">
        <w:t>CEA</w:t>
      </w:r>
      <w:r w:rsidRPr="00E135F2">
        <w:t xml:space="preserve">, </w:t>
      </w:r>
      <w:r w:rsidR="000939E0" w:rsidRPr="00E135F2">
        <w:t>cost-effectiveness analysis; CMA</w:t>
      </w:r>
      <w:r w:rsidRPr="00E135F2">
        <w:t xml:space="preserve">. </w:t>
      </w:r>
      <w:r w:rsidR="000939E0" w:rsidRPr="00E135F2">
        <w:t>cost-minimisation analysis; CUA</w:t>
      </w:r>
      <w:r w:rsidRPr="00E135F2">
        <w:t xml:space="preserve">, </w:t>
      </w:r>
      <w:r w:rsidR="000939E0" w:rsidRPr="00E135F2">
        <w:t>cost-utility analysis</w:t>
      </w:r>
      <w:r w:rsidR="009D3012">
        <w:t>;</w:t>
      </w:r>
    </w:p>
    <w:p w14:paraId="48F7CED7" w14:textId="77777777" w:rsidR="000939E0" w:rsidRPr="00E135F2" w:rsidRDefault="000939E0" w:rsidP="00E135F2">
      <w:pPr>
        <w:pStyle w:val="Tablenotes"/>
      </w:pPr>
      <w:r w:rsidRPr="00E135F2">
        <w:t xml:space="preserve">? = reflect uncertainties and any identified health trade-offs in the economic evaluation, as a minimum in a cost-consequences analysis </w:t>
      </w:r>
    </w:p>
    <w:p w14:paraId="65C6F534" w14:textId="77777777" w:rsidR="000939E0" w:rsidRPr="00E135F2" w:rsidRDefault="000939E0" w:rsidP="00E135F2">
      <w:pPr>
        <w:pStyle w:val="Tablenotes"/>
      </w:pPr>
      <w:r w:rsidRPr="00E135F2">
        <w:t>a ‘Uncertainty’ covers concepts such as inadequate minimisation of important sources of bias, lack of statistical significance in an underpowered trial, detecting clinically unimportant therapeutic differences, inconsistent results across trials, and trade-offs within the comparative effectiveness and/or the comparative safety considerations</w:t>
      </w:r>
    </w:p>
    <w:p w14:paraId="1CB9C9B3" w14:textId="5CB9A3EC" w:rsidR="000939E0" w:rsidRPr="00E135F2" w:rsidRDefault="000939E0" w:rsidP="00E135F2">
      <w:pPr>
        <w:pStyle w:val="Tablenotes"/>
      </w:pPr>
      <w:r>
        <w:t>b An adequate assessment of ‘noninferiority’ is the preferred basis for demonstrating equivalence</w:t>
      </w:r>
    </w:p>
    <w:p w14:paraId="4FFDEEFB" w14:textId="6AAB7F25" w:rsidR="273A0F1C" w:rsidRPr="00495424" w:rsidRDefault="00B34687" w:rsidP="00965EB4">
      <w:pPr>
        <w:rPr>
          <w:i/>
          <w:iCs/>
        </w:rPr>
      </w:pPr>
      <w:r w:rsidRPr="00495424">
        <w:rPr>
          <w:i/>
          <w:iCs/>
        </w:rPr>
        <w:t>PASC agreed that either a cost-effectiveness or cost-utility analysis would be appropriate for the economic evaluation. PASC noted that any additional safety monitoring arising from the proposed clinical management algorithms should be captured within the economic model.</w:t>
      </w:r>
    </w:p>
    <w:p w14:paraId="047E4738" w14:textId="2BF303CC" w:rsidR="00D73332" w:rsidRDefault="00D73332" w:rsidP="00DE762F">
      <w:pPr>
        <w:pStyle w:val="Heading2"/>
      </w:pPr>
      <w:r>
        <w:t>Proposal for public funding</w:t>
      </w:r>
    </w:p>
    <w:p w14:paraId="0D2AE64C" w14:textId="77777777" w:rsidR="00792CEA" w:rsidRDefault="00792CEA" w:rsidP="00792CEA">
      <w:r>
        <w:t>The applicant has not clearly specified whether the proposed testing algorithm would be supported through amendment of existing MBS items or the creation of new item(s).</w:t>
      </w:r>
    </w:p>
    <w:p w14:paraId="41D1A11D" w14:textId="3F4264AD" w:rsidR="00792CEA" w:rsidRDefault="00792CEA" w:rsidP="00792CEA">
      <w:r>
        <w:t>Preliminary assessment suggested that while existing items may capture some components (e.g. HBV DNA</w:t>
      </w:r>
      <w:r w:rsidR="00C456E2" w:rsidRPr="00C456E2">
        <w:t xml:space="preserve"> </w:t>
      </w:r>
      <w:r w:rsidR="00C456E2">
        <w:t>in patients who are HBsAg positive</w:t>
      </w:r>
      <w:r>
        <w:t xml:space="preserve">), it is unclear whether </w:t>
      </w:r>
      <w:r w:rsidR="001C1E16">
        <w:t xml:space="preserve">current </w:t>
      </w:r>
      <w:r w:rsidR="00ED2FC5">
        <w:t xml:space="preserve">item descriptors adequately support </w:t>
      </w:r>
      <w:r w:rsidR="00F077F9">
        <w:t xml:space="preserve">the </w:t>
      </w:r>
      <w:r>
        <w:t>repeated HBsAg testing and the proposed monitoring frequency (</w:t>
      </w:r>
      <w:r>
        <w:fldChar w:fldCharType="begin"/>
      </w:r>
      <w:r>
        <w:instrText xml:space="preserve"> REF _Ref233898553 \h </w:instrText>
      </w:r>
      <w:r>
        <w:fldChar w:fldCharType="separate"/>
      </w:r>
      <w:r w:rsidR="00257EB9">
        <w:t xml:space="preserve">Table </w:t>
      </w:r>
      <w:r w:rsidR="00257EB9">
        <w:rPr>
          <w:noProof/>
        </w:rPr>
        <w:t>8</w:t>
      </w:r>
      <w:r>
        <w:fldChar w:fldCharType="end"/>
      </w:r>
      <w:r>
        <w:t xml:space="preserve">). </w:t>
      </w:r>
    </w:p>
    <w:p w14:paraId="40A5A6BB" w14:textId="77777777" w:rsidR="00B15925" w:rsidRDefault="009C4E5F" w:rsidP="00E3001C">
      <w:r>
        <w:t xml:space="preserve">A detailed review of current item descriptors and restrictions identifies several potential gaps: </w:t>
      </w:r>
    </w:p>
    <w:p w14:paraId="6E236A8C" w14:textId="792E8EDC" w:rsidR="00B15925" w:rsidRDefault="00E3001C" w:rsidP="003564C6">
      <w:pPr>
        <w:pStyle w:val="ListParagraph"/>
        <w:numPr>
          <w:ilvl w:val="0"/>
          <w:numId w:val="5"/>
        </w:numPr>
      </w:pPr>
      <w:r>
        <w:t>MBS Item 69481 requires 3 tests for hepatitis antibodies/antigens and may not apply to standalone HBsAg tests ordered at discrete intervention timepoints (e.g., W</w:t>
      </w:r>
      <w:r w:rsidR="0065249C">
        <w:t xml:space="preserve">eek </w:t>
      </w:r>
      <w:r>
        <w:t>0, W</w:t>
      </w:r>
      <w:r w:rsidR="0065249C">
        <w:t xml:space="preserve">eek </w:t>
      </w:r>
      <w:r>
        <w:t>24, W</w:t>
      </w:r>
      <w:r w:rsidR="0065249C">
        <w:t xml:space="preserve">eek </w:t>
      </w:r>
      <w:r>
        <w:t>48, W</w:t>
      </w:r>
      <w:r w:rsidR="0065249C">
        <w:t xml:space="preserve">eek </w:t>
      </w:r>
      <w:r>
        <w:t>72) and it appears intended for the diagnostic investigation of suspected hepatitis;</w:t>
      </w:r>
    </w:p>
    <w:p w14:paraId="625E648D" w14:textId="458D8B1E" w:rsidR="00B15925" w:rsidRDefault="00E3001C" w:rsidP="003564C6">
      <w:pPr>
        <w:pStyle w:val="ListParagraph"/>
        <w:numPr>
          <w:ilvl w:val="0"/>
          <w:numId w:val="5"/>
        </w:numPr>
      </w:pPr>
      <w:r>
        <w:t>MBS Items 69482 and 69483</w:t>
      </w:r>
      <w:r w:rsidR="00343973">
        <w:t xml:space="preserve"> (for HBV DNA testing)</w:t>
      </w:r>
      <w:r>
        <w:t xml:space="preserve"> require </w:t>
      </w:r>
      <w:r w:rsidR="00C456E2">
        <w:t xml:space="preserve">patients to be </w:t>
      </w:r>
      <w:r>
        <w:t>HBsAg</w:t>
      </w:r>
      <w:r w:rsidR="00C456E2">
        <w:t xml:space="preserve"> </w:t>
      </w:r>
      <w:r>
        <w:t>positive, which may exclude HBV DNA testing performed after HBsAg turns negative but before functional cure is confirmed at 24 weeks off-treatment;</w:t>
      </w:r>
    </w:p>
    <w:p w14:paraId="0C404BF8" w14:textId="19C3C466" w:rsidR="00B15925" w:rsidRDefault="00E3001C" w:rsidP="003564C6">
      <w:pPr>
        <w:pStyle w:val="ListParagraph"/>
        <w:numPr>
          <w:ilvl w:val="0"/>
          <w:numId w:val="5"/>
        </w:numPr>
      </w:pPr>
      <w:r>
        <w:t xml:space="preserve">MBS Items 69475 and 69478 </w:t>
      </w:r>
      <w:r w:rsidR="42AD3538">
        <w:t>(</w:t>
      </w:r>
      <w:r w:rsidR="67CCC68F">
        <w:t>for</w:t>
      </w:r>
      <w:r w:rsidR="42AD3538">
        <w:t xml:space="preserve"> hepatitis an</w:t>
      </w:r>
      <w:r w:rsidR="4275C273">
        <w:t>tigen/antibody testing</w:t>
      </w:r>
      <w:r w:rsidR="42AD3538">
        <w:t xml:space="preserve">) </w:t>
      </w:r>
      <w:r>
        <w:t>appear intended for post-exposure/vaccination immune status determination and may not be applicable to an already</w:t>
      </w:r>
      <w:r w:rsidR="00073980">
        <w:t xml:space="preserve"> </w:t>
      </w:r>
      <w:r>
        <w:t xml:space="preserve">diagnosed CHB population. </w:t>
      </w:r>
    </w:p>
    <w:p w14:paraId="5FA5A612" w14:textId="7D8649A3" w:rsidR="008612A9" w:rsidRPr="008612A9" w:rsidRDefault="00AD6B73" w:rsidP="008612A9">
      <w:r>
        <w:lastRenderedPageBreak/>
        <w:t>The primary issue is that the</w:t>
      </w:r>
      <w:r w:rsidR="00B15925">
        <w:t xml:space="preserve"> current MBS</w:t>
      </w:r>
      <w:r>
        <w:t xml:space="preserve"> does not appear to contain an</w:t>
      </w:r>
      <w:r w:rsidR="00B15925">
        <w:t xml:space="preserve"> item for</w:t>
      </w:r>
      <w:r>
        <w:t xml:space="preserve"> routine serial </w:t>
      </w:r>
      <w:r w:rsidR="00B15925">
        <w:t>HBsAg</w:t>
      </w:r>
      <w:r w:rsidR="00026311">
        <w:t>/qHBsAg</w:t>
      </w:r>
      <w:r w:rsidR="00B15925">
        <w:t xml:space="preserve"> </w:t>
      </w:r>
      <w:r>
        <w:t>monitoring</w:t>
      </w:r>
      <w:r w:rsidR="008612A9" w:rsidRPr="008612A9">
        <w:t xml:space="preserve"> </w:t>
      </w:r>
      <w:r w:rsidR="008612A9">
        <w:t>in patients with CHB</w:t>
      </w:r>
      <w:r w:rsidR="00B15925">
        <w:t xml:space="preserve">, </w:t>
      </w:r>
      <w:r w:rsidR="00B43423">
        <w:t xml:space="preserve">either </w:t>
      </w:r>
      <w:r w:rsidR="008612A9">
        <w:t>for treatment selection or for ongoing assessment of functional cure</w:t>
      </w:r>
      <w:r w:rsidR="00B15925">
        <w:t xml:space="preserve">. </w:t>
      </w:r>
      <w:r w:rsidR="008612A9" w:rsidRPr="008612A9">
        <w:t>Under current clinical practice, HBsAg testing is generally used for diagnosis and disease classification rather than repeated longitudinal monitoring.</w:t>
      </w:r>
      <w:r w:rsidR="008612A9">
        <w:t xml:space="preserve"> </w:t>
      </w:r>
      <w:r w:rsidR="008612A9" w:rsidRPr="008612A9">
        <w:t>This issue becomes particularly relevant under the proposed testing algorithm, where repeated HBsAg measurements are required to determine eligibility for bepirovirsen treatment, assess treatment response, support NA cessation decisions and confirm maintenance of functional cure. The proposed pathway therefore introduces a new use-case for HBsAg testing that is not explicitly accommodated by existing MBS arrangements.</w:t>
      </w:r>
    </w:p>
    <w:p w14:paraId="3C3C8A81" w14:textId="13669BAF" w:rsidR="008612A9" w:rsidRDefault="008612A9" w:rsidP="008612A9">
      <w:r>
        <w:t>Another issue relates to HBV DNA testing. Current HBV DNA testing i</w:t>
      </w:r>
      <w:r w:rsidR="00B15925">
        <w:t xml:space="preserve">tems </w:t>
      </w:r>
      <w:r>
        <w:t>(</w:t>
      </w:r>
      <w:r w:rsidR="00B15925">
        <w:t>69482 and 69483</w:t>
      </w:r>
      <w:r>
        <w:t>)</w:t>
      </w:r>
      <w:r w:rsidR="00B15925">
        <w:t xml:space="preserve"> require patient to be HBsAg positive</w:t>
      </w:r>
      <w:r>
        <w:t>. Under the proposed pathway, however, patients who achieve functional cure are expected to become HBsAg negative, yet ongoing HBV DNA testing may still be clinically relevant to confirm maintenance of functional cure and detect relapse. Consequently, patients may no longer satisfy the eligibility requirements for HBV DNA testing at the same point that ongoing virological monitoring becomes most relevant.</w:t>
      </w:r>
    </w:p>
    <w:p w14:paraId="357F4E94" w14:textId="4661FF1B" w:rsidR="008612A9" w:rsidRDefault="008612A9" w:rsidP="008612A9">
      <w:r>
        <w:t xml:space="preserve">The proposed testing pathway therefore highlights two potential funding gaps: (i) the absence of an MBS-supported mechanism for routine serial HBsAg monitoring in established CHB, and (ii) the potential loss of eligibility for HBV DNA testing </w:t>
      </w:r>
      <w:r w:rsidR="197EDE12">
        <w:t xml:space="preserve">under existing MBS items </w:t>
      </w:r>
      <w:r>
        <w:t>following HBsAg loss. Guidance is sought on whether these issues should be addressed through amendment of existing HBV DNA item descriptors, creation of new HBsAg monitoring items, or a combination of both approaches.</w:t>
      </w:r>
    </w:p>
    <w:p w14:paraId="3DF5E131" w14:textId="2927F6D4" w:rsidR="00211F20" w:rsidRDefault="00211F20" w:rsidP="00B15925">
      <w:r w:rsidRPr="00211F20">
        <w:t xml:space="preserve">The applicant's proposed algorithm </w:t>
      </w:r>
      <w:r w:rsidR="55F04D5B">
        <w:t xml:space="preserve">also </w:t>
      </w:r>
      <w:r w:rsidRPr="00211F20">
        <w:t>includes</w:t>
      </w:r>
      <w:r w:rsidR="008612A9">
        <w:t xml:space="preserve"> </w:t>
      </w:r>
      <w:r w:rsidRPr="00211F20">
        <w:t xml:space="preserve">HBeAg assessment at </w:t>
      </w:r>
      <w:r>
        <w:t>W</w:t>
      </w:r>
      <w:r w:rsidRPr="00211F20">
        <w:t>eek 48</w:t>
      </w:r>
      <w:r w:rsidR="008612A9">
        <w:t>, however</w:t>
      </w:r>
      <w:r w:rsidRPr="00211F20">
        <w:t xml:space="preserve"> no MBS item specifically supporting HBeAg testing has been identified. </w:t>
      </w:r>
    </w:p>
    <w:p w14:paraId="0A7126ED" w14:textId="4C64DC97" w:rsidR="00E3001C" w:rsidRDefault="00E3001C" w:rsidP="00E3001C">
      <w:pPr>
        <w:pStyle w:val="Caption"/>
      </w:pPr>
      <w:bookmarkStart w:id="15" w:name="_Ref233898553"/>
      <w:r>
        <w:t xml:space="preserve">Table </w:t>
      </w:r>
      <w:r>
        <w:fldChar w:fldCharType="begin"/>
      </w:r>
      <w:r>
        <w:instrText xml:space="preserve"> SEQ Table \* ARABIC </w:instrText>
      </w:r>
      <w:r>
        <w:fldChar w:fldCharType="separate"/>
      </w:r>
      <w:r w:rsidR="00A446A4">
        <w:rPr>
          <w:noProof/>
        </w:rPr>
        <w:t>8</w:t>
      </w:r>
      <w:r>
        <w:fldChar w:fldCharType="end"/>
      </w:r>
      <w:bookmarkEnd w:id="15"/>
      <w:r>
        <w:tab/>
        <w:t>Summary of currently funded MBS items relevant to CHB</w:t>
      </w:r>
      <w:r w:rsidR="002A3A56">
        <w:t xml:space="preserve"> and applicability to the current assessment</w:t>
      </w:r>
    </w:p>
    <w:tbl>
      <w:tblPr>
        <w:tblStyle w:val="TableGrid"/>
        <w:tblW w:w="0" w:type="auto"/>
        <w:tblInd w:w="0" w:type="dxa"/>
        <w:tblLook w:val="04A0" w:firstRow="1" w:lastRow="0" w:firstColumn="1" w:lastColumn="0" w:noHBand="0" w:noVBand="1"/>
        <w:tblCaption w:val="Table 6 Summary of currently funded MBS items relevant to CHB and applicability to the current assessment"/>
        <w:tblDescription w:val="Table provides deteails of MBS items relevant to CHB as listed on the MBS in addition to the assessment of applicability to current assessment,"/>
      </w:tblPr>
      <w:tblGrid>
        <w:gridCol w:w="878"/>
        <w:gridCol w:w="2274"/>
        <w:gridCol w:w="1805"/>
        <w:gridCol w:w="2268"/>
        <w:gridCol w:w="2346"/>
      </w:tblGrid>
      <w:tr w:rsidR="00E173B0" w:rsidRPr="007060EB" w14:paraId="1C2C9F83" w14:textId="54BD9C6E" w:rsidTr="00A47531">
        <w:trPr>
          <w:tblHeader/>
        </w:trPr>
        <w:tc>
          <w:tcPr>
            <w:tcW w:w="878" w:type="dxa"/>
            <w:hideMark/>
          </w:tcPr>
          <w:p w14:paraId="72DF113C" w14:textId="0BD54F0F" w:rsidR="00E173B0" w:rsidRPr="007060EB" w:rsidRDefault="00E173B0" w:rsidP="009C4E5F">
            <w:pPr>
              <w:pStyle w:val="TableHeading"/>
            </w:pPr>
            <w:r>
              <w:t>MBS Item</w:t>
            </w:r>
          </w:p>
        </w:tc>
        <w:tc>
          <w:tcPr>
            <w:tcW w:w="2274" w:type="dxa"/>
            <w:hideMark/>
          </w:tcPr>
          <w:p w14:paraId="72A530B1" w14:textId="35343066" w:rsidR="00E173B0" w:rsidRPr="007060EB" w:rsidRDefault="00B97630" w:rsidP="009C4E5F">
            <w:pPr>
              <w:pStyle w:val="TableHeading"/>
            </w:pPr>
            <w:r>
              <w:t>MBS Descriptor</w:t>
            </w:r>
          </w:p>
        </w:tc>
        <w:tc>
          <w:tcPr>
            <w:tcW w:w="1805" w:type="dxa"/>
          </w:tcPr>
          <w:p w14:paraId="5CAEDC50" w14:textId="7532B41A" w:rsidR="00E173B0" w:rsidRPr="007060EB" w:rsidRDefault="00E173B0" w:rsidP="009C4E5F">
            <w:pPr>
              <w:pStyle w:val="TableHeading"/>
            </w:pPr>
            <w:r>
              <w:t>MBS Schedule Fee (as of 02 July 2026)</w:t>
            </w:r>
          </w:p>
        </w:tc>
        <w:tc>
          <w:tcPr>
            <w:tcW w:w="2268" w:type="dxa"/>
            <w:hideMark/>
          </w:tcPr>
          <w:p w14:paraId="4649E6EB" w14:textId="7EB86BE4" w:rsidR="00E173B0" w:rsidRPr="007060EB" w:rsidRDefault="00B97630" w:rsidP="009C4E5F">
            <w:pPr>
              <w:pStyle w:val="TableHeading"/>
            </w:pPr>
            <w:r>
              <w:t>MBS Restrictions</w:t>
            </w:r>
          </w:p>
        </w:tc>
        <w:tc>
          <w:tcPr>
            <w:tcW w:w="2346" w:type="dxa"/>
          </w:tcPr>
          <w:p w14:paraId="0926F810" w14:textId="197F9ED1" w:rsidR="00E173B0" w:rsidRPr="007060EB" w:rsidRDefault="00B97630" w:rsidP="009C4E5F">
            <w:pPr>
              <w:pStyle w:val="TableHeading"/>
            </w:pPr>
            <w:r>
              <w:t>Applicability to Current Assessment</w:t>
            </w:r>
          </w:p>
        </w:tc>
      </w:tr>
      <w:tr w:rsidR="00E173B0" w:rsidRPr="007060EB" w14:paraId="6DD94E9A" w14:textId="370737F5" w:rsidTr="00262037">
        <w:tc>
          <w:tcPr>
            <w:tcW w:w="878" w:type="dxa"/>
            <w:hideMark/>
          </w:tcPr>
          <w:p w14:paraId="60B126DA" w14:textId="7340D1E5" w:rsidR="00E173B0" w:rsidRPr="007060EB" w:rsidRDefault="00E173B0" w:rsidP="009C4E5F">
            <w:pPr>
              <w:pStyle w:val="Tabletext"/>
            </w:pPr>
            <w:hyperlink r:id="rId14" w:history="1">
              <w:r w:rsidRPr="00960E1C">
                <w:rPr>
                  <w:rStyle w:val="Hyperlink"/>
                  <w:rFonts w:ascii="Arial Narrow" w:hAnsi="Arial Narrow" w:cs="Tahoma"/>
                </w:rPr>
                <w:t>69475</w:t>
              </w:r>
            </w:hyperlink>
            <w:r>
              <w:t xml:space="preserve"> or </w:t>
            </w:r>
            <w:hyperlink r:id="rId15" w:history="1">
              <w:r w:rsidRPr="00960E1C">
                <w:rPr>
                  <w:rStyle w:val="Hyperlink"/>
                  <w:rFonts w:ascii="Arial Narrow" w:hAnsi="Arial Narrow" w:cs="Tahoma"/>
                </w:rPr>
                <w:t>69478</w:t>
              </w:r>
            </w:hyperlink>
          </w:p>
        </w:tc>
        <w:tc>
          <w:tcPr>
            <w:tcW w:w="2274" w:type="dxa"/>
            <w:hideMark/>
          </w:tcPr>
          <w:p w14:paraId="072C5702" w14:textId="77777777" w:rsidR="00E173B0" w:rsidRPr="007060EB" w:rsidRDefault="00E173B0" w:rsidP="009C4E5F">
            <w:pPr>
              <w:pStyle w:val="Tabletext"/>
            </w:pPr>
            <w:r>
              <w:t>One test for item 69475 / two tests for item 69478</w:t>
            </w:r>
          </w:p>
          <w:p w14:paraId="4B12AB16" w14:textId="77777777" w:rsidR="00E173B0" w:rsidRPr="007060EB" w:rsidRDefault="00E173B0" w:rsidP="009C4E5F">
            <w:pPr>
              <w:pStyle w:val="Tabletext"/>
            </w:pPr>
            <w:r>
              <w:t>for hepatitis antigen or antibodies to determine immune status or viral carriage following exposure or vaccination to Hepatitis A, Hepatitis B, Hepatitis C or Hepatitis D</w:t>
            </w:r>
          </w:p>
        </w:tc>
        <w:tc>
          <w:tcPr>
            <w:tcW w:w="1805" w:type="dxa"/>
          </w:tcPr>
          <w:p w14:paraId="2EC59618" w14:textId="61590D1B" w:rsidR="00E173B0" w:rsidRDefault="00E173B0" w:rsidP="009C4E5F">
            <w:pPr>
              <w:pStyle w:val="Tabletext"/>
            </w:pPr>
            <w:r>
              <w:t>$15.65 or</w:t>
            </w:r>
          </w:p>
          <w:p w14:paraId="5593F7E7" w14:textId="629BD919" w:rsidR="00E173B0" w:rsidRDefault="00E173B0" w:rsidP="009C4E5F">
            <w:pPr>
              <w:pStyle w:val="Tabletext"/>
            </w:pPr>
            <w:r>
              <w:t>$29.25</w:t>
            </w:r>
          </w:p>
          <w:p w14:paraId="2400917B" w14:textId="22C64E25" w:rsidR="00E173B0" w:rsidRPr="007060EB" w:rsidRDefault="00E173B0" w:rsidP="009C4E5F">
            <w:pPr>
              <w:pStyle w:val="Tabletext"/>
            </w:pPr>
          </w:p>
        </w:tc>
        <w:tc>
          <w:tcPr>
            <w:tcW w:w="2268" w:type="dxa"/>
            <w:hideMark/>
          </w:tcPr>
          <w:p w14:paraId="263A5026" w14:textId="3B46BE55" w:rsidR="00E173B0" w:rsidRPr="007060EB" w:rsidRDefault="00E173B0" w:rsidP="009C4E5F">
            <w:pPr>
              <w:pStyle w:val="Tabletext"/>
            </w:pPr>
            <w:r>
              <w:t>Items subject to rule 11 (a Medicare benefit is not payable in respect of more than one of items 69475, 69478 and 69481 in a patient episode.)</w:t>
            </w:r>
          </w:p>
          <w:p w14:paraId="26217D86" w14:textId="3D507DBC" w:rsidR="00E173B0" w:rsidRPr="007060EB" w:rsidRDefault="00E173B0" w:rsidP="009C4E5F">
            <w:pPr>
              <w:pStyle w:val="Tabletext"/>
            </w:pPr>
          </w:p>
        </w:tc>
        <w:tc>
          <w:tcPr>
            <w:tcW w:w="2346" w:type="dxa"/>
          </w:tcPr>
          <w:p w14:paraId="2AFA8A0C" w14:textId="0AFC2348" w:rsidR="00E173B0" w:rsidRPr="007060EB" w:rsidRDefault="00E173B0" w:rsidP="009C4E5F">
            <w:pPr>
              <w:pStyle w:val="Tabletext"/>
            </w:pPr>
            <w:r>
              <w:t>Item 69475 or 69478 is not applicable in patients already diagnosed with Hepatitis B.</w:t>
            </w:r>
          </w:p>
        </w:tc>
      </w:tr>
      <w:tr w:rsidR="00E173B0" w:rsidRPr="007060EB" w14:paraId="4900DD78" w14:textId="688EB23E" w:rsidTr="00262037">
        <w:tc>
          <w:tcPr>
            <w:tcW w:w="878" w:type="dxa"/>
            <w:hideMark/>
          </w:tcPr>
          <w:p w14:paraId="44A94A61" w14:textId="45673E56" w:rsidR="00E173B0" w:rsidRPr="007060EB" w:rsidRDefault="00E173B0" w:rsidP="009C4E5F">
            <w:pPr>
              <w:pStyle w:val="Tabletext"/>
            </w:pPr>
            <w:hyperlink r:id="rId16" w:history="1">
              <w:r w:rsidRPr="00960E1C">
                <w:rPr>
                  <w:rStyle w:val="Hyperlink"/>
                  <w:rFonts w:ascii="Arial Narrow" w:hAnsi="Arial Narrow" w:cs="Tahoma"/>
                </w:rPr>
                <w:t>69481</w:t>
              </w:r>
            </w:hyperlink>
          </w:p>
        </w:tc>
        <w:tc>
          <w:tcPr>
            <w:tcW w:w="2274" w:type="dxa"/>
            <w:hideMark/>
          </w:tcPr>
          <w:p w14:paraId="2D973C63" w14:textId="5992B08D" w:rsidR="00E173B0" w:rsidRPr="007060EB" w:rsidRDefault="00E173B0" w:rsidP="009C4E5F">
            <w:pPr>
              <w:pStyle w:val="Tabletext"/>
            </w:pPr>
            <w:r>
              <w:t>Investigation of infectious causes of acute or chronic hepatitis - 3 tests for hepatitis antibodies or antigens</w:t>
            </w:r>
          </w:p>
        </w:tc>
        <w:tc>
          <w:tcPr>
            <w:tcW w:w="1805" w:type="dxa"/>
          </w:tcPr>
          <w:p w14:paraId="760965BD" w14:textId="38745F8E" w:rsidR="00E173B0" w:rsidRPr="007060EB" w:rsidRDefault="00E173B0" w:rsidP="009C4E5F">
            <w:pPr>
              <w:pStyle w:val="Tabletext"/>
            </w:pPr>
            <w:r>
              <w:t>$40.55</w:t>
            </w:r>
          </w:p>
        </w:tc>
        <w:tc>
          <w:tcPr>
            <w:tcW w:w="2268" w:type="dxa"/>
            <w:hideMark/>
          </w:tcPr>
          <w:p w14:paraId="1DF470F1" w14:textId="44D9E3EA" w:rsidR="00E173B0" w:rsidRPr="007060EB" w:rsidRDefault="00E173B0" w:rsidP="009C4E5F">
            <w:pPr>
              <w:pStyle w:val="Tabletext"/>
            </w:pPr>
            <w:r>
              <w:t>Item subject to rule 11 (a Medicare benefit is not payable in respect of more than one of items 69475, 69478 and 69481 in a patient episode)</w:t>
            </w:r>
          </w:p>
          <w:p w14:paraId="459D9243" w14:textId="5C64FA52" w:rsidR="00E173B0" w:rsidRPr="007060EB" w:rsidRDefault="00E173B0" w:rsidP="009C4E5F">
            <w:pPr>
              <w:pStyle w:val="Tabletext"/>
            </w:pPr>
          </w:p>
        </w:tc>
        <w:tc>
          <w:tcPr>
            <w:tcW w:w="2346" w:type="dxa"/>
          </w:tcPr>
          <w:p w14:paraId="0168778E" w14:textId="7F2F5CE1" w:rsidR="00E173B0" w:rsidRDefault="00E173B0" w:rsidP="009C4E5F">
            <w:pPr>
              <w:pStyle w:val="Tabletext"/>
            </w:pPr>
            <w:r>
              <w:t>This item requires 3 tests, which means if the only test</w:t>
            </w:r>
            <w:r w:rsidR="005D5F82">
              <w:t>(s)</w:t>
            </w:r>
            <w:r>
              <w:t xml:space="preserve"> ordered is qHBsAg </w:t>
            </w:r>
            <w:r w:rsidR="00E570E2">
              <w:t xml:space="preserve">or HBeAg </w:t>
            </w:r>
            <w:r>
              <w:t>this item is not applicable.</w:t>
            </w:r>
          </w:p>
          <w:p w14:paraId="4558E417" w14:textId="47ABBB8A" w:rsidR="00E173B0" w:rsidRPr="007060EB" w:rsidRDefault="00E173B0" w:rsidP="009C4E5F">
            <w:pPr>
              <w:pStyle w:val="Tabletext"/>
            </w:pPr>
            <w:r>
              <w:t>The item is intended for diagnostic investigation of suspected hepatitis, not routine monitoring of a</w:t>
            </w:r>
            <w:r w:rsidR="001611CD">
              <w:t xml:space="preserve"> patient with</w:t>
            </w:r>
            <w:r>
              <w:t xml:space="preserve"> </w:t>
            </w:r>
            <w:r w:rsidR="001611CD">
              <w:t xml:space="preserve">previously  </w:t>
            </w:r>
            <w:r>
              <w:t>diagnosed, stable CHB.</w:t>
            </w:r>
          </w:p>
        </w:tc>
      </w:tr>
      <w:tr w:rsidR="00E173B0" w:rsidRPr="007060EB" w14:paraId="3D42484C" w14:textId="7E3331F3" w:rsidTr="00262037">
        <w:tc>
          <w:tcPr>
            <w:tcW w:w="878" w:type="dxa"/>
            <w:hideMark/>
          </w:tcPr>
          <w:p w14:paraId="413D2939" w14:textId="3EEB6730" w:rsidR="00E173B0" w:rsidRPr="007060EB" w:rsidRDefault="00E173B0" w:rsidP="009C4E5F">
            <w:pPr>
              <w:pStyle w:val="Tabletext"/>
            </w:pPr>
            <w:hyperlink r:id="rId17" w:history="1">
              <w:r w:rsidRPr="00960E1C">
                <w:rPr>
                  <w:rStyle w:val="Hyperlink"/>
                  <w:rFonts w:ascii="Arial Narrow" w:hAnsi="Arial Narrow" w:cs="Tahoma"/>
                </w:rPr>
                <w:t>69482</w:t>
              </w:r>
            </w:hyperlink>
          </w:p>
        </w:tc>
        <w:tc>
          <w:tcPr>
            <w:tcW w:w="2274" w:type="dxa"/>
            <w:hideMark/>
          </w:tcPr>
          <w:p w14:paraId="6263475F" w14:textId="77777777" w:rsidR="00E173B0" w:rsidRPr="007060EB" w:rsidRDefault="00E173B0" w:rsidP="009C4E5F">
            <w:pPr>
              <w:pStyle w:val="Tabletext"/>
            </w:pPr>
            <w:r>
              <w:t xml:space="preserve">Quantitation of Hepatitis B viral DNA in patients who are Hepatitis B surface antigen positive and have chronic hepatitis B, but are </w:t>
            </w:r>
            <w:r>
              <w:rPr>
                <w:u w:val="single"/>
              </w:rPr>
              <w:t>not </w:t>
            </w:r>
            <w:r>
              <w:t>receiving antiviral therapy - 1 test</w:t>
            </w:r>
          </w:p>
        </w:tc>
        <w:tc>
          <w:tcPr>
            <w:tcW w:w="1805" w:type="dxa"/>
          </w:tcPr>
          <w:p w14:paraId="14A417B8" w14:textId="6080AF1A" w:rsidR="00E173B0" w:rsidRPr="007060EB" w:rsidRDefault="00262037" w:rsidP="009C4E5F">
            <w:pPr>
              <w:pStyle w:val="Tabletext"/>
            </w:pPr>
            <w:r>
              <w:t>$152.10</w:t>
            </w:r>
          </w:p>
        </w:tc>
        <w:tc>
          <w:tcPr>
            <w:tcW w:w="2268" w:type="dxa"/>
            <w:hideMark/>
          </w:tcPr>
          <w:p w14:paraId="15B5F549" w14:textId="61910CC7" w:rsidR="00E173B0" w:rsidRPr="007060EB" w:rsidRDefault="00E173B0" w:rsidP="009C4E5F">
            <w:pPr>
              <w:pStyle w:val="Tabletext"/>
            </w:pPr>
            <w:r>
              <w:t>Item subject to rule 25 (Once in a 12 month period)</w:t>
            </w:r>
          </w:p>
          <w:p w14:paraId="2251F575" w14:textId="5959DF8F" w:rsidR="00E173B0" w:rsidRPr="007060EB" w:rsidRDefault="00E173B0" w:rsidP="009C4E5F">
            <w:pPr>
              <w:pStyle w:val="Tabletext"/>
            </w:pPr>
          </w:p>
        </w:tc>
        <w:tc>
          <w:tcPr>
            <w:tcW w:w="2346" w:type="dxa"/>
          </w:tcPr>
          <w:p w14:paraId="0D103130" w14:textId="00B745EB" w:rsidR="00E173B0" w:rsidRPr="007060EB" w:rsidRDefault="00E173B0" w:rsidP="00E173B0">
            <w:pPr>
              <w:pStyle w:val="Tabletext"/>
            </w:pPr>
            <w:r>
              <w:t>HBV DNA viral load is not rebatable in patients who are HBsAg negative</w:t>
            </w:r>
            <w:r w:rsidR="2378DDA4">
              <w:t>.</w:t>
            </w:r>
          </w:p>
        </w:tc>
      </w:tr>
      <w:tr w:rsidR="00262037" w:rsidRPr="007060EB" w14:paraId="311CCDE8" w14:textId="413BC64B" w:rsidTr="00262037">
        <w:tc>
          <w:tcPr>
            <w:tcW w:w="878" w:type="dxa"/>
            <w:hideMark/>
          </w:tcPr>
          <w:p w14:paraId="32DC52D4" w14:textId="76562E29" w:rsidR="00262037" w:rsidRPr="007060EB" w:rsidRDefault="00262037" w:rsidP="00262037">
            <w:pPr>
              <w:pStyle w:val="Tabletext"/>
            </w:pPr>
            <w:hyperlink r:id="rId18" w:history="1">
              <w:r w:rsidRPr="00960E1C">
                <w:rPr>
                  <w:rStyle w:val="Hyperlink"/>
                  <w:rFonts w:ascii="Arial Narrow" w:hAnsi="Arial Narrow" w:cs="Tahoma"/>
                </w:rPr>
                <w:t>69483</w:t>
              </w:r>
            </w:hyperlink>
          </w:p>
        </w:tc>
        <w:tc>
          <w:tcPr>
            <w:tcW w:w="2274" w:type="dxa"/>
            <w:hideMark/>
          </w:tcPr>
          <w:p w14:paraId="49626EA0" w14:textId="77777777" w:rsidR="00262037" w:rsidRPr="007060EB" w:rsidRDefault="00262037" w:rsidP="00262037">
            <w:pPr>
              <w:pStyle w:val="Tabletext"/>
            </w:pPr>
            <w:r>
              <w:t>Quantitation of Hepatitis B viral DNA in patients who are Hepatitis B surface antigen positive and who have chronic hepatitis B and are receiving antiviral therapy - 1 test</w:t>
            </w:r>
          </w:p>
        </w:tc>
        <w:tc>
          <w:tcPr>
            <w:tcW w:w="1805" w:type="dxa"/>
          </w:tcPr>
          <w:p w14:paraId="793412D3" w14:textId="12CE30D0" w:rsidR="00262037" w:rsidRPr="007060EB" w:rsidRDefault="00262037" w:rsidP="00262037">
            <w:pPr>
              <w:pStyle w:val="Tabletext"/>
            </w:pPr>
            <w:r>
              <w:t>$152.10</w:t>
            </w:r>
          </w:p>
        </w:tc>
        <w:tc>
          <w:tcPr>
            <w:tcW w:w="2268" w:type="dxa"/>
            <w:hideMark/>
          </w:tcPr>
          <w:p w14:paraId="603AC145" w14:textId="762EB71F" w:rsidR="00262037" w:rsidRPr="007060EB" w:rsidRDefault="00262037" w:rsidP="00262037">
            <w:pPr>
              <w:pStyle w:val="Tabletext"/>
            </w:pPr>
            <w:r>
              <w:t>Item subject to rule 25 (4 times in a 12 month period)</w:t>
            </w:r>
          </w:p>
          <w:p w14:paraId="55797F7D" w14:textId="7FEC9926" w:rsidR="00262037" w:rsidRPr="007060EB" w:rsidRDefault="00262037" w:rsidP="00262037">
            <w:pPr>
              <w:pStyle w:val="Tabletext"/>
            </w:pPr>
          </w:p>
        </w:tc>
        <w:tc>
          <w:tcPr>
            <w:tcW w:w="2346" w:type="dxa"/>
          </w:tcPr>
          <w:p w14:paraId="2D330C81" w14:textId="078350A9" w:rsidR="00262037" w:rsidRPr="007060EB" w:rsidRDefault="00262037" w:rsidP="00262037">
            <w:pPr>
              <w:pStyle w:val="Tabletext"/>
            </w:pPr>
            <w:r>
              <w:t>HBV DNA viral load is not rebatable in patients who are HBsAg negative</w:t>
            </w:r>
            <w:r w:rsidR="5C8EE69C">
              <w:t>.</w:t>
            </w:r>
          </w:p>
        </w:tc>
      </w:tr>
      <w:tr w:rsidR="00262037" w:rsidRPr="007060EB" w14:paraId="23331038" w14:textId="1A7381DD" w:rsidTr="00262037">
        <w:tc>
          <w:tcPr>
            <w:tcW w:w="878" w:type="dxa"/>
            <w:hideMark/>
          </w:tcPr>
          <w:p w14:paraId="3913FB8C" w14:textId="21BEDB74" w:rsidR="00262037" w:rsidRPr="007060EB" w:rsidRDefault="00262037" w:rsidP="00262037">
            <w:pPr>
              <w:pStyle w:val="Tabletext"/>
            </w:pPr>
            <w:hyperlink r:id="rId19" w:history="1">
              <w:r w:rsidRPr="006E1471">
                <w:rPr>
                  <w:rStyle w:val="Hyperlink"/>
                  <w:rFonts w:ascii="Arial Narrow" w:hAnsi="Arial Narrow" w:cs="Tahoma"/>
                </w:rPr>
                <w:t>69484</w:t>
              </w:r>
            </w:hyperlink>
          </w:p>
        </w:tc>
        <w:tc>
          <w:tcPr>
            <w:tcW w:w="2274" w:type="dxa"/>
            <w:hideMark/>
          </w:tcPr>
          <w:p w14:paraId="4EA60186" w14:textId="77777777" w:rsidR="00262037" w:rsidRPr="007060EB" w:rsidRDefault="00262037" w:rsidP="00262037">
            <w:pPr>
              <w:pStyle w:val="Tabletext"/>
            </w:pPr>
            <w:r>
              <w:t>Supplementary testing for Hepatitis B surface antigen or Hepatitis C antibody using a different assay on the specimen which yielded a reactive result on initial testing</w:t>
            </w:r>
          </w:p>
        </w:tc>
        <w:tc>
          <w:tcPr>
            <w:tcW w:w="1805" w:type="dxa"/>
          </w:tcPr>
          <w:p w14:paraId="21767D28" w14:textId="2AE794DC" w:rsidR="00262037" w:rsidRPr="007060EB" w:rsidRDefault="00A328A2" w:rsidP="00A328A2">
            <w:pPr>
              <w:pStyle w:val="Tabletext"/>
            </w:pPr>
            <w:r>
              <w:t> $17.10</w:t>
            </w:r>
          </w:p>
        </w:tc>
        <w:tc>
          <w:tcPr>
            <w:tcW w:w="2268" w:type="dxa"/>
            <w:hideMark/>
          </w:tcPr>
          <w:p w14:paraId="51955F73" w14:textId="5DC31E83" w:rsidR="00262037" w:rsidRPr="007060EB" w:rsidRDefault="00262037" w:rsidP="00262037">
            <w:pPr>
              <w:pStyle w:val="Tabletext"/>
            </w:pPr>
            <w:r>
              <w:t>Item subject to rule 18 (episode coning)</w:t>
            </w:r>
          </w:p>
          <w:p w14:paraId="6A7B9C96" w14:textId="121748A9" w:rsidR="00262037" w:rsidRPr="007060EB" w:rsidRDefault="00262037" w:rsidP="00262037">
            <w:pPr>
              <w:pStyle w:val="Tabletext"/>
            </w:pPr>
          </w:p>
        </w:tc>
        <w:tc>
          <w:tcPr>
            <w:tcW w:w="2346" w:type="dxa"/>
          </w:tcPr>
          <w:p w14:paraId="5C49BC52" w14:textId="224B304C" w:rsidR="00262037" w:rsidRPr="007060EB" w:rsidRDefault="00262037" w:rsidP="00262037">
            <w:pPr>
              <w:pStyle w:val="Tabletext"/>
            </w:pPr>
            <w:r>
              <w:t>Patients who no longer test positive to HBsAg would be excluded from this item.</w:t>
            </w:r>
          </w:p>
        </w:tc>
      </w:tr>
    </w:tbl>
    <w:p w14:paraId="5CDBB4FE" w14:textId="5D7CF94C" w:rsidR="009F5077" w:rsidRDefault="00B15925" w:rsidP="009F5077">
      <w:pPr>
        <w:pStyle w:val="Tablenotes"/>
        <w:jc w:val="left"/>
      </w:pPr>
      <w:r>
        <w:t>Abbreviations: HBsAg,</w:t>
      </w:r>
      <w:r w:rsidR="3B3DCEB1">
        <w:t xml:space="preserve"> hepatitis B surface antigen;</w:t>
      </w:r>
      <w:r>
        <w:t xml:space="preserve"> HBV DNA,</w:t>
      </w:r>
      <w:r w:rsidR="7DED746E">
        <w:t xml:space="preserve"> hepatitis B viral DNA;</w:t>
      </w:r>
      <w:r>
        <w:t xml:space="preserve"> MBS</w:t>
      </w:r>
      <w:r w:rsidR="00A93380">
        <w:t>, Medicare Benefits Schedule</w:t>
      </w:r>
      <w:r>
        <w:br/>
      </w:r>
    </w:p>
    <w:p w14:paraId="70D543D1" w14:textId="42D9F22B" w:rsidR="007C7B8A" w:rsidRPr="00A446A4" w:rsidRDefault="00E00B99" w:rsidP="00D94D11">
      <w:pPr>
        <w:pStyle w:val="Tablenotes"/>
        <w:jc w:val="left"/>
        <w:rPr>
          <w:rFonts w:ascii="Calibri" w:hAnsi="Calibri" w:cs="Calibri"/>
          <w:sz w:val="22"/>
          <w:szCs w:val="22"/>
        </w:rPr>
      </w:pPr>
      <w:r w:rsidRPr="00A446A4">
        <w:rPr>
          <w:rFonts w:ascii="Calibri" w:hAnsi="Calibri" w:cs="Calibri"/>
          <w:sz w:val="22"/>
          <w:szCs w:val="22"/>
        </w:rPr>
        <w:t xml:space="preserve">If </w:t>
      </w:r>
      <w:r w:rsidRPr="00E00B99">
        <w:rPr>
          <w:rFonts w:ascii="Calibri" w:hAnsi="Calibri" w:cs="Calibri"/>
          <w:sz w:val="22"/>
          <w:szCs w:val="22"/>
        </w:rPr>
        <w:t xml:space="preserve">the </w:t>
      </w:r>
      <w:r w:rsidR="008D19E4">
        <w:rPr>
          <w:rFonts w:ascii="Calibri" w:hAnsi="Calibri" w:cs="Calibri"/>
          <w:sz w:val="22"/>
          <w:szCs w:val="22"/>
        </w:rPr>
        <w:t xml:space="preserve">proposed </w:t>
      </w:r>
      <w:r>
        <w:rPr>
          <w:rFonts w:ascii="Calibri" w:hAnsi="Calibri" w:cs="Calibri"/>
          <w:sz w:val="22"/>
          <w:szCs w:val="22"/>
        </w:rPr>
        <w:t xml:space="preserve">testing algorithm </w:t>
      </w:r>
      <w:r w:rsidRPr="00E00B99">
        <w:rPr>
          <w:rFonts w:ascii="Calibri" w:hAnsi="Calibri" w:cs="Calibri"/>
          <w:sz w:val="22"/>
          <w:szCs w:val="22"/>
        </w:rPr>
        <w:t>cannot be adequately supported through amendment</w:t>
      </w:r>
      <w:r w:rsidR="008D19E4">
        <w:rPr>
          <w:rFonts w:ascii="Calibri" w:hAnsi="Calibri" w:cs="Calibri"/>
          <w:sz w:val="22"/>
          <w:szCs w:val="22"/>
        </w:rPr>
        <w:t>s</w:t>
      </w:r>
      <w:r w:rsidRPr="00E00B99">
        <w:rPr>
          <w:rFonts w:ascii="Calibri" w:hAnsi="Calibri" w:cs="Calibri"/>
          <w:sz w:val="22"/>
          <w:szCs w:val="22"/>
        </w:rPr>
        <w:t xml:space="preserve"> of existing MBS item</w:t>
      </w:r>
      <w:r w:rsidR="008D19E4">
        <w:rPr>
          <w:rFonts w:ascii="Calibri" w:hAnsi="Calibri" w:cs="Calibri"/>
          <w:sz w:val="22"/>
          <w:szCs w:val="22"/>
        </w:rPr>
        <w:t xml:space="preserve">, the creation of </w:t>
      </w:r>
      <w:r w:rsidR="1B44B532" w:rsidRPr="44148F7F">
        <w:rPr>
          <w:rFonts w:ascii="Calibri" w:hAnsi="Calibri" w:cs="Calibri"/>
          <w:sz w:val="22"/>
          <w:szCs w:val="22"/>
        </w:rPr>
        <w:t xml:space="preserve">three </w:t>
      </w:r>
      <w:r w:rsidR="008D19E4">
        <w:rPr>
          <w:rFonts w:ascii="Calibri" w:hAnsi="Calibri" w:cs="Calibri"/>
          <w:sz w:val="22"/>
          <w:szCs w:val="22"/>
        </w:rPr>
        <w:t>new, dedicated MBS items (</w:t>
      </w:r>
      <w:r w:rsidR="008D19E4" w:rsidRPr="008D19E4">
        <w:rPr>
          <w:rFonts w:ascii="Calibri" w:hAnsi="Calibri" w:cs="Calibri"/>
          <w:sz w:val="22"/>
          <w:szCs w:val="22"/>
        </w:rPr>
        <w:t xml:space="preserve">see </w:t>
      </w:r>
      <w:r w:rsidR="008D19E4" w:rsidRPr="008D19E4">
        <w:rPr>
          <w:rFonts w:ascii="Calibri" w:hAnsi="Calibri" w:cs="Calibri"/>
          <w:sz w:val="22"/>
          <w:szCs w:val="22"/>
        </w:rPr>
        <w:fldChar w:fldCharType="begin"/>
      </w:r>
      <w:r w:rsidR="008D19E4" w:rsidRPr="008D19E4">
        <w:rPr>
          <w:rFonts w:ascii="Calibri" w:hAnsi="Calibri" w:cs="Calibri"/>
          <w:sz w:val="22"/>
          <w:szCs w:val="22"/>
        </w:rPr>
        <w:instrText xml:space="preserve"> REF _Ref235193747 \h  \* MERGEFORMAT </w:instrText>
      </w:r>
      <w:r w:rsidR="008D19E4" w:rsidRPr="008D19E4">
        <w:rPr>
          <w:rFonts w:ascii="Calibri" w:hAnsi="Calibri" w:cs="Calibri"/>
          <w:sz w:val="22"/>
          <w:szCs w:val="22"/>
        </w:rPr>
      </w:r>
      <w:r w:rsidR="008D19E4" w:rsidRPr="008D19E4">
        <w:rPr>
          <w:rFonts w:ascii="Calibri" w:hAnsi="Calibri" w:cs="Calibri"/>
          <w:sz w:val="22"/>
          <w:szCs w:val="22"/>
        </w:rPr>
        <w:fldChar w:fldCharType="separate"/>
      </w:r>
      <w:r w:rsidR="00A446A4" w:rsidRPr="00A446A4">
        <w:rPr>
          <w:rFonts w:ascii="Calibri" w:hAnsi="Calibri" w:cs="Calibri"/>
          <w:sz w:val="22"/>
          <w:szCs w:val="22"/>
        </w:rPr>
        <w:t xml:space="preserve">Table </w:t>
      </w:r>
      <w:r w:rsidR="00A446A4" w:rsidRPr="00A446A4">
        <w:rPr>
          <w:rFonts w:ascii="Calibri" w:hAnsi="Calibri" w:cs="Calibri"/>
          <w:noProof/>
          <w:sz w:val="22"/>
          <w:szCs w:val="22"/>
        </w:rPr>
        <w:t>9</w:t>
      </w:r>
      <w:r w:rsidR="008D19E4" w:rsidRPr="008D19E4">
        <w:rPr>
          <w:rFonts w:ascii="Calibri" w:hAnsi="Calibri" w:cs="Calibri"/>
          <w:sz w:val="22"/>
          <w:szCs w:val="22"/>
        </w:rPr>
        <w:fldChar w:fldCharType="end"/>
      </w:r>
      <w:r w:rsidR="008D19E4" w:rsidRPr="008D19E4">
        <w:rPr>
          <w:rFonts w:ascii="Calibri" w:hAnsi="Calibri" w:cs="Calibri"/>
          <w:sz w:val="22"/>
          <w:szCs w:val="22"/>
        </w:rPr>
        <w:t xml:space="preserve"> and </w:t>
      </w:r>
      <w:r w:rsidR="008D19E4" w:rsidRPr="008D19E4">
        <w:rPr>
          <w:rFonts w:ascii="Calibri" w:hAnsi="Calibri" w:cs="Calibri"/>
          <w:sz w:val="22"/>
          <w:szCs w:val="22"/>
        </w:rPr>
        <w:fldChar w:fldCharType="begin"/>
      </w:r>
      <w:r w:rsidR="008D19E4" w:rsidRPr="008D19E4">
        <w:rPr>
          <w:rFonts w:ascii="Calibri" w:hAnsi="Calibri" w:cs="Calibri"/>
          <w:sz w:val="22"/>
          <w:szCs w:val="22"/>
        </w:rPr>
        <w:instrText xml:space="preserve"> REF _Ref235193758 \h  \* MERGEFORMAT </w:instrText>
      </w:r>
      <w:r w:rsidR="008D19E4" w:rsidRPr="008D19E4">
        <w:rPr>
          <w:rFonts w:ascii="Calibri" w:hAnsi="Calibri" w:cs="Calibri"/>
          <w:sz w:val="22"/>
          <w:szCs w:val="22"/>
        </w:rPr>
      </w:r>
      <w:r w:rsidR="008D19E4" w:rsidRPr="008D19E4">
        <w:rPr>
          <w:rFonts w:ascii="Calibri" w:hAnsi="Calibri" w:cs="Calibri"/>
          <w:sz w:val="22"/>
          <w:szCs w:val="22"/>
        </w:rPr>
        <w:fldChar w:fldCharType="separate"/>
      </w:r>
      <w:r w:rsidR="00A446A4" w:rsidRPr="00A446A4">
        <w:rPr>
          <w:rFonts w:ascii="Calibri" w:hAnsi="Calibri" w:cs="Calibri"/>
          <w:sz w:val="22"/>
          <w:szCs w:val="22"/>
        </w:rPr>
        <w:t xml:space="preserve">Table </w:t>
      </w:r>
      <w:r w:rsidR="00A446A4" w:rsidRPr="00A446A4">
        <w:rPr>
          <w:rFonts w:ascii="Calibri" w:hAnsi="Calibri" w:cs="Calibri"/>
          <w:noProof/>
          <w:sz w:val="22"/>
          <w:szCs w:val="22"/>
        </w:rPr>
        <w:t>10</w:t>
      </w:r>
      <w:r w:rsidR="008D19E4" w:rsidRPr="008D19E4">
        <w:rPr>
          <w:rFonts w:ascii="Calibri" w:hAnsi="Calibri" w:cs="Calibri"/>
          <w:sz w:val="22"/>
          <w:szCs w:val="22"/>
        </w:rPr>
        <w:fldChar w:fldCharType="end"/>
      </w:r>
      <w:r w:rsidR="008D19E4">
        <w:rPr>
          <w:rFonts w:ascii="Calibri" w:hAnsi="Calibri" w:cs="Calibri"/>
          <w:sz w:val="22"/>
          <w:szCs w:val="22"/>
        </w:rPr>
        <w:t xml:space="preserve"> for proposed item descriptors) would be required to support the proposed algorithm.</w:t>
      </w:r>
    </w:p>
    <w:p w14:paraId="34940B1A" w14:textId="5FA91CE2" w:rsidR="0018150C" w:rsidRDefault="0018150C" w:rsidP="00A446A4">
      <w:pPr>
        <w:pStyle w:val="Caption"/>
      </w:pPr>
      <w:bookmarkStart w:id="16" w:name="_Ref235193747"/>
      <w:r>
        <w:t xml:space="preserve">Table </w:t>
      </w:r>
      <w:r>
        <w:fldChar w:fldCharType="begin"/>
      </w:r>
      <w:r>
        <w:instrText xml:space="preserve"> SEQ Table \* ARABIC </w:instrText>
      </w:r>
      <w:r>
        <w:fldChar w:fldCharType="separate"/>
      </w:r>
      <w:r w:rsidR="00A446A4">
        <w:rPr>
          <w:noProof/>
        </w:rPr>
        <w:t>9</w:t>
      </w:r>
      <w:r>
        <w:fldChar w:fldCharType="end"/>
      </w:r>
      <w:bookmarkEnd w:id="16"/>
      <w:r>
        <w:t xml:space="preserve"> </w:t>
      </w:r>
      <w:r w:rsidRPr="0018150C">
        <w:t xml:space="preserve">Proposed item </w:t>
      </w:r>
      <w:r>
        <w:t>descriptor</w:t>
      </w:r>
      <w:r w:rsidR="6D1595E8">
        <w:t>s</w:t>
      </w:r>
      <w:r w:rsidRPr="0018150C">
        <w:t xml:space="preserve"> for </w:t>
      </w:r>
      <w:r w:rsidR="60B4FBA1">
        <w:t xml:space="preserve">HBV </w:t>
      </w:r>
      <w:r w:rsidR="6926D8F5">
        <w:t>Antigen/ Antibody</w:t>
      </w:r>
      <w:r w:rsidR="60B4FBA1">
        <w:t xml:space="preserve"> </w:t>
      </w:r>
      <w:r>
        <w:t xml:space="preserve">testing </w:t>
      </w:r>
      <w:r w:rsidR="47354571">
        <w:t>for the assessment or monitoring of patients with CHB</w:t>
      </w:r>
      <w:r w:rsidR="23BA0520">
        <w:t>,</w:t>
      </w:r>
      <w:r w:rsidRPr="0018150C">
        <w:t xml:space="preserve"> </w:t>
      </w:r>
      <w:r w:rsidR="23BA0520">
        <w:t>updated to reflect PASC advice</w:t>
      </w:r>
      <w:r>
        <w:t xml:space="preserve"> </w:t>
      </w:r>
    </w:p>
    <w:tbl>
      <w:tblPr>
        <w:tblStyle w:val="TableGrid"/>
        <w:tblW w:w="0" w:type="auto"/>
        <w:tblInd w:w="0" w:type="dxa"/>
        <w:tblLook w:val="04A0" w:firstRow="1" w:lastRow="0" w:firstColumn="1" w:lastColumn="0" w:noHBand="0" w:noVBand="1"/>
        <w:tblCaption w:val="Proposed item descriptor for diagnostic testing"/>
        <w:tblDescription w:val="Proposed item descriptors for HBV Antigen/ Antibody testing for the assessment or monitoring of patients with CHB"/>
      </w:tblPr>
      <w:tblGrid>
        <w:gridCol w:w="9016"/>
      </w:tblGrid>
      <w:tr w:rsidR="007C7B8A" w:rsidRPr="008653F6" w14:paraId="07E791D8" w14:textId="77777777">
        <w:trPr>
          <w:cantSplit/>
          <w:trHeight w:val="350"/>
          <w:tblHeader/>
        </w:trPr>
        <w:tc>
          <w:tcPr>
            <w:tcW w:w="9016" w:type="dxa"/>
          </w:tcPr>
          <w:p w14:paraId="035C52F7" w14:textId="0C5E0B36" w:rsidR="007C7B8A" w:rsidRPr="009B15DB" w:rsidRDefault="007C7B8A">
            <w:pPr>
              <w:spacing w:before="40" w:after="40"/>
              <w:rPr>
                <w:rFonts w:ascii="Arial Narrow" w:hAnsi="Arial Narrow"/>
                <w:sz w:val="20"/>
                <w:szCs w:val="20"/>
              </w:rPr>
            </w:pPr>
            <w:r w:rsidRPr="44148F7F">
              <w:rPr>
                <w:rFonts w:ascii="Arial Narrow" w:hAnsi="Arial Narrow"/>
                <w:sz w:val="20"/>
                <w:szCs w:val="20"/>
              </w:rPr>
              <w:t>Category 6 - PATHOLOGY SERVICES</w:t>
            </w:r>
            <w:r w:rsidR="7C94DE1B" w:rsidRPr="44148F7F">
              <w:rPr>
                <w:rFonts w:ascii="Arial Narrow" w:hAnsi="Arial Narrow"/>
                <w:sz w:val="20"/>
                <w:szCs w:val="20"/>
              </w:rPr>
              <w:t xml:space="preserve"> – Group P3 - Microbiology</w:t>
            </w:r>
          </w:p>
        </w:tc>
      </w:tr>
      <w:tr w:rsidR="007C7B8A" w:rsidRPr="008653F6" w14:paraId="4145844D" w14:textId="77777777">
        <w:trPr>
          <w:cantSplit/>
          <w:tblHeader/>
        </w:trPr>
        <w:tc>
          <w:tcPr>
            <w:tcW w:w="9016" w:type="dxa"/>
          </w:tcPr>
          <w:p w14:paraId="59D2C337" w14:textId="62ADA560" w:rsidR="007C7B8A" w:rsidRPr="00FD283E" w:rsidRDefault="007C7B8A">
            <w:pPr>
              <w:spacing w:after="120"/>
              <w:rPr>
                <w:rFonts w:ascii="Arial Narrow" w:hAnsi="Arial Narrow"/>
                <w:sz w:val="20"/>
                <w:szCs w:val="20"/>
                <w:lang w:eastAsia="ja-JP"/>
              </w:rPr>
            </w:pPr>
            <w:r w:rsidRPr="00FD283E">
              <w:rPr>
                <w:rFonts w:ascii="Arial Narrow" w:hAnsi="Arial Narrow"/>
                <w:sz w:val="20"/>
                <w:szCs w:val="20"/>
                <w:lang w:eastAsia="ja-JP"/>
              </w:rPr>
              <w:t xml:space="preserve">MBS item </w:t>
            </w:r>
            <w:r w:rsidR="4F5C137A" w:rsidRPr="44148F7F">
              <w:rPr>
                <w:rFonts w:ascii="Arial Narrow" w:hAnsi="Arial Narrow"/>
                <w:sz w:val="20"/>
                <w:szCs w:val="20"/>
                <w:lang w:eastAsia="ja-JP"/>
              </w:rPr>
              <w:t>AAAA</w:t>
            </w:r>
          </w:p>
          <w:p w14:paraId="31EBE1E3" w14:textId="6BF62283" w:rsidR="007C7B8A" w:rsidRPr="009B15DB" w:rsidRDefault="67C9A8AE" w:rsidP="00CC62FE">
            <w:pPr>
              <w:rPr>
                <w:rFonts w:ascii="Arial Narrow" w:hAnsi="Arial Narrow"/>
                <w:sz w:val="20"/>
                <w:szCs w:val="20"/>
              </w:rPr>
            </w:pPr>
            <w:r w:rsidRPr="44148F7F">
              <w:rPr>
                <w:rFonts w:ascii="Arial Narrow" w:hAnsi="Arial Narrow"/>
                <w:sz w:val="20"/>
                <w:szCs w:val="20"/>
              </w:rPr>
              <w:t xml:space="preserve">One test for hepatitis B </w:t>
            </w:r>
            <w:r w:rsidRPr="1253EEE9">
              <w:rPr>
                <w:rFonts w:ascii="Arial Narrow" w:hAnsi="Arial Narrow"/>
                <w:sz w:val="20"/>
                <w:szCs w:val="20"/>
              </w:rPr>
              <w:t>antigen</w:t>
            </w:r>
            <w:r w:rsidRPr="44148F7F">
              <w:rPr>
                <w:rFonts w:ascii="Arial Narrow" w:hAnsi="Arial Narrow"/>
                <w:sz w:val="20"/>
                <w:szCs w:val="20"/>
              </w:rPr>
              <w:t xml:space="preserve"> or </w:t>
            </w:r>
            <w:r w:rsidRPr="200A41B5">
              <w:rPr>
                <w:rFonts w:ascii="Arial Narrow" w:hAnsi="Arial Narrow"/>
                <w:sz w:val="20"/>
                <w:szCs w:val="20"/>
              </w:rPr>
              <w:t>antibod</w:t>
            </w:r>
            <w:r w:rsidR="6430E68A" w:rsidRPr="200A41B5">
              <w:rPr>
                <w:rFonts w:ascii="Arial Narrow" w:hAnsi="Arial Narrow"/>
                <w:sz w:val="20"/>
                <w:szCs w:val="20"/>
              </w:rPr>
              <w:t xml:space="preserve">y </w:t>
            </w:r>
            <w:r w:rsidRPr="200A41B5">
              <w:rPr>
                <w:rFonts w:ascii="Arial Narrow" w:hAnsi="Arial Narrow"/>
                <w:sz w:val="20"/>
                <w:szCs w:val="20"/>
              </w:rPr>
              <w:t>for</w:t>
            </w:r>
            <w:r w:rsidRPr="44148F7F">
              <w:rPr>
                <w:rFonts w:ascii="Arial Narrow" w:hAnsi="Arial Narrow"/>
                <w:sz w:val="20"/>
                <w:szCs w:val="20"/>
              </w:rPr>
              <w:t xml:space="preserve"> the assessment or monitoring of a patient who has established chronic hepatitis B</w:t>
            </w:r>
          </w:p>
        </w:tc>
      </w:tr>
      <w:tr w:rsidR="007C7B8A" w:rsidRPr="008653F6" w14:paraId="1FE516AF" w14:textId="77777777">
        <w:trPr>
          <w:cantSplit/>
          <w:trHeight w:val="223"/>
          <w:tblHeader/>
        </w:trPr>
        <w:tc>
          <w:tcPr>
            <w:tcW w:w="9016" w:type="dxa"/>
          </w:tcPr>
          <w:p w14:paraId="22F158B7" w14:textId="64AD0329" w:rsidR="007C7B8A" w:rsidRPr="009B15DB" w:rsidRDefault="007C7B8A">
            <w:pPr>
              <w:spacing w:before="40" w:after="40"/>
              <w:rPr>
                <w:rFonts w:ascii="Arial Narrow" w:hAnsi="Arial Narrow"/>
                <w:sz w:val="20"/>
                <w:szCs w:val="20"/>
              </w:rPr>
            </w:pPr>
            <w:r w:rsidRPr="009B15DB">
              <w:rPr>
                <w:rFonts w:ascii="Arial Narrow" w:hAnsi="Arial Narrow"/>
                <w:snapToGrid w:val="0"/>
                <w:sz w:val="20"/>
                <w:szCs w:val="20"/>
              </w:rPr>
              <w:t xml:space="preserve">Fee: </w:t>
            </w:r>
            <w:r w:rsidR="6CE490A8" w:rsidRPr="44148F7F">
              <w:rPr>
                <w:rFonts w:ascii="Arial Narrow" w:hAnsi="Arial Narrow"/>
                <w:sz w:val="20"/>
                <w:szCs w:val="20"/>
              </w:rPr>
              <w:t>$</w:t>
            </w:r>
            <w:r w:rsidR="0B480B8F" w:rsidRPr="44148F7F">
              <w:rPr>
                <w:rFonts w:ascii="Arial Narrow" w:hAnsi="Arial Narrow"/>
                <w:sz w:val="20"/>
                <w:szCs w:val="20"/>
              </w:rPr>
              <w:t xml:space="preserve">15.65 </w:t>
            </w:r>
            <w:r w:rsidRPr="44148F7F">
              <w:rPr>
                <w:rFonts w:ascii="Arial Narrow" w:hAnsi="Arial Narrow"/>
                <w:sz w:val="20"/>
                <w:szCs w:val="20"/>
              </w:rPr>
              <w:t xml:space="preserve">Benefit: 75% = </w:t>
            </w:r>
            <w:r w:rsidR="78DA69B5" w:rsidRPr="44148F7F">
              <w:rPr>
                <w:rFonts w:ascii="Arial Narrow" w:hAnsi="Arial Narrow"/>
                <w:sz w:val="20"/>
                <w:szCs w:val="20"/>
              </w:rPr>
              <w:t>$</w:t>
            </w:r>
            <w:r w:rsidR="23E07DBC" w:rsidRPr="44148F7F">
              <w:rPr>
                <w:rFonts w:ascii="Arial Narrow" w:hAnsi="Arial Narrow"/>
                <w:sz w:val="20"/>
                <w:szCs w:val="20"/>
              </w:rPr>
              <w:t xml:space="preserve">11.75 </w:t>
            </w:r>
            <w:r w:rsidRPr="44148F7F">
              <w:rPr>
                <w:rFonts w:ascii="Arial Narrow" w:hAnsi="Arial Narrow"/>
                <w:sz w:val="20"/>
                <w:szCs w:val="20"/>
              </w:rPr>
              <w:t xml:space="preserve">85% = </w:t>
            </w:r>
            <w:r w:rsidR="313CB216" w:rsidRPr="44148F7F">
              <w:rPr>
                <w:rFonts w:ascii="Arial Narrow" w:hAnsi="Arial Narrow"/>
                <w:sz w:val="20"/>
                <w:szCs w:val="20"/>
              </w:rPr>
              <w:t>$</w:t>
            </w:r>
            <w:r w:rsidR="512CB804" w:rsidRPr="44148F7F">
              <w:rPr>
                <w:rFonts w:ascii="Arial Narrow" w:hAnsi="Arial Narrow"/>
                <w:sz w:val="20"/>
                <w:szCs w:val="20"/>
              </w:rPr>
              <w:t>13.35</w:t>
            </w:r>
          </w:p>
        </w:tc>
      </w:tr>
      <w:tr w:rsidR="44148F7F" w14:paraId="058EEFB2" w14:textId="77777777" w:rsidTr="44148F7F">
        <w:trPr>
          <w:cantSplit/>
          <w:trHeight w:val="300"/>
          <w:tblHeader/>
        </w:trPr>
        <w:tc>
          <w:tcPr>
            <w:tcW w:w="9016" w:type="dxa"/>
          </w:tcPr>
          <w:p w14:paraId="3E53B43D" w14:textId="78FC85E2" w:rsidR="44148F7F" w:rsidRDefault="44148F7F" w:rsidP="44148F7F">
            <w:pPr>
              <w:spacing w:after="120"/>
              <w:rPr>
                <w:rFonts w:ascii="Arial Narrow" w:hAnsi="Arial Narrow"/>
                <w:sz w:val="20"/>
                <w:szCs w:val="20"/>
                <w:lang w:eastAsia="ja-JP"/>
              </w:rPr>
            </w:pPr>
            <w:r w:rsidRPr="44148F7F">
              <w:rPr>
                <w:rFonts w:ascii="Arial Narrow" w:hAnsi="Arial Narrow"/>
                <w:sz w:val="20"/>
                <w:szCs w:val="20"/>
                <w:lang w:eastAsia="ja-JP"/>
              </w:rPr>
              <w:t xml:space="preserve">MBS item </w:t>
            </w:r>
            <w:r w:rsidR="66834AFA" w:rsidRPr="44148F7F">
              <w:rPr>
                <w:rFonts w:ascii="Arial Narrow" w:hAnsi="Arial Narrow"/>
                <w:sz w:val="20"/>
                <w:szCs w:val="20"/>
                <w:lang w:eastAsia="ja-JP"/>
              </w:rPr>
              <w:t>BBBB</w:t>
            </w:r>
          </w:p>
          <w:p w14:paraId="36B05923" w14:textId="263018FF" w:rsidR="1DDEDD21" w:rsidRDefault="6A4633E8" w:rsidP="44148F7F">
            <w:pPr>
              <w:rPr>
                <w:rFonts w:ascii="Arial Narrow" w:hAnsi="Arial Narrow"/>
                <w:sz w:val="20"/>
                <w:szCs w:val="20"/>
              </w:rPr>
            </w:pPr>
            <w:r w:rsidRPr="3E59B116">
              <w:rPr>
                <w:rFonts w:ascii="Arial Narrow" w:hAnsi="Arial Narrow"/>
                <w:sz w:val="20"/>
                <w:szCs w:val="20"/>
              </w:rPr>
              <w:t>2 tests described in AAAA</w:t>
            </w:r>
            <w:r w:rsidR="446AA30E" w:rsidRPr="3E59B116">
              <w:rPr>
                <w:rFonts w:ascii="Arial Narrow" w:hAnsi="Arial Narrow"/>
                <w:sz w:val="20"/>
                <w:szCs w:val="20"/>
              </w:rPr>
              <w:t xml:space="preserve"> for </w:t>
            </w:r>
            <w:r w:rsidR="1A8E799C" w:rsidRPr="7B19CF12">
              <w:rPr>
                <w:rFonts w:ascii="Arial Narrow" w:hAnsi="Arial Narrow"/>
                <w:sz w:val="20"/>
                <w:szCs w:val="20"/>
              </w:rPr>
              <w:t xml:space="preserve">two </w:t>
            </w:r>
            <w:r w:rsidR="1C55A7BE" w:rsidRPr="7B19CF12">
              <w:rPr>
                <w:rFonts w:ascii="Arial Narrow" w:hAnsi="Arial Narrow"/>
                <w:sz w:val="20"/>
                <w:szCs w:val="20"/>
              </w:rPr>
              <w:t>different</w:t>
            </w:r>
            <w:r w:rsidR="446AA30E" w:rsidRPr="3E59B116">
              <w:rPr>
                <w:rFonts w:ascii="Arial Narrow" w:hAnsi="Arial Narrow"/>
                <w:sz w:val="20"/>
                <w:szCs w:val="20"/>
              </w:rPr>
              <w:t xml:space="preserve"> hepatitis B antigens or antibodies</w:t>
            </w:r>
          </w:p>
        </w:tc>
      </w:tr>
      <w:tr w:rsidR="44148F7F" w14:paraId="3E1DB126" w14:textId="77777777" w:rsidTr="44148F7F">
        <w:trPr>
          <w:cantSplit/>
          <w:trHeight w:val="223"/>
          <w:tblHeader/>
        </w:trPr>
        <w:tc>
          <w:tcPr>
            <w:tcW w:w="9016" w:type="dxa"/>
          </w:tcPr>
          <w:p w14:paraId="1708D8DE" w14:textId="35C9D02A" w:rsidR="44148F7F" w:rsidRDefault="44148F7F" w:rsidP="44148F7F">
            <w:pPr>
              <w:spacing w:before="40" w:after="40"/>
              <w:rPr>
                <w:rFonts w:ascii="Arial Narrow" w:hAnsi="Arial Narrow"/>
                <w:sz w:val="20"/>
                <w:szCs w:val="20"/>
              </w:rPr>
            </w:pPr>
            <w:r w:rsidRPr="44148F7F">
              <w:rPr>
                <w:rFonts w:ascii="Arial Narrow" w:hAnsi="Arial Narrow"/>
                <w:sz w:val="20"/>
                <w:szCs w:val="20"/>
              </w:rPr>
              <w:t xml:space="preserve">Fee: </w:t>
            </w:r>
            <w:r w:rsidR="4C526E7C" w:rsidRPr="44148F7F">
              <w:rPr>
                <w:rFonts w:ascii="Arial Narrow" w:hAnsi="Arial Narrow"/>
                <w:sz w:val="20"/>
                <w:szCs w:val="20"/>
              </w:rPr>
              <w:t>$</w:t>
            </w:r>
            <w:r w:rsidR="6D2D8C0A" w:rsidRPr="44148F7F">
              <w:rPr>
                <w:rFonts w:ascii="Arial Narrow" w:hAnsi="Arial Narrow"/>
                <w:sz w:val="20"/>
                <w:szCs w:val="20"/>
              </w:rPr>
              <w:t>29.25</w:t>
            </w:r>
            <w:r w:rsidRPr="44148F7F">
              <w:rPr>
                <w:rFonts w:ascii="Arial Narrow" w:hAnsi="Arial Narrow"/>
                <w:sz w:val="20"/>
                <w:szCs w:val="20"/>
              </w:rPr>
              <w:t xml:space="preserve"> Benefit: 75% = </w:t>
            </w:r>
            <w:r w:rsidR="2C043E33" w:rsidRPr="44148F7F">
              <w:rPr>
                <w:rFonts w:ascii="Arial Narrow" w:hAnsi="Arial Narrow"/>
                <w:sz w:val="20"/>
                <w:szCs w:val="20"/>
              </w:rPr>
              <w:t>$21.95</w:t>
            </w:r>
            <w:r w:rsidRPr="44148F7F">
              <w:rPr>
                <w:rFonts w:ascii="Arial Narrow" w:hAnsi="Arial Narrow"/>
                <w:sz w:val="20"/>
                <w:szCs w:val="20"/>
              </w:rPr>
              <w:t xml:space="preserve"> 85% = $</w:t>
            </w:r>
            <w:r w:rsidR="255DF60E" w:rsidRPr="44148F7F">
              <w:rPr>
                <w:rFonts w:ascii="Arial Narrow" w:hAnsi="Arial Narrow"/>
                <w:sz w:val="20"/>
                <w:szCs w:val="20"/>
              </w:rPr>
              <w:t>24.90</w:t>
            </w:r>
          </w:p>
        </w:tc>
      </w:tr>
    </w:tbl>
    <w:p w14:paraId="3E766B82" w14:textId="77777777" w:rsidR="007C7B8A" w:rsidRDefault="007C7B8A" w:rsidP="009F5077">
      <w:pPr>
        <w:pStyle w:val="Tablenotes"/>
        <w:jc w:val="left"/>
      </w:pPr>
    </w:p>
    <w:p w14:paraId="0314E595" w14:textId="2C8B72EF" w:rsidR="0018150C" w:rsidRDefault="0018150C" w:rsidP="00A446A4">
      <w:pPr>
        <w:pStyle w:val="Caption"/>
      </w:pPr>
      <w:bookmarkStart w:id="17" w:name="_Ref235193758"/>
      <w:r>
        <w:lastRenderedPageBreak/>
        <w:t xml:space="preserve">Table </w:t>
      </w:r>
      <w:r>
        <w:fldChar w:fldCharType="begin"/>
      </w:r>
      <w:r>
        <w:instrText xml:space="preserve"> SEQ Table \* ARABIC </w:instrText>
      </w:r>
      <w:r>
        <w:fldChar w:fldCharType="separate"/>
      </w:r>
      <w:r w:rsidR="00A446A4">
        <w:rPr>
          <w:noProof/>
        </w:rPr>
        <w:t>10</w:t>
      </w:r>
      <w:r>
        <w:fldChar w:fldCharType="end"/>
      </w:r>
      <w:bookmarkEnd w:id="17"/>
      <w:r>
        <w:t xml:space="preserve"> </w:t>
      </w:r>
      <w:r w:rsidRPr="009B15DB">
        <w:t xml:space="preserve">Proposed item descriptor for </w:t>
      </w:r>
      <w:r w:rsidR="587B5E42">
        <w:t>HBV DNA</w:t>
      </w:r>
      <w:r>
        <w:t xml:space="preserve"> </w:t>
      </w:r>
      <w:r w:rsidRPr="007C7B8A">
        <w:t>monitoring of CHB patients</w:t>
      </w:r>
      <w:r w:rsidR="7C896241">
        <w:t>, updated to reflect PASC advice</w:t>
      </w:r>
    </w:p>
    <w:tbl>
      <w:tblPr>
        <w:tblStyle w:val="TableGrid"/>
        <w:tblW w:w="0" w:type="auto"/>
        <w:tblInd w:w="0" w:type="dxa"/>
        <w:tblLook w:val="04A0" w:firstRow="1" w:lastRow="0" w:firstColumn="1" w:lastColumn="0" w:noHBand="0" w:noVBand="1"/>
        <w:tblCaption w:val="Proposed item descriptor for diagnostic testing"/>
        <w:tblDescription w:val="Proposed item descriptor for HBV DNA monitoring of CHB patients"/>
      </w:tblPr>
      <w:tblGrid>
        <w:gridCol w:w="9016"/>
      </w:tblGrid>
      <w:tr w:rsidR="007C7B8A" w:rsidRPr="008653F6" w14:paraId="628CBE90" w14:textId="77777777" w:rsidTr="511BCBA7">
        <w:trPr>
          <w:cantSplit/>
          <w:trHeight w:val="350"/>
          <w:tblHeader/>
        </w:trPr>
        <w:tc>
          <w:tcPr>
            <w:tcW w:w="9016" w:type="dxa"/>
          </w:tcPr>
          <w:p w14:paraId="3C6AA6C6" w14:textId="69B6FB61" w:rsidR="007C7B8A" w:rsidRPr="009B15DB" w:rsidRDefault="007C7B8A">
            <w:pPr>
              <w:spacing w:before="40" w:after="40"/>
              <w:rPr>
                <w:rFonts w:ascii="Arial Narrow" w:hAnsi="Arial Narrow"/>
                <w:sz w:val="20"/>
                <w:szCs w:val="20"/>
              </w:rPr>
            </w:pPr>
            <w:r w:rsidRPr="1ED205FB">
              <w:rPr>
                <w:rFonts w:ascii="Arial Narrow" w:hAnsi="Arial Narrow"/>
                <w:sz w:val="20"/>
                <w:szCs w:val="20"/>
              </w:rPr>
              <w:t>Category 6 - PATHOLOGY SERVICES</w:t>
            </w:r>
            <w:r w:rsidR="744AE9A3" w:rsidRPr="1ED205FB">
              <w:rPr>
                <w:rFonts w:ascii="Arial Narrow" w:hAnsi="Arial Narrow"/>
                <w:sz w:val="20"/>
                <w:szCs w:val="20"/>
              </w:rPr>
              <w:t xml:space="preserve"> </w:t>
            </w:r>
            <w:r w:rsidR="744AE9A3" w:rsidRPr="24BA3EBF">
              <w:rPr>
                <w:rFonts w:ascii="Arial Narrow" w:hAnsi="Arial Narrow"/>
                <w:sz w:val="20"/>
                <w:szCs w:val="20"/>
              </w:rPr>
              <w:t xml:space="preserve">– Group P3 - </w:t>
            </w:r>
            <w:r w:rsidR="744AE9A3" w:rsidRPr="5599F295">
              <w:rPr>
                <w:rFonts w:ascii="Arial Narrow" w:hAnsi="Arial Narrow"/>
                <w:sz w:val="20"/>
                <w:szCs w:val="20"/>
              </w:rPr>
              <w:t>Microbiology</w:t>
            </w:r>
          </w:p>
        </w:tc>
      </w:tr>
      <w:tr w:rsidR="007C7B8A" w:rsidRPr="008653F6" w14:paraId="711AB7DC" w14:textId="77777777" w:rsidTr="511BCBA7">
        <w:trPr>
          <w:cantSplit/>
          <w:tblHeader/>
        </w:trPr>
        <w:tc>
          <w:tcPr>
            <w:tcW w:w="9016" w:type="dxa"/>
          </w:tcPr>
          <w:p w14:paraId="4C7782D6" w14:textId="0AFE2583" w:rsidR="007C7B8A" w:rsidRPr="00FD283E" w:rsidRDefault="007C7B8A">
            <w:pPr>
              <w:spacing w:after="120"/>
              <w:rPr>
                <w:rFonts w:ascii="Arial Narrow" w:hAnsi="Arial Narrow"/>
                <w:sz w:val="20"/>
                <w:szCs w:val="20"/>
                <w:lang w:eastAsia="ja-JP"/>
              </w:rPr>
            </w:pPr>
            <w:r w:rsidRPr="00FD283E">
              <w:rPr>
                <w:rFonts w:ascii="Arial Narrow" w:hAnsi="Arial Narrow"/>
                <w:sz w:val="20"/>
                <w:szCs w:val="20"/>
                <w:lang w:eastAsia="ja-JP"/>
              </w:rPr>
              <w:t xml:space="preserve">MBS item </w:t>
            </w:r>
            <w:r w:rsidR="489D4DB5" w:rsidRPr="44148F7F">
              <w:rPr>
                <w:rFonts w:ascii="Arial Narrow" w:hAnsi="Arial Narrow"/>
                <w:sz w:val="20"/>
                <w:szCs w:val="20"/>
                <w:lang w:eastAsia="ja-JP"/>
              </w:rPr>
              <w:t>CCCC</w:t>
            </w:r>
          </w:p>
          <w:p w14:paraId="31EACD3D" w14:textId="1E3BA4BD" w:rsidR="007C7B8A" w:rsidRDefault="147A03DE" w:rsidP="00CC62FE">
            <w:pPr>
              <w:rPr>
                <w:rFonts w:ascii="Arial Narrow" w:hAnsi="Arial Narrow"/>
                <w:sz w:val="20"/>
                <w:szCs w:val="20"/>
              </w:rPr>
            </w:pPr>
            <w:r w:rsidRPr="511BCBA7">
              <w:rPr>
                <w:rFonts w:ascii="Arial Narrow" w:hAnsi="Arial Narrow"/>
                <w:sz w:val="20"/>
                <w:szCs w:val="20"/>
              </w:rPr>
              <w:t>Quantitation of hepatitis B virus DNA in a patient who has established chronic hepatitis B (CHB) and who has become hepatitis B surface antigen negative following treatment with a functionally curative therapy for CHB</w:t>
            </w:r>
            <w:r w:rsidR="2877D84F" w:rsidRPr="2725927B">
              <w:rPr>
                <w:rFonts w:ascii="Arial Narrow" w:hAnsi="Arial Narrow"/>
                <w:sz w:val="20"/>
                <w:szCs w:val="20"/>
              </w:rPr>
              <w:t xml:space="preserve"> </w:t>
            </w:r>
            <w:r w:rsidR="2877D84F" w:rsidRPr="1044F440">
              <w:rPr>
                <w:rFonts w:ascii="Arial Narrow" w:hAnsi="Arial Narrow"/>
                <w:sz w:val="20"/>
                <w:szCs w:val="20"/>
              </w:rPr>
              <w:t>under the Pharmaceutical Benefits Scheme (PBS)</w:t>
            </w:r>
          </w:p>
          <w:p w14:paraId="3DD3601B" w14:textId="0C60F3A5" w:rsidR="00666356" w:rsidRPr="009B15DB" w:rsidRDefault="00666356" w:rsidP="00CC62FE">
            <w:pPr>
              <w:rPr>
                <w:rFonts w:ascii="Arial Narrow" w:hAnsi="Arial Narrow"/>
                <w:sz w:val="20"/>
                <w:szCs w:val="20"/>
              </w:rPr>
            </w:pPr>
            <w:r>
              <w:rPr>
                <w:rFonts w:ascii="Arial Narrow" w:hAnsi="Arial Narrow"/>
                <w:sz w:val="20"/>
                <w:szCs w:val="20"/>
              </w:rPr>
              <w:t>Applicable not more than 4 times in 12 months</w:t>
            </w:r>
          </w:p>
        </w:tc>
      </w:tr>
      <w:tr w:rsidR="007C7B8A" w:rsidRPr="008653F6" w14:paraId="5A032E7A" w14:textId="77777777" w:rsidTr="511BCBA7">
        <w:trPr>
          <w:cantSplit/>
          <w:trHeight w:val="223"/>
          <w:tblHeader/>
        </w:trPr>
        <w:tc>
          <w:tcPr>
            <w:tcW w:w="9016" w:type="dxa"/>
          </w:tcPr>
          <w:p w14:paraId="290C5AC6" w14:textId="22C2651C" w:rsidR="007C7B8A" w:rsidRPr="009B15DB" w:rsidRDefault="007C7B8A">
            <w:pPr>
              <w:spacing w:before="40" w:after="40"/>
              <w:rPr>
                <w:rFonts w:ascii="Arial Narrow" w:hAnsi="Arial Narrow"/>
                <w:snapToGrid w:val="0"/>
                <w:sz w:val="20"/>
                <w:szCs w:val="20"/>
              </w:rPr>
            </w:pPr>
            <w:r w:rsidRPr="009B15DB">
              <w:rPr>
                <w:rFonts w:ascii="Arial Narrow" w:hAnsi="Arial Narrow"/>
                <w:snapToGrid w:val="0"/>
                <w:sz w:val="20"/>
                <w:szCs w:val="20"/>
              </w:rPr>
              <w:t xml:space="preserve">Fee: </w:t>
            </w:r>
            <w:r w:rsidR="313CB216" w:rsidRPr="009B15DB">
              <w:rPr>
                <w:rFonts w:ascii="Arial Narrow" w:hAnsi="Arial Narrow"/>
                <w:snapToGrid w:val="0"/>
                <w:sz w:val="20"/>
                <w:szCs w:val="20"/>
              </w:rPr>
              <w:t>$</w:t>
            </w:r>
            <w:r w:rsidR="776BB6BE" w:rsidRPr="2F64C245">
              <w:rPr>
                <w:rFonts w:ascii="Arial Narrow" w:hAnsi="Arial Narrow"/>
                <w:sz w:val="20"/>
                <w:szCs w:val="20"/>
              </w:rPr>
              <w:t>152.10</w:t>
            </w:r>
            <w:r w:rsidRPr="61D1B392">
              <w:rPr>
                <w:rFonts w:ascii="Arial Narrow" w:hAnsi="Arial Narrow"/>
                <w:sz w:val="20"/>
                <w:szCs w:val="20"/>
              </w:rPr>
              <w:t xml:space="preserve"> Benefit: 75% = </w:t>
            </w:r>
            <w:r w:rsidR="313CB216" w:rsidRPr="61D1B392">
              <w:rPr>
                <w:rFonts w:ascii="Arial Narrow" w:hAnsi="Arial Narrow"/>
                <w:sz w:val="20"/>
                <w:szCs w:val="20"/>
              </w:rPr>
              <w:t>$</w:t>
            </w:r>
            <w:r w:rsidR="0038AB61" w:rsidRPr="2F64C245">
              <w:rPr>
                <w:rFonts w:ascii="Arial Narrow" w:hAnsi="Arial Narrow"/>
                <w:sz w:val="20"/>
                <w:szCs w:val="20"/>
              </w:rPr>
              <w:t>114.10</w:t>
            </w:r>
            <w:r w:rsidRPr="61D1B392">
              <w:rPr>
                <w:rFonts w:ascii="Arial Narrow" w:hAnsi="Arial Narrow"/>
                <w:sz w:val="20"/>
                <w:szCs w:val="20"/>
              </w:rPr>
              <w:t xml:space="preserve"> 85% = </w:t>
            </w:r>
            <w:r w:rsidR="313CB216" w:rsidRPr="61D1B392">
              <w:rPr>
                <w:rFonts w:ascii="Arial Narrow" w:hAnsi="Arial Narrow"/>
                <w:sz w:val="20"/>
                <w:szCs w:val="20"/>
              </w:rPr>
              <w:t>$</w:t>
            </w:r>
            <w:r w:rsidR="330F8F8B" w:rsidRPr="2F64C245">
              <w:rPr>
                <w:rFonts w:ascii="Arial Narrow" w:hAnsi="Arial Narrow"/>
                <w:sz w:val="20"/>
                <w:szCs w:val="20"/>
              </w:rPr>
              <w:t>129.30</w:t>
            </w:r>
          </w:p>
        </w:tc>
      </w:tr>
    </w:tbl>
    <w:p w14:paraId="4BD09DDF" w14:textId="77777777" w:rsidR="00495424" w:rsidRDefault="00495424" w:rsidP="00965EB4"/>
    <w:p w14:paraId="4BD5682E" w14:textId="722C7C76" w:rsidR="273A0F1C" w:rsidRPr="00495424" w:rsidRDefault="00B34687" w:rsidP="00495424">
      <w:pPr>
        <w:rPr>
          <w:i/>
          <w:iCs/>
        </w:rPr>
      </w:pPr>
      <w:r w:rsidRPr="00495424">
        <w:rPr>
          <w:i/>
          <w:iCs/>
        </w:rPr>
        <w:t>PASC agreed that new MBS items are required as existing arrangements may not adequately support serial q</w:t>
      </w:r>
      <w:r w:rsidR="003573F6">
        <w:rPr>
          <w:i/>
          <w:iCs/>
        </w:rPr>
        <w:t xml:space="preserve">uantitative </w:t>
      </w:r>
      <w:r w:rsidRPr="00495424">
        <w:rPr>
          <w:i/>
          <w:iCs/>
        </w:rPr>
        <w:t>HBsAg testing and HBV DNA monitoring in patients with CHB and/or following functional cure. PASC emphasised that any new items should be future-proofed, where possible, to accommodate for potential new hepatitis B curative therapies. PASC noted that the department proposed some amendments to the three new MBS items but considered that further consideration would be required regarding the final item descriptors and appropriate fees for quantitative HBsAg testing.</w:t>
      </w:r>
    </w:p>
    <w:p w14:paraId="6DBEDE70" w14:textId="72003894" w:rsidR="00D37A3F" w:rsidRDefault="003F0A39" w:rsidP="00073980">
      <w:pPr>
        <w:pStyle w:val="Heading2"/>
      </w:pPr>
      <w:r>
        <w:t>Summary of public consultation input</w:t>
      </w:r>
    </w:p>
    <w:p w14:paraId="43D73CFE" w14:textId="7800C324" w:rsidR="0082472C" w:rsidRPr="00BF5384" w:rsidRDefault="0082472C" w:rsidP="0082472C">
      <w:pPr>
        <w:spacing w:after="120"/>
        <w:rPr>
          <w:i/>
          <w:iCs/>
        </w:rPr>
      </w:pPr>
      <w:r w:rsidRPr="00E95336">
        <w:rPr>
          <w:i/>
          <w:iCs/>
        </w:rPr>
        <w:t xml:space="preserve">PASC noted and welcomed consultation </w:t>
      </w:r>
      <w:r w:rsidRPr="00BF5384">
        <w:rPr>
          <w:i/>
          <w:iCs/>
        </w:rPr>
        <w:t xml:space="preserve">input from </w:t>
      </w:r>
      <w:r>
        <w:rPr>
          <w:i/>
          <w:iCs/>
        </w:rPr>
        <w:t xml:space="preserve">5 </w:t>
      </w:r>
      <w:r w:rsidRPr="00BF5384">
        <w:rPr>
          <w:i/>
          <w:iCs/>
        </w:rPr>
        <w:t xml:space="preserve">organisations and 2 individuals, both of whom were health professionals. The </w:t>
      </w:r>
      <w:r>
        <w:rPr>
          <w:i/>
          <w:iCs/>
        </w:rPr>
        <w:t>5</w:t>
      </w:r>
      <w:r w:rsidRPr="00BF5384">
        <w:rPr>
          <w:i/>
          <w:iCs/>
        </w:rPr>
        <w:t xml:space="preserve"> organisations that submitted input were: </w:t>
      </w:r>
    </w:p>
    <w:p w14:paraId="334BBCB5" w14:textId="77777777" w:rsidR="0082472C" w:rsidRDefault="0082472C" w:rsidP="0082472C">
      <w:pPr>
        <w:pStyle w:val="ListParagraph"/>
        <w:numPr>
          <w:ilvl w:val="0"/>
          <w:numId w:val="40"/>
        </w:numPr>
        <w:spacing w:after="120" w:line="259" w:lineRule="auto"/>
      </w:pPr>
      <w:r w:rsidRPr="00532F5D">
        <w:t>Australasian Society for Infectious Diseases (ASID)</w:t>
      </w:r>
    </w:p>
    <w:p w14:paraId="7B933CD3" w14:textId="77777777" w:rsidR="0082472C" w:rsidRPr="00532F5D" w:rsidRDefault="0082472C" w:rsidP="0082472C">
      <w:pPr>
        <w:pStyle w:val="ListParagraph"/>
        <w:numPr>
          <w:ilvl w:val="0"/>
          <w:numId w:val="40"/>
        </w:numPr>
        <w:spacing w:after="120" w:line="259" w:lineRule="auto"/>
        <w:rPr>
          <w:rFonts w:cstheme="minorHAnsi"/>
        </w:rPr>
      </w:pPr>
      <w:r>
        <w:rPr>
          <w:rFonts w:eastAsia="Times New Roman" w:cstheme="minorHAnsi"/>
          <w:color w:val="000000"/>
          <w:lang w:eastAsia="en-AU"/>
        </w:rPr>
        <w:t>Aus</w:t>
      </w:r>
      <w:r w:rsidRPr="00532F5D">
        <w:rPr>
          <w:rFonts w:eastAsia="Times New Roman" w:cstheme="minorHAnsi"/>
          <w:color w:val="000000"/>
          <w:lang w:eastAsia="en-AU"/>
        </w:rPr>
        <w:t>tralasian Society for HIV, Viral Hepatitis and Sexual Health Medicine</w:t>
      </w:r>
      <w:r>
        <w:rPr>
          <w:rFonts w:eastAsia="Times New Roman" w:cstheme="minorHAnsi"/>
          <w:color w:val="000000"/>
          <w:lang w:eastAsia="en-AU"/>
        </w:rPr>
        <w:t xml:space="preserve"> (</w:t>
      </w:r>
      <w:r w:rsidRPr="00532F5D">
        <w:rPr>
          <w:rFonts w:cstheme="minorHAnsi"/>
        </w:rPr>
        <w:t>ASHM</w:t>
      </w:r>
      <w:r>
        <w:rPr>
          <w:rFonts w:cstheme="minorHAnsi"/>
        </w:rPr>
        <w:t>)</w:t>
      </w:r>
    </w:p>
    <w:p w14:paraId="5A915905" w14:textId="77777777" w:rsidR="0082472C" w:rsidRDefault="0082472C" w:rsidP="0082472C">
      <w:pPr>
        <w:pStyle w:val="ListParagraph"/>
        <w:numPr>
          <w:ilvl w:val="0"/>
          <w:numId w:val="40"/>
        </w:numPr>
        <w:spacing w:after="120" w:line="259" w:lineRule="auto"/>
      </w:pPr>
      <w:r w:rsidRPr="00532F5D">
        <w:t>Hepatitis B Voices Australia</w:t>
      </w:r>
    </w:p>
    <w:p w14:paraId="15110416" w14:textId="77777777" w:rsidR="0082472C" w:rsidRDefault="0082472C" w:rsidP="0082472C">
      <w:pPr>
        <w:pStyle w:val="ListParagraph"/>
        <w:numPr>
          <w:ilvl w:val="0"/>
          <w:numId w:val="40"/>
        </w:numPr>
        <w:spacing w:after="120" w:line="259" w:lineRule="auto"/>
      </w:pPr>
      <w:r w:rsidRPr="00FF198A">
        <w:t>Public Pathology Australia (PPA)</w:t>
      </w:r>
    </w:p>
    <w:p w14:paraId="48D68FB7" w14:textId="77777777" w:rsidR="0082472C" w:rsidRPr="000125BC" w:rsidRDefault="0082472C" w:rsidP="0082472C">
      <w:pPr>
        <w:pStyle w:val="ListParagraph"/>
        <w:numPr>
          <w:ilvl w:val="0"/>
          <w:numId w:val="40"/>
        </w:numPr>
        <w:spacing w:after="120" w:line="259" w:lineRule="auto"/>
      </w:pPr>
      <w:r>
        <w:t>Royal College of Pathologists of Australasia (RCPA)</w:t>
      </w:r>
    </w:p>
    <w:p w14:paraId="6A544382" w14:textId="77777777" w:rsidR="0082472C" w:rsidRDefault="0082472C" w:rsidP="0082472C">
      <w:r w:rsidRPr="00840A84">
        <w:t>Consultation input was largely supportive of public funding for HBV and HBsAg testing to support the use of PBS-subsidised bepirovirsen in people with CHB.</w:t>
      </w:r>
      <w:r>
        <w:t xml:space="preserve"> Consultation input raised that the population for HBV monitoring should be broadened to include all people with CHB. </w:t>
      </w:r>
      <w:r w:rsidRPr="00840A84">
        <w:t xml:space="preserve"> </w:t>
      </w:r>
    </w:p>
    <w:p w14:paraId="3DAEBEE0" w14:textId="77777777" w:rsidR="0082472C" w:rsidRDefault="0082472C" w:rsidP="0082472C">
      <w:pPr>
        <w:rPr>
          <w:b/>
          <w:bCs/>
        </w:rPr>
      </w:pPr>
      <w:r>
        <w:rPr>
          <w:b/>
          <w:bCs/>
        </w:rPr>
        <w:t>Consumer Experience</w:t>
      </w:r>
    </w:p>
    <w:p w14:paraId="73DD5962" w14:textId="77777777" w:rsidR="0082472C" w:rsidRPr="00840A84" w:rsidRDefault="0082472C" w:rsidP="0082472C">
      <w:r w:rsidRPr="00840A84">
        <w:t xml:space="preserve">Hepatitis B Voices Australia highlighted the significant physical, emotional and social impacts of </w:t>
      </w:r>
      <w:r>
        <w:t>CHB</w:t>
      </w:r>
      <w:r w:rsidRPr="00840A84">
        <w:t>, including stigma and discrimination</w:t>
      </w:r>
      <w:r>
        <w:t xml:space="preserve">, </w:t>
      </w:r>
      <w:r w:rsidRPr="00F01070">
        <w:t xml:space="preserve">barriers in obtaining visas, </w:t>
      </w:r>
      <w:r>
        <w:t xml:space="preserve">and being </w:t>
      </w:r>
      <w:r w:rsidRPr="00F01070">
        <w:t>disallowed employment in the armed forces, police, and other professions</w:t>
      </w:r>
      <w:r w:rsidRPr="00840A84">
        <w:t xml:space="preserve">. </w:t>
      </w:r>
      <w:r>
        <w:t>Hepatitis B Voices Australia stated that the majority of people living with HBV in Australia are not linked to care. Consultation input advised that c</w:t>
      </w:r>
      <w:r w:rsidRPr="00F01070">
        <w:t>urrent management with long-term</w:t>
      </w:r>
      <w:r>
        <w:t xml:space="preserve"> </w:t>
      </w:r>
      <w:r w:rsidRPr="00F01070">
        <w:t>antiviral therapy is linked to several challenges including side effects from antiviral therapy (bone density loss and kidney damage)</w:t>
      </w:r>
      <w:r>
        <w:t>,</w:t>
      </w:r>
      <w:r w:rsidRPr="00F01070">
        <w:t xml:space="preserve"> financial costs</w:t>
      </w:r>
      <w:r>
        <w:t xml:space="preserve"> for </w:t>
      </w:r>
      <w:r w:rsidRPr="00F01070">
        <w:t>clinical consults with specialists and lab tests</w:t>
      </w:r>
      <w:r>
        <w:t>,</w:t>
      </w:r>
      <w:r w:rsidRPr="00F01070">
        <w:t xml:space="preserve"> and time toxicity </w:t>
      </w:r>
      <w:r>
        <w:t xml:space="preserve">attending </w:t>
      </w:r>
      <w:r w:rsidRPr="00F01070">
        <w:t>appointments</w:t>
      </w:r>
      <w:r>
        <w:t xml:space="preserve"> and</w:t>
      </w:r>
      <w:r w:rsidRPr="00F01070">
        <w:t xml:space="preserve"> pharmacy visits to pick up medicines</w:t>
      </w:r>
      <w:r>
        <w:t xml:space="preserve">. </w:t>
      </w:r>
      <w:r w:rsidRPr="00840A84">
        <w:t>Public funding of</w:t>
      </w:r>
      <w:r>
        <w:t xml:space="preserve"> HBV</w:t>
      </w:r>
      <w:r w:rsidRPr="00840A84">
        <w:t xml:space="preserve"> testing was considered important to support access to emerging therapies and reduce the long-term burden of living with </w:t>
      </w:r>
      <w:r>
        <w:t>CH</w:t>
      </w:r>
      <w:r w:rsidRPr="00840A84">
        <w:t>B.</w:t>
      </w:r>
    </w:p>
    <w:p w14:paraId="0DBB05C8" w14:textId="77777777" w:rsidR="0082472C" w:rsidRDefault="0082472C" w:rsidP="00A47531">
      <w:pPr>
        <w:keepNext/>
        <w:keepLines/>
        <w:rPr>
          <w:b/>
          <w:bCs/>
        </w:rPr>
      </w:pPr>
      <w:r>
        <w:rPr>
          <w:b/>
          <w:bCs/>
        </w:rPr>
        <w:lastRenderedPageBreak/>
        <w:t>Benefits and Disadvantages</w:t>
      </w:r>
    </w:p>
    <w:p w14:paraId="5AD982D3" w14:textId="77777777" w:rsidR="0082472C" w:rsidRPr="00D8535F" w:rsidRDefault="0082472C" w:rsidP="00A47531">
      <w:pPr>
        <w:keepNext/>
        <w:keepLines/>
      </w:pPr>
      <w:r w:rsidRPr="00D8535F">
        <w:t>The main benefits of public funding reported in the consultation input included access to HBV and HBsAg testing to support treatment eligibility, monitoring and access to emerging therapies for</w:t>
      </w:r>
      <w:r>
        <w:t xml:space="preserve"> a functional cure for</w:t>
      </w:r>
      <w:r w:rsidRPr="00D8535F">
        <w:t xml:space="preserve"> </w:t>
      </w:r>
      <w:r>
        <w:t>CHB</w:t>
      </w:r>
      <w:r w:rsidRPr="00D8535F">
        <w:t xml:space="preserve">. Consultation input also highlighted </w:t>
      </w:r>
      <w:r>
        <w:t>that a</w:t>
      </w:r>
      <w:r w:rsidRPr="00D8535F">
        <w:t xml:space="preserve"> functional cure</w:t>
      </w:r>
      <w:r w:rsidRPr="00DE79D7">
        <w:t xml:space="preserve"> </w:t>
      </w:r>
      <w:r w:rsidRPr="00A720BE">
        <w:t xml:space="preserve">is associated with </w:t>
      </w:r>
      <w:r>
        <w:t xml:space="preserve">a </w:t>
      </w:r>
      <w:r w:rsidRPr="00A720BE">
        <w:t>reduced risk of cirrhosis liver failure</w:t>
      </w:r>
      <w:r>
        <w:t xml:space="preserve"> and</w:t>
      </w:r>
      <w:r w:rsidRPr="00A720BE">
        <w:t xml:space="preserve"> liver cancer, eliminates the risk of transmission, and</w:t>
      </w:r>
      <w:r>
        <w:t xml:space="preserve"> can </w:t>
      </w:r>
      <w:r w:rsidRPr="00A720BE">
        <w:t xml:space="preserve">reduce </w:t>
      </w:r>
      <w:r>
        <w:t xml:space="preserve">the </w:t>
      </w:r>
      <w:r w:rsidRPr="00A720BE">
        <w:t xml:space="preserve">stigma associated with living with </w:t>
      </w:r>
      <w:r>
        <w:t>HBV</w:t>
      </w:r>
      <w:r w:rsidRPr="00D8535F">
        <w:t>.</w:t>
      </w:r>
    </w:p>
    <w:p w14:paraId="657CC931" w14:textId="77777777" w:rsidR="0082472C" w:rsidRPr="00E55B7B" w:rsidRDefault="0082472C" w:rsidP="0082472C">
      <w:r w:rsidRPr="00E55B7B">
        <w:t xml:space="preserve">The main disadvantages of public funding reported in the consultation input included concerns regarding the scope of the proposed testing pathway. </w:t>
      </w:r>
      <w:r>
        <w:t>Consultation input</w:t>
      </w:r>
      <w:r w:rsidRPr="00E55B7B">
        <w:t xml:space="preserve"> </w:t>
      </w:r>
      <w:r>
        <w:t>stated</w:t>
      </w:r>
      <w:r w:rsidRPr="00E55B7B">
        <w:t xml:space="preserve"> that the proposed </w:t>
      </w:r>
      <w:r>
        <w:t>amended and new HBV</w:t>
      </w:r>
      <w:r w:rsidRPr="00E55B7B">
        <w:t xml:space="preserve"> </w:t>
      </w:r>
      <w:r>
        <w:t>testing items do</w:t>
      </w:r>
      <w:r w:rsidRPr="00E55B7B">
        <w:t xml:space="preserve"> not support guideline-based monitoring for all people living with </w:t>
      </w:r>
      <w:r>
        <w:t>CH</w:t>
      </w:r>
      <w:r w:rsidRPr="00E55B7B">
        <w:t>B, particularly those not receiving antiviral therapy</w:t>
      </w:r>
      <w:r>
        <w:t xml:space="preserve">. </w:t>
      </w:r>
    </w:p>
    <w:p w14:paraId="7F3F5642" w14:textId="77777777" w:rsidR="0082472C" w:rsidRDefault="0082472C" w:rsidP="0082472C">
      <w:pPr>
        <w:rPr>
          <w:b/>
          <w:bCs/>
        </w:rPr>
      </w:pPr>
      <w:r>
        <w:rPr>
          <w:b/>
          <w:bCs/>
        </w:rPr>
        <w:t>Population, Comparator (current management) and Delivery</w:t>
      </w:r>
    </w:p>
    <w:p w14:paraId="3BDD0CAD" w14:textId="77777777" w:rsidR="0082472C" w:rsidRPr="00D8535F" w:rsidRDefault="0082472C" w:rsidP="0082472C">
      <w:r w:rsidRPr="00D8535F">
        <w:t xml:space="preserve">The consultation input generally </w:t>
      </w:r>
      <w:r>
        <w:t xml:space="preserve">agreed that </w:t>
      </w:r>
      <w:r w:rsidRPr="00D8535F">
        <w:t xml:space="preserve">the proposed </w:t>
      </w:r>
      <w:r>
        <w:t>population was consistent with the phase 3 registration trials but input recommended that the population should be broadened beyond those intended for treatment with bepirovirsen. Consultation input from individual health professionals stated that the population captured those that would benefit including minority groups in Australia</w:t>
      </w:r>
      <w:r w:rsidRPr="00D8535F">
        <w:t>.</w:t>
      </w:r>
      <w:r>
        <w:t xml:space="preserve"> </w:t>
      </w:r>
      <w:r w:rsidRPr="00840A84">
        <w:t>Hepatitis B Voices Australia</w:t>
      </w:r>
      <w:r>
        <w:t xml:space="preserve"> considered the population may be too narrow and that people with </w:t>
      </w:r>
      <w:r w:rsidRPr="00553299">
        <w:t>low HBsAg</w:t>
      </w:r>
      <w:r>
        <w:t xml:space="preserve"> </w:t>
      </w:r>
      <w:r w:rsidRPr="00553299">
        <w:t>may be more likely to respond to both existing options e.g</w:t>
      </w:r>
      <w:r>
        <w:t xml:space="preserve">. </w:t>
      </w:r>
      <w:r w:rsidRPr="00553299">
        <w:t>interferon alpha and upcoming therapeutic strategies</w:t>
      </w:r>
      <w:r>
        <w:t xml:space="preserve"> such as bepirovirsen</w:t>
      </w:r>
      <w:r w:rsidRPr="00553299">
        <w:t>.</w:t>
      </w:r>
      <w:r>
        <w:t xml:space="preserve"> </w:t>
      </w:r>
    </w:p>
    <w:p w14:paraId="2A3C1580" w14:textId="77777777" w:rsidR="0082472C" w:rsidRPr="00E55B7B" w:rsidRDefault="0082472C" w:rsidP="0082472C">
      <w:r w:rsidRPr="00E55B7B">
        <w:t xml:space="preserve">The consultation input </w:t>
      </w:r>
      <w:r>
        <w:t>agreed with</w:t>
      </w:r>
      <w:r w:rsidRPr="00E55B7B">
        <w:t xml:space="preserve"> the proposed comparator</w:t>
      </w:r>
      <w:r>
        <w:t xml:space="preserve"> of standard of care,</w:t>
      </w:r>
      <w:r w:rsidRPr="00E55B7B">
        <w:t xml:space="preserve"> noting that existing HBV monitoring arrangements may not adequately support all people living with </w:t>
      </w:r>
      <w:r>
        <w:t>CHB</w:t>
      </w:r>
      <w:r w:rsidRPr="00E55B7B">
        <w:t>.</w:t>
      </w:r>
    </w:p>
    <w:p w14:paraId="5E11A25F" w14:textId="77777777" w:rsidR="0082472C" w:rsidRDefault="0082472C" w:rsidP="0082472C">
      <w:pPr>
        <w:rPr>
          <w:b/>
          <w:bCs/>
        </w:rPr>
      </w:pPr>
      <w:r w:rsidRPr="00755CEB">
        <w:rPr>
          <w:b/>
          <w:bCs/>
        </w:rPr>
        <w:t>MBS Item Descriptor and Fee</w:t>
      </w:r>
    </w:p>
    <w:p w14:paraId="658EEC4D" w14:textId="77777777" w:rsidR="0082472C" w:rsidRPr="00D8535F" w:rsidRDefault="0082472C" w:rsidP="0082472C">
      <w:r w:rsidRPr="006570AD">
        <w:t xml:space="preserve">The consultation input </w:t>
      </w:r>
      <w:r>
        <w:t>largely agreed with</w:t>
      </w:r>
      <w:r w:rsidRPr="006570AD">
        <w:t xml:space="preserve"> the proposed </w:t>
      </w:r>
      <w:r>
        <w:t xml:space="preserve">item </w:t>
      </w:r>
      <w:r w:rsidRPr="006570AD">
        <w:t xml:space="preserve">descriptors. </w:t>
      </w:r>
      <w:r>
        <w:t>The health professionals advised that new MBS items should be created to reflect quantitative testing</w:t>
      </w:r>
      <w:r w:rsidRPr="006570AD">
        <w:t xml:space="preserve"> </w:t>
      </w:r>
      <w:r>
        <w:t xml:space="preserve">for HBsAg and the increased frequency for HBV DNA testing. The RCPA stated that </w:t>
      </w:r>
      <w:r w:rsidRPr="009E66D8">
        <w:t xml:space="preserve">the proposed frequency </w:t>
      </w:r>
      <w:r>
        <w:t xml:space="preserve">of HBV DNA testing post-treatment </w:t>
      </w:r>
      <w:r w:rsidRPr="009E66D8">
        <w:t>should be justified against the expected timing and incidence of virological relapse in patients treated with bepirovirsen</w:t>
      </w:r>
      <w:r>
        <w:t>.</w:t>
      </w:r>
    </w:p>
    <w:p w14:paraId="370C455A" w14:textId="3F4FFC6B" w:rsidR="0082472C" w:rsidRPr="00D8535F" w:rsidRDefault="0082472C" w:rsidP="0082472C">
      <w:r>
        <w:t>C</w:t>
      </w:r>
      <w:r w:rsidRPr="00D8535F">
        <w:t xml:space="preserve">onsultation input </w:t>
      </w:r>
      <w:r>
        <w:t>broadly agreed with</w:t>
      </w:r>
      <w:r w:rsidRPr="00D8535F">
        <w:t xml:space="preserve"> the proposed</w:t>
      </w:r>
      <w:r>
        <w:t xml:space="preserve"> MBS</w:t>
      </w:r>
      <w:r w:rsidRPr="00D8535F">
        <w:t xml:space="preserve"> </w:t>
      </w:r>
      <w:r>
        <w:t>item</w:t>
      </w:r>
      <w:r w:rsidRPr="00D8535F">
        <w:t xml:space="preserve"> fee</w:t>
      </w:r>
      <w:r>
        <w:t>s</w:t>
      </w:r>
      <w:r w:rsidRPr="00D8535F">
        <w:t xml:space="preserve">. One health professional </w:t>
      </w:r>
      <w:r>
        <w:t xml:space="preserve">noted the </w:t>
      </w:r>
      <w:r w:rsidRPr="00F31F93">
        <w:t>current quantitative HBsAg assays usually have an upper limit of detection</w:t>
      </w:r>
      <w:r>
        <w:t xml:space="preserve"> requiring repeat testing of a diluted sample and that it was unsustainable for laboratories to continue to cover the cost for repeat tests.</w:t>
      </w:r>
    </w:p>
    <w:p w14:paraId="6CCD5F71" w14:textId="77777777" w:rsidR="0082472C" w:rsidRPr="00E76884" w:rsidRDefault="0082472C" w:rsidP="0082472C">
      <w:pPr>
        <w:rPr>
          <w:color w:val="5B9BD5" w:themeColor="accent1"/>
        </w:rPr>
      </w:pPr>
      <w:r w:rsidRPr="00C50417">
        <w:rPr>
          <w:b/>
          <w:bCs/>
        </w:rPr>
        <w:t xml:space="preserve">Additional </w:t>
      </w:r>
      <w:r>
        <w:rPr>
          <w:b/>
          <w:bCs/>
        </w:rPr>
        <w:t>C</w:t>
      </w:r>
      <w:r w:rsidRPr="00C50417">
        <w:rPr>
          <w:b/>
          <w:bCs/>
        </w:rPr>
        <w:t xml:space="preserve">omments </w:t>
      </w:r>
    </w:p>
    <w:p w14:paraId="1DD35269" w14:textId="77777777" w:rsidR="0082472C" w:rsidRDefault="0082472C" w:rsidP="0082472C">
      <w:r>
        <w:t xml:space="preserve">ASID, ASHM and the RCPA </w:t>
      </w:r>
      <w:r w:rsidRPr="00FC77CD">
        <w:t>consider</w:t>
      </w:r>
      <w:r>
        <w:t>ed</w:t>
      </w:r>
      <w:r w:rsidRPr="00FC77CD">
        <w:t xml:space="preserve"> that broader amendments</w:t>
      </w:r>
      <w:r>
        <w:t xml:space="preserve"> to HBV testing</w:t>
      </w:r>
      <w:r w:rsidRPr="00FC77CD">
        <w:t xml:space="preserve"> are more equitable, administratively simpler and more consistent with Australia’s hepatitis B elimination strategy than a narrow, medicine-specific funding pathway</w:t>
      </w:r>
      <w:r>
        <w:t>. Consultation input advised that r</w:t>
      </w:r>
      <w:r w:rsidRPr="00FC77CD">
        <w:t xml:space="preserve">egular HBV DNA monitoring </w:t>
      </w:r>
      <w:r>
        <w:t xml:space="preserve">is required </w:t>
      </w:r>
      <w:r w:rsidRPr="00FC77CD">
        <w:t>in</w:t>
      </w:r>
      <w:r>
        <w:t xml:space="preserve"> other populations including</w:t>
      </w:r>
      <w:r w:rsidRPr="00FC77CD">
        <w:t xml:space="preserve"> people with </w:t>
      </w:r>
      <w:r>
        <w:t>CHB</w:t>
      </w:r>
      <w:r w:rsidRPr="00FC77CD">
        <w:t xml:space="preserve"> who are not receiving antiviral therapy</w:t>
      </w:r>
      <w:r>
        <w:t>, are receiving immunosuppressive therapies or are pregnant. More frequent monitoring in these populations was used</w:t>
      </w:r>
      <w:r w:rsidRPr="00FC77CD">
        <w:t xml:space="preserve"> to identify changing disease activity, reassess eligibility for treatment, distinguish sustained inactive infection from fluctuating viraemia, </w:t>
      </w:r>
      <w:r>
        <w:t xml:space="preserve">and </w:t>
      </w:r>
      <w:r w:rsidRPr="00FC77CD">
        <w:t>detect reactivation.</w:t>
      </w:r>
      <w:r>
        <w:t xml:space="preserve"> Consultation input stated that </w:t>
      </w:r>
      <w:r w:rsidRPr="00FC77CD">
        <w:t xml:space="preserve">the current annual restriction </w:t>
      </w:r>
      <w:r>
        <w:t xml:space="preserve">on HBV DNA </w:t>
      </w:r>
      <w:r w:rsidRPr="00FC77CD">
        <w:t>testing</w:t>
      </w:r>
      <w:r>
        <w:t xml:space="preserve"> </w:t>
      </w:r>
      <w:r w:rsidRPr="00FC77CD">
        <w:t xml:space="preserve">contributes to patients forgoing HBV monitoring in primary </w:t>
      </w:r>
      <w:r w:rsidRPr="00FC77CD">
        <w:lastRenderedPageBreak/>
        <w:t>care, resulting in unnecessary referral to hospital-based services, fragmented care, and reduced access for people in regional, rural and remote settings</w:t>
      </w:r>
      <w:r>
        <w:t>.</w:t>
      </w:r>
    </w:p>
    <w:p w14:paraId="1F3D3A1B" w14:textId="33805C47" w:rsidR="00073980" w:rsidRPr="00495424" w:rsidRDefault="004E588E" w:rsidP="00073980">
      <w:pPr>
        <w:rPr>
          <w:i/>
          <w:iCs/>
        </w:rPr>
      </w:pPr>
      <w:r w:rsidRPr="00495424">
        <w:rPr>
          <w:i/>
          <w:iCs/>
        </w:rPr>
        <w:t>PASC noted that stakeholder feedback was supportive of the application. Stakeholders highlighted the importance of the proposed testing algorithm to support access to subsidised q</w:t>
      </w:r>
      <w:r w:rsidR="00CE34FA">
        <w:rPr>
          <w:i/>
          <w:iCs/>
        </w:rPr>
        <w:t xml:space="preserve">uantitative </w:t>
      </w:r>
      <w:r w:rsidRPr="00495424">
        <w:rPr>
          <w:i/>
          <w:iCs/>
        </w:rPr>
        <w:t>HBsAg and HBV DNA monitoring for patients receiving bepirovirsen and highlighted the need for appropriate MBS funding arrangements to support ongoing access to HBV DNA and q</w:t>
      </w:r>
      <w:r w:rsidR="00CE34FA">
        <w:rPr>
          <w:i/>
          <w:iCs/>
        </w:rPr>
        <w:t xml:space="preserve">uantitative </w:t>
      </w:r>
      <w:r w:rsidRPr="00495424">
        <w:rPr>
          <w:i/>
          <w:iCs/>
        </w:rPr>
        <w:t>HBsAg testing in line with current and emerging hepatitis B management guidelines.</w:t>
      </w:r>
    </w:p>
    <w:p w14:paraId="4E68667F" w14:textId="15C260C8" w:rsidR="00D37A3F" w:rsidRPr="00D37A3F" w:rsidRDefault="00D37A3F" w:rsidP="00713728">
      <w:pPr>
        <w:pStyle w:val="Heading2"/>
      </w:pPr>
      <w:r>
        <w:t>Next steps</w:t>
      </w:r>
    </w:p>
    <w:p w14:paraId="26C050DD" w14:textId="7AF135AE" w:rsidR="004E588E" w:rsidRPr="00495424" w:rsidRDefault="004E588E" w:rsidP="004E588E">
      <w:pPr>
        <w:rPr>
          <w:i/>
          <w:iCs/>
        </w:rPr>
      </w:pPr>
      <w:r w:rsidRPr="00495424">
        <w:rPr>
          <w:i/>
          <w:iCs/>
        </w:rPr>
        <w:t xml:space="preserve">PASC advised that the application meets the definition of a co-dependent technology and should be evaluated through the already established parallel evaluation process via PBAC and MSAC. The assessment of diagnostic accuracy would not be required for established tests used in current clinical practice (such as qualitative HBsAg and HBV DNA) but should be assessed for quantitative HBsAg testing. </w:t>
      </w:r>
    </w:p>
    <w:p w14:paraId="267F8CA6" w14:textId="4ABC9DA8" w:rsidR="00196F67" w:rsidRPr="00495424" w:rsidRDefault="004E588E" w:rsidP="53835B03">
      <w:r w:rsidRPr="3D7EC901">
        <w:rPr>
          <w:i/>
          <w:iCs/>
        </w:rPr>
        <w:t>PASC considered that the intervention may need refinement to reflect realistic clinical practice and additional safety monitoring</w:t>
      </w:r>
      <w:r w:rsidR="46F3DB5B" w:rsidRPr="3D7EC901">
        <w:rPr>
          <w:i/>
          <w:iCs/>
        </w:rPr>
        <w:t xml:space="preserve"> via more comprehensive testing</w:t>
      </w:r>
      <w:r w:rsidRPr="3D7EC901">
        <w:rPr>
          <w:i/>
          <w:iCs/>
        </w:rPr>
        <w:t>, and that further consideration is required regarding the proposed MBS items to ensure future-proofing and establish appropriate fees.</w:t>
      </w:r>
    </w:p>
    <w:p w14:paraId="3A0413E8" w14:textId="5039FC6B" w:rsidR="35F70C9C" w:rsidRDefault="35F70C9C" w:rsidP="3D7EC901">
      <w:pPr>
        <w:pStyle w:val="Heading2"/>
        <w:rPr>
          <w:rFonts w:eastAsia="Franklin Gothic Medium" w:cs="Franklin Gothic Medium"/>
          <w:szCs w:val="32"/>
        </w:rPr>
      </w:pPr>
      <w:r w:rsidRPr="3D7EC901">
        <w:rPr>
          <w:rFonts w:eastAsia="Franklin Gothic Medium" w:cs="Franklin Gothic Medium"/>
          <w:szCs w:val="32"/>
        </w:rPr>
        <w:t>Applicant Comments on Ratified PICO</w:t>
      </w:r>
    </w:p>
    <w:p w14:paraId="703727BB" w14:textId="01DD3240" w:rsidR="0099597E" w:rsidRDefault="0099597E" w:rsidP="0099597E">
      <w:pPr>
        <w:rPr>
          <w:rFonts w:cs="Calibri"/>
          <w:color w:val="2F5496" w:themeColor="accent5" w:themeShade="BF"/>
        </w:rPr>
      </w:pPr>
      <w:r w:rsidRPr="00E46D76">
        <w:rPr>
          <w:rFonts w:cs="Calibri"/>
        </w:rPr>
        <w:t>GSK acknowledges the ratified PICO for the testing for hepatitis B virus (HBV) and hepatitis B virus surface antigen (HBsAg) to support the use of bepirovirsen in people with chronic hepatitis B (CHB). GSK notes that HBsAG testing (quantitative, qualitative) and HBV DNA are available on the MBS schedule, though the introduction of bepirovirsen will require new or amended items. While the ratified PICO has requested the diagnostic accuracy of HBsAg testing be evaluated, GSK notes that associated test performance would not change should Bepirov</w:t>
      </w:r>
      <w:r>
        <w:rPr>
          <w:rFonts w:cs="Calibri"/>
        </w:rPr>
        <w:t>i</w:t>
      </w:r>
      <w:r w:rsidRPr="00E46D76">
        <w:rPr>
          <w:rFonts w:cs="Calibri"/>
        </w:rPr>
        <w:t>rsen be funded. In addition, with updates to treatment and monitoring guidelines for CHB, further steps can be taken to simplify MBS items to enable recommended HBV DNA monitoring across CHB populations.</w:t>
      </w:r>
    </w:p>
    <w:p w14:paraId="02D09DC9" w14:textId="06133CF7" w:rsidR="35F70C9C" w:rsidRDefault="35F70C9C" w:rsidP="3D7EC901">
      <w:pPr>
        <w:spacing w:after="160" w:line="257" w:lineRule="auto"/>
        <w:rPr>
          <w:rFonts w:cs="Calibri"/>
        </w:rPr>
      </w:pPr>
    </w:p>
    <w:p w14:paraId="343F0557" w14:textId="74306B03" w:rsidR="00196F67" w:rsidRPr="00073980" w:rsidRDefault="00073980" w:rsidP="00073980">
      <w:r>
        <w:br w:type="page"/>
      </w:r>
    </w:p>
    <w:p w14:paraId="73A2A9C9" w14:textId="142D9879" w:rsidR="006478E7" w:rsidRDefault="00A33126" w:rsidP="00713728">
      <w:pPr>
        <w:pStyle w:val="Heading2"/>
      </w:pPr>
      <w:r>
        <w:lastRenderedPageBreak/>
        <w:t>References</w:t>
      </w:r>
    </w:p>
    <w:p w14:paraId="0D3BCC94" w14:textId="2A6C50F9" w:rsidR="003062B7" w:rsidRPr="003062B7" w:rsidRDefault="00F13016" w:rsidP="00A47531">
      <w:pPr>
        <w:pStyle w:val="EndNoteBibliography"/>
        <w:spacing w:after="120"/>
        <w:ind w:left="720" w:hanging="720"/>
      </w:pPr>
      <w:r>
        <w:fldChar w:fldCharType="begin"/>
      </w:r>
      <w:r>
        <w:instrText xml:space="preserve"> ADDIN EN.REFLIST </w:instrText>
      </w:r>
      <w:r>
        <w:fldChar w:fldCharType="separate"/>
      </w:r>
      <w:r w:rsidR="003062B7" w:rsidRPr="003062B7">
        <w:t xml:space="preserve">CDC. (2025). </w:t>
      </w:r>
      <w:r w:rsidR="003062B7" w:rsidRPr="003062B7">
        <w:rPr>
          <w:i/>
        </w:rPr>
        <w:t xml:space="preserve">Clinical Overview of Hepatitis B </w:t>
      </w:r>
      <w:r w:rsidR="003062B7" w:rsidRPr="003062B7">
        <w:t xml:space="preserve">Retrieved 08 Jul from </w:t>
      </w:r>
      <w:hyperlink r:id="rId20" w:history="1">
        <w:r w:rsidR="003062B7" w:rsidRPr="003062B7">
          <w:rPr>
            <w:rStyle w:val="Hyperlink"/>
            <w:rFonts w:ascii="Calibri" w:hAnsi="Calibri" w:cs="Calibri"/>
          </w:rPr>
          <w:t>https://www.cdc.gov/hepatitis-b/hcp/clinical-overview/index.html</w:t>
        </w:r>
      </w:hyperlink>
    </w:p>
    <w:p w14:paraId="2B9CAADF" w14:textId="50B8D1E7" w:rsidR="003062B7" w:rsidRPr="003062B7" w:rsidRDefault="003062B7" w:rsidP="00A47531">
      <w:pPr>
        <w:pStyle w:val="EndNoteBibliography"/>
        <w:spacing w:after="120"/>
        <w:ind w:left="720" w:hanging="720"/>
      </w:pPr>
      <w:r w:rsidRPr="003062B7">
        <w:t xml:space="preserve">Cornberg, M., Sandmann, L., Jaroszewicz, J., Kennedy, P., Lampertico, P., Lemoine, M., Lens, S., Testoni, B., Lai-Hung Wong, G., &amp; Russo, F. P. (2025). EASL Clinical Practice Guidelines on the management of hepatitis B virus infection. </w:t>
      </w:r>
      <w:r w:rsidRPr="003062B7">
        <w:rPr>
          <w:i/>
        </w:rPr>
        <w:t>Journal of Hepatology</w:t>
      </w:r>
      <w:r w:rsidRPr="003062B7">
        <w:t>,</w:t>
      </w:r>
      <w:r w:rsidRPr="003062B7">
        <w:rPr>
          <w:i/>
        </w:rPr>
        <w:t xml:space="preserve"> 83</w:t>
      </w:r>
      <w:r w:rsidRPr="003062B7">
        <w:t xml:space="preserve">(2), 502-583. </w:t>
      </w:r>
      <w:hyperlink r:id="rId21" w:history="1">
        <w:r w:rsidRPr="003062B7">
          <w:rPr>
            <w:rStyle w:val="Hyperlink"/>
            <w:rFonts w:ascii="Calibri" w:hAnsi="Calibri" w:cs="Calibri"/>
          </w:rPr>
          <w:t>https://doi.org/10.1016/j.jhep.2025.03.018</w:t>
        </w:r>
      </w:hyperlink>
      <w:r w:rsidRPr="003062B7">
        <w:t xml:space="preserve"> </w:t>
      </w:r>
    </w:p>
    <w:p w14:paraId="20862B56" w14:textId="5CBC6C59" w:rsidR="003062B7" w:rsidRPr="003062B7" w:rsidRDefault="003062B7" w:rsidP="00A47531">
      <w:pPr>
        <w:pStyle w:val="EndNoteBibliography"/>
        <w:spacing w:after="120"/>
        <w:ind w:left="720" w:hanging="720"/>
      </w:pPr>
      <w:r w:rsidRPr="003062B7">
        <w:t xml:space="preserve">Ghany, M. G., Pan, C. Q., Lok, A. S., Feld, J. J., Lim, J. K., Wang, S. H., Kim, A. Y., Tang, A. S., Nguyen, M. H., Naggie, S., Sulkowski, M. S., Norberto, R. B., Chen, J., Murad, M. H., Mohammad, K. S., &amp; Terrault, N. A. (2026). AASLD ISDA Practice Guideline on treatment of chronic hepatitis B. </w:t>
      </w:r>
      <w:r w:rsidRPr="003062B7">
        <w:rPr>
          <w:i/>
        </w:rPr>
        <w:t>Hepatology</w:t>
      </w:r>
      <w:r w:rsidRPr="003062B7">
        <w:t>,</w:t>
      </w:r>
      <w:r w:rsidRPr="003062B7">
        <w:rPr>
          <w:i/>
        </w:rPr>
        <w:t xml:space="preserve"> 83</w:t>
      </w:r>
      <w:r w:rsidRPr="003062B7">
        <w:t xml:space="preserve">(4), 974-997. </w:t>
      </w:r>
      <w:hyperlink r:id="rId22" w:history="1">
        <w:r w:rsidRPr="003062B7">
          <w:rPr>
            <w:rStyle w:val="Hyperlink"/>
            <w:rFonts w:ascii="Calibri" w:hAnsi="Calibri" w:cs="Calibri"/>
          </w:rPr>
          <w:t>https://doi.org/10.1097/HEP.0000000000001549</w:t>
        </w:r>
      </w:hyperlink>
      <w:r w:rsidRPr="003062B7">
        <w:t xml:space="preserve"> </w:t>
      </w:r>
    </w:p>
    <w:p w14:paraId="289690DC" w14:textId="5B7A38B6" w:rsidR="003062B7" w:rsidRPr="003062B7" w:rsidRDefault="003062B7" w:rsidP="00A47531">
      <w:pPr>
        <w:pStyle w:val="EndNoteBibliography"/>
        <w:spacing w:after="120"/>
        <w:ind w:left="720" w:hanging="720"/>
      </w:pPr>
      <w:r w:rsidRPr="003062B7">
        <w:t xml:space="preserve">Hou, J., Lim, S.-G., Buti, M., Yuen, M.-F., Gane, E., Lampertico, P., Terrault, N., Nguyen, H., Yim Hyung, J., Xie, Q., Lin, J., Qiu, Y., Jeng, W.-J., Heo, J., Peng, C.-Y., Chen, C.-H., Chuang, W.-L., Xie, Y., Hlebowicz, M., . . . Elston, R. (2026). Phase 3 Results of Bepirovirsen Treatment for Chronic Hepatitis B Virus Infection. </w:t>
      </w:r>
      <w:r w:rsidRPr="003062B7">
        <w:rPr>
          <w:i/>
        </w:rPr>
        <w:t>New England Journal of Medicine</w:t>
      </w:r>
      <w:r w:rsidRPr="003062B7">
        <w:t>,</w:t>
      </w:r>
      <w:r w:rsidRPr="003062B7">
        <w:rPr>
          <w:i/>
        </w:rPr>
        <w:t xml:space="preserve"> 394</w:t>
      </w:r>
      <w:r w:rsidRPr="003062B7">
        <w:t xml:space="preserve">(24), 2395-2406. </w:t>
      </w:r>
      <w:hyperlink r:id="rId23" w:history="1">
        <w:r w:rsidRPr="003062B7">
          <w:rPr>
            <w:rStyle w:val="Hyperlink"/>
            <w:rFonts w:ascii="Calibri" w:hAnsi="Calibri" w:cs="Calibri"/>
          </w:rPr>
          <w:t>https://doi.org/10.1056/NEJMoa2515131</w:t>
        </w:r>
      </w:hyperlink>
      <w:r w:rsidRPr="003062B7">
        <w:t xml:space="preserve"> </w:t>
      </w:r>
    </w:p>
    <w:p w14:paraId="1DA2B0FB" w14:textId="5D816B8D" w:rsidR="003062B7" w:rsidRPr="003062B7" w:rsidRDefault="003062B7" w:rsidP="00A47531">
      <w:pPr>
        <w:pStyle w:val="EndNoteBibliography"/>
        <w:spacing w:after="120"/>
        <w:ind w:left="720" w:hanging="720"/>
      </w:pPr>
      <w:r w:rsidRPr="003062B7">
        <w:t xml:space="preserve">Lubel, J. S., Strasser, S. I., Thompson, A. J., Cowie, B. C., MacLachlan, J., Allard, N. L., Holmes, J., Kemp, W. W., Majumdar, A., Iser, D., Howell, J., &amp; Matthews, G. V. (2022). Australian consensus recommendations for the management of hepatitis B. </w:t>
      </w:r>
      <w:r w:rsidRPr="003062B7">
        <w:rPr>
          <w:i/>
        </w:rPr>
        <w:t>Med J Aust</w:t>
      </w:r>
      <w:r w:rsidRPr="003062B7">
        <w:t>,</w:t>
      </w:r>
      <w:r w:rsidRPr="003062B7">
        <w:rPr>
          <w:i/>
        </w:rPr>
        <w:t xml:space="preserve"> 216</w:t>
      </w:r>
      <w:r w:rsidRPr="003062B7">
        <w:t xml:space="preserve">(9), 478-486. </w:t>
      </w:r>
      <w:hyperlink r:id="rId24" w:history="1">
        <w:r w:rsidRPr="003062B7">
          <w:rPr>
            <w:rStyle w:val="Hyperlink"/>
            <w:rFonts w:ascii="Calibri" w:hAnsi="Calibri" w:cs="Calibri"/>
          </w:rPr>
          <w:t>https://doi.org/10.5694/mja2.51430</w:t>
        </w:r>
      </w:hyperlink>
      <w:r w:rsidRPr="003062B7">
        <w:t xml:space="preserve"> </w:t>
      </w:r>
    </w:p>
    <w:p w14:paraId="29773156" w14:textId="77777777" w:rsidR="003062B7" w:rsidRPr="003062B7" w:rsidRDefault="003062B7" w:rsidP="00A47531">
      <w:pPr>
        <w:pStyle w:val="EndNoteBibliography"/>
        <w:spacing w:after="120"/>
        <w:ind w:left="720" w:hanging="720"/>
      </w:pPr>
      <w:r w:rsidRPr="003062B7">
        <w:t xml:space="preserve">MacLachlan, J. H., Mondel, A., Purcell, I., &amp; Cowie, B. (2025). </w:t>
      </w:r>
      <w:r w:rsidRPr="003062B7">
        <w:rPr>
          <w:i/>
        </w:rPr>
        <w:t>Viral Hepatitis Mapping Project: Hepatitis B National Report 2023</w:t>
      </w:r>
      <w:r w:rsidRPr="003062B7">
        <w:t xml:space="preserve">. </w:t>
      </w:r>
    </w:p>
    <w:p w14:paraId="38A99B45" w14:textId="0379451E" w:rsidR="003062B7" w:rsidRPr="003062B7" w:rsidRDefault="003062B7" w:rsidP="00A47531">
      <w:pPr>
        <w:pStyle w:val="EndNoteBibliography"/>
        <w:spacing w:after="120"/>
        <w:ind w:left="720" w:hanging="720"/>
      </w:pPr>
      <w:r w:rsidRPr="00163ABF">
        <w:rPr>
          <w:lang w:val="de-DE"/>
        </w:rPr>
        <w:t xml:space="preserve">Marrapu, S., Soni, J. R., Kamal, K., &amp; Kumar, R. (2025). </w:t>
      </w:r>
      <w:r w:rsidRPr="003062B7">
        <w:t xml:space="preserve">Hepatitis B functional cure: Current and future perspective. </w:t>
      </w:r>
      <w:r w:rsidRPr="003062B7">
        <w:rPr>
          <w:i/>
        </w:rPr>
        <w:t>World J Hepatol</w:t>
      </w:r>
      <w:r w:rsidRPr="003062B7">
        <w:t>,</w:t>
      </w:r>
      <w:r w:rsidRPr="003062B7">
        <w:rPr>
          <w:i/>
        </w:rPr>
        <w:t xml:space="preserve"> 17</w:t>
      </w:r>
      <w:r w:rsidRPr="003062B7">
        <w:t xml:space="preserve">(10), 110107. </w:t>
      </w:r>
      <w:hyperlink r:id="rId25" w:history="1">
        <w:r w:rsidRPr="003062B7">
          <w:rPr>
            <w:rStyle w:val="Hyperlink"/>
            <w:rFonts w:ascii="Calibri" w:hAnsi="Calibri" w:cs="Calibri"/>
          </w:rPr>
          <w:t>https://doi.org/10.4254/wjh.v17.i10.110107</w:t>
        </w:r>
      </w:hyperlink>
      <w:r w:rsidRPr="003062B7">
        <w:t xml:space="preserve"> </w:t>
      </w:r>
    </w:p>
    <w:p w14:paraId="61C3D382" w14:textId="5DCF447B" w:rsidR="003062B7" w:rsidRPr="003062B7" w:rsidRDefault="003062B7" w:rsidP="00A47531">
      <w:pPr>
        <w:pStyle w:val="EndNoteBibliography"/>
        <w:spacing w:after="120"/>
        <w:ind w:left="720" w:hanging="720"/>
      </w:pPr>
      <w:r w:rsidRPr="003062B7">
        <w:t xml:space="preserve">Tang, L. S. Y., Covert, E., Wilson, E., &amp; Kottilil, S. (2018). Chronic Hepatitis B Infection: A Review. </w:t>
      </w:r>
      <w:r w:rsidRPr="003062B7">
        <w:rPr>
          <w:i/>
        </w:rPr>
        <w:t>JAMA</w:t>
      </w:r>
      <w:r w:rsidRPr="003062B7">
        <w:t>,</w:t>
      </w:r>
      <w:r w:rsidRPr="003062B7">
        <w:rPr>
          <w:i/>
        </w:rPr>
        <w:t xml:space="preserve"> 319</w:t>
      </w:r>
      <w:r w:rsidRPr="003062B7">
        <w:t xml:space="preserve">(17), 1802-1813. </w:t>
      </w:r>
      <w:hyperlink r:id="rId26" w:history="1">
        <w:r w:rsidRPr="003062B7">
          <w:rPr>
            <w:rStyle w:val="Hyperlink"/>
            <w:rFonts w:ascii="Calibri" w:hAnsi="Calibri" w:cs="Calibri"/>
          </w:rPr>
          <w:t>https://doi.org/10.1001/jama.2018.3795</w:t>
        </w:r>
      </w:hyperlink>
      <w:r w:rsidRPr="003062B7">
        <w:t xml:space="preserve"> </w:t>
      </w:r>
    </w:p>
    <w:p w14:paraId="08D0BD5D" w14:textId="4EE86FCE" w:rsidR="003062B7" w:rsidRPr="003062B7" w:rsidRDefault="003062B7" w:rsidP="00A47531">
      <w:pPr>
        <w:pStyle w:val="EndNoteBibliography"/>
        <w:spacing w:after="120"/>
        <w:ind w:left="720" w:hanging="720"/>
      </w:pPr>
      <w:r w:rsidRPr="003062B7">
        <w:t xml:space="preserve">Towell, V., &amp; Cowie, B. (2012). Hepatitis B serology. </w:t>
      </w:r>
      <w:r w:rsidRPr="003062B7">
        <w:rPr>
          <w:i/>
        </w:rPr>
        <w:t>Aust Fam Physician</w:t>
      </w:r>
      <w:r w:rsidRPr="003062B7">
        <w:t>,</w:t>
      </w:r>
      <w:r w:rsidRPr="003062B7">
        <w:rPr>
          <w:i/>
        </w:rPr>
        <w:t xml:space="preserve"> 41</w:t>
      </w:r>
      <w:r w:rsidRPr="003062B7">
        <w:t xml:space="preserve">(4), 212-214. </w:t>
      </w:r>
      <w:hyperlink r:id="rId27" w:history="1">
        <w:r w:rsidRPr="003062B7">
          <w:rPr>
            <w:rStyle w:val="Hyperlink"/>
            <w:rFonts w:ascii="Calibri" w:hAnsi="Calibri" w:cs="Calibri"/>
          </w:rPr>
          <w:t>https://www.ncbi.nlm.nih.gov/pubmed/22472681</w:t>
        </w:r>
      </w:hyperlink>
      <w:r w:rsidRPr="003062B7">
        <w:t xml:space="preserve"> </w:t>
      </w:r>
    </w:p>
    <w:p w14:paraId="2DF35683" w14:textId="538A22CF" w:rsidR="003062B7" w:rsidRPr="003062B7" w:rsidRDefault="003062B7" w:rsidP="00A47531">
      <w:pPr>
        <w:pStyle w:val="EndNoteBibliography"/>
        <w:spacing w:after="120"/>
        <w:ind w:left="720" w:hanging="720"/>
      </w:pPr>
      <w:r w:rsidRPr="003062B7">
        <w:t xml:space="preserve">WHO. (2026, June 2026). </w:t>
      </w:r>
      <w:r w:rsidRPr="003062B7">
        <w:rPr>
          <w:i/>
        </w:rPr>
        <w:t>Hepatitis B Fact Sheet</w:t>
      </w:r>
      <w:r w:rsidRPr="003062B7">
        <w:t xml:space="preserve">. Retrieved 08 Jul from </w:t>
      </w:r>
      <w:hyperlink r:id="rId28" w:history="1">
        <w:r w:rsidRPr="003062B7">
          <w:rPr>
            <w:rStyle w:val="Hyperlink"/>
            <w:rFonts w:ascii="Calibri" w:hAnsi="Calibri" w:cs="Calibri"/>
          </w:rPr>
          <w:t>https://www.who.int/news-room/fact-sheets/detail/hepatitis-b</w:t>
        </w:r>
      </w:hyperlink>
    </w:p>
    <w:p w14:paraId="2C008AE9" w14:textId="77777777" w:rsidR="003062B7" w:rsidRPr="003062B7" w:rsidRDefault="003062B7" w:rsidP="00A47531">
      <w:pPr>
        <w:pStyle w:val="EndNoteBibliography"/>
        <w:spacing w:after="120"/>
        <w:ind w:left="720" w:hanging="720"/>
      </w:pPr>
      <w:r w:rsidRPr="003062B7">
        <w:t>WHO Europe. (2021). Hepatitis B Fact Sheet In.</w:t>
      </w:r>
    </w:p>
    <w:p w14:paraId="3207EFAB" w14:textId="6EAF3AFB" w:rsidR="003062B7" w:rsidRPr="003062B7" w:rsidRDefault="003062B7" w:rsidP="00A47531">
      <w:pPr>
        <w:pStyle w:val="EndNoteBibliography"/>
        <w:spacing w:after="120"/>
        <w:ind w:left="720" w:hanging="720"/>
      </w:pPr>
      <w:r w:rsidRPr="003062B7">
        <w:t xml:space="preserve">Yuen, M. F., Lim, S. G., Plesniak, R., Tsuji, K., Janssen, H. L. A., Pojoga, C., Gadano, A., Popescu, C. P., Stepanova, T., Asselah, T., Diaconescu, G., Yim, H. J., Heo, J., Janczewska, E., Wong, A., Idriz, N., Imamura, M., Rizzardini, G., Takaguchi, K., . . . Theodore, D. (2022). Efficacy and Safety of Bepirovirsen in Chronic Hepatitis B Infection. </w:t>
      </w:r>
      <w:r w:rsidRPr="003062B7">
        <w:rPr>
          <w:i/>
        </w:rPr>
        <w:t>N Engl J Med</w:t>
      </w:r>
      <w:r w:rsidRPr="003062B7">
        <w:t>,</w:t>
      </w:r>
      <w:r w:rsidRPr="003062B7">
        <w:rPr>
          <w:i/>
        </w:rPr>
        <w:t xml:space="preserve"> 387</w:t>
      </w:r>
      <w:r w:rsidRPr="003062B7">
        <w:t xml:space="preserve">(21), 1957-1968. </w:t>
      </w:r>
      <w:hyperlink r:id="rId29" w:history="1">
        <w:r w:rsidRPr="003062B7">
          <w:rPr>
            <w:rStyle w:val="Hyperlink"/>
            <w:rFonts w:ascii="Calibri" w:hAnsi="Calibri" w:cs="Calibri"/>
          </w:rPr>
          <w:t>https://doi.org/10.1056/NEJMoa2210027</w:t>
        </w:r>
      </w:hyperlink>
      <w:r w:rsidRPr="003062B7">
        <w:t xml:space="preserve"> </w:t>
      </w:r>
    </w:p>
    <w:p w14:paraId="3923ED2A" w14:textId="7A1C7D82" w:rsidR="005A0C40" w:rsidRDefault="00F13016" w:rsidP="00A47531">
      <w:pPr>
        <w:pStyle w:val="Instructionaltext"/>
        <w:spacing w:after="120"/>
      </w:pPr>
      <w:r>
        <w:fldChar w:fldCharType="end"/>
      </w:r>
    </w:p>
    <w:sectPr w:rsidR="005A0C40" w:rsidSect="001F0C55">
      <w:headerReference w:type="even" r:id="rId30"/>
      <w:headerReference w:type="default" r:id="rId31"/>
      <w:footerReference w:type="even" r:id="rId32"/>
      <w:footerReference w:type="default" r:id="rId33"/>
      <w:headerReference w:type="first" r:id="rId34"/>
      <w:footerReference w:type="first" r:id="rId35"/>
      <w:pgSz w:w="11906" w:h="16838"/>
      <w:pgMar w:top="682" w:right="1134" w:bottom="1021" w:left="119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8FD86" w14:textId="77777777" w:rsidR="00367E7C" w:rsidRDefault="00367E7C" w:rsidP="0016315C">
      <w:pPr>
        <w:spacing w:after="0" w:line="240" w:lineRule="auto"/>
      </w:pPr>
      <w:r>
        <w:separator/>
      </w:r>
    </w:p>
  </w:endnote>
  <w:endnote w:type="continuationSeparator" w:id="0">
    <w:p w14:paraId="2D8B3E8A" w14:textId="77777777" w:rsidR="00367E7C" w:rsidRDefault="00367E7C" w:rsidP="0016315C">
      <w:pPr>
        <w:spacing w:after="0" w:line="240" w:lineRule="auto"/>
      </w:pPr>
      <w:r>
        <w:continuationSeparator/>
      </w:r>
    </w:p>
  </w:endnote>
  <w:endnote w:type="continuationNotice" w:id="1">
    <w:p w14:paraId="3DD5058C" w14:textId="77777777" w:rsidR="00367E7C" w:rsidRDefault="00367E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1D3D2" w14:textId="0E15C263" w:rsidR="00685355" w:rsidRDefault="00245C3A">
    <w:pPr>
      <w:pStyle w:val="Footer"/>
      <w:framePr w:wrap="none" w:vAnchor="text" w:hAnchor="margin" w:xAlign="right" w:y="1"/>
      <w:rPr>
        <w:rStyle w:val="PageNumber"/>
      </w:rPr>
    </w:pPr>
    <w:r>
      <w:rPr>
        <w:noProof/>
      </w:rPr>
      <mc:AlternateContent>
        <mc:Choice Requires="wps">
          <w:drawing>
            <wp:anchor distT="0" distB="0" distL="0" distR="0" simplePos="0" relativeHeight="251663364" behindDoc="0" locked="0" layoutInCell="1" allowOverlap="1" wp14:anchorId="73CF1426" wp14:editId="0F5FE5CB">
              <wp:simplePos x="635" y="635"/>
              <wp:positionH relativeFrom="page">
                <wp:align>center</wp:align>
              </wp:positionH>
              <wp:positionV relativeFrom="page">
                <wp:align>bottom</wp:align>
              </wp:positionV>
              <wp:extent cx="622300" cy="404495"/>
              <wp:effectExtent l="0" t="0" r="6350" b="0"/>
              <wp:wrapNone/>
              <wp:docPr id="1506601047"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6E8DEB49" w14:textId="558851E5" w:rsidR="00245C3A" w:rsidRPr="00245C3A" w:rsidRDefault="00245C3A" w:rsidP="00245C3A">
                          <w:pPr>
                            <w:spacing w:after="0"/>
                            <w:rPr>
                              <w:rFonts w:ascii="Aptos" w:eastAsia="Aptos" w:hAnsi="Aptos" w:cs="Aptos"/>
                              <w:noProof/>
                              <w:color w:val="FF0000"/>
                              <w:sz w:val="24"/>
                              <w:szCs w:val="24"/>
                            </w:rPr>
                          </w:pPr>
                          <w:r w:rsidRPr="00245C3A">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CF1426" id="_x0000_t202" coordsize="21600,21600" o:spt="202" path="m,l,21600r21600,l21600,xe">
              <v:stroke joinstyle="miter"/>
              <v:path gradientshapeok="t" o:connecttype="rect"/>
            </v:shapetype>
            <v:shape id="Text Box 10" o:spid="_x0000_s1027" type="#_x0000_t202" alt="OFFICIAL" style="position:absolute;margin-left:0;margin-top:0;width:49pt;height:31.85pt;z-index:2516633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" filled="f" stroked="f">
              <v:fill o:detectmouseclick="t"/>
              <v:textbox style="mso-fit-shape-to-text:t" inset="0,0,0,15pt">
                <w:txbxContent>
                  <w:p w14:paraId="6E8DEB49" w14:textId="558851E5" w:rsidR="00245C3A" w:rsidRPr="00245C3A" w:rsidRDefault="00245C3A" w:rsidP="00245C3A">
                    <w:pPr>
                      <w:spacing w:after="0"/>
                      <w:rPr>
                        <w:rFonts w:ascii="Aptos" w:eastAsia="Aptos" w:hAnsi="Aptos" w:cs="Aptos"/>
                        <w:noProof/>
                        <w:color w:val="FF0000"/>
                        <w:sz w:val="24"/>
                        <w:szCs w:val="24"/>
                      </w:rPr>
                    </w:pPr>
                    <w:r w:rsidRPr="00245C3A">
                      <w:rPr>
                        <w:rFonts w:ascii="Aptos" w:eastAsia="Aptos" w:hAnsi="Aptos" w:cs="Aptos"/>
                        <w:noProof/>
                        <w:color w:val="FF0000"/>
                        <w:sz w:val="24"/>
                        <w:szCs w:val="24"/>
                      </w:rPr>
                      <w:t>OFFICIAL</w:t>
                    </w:r>
                  </w:p>
                </w:txbxContent>
              </v:textbox>
              <w10:wrap anchorx="page" anchory="page"/>
            </v:shape>
          </w:pict>
        </mc:Fallback>
      </mc:AlternateContent>
    </w:r>
    <w:r w:rsidR="00685355">
      <w:rPr>
        <w:rStyle w:val="PageNumber"/>
      </w:rPr>
      <w:fldChar w:fldCharType="begin"/>
    </w:r>
    <w:r w:rsidR="00685355">
      <w:rPr>
        <w:rStyle w:val="PageNumber"/>
      </w:rPr>
      <w:instrText xml:space="preserve"> PAGE </w:instrText>
    </w:r>
    <w:r w:rsidR="00685355">
      <w:rPr>
        <w:rStyle w:val="PageNumber"/>
      </w:rPr>
      <w:fldChar w:fldCharType="separate"/>
    </w:r>
    <w:r w:rsidR="003A1E02">
      <w:rPr>
        <w:rStyle w:val="PageNumber"/>
        <w:noProof/>
      </w:rPr>
      <w:t>1</w:t>
    </w:r>
    <w:r w:rsidR="00685355">
      <w:rPr>
        <w:rStyle w:val="PageNumber"/>
      </w:rPr>
      <w:fldChar w:fldCharType="end"/>
    </w:r>
  </w:p>
  <w:p w14:paraId="74E72C2D" w14:textId="77777777" w:rsidR="00685355" w:rsidRDefault="00685355" w:rsidP="0068535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5ECA8" w14:textId="3AD85B4A" w:rsidR="0015018B" w:rsidRPr="009B57D9" w:rsidRDefault="0015018B" w:rsidP="0015018B">
    <w:pPr>
      <w:spacing w:after="0"/>
      <w:contextualSpacing/>
      <w:jc w:val="center"/>
      <w:rPr>
        <w:sz w:val="18"/>
        <w:szCs w:val="18"/>
      </w:rPr>
    </w:pPr>
  </w:p>
  <w:p w14:paraId="3B4966E4" w14:textId="1FFD14E2" w:rsidR="0015018B" w:rsidRDefault="00367E7C" w:rsidP="001F0C55">
    <w:pPr>
      <w:pStyle w:val="Footer"/>
      <w:framePr w:wrap="none" w:vAnchor="page" w:hAnchor="page" w:x="10666" w:y="15301"/>
      <w:rPr>
        <w:rStyle w:val="PageNumber"/>
      </w:rPr>
    </w:pPr>
    <w:sdt>
      <w:sdtPr>
        <w:rPr>
          <w:rStyle w:val="PageNumber"/>
        </w:rPr>
        <w:id w:val="-2093382827"/>
        <w:docPartObj>
          <w:docPartGallery w:val="Page Numbers (Bottom of Page)"/>
          <w:docPartUnique/>
        </w:docPartObj>
      </w:sdtPr>
      <w:sdtEndPr>
        <w:rPr>
          <w:rStyle w:val="PageNumber"/>
        </w:rPr>
      </w:sdtEndPr>
      <w:sdtContent>
        <w:r w:rsidR="0015018B">
          <w:rPr>
            <w:rStyle w:val="PageNumber"/>
          </w:rPr>
          <w:fldChar w:fldCharType="begin"/>
        </w:r>
        <w:r w:rsidR="0015018B">
          <w:rPr>
            <w:rStyle w:val="PageNumber"/>
          </w:rPr>
          <w:instrText xml:space="preserve"> PAGE </w:instrText>
        </w:r>
        <w:r w:rsidR="0015018B">
          <w:rPr>
            <w:rStyle w:val="PageNumber"/>
          </w:rPr>
          <w:fldChar w:fldCharType="separate"/>
        </w:r>
        <w:r w:rsidR="0015018B">
          <w:rPr>
            <w:rStyle w:val="PageNumber"/>
            <w:noProof/>
          </w:rPr>
          <w:t>1</w:t>
        </w:r>
        <w:r w:rsidR="0015018B">
          <w:rPr>
            <w:rStyle w:val="PageNumber"/>
          </w:rPr>
          <w:fldChar w:fldCharType="end"/>
        </w:r>
      </w:sdtContent>
    </w:sdt>
  </w:p>
  <w:p w14:paraId="33649654" w14:textId="1DEDDB4F" w:rsidR="0016315C" w:rsidRPr="00685355" w:rsidRDefault="11C49379" w:rsidP="001F0C55">
    <w:pPr>
      <w:jc w:val="center"/>
    </w:pPr>
    <w:r>
      <w:t>Ratified PICO Confirmation – August 2026 PASC Meeting</w:t>
    </w:r>
    <w:r w:rsidR="60009B8A">
      <w:br/>
    </w:r>
    <w:r>
      <w:t>Application 1827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34D21" w14:textId="2DCEBAE5" w:rsidR="009A4FFB" w:rsidRDefault="00245C3A">
    <w:pPr>
      <w:pStyle w:val="Footer"/>
    </w:pPr>
    <w:r>
      <w:rPr>
        <w:noProof/>
      </w:rPr>
      <mc:AlternateContent>
        <mc:Choice Requires="wps">
          <w:drawing>
            <wp:anchor distT="0" distB="0" distL="0" distR="0" simplePos="0" relativeHeight="251662340" behindDoc="0" locked="0" layoutInCell="1" allowOverlap="1" wp14:anchorId="6EE4A187" wp14:editId="34590307">
              <wp:simplePos x="635" y="635"/>
              <wp:positionH relativeFrom="page">
                <wp:align>center</wp:align>
              </wp:positionH>
              <wp:positionV relativeFrom="page">
                <wp:align>bottom</wp:align>
              </wp:positionV>
              <wp:extent cx="622300" cy="404495"/>
              <wp:effectExtent l="0" t="0" r="6350" b="0"/>
              <wp:wrapNone/>
              <wp:docPr id="1538353984"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6102125B" w14:textId="27871237" w:rsidR="00245C3A" w:rsidRPr="00245C3A" w:rsidRDefault="00245C3A" w:rsidP="00245C3A">
                          <w:pPr>
                            <w:spacing w:after="0"/>
                            <w:rPr>
                              <w:rFonts w:ascii="Aptos" w:eastAsia="Aptos" w:hAnsi="Aptos" w:cs="Aptos"/>
                              <w:noProof/>
                              <w:color w:val="FF0000"/>
                              <w:sz w:val="24"/>
                              <w:szCs w:val="24"/>
                            </w:rPr>
                          </w:pPr>
                          <w:r w:rsidRPr="00245C3A">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E4A187" id="_x0000_t202" coordsize="21600,21600" o:spt="202" path="m,l,21600r21600,l21600,xe">
              <v:stroke joinstyle="miter"/>
              <v:path gradientshapeok="t" o:connecttype="rect"/>
            </v:shapetype>
            <v:shape id="Text Box 9" o:spid="_x0000_s1029" type="#_x0000_t202" alt="OFFICIAL" style="position:absolute;margin-left:0;margin-top:0;width:49pt;height:31.85pt;z-index:2516623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BWp7jK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" filled="f" stroked="f">
              <v:fill o:detectmouseclick="t"/>
              <v:textbox style="mso-fit-shape-to-text:t" inset="0,0,0,15pt">
                <w:txbxContent>
                  <w:p w14:paraId="6102125B" w14:textId="27871237" w:rsidR="00245C3A" w:rsidRPr="00245C3A" w:rsidRDefault="00245C3A" w:rsidP="00245C3A">
                    <w:pPr>
                      <w:spacing w:after="0"/>
                      <w:rPr>
                        <w:rFonts w:ascii="Aptos" w:eastAsia="Aptos" w:hAnsi="Aptos" w:cs="Aptos"/>
                        <w:noProof/>
                        <w:color w:val="FF0000"/>
                        <w:sz w:val="24"/>
                        <w:szCs w:val="24"/>
                      </w:rPr>
                    </w:pPr>
                    <w:r w:rsidRPr="00245C3A">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AC208" w14:textId="77777777" w:rsidR="00367E7C" w:rsidRDefault="00367E7C" w:rsidP="0016315C">
      <w:pPr>
        <w:spacing w:after="0" w:line="240" w:lineRule="auto"/>
      </w:pPr>
      <w:r>
        <w:separator/>
      </w:r>
    </w:p>
  </w:footnote>
  <w:footnote w:type="continuationSeparator" w:id="0">
    <w:p w14:paraId="68FC591B" w14:textId="77777777" w:rsidR="00367E7C" w:rsidRDefault="00367E7C" w:rsidP="0016315C">
      <w:pPr>
        <w:spacing w:after="0" w:line="240" w:lineRule="auto"/>
      </w:pPr>
      <w:r>
        <w:continuationSeparator/>
      </w:r>
    </w:p>
  </w:footnote>
  <w:footnote w:type="continuationNotice" w:id="1">
    <w:p w14:paraId="1B227EA9" w14:textId="77777777" w:rsidR="00367E7C" w:rsidRDefault="00367E7C">
      <w:pPr>
        <w:spacing w:after="0" w:line="240" w:lineRule="auto"/>
      </w:pPr>
    </w:p>
  </w:footnote>
  <w:footnote w:id="2">
    <w:p w14:paraId="2F430C8C" w14:textId="67CAC90F" w:rsidR="003062B7" w:rsidRDefault="003062B7">
      <w:pPr>
        <w:pStyle w:val="FootnoteText"/>
      </w:pPr>
      <w:r>
        <w:rPr>
          <w:rStyle w:val="FootnoteReference"/>
        </w:rPr>
        <w:footnoteRef/>
      </w:r>
      <w:r>
        <w:t xml:space="preserve"> </w:t>
      </w:r>
      <w:r w:rsidRPr="003062B7">
        <w:t xml:space="preserve">Qualitative HBsAg testing determines whether HBsAg is present or absent. </w:t>
      </w:r>
      <w:r w:rsidR="00C44DB9">
        <w:t xml:space="preserve">Quantitative </w:t>
      </w:r>
      <w:r w:rsidR="00B11658">
        <w:t>HBsAg (</w:t>
      </w:r>
      <w:r w:rsidR="00046891">
        <w:t>q</w:t>
      </w:r>
      <w:r w:rsidRPr="003062B7">
        <w:t>HBsAg</w:t>
      </w:r>
      <w:r w:rsidR="00B11658">
        <w:t>)</w:t>
      </w:r>
      <w:r w:rsidRPr="003062B7">
        <w:t xml:space="preserve"> testing measures the amount of HBsAg in serum and reports the result as a concentration (IU/mL).</w:t>
      </w:r>
    </w:p>
  </w:footnote>
  <w:footnote w:id="3">
    <w:p w14:paraId="6B257FDF" w14:textId="171E789F" w:rsidR="00881583" w:rsidRDefault="00881583">
      <w:pPr>
        <w:pStyle w:val="FootnoteText"/>
      </w:pPr>
      <w:r>
        <w:rPr>
          <w:rStyle w:val="FootnoteReference"/>
        </w:rPr>
        <w:footnoteRef/>
      </w:r>
      <w:r>
        <w:t xml:space="preserve"> </w:t>
      </w:r>
      <w:r w:rsidR="00921F66">
        <w:t>B-well is a phase 2b trial on bepirovirsen conducted prior to B-well trial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B082F" w14:textId="559BA177" w:rsidR="009A4FFB" w:rsidRDefault="00245C3A">
    <w:pPr>
      <w:pStyle w:val="Header"/>
    </w:pPr>
    <w:r>
      <w:rPr>
        <w:noProof/>
      </w:rPr>
      <mc:AlternateContent>
        <mc:Choice Requires="wps">
          <w:drawing>
            <wp:anchor distT="0" distB="0" distL="0" distR="0" simplePos="0" relativeHeight="251660292" behindDoc="0" locked="0" layoutInCell="1" allowOverlap="1" wp14:anchorId="4E8E3AAE" wp14:editId="38674A2C">
              <wp:simplePos x="635" y="635"/>
              <wp:positionH relativeFrom="page">
                <wp:align>center</wp:align>
              </wp:positionH>
              <wp:positionV relativeFrom="page">
                <wp:align>top</wp:align>
              </wp:positionV>
              <wp:extent cx="622300" cy="404495"/>
              <wp:effectExtent l="0" t="0" r="6350" b="14605"/>
              <wp:wrapNone/>
              <wp:docPr id="669711870"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350F19B0" w14:textId="1F593F7E" w:rsidR="00245C3A" w:rsidRPr="00245C3A" w:rsidRDefault="00245C3A" w:rsidP="00245C3A">
                          <w:pPr>
                            <w:spacing w:after="0"/>
                            <w:rPr>
                              <w:rFonts w:ascii="Aptos" w:eastAsia="Aptos" w:hAnsi="Aptos" w:cs="Aptos"/>
                              <w:noProof/>
                              <w:color w:val="FF0000"/>
                              <w:sz w:val="24"/>
                              <w:szCs w:val="24"/>
                            </w:rPr>
                          </w:pPr>
                          <w:r w:rsidRPr="00245C3A">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8E3AAE" id="_x0000_t202" coordsize="21600,21600" o:spt="202" path="m,l,21600r21600,l21600,xe">
              <v:stroke joinstyle="miter"/>
              <v:path gradientshapeok="t" o:connecttype="rect"/>
            </v:shapetype>
            <v:shape id="Text Box 7" o:spid="_x0000_s1026" type="#_x0000_t202" alt="OFFICIAL" style="position:absolute;margin-left:0;margin-top:0;width:49pt;height:31.85pt;z-index:2516602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WkRCQIAABUEAAAOAAAAZHJzL2Uyb0RvYy54bWysU8Fu2zAMvQ/YPwi6L3aytF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z+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tVRk&#10;d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" filled="f" stroked="f">
              <v:fill o:detectmouseclick="t"/>
              <v:textbox style="mso-fit-shape-to-text:t" inset="0,15pt,0,0">
                <w:txbxContent>
                  <w:p w14:paraId="350F19B0" w14:textId="1F593F7E" w:rsidR="00245C3A" w:rsidRPr="00245C3A" w:rsidRDefault="00245C3A" w:rsidP="00245C3A">
                    <w:pPr>
                      <w:spacing w:after="0"/>
                      <w:rPr>
                        <w:rFonts w:ascii="Aptos" w:eastAsia="Aptos" w:hAnsi="Aptos" w:cs="Aptos"/>
                        <w:noProof/>
                        <w:color w:val="FF0000"/>
                        <w:sz w:val="24"/>
                        <w:szCs w:val="24"/>
                      </w:rPr>
                    </w:pPr>
                    <w:r w:rsidRPr="00245C3A">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90"/>
      <w:gridCol w:w="3190"/>
      <w:gridCol w:w="3190"/>
    </w:tblGrid>
    <w:tr w:rsidR="628F6C62" w14:paraId="30E3AEF3" w14:textId="77777777" w:rsidTr="009A4FFB">
      <w:trPr>
        <w:trHeight w:val="300"/>
      </w:trPr>
      <w:tc>
        <w:tcPr>
          <w:tcW w:w="3190" w:type="dxa"/>
        </w:tcPr>
        <w:p w14:paraId="49F52A5F" w14:textId="3EC9E10E" w:rsidR="628F6C62" w:rsidRDefault="628F6C62" w:rsidP="009A4FFB">
          <w:pPr>
            <w:pStyle w:val="Header"/>
            <w:ind w:left="-115"/>
          </w:pPr>
        </w:p>
      </w:tc>
      <w:tc>
        <w:tcPr>
          <w:tcW w:w="3190" w:type="dxa"/>
        </w:tcPr>
        <w:p w14:paraId="36E67869" w14:textId="784854AB" w:rsidR="628F6C62" w:rsidRDefault="628F6C62" w:rsidP="009A4FFB">
          <w:pPr>
            <w:pStyle w:val="Header"/>
            <w:jc w:val="center"/>
          </w:pPr>
        </w:p>
      </w:tc>
      <w:tc>
        <w:tcPr>
          <w:tcW w:w="3190" w:type="dxa"/>
        </w:tcPr>
        <w:p w14:paraId="7D0E02FB" w14:textId="1ED15B37" w:rsidR="628F6C62" w:rsidRDefault="628F6C62" w:rsidP="009A4FFB">
          <w:pPr>
            <w:pStyle w:val="Header"/>
            <w:ind w:right="-115"/>
            <w:jc w:val="right"/>
          </w:pPr>
        </w:p>
      </w:tc>
    </w:tr>
  </w:tbl>
  <w:p w14:paraId="1C2EB0F3" w14:textId="656C0405" w:rsidR="628F6C62" w:rsidRDefault="628F6C62" w:rsidP="009A4F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AD54B" w14:textId="68785018" w:rsidR="009A4FFB" w:rsidRDefault="00245C3A">
    <w:pPr>
      <w:pStyle w:val="Header"/>
    </w:pPr>
    <w:r>
      <w:rPr>
        <w:noProof/>
      </w:rPr>
      <mc:AlternateContent>
        <mc:Choice Requires="wps">
          <w:drawing>
            <wp:anchor distT="0" distB="0" distL="0" distR="0" simplePos="0" relativeHeight="251659268" behindDoc="0" locked="0" layoutInCell="1" allowOverlap="1" wp14:anchorId="6AA5A34D" wp14:editId="11396870">
              <wp:simplePos x="635" y="635"/>
              <wp:positionH relativeFrom="page">
                <wp:align>center</wp:align>
              </wp:positionH>
              <wp:positionV relativeFrom="page">
                <wp:align>top</wp:align>
              </wp:positionV>
              <wp:extent cx="622300" cy="404495"/>
              <wp:effectExtent l="0" t="0" r="6350" b="14605"/>
              <wp:wrapNone/>
              <wp:docPr id="1875003855"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350F645F" w14:textId="2A8A6927" w:rsidR="00245C3A" w:rsidRPr="00245C3A" w:rsidRDefault="00245C3A" w:rsidP="00245C3A">
                          <w:pPr>
                            <w:spacing w:after="0"/>
                            <w:rPr>
                              <w:rFonts w:ascii="Aptos" w:eastAsia="Aptos" w:hAnsi="Aptos" w:cs="Aptos"/>
                              <w:noProof/>
                              <w:color w:val="FF0000"/>
                              <w:sz w:val="24"/>
                              <w:szCs w:val="24"/>
                            </w:rPr>
                          </w:pPr>
                          <w:r w:rsidRPr="00245C3A">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A5A34D" id="_x0000_t202" coordsize="21600,21600" o:spt="202" path="m,l,21600r21600,l21600,xe">
              <v:stroke joinstyle="miter"/>
              <v:path gradientshapeok="t" o:connecttype="rect"/>
            </v:shapetype>
            <v:shape id="Text Box 6" o:spid="_x0000_s1028" type="#_x0000_t202" alt="OFFICIAL" style="position:absolute;margin-left:0;margin-top:0;width:49pt;height:31.85pt;z-index:2516592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" filled="f" stroked="f">
              <v:fill o:detectmouseclick="t"/>
              <v:textbox style="mso-fit-shape-to-text:t" inset="0,15pt,0,0">
                <w:txbxContent>
                  <w:p w14:paraId="350F645F" w14:textId="2A8A6927" w:rsidR="00245C3A" w:rsidRPr="00245C3A" w:rsidRDefault="00245C3A" w:rsidP="00245C3A">
                    <w:pPr>
                      <w:spacing w:after="0"/>
                      <w:rPr>
                        <w:rFonts w:ascii="Aptos" w:eastAsia="Aptos" w:hAnsi="Aptos" w:cs="Aptos"/>
                        <w:noProof/>
                        <w:color w:val="FF0000"/>
                        <w:sz w:val="24"/>
                        <w:szCs w:val="24"/>
                      </w:rPr>
                    </w:pPr>
                    <w:r w:rsidRPr="00245C3A">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47C3"/>
    <w:multiLevelType w:val="hybridMultilevel"/>
    <w:tmpl w:val="8022332A"/>
    <w:lvl w:ilvl="0" w:tplc="4C8CFEB0">
      <w:start w:val="1"/>
      <w:numFmt w:val="decimal"/>
      <w:lvlText w:val="%1."/>
      <w:lvlJc w:val="left"/>
      <w:pPr>
        <w:ind w:left="1020" w:hanging="360"/>
      </w:pPr>
    </w:lvl>
    <w:lvl w:ilvl="1" w:tplc="4FA623B2">
      <w:start w:val="1"/>
      <w:numFmt w:val="decimal"/>
      <w:lvlText w:val="%2."/>
      <w:lvlJc w:val="left"/>
      <w:pPr>
        <w:ind w:left="1020" w:hanging="360"/>
      </w:pPr>
    </w:lvl>
    <w:lvl w:ilvl="2" w:tplc="C436D492">
      <w:start w:val="1"/>
      <w:numFmt w:val="decimal"/>
      <w:lvlText w:val="%3."/>
      <w:lvlJc w:val="left"/>
      <w:pPr>
        <w:ind w:left="1020" w:hanging="360"/>
      </w:pPr>
    </w:lvl>
    <w:lvl w:ilvl="3" w:tplc="A492EBA6">
      <w:start w:val="1"/>
      <w:numFmt w:val="decimal"/>
      <w:lvlText w:val="%4."/>
      <w:lvlJc w:val="left"/>
      <w:pPr>
        <w:ind w:left="1020" w:hanging="360"/>
      </w:pPr>
    </w:lvl>
    <w:lvl w:ilvl="4" w:tplc="D95E7366">
      <w:start w:val="1"/>
      <w:numFmt w:val="decimal"/>
      <w:lvlText w:val="%5."/>
      <w:lvlJc w:val="left"/>
      <w:pPr>
        <w:ind w:left="1020" w:hanging="360"/>
      </w:pPr>
    </w:lvl>
    <w:lvl w:ilvl="5" w:tplc="6ECC000C">
      <w:start w:val="1"/>
      <w:numFmt w:val="decimal"/>
      <w:lvlText w:val="%6."/>
      <w:lvlJc w:val="left"/>
      <w:pPr>
        <w:ind w:left="1020" w:hanging="360"/>
      </w:pPr>
    </w:lvl>
    <w:lvl w:ilvl="6" w:tplc="02C823AE">
      <w:start w:val="1"/>
      <w:numFmt w:val="decimal"/>
      <w:lvlText w:val="%7."/>
      <w:lvlJc w:val="left"/>
      <w:pPr>
        <w:ind w:left="1020" w:hanging="360"/>
      </w:pPr>
    </w:lvl>
    <w:lvl w:ilvl="7" w:tplc="3B800D60">
      <w:start w:val="1"/>
      <w:numFmt w:val="decimal"/>
      <w:lvlText w:val="%8."/>
      <w:lvlJc w:val="left"/>
      <w:pPr>
        <w:ind w:left="1020" w:hanging="360"/>
      </w:pPr>
    </w:lvl>
    <w:lvl w:ilvl="8" w:tplc="596043B2">
      <w:start w:val="1"/>
      <w:numFmt w:val="decimal"/>
      <w:lvlText w:val="%9."/>
      <w:lvlJc w:val="left"/>
      <w:pPr>
        <w:ind w:left="1020" w:hanging="360"/>
      </w:pPr>
    </w:lvl>
  </w:abstractNum>
  <w:abstractNum w:abstractNumId="1" w15:restartNumberingAfterBreak="0">
    <w:nsid w:val="06DD0000"/>
    <w:multiLevelType w:val="hybridMultilevel"/>
    <w:tmpl w:val="5EAE8D46"/>
    <w:lvl w:ilvl="0" w:tplc="2F367B8A">
      <w:start w:val="1"/>
      <w:numFmt w:val="decimal"/>
      <w:lvlText w:val="%1."/>
      <w:lvlJc w:val="left"/>
      <w:pPr>
        <w:ind w:left="720" w:hanging="360"/>
      </w:pPr>
    </w:lvl>
    <w:lvl w:ilvl="1" w:tplc="EAA4395A">
      <w:start w:val="1"/>
      <w:numFmt w:val="decimal"/>
      <w:lvlText w:val="%2."/>
      <w:lvlJc w:val="left"/>
      <w:pPr>
        <w:ind w:left="720" w:hanging="360"/>
      </w:pPr>
    </w:lvl>
    <w:lvl w:ilvl="2" w:tplc="B172FCEA">
      <w:start w:val="1"/>
      <w:numFmt w:val="decimal"/>
      <w:lvlText w:val="%3."/>
      <w:lvlJc w:val="left"/>
      <w:pPr>
        <w:ind w:left="720" w:hanging="360"/>
      </w:pPr>
    </w:lvl>
    <w:lvl w:ilvl="3" w:tplc="3E3C0B62">
      <w:start w:val="1"/>
      <w:numFmt w:val="decimal"/>
      <w:lvlText w:val="%4."/>
      <w:lvlJc w:val="left"/>
      <w:pPr>
        <w:ind w:left="720" w:hanging="360"/>
      </w:pPr>
    </w:lvl>
    <w:lvl w:ilvl="4" w:tplc="190C41FA">
      <w:start w:val="1"/>
      <w:numFmt w:val="decimal"/>
      <w:lvlText w:val="%5."/>
      <w:lvlJc w:val="left"/>
      <w:pPr>
        <w:ind w:left="720" w:hanging="360"/>
      </w:pPr>
    </w:lvl>
    <w:lvl w:ilvl="5" w:tplc="65C002CC">
      <w:start w:val="1"/>
      <w:numFmt w:val="decimal"/>
      <w:lvlText w:val="%6."/>
      <w:lvlJc w:val="left"/>
      <w:pPr>
        <w:ind w:left="720" w:hanging="360"/>
      </w:pPr>
    </w:lvl>
    <w:lvl w:ilvl="6" w:tplc="99EC8170">
      <w:start w:val="1"/>
      <w:numFmt w:val="decimal"/>
      <w:lvlText w:val="%7."/>
      <w:lvlJc w:val="left"/>
      <w:pPr>
        <w:ind w:left="720" w:hanging="360"/>
      </w:pPr>
    </w:lvl>
    <w:lvl w:ilvl="7" w:tplc="09BCD648">
      <w:start w:val="1"/>
      <w:numFmt w:val="decimal"/>
      <w:lvlText w:val="%8."/>
      <w:lvlJc w:val="left"/>
      <w:pPr>
        <w:ind w:left="720" w:hanging="360"/>
      </w:pPr>
    </w:lvl>
    <w:lvl w:ilvl="8" w:tplc="096A9EC2">
      <w:start w:val="1"/>
      <w:numFmt w:val="decimal"/>
      <w:lvlText w:val="%9."/>
      <w:lvlJc w:val="left"/>
      <w:pPr>
        <w:ind w:left="720" w:hanging="360"/>
      </w:pPr>
    </w:lvl>
  </w:abstractNum>
  <w:abstractNum w:abstractNumId="2" w15:restartNumberingAfterBreak="0">
    <w:nsid w:val="071860B5"/>
    <w:multiLevelType w:val="hybridMultilevel"/>
    <w:tmpl w:val="7436A238"/>
    <w:lvl w:ilvl="0" w:tplc="CA76AC88">
      <w:start w:val="1"/>
      <w:numFmt w:val="decimal"/>
      <w:lvlText w:val="%1."/>
      <w:lvlJc w:val="left"/>
      <w:pPr>
        <w:ind w:left="1020" w:hanging="360"/>
      </w:pPr>
    </w:lvl>
    <w:lvl w:ilvl="1" w:tplc="563A4F32">
      <w:start w:val="1"/>
      <w:numFmt w:val="decimal"/>
      <w:lvlText w:val="%2."/>
      <w:lvlJc w:val="left"/>
      <w:pPr>
        <w:ind w:left="1020" w:hanging="360"/>
      </w:pPr>
    </w:lvl>
    <w:lvl w:ilvl="2" w:tplc="C0D2E8B4">
      <w:start w:val="1"/>
      <w:numFmt w:val="decimal"/>
      <w:lvlText w:val="%3."/>
      <w:lvlJc w:val="left"/>
      <w:pPr>
        <w:ind w:left="1020" w:hanging="360"/>
      </w:pPr>
    </w:lvl>
    <w:lvl w:ilvl="3" w:tplc="C6461720">
      <w:start w:val="1"/>
      <w:numFmt w:val="decimal"/>
      <w:lvlText w:val="%4."/>
      <w:lvlJc w:val="left"/>
      <w:pPr>
        <w:ind w:left="1020" w:hanging="360"/>
      </w:pPr>
    </w:lvl>
    <w:lvl w:ilvl="4" w:tplc="ABD0FF68">
      <w:start w:val="1"/>
      <w:numFmt w:val="decimal"/>
      <w:lvlText w:val="%5."/>
      <w:lvlJc w:val="left"/>
      <w:pPr>
        <w:ind w:left="1020" w:hanging="360"/>
      </w:pPr>
    </w:lvl>
    <w:lvl w:ilvl="5" w:tplc="EC644BD2">
      <w:start w:val="1"/>
      <w:numFmt w:val="decimal"/>
      <w:lvlText w:val="%6."/>
      <w:lvlJc w:val="left"/>
      <w:pPr>
        <w:ind w:left="1020" w:hanging="360"/>
      </w:pPr>
    </w:lvl>
    <w:lvl w:ilvl="6" w:tplc="4EFC925C">
      <w:start w:val="1"/>
      <w:numFmt w:val="decimal"/>
      <w:lvlText w:val="%7."/>
      <w:lvlJc w:val="left"/>
      <w:pPr>
        <w:ind w:left="1020" w:hanging="360"/>
      </w:pPr>
    </w:lvl>
    <w:lvl w:ilvl="7" w:tplc="7AF45EB8">
      <w:start w:val="1"/>
      <w:numFmt w:val="decimal"/>
      <w:lvlText w:val="%8."/>
      <w:lvlJc w:val="left"/>
      <w:pPr>
        <w:ind w:left="1020" w:hanging="360"/>
      </w:pPr>
    </w:lvl>
    <w:lvl w:ilvl="8" w:tplc="1A1C15DE">
      <w:start w:val="1"/>
      <w:numFmt w:val="decimal"/>
      <w:lvlText w:val="%9."/>
      <w:lvlJc w:val="left"/>
      <w:pPr>
        <w:ind w:left="1020" w:hanging="360"/>
      </w:pPr>
    </w:lvl>
  </w:abstractNum>
  <w:abstractNum w:abstractNumId="3" w15:restartNumberingAfterBreak="0">
    <w:nsid w:val="0ED66B8F"/>
    <w:multiLevelType w:val="hybridMultilevel"/>
    <w:tmpl w:val="56D0E054"/>
    <w:lvl w:ilvl="0" w:tplc="B37AD35A">
      <w:start w:val="1"/>
      <w:numFmt w:val="decimal"/>
      <w:lvlText w:val="%1."/>
      <w:lvlJc w:val="left"/>
      <w:pPr>
        <w:ind w:left="1020" w:hanging="360"/>
      </w:pPr>
    </w:lvl>
    <w:lvl w:ilvl="1" w:tplc="9B523558">
      <w:start w:val="1"/>
      <w:numFmt w:val="decimal"/>
      <w:lvlText w:val="%2."/>
      <w:lvlJc w:val="left"/>
      <w:pPr>
        <w:ind w:left="1020" w:hanging="360"/>
      </w:pPr>
    </w:lvl>
    <w:lvl w:ilvl="2" w:tplc="F4924E30">
      <w:start w:val="1"/>
      <w:numFmt w:val="decimal"/>
      <w:lvlText w:val="%3."/>
      <w:lvlJc w:val="left"/>
      <w:pPr>
        <w:ind w:left="1020" w:hanging="360"/>
      </w:pPr>
    </w:lvl>
    <w:lvl w:ilvl="3" w:tplc="FB66FDC2">
      <w:start w:val="1"/>
      <w:numFmt w:val="decimal"/>
      <w:lvlText w:val="%4."/>
      <w:lvlJc w:val="left"/>
      <w:pPr>
        <w:ind w:left="1020" w:hanging="360"/>
      </w:pPr>
    </w:lvl>
    <w:lvl w:ilvl="4" w:tplc="9C4EC5EE">
      <w:start w:val="1"/>
      <w:numFmt w:val="decimal"/>
      <w:lvlText w:val="%5."/>
      <w:lvlJc w:val="left"/>
      <w:pPr>
        <w:ind w:left="1020" w:hanging="360"/>
      </w:pPr>
    </w:lvl>
    <w:lvl w:ilvl="5" w:tplc="C874BCC0">
      <w:start w:val="1"/>
      <w:numFmt w:val="decimal"/>
      <w:lvlText w:val="%6."/>
      <w:lvlJc w:val="left"/>
      <w:pPr>
        <w:ind w:left="1020" w:hanging="360"/>
      </w:pPr>
    </w:lvl>
    <w:lvl w:ilvl="6" w:tplc="8E34C478">
      <w:start w:val="1"/>
      <w:numFmt w:val="decimal"/>
      <w:lvlText w:val="%7."/>
      <w:lvlJc w:val="left"/>
      <w:pPr>
        <w:ind w:left="1020" w:hanging="360"/>
      </w:pPr>
    </w:lvl>
    <w:lvl w:ilvl="7" w:tplc="CF5236B0">
      <w:start w:val="1"/>
      <w:numFmt w:val="decimal"/>
      <w:lvlText w:val="%8."/>
      <w:lvlJc w:val="left"/>
      <w:pPr>
        <w:ind w:left="1020" w:hanging="360"/>
      </w:pPr>
    </w:lvl>
    <w:lvl w:ilvl="8" w:tplc="4C4EBDF6">
      <w:start w:val="1"/>
      <w:numFmt w:val="decimal"/>
      <w:lvlText w:val="%9."/>
      <w:lvlJc w:val="left"/>
      <w:pPr>
        <w:ind w:left="1020" w:hanging="360"/>
      </w:pPr>
    </w:lvl>
  </w:abstractNum>
  <w:abstractNum w:abstractNumId="4" w15:restartNumberingAfterBreak="0">
    <w:nsid w:val="0EDF4349"/>
    <w:multiLevelType w:val="hybridMultilevel"/>
    <w:tmpl w:val="1592C836"/>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5" w15:restartNumberingAfterBreak="0">
    <w:nsid w:val="11F477DC"/>
    <w:multiLevelType w:val="hybridMultilevel"/>
    <w:tmpl w:val="201C4580"/>
    <w:lvl w:ilvl="0" w:tplc="A18E6DAA">
      <w:start w:val="1"/>
      <w:numFmt w:val="decimal"/>
      <w:lvlText w:val="%1."/>
      <w:lvlJc w:val="left"/>
      <w:pPr>
        <w:ind w:left="1020" w:hanging="360"/>
      </w:pPr>
    </w:lvl>
    <w:lvl w:ilvl="1" w:tplc="7EB0B678">
      <w:start w:val="1"/>
      <w:numFmt w:val="decimal"/>
      <w:lvlText w:val="%2."/>
      <w:lvlJc w:val="left"/>
      <w:pPr>
        <w:ind w:left="1020" w:hanging="360"/>
      </w:pPr>
    </w:lvl>
    <w:lvl w:ilvl="2" w:tplc="B6F08FEA">
      <w:start w:val="1"/>
      <w:numFmt w:val="decimal"/>
      <w:lvlText w:val="%3."/>
      <w:lvlJc w:val="left"/>
      <w:pPr>
        <w:ind w:left="1020" w:hanging="360"/>
      </w:pPr>
    </w:lvl>
    <w:lvl w:ilvl="3" w:tplc="6D329F68">
      <w:start w:val="1"/>
      <w:numFmt w:val="decimal"/>
      <w:lvlText w:val="%4."/>
      <w:lvlJc w:val="left"/>
      <w:pPr>
        <w:ind w:left="1020" w:hanging="360"/>
      </w:pPr>
    </w:lvl>
    <w:lvl w:ilvl="4" w:tplc="D09801EA">
      <w:start w:val="1"/>
      <w:numFmt w:val="decimal"/>
      <w:lvlText w:val="%5."/>
      <w:lvlJc w:val="left"/>
      <w:pPr>
        <w:ind w:left="1020" w:hanging="360"/>
      </w:pPr>
    </w:lvl>
    <w:lvl w:ilvl="5" w:tplc="DF0C8E3A">
      <w:start w:val="1"/>
      <w:numFmt w:val="decimal"/>
      <w:lvlText w:val="%6."/>
      <w:lvlJc w:val="left"/>
      <w:pPr>
        <w:ind w:left="1020" w:hanging="360"/>
      </w:pPr>
    </w:lvl>
    <w:lvl w:ilvl="6" w:tplc="F06E6B7C">
      <w:start w:val="1"/>
      <w:numFmt w:val="decimal"/>
      <w:lvlText w:val="%7."/>
      <w:lvlJc w:val="left"/>
      <w:pPr>
        <w:ind w:left="1020" w:hanging="360"/>
      </w:pPr>
    </w:lvl>
    <w:lvl w:ilvl="7" w:tplc="03564186">
      <w:start w:val="1"/>
      <w:numFmt w:val="decimal"/>
      <w:lvlText w:val="%8."/>
      <w:lvlJc w:val="left"/>
      <w:pPr>
        <w:ind w:left="1020" w:hanging="360"/>
      </w:pPr>
    </w:lvl>
    <w:lvl w:ilvl="8" w:tplc="FC04C0BC">
      <w:start w:val="1"/>
      <w:numFmt w:val="decimal"/>
      <w:lvlText w:val="%9."/>
      <w:lvlJc w:val="left"/>
      <w:pPr>
        <w:ind w:left="1020" w:hanging="360"/>
      </w:pPr>
    </w:lvl>
  </w:abstractNum>
  <w:abstractNum w:abstractNumId="6" w15:restartNumberingAfterBreak="0">
    <w:nsid w:val="123352A7"/>
    <w:multiLevelType w:val="hybridMultilevel"/>
    <w:tmpl w:val="49A0FCB8"/>
    <w:lvl w:ilvl="0" w:tplc="BD0CE9D0">
      <w:start w:val="1"/>
      <w:numFmt w:val="decimal"/>
      <w:lvlText w:val="%1."/>
      <w:lvlJc w:val="left"/>
      <w:pPr>
        <w:ind w:left="1020" w:hanging="360"/>
      </w:pPr>
    </w:lvl>
    <w:lvl w:ilvl="1" w:tplc="7F52146E">
      <w:start w:val="1"/>
      <w:numFmt w:val="decimal"/>
      <w:lvlText w:val="%2."/>
      <w:lvlJc w:val="left"/>
      <w:pPr>
        <w:ind w:left="1020" w:hanging="360"/>
      </w:pPr>
    </w:lvl>
    <w:lvl w:ilvl="2" w:tplc="027E1A3C">
      <w:start w:val="1"/>
      <w:numFmt w:val="decimal"/>
      <w:lvlText w:val="%3."/>
      <w:lvlJc w:val="left"/>
      <w:pPr>
        <w:ind w:left="1020" w:hanging="360"/>
      </w:pPr>
    </w:lvl>
    <w:lvl w:ilvl="3" w:tplc="F68E6BE4">
      <w:start w:val="1"/>
      <w:numFmt w:val="decimal"/>
      <w:lvlText w:val="%4."/>
      <w:lvlJc w:val="left"/>
      <w:pPr>
        <w:ind w:left="1020" w:hanging="360"/>
      </w:pPr>
    </w:lvl>
    <w:lvl w:ilvl="4" w:tplc="95521A5A">
      <w:start w:val="1"/>
      <w:numFmt w:val="decimal"/>
      <w:lvlText w:val="%5."/>
      <w:lvlJc w:val="left"/>
      <w:pPr>
        <w:ind w:left="1020" w:hanging="360"/>
      </w:pPr>
    </w:lvl>
    <w:lvl w:ilvl="5" w:tplc="5E764F5A">
      <w:start w:val="1"/>
      <w:numFmt w:val="decimal"/>
      <w:lvlText w:val="%6."/>
      <w:lvlJc w:val="left"/>
      <w:pPr>
        <w:ind w:left="1020" w:hanging="360"/>
      </w:pPr>
    </w:lvl>
    <w:lvl w:ilvl="6" w:tplc="C5EC8000">
      <w:start w:val="1"/>
      <w:numFmt w:val="decimal"/>
      <w:lvlText w:val="%7."/>
      <w:lvlJc w:val="left"/>
      <w:pPr>
        <w:ind w:left="1020" w:hanging="360"/>
      </w:pPr>
    </w:lvl>
    <w:lvl w:ilvl="7" w:tplc="22B4BBC4">
      <w:start w:val="1"/>
      <w:numFmt w:val="decimal"/>
      <w:lvlText w:val="%8."/>
      <w:lvlJc w:val="left"/>
      <w:pPr>
        <w:ind w:left="1020" w:hanging="360"/>
      </w:pPr>
    </w:lvl>
    <w:lvl w:ilvl="8" w:tplc="047ECB1C">
      <w:start w:val="1"/>
      <w:numFmt w:val="decimal"/>
      <w:lvlText w:val="%9."/>
      <w:lvlJc w:val="left"/>
      <w:pPr>
        <w:ind w:left="1020" w:hanging="360"/>
      </w:pPr>
    </w:lvl>
  </w:abstractNum>
  <w:abstractNum w:abstractNumId="7" w15:restartNumberingAfterBreak="0">
    <w:nsid w:val="12963F13"/>
    <w:multiLevelType w:val="hybridMultilevel"/>
    <w:tmpl w:val="5F746D12"/>
    <w:lvl w:ilvl="0" w:tplc="0C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4DE3E8C"/>
    <w:multiLevelType w:val="hybridMultilevel"/>
    <w:tmpl w:val="232473F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18023445"/>
    <w:multiLevelType w:val="hybridMultilevel"/>
    <w:tmpl w:val="0CE4E2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B6D648F"/>
    <w:multiLevelType w:val="hybridMultilevel"/>
    <w:tmpl w:val="3A3A1014"/>
    <w:lvl w:ilvl="0" w:tplc="28C43FB0">
      <w:start w:val="1"/>
      <w:numFmt w:val="decimal"/>
      <w:lvlText w:val="%1."/>
      <w:lvlJc w:val="left"/>
      <w:pPr>
        <w:ind w:left="1020" w:hanging="360"/>
      </w:pPr>
    </w:lvl>
    <w:lvl w:ilvl="1" w:tplc="D75C84D2">
      <w:start w:val="1"/>
      <w:numFmt w:val="decimal"/>
      <w:lvlText w:val="%2."/>
      <w:lvlJc w:val="left"/>
      <w:pPr>
        <w:ind w:left="1020" w:hanging="360"/>
      </w:pPr>
    </w:lvl>
    <w:lvl w:ilvl="2" w:tplc="E7D42BD6">
      <w:start w:val="1"/>
      <w:numFmt w:val="decimal"/>
      <w:lvlText w:val="%3."/>
      <w:lvlJc w:val="left"/>
      <w:pPr>
        <w:ind w:left="1020" w:hanging="360"/>
      </w:pPr>
    </w:lvl>
    <w:lvl w:ilvl="3" w:tplc="1890AF74">
      <w:start w:val="1"/>
      <w:numFmt w:val="decimal"/>
      <w:lvlText w:val="%4."/>
      <w:lvlJc w:val="left"/>
      <w:pPr>
        <w:ind w:left="1020" w:hanging="360"/>
      </w:pPr>
    </w:lvl>
    <w:lvl w:ilvl="4" w:tplc="93FCD524">
      <w:start w:val="1"/>
      <w:numFmt w:val="decimal"/>
      <w:lvlText w:val="%5."/>
      <w:lvlJc w:val="left"/>
      <w:pPr>
        <w:ind w:left="1020" w:hanging="360"/>
      </w:pPr>
    </w:lvl>
    <w:lvl w:ilvl="5" w:tplc="61AEA41A">
      <w:start w:val="1"/>
      <w:numFmt w:val="decimal"/>
      <w:lvlText w:val="%6."/>
      <w:lvlJc w:val="left"/>
      <w:pPr>
        <w:ind w:left="1020" w:hanging="360"/>
      </w:pPr>
    </w:lvl>
    <w:lvl w:ilvl="6" w:tplc="142AD8DC">
      <w:start w:val="1"/>
      <w:numFmt w:val="decimal"/>
      <w:lvlText w:val="%7."/>
      <w:lvlJc w:val="left"/>
      <w:pPr>
        <w:ind w:left="1020" w:hanging="360"/>
      </w:pPr>
    </w:lvl>
    <w:lvl w:ilvl="7" w:tplc="0C183310">
      <w:start w:val="1"/>
      <w:numFmt w:val="decimal"/>
      <w:lvlText w:val="%8."/>
      <w:lvlJc w:val="left"/>
      <w:pPr>
        <w:ind w:left="1020" w:hanging="360"/>
      </w:pPr>
    </w:lvl>
    <w:lvl w:ilvl="8" w:tplc="39D87D1E">
      <w:start w:val="1"/>
      <w:numFmt w:val="decimal"/>
      <w:lvlText w:val="%9."/>
      <w:lvlJc w:val="left"/>
      <w:pPr>
        <w:ind w:left="1020" w:hanging="360"/>
      </w:pPr>
    </w:lvl>
  </w:abstractNum>
  <w:abstractNum w:abstractNumId="11" w15:restartNumberingAfterBreak="0">
    <w:nsid w:val="1EAC7631"/>
    <w:multiLevelType w:val="hybridMultilevel"/>
    <w:tmpl w:val="1F428D0C"/>
    <w:lvl w:ilvl="0" w:tplc="A03492F0">
      <w:start w:val="1"/>
      <w:numFmt w:val="decimal"/>
      <w:lvlText w:val="%1."/>
      <w:lvlJc w:val="left"/>
      <w:pPr>
        <w:ind w:left="720" w:hanging="360"/>
      </w:pPr>
    </w:lvl>
    <w:lvl w:ilvl="1" w:tplc="6E22A360">
      <w:start w:val="1"/>
      <w:numFmt w:val="decimal"/>
      <w:lvlText w:val="%2."/>
      <w:lvlJc w:val="left"/>
      <w:pPr>
        <w:ind w:left="720" w:hanging="360"/>
      </w:pPr>
    </w:lvl>
    <w:lvl w:ilvl="2" w:tplc="258AA93A">
      <w:start w:val="1"/>
      <w:numFmt w:val="decimal"/>
      <w:lvlText w:val="%3."/>
      <w:lvlJc w:val="left"/>
      <w:pPr>
        <w:ind w:left="720" w:hanging="360"/>
      </w:pPr>
    </w:lvl>
    <w:lvl w:ilvl="3" w:tplc="BF104054">
      <w:start w:val="1"/>
      <w:numFmt w:val="decimal"/>
      <w:lvlText w:val="%4."/>
      <w:lvlJc w:val="left"/>
      <w:pPr>
        <w:ind w:left="720" w:hanging="360"/>
      </w:pPr>
    </w:lvl>
    <w:lvl w:ilvl="4" w:tplc="2208191A">
      <w:start w:val="1"/>
      <w:numFmt w:val="decimal"/>
      <w:lvlText w:val="%5."/>
      <w:lvlJc w:val="left"/>
      <w:pPr>
        <w:ind w:left="720" w:hanging="360"/>
      </w:pPr>
    </w:lvl>
    <w:lvl w:ilvl="5" w:tplc="84C60F8C">
      <w:start w:val="1"/>
      <w:numFmt w:val="decimal"/>
      <w:lvlText w:val="%6."/>
      <w:lvlJc w:val="left"/>
      <w:pPr>
        <w:ind w:left="720" w:hanging="360"/>
      </w:pPr>
    </w:lvl>
    <w:lvl w:ilvl="6" w:tplc="C96E1660">
      <w:start w:val="1"/>
      <w:numFmt w:val="decimal"/>
      <w:lvlText w:val="%7."/>
      <w:lvlJc w:val="left"/>
      <w:pPr>
        <w:ind w:left="720" w:hanging="360"/>
      </w:pPr>
    </w:lvl>
    <w:lvl w:ilvl="7" w:tplc="BB0A23FC">
      <w:start w:val="1"/>
      <w:numFmt w:val="decimal"/>
      <w:lvlText w:val="%8."/>
      <w:lvlJc w:val="left"/>
      <w:pPr>
        <w:ind w:left="720" w:hanging="360"/>
      </w:pPr>
    </w:lvl>
    <w:lvl w:ilvl="8" w:tplc="BE86A07C">
      <w:start w:val="1"/>
      <w:numFmt w:val="decimal"/>
      <w:lvlText w:val="%9."/>
      <w:lvlJc w:val="left"/>
      <w:pPr>
        <w:ind w:left="720" w:hanging="360"/>
      </w:pPr>
    </w:lvl>
  </w:abstractNum>
  <w:abstractNum w:abstractNumId="12" w15:restartNumberingAfterBreak="0">
    <w:nsid w:val="1F135202"/>
    <w:multiLevelType w:val="hybridMultilevel"/>
    <w:tmpl w:val="DAA0D0BE"/>
    <w:lvl w:ilvl="0" w:tplc="BA68CA0E">
      <w:start w:val="1"/>
      <w:numFmt w:val="decimal"/>
      <w:lvlText w:val="%1."/>
      <w:lvlJc w:val="left"/>
      <w:pPr>
        <w:ind w:left="1020" w:hanging="360"/>
      </w:pPr>
    </w:lvl>
    <w:lvl w:ilvl="1" w:tplc="FBDA7DC6">
      <w:start w:val="1"/>
      <w:numFmt w:val="decimal"/>
      <w:lvlText w:val="%2."/>
      <w:lvlJc w:val="left"/>
      <w:pPr>
        <w:ind w:left="1020" w:hanging="360"/>
      </w:pPr>
    </w:lvl>
    <w:lvl w:ilvl="2" w:tplc="76365D22">
      <w:start w:val="1"/>
      <w:numFmt w:val="decimal"/>
      <w:lvlText w:val="%3."/>
      <w:lvlJc w:val="left"/>
      <w:pPr>
        <w:ind w:left="1020" w:hanging="360"/>
      </w:pPr>
    </w:lvl>
    <w:lvl w:ilvl="3" w:tplc="38104710">
      <w:start w:val="1"/>
      <w:numFmt w:val="decimal"/>
      <w:lvlText w:val="%4."/>
      <w:lvlJc w:val="left"/>
      <w:pPr>
        <w:ind w:left="1020" w:hanging="360"/>
      </w:pPr>
    </w:lvl>
    <w:lvl w:ilvl="4" w:tplc="9BAE0DE4">
      <w:start w:val="1"/>
      <w:numFmt w:val="decimal"/>
      <w:lvlText w:val="%5."/>
      <w:lvlJc w:val="left"/>
      <w:pPr>
        <w:ind w:left="1020" w:hanging="360"/>
      </w:pPr>
    </w:lvl>
    <w:lvl w:ilvl="5" w:tplc="479CAD02">
      <w:start w:val="1"/>
      <w:numFmt w:val="decimal"/>
      <w:lvlText w:val="%6."/>
      <w:lvlJc w:val="left"/>
      <w:pPr>
        <w:ind w:left="1020" w:hanging="360"/>
      </w:pPr>
    </w:lvl>
    <w:lvl w:ilvl="6" w:tplc="9756592A">
      <w:start w:val="1"/>
      <w:numFmt w:val="decimal"/>
      <w:lvlText w:val="%7."/>
      <w:lvlJc w:val="left"/>
      <w:pPr>
        <w:ind w:left="1020" w:hanging="360"/>
      </w:pPr>
    </w:lvl>
    <w:lvl w:ilvl="7" w:tplc="1E5CF0EA">
      <w:start w:val="1"/>
      <w:numFmt w:val="decimal"/>
      <w:lvlText w:val="%8."/>
      <w:lvlJc w:val="left"/>
      <w:pPr>
        <w:ind w:left="1020" w:hanging="360"/>
      </w:pPr>
    </w:lvl>
    <w:lvl w:ilvl="8" w:tplc="03C884D4">
      <w:start w:val="1"/>
      <w:numFmt w:val="decimal"/>
      <w:lvlText w:val="%9."/>
      <w:lvlJc w:val="left"/>
      <w:pPr>
        <w:ind w:left="1020" w:hanging="360"/>
      </w:pPr>
    </w:lvl>
  </w:abstractNum>
  <w:abstractNum w:abstractNumId="13" w15:restartNumberingAfterBreak="0">
    <w:nsid w:val="1FE55DB2"/>
    <w:multiLevelType w:val="hybridMultilevel"/>
    <w:tmpl w:val="90021CC8"/>
    <w:lvl w:ilvl="0" w:tplc="91562558">
      <w:start w:val="1"/>
      <w:numFmt w:val="decimal"/>
      <w:lvlText w:val="%1."/>
      <w:lvlJc w:val="left"/>
      <w:pPr>
        <w:ind w:left="1020" w:hanging="360"/>
      </w:pPr>
    </w:lvl>
    <w:lvl w:ilvl="1" w:tplc="1DD60DAC">
      <w:start w:val="1"/>
      <w:numFmt w:val="decimal"/>
      <w:lvlText w:val="%2."/>
      <w:lvlJc w:val="left"/>
      <w:pPr>
        <w:ind w:left="1020" w:hanging="360"/>
      </w:pPr>
    </w:lvl>
    <w:lvl w:ilvl="2" w:tplc="C34E2372">
      <w:start w:val="1"/>
      <w:numFmt w:val="decimal"/>
      <w:lvlText w:val="%3."/>
      <w:lvlJc w:val="left"/>
      <w:pPr>
        <w:ind w:left="1020" w:hanging="360"/>
      </w:pPr>
    </w:lvl>
    <w:lvl w:ilvl="3" w:tplc="136C6254">
      <w:start w:val="1"/>
      <w:numFmt w:val="decimal"/>
      <w:lvlText w:val="%4."/>
      <w:lvlJc w:val="left"/>
      <w:pPr>
        <w:ind w:left="1020" w:hanging="360"/>
      </w:pPr>
    </w:lvl>
    <w:lvl w:ilvl="4" w:tplc="91E6AE12">
      <w:start w:val="1"/>
      <w:numFmt w:val="decimal"/>
      <w:lvlText w:val="%5."/>
      <w:lvlJc w:val="left"/>
      <w:pPr>
        <w:ind w:left="1020" w:hanging="360"/>
      </w:pPr>
    </w:lvl>
    <w:lvl w:ilvl="5" w:tplc="693A7458">
      <w:start w:val="1"/>
      <w:numFmt w:val="decimal"/>
      <w:lvlText w:val="%6."/>
      <w:lvlJc w:val="left"/>
      <w:pPr>
        <w:ind w:left="1020" w:hanging="360"/>
      </w:pPr>
    </w:lvl>
    <w:lvl w:ilvl="6" w:tplc="E584B600">
      <w:start w:val="1"/>
      <w:numFmt w:val="decimal"/>
      <w:lvlText w:val="%7."/>
      <w:lvlJc w:val="left"/>
      <w:pPr>
        <w:ind w:left="1020" w:hanging="360"/>
      </w:pPr>
    </w:lvl>
    <w:lvl w:ilvl="7" w:tplc="CB284F1E">
      <w:start w:val="1"/>
      <w:numFmt w:val="decimal"/>
      <w:lvlText w:val="%8."/>
      <w:lvlJc w:val="left"/>
      <w:pPr>
        <w:ind w:left="1020" w:hanging="360"/>
      </w:pPr>
    </w:lvl>
    <w:lvl w:ilvl="8" w:tplc="96F6F35E">
      <w:start w:val="1"/>
      <w:numFmt w:val="decimal"/>
      <w:lvlText w:val="%9."/>
      <w:lvlJc w:val="left"/>
      <w:pPr>
        <w:ind w:left="1020" w:hanging="360"/>
      </w:pPr>
    </w:lvl>
  </w:abstractNum>
  <w:abstractNum w:abstractNumId="14" w15:restartNumberingAfterBreak="0">
    <w:nsid w:val="25BAD751"/>
    <w:multiLevelType w:val="hybridMultilevel"/>
    <w:tmpl w:val="FFFFFFFF"/>
    <w:lvl w:ilvl="0" w:tplc="F5461C78">
      <w:start w:val="1"/>
      <w:numFmt w:val="decimal"/>
      <w:lvlText w:val="%1."/>
      <w:lvlJc w:val="left"/>
      <w:pPr>
        <w:ind w:left="720" w:hanging="360"/>
      </w:pPr>
    </w:lvl>
    <w:lvl w:ilvl="1" w:tplc="8E526C64">
      <w:start w:val="1"/>
      <w:numFmt w:val="lowerLetter"/>
      <w:lvlText w:val="%2."/>
      <w:lvlJc w:val="left"/>
      <w:pPr>
        <w:ind w:left="1440" w:hanging="360"/>
      </w:pPr>
    </w:lvl>
    <w:lvl w:ilvl="2" w:tplc="AD7E585E">
      <w:start w:val="1"/>
      <w:numFmt w:val="lowerRoman"/>
      <w:lvlText w:val="%3."/>
      <w:lvlJc w:val="right"/>
      <w:pPr>
        <w:ind w:left="2160" w:hanging="180"/>
      </w:pPr>
    </w:lvl>
    <w:lvl w:ilvl="3" w:tplc="6E7CE9A2">
      <w:start w:val="1"/>
      <w:numFmt w:val="decimal"/>
      <w:lvlText w:val="%4."/>
      <w:lvlJc w:val="left"/>
      <w:pPr>
        <w:ind w:left="2880" w:hanging="360"/>
      </w:pPr>
    </w:lvl>
    <w:lvl w:ilvl="4" w:tplc="7FA69B02">
      <w:start w:val="1"/>
      <w:numFmt w:val="lowerLetter"/>
      <w:lvlText w:val="%5."/>
      <w:lvlJc w:val="left"/>
      <w:pPr>
        <w:ind w:left="3600" w:hanging="360"/>
      </w:pPr>
    </w:lvl>
    <w:lvl w:ilvl="5" w:tplc="492C7EB4">
      <w:start w:val="1"/>
      <w:numFmt w:val="lowerRoman"/>
      <w:lvlText w:val="%6."/>
      <w:lvlJc w:val="right"/>
      <w:pPr>
        <w:ind w:left="4320" w:hanging="180"/>
      </w:pPr>
    </w:lvl>
    <w:lvl w:ilvl="6" w:tplc="64E40B3C">
      <w:start w:val="1"/>
      <w:numFmt w:val="decimal"/>
      <w:lvlText w:val="%7."/>
      <w:lvlJc w:val="left"/>
      <w:pPr>
        <w:ind w:left="5040" w:hanging="360"/>
      </w:pPr>
    </w:lvl>
    <w:lvl w:ilvl="7" w:tplc="5F547948">
      <w:start w:val="1"/>
      <w:numFmt w:val="lowerLetter"/>
      <w:lvlText w:val="%8."/>
      <w:lvlJc w:val="left"/>
      <w:pPr>
        <w:ind w:left="5760" w:hanging="360"/>
      </w:pPr>
    </w:lvl>
    <w:lvl w:ilvl="8" w:tplc="209EB5B2">
      <w:start w:val="1"/>
      <w:numFmt w:val="lowerRoman"/>
      <w:lvlText w:val="%9."/>
      <w:lvlJc w:val="right"/>
      <w:pPr>
        <w:ind w:left="6480" w:hanging="180"/>
      </w:pPr>
    </w:lvl>
  </w:abstractNum>
  <w:abstractNum w:abstractNumId="15" w15:restartNumberingAfterBreak="0">
    <w:nsid w:val="299441E3"/>
    <w:multiLevelType w:val="hybridMultilevel"/>
    <w:tmpl w:val="E3A6F1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A750F01"/>
    <w:multiLevelType w:val="hybridMultilevel"/>
    <w:tmpl w:val="87BA8A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B45226D"/>
    <w:multiLevelType w:val="hybridMultilevel"/>
    <w:tmpl w:val="B92A0694"/>
    <w:lvl w:ilvl="0" w:tplc="DFA2DD6E">
      <w:start w:val="1"/>
      <w:numFmt w:val="decimal"/>
      <w:lvlText w:val="%1."/>
      <w:lvlJc w:val="left"/>
      <w:pPr>
        <w:ind w:left="1020" w:hanging="360"/>
      </w:pPr>
    </w:lvl>
    <w:lvl w:ilvl="1" w:tplc="4424A768">
      <w:start w:val="1"/>
      <w:numFmt w:val="decimal"/>
      <w:lvlText w:val="%2."/>
      <w:lvlJc w:val="left"/>
      <w:pPr>
        <w:ind w:left="1020" w:hanging="360"/>
      </w:pPr>
    </w:lvl>
    <w:lvl w:ilvl="2" w:tplc="BD527E48">
      <w:start w:val="1"/>
      <w:numFmt w:val="decimal"/>
      <w:lvlText w:val="%3."/>
      <w:lvlJc w:val="left"/>
      <w:pPr>
        <w:ind w:left="1020" w:hanging="360"/>
      </w:pPr>
    </w:lvl>
    <w:lvl w:ilvl="3" w:tplc="38CE8C2C">
      <w:start w:val="1"/>
      <w:numFmt w:val="decimal"/>
      <w:lvlText w:val="%4."/>
      <w:lvlJc w:val="left"/>
      <w:pPr>
        <w:ind w:left="1020" w:hanging="360"/>
      </w:pPr>
    </w:lvl>
    <w:lvl w:ilvl="4" w:tplc="1C88FDBC">
      <w:start w:val="1"/>
      <w:numFmt w:val="decimal"/>
      <w:lvlText w:val="%5."/>
      <w:lvlJc w:val="left"/>
      <w:pPr>
        <w:ind w:left="1020" w:hanging="360"/>
      </w:pPr>
    </w:lvl>
    <w:lvl w:ilvl="5" w:tplc="9DAE98CA">
      <w:start w:val="1"/>
      <w:numFmt w:val="decimal"/>
      <w:lvlText w:val="%6."/>
      <w:lvlJc w:val="left"/>
      <w:pPr>
        <w:ind w:left="1020" w:hanging="360"/>
      </w:pPr>
    </w:lvl>
    <w:lvl w:ilvl="6" w:tplc="244830C4">
      <w:start w:val="1"/>
      <w:numFmt w:val="decimal"/>
      <w:lvlText w:val="%7."/>
      <w:lvlJc w:val="left"/>
      <w:pPr>
        <w:ind w:left="1020" w:hanging="360"/>
      </w:pPr>
    </w:lvl>
    <w:lvl w:ilvl="7" w:tplc="5F884E62">
      <w:start w:val="1"/>
      <w:numFmt w:val="decimal"/>
      <w:lvlText w:val="%8."/>
      <w:lvlJc w:val="left"/>
      <w:pPr>
        <w:ind w:left="1020" w:hanging="360"/>
      </w:pPr>
    </w:lvl>
    <w:lvl w:ilvl="8" w:tplc="79260C9A">
      <w:start w:val="1"/>
      <w:numFmt w:val="decimal"/>
      <w:lvlText w:val="%9."/>
      <w:lvlJc w:val="left"/>
      <w:pPr>
        <w:ind w:left="1020" w:hanging="360"/>
      </w:pPr>
    </w:lvl>
  </w:abstractNum>
  <w:abstractNum w:abstractNumId="18" w15:restartNumberingAfterBreak="0">
    <w:nsid w:val="2B6C7FC6"/>
    <w:multiLevelType w:val="hybridMultilevel"/>
    <w:tmpl w:val="4AF4E786"/>
    <w:lvl w:ilvl="0" w:tplc="C5E8ECFA">
      <w:start w:val="1"/>
      <w:numFmt w:val="decimal"/>
      <w:lvlText w:val="%1."/>
      <w:lvlJc w:val="left"/>
      <w:pPr>
        <w:ind w:left="1020" w:hanging="360"/>
      </w:pPr>
    </w:lvl>
    <w:lvl w:ilvl="1" w:tplc="F93E7A8C">
      <w:start w:val="1"/>
      <w:numFmt w:val="decimal"/>
      <w:lvlText w:val="%2."/>
      <w:lvlJc w:val="left"/>
      <w:pPr>
        <w:ind w:left="1020" w:hanging="360"/>
      </w:pPr>
    </w:lvl>
    <w:lvl w:ilvl="2" w:tplc="F12EF84E">
      <w:start w:val="1"/>
      <w:numFmt w:val="decimal"/>
      <w:lvlText w:val="%3."/>
      <w:lvlJc w:val="left"/>
      <w:pPr>
        <w:ind w:left="1020" w:hanging="360"/>
      </w:pPr>
    </w:lvl>
    <w:lvl w:ilvl="3" w:tplc="94CE4656">
      <w:start w:val="1"/>
      <w:numFmt w:val="decimal"/>
      <w:lvlText w:val="%4."/>
      <w:lvlJc w:val="left"/>
      <w:pPr>
        <w:ind w:left="1020" w:hanging="360"/>
      </w:pPr>
    </w:lvl>
    <w:lvl w:ilvl="4" w:tplc="CDF012A4">
      <w:start w:val="1"/>
      <w:numFmt w:val="decimal"/>
      <w:lvlText w:val="%5."/>
      <w:lvlJc w:val="left"/>
      <w:pPr>
        <w:ind w:left="1020" w:hanging="360"/>
      </w:pPr>
    </w:lvl>
    <w:lvl w:ilvl="5" w:tplc="638A0F2C">
      <w:start w:val="1"/>
      <w:numFmt w:val="decimal"/>
      <w:lvlText w:val="%6."/>
      <w:lvlJc w:val="left"/>
      <w:pPr>
        <w:ind w:left="1020" w:hanging="360"/>
      </w:pPr>
    </w:lvl>
    <w:lvl w:ilvl="6" w:tplc="6B32F30E">
      <w:start w:val="1"/>
      <w:numFmt w:val="decimal"/>
      <w:lvlText w:val="%7."/>
      <w:lvlJc w:val="left"/>
      <w:pPr>
        <w:ind w:left="1020" w:hanging="360"/>
      </w:pPr>
    </w:lvl>
    <w:lvl w:ilvl="7" w:tplc="E076A5E4">
      <w:start w:val="1"/>
      <w:numFmt w:val="decimal"/>
      <w:lvlText w:val="%8."/>
      <w:lvlJc w:val="left"/>
      <w:pPr>
        <w:ind w:left="1020" w:hanging="360"/>
      </w:pPr>
    </w:lvl>
    <w:lvl w:ilvl="8" w:tplc="8D00C270">
      <w:start w:val="1"/>
      <w:numFmt w:val="decimal"/>
      <w:lvlText w:val="%9."/>
      <w:lvlJc w:val="left"/>
      <w:pPr>
        <w:ind w:left="1020" w:hanging="360"/>
      </w:pPr>
    </w:lvl>
  </w:abstractNum>
  <w:abstractNum w:abstractNumId="19" w15:restartNumberingAfterBreak="0">
    <w:nsid w:val="31F954EE"/>
    <w:multiLevelType w:val="hybridMultilevel"/>
    <w:tmpl w:val="E9EEEB0E"/>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2B21027"/>
    <w:multiLevelType w:val="hybridMultilevel"/>
    <w:tmpl w:val="CC1AA0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2EB25AA"/>
    <w:multiLevelType w:val="hybridMultilevel"/>
    <w:tmpl w:val="40FA0814"/>
    <w:lvl w:ilvl="0" w:tplc="236C4F7E">
      <w:start w:val="1"/>
      <w:numFmt w:val="decimal"/>
      <w:lvlText w:val="%1."/>
      <w:lvlJc w:val="left"/>
      <w:pPr>
        <w:ind w:left="720" w:hanging="360"/>
      </w:pPr>
    </w:lvl>
    <w:lvl w:ilvl="1" w:tplc="26387AE8">
      <w:start w:val="1"/>
      <w:numFmt w:val="decimal"/>
      <w:lvlText w:val="%2."/>
      <w:lvlJc w:val="left"/>
      <w:pPr>
        <w:ind w:left="720" w:hanging="360"/>
      </w:pPr>
    </w:lvl>
    <w:lvl w:ilvl="2" w:tplc="97F86BF2">
      <w:start w:val="1"/>
      <w:numFmt w:val="decimal"/>
      <w:lvlText w:val="%3."/>
      <w:lvlJc w:val="left"/>
      <w:pPr>
        <w:ind w:left="720" w:hanging="360"/>
      </w:pPr>
    </w:lvl>
    <w:lvl w:ilvl="3" w:tplc="C360BD6A">
      <w:start w:val="1"/>
      <w:numFmt w:val="decimal"/>
      <w:lvlText w:val="%4."/>
      <w:lvlJc w:val="left"/>
      <w:pPr>
        <w:ind w:left="720" w:hanging="360"/>
      </w:pPr>
    </w:lvl>
    <w:lvl w:ilvl="4" w:tplc="FEA25696">
      <w:start w:val="1"/>
      <w:numFmt w:val="decimal"/>
      <w:lvlText w:val="%5."/>
      <w:lvlJc w:val="left"/>
      <w:pPr>
        <w:ind w:left="720" w:hanging="360"/>
      </w:pPr>
    </w:lvl>
    <w:lvl w:ilvl="5" w:tplc="34F8629C">
      <w:start w:val="1"/>
      <w:numFmt w:val="decimal"/>
      <w:lvlText w:val="%6."/>
      <w:lvlJc w:val="left"/>
      <w:pPr>
        <w:ind w:left="720" w:hanging="360"/>
      </w:pPr>
    </w:lvl>
    <w:lvl w:ilvl="6" w:tplc="89FAB95E">
      <w:start w:val="1"/>
      <w:numFmt w:val="decimal"/>
      <w:lvlText w:val="%7."/>
      <w:lvlJc w:val="left"/>
      <w:pPr>
        <w:ind w:left="720" w:hanging="360"/>
      </w:pPr>
    </w:lvl>
    <w:lvl w:ilvl="7" w:tplc="E820B8AE">
      <w:start w:val="1"/>
      <w:numFmt w:val="decimal"/>
      <w:lvlText w:val="%8."/>
      <w:lvlJc w:val="left"/>
      <w:pPr>
        <w:ind w:left="720" w:hanging="360"/>
      </w:pPr>
    </w:lvl>
    <w:lvl w:ilvl="8" w:tplc="A48887A6">
      <w:start w:val="1"/>
      <w:numFmt w:val="decimal"/>
      <w:lvlText w:val="%9."/>
      <w:lvlJc w:val="left"/>
      <w:pPr>
        <w:ind w:left="720" w:hanging="360"/>
      </w:pPr>
    </w:lvl>
  </w:abstractNum>
  <w:abstractNum w:abstractNumId="22" w15:restartNumberingAfterBreak="0">
    <w:nsid w:val="37B13316"/>
    <w:multiLevelType w:val="hybridMultilevel"/>
    <w:tmpl w:val="4662915E"/>
    <w:lvl w:ilvl="0" w:tplc="5F8A998A">
      <w:start w:val="1"/>
      <w:numFmt w:val="decimal"/>
      <w:lvlText w:val="%1."/>
      <w:lvlJc w:val="left"/>
      <w:pPr>
        <w:ind w:left="1020" w:hanging="360"/>
      </w:pPr>
    </w:lvl>
    <w:lvl w:ilvl="1" w:tplc="B4A6C49E">
      <w:start w:val="1"/>
      <w:numFmt w:val="decimal"/>
      <w:lvlText w:val="%2."/>
      <w:lvlJc w:val="left"/>
      <w:pPr>
        <w:ind w:left="1020" w:hanging="360"/>
      </w:pPr>
    </w:lvl>
    <w:lvl w:ilvl="2" w:tplc="7750D5F4">
      <w:start w:val="1"/>
      <w:numFmt w:val="decimal"/>
      <w:lvlText w:val="%3."/>
      <w:lvlJc w:val="left"/>
      <w:pPr>
        <w:ind w:left="1020" w:hanging="360"/>
      </w:pPr>
    </w:lvl>
    <w:lvl w:ilvl="3" w:tplc="6E6EF89A">
      <w:start w:val="1"/>
      <w:numFmt w:val="decimal"/>
      <w:lvlText w:val="%4."/>
      <w:lvlJc w:val="left"/>
      <w:pPr>
        <w:ind w:left="1020" w:hanging="360"/>
      </w:pPr>
    </w:lvl>
    <w:lvl w:ilvl="4" w:tplc="AE6E3D20">
      <w:start w:val="1"/>
      <w:numFmt w:val="decimal"/>
      <w:lvlText w:val="%5."/>
      <w:lvlJc w:val="left"/>
      <w:pPr>
        <w:ind w:left="1020" w:hanging="360"/>
      </w:pPr>
    </w:lvl>
    <w:lvl w:ilvl="5" w:tplc="65B2C592">
      <w:start w:val="1"/>
      <w:numFmt w:val="decimal"/>
      <w:lvlText w:val="%6."/>
      <w:lvlJc w:val="left"/>
      <w:pPr>
        <w:ind w:left="1020" w:hanging="360"/>
      </w:pPr>
    </w:lvl>
    <w:lvl w:ilvl="6" w:tplc="0C3CD440">
      <w:start w:val="1"/>
      <w:numFmt w:val="decimal"/>
      <w:lvlText w:val="%7."/>
      <w:lvlJc w:val="left"/>
      <w:pPr>
        <w:ind w:left="1020" w:hanging="360"/>
      </w:pPr>
    </w:lvl>
    <w:lvl w:ilvl="7" w:tplc="1DEE9BF8">
      <w:start w:val="1"/>
      <w:numFmt w:val="decimal"/>
      <w:lvlText w:val="%8."/>
      <w:lvlJc w:val="left"/>
      <w:pPr>
        <w:ind w:left="1020" w:hanging="360"/>
      </w:pPr>
    </w:lvl>
    <w:lvl w:ilvl="8" w:tplc="1A6E3D48">
      <w:start w:val="1"/>
      <w:numFmt w:val="decimal"/>
      <w:lvlText w:val="%9."/>
      <w:lvlJc w:val="left"/>
      <w:pPr>
        <w:ind w:left="1020" w:hanging="360"/>
      </w:pPr>
    </w:lvl>
  </w:abstractNum>
  <w:abstractNum w:abstractNumId="23" w15:restartNumberingAfterBreak="0">
    <w:nsid w:val="40F003B1"/>
    <w:multiLevelType w:val="hybridMultilevel"/>
    <w:tmpl w:val="A5FE7F5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5CB3273"/>
    <w:multiLevelType w:val="hybridMultilevel"/>
    <w:tmpl w:val="1B0885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45FD3085"/>
    <w:multiLevelType w:val="hybridMultilevel"/>
    <w:tmpl w:val="109808B2"/>
    <w:lvl w:ilvl="0" w:tplc="F2E2860E">
      <w:start w:val="1"/>
      <w:numFmt w:val="decimal"/>
      <w:lvlText w:val="%1."/>
      <w:lvlJc w:val="left"/>
      <w:pPr>
        <w:ind w:left="1020" w:hanging="360"/>
      </w:pPr>
    </w:lvl>
    <w:lvl w:ilvl="1" w:tplc="6282B4E2">
      <w:start w:val="1"/>
      <w:numFmt w:val="decimal"/>
      <w:lvlText w:val="%2."/>
      <w:lvlJc w:val="left"/>
      <w:pPr>
        <w:ind w:left="1020" w:hanging="360"/>
      </w:pPr>
    </w:lvl>
    <w:lvl w:ilvl="2" w:tplc="DC509712">
      <w:start w:val="1"/>
      <w:numFmt w:val="decimal"/>
      <w:lvlText w:val="%3."/>
      <w:lvlJc w:val="left"/>
      <w:pPr>
        <w:ind w:left="1020" w:hanging="360"/>
      </w:pPr>
    </w:lvl>
    <w:lvl w:ilvl="3" w:tplc="246A64FA">
      <w:start w:val="1"/>
      <w:numFmt w:val="decimal"/>
      <w:lvlText w:val="%4."/>
      <w:lvlJc w:val="left"/>
      <w:pPr>
        <w:ind w:left="1020" w:hanging="360"/>
      </w:pPr>
    </w:lvl>
    <w:lvl w:ilvl="4" w:tplc="22BE2968">
      <w:start w:val="1"/>
      <w:numFmt w:val="decimal"/>
      <w:lvlText w:val="%5."/>
      <w:lvlJc w:val="left"/>
      <w:pPr>
        <w:ind w:left="1020" w:hanging="360"/>
      </w:pPr>
    </w:lvl>
    <w:lvl w:ilvl="5" w:tplc="EE7830FE">
      <w:start w:val="1"/>
      <w:numFmt w:val="decimal"/>
      <w:lvlText w:val="%6."/>
      <w:lvlJc w:val="left"/>
      <w:pPr>
        <w:ind w:left="1020" w:hanging="360"/>
      </w:pPr>
    </w:lvl>
    <w:lvl w:ilvl="6" w:tplc="03564C60">
      <w:start w:val="1"/>
      <w:numFmt w:val="decimal"/>
      <w:lvlText w:val="%7."/>
      <w:lvlJc w:val="left"/>
      <w:pPr>
        <w:ind w:left="1020" w:hanging="360"/>
      </w:pPr>
    </w:lvl>
    <w:lvl w:ilvl="7" w:tplc="91365DD0">
      <w:start w:val="1"/>
      <w:numFmt w:val="decimal"/>
      <w:lvlText w:val="%8."/>
      <w:lvlJc w:val="left"/>
      <w:pPr>
        <w:ind w:left="1020" w:hanging="360"/>
      </w:pPr>
    </w:lvl>
    <w:lvl w:ilvl="8" w:tplc="80CCA07A">
      <w:start w:val="1"/>
      <w:numFmt w:val="decimal"/>
      <w:lvlText w:val="%9."/>
      <w:lvlJc w:val="left"/>
      <w:pPr>
        <w:ind w:left="1020" w:hanging="360"/>
      </w:pPr>
    </w:lvl>
  </w:abstractNum>
  <w:abstractNum w:abstractNumId="26" w15:restartNumberingAfterBreak="0">
    <w:nsid w:val="46905048"/>
    <w:multiLevelType w:val="hybridMultilevel"/>
    <w:tmpl w:val="426C88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9057C1A"/>
    <w:multiLevelType w:val="hybridMultilevel"/>
    <w:tmpl w:val="68E697E2"/>
    <w:lvl w:ilvl="0" w:tplc="1E3C5114">
      <w:start w:val="1"/>
      <w:numFmt w:val="decimal"/>
      <w:lvlText w:val="%1."/>
      <w:lvlJc w:val="left"/>
      <w:pPr>
        <w:ind w:left="1020" w:hanging="360"/>
      </w:pPr>
    </w:lvl>
    <w:lvl w:ilvl="1" w:tplc="02A0FCD4">
      <w:start w:val="1"/>
      <w:numFmt w:val="decimal"/>
      <w:lvlText w:val="%2."/>
      <w:lvlJc w:val="left"/>
      <w:pPr>
        <w:ind w:left="1020" w:hanging="360"/>
      </w:pPr>
    </w:lvl>
    <w:lvl w:ilvl="2" w:tplc="ED3A4AA8">
      <w:start w:val="1"/>
      <w:numFmt w:val="decimal"/>
      <w:lvlText w:val="%3."/>
      <w:lvlJc w:val="left"/>
      <w:pPr>
        <w:ind w:left="1020" w:hanging="360"/>
      </w:pPr>
    </w:lvl>
    <w:lvl w:ilvl="3" w:tplc="9968A066">
      <w:start w:val="1"/>
      <w:numFmt w:val="decimal"/>
      <w:lvlText w:val="%4."/>
      <w:lvlJc w:val="left"/>
      <w:pPr>
        <w:ind w:left="1020" w:hanging="360"/>
      </w:pPr>
    </w:lvl>
    <w:lvl w:ilvl="4" w:tplc="F544C488">
      <w:start w:val="1"/>
      <w:numFmt w:val="decimal"/>
      <w:lvlText w:val="%5."/>
      <w:lvlJc w:val="left"/>
      <w:pPr>
        <w:ind w:left="1020" w:hanging="360"/>
      </w:pPr>
    </w:lvl>
    <w:lvl w:ilvl="5" w:tplc="46C099FE">
      <w:start w:val="1"/>
      <w:numFmt w:val="decimal"/>
      <w:lvlText w:val="%6."/>
      <w:lvlJc w:val="left"/>
      <w:pPr>
        <w:ind w:left="1020" w:hanging="360"/>
      </w:pPr>
    </w:lvl>
    <w:lvl w:ilvl="6" w:tplc="4AE6C134">
      <w:start w:val="1"/>
      <w:numFmt w:val="decimal"/>
      <w:lvlText w:val="%7."/>
      <w:lvlJc w:val="left"/>
      <w:pPr>
        <w:ind w:left="1020" w:hanging="360"/>
      </w:pPr>
    </w:lvl>
    <w:lvl w:ilvl="7" w:tplc="775EE474">
      <w:start w:val="1"/>
      <w:numFmt w:val="decimal"/>
      <w:lvlText w:val="%8."/>
      <w:lvlJc w:val="left"/>
      <w:pPr>
        <w:ind w:left="1020" w:hanging="360"/>
      </w:pPr>
    </w:lvl>
    <w:lvl w:ilvl="8" w:tplc="C2E8CDB0">
      <w:start w:val="1"/>
      <w:numFmt w:val="decimal"/>
      <w:lvlText w:val="%9."/>
      <w:lvlJc w:val="left"/>
      <w:pPr>
        <w:ind w:left="1020" w:hanging="360"/>
      </w:pPr>
    </w:lvl>
  </w:abstractNum>
  <w:abstractNum w:abstractNumId="28" w15:restartNumberingAfterBreak="0">
    <w:nsid w:val="5010388B"/>
    <w:multiLevelType w:val="hybridMultilevel"/>
    <w:tmpl w:val="E9A89176"/>
    <w:lvl w:ilvl="0" w:tplc="CE4009E4">
      <w:start w:val="1"/>
      <w:numFmt w:val="decimal"/>
      <w:lvlText w:val="%1."/>
      <w:lvlJc w:val="left"/>
      <w:pPr>
        <w:ind w:left="1020" w:hanging="360"/>
      </w:pPr>
    </w:lvl>
    <w:lvl w:ilvl="1" w:tplc="F4A86932">
      <w:start w:val="1"/>
      <w:numFmt w:val="decimal"/>
      <w:lvlText w:val="%2."/>
      <w:lvlJc w:val="left"/>
      <w:pPr>
        <w:ind w:left="1020" w:hanging="360"/>
      </w:pPr>
    </w:lvl>
    <w:lvl w:ilvl="2" w:tplc="16CCE5B2">
      <w:start w:val="1"/>
      <w:numFmt w:val="decimal"/>
      <w:lvlText w:val="%3."/>
      <w:lvlJc w:val="left"/>
      <w:pPr>
        <w:ind w:left="1020" w:hanging="360"/>
      </w:pPr>
    </w:lvl>
    <w:lvl w:ilvl="3" w:tplc="5DD4024E">
      <w:start w:val="1"/>
      <w:numFmt w:val="decimal"/>
      <w:lvlText w:val="%4."/>
      <w:lvlJc w:val="left"/>
      <w:pPr>
        <w:ind w:left="1020" w:hanging="360"/>
      </w:pPr>
    </w:lvl>
    <w:lvl w:ilvl="4" w:tplc="C8FCF080">
      <w:start w:val="1"/>
      <w:numFmt w:val="decimal"/>
      <w:lvlText w:val="%5."/>
      <w:lvlJc w:val="left"/>
      <w:pPr>
        <w:ind w:left="1020" w:hanging="360"/>
      </w:pPr>
    </w:lvl>
    <w:lvl w:ilvl="5" w:tplc="1E8EB6CE">
      <w:start w:val="1"/>
      <w:numFmt w:val="decimal"/>
      <w:lvlText w:val="%6."/>
      <w:lvlJc w:val="left"/>
      <w:pPr>
        <w:ind w:left="1020" w:hanging="360"/>
      </w:pPr>
    </w:lvl>
    <w:lvl w:ilvl="6" w:tplc="AF107848">
      <w:start w:val="1"/>
      <w:numFmt w:val="decimal"/>
      <w:lvlText w:val="%7."/>
      <w:lvlJc w:val="left"/>
      <w:pPr>
        <w:ind w:left="1020" w:hanging="360"/>
      </w:pPr>
    </w:lvl>
    <w:lvl w:ilvl="7" w:tplc="E2F46F78">
      <w:start w:val="1"/>
      <w:numFmt w:val="decimal"/>
      <w:lvlText w:val="%8."/>
      <w:lvlJc w:val="left"/>
      <w:pPr>
        <w:ind w:left="1020" w:hanging="360"/>
      </w:pPr>
    </w:lvl>
    <w:lvl w:ilvl="8" w:tplc="ADCE391C">
      <w:start w:val="1"/>
      <w:numFmt w:val="decimal"/>
      <w:lvlText w:val="%9."/>
      <w:lvlJc w:val="left"/>
      <w:pPr>
        <w:ind w:left="1020" w:hanging="360"/>
      </w:pPr>
    </w:lvl>
  </w:abstractNum>
  <w:abstractNum w:abstractNumId="29" w15:restartNumberingAfterBreak="0">
    <w:nsid w:val="54FF0110"/>
    <w:multiLevelType w:val="hybridMultilevel"/>
    <w:tmpl w:val="DBA873F8"/>
    <w:lvl w:ilvl="0" w:tplc="03DA1D4E">
      <w:start w:val="1"/>
      <w:numFmt w:val="bullet"/>
      <w:pStyle w:val="Instructionaltext-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cs="Wingdings" w:hint="default"/>
      </w:rPr>
    </w:lvl>
    <w:lvl w:ilvl="3" w:tplc="0C090001" w:tentative="1">
      <w:start w:val="1"/>
      <w:numFmt w:val="bullet"/>
      <w:lvlText w:val=""/>
      <w:lvlJc w:val="left"/>
      <w:pPr>
        <w:ind w:left="3237" w:hanging="360"/>
      </w:pPr>
      <w:rPr>
        <w:rFonts w:ascii="Symbol" w:hAnsi="Symbol" w:cs="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cs="Wingdings" w:hint="default"/>
      </w:rPr>
    </w:lvl>
    <w:lvl w:ilvl="6" w:tplc="0C090001" w:tentative="1">
      <w:start w:val="1"/>
      <w:numFmt w:val="bullet"/>
      <w:lvlText w:val=""/>
      <w:lvlJc w:val="left"/>
      <w:pPr>
        <w:ind w:left="5397" w:hanging="360"/>
      </w:pPr>
      <w:rPr>
        <w:rFonts w:ascii="Symbol" w:hAnsi="Symbol" w:cs="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cs="Wingdings" w:hint="default"/>
      </w:rPr>
    </w:lvl>
  </w:abstractNum>
  <w:abstractNum w:abstractNumId="30" w15:restartNumberingAfterBreak="0">
    <w:nsid w:val="57FF2192"/>
    <w:multiLevelType w:val="hybridMultilevel"/>
    <w:tmpl w:val="13EE0728"/>
    <w:lvl w:ilvl="0" w:tplc="0CEC17E8">
      <w:start w:val="1"/>
      <w:numFmt w:val="bullet"/>
      <w:lvlText w:val=""/>
      <w:lvlJc w:val="left"/>
      <w:pPr>
        <w:ind w:left="720" w:hanging="360"/>
      </w:pPr>
      <w:rPr>
        <w:rFonts w:ascii="Symbol" w:hAnsi="Symbol"/>
      </w:rPr>
    </w:lvl>
    <w:lvl w:ilvl="1" w:tplc="6D88523C">
      <w:start w:val="1"/>
      <w:numFmt w:val="bullet"/>
      <w:lvlText w:val=""/>
      <w:lvlJc w:val="left"/>
      <w:pPr>
        <w:ind w:left="720" w:hanging="360"/>
      </w:pPr>
      <w:rPr>
        <w:rFonts w:ascii="Symbol" w:hAnsi="Symbol"/>
      </w:rPr>
    </w:lvl>
    <w:lvl w:ilvl="2" w:tplc="1EB43C16">
      <w:start w:val="1"/>
      <w:numFmt w:val="bullet"/>
      <w:lvlText w:val=""/>
      <w:lvlJc w:val="left"/>
      <w:pPr>
        <w:ind w:left="720" w:hanging="360"/>
      </w:pPr>
      <w:rPr>
        <w:rFonts w:ascii="Symbol" w:hAnsi="Symbol"/>
      </w:rPr>
    </w:lvl>
    <w:lvl w:ilvl="3" w:tplc="8122557A">
      <w:start w:val="1"/>
      <w:numFmt w:val="bullet"/>
      <w:lvlText w:val=""/>
      <w:lvlJc w:val="left"/>
      <w:pPr>
        <w:ind w:left="720" w:hanging="360"/>
      </w:pPr>
      <w:rPr>
        <w:rFonts w:ascii="Symbol" w:hAnsi="Symbol"/>
      </w:rPr>
    </w:lvl>
    <w:lvl w:ilvl="4" w:tplc="A1C80AFA">
      <w:start w:val="1"/>
      <w:numFmt w:val="bullet"/>
      <w:lvlText w:val=""/>
      <w:lvlJc w:val="left"/>
      <w:pPr>
        <w:ind w:left="720" w:hanging="360"/>
      </w:pPr>
      <w:rPr>
        <w:rFonts w:ascii="Symbol" w:hAnsi="Symbol"/>
      </w:rPr>
    </w:lvl>
    <w:lvl w:ilvl="5" w:tplc="87D0B1DE">
      <w:start w:val="1"/>
      <w:numFmt w:val="bullet"/>
      <w:lvlText w:val=""/>
      <w:lvlJc w:val="left"/>
      <w:pPr>
        <w:ind w:left="720" w:hanging="360"/>
      </w:pPr>
      <w:rPr>
        <w:rFonts w:ascii="Symbol" w:hAnsi="Symbol"/>
      </w:rPr>
    </w:lvl>
    <w:lvl w:ilvl="6" w:tplc="132CF26C">
      <w:start w:val="1"/>
      <w:numFmt w:val="bullet"/>
      <w:lvlText w:val=""/>
      <w:lvlJc w:val="left"/>
      <w:pPr>
        <w:ind w:left="720" w:hanging="360"/>
      </w:pPr>
      <w:rPr>
        <w:rFonts w:ascii="Symbol" w:hAnsi="Symbol"/>
      </w:rPr>
    </w:lvl>
    <w:lvl w:ilvl="7" w:tplc="DD325422">
      <w:start w:val="1"/>
      <w:numFmt w:val="bullet"/>
      <w:lvlText w:val=""/>
      <w:lvlJc w:val="left"/>
      <w:pPr>
        <w:ind w:left="720" w:hanging="360"/>
      </w:pPr>
      <w:rPr>
        <w:rFonts w:ascii="Symbol" w:hAnsi="Symbol"/>
      </w:rPr>
    </w:lvl>
    <w:lvl w:ilvl="8" w:tplc="2B8CE470">
      <w:start w:val="1"/>
      <w:numFmt w:val="bullet"/>
      <w:lvlText w:val=""/>
      <w:lvlJc w:val="left"/>
      <w:pPr>
        <w:ind w:left="720" w:hanging="360"/>
      </w:pPr>
      <w:rPr>
        <w:rFonts w:ascii="Symbol" w:hAnsi="Symbol"/>
      </w:rPr>
    </w:lvl>
  </w:abstractNum>
  <w:abstractNum w:abstractNumId="31" w15:restartNumberingAfterBreak="0">
    <w:nsid w:val="5E441485"/>
    <w:multiLevelType w:val="hybridMultilevel"/>
    <w:tmpl w:val="63286832"/>
    <w:lvl w:ilvl="0" w:tplc="0C09000F">
      <w:start w:val="1"/>
      <w:numFmt w:val="decimal"/>
      <w:lvlText w:val="%1."/>
      <w:lvlJc w:val="left"/>
      <w:pPr>
        <w:ind w:left="502" w:hanging="360"/>
      </w:p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32" w15:restartNumberingAfterBreak="0">
    <w:nsid w:val="61717BAC"/>
    <w:multiLevelType w:val="hybridMultilevel"/>
    <w:tmpl w:val="7326EDEC"/>
    <w:lvl w:ilvl="0" w:tplc="FAA04DC4">
      <w:start w:val="1"/>
      <w:numFmt w:val="upperRoman"/>
      <w:lvlText w:val="%1."/>
      <w:lvlJc w:val="right"/>
      <w:pPr>
        <w:ind w:left="720" w:hanging="360"/>
      </w:pPr>
    </w:lvl>
    <w:lvl w:ilvl="1" w:tplc="CBF62520">
      <w:start w:val="1"/>
      <w:numFmt w:val="upperRoman"/>
      <w:lvlText w:val="%2."/>
      <w:lvlJc w:val="right"/>
      <w:pPr>
        <w:ind w:left="720" w:hanging="360"/>
      </w:pPr>
    </w:lvl>
    <w:lvl w:ilvl="2" w:tplc="81F29960">
      <w:start w:val="1"/>
      <w:numFmt w:val="upperRoman"/>
      <w:lvlText w:val="%3."/>
      <w:lvlJc w:val="right"/>
      <w:pPr>
        <w:ind w:left="720" w:hanging="360"/>
      </w:pPr>
    </w:lvl>
    <w:lvl w:ilvl="3" w:tplc="5E64BBBC">
      <w:start w:val="1"/>
      <w:numFmt w:val="upperRoman"/>
      <w:lvlText w:val="%4."/>
      <w:lvlJc w:val="right"/>
      <w:pPr>
        <w:ind w:left="720" w:hanging="360"/>
      </w:pPr>
    </w:lvl>
    <w:lvl w:ilvl="4" w:tplc="955C7392">
      <w:start w:val="1"/>
      <w:numFmt w:val="upperRoman"/>
      <w:lvlText w:val="%5."/>
      <w:lvlJc w:val="right"/>
      <w:pPr>
        <w:ind w:left="720" w:hanging="360"/>
      </w:pPr>
    </w:lvl>
    <w:lvl w:ilvl="5" w:tplc="0936A132">
      <w:start w:val="1"/>
      <w:numFmt w:val="upperRoman"/>
      <w:lvlText w:val="%6."/>
      <w:lvlJc w:val="right"/>
      <w:pPr>
        <w:ind w:left="720" w:hanging="360"/>
      </w:pPr>
    </w:lvl>
    <w:lvl w:ilvl="6" w:tplc="7464799A">
      <w:start w:val="1"/>
      <w:numFmt w:val="upperRoman"/>
      <w:lvlText w:val="%7."/>
      <w:lvlJc w:val="right"/>
      <w:pPr>
        <w:ind w:left="720" w:hanging="360"/>
      </w:pPr>
    </w:lvl>
    <w:lvl w:ilvl="7" w:tplc="7DF0EDE6">
      <w:start w:val="1"/>
      <w:numFmt w:val="upperRoman"/>
      <w:lvlText w:val="%8."/>
      <w:lvlJc w:val="right"/>
      <w:pPr>
        <w:ind w:left="720" w:hanging="360"/>
      </w:pPr>
    </w:lvl>
    <w:lvl w:ilvl="8" w:tplc="56DA7A04">
      <w:start w:val="1"/>
      <w:numFmt w:val="upperRoman"/>
      <w:lvlText w:val="%9."/>
      <w:lvlJc w:val="right"/>
      <w:pPr>
        <w:ind w:left="720" w:hanging="360"/>
      </w:pPr>
    </w:lvl>
  </w:abstractNum>
  <w:abstractNum w:abstractNumId="33" w15:restartNumberingAfterBreak="0">
    <w:nsid w:val="62CC0031"/>
    <w:multiLevelType w:val="hybridMultilevel"/>
    <w:tmpl w:val="F95AB8B8"/>
    <w:lvl w:ilvl="0" w:tplc="087A702E">
      <w:start w:val="1"/>
      <w:numFmt w:val="decimal"/>
      <w:lvlText w:val="%1."/>
      <w:lvlJc w:val="left"/>
      <w:pPr>
        <w:ind w:left="1020" w:hanging="360"/>
      </w:pPr>
    </w:lvl>
    <w:lvl w:ilvl="1" w:tplc="17CAE8BE">
      <w:start w:val="1"/>
      <w:numFmt w:val="decimal"/>
      <w:lvlText w:val="%2."/>
      <w:lvlJc w:val="left"/>
      <w:pPr>
        <w:ind w:left="1020" w:hanging="360"/>
      </w:pPr>
    </w:lvl>
    <w:lvl w:ilvl="2" w:tplc="54BC1E7A">
      <w:start w:val="1"/>
      <w:numFmt w:val="decimal"/>
      <w:lvlText w:val="%3."/>
      <w:lvlJc w:val="left"/>
      <w:pPr>
        <w:ind w:left="1020" w:hanging="360"/>
      </w:pPr>
    </w:lvl>
    <w:lvl w:ilvl="3" w:tplc="88EA034E">
      <w:start w:val="1"/>
      <w:numFmt w:val="decimal"/>
      <w:lvlText w:val="%4."/>
      <w:lvlJc w:val="left"/>
      <w:pPr>
        <w:ind w:left="1020" w:hanging="360"/>
      </w:pPr>
    </w:lvl>
    <w:lvl w:ilvl="4" w:tplc="34A62614">
      <w:start w:val="1"/>
      <w:numFmt w:val="decimal"/>
      <w:lvlText w:val="%5."/>
      <w:lvlJc w:val="left"/>
      <w:pPr>
        <w:ind w:left="1020" w:hanging="360"/>
      </w:pPr>
    </w:lvl>
    <w:lvl w:ilvl="5" w:tplc="48240050">
      <w:start w:val="1"/>
      <w:numFmt w:val="decimal"/>
      <w:lvlText w:val="%6."/>
      <w:lvlJc w:val="left"/>
      <w:pPr>
        <w:ind w:left="1020" w:hanging="360"/>
      </w:pPr>
    </w:lvl>
    <w:lvl w:ilvl="6" w:tplc="4572B0F4">
      <w:start w:val="1"/>
      <w:numFmt w:val="decimal"/>
      <w:lvlText w:val="%7."/>
      <w:lvlJc w:val="left"/>
      <w:pPr>
        <w:ind w:left="1020" w:hanging="360"/>
      </w:pPr>
    </w:lvl>
    <w:lvl w:ilvl="7" w:tplc="08F86116">
      <w:start w:val="1"/>
      <w:numFmt w:val="decimal"/>
      <w:lvlText w:val="%8."/>
      <w:lvlJc w:val="left"/>
      <w:pPr>
        <w:ind w:left="1020" w:hanging="360"/>
      </w:pPr>
    </w:lvl>
    <w:lvl w:ilvl="8" w:tplc="DCF8D5DE">
      <w:start w:val="1"/>
      <w:numFmt w:val="decimal"/>
      <w:lvlText w:val="%9."/>
      <w:lvlJc w:val="left"/>
      <w:pPr>
        <w:ind w:left="1020" w:hanging="360"/>
      </w:pPr>
    </w:lvl>
  </w:abstractNum>
  <w:abstractNum w:abstractNumId="34" w15:restartNumberingAfterBreak="0">
    <w:nsid w:val="66DE2926"/>
    <w:multiLevelType w:val="multilevel"/>
    <w:tmpl w:val="8C32C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514CF3"/>
    <w:multiLevelType w:val="multilevel"/>
    <w:tmpl w:val="97726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2A0524"/>
    <w:multiLevelType w:val="hybridMultilevel"/>
    <w:tmpl w:val="B9E655E6"/>
    <w:lvl w:ilvl="0" w:tplc="D45A17B2">
      <w:start w:val="1"/>
      <w:numFmt w:val="bullet"/>
      <w:lvlText w:val=""/>
      <w:lvlJc w:val="left"/>
      <w:pPr>
        <w:ind w:left="720" w:hanging="360"/>
      </w:pPr>
      <w:rPr>
        <w:rFonts w:ascii="Symbol" w:hAnsi="Symbol"/>
      </w:rPr>
    </w:lvl>
    <w:lvl w:ilvl="1" w:tplc="56FEB644">
      <w:start w:val="1"/>
      <w:numFmt w:val="bullet"/>
      <w:lvlText w:val=""/>
      <w:lvlJc w:val="left"/>
      <w:pPr>
        <w:ind w:left="720" w:hanging="360"/>
      </w:pPr>
      <w:rPr>
        <w:rFonts w:ascii="Symbol" w:hAnsi="Symbol"/>
      </w:rPr>
    </w:lvl>
    <w:lvl w:ilvl="2" w:tplc="F7FE8310">
      <w:start w:val="1"/>
      <w:numFmt w:val="bullet"/>
      <w:lvlText w:val=""/>
      <w:lvlJc w:val="left"/>
      <w:pPr>
        <w:ind w:left="720" w:hanging="360"/>
      </w:pPr>
      <w:rPr>
        <w:rFonts w:ascii="Symbol" w:hAnsi="Symbol"/>
      </w:rPr>
    </w:lvl>
    <w:lvl w:ilvl="3" w:tplc="6284C98E">
      <w:start w:val="1"/>
      <w:numFmt w:val="bullet"/>
      <w:lvlText w:val=""/>
      <w:lvlJc w:val="left"/>
      <w:pPr>
        <w:ind w:left="720" w:hanging="360"/>
      </w:pPr>
      <w:rPr>
        <w:rFonts w:ascii="Symbol" w:hAnsi="Symbol"/>
      </w:rPr>
    </w:lvl>
    <w:lvl w:ilvl="4" w:tplc="F6826D62">
      <w:start w:val="1"/>
      <w:numFmt w:val="bullet"/>
      <w:lvlText w:val=""/>
      <w:lvlJc w:val="left"/>
      <w:pPr>
        <w:ind w:left="720" w:hanging="360"/>
      </w:pPr>
      <w:rPr>
        <w:rFonts w:ascii="Symbol" w:hAnsi="Symbol"/>
      </w:rPr>
    </w:lvl>
    <w:lvl w:ilvl="5" w:tplc="C12A2378">
      <w:start w:val="1"/>
      <w:numFmt w:val="bullet"/>
      <w:lvlText w:val=""/>
      <w:lvlJc w:val="left"/>
      <w:pPr>
        <w:ind w:left="720" w:hanging="360"/>
      </w:pPr>
      <w:rPr>
        <w:rFonts w:ascii="Symbol" w:hAnsi="Symbol"/>
      </w:rPr>
    </w:lvl>
    <w:lvl w:ilvl="6" w:tplc="14E876C6">
      <w:start w:val="1"/>
      <w:numFmt w:val="bullet"/>
      <w:lvlText w:val=""/>
      <w:lvlJc w:val="left"/>
      <w:pPr>
        <w:ind w:left="720" w:hanging="360"/>
      </w:pPr>
      <w:rPr>
        <w:rFonts w:ascii="Symbol" w:hAnsi="Symbol"/>
      </w:rPr>
    </w:lvl>
    <w:lvl w:ilvl="7" w:tplc="F4B6988C">
      <w:start w:val="1"/>
      <w:numFmt w:val="bullet"/>
      <w:lvlText w:val=""/>
      <w:lvlJc w:val="left"/>
      <w:pPr>
        <w:ind w:left="720" w:hanging="360"/>
      </w:pPr>
      <w:rPr>
        <w:rFonts w:ascii="Symbol" w:hAnsi="Symbol"/>
      </w:rPr>
    </w:lvl>
    <w:lvl w:ilvl="8" w:tplc="B72CA512">
      <w:start w:val="1"/>
      <w:numFmt w:val="bullet"/>
      <w:lvlText w:val=""/>
      <w:lvlJc w:val="left"/>
      <w:pPr>
        <w:ind w:left="720" w:hanging="360"/>
      </w:pPr>
      <w:rPr>
        <w:rFonts w:ascii="Symbol" w:hAnsi="Symbol"/>
      </w:rPr>
    </w:lvl>
  </w:abstractNum>
  <w:abstractNum w:abstractNumId="37" w15:restartNumberingAfterBreak="0">
    <w:nsid w:val="7099643B"/>
    <w:multiLevelType w:val="hybridMultilevel"/>
    <w:tmpl w:val="D1CE549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C4410DA"/>
    <w:multiLevelType w:val="hybridMultilevel"/>
    <w:tmpl w:val="6E3A17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FD14450"/>
    <w:multiLevelType w:val="hybridMultilevel"/>
    <w:tmpl w:val="A4CCD11E"/>
    <w:lvl w:ilvl="0" w:tplc="82A450FE">
      <w:start w:val="1"/>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98093375">
    <w:abstractNumId w:val="29"/>
  </w:num>
  <w:num w:numId="2" w16cid:durableId="817722623">
    <w:abstractNumId w:val="16"/>
  </w:num>
  <w:num w:numId="3" w16cid:durableId="1018971420">
    <w:abstractNumId w:val="8"/>
  </w:num>
  <w:num w:numId="4" w16cid:durableId="879166381">
    <w:abstractNumId w:val="20"/>
  </w:num>
  <w:num w:numId="5" w16cid:durableId="1815949289">
    <w:abstractNumId w:val="39"/>
  </w:num>
  <w:num w:numId="6" w16cid:durableId="576749492">
    <w:abstractNumId w:val="37"/>
  </w:num>
  <w:num w:numId="7" w16cid:durableId="1993294643">
    <w:abstractNumId w:val="23"/>
  </w:num>
  <w:num w:numId="8" w16cid:durableId="1473908234">
    <w:abstractNumId w:val="26"/>
  </w:num>
  <w:num w:numId="9" w16cid:durableId="622079676">
    <w:abstractNumId w:val="15"/>
  </w:num>
  <w:num w:numId="10" w16cid:durableId="946699305">
    <w:abstractNumId w:val="38"/>
  </w:num>
  <w:num w:numId="11" w16cid:durableId="1755974918">
    <w:abstractNumId w:val="31"/>
  </w:num>
  <w:num w:numId="12" w16cid:durableId="710763482">
    <w:abstractNumId w:val="36"/>
  </w:num>
  <w:num w:numId="13" w16cid:durableId="1529172998">
    <w:abstractNumId w:val="17"/>
  </w:num>
  <w:num w:numId="14" w16cid:durableId="522743602">
    <w:abstractNumId w:val="30"/>
  </w:num>
  <w:num w:numId="15" w16cid:durableId="697699550">
    <w:abstractNumId w:val="27"/>
  </w:num>
  <w:num w:numId="16" w16cid:durableId="834761267">
    <w:abstractNumId w:val="5"/>
  </w:num>
  <w:num w:numId="17" w16cid:durableId="672490751">
    <w:abstractNumId w:val="0"/>
  </w:num>
  <w:num w:numId="18" w16cid:durableId="452136147">
    <w:abstractNumId w:val="12"/>
  </w:num>
  <w:num w:numId="19" w16cid:durableId="357396350">
    <w:abstractNumId w:val="11"/>
  </w:num>
  <w:num w:numId="20" w16cid:durableId="1011031954">
    <w:abstractNumId w:val="6"/>
  </w:num>
  <w:num w:numId="21" w16cid:durableId="754932962">
    <w:abstractNumId w:val="10"/>
  </w:num>
  <w:num w:numId="22" w16cid:durableId="1006595381">
    <w:abstractNumId w:val="32"/>
  </w:num>
  <w:num w:numId="23" w16cid:durableId="930964953">
    <w:abstractNumId w:val="22"/>
  </w:num>
  <w:num w:numId="24" w16cid:durableId="183515175">
    <w:abstractNumId w:val="13"/>
  </w:num>
  <w:num w:numId="25" w16cid:durableId="833835734">
    <w:abstractNumId w:val="35"/>
  </w:num>
  <w:num w:numId="26" w16cid:durableId="2071490287">
    <w:abstractNumId w:val="25"/>
  </w:num>
  <w:num w:numId="27" w16cid:durableId="745341883">
    <w:abstractNumId w:val="21"/>
  </w:num>
  <w:num w:numId="28" w16cid:durableId="718238529">
    <w:abstractNumId w:val="28"/>
  </w:num>
  <w:num w:numId="29" w16cid:durableId="210532470">
    <w:abstractNumId w:val="3"/>
  </w:num>
  <w:num w:numId="30" w16cid:durableId="1970475149">
    <w:abstractNumId w:val="18"/>
  </w:num>
  <w:num w:numId="31" w16cid:durableId="1993827748">
    <w:abstractNumId w:val="1"/>
  </w:num>
  <w:num w:numId="32" w16cid:durableId="328102769">
    <w:abstractNumId w:val="2"/>
  </w:num>
  <w:num w:numId="33" w16cid:durableId="538781268">
    <w:abstractNumId w:val="33"/>
  </w:num>
  <w:num w:numId="34" w16cid:durableId="1762798729">
    <w:abstractNumId w:val="24"/>
  </w:num>
  <w:num w:numId="35" w16cid:durableId="1682048656">
    <w:abstractNumId w:val="34"/>
  </w:num>
  <w:num w:numId="36" w16cid:durableId="118110087">
    <w:abstractNumId w:val="7"/>
  </w:num>
  <w:num w:numId="37" w16cid:durableId="117846712">
    <w:abstractNumId w:val="19"/>
  </w:num>
  <w:num w:numId="38" w16cid:durableId="2131120960">
    <w:abstractNumId w:val="4"/>
  </w:num>
  <w:num w:numId="39" w16cid:durableId="1349411823">
    <w:abstractNumId w:val="14"/>
  </w:num>
  <w:num w:numId="40" w16cid:durableId="1344354995">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PA 7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v5axz5eqtvwd2eve9npz227rdzp0s0r2r9s&quot;&gt;CHB PICO&lt;record-ids&gt;&lt;item&gt;1&lt;/item&gt;&lt;item&gt;2&lt;/item&gt;&lt;item&gt;3&lt;/item&gt;&lt;item&gt;4&lt;/item&gt;&lt;item&gt;5&lt;/item&gt;&lt;item&gt;6&lt;/item&gt;&lt;item&gt;7&lt;/item&gt;&lt;item&gt;8&lt;/item&gt;&lt;item&gt;12&lt;/item&gt;&lt;item&gt;13&lt;/item&gt;&lt;item&gt;14&lt;/item&gt;&lt;item&gt;15&lt;/item&gt;&lt;/record-ids&gt;&lt;/item&gt;&lt;/Libraries&gt;"/>
  </w:docVars>
  <w:rsids>
    <w:rsidRoot w:val="001E5F9C"/>
    <w:rsid w:val="00000D1B"/>
    <w:rsid w:val="00001371"/>
    <w:rsid w:val="0000141A"/>
    <w:rsid w:val="00001E30"/>
    <w:rsid w:val="0000212E"/>
    <w:rsid w:val="000021A2"/>
    <w:rsid w:val="000031F5"/>
    <w:rsid w:val="00003CCF"/>
    <w:rsid w:val="0000536D"/>
    <w:rsid w:val="00005CD9"/>
    <w:rsid w:val="00006EEC"/>
    <w:rsid w:val="000073AA"/>
    <w:rsid w:val="00007C8F"/>
    <w:rsid w:val="00011FED"/>
    <w:rsid w:val="00012117"/>
    <w:rsid w:val="00012796"/>
    <w:rsid w:val="00012D65"/>
    <w:rsid w:val="00012DAA"/>
    <w:rsid w:val="00012DD3"/>
    <w:rsid w:val="00012F59"/>
    <w:rsid w:val="0001330A"/>
    <w:rsid w:val="000146EE"/>
    <w:rsid w:val="00014BE7"/>
    <w:rsid w:val="00015F76"/>
    <w:rsid w:val="00016C5F"/>
    <w:rsid w:val="00020712"/>
    <w:rsid w:val="00020B7A"/>
    <w:rsid w:val="00020ECE"/>
    <w:rsid w:val="00022605"/>
    <w:rsid w:val="00022EDA"/>
    <w:rsid w:val="00022EEE"/>
    <w:rsid w:val="0002343B"/>
    <w:rsid w:val="00023441"/>
    <w:rsid w:val="00023501"/>
    <w:rsid w:val="0002358D"/>
    <w:rsid w:val="00023DD7"/>
    <w:rsid w:val="000241BB"/>
    <w:rsid w:val="000243E1"/>
    <w:rsid w:val="00024978"/>
    <w:rsid w:val="00026311"/>
    <w:rsid w:val="00026DC8"/>
    <w:rsid w:val="00027DE3"/>
    <w:rsid w:val="00030290"/>
    <w:rsid w:val="0003032B"/>
    <w:rsid w:val="00031184"/>
    <w:rsid w:val="000324F2"/>
    <w:rsid w:val="000337A0"/>
    <w:rsid w:val="00033A90"/>
    <w:rsid w:val="000341F2"/>
    <w:rsid w:val="000347E1"/>
    <w:rsid w:val="00034F69"/>
    <w:rsid w:val="00035982"/>
    <w:rsid w:val="00036F29"/>
    <w:rsid w:val="0004051A"/>
    <w:rsid w:val="000418C5"/>
    <w:rsid w:val="00042575"/>
    <w:rsid w:val="00042655"/>
    <w:rsid w:val="000428D0"/>
    <w:rsid w:val="00044663"/>
    <w:rsid w:val="00044AEF"/>
    <w:rsid w:val="00045740"/>
    <w:rsid w:val="00045D70"/>
    <w:rsid w:val="000467D8"/>
    <w:rsid w:val="00046891"/>
    <w:rsid w:val="00046DEF"/>
    <w:rsid w:val="00046F9D"/>
    <w:rsid w:val="00046FB7"/>
    <w:rsid w:val="000477B5"/>
    <w:rsid w:val="000514B5"/>
    <w:rsid w:val="000514E6"/>
    <w:rsid w:val="0005205C"/>
    <w:rsid w:val="00053427"/>
    <w:rsid w:val="00053569"/>
    <w:rsid w:val="00053CFE"/>
    <w:rsid w:val="0005442D"/>
    <w:rsid w:val="000544E0"/>
    <w:rsid w:val="00054A13"/>
    <w:rsid w:val="00054CAC"/>
    <w:rsid w:val="00055272"/>
    <w:rsid w:val="0005605C"/>
    <w:rsid w:val="00056DA2"/>
    <w:rsid w:val="000570CA"/>
    <w:rsid w:val="000579AD"/>
    <w:rsid w:val="00057F73"/>
    <w:rsid w:val="0006044F"/>
    <w:rsid w:val="00060B75"/>
    <w:rsid w:val="00061A1A"/>
    <w:rsid w:val="00061A43"/>
    <w:rsid w:val="000627F9"/>
    <w:rsid w:val="00063612"/>
    <w:rsid w:val="00063AB2"/>
    <w:rsid w:val="00065F04"/>
    <w:rsid w:val="00066548"/>
    <w:rsid w:val="00066B27"/>
    <w:rsid w:val="00066FFB"/>
    <w:rsid w:val="000671E5"/>
    <w:rsid w:val="00071501"/>
    <w:rsid w:val="00071B1F"/>
    <w:rsid w:val="00072A5F"/>
    <w:rsid w:val="00073980"/>
    <w:rsid w:val="00075681"/>
    <w:rsid w:val="00075C49"/>
    <w:rsid w:val="00076577"/>
    <w:rsid w:val="000766A9"/>
    <w:rsid w:val="00076A5D"/>
    <w:rsid w:val="00076BA5"/>
    <w:rsid w:val="00077C97"/>
    <w:rsid w:val="00080251"/>
    <w:rsid w:val="000814E5"/>
    <w:rsid w:val="00082F47"/>
    <w:rsid w:val="000836EE"/>
    <w:rsid w:val="00083953"/>
    <w:rsid w:val="00083AE1"/>
    <w:rsid w:val="00083F40"/>
    <w:rsid w:val="00083FBB"/>
    <w:rsid w:val="000845DA"/>
    <w:rsid w:val="000846D3"/>
    <w:rsid w:val="00085216"/>
    <w:rsid w:val="00085A13"/>
    <w:rsid w:val="00085CB5"/>
    <w:rsid w:val="00086901"/>
    <w:rsid w:val="0008754D"/>
    <w:rsid w:val="0009138B"/>
    <w:rsid w:val="0009176B"/>
    <w:rsid w:val="00091AFF"/>
    <w:rsid w:val="00091E6F"/>
    <w:rsid w:val="000925F1"/>
    <w:rsid w:val="00092C51"/>
    <w:rsid w:val="000939E0"/>
    <w:rsid w:val="000950E6"/>
    <w:rsid w:val="00095395"/>
    <w:rsid w:val="0009595D"/>
    <w:rsid w:val="00096771"/>
    <w:rsid w:val="00096BCF"/>
    <w:rsid w:val="00096BE9"/>
    <w:rsid w:val="00097A58"/>
    <w:rsid w:val="00097DB5"/>
    <w:rsid w:val="00097E98"/>
    <w:rsid w:val="000A17B2"/>
    <w:rsid w:val="000A1B9D"/>
    <w:rsid w:val="000A1E6A"/>
    <w:rsid w:val="000A3242"/>
    <w:rsid w:val="000A370F"/>
    <w:rsid w:val="000A384F"/>
    <w:rsid w:val="000A4028"/>
    <w:rsid w:val="000A4848"/>
    <w:rsid w:val="000A5067"/>
    <w:rsid w:val="000A5813"/>
    <w:rsid w:val="000A6331"/>
    <w:rsid w:val="000A7FF2"/>
    <w:rsid w:val="000B0349"/>
    <w:rsid w:val="000B0382"/>
    <w:rsid w:val="000B06DE"/>
    <w:rsid w:val="000B0BB9"/>
    <w:rsid w:val="000B195E"/>
    <w:rsid w:val="000B1C97"/>
    <w:rsid w:val="000B1DF5"/>
    <w:rsid w:val="000B1E51"/>
    <w:rsid w:val="000B376C"/>
    <w:rsid w:val="000B3A40"/>
    <w:rsid w:val="000B412E"/>
    <w:rsid w:val="000B4785"/>
    <w:rsid w:val="000B56E9"/>
    <w:rsid w:val="000B5C14"/>
    <w:rsid w:val="000B668F"/>
    <w:rsid w:val="000B70F8"/>
    <w:rsid w:val="000B7F52"/>
    <w:rsid w:val="000C031A"/>
    <w:rsid w:val="000C08D8"/>
    <w:rsid w:val="000C0F63"/>
    <w:rsid w:val="000C1B8C"/>
    <w:rsid w:val="000C254C"/>
    <w:rsid w:val="000C37D2"/>
    <w:rsid w:val="000C3F6A"/>
    <w:rsid w:val="000C4149"/>
    <w:rsid w:val="000C41D6"/>
    <w:rsid w:val="000C46DD"/>
    <w:rsid w:val="000C521E"/>
    <w:rsid w:val="000C5D35"/>
    <w:rsid w:val="000C67F1"/>
    <w:rsid w:val="000C686F"/>
    <w:rsid w:val="000C788E"/>
    <w:rsid w:val="000D026A"/>
    <w:rsid w:val="000D0E7A"/>
    <w:rsid w:val="000D143D"/>
    <w:rsid w:val="000D1C0E"/>
    <w:rsid w:val="000D1F9A"/>
    <w:rsid w:val="000D1FCF"/>
    <w:rsid w:val="000D28FE"/>
    <w:rsid w:val="000D41D4"/>
    <w:rsid w:val="000D4639"/>
    <w:rsid w:val="000D46DB"/>
    <w:rsid w:val="000D5710"/>
    <w:rsid w:val="000D5827"/>
    <w:rsid w:val="000D607B"/>
    <w:rsid w:val="000D69BA"/>
    <w:rsid w:val="000D6E23"/>
    <w:rsid w:val="000D7422"/>
    <w:rsid w:val="000E0F75"/>
    <w:rsid w:val="000E2371"/>
    <w:rsid w:val="000E294E"/>
    <w:rsid w:val="000E2E4B"/>
    <w:rsid w:val="000E3173"/>
    <w:rsid w:val="000E3472"/>
    <w:rsid w:val="000E34C7"/>
    <w:rsid w:val="000E38F1"/>
    <w:rsid w:val="000E45F0"/>
    <w:rsid w:val="000E4992"/>
    <w:rsid w:val="000E5F37"/>
    <w:rsid w:val="000E623D"/>
    <w:rsid w:val="000E6BF7"/>
    <w:rsid w:val="000E797D"/>
    <w:rsid w:val="000F1D68"/>
    <w:rsid w:val="000F1FF0"/>
    <w:rsid w:val="000F241C"/>
    <w:rsid w:val="000F2855"/>
    <w:rsid w:val="000F2B21"/>
    <w:rsid w:val="000F35E6"/>
    <w:rsid w:val="000F3739"/>
    <w:rsid w:val="000F38F8"/>
    <w:rsid w:val="000F45F9"/>
    <w:rsid w:val="000F4F6E"/>
    <w:rsid w:val="000F667E"/>
    <w:rsid w:val="000F6E38"/>
    <w:rsid w:val="000F734B"/>
    <w:rsid w:val="000F7C35"/>
    <w:rsid w:val="00100646"/>
    <w:rsid w:val="00101874"/>
    <w:rsid w:val="00102187"/>
    <w:rsid w:val="00102C5F"/>
    <w:rsid w:val="00103284"/>
    <w:rsid w:val="00105FE3"/>
    <w:rsid w:val="00106415"/>
    <w:rsid w:val="001067E2"/>
    <w:rsid w:val="00107057"/>
    <w:rsid w:val="00107EE3"/>
    <w:rsid w:val="0011203A"/>
    <w:rsid w:val="00112045"/>
    <w:rsid w:val="001121B3"/>
    <w:rsid w:val="00112870"/>
    <w:rsid w:val="001135EC"/>
    <w:rsid w:val="00113DCD"/>
    <w:rsid w:val="00114CF9"/>
    <w:rsid w:val="001152CA"/>
    <w:rsid w:val="00116AAF"/>
    <w:rsid w:val="00116B87"/>
    <w:rsid w:val="001175FE"/>
    <w:rsid w:val="00117731"/>
    <w:rsid w:val="001201B9"/>
    <w:rsid w:val="00120D8D"/>
    <w:rsid w:val="00120F8A"/>
    <w:rsid w:val="00121DAD"/>
    <w:rsid w:val="00122AAB"/>
    <w:rsid w:val="00123346"/>
    <w:rsid w:val="0012386B"/>
    <w:rsid w:val="001239B2"/>
    <w:rsid w:val="00123A3A"/>
    <w:rsid w:val="001247AB"/>
    <w:rsid w:val="0012506B"/>
    <w:rsid w:val="00126CE1"/>
    <w:rsid w:val="001271E1"/>
    <w:rsid w:val="00127854"/>
    <w:rsid w:val="00127F0F"/>
    <w:rsid w:val="00127F6D"/>
    <w:rsid w:val="001307CD"/>
    <w:rsid w:val="00130EB1"/>
    <w:rsid w:val="001315A8"/>
    <w:rsid w:val="001319D7"/>
    <w:rsid w:val="00132764"/>
    <w:rsid w:val="00132833"/>
    <w:rsid w:val="00133254"/>
    <w:rsid w:val="00133EB0"/>
    <w:rsid w:val="00134746"/>
    <w:rsid w:val="001351FA"/>
    <w:rsid w:val="00135215"/>
    <w:rsid w:val="001352C9"/>
    <w:rsid w:val="00137CA6"/>
    <w:rsid w:val="0014014B"/>
    <w:rsid w:val="001402A3"/>
    <w:rsid w:val="00140A19"/>
    <w:rsid w:val="001411DF"/>
    <w:rsid w:val="001418B2"/>
    <w:rsid w:val="00141ECE"/>
    <w:rsid w:val="00143391"/>
    <w:rsid w:val="001439BA"/>
    <w:rsid w:val="00143BE2"/>
    <w:rsid w:val="001444B2"/>
    <w:rsid w:val="00144546"/>
    <w:rsid w:val="0014479D"/>
    <w:rsid w:val="00144C84"/>
    <w:rsid w:val="00146999"/>
    <w:rsid w:val="00147061"/>
    <w:rsid w:val="00147AE7"/>
    <w:rsid w:val="0015018B"/>
    <w:rsid w:val="0015326B"/>
    <w:rsid w:val="00153A67"/>
    <w:rsid w:val="00154B38"/>
    <w:rsid w:val="00156473"/>
    <w:rsid w:val="00156B88"/>
    <w:rsid w:val="00156F64"/>
    <w:rsid w:val="00157E96"/>
    <w:rsid w:val="001603ED"/>
    <w:rsid w:val="001611CD"/>
    <w:rsid w:val="00161727"/>
    <w:rsid w:val="00162B44"/>
    <w:rsid w:val="00162DF7"/>
    <w:rsid w:val="0016315C"/>
    <w:rsid w:val="00163ABF"/>
    <w:rsid w:val="00164308"/>
    <w:rsid w:val="00165EBF"/>
    <w:rsid w:val="001670CC"/>
    <w:rsid w:val="001674C5"/>
    <w:rsid w:val="00170258"/>
    <w:rsid w:val="001709A2"/>
    <w:rsid w:val="00170BCE"/>
    <w:rsid w:val="0017146D"/>
    <w:rsid w:val="00171A5C"/>
    <w:rsid w:val="00173763"/>
    <w:rsid w:val="00173850"/>
    <w:rsid w:val="00173EBD"/>
    <w:rsid w:val="00174544"/>
    <w:rsid w:val="0017466D"/>
    <w:rsid w:val="00174C7D"/>
    <w:rsid w:val="00174CD7"/>
    <w:rsid w:val="0017665E"/>
    <w:rsid w:val="00176949"/>
    <w:rsid w:val="0017708C"/>
    <w:rsid w:val="00177760"/>
    <w:rsid w:val="00177B70"/>
    <w:rsid w:val="0018136C"/>
    <w:rsid w:val="0018150C"/>
    <w:rsid w:val="001824D7"/>
    <w:rsid w:val="001829CD"/>
    <w:rsid w:val="001839CA"/>
    <w:rsid w:val="001839DB"/>
    <w:rsid w:val="0018437C"/>
    <w:rsid w:val="001850D3"/>
    <w:rsid w:val="0018545F"/>
    <w:rsid w:val="00185E31"/>
    <w:rsid w:val="0018700D"/>
    <w:rsid w:val="00187273"/>
    <w:rsid w:val="00187344"/>
    <w:rsid w:val="00187487"/>
    <w:rsid w:val="00187993"/>
    <w:rsid w:val="00187D82"/>
    <w:rsid w:val="001901C7"/>
    <w:rsid w:val="00190444"/>
    <w:rsid w:val="00191604"/>
    <w:rsid w:val="00191CE5"/>
    <w:rsid w:val="00191D47"/>
    <w:rsid w:val="001927BA"/>
    <w:rsid w:val="00192829"/>
    <w:rsid w:val="00192961"/>
    <w:rsid w:val="001932CA"/>
    <w:rsid w:val="00195FCF"/>
    <w:rsid w:val="001966FC"/>
    <w:rsid w:val="00196F67"/>
    <w:rsid w:val="001A13DC"/>
    <w:rsid w:val="001A1E90"/>
    <w:rsid w:val="001A271E"/>
    <w:rsid w:val="001A2C39"/>
    <w:rsid w:val="001A410B"/>
    <w:rsid w:val="001A4CE1"/>
    <w:rsid w:val="001A5A6D"/>
    <w:rsid w:val="001A5D2F"/>
    <w:rsid w:val="001A5EB5"/>
    <w:rsid w:val="001A70FD"/>
    <w:rsid w:val="001A76B1"/>
    <w:rsid w:val="001A7F25"/>
    <w:rsid w:val="001B0E3C"/>
    <w:rsid w:val="001B14A8"/>
    <w:rsid w:val="001B182A"/>
    <w:rsid w:val="001B1EA9"/>
    <w:rsid w:val="001B379D"/>
    <w:rsid w:val="001B399A"/>
    <w:rsid w:val="001B490C"/>
    <w:rsid w:val="001B4CD5"/>
    <w:rsid w:val="001B62FC"/>
    <w:rsid w:val="001C0A99"/>
    <w:rsid w:val="001C0CC5"/>
    <w:rsid w:val="001C1E16"/>
    <w:rsid w:val="001C35C0"/>
    <w:rsid w:val="001C39C4"/>
    <w:rsid w:val="001C3C8B"/>
    <w:rsid w:val="001C400B"/>
    <w:rsid w:val="001C46C3"/>
    <w:rsid w:val="001C47DE"/>
    <w:rsid w:val="001C4A70"/>
    <w:rsid w:val="001C4C88"/>
    <w:rsid w:val="001C5412"/>
    <w:rsid w:val="001C54AD"/>
    <w:rsid w:val="001C5620"/>
    <w:rsid w:val="001C6437"/>
    <w:rsid w:val="001C6890"/>
    <w:rsid w:val="001C6C3F"/>
    <w:rsid w:val="001C6D3E"/>
    <w:rsid w:val="001C6EBB"/>
    <w:rsid w:val="001C7549"/>
    <w:rsid w:val="001C7B9B"/>
    <w:rsid w:val="001D0408"/>
    <w:rsid w:val="001D0738"/>
    <w:rsid w:val="001D11B2"/>
    <w:rsid w:val="001D247E"/>
    <w:rsid w:val="001D2C14"/>
    <w:rsid w:val="001D38E7"/>
    <w:rsid w:val="001D60E3"/>
    <w:rsid w:val="001D6756"/>
    <w:rsid w:val="001D6849"/>
    <w:rsid w:val="001D698D"/>
    <w:rsid w:val="001D6DD9"/>
    <w:rsid w:val="001D7641"/>
    <w:rsid w:val="001D78AF"/>
    <w:rsid w:val="001E0274"/>
    <w:rsid w:val="001E097C"/>
    <w:rsid w:val="001E09BA"/>
    <w:rsid w:val="001E0B2D"/>
    <w:rsid w:val="001E4240"/>
    <w:rsid w:val="001E4A11"/>
    <w:rsid w:val="001E5A7D"/>
    <w:rsid w:val="001E5F9C"/>
    <w:rsid w:val="001E635C"/>
    <w:rsid w:val="001F040B"/>
    <w:rsid w:val="001F0598"/>
    <w:rsid w:val="001F0745"/>
    <w:rsid w:val="001F0C55"/>
    <w:rsid w:val="001F0D4E"/>
    <w:rsid w:val="001F18B6"/>
    <w:rsid w:val="001F3143"/>
    <w:rsid w:val="001F36AC"/>
    <w:rsid w:val="001F5803"/>
    <w:rsid w:val="001F5DC3"/>
    <w:rsid w:val="001F6AD3"/>
    <w:rsid w:val="001F7287"/>
    <w:rsid w:val="001F7DBF"/>
    <w:rsid w:val="00201471"/>
    <w:rsid w:val="0020161A"/>
    <w:rsid w:val="002019C6"/>
    <w:rsid w:val="00201BF2"/>
    <w:rsid w:val="00201E1A"/>
    <w:rsid w:val="002024DE"/>
    <w:rsid w:val="0020285F"/>
    <w:rsid w:val="00202B36"/>
    <w:rsid w:val="00203945"/>
    <w:rsid w:val="00204136"/>
    <w:rsid w:val="0020436B"/>
    <w:rsid w:val="002046DC"/>
    <w:rsid w:val="00204984"/>
    <w:rsid w:val="002057A5"/>
    <w:rsid w:val="00206790"/>
    <w:rsid w:val="0021050D"/>
    <w:rsid w:val="0021066D"/>
    <w:rsid w:val="00210AD9"/>
    <w:rsid w:val="00211B19"/>
    <w:rsid w:val="00211C63"/>
    <w:rsid w:val="00211F20"/>
    <w:rsid w:val="00212998"/>
    <w:rsid w:val="0021348B"/>
    <w:rsid w:val="0021379D"/>
    <w:rsid w:val="00214B38"/>
    <w:rsid w:val="0021603A"/>
    <w:rsid w:val="002165C7"/>
    <w:rsid w:val="002179B1"/>
    <w:rsid w:val="00220645"/>
    <w:rsid w:val="002223DE"/>
    <w:rsid w:val="002227CD"/>
    <w:rsid w:val="00222F1C"/>
    <w:rsid w:val="0022536F"/>
    <w:rsid w:val="00225765"/>
    <w:rsid w:val="00225954"/>
    <w:rsid w:val="00225E09"/>
    <w:rsid w:val="00225E8B"/>
    <w:rsid w:val="0022741D"/>
    <w:rsid w:val="002307B3"/>
    <w:rsid w:val="002314FD"/>
    <w:rsid w:val="00231B93"/>
    <w:rsid w:val="0023241B"/>
    <w:rsid w:val="00232421"/>
    <w:rsid w:val="00233C06"/>
    <w:rsid w:val="00233DDB"/>
    <w:rsid w:val="00235B21"/>
    <w:rsid w:val="002368EE"/>
    <w:rsid w:val="00236BA2"/>
    <w:rsid w:val="0023759B"/>
    <w:rsid w:val="002406F6"/>
    <w:rsid w:val="002416CC"/>
    <w:rsid w:val="00241EC3"/>
    <w:rsid w:val="002434BD"/>
    <w:rsid w:val="00243ACD"/>
    <w:rsid w:val="00244BF7"/>
    <w:rsid w:val="002457E5"/>
    <w:rsid w:val="00245C3A"/>
    <w:rsid w:val="00245EE3"/>
    <w:rsid w:val="002462DA"/>
    <w:rsid w:val="0024684B"/>
    <w:rsid w:val="00247620"/>
    <w:rsid w:val="00250F54"/>
    <w:rsid w:val="002518BB"/>
    <w:rsid w:val="002534C5"/>
    <w:rsid w:val="00253962"/>
    <w:rsid w:val="00253AF9"/>
    <w:rsid w:val="00254CF8"/>
    <w:rsid w:val="002554EF"/>
    <w:rsid w:val="00256A5C"/>
    <w:rsid w:val="00256FF1"/>
    <w:rsid w:val="002572CE"/>
    <w:rsid w:val="00257E48"/>
    <w:rsid w:val="00257EB9"/>
    <w:rsid w:val="0026037D"/>
    <w:rsid w:val="00261809"/>
    <w:rsid w:val="00261A11"/>
    <w:rsid w:val="00262037"/>
    <w:rsid w:val="00262571"/>
    <w:rsid w:val="00262829"/>
    <w:rsid w:val="00263CEE"/>
    <w:rsid w:val="00264464"/>
    <w:rsid w:val="002646D4"/>
    <w:rsid w:val="00264DB8"/>
    <w:rsid w:val="002654C1"/>
    <w:rsid w:val="00265569"/>
    <w:rsid w:val="0026565B"/>
    <w:rsid w:val="00265874"/>
    <w:rsid w:val="00266179"/>
    <w:rsid w:val="0026682D"/>
    <w:rsid w:val="0026710E"/>
    <w:rsid w:val="0026784B"/>
    <w:rsid w:val="00270A8A"/>
    <w:rsid w:val="00270B3C"/>
    <w:rsid w:val="0027170F"/>
    <w:rsid w:val="00272BE0"/>
    <w:rsid w:val="002739F6"/>
    <w:rsid w:val="00274266"/>
    <w:rsid w:val="00274F9E"/>
    <w:rsid w:val="00275AD6"/>
    <w:rsid w:val="0027635D"/>
    <w:rsid w:val="00277BCE"/>
    <w:rsid w:val="00280157"/>
    <w:rsid w:val="00282AF9"/>
    <w:rsid w:val="00283C01"/>
    <w:rsid w:val="0028423B"/>
    <w:rsid w:val="002847C4"/>
    <w:rsid w:val="00284FFD"/>
    <w:rsid w:val="0028589B"/>
    <w:rsid w:val="0028592C"/>
    <w:rsid w:val="00285B9B"/>
    <w:rsid w:val="00285DEA"/>
    <w:rsid w:val="00286C96"/>
    <w:rsid w:val="00286F15"/>
    <w:rsid w:val="00286FF6"/>
    <w:rsid w:val="00287803"/>
    <w:rsid w:val="00287E59"/>
    <w:rsid w:val="00290430"/>
    <w:rsid w:val="00290B3B"/>
    <w:rsid w:val="00290D52"/>
    <w:rsid w:val="00291820"/>
    <w:rsid w:val="00291BFB"/>
    <w:rsid w:val="002923D5"/>
    <w:rsid w:val="00293C98"/>
    <w:rsid w:val="00295196"/>
    <w:rsid w:val="00296377"/>
    <w:rsid w:val="00296EF9"/>
    <w:rsid w:val="002973B3"/>
    <w:rsid w:val="002A038A"/>
    <w:rsid w:val="002A0955"/>
    <w:rsid w:val="002A2218"/>
    <w:rsid w:val="002A2540"/>
    <w:rsid w:val="002A2FF0"/>
    <w:rsid w:val="002A3A1B"/>
    <w:rsid w:val="002A3A56"/>
    <w:rsid w:val="002A3E08"/>
    <w:rsid w:val="002A44F3"/>
    <w:rsid w:val="002A5583"/>
    <w:rsid w:val="002A598D"/>
    <w:rsid w:val="002A5CAD"/>
    <w:rsid w:val="002A65AA"/>
    <w:rsid w:val="002A785D"/>
    <w:rsid w:val="002A7B24"/>
    <w:rsid w:val="002B064E"/>
    <w:rsid w:val="002B0D40"/>
    <w:rsid w:val="002B103E"/>
    <w:rsid w:val="002B11C7"/>
    <w:rsid w:val="002B2192"/>
    <w:rsid w:val="002B4A65"/>
    <w:rsid w:val="002B64E7"/>
    <w:rsid w:val="002B6AA7"/>
    <w:rsid w:val="002B7016"/>
    <w:rsid w:val="002B7A2B"/>
    <w:rsid w:val="002C1AC7"/>
    <w:rsid w:val="002C2CB5"/>
    <w:rsid w:val="002C4640"/>
    <w:rsid w:val="002C5478"/>
    <w:rsid w:val="002C5B43"/>
    <w:rsid w:val="002C6A1E"/>
    <w:rsid w:val="002C7719"/>
    <w:rsid w:val="002D0452"/>
    <w:rsid w:val="002D051C"/>
    <w:rsid w:val="002D1CA9"/>
    <w:rsid w:val="002D1FED"/>
    <w:rsid w:val="002D22E6"/>
    <w:rsid w:val="002D2DDF"/>
    <w:rsid w:val="002D3F83"/>
    <w:rsid w:val="002D4E76"/>
    <w:rsid w:val="002D5D59"/>
    <w:rsid w:val="002D674F"/>
    <w:rsid w:val="002E0AFD"/>
    <w:rsid w:val="002E19C8"/>
    <w:rsid w:val="002E2442"/>
    <w:rsid w:val="002E2584"/>
    <w:rsid w:val="002E2E65"/>
    <w:rsid w:val="002E41D9"/>
    <w:rsid w:val="002E429C"/>
    <w:rsid w:val="002E55B4"/>
    <w:rsid w:val="002E575D"/>
    <w:rsid w:val="002E59CB"/>
    <w:rsid w:val="002E5ABB"/>
    <w:rsid w:val="002E5B56"/>
    <w:rsid w:val="002E5FFE"/>
    <w:rsid w:val="002E6E9E"/>
    <w:rsid w:val="002E6F87"/>
    <w:rsid w:val="002E7C0E"/>
    <w:rsid w:val="002E7EC8"/>
    <w:rsid w:val="002F0533"/>
    <w:rsid w:val="002F097D"/>
    <w:rsid w:val="002F1483"/>
    <w:rsid w:val="002F166E"/>
    <w:rsid w:val="002F196B"/>
    <w:rsid w:val="002F2A48"/>
    <w:rsid w:val="002F2D00"/>
    <w:rsid w:val="002F3919"/>
    <w:rsid w:val="002F3E40"/>
    <w:rsid w:val="002F4396"/>
    <w:rsid w:val="002F52D0"/>
    <w:rsid w:val="002F52D6"/>
    <w:rsid w:val="002F65AF"/>
    <w:rsid w:val="002F6BC6"/>
    <w:rsid w:val="002F6E28"/>
    <w:rsid w:val="002F6EC9"/>
    <w:rsid w:val="002F7071"/>
    <w:rsid w:val="0030059F"/>
    <w:rsid w:val="003013F6"/>
    <w:rsid w:val="00301C40"/>
    <w:rsid w:val="003022E2"/>
    <w:rsid w:val="003029AC"/>
    <w:rsid w:val="003037E4"/>
    <w:rsid w:val="00303AC7"/>
    <w:rsid w:val="00303BDB"/>
    <w:rsid w:val="00305F93"/>
    <w:rsid w:val="003062B7"/>
    <w:rsid w:val="00310CE4"/>
    <w:rsid w:val="003111B4"/>
    <w:rsid w:val="0031171B"/>
    <w:rsid w:val="00311C79"/>
    <w:rsid w:val="00312001"/>
    <w:rsid w:val="00312165"/>
    <w:rsid w:val="003127AD"/>
    <w:rsid w:val="0031290E"/>
    <w:rsid w:val="00312A9E"/>
    <w:rsid w:val="0031339D"/>
    <w:rsid w:val="00313CED"/>
    <w:rsid w:val="00313DA5"/>
    <w:rsid w:val="00313E97"/>
    <w:rsid w:val="00313F72"/>
    <w:rsid w:val="00314999"/>
    <w:rsid w:val="00314EDF"/>
    <w:rsid w:val="003152F7"/>
    <w:rsid w:val="00315A2E"/>
    <w:rsid w:val="00315C42"/>
    <w:rsid w:val="0031669C"/>
    <w:rsid w:val="003166E0"/>
    <w:rsid w:val="00317723"/>
    <w:rsid w:val="00317832"/>
    <w:rsid w:val="003202A3"/>
    <w:rsid w:val="00321C0F"/>
    <w:rsid w:val="0032218D"/>
    <w:rsid w:val="003221D6"/>
    <w:rsid w:val="0032252A"/>
    <w:rsid w:val="0032298B"/>
    <w:rsid w:val="00322F18"/>
    <w:rsid w:val="00323EC7"/>
    <w:rsid w:val="00324278"/>
    <w:rsid w:val="0032471E"/>
    <w:rsid w:val="00324EDB"/>
    <w:rsid w:val="00324EF8"/>
    <w:rsid w:val="00324F0A"/>
    <w:rsid w:val="00325BCD"/>
    <w:rsid w:val="00325DB3"/>
    <w:rsid w:val="00325E72"/>
    <w:rsid w:val="0032645A"/>
    <w:rsid w:val="00326740"/>
    <w:rsid w:val="00326DC5"/>
    <w:rsid w:val="00326E6F"/>
    <w:rsid w:val="003276CE"/>
    <w:rsid w:val="00327D1F"/>
    <w:rsid w:val="0033014E"/>
    <w:rsid w:val="003306A1"/>
    <w:rsid w:val="00332917"/>
    <w:rsid w:val="00332CD2"/>
    <w:rsid w:val="00333975"/>
    <w:rsid w:val="00334131"/>
    <w:rsid w:val="003346D1"/>
    <w:rsid w:val="0033501A"/>
    <w:rsid w:val="00335133"/>
    <w:rsid w:val="00335CB4"/>
    <w:rsid w:val="00337D83"/>
    <w:rsid w:val="003401B4"/>
    <w:rsid w:val="00340C12"/>
    <w:rsid w:val="00340F85"/>
    <w:rsid w:val="003414B0"/>
    <w:rsid w:val="0034192A"/>
    <w:rsid w:val="00341B6C"/>
    <w:rsid w:val="00342EAA"/>
    <w:rsid w:val="00342FF5"/>
    <w:rsid w:val="00343973"/>
    <w:rsid w:val="00343C42"/>
    <w:rsid w:val="00343D02"/>
    <w:rsid w:val="00344CCE"/>
    <w:rsid w:val="0034650C"/>
    <w:rsid w:val="0034704A"/>
    <w:rsid w:val="0034705B"/>
    <w:rsid w:val="00347286"/>
    <w:rsid w:val="00347474"/>
    <w:rsid w:val="00350CF2"/>
    <w:rsid w:val="00351B4E"/>
    <w:rsid w:val="0035294A"/>
    <w:rsid w:val="00352A9B"/>
    <w:rsid w:val="003530CF"/>
    <w:rsid w:val="0035430C"/>
    <w:rsid w:val="00355FF5"/>
    <w:rsid w:val="003563AD"/>
    <w:rsid w:val="003564C6"/>
    <w:rsid w:val="00356668"/>
    <w:rsid w:val="003573F6"/>
    <w:rsid w:val="003579FC"/>
    <w:rsid w:val="00361021"/>
    <w:rsid w:val="00361E0D"/>
    <w:rsid w:val="00362493"/>
    <w:rsid w:val="00362ABC"/>
    <w:rsid w:val="00363027"/>
    <w:rsid w:val="00363295"/>
    <w:rsid w:val="00364B07"/>
    <w:rsid w:val="003657B5"/>
    <w:rsid w:val="00365AC4"/>
    <w:rsid w:val="00366ECC"/>
    <w:rsid w:val="00366FF0"/>
    <w:rsid w:val="003676CC"/>
    <w:rsid w:val="00367D35"/>
    <w:rsid w:val="00367E7C"/>
    <w:rsid w:val="00370486"/>
    <w:rsid w:val="00370688"/>
    <w:rsid w:val="003706B0"/>
    <w:rsid w:val="003709A9"/>
    <w:rsid w:val="00370E6A"/>
    <w:rsid w:val="00371B1E"/>
    <w:rsid w:val="00371B4A"/>
    <w:rsid w:val="00371E6E"/>
    <w:rsid w:val="0037205F"/>
    <w:rsid w:val="00374C1D"/>
    <w:rsid w:val="00374D26"/>
    <w:rsid w:val="00374E76"/>
    <w:rsid w:val="003766DE"/>
    <w:rsid w:val="003768EC"/>
    <w:rsid w:val="003769AC"/>
    <w:rsid w:val="00376AB3"/>
    <w:rsid w:val="00376BAA"/>
    <w:rsid w:val="00376EAF"/>
    <w:rsid w:val="00377181"/>
    <w:rsid w:val="00377F15"/>
    <w:rsid w:val="003804B1"/>
    <w:rsid w:val="00380DAD"/>
    <w:rsid w:val="00380F9B"/>
    <w:rsid w:val="00381031"/>
    <w:rsid w:val="00382B82"/>
    <w:rsid w:val="0038387A"/>
    <w:rsid w:val="00383F95"/>
    <w:rsid w:val="00383F98"/>
    <w:rsid w:val="00384F8D"/>
    <w:rsid w:val="003853FB"/>
    <w:rsid w:val="00385F44"/>
    <w:rsid w:val="00386333"/>
    <w:rsid w:val="003869A2"/>
    <w:rsid w:val="00386D6E"/>
    <w:rsid w:val="00387B05"/>
    <w:rsid w:val="0038AB61"/>
    <w:rsid w:val="00390AAD"/>
    <w:rsid w:val="00391B14"/>
    <w:rsid w:val="00391EED"/>
    <w:rsid w:val="003936B9"/>
    <w:rsid w:val="003937BB"/>
    <w:rsid w:val="00393D3D"/>
    <w:rsid w:val="00393F8D"/>
    <w:rsid w:val="00394112"/>
    <w:rsid w:val="00394245"/>
    <w:rsid w:val="00394437"/>
    <w:rsid w:val="00394450"/>
    <w:rsid w:val="00394B26"/>
    <w:rsid w:val="00395A0D"/>
    <w:rsid w:val="00396258"/>
    <w:rsid w:val="0039635B"/>
    <w:rsid w:val="00396BDA"/>
    <w:rsid w:val="00396CB8"/>
    <w:rsid w:val="003A060B"/>
    <w:rsid w:val="003A1E02"/>
    <w:rsid w:val="003A2BDF"/>
    <w:rsid w:val="003A2C56"/>
    <w:rsid w:val="003A2E0D"/>
    <w:rsid w:val="003A2FB1"/>
    <w:rsid w:val="003A35F0"/>
    <w:rsid w:val="003A3EEE"/>
    <w:rsid w:val="003A498E"/>
    <w:rsid w:val="003A50D3"/>
    <w:rsid w:val="003A5AEA"/>
    <w:rsid w:val="003A5F71"/>
    <w:rsid w:val="003A668C"/>
    <w:rsid w:val="003A6B48"/>
    <w:rsid w:val="003A6DA0"/>
    <w:rsid w:val="003B0459"/>
    <w:rsid w:val="003B05E7"/>
    <w:rsid w:val="003B0F39"/>
    <w:rsid w:val="003B1733"/>
    <w:rsid w:val="003B1F42"/>
    <w:rsid w:val="003B25CC"/>
    <w:rsid w:val="003B2987"/>
    <w:rsid w:val="003B2E41"/>
    <w:rsid w:val="003B398C"/>
    <w:rsid w:val="003B4B09"/>
    <w:rsid w:val="003B51B3"/>
    <w:rsid w:val="003B5909"/>
    <w:rsid w:val="003B6C53"/>
    <w:rsid w:val="003B7762"/>
    <w:rsid w:val="003B7AE0"/>
    <w:rsid w:val="003B7E0B"/>
    <w:rsid w:val="003B7EA6"/>
    <w:rsid w:val="003C0725"/>
    <w:rsid w:val="003C11E0"/>
    <w:rsid w:val="003C1474"/>
    <w:rsid w:val="003C2180"/>
    <w:rsid w:val="003C3416"/>
    <w:rsid w:val="003C58A1"/>
    <w:rsid w:val="003D0241"/>
    <w:rsid w:val="003D2CDB"/>
    <w:rsid w:val="003D303D"/>
    <w:rsid w:val="003D3292"/>
    <w:rsid w:val="003D34C0"/>
    <w:rsid w:val="003D359B"/>
    <w:rsid w:val="003D46D7"/>
    <w:rsid w:val="003D4ABB"/>
    <w:rsid w:val="003D54E3"/>
    <w:rsid w:val="003D562F"/>
    <w:rsid w:val="003D57D1"/>
    <w:rsid w:val="003D5AD6"/>
    <w:rsid w:val="003D5ADC"/>
    <w:rsid w:val="003D5F63"/>
    <w:rsid w:val="003D7AC8"/>
    <w:rsid w:val="003D7C6D"/>
    <w:rsid w:val="003D7C98"/>
    <w:rsid w:val="003E05D6"/>
    <w:rsid w:val="003E19EC"/>
    <w:rsid w:val="003E2BE3"/>
    <w:rsid w:val="003E3800"/>
    <w:rsid w:val="003E4BE2"/>
    <w:rsid w:val="003E4F45"/>
    <w:rsid w:val="003E5224"/>
    <w:rsid w:val="003E6D9F"/>
    <w:rsid w:val="003E73D3"/>
    <w:rsid w:val="003F0410"/>
    <w:rsid w:val="003F0A39"/>
    <w:rsid w:val="003F1DF1"/>
    <w:rsid w:val="003F2867"/>
    <w:rsid w:val="003F2919"/>
    <w:rsid w:val="003F2A3C"/>
    <w:rsid w:val="003F3838"/>
    <w:rsid w:val="003F3851"/>
    <w:rsid w:val="003F3A49"/>
    <w:rsid w:val="003F3D14"/>
    <w:rsid w:val="003F4A5D"/>
    <w:rsid w:val="003F61B3"/>
    <w:rsid w:val="003F6B1D"/>
    <w:rsid w:val="003F6D33"/>
    <w:rsid w:val="003F7062"/>
    <w:rsid w:val="00400647"/>
    <w:rsid w:val="00400985"/>
    <w:rsid w:val="004017B1"/>
    <w:rsid w:val="004028C7"/>
    <w:rsid w:val="004028F6"/>
    <w:rsid w:val="00402B15"/>
    <w:rsid w:val="00402D75"/>
    <w:rsid w:val="004036E7"/>
    <w:rsid w:val="0040466F"/>
    <w:rsid w:val="004048A4"/>
    <w:rsid w:val="00404F75"/>
    <w:rsid w:val="004064E9"/>
    <w:rsid w:val="0040792D"/>
    <w:rsid w:val="00410BD6"/>
    <w:rsid w:val="00411FEB"/>
    <w:rsid w:val="00412954"/>
    <w:rsid w:val="0041335B"/>
    <w:rsid w:val="004140AF"/>
    <w:rsid w:val="00414F2C"/>
    <w:rsid w:val="00415576"/>
    <w:rsid w:val="004157FE"/>
    <w:rsid w:val="00416CA8"/>
    <w:rsid w:val="00416DD1"/>
    <w:rsid w:val="00417556"/>
    <w:rsid w:val="004207FC"/>
    <w:rsid w:val="00420A0A"/>
    <w:rsid w:val="00425A78"/>
    <w:rsid w:val="00427B46"/>
    <w:rsid w:val="00430DFF"/>
    <w:rsid w:val="0043134A"/>
    <w:rsid w:val="00432183"/>
    <w:rsid w:val="004321A7"/>
    <w:rsid w:val="00433270"/>
    <w:rsid w:val="00433272"/>
    <w:rsid w:val="00433AB3"/>
    <w:rsid w:val="00434D64"/>
    <w:rsid w:val="00434DD2"/>
    <w:rsid w:val="004358DC"/>
    <w:rsid w:val="00435948"/>
    <w:rsid w:val="00435FFA"/>
    <w:rsid w:val="004364DE"/>
    <w:rsid w:val="0043710F"/>
    <w:rsid w:val="004404B2"/>
    <w:rsid w:val="004406AD"/>
    <w:rsid w:val="004412C1"/>
    <w:rsid w:val="004414F6"/>
    <w:rsid w:val="00441536"/>
    <w:rsid w:val="00442A8A"/>
    <w:rsid w:val="00442ED2"/>
    <w:rsid w:val="0044304A"/>
    <w:rsid w:val="00444CCF"/>
    <w:rsid w:val="004455BC"/>
    <w:rsid w:val="004457E4"/>
    <w:rsid w:val="00446DD1"/>
    <w:rsid w:val="00447806"/>
    <w:rsid w:val="004502DF"/>
    <w:rsid w:val="00450C95"/>
    <w:rsid w:val="00451AC9"/>
    <w:rsid w:val="0045271C"/>
    <w:rsid w:val="00452E06"/>
    <w:rsid w:val="0045365F"/>
    <w:rsid w:val="00453D76"/>
    <w:rsid w:val="00453DD5"/>
    <w:rsid w:val="00453E4F"/>
    <w:rsid w:val="00454BEE"/>
    <w:rsid w:val="0045502F"/>
    <w:rsid w:val="00455052"/>
    <w:rsid w:val="00455571"/>
    <w:rsid w:val="00455F52"/>
    <w:rsid w:val="00456CFD"/>
    <w:rsid w:val="0045786D"/>
    <w:rsid w:val="00461288"/>
    <w:rsid w:val="00463231"/>
    <w:rsid w:val="004642A9"/>
    <w:rsid w:val="004642F9"/>
    <w:rsid w:val="00464609"/>
    <w:rsid w:val="004648A8"/>
    <w:rsid w:val="00464E84"/>
    <w:rsid w:val="00467336"/>
    <w:rsid w:val="00470FEC"/>
    <w:rsid w:val="00471070"/>
    <w:rsid w:val="00472177"/>
    <w:rsid w:val="00472EFD"/>
    <w:rsid w:val="00473112"/>
    <w:rsid w:val="0047313F"/>
    <w:rsid w:val="004732EE"/>
    <w:rsid w:val="0047330C"/>
    <w:rsid w:val="00473797"/>
    <w:rsid w:val="00473CE7"/>
    <w:rsid w:val="0047426A"/>
    <w:rsid w:val="004749D7"/>
    <w:rsid w:val="0047568F"/>
    <w:rsid w:val="00475CE2"/>
    <w:rsid w:val="00475E34"/>
    <w:rsid w:val="00477EE1"/>
    <w:rsid w:val="0048168A"/>
    <w:rsid w:val="004825F5"/>
    <w:rsid w:val="00486E7C"/>
    <w:rsid w:val="00487246"/>
    <w:rsid w:val="004872F9"/>
    <w:rsid w:val="00487829"/>
    <w:rsid w:val="004878D0"/>
    <w:rsid w:val="00490FBB"/>
    <w:rsid w:val="0049131D"/>
    <w:rsid w:val="00491A62"/>
    <w:rsid w:val="00491B2A"/>
    <w:rsid w:val="00491E90"/>
    <w:rsid w:val="00492ADC"/>
    <w:rsid w:val="00492E4F"/>
    <w:rsid w:val="00493F69"/>
    <w:rsid w:val="00494535"/>
    <w:rsid w:val="004948A1"/>
    <w:rsid w:val="004952C7"/>
    <w:rsid w:val="00495424"/>
    <w:rsid w:val="00495D74"/>
    <w:rsid w:val="00495E3E"/>
    <w:rsid w:val="004961F9"/>
    <w:rsid w:val="0049686E"/>
    <w:rsid w:val="00496C5E"/>
    <w:rsid w:val="00497BC3"/>
    <w:rsid w:val="004A014C"/>
    <w:rsid w:val="004A019A"/>
    <w:rsid w:val="004A0333"/>
    <w:rsid w:val="004A05BC"/>
    <w:rsid w:val="004A10F8"/>
    <w:rsid w:val="004A1B5E"/>
    <w:rsid w:val="004A2444"/>
    <w:rsid w:val="004A3137"/>
    <w:rsid w:val="004A333C"/>
    <w:rsid w:val="004A4514"/>
    <w:rsid w:val="004A4F72"/>
    <w:rsid w:val="004A523A"/>
    <w:rsid w:val="004A56E4"/>
    <w:rsid w:val="004A57ED"/>
    <w:rsid w:val="004A63F2"/>
    <w:rsid w:val="004A6B81"/>
    <w:rsid w:val="004A7A7E"/>
    <w:rsid w:val="004B026B"/>
    <w:rsid w:val="004B02FB"/>
    <w:rsid w:val="004B1C37"/>
    <w:rsid w:val="004B2026"/>
    <w:rsid w:val="004B214C"/>
    <w:rsid w:val="004B410A"/>
    <w:rsid w:val="004B470D"/>
    <w:rsid w:val="004B48A6"/>
    <w:rsid w:val="004B598F"/>
    <w:rsid w:val="004B5DD3"/>
    <w:rsid w:val="004B6987"/>
    <w:rsid w:val="004B75A5"/>
    <w:rsid w:val="004B7BAD"/>
    <w:rsid w:val="004B7BF9"/>
    <w:rsid w:val="004B7E93"/>
    <w:rsid w:val="004C208F"/>
    <w:rsid w:val="004C2C5E"/>
    <w:rsid w:val="004C2DA7"/>
    <w:rsid w:val="004C2F28"/>
    <w:rsid w:val="004C305B"/>
    <w:rsid w:val="004C30F9"/>
    <w:rsid w:val="004C4736"/>
    <w:rsid w:val="004C50A1"/>
    <w:rsid w:val="004C56EA"/>
    <w:rsid w:val="004C5C1C"/>
    <w:rsid w:val="004C7458"/>
    <w:rsid w:val="004C7C12"/>
    <w:rsid w:val="004D0F62"/>
    <w:rsid w:val="004D1AD4"/>
    <w:rsid w:val="004D1D68"/>
    <w:rsid w:val="004D2465"/>
    <w:rsid w:val="004D2FDE"/>
    <w:rsid w:val="004D3141"/>
    <w:rsid w:val="004D348B"/>
    <w:rsid w:val="004D3AC3"/>
    <w:rsid w:val="004D3D0A"/>
    <w:rsid w:val="004D413A"/>
    <w:rsid w:val="004D41DB"/>
    <w:rsid w:val="004D5193"/>
    <w:rsid w:val="004D57FB"/>
    <w:rsid w:val="004D5E2B"/>
    <w:rsid w:val="004D6CA2"/>
    <w:rsid w:val="004E04A0"/>
    <w:rsid w:val="004E04AE"/>
    <w:rsid w:val="004E067D"/>
    <w:rsid w:val="004E0903"/>
    <w:rsid w:val="004E0A51"/>
    <w:rsid w:val="004E1C45"/>
    <w:rsid w:val="004E1C62"/>
    <w:rsid w:val="004E2ACC"/>
    <w:rsid w:val="004E3241"/>
    <w:rsid w:val="004E3478"/>
    <w:rsid w:val="004E37A2"/>
    <w:rsid w:val="004E3ABF"/>
    <w:rsid w:val="004E45EC"/>
    <w:rsid w:val="004E4606"/>
    <w:rsid w:val="004E56EA"/>
    <w:rsid w:val="004E588E"/>
    <w:rsid w:val="004E63F8"/>
    <w:rsid w:val="004E6968"/>
    <w:rsid w:val="004E69D3"/>
    <w:rsid w:val="004E7BDE"/>
    <w:rsid w:val="004E7EE6"/>
    <w:rsid w:val="004F10B9"/>
    <w:rsid w:val="004F15EE"/>
    <w:rsid w:val="004F1697"/>
    <w:rsid w:val="004F1AA4"/>
    <w:rsid w:val="004F1C1E"/>
    <w:rsid w:val="004F1C20"/>
    <w:rsid w:val="004F2520"/>
    <w:rsid w:val="004F30E9"/>
    <w:rsid w:val="004F3279"/>
    <w:rsid w:val="004F4D05"/>
    <w:rsid w:val="004F5801"/>
    <w:rsid w:val="004F5AF0"/>
    <w:rsid w:val="004F60C0"/>
    <w:rsid w:val="004F6603"/>
    <w:rsid w:val="00500A8F"/>
    <w:rsid w:val="00500FB7"/>
    <w:rsid w:val="00502F2B"/>
    <w:rsid w:val="00503014"/>
    <w:rsid w:val="00504E51"/>
    <w:rsid w:val="0050631A"/>
    <w:rsid w:val="00506491"/>
    <w:rsid w:val="0050692A"/>
    <w:rsid w:val="00506A85"/>
    <w:rsid w:val="00506D21"/>
    <w:rsid w:val="005079E0"/>
    <w:rsid w:val="00507CEF"/>
    <w:rsid w:val="005107C1"/>
    <w:rsid w:val="00511A0B"/>
    <w:rsid w:val="00512220"/>
    <w:rsid w:val="005124A7"/>
    <w:rsid w:val="0051614F"/>
    <w:rsid w:val="005161AF"/>
    <w:rsid w:val="00516737"/>
    <w:rsid w:val="0051690A"/>
    <w:rsid w:val="00517A8B"/>
    <w:rsid w:val="00517F41"/>
    <w:rsid w:val="005207A8"/>
    <w:rsid w:val="0052108A"/>
    <w:rsid w:val="00521266"/>
    <w:rsid w:val="0052219A"/>
    <w:rsid w:val="005229D7"/>
    <w:rsid w:val="0052434C"/>
    <w:rsid w:val="00524A48"/>
    <w:rsid w:val="00524DA3"/>
    <w:rsid w:val="005252B1"/>
    <w:rsid w:val="0052549B"/>
    <w:rsid w:val="00525A47"/>
    <w:rsid w:val="00525BB6"/>
    <w:rsid w:val="00527BE7"/>
    <w:rsid w:val="005300A7"/>
    <w:rsid w:val="00530658"/>
    <w:rsid w:val="005310C8"/>
    <w:rsid w:val="00532445"/>
    <w:rsid w:val="00533434"/>
    <w:rsid w:val="00533A1B"/>
    <w:rsid w:val="00534630"/>
    <w:rsid w:val="0053488C"/>
    <w:rsid w:val="00534C31"/>
    <w:rsid w:val="00534DD9"/>
    <w:rsid w:val="00535042"/>
    <w:rsid w:val="005353FC"/>
    <w:rsid w:val="005358A9"/>
    <w:rsid w:val="00536A3C"/>
    <w:rsid w:val="00537161"/>
    <w:rsid w:val="005377D7"/>
    <w:rsid w:val="005378B5"/>
    <w:rsid w:val="00540A15"/>
    <w:rsid w:val="00541114"/>
    <w:rsid w:val="005411B1"/>
    <w:rsid w:val="005416F4"/>
    <w:rsid w:val="00541C9C"/>
    <w:rsid w:val="00541EF7"/>
    <w:rsid w:val="00542E9B"/>
    <w:rsid w:val="00544098"/>
    <w:rsid w:val="00544961"/>
    <w:rsid w:val="005456BA"/>
    <w:rsid w:val="005459CD"/>
    <w:rsid w:val="00545EF6"/>
    <w:rsid w:val="005462EF"/>
    <w:rsid w:val="00547A78"/>
    <w:rsid w:val="00547F3D"/>
    <w:rsid w:val="00550B87"/>
    <w:rsid w:val="00552EAB"/>
    <w:rsid w:val="005530F7"/>
    <w:rsid w:val="00553267"/>
    <w:rsid w:val="00554D0B"/>
    <w:rsid w:val="00556DEB"/>
    <w:rsid w:val="0055761D"/>
    <w:rsid w:val="00557AD0"/>
    <w:rsid w:val="00557ADD"/>
    <w:rsid w:val="00557DA3"/>
    <w:rsid w:val="00557FDC"/>
    <w:rsid w:val="00561D7C"/>
    <w:rsid w:val="00561F0D"/>
    <w:rsid w:val="00563D2F"/>
    <w:rsid w:val="00564217"/>
    <w:rsid w:val="00565EE5"/>
    <w:rsid w:val="00565EFF"/>
    <w:rsid w:val="00565F88"/>
    <w:rsid w:val="00566107"/>
    <w:rsid w:val="00566D4E"/>
    <w:rsid w:val="005672AE"/>
    <w:rsid w:val="005675D1"/>
    <w:rsid w:val="00567BB9"/>
    <w:rsid w:val="00570250"/>
    <w:rsid w:val="00570B75"/>
    <w:rsid w:val="00570DCE"/>
    <w:rsid w:val="0057113D"/>
    <w:rsid w:val="005716BD"/>
    <w:rsid w:val="0057171D"/>
    <w:rsid w:val="00572671"/>
    <w:rsid w:val="00572C19"/>
    <w:rsid w:val="00573346"/>
    <w:rsid w:val="005735D5"/>
    <w:rsid w:val="00574270"/>
    <w:rsid w:val="00574314"/>
    <w:rsid w:val="00575233"/>
    <w:rsid w:val="0057531E"/>
    <w:rsid w:val="005754F3"/>
    <w:rsid w:val="00575D64"/>
    <w:rsid w:val="005771DC"/>
    <w:rsid w:val="00577CAD"/>
    <w:rsid w:val="00580654"/>
    <w:rsid w:val="0058077B"/>
    <w:rsid w:val="00580BC7"/>
    <w:rsid w:val="005817D6"/>
    <w:rsid w:val="00582374"/>
    <w:rsid w:val="00582F9E"/>
    <w:rsid w:val="0058340E"/>
    <w:rsid w:val="005837B8"/>
    <w:rsid w:val="005842E8"/>
    <w:rsid w:val="00585200"/>
    <w:rsid w:val="00585A6D"/>
    <w:rsid w:val="005860C6"/>
    <w:rsid w:val="005870A1"/>
    <w:rsid w:val="0058746A"/>
    <w:rsid w:val="005875E9"/>
    <w:rsid w:val="0058795A"/>
    <w:rsid w:val="00587FF0"/>
    <w:rsid w:val="00591025"/>
    <w:rsid w:val="005912FA"/>
    <w:rsid w:val="0059145A"/>
    <w:rsid w:val="00592183"/>
    <w:rsid w:val="00592719"/>
    <w:rsid w:val="00593BE5"/>
    <w:rsid w:val="0059400C"/>
    <w:rsid w:val="00594A7A"/>
    <w:rsid w:val="00595574"/>
    <w:rsid w:val="005957CD"/>
    <w:rsid w:val="00595CC9"/>
    <w:rsid w:val="005973E3"/>
    <w:rsid w:val="00597981"/>
    <w:rsid w:val="005A05E5"/>
    <w:rsid w:val="005A0C40"/>
    <w:rsid w:val="005A1464"/>
    <w:rsid w:val="005A4526"/>
    <w:rsid w:val="005A4646"/>
    <w:rsid w:val="005A4718"/>
    <w:rsid w:val="005A4E74"/>
    <w:rsid w:val="005A5DD2"/>
    <w:rsid w:val="005A63CD"/>
    <w:rsid w:val="005A7BD6"/>
    <w:rsid w:val="005B0256"/>
    <w:rsid w:val="005B0B39"/>
    <w:rsid w:val="005B1BF2"/>
    <w:rsid w:val="005B1C9D"/>
    <w:rsid w:val="005B1F28"/>
    <w:rsid w:val="005B2007"/>
    <w:rsid w:val="005B3195"/>
    <w:rsid w:val="005B3352"/>
    <w:rsid w:val="005B4517"/>
    <w:rsid w:val="005B462B"/>
    <w:rsid w:val="005B5DFD"/>
    <w:rsid w:val="005B7264"/>
    <w:rsid w:val="005B752D"/>
    <w:rsid w:val="005C00C1"/>
    <w:rsid w:val="005C0B72"/>
    <w:rsid w:val="005C0DA8"/>
    <w:rsid w:val="005C0F7D"/>
    <w:rsid w:val="005C12B6"/>
    <w:rsid w:val="005C18CD"/>
    <w:rsid w:val="005C1E1F"/>
    <w:rsid w:val="005C2086"/>
    <w:rsid w:val="005C2758"/>
    <w:rsid w:val="005C3814"/>
    <w:rsid w:val="005C3974"/>
    <w:rsid w:val="005C512D"/>
    <w:rsid w:val="005C5B34"/>
    <w:rsid w:val="005C5E4C"/>
    <w:rsid w:val="005C5F9B"/>
    <w:rsid w:val="005C5FF3"/>
    <w:rsid w:val="005C670A"/>
    <w:rsid w:val="005C68DD"/>
    <w:rsid w:val="005C6D97"/>
    <w:rsid w:val="005C77E0"/>
    <w:rsid w:val="005C7F33"/>
    <w:rsid w:val="005D07C0"/>
    <w:rsid w:val="005D081B"/>
    <w:rsid w:val="005D0928"/>
    <w:rsid w:val="005D1005"/>
    <w:rsid w:val="005D1D66"/>
    <w:rsid w:val="005D23C3"/>
    <w:rsid w:val="005D2685"/>
    <w:rsid w:val="005D2832"/>
    <w:rsid w:val="005D2CDF"/>
    <w:rsid w:val="005D358D"/>
    <w:rsid w:val="005D3846"/>
    <w:rsid w:val="005D40B4"/>
    <w:rsid w:val="005D41B5"/>
    <w:rsid w:val="005D441F"/>
    <w:rsid w:val="005D46AB"/>
    <w:rsid w:val="005D51CA"/>
    <w:rsid w:val="005D5F82"/>
    <w:rsid w:val="005D71AB"/>
    <w:rsid w:val="005D769C"/>
    <w:rsid w:val="005E00E6"/>
    <w:rsid w:val="005E0723"/>
    <w:rsid w:val="005E0AE1"/>
    <w:rsid w:val="005E0C35"/>
    <w:rsid w:val="005E11DE"/>
    <w:rsid w:val="005E140D"/>
    <w:rsid w:val="005E1AC4"/>
    <w:rsid w:val="005E1B6B"/>
    <w:rsid w:val="005E1DD4"/>
    <w:rsid w:val="005E3326"/>
    <w:rsid w:val="005E42B6"/>
    <w:rsid w:val="005E4846"/>
    <w:rsid w:val="005E488B"/>
    <w:rsid w:val="005E576A"/>
    <w:rsid w:val="005E5F18"/>
    <w:rsid w:val="005E62EE"/>
    <w:rsid w:val="005E708D"/>
    <w:rsid w:val="005E7E49"/>
    <w:rsid w:val="005F0703"/>
    <w:rsid w:val="005F09CF"/>
    <w:rsid w:val="005F1ED3"/>
    <w:rsid w:val="005F2044"/>
    <w:rsid w:val="005F3962"/>
    <w:rsid w:val="005F4261"/>
    <w:rsid w:val="005F6C43"/>
    <w:rsid w:val="005F73FE"/>
    <w:rsid w:val="005F7412"/>
    <w:rsid w:val="005F7895"/>
    <w:rsid w:val="005F7A0D"/>
    <w:rsid w:val="005F7F50"/>
    <w:rsid w:val="00600259"/>
    <w:rsid w:val="0060134E"/>
    <w:rsid w:val="00602519"/>
    <w:rsid w:val="00602885"/>
    <w:rsid w:val="00603411"/>
    <w:rsid w:val="0060468A"/>
    <w:rsid w:val="00604707"/>
    <w:rsid w:val="00604DCE"/>
    <w:rsid w:val="00604EA3"/>
    <w:rsid w:val="00605581"/>
    <w:rsid w:val="006060B1"/>
    <w:rsid w:val="00606379"/>
    <w:rsid w:val="00607D14"/>
    <w:rsid w:val="00607D7C"/>
    <w:rsid w:val="006103AC"/>
    <w:rsid w:val="0061094A"/>
    <w:rsid w:val="00610F8A"/>
    <w:rsid w:val="0061160C"/>
    <w:rsid w:val="00611938"/>
    <w:rsid w:val="00611D93"/>
    <w:rsid w:val="00615566"/>
    <w:rsid w:val="00615D03"/>
    <w:rsid w:val="00616D22"/>
    <w:rsid w:val="00622880"/>
    <w:rsid w:val="00622A34"/>
    <w:rsid w:val="00622B40"/>
    <w:rsid w:val="00625595"/>
    <w:rsid w:val="0062573A"/>
    <w:rsid w:val="00625E06"/>
    <w:rsid w:val="006267E4"/>
    <w:rsid w:val="00626E96"/>
    <w:rsid w:val="00626F28"/>
    <w:rsid w:val="0062709E"/>
    <w:rsid w:val="00627777"/>
    <w:rsid w:val="00632B45"/>
    <w:rsid w:val="0063370F"/>
    <w:rsid w:val="0063392D"/>
    <w:rsid w:val="00635301"/>
    <w:rsid w:val="00635318"/>
    <w:rsid w:val="00635AC0"/>
    <w:rsid w:val="00635C16"/>
    <w:rsid w:val="00635E91"/>
    <w:rsid w:val="006365A3"/>
    <w:rsid w:val="00636E6D"/>
    <w:rsid w:val="006402C9"/>
    <w:rsid w:val="0064050D"/>
    <w:rsid w:val="0064057C"/>
    <w:rsid w:val="006406F6"/>
    <w:rsid w:val="0064118E"/>
    <w:rsid w:val="00641C1F"/>
    <w:rsid w:val="00641FF1"/>
    <w:rsid w:val="00642832"/>
    <w:rsid w:val="006428B8"/>
    <w:rsid w:val="006428DD"/>
    <w:rsid w:val="00642B8A"/>
    <w:rsid w:val="00642D3A"/>
    <w:rsid w:val="006439A1"/>
    <w:rsid w:val="00644DF5"/>
    <w:rsid w:val="00645205"/>
    <w:rsid w:val="006452F5"/>
    <w:rsid w:val="00645A49"/>
    <w:rsid w:val="00645A90"/>
    <w:rsid w:val="00646E8A"/>
    <w:rsid w:val="006478E7"/>
    <w:rsid w:val="00650B87"/>
    <w:rsid w:val="00651250"/>
    <w:rsid w:val="006515CD"/>
    <w:rsid w:val="0065205D"/>
    <w:rsid w:val="0065249C"/>
    <w:rsid w:val="006527E3"/>
    <w:rsid w:val="00652AAE"/>
    <w:rsid w:val="00652D36"/>
    <w:rsid w:val="0065321B"/>
    <w:rsid w:val="00653364"/>
    <w:rsid w:val="00653A5A"/>
    <w:rsid w:val="00653F80"/>
    <w:rsid w:val="00654A88"/>
    <w:rsid w:val="00655D39"/>
    <w:rsid w:val="00656B8B"/>
    <w:rsid w:val="006573B5"/>
    <w:rsid w:val="00657617"/>
    <w:rsid w:val="00657B1F"/>
    <w:rsid w:val="006600C5"/>
    <w:rsid w:val="00660EE0"/>
    <w:rsid w:val="00660F30"/>
    <w:rsid w:val="00661501"/>
    <w:rsid w:val="006619FF"/>
    <w:rsid w:val="00661DC1"/>
    <w:rsid w:val="00662536"/>
    <w:rsid w:val="006626D3"/>
    <w:rsid w:val="006636B2"/>
    <w:rsid w:val="00663BC5"/>
    <w:rsid w:val="00663C23"/>
    <w:rsid w:val="00663D6F"/>
    <w:rsid w:val="00664749"/>
    <w:rsid w:val="00664E34"/>
    <w:rsid w:val="00665665"/>
    <w:rsid w:val="006656C5"/>
    <w:rsid w:val="00666356"/>
    <w:rsid w:val="006700CA"/>
    <w:rsid w:val="006701B7"/>
    <w:rsid w:val="0067024E"/>
    <w:rsid w:val="00671C66"/>
    <w:rsid w:val="0067264C"/>
    <w:rsid w:val="00672837"/>
    <w:rsid w:val="006728C9"/>
    <w:rsid w:val="00673050"/>
    <w:rsid w:val="00673207"/>
    <w:rsid w:val="006740C2"/>
    <w:rsid w:val="0067443E"/>
    <w:rsid w:val="006748D1"/>
    <w:rsid w:val="00677AE3"/>
    <w:rsid w:val="006802CB"/>
    <w:rsid w:val="006817D0"/>
    <w:rsid w:val="00681914"/>
    <w:rsid w:val="00681BB1"/>
    <w:rsid w:val="00682E4B"/>
    <w:rsid w:val="00683456"/>
    <w:rsid w:val="00684032"/>
    <w:rsid w:val="00684656"/>
    <w:rsid w:val="00684F17"/>
    <w:rsid w:val="00685355"/>
    <w:rsid w:val="00685932"/>
    <w:rsid w:val="00685E75"/>
    <w:rsid w:val="00686639"/>
    <w:rsid w:val="006869A2"/>
    <w:rsid w:val="00686EED"/>
    <w:rsid w:val="00687A62"/>
    <w:rsid w:val="00687B8A"/>
    <w:rsid w:val="00690577"/>
    <w:rsid w:val="00692A0F"/>
    <w:rsid w:val="006944BB"/>
    <w:rsid w:val="00694657"/>
    <w:rsid w:val="006951D3"/>
    <w:rsid w:val="00695346"/>
    <w:rsid w:val="00695CF6"/>
    <w:rsid w:val="006960C5"/>
    <w:rsid w:val="00696498"/>
    <w:rsid w:val="00696617"/>
    <w:rsid w:val="006970A6"/>
    <w:rsid w:val="00697925"/>
    <w:rsid w:val="00697BEB"/>
    <w:rsid w:val="00697BED"/>
    <w:rsid w:val="006A0908"/>
    <w:rsid w:val="006A14DF"/>
    <w:rsid w:val="006A1A95"/>
    <w:rsid w:val="006A32FF"/>
    <w:rsid w:val="006A42A4"/>
    <w:rsid w:val="006A467F"/>
    <w:rsid w:val="006A49DC"/>
    <w:rsid w:val="006A6DB0"/>
    <w:rsid w:val="006A71B3"/>
    <w:rsid w:val="006B02DC"/>
    <w:rsid w:val="006B1720"/>
    <w:rsid w:val="006B1767"/>
    <w:rsid w:val="006B19BA"/>
    <w:rsid w:val="006B20A9"/>
    <w:rsid w:val="006B2228"/>
    <w:rsid w:val="006B2C09"/>
    <w:rsid w:val="006B2EAF"/>
    <w:rsid w:val="006B3631"/>
    <w:rsid w:val="006B4071"/>
    <w:rsid w:val="006B54F8"/>
    <w:rsid w:val="006B5EBE"/>
    <w:rsid w:val="006B7433"/>
    <w:rsid w:val="006B7FA6"/>
    <w:rsid w:val="006C08B9"/>
    <w:rsid w:val="006C0927"/>
    <w:rsid w:val="006C0AC3"/>
    <w:rsid w:val="006C108B"/>
    <w:rsid w:val="006C177F"/>
    <w:rsid w:val="006C2B42"/>
    <w:rsid w:val="006C349A"/>
    <w:rsid w:val="006C3A7A"/>
    <w:rsid w:val="006C4A1C"/>
    <w:rsid w:val="006C56B1"/>
    <w:rsid w:val="006C76CD"/>
    <w:rsid w:val="006C7A30"/>
    <w:rsid w:val="006D0016"/>
    <w:rsid w:val="006D029C"/>
    <w:rsid w:val="006D0E7C"/>
    <w:rsid w:val="006D236E"/>
    <w:rsid w:val="006D32CE"/>
    <w:rsid w:val="006D41D6"/>
    <w:rsid w:val="006D5154"/>
    <w:rsid w:val="006D528E"/>
    <w:rsid w:val="006D5DDC"/>
    <w:rsid w:val="006D6D79"/>
    <w:rsid w:val="006D7C58"/>
    <w:rsid w:val="006E025A"/>
    <w:rsid w:val="006E0A48"/>
    <w:rsid w:val="006E0E30"/>
    <w:rsid w:val="006E1471"/>
    <w:rsid w:val="006E17B5"/>
    <w:rsid w:val="006E1E68"/>
    <w:rsid w:val="006E235B"/>
    <w:rsid w:val="006E29F7"/>
    <w:rsid w:val="006E2E82"/>
    <w:rsid w:val="006E2F32"/>
    <w:rsid w:val="006E3F01"/>
    <w:rsid w:val="006E463A"/>
    <w:rsid w:val="006E4A1B"/>
    <w:rsid w:val="006E53A1"/>
    <w:rsid w:val="006E552D"/>
    <w:rsid w:val="006E65D7"/>
    <w:rsid w:val="006F01C4"/>
    <w:rsid w:val="006F0496"/>
    <w:rsid w:val="006F0855"/>
    <w:rsid w:val="006F1462"/>
    <w:rsid w:val="006F1806"/>
    <w:rsid w:val="006F24E5"/>
    <w:rsid w:val="006F25EC"/>
    <w:rsid w:val="006F2DBE"/>
    <w:rsid w:val="006F2EB1"/>
    <w:rsid w:val="006F3A55"/>
    <w:rsid w:val="006F3BB2"/>
    <w:rsid w:val="006F5574"/>
    <w:rsid w:val="006F6052"/>
    <w:rsid w:val="006F6109"/>
    <w:rsid w:val="006F65BF"/>
    <w:rsid w:val="006F673B"/>
    <w:rsid w:val="006F7E95"/>
    <w:rsid w:val="00700E2C"/>
    <w:rsid w:val="00701060"/>
    <w:rsid w:val="0070194F"/>
    <w:rsid w:val="00701CDF"/>
    <w:rsid w:val="0070277C"/>
    <w:rsid w:val="007032D3"/>
    <w:rsid w:val="0070363E"/>
    <w:rsid w:val="007038A9"/>
    <w:rsid w:val="00703BB3"/>
    <w:rsid w:val="00703D9D"/>
    <w:rsid w:val="007047A6"/>
    <w:rsid w:val="00704AE0"/>
    <w:rsid w:val="007053DF"/>
    <w:rsid w:val="0070613D"/>
    <w:rsid w:val="00706490"/>
    <w:rsid w:val="00707609"/>
    <w:rsid w:val="00710BF7"/>
    <w:rsid w:val="007116A4"/>
    <w:rsid w:val="0071236F"/>
    <w:rsid w:val="0071258B"/>
    <w:rsid w:val="00713728"/>
    <w:rsid w:val="00714A85"/>
    <w:rsid w:val="00714D07"/>
    <w:rsid w:val="00715181"/>
    <w:rsid w:val="00715818"/>
    <w:rsid w:val="00716118"/>
    <w:rsid w:val="007168AA"/>
    <w:rsid w:val="00717443"/>
    <w:rsid w:val="00717A31"/>
    <w:rsid w:val="00717E20"/>
    <w:rsid w:val="00720674"/>
    <w:rsid w:val="00721603"/>
    <w:rsid w:val="00721B63"/>
    <w:rsid w:val="00721E7E"/>
    <w:rsid w:val="00721EBF"/>
    <w:rsid w:val="0072212A"/>
    <w:rsid w:val="00724F52"/>
    <w:rsid w:val="00725D90"/>
    <w:rsid w:val="00726D7D"/>
    <w:rsid w:val="00726DED"/>
    <w:rsid w:val="007275C3"/>
    <w:rsid w:val="0072766E"/>
    <w:rsid w:val="0073096E"/>
    <w:rsid w:val="00730CD0"/>
    <w:rsid w:val="0073107E"/>
    <w:rsid w:val="00731113"/>
    <w:rsid w:val="0073150A"/>
    <w:rsid w:val="007323EA"/>
    <w:rsid w:val="00732649"/>
    <w:rsid w:val="00732B57"/>
    <w:rsid w:val="00734383"/>
    <w:rsid w:val="00735F6F"/>
    <w:rsid w:val="00736C3F"/>
    <w:rsid w:val="00737784"/>
    <w:rsid w:val="00737A82"/>
    <w:rsid w:val="007401CC"/>
    <w:rsid w:val="007402F5"/>
    <w:rsid w:val="00740CE6"/>
    <w:rsid w:val="00740FA7"/>
    <w:rsid w:val="007410E4"/>
    <w:rsid w:val="0074214D"/>
    <w:rsid w:val="007425A9"/>
    <w:rsid w:val="00742C84"/>
    <w:rsid w:val="007440B0"/>
    <w:rsid w:val="0074412B"/>
    <w:rsid w:val="00744303"/>
    <w:rsid w:val="00744370"/>
    <w:rsid w:val="00744A96"/>
    <w:rsid w:val="00746452"/>
    <w:rsid w:val="00746828"/>
    <w:rsid w:val="00747598"/>
    <w:rsid w:val="0074799E"/>
    <w:rsid w:val="00747A46"/>
    <w:rsid w:val="00747FE9"/>
    <w:rsid w:val="00750C56"/>
    <w:rsid w:val="007531E4"/>
    <w:rsid w:val="0075364B"/>
    <w:rsid w:val="007537CA"/>
    <w:rsid w:val="00753D16"/>
    <w:rsid w:val="00753F4E"/>
    <w:rsid w:val="007540DF"/>
    <w:rsid w:val="007545C6"/>
    <w:rsid w:val="00754605"/>
    <w:rsid w:val="0075542F"/>
    <w:rsid w:val="007555A3"/>
    <w:rsid w:val="00756493"/>
    <w:rsid w:val="0075698C"/>
    <w:rsid w:val="00760850"/>
    <w:rsid w:val="00760C62"/>
    <w:rsid w:val="007614C7"/>
    <w:rsid w:val="007615E4"/>
    <w:rsid w:val="00762A81"/>
    <w:rsid w:val="007630CA"/>
    <w:rsid w:val="00763502"/>
    <w:rsid w:val="007638DD"/>
    <w:rsid w:val="00763F3C"/>
    <w:rsid w:val="0076429B"/>
    <w:rsid w:val="007646A5"/>
    <w:rsid w:val="00764A85"/>
    <w:rsid w:val="00765937"/>
    <w:rsid w:val="00765C09"/>
    <w:rsid w:val="00765D1F"/>
    <w:rsid w:val="0076740E"/>
    <w:rsid w:val="00767A1A"/>
    <w:rsid w:val="00770002"/>
    <w:rsid w:val="0077112A"/>
    <w:rsid w:val="007713EA"/>
    <w:rsid w:val="00772289"/>
    <w:rsid w:val="007729B4"/>
    <w:rsid w:val="00773C4D"/>
    <w:rsid w:val="00773E83"/>
    <w:rsid w:val="00774307"/>
    <w:rsid w:val="00774351"/>
    <w:rsid w:val="0077502F"/>
    <w:rsid w:val="007752BF"/>
    <w:rsid w:val="007756A2"/>
    <w:rsid w:val="00775767"/>
    <w:rsid w:val="00775C54"/>
    <w:rsid w:val="00775DB0"/>
    <w:rsid w:val="00776DB3"/>
    <w:rsid w:val="0077783A"/>
    <w:rsid w:val="00780337"/>
    <w:rsid w:val="0078067C"/>
    <w:rsid w:val="00781354"/>
    <w:rsid w:val="00782443"/>
    <w:rsid w:val="007836A1"/>
    <w:rsid w:val="00783B17"/>
    <w:rsid w:val="00784397"/>
    <w:rsid w:val="0078538B"/>
    <w:rsid w:val="00785783"/>
    <w:rsid w:val="00785956"/>
    <w:rsid w:val="00786244"/>
    <w:rsid w:val="00790AA7"/>
    <w:rsid w:val="00791F27"/>
    <w:rsid w:val="00792A52"/>
    <w:rsid w:val="00792CEA"/>
    <w:rsid w:val="00795574"/>
    <w:rsid w:val="00795615"/>
    <w:rsid w:val="00795F87"/>
    <w:rsid w:val="00796BEA"/>
    <w:rsid w:val="007970A4"/>
    <w:rsid w:val="00797739"/>
    <w:rsid w:val="00797BCD"/>
    <w:rsid w:val="00797CAF"/>
    <w:rsid w:val="00797D80"/>
    <w:rsid w:val="007A0C6B"/>
    <w:rsid w:val="007A0D05"/>
    <w:rsid w:val="007A1808"/>
    <w:rsid w:val="007A18B9"/>
    <w:rsid w:val="007A2665"/>
    <w:rsid w:val="007A2B75"/>
    <w:rsid w:val="007A437C"/>
    <w:rsid w:val="007A44B3"/>
    <w:rsid w:val="007A460B"/>
    <w:rsid w:val="007A4A84"/>
    <w:rsid w:val="007A60EF"/>
    <w:rsid w:val="007A646C"/>
    <w:rsid w:val="007A64B9"/>
    <w:rsid w:val="007A66C8"/>
    <w:rsid w:val="007A680D"/>
    <w:rsid w:val="007A7044"/>
    <w:rsid w:val="007A7439"/>
    <w:rsid w:val="007A7F65"/>
    <w:rsid w:val="007B0494"/>
    <w:rsid w:val="007B2D20"/>
    <w:rsid w:val="007B2D39"/>
    <w:rsid w:val="007B2E23"/>
    <w:rsid w:val="007B3199"/>
    <w:rsid w:val="007B3A21"/>
    <w:rsid w:val="007B3E67"/>
    <w:rsid w:val="007B40A2"/>
    <w:rsid w:val="007B50D4"/>
    <w:rsid w:val="007B6131"/>
    <w:rsid w:val="007C020D"/>
    <w:rsid w:val="007C06AE"/>
    <w:rsid w:val="007C0780"/>
    <w:rsid w:val="007C0798"/>
    <w:rsid w:val="007C091A"/>
    <w:rsid w:val="007C0BA0"/>
    <w:rsid w:val="007C0C14"/>
    <w:rsid w:val="007C0CAB"/>
    <w:rsid w:val="007C0E4B"/>
    <w:rsid w:val="007C1031"/>
    <w:rsid w:val="007C2EBB"/>
    <w:rsid w:val="007C326B"/>
    <w:rsid w:val="007C395A"/>
    <w:rsid w:val="007C4100"/>
    <w:rsid w:val="007C477A"/>
    <w:rsid w:val="007C4B51"/>
    <w:rsid w:val="007C4B62"/>
    <w:rsid w:val="007C4D08"/>
    <w:rsid w:val="007C51D6"/>
    <w:rsid w:val="007C562A"/>
    <w:rsid w:val="007C5E17"/>
    <w:rsid w:val="007C5E4C"/>
    <w:rsid w:val="007C6FDC"/>
    <w:rsid w:val="007C7001"/>
    <w:rsid w:val="007C70E0"/>
    <w:rsid w:val="007C7B8A"/>
    <w:rsid w:val="007D1838"/>
    <w:rsid w:val="007D2B43"/>
    <w:rsid w:val="007D3E02"/>
    <w:rsid w:val="007D4008"/>
    <w:rsid w:val="007D426E"/>
    <w:rsid w:val="007D480B"/>
    <w:rsid w:val="007D4B46"/>
    <w:rsid w:val="007D6495"/>
    <w:rsid w:val="007D6B83"/>
    <w:rsid w:val="007D778F"/>
    <w:rsid w:val="007D7B4D"/>
    <w:rsid w:val="007E000C"/>
    <w:rsid w:val="007E115E"/>
    <w:rsid w:val="007E1F38"/>
    <w:rsid w:val="007E2525"/>
    <w:rsid w:val="007E265F"/>
    <w:rsid w:val="007E3527"/>
    <w:rsid w:val="007E3595"/>
    <w:rsid w:val="007E433B"/>
    <w:rsid w:val="007E5DC3"/>
    <w:rsid w:val="007E6420"/>
    <w:rsid w:val="007E6DC3"/>
    <w:rsid w:val="007F1CA1"/>
    <w:rsid w:val="007F1DCA"/>
    <w:rsid w:val="007F3191"/>
    <w:rsid w:val="007F4B44"/>
    <w:rsid w:val="007F52AB"/>
    <w:rsid w:val="007F5A34"/>
    <w:rsid w:val="007F604A"/>
    <w:rsid w:val="007F6122"/>
    <w:rsid w:val="007F6BDC"/>
    <w:rsid w:val="007F743B"/>
    <w:rsid w:val="0080281B"/>
    <w:rsid w:val="00803279"/>
    <w:rsid w:val="008033EA"/>
    <w:rsid w:val="00803738"/>
    <w:rsid w:val="0080426C"/>
    <w:rsid w:val="00804AC3"/>
    <w:rsid w:val="00805432"/>
    <w:rsid w:val="0080688E"/>
    <w:rsid w:val="00806DA2"/>
    <w:rsid w:val="00807730"/>
    <w:rsid w:val="00810448"/>
    <w:rsid w:val="00812153"/>
    <w:rsid w:val="00812AC7"/>
    <w:rsid w:val="00813E09"/>
    <w:rsid w:val="00813F88"/>
    <w:rsid w:val="008144DA"/>
    <w:rsid w:val="00815766"/>
    <w:rsid w:val="00815F39"/>
    <w:rsid w:val="008160CF"/>
    <w:rsid w:val="008160E3"/>
    <w:rsid w:val="00816903"/>
    <w:rsid w:val="00817253"/>
    <w:rsid w:val="008175D8"/>
    <w:rsid w:val="008214B9"/>
    <w:rsid w:val="0082190D"/>
    <w:rsid w:val="0082246C"/>
    <w:rsid w:val="008227D4"/>
    <w:rsid w:val="00822D8F"/>
    <w:rsid w:val="008235D7"/>
    <w:rsid w:val="00823B2D"/>
    <w:rsid w:val="00823D6D"/>
    <w:rsid w:val="0082472C"/>
    <w:rsid w:val="0082580D"/>
    <w:rsid w:val="008274EC"/>
    <w:rsid w:val="008276FC"/>
    <w:rsid w:val="0083033C"/>
    <w:rsid w:val="008305A6"/>
    <w:rsid w:val="008309B4"/>
    <w:rsid w:val="008309D7"/>
    <w:rsid w:val="00830FCF"/>
    <w:rsid w:val="00832157"/>
    <w:rsid w:val="008324E9"/>
    <w:rsid w:val="008326A0"/>
    <w:rsid w:val="008326D0"/>
    <w:rsid w:val="00832895"/>
    <w:rsid w:val="00833432"/>
    <w:rsid w:val="00835501"/>
    <w:rsid w:val="008357E5"/>
    <w:rsid w:val="0083701A"/>
    <w:rsid w:val="00837620"/>
    <w:rsid w:val="00837B62"/>
    <w:rsid w:val="00837F35"/>
    <w:rsid w:val="00840163"/>
    <w:rsid w:val="00841107"/>
    <w:rsid w:val="00841671"/>
    <w:rsid w:val="00842493"/>
    <w:rsid w:val="00842826"/>
    <w:rsid w:val="008431A5"/>
    <w:rsid w:val="00844D7E"/>
    <w:rsid w:val="00845B41"/>
    <w:rsid w:val="00847860"/>
    <w:rsid w:val="00847917"/>
    <w:rsid w:val="00847B78"/>
    <w:rsid w:val="00847EEE"/>
    <w:rsid w:val="0085000F"/>
    <w:rsid w:val="008502BE"/>
    <w:rsid w:val="008506D5"/>
    <w:rsid w:val="0085133F"/>
    <w:rsid w:val="0085180D"/>
    <w:rsid w:val="0085209B"/>
    <w:rsid w:val="0085399E"/>
    <w:rsid w:val="00854A6E"/>
    <w:rsid w:val="008554FA"/>
    <w:rsid w:val="00855C71"/>
    <w:rsid w:val="00855E56"/>
    <w:rsid w:val="00856146"/>
    <w:rsid w:val="008566E0"/>
    <w:rsid w:val="00856872"/>
    <w:rsid w:val="00857AF0"/>
    <w:rsid w:val="00857ED2"/>
    <w:rsid w:val="008600A1"/>
    <w:rsid w:val="0086035D"/>
    <w:rsid w:val="008605B7"/>
    <w:rsid w:val="008605E6"/>
    <w:rsid w:val="008611C7"/>
    <w:rsid w:val="008612A9"/>
    <w:rsid w:val="00862007"/>
    <w:rsid w:val="008631E7"/>
    <w:rsid w:val="008631F6"/>
    <w:rsid w:val="00863B8A"/>
    <w:rsid w:val="00864D62"/>
    <w:rsid w:val="00864E1F"/>
    <w:rsid w:val="008652B4"/>
    <w:rsid w:val="00865D4C"/>
    <w:rsid w:val="00866430"/>
    <w:rsid w:val="00866DB6"/>
    <w:rsid w:val="00867985"/>
    <w:rsid w:val="00867BFF"/>
    <w:rsid w:val="00870A86"/>
    <w:rsid w:val="00871000"/>
    <w:rsid w:val="00871132"/>
    <w:rsid w:val="00871B04"/>
    <w:rsid w:val="008724AC"/>
    <w:rsid w:val="0087268A"/>
    <w:rsid w:val="00872892"/>
    <w:rsid w:val="00873342"/>
    <w:rsid w:val="0087416B"/>
    <w:rsid w:val="00874581"/>
    <w:rsid w:val="008745B9"/>
    <w:rsid w:val="00874668"/>
    <w:rsid w:val="00874694"/>
    <w:rsid w:val="00875F3D"/>
    <w:rsid w:val="008764B6"/>
    <w:rsid w:val="008774AA"/>
    <w:rsid w:val="00877CE0"/>
    <w:rsid w:val="00880313"/>
    <w:rsid w:val="00880E03"/>
    <w:rsid w:val="00881583"/>
    <w:rsid w:val="0088158E"/>
    <w:rsid w:val="00881A1B"/>
    <w:rsid w:val="00881CC8"/>
    <w:rsid w:val="0088267F"/>
    <w:rsid w:val="00884E4F"/>
    <w:rsid w:val="00885566"/>
    <w:rsid w:val="00885822"/>
    <w:rsid w:val="00885B0F"/>
    <w:rsid w:val="00886BA9"/>
    <w:rsid w:val="00886C5A"/>
    <w:rsid w:val="00886F6E"/>
    <w:rsid w:val="0088739B"/>
    <w:rsid w:val="00890FEA"/>
    <w:rsid w:val="00891073"/>
    <w:rsid w:val="00891488"/>
    <w:rsid w:val="0089161C"/>
    <w:rsid w:val="00891ACA"/>
    <w:rsid w:val="008953FD"/>
    <w:rsid w:val="00895CEC"/>
    <w:rsid w:val="00895D8D"/>
    <w:rsid w:val="008968C8"/>
    <w:rsid w:val="00896F55"/>
    <w:rsid w:val="0089704D"/>
    <w:rsid w:val="00897669"/>
    <w:rsid w:val="008A10B3"/>
    <w:rsid w:val="008A244F"/>
    <w:rsid w:val="008A4C03"/>
    <w:rsid w:val="008A4D3F"/>
    <w:rsid w:val="008A63AB"/>
    <w:rsid w:val="008A68EA"/>
    <w:rsid w:val="008A68FD"/>
    <w:rsid w:val="008A75B5"/>
    <w:rsid w:val="008A7E3E"/>
    <w:rsid w:val="008B051D"/>
    <w:rsid w:val="008B085A"/>
    <w:rsid w:val="008B0F91"/>
    <w:rsid w:val="008B120A"/>
    <w:rsid w:val="008B1D50"/>
    <w:rsid w:val="008B1E2F"/>
    <w:rsid w:val="008B2F62"/>
    <w:rsid w:val="008B323E"/>
    <w:rsid w:val="008B377C"/>
    <w:rsid w:val="008B3BDF"/>
    <w:rsid w:val="008B40E2"/>
    <w:rsid w:val="008B5DF1"/>
    <w:rsid w:val="008B5E7E"/>
    <w:rsid w:val="008B65AC"/>
    <w:rsid w:val="008B6776"/>
    <w:rsid w:val="008B6B43"/>
    <w:rsid w:val="008B7114"/>
    <w:rsid w:val="008B77B1"/>
    <w:rsid w:val="008B7D02"/>
    <w:rsid w:val="008C042D"/>
    <w:rsid w:val="008C0A91"/>
    <w:rsid w:val="008C0DDD"/>
    <w:rsid w:val="008C11EC"/>
    <w:rsid w:val="008C1971"/>
    <w:rsid w:val="008C1EFD"/>
    <w:rsid w:val="008C21C2"/>
    <w:rsid w:val="008C2725"/>
    <w:rsid w:val="008C2731"/>
    <w:rsid w:val="008C3069"/>
    <w:rsid w:val="008C3759"/>
    <w:rsid w:val="008C38DE"/>
    <w:rsid w:val="008C399E"/>
    <w:rsid w:val="008C4B3C"/>
    <w:rsid w:val="008C53C0"/>
    <w:rsid w:val="008C555E"/>
    <w:rsid w:val="008C6016"/>
    <w:rsid w:val="008C618A"/>
    <w:rsid w:val="008C70A4"/>
    <w:rsid w:val="008C727B"/>
    <w:rsid w:val="008C7901"/>
    <w:rsid w:val="008D04C0"/>
    <w:rsid w:val="008D146E"/>
    <w:rsid w:val="008D1780"/>
    <w:rsid w:val="008D19B1"/>
    <w:rsid w:val="008D19E4"/>
    <w:rsid w:val="008D1E7B"/>
    <w:rsid w:val="008D2360"/>
    <w:rsid w:val="008D29DD"/>
    <w:rsid w:val="008D2A73"/>
    <w:rsid w:val="008D2CCD"/>
    <w:rsid w:val="008D33B2"/>
    <w:rsid w:val="008D3ABF"/>
    <w:rsid w:val="008D3C9E"/>
    <w:rsid w:val="008D3F7C"/>
    <w:rsid w:val="008D3FD1"/>
    <w:rsid w:val="008D41F3"/>
    <w:rsid w:val="008D43E9"/>
    <w:rsid w:val="008D5370"/>
    <w:rsid w:val="008E003C"/>
    <w:rsid w:val="008E0041"/>
    <w:rsid w:val="008E07C7"/>
    <w:rsid w:val="008E1F1F"/>
    <w:rsid w:val="008E22B8"/>
    <w:rsid w:val="008E22CF"/>
    <w:rsid w:val="008E26FD"/>
    <w:rsid w:val="008E2C06"/>
    <w:rsid w:val="008E3D01"/>
    <w:rsid w:val="008E3D4E"/>
    <w:rsid w:val="008E4B3E"/>
    <w:rsid w:val="008E4EFD"/>
    <w:rsid w:val="008E56F8"/>
    <w:rsid w:val="008E75E2"/>
    <w:rsid w:val="008F0C4A"/>
    <w:rsid w:val="008F0C7A"/>
    <w:rsid w:val="008F0E60"/>
    <w:rsid w:val="008F14F9"/>
    <w:rsid w:val="008F1532"/>
    <w:rsid w:val="008F173A"/>
    <w:rsid w:val="008F180E"/>
    <w:rsid w:val="008F19A5"/>
    <w:rsid w:val="008F19DA"/>
    <w:rsid w:val="008F30D5"/>
    <w:rsid w:val="008F3DEB"/>
    <w:rsid w:val="008F4E04"/>
    <w:rsid w:val="008F5D36"/>
    <w:rsid w:val="008F604A"/>
    <w:rsid w:val="008F6D07"/>
    <w:rsid w:val="009003D2"/>
    <w:rsid w:val="00900C85"/>
    <w:rsid w:val="0090291B"/>
    <w:rsid w:val="00902D2E"/>
    <w:rsid w:val="009037E5"/>
    <w:rsid w:val="00903FBD"/>
    <w:rsid w:val="0090416B"/>
    <w:rsid w:val="00904236"/>
    <w:rsid w:val="00904F00"/>
    <w:rsid w:val="00904FFC"/>
    <w:rsid w:val="009052AF"/>
    <w:rsid w:val="00905474"/>
    <w:rsid w:val="00906D60"/>
    <w:rsid w:val="0090766A"/>
    <w:rsid w:val="0090799A"/>
    <w:rsid w:val="00910178"/>
    <w:rsid w:val="00910269"/>
    <w:rsid w:val="00910558"/>
    <w:rsid w:val="0091117A"/>
    <w:rsid w:val="00911CE5"/>
    <w:rsid w:val="00911F9F"/>
    <w:rsid w:val="009122C5"/>
    <w:rsid w:val="00912660"/>
    <w:rsid w:val="00912B25"/>
    <w:rsid w:val="00912F54"/>
    <w:rsid w:val="009131C7"/>
    <w:rsid w:val="0091346C"/>
    <w:rsid w:val="009135A4"/>
    <w:rsid w:val="0091396A"/>
    <w:rsid w:val="00913B31"/>
    <w:rsid w:val="00914093"/>
    <w:rsid w:val="00915552"/>
    <w:rsid w:val="00915BE7"/>
    <w:rsid w:val="0091668B"/>
    <w:rsid w:val="00916A0D"/>
    <w:rsid w:val="00916DD5"/>
    <w:rsid w:val="00917348"/>
    <w:rsid w:val="009200FA"/>
    <w:rsid w:val="00920AC2"/>
    <w:rsid w:val="00920BE8"/>
    <w:rsid w:val="0092164C"/>
    <w:rsid w:val="00921F66"/>
    <w:rsid w:val="00922112"/>
    <w:rsid w:val="0092230B"/>
    <w:rsid w:val="00922642"/>
    <w:rsid w:val="00922D84"/>
    <w:rsid w:val="009231F4"/>
    <w:rsid w:val="00925068"/>
    <w:rsid w:val="00925857"/>
    <w:rsid w:val="00925BDD"/>
    <w:rsid w:val="00927875"/>
    <w:rsid w:val="009302B1"/>
    <w:rsid w:val="0093150B"/>
    <w:rsid w:val="009325C4"/>
    <w:rsid w:val="00932952"/>
    <w:rsid w:val="00932EC6"/>
    <w:rsid w:val="00932F1D"/>
    <w:rsid w:val="00933860"/>
    <w:rsid w:val="009338E4"/>
    <w:rsid w:val="009372B3"/>
    <w:rsid w:val="0093741C"/>
    <w:rsid w:val="0093799E"/>
    <w:rsid w:val="00937A50"/>
    <w:rsid w:val="009405AD"/>
    <w:rsid w:val="00941101"/>
    <w:rsid w:val="0094166F"/>
    <w:rsid w:val="00941BE9"/>
    <w:rsid w:val="0094287B"/>
    <w:rsid w:val="0094288F"/>
    <w:rsid w:val="00943731"/>
    <w:rsid w:val="00944022"/>
    <w:rsid w:val="00944252"/>
    <w:rsid w:val="009464F9"/>
    <w:rsid w:val="009472D9"/>
    <w:rsid w:val="009508DD"/>
    <w:rsid w:val="009510BF"/>
    <w:rsid w:val="009513B1"/>
    <w:rsid w:val="0095176F"/>
    <w:rsid w:val="00952A4D"/>
    <w:rsid w:val="00954398"/>
    <w:rsid w:val="0095463A"/>
    <w:rsid w:val="00954DD9"/>
    <w:rsid w:val="00955010"/>
    <w:rsid w:val="00955618"/>
    <w:rsid w:val="00955D8F"/>
    <w:rsid w:val="00955E06"/>
    <w:rsid w:val="0095649A"/>
    <w:rsid w:val="00956DB6"/>
    <w:rsid w:val="00956EB8"/>
    <w:rsid w:val="00957319"/>
    <w:rsid w:val="009578AD"/>
    <w:rsid w:val="009606D3"/>
    <w:rsid w:val="00960AEB"/>
    <w:rsid w:val="00960C5E"/>
    <w:rsid w:val="00960E1C"/>
    <w:rsid w:val="009612B9"/>
    <w:rsid w:val="00961575"/>
    <w:rsid w:val="009621D3"/>
    <w:rsid w:val="009640C4"/>
    <w:rsid w:val="00964456"/>
    <w:rsid w:val="00965546"/>
    <w:rsid w:val="009656D4"/>
    <w:rsid w:val="00965A5F"/>
    <w:rsid w:val="00965AFE"/>
    <w:rsid w:val="00965EB4"/>
    <w:rsid w:val="00967A09"/>
    <w:rsid w:val="0097049F"/>
    <w:rsid w:val="009706F7"/>
    <w:rsid w:val="00970C29"/>
    <w:rsid w:val="0097102E"/>
    <w:rsid w:val="00971819"/>
    <w:rsid w:val="009719B0"/>
    <w:rsid w:val="00971E65"/>
    <w:rsid w:val="00971F10"/>
    <w:rsid w:val="009722D3"/>
    <w:rsid w:val="0097262D"/>
    <w:rsid w:val="00972A8F"/>
    <w:rsid w:val="009731BB"/>
    <w:rsid w:val="00973AB9"/>
    <w:rsid w:val="0097419C"/>
    <w:rsid w:val="00974A5C"/>
    <w:rsid w:val="00974D7A"/>
    <w:rsid w:val="00975282"/>
    <w:rsid w:val="00976453"/>
    <w:rsid w:val="00976863"/>
    <w:rsid w:val="00976E36"/>
    <w:rsid w:val="009773AA"/>
    <w:rsid w:val="009774E8"/>
    <w:rsid w:val="00977E79"/>
    <w:rsid w:val="009806E2"/>
    <w:rsid w:val="009808C2"/>
    <w:rsid w:val="009812DA"/>
    <w:rsid w:val="0098134D"/>
    <w:rsid w:val="00982DC9"/>
    <w:rsid w:val="00982FCC"/>
    <w:rsid w:val="009836CF"/>
    <w:rsid w:val="0098396E"/>
    <w:rsid w:val="00983E87"/>
    <w:rsid w:val="009841D0"/>
    <w:rsid w:val="00984649"/>
    <w:rsid w:val="00984D61"/>
    <w:rsid w:val="00984F93"/>
    <w:rsid w:val="00984FAE"/>
    <w:rsid w:val="0098613B"/>
    <w:rsid w:val="009866E6"/>
    <w:rsid w:val="00986710"/>
    <w:rsid w:val="00987940"/>
    <w:rsid w:val="0098799B"/>
    <w:rsid w:val="00992183"/>
    <w:rsid w:val="00993538"/>
    <w:rsid w:val="009941AA"/>
    <w:rsid w:val="009955FE"/>
    <w:rsid w:val="0099597E"/>
    <w:rsid w:val="009A131C"/>
    <w:rsid w:val="009A1E8B"/>
    <w:rsid w:val="009A2190"/>
    <w:rsid w:val="009A270B"/>
    <w:rsid w:val="009A2B12"/>
    <w:rsid w:val="009A2FE5"/>
    <w:rsid w:val="009A3483"/>
    <w:rsid w:val="009A35B9"/>
    <w:rsid w:val="009A3846"/>
    <w:rsid w:val="009A4E01"/>
    <w:rsid w:val="009A4FFB"/>
    <w:rsid w:val="009A5604"/>
    <w:rsid w:val="009A7769"/>
    <w:rsid w:val="009B01F8"/>
    <w:rsid w:val="009B0430"/>
    <w:rsid w:val="009B0FA3"/>
    <w:rsid w:val="009B1331"/>
    <w:rsid w:val="009B1756"/>
    <w:rsid w:val="009B1F80"/>
    <w:rsid w:val="009B25A5"/>
    <w:rsid w:val="009B31CC"/>
    <w:rsid w:val="009B3982"/>
    <w:rsid w:val="009B401B"/>
    <w:rsid w:val="009B4041"/>
    <w:rsid w:val="009B5731"/>
    <w:rsid w:val="009B57D9"/>
    <w:rsid w:val="009B59E6"/>
    <w:rsid w:val="009B64C5"/>
    <w:rsid w:val="009B66A2"/>
    <w:rsid w:val="009B66A6"/>
    <w:rsid w:val="009B6B7C"/>
    <w:rsid w:val="009C134B"/>
    <w:rsid w:val="009C1FA9"/>
    <w:rsid w:val="009C412E"/>
    <w:rsid w:val="009C42AB"/>
    <w:rsid w:val="009C4AF2"/>
    <w:rsid w:val="009C4DBB"/>
    <w:rsid w:val="009C4E5F"/>
    <w:rsid w:val="009C5406"/>
    <w:rsid w:val="009C54A1"/>
    <w:rsid w:val="009C5585"/>
    <w:rsid w:val="009C5A52"/>
    <w:rsid w:val="009C5BC1"/>
    <w:rsid w:val="009C6227"/>
    <w:rsid w:val="009C6DD1"/>
    <w:rsid w:val="009C735F"/>
    <w:rsid w:val="009C751D"/>
    <w:rsid w:val="009D1256"/>
    <w:rsid w:val="009D14BA"/>
    <w:rsid w:val="009D15C2"/>
    <w:rsid w:val="009D1685"/>
    <w:rsid w:val="009D211C"/>
    <w:rsid w:val="009D2553"/>
    <w:rsid w:val="009D2904"/>
    <w:rsid w:val="009D3012"/>
    <w:rsid w:val="009D3163"/>
    <w:rsid w:val="009D3C79"/>
    <w:rsid w:val="009D434A"/>
    <w:rsid w:val="009D4ED7"/>
    <w:rsid w:val="009D503E"/>
    <w:rsid w:val="009D57EB"/>
    <w:rsid w:val="009D5AFA"/>
    <w:rsid w:val="009D5FE1"/>
    <w:rsid w:val="009D63C7"/>
    <w:rsid w:val="009D6693"/>
    <w:rsid w:val="009D7C22"/>
    <w:rsid w:val="009D7C38"/>
    <w:rsid w:val="009E02BB"/>
    <w:rsid w:val="009E0ABC"/>
    <w:rsid w:val="009E1023"/>
    <w:rsid w:val="009E12D3"/>
    <w:rsid w:val="009E1324"/>
    <w:rsid w:val="009E18C0"/>
    <w:rsid w:val="009E2E0C"/>
    <w:rsid w:val="009E3696"/>
    <w:rsid w:val="009E3BA7"/>
    <w:rsid w:val="009E3C51"/>
    <w:rsid w:val="009E472F"/>
    <w:rsid w:val="009E47F9"/>
    <w:rsid w:val="009E5C7B"/>
    <w:rsid w:val="009E5F57"/>
    <w:rsid w:val="009E6212"/>
    <w:rsid w:val="009E636E"/>
    <w:rsid w:val="009E7267"/>
    <w:rsid w:val="009F0060"/>
    <w:rsid w:val="009F0121"/>
    <w:rsid w:val="009F079D"/>
    <w:rsid w:val="009F092B"/>
    <w:rsid w:val="009F09AC"/>
    <w:rsid w:val="009F0FE0"/>
    <w:rsid w:val="009F25CB"/>
    <w:rsid w:val="009F2D44"/>
    <w:rsid w:val="009F2E8A"/>
    <w:rsid w:val="009F3836"/>
    <w:rsid w:val="009F3D93"/>
    <w:rsid w:val="009F4348"/>
    <w:rsid w:val="009F4C95"/>
    <w:rsid w:val="009F5077"/>
    <w:rsid w:val="009F5708"/>
    <w:rsid w:val="009F64DA"/>
    <w:rsid w:val="009F6534"/>
    <w:rsid w:val="009F77B5"/>
    <w:rsid w:val="009F79F5"/>
    <w:rsid w:val="009F7CDB"/>
    <w:rsid w:val="00A0023F"/>
    <w:rsid w:val="00A0353A"/>
    <w:rsid w:val="00A03D49"/>
    <w:rsid w:val="00A040C6"/>
    <w:rsid w:val="00A04E2B"/>
    <w:rsid w:val="00A05500"/>
    <w:rsid w:val="00A075D7"/>
    <w:rsid w:val="00A07C00"/>
    <w:rsid w:val="00A101F1"/>
    <w:rsid w:val="00A10792"/>
    <w:rsid w:val="00A11673"/>
    <w:rsid w:val="00A12007"/>
    <w:rsid w:val="00A12117"/>
    <w:rsid w:val="00A12390"/>
    <w:rsid w:val="00A12B40"/>
    <w:rsid w:val="00A12B5E"/>
    <w:rsid w:val="00A12B69"/>
    <w:rsid w:val="00A13AD4"/>
    <w:rsid w:val="00A14678"/>
    <w:rsid w:val="00A1505B"/>
    <w:rsid w:val="00A152F4"/>
    <w:rsid w:val="00A177E3"/>
    <w:rsid w:val="00A17B5B"/>
    <w:rsid w:val="00A17EBD"/>
    <w:rsid w:val="00A20893"/>
    <w:rsid w:val="00A20CF9"/>
    <w:rsid w:val="00A2140D"/>
    <w:rsid w:val="00A21BC0"/>
    <w:rsid w:val="00A229B5"/>
    <w:rsid w:val="00A2395A"/>
    <w:rsid w:val="00A23D5C"/>
    <w:rsid w:val="00A242E8"/>
    <w:rsid w:val="00A249AF"/>
    <w:rsid w:val="00A24D56"/>
    <w:rsid w:val="00A253E6"/>
    <w:rsid w:val="00A25CDE"/>
    <w:rsid w:val="00A263F2"/>
    <w:rsid w:val="00A266E1"/>
    <w:rsid w:val="00A26E7E"/>
    <w:rsid w:val="00A27205"/>
    <w:rsid w:val="00A27DC0"/>
    <w:rsid w:val="00A30FF3"/>
    <w:rsid w:val="00A321EE"/>
    <w:rsid w:val="00A328A2"/>
    <w:rsid w:val="00A33126"/>
    <w:rsid w:val="00A33F31"/>
    <w:rsid w:val="00A3440B"/>
    <w:rsid w:val="00A3595A"/>
    <w:rsid w:val="00A35F6C"/>
    <w:rsid w:val="00A36316"/>
    <w:rsid w:val="00A365D2"/>
    <w:rsid w:val="00A36897"/>
    <w:rsid w:val="00A36EA8"/>
    <w:rsid w:val="00A374E0"/>
    <w:rsid w:val="00A41C93"/>
    <w:rsid w:val="00A423E1"/>
    <w:rsid w:val="00A431FB"/>
    <w:rsid w:val="00A43F80"/>
    <w:rsid w:val="00A44049"/>
    <w:rsid w:val="00A44283"/>
    <w:rsid w:val="00A443BE"/>
    <w:rsid w:val="00A446A4"/>
    <w:rsid w:val="00A44952"/>
    <w:rsid w:val="00A44E59"/>
    <w:rsid w:val="00A45E14"/>
    <w:rsid w:val="00A45FD8"/>
    <w:rsid w:val="00A4620E"/>
    <w:rsid w:val="00A46532"/>
    <w:rsid w:val="00A46BA3"/>
    <w:rsid w:val="00A47503"/>
    <w:rsid w:val="00A47531"/>
    <w:rsid w:val="00A501ED"/>
    <w:rsid w:val="00A505B0"/>
    <w:rsid w:val="00A50A87"/>
    <w:rsid w:val="00A50CF4"/>
    <w:rsid w:val="00A540EF"/>
    <w:rsid w:val="00A542F3"/>
    <w:rsid w:val="00A54890"/>
    <w:rsid w:val="00A55B61"/>
    <w:rsid w:val="00A55DF0"/>
    <w:rsid w:val="00A56897"/>
    <w:rsid w:val="00A56DE9"/>
    <w:rsid w:val="00A572D2"/>
    <w:rsid w:val="00A576BA"/>
    <w:rsid w:val="00A57AEB"/>
    <w:rsid w:val="00A57C92"/>
    <w:rsid w:val="00A601C7"/>
    <w:rsid w:val="00A6191D"/>
    <w:rsid w:val="00A620BB"/>
    <w:rsid w:val="00A62163"/>
    <w:rsid w:val="00A621EB"/>
    <w:rsid w:val="00A62B0E"/>
    <w:rsid w:val="00A62CA5"/>
    <w:rsid w:val="00A65B04"/>
    <w:rsid w:val="00A67634"/>
    <w:rsid w:val="00A67914"/>
    <w:rsid w:val="00A67BB0"/>
    <w:rsid w:val="00A70067"/>
    <w:rsid w:val="00A7016D"/>
    <w:rsid w:val="00A707EA"/>
    <w:rsid w:val="00A71184"/>
    <w:rsid w:val="00A71C1A"/>
    <w:rsid w:val="00A72373"/>
    <w:rsid w:val="00A732A7"/>
    <w:rsid w:val="00A7403F"/>
    <w:rsid w:val="00A75705"/>
    <w:rsid w:val="00A75F65"/>
    <w:rsid w:val="00A76AB6"/>
    <w:rsid w:val="00A8089A"/>
    <w:rsid w:val="00A80A5E"/>
    <w:rsid w:val="00A82B06"/>
    <w:rsid w:val="00A830A1"/>
    <w:rsid w:val="00A831FA"/>
    <w:rsid w:val="00A8438F"/>
    <w:rsid w:val="00A843DA"/>
    <w:rsid w:val="00A84972"/>
    <w:rsid w:val="00A858BF"/>
    <w:rsid w:val="00A90B72"/>
    <w:rsid w:val="00A91006"/>
    <w:rsid w:val="00A9148A"/>
    <w:rsid w:val="00A91707"/>
    <w:rsid w:val="00A917FF"/>
    <w:rsid w:val="00A920E1"/>
    <w:rsid w:val="00A926D1"/>
    <w:rsid w:val="00A929E4"/>
    <w:rsid w:val="00A93380"/>
    <w:rsid w:val="00A93441"/>
    <w:rsid w:val="00A93FEC"/>
    <w:rsid w:val="00A949EA"/>
    <w:rsid w:val="00A95542"/>
    <w:rsid w:val="00A96BF8"/>
    <w:rsid w:val="00AA28C1"/>
    <w:rsid w:val="00AA2A92"/>
    <w:rsid w:val="00AA2AF9"/>
    <w:rsid w:val="00AA2D93"/>
    <w:rsid w:val="00AA3DE1"/>
    <w:rsid w:val="00AA3DEB"/>
    <w:rsid w:val="00AA4003"/>
    <w:rsid w:val="00AA49A2"/>
    <w:rsid w:val="00AA5704"/>
    <w:rsid w:val="00AA5BF2"/>
    <w:rsid w:val="00AA61C6"/>
    <w:rsid w:val="00AA6533"/>
    <w:rsid w:val="00AA662F"/>
    <w:rsid w:val="00AA6E20"/>
    <w:rsid w:val="00AB0016"/>
    <w:rsid w:val="00AB035A"/>
    <w:rsid w:val="00AB1C72"/>
    <w:rsid w:val="00AB2924"/>
    <w:rsid w:val="00AB2E91"/>
    <w:rsid w:val="00AB3457"/>
    <w:rsid w:val="00AB3871"/>
    <w:rsid w:val="00AB45E1"/>
    <w:rsid w:val="00AB4C4E"/>
    <w:rsid w:val="00AB55D7"/>
    <w:rsid w:val="00AB666F"/>
    <w:rsid w:val="00AB671B"/>
    <w:rsid w:val="00AB69E9"/>
    <w:rsid w:val="00AB6CA7"/>
    <w:rsid w:val="00AB6F7D"/>
    <w:rsid w:val="00AB70C1"/>
    <w:rsid w:val="00AC0E97"/>
    <w:rsid w:val="00AC192B"/>
    <w:rsid w:val="00AC321F"/>
    <w:rsid w:val="00AC36E4"/>
    <w:rsid w:val="00AC3C98"/>
    <w:rsid w:val="00AC4408"/>
    <w:rsid w:val="00AC4A76"/>
    <w:rsid w:val="00AC4AC6"/>
    <w:rsid w:val="00AC5018"/>
    <w:rsid w:val="00AC7B75"/>
    <w:rsid w:val="00AD067C"/>
    <w:rsid w:val="00AD088F"/>
    <w:rsid w:val="00AD0A65"/>
    <w:rsid w:val="00AD2995"/>
    <w:rsid w:val="00AD42B4"/>
    <w:rsid w:val="00AD4EC2"/>
    <w:rsid w:val="00AD509B"/>
    <w:rsid w:val="00AD561C"/>
    <w:rsid w:val="00AD6334"/>
    <w:rsid w:val="00AD6830"/>
    <w:rsid w:val="00AD6B73"/>
    <w:rsid w:val="00AD70D4"/>
    <w:rsid w:val="00AE0F66"/>
    <w:rsid w:val="00AE112E"/>
    <w:rsid w:val="00AE16EB"/>
    <w:rsid w:val="00AE18D0"/>
    <w:rsid w:val="00AE2363"/>
    <w:rsid w:val="00AE3534"/>
    <w:rsid w:val="00AE437F"/>
    <w:rsid w:val="00AE4C29"/>
    <w:rsid w:val="00AE50CA"/>
    <w:rsid w:val="00AE54C6"/>
    <w:rsid w:val="00AE683D"/>
    <w:rsid w:val="00AE6FE0"/>
    <w:rsid w:val="00AE706D"/>
    <w:rsid w:val="00AE72A4"/>
    <w:rsid w:val="00AF017A"/>
    <w:rsid w:val="00AF017B"/>
    <w:rsid w:val="00AF1C59"/>
    <w:rsid w:val="00AF1D0B"/>
    <w:rsid w:val="00AF1EA0"/>
    <w:rsid w:val="00AF22F9"/>
    <w:rsid w:val="00AF3442"/>
    <w:rsid w:val="00AF35A4"/>
    <w:rsid w:val="00AF42C7"/>
    <w:rsid w:val="00AF49E9"/>
    <w:rsid w:val="00AF4AC5"/>
    <w:rsid w:val="00AF4D5C"/>
    <w:rsid w:val="00AF4DEB"/>
    <w:rsid w:val="00AF6211"/>
    <w:rsid w:val="00AF62B1"/>
    <w:rsid w:val="00AF6350"/>
    <w:rsid w:val="00AF695A"/>
    <w:rsid w:val="00AF6E1C"/>
    <w:rsid w:val="00AF756D"/>
    <w:rsid w:val="00AF7A7D"/>
    <w:rsid w:val="00AF7FB1"/>
    <w:rsid w:val="00B01360"/>
    <w:rsid w:val="00B0184B"/>
    <w:rsid w:val="00B01E4C"/>
    <w:rsid w:val="00B02442"/>
    <w:rsid w:val="00B02F3E"/>
    <w:rsid w:val="00B02FFE"/>
    <w:rsid w:val="00B04751"/>
    <w:rsid w:val="00B071F2"/>
    <w:rsid w:val="00B076B8"/>
    <w:rsid w:val="00B07F2C"/>
    <w:rsid w:val="00B11658"/>
    <w:rsid w:val="00B11FB4"/>
    <w:rsid w:val="00B121A8"/>
    <w:rsid w:val="00B12561"/>
    <w:rsid w:val="00B131C0"/>
    <w:rsid w:val="00B13E86"/>
    <w:rsid w:val="00B14357"/>
    <w:rsid w:val="00B15925"/>
    <w:rsid w:val="00B15A32"/>
    <w:rsid w:val="00B162A8"/>
    <w:rsid w:val="00B163F0"/>
    <w:rsid w:val="00B16637"/>
    <w:rsid w:val="00B17B75"/>
    <w:rsid w:val="00B208DC"/>
    <w:rsid w:val="00B22365"/>
    <w:rsid w:val="00B22490"/>
    <w:rsid w:val="00B22B6D"/>
    <w:rsid w:val="00B2391E"/>
    <w:rsid w:val="00B24036"/>
    <w:rsid w:val="00B24A6A"/>
    <w:rsid w:val="00B259B7"/>
    <w:rsid w:val="00B25B12"/>
    <w:rsid w:val="00B25D37"/>
    <w:rsid w:val="00B25F74"/>
    <w:rsid w:val="00B2685F"/>
    <w:rsid w:val="00B2769E"/>
    <w:rsid w:val="00B3151E"/>
    <w:rsid w:val="00B31638"/>
    <w:rsid w:val="00B32106"/>
    <w:rsid w:val="00B326EE"/>
    <w:rsid w:val="00B33DF8"/>
    <w:rsid w:val="00B341C2"/>
    <w:rsid w:val="00B34687"/>
    <w:rsid w:val="00B347C2"/>
    <w:rsid w:val="00B35462"/>
    <w:rsid w:val="00B36254"/>
    <w:rsid w:val="00B366BE"/>
    <w:rsid w:val="00B372E7"/>
    <w:rsid w:val="00B3730E"/>
    <w:rsid w:val="00B40909"/>
    <w:rsid w:val="00B41365"/>
    <w:rsid w:val="00B41C6E"/>
    <w:rsid w:val="00B42049"/>
    <w:rsid w:val="00B428AB"/>
    <w:rsid w:val="00B43366"/>
    <w:rsid w:val="00B433CB"/>
    <w:rsid w:val="00B43423"/>
    <w:rsid w:val="00B43963"/>
    <w:rsid w:val="00B43C1A"/>
    <w:rsid w:val="00B4687F"/>
    <w:rsid w:val="00B46C9A"/>
    <w:rsid w:val="00B46DFA"/>
    <w:rsid w:val="00B46EFA"/>
    <w:rsid w:val="00B470AE"/>
    <w:rsid w:val="00B47C78"/>
    <w:rsid w:val="00B47F77"/>
    <w:rsid w:val="00B5066A"/>
    <w:rsid w:val="00B50804"/>
    <w:rsid w:val="00B51088"/>
    <w:rsid w:val="00B51641"/>
    <w:rsid w:val="00B51D19"/>
    <w:rsid w:val="00B51FB2"/>
    <w:rsid w:val="00B52897"/>
    <w:rsid w:val="00B52DB5"/>
    <w:rsid w:val="00B53068"/>
    <w:rsid w:val="00B534F1"/>
    <w:rsid w:val="00B54A1A"/>
    <w:rsid w:val="00B55662"/>
    <w:rsid w:val="00B55A41"/>
    <w:rsid w:val="00B56503"/>
    <w:rsid w:val="00B5670F"/>
    <w:rsid w:val="00B56FC9"/>
    <w:rsid w:val="00B570AC"/>
    <w:rsid w:val="00B57374"/>
    <w:rsid w:val="00B57A5E"/>
    <w:rsid w:val="00B57B04"/>
    <w:rsid w:val="00B612E4"/>
    <w:rsid w:val="00B63B1F"/>
    <w:rsid w:val="00B63DFA"/>
    <w:rsid w:val="00B64AD6"/>
    <w:rsid w:val="00B65B89"/>
    <w:rsid w:val="00B665E6"/>
    <w:rsid w:val="00B66779"/>
    <w:rsid w:val="00B66E74"/>
    <w:rsid w:val="00B67711"/>
    <w:rsid w:val="00B7011F"/>
    <w:rsid w:val="00B709BC"/>
    <w:rsid w:val="00B70A2C"/>
    <w:rsid w:val="00B70AC7"/>
    <w:rsid w:val="00B71582"/>
    <w:rsid w:val="00B7199F"/>
    <w:rsid w:val="00B71AE2"/>
    <w:rsid w:val="00B721F8"/>
    <w:rsid w:val="00B72DBA"/>
    <w:rsid w:val="00B73AE4"/>
    <w:rsid w:val="00B74FA6"/>
    <w:rsid w:val="00B75342"/>
    <w:rsid w:val="00B75EB7"/>
    <w:rsid w:val="00B75F73"/>
    <w:rsid w:val="00B762E2"/>
    <w:rsid w:val="00B76E9A"/>
    <w:rsid w:val="00B76F11"/>
    <w:rsid w:val="00B76FB4"/>
    <w:rsid w:val="00B77739"/>
    <w:rsid w:val="00B808A5"/>
    <w:rsid w:val="00B80AE2"/>
    <w:rsid w:val="00B817E6"/>
    <w:rsid w:val="00B81C68"/>
    <w:rsid w:val="00B81D8C"/>
    <w:rsid w:val="00B8251D"/>
    <w:rsid w:val="00B8298E"/>
    <w:rsid w:val="00B82A03"/>
    <w:rsid w:val="00B82D49"/>
    <w:rsid w:val="00B82E39"/>
    <w:rsid w:val="00B83273"/>
    <w:rsid w:val="00B8450A"/>
    <w:rsid w:val="00B84771"/>
    <w:rsid w:val="00B84E63"/>
    <w:rsid w:val="00B85A4A"/>
    <w:rsid w:val="00B875D4"/>
    <w:rsid w:val="00B87EBA"/>
    <w:rsid w:val="00B91818"/>
    <w:rsid w:val="00B92068"/>
    <w:rsid w:val="00B92EFD"/>
    <w:rsid w:val="00B953E8"/>
    <w:rsid w:val="00B95418"/>
    <w:rsid w:val="00B9572D"/>
    <w:rsid w:val="00B96AD2"/>
    <w:rsid w:val="00B97630"/>
    <w:rsid w:val="00B97743"/>
    <w:rsid w:val="00B9BEFF"/>
    <w:rsid w:val="00BA0634"/>
    <w:rsid w:val="00BA0967"/>
    <w:rsid w:val="00BA0D07"/>
    <w:rsid w:val="00BA1519"/>
    <w:rsid w:val="00BA1E38"/>
    <w:rsid w:val="00BA38A0"/>
    <w:rsid w:val="00BA38F8"/>
    <w:rsid w:val="00BA4E6A"/>
    <w:rsid w:val="00BA7343"/>
    <w:rsid w:val="00BA760C"/>
    <w:rsid w:val="00BB02DA"/>
    <w:rsid w:val="00BB0FFB"/>
    <w:rsid w:val="00BB1074"/>
    <w:rsid w:val="00BB1698"/>
    <w:rsid w:val="00BB17C0"/>
    <w:rsid w:val="00BB1E27"/>
    <w:rsid w:val="00BB1ECD"/>
    <w:rsid w:val="00BB3207"/>
    <w:rsid w:val="00BB345E"/>
    <w:rsid w:val="00BB43A1"/>
    <w:rsid w:val="00BB4699"/>
    <w:rsid w:val="00BB511B"/>
    <w:rsid w:val="00BB6286"/>
    <w:rsid w:val="00BC06D7"/>
    <w:rsid w:val="00BC0E3D"/>
    <w:rsid w:val="00BC1574"/>
    <w:rsid w:val="00BC1812"/>
    <w:rsid w:val="00BC1ED1"/>
    <w:rsid w:val="00BC35C9"/>
    <w:rsid w:val="00BC3E08"/>
    <w:rsid w:val="00BC4210"/>
    <w:rsid w:val="00BC47BE"/>
    <w:rsid w:val="00BC4D74"/>
    <w:rsid w:val="00BC5377"/>
    <w:rsid w:val="00BC62DA"/>
    <w:rsid w:val="00BC66AB"/>
    <w:rsid w:val="00BC6715"/>
    <w:rsid w:val="00BC7211"/>
    <w:rsid w:val="00BC728C"/>
    <w:rsid w:val="00BC7AE3"/>
    <w:rsid w:val="00BC7DD4"/>
    <w:rsid w:val="00BD084B"/>
    <w:rsid w:val="00BD1B62"/>
    <w:rsid w:val="00BD343E"/>
    <w:rsid w:val="00BD4599"/>
    <w:rsid w:val="00BD4CF2"/>
    <w:rsid w:val="00BD4F65"/>
    <w:rsid w:val="00BD6219"/>
    <w:rsid w:val="00BD6A78"/>
    <w:rsid w:val="00BD6E0B"/>
    <w:rsid w:val="00BD7712"/>
    <w:rsid w:val="00BE06AA"/>
    <w:rsid w:val="00BE2398"/>
    <w:rsid w:val="00BE34F1"/>
    <w:rsid w:val="00BE56AB"/>
    <w:rsid w:val="00BE59EB"/>
    <w:rsid w:val="00BE71DB"/>
    <w:rsid w:val="00BE794A"/>
    <w:rsid w:val="00BF09AF"/>
    <w:rsid w:val="00BF2FE7"/>
    <w:rsid w:val="00BF3837"/>
    <w:rsid w:val="00BF4CE8"/>
    <w:rsid w:val="00BF4D3C"/>
    <w:rsid w:val="00BF5837"/>
    <w:rsid w:val="00BF6498"/>
    <w:rsid w:val="00BF781C"/>
    <w:rsid w:val="00BF7970"/>
    <w:rsid w:val="00C0015E"/>
    <w:rsid w:val="00C00852"/>
    <w:rsid w:val="00C01242"/>
    <w:rsid w:val="00C01356"/>
    <w:rsid w:val="00C01F24"/>
    <w:rsid w:val="00C0295A"/>
    <w:rsid w:val="00C02FA4"/>
    <w:rsid w:val="00C03FD4"/>
    <w:rsid w:val="00C0459D"/>
    <w:rsid w:val="00C045B3"/>
    <w:rsid w:val="00C058F5"/>
    <w:rsid w:val="00C05E21"/>
    <w:rsid w:val="00C06C58"/>
    <w:rsid w:val="00C1015D"/>
    <w:rsid w:val="00C10D64"/>
    <w:rsid w:val="00C1160A"/>
    <w:rsid w:val="00C11B39"/>
    <w:rsid w:val="00C122D7"/>
    <w:rsid w:val="00C12398"/>
    <w:rsid w:val="00C1319C"/>
    <w:rsid w:val="00C13567"/>
    <w:rsid w:val="00C14170"/>
    <w:rsid w:val="00C1573E"/>
    <w:rsid w:val="00C20602"/>
    <w:rsid w:val="00C20EE7"/>
    <w:rsid w:val="00C2216B"/>
    <w:rsid w:val="00C229E1"/>
    <w:rsid w:val="00C23194"/>
    <w:rsid w:val="00C23504"/>
    <w:rsid w:val="00C23C90"/>
    <w:rsid w:val="00C249F3"/>
    <w:rsid w:val="00C25598"/>
    <w:rsid w:val="00C25784"/>
    <w:rsid w:val="00C259B3"/>
    <w:rsid w:val="00C277F7"/>
    <w:rsid w:val="00C27812"/>
    <w:rsid w:val="00C303A0"/>
    <w:rsid w:val="00C30469"/>
    <w:rsid w:val="00C30DA8"/>
    <w:rsid w:val="00C311AE"/>
    <w:rsid w:val="00C31883"/>
    <w:rsid w:val="00C31B0C"/>
    <w:rsid w:val="00C32C5B"/>
    <w:rsid w:val="00C33CD0"/>
    <w:rsid w:val="00C34A49"/>
    <w:rsid w:val="00C34FD1"/>
    <w:rsid w:val="00C357AB"/>
    <w:rsid w:val="00C364E0"/>
    <w:rsid w:val="00C36ACA"/>
    <w:rsid w:val="00C3772A"/>
    <w:rsid w:val="00C40930"/>
    <w:rsid w:val="00C40965"/>
    <w:rsid w:val="00C40CC4"/>
    <w:rsid w:val="00C412BE"/>
    <w:rsid w:val="00C41574"/>
    <w:rsid w:val="00C419A3"/>
    <w:rsid w:val="00C41A40"/>
    <w:rsid w:val="00C4226C"/>
    <w:rsid w:val="00C42332"/>
    <w:rsid w:val="00C4275E"/>
    <w:rsid w:val="00C42875"/>
    <w:rsid w:val="00C43F4D"/>
    <w:rsid w:val="00C43FD2"/>
    <w:rsid w:val="00C44DB9"/>
    <w:rsid w:val="00C45460"/>
    <w:rsid w:val="00C456E2"/>
    <w:rsid w:val="00C4577F"/>
    <w:rsid w:val="00C459FC"/>
    <w:rsid w:val="00C45BEF"/>
    <w:rsid w:val="00C45C00"/>
    <w:rsid w:val="00C45FBE"/>
    <w:rsid w:val="00C479A4"/>
    <w:rsid w:val="00C507D2"/>
    <w:rsid w:val="00C50A67"/>
    <w:rsid w:val="00C50D97"/>
    <w:rsid w:val="00C512A1"/>
    <w:rsid w:val="00C515EF"/>
    <w:rsid w:val="00C51DEF"/>
    <w:rsid w:val="00C51ED4"/>
    <w:rsid w:val="00C53210"/>
    <w:rsid w:val="00C53395"/>
    <w:rsid w:val="00C54349"/>
    <w:rsid w:val="00C54DDB"/>
    <w:rsid w:val="00C55338"/>
    <w:rsid w:val="00C55420"/>
    <w:rsid w:val="00C55BA5"/>
    <w:rsid w:val="00C55D4C"/>
    <w:rsid w:val="00C56040"/>
    <w:rsid w:val="00C56F14"/>
    <w:rsid w:val="00C578C3"/>
    <w:rsid w:val="00C6087A"/>
    <w:rsid w:val="00C62336"/>
    <w:rsid w:val="00C6290A"/>
    <w:rsid w:val="00C62985"/>
    <w:rsid w:val="00C63053"/>
    <w:rsid w:val="00C6346B"/>
    <w:rsid w:val="00C64764"/>
    <w:rsid w:val="00C64F87"/>
    <w:rsid w:val="00C6514E"/>
    <w:rsid w:val="00C651EC"/>
    <w:rsid w:val="00C65585"/>
    <w:rsid w:val="00C65AF5"/>
    <w:rsid w:val="00C65FC8"/>
    <w:rsid w:val="00C67F49"/>
    <w:rsid w:val="00C701E6"/>
    <w:rsid w:val="00C711EA"/>
    <w:rsid w:val="00C71316"/>
    <w:rsid w:val="00C727A2"/>
    <w:rsid w:val="00C72919"/>
    <w:rsid w:val="00C73CB6"/>
    <w:rsid w:val="00C748B0"/>
    <w:rsid w:val="00C74B67"/>
    <w:rsid w:val="00C751B9"/>
    <w:rsid w:val="00C753DE"/>
    <w:rsid w:val="00C75D71"/>
    <w:rsid w:val="00C764F9"/>
    <w:rsid w:val="00C767F4"/>
    <w:rsid w:val="00C80489"/>
    <w:rsid w:val="00C80686"/>
    <w:rsid w:val="00C808D7"/>
    <w:rsid w:val="00C827A6"/>
    <w:rsid w:val="00C83168"/>
    <w:rsid w:val="00C83519"/>
    <w:rsid w:val="00C836B5"/>
    <w:rsid w:val="00C8383C"/>
    <w:rsid w:val="00C84E1A"/>
    <w:rsid w:val="00C84FFD"/>
    <w:rsid w:val="00C857F0"/>
    <w:rsid w:val="00C85F9F"/>
    <w:rsid w:val="00C8796E"/>
    <w:rsid w:val="00C91479"/>
    <w:rsid w:val="00C92BB3"/>
    <w:rsid w:val="00C943D8"/>
    <w:rsid w:val="00C94F23"/>
    <w:rsid w:val="00C955AE"/>
    <w:rsid w:val="00C95CE2"/>
    <w:rsid w:val="00C96031"/>
    <w:rsid w:val="00C96C75"/>
    <w:rsid w:val="00C97460"/>
    <w:rsid w:val="00CA03A0"/>
    <w:rsid w:val="00CA0D58"/>
    <w:rsid w:val="00CA18A3"/>
    <w:rsid w:val="00CA1949"/>
    <w:rsid w:val="00CA22E2"/>
    <w:rsid w:val="00CA24B0"/>
    <w:rsid w:val="00CA2AD0"/>
    <w:rsid w:val="00CA3452"/>
    <w:rsid w:val="00CA35FB"/>
    <w:rsid w:val="00CA3FBF"/>
    <w:rsid w:val="00CA4314"/>
    <w:rsid w:val="00CA4CBF"/>
    <w:rsid w:val="00CA528B"/>
    <w:rsid w:val="00CA53FA"/>
    <w:rsid w:val="00CA5940"/>
    <w:rsid w:val="00CA638E"/>
    <w:rsid w:val="00CA7349"/>
    <w:rsid w:val="00CA7374"/>
    <w:rsid w:val="00CA7BEC"/>
    <w:rsid w:val="00CB000D"/>
    <w:rsid w:val="00CB0294"/>
    <w:rsid w:val="00CB0334"/>
    <w:rsid w:val="00CB05C2"/>
    <w:rsid w:val="00CB095D"/>
    <w:rsid w:val="00CB17A3"/>
    <w:rsid w:val="00CB1F5D"/>
    <w:rsid w:val="00CB287F"/>
    <w:rsid w:val="00CB2B88"/>
    <w:rsid w:val="00CB2C41"/>
    <w:rsid w:val="00CB2FB2"/>
    <w:rsid w:val="00CB3292"/>
    <w:rsid w:val="00CB388D"/>
    <w:rsid w:val="00CB3965"/>
    <w:rsid w:val="00CB4616"/>
    <w:rsid w:val="00CB63EF"/>
    <w:rsid w:val="00CB65E7"/>
    <w:rsid w:val="00CB6871"/>
    <w:rsid w:val="00CC0311"/>
    <w:rsid w:val="00CC190C"/>
    <w:rsid w:val="00CC25D4"/>
    <w:rsid w:val="00CC2C8D"/>
    <w:rsid w:val="00CC325A"/>
    <w:rsid w:val="00CC33AD"/>
    <w:rsid w:val="00CC57F2"/>
    <w:rsid w:val="00CC5E0D"/>
    <w:rsid w:val="00CC62FE"/>
    <w:rsid w:val="00CC65E4"/>
    <w:rsid w:val="00CC6A46"/>
    <w:rsid w:val="00CC6B1C"/>
    <w:rsid w:val="00CC7517"/>
    <w:rsid w:val="00CC77E3"/>
    <w:rsid w:val="00CC7BDB"/>
    <w:rsid w:val="00CD172B"/>
    <w:rsid w:val="00CD2D8B"/>
    <w:rsid w:val="00CD3C41"/>
    <w:rsid w:val="00CD445F"/>
    <w:rsid w:val="00CD51E7"/>
    <w:rsid w:val="00CD54DE"/>
    <w:rsid w:val="00CD5583"/>
    <w:rsid w:val="00CD5F80"/>
    <w:rsid w:val="00CE1263"/>
    <w:rsid w:val="00CE15A9"/>
    <w:rsid w:val="00CE1889"/>
    <w:rsid w:val="00CE1B13"/>
    <w:rsid w:val="00CE2971"/>
    <w:rsid w:val="00CE34FA"/>
    <w:rsid w:val="00CE4260"/>
    <w:rsid w:val="00CE531D"/>
    <w:rsid w:val="00CE5427"/>
    <w:rsid w:val="00CE5A3E"/>
    <w:rsid w:val="00CE5E45"/>
    <w:rsid w:val="00CE5E98"/>
    <w:rsid w:val="00CE60EA"/>
    <w:rsid w:val="00CE712E"/>
    <w:rsid w:val="00CE7DD0"/>
    <w:rsid w:val="00CF0910"/>
    <w:rsid w:val="00CF2062"/>
    <w:rsid w:val="00CF208A"/>
    <w:rsid w:val="00CF2104"/>
    <w:rsid w:val="00CF24E4"/>
    <w:rsid w:val="00CF2908"/>
    <w:rsid w:val="00CF3047"/>
    <w:rsid w:val="00CF3335"/>
    <w:rsid w:val="00CF36A4"/>
    <w:rsid w:val="00CF3BFE"/>
    <w:rsid w:val="00CF40A3"/>
    <w:rsid w:val="00CF48B4"/>
    <w:rsid w:val="00CF5348"/>
    <w:rsid w:val="00CF5C44"/>
    <w:rsid w:val="00CF5D9C"/>
    <w:rsid w:val="00D002F7"/>
    <w:rsid w:val="00D00EA3"/>
    <w:rsid w:val="00D03A5F"/>
    <w:rsid w:val="00D0531A"/>
    <w:rsid w:val="00D05640"/>
    <w:rsid w:val="00D058E9"/>
    <w:rsid w:val="00D05C9E"/>
    <w:rsid w:val="00D06383"/>
    <w:rsid w:val="00D06720"/>
    <w:rsid w:val="00D071DB"/>
    <w:rsid w:val="00D07A28"/>
    <w:rsid w:val="00D07A9F"/>
    <w:rsid w:val="00D10957"/>
    <w:rsid w:val="00D10F1B"/>
    <w:rsid w:val="00D11182"/>
    <w:rsid w:val="00D124F6"/>
    <w:rsid w:val="00D1301D"/>
    <w:rsid w:val="00D1442E"/>
    <w:rsid w:val="00D1537A"/>
    <w:rsid w:val="00D165C5"/>
    <w:rsid w:val="00D17225"/>
    <w:rsid w:val="00D175A7"/>
    <w:rsid w:val="00D20B95"/>
    <w:rsid w:val="00D20D5A"/>
    <w:rsid w:val="00D220AB"/>
    <w:rsid w:val="00D22B17"/>
    <w:rsid w:val="00D22E4E"/>
    <w:rsid w:val="00D234D1"/>
    <w:rsid w:val="00D23754"/>
    <w:rsid w:val="00D23DC2"/>
    <w:rsid w:val="00D23DE8"/>
    <w:rsid w:val="00D248F3"/>
    <w:rsid w:val="00D24EC2"/>
    <w:rsid w:val="00D25170"/>
    <w:rsid w:val="00D253EF"/>
    <w:rsid w:val="00D25A50"/>
    <w:rsid w:val="00D2670B"/>
    <w:rsid w:val="00D272C2"/>
    <w:rsid w:val="00D303DF"/>
    <w:rsid w:val="00D30979"/>
    <w:rsid w:val="00D3137B"/>
    <w:rsid w:val="00D3155F"/>
    <w:rsid w:val="00D319D4"/>
    <w:rsid w:val="00D320AD"/>
    <w:rsid w:val="00D32F07"/>
    <w:rsid w:val="00D33075"/>
    <w:rsid w:val="00D34557"/>
    <w:rsid w:val="00D34F2B"/>
    <w:rsid w:val="00D35A9B"/>
    <w:rsid w:val="00D35B8C"/>
    <w:rsid w:val="00D36CAD"/>
    <w:rsid w:val="00D36CF0"/>
    <w:rsid w:val="00D37A3F"/>
    <w:rsid w:val="00D37BA1"/>
    <w:rsid w:val="00D37DDF"/>
    <w:rsid w:val="00D4008B"/>
    <w:rsid w:val="00D4047E"/>
    <w:rsid w:val="00D404C3"/>
    <w:rsid w:val="00D408F8"/>
    <w:rsid w:val="00D40BBD"/>
    <w:rsid w:val="00D41358"/>
    <w:rsid w:val="00D41DEE"/>
    <w:rsid w:val="00D42D05"/>
    <w:rsid w:val="00D4328C"/>
    <w:rsid w:val="00D4407A"/>
    <w:rsid w:val="00D441CC"/>
    <w:rsid w:val="00D45006"/>
    <w:rsid w:val="00D45FA2"/>
    <w:rsid w:val="00D465FA"/>
    <w:rsid w:val="00D46CF7"/>
    <w:rsid w:val="00D47388"/>
    <w:rsid w:val="00D475AC"/>
    <w:rsid w:val="00D47C16"/>
    <w:rsid w:val="00D47CA8"/>
    <w:rsid w:val="00D47F16"/>
    <w:rsid w:val="00D502B5"/>
    <w:rsid w:val="00D50BF8"/>
    <w:rsid w:val="00D50C0C"/>
    <w:rsid w:val="00D51887"/>
    <w:rsid w:val="00D51C77"/>
    <w:rsid w:val="00D52002"/>
    <w:rsid w:val="00D52007"/>
    <w:rsid w:val="00D52956"/>
    <w:rsid w:val="00D52DDB"/>
    <w:rsid w:val="00D53EC6"/>
    <w:rsid w:val="00D559A7"/>
    <w:rsid w:val="00D5778F"/>
    <w:rsid w:val="00D60C3F"/>
    <w:rsid w:val="00D60F1C"/>
    <w:rsid w:val="00D617CD"/>
    <w:rsid w:val="00D61D6B"/>
    <w:rsid w:val="00D625AC"/>
    <w:rsid w:val="00D63543"/>
    <w:rsid w:val="00D63B93"/>
    <w:rsid w:val="00D64371"/>
    <w:rsid w:val="00D64AAC"/>
    <w:rsid w:val="00D64BB3"/>
    <w:rsid w:val="00D64DED"/>
    <w:rsid w:val="00D6662B"/>
    <w:rsid w:val="00D66E70"/>
    <w:rsid w:val="00D677F6"/>
    <w:rsid w:val="00D70C9C"/>
    <w:rsid w:val="00D72B7C"/>
    <w:rsid w:val="00D73166"/>
    <w:rsid w:val="00D73332"/>
    <w:rsid w:val="00D7340A"/>
    <w:rsid w:val="00D73896"/>
    <w:rsid w:val="00D738E6"/>
    <w:rsid w:val="00D73A4C"/>
    <w:rsid w:val="00D73E12"/>
    <w:rsid w:val="00D7422F"/>
    <w:rsid w:val="00D74537"/>
    <w:rsid w:val="00D74BDB"/>
    <w:rsid w:val="00D75001"/>
    <w:rsid w:val="00D752F4"/>
    <w:rsid w:val="00D764F4"/>
    <w:rsid w:val="00D76585"/>
    <w:rsid w:val="00D76C03"/>
    <w:rsid w:val="00D7749B"/>
    <w:rsid w:val="00D7769C"/>
    <w:rsid w:val="00D77C84"/>
    <w:rsid w:val="00D77F36"/>
    <w:rsid w:val="00D8045A"/>
    <w:rsid w:val="00D81075"/>
    <w:rsid w:val="00D82281"/>
    <w:rsid w:val="00D82F40"/>
    <w:rsid w:val="00D82F74"/>
    <w:rsid w:val="00D83062"/>
    <w:rsid w:val="00D849FF"/>
    <w:rsid w:val="00D84E12"/>
    <w:rsid w:val="00D85150"/>
    <w:rsid w:val="00D863A7"/>
    <w:rsid w:val="00D867D5"/>
    <w:rsid w:val="00D878DA"/>
    <w:rsid w:val="00D87EFE"/>
    <w:rsid w:val="00D87F49"/>
    <w:rsid w:val="00D924D6"/>
    <w:rsid w:val="00D93BCE"/>
    <w:rsid w:val="00D946DD"/>
    <w:rsid w:val="00D946E0"/>
    <w:rsid w:val="00D94B70"/>
    <w:rsid w:val="00D94D11"/>
    <w:rsid w:val="00D95829"/>
    <w:rsid w:val="00D970D5"/>
    <w:rsid w:val="00D979C2"/>
    <w:rsid w:val="00DA089A"/>
    <w:rsid w:val="00DA10BB"/>
    <w:rsid w:val="00DA1121"/>
    <w:rsid w:val="00DA13F6"/>
    <w:rsid w:val="00DA1F66"/>
    <w:rsid w:val="00DA27D8"/>
    <w:rsid w:val="00DA2F12"/>
    <w:rsid w:val="00DA3059"/>
    <w:rsid w:val="00DA3C28"/>
    <w:rsid w:val="00DA4267"/>
    <w:rsid w:val="00DA4E3E"/>
    <w:rsid w:val="00DA4F21"/>
    <w:rsid w:val="00DA5355"/>
    <w:rsid w:val="00DA5821"/>
    <w:rsid w:val="00DA6B57"/>
    <w:rsid w:val="00DA7C43"/>
    <w:rsid w:val="00DB0286"/>
    <w:rsid w:val="00DB02D5"/>
    <w:rsid w:val="00DB1B29"/>
    <w:rsid w:val="00DB1BA3"/>
    <w:rsid w:val="00DB1EFB"/>
    <w:rsid w:val="00DB3B2C"/>
    <w:rsid w:val="00DB4C67"/>
    <w:rsid w:val="00DB504D"/>
    <w:rsid w:val="00DB53B2"/>
    <w:rsid w:val="00DB5E7F"/>
    <w:rsid w:val="00DB6461"/>
    <w:rsid w:val="00DB66E8"/>
    <w:rsid w:val="00DB686F"/>
    <w:rsid w:val="00DB742E"/>
    <w:rsid w:val="00DB779B"/>
    <w:rsid w:val="00DC0525"/>
    <w:rsid w:val="00DC1574"/>
    <w:rsid w:val="00DC1BEC"/>
    <w:rsid w:val="00DC1D77"/>
    <w:rsid w:val="00DC2933"/>
    <w:rsid w:val="00DC2ABF"/>
    <w:rsid w:val="00DC3582"/>
    <w:rsid w:val="00DC38F8"/>
    <w:rsid w:val="00DC55C8"/>
    <w:rsid w:val="00DC5D92"/>
    <w:rsid w:val="00DC616A"/>
    <w:rsid w:val="00DC62BA"/>
    <w:rsid w:val="00DC63EA"/>
    <w:rsid w:val="00DC6939"/>
    <w:rsid w:val="00DC7415"/>
    <w:rsid w:val="00DD07EB"/>
    <w:rsid w:val="00DD126B"/>
    <w:rsid w:val="00DD1290"/>
    <w:rsid w:val="00DD348B"/>
    <w:rsid w:val="00DD367A"/>
    <w:rsid w:val="00DD3920"/>
    <w:rsid w:val="00DD48BE"/>
    <w:rsid w:val="00DD48FA"/>
    <w:rsid w:val="00DD4AA7"/>
    <w:rsid w:val="00DD62E7"/>
    <w:rsid w:val="00DD6684"/>
    <w:rsid w:val="00DD7089"/>
    <w:rsid w:val="00DD73C3"/>
    <w:rsid w:val="00DD7A45"/>
    <w:rsid w:val="00DD7A8C"/>
    <w:rsid w:val="00DD7BE7"/>
    <w:rsid w:val="00DD7D76"/>
    <w:rsid w:val="00DE0258"/>
    <w:rsid w:val="00DE08DA"/>
    <w:rsid w:val="00DE276A"/>
    <w:rsid w:val="00DE322B"/>
    <w:rsid w:val="00DE44C9"/>
    <w:rsid w:val="00DE4603"/>
    <w:rsid w:val="00DE5248"/>
    <w:rsid w:val="00DE55FA"/>
    <w:rsid w:val="00DE5D8E"/>
    <w:rsid w:val="00DE619A"/>
    <w:rsid w:val="00DE6FDA"/>
    <w:rsid w:val="00DE762F"/>
    <w:rsid w:val="00DE7D95"/>
    <w:rsid w:val="00DF0813"/>
    <w:rsid w:val="00DF1EAB"/>
    <w:rsid w:val="00DF23F9"/>
    <w:rsid w:val="00DF4E0F"/>
    <w:rsid w:val="00DF5284"/>
    <w:rsid w:val="00DF5320"/>
    <w:rsid w:val="00DF5436"/>
    <w:rsid w:val="00DF629B"/>
    <w:rsid w:val="00E00B0B"/>
    <w:rsid w:val="00E00B99"/>
    <w:rsid w:val="00E01349"/>
    <w:rsid w:val="00E019D7"/>
    <w:rsid w:val="00E02247"/>
    <w:rsid w:val="00E0265B"/>
    <w:rsid w:val="00E026BA"/>
    <w:rsid w:val="00E02CB6"/>
    <w:rsid w:val="00E03083"/>
    <w:rsid w:val="00E033C1"/>
    <w:rsid w:val="00E038A4"/>
    <w:rsid w:val="00E03982"/>
    <w:rsid w:val="00E03BA3"/>
    <w:rsid w:val="00E04425"/>
    <w:rsid w:val="00E04AE7"/>
    <w:rsid w:val="00E05D2F"/>
    <w:rsid w:val="00E06744"/>
    <w:rsid w:val="00E07357"/>
    <w:rsid w:val="00E07E38"/>
    <w:rsid w:val="00E1084E"/>
    <w:rsid w:val="00E11B3E"/>
    <w:rsid w:val="00E124CA"/>
    <w:rsid w:val="00E126CF"/>
    <w:rsid w:val="00E12FD4"/>
    <w:rsid w:val="00E13096"/>
    <w:rsid w:val="00E135F2"/>
    <w:rsid w:val="00E13B6E"/>
    <w:rsid w:val="00E13CD5"/>
    <w:rsid w:val="00E1450E"/>
    <w:rsid w:val="00E14569"/>
    <w:rsid w:val="00E149C6"/>
    <w:rsid w:val="00E14F05"/>
    <w:rsid w:val="00E151ED"/>
    <w:rsid w:val="00E166F5"/>
    <w:rsid w:val="00E173B0"/>
    <w:rsid w:val="00E20B4F"/>
    <w:rsid w:val="00E20C80"/>
    <w:rsid w:val="00E2287D"/>
    <w:rsid w:val="00E2296E"/>
    <w:rsid w:val="00E232AB"/>
    <w:rsid w:val="00E23563"/>
    <w:rsid w:val="00E24839"/>
    <w:rsid w:val="00E24B22"/>
    <w:rsid w:val="00E24B4F"/>
    <w:rsid w:val="00E2583D"/>
    <w:rsid w:val="00E25D5C"/>
    <w:rsid w:val="00E25E41"/>
    <w:rsid w:val="00E25FD2"/>
    <w:rsid w:val="00E2685D"/>
    <w:rsid w:val="00E27495"/>
    <w:rsid w:val="00E27743"/>
    <w:rsid w:val="00E27A17"/>
    <w:rsid w:val="00E3001C"/>
    <w:rsid w:val="00E308B4"/>
    <w:rsid w:val="00E30BD8"/>
    <w:rsid w:val="00E3172D"/>
    <w:rsid w:val="00E31DEB"/>
    <w:rsid w:val="00E32030"/>
    <w:rsid w:val="00E324B6"/>
    <w:rsid w:val="00E32DA1"/>
    <w:rsid w:val="00E32EC4"/>
    <w:rsid w:val="00E34E56"/>
    <w:rsid w:val="00E34E9C"/>
    <w:rsid w:val="00E365EA"/>
    <w:rsid w:val="00E36DFE"/>
    <w:rsid w:val="00E40096"/>
    <w:rsid w:val="00E4041F"/>
    <w:rsid w:val="00E4054F"/>
    <w:rsid w:val="00E40625"/>
    <w:rsid w:val="00E40D2D"/>
    <w:rsid w:val="00E4183F"/>
    <w:rsid w:val="00E44378"/>
    <w:rsid w:val="00E445C5"/>
    <w:rsid w:val="00E44C36"/>
    <w:rsid w:val="00E44E65"/>
    <w:rsid w:val="00E463BB"/>
    <w:rsid w:val="00E4683B"/>
    <w:rsid w:val="00E46DE8"/>
    <w:rsid w:val="00E470B0"/>
    <w:rsid w:val="00E474EB"/>
    <w:rsid w:val="00E50072"/>
    <w:rsid w:val="00E507B6"/>
    <w:rsid w:val="00E50B24"/>
    <w:rsid w:val="00E50C29"/>
    <w:rsid w:val="00E51301"/>
    <w:rsid w:val="00E51F07"/>
    <w:rsid w:val="00E51FA8"/>
    <w:rsid w:val="00E52565"/>
    <w:rsid w:val="00E534AF"/>
    <w:rsid w:val="00E535F3"/>
    <w:rsid w:val="00E53658"/>
    <w:rsid w:val="00E53685"/>
    <w:rsid w:val="00E54507"/>
    <w:rsid w:val="00E56008"/>
    <w:rsid w:val="00E5626B"/>
    <w:rsid w:val="00E570E2"/>
    <w:rsid w:val="00E5726F"/>
    <w:rsid w:val="00E5783A"/>
    <w:rsid w:val="00E57B68"/>
    <w:rsid w:val="00E57EE6"/>
    <w:rsid w:val="00E607F3"/>
    <w:rsid w:val="00E628D4"/>
    <w:rsid w:val="00E63E45"/>
    <w:rsid w:val="00E646DB"/>
    <w:rsid w:val="00E64B04"/>
    <w:rsid w:val="00E64E98"/>
    <w:rsid w:val="00E65236"/>
    <w:rsid w:val="00E65429"/>
    <w:rsid w:val="00E658A1"/>
    <w:rsid w:val="00E66B8D"/>
    <w:rsid w:val="00E676B1"/>
    <w:rsid w:val="00E67707"/>
    <w:rsid w:val="00E7268B"/>
    <w:rsid w:val="00E72BF7"/>
    <w:rsid w:val="00E75245"/>
    <w:rsid w:val="00E7655E"/>
    <w:rsid w:val="00E80124"/>
    <w:rsid w:val="00E8074A"/>
    <w:rsid w:val="00E807DD"/>
    <w:rsid w:val="00E8086F"/>
    <w:rsid w:val="00E82755"/>
    <w:rsid w:val="00E83907"/>
    <w:rsid w:val="00E842E1"/>
    <w:rsid w:val="00E84D58"/>
    <w:rsid w:val="00E8547C"/>
    <w:rsid w:val="00E85D08"/>
    <w:rsid w:val="00E866FD"/>
    <w:rsid w:val="00E86B98"/>
    <w:rsid w:val="00E875CE"/>
    <w:rsid w:val="00E901F5"/>
    <w:rsid w:val="00E90C52"/>
    <w:rsid w:val="00E91046"/>
    <w:rsid w:val="00E9258C"/>
    <w:rsid w:val="00E94B40"/>
    <w:rsid w:val="00E9534F"/>
    <w:rsid w:val="00E95CC1"/>
    <w:rsid w:val="00E96417"/>
    <w:rsid w:val="00E965B7"/>
    <w:rsid w:val="00E96933"/>
    <w:rsid w:val="00E96ADB"/>
    <w:rsid w:val="00E976D7"/>
    <w:rsid w:val="00E97FCD"/>
    <w:rsid w:val="00EA0594"/>
    <w:rsid w:val="00EA06B4"/>
    <w:rsid w:val="00EA0C8C"/>
    <w:rsid w:val="00EA0FFD"/>
    <w:rsid w:val="00EA1217"/>
    <w:rsid w:val="00EA1275"/>
    <w:rsid w:val="00EA1366"/>
    <w:rsid w:val="00EA1BCD"/>
    <w:rsid w:val="00EA1D3D"/>
    <w:rsid w:val="00EA2473"/>
    <w:rsid w:val="00EA24F5"/>
    <w:rsid w:val="00EA25C4"/>
    <w:rsid w:val="00EA2B0D"/>
    <w:rsid w:val="00EA4339"/>
    <w:rsid w:val="00EA49E2"/>
    <w:rsid w:val="00EA55C2"/>
    <w:rsid w:val="00EA658C"/>
    <w:rsid w:val="00EA6C4C"/>
    <w:rsid w:val="00EA6F84"/>
    <w:rsid w:val="00EA746A"/>
    <w:rsid w:val="00EA7470"/>
    <w:rsid w:val="00EB0A02"/>
    <w:rsid w:val="00EB11AC"/>
    <w:rsid w:val="00EB11FB"/>
    <w:rsid w:val="00EB1410"/>
    <w:rsid w:val="00EB1903"/>
    <w:rsid w:val="00EB298E"/>
    <w:rsid w:val="00EB35B6"/>
    <w:rsid w:val="00EB3FEC"/>
    <w:rsid w:val="00EB574E"/>
    <w:rsid w:val="00EB64A6"/>
    <w:rsid w:val="00EB669E"/>
    <w:rsid w:val="00EB6AB1"/>
    <w:rsid w:val="00EC097B"/>
    <w:rsid w:val="00EC0DCD"/>
    <w:rsid w:val="00EC1787"/>
    <w:rsid w:val="00EC1AB2"/>
    <w:rsid w:val="00EC24A4"/>
    <w:rsid w:val="00EC411A"/>
    <w:rsid w:val="00EC4864"/>
    <w:rsid w:val="00EC53FF"/>
    <w:rsid w:val="00EC726A"/>
    <w:rsid w:val="00EC77DA"/>
    <w:rsid w:val="00EC787C"/>
    <w:rsid w:val="00ED0F48"/>
    <w:rsid w:val="00ED2FC5"/>
    <w:rsid w:val="00ED35B7"/>
    <w:rsid w:val="00ED3BFD"/>
    <w:rsid w:val="00ED5757"/>
    <w:rsid w:val="00ED5A29"/>
    <w:rsid w:val="00ED6B1F"/>
    <w:rsid w:val="00ED6EF2"/>
    <w:rsid w:val="00ED743D"/>
    <w:rsid w:val="00ED7813"/>
    <w:rsid w:val="00EE0D7A"/>
    <w:rsid w:val="00EE0DA1"/>
    <w:rsid w:val="00EE1517"/>
    <w:rsid w:val="00EE1C2B"/>
    <w:rsid w:val="00EE2354"/>
    <w:rsid w:val="00EE2B2B"/>
    <w:rsid w:val="00EE3453"/>
    <w:rsid w:val="00EE365B"/>
    <w:rsid w:val="00EE3B2E"/>
    <w:rsid w:val="00EE4AB7"/>
    <w:rsid w:val="00EE4B03"/>
    <w:rsid w:val="00EE4F92"/>
    <w:rsid w:val="00EE6BB6"/>
    <w:rsid w:val="00EE7E9B"/>
    <w:rsid w:val="00EF0ADA"/>
    <w:rsid w:val="00EF0FE1"/>
    <w:rsid w:val="00EF1215"/>
    <w:rsid w:val="00EF1FBC"/>
    <w:rsid w:val="00EF4F56"/>
    <w:rsid w:val="00EF50B8"/>
    <w:rsid w:val="00EF5A46"/>
    <w:rsid w:val="00EF5AD8"/>
    <w:rsid w:val="00EF626B"/>
    <w:rsid w:val="00EF6343"/>
    <w:rsid w:val="00EF6F92"/>
    <w:rsid w:val="00EF75FA"/>
    <w:rsid w:val="00EF79E1"/>
    <w:rsid w:val="00F00E74"/>
    <w:rsid w:val="00F01235"/>
    <w:rsid w:val="00F02646"/>
    <w:rsid w:val="00F02E5F"/>
    <w:rsid w:val="00F03157"/>
    <w:rsid w:val="00F036A4"/>
    <w:rsid w:val="00F0374B"/>
    <w:rsid w:val="00F03755"/>
    <w:rsid w:val="00F03ACA"/>
    <w:rsid w:val="00F041C9"/>
    <w:rsid w:val="00F0450A"/>
    <w:rsid w:val="00F0512D"/>
    <w:rsid w:val="00F06FF8"/>
    <w:rsid w:val="00F077F9"/>
    <w:rsid w:val="00F11400"/>
    <w:rsid w:val="00F13016"/>
    <w:rsid w:val="00F134EE"/>
    <w:rsid w:val="00F148E7"/>
    <w:rsid w:val="00F148F4"/>
    <w:rsid w:val="00F14D3F"/>
    <w:rsid w:val="00F1529C"/>
    <w:rsid w:val="00F16A87"/>
    <w:rsid w:val="00F16D5F"/>
    <w:rsid w:val="00F178F1"/>
    <w:rsid w:val="00F17C3A"/>
    <w:rsid w:val="00F17C4A"/>
    <w:rsid w:val="00F2073A"/>
    <w:rsid w:val="00F20DF4"/>
    <w:rsid w:val="00F21257"/>
    <w:rsid w:val="00F214FD"/>
    <w:rsid w:val="00F218D4"/>
    <w:rsid w:val="00F21CAA"/>
    <w:rsid w:val="00F21E88"/>
    <w:rsid w:val="00F22425"/>
    <w:rsid w:val="00F22A5B"/>
    <w:rsid w:val="00F23DAB"/>
    <w:rsid w:val="00F241B7"/>
    <w:rsid w:val="00F24D7E"/>
    <w:rsid w:val="00F24EDA"/>
    <w:rsid w:val="00F255B9"/>
    <w:rsid w:val="00F259E8"/>
    <w:rsid w:val="00F26F71"/>
    <w:rsid w:val="00F274A3"/>
    <w:rsid w:val="00F305EE"/>
    <w:rsid w:val="00F308A5"/>
    <w:rsid w:val="00F30904"/>
    <w:rsid w:val="00F30C44"/>
    <w:rsid w:val="00F317B6"/>
    <w:rsid w:val="00F317F8"/>
    <w:rsid w:val="00F32189"/>
    <w:rsid w:val="00F3230A"/>
    <w:rsid w:val="00F32A09"/>
    <w:rsid w:val="00F33106"/>
    <w:rsid w:val="00F3383B"/>
    <w:rsid w:val="00F33FB7"/>
    <w:rsid w:val="00F35407"/>
    <w:rsid w:val="00F35579"/>
    <w:rsid w:val="00F3644A"/>
    <w:rsid w:val="00F364DA"/>
    <w:rsid w:val="00F36FFB"/>
    <w:rsid w:val="00F379FE"/>
    <w:rsid w:val="00F41BD3"/>
    <w:rsid w:val="00F42BB4"/>
    <w:rsid w:val="00F4357A"/>
    <w:rsid w:val="00F43B0E"/>
    <w:rsid w:val="00F44130"/>
    <w:rsid w:val="00F44802"/>
    <w:rsid w:val="00F44863"/>
    <w:rsid w:val="00F45503"/>
    <w:rsid w:val="00F45D30"/>
    <w:rsid w:val="00F4609D"/>
    <w:rsid w:val="00F4631C"/>
    <w:rsid w:val="00F4695E"/>
    <w:rsid w:val="00F46A98"/>
    <w:rsid w:val="00F46B02"/>
    <w:rsid w:val="00F508D8"/>
    <w:rsid w:val="00F50CAF"/>
    <w:rsid w:val="00F51F1B"/>
    <w:rsid w:val="00F520C6"/>
    <w:rsid w:val="00F52506"/>
    <w:rsid w:val="00F5295F"/>
    <w:rsid w:val="00F52ABC"/>
    <w:rsid w:val="00F538B7"/>
    <w:rsid w:val="00F54838"/>
    <w:rsid w:val="00F54954"/>
    <w:rsid w:val="00F568E2"/>
    <w:rsid w:val="00F574F4"/>
    <w:rsid w:val="00F606D2"/>
    <w:rsid w:val="00F61160"/>
    <w:rsid w:val="00F63E13"/>
    <w:rsid w:val="00F64402"/>
    <w:rsid w:val="00F64D47"/>
    <w:rsid w:val="00F660E8"/>
    <w:rsid w:val="00F6668A"/>
    <w:rsid w:val="00F6785C"/>
    <w:rsid w:val="00F70746"/>
    <w:rsid w:val="00F70808"/>
    <w:rsid w:val="00F709F6"/>
    <w:rsid w:val="00F71145"/>
    <w:rsid w:val="00F71700"/>
    <w:rsid w:val="00F71C75"/>
    <w:rsid w:val="00F7298C"/>
    <w:rsid w:val="00F73990"/>
    <w:rsid w:val="00F747DF"/>
    <w:rsid w:val="00F74BCA"/>
    <w:rsid w:val="00F75E74"/>
    <w:rsid w:val="00F76140"/>
    <w:rsid w:val="00F77221"/>
    <w:rsid w:val="00F77549"/>
    <w:rsid w:val="00F77A68"/>
    <w:rsid w:val="00F80CBC"/>
    <w:rsid w:val="00F80D7C"/>
    <w:rsid w:val="00F817F0"/>
    <w:rsid w:val="00F82202"/>
    <w:rsid w:val="00F82D02"/>
    <w:rsid w:val="00F82E36"/>
    <w:rsid w:val="00F8305A"/>
    <w:rsid w:val="00F852B4"/>
    <w:rsid w:val="00F86A03"/>
    <w:rsid w:val="00F86E77"/>
    <w:rsid w:val="00F8749D"/>
    <w:rsid w:val="00F902C8"/>
    <w:rsid w:val="00F93A2B"/>
    <w:rsid w:val="00F95052"/>
    <w:rsid w:val="00F95443"/>
    <w:rsid w:val="00F955B5"/>
    <w:rsid w:val="00F95BE1"/>
    <w:rsid w:val="00FA045D"/>
    <w:rsid w:val="00FA0C6B"/>
    <w:rsid w:val="00FA18D2"/>
    <w:rsid w:val="00FA1D74"/>
    <w:rsid w:val="00FA21AD"/>
    <w:rsid w:val="00FA2304"/>
    <w:rsid w:val="00FA2ED5"/>
    <w:rsid w:val="00FA31F4"/>
    <w:rsid w:val="00FA3DCF"/>
    <w:rsid w:val="00FA45C8"/>
    <w:rsid w:val="00FA4A32"/>
    <w:rsid w:val="00FA4D2D"/>
    <w:rsid w:val="00FA66D0"/>
    <w:rsid w:val="00FA6BD1"/>
    <w:rsid w:val="00FA79A8"/>
    <w:rsid w:val="00FA7C77"/>
    <w:rsid w:val="00FA7EA0"/>
    <w:rsid w:val="00FB1107"/>
    <w:rsid w:val="00FB13C0"/>
    <w:rsid w:val="00FB1AFE"/>
    <w:rsid w:val="00FB1F49"/>
    <w:rsid w:val="00FB280A"/>
    <w:rsid w:val="00FB2B52"/>
    <w:rsid w:val="00FB2DEE"/>
    <w:rsid w:val="00FB2FA9"/>
    <w:rsid w:val="00FB4660"/>
    <w:rsid w:val="00FB4719"/>
    <w:rsid w:val="00FB480F"/>
    <w:rsid w:val="00FB512C"/>
    <w:rsid w:val="00FB531C"/>
    <w:rsid w:val="00FB619F"/>
    <w:rsid w:val="00FB6A6C"/>
    <w:rsid w:val="00FB6C5B"/>
    <w:rsid w:val="00FB70EC"/>
    <w:rsid w:val="00FC1770"/>
    <w:rsid w:val="00FC19AE"/>
    <w:rsid w:val="00FC33AF"/>
    <w:rsid w:val="00FC6C1F"/>
    <w:rsid w:val="00FC6CBF"/>
    <w:rsid w:val="00FC6EB5"/>
    <w:rsid w:val="00FC716D"/>
    <w:rsid w:val="00FC771D"/>
    <w:rsid w:val="00FC7DF2"/>
    <w:rsid w:val="00FD030C"/>
    <w:rsid w:val="00FD0FB7"/>
    <w:rsid w:val="00FD1825"/>
    <w:rsid w:val="00FD2474"/>
    <w:rsid w:val="00FD26F8"/>
    <w:rsid w:val="00FD33E3"/>
    <w:rsid w:val="00FD3D15"/>
    <w:rsid w:val="00FD4C65"/>
    <w:rsid w:val="00FD4E33"/>
    <w:rsid w:val="00FD50DB"/>
    <w:rsid w:val="00FD51D5"/>
    <w:rsid w:val="00FD648C"/>
    <w:rsid w:val="00FD6A81"/>
    <w:rsid w:val="00FD7417"/>
    <w:rsid w:val="00FE14B9"/>
    <w:rsid w:val="00FE1518"/>
    <w:rsid w:val="00FE22CC"/>
    <w:rsid w:val="00FE23F9"/>
    <w:rsid w:val="00FE2409"/>
    <w:rsid w:val="00FE32BA"/>
    <w:rsid w:val="00FE426F"/>
    <w:rsid w:val="00FE4495"/>
    <w:rsid w:val="00FE4E83"/>
    <w:rsid w:val="00FE6035"/>
    <w:rsid w:val="00FE67C9"/>
    <w:rsid w:val="00FE7392"/>
    <w:rsid w:val="00FE7AAD"/>
    <w:rsid w:val="00FF0025"/>
    <w:rsid w:val="00FF0028"/>
    <w:rsid w:val="00FF00C4"/>
    <w:rsid w:val="00FF1D60"/>
    <w:rsid w:val="00FF2088"/>
    <w:rsid w:val="00FF3336"/>
    <w:rsid w:val="00FF4CF0"/>
    <w:rsid w:val="00FF5B6F"/>
    <w:rsid w:val="00FF6487"/>
    <w:rsid w:val="00FF65E5"/>
    <w:rsid w:val="00FF6C94"/>
    <w:rsid w:val="00FF6E4B"/>
    <w:rsid w:val="00FF7E8C"/>
    <w:rsid w:val="02021C0E"/>
    <w:rsid w:val="03467437"/>
    <w:rsid w:val="037EC00E"/>
    <w:rsid w:val="03910908"/>
    <w:rsid w:val="054D4C5F"/>
    <w:rsid w:val="059D1E96"/>
    <w:rsid w:val="06E11CC9"/>
    <w:rsid w:val="072F0AA8"/>
    <w:rsid w:val="074E79AF"/>
    <w:rsid w:val="078FA390"/>
    <w:rsid w:val="07A29F27"/>
    <w:rsid w:val="08BA3FDE"/>
    <w:rsid w:val="0915219D"/>
    <w:rsid w:val="0970B293"/>
    <w:rsid w:val="098423C9"/>
    <w:rsid w:val="09BF6C4B"/>
    <w:rsid w:val="0A0D2DF3"/>
    <w:rsid w:val="0AE288AF"/>
    <w:rsid w:val="0B480B8F"/>
    <w:rsid w:val="0B590B61"/>
    <w:rsid w:val="0BC82EC3"/>
    <w:rsid w:val="0D4CBC3B"/>
    <w:rsid w:val="0DBC0E6E"/>
    <w:rsid w:val="0DFFD316"/>
    <w:rsid w:val="0E3891A8"/>
    <w:rsid w:val="0E3A9618"/>
    <w:rsid w:val="0EE09F16"/>
    <w:rsid w:val="10033A15"/>
    <w:rsid w:val="10148102"/>
    <w:rsid w:val="1044F440"/>
    <w:rsid w:val="106018D6"/>
    <w:rsid w:val="1149081A"/>
    <w:rsid w:val="1175E3DE"/>
    <w:rsid w:val="11C49379"/>
    <w:rsid w:val="1253EEE9"/>
    <w:rsid w:val="138F615D"/>
    <w:rsid w:val="13A0A34C"/>
    <w:rsid w:val="142DCC2B"/>
    <w:rsid w:val="147A03DE"/>
    <w:rsid w:val="149F04AC"/>
    <w:rsid w:val="14C6B26D"/>
    <w:rsid w:val="15069460"/>
    <w:rsid w:val="151778AC"/>
    <w:rsid w:val="161CE6E3"/>
    <w:rsid w:val="16F02A8A"/>
    <w:rsid w:val="177D4CE9"/>
    <w:rsid w:val="180E877C"/>
    <w:rsid w:val="1829D8A2"/>
    <w:rsid w:val="197EDE12"/>
    <w:rsid w:val="1A2B3F43"/>
    <w:rsid w:val="1A8E799C"/>
    <w:rsid w:val="1AB25EA5"/>
    <w:rsid w:val="1AE2BE6F"/>
    <w:rsid w:val="1AF108EC"/>
    <w:rsid w:val="1B44B532"/>
    <w:rsid w:val="1BA63B02"/>
    <w:rsid w:val="1BE090BF"/>
    <w:rsid w:val="1C55A7BE"/>
    <w:rsid w:val="1CC0A26A"/>
    <w:rsid w:val="1D62E005"/>
    <w:rsid w:val="1DDEDD21"/>
    <w:rsid w:val="1ED205FB"/>
    <w:rsid w:val="1ED62792"/>
    <w:rsid w:val="1F57D49A"/>
    <w:rsid w:val="1F9F1879"/>
    <w:rsid w:val="200A41B5"/>
    <w:rsid w:val="209A80C7"/>
    <w:rsid w:val="22D5BB95"/>
    <w:rsid w:val="2378DDA4"/>
    <w:rsid w:val="23BA0520"/>
    <w:rsid w:val="23E07DBC"/>
    <w:rsid w:val="242C3731"/>
    <w:rsid w:val="249A2CA2"/>
    <w:rsid w:val="24BA3EBF"/>
    <w:rsid w:val="255DF60E"/>
    <w:rsid w:val="25C732B9"/>
    <w:rsid w:val="26EB0899"/>
    <w:rsid w:val="2725927B"/>
    <w:rsid w:val="273A0F1C"/>
    <w:rsid w:val="273B47D5"/>
    <w:rsid w:val="27B034A5"/>
    <w:rsid w:val="27C29BC9"/>
    <w:rsid w:val="2877D84F"/>
    <w:rsid w:val="28E95AAB"/>
    <w:rsid w:val="2945E988"/>
    <w:rsid w:val="298E99A6"/>
    <w:rsid w:val="29A13E36"/>
    <w:rsid w:val="29EE5328"/>
    <w:rsid w:val="2B09BF11"/>
    <w:rsid w:val="2B1BFDA3"/>
    <w:rsid w:val="2B5886D3"/>
    <w:rsid w:val="2BD286E1"/>
    <w:rsid w:val="2C043E33"/>
    <w:rsid w:val="2CE66EC5"/>
    <w:rsid w:val="2DC11A19"/>
    <w:rsid w:val="2E0750FD"/>
    <w:rsid w:val="2F0DA970"/>
    <w:rsid w:val="2F64C245"/>
    <w:rsid w:val="309199D8"/>
    <w:rsid w:val="30B710AE"/>
    <w:rsid w:val="30EEE13F"/>
    <w:rsid w:val="30FB2642"/>
    <w:rsid w:val="310D81B3"/>
    <w:rsid w:val="313CB216"/>
    <w:rsid w:val="318B3F27"/>
    <w:rsid w:val="319DC454"/>
    <w:rsid w:val="31AD8AE1"/>
    <w:rsid w:val="330DE72B"/>
    <w:rsid w:val="330F8F8B"/>
    <w:rsid w:val="339F0020"/>
    <w:rsid w:val="34C2DFE9"/>
    <w:rsid w:val="35DCD690"/>
    <w:rsid w:val="35E181AE"/>
    <w:rsid w:val="35F70C9C"/>
    <w:rsid w:val="3605DB2B"/>
    <w:rsid w:val="360A6772"/>
    <w:rsid w:val="374D1A14"/>
    <w:rsid w:val="376657E7"/>
    <w:rsid w:val="381F81B1"/>
    <w:rsid w:val="394C2A56"/>
    <w:rsid w:val="39A266F4"/>
    <w:rsid w:val="3A979D43"/>
    <w:rsid w:val="3AC5F155"/>
    <w:rsid w:val="3ADF75E6"/>
    <w:rsid w:val="3B3D1835"/>
    <w:rsid w:val="3B3DCEB1"/>
    <w:rsid w:val="3D472275"/>
    <w:rsid w:val="3D7EC901"/>
    <w:rsid w:val="3E59B116"/>
    <w:rsid w:val="3F904A01"/>
    <w:rsid w:val="3F99B2CE"/>
    <w:rsid w:val="40D5443C"/>
    <w:rsid w:val="41E2E7D8"/>
    <w:rsid w:val="4275C273"/>
    <w:rsid w:val="42AD3538"/>
    <w:rsid w:val="42D119CF"/>
    <w:rsid w:val="44148F7F"/>
    <w:rsid w:val="442C18AC"/>
    <w:rsid w:val="446AA30E"/>
    <w:rsid w:val="44EFA77F"/>
    <w:rsid w:val="457B9632"/>
    <w:rsid w:val="459D3970"/>
    <w:rsid w:val="461BF12F"/>
    <w:rsid w:val="464624A1"/>
    <w:rsid w:val="466A9043"/>
    <w:rsid w:val="46F3DB5B"/>
    <w:rsid w:val="47354571"/>
    <w:rsid w:val="48007451"/>
    <w:rsid w:val="488ED28B"/>
    <w:rsid w:val="489D4DB5"/>
    <w:rsid w:val="49370562"/>
    <w:rsid w:val="4A7F3680"/>
    <w:rsid w:val="4B10B6F9"/>
    <w:rsid w:val="4B55F010"/>
    <w:rsid w:val="4B7190E0"/>
    <w:rsid w:val="4B9F46AA"/>
    <w:rsid w:val="4BA1C5F2"/>
    <w:rsid w:val="4C26E1FB"/>
    <w:rsid w:val="4C526E7C"/>
    <w:rsid w:val="4E563509"/>
    <w:rsid w:val="4E8C4B01"/>
    <w:rsid w:val="4EC41E8A"/>
    <w:rsid w:val="4ECD325B"/>
    <w:rsid w:val="4F5C137A"/>
    <w:rsid w:val="50D005A6"/>
    <w:rsid w:val="50E6BEB6"/>
    <w:rsid w:val="511BCBA7"/>
    <w:rsid w:val="512CB804"/>
    <w:rsid w:val="5197EE95"/>
    <w:rsid w:val="51F54AC7"/>
    <w:rsid w:val="520FC812"/>
    <w:rsid w:val="529C88BE"/>
    <w:rsid w:val="53835B03"/>
    <w:rsid w:val="5421177F"/>
    <w:rsid w:val="5540F2AF"/>
    <w:rsid w:val="5599F295"/>
    <w:rsid w:val="55F04D5B"/>
    <w:rsid w:val="56C5145C"/>
    <w:rsid w:val="5743AA01"/>
    <w:rsid w:val="576C3BD5"/>
    <w:rsid w:val="58076C55"/>
    <w:rsid w:val="58631197"/>
    <w:rsid w:val="587B5E42"/>
    <w:rsid w:val="59924AC3"/>
    <w:rsid w:val="59AD7CA8"/>
    <w:rsid w:val="5AB31E67"/>
    <w:rsid w:val="5C88639F"/>
    <w:rsid w:val="5C8D4AB7"/>
    <w:rsid w:val="5C8EE69C"/>
    <w:rsid w:val="5D6FA202"/>
    <w:rsid w:val="5DAA47F3"/>
    <w:rsid w:val="5DBAD171"/>
    <w:rsid w:val="5F03B768"/>
    <w:rsid w:val="5F088FD6"/>
    <w:rsid w:val="5F4BAA87"/>
    <w:rsid w:val="60009B8A"/>
    <w:rsid w:val="603F3E32"/>
    <w:rsid w:val="60567982"/>
    <w:rsid w:val="60B4FBA1"/>
    <w:rsid w:val="61AF5713"/>
    <w:rsid w:val="61CF4297"/>
    <w:rsid w:val="61D1B392"/>
    <w:rsid w:val="62165510"/>
    <w:rsid w:val="6278C056"/>
    <w:rsid w:val="628F6C62"/>
    <w:rsid w:val="62970A44"/>
    <w:rsid w:val="635E3350"/>
    <w:rsid w:val="63DF7EF2"/>
    <w:rsid w:val="6430E68A"/>
    <w:rsid w:val="657659BE"/>
    <w:rsid w:val="65DCADF0"/>
    <w:rsid w:val="66834AFA"/>
    <w:rsid w:val="66A53BF2"/>
    <w:rsid w:val="67C9A8AE"/>
    <w:rsid w:val="67CCC68F"/>
    <w:rsid w:val="67E95557"/>
    <w:rsid w:val="68462367"/>
    <w:rsid w:val="687C9FA7"/>
    <w:rsid w:val="6926D8F5"/>
    <w:rsid w:val="69494563"/>
    <w:rsid w:val="696B6F1B"/>
    <w:rsid w:val="696D1A0A"/>
    <w:rsid w:val="6A4633E8"/>
    <w:rsid w:val="6B065360"/>
    <w:rsid w:val="6C5A5111"/>
    <w:rsid w:val="6CAA2E3A"/>
    <w:rsid w:val="6CE490A8"/>
    <w:rsid w:val="6D1595E8"/>
    <w:rsid w:val="6D2D8C0A"/>
    <w:rsid w:val="6E937BD0"/>
    <w:rsid w:val="70758B13"/>
    <w:rsid w:val="712B2F66"/>
    <w:rsid w:val="71CC0376"/>
    <w:rsid w:val="72E72C85"/>
    <w:rsid w:val="72F03953"/>
    <w:rsid w:val="734CB4E0"/>
    <w:rsid w:val="73A0F101"/>
    <w:rsid w:val="74464571"/>
    <w:rsid w:val="744AE9A3"/>
    <w:rsid w:val="74CA87B0"/>
    <w:rsid w:val="74EFB8BD"/>
    <w:rsid w:val="75712279"/>
    <w:rsid w:val="7597F200"/>
    <w:rsid w:val="7629B300"/>
    <w:rsid w:val="76DF4199"/>
    <w:rsid w:val="77181A36"/>
    <w:rsid w:val="776BB6BE"/>
    <w:rsid w:val="781AAD02"/>
    <w:rsid w:val="786A2DC3"/>
    <w:rsid w:val="78DA69B5"/>
    <w:rsid w:val="7A42551B"/>
    <w:rsid w:val="7AB0E035"/>
    <w:rsid w:val="7ABFC934"/>
    <w:rsid w:val="7B19CF12"/>
    <w:rsid w:val="7B33538D"/>
    <w:rsid w:val="7BAFC099"/>
    <w:rsid w:val="7C896241"/>
    <w:rsid w:val="7C94DE1B"/>
    <w:rsid w:val="7D05295D"/>
    <w:rsid w:val="7DB55C99"/>
    <w:rsid w:val="7DED746E"/>
    <w:rsid w:val="7F24E14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9435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668C"/>
    <w:pPr>
      <w:spacing w:after="200" w:line="276" w:lineRule="auto"/>
    </w:pPr>
    <w:rPr>
      <w:rFonts w:ascii="Calibri" w:eastAsia="Calibri" w:hAnsi="Calibri" w:cs="Times New Roman"/>
    </w:rPr>
  </w:style>
  <w:style w:type="paragraph" w:styleId="Heading1">
    <w:name w:val="heading 1"/>
    <w:basedOn w:val="Heading10"/>
    <w:next w:val="Normal"/>
    <w:link w:val="Heading1Char"/>
    <w:uiPriority w:val="9"/>
    <w:qFormat/>
    <w:rsid w:val="008C4B3C"/>
    <w:pPr>
      <w:spacing w:before="1000"/>
      <w:jc w:val="center"/>
      <w:outlineLvl w:val="0"/>
    </w:pPr>
    <w:rPr>
      <w:sz w:val="72"/>
      <w:szCs w:val="72"/>
    </w:rPr>
  </w:style>
  <w:style w:type="paragraph" w:styleId="Heading2">
    <w:name w:val="heading 2"/>
    <w:basedOn w:val="Normal"/>
    <w:next w:val="Normal"/>
    <w:link w:val="Heading2Char"/>
    <w:uiPriority w:val="9"/>
    <w:unhideWhenUsed/>
    <w:qFormat/>
    <w:rsid w:val="004C7458"/>
    <w:pPr>
      <w:keepNext/>
      <w:keepLines/>
      <w:tabs>
        <w:tab w:val="left" w:pos="1701"/>
      </w:tabs>
      <w:spacing w:before="360" w:after="120" w:line="240" w:lineRule="auto"/>
      <w:outlineLvl w:val="1"/>
    </w:pPr>
    <w:rPr>
      <w:rFonts w:ascii="Franklin Gothic Medium" w:eastAsiaTheme="majorEastAsia" w:hAnsi="Franklin Gothic Medium" w:cstheme="majorBidi"/>
      <w:color w:val="000000" w:themeColor="text1"/>
      <w:sz w:val="32"/>
      <w:szCs w:val="26"/>
    </w:rPr>
  </w:style>
  <w:style w:type="paragraph" w:styleId="Heading3">
    <w:name w:val="heading 3"/>
    <w:basedOn w:val="Heading2"/>
    <w:next w:val="Normal"/>
    <w:link w:val="Heading3Char"/>
    <w:uiPriority w:val="9"/>
    <w:unhideWhenUsed/>
    <w:qFormat/>
    <w:rsid w:val="00713728"/>
    <w:pPr>
      <w:tabs>
        <w:tab w:val="clear" w:pos="1701"/>
      </w:tabs>
      <w:spacing w:line="276" w:lineRule="auto"/>
      <w:outlineLvl w:val="2"/>
    </w:pPr>
    <w:rPr>
      <w:rFonts w:ascii="Calibri" w:eastAsia="MS Gothic" w:hAnsi="Calibri" w:cs="Times New Roman"/>
      <w:b/>
      <w:bCs/>
      <w:i/>
      <w:color w:val="auto"/>
      <w:sz w:val="24"/>
      <w:szCs w:val="24"/>
    </w:rPr>
  </w:style>
  <w:style w:type="paragraph" w:styleId="Heading4">
    <w:name w:val="heading 4"/>
    <w:basedOn w:val="Normal"/>
    <w:next w:val="Normal"/>
    <w:link w:val="Heading4Char"/>
    <w:uiPriority w:val="9"/>
    <w:unhideWhenUsed/>
    <w:qFormat/>
    <w:rsid w:val="00E2287D"/>
    <w:pPr>
      <w:keepNext/>
      <w:keepLines/>
      <w:spacing w:before="40" w:after="0"/>
      <w:outlineLvl w:val="3"/>
    </w:pPr>
    <w:rPr>
      <w:rFonts w:asciiTheme="majorHAnsi" w:eastAsiaTheme="majorEastAsia" w:hAnsiTheme="majorHAnsi" w:cstheme="majorBidi"/>
      <w:i/>
      <w:iCs/>
      <w:color w:val="002060"/>
    </w:rPr>
  </w:style>
  <w:style w:type="paragraph" w:styleId="Heading5">
    <w:name w:val="heading 5"/>
    <w:basedOn w:val="Normal"/>
    <w:next w:val="Normal"/>
    <w:link w:val="Heading5Char"/>
    <w:uiPriority w:val="9"/>
    <w:semiHidden/>
    <w:unhideWhenUsed/>
    <w:qFormat/>
    <w:rsid w:val="00ED6EF2"/>
    <w:pPr>
      <w:keepNext/>
      <w:keepLines/>
      <w:spacing w:before="80" w:after="40"/>
      <w:outlineLvl w:val="4"/>
    </w:pPr>
    <w:rPr>
      <w:rFonts w:eastAsiaTheme="majorEastAsia"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78E7"/>
    <w:rPr>
      <w:rFonts w:ascii="Times New Roman" w:hAnsi="Times New Roman" w:cs="Times New Roman" w:hint="default"/>
      <w:color w:val="0000FF"/>
      <w:u w:val="single"/>
    </w:rPr>
  </w:style>
  <w:style w:type="paragraph" w:customStyle="1" w:styleId="Heading10">
    <w:name w:val="Heading1"/>
    <w:rsid w:val="006478E7"/>
    <w:pPr>
      <w:spacing w:after="200" w:line="240" w:lineRule="auto"/>
    </w:pPr>
    <w:rPr>
      <w:rFonts w:ascii="Calibri" w:eastAsia="Calibri" w:hAnsi="Calibri" w:cs="Calibri"/>
      <w:b/>
      <w:bCs/>
      <w:color w:val="000000"/>
      <w:sz w:val="36"/>
      <w:szCs w:val="36"/>
      <w:u w:color="000000"/>
      <w:lang w:val="en-US" w:eastAsia="en-AU"/>
    </w:rPr>
  </w:style>
  <w:style w:type="character" w:customStyle="1" w:styleId="Heading2Char">
    <w:name w:val="Heading 2 Char"/>
    <w:basedOn w:val="DefaultParagraphFont"/>
    <w:link w:val="Heading2"/>
    <w:uiPriority w:val="9"/>
    <w:rsid w:val="004C7458"/>
    <w:rPr>
      <w:rFonts w:ascii="Franklin Gothic Medium" w:eastAsiaTheme="majorEastAsia" w:hAnsi="Franklin Gothic Medium" w:cstheme="majorBidi"/>
      <w:color w:val="000000" w:themeColor="text1"/>
      <w:sz w:val="32"/>
      <w:szCs w:val="26"/>
    </w:rPr>
  </w:style>
  <w:style w:type="table" w:customStyle="1" w:styleId="TableGrid1">
    <w:name w:val="Table Grid1"/>
    <w:basedOn w:val="TableNormal"/>
    <w:uiPriority w:val="59"/>
    <w:rsid w:val="006478E7"/>
    <w:pPr>
      <w:spacing w:after="240" w:line="240" w:lineRule="auto"/>
      <w:ind w:left="72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6478E7"/>
    <w:pPr>
      <w:ind w:left="720"/>
      <w:contextualSpacing/>
    </w:pPr>
  </w:style>
  <w:style w:type="table" w:styleId="TableGrid">
    <w:name w:val="Table Grid"/>
    <w:aliases w:val="Summary box,Table Gridbeth,RTI AMCP Table,new style,ASD Table,HealthConsult,PBAC table,CMA Table Template,Conclusion box,Table Grid nm"/>
    <w:basedOn w:val="TableNormal"/>
    <w:uiPriority w:val="59"/>
    <w:rsid w:val="002F3E40"/>
    <w:pPr>
      <w:spacing w:after="0" w:line="240" w:lineRule="auto"/>
    </w:pPr>
    <w:rPr>
      <w:rFonts w:ascii="Times New Roman" w:hAnsi="Times New Roman"/>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Caption Char2 Char,Caption Char Char Char2,Caption Char1 Char Char Char1,Caption Char2 Char Char Char1 Char1,Caption Char Char1 Char Char Char1 Char1,Caption Char1 Char Char Char Char Char Char,Caption Char Char1,Caption Char2,Caption Char1"/>
    <w:basedOn w:val="Normal"/>
    <w:next w:val="Normal"/>
    <w:link w:val="CaptionChar"/>
    <w:uiPriority w:val="99"/>
    <w:qFormat/>
    <w:rsid w:val="00E01349"/>
    <w:pPr>
      <w:keepNext/>
      <w:spacing w:before="360" w:after="120" w:line="240" w:lineRule="auto"/>
      <w:ind w:left="709" w:hanging="709"/>
    </w:pPr>
    <w:rPr>
      <w:rFonts w:ascii="Arial Narrow" w:eastAsia="Times New Roman" w:hAnsi="Arial Narrow" w:cs="Tahoma"/>
      <w:b/>
      <w:sz w:val="20"/>
      <w:szCs w:val="20"/>
      <w:lang w:val="en-GB" w:eastAsia="ja-JP"/>
    </w:rPr>
  </w:style>
  <w:style w:type="paragraph" w:customStyle="1" w:styleId="TableHeading">
    <w:name w:val="TableHeading"/>
    <w:basedOn w:val="Normal"/>
    <w:link w:val="TableHeadingChar"/>
    <w:qFormat/>
    <w:rsid w:val="000939E0"/>
    <w:pPr>
      <w:keepNext/>
      <w:spacing w:before="40" w:after="40" w:line="240" w:lineRule="auto"/>
    </w:pPr>
    <w:rPr>
      <w:rFonts w:ascii="Arial Narrow" w:eastAsia="Times New Roman" w:hAnsi="Arial Narrow" w:cs="Tahoma"/>
      <w:b/>
      <w:sz w:val="20"/>
      <w:szCs w:val="20"/>
      <w:lang w:eastAsia="en-AU"/>
    </w:rPr>
  </w:style>
  <w:style w:type="character" w:customStyle="1" w:styleId="TableHeadingChar">
    <w:name w:val="TableHeading Char"/>
    <w:link w:val="TableHeading"/>
    <w:rsid w:val="000939E0"/>
    <w:rPr>
      <w:rFonts w:ascii="Arial Narrow" w:eastAsia="Times New Roman" w:hAnsi="Arial Narrow" w:cs="Tahoma"/>
      <w:b/>
      <w:sz w:val="20"/>
      <w:szCs w:val="20"/>
      <w:lang w:eastAsia="en-AU"/>
    </w:rPr>
  </w:style>
  <w:style w:type="paragraph" w:customStyle="1" w:styleId="Tabletext">
    <w:name w:val="Table text"/>
    <w:basedOn w:val="Normal"/>
    <w:link w:val="TabletextChar"/>
    <w:qFormat/>
    <w:rsid w:val="000939E0"/>
    <w:pPr>
      <w:spacing w:before="40" w:after="40" w:line="240" w:lineRule="auto"/>
    </w:pPr>
    <w:rPr>
      <w:rFonts w:ascii="Arial Narrow" w:eastAsia="Times New Roman" w:hAnsi="Arial Narrow" w:cs="Tahoma"/>
      <w:sz w:val="20"/>
      <w:szCs w:val="20"/>
      <w:lang w:eastAsia="en-AU"/>
    </w:rPr>
  </w:style>
  <w:style w:type="character" w:customStyle="1" w:styleId="TabletextChar">
    <w:name w:val="Table text Char"/>
    <w:link w:val="Tabletext"/>
    <w:rsid w:val="000939E0"/>
    <w:rPr>
      <w:rFonts w:ascii="Arial Narrow" w:eastAsia="Times New Roman" w:hAnsi="Arial Narrow" w:cs="Tahoma"/>
      <w:sz w:val="20"/>
      <w:szCs w:val="20"/>
      <w:lang w:eastAsia="en-AU"/>
    </w:rPr>
  </w:style>
  <w:style w:type="paragraph" w:customStyle="1" w:styleId="Tablenotes">
    <w:name w:val="Tablenotes"/>
    <w:basedOn w:val="Normal"/>
    <w:link w:val="TablenotesChar"/>
    <w:qFormat/>
    <w:rsid w:val="000939E0"/>
    <w:pPr>
      <w:widowControl w:val="0"/>
      <w:spacing w:after="120" w:line="240" w:lineRule="auto"/>
      <w:jc w:val="both"/>
    </w:pPr>
    <w:rPr>
      <w:rFonts w:ascii="Arial Narrow" w:eastAsia="Times New Roman" w:hAnsi="Arial Narrow" w:cs="Arial"/>
      <w:snapToGrid w:val="0"/>
      <w:sz w:val="18"/>
      <w:szCs w:val="20"/>
    </w:rPr>
  </w:style>
  <w:style w:type="character" w:customStyle="1" w:styleId="TablenotesChar">
    <w:name w:val="Tablenotes Char"/>
    <w:basedOn w:val="DefaultParagraphFont"/>
    <w:link w:val="Tablenotes"/>
    <w:rsid w:val="000939E0"/>
    <w:rPr>
      <w:rFonts w:ascii="Arial Narrow" w:eastAsia="Times New Roman" w:hAnsi="Arial Narrow" w:cs="Arial"/>
      <w:snapToGrid w:val="0"/>
      <w:sz w:val="18"/>
      <w:szCs w:val="20"/>
    </w:rPr>
  </w:style>
  <w:style w:type="paragraph" w:customStyle="1" w:styleId="TableName">
    <w:name w:val="TableName"/>
    <w:basedOn w:val="Normal"/>
    <w:qFormat/>
    <w:rsid w:val="00891488"/>
    <w:pPr>
      <w:keepNext/>
      <w:spacing w:after="240" w:line="240" w:lineRule="auto"/>
      <w:ind w:left="1134" w:hanging="1134"/>
    </w:pPr>
    <w:rPr>
      <w:rFonts w:ascii="Franklin Gothic Medium" w:eastAsiaTheme="minorHAnsi" w:hAnsi="Franklin Gothic Medium" w:cstheme="minorBidi"/>
    </w:rPr>
  </w:style>
  <w:style w:type="character" w:customStyle="1" w:styleId="ListParagraphChar">
    <w:name w:val="List Paragraph Char"/>
    <w:basedOn w:val="DefaultParagraphFont"/>
    <w:link w:val="ListParagraph"/>
    <w:uiPriority w:val="34"/>
    <w:rsid w:val="00D867D5"/>
    <w:rPr>
      <w:rFonts w:ascii="Calibri" w:eastAsia="Calibri" w:hAnsi="Calibri" w:cs="Times New Roman"/>
    </w:rPr>
  </w:style>
  <w:style w:type="paragraph" w:styleId="Header">
    <w:name w:val="header"/>
    <w:basedOn w:val="Normal"/>
    <w:link w:val="HeaderChar"/>
    <w:uiPriority w:val="99"/>
    <w:unhideWhenUsed/>
    <w:rsid w:val="001631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315C"/>
    <w:rPr>
      <w:rFonts w:ascii="Calibri" w:eastAsia="Calibri" w:hAnsi="Calibri" w:cs="Times New Roman"/>
    </w:rPr>
  </w:style>
  <w:style w:type="paragraph" w:styleId="Footer">
    <w:name w:val="footer"/>
    <w:basedOn w:val="Normal"/>
    <w:link w:val="FooterChar"/>
    <w:uiPriority w:val="99"/>
    <w:unhideWhenUsed/>
    <w:rsid w:val="001631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315C"/>
    <w:rPr>
      <w:rFonts w:ascii="Calibri" w:eastAsia="Calibri" w:hAnsi="Calibri" w:cs="Times New Roman"/>
    </w:rPr>
  </w:style>
  <w:style w:type="paragraph" w:styleId="Subtitle">
    <w:name w:val="Subtitle"/>
    <w:basedOn w:val="Normal"/>
    <w:next w:val="Normal"/>
    <w:link w:val="SubtitleChar"/>
    <w:uiPriority w:val="11"/>
    <w:qFormat/>
    <w:rsid w:val="006F01C4"/>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6F01C4"/>
    <w:rPr>
      <w:rFonts w:eastAsiaTheme="minorEastAsia"/>
      <w:color w:val="5A5A5A" w:themeColor="text1" w:themeTint="A5"/>
      <w:spacing w:val="15"/>
    </w:rPr>
  </w:style>
  <w:style w:type="paragraph" w:styleId="BalloonText">
    <w:name w:val="Balloon Text"/>
    <w:basedOn w:val="Normal"/>
    <w:link w:val="BalloonTextChar"/>
    <w:uiPriority w:val="99"/>
    <w:semiHidden/>
    <w:unhideWhenUsed/>
    <w:rsid w:val="00A331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3126"/>
    <w:rPr>
      <w:rFonts w:ascii="Segoe UI" w:eastAsia="Calibri" w:hAnsi="Segoe UI" w:cs="Segoe UI"/>
      <w:sz w:val="18"/>
      <w:szCs w:val="18"/>
    </w:rPr>
  </w:style>
  <w:style w:type="character" w:styleId="CommentReference">
    <w:name w:val="annotation reference"/>
    <w:aliases w:val="Table Title"/>
    <w:basedOn w:val="DefaultParagraphFont"/>
    <w:uiPriority w:val="99"/>
    <w:unhideWhenUsed/>
    <w:qFormat/>
    <w:rsid w:val="00D84E12"/>
    <w:rPr>
      <w:sz w:val="16"/>
      <w:szCs w:val="16"/>
    </w:rPr>
  </w:style>
  <w:style w:type="paragraph" w:styleId="CommentText">
    <w:name w:val="annotation text"/>
    <w:basedOn w:val="Normal"/>
    <w:link w:val="CommentTextChar"/>
    <w:uiPriority w:val="99"/>
    <w:unhideWhenUsed/>
    <w:rsid w:val="00D84E12"/>
    <w:pPr>
      <w:spacing w:line="240" w:lineRule="auto"/>
    </w:pPr>
    <w:rPr>
      <w:sz w:val="20"/>
      <w:szCs w:val="20"/>
    </w:rPr>
  </w:style>
  <w:style w:type="character" w:customStyle="1" w:styleId="CommentTextChar">
    <w:name w:val="Comment Text Char"/>
    <w:basedOn w:val="DefaultParagraphFont"/>
    <w:link w:val="CommentText"/>
    <w:uiPriority w:val="99"/>
    <w:rsid w:val="00D84E12"/>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84E12"/>
    <w:rPr>
      <w:b/>
      <w:bCs/>
    </w:rPr>
  </w:style>
  <w:style w:type="character" w:customStyle="1" w:styleId="CommentSubjectChar">
    <w:name w:val="Comment Subject Char"/>
    <w:basedOn w:val="CommentTextChar"/>
    <w:link w:val="CommentSubject"/>
    <w:uiPriority w:val="99"/>
    <w:semiHidden/>
    <w:rsid w:val="00D84E12"/>
    <w:rPr>
      <w:rFonts w:ascii="Calibri" w:eastAsia="Calibri" w:hAnsi="Calibri" w:cs="Times New Roman"/>
      <w:b/>
      <w:bCs/>
      <w:sz w:val="20"/>
      <w:szCs w:val="20"/>
    </w:rPr>
  </w:style>
  <w:style w:type="character" w:styleId="FollowedHyperlink">
    <w:name w:val="FollowedHyperlink"/>
    <w:basedOn w:val="DefaultParagraphFont"/>
    <w:uiPriority w:val="99"/>
    <w:semiHidden/>
    <w:unhideWhenUsed/>
    <w:rsid w:val="008C4B3C"/>
    <w:rPr>
      <w:color w:val="954F72" w:themeColor="followedHyperlink"/>
      <w:u w:val="single"/>
    </w:rPr>
  </w:style>
  <w:style w:type="character" w:customStyle="1" w:styleId="Heading1Char">
    <w:name w:val="Heading 1 Char"/>
    <w:basedOn w:val="DefaultParagraphFont"/>
    <w:link w:val="Heading1"/>
    <w:uiPriority w:val="9"/>
    <w:rsid w:val="008C4B3C"/>
    <w:rPr>
      <w:rFonts w:ascii="Calibri" w:eastAsia="Calibri" w:hAnsi="Calibri" w:cs="Calibri"/>
      <w:b/>
      <w:bCs/>
      <w:color w:val="000000"/>
      <w:sz w:val="72"/>
      <w:szCs w:val="72"/>
      <w:u w:color="000000"/>
      <w:lang w:val="en-US" w:eastAsia="en-AU"/>
    </w:rPr>
  </w:style>
  <w:style w:type="paragraph" w:customStyle="1" w:styleId="Instructionaltext">
    <w:name w:val="Instructional text"/>
    <w:basedOn w:val="Normal"/>
    <w:link w:val="InstructionaltextChar"/>
    <w:qFormat/>
    <w:rsid w:val="006A467F"/>
    <w:pPr>
      <w:spacing w:before="120" w:after="160" w:line="259" w:lineRule="auto"/>
    </w:pPr>
    <w:rPr>
      <w:rFonts w:eastAsiaTheme="minorHAnsi" w:cstheme="minorBidi"/>
      <w:color w:val="258221"/>
    </w:rPr>
  </w:style>
  <w:style w:type="character" w:customStyle="1" w:styleId="InstructionaltextChar">
    <w:name w:val="Instructional text Char"/>
    <w:basedOn w:val="DefaultParagraphFont"/>
    <w:link w:val="Instructionaltext"/>
    <w:rsid w:val="006A467F"/>
    <w:rPr>
      <w:rFonts w:ascii="Calibri" w:hAnsi="Calibri"/>
      <w:color w:val="258221"/>
    </w:rPr>
  </w:style>
  <w:style w:type="character" w:customStyle="1" w:styleId="Heading3Char">
    <w:name w:val="Heading 3 Char"/>
    <w:basedOn w:val="DefaultParagraphFont"/>
    <w:link w:val="Heading3"/>
    <w:uiPriority w:val="9"/>
    <w:rsid w:val="00713728"/>
    <w:rPr>
      <w:rFonts w:ascii="Calibri" w:eastAsia="MS Gothic" w:hAnsi="Calibri" w:cs="Times New Roman"/>
      <w:b/>
      <w:bCs/>
      <w:i/>
      <w:sz w:val="24"/>
      <w:szCs w:val="24"/>
    </w:rPr>
  </w:style>
  <w:style w:type="paragraph" w:customStyle="1" w:styleId="Instructionaltext-bullet">
    <w:name w:val="Instructional text - bullet"/>
    <w:basedOn w:val="Instructionaltext"/>
    <w:qFormat/>
    <w:rsid w:val="006A467F"/>
    <w:pPr>
      <w:numPr>
        <w:numId w:val="1"/>
      </w:numPr>
      <w:spacing w:before="0" w:after="0"/>
    </w:pPr>
  </w:style>
  <w:style w:type="paragraph" w:customStyle="1" w:styleId="Guidelinescross-ref">
    <w:name w:val="Guidelines cross-ref"/>
    <w:basedOn w:val="Normal"/>
    <w:qFormat/>
    <w:rsid w:val="00E01349"/>
    <w:pPr>
      <w:keepNext/>
      <w:spacing w:before="240" w:after="240" w:line="259" w:lineRule="auto"/>
    </w:pPr>
    <w:rPr>
      <w:rFonts w:eastAsiaTheme="minorHAnsi" w:cstheme="minorBidi"/>
      <w:b/>
      <w:color w:val="0070C0"/>
      <w:sz w:val="24"/>
    </w:rPr>
  </w:style>
  <w:style w:type="paragraph" w:customStyle="1" w:styleId="Instructionaltext-afterfiguretable">
    <w:name w:val="Instructional text - after figure/table"/>
    <w:basedOn w:val="Instructionaltext"/>
    <w:qFormat/>
    <w:rsid w:val="00E01349"/>
    <w:pPr>
      <w:spacing w:before="360"/>
    </w:pPr>
  </w:style>
  <w:style w:type="paragraph" w:styleId="Revision">
    <w:name w:val="Revision"/>
    <w:hidden/>
    <w:uiPriority w:val="99"/>
    <w:semiHidden/>
    <w:rsid w:val="004E3ABF"/>
    <w:pPr>
      <w:spacing w:after="0" w:line="240" w:lineRule="auto"/>
    </w:pPr>
    <w:rPr>
      <w:rFonts w:ascii="Calibri" w:eastAsia="Calibri" w:hAnsi="Calibri" w:cs="Times New Roman"/>
    </w:rPr>
  </w:style>
  <w:style w:type="paragraph" w:customStyle="1" w:styleId="TableText0">
    <w:name w:val="Table Text"/>
    <w:basedOn w:val="Normal"/>
    <w:link w:val="TableTextChar0"/>
    <w:qFormat/>
    <w:rsid w:val="00EF1FBC"/>
    <w:pPr>
      <w:spacing w:before="40" w:after="40" w:line="240" w:lineRule="auto"/>
    </w:pPr>
    <w:rPr>
      <w:rFonts w:ascii="Arial Narrow" w:eastAsiaTheme="minorHAnsi" w:hAnsi="Arial Narrow" w:cstheme="minorBidi"/>
      <w:sz w:val="20"/>
    </w:rPr>
  </w:style>
  <w:style w:type="character" w:customStyle="1" w:styleId="TableTextChar0">
    <w:name w:val="Table Text Char"/>
    <w:basedOn w:val="DefaultParagraphFont"/>
    <w:link w:val="TableText0"/>
    <w:rsid w:val="00EF1FBC"/>
    <w:rPr>
      <w:rFonts w:ascii="Arial Narrow" w:hAnsi="Arial Narrow"/>
      <w:sz w:val="20"/>
    </w:rPr>
  </w:style>
  <w:style w:type="character" w:styleId="PageNumber">
    <w:name w:val="page number"/>
    <w:basedOn w:val="DefaultParagraphFont"/>
    <w:uiPriority w:val="99"/>
    <w:semiHidden/>
    <w:unhideWhenUsed/>
    <w:rsid w:val="00685355"/>
  </w:style>
  <w:style w:type="character" w:styleId="UnresolvedMention">
    <w:name w:val="Unresolved Mention"/>
    <w:basedOn w:val="DefaultParagraphFont"/>
    <w:uiPriority w:val="99"/>
    <w:unhideWhenUsed/>
    <w:rsid w:val="00BB0FFB"/>
    <w:rPr>
      <w:color w:val="605E5C"/>
      <w:shd w:val="clear" w:color="auto" w:fill="E1DFDD"/>
    </w:rPr>
  </w:style>
  <w:style w:type="table" w:customStyle="1" w:styleId="TableGrid11">
    <w:name w:val="Table Grid11"/>
    <w:basedOn w:val="TableNormal"/>
    <w:uiPriority w:val="59"/>
    <w:rsid w:val="00E03083"/>
    <w:pPr>
      <w:spacing w:after="240" w:line="240" w:lineRule="auto"/>
      <w:ind w:left="720" w:hanging="36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807730"/>
    <w:rPr>
      <w:color w:val="2B579A"/>
      <w:shd w:val="clear" w:color="auto" w:fill="E1DFDD"/>
    </w:rPr>
  </w:style>
  <w:style w:type="character" w:customStyle="1" w:styleId="Heading4Char">
    <w:name w:val="Heading 4 Char"/>
    <w:basedOn w:val="DefaultParagraphFont"/>
    <w:link w:val="Heading4"/>
    <w:uiPriority w:val="9"/>
    <w:rsid w:val="00E2287D"/>
    <w:rPr>
      <w:rFonts w:asciiTheme="majorHAnsi" w:eastAsiaTheme="majorEastAsia" w:hAnsiTheme="majorHAnsi" w:cstheme="majorBidi"/>
      <w:i/>
      <w:iCs/>
      <w:color w:val="002060"/>
    </w:rPr>
  </w:style>
  <w:style w:type="paragraph" w:styleId="NormalWeb">
    <w:name w:val="Normal (Web)"/>
    <w:basedOn w:val="Normal"/>
    <w:uiPriority w:val="99"/>
    <w:semiHidden/>
    <w:unhideWhenUsed/>
    <w:rsid w:val="0082246C"/>
    <w:rPr>
      <w:rFonts w:ascii="Times New Roman" w:hAnsi="Times New Roman"/>
      <w:sz w:val="24"/>
      <w:szCs w:val="24"/>
    </w:rPr>
  </w:style>
  <w:style w:type="paragraph" w:customStyle="1" w:styleId="Default">
    <w:name w:val="Default"/>
    <w:rsid w:val="00D60F1C"/>
    <w:pPr>
      <w:autoSpaceDE w:val="0"/>
      <w:autoSpaceDN w:val="0"/>
      <w:adjustRightInd w:val="0"/>
      <w:spacing w:after="0" w:line="240" w:lineRule="auto"/>
    </w:pPr>
    <w:rPr>
      <w:rFonts w:ascii="Calibri" w:hAnsi="Calibri" w:cs="Calibri"/>
      <w:color w:val="000000"/>
      <w:sz w:val="24"/>
      <w:szCs w:val="24"/>
    </w:rPr>
  </w:style>
  <w:style w:type="table" w:styleId="TableGridLight">
    <w:name w:val="Grid Table Light"/>
    <w:basedOn w:val="TableNormal"/>
    <w:uiPriority w:val="40"/>
    <w:rsid w:val="00E3001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ndNoteBibliographyTitle">
    <w:name w:val="EndNote Bibliography Title"/>
    <w:basedOn w:val="Normal"/>
    <w:link w:val="EndNoteBibliographyTitleChar"/>
    <w:rsid w:val="00F13016"/>
    <w:pPr>
      <w:spacing w:after="0"/>
      <w:jc w:val="center"/>
    </w:pPr>
    <w:rPr>
      <w:rFonts w:cs="Calibri"/>
      <w:noProof/>
      <w:lang w:val="en-US"/>
    </w:rPr>
  </w:style>
  <w:style w:type="character" w:customStyle="1" w:styleId="EndNoteBibliographyTitleChar">
    <w:name w:val="EndNote Bibliography Title Char"/>
    <w:basedOn w:val="DefaultParagraphFont"/>
    <w:link w:val="EndNoteBibliographyTitle"/>
    <w:rsid w:val="00F13016"/>
    <w:rPr>
      <w:rFonts w:ascii="Calibri" w:eastAsia="Calibri" w:hAnsi="Calibri" w:cs="Calibri"/>
      <w:noProof/>
      <w:lang w:val="en-US"/>
    </w:rPr>
  </w:style>
  <w:style w:type="paragraph" w:customStyle="1" w:styleId="EndNoteBibliography">
    <w:name w:val="EndNote Bibliography"/>
    <w:basedOn w:val="Normal"/>
    <w:link w:val="EndNoteBibliographyChar"/>
    <w:rsid w:val="00F13016"/>
    <w:pPr>
      <w:spacing w:line="240" w:lineRule="auto"/>
    </w:pPr>
    <w:rPr>
      <w:rFonts w:cs="Calibri"/>
      <w:noProof/>
      <w:lang w:val="en-US"/>
    </w:rPr>
  </w:style>
  <w:style w:type="character" w:customStyle="1" w:styleId="EndNoteBibliographyChar">
    <w:name w:val="EndNote Bibliography Char"/>
    <w:basedOn w:val="DefaultParagraphFont"/>
    <w:link w:val="EndNoteBibliography"/>
    <w:rsid w:val="00F13016"/>
    <w:rPr>
      <w:rFonts w:ascii="Calibri" w:eastAsia="Calibri" w:hAnsi="Calibri" w:cs="Calibri"/>
      <w:noProof/>
      <w:lang w:val="en-US"/>
    </w:rPr>
  </w:style>
  <w:style w:type="paragraph" w:styleId="EndnoteText">
    <w:name w:val="endnote text"/>
    <w:basedOn w:val="Normal"/>
    <w:link w:val="EndnoteTextChar"/>
    <w:uiPriority w:val="99"/>
    <w:semiHidden/>
    <w:unhideWhenUsed/>
    <w:rsid w:val="0088158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583"/>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881583"/>
    <w:rPr>
      <w:vertAlign w:val="superscript"/>
    </w:rPr>
  </w:style>
  <w:style w:type="paragraph" w:styleId="FootnoteText">
    <w:name w:val="footnote text"/>
    <w:basedOn w:val="Normal"/>
    <w:link w:val="FootnoteTextChar"/>
    <w:uiPriority w:val="99"/>
    <w:semiHidden/>
    <w:unhideWhenUsed/>
    <w:rsid w:val="0088158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81583"/>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881583"/>
    <w:rPr>
      <w:vertAlign w:val="superscript"/>
    </w:rPr>
  </w:style>
  <w:style w:type="character" w:customStyle="1" w:styleId="Heading5Char">
    <w:name w:val="Heading 5 Char"/>
    <w:basedOn w:val="DefaultParagraphFont"/>
    <w:link w:val="Heading5"/>
    <w:uiPriority w:val="9"/>
    <w:semiHidden/>
    <w:rsid w:val="00ED6EF2"/>
    <w:rPr>
      <w:rFonts w:ascii="Calibri" w:eastAsiaTheme="majorEastAsia" w:hAnsi="Calibri" w:cstheme="majorBidi"/>
      <w:color w:val="2E74B5" w:themeColor="accent1" w:themeShade="BF"/>
    </w:rPr>
  </w:style>
  <w:style w:type="character" w:customStyle="1" w:styleId="CaptionChar">
    <w:name w:val="Caption Char"/>
    <w:aliases w:val="Caption Char2 Char Char,Caption Char Char Char2 Char,Caption Char1 Char Char Char1 Char,Caption Char2 Char Char Char1 Char1 Char,Caption Char Char1 Char Char Char1 Char1 Char,Caption Char1 Char Char Char Char Char Char Char"/>
    <w:basedOn w:val="DefaultParagraphFont"/>
    <w:link w:val="Caption"/>
    <w:uiPriority w:val="99"/>
    <w:rsid w:val="007C7B8A"/>
    <w:rPr>
      <w:rFonts w:ascii="Arial Narrow" w:eastAsia="Times New Roman" w:hAnsi="Arial Narrow" w:cs="Tahoma"/>
      <w:b/>
      <w:sz w:val="20"/>
      <w:szCs w:val="20"/>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00520">
      <w:bodyDiv w:val="1"/>
      <w:marLeft w:val="0"/>
      <w:marRight w:val="0"/>
      <w:marTop w:val="0"/>
      <w:marBottom w:val="0"/>
      <w:divBdr>
        <w:top w:val="none" w:sz="0" w:space="0" w:color="auto"/>
        <w:left w:val="none" w:sz="0" w:space="0" w:color="auto"/>
        <w:bottom w:val="none" w:sz="0" w:space="0" w:color="auto"/>
        <w:right w:val="none" w:sz="0" w:space="0" w:color="auto"/>
      </w:divBdr>
    </w:div>
    <w:div w:id="116920213">
      <w:bodyDiv w:val="1"/>
      <w:marLeft w:val="0"/>
      <w:marRight w:val="0"/>
      <w:marTop w:val="0"/>
      <w:marBottom w:val="0"/>
      <w:divBdr>
        <w:top w:val="none" w:sz="0" w:space="0" w:color="auto"/>
        <w:left w:val="none" w:sz="0" w:space="0" w:color="auto"/>
        <w:bottom w:val="none" w:sz="0" w:space="0" w:color="auto"/>
        <w:right w:val="none" w:sz="0" w:space="0" w:color="auto"/>
      </w:divBdr>
    </w:div>
    <w:div w:id="378169523">
      <w:bodyDiv w:val="1"/>
      <w:marLeft w:val="0"/>
      <w:marRight w:val="0"/>
      <w:marTop w:val="0"/>
      <w:marBottom w:val="0"/>
      <w:divBdr>
        <w:top w:val="none" w:sz="0" w:space="0" w:color="auto"/>
        <w:left w:val="none" w:sz="0" w:space="0" w:color="auto"/>
        <w:bottom w:val="none" w:sz="0" w:space="0" w:color="auto"/>
        <w:right w:val="none" w:sz="0" w:space="0" w:color="auto"/>
      </w:divBdr>
    </w:div>
    <w:div w:id="402030214">
      <w:bodyDiv w:val="1"/>
      <w:marLeft w:val="0"/>
      <w:marRight w:val="0"/>
      <w:marTop w:val="0"/>
      <w:marBottom w:val="0"/>
      <w:divBdr>
        <w:top w:val="none" w:sz="0" w:space="0" w:color="auto"/>
        <w:left w:val="none" w:sz="0" w:space="0" w:color="auto"/>
        <w:bottom w:val="none" w:sz="0" w:space="0" w:color="auto"/>
        <w:right w:val="none" w:sz="0" w:space="0" w:color="auto"/>
      </w:divBdr>
    </w:div>
    <w:div w:id="510267069">
      <w:bodyDiv w:val="1"/>
      <w:marLeft w:val="0"/>
      <w:marRight w:val="0"/>
      <w:marTop w:val="0"/>
      <w:marBottom w:val="0"/>
      <w:divBdr>
        <w:top w:val="none" w:sz="0" w:space="0" w:color="auto"/>
        <w:left w:val="none" w:sz="0" w:space="0" w:color="auto"/>
        <w:bottom w:val="none" w:sz="0" w:space="0" w:color="auto"/>
        <w:right w:val="none" w:sz="0" w:space="0" w:color="auto"/>
      </w:divBdr>
    </w:div>
    <w:div w:id="557087695">
      <w:bodyDiv w:val="1"/>
      <w:marLeft w:val="0"/>
      <w:marRight w:val="0"/>
      <w:marTop w:val="0"/>
      <w:marBottom w:val="0"/>
      <w:divBdr>
        <w:top w:val="none" w:sz="0" w:space="0" w:color="auto"/>
        <w:left w:val="none" w:sz="0" w:space="0" w:color="auto"/>
        <w:bottom w:val="none" w:sz="0" w:space="0" w:color="auto"/>
        <w:right w:val="none" w:sz="0" w:space="0" w:color="auto"/>
      </w:divBdr>
    </w:div>
    <w:div w:id="688532201">
      <w:bodyDiv w:val="1"/>
      <w:marLeft w:val="0"/>
      <w:marRight w:val="0"/>
      <w:marTop w:val="0"/>
      <w:marBottom w:val="0"/>
      <w:divBdr>
        <w:top w:val="none" w:sz="0" w:space="0" w:color="auto"/>
        <w:left w:val="none" w:sz="0" w:space="0" w:color="auto"/>
        <w:bottom w:val="none" w:sz="0" w:space="0" w:color="auto"/>
        <w:right w:val="none" w:sz="0" w:space="0" w:color="auto"/>
      </w:divBdr>
    </w:div>
    <w:div w:id="1023242140">
      <w:bodyDiv w:val="1"/>
      <w:marLeft w:val="0"/>
      <w:marRight w:val="0"/>
      <w:marTop w:val="0"/>
      <w:marBottom w:val="0"/>
      <w:divBdr>
        <w:top w:val="none" w:sz="0" w:space="0" w:color="auto"/>
        <w:left w:val="none" w:sz="0" w:space="0" w:color="auto"/>
        <w:bottom w:val="none" w:sz="0" w:space="0" w:color="auto"/>
        <w:right w:val="none" w:sz="0" w:space="0" w:color="auto"/>
      </w:divBdr>
    </w:div>
    <w:div w:id="1258444929">
      <w:bodyDiv w:val="1"/>
      <w:marLeft w:val="0"/>
      <w:marRight w:val="0"/>
      <w:marTop w:val="0"/>
      <w:marBottom w:val="0"/>
      <w:divBdr>
        <w:top w:val="none" w:sz="0" w:space="0" w:color="auto"/>
        <w:left w:val="none" w:sz="0" w:space="0" w:color="auto"/>
        <w:bottom w:val="none" w:sz="0" w:space="0" w:color="auto"/>
        <w:right w:val="none" w:sz="0" w:space="0" w:color="auto"/>
      </w:divBdr>
    </w:div>
    <w:div w:id="1511987132">
      <w:bodyDiv w:val="1"/>
      <w:marLeft w:val="0"/>
      <w:marRight w:val="0"/>
      <w:marTop w:val="0"/>
      <w:marBottom w:val="0"/>
      <w:divBdr>
        <w:top w:val="none" w:sz="0" w:space="0" w:color="auto"/>
        <w:left w:val="none" w:sz="0" w:space="0" w:color="auto"/>
        <w:bottom w:val="none" w:sz="0" w:space="0" w:color="auto"/>
        <w:right w:val="none" w:sz="0" w:space="0" w:color="auto"/>
      </w:divBdr>
    </w:div>
    <w:div w:id="1559246317">
      <w:bodyDiv w:val="1"/>
      <w:marLeft w:val="0"/>
      <w:marRight w:val="0"/>
      <w:marTop w:val="0"/>
      <w:marBottom w:val="0"/>
      <w:divBdr>
        <w:top w:val="none" w:sz="0" w:space="0" w:color="auto"/>
        <w:left w:val="none" w:sz="0" w:space="0" w:color="auto"/>
        <w:bottom w:val="none" w:sz="0" w:space="0" w:color="auto"/>
        <w:right w:val="none" w:sz="0" w:space="0" w:color="auto"/>
      </w:divBdr>
    </w:div>
    <w:div w:id="1689982625">
      <w:bodyDiv w:val="1"/>
      <w:marLeft w:val="0"/>
      <w:marRight w:val="0"/>
      <w:marTop w:val="0"/>
      <w:marBottom w:val="0"/>
      <w:divBdr>
        <w:top w:val="none" w:sz="0" w:space="0" w:color="auto"/>
        <w:left w:val="none" w:sz="0" w:space="0" w:color="auto"/>
        <w:bottom w:val="none" w:sz="0" w:space="0" w:color="auto"/>
        <w:right w:val="none" w:sz="0" w:space="0" w:color="auto"/>
      </w:divBdr>
    </w:div>
    <w:div w:id="1776095209">
      <w:bodyDiv w:val="1"/>
      <w:marLeft w:val="0"/>
      <w:marRight w:val="0"/>
      <w:marTop w:val="0"/>
      <w:marBottom w:val="0"/>
      <w:divBdr>
        <w:top w:val="none" w:sz="0" w:space="0" w:color="auto"/>
        <w:left w:val="none" w:sz="0" w:space="0" w:color="auto"/>
        <w:bottom w:val="none" w:sz="0" w:space="0" w:color="auto"/>
        <w:right w:val="none" w:sz="0" w:space="0" w:color="auto"/>
      </w:divBdr>
    </w:div>
    <w:div w:id="2032880099">
      <w:bodyDiv w:val="1"/>
      <w:marLeft w:val="0"/>
      <w:marRight w:val="0"/>
      <w:marTop w:val="0"/>
      <w:marBottom w:val="0"/>
      <w:divBdr>
        <w:top w:val="none" w:sz="0" w:space="0" w:color="auto"/>
        <w:left w:val="none" w:sz="0" w:space="0" w:color="auto"/>
        <w:bottom w:val="none" w:sz="0" w:space="0" w:color="auto"/>
        <w:right w:val="none" w:sz="0" w:space="0" w:color="auto"/>
      </w:divBdr>
    </w:div>
    <w:div w:id="2049913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s://www9.health.gov.au/mbs/search.cfm?q=69483&amp;sopt=I" TargetMode="External"/><Relationship Id="rId26" Type="http://schemas.openxmlformats.org/officeDocument/2006/relationships/hyperlink" Target="https://doi.org/10.1001/jama.2018.3795" TargetMode="External"/><Relationship Id="rId21" Type="http://schemas.openxmlformats.org/officeDocument/2006/relationships/hyperlink" Target="https://doi.org/10.1016/j.jhep.2025.03.018" TargetMode="External"/><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hyperlink" Target="https://www9.health.gov.au/mbs/search.cfm?q=69482&amp;sopt=I" TargetMode="External"/><Relationship Id="rId25" Type="http://schemas.openxmlformats.org/officeDocument/2006/relationships/hyperlink" Target="https://doi.org/10.4254/wjh.v17.i10.110107"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9.health.gov.au/mbs/search.cfm?q=69481&amp;sopt=I" TargetMode="External"/><Relationship Id="rId20" Type="http://schemas.openxmlformats.org/officeDocument/2006/relationships/hyperlink" Target="https://www.cdc.gov/hepatitis-b/hcp/clinical-overview/index.html" TargetMode="External"/><Relationship Id="rId29" Type="http://schemas.openxmlformats.org/officeDocument/2006/relationships/hyperlink" Target="https://doi.org/10.1056/NEJMoa221002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hyperlink" Target="https://doi.org/10.5694/mja2.51430"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9.health.gov.au/mbs/search.cfm?q=69478&amp;sopt=I" TargetMode="External"/><Relationship Id="rId23" Type="http://schemas.openxmlformats.org/officeDocument/2006/relationships/hyperlink" Target="https://doi.org/10.1056/NEJMoa2515131" TargetMode="External"/><Relationship Id="rId28" Type="http://schemas.openxmlformats.org/officeDocument/2006/relationships/hyperlink" Target="https://www.who.int/news-room/fact-sheets/detail/hepatitis-b" TargetMode="External"/><Relationship Id="rId36" Type="http://schemas.openxmlformats.org/officeDocument/2006/relationships/fontTable" Target="fontTable.xml"/><Relationship Id="rId10" Type="http://schemas.openxmlformats.org/officeDocument/2006/relationships/image" Target="media/image3.jpg"/><Relationship Id="rId19" Type="http://schemas.openxmlformats.org/officeDocument/2006/relationships/hyperlink" Target="https://www9.health.gov.au/mbs/search.cfm?q=69484&amp;sopt=I"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9.health.gov.au/mbs/search.cfm?q=69475&amp;sopt=I" TargetMode="External"/><Relationship Id="rId22" Type="http://schemas.openxmlformats.org/officeDocument/2006/relationships/hyperlink" Target="https://doi.org/10.1097/HEP.0000000000001549" TargetMode="External"/><Relationship Id="rId27" Type="http://schemas.openxmlformats.org/officeDocument/2006/relationships/hyperlink" Target="https://www.ncbi.nlm.nih.gov/pubmed/22472681"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C0ADB-7CCF-4BC9-8F3A-D8E39C8F0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13279</Words>
  <Characters>79414</Characters>
  <Application>Microsoft Office Word</Application>
  <DocSecurity>0</DocSecurity>
  <Lines>1588</Lines>
  <Paragraphs>766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2026-10-02T00:54:00Z</dcterms:created>
  <dcterms:modified xsi:type="dcterms:W3CDTF">2026-10-02T00:54:00Z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6fc249cf,27eafdfe,7229f59a</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5bb16b40,59cce857,20bfed38</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2026-10-02T00:51:17Z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001b8411-28a4-4ba6-8e27-89df9bb47785</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