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020EF" w14:textId="77777777" w:rsidR="000E53F6" w:rsidRPr="00F849F2" w:rsidRDefault="000E53F6" w:rsidP="000E53F6">
      <w:pPr>
        <w:pStyle w:val="Title"/>
        <w:jc w:val="center"/>
        <w:rPr>
          <w:rFonts w:asciiTheme="minorHAnsi" w:hAnsiTheme="minorHAnsi" w:cstheme="minorHAnsi"/>
          <w:b/>
          <w:bCs/>
        </w:rPr>
      </w:pPr>
    </w:p>
    <w:p w14:paraId="39E0D449" w14:textId="77777777" w:rsidR="000E53F6" w:rsidRPr="00F849F2" w:rsidRDefault="000E53F6" w:rsidP="000E53F6">
      <w:pPr>
        <w:pStyle w:val="Title"/>
        <w:jc w:val="center"/>
        <w:rPr>
          <w:rFonts w:asciiTheme="minorHAnsi" w:hAnsiTheme="minorHAnsi" w:cstheme="minorHAnsi"/>
          <w:b/>
          <w:bCs/>
        </w:rPr>
      </w:pPr>
    </w:p>
    <w:p w14:paraId="3654A3D4" w14:textId="40AE71BE" w:rsidR="000E1074" w:rsidRPr="00F849F2" w:rsidRDefault="000E1074" w:rsidP="000E53F6">
      <w:pPr>
        <w:pStyle w:val="Title"/>
        <w:jc w:val="center"/>
        <w:rPr>
          <w:rFonts w:asciiTheme="minorHAnsi" w:hAnsiTheme="minorHAnsi" w:cstheme="minorHAnsi"/>
          <w:b/>
          <w:bCs/>
        </w:rPr>
      </w:pPr>
      <w:r w:rsidRPr="51FB2048">
        <w:rPr>
          <w:rFonts w:asciiTheme="minorHAnsi" w:hAnsiTheme="minorHAnsi" w:cstheme="minorBidi"/>
          <w:b/>
          <w:bCs/>
        </w:rPr>
        <w:t>MSAC Application</w:t>
      </w:r>
      <w:r w:rsidR="00071A7D">
        <w:rPr>
          <w:rFonts w:asciiTheme="minorHAnsi" w:hAnsiTheme="minorHAnsi" w:cstheme="minorBidi"/>
          <w:b/>
          <w:bCs/>
        </w:rPr>
        <w:t xml:space="preserve"> 1836</w:t>
      </w:r>
    </w:p>
    <w:p w14:paraId="1FA1B934" w14:textId="798A76D0" w:rsidR="51FB2048" w:rsidRDefault="51FB2048" w:rsidP="51FB2048">
      <w:pPr>
        <w:spacing w:before="240"/>
        <w:jc w:val="center"/>
        <w:rPr>
          <w:rStyle w:val="SubtitleChar"/>
          <w:b/>
          <w:bCs/>
          <w:color w:val="002060"/>
          <w:sz w:val="48"/>
          <w:szCs w:val="48"/>
        </w:rPr>
      </w:pPr>
    </w:p>
    <w:p w14:paraId="681DC25F" w14:textId="76934FD5" w:rsidR="000E1074" w:rsidRPr="003E4C1D" w:rsidRDefault="006B4455" w:rsidP="003E4C1D">
      <w:pPr>
        <w:spacing w:before="240"/>
        <w:jc w:val="center"/>
        <w:rPr>
          <w:rFonts w:asciiTheme="minorHAnsi" w:eastAsiaTheme="minorEastAsia" w:hAnsiTheme="minorHAnsi" w:cstheme="minorHAnsi"/>
          <w:b/>
          <w:bCs/>
          <w:color w:val="002060"/>
          <w:spacing w:val="15"/>
          <w:sz w:val="48"/>
          <w:szCs w:val="48"/>
        </w:rPr>
      </w:pPr>
      <w:r w:rsidRPr="00F849F2">
        <w:rPr>
          <w:rStyle w:val="SubtitleChar"/>
          <w:rFonts w:cstheme="minorHAnsi"/>
          <w:b/>
          <w:bCs/>
          <w:color w:val="002060"/>
          <w:sz w:val="48"/>
          <w:szCs w:val="48"/>
        </w:rPr>
        <w:t>Ciltacabtagene autoleucel</w:t>
      </w:r>
      <w:r w:rsidR="00CA5583">
        <w:rPr>
          <w:rStyle w:val="SubtitleChar"/>
          <w:rFonts w:cstheme="minorHAnsi"/>
          <w:b/>
          <w:bCs/>
          <w:color w:val="002060"/>
          <w:sz w:val="48"/>
          <w:szCs w:val="48"/>
        </w:rPr>
        <w:t xml:space="preserve"> therapy </w:t>
      </w:r>
      <w:r w:rsidRPr="00F849F2">
        <w:rPr>
          <w:rStyle w:val="SubtitleChar"/>
          <w:rFonts w:cstheme="minorHAnsi"/>
          <w:b/>
          <w:bCs/>
          <w:color w:val="002060"/>
          <w:sz w:val="48"/>
          <w:szCs w:val="48"/>
        </w:rPr>
        <w:t xml:space="preserve">to treat </w:t>
      </w:r>
      <w:r w:rsidR="00CA5583">
        <w:rPr>
          <w:rStyle w:val="SubtitleChar"/>
          <w:rFonts w:cstheme="minorHAnsi"/>
          <w:b/>
          <w:bCs/>
          <w:color w:val="002060"/>
          <w:sz w:val="48"/>
          <w:szCs w:val="48"/>
        </w:rPr>
        <w:t xml:space="preserve">patients with </w:t>
      </w:r>
      <w:r w:rsidRPr="00F849F2">
        <w:rPr>
          <w:rStyle w:val="SubtitleChar"/>
          <w:rFonts w:cstheme="minorHAnsi"/>
          <w:b/>
          <w:bCs/>
          <w:color w:val="002060"/>
          <w:sz w:val="48"/>
          <w:szCs w:val="48"/>
        </w:rPr>
        <w:t>refractory or relapsed multiple myeloma after at least 1 prior therapy</w:t>
      </w:r>
    </w:p>
    <w:p w14:paraId="29D21DD9" w14:textId="77777777" w:rsidR="000E53F6" w:rsidRPr="00F849F2" w:rsidRDefault="000E53F6" w:rsidP="006050A6">
      <w:pPr>
        <w:pStyle w:val="Subtitle"/>
        <w:rPr>
          <w:rFonts w:cstheme="minorHAnsi"/>
          <w:b/>
          <w:bCs/>
          <w:color w:val="002060"/>
          <w:sz w:val="24"/>
          <w:szCs w:val="24"/>
        </w:rPr>
      </w:pPr>
    </w:p>
    <w:p w14:paraId="189ADB0F" w14:textId="7F4E6EFF" w:rsidR="000B2661" w:rsidRPr="00071A7D" w:rsidRDefault="000E1074" w:rsidP="00071A7D">
      <w:pPr>
        <w:pStyle w:val="Subtitle"/>
        <w:jc w:val="center"/>
        <w:rPr>
          <w:rFonts w:cstheme="minorHAnsi"/>
          <w:sz w:val="24"/>
          <w:szCs w:val="24"/>
        </w:rPr>
      </w:pPr>
      <w:r w:rsidRPr="00F849F2">
        <w:rPr>
          <w:rFonts w:cstheme="minorHAnsi"/>
          <w:b/>
          <w:bCs/>
          <w:color w:val="002060"/>
          <w:sz w:val="48"/>
          <w:szCs w:val="48"/>
        </w:rPr>
        <w:t>PICO Set</w:t>
      </w:r>
      <w:r w:rsidR="000B2661" w:rsidRPr="00F849F2">
        <w:rPr>
          <w:rFonts w:cstheme="minorHAnsi"/>
          <w:color w:val="002060"/>
        </w:rPr>
        <w:br w:type="page"/>
      </w:r>
    </w:p>
    <w:p w14:paraId="5BEAFFDE" w14:textId="685ED193" w:rsidR="00051843" w:rsidRPr="00F849F2" w:rsidRDefault="00051843" w:rsidP="007520A6">
      <w:pPr>
        <w:pStyle w:val="Heading1"/>
        <w:jc w:val="both"/>
        <w:rPr>
          <w:rFonts w:asciiTheme="minorHAnsi" w:hAnsiTheme="minorHAnsi" w:cstheme="minorHAnsi"/>
          <w:color w:val="002060"/>
        </w:rPr>
      </w:pPr>
      <w:r w:rsidRPr="00F849F2">
        <w:rPr>
          <w:rFonts w:asciiTheme="minorHAnsi" w:hAnsiTheme="minorHAnsi" w:cstheme="minorHAnsi"/>
          <w:color w:val="002060"/>
        </w:rPr>
        <w:lastRenderedPageBreak/>
        <w:t>Population</w:t>
      </w:r>
    </w:p>
    <w:p w14:paraId="403BD183" w14:textId="7F82E8DB" w:rsidR="00051843" w:rsidRPr="00F849F2" w:rsidRDefault="00051843"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Describe the population in which the proposed health technology is intended to be used:</w:t>
      </w:r>
    </w:p>
    <w:p w14:paraId="3017A0E3" w14:textId="77777777" w:rsidR="00AA7ED1" w:rsidRPr="00AA7ED1" w:rsidRDefault="00AA7ED1" w:rsidP="007520A6">
      <w:pPr>
        <w:jc w:val="both"/>
        <w:rPr>
          <w:rFonts w:asciiTheme="minorHAnsi" w:hAnsiTheme="minorHAnsi" w:cstheme="minorHAnsi"/>
          <w:sz w:val="24"/>
          <w:szCs w:val="24"/>
        </w:rPr>
      </w:pPr>
      <w:r w:rsidRPr="00AA7ED1">
        <w:rPr>
          <w:rFonts w:asciiTheme="minorHAnsi" w:hAnsiTheme="minorHAnsi" w:cstheme="minorHAnsi"/>
          <w:sz w:val="24"/>
          <w:szCs w:val="24"/>
        </w:rPr>
        <w:t>Multiple myeloma (MM) is a cytogenetically heterogeneous clonal plasma cell proliferative disorder characterised by an abnormal serum and/or urine immunoglobulin (known as M protein). As MM progresses and patients relapse following initial treatment, the presence of sub-clonal populations of malignant plasma cells becomes increasingly prevalent. Typical clinical features include bone disease (and bone loss) with skeletal pain, impaired renal function, anaemia, fatigue, hypercalcaemia, recurrent and/or persistent bacterial infection, and/or hyperviscosity of the blood (Quach et al 2019). Together, these symptoms are associated with significant morbidity and can result in death in patients who are unable to receive or no longer responsive to available therapies.</w:t>
      </w:r>
    </w:p>
    <w:p w14:paraId="4D033191" w14:textId="7BC89EE9" w:rsidR="00051843" w:rsidRDefault="00AA7ED1" w:rsidP="007520A6">
      <w:pPr>
        <w:jc w:val="both"/>
        <w:rPr>
          <w:rFonts w:asciiTheme="minorHAnsi" w:hAnsiTheme="minorHAnsi" w:cstheme="minorHAnsi"/>
          <w:sz w:val="24"/>
          <w:szCs w:val="24"/>
        </w:rPr>
      </w:pPr>
      <w:r w:rsidRPr="00AA7ED1">
        <w:rPr>
          <w:rFonts w:asciiTheme="minorHAnsi" w:hAnsiTheme="minorHAnsi" w:cstheme="minorHAnsi"/>
          <w:sz w:val="24"/>
          <w:szCs w:val="24"/>
        </w:rPr>
        <w:t>MM follows a relapsing and remitting course as patients receive multiple lines of therapy. Although current standard treatments for MM may result in remission, most patients will relapse as there is no cure for the disease. The duration of response and remission typically gets shorter with each line of therapy, and is the result of plasma cell clonal evolution, acquiring mutations that can confer high risk features and resistance to standard therapy. Furthermore, there is significant patient attrition at each line, as patients become unsuitable for further therapy and succumb to the disease (Zhao et al 2019)</w:t>
      </w:r>
      <w:r w:rsidR="00000196">
        <w:rPr>
          <w:rFonts w:asciiTheme="minorHAnsi" w:hAnsiTheme="minorHAnsi" w:cstheme="minorHAnsi"/>
          <w:sz w:val="24"/>
          <w:szCs w:val="24"/>
        </w:rPr>
        <w:t>.</w:t>
      </w:r>
    </w:p>
    <w:p w14:paraId="1CD9A066" w14:textId="77777777" w:rsidR="00916C9E" w:rsidRDefault="00B45BD0" w:rsidP="007520A6">
      <w:pPr>
        <w:jc w:val="both"/>
        <w:rPr>
          <w:rFonts w:asciiTheme="minorHAnsi" w:hAnsiTheme="minorHAnsi" w:cstheme="minorHAnsi"/>
          <w:sz w:val="24"/>
          <w:szCs w:val="24"/>
        </w:rPr>
      </w:pPr>
      <w:r w:rsidRPr="00B45BD0">
        <w:rPr>
          <w:rFonts w:asciiTheme="minorHAnsi" w:hAnsiTheme="minorHAnsi" w:cstheme="minorHAnsi"/>
          <w:sz w:val="24"/>
          <w:szCs w:val="24"/>
        </w:rPr>
        <w:t xml:space="preserve">This application focuses on </w:t>
      </w:r>
      <w:r>
        <w:rPr>
          <w:rFonts w:asciiTheme="minorHAnsi" w:hAnsiTheme="minorHAnsi" w:cstheme="minorHAnsi"/>
          <w:sz w:val="24"/>
          <w:szCs w:val="24"/>
        </w:rPr>
        <w:t>relapsed or refractory</w:t>
      </w:r>
      <w:r w:rsidRPr="00B45BD0">
        <w:rPr>
          <w:rFonts w:asciiTheme="minorHAnsi" w:hAnsiTheme="minorHAnsi" w:cstheme="minorHAnsi"/>
          <w:sz w:val="24"/>
          <w:szCs w:val="24"/>
        </w:rPr>
        <w:t xml:space="preserve"> MM after at least </w:t>
      </w:r>
      <w:r>
        <w:rPr>
          <w:rFonts w:asciiTheme="minorHAnsi" w:hAnsiTheme="minorHAnsi" w:cstheme="minorHAnsi"/>
          <w:sz w:val="24"/>
          <w:szCs w:val="24"/>
        </w:rPr>
        <w:t>one</w:t>
      </w:r>
      <w:r w:rsidRPr="00B45BD0">
        <w:rPr>
          <w:rFonts w:asciiTheme="minorHAnsi" w:hAnsiTheme="minorHAnsi" w:cstheme="minorHAnsi"/>
          <w:sz w:val="24"/>
          <w:szCs w:val="24"/>
        </w:rPr>
        <w:t xml:space="preserve"> prior line of </w:t>
      </w:r>
      <w:r w:rsidR="00A971EC">
        <w:rPr>
          <w:rFonts w:asciiTheme="minorHAnsi" w:hAnsiTheme="minorHAnsi" w:cstheme="minorHAnsi"/>
          <w:sz w:val="24"/>
          <w:szCs w:val="24"/>
        </w:rPr>
        <w:t>therapy</w:t>
      </w:r>
      <w:r w:rsidRPr="00B45BD0">
        <w:rPr>
          <w:rFonts w:asciiTheme="minorHAnsi" w:hAnsiTheme="minorHAnsi" w:cstheme="minorHAnsi"/>
          <w:sz w:val="24"/>
          <w:szCs w:val="24"/>
        </w:rPr>
        <w:t xml:space="preserve"> (i.e. </w:t>
      </w:r>
      <w:r>
        <w:rPr>
          <w:rFonts w:asciiTheme="minorHAnsi" w:hAnsiTheme="minorHAnsi" w:cstheme="minorHAnsi"/>
          <w:sz w:val="24"/>
          <w:szCs w:val="24"/>
        </w:rPr>
        <w:t>second</w:t>
      </w:r>
      <w:r w:rsidRPr="00B45BD0">
        <w:rPr>
          <w:rFonts w:asciiTheme="minorHAnsi" w:hAnsiTheme="minorHAnsi" w:cstheme="minorHAnsi"/>
          <w:sz w:val="24"/>
          <w:szCs w:val="24"/>
        </w:rPr>
        <w:t xml:space="preserve"> line plus)</w:t>
      </w:r>
      <w:r w:rsidR="005A0E89">
        <w:rPr>
          <w:rFonts w:asciiTheme="minorHAnsi" w:hAnsiTheme="minorHAnsi" w:cstheme="minorHAnsi"/>
          <w:sz w:val="24"/>
          <w:szCs w:val="24"/>
        </w:rPr>
        <w:t xml:space="preserve">, including a </w:t>
      </w:r>
      <w:r w:rsidR="00093CFA">
        <w:rPr>
          <w:rFonts w:asciiTheme="minorHAnsi" w:hAnsiTheme="minorHAnsi" w:cstheme="minorHAnsi"/>
          <w:sz w:val="24"/>
          <w:szCs w:val="24"/>
        </w:rPr>
        <w:t>p</w:t>
      </w:r>
      <w:r w:rsidR="00093CFA" w:rsidRPr="00093CFA">
        <w:rPr>
          <w:rFonts w:asciiTheme="minorHAnsi" w:hAnsiTheme="minorHAnsi" w:cstheme="minorHAnsi"/>
          <w:sz w:val="24"/>
          <w:szCs w:val="24"/>
        </w:rPr>
        <w:t xml:space="preserve">roteasome </w:t>
      </w:r>
      <w:r w:rsidR="00093CFA">
        <w:rPr>
          <w:rFonts w:asciiTheme="minorHAnsi" w:hAnsiTheme="minorHAnsi" w:cstheme="minorHAnsi"/>
          <w:sz w:val="24"/>
          <w:szCs w:val="24"/>
        </w:rPr>
        <w:t>i</w:t>
      </w:r>
      <w:r w:rsidR="00093CFA" w:rsidRPr="00093CFA">
        <w:rPr>
          <w:rFonts w:asciiTheme="minorHAnsi" w:hAnsiTheme="minorHAnsi" w:cstheme="minorHAnsi"/>
          <w:sz w:val="24"/>
          <w:szCs w:val="24"/>
        </w:rPr>
        <w:t xml:space="preserve">nhibitor (PI) and </w:t>
      </w:r>
      <w:r w:rsidR="00AA70A0">
        <w:rPr>
          <w:rFonts w:asciiTheme="minorHAnsi" w:hAnsiTheme="minorHAnsi" w:cstheme="minorHAnsi"/>
          <w:sz w:val="24"/>
          <w:szCs w:val="24"/>
        </w:rPr>
        <w:t>i</w:t>
      </w:r>
      <w:r w:rsidR="00AA70A0" w:rsidRPr="00AA70A0">
        <w:rPr>
          <w:rFonts w:asciiTheme="minorHAnsi" w:hAnsiTheme="minorHAnsi" w:cstheme="minorHAnsi"/>
          <w:sz w:val="24"/>
          <w:szCs w:val="24"/>
        </w:rPr>
        <w:t xml:space="preserve">mmunomodulatory agent </w:t>
      </w:r>
      <w:r w:rsidR="00093CFA" w:rsidRPr="00093CFA">
        <w:rPr>
          <w:rFonts w:asciiTheme="minorHAnsi" w:hAnsiTheme="minorHAnsi" w:cstheme="minorHAnsi"/>
          <w:sz w:val="24"/>
          <w:szCs w:val="24"/>
        </w:rPr>
        <w:t>(IMiD)</w:t>
      </w:r>
      <w:r w:rsidRPr="00B45BD0">
        <w:rPr>
          <w:rFonts w:asciiTheme="minorHAnsi" w:hAnsiTheme="minorHAnsi" w:cstheme="minorHAnsi"/>
          <w:sz w:val="24"/>
          <w:szCs w:val="24"/>
        </w:rPr>
        <w:t xml:space="preserve">. </w:t>
      </w:r>
      <w:r w:rsidR="0071642E">
        <w:rPr>
          <w:rFonts w:asciiTheme="minorHAnsi" w:hAnsiTheme="minorHAnsi" w:cstheme="minorHAnsi"/>
          <w:sz w:val="24"/>
          <w:szCs w:val="24"/>
        </w:rPr>
        <w:t>Further</w:t>
      </w:r>
      <w:r w:rsidR="000C0A8E">
        <w:rPr>
          <w:rFonts w:asciiTheme="minorHAnsi" w:hAnsiTheme="minorHAnsi" w:cstheme="minorHAnsi"/>
          <w:sz w:val="24"/>
          <w:szCs w:val="24"/>
        </w:rPr>
        <w:t>,</w:t>
      </w:r>
      <w:r w:rsidR="009836E7">
        <w:rPr>
          <w:rFonts w:asciiTheme="minorHAnsi" w:hAnsiTheme="minorHAnsi" w:cstheme="minorHAnsi"/>
          <w:sz w:val="24"/>
          <w:szCs w:val="24"/>
        </w:rPr>
        <w:t xml:space="preserve"> the proposed technology, </w:t>
      </w:r>
      <w:r w:rsidR="0071642E" w:rsidRPr="0071642E">
        <w:rPr>
          <w:rFonts w:asciiTheme="minorHAnsi" w:hAnsiTheme="minorHAnsi" w:cstheme="minorHAnsi"/>
          <w:sz w:val="24"/>
          <w:szCs w:val="24"/>
        </w:rPr>
        <w:t>ciltacabtagene autoleucel (cilta-cel)</w:t>
      </w:r>
      <w:r w:rsidR="001D55B9">
        <w:rPr>
          <w:rFonts w:asciiTheme="minorHAnsi" w:hAnsiTheme="minorHAnsi" w:cstheme="minorHAnsi"/>
          <w:sz w:val="24"/>
          <w:szCs w:val="24"/>
        </w:rPr>
        <w:t xml:space="preserve"> </w:t>
      </w:r>
      <w:r w:rsidR="009836E7">
        <w:rPr>
          <w:rFonts w:asciiTheme="minorHAnsi" w:hAnsiTheme="minorHAnsi" w:cstheme="minorHAnsi"/>
          <w:sz w:val="24"/>
          <w:szCs w:val="24"/>
        </w:rPr>
        <w:t>w</w:t>
      </w:r>
      <w:r w:rsidR="001D55B9">
        <w:rPr>
          <w:rFonts w:asciiTheme="minorHAnsi" w:hAnsiTheme="minorHAnsi" w:cstheme="minorHAnsi"/>
          <w:sz w:val="24"/>
          <w:szCs w:val="24"/>
        </w:rPr>
        <w:t xml:space="preserve">as </w:t>
      </w:r>
      <w:r w:rsidR="00015B10">
        <w:rPr>
          <w:rFonts w:asciiTheme="minorHAnsi" w:hAnsiTheme="minorHAnsi" w:cstheme="minorHAnsi"/>
          <w:sz w:val="24"/>
          <w:szCs w:val="24"/>
        </w:rPr>
        <w:t xml:space="preserve">studied </w:t>
      </w:r>
      <w:r w:rsidR="001D55B9">
        <w:rPr>
          <w:rFonts w:asciiTheme="minorHAnsi" w:hAnsiTheme="minorHAnsi" w:cstheme="minorHAnsi"/>
          <w:sz w:val="24"/>
          <w:szCs w:val="24"/>
        </w:rPr>
        <w:t xml:space="preserve">in a lenalidomide refractory population. </w:t>
      </w:r>
      <w:r w:rsidR="00D12EE2">
        <w:rPr>
          <w:rFonts w:asciiTheme="minorHAnsi" w:hAnsiTheme="minorHAnsi" w:cstheme="minorHAnsi"/>
          <w:sz w:val="24"/>
          <w:szCs w:val="24"/>
        </w:rPr>
        <w:t>Lenalidomide refractory</w:t>
      </w:r>
      <w:r w:rsidR="002A10C5">
        <w:rPr>
          <w:rFonts w:asciiTheme="minorHAnsi" w:hAnsiTheme="minorHAnsi" w:cstheme="minorHAnsi"/>
          <w:sz w:val="24"/>
          <w:szCs w:val="24"/>
        </w:rPr>
        <w:t xml:space="preserve"> MM</w:t>
      </w:r>
      <w:r w:rsidR="00B7207C">
        <w:rPr>
          <w:rFonts w:asciiTheme="minorHAnsi" w:hAnsiTheme="minorHAnsi" w:cstheme="minorHAnsi"/>
          <w:sz w:val="24"/>
          <w:szCs w:val="24"/>
        </w:rPr>
        <w:t xml:space="preserve"> is defined as</w:t>
      </w:r>
      <w:r w:rsidR="00D12EE2">
        <w:rPr>
          <w:rFonts w:asciiTheme="minorHAnsi" w:hAnsiTheme="minorHAnsi" w:cstheme="minorHAnsi"/>
          <w:sz w:val="24"/>
          <w:szCs w:val="24"/>
        </w:rPr>
        <w:t xml:space="preserve"> </w:t>
      </w:r>
      <w:r w:rsidR="00AE11E1" w:rsidRPr="00AE11E1">
        <w:rPr>
          <w:rFonts w:asciiTheme="minorHAnsi" w:hAnsiTheme="minorHAnsi" w:cstheme="minorHAnsi"/>
          <w:sz w:val="24"/>
          <w:szCs w:val="24"/>
        </w:rPr>
        <w:t>failure to achieve minimal response or progression on or within 60 days of completing lenalidomide therapy</w:t>
      </w:r>
      <w:r w:rsidR="00B7207C">
        <w:rPr>
          <w:rFonts w:asciiTheme="minorHAnsi" w:hAnsiTheme="minorHAnsi" w:cstheme="minorHAnsi"/>
          <w:sz w:val="24"/>
          <w:szCs w:val="24"/>
        </w:rPr>
        <w:t>.</w:t>
      </w:r>
      <w:r w:rsidR="002A10C5">
        <w:rPr>
          <w:rFonts w:asciiTheme="minorHAnsi" w:hAnsiTheme="minorHAnsi" w:cstheme="minorHAnsi"/>
          <w:sz w:val="24"/>
          <w:szCs w:val="24"/>
        </w:rPr>
        <w:t xml:space="preserve"> Thus, as lenalidomide</w:t>
      </w:r>
      <w:r w:rsidR="0055384B">
        <w:rPr>
          <w:rFonts w:asciiTheme="minorHAnsi" w:hAnsiTheme="minorHAnsi" w:cstheme="minorHAnsi"/>
          <w:sz w:val="24"/>
          <w:szCs w:val="24"/>
        </w:rPr>
        <w:t xml:space="preserve"> is a treat-to-progression therapy, and most patients in Australia receive lenalidomide as their first-line treatment, </w:t>
      </w:r>
      <w:r w:rsidR="000C5DBB">
        <w:rPr>
          <w:rFonts w:asciiTheme="minorHAnsi" w:hAnsiTheme="minorHAnsi" w:cstheme="minorHAnsi"/>
          <w:sz w:val="24"/>
          <w:szCs w:val="24"/>
        </w:rPr>
        <w:t xml:space="preserve">this means that </w:t>
      </w:r>
      <w:r w:rsidR="0055384B">
        <w:rPr>
          <w:rFonts w:asciiTheme="minorHAnsi" w:hAnsiTheme="minorHAnsi" w:cstheme="minorHAnsi"/>
          <w:sz w:val="24"/>
          <w:szCs w:val="24"/>
        </w:rPr>
        <w:t xml:space="preserve">most </w:t>
      </w:r>
      <w:r w:rsidR="001D50AE">
        <w:rPr>
          <w:rFonts w:asciiTheme="minorHAnsi" w:hAnsiTheme="minorHAnsi" w:cstheme="minorHAnsi"/>
          <w:sz w:val="24"/>
          <w:szCs w:val="24"/>
        </w:rPr>
        <w:t xml:space="preserve">patients in Australia with relapsed or refractory MM are </w:t>
      </w:r>
      <w:r w:rsidR="000C5DBB">
        <w:rPr>
          <w:rFonts w:asciiTheme="minorHAnsi" w:hAnsiTheme="minorHAnsi" w:cstheme="minorHAnsi"/>
          <w:sz w:val="24"/>
          <w:szCs w:val="24"/>
        </w:rPr>
        <w:t xml:space="preserve">typically </w:t>
      </w:r>
      <w:r w:rsidR="001D50AE">
        <w:rPr>
          <w:rFonts w:asciiTheme="minorHAnsi" w:hAnsiTheme="minorHAnsi" w:cstheme="minorHAnsi"/>
          <w:sz w:val="24"/>
          <w:szCs w:val="24"/>
        </w:rPr>
        <w:t>refractory to lenalidomide.</w:t>
      </w:r>
      <w:r w:rsidR="00B7207C">
        <w:rPr>
          <w:rFonts w:asciiTheme="minorHAnsi" w:hAnsiTheme="minorHAnsi" w:cstheme="minorHAnsi"/>
          <w:sz w:val="24"/>
          <w:szCs w:val="24"/>
        </w:rPr>
        <w:t xml:space="preserve"> </w:t>
      </w:r>
    </w:p>
    <w:p w14:paraId="475BD377" w14:textId="0A1993B7" w:rsidR="00000196" w:rsidRPr="00F849F2" w:rsidRDefault="009A5629" w:rsidP="007520A6">
      <w:pPr>
        <w:jc w:val="both"/>
        <w:rPr>
          <w:rFonts w:asciiTheme="minorHAnsi" w:hAnsiTheme="minorHAnsi" w:cstheme="minorHAnsi"/>
          <w:sz w:val="24"/>
          <w:szCs w:val="24"/>
        </w:rPr>
      </w:pPr>
      <w:r>
        <w:rPr>
          <w:rFonts w:asciiTheme="minorHAnsi" w:hAnsiTheme="minorHAnsi" w:cstheme="minorHAnsi"/>
          <w:sz w:val="24"/>
          <w:szCs w:val="24"/>
        </w:rPr>
        <w:t xml:space="preserve">This is </w:t>
      </w:r>
      <w:r w:rsidR="00630D7D">
        <w:rPr>
          <w:rFonts w:asciiTheme="minorHAnsi" w:hAnsiTheme="minorHAnsi" w:cstheme="minorHAnsi"/>
          <w:sz w:val="24"/>
          <w:szCs w:val="24"/>
        </w:rPr>
        <w:t>particularly important because p</w:t>
      </w:r>
      <w:r w:rsidR="00862959" w:rsidRPr="00862959">
        <w:rPr>
          <w:rFonts w:asciiTheme="minorHAnsi" w:hAnsiTheme="minorHAnsi" w:cstheme="minorHAnsi"/>
          <w:sz w:val="24"/>
          <w:szCs w:val="24"/>
        </w:rPr>
        <w:t>atients with lenalidomide-refractory MM experience worse clinical outcomes than other MM patients, including increased risk of</w:t>
      </w:r>
      <w:r w:rsidR="005E46C8">
        <w:rPr>
          <w:rFonts w:asciiTheme="minorHAnsi" w:hAnsiTheme="minorHAnsi" w:cstheme="minorHAnsi"/>
          <w:sz w:val="24"/>
          <w:szCs w:val="24"/>
        </w:rPr>
        <w:t xml:space="preserve"> disease progression and</w:t>
      </w:r>
      <w:r w:rsidR="00862959" w:rsidRPr="00862959">
        <w:rPr>
          <w:rFonts w:asciiTheme="minorHAnsi" w:hAnsiTheme="minorHAnsi" w:cstheme="minorHAnsi"/>
          <w:sz w:val="24"/>
          <w:szCs w:val="24"/>
        </w:rPr>
        <w:t xml:space="preserve"> death</w:t>
      </w:r>
      <w:r w:rsidR="00542672">
        <w:rPr>
          <w:rFonts w:asciiTheme="minorHAnsi" w:hAnsiTheme="minorHAnsi" w:cstheme="minorHAnsi"/>
          <w:sz w:val="24"/>
          <w:szCs w:val="24"/>
        </w:rPr>
        <w:t xml:space="preserve"> as reported in the literature</w:t>
      </w:r>
      <w:r w:rsidR="000F2B66">
        <w:rPr>
          <w:rFonts w:asciiTheme="minorHAnsi" w:hAnsiTheme="minorHAnsi" w:cstheme="minorHAnsi"/>
          <w:sz w:val="24"/>
          <w:szCs w:val="24"/>
        </w:rPr>
        <w:t xml:space="preserve"> (Dhakal B et al </w:t>
      </w:r>
      <w:r w:rsidR="009556E4">
        <w:rPr>
          <w:rFonts w:asciiTheme="minorHAnsi" w:hAnsiTheme="minorHAnsi" w:cstheme="minorHAnsi"/>
          <w:sz w:val="24"/>
          <w:szCs w:val="24"/>
        </w:rPr>
        <w:t xml:space="preserve">2024; </w:t>
      </w:r>
      <w:r w:rsidR="00AE3B26">
        <w:rPr>
          <w:rFonts w:asciiTheme="minorHAnsi" w:hAnsiTheme="minorHAnsi" w:cstheme="minorHAnsi"/>
          <w:sz w:val="24"/>
          <w:szCs w:val="24"/>
        </w:rPr>
        <w:t>Dhakal B et al 2025</w:t>
      </w:r>
      <w:r w:rsidR="009556E4">
        <w:rPr>
          <w:rFonts w:asciiTheme="minorHAnsi" w:hAnsiTheme="minorHAnsi" w:cstheme="minorHAnsi"/>
          <w:sz w:val="24"/>
          <w:szCs w:val="24"/>
        </w:rPr>
        <w:t>;</w:t>
      </w:r>
      <w:r w:rsidR="00AE3B26">
        <w:rPr>
          <w:rFonts w:asciiTheme="minorHAnsi" w:hAnsiTheme="minorHAnsi" w:cstheme="minorHAnsi"/>
          <w:sz w:val="24"/>
          <w:szCs w:val="24"/>
        </w:rPr>
        <w:t xml:space="preserve"> Har</w:t>
      </w:r>
      <w:r w:rsidR="001D66EF">
        <w:rPr>
          <w:rFonts w:asciiTheme="minorHAnsi" w:hAnsiTheme="minorHAnsi" w:cstheme="minorHAnsi"/>
          <w:sz w:val="24"/>
          <w:szCs w:val="24"/>
        </w:rPr>
        <w:t>tley-Brown M et al 2024;</w:t>
      </w:r>
      <w:r w:rsidR="009556E4">
        <w:rPr>
          <w:rFonts w:asciiTheme="minorHAnsi" w:hAnsiTheme="minorHAnsi" w:cstheme="minorHAnsi"/>
          <w:sz w:val="24"/>
          <w:szCs w:val="24"/>
        </w:rPr>
        <w:t xml:space="preserve"> Yong K et al 202</w:t>
      </w:r>
      <w:r w:rsidR="008551FF">
        <w:rPr>
          <w:rFonts w:asciiTheme="minorHAnsi" w:hAnsiTheme="minorHAnsi" w:cstheme="minorHAnsi"/>
          <w:sz w:val="24"/>
          <w:szCs w:val="24"/>
        </w:rPr>
        <w:t>5</w:t>
      </w:r>
      <w:r w:rsidR="009556E4">
        <w:rPr>
          <w:rFonts w:asciiTheme="minorHAnsi" w:hAnsiTheme="minorHAnsi" w:cstheme="minorHAnsi"/>
          <w:sz w:val="24"/>
          <w:szCs w:val="24"/>
        </w:rPr>
        <w:t>)</w:t>
      </w:r>
      <w:r w:rsidR="006C6F77">
        <w:rPr>
          <w:rFonts w:asciiTheme="minorHAnsi" w:hAnsiTheme="minorHAnsi" w:cstheme="minorHAnsi"/>
          <w:sz w:val="24"/>
          <w:szCs w:val="24"/>
        </w:rPr>
        <w:t>, and most Australians receive lenalidomide as first-line myeloma therapy</w:t>
      </w:r>
      <w:r w:rsidR="00862959">
        <w:rPr>
          <w:rFonts w:asciiTheme="minorHAnsi" w:hAnsiTheme="minorHAnsi" w:cstheme="minorHAnsi"/>
          <w:sz w:val="24"/>
          <w:szCs w:val="24"/>
        </w:rPr>
        <w:t xml:space="preserve">. </w:t>
      </w:r>
      <w:r w:rsidR="00070F14">
        <w:rPr>
          <w:rFonts w:asciiTheme="minorHAnsi" w:hAnsiTheme="minorHAnsi" w:cstheme="minorHAnsi"/>
          <w:sz w:val="24"/>
          <w:szCs w:val="24"/>
        </w:rPr>
        <w:t>Hartley-Brown M et al 2024 presented a systematic literature review a</w:t>
      </w:r>
      <w:r w:rsidR="00070F14" w:rsidRPr="00070F14">
        <w:rPr>
          <w:rFonts w:asciiTheme="minorHAnsi" w:hAnsiTheme="minorHAnsi" w:cstheme="minorHAnsi"/>
          <w:sz w:val="24"/>
          <w:szCs w:val="24"/>
        </w:rPr>
        <w:t>cross </w:t>
      </w:r>
      <w:r w:rsidR="001A26AF">
        <w:rPr>
          <w:rFonts w:asciiTheme="minorHAnsi" w:hAnsiTheme="minorHAnsi" w:cstheme="minorHAnsi"/>
          <w:sz w:val="24"/>
          <w:szCs w:val="24"/>
        </w:rPr>
        <w:t xml:space="preserve">24 </w:t>
      </w:r>
      <w:r w:rsidR="00070F14" w:rsidRPr="00070F14">
        <w:rPr>
          <w:rFonts w:asciiTheme="minorHAnsi" w:hAnsiTheme="minorHAnsi" w:cstheme="minorHAnsi"/>
          <w:sz w:val="24"/>
          <w:szCs w:val="24"/>
        </w:rPr>
        <w:t>clinical trials</w:t>
      </w:r>
      <w:r w:rsidR="001A26AF">
        <w:rPr>
          <w:rFonts w:asciiTheme="minorHAnsi" w:hAnsiTheme="minorHAnsi" w:cstheme="minorHAnsi"/>
          <w:sz w:val="24"/>
          <w:szCs w:val="24"/>
        </w:rPr>
        <w:t xml:space="preserve"> </w:t>
      </w:r>
      <w:r w:rsidR="00713BFD">
        <w:rPr>
          <w:rFonts w:asciiTheme="minorHAnsi" w:hAnsiTheme="minorHAnsi" w:cstheme="minorHAnsi"/>
          <w:sz w:val="24"/>
          <w:szCs w:val="24"/>
        </w:rPr>
        <w:t xml:space="preserve">published between January 2008 and October 2023 </w:t>
      </w:r>
      <w:r w:rsidR="001A26AF">
        <w:rPr>
          <w:rFonts w:asciiTheme="minorHAnsi" w:hAnsiTheme="minorHAnsi" w:cstheme="minorHAnsi"/>
          <w:sz w:val="24"/>
          <w:szCs w:val="24"/>
        </w:rPr>
        <w:t>which reported</w:t>
      </w:r>
      <w:r w:rsidR="00070F14" w:rsidRPr="00070F14">
        <w:rPr>
          <w:rFonts w:asciiTheme="minorHAnsi" w:hAnsiTheme="minorHAnsi" w:cstheme="minorHAnsi"/>
          <w:sz w:val="24"/>
          <w:szCs w:val="24"/>
        </w:rPr>
        <w:t xml:space="preserve"> lenalidomide</w:t>
      </w:r>
      <w:r w:rsidR="00070F14" w:rsidRPr="00070F14">
        <w:rPr>
          <w:rFonts w:ascii="Cambria Math" w:hAnsi="Cambria Math" w:cs="Cambria Math"/>
          <w:sz w:val="24"/>
          <w:szCs w:val="24"/>
        </w:rPr>
        <w:t>‑</w:t>
      </w:r>
      <w:r w:rsidR="00070F14" w:rsidRPr="00070F14">
        <w:rPr>
          <w:rFonts w:asciiTheme="minorHAnsi" w:hAnsiTheme="minorHAnsi" w:cstheme="minorHAnsi"/>
          <w:sz w:val="24"/>
          <w:szCs w:val="24"/>
        </w:rPr>
        <w:t xml:space="preserve">refractory patients had shorter </w:t>
      </w:r>
      <w:r w:rsidR="00CC3F70">
        <w:rPr>
          <w:rFonts w:asciiTheme="minorHAnsi" w:hAnsiTheme="minorHAnsi" w:cstheme="minorHAnsi"/>
          <w:sz w:val="24"/>
          <w:szCs w:val="24"/>
        </w:rPr>
        <w:t xml:space="preserve">population-weighted mean </w:t>
      </w:r>
      <w:r w:rsidR="00B016B3">
        <w:rPr>
          <w:rFonts w:asciiTheme="minorHAnsi" w:hAnsiTheme="minorHAnsi" w:cstheme="minorHAnsi"/>
          <w:sz w:val="24"/>
          <w:szCs w:val="24"/>
        </w:rPr>
        <w:t xml:space="preserve">of </w:t>
      </w:r>
      <w:r w:rsidR="00070F14" w:rsidRPr="00070F14">
        <w:rPr>
          <w:rFonts w:asciiTheme="minorHAnsi" w:hAnsiTheme="minorHAnsi" w:cstheme="minorHAnsi"/>
          <w:sz w:val="24"/>
          <w:szCs w:val="24"/>
        </w:rPr>
        <w:t xml:space="preserve">median PFS (8.8 months) and OS (21.7 months) than </w:t>
      </w:r>
      <w:r w:rsidR="001A26AF">
        <w:rPr>
          <w:rFonts w:asciiTheme="minorHAnsi" w:hAnsiTheme="minorHAnsi" w:cstheme="minorHAnsi"/>
          <w:sz w:val="24"/>
          <w:szCs w:val="24"/>
        </w:rPr>
        <w:t xml:space="preserve">the </w:t>
      </w:r>
      <w:r w:rsidR="00070F14" w:rsidRPr="00070F14">
        <w:rPr>
          <w:rFonts w:asciiTheme="minorHAnsi" w:hAnsiTheme="minorHAnsi" w:cstheme="minorHAnsi"/>
          <w:sz w:val="24"/>
          <w:szCs w:val="24"/>
        </w:rPr>
        <w:t>intent</w:t>
      </w:r>
      <w:r w:rsidR="00070F14" w:rsidRPr="00070F14">
        <w:rPr>
          <w:rFonts w:ascii="Cambria Math" w:hAnsi="Cambria Math" w:cs="Cambria Math"/>
          <w:sz w:val="24"/>
          <w:szCs w:val="24"/>
        </w:rPr>
        <w:t>‑</w:t>
      </w:r>
      <w:r w:rsidR="00070F14" w:rsidRPr="00070F14">
        <w:rPr>
          <w:rFonts w:asciiTheme="minorHAnsi" w:hAnsiTheme="minorHAnsi" w:cstheme="minorHAnsi"/>
          <w:sz w:val="24"/>
          <w:szCs w:val="24"/>
        </w:rPr>
        <w:t>to</w:t>
      </w:r>
      <w:r w:rsidR="00070F14" w:rsidRPr="00070F14">
        <w:rPr>
          <w:rFonts w:ascii="Cambria Math" w:hAnsi="Cambria Math" w:cs="Cambria Math"/>
          <w:sz w:val="24"/>
          <w:szCs w:val="24"/>
        </w:rPr>
        <w:t>‑</w:t>
      </w:r>
      <w:r w:rsidR="00070F14" w:rsidRPr="00070F14">
        <w:rPr>
          <w:rFonts w:asciiTheme="minorHAnsi" w:hAnsiTheme="minorHAnsi" w:cstheme="minorHAnsi"/>
          <w:sz w:val="24"/>
          <w:szCs w:val="24"/>
        </w:rPr>
        <w:t>treat populations</w:t>
      </w:r>
      <w:r w:rsidR="00070F14" w:rsidRPr="00070F14">
        <w:rPr>
          <w:rFonts w:ascii="Calibri" w:hAnsi="Calibri" w:cs="Calibri"/>
          <w:sz w:val="24"/>
          <w:szCs w:val="24"/>
        </w:rPr>
        <w:t> </w:t>
      </w:r>
      <w:r w:rsidR="00070F14" w:rsidRPr="00070F14">
        <w:rPr>
          <w:rFonts w:asciiTheme="minorHAnsi" w:hAnsiTheme="minorHAnsi" w:cstheme="minorHAnsi"/>
          <w:sz w:val="24"/>
          <w:szCs w:val="24"/>
        </w:rPr>
        <w:t>(</w:t>
      </w:r>
      <w:proofErr w:type="spellStart"/>
      <w:r w:rsidR="00070F14" w:rsidRPr="00070F14">
        <w:rPr>
          <w:rFonts w:asciiTheme="minorHAnsi" w:hAnsiTheme="minorHAnsi" w:cstheme="minorHAnsi"/>
          <w:sz w:val="24"/>
          <w:szCs w:val="24"/>
        </w:rPr>
        <w:t>mPFS</w:t>
      </w:r>
      <w:proofErr w:type="spellEnd"/>
      <w:r w:rsidR="00070F14" w:rsidRPr="00070F14">
        <w:rPr>
          <w:rFonts w:asciiTheme="minorHAnsi" w:hAnsiTheme="minorHAnsi" w:cstheme="minorHAnsi"/>
          <w:sz w:val="24"/>
          <w:szCs w:val="24"/>
        </w:rPr>
        <w:t xml:space="preserve">: 13.8 months, </w:t>
      </w:r>
      <w:proofErr w:type="spellStart"/>
      <w:r w:rsidR="00070F14" w:rsidRPr="00070F14">
        <w:rPr>
          <w:rFonts w:asciiTheme="minorHAnsi" w:hAnsiTheme="minorHAnsi" w:cstheme="minorHAnsi"/>
          <w:sz w:val="24"/>
          <w:szCs w:val="24"/>
        </w:rPr>
        <w:t>mOS</w:t>
      </w:r>
      <w:proofErr w:type="spellEnd"/>
      <w:r w:rsidR="00070F14" w:rsidRPr="00070F14">
        <w:rPr>
          <w:rFonts w:asciiTheme="minorHAnsi" w:hAnsiTheme="minorHAnsi" w:cstheme="minorHAnsi"/>
          <w:sz w:val="24"/>
          <w:szCs w:val="24"/>
        </w:rPr>
        <w:t>: 35.9 months)</w:t>
      </w:r>
      <w:r w:rsidR="006C6F77">
        <w:rPr>
          <w:rFonts w:asciiTheme="minorHAnsi" w:hAnsiTheme="minorHAnsi" w:cstheme="minorHAnsi"/>
          <w:sz w:val="24"/>
          <w:szCs w:val="24"/>
        </w:rPr>
        <w:t>; clearly demonstrating the poorer prognosis of patients with lenalidomide refractory disease</w:t>
      </w:r>
      <w:r w:rsidR="001A26AF">
        <w:rPr>
          <w:rFonts w:asciiTheme="minorHAnsi" w:hAnsiTheme="minorHAnsi" w:cstheme="minorHAnsi"/>
          <w:sz w:val="24"/>
          <w:szCs w:val="24"/>
        </w:rPr>
        <w:t xml:space="preserve">. </w:t>
      </w:r>
      <w:r w:rsidR="00C7095D">
        <w:rPr>
          <w:rFonts w:asciiTheme="minorHAnsi" w:hAnsiTheme="minorHAnsi" w:cstheme="minorHAnsi"/>
          <w:sz w:val="24"/>
          <w:szCs w:val="24"/>
        </w:rPr>
        <w:t>Furthermore</w:t>
      </w:r>
      <w:r w:rsidR="00542672">
        <w:rPr>
          <w:rFonts w:asciiTheme="minorHAnsi" w:hAnsiTheme="minorHAnsi" w:cstheme="minorHAnsi"/>
          <w:sz w:val="24"/>
          <w:szCs w:val="24"/>
        </w:rPr>
        <w:t>, these</w:t>
      </w:r>
      <w:r w:rsidR="00630D7D">
        <w:rPr>
          <w:rFonts w:asciiTheme="minorHAnsi" w:hAnsiTheme="minorHAnsi" w:cstheme="minorHAnsi"/>
          <w:sz w:val="24"/>
          <w:szCs w:val="24"/>
        </w:rPr>
        <w:t xml:space="preserve"> publications have consistently noted that </w:t>
      </w:r>
      <w:r w:rsidR="00713BFD">
        <w:rPr>
          <w:rFonts w:asciiTheme="minorHAnsi" w:hAnsiTheme="minorHAnsi" w:cstheme="minorHAnsi"/>
          <w:sz w:val="24"/>
          <w:szCs w:val="24"/>
        </w:rPr>
        <w:t>s</w:t>
      </w:r>
      <w:r w:rsidR="002B0785" w:rsidRPr="002B0785">
        <w:rPr>
          <w:rFonts w:asciiTheme="minorHAnsi" w:hAnsiTheme="minorHAnsi" w:cstheme="minorHAnsi"/>
          <w:sz w:val="24"/>
          <w:szCs w:val="24"/>
        </w:rPr>
        <w:t xml:space="preserve">urvival outcomes in lenalidomide-refractory patients </w:t>
      </w:r>
      <w:r w:rsidR="002624DA">
        <w:rPr>
          <w:rFonts w:asciiTheme="minorHAnsi" w:hAnsiTheme="minorHAnsi" w:cstheme="minorHAnsi"/>
          <w:sz w:val="24"/>
          <w:szCs w:val="24"/>
        </w:rPr>
        <w:t>have also shown</w:t>
      </w:r>
      <w:r w:rsidR="002B0785" w:rsidRPr="002B0785">
        <w:rPr>
          <w:rFonts w:asciiTheme="minorHAnsi" w:hAnsiTheme="minorHAnsi" w:cstheme="minorHAnsi"/>
          <w:sz w:val="24"/>
          <w:szCs w:val="24"/>
        </w:rPr>
        <w:t xml:space="preserve"> little improvement even with recent advances</w:t>
      </w:r>
      <w:r w:rsidR="00D82253">
        <w:rPr>
          <w:rFonts w:asciiTheme="minorHAnsi" w:hAnsiTheme="minorHAnsi" w:cstheme="minorHAnsi"/>
          <w:sz w:val="24"/>
          <w:szCs w:val="24"/>
        </w:rPr>
        <w:t xml:space="preserve"> in treatments</w:t>
      </w:r>
      <w:r w:rsidR="002624DA">
        <w:rPr>
          <w:rFonts w:asciiTheme="minorHAnsi" w:hAnsiTheme="minorHAnsi" w:cstheme="minorHAnsi"/>
          <w:sz w:val="24"/>
          <w:szCs w:val="24"/>
        </w:rPr>
        <w:t>.</w:t>
      </w:r>
      <w:r w:rsidR="009836E7">
        <w:rPr>
          <w:rFonts w:asciiTheme="minorHAnsi" w:hAnsiTheme="minorHAnsi" w:cstheme="minorHAnsi"/>
          <w:sz w:val="24"/>
          <w:szCs w:val="24"/>
        </w:rPr>
        <w:t xml:space="preserve"> </w:t>
      </w:r>
      <w:r w:rsidR="00713BFD">
        <w:rPr>
          <w:rFonts w:asciiTheme="minorHAnsi" w:hAnsiTheme="minorHAnsi" w:cstheme="minorHAnsi"/>
          <w:sz w:val="24"/>
          <w:szCs w:val="24"/>
        </w:rPr>
        <w:t>Th</w:t>
      </w:r>
      <w:r w:rsidR="0078639D">
        <w:rPr>
          <w:rFonts w:asciiTheme="minorHAnsi" w:hAnsiTheme="minorHAnsi" w:cstheme="minorHAnsi"/>
          <w:sz w:val="24"/>
          <w:szCs w:val="24"/>
        </w:rPr>
        <w:t>is</w:t>
      </w:r>
      <w:r w:rsidR="009836E7">
        <w:rPr>
          <w:rFonts w:asciiTheme="minorHAnsi" w:hAnsiTheme="minorHAnsi" w:cstheme="minorHAnsi"/>
          <w:sz w:val="24"/>
          <w:szCs w:val="24"/>
        </w:rPr>
        <w:t xml:space="preserve"> highlight</w:t>
      </w:r>
      <w:r w:rsidR="0078639D">
        <w:rPr>
          <w:rFonts w:asciiTheme="minorHAnsi" w:hAnsiTheme="minorHAnsi" w:cstheme="minorHAnsi"/>
          <w:sz w:val="24"/>
          <w:szCs w:val="24"/>
        </w:rPr>
        <w:t>s</w:t>
      </w:r>
      <w:r w:rsidR="009836E7">
        <w:rPr>
          <w:rFonts w:asciiTheme="minorHAnsi" w:hAnsiTheme="minorHAnsi" w:cstheme="minorHAnsi"/>
          <w:sz w:val="24"/>
          <w:szCs w:val="24"/>
        </w:rPr>
        <w:t xml:space="preserve"> </w:t>
      </w:r>
      <w:r w:rsidR="00630D7D">
        <w:rPr>
          <w:rFonts w:asciiTheme="minorHAnsi" w:hAnsiTheme="minorHAnsi" w:cstheme="minorHAnsi"/>
          <w:sz w:val="24"/>
          <w:szCs w:val="24"/>
        </w:rPr>
        <w:t>a significant clinical</w:t>
      </w:r>
      <w:r w:rsidR="009836E7">
        <w:rPr>
          <w:rFonts w:asciiTheme="minorHAnsi" w:hAnsiTheme="minorHAnsi" w:cstheme="minorHAnsi"/>
          <w:sz w:val="24"/>
          <w:szCs w:val="24"/>
        </w:rPr>
        <w:t xml:space="preserve"> unmet need </w:t>
      </w:r>
      <w:r w:rsidR="00886FC0">
        <w:rPr>
          <w:rFonts w:asciiTheme="minorHAnsi" w:hAnsiTheme="minorHAnsi" w:cstheme="minorHAnsi"/>
          <w:sz w:val="24"/>
          <w:szCs w:val="24"/>
        </w:rPr>
        <w:t>for new and effective innovative therapies, such as cilta-cel</w:t>
      </w:r>
      <w:r w:rsidR="005E1E03">
        <w:rPr>
          <w:rFonts w:asciiTheme="minorHAnsi" w:hAnsiTheme="minorHAnsi" w:cstheme="minorHAnsi"/>
          <w:sz w:val="24"/>
          <w:szCs w:val="24"/>
        </w:rPr>
        <w:t>,</w:t>
      </w:r>
      <w:r w:rsidR="005E1E03" w:rsidRPr="005E1E03">
        <w:rPr>
          <w:rFonts w:asciiTheme="minorHAnsi" w:hAnsiTheme="minorHAnsi" w:cstheme="minorHAnsi"/>
          <w:sz w:val="24"/>
          <w:szCs w:val="24"/>
        </w:rPr>
        <w:t xml:space="preserve"> </w:t>
      </w:r>
      <w:r w:rsidR="005E1E03">
        <w:rPr>
          <w:rFonts w:asciiTheme="minorHAnsi" w:hAnsiTheme="minorHAnsi" w:cstheme="minorHAnsi"/>
          <w:sz w:val="24"/>
          <w:szCs w:val="24"/>
        </w:rPr>
        <w:t>for the relevant population considered within this application</w:t>
      </w:r>
      <w:r w:rsidR="009142B4">
        <w:rPr>
          <w:rFonts w:asciiTheme="minorHAnsi" w:hAnsiTheme="minorHAnsi" w:cstheme="minorHAnsi"/>
          <w:sz w:val="24"/>
          <w:szCs w:val="24"/>
        </w:rPr>
        <w:t>.</w:t>
      </w:r>
    </w:p>
    <w:p w14:paraId="7B7089F3" w14:textId="7F48F656" w:rsidR="00051843" w:rsidRPr="00F849F2" w:rsidRDefault="00051843"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Specify any characteristics of patients with the medical condition, or suspected of, who are proposed to be eligible for the proposed health technology, describing how a patient would be investigated, managed and referred within the Australian health care system in the lead up to being considered eligible for the technology:</w:t>
      </w:r>
    </w:p>
    <w:p w14:paraId="51724AC6" w14:textId="67511925" w:rsidR="0028039B" w:rsidRPr="00B300E6" w:rsidRDefault="00B300E6" w:rsidP="007520A6">
      <w:pPr>
        <w:jc w:val="both"/>
        <w:rPr>
          <w:rFonts w:asciiTheme="minorHAnsi" w:eastAsia="Segoe UI" w:hAnsiTheme="minorHAnsi" w:cstheme="minorHAnsi"/>
          <w:color w:val="000000"/>
          <w:sz w:val="24"/>
          <w:szCs w:val="24"/>
        </w:rPr>
      </w:pPr>
      <w:r>
        <w:rPr>
          <w:rFonts w:asciiTheme="minorHAnsi" w:hAnsiTheme="minorHAnsi" w:cstheme="minorHAnsi"/>
          <w:sz w:val="24"/>
          <w:szCs w:val="24"/>
        </w:rPr>
        <w:t>Table 1</w:t>
      </w:r>
      <w:r>
        <w:rPr>
          <w:rFonts w:asciiTheme="minorHAnsi" w:eastAsia="Segoe UI" w:hAnsiTheme="minorHAnsi" w:cstheme="minorHAnsi"/>
          <w:color w:val="000000"/>
          <w:sz w:val="24"/>
          <w:szCs w:val="24"/>
        </w:rPr>
        <w:t xml:space="preserve"> below presents the proposed eligibility criteria for cilta-cel for 2L+ MM. </w:t>
      </w:r>
      <w:r w:rsidR="0028039B">
        <w:rPr>
          <w:rFonts w:asciiTheme="minorHAnsi" w:hAnsiTheme="minorHAnsi" w:cstheme="minorHAnsi"/>
          <w:sz w:val="24"/>
          <w:szCs w:val="24"/>
        </w:rPr>
        <w:t>P</w:t>
      </w:r>
      <w:r w:rsidR="0028039B" w:rsidRPr="0028039B">
        <w:rPr>
          <w:rFonts w:asciiTheme="minorHAnsi" w:hAnsiTheme="minorHAnsi" w:cstheme="minorHAnsi"/>
          <w:sz w:val="24"/>
          <w:szCs w:val="24"/>
        </w:rPr>
        <w:t xml:space="preserve">atient selection and referral decisions will be determined by institution, state and National </w:t>
      </w:r>
      <w:r w:rsidR="00A5327F" w:rsidRPr="00A5327F">
        <w:rPr>
          <w:rFonts w:asciiTheme="minorHAnsi" w:hAnsiTheme="minorHAnsi" w:cstheme="minorHAnsi"/>
          <w:sz w:val="24"/>
          <w:szCs w:val="24"/>
        </w:rPr>
        <w:t>Multi</w:t>
      </w:r>
      <w:r w:rsidR="008D0196">
        <w:rPr>
          <w:rFonts w:asciiTheme="minorHAnsi" w:hAnsiTheme="minorHAnsi" w:cstheme="minorHAnsi"/>
          <w:sz w:val="24"/>
          <w:szCs w:val="24"/>
        </w:rPr>
        <w:t>-</w:t>
      </w:r>
      <w:r w:rsidR="00A5327F" w:rsidRPr="00A5327F">
        <w:rPr>
          <w:rFonts w:asciiTheme="minorHAnsi" w:hAnsiTheme="minorHAnsi" w:cstheme="minorHAnsi"/>
          <w:sz w:val="24"/>
          <w:szCs w:val="24"/>
        </w:rPr>
        <w:t xml:space="preserve">Disciplinary Teams </w:t>
      </w:r>
      <w:r w:rsidR="00A5327F">
        <w:rPr>
          <w:rFonts w:asciiTheme="minorHAnsi" w:hAnsiTheme="minorHAnsi" w:cstheme="minorHAnsi"/>
          <w:sz w:val="24"/>
          <w:szCs w:val="24"/>
        </w:rPr>
        <w:t>(</w:t>
      </w:r>
      <w:r w:rsidR="0028039B" w:rsidRPr="0028039B">
        <w:rPr>
          <w:rFonts w:asciiTheme="minorHAnsi" w:hAnsiTheme="minorHAnsi" w:cstheme="minorHAnsi"/>
          <w:sz w:val="24"/>
          <w:szCs w:val="24"/>
        </w:rPr>
        <w:t>MDTs</w:t>
      </w:r>
      <w:r w:rsidR="00A5327F">
        <w:rPr>
          <w:rFonts w:asciiTheme="minorHAnsi" w:hAnsiTheme="minorHAnsi" w:cstheme="minorHAnsi"/>
          <w:sz w:val="24"/>
          <w:szCs w:val="24"/>
        </w:rPr>
        <w:t>)</w:t>
      </w:r>
      <w:r w:rsidR="00F05740">
        <w:rPr>
          <w:rFonts w:asciiTheme="minorHAnsi" w:hAnsiTheme="minorHAnsi" w:cstheme="minorHAnsi"/>
          <w:sz w:val="24"/>
          <w:szCs w:val="24"/>
        </w:rPr>
        <w:t>,</w:t>
      </w:r>
      <w:r w:rsidR="0028039B" w:rsidRPr="0028039B">
        <w:rPr>
          <w:rFonts w:asciiTheme="minorHAnsi" w:hAnsiTheme="minorHAnsi" w:cstheme="minorHAnsi"/>
          <w:sz w:val="24"/>
          <w:szCs w:val="24"/>
        </w:rPr>
        <w:t xml:space="preserve"> </w:t>
      </w:r>
      <w:r w:rsidR="00C22FB4">
        <w:rPr>
          <w:rFonts w:asciiTheme="minorHAnsi" w:hAnsiTheme="minorHAnsi" w:cstheme="minorHAnsi"/>
          <w:sz w:val="24"/>
          <w:szCs w:val="24"/>
        </w:rPr>
        <w:t xml:space="preserve">as appropriate, </w:t>
      </w:r>
      <w:r w:rsidR="0028039B" w:rsidRPr="0028039B">
        <w:rPr>
          <w:rFonts w:asciiTheme="minorHAnsi" w:hAnsiTheme="minorHAnsi" w:cstheme="minorHAnsi"/>
          <w:sz w:val="24"/>
          <w:szCs w:val="24"/>
        </w:rPr>
        <w:t xml:space="preserve">which will ensure </w:t>
      </w:r>
      <w:r w:rsidR="004349C7">
        <w:rPr>
          <w:rFonts w:asciiTheme="minorHAnsi" w:hAnsiTheme="minorHAnsi" w:cstheme="minorHAnsi"/>
          <w:sz w:val="24"/>
          <w:szCs w:val="24"/>
        </w:rPr>
        <w:t xml:space="preserve">eligible and </w:t>
      </w:r>
      <w:r w:rsidR="0028039B" w:rsidRPr="0028039B">
        <w:rPr>
          <w:rFonts w:asciiTheme="minorHAnsi" w:hAnsiTheme="minorHAnsi" w:cstheme="minorHAnsi"/>
          <w:sz w:val="24"/>
          <w:szCs w:val="24"/>
        </w:rPr>
        <w:t xml:space="preserve">suitable patients are identified and </w:t>
      </w:r>
      <w:r w:rsidR="0028039B" w:rsidRPr="0028039B">
        <w:rPr>
          <w:rFonts w:asciiTheme="minorHAnsi" w:hAnsiTheme="minorHAnsi" w:cstheme="minorHAnsi"/>
          <w:sz w:val="24"/>
          <w:szCs w:val="24"/>
        </w:rPr>
        <w:lastRenderedPageBreak/>
        <w:t>prioritised for</w:t>
      </w:r>
      <w:r w:rsidR="000B218B">
        <w:rPr>
          <w:rFonts w:asciiTheme="minorHAnsi" w:hAnsiTheme="minorHAnsi" w:cstheme="minorHAnsi"/>
          <w:sz w:val="24"/>
          <w:szCs w:val="24"/>
        </w:rPr>
        <w:t xml:space="preserve"> cilta-cel</w:t>
      </w:r>
      <w:r w:rsidR="0028039B" w:rsidRPr="0028039B">
        <w:rPr>
          <w:rFonts w:asciiTheme="minorHAnsi" w:hAnsiTheme="minorHAnsi" w:cstheme="minorHAnsi"/>
          <w:sz w:val="24"/>
          <w:szCs w:val="24"/>
        </w:rPr>
        <w:t xml:space="preserve"> treatment.</w:t>
      </w:r>
      <w:r w:rsidR="00DB700B">
        <w:rPr>
          <w:rFonts w:asciiTheme="minorHAnsi" w:hAnsiTheme="minorHAnsi" w:cstheme="minorHAnsi"/>
          <w:sz w:val="24"/>
          <w:szCs w:val="24"/>
        </w:rPr>
        <w:t xml:space="preserve"> Refer to </w:t>
      </w:r>
      <w:r w:rsidR="00796C64">
        <w:rPr>
          <w:rFonts w:asciiTheme="minorHAnsi" w:hAnsiTheme="minorHAnsi" w:cstheme="minorHAnsi"/>
          <w:sz w:val="24"/>
          <w:szCs w:val="24"/>
        </w:rPr>
        <w:t xml:space="preserve">‘Intervention’ and </w:t>
      </w:r>
      <w:r w:rsidR="00DB700B">
        <w:rPr>
          <w:rFonts w:asciiTheme="minorHAnsi" w:hAnsiTheme="minorHAnsi" w:cstheme="minorHAnsi"/>
          <w:sz w:val="24"/>
          <w:szCs w:val="24"/>
        </w:rPr>
        <w:t xml:space="preserve">‘Algorithms’ </w:t>
      </w:r>
      <w:r w:rsidR="003335C1">
        <w:rPr>
          <w:rFonts w:asciiTheme="minorHAnsi" w:hAnsiTheme="minorHAnsi" w:cstheme="minorHAnsi"/>
          <w:sz w:val="24"/>
          <w:szCs w:val="24"/>
        </w:rPr>
        <w:t>section</w:t>
      </w:r>
      <w:r w:rsidR="00796C64">
        <w:rPr>
          <w:rFonts w:asciiTheme="minorHAnsi" w:hAnsiTheme="minorHAnsi" w:cstheme="minorHAnsi"/>
          <w:sz w:val="24"/>
          <w:szCs w:val="24"/>
        </w:rPr>
        <w:t>s</w:t>
      </w:r>
      <w:r w:rsidR="00DB700B">
        <w:rPr>
          <w:rFonts w:asciiTheme="minorHAnsi" w:hAnsiTheme="minorHAnsi" w:cstheme="minorHAnsi"/>
          <w:sz w:val="24"/>
          <w:szCs w:val="24"/>
        </w:rPr>
        <w:t xml:space="preserve"> for further details </w:t>
      </w:r>
      <w:r w:rsidR="003B45CF">
        <w:rPr>
          <w:rFonts w:asciiTheme="minorHAnsi" w:hAnsiTheme="minorHAnsi" w:cstheme="minorHAnsi"/>
          <w:sz w:val="24"/>
          <w:szCs w:val="24"/>
        </w:rPr>
        <w:t xml:space="preserve">around the </w:t>
      </w:r>
      <w:r w:rsidR="00F97E44">
        <w:rPr>
          <w:rFonts w:asciiTheme="minorHAnsi" w:hAnsiTheme="minorHAnsi" w:cstheme="minorHAnsi"/>
          <w:sz w:val="24"/>
          <w:szCs w:val="24"/>
        </w:rPr>
        <w:t xml:space="preserve">health technology, </w:t>
      </w:r>
      <w:r w:rsidR="003B45CF">
        <w:rPr>
          <w:rFonts w:asciiTheme="minorHAnsi" w:hAnsiTheme="minorHAnsi" w:cstheme="minorHAnsi"/>
          <w:sz w:val="24"/>
          <w:szCs w:val="24"/>
        </w:rPr>
        <w:t>medical condition, and those eligible for cilta-cel.</w:t>
      </w:r>
    </w:p>
    <w:p w14:paraId="0510EC20" w14:textId="11FCD7DF" w:rsidR="00B14D74" w:rsidRDefault="00B14D74" w:rsidP="007520A6">
      <w:pPr>
        <w:jc w:val="both"/>
        <w:rPr>
          <w:rFonts w:asciiTheme="minorHAnsi" w:hAnsiTheme="minorHAnsi" w:cstheme="minorHAnsi"/>
          <w:b/>
          <w:bCs/>
          <w:sz w:val="24"/>
          <w:szCs w:val="24"/>
        </w:rPr>
      </w:pPr>
      <w:r>
        <w:rPr>
          <w:rFonts w:asciiTheme="minorHAnsi" w:hAnsiTheme="minorHAnsi" w:cstheme="minorHAnsi"/>
          <w:b/>
          <w:bCs/>
          <w:sz w:val="24"/>
          <w:szCs w:val="24"/>
        </w:rPr>
        <w:t>Table</w:t>
      </w:r>
      <w:r w:rsidR="006A0A41">
        <w:rPr>
          <w:rFonts w:asciiTheme="minorHAnsi" w:hAnsiTheme="minorHAnsi" w:cstheme="minorHAnsi"/>
          <w:b/>
          <w:bCs/>
          <w:sz w:val="24"/>
          <w:szCs w:val="24"/>
        </w:rPr>
        <w:t xml:space="preserve"> 1</w:t>
      </w:r>
      <w:r>
        <w:rPr>
          <w:rFonts w:asciiTheme="minorHAnsi" w:hAnsiTheme="minorHAnsi" w:cstheme="minorHAnsi"/>
          <w:b/>
          <w:bCs/>
          <w:sz w:val="24"/>
          <w:szCs w:val="24"/>
        </w:rPr>
        <w:t>: Proposed eligibility criteria for cilta-cel for 2L+ MM treatment under NHRA</w:t>
      </w:r>
    </w:p>
    <w:tbl>
      <w:tblPr>
        <w:tblStyle w:val="TableGrid"/>
        <w:tblW w:w="0" w:type="auto"/>
        <w:tblLook w:val="04A0" w:firstRow="1" w:lastRow="0" w:firstColumn="1" w:lastColumn="0" w:noHBand="0" w:noVBand="1"/>
      </w:tblPr>
      <w:tblGrid>
        <w:gridCol w:w="2263"/>
        <w:gridCol w:w="6753"/>
      </w:tblGrid>
      <w:tr w:rsidR="00505236" w:rsidRPr="00FB5E70" w14:paraId="4EEE73D6" w14:textId="77777777" w:rsidTr="03EAB9A5">
        <w:tc>
          <w:tcPr>
            <w:tcW w:w="2263" w:type="dxa"/>
          </w:tcPr>
          <w:p w14:paraId="412621BC" w14:textId="77777777" w:rsidR="00505236" w:rsidRPr="00FB5E70" w:rsidRDefault="00505236" w:rsidP="007520A6">
            <w:pPr>
              <w:jc w:val="both"/>
              <w:rPr>
                <w:rFonts w:asciiTheme="minorHAnsi" w:hAnsiTheme="minorHAnsi" w:cstheme="minorHAnsi"/>
                <w:b/>
                <w:bCs/>
              </w:rPr>
            </w:pPr>
            <w:r w:rsidRPr="00FB5E70">
              <w:rPr>
                <w:rFonts w:asciiTheme="minorHAnsi" w:hAnsiTheme="minorHAnsi" w:cstheme="minorHAnsi"/>
                <w:b/>
                <w:bCs/>
              </w:rPr>
              <w:t>Treatment criteria</w:t>
            </w:r>
          </w:p>
        </w:tc>
        <w:tc>
          <w:tcPr>
            <w:tcW w:w="6753" w:type="dxa"/>
          </w:tcPr>
          <w:p w14:paraId="6EE9035C"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Patient must be treated in a tertiary public hospital with appropriate credentials</w:t>
            </w:r>
          </w:p>
          <w:p w14:paraId="7C32C6FF"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AND</w:t>
            </w:r>
          </w:p>
          <w:p w14:paraId="4309181A"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 xml:space="preserve">Patient must be treated by a haematologist working in a multi-disciplinary team specialising in the provision of CAR-T cell therapy </w:t>
            </w:r>
          </w:p>
        </w:tc>
      </w:tr>
      <w:tr w:rsidR="00505236" w:rsidRPr="00FB5E70" w14:paraId="4A150E07" w14:textId="77777777" w:rsidTr="03EAB9A5">
        <w:tc>
          <w:tcPr>
            <w:tcW w:w="2263" w:type="dxa"/>
          </w:tcPr>
          <w:p w14:paraId="2CDEC324" w14:textId="77777777" w:rsidR="00505236" w:rsidRPr="00FB5E70" w:rsidRDefault="00505236" w:rsidP="007520A6">
            <w:pPr>
              <w:jc w:val="both"/>
              <w:rPr>
                <w:rFonts w:asciiTheme="minorHAnsi" w:hAnsiTheme="minorHAnsi" w:cstheme="minorHAnsi"/>
                <w:b/>
                <w:bCs/>
              </w:rPr>
            </w:pPr>
            <w:r w:rsidRPr="00FB5E70">
              <w:rPr>
                <w:rFonts w:asciiTheme="minorHAnsi" w:hAnsiTheme="minorHAnsi" w:cstheme="minorHAnsi"/>
                <w:b/>
                <w:bCs/>
              </w:rPr>
              <w:t>Clinical criteria</w:t>
            </w:r>
          </w:p>
        </w:tc>
        <w:tc>
          <w:tcPr>
            <w:tcW w:w="6753" w:type="dxa"/>
          </w:tcPr>
          <w:p w14:paraId="78F11337"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The condition (MM) must be confirmed by a histological diagnosis.</w:t>
            </w:r>
          </w:p>
          <w:p w14:paraId="537B2EB3"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AND</w:t>
            </w:r>
          </w:p>
          <w:p w14:paraId="37BB5D79" w14:textId="0C4851F5" w:rsidR="00505236" w:rsidRPr="00FB5E70" w:rsidRDefault="00505236" w:rsidP="007520A6">
            <w:pPr>
              <w:jc w:val="both"/>
              <w:rPr>
                <w:rFonts w:asciiTheme="minorHAnsi" w:hAnsiTheme="minorHAnsi" w:cstheme="minorHAnsi"/>
              </w:rPr>
            </w:pPr>
            <w:r w:rsidRPr="00FB5E70">
              <w:rPr>
                <w:rFonts w:asciiTheme="minorHAnsi" w:hAnsiTheme="minorHAnsi" w:cstheme="minorHAnsi"/>
              </w:rPr>
              <w:t xml:space="preserve">Patient must have progressive disease after at least one prior line of therapy </w:t>
            </w:r>
          </w:p>
          <w:p w14:paraId="29FDB9A2"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AND</w:t>
            </w:r>
          </w:p>
          <w:p w14:paraId="05C74B0E" w14:textId="43582109" w:rsidR="00505236" w:rsidRPr="00FB5E70" w:rsidRDefault="00505236" w:rsidP="03EAB9A5">
            <w:pPr>
              <w:jc w:val="both"/>
              <w:rPr>
                <w:rFonts w:asciiTheme="minorHAnsi" w:hAnsiTheme="minorHAnsi" w:cstheme="minorBidi"/>
              </w:rPr>
            </w:pPr>
            <w:r w:rsidRPr="03EAB9A5">
              <w:rPr>
                <w:rFonts w:asciiTheme="minorHAnsi" w:hAnsiTheme="minorHAnsi" w:cstheme="minorBidi"/>
              </w:rPr>
              <w:t>Patient must have previously had treatment with a proteas</w:t>
            </w:r>
            <w:r w:rsidR="4C4386FA" w:rsidRPr="03EAB9A5">
              <w:rPr>
                <w:rFonts w:asciiTheme="minorHAnsi" w:hAnsiTheme="minorHAnsi" w:cstheme="minorBidi"/>
              </w:rPr>
              <w:t>om</w:t>
            </w:r>
            <w:r w:rsidRPr="03EAB9A5">
              <w:rPr>
                <w:rFonts w:asciiTheme="minorHAnsi" w:hAnsiTheme="minorHAnsi" w:cstheme="minorBidi"/>
              </w:rPr>
              <w:t>e inhibitor, and an immunomodulatory (IMiD) drug</w:t>
            </w:r>
          </w:p>
          <w:p w14:paraId="49970B56" w14:textId="77777777" w:rsidR="00505236" w:rsidRDefault="00505236" w:rsidP="007520A6">
            <w:pPr>
              <w:jc w:val="both"/>
              <w:rPr>
                <w:rFonts w:asciiTheme="minorHAnsi" w:hAnsiTheme="minorHAnsi" w:cstheme="minorHAnsi"/>
              </w:rPr>
            </w:pPr>
            <w:r w:rsidRPr="00FB5E70">
              <w:rPr>
                <w:rFonts w:asciiTheme="minorHAnsi" w:hAnsiTheme="minorHAnsi" w:cstheme="minorHAnsi"/>
              </w:rPr>
              <w:t>AND</w:t>
            </w:r>
          </w:p>
          <w:p w14:paraId="34990701" w14:textId="4346F9D4" w:rsidR="00CE0B4E" w:rsidRDefault="00CE0B4E" w:rsidP="007520A6">
            <w:pPr>
              <w:jc w:val="both"/>
              <w:rPr>
                <w:rFonts w:asciiTheme="minorHAnsi" w:hAnsiTheme="minorHAnsi" w:cstheme="minorHAnsi"/>
              </w:rPr>
            </w:pPr>
            <w:r>
              <w:rPr>
                <w:rFonts w:asciiTheme="minorHAnsi" w:hAnsiTheme="minorHAnsi" w:cstheme="minorHAnsi"/>
              </w:rPr>
              <w:t>Patient must be refractory to lenalidomide</w:t>
            </w:r>
          </w:p>
          <w:p w14:paraId="631260DC" w14:textId="496D0188" w:rsidR="008524CA" w:rsidRPr="00FB5E70" w:rsidRDefault="008524CA" w:rsidP="007520A6">
            <w:pPr>
              <w:jc w:val="both"/>
              <w:rPr>
                <w:rFonts w:asciiTheme="minorHAnsi" w:hAnsiTheme="minorHAnsi" w:cstheme="minorHAnsi"/>
              </w:rPr>
            </w:pPr>
            <w:r>
              <w:rPr>
                <w:rFonts w:asciiTheme="minorHAnsi" w:hAnsiTheme="minorHAnsi" w:cstheme="minorHAnsi"/>
              </w:rPr>
              <w:t>AND</w:t>
            </w:r>
          </w:p>
          <w:p w14:paraId="60E55E11" w14:textId="13A65B79" w:rsidR="00B0104B" w:rsidRPr="00FB5E70" w:rsidRDefault="00B0104B" w:rsidP="007520A6">
            <w:pPr>
              <w:jc w:val="both"/>
              <w:rPr>
                <w:rFonts w:asciiTheme="minorHAnsi" w:hAnsiTheme="minorHAnsi" w:cstheme="minorHAnsi"/>
              </w:rPr>
            </w:pPr>
            <w:r w:rsidRPr="00FB5E70">
              <w:rPr>
                <w:rFonts w:asciiTheme="minorHAnsi" w:hAnsiTheme="minorHAnsi" w:cstheme="minorHAnsi"/>
              </w:rPr>
              <w:t>Patient must not have previously received treatment with another B-cell maturation antigen (BCMA) directed therapy for this condition</w:t>
            </w:r>
          </w:p>
          <w:p w14:paraId="2EB8111B" w14:textId="3311C886" w:rsidR="00B0104B" w:rsidRPr="00FB5E70" w:rsidRDefault="00B0104B" w:rsidP="007520A6">
            <w:pPr>
              <w:jc w:val="both"/>
              <w:rPr>
                <w:rFonts w:asciiTheme="minorHAnsi" w:hAnsiTheme="minorHAnsi" w:cstheme="minorHAnsi"/>
              </w:rPr>
            </w:pPr>
            <w:r w:rsidRPr="00FB5E70">
              <w:rPr>
                <w:rFonts w:asciiTheme="minorHAnsi" w:hAnsiTheme="minorHAnsi" w:cstheme="minorHAnsi"/>
              </w:rPr>
              <w:t>AND</w:t>
            </w:r>
          </w:p>
          <w:p w14:paraId="429AC55F" w14:textId="1480F054" w:rsidR="00505236" w:rsidRPr="00FB5E70" w:rsidRDefault="00505236" w:rsidP="007520A6">
            <w:pPr>
              <w:jc w:val="both"/>
              <w:rPr>
                <w:rFonts w:asciiTheme="minorHAnsi" w:hAnsiTheme="minorHAnsi" w:cstheme="minorHAnsi"/>
              </w:rPr>
            </w:pPr>
            <w:r w:rsidRPr="00FB5E70">
              <w:rPr>
                <w:rFonts w:asciiTheme="minorHAnsi" w:hAnsiTheme="minorHAnsi" w:cstheme="minorHAnsi"/>
              </w:rPr>
              <w:t xml:space="preserve">Patient must not be receiving concomitant PBS-subsidised </w:t>
            </w:r>
            <w:r w:rsidR="00B55845">
              <w:rPr>
                <w:rFonts w:asciiTheme="minorHAnsi" w:hAnsiTheme="minorHAnsi" w:cstheme="minorHAnsi"/>
              </w:rPr>
              <w:t xml:space="preserve">MM </w:t>
            </w:r>
            <w:r w:rsidRPr="00FB5E70">
              <w:rPr>
                <w:rFonts w:asciiTheme="minorHAnsi" w:hAnsiTheme="minorHAnsi" w:cstheme="minorHAnsi"/>
              </w:rPr>
              <w:t>therapies</w:t>
            </w:r>
          </w:p>
          <w:p w14:paraId="4692B344"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AND</w:t>
            </w:r>
          </w:p>
          <w:p w14:paraId="04F404CF"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 xml:space="preserve">Patient must have an ECOG score of 0 or 1 </w:t>
            </w:r>
          </w:p>
          <w:p w14:paraId="20692928"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AND</w:t>
            </w:r>
          </w:p>
          <w:p w14:paraId="7D5CA098" w14:textId="77777777" w:rsidR="00505236" w:rsidRPr="00FB5E70" w:rsidRDefault="00505236" w:rsidP="007520A6">
            <w:pPr>
              <w:spacing w:after="160" w:line="259" w:lineRule="auto"/>
              <w:jc w:val="both"/>
              <w:rPr>
                <w:rFonts w:asciiTheme="minorHAnsi" w:hAnsiTheme="minorHAnsi" w:cstheme="minorHAnsi"/>
                <w:highlight w:val="yellow"/>
              </w:rPr>
            </w:pPr>
            <w:r w:rsidRPr="00FB5E70">
              <w:rPr>
                <w:rFonts w:asciiTheme="minorHAnsi" w:hAnsiTheme="minorHAnsi" w:cstheme="minorHAnsi"/>
              </w:rPr>
              <w:t>Patient must have a creatinine clearance of 40 mL/min or greater</w:t>
            </w:r>
            <w:r w:rsidRPr="00FB5E70">
              <w:rPr>
                <w:rFonts w:asciiTheme="minorHAnsi" w:hAnsiTheme="minorHAnsi" w:cstheme="minorHAnsi"/>
                <w:highlight w:val="yellow"/>
              </w:rPr>
              <w:t xml:space="preserve"> </w:t>
            </w:r>
          </w:p>
          <w:p w14:paraId="6589E8D8"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 xml:space="preserve">AND </w:t>
            </w:r>
          </w:p>
          <w:p w14:paraId="76B68999" w14:textId="09A4141C" w:rsidR="00505236" w:rsidRPr="00FB5E70" w:rsidRDefault="00505236" w:rsidP="007520A6">
            <w:pPr>
              <w:jc w:val="both"/>
              <w:rPr>
                <w:rFonts w:asciiTheme="minorHAnsi" w:hAnsiTheme="minorHAnsi" w:cstheme="minorHAnsi"/>
              </w:rPr>
            </w:pPr>
            <w:r w:rsidRPr="00FB5E70">
              <w:rPr>
                <w:rFonts w:asciiTheme="minorHAnsi" w:hAnsiTheme="minorHAnsi" w:cstheme="minorHAnsi"/>
              </w:rPr>
              <w:t>Patient must have a liver function</w:t>
            </w:r>
            <w:r w:rsidR="00792D06">
              <w:rPr>
                <w:rFonts w:asciiTheme="minorHAnsi" w:hAnsiTheme="minorHAnsi" w:cstheme="minorHAnsi"/>
              </w:rPr>
              <w:t xml:space="preserve"> (AST and ALT)</w:t>
            </w:r>
            <w:r w:rsidRPr="00FB5E70">
              <w:rPr>
                <w:rFonts w:asciiTheme="minorHAnsi" w:hAnsiTheme="minorHAnsi" w:cstheme="minorHAnsi"/>
              </w:rPr>
              <w:t xml:space="preserve"> of 3.0 x upper limit of normal or less</w:t>
            </w:r>
          </w:p>
          <w:p w14:paraId="53C99855"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AND</w:t>
            </w:r>
          </w:p>
          <w:p w14:paraId="77E5E87D" w14:textId="77777777" w:rsidR="00505236" w:rsidRPr="00FB5E70" w:rsidRDefault="00505236" w:rsidP="007520A6">
            <w:pPr>
              <w:jc w:val="both"/>
              <w:rPr>
                <w:rFonts w:asciiTheme="minorHAnsi" w:hAnsiTheme="minorHAnsi" w:cstheme="minorHAnsi"/>
              </w:rPr>
            </w:pPr>
            <w:r w:rsidRPr="00FB5E70">
              <w:rPr>
                <w:rFonts w:asciiTheme="minorHAnsi" w:hAnsiTheme="minorHAnsi" w:cstheme="minorHAnsi"/>
              </w:rPr>
              <w:t>Patient must not have received successful treatment with cilta-cel before, (i.e. treatment is limited to one successful infusion per lifetime)</w:t>
            </w:r>
          </w:p>
        </w:tc>
      </w:tr>
    </w:tbl>
    <w:p w14:paraId="3C6B4CAE" w14:textId="77777777" w:rsidR="00505236" w:rsidRDefault="00505236" w:rsidP="007520A6">
      <w:pPr>
        <w:jc w:val="both"/>
        <w:rPr>
          <w:rFonts w:asciiTheme="minorHAnsi" w:hAnsiTheme="minorHAnsi" w:cstheme="minorHAnsi"/>
          <w:b/>
          <w:bCs/>
          <w:sz w:val="24"/>
          <w:szCs w:val="24"/>
        </w:rPr>
      </w:pPr>
    </w:p>
    <w:p w14:paraId="0EB432EF" w14:textId="24DEEFFD" w:rsidR="00051843" w:rsidRPr="00F849F2" w:rsidRDefault="00051843"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P</w:t>
      </w:r>
      <w:r w:rsidR="001E1797" w:rsidRPr="00F849F2">
        <w:rPr>
          <w:rFonts w:asciiTheme="minorHAnsi" w:hAnsiTheme="minorHAnsi" w:cstheme="minorHAnsi"/>
          <w:b/>
          <w:bCs/>
          <w:sz w:val="24"/>
          <w:szCs w:val="24"/>
        </w:rPr>
        <w:t>r</w:t>
      </w:r>
      <w:r w:rsidRPr="00F849F2">
        <w:rPr>
          <w:rFonts w:asciiTheme="minorHAnsi" w:hAnsiTheme="minorHAnsi" w:cstheme="minorHAnsi"/>
          <w:b/>
          <w:bCs/>
          <w:sz w:val="24"/>
          <w:szCs w:val="24"/>
        </w:rPr>
        <w:t>ovide a rationale for the specifics of the eligible population:</w:t>
      </w:r>
    </w:p>
    <w:p w14:paraId="3212AD7A" w14:textId="52DD9762" w:rsidR="00051843" w:rsidRDefault="00EC022A" w:rsidP="007520A6">
      <w:pPr>
        <w:jc w:val="both"/>
        <w:rPr>
          <w:rFonts w:asciiTheme="minorHAnsi" w:hAnsiTheme="minorHAnsi" w:cstheme="minorHAnsi"/>
          <w:sz w:val="24"/>
          <w:szCs w:val="24"/>
        </w:rPr>
      </w:pPr>
      <w:r>
        <w:rPr>
          <w:rFonts w:asciiTheme="minorHAnsi" w:hAnsiTheme="minorHAnsi" w:cstheme="minorHAnsi"/>
          <w:sz w:val="24"/>
          <w:szCs w:val="24"/>
        </w:rPr>
        <w:t xml:space="preserve">The </w:t>
      </w:r>
      <w:r w:rsidR="00F80A3B">
        <w:rPr>
          <w:rFonts w:asciiTheme="minorHAnsi" w:hAnsiTheme="minorHAnsi" w:cstheme="minorHAnsi"/>
          <w:sz w:val="24"/>
          <w:szCs w:val="24"/>
        </w:rPr>
        <w:t xml:space="preserve">eligibility </w:t>
      </w:r>
      <w:r>
        <w:rPr>
          <w:rFonts w:asciiTheme="minorHAnsi" w:hAnsiTheme="minorHAnsi" w:cstheme="minorHAnsi"/>
          <w:sz w:val="24"/>
          <w:szCs w:val="24"/>
        </w:rPr>
        <w:t xml:space="preserve">criteria proposed </w:t>
      </w:r>
      <w:r w:rsidR="00F80A3B">
        <w:rPr>
          <w:rFonts w:asciiTheme="minorHAnsi" w:hAnsiTheme="minorHAnsi" w:cstheme="minorHAnsi"/>
          <w:sz w:val="24"/>
          <w:szCs w:val="24"/>
        </w:rPr>
        <w:t xml:space="preserve">for cilta-cel for 2L+ MM is </w:t>
      </w:r>
      <w:r w:rsidR="00D94AAB">
        <w:rPr>
          <w:rFonts w:asciiTheme="minorHAnsi" w:hAnsiTheme="minorHAnsi" w:cstheme="minorHAnsi"/>
          <w:sz w:val="24"/>
          <w:szCs w:val="24"/>
        </w:rPr>
        <w:t>aligned to the population</w:t>
      </w:r>
      <w:r w:rsidR="00F80A3B">
        <w:rPr>
          <w:rFonts w:asciiTheme="minorHAnsi" w:hAnsiTheme="minorHAnsi" w:cstheme="minorHAnsi"/>
          <w:sz w:val="24"/>
          <w:szCs w:val="24"/>
        </w:rPr>
        <w:t xml:space="preserve"> </w:t>
      </w:r>
      <w:r w:rsidR="00D94AAB">
        <w:rPr>
          <w:rFonts w:asciiTheme="minorHAnsi" w:hAnsiTheme="minorHAnsi" w:cstheme="minorHAnsi"/>
          <w:sz w:val="24"/>
          <w:szCs w:val="24"/>
        </w:rPr>
        <w:t>enrolled in</w:t>
      </w:r>
      <w:r w:rsidR="00F80A3B">
        <w:rPr>
          <w:rFonts w:asciiTheme="minorHAnsi" w:hAnsiTheme="minorHAnsi" w:cstheme="minorHAnsi"/>
          <w:sz w:val="24"/>
          <w:szCs w:val="24"/>
        </w:rPr>
        <w:t xml:space="preserve"> the clinical trial </w:t>
      </w:r>
      <w:r w:rsidR="00D94AAB">
        <w:rPr>
          <w:rFonts w:asciiTheme="minorHAnsi" w:hAnsiTheme="minorHAnsi" w:cstheme="minorHAnsi"/>
          <w:sz w:val="24"/>
          <w:szCs w:val="24"/>
        </w:rPr>
        <w:t xml:space="preserve">relevant to this </w:t>
      </w:r>
      <w:r w:rsidR="00C6383D">
        <w:rPr>
          <w:rFonts w:asciiTheme="minorHAnsi" w:hAnsiTheme="minorHAnsi" w:cstheme="minorHAnsi"/>
          <w:sz w:val="24"/>
          <w:szCs w:val="24"/>
        </w:rPr>
        <w:t>application</w:t>
      </w:r>
      <w:r w:rsidR="00F80A3B">
        <w:rPr>
          <w:rFonts w:asciiTheme="minorHAnsi" w:hAnsiTheme="minorHAnsi" w:cstheme="minorHAnsi"/>
          <w:sz w:val="24"/>
          <w:szCs w:val="24"/>
        </w:rPr>
        <w:t xml:space="preserve"> (CARTITUDE-4 [</w:t>
      </w:r>
      <w:r w:rsidR="00F80A3B" w:rsidRPr="00F80A3B">
        <w:rPr>
          <w:rFonts w:asciiTheme="minorHAnsi" w:hAnsiTheme="minorHAnsi" w:cstheme="minorHAnsi"/>
          <w:sz w:val="24"/>
          <w:szCs w:val="24"/>
        </w:rPr>
        <w:t>NCT04181827</w:t>
      </w:r>
      <w:r w:rsidR="00F80A3B">
        <w:rPr>
          <w:rFonts w:asciiTheme="minorHAnsi" w:hAnsiTheme="minorHAnsi" w:cstheme="minorHAnsi"/>
          <w:sz w:val="24"/>
          <w:szCs w:val="24"/>
        </w:rPr>
        <w:t>])</w:t>
      </w:r>
      <w:r w:rsidR="00DA00CA">
        <w:rPr>
          <w:rFonts w:asciiTheme="minorHAnsi" w:hAnsiTheme="minorHAnsi" w:cstheme="minorHAnsi"/>
          <w:sz w:val="24"/>
          <w:szCs w:val="24"/>
        </w:rPr>
        <w:t xml:space="preserve"> </w:t>
      </w:r>
      <w:r w:rsidR="00D94AAB">
        <w:rPr>
          <w:rFonts w:asciiTheme="minorHAnsi" w:hAnsiTheme="minorHAnsi" w:cstheme="minorHAnsi"/>
          <w:sz w:val="24"/>
          <w:szCs w:val="24"/>
        </w:rPr>
        <w:t xml:space="preserve">and </w:t>
      </w:r>
      <w:r w:rsidR="00C14A7E">
        <w:rPr>
          <w:rFonts w:asciiTheme="minorHAnsi" w:hAnsiTheme="minorHAnsi" w:cstheme="minorHAnsi"/>
          <w:sz w:val="24"/>
          <w:szCs w:val="24"/>
        </w:rPr>
        <w:t xml:space="preserve">specific </w:t>
      </w:r>
      <w:r w:rsidR="00C871D1">
        <w:rPr>
          <w:rFonts w:asciiTheme="minorHAnsi" w:hAnsiTheme="minorHAnsi" w:cstheme="minorHAnsi"/>
          <w:sz w:val="24"/>
          <w:szCs w:val="24"/>
        </w:rPr>
        <w:t>elements of the</w:t>
      </w:r>
      <w:r w:rsidR="00D94AAB">
        <w:rPr>
          <w:rFonts w:asciiTheme="minorHAnsi" w:hAnsiTheme="minorHAnsi" w:cstheme="minorHAnsi"/>
          <w:sz w:val="24"/>
          <w:szCs w:val="24"/>
        </w:rPr>
        <w:t xml:space="preserve"> criteria supported by MSAC for cilta-cel </w:t>
      </w:r>
      <w:r w:rsidR="00E247AE">
        <w:rPr>
          <w:rFonts w:asciiTheme="minorHAnsi" w:hAnsiTheme="minorHAnsi" w:cstheme="minorHAnsi"/>
          <w:sz w:val="24"/>
          <w:szCs w:val="24"/>
        </w:rPr>
        <w:t>for treating</w:t>
      </w:r>
      <w:r w:rsidR="00C14A7E">
        <w:rPr>
          <w:rFonts w:asciiTheme="minorHAnsi" w:hAnsiTheme="minorHAnsi" w:cstheme="minorHAnsi"/>
          <w:sz w:val="24"/>
          <w:szCs w:val="24"/>
        </w:rPr>
        <w:t xml:space="preserve"> </w:t>
      </w:r>
      <w:r w:rsidR="00D94AAB">
        <w:rPr>
          <w:rFonts w:asciiTheme="minorHAnsi" w:hAnsiTheme="minorHAnsi" w:cstheme="minorHAnsi"/>
          <w:sz w:val="24"/>
          <w:szCs w:val="24"/>
        </w:rPr>
        <w:t>5L+ MM</w:t>
      </w:r>
      <w:r w:rsidR="00C14A7E">
        <w:rPr>
          <w:rFonts w:asciiTheme="minorHAnsi" w:hAnsiTheme="minorHAnsi" w:cstheme="minorHAnsi"/>
          <w:sz w:val="24"/>
          <w:szCs w:val="24"/>
        </w:rPr>
        <w:t xml:space="preserve"> that remain relevant</w:t>
      </w:r>
      <w:r w:rsidR="000D3270">
        <w:rPr>
          <w:rFonts w:asciiTheme="minorHAnsi" w:hAnsiTheme="minorHAnsi" w:cstheme="minorHAnsi"/>
          <w:sz w:val="24"/>
          <w:szCs w:val="24"/>
        </w:rPr>
        <w:t xml:space="preserve"> (i.e., those related to </w:t>
      </w:r>
      <w:r w:rsidR="00F138CD">
        <w:rPr>
          <w:rFonts w:asciiTheme="minorHAnsi" w:hAnsiTheme="minorHAnsi" w:cstheme="minorHAnsi"/>
          <w:sz w:val="24"/>
          <w:szCs w:val="24"/>
        </w:rPr>
        <w:t>creatinine clearance, liver function, and on</w:t>
      </w:r>
      <w:r w:rsidR="004F52E8">
        <w:rPr>
          <w:rFonts w:asciiTheme="minorHAnsi" w:hAnsiTheme="minorHAnsi" w:cstheme="minorHAnsi"/>
          <w:sz w:val="24"/>
          <w:szCs w:val="24"/>
        </w:rPr>
        <w:t xml:space="preserve">e </w:t>
      </w:r>
      <w:r w:rsidR="00F138CD">
        <w:rPr>
          <w:rFonts w:asciiTheme="minorHAnsi" w:hAnsiTheme="minorHAnsi" w:cstheme="minorHAnsi"/>
          <w:sz w:val="24"/>
          <w:szCs w:val="24"/>
        </w:rPr>
        <w:t>successful infusion</w:t>
      </w:r>
      <w:r w:rsidR="004F52E8">
        <w:rPr>
          <w:rFonts w:asciiTheme="minorHAnsi" w:hAnsiTheme="minorHAnsi" w:cstheme="minorHAnsi"/>
          <w:sz w:val="24"/>
          <w:szCs w:val="24"/>
        </w:rPr>
        <w:t xml:space="preserve"> per lifetime</w:t>
      </w:r>
      <w:r w:rsidR="00F138CD">
        <w:rPr>
          <w:rFonts w:asciiTheme="minorHAnsi" w:hAnsiTheme="minorHAnsi" w:cstheme="minorHAnsi"/>
          <w:sz w:val="24"/>
          <w:szCs w:val="24"/>
        </w:rPr>
        <w:t>)</w:t>
      </w:r>
      <w:r w:rsidR="00D94AAB">
        <w:rPr>
          <w:rFonts w:asciiTheme="minorHAnsi" w:hAnsiTheme="minorHAnsi" w:cstheme="minorHAnsi"/>
          <w:sz w:val="24"/>
          <w:szCs w:val="24"/>
        </w:rPr>
        <w:t>.</w:t>
      </w:r>
      <w:r w:rsidR="00C14A7E">
        <w:rPr>
          <w:rFonts w:asciiTheme="minorHAnsi" w:hAnsiTheme="minorHAnsi" w:cstheme="minorHAnsi"/>
          <w:sz w:val="24"/>
          <w:szCs w:val="24"/>
        </w:rPr>
        <w:t xml:space="preserve"> Further details related to the specifics of the eligible population will be provided in the </w:t>
      </w:r>
      <w:r w:rsidR="002A612E">
        <w:rPr>
          <w:rFonts w:asciiTheme="minorHAnsi" w:hAnsiTheme="minorHAnsi" w:cstheme="minorHAnsi"/>
          <w:sz w:val="24"/>
          <w:szCs w:val="24"/>
        </w:rPr>
        <w:t xml:space="preserve">submission (i.e., </w:t>
      </w:r>
      <w:r w:rsidR="00C14A7E">
        <w:rPr>
          <w:rFonts w:asciiTheme="minorHAnsi" w:hAnsiTheme="minorHAnsi" w:cstheme="minorHAnsi"/>
          <w:sz w:val="24"/>
          <w:szCs w:val="24"/>
        </w:rPr>
        <w:t>ADAR</w:t>
      </w:r>
      <w:r w:rsidR="002A612E">
        <w:rPr>
          <w:rFonts w:asciiTheme="minorHAnsi" w:hAnsiTheme="minorHAnsi" w:cstheme="minorHAnsi"/>
          <w:sz w:val="24"/>
          <w:szCs w:val="24"/>
        </w:rPr>
        <w:t>)</w:t>
      </w:r>
      <w:r w:rsidR="00C14A7E">
        <w:rPr>
          <w:rFonts w:asciiTheme="minorHAnsi" w:hAnsiTheme="minorHAnsi" w:cstheme="minorHAnsi"/>
          <w:sz w:val="24"/>
          <w:szCs w:val="24"/>
        </w:rPr>
        <w:t>.</w:t>
      </w:r>
    </w:p>
    <w:p w14:paraId="730114B1" w14:textId="17224D17" w:rsidR="00280050" w:rsidRPr="00F849F2" w:rsidRDefault="00051843" w:rsidP="007520A6">
      <w:pPr>
        <w:pStyle w:val="Heading1"/>
        <w:jc w:val="both"/>
        <w:rPr>
          <w:rFonts w:asciiTheme="minorHAnsi" w:hAnsiTheme="minorHAnsi" w:cstheme="minorHAnsi"/>
          <w:color w:val="002060"/>
        </w:rPr>
      </w:pPr>
      <w:r w:rsidRPr="00F849F2">
        <w:rPr>
          <w:rFonts w:asciiTheme="minorHAnsi" w:hAnsiTheme="minorHAnsi" w:cstheme="minorHAnsi"/>
          <w:color w:val="002060"/>
        </w:rPr>
        <w:lastRenderedPageBreak/>
        <w:t>Intervention</w:t>
      </w:r>
    </w:p>
    <w:p w14:paraId="4EE4D8C5" w14:textId="54FB192F" w:rsidR="00665487" w:rsidRPr="00F849F2" w:rsidRDefault="00665487"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Name of the proposed health technology:</w:t>
      </w:r>
    </w:p>
    <w:p w14:paraId="48251FAB" w14:textId="5B783887" w:rsidR="004805BF" w:rsidRDefault="004805BF" w:rsidP="007520A6">
      <w:pPr>
        <w:jc w:val="both"/>
        <w:rPr>
          <w:rFonts w:asciiTheme="minorHAnsi" w:hAnsiTheme="minorHAnsi" w:cstheme="minorHAnsi"/>
          <w:sz w:val="24"/>
          <w:szCs w:val="24"/>
        </w:rPr>
      </w:pPr>
      <w:r>
        <w:rPr>
          <w:rFonts w:asciiTheme="minorHAnsi" w:hAnsiTheme="minorHAnsi" w:cstheme="minorHAnsi"/>
          <w:sz w:val="24"/>
          <w:szCs w:val="24"/>
        </w:rPr>
        <w:t>C</w:t>
      </w:r>
      <w:r w:rsidRPr="004805BF">
        <w:rPr>
          <w:rFonts w:asciiTheme="minorHAnsi" w:hAnsiTheme="minorHAnsi" w:cstheme="minorHAnsi"/>
          <w:sz w:val="24"/>
          <w:szCs w:val="24"/>
        </w:rPr>
        <w:t>iltacabtagene autoleucel (cilta-cel, CARVYKTI®)</w:t>
      </w:r>
      <w:r>
        <w:rPr>
          <w:rFonts w:asciiTheme="minorHAnsi" w:hAnsiTheme="minorHAnsi" w:cstheme="minorHAnsi"/>
          <w:sz w:val="24"/>
          <w:szCs w:val="24"/>
        </w:rPr>
        <w:t>.</w:t>
      </w:r>
    </w:p>
    <w:p w14:paraId="61D4A875" w14:textId="00AB46D8" w:rsidR="00BE6B22" w:rsidRPr="00F849F2" w:rsidRDefault="00665487"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Describe the key components and clinical steps involved in delivering the proposed health technology</w:t>
      </w:r>
      <w:r w:rsidR="00BE6B22" w:rsidRPr="00F849F2">
        <w:rPr>
          <w:rFonts w:asciiTheme="minorHAnsi" w:hAnsiTheme="minorHAnsi" w:cstheme="minorHAnsi"/>
          <w:b/>
          <w:bCs/>
          <w:sz w:val="24"/>
          <w:szCs w:val="24"/>
        </w:rPr>
        <w:t>:</w:t>
      </w:r>
    </w:p>
    <w:p w14:paraId="6C829476" w14:textId="0EEDFC93"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 xml:space="preserve">The CAR-T process for cilta-cel </w:t>
      </w:r>
      <w:r w:rsidR="00E632A6">
        <w:rPr>
          <w:rFonts w:asciiTheme="minorHAnsi" w:eastAsia="Segoe UI" w:hAnsiTheme="minorHAnsi" w:cstheme="minorHAnsi"/>
          <w:color w:val="000000"/>
          <w:sz w:val="24"/>
          <w:szCs w:val="24"/>
        </w:rPr>
        <w:t xml:space="preserve">in 2L+ MM </w:t>
      </w:r>
      <w:r w:rsidRPr="00175074">
        <w:rPr>
          <w:rFonts w:asciiTheme="minorHAnsi" w:eastAsia="Segoe UI" w:hAnsiTheme="minorHAnsi" w:cstheme="minorHAnsi"/>
          <w:color w:val="000000"/>
          <w:sz w:val="24"/>
          <w:szCs w:val="24"/>
        </w:rPr>
        <w:t xml:space="preserve">is consistent with </w:t>
      </w:r>
      <w:r w:rsidR="00E632A6">
        <w:rPr>
          <w:rFonts w:asciiTheme="minorHAnsi" w:eastAsia="Segoe UI" w:hAnsiTheme="minorHAnsi" w:cstheme="minorHAnsi"/>
          <w:color w:val="000000"/>
          <w:sz w:val="24"/>
          <w:szCs w:val="24"/>
        </w:rPr>
        <w:t>that</w:t>
      </w:r>
      <w:r w:rsidRPr="00175074">
        <w:rPr>
          <w:rFonts w:asciiTheme="minorHAnsi" w:eastAsia="Segoe UI" w:hAnsiTheme="minorHAnsi" w:cstheme="minorHAnsi"/>
          <w:color w:val="000000"/>
          <w:sz w:val="24"/>
          <w:szCs w:val="24"/>
        </w:rPr>
        <w:t xml:space="preserve"> considered by MSAC for </w:t>
      </w:r>
      <w:r w:rsidR="00E632A6">
        <w:rPr>
          <w:rFonts w:asciiTheme="minorHAnsi" w:eastAsia="Segoe UI" w:hAnsiTheme="minorHAnsi" w:cstheme="minorHAnsi"/>
          <w:color w:val="000000"/>
          <w:sz w:val="24"/>
          <w:szCs w:val="24"/>
        </w:rPr>
        <w:t xml:space="preserve">cilta-cel </w:t>
      </w:r>
      <w:r w:rsidR="00CF614D">
        <w:rPr>
          <w:rFonts w:asciiTheme="minorHAnsi" w:eastAsia="Segoe UI" w:hAnsiTheme="minorHAnsi" w:cstheme="minorHAnsi"/>
          <w:color w:val="000000"/>
          <w:sz w:val="24"/>
          <w:szCs w:val="24"/>
        </w:rPr>
        <w:t>in 5L+ MM, which is now NHRA funded</w:t>
      </w:r>
      <w:r w:rsidRPr="00175074">
        <w:rPr>
          <w:rFonts w:asciiTheme="minorHAnsi" w:eastAsia="Segoe UI" w:hAnsiTheme="minorHAnsi" w:cstheme="minorHAnsi"/>
          <w:color w:val="000000"/>
          <w:sz w:val="24"/>
          <w:szCs w:val="24"/>
        </w:rPr>
        <w:t>.</w:t>
      </w:r>
      <w:r w:rsidR="00975B82">
        <w:rPr>
          <w:rFonts w:asciiTheme="minorHAnsi" w:eastAsia="Segoe UI" w:hAnsiTheme="minorHAnsi" w:cstheme="minorHAnsi"/>
          <w:color w:val="000000"/>
          <w:sz w:val="24"/>
          <w:szCs w:val="24"/>
        </w:rPr>
        <w:t xml:space="preserve"> </w:t>
      </w:r>
      <w:r w:rsidRPr="00175074">
        <w:rPr>
          <w:rFonts w:asciiTheme="minorHAnsi" w:eastAsia="Segoe UI" w:hAnsiTheme="minorHAnsi" w:cstheme="minorHAnsi"/>
          <w:color w:val="000000"/>
          <w:sz w:val="24"/>
          <w:szCs w:val="24"/>
        </w:rPr>
        <w:t xml:space="preserve">The diagram presented </w:t>
      </w:r>
      <w:r w:rsidRPr="00EA5CAA">
        <w:rPr>
          <w:rFonts w:asciiTheme="minorHAnsi" w:eastAsia="Segoe UI" w:hAnsiTheme="minorHAnsi" w:cstheme="minorHAnsi"/>
          <w:color w:val="000000"/>
          <w:sz w:val="24"/>
          <w:szCs w:val="24"/>
        </w:rPr>
        <w:t xml:space="preserve">in Figure </w:t>
      </w:r>
      <w:r w:rsidR="005238F0" w:rsidRPr="00EA5CAA">
        <w:rPr>
          <w:rFonts w:asciiTheme="minorHAnsi" w:eastAsia="Segoe UI" w:hAnsiTheme="minorHAnsi" w:cstheme="minorHAnsi"/>
          <w:color w:val="000000"/>
          <w:sz w:val="24"/>
          <w:szCs w:val="24"/>
        </w:rPr>
        <w:t>1</w:t>
      </w:r>
      <w:r w:rsidRPr="00175074">
        <w:rPr>
          <w:rFonts w:asciiTheme="minorHAnsi" w:eastAsia="Segoe UI" w:hAnsiTheme="minorHAnsi" w:cstheme="minorHAnsi"/>
          <w:color w:val="000000"/>
          <w:sz w:val="24"/>
          <w:szCs w:val="24"/>
        </w:rPr>
        <w:t xml:space="preserve"> below summarises the steps involved in the proposed medical service. Most of the medical service will be rendered in Australia. The exception is the manufacturing of the cilta-cel CAR-T product which occurs in the Janssen manufacturing centre in Raritan (NJ, USA). The </w:t>
      </w:r>
      <w:r w:rsidR="009F55A5">
        <w:rPr>
          <w:rFonts w:asciiTheme="minorHAnsi" w:eastAsia="Segoe UI" w:hAnsiTheme="minorHAnsi" w:cstheme="minorHAnsi"/>
          <w:color w:val="000000"/>
          <w:sz w:val="24"/>
          <w:szCs w:val="24"/>
        </w:rPr>
        <w:t xml:space="preserve">main </w:t>
      </w:r>
      <w:r w:rsidRPr="00175074">
        <w:rPr>
          <w:rFonts w:asciiTheme="minorHAnsi" w:eastAsia="Segoe UI" w:hAnsiTheme="minorHAnsi" w:cstheme="minorHAnsi"/>
          <w:color w:val="000000"/>
          <w:sz w:val="24"/>
          <w:szCs w:val="24"/>
        </w:rPr>
        <w:t xml:space="preserve">steps involved and resources used at each step are similar for cilta-cel </w:t>
      </w:r>
      <w:r w:rsidR="00D05F0F">
        <w:rPr>
          <w:rFonts w:asciiTheme="minorHAnsi" w:eastAsia="Segoe UI" w:hAnsiTheme="minorHAnsi" w:cstheme="minorHAnsi"/>
          <w:color w:val="000000"/>
          <w:sz w:val="24"/>
          <w:szCs w:val="24"/>
        </w:rPr>
        <w:t>at 5L+ MM</w:t>
      </w:r>
      <w:r w:rsidRPr="00175074">
        <w:rPr>
          <w:rFonts w:asciiTheme="minorHAnsi" w:eastAsia="Segoe UI" w:hAnsiTheme="minorHAnsi" w:cstheme="minorHAnsi"/>
          <w:color w:val="000000"/>
          <w:sz w:val="24"/>
          <w:szCs w:val="24"/>
        </w:rPr>
        <w:t xml:space="preserve">. </w:t>
      </w:r>
    </w:p>
    <w:p w14:paraId="68866F52" w14:textId="29F717DC" w:rsidR="00175074" w:rsidRPr="00175074" w:rsidRDefault="00175074" w:rsidP="007520A6">
      <w:pPr>
        <w:jc w:val="both"/>
        <w:rPr>
          <w:rFonts w:asciiTheme="minorHAnsi" w:eastAsia="Segoe UI" w:hAnsiTheme="minorHAnsi" w:cstheme="minorHAnsi"/>
          <w:color w:val="000000"/>
          <w:sz w:val="24"/>
          <w:szCs w:val="24"/>
        </w:rPr>
      </w:pPr>
      <w:r w:rsidRPr="00DE64B0">
        <w:rPr>
          <w:rFonts w:asciiTheme="minorHAnsi" w:eastAsia="Segoe UI" w:hAnsiTheme="minorHAnsi" w:cstheme="minorHAnsi"/>
          <w:b/>
          <w:bCs/>
          <w:color w:val="000000"/>
          <w:sz w:val="24"/>
          <w:szCs w:val="24"/>
        </w:rPr>
        <w:t>Referral</w:t>
      </w:r>
      <w:r w:rsidRPr="00175074">
        <w:rPr>
          <w:rFonts w:asciiTheme="minorHAnsi" w:eastAsia="Segoe UI" w:hAnsiTheme="minorHAnsi" w:cstheme="minorHAnsi"/>
          <w:color w:val="000000"/>
          <w:sz w:val="24"/>
          <w:szCs w:val="24"/>
        </w:rPr>
        <w:t>: Patient eligibility for CAR-T will be discussed at Standard Tumour Stream multidisciplinary team (MDT) meetings. Prior to being discussed at a</w:t>
      </w:r>
      <w:r w:rsidR="000C2EA8">
        <w:rPr>
          <w:rFonts w:asciiTheme="minorHAnsi" w:eastAsia="Segoe UI" w:hAnsiTheme="minorHAnsi" w:cstheme="minorHAnsi"/>
          <w:color w:val="000000"/>
          <w:sz w:val="24"/>
          <w:szCs w:val="24"/>
        </w:rPr>
        <w:t>n</w:t>
      </w:r>
      <w:r w:rsidRPr="00175074">
        <w:rPr>
          <w:rFonts w:asciiTheme="minorHAnsi" w:eastAsia="Segoe UI" w:hAnsiTheme="minorHAnsi" w:cstheme="minorHAnsi"/>
          <w:color w:val="000000"/>
          <w:sz w:val="24"/>
          <w:szCs w:val="24"/>
        </w:rPr>
        <w:t xml:space="preserve"> MDT meeting, the patient will have a consent to their referral for CAR-T being discussed at the meeting. These consultations with the patient are generally conducted on an outpatient basis or via Telehealth; and will consider whether the patient social context and whether any assistance is required for interstate travel. Further, the patient’s medical history will be discussed and whether there is a need for any specialist pathology tests ahead of the MDT meeting. </w:t>
      </w:r>
      <w:r w:rsidR="002F3A4B" w:rsidRPr="002F3A4B">
        <w:rPr>
          <w:rFonts w:asciiTheme="minorHAnsi" w:eastAsia="Segoe UI" w:hAnsiTheme="minorHAnsi" w:cstheme="minorHAnsi"/>
          <w:color w:val="000000"/>
          <w:sz w:val="24"/>
          <w:szCs w:val="24"/>
        </w:rPr>
        <w:t xml:space="preserve">After local MDT meetings, some sites </w:t>
      </w:r>
      <w:r w:rsidR="00285707">
        <w:rPr>
          <w:rFonts w:asciiTheme="minorHAnsi" w:eastAsia="Segoe UI" w:hAnsiTheme="minorHAnsi" w:cstheme="minorHAnsi"/>
          <w:color w:val="000000"/>
          <w:sz w:val="24"/>
          <w:szCs w:val="24"/>
        </w:rPr>
        <w:t xml:space="preserve">may </w:t>
      </w:r>
      <w:r w:rsidR="002F3A4B" w:rsidRPr="002F3A4B">
        <w:rPr>
          <w:rFonts w:asciiTheme="minorHAnsi" w:eastAsia="Segoe UI" w:hAnsiTheme="minorHAnsi" w:cstheme="minorHAnsi"/>
          <w:color w:val="000000"/>
          <w:sz w:val="24"/>
          <w:szCs w:val="24"/>
        </w:rPr>
        <w:t xml:space="preserve">discuss individual CAR-T cases at a national CAR-T patient meeting. These national meetings </w:t>
      </w:r>
      <w:r w:rsidR="00E3775C">
        <w:rPr>
          <w:rFonts w:asciiTheme="minorHAnsi" w:eastAsia="Segoe UI" w:hAnsiTheme="minorHAnsi" w:cstheme="minorHAnsi"/>
          <w:color w:val="000000"/>
          <w:sz w:val="24"/>
          <w:szCs w:val="24"/>
        </w:rPr>
        <w:t>may</w:t>
      </w:r>
      <w:r w:rsidRPr="00175074">
        <w:rPr>
          <w:rFonts w:asciiTheme="minorHAnsi" w:eastAsia="Segoe UI" w:hAnsiTheme="minorHAnsi" w:cstheme="minorHAnsi"/>
          <w:color w:val="000000"/>
          <w:sz w:val="24"/>
          <w:szCs w:val="24"/>
        </w:rPr>
        <w:t xml:space="preserve"> include CAR-T specialists (including tumour stream leads), treating and referring centre clinical representatives, CAR-T fellows, CART nurse consultants, research nurses, apheresis nurses, cell logistics project managers and the CAR-T program managers.</w:t>
      </w:r>
      <w:r w:rsidR="00E3775C">
        <w:rPr>
          <w:rFonts w:asciiTheme="minorHAnsi" w:eastAsia="Segoe UI" w:hAnsiTheme="minorHAnsi" w:cstheme="minorHAnsi"/>
          <w:color w:val="000000"/>
          <w:sz w:val="24"/>
          <w:szCs w:val="24"/>
        </w:rPr>
        <w:t xml:space="preserve"> </w:t>
      </w:r>
    </w:p>
    <w:p w14:paraId="086991C1" w14:textId="278FE193" w:rsidR="00175074" w:rsidRPr="00175074" w:rsidRDefault="00175074" w:rsidP="007520A6">
      <w:pPr>
        <w:jc w:val="both"/>
        <w:rPr>
          <w:rFonts w:asciiTheme="minorHAnsi" w:eastAsia="Segoe UI" w:hAnsiTheme="minorHAnsi" w:cstheme="minorHAnsi"/>
          <w:color w:val="000000"/>
          <w:sz w:val="24"/>
          <w:szCs w:val="24"/>
        </w:rPr>
      </w:pPr>
      <w:r w:rsidRPr="00DE64B0">
        <w:rPr>
          <w:rFonts w:asciiTheme="minorHAnsi" w:eastAsia="Segoe UI" w:hAnsiTheme="minorHAnsi" w:cstheme="minorHAnsi"/>
          <w:b/>
          <w:bCs/>
          <w:color w:val="000000"/>
          <w:sz w:val="24"/>
          <w:szCs w:val="24"/>
        </w:rPr>
        <w:t>Apheresis</w:t>
      </w:r>
      <w:r w:rsidRPr="00175074">
        <w:rPr>
          <w:rFonts w:asciiTheme="minorHAnsi" w:eastAsia="Segoe UI" w:hAnsiTheme="minorHAnsi" w:cstheme="minorHAnsi"/>
          <w:color w:val="000000"/>
          <w:sz w:val="24"/>
          <w:szCs w:val="24"/>
        </w:rPr>
        <w:t xml:space="preserve">: Once </w:t>
      </w:r>
      <w:r w:rsidR="00634374">
        <w:rPr>
          <w:rFonts w:asciiTheme="minorHAnsi" w:eastAsia="Segoe UI" w:hAnsiTheme="minorHAnsi" w:cstheme="minorHAnsi"/>
          <w:color w:val="000000"/>
          <w:sz w:val="24"/>
          <w:szCs w:val="24"/>
        </w:rPr>
        <w:t>a patient is considered</w:t>
      </w:r>
      <w:r w:rsidRPr="00175074">
        <w:rPr>
          <w:rFonts w:asciiTheme="minorHAnsi" w:eastAsia="Segoe UI" w:hAnsiTheme="minorHAnsi" w:cstheme="minorHAnsi"/>
          <w:color w:val="000000"/>
          <w:sz w:val="24"/>
          <w:szCs w:val="24"/>
        </w:rPr>
        <w:t xml:space="preserve"> </w:t>
      </w:r>
      <w:proofErr w:type="gramStart"/>
      <w:r w:rsidRPr="00175074">
        <w:rPr>
          <w:rFonts w:asciiTheme="minorHAnsi" w:eastAsia="Segoe UI" w:hAnsiTheme="minorHAnsi" w:cstheme="minorHAnsi"/>
          <w:color w:val="000000"/>
          <w:sz w:val="24"/>
          <w:szCs w:val="24"/>
        </w:rPr>
        <w:t>suitable</w:t>
      </w:r>
      <w:proofErr w:type="gramEnd"/>
      <w:r w:rsidRPr="00175074">
        <w:rPr>
          <w:rFonts w:asciiTheme="minorHAnsi" w:eastAsia="Segoe UI" w:hAnsiTheme="minorHAnsi" w:cstheme="minorHAnsi"/>
          <w:color w:val="000000"/>
          <w:sz w:val="24"/>
          <w:szCs w:val="24"/>
        </w:rPr>
        <w:t xml:space="preserve"> </w:t>
      </w:r>
      <w:r w:rsidR="003A4929">
        <w:rPr>
          <w:rFonts w:asciiTheme="minorHAnsi" w:eastAsia="Segoe UI" w:hAnsiTheme="minorHAnsi" w:cstheme="minorHAnsi"/>
          <w:color w:val="000000"/>
          <w:sz w:val="24"/>
          <w:szCs w:val="24"/>
        </w:rPr>
        <w:t>they will be</w:t>
      </w:r>
      <w:r w:rsidR="0048120A">
        <w:rPr>
          <w:rFonts w:asciiTheme="minorHAnsi" w:eastAsia="Segoe UI" w:hAnsiTheme="minorHAnsi" w:cstheme="minorHAnsi"/>
          <w:color w:val="000000"/>
          <w:sz w:val="24"/>
          <w:szCs w:val="24"/>
        </w:rPr>
        <w:t xml:space="preserve"> enrolled </w:t>
      </w:r>
      <w:r w:rsidRPr="00175074">
        <w:rPr>
          <w:rFonts w:asciiTheme="minorHAnsi" w:eastAsia="Segoe UI" w:hAnsiTheme="minorHAnsi" w:cstheme="minorHAnsi"/>
          <w:color w:val="000000"/>
          <w:sz w:val="24"/>
          <w:szCs w:val="24"/>
        </w:rPr>
        <w:t>for cilta-cel</w:t>
      </w:r>
      <w:r w:rsidR="00877674">
        <w:rPr>
          <w:rFonts w:asciiTheme="minorHAnsi" w:eastAsia="Segoe UI" w:hAnsiTheme="minorHAnsi" w:cstheme="minorHAnsi"/>
          <w:color w:val="000000"/>
          <w:sz w:val="24"/>
          <w:szCs w:val="24"/>
        </w:rPr>
        <w:t xml:space="preserve"> through CQUENCE</w:t>
      </w:r>
      <w:r w:rsidR="003201DE">
        <w:rPr>
          <w:rFonts w:asciiTheme="minorHAnsi" w:eastAsia="Segoe UI" w:hAnsiTheme="minorHAnsi" w:cstheme="minorHAnsi"/>
          <w:color w:val="000000"/>
          <w:sz w:val="24"/>
          <w:szCs w:val="24"/>
        </w:rPr>
        <w:t>, the Johnson &amp; Johnson digital ordering platform</w:t>
      </w:r>
      <w:r w:rsidR="003A4929">
        <w:rPr>
          <w:rFonts w:asciiTheme="minorHAnsi" w:eastAsia="Segoe UI" w:hAnsiTheme="minorHAnsi" w:cstheme="minorHAnsi"/>
          <w:color w:val="000000"/>
          <w:sz w:val="24"/>
          <w:szCs w:val="24"/>
        </w:rPr>
        <w:t>.</w:t>
      </w:r>
      <w:r w:rsidR="003A4929" w:rsidRPr="00175074">
        <w:rPr>
          <w:rFonts w:asciiTheme="minorHAnsi" w:eastAsia="Segoe UI" w:hAnsiTheme="minorHAnsi" w:cstheme="minorHAnsi"/>
          <w:color w:val="000000"/>
          <w:sz w:val="24"/>
          <w:szCs w:val="24"/>
        </w:rPr>
        <w:t xml:space="preserve"> </w:t>
      </w:r>
      <w:r w:rsidR="003A4929">
        <w:rPr>
          <w:rFonts w:asciiTheme="minorHAnsi" w:eastAsia="Segoe UI" w:hAnsiTheme="minorHAnsi" w:cstheme="minorHAnsi"/>
          <w:color w:val="000000"/>
          <w:sz w:val="24"/>
          <w:szCs w:val="24"/>
        </w:rPr>
        <w:t>P</w:t>
      </w:r>
      <w:r w:rsidRPr="00175074">
        <w:rPr>
          <w:rFonts w:asciiTheme="minorHAnsi" w:eastAsia="Segoe UI" w:hAnsiTheme="minorHAnsi" w:cstheme="minorHAnsi"/>
          <w:color w:val="000000"/>
          <w:sz w:val="24"/>
          <w:szCs w:val="24"/>
        </w:rPr>
        <w:t>atients will</w:t>
      </w:r>
      <w:r w:rsidR="003A4929">
        <w:rPr>
          <w:rFonts w:asciiTheme="minorHAnsi" w:eastAsia="Segoe UI" w:hAnsiTheme="minorHAnsi" w:cstheme="minorHAnsi"/>
          <w:color w:val="000000"/>
          <w:sz w:val="24"/>
          <w:szCs w:val="24"/>
        </w:rPr>
        <w:t xml:space="preserve"> then</w:t>
      </w:r>
      <w:r w:rsidRPr="00175074">
        <w:rPr>
          <w:rFonts w:asciiTheme="minorHAnsi" w:eastAsia="Segoe UI" w:hAnsiTheme="minorHAnsi" w:cstheme="minorHAnsi"/>
          <w:color w:val="000000"/>
          <w:sz w:val="24"/>
          <w:szCs w:val="24"/>
        </w:rPr>
        <w:t xml:space="preserve"> undergo a standard apheresis process to collect white blood cells (WBC). The T cells </w:t>
      </w:r>
      <w:r w:rsidR="009918FA">
        <w:rPr>
          <w:rFonts w:asciiTheme="minorHAnsi" w:eastAsia="Segoe UI" w:hAnsiTheme="minorHAnsi" w:cstheme="minorHAnsi"/>
          <w:color w:val="000000"/>
          <w:sz w:val="24"/>
          <w:szCs w:val="24"/>
        </w:rPr>
        <w:t>(</w:t>
      </w:r>
      <w:r w:rsidR="00F833F5">
        <w:rPr>
          <w:rFonts w:asciiTheme="minorHAnsi" w:eastAsia="Segoe UI" w:hAnsiTheme="minorHAnsi" w:cstheme="minorHAnsi"/>
          <w:color w:val="000000"/>
          <w:sz w:val="24"/>
          <w:szCs w:val="24"/>
        </w:rPr>
        <w:t xml:space="preserve">a type of WBC) </w:t>
      </w:r>
      <w:r w:rsidRPr="00175074">
        <w:rPr>
          <w:rFonts w:asciiTheme="minorHAnsi" w:eastAsia="Segoe UI" w:hAnsiTheme="minorHAnsi" w:cstheme="minorHAnsi"/>
          <w:color w:val="000000"/>
          <w:sz w:val="24"/>
          <w:szCs w:val="24"/>
        </w:rPr>
        <w:t>from apheresis will be collected for transduction and undergo expansion to manufacture cilta-cel. Apheresis is performed according to institutional standards, with a collection target of 9.0 ± 3.0 × 10</w:t>
      </w:r>
      <w:r w:rsidRPr="004F4FB0">
        <w:rPr>
          <w:rFonts w:asciiTheme="minorHAnsi" w:eastAsia="Segoe UI" w:hAnsiTheme="minorHAnsi" w:cstheme="minorHAnsi"/>
          <w:color w:val="000000"/>
          <w:sz w:val="24"/>
          <w:szCs w:val="24"/>
          <w:vertAlign w:val="superscript"/>
        </w:rPr>
        <w:t>9</w:t>
      </w:r>
      <w:r w:rsidRPr="00175074">
        <w:rPr>
          <w:rFonts w:asciiTheme="minorHAnsi" w:eastAsia="Segoe UI" w:hAnsiTheme="minorHAnsi" w:cstheme="minorHAnsi"/>
          <w:color w:val="000000"/>
          <w:sz w:val="24"/>
          <w:szCs w:val="24"/>
        </w:rPr>
        <w:t xml:space="preserve"> WBC. A minimum of ≥ 1.0 × 10</w:t>
      </w:r>
      <w:r w:rsidRPr="004F4FB0">
        <w:rPr>
          <w:rFonts w:asciiTheme="minorHAnsi" w:eastAsia="Segoe UI" w:hAnsiTheme="minorHAnsi" w:cstheme="minorHAnsi"/>
          <w:color w:val="000000"/>
          <w:sz w:val="24"/>
          <w:szCs w:val="24"/>
          <w:vertAlign w:val="superscript"/>
        </w:rPr>
        <w:t>9</w:t>
      </w:r>
      <w:r w:rsidRPr="00175074">
        <w:rPr>
          <w:rFonts w:asciiTheme="minorHAnsi" w:eastAsia="Segoe UI" w:hAnsiTheme="minorHAnsi" w:cstheme="minorHAnsi"/>
          <w:color w:val="000000"/>
          <w:sz w:val="24"/>
          <w:szCs w:val="24"/>
        </w:rPr>
        <w:t xml:space="preserve"> WBC is required. Various specialised apheresis systems are available for this process. The apheresis machine is a multi-use consumable. Single-use consumables include tubing, sets, bowls, anticoagulant and replacement fluids. </w:t>
      </w:r>
    </w:p>
    <w:p w14:paraId="55096158" w14:textId="26FCD9EF" w:rsidR="00175074" w:rsidRPr="00175074" w:rsidRDefault="008211F9" w:rsidP="007520A6">
      <w:pPr>
        <w:jc w:val="both"/>
        <w:rPr>
          <w:rFonts w:asciiTheme="minorHAnsi" w:eastAsia="Segoe UI" w:hAnsiTheme="minorHAnsi" w:cstheme="minorHAnsi"/>
          <w:color w:val="000000"/>
          <w:sz w:val="24"/>
          <w:szCs w:val="24"/>
        </w:rPr>
      </w:pPr>
      <w:r>
        <w:rPr>
          <w:rFonts w:asciiTheme="minorHAnsi" w:eastAsia="Segoe UI" w:hAnsiTheme="minorHAnsi" w:cstheme="minorHAnsi"/>
          <w:color w:val="000000"/>
          <w:sz w:val="24"/>
          <w:szCs w:val="24"/>
        </w:rPr>
        <w:t>In the current process</w:t>
      </w:r>
      <w:r w:rsidR="00D90BF7">
        <w:rPr>
          <w:rFonts w:asciiTheme="minorHAnsi" w:eastAsia="Segoe UI" w:hAnsiTheme="minorHAnsi" w:cstheme="minorHAnsi"/>
          <w:color w:val="000000"/>
          <w:sz w:val="24"/>
          <w:szCs w:val="24"/>
        </w:rPr>
        <w:t>, f</w:t>
      </w:r>
      <w:r w:rsidR="00175074" w:rsidRPr="00175074">
        <w:rPr>
          <w:rFonts w:asciiTheme="minorHAnsi" w:eastAsia="Segoe UI" w:hAnsiTheme="minorHAnsi" w:cstheme="minorHAnsi"/>
          <w:color w:val="000000"/>
          <w:sz w:val="24"/>
          <w:szCs w:val="24"/>
        </w:rPr>
        <w:t xml:space="preserve">resh cell collection from apheresis </w:t>
      </w:r>
      <w:r>
        <w:rPr>
          <w:rFonts w:asciiTheme="minorHAnsi" w:eastAsia="Segoe UI" w:hAnsiTheme="minorHAnsi" w:cstheme="minorHAnsi"/>
          <w:color w:val="000000"/>
          <w:sz w:val="24"/>
          <w:szCs w:val="24"/>
        </w:rPr>
        <w:t>is</w:t>
      </w:r>
      <w:r w:rsidR="00175074" w:rsidRPr="00175074">
        <w:rPr>
          <w:rFonts w:asciiTheme="minorHAnsi" w:eastAsia="Segoe UI" w:hAnsiTheme="minorHAnsi" w:cstheme="minorHAnsi"/>
          <w:color w:val="000000"/>
          <w:sz w:val="24"/>
          <w:szCs w:val="24"/>
        </w:rPr>
        <w:t xml:space="preserve"> shipped to Cell Therapies Pty Ltd, in Melbourne for cryopreservation. From Cell Therapies, cryopreserved cells will be cold chain transported to the Janssen manufacturing centre in Raritan (New Jersey, USA). It is anticipated that the related clinical and logistical implications of the cilta-cel program on cell collection costings </w:t>
      </w:r>
      <w:r w:rsidR="00A50264">
        <w:rPr>
          <w:rFonts w:asciiTheme="minorHAnsi" w:eastAsia="Segoe UI" w:hAnsiTheme="minorHAnsi" w:cstheme="minorHAnsi"/>
          <w:color w:val="000000"/>
          <w:sz w:val="24"/>
          <w:szCs w:val="24"/>
        </w:rPr>
        <w:t xml:space="preserve">for 2L+ MM </w:t>
      </w:r>
      <w:r w:rsidR="00175074" w:rsidRPr="00175074">
        <w:rPr>
          <w:rFonts w:asciiTheme="minorHAnsi" w:eastAsia="Segoe UI" w:hAnsiTheme="minorHAnsi" w:cstheme="minorHAnsi"/>
          <w:color w:val="000000"/>
          <w:sz w:val="24"/>
          <w:szCs w:val="24"/>
        </w:rPr>
        <w:t>are expected to be minimal given the current state of preparedness for existing standard of care CAR-T therapies in Australia</w:t>
      </w:r>
      <w:r w:rsidR="00FE0321">
        <w:rPr>
          <w:rFonts w:asciiTheme="minorHAnsi" w:eastAsia="Segoe UI" w:hAnsiTheme="minorHAnsi" w:cstheme="minorHAnsi"/>
          <w:color w:val="000000"/>
          <w:sz w:val="24"/>
          <w:szCs w:val="24"/>
        </w:rPr>
        <w:t>, including cilta-cel for 5L+ MM</w:t>
      </w:r>
      <w:r w:rsidR="00175074" w:rsidRPr="00175074">
        <w:rPr>
          <w:rFonts w:asciiTheme="minorHAnsi" w:eastAsia="Segoe UI" w:hAnsiTheme="minorHAnsi" w:cstheme="minorHAnsi"/>
          <w:color w:val="000000"/>
          <w:sz w:val="24"/>
          <w:szCs w:val="24"/>
        </w:rPr>
        <w:t>.</w:t>
      </w:r>
    </w:p>
    <w:p w14:paraId="63E84AB4" w14:textId="52963BB4" w:rsidR="00175074" w:rsidRPr="00175074" w:rsidRDefault="00175074" w:rsidP="007520A6">
      <w:pPr>
        <w:jc w:val="both"/>
        <w:rPr>
          <w:rFonts w:asciiTheme="minorHAnsi" w:eastAsia="Segoe UI" w:hAnsiTheme="minorHAnsi" w:cstheme="minorHAnsi"/>
          <w:color w:val="000000"/>
          <w:sz w:val="24"/>
          <w:szCs w:val="24"/>
        </w:rPr>
      </w:pPr>
      <w:r w:rsidRPr="00DE64B0">
        <w:rPr>
          <w:rFonts w:asciiTheme="minorHAnsi" w:eastAsia="Segoe UI" w:hAnsiTheme="minorHAnsi" w:cstheme="minorHAnsi"/>
          <w:b/>
          <w:bCs/>
          <w:color w:val="000000"/>
          <w:sz w:val="24"/>
          <w:szCs w:val="24"/>
        </w:rPr>
        <w:t>Bridging therapy</w:t>
      </w:r>
      <w:r w:rsidRPr="00175074">
        <w:rPr>
          <w:rFonts w:asciiTheme="minorHAnsi" w:eastAsia="Segoe UI" w:hAnsiTheme="minorHAnsi" w:cstheme="minorHAnsi"/>
          <w:color w:val="000000"/>
          <w:sz w:val="24"/>
          <w:szCs w:val="24"/>
        </w:rPr>
        <w:t xml:space="preserve">: Most patients receive bridging therapy as per clinical indication to maintain disease stability during the period of production of cilta-cel. Following cell collection, a patient’s status </w:t>
      </w:r>
      <w:r w:rsidR="0037400C">
        <w:rPr>
          <w:rFonts w:asciiTheme="minorHAnsi" w:eastAsia="Segoe UI" w:hAnsiTheme="minorHAnsi" w:cstheme="minorHAnsi"/>
          <w:color w:val="000000"/>
          <w:sz w:val="24"/>
          <w:szCs w:val="24"/>
        </w:rPr>
        <w:t>must</w:t>
      </w:r>
      <w:r w:rsidRPr="00175074">
        <w:rPr>
          <w:rFonts w:asciiTheme="minorHAnsi" w:eastAsia="Segoe UI" w:hAnsiTheme="minorHAnsi" w:cstheme="minorHAnsi"/>
          <w:color w:val="000000"/>
          <w:sz w:val="24"/>
          <w:szCs w:val="24"/>
        </w:rPr>
        <w:t xml:space="preserve"> be maintained until the cells are manufactured and delivered back to the treatment site by bridging therapy. The clinical goal of bridging therapy is to achieve disease control of the myeloma ahead of CAR-T infusion</w:t>
      </w:r>
      <w:r w:rsidR="001172B9">
        <w:rPr>
          <w:rFonts w:asciiTheme="minorHAnsi" w:eastAsia="Segoe UI" w:hAnsiTheme="minorHAnsi" w:cstheme="minorHAnsi"/>
          <w:color w:val="000000"/>
          <w:sz w:val="24"/>
          <w:szCs w:val="24"/>
        </w:rPr>
        <w:t xml:space="preserve"> (i.e., prevent disease progression during the manufacturing process)</w:t>
      </w:r>
      <w:r w:rsidRPr="00175074">
        <w:rPr>
          <w:rFonts w:asciiTheme="minorHAnsi" w:eastAsia="Segoe UI" w:hAnsiTheme="minorHAnsi" w:cstheme="minorHAnsi"/>
          <w:color w:val="000000"/>
          <w:sz w:val="24"/>
          <w:szCs w:val="24"/>
        </w:rPr>
        <w:t>.</w:t>
      </w:r>
      <w:r w:rsidR="008A784B">
        <w:rPr>
          <w:rFonts w:asciiTheme="minorHAnsi" w:eastAsia="Segoe UI" w:hAnsiTheme="minorHAnsi" w:cstheme="minorHAnsi"/>
          <w:color w:val="000000"/>
          <w:sz w:val="24"/>
          <w:szCs w:val="24"/>
        </w:rPr>
        <w:t xml:space="preserve"> This</w:t>
      </w:r>
      <w:r w:rsidR="00DC72D0">
        <w:rPr>
          <w:rFonts w:asciiTheme="minorHAnsi" w:eastAsia="Segoe UI" w:hAnsiTheme="minorHAnsi" w:cstheme="minorHAnsi"/>
          <w:color w:val="000000"/>
          <w:sz w:val="24"/>
          <w:szCs w:val="24"/>
        </w:rPr>
        <w:t xml:space="preserve"> is an important step in the process, </w:t>
      </w:r>
      <w:r w:rsidR="00DC7FB0">
        <w:rPr>
          <w:rFonts w:asciiTheme="minorHAnsi" w:eastAsia="Segoe UI" w:hAnsiTheme="minorHAnsi" w:cstheme="minorHAnsi"/>
          <w:color w:val="000000"/>
          <w:sz w:val="24"/>
          <w:szCs w:val="24"/>
        </w:rPr>
        <w:t>as</w:t>
      </w:r>
      <w:r w:rsidR="00DC72D0">
        <w:rPr>
          <w:rFonts w:asciiTheme="minorHAnsi" w:eastAsia="Segoe UI" w:hAnsiTheme="minorHAnsi" w:cstheme="minorHAnsi"/>
          <w:color w:val="000000"/>
          <w:sz w:val="24"/>
          <w:szCs w:val="24"/>
        </w:rPr>
        <w:t xml:space="preserve"> effective bridging therapy </w:t>
      </w:r>
      <w:r w:rsidR="00F93D68">
        <w:rPr>
          <w:rFonts w:asciiTheme="minorHAnsi" w:eastAsia="Segoe UI" w:hAnsiTheme="minorHAnsi" w:cstheme="minorHAnsi"/>
          <w:color w:val="000000"/>
          <w:sz w:val="24"/>
          <w:szCs w:val="24"/>
        </w:rPr>
        <w:t xml:space="preserve">reduces the potential for CAR-T related toxicities and </w:t>
      </w:r>
      <w:r w:rsidR="00DC72D0">
        <w:rPr>
          <w:rFonts w:asciiTheme="minorHAnsi" w:eastAsia="Segoe UI" w:hAnsiTheme="minorHAnsi" w:cstheme="minorHAnsi"/>
          <w:color w:val="000000"/>
          <w:sz w:val="24"/>
          <w:szCs w:val="24"/>
        </w:rPr>
        <w:t>supports the achievement of optimal long</w:t>
      </w:r>
      <w:r w:rsidR="00BD4AB3">
        <w:rPr>
          <w:rFonts w:asciiTheme="minorHAnsi" w:eastAsia="Segoe UI" w:hAnsiTheme="minorHAnsi" w:cstheme="minorHAnsi"/>
          <w:color w:val="000000"/>
          <w:sz w:val="24"/>
          <w:szCs w:val="24"/>
        </w:rPr>
        <w:t>-</w:t>
      </w:r>
      <w:r w:rsidR="00DC72D0">
        <w:rPr>
          <w:rFonts w:asciiTheme="minorHAnsi" w:eastAsia="Segoe UI" w:hAnsiTheme="minorHAnsi" w:cstheme="minorHAnsi"/>
          <w:color w:val="000000"/>
          <w:sz w:val="24"/>
          <w:szCs w:val="24"/>
        </w:rPr>
        <w:t xml:space="preserve">term outcomes. </w:t>
      </w:r>
    </w:p>
    <w:p w14:paraId="09397AB8" w14:textId="2EF7031D" w:rsidR="00175074" w:rsidRPr="00175074" w:rsidRDefault="00175074" w:rsidP="007520A6">
      <w:pPr>
        <w:jc w:val="both"/>
        <w:rPr>
          <w:rFonts w:asciiTheme="minorHAnsi" w:eastAsia="Segoe UI" w:hAnsiTheme="minorHAnsi" w:cstheme="minorHAnsi"/>
          <w:color w:val="000000"/>
          <w:sz w:val="24"/>
          <w:szCs w:val="24"/>
        </w:rPr>
      </w:pPr>
      <w:r w:rsidRPr="00D57B20">
        <w:rPr>
          <w:rFonts w:asciiTheme="minorHAnsi" w:eastAsia="Segoe UI" w:hAnsiTheme="minorHAnsi" w:cstheme="minorHAnsi"/>
          <w:color w:val="000000"/>
          <w:sz w:val="24"/>
          <w:szCs w:val="24"/>
        </w:rPr>
        <w:lastRenderedPageBreak/>
        <w:t>In the CARTITUDE-</w:t>
      </w:r>
      <w:r w:rsidR="00027E8B" w:rsidRPr="00D57B20">
        <w:rPr>
          <w:rFonts w:asciiTheme="minorHAnsi" w:eastAsia="Segoe UI" w:hAnsiTheme="minorHAnsi" w:cstheme="minorHAnsi"/>
          <w:color w:val="000000"/>
          <w:sz w:val="24"/>
          <w:szCs w:val="24"/>
        </w:rPr>
        <w:t>4</w:t>
      </w:r>
      <w:r w:rsidRPr="00D57B20">
        <w:rPr>
          <w:rFonts w:asciiTheme="minorHAnsi" w:eastAsia="Segoe UI" w:hAnsiTheme="minorHAnsi" w:cstheme="minorHAnsi"/>
          <w:color w:val="000000"/>
          <w:sz w:val="24"/>
          <w:szCs w:val="24"/>
        </w:rPr>
        <w:t xml:space="preserve"> study</w:t>
      </w:r>
      <w:r w:rsidR="000038B7" w:rsidRPr="00D57B20">
        <w:rPr>
          <w:rFonts w:asciiTheme="minorHAnsi" w:eastAsia="Segoe UI" w:hAnsiTheme="minorHAnsi" w:cstheme="minorHAnsi"/>
          <w:color w:val="000000"/>
          <w:sz w:val="24"/>
          <w:szCs w:val="24"/>
        </w:rPr>
        <w:t>,</w:t>
      </w:r>
      <w:r w:rsidRPr="00D57B20">
        <w:rPr>
          <w:rFonts w:asciiTheme="minorHAnsi" w:eastAsia="Segoe UI" w:hAnsiTheme="minorHAnsi" w:cstheme="minorHAnsi"/>
          <w:color w:val="000000"/>
          <w:sz w:val="24"/>
          <w:szCs w:val="24"/>
        </w:rPr>
        <w:t xml:space="preserve"> the </w:t>
      </w:r>
      <w:r w:rsidR="00160E32" w:rsidRPr="00D57B20">
        <w:rPr>
          <w:rFonts w:asciiTheme="minorHAnsi" w:eastAsia="Segoe UI" w:hAnsiTheme="minorHAnsi" w:cstheme="minorHAnsi"/>
          <w:color w:val="000000"/>
          <w:sz w:val="24"/>
          <w:szCs w:val="24"/>
        </w:rPr>
        <w:t>median</w:t>
      </w:r>
      <w:r w:rsidRPr="00D57B20">
        <w:rPr>
          <w:rFonts w:asciiTheme="minorHAnsi" w:eastAsia="Segoe UI" w:hAnsiTheme="minorHAnsi" w:cstheme="minorHAnsi"/>
          <w:color w:val="000000"/>
          <w:sz w:val="24"/>
          <w:szCs w:val="24"/>
        </w:rPr>
        <w:t xml:space="preserve"> </w:t>
      </w:r>
      <w:r w:rsidR="00EF38B9" w:rsidRPr="00D57B20">
        <w:rPr>
          <w:rFonts w:asciiTheme="minorHAnsi" w:eastAsia="Segoe UI" w:hAnsiTheme="minorHAnsi" w:cstheme="minorHAnsi"/>
          <w:color w:val="000000"/>
          <w:sz w:val="24"/>
          <w:szCs w:val="24"/>
        </w:rPr>
        <w:t xml:space="preserve">number of </w:t>
      </w:r>
      <w:r w:rsidR="009647CF">
        <w:rPr>
          <w:rFonts w:asciiTheme="minorHAnsi" w:eastAsia="Segoe UI" w:hAnsiTheme="minorHAnsi" w:cstheme="minorHAnsi"/>
          <w:color w:val="000000"/>
          <w:sz w:val="24"/>
          <w:szCs w:val="24"/>
        </w:rPr>
        <w:t xml:space="preserve">cycles of </w:t>
      </w:r>
      <w:r w:rsidRPr="00D57B20">
        <w:rPr>
          <w:rFonts w:asciiTheme="minorHAnsi" w:eastAsia="Segoe UI" w:hAnsiTheme="minorHAnsi" w:cstheme="minorHAnsi"/>
          <w:color w:val="000000"/>
          <w:sz w:val="24"/>
          <w:szCs w:val="24"/>
        </w:rPr>
        <w:t xml:space="preserve">bridging therapy was </w:t>
      </w:r>
      <w:r w:rsidR="00EF38B9" w:rsidRPr="00D57B20">
        <w:rPr>
          <w:rFonts w:asciiTheme="minorHAnsi" w:eastAsia="Segoe UI" w:hAnsiTheme="minorHAnsi" w:cstheme="minorHAnsi"/>
          <w:color w:val="000000"/>
          <w:sz w:val="24"/>
          <w:szCs w:val="24"/>
        </w:rPr>
        <w:t>2</w:t>
      </w:r>
      <w:r w:rsidRPr="00D57B20">
        <w:rPr>
          <w:rFonts w:asciiTheme="minorHAnsi" w:eastAsia="Segoe UI" w:hAnsiTheme="minorHAnsi" w:cstheme="minorHAnsi"/>
          <w:color w:val="000000"/>
          <w:sz w:val="24"/>
          <w:szCs w:val="24"/>
        </w:rPr>
        <w:t xml:space="preserve"> </w:t>
      </w:r>
      <w:r w:rsidR="00F91CEF" w:rsidRPr="00D57B20">
        <w:rPr>
          <w:rFonts w:asciiTheme="minorHAnsi" w:eastAsia="Segoe UI" w:hAnsiTheme="minorHAnsi" w:cstheme="minorHAnsi"/>
          <w:color w:val="000000"/>
          <w:sz w:val="24"/>
          <w:szCs w:val="24"/>
        </w:rPr>
        <w:t>cycles</w:t>
      </w:r>
      <w:r w:rsidRPr="00D57B20">
        <w:rPr>
          <w:rFonts w:asciiTheme="minorHAnsi" w:eastAsia="Segoe UI" w:hAnsiTheme="minorHAnsi" w:cstheme="minorHAnsi"/>
          <w:color w:val="000000"/>
          <w:sz w:val="24"/>
          <w:szCs w:val="24"/>
        </w:rPr>
        <w:t xml:space="preserve">. </w:t>
      </w:r>
      <w:r w:rsidR="003717DE" w:rsidRPr="00D57B20">
        <w:rPr>
          <w:rFonts w:asciiTheme="minorHAnsi" w:eastAsia="Segoe UI" w:hAnsiTheme="minorHAnsi" w:cstheme="minorHAnsi"/>
          <w:color w:val="000000"/>
          <w:sz w:val="24"/>
          <w:szCs w:val="24"/>
        </w:rPr>
        <w:t xml:space="preserve">This is expected to be consistent with the average duration of bridging therapy </w:t>
      </w:r>
      <w:r w:rsidRPr="00D57B20">
        <w:rPr>
          <w:rFonts w:asciiTheme="minorHAnsi" w:eastAsia="Segoe UI" w:hAnsiTheme="minorHAnsi" w:cstheme="minorHAnsi"/>
          <w:color w:val="000000"/>
          <w:sz w:val="24"/>
          <w:szCs w:val="24"/>
        </w:rPr>
        <w:t xml:space="preserve">required for each patient receiving cilta-cel </w:t>
      </w:r>
      <w:r w:rsidR="003717DE" w:rsidRPr="00D57B20">
        <w:rPr>
          <w:rFonts w:asciiTheme="minorHAnsi" w:eastAsia="Segoe UI" w:hAnsiTheme="minorHAnsi" w:cstheme="minorHAnsi"/>
          <w:color w:val="000000"/>
          <w:sz w:val="24"/>
          <w:szCs w:val="24"/>
        </w:rPr>
        <w:t xml:space="preserve">in Australian clinical practice </w:t>
      </w:r>
      <w:r w:rsidRPr="00D57B20">
        <w:rPr>
          <w:rFonts w:asciiTheme="minorHAnsi" w:eastAsia="Segoe UI" w:hAnsiTheme="minorHAnsi" w:cstheme="minorHAnsi"/>
          <w:color w:val="000000"/>
          <w:sz w:val="24"/>
          <w:szCs w:val="24"/>
        </w:rPr>
        <w:t xml:space="preserve">based on local expert clinical advice. While bridging requirements may change and/or be jurisdiction specific (e.g. in part dependent on what is approved by the PBS in Australia), patients </w:t>
      </w:r>
      <w:r w:rsidR="00F1128E">
        <w:rPr>
          <w:rFonts w:asciiTheme="minorHAnsi" w:eastAsia="Segoe UI" w:hAnsiTheme="minorHAnsi" w:cstheme="minorHAnsi"/>
          <w:color w:val="000000"/>
          <w:sz w:val="24"/>
          <w:szCs w:val="24"/>
        </w:rPr>
        <w:t xml:space="preserve">are most likely to be treated with an agent they </w:t>
      </w:r>
      <w:r w:rsidR="0039483C">
        <w:rPr>
          <w:rFonts w:asciiTheme="minorHAnsi" w:eastAsia="Segoe UI" w:hAnsiTheme="minorHAnsi" w:cstheme="minorHAnsi"/>
          <w:color w:val="000000"/>
          <w:sz w:val="24"/>
          <w:szCs w:val="24"/>
        </w:rPr>
        <w:t xml:space="preserve">have not previously received </w:t>
      </w:r>
      <w:r w:rsidR="00886E99">
        <w:rPr>
          <w:rFonts w:asciiTheme="minorHAnsi" w:eastAsia="Segoe UI" w:hAnsiTheme="minorHAnsi" w:cstheme="minorHAnsi"/>
          <w:color w:val="000000"/>
          <w:sz w:val="24"/>
          <w:szCs w:val="24"/>
        </w:rPr>
        <w:t>(when possible)</w:t>
      </w:r>
      <w:r w:rsidR="00B407CE">
        <w:rPr>
          <w:rFonts w:asciiTheme="minorHAnsi" w:eastAsia="Segoe UI" w:hAnsiTheme="minorHAnsi" w:cstheme="minorHAnsi"/>
          <w:color w:val="000000"/>
          <w:sz w:val="24"/>
          <w:szCs w:val="24"/>
        </w:rPr>
        <w:t>.</w:t>
      </w:r>
    </w:p>
    <w:p w14:paraId="7D25A02F" w14:textId="60F0FACC" w:rsidR="00175074" w:rsidRPr="00175074" w:rsidRDefault="5BA617D6" w:rsidP="4355BCE7">
      <w:pPr>
        <w:jc w:val="both"/>
        <w:rPr>
          <w:rFonts w:asciiTheme="minorHAnsi" w:eastAsia="Segoe UI" w:hAnsiTheme="minorHAnsi" w:cstheme="minorBidi"/>
          <w:color w:val="000000"/>
          <w:sz w:val="24"/>
          <w:szCs w:val="24"/>
        </w:rPr>
      </w:pPr>
      <w:r w:rsidRPr="4355BCE7">
        <w:rPr>
          <w:rFonts w:asciiTheme="minorHAnsi" w:eastAsia="Segoe UI" w:hAnsiTheme="minorHAnsi" w:cstheme="minorBidi"/>
          <w:b/>
          <w:bCs/>
          <w:color w:val="000000" w:themeColor="text1"/>
          <w:sz w:val="24"/>
          <w:szCs w:val="24"/>
        </w:rPr>
        <w:t>Manufacture of cilta-cel</w:t>
      </w:r>
      <w:r w:rsidRPr="4355BCE7">
        <w:rPr>
          <w:rFonts w:asciiTheme="minorHAnsi" w:eastAsia="Segoe UI" w:hAnsiTheme="minorHAnsi" w:cstheme="minorBidi"/>
          <w:color w:val="000000" w:themeColor="text1"/>
          <w:sz w:val="24"/>
          <w:szCs w:val="24"/>
        </w:rPr>
        <w:t xml:space="preserve">: The </w:t>
      </w:r>
      <w:r w:rsidR="00FA6D5A">
        <w:rPr>
          <w:rFonts w:asciiTheme="minorHAnsi" w:eastAsia="Segoe UI" w:hAnsiTheme="minorHAnsi" w:cstheme="minorBidi"/>
          <w:color w:val="000000" w:themeColor="text1"/>
          <w:sz w:val="24"/>
          <w:szCs w:val="24"/>
        </w:rPr>
        <w:t>WBC</w:t>
      </w:r>
      <w:r w:rsidRPr="4355BCE7">
        <w:rPr>
          <w:rFonts w:asciiTheme="minorHAnsi" w:eastAsia="Segoe UI" w:hAnsiTheme="minorHAnsi" w:cstheme="minorBidi"/>
          <w:color w:val="000000" w:themeColor="text1"/>
          <w:sz w:val="24"/>
          <w:szCs w:val="24"/>
        </w:rPr>
        <w:t xml:space="preserve"> are enriched for T-cells and genetically modified ex vivo by transduction with a replication incompetent lentiviral vector to express a chimeric antigen receptor (CAR) comprising an anti-BCMA targeting domain. The transduced anti-BCMA CAR T-cells are expanded in cell culture, washed, formulated into a suspension and cryopreserved. The product must pass a sterility test before release for shipping as a frozen suspension in a patient-specific infusion bag. The drug product infusion bag is individually packed in an aluminium </w:t>
      </w:r>
      <w:proofErr w:type="spellStart"/>
      <w:r w:rsidRPr="4355BCE7">
        <w:rPr>
          <w:rFonts w:asciiTheme="minorHAnsi" w:eastAsia="Segoe UI" w:hAnsiTheme="minorHAnsi" w:cstheme="minorBidi"/>
          <w:color w:val="000000" w:themeColor="text1"/>
          <w:sz w:val="24"/>
          <w:szCs w:val="24"/>
        </w:rPr>
        <w:t>cryo</w:t>
      </w:r>
      <w:proofErr w:type="spellEnd"/>
      <w:r w:rsidRPr="4355BCE7">
        <w:rPr>
          <w:rFonts w:asciiTheme="minorHAnsi" w:eastAsia="Segoe UI" w:hAnsiTheme="minorHAnsi" w:cstheme="minorBidi"/>
          <w:color w:val="000000" w:themeColor="text1"/>
          <w:sz w:val="24"/>
          <w:szCs w:val="24"/>
        </w:rPr>
        <w:t xml:space="preserve"> cassette prior to cryopreservation. </w:t>
      </w:r>
      <w:r w:rsidR="00277E5F">
        <w:rPr>
          <w:rFonts w:asciiTheme="minorHAnsi" w:eastAsia="Segoe UI" w:hAnsiTheme="minorHAnsi" w:cstheme="minorBidi"/>
          <w:color w:val="000000" w:themeColor="text1"/>
          <w:sz w:val="24"/>
          <w:szCs w:val="24"/>
        </w:rPr>
        <w:t>Currently</w:t>
      </w:r>
      <w:r w:rsidR="00135DF8">
        <w:rPr>
          <w:rFonts w:asciiTheme="minorHAnsi" w:eastAsia="Segoe UI" w:hAnsiTheme="minorHAnsi" w:cstheme="minorBidi"/>
          <w:color w:val="000000" w:themeColor="text1"/>
          <w:sz w:val="24"/>
          <w:szCs w:val="24"/>
        </w:rPr>
        <w:t>,</w:t>
      </w:r>
      <w:r w:rsidR="00277E5F">
        <w:rPr>
          <w:rFonts w:asciiTheme="minorHAnsi" w:eastAsia="Segoe UI" w:hAnsiTheme="minorHAnsi" w:cstheme="minorBidi"/>
          <w:color w:val="000000" w:themeColor="text1"/>
          <w:sz w:val="24"/>
          <w:szCs w:val="24"/>
        </w:rPr>
        <w:t xml:space="preserve"> once</w:t>
      </w:r>
      <w:r w:rsidRPr="4355BCE7">
        <w:rPr>
          <w:rFonts w:asciiTheme="minorHAnsi" w:eastAsia="Segoe UI" w:hAnsiTheme="minorHAnsi" w:cstheme="minorBidi"/>
          <w:color w:val="000000" w:themeColor="text1"/>
          <w:sz w:val="24"/>
          <w:szCs w:val="24"/>
        </w:rPr>
        <w:t xml:space="preserve"> the CAR-T product is manufactured, it will undergo full QA release at Raritan, then cold chain transported directly to </w:t>
      </w:r>
      <w:r w:rsidR="00E4584B">
        <w:rPr>
          <w:rFonts w:asciiTheme="minorHAnsi" w:eastAsia="Segoe UI" w:hAnsiTheme="minorHAnsi" w:cstheme="minorBidi"/>
          <w:color w:val="000000" w:themeColor="text1"/>
          <w:sz w:val="24"/>
          <w:szCs w:val="24"/>
        </w:rPr>
        <w:t>the applicable treatment centre</w:t>
      </w:r>
      <w:r w:rsidRPr="4355BCE7">
        <w:rPr>
          <w:rFonts w:asciiTheme="minorHAnsi" w:eastAsia="Segoe UI" w:hAnsiTheme="minorHAnsi" w:cstheme="minorBidi"/>
          <w:color w:val="000000" w:themeColor="text1"/>
          <w:sz w:val="24"/>
          <w:szCs w:val="24"/>
        </w:rPr>
        <w:t xml:space="preserve"> in Australia.</w:t>
      </w:r>
    </w:p>
    <w:p w14:paraId="277F25E2" w14:textId="0BBDD58E" w:rsidR="00175074" w:rsidRPr="00175074" w:rsidRDefault="00175074" w:rsidP="7BACC3D0">
      <w:pPr>
        <w:jc w:val="both"/>
        <w:rPr>
          <w:rFonts w:asciiTheme="minorHAnsi" w:eastAsia="Segoe UI" w:hAnsiTheme="minorHAnsi" w:cstheme="minorBidi"/>
          <w:color w:val="000000"/>
          <w:sz w:val="24"/>
          <w:szCs w:val="24"/>
        </w:rPr>
      </w:pPr>
      <w:r w:rsidRPr="7BACC3D0">
        <w:rPr>
          <w:rFonts w:asciiTheme="minorHAnsi" w:eastAsia="Segoe UI" w:hAnsiTheme="minorHAnsi" w:cstheme="minorBidi"/>
          <w:b/>
          <w:bCs/>
          <w:color w:val="000000" w:themeColor="text1"/>
          <w:sz w:val="24"/>
          <w:szCs w:val="24"/>
        </w:rPr>
        <w:t>Conditioning (lymphodepletion)</w:t>
      </w:r>
      <w:r w:rsidRPr="7BACC3D0">
        <w:rPr>
          <w:rFonts w:asciiTheme="minorHAnsi" w:eastAsia="Segoe UI" w:hAnsiTheme="minorHAnsi" w:cstheme="minorBidi"/>
          <w:color w:val="000000" w:themeColor="text1"/>
          <w:sz w:val="24"/>
          <w:szCs w:val="24"/>
        </w:rPr>
        <w:t xml:space="preserve">: Approximately </w:t>
      </w:r>
      <w:r w:rsidR="0079527A" w:rsidRPr="0079527A">
        <w:rPr>
          <w:rFonts w:asciiTheme="minorHAnsi" w:eastAsia="Segoe UI" w:hAnsiTheme="minorHAnsi" w:cstheme="minorBidi"/>
          <w:b/>
          <w:bCs/>
          <w:color w:val="000000" w:themeColor="text1"/>
          <w:sz w:val="24"/>
          <w:szCs w:val="24"/>
        </w:rPr>
        <w:t>redacted</w:t>
      </w:r>
      <w:r w:rsidRPr="7BACC3D0">
        <w:rPr>
          <w:rFonts w:asciiTheme="minorHAnsi" w:eastAsia="Segoe UI" w:hAnsiTheme="minorHAnsi" w:cstheme="minorBidi"/>
          <w:color w:val="000000" w:themeColor="text1"/>
          <w:sz w:val="24"/>
          <w:szCs w:val="24"/>
        </w:rPr>
        <w:t xml:space="preserve"> after apheresis, after the completion of manufacture and quality testing of cilta-cel, the patients are subjected to a conditioning regimen of IV cyclophosphamide 300 mg/m</w:t>
      </w:r>
      <w:r w:rsidRPr="7BACC3D0">
        <w:rPr>
          <w:rFonts w:asciiTheme="minorHAnsi" w:eastAsia="Segoe UI" w:hAnsiTheme="minorHAnsi" w:cstheme="minorBidi"/>
          <w:color w:val="000000" w:themeColor="text1"/>
          <w:sz w:val="24"/>
          <w:szCs w:val="24"/>
          <w:vertAlign w:val="superscript"/>
        </w:rPr>
        <w:t>2</w:t>
      </w:r>
      <w:r w:rsidRPr="7BACC3D0">
        <w:rPr>
          <w:rFonts w:asciiTheme="minorHAnsi" w:eastAsia="Segoe UI" w:hAnsiTheme="minorHAnsi" w:cstheme="minorBidi"/>
          <w:color w:val="000000" w:themeColor="text1"/>
          <w:sz w:val="24"/>
          <w:szCs w:val="24"/>
        </w:rPr>
        <w:t xml:space="preserve"> and fludarabine 30 mg/m</w:t>
      </w:r>
      <w:r w:rsidRPr="7BACC3D0">
        <w:rPr>
          <w:rFonts w:asciiTheme="minorHAnsi" w:eastAsia="Segoe UI" w:hAnsiTheme="minorHAnsi" w:cstheme="minorBidi"/>
          <w:color w:val="000000" w:themeColor="text1"/>
          <w:sz w:val="24"/>
          <w:szCs w:val="24"/>
          <w:vertAlign w:val="superscript"/>
        </w:rPr>
        <w:t>2</w:t>
      </w:r>
      <w:r w:rsidRPr="7BACC3D0">
        <w:rPr>
          <w:rFonts w:asciiTheme="minorHAnsi" w:eastAsia="Segoe UI" w:hAnsiTheme="minorHAnsi" w:cstheme="minorBidi"/>
          <w:color w:val="000000" w:themeColor="text1"/>
          <w:sz w:val="24"/>
          <w:szCs w:val="24"/>
        </w:rPr>
        <w:t xml:space="preserve"> at three daily doses. The conditioning regimen will lead to lymphodepletion and help promote cilta-cel cell expansion in the patients. Cyclophosphamide 300 mg/m2 and fludarabine 30 mg/m</w:t>
      </w:r>
      <w:r w:rsidRPr="7BACC3D0">
        <w:rPr>
          <w:rFonts w:asciiTheme="minorHAnsi" w:eastAsia="Segoe UI" w:hAnsiTheme="minorHAnsi" w:cstheme="minorBidi"/>
          <w:color w:val="000000" w:themeColor="text1"/>
          <w:sz w:val="24"/>
          <w:szCs w:val="24"/>
          <w:vertAlign w:val="superscript"/>
        </w:rPr>
        <w:t>2</w:t>
      </w:r>
      <w:r w:rsidRPr="7BACC3D0">
        <w:rPr>
          <w:rFonts w:asciiTheme="minorHAnsi" w:eastAsia="Segoe UI" w:hAnsiTheme="minorHAnsi" w:cstheme="minorBidi"/>
          <w:color w:val="000000" w:themeColor="text1"/>
          <w:sz w:val="24"/>
          <w:szCs w:val="24"/>
        </w:rPr>
        <w:t xml:space="preserve"> before cilta-cel infusion</w:t>
      </w:r>
      <w:r w:rsidR="00C946D8" w:rsidRPr="7BACC3D0">
        <w:rPr>
          <w:rFonts w:asciiTheme="minorHAnsi" w:eastAsia="Segoe UI" w:hAnsiTheme="minorHAnsi" w:cstheme="minorBidi"/>
          <w:color w:val="000000" w:themeColor="text1"/>
          <w:sz w:val="24"/>
          <w:szCs w:val="24"/>
        </w:rPr>
        <w:t xml:space="preserve"> in the 2L+ setting</w:t>
      </w:r>
      <w:r w:rsidRPr="7BACC3D0">
        <w:rPr>
          <w:rFonts w:asciiTheme="minorHAnsi" w:eastAsia="Segoe UI" w:hAnsiTheme="minorHAnsi" w:cstheme="minorBidi"/>
          <w:color w:val="000000" w:themeColor="text1"/>
          <w:sz w:val="24"/>
          <w:szCs w:val="24"/>
        </w:rPr>
        <w:t xml:space="preserve"> is consistent with</w:t>
      </w:r>
      <w:r w:rsidR="00C946D8" w:rsidRPr="7BACC3D0">
        <w:rPr>
          <w:rFonts w:asciiTheme="minorHAnsi" w:eastAsia="Segoe UI" w:hAnsiTheme="minorHAnsi" w:cstheme="minorBidi"/>
          <w:color w:val="000000" w:themeColor="text1"/>
          <w:sz w:val="24"/>
          <w:szCs w:val="24"/>
        </w:rPr>
        <w:t xml:space="preserve"> cil</w:t>
      </w:r>
      <w:r w:rsidR="00BA2BAD" w:rsidRPr="7BACC3D0">
        <w:rPr>
          <w:rFonts w:asciiTheme="minorHAnsi" w:eastAsia="Segoe UI" w:hAnsiTheme="minorHAnsi" w:cstheme="minorBidi"/>
          <w:color w:val="000000" w:themeColor="text1"/>
          <w:sz w:val="24"/>
          <w:szCs w:val="24"/>
        </w:rPr>
        <w:t>t</w:t>
      </w:r>
      <w:r w:rsidR="00C946D8" w:rsidRPr="7BACC3D0">
        <w:rPr>
          <w:rFonts w:asciiTheme="minorHAnsi" w:eastAsia="Segoe UI" w:hAnsiTheme="minorHAnsi" w:cstheme="minorBidi"/>
          <w:color w:val="000000" w:themeColor="text1"/>
          <w:sz w:val="24"/>
          <w:szCs w:val="24"/>
        </w:rPr>
        <w:t>a-cel in the 5L+ MM setting, and</w:t>
      </w:r>
      <w:r w:rsidRPr="7BACC3D0">
        <w:rPr>
          <w:rFonts w:asciiTheme="minorHAnsi" w:eastAsia="Segoe UI" w:hAnsiTheme="minorHAnsi" w:cstheme="minorBidi"/>
          <w:color w:val="000000" w:themeColor="text1"/>
          <w:sz w:val="24"/>
          <w:szCs w:val="24"/>
        </w:rPr>
        <w:t xml:space="preserve"> the lymphodepletion regimen used in the </w:t>
      </w:r>
      <w:r w:rsidR="00C946D8" w:rsidRPr="7BACC3D0">
        <w:rPr>
          <w:rFonts w:asciiTheme="minorHAnsi" w:eastAsia="Segoe UI" w:hAnsiTheme="minorHAnsi" w:cstheme="minorBidi"/>
          <w:color w:val="000000" w:themeColor="text1"/>
          <w:sz w:val="24"/>
          <w:szCs w:val="24"/>
        </w:rPr>
        <w:t xml:space="preserve">other </w:t>
      </w:r>
      <w:r w:rsidRPr="7BACC3D0">
        <w:rPr>
          <w:rFonts w:asciiTheme="minorHAnsi" w:eastAsia="Segoe UI" w:hAnsiTheme="minorHAnsi" w:cstheme="minorBidi"/>
          <w:color w:val="000000" w:themeColor="text1"/>
          <w:sz w:val="24"/>
          <w:szCs w:val="24"/>
        </w:rPr>
        <w:t xml:space="preserve">marketed CAR-T products </w:t>
      </w:r>
      <w:r w:rsidR="00C946D8" w:rsidRPr="7BACC3D0">
        <w:rPr>
          <w:rFonts w:asciiTheme="minorHAnsi" w:eastAsia="Segoe UI" w:hAnsiTheme="minorHAnsi" w:cstheme="minorBidi"/>
          <w:color w:val="000000" w:themeColor="text1"/>
          <w:sz w:val="24"/>
          <w:szCs w:val="24"/>
        </w:rPr>
        <w:t xml:space="preserve">in Australia (for example, </w:t>
      </w:r>
      <w:r w:rsidRPr="7BACC3D0">
        <w:rPr>
          <w:rFonts w:asciiTheme="minorHAnsi" w:eastAsia="Segoe UI" w:hAnsiTheme="minorHAnsi" w:cstheme="minorBidi"/>
          <w:color w:val="000000" w:themeColor="text1"/>
          <w:sz w:val="24"/>
          <w:szCs w:val="24"/>
        </w:rPr>
        <w:t xml:space="preserve">Kymriah and </w:t>
      </w:r>
      <w:proofErr w:type="spellStart"/>
      <w:r w:rsidRPr="7BACC3D0">
        <w:rPr>
          <w:rFonts w:asciiTheme="minorHAnsi" w:eastAsia="Segoe UI" w:hAnsiTheme="minorHAnsi" w:cstheme="minorBidi"/>
          <w:color w:val="000000" w:themeColor="text1"/>
          <w:sz w:val="24"/>
          <w:szCs w:val="24"/>
        </w:rPr>
        <w:t>Yescarta</w:t>
      </w:r>
      <w:proofErr w:type="spellEnd"/>
      <w:r w:rsidR="00C946D8" w:rsidRPr="7BACC3D0">
        <w:rPr>
          <w:rFonts w:asciiTheme="minorHAnsi" w:eastAsia="Segoe UI" w:hAnsiTheme="minorHAnsi" w:cstheme="minorBidi"/>
          <w:color w:val="000000" w:themeColor="text1"/>
          <w:sz w:val="24"/>
          <w:szCs w:val="24"/>
        </w:rPr>
        <w:t>)</w:t>
      </w:r>
      <w:r w:rsidRPr="7BACC3D0">
        <w:rPr>
          <w:rFonts w:asciiTheme="minorHAnsi" w:eastAsia="Segoe UI" w:hAnsiTheme="minorHAnsi" w:cstheme="minorBidi"/>
          <w:color w:val="000000" w:themeColor="text1"/>
          <w:sz w:val="24"/>
          <w:szCs w:val="24"/>
        </w:rPr>
        <w:t>. The dose of fludarabine should be reduced to 24 mg/m</w:t>
      </w:r>
      <w:r w:rsidRPr="7BACC3D0">
        <w:rPr>
          <w:rFonts w:asciiTheme="minorHAnsi" w:eastAsia="Segoe UI" w:hAnsiTheme="minorHAnsi" w:cstheme="minorBidi"/>
          <w:color w:val="000000" w:themeColor="text1"/>
          <w:sz w:val="24"/>
          <w:szCs w:val="24"/>
          <w:vertAlign w:val="superscript"/>
        </w:rPr>
        <w:t>2</w:t>
      </w:r>
      <w:r w:rsidRPr="7BACC3D0">
        <w:rPr>
          <w:rFonts w:asciiTheme="minorHAnsi" w:eastAsia="Segoe UI" w:hAnsiTheme="minorHAnsi" w:cstheme="minorBidi"/>
          <w:color w:val="000000" w:themeColor="text1"/>
          <w:sz w:val="24"/>
          <w:szCs w:val="24"/>
        </w:rPr>
        <w:t xml:space="preserve"> for </w:t>
      </w:r>
      <w:r w:rsidR="00C946D8" w:rsidRPr="7BACC3D0">
        <w:rPr>
          <w:rFonts w:asciiTheme="minorHAnsi" w:eastAsia="Segoe UI" w:hAnsiTheme="minorHAnsi" w:cstheme="minorBidi"/>
          <w:color w:val="000000" w:themeColor="text1"/>
          <w:sz w:val="24"/>
          <w:szCs w:val="24"/>
        </w:rPr>
        <w:t>patients</w:t>
      </w:r>
      <w:r w:rsidRPr="7BACC3D0">
        <w:rPr>
          <w:rFonts w:asciiTheme="minorHAnsi" w:eastAsia="Segoe UI" w:hAnsiTheme="minorHAnsi" w:cstheme="minorBidi"/>
          <w:color w:val="000000" w:themeColor="text1"/>
          <w:sz w:val="24"/>
          <w:szCs w:val="24"/>
        </w:rPr>
        <w:t xml:space="preserve"> with an eGFR of 30 to 70 mL/min/1.73m</w:t>
      </w:r>
      <w:r w:rsidRPr="7BACC3D0">
        <w:rPr>
          <w:rFonts w:asciiTheme="minorHAnsi" w:eastAsia="Segoe UI" w:hAnsiTheme="minorHAnsi" w:cstheme="minorBidi"/>
          <w:color w:val="000000" w:themeColor="text1"/>
          <w:sz w:val="24"/>
          <w:szCs w:val="24"/>
          <w:vertAlign w:val="superscript"/>
        </w:rPr>
        <w:t>2</w:t>
      </w:r>
      <w:r w:rsidRPr="7BACC3D0">
        <w:rPr>
          <w:rFonts w:asciiTheme="minorHAnsi" w:eastAsia="Segoe UI" w:hAnsiTheme="minorHAnsi" w:cstheme="minorBidi"/>
          <w:color w:val="000000" w:themeColor="text1"/>
          <w:sz w:val="24"/>
          <w:szCs w:val="24"/>
        </w:rPr>
        <w:t>.</w:t>
      </w:r>
    </w:p>
    <w:p w14:paraId="53DD1DDA" w14:textId="77777777"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Standard single-use consumables for an IV infusion include sterile alcohol wipes, plastic wrap, film dressing, gauze wipes, tubing adhesive tape, spill kit, preparation mats, labels, transport bag, and latex gloves.</w:t>
      </w:r>
    </w:p>
    <w:p w14:paraId="64CF0A5C" w14:textId="7C0B8326" w:rsidR="00175074" w:rsidRPr="00175074" w:rsidRDefault="00175074" w:rsidP="007520A6">
      <w:pPr>
        <w:jc w:val="both"/>
        <w:rPr>
          <w:rFonts w:asciiTheme="minorHAnsi" w:eastAsia="Segoe UI" w:hAnsiTheme="minorHAnsi" w:cstheme="minorHAnsi"/>
          <w:color w:val="000000"/>
          <w:sz w:val="24"/>
          <w:szCs w:val="24"/>
        </w:rPr>
      </w:pPr>
      <w:r w:rsidRPr="00DE64B0">
        <w:rPr>
          <w:rFonts w:asciiTheme="minorHAnsi" w:eastAsia="Segoe UI" w:hAnsiTheme="minorHAnsi" w:cstheme="minorHAnsi"/>
          <w:b/>
          <w:bCs/>
          <w:color w:val="000000"/>
          <w:sz w:val="24"/>
          <w:szCs w:val="24"/>
        </w:rPr>
        <w:t>Cilta-cel infusion</w:t>
      </w:r>
      <w:r w:rsidRPr="00175074">
        <w:rPr>
          <w:rFonts w:asciiTheme="minorHAnsi" w:eastAsia="Segoe UI" w:hAnsiTheme="minorHAnsi" w:cstheme="minorHAnsi"/>
          <w:color w:val="000000"/>
          <w:sz w:val="24"/>
          <w:szCs w:val="24"/>
        </w:rPr>
        <w:t>: Cilta-cel is a single infusion product. Cilta-cel will be administered 5 to 7 days in the after start of the conditioning regimen at a public hospital</w:t>
      </w:r>
      <w:r w:rsidR="005C6A89">
        <w:rPr>
          <w:rFonts w:asciiTheme="minorHAnsi" w:eastAsia="Segoe UI" w:hAnsiTheme="minorHAnsi" w:cstheme="minorHAnsi"/>
          <w:color w:val="000000"/>
          <w:sz w:val="24"/>
          <w:szCs w:val="24"/>
        </w:rPr>
        <w:t xml:space="preserve"> (i.e., at the CAR-T treatment centre)</w:t>
      </w:r>
      <w:r w:rsidRPr="00175074">
        <w:rPr>
          <w:rFonts w:asciiTheme="minorHAnsi" w:eastAsia="Segoe UI" w:hAnsiTheme="minorHAnsi" w:cstheme="minorHAnsi"/>
          <w:color w:val="000000"/>
          <w:sz w:val="24"/>
          <w:szCs w:val="24"/>
        </w:rPr>
        <w:t xml:space="preserve">. The </w:t>
      </w:r>
      <w:r w:rsidR="00471A0B">
        <w:rPr>
          <w:rFonts w:asciiTheme="minorHAnsi" w:eastAsia="Segoe UI" w:hAnsiTheme="minorHAnsi" w:cstheme="minorHAnsi"/>
          <w:color w:val="000000"/>
          <w:sz w:val="24"/>
          <w:szCs w:val="24"/>
        </w:rPr>
        <w:t>recommende</w:t>
      </w:r>
      <w:r w:rsidR="00106E5A">
        <w:rPr>
          <w:rFonts w:asciiTheme="minorHAnsi" w:eastAsia="Segoe UI" w:hAnsiTheme="minorHAnsi" w:cstheme="minorHAnsi"/>
          <w:color w:val="000000"/>
          <w:sz w:val="24"/>
          <w:szCs w:val="24"/>
        </w:rPr>
        <w:t xml:space="preserve">d </w:t>
      </w:r>
      <w:r w:rsidRPr="00175074">
        <w:rPr>
          <w:rFonts w:asciiTheme="minorHAnsi" w:eastAsia="Segoe UI" w:hAnsiTheme="minorHAnsi" w:cstheme="minorHAnsi"/>
          <w:color w:val="000000"/>
          <w:sz w:val="24"/>
          <w:szCs w:val="24"/>
        </w:rPr>
        <w:t>dose is 0.5-1.0×10</w:t>
      </w:r>
      <w:r w:rsidRPr="003226EA">
        <w:rPr>
          <w:rFonts w:asciiTheme="minorHAnsi" w:eastAsia="Segoe UI" w:hAnsiTheme="minorHAnsi" w:cstheme="minorHAnsi"/>
          <w:color w:val="000000"/>
          <w:sz w:val="24"/>
          <w:szCs w:val="24"/>
          <w:vertAlign w:val="superscript"/>
        </w:rPr>
        <w:t>6</w:t>
      </w:r>
      <w:r w:rsidRPr="00175074">
        <w:rPr>
          <w:rFonts w:asciiTheme="minorHAnsi" w:eastAsia="Segoe UI" w:hAnsiTheme="minorHAnsi" w:cstheme="minorHAnsi"/>
          <w:color w:val="000000"/>
          <w:sz w:val="24"/>
          <w:szCs w:val="24"/>
        </w:rPr>
        <w:t xml:space="preserve"> CAR-positive viable T-cells per kg of body weight, with a maximum dose of 1×10</w:t>
      </w:r>
      <w:r w:rsidRPr="003226EA">
        <w:rPr>
          <w:rFonts w:asciiTheme="minorHAnsi" w:eastAsia="Segoe UI" w:hAnsiTheme="minorHAnsi" w:cstheme="minorHAnsi"/>
          <w:color w:val="000000"/>
          <w:sz w:val="24"/>
          <w:szCs w:val="24"/>
          <w:vertAlign w:val="superscript"/>
        </w:rPr>
        <w:t>8</w:t>
      </w:r>
      <w:r w:rsidRPr="00175074">
        <w:rPr>
          <w:rFonts w:asciiTheme="minorHAnsi" w:eastAsia="Segoe UI" w:hAnsiTheme="minorHAnsi" w:cstheme="minorHAnsi"/>
          <w:color w:val="000000"/>
          <w:sz w:val="24"/>
          <w:szCs w:val="24"/>
        </w:rPr>
        <w:t xml:space="preserve"> CAR-positive viable T-cells per single infusion. Treatment will be prescribed and monitored by an experienced haematologist working in a multidisciplinary team specialising in the provision of CAR-T cell therapy and </w:t>
      </w:r>
      <w:r w:rsidR="006353A3" w:rsidRPr="00175074">
        <w:rPr>
          <w:rFonts w:asciiTheme="minorHAnsi" w:eastAsia="Segoe UI" w:hAnsiTheme="minorHAnsi" w:cstheme="minorHAnsi"/>
          <w:color w:val="000000"/>
          <w:sz w:val="24"/>
          <w:szCs w:val="24"/>
        </w:rPr>
        <w:t>who</w:t>
      </w:r>
      <w:r w:rsidRPr="00175074">
        <w:rPr>
          <w:rFonts w:asciiTheme="minorHAnsi" w:eastAsia="Segoe UI" w:hAnsiTheme="minorHAnsi" w:cstheme="minorHAnsi"/>
          <w:color w:val="000000"/>
          <w:sz w:val="24"/>
          <w:szCs w:val="24"/>
        </w:rPr>
        <w:t xml:space="preserve"> have undergone appropriate accreditation and training.</w:t>
      </w:r>
    </w:p>
    <w:p w14:paraId="75CD6746" w14:textId="77777777"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Pre-infusion medications are administered to all patients (30 to 60 minutes) prior to cilta-cel infusion which include antipyretics and an antihistamine. Further, before the infusion and during the recovery period, tocilizumab (for managing cytokine release syndrome [CRS]) and emergency equipment will need to be available for use if needed.</w:t>
      </w:r>
    </w:p>
    <w:p w14:paraId="63FFF24C" w14:textId="77777777"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The patient’s identity with the patient identifiers on the infusion bag need to be confirmed before infusion. Cilta-cel should not be infused if the information on the patient-specific label does not match the intended patient.</w:t>
      </w:r>
    </w:p>
    <w:p w14:paraId="6CFF2FD7" w14:textId="77777777"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 xml:space="preserve">Once thawed, the entire contents of the cilta-cel bag must be administered by IV infusion within 2.5 hours using infusion sets fitted with an in-line filter and not a </w:t>
      </w:r>
      <w:proofErr w:type="spellStart"/>
      <w:r w:rsidRPr="00175074">
        <w:rPr>
          <w:rFonts w:asciiTheme="minorHAnsi" w:eastAsia="Segoe UI" w:hAnsiTheme="minorHAnsi" w:cstheme="minorHAnsi"/>
          <w:color w:val="000000"/>
          <w:sz w:val="24"/>
          <w:szCs w:val="24"/>
        </w:rPr>
        <w:t>leukodepleting</w:t>
      </w:r>
      <w:proofErr w:type="spellEnd"/>
      <w:r w:rsidRPr="00175074">
        <w:rPr>
          <w:rFonts w:asciiTheme="minorHAnsi" w:eastAsia="Segoe UI" w:hAnsiTheme="minorHAnsi" w:cstheme="minorHAnsi"/>
          <w:color w:val="000000"/>
          <w:sz w:val="24"/>
          <w:szCs w:val="24"/>
        </w:rPr>
        <w:t xml:space="preserve"> filter. The contents of the bag should be gently mixed during cilta-cel infusion to disperse cell clumps. After the entire content of the product bag is infused, the administration line inclusive of the in-line </w:t>
      </w:r>
      <w:r w:rsidRPr="00175074">
        <w:rPr>
          <w:rFonts w:asciiTheme="minorHAnsi" w:eastAsia="Segoe UI" w:hAnsiTheme="minorHAnsi" w:cstheme="minorHAnsi"/>
          <w:color w:val="000000"/>
          <w:sz w:val="24"/>
          <w:szCs w:val="24"/>
        </w:rPr>
        <w:lastRenderedPageBreak/>
        <w:t>filter should be flushed, with sodium chloride 9 mg/mL (0.9%) solution (normal saline) to ensure all product is delivered.</w:t>
      </w:r>
    </w:p>
    <w:p w14:paraId="14DB29F8" w14:textId="77777777"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 xml:space="preserve">The patients will be evaluated for safety on the day of cilta-cel infusion. Infusion of cilta-cel will be delayed: </w:t>
      </w:r>
    </w:p>
    <w:p w14:paraId="36E5C112" w14:textId="27A1ABAC" w:rsidR="00175074" w:rsidRPr="003E7579" w:rsidRDefault="00175074" w:rsidP="007520A6">
      <w:pPr>
        <w:pStyle w:val="ListParagraph"/>
        <w:numPr>
          <w:ilvl w:val="0"/>
          <w:numId w:val="3"/>
        </w:numPr>
        <w:jc w:val="both"/>
        <w:rPr>
          <w:rFonts w:asciiTheme="minorHAnsi" w:eastAsia="Segoe UI" w:hAnsiTheme="minorHAnsi" w:cstheme="minorHAnsi"/>
          <w:color w:val="000000"/>
          <w:sz w:val="24"/>
          <w:szCs w:val="24"/>
        </w:rPr>
      </w:pPr>
      <w:r w:rsidRPr="003E7579">
        <w:rPr>
          <w:rFonts w:asciiTheme="minorHAnsi" w:eastAsia="Segoe UI" w:hAnsiTheme="minorHAnsi" w:cstheme="minorHAnsi"/>
          <w:color w:val="000000"/>
          <w:sz w:val="24"/>
          <w:szCs w:val="24"/>
        </w:rPr>
        <w:t>If there are any signs of infection (patients requiring anti-microbial treatment, or with temperature ≥ 38.0 Celsius within 48 hours before infusion of cilta-cel.</w:t>
      </w:r>
    </w:p>
    <w:p w14:paraId="272CAF4D" w14:textId="3D49FBCA" w:rsidR="00175074" w:rsidRPr="003E7579" w:rsidRDefault="00175074" w:rsidP="007520A6">
      <w:pPr>
        <w:pStyle w:val="ListParagraph"/>
        <w:numPr>
          <w:ilvl w:val="0"/>
          <w:numId w:val="3"/>
        </w:numPr>
        <w:jc w:val="both"/>
        <w:rPr>
          <w:rFonts w:asciiTheme="minorHAnsi" w:eastAsia="Segoe UI" w:hAnsiTheme="minorHAnsi" w:cstheme="minorHAnsi"/>
          <w:color w:val="000000"/>
          <w:sz w:val="24"/>
          <w:szCs w:val="24"/>
        </w:rPr>
      </w:pPr>
      <w:r w:rsidRPr="003E7579">
        <w:rPr>
          <w:rFonts w:asciiTheme="minorHAnsi" w:eastAsia="Segoe UI" w:hAnsiTheme="minorHAnsi" w:cstheme="minorHAnsi"/>
          <w:color w:val="000000"/>
          <w:sz w:val="24"/>
          <w:szCs w:val="24"/>
        </w:rPr>
        <w:t xml:space="preserve">In case of Grade ≥3 non-hematologic toxicities of cyclophosphamide and fludarabine conditioning (except for Grade 3 nausea, vomiting, diarrhea, or constipation) </w:t>
      </w:r>
      <w:proofErr w:type="gramStart"/>
      <w:r w:rsidRPr="003E7579">
        <w:rPr>
          <w:rFonts w:asciiTheme="minorHAnsi" w:eastAsia="Segoe UI" w:hAnsiTheme="minorHAnsi" w:cstheme="minorHAnsi"/>
          <w:color w:val="000000"/>
          <w:sz w:val="24"/>
          <w:szCs w:val="24"/>
        </w:rPr>
        <w:t>occurs</w:t>
      </w:r>
      <w:proofErr w:type="gramEnd"/>
      <w:r w:rsidRPr="003E7579">
        <w:rPr>
          <w:rFonts w:asciiTheme="minorHAnsi" w:eastAsia="Segoe UI" w:hAnsiTheme="minorHAnsi" w:cstheme="minorHAnsi"/>
          <w:color w:val="000000"/>
          <w:sz w:val="24"/>
          <w:szCs w:val="24"/>
        </w:rPr>
        <w:t xml:space="preserve">. </w:t>
      </w:r>
    </w:p>
    <w:p w14:paraId="784DD5B1" w14:textId="2E9323AF" w:rsidR="00175074" w:rsidRPr="00175074" w:rsidRDefault="00175074" w:rsidP="007520A6">
      <w:pPr>
        <w:jc w:val="both"/>
        <w:rPr>
          <w:rFonts w:asciiTheme="minorHAnsi" w:eastAsia="Segoe UI" w:hAnsiTheme="minorHAnsi" w:cstheme="minorHAnsi"/>
          <w:color w:val="000000"/>
          <w:sz w:val="24"/>
          <w:szCs w:val="24"/>
        </w:rPr>
      </w:pPr>
      <w:r w:rsidRPr="003E7579">
        <w:rPr>
          <w:rFonts w:asciiTheme="minorHAnsi" w:eastAsia="Segoe UI" w:hAnsiTheme="minorHAnsi" w:cstheme="minorHAnsi"/>
          <w:b/>
          <w:bCs/>
          <w:color w:val="000000"/>
          <w:sz w:val="24"/>
          <w:szCs w:val="24"/>
        </w:rPr>
        <w:t>Monitoring after infusion:</w:t>
      </w:r>
      <w:r w:rsidRPr="00175074">
        <w:rPr>
          <w:rFonts w:asciiTheme="minorHAnsi" w:eastAsia="Segoe UI" w:hAnsiTheme="minorHAnsi" w:cstheme="minorHAnsi"/>
          <w:color w:val="000000"/>
          <w:sz w:val="24"/>
          <w:szCs w:val="24"/>
        </w:rPr>
        <w:t xml:space="preserve"> Following the infusion, there will be a period of monitoring required. The approved TGA Product Information recommends that patients are monitored daily for 14 days after the infusion at a certified healthcare facility and then periodically for an additional two weeks after infusion for signs and symptoms of cytokine release syndrome (CRS), neurologic events and other toxicities. Thus, the monitoring requirements for cilta-cel </w:t>
      </w:r>
      <w:r w:rsidR="00A47339">
        <w:rPr>
          <w:rFonts w:asciiTheme="minorHAnsi" w:eastAsia="Segoe UI" w:hAnsiTheme="minorHAnsi" w:cstheme="minorHAnsi"/>
          <w:color w:val="000000"/>
          <w:sz w:val="24"/>
          <w:szCs w:val="24"/>
        </w:rPr>
        <w:t xml:space="preserve">for 2L+ MM </w:t>
      </w:r>
      <w:r w:rsidRPr="00175074">
        <w:rPr>
          <w:rFonts w:asciiTheme="minorHAnsi" w:eastAsia="Segoe UI" w:hAnsiTheme="minorHAnsi" w:cstheme="minorHAnsi"/>
          <w:color w:val="000000"/>
          <w:sz w:val="24"/>
          <w:szCs w:val="24"/>
        </w:rPr>
        <w:t>are</w:t>
      </w:r>
      <w:r w:rsidR="00A47339">
        <w:rPr>
          <w:rFonts w:asciiTheme="minorHAnsi" w:eastAsia="Segoe UI" w:hAnsiTheme="minorHAnsi" w:cstheme="minorHAnsi"/>
          <w:color w:val="000000"/>
          <w:sz w:val="24"/>
          <w:szCs w:val="24"/>
        </w:rPr>
        <w:t xml:space="preserve"> consistent with those required for NHRA funded cilta-cel for 5L+ MM</w:t>
      </w:r>
      <w:r w:rsidRPr="00175074">
        <w:rPr>
          <w:rFonts w:asciiTheme="minorHAnsi" w:eastAsia="Segoe UI" w:hAnsiTheme="minorHAnsi" w:cstheme="minorHAnsi"/>
          <w:color w:val="000000"/>
          <w:sz w:val="24"/>
          <w:szCs w:val="24"/>
        </w:rPr>
        <w:t xml:space="preserve">. </w:t>
      </w:r>
    </w:p>
    <w:p w14:paraId="5D0BD465" w14:textId="4561D6BF"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 xml:space="preserve">The setting of post infusion care for cilta-cel can vary by patient, by site and by the experience and capacity of the treating clinician and team. As such, patients are managed in both the inpatient and outpatient settings, consistent with </w:t>
      </w:r>
      <w:r w:rsidR="003D2547">
        <w:rPr>
          <w:rFonts w:asciiTheme="minorHAnsi" w:eastAsia="Segoe UI" w:hAnsiTheme="minorHAnsi" w:cstheme="minorHAnsi"/>
          <w:color w:val="000000"/>
          <w:sz w:val="24"/>
          <w:szCs w:val="24"/>
        </w:rPr>
        <w:t xml:space="preserve">cilta-cel in 5L+ MM, and </w:t>
      </w:r>
      <w:r w:rsidRPr="00175074">
        <w:rPr>
          <w:rFonts w:asciiTheme="minorHAnsi" w:eastAsia="Segoe UI" w:hAnsiTheme="minorHAnsi" w:cstheme="minorHAnsi"/>
          <w:color w:val="000000"/>
          <w:sz w:val="24"/>
          <w:szCs w:val="24"/>
        </w:rPr>
        <w:t>other CAR-Ts currently funded in Australia.</w:t>
      </w:r>
    </w:p>
    <w:p w14:paraId="29E01284" w14:textId="1F319EC3" w:rsidR="00175074" w:rsidRPr="00175074" w:rsidRDefault="00175074" w:rsidP="007520A6">
      <w:pPr>
        <w:jc w:val="both"/>
        <w:rPr>
          <w:rFonts w:asciiTheme="minorHAnsi" w:eastAsia="Segoe UI" w:hAnsiTheme="minorHAnsi" w:cstheme="minorHAnsi"/>
          <w:color w:val="000000"/>
          <w:sz w:val="24"/>
          <w:szCs w:val="24"/>
        </w:rPr>
      </w:pPr>
      <w:r w:rsidRPr="00175074">
        <w:rPr>
          <w:rFonts w:asciiTheme="minorHAnsi" w:eastAsia="Segoe UI" w:hAnsiTheme="minorHAnsi" w:cstheme="minorHAnsi"/>
          <w:color w:val="000000"/>
          <w:sz w:val="24"/>
          <w:szCs w:val="24"/>
        </w:rPr>
        <w:t xml:space="preserve">Some patients may require a short inpatient admission </w:t>
      </w:r>
      <w:proofErr w:type="gramStart"/>
      <w:r w:rsidRPr="00175074">
        <w:rPr>
          <w:rFonts w:asciiTheme="minorHAnsi" w:eastAsia="Segoe UI" w:hAnsiTheme="minorHAnsi" w:cstheme="minorHAnsi"/>
          <w:color w:val="000000"/>
          <w:sz w:val="24"/>
          <w:szCs w:val="24"/>
        </w:rPr>
        <w:t>as a consequence of</w:t>
      </w:r>
      <w:proofErr w:type="gramEnd"/>
      <w:r w:rsidRPr="00175074">
        <w:rPr>
          <w:rFonts w:asciiTheme="minorHAnsi" w:eastAsia="Segoe UI" w:hAnsiTheme="minorHAnsi" w:cstheme="minorHAnsi"/>
          <w:color w:val="000000"/>
          <w:sz w:val="24"/>
          <w:szCs w:val="24"/>
        </w:rPr>
        <w:t xml:space="preserve"> cytokine release syndrome (CRS) onset and CAR-T </w:t>
      </w:r>
      <w:proofErr w:type="spellStart"/>
      <w:r w:rsidRPr="00175074">
        <w:rPr>
          <w:rFonts w:asciiTheme="minorHAnsi" w:eastAsia="Segoe UI" w:hAnsiTheme="minorHAnsi" w:cstheme="minorHAnsi"/>
          <w:color w:val="000000"/>
          <w:sz w:val="24"/>
          <w:szCs w:val="24"/>
        </w:rPr>
        <w:t>neurotoxicities</w:t>
      </w:r>
      <w:proofErr w:type="spellEnd"/>
      <w:r w:rsidRPr="00175074">
        <w:rPr>
          <w:rFonts w:asciiTheme="minorHAnsi" w:eastAsia="Segoe UI" w:hAnsiTheme="minorHAnsi" w:cstheme="minorHAnsi"/>
          <w:color w:val="000000"/>
          <w:sz w:val="24"/>
          <w:szCs w:val="24"/>
        </w:rPr>
        <w:t>. Typically</w:t>
      </w:r>
      <w:r w:rsidR="00E97A7F">
        <w:rPr>
          <w:rFonts w:asciiTheme="minorHAnsi" w:eastAsia="Segoe UI" w:hAnsiTheme="minorHAnsi" w:cstheme="minorHAnsi"/>
          <w:color w:val="000000"/>
          <w:sz w:val="24"/>
          <w:szCs w:val="24"/>
        </w:rPr>
        <w:t>,</w:t>
      </w:r>
      <w:r w:rsidRPr="00175074">
        <w:rPr>
          <w:rFonts w:asciiTheme="minorHAnsi" w:eastAsia="Segoe UI" w:hAnsiTheme="minorHAnsi" w:cstheme="minorHAnsi"/>
          <w:color w:val="000000"/>
          <w:sz w:val="24"/>
          <w:szCs w:val="24"/>
        </w:rPr>
        <w:t xml:space="preserve"> these toxicities may take up to 7 days to onset. Tocilizumab or methylprednisolone may be administered via IV infusion for the management of CRS or ICANS. Furthermore, a low rate of ICU is expected given most patients </w:t>
      </w:r>
      <w:r w:rsidR="00A10EC7">
        <w:rPr>
          <w:rFonts w:asciiTheme="minorHAnsi" w:eastAsia="Segoe UI" w:hAnsiTheme="minorHAnsi" w:cstheme="minorHAnsi"/>
          <w:color w:val="000000"/>
          <w:sz w:val="24"/>
          <w:szCs w:val="24"/>
        </w:rPr>
        <w:t xml:space="preserve">are </w:t>
      </w:r>
      <w:r w:rsidRPr="00175074">
        <w:rPr>
          <w:rFonts w:asciiTheme="minorHAnsi" w:eastAsia="Segoe UI" w:hAnsiTheme="minorHAnsi" w:cstheme="minorHAnsi"/>
          <w:color w:val="000000"/>
          <w:sz w:val="24"/>
          <w:szCs w:val="24"/>
        </w:rPr>
        <w:t>monitored as</w:t>
      </w:r>
      <w:r w:rsidR="00A10EC7">
        <w:rPr>
          <w:rFonts w:asciiTheme="minorHAnsi" w:eastAsia="Segoe UI" w:hAnsiTheme="minorHAnsi" w:cstheme="minorHAnsi"/>
          <w:color w:val="000000"/>
          <w:sz w:val="24"/>
          <w:szCs w:val="24"/>
        </w:rPr>
        <w:t xml:space="preserve"> an</w:t>
      </w:r>
      <w:r w:rsidRPr="00175074">
        <w:rPr>
          <w:rFonts w:asciiTheme="minorHAnsi" w:eastAsia="Segoe UI" w:hAnsiTheme="minorHAnsi" w:cstheme="minorHAnsi"/>
          <w:color w:val="000000"/>
          <w:sz w:val="24"/>
          <w:szCs w:val="24"/>
        </w:rPr>
        <w:t xml:space="preserve"> inpatient for some of the period to avoid ICU admissions. </w:t>
      </w:r>
      <w:r w:rsidR="00B83CF1" w:rsidRPr="00B83CF1">
        <w:rPr>
          <w:rFonts w:asciiTheme="minorHAnsi" w:eastAsia="Segoe UI" w:hAnsiTheme="minorHAnsi" w:cstheme="minorHAnsi"/>
          <w:b/>
          <w:bCs/>
          <w:color w:val="000000"/>
          <w:sz w:val="24"/>
          <w:szCs w:val="24"/>
        </w:rPr>
        <w:t>Redacted</w:t>
      </w:r>
      <w:r w:rsidRPr="00B83CF1">
        <w:rPr>
          <w:rFonts w:asciiTheme="minorHAnsi" w:eastAsia="Segoe UI" w:hAnsiTheme="minorHAnsi" w:cstheme="minorHAnsi"/>
          <w:b/>
          <w:bCs/>
          <w:color w:val="000000"/>
          <w:sz w:val="24"/>
          <w:szCs w:val="24"/>
        </w:rPr>
        <w:t>.</w:t>
      </w:r>
    </w:p>
    <w:p w14:paraId="1433140B" w14:textId="7EFA78FF" w:rsidR="00175074" w:rsidRPr="00175074" w:rsidRDefault="00175074" w:rsidP="007520A6">
      <w:pPr>
        <w:jc w:val="both"/>
        <w:rPr>
          <w:rFonts w:asciiTheme="minorHAnsi" w:eastAsia="Segoe UI" w:hAnsiTheme="minorHAnsi" w:cstheme="minorHAnsi"/>
          <w:color w:val="000000"/>
          <w:sz w:val="24"/>
          <w:szCs w:val="24"/>
        </w:rPr>
      </w:pPr>
      <w:r w:rsidRPr="00DE64B0">
        <w:rPr>
          <w:rFonts w:asciiTheme="minorHAnsi" w:eastAsia="Segoe UI" w:hAnsiTheme="minorHAnsi" w:cstheme="minorHAnsi"/>
          <w:b/>
          <w:bCs/>
          <w:color w:val="000000"/>
          <w:sz w:val="24"/>
          <w:szCs w:val="24"/>
        </w:rPr>
        <w:t>Long term patient assessment</w:t>
      </w:r>
      <w:r w:rsidRPr="00175074">
        <w:rPr>
          <w:rFonts w:asciiTheme="minorHAnsi" w:eastAsia="Segoe UI" w:hAnsiTheme="minorHAnsi" w:cstheme="minorHAnsi"/>
          <w:color w:val="000000"/>
          <w:sz w:val="24"/>
          <w:szCs w:val="24"/>
        </w:rPr>
        <w:t>: Previous CAR-T therapies recommended by MSAC have required assessment of long-term patient outcomes</w:t>
      </w:r>
      <w:r w:rsidR="002B649C">
        <w:rPr>
          <w:rFonts w:asciiTheme="minorHAnsi" w:eastAsia="Segoe UI" w:hAnsiTheme="minorHAnsi" w:cstheme="minorHAnsi"/>
          <w:color w:val="000000"/>
          <w:sz w:val="24"/>
          <w:szCs w:val="24"/>
        </w:rPr>
        <w:t xml:space="preserve">, </w:t>
      </w:r>
      <w:r w:rsidR="002B649C" w:rsidRPr="00400CD0">
        <w:rPr>
          <w:rFonts w:asciiTheme="minorHAnsi" w:eastAsia="Segoe UI" w:hAnsiTheme="minorHAnsi" w:cstheme="minorHAnsi"/>
          <w:color w:val="000000"/>
          <w:sz w:val="24"/>
          <w:szCs w:val="24"/>
        </w:rPr>
        <w:t>including cilta-cel for 5L+ MM</w:t>
      </w:r>
      <w:r w:rsidR="00065544" w:rsidRPr="00400CD0">
        <w:rPr>
          <w:rFonts w:asciiTheme="minorHAnsi" w:eastAsia="Segoe UI" w:hAnsiTheme="minorHAnsi" w:cstheme="minorHAnsi"/>
          <w:color w:val="000000"/>
          <w:sz w:val="24"/>
          <w:szCs w:val="24"/>
        </w:rPr>
        <w:t xml:space="preserve">, </w:t>
      </w:r>
      <w:r w:rsidR="007F0D20" w:rsidRPr="00400CD0">
        <w:rPr>
          <w:rFonts w:asciiTheme="minorHAnsi" w:eastAsia="Segoe UI" w:hAnsiTheme="minorHAnsi" w:cstheme="minorHAnsi"/>
          <w:color w:val="000000"/>
          <w:sz w:val="24"/>
          <w:szCs w:val="24"/>
        </w:rPr>
        <w:t>to support both their respective pay</w:t>
      </w:r>
      <w:r w:rsidR="00534840" w:rsidRPr="00400CD0">
        <w:rPr>
          <w:rFonts w:asciiTheme="minorHAnsi" w:eastAsia="Segoe UI" w:hAnsiTheme="minorHAnsi" w:cstheme="minorHAnsi"/>
          <w:color w:val="000000"/>
          <w:sz w:val="24"/>
          <w:szCs w:val="24"/>
        </w:rPr>
        <w:t>-</w:t>
      </w:r>
      <w:r w:rsidR="007F0D20" w:rsidRPr="00400CD0">
        <w:rPr>
          <w:rFonts w:asciiTheme="minorHAnsi" w:eastAsia="Segoe UI" w:hAnsiTheme="minorHAnsi" w:cstheme="minorHAnsi"/>
          <w:color w:val="000000"/>
          <w:sz w:val="24"/>
          <w:szCs w:val="24"/>
        </w:rPr>
        <w:t>for</w:t>
      </w:r>
      <w:r w:rsidR="00534840" w:rsidRPr="00400CD0">
        <w:rPr>
          <w:rFonts w:asciiTheme="minorHAnsi" w:eastAsia="Segoe UI" w:hAnsiTheme="minorHAnsi" w:cstheme="minorHAnsi"/>
          <w:color w:val="000000"/>
          <w:sz w:val="24"/>
          <w:szCs w:val="24"/>
        </w:rPr>
        <w:t>-</w:t>
      </w:r>
      <w:r w:rsidR="007F0D20" w:rsidRPr="00400CD0">
        <w:rPr>
          <w:rFonts w:asciiTheme="minorHAnsi" w:eastAsia="Segoe UI" w:hAnsiTheme="minorHAnsi" w:cstheme="minorHAnsi"/>
          <w:color w:val="000000"/>
          <w:sz w:val="24"/>
          <w:szCs w:val="24"/>
        </w:rPr>
        <w:t>performance</w:t>
      </w:r>
      <w:r w:rsidR="00BC4F9F" w:rsidRPr="00400CD0">
        <w:rPr>
          <w:rFonts w:asciiTheme="minorHAnsi" w:eastAsia="Segoe UI" w:hAnsiTheme="minorHAnsi" w:cstheme="minorHAnsi"/>
          <w:color w:val="000000"/>
          <w:sz w:val="24"/>
          <w:szCs w:val="24"/>
        </w:rPr>
        <w:t xml:space="preserve"> (</w:t>
      </w:r>
      <w:proofErr w:type="spellStart"/>
      <w:r w:rsidR="00BC4F9F" w:rsidRPr="00400CD0">
        <w:rPr>
          <w:rFonts w:asciiTheme="minorHAnsi" w:eastAsia="Segoe UI" w:hAnsiTheme="minorHAnsi" w:cstheme="minorHAnsi"/>
          <w:color w:val="000000"/>
          <w:sz w:val="24"/>
          <w:szCs w:val="24"/>
        </w:rPr>
        <w:t>PfP</w:t>
      </w:r>
      <w:proofErr w:type="spellEnd"/>
      <w:r w:rsidR="00BC4F9F" w:rsidRPr="00400CD0">
        <w:rPr>
          <w:rFonts w:asciiTheme="minorHAnsi" w:eastAsia="Segoe UI" w:hAnsiTheme="minorHAnsi" w:cstheme="minorHAnsi"/>
          <w:color w:val="000000"/>
          <w:sz w:val="24"/>
          <w:szCs w:val="24"/>
        </w:rPr>
        <w:t>)</w:t>
      </w:r>
      <w:r w:rsidR="007F0D20" w:rsidRPr="00400CD0">
        <w:rPr>
          <w:rFonts w:asciiTheme="minorHAnsi" w:eastAsia="Segoe UI" w:hAnsiTheme="minorHAnsi" w:cstheme="minorHAnsi"/>
          <w:color w:val="000000"/>
          <w:sz w:val="24"/>
          <w:szCs w:val="24"/>
        </w:rPr>
        <w:t xml:space="preserve"> arrangements, and registry data collection</w:t>
      </w:r>
      <w:r w:rsidRPr="00400CD0">
        <w:rPr>
          <w:rFonts w:asciiTheme="minorHAnsi" w:eastAsia="Segoe UI" w:hAnsiTheme="minorHAnsi" w:cstheme="minorHAnsi"/>
          <w:color w:val="000000"/>
          <w:sz w:val="24"/>
          <w:szCs w:val="24"/>
        </w:rPr>
        <w:t xml:space="preserve">. </w:t>
      </w:r>
      <w:r w:rsidR="0025597D" w:rsidRPr="00400CD0">
        <w:rPr>
          <w:rFonts w:asciiTheme="minorHAnsi" w:eastAsia="Segoe UI" w:hAnsiTheme="minorHAnsi" w:cstheme="minorHAnsi"/>
          <w:color w:val="000000"/>
          <w:sz w:val="24"/>
          <w:szCs w:val="24"/>
        </w:rPr>
        <w:t>Any</w:t>
      </w:r>
      <w:r w:rsidRPr="00400CD0">
        <w:rPr>
          <w:rFonts w:asciiTheme="minorHAnsi" w:eastAsia="Segoe UI" w:hAnsiTheme="minorHAnsi" w:cstheme="minorHAnsi"/>
          <w:color w:val="000000"/>
          <w:sz w:val="24"/>
          <w:szCs w:val="24"/>
        </w:rPr>
        <w:t xml:space="preserve"> timeframe </w:t>
      </w:r>
      <w:r w:rsidR="00BC4F9F" w:rsidRPr="00400CD0">
        <w:rPr>
          <w:rFonts w:asciiTheme="minorHAnsi" w:eastAsia="Segoe UI" w:hAnsiTheme="minorHAnsi" w:cstheme="minorHAnsi"/>
          <w:color w:val="000000"/>
          <w:sz w:val="24"/>
          <w:szCs w:val="24"/>
        </w:rPr>
        <w:t xml:space="preserve">in a </w:t>
      </w:r>
      <w:proofErr w:type="spellStart"/>
      <w:r w:rsidR="00BC4F9F" w:rsidRPr="00400CD0">
        <w:rPr>
          <w:rFonts w:asciiTheme="minorHAnsi" w:eastAsia="Segoe UI" w:hAnsiTheme="minorHAnsi" w:cstheme="minorHAnsi"/>
          <w:color w:val="000000"/>
          <w:sz w:val="24"/>
          <w:szCs w:val="24"/>
        </w:rPr>
        <w:t>PfP</w:t>
      </w:r>
      <w:proofErr w:type="spellEnd"/>
      <w:r w:rsidR="00BC4F9F" w:rsidRPr="00400CD0">
        <w:rPr>
          <w:rFonts w:asciiTheme="minorHAnsi" w:eastAsia="Segoe UI" w:hAnsiTheme="minorHAnsi" w:cstheme="minorHAnsi"/>
          <w:color w:val="000000"/>
          <w:sz w:val="24"/>
          <w:szCs w:val="24"/>
        </w:rPr>
        <w:t xml:space="preserve"> </w:t>
      </w:r>
      <w:r w:rsidR="0025597D" w:rsidRPr="00400CD0">
        <w:rPr>
          <w:rFonts w:asciiTheme="minorHAnsi" w:eastAsia="Segoe UI" w:hAnsiTheme="minorHAnsi" w:cstheme="minorHAnsi"/>
          <w:color w:val="000000"/>
          <w:sz w:val="24"/>
          <w:szCs w:val="24"/>
        </w:rPr>
        <w:t>should</w:t>
      </w:r>
      <w:r w:rsidRPr="00400CD0">
        <w:rPr>
          <w:rFonts w:asciiTheme="minorHAnsi" w:eastAsia="Segoe UI" w:hAnsiTheme="minorHAnsi" w:cstheme="minorHAnsi"/>
          <w:color w:val="000000"/>
          <w:sz w:val="24"/>
          <w:szCs w:val="24"/>
        </w:rPr>
        <w:t xml:space="preserve"> not be overly onerous to the healthcare system, </w:t>
      </w:r>
      <w:r w:rsidR="00634276" w:rsidRPr="00400CD0">
        <w:rPr>
          <w:rFonts w:asciiTheme="minorHAnsi" w:eastAsia="Segoe UI" w:hAnsiTheme="minorHAnsi" w:cstheme="minorHAnsi"/>
          <w:color w:val="000000"/>
          <w:sz w:val="24"/>
          <w:szCs w:val="24"/>
        </w:rPr>
        <w:t xml:space="preserve">the </w:t>
      </w:r>
      <w:r w:rsidRPr="00400CD0">
        <w:rPr>
          <w:rFonts w:asciiTheme="minorHAnsi" w:eastAsia="Segoe UI" w:hAnsiTheme="minorHAnsi" w:cstheme="minorHAnsi"/>
          <w:color w:val="000000"/>
          <w:sz w:val="24"/>
          <w:szCs w:val="24"/>
        </w:rPr>
        <w:t>treatment and referring centres and clinicians.</w:t>
      </w:r>
      <w:r w:rsidRPr="00175074">
        <w:rPr>
          <w:rFonts w:asciiTheme="minorHAnsi" w:eastAsia="Segoe UI" w:hAnsiTheme="minorHAnsi" w:cstheme="minorHAnsi"/>
          <w:color w:val="000000"/>
          <w:sz w:val="24"/>
          <w:szCs w:val="24"/>
        </w:rPr>
        <w:t xml:space="preserve"> </w:t>
      </w:r>
      <w:r w:rsidR="00A54B91">
        <w:rPr>
          <w:rFonts w:asciiTheme="minorHAnsi" w:eastAsia="Segoe UI" w:hAnsiTheme="minorHAnsi" w:cstheme="minorHAnsi"/>
          <w:color w:val="000000"/>
          <w:sz w:val="24"/>
          <w:szCs w:val="24"/>
        </w:rPr>
        <w:t>D</w:t>
      </w:r>
      <w:r w:rsidRPr="00175074">
        <w:rPr>
          <w:rFonts w:asciiTheme="minorHAnsi" w:eastAsia="Segoe UI" w:hAnsiTheme="minorHAnsi" w:cstheme="minorHAnsi"/>
          <w:color w:val="000000"/>
          <w:sz w:val="24"/>
          <w:szCs w:val="24"/>
        </w:rPr>
        <w:t xml:space="preserve">ata on the use of CAR-T therapies in Australia is currently recorded by the </w:t>
      </w:r>
      <w:r w:rsidR="0097065B" w:rsidRPr="0097065B">
        <w:rPr>
          <w:rFonts w:asciiTheme="minorHAnsi" w:eastAsia="Segoe UI" w:hAnsiTheme="minorHAnsi" w:cstheme="minorHAnsi"/>
          <w:color w:val="000000"/>
          <w:sz w:val="24"/>
          <w:szCs w:val="24"/>
        </w:rPr>
        <w:t xml:space="preserve">Australian and New Zealand Transplant and Cellular Therapies Registry </w:t>
      </w:r>
      <w:r w:rsidRPr="00ED6579">
        <w:rPr>
          <w:rFonts w:asciiTheme="minorHAnsi" w:eastAsia="Segoe UI" w:hAnsiTheme="minorHAnsi" w:cstheme="minorHAnsi"/>
          <w:color w:val="000000"/>
          <w:sz w:val="24"/>
          <w:szCs w:val="24"/>
        </w:rPr>
        <w:t>(</w:t>
      </w:r>
      <w:r w:rsidR="0097065B" w:rsidRPr="00ED6579">
        <w:rPr>
          <w:rFonts w:asciiTheme="minorHAnsi" w:eastAsia="Segoe UI" w:hAnsiTheme="minorHAnsi" w:cstheme="minorHAnsi"/>
          <w:color w:val="000000"/>
          <w:sz w:val="24"/>
          <w:szCs w:val="24"/>
        </w:rPr>
        <w:t>ANZTCT</w:t>
      </w:r>
      <w:r w:rsidRPr="00ED6579">
        <w:rPr>
          <w:rFonts w:asciiTheme="minorHAnsi" w:eastAsia="Segoe UI" w:hAnsiTheme="minorHAnsi" w:cstheme="minorHAnsi"/>
          <w:color w:val="000000"/>
          <w:sz w:val="24"/>
          <w:szCs w:val="24"/>
        </w:rPr>
        <w:t>),</w:t>
      </w:r>
      <w:r w:rsidRPr="00175074">
        <w:rPr>
          <w:rFonts w:asciiTheme="minorHAnsi" w:eastAsia="Segoe UI" w:hAnsiTheme="minorHAnsi" w:cstheme="minorHAnsi"/>
          <w:color w:val="000000"/>
          <w:sz w:val="24"/>
          <w:szCs w:val="24"/>
        </w:rPr>
        <w:t xml:space="preserve"> with the cost of data collection met by the sponsor. </w:t>
      </w:r>
    </w:p>
    <w:p w14:paraId="654D0C77" w14:textId="77777777" w:rsidR="00746316" w:rsidRDefault="00746316" w:rsidP="007520A6">
      <w:pPr>
        <w:keepNext/>
        <w:jc w:val="both"/>
        <w:rPr>
          <w:rFonts w:asciiTheme="minorHAnsi" w:eastAsia="Segoe UI" w:hAnsiTheme="minorHAnsi" w:cstheme="minorHAnsi"/>
          <w:b/>
          <w:bCs/>
          <w:color w:val="000000"/>
          <w:sz w:val="24"/>
          <w:szCs w:val="24"/>
          <w:highlight w:val="yellow"/>
        </w:rPr>
        <w:sectPr w:rsidR="00746316" w:rsidSect="000E1074">
          <w:headerReference w:type="even" r:id="rId11"/>
          <w:headerReference w:type="default" r:id="rId12"/>
          <w:footerReference w:type="even" r:id="rId13"/>
          <w:footerReference w:type="default" r:id="rId14"/>
          <w:headerReference w:type="first" r:id="rId15"/>
          <w:footerReference w:type="first" r:id="rId16"/>
          <w:pgSz w:w="11906" w:h="16838"/>
          <w:pgMar w:top="1134" w:right="991" w:bottom="1135" w:left="1440" w:header="426" w:footer="252" w:gutter="0"/>
          <w:pgNumType w:start="0"/>
          <w:cols w:space="708"/>
          <w:titlePg/>
          <w:docGrid w:linePitch="360"/>
        </w:sectPr>
      </w:pPr>
    </w:p>
    <w:p w14:paraId="0694A56B" w14:textId="5373A0CF" w:rsidR="00175074" w:rsidRDefault="00175074" w:rsidP="007520A6">
      <w:pPr>
        <w:keepNext/>
        <w:jc w:val="both"/>
        <w:rPr>
          <w:rFonts w:asciiTheme="minorHAnsi" w:eastAsia="Segoe UI" w:hAnsiTheme="minorHAnsi" w:cstheme="minorHAnsi"/>
          <w:b/>
          <w:bCs/>
          <w:color w:val="000000"/>
          <w:sz w:val="24"/>
          <w:szCs w:val="24"/>
        </w:rPr>
      </w:pPr>
      <w:r w:rsidRPr="00400CD0">
        <w:rPr>
          <w:rFonts w:asciiTheme="minorHAnsi" w:eastAsia="Segoe UI" w:hAnsiTheme="minorHAnsi" w:cstheme="minorHAnsi"/>
          <w:b/>
          <w:bCs/>
          <w:color w:val="000000"/>
          <w:sz w:val="24"/>
          <w:szCs w:val="24"/>
        </w:rPr>
        <w:lastRenderedPageBreak/>
        <w:t xml:space="preserve">Figure </w:t>
      </w:r>
      <w:r w:rsidR="005238F0" w:rsidRPr="00400CD0">
        <w:rPr>
          <w:rFonts w:asciiTheme="minorHAnsi" w:eastAsia="Segoe UI" w:hAnsiTheme="minorHAnsi" w:cstheme="minorHAnsi"/>
          <w:b/>
          <w:bCs/>
          <w:color w:val="000000"/>
          <w:sz w:val="24"/>
          <w:szCs w:val="24"/>
        </w:rPr>
        <w:t>1</w:t>
      </w:r>
      <w:r w:rsidRPr="00400CD0">
        <w:rPr>
          <w:rFonts w:asciiTheme="minorHAnsi" w:eastAsia="Segoe UI" w:hAnsiTheme="minorHAnsi" w:cstheme="minorHAnsi"/>
          <w:b/>
          <w:bCs/>
          <w:color w:val="000000"/>
          <w:sz w:val="24"/>
          <w:szCs w:val="24"/>
        </w:rPr>
        <w:t xml:space="preserve"> Clinical steps involved with the delivery of cilta-cel</w:t>
      </w:r>
      <w:r w:rsidR="003016E0">
        <w:rPr>
          <w:rFonts w:asciiTheme="minorHAnsi" w:eastAsia="Segoe UI" w:hAnsiTheme="minorHAnsi" w:cstheme="minorHAnsi"/>
          <w:b/>
          <w:bCs/>
          <w:color w:val="000000"/>
          <w:sz w:val="24"/>
          <w:szCs w:val="24"/>
        </w:rPr>
        <w:t xml:space="preserve"> – Figure redacted</w:t>
      </w:r>
    </w:p>
    <w:p w14:paraId="18346727" w14:textId="77777777" w:rsidR="00A14E71" w:rsidRPr="00DE64B0" w:rsidRDefault="00A14E71" w:rsidP="007520A6">
      <w:pPr>
        <w:keepNext/>
        <w:jc w:val="both"/>
        <w:rPr>
          <w:rFonts w:asciiTheme="minorHAnsi" w:eastAsia="Segoe UI" w:hAnsiTheme="minorHAnsi" w:cstheme="minorHAnsi"/>
          <w:b/>
          <w:bCs/>
          <w:color w:val="000000"/>
          <w:sz w:val="24"/>
          <w:szCs w:val="24"/>
        </w:rPr>
      </w:pPr>
    </w:p>
    <w:p w14:paraId="57E40E37" w14:textId="11D625EB" w:rsidR="00746316" w:rsidRPr="00BE0CE1" w:rsidRDefault="00746316" w:rsidP="00BE0CE1">
      <w:pPr>
        <w:jc w:val="both"/>
        <w:rPr>
          <w:rFonts w:asciiTheme="minorHAnsi" w:eastAsia="Segoe UI" w:hAnsiTheme="minorHAnsi" w:cstheme="minorHAnsi"/>
          <w:color w:val="000000"/>
          <w:sz w:val="24"/>
          <w:szCs w:val="24"/>
        </w:rPr>
        <w:sectPr w:rsidR="00746316" w:rsidRPr="00BE0CE1" w:rsidSect="00746316">
          <w:pgSz w:w="16838" w:h="11906" w:orient="landscape"/>
          <w:pgMar w:top="1440" w:right="1134" w:bottom="992" w:left="1134" w:header="425" w:footer="249" w:gutter="0"/>
          <w:pgNumType w:start="0"/>
          <w:cols w:space="708"/>
          <w:titlePg/>
          <w:docGrid w:linePitch="360"/>
        </w:sectPr>
      </w:pPr>
    </w:p>
    <w:p w14:paraId="496F861E" w14:textId="6821D0E5" w:rsidR="00BE6B22" w:rsidRPr="00F849F2" w:rsidRDefault="00665487"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lastRenderedPageBreak/>
        <w:t>Identify how the proposed technology achieves the intended patient outcomes</w:t>
      </w:r>
      <w:r w:rsidR="00BE6B22" w:rsidRPr="00F849F2">
        <w:rPr>
          <w:rFonts w:asciiTheme="minorHAnsi" w:hAnsiTheme="minorHAnsi" w:cstheme="minorHAnsi"/>
          <w:b/>
          <w:bCs/>
          <w:sz w:val="24"/>
          <w:szCs w:val="24"/>
        </w:rPr>
        <w:t>:</w:t>
      </w:r>
    </w:p>
    <w:p w14:paraId="37B246AC" w14:textId="77777777" w:rsidR="005411A3" w:rsidRDefault="005411A3" w:rsidP="005411A3">
      <w:pPr>
        <w:jc w:val="both"/>
        <w:rPr>
          <w:rFonts w:asciiTheme="minorHAnsi" w:hAnsiTheme="minorHAnsi" w:cstheme="minorHAnsi"/>
          <w:sz w:val="24"/>
          <w:szCs w:val="24"/>
        </w:rPr>
      </w:pPr>
      <w:r w:rsidRPr="009E2976">
        <w:rPr>
          <w:rFonts w:asciiTheme="minorHAnsi" w:hAnsiTheme="minorHAnsi" w:cstheme="minorHAnsi"/>
          <w:sz w:val="24"/>
          <w:szCs w:val="24"/>
        </w:rPr>
        <w:t xml:space="preserve">Cilta-cel consists of autologous CAR-T cells designed to target the biomarker, B cell maturation antigen (BCMA) which is a type III membrane protein and a part of the tumour necrosis receptor superfamily. BCMA is stably expressed in malignant multiple myeloma plasma cells in almost all patients with MM. Expression of BCMA in non-malignant cells is minimal and limited to plasma cells and a small subset of B cells. BCMA also facilitates MM plasma cell survival. </w:t>
      </w:r>
    </w:p>
    <w:p w14:paraId="52AD619B" w14:textId="795F9005" w:rsidR="005258BB" w:rsidRPr="00C3143A" w:rsidRDefault="005258BB" w:rsidP="005A7C3C">
      <w:pPr>
        <w:jc w:val="both"/>
        <w:rPr>
          <w:rFonts w:asciiTheme="minorHAnsi" w:hAnsiTheme="minorHAnsi" w:cstheme="minorHAnsi"/>
          <w:i/>
          <w:iCs/>
          <w:sz w:val="24"/>
          <w:szCs w:val="24"/>
        </w:rPr>
      </w:pPr>
      <w:r w:rsidRPr="00C3143A">
        <w:rPr>
          <w:rFonts w:asciiTheme="minorHAnsi" w:hAnsiTheme="minorHAnsi" w:cstheme="minorHAnsi"/>
          <w:i/>
          <w:iCs/>
          <w:sz w:val="24"/>
          <w:szCs w:val="24"/>
        </w:rPr>
        <w:t>Mechanism of cilta-cel</w:t>
      </w:r>
    </w:p>
    <w:p w14:paraId="5E9FCA5A" w14:textId="6D362EC6" w:rsidR="005A7C3C" w:rsidRPr="005A7C3C" w:rsidRDefault="005A7C3C" w:rsidP="005A7C3C">
      <w:pPr>
        <w:jc w:val="both"/>
        <w:rPr>
          <w:rFonts w:asciiTheme="minorHAnsi" w:hAnsiTheme="minorHAnsi" w:cstheme="minorHAnsi"/>
          <w:sz w:val="24"/>
          <w:szCs w:val="24"/>
        </w:rPr>
      </w:pPr>
      <w:r w:rsidRPr="005A7C3C">
        <w:rPr>
          <w:rFonts w:asciiTheme="minorHAnsi" w:hAnsiTheme="minorHAnsi" w:cstheme="minorHAnsi"/>
          <w:sz w:val="24"/>
          <w:szCs w:val="24"/>
        </w:rPr>
        <w:t xml:space="preserve">Cilta-cel is prepared from the patient’s peripheral blood mononuclear cells obtained via a leukapheresis. The mononuclear cells are enriched for T-cells and genetically modified ex vivo by transduction with a replication incompetent lentiviral vector to express a chimeric antigen receptor (CAR) comprising an anti-BCMA targeting domain. The transduced anti-BCMA CAR T-cells are then expanded and infused and formulated into a suspension prior to infusion back into the patient, where the anti-BCMA CAR T-cells can recognise and eliminate BCMA expressing target cells. </w:t>
      </w:r>
    </w:p>
    <w:p w14:paraId="6D3CB113" w14:textId="58325D26" w:rsidR="005A7C3C" w:rsidRPr="005A7C3C" w:rsidRDefault="005A7C3C" w:rsidP="005A7C3C">
      <w:pPr>
        <w:jc w:val="both"/>
        <w:rPr>
          <w:rFonts w:asciiTheme="minorHAnsi" w:hAnsiTheme="minorHAnsi" w:cstheme="minorHAnsi"/>
          <w:sz w:val="24"/>
          <w:szCs w:val="24"/>
        </w:rPr>
      </w:pPr>
      <w:r w:rsidRPr="005A7C3C">
        <w:rPr>
          <w:rFonts w:asciiTheme="minorHAnsi" w:hAnsiTheme="minorHAnsi" w:cstheme="minorHAnsi"/>
          <w:sz w:val="24"/>
          <w:szCs w:val="24"/>
        </w:rPr>
        <w:t xml:space="preserve">The therapy includes two variable heavy homodimer (VHH) domains that are directed against two distinct BCMA epitopes. These domains enable high-avidity binding of cilta-cel to BCMA. This is an important distinction of cilta-cel from other CAR T cell therapies, which only have one BCMA binding domain, such as </w:t>
      </w:r>
      <w:proofErr w:type="spellStart"/>
      <w:r w:rsidRPr="005A7C3C">
        <w:rPr>
          <w:rFonts w:asciiTheme="minorHAnsi" w:hAnsiTheme="minorHAnsi" w:cstheme="minorHAnsi"/>
          <w:sz w:val="24"/>
          <w:szCs w:val="24"/>
        </w:rPr>
        <w:t>idecabtagene</w:t>
      </w:r>
      <w:proofErr w:type="spellEnd"/>
      <w:r w:rsidRPr="005A7C3C">
        <w:rPr>
          <w:rFonts w:asciiTheme="minorHAnsi" w:hAnsiTheme="minorHAnsi" w:cstheme="minorHAnsi"/>
          <w:sz w:val="24"/>
          <w:szCs w:val="24"/>
        </w:rPr>
        <w:t xml:space="preserve"> </w:t>
      </w:r>
      <w:proofErr w:type="spellStart"/>
      <w:r w:rsidRPr="005A7C3C">
        <w:rPr>
          <w:rFonts w:asciiTheme="minorHAnsi" w:hAnsiTheme="minorHAnsi" w:cstheme="minorHAnsi"/>
          <w:sz w:val="24"/>
          <w:szCs w:val="24"/>
        </w:rPr>
        <w:t>vicleucel</w:t>
      </w:r>
      <w:proofErr w:type="spellEnd"/>
      <w:r w:rsidRPr="005A7C3C">
        <w:rPr>
          <w:rFonts w:asciiTheme="minorHAnsi" w:hAnsiTheme="minorHAnsi" w:cstheme="minorHAnsi"/>
          <w:sz w:val="24"/>
          <w:szCs w:val="24"/>
        </w:rPr>
        <w:t xml:space="preserve"> (ide-cel).</w:t>
      </w:r>
    </w:p>
    <w:p w14:paraId="4C622714" w14:textId="394663C5" w:rsidR="005A7C3C" w:rsidRPr="00C3143A" w:rsidRDefault="005A7C3C" w:rsidP="005A7C3C">
      <w:pPr>
        <w:jc w:val="both"/>
        <w:rPr>
          <w:rFonts w:asciiTheme="minorHAnsi" w:hAnsiTheme="minorHAnsi" w:cstheme="minorHAnsi"/>
          <w:b/>
          <w:bCs/>
          <w:sz w:val="24"/>
          <w:szCs w:val="24"/>
        </w:rPr>
      </w:pPr>
      <w:r w:rsidRPr="00C3143A">
        <w:rPr>
          <w:rFonts w:asciiTheme="minorHAnsi" w:hAnsiTheme="minorHAnsi" w:cstheme="minorHAnsi"/>
          <w:b/>
          <w:bCs/>
          <w:sz w:val="24"/>
          <w:szCs w:val="24"/>
        </w:rPr>
        <w:t xml:space="preserve">Figure </w:t>
      </w:r>
      <w:r w:rsidR="005258BB">
        <w:rPr>
          <w:rFonts w:asciiTheme="minorHAnsi" w:hAnsiTheme="minorHAnsi" w:cstheme="minorHAnsi"/>
          <w:b/>
          <w:bCs/>
          <w:sz w:val="24"/>
          <w:szCs w:val="24"/>
        </w:rPr>
        <w:t>2 Composition of cilta-cel</w:t>
      </w:r>
    </w:p>
    <w:p w14:paraId="6C8209CC" w14:textId="7D3FE37F" w:rsidR="005A7C3C" w:rsidRPr="005A7C3C" w:rsidRDefault="005A7C3C" w:rsidP="005A7C3C">
      <w:pPr>
        <w:jc w:val="both"/>
        <w:rPr>
          <w:rFonts w:asciiTheme="minorHAnsi" w:hAnsiTheme="minorHAnsi" w:cstheme="minorHAnsi"/>
          <w:sz w:val="24"/>
          <w:szCs w:val="24"/>
        </w:rPr>
      </w:pPr>
      <w:r w:rsidRPr="005A7C3C">
        <w:rPr>
          <w:rFonts w:asciiTheme="minorHAnsi" w:hAnsiTheme="minorHAnsi" w:cstheme="minorHAnsi"/>
          <w:sz w:val="24"/>
          <w:szCs w:val="24"/>
        </w:rPr>
        <w:t xml:space="preserve"> </w:t>
      </w:r>
      <w:r w:rsidR="007804D5" w:rsidRPr="00542DCE">
        <w:rPr>
          <w:noProof/>
        </w:rPr>
        <w:drawing>
          <wp:inline distT="0" distB="0" distL="0" distR="0" wp14:anchorId="17078A6E" wp14:editId="6F51E4F4">
            <wp:extent cx="6016625" cy="2363496"/>
            <wp:effectExtent l="0" t="0" r="3175" b="0"/>
            <wp:docPr id="459" name="Picture 459" descr="Picture showing the composition of cilta-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Picture 459" descr="Picture showing the composition of cilta-cel"/>
                    <pic:cNvPicPr/>
                  </pic:nvPicPr>
                  <pic:blipFill>
                    <a:blip r:embed="rId17"/>
                    <a:stretch>
                      <a:fillRect/>
                    </a:stretch>
                  </pic:blipFill>
                  <pic:spPr>
                    <a:xfrm>
                      <a:off x="0" y="0"/>
                      <a:ext cx="6016625" cy="2363496"/>
                    </a:xfrm>
                    <a:prstGeom prst="rect">
                      <a:avLst/>
                    </a:prstGeom>
                  </pic:spPr>
                </pic:pic>
              </a:graphicData>
            </a:graphic>
          </wp:inline>
        </w:drawing>
      </w:r>
    </w:p>
    <w:p w14:paraId="5E4F0EC3" w14:textId="53BEC7A7" w:rsidR="005A7C3C" w:rsidRPr="00C3143A" w:rsidRDefault="005A7C3C" w:rsidP="005A7C3C">
      <w:pPr>
        <w:jc w:val="both"/>
        <w:rPr>
          <w:rFonts w:asciiTheme="minorHAnsi" w:hAnsiTheme="minorHAnsi" w:cstheme="minorHAnsi"/>
          <w:sz w:val="20"/>
          <w:szCs w:val="20"/>
        </w:rPr>
      </w:pPr>
      <w:r w:rsidRPr="00C3143A">
        <w:rPr>
          <w:rFonts w:asciiTheme="minorHAnsi" w:hAnsiTheme="minorHAnsi" w:cstheme="minorHAnsi"/>
          <w:sz w:val="20"/>
          <w:szCs w:val="20"/>
        </w:rPr>
        <w:t>Abbreviations: BCMA = B-cell maturation antigen; CAR = chimeric antigen receptor.</w:t>
      </w:r>
    </w:p>
    <w:p w14:paraId="794A812C" w14:textId="70CE0AF1" w:rsidR="004805BF" w:rsidRDefault="00EB032E" w:rsidP="007520A6">
      <w:pPr>
        <w:jc w:val="both"/>
        <w:rPr>
          <w:rFonts w:asciiTheme="minorHAnsi" w:hAnsiTheme="minorHAnsi" w:cstheme="minorHAnsi"/>
          <w:sz w:val="24"/>
          <w:szCs w:val="24"/>
        </w:rPr>
      </w:pPr>
      <w:r w:rsidRPr="00204FB8">
        <w:rPr>
          <w:rFonts w:asciiTheme="minorHAnsi" w:hAnsiTheme="minorHAnsi" w:cstheme="minorHAnsi"/>
          <w:sz w:val="24"/>
          <w:szCs w:val="24"/>
        </w:rPr>
        <w:t xml:space="preserve">Refer to the above for the </w:t>
      </w:r>
      <w:r w:rsidR="00204FB8" w:rsidRPr="00204FB8">
        <w:rPr>
          <w:rFonts w:asciiTheme="minorHAnsi" w:hAnsiTheme="minorHAnsi" w:cstheme="minorHAnsi"/>
          <w:sz w:val="24"/>
          <w:szCs w:val="24"/>
        </w:rPr>
        <w:t>clinical steps involved with delivering cilta-cel.</w:t>
      </w:r>
    </w:p>
    <w:p w14:paraId="0F9D3230" w14:textId="56759E66" w:rsidR="00BE6B22" w:rsidRPr="00F849F2" w:rsidRDefault="00665487"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Does the proposed health technology include a registered trademark component with characteristics that distinguishes it from other similar health components</w:t>
      </w:r>
      <w:r w:rsidR="00BE6B22" w:rsidRPr="00F849F2">
        <w:rPr>
          <w:rFonts w:asciiTheme="minorHAnsi" w:hAnsiTheme="minorHAnsi" w:cstheme="minorHAnsi"/>
          <w:b/>
          <w:bCs/>
          <w:sz w:val="24"/>
          <w:szCs w:val="24"/>
        </w:rPr>
        <w:t>?</w:t>
      </w:r>
    </w:p>
    <w:p w14:paraId="6F3B5B06" w14:textId="093866F4" w:rsidR="00BE6B22" w:rsidRPr="00F849F2" w:rsidRDefault="00BE6B22" w:rsidP="007520A6">
      <w:pPr>
        <w:jc w:val="both"/>
        <w:rPr>
          <w:rFonts w:asciiTheme="minorHAnsi" w:hAnsiTheme="minorHAnsi" w:cstheme="minorHAnsi"/>
          <w:sz w:val="24"/>
          <w:szCs w:val="24"/>
        </w:rPr>
      </w:pPr>
      <w:r w:rsidRPr="00682E60">
        <w:rPr>
          <w:rFonts w:asciiTheme="minorHAnsi" w:hAnsiTheme="minorHAnsi" w:cstheme="minorHAnsi"/>
          <w:sz w:val="24"/>
          <w:szCs w:val="24"/>
        </w:rPr>
        <w:t>Yes</w:t>
      </w:r>
    </w:p>
    <w:p w14:paraId="6FE677F6" w14:textId="3A4A782F" w:rsidR="00B759D1" w:rsidRPr="00F849F2" w:rsidRDefault="00665487"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Explain whether it is essential to have this trademark component or whether there would be other components that would be suitable</w:t>
      </w:r>
      <w:r w:rsidR="00B759D1" w:rsidRPr="00F849F2">
        <w:rPr>
          <w:rFonts w:asciiTheme="minorHAnsi" w:hAnsiTheme="minorHAnsi" w:cstheme="minorHAnsi"/>
          <w:b/>
          <w:bCs/>
          <w:sz w:val="24"/>
          <w:szCs w:val="24"/>
        </w:rPr>
        <w:t>:</w:t>
      </w:r>
    </w:p>
    <w:p w14:paraId="110612C7" w14:textId="252F6FFB" w:rsidR="009E2976" w:rsidRPr="009E2976" w:rsidRDefault="0094606B" w:rsidP="007520A6">
      <w:pPr>
        <w:jc w:val="both"/>
        <w:rPr>
          <w:rFonts w:asciiTheme="minorHAnsi" w:hAnsiTheme="minorHAnsi" w:cstheme="minorHAnsi"/>
          <w:sz w:val="24"/>
          <w:szCs w:val="24"/>
        </w:rPr>
      </w:pPr>
      <w:r>
        <w:rPr>
          <w:rFonts w:asciiTheme="minorHAnsi" w:hAnsiTheme="minorHAnsi" w:cstheme="minorHAnsi"/>
          <w:sz w:val="24"/>
          <w:szCs w:val="24"/>
        </w:rPr>
        <w:t>C</w:t>
      </w:r>
      <w:r w:rsidR="009E2976" w:rsidRPr="009E2976">
        <w:rPr>
          <w:rFonts w:asciiTheme="minorHAnsi" w:hAnsiTheme="minorHAnsi" w:cstheme="minorHAnsi"/>
          <w:sz w:val="24"/>
          <w:szCs w:val="24"/>
        </w:rPr>
        <w:t>iltacabtagene autoleucel will be supplied as a trademarked class 4 biological product;</w:t>
      </w:r>
      <w:r>
        <w:rPr>
          <w:rFonts w:asciiTheme="minorHAnsi" w:hAnsiTheme="minorHAnsi" w:cstheme="minorHAnsi"/>
          <w:sz w:val="24"/>
          <w:szCs w:val="24"/>
        </w:rPr>
        <w:t xml:space="preserve"> </w:t>
      </w:r>
      <w:r w:rsidR="009E2976" w:rsidRPr="009E2976">
        <w:rPr>
          <w:rFonts w:asciiTheme="minorHAnsi" w:hAnsiTheme="minorHAnsi" w:cstheme="minorHAnsi"/>
          <w:sz w:val="24"/>
          <w:szCs w:val="24"/>
        </w:rPr>
        <w:t>CARVYKTI®.</w:t>
      </w:r>
    </w:p>
    <w:p w14:paraId="1A571D67" w14:textId="6F6101F7" w:rsidR="005F7BC4" w:rsidRPr="009E2976" w:rsidRDefault="005F7BC4" w:rsidP="007520A6">
      <w:pPr>
        <w:jc w:val="both"/>
        <w:rPr>
          <w:rFonts w:asciiTheme="minorHAnsi" w:hAnsiTheme="minorHAnsi" w:cstheme="minorHAnsi"/>
          <w:sz w:val="24"/>
          <w:szCs w:val="24"/>
        </w:rPr>
      </w:pPr>
      <w:r>
        <w:rPr>
          <w:rFonts w:asciiTheme="minorHAnsi" w:hAnsiTheme="minorHAnsi" w:cstheme="minorHAnsi"/>
          <w:sz w:val="24"/>
          <w:szCs w:val="24"/>
        </w:rPr>
        <w:t>This is consistent with NHRA funded cilta-cel for 5L+ MM.</w:t>
      </w:r>
    </w:p>
    <w:p w14:paraId="46AD8179" w14:textId="2CA26B0F" w:rsidR="00665487" w:rsidRPr="00F849F2" w:rsidRDefault="00EA7B42" w:rsidP="00071A7D">
      <w:pPr>
        <w:keepNext/>
        <w:keepLines/>
        <w:jc w:val="both"/>
        <w:rPr>
          <w:rFonts w:asciiTheme="minorHAnsi" w:hAnsiTheme="minorHAnsi" w:cstheme="minorHAnsi"/>
          <w:b/>
          <w:bCs/>
          <w:sz w:val="24"/>
          <w:szCs w:val="24"/>
        </w:rPr>
      </w:pPr>
      <w:r w:rsidRPr="00F849F2">
        <w:rPr>
          <w:rFonts w:asciiTheme="minorHAnsi" w:hAnsiTheme="minorHAnsi" w:cstheme="minorHAnsi"/>
          <w:b/>
          <w:bCs/>
          <w:sz w:val="24"/>
          <w:szCs w:val="24"/>
        </w:rPr>
        <w:lastRenderedPageBreak/>
        <w:t>Are there any proposed limitations on the provision of the proposed health technology delivered to the patient (For example: accessibility, dosage, quantity, duration or frequency):</w:t>
      </w:r>
    </w:p>
    <w:p w14:paraId="74CA55B1" w14:textId="502F2C17" w:rsidR="00C44068" w:rsidRPr="000C51F9" w:rsidRDefault="00665487" w:rsidP="00071A7D">
      <w:pPr>
        <w:keepNext/>
        <w:keepLines/>
        <w:jc w:val="both"/>
        <w:rPr>
          <w:rFonts w:asciiTheme="minorHAnsi" w:hAnsiTheme="minorHAnsi" w:cstheme="minorHAnsi"/>
          <w:sz w:val="24"/>
          <w:szCs w:val="24"/>
        </w:rPr>
      </w:pPr>
      <w:r w:rsidRPr="00682E60">
        <w:rPr>
          <w:rFonts w:asciiTheme="minorHAnsi" w:hAnsiTheme="minorHAnsi" w:cstheme="minorHAnsi"/>
          <w:sz w:val="24"/>
          <w:szCs w:val="24"/>
        </w:rPr>
        <w:t>Yes</w:t>
      </w:r>
    </w:p>
    <w:p w14:paraId="207973FE" w14:textId="76B241D8" w:rsidR="00665487" w:rsidRPr="00F849F2" w:rsidRDefault="00EA7B42" w:rsidP="007520A6">
      <w:pPr>
        <w:keepNext/>
        <w:jc w:val="both"/>
        <w:rPr>
          <w:rFonts w:asciiTheme="minorHAnsi" w:hAnsiTheme="minorHAnsi" w:cstheme="minorHAnsi"/>
          <w:b/>
          <w:bCs/>
          <w:sz w:val="24"/>
          <w:szCs w:val="24"/>
        </w:rPr>
      </w:pPr>
      <w:r w:rsidRPr="00F849F2">
        <w:rPr>
          <w:rFonts w:asciiTheme="minorHAnsi" w:hAnsiTheme="minorHAnsi" w:cstheme="minorHAnsi"/>
          <w:b/>
          <w:bCs/>
          <w:sz w:val="24"/>
          <w:szCs w:val="24"/>
        </w:rPr>
        <w:t>Provide details and explain</w:t>
      </w:r>
      <w:r w:rsidR="00665487" w:rsidRPr="00F849F2">
        <w:rPr>
          <w:rFonts w:asciiTheme="minorHAnsi" w:hAnsiTheme="minorHAnsi" w:cstheme="minorHAnsi"/>
          <w:b/>
          <w:bCs/>
          <w:sz w:val="24"/>
          <w:szCs w:val="24"/>
        </w:rPr>
        <w:t>:</w:t>
      </w:r>
    </w:p>
    <w:p w14:paraId="7E539633" w14:textId="77777777" w:rsidR="000C51F9" w:rsidRPr="000C51F9" w:rsidRDefault="000C51F9" w:rsidP="007520A6">
      <w:pPr>
        <w:jc w:val="both"/>
        <w:rPr>
          <w:rFonts w:asciiTheme="minorHAnsi" w:hAnsiTheme="minorHAnsi" w:cstheme="minorHAnsi"/>
          <w:sz w:val="24"/>
          <w:szCs w:val="24"/>
        </w:rPr>
      </w:pPr>
      <w:r w:rsidRPr="000C51F9">
        <w:rPr>
          <w:rFonts w:asciiTheme="minorHAnsi" w:hAnsiTheme="minorHAnsi" w:cstheme="minorHAnsi"/>
          <w:sz w:val="24"/>
          <w:szCs w:val="24"/>
        </w:rPr>
        <w:t>The following limitations are applied to the proposed medical service:</w:t>
      </w:r>
    </w:p>
    <w:p w14:paraId="67B6316A" w14:textId="6FFD0C66" w:rsidR="000C51F9" w:rsidRPr="000C51F9" w:rsidRDefault="000C51F9" w:rsidP="007520A6">
      <w:pPr>
        <w:jc w:val="both"/>
        <w:rPr>
          <w:rFonts w:asciiTheme="minorHAnsi" w:hAnsiTheme="minorHAnsi" w:cstheme="minorHAnsi"/>
          <w:sz w:val="24"/>
          <w:szCs w:val="24"/>
        </w:rPr>
      </w:pPr>
      <w:r w:rsidRPr="000C51F9">
        <w:rPr>
          <w:rFonts w:asciiTheme="minorHAnsi" w:hAnsiTheme="minorHAnsi" w:cstheme="minorHAnsi"/>
          <w:sz w:val="24"/>
          <w:szCs w:val="24"/>
        </w:rPr>
        <w:t xml:space="preserve">Dosing: </w:t>
      </w:r>
      <w:r w:rsidRPr="00F4138C">
        <w:rPr>
          <w:rFonts w:asciiTheme="minorHAnsi" w:hAnsiTheme="minorHAnsi" w:cstheme="minorHAnsi"/>
          <w:sz w:val="24"/>
          <w:szCs w:val="24"/>
        </w:rPr>
        <w:t>Cilta-cel is to be administered as a single dose for infusion per patient containing a suspension of chimeric antigen receptor (CAR)-positive viable T-cells.  The dose is 0.5-1.0×10</w:t>
      </w:r>
      <w:r w:rsidRPr="00F4138C">
        <w:rPr>
          <w:rFonts w:asciiTheme="minorHAnsi" w:hAnsiTheme="minorHAnsi" w:cstheme="minorHAnsi"/>
          <w:sz w:val="24"/>
          <w:szCs w:val="24"/>
          <w:vertAlign w:val="superscript"/>
        </w:rPr>
        <w:t>6</w:t>
      </w:r>
      <w:r w:rsidRPr="00F4138C">
        <w:rPr>
          <w:rFonts w:asciiTheme="minorHAnsi" w:hAnsiTheme="minorHAnsi" w:cstheme="minorHAnsi"/>
          <w:sz w:val="24"/>
          <w:szCs w:val="24"/>
        </w:rPr>
        <w:t xml:space="preserve"> CAR-positive viable T-cells per kg of body weight, with a maximum dose of 1×10</w:t>
      </w:r>
      <w:r w:rsidRPr="00F4138C">
        <w:rPr>
          <w:rFonts w:asciiTheme="minorHAnsi" w:hAnsiTheme="minorHAnsi" w:cstheme="minorHAnsi"/>
          <w:sz w:val="24"/>
          <w:szCs w:val="24"/>
          <w:vertAlign w:val="superscript"/>
        </w:rPr>
        <w:t>8</w:t>
      </w:r>
      <w:r w:rsidRPr="00F4138C">
        <w:rPr>
          <w:rFonts w:asciiTheme="minorHAnsi" w:hAnsiTheme="minorHAnsi" w:cstheme="minorHAnsi"/>
          <w:sz w:val="24"/>
          <w:szCs w:val="24"/>
        </w:rPr>
        <w:t xml:space="preserve"> CAR-positive viable T-cells per single infusion. The infusion should be given 5 to 7 days after the start of the lymphodepleting regimen.</w:t>
      </w:r>
      <w:r w:rsidRPr="000C51F9">
        <w:rPr>
          <w:rFonts w:asciiTheme="minorHAnsi" w:hAnsiTheme="minorHAnsi" w:cstheme="minorHAnsi"/>
          <w:sz w:val="24"/>
          <w:szCs w:val="24"/>
        </w:rPr>
        <w:t xml:space="preserve"> </w:t>
      </w:r>
      <w:r w:rsidR="00F4138C">
        <w:rPr>
          <w:rFonts w:asciiTheme="minorHAnsi" w:hAnsiTheme="minorHAnsi" w:cstheme="minorHAnsi"/>
          <w:sz w:val="24"/>
          <w:szCs w:val="24"/>
        </w:rPr>
        <w:t>The dosing for cilta-cel in 2L+ MM is consistent with the dosing of cilta-cel for 5L+ MM.</w:t>
      </w:r>
    </w:p>
    <w:p w14:paraId="53929855" w14:textId="58FD995C" w:rsidR="000C51F9" w:rsidRPr="000C51F9" w:rsidRDefault="000C51F9" w:rsidP="007520A6">
      <w:pPr>
        <w:jc w:val="both"/>
        <w:rPr>
          <w:rFonts w:asciiTheme="minorHAnsi" w:hAnsiTheme="minorHAnsi" w:cstheme="minorHAnsi"/>
          <w:sz w:val="24"/>
          <w:szCs w:val="24"/>
        </w:rPr>
      </w:pPr>
      <w:r w:rsidRPr="000C51F9">
        <w:rPr>
          <w:rFonts w:asciiTheme="minorHAnsi" w:hAnsiTheme="minorHAnsi" w:cstheme="minorHAnsi"/>
          <w:sz w:val="24"/>
          <w:szCs w:val="24"/>
        </w:rPr>
        <w:t xml:space="preserve">Number of CAR-T treatments in a lifetime: Consistent with the MSAC recommendation for </w:t>
      </w:r>
      <w:r>
        <w:rPr>
          <w:rFonts w:asciiTheme="minorHAnsi" w:hAnsiTheme="minorHAnsi" w:cstheme="minorHAnsi"/>
          <w:sz w:val="24"/>
          <w:szCs w:val="24"/>
        </w:rPr>
        <w:t>cilta-cel for 5L+ MM (November 2024)</w:t>
      </w:r>
      <w:r w:rsidRPr="000C51F9">
        <w:rPr>
          <w:rFonts w:asciiTheme="minorHAnsi" w:hAnsiTheme="minorHAnsi" w:cstheme="minorHAnsi"/>
          <w:sz w:val="24"/>
          <w:szCs w:val="24"/>
        </w:rPr>
        <w:t xml:space="preserve">, </w:t>
      </w:r>
      <w:r w:rsidR="00F4138C">
        <w:rPr>
          <w:rFonts w:asciiTheme="minorHAnsi" w:hAnsiTheme="minorHAnsi" w:cstheme="minorHAnsi"/>
          <w:sz w:val="24"/>
          <w:szCs w:val="24"/>
        </w:rPr>
        <w:t xml:space="preserve">and the current NHRA funding of cilta-cel for 5L+ MM, </w:t>
      </w:r>
      <w:r w:rsidRPr="000C51F9">
        <w:rPr>
          <w:rFonts w:asciiTheme="minorHAnsi" w:hAnsiTheme="minorHAnsi" w:cstheme="minorHAnsi"/>
          <w:sz w:val="24"/>
          <w:szCs w:val="24"/>
        </w:rPr>
        <w:t xml:space="preserve">it is proposed that </w:t>
      </w:r>
      <w:r w:rsidR="00F4138C">
        <w:rPr>
          <w:rFonts w:asciiTheme="minorHAnsi" w:hAnsiTheme="minorHAnsi" w:cstheme="minorHAnsi"/>
          <w:sz w:val="24"/>
          <w:szCs w:val="24"/>
        </w:rPr>
        <w:t xml:space="preserve">2L+ MM </w:t>
      </w:r>
      <w:r w:rsidRPr="000C51F9">
        <w:rPr>
          <w:rFonts w:asciiTheme="minorHAnsi" w:hAnsiTheme="minorHAnsi" w:cstheme="minorHAnsi"/>
          <w:sz w:val="24"/>
          <w:szCs w:val="24"/>
        </w:rPr>
        <w:t>patients would be limited to one successful CAR-T infusion per lifetime. A successful infusion is when the patient with RRMM has been infused with the optimal cilta-cel dosage as per the recommend dose above.</w:t>
      </w:r>
    </w:p>
    <w:p w14:paraId="39EAD324" w14:textId="77777777" w:rsidR="000C51F9" w:rsidRPr="000C51F9" w:rsidRDefault="000C51F9" w:rsidP="007520A6">
      <w:pPr>
        <w:jc w:val="both"/>
        <w:rPr>
          <w:rFonts w:asciiTheme="minorHAnsi" w:hAnsiTheme="minorHAnsi" w:cstheme="minorHAnsi"/>
          <w:sz w:val="24"/>
          <w:szCs w:val="24"/>
        </w:rPr>
      </w:pPr>
      <w:r w:rsidRPr="000C51F9">
        <w:rPr>
          <w:rFonts w:asciiTheme="minorHAnsi" w:hAnsiTheme="minorHAnsi" w:cstheme="minorHAnsi"/>
          <w:sz w:val="24"/>
          <w:szCs w:val="24"/>
        </w:rPr>
        <w:t>Prescriber: Treatment will be prescribed and monitored by an experienced haematologist working in a multidisciplinary team specialising in the provision of CAR-T cell therapy.</w:t>
      </w:r>
    </w:p>
    <w:p w14:paraId="4C5B6CE1" w14:textId="3CBB608C" w:rsidR="000C51F9" w:rsidRPr="00071A7D" w:rsidRDefault="000C51F9" w:rsidP="007520A6">
      <w:pPr>
        <w:jc w:val="both"/>
        <w:rPr>
          <w:rFonts w:asciiTheme="minorHAnsi" w:hAnsiTheme="minorHAnsi" w:cstheme="minorHAnsi"/>
          <w:sz w:val="24"/>
          <w:szCs w:val="24"/>
        </w:rPr>
      </w:pPr>
      <w:r w:rsidRPr="00EE5485">
        <w:rPr>
          <w:rFonts w:asciiTheme="minorHAnsi" w:hAnsiTheme="minorHAnsi" w:cstheme="minorHAnsi"/>
          <w:sz w:val="24"/>
          <w:szCs w:val="24"/>
        </w:rPr>
        <w:t xml:space="preserve">Treatment centre: </w:t>
      </w:r>
      <w:r w:rsidR="006656AD">
        <w:rPr>
          <w:rFonts w:asciiTheme="minorHAnsi" w:hAnsiTheme="minorHAnsi" w:cstheme="minorHAnsi"/>
          <w:sz w:val="24"/>
          <w:szCs w:val="24"/>
        </w:rPr>
        <w:t>T</w:t>
      </w:r>
      <w:r w:rsidR="006656AD" w:rsidRPr="006656AD">
        <w:rPr>
          <w:rFonts w:asciiTheme="minorHAnsi" w:hAnsiTheme="minorHAnsi" w:cstheme="minorHAnsi"/>
          <w:sz w:val="24"/>
          <w:szCs w:val="24"/>
        </w:rPr>
        <w:t>reatment with cilta-cel is limited to specialist public hospital centres across the Australian states and territories that have been accredited as CARVYKTI Certified Healthcare Facilities</w:t>
      </w:r>
      <w:r w:rsidRPr="00EE5485">
        <w:rPr>
          <w:rFonts w:asciiTheme="minorHAnsi" w:hAnsiTheme="minorHAnsi" w:cstheme="minorHAnsi"/>
          <w:sz w:val="24"/>
          <w:szCs w:val="24"/>
        </w:rPr>
        <w:t>.</w:t>
      </w:r>
    </w:p>
    <w:p w14:paraId="2F90F356" w14:textId="01E3C319" w:rsidR="006227EF" w:rsidRPr="00F849F2" w:rsidRDefault="006227EF"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If applicable, advise which health professionals will be needed to provide the proposed health technology:</w:t>
      </w:r>
    </w:p>
    <w:p w14:paraId="35F0787B" w14:textId="7B73ADCD" w:rsidR="004805BF" w:rsidRPr="00071A7D" w:rsidRDefault="00A557B2" w:rsidP="007520A6">
      <w:pPr>
        <w:jc w:val="both"/>
        <w:rPr>
          <w:rFonts w:asciiTheme="minorHAnsi" w:eastAsia="Segoe UI" w:hAnsiTheme="minorHAnsi" w:cstheme="minorHAnsi"/>
          <w:color w:val="000000"/>
          <w:sz w:val="24"/>
          <w:szCs w:val="24"/>
        </w:rPr>
      </w:pPr>
      <w:r w:rsidRPr="00A557B2">
        <w:rPr>
          <w:rFonts w:asciiTheme="minorHAnsi" w:eastAsia="Segoe UI" w:hAnsiTheme="minorHAnsi" w:cstheme="minorHAnsi"/>
          <w:color w:val="000000"/>
          <w:sz w:val="24"/>
          <w:szCs w:val="24"/>
        </w:rPr>
        <w:t>Infusion of cilta-cel will be delivered by a</w:t>
      </w:r>
      <w:r w:rsidR="008A1D18">
        <w:rPr>
          <w:rFonts w:asciiTheme="minorHAnsi" w:eastAsia="Segoe UI" w:hAnsiTheme="minorHAnsi" w:cstheme="minorHAnsi"/>
          <w:color w:val="000000"/>
          <w:sz w:val="24"/>
          <w:szCs w:val="24"/>
        </w:rPr>
        <w:t>n appropriately trained and qualified</w:t>
      </w:r>
      <w:r w:rsidRPr="00A557B2">
        <w:rPr>
          <w:rFonts w:asciiTheme="minorHAnsi" w:eastAsia="Segoe UI" w:hAnsiTheme="minorHAnsi" w:cstheme="minorHAnsi"/>
          <w:color w:val="000000"/>
          <w:sz w:val="24"/>
          <w:szCs w:val="24"/>
        </w:rPr>
        <w:t xml:space="preserve"> nurse and supervised by a haematologist in a</w:t>
      </w:r>
      <w:r w:rsidR="00D7670A">
        <w:rPr>
          <w:rFonts w:asciiTheme="minorHAnsi" w:eastAsia="Segoe UI" w:hAnsiTheme="minorHAnsi" w:cstheme="minorHAnsi"/>
          <w:color w:val="000000"/>
          <w:sz w:val="24"/>
          <w:szCs w:val="24"/>
        </w:rPr>
        <w:t>n accredited</w:t>
      </w:r>
      <w:r w:rsidRPr="00A557B2">
        <w:rPr>
          <w:rFonts w:asciiTheme="minorHAnsi" w:eastAsia="Segoe UI" w:hAnsiTheme="minorHAnsi" w:cstheme="minorHAnsi"/>
          <w:color w:val="000000"/>
          <w:sz w:val="24"/>
          <w:szCs w:val="24"/>
        </w:rPr>
        <w:t xml:space="preserve"> hospital setting. This is consistent with the administration of the </w:t>
      </w:r>
      <w:r w:rsidR="00421C27">
        <w:rPr>
          <w:rFonts w:asciiTheme="minorHAnsi" w:eastAsia="Segoe UI" w:hAnsiTheme="minorHAnsi" w:cstheme="minorHAnsi"/>
          <w:color w:val="000000"/>
          <w:sz w:val="24"/>
          <w:szCs w:val="24"/>
        </w:rPr>
        <w:t>NHRA funded cilta-cel for 5L+ MM</w:t>
      </w:r>
      <w:r w:rsidRPr="00421C27">
        <w:rPr>
          <w:rFonts w:asciiTheme="minorHAnsi" w:eastAsia="Segoe UI" w:hAnsiTheme="minorHAnsi" w:cstheme="minorHAnsi"/>
          <w:color w:val="000000"/>
          <w:sz w:val="24"/>
          <w:szCs w:val="24"/>
        </w:rPr>
        <w:t>.</w:t>
      </w:r>
    </w:p>
    <w:p w14:paraId="46150CA8" w14:textId="0E3F857B" w:rsidR="006227EF" w:rsidRPr="00F849F2" w:rsidRDefault="006227EF"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 xml:space="preserve">If applicable, advise </w:t>
      </w:r>
      <w:r w:rsidR="00BE0612" w:rsidRPr="00F849F2">
        <w:rPr>
          <w:rFonts w:asciiTheme="minorHAnsi" w:hAnsiTheme="minorHAnsi" w:cstheme="minorHAnsi"/>
          <w:b/>
          <w:bCs/>
          <w:sz w:val="24"/>
          <w:szCs w:val="24"/>
        </w:rPr>
        <w:t>whether delivery of the proposed health technology can be delegated to another</w:t>
      </w:r>
      <w:r w:rsidRPr="00F849F2">
        <w:rPr>
          <w:rFonts w:asciiTheme="minorHAnsi" w:hAnsiTheme="minorHAnsi" w:cstheme="minorHAnsi"/>
          <w:b/>
          <w:bCs/>
          <w:sz w:val="24"/>
          <w:szCs w:val="24"/>
        </w:rPr>
        <w:t xml:space="preserve"> health professional:</w:t>
      </w:r>
    </w:p>
    <w:p w14:paraId="02C29B4E" w14:textId="1FDF9499" w:rsidR="004805BF" w:rsidRPr="00071A7D" w:rsidRDefault="0014678D" w:rsidP="007520A6">
      <w:pPr>
        <w:jc w:val="both"/>
        <w:rPr>
          <w:rFonts w:asciiTheme="minorHAnsi" w:eastAsia="Segoe UI" w:hAnsiTheme="minorHAnsi" w:cstheme="minorHAnsi"/>
          <w:color w:val="000000"/>
          <w:sz w:val="24"/>
          <w:szCs w:val="24"/>
        </w:rPr>
      </w:pPr>
      <w:r w:rsidRPr="0014678D">
        <w:rPr>
          <w:rFonts w:asciiTheme="minorHAnsi" w:eastAsia="Segoe UI" w:hAnsiTheme="minorHAnsi" w:cstheme="minorHAnsi"/>
          <w:color w:val="000000"/>
          <w:sz w:val="24"/>
          <w:szCs w:val="24"/>
        </w:rPr>
        <w:t xml:space="preserve">It is not appropriate for this medical service to be delegated to another </w:t>
      </w:r>
      <w:r w:rsidR="00244AC3">
        <w:rPr>
          <w:rFonts w:asciiTheme="minorHAnsi" w:eastAsia="Segoe UI" w:hAnsiTheme="minorHAnsi" w:cstheme="minorHAnsi"/>
          <w:color w:val="000000"/>
          <w:sz w:val="24"/>
          <w:szCs w:val="24"/>
        </w:rPr>
        <w:t xml:space="preserve">health </w:t>
      </w:r>
      <w:r w:rsidRPr="0014678D">
        <w:rPr>
          <w:rFonts w:asciiTheme="minorHAnsi" w:eastAsia="Segoe UI" w:hAnsiTheme="minorHAnsi" w:cstheme="minorHAnsi"/>
          <w:color w:val="000000"/>
          <w:sz w:val="24"/>
          <w:szCs w:val="24"/>
        </w:rPr>
        <w:t>professional for delivery.</w:t>
      </w:r>
    </w:p>
    <w:p w14:paraId="414D5196" w14:textId="654AD462" w:rsidR="006227EF" w:rsidRPr="00F849F2" w:rsidRDefault="006227EF"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 xml:space="preserve">If applicable, advise </w:t>
      </w:r>
      <w:r w:rsidR="00BE0612" w:rsidRPr="00F849F2">
        <w:rPr>
          <w:rFonts w:asciiTheme="minorHAnsi" w:hAnsiTheme="minorHAnsi" w:cstheme="minorHAnsi"/>
          <w:b/>
          <w:bCs/>
          <w:sz w:val="24"/>
          <w:szCs w:val="24"/>
        </w:rPr>
        <w:t>if there are any limitations on which health professionals might provide a referral for</w:t>
      </w:r>
      <w:r w:rsidRPr="00F849F2">
        <w:rPr>
          <w:rFonts w:asciiTheme="minorHAnsi" w:hAnsiTheme="minorHAnsi" w:cstheme="minorHAnsi"/>
          <w:b/>
          <w:bCs/>
          <w:sz w:val="24"/>
          <w:szCs w:val="24"/>
        </w:rPr>
        <w:t xml:space="preserve"> the proposed health technology:</w:t>
      </w:r>
    </w:p>
    <w:p w14:paraId="10338D60" w14:textId="5F5486A0" w:rsidR="004805BF" w:rsidRPr="00071A7D" w:rsidRDefault="00890ABF" w:rsidP="007520A6">
      <w:pPr>
        <w:jc w:val="both"/>
        <w:rPr>
          <w:rFonts w:asciiTheme="minorHAnsi" w:eastAsia="Segoe UI" w:hAnsiTheme="minorHAnsi" w:cstheme="minorHAnsi"/>
          <w:color w:val="000000"/>
          <w:sz w:val="24"/>
          <w:szCs w:val="24"/>
        </w:rPr>
      </w:pPr>
      <w:r w:rsidRPr="00890ABF">
        <w:rPr>
          <w:rFonts w:asciiTheme="minorHAnsi" w:eastAsia="Segoe UI" w:hAnsiTheme="minorHAnsi" w:cstheme="minorHAnsi"/>
          <w:color w:val="000000"/>
          <w:sz w:val="24"/>
          <w:szCs w:val="24"/>
        </w:rPr>
        <w:t xml:space="preserve">Cilta-cel </w:t>
      </w:r>
      <w:r w:rsidR="00391B54">
        <w:rPr>
          <w:rFonts w:asciiTheme="minorHAnsi" w:eastAsia="Segoe UI" w:hAnsiTheme="minorHAnsi" w:cstheme="minorHAnsi"/>
          <w:color w:val="000000"/>
          <w:sz w:val="24"/>
          <w:szCs w:val="24"/>
        </w:rPr>
        <w:t xml:space="preserve">for 2L+ MM </w:t>
      </w:r>
      <w:r w:rsidRPr="00890ABF">
        <w:rPr>
          <w:rFonts w:asciiTheme="minorHAnsi" w:eastAsia="Segoe UI" w:hAnsiTheme="minorHAnsi" w:cstheme="minorHAnsi"/>
          <w:color w:val="000000"/>
          <w:sz w:val="24"/>
          <w:szCs w:val="24"/>
        </w:rPr>
        <w:t xml:space="preserve">will be </w:t>
      </w:r>
      <w:r w:rsidR="00F62E06">
        <w:rPr>
          <w:rFonts w:asciiTheme="minorHAnsi" w:eastAsia="Segoe UI" w:hAnsiTheme="minorHAnsi" w:cstheme="minorHAnsi"/>
          <w:color w:val="000000"/>
          <w:sz w:val="24"/>
          <w:szCs w:val="24"/>
        </w:rPr>
        <w:t>referred</w:t>
      </w:r>
      <w:r w:rsidRPr="00890ABF">
        <w:rPr>
          <w:rFonts w:asciiTheme="minorHAnsi" w:eastAsia="Segoe UI" w:hAnsiTheme="minorHAnsi" w:cstheme="minorHAnsi"/>
          <w:color w:val="000000"/>
          <w:sz w:val="24"/>
          <w:szCs w:val="24"/>
        </w:rPr>
        <w:t xml:space="preserve"> by specialised haematologists</w:t>
      </w:r>
      <w:r w:rsidR="006075CD">
        <w:rPr>
          <w:rFonts w:asciiTheme="minorHAnsi" w:eastAsia="Segoe UI" w:hAnsiTheme="minorHAnsi" w:cstheme="minorHAnsi"/>
          <w:color w:val="000000"/>
          <w:sz w:val="24"/>
          <w:szCs w:val="24"/>
        </w:rPr>
        <w:t xml:space="preserve"> to accredited treatment centres</w:t>
      </w:r>
      <w:r w:rsidR="009A36B5">
        <w:rPr>
          <w:rFonts w:asciiTheme="minorHAnsi" w:eastAsia="Segoe UI" w:hAnsiTheme="minorHAnsi" w:cstheme="minorHAnsi"/>
          <w:color w:val="000000"/>
          <w:sz w:val="24"/>
          <w:szCs w:val="24"/>
        </w:rPr>
        <w:t>, consistent with how</w:t>
      </w:r>
      <w:r w:rsidR="00753181">
        <w:rPr>
          <w:rFonts w:asciiTheme="minorHAnsi" w:eastAsia="Segoe UI" w:hAnsiTheme="minorHAnsi" w:cstheme="minorHAnsi"/>
          <w:color w:val="000000"/>
          <w:sz w:val="24"/>
          <w:szCs w:val="24"/>
        </w:rPr>
        <w:t xml:space="preserve"> people with MM in Australia are referred for cilta-cel for 5L+ MM which is NHRA funded</w:t>
      </w:r>
      <w:r w:rsidR="00391B54">
        <w:rPr>
          <w:rFonts w:asciiTheme="minorHAnsi" w:eastAsia="Segoe UI" w:hAnsiTheme="minorHAnsi" w:cstheme="minorHAnsi"/>
          <w:color w:val="000000"/>
          <w:sz w:val="24"/>
          <w:szCs w:val="24"/>
        </w:rPr>
        <w:t>.</w:t>
      </w:r>
      <w:r w:rsidRPr="00890ABF">
        <w:rPr>
          <w:rFonts w:asciiTheme="minorHAnsi" w:eastAsia="Segoe UI" w:hAnsiTheme="minorHAnsi" w:cstheme="minorHAnsi"/>
          <w:color w:val="000000"/>
          <w:sz w:val="24"/>
          <w:szCs w:val="24"/>
        </w:rPr>
        <w:t xml:space="preserve"> </w:t>
      </w:r>
    </w:p>
    <w:p w14:paraId="30AC00A8" w14:textId="7ECCC1CB" w:rsidR="00380C41" w:rsidRPr="00F849F2" w:rsidRDefault="00380C41" w:rsidP="007520A6">
      <w:pPr>
        <w:jc w:val="both"/>
        <w:rPr>
          <w:rFonts w:asciiTheme="minorHAnsi" w:hAnsiTheme="minorHAnsi" w:cstheme="minorHAnsi"/>
          <w:b/>
          <w:bCs/>
          <w:sz w:val="24"/>
          <w:szCs w:val="24"/>
        </w:rPr>
      </w:pPr>
      <w:proofErr w:type="gramStart"/>
      <w:r w:rsidRPr="00F849F2">
        <w:rPr>
          <w:rFonts w:asciiTheme="minorHAnsi" w:hAnsiTheme="minorHAnsi" w:cstheme="minorHAnsi"/>
          <w:b/>
          <w:bCs/>
          <w:sz w:val="24"/>
          <w:szCs w:val="24"/>
        </w:rPr>
        <w:t>Is</w:t>
      </w:r>
      <w:proofErr w:type="gramEnd"/>
      <w:r w:rsidRPr="00F849F2">
        <w:rPr>
          <w:rFonts w:asciiTheme="minorHAnsi" w:hAnsiTheme="minorHAnsi" w:cstheme="minorHAnsi"/>
          <w:b/>
          <w:bCs/>
          <w:sz w:val="24"/>
          <w:szCs w:val="24"/>
        </w:rPr>
        <w:t xml:space="preserve"> there specific training or qualifications required to provide or deliver the proposed service, and/or any accreditation requirements to support delivery of the health technology? </w:t>
      </w:r>
    </w:p>
    <w:p w14:paraId="415A559D" w14:textId="48BD882F" w:rsidR="00536989" w:rsidRPr="00906FF7" w:rsidRDefault="00380C41" w:rsidP="007520A6">
      <w:pPr>
        <w:jc w:val="both"/>
        <w:rPr>
          <w:rFonts w:asciiTheme="minorHAnsi" w:hAnsiTheme="minorHAnsi" w:cstheme="minorHAnsi"/>
          <w:sz w:val="24"/>
          <w:szCs w:val="24"/>
        </w:rPr>
      </w:pPr>
      <w:r w:rsidRPr="00BC5609">
        <w:rPr>
          <w:rFonts w:asciiTheme="minorHAnsi" w:hAnsiTheme="minorHAnsi" w:cstheme="minorHAnsi"/>
          <w:sz w:val="24"/>
          <w:szCs w:val="24"/>
        </w:rPr>
        <w:t>Yes</w:t>
      </w:r>
    </w:p>
    <w:p w14:paraId="611B2AED" w14:textId="6D77D103" w:rsidR="00F57B14" w:rsidRDefault="00380C41" w:rsidP="0002084E">
      <w:pPr>
        <w:jc w:val="both"/>
        <w:rPr>
          <w:rFonts w:asciiTheme="minorHAnsi" w:hAnsiTheme="minorHAnsi" w:cstheme="minorHAnsi"/>
          <w:sz w:val="24"/>
          <w:szCs w:val="24"/>
        </w:rPr>
      </w:pPr>
      <w:r w:rsidRPr="00F849F2">
        <w:rPr>
          <w:rFonts w:asciiTheme="minorHAnsi" w:hAnsiTheme="minorHAnsi" w:cstheme="minorHAnsi"/>
          <w:b/>
          <w:bCs/>
          <w:sz w:val="24"/>
          <w:szCs w:val="24"/>
        </w:rPr>
        <w:t>Provide details and explain:</w:t>
      </w:r>
    </w:p>
    <w:p w14:paraId="078B159C" w14:textId="520DCAF7" w:rsidR="00F57B14" w:rsidRPr="00671EBB" w:rsidRDefault="00F57B14" w:rsidP="00F57B14">
      <w:pPr>
        <w:jc w:val="both"/>
        <w:rPr>
          <w:rFonts w:asciiTheme="minorHAnsi" w:eastAsia="Segoe UI" w:hAnsiTheme="minorHAnsi" w:cstheme="minorHAnsi"/>
          <w:color w:val="000000"/>
          <w:sz w:val="24"/>
          <w:szCs w:val="24"/>
        </w:rPr>
      </w:pPr>
      <w:r w:rsidRPr="007B26BB">
        <w:rPr>
          <w:rFonts w:asciiTheme="minorHAnsi" w:eastAsia="Segoe UI" w:hAnsiTheme="minorHAnsi" w:cstheme="minorHAnsi"/>
          <w:color w:val="000000"/>
          <w:sz w:val="24"/>
          <w:szCs w:val="24"/>
        </w:rPr>
        <w:t xml:space="preserve">Treatment with cilta-cel is limited to key specialist public hospital centres across the Australian states and territories. Several hospitals have experience with cilta-cel through the CARTITUDE clinical trial program, and through </w:t>
      </w:r>
      <w:r w:rsidR="00463E42">
        <w:rPr>
          <w:rFonts w:asciiTheme="minorHAnsi" w:eastAsia="Segoe UI" w:hAnsiTheme="minorHAnsi" w:cstheme="minorHAnsi"/>
          <w:color w:val="000000"/>
          <w:sz w:val="24"/>
          <w:szCs w:val="24"/>
        </w:rPr>
        <w:t xml:space="preserve">the delivery of cilta-cel </w:t>
      </w:r>
      <w:r w:rsidR="00181713">
        <w:rPr>
          <w:rFonts w:asciiTheme="minorHAnsi" w:eastAsia="Segoe UI" w:hAnsiTheme="minorHAnsi" w:cstheme="minorHAnsi"/>
          <w:color w:val="000000"/>
          <w:sz w:val="24"/>
          <w:szCs w:val="24"/>
        </w:rPr>
        <w:t xml:space="preserve">in the 5L+ MM setting under the current </w:t>
      </w:r>
      <w:r w:rsidRPr="007B26BB">
        <w:rPr>
          <w:rFonts w:asciiTheme="minorHAnsi" w:eastAsia="Segoe UI" w:hAnsiTheme="minorHAnsi" w:cstheme="minorHAnsi"/>
          <w:color w:val="000000"/>
          <w:sz w:val="24"/>
          <w:szCs w:val="24"/>
        </w:rPr>
        <w:lastRenderedPageBreak/>
        <w:t>NHRA funding</w:t>
      </w:r>
      <w:r w:rsidR="00181713">
        <w:rPr>
          <w:rFonts w:asciiTheme="minorHAnsi" w:eastAsia="Segoe UI" w:hAnsiTheme="minorHAnsi" w:cstheme="minorHAnsi"/>
          <w:color w:val="000000"/>
          <w:sz w:val="24"/>
          <w:szCs w:val="24"/>
        </w:rPr>
        <w:t xml:space="preserve"> arrangement</w:t>
      </w:r>
      <w:r w:rsidRPr="007B26BB">
        <w:rPr>
          <w:rFonts w:asciiTheme="minorHAnsi" w:eastAsia="Segoe UI" w:hAnsiTheme="minorHAnsi" w:cstheme="minorHAnsi"/>
          <w:color w:val="000000"/>
          <w:sz w:val="24"/>
          <w:szCs w:val="24"/>
        </w:rPr>
        <w:t xml:space="preserve">. Thus, </w:t>
      </w:r>
      <w:r w:rsidR="00181713">
        <w:rPr>
          <w:rFonts w:asciiTheme="minorHAnsi" w:eastAsia="Segoe UI" w:hAnsiTheme="minorHAnsi" w:cstheme="minorHAnsi"/>
          <w:color w:val="000000"/>
          <w:sz w:val="24"/>
          <w:szCs w:val="24"/>
        </w:rPr>
        <w:t>several sites in Australia</w:t>
      </w:r>
      <w:r w:rsidRPr="007B26BB">
        <w:rPr>
          <w:rFonts w:asciiTheme="minorHAnsi" w:eastAsia="Segoe UI" w:hAnsiTheme="minorHAnsi" w:cstheme="minorHAnsi"/>
          <w:color w:val="000000"/>
          <w:sz w:val="24"/>
          <w:szCs w:val="24"/>
        </w:rPr>
        <w:t xml:space="preserve"> have relevant clinical experience and protocols in place for delivering this medical service. </w:t>
      </w:r>
    </w:p>
    <w:p w14:paraId="75F71ED2" w14:textId="28FA88B7" w:rsidR="00B91795" w:rsidRPr="00671EBB" w:rsidRDefault="00C97EFE" w:rsidP="00B91795">
      <w:pPr>
        <w:jc w:val="both"/>
        <w:rPr>
          <w:rFonts w:asciiTheme="minorHAnsi" w:eastAsia="Segoe UI" w:hAnsiTheme="minorHAnsi" w:cstheme="minorBidi"/>
          <w:color w:val="000000"/>
          <w:sz w:val="24"/>
          <w:szCs w:val="24"/>
        </w:rPr>
      </w:pPr>
      <w:r w:rsidRPr="00C97EFE">
        <w:rPr>
          <w:rFonts w:asciiTheme="minorHAnsi" w:hAnsiTheme="minorHAnsi" w:cstheme="minorHAnsi"/>
          <w:sz w:val="24"/>
          <w:szCs w:val="24"/>
        </w:rPr>
        <w:t xml:space="preserve">Cilta-cel treatment centres need to be approved by State/Territory governments and accredited by Janssen with supply and quality agreements in place. As part of Janssen accreditation process, the treatment centres will need to be trained in accordance with the TGA approve Risk Management Plan that includes, among other things, the important identified risks of cytokine release syndrome (CRS) and neurotoxicity and availability of tocilizumab to manage CRS. </w:t>
      </w:r>
      <w:r w:rsidR="00671FFC" w:rsidRPr="00671FFC">
        <w:rPr>
          <w:rFonts w:asciiTheme="minorHAnsi" w:hAnsiTheme="minorHAnsi" w:cstheme="minorHAnsi"/>
          <w:b/>
          <w:bCs/>
          <w:sz w:val="24"/>
          <w:szCs w:val="24"/>
        </w:rPr>
        <w:t>Redacted</w:t>
      </w:r>
      <w:r w:rsidR="00B91795" w:rsidRPr="00671FFC">
        <w:rPr>
          <w:rFonts w:asciiTheme="minorHAnsi" w:eastAsia="Segoe UI" w:hAnsiTheme="minorHAnsi" w:cstheme="minorBidi"/>
          <w:color w:val="000000" w:themeColor="text1"/>
          <w:sz w:val="24"/>
          <w:szCs w:val="24"/>
        </w:rPr>
        <w:t>.</w:t>
      </w:r>
    </w:p>
    <w:p w14:paraId="75F0BE10" w14:textId="2466482A" w:rsidR="00C97EFE" w:rsidRPr="00C97EFE" w:rsidRDefault="00C97EFE" w:rsidP="00F57B14">
      <w:pPr>
        <w:jc w:val="both"/>
        <w:rPr>
          <w:rFonts w:asciiTheme="minorHAnsi" w:hAnsiTheme="minorHAnsi" w:cstheme="minorHAnsi"/>
          <w:sz w:val="24"/>
          <w:szCs w:val="24"/>
        </w:rPr>
      </w:pPr>
      <w:r w:rsidRPr="00C97EFE">
        <w:rPr>
          <w:rFonts w:asciiTheme="minorHAnsi" w:hAnsiTheme="minorHAnsi" w:cstheme="minorHAnsi"/>
          <w:sz w:val="24"/>
          <w:szCs w:val="24"/>
        </w:rPr>
        <w:t>Once the site has been qualified as a certified healthcare facility, patient enrolment can occur</w:t>
      </w:r>
      <w:r>
        <w:rPr>
          <w:rFonts w:asciiTheme="minorHAnsi" w:hAnsiTheme="minorHAnsi" w:cstheme="minorHAnsi"/>
          <w:sz w:val="24"/>
          <w:szCs w:val="24"/>
        </w:rPr>
        <w:t>.</w:t>
      </w:r>
    </w:p>
    <w:p w14:paraId="15452239" w14:textId="768BFB4B" w:rsidR="00F57B14" w:rsidRDefault="00F57B14" w:rsidP="00F57B14">
      <w:pPr>
        <w:jc w:val="both"/>
        <w:rPr>
          <w:rFonts w:asciiTheme="minorHAnsi" w:eastAsia="Segoe UI" w:hAnsiTheme="minorHAnsi" w:cstheme="minorHAnsi"/>
          <w:color w:val="000000"/>
          <w:sz w:val="24"/>
          <w:szCs w:val="24"/>
        </w:rPr>
      </w:pPr>
      <w:r w:rsidRPr="00671EBB">
        <w:rPr>
          <w:rFonts w:asciiTheme="minorHAnsi" w:eastAsia="Segoe UI" w:hAnsiTheme="minorHAnsi" w:cstheme="minorHAnsi"/>
          <w:color w:val="000000"/>
          <w:sz w:val="24"/>
          <w:szCs w:val="24"/>
        </w:rPr>
        <w:t xml:space="preserve">Full site re-accreditation by Janssen will occur every </w:t>
      </w:r>
      <w:r w:rsidR="00671FFC" w:rsidRPr="00671FFC">
        <w:rPr>
          <w:rFonts w:asciiTheme="minorHAnsi" w:eastAsia="Segoe UI" w:hAnsiTheme="minorHAnsi" w:cstheme="minorHAnsi"/>
          <w:b/>
          <w:bCs/>
          <w:color w:val="000000"/>
          <w:sz w:val="24"/>
          <w:szCs w:val="24"/>
        </w:rPr>
        <w:t>redacted</w:t>
      </w:r>
      <w:r w:rsidRPr="00671EBB">
        <w:rPr>
          <w:rFonts w:asciiTheme="minorHAnsi" w:eastAsia="Segoe UI" w:hAnsiTheme="minorHAnsi" w:cstheme="minorHAnsi"/>
          <w:color w:val="000000"/>
          <w:sz w:val="24"/>
          <w:szCs w:val="24"/>
        </w:rPr>
        <w:t xml:space="preserve"> which is inclusive of on-site audits to ensure compliance with set-up, processes, and training. </w:t>
      </w:r>
    </w:p>
    <w:p w14:paraId="596AE4C6" w14:textId="77777777" w:rsidR="003F784F" w:rsidRPr="00640C29" w:rsidRDefault="003F784F" w:rsidP="003F784F">
      <w:pPr>
        <w:jc w:val="both"/>
        <w:rPr>
          <w:rFonts w:asciiTheme="minorHAnsi" w:hAnsiTheme="minorHAnsi" w:cstheme="minorHAnsi"/>
          <w:sz w:val="24"/>
          <w:szCs w:val="24"/>
          <w:highlight w:val="cyan"/>
        </w:rPr>
      </w:pPr>
      <w:r w:rsidRPr="003F784F">
        <w:rPr>
          <w:rFonts w:asciiTheme="minorHAnsi" w:hAnsiTheme="minorHAnsi" w:cstheme="minorHAnsi"/>
          <w:sz w:val="24"/>
          <w:szCs w:val="24"/>
        </w:rPr>
        <w:t xml:space="preserve">CAR-T site HCP education and patient education materials have been developed </w:t>
      </w:r>
      <w:r w:rsidRPr="00400CD0">
        <w:rPr>
          <w:rFonts w:asciiTheme="minorHAnsi" w:hAnsiTheme="minorHAnsi" w:cstheme="minorHAnsi"/>
          <w:sz w:val="24"/>
          <w:szCs w:val="24"/>
        </w:rPr>
        <w:t>and include:</w:t>
      </w:r>
    </w:p>
    <w:p w14:paraId="6E131188" w14:textId="18D93F17" w:rsidR="003F784F" w:rsidRPr="0026760D" w:rsidRDefault="00CE21BF" w:rsidP="003F784F">
      <w:pPr>
        <w:ind w:left="720"/>
      </w:pPr>
      <w:r w:rsidRPr="00CE21BF">
        <w:rPr>
          <w:rFonts w:asciiTheme="minorHAnsi" w:hAnsiTheme="minorHAnsi" w:cstheme="minorHAnsi"/>
          <w:b/>
          <w:bCs/>
          <w:sz w:val="24"/>
          <w:szCs w:val="24"/>
        </w:rPr>
        <w:t>Redacted</w:t>
      </w:r>
    </w:p>
    <w:p w14:paraId="3CEC56D2" w14:textId="77777777" w:rsidR="005A548E" w:rsidRPr="005A548E" w:rsidRDefault="005A548E" w:rsidP="005A548E">
      <w:pPr>
        <w:jc w:val="both"/>
        <w:rPr>
          <w:rFonts w:asciiTheme="minorHAnsi" w:hAnsiTheme="minorHAnsi" w:cstheme="minorHAnsi"/>
          <w:sz w:val="24"/>
          <w:szCs w:val="24"/>
        </w:rPr>
      </w:pPr>
      <w:r>
        <w:rPr>
          <w:rFonts w:asciiTheme="minorHAnsi" w:hAnsiTheme="minorHAnsi" w:cstheme="minorHAnsi"/>
          <w:sz w:val="24"/>
          <w:szCs w:val="24"/>
        </w:rPr>
        <w:t xml:space="preserve">Furthermore, </w:t>
      </w:r>
      <w:r w:rsidRPr="005A548E">
        <w:rPr>
          <w:rFonts w:asciiTheme="minorHAnsi" w:hAnsiTheme="minorHAnsi" w:cstheme="minorHAnsi"/>
          <w:sz w:val="24"/>
          <w:szCs w:val="24"/>
        </w:rPr>
        <w:t>sites are nominated by State and territory governments—working in collaboration with the Commonwealth—and base their site selection on the following criteria: </w:t>
      </w:r>
    </w:p>
    <w:p w14:paraId="51CB93E0" w14:textId="77777777" w:rsidR="005A548E" w:rsidRPr="005A548E" w:rsidRDefault="005A548E" w:rsidP="005A548E">
      <w:pPr>
        <w:numPr>
          <w:ilvl w:val="0"/>
          <w:numId w:val="9"/>
        </w:numPr>
        <w:jc w:val="both"/>
        <w:rPr>
          <w:rFonts w:asciiTheme="minorHAnsi" w:hAnsiTheme="minorHAnsi" w:cstheme="minorHAnsi"/>
          <w:sz w:val="24"/>
          <w:szCs w:val="24"/>
        </w:rPr>
      </w:pPr>
      <w:r w:rsidRPr="001A22C6">
        <w:rPr>
          <w:rFonts w:asciiTheme="minorHAnsi" w:hAnsiTheme="minorHAnsi" w:cstheme="minorHAnsi"/>
          <w:sz w:val="24"/>
          <w:szCs w:val="24"/>
        </w:rPr>
        <w:t>Multidisciplinary Infrastructure:</w:t>
      </w:r>
      <w:r w:rsidRPr="005A548E">
        <w:rPr>
          <w:rFonts w:asciiTheme="minorHAnsi" w:hAnsiTheme="minorHAnsi" w:cstheme="minorHAnsi"/>
          <w:sz w:val="24"/>
          <w:szCs w:val="24"/>
        </w:rPr>
        <w:t xml:space="preserve"> Sites must be equipped with specialist cell therapy handling, stem cell processing laboratories, and intensive care units to manage severe side effects. </w:t>
      </w:r>
    </w:p>
    <w:p w14:paraId="09F4CD33" w14:textId="1D530A21" w:rsidR="005A548E" w:rsidRPr="005A548E" w:rsidRDefault="005A548E" w:rsidP="005A548E">
      <w:pPr>
        <w:numPr>
          <w:ilvl w:val="0"/>
          <w:numId w:val="9"/>
        </w:numPr>
        <w:jc w:val="both"/>
        <w:rPr>
          <w:rFonts w:asciiTheme="minorHAnsi" w:hAnsiTheme="minorHAnsi" w:cstheme="minorHAnsi"/>
          <w:sz w:val="24"/>
          <w:szCs w:val="24"/>
        </w:rPr>
      </w:pPr>
      <w:r w:rsidRPr="001A22C6">
        <w:rPr>
          <w:rFonts w:asciiTheme="minorHAnsi" w:hAnsiTheme="minorHAnsi" w:cstheme="minorHAnsi"/>
          <w:sz w:val="24"/>
          <w:szCs w:val="24"/>
        </w:rPr>
        <w:t>Speciali</w:t>
      </w:r>
      <w:r w:rsidR="00AD09C6" w:rsidRPr="001A22C6">
        <w:rPr>
          <w:rFonts w:asciiTheme="minorHAnsi" w:hAnsiTheme="minorHAnsi" w:cstheme="minorHAnsi"/>
          <w:sz w:val="24"/>
          <w:szCs w:val="24"/>
        </w:rPr>
        <w:t>s</w:t>
      </w:r>
      <w:r w:rsidRPr="001A22C6">
        <w:rPr>
          <w:rFonts w:asciiTheme="minorHAnsi" w:hAnsiTheme="minorHAnsi" w:cstheme="minorHAnsi"/>
          <w:sz w:val="24"/>
          <w:szCs w:val="24"/>
        </w:rPr>
        <w:t>ed Workforce:</w:t>
      </w:r>
      <w:r w:rsidRPr="005A548E">
        <w:rPr>
          <w:rFonts w:asciiTheme="minorHAnsi" w:hAnsiTheme="minorHAnsi" w:cstheme="minorHAnsi"/>
          <w:sz w:val="24"/>
          <w:szCs w:val="24"/>
        </w:rPr>
        <w:t xml:space="preserve"> Hospitals must have trained h</w:t>
      </w:r>
      <w:r w:rsidR="00AD09C6">
        <w:rPr>
          <w:rFonts w:asciiTheme="minorHAnsi" w:hAnsiTheme="minorHAnsi" w:cstheme="minorHAnsi"/>
          <w:sz w:val="24"/>
          <w:szCs w:val="24"/>
        </w:rPr>
        <w:t>a</w:t>
      </w:r>
      <w:r w:rsidRPr="005A548E">
        <w:rPr>
          <w:rFonts w:asciiTheme="minorHAnsi" w:hAnsiTheme="minorHAnsi" w:cstheme="minorHAnsi"/>
          <w:sz w:val="24"/>
          <w:szCs w:val="24"/>
        </w:rPr>
        <w:t>ematologists, oncologists, and speciali</w:t>
      </w:r>
      <w:r w:rsidR="00AD09C6">
        <w:rPr>
          <w:rFonts w:asciiTheme="minorHAnsi" w:hAnsiTheme="minorHAnsi" w:cstheme="minorHAnsi"/>
          <w:sz w:val="24"/>
          <w:szCs w:val="24"/>
        </w:rPr>
        <w:t>s</w:t>
      </w:r>
      <w:r w:rsidRPr="005A548E">
        <w:rPr>
          <w:rFonts w:asciiTheme="minorHAnsi" w:hAnsiTheme="minorHAnsi" w:cstheme="minorHAnsi"/>
          <w:sz w:val="24"/>
          <w:szCs w:val="24"/>
        </w:rPr>
        <w:t>ed nursing and scientific staff. </w:t>
      </w:r>
    </w:p>
    <w:p w14:paraId="0F70C252" w14:textId="77777777" w:rsidR="005A548E" w:rsidRPr="005A548E" w:rsidRDefault="005A548E" w:rsidP="005A548E">
      <w:pPr>
        <w:numPr>
          <w:ilvl w:val="0"/>
          <w:numId w:val="9"/>
        </w:numPr>
        <w:jc w:val="both"/>
        <w:rPr>
          <w:rFonts w:asciiTheme="minorHAnsi" w:hAnsiTheme="minorHAnsi" w:cstheme="minorHAnsi"/>
          <w:sz w:val="24"/>
          <w:szCs w:val="24"/>
        </w:rPr>
      </w:pPr>
      <w:r w:rsidRPr="001A22C6">
        <w:rPr>
          <w:rFonts w:asciiTheme="minorHAnsi" w:hAnsiTheme="minorHAnsi" w:cstheme="minorHAnsi"/>
          <w:sz w:val="24"/>
          <w:szCs w:val="24"/>
        </w:rPr>
        <w:t>Logistics and Regulation:</w:t>
      </w:r>
      <w:r w:rsidRPr="005A548E">
        <w:rPr>
          <w:rFonts w:asciiTheme="minorHAnsi" w:hAnsiTheme="minorHAnsi" w:cstheme="minorHAnsi"/>
          <w:sz w:val="24"/>
          <w:szCs w:val="24"/>
        </w:rPr>
        <w:t xml:space="preserve"> Facilities must satisfy rigorous chain-of-custody and cold-chain logistics to safely handle patient immune cells being shipped to and from pharmaceutical labs. </w:t>
      </w:r>
    </w:p>
    <w:p w14:paraId="74633A61" w14:textId="2A1E60A5" w:rsidR="004805BF" w:rsidRPr="00071A7D" w:rsidRDefault="005A548E" w:rsidP="007520A6">
      <w:pPr>
        <w:numPr>
          <w:ilvl w:val="0"/>
          <w:numId w:val="9"/>
        </w:numPr>
        <w:jc w:val="both"/>
        <w:rPr>
          <w:rFonts w:asciiTheme="minorHAnsi" w:hAnsiTheme="minorHAnsi" w:cstheme="minorHAnsi"/>
          <w:sz w:val="24"/>
          <w:szCs w:val="24"/>
        </w:rPr>
      </w:pPr>
      <w:r w:rsidRPr="001A22C6">
        <w:rPr>
          <w:rFonts w:asciiTheme="minorHAnsi" w:hAnsiTheme="minorHAnsi" w:cstheme="minorHAnsi"/>
          <w:sz w:val="24"/>
          <w:szCs w:val="24"/>
        </w:rPr>
        <w:t>Funding Approval:</w:t>
      </w:r>
      <w:r w:rsidRPr="005A548E">
        <w:rPr>
          <w:rFonts w:asciiTheme="minorHAnsi" w:hAnsiTheme="minorHAnsi" w:cstheme="minorHAnsi"/>
          <w:sz w:val="24"/>
          <w:szCs w:val="24"/>
        </w:rPr>
        <w:t xml:space="preserve"> </w:t>
      </w:r>
      <w:r w:rsidR="00AD09C6" w:rsidRPr="005A548E">
        <w:rPr>
          <w:rFonts w:asciiTheme="minorHAnsi" w:hAnsiTheme="minorHAnsi" w:cstheme="minorHAnsi"/>
          <w:sz w:val="24"/>
          <w:szCs w:val="24"/>
        </w:rPr>
        <w:t>Centres</w:t>
      </w:r>
      <w:r w:rsidRPr="005A548E">
        <w:rPr>
          <w:rFonts w:asciiTheme="minorHAnsi" w:hAnsiTheme="minorHAnsi" w:cstheme="minorHAnsi"/>
          <w:sz w:val="24"/>
          <w:szCs w:val="24"/>
        </w:rPr>
        <w:t xml:space="preserve"> are designated under the </w:t>
      </w:r>
      <w:hyperlink r:id="rId18" w:tgtFrame="_blank" w:history="1">
        <w:r w:rsidRPr="005A548E">
          <w:rPr>
            <w:rStyle w:val="Hyperlink"/>
            <w:rFonts w:asciiTheme="minorHAnsi" w:hAnsiTheme="minorHAnsi" w:cstheme="minorHAnsi"/>
            <w:sz w:val="24"/>
            <w:szCs w:val="24"/>
          </w:rPr>
          <w:t>Highly Specialised Therapies Program</w:t>
        </w:r>
      </w:hyperlink>
      <w:r w:rsidRPr="005A548E">
        <w:rPr>
          <w:rFonts w:asciiTheme="minorHAnsi" w:hAnsiTheme="minorHAnsi" w:cstheme="minorHAnsi"/>
          <w:sz w:val="24"/>
          <w:szCs w:val="24"/>
        </w:rPr>
        <w:t xml:space="preserve"> and the National Health Reform Agreement</w:t>
      </w:r>
    </w:p>
    <w:p w14:paraId="0C2F9516" w14:textId="24C35366" w:rsidR="002A7E4A" w:rsidRPr="00F849F2" w:rsidRDefault="00BB494A" w:rsidP="00071A7D">
      <w:pPr>
        <w:keepNext/>
        <w:keepLines/>
        <w:jc w:val="both"/>
        <w:rPr>
          <w:rFonts w:asciiTheme="minorHAnsi" w:hAnsiTheme="minorHAnsi" w:cstheme="minorHAnsi"/>
          <w:b/>
          <w:bCs/>
          <w:sz w:val="24"/>
          <w:szCs w:val="24"/>
        </w:rPr>
      </w:pPr>
      <w:r w:rsidRPr="00F849F2">
        <w:rPr>
          <w:rFonts w:asciiTheme="minorHAnsi" w:hAnsiTheme="minorHAnsi" w:cstheme="minorHAnsi"/>
          <w:b/>
          <w:bCs/>
          <w:sz w:val="24"/>
          <w:szCs w:val="24"/>
        </w:rPr>
        <w:t>Indicate the proposed setting(s) in which the proposed health technology will be delivered:</w:t>
      </w:r>
    </w:p>
    <w:p w14:paraId="786722A5" w14:textId="29302CDC" w:rsidR="00380C41" w:rsidRPr="00F849F2" w:rsidRDefault="006050A6"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Check1"/>
            <w:enabled/>
            <w:calcOnExit w:val="0"/>
            <w:statusText w:type="text" w:val="Proposed setting for delivery Consulting rooms"/>
            <w:checkBox>
              <w:sizeAuto/>
              <w:default w:val="0"/>
            </w:checkBox>
          </w:ffData>
        </w:fldChar>
      </w:r>
      <w:bookmarkStart w:id="0" w:name="Check1"/>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bookmarkEnd w:id="0"/>
      <w:r w:rsidR="00380C41" w:rsidRPr="00F849F2">
        <w:rPr>
          <w:rFonts w:asciiTheme="minorHAnsi" w:hAnsiTheme="minorHAnsi" w:cstheme="minorHAnsi"/>
          <w:sz w:val="24"/>
          <w:szCs w:val="24"/>
        </w:rPr>
        <w:t xml:space="preserve"> </w:t>
      </w:r>
      <w:r w:rsidR="00BB494A" w:rsidRPr="00F849F2">
        <w:rPr>
          <w:rFonts w:asciiTheme="minorHAnsi" w:hAnsiTheme="minorHAnsi" w:cstheme="minorHAnsi"/>
          <w:sz w:val="24"/>
          <w:szCs w:val="24"/>
        </w:rPr>
        <w:t>Consulting rooms</w:t>
      </w:r>
      <w:r w:rsidR="00380C41" w:rsidRPr="00F849F2">
        <w:rPr>
          <w:rFonts w:asciiTheme="minorHAnsi" w:hAnsiTheme="minorHAnsi" w:cstheme="minorHAnsi"/>
          <w:sz w:val="24"/>
          <w:szCs w:val="24"/>
        </w:rPr>
        <w:t xml:space="preserve"> </w:t>
      </w:r>
    </w:p>
    <w:p w14:paraId="27A91C50" w14:textId="4621E2BA" w:rsidR="00380C41" w:rsidRPr="00F849F2" w:rsidRDefault="0063188F"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Check2"/>
            <w:enabled/>
            <w:calcOnExit w:val="0"/>
            <w:statusText w:type="text" w:val="Proposed setting for delivery Day surgery centre"/>
            <w:checkBox>
              <w:sizeAuto/>
              <w:default w:val="0"/>
            </w:checkBox>
          </w:ffData>
        </w:fldChar>
      </w:r>
      <w:bookmarkStart w:id="1" w:name="Check2"/>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bookmarkEnd w:id="1"/>
      <w:r w:rsidR="00380C41" w:rsidRPr="00F849F2">
        <w:rPr>
          <w:rFonts w:asciiTheme="minorHAnsi" w:hAnsiTheme="minorHAnsi" w:cstheme="minorHAnsi"/>
          <w:sz w:val="24"/>
          <w:szCs w:val="24"/>
        </w:rPr>
        <w:t xml:space="preserve"> </w:t>
      </w:r>
      <w:r w:rsidR="00BB494A" w:rsidRPr="00F849F2">
        <w:rPr>
          <w:rFonts w:asciiTheme="minorHAnsi" w:hAnsiTheme="minorHAnsi" w:cstheme="minorHAnsi"/>
          <w:sz w:val="24"/>
          <w:szCs w:val="24"/>
        </w:rPr>
        <w:t>Day surgery centre</w:t>
      </w:r>
    </w:p>
    <w:p w14:paraId="1DAFF305" w14:textId="7C7BF3E4" w:rsidR="00380C41" w:rsidRPr="00F849F2" w:rsidRDefault="0063188F"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roposed setting for delivery Emergency Department"/>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380C41" w:rsidRPr="00F849F2">
        <w:rPr>
          <w:rFonts w:asciiTheme="minorHAnsi" w:hAnsiTheme="minorHAnsi" w:cstheme="minorHAnsi"/>
          <w:sz w:val="24"/>
          <w:szCs w:val="24"/>
        </w:rPr>
        <w:t xml:space="preserve"> </w:t>
      </w:r>
      <w:r w:rsidR="00BB494A" w:rsidRPr="00F849F2">
        <w:rPr>
          <w:rFonts w:asciiTheme="minorHAnsi" w:hAnsiTheme="minorHAnsi" w:cstheme="minorHAnsi"/>
          <w:sz w:val="24"/>
          <w:szCs w:val="24"/>
        </w:rPr>
        <w:t>Emergency Department</w:t>
      </w:r>
      <w:r w:rsidR="00380C41" w:rsidRPr="00F849F2">
        <w:rPr>
          <w:rFonts w:asciiTheme="minorHAnsi" w:hAnsiTheme="minorHAnsi" w:cstheme="minorHAnsi"/>
          <w:sz w:val="24"/>
          <w:szCs w:val="24"/>
        </w:rPr>
        <w:t xml:space="preserve"> </w:t>
      </w:r>
    </w:p>
    <w:p w14:paraId="020AC503" w14:textId="43FB35E3" w:rsidR="00380C41" w:rsidRPr="00F849F2" w:rsidRDefault="00BF0C81"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roposed setting for delivery Inpatient private hospital "/>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380C41" w:rsidRPr="00F849F2">
        <w:rPr>
          <w:rFonts w:asciiTheme="minorHAnsi" w:hAnsiTheme="minorHAnsi" w:cstheme="minorHAnsi"/>
          <w:sz w:val="24"/>
          <w:szCs w:val="24"/>
        </w:rPr>
        <w:t xml:space="preserve"> </w:t>
      </w:r>
      <w:r w:rsidR="00BB494A" w:rsidRPr="00F849F2">
        <w:rPr>
          <w:rFonts w:asciiTheme="minorHAnsi" w:hAnsiTheme="minorHAnsi" w:cstheme="minorHAnsi"/>
          <w:sz w:val="24"/>
          <w:szCs w:val="24"/>
        </w:rPr>
        <w:t>Inpatient private hospital</w:t>
      </w:r>
    </w:p>
    <w:p w14:paraId="6E8C6D7D" w14:textId="1C1449B1" w:rsidR="00BB494A" w:rsidRPr="00F849F2" w:rsidRDefault="002F7378" w:rsidP="00071A7D">
      <w:pPr>
        <w:pStyle w:val="Tickboxes"/>
        <w:keepNext/>
        <w:keepLines/>
        <w:jc w:val="both"/>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statusText w:type="text" w:val="Proposed setting for delivery Inpatient public hospital"/>
            <w:checkBox>
              <w:sizeAuto/>
              <w:default w:val="1"/>
            </w:checkBox>
          </w:ffData>
        </w:fldChar>
      </w:r>
      <w:r>
        <w:rPr>
          <w:rFonts w:asciiTheme="minorHAnsi" w:hAnsiTheme="minorHAnsi" w:cstheme="minorHAnsi"/>
          <w:sz w:val="24"/>
          <w:szCs w:val="24"/>
        </w:rPr>
        <w:instrText xml:space="preserve"> FORMCHECKBOX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sz w:val="24"/>
          <w:szCs w:val="24"/>
        </w:rPr>
        <w:fldChar w:fldCharType="end"/>
      </w:r>
      <w:r w:rsidR="00BB494A" w:rsidRPr="00F849F2">
        <w:rPr>
          <w:rFonts w:asciiTheme="minorHAnsi" w:hAnsiTheme="minorHAnsi" w:cstheme="minorHAnsi"/>
          <w:sz w:val="24"/>
          <w:szCs w:val="24"/>
        </w:rPr>
        <w:t xml:space="preserve"> Inpatient public hospital </w:t>
      </w:r>
    </w:p>
    <w:p w14:paraId="1C5133DF" w14:textId="67274FB3" w:rsidR="00BB494A" w:rsidRPr="00F849F2" w:rsidRDefault="00BF0C81"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roposed setting for delivery Laboratory"/>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BB494A" w:rsidRPr="00F849F2">
        <w:rPr>
          <w:rFonts w:asciiTheme="minorHAnsi" w:hAnsiTheme="minorHAnsi" w:cstheme="minorHAnsi"/>
          <w:sz w:val="24"/>
          <w:szCs w:val="24"/>
        </w:rPr>
        <w:t xml:space="preserve"> Laboratory</w:t>
      </w:r>
    </w:p>
    <w:p w14:paraId="723FB55F" w14:textId="04D9CE7E" w:rsidR="00BB494A" w:rsidRPr="00F849F2" w:rsidRDefault="002F7378" w:rsidP="00071A7D">
      <w:pPr>
        <w:pStyle w:val="Tickboxes"/>
        <w:keepNext/>
        <w:keepLines/>
        <w:jc w:val="both"/>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statusText w:type="text" w:val="Proposed setting for delivery Outpatient clinic "/>
            <w:checkBox>
              <w:sizeAuto/>
              <w:default w:val="1"/>
            </w:checkBox>
          </w:ffData>
        </w:fldChar>
      </w:r>
      <w:r>
        <w:rPr>
          <w:rFonts w:asciiTheme="minorHAnsi" w:hAnsiTheme="minorHAnsi" w:cstheme="minorHAnsi"/>
          <w:sz w:val="24"/>
          <w:szCs w:val="24"/>
        </w:rPr>
        <w:instrText xml:space="preserve"> FORMCHECKBOX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sz w:val="24"/>
          <w:szCs w:val="24"/>
        </w:rPr>
        <w:fldChar w:fldCharType="end"/>
      </w:r>
      <w:r w:rsidR="00BB494A" w:rsidRPr="00F849F2">
        <w:rPr>
          <w:rFonts w:asciiTheme="minorHAnsi" w:hAnsiTheme="minorHAnsi" w:cstheme="minorHAnsi"/>
          <w:sz w:val="24"/>
          <w:szCs w:val="24"/>
        </w:rPr>
        <w:t xml:space="preserve"> Outpatient clinic </w:t>
      </w:r>
    </w:p>
    <w:p w14:paraId="111DE2AB" w14:textId="02862D04" w:rsidR="00BB494A" w:rsidRPr="00F849F2" w:rsidRDefault="00BF0C81"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roposed setting for delivery Patient’s home"/>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BB494A" w:rsidRPr="00F849F2">
        <w:rPr>
          <w:rFonts w:asciiTheme="minorHAnsi" w:hAnsiTheme="minorHAnsi" w:cstheme="minorHAnsi"/>
          <w:sz w:val="24"/>
          <w:szCs w:val="24"/>
        </w:rPr>
        <w:t xml:space="preserve"> Patient’s home</w:t>
      </w:r>
    </w:p>
    <w:p w14:paraId="428D75FD" w14:textId="1E9A016C" w:rsidR="00BB494A" w:rsidRPr="00F849F2" w:rsidRDefault="00BF0C81"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roposed setting for delivery Point of care testing "/>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BB494A" w:rsidRPr="00F849F2">
        <w:rPr>
          <w:rFonts w:asciiTheme="minorHAnsi" w:hAnsiTheme="minorHAnsi" w:cstheme="minorHAnsi"/>
          <w:sz w:val="24"/>
          <w:szCs w:val="24"/>
        </w:rPr>
        <w:t xml:space="preserve"> Point of care testing </w:t>
      </w:r>
    </w:p>
    <w:p w14:paraId="47F449C5" w14:textId="3843E5B7" w:rsidR="00BB494A" w:rsidRPr="00F849F2" w:rsidRDefault="00BF0C81"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roposed setting for delivery Residential aged care facility"/>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BB494A" w:rsidRPr="00F849F2">
        <w:rPr>
          <w:rFonts w:asciiTheme="minorHAnsi" w:hAnsiTheme="minorHAnsi" w:cstheme="minorHAnsi"/>
          <w:sz w:val="24"/>
          <w:szCs w:val="24"/>
        </w:rPr>
        <w:t xml:space="preserve"> Residential aged care facility</w:t>
      </w:r>
    </w:p>
    <w:p w14:paraId="594B3A20" w14:textId="5602F0C3" w:rsidR="00BB494A" w:rsidRPr="00F849F2" w:rsidRDefault="00EF6F1B" w:rsidP="00071A7D">
      <w:pPr>
        <w:pStyle w:val="Tickboxes"/>
        <w:keepNext/>
        <w:keepLin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roposed setting for delivery Other (please specify) "/>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BB494A" w:rsidRPr="00F849F2">
        <w:rPr>
          <w:rFonts w:asciiTheme="minorHAnsi" w:hAnsiTheme="minorHAnsi" w:cstheme="minorHAnsi"/>
          <w:sz w:val="24"/>
          <w:szCs w:val="24"/>
        </w:rPr>
        <w:t xml:space="preserve"> Other (please specify) </w:t>
      </w:r>
    </w:p>
    <w:p w14:paraId="6CC9D413" w14:textId="09DB5A4F" w:rsidR="000D6D6F" w:rsidRDefault="00212490" w:rsidP="00071A7D">
      <w:pPr>
        <w:keepNext/>
        <w:keepLines/>
        <w:jc w:val="both"/>
        <w:rPr>
          <w:rFonts w:asciiTheme="minorHAnsi" w:hAnsiTheme="minorHAnsi" w:cstheme="minorHAnsi"/>
          <w:sz w:val="24"/>
          <w:szCs w:val="24"/>
        </w:rPr>
      </w:pPr>
      <w:r w:rsidRPr="00E42D7E">
        <w:rPr>
          <w:rFonts w:asciiTheme="minorHAnsi" w:hAnsiTheme="minorHAnsi" w:cstheme="minorHAnsi"/>
          <w:sz w:val="24"/>
          <w:szCs w:val="24"/>
        </w:rPr>
        <w:t xml:space="preserve">Patients </w:t>
      </w:r>
      <w:r w:rsidR="00CA14E2">
        <w:rPr>
          <w:rFonts w:asciiTheme="minorHAnsi" w:hAnsiTheme="minorHAnsi" w:cstheme="minorHAnsi"/>
          <w:sz w:val="24"/>
          <w:szCs w:val="24"/>
        </w:rPr>
        <w:t>may</w:t>
      </w:r>
      <w:r w:rsidR="00CA14E2" w:rsidRPr="00E42D7E">
        <w:rPr>
          <w:rFonts w:asciiTheme="minorHAnsi" w:hAnsiTheme="minorHAnsi" w:cstheme="minorHAnsi"/>
          <w:sz w:val="24"/>
          <w:szCs w:val="24"/>
        </w:rPr>
        <w:t xml:space="preserve"> </w:t>
      </w:r>
      <w:r w:rsidRPr="00E42D7E">
        <w:rPr>
          <w:rFonts w:asciiTheme="minorHAnsi" w:hAnsiTheme="minorHAnsi" w:cstheme="minorHAnsi"/>
          <w:sz w:val="24"/>
          <w:szCs w:val="24"/>
        </w:rPr>
        <w:t xml:space="preserve">be admitted as an inpatient for the following steps of the cilta-cel medical service: delivery of the infusion and potentially a period of monitoring. This post infusion monitoring is standard practice and </w:t>
      </w:r>
      <w:r w:rsidR="00957376" w:rsidRPr="00E42D7E">
        <w:rPr>
          <w:rFonts w:asciiTheme="minorHAnsi" w:hAnsiTheme="minorHAnsi" w:cstheme="minorHAnsi"/>
          <w:sz w:val="24"/>
          <w:szCs w:val="24"/>
        </w:rPr>
        <w:t>is</w:t>
      </w:r>
      <w:r w:rsidRPr="00E42D7E">
        <w:rPr>
          <w:rFonts w:asciiTheme="minorHAnsi" w:hAnsiTheme="minorHAnsi" w:cstheme="minorHAnsi"/>
          <w:sz w:val="24"/>
          <w:szCs w:val="24"/>
        </w:rPr>
        <w:t xml:space="preserve"> consistent with </w:t>
      </w:r>
      <w:r w:rsidR="00D40FD8" w:rsidRPr="00E42D7E">
        <w:rPr>
          <w:rFonts w:asciiTheme="minorHAnsi" w:hAnsiTheme="minorHAnsi" w:cstheme="minorHAnsi"/>
          <w:sz w:val="24"/>
          <w:szCs w:val="24"/>
        </w:rPr>
        <w:t>NHRA funded cilta-cel for 5L+ MM</w:t>
      </w:r>
      <w:r w:rsidRPr="00E42D7E">
        <w:rPr>
          <w:rFonts w:asciiTheme="minorHAnsi" w:hAnsiTheme="minorHAnsi" w:cstheme="minorHAnsi"/>
          <w:sz w:val="24"/>
          <w:szCs w:val="24"/>
        </w:rPr>
        <w:t>.</w:t>
      </w:r>
      <w:r w:rsidRPr="00212490">
        <w:rPr>
          <w:rFonts w:asciiTheme="minorHAnsi" w:hAnsiTheme="minorHAnsi" w:cstheme="minorHAnsi"/>
          <w:sz w:val="24"/>
          <w:szCs w:val="24"/>
        </w:rPr>
        <w:t xml:space="preserve"> </w:t>
      </w:r>
    </w:p>
    <w:p w14:paraId="51770A50" w14:textId="0FD6C1ED" w:rsidR="004805BF" w:rsidRDefault="00F947D4" w:rsidP="000D6D6F">
      <w:pPr>
        <w:jc w:val="both"/>
        <w:rPr>
          <w:rFonts w:asciiTheme="minorHAnsi" w:hAnsiTheme="minorHAnsi" w:cstheme="minorHAnsi"/>
          <w:sz w:val="24"/>
          <w:szCs w:val="24"/>
        </w:rPr>
      </w:pPr>
      <w:r>
        <w:rPr>
          <w:rFonts w:asciiTheme="minorHAnsi" w:hAnsiTheme="minorHAnsi" w:cstheme="minorHAnsi"/>
          <w:sz w:val="24"/>
          <w:szCs w:val="24"/>
        </w:rPr>
        <w:t>P</w:t>
      </w:r>
      <w:r w:rsidR="00CA14E2" w:rsidRPr="00212490">
        <w:rPr>
          <w:rFonts w:asciiTheme="minorHAnsi" w:hAnsiTheme="minorHAnsi" w:cstheme="minorHAnsi"/>
          <w:sz w:val="24"/>
          <w:szCs w:val="24"/>
        </w:rPr>
        <w:t xml:space="preserve">atients </w:t>
      </w:r>
      <w:r w:rsidR="00212490" w:rsidRPr="00212490">
        <w:rPr>
          <w:rFonts w:asciiTheme="minorHAnsi" w:hAnsiTheme="minorHAnsi" w:cstheme="minorHAnsi"/>
          <w:sz w:val="24"/>
          <w:szCs w:val="24"/>
        </w:rPr>
        <w:t xml:space="preserve">would be seen in an outpatient setting for </w:t>
      </w:r>
      <w:r>
        <w:rPr>
          <w:rFonts w:asciiTheme="minorHAnsi" w:hAnsiTheme="minorHAnsi" w:cstheme="minorHAnsi"/>
          <w:sz w:val="24"/>
          <w:szCs w:val="24"/>
        </w:rPr>
        <w:t xml:space="preserve">other </w:t>
      </w:r>
      <w:r w:rsidR="00212490" w:rsidRPr="00212490">
        <w:rPr>
          <w:rFonts w:asciiTheme="minorHAnsi" w:hAnsiTheme="minorHAnsi" w:cstheme="minorHAnsi"/>
          <w:sz w:val="24"/>
          <w:szCs w:val="24"/>
        </w:rPr>
        <w:t>steps of the cilta-cel medical service</w:t>
      </w:r>
      <w:r>
        <w:rPr>
          <w:rFonts w:asciiTheme="minorHAnsi" w:hAnsiTheme="minorHAnsi" w:cstheme="minorHAnsi"/>
          <w:sz w:val="24"/>
          <w:szCs w:val="24"/>
        </w:rPr>
        <w:t xml:space="preserve"> </w:t>
      </w:r>
      <w:proofErr w:type="gramStart"/>
      <w:r>
        <w:rPr>
          <w:rFonts w:asciiTheme="minorHAnsi" w:hAnsiTheme="minorHAnsi" w:cstheme="minorHAnsi"/>
          <w:sz w:val="24"/>
          <w:szCs w:val="24"/>
        </w:rPr>
        <w:t>including</w:t>
      </w:r>
      <w:r w:rsidR="00212490" w:rsidRPr="00212490">
        <w:rPr>
          <w:rFonts w:asciiTheme="minorHAnsi" w:hAnsiTheme="minorHAnsi" w:cstheme="minorHAnsi"/>
          <w:sz w:val="24"/>
          <w:szCs w:val="24"/>
        </w:rPr>
        <w:t>:</w:t>
      </w:r>
      <w:proofErr w:type="gramEnd"/>
      <w:r w:rsidR="00212490" w:rsidRPr="00212490">
        <w:rPr>
          <w:rFonts w:asciiTheme="minorHAnsi" w:hAnsiTheme="minorHAnsi" w:cstheme="minorHAnsi"/>
          <w:sz w:val="24"/>
          <w:szCs w:val="24"/>
        </w:rPr>
        <w:t xml:space="preserve"> apheresis, bridging therapy and conditioning, routine follow-up once monitoring after discharge from inpatient infusion.</w:t>
      </w:r>
    </w:p>
    <w:p w14:paraId="7A8AAAA8" w14:textId="7BE217A7" w:rsidR="00CA14E2" w:rsidRDefault="00F67554" w:rsidP="007520A6">
      <w:pPr>
        <w:jc w:val="both"/>
        <w:rPr>
          <w:rFonts w:asciiTheme="minorHAnsi" w:hAnsiTheme="minorHAnsi" w:cstheme="minorHAnsi"/>
          <w:b/>
          <w:bCs/>
          <w:sz w:val="24"/>
          <w:szCs w:val="24"/>
        </w:rPr>
      </w:pPr>
      <w:r>
        <w:rPr>
          <w:rFonts w:asciiTheme="minorHAnsi" w:hAnsiTheme="minorHAnsi" w:cstheme="minorHAnsi"/>
          <w:sz w:val="24"/>
          <w:szCs w:val="24"/>
        </w:rPr>
        <w:lastRenderedPageBreak/>
        <w:t xml:space="preserve">As treatment experience increases with CAR-T product delivery globally, and within Australia, familiarity with the technology and optimal management has </w:t>
      </w:r>
      <w:r w:rsidR="00FF5177">
        <w:rPr>
          <w:rFonts w:asciiTheme="minorHAnsi" w:hAnsiTheme="minorHAnsi" w:cstheme="minorHAnsi"/>
          <w:sz w:val="24"/>
          <w:szCs w:val="24"/>
        </w:rPr>
        <w:t xml:space="preserve">also increased. This is evidenced by the publication of multiple consensus guidelines, and evolving models of care, which has also led to </w:t>
      </w:r>
      <w:r w:rsidR="00D804C1">
        <w:rPr>
          <w:rFonts w:asciiTheme="minorHAnsi" w:hAnsiTheme="minorHAnsi" w:cstheme="minorHAnsi"/>
          <w:sz w:val="24"/>
          <w:szCs w:val="24"/>
        </w:rPr>
        <w:t xml:space="preserve">CAR-T centres managing a patient as an outpatient following the infusion. Further information and detail of this will be provided in the sponsors ADAR. </w:t>
      </w:r>
    </w:p>
    <w:p w14:paraId="2A1C0D0A" w14:textId="26E59AF9" w:rsidR="002D7216" w:rsidRPr="00F849F2" w:rsidRDefault="002D7216"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Is the proposed health technology intended to be entirely rendered inside Australia?</w:t>
      </w:r>
    </w:p>
    <w:p w14:paraId="08378486" w14:textId="07EA68EF" w:rsidR="006A17C5" w:rsidRPr="00071A7D" w:rsidRDefault="002D7216" w:rsidP="007520A6">
      <w:pPr>
        <w:jc w:val="both"/>
        <w:rPr>
          <w:rFonts w:asciiTheme="minorHAnsi" w:hAnsiTheme="minorHAnsi" w:cstheme="minorHAnsi"/>
          <w:sz w:val="24"/>
          <w:szCs w:val="24"/>
        </w:rPr>
      </w:pPr>
      <w:r w:rsidRPr="00EC1C28">
        <w:rPr>
          <w:rFonts w:asciiTheme="minorHAnsi" w:hAnsiTheme="minorHAnsi" w:cstheme="minorHAnsi"/>
          <w:sz w:val="24"/>
          <w:szCs w:val="24"/>
        </w:rPr>
        <w:t>No</w:t>
      </w:r>
    </w:p>
    <w:p w14:paraId="659D2B35" w14:textId="2285F5E8" w:rsidR="002D7216" w:rsidRPr="00F849F2" w:rsidRDefault="002D7216"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Provide additional details on the proposed health technology to be rendered outside of Australia:</w:t>
      </w:r>
    </w:p>
    <w:p w14:paraId="47EE9015" w14:textId="46C8415C" w:rsidR="00536989" w:rsidRPr="00071A7D" w:rsidRDefault="00A20FDA" w:rsidP="007520A6">
      <w:pPr>
        <w:jc w:val="both"/>
        <w:rPr>
          <w:rFonts w:asciiTheme="minorHAnsi" w:hAnsiTheme="minorHAnsi" w:cstheme="minorHAnsi"/>
          <w:sz w:val="24"/>
          <w:szCs w:val="24"/>
        </w:rPr>
      </w:pPr>
      <w:r w:rsidRPr="00A20FDA">
        <w:rPr>
          <w:rFonts w:asciiTheme="minorHAnsi" w:hAnsiTheme="minorHAnsi" w:cstheme="minorHAnsi"/>
          <w:sz w:val="24"/>
          <w:szCs w:val="24"/>
        </w:rPr>
        <w:t xml:space="preserve">Most of the medical service will be rendered in Australia.  The exception Is the manufacturing of cilta-cel CAR-T product which occurs in the </w:t>
      </w:r>
      <w:r w:rsidR="00DE4A79">
        <w:rPr>
          <w:rFonts w:asciiTheme="minorHAnsi" w:hAnsiTheme="minorHAnsi" w:cstheme="minorHAnsi"/>
          <w:sz w:val="24"/>
          <w:szCs w:val="24"/>
        </w:rPr>
        <w:t>Janssen</w:t>
      </w:r>
      <w:r w:rsidRPr="00A20FDA">
        <w:rPr>
          <w:rFonts w:asciiTheme="minorHAnsi" w:hAnsiTheme="minorHAnsi" w:cstheme="minorHAnsi"/>
          <w:sz w:val="24"/>
          <w:szCs w:val="24"/>
        </w:rPr>
        <w:t xml:space="preserve"> manufacturing centre in Raritan (NJ, USA).</w:t>
      </w:r>
      <w:r w:rsidR="007F23DF">
        <w:rPr>
          <w:rFonts w:asciiTheme="minorHAnsi" w:hAnsiTheme="minorHAnsi" w:cstheme="minorHAnsi"/>
          <w:sz w:val="24"/>
          <w:szCs w:val="24"/>
        </w:rPr>
        <w:t xml:space="preserve"> </w:t>
      </w:r>
      <w:r w:rsidR="00AD0015">
        <w:rPr>
          <w:rFonts w:asciiTheme="minorHAnsi" w:hAnsiTheme="minorHAnsi" w:cstheme="minorHAnsi"/>
          <w:sz w:val="24"/>
          <w:szCs w:val="24"/>
        </w:rPr>
        <w:t>For further details, r</w:t>
      </w:r>
      <w:r w:rsidR="007F23DF">
        <w:rPr>
          <w:rFonts w:asciiTheme="minorHAnsi" w:hAnsiTheme="minorHAnsi" w:cstheme="minorHAnsi"/>
          <w:sz w:val="24"/>
          <w:szCs w:val="24"/>
        </w:rPr>
        <w:t xml:space="preserve">efer to response </w:t>
      </w:r>
      <w:r w:rsidR="00AD0015">
        <w:rPr>
          <w:rFonts w:asciiTheme="minorHAnsi" w:hAnsiTheme="minorHAnsi" w:cstheme="minorHAnsi"/>
          <w:sz w:val="24"/>
          <w:szCs w:val="24"/>
        </w:rPr>
        <w:t>to</w:t>
      </w:r>
      <w:r w:rsidR="007F23DF">
        <w:rPr>
          <w:rFonts w:asciiTheme="minorHAnsi" w:hAnsiTheme="minorHAnsi" w:cstheme="minorHAnsi"/>
          <w:sz w:val="24"/>
          <w:szCs w:val="24"/>
        </w:rPr>
        <w:t xml:space="preserve"> “</w:t>
      </w:r>
      <w:r w:rsidR="007F23DF" w:rsidRPr="007F23DF">
        <w:rPr>
          <w:rFonts w:asciiTheme="minorHAnsi" w:hAnsiTheme="minorHAnsi" w:cstheme="minorHAnsi"/>
          <w:sz w:val="24"/>
          <w:szCs w:val="24"/>
        </w:rPr>
        <w:t>Describe the key components and clinical steps involved in delivering the proposed health technology</w:t>
      </w:r>
      <w:r w:rsidR="007F23DF">
        <w:rPr>
          <w:rFonts w:asciiTheme="minorHAnsi" w:hAnsiTheme="minorHAnsi" w:cstheme="minorHAnsi"/>
          <w:sz w:val="24"/>
          <w:szCs w:val="24"/>
        </w:rPr>
        <w:t xml:space="preserve">” </w:t>
      </w:r>
      <w:r w:rsidR="004B621A">
        <w:rPr>
          <w:rFonts w:asciiTheme="minorHAnsi" w:hAnsiTheme="minorHAnsi" w:cstheme="minorHAnsi"/>
          <w:sz w:val="24"/>
          <w:szCs w:val="24"/>
        </w:rPr>
        <w:t xml:space="preserve">question </w:t>
      </w:r>
      <w:r w:rsidR="007F23DF">
        <w:rPr>
          <w:rFonts w:asciiTheme="minorHAnsi" w:hAnsiTheme="minorHAnsi" w:cstheme="minorHAnsi"/>
          <w:sz w:val="24"/>
          <w:szCs w:val="24"/>
        </w:rPr>
        <w:t>above, and ‘Manufacture of cilta-cel’ subsection.</w:t>
      </w:r>
    </w:p>
    <w:p w14:paraId="5B9D9A2F" w14:textId="19F15AF1" w:rsidR="00FE257E" w:rsidRPr="00F849F2" w:rsidRDefault="00FE257E" w:rsidP="007520A6">
      <w:pPr>
        <w:pStyle w:val="Heading1"/>
        <w:jc w:val="both"/>
        <w:rPr>
          <w:rFonts w:asciiTheme="minorHAnsi" w:hAnsiTheme="minorHAnsi" w:cstheme="minorHAnsi"/>
          <w:color w:val="002060"/>
        </w:rPr>
      </w:pPr>
      <w:r w:rsidRPr="00F849F2">
        <w:rPr>
          <w:rFonts w:asciiTheme="minorHAnsi" w:hAnsiTheme="minorHAnsi" w:cstheme="minorHAnsi"/>
          <w:color w:val="002060"/>
        </w:rPr>
        <w:t>Comparator</w:t>
      </w:r>
    </w:p>
    <w:p w14:paraId="7259B943" w14:textId="77777777" w:rsidR="002A7E4A" w:rsidRPr="00F849F2" w:rsidRDefault="00FE257E"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16600999" w14:textId="3C00B6A3" w:rsidR="0047658B" w:rsidRPr="00F849F2" w:rsidRDefault="004F12A9"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P</w:t>
      </w:r>
      <w:r w:rsidR="0047658B" w:rsidRPr="00F849F2">
        <w:rPr>
          <w:rFonts w:asciiTheme="minorHAnsi" w:hAnsiTheme="minorHAnsi" w:cstheme="minorHAnsi"/>
          <w:b/>
          <w:bCs/>
          <w:sz w:val="24"/>
          <w:szCs w:val="24"/>
        </w:rPr>
        <w:t>rovide a name for your comparator:</w:t>
      </w:r>
    </w:p>
    <w:p w14:paraId="41768807" w14:textId="19F9A9DF" w:rsidR="006A17C5" w:rsidRDefault="0071053F" w:rsidP="007520A6">
      <w:pPr>
        <w:jc w:val="both"/>
        <w:rPr>
          <w:rFonts w:asciiTheme="minorHAnsi" w:hAnsiTheme="minorHAnsi" w:cstheme="minorHAnsi"/>
          <w:sz w:val="24"/>
          <w:szCs w:val="24"/>
        </w:rPr>
      </w:pPr>
      <w:r>
        <w:rPr>
          <w:rFonts w:asciiTheme="minorHAnsi" w:hAnsiTheme="minorHAnsi" w:cstheme="minorHAnsi"/>
          <w:sz w:val="24"/>
          <w:szCs w:val="24"/>
        </w:rPr>
        <w:t xml:space="preserve">The nominated comparators for cilta-cel </w:t>
      </w:r>
      <w:r w:rsidR="00194EAD">
        <w:rPr>
          <w:rFonts w:asciiTheme="minorHAnsi" w:hAnsiTheme="minorHAnsi" w:cstheme="minorHAnsi"/>
          <w:sz w:val="24"/>
          <w:szCs w:val="24"/>
        </w:rPr>
        <w:t>(CARTITUDE-4)</w:t>
      </w:r>
      <w:r w:rsidR="00D747F5">
        <w:rPr>
          <w:rFonts w:asciiTheme="minorHAnsi" w:hAnsiTheme="minorHAnsi" w:cstheme="minorHAnsi"/>
          <w:sz w:val="24"/>
          <w:szCs w:val="24"/>
        </w:rPr>
        <w:t xml:space="preserve"> include:</w:t>
      </w:r>
    </w:p>
    <w:p w14:paraId="391F9A9B" w14:textId="6D79BAA2" w:rsidR="00D747F5" w:rsidRDefault="00D747F5" w:rsidP="00D747F5">
      <w:pPr>
        <w:pStyle w:val="ListParagraph"/>
        <w:numPr>
          <w:ilvl w:val="0"/>
          <w:numId w:val="4"/>
        </w:numPr>
        <w:jc w:val="both"/>
        <w:rPr>
          <w:rFonts w:asciiTheme="minorHAnsi" w:hAnsiTheme="minorHAnsi" w:cstheme="minorHAnsi"/>
          <w:sz w:val="24"/>
          <w:szCs w:val="24"/>
        </w:rPr>
      </w:pPr>
      <w:r w:rsidRPr="00D747F5">
        <w:rPr>
          <w:rFonts w:asciiTheme="minorHAnsi" w:hAnsiTheme="minorHAnsi" w:cstheme="minorHAnsi"/>
          <w:sz w:val="24"/>
          <w:szCs w:val="24"/>
        </w:rPr>
        <w:t xml:space="preserve">Pomalidomide </w:t>
      </w:r>
      <w:r>
        <w:rPr>
          <w:rFonts w:asciiTheme="minorHAnsi" w:hAnsiTheme="minorHAnsi" w:cstheme="minorHAnsi"/>
          <w:sz w:val="24"/>
          <w:szCs w:val="24"/>
        </w:rPr>
        <w:t>plus bortezomib and dexamethasone</w:t>
      </w:r>
      <w:r w:rsidR="00194EAD">
        <w:rPr>
          <w:rFonts w:asciiTheme="minorHAnsi" w:hAnsiTheme="minorHAnsi" w:cstheme="minorHAnsi"/>
          <w:sz w:val="24"/>
          <w:szCs w:val="24"/>
        </w:rPr>
        <w:t xml:space="preserve"> for 2L+ MM (PBS listed)</w:t>
      </w:r>
    </w:p>
    <w:p w14:paraId="69800D86" w14:textId="280622FF" w:rsidR="00194EAD" w:rsidRDefault="00194EAD" w:rsidP="00D747F5">
      <w:pPr>
        <w:pStyle w:val="ListParagraph"/>
        <w:numPr>
          <w:ilvl w:val="0"/>
          <w:numId w:val="4"/>
        </w:numPr>
        <w:jc w:val="both"/>
        <w:rPr>
          <w:rFonts w:asciiTheme="minorHAnsi" w:hAnsiTheme="minorHAnsi" w:cstheme="minorHAnsi"/>
          <w:sz w:val="24"/>
          <w:szCs w:val="24"/>
        </w:rPr>
      </w:pPr>
      <w:r>
        <w:rPr>
          <w:rFonts w:asciiTheme="minorHAnsi" w:hAnsiTheme="minorHAnsi" w:cstheme="minorHAnsi"/>
          <w:sz w:val="24"/>
          <w:szCs w:val="24"/>
        </w:rPr>
        <w:t>Carfilzomib plus dexamethasone for 2L+ MM (PBS listed)</w:t>
      </w:r>
    </w:p>
    <w:p w14:paraId="28157984" w14:textId="4B9BFDA3" w:rsidR="00194EAD" w:rsidRDefault="00194EAD" w:rsidP="007520A6">
      <w:pPr>
        <w:pStyle w:val="ListParagraph"/>
        <w:numPr>
          <w:ilvl w:val="0"/>
          <w:numId w:val="4"/>
        </w:numPr>
        <w:jc w:val="both"/>
        <w:rPr>
          <w:rFonts w:asciiTheme="minorHAnsi" w:hAnsiTheme="minorHAnsi" w:cstheme="minorHAnsi"/>
          <w:sz w:val="24"/>
          <w:szCs w:val="24"/>
        </w:rPr>
      </w:pPr>
      <w:r>
        <w:rPr>
          <w:rFonts w:asciiTheme="minorHAnsi" w:hAnsiTheme="minorHAnsi" w:cstheme="minorHAnsi"/>
          <w:sz w:val="24"/>
          <w:szCs w:val="24"/>
        </w:rPr>
        <w:t>Daratumumab plus bortezomib and dexamethasone for 2L only MM (PBS listed)</w:t>
      </w:r>
    </w:p>
    <w:p w14:paraId="2B2E4B86" w14:textId="3ECC5851" w:rsidR="00D747F5" w:rsidRPr="00194EAD" w:rsidRDefault="00194EAD" w:rsidP="007520A6">
      <w:pPr>
        <w:pStyle w:val="ListParagraph"/>
        <w:numPr>
          <w:ilvl w:val="0"/>
          <w:numId w:val="4"/>
        </w:numPr>
        <w:jc w:val="both"/>
        <w:rPr>
          <w:rFonts w:asciiTheme="minorHAnsi" w:hAnsiTheme="minorHAnsi" w:cstheme="minorHAnsi"/>
          <w:sz w:val="24"/>
          <w:szCs w:val="24"/>
        </w:rPr>
      </w:pPr>
      <w:proofErr w:type="spellStart"/>
      <w:r w:rsidRPr="00194EAD">
        <w:rPr>
          <w:rFonts w:asciiTheme="minorHAnsi" w:hAnsiTheme="minorHAnsi" w:cstheme="minorHAnsi"/>
          <w:sz w:val="24"/>
          <w:szCs w:val="24"/>
        </w:rPr>
        <w:t>Belantamab</w:t>
      </w:r>
      <w:proofErr w:type="spellEnd"/>
      <w:r w:rsidRPr="00194EAD">
        <w:rPr>
          <w:rFonts w:asciiTheme="minorHAnsi" w:hAnsiTheme="minorHAnsi" w:cstheme="minorHAnsi"/>
          <w:sz w:val="24"/>
          <w:szCs w:val="24"/>
        </w:rPr>
        <w:t xml:space="preserve"> mafodotin</w:t>
      </w:r>
      <w:r>
        <w:rPr>
          <w:rFonts w:asciiTheme="minorHAnsi" w:hAnsiTheme="minorHAnsi" w:cstheme="minorHAnsi"/>
          <w:sz w:val="24"/>
          <w:szCs w:val="24"/>
        </w:rPr>
        <w:t xml:space="preserve"> plus bortezomib and dexamethasone for 2L+ MM (near market comparator).</w:t>
      </w:r>
    </w:p>
    <w:p w14:paraId="631DB3AD" w14:textId="0A552009" w:rsidR="0047658B" w:rsidRPr="00F849F2" w:rsidRDefault="004F12A9"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P</w:t>
      </w:r>
      <w:r w:rsidR="0047658B" w:rsidRPr="00F849F2">
        <w:rPr>
          <w:rFonts w:asciiTheme="minorHAnsi" w:hAnsiTheme="minorHAnsi" w:cstheme="minorHAnsi"/>
          <w:b/>
          <w:bCs/>
          <w:sz w:val="24"/>
          <w:szCs w:val="24"/>
        </w:rPr>
        <w:t>rovide an identifying number for your comparator (if applicable):</w:t>
      </w:r>
    </w:p>
    <w:p w14:paraId="412030A6" w14:textId="39996106" w:rsidR="00930344" w:rsidRPr="00226C69" w:rsidRDefault="00226C69" w:rsidP="007520A6">
      <w:pPr>
        <w:jc w:val="both"/>
        <w:rPr>
          <w:rFonts w:asciiTheme="minorHAnsi" w:eastAsia="Segoe UI" w:hAnsiTheme="minorHAnsi" w:cstheme="minorHAnsi"/>
          <w:b/>
          <w:bCs/>
          <w:color w:val="000000"/>
          <w:sz w:val="24"/>
          <w:szCs w:val="24"/>
        </w:rPr>
      </w:pPr>
      <w:r w:rsidRPr="00226C69">
        <w:rPr>
          <w:rFonts w:asciiTheme="minorHAnsi" w:hAnsiTheme="minorHAnsi" w:cstheme="minorHAnsi"/>
          <w:b/>
          <w:bCs/>
          <w:sz w:val="24"/>
          <w:szCs w:val="24"/>
        </w:rPr>
        <w:t xml:space="preserve">Table </w:t>
      </w:r>
      <w:r w:rsidR="001B32A1">
        <w:rPr>
          <w:rFonts w:asciiTheme="minorHAnsi" w:hAnsiTheme="minorHAnsi" w:cstheme="minorHAnsi"/>
          <w:b/>
          <w:bCs/>
          <w:sz w:val="24"/>
          <w:szCs w:val="24"/>
        </w:rPr>
        <w:t>1</w:t>
      </w:r>
      <w:r w:rsidRPr="00226C69">
        <w:rPr>
          <w:rFonts w:asciiTheme="minorHAnsi" w:hAnsiTheme="minorHAnsi" w:cstheme="minorHAnsi"/>
          <w:b/>
          <w:bCs/>
          <w:sz w:val="24"/>
          <w:szCs w:val="24"/>
        </w:rPr>
        <w:t>: Summary of PBS item codes for nominated comparator</w:t>
      </w:r>
    </w:p>
    <w:tbl>
      <w:tblPr>
        <w:tblStyle w:val="TableGrid"/>
        <w:tblW w:w="0" w:type="auto"/>
        <w:tblLook w:val="04A0" w:firstRow="1" w:lastRow="0" w:firstColumn="1" w:lastColumn="0" w:noHBand="0" w:noVBand="1"/>
      </w:tblPr>
      <w:tblGrid>
        <w:gridCol w:w="4732"/>
        <w:gridCol w:w="4733"/>
      </w:tblGrid>
      <w:tr w:rsidR="00226C69" w14:paraId="548FB66B" w14:textId="77777777" w:rsidTr="00226C69">
        <w:tc>
          <w:tcPr>
            <w:tcW w:w="4732" w:type="dxa"/>
          </w:tcPr>
          <w:p w14:paraId="3CC408E3" w14:textId="1090B3AF" w:rsidR="00226C69" w:rsidRPr="00663C2F" w:rsidRDefault="00226C69" w:rsidP="007520A6">
            <w:pPr>
              <w:jc w:val="both"/>
              <w:rPr>
                <w:rFonts w:asciiTheme="minorHAnsi" w:hAnsiTheme="minorHAnsi" w:cstheme="minorHAnsi"/>
                <w:b/>
                <w:bCs/>
                <w:sz w:val="20"/>
                <w:szCs w:val="20"/>
              </w:rPr>
            </w:pPr>
            <w:r w:rsidRPr="00663C2F">
              <w:rPr>
                <w:rFonts w:asciiTheme="minorHAnsi" w:hAnsiTheme="minorHAnsi" w:cstheme="minorHAnsi"/>
                <w:b/>
                <w:bCs/>
                <w:sz w:val="20"/>
                <w:szCs w:val="20"/>
              </w:rPr>
              <w:t>Comparator</w:t>
            </w:r>
          </w:p>
        </w:tc>
        <w:tc>
          <w:tcPr>
            <w:tcW w:w="4733" w:type="dxa"/>
          </w:tcPr>
          <w:p w14:paraId="4795B00D" w14:textId="7C866474" w:rsidR="00226C69" w:rsidRPr="00663C2F" w:rsidRDefault="00226C69" w:rsidP="007520A6">
            <w:pPr>
              <w:jc w:val="both"/>
              <w:rPr>
                <w:rFonts w:asciiTheme="minorHAnsi" w:hAnsiTheme="minorHAnsi" w:cstheme="minorHAnsi"/>
                <w:b/>
                <w:bCs/>
                <w:sz w:val="20"/>
                <w:szCs w:val="20"/>
              </w:rPr>
            </w:pPr>
            <w:r w:rsidRPr="00663C2F">
              <w:rPr>
                <w:rFonts w:asciiTheme="minorHAnsi" w:hAnsiTheme="minorHAnsi" w:cstheme="minorHAnsi"/>
                <w:b/>
                <w:bCs/>
                <w:sz w:val="20"/>
                <w:szCs w:val="20"/>
              </w:rPr>
              <w:t>PBS item code</w:t>
            </w:r>
          </w:p>
        </w:tc>
      </w:tr>
      <w:tr w:rsidR="00226C69" w14:paraId="648AB9C9" w14:textId="77777777" w:rsidTr="00226C69">
        <w:tc>
          <w:tcPr>
            <w:tcW w:w="4732" w:type="dxa"/>
          </w:tcPr>
          <w:p w14:paraId="2855FC97" w14:textId="4F3B2849" w:rsidR="00226C69" w:rsidRPr="00663C2F" w:rsidRDefault="00226C69" w:rsidP="007520A6">
            <w:pPr>
              <w:jc w:val="both"/>
              <w:rPr>
                <w:rFonts w:asciiTheme="minorHAnsi" w:hAnsiTheme="minorHAnsi" w:cstheme="minorHAnsi"/>
                <w:sz w:val="20"/>
                <w:szCs w:val="20"/>
              </w:rPr>
            </w:pPr>
            <w:r w:rsidRPr="00663C2F">
              <w:rPr>
                <w:rFonts w:asciiTheme="minorHAnsi" w:hAnsiTheme="minorHAnsi" w:cstheme="minorHAnsi"/>
                <w:sz w:val="20"/>
                <w:szCs w:val="20"/>
              </w:rPr>
              <w:t>Pomalidomide (plus bortezomib and dexamethasone)</w:t>
            </w:r>
            <w:r w:rsidR="00155DC1" w:rsidRPr="00663C2F">
              <w:rPr>
                <w:rFonts w:asciiTheme="minorHAnsi" w:hAnsiTheme="minorHAnsi" w:cstheme="minorHAnsi"/>
                <w:sz w:val="20"/>
                <w:szCs w:val="20"/>
              </w:rPr>
              <w:t xml:space="preserve"> [</w:t>
            </w:r>
            <w:proofErr w:type="spellStart"/>
            <w:r w:rsidR="00155DC1" w:rsidRPr="00663C2F">
              <w:rPr>
                <w:rFonts w:asciiTheme="minorHAnsi" w:hAnsiTheme="minorHAnsi" w:cstheme="minorHAnsi"/>
                <w:sz w:val="20"/>
                <w:szCs w:val="20"/>
              </w:rPr>
              <w:t>PBd</w:t>
            </w:r>
            <w:proofErr w:type="spellEnd"/>
            <w:r w:rsidR="00155DC1" w:rsidRPr="00663C2F">
              <w:rPr>
                <w:rFonts w:asciiTheme="minorHAnsi" w:hAnsiTheme="minorHAnsi" w:cstheme="minorHAnsi"/>
                <w:sz w:val="20"/>
                <w:szCs w:val="20"/>
              </w:rPr>
              <w:t>]</w:t>
            </w:r>
          </w:p>
        </w:tc>
        <w:tc>
          <w:tcPr>
            <w:tcW w:w="4733" w:type="dxa"/>
          </w:tcPr>
          <w:p w14:paraId="05C7FEE8" w14:textId="6D14A42F" w:rsidR="00226C69" w:rsidRPr="00663C2F" w:rsidRDefault="002E3487" w:rsidP="007520A6">
            <w:pPr>
              <w:jc w:val="both"/>
              <w:rPr>
                <w:rFonts w:asciiTheme="minorHAnsi" w:hAnsiTheme="minorHAnsi" w:cstheme="minorHAnsi"/>
                <w:sz w:val="20"/>
                <w:szCs w:val="20"/>
              </w:rPr>
            </w:pPr>
            <w:r w:rsidRPr="00663C2F">
              <w:rPr>
                <w:rFonts w:asciiTheme="minorHAnsi" w:hAnsiTheme="minorHAnsi" w:cstheme="minorHAnsi"/>
                <w:sz w:val="20"/>
                <w:szCs w:val="20"/>
              </w:rPr>
              <w:t xml:space="preserve">12661J, </w:t>
            </w:r>
            <w:r w:rsidR="00B646F6" w:rsidRPr="00663C2F">
              <w:rPr>
                <w:rFonts w:asciiTheme="minorHAnsi" w:hAnsiTheme="minorHAnsi" w:cstheme="minorHAnsi"/>
                <w:sz w:val="20"/>
                <w:szCs w:val="20"/>
              </w:rPr>
              <w:t>12665N, 12666P, 12668R</w:t>
            </w:r>
            <w:r w:rsidR="00EB0BAF" w:rsidRPr="00663C2F">
              <w:rPr>
                <w:rFonts w:asciiTheme="minorHAnsi" w:hAnsiTheme="minorHAnsi" w:cstheme="minorHAnsi"/>
                <w:sz w:val="20"/>
                <w:szCs w:val="20"/>
              </w:rPr>
              <w:t>, 13794B</w:t>
            </w:r>
            <w:r w:rsidR="00754E23" w:rsidRPr="00663C2F">
              <w:rPr>
                <w:rFonts w:asciiTheme="minorHAnsi" w:hAnsiTheme="minorHAnsi" w:cstheme="minorHAnsi"/>
                <w:sz w:val="20"/>
                <w:szCs w:val="20"/>
              </w:rPr>
              <w:t>, 13812Y</w:t>
            </w:r>
            <w:r w:rsidR="007E3253" w:rsidRPr="00663C2F">
              <w:rPr>
                <w:rFonts w:asciiTheme="minorHAnsi" w:hAnsiTheme="minorHAnsi" w:cstheme="minorHAnsi"/>
                <w:sz w:val="20"/>
                <w:szCs w:val="20"/>
              </w:rPr>
              <w:t>, 13813B, 13815D</w:t>
            </w:r>
          </w:p>
        </w:tc>
      </w:tr>
      <w:tr w:rsidR="00226C69" w14:paraId="013BE5A6" w14:textId="77777777" w:rsidTr="00226C69">
        <w:tc>
          <w:tcPr>
            <w:tcW w:w="4732" w:type="dxa"/>
          </w:tcPr>
          <w:p w14:paraId="39063401" w14:textId="7080A185" w:rsidR="00226C69" w:rsidRPr="00663C2F" w:rsidRDefault="00226C69" w:rsidP="007520A6">
            <w:pPr>
              <w:jc w:val="both"/>
              <w:rPr>
                <w:rFonts w:asciiTheme="minorHAnsi" w:hAnsiTheme="minorHAnsi" w:cstheme="minorHAnsi"/>
                <w:sz w:val="20"/>
                <w:szCs w:val="20"/>
              </w:rPr>
            </w:pPr>
            <w:r w:rsidRPr="00663C2F">
              <w:rPr>
                <w:rFonts w:asciiTheme="minorHAnsi" w:hAnsiTheme="minorHAnsi" w:cstheme="minorHAnsi"/>
                <w:sz w:val="20"/>
                <w:szCs w:val="20"/>
              </w:rPr>
              <w:t>Carfilzomib (plus dexamethasone)</w:t>
            </w:r>
            <w:r w:rsidR="00155DC1" w:rsidRPr="00663C2F">
              <w:rPr>
                <w:rFonts w:asciiTheme="minorHAnsi" w:hAnsiTheme="minorHAnsi" w:cstheme="minorHAnsi"/>
                <w:sz w:val="20"/>
                <w:szCs w:val="20"/>
              </w:rPr>
              <w:t xml:space="preserve"> [Cd]</w:t>
            </w:r>
          </w:p>
        </w:tc>
        <w:tc>
          <w:tcPr>
            <w:tcW w:w="4733" w:type="dxa"/>
          </w:tcPr>
          <w:p w14:paraId="3E05D7FD" w14:textId="076F9685" w:rsidR="00226C69" w:rsidRPr="00663C2F" w:rsidRDefault="00163CE3" w:rsidP="007520A6">
            <w:pPr>
              <w:jc w:val="both"/>
              <w:rPr>
                <w:rFonts w:asciiTheme="minorHAnsi" w:hAnsiTheme="minorHAnsi" w:cstheme="minorHAnsi"/>
                <w:sz w:val="20"/>
                <w:szCs w:val="20"/>
              </w:rPr>
            </w:pPr>
            <w:r w:rsidRPr="00663C2F">
              <w:rPr>
                <w:rFonts w:asciiTheme="minorHAnsi" w:hAnsiTheme="minorHAnsi" w:cstheme="minorHAnsi"/>
                <w:sz w:val="20"/>
                <w:szCs w:val="20"/>
              </w:rPr>
              <w:t xml:space="preserve">11229B, </w:t>
            </w:r>
            <w:r w:rsidR="00CA68B5" w:rsidRPr="00663C2F">
              <w:rPr>
                <w:rFonts w:asciiTheme="minorHAnsi" w:hAnsiTheme="minorHAnsi" w:cstheme="minorHAnsi"/>
                <w:sz w:val="20"/>
                <w:szCs w:val="20"/>
              </w:rPr>
              <w:t>11230C, 12243J</w:t>
            </w:r>
            <w:r w:rsidR="00874B43" w:rsidRPr="00663C2F">
              <w:rPr>
                <w:rFonts w:asciiTheme="minorHAnsi" w:hAnsiTheme="minorHAnsi" w:cstheme="minorHAnsi"/>
                <w:sz w:val="20"/>
                <w:szCs w:val="20"/>
              </w:rPr>
              <w:t>, 12244K</w:t>
            </w:r>
          </w:p>
        </w:tc>
      </w:tr>
      <w:tr w:rsidR="00226C69" w14:paraId="6A0B739E" w14:textId="77777777" w:rsidTr="00226C69">
        <w:tc>
          <w:tcPr>
            <w:tcW w:w="4732" w:type="dxa"/>
          </w:tcPr>
          <w:p w14:paraId="71E5B185" w14:textId="6AD173CF" w:rsidR="00226C69" w:rsidRPr="00663C2F" w:rsidRDefault="00226C69" w:rsidP="007520A6">
            <w:pPr>
              <w:jc w:val="both"/>
              <w:rPr>
                <w:rFonts w:asciiTheme="minorHAnsi" w:hAnsiTheme="minorHAnsi" w:cstheme="minorHAnsi"/>
                <w:sz w:val="20"/>
                <w:szCs w:val="20"/>
              </w:rPr>
            </w:pPr>
            <w:r w:rsidRPr="00663C2F">
              <w:rPr>
                <w:rFonts w:asciiTheme="minorHAnsi" w:hAnsiTheme="minorHAnsi" w:cstheme="minorHAnsi"/>
                <w:sz w:val="20"/>
                <w:szCs w:val="20"/>
              </w:rPr>
              <w:t>Daratumumab (plus bortezomib and dexamethasone)</w:t>
            </w:r>
            <w:r w:rsidR="00155DC1" w:rsidRPr="00663C2F">
              <w:rPr>
                <w:rFonts w:asciiTheme="minorHAnsi" w:hAnsiTheme="minorHAnsi" w:cstheme="minorHAnsi"/>
                <w:sz w:val="20"/>
                <w:szCs w:val="20"/>
              </w:rPr>
              <w:t xml:space="preserve"> [</w:t>
            </w:r>
            <w:proofErr w:type="spellStart"/>
            <w:r w:rsidR="00155DC1" w:rsidRPr="00663C2F">
              <w:rPr>
                <w:rFonts w:asciiTheme="minorHAnsi" w:hAnsiTheme="minorHAnsi" w:cstheme="minorHAnsi"/>
                <w:sz w:val="20"/>
                <w:szCs w:val="20"/>
              </w:rPr>
              <w:t>DBd</w:t>
            </w:r>
            <w:proofErr w:type="spellEnd"/>
            <w:r w:rsidR="00155DC1" w:rsidRPr="00663C2F">
              <w:rPr>
                <w:rFonts w:asciiTheme="minorHAnsi" w:hAnsiTheme="minorHAnsi" w:cstheme="minorHAnsi"/>
                <w:sz w:val="20"/>
                <w:szCs w:val="20"/>
              </w:rPr>
              <w:t>]</w:t>
            </w:r>
          </w:p>
        </w:tc>
        <w:tc>
          <w:tcPr>
            <w:tcW w:w="4733" w:type="dxa"/>
          </w:tcPr>
          <w:p w14:paraId="13D83F92" w14:textId="7EF80BF8" w:rsidR="00226C69" w:rsidRPr="00663C2F" w:rsidRDefault="00874B43" w:rsidP="007520A6">
            <w:pPr>
              <w:jc w:val="both"/>
              <w:rPr>
                <w:rFonts w:asciiTheme="minorHAnsi" w:hAnsiTheme="minorHAnsi" w:cstheme="minorHAnsi"/>
                <w:sz w:val="20"/>
                <w:szCs w:val="20"/>
              </w:rPr>
            </w:pPr>
            <w:r w:rsidRPr="00663C2F">
              <w:rPr>
                <w:rFonts w:asciiTheme="minorHAnsi" w:hAnsiTheme="minorHAnsi" w:cstheme="minorHAnsi"/>
                <w:sz w:val="20"/>
                <w:szCs w:val="20"/>
              </w:rPr>
              <w:t xml:space="preserve">12220E, </w:t>
            </w:r>
            <w:r w:rsidR="004D4ED7" w:rsidRPr="00663C2F">
              <w:rPr>
                <w:rFonts w:asciiTheme="minorHAnsi" w:hAnsiTheme="minorHAnsi" w:cstheme="minorHAnsi"/>
                <w:sz w:val="20"/>
                <w:szCs w:val="20"/>
              </w:rPr>
              <w:t xml:space="preserve">12225K, 12226L, </w:t>
            </w:r>
            <w:r w:rsidR="00D8618A" w:rsidRPr="00663C2F">
              <w:rPr>
                <w:rFonts w:asciiTheme="minorHAnsi" w:hAnsiTheme="minorHAnsi" w:cstheme="minorHAnsi"/>
                <w:sz w:val="20"/>
                <w:szCs w:val="20"/>
              </w:rPr>
              <w:t>12228N, 12230Q</w:t>
            </w:r>
            <w:r w:rsidR="00DD60BF" w:rsidRPr="00663C2F">
              <w:rPr>
                <w:rFonts w:asciiTheme="minorHAnsi" w:hAnsiTheme="minorHAnsi" w:cstheme="minorHAnsi"/>
                <w:sz w:val="20"/>
                <w:szCs w:val="20"/>
              </w:rPr>
              <w:t>, 12231R, 12682L</w:t>
            </w:r>
            <w:r w:rsidR="00365AA0" w:rsidRPr="00663C2F">
              <w:rPr>
                <w:rFonts w:asciiTheme="minorHAnsi" w:hAnsiTheme="minorHAnsi" w:cstheme="minorHAnsi"/>
                <w:sz w:val="20"/>
                <w:szCs w:val="20"/>
              </w:rPr>
              <w:t>, 12683M, 12725R, 12745T</w:t>
            </w:r>
            <w:r w:rsidR="009B7A80" w:rsidRPr="00663C2F">
              <w:rPr>
                <w:rFonts w:asciiTheme="minorHAnsi" w:hAnsiTheme="minorHAnsi" w:cstheme="minorHAnsi"/>
                <w:sz w:val="20"/>
                <w:szCs w:val="20"/>
              </w:rPr>
              <w:t>, 12746W, 12755H</w:t>
            </w:r>
          </w:p>
        </w:tc>
      </w:tr>
    </w:tbl>
    <w:p w14:paraId="7AE42CF7" w14:textId="7B4D5738" w:rsidR="00FE257E" w:rsidRPr="00F849F2" w:rsidRDefault="004F12A9" w:rsidP="00071A7D">
      <w:pPr>
        <w:spacing w:before="240"/>
        <w:jc w:val="both"/>
        <w:rPr>
          <w:rFonts w:asciiTheme="minorHAnsi" w:hAnsiTheme="minorHAnsi" w:cstheme="minorHAnsi"/>
          <w:b/>
          <w:bCs/>
          <w:sz w:val="24"/>
          <w:szCs w:val="24"/>
        </w:rPr>
      </w:pPr>
      <w:r w:rsidRPr="00F849F2">
        <w:rPr>
          <w:rFonts w:asciiTheme="minorHAnsi" w:hAnsiTheme="minorHAnsi" w:cstheme="minorHAnsi"/>
          <w:b/>
          <w:bCs/>
          <w:sz w:val="24"/>
          <w:szCs w:val="24"/>
        </w:rPr>
        <w:t>P</w:t>
      </w:r>
      <w:r w:rsidR="005B5A58" w:rsidRPr="00F849F2">
        <w:rPr>
          <w:rFonts w:asciiTheme="minorHAnsi" w:hAnsiTheme="minorHAnsi" w:cstheme="minorHAnsi"/>
          <w:b/>
          <w:bCs/>
          <w:sz w:val="24"/>
          <w:szCs w:val="24"/>
        </w:rPr>
        <w:t>rovide a rationale for why this is a comparator</w:t>
      </w:r>
      <w:r w:rsidR="000627EF" w:rsidRPr="00F849F2">
        <w:rPr>
          <w:rFonts w:asciiTheme="minorHAnsi" w:hAnsiTheme="minorHAnsi" w:cstheme="minorHAnsi"/>
          <w:b/>
          <w:bCs/>
          <w:sz w:val="24"/>
          <w:szCs w:val="24"/>
        </w:rPr>
        <w:t>:</w:t>
      </w:r>
    </w:p>
    <w:p w14:paraId="43A8BF8C" w14:textId="706E7164" w:rsidR="006747C9" w:rsidRPr="006747C9" w:rsidRDefault="006747C9" w:rsidP="003D197C">
      <w:pPr>
        <w:jc w:val="both"/>
        <w:rPr>
          <w:rFonts w:asciiTheme="minorHAnsi" w:hAnsiTheme="minorHAnsi" w:cstheme="minorHAnsi"/>
          <w:sz w:val="24"/>
          <w:szCs w:val="24"/>
          <w:u w:val="single"/>
        </w:rPr>
      </w:pPr>
      <w:r w:rsidRPr="006747C9">
        <w:rPr>
          <w:rFonts w:asciiTheme="minorHAnsi" w:hAnsiTheme="minorHAnsi" w:cstheme="minorHAnsi"/>
          <w:sz w:val="24"/>
          <w:szCs w:val="24"/>
          <w:u w:val="single"/>
        </w:rPr>
        <w:t>Current PBS practice</w:t>
      </w:r>
      <w:r w:rsidR="00616BA2">
        <w:rPr>
          <w:rFonts w:asciiTheme="minorHAnsi" w:hAnsiTheme="minorHAnsi" w:cstheme="minorHAnsi"/>
          <w:sz w:val="24"/>
          <w:szCs w:val="24"/>
          <w:u w:val="single"/>
        </w:rPr>
        <w:t xml:space="preserve"> for 2L+ MM</w:t>
      </w:r>
    </w:p>
    <w:p w14:paraId="4C98B687" w14:textId="3D85BA0A" w:rsidR="003D197C" w:rsidRDefault="003D197C" w:rsidP="003D197C">
      <w:pPr>
        <w:jc w:val="both"/>
        <w:rPr>
          <w:rFonts w:asciiTheme="minorHAnsi" w:hAnsiTheme="minorHAnsi" w:cstheme="minorHAnsi"/>
          <w:sz w:val="24"/>
          <w:szCs w:val="24"/>
        </w:rPr>
      </w:pPr>
      <w:r w:rsidRPr="003D197C">
        <w:rPr>
          <w:rFonts w:asciiTheme="minorHAnsi" w:hAnsiTheme="minorHAnsi" w:cstheme="minorHAnsi"/>
          <w:sz w:val="24"/>
          <w:szCs w:val="24"/>
        </w:rPr>
        <w:t xml:space="preserve">As noted </w:t>
      </w:r>
      <w:r w:rsidR="00054205">
        <w:rPr>
          <w:rFonts w:asciiTheme="minorHAnsi" w:hAnsiTheme="minorHAnsi" w:cstheme="minorHAnsi"/>
          <w:sz w:val="24"/>
          <w:szCs w:val="24"/>
        </w:rPr>
        <w:t xml:space="preserve">earlier in the </w:t>
      </w:r>
      <w:r w:rsidR="00210C66">
        <w:rPr>
          <w:rFonts w:asciiTheme="minorHAnsi" w:hAnsiTheme="minorHAnsi" w:cstheme="minorHAnsi"/>
          <w:sz w:val="24"/>
          <w:szCs w:val="24"/>
        </w:rPr>
        <w:t>‘Population’ section</w:t>
      </w:r>
      <w:r w:rsidRPr="003D197C">
        <w:rPr>
          <w:rFonts w:asciiTheme="minorHAnsi" w:hAnsiTheme="minorHAnsi" w:cstheme="minorHAnsi"/>
          <w:sz w:val="24"/>
          <w:szCs w:val="24"/>
        </w:rPr>
        <w:t xml:space="preserve">, the proposed indication for cilta-cel is for the treatment of patients with RRMM </w:t>
      </w:r>
      <w:r w:rsidR="0098162F">
        <w:rPr>
          <w:rFonts w:asciiTheme="minorHAnsi" w:hAnsiTheme="minorHAnsi" w:cstheme="minorHAnsi"/>
          <w:sz w:val="24"/>
          <w:szCs w:val="24"/>
        </w:rPr>
        <w:t>after at least one</w:t>
      </w:r>
      <w:r w:rsidRPr="003D197C">
        <w:rPr>
          <w:rFonts w:asciiTheme="minorHAnsi" w:hAnsiTheme="minorHAnsi" w:cstheme="minorHAnsi"/>
          <w:sz w:val="24"/>
          <w:szCs w:val="24"/>
        </w:rPr>
        <w:t xml:space="preserve"> prior line of therapy including a PI</w:t>
      </w:r>
      <w:r w:rsidR="0098162F">
        <w:rPr>
          <w:rFonts w:asciiTheme="minorHAnsi" w:hAnsiTheme="minorHAnsi" w:cstheme="minorHAnsi"/>
          <w:sz w:val="24"/>
          <w:szCs w:val="24"/>
        </w:rPr>
        <w:t xml:space="preserve"> and </w:t>
      </w:r>
      <w:r w:rsidRPr="003D197C">
        <w:rPr>
          <w:rFonts w:asciiTheme="minorHAnsi" w:hAnsiTheme="minorHAnsi" w:cstheme="minorHAnsi"/>
          <w:sz w:val="24"/>
          <w:szCs w:val="24"/>
        </w:rPr>
        <w:t>an IMiD</w:t>
      </w:r>
      <w:r w:rsidR="0098162F">
        <w:rPr>
          <w:rFonts w:asciiTheme="minorHAnsi" w:hAnsiTheme="minorHAnsi" w:cstheme="minorHAnsi"/>
          <w:sz w:val="24"/>
          <w:szCs w:val="24"/>
        </w:rPr>
        <w:t>,</w:t>
      </w:r>
      <w:r w:rsidRPr="003D197C">
        <w:rPr>
          <w:rFonts w:asciiTheme="minorHAnsi" w:hAnsiTheme="minorHAnsi" w:cstheme="minorHAnsi"/>
          <w:sz w:val="24"/>
          <w:szCs w:val="24"/>
        </w:rPr>
        <w:t xml:space="preserve"> and </w:t>
      </w:r>
      <w:r w:rsidR="0098162F">
        <w:rPr>
          <w:rFonts w:asciiTheme="minorHAnsi" w:hAnsiTheme="minorHAnsi" w:cstheme="minorHAnsi"/>
          <w:sz w:val="24"/>
          <w:szCs w:val="24"/>
        </w:rPr>
        <w:t>who are lenalidomide-refractory</w:t>
      </w:r>
      <w:r w:rsidRPr="003D197C">
        <w:rPr>
          <w:rFonts w:asciiTheme="minorHAnsi" w:hAnsiTheme="minorHAnsi" w:cstheme="minorHAnsi"/>
          <w:sz w:val="24"/>
          <w:szCs w:val="24"/>
        </w:rPr>
        <w:t xml:space="preserve">. Thus, the earliest patients can receive cilta-cel will be as a </w:t>
      </w:r>
      <w:r w:rsidR="0098162F">
        <w:rPr>
          <w:rFonts w:asciiTheme="minorHAnsi" w:hAnsiTheme="minorHAnsi" w:cstheme="minorHAnsi"/>
          <w:sz w:val="24"/>
          <w:szCs w:val="24"/>
        </w:rPr>
        <w:t>second</w:t>
      </w:r>
      <w:r w:rsidRPr="003D197C">
        <w:rPr>
          <w:rFonts w:asciiTheme="minorHAnsi" w:hAnsiTheme="minorHAnsi" w:cstheme="minorHAnsi"/>
          <w:sz w:val="24"/>
          <w:szCs w:val="24"/>
        </w:rPr>
        <w:t xml:space="preserve"> line MM treatment.  Further, as described in </w:t>
      </w:r>
      <w:r w:rsidR="00A10624">
        <w:rPr>
          <w:rFonts w:asciiTheme="minorHAnsi" w:hAnsiTheme="minorHAnsi" w:cstheme="minorHAnsi"/>
          <w:sz w:val="24"/>
          <w:szCs w:val="24"/>
        </w:rPr>
        <w:t>‘Algorithms’ section</w:t>
      </w:r>
      <w:r w:rsidRPr="003D197C">
        <w:rPr>
          <w:rFonts w:asciiTheme="minorHAnsi" w:hAnsiTheme="minorHAnsi" w:cstheme="minorHAnsi"/>
          <w:sz w:val="24"/>
          <w:szCs w:val="24"/>
        </w:rPr>
        <w:t xml:space="preserve">, </w:t>
      </w:r>
      <w:r w:rsidR="00DE2BDD">
        <w:rPr>
          <w:rFonts w:asciiTheme="minorHAnsi" w:hAnsiTheme="minorHAnsi" w:cstheme="minorHAnsi"/>
          <w:sz w:val="24"/>
          <w:szCs w:val="24"/>
        </w:rPr>
        <w:t>al</w:t>
      </w:r>
      <w:r w:rsidR="00A10624">
        <w:rPr>
          <w:rFonts w:asciiTheme="minorHAnsi" w:hAnsiTheme="minorHAnsi" w:cstheme="minorHAnsi"/>
          <w:sz w:val="24"/>
          <w:szCs w:val="24"/>
        </w:rPr>
        <w:t xml:space="preserve">most </w:t>
      </w:r>
      <w:r w:rsidR="00DE2BDD">
        <w:rPr>
          <w:rFonts w:asciiTheme="minorHAnsi" w:hAnsiTheme="minorHAnsi" w:cstheme="minorHAnsi"/>
          <w:sz w:val="24"/>
          <w:szCs w:val="24"/>
        </w:rPr>
        <w:t xml:space="preserve">all </w:t>
      </w:r>
      <w:r w:rsidR="00A10624">
        <w:rPr>
          <w:rFonts w:asciiTheme="minorHAnsi" w:hAnsiTheme="minorHAnsi" w:cstheme="minorHAnsi"/>
          <w:sz w:val="24"/>
          <w:szCs w:val="24"/>
        </w:rPr>
        <w:t>patients with newly diagnosed MM receive a lenalidomide-based regimen as their first-line treatment</w:t>
      </w:r>
      <w:r w:rsidR="00E367E7">
        <w:rPr>
          <w:rFonts w:asciiTheme="minorHAnsi" w:hAnsiTheme="minorHAnsi" w:cstheme="minorHAnsi"/>
          <w:sz w:val="24"/>
          <w:szCs w:val="24"/>
        </w:rPr>
        <w:t>, and</w:t>
      </w:r>
      <w:r w:rsidR="00667232">
        <w:rPr>
          <w:rFonts w:asciiTheme="minorHAnsi" w:hAnsiTheme="minorHAnsi" w:cstheme="minorHAnsi"/>
          <w:sz w:val="24"/>
          <w:szCs w:val="24"/>
        </w:rPr>
        <w:t xml:space="preserve"> </w:t>
      </w:r>
      <w:r w:rsidR="00667232">
        <w:rPr>
          <w:rFonts w:asciiTheme="minorHAnsi" w:hAnsiTheme="minorHAnsi" w:cstheme="minorHAnsi"/>
          <w:sz w:val="24"/>
          <w:szCs w:val="24"/>
        </w:rPr>
        <w:lastRenderedPageBreak/>
        <w:t xml:space="preserve">as lenalidomide is </w:t>
      </w:r>
      <w:r w:rsidR="004A563B">
        <w:rPr>
          <w:rFonts w:asciiTheme="minorHAnsi" w:hAnsiTheme="minorHAnsi" w:cstheme="minorHAnsi"/>
          <w:sz w:val="24"/>
          <w:szCs w:val="24"/>
        </w:rPr>
        <w:t>given until disease progression, patients</w:t>
      </w:r>
      <w:r w:rsidR="00E367E7">
        <w:rPr>
          <w:rFonts w:asciiTheme="minorHAnsi" w:hAnsiTheme="minorHAnsi" w:cstheme="minorHAnsi"/>
          <w:sz w:val="24"/>
          <w:szCs w:val="24"/>
        </w:rPr>
        <w:t xml:space="preserve"> will also be refractory to lenalidomide in the second-line setting</w:t>
      </w:r>
      <w:r w:rsidR="00A10624">
        <w:rPr>
          <w:rFonts w:asciiTheme="minorHAnsi" w:hAnsiTheme="minorHAnsi" w:cstheme="minorHAnsi"/>
          <w:sz w:val="24"/>
          <w:szCs w:val="24"/>
        </w:rPr>
        <w:t>.</w:t>
      </w:r>
    </w:p>
    <w:p w14:paraId="346B0FA1" w14:textId="1B8878BE" w:rsidR="00355F48" w:rsidRDefault="00355F48" w:rsidP="003D197C">
      <w:pPr>
        <w:jc w:val="both"/>
        <w:rPr>
          <w:rFonts w:asciiTheme="minorHAnsi" w:hAnsiTheme="minorHAnsi" w:cstheme="minorHAnsi"/>
          <w:sz w:val="24"/>
          <w:szCs w:val="24"/>
        </w:rPr>
      </w:pPr>
      <w:r>
        <w:rPr>
          <w:rFonts w:asciiTheme="minorHAnsi" w:hAnsiTheme="minorHAnsi" w:cstheme="minorHAnsi"/>
          <w:sz w:val="24"/>
          <w:szCs w:val="24"/>
        </w:rPr>
        <w:t>An</w:t>
      </w:r>
      <w:r w:rsidR="00722C70">
        <w:rPr>
          <w:rFonts w:asciiTheme="minorHAnsi" w:hAnsiTheme="minorHAnsi" w:cstheme="minorHAnsi"/>
          <w:sz w:val="24"/>
          <w:szCs w:val="24"/>
        </w:rPr>
        <w:t xml:space="preserve"> analysis of the PBS 10% sample based on the number of unique patients on each molecule between 2021 and 2026 </w:t>
      </w:r>
      <w:r w:rsidR="00D32A5A">
        <w:rPr>
          <w:rFonts w:asciiTheme="minorHAnsi" w:hAnsiTheme="minorHAnsi" w:cstheme="minorHAnsi"/>
          <w:sz w:val="24"/>
          <w:szCs w:val="24"/>
        </w:rPr>
        <w:t>on</w:t>
      </w:r>
      <w:r w:rsidR="00722C70">
        <w:rPr>
          <w:rFonts w:asciiTheme="minorHAnsi" w:hAnsiTheme="minorHAnsi" w:cstheme="minorHAnsi"/>
          <w:sz w:val="24"/>
          <w:szCs w:val="24"/>
        </w:rPr>
        <w:t xml:space="preserve"> </w:t>
      </w:r>
      <w:r w:rsidR="00D32A5A">
        <w:rPr>
          <w:rFonts w:asciiTheme="minorHAnsi" w:hAnsiTheme="minorHAnsi" w:cstheme="minorHAnsi"/>
          <w:sz w:val="24"/>
          <w:szCs w:val="24"/>
        </w:rPr>
        <w:t xml:space="preserve">second-line, </w:t>
      </w:r>
      <w:proofErr w:type="gramStart"/>
      <w:r w:rsidR="00D32A5A">
        <w:rPr>
          <w:rFonts w:asciiTheme="minorHAnsi" w:hAnsiTheme="minorHAnsi" w:cstheme="minorHAnsi"/>
          <w:sz w:val="24"/>
          <w:szCs w:val="24"/>
        </w:rPr>
        <w:t>third-line</w:t>
      </w:r>
      <w:proofErr w:type="gramEnd"/>
      <w:r w:rsidR="00D32A5A">
        <w:rPr>
          <w:rFonts w:asciiTheme="minorHAnsi" w:hAnsiTheme="minorHAnsi" w:cstheme="minorHAnsi"/>
          <w:sz w:val="24"/>
          <w:szCs w:val="24"/>
        </w:rPr>
        <w:t xml:space="preserve"> and fourth-line treatments are presented in </w:t>
      </w:r>
      <w:r w:rsidR="00D32A5A" w:rsidRPr="00933838">
        <w:rPr>
          <w:rFonts w:asciiTheme="minorHAnsi" w:hAnsiTheme="minorHAnsi" w:cstheme="minorHAnsi"/>
          <w:sz w:val="24"/>
          <w:szCs w:val="24"/>
        </w:rPr>
        <w:t xml:space="preserve">Figure </w:t>
      </w:r>
      <w:r w:rsidR="00721847" w:rsidRPr="00933838">
        <w:rPr>
          <w:rFonts w:asciiTheme="minorHAnsi" w:hAnsiTheme="minorHAnsi" w:cstheme="minorHAnsi"/>
          <w:sz w:val="24"/>
          <w:szCs w:val="24"/>
        </w:rPr>
        <w:t xml:space="preserve">3 </w:t>
      </w:r>
      <w:r w:rsidR="00D32A5A" w:rsidRPr="00933838">
        <w:rPr>
          <w:rFonts w:asciiTheme="minorHAnsi" w:hAnsiTheme="minorHAnsi" w:cstheme="minorHAnsi"/>
          <w:sz w:val="24"/>
          <w:szCs w:val="24"/>
        </w:rPr>
        <w:t xml:space="preserve">(includes lenalidomide containing regimens) and Table </w:t>
      </w:r>
      <w:r w:rsidR="00721847" w:rsidRPr="00933838">
        <w:rPr>
          <w:rFonts w:asciiTheme="minorHAnsi" w:hAnsiTheme="minorHAnsi" w:cstheme="minorHAnsi"/>
          <w:sz w:val="24"/>
          <w:szCs w:val="24"/>
        </w:rPr>
        <w:t>2</w:t>
      </w:r>
      <w:r w:rsidR="00721847">
        <w:rPr>
          <w:rFonts w:asciiTheme="minorHAnsi" w:hAnsiTheme="minorHAnsi" w:cstheme="minorHAnsi"/>
          <w:sz w:val="24"/>
          <w:szCs w:val="24"/>
        </w:rPr>
        <w:t xml:space="preserve"> </w:t>
      </w:r>
      <w:r w:rsidR="00D32A5A">
        <w:rPr>
          <w:rFonts w:asciiTheme="minorHAnsi" w:hAnsiTheme="minorHAnsi" w:cstheme="minorHAnsi"/>
          <w:sz w:val="24"/>
          <w:szCs w:val="24"/>
        </w:rPr>
        <w:t xml:space="preserve">(excludes lenalidomide containing regimens). </w:t>
      </w:r>
      <w:r w:rsidR="0075160D">
        <w:rPr>
          <w:rFonts w:asciiTheme="minorHAnsi" w:hAnsiTheme="minorHAnsi" w:cstheme="minorHAnsi"/>
          <w:sz w:val="24"/>
          <w:szCs w:val="24"/>
        </w:rPr>
        <w:t xml:space="preserve">The analysis excluding lenalidomide containing regimens is presented because this application for cilta-cel is </w:t>
      </w:r>
      <w:r w:rsidR="00A55E6D">
        <w:rPr>
          <w:rFonts w:asciiTheme="minorHAnsi" w:hAnsiTheme="minorHAnsi" w:cstheme="minorHAnsi"/>
          <w:sz w:val="24"/>
          <w:szCs w:val="24"/>
        </w:rPr>
        <w:t>requesting funding in a population who are refractory to lenalidomide. Thus, lenalidomide containing regimens will not be prescribed in th</w:t>
      </w:r>
      <w:r w:rsidR="006B7F11">
        <w:rPr>
          <w:rFonts w:asciiTheme="minorHAnsi" w:hAnsiTheme="minorHAnsi" w:cstheme="minorHAnsi"/>
          <w:sz w:val="24"/>
          <w:szCs w:val="24"/>
        </w:rPr>
        <w:t>e requested</w:t>
      </w:r>
      <w:r w:rsidR="00A55E6D">
        <w:rPr>
          <w:rFonts w:asciiTheme="minorHAnsi" w:hAnsiTheme="minorHAnsi" w:cstheme="minorHAnsi"/>
          <w:sz w:val="24"/>
          <w:szCs w:val="24"/>
        </w:rPr>
        <w:t xml:space="preserve"> population, and are not relevant comparators</w:t>
      </w:r>
      <w:r w:rsidR="00933838">
        <w:rPr>
          <w:rFonts w:asciiTheme="minorHAnsi" w:hAnsiTheme="minorHAnsi" w:cstheme="minorHAnsi"/>
          <w:sz w:val="24"/>
          <w:szCs w:val="24"/>
        </w:rPr>
        <w:t xml:space="preserve"> for cilta-cel for 2L+ MM.</w:t>
      </w:r>
      <w:r w:rsidR="0075160D">
        <w:rPr>
          <w:rFonts w:asciiTheme="minorHAnsi" w:hAnsiTheme="minorHAnsi" w:cstheme="minorHAnsi"/>
          <w:sz w:val="24"/>
          <w:szCs w:val="24"/>
        </w:rPr>
        <w:t xml:space="preserve"> </w:t>
      </w:r>
    </w:p>
    <w:p w14:paraId="5A4D9575" w14:textId="6CFC0205" w:rsidR="00DC36BE" w:rsidRDefault="00441F62" w:rsidP="00AC0692">
      <w:pPr>
        <w:jc w:val="both"/>
        <w:rPr>
          <w:rFonts w:asciiTheme="minorHAnsi" w:hAnsiTheme="minorHAnsi" w:cstheme="minorHAnsi"/>
          <w:sz w:val="24"/>
          <w:szCs w:val="24"/>
        </w:rPr>
      </w:pPr>
      <w:r>
        <w:rPr>
          <w:rFonts w:asciiTheme="minorHAnsi" w:hAnsiTheme="minorHAnsi" w:cstheme="minorHAnsi"/>
          <w:sz w:val="24"/>
          <w:szCs w:val="24"/>
        </w:rPr>
        <w:t xml:space="preserve">The PBS 10% sample data </w:t>
      </w:r>
      <w:proofErr w:type="gramStart"/>
      <w:r>
        <w:rPr>
          <w:rFonts w:asciiTheme="minorHAnsi" w:hAnsiTheme="minorHAnsi" w:cstheme="minorHAnsi"/>
          <w:sz w:val="24"/>
          <w:szCs w:val="24"/>
        </w:rPr>
        <w:t>demonstrates</w:t>
      </w:r>
      <w:proofErr w:type="gramEnd"/>
      <w:r>
        <w:rPr>
          <w:rFonts w:asciiTheme="minorHAnsi" w:hAnsiTheme="minorHAnsi" w:cstheme="minorHAnsi"/>
          <w:sz w:val="24"/>
          <w:szCs w:val="24"/>
        </w:rPr>
        <w:t xml:space="preserve"> that the proportion of patients who receive a lenalidomide-based regimen for RRMM </w:t>
      </w:r>
      <w:r w:rsidR="0057118B">
        <w:rPr>
          <w:rFonts w:asciiTheme="minorHAnsi" w:hAnsiTheme="minorHAnsi" w:cstheme="minorHAnsi"/>
          <w:sz w:val="24"/>
          <w:szCs w:val="24"/>
        </w:rPr>
        <w:t xml:space="preserve">has substantially reduced over the last 5 years (from approximately </w:t>
      </w:r>
      <w:r w:rsidR="0057118B" w:rsidRPr="00F1228E">
        <w:rPr>
          <w:rFonts w:asciiTheme="minorHAnsi" w:hAnsiTheme="minorHAnsi" w:cstheme="minorHAnsi"/>
          <w:sz w:val="24"/>
          <w:szCs w:val="24"/>
        </w:rPr>
        <w:t>30% to 15%</w:t>
      </w:r>
      <w:r w:rsidR="00CE6CBF" w:rsidRPr="00F1228E">
        <w:rPr>
          <w:rFonts w:asciiTheme="minorHAnsi" w:hAnsiTheme="minorHAnsi" w:cstheme="minorHAnsi"/>
          <w:sz w:val="24"/>
          <w:szCs w:val="24"/>
        </w:rPr>
        <w:t xml:space="preserve">; refer to Figure </w:t>
      </w:r>
      <w:r w:rsidR="007B19EB" w:rsidRPr="00F1228E">
        <w:rPr>
          <w:rFonts w:asciiTheme="minorHAnsi" w:hAnsiTheme="minorHAnsi" w:cstheme="minorHAnsi"/>
          <w:sz w:val="24"/>
          <w:szCs w:val="24"/>
        </w:rPr>
        <w:t>3</w:t>
      </w:r>
      <w:r w:rsidR="0057118B" w:rsidRPr="00F1228E">
        <w:rPr>
          <w:rFonts w:asciiTheme="minorHAnsi" w:hAnsiTheme="minorHAnsi" w:cstheme="minorHAnsi"/>
          <w:sz w:val="24"/>
          <w:szCs w:val="24"/>
        </w:rPr>
        <w:t xml:space="preserve">). </w:t>
      </w:r>
      <w:proofErr w:type="gramStart"/>
      <w:r w:rsidR="00D12B97" w:rsidRPr="00F1228E">
        <w:rPr>
          <w:rFonts w:asciiTheme="minorHAnsi" w:hAnsiTheme="minorHAnsi" w:cstheme="minorHAnsi"/>
          <w:sz w:val="24"/>
          <w:szCs w:val="24"/>
        </w:rPr>
        <w:t>The</w:t>
      </w:r>
      <w:r w:rsidR="00D12B97">
        <w:rPr>
          <w:rFonts w:asciiTheme="minorHAnsi" w:hAnsiTheme="minorHAnsi" w:cstheme="minorHAnsi"/>
          <w:sz w:val="24"/>
          <w:szCs w:val="24"/>
        </w:rPr>
        <w:t xml:space="preserve"> </w:t>
      </w:r>
      <w:r w:rsidR="00AC0692">
        <w:rPr>
          <w:rFonts w:asciiTheme="minorHAnsi" w:hAnsiTheme="minorHAnsi" w:cstheme="minorHAnsi"/>
          <w:sz w:val="24"/>
          <w:szCs w:val="24"/>
        </w:rPr>
        <w:t>significant majority of</w:t>
      </w:r>
      <w:proofErr w:type="gramEnd"/>
      <w:r w:rsidR="00AC0692">
        <w:rPr>
          <w:rFonts w:asciiTheme="minorHAnsi" w:hAnsiTheme="minorHAnsi" w:cstheme="minorHAnsi"/>
          <w:sz w:val="24"/>
          <w:szCs w:val="24"/>
        </w:rPr>
        <w:t xml:space="preserve"> patients are </w:t>
      </w:r>
      <w:r w:rsidR="003676C9">
        <w:rPr>
          <w:rFonts w:asciiTheme="minorHAnsi" w:hAnsiTheme="minorHAnsi" w:cstheme="minorHAnsi"/>
          <w:sz w:val="24"/>
          <w:szCs w:val="24"/>
        </w:rPr>
        <w:t xml:space="preserve">now </w:t>
      </w:r>
      <w:r w:rsidR="00AC0692">
        <w:rPr>
          <w:rFonts w:asciiTheme="minorHAnsi" w:hAnsiTheme="minorHAnsi" w:cstheme="minorHAnsi"/>
          <w:sz w:val="24"/>
          <w:szCs w:val="24"/>
        </w:rPr>
        <w:t>receiving a non-lenalidomide based therapy for RRMM in Australia</w:t>
      </w:r>
      <w:r w:rsidR="003676C9">
        <w:rPr>
          <w:rFonts w:asciiTheme="minorHAnsi" w:hAnsiTheme="minorHAnsi" w:cstheme="minorHAnsi"/>
          <w:sz w:val="24"/>
          <w:szCs w:val="24"/>
        </w:rPr>
        <w:t xml:space="preserve">, and this </w:t>
      </w:r>
      <w:r w:rsidR="00E52504">
        <w:rPr>
          <w:rFonts w:asciiTheme="minorHAnsi" w:hAnsiTheme="minorHAnsi" w:cstheme="minorHAnsi"/>
          <w:sz w:val="24"/>
          <w:szCs w:val="24"/>
        </w:rPr>
        <w:t>is continuing to decline considerably over time</w:t>
      </w:r>
      <w:r w:rsidR="00AC0692">
        <w:rPr>
          <w:rFonts w:asciiTheme="minorHAnsi" w:hAnsiTheme="minorHAnsi" w:cstheme="minorHAnsi"/>
          <w:sz w:val="24"/>
          <w:szCs w:val="24"/>
        </w:rPr>
        <w:t xml:space="preserve">. This is </w:t>
      </w:r>
      <w:r w:rsidR="0057118B">
        <w:rPr>
          <w:rFonts w:asciiTheme="minorHAnsi" w:hAnsiTheme="minorHAnsi" w:cstheme="minorHAnsi"/>
          <w:sz w:val="24"/>
          <w:szCs w:val="24"/>
        </w:rPr>
        <w:t xml:space="preserve">not surprising given that </w:t>
      </w:r>
      <w:r w:rsidR="00535F22">
        <w:rPr>
          <w:rFonts w:asciiTheme="minorHAnsi" w:hAnsiTheme="minorHAnsi" w:cstheme="minorHAnsi"/>
          <w:sz w:val="24"/>
          <w:szCs w:val="24"/>
        </w:rPr>
        <w:t xml:space="preserve">almost all patients </w:t>
      </w:r>
      <w:r w:rsidR="00DF1515">
        <w:rPr>
          <w:rFonts w:asciiTheme="minorHAnsi" w:hAnsiTheme="minorHAnsi" w:cstheme="minorHAnsi"/>
          <w:sz w:val="24"/>
          <w:szCs w:val="24"/>
        </w:rPr>
        <w:t>are now receiving a lenalidomide-based regimen as part of their first treatment</w:t>
      </w:r>
      <w:r w:rsidR="0057118B">
        <w:rPr>
          <w:rFonts w:asciiTheme="minorHAnsi" w:hAnsiTheme="minorHAnsi" w:cstheme="minorHAnsi"/>
          <w:sz w:val="24"/>
          <w:szCs w:val="24"/>
        </w:rPr>
        <w:t xml:space="preserve"> </w:t>
      </w:r>
      <w:r w:rsidR="00DF1515">
        <w:rPr>
          <w:rFonts w:asciiTheme="minorHAnsi" w:hAnsiTheme="minorHAnsi" w:cstheme="minorHAnsi"/>
          <w:sz w:val="24"/>
          <w:szCs w:val="24"/>
        </w:rPr>
        <w:t>regimen</w:t>
      </w:r>
      <w:r w:rsidR="003819CD">
        <w:rPr>
          <w:rFonts w:asciiTheme="minorHAnsi" w:hAnsiTheme="minorHAnsi" w:cstheme="minorHAnsi"/>
          <w:sz w:val="24"/>
          <w:szCs w:val="24"/>
        </w:rPr>
        <w:t xml:space="preserve"> following the PBS listings of </w:t>
      </w:r>
      <w:r w:rsidR="00E1430C">
        <w:rPr>
          <w:rFonts w:asciiTheme="minorHAnsi" w:hAnsiTheme="minorHAnsi" w:cstheme="minorHAnsi"/>
          <w:sz w:val="24"/>
          <w:szCs w:val="24"/>
        </w:rPr>
        <w:t xml:space="preserve">various </w:t>
      </w:r>
      <w:r w:rsidR="003819CD">
        <w:rPr>
          <w:rFonts w:asciiTheme="minorHAnsi" w:hAnsiTheme="minorHAnsi" w:cstheme="minorHAnsi"/>
          <w:sz w:val="24"/>
          <w:szCs w:val="24"/>
        </w:rPr>
        <w:t>lenalidomide</w:t>
      </w:r>
      <w:r w:rsidR="00E1430C">
        <w:rPr>
          <w:rFonts w:asciiTheme="minorHAnsi" w:hAnsiTheme="minorHAnsi" w:cstheme="minorHAnsi"/>
          <w:sz w:val="24"/>
          <w:szCs w:val="24"/>
        </w:rPr>
        <w:t xml:space="preserve"> regimens</w:t>
      </w:r>
      <w:r w:rsidR="00DC36BE">
        <w:rPr>
          <w:rFonts w:asciiTheme="minorHAnsi" w:hAnsiTheme="minorHAnsi" w:cstheme="minorHAnsi"/>
          <w:sz w:val="24"/>
          <w:szCs w:val="24"/>
        </w:rPr>
        <w:t>, including:</w:t>
      </w:r>
      <w:r w:rsidR="00E1430C">
        <w:rPr>
          <w:rFonts w:asciiTheme="minorHAnsi" w:hAnsiTheme="minorHAnsi" w:cstheme="minorHAnsi"/>
          <w:sz w:val="24"/>
          <w:szCs w:val="24"/>
        </w:rPr>
        <w:t xml:space="preserve"> </w:t>
      </w:r>
    </w:p>
    <w:p w14:paraId="140B271C" w14:textId="77777777" w:rsidR="00DC36BE" w:rsidRPr="00355F48" w:rsidRDefault="00DC36BE" w:rsidP="00355F48">
      <w:pPr>
        <w:pStyle w:val="ListParagraph"/>
        <w:numPr>
          <w:ilvl w:val="0"/>
          <w:numId w:val="7"/>
        </w:numPr>
        <w:jc w:val="both"/>
        <w:rPr>
          <w:rFonts w:asciiTheme="minorHAnsi" w:hAnsiTheme="minorHAnsi" w:cstheme="minorHAnsi"/>
          <w:sz w:val="24"/>
          <w:szCs w:val="24"/>
        </w:rPr>
      </w:pPr>
      <w:r w:rsidRPr="00355F48">
        <w:rPr>
          <w:rFonts w:asciiTheme="minorHAnsi" w:hAnsiTheme="minorHAnsi" w:cstheme="minorHAnsi"/>
          <w:sz w:val="24"/>
          <w:szCs w:val="24"/>
        </w:rPr>
        <w:t>Lenalidomide plus dexamethasone for transplant ineligible newly diagnosed MM (</w:t>
      </w:r>
      <w:r w:rsidR="00E1430C" w:rsidRPr="00355F48">
        <w:rPr>
          <w:rFonts w:asciiTheme="minorHAnsi" w:hAnsiTheme="minorHAnsi" w:cstheme="minorHAnsi"/>
          <w:sz w:val="24"/>
          <w:szCs w:val="24"/>
        </w:rPr>
        <w:t>February 2017</w:t>
      </w:r>
      <w:r w:rsidRPr="00355F48">
        <w:rPr>
          <w:rFonts w:asciiTheme="minorHAnsi" w:hAnsiTheme="minorHAnsi" w:cstheme="minorHAnsi"/>
          <w:sz w:val="24"/>
          <w:szCs w:val="24"/>
        </w:rPr>
        <w:t>)</w:t>
      </w:r>
    </w:p>
    <w:p w14:paraId="5BDC2ECD" w14:textId="77777777" w:rsidR="00DC36BE" w:rsidRPr="00355F48" w:rsidRDefault="00DC36BE" w:rsidP="00355F48">
      <w:pPr>
        <w:pStyle w:val="ListParagraph"/>
        <w:numPr>
          <w:ilvl w:val="0"/>
          <w:numId w:val="7"/>
        </w:numPr>
        <w:jc w:val="both"/>
        <w:rPr>
          <w:rFonts w:asciiTheme="minorHAnsi" w:hAnsiTheme="minorHAnsi" w:cstheme="minorHAnsi"/>
          <w:sz w:val="24"/>
          <w:szCs w:val="24"/>
        </w:rPr>
      </w:pPr>
      <w:r w:rsidRPr="00355F48">
        <w:rPr>
          <w:rFonts w:asciiTheme="minorHAnsi" w:hAnsiTheme="minorHAnsi" w:cstheme="minorHAnsi"/>
          <w:sz w:val="24"/>
          <w:szCs w:val="24"/>
        </w:rPr>
        <w:t xml:space="preserve">Lenalidomide maintenance therapy </w:t>
      </w:r>
      <w:proofErr w:type="spellStart"/>
      <w:r w:rsidRPr="00355F48">
        <w:rPr>
          <w:rFonts w:asciiTheme="minorHAnsi" w:hAnsiTheme="minorHAnsi" w:cstheme="minorHAnsi"/>
          <w:sz w:val="24"/>
          <w:szCs w:val="24"/>
        </w:rPr>
        <w:t>post transplant</w:t>
      </w:r>
      <w:proofErr w:type="spellEnd"/>
      <w:r w:rsidRPr="00355F48">
        <w:rPr>
          <w:rFonts w:asciiTheme="minorHAnsi" w:hAnsiTheme="minorHAnsi" w:cstheme="minorHAnsi"/>
          <w:sz w:val="24"/>
          <w:szCs w:val="24"/>
        </w:rPr>
        <w:t xml:space="preserve"> (April 2020)</w:t>
      </w:r>
    </w:p>
    <w:p w14:paraId="47C51215" w14:textId="77777777" w:rsidR="00DC36BE" w:rsidRPr="00355F48" w:rsidRDefault="00DC36BE" w:rsidP="00355F48">
      <w:pPr>
        <w:pStyle w:val="ListParagraph"/>
        <w:numPr>
          <w:ilvl w:val="0"/>
          <w:numId w:val="7"/>
        </w:numPr>
        <w:jc w:val="both"/>
        <w:rPr>
          <w:rFonts w:asciiTheme="minorHAnsi" w:hAnsiTheme="minorHAnsi" w:cstheme="minorHAnsi"/>
          <w:sz w:val="24"/>
          <w:szCs w:val="24"/>
        </w:rPr>
      </w:pPr>
      <w:r w:rsidRPr="00355F48">
        <w:rPr>
          <w:rFonts w:asciiTheme="minorHAnsi" w:hAnsiTheme="minorHAnsi" w:cstheme="minorHAnsi"/>
          <w:sz w:val="24"/>
          <w:szCs w:val="24"/>
        </w:rPr>
        <w:t>Lenalidomide, bortezomib and dexamethasone for all newly diagnosed MM (June 2020)</w:t>
      </w:r>
    </w:p>
    <w:p w14:paraId="3D921BE8" w14:textId="0C5DCAB4" w:rsidR="00C42939" w:rsidRPr="00336D18" w:rsidRDefault="00DC36BE" w:rsidP="00CB3B09">
      <w:pPr>
        <w:pStyle w:val="ListParagraph"/>
        <w:numPr>
          <w:ilvl w:val="0"/>
          <w:numId w:val="7"/>
        </w:numPr>
        <w:jc w:val="both"/>
        <w:rPr>
          <w:rFonts w:asciiTheme="minorHAnsi" w:hAnsiTheme="minorHAnsi" w:cstheme="minorHAnsi"/>
          <w:sz w:val="24"/>
          <w:szCs w:val="24"/>
        </w:rPr>
      </w:pPr>
      <w:r w:rsidRPr="00355F48">
        <w:rPr>
          <w:rFonts w:asciiTheme="minorHAnsi" w:hAnsiTheme="minorHAnsi" w:cstheme="minorHAnsi"/>
          <w:sz w:val="24"/>
          <w:szCs w:val="24"/>
        </w:rPr>
        <w:t>Daratumumab, lenalidomide and dexamethasone for transplant ineligible newly diagnosed MM (</w:t>
      </w:r>
      <w:r w:rsidR="00355F48" w:rsidRPr="00355F48">
        <w:rPr>
          <w:rFonts w:asciiTheme="minorHAnsi" w:hAnsiTheme="minorHAnsi" w:cstheme="minorHAnsi"/>
          <w:sz w:val="24"/>
          <w:szCs w:val="24"/>
        </w:rPr>
        <w:t>November 2025).</w:t>
      </w:r>
    </w:p>
    <w:p w14:paraId="414D7843" w14:textId="12DF45A2" w:rsidR="00416BDE" w:rsidRPr="00884143" w:rsidRDefault="00416BDE" w:rsidP="00CE6CBF">
      <w:pPr>
        <w:keepNext/>
        <w:contextualSpacing/>
        <w:jc w:val="both"/>
        <w:rPr>
          <w:rFonts w:asciiTheme="minorHAnsi" w:hAnsiTheme="minorHAnsi" w:cstheme="minorHAnsi"/>
          <w:b/>
          <w:bCs/>
          <w:sz w:val="24"/>
          <w:szCs w:val="24"/>
        </w:rPr>
      </w:pPr>
      <w:r w:rsidRPr="00884143">
        <w:rPr>
          <w:rFonts w:asciiTheme="minorHAnsi" w:hAnsiTheme="minorHAnsi" w:cstheme="minorHAnsi"/>
          <w:b/>
          <w:bCs/>
          <w:sz w:val="24"/>
          <w:szCs w:val="24"/>
        </w:rPr>
        <w:t xml:space="preserve">Figure </w:t>
      </w:r>
      <w:r w:rsidR="007B19EB">
        <w:rPr>
          <w:rFonts w:asciiTheme="minorHAnsi" w:hAnsiTheme="minorHAnsi" w:cstheme="minorHAnsi"/>
          <w:b/>
          <w:bCs/>
          <w:sz w:val="24"/>
          <w:szCs w:val="24"/>
        </w:rPr>
        <w:t>3</w:t>
      </w:r>
      <w:r w:rsidRPr="00884143">
        <w:rPr>
          <w:rFonts w:asciiTheme="minorHAnsi" w:hAnsiTheme="minorHAnsi" w:cstheme="minorHAnsi"/>
          <w:b/>
          <w:bCs/>
          <w:sz w:val="24"/>
          <w:szCs w:val="24"/>
        </w:rPr>
        <w:t xml:space="preserve">: </w:t>
      </w:r>
      <w:r w:rsidR="00A24E74" w:rsidRPr="00884143">
        <w:rPr>
          <w:rFonts w:asciiTheme="minorHAnsi" w:hAnsiTheme="minorHAnsi" w:cstheme="minorHAnsi"/>
          <w:b/>
          <w:bCs/>
          <w:sz w:val="24"/>
          <w:szCs w:val="24"/>
        </w:rPr>
        <w:t>Uptake</w:t>
      </w:r>
      <w:r w:rsidRPr="00884143">
        <w:rPr>
          <w:rFonts w:asciiTheme="minorHAnsi" w:hAnsiTheme="minorHAnsi" w:cstheme="minorHAnsi"/>
          <w:b/>
          <w:bCs/>
          <w:sz w:val="24"/>
          <w:szCs w:val="24"/>
        </w:rPr>
        <w:t xml:space="preserve"> of medicines on the PBS for 2L+ MM</w:t>
      </w:r>
      <w:r w:rsidR="00A24E74" w:rsidRPr="00884143">
        <w:rPr>
          <w:rFonts w:asciiTheme="minorHAnsi" w:hAnsiTheme="minorHAnsi" w:cstheme="minorHAnsi"/>
          <w:b/>
          <w:bCs/>
          <w:sz w:val="24"/>
          <w:szCs w:val="24"/>
        </w:rPr>
        <w:t xml:space="preserve"> (based on patient initiations)</w:t>
      </w:r>
    </w:p>
    <w:p w14:paraId="7D07FC91" w14:textId="67CA9044" w:rsidR="002A0B66" w:rsidRDefault="002A0B66" w:rsidP="002A0B66">
      <w:pPr>
        <w:jc w:val="center"/>
        <w:rPr>
          <w:rFonts w:asciiTheme="minorHAnsi" w:hAnsiTheme="minorHAnsi" w:cstheme="minorHAnsi"/>
          <w:sz w:val="24"/>
          <w:szCs w:val="24"/>
        </w:rPr>
      </w:pPr>
      <w:r>
        <w:rPr>
          <w:noProof/>
        </w:rPr>
        <w:drawing>
          <wp:inline distT="0" distB="0" distL="0" distR="0" wp14:anchorId="610D5CA3" wp14:editId="450DA836">
            <wp:extent cx="5772150" cy="3019425"/>
            <wp:effectExtent l="0" t="0" r="0" b="9525"/>
            <wp:docPr id="418061903" name="Chart 1" descr="Bar graph charting the update of medicines on the PBS for 2L+MM (based on patient initiations)">
              <a:extLst xmlns:a="http://schemas.openxmlformats.org/drawingml/2006/main">
                <a:ext uri="{FF2B5EF4-FFF2-40B4-BE49-F238E27FC236}">
                  <a16:creationId xmlns:a16="http://schemas.microsoft.com/office/drawing/2014/main" id="{6A0B68EF-EAB1-4FE5-1607-C5AAB38198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F2640E2" w14:textId="56D1C6F5" w:rsidR="00A24E74" w:rsidRPr="00A24E74" w:rsidRDefault="00A24E74" w:rsidP="00A24E74">
      <w:pPr>
        <w:jc w:val="both"/>
        <w:rPr>
          <w:rFonts w:asciiTheme="minorHAnsi" w:hAnsiTheme="minorHAnsi" w:cstheme="minorHAnsi"/>
          <w:sz w:val="20"/>
          <w:szCs w:val="20"/>
        </w:rPr>
      </w:pPr>
      <w:r>
        <w:rPr>
          <w:rFonts w:asciiTheme="minorHAnsi" w:hAnsiTheme="minorHAnsi" w:cstheme="minorHAnsi"/>
          <w:sz w:val="20"/>
          <w:szCs w:val="20"/>
        </w:rPr>
        <w:t xml:space="preserve">Source: Analysis of 10% PBS data. </w:t>
      </w:r>
      <w:r w:rsidR="00A81320">
        <w:rPr>
          <w:rFonts w:asciiTheme="minorHAnsi" w:hAnsiTheme="minorHAnsi" w:cstheme="minorHAnsi"/>
          <w:sz w:val="20"/>
          <w:szCs w:val="20"/>
        </w:rPr>
        <w:t xml:space="preserve">Unique patients </w:t>
      </w:r>
      <w:r w:rsidR="00B33169">
        <w:rPr>
          <w:rFonts w:asciiTheme="minorHAnsi" w:hAnsiTheme="minorHAnsi" w:cstheme="minorHAnsi"/>
          <w:sz w:val="20"/>
          <w:szCs w:val="20"/>
        </w:rPr>
        <w:t xml:space="preserve">per year. </w:t>
      </w:r>
      <w:r>
        <w:rPr>
          <w:rFonts w:asciiTheme="minorHAnsi" w:hAnsiTheme="minorHAnsi" w:cstheme="minorHAnsi"/>
          <w:sz w:val="20"/>
          <w:szCs w:val="20"/>
        </w:rPr>
        <w:t>24 April 2026.</w:t>
      </w:r>
      <w:r w:rsidR="00A81320">
        <w:rPr>
          <w:rFonts w:asciiTheme="minorHAnsi" w:hAnsiTheme="minorHAnsi" w:cstheme="minorHAnsi"/>
          <w:sz w:val="20"/>
          <w:szCs w:val="20"/>
        </w:rPr>
        <w:t xml:space="preserve"> </w:t>
      </w:r>
    </w:p>
    <w:p w14:paraId="4DFCE827" w14:textId="1B1C64C4" w:rsidR="00334C34" w:rsidRDefault="00336D18" w:rsidP="00CB3B09">
      <w:pPr>
        <w:jc w:val="both"/>
        <w:rPr>
          <w:rFonts w:asciiTheme="minorHAnsi" w:hAnsiTheme="minorHAnsi" w:cstheme="minorHAnsi"/>
          <w:sz w:val="24"/>
          <w:szCs w:val="24"/>
        </w:rPr>
      </w:pPr>
      <w:r w:rsidRPr="003D197C">
        <w:rPr>
          <w:rFonts w:asciiTheme="minorHAnsi" w:hAnsiTheme="minorHAnsi" w:cstheme="minorHAnsi"/>
          <w:sz w:val="24"/>
          <w:szCs w:val="24"/>
        </w:rPr>
        <w:t>The PBS 10</w:t>
      </w:r>
      <w:r w:rsidRPr="006B7F11">
        <w:rPr>
          <w:rFonts w:asciiTheme="minorHAnsi" w:hAnsiTheme="minorHAnsi" w:cstheme="minorHAnsi"/>
          <w:sz w:val="24"/>
          <w:szCs w:val="24"/>
        </w:rPr>
        <w:t xml:space="preserve">% sample data </w:t>
      </w:r>
      <w:proofErr w:type="gramStart"/>
      <w:r w:rsidRPr="006B7F11">
        <w:rPr>
          <w:rFonts w:asciiTheme="minorHAnsi" w:hAnsiTheme="minorHAnsi" w:cstheme="minorHAnsi"/>
          <w:sz w:val="24"/>
          <w:szCs w:val="24"/>
        </w:rPr>
        <w:t>demonstrates</w:t>
      </w:r>
      <w:proofErr w:type="gramEnd"/>
      <w:r w:rsidRPr="006B7F11">
        <w:rPr>
          <w:rFonts w:asciiTheme="minorHAnsi" w:hAnsiTheme="minorHAnsi" w:cstheme="minorHAnsi"/>
          <w:sz w:val="24"/>
          <w:szCs w:val="24"/>
        </w:rPr>
        <w:t xml:space="preserve"> that the </w:t>
      </w:r>
      <w:proofErr w:type="gramStart"/>
      <w:r w:rsidRPr="006B7F11">
        <w:rPr>
          <w:rFonts w:asciiTheme="minorHAnsi" w:hAnsiTheme="minorHAnsi" w:cstheme="minorHAnsi"/>
          <w:sz w:val="24"/>
          <w:szCs w:val="24"/>
        </w:rPr>
        <w:t>most commonly utilised</w:t>
      </w:r>
      <w:proofErr w:type="gramEnd"/>
      <w:r w:rsidRPr="006B7F11">
        <w:rPr>
          <w:rFonts w:asciiTheme="minorHAnsi" w:hAnsiTheme="minorHAnsi" w:cstheme="minorHAnsi"/>
          <w:sz w:val="24"/>
          <w:szCs w:val="24"/>
        </w:rPr>
        <w:t xml:space="preserve"> medicines for RRMM across the second-line, th</w:t>
      </w:r>
      <w:r w:rsidR="00E150A7" w:rsidRPr="006B7F11">
        <w:rPr>
          <w:rFonts w:asciiTheme="minorHAnsi" w:hAnsiTheme="minorHAnsi" w:cstheme="minorHAnsi"/>
          <w:sz w:val="24"/>
          <w:szCs w:val="24"/>
        </w:rPr>
        <w:t>ird-</w:t>
      </w:r>
      <w:r w:rsidRPr="006B7F11">
        <w:rPr>
          <w:rFonts w:asciiTheme="minorHAnsi" w:hAnsiTheme="minorHAnsi" w:cstheme="minorHAnsi"/>
          <w:sz w:val="24"/>
          <w:szCs w:val="24"/>
        </w:rPr>
        <w:t>-line and fourth-line setting</w:t>
      </w:r>
      <w:r w:rsidR="00E150A7" w:rsidRPr="006B7F11">
        <w:rPr>
          <w:rFonts w:asciiTheme="minorHAnsi" w:hAnsiTheme="minorHAnsi" w:cstheme="minorHAnsi"/>
          <w:sz w:val="24"/>
          <w:szCs w:val="24"/>
        </w:rPr>
        <w:t>s</w:t>
      </w:r>
      <w:r w:rsidRPr="006B7F11">
        <w:rPr>
          <w:rFonts w:asciiTheme="minorHAnsi" w:hAnsiTheme="minorHAnsi" w:cstheme="minorHAnsi"/>
          <w:sz w:val="24"/>
          <w:szCs w:val="24"/>
        </w:rPr>
        <w:t xml:space="preserve"> are daratumumab, carfilzomib and pomalidomide (Table </w:t>
      </w:r>
      <w:r w:rsidR="001B32A1" w:rsidRPr="006B7F11">
        <w:rPr>
          <w:rFonts w:asciiTheme="minorHAnsi" w:hAnsiTheme="minorHAnsi" w:cstheme="minorHAnsi"/>
          <w:sz w:val="24"/>
          <w:szCs w:val="24"/>
        </w:rPr>
        <w:t>2</w:t>
      </w:r>
      <w:r w:rsidRPr="006B7F11">
        <w:rPr>
          <w:rFonts w:asciiTheme="minorHAnsi" w:hAnsiTheme="minorHAnsi" w:cstheme="minorHAnsi"/>
          <w:sz w:val="24"/>
          <w:szCs w:val="24"/>
        </w:rPr>
        <w:t>).</w:t>
      </w:r>
      <w:r>
        <w:rPr>
          <w:rFonts w:asciiTheme="minorHAnsi" w:hAnsiTheme="minorHAnsi" w:cstheme="minorHAnsi"/>
          <w:sz w:val="24"/>
          <w:szCs w:val="24"/>
        </w:rPr>
        <w:t xml:space="preserve"> Daratumumab was listed on the PBS in January 2021 as a</w:t>
      </w:r>
      <w:r w:rsidR="00E150A7">
        <w:rPr>
          <w:rFonts w:asciiTheme="minorHAnsi" w:hAnsiTheme="minorHAnsi" w:cstheme="minorHAnsi"/>
          <w:sz w:val="24"/>
          <w:szCs w:val="24"/>
        </w:rPr>
        <w:t>n</w:t>
      </w:r>
      <w:r>
        <w:rPr>
          <w:rFonts w:asciiTheme="minorHAnsi" w:hAnsiTheme="minorHAnsi" w:cstheme="minorHAnsi"/>
          <w:sz w:val="24"/>
          <w:szCs w:val="24"/>
        </w:rPr>
        <w:t xml:space="preserve"> option for second-line MM, in combination with bortezomib and dexamethasone. Carfilzomib was PBS listed in combination with dexamethasone in </w:t>
      </w:r>
      <w:proofErr w:type="gramStart"/>
      <w:r>
        <w:rPr>
          <w:rFonts w:asciiTheme="minorHAnsi" w:hAnsiTheme="minorHAnsi" w:cstheme="minorHAnsi"/>
          <w:sz w:val="24"/>
          <w:szCs w:val="24"/>
        </w:rPr>
        <w:t>February 2021, and</w:t>
      </w:r>
      <w:proofErr w:type="gramEnd"/>
      <w:r>
        <w:rPr>
          <w:rFonts w:asciiTheme="minorHAnsi" w:hAnsiTheme="minorHAnsi" w:cstheme="minorHAnsi"/>
          <w:sz w:val="24"/>
          <w:szCs w:val="24"/>
        </w:rPr>
        <w:t xml:space="preserve"> was subsequently listed in combination with lenalidomide and dexamethasone in October</w:t>
      </w:r>
      <w:r w:rsidR="003E67A2">
        <w:rPr>
          <w:rFonts w:asciiTheme="minorHAnsi" w:hAnsiTheme="minorHAnsi" w:cstheme="minorHAnsi"/>
          <w:sz w:val="24"/>
          <w:szCs w:val="24"/>
        </w:rPr>
        <w:t xml:space="preserve"> 2023</w:t>
      </w:r>
      <w:r>
        <w:rPr>
          <w:rFonts w:asciiTheme="minorHAnsi" w:hAnsiTheme="minorHAnsi" w:cstheme="minorHAnsi"/>
          <w:sz w:val="24"/>
          <w:szCs w:val="24"/>
        </w:rPr>
        <w:t xml:space="preserve">. Both regimens are available </w:t>
      </w:r>
      <w:r>
        <w:rPr>
          <w:rFonts w:asciiTheme="minorHAnsi" w:hAnsiTheme="minorHAnsi" w:cstheme="minorHAnsi"/>
          <w:sz w:val="24"/>
          <w:szCs w:val="24"/>
        </w:rPr>
        <w:lastRenderedPageBreak/>
        <w:t xml:space="preserve">under a broad PBS listing for RRMM. Pomalidomide in combination with dexamethasone was PBS listed in </w:t>
      </w:r>
      <w:proofErr w:type="gramStart"/>
      <w:r>
        <w:rPr>
          <w:rFonts w:asciiTheme="minorHAnsi" w:hAnsiTheme="minorHAnsi" w:cstheme="minorHAnsi"/>
          <w:sz w:val="24"/>
          <w:szCs w:val="24"/>
        </w:rPr>
        <w:t>October 2021, and</w:t>
      </w:r>
      <w:proofErr w:type="gramEnd"/>
      <w:r>
        <w:rPr>
          <w:rFonts w:asciiTheme="minorHAnsi" w:hAnsiTheme="minorHAnsi" w:cstheme="minorHAnsi"/>
          <w:sz w:val="24"/>
          <w:szCs w:val="24"/>
        </w:rPr>
        <w:t xml:space="preserve"> was subsequently listed in combination with bortezomib in January 2024.</w:t>
      </w:r>
    </w:p>
    <w:p w14:paraId="5F75D7A3" w14:textId="25B4ACEC" w:rsidR="00975057" w:rsidRDefault="00975057" w:rsidP="00CB3B09">
      <w:pPr>
        <w:jc w:val="both"/>
        <w:rPr>
          <w:rFonts w:asciiTheme="minorHAnsi" w:hAnsiTheme="minorHAnsi" w:cstheme="minorHAnsi"/>
          <w:sz w:val="24"/>
          <w:szCs w:val="24"/>
        </w:rPr>
      </w:pPr>
      <w:r>
        <w:rPr>
          <w:rFonts w:asciiTheme="minorHAnsi" w:hAnsiTheme="minorHAnsi" w:cstheme="minorHAnsi"/>
          <w:sz w:val="24"/>
          <w:szCs w:val="24"/>
        </w:rPr>
        <w:t>While the use of bortezomib appears high, this medicine is being used</w:t>
      </w:r>
      <w:r w:rsidR="002F208E">
        <w:rPr>
          <w:rFonts w:asciiTheme="minorHAnsi" w:hAnsiTheme="minorHAnsi" w:cstheme="minorHAnsi"/>
          <w:sz w:val="24"/>
          <w:szCs w:val="24"/>
        </w:rPr>
        <w:t xml:space="preserve"> in combination</w:t>
      </w:r>
      <w:r>
        <w:rPr>
          <w:rFonts w:asciiTheme="minorHAnsi" w:hAnsiTheme="minorHAnsi" w:cstheme="minorHAnsi"/>
          <w:sz w:val="24"/>
          <w:szCs w:val="24"/>
        </w:rPr>
        <w:t xml:space="preserve"> with either daratumumab</w:t>
      </w:r>
      <w:r w:rsidR="00887475">
        <w:rPr>
          <w:rFonts w:asciiTheme="minorHAnsi" w:hAnsiTheme="minorHAnsi" w:cstheme="minorHAnsi"/>
          <w:sz w:val="24"/>
          <w:szCs w:val="24"/>
        </w:rPr>
        <w:t xml:space="preserve"> (</w:t>
      </w:r>
      <w:proofErr w:type="spellStart"/>
      <w:r w:rsidR="00887475">
        <w:rPr>
          <w:rFonts w:asciiTheme="minorHAnsi" w:hAnsiTheme="minorHAnsi" w:cstheme="minorHAnsi"/>
          <w:sz w:val="24"/>
          <w:szCs w:val="24"/>
        </w:rPr>
        <w:t>DBd</w:t>
      </w:r>
      <w:proofErr w:type="spellEnd"/>
      <w:r w:rsidR="00887475">
        <w:rPr>
          <w:rFonts w:asciiTheme="minorHAnsi" w:hAnsiTheme="minorHAnsi" w:cstheme="minorHAnsi"/>
          <w:sz w:val="24"/>
          <w:szCs w:val="24"/>
        </w:rPr>
        <w:t>)</w:t>
      </w:r>
      <w:r>
        <w:rPr>
          <w:rFonts w:asciiTheme="minorHAnsi" w:hAnsiTheme="minorHAnsi" w:cstheme="minorHAnsi"/>
          <w:sz w:val="24"/>
          <w:szCs w:val="24"/>
        </w:rPr>
        <w:t>, or pomalidomide</w:t>
      </w:r>
      <w:r w:rsidR="00887475">
        <w:rPr>
          <w:rFonts w:asciiTheme="minorHAnsi" w:hAnsiTheme="minorHAnsi" w:cstheme="minorHAnsi"/>
          <w:sz w:val="24"/>
          <w:szCs w:val="24"/>
        </w:rPr>
        <w:t xml:space="preserve"> (</w:t>
      </w:r>
      <w:proofErr w:type="spellStart"/>
      <w:r w:rsidR="00887475">
        <w:rPr>
          <w:rFonts w:asciiTheme="minorHAnsi" w:hAnsiTheme="minorHAnsi" w:cstheme="minorHAnsi"/>
          <w:sz w:val="24"/>
          <w:szCs w:val="24"/>
        </w:rPr>
        <w:t>PBd</w:t>
      </w:r>
      <w:proofErr w:type="spellEnd"/>
      <w:r w:rsidR="00887475">
        <w:rPr>
          <w:rFonts w:asciiTheme="minorHAnsi" w:hAnsiTheme="minorHAnsi" w:cstheme="minorHAnsi"/>
          <w:sz w:val="24"/>
          <w:szCs w:val="24"/>
        </w:rPr>
        <w:t>)</w:t>
      </w:r>
      <w:r>
        <w:rPr>
          <w:rFonts w:asciiTheme="minorHAnsi" w:hAnsiTheme="minorHAnsi" w:cstheme="minorHAnsi"/>
          <w:sz w:val="24"/>
          <w:szCs w:val="24"/>
        </w:rPr>
        <w:t>, rather than as a monotherapy. This is because these</w:t>
      </w:r>
      <w:r w:rsidR="00810A9C">
        <w:rPr>
          <w:rFonts w:asciiTheme="minorHAnsi" w:hAnsiTheme="minorHAnsi" w:cstheme="minorHAnsi"/>
          <w:sz w:val="24"/>
          <w:szCs w:val="24"/>
        </w:rPr>
        <w:t xml:space="preserve"> combination</w:t>
      </w:r>
      <w:r>
        <w:rPr>
          <w:rFonts w:asciiTheme="minorHAnsi" w:hAnsiTheme="minorHAnsi" w:cstheme="minorHAnsi"/>
          <w:sz w:val="24"/>
          <w:szCs w:val="24"/>
        </w:rPr>
        <w:t xml:space="preserve"> regimens result in superior efficacy</w:t>
      </w:r>
      <w:r w:rsidR="00810A9C">
        <w:rPr>
          <w:rFonts w:asciiTheme="minorHAnsi" w:hAnsiTheme="minorHAnsi" w:cstheme="minorHAnsi"/>
          <w:sz w:val="24"/>
          <w:szCs w:val="24"/>
        </w:rPr>
        <w:t xml:space="preserve"> relative to bortezomib monotherapy.</w:t>
      </w:r>
    </w:p>
    <w:p w14:paraId="5F40763C" w14:textId="1EEC7451" w:rsidR="00884143" w:rsidRPr="00884143" w:rsidRDefault="00884143" w:rsidP="00441F62">
      <w:pPr>
        <w:keepNext/>
        <w:jc w:val="both"/>
        <w:rPr>
          <w:rFonts w:asciiTheme="minorHAnsi" w:hAnsiTheme="minorHAnsi" w:cstheme="minorHAnsi"/>
          <w:b/>
          <w:bCs/>
          <w:sz w:val="24"/>
          <w:szCs w:val="24"/>
        </w:rPr>
      </w:pPr>
      <w:r>
        <w:rPr>
          <w:rFonts w:asciiTheme="minorHAnsi" w:hAnsiTheme="minorHAnsi" w:cstheme="minorHAnsi"/>
          <w:b/>
          <w:bCs/>
          <w:sz w:val="24"/>
          <w:szCs w:val="24"/>
        </w:rPr>
        <w:t xml:space="preserve">Table </w:t>
      </w:r>
      <w:r w:rsidR="001B32A1">
        <w:rPr>
          <w:rFonts w:asciiTheme="minorHAnsi" w:hAnsiTheme="minorHAnsi" w:cstheme="minorHAnsi"/>
          <w:b/>
          <w:bCs/>
          <w:sz w:val="24"/>
          <w:szCs w:val="24"/>
        </w:rPr>
        <w:t>2</w:t>
      </w:r>
      <w:r>
        <w:rPr>
          <w:rFonts w:asciiTheme="minorHAnsi" w:hAnsiTheme="minorHAnsi" w:cstheme="minorHAnsi"/>
          <w:b/>
          <w:bCs/>
          <w:sz w:val="24"/>
          <w:szCs w:val="24"/>
        </w:rPr>
        <w:t>: Uptake of medicines on the PBS for 2L+ MM excluding lenalidomide (based on patient initiations)</w:t>
      </w:r>
    </w:p>
    <w:tbl>
      <w:tblPr>
        <w:tblStyle w:val="TableGrid"/>
        <w:tblW w:w="0" w:type="auto"/>
        <w:tblLook w:val="04A0" w:firstRow="1" w:lastRow="0" w:firstColumn="1" w:lastColumn="0" w:noHBand="0" w:noVBand="1"/>
      </w:tblPr>
      <w:tblGrid>
        <w:gridCol w:w="1399"/>
        <w:gridCol w:w="1345"/>
        <w:gridCol w:w="1344"/>
        <w:gridCol w:w="1344"/>
        <w:gridCol w:w="1344"/>
        <w:gridCol w:w="1344"/>
        <w:gridCol w:w="1345"/>
      </w:tblGrid>
      <w:tr w:rsidR="00204711" w:rsidRPr="00204711" w14:paraId="04B81987" w14:textId="77777777" w:rsidTr="00350136">
        <w:tc>
          <w:tcPr>
            <w:tcW w:w="1352" w:type="dxa"/>
          </w:tcPr>
          <w:p w14:paraId="2E44BD60" w14:textId="463CE54A" w:rsidR="00204711" w:rsidRPr="00204711" w:rsidRDefault="00204711" w:rsidP="00204711">
            <w:pPr>
              <w:jc w:val="both"/>
              <w:rPr>
                <w:rFonts w:ascii="Calibri" w:hAnsi="Calibri" w:cs="Calibri"/>
                <w:b/>
                <w:bCs/>
                <w:sz w:val="20"/>
                <w:szCs w:val="20"/>
              </w:rPr>
            </w:pPr>
            <w:r w:rsidRPr="00204711">
              <w:rPr>
                <w:rFonts w:ascii="Calibri" w:hAnsi="Calibri" w:cs="Calibri"/>
                <w:b/>
                <w:bCs/>
                <w:sz w:val="20"/>
                <w:szCs w:val="20"/>
              </w:rPr>
              <w:t>Medicine</w:t>
            </w:r>
          </w:p>
        </w:tc>
        <w:tc>
          <w:tcPr>
            <w:tcW w:w="1352" w:type="dxa"/>
          </w:tcPr>
          <w:p w14:paraId="1E21DF1F" w14:textId="14FC45EF" w:rsidR="00204711" w:rsidRPr="00204711" w:rsidRDefault="00204711" w:rsidP="00204711">
            <w:pPr>
              <w:jc w:val="center"/>
              <w:rPr>
                <w:rFonts w:ascii="Calibri" w:hAnsi="Calibri" w:cs="Calibri"/>
                <w:b/>
                <w:bCs/>
                <w:sz w:val="20"/>
                <w:szCs w:val="20"/>
              </w:rPr>
            </w:pPr>
            <w:r w:rsidRPr="00204711">
              <w:rPr>
                <w:rFonts w:ascii="Calibri" w:hAnsi="Calibri" w:cs="Calibri"/>
                <w:b/>
                <w:bCs/>
                <w:sz w:val="20"/>
                <w:szCs w:val="20"/>
              </w:rPr>
              <w:t>2021</w:t>
            </w:r>
          </w:p>
        </w:tc>
        <w:tc>
          <w:tcPr>
            <w:tcW w:w="1352" w:type="dxa"/>
          </w:tcPr>
          <w:p w14:paraId="14797A89" w14:textId="2D13B11A" w:rsidR="00204711" w:rsidRPr="00204711" w:rsidRDefault="00204711" w:rsidP="00204711">
            <w:pPr>
              <w:jc w:val="center"/>
              <w:rPr>
                <w:rFonts w:ascii="Calibri" w:hAnsi="Calibri" w:cs="Calibri"/>
                <w:b/>
                <w:bCs/>
                <w:sz w:val="20"/>
                <w:szCs w:val="20"/>
              </w:rPr>
            </w:pPr>
            <w:r w:rsidRPr="00204711">
              <w:rPr>
                <w:rFonts w:ascii="Calibri" w:hAnsi="Calibri" w:cs="Calibri"/>
                <w:b/>
                <w:bCs/>
                <w:sz w:val="20"/>
                <w:szCs w:val="20"/>
              </w:rPr>
              <w:t>2022</w:t>
            </w:r>
          </w:p>
        </w:tc>
        <w:tc>
          <w:tcPr>
            <w:tcW w:w="1352" w:type="dxa"/>
          </w:tcPr>
          <w:p w14:paraId="135E9E2F" w14:textId="677DECAA" w:rsidR="00204711" w:rsidRPr="00204711" w:rsidRDefault="00204711" w:rsidP="00204711">
            <w:pPr>
              <w:jc w:val="center"/>
              <w:rPr>
                <w:rFonts w:ascii="Calibri" w:hAnsi="Calibri" w:cs="Calibri"/>
                <w:b/>
                <w:bCs/>
                <w:sz w:val="20"/>
                <w:szCs w:val="20"/>
              </w:rPr>
            </w:pPr>
            <w:r w:rsidRPr="00204711">
              <w:rPr>
                <w:rFonts w:ascii="Calibri" w:hAnsi="Calibri" w:cs="Calibri"/>
                <w:b/>
                <w:bCs/>
                <w:sz w:val="20"/>
                <w:szCs w:val="20"/>
              </w:rPr>
              <w:t>2023</w:t>
            </w:r>
          </w:p>
        </w:tc>
        <w:tc>
          <w:tcPr>
            <w:tcW w:w="1352" w:type="dxa"/>
          </w:tcPr>
          <w:p w14:paraId="2FE71E55" w14:textId="64ED14C4" w:rsidR="00204711" w:rsidRPr="00204711" w:rsidRDefault="00204711" w:rsidP="00204711">
            <w:pPr>
              <w:jc w:val="center"/>
              <w:rPr>
                <w:rFonts w:ascii="Calibri" w:hAnsi="Calibri" w:cs="Calibri"/>
                <w:b/>
                <w:bCs/>
                <w:sz w:val="20"/>
                <w:szCs w:val="20"/>
              </w:rPr>
            </w:pPr>
            <w:r w:rsidRPr="00204711">
              <w:rPr>
                <w:rFonts w:ascii="Calibri" w:hAnsi="Calibri" w:cs="Calibri"/>
                <w:b/>
                <w:bCs/>
                <w:sz w:val="20"/>
                <w:szCs w:val="20"/>
              </w:rPr>
              <w:t>2024</w:t>
            </w:r>
          </w:p>
        </w:tc>
        <w:tc>
          <w:tcPr>
            <w:tcW w:w="1352" w:type="dxa"/>
          </w:tcPr>
          <w:p w14:paraId="508371A1" w14:textId="76428954" w:rsidR="00204711" w:rsidRPr="00204711" w:rsidRDefault="00204711" w:rsidP="00204711">
            <w:pPr>
              <w:jc w:val="center"/>
              <w:rPr>
                <w:rFonts w:ascii="Calibri" w:hAnsi="Calibri" w:cs="Calibri"/>
                <w:b/>
                <w:bCs/>
                <w:sz w:val="20"/>
                <w:szCs w:val="20"/>
              </w:rPr>
            </w:pPr>
            <w:r w:rsidRPr="00204711">
              <w:rPr>
                <w:rFonts w:ascii="Calibri" w:hAnsi="Calibri" w:cs="Calibri"/>
                <w:b/>
                <w:bCs/>
                <w:sz w:val="20"/>
                <w:szCs w:val="20"/>
              </w:rPr>
              <w:t>2025</w:t>
            </w:r>
          </w:p>
        </w:tc>
        <w:tc>
          <w:tcPr>
            <w:tcW w:w="1353" w:type="dxa"/>
          </w:tcPr>
          <w:p w14:paraId="5DAB03A8" w14:textId="719B4B75" w:rsidR="00204711" w:rsidRPr="00204711" w:rsidRDefault="00204711" w:rsidP="00204711">
            <w:pPr>
              <w:jc w:val="center"/>
              <w:rPr>
                <w:rFonts w:ascii="Calibri" w:hAnsi="Calibri" w:cs="Calibri"/>
                <w:b/>
                <w:bCs/>
                <w:sz w:val="20"/>
                <w:szCs w:val="20"/>
              </w:rPr>
            </w:pPr>
            <w:r w:rsidRPr="00204711">
              <w:rPr>
                <w:rFonts w:ascii="Calibri" w:hAnsi="Calibri" w:cs="Calibri"/>
                <w:b/>
                <w:bCs/>
                <w:sz w:val="20"/>
                <w:szCs w:val="20"/>
              </w:rPr>
              <w:t>2026</w:t>
            </w:r>
          </w:p>
        </w:tc>
      </w:tr>
      <w:tr w:rsidR="00204711" w:rsidRPr="00204711" w14:paraId="1D878545" w14:textId="77777777" w:rsidTr="00350136">
        <w:tc>
          <w:tcPr>
            <w:tcW w:w="1352" w:type="dxa"/>
          </w:tcPr>
          <w:p w14:paraId="25B80D30" w14:textId="4942C074" w:rsidR="00204711" w:rsidRPr="00204711" w:rsidRDefault="009C1416" w:rsidP="00204711">
            <w:pPr>
              <w:jc w:val="both"/>
              <w:rPr>
                <w:rFonts w:ascii="Calibri" w:hAnsi="Calibri" w:cs="Calibri"/>
                <w:sz w:val="20"/>
                <w:szCs w:val="20"/>
              </w:rPr>
            </w:pPr>
            <w:r>
              <w:rPr>
                <w:rFonts w:ascii="Calibri" w:hAnsi="Calibri" w:cs="Calibri"/>
                <w:sz w:val="20"/>
                <w:szCs w:val="20"/>
              </w:rPr>
              <w:t>Daratumumab</w:t>
            </w:r>
          </w:p>
        </w:tc>
        <w:tc>
          <w:tcPr>
            <w:tcW w:w="1352" w:type="dxa"/>
          </w:tcPr>
          <w:p w14:paraId="20DEA64F" w14:textId="482465E3" w:rsidR="00204711" w:rsidRPr="00204711" w:rsidRDefault="00204711" w:rsidP="00204711">
            <w:pPr>
              <w:jc w:val="center"/>
              <w:rPr>
                <w:rFonts w:ascii="Calibri" w:hAnsi="Calibri" w:cs="Calibri"/>
                <w:sz w:val="20"/>
                <w:szCs w:val="20"/>
              </w:rPr>
            </w:pPr>
            <w:r w:rsidRPr="00204711">
              <w:rPr>
                <w:rFonts w:ascii="Calibri" w:hAnsi="Calibri" w:cs="Calibri"/>
                <w:sz w:val="20"/>
                <w:szCs w:val="20"/>
              </w:rPr>
              <w:t>23.8%</w:t>
            </w:r>
          </w:p>
        </w:tc>
        <w:tc>
          <w:tcPr>
            <w:tcW w:w="1352" w:type="dxa"/>
          </w:tcPr>
          <w:p w14:paraId="189EDD33" w14:textId="37657DEC" w:rsidR="00204711" w:rsidRPr="00204711" w:rsidRDefault="00204711" w:rsidP="00204711">
            <w:pPr>
              <w:jc w:val="center"/>
              <w:rPr>
                <w:rFonts w:ascii="Calibri" w:hAnsi="Calibri" w:cs="Calibri"/>
                <w:sz w:val="20"/>
                <w:szCs w:val="20"/>
              </w:rPr>
            </w:pPr>
            <w:r w:rsidRPr="00204711">
              <w:rPr>
                <w:rFonts w:ascii="Calibri" w:hAnsi="Calibri" w:cs="Calibri"/>
                <w:sz w:val="20"/>
                <w:szCs w:val="20"/>
              </w:rPr>
              <w:t>33.1%</w:t>
            </w:r>
          </w:p>
        </w:tc>
        <w:tc>
          <w:tcPr>
            <w:tcW w:w="1352" w:type="dxa"/>
          </w:tcPr>
          <w:p w14:paraId="21989F5B" w14:textId="4B9C9303" w:rsidR="00204711" w:rsidRPr="00204711" w:rsidRDefault="00204711" w:rsidP="00204711">
            <w:pPr>
              <w:jc w:val="center"/>
              <w:rPr>
                <w:rFonts w:ascii="Calibri" w:hAnsi="Calibri" w:cs="Calibri"/>
                <w:sz w:val="20"/>
                <w:szCs w:val="20"/>
              </w:rPr>
            </w:pPr>
            <w:r w:rsidRPr="00204711">
              <w:rPr>
                <w:rFonts w:ascii="Calibri" w:hAnsi="Calibri" w:cs="Calibri"/>
                <w:sz w:val="20"/>
                <w:szCs w:val="20"/>
              </w:rPr>
              <w:t>37.3%</w:t>
            </w:r>
          </w:p>
        </w:tc>
        <w:tc>
          <w:tcPr>
            <w:tcW w:w="1352" w:type="dxa"/>
          </w:tcPr>
          <w:p w14:paraId="772637E1" w14:textId="50C0B07B" w:rsidR="00204711" w:rsidRPr="00204711" w:rsidRDefault="00204711" w:rsidP="00204711">
            <w:pPr>
              <w:jc w:val="center"/>
              <w:rPr>
                <w:rFonts w:ascii="Calibri" w:hAnsi="Calibri" w:cs="Calibri"/>
                <w:sz w:val="20"/>
                <w:szCs w:val="20"/>
              </w:rPr>
            </w:pPr>
            <w:r w:rsidRPr="00204711">
              <w:rPr>
                <w:rFonts w:ascii="Calibri" w:hAnsi="Calibri" w:cs="Calibri"/>
                <w:sz w:val="20"/>
                <w:szCs w:val="20"/>
              </w:rPr>
              <w:t>44.3%</w:t>
            </w:r>
          </w:p>
        </w:tc>
        <w:tc>
          <w:tcPr>
            <w:tcW w:w="1352" w:type="dxa"/>
          </w:tcPr>
          <w:p w14:paraId="103A9A11" w14:textId="0B3F4916" w:rsidR="00204711" w:rsidRPr="00204711" w:rsidRDefault="00204711" w:rsidP="00204711">
            <w:pPr>
              <w:jc w:val="center"/>
              <w:rPr>
                <w:rFonts w:ascii="Calibri" w:hAnsi="Calibri" w:cs="Calibri"/>
                <w:sz w:val="20"/>
                <w:szCs w:val="20"/>
              </w:rPr>
            </w:pPr>
            <w:r w:rsidRPr="00204711">
              <w:rPr>
                <w:rFonts w:ascii="Calibri" w:hAnsi="Calibri" w:cs="Calibri"/>
                <w:sz w:val="20"/>
                <w:szCs w:val="20"/>
              </w:rPr>
              <w:t>43.0%</w:t>
            </w:r>
          </w:p>
        </w:tc>
        <w:tc>
          <w:tcPr>
            <w:tcW w:w="1353" w:type="dxa"/>
          </w:tcPr>
          <w:p w14:paraId="3335443C" w14:textId="15E381C6" w:rsidR="00204711" w:rsidRPr="00204711" w:rsidRDefault="00204711" w:rsidP="00204711">
            <w:pPr>
              <w:jc w:val="center"/>
              <w:rPr>
                <w:rFonts w:ascii="Calibri" w:hAnsi="Calibri" w:cs="Calibri"/>
                <w:sz w:val="20"/>
                <w:szCs w:val="20"/>
              </w:rPr>
            </w:pPr>
            <w:r w:rsidRPr="00204711">
              <w:rPr>
                <w:rFonts w:ascii="Calibri" w:hAnsi="Calibri" w:cs="Calibri"/>
                <w:sz w:val="20"/>
                <w:szCs w:val="20"/>
              </w:rPr>
              <w:t>58.9%</w:t>
            </w:r>
          </w:p>
        </w:tc>
      </w:tr>
      <w:tr w:rsidR="00204711" w:rsidRPr="00204711" w14:paraId="16867FEA" w14:textId="77777777" w:rsidTr="00350136">
        <w:tc>
          <w:tcPr>
            <w:tcW w:w="1352" w:type="dxa"/>
          </w:tcPr>
          <w:p w14:paraId="731068E0" w14:textId="6708541A" w:rsidR="00204711" w:rsidRPr="00204711" w:rsidRDefault="009C1416" w:rsidP="00204711">
            <w:pPr>
              <w:jc w:val="both"/>
              <w:rPr>
                <w:rFonts w:ascii="Calibri" w:hAnsi="Calibri" w:cs="Calibri"/>
                <w:sz w:val="20"/>
                <w:szCs w:val="20"/>
              </w:rPr>
            </w:pPr>
            <w:r>
              <w:rPr>
                <w:rFonts w:ascii="Calibri" w:hAnsi="Calibri" w:cs="Calibri"/>
                <w:sz w:val="20"/>
                <w:szCs w:val="20"/>
              </w:rPr>
              <w:t>Bortezomib</w:t>
            </w:r>
          </w:p>
        </w:tc>
        <w:tc>
          <w:tcPr>
            <w:tcW w:w="1352" w:type="dxa"/>
          </w:tcPr>
          <w:p w14:paraId="57945E26" w14:textId="29E54308" w:rsidR="00204711" w:rsidRPr="00204711" w:rsidRDefault="00204711" w:rsidP="00204711">
            <w:pPr>
              <w:jc w:val="center"/>
              <w:rPr>
                <w:rFonts w:ascii="Calibri" w:hAnsi="Calibri" w:cs="Calibri"/>
                <w:sz w:val="20"/>
                <w:szCs w:val="20"/>
              </w:rPr>
            </w:pPr>
            <w:r w:rsidRPr="00204711">
              <w:rPr>
                <w:rFonts w:ascii="Calibri" w:hAnsi="Calibri" w:cs="Calibri"/>
                <w:sz w:val="20"/>
                <w:szCs w:val="20"/>
              </w:rPr>
              <w:t>31.7%</w:t>
            </w:r>
          </w:p>
        </w:tc>
        <w:tc>
          <w:tcPr>
            <w:tcW w:w="1352" w:type="dxa"/>
          </w:tcPr>
          <w:p w14:paraId="71ECAC8C" w14:textId="5B494AA5" w:rsidR="00204711" w:rsidRPr="00204711" w:rsidRDefault="00204711" w:rsidP="00204711">
            <w:pPr>
              <w:jc w:val="center"/>
              <w:rPr>
                <w:rFonts w:ascii="Calibri" w:hAnsi="Calibri" w:cs="Calibri"/>
                <w:sz w:val="20"/>
                <w:szCs w:val="20"/>
              </w:rPr>
            </w:pPr>
            <w:r w:rsidRPr="00204711">
              <w:rPr>
                <w:rFonts w:ascii="Calibri" w:hAnsi="Calibri" w:cs="Calibri"/>
                <w:sz w:val="20"/>
                <w:szCs w:val="20"/>
              </w:rPr>
              <w:t>31.4%</w:t>
            </w:r>
          </w:p>
        </w:tc>
        <w:tc>
          <w:tcPr>
            <w:tcW w:w="1352" w:type="dxa"/>
          </w:tcPr>
          <w:p w14:paraId="1FA46169" w14:textId="25C17362" w:rsidR="00204711" w:rsidRPr="00204711" w:rsidRDefault="00204711" w:rsidP="00204711">
            <w:pPr>
              <w:jc w:val="center"/>
              <w:rPr>
                <w:rFonts w:ascii="Calibri" w:hAnsi="Calibri" w:cs="Calibri"/>
                <w:sz w:val="20"/>
                <w:szCs w:val="20"/>
              </w:rPr>
            </w:pPr>
            <w:r w:rsidRPr="00204711">
              <w:rPr>
                <w:rFonts w:ascii="Calibri" w:hAnsi="Calibri" w:cs="Calibri"/>
                <w:sz w:val="20"/>
                <w:szCs w:val="20"/>
              </w:rPr>
              <w:t>31.5%</w:t>
            </w:r>
          </w:p>
        </w:tc>
        <w:tc>
          <w:tcPr>
            <w:tcW w:w="1352" w:type="dxa"/>
          </w:tcPr>
          <w:p w14:paraId="0039B803" w14:textId="09744F78" w:rsidR="00204711" w:rsidRPr="00204711" w:rsidRDefault="00204711" w:rsidP="00204711">
            <w:pPr>
              <w:jc w:val="center"/>
              <w:rPr>
                <w:rFonts w:ascii="Calibri" w:hAnsi="Calibri" w:cs="Calibri"/>
                <w:sz w:val="20"/>
                <w:szCs w:val="20"/>
              </w:rPr>
            </w:pPr>
            <w:r w:rsidRPr="00204711">
              <w:rPr>
                <w:rFonts w:ascii="Calibri" w:hAnsi="Calibri" w:cs="Calibri"/>
                <w:sz w:val="20"/>
                <w:szCs w:val="20"/>
              </w:rPr>
              <w:t>27.7%</w:t>
            </w:r>
          </w:p>
        </w:tc>
        <w:tc>
          <w:tcPr>
            <w:tcW w:w="1352" w:type="dxa"/>
          </w:tcPr>
          <w:p w14:paraId="41550DC7" w14:textId="4E197267" w:rsidR="00204711" w:rsidRPr="00204711" w:rsidRDefault="00204711" w:rsidP="00204711">
            <w:pPr>
              <w:jc w:val="center"/>
              <w:rPr>
                <w:rFonts w:ascii="Calibri" w:hAnsi="Calibri" w:cs="Calibri"/>
                <w:sz w:val="20"/>
                <w:szCs w:val="20"/>
              </w:rPr>
            </w:pPr>
            <w:r w:rsidRPr="00204711">
              <w:rPr>
                <w:rFonts w:ascii="Calibri" w:hAnsi="Calibri" w:cs="Calibri"/>
                <w:sz w:val="20"/>
                <w:szCs w:val="20"/>
              </w:rPr>
              <w:t>28.0%</w:t>
            </w:r>
          </w:p>
        </w:tc>
        <w:tc>
          <w:tcPr>
            <w:tcW w:w="1353" w:type="dxa"/>
          </w:tcPr>
          <w:p w14:paraId="76FE5818" w14:textId="4146C205"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17.2%</w:t>
            </w:r>
          </w:p>
        </w:tc>
      </w:tr>
      <w:tr w:rsidR="00204711" w:rsidRPr="00204711" w14:paraId="6CE5AEC7" w14:textId="77777777" w:rsidTr="00350136">
        <w:tc>
          <w:tcPr>
            <w:tcW w:w="1352" w:type="dxa"/>
          </w:tcPr>
          <w:p w14:paraId="40E5FCC3" w14:textId="3652D324" w:rsidR="00204711" w:rsidRPr="00204711" w:rsidRDefault="009C1416" w:rsidP="00204711">
            <w:pPr>
              <w:jc w:val="both"/>
              <w:rPr>
                <w:rFonts w:ascii="Calibri" w:hAnsi="Calibri" w:cs="Calibri"/>
                <w:sz w:val="20"/>
                <w:szCs w:val="20"/>
              </w:rPr>
            </w:pPr>
            <w:r>
              <w:rPr>
                <w:rFonts w:ascii="Calibri" w:hAnsi="Calibri" w:cs="Calibri"/>
                <w:sz w:val="20"/>
                <w:szCs w:val="20"/>
              </w:rPr>
              <w:t>Carfilzomib</w:t>
            </w:r>
          </w:p>
        </w:tc>
        <w:tc>
          <w:tcPr>
            <w:tcW w:w="1352" w:type="dxa"/>
          </w:tcPr>
          <w:p w14:paraId="521EACFD" w14:textId="2D1C8228" w:rsidR="00204711" w:rsidRPr="00204711" w:rsidRDefault="00204711" w:rsidP="00204711">
            <w:pPr>
              <w:jc w:val="center"/>
              <w:rPr>
                <w:rFonts w:ascii="Calibri" w:hAnsi="Calibri" w:cs="Calibri"/>
                <w:sz w:val="20"/>
                <w:szCs w:val="20"/>
              </w:rPr>
            </w:pPr>
            <w:r w:rsidRPr="00204711">
              <w:rPr>
                <w:rFonts w:ascii="Calibri" w:hAnsi="Calibri" w:cs="Calibri"/>
                <w:sz w:val="20"/>
                <w:szCs w:val="20"/>
              </w:rPr>
              <w:t>23.8%</w:t>
            </w:r>
          </w:p>
        </w:tc>
        <w:tc>
          <w:tcPr>
            <w:tcW w:w="1352" w:type="dxa"/>
          </w:tcPr>
          <w:p w14:paraId="7DDF522E" w14:textId="39BA03D6"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17.4%</w:t>
            </w:r>
          </w:p>
        </w:tc>
        <w:tc>
          <w:tcPr>
            <w:tcW w:w="1352" w:type="dxa"/>
          </w:tcPr>
          <w:p w14:paraId="7B609A9B" w14:textId="3031F146"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15.7%</w:t>
            </w:r>
          </w:p>
        </w:tc>
        <w:tc>
          <w:tcPr>
            <w:tcW w:w="1352" w:type="dxa"/>
          </w:tcPr>
          <w:p w14:paraId="44181BBA" w14:textId="0701DDAE"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14.8%</w:t>
            </w:r>
          </w:p>
        </w:tc>
        <w:tc>
          <w:tcPr>
            <w:tcW w:w="1352" w:type="dxa"/>
          </w:tcPr>
          <w:p w14:paraId="6BEC8C4E" w14:textId="6DA2081E"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14.2%</w:t>
            </w:r>
          </w:p>
        </w:tc>
        <w:tc>
          <w:tcPr>
            <w:tcW w:w="1353" w:type="dxa"/>
          </w:tcPr>
          <w:p w14:paraId="6CCF6F17" w14:textId="7C1E51AB"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13.9%</w:t>
            </w:r>
          </w:p>
        </w:tc>
      </w:tr>
      <w:tr w:rsidR="00204711" w:rsidRPr="00204711" w14:paraId="20C735E6" w14:textId="77777777" w:rsidTr="00350136">
        <w:tc>
          <w:tcPr>
            <w:tcW w:w="1352" w:type="dxa"/>
          </w:tcPr>
          <w:p w14:paraId="426EF803" w14:textId="2D191020" w:rsidR="00204711" w:rsidRPr="00204711" w:rsidRDefault="009C1416" w:rsidP="00204711">
            <w:pPr>
              <w:jc w:val="both"/>
              <w:rPr>
                <w:rFonts w:ascii="Calibri" w:hAnsi="Calibri" w:cs="Calibri"/>
                <w:sz w:val="20"/>
                <w:szCs w:val="20"/>
              </w:rPr>
            </w:pPr>
            <w:r>
              <w:rPr>
                <w:rFonts w:ascii="Calibri" w:hAnsi="Calibri" w:cs="Calibri"/>
                <w:sz w:val="20"/>
                <w:szCs w:val="20"/>
              </w:rPr>
              <w:t>Pomalidomide</w:t>
            </w:r>
          </w:p>
        </w:tc>
        <w:tc>
          <w:tcPr>
            <w:tcW w:w="1352" w:type="dxa"/>
          </w:tcPr>
          <w:p w14:paraId="362D5E56" w14:textId="77904580"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16.8%</w:t>
            </w:r>
          </w:p>
        </w:tc>
        <w:tc>
          <w:tcPr>
            <w:tcW w:w="1352" w:type="dxa"/>
          </w:tcPr>
          <w:p w14:paraId="0588DB84" w14:textId="74C73EE0"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14.7%</w:t>
            </w:r>
          </w:p>
        </w:tc>
        <w:tc>
          <w:tcPr>
            <w:tcW w:w="1352" w:type="dxa"/>
          </w:tcPr>
          <w:p w14:paraId="6E5A1B5C" w14:textId="1AC40F7D"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11.4%</w:t>
            </w:r>
          </w:p>
        </w:tc>
        <w:tc>
          <w:tcPr>
            <w:tcW w:w="1352" w:type="dxa"/>
          </w:tcPr>
          <w:p w14:paraId="11D89269" w14:textId="6E92E87A"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11.6%</w:t>
            </w:r>
          </w:p>
        </w:tc>
        <w:tc>
          <w:tcPr>
            <w:tcW w:w="1352" w:type="dxa"/>
          </w:tcPr>
          <w:p w14:paraId="3C756E88" w14:textId="14ED87C2"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11.4%</w:t>
            </w:r>
          </w:p>
        </w:tc>
        <w:tc>
          <w:tcPr>
            <w:tcW w:w="1353" w:type="dxa"/>
          </w:tcPr>
          <w:p w14:paraId="001E2D94" w14:textId="777DE5A1" w:rsidR="00204711" w:rsidRPr="00204711" w:rsidRDefault="00204711" w:rsidP="00204711">
            <w:pPr>
              <w:jc w:val="center"/>
              <w:rPr>
                <w:rFonts w:ascii="Calibri" w:hAnsi="Calibri" w:cs="Calibri"/>
                <w:sz w:val="20"/>
                <w:szCs w:val="20"/>
              </w:rPr>
            </w:pPr>
            <w:r w:rsidRPr="00204711">
              <w:rPr>
                <w:rFonts w:ascii="Calibri" w:hAnsi="Calibri" w:cs="Calibri"/>
                <w:sz w:val="20"/>
                <w:szCs w:val="20"/>
              </w:rPr>
              <w:t>8.1%</w:t>
            </w:r>
          </w:p>
        </w:tc>
      </w:tr>
      <w:tr w:rsidR="00204711" w:rsidRPr="00204711" w14:paraId="308FA2BF" w14:textId="77777777" w:rsidTr="00350136">
        <w:tc>
          <w:tcPr>
            <w:tcW w:w="1352" w:type="dxa"/>
          </w:tcPr>
          <w:p w14:paraId="156B75B3" w14:textId="32596ED3" w:rsidR="00204711" w:rsidRPr="00204711" w:rsidRDefault="009C1416" w:rsidP="00204711">
            <w:pPr>
              <w:jc w:val="both"/>
              <w:rPr>
                <w:rFonts w:ascii="Calibri" w:hAnsi="Calibri" w:cs="Calibri"/>
                <w:sz w:val="20"/>
                <w:szCs w:val="20"/>
              </w:rPr>
            </w:pPr>
            <w:r>
              <w:rPr>
                <w:rFonts w:ascii="Calibri" w:hAnsi="Calibri" w:cs="Calibri"/>
                <w:sz w:val="20"/>
                <w:szCs w:val="20"/>
              </w:rPr>
              <w:t>Selinexor</w:t>
            </w:r>
          </w:p>
        </w:tc>
        <w:tc>
          <w:tcPr>
            <w:tcW w:w="1352" w:type="dxa"/>
          </w:tcPr>
          <w:p w14:paraId="568F1E48" w14:textId="18D7EA6D" w:rsidR="00204711" w:rsidRPr="00204711" w:rsidRDefault="00204711" w:rsidP="00204711">
            <w:pPr>
              <w:jc w:val="center"/>
              <w:rPr>
                <w:rFonts w:ascii="Calibri" w:hAnsi="Calibri" w:cs="Calibri"/>
                <w:sz w:val="20"/>
                <w:szCs w:val="20"/>
              </w:rPr>
            </w:pPr>
            <w:r w:rsidRPr="00204711">
              <w:rPr>
                <w:rFonts w:ascii="Calibri" w:hAnsi="Calibri" w:cs="Calibri"/>
                <w:sz w:val="20"/>
                <w:szCs w:val="20"/>
              </w:rPr>
              <w:t>0.0%</w:t>
            </w:r>
          </w:p>
        </w:tc>
        <w:tc>
          <w:tcPr>
            <w:tcW w:w="1352" w:type="dxa"/>
          </w:tcPr>
          <w:p w14:paraId="4B898A38" w14:textId="2E492812" w:rsidR="00204711" w:rsidRPr="00204711" w:rsidRDefault="00204711" w:rsidP="00204711">
            <w:pPr>
              <w:jc w:val="center"/>
              <w:rPr>
                <w:rFonts w:ascii="Calibri" w:hAnsi="Calibri" w:cs="Calibri"/>
                <w:sz w:val="20"/>
                <w:szCs w:val="20"/>
              </w:rPr>
            </w:pPr>
            <w:r w:rsidRPr="00204711">
              <w:rPr>
                <w:rFonts w:ascii="Calibri" w:hAnsi="Calibri" w:cs="Calibri"/>
                <w:sz w:val="20"/>
                <w:szCs w:val="20"/>
              </w:rPr>
              <w:t>0.2%</w:t>
            </w:r>
          </w:p>
        </w:tc>
        <w:tc>
          <w:tcPr>
            <w:tcW w:w="1352" w:type="dxa"/>
          </w:tcPr>
          <w:p w14:paraId="76886CEB" w14:textId="47931786"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1.3%</w:t>
            </w:r>
          </w:p>
        </w:tc>
        <w:tc>
          <w:tcPr>
            <w:tcW w:w="1352" w:type="dxa"/>
          </w:tcPr>
          <w:p w14:paraId="6AC766C2" w14:textId="70FA597A" w:rsidR="00204711" w:rsidRPr="00204711" w:rsidRDefault="00204711" w:rsidP="00204711">
            <w:pPr>
              <w:jc w:val="center"/>
              <w:rPr>
                <w:rFonts w:ascii="Calibri" w:hAnsi="Calibri" w:cs="Calibri"/>
                <w:sz w:val="20"/>
                <w:szCs w:val="20"/>
              </w:rPr>
            </w:pPr>
            <w:r w:rsidRPr="00204711">
              <w:rPr>
                <w:rFonts w:ascii="Calibri" w:hAnsi="Calibri" w:cs="Calibri"/>
                <w:sz w:val="20"/>
                <w:szCs w:val="20"/>
              </w:rPr>
              <w:t>0.2%</w:t>
            </w:r>
          </w:p>
        </w:tc>
        <w:tc>
          <w:tcPr>
            <w:tcW w:w="1352" w:type="dxa"/>
          </w:tcPr>
          <w:p w14:paraId="7EBE162F" w14:textId="4F478971"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1.8%</w:t>
            </w:r>
          </w:p>
        </w:tc>
        <w:tc>
          <w:tcPr>
            <w:tcW w:w="1353" w:type="dxa"/>
          </w:tcPr>
          <w:p w14:paraId="5D661710" w14:textId="06709217"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1.4%</w:t>
            </w:r>
          </w:p>
        </w:tc>
      </w:tr>
      <w:tr w:rsidR="00204711" w:rsidRPr="00204711" w14:paraId="6717E19D" w14:textId="77777777" w:rsidTr="00350136">
        <w:tc>
          <w:tcPr>
            <w:tcW w:w="1352" w:type="dxa"/>
          </w:tcPr>
          <w:p w14:paraId="11633C60" w14:textId="27A12E42" w:rsidR="00204711" w:rsidRPr="00204711" w:rsidRDefault="00204711" w:rsidP="00204711">
            <w:pPr>
              <w:jc w:val="both"/>
              <w:rPr>
                <w:rFonts w:ascii="Calibri" w:hAnsi="Calibri" w:cs="Calibri"/>
                <w:sz w:val="20"/>
                <w:szCs w:val="20"/>
              </w:rPr>
            </w:pPr>
            <w:r w:rsidRPr="00204711">
              <w:rPr>
                <w:rFonts w:ascii="Calibri" w:hAnsi="Calibri" w:cs="Calibri"/>
                <w:sz w:val="20"/>
                <w:szCs w:val="20"/>
              </w:rPr>
              <w:t>Thalidomide</w:t>
            </w:r>
          </w:p>
        </w:tc>
        <w:tc>
          <w:tcPr>
            <w:tcW w:w="1352" w:type="dxa"/>
          </w:tcPr>
          <w:p w14:paraId="270FF130" w14:textId="6D7872C4" w:rsidR="00204711" w:rsidRPr="00204711" w:rsidRDefault="00204711" w:rsidP="00204711">
            <w:pPr>
              <w:jc w:val="center"/>
              <w:rPr>
                <w:rFonts w:ascii="Calibri" w:hAnsi="Calibri" w:cs="Calibri"/>
                <w:sz w:val="20"/>
                <w:szCs w:val="20"/>
              </w:rPr>
            </w:pPr>
            <w:r w:rsidRPr="00204711">
              <w:rPr>
                <w:rFonts w:ascii="Calibri" w:hAnsi="Calibri" w:cs="Calibri"/>
                <w:sz w:val="20"/>
                <w:szCs w:val="20"/>
              </w:rPr>
              <w:t>3.8%</w:t>
            </w:r>
          </w:p>
        </w:tc>
        <w:tc>
          <w:tcPr>
            <w:tcW w:w="1352" w:type="dxa"/>
          </w:tcPr>
          <w:p w14:paraId="29A48EC3" w14:textId="40D7AC69" w:rsidR="00204711" w:rsidRPr="00204711" w:rsidRDefault="00204711" w:rsidP="00204711">
            <w:pPr>
              <w:jc w:val="center"/>
              <w:rPr>
                <w:rFonts w:ascii="Calibri" w:hAnsi="Calibri" w:cs="Calibri"/>
                <w:sz w:val="20"/>
                <w:szCs w:val="20"/>
              </w:rPr>
            </w:pPr>
            <w:r w:rsidRPr="00204711">
              <w:rPr>
                <w:rFonts w:ascii="Calibri" w:hAnsi="Calibri" w:cs="Calibri"/>
                <w:sz w:val="20"/>
                <w:szCs w:val="20"/>
              </w:rPr>
              <w:t>3.1%</w:t>
            </w:r>
          </w:p>
        </w:tc>
        <w:tc>
          <w:tcPr>
            <w:tcW w:w="1352" w:type="dxa"/>
          </w:tcPr>
          <w:p w14:paraId="29059DE4" w14:textId="2CFDFE81" w:rsidR="00204711" w:rsidRPr="00204711" w:rsidRDefault="00204711" w:rsidP="00204711">
            <w:pPr>
              <w:jc w:val="center"/>
              <w:rPr>
                <w:rFonts w:ascii="Calibri" w:hAnsi="Calibri" w:cs="Calibri"/>
                <w:sz w:val="20"/>
                <w:szCs w:val="20"/>
              </w:rPr>
            </w:pPr>
            <w:r w:rsidRPr="00204711">
              <w:rPr>
                <w:rFonts w:ascii="Calibri" w:hAnsi="Calibri" w:cs="Calibri"/>
                <w:sz w:val="20"/>
                <w:szCs w:val="20"/>
              </w:rPr>
              <w:t>2.8%</w:t>
            </w:r>
          </w:p>
        </w:tc>
        <w:tc>
          <w:tcPr>
            <w:tcW w:w="1352" w:type="dxa"/>
          </w:tcPr>
          <w:p w14:paraId="5786FF81" w14:textId="271963D8"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1.3%</w:t>
            </w:r>
          </w:p>
        </w:tc>
        <w:tc>
          <w:tcPr>
            <w:tcW w:w="1352" w:type="dxa"/>
          </w:tcPr>
          <w:p w14:paraId="7104E33C" w14:textId="14182C2A" w:rsidR="00204711" w:rsidRPr="00204711" w:rsidRDefault="00204711" w:rsidP="00204711">
            <w:pPr>
              <w:jc w:val="center"/>
              <w:rPr>
                <w:rFonts w:ascii="Calibri" w:hAnsi="Calibri" w:cs="Calibri"/>
                <w:sz w:val="20"/>
                <w:szCs w:val="20"/>
              </w:rPr>
            </w:pPr>
            <w:r w:rsidRPr="00204711">
              <w:rPr>
                <w:rFonts w:ascii="Calibri" w:hAnsi="Calibri" w:cs="Calibri"/>
                <w:sz w:val="20"/>
                <w:szCs w:val="20"/>
              </w:rPr>
              <w:t>1.6%</w:t>
            </w:r>
          </w:p>
        </w:tc>
        <w:tc>
          <w:tcPr>
            <w:tcW w:w="1353" w:type="dxa"/>
          </w:tcPr>
          <w:p w14:paraId="638E59CC" w14:textId="7E6300CD" w:rsidR="00204711" w:rsidRPr="00204711" w:rsidRDefault="00204711" w:rsidP="00204711">
            <w:pPr>
              <w:jc w:val="center"/>
              <w:rPr>
                <w:rFonts w:ascii="Calibri" w:hAnsi="Calibri" w:cs="Calibri"/>
                <w:sz w:val="20"/>
                <w:szCs w:val="20"/>
              </w:rPr>
            </w:pPr>
            <w:r w:rsidRPr="00204711">
              <w:rPr>
                <w:rFonts w:ascii="Calibri" w:hAnsi="Calibri" w:cs="Calibri"/>
                <w:sz w:val="20"/>
                <w:szCs w:val="20"/>
              </w:rPr>
              <w:t>0.5%</w:t>
            </w:r>
          </w:p>
        </w:tc>
      </w:tr>
      <w:tr w:rsidR="00204711" w:rsidRPr="00204711" w14:paraId="55394D9A" w14:textId="77777777" w:rsidTr="00204711">
        <w:trPr>
          <w:trHeight w:val="70"/>
        </w:trPr>
        <w:tc>
          <w:tcPr>
            <w:tcW w:w="1352" w:type="dxa"/>
          </w:tcPr>
          <w:p w14:paraId="1A374391" w14:textId="3AF03A29" w:rsidR="00204711" w:rsidRPr="00204711" w:rsidRDefault="00204711" w:rsidP="00204711">
            <w:pPr>
              <w:jc w:val="both"/>
              <w:rPr>
                <w:rFonts w:ascii="Calibri" w:hAnsi="Calibri" w:cs="Calibri"/>
                <w:sz w:val="20"/>
                <w:szCs w:val="20"/>
              </w:rPr>
            </w:pPr>
            <w:r>
              <w:rPr>
                <w:rFonts w:ascii="Calibri" w:hAnsi="Calibri" w:cs="Calibri"/>
                <w:sz w:val="20"/>
                <w:szCs w:val="20"/>
              </w:rPr>
              <w:t>Total</w:t>
            </w:r>
          </w:p>
        </w:tc>
        <w:tc>
          <w:tcPr>
            <w:tcW w:w="1352" w:type="dxa"/>
          </w:tcPr>
          <w:p w14:paraId="5527CAFF" w14:textId="1A916606" w:rsidR="00204711" w:rsidRPr="00204711" w:rsidRDefault="00204711" w:rsidP="00204711">
            <w:pPr>
              <w:jc w:val="center"/>
              <w:rPr>
                <w:rFonts w:ascii="Calibri" w:hAnsi="Calibri" w:cs="Calibri"/>
                <w:sz w:val="20"/>
                <w:szCs w:val="20"/>
              </w:rPr>
            </w:pPr>
            <w:r>
              <w:rPr>
                <w:rFonts w:ascii="Calibri" w:hAnsi="Calibri" w:cs="Calibri"/>
                <w:sz w:val="20"/>
                <w:szCs w:val="20"/>
              </w:rPr>
              <w:t>100.0%</w:t>
            </w:r>
          </w:p>
        </w:tc>
        <w:tc>
          <w:tcPr>
            <w:tcW w:w="1352" w:type="dxa"/>
          </w:tcPr>
          <w:p w14:paraId="72A370C0" w14:textId="36996B46" w:rsidR="00204711" w:rsidRPr="00204711" w:rsidRDefault="00204711" w:rsidP="00204711">
            <w:pPr>
              <w:jc w:val="center"/>
              <w:rPr>
                <w:rFonts w:ascii="Calibri" w:hAnsi="Calibri" w:cs="Calibri"/>
                <w:sz w:val="20"/>
                <w:szCs w:val="20"/>
              </w:rPr>
            </w:pPr>
            <w:r>
              <w:rPr>
                <w:rFonts w:ascii="Calibri" w:hAnsi="Calibri" w:cs="Calibri"/>
                <w:sz w:val="20"/>
                <w:szCs w:val="20"/>
              </w:rPr>
              <w:t>100.0%</w:t>
            </w:r>
          </w:p>
        </w:tc>
        <w:tc>
          <w:tcPr>
            <w:tcW w:w="1352" w:type="dxa"/>
          </w:tcPr>
          <w:p w14:paraId="032966F8" w14:textId="0A78390C" w:rsidR="00204711" w:rsidRPr="00204711" w:rsidRDefault="00204711" w:rsidP="00204711">
            <w:pPr>
              <w:jc w:val="center"/>
              <w:rPr>
                <w:rFonts w:ascii="Calibri" w:hAnsi="Calibri" w:cs="Calibri"/>
                <w:sz w:val="20"/>
                <w:szCs w:val="20"/>
              </w:rPr>
            </w:pPr>
            <w:r>
              <w:rPr>
                <w:rFonts w:ascii="Calibri" w:hAnsi="Calibri" w:cs="Calibri"/>
                <w:sz w:val="20"/>
                <w:szCs w:val="20"/>
              </w:rPr>
              <w:t>100.0%</w:t>
            </w:r>
          </w:p>
        </w:tc>
        <w:tc>
          <w:tcPr>
            <w:tcW w:w="1352" w:type="dxa"/>
          </w:tcPr>
          <w:p w14:paraId="665FFD40" w14:textId="0512962F" w:rsidR="00204711" w:rsidRPr="00204711" w:rsidRDefault="00204711" w:rsidP="00204711">
            <w:pPr>
              <w:jc w:val="center"/>
              <w:rPr>
                <w:rFonts w:ascii="Calibri" w:hAnsi="Calibri" w:cs="Calibri"/>
                <w:sz w:val="20"/>
                <w:szCs w:val="20"/>
              </w:rPr>
            </w:pPr>
            <w:r>
              <w:rPr>
                <w:rFonts w:ascii="Calibri" w:hAnsi="Calibri" w:cs="Calibri"/>
                <w:sz w:val="20"/>
                <w:szCs w:val="20"/>
              </w:rPr>
              <w:t>100.0%</w:t>
            </w:r>
          </w:p>
        </w:tc>
        <w:tc>
          <w:tcPr>
            <w:tcW w:w="1352" w:type="dxa"/>
          </w:tcPr>
          <w:p w14:paraId="0B837332" w14:textId="59843DD4" w:rsidR="00204711" w:rsidRPr="00204711" w:rsidRDefault="00204711" w:rsidP="00204711">
            <w:pPr>
              <w:jc w:val="center"/>
              <w:rPr>
                <w:rFonts w:ascii="Calibri" w:hAnsi="Calibri" w:cs="Calibri"/>
                <w:sz w:val="20"/>
                <w:szCs w:val="20"/>
              </w:rPr>
            </w:pPr>
            <w:r>
              <w:rPr>
                <w:rFonts w:ascii="Calibri" w:hAnsi="Calibri" w:cs="Calibri"/>
                <w:sz w:val="20"/>
                <w:szCs w:val="20"/>
              </w:rPr>
              <w:t>100.0%</w:t>
            </w:r>
          </w:p>
        </w:tc>
        <w:tc>
          <w:tcPr>
            <w:tcW w:w="1353" w:type="dxa"/>
          </w:tcPr>
          <w:p w14:paraId="4CE701B5" w14:textId="4F00344D" w:rsidR="00204711" w:rsidRPr="00204711" w:rsidRDefault="00204711" w:rsidP="00204711">
            <w:pPr>
              <w:jc w:val="center"/>
              <w:rPr>
                <w:rFonts w:ascii="Calibri" w:hAnsi="Calibri" w:cs="Calibri"/>
                <w:sz w:val="20"/>
                <w:szCs w:val="20"/>
              </w:rPr>
            </w:pPr>
            <w:r>
              <w:rPr>
                <w:rFonts w:ascii="Calibri" w:hAnsi="Calibri" w:cs="Calibri"/>
                <w:sz w:val="20"/>
                <w:szCs w:val="20"/>
              </w:rPr>
              <w:t>100.0%</w:t>
            </w:r>
          </w:p>
        </w:tc>
      </w:tr>
    </w:tbl>
    <w:p w14:paraId="755CE9B3" w14:textId="142FFCB0" w:rsidR="00884143" w:rsidRPr="00A24E74" w:rsidRDefault="00884143" w:rsidP="00884143">
      <w:pPr>
        <w:jc w:val="both"/>
        <w:rPr>
          <w:rFonts w:asciiTheme="minorHAnsi" w:hAnsiTheme="minorHAnsi" w:cstheme="minorHAnsi"/>
          <w:sz w:val="20"/>
          <w:szCs w:val="20"/>
        </w:rPr>
      </w:pPr>
      <w:r>
        <w:rPr>
          <w:rFonts w:asciiTheme="minorHAnsi" w:hAnsiTheme="minorHAnsi" w:cstheme="minorHAnsi"/>
          <w:sz w:val="20"/>
          <w:szCs w:val="20"/>
        </w:rPr>
        <w:t xml:space="preserve">Source: Analysis of 10% PBS data. </w:t>
      </w:r>
      <w:r w:rsidR="00B33169">
        <w:rPr>
          <w:rFonts w:asciiTheme="minorHAnsi" w:hAnsiTheme="minorHAnsi" w:cstheme="minorHAnsi"/>
          <w:sz w:val="20"/>
          <w:szCs w:val="20"/>
        </w:rPr>
        <w:t xml:space="preserve">Unique patients per year. </w:t>
      </w:r>
      <w:r>
        <w:rPr>
          <w:rFonts w:asciiTheme="minorHAnsi" w:hAnsiTheme="minorHAnsi" w:cstheme="minorHAnsi"/>
          <w:sz w:val="20"/>
          <w:szCs w:val="20"/>
        </w:rPr>
        <w:t>24 April 2026.</w:t>
      </w:r>
    </w:p>
    <w:p w14:paraId="1245A157" w14:textId="3FA952FC" w:rsidR="00CA6FE9" w:rsidRPr="00CA6FE9" w:rsidRDefault="00F13EA9" w:rsidP="000E0C36">
      <w:pPr>
        <w:jc w:val="both"/>
        <w:rPr>
          <w:rFonts w:asciiTheme="minorHAnsi" w:hAnsiTheme="minorHAnsi" w:cstheme="minorHAnsi"/>
          <w:sz w:val="24"/>
          <w:szCs w:val="24"/>
        </w:rPr>
      </w:pPr>
      <w:r>
        <w:rPr>
          <w:rFonts w:asciiTheme="minorHAnsi" w:hAnsiTheme="minorHAnsi" w:cstheme="minorHAnsi"/>
          <w:sz w:val="24"/>
          <w:szCs w:val="24"/>
        </w:rPr>
        <w:t>T</w:t>
      </w:r>
      <w:r w:rsidR="008749D6">
        <w:rPr>
          <w:rFonts w:asciiTheme="minorHAnsi" w:hAnsiTheme="minorHAnsi" w:cstheme="minorHAnsi"/>
          <w:sz w:val="24"/>
          <w:szCs w:val="24"/>
        </w:rPr>
        <w:t xml:space="preserve">he results of the above analyses are </w:t>
      </w:r>
      <w:r>
        <w:rPr>
          <w:rFonts w:asciiTheme="minorHAnsi" w:hAnsiTheme="minorHAnsi" w:cstheme="minorHAnsi"/>
          <w:sz w:val="24"/>
          <w:szCs w:val="24"/>
        </w:rPr>
        <w:t xml:space="preserve">consistent with the PBAC consideration of </w:t>
      </w:r>
      <w:proofErr w:type="spellStart"/>
      <w:r w:rsidR="00CC475C">
        <w:rPr>
          <w:rFonts w:asciiTheme="minorHAnsi" w:hAnsiTheme="minorHAnsi" w:cstheme="minorHAnsi"/>
          <w:sz w:val="24"/>
          <w:szCs w:val="24"/>
        </w:rPr>
        <w:t>belantamab</w:t>
      </w:r>
      <w:proofErr w:type="spellEnd"/>
      <w:r w:rsidR="00CC475C">
        <w:rPr>
          <w:rFonts w:asciiTheme="minorHAnsi" w:hAnsiTheme="minorHAnsi" w:cstheme="minorHAnsi"/>
          <w:sz w:val="24"/>
          <w:szCs w:val="24"/>
        </w:rPr>
        <w:t xml:space="preserve"> mafodotin in November 2025. </w:t>
      </w:r>
      <w:r w:rsidRPr="00F13EA9">
        <w:rPr>
          <w:rFonts w:asciiTheme="minorHAnsi" w:hAnsiTheme="minorHAnsi" w:cstheme="minorHAnsi"/>
          <w:sz w:val="24"/>
          <w:szCs w:val="24"/>
        </w:rPr>
        <w:t xml:space="preserve">The PBAC advised that if </w:t>
      </w:r>
      <w:r w:rsidR="000B55C9">
        <w:rPr>
          <w:rFonts w:asciiTheme="minorHAnsi" w:hAnsiTheme="minorHAnsi" w:cstheme="minorHAnsi"/>
          <w:sz w:val="24"/>
          <w:szCs w:val="24"/>
        </w:rPr>
        <w:t xml:space="preserve">the sponsor of </w:t>
      </w:r>
      <w:proofErr w:type="spellStart"/>
      <w:r w:rsidR="000B55C9">
        <w:rPr>
          <w:rFonts w:asciiTheme="minorHAnsi" w:hAnsiTheme="minorHAnsi" w:cstheme="minorHAnsi"/>
          <w:sz w:val="24"/>
          <w:szCs w:val="24"/>
        </w:rPr>
        <w:t>belanatamab</w:t>
      </w:r>
      <w:proofErr w:type="spellEnd"/>
      <w:r w:rsidR="000B55C9">
        <w:rPr>
          <w:rFonts w:asciiTheme="minorHAnsi" w:hAnsiTheme="minorHAnsi" w:cstheme="minorHAnsi"/>
          <w:sz w:val="24"/>
          <w:szCs w:val="24"/>
        </w:rPr>
        <w:t xml:space="preserve"> mafodotin</w:t>
      </w:r>
      <w:r w:rsidRPr="00F13EA9">
        <w:rPr>
          <w:rFonts w:asciiTheme="minorHAnsi" w:hAnsiTheme="minorHAnsi" w:cstheme="minorHAnsi"/>
          <w:sz w:val="24"/>
          <w:szCs w:val="24"/>
        </w:rPr>
        <w:t xml:space="preserve"> were to consider a broader RRMM </w:t>
      </w:r>
      <w:r w:rsidR="008749D6">
        <w:rPr>
          <w:rFonts w:asciiTheme="minorHAnsi" w:hAnsiTheme="minorHAnsi" w:cstheme="minorHAnsi"/>
          <w:sz w:val="24"/>
          <w:szCs w:val="24"/>
        </w:rPr>
        <w:t xml:space="preserve">(2L+) </w:t>
      </w:r>
      <w:r w:rsidRPr="00F13EA9">
        <w:rPr>
          <w:rFonts w:asciiTheme="minorHAnsi" w:hAnsiTheme="minorHAnsi" w:cstheme="minorHAnsi"/>
          <w:sz w:val="24"/>
          <w:szCs w:val="24"/>
        </w:rPr>
        <w:t>listing, a mixed comparator that</w:t>
      </w:r>
      <w:r w:rsidR="000B55C9">
        <w:rPr>
          <w:rFonts w:asciiTheme="minorHAnsi" w:hAnsiTheme="minorHAnsi" w:cstheme="minorHAnsi"/>
          <w:sz w:val="24"/>
          <w:szCs w:val="24"/>
        </w:rPr>
        <w:t xml:space="preserve"> </w:t>
      </w:r>
      <w:r w:rsidRPr="00F13EA9">
        <w:rPr>
          <w:rFonts w:asciiTheme="minorHAnsi" w:hAnsiTheme="minorHAnsi" w:cstheme="minorHAnsi"/>
          <w:sz w:val="24"/>
          <w:szCs w:val="24"/>
        </w:rPr>
        <w:t>consisted of daratumumab, carfilzomib, pomalidomide, selinexor and elotuzumab</w:t>
      </w:r>
      <w:r w:rsidR="000B55C9">
        <w:rPr>
          <w:rFonts w:asciiTheme="minorHAnsi" w:hAnsiTheme="minorHAnsi" w:cstheme="minorHAnsi"/>
          <w:sz w:val="24"/>
          <w:szCs w:val="24"/>
        </w:rPr>
        <w:t xml:space="preserve"> </w:t>
      </w:r>
      <w:r w:rsidRPr="00F13EA9">
        <w:rPr>
          <w:rFonts w:asciiTheme="minorHAnsi" w:hAnsiTheme="minorHAnsi" w:cstheme="minorHAnsi"/>
          <w:sz w:val="24"/>
          <w:szCs w:val="24"/>
        </w:rPr>
        <w:t>would be reasonable</w:t>
      </w:r>
      <w:r w:rsidR="000B55C9">
        <w:rPr>
          <w:rFonts w:asciiTheme="minorHAnsi" w:hAnsiTheme="minorHAnsi" w:cstheme="minorHAnsi"/>
          <w:sz w:val="24"/>
          <w:szCs w:val="24"/>
        </w:rPr>
        <w:t xml:space="preserve"> (paragraph 7.3, </w:t>
      </w:r>
      <w:proofErr w:type="spellStart"/>
      <w:r w:rsidR="000B55C9">
        <w:rPr>
          <w:rFonts w:asciiTheme="minorHAnsi" w:hAnsiTheme="minorHAnsi" w:cstheme="minorHAnsi"/>
          <w:sz w:val="24"/>
          <w:szCs w:val="24"/>
        </w:rPr>
        <w:t>belantamab</w:t>
      </w:r>
      <w:proofErr w:type="spellEnd"/>
      <w:r w:rsidR="000B55C9">
        <w:rPr>
          <w:rFonts w:asciiTheme="minorHAnsi" w:hAnsiTheme="minorHAnsi" w:cstheme="minorHAnsi"/>
          <w:sz w:val="24"/>
          <w:szCs w:val="24"/>
        </w:rPr>
        <w:t xml:space="preserve"> Public Summary Document, November 2025).</w:t>
      </w:r>
      <w:r w:rsidR="00B64F3C">
        <w:rPr>
          <w:rFonts w:asciiTheme="minorHAnsi" w:hAnsiTheme="minorHAnsi" w:cstheme="minorHAnsi"/>
          <w:sz w:val="24"/>
          <w:szCs w:val="24"/>
        </w:rPr>
        <w:t xml:space="preserve"> </w:t>
      </w:r>
      <w:r w:rsidR="007221D1">
        <w:rPr>
          <w:rFonts w:asciiTheme="minorHAnsi" w:hAnsiTheme="minorHAnsi" w:cstheme="minorHAnsi"/>
          <w:sz w:val="24"/>
          <w:szCs w:val="24"/>
        </w:rPr>
        <w:t>Please note that elotuzumab was excluded from the PBS10% analysis. This is because a</w:t>
      </w:r>
      <w:r w:rsidR="00CA6FE9" w:rsidRPr="00CA6FE9">
        <w:rPr>
          <w:rFonts w:asciiTheme="minorHAnsi" w:hAnsiTheme="minorHAnsi" w:cstheme="minorHAnsi"/>
          <w:sz w:val="24"/>
          <w:szCs w:val="24"/>
        </w:rPr>
        <w:t>s of 1 December 2024, initial treatment with elotuzumab as triple therapy is no longer PBS-subsidised</w:t>
      </w:r>
      <w:r w:rsidR="00A60925">
        <w:rPr>
          <w:rFonts w:asciiTheme="minorHAnsi" w:hAnsiTheme="minorHAnsi" w:cstheme="minorHAnsi"/>
          <w:sz w:val="24"/>
          <w:szCs w:val="24"/>
        </w:rPr>
        <w:t xml:space="preserve"> (that is new patients cannot initial elotuzumab </w:t>
      </w:r>
      <w:r w:rsidR="0084003F">
        <w:rPr>
          <w:rFonts w:asciiTheme="minorHAnsi" w:hAnsiTheme="minorHAnsi" w:cstheme="minorHAnsi"/>
          <w:sz w:val="24"/>
          <w:szCs w:val="24"/>
        </w:rPr>
        <w:t>therapy anymore)</w:t>
      </w:r>
      <w:r w:rsidR="00CA6FE9" w:rsidRPr="00CA6FE9">
        <w:rPr>
          <w:rFonts w:asciiTheme="minorHAnsi" w:hAnsiTheme="minorHAnsi" w:cstheme="minorHAnsi"/>
          <w:sz w:val="24"/>
          <w:szCs w:val="24"/>
        </w:rPr>
        <w:t>. Continuing treatment with elotuzumab as triple therapy remains on the PBS to ensure continuity of the treatment for existing patients</w:t>
      </w:r>
      <w:r w:rsidR="0084003F">
        <w:rPr>
          <w:rFonts w:asciiTheme="minorHAnsi" w:hAnsiTheme="minorHAnsi" w:cstheme="minorHAnsi"/>
          <w:sz w:val="24"/>
          <w:szCs w:val="24"/>
        </w:rPr>
        <w:t xml:space="preserve"> who are receiving benefit</w:t>
      </w:r>
      <w:r w:rsidR="00CA6FE9" w:rsidRPr="00CA6FE9">
        <w:rPr>
          <w:rFonts w:asciiTheme="minorHAnsi" w:hAnsiTheme="minorHAnsi" w:cstheme="minorHAnsi"/>
          <w:sz w:val="24"/>
          <w:szCs w:val="24"/>
        </w:rPr>
        <w:t>.</w:t>
      </w:r>
      <w:r w:rsidR="0042604F">
        <w:rPr>
          <w:rFonts w:asciiTheme="minorHAnsi" w:hAnsiTheme="minorHAnsi" w:cstheme="minorHAnsi"/>
          <w:sz w:val="24"/>
          <w:szCs w:val="24"/>
        </w:rPr>
        <w:t xml:space="preserve"> Thus, elotuzumab is not a relevant comparator for cilta-cel for 2L+ MM</w:t>
      </w:r>
      <w:r w:rsidR="00E72B2B">
        <w:rPr>
          <w:rFonts w:asciiTheme="minorHAnsi" w:hAnsiTheme="minorHAnsi" w:cstheme="minorHAnsi"/>
          <w:sz w:val="24"/>
          <w:szCs w:val="24"/>
        </w:rPr>
        <w:t xml:space="preserve"> as its use in Australian clinical practice </w:t>
      </w:r>
      <w:r w:rsidR="0084003F">
        <w:rPr>
          <w:rFonts w:asciiTheme="minorHAnsi" w:hAnsiTheme="minorHAnsi" w:cstheme="minorHAnsi"/>
          <w:sz w:val="24"/>
          <w:szCs w:val="24"/>
        </w:rPr>
        <w:t xml:space="preserve">is only in historical patients and will decline to </w:t>
      </w:r>
      <w:r w:rsidR="000E0C36">
        <w:rPr>
          <w:rFonts w:asciiTheme="minorHAnsi" w:hAnsiTheme="minorHAnsi" w:cstheme="minorHAnsi"/>
          <w:sz w:val="24"/>
          <w:szCs w:val="24"/>
        </w:rPr>
        <w:t xml:space="preserve">zero </w:t>
      </w:r>
      <w:r w:rsidR="00E72B2B">
        <w:rPr>
          <w:rFonts w:asciiTheme="minorHAnsi" w:hAnsiTheme="minorHAnsi" w:cstheme="minorHAnsi"/>
          <w:sz w:val="24"/>
          <w:szCs w:val="24"/>
        </w:rPr>
        <w:t>in the future.</w:t>
      </w:r>
      <w:r w:rsidR="002854F3">
        <w:rPr>
          <w:rFonts w:asciiTheme="minorHAnsi" w:hAnsiTheme="minorHAnsi" w:cstheme="minorHAnsi"/>
          <w:sz w:val="24"/>
          <w:szCs w:val="24"/>
        </w:rPr>
        <w:t xml:space="preserve"> This data point from the PBAC in November 2025 supports that the proposed comparators for cilta-cel for 2L+ MM in this application are appropriate and </w:t>
      </w:r>
      <w:r w:rsidR="00A9557E">
        <w:rPr>
          <w:rFonts w:asciiTheme="minorHAnsi" w:hAnsiTheme="minorHAnsi" w:cstheme="minorHAnsi"/>
          <w:sz w:val="24"/>
          <w:szCs w:val="24"/>
        </w:rPr>
        <w:t>reflective of Australian clinical practice.</w:t>
      </w:r>
    </w:p>
    <w:p w14:paraId="556A8D16" w14:textId="5D96458E" w:rsidR="002A0B66" w:rsidRPr="006747C9" w:rsidRDefault="006747C9" w:rsidP="00CB3B09">
      <w:pPr>
        <w:jc w:val="both"/>
        <w:rPr>
          <w:rFonts w:asciiTheme="minorHAnsi" w:hAnsiTheme="minorHAnsi" w:cstheme="minorHAnsi"/>
          <w:sz w:val="24"/>
          <w:szCs w:val="24"/>
          <w:u w:val="single"/>
        </w:rPr>
      </w:pPr>
      <w:r w:rsidRPr="006747C9">
        <w:rPr>
          <w:rFonts w:asciiTheme="minorHAnsi" w:hAnsiTheme="minorHAnsi" w:cstheme="minorHAnsi"/>
          <w:sz w:val="24"/>
          <w:szCs w:val="24"/>
          <w:u w:val="single"/>
        </w:rPr>
        <w:t xml:space="preserve">Future </w:t>
      </w:r>
      <w:r w:rsidR="00616BA2">
        <w:rPr>
          <w:rFonts w:asciiTheme="minorHAnsi" w:hAnsiTheme="minorHAnsi" w:cstheme="minorHAnsi"/>
          <w:sz w:val="24"/>
          <w:szCs w:val="24"/>
          <w:u w:val="single"/>
        </w:rPr>
        <w:t>PBS</w:t>
      </w:r>
      <w:r w:rsidRPr="006747C9">
        <w:rPr>
          <w:rFonts w:asciiTheme="minorHAnsi" w:hAnsiTheme="minorHAnsi" w:cstheme="minorHAnsi"/>
          <w:sz w:val="24"/>
          <w:szCs w:val="24"/>
          <w:u w:val="single"/>
        </w:rPr>
        <w:t xml:space="preserve"> practice</w:t>
      </w:r>
      <w:r w:rsidR="00616BA2">
        <w:rPr>
          <w:rFonts w:asciiTheme="minorHAnsi" w:hAnsiTheme="minorHAnsi" w:cstheme="minorHAnsi"/>
          <w:sz w:val="24"/>
          <w:szCs w:val="24"/>
          <w:u w:val="single"/>
        </w:rPr>
        <w:t xml:space="preserve"> for 2L+ MM</w:t>
      </w:r>
    </w:p>
    <w:p w14:paraId="6BF2A066" w14:textId="61BA5561" w:rsidR="006747C9" w:rsidRDefault="006747C9" w:rsidP="00CB3B09">
      <w:pPr>
        <w:jc w:val="both"/>
        <w:rPr>
          <w:rFonts w:asciiTheme="minorHAnsi" w:hAnsiTheme="minorHAnsi" w:cstheme="minorHAnsi"/>
          <w:sz w:val="24"/>
          <w:szCs w:val="24"/>
        </w:rPr>
      </w:pPr>
      <w:proofErr w:type="spellStart"/>
      <w:r w:rsidRPr="006747C9">
        <w:rPr>
          <w:rFonts w:asciiTheme="minorHAnsi" w:hAnsiTheme="minorHAnsi" w:cstheme="minorHAnsi"/>
          <w:sz w:val="24"/>
          <w:szCs w:val="24"/>
        </w:rPr>
        <w:t>Belantamab</w:t>
      </w:r>
      <w:proofErr w:type="spellEnd"/>
      <w:r w:rsidRPr="006747C9">
        <w:rPr>
          <w:rFonts w:asciiTheme="minorHAnsi" w:hAnsiTheme="minorHAnsi" w:cstheme="minorHAnsi"/>
          <w:sz w:val="24"/>
          <w:szCs w:val="24"/>
        </w:rPr>
        <w:t xml:space="preserve"> mafodotin plus bortezomib and dexamethasone </w:t>
      </w:r>
      <w:r w:rsidR="00C62E85">
        <w:rPr>
          <w:rFonts w:asciiTheme="minorHAnsi" w:hAnsiTheme="minorHAnsi" w:cstheme="minorHAnsi"/>
          <w:sz w:val="24"/>
          <w:szCs w:val="24"/>
        </w:rPr>
        <w:t xml:space="preserve">is considered as a </w:t>
      </w:r>
      <w:r w:rsidRPr="006747C9">
        <w:rPr>
          <w:rFonts w:asciiTheme="minorHAnsi" w:hAnsiTheme="minorHAnsi" w:cstheme="minorHAnsi"/>
          <w:sz w:val="24"/>
          <w:szCs w:val="24"/>
        </w:rPr>
        <w:t>near market comparator</w:t>
      </w:r>
      <w:r w:rsidR="00C62E85">
        <w:rPr>
          <w:rFonts w:asciiTheme="minorHAnsi" w:hAnsiTheme="minorHAnsi" w:cstheme="minorHAnsi"/>
          <w:sz w:val="24"/>
          <w:szCs w:val="24"/>
        </w:rPr>
        <w:t xml:space="preserve"> for </w:t>
      </w:r>
      <w:r w:rsidR="00F130F7">
        <w:rPr>
          <w:rFonts w:asciiTheme="minorHAnsi" w:hAnsiTheme="minorHAnsi" w:cstheme="minorHAnsi"/>
          <w:sz w:val="24"/>
          <w:szCs w:val="24"/>
        </w:rPr>
        <w:t xml:space="preserve">RRMM after at least one prior therapy (i.e., </w:t>
      </w:r>
      <w:proofErr w:type="gramStart"/>
      <w:r w:rsidR="00F130F7">
        <w:rPr>
          <w:rFonts w:asciiTheme="minorHAnsi" w:hAnsiTheme="minorHAnsi" w:cstheme="minorHAnsi"/>
          <w:sz w:val="24"/>
          <w:szCs w:val="24"/>
        </w:rPr>
        <w:t>second-line</w:t>
      </w:r>
      <w:proofErr w:type="gramEnd"/>
      <w:r w:rsidR="00F130F7">
        <w:rPr>
          <w:rFonts w:asciiTheme="minorHAnsi" w:hAnsiTheme="minorHAnsi" w:cstheme="minorHAnsi"/>
          <w:sz w:val="24"/>
          <w:szCs w:val="24"/>
        </w:rPr>
        <w:t xml:space="preserve"> plus)</w:t>
      </w:r>
      <w:r w:rsidRPr="006747C9">
        <w:rPr>
          <w:rFonts w:asciiTheme="minorHAnsi" w:hAnsiTheme="minorHAnsi" w:cstheme="minorHAnsi"/>
          <w:sz w:val="24"/>
          <w:szCs w:val="24"/>
        </w:rPr>
        <w:t>.</w:t>
      </w:r>
      <w:r w:rsidR="00F130F7">
        <w:rPr>
          <w:rFonts w:asciiTheme="minorHAnsi" w:hAnsiTheme="minorHAnsi" w:cstheme="minorHAnsi"/>
          <w:sz w:val="24"/>
          <w:szCs w:val="24"/>
        </w:rPr>
        <w:t xml:space="preserve"> </w:t>
      </w:r>
      <w:proofErr w:type="spellStart"/>
      <w:r w:rsidR="00F130F7">
        <w:rPr>
          <w:rFonts w:asciiTheme="minorHAnsi" w:hAnsiTheme="minorHAnsi" w:cstheme="minorHAnsi"/>
          <w:sz w:val="24"/>
          <w:szCs w:val="24"/>
        </w:rPr>
        <w:t>Belantamab</w:t>
      </w:r>
      <w:proofErr w:type="spellEnd"/>
      <w:r w:rsidR="00F130F7">
        <w:rPr>
          <w:rFonts w:asciiTheme="minorHAnsi" w:hAnsiTheme="minorHAnsi" w:cstheme="minorHAnsi"/>
          <w:sz w:val="24"/>
          <w:szCs w:val="24"/>
        </w:rPr>
        <w:t xml:space="preserve"> </w:t>
      </w:r>
      <w:r w:rsidR="007B3F17">
        <w:rPr>
          <w:rFonts w:asciiTheme="minorHAnsi" w:hAnsiTheme="minorHAnsi" w:cstheme="minorHAnsi"/>
          <w:sz w:val="24"/>
          <w:szCs w:val="24"/>
        </w:rPr>
        <w:t xml:space="preserve">was not recommended by the PBAC in November 2025 for second-line only </w:t>
      </w:r>
      <w:proofErr w:type="gramStart"/>
      <w:r w:rsidR="007B3F17">
        <w:rPr>
          <w:rFonts w:asciiTheme="minorHAnsi" w:hAnsiTheme="minorHAnsi" w:cstheme="minorHAnsi"/>
          <w:sz w:val="24"/>
          <w:szCs w:val="24"/>
        </w:rPr>
        <w:t>MM, but</w:t>
      </w:r>
      <w:proofErr w:type="gramEnd"/>
      <w:r w:rsidR="007B3F17">
        <w:rPr>
          <w:rFonts w:asciiTheme="minorHAnsi" w:hAnsiTheme="minorHAnsi" w:cstheme="minorHAnsi"/>
          <w:sz w:val="24"/>
          <w:szCs w:val="24"/>
        </w:rPr>
        <w:t xml:space="preserve"> is being reconsidered by the PBAC in July 2026 for RRMM after at least one prior therapy.</w:t>
      </w:r>
      <w:r w:rsidR="007102D3">
        <w:rPr>
          <w:rFonts w:asciiTheme="minorHAnsi" w:hAnsiTheme="minorHAnsi" w:cstheme="minorHAnsi"/>
          <w:sz w:val="24"/>
          <w:szCs w:val="24"/>
        </w:rPr>
        <w:t xml:space="preserve"> At the time of this application, the PBAC outcome was not known.</w:t>
      </w:r>
      <w:r w:rsidR="00D35D09">
        <w:rPr>
          <w:rFonts w:asciiTheme="minorHAnsi" w:hAnsiTheme="minorHAnsi" w:cstheme="minorHAnsi"/>
          <w:sz w:val="24"/>
          <w:szCs w:val="24"/>
        </w:rPr>
        <w:t xml:space="preserve"> Similar, to cilta-cel, </w:t>
      </w:r>
      <w:proofErr w:type="spellStart"/>
      <w:r w:rsidR="00961848">
        <w:rPr>
          <w:rFonts w:asciiTheme="minorHAnsi" w:hAnsiTheme="minorHAnsi" w:cstheme="minorHAnsi"/>
          <w:sz w:val="24"/>
          <w:szCs w:val="24"/>
        </w:rPr>
        <w:t>b</w:t>
      </w:r>
      <w:r w:rsidR="00D35D09">
        <w:rPr>
          <w:rFonts w:asciiTheme="minorHAnsi" w:hAnsiTheme="minorHAnsi" w:cstheme="minorHAnsi"/>
          <w:sz w:val="24"/>
          <w:szCs w:val="24"/>
        </w:rPr>
        <w:t>elantamab</w:t>
      </w:r>
      <w:proofErr w:type="spellEnd"/>
      <w:r w:rsidR="00D35D09">
        <w:rPr>
          <w:rFonts w:asciiTheme="minorHAnsi" w:hAnsiTheme="minorHAnsi" w:cstheme="minorHAnsi"/>
          <w:sz w:val="24"/>
          <w:szCs w:val="24"/>
        </w:rPr>
        <w:t xml:space="preserve"> is a BCMA directed therapy.</w:t>
      </w:r>
    </w:p>
    <w:p w14:paraId="7461255E" w14:textId="71F840EA" w:rsidR="00D44AD1" w:rsidRPr="00F849F2" w:rsidRDefault="005B5A58"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 xml:space="preserve">Pattern of substitution – Will the proposed health technology wholly replace the proposed comparator, partially replace </w:t>
      </w:r>
      <w:r w:rsidR="000627EF" w:rsidRPr="00F849F2">
        <w:rPr>
          <w:rFonts w:asciiTheme="minorHAnsi" w:hAnsiTheme="minorHAnsi" w:cstheme="minorHAnsi"/>
          <w:b/>
          <w:bCs/>
          <w:sz w:val="24"/>
          <w:szCs w:val="24"/>
        </w:rPr>
        <w:t>the proposed comparator, displace the proposed comparator or be used in combination with the proposed comparator?</w:t>
      </w:r>
      <w:r w:rsidR="00DB2D53" w:rsidRPr="00F849F2">
        <w:rPr>
          <w:rFonts w:asciiTheme="minorHAnsi" w:hAnsiTheme="minorHAnsi" w:cstheme="minorHAnsi"/>
          <w:b/>
          <w:bCs/>
          <w:sz w:val="24"/>
          <w:szCs w:val="24"/>
        </w:rPr>
        <w:t xml:space="preserve"> </w:t>
      </w:r>
    </w:p>
    <w:p w14:paraId="229BD1AA" w14:textId="4BDA9E01" w:rsidR="001E1797" w:rsidRPr="00F849F2" w:rsidRDefault="000F19BA"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attern of substitution None (used with the comparator) "/>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1E1797" w:rsidRPr="00F849F2">
        <w:rPr>
          <w:rFonts w:asciiTheme="minorHAnsi" w:hAnsiTheme="minorHAnsi" w:cstheme="minorHAnsi"/>
          <w:sz w:val="24"/>
          <w:szCs w:val="24"/>
        </w:rPr>
        <w:t xml:space="preserve"> None (used with the comparator) </w:t>
      </w:r>
    </w:p>
    <w:p w14:paraId="4EC71EF4" w14:textId="4760EAB1" w:rsidR="001E1797" w:rsidRPr="00F849F2" w:rsidRDefault="000F19BA"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Pattern of substitution Displaced (comparator will likely be used following the proposed technology in some patients)"/>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1E1797" w:rsidRPr="00F849F2">
        <w:rPr>
          <w:rFonts w:asciiTheme="minorHAnsi" w:hAnsiTheme="minorHAnsi" w:cstheme="minorHAnsi"/>
          <w:sz w:val="24"/>
          <w:szCs w:val="24"/>
        </w:rPr>
        <w:t xml:space="preserve"> Displaced (comparator will likely be used following the proposed technology in some patients)</w:t>
      </w:r>
    </w:p>
    <w:p w14:paraId="47FB5952" w14:textId="3EC2BB90" w:rsidR="001E1797" w:rsidRPr="00F849F2" w:rsidRDefault="00AC416D" w:rsidP="007520A6">
      <w:pPr>
        <w:pStyle w:val="Tickboxes"/>
        <w:jc w:val="both"/>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statusText w:type="text" w:val="Pattern of substitution Partial (in some cases, the proposed technology will replace the use of the comparator, but not all) "/>
            <w:checkBox>
              <w:sizeAuto/>
              <w:default w:val="1"/>
            </w:checkBox>
          </w:ffData>
        </w:fldChar>
      </w:r>
      <w:r>
        <w:rPr>
          <w:rFonts w:asciiTheme="minorHAnsi" w:hAnsiTheme="minorHAnsi" w:cstheme="minorHAnsi"/>
          <w:sz w:val="24"/>
          <w:szCs w:val="24"/>
        </w:rPr>
        <w:instrText xml:space="preserve"> FORMCHECKBOX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sz w:val="24"/>
          <w:szCs w:val="24"/>
        </w:rPr>
        <w:fldChar w:fldCharType="end"/>
      </w:r>
      <w:r w:rsidR="001E1797" w:rsidRPr="00F849F2">
        <w:rPr>
          <w:rFonts w:asciiTheme="minorHAnsi" w:hAnsiTheme="minorHAnsi" w:cstheme="minorHAnsi"/>
          <w:sz w:val="24"/>
          <w:szCs w:val="24"/>
        </w:rPr>
        <w:t xml:space="preserve"> Partial (in some cases, the proposed technology will replace the use of the comparator, but not all) </w:t>
      </w:r>
    </w:p>
    <w:p w14:paraId="32AA0FD6" w14:textId="4FEF1AA5" w:rsidR="000627EF" w:rsidRPr="00F849F2" w:rsidRDefault="00446FEB" w:rsidP="007520A6">
      <w:pPr>
        <w:pStyle w:val="Tickboxes"/>
        <w:jc w:val="both"/>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statusText w:type="text" w:val="Pattern of substitution Full (subjects who receive the proposed intervention will not receive the comparator)"/>
            <w:checkBox>
              <w:sizeAuto/>
              <w:default w:val="1"/>
            </w:checkBox>
          </w:ffData>
        </w:fldChar>
      </w:r>
      <w:r>
        <w:rPr>
          <w:rFonts w:asciiTheme="minorHAnsi" w:hAnsiTheme="minorHAnsi" w:cstheme="minorHAnsi"/>
          <w:sz w:val="24"/>
          <w:szCs w:val="24"/>
        </w:rPr>
        <w:instrText xml:space="preserve"> FORMCHECKBOX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sz w:val="24"/>
          <w:szCs w:val="24"/>
        </w:rPr>
        <w:fldChar w:fldCharType="end"/>
      </w:r>
      <w:r w:rsidR="001E1797" w:rsidRPr="00F849F2">
        <w:rPr>
          <w:rFonts w:asciiTheme="minorHAnsi" w:hAnsiTheme="minorHAnsi" w:cstheme="minorHAnsi"/>
          <w:sz w:val="24"/>
          <w:szCs w:val="24"/>
        </w:rPr>
        <w:t xml:space="preserve"> Full (subjects who receive the proposed intervention will not receive the comparator)</w:t>
      </w:r>
    </w:p>
    <w:p w14:paraId="3D9A6633" w14:textId="205E0066" w:rsidR="000627EF" w:rsidRPr="00F849F2" w:rsidRDefault="00D44AD1"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lastRenderedPageBreak/>
        <w:t>O</w:t>
      </w:r>
      <w:r w:rsidR="000627EF" w:rsidRPr="00F849F2">
        <w:rPr>
          <w:rFonts w:asciiTheme="minorHAnsi" w:hAnsiTheme="minorHAnsi" w:cstheme="minorHAnsi"/>
          <w:b/>
          <w:bCs/>
          <w:sz w:val="24"/>
          <w:szCs w:val="24"/>
        </w:rPr>
        <w:t>utline and explain the extent to which the current comparator is expected to be substituted:</w:t>
      </w:r>
    </w:p>
    <w:p w14:paraId="21229744" w14:textId="3EBFA2F7" w:rsidR="00985071" w:rsidRPr="00BD4662" w:rsidRDefault="00991472" w:rsidP="00985071">
      <w:pPr>
        <w:jc w:val="both"/>
        <w:rPr>
          <w:rFonts w:asciiTheme="minorHAnsi" w:hAnsiTheme="minorHAnsi" w:cstheme="minorHAnsi"/>
          <w:sz w:val="24"/>
          <w:szCs w:val="24"/>
        </w:rPr>
      </w:pPr>
      <w:r w:rsidRPr="00636BD3">
        <w:rPr>
          <w:rFonts w:asciiTheme="minorHAnsi" w:hAnsiTheme="minorHAnsi" w:cstheme="minorHAnsi"/>
          <w:sz w:val="24"/>
          <w:szCs w:val="24"/>
        </w:rPr>
        <w:t xml:space="preserve">As cilta-cel is a one-off, safe and </w:t>
      </w:r>
      <w:r w:rsidR="00636BD3" w:rsidRPr="00636BD3">
        <w:rPr>
          <w:rFonts w:asciiTheme="minorHAnsi" w:hAnsiTheme="minorHAnsi" w:cstheme="minorHAnsi"/>
          <w:sz w:val="24"/>
          <w:szCs w:val="24"/>
        </w:rPr>
        <w:t xml:space="preserve">superior in efficacy therapy relative to standard of care </w:t>
      </w:r>
      <w:r w:rsidR="00023A5B">
        <w:rPr>
          <w:rFonts w:asciiTheme="minorHAnsi" w:hAnsiTheme="minorHAnsi" w:cstheme="minorHAnsi"/>
          <w:sz w:val="24"/>
          <w:szCs w:val="24"/>
        </w:rPr>
        <w:t>for</w:t>
      </w:r>
      <w:r w:rsidR="00636BD3" w:rsidRPr="00636BD3">
        <w:rPr>
          <w:rFonts w:asciiTheme="minorHAnsi" w:hAnsiTheme="minorHAnsi" w:cstheme="minorHAnsi"/>
          <w:sz w:val="24"/>
          <w:szCs w:val="24"/>
        </w:rPr>
        <w:t xml:space="preserve"> 2L+ MM, clinicians will want to use it at the earliest opportunity.</w:t>
      </w:r>
      <w:r w:rsidR="00BF52C5">
        <w:rPr>
          <w:rFonts w:asciiTheme="minorHAnsi" w:hAnsiTheme="minorHAnsi" w:cstheme="minorHAnsi"/>
          <w:sz w:val="24"/>
          <w:szCs w:val="24"/>
        </w:rPr>
        <w:t xml:space="preserve"> </w:t>
      </w:r>
      <w:r w:rsidR="00985071">
        <w:rPr>
          <w:rFonts w:asciiTheme="minorHAnsi" w:hAnsiTheme="minorHAnsi" w:cstheme="minorHAnsi"/>
          <w:sz w:val="24"/>
          <w:szCs w:val="24"/>
        </w:rPr>
        <w:t>D</w:t>
      </w:r>
      <w:r w:rsidR="00985071" w:rsidRPr="00BD4662">
        <w:rPr>
          <w:rFonts w:asciiTheme="minorHAnsi" w:hAnsiTheme="minorHAnsi" w:cstheme="minorHAnsi"/>
          <w:sz w:val="24"/>
          <w:szCs w:val="24"/>
        </w:rPr>
        <w:t>espite high efficacy of cilta-cel for 2L+ MM as shown in CARTITUDE-4, not all patients will be eligible or be able to tolerate cilta-cel, so it will only partially replace the nominated comparator</w:t>
      </w:r>
      <w:r w:rsidR="00985071">
        <w:rPr>
          <w:rFonts w:asciiTheme="minorHAnsi" w:hAnsiTheme="minorHAnsi" w:cstheme="minorHAnsi"/>
          <w:sz w:val="24"/>
          <w:szCs w:val="24"/>
        </w:rPr>
        <w:t>s</w:t>
      </w:r>
      <w:r w:rsidR="00985071" w:rsidRPr="00BD4662">
        <w:rPr>
          <w:rFonts w:asciiTheme="minorHAnsi" w:hAnsiTheme="minorHAnsi" w:cstheme="minorHAnsi"/>
          <w:sz w:val="24"/>
          <w:szCs w:val="24"/>
        </w:rPr>
        <w:t xml:space="preserve">. </w:t>
      </w:r>
      <w:r w:rsidR="00985071">
        <w:rPr>
          <w:rFonts w:asciiTheme="minorHAnsi" w:hAnsiTheme="minorHAnsi" w:cstheme="minorHAnsi"/>
          <w:sz w:val="24"/>
          <w:szCs w:val="24"/>
        </w:rPr>
        <w:t>Suitability and u</w:t>
      </w:r>
      <w:r w:rsidR="00985071" w:rsidRPr="00BD4662">
        <w:rPr>
          <w:rFonts w:asciiTheme="minorHAnsi" w:hAnsiTheme="minorHAnsi" w:cstheme="minorHAnsi"/>
          <w:sz w:val="24"/>
          <w:szCs w:val="24"/>
        </w:rPr>
        <w:t>ptake of cilta-cel will</w:t>
      </w:r>
      <w:r w:rsidR="00985071">
        <w:rPr>
          <w:rFonts w:asciiTheme="minorHAnsi" w:hAnsiTheme="minorHAnsi" w:cstheme="minorHAnsi"/>
          <w:sz w:val="24"/>
          <w:szCs w:val="24"/>
        </w:rPr>
        <w:t xml:space="preserve"> also</w:t>
      </w:r>
      <w:r w:rsidR="00985071" w:rsidRPr="00BD4662">
        <w:rPr>
          <w:rFonts w:asciiTheme="minorHAnsi" w:hAnsiTheme="minorHAnsi" w:cstheme="minorHAnsi"/>
          <w:sz w:val="24"/>
          <w:szCs w:val="24"/>
        </w:rPr>
        <w:t xml:space="preserve"> be moderated by the fact that:</w:t>
      </w:r>
    </w:p>
    <w:p w14:paraId="4711D25C" w14:textId="77777777" w:rsidR="00985071" w:rsidRDefault="00985071" w:rsidP="00985071">
      <w:pPr>
        <w:pStyle w:val="ListParagraph"/>
        <w:numPr>
          <w:ilvl w:val="0"/>
          <w:numId w:val="5"/>
        </w:numPr>
        <w:jc w:val="both"/>
        <w:rPr>
          <w:rFonts w:asciiTheme="minorHAnsi" w:hAnsiTheme="minorHAnsi" w:cstheme="minorHAnsi"/>
          <w:sz w:val="24"/>
          <w:szCs w:val="24"/>
        </w:rPr>
      </w:pPr>
      <w:r w:rsidRPr="00BD4662">
        <w:rPr>
          <w:rFonts w:asciiTheme="minorHAnsi" w:hAnsiTheme="minorHAnsi" w:cstheme="minorHAnsi"/>
          <w:sz w:val="24"/>
          <w:szCs w:val="24"/>
        </w:rPr>
        <w:t>Only patients who have received a PI and IMiD, and lenalidomide refractory can receive cilta-cel as per the CARTITUDE-4 population. However, this is expected to be most</w:t>
      </w:r>
      <w:r>
        <w:rPr>
          <w:rFonts w:asciiTheme="minorHAnsi" w:hAnsiTheme="minorHAnsi" w:cstheme="minorHAnsi"/>
          <w:sz w:val="24"/>
          <w:szCs w:val="24"/>
        </w:rPr>
        <w:t>, if not all,</w:t>
      </w:r>
      <w:r w:rsidRPr="00BD4662">
        <w:rPr>
          <w:rFonts w:asciiTheme="minorHAnsi" w:hAnsiTheme="minorHAnsi" w:cstheme="minorHAnsi"/>
          <w:sz w:val="24"/>
          <w:szCs w:val="24"/>
        </w:rPr>
        <w:t xml:space="preserve"> patients </w:t>
      </w:r>
      <w:r>
        <w:rPr>
          <w:rFonts w:asciiTheme="minorHAnsi" w:hAnsiTheme="minorHAnsi" w:cstheme="minorHAnsi"/>
          <w:sz w:val="24"/>
          <w:szCs w:val="24"/>
        </w:rPr>
        <w:t>at</w:t>
      </w:r>
      <w:r w:rsidRPr="00BD4662">
        <w:rPr>
          <w:rFonts w:asciiTheme="minorHAnsi" w:hAnsiTheme="minorHAnsi" w:cstheme="minorHAnsi"/>
          <w:sz w:val="24"/>
          <w:szCs w:val="24"/>
        </w:rPr>
        <w:t xml:space="preserve"> 2L+ MM </w:t>
      </w:r>
      <w:r>
        <w:rPr>
          <w:rFonts w:asciiTheme="minorHAnsi" w:hAnsiTheme="minorHAnsi" w:cstheme="minorHAnsi"/>
          <w:sz w:val="24"/>
          <w:szCs w:val="24"/>
        </w:rPr>
        <w:t xml:space="preserve">in Australia </w:t>
      </w:r>
      <w:r w:rsidRPr="00BD4662">
        <w:rPr>
          <w:rFonts w:asciiTheme="minorHAnsi" w:hAnsiTheme="minorHAnsi" w:cstheme="minorHAnsi"/>
          <w:sz w:val="24"/>
          <w:szCs w:val="24"/>
        </w:rPr>
        <w:t>due to current</w:t>
      </w:r>
      <w:r>
        <w:rPr>
          <w:rFonts w:asciiTheme="minorHAnsi" w:hAnsiTheme="minorHAnsi" w:cstheme="minorHAnsi"/>
          <w:sz w:val="24"/>
          <w:szCs w:val="24"/>
        </w:rPr>
        <w:t xml:space="preserve"> PBS</w:t>
      </w:r>
      <w:r w:rsidRPr="00BD4662">
        <w:rPr>
          <w:rFonts w:asciiTheme="minorHAnsi" w:hAnsiTheme="minorHAnsi" w:cstheme="minorHAnsi"/>
          <w:sz w:val="24"/>
          <w:szCs w:val="24"/>
        </w:rPr>
        <w:t xml:space="preserve"> clinical practice.</w:t>
      </w:r>
    </w:p>
    <w:p w14:paraId="11BFF847" w14:textId="77777777" w:rsidR="00985071" w:rsidRPr="00BD4662" w:rsidRDefault="00985071" w:rsidP="00985071">
      <w:pPr>
        <w:pStyle w:val="ListParagraph"/>
        <w:numPr>
          <w:ilvl w:val="0"/>
          <w:numId w:val="5"/>
        </w:numPr>
        <w:jc w:val="both"/>
        <w:rPr>
          <w:rFonts w:asciiTheme="minorHAnsi" w:hAnsiTheme="minorHAnsi" w:cstheme="minorHAnsi"/>
          <w:sz w:val="24"/>
          <w:szCs w:val="24"/>
        </w:rPr>
      </w:pPr>
      <w:r>
        <w:rPr>
          <w:rFonts w:asciiTheme="minorHAnsi" w:hAnsiTheme="minorHAnsi" w:cstheme="minorHAnsi"/>
          <w:sz w:val="24"/>
          <w:szCs w:val="24"/>
        </w:rPr>
        <w:t xml:space="preserve">Cilta-cel for 2L+ MM is proposed to be used in patients who are naïve to a BCMA directed therapy as aligned to the CARTITUDE-4 population. However, there are no BCMA directed therapies currently reimbursed in 2L or 3L MM in Australia, so the impact of </w:t>
      </w:r>
      <w:proofErr w:type="gramStart"/>
      <w:r>
        <w:rPr>
          <w:rFonts w:asciiTheme="minorHAnsi" w:hAnsiTheme="minorHAnsi" w:cstheme="minorHAnsi"/>
          <w:sz w:val="24"/>
          <w:szCs w:val="24"/>
        </w:rPr>
        <w:t>this criteria</w:t>
      </w:r>
      <w:proofErr w:type="gramEnd"/>
      <w:r>
        <w:rPr>
          <w:rFonts w:asciiTheme="minorHAnsi" w:hAnsiTheme="minorHAnsi" w:cstheme="minorHAnsi"/>
          <w:sz w:val="24"/>
          <w:szCs w:val="24"/>
        </w:rPr>
        <w:t xml:space="preserve"> will be limited based on currently available therapies.</w:t>
      </w:r>
    </w:p>
    <w:p w14:paraId="0CA48201" w14:textId="77777777" w:rsidR="00985071" w:rsidRDefault="00985071" w:rsidP="00985071">
      <w:pPr>
        <w:pStyle w:val="ListParagraph"/>
        <w:numPr>
          <w:ilvl w:val="0"/>
          <w:numId w:val="5"/>
        </w:numPr>
        <w:jc w:val="both"/>
        <w:rPr>
          <w:rFonts w:asciiTheme="minorHAnsi" w:hAnsiTheme="minorHAnsi" w:cstheme="minorHAnsi"/>
          <w:sz w:val="24"/>
          <w:szCs w:val="24"/>
        </w:rPr>
      </w:pPr>
      <w:r w:rsidRPr="00346390">
        <w:rPr>
          <w:rFonts w:asciiTheme="minorHAnsi" w:hAnsiTheme="minorHAnsi" w:cstheme="minorHAnsi"/>
          <w:sz w:val="24"/>
          <w:szCs w:val="24"/>
        </w:rPr>
        <w:t>Only a portion of patients will be able to tolerate or be fit enough for treatment and can travel to the treatment site which may be interstate.</w:t>
      </w:r>
      <w:r>
        <w:rPr>
          <w:rFonts w:asciiTheme="minorHAnsi" w:hAnsiTheme="minorHAnsi" w:cstheme="minorHAnsi"/>
          <w:sz w:val="24"/>
          <w:szCs w:val="24"/>
        </w:rPr>
        <w:t xml:space="preserve"> However, as the requested population in this application</w:t>
      </w:r>
      <w:r w:rsidRPr="003E26BA">
        <w:rPr>
          <w:rFonts w:asciiTheme="minorHAnsi" w:hAnsiTheme="minorHAnsi" w:cstheme="minorHAnsi"/>
          <w:sz w:val="24"/>
          <w:szCs w:val="24"/>
        </w:rPr>
        <w:t xml:space="preserve"> </w:t>
      </w:r>
      <w:r>
        <w:rPr>
          <w:rFonts w:asciiTheme="minorHAnsi" w:hAnsiTheme="minorHAnsi" w:cstheme="minorHAnsi"/>
          <w:sz w:val="24"/>
          <w:szCs w:val="24"/>
        </w:rPr>
        <w:t>is 2L+MM, the proportion of patients who will be able to tolerate cilta-cel therapy will be higher relative to the previous application for cilta-cel, which was in a late-line 5L+ MM setting.</w:t>
      </w:r>
    </w:p>
    <w:p w14:paraId="1E1C1B69" w14:textId="77777777" w:rsidR="00985071" w:rsidRPr="00346390" w:rsidRDefault="00985071" w:rsidP="00985071">
      <w:pPr>
        <w:pStyle w:val="ListParagraph"/>
        <w:numPr>
          <w:ilvl w:val="0"/>
          <w:numId w:val="5"/>
        </w:numPr>
        <w:jc w:val="both"/>
        <w:rPr>
          <w:rFonts w:asciiTheme="minorHAnsi" w:hAnsiTheme="minorHAnsi" w:cstheme="minorHAnsi"/>
          <w:sz w:val="24"/>
          <w:szCs w:val="24"/>
        </w:rPr>
      </w:pPr>
      <w:r>
        <w:rPr>
          <w:rFonts w:asciiTheme="minorHAnsi" w:hAnsiTheme="minorHAnsi" w:cstheme="minorHAnsi"/>
          <w:sz w:val="24"/>
          <w:szCs w:val="24"/>
        </w:rPr>
        <w:t>As several CARTs are now funded by the NHRA, and this application is for a 2L+ MM, it will mean that the use of cilta-cel in this setting will also be influenced by the capacity of accredited sites who can deliver highly specialised therapies (HSTs). However, it is expected that the number of accredited sites will continue to increase over time. Thus, increasing overall capacity to treatment patients with CAR-T, including cilta-cel in the proposed population.</w:t>
      </w:r>
    </w:p>
    <w:p w14:paraId="3C82CED7" w14:textId="72AA1171" w:rsidR="00985071" w:rsidRPr="006761E5" w:rsidRDefault="00985071" w:rsidP="00D50A2E">
      <w:pPr>
        <w:jc w:val="both"/>
        <w:rPr>
          <w:rFonts w:asciiTheme="minorHAnsi" w:hAnsiTheme="minorHAnsi" w:cstheme="minorHAnsi"/>
          <w:i/>
          <w:iCs/>
          <w:sz w:val="24"/>
          <w:szCs w:val="24"/>
        </w:rPr>
      </w:pPr>
      <w:proofErr w:type="gramStart"/>
      <w:r w:rsidRPr="006761E5">
        <w:rPr>
          <w:rFonts w:asciiTheme="minorHAnsi" w:hAnsiTheme="minorHAnsi" w:cstheme="minorHAnsi"/>
          <w:i/>
          <w:iCs/>
          <w:sz w:val="24"/>
          <w:szCs w:val="24"/>
        </w:rPr>
        <w:t>Partial</w:t>
      </w:r>
      <w:proofErr w:type="gramEnd"/>
      <w:r w:rsidRPr="006761E5">
        <w:rPr>
          <w:rFonts w:asciiTheme="minorHAnsi" w:hAnsiTheme="minorHAnsi" w:cstheme="minorHAnsi"/>
          <w:i/>
          <w:iCs/>
          <w:sz w:val="24"/>
          <w:szCs w:val="24"/>
        </w:rPr>
        <w:t xml:space="preserve"> replace of 2L daratumumab</w:t>
      </w:r>
    </w:p>
    <w:p w14:paraId="46318BF8" w14:textId="02958030" w:rsidR="00061FCE" w:rsidRDefault="004C6470" w:rsidP="00D50A2E">
      <w:pPr>
        <w:jc w:val="both"/>
        <w:rPr>
          <w:rFonts w:asciiTheme="minorHAnsi" w:hAnsiTheme="minorHAnsi" w:cstheme="minorHAnsi"/>
          <w:sz w:val="24"/>
          <w:szCs w:val="24"/>
        </w:rPr>
      </w:pPr>
      <w:r>
        <w:rPr>
          <w:rFonts w:asciiTheme="minorHAnsi" w:hAnsiTheme="minorHAnsi" w:cstheme="minorHAnsi"/>
          <w:sz w:val="24"/>
          <w:szCs w:val="24"/>
        </w:rPr>
        <w:t>I</w:t>
      </w:r>
      <w:r w:rsidR="00985071">
        <w:rPr>
          <w:rFonts w:asciiTheme="minorHAnsi" w:hAnsiTheme="minorHAnsi" w:cstheme="minorHAnsi"/>
          <w:sz w:val="24"/>
          <w:szCs w:val="24"/>
        </w:rPr>
        <w:t xml:space="preserve">f </w:t>
      </w:r>
      <w:r w:rsidR="005809C8">
        <w:rPr>
          <w:rFonts w:asciiTheme="minorHAnsi" w:hAnsiTheme="minorHAnsi" w:cstheme="minorHAnsi"/>
          <w:sz w:val="24"/>
          <w:szCs w:val="24"/>
        </w:rPr>
        <w:t>a</w:t>
      </w:r>
      <w:r w:rsidR="00C805A4">
        <w:rPr>
          <w:rFonts w:asciiTheme="minorHAnsi" w:hAnsiTheme="minorHAnsi" w:cstheme="minorHAnsi"/>
          <w:sz w:val="24"/>
          <w:szCs w:val="24"/>
        </w:rPr>
        <w:t xml:space="preserve"> 2L MM</w:t>
      </w:r>
      <w:r w:rsidR="005809C8">
        <w:rPr>
          <w:rFonts w:asciiTheme="minorHAnsi" w:hAnsiTheme="minorHAnsi" w:cstheme="minorHAnsi"/>
          <w:sz w:val="24"/>
          <w:szCs w:val="24"/>
        </w:rPr>
        <w:t xml:space="preserve"> patient is treated with cilta-cel, </w:t>
      </w:r>
      <w:r w:rsidR="00F16EEB">
        <w:rPr>
          <w:rFonts w:asciiTheme="minorHAnsi" w:hAnsiTheme="minorHAnsi" w:cstheme="minorHAnsi"/>
          <w:sz w:val="24"/>
          <w:szCs w:val="24"/>
        </w:rPr>
        <w:t>clinicians and patients</w:t>
      </w:r>
      <w:r w:rsidR="005809C8">
        <w:rPr>
          <w:rFonts w:asciiTheme="minorHAnsi" w:hAnsiTheme="minorHAnsi" w:cstheme="minorHAnsi"/>
          <w:sz w:val="24"/>
          <w:szCs w:val="24"/>
        </w:rPr>
        <w:t xml:space="preserve"> will not be able to access daratumumab on the PBS if their MM progresses</w:t>
      </w:r>
      <w:r w:rsidR="00F16EEB">
        <w:rPr>
          <w:rFonts w:asciiTheme="minorHAnsi" w:hAnsiTheme="minorHAnsi" w:cstheme="minorHAnsi"/>
          <w:sz w:val="24"/>
          <w:szCs w:val="24"/>
        </w:rPr>
        <w:t>. This is because daratumumab</w:t>
      </w:r>
      <w:r w:rsidR="005809C8">
        <w:rPr>
          <w:rFonts w:asciiTheme="minorHAnsi" w:hAnsiTheme="minorHAnsi" w:cstheme="minorHAnsi"/>
          <w:sz w:val="24"/>
          <w:szCs w:val="24"/>
        </w:rPr>
        <w:t xml:space="preserve"> is not available for 3L+ MM on the PBS</w:t>
      </w:r>
      <w:r w:rsidR="001618F9">
        <w:rPr>
          <w:rFonts w:asciiTheme="minorHAnsi" w:hAnsiTheme="minorHAnsi" w:cstheme="minorHAnsi"/>
          <w:sz w:val="24"/>
          <w:szCs w:val="24"/>
        </w:rPr>
        <w:t xml:space="preserve"> (refer to ‘Algorithm’ section for further details)</w:t>
      </w:r>
      <w:r w:rsidR="005809C8">
        <w:rPr>
          <w:rFonts w:asciiTheme="minorHAnsi" w:hAnsiTheme="minorHAnsi" w:cstheme="minorHAnsi"/>
          <w:sz w:val="24"/>
          <w:szCs w:val="24"/>
        </w:rPr>
        <w:t xml:space="preserve">. </w:t>
      </w:r>
      <w:r w:rsidR="00061FCE">
        <w:rPr>
          <w:rFonts w:asciiTheme="minorHAnsi" w:hAnsiTheme="minorHAnsi" w:cstheme="minorHAnsi"/>
          <w:sz w:val="24"/>
          <w:szCs w:val="24"/>
        </w:rPr>
        <w:t xml:space="preserve">However, </w:t>
      </w:r>
      <w:r>
        <w:rPr>
          <w:rFonts w:asciiTheme="minorHAnsi" w:hAnsiTheme="minorHAnsi" w:cstheme="minorHAnsi"/>
          <w:sz w:val="24"/>
          <w:szCs w:val="24"/>
        </w:rPr>
        <w:t xml:space="preserve">as outlined </w:t>
      </w:r>
      <w:r w:rsidR="00BC4D79">
        <w:rPr>
          <w:rFonts w:asciiTheme="minorHAnsi" w:hAnsiTheme="minorHAnsi" w:cstheme="minorHAnsi"/>
          <w:sz w:val="24"/>
          <w:szCs w:val="24"/>
        </w:rPr>
        <w:t>in</w:t>
      </w:r>
      <w:r>
        <w:rPr>
          <w:rFonts w:asciiTheme="minorHAnsi" w:hAnsiTheme="minorHAnsi" w:cstheme="minorHAnsi"/>
          <w:sz w:val="24"/>
          <w:szCs w:val="24"/>
        </w:rPr>
        <w:t xml:space="preserve"> the above, </w:t>
      </w:r>
      <w:r w:rsidR="00061FCE">
        <w:rPr>
          <w:rFonts w:asciiTheme="minorHAnsi" w:hAnsiTheme="minorHAnsi" w:cstheme="minorHAnsi"/>
          <w:sz w:val="24"/>
          <w:szCs w:val="24"/>
        </w:rPr>
        <w:t xml:space="preserve">not all </w:t>
      </w:r>
      <w:r w:rsidR="00B92435">
        <w:rPr>
          <w:rFonts w:asciiTheme="minorHAnsi" w:hAnsiTheme="minorHAnsi" w:cstheme="minorHAnsi"/>
          <w:sz w:val="24"/>
          <w:szCs w:val="24"/>
        </w:rPr>
        <w:t xml:space="preserve">2L MM </w:t>
      </w:r>
      <w:r w:rsidR="00061FCE">
        <w:rPr>
          <w:rFonts w:asciiTheme="minorHAnsi" w:hAnsiTheme="minorHAnsi" w:cstheme="minorHAnsi"/>
          <w:sz w:val="24"/>
          <w:szCs w:val="24"/>
        </w:rPr>
        <w:t>patients will be eligible or be able to tolerate CAR-T therapy</w:t>
      </w:r>
      <w:r w:rsidR="00B92435">
        <w:rPr>
          <w:rFonts w:asciiTheme="minorHAnsi" w:hAnsiTheme="minorHAnsi" w:cstheme="minorHAnsi"/>
          <w:sz w:val="24"/>
          <w:szCs w:val="24"/>
        </w:rPr>
        <w:t xml:space="preserve">, which means that there will still be </w:t>
      </w:r>
      <w:r w:rsidR="004E6653">
        <w:rPr>
          <w:rFonts w:asciiTheme="minorHAnsi" w:hAnsiTheme="minorHAnsi" w:cstheme="minorHAnsi"/>
          <w:sz w:val="24"/>
          <w:szCs w:val="24"/>
        </w:rPr>
        <w:t xml:space="preserve">some </w:t>
      </w:r>
      <w:r w:rsidR="00336A5F">
        <w:rPr>
          <w:rFonts w:asciiTheme="minorHAnsi" w:hAnsiTheme="minorHAnsi" w:cstheme="minorHAnsi"/>
          <w:sz w:val="24"/>
          <w:szCs w:val="24"/>
        </w:rPr>
        <w:t>patients who will access daratumumab at 2L on the PBS</w:t>
      </w:r>
      <w:r w:rsidR="00BC4D79">
        <w:rPr>
          <w:rFonts w:asciiTheme="minorHAnsi" w:hAnsiTheme="minorHAnsi" w:cstheme="minorHAnsi"/>
          <w:sz w:val="24"/>
          <w:szCs w:val="24"/>
        </w:rPr>
        <w:t xml:space="preserve"> if cilta-cel is funded for 2L+ MM</w:t>
      </w:r>
      <w:r w:rsidR="004E6653">
        <w:rPr>
          <w:rFonts w:asciiTheme="minorHAnsi" w:hAnsiTheme="minorHAnsi" w:cstheme="minorHAnsi"/>
          <w:sz w:val="24"/>
          <w:szCs w:val="24"/>
        </w:rPr>
        <w:t>.</w:t>
      </w:r>
    </w:p>
    <w:p w14:paraId="320AEA04" w14:textId="7AD37590" w:rsidR="00985071" w:rsidRPr="006761E5" w:rsidRDefault="00985071" w:rsidP="00D50A2E">
      <w:pPr>
        <w:jc w:val="both"/>
        <w:rPr>
          <w:rFonts w:asciiTheme="minorHAnsi" w:hAnsiTheme="minorHAnsi" w:cstheme="minorHAnsi"/>
          <w:i/>
          <w:iCs/>
          <w:sz w:val="24"/>
          <w:szCs w:val="24"/>
        </w:rPr>
      </w:pPr>
      <w:r w:rsidRPr="006761E5">
        <w:rPr>
          <w:rFonts w:asciiTheme="minorHAnsi" w:hAnsiTheme="minorHAnsi" w:cstheme="minorHAnsi"/>
          <w:i/>
          <w:iCs/>
          <w:sz w:val="24"/>
          <w:szCs w:val="24"/>
        </w:rPr>
        <w:t xml:space="preserve">Partial replacement of </w:t>
      </w:r>
      <w:r w:rsidR="00336A5F" w:rsidRPr="006761E5">
        <w:rPr>
          <w:rFonts w:asciiTheme="minorHAnsi" w:hAnsiTheme="minorHAnsi" w:cstheme="minorHAnsi"/>
          <w:i/>
          <w:iCs/>
          <w:sz w:val="24"/>
          <w:szCs w:val="24"/>
        </w:rPr>
        <w:t>pomalidomide / carfilzomib</w:t>
      </w:r>
    </w:p>
    <w:p w14:paraId="07F396B8" w14:textId="728479FA" w:rsidR="00636BD3" w:rsidRPr="00636BD3" w:rsidRDefault="000D35C2" w:rsidP="00D50A2E">
      <w:pPr>
        <w:jc w:val="both"/>
        <w:rPr>
          <w:rFonts w:asciiTheme="minorHAnsi" w:hAnsiTheme="minorHAnsi" w:cstheme="minorHAnsi"/>
          <w:sz w:val="24"/>
          <w:szCs w:val="24"/>
        </w:rPr>
      </w:pPr>
      <w:r>
        <w:rPr>
          <w:rFonts w:asciiTheme="minorHAnsi" w:hAnsiTheme="minorHAnsi" w:cstheme="minorHAnsi"/>
          <w:sz w:val="24"/>
          <w:szCs w:val="24"/>
        </w:rPr>
        <w:t>Outside of the factors noted above, p</w:t>
      </w:r>
      <w:r w:rsidR="00F16EEB">
        <w:rPr>
          <w:rFonts w:asciiTheme="minorHAnsi" w:hAnsiTheme="minorHAnsi" w:cstheme="minorHAnsi"/>
          <w:sz w:val="24"/>
          <w:szCs w:val="24"/>
        </w:rPr>
        <w:t>atients are</w:t>
      </w:r>
      <w:r>
        <w:rPr>
          <w:rFonts w:asciiTheme="minorHAnsi" w:hAnsiTheme="minorHAnsi" w:cstheme="minorHAnsi"/>
          <w:sz w:val="24"/>
          <w:szCs w:val="24"/>
        </w:rPr>
        <w:t xml:space="preserve"> also</w:t>
      </w:r>
      <w:r w:rsidR="00F16EEB">
        <w:rPr>
          <w:rFonts w:asciiTheme="minorHAnsi" w:hAnsiTheme="minorHAnsi" w:cstheme="minorHAnsi"/>
          <w:sz w:val="24"/>
          <w:szCs w:val="24"/>
        </w:rPr>
        <w:t xml:space="preserve"> likely to be treated with either pomalidomide or carfilzomib</w:t>
      </w:r>
      <w:r w:rsidR="0003545B">
        <w:rPr>
          <w:rFonts w:asciiTheme="minorHAnsi" w:hAnsiTheme="minorHAnsi" w:cstheme="minorHAnsi"/>
          <w:sz w:val="24"/>
          <w:szCs w:val="24"/>
        </w:rPr>
        <w:t xml:space="preserve"> on the PBS</w:t>
      </w:r>
      <w:r w:rsidR="007C6D57">
        <w:rPr>
          <w:rFonts w:asciiTheme="minorHAnsi" w:hAnsiTheme="minorHAnsi" w:cstheme="minorHAnsi"/>
          <w:sz w:val="24"/>
          <w:szCs w:val="24"/>
        </w:rPr>
        <w:t xml:space="preserve"> as 3L</w:t>
      </w:r>
      <w:r w:rsidR="000C4988">
        <w:rPr>
          <w:rFonts w:asciiTheme="minorHAnsi" w:hAnsiTheme="minorHAnsi" w:cstheme="minorHAnsi"/>
          <w:sz w:val="24"/>
          <w:szCs w:val="24"/>
        </w:rPr>
        <w:t xml:space="preserve"> or 4L</w:t>
      </w:r>
      <w:r w:rsidR="007C6D57">
        <w:rPr>
          <w:rFonts w:asciiTheme="minorHAnsi" w:hAnsiTheme="minorHAnsi" w:cstheme="minorHAnsi"/>
          <w:sz w:val="24"/>
          <w:szCs w:val="24"/>
        </w:rPr>
        <w:t xml:space="preserve"> therapy</w:t>
      </w:r>
      <w:r w:rsidR="0003545B">
        <w:rPr>
          <w:rFonts w:asciiTheme="minorHAnsi" w:hAnsiTheme="minorHAnsi" w:cstheme="minorHAnsi"/>
          <w:sz w:val="24"/>
          <w:szCs w:val="24"/>
        </w:rPr>
        <w:t xml:space="preserve"> if their MM progresses after cilta-cel </w:t>
      </w:r>
      <w:r w:rsidR="000C4988">
        <w:rPr>
          <w:rFonts w:asciiTheme="minorHAnsi" w:hAnsiTheme="minorHAnsi" w:cstheme="minorHAnsi"/>
          <w:sz w:val="24"/>
          <w:szCs w:val="24"/>
        </w:rPr>
        <w:t xml:space="preserve">at 2L or 3L </w:t>
      </w:r>
      <w:r w:rsidR="0003545B">
        <w:rPr>
          <w:rFonts w:asciiTheme="minorHAnsi" w:hAnsiTheme="minorHAnsi" w:cstheme="minorHAnsi"/>
          <w:sz w:val="24"/>
          <w:szCs w:val="24"/>
        </w:rPr>
        <w:t>therapy</w:t>
      </w:r>
      <w:r w:rsidR="000C4988">
        <w:rPr>
          <w:rFonts w:asciiTheme="minorHAnsi" w:hAnsiTheme="minorHAnsi" w:cstheme="minorHAnsi"/>
          <w:sz w:val="24"/>
          <w:szCs w:val="24"/>
        </w:rPr>
        <w:t>, respectively</w:t>
      </w:r>
      <w:r w:rsidR="0003545B">
        <w:rPr>
          <w:rFonts w:asciiTheme="minorHAnsi" w:hAnsiTheme="minorHAnsi" w:cstheme="minorHAnsi"/>
          <w:sz w:val="24"/>
          <w:szCs w:val="24"/>
        </w:rPr>
        <w:t xml:space="preserve">. However, there </w:t>
      </w:r>
      <w:r w:rsidR="00D55A3F">
        <w:rPr>
          <w:rFonts w:asciiTheme="minorHAnsi" w:hAnsiTheme="minorHAnsi" w:cstheme="minorHAnsi"/>
          <w:sz w:val="24"/>
          <w:szCs w:val="24"/>
        </w:rPr>
        <w:t xml:space="preserve">are also patients who </w:t>
      </w:r>
      <w:r w:rsidR="00F30ACE">
        <w:rPr>
          <w:rFonts w:asciiTheme="minorHAnsi" w:hAnsiTheme="minorHAnsi" w:cstheme="minorHAnsi"/>
          <w:sz w:val="24"/>
          <w:szCs w:val="24"/>
        </w:rPr>
        <w:t>may not</w:t>
      </w:r>
      <w:r w:rsidR="00D55A3F">
        <w:rPr>
          <w:rFonts w:asciiTheme="minorHAnsi" w:hAnsiTheme="minorHAnsi" w:cstheme="minorHAnsi"/>
          <w:sz w:val="24"/>
          <w:szCs w:val="24"/>
        </w:rPr>
        <w:t xml:space="preserve"> require any subsequent treatment following cilta-cel because their MM </w:t>
      </w:r>
      <w:r w:rsidR="001451D2">
        <w:rPr>
          <w:rFonts w:asciiTheme="minorHAnsi" w:hAnsiTheme="minorHAnsi" w:cstheme="minorHAnsi"/>
          <w:sz w:val="24"/>
          <w:szCs w:val="24"/>
        </w:rPr>
        <w:t>has not progressed</w:t>
      </w:r>
      <w:r w:rsidR="00D55A3F">
        <w:rPr>
          <w:rFonts w:asciiTheme="minorHAnsi" w:hAnsiTheme="minorHAnsi" w:cstheme="minorHAnsi"/>
          <w:sz w:val="24"/>
          <w:szCs w:val="24"/>
        </w:rPr>
        <w:t>.</w:t>
      </w:r>
      <w:r w:rsidR="006E05BA">
        <w:rPr>
          <w:rFonts w:asciiTheme="minorHAnsi" w:hAnsiTheme="minorHAnsi" w:cstheme="minorHAnsi"/>
          <w:sz w:val="24"/>
          <w:szCs w:val="24"/>
        </w:rPr>
        <w:t xml:space="preserve"> Thus, highlighting that pomalidomide and carfilzomib will </w:t>
      </w:r>
      <w:r w:rsidR="00930318">
        <w:rPr>
          <w:rFonts w:asciiTheme="minorHAnsi" w:hAnsiTheme="minorHAnsi" w:cstheme="minorHAnsi"/>
          <w:sz w:val="24"/>
          <w:szCs w:val="24"/>
        </w:rPr>
        <w:t xml:space="preserve">only </w:t>
      </w:r>
      <w:r w:rsidR="006E05BA">
        <w:rPr>
          <w:rFonts w:asciiTheme="minorHAnsi" w:hAnsiTheme="minorHAnsi" w:cstheme="minorHAnsi"/>
          <w:sz w:val="24"/>
          <w:szCs w:val="24"/>
        </w:rPr>
        <w:t>be partially replaced in clinical practice by cilta-cel.</w:t>
      </w:r>
    </w:p>
    <w:p w14:paraId="527F0163" w14:textId="6F16B5D2" w:rsidR="0016065A" w:rsidRPr="00F849F2" w:rsidRDefault="0016065A" w:rsidP="007520A6">
      <w:pPr>
        <w:pStyle w:val="Heading1"/>
        <w:jc w:val="both"/>
        <w:rPr>
          <w:rFonts w:asciiTheme="minorHAnsi" w:hAnsiTheme="minorHAnsi" w:cstheme="minorHAnsi"/>
          <w:color w:val="002060"/>
        </w:rPr>
      </w:pPr>
      <w:r w:rsidRPr="00F849F2">
        <w:rPr>
          <w:rFonts w:asciiTheme="minorHAnsi" w:hAnsiTheme="minorHAnsi" w:cstheme="minorHAnsi"/>
          <w:color w:val="002060"/>
        </w:rPr>
        <w:t>Outcome</w:t>
      </w:r>
      <w:r w:rsidR="00770FA6" w:rsidRPr="00F849F2">
        <w:rPr>
          <w:rFonts w:asciiTheme="minorHAnsi" w:hAnsiTheme="minorHAnsi" w:cstheme="minorHAnsi"/>
          <w:color w:val="002060"/>
        </w:rPr>
        <w:t>s</w:t>
      </w:r>
    </w:p>
    <w:p w14:paraId="7DF00C74" w14:textId="169B115D" w:rsidR="004C02B7" w:rsidRPr="00F849F2" w:rsidRDefault="004C02B7"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List the key health outcomes (major and minor – prioritising major key health outcomes first) that will need to be measured in assessing the clinical claim for the proposed medical service/technology (versus the comparator):</w:t>
      </w:r>
    </w:p>
    <w:p w14:paraId="2BA09AC5" w14:textId="36EF0FAE" w:rsidR="004C02B7" w:rsidRPr="00F849F2" w:rsidRDefault="00DD4DFC" w:rsidP="007520A6">
      <w:pPr>
        <w:pStyle w:val="Tickboxes"/>
        <w:jc w:val="both"/>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statusText w:type="text" w:val="Health outcomes Health benefits "/>
            <w:checkBox>
              <w:sizeAuto/>
              <w:default w:val="1"/>
            </w:checkBox>
          </w:ffData>
        </w:fldChar>
      </w:r>
      <w:r>
        <w:rPr>
          <w:rFonts w:asciiTheme="minorHAnsi" w:hAnsiTheme="minorHAnsi" w:cstheme="minorHAnsi"/>
          <w:sz w:val="24"/>
          <w:szCs w:val="24"/>
        </w:rPr>
        <w:instrText xml:space="preserve"> FORMCHECKBOX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sz w:val="24"/>
          <w:szCs w:val="24"/>
        </w:rPr>
        <w:fldChar w:fldCharType="end"/>
      </w:r>
      <w:r w:rsidR="004C02B7" w:rsidRPr="00F849F2">
        <w:rPr>
          <w:rFonts w:asciiTheme="minorHAnsi" w:hAnsiTheme="minorHAnsi" w:cstheme="minorHAnsi"/>
          <w:sz w:val="24"/>
          <w:szCs w:val="24"/>
        </w:rPr>
        <w:t xml:space="preserve"> Health benefits </w:t>
      </w:r>
    </w:p>
    <w:p w14:paraId="4B5E35E8" w14:textId="0ED6A73F" w:rsidR="004C02B7" w:rsidRPr="00F849F2" w:rsidRDefault="00DD4DFC" w:rsidP="007520A6">
      <w:pPr>
        <w:pStyle w:val="Tickboxes"/>
        <w:jc w:val="both"/>
        <w:rPr>
          <w:rFonts w:asciiTheme="minorHAnsi" w:hAnsiTheme="minorHAnsi" w:cstheme="minorHAnsi"/>
          <w:sz w:val="24"/>
          <w:szCs w:val="24"/>
        </w:rPr>
      </w:pPr>
      <w:r>
        <w:rPr>
          <w:rFonts w:asciiTheme="minorHAnsi" w:hAnsiTheme="minorHAnsi" w:cstheme="minorHAnsi"/>
          <w:sz w:val="24"/>
          <w:szCs w:val="24"/>
        </w:rPr>
        <w:fldChar w:fldCharType="begin">
          <w:ffData>
            <w:name w:val=""/>
            <w:enabled/>
            <w:calcOnExit w:val="0"/>
            <w:statusText w:type="text" w:val="Health outcomes Health harms"/>
            <w:checkBox>
              <w:sizeAuto/>
              <w:default w:val="1"/>
            </w:checkBox>
          </w:ffData>
        </w:fldChar>
      </w:r>
      <w:r>
        <w:rPr>
          <w:rFonts w:asciiTheme="minorHAnsi" w:hAnsiTheme="minorHAnsi" w:cstheme="minorHAnsi"/>
          <w:sz w:val="24"/>
          <w:szCs w:val="24"/>
        </w:rPr>
        <w:instrText xml:space="preserve"> FORMCHECKBOX </w:instrText>
      </w:r>
      <w:r>
        <w:rPr>
          <w:rFonts w:asciiTheme="minorHAnsi" w:hAnsiTheme="minorHAnsi" w:cstheme="minorHAnsi"/>
          <w:sz w:val="24"/>
          <w:szCs w:val="24"/>
        </w:rPr>
      </w:r>
      <w:r>
        <w:rPr>
          <w:rFonts w:asciiTheme="minorHAnsi" w:hAnsiTheme="minorHAnsi" w:cstheme="minorHAnsi"/>
          <w:sz w:val="24"/>
          <w:szCs w:val="24"/>
        </w:rPr>
        <w:fldChar w:fldCharType="separate"/>
      </w:r>
      <w:r>
        <w:rPr>
          <w:rFonts w:asciiTheme="minorHAnsi" w:hAnsiTheme="minorHAnsi" w:cstheme="minorHAnsi"/>
          <w:sz w:val="24"/>
          <w:szCs w:val="24"/>
        </w:rPr>
        <w:fldChar w:fldCharType="end"/>
      </w:r>
      <w:r w:rsidR="004C02B7" w:rsidRPr="00F849F2">
        <w:rPr>
          <w:rFonts w:asciiTheme="minorHAnsi" w:hAnsiTheme="minorHAnsi" w:cstheme="minorHAnsi"/>
          <w:sz w:val="24"/>
          <w:szCs w:val="24"/>
        </w:rPr>
        <w:t xml:space="preserve"> Health harms</w:t>
      </w:r>
    </w:p>
    <w:p w14:paraId="3CEF185E" w14:textId="2D6F268F" w:rsidR="004C02B7" w:rsidRPr="00F849F2" w:rsidRDefault="0008427F"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Health outcomes Resources"/>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4C02B7" w:rsidRPr="00F849F2">
        <w:rPr>
          <w:rFonts w:asciiTheme="minorHAnsi" w:hAnsiTheme="minorHAnsi" w:cstheme="minorHAnsi"/>
          <w:sz w:val="24"/>
          <w:szCs w:val="24"/>
        </w:rPr>
        <w:t xml:space="preserve"> Resources </w:t>
      </w:r>
    </w:p>
    <w:p w14:paraId="58A8099A" w14:textId="6F004F64" w:rsidR="00DD4DFC" w:rsidRPr="007237E8" w:rsidRDefault="00DD4DFC" w:rsidP="007520A6">
      <w:pPr>
        <w:pBdr>
          <w:top w:val="single" w:sz="4" w:space="1" w:color="auto"/>
          <w:left w:val="single" w:sz="4" w:space="4" w:color="auto"/>
          <w:bottom w:val="single" w:sz="4" w:space="1" w:color="auto"/>
          <w:right w:val="single" w:sz="4" w:space="4" w:color="auto"/>
        </w:pBdr>
        <w:jc w:val="both"/>
        <w:rPr>
          <w:rFonts w:asciiTheme="minorHAnsi" w:hAnsiTheme="minorHAnsi" w:cstheme="minorHAnsi"/>
          <w:szCs w:val="20"/>
        </w:rPr>
      </w:pPr>
      <w:r w:rsidRPr="007237E8">
        <w:rPr>
          <w:rFonts w:asciiTheme="minorHAnsi" w:hAnsiTheme="minorHAnsi" w:cstheme="minorHAnsi"/>
          <w:b/>
          <w:szCs w:val="20"/>
        </w:rPr>
        <w:lastRenderedPageBreak/>
        <w:t xml:space="preserve">Clinical Effectiveness Outcomes: </w:t>
      </w:r>
      <w:r w:rsidRPr="007237E8">
        <w:rPr>
          <w:rFonts w:asciiTheme="minorHAnsi" w:hAnsiTheme="minorHAnsi" w:cstheme="minorHAnsi"/>
        </w:rPr>
        <w:t>Complete response/stringent complete response (CR/</w:t>
      </w:r>
      <w:proofErr w:type="spellStart"/>
      <w:r w:rsidRPr="007237E8">
        <w:rPr>
          <w:rFonts w:asciiTheme="minorHAnsi" w:hAnsiTheme="minorHAnsi" w:cstheme="minorHAnsi"/>
        </w:rPr>
        <w:t>sCR</w:t>
      </w:r>
      <w:proofErr w:type="spellEnd"/>
      <w:r w:rsidRPr="007237E8">
        <w:rPr>
          <w:rFonts w:asciiTheme="minorHAnsi" w:hAnsiTheme="minorHAnsi" w:cstheme="minorHAnsi"/>
        </w:rPr>
        <w:t xml:space="preserve">), overall response rate (ORR), </w:t>
      </w:r>
      <w:r w:rsidRPr="007237E8">
        <w:rPr>
          <w:rFonts w:asciiTheme="minorHAnsi" w:hAnsiTheme="minorHAnsi" w:cstheme="minorHAnsi"/>
          <w:szCs w:val="20"/>
        </w:rPr>
        <w:t>duration of response, time to response, minimal residual disease (MRD) negativity, progression free survival (PFS), overall survival (OS), health-related quality of life.</w:t>
      </w:r>
    </w:p>
    <w:p w14:paraId="4185303D" w14:textId="6CE8F3FB" w:rsidR="00DD4DFC" w:rsidRPr="007237E8" w:rsidRDefault="00DD4DFC" w:rsidP="007520A6">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7237E8">
        <w:rPr>
          <w:rFonts w:asciiTheme="minorHAnsi" w:hAnsiTheme="minorHAnsi" w:cstheme="minorHAnsi"/>
          <w:b/>
          <w:szCs w:val="20"/>
        </w:rPr>
        <w:t xml:space="preserve">Safety Outcomes: </w:t>
      </w:r>
      <w:r w:rsidRPr="007237E8">
        <w:rPr>
          <w:rFonts w:asciiTheme="minorHAnsi" w:hAnsiTheme="minorHAnsi" w:cstheme="minorHAnsi"/>
        </w:rPr>
        <w:t>Rate of adverse events (AE) and serious adverse events (SAE), incidence of AEs of special interest, incidence of CRS, incidence of neurological toxicity- CAR-T cell-related neurotoxicity (ICANS) and other neurological toxicities, incidence of tumour lysis syndrome, incidence of cytopenia.</w:t>
      </w:r>
    </w:p>
    <w:p w14:paraId="7194BAE5" w14:textId="5E435F01" w:rsidR="004C02B7" w:rsidRPr="00DB5406" w:rsidRDefault="00E00CD3"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O</w:t>
      </w:r>
      <w:r w:rsidR="00CB5480" w:rsidRPr="00F849F2">
        <w:rPr>
          <w:rFonts w:asciiTheme="minorHAnsi" w:hAnsiTheme="minorHAnsi" w:cstheme="minorHAnsi"/>
          <w:b/>
          <w:bCs/>
          <w:sz w:val="24"/>
          <w:szCs w:val="24"/>
        </w:rPr>
        <w:t>utcome description</w:t>
      </w:r>
      <w:r w:rsidRPr="00F849F2">
        <w:rPr>
          <w:rFonts w:asciiTheme="minorHAnsi" w:hAnsiTheme="minorHAnsi" w:cstheme="minorHAnsi"/>
          <w:b/>
          <w:bCs/>
          <w:sz w:val="24"/>
          <w:szCs w:val="24"/>
        </w:rPr>
        <w:t xml:space="preserve"> – please include information about whether a change in patient management, or prognosis, occurs </w:t>
      </w:r>
      <w:proofErr w:type="gramStart"/>
      <w:r w:rsidRPr="00F849F2">
        <w:rPr>
          <w:rFonts w:asciiTheme="minorHAnsi" w:hAnsiTheme="minorHAnsi" w:cstheme="minorHAnsi"/>
          <w:b/>
          <w:bCs/>
          <w:sz w:val="24"/>
          <w:szCs w:val="24"/>
        </w:rPr>
        <w:t>as a result of</w:t>
      </w:r>
      <w:proofErr w:type="gramEnd"/>
      <w:r w:rsidRPr="00F849F2">
        <w:rPr>
          <w:rFonts w:asciiTheme="minorHAnsi" w:hAnsiTheme="minorHAnsi" w:cstheme="minorHAnsi"/>
          <w:b/>
          <w:bCs/>
          <w:sz w:val="24"/>
          <w:szCs w:val="24"/>
        </w:rPr>
        <w:t xml:space="preserve"> the test information</w:t>
      </w:r>
      <w:r w:rsidR="004C02B7" w:rsidRPr="00F849F2">
        <w:rPr>
          <w:rFonts w:asciiTheme="minorHAnsi" w:hAnsiTheme="minorHAnsi" w:cstheme="minorHAnsi"/>
          <w:b/>
          <w:bCs/>
          <w:sz w:val="24"/>
          <w:szCs w:val="24"/>
        </w:rPr>
        <w:t>:</w:t>
      </w:r>
    </w:p>
    <w:p w14:paraId="0BCF9CB5" w14:textId="3E5D7CFF" w:rsidR="00E51D81" w:rsidRPr="00F849F2" w:rsidRDefault="00F15828" w:rsidP="007520A6">
      <w:pPr>
        <w:jc w:val="both"/>
        <w:rPr>
          <w:rFonts w:asciiTheme="minorHAnsi" w:hAnsiTheme="minorHAnsi" w:cstheme="minorHAnsi"/>
          <w:sz w:val="24"/>
          <w:szCs w:val="24"/>
        </w:rPr>
      </w:pPr>
      <w:r>
        <w:rPr>
          <w:rFonts w:asciiTheme="minorHAnsi" w:hAnsiTheme="minorHAnsi" w:cstheme="minorHAnsi"/>
          <w:sz w:val="24"/>
          <w:szCs w:val="24"/>
        </w:rPr>
        <w:t>Cilta-cel is not a test. As described earlier, it is a highly specialised therapy (HST)</w:t>
      </w:r>
      <w:r w:rsidR="00DB5406">
        <w:rPr>
          <w:rFonts w:asciiTheme="minorHAnsi" w:hAnsiTheme="minorHAnsi" w:cstheme="minorHAnsi"/>
          <w:sz w:val="24"/>
          <w:szCs w:val="24"/>
        </w:rPr>
        <w:t>, that results in deep and durable responses</w:t>
      </w:r>
      <w:r w:rsidR="00795BF6">
        <w:rPr>
          <w:rFonts w:asciiTheme="minorHAnsi" w:hAnsiTheme="minorHAnsi" w:cstheme="minorHAnsi"/>
          <w:sz w:val="24"/>
          <w:szCs w:val="24"/>
        </w:rPr>
        <w:t xml:space="preserve"> that translate into significant</w:t>
      </w:r>
      <w:r w:rsidR="0058464A">
        <w:rPr>
          <w:rFonts w:asciiTheme="minorHAnsi" w:hAnsiTheme="minorHAnsi" w:cstheme="minorHAnsi"/>
          <w:sz w:val="24"/>
          <w:szCs w:val="24"/>
        </w:rPr>
        <w:t>ly better</w:t>
      </w:r>
      <w:r w:rsidR="00795BF6">
        <w:rPr>
          <w:rFonts w:asciiTheme="minorHAnsi" w:hAnsiTheme="minorHAnsi" w:cstheme="minorHAnsi"/>
          <w:sz w:val="24"/>
          <w:szCs w:val="24"/>
        </w:rPr>
        <w:t xml:space="preserve"> long</w:t>
      </w:r>
      <w:r w:rsidR="0058464A">
        <w:rPr>
          <w:rFonts w:asciiTheme="minorHAnsi" w:hAnsiTheme="minorHAnsi" w:cstheme="minorHAnsi"/>
          <w:sz w:val="24"/>
          <w:szCs w:val="24"/>
        </w:rPr>
        <w:t>-</w:t>
      </w:r>
      <w:r w:rsidR="00795BF6">
        <w:rPr>
          <w:rFonts w:asciiTheme="minorHAnsi" w:hAnsiTheme="minorHAnsi" w:cstheme="minorHAnsi"/>
          <w:sz w:val="24"/>
          <w:szCs w:val="24"/>
        </w:rPr>
        <w:t>term outcomes (e.g., PFS, OS)</w:t>
      </w:r>
      <w:r w:rsidR="00DB5406">
        <w:rPr>
          <w:rFonts w:asciiTheme="minorHAnsi" w:hAnsiTheme="minorHAnsi" w:cstheme="minorHAnsi"/>
          <w:sz w:val="24"/>
          <w:szCs w:val="24"/>
        </w:rPr>
        <w:t>. Refer to ‘Intervention’ section above</w:t>
      </w:r>
      <w:r w:rsidR="007515DD">
        <w:rPr>
          <w:rFonts w:asciiTheme="minorHAnsi" w:hAnsiTheme="minorHAnsi" w:cstheme="minorHAnsi"/>
          <w:sz w:val="24"/>
          <w:szCs w:val="24"/>
        </w:rPr>
        <w:t xml:space="preserve"> and ‘Claims’ section below</w:t>
      </w:r>
      <w:r w:rsidR="00DB5406">
        <w:rPr>
          <w:rFonts w:asciiTheme="minorHAnsi" w:hAnsiTheme="minorHAnsi" w:cstheme="minorHAnsi"/>
          <w:sz w:val="24"/>
          <w:szCs w:val="24"/>
        </w:rPr>
        <w:t>.</w:t>
      </w:r>
    </w:p>
    <w:p w14:paraId="16AA46BC" w14:textId="75D05707" w:rsidR="00C566B5" w:rsidRPr="00F849F2" w:rsidRDefault="00C566B5" w:rsidP="007520A6">
      <w:pPr>
        <w:pStyle w:val="Heading1"/>
        <w:jc w:val="both"/>
        <w:rPr>
          <w:rFonts w:asciiTheme="minorHAnsi" w:hAnsiTheme="minorHAnsi" w:cstheme="minorHAnsi"/>
          <w:color w:val="002060"/>
        </w:rPr>
      </w:pPr>
      <w:r w:rsidRPr="00F849F2">
        <w:rPr>
          <w:rFonts w:asciiTheme="minorHAnsi" w:hAnsiTheme="minorHAnsi" w:cstheme="minorHAnsi"/>
          <w:color w:val="002060"/>
        </w:rPr>
        <w:t>Claims</w:t>
      </w:r>
    </w:p>
    <w:p w14:paraId="59B475FD" w14:textId="77777777" w:rsidR="002A7E4A" w:rsidRPr="00F849F2" w:rsidRDefault="00C566B5"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 xml:space="preserve">In terms of health outcomes (comparative benefits and harms), is the proposed technology claimed to be superior, non-inferior or inferior to the comparator(s)? </w:t>
      </w:r>
    </w:p>
    <w:p w14:paraId="7B1F43EC" w14:textId="5004C256" w:rsidR="002A7E4A" w:rsidRPr="00F849F2" w:rsidRDefault="002A7E4A" w:rsidP="007520A6">
      <w:pPr>
        <w:pStyle w:val="Instructions"/>
        <w:jc w:val="both"/>
        <w:outlineLvl w:val="9"/>
        <w:rPr>
          <w:rFonts w:asciiTheme="minorHAnsi" w:eastAsiaTheme="minorHAnsi" w:hAnsiTheme="minorHAnsi" w:cstheme="minorHAnsi"/>
          <w:sz w:val="24"/>
          <w:szCs w:val="24"/>
        </w:rPr>
      </w:pPr>
      <w:r w:rsidRPr="007237E8">
        <w:rPr>
          <w:rFonts w:asciiTheme="minorHAnsi" w:eastAsiaTheme="minorHAnsi" w:hAnsiTheme="minorHAnsi" w:cstheme="minorHAnsi"/>
          <w:sz w:val="24"/>
          <w:szCs w:val="24"/>
        </w:rPr>
        <w:t>(Please select your response)</w:t>
      </w:r>
    </w:p>
    <w:p w14:paraId="46C9E79A" w14:textId="3710FB3A" w:rsidR="00C566B5" w:rsidRPr="00F849F2" w:rsidRDefault="00D30F95"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Health outcomes Value of knowing"/>
            <w:checkBox>
              <w:sizeAuto/>
              <w:default w:val="1"/>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C566B5" w:rsidRPr="00F849F2">
        <w:rPr>
          <w:rFonts w:asciiTheme="minorHAnsi" w:hAnsiTheme="minorHAnsi" w:cstheme="minorHAnsi"/>
          <w:sz w:val="24"/>
          <w:szCs w:val="24"/>
        </w:rPr>
        <w:t xml:space="preserve"> Superior </w:t>
      </w:r>
    </w:p>
    <w:p w14:paraId="4AC6C6A7" w14:textId="0497D9F7" w:rsidR="00C566B5" w:rsidRPr="00F849F2" w:rsidRDefault="00054FFA"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Health outcomes non-inferior"/>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C566B5" w:rsidRPr="00F849F2">
        <w:rPr>
          <w:rFonts w:asciiTheme="minorHAnsi" w:hAnsiTheme="minorHAnsi" w:cstheme="minorHAnsi"/>
          <w:sz w:val="24"/>
          <w:szCs w:val="24"/>
        </w:rPr>
        <w:t xml:space="preserve"> Non-inferior</w:t>
      </w:r>
    </w:p>
    <w:p w14:paraId="20F3AE75" w14:textId="026946F2" w:rsidR="00C566B5" w:rsidRPr="00F849F2" w:rsidRDefault="00054FFA"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Health outcomes inferior"/>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C566B5" w:rsidRPr="00F849F2">
        <w:rPr>
          <w:rFonts w:asciiTheme="minorHAnsi" w:hAnsiTheme="minorHAnsi" w:cstheme="minorHAnsi"/>
          <w:sz w:val="24"/>
          <w:szCs w:val="24"/>
        </w:rPr>
        <w:t xml:space="preserve"> Inferior </w:t>
      </w:r>
    </w:p>
    <w:p w14:paraId="3F789280" w14:textId="40032EE3" w:rsidR="00C566B5" w:rsidRPr="00F849F2" w:rsidRDefault="00F47AFE" w:rsidP="00071A7D">
      <w:pPr>
        <w:keepNext/>
        <w:keepLines/>
        <w:jc w:val="both"/>
        <w:rPr>
          <w:rFonts w:asciiTheme="minorHAnsi" w:hAnsiTheme="minorHAnsi" w:cstheme="minorHAnsi"/>
          <w:b/>
          <w:bCs/>
          <w:sz w:val="24"/>
          <w:szCs w:val="24"/>
        </w:rPr>
      </w:pPr>
      <w:r w:rsidRPr="00F849F2">
        <w:rPr>
          <w:rFonts w:asciiTheme="minorHAnsi" w:hAnsiTheme="minorHAnsi" w:cstheme="minorHAnsi"/>
          <w:b/>
          <w:bCs/>
          <w:sz w:val="24"/>
          <w:szCs w:val="24"/>
        </w:rPr>
        <w:t>Please state what the overall claim is, and provide a rationale:</w:t>
      </w:r>
    </w:p>
    <w:p w14:paraId="5149EA8C" w14:textId="144DD7DB" w:rsidR="00EF4A84" w:rsidRDefault="00EF4A84" w:rsidP="00071A7D">
      <w:pPr>
        <w:keepNext/>
        <w:keepLines/>
        <w:jc w:val="both"/>
        <w:rPr>
          <w:rFonts w:asciiTheme="minorHAnsi" w:hAnsiTheme="minorHAnsi" w:cstheme="minorHAnsi"/>
          <w:sz w:val="24"/>
          <w:szCs w:val="24"/>
        </w:rPr>
      </w:pPr>
      <w:r>
        <w:rPr>
          <w:rFonts w:asciiTheme="minorHAnsi" w:hAnsiTheme="minorHAnsi" w:cstheme="minorHAnsi"/>
          <w:sz w:val="24"/>
          <w:szCs w:val="24"/>
        </w:rPr>
        <w:t>Cilta-cel is superior in efficacy to current PBS standard of care for 2L+ MM</w:t>
      </w:r>
      <w:r w:rsidR="00833E71">
        <w:rPr>
          <w:rFonts w:asciiTheme="minorHAnsi" w:hAnsiTheme="minorHAnsi" w:cstheme="minorHAnsi"/>
          <w:sz w:val="24"/>
          <w:szCs w:val="24"/>
        </w:rPr>
        <w:t>, for the outcomes of response, PFS and OS. This superiority claim is informed by the pivotal CARTITUDE-4 trial</w:t>
      </w:r>
      <w:r w:rsidR="000F2A85">
        <w:rPr>
          <w:rFonts w:asciiTheme="minorHAnsi" w:hAnsiTheme="minorHAnsi" w:cstheme="minorHAnsi"/>
          <w:sz w:val="24"/>
          <w:szCs w:val="24"/>
        </w:rPr>
        <w:t xml:space="preserve"> (</w:t>
      </w:r>
      <w:r w:rsidR="000F2A85" w:rsidRPr="000F2A85">
        <w:rPr>
          <w:rFonts w:asciiTheme="minorHAnsi" w:hAnsiTheme="minorHAnsi" w:cstheme="minorHAnsi"/>
          <w:sz w:val="24"/>
          <w:szCs w:val="24"/>
        </w:rPr>
        <w:t>NCT04181827</w:t>
      </w:r>
      <w:r w:rsidR="000F2A85">
        <w:rPr>
          <w:rFonts w:asciiTheme="minorHAnsi" w:hAnsiTheme="minorHAnsi" w:cstheme="minorHAnsi"/>
          <w:sz w:val="24"/>
          <w:szCs w:val="24"/>
        </w:rPr>
        <w:t>)</w:t>
      </w:r>
      <w:r w:rsidR="00833E71">
        <w:rPr>
          <w:rFonts w:asciiTheme="minorHAnsi" w:hAnsiTheme="minorHAnsi" w:cstheme="minorHAnsi"/>
          <w:sz w:val="24"/>
          <w:szCs w:val="24"/>
        </w:rPr>
        <w:t>.</w:t>
      </w:r>
    </w:p>
    <w:p w14:paraId="39E316D7" w14:textId="77777777" w:rsidR="007B1688" w:rsidRDefault="003371B3" w:rsidP="007520A6">
      <w:pPr>
        <w:jc w:val="both"/>
        <w:rPr>
          <w:rFonts w:asciiTheme="minorHAnsi" w:hAnsiTheme="minorHAnsi" w:cstheme="minorHAnsi"/>
          <w:sz w:val="24"/>
          <w:szCs w:val="24"/>
        </w:rPr>
      </w:pPr>
      <w:r w:rsidRPr="003371B3">
        <w:rPr>
          <w:rFonts w:asciiTheme="minorHAnsi" w:hAnsiTheme="minorHAnsi" w:cstheme="minorHAnsi"/>
          <w:sz w:val="24"/>
          <w:szCs w:val="24"/>
        </w:rPr>
        <w:t>CARTITUDE-4 is an open-label, multicentre, randomised, phase 3 trial at 81 hospital sites in the USA,</w:t>
      </w:r>
      <w:r>
        <w:rPr>
          <w:rFonts w:asciiTheme="minorHAnsi" w:hAnsiTheme="minorHAnsi" w:cstheme="minorHAnsi"/>
          <w:sz w:val="24"/>
          <w:szCs w:val="24"/>
        </w:rPr>
        <w:t xml:space="preserve"> </w:t>
      </w:r>
      <w:r w:rsidRPr="003371B3">
        <w:rPr>
          <w:rFonts w:asciiTheme="minorHAnsi" w:hAnsiTheme="minorHAnsi" w:cstheme="minorHAnsi"/>
          <w:sz w:val="24"/>
          <w:szCs w:val="24"/>
        </w:rPr>
        <w:t>Europe, Asia, and Australia. Eligible patients were adults (aged &gt;18 years) with lenalidomide-refractory multiple</w:t>
      </w:r>
      <w:r>
        <w:rPr>
          <w:rFonts w:asciiTheme="minorHAnsi" w:hAnsiTheme="minorHAnsi" w:cstheme="minorHAnsi"/>
          <w:sz w:val="24"/>
          <w:szCs w:val="24"/>
        </w:rPr>
        <w:t xml:space="preserve"> </w:t>
      </w:r>
      <w:r w:rsidRPr="003371B3">
        <w:rPr>
          <w:rFonts w:asciiTheme="minorHAnsi" w:hAnsiTheme="minorHAnsi" w:cstheme="minorHAnsi"/>
          <w:sz w:val="24"/>
          <w:szCs w:val="24"/>
        </w:rPr>
        <w:t>myeloma, with one to three previous treatment lines, including a proteasome inhibitor and an immunomodulatory</w:t>
      </w:r>
      <w:r>
        <w:rPr>
          <w:rFonts w:asciiTheme="minorHAnsi" w:hAnsiTheme="minorHAnsi" w:cstheme="minorHAnsi"/>
          <w:sz w:val="24"/>
          <w:szCs w:val="24"/>
        </w:rPr>
        <w:t xml:space="preserve"> </w:t>
      </w:r>
      <w:r w:rsidRPr="003371B3">
        <w:rPr>
          <w:rFonts w:asciiTheme="minorHAnsi" w:hAnsiTheme="minorHAnsi" w:cstheme="minorHAnsi"/>
          <w:sz w:val="24"/>
          <w:szCs w:val="24"/>
        </w:rPr>
        <w:t xml:space="preserve">drug, and an Eastern Cooperative Oncology Group performance status of 0 or 1. </w:t>
      </w:r>
    </w:p>
    <w:p w14:paraId="4696961D" w14:textId="315FBDA6" w:rsidR="003371B3" w:rsidRPr="00650760" w:rsidRDefault="003371B3" w:rsidP="007520A6">
      <w:pPr>
        <w:jc w:val="both"/>
        <w:rPr>
          <w:rFonts w:asciiTheme="minorHAnsi" w:hAnsiTheme="minorHAnsi" w:cstheme="minorHAnsi"/>
          <w:sz w:val="24"/>
          <w:szCs w:val="24"/>
        </w:rPr>
      </w:pPr>
      <w:r w:rsidRPr="003371B3">
        <w:rPr>
          <w:rFonts w:asciiTheme="minorHAnsi" w:hAnsiTheme="minorHAnsi" w:cstheme="minorHAnsi"/>
          <w:sz w:val="24"/>
          <w:szCs w:val="24"/>
        </w:rPr>
        <w:t>Patients were randomly assigned (1:1) via a computerised algorithm and balanced with</w:t>
      </w:r>
      <w:r>
        <w:rPr>
          <w:rFonts w:asciiTheme="minorHAnsi" w:hAnsiTheme="minorHAnsi" w:cstheme="minorHAnsi"/>
          <w:sz w:val="24"/>
          <w:szCs w:val="24"/>
        </w:rPr>
        <w:t xml:space="preserve"> </w:t>
      </w:r>
      <w:r w:rsidRPr="003371B3">
        <w:rPr>
          <w:rFonts w:asciiTheme="minorHAnsi" w:hAnsiTheme="minorHAnsi" w:cstheme="minorHAnsi"/>
          <w:sz w:val="24"/>
          <w:szCs w:val="24"/>
        </w:rPr>
        <w:t xml:space="preserve">permuted blocks, with stratification by physician’s choice of pomalidomide–bortezomib–dexamethasone </w:t>
      </w:r>
      <w:r>
        <w:rPr>
          <w:rFonts w:asciiTheme="minorHAnsi" w:hAnsiTheme="minorHAnsi" w:cstheme="minorHAnsi"/>
          <w:sz w:val="24"/>
          <w:szCs w:val="24"/>
        </w:rPr>
        <w:t>(</w:t>
      </w:r>
      <w:proofErr w:type="spellStart"/>
      <w:r>
        <w:rPr>
          <w:rFonts w:asciiTheme="minorHAnsi" w:hAnsiTheme="minorHAnsi" w:cstheme="minorHAnsi"/>
          <w:sz w:val="24"/>
          <w:szCs w:val="24"/>
        </w:rPr>
        <w:t>P</w:t>
      </w:r>
      <w:r w:rsidR="007B1688">
        <w:rPr>
          <w:rFonts w:asciiTheme="minorHAnsi" w:hAnsiTheme="minorHAnsi" w:cstheme="minorHAnsi"/>
          <w:sz w:val="24"/>
          <w:szCs w:val="24"/>
        </w:rPr>
        <w:t>B</w:t>
      </w:r>
      <w:r>
        <w:rPr>
          <w:rFonts w:asciiTheme="minorHAnsi" w:hAnsiTheme="minorHAnsi" w:cstheme="minorHAnsi"/>
          <w:sz w:val="24"/>
          <w:szCs w:val="24"/>
        </w:rPr>
        <w:t>d</w:t>
      </w:r>
      <w:proofErr w:type="spellEnd"/>
      <w:r>
        <w:rPr>
          <w:rFonts w:asciiTheme="minorHAnsi" w:hAnsiTheme="minorHAnsi" w:cstheme="minorHAnsi"/>
          <w:sz w:val="24"/>
          <w:szCs w:val="24"/>
        </w:rPr>
        <w:t xml:space="preserve">) </w:t>
      </w:r>
      <w:r w:rsidRPr="003371B3">
        <w:rPr>
          <w:rFonts w:asciiTheme="minorHAnsi" w:hAnsiTheme="minorHAnsi" w:cstheme="minorHAnsi"/>
          <w:sz w:val="24"/>
          <w:szCs w:val="24"/>
        </w:rPr>
        <w:t>versus</w:t>
      </w:r>
      <w:r>
        <w:rPr>
          <w:rFonts w:asciiTheme="minorHAnsi" w:hAnsiTheme="minorHAnsi" w:cstheme="minorHAnsi"/>
          <w:sz w:val="24"/>
          <w:szCs w:val="24"/>
        </w:rPr>
        <w:t xml:space="preserve"> </w:t>
      </w:r>
      <w:r w:rsidRPr="003371B3">
        <w:rPr>
          <w:rFonts w:asciiTheme="minorHAnsi" w:hAnsiTheme="minorHAnsi" w:cstheme="minorHAnsi"/>
          <w:sz w:val="24"/>
          <w:szCs w:val="24"/>
        </w:rPr>
        <w:t>daratumumab–pomalidomide–dexamethasone</w:t>
      </w:r>
      <w:r>
        <w:rPr>
          <w:rFonts w:asciiTheme="minorHAnsi" w:hAnsiTheme="minorHAnsi" w:cstheme="minorHAnsi"/>
          <w:sz w:val="24"/>
          <w:szCs w:val="24"/>
        </w:rPr>
        <w:t xml:space="preserve"> (</w:t>
      </w:r>
      <w:proofErr w:type="spellStart"/>
      <w:r>
        <w:rPr>
          <w:rFonts w:asciiTheme="minorHAnsi" w:hAnsiTheme="minorHAnsi" w:cstheme="minorHAnsi"/>
          <w:sz w:val="24"/>
          <w:szCs w:val="24"/>
        </w:rPr>
        <w:t>DPd</w:t>
      </w:r>
      <w:proofErr w:type="spellEnd"/>
      <w:r>
        <w:rPr>
          <w:rFonts w:asciiTheme="minorHAnsi" w:hAnsiTheme="minorHAnsi" w:cstheme="minorHAnsi"/>
          <w:sz w:val="24"/>
          <w:szCs w:val="24"/>
        </w:rPr>
        <w:t>)</w:t>
      </w:r>
      <w:r w:rsidRPr="003371B3">
        <w:rPr>
          <w:rFonts w:asciiTheme="minorHAnsi" w:hAnsiTheme="minorHAnsi" w:cstheme="minorHAnsi"/>
          <w:sz w:val="24"/>
          <w:szCs w:val="24"/>
        </w:rPr>
        <w:t>, International Staging System stage, and number of previous</w:t>
      </w:r>
      <w:r>
        <w:rPr>
          <w:rFonts w:asciiTheme="minorHAnsi" w:hAnsiTheme="minorHAnsi" w:cstheme="minorHAnsi"/>
          <w:sz w:val="24"/>
          <w:szCs w:val="24"/>
        </w:rPr>
        <w:t xml:space="preserve"> </w:t>
      </w:r>
      <w:r w:rsidRPr="003371B3">
        <w:rPr>
          <w:rFonts w:asciiTheme="minorHAnsi" w:hAnsiTheme="minorHAnsi" w:cstheme="minorHAnsi"/>
          <w:sz w:val="24"/>
          <w:szCs w:val="24"/>
        </w:rPr>
        <w:t xml:space="preserve">treatment lines. Patients were assigned to cilta-cel (apheresis, bridging therapy [at least one </w:t>
      </w:r>
      <w:proofErr w:type="spellStart"/>
      <w:r>
        <w:rPr>
          <w:rFonts w:asciiTheme="minorHAnsi" w:hAnsiTheme="minorHAnsi" w:cstheme="minorHAnsi"/>
          <w:sz w:val="24"/>
          <w:szCs w:val="24"/>
        </w:rPr>
        <w:t>P</w:t>
      </w:r>
      <w:r w:rsidR="007B1688">
        <w:rPr>
          <w:rFonts w:asciiTheme="minorHAnsi" w:hAnsiTheme="minorHAnsi" w:cstheme="minorHAnsi"/>
          <w:sz w:val="24"/>
          <w:szCs w:val="24"/>
        </w:rPr>
        <w:t>B</w:t>
      </w:r>
      <w:r>
        <w:rPr>
          <w:rFonts w:asciiTheme="minorHAnsi" w:hAnsiTheme="minorHAnsi" w:cstheme="minorHAnsi"/>
          <w:sz w:val="24"/>
          <w:szCs w:val="24"/>
        </w:rPr>
        <w:t>d</w:t>
      </w:r>
      <w:proofErr w:type="spellEnd"/>
      <w:r w:rsidRPr="003371B3">
        <w:rPr>
          <w:rFonts w:asciiTheme="minorHAnsi" w:hAnsiTheme="minorHAnsi" w:cstheme="minorHAnsi"/>
          <w:sz w:val="24"/>
          <w:szCs w:val="24"/>
        </w:rPr>
        <w:t xml:space="preserve"> or </w:t>
      </w:r>
      <w:proofErr w:type="spellStart"/>
      <w:r>
        <w:rPr>
          <w:rFonts w:asciiTheme="minorHAnsi" w:hAnsiTheme="minorHAnsi" w:cstheme="minorHAnsi"/>
          <w:sz w:val="24"/>
          <w:szCs w:val="24"/>
        </w:rPr>
        <w:t>DPd</w:t>
      </w:r>
      <w:proofErr w:type="spellEnd"/>
      <w:r w:rsidRPr="003371B3">
        <w:rPr>
          <w:rFonts w:asciiTheme="minorHAnsi" w:hAnsiTheme="minorHAnsi" w:cstheme="minorHAnsi"/>
          <w:sz w:val="24"/>
          <w:szCs w:val="24"/>
        </w:rPr>
        <w:t xml:space="preserve"> cycle], lymphodepletion, then </w:t>
      </w:r>
      <w:proofErr w:type="spellStart"/>
      <w:r w:rsidRPr="003371B3">
        <w:rPr>
          <w:rFonts w:asciiTheme="minorHAnsi" w:hAnsiTheme="minorHAnsi" w:cstheme="minorHAnsi"/>
          <w:sz w:val="24"/>
          <w:szCs w:val="24"/>
        </w:rPr>
        <w:t>ciltacel</w:t>
      </w:r>
      <w:proofErr w:type="spellEnd"/>
      <w:r w:rsidRPr="003371B3">
        <w:rPr>
          <w:rFonts w:asciiTheme="minorHAnsi" w:hAnsiTheme="minorHAnsi" w:cstheme="minorHAnsi"/>
          <w:sz w:val="24"/>
          <w:szCs w:val="24"/>
        </w:rPr>
        <w:t xml:space="preserve"> infusion [0·75 × 10⁶ CAR T cells per kg]) or standard of care (</w:t>
      </w:r>
      <w:proofErr w:type="spellStart"/>
      <w:r>
        <w:rPr>
          <w:rFonts w:asciiTheme="minorHAnsi" w:hAnsiTheme="minorHAnsi" w:cstheme="minorHAnsi"/>
          <w:sz w:val="24"/>
          <w:szCs w:val="24"/>
        </w:rPr>
        <w:t>P</w:t>
      </w:r>
      <w:r w:rsidR="007B1688">
        <w:rPr>
          <w:rFonts w:asciiTheme="minorHAnsi" w:hAnsiTheme="minorHAnsi" w:cstheme="minorHAnsi"/>
          <w:sz w:val="24"/>
          <w:szCs w:val="24"/>
        </w:rPr>
        <w:t>B</w:t>
      </w:r>
      <w:r>
        <w:rPr>
          <w:rFonts w:asciiTheme="minorHAnsi" w:hAnsiTheme="minorHAnsi" w:cstheme="minorHAnsi"/>
          <w:sz w:val="24"/>
          <w:szCs w:val="24"/>
        </w:rPr>
        <w:t>d</w:t>
      </w:r>
      <w:proofErr w:type="spellEnd"/>
      <w:r w:rsidRPr="003371B3">
        <w:rPr>
          <w:rFonts w:asciiTheme="minorHAnsi" w:hAnsiTheme="minorHAnsi" w:cstheme="minorHAnsi"/>
          <w:sz w:val="24"/>
          <w:szCs w:val="24"/>
        </w:rPr>
        <w:t xml:space="preserve"> </w:t>
      </w:r>
      <w:r w:rsidR="00FC04D8">
        <w:rPr>
          <w:rFonts w:asciiTheme="minorHAnsi" w:hAnsiTheme="minorHAnsi" w:cstheme="minorHAnsi"/>
          <w:sz w:val="24"/>
          <w:szCs w:val="24"/>
        </w:rPr>
        <w:t xml:space="preserve">or </w:t>
      </w:r>
      <w:proofErr w:type="spellStart"/>
      <w:r w:rsidR="00FC04D8">
        <w:rPr>
          <w:rFonts w:asciiTheme="minorHAnsi" w:hAnsiTheme="minorHAnsi" w:cstheme="minorHAnsi"/>
          <w:sz w:val="24"/>
          <w:szCs w:val="24"/>
        </w:rPr>
        <w:t>DPd</w:t>
      </w:r>
      <w:proofErr w:type="spellEnd"/>
      <w:r w:rsidRPr="003371B3">
        <w:rPr>
          <w:rFonts w:asciiTheme="minorHAnsi" w:hAnsiTheme="minorHAnsi" w:cstheme="minorHAnsi"/>
          <w:sz w:val="24"/>
          <w:szCs w:val="24"/>
        </w:rPr>
        <w:t xml:space="preserve">). </w:t>
      </w:r>
      <w:proofErr w:type="spellStart"/>
      <w:r w:rsidR="00B451BA">
        <w:rPr>
          <w:rFonts w:asciiTheme="minorHAnsi" w:hAnsiTheme="minorHAnsi" w:cstheme="minorHAnsi"/>
          <w:sz w:val="24"/>
          <w:szCs w:val="24"/>
        </w:rPr>
        <w:t>P</w:t>
      </w:r>
      <w:r w:rsidR="007B1688">
        <w:rPr>
          <w:rFonts w:asciiTheme="minorHAnsi" w:hAnsiTheme="minorHAnsi" w:cstheme="minorHAnsi"/>
          <w:sz w:val="24"/>
          <w:szCs w:val="24"/>
        </w:rPr>
        <w:t>B</w:t>
      </w:r>
      <w:r w:rsidR="00B451BA">
        <w:rPr>
          <w:rFonts w:asciiTheme="minorHAnsi" w:hAnsiTheme="minorHAnsi" w:cstheme="minorHAnsi"/>
          <w:sz w:val="24"/>
          <w:szCs w:val="24"/>
        </w:rPr>
        <w:t>d</w:t>
      </w:r>
      <w:proofErr w:type="spellEnd"/>
      <w:r w:rsidR="00B451BA">
        <w:rPr>
          <w:rFonts w:asciiTheme="minorHAnsi" w:hAnsiTheme="minorHAnsi" w:cstheme="minorHAnsi"/>
          <w:sz w:val="24"/>
          <w:szCs w:val="24"/>
        </w:rPr>
        <w:t xml:space="preserve"> is routinely used on the PBS for 2L+ MM. </w:t>
      </w:r>
      <w:r w:rsidRPr="003371B3">
        <w:rPr>
          <w:rFonts w:asciiTheme="minorHAnsi" w:hAnsiTheme="minorHAnsi" w:cstheme="minorHAnsi"/>
          <w:sz w:val="24"/>
          <w:szCs w:val="24"/>
        </w:rPr>
        <w:t>The primary endpoint was progression-</w:t>
      </w:r>
      <w:r w:rsidRPr="00650760">
        <w:rPr>
          <w:rFonts w:asciiTheme="minorHAnsi" w:hAnsiTheme="minorHAnsi" w:cstheme="minorHAnsi"/>
          <w:sz w:val="24"/>
          <w:szCs w:val="24"/>
        </w:rPr>
        <w:t>free survival.</w:t>
      </w:r>
      <w:r w:rsidR="007519CC" w:rsidRPr="00650760">
        <w:rPr>
          <w:rFonts w:asciiTheme="minorHAnsi" w:hAnsiTheme="minorHAnsi" w:cstheme="minorHAnsi"/>
          <w:sz w:val="24"/>
          <w:szCs w:val="24"/>
        </w:rPr>
        <w:t xml:space="preserve"> Figure </w:t>
      </w:r>
      <w:r w:rsidR="002B1FFE" w:rsidRPr="00650760">
        <w:rPr>
          <w:rFonts w:asciiTheme="minorHAnsi" w:hAnsiTheme="minorHAnsi" w:cstheme="minorHAnsi"/>
          <w:sz w:val="24"/>
          <w:szCs w:val="24"/>
        </w:rPr>
        <w:t>4</w:t>
      </w:r>
      <w:r w:rsidR="007519CC" w:rsidRPr="00650760">
        <w:rPr>
          <w:rFonts w:asciiTheme="minorHAnsi" w:hAnsiTheme="minorHAnsi" w:cstheme="minorHAnsi"/>
          <w:sz w:val="24"/>
          <w:szCs w:val="24"/>
        </w:rPr>
        <w:t xml:space="preserve"> presents the CARTITUDE-4 schematic.</w:t>
      </w:r>
    </w:p>
    <w:p w14:paraId="43554337" w14:textId="15813849" w:rsidR="00FC04D8" w:rsidRPr="00FC1E27" w:rsidRDefault="00FC04D8" w:rsidP="007520A6">
      <w:pPr>
        <w:keepNext/>
        <w:jc w:val="both"/>
        <w:rPr>
          <w:rFonts w:asciiTheme="minorHAnsi" w:hAnsiTheme="minorHAnsi" w:cstheme="minorHAnsi"/>
          <w:b/>
          <w:bCs/>
          <w:sz w:val="24"/>
          <w:szCs w:val="24"/>
        </w:rPr>
      </w:pPr>
      <w:r w:rsidRPr="00650760">
        <w:rPr>
          <w:rFonts w:asciiTheme="minorHAnsi" w:hAnsiTheme="minorHAnsi" w:cstheme="minorHAnsi"/>
          <w:b/>
          <w:bCs/>
          <w:sz w:val="24"/>
          <w:szCs w:val="24"/>
        </w:rPr>
        <w:lastRenderedPageBreak/>
        <w:t xml:space="preserve">Figure </w:t>
      </w:r>
      <w:r w:rsidR="002B1FFE" w:rsidRPr="00650760">
        <w:rPr>
          <w:rFonts w:asciiTheme="minorHAnsi" w:hAnsiTheme="minorHAnsi" w:cstheme="minorHAnsi"/>
          <w:b/>
          <w:bCs/>
          <w:sz w:val="24"/>
          <w:szCs w:val="24"/>
        </w:rPr>
        <w:t>4</w:t>
      </w:r>
      <w:r w:rsidRPr="00650760">
        <w:rPr>
          <w:rFonts w:asciiTheme="minorHAnsi" w:hAnsiTheme="minorHAnsi" w:cstheme="minorHAnsi"/>
          <w:b/>
          <w:bCs/>
          <w:sz w:val="24"/>
          <w:szCs w:val="24"/>
        </w:rPr>
        <w:t xml:space="preserve">: Overview of CARTITUDE-4 </w:t>
      </w:r>
      <w:r w:rsidR="00FC1E27" w:rsidRPr="00650760">
        <w:rPr>
          <w:rFonts w:asciiTheme="minorHAnsi" w:hAnsiTheme="minorHAnsi" w:cstheme="minorHAnsi"/>
          <w:b/>
          <w:bCs/>
          <w:sz w:val="24"/>
          <w:szCs w:val="24"/>
        </w:rPr>
        <w:t>trial design</w:t>
      </w:r>
    </w:p>
    <w:p w14:paraId="27F92C69" w14:textId="5E73DA48" w:rsidR="00FC04D8" w:rsidRDefault="00FC04D8" w:rsidP="007520A6">
      <w:pPr>
        <w:jc w:val="both"/>
        <w:rPr>
          <w:rFonts w:asciiTheme="minorHAnsi" w:hAnsiTheme="minorHAnsi" w:cstheme="minorHAnsi"/>
          <w:sz w:val="24"/>
          <w:szCs w:val="24"/>
        </w:rPr>
      </w:pPr>
      <w:r>
        <w:rPr>
          <w:noProof/>
        </w:rPr>
        <w:drawing>
          <wp:inline distT="0" distB="0" distL="0" distR="0" wp14:anchorId="1D89DED7" wp14:editId="4CB996BE">
            <wp:extent cx="6016625" cy="2729230"/>
            <wp:effectExtent l="0" t="0" r="3175" b="0"/>
            <wp:docPr id="12" name="Picture 11" descr="Clinical-trial flow diagram shows overview of the CARTITUDE-4 trial design">
              <a:extLst xmlns:a="http://schemas.openxmlformats.org/drawingml/2006/main">
                <a:ext uri="{FF2B5EF4-FFF2-40B4-BE49-F238E27FC236}">
                  <a16:creationId xmlns:a16="http://schemas.microsoft.com/office/drawing/2014/main" id="{5388D872-FF64-478C-E6B0-F864CC3527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Clinical-trial flow diagram shows overview of the CARTITUDE-4 trial design">
                      <a:extLst>
                        <a:ext uri="{FF2B5EF4-FFF2-40B4-BE49-F238E27FC236}">
                          <a16:creationId xmlns:a16="http://schemas.microsoft.com/office/drawing/2014/main" id="{5388D872-FF64-478C-E6B0-F864CC352746}"/>
                        </a:ext>
                      </a:extLst>
                    </pic:cNvPr>
                    <pic:cNvPicPr>
                      <a:picLocks noChangeAspect="1"/>
                    </pic:cNvPicPr>
                  </pic:nvPicPr>
                  <pic:blipFill>
                    <a:blip r:embed="rId20"/>
                    <a:stretch>
                      <a:fillRect/>
                    </a:stretch>
                  </pic:blipFill>
                  <pic:spPr>
                    <a:xfrm>
                      <a:off x="0" y="0"/>
                      <a:ext cx="6016625" cy="2729230"/>
                    </a:xfrm>
                    <a:prstGeom prst="rect">
                      <a:avLst/>
                    </a:prstGeom>
                  </pic:spPr>
                </pic:pic>
              </a:graphicData>
            </a:graphic>
          </wp:inline>
        </w:drawing>
      </w:r>
    </w:p>
    <w:p w14:paraId="26FFC6F1" w14:textId="453397B4" w:rsidR="00FB34C0" w:rsidRDefault="001D59CF" w:rsidP="00FB34C0">
      <w:pPr>
        <w:jc w:val="both"/>
        <w:rPr>
          <w:rFonts w:asciiTheme="minorHAnsi" w:hAnsiTheme="minorHAnsi" w:cstheme="minorHAnsi"/>
          <w:sz w:val="24"/>
          <w:szCs w:val="24"/>
        </w:rPr>
      </w:pPr>
      <w:r w:rsidRPr="001D59CF">
        <w:rPr>
          <w:rFonts w:asciiTheme="minorHAnsi" w:hAnsiTheme="minorHAnsi" w:cstheme="minorHAnsi"/>
          <w:sz w:val="24"/>
          <w:szCs w:val="24"/>
        </w:rPr>
        <w:t xml:space="preserve">Overall, 419 </w:t>
      </w:r>
      <w:r w:rsidR="00234FF3">
        <w:rPr>
          <w:rFonts w:asciiTheme="minorHAnsi" w:hAnsiTheme="minorHAnsi" w:cstheme="minorHAnsi"/>
          <w:sz w:val="24"/>
          <w:szCs w:val="24"/>
        </w:rPr>
        <w:t>patients</w:t>
      </w:r>
      <w:r w:rsidRPr="001D59CF">
        <w:rPr>
          <w:rFonts w:asciiTheme="minorHAnsi" w:hAnsiTheme="minorHAnsi" w:cstheme="minorHAnsi"/>
          <w:sz w:val="24"/>
          <w:szCs w:val="24"/>
        </w:rPr>
        <w:t xml:space="preserve"> were randomi</w:t>
      </w:r>
      <w:r w:rsidR="0048285C">
        <w:rPr>
          <w:rFonts w:asciiTheme="minorHAnsi" w:hAnsiTheme="minorHAnsi" w:cstheme="minorHAnsi"/>
          <w:sz w:val="24"/>
          <w:szCs w:val="24"/>
        </w:rPr>
        <w:t>s</w:t>
      </w:r>
      <w:r w:rsidRPr="001D59CF">
        <w:rPr>
          <w:rFonts w:asciiTheme="minorHAnsi" w:hAnsiTheme="minorHAnsi" w:cstheme="minorHAnsi"/>
          <w:sz w:val="24"/>
          <w:szCs w:val="24"/>
        </w:rPr>
        <w:t>ed into CARTITUDE-4 (</w:t>
      </w:r>
      <w:r w:rsidR="007E3BB6">
        <w:rPr>
          <w:rFonts w:asciiTheme="minorHAnsi" w:hAnsiTheme="minorHAnsi" w:cstheme="minorHAnsi"/>
          <w:sz w:val="24"/>
          <w:szCs w:val="24"/>
        </w:rPr>
        <w:t>standard of care arm:</w:t>
      </w:r>
      <w:r w:rsidRPr="001D59CF">
        <w:rPr>
          <w:rFonts w:asciiTheme="minorHAnsi" w:hAnsiTheme="minorHAnsi" w:cstheme="minorHAnsi"/>
          <w:sz w:val="24"/>
          <w:szCs w:val="24"/>
        </w:rPr>
        <w:t xml:space="preserve"> 211 pa</w:t>
      </w:r>
      <w:r w:rsidR="007E3BB6">
        <w:rPr>
          <w:rFonts w:asciiTheme="minorHAnsi" w:hAnsiTheme="minorHAnsi" w:cstheme="minorHAnsi"/>
          <w:sz w:val="24"/>
          <w:szCs w:val="24"/>
        </w:rPr>
        <w:t>tients</w:t>
      </w:r>
      <w:r w:rsidRPr="001D59CF">
        <w:rPr>
          <w:rFonts w:asciiTheme="minorHAnsi" w:hAnsiTheme="minorHAnsi" w:cstheme="minorHAnsi"/>
          <w:sz w:val="24"/>
          <w:szCs w:val="24"/>
        </w:rPr>
        <w:t xml:space="preserve">; </w:t>
      </w:r>
      <w:r w:rsidR="007E3BB6">
        <w:rPr>
          <w:rFonts w:asciiTheme="minorHAnsi" w:hAnsiTheme="minorHAnsi" w:cstheme="minorHAnsi"/>
          <w:sz w:val="24"/>
          <w:szCs w:val="24"/>
        </w:rPr>
        <w:t>cilta-cel arm</w:t>
      </w:r>
      <w:r w:rsidRPr="001D59CF">
        <w:rPr>
          <w:rFonts w:asciiTheme="minorHAnsi" w:hAnsiTheme="minorHAnsi" w:cstheme="minorHAnsi"/>
          <w:sz w:val="24"/>
          <w:szCs w:val="24"/>
        </w:rPr>
        <w:t>:</w:t>
      </w:r>
      <w:r w:rsidR="007E3BB6">
        <w:rPr>
          <w:rFonts w:asciiTheme="minorHAnsi" w:hAnsiTheme="minorHAnsi" w:cstheme="minorHAnsi"/>
          <w:sz w:val="24"/>
          <w:szCs w:val="24"/>
        </w:rPr>
        <w:t xml:space="preserve"> </w:t>
      </w:r>
      <w:r w:rsidRPr="001D59CF">
        <w:rPr>
          <w:rFonts w:asciiTheme="minorHAnsi" w:hAnsiTheme="minorHAnsi" w:cstheme="minorHAnsi"/>
          <w:sz w:val="24"/>
          <w:szCs w:val="24"/>
        </w:rPr>
        <w:t>208 pa</w:t>
      </w:r>
      <w:r w:rsidR="007E3BB6">
        <w:rPr>
          <w:rFonts w:asciiTheme="minorHAnsi" w:hAnsiTheme="minorHAnsi" w:cstheme="minorHAnsi"/>
          <w:sz w:val="24"/>
          <w:szCs w:val="24"/>
        </w:rPr>
        <w:t>tients</w:t>
      </w:r>
      <w:r w:rsidRPr="001D59CF">
        <w:rPr>
          <w:rFonts w:asciiTheme="minorHAnsi" w:hAnsiTheme="minorHAnsi" w:cstheme="minorHAnsi"/>
          <w:sz w:val="24"/>
          <w:szCs w:val="24"/>
        </w:rPr>
        <w:t xml:space="preserve">) and comprised the ITT analysis set. Of these, 416 </w:t>
      </w:r>
      <w:r w:rsidR="00D94734">
        <w:rPr>
          <w:rFonts w:asciiTheme="minorHAnsi" w:hAnsiTheme="minorHAnsi" w:cstheme="minorHAnsi"/>
          <w:sz w:val="24"/>
          <w:szCs w:val="24"/>
        </w:rPr>
        <w:t>patients</w:t>
      </w:r>
      <w:r w:rsidRPr="001D59CF">
        <w:rPr>
          <w:rFonts w:asciiTheme="minorHAnsi" w:hAnsiTheme="minorHAnsi" w:cstheme="minorHAnsi"/>
          <w:sz w:val="24"/>
          <w:szCs w:val="24"/>
        </w:rPr>
        <w:t xml:space="preserve"> received any part</w:t>
      </w:r>
      <w:r w:rsidR="00D94734">
        <w:rPr>
          <w:rFonts w:asciiTheme="minorHAnsi" w:hAnsiTheme="minorHAnsi" w:cstheme="minorHAnsi"/>
          <w:sz w:val="24"/>
          <w:szCs w:val="24"/>
        </w:rPr>
        <w:t xml:space="preserve"> </w:t>
      </w:r>
      <w:r w:rsidRPr="001D59CF">
        <w:rPr>
          <w:rFonts w:asciiTheme="minorHAnsi" w:hAnsiTheme="minorHAnsi" w:cstheme="minorHAnsi"/>
          <w:sz w:val="24"/>
          <w:szCs w:val="24"/>
        </w:rPr>
        <w:t>of study treatment (</w:t>
      </w:r>
      <w:r w:rsidR="00D94734">
        <w:rPr>
          <w:rFonts w:asciiTheme="minorHAnsi" w:hAnsiTheme="minorHAnsi" w:cstheme="minorHAnsi"/>
          <w:sz w:val="24"/>
          <w:szCs w:val="24"/>
        </w:rPr>
        <w:t>standard of care arm</w:t>
      </w:r>
      <w:r w:rsidRPr="001D59CF">
        <w:rPr>
          <w:rFonts w:asciiTheme="minorHAnsi" w:hAnsiTheme="minorHAnsi" w:cstheme="minorHAnsi"/>
          <w:sz w:val="24"/>
          <w:szCs w:val="24"/>
        </w:rPr>
        <w:t xml:space="preserve">: 208 </w:t>
      </w:r>
      <w:r w:rsidR="00D94734">
        <w:rPr>
          <w:rFonts w:asciiTheme="minorHAnsi" w:hAnsiTheme="minorHAnsi" w:cstheme="minorHAnsi"/>
          <w:sz w:val="24"/>
          <w:szCs w:val="24"/>
        </w:rPr>
        <w:t>patients</w:t>
      </w:r>
      <w:r w:rsidRPr="001D59CF">
        <w:rPr>
          <w:rFonts w:asciiTheme="minorHAnsi" w:hAnsiTheme="minorHAnsi" w:cstheme="minorHAnsi"/>
          <w:sz w:val="24"/>
          <w:szCs w:val="24"/>
        </w:rPr>
        <w:t xml:space="preserve">; </w:t>
      </w:r>
      <w:r w:rsidR="00D94734">
        <w:rPr>
          <w:rFonts w:asciiTheme="minorHAnsi" w:hAnsiTheme="minorHAnsi" w:cstheme="minorHAnsi"/>
          <w:sz w:val="24"/>
          <w:szCs w:val="24"/>
        </w:rPr>
        <w:t>cilta-cel arm</w:t>
      </w:r>
      <w:r w:rsidRPr="001D59CF">
        <w:rPr>
          <w:rFonts w:asciiTheme="minorHAnsi" w:hAnsiTheme="minorHAnsi" w:cstheme="minorHAnsi"/>
          <w:sz w:val="24"/>
          <w:szCs w:val="24"/>
        </w:rPr>
        <w:t xml:space="preserve">: 208 </w:t>
      </w:r>
      <w:r w:rsidR="00D94734">
        <w:rPr>
          <w:rFonts w:asciiTheme="minorHAnsi" w:hAnsiTheme="minorHAnsi" w:cstheme="minorHAnsi"/>
          <w:sz w:val="24"/>
          <w:szCs w:val="24"/>
        </w:rPr>
        <w:t>patients</w:t>
      </w:r>
      <w:r w:rsidRPr="001D59CF">
        <w:rPr>
          <w:rFonts w:asciiTheme="minorHAnsi" w:hAnsiTheme="minorHAnsi" w:cstheme="minorHAnsi"/>
          <w:sz w:val="24"/>
          <w:szCs w:val="24"/>
        </w:rPr>
        <w:t>) and comprised the safety</w:t>
      </w:r>
      <w:r w:rsidR="00D94734">
        <w:rPr>
          <w:rFonts w:asciiTheme="minorHAnsi" w:hAnsiTheme="minorHAnsi" w:cstheme="minorHAnsi"/>
          <w:sz w:val="24"/>
          <w:szCs w:val="24"/>
        </w:rPr>
        <w:t xml:space="preserve"> </w:t>
      </w:r>
      <w:r w:rsidRPr="001D59CF">
        <w:rPr>
          <w:rFonts w:asciiTheme="minorHAnsi" w:hAnsiTheme="minorHAnsi" w:cstheme="minorHAnsi"/>
          <w:sz w:val="24"/>
          <w:szCs w:val="24"/>
        </w:rPr>
        <w:t xml:space="preserve">analysis set. Three </w:t>
      </w:r>
      <w:r w:rsidR="0048285C">
        <w:rPr>
          <w:rFonts w:asciiTheme="minorHAnsi" w:hAnsiTheme="minorHAnsi" w:cstheme="minorHAnsi"/>
          <w:sz w:val="24"/>
          <w:szCs w:val="24"/>
        </w:rPr>
        <w:t>patients</w:t>
      </w:r>
      <w:r w:rsidRPr="001D59CF">
        <w:rPr>
          <w:rFonts w:asciiTheme="minorHAnsi" w:hAnsiTheme="minorHAnsi" w:cstheme="minorHAnsi"/>
          <w:sz w:val="24"/>
          <w:szCs w:val="24"/>
        </w:rPr>
        <w:t xml:space="preserve"> were randomi</w:t>
      </w:r>
      <w:r w:rsidR="0048285C">
        <w:rPr>
          <w:rFonts w:asciiTheme="minorHAnsi" w:hAnsiTheme="minorHAnsi" w:cstheme="minorHAnsi"/>
          <w:sz w:val="24"/>
          <w:szCs w:val="24"/>
        </w:rPr>
        <w:t>s</w:t>
      </w:r>
      <w:r w:rsidRPr="001D59CF">
        <w:rPr>
          <w:rFonts w:asciiTheme="minorHAnsi" w:hAnsiTheme="minorHAnsi" w:cstheme="minorHAnsi"/>
          <w:sz w:val="24"/>
          <w:szCs w:val="24"/>
        </w:rPr>
        <w:t xml:space="preserve">ed to </w:t>
      </w:r>
      <w:r w:rsidR="00D94734">
        <w:rPr>
          <w:rFonts w:asciiTheme="minorHAnsi" w:hAnsiTheme="minorHAnsi" w:cstheme="minorHAnsi"/>
          <w:sz w:val="24"/>
          <w:szCs w:val="24"/>
        </w:rPr>
        <w:t>the standard of care arm</w:t>
      </w:r>
      <w:r w:rsidRPr="001D59CF">
        <w:rPr>
          <w:rFonts w:asciiTheme="minorHAnsi" w:hAnsiTheme="minorHAnsi" w:cstheme="minorHAnsi"/>
          <w:sz w:val="24"/>
          <w:szCs w:val="24"/>
        </w:rPr>
        <w:t xml:space="preserve"> but not treated. </w:t>
      </w:r>
      <w:r w:rsidR="00FB34C0" w:rsidRPr="00FB34C0">
        <w:rPr>
          <w:rFonts w:asciiTheme="minorHAnsi" w:hAnsiTheme="minorHAnsi" w:cstheme="minorHAnsi"/>
          <w:sz w:val="24"/>
          <w:szCs w:val="24"/>
        </w:rPr>
        <w:t xml:space="preserve">Of 208 </w:t>
      </w:r>
      <w:r w:rsidR="00D94734">
        <w:rPr>
          <w:rFonts w:asciiTheme="minorHAnsi" w:hAnsiTheme="minorHAnsi" w:cstheme="minorHAnsi"/>
          <w:sz w:val="24"/>
          <w:szCs w:val="24"/>
        </w:rPr>
        <w:t>patients</w:t>
      </w:r>
      <w:r w:rsidR="00FB34C0" w:rsidRPr="00FB34C0">
        <w:rPr>
          <w:rFonts w:asciiTheme="minorHAnsi" w:hAnsiTheme="minorHAnsi" w:cstheme="minorHAnsi"/>
          <w:sz w:val="24"/>
          <w:szCs w:val="24"/>
        </w:rPr>
        <w:t xml:space="preserve"> </w:t>
      </w:r>
      <w:r w:rsidR="00D94734">
        <w:rPr>
          <w:rFonts w:asciiTheme="minorHAnsi" w:hAnsiTheme="minorHAnsi" w:cstheme="minorHAnsi"/>
          <w:sz w:val="24"/>
          <w:szCs w:val="24"/>
        </w:rPr>
        <w:t>in the cilta-cel arm</w:t>
      </w:r>
      <w:r w:rsidR="00FB34C0" w:rsidRPr="00FB34C0">
        <w:rPr>
          <w:rFonts w:asciiTheme="minorHAnsi" w:hAnsiTheme="minorHAnsi" w:cstheme="minorHAnsi"/>
          <w:sz w:val="24"/>
          <w:szCs w:val="24"/>
        </w:rPr>
        <w:t xml:space="preserve">, 176 </w:t>
      </w:r>
      <w:r w:rsidR="0048285C">
        <w:rPr>
          <w:rFonts w:asciiTheme="minorHAnsi" w:hAnsiTheme="minorHAnsi" w:cstheme="minorHAnsi"/>
          <w:sz w:val="24"/>
          <w:szCs w:val="24"/>
        </w:rPr>
        <w:t>patients</w:t>
      </w:r>
      <w:r w:rsidR="00FB34C0" w:rsidRPr="00FB34C0">
        <w:rPr>
          <w:rFonts w:asciiTheme="minorHAnsi" w:hAnsiTheme="minorHAnsi" w:cstheme="minorHAnsi"/>
          <w:sz w:val="24"/>
          <w:szCs w:val="24"/>
        </w:rPr>
        <w:t xml:space="preserve"> received cilta-cel infusion as study</w:t>
      </w:r>
      <w:r w:rsidR="00D94734">
        <w:rPr>
          <w:rFonts w:asciiTheme="minorHAnsi" w:hAnsiTheme="minorHAnsi" w:cstheme="minorHAnsi"/>
          <w:sz w:val="24"/>
          <w:szCs w:val="24"/>
        </w:rPr>
        <w:t xml:space="preserve"> </w:t>
      </w:r>
      <w:r w:rsidR="00FB34C0" w:rsidRPr="00FB34C0">
        <w:rPr>
          <w:rFonts w:asciiTheme="minorHAnsi" w:hAnsiTheme="minorHAnsi" w:cstheme="minorHAnsi"/>
          <w:sz w:val="24"/>
          <w:szCs w:val="24"/>
        </w:rPr>
        <w:t xml:space="preserve">treatment, while 32 </w:t>
      </w:r>
      <w:r w:rsidR="0048285C">
        <w:rPr>
          <w:rFonts w:asciiTheme="minorHAnsi" w:hAnsiTheme="minorHAnsi" w:cstheme="minorHAnsi"/>
          <w:sz w:val="24"/>
          <w:szCs w:val="24"/>
        </w:rPr>
        <w:t>patients</w:t>
      </w:r>
      <w:r w:rsidR="00FB34C0" w:rsidRPr="00FB34C0">
        <w:rPr>
          <w:rFonts w:asciiTheme="minorHAnsi" w:hAnsiTheme="minorHAnsi" w:cstheme="minorHAnsi"/>
          <w:sz w:val="24"/>
          <w:szCs w:val="24"/>
        </w:rPr>
        <w:t xml:space="preserve"> discontinued study treatment </w:t>
      </w:r>
      <w:r w:rsidR="00DE2F8E">
        <w:rPr>
          <w:rFonts w:asciiTheme="minorHAnsi" w:hAnsiTheme="minorHAnsi" w:cstheme="minorHAnsi"/>
          <w:sz w:val="24"/>
          <w:szCs w:val="24"/>
        </w:rPr>
        <w:t>during ap</w:t>
      </w:r>
      <w:r w:rsidR="003E7028">
        <w:rPr>
          <w:rFonts w:asciiTheme="minorHAnsi" w:hAnsiTheme="minorHAnsi" w:cstheme="minorHAnsi"/>
          <w:sz w:val="24"/>
          <w:szCs w:val="24"/>
        </w:rPr>
        <w:t>he</w:t>
      </w:r>
      <w:r w:rsidR="00DE2F8E">
        <w:rPr>
          <w:rFonts w:asciiTheme="minorHAnsi" w:hAnsiTheme="minorHAnsi" w:cstheme="minorHAnsi"/>
          <w:sz w:val="24"/>
          <w:szCs w:val="24"/>
        </w:rPr>
        <w:t>resis</w:t>
      </w:r>
      <w:r w:rsidR="003E7028">
        <w:rPr>
          <w:rFonts w:asciiTheme="minorHAnsi" w:hAnsiTheme="minorHAnsi" w:cstheme="minorHAnsi"/>
          <w:sz w:val="24"/>
          <w:szCs w:val="24"/>
        </w:rPr>
        <w:t xml:space="preserve"> and/or bridging therapy </w:t>
      </w:r>
      <w:r w:rsidR="00FB34C0" w:rsidRPr="00FB34C0">
        <w:rPr>
          <w:rFonts w:asciiTheme="minorHAnsi" w:hAnsiTheme="minorHAnsi" w:cstheme="minorHAnsi"/>
          <w:sz w:val="24"/>
          <w:szCs w:val="24"/>
        </w:rPr>
        <w:t>before receiving cilta-cel infusion.</w:t>
      </w:r>
      <w:r w:rsidR="00D94734">
        <w:rPr>
          <w:rFonts w:asciiTheme="minorHAnsi" w:hAnsiTheme="minorHAnsi" w:cstheme="minorHAnsi"/>
          <w:sz w:val="24"/>
          <w:szCs w:val="24"/>
        </w:rPr>
        <w:t xml:space="preserve"> </w:t>
      </w:r>
      <w:r w:rsidR="00FB34C0" w:rsidRPr="00FB34C0">
        <w:rPr>
          <w:rFonts w:asciiTheme="minorHAnsi" w:hAnsiTheme="minorHAnsi" w:cstheme="minorHAnsi"/>
          <w:sz w:val="24"/>
          <w:szCs w:val="24"/>
        </w:rPr>
        <w:t xml:space="preserve">Of these 32 </w:t>
      </w:r>
      <w:r w:rsidR="0048285C">
        <w:rPr>
          <w:rFonts w:asciiTheme="minorHAnsi" w:hAnsiTheme="minorHAnsi" w:cstheme="minorHAnsi"/>
          <w:sz w:val="24"/>
          <w:szCs w:val="24"/>
        </w:rPr>
        <w:t>patients</w:t>
      </w:r>
      <w:r w:rsidR="00FB34C0" w:rsidRPr="00FB34C0">
        <w:rPr>
          <w:rFonts w:asciiTheme="minorHAnsi" w:hAnsiTheme="minorHAnsi" w:cstheme="minorHAnsi"/>
          <w:sz w:val="24"/>
          <w:szCs w:val="24"/>
        </w:rPr>
        <w:t xml:space="preserve">, 2 </w:t>
      </w:r>
      <w:r w:rsidR="0048285C">
        <w:rPr>
          <w:rFonts w:asciiTheme="minorHAnsi" w:hAnsiTheme="minorHAnsi" w:cstheme="minorHAnsi"/>
          <w:sz w:val="24"/>
          <w:szCs w:val="24"/>
        </w:rPr>
        <w:t>patients</w:t>
      </w:r>
      <w:r w:rsidR="00FB34C0" w:rsidRPr="00FB34C0">
        <w:rPr>
          <w:rFonts w:asciiTheme="minorHAnsi" w:hAnsiTheme="minorHAnsi" w:cstheme="minorHAnsi"/>
          <w:sz w:val="24"/>
          <w:szCs w:val="24"/>
        </w:rPr>
        <w:t xml:space="preserve"> died and 30 had disease progression. </w:t>
      </w:r>
    </w:p>
    <w:p w14:paraId="67AB9FF3" w14:textId="62F68957" w:rsidR="00266226" w:rsidRDefault="00462098" w:rsidP="00FB34C0">
      <w:pPr>
        <w:jc w:val="both"/>
        <w:rPr>
          <w:rFonts w:asciiTheme="minorHAnsi" w:hAnsiTheme="minorHAnsi" w:cstheme="minorHAnsi"/>
          <w:sz w:val="24"/>
          <w:szCs w:val="24"/>
        </w:rPr>
      </w:pPr>
      <w:r w:rsidRPr="00462098">
        <w:rPr>
          <w:rFonts w:asciiTheme="minorHAnsi" w:hAnsiTheme="minorHAnsi" w:cstheme="minorHAnsi"/>
          <w:sz w:val="24"/>
          <w:szCs w:val="24"/>
        </w:rPr>
        <w:t xml:space="preserve">At a median follow-up of 33·6 months (IQR 20·3–35·0), median </w:t>
      </w:r>
      <w:r w:rsidR="00AE50CA">
        <w:rPr>
          <w:rFonts w:asciiTheme="minorHAnsi" w:hAnsiTheme="minorHAnsi" w:cstheme="minorHAnsi"/>
          <w:sz w:val="24"/>
          <w:szCs w:val="24"/>
        </w:rPr>
        <w:t>PFS</w:t>
      </w:r>
      <w:r>
        <w:rPr>
          <w:rFonts w:asciiTheme="minorHAnsi" w:hAnsiTheme="minorHAnsi" w:cstheme="minorHAnsi"/>
          <w:sz w:val="24"/>
          <w:szCs w:val="24"/>
        </w:rPr>
        <w:t xml:space="preserve"> </w:t>
      </w:r>
      <w:r w:rsidRPr="00462098">
        <w:rPr>
          <w:rFonts w:asciiTheme="minorHAnsi" w:hAnsiTheme="minorHAnsi" w:cstheme="minorHAnsi"/>
          <w:sz w:val="24"/>
          <w:szCs w:val="24"/>
        </w:rPr>
        <w:t>was not reached (95% CI 34·5 months–not evaluable) in the cilta-cel group versus 11·8 months (9·7–14·0) in the</w:t>
      </w:r>
      <w:r w:rsidR="004A653E">
        <w:rPr>
          <w:rFonts w:asciiTheme="minorHAnsi" w:hAnsiTheme="minorHAnsi" w:cstheme="minorHAnsi"/>
          <w:sz w:val="24"/>
          <w:szCs w:val="24"/>
        </w:rPr>
        <w:t xml:space="preserve"> </w:t>
      </w:r>
      <w:r w:rsidRPr="00462098">
        <w:rPr>
          <w:rFonts w:asciiTheme="minorHAnsi" w:hAnsiTheme="minorHAnsi" w:cstheme="minorHAnsi"/>
          <w:sz w:val="24"/>
          <w:szCs w:val="24"/>
        </w:rPr>
        <w:t>standard-of-care group</w:t>
      </w:r>
      <w:r w:rsidR="00BE1FF8">
        <w:rPr>
          <w:rFonts w:asciiTheme="minorHAnsi" w:hAnsiTheme="minorHAnsi" w:cstheme="minorHAnsi"/>
          <w:sz w:val="24"/>
          <w:szCs w:val="24"/>
        </w:rPr>
        <w:t xml:space="preserve">. Treatment with cilta-cel </w:t>
      </w:r>
      <w:r w:rsidR="001C67C1">
        <w:rPr>
          <w:rFonts w:asciiTheme="minorHAnsi" w:hAnsiTheme="minorHAnsi" w:cstheme="minorHAnsi"/>
          <w:sz w:val="24"/>
          <w:szCs w:val="24"/>
        </w:rPr>
        <w:t xml:space="preserve">significantly </w:t>
      </w:r>
      <w:r w:rsidR="00BE1FF8">
        <w:rPr>
          <w:rFonts w:asciiTheme="minorHAnsi" w:hAnsiTheme="minorHAnsi" w:cstheme="minorHAnsi"/>
          <w:sz w:val="24"/>
          <w:szCs w:val="24"/>
        </w:rPr>
        <w:t>reduced the risk of disease progression or death compared with the standard of care arm</w:t>
      </w:r>
      <w:r w:rsidR="001C67C1">
        <w:rPr>
          <w:rFonts w:asciiTheme="minorHAnsi" w:hAnsiTheme="minorHAnsi" w:cstheme="minorHAnsi"/>
          <w:sz w:val="24"/>
          <w:szCs w:val="24"/>
        </w:rPr>
        <w:t xml:space="preserve"> by 71%</w:t>
      </w:r>
      <w:r w:rsidRPr="00462098">
        <w:rPr>
          <w:rFonts w:asciiTheme="minorHAnsi" w:hAnsiTheme="minorHAnsi" w:cstheme="minorHAnsi"/>
          <w:sz w:val="24"/>
          <w:szCs w:val="24"/>
        </w:rPr>
        <w:t xml:space="preserve"> (HR 0·29 [95% CI 0·22–0·39]). </w:t>
      </w:r>
      <w:r w:rsidR="008B7246">
        <w:rPr>
          <w:rFonts w:asciiTheme="minorHAnsi" w:hAnsiTheme="minorHAnsi" w:cstheme="minorHAnsi"/>
          <w:sz w:val="24"/>
          <w:szCs w:val="24"/>
        </w:rPr>
        <w:t>After 30 months, mor</w:t>
      </w:r>
      <w:r w:rsidR="00C9169C">
        <w:rPr>
          <w:rFonts w:asciiTheme="minorHAnsi" w:hAnsiTheme="minorHAnsi" w:cstheme="minorHAnsi"/>
          <w:sz w:val="24"/>
          <w:szCs w:val="24"/>
        </w:rPr>
        <w:t>e</w:t>
      </w:r>
      <w:r w:rsidR="008B7246">
        <w:rPr>
          <w:rFonts w:asciiTheme="minorHAnsi" w:hAnsiTheme="minorHAnsi" w:cstheme="minorHAnsi"/>
          <w:sz w:val="24"/>
          <w:szCs w:val="24"/>
        </w:rPr>
        <w:t xml:space="preserve"> than double the proportion of patients remained alive and progression free after treatment with cilta-cel compared with the standard of care arm.</w:t>
      </w:r>
    </w:p>
    <w:p w14:paraId="20FAF9FE" w14:textId="45FE073E" w:rsidR="00C9169C" w:rsidRDefault="00462098" w:rsidP="007520A6">
      <w:pPr>
        <w:jc w:val="both"/>
        <w:rPr>
          <w:rFonts w:asciiTheme="minorHAnsi" w:hAnsiTheme="minorHAnsi" w:cstheme="minorHAnsi"/>
          <w:sz w:val="24"/>
          <w:szCs w:val="24"/>
        </w:rPr>
      </w:pPr>
      <w:r w:rsidRPr="00462098">
        <w:rPr>
          <w:rFonts w:asciiTheme="minorHAnsi" w:hAnsiTheme="minorHAnsi" w:cstheme="minorHAnsi"/>
          <w:sz w:val="24"/>
          <w:szCs w:val="24"/>
        </w:rPr>
        <w:t xml:space="preserve">Median </w:t>
      </w:r>
      <w:r w:rsidR="00AE50CA">
        <w:rPr>
          <w:rFonts w:asciiTheme="minorHAnsi" w:hAnsiTheme="minorHAnsi" w:cstheme="minorHAnsi"/>
          <w:sz w:val="24"/>
          <w:szCs w:val="24"/>
        </w:rPr>
        <w:t>OS</w:t>
      </w:r>
      <w:r w:rsidRPr="00462098">
        <w:rPr>
          <w:rFonts w:asciiTheme="minorHAnsi" w:hAnsiTheme="minorHAnsi" w:cstheme="minorHAnsi"/>
          <w:sz w:val="24"/>
          <w:szCs w:val="24"/>
        </w:rPr>
        <w:t xml:space="preserve"> was not reached (95% CI not evaluable)</w:t>
      </w:r>
      <w:r>
        <w:rPr>
          <w:rFonts w:asciiTheme="minorHAnsi" w:hAnsiTheme="minorHAnsi" w:cstheme="minorHAnsi"/>
          <w:sz w:val="24"/>
          <w:szCs w:val="24"/>
        </w:rPr>
        <w:t xml:space="preserve"> </w:t>
      </w:r>
      <w:r w:rsidRPr="00462098">
        <w:rPr>
          <w:rFonts w:asciiTheme="minorHAnsi" w:hAnsiTheme="minorHAnsi" w:cstheme="minorHAnsi"/>
          <w:sz w:val="24"/>
          <w:szCs w:val="24"/>
        </w:rPr>
        <w:t>with cilta-cel versus not reached (37·7 months–not evaluable) with standard of care</w:t>
      </w:r>
      <w:r w:rsidR="001C67C1">
        <w:rPr>
          <w:rFonts w:asciiTheme="minorHAnsi" w:hAnsiTheme="minorHAnsi" w:cstheme="minorHAnsi"/>
          <w:sz w:val="24"/>
          <w:szCs w:val="24"/>
        </w:rPr>
        <w:t>. Treatment with cilta-cel significantly reduced the risk of death from any cause compared with the standard of care arm by 45%</w:t>
      </w:r>
      <w:r w:rsidRPr="00462098">
        <w:rPr>
          <w:rFonts w:asciiTheme="minorHAnsi" w:hAnsiTheme="minorHAnsi" w:cstheme="minorHAnsi"/>
          <w:sz w:val="24"/>
          <w:szCs w:val="24"/>
        </w:rPr>
        <w:t xml:space="preserve"> (HR 0·55 [95% CI 0·39–0·79];</w:t>
      </w:r>
      <w:r>
        <w:rPr>
          <w:rFonts w:asciiTheme="minorHAnsi" w:hAnsiTheme="minorHAnsi" w:cstheme="minorHAnsi"/>
          <w:sz w:val="24"/>
          <w:szCs w:val="24"/>
        </w:rPr>
        <w:t xml:space="preserve"> </w:t>
      </w:r>
      <w:r w:rsidRPr="00462098">
        <w:rPr>
          <w:rFonts w:asciiTheme="minorHAnsi" w:hAnsiTheme="minorHAnsi" w:cstheme="minorHAnsi"/>
          <w:sz w:val="24"/>
          <w:szCs w:val="24"/>
        </w:rPr>
        <w:t xml:space="preserve">p=0·0009). </w:t>
      </w:r>
      <w:r w:rsidR="00C9169C">
        <w:rPr>
          <w:rFonts w:asciiTheme="minorHAnsi" w:hAnsiTheme="minorHAnsi" w:cstheme="minorHAnsi"/>
          <w:sz w:val="24"/>
          <w:szCs w:val="24"/>
        </w:rPr>
        <w:t xml:space="preserve">After 30 months, </w:t>
      </w:r>
      <w:r w:rsidR="00DF3653">
        <w:rPr>
          <w:rFonts w:asciiTheme="minorHAnsi" w:hAnsiTheme="minorHAnsi" w:cstheme="minorHAnsi"/>
          <w:sz w:val="24"/>
          <w:szCs w:val="24"/>
        </w:rPr>
        <w:t>an additional</w:t>
      </w:r>
      <w:r w:rsidR="00C9169C">
        <w:rPr>
          <w:rFonts w:asciiTheme="minorHAnsi" w:hAnsiTheme="minorHAnsi" w:cstheme="minorHAnsi"/>
          <w:sz w:val="24"/>
          <w:szCs w:val="24"/>
        </w:rPr>
        <w:t xml:space="preserve"> 12% </w:t>
      </w:r>
      <w:r w:rsidR="00DF3653">
        <w:rPr>
          <w:rFonts w:asciiTheme="minorHAnsi" w:hAnsiTheme="minorHAnsi" w:cstheme="minorHAnsi"/>
          <w:sz w:val="24"/>
          <w:szCs w:val="24"/>
        </w:rPr>
        <w:t xml:space="preserve">of </w:t>
      </w:r>
      <w:r w:rsidR="00C9169C">
        <w:rPr>
          <w:rFonts w:asciiTheme="minorHAnsi" w:hAnsiTheme="minorHAnsi" w:cstheme="minorHAnsi"/>
          <w:sz w:val="24"/>
          <w:szCs w:val="24"/>
        </w:rPr>
        <w:t>patients remained alive after treatment with cilta-cel compared with the standard of care arm.</w:t>
      </w:r>
    </w:p>
    <w:p w14:paraId="44E359DF" w14:textId="1E9A1805" w:rsidR="00FB494D" w:rsidRDefault="001C67C1" w:rsidP="007520A6">
      <w:pPr>
        <w:jc w:val="both"/>
        <w:rPr>
          <w:rFonts w:asciiTheme="minorHAnsi" w:hAnsiTheme="minorHAnsi" w:cstheme="minorHAnsi"/>
          <w:sz w:val="24"/>
          <w:szCs w:val="24"/>
        </w:rPr>
      </w:pPr>
      <w:r w:rsidRPr="00650760">
        <w:rPr>
          <w:rFonts w:asciiTheme="minorHAnsi" w:hAnsiTheme="minorHAnsi" w:cstheme="minorHAnsi"/>
          <w:sz w:val="24"/>
          <w:szCs w:val="24"/>
        </w:rPr>
        <w:t xml:space="preserve">The </w:t>
      </w:r>
      <w:r w:rsidR="00AE50CA" w:rsidRPr="00650760">
        <w:rPr>
          <w:rFonts w:asciiTheme="minorHAnsi" w:hAnsiTheme="minorHAnsi" w:cstheme="minorHAnsi"/>
          <w:sz w:val="24"/>
          <w:szCs w:val="24"/>
        </w:rPr>
        <w:t xml:space="preserve">PFS and OS KM </w:t>
      </w:r>
      <w:r w:rsidR="00266226" w:rsidRPr="00650760">
        <w:rPr>
          <w:rFonts w:asciiTheme="minorHAnsi" w:hAnsiTheme="minorHAnsi" w:cstheme="minorHAnsi"/>
          <w:sz w:val="24"/>
          <w:szCs w:val="24"/>
        </w:rPr>
        <w:t xml:space="preserve">graphs </w:t>
      </w:r>
      <w:r w:rsidR="00AE50CA" w:rsidRPr="00650760">
        <w:rPr>
          <w:rFonts w:asciiTheme="minorHAnsi" w:hAnsiTheme="minorHAnsi" w:cstheme="minorHAnsi"/>
          <w:sz w:val="24"/>
          <w:szCs w:val="24"/>
        </w:rPr>
        <w:t xml:space="preserve">are presented below in Figures </w:t>
      </w:r>
      <w:r w:rsidR="002B1FFE" w:rsidRPr="00650760">
        <w:rPr>
          <w:rFonts w:asciiTheme="minorHAnsi" w:hAnsiTheme="minorHAnsi" w:cstheme="minorHAnsi"/>
          <w:sz w:val="24"/>
          <w:szCs w:val="24"/>
        </w:rPr>
        <w:t>5</w:t>
      </w:r>
      <w:r w:rsidR="00AE50CA" w:rsidRPr="00650760">
        <w:rPr>
          <w:rFonts w:asciiTheme="minorHAnsi" w:hAnsiTheme="minorHAnsi" w:cstheme="minorHAnsi"/>
          <w:sz w:val="24"/>
          <w:szCs w:val="24"/>
        </w:rPr>
        <w:t xml:space="preserve"> and </w:t>
      </w:r>
      <w:r w:rsidR="002B1FFE" w:rsidRPr="00650760">
        <w:rPr>
          <w:rFonts w:asciiTheme="minorHAnsi" w:hAnsiTheme="minorHAnsi" w:cstheme="minorHAnsi"/>
          <w:sz w:val="24"/>
          <w:szCs w:val="24"/>
        </w:rPr>
        <w:t>6</w:t>
      </w:r>
      <w:r w:rsidR="00AE50CA" w:rsidRPr="00650760">
        <w:rPr>
          <w:rFonts w:asciiTheme="minorHAnsi" w:hAnsiTheme="minorHAnsi" w:cstheme="minorHAnsi"/>
          <w:sz w:val="24"/>
          <w:szCs w:val="24"/>
        </w:rPr>
        <w:t>.</w:t>
      </w:r>
    </w:p>
    <w:p w14:paraId="725EB52D" w14:textId="6E2E2370" w:rsidR="003D7501" w:rsidRPr="00057ADD" w:rsidRDefault="003D7501" w:rsidP="007520A6">
      <w:pPr>
        <w:keepNext/>
        <w:jc w:val="both"/>
        <w:rPr>
          <w:rFonts w:asciiTheme="minorHAnsi" w:hAnsiTheme="minorHAnsi" w:cstheme="minorHAnsi"/>
          <w:b/>
          <w:bCs/>
          <w:sz w:val="24"/>
          <w:szCs w:val="24"/>
        </w:rPr>
      </w:pPr>
      <w:r w:rsidRPr="00057ADD">
        <w:rPr>
          <w:rFonts w:asciiTheme="minorHAnsi" w:hAnsiTheme="minorHAnsi" w:cstheme="minorHAnsi"/>
          <w:b/>
          <w:bCs/>
          <w:sz w:val="24"/>
          <w:szCs w:val="24"/>
        </w:rPr>
        <w:lastRenderedPageBreak/>
        <w:t xml:space="preserve">Figure </w:t>
      </w:r>
      <w:r w:rsidR="002B1FFE">
        <w:rPr>
          <w:rFonts w:asciiTheme="minorHAnsi" w:hAnsiTheme="minorHAnsi" w:cstheme="minorHAnsi"/>
          <w:b/>
          <w:bCs/>
          <w:sz w:val="24"/>
          <w:szCs w:val="24"/>
        </w:rPr>
        <w:t>5</w:t>
      </w:r>
      <w:r w:rsidRPr="00057ADD">
        <w:rPr>
          <w:rFonts w:asciiTheme="minorHAnsi" w:hAnsiTheme="minorHAnsi" w:cstheme="minorHAnsi"/>
          <w:b/>
          <w:bCs/>
          <w:sz w:val="24"/>
          <w:szCs w:val="24"/>
        </w:rPr>
        <w:t xml:space="preserve">: </w:t>
      </w:r>
      <w:r w:rsidR="00057ADD" w:rsidRPr="00057ADD">
        <w:rPr>
          <w:rFonts w:asciiTheme="minorHAnsi" w:hAnsiTheme="minorHAnsi" w:cstheme="minorHAnsi"/>
          <w:b/>
          <w:bCs/>
          <w:sz w:val="24"/>
          <w:szCs w:val="24"/>
        </w:rPr>
        <w:t>Progression-free survival</w:t>
      </w:r>
      <w:r w:rsidR="00266226">
        <w:rPr>
          <w:rFonts w:asciiTheme="minorHAnsi" w:hAnsiTheme="minorHAnsi" w:cstheme="minorHAnsi"/>
          <w:b/>
          <w:bCs/>
          <w:sz w:val="24"/>
          <w:szCs w:val="24"/>
        </w:rPr>
        <w:t xml:space="preserve"> (CARTITUDE-4)</w:t>
      </w:r>
    </w:p>
    <w:p w14:paraId="36B9B90D" w14:textId="4FF3904B" w:rsidR="00462098" w:rsidRDefault="003D7501" w:rsidP="00A21EBB">
      <w:pPr>
        <w:jc w:val="center"/>
        <w:rPr>
          <w:rFonts w:asciiTheme="minorHAnsi" w:hAnsiTheme="minorHAnsi" w:cstheme="minorHAnsi"/>
          <w:sz w:val="24"/>
          <w:szCs w:val="24"/>
        </w:rPr>
      </w:pPr>
      <w:r w:rsidRPr="003D7501">
        <w:rPr>
          <w:rFonts w:asciiTheme="minorHAnsi" w:hAnsiTheme="minorHAnsi" w:cstheme="minorHAnsi"/>
          <w:noProof/>
          <w:sz w:val="24"/>
          <w:szCs w:val="24"/>
        </w:rPr>
        <w:drawing>
          <wp:inline distT="0" distB="0" distL="0" distR="0" wp14:anchorId="4DF364D6" wp14:editId="7CF6B547">
            <wp:extent cx="4654789" cy="3924502"/>
            <wp:effectExtent l="0" t="0" r="0" b="0"/>
            <wp:docPr id="1922101354" name="Picture 1" descr="Kaplan–Meier graph compares progression-free survival (%) over 48 months for Cilta-cel versus standard care, using red dashed and blue solid curves respectively. Cilta-cel shows 89/208 events (43%) with median survival not reached, versus 153/211 (73%) and 11.8 months (95% CI 9.7–14.0) for standard care; 30-month estimates are 59.4% and 25.7%, with numbers at risk lis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101354" name="Picture 1" descr="Kaplan–Meier graph compares progression-free survival (%) over 48 months for Cilta-cel versus standard care, using red dashed and blue solid curves respectively. Cilta-cel shows 89/208 events (43%) with median survival not reached, versus 153/211 (73%) and 11.8 months (95% CI 9.7–14.0) for standard care; 30-month estimates are 59.4% and 25.7%, with numbers at risk listed below."/>
                    <pic:cNvPicPr/>
                  </pic:nvPicPr>
                  <pic:blipFill>
                    <a:blip r:embed="rId21"/>
                    <a:stretch>
                      <a:fillRect/>
                    </a:stretch>
                  </pic:blipFill>
                  <pic:spPr>
                    <a:xfrm>
                      <a:off x="0" y="0"/>
                      <a:ext cx="4654789" cy="3924502"/>
                    </a:xfrm>
                    <a:prstGeom prst="rect">
                      <a:avLst/>
                    </a:prstGeom>
                  </pic:spPr>
                </pic:pic>
              </a:graphicData>
            </a:graphic>
          </wp:inline>
        </w:drawing>
      </w:r>
    </w:p>
    <w:p w14:paraId="56B1BA51" w14:textId="69EF82BC" w:rsidR="003457D9" w:rsidRPr="003C72EC" w:rsidRDefault="003457D9" w:rsidP="007520A6">
      <w:pPr>
        <w:jc w:val="both"/>
        <w:rPr>
          <w:rFonts w:asciiTheme="minorHAnsi" w:hAnsiTheme="minorHAnsi" w:cstheme="minorHAnsi"/>
          <w:sz w:val="18"/>
          <w:szCs w:val="18"/>
        </w:rPr>
      </w:pPr>
      <w:r w:rsidRPr="003C72EC">
        <w:rPr>
          <w:rFonts w:asciiTheme="minorHAnsi" w:hAnsiTheme="minorHAnsi" w:cstheme="minorHAnsi"/>
          <w:sz w:val="18"/>
          <w:szCs w:val="18"/>
        </w:rPr>
        <w:t xml:space="preserve">Source: </w:t>
      </w:r>
      <w:proofErr w:type="spellStart"/>
      <w:r w:rsidRPr="003C72EC">
        <w:rPr>
          <w:rFonts w:asciiTheme="minorHAnsi" w:hAnsiTheme="minorHAnsi" w:cstheme="minorHAnsi"/>
          <w:sz w:val="18"/>
          <w:szCs w:val="18"/>
        </w:rPr>
        <w:t>Einsele</w:t>
      </w:r>
      <w:proofErr w:type="spellEnd"/>
      <w:r w:rsidRPr="003C72EC">
        <w:rPr>
          <w:rFonts w:asciiTheme="minorHAnsi" w:hAnsiTheme="minorHAnsi" w:cstheme="minorHAnsi"/>
          <w:sz w:val="18"/>
          <w:szCs w:val="18"/>
        </w:rPr>
        <w:t xml:space="preserve"> H et al. 2026. Lancet Oncol.</w:t>
      </w:r>
    </w:p>
    <w:p w14:paraId="187E1934" w14:textId="631503E4" w:rsidR="00057ADD" w:rsidRPr="00FB494D" w:rsidRDefault="00057ADD" w:rsidP="007520A6">
      <w:pPr>
        <w:keepNext/>
        <w:jc w:val="both"/>
        <w:rPr>
          <w:rFonts w:asciiTheme="minorHAnsi" w:hAnsiTheme="minorHAnsi" w:cstheme="minorHAnsi"/>
          <w:b/>
          <w:bCs/>
          <w:sz w:val="24"/>
          <w:szCs w:val="24"/>
        </w:rPr>
      </w:pPr>
      <w:r>
        <w:rPr>
          <w:rFonts w:asciiTheme="minorHAnsi" w:hAnsiTheme="minorHAnsi" w:cstheme="minorHAnsi"/>
          <w:sz w:val="24"/>
          <w:szCs w:val="24"/>
        </w:rPr>
        <w:br/>
      </w:r>
      <w:r w:rsidRPr="00FB494D">
        <w:rPr>
          <w:rFonts w:asciiTheme="minorHAnsi" w:hAnsiTheme="minorHAnsi" w:cstheme="minorHAnsi"/>
          <w:b/>
          <w:bCs/>
          <w:sz w:val="24"/>
          <w:szCs w:val="24"/>
        </w:rPr>
        <w:t xml:space="preserve">Figure </w:t>
      </w:r>
      <w:r w:rsidR="002B1FFE">
        <w:rPr>
          <w:rFonts w:asciiTheme="minorHAnsi" w:hAnsiTheme="minorHAnsi" w:cstheme="minorHAnsi"/>
          <w:b/>
          <w:bCs/>
          <w:sz w:val="24"/>
          <w:szCs w:val="24"/>
        </w:rPr>
        <w:t>6</w:t>
      </w:r>
      <w:r w:rsidRPr="00FB494D">
        <w:rPr>
          <w:rFonts w:asciiTheme="minorHAnsi" w:hAnsiTheme="minorHAnsi" w:cstheme="minorHAnsi"/>
          <w:b/>
          <w:bCs/>
          <w:sz w:val="24"/>
          <w:szCs w:val="24"/>
        </w:rPr>
        <w:t>: Overall survival</w:t>
      </w:r>
      <w:r w:rsidR="00FB6EEC">
        <w:rPr>
          <w:rFonts w:asciiTheme="minorHAnsi" w:hAnsiTheme="minorHAnsi" w:cstheme="minorHAnsi"/>
          <w:b/>
          <w:bCs/>
          <w:sz w:val="24"/>
          <w:szCs w:val="24"/>
        </w:rPr>
        <w:t xml:space="preserve"> (CARTITUDE-4)</w:t>
      </w:r>
    </w:p>
    <w:p w14:paraId="7332763B" w14:textId="6F467A1B" w:rsidR="00FB494D" w:rsidRDefault="00FB494D" w:rsidP="00A21EBB">
      <w:pPr>
        <w:jc w:val="center"/>
        <w:rPr>
          <w:rFonts w:asciiTheme="minorHAnsi" w:hAnsiTheme="minorHAnsi" w:cstheme="minorHAnsi"/>
          <w:sz w:val="24"/>
          <w:szCs w:val="24"/>
        </w:rPr>
      </w:pPr>
      <w:r w:rsidRPr="00FB494D">
        <w:rPr>
          <w:rFonts w:asciiTheme="minorHAnsi" w:hAnsiTheme="minorHAnsi" w:cstheme="minorHAnsi"/>
          <w:noProof/>
          <w:sz w:val="24"/>
          <w:szCs w:val="24"/>
        </w:rPr>
        <w:drawing>
          <wp:inline distT="0" distB="0" distL="0" distR="0" wp14:anchorId="7DC74163" wp14:editId="6E2FC99B">
            <wp:extent cx="4635738" cy="3981655"/>
            <wp:effectExtent l="0" t="0" r="0" b="0"/>
            <wp:docPr id="735240298" name="Picture 1" descr="Kaplan–Meier survival plot comparing overall survival after randomisation for Cilta-cel versus standard care, with months since randomisation on x-axis and overall survival percentage on y-axis. Red Cilta-cel curve shows 76.4% survival at 30 months versus 63.8% for blue standard-care curve; event counts are 50/208 (24%) and 83/211 (39%), with numbers at risk list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240298" name="Picture 1" descr="Kaplan–Meier survival plot comparing overall survival after randomisation for Cilta-cel versus standard care, with months since randomisation on x-axis and overall survival percentage on y-axis. Red Cilta-cel curve shows 76.4% survival at 30 months versus 63.8% for blue standard-care curve; event counts are 50/208 (24%) and 83/211 (39%), with numbers at risk listed below."/>
                    <pic:cNvPicPr/>
                  </pic:nvPicPr>
                  <pic:blipFill>
                    <a:blip r:embed="rId22"/>
                    <a:stretch>
                      <a:fillRect/>
                    </a:stretch>
                  </pic:blipFill>
                  <pic:spPr>
                    <a:xfrm>
                      <a:off x="0" y="0"/>
                      <a:ext cx="4635738" cy="3981655"/>
                    </a:xfrm>
                    <a:prstGeom prst="rect">
                      <a:avLst/>
                    </a:prstGeom>
                  </pic:spPr>
                </pic:pic>
              </a:graphicData>
            </a:graphic>
          </wp:inline>
        </w:drawing>
      </w:r>
    </w:p>
    <w:p w14:paraId="4E34A132" w14:textId="5546C951" w:rsidR="00600DFC" w:rsidRPr="003C72EC" w:rsidRDefault="003457D9" w:rsidP="00F0131F">
      <w:pPr>
        <w:spacing w:after="240"/>
        <w:jc w:val="both"/>
        <w:rPr>
          <w:rFonts w:asciiTheme="minorHAnsi" w:hAnsiTheme="minorHAnsi" w:cstheme="minorHAnsi"/>
          <w:sz w:val="18"/>
          <w:szCs w:val="18"/>
        </w:rPr>
      </w:pPr>
      <w:r w:rsidRPr="003C72EC">
        <w:rPr>
          <w:rFonts w:asciiTheme="minorHAnsi" w:hAnsiTheme="minorHAnsi" w:cstheme="minorHAnsi"/>
          <w:sz w:val="18"/>
          <w:szCs w:val="18"/>
        </w:rPr>
        <w:t xml:space="preserve">Source: </w:t>
      </w:r>
      <w:proofErr w:type="spellStart"/>
      <w:r w:rsidRPr="003C72EC">
        <w:rPr>
          <w:rFonts w:asciiTheme="minorHAnsi" w:hAnsiTheme="minorHAnsi" w:cstheme="minorHAnsi"/>
          <w:sz w:val="18"/>
          <w:szCs w:val="18"/>
        </w:rPr>
        <w:t>Einsele</w:t>
      </w:r>
      <w:proofErr w:type="spellEnd"/>
      <w:r w:rsidRPr="003C72EC">
        <w:rPr>
          <w:rFonts w:asciiTheme="minorHAnsi" w:hAnsiTheme="minorHAnsi" w:cstheme="minorHAnsi"/>
          <w:sz w:val="18"/>
          <w:szCs w:val="18"/>
        </w:rPr>
        <w:t xml:space="preserve"> H et al. 2026. Lancet Oncol.</w:t>
      </w:r>
    </w:p>
    <w:p w14:paraId="65E144A3" w14:textId="02B41EA8" w:rsidR="000339C5" w:rsidRDefault="000E5F0F" w:rsidP="007520A6">
      <w:pPr>
        <w:jc w:val="both"/>
        <w:rPr>
          <w:rFonts w:asciiTheme="minorHAnsi" w:hAnsiTheme="minorHAnsi" w:cstheme="minorHAnsi"/>
          <w:sz w:val="24"/>
          <w:szCs w:val="24"/>
        </w:rPr>
      </w:pPr>
      <w:r w:rsidRPr="000339C5">
        <w:rPr>
          <w:rFonts w:asciiTheme="minorHAnsi" w:hAnsiTheme="minorHAnsi" w:cstheme="minorHAnsi"/>
          <w:sz w:val="24"/>
          <w:szCs w:val="24"/>
        </w:rPr>
        <w:lastRenderedPageBreak/>
        <w:t>CARTITUDE-</w:t>
      </w:r>
      <w:r w:rsidR="002A4357" w:rsidRPr="000339C5">
        <w:rPr>
          <w:rFonts w:asciiTheme="minorHAnsi" w:hAnsiTheme="minorHAnsi" w:cstheme="minorHAnsi"/>
          <w:sz w:val="24"/>
          <w:szCs w:val="24"/>
        </w:rPr>
        <w:t>4</w:t>
      </w:r>
      <w:r w:rsidRPr="000339C5">
        <w:rPr>
          <w:rFonts w:asciiTheme="minorHAnsi" w:hAnsiTheme="minorHAnsi" w:cstheme="minorHAnsi"/>
          <w:sz w:val="24"/>
          <w:szCs w:val="24"/>
        </w:rPr>
        <w:t xml:space="preserve"> also demonstrated that cilta-cel has a manageable </w:t>
      </w:r>
      <w:r w:rsidRPr="00DF0CB5">
        <w:rPr>
          <w:rFonts w:asciiTheme="minorHAnsi" w:hAnsiTheme="minorHAnsi" w:cstheme="minorHAnsi"/>
          <w:sz w:val="24"/>
          <w:szCs w:val="24"/>
        </w:rPr>
        <w:t xml:space="preserve">safety profile (see Table </w:t>
      </w:r>
      <w:r w:rsidR="00AF5C9B" w:rsidRPr="00DF0CB5">
        <w:rPr>
          <w:rFonts w:asciiTheme="minorHAnsi" w:hAnsiTheme="minorHAnsi" w:cstheme="minorHAnsi"/>
          <w:sz w:val="24"/>
          <w:szCs w:val="24"/>
        </w:rPr>
        <w:t>3</w:t>
      </w:r>
      <w:r w:rsidRPr="00DF0CB5">
        <w:rPr>
          <w:rFonts w:asciiTheme="minorHAnsi" w:hAnsiTheme="minorHAnsi" w:cstheme="minorHAnsi"/>
          <w:sz w:val="24"/>
          <w:szCs w:val="24"/>
        </w:rPr>
        <w:t>).</w:t>
      </w:r>
      <w:r w:rsidR="000339C5" w:rsidRPr="00DF0CB5">
        <w:rPr>
          <w:rFonts w:asciiTheme="minorHAnsi" w:hAnsiTheme="minorHAnsi" w:cstheme="minorHAnsi"/>
          <w:sz w:val="24"/>
          <w:szCs w:val="24"/>
        </w:rPr>
        <w:t xml:space="preserve"> All </w:t>
      </w:r>
      <w:r w:rsidR="000E0A96" w:rsidRPr="00DF0CB5">
        <w:rPr>
          <w:rFonts w:asciiTheme="minorHAnsi" w:hAnsiTheme="minorHAnsi" w:cstheme="minorHAnsi"/>
          <w:sz w:val="24"/>
          <w:szCs w:val="24"/>
        </w:rPr>
        <w:t xml:space="preserve">patients </w:t>
      </w:r>
      <w:r w:rsidR="000339C5" w:rsidRPr="00DF0CB5">
        <w:rPr>
          <w:rFonts w:asciiTheme="minorHAnsi" w:hAnsiTheme="minorHAnsi" w:cstheme="minorHAnsi"/>
          <w:sz w:val="24"/>
          <w:szCs w:val="24"/>
        </w:rPr>
        <w:t xml:space="preserve">in the safety analysis set experienced at least 1 TEAE (Table </w:t>
      </w:r>
      <w:r w:rsidR="00AF5C9B" w:rsidRPr="00DF0CB5">
        <w:rPr>
          <w:rFonts w:asciiTheme="minorHAnsi" w:hAnsiTheme="minorHAnsi" w:cstheme="minorHAnsi"/>
          <w:sz w:val="24"/>
          <w:szCs w:val="24"/>
        </w:rPr>
        <w:t>3</w:t>
      </w:r>
      <w:r w:rsidR="000339C5" w:rsidRPr="00DF0CB5">
        <w:rPr>
          <w:rFonts w:asciiTheme="minorHAnsi" w:hAnsiTheme="minorHAnsi" w:cstheme="minorHAnsi"/>
          <w:sz w:val="24"/>
          <w:szCs w:val="24"/>
        </w:rPr>
        <w:t>).</w:t>
      </w:r>
      <w:r w:rsidR="000339C5" w:rsidRPr="000339C5">
        <w:rPr>
          <w:rFonts w:asciiTheme="minorHAnsi" w:hAnsiTheme="minorHAnsi" w:cstheme="minorHAnsi"/>
          <w:sz w:val="24"/>
          <w:szCs w:val="24"/>
        </w:rPr>
        <w:t xml:space="preserve"> Serious TEAEs were reported for 47.1% of </w:t>
      </w:r>
      <w:r w:rsidR="000E0A96">
        <w:rPr>
          <w:rFonts w:asciiTheme="minorHAnsi" w:hAnsiTheme="minorHAnsi" w:cstheme="minorHAnsi"/>
          <w:sz w:val="24"/>
          <w:szCs w:val="24"/>
        </w:rPr>
        <w:t>patients</w:t>
      </w:r>
      <w:r w:rsidR="000E0A96" w:rsidRPr="000339C5">
        <w:rPr>
          <w:rFonts w:asciiTheme="minorHAnsi" w:hAnsiTheme="minorHAnsi" w:cstheme="minorHAnsi"/>
          <w:sz w:val="24"/>
          <w:szCs w:val="24"/>
        </w:rPr>
        <w:t xml:space="preserve"> </w:t>
      </w:r>
      <w:r w:rsidR="000339C5" w:rsidRPr="000339C5">
        <w:rPr>
          <w:rFonts w:asciiTheme="minorHAnsi" w:hAnsiTheme="minorHAnsi" w:cstheme="minorHAnsi"/>
          <w:sz w:val="24"/>
          <w:szCs w:val="24"/>
        </w:rPr>
        <w:t xml:space="preserve">in both </w:t>
      </w:r>
      <w:r w:rsidR="000339C5">
        <w:rPr>
          <w:rFonts w:asciiTheme="minorHAnsi" w:hAnsiTheme="minorHAnsi" w:cstheme="minorHAnsi"/>
          <w:sz w:val="24"/>
          <w:szCs w:val="24"/>
        </w:rPr>
        <w:t>arms</w:t>
      </w:r>
      <w:r w:rsidR="000339C5" w:rsidRPr="000339C5">
        <w:rPr>
          <w:rFonts w:asciiTheme="minorHAnsi" w:hAnsiTheme="minorHAnsi" w:cstheme="minorHAnsi"/>
          <w:sz w:val="24"/>
          <w:szCs w:val="24"/>
        </w:rPr>
        <w:t xml:space="preserve"> (serious TEAEs related to any part of study treatment: 32.2%</w:t>
      </w:r>
      <w:r w:rsidR="00C83859">
        <w:rPr>
          <w:rFonts w:asciiTheme="minorHAnsi" w:hAnsiTheme="minorHAnsi" w:cstheme="minorHAnsi"/>
          <w:sz w:val="24"/>
          <w:szCs w:val="24"/>
        </w:rPr>
        <w:t xml:space="preserve"> and 26.0%</w:t>
      </w:r>
      <w:r w:rsidR="000339C5" w:rsidRPr="000339C5">
        <w:rPr>
          <w:rFonts w:asciiTheme="minorHAnsi" w:hAnsiTheme="minorHAnsi" w:cstheme="minorHAnsi"/>
          <w:sz w:val="24"/>
          <w:szCs w:val="24"/>
        </w:rPr>
        <w:t>,</w:t>
      </w:r>
      <w:r w:rsidR="00C83859">
        <w:rPr>
          <w:rFonts w:asciiTheme="minorHAnsi" w:hAnsiTheme="minorHAnsi" w:cstheme="minorHAnsi"/>
          <w:sz w:val="24"/>
          <w:szCs w:val="24"/>
        </w:rPr>
        <w:t xml:space="preserve"> for cilta-cel and standard of care,</w:t>
      </w:r>
      <w:r w:rsidR="000339C5" w:rsidRPr="000339C5">
        <w:rPr>
          <w:rFonts w:asciiTheme="minorHAnsi" w:hAnsiTheme="minorHAnsi" w:cstheme="minorHAnsi"/>
          <w:sz w:val="24"/>
          <w:szCs w:val="24"/>
        </w:rPr>
        <w:t xml:space="preserve"> respectively). In </w:t>
      </w:r>
      <w:r w:rsidR="00C83859">
        <w:rPr>
          <w:rFonts w:asciiTheme="minorHAnsi" w:hAnsiTheme="minorHAnsi" w:cstheme="minorHAnsi"/>
          <w:sz w:val="24"/>
          <w:szCs w:val="24"/>
        </w:rPr>
        <w:t>the cilta-cel arm</w:t>
      </w:r>
      <w:r w:rsidR="000339C5" w:rsidRPr="000339C5">
        <w:rPr>
          <w:rFonts w:asciiTheme="minorHAnsi" w:hAnsiTheme="minorHAnsi" w:cstheme="minorHAnsi"/>
          <w:sz w:val="24"/>
          <w:szCs w:val="24"/>
        </w:rPr>
        <w:t xml:space="preserve">, </w:t>
      </w:r>
      <w:r w:rsidR="00CE21BF" w:rsidRPr="00400CD0">
        <w:rPr>
          <w:rFonts w:asciiTheme="minorHAnsi" w:hAnsiTheme="minorHAnsi" w:cstheme="minorHAnsi"/>
          <w:b/>
          <w:bCs/>
          <w:sz w:val="24"/>
          <w:szCs w:val="24"/>
        </w:rPr>
        <w:t>redacted</w:t>
      </w:r>
      <w:r w:rsidR="000339C5" w:rsidRPr="00400CD0">
        <w:rPr>
          <w:rFonts w:asciiTheme="minorHAnsi" w:hAnsiTheme="minorHAnsi" w:cstheme="minorHAnsi"/>
          <w:sz w:val="24"/>
          <w:szCs w:val="24"/>
        </w:rPr>
        <w:t>%</w:t>
      </w:r>
      <w:r w:rsidR="000339C5" w:rsidRPr="000339C5">
        <w:rPr>
          <w:rFonts w:asciiTheme="minorHAnsi" w:hAnsiTheme="minorHAnsi" w:cstheme="minorHAnsi"/>
          <w:sz w:val="24"/>
          <w:szCs w:val="24"/>
        </w:rPr>
        <w:t xml:space="preserve"> of </w:t>
      </w:r>
      <w:r w:rsidR="000E0A96">
        <w:rPr>
          <w:rFonts w:asciiTheme="minorHAnsi" w:hAnsiTheme="minorHAnsi" w:cstheme="minorHAnsi"/>
          <w:sz w:val="24"/>
          <w:szCs w:val="24"/>
        </w:rPr>
        <w:t>patients</w:t>
      </w:r>
      <w:r w:rsidR="000E0A96" w:rsidRPr="000339C5">
        <w:rPr>
          <w:rFonts w:asciiTheme="minorHAnsi" w:hAnsiTheme="minorHAnsi" w:cstheme="minorHAnsi"/>
          <w:sz w:val="24"/>
          <w:szCs w:val="24"/>
        </w:rPr>
        <w:t xml:space="preserve"> </w:t>
      </w:r>
      <w:r w:rsidR="000339C5" w:rsidRPr="000339C5">
        <w:rPr>
          <w:rFonts w:asciiTheme="minorHAnsi" w:hAnsiTheme="minorHAnsi" w:cstheme="minorHAnsi"/>
          <w:sz w:val="24"/>
          <w:szCs w:val="24"/>
        </w:rPr>
        <w:t xml:space="preserve">experienced at least 1 serious TEAE considered related to </w:t>
      </w:r>
      <w:proofErr w:type="spellStart"/>
      <w:r w:rsidR="000339C5" w:rsidRPr="000339C5">
        <w:rPr>
          <w:rFonts w:asciiTheme="minorHAnsi" w:hAnsiTheme="minorHAnsi" w:cstheme="minorHAnsi"/>
          <w:sz w:val="24"/>
          <w:szCs w:val="24"/>
        </w:rPr>
        <w:t>cilta</w:t>
      </w:r>
      <w:proofErr w:type="spellEnd"/>
      <w:r w:rsidR="000339C5" w:rsidRPr="000339C5">
        <w:rPr>
          <w:rFonts w:asciiTheme="minorHAnsi" w:hAnsiTheme="minorHAnsi" w:cstheme="minorHAnsi"/>
          <w:sz w:val="24"/>
          <w:szCs w:val="24"/>
        </w:rPr>
        <w:t xml:space="preserve"> cel. Maximum severity Grade 3 or 4 TEAEs were reported for </w:t>
      </w:r>
      <w:r w:rsidR="00C83859">
        <w:rPr>
          <w:rFonts w:asciiTheme="minorHAnsi" w:hAnsiTheme="minorHAnsi" w:cstheme="minorHAnsi"/>
          <w:sz w:val="24"/>
          <w:szCs w:val="24"/>
        </w:rPr>
        <w:t xml:space="preserve">89.4% and </w:t>
      </w:r>
      <w:r w:rsidR="000339C5" w:rsidRPr="000339C5">
        <w:rPr>
          <w:rFonts w:asciiTheme="minorHAnsi" w:hAnsiTheme="minorHAnsi" w:cstheme="minorHAnsi"/>
          <w:sz w:val="24"/>
          <w:szCs w:val="24"/>
        </w:rPr>
        <w:t xml:space="preserve">92.8% of </w:t>
      </w:r>
      <w:r w:rsidR="000E0A96">
        <w:rPr>
          <w:rFonts w:asciiTheme="minorHAnsi" w:hAnsiTheme="minorHAnsi" w:cstheme="minorHAnsi"/>
          <w:sz w:val="24"/>
          <w:szCs w:val="24"/>
        </w:rPr>
        <w:t>patients</w:t>
      </w:r>
      <w:r w:rsidR="000E0A96" w:rsidRPr="000339C5">
        <w:rPr>
          <w:rFonts w:asciiTheme="minorHAnsi" w:hAnsiTheme="minorHAnsi" w:cstheme="minorHAnsi"/>
          <w:sz w:val="24"/>
          <w:szCs w:val="24"/>
        </w:rPr>
        <w:t xml:space="preserve"> </w:t>
      </w:r>
      <w:r w:rsidR="000339C5" w:rsidRPr="000339C5">
        <w:rPr>
          <w:rFonts w:asciiTheme="minorHAnsi" w:hAnsiTheme="minorHAnsi" w:cstheme="minorHAnsi"/>
          <w:sz w:val="24"/>
          <w:szCs w:val="24"/>
        </w:rPr>
        <w:t xml:space="preserve">in </w:t>
      </w:r>
      <w:r w:rsidR="00C83859">
        <w:rPr>
          <w:rFonts w:asciiTheme="minorHAnsi" w:hAnsiTheme="minorHAnsi" w:cstheme="minorHAnsi"/>
          <w:sz w:val="24"/>
          <w:szCs w:val="24"/>
        </w:rPr>
        <w:t xml:space="preserve">the cilta-cel arm </w:t>
      </w:r>
      <w:r w:rsidR="000339C5" w:rsidRPr="000339C5">
        <w:rPr>
          <w:rFonts w:asciiTheme="minorHAnsi" w:hAnsiTheme="minorHAnsi" w:cstheme="minorHAnsi"/>
          <w:sz w:val="24"/>
          <w:szCs w:val="24"/>
        </w:rPr>
        <w:t xml:space="preserve">and </w:t>
      </w:r>
      <w:r w:rsidR="00C83859">
        <w:rPr>
          <w:rFonts w:asciiTheme="minorHAnsi" w:hAnsiTheme="minorHAnsi" w:cstheme="minorHAnsi"/>
          <w:sz w:val="24"/>
          <w:szCs w:val="24"/>
        </w:rPr>
        <w:t>standard of care a</w:t>
      </w:r>
      <w:r w:rsidR="000339C5" w:rsidRPr="000339C5">
        <w:rPr>
          <w:rFonts w:asciiTheme="minorHAnsi" w:hAnsiTheme="minorHAnsi" w:cstheme="minorHAnsi"/>
          <w:sz w:val="24"/>
          <w:szCs w:val="24"/>
        </w:rPr>
        <w:t xml:space="preserve">rm, respectively. Nine </w:t>
      </w:r>
      <w:r w:rsidR="000E0A96">
        <w:rPr>
          <w:rFonts w:asciiTheme="minorHAnsi" w:hAnsiTheme="minorHAnsi" w:cstheme="minorHAnsi"/>
          <w:sz w:val="24"/>
          <w:szCs w:val="24"/>
        </w:rPr>
        <w:t>patients</w:t>
      </w:r>
      <w:r w:rsidR="000E0A96" w:rsidRPr="000339C5">
        <w:rPr>
          <w:rFonts w:asciiTheme="minorHAnsi" w:hAnsiTheme="minorHAnsi" w:cstheme="minorHAnsi"/>
          <w:sz w:val="24"/>
          <w:szCs w:val="24"/>
        </w:rPr>
        <w:t xml:space="preserve"> </w:t>
      </w:r>
      <w:r w:rsidR="000339C5" w:rsidRPr="000339C5">
        <w:rPr>
          <w:rFonts w:asciiTheme="minorHAnsi" w:hAnsiTheme="minorHAnsi" w:cstheme="minorHAnsi"/>
          <w:sz w:val="24"/>
          <w:szCs w:val="24"/>
        </w:rPr>
        <w:t xml:space="preserve">(4.3%) in </w:t>
      </w:r>
      <w:r w:rsidR="00C83859">
        <w:rPr>
          <w:rFonts w:asciiTheme="minorHAnsi" w:hAnsiTheme="minorHAnsi" w:cstheme="minorHAnsi"/>
          <w:sz w:val="24"/>
          <w:szCs w:val="24"/>
        </w:rPr>
        <w:t>standard of care arm</w:t>
      </w:r>
      <w:r w:rsidR="000339C5" w:rsidRPr="000339C5">
        <w:rPr>
          <w:rFonts w:asciiTheme="minorHAnsi" w:hAnsiTheme="minorHAnsi" w:cstheme="minorHAnsi"/>
          <w:sz w:val="24"/>
          <w:szCs w:val="24"/>
        </w:rPr>
        <w:t xml:space="preserve"> and 15 </w:t>
      </w:r>
      <w:r w:rsidR="000E0A96">
        <w:rPr>
          <w:rFonts w:asciiTheme="minorHAnsi" w:hAnsiTheme="minorHAnsi" w:cstheme="minorHAnsi"/>
          <w:sz w:val="24"/>
          <w:szCs w:val="24"/>
        </w:rPr>
        <w:t>patients</w:t>
      </w:r>
      <w:r w:rsidR="000E0A96" w:rsidRPr="000339C5">
        <w:rPr>
          <w:rFonts w:asciiTheme="minorHAnsi" w:hAnsiTheme="minorHAnsi" w:cstheme="minorHAnsi"/>
          <w:sz w:val="24"/>
          <w:szCs w:val="24"/>
        </w:rPr>
        <w:t xml:space="preserve"> </w:t>
      </w:r>
      <w:r w:rsidR="000339C5" w:rsidRPr="000339C5">
        <w:rPr>
          <w:rFonts w:asciiTheme="minorHAnsi" w:hAnsiTheme="minorHAnsi" w:cstheme="minorHAnsi"/>
          <w:sz w:val="24"/>
          <w:szCs w:val="24"/>
        </w:rPr>
        <w:t xml:space="preserve">(7.2%) in </w:t>
      </w:r>
      <w:r w:rsidR="00C83859">
        <w:rPr>
          <w:rFonts w:asciiTheme="minorHAnsi" w:hAnsiTheme="minorHAnsi" w:cstheme="minorHAnsi"/>
          <w:sz w:val="24"/>
          <w:szCs w:val="24"/>
        </w:rPr>
        <w:t>cilta-cel arm</w:t>
      </w:r>
      <w:r w:rsidR="000339C5" w:rsidRPr="000339C5">
        <w:rPr>
          <w:rFonts w:asciiTheme="minorHAnsi" w:hAnsiTheme="minorHAnsi" w:cstheme="minorHAnsi"/>
          <w:sz w:val="24"/>
          <w:szCs w:val="24"/>
        </w:rPr>
        <w:t xml:space="preserve"> experienced a TEAE with an outcome of death.</w:t>
      </w:r>
    </w:p>
    <w:p w14:paraId="49AD5332" w14:textId="037CEB51" w:rsidR="002A4357" w:rsidRPr="00E37878" w:rsidRDefault="00E37878" w:rsidP="00071A7D">
      <w:pPr>
        <w:keepNext/>
        <w:keepLines/>
        <w:jc w:val="both"/>
        <w:rPr>
          <w:rFonts w:asciiTheme="minorHAnsi" w:hAnsiTheme="minorHAnsi" w:cstheme="minorHAnsi"/>
          <w:b/>
          <w:bCs/>
          <w:sz w:val="24"/>
          <w:szCs w:val="24"/>
        </w:rPr>
      </w:pPr>
      <w:r w:rsidRPr="00E37878">
        <w:rPr>
          <w:rFonts w:asciiTheme="minorHAnsi" w:hAnsiTheme="minorHAnsi" w:cstheme="minorHAnsi"/>
          <w:b/>
          <w:bCs/>
          <w:sz w:val="24"/>
          <w:szCs w:val="24"/>
        </w:rPr>
        <w:t xml:space="preserve">Table </w:t>
      </w:r>
      <w:r w:rsidR="001B32A1">
        <w:rPr>
          <w:rFonts w:asciiTheme="minorHAnsi" w:hAnsiTheme="minorHAnsi" w:cstheme="minorHAnsi"/>
          <w:b/>
          <w:bCs/>
          <w:sz w:val="24"/>
          <w:szCs w:val="24"/>
        </w:rPr>
        <w:t>3</w:t>
      </w:r>
      <w:r w:rsidRPr="00E37878">
        <w:rPr>
          <w:rFonts w:asciiTheme="minorHAnsi" w:hAnsiTheme="minorHAnsi" w:cstheme="minorHAnsi"/>
          <w:b/>
          <w:bCs/>
          <w:sz w:val="24"/>
          <w:szCs w:val="24"/>
        </w:rPr>
        <w:t>: Overall Summary of Treatment-emergent Adverse Events; Safety Analysis Set</w:t>
      </w:r>
    </w:p>
    <w:tbl>
      <w:tblPr>
        <w:tblStyle w:val="TableGrid"/>
        <w:tblW w:w="0" w:type="auto"/>
        <w:tblLook w:val="04A0" w:firstRow="1" w:lastRow="0" w:firstColumn="1" w:lastColumn="0" w:noHBand="0" w:noVBand="1"/>
      </w:tblPr>
      <w:tblGrid>
        <w:gridCol w:w="3155"/>
        <w:gridCol w:w="3155"/>
        <w:gridCol w:w="3155"/>
      </w:tblGrid>
      <w:tr w:rsidR="000F517C" w:rsidRPr="005B1C4A" w14:paraId="0537D772" w14:textId="77777777" w:rsidTr="000F517C">
        <w:tc>
          <w:tcPr>
            <w:tcW w:w="3155" w:type="dxa"/>
          </w:tcPr>
          <w:p w14:paraId="5C324C74" w14:textId="0FCA139C" w:rsidR="000F517C" w:rsidRPr="005B1C4A" w:rsidRDefault="005B1C4A" w:rsidP="00071A7D">
            <w:pPr>
              <w:keepNext/>
              <w:keepLines/>
              <w:jc w:val="both"/>
              <w:rPr>
                <w:rFonts w:asciiTheme="minorHAnsi" w:hAnsiTheme="minorHAnsi" w:cstheme="minorHAnsi"/>
                <w:b/>
                <w:bCs/>
                <w:sz w:val="20"/>
                <w:szCs w:val="20"/>
              </w:rPr>
            </w:pPr>
            <w:r w:rsidRPr="005B1C4A">
              <w:rPr>
                <w:rFonts w:asciiTheme="minorHAnsi" w:hAnsiTheme="minorHAnsi" w:cstheme="minorHAnsi"/>
                <w:b/>
                <w:bCs/>
                <w:sz w:val="20"/>
                <w:szCs w:val="20"/>
              </w:rPr>
              <w:t>Analysis set: Safety</w:t>
            </w:r>
          </w:p>
        </w:tc>
        <w:tc>
          <w:tcPr>
            <w:tcW w:w="3155" w:type="dxa"/>
          </w:tcPr>
          <w:p w14:paraId="10ABECE3" w14:textId="0ACC5E8C" w:rsidR="000F517C" w:rsidRPr="005B1C4A" w:rsidRDefault="0002426C" w:rsidP="00071A7D">
            <w:pPr>
              <w:keepNext/>
              <w:keepLines/>
              <w:jc w:val="both"/>
              <w:rPr>
                <w:rFonts w:asciiTheme="minorHAnsi" w:hAnsiTheme="minorHAnsi" w:cstheme="minorHAnsi"/>
                <w:b/>
                <w:bCs/>
                <w:sz w:val="20"/>
                <w:szCs w:val="20"/>
              </w:rPr>
            </w:pPr>
            <w:r w:rsidRPr="005B1C4A">
              <w:rPr>
                <w:rFonts w:asciiTheme="minorHAnsi" w:hAnsiTheme="minorHAnsi" w:cstheme="minorHAnsi"/>
                <w:b/>
                <w:bCs/>
                <w:sz w:val="20"/>
                <w:szCs w:val="20"/>
              </w:rPr>
              <w:t>Cilta-cel (n=208)</w:t>
            </w:r>
          </w:p>
        </w:tc>
        <w:tc>
          <w:tcPr>
            <w:tcW w:w="3155" w:type="dxa"/>
          </w:tcPr>
          <w:p w14:paraId="2EAB85C6" w14:textId="5C14A297" w:rsidR="000F517C" w:rsidRPr="005B1C4A" w:rsidRDefault="005B1C4A" w:rsidP="00071A7D">
            <w:pPr>
              <w:keepNext/>
              <w:keepLines/>
              <w:jc w:val="both"/>
              <w:rPr>
                <w:rFonts w:asciiTheme="minorHAnsi" w:hAnsiTheme="minorHAnsi" w:cstheme="minorHAnsi"/>
                <w:b/>
                <w:bCs/>
                <w:sz w:val="20"/>
                <w:szCs w:val="20"/>
              </w:rPr>
            </w:pPr>
            <w:r w:rsidRPr="005B1C4A">
              <w:rPr>
                <w:rFonts w:asciiTheme="minorHAnsi" w:hAnsiTheme="minorHAnsi" w:cstheme="minorHAnsi"/>
                <w:b/>
                <w:bCs/>
                <w:sz w:val="20"/>
                <w:szCs w:val="20"/>
              </w:rPr>
              <w:t>Standard of care (n=208)</w:t>
            </w:r>
          </w:p>
        </w:tc>
      </w:tr>
      <w:tr w:rsidR="004129F2" w:rsidRPr="005B1C4A" w14:paraId="491B7ADA" w14:textId="77777777" w:rsidTr="000F517C">
        <w:tc>
          <w:tcPr>
            <w:tcW w:w="3155" w:type="dxa"/>
          </w:tcPr>
          <w:p w14:paraId="4A50F413" w14:textId="0C5C5AEC" w:rsidR="004129F2" w:rsidRPr="005B1C4A" w:rsidRDefault="004129F2" w:rsidP="00071A7D">
            <w:pPr>
              <w:keepNext/>
              <w:keepLines/>
              <w:jc w:val="both"/>
              <w:rPr>
                <w:rFonts w:asciiTheme="minorHAnsi" w:hAnsiTheme="minorHAnsi" w:cstheme="minorHAnsi"/>
                <w:sz w:val="20"/>
                <w:szCs w:val="20"/>
              </w:rPr>
            </w:pPr>
            <w:r>
              <w:rPr>
                <w:rFonts w:asciiTheme="minorHAnsi" w:hAnsiTheme="minorHAnsi" w:cstheme="minorHAnsi"/>
                <w:sz w:val="20"/>
                <w:szCs w:val="20"/>
              </w:rPr>
              <w:t>Any TEAE</w:t>
            </w:r>
          </w:p>
        </w:tc>
        <w:tc>
          <w:tcPr>
            <w:tcW w:w="3155" w:type="dxa"/>
          </w:tcPr>
          <w:p w14:paraId="1EB05791" w14:textId="5B88A9CB" w:rsidR="004129F2" w:rsidRPr="005B1C4A" w:rsidRDefault="004129F2" w:rsidP="00071A7D">
            <w:pPr>
              <w:keepNext/>
              <w:keepLines/>
              <w:jc w:val="both"/>
              <w:rPr>
                <w:rFonts w:asciiTheme="minorHAnsi" w:hAnsiTheme="minorHAnsi" w:cstheme="minorHAnsi"/>
                <w:sz w:val="20"/>
                <w:szCs w:val="20"/>
              </w:rPr>
            </w:pPr>
            <w:r>
              <w:rPr>
                <w:rFonts w:asciiTheme="minorHAnsi" w:hAnsiTheme="minorHAnsi" w:cstheme="minorHAnsi"/>
                <w:sz w:val="20"/>
                <w:szCs w:val="20"/>
              </w:rPr>
              <w:t>208 (100.0%)</w:t>
            </w:r>
          </w:p>
        </w:tc>
        <w:tc>
          <w:tcPr>
            <w:tcW w:w="3155" w:type="dxa"/>
          </w:tcPr>
          <w:p w14:paraId="6E1C2745" w14:textId="0E47B8F1" w:rsidR="004129F2" w:rsidRPr="005B1C4A" w:rsidRDefault="004129F2" w:rsidP="00071A7D">
            <w:pPr>
              <w:keepNext/>
              <w:keepLines/>
              <w:jc w:val="both"/>
              <w:rPr>
                <w:rFonts w:asciiTheme="minorHAnsi" w:hAnsiTheme="minorHAnsi" w:cstheme="minorHAnsi"/>
                <w:sz w:val="20"/>
                <w:szCs w:val="20"/>
              </w:rPr>
            </w:pPr>
            <w:r>
              <w:rPr>
                <w:rFonts w:asciiTheme="minorHAnsi" w:hAnsiTheme="minorHAnsi" w:cstheme="minorHAnsi"/>
                <w:sz w:val="20"/>
                <w:szCs w:val="20"/>
              </w:rPr>
              <w:t>208 (100.0%)</w:t>
            </w:r>
          </w:p>
        </w:tc>
      </w:tr>
      <w:tr w:rsidR="004129F2" w:rsidRPr="00400CD0" w14:paraId="34202293" w14:textId="77777777" w:rsidTr="000F517C">
        <w:tc>
          <w:tcPr>
            <w:tcW w:w="3155" w:type="dxa"/>
          </w:tcPr>
          <w:p w14:paraId="3E44CF8B" w14:textId="6DF961FD"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w:t>
            </w:r>
            <w:r w:rsidR="00302A50" w:rsidRPr="00400CD0">
              <w:rPr>
                <w:rFonts w:asciiTheme="minorHAnsi" w:hAnsiTheme="minorHAnsi" w:cstheme="minorHAnsi"/>
                <w:b/>
                <w:bCs/>
                <w:sz w:val="20"/>
                <w:szCs w:val="20"/>
              </w:rPr>
              <w:t>Redacted</w:t>
            </w:r>
          </w:p>
        </w:tc>
        <w:tc>
          <w:tcPr>
            <w:tcW w:w="3155" w:type="dxa"/>
          </w:tcPr>
          <w:p w14:paraId="70DAD2DF" w14:textId="00485ECB"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c>
          <w:tcPr>
            <w:tcW w:w="3155" w:type="dxa"/>
          </w:tcPr>
          <w:p w14:paraId="15D8AAE0" w14:textId="6A0825B1"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r>
      <w:tr w:rsidR="004129F2" w:rsidRPr="00400CD0" w14:paraId="2489AA0F" w14:textId="77777777" w:rsidTr="000F517C">
        <w:tc>
          <w:tcPr>
            <w:tcW w:w="3155" w:type="dxa"/>
          </w:tcPr>
          <w:p w14:paraId="6A9E1CEA" w14:textId="1F8C6C61"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w:t>
            </w:r>
            <w:r w:rsidR="00302A50" w:rsidRPr="00400CD0">
              <w:rPr>
                <w:rFonts w:asciiTheme="minorHAnsi" w:hAnsiTheme="minorHAnsi" w:cstheme="minorHAnsi"/>
                <w:b/>
                <w:bCs/>
                <w:sz w:val="20"/>
                <w:szCs w:val="20"/>
              </w:rPr>
              <w:t>Redacted</w:t>
            </w:r>
          </w:p>
        </w:tc>
        <w:tc>
          <w:tcPr>
            <w:tcW w:w="3155" w:type="dxa"/>
          </w:tcPr>
          <w:p w14:paraId="4EC8260F" w14:textId="10044BDA"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c>
          <w:tcPr>
            <w:tcW w:w="3155" w:type="dxa"/>
          </w:tcPr>
          <w:p w14:paraId="6F68DA40" w14:textId="3812BD12"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r>
      <w:tr w:rsidR="004129F2" w:rsidRPr="00400CD0" w14:paraId="26C9630E" w14:textId="77777777" w:rsidTr="000F517C">
        <w:tc>
          <w:tcPr>
            <w:tcW w:w="3155" w:type="dxa"/>
          </w:tcPr>
          <w:p w14:paraId="1F7149E5" w14:textId="1EE5B146"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Any serious TEAE</w:t>
            </w:r>
          </w:p>
        </w:tc>
        <w:tc>
          <w:tcPr>
            <w:tcW w:w="3155" w:type="dxa"/>
          </w:tcPr>
          <w:p w14:paraId="582CA264" w14:textId="1809C37F"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98 (47.1%)</w:t>
            </w:r>
          </w:p>
        </w:tc>
        <w:tc>
          <w:tcPr>
            <w:tcW w:w="3155" w:type="dxa"/>
          </w:tcPr>
          <w:p w14:paraId="435ECC1E" w14:textId="0FF3E164"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98 (47.1%)</w:t>
            </w:r>
          </w:p>
        </w:tc>
      </w:tr>
      <w:tr w:rsidR="004129F2" w:rsidRPr="00400CD0" w14:paraId="691E6B8B" w14:textId="77777777" w:rsidTr="000F517C">
        <w:tc>
          <w:tcPr>
            <w:tcW w:w="3155" w:type="dxa"/>
          </w:tcPr>
          <w:p w14:paraId="3662D242" w14:textId="120758AA"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At least one </w:t>
            </w:r>
            <w:proofErr w:type="spellStart"/>
            <w:r w:rsidRPr="00400CD0">
              <w:rPr>
                <w:rFonts w:asciiTheme="minorHAnsi" w:hAnsiTheme="minorHAnsi" w:cstheme="minorHAnsi"/>
                <w:sz w:val="20"/>
                <w:szCs w:val="20"/>
              </w:rPr>
              <w:t>related</w:t>
            </w:r>
            <w:r w:rsidRPr="00400CD0">
              <w:rPr>
                <w:rFonts w:asciiTheme="minorHAnsi" w:hAnsiTheme="minorHAnsi" w:cstheme="minorHAnsi"/>
                <w:sz w:val="20"/>
                <w:szCs w:val="20"/>
                <w:vertAlign w:val="superscript"/>
              </w:rPr>
              <w:t>a</w:t>
            </w:r>
            <w:proofErr w:type="spellEnd"/>
          </w:p>
        </w:tc>
        <w:tc>
          <w:tcPr>
            <w:tcW w:w="3155" w:type="dxa"/>
          </w:tcPr>
          <w:p w14:paraId="0828FF34" w14:textId="4DBFC24C"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67 (32.2%)</w:t>
            </w:r>
          </w:p>
        </w:tc>
        <w:tc>
          <w:tcPr>
            <w:tcW w:w="3155" w:type="dxa"/>
          </w:tcPr>
          <w:p w14:paraId="27D31D79" w14:textId="7EA8FEF9" w:rsidR="004129F2" w:rsidRPr="00400CD0" w:rsidRDefault="00783F56"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54</w:t>
            </w:r>
            <w:r w:rsidR="004129F2" w:rsidRPr="00400CD0">
              <w:rPr>
                <w:rFonts w:asciiTheme="minorHAnsi" w:hAnsiTheme="minorHAnsi" w:cstheme="minorHAnsi"/>
                <w:sz w:val="20"/>
                <w:szCs w:val="20"/>
              </w:rPr>
              <w:t xml:space="preserve"> (</w:t>
            </w:r>
            <w:r w:rsidRPr="00400CD0">
              <w:rPr>
                <w:rFonts w:asciiTheme="minorHAnsi" w:hAnsiTheme="minorHAnsi" w:cstheme="minorHAnsi"/>
                <w:sz w:val="20"/>
                <w:szCs w:val="20"/>
              </w:rPr>
              <w:t>26</w:t>
            </w:r>
            <w:r w:rsidR="004129F2" w:rsidRPr="00400CD0">
              <w:rPr>
                <w:rFonts w:asciiTheme="minorHAnsi" w:hAnsiTheme="minorHAnsi" w:cstheme="minorHAnsi"/>
                <w:sz w:val="20"/>
                <w:szCs w:val="20"/>
              </w:rPr>
              <w:t>.</w:t>
            </w:r>
            <w:r w:rsidRPr="00400CD0">
              <w:rPr>
                <w:rFonts w:asciiTheme="minorHAnsi" w:hAnsiTheme="minorHAnsi" w:cstheme="minorHAnsi"/>
                <w:sz w:val="20"/>
                <w:szCs w:val="20"/>
              </w:rPr>
              <w:t>0</w:t>
            </w:r>
            <w:r w:rsidR="004129F2" w:rsidRPr="00400CD0">
              <w:rPr>
                <w:rFonts w:asciiTheme="minorHAnsi" w:hAnsiTheme="minorHAnsi" w:cstheme="minorHAnsi"/>
                <w:sz w:val="20"/>
                <w:szCs w:val="20"/>
              </w:rPr>
              <w:t>%)</w:t>
            </w:r>
          </w:p>
        </w:tc>
      </w:tr>
      <w:tr w:rsidR="004129F2" w:rsidRPr="00400CD0" w14:paraId="720DF089" w14:textId="77777777" w:rsidTr="000F517C">
        <w:tc>
          <w:tcPr>
            <w:tcW w:w="3155" w:type="dxa"/>
          </w:tcPr>
          <w:p w14:paraId="12E06B97" w14:textId="0020B024"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c>
          <w:tcPr>
            <w:tcW w:w="3155" w:type="dxa"/>
          </w:tcPr>
          <w:p w14:paraId="468C398D" w14:textId="315E0C81"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c>
          <w:tcPr>
            <w:tcW w:w="3155" w:type="dxa"/>
          </w:tcPr>
          <w:p w14:paraId="0C88AAD2" w14:textId="072434D5"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r>
      <w:tr w:rsidR="004129F2" w:rsidRPr="00400CD0" w14:paraId="5DF2E334" w14:textId="77777777" w:rsidTr="000F517C">
        <w:tc>
          <w:tcPr>
            <w:tcW w:w="3155" w:type="dxa"/>
          </w:tcPr>
          <w:p w14:paraId="4FDB3B04" w14:textId="5832DBDF"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Maximum severity of any TEAE</w:t>
            </w:r>
          </w:p>
        </w:tc>
        <w:tc>
          <w:tcPr>
            <w:tcW w:w="3155" w:type="dxa"/>
          </w:tcPr>
          <w:p w14:paraId="2873EB96" w14:textId="5499AD60" w:rsidR="004129F2" w:rsidRPr="00400CD0" w:rsidRDefault="004129F2" w:rsidP="00071A7D">
            <w:pPr>
              <w:keepNext/>
              <w:keepLines/>
              <w:jc w:val="both"/>
              <w:rPr>
                <w:rFonts w:asciiTheme="minorHAnsi" w:hAnsiTheme="minorHAnsi" w:cstheme="minorHAnsi"/>
                <w:sz w:val="20"/>
                <w:szCs w:val="20"/>
              </w:rPr>
            </w:pPr>
          </w:p>
        </w:tc>
        <w:tc>
          <w:tcPr>
            <w:tcW w:w="3155" w:type="dxa"/>
          </w:tcPr>
          <w:p w14:paraId="022198E3" w14:textId="77777777" w:rsidR="004129F2" w:rsidRPr="00400CD0" w:rsidRDefault="004129F2" w:rsidP="00071A7D">
            <w:pPr>
              <w:keepNext/>
              <w:keepLines/>
              <w:jc w:val="both"/>
              <w:rPr>
                <w:rFonts w:asciiTheme="minorHAnsi" w:hAnsiTheme="minorHAnsi" w:cstheme="minorHAnsi"/>
                <w:sz w:val="20"/>
                <w:szCs w:val="20"/>
              </w:rPr>
            </w:pPr>
          </w:p>
        </w:tc>
      </w:tr>
      <w:tr w:rsidR="004129F2" w:rsidRPr="00400CD0" w14:paraId="7876213A" w14:textId="77777777" w:rsidTr="000F517C">
        <w:tc>
          <w:tcPr>
            <w:tcW w:w="3155" w:type="dxa"/>
          </w:tcPr>
          <w:p w14:paraId="4A031836" w14:textId="375C7627"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w:t>
            </w:r>
            <w:r w:rsidR="00302A50" w:rsidRPr="00400CD0">
              <w:rPr>
                <w:rFonts w:asciiTheme="minorHAnsi" w:hAnsiTheme="minorHAnsi" w:cstheme="minorHAnsi"/>
                <w:b/>
                <w:bCs/>
                <w:sz w:val="20"/>
                <w:szCs w:val="20"/>
              </w:rPr>
              <w:t>Redacted</w:t>
            </w:r>
          </w:p>
        </w:tc>
        <w:tc>
          <w:tcPr>
            <w:tcW w:w="3155" w:type="dxa"/>
          </w:tcPr>
          <w:p w14:paraId="73C4A3AF" w14:textId="7F28865F"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c>
          <w:tcPr>
            <w:tcW w:w="3155" w:type="dxa"/>
          </w:tcPr>
          <w:p w14:paraId="59C86922" w14:textId="0177C321"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r>
      <w:tr w:rsidR="004129F2" w:rsidRPr="00400CD0" w14:paraId="0AE2B027" w14:textId="77777777" w:rsidTr="000F517C">
        <w:tc>
          <w:tcPr>
            <w:tcW w:w="3155" w:type="dxa"/>
          </w:tcPr>
          <w:p w14:paraId="66E5B324" w14:textId="6371563B"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w:t>
            </w:r>
            <w:r w:rsidR="00302A50" w:rsidRPr="00400CD0">
              <w:rPr>
                <w:rFonts w:asciiTheme="minorHAnsi" w:hAnsiTheme="minorHAnsi" w:cstheme="minorHAnsi"/>
                <w:b/>
                <w:bCs/>
                <w:sz w:val="20"/>
                <w:szCs w:val="20"/>
              </w:rPr>
              <w:t>Redacted</w:t>
            </w:r>
          </w:p>
        </w:tc>
        <w:tc>
          <w:tcPr>
            <w:tcW w:w="3155" w:type="dxa"/>
          </w:tcPr>
          <w:p w14:paraId="15165CB3" w14:textId="008BDBE0"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c>
          <w:tcPr>
            <w:tcW w:w="3155" w:type="dxa"/>
          </w:tcPr>
          <w:p w14:paraId="15EEF2BB" w14:textId="2EE07F06" w:rsidR="004129F2" w:rsidRPr="00400CD0" w:rsidRDefault="00302A50" w:rsidP="00071A7D">
            <w:pPr>
              <w:keepNext/>
              <w:keepLines/>
              <w:jc w:val="both"/>
              <w:rPr>
                <w:rFonts w:asciiTheme="minorHAnsi" w:hAnsiTheme="minorHAnsi" w:cstheme="minorHAnsi"/>
                <w:sz w:val="20"/>
                <w:szCs w:val="20"/>
              </w:rPr>
            </w:pPr>
            <w:r w:rsidRPr="00400CD0">
              <w:rPr>
                <w:rFonts w:asciiTheme="minorHAnsi" w:hAnsiTheme="minorHAnsi" w:cstheme="minorHAnsi"/>
                <w:b/>
                <w:bCs/>
                <w:sz w:val="20"/>
                <w:szCs w:val="20"/>
              </w:rPr>
              <w:t>Redacted</w:t>
            </w:r>
          </w:p>
        </w:tc>
      </w:tr>
      <w:tr w:rsidR="004129F2" w:rsidRPr="00400CD0" w14:paraId="2C6899D8" w14:textId="77777777" w:rsidTr="000F517C">
        <w:tc>
          <w:tcPr>
            <w:tcW w:w="3155" w:type="dxa"/>
          </w:tcPr>
          <w:p w14:paraId="78A5D3CD" w14:textId="5756B13A"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Grade 3</w:t>
            </w:r>
          </w:p>
        </w:tc>
        <w:tc>
          <w:tcPr>
            <w:tcW w:w="3155" w:type="dxa"/>
          </w:tcPr>
          <w:p w14:paraId="0CBB6A81" w14:textId="5CA6B69B"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30 (14.4%)</w:t>
            </w:r>
          </w:p>
        </w:tc>
        <w:tc>
          <w:tcPr>
            <w:tcW w:w="3155" w:type="dxa"/>
          </w:tcPr>
          <w:p w14:paraId="0CF19EDF" w14:textId="5ED16DBE" w:rsidR="004129F2" w:rsidRPr="00400CD0" w:rsidRDefault="00783F56"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77 (37.0%)</w:t>
            </w:r>
          </w:p>
        </w:tc>
      </w:tr>
      <w:tr w:rsidR="004129F2" w:rsidRPr="00400CD0" w14:paraId="16A571F3" w14:textId="77777777" w:rsidTr="000F517C">
        <w:tc>
          <w:tcPr>
            <w:tcW w:w="3155" w:type="dxa"/>
          </w:tcPr>
          <w:p w14:paraId="562687FC" w14:textId="5CD03CE7"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Grade 4</w:t>
            </w:r>
          </w:p>
        </w:tc>
        <w:tc>
          <w:tcPr>
            <w:tcW w:w="3155" w:type="dxa"/>
          </w:tcPr>
          <w:p w14:paraId="1F3BC4F0" w14:textId="02B8367F"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156 (75.0%)</w:t>
            </w:r>
          </w:p>
        </w:tc>
        <w:tc>
          <w:tcPr>
            <w:tcW w:w="3155" w:type="dxa"/>
          </w:tcPr>
          <w:p w14:paraId="52FEDE5D" w14:textId="1857AD13" w:rsidR="004129F2" w:rsidRPr="00400CD0" w:rsidRDefault="00783F56"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116 (55.8%)</w:t>
            </w:r>
          </w:p>
        </w:tc>
      </w:tr>
      <w:tr w:rsidR="004129F2" w:rsidRPr="00400CD0" w14:paraId="266779EE" w14:textId="77777777" w:rsidTr="000F517C">
        <w:tc>
          <w:tcPr>
            <w:tcW w:w="3155" w:type="dxa"/>
          </w:tcPr>
          <w:p w14:paraId="3EC7E4C3" w14:textId="15EAF3A7"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 xml:space="preserve">  Grade 5</w:t>
            </w:r>
          </w:p>
        </w:tc>
        <w:tc>
          <w:tcPr>
            <w:tcW w:w="3155" w:type="dxa"/>
          </w:tcPr>
          <w:p w14:paraId="159FE662" w14:textId="5AE3E815" w:rsidR="004129F2" w:rsidRPr="00400CD0" w:rsidRDefault="004129F2"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15 (7.2%)</w:t>
            </w:r>
          </w:p>
        </w:tc>
        <w:tc>
          <w:tcPr>
            <w:tcW w:w="3155" w:type="dxa"/>
          </w:tcPr>
          <w:p w14:paraId="3255F367" w14:textId="485955FD" w:rsidR="004129F2" w:rsidRPr="00400CD0" w:rsidRDefault="00783F56" w:rsidP="00071A7D">
            <w:pPr>
              <w:keepNext/>
              <w:keepLines/>
              <w:jc w:val="both"/>
              <w:rPr>
                <w:rFonts w:asciiTheme="minorHAnsi" w:hAnsiTheme="minorHAnsi" w:cstheme="minorHAnsi"/>
                <w:sz w:val="20"/>
                <w:szCs w:val="20"/>
              </w:rPr>
            </w:pPr>
            <w:r w:rsidRPr="00400CD0">
              <w:rPr>
                <w:rFonts w:asciiTheme="minorHAnsi" w:hAnsiTheme="minorHAnsi" w:cstheme="minorHAnsi"/>
                <w:sz w:val="20"/>
                <w:szCs w:val="20"/>
              </w:rPr>
              <w:t>9 (4.3%)</w:t>
            </w:r>
          </w:p>
        </w:tc>
      </w:tr>
    </w:tbl>
    <w:p w14:paraId="0F825E9D" w14:textId="77777777" w:rsidR="00971A9B" w:rsidRPr="00400CD0" w:rsidRDefault="00971A9B" w:rsidP="00071A7D">
      <w:pPr>
        <w:keepNext/>
        <w:keepLines/>
        <w:spacing w:after="0"/>
        <w:jc w:val="both"/>
        <w:rPr>
          <w:rFonts w:asciiTheme="minorHAnsi" w:hAnsiTheme="minorHAnsi" w:cstheme="minorHAnsi"/>
          <w:sz w:val="18"/>
          <w:szCs w:val="18"/>
        </w:rPr>
      </w:pPr>
      <w:r w:rsidRPr="00400CD0">
        <w:rPr>
          <w:rFonts w:asciiTheme="minorHAnsi" w:hAnsiTheme="minorHAnsi" w:cstheme="minorHAnsi"/>
          <w:sz w:val="18"/>
          <w:szCs w:val="18"/>
        </w:rPr>
        <w:t xml:space="preserve">Source: CARTITUDE-4 CSR IA2. </w:t>
      </w:r>
    </w:p>
    <w:p w14:paraId="5F929002" w14:textId="5EEB9A11" w:rsidR="000C15B8" w:rsidRPr="00400CD0" w:rsidRDefault="000C15B8" w:rsidP="00071A7D">
      <w:pPr>
        <w:keepNext/>
        <w:keepLines/>
        <w:spacing w:after="0"/>
        <w:jc w:val="both"/>
        <w:rPr>
          <w:rFonts w:asciiTheme="minorHAnsi" w:hAnsiTheme="minorHAnsi" w:cstheme="minorHAnsi"/>
          <w:sz w:val="18"/>
          <w:szCs w:val="18"/>
        </w:rPr>
      </w:pPr>
      <w:r w:rsidRPr="00400CD0">
        <w:rPr>
          <w:rFonts w:asciiTheme="minorHAnsi" w:hAnsiTheme="minorHAnsi" w:cstheme="minorHAnsi"/>
          <w:sz w:val="18"/>
          <w:szCs w:val="18"/>
        </w:rPr>
        <w:t>Key: TEAE = treatment-emergent adverse event.</w:t>
      </w:r>
    </w:p>
    <w:p w14:paraId="1B440A9E" w14:textId="77777777" w:rsidR="00400CD0" w:rsidRDefault="00116EB5" w:rsidP="00400CD0">
      <w:pPr>
        <w:jc w:val="both"/>
        <w:rPr>
          <w:rFonts w:asciiTheme="minorHAnsi" w:hAnsiTheme="minorHAnsi" w:cstheme="minorHAnsi"/>
          <w:b/>
          <w:bCs/>
          <w:sz w:val="20"/>
          <w:szCs w:val="20"/>
        </w:rPr>
      </w:pPr>
      <w:r w:rsidRPr="00400CD0">
        <w:rPr>
          <w:rFonts w:asciiTheme="minorHAnsi" w:hAnsiTheme="minorHAnsi" w:cstheme="minorHAnsi"/>
          <w:b/>
          <w:bCs/>
          <w:sz w:val="20"/>
          <w:szCs w:val="20"/>
        </w:rPr>
        <w:t>Redacted</w:t>
      </w:r>
    </w:p>
    <w:p w14:paraId="605AD6C6" w14:textId="20BA044F" w:rsidR="00CF4FFC" w:rsidRDefault="00C943CB" w:rsidP="00071A7D">
      <w:pPr>
        <w:spacing w:before="240"/>
        <w:jc w:val="both"/>
        <w:rPr>
          <w:rFonts w:asciiTheme="minorHAnsi" w:hAnsiTheme="minorHAnsi" w:cstheme="minorHAnsi"/>
          <w:sz w:val="24"/>
          <w:szCs w:val="24"/>
        </w:rPr>
      </w:pPr>
      <w:r w:rsidRPr="00400CD0">
        <w:rPr>
          <w:rFonts w:asciiTheme="minorHAnsi" w:hAnsiTheme="minorHAnsi" w:cstheme="minorHAnsi"/>
          <w:sz w:val="24"/>
          <w:szCs w:val="24"/>
        </w:rPr>
        <w:t>Data from the CARTITUDE-4 trial shows a significantly lower rate of neurotoxicity relative</w:t>
      </w:r>
      <w:r w:rsidRPr="00C943CB">
        <w:rPr>
          <w:rFonts w:asciiTheme="minorHAnsi" w:hAnsiTheme="minorHAnsi" w:cstheme="minorHAnsi"/>
          <w:sz w:val="24"/>
          <w:szCs w:val="24"/>
        </w:rPr>
        <w:t xml:space="preserve"> to the CARTITUDE-1 trial when using cilta-cel</w:t>
      </w:r>
      <w:r w:rsidR="00386F4B">
        <w:rPr>
          <w:rFonts w:asciiTheme="minorHAnsi" w:hAnsiTheme="minorHAnsi" w:cstheme="minorHAnsi"/>
          <w:sz w:val="24"/>
          <w:szCs w:val="24"/>
        </w:rPr>
        <w:t xml:space="preserve"> (refer to Table 4)</w:t>
      </w:r>
      <w:r w:rsidRPr="00C943CB">
        <w:rPr>
          <w:rFonts w:asciiTheme="minorHAnsi" w:hAnsiTheme="minorHAnsi" w:cstheme="minorHAnsi"/>
          <w:sz w:val="24"/>
          <w:szCs w:val="24"/>
        </w:rPr>
        <w:t>. This reduction is primarily attributed to earlier intervention and modified patient management protocols</w:t>
      </w:r>
      <w:r w:rsidR="00CF0C64">
        <w:rPr>
          <w:rFonts w:asciiTheme="minorHAnsi" w:hAnsiTheme="minorHAnsi" w:cstheme="minorHAnsi"/>
          <w:sz w:val="24"/>
          <w:szCs w:val="24"/>
        </w:rPr>
        <w:t xml:space="preserve">. </w:t>
      </w:r>
      <w:r w:rsidR="00617E40">
        <w:rPr>
          <w:rFonts w:asciiTheme="minorHAnsi" w:hAnsiTheme="minorHAnsi" w:cstheme="minorHAnsi"/>
          <w:sz w:val="24"/>
          <w:szCs w:val="24"/>
        </w:rPr>
        <w:t>As</w:t>
      </w:r>
      <w:r w:rsidR="00CF0C64" w:rsidRPr="00CF0C64">
        <w:rPr>
          <w:rFonts w:asciiTheme="minorHAnsi" w:hAnsiTheme="minorHAnsi" w:cstheme="minorHAnsi"/>
          <w:sz w:val="24"/>
          <w:szCs w:val="24"/>
        </w:rPr>
        <w:t xml:space="preserve"> CARTITUDE-4 evaluated cilta-cel in earlier lines of therapy (1–3 prior lines) versus CARTITUDE-1 (4 or more prior lines), patients had a lower baseline </w:t>
      </w:r>
      <w:r w:rsidR="00617E40" w:rsidRPr="00CF0C64">
        <w:rPr>
          <w:rFonts w:asciiTheme="minorHAnsi" w:hAnsiTheme="minorHAnsi" w:cstheme="minorHAnsi"/>
          <w:sz w:val="24"/>
          <w:szCs w:val="24"/>
        </w:rPr>
        <w:t>tumour</w:t>
      </w:r>
      <w:r w:rsidR="00CF0C64" w:rsidRPr="00CF0C64">
        <w:rPr>
          <w:rFonts w:asciiTheme="minorHAnsi" w:hAnsiTheme="minorHAnsi" w:cstheme="minorHAnsi"/>
          <w:sz w:val="24"/>
          <w:szCs w:val="24"/>
        </w:rPr>
        <w:t xml:space="preserve"> burden. Furthermore, clinicians implemented proactive mitigation strategies, including more robust bridging therapies to control disease before infusion and aggressive, early management of CRS and ICANS.</w:t>
      </w:r>
      <w:r w:rsidR="00617E40">
        <w:rPr>
          <w:rFonts w:asciiTheme="minorHAnsi" w:hAnsiTheme="minorHAnsi" w:cstheme="minorHAnsi"/>
          <w:sz w:val="24"/>
          <w:szCs w:val="24"/>
        </w:rPr>
        <w:t xml:space="preserve"> Thus, as clinical experience has increased with CAR-T therapy, and </w:t>
      </w:r>
      <w:r w:rsidR="00A159B8">
        <w:rPr>
          <w:rFonts w:asciiTheme="minorHAnsi" w:hAnsiTheme="minorHAnsi" w:cstheme="minorHAnsi"/>
          <w:sz w:val="24"/>
          <w:szCs w:val="24"/>
        </w:rPr>
        <w:t xml:space="preserve">specifically </w:t>
      </w:r>
      <w:r w:rsidR="00617E40">
        <w:rPr>
          <w:rFonts w:asciiTheme="minorHAnsi" w:hAnsiTheme="minorHAnsi" w:cstheme="minorHAnsi"/>
          <w:sz w:val="24"/>
          <w:szCs w:val="24"/>
        </w:rPr>
        <w:t xml:space="preserve">cilta-cel, </w:t>
      </w:r>
      <w:r w:rsidR="00386F4B">
        <w:rPr>
          <w:rFonts w:asciiTheme="minorHAnsi" w:hAnsiTheme="minorHAnsi" w:cstheme="minorHAnsi"/>
          <w:sz w:val="24"/>
          <w:szCs w:val="24"/>
        </w:rPr>
        <w:t xml:space="preserve">the management of </w:t>
      </w:r>
      <w:proofErr w:type="spellStart"/>
      <w:r w:rsidR="00386F4B">
        <w:rPr>
          <w:rFonts w:asciiTheme="minorHAnsi" w:hAnsiTheme="minorHAnsi" w:cstheme="minorHAnsi"/>
          <w:sz w:val="24"/>
          <w:szCs w:val="24"/>
        </w:rPr>
        <w:t>neurotoxicities</w:t>
      </w:r>
      <w:proofErr w:type="spellEnd"/>
      <w:r w:rsidR="00386F4B">
        <w:rPr>
          <w:rFonts w:asciiTheme="minorHAnsi" w:hAnsiTheme="minorHAnsi" w:cstheme="minorHAnsi"/>
          <w:sz w:val="24"/>
          <w:szCs w:val="24"/>
        </w:rPr>
        <w:t xml:space="preserve"> has improved considerably</w:t>
      </w:r>
      <w:r w:rsidR="00991852">
        <w:rPr>
          <w:rFonts w:asciiTheme="minorHAnsi" w:hAnsiTheme="minorHAnsi" w:cstheme="minorHAnsi"/>
          <w:sz w:val="24"/>
          <w:szCs w:val="24"/>
        </w:rPr>
        <w:t xml:space="preserve"> (</w:t>
      </w:r>
      <w:r w:rsidR="007109E2">
        <w:rPr>
          <w:rFonts w:asciiTheme="minorHAnsi" w:hAnsiTheme="minorHAnsi" w:cstheme="minorHAnsi"/>
          <w:sz w:val="24"/>
          <w:szCs w:val="24"/>
        </w:rPr>
        <w:t>Cohen et al. 2022)</w:t>
      </w:r>
      <w:r w:rsidR="00386F4B">
        <w:rPr>
          <w:rFonts w:asciiTheme="minorHAnsi" w:hAnsiTheme="minorHAnsi" w:cstheme="minorHAnsi"/>
          <w:sz w:val="24"/>
          <w:szCs w:val="24"/>
        </w:rPr>
        <w:t>.</w:t>
      </w:r>
    </w:p>
    <w:p w14:paraId="4F1E426E" w14:textId="02A50373" w:rsidR="00F249FE" w:rsidRPr="00F249FE" w:rsidRDefault="00E714B1" w:rsidP="00400CD0">
      <w:pPr>
        <w:keepNext/>
        <w:keepLines/>
        <w:jc w:val="both"/>
        <w:rPr>
          <w:rFonts w:asciiTheme="minorHAnsi" w:hAnsiTheme="minorHAnsi" w:cstheme="minorHAnsi"/>
          <w:b/>
          <w:bCs/>
          <w:sz w:val="24"/>
          <w:szCs w:val="24"/>
        </w:rPr>
      </w:pPr>
      <w:r w:rsidRPr="00F249FE">
        <w:rPr>
          <w:rFonts w:asciiTheme="minorHAnsi" w:hAnsiTheme="minorHAnsi" w:cstheme="minorHAnsi"/>
          <w:b/>
          <w:bCs/>
          <w:sz w:val="24"/>
          <w:szCs w:val="24"/>
        </w:rPr>
        <w:lastRenderedPageBreak/>
        <w:t xml:space="preserve">Table </w:t>
      </w:r>
      <w:r w:rsidR="009874C5">
        <w:rPr>
          <w:rFonts w:asciiTheme="minorHAnsi" w:hAnsiTheme="minorHAnsi" w:cstheme="minorHAnsi"/>
          <w:b/>
          <w:bCs/>
          <w:sz w:val="24"/>
          <w:szCs w:val="24"/>
        </w:rPr>
        <w:t>4</w:t>
      </w:r>
      <w:r w:rsidRPr="00F249FE">
        <w:rPr>
          <w:rFonts w:asciiTheme="minorHAnsi" w:hAnsiTheme="minorHAnsi" w:cstheme="minorHAnsi"/>
          <w:b/>
          <w:bCs/>
          <w:sz w:val="24"/>
          <w:szCs w:val="24"/>
        </w:rPr>
        <w:t xml:space="preserve">: Comparison of neurotoxicity </w:t>
      </w:r>
      <w:r w:rsidR="00F249FE" w:rsidRPr="00F249FE">
        <w:rPr>
          <w:rFonts w:asciiTheme="minorHAnsi" w:hAnsiTheme="minorHAnsi" w:cstheme="minorHAnsi"/>
          <w:b/>
          <w:bCs/>
          <w:sz w:val="24"/>
          <w:szCs w:val="24"/>
        </w:rPr>
        <w:t>in CARTITUDE-4 and CARTITUDE-1</w:t>
      </w:r>
    </w:p>
    <w:tbl>
      <w:tblPr>
        <w:tblStyle w:val="TableGrid"/>
        <w:tblW w:w="0" w:type="auto"/>
        <w:tblLook w:val="04A0" w:firstRow="1" w:lastRow="0" w:firstColumn="1" w:lastColumn="0" w:noHBand="0" w:noVBand="1"/>
      </w:tblPr>
      <w:tblGrid>
        <w:gridCol w:w="2830"/>
        <w:gridCol w:w="1105"/>
        <w:gridCol w:w="1106"/>
        <w:gridCol w:w="1106"/>
        <w:gridCol w:w="1106"/>
        <w:gridCol w:w="1106"/>
        <w:gridCol w:w="1106"/>
      </w:tblGrid>
      <w:tr w:rsidR="00EC3BD7" w:rsidRPr="0053644B" w14:paraId="5F839972" w14:textId="77777777" w:rsidTr="008B004B">
        <w:tc>
          <w:tcPr>
            <w:tcW w:w="2830" w:type="dxa"/>
            <w:vMerge w:val="restart"/>
          </w:tcPr>
          <w:p w14:paraId="2790303A" w14:textId="4A560916" w:rsidR="00EC3BD7" w:rsidRPr="00EC3BD7" w:rsidRDefault="00EC3BD7" w:rsidP="00400CD0">
            <w:pPr>
              <w:keepNext/>
              <w:keepLines/>
              <w:jc w:val="both"/>
              <w:rPr>
                <w:rFonts w:asciiTheme="minorHAnsi" w:hAnsiTheme="minorHAnsi" w:cstheme="minorHAnsi"/>
                <w:b/>
                <w:bCs/>
                <w:sz w:val="20"/>
                <w:szCs w:val="20"/>
              </w:rPr>
            </w:pPr>
            <w:r w:rsidRPr="00EC3BD7">
              <w:rPr>
                <w:rFonts w:asciiTheme="minorHAnsi" w:hAnsiTheme="minorHAnsi" w:cstheme="minorHAnsi"/>
                <w:b/>
                <w:bCs/>
                <w:sz w:val="20"/>
                <w:szCs w:val="20"/>
              </w:rPr>
              <w:t>CART-associated AEs</w:t>
            </w:r>
            <w:r w:rsidR="0086242F" w:rsidRPr="0086242F">
              <w:rPr>
                <w:rFonts w:asciiTheme="minorHAnsi" w:hAnsiTheme="minorHAnsi" w:cstheme="minorHAnsi"/>
                <w:b/>
                <w:bCs/>
                <w:sz w:val="20"/>
                <w:szCs w:val="20"/>
                <w:vertAlign w:val="superscript"/>
              </w:rPr>
              <w:t>1</w:t>
            </w:r>
          </w:p>
        </w:tc>
        <w:tc>
          <w:tcPr>
            <w:tcW w:w="2211" w:type="dxa"/>
            <w:gridSpan w:val="2"/>
          </w:tcPr>
          <w:p w14:paraId="76FF5B81" w14:textId="52A0955A"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Grade 1 or 2</w:t>
            </w:r>
          </w:p>
        </w:tc>
        <w:tc>
          <w:tcPr>
            <w:tcW w:w="2212" w:type="dxa"/>
            <w:gridSpan w:val="2"/>
          </w:tcPr>
          <w:p w14:paraId="1BC9358C" w14:textId="23569929"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Grade 3 or 4</w:t>
            </w:r>
          </w:p>
        </w:tc>
        <w:tc>
          <w:tcPr>
            <w:tcW w:w="2212" w:type="dxa"/>
            <w:gridSpan w:val="2"/>
          </w:tcPr>
          <w:p w14:paraId="5F4B1C25" w14:textId="22DD847D"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Grade 5</w:t>
            </w:r>
          </w:p>
        </w:tc>
      </w:tr>
      <w:tr w:rsidR="00EC3BD7" w:rsidRPr="0053644B" w14:paraId="5A64B71A" w14:textId="77777777" w:rsidTr="008B004B">
        <w:tc>
          <w:tcPr>
            <w:tcW w:w="2830" w:type="dxa"/>
            <w:vMerge/>
          </w:tcPr>
          <w:p w14:paraId="56A29ABB" w14:textId="5B130176" w:rsidR="00EC3BD7" w:rsidRPr="00EC3BD7" w:rsidRDefault="00EC3BD7" w:rsidP="00400CD0">
            <w:pPr>
              <w:keepNext/>
              <w:keepLines/>
              <w:jc w:val="both"/>
              <w:rPr>
                <w:rFonts w:asciiTheme="minorHAnsi" w:hAnsiTheme="minorHAnsi" w:cstheme="minorHAnsi"/>
                <w:b/>
                <w:bCs/>
                <w:sz w:val="20"/>
                <w:szCs w:val="20"/>
              </w:rPr>
            </w:pPr>
          </w:p>
        </w:tc>
        <w:tc>
          <w:tcPr>
            <w:tcW w:w="1105" w:type="dxa"/>
          </w:tcPr>
          <w:p w14:paraId="3716DC7D" w14:textId="4A544794"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CART-4</w:t>
            </w:r>
          </w:p>
        </w:tc>
        <w:tc>
          <w:tcPr>
            <w:tcW w:w="1106" w:type="dxa"/>
          </w:tcPr>
          <w:p w14:paraId="0315781D" w14:textId="4D6C7FD3"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CART-1</w:t>
            </w:r>
          </w:p>
        </w:tc>
        <w:tc>
          <w:tcPr>
            <w:tcW w:w="1106" w:type="dxa"/>
          </w:tcPr>
          <w:p w14:paraId="69AD95B3" w14:textId="649EC9AF"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CART-4</w:t>
            </w:r>
          </w:p>
        </w:tc>
        <w:tc>
          <w:tcPr>
            <w:tcW w:w="1106" w:type="dxa"/>
          </w:tcPr>
          <w:p w14:paraId="4354D177" w14:textId="6B214B8A"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CART-1</w:t>
            </w:r>
          </w:p>
        </w:tc>
        <w:tc>
          <w:tcPr>
            <w:tcW w:w="1106" w:type="dxa"/>
          </w:tcPr>
          <w:p w14:paraId="27F4A01E" w14:textId="4860B9BC"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CART-4</w:t>
            </w:r>
          </w:p>
        </w:tc>
        <w:tc>
          <w:tcPr>
            <w:tcW w:w="1106" w:type="dxa"/>
          </w:tcPr>
          <w:p w14:paraId="6EAF693A" w14:textId="7F6C871F" w:rsidR="00EC3BD7" w:rsidRPr="00EC3BD7" w:rsidRDefault="00EC3BD7" w:rsidP="00400CD0">
            <w:pPr>
              <w:keepNext/>
              <w:keepLines/>
              <w:jc w:val="center"/>
              <w:rPr>
                <w:rFonts w:asciiTheme="minorHAnsi" w:hAnsiTheme="minorHAnsi" w:cstheme="minorHAnsi"/>
                <w:b/>
                <w:bCs/>
                <w:sz w:val="20"/>
                <w:szCs w:val="20"/>
              </w:rPr>
            </w:pPr>
            <w:r w:rsidRPr="00EC3BD7">
              <w:rPr>
                <w:rFonts w:asciiTheme="minorHAnsi" w:hAnsiTheme="minorHAnsi" w:cstheme="minorHAnsi"/>
                <w:b/>
                <w:bCs/>
                <w:sz w:val="20"/>
                <w:szCs w:val="20"/>
              </w:rPr>
              <w:t>CART-1</w:t>
            </w:r>
          </w:p>
        </w:tc>
      </w:tr>
      <w:tr w:rsidR="00EC3BD7" w:rsidRPr="0053644B" w14:paraId="435EDF9B" w14:textId="77777777" w:rsidTr="008B004B">
        <w:tc>
          <w:tcPr>
            <w:tcW w:w="2830" w:type="dxa"/>
          </w:tcPr>
          <w:p w14:paraId="3E3243AD" w14:textId="713CBD97" w:rsidR="00EC3BD7" w:rsidRDefault="00EC3BD7" w:rsidP="00400CD0">
            <w:pPr>
              <w:keepNext/>
              <w:keepLines/>
              <w:jc w:val="both"/>
              <w:rPr>
                <w:rFonts w:asciiTheme="minorHAnsi" w:hAnsiTheme="minorHAnsi" w:cstheme="minorHAnsi"/>
                <w:sz w:val="20"/>
                <w:szCs w:val="20"/>
              </w:rPr>
            </w:pPr>
            <w:r>
              <w:rPr>
                <w:rFonts w:asciiTheme="minorHAnsi" w:hAnsiTheme="minorHAnsi" w:cstheme="minorHAnsi"/>
                <w:sz w:val="20"/>
                <w:szCs w:val="20"/>
              </w:rPr>
              <w:t>Cytokine release syndrome</w:t>
            </w:r>
          </w:p>
        </w:tc>
        <w:tc>
          <w:tcPr>
            <w:tcW w:w="1105" w:type="dxa"/>
          </w:tcPr>
          <w:p w14:paraId="295B2615" w14:textId="3DDBF683" w:rsidR="00EC3BD7"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134 (76%)</w:t>
            </w:r>
          </w:p>
        </w:tc>
        <w:tc>
          <w:tcPr>
            <w:tcW w:w="1106" w:type="dxa"/>
          </w:tcPr>
          <w:p w14:paraId="28D0AC20" w14:textId="5D4DBDA5" w:rsidR="00EC3BD7"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87 (90%)</w:t>
            </w:r>
          </w:p>
        </w:tc>
        <w:tc>
          <w:tcPr>
            <w:tcW w:w="1106" w:type="dxa"/>
          </w:tcPr>
          <w:p w14:paraId="68681FD0" w14:textId="40A91E19" w:rsidR="00EC3BD7"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2 (1%)</w:t>
            </w:r>
          </w:p>
        </w:tc>
        <w:tc>
          <w:tcPr>
            <w:tcW w:w="1106" w:type="dxa"/>
          </w:tcPr>
          <w:p w14:paraId="7D9966BE" w14:textId="729845D6" w:rsidR="00EC3BD7"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4 (4%)</w:t>
            </w:r>
          </w:p>
        </w:tc>
        <w:tc>
          <w:tcPr>
            <w:tcW w:w="1106" w:type="dxa"/>
          </w:tcPr>
          <w:p w14:paraId="010794B8" w14:textId="564DFDD3" w:rsidR="00EC3BD7" w:rsidRDefault="008B004B" w:rsidP="00400CD0">
            <w:pPr>
              <w:keepNext/>
              <w:keepLines/>
              <w:jc w:val="center"/>
              <w:rPr>
                <w:rFonts w:asciiTheme="minorHAnsi" w:hAnsiTheme="minorHAnsi" w:cstheme="minorHAnsi"/>
                <w:sz w:val="20"/>
                <w:szCs w:val="20"/>
              </w:rPr>
            </w:pPr>
            <w:r>
              <w:rPr>
                <w:rFonts w:asciiTheme="minorHAnsi" w:hAnsiTheme="minorHAnsi" w:cstheme="minorHAnsi"/>
                <w:sz w:val="20"/>
                <w:szCs w:val="20"/>
              </w:rPr>
              <w:t>0 (0%)</w:t>
            </w:r>
          </w:p>
        </w:tc>
        <w:tc>
          <w:tcPr>
            <w:tcW w:w="1106" w:type="dxa"/>
          </w:tcPr>
          <w:p w14:paraId="1AE0F68A" w14:textId="682BAE5C" w:rsidR="00EC3BD7"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1 (1%)</w:t>
            </w:r>
          </w:p>
        </w:tc>
      </w:tr>
      <w:tr w:rsidR="00EC3BD7" w:rsidRPr="0053644B" w14:paraId="08B0D77A" w14:textId="77777777" w:rsidTr="008B004B">
        <w:tc>
          <w:tcPr>
            <w:tcW w:w="2830" w:type="dxa"/>
          </w:tcPr>
          <w:p w14:paraId="64D142F9" w14:textId="61A76BCE" w:rsidR="00EC3BD7" w:rsidRPr="0053644B" w:rsidRDefault="00EC3BD7" w:rsidP="00400CD0">
            <w:pPr>
              <w:keepNext/>
              <w:keepLines/>
              <w:jc w:val="both"/>
              <w:rPr>
                <w:rFonts w:asciiTheme="minorHAnsi" w:hAnsiTheme="minorHAnsi" w:cstheme="minorHAnsi"/>
                <w:sz w:val="20"/>
                <w:szCs w:val="20"/>
              </w:rPr>
            </w:pPr>
            <w:r>
              <w:rPr>
                <w:rFonts w:asciiTheme="minorHAnsi" w:hAnsiTheme="minorHAnsi" w:cstheme="minorHAnsi"/>
                <w:sz w:val="20"/>
                <w:szCs w:val="20"/>
              </w:rPr>
              <w:t>Neurotoxicity</w:t>
            </w:r>
            <w:r w:rsidR="0086242F" w:rsidRPr="0086242F">
              <w:rPr>
                <w:rFonts w:asciiTheme="minorHAnsi" w:hAnsiTheme="minorHAnsi" w:cstheme="minorHAnsi"/>
                <w:sz w:val="20"/>
                <w:szCs w:val="20"/>
                <w:vertAlign w:val="superscript"/>
              </w:rPr>
              <w:t>2</w:t>
            </w:r>
          </w:p>
        </w:tc>
        <w:tc>
          <w:tcPr>
            <w:tcW w:w="1105" w:type="dxa"/>
          </w:tcPr>
          <w:p w14:paraId="4B034530" w14:textId="0FB801B1"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36 (21%)</w:t>
            </w:r>
          </w:p>
        </w:tc>
        <w:tc>
          <w:tcPr>
            <w:tcW w:w="1106" w:type="dxa"/>
          </w:tcPr>
          <w:p w14:paraId="57823082" w14:textId="07CD5935"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10 (11%)</w:t>
            </w:r>
          </w:p>
        </w:tc>
        <w:tc>
          <w:tcPr>
            <w:tcW w:w="1106" w:type="dxa"/>
          </w:tcPr>
          <w:p w14:paraId="388BBE8C" w14:textId="13473D38"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5 (3%)</w:t>
            </w:r>
          </w:p>
        </w:tc>
        <w:tc>
          <w:tcPr>
            <w:tcW w:w="1106" w:type="dxa"/>
          </w:tcPr>
          <w:p w14:paraId="6419DA19" w14:textId="7207F5B7"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11 (11%)</w:t>
            </w:r>
          </w:p>
        </w:tc>
        <w:tc>
          <w:tcPr>
            <w:tcW w:w="1106" w:type="dxa"/>
          </w:tcPr>
          <w:p w14:paraId="4ED0D7BC" w14:textId="7621E69B" w:rsidR="00EC3BD7" w:rsidRPr="0053644B" w:rsidRDefault="008B004B" w:rsidP="00400CD0">
            <w:pPr>
              <w:keepNext/>
              <w:keepLines/>
              <w:jc w:val="center"/>
              <w:rPr>
                <w:rFonts w:asciiTheme="minorHAnsi" w:hAnsiTheme="minorHAnsi" w:cstheme="minorHAnsi"/>
                <w:sz w:val="20"/>
                <w:szCs w:val="20"/>
              </w:rPr>
            </w:pPr>
            <w:r>
              <w:rPr>
                <w:rFonts w:asciiTheme="minorHAnsi" w:hAnsiTheme="minorHAnsi" w:cstheme="minorHAnsi"/>
                <w:sz w:val="20"/>
                <w:szCs w:val="20"/>
              </w:rPr>
              <w:t>0 (0%)</w:t>
            </w:r>
          </w:p>
        </w:tc>
        <w:tc>
          <w:tcPr>
            <w:tcW w:w="1106" w:type="dxa"/>
          </w:tcPr>
          <w:p w14:paraId="3CF11B4B" w14:textId="57C65143" w:rsidR="00EC3BD7" w:rsidRPr="0053644B"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1 (1%)</w:t>
            </w:r>
          </w:p>
        </w:tc>
      </w:tr>
      <w:tr w:rsidR="00EC3BD7" w:rsidRPr="0053644B" w14:paraId="333343F7" w14:textId="77777777" w:rsidTr="008B004B">
        <w:tc>
          <w:tcPr>
            <w:tcW w:w="2830" w:type="dxa"/>
          </w:tcPr>
          <w:p w14:paraId="034724E3" w14:textId="0142692F" w:rsidR="00EC3BD7" w:rsidRPr="0053644B" w:rsidRDefault="00EC3BD7" w:rsidP="00400CD0">
            <w:pPr>
              <w:keepNext/>
              <w:keepLines/>
              <w:jc w:val="both"/>
              <w:rPr>
                <w:rFonts w:asciiTheme="minorHAnsi" w:hAnsiTheme="minorHAnsi" w:cstheme="minorHAnsi"/>
                <w:sz w:val="20"/>
                <w:szCs w:val="20"/>
              </w:rPr>
            </w:pPr>
            <w:r>
              <w:rPr>
                <w:rFonts w:asciiTheme="minorHAnsi" w:hAnsiTheme="minorHAnsi" w:cstheme="minorHAnsi"/>
                <w:sz w:val="20"/>
                <w:szCs w:val="20"/>
              </w:rPr>
              <w:t>Immune effector cell-associated neurotoxicity syndrome</w:t>
            </w:r>
          </w:p>
        </w:tc>
        <w:tc>
          <w:tcPr>
            <w:tcW w:w="1105" w:type="dxa"/>
          </w:tcPr>
          <w:p w14:paraId="5B5EC977" w14:textId="729FEAE4"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8 (5%)</w:t>
            </w:r>
          </w:p>
        </w:tc>
        <w:tc>
          <w:tcPr>
            <w:tcW w:w="1106" w:type="dxa"/>
          </w:tcPr>
          <w:p w14:paraId="5E63D27E" w14:textId="69AF74ED"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14 (15%)</w:t>
            </w:r>
          </w:p>
        </w:tc>
        <w:tc>
          <w:tcPr>
            <w:tcW w:w="1106" w:type="dxa"/>
          </w:tcPr>
          <w:p w14:paraId="368F0AB5" w14:textId="639D39CE"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0 (0%)</w:t>
            </w:r>
          </w:p>
        </w:tc>
        <w:tc>
          <w:tcPr>
            <w:tcW w:w="1106" w:type="dxa"/>
          </w:tcPr>
          <w:p w14:paraId="289AA0EA" w14:textId="2B14A81C" w:rsidR="00EC3BD7" w:rsidRPr="0053644B"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2 (2%)</w:t>
            </w:r>
          </w:p>
        </w:tc>
        <w:tc>
          <w:tcPr>
            <w:tcW w:w="1106" w:type="dxa"/>
          </w:tcPr>
          <w:p w14:paraId="4F1BFEB5" w14:textId="181F9607" w:rsidR="00EC3BD7" w:rsidRPr="0053644B" w:rsidRDefault="008B004B" w:rsidP="00400CD0">
            <w:pPr>
              <w:keepNext/>
              <w:keepLines/>
              <w:jc w:val="center"/>
              <w:rPr>
                <w:rFonts w:asciiTheme="minorHAnsi" w:hAnsiTheme="minorHAnsi" w:cstheme="minorHAnsi"/>
                <w:sz w:val="20"/>
                <w:szCs w:val="20"/>
              </w:rPr>
            </w:pPr>
            <w:r>
              <w:rPr>
                <w:rFonts w:asciiTheme="minorHAnsi" w:hAnsiTheme="minorHAnsi" w:cstheme="minorHAnsi"/>
                <w:sz w:val="20"/>
                <w:szCs w:val="20"/>
              </w:rPr>
              <w:t>0 (0%)</w:t>
            </w:r>
          </w:p>
        </w:tc>
        <w:tc>
          <w:tcPr>
            <w:tcW w:w="1106" w:type="dxa"/>
          </w:tcPr>
          <w:p w14:paraId="00074D75" w14:textId="2CBC3C1C" w:rsidR="00EC3BD7" w:rsidRPr="0053644B"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0</w:t>
            </w:r>
            <w:r w:rsidR="008B004B">
              <w:rPr>
                <w:rFonts w:asciiTheme="minorHAnsi" w:hAnsiTheme="minorHAnsi" w:cstheme="minorHAnsi"/>
                <w:sz w:val="20"/>
                <w:szCs w:val="20"/>
              </w:rPr>
              <w:t xml:space="preserve"> (0%)</w:t>
            </w:r>
          </w:p>
        </w:tc>
      </w:tr>
      <w:tr w:rsidR="00EC3BD7" w:rsidRPr="0053644B" w14:paraId="3CCBB0B2" w14:textId="77777777" w:rsidTr="008B004B">
        <w:tc>
          <w:tcPr>
            <w:tcW w:w="2830" w:type="dxa"/>
          </w:tcPr>
          <w:p w14:paraId="50C338FE" w14:textId="6EDF9D5E" w:rsidR="00EC3BD7" w:rsidRPr="0053644B" w:rsidRDefault="00EC3BD7" w:rsidP="00400CD0">
            <w:pPr>
              <w:keepNext/>
              <w:keepLines/>
              <w:jc w:val="both"/>
              <w:rPr>
                <w:rFonts w:asciiTheme="minorHAnsi" w:hAnsiTheme="minorHAnsi" w:cstheme="minorHAnsi"/>
                <w:sz w:val="20"/>
                <w:szCs w:val="20"/>
              </w:rPr>
            </w:pPr>
            <w:r>
              <w:rPr>
                <w:rFonts w:asciiTheme="minorHAnsi" w:hAnsiTheme="minorHAnsi" w:cstheme="minorHAnsi"/>
                <w:sz w:val="20"/>
                <w:szCs w:val="20"/>
              </w:rPr>
              <w:t>Other</w:t>
            </w:r>
            <w:r w:rsidR="0086242F" w:rsidRPr="0086242F">
              <w:rPr>
                <w:rFonts w:asciiTheme="minorHAnsi" w:hAnsiTheme="minorHAnsi" w:cstheme="minorHAnsi"/>
                <w:sz w:val="20"/>
                <w:szCs w:val="20"/>
                <w:vertAlign w:val="superscript"/>
              </w:rPr>
              <w:t>3</w:t>
            </w:r>
          </w:p>
        </w:tc>
        <w:tc>
          <w:tcPr>
            <w:tcW w:w="1105" w:type="dxa"/>
          </w:tcPr>
          <w:p w14:paraId="6C6E3CB7" w14:textId="0A5EA3F7"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30 (17%)</w:t>
            </w:r>
          </w:p>
        </w:tc>
        <w:tc>
          <w:tcPr>
            <w:tcW w:w="1106" w:type="dxa"/>
          </w:tcPr>
          <w:p w14:paraId="5C1C2D84" w14:textId="21CE3946"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3 (3%)</w:t>
            </w:r>
          </w:p>
        </w:tc>
        <w:tc>
          <w:tcPr>
            <w:tcW w:w="1106" w:type="dxa"/>
          </w:tcPr>
          <w:p w14:paraId="400B16AA" w14:textId="47C233E7"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4 (2%)</w:t>
            </w:r>
          </w:p>
        </w:tc>
        <w:tc>
          <w:tcPr>
            <w:tcW w:w="1106" w:type="dxa"/>
          </w:tcPr>
          <w:p w14:paraId="04715F50" w14:textId="2EDE0BC7" w:rsidR="00EC3BD7" w:rsidRPr="0053644B"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10 (10%)</w:t>
            </w:r>
          </w:p>
        </w:tc>
        <w:tc>
          <w:tcPr>
            <w:tcW w:w="1106" w:type="dxa"/>
          </w:tcPr>
          <w:p w14:paraId="0C623497" w14:textId="30784A05" w:rsidR="00EC3BD7" w:rsidRPr="0053644B" w:rsidRDefault="008B004B" w:rsidP="00400CD0">
            <w:pPr>
              <w:keepNext/>
              <w:keepLines/>
              <w:jc w:val="center"/>
              <w:rPr>
                <w:rFonts w:asciiTheme="minorHAnsi" w:hAnsiTheme="minorHAnsi" w:cstheme="minorHAnsi"/>
                <w:sz w:val="20"/>
                <w:szCs w:val="20"/>
              </w:rPr>
            </w:pPr>
            <w:r>
              <w:rPr>
                <w:rFonts w:asciiTheme="minorHAnsi" w:hAnsiTheme="minorHAnsi" w:cstheme="minorHAnsi"/>
                <w:sz w:val="20"/>
                <w:szCs w:val="20"/>
              </w:rPr>
              <w:t>0 (%)</w:t>
            </w:r>
          </w:p>
        </w:tc>
        <w:tc>
          <w:tcPr>
            <w:tcW w:w="1106" w:type="dxa"/>
          </w:tcPr>
          <w:p w14:paraId="2E8844FF" w14:textId="65492765" w:rsidR="00EC3BD7" w:rsidRPr="0053644B"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1 (1%)</w:t>
            </w:r>
          </w:p>
        </w:tc>
      </w:tr>
      <w:tr w:rsidR="00EC3BD7" w:rsidRPr="0053644B" w14:paraId="54FB8D6E" w14:textId="77777777" w:rsidTr="008B004B">
        <w:tc>
          <w:tcPr>
            <w:tcW w:w="2830" w:type="dxa"/>
          </w:tcPr>
          <w:p w14:paraId="6D467022" w14:textId="4D21DCBE" w:rsidR="00EC3BD7" w:rsidRPr="0053644B" w:rsidRDefault="00EC3BD7" w:rsidP="00400CD0">
            <w:pPr>
              <w:keepNext/>
              <w:keepLines/>
              <w:jc w:val="both"/>
              <w:rPr>
                <w:rFonts w:asciiTheme="minorHAnsi" w:hAnsiTheme="minorHAnsi" w:cstheme="minorHAnsi"/>
                <w:sz w:val="20"/>
                <w:szCs w:val="20"/>
              </w:rPr>
            </w:pPr>
            <w:r>
              <w:rPr>
                <w:rFonts w:asciiTheme="minorHAnsi" w:hAnsiTheme="minorHAnsi" w:cstheme="minorHAnsi"/>
                <w:sz w:val="20"/>
                <w:szCs w:val="20"/>
              </w:rPr>
              <w:t>Parkinsonism</w:t>
            </w:r>
          </w:p>
        </w:tc>
        <w:tc>
          <w:tcPr>
            <w:tcW w:w="1105" w:type="dxa"/>
          </w:tcPr>
          <w:p w14:paraId="4248AF87" w14:textId="68C262B3"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1 (1%)</w:t>
            </w:r>
          </w:p>
        </w:tc>
        <w:tc>
          <w:tcPr>
            <w:tcW w:w="1106" w:type="dxa"/>
          </w:tcPr>
          <w:p w14:paraId="7982AC86" w14:textId="6D588F05"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2 (2%)</w:t>
            </w:r>
          </w:p>
        </w:tc>
        <w:tc>
          <w:tcPr>
            <w:tcW w:w="1106" w:type="dxa"/>
          </w:tcPr>
          <w:p w14:paraId="252192C2" w14:textId="4C99DBC8" w:rsidR="00EC3BD7" w:rsidRPr="0053644B" w:rsidRDefault="002A772A" w:rsidP="00400CD0">
            <w:pPr>
              <w:keepNext/>
              <w:keepLines/>
              <w:jc w:val="center"/>
              <w:rPr>
                <w:rFonts w:asciiTheme="minorHAnsi" w:hAnsiTheme="minorHAnsi" w:cstheme="minorHAnsi"/>
                <w:sz w:val="20"/>
                <w:szCs w:val="20"/>
              </w:rPr>
            </w:pPr>
            <w:r>
              <w:rPr>
                <w:rFonts w:asciiTheme="minorHAnsi" w:hAnsiTheme="minorHAnsi" w:cstheme="minorHAnsi"/>
                <w:sz w:val="20"/>
                <w:szCs w:val="20"/>
              </w:rPr>
              <w:t>0 (0%)</w:t>
            </w:r>
          </w:p>
        </w:tc>
        <w:tc>
          <w:tcPr>
            <w:tcW w:w="1106" w:type="dxa"/>
          </w:tcPr>
          <w:p w14:paraId="1407DC8B" w14:textId="3A51F364" w:rsidR="00EC3BD7" w:rsidRPr="0053644B"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4 (4%)</w:t>
            </w:r>
          </w:p>
        </w:tc>
        <w:tc>
          <w:tcPr>
            <w:tcW w:w="1106" w:type="dxa"/>
          </w:tcPr>
          <w:p w14:paraId="0CA47F97" w14:textId="3A7B16F0" w:rsidR="00EC3BD7" w:rsidRPr="0053644B" w:rsidRDefault="008B004B" w:rsidP="00400CD0">
            <w:pPr>
              <w:keepNext/>
              <w:keepLines/>
              <w:jc w:val="center"/>
              <w:rPr>
                <w:rFonts w:asciiTheme="minorHAnsi" w:hAnsiTheme="minorHAnsi" w:cstheme="minorHAnsi"/>
                <w:sz w:val="20"/>
                <w:szCs w:val="20"/>
              </w:rPr>
            </w:pPr>
            <w:r>
              <w:rPr>
                <w:rFonts w:asciiTheme="minorHAnsi" w:hAnsiTheme="minorHAnsi" w:cstheme="minorHAnsi"/>
                <w:sz w:val="20"/>
                <w:szCs w:val="20"/>
              </w:rPr>
              <w:t>0 (%)</w:t>
            </w:r>
          </w:p>
        </w:tc>
        <w:tc>
          <w:tcPr>
            <w:tcW w:w="1106" w:type="dxa"/>
          </w:tcPr>
          <w:p w14:paraId="1DBF7516" w14:textId="356BD7D0" w:rsidR="00EC3BD7" w:rsidRPr="0053644B" w:rsidRDefault="00BB7A66" w:rsidP="00400CD0">
            <w:pPr>
              <w:keepNext/>
              <w:keepLines/>
              <w:jc w:val="center"/>
              <w:rPr>
                <w:rFonts w:asciiTheme="minorHAnsi" w:hAnsiTheme="minorHAnsi" w:cstheme="minorHAnsi"/>
                <w:sz w:val="20"/>
                <w:szCs w:val="20"/>
              </w:rPr>
            </w:pPr>
            <w:r>
              <w:rPr>
                <w:rFonts w:asciiTheme="minorHAnsi" w:hAnsiTheme="minorHAnsi" w:cstheme="minorHAnsi"/>
                <w:sz w:val="20"/>
                <w:szCs w:val="20"/>
              </w:rPr>
              <w:t>0 (0%</w:t>
            </w:r>
          </w:p>
        </w:tc>
      </w:tr>
    </w:tbl>
    <w:p w14:paraId="704908E1" w14:textId="09A167BA" w:rsidR="00E714B1" w:rsidRPr="003C72EC" w:rsidRDefault="00BE4FD6" w:rsidP="00400CD0">
      <w:pPr>
        <w:keepNext/>
        <w:keepLines/>
        <w:spacing w:after="0"/>
        <w:jc w:val="both"/>
        <w:rPr>
          <w:rFonts w:asciiTheme="minorHAnsi" w:hAnsiTheme="minorHAnsi" w:cstheme="minorHAnsi"/>
          <w:sz w:val="18"/>
          <w:szCs w:val="18"/>
        </w:rPr>
      </w:pPr>
      <w:r w:rsidRPr="003C72EC">
        <w:rPr>
          <w:rFonts w:asciiTheme="minorHAnsi" w:hAnsiTheme="minorHAnsi" w:cstheme="minorHAnsi"/>
          <w:sz w:val="18"/>
          <w:szCs w:val="18"/>
        </w:rPr>
        <w:t xml:space="preserve">Sources: </w:t>
      </w:r>
      <w:proofErr w:type="spellStart"/>
      <w:r w:rsidRPr="003C72EC">
        <w:rPr>
          <w:rFonts w:asciiTheme="minorHAnsi" w:hAnsiTheme="minorHAnsi" w:cstheme="minorHAnsi"/>
          <w:sz w:val="18"/>
          <w:szCs w:val="18"/>
        </w:rPr>
        <w:t>Einsele</w:t>
      </w:r>
      <w:proofErr w:type="spellEnd"/>
      <w:r w:rsidRPr="003C72EC">
        <w:rPr>
          <w:rFonts w:asciiTheme="minorHAnsi" w:hAnsiTheme="minorHAnsi" w:cstheme="minorHAnsi"/>
          <w:sz w:val="18"/>
          <w:szCs w:val="18"/>
        </w:rPr>
        <w:t xml:space="preserve"> H, San-Miguel J, Dhakal B et al. Cilta-cel in lenalidomide-refractory multiple myeloma (CARTITUDE-4): an updated analysis including overall survival from an open-label, multicentre, randomised, phase 3 trial. The Lancet Oncology, 2026; 27, 254-268. Usmani, S. Phase 1b/2 study of ciltacabtagene autoleucel, a BCMA-directed CAR-T cell therapy, in patients with relapsed/refractory multiple myeloma (CARTITUDE-1): Two years post-LPI. Abstract #8028 [Poster]. Presented at the 2022 American Society of Clinical Oncology Annual Meeting.</w:t>
      </w:r>
    </w:p>
    <w:p w14:paraId="38FC1F13" w14:textId="3016CE2B" w:rsidR="003C72EC" w:rsidRPr="003C72EC" w:rsidRDefault="003C72EC" w:rsidP="00400CD0">
      <w:pPr>
        <w:keepNext/>
        <w:keepLines/>
        <w:spacing w:after="0"/>
        <w:jc w:val="both"/>
        <w:rPr>
          <w:rFonts w:asciiTheme="minorHAnsi" w:hAnsiTheme="minorHAnsi" w:cstheme="minorHAnsi"/>
          <w:sz w:val="18"/>
          <w:szCs w:val="18"/>
        </w:rPr>
      </w:pPr>
      <w:r w:rsidRPr="003C72EC">
        <w:rPr>
          <w:rFonts w:asciiTheme="minorHAnsi" w:hAnsiTheme="minorHAnsi" w:cstheme="minorHAnsi"/>
          <w:sz w:val="18"/>
          <w:szCs w:val="18"/>
        </w:rPr>
        <w:t>1 Analysed in the patients who received cilta-cel</w:t>
      </w:r>
      <w:r w:rsidR="00514726">
        <w:rPr>
          <w:rFonts w:asciiTheme="minorHAnsi" w:hAnsiTheme="minorHAnsi" w:cstheme="minorHAnsi"/>
          <w:sz w:val="18"/>
          <w:szCs w:val="18"/>
        </w:rPr>
        <w:t xml:space="preserve"> study treatment in</w:t>
      </w:r>
      <w:r w:rsidRPr="003C72EC">
        <w:rPr>
          <w:rFonts w:asciiTheme="minorHAnsi" w:hAnsiTheme="minorHAnsi" w:cstheme="minorHAnsi"/>
          <w:sz w:val="18"/>
          <w:szCs w:val="18"/>
        </w:rPr>
        <w:t xml:space="preserve"> </w:t>
      </w:r>
      <w:r w:rsidR="00F303EB">
        <w:rPr>
          <w:rFonts w:asciiTheme="minorHAnsi" w:hAnsiTheme="minorHAnsi" w:cstheme="minorHAnsi"/>
          <w:sz w:val="18"/>
          <w:szCs w:val="18"/>
        </w:rPr>
        <w:t>CART-1 (n=97</w:t>
      </w:r>
      <w:r w:rsidR="006B351E">
        <w:rPr>
          <w:rFonts w:asciiTheme="minorHAnsi" w:hAnsiTheme="minorHAnsi" w:cstheme="minorHAnsi"/>
          <w:sz w:val="18"/>
          <w:szCs w:val="18"/>
        </w:rPr>
        <w:t>)</w:t>
      </w:r>
      <w:r w:rsidR="006B351E" w:rsidRPr="006B351E">
        <w:rPr>
          <w:rFonts w:asciiTheme="minorHAnsi" w:hAnsiTheme="minorHAnsi" w:cstheme="minorHAnsi"/>
          <w:sz w:val="18"/>
          <w:szCs w:val="18"/>
        </w:rPr>
        <w:t xml:space="preserve"> </w:t>
      </w:r>
      <w:r w:rsidR="006B351E">
        <w:rPr>
          <w:rFonts w:asciiTheme="minorHAnsi" w:hAnsiTheme="minorHAnsi" w:cstheme="minorHAnsi"/>
          <w:sz w:val="18"/>
          <w:szCs w:val="18"/>
        </w:rPr>
        <w:t xml:space="preserve">and analysed in the </w:t>
      </w:r>
      <w:r w:rsidR="00BA3EEF">
        <w:rPr>
          <w:rFonts w:asciiTheme="minorHAnsi" w:hAnsiTheme="minorHAnsi" w:cstheme="minorHAnsi"/>
          <w:sz w:val="18"/>
          <w:szCs w:val="18"/>
        </w:rPr>
        <w:t>ITT analysis set for</w:t>
      </w:r>
      <w:r w:rsidR="006B351E">
        <w:rPr>
          <w:rFonts w:asciiTheme="minorHAnsi" w:hAnsiTheme="minorHAnsi" w:cstheme="minorHAnsi"/>
          <w:sz w:val="18"/>
          <w:szCs w:val="18"/>
        </w:rPr>
        <w:t xml:space="preserve"> CART-4</w:t>
      </w:r>
      <w:r w:rsidR="006B351E" w:rsidRPr="003C72EC">
        <w:rPr>
          <w:rFonts w:asciiTheme="minorHAnsi" w:hAnsiTheme="minorHAnsi" w:cstheme="minorHAnsi"/>
          <w:sz w:val="18"/>
          <w:szCs w:val="18"/>
        </w:rPr>
        <w:t xml:space="preserve"> (n=</w:t>
      </w:r>
      <w:r w:rsidR="00BA3EEF">
        <w:rPr>
          <w:rFonts w:asciiTheme="minorHAnsi" w:hAnsiTheme="minorHAnsi" w:cstheme="minorHAnsi"/>
          <w:sz w:val="18"/>
          <w:szCs w:val="18"/>
        </w:rPr>
        <w:t>208</w:t>
      </w:r>
      <w:r w:rsidR="006B351E" w:rsidRPr="003C72EC">
        <w:rPr>
          <w:rFonts w:asciiTheme="minorHAnsi" w:hAnsiTheme="minorHAnsi" w:cstheme="minorHAnsi"/>
          <w:sz w:val="18"/>
          <w:szCs w:val="18"/>
        </w:rPr>
        <w:t>)</w:t>
      </w:r>
      <w:r w:rsidRPr="003C72EC">
        <w:rPr>
          <w:rFonts w:asciiTheme="minorHAnsi" w:hAnsiTheme="minorHAnsi" w:cstheme="minorHAnsi"/>
          <w:sz w:val="18"/>
          <w:szCs w:val="18"/>
        </w:rPr>
        <w:t xml:space="preserve">. 2 There were no fatal </w:t>
      </w:r>
      <w:proofErr w:type="spellStart"/>
      <w:r w:rsidRPr="003C72EC">
        <w:rPr>
          <w:rFonts w:asciiTheme="minorHAnsi" w:hAnsiTheme="minorHAnsi" w:cstheme="minorHAnsi"/>
          <w:sz w:val="18"/>
          <w:szCs w:val="18"/>
        </w:rPr>
        <w:t>neurotoxicities</w:t>
      </w:r>
      <w:proofErr w:type="spellEnd"/>
      <w:r w:rsidRPr="003C72EC">
        <w:rPr>
          <w:rFonts w:asciiTheme="minorHAnsi" w:hAnsiTheme="minorHAnsi" w:cstheme="minorHAnsi"/>
          <w:sz w:val="18"/>
          <w:szCs w:val="18"/>
        </w:rPr>
        <w:t>. 3 Included in the category of other CAR T-associated events were those that were not classified as immune effector cell-associated neurotoxicity syndrome or its associated symptoms. Other neurotoxic events included (but were not limited to) parkinsonism, cranial nerve palsy, and peripheral neuropathy.</w:t>
      </w:r>
    </w:p>
    <w:p w14:paraId="552A8438" w14:textId="05EED1F9" w:rsidR="000F2A85" w:rsidRPr="00F849F2" w:rsidRDefault="000F2A85" w:rsidP="00400CD0">
      <w:pPr>
        <w:spacing w:before="240"/>
        <w:jc w:val="both"/>
        <w:rPr>
          <w:rFonts w:asciiTheme="minorHAnsi" w:eastAsia="Segoe UI" w:hAnsiTheme="minorHAnsi" w:cstheme="minorHAnsi"/>
          <w:color w:val="000000"/>
          <w:sz w:val="24"/>
          <w:szCs w:val="24"/>
        </w:rPr>
      </w:pPr>
      <w:r>
        <w:rPr>
          <w:rFonts w:asciiTheme="minorHAnsi" w:hAnsiTheme="minorHAnsi" w:cstheme="minorHAnsi"/>
          <w:sz w:val="24"/>
          <w:szCs w:val="24"/>
        </w:rPr>
        <w:t>Further supporting evidence for the clinical claim will be provided in the ADAR.</w:t>
      </w:r>
    </w:p>
    <w:p w14:paraId="691277E8" w14:textId="5F2ED2FF" w:rsidR="00C566B5" w:rsidRPr="00F849F2" w:rsidRDefault="00C566B5"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Why would the requestor seek to use the proposed investigative technology rather than the comparator(s)?</w:t>
      </w:r>
    </w:p>
    <w:p w14:paraId="0113D456" w14:textId="5CB09078" w:rsidR="008C5AA6" w:rsidRDefault="003C09A1" w:rsidP="007520A6">
      <w:pPr>
        <w:jc w:val="both"/>
        <w:rPr>
          <w:rFonts w:asciiTheme="minorHAnsi" w:hAnsiTheme="minorHAnsi" w:cstheme="minorHAnsi"/>
          <w:sz w:val="24"/>
          <w:szCs w:val="24"/>
        </w:rPr>
      </w:pPr>
      <w:r>
        <w:rPr>
          <w:rFonts w:asciiTheme="minorHAnsi" w:hAnsiTheme="minorHAnsi" w:cstheme="minorHAnsi"/>
          <w:sz w:val="24"/>
          <w:szCs w:val="24"/>
        </w:rPr>
        <w:t>Cilta-cel results in superior clinical outcomes (</w:t>
      </w:r>
      <w:r w:rsidR="00FF3513">
        <w:rPr>
          <w:rFonts w:asciiTheme="minorHAnsi" w:hAnsiTheme="minorHAnsi" w:cstheme="minorHAnsi"/>
          <w:sz w:val="24"/>
          <w:szCs w:val="24"/>
        </w:rPr>
        <w:t>i.e.</w:t>
      </w:r>
      <w:r>
        <w:rPr>
          <w:rFonts w:asciiTheme="minorHAnsi" w:hAnsiTheme="minorHAnsi" w:cstheme="minorHAnsi"/>
          <w:sz w:val="24"/>
          <w:szCs w:val="24"/>
        </w:rPr>
        <w:t>, response, PFS, OS) to all available therapies for 2L+ MM on the PBS. Furthermore, cilta-cel therapy is a one-off therapy, and provides a significant treatment-free interval.</w:t>
      </w:r>
      <w:r w:rsidR="000F58DC">
        <w:rPr>
          <w:rFonts w:asciiTheme="minorHAnsi" w:hAnsiTheme="minorHAnsi" w:cstheme="minorHAnsi"/>
          <w:sz w:val="24"/>
          <w:szCs w:val="24"/>
        </w:rPr>
        <w:t xml:space="preserve"> Th</w:t>
      </w:r>
      <w:r w:rsidR="000E7EEF">
        <w:rPr>
          <w:rFonts w:asciiTheme="minorHAnsi" w:hAnsiTheme="minorHAnsi" w:cstheme="minorHAnsi"/>
          <w:sz w:val="24"/>
          <w:szCs w:val="24"/>
        </w:rPr>
        <w:t xml:space="preserve">is </w:t>
      </w:r>
      <w:r w:rsidR="00F37888">
        <w:rPr>
          <w:rFonts w:asciiTheme="minorHAnsi" w:hAnsiTheme="minorHAnsi" w:cstheme="minorHAnsi"/>
          <w:sz w:val="24"/>
          <w:szCs w:val="24"/>
        </w:rPr>
        <w:t xml:space="preserve">means that patient </w:t>
      </w:r>
      <w:r w:rsidR="00FF3513">
        <w:rPr>
          <w:rFonts w:asciiTheme="minorHAnsi" w:hAnsiTheme="minorHAnsi" w:cstheme="minorHAnsi"/>
          <w:sz w:val="24"/>
          <w:szCs w:val="24"/>
        </w:rPr>
        <w:t xml:space="preserve">receiving cilta-cel </w:t>
      </w:r>
      <w:r w:rsidR="00F37888">
        <w:rPr>
          <w:rFonts w:asciiTheme="minorHAnsi" w:hAnsiTheme="minorHAnsi" w:cstheme="minorHAnsi"/>
          <w:sz w:val="24"/>
          <w:szCs w:val="24"/>
        </w:rPr>
        <w:t xml:space="preserve">do not need </w:t>
      </w:r>
      <w:r w:rsidR="00FF3513">
        <w:rPr>
          <w:rFonts w:asciiTheme="minorHAnsi" w:hAnsiTheme="minorHAnsi" w:cstheme="minorHAnsi"/>
          <w:sz w:val="24"/>
          <w:szCs w:val="24"/>
        </w:rPr>
        <w:t>continuous</w:t>
      </w:r>
      <w:r w:rsidR="00F37888">
        <w:rPr>
          <w:rFonts w:asciiTheme="minorHAnsi" w:hAnsiTheme="minorHAnsi" w:cstheme="minorHAnsi"/>
          <w:sz w:val="24"/>
          <w:szCs w:val="24"/>
        </w:rPr>
        <w:t xml:space="preserve"> treatment which is what current options on the PBS </w:t>
      </w:r>
      <w:r w:rsidR="002C6E32">
        <w:rPr>
          <w:rFonts w:asciiTheme="minorHAnsi" w:hAnsiTheme="minorHAnsi" w:cstheme="minorHAnsi"/>
          <w:sz w:val="24"/>
          <w:szCs w:val="24"/>
        </w:rPr>
        <w:t xml:space="preserve">require </w:t>
      </w:r>
      <w:r w:rsidR="00D74C94">
        <w:rPr>
          <w:rFonts w:asciiTheme="minorHAnsi" w:hAnsiTheme="minorHAnsi" w:cstheme="minorHAnsi"/>
          <w:sz w:val="24"/>
          <w:szCs w:val="24"/>
        </w:rPr>
        <w:t>to manage</w:t>
      </w:r>
      <w:r w:rsidR="00FF3513">
        <w:rPr>
          <w:rFonts w:asciiTheme="minorHAnsi" w:hAnsiTheme="minorHAnsi" w:cstheme="minorHAnsi"/>
          <w:sz w:val="24"/>
          <w:szCs w:val="24"/>
        </w:rPr>
        <w:t xml:space="preserve"> </w:t>
      </w:r>
      <w:r w:rsidR="002C6E32">
        <w:rPr>
          <w:rFonts w:asciiTheme="minorHAnsi" w:hAnsiTheme="minorHAnsi" w:cstheme="minorHAnsi"/>
          <w:sz w:val="24"/>
          <w:szCs w:val="24"/>
        </w:rPr>
        <w:t xml:space="preserve">2L+ MM. This is important as patients will no longer be subject to cumulative toxicity </w:t>
      </w:r>
      <w:r w:rsidR="004F4AD6">
        <w:rPr>
          <w:rFonts w:asciiTheme="minorHAnsi" w:hAnsiTheme="minorHAnsi" w:cstheme="minorHAnsi"/>
          <w:sz w:val="24"/>
          <w:szCs w:val="24"/>
        </w:rPr>
        <w:t xml:space="preserve">from </w:t>
      </w:r>
      <w:r w:rsidR="00D74C94">
        <w:rPr>
          <w:rFonts w:asciiTheme="minorHAnsi" w:hAnsiTheme="minorHAnsi" w:cstheme="minorHAnsi"/>
          <w:sz w:val="24"/>
          <w:szCs w:val="24"/>
        </w:rPr>
        <w:t xml:space="preserve">ongoing </w:t>
      </w:r>
      <w:r w:rsidR="004F4AD6">
        <w:rPr>
          <w:rFonts w:asciiTheme="minorHAnsi" w:hAnsiTheme="minorHAnsi" w:cstheme="minorHAnsi"/>
          <w:sz w:val="24"/>
          <w:szCs w:val="24"/>
        </w:rPr>
        <w:t xml:space="preserve">continuous treatment which will improve </w:t>
      </w:r>
      <w:r w:rsidR="006E6B23">
        <w:rPr>
          <w:rFonts w:asciiTheme="minorHAnsi" w:hAnsiTheme="minorHAnsi" w:cstheme="minorHAnsi"/>
          <w:sz w:val="24"/>
          <w:szCs w:val="24"/>
        </w:rPr>
        <w:t xml:space="preserve">a </w:t>
      </w:r>
      <w:proofErr w:type="gramStart"/>
      <w:r w:rsidR="006E6B23">
        <w:rPr>
          <w:rFonts w:asciiTheme="minorHAnsi" w:hAnsiTheme="minorHAnsi" w:cstheme="minorHAnsi"/>
          <w:sz w:val="24"/>
          <w:szCs w:val="24"/>
        </w:rPr>
        <w:t>patients</w:t>
      </w:r>
      <w:proofErr w:type="gramEnd"/>
      <w:r w:rsidR="006E6B23">
        <w:rPr>
          <w:rFonts w:asciiTheme="minorHAnsi" w:hAnsiTheme="minorHAnsi" w:cstheme="minorHAnsi"/>
          <w:sz w:val="24"/>
          <w:szCs w:val="24"/>
        </w:rPr>
        <w:t xml:space="preserve"> quality of life. This </w:t>
      </w:r>
      <w:r w:rsidR="000E7EEF">
        <w:rPr>
          <w:rFonts w:asciiTheme="minorHAnsi" w:hAnsiTheme="minorHAnsi" w:cstheme="minorHAnsi"/>
          <w:sz w:val="24"/>
          <w:szCs w:val="24"/>
        </w:rPr>
        <w:t>also means</w:t>
      </w:r>
      <w:r w:rsidR="000F58DC">
        <w:rPr>
          <w:rFonts w:asciiTheme="minorHAnsi" w:hAnsiTheme="minorHAnsi" w:cstheme="minorHAnsi"/>
          <w:sz w:val="24"/>
          <w:szCs w:val="24"/>
        </w:rPr>
        <w:t xml:space="preserve"> reduc</w:t>
      </w:r>
      <w:r w:rsidR="000E7EEF">
        <w:rPr>
          <w:rFonts w:asciiTheme="minorHAnsi" w:hAnsiTheme="minorHAnsi" w:cstheme="minorHAnsi"/>
          <w:sz w:val="24"/>
          <w:szCs w:val="24"/>
        </w:rPr>
        <w:t>ed</w:t>
      </w:r>
      <w:r w:rsidR="000F58DC">
        <w:rPr>
          <w:rFonts w:asciiTheme="minorHAnsi" w:hAnsiTheme="minorHAnsi" w:cstheme="minorHAnsi"/>
          <w:sz w:val="24"/>
          <w:szCs w:val="24"/>
        </w:rPr>
        <w:t xml:space="preserve"> monitoring and time spent in the hospital </w:t>
      </w:r>
      <w:r w:rsidR="00D74C94">
        <w:rPr>
          <w:rFonts w:asciiTheme="minorHAnsi" w:hAnsiTheme="minorHAnsi" w:cstheme="minorHAnsi"/>
          <w:sz w:val="24"/>
          <w:szCs w:val="24"/>
        </w:rPr>
        <w:t xml:space="preserve">after the infusion </w:t>
      </w:r>
      <w:r w:rsidR="000F58DC">
        <w:rPr>
          <w:rFonts w:asciiTheme="minorHAnsi" w:hAnsiTheme="minorHAnsi" w:cstheme="minorHAnsi"/>
          <w:sz w:val="24"/>
          <w:szCs w:val="24"/>
        </w:rPr>
        <w:t xml:space="preserve">relative to current </w:t>
      </w:r>
      <w:r w:rsidR="007213FF">
        <w:rPr>
          <w:rFonts w:asciiTheme="minorHAnsi" w:hAnsiTheme="minorHAnsi" w:cstheme="minorHAnsi"/>
          <w:sz w:val="24"/>
          <w:szCs w:val="24"/>
        </w:rPr>
        <w:t>practic</w:t>
      </w:r>
      <w:r w:rsidR="008C5AA6">
        <w:rPr>
          <w:rFonts w:asciiTheme="minorHAnsi" w:hAnsiTheme="minorHAnsi" w:cstheme="minorHAnsi"/>
          <w:sz w:val="24"/>
          <w:szCs w:val="24"/>
        </w:rPr>
        <w:t>e</w:t>
      </w:r>
      <w:r w:rsidR="000F58DC">
        <w:rPr>
          <w:rFonts w:asciiTheme="minorHAnsi" w:hAnsiTheme="minorHAnsi" w:cstheme="minorHAnsi"/>
          <w:sz w:val="24"/>
          <w:szCs w:val="24"/>
        </w:rPr>
        <w:t>.</w:t>
      </w:r>
      <w:r w:rsidR="000B7E4B">
        <w:rPr>
          <w:rFonts w:asciiTheme="minorHAnsi" w:hAnsiTheme="minorHAnsi" w:cstheme="minorHAnsi"/>
          <w:sz w:val="24"/>
          <w:szCs w:val="24"/>
        </w:rPr>
        <w:t xml:space="preserve"> </w:t>
      </w:r>
    </w:p>
    <w:p w14:paraId="18DE6F9F" w14:textId="347A88F1" w:rsidR="006A17C5" w:rsidRPr="002F72BB" w:rsidRDefault="000B7E4B" w:rsidP="007520A6">
      <w:pPr>
        <w:jc w:val="both"/>
        <w:rPr>
          <w:rFonts w:asciiTheme="minorHAnsi" w:hAnsiTheme="minorHAnsi" w:cstheme="minorHAnsi"/>
          <w:sz w:val="24"/>
          <w:szCs w:val="24"/>
        </w:rPr>
      </w:pPr>
      <w:r>
        <w:rPr>
          <w:rFonts w:asciiTheme="minorHAnsi" w:hAnsiTheme="minorHAnsi" w:cstheme="minorHAnsi"/>
          <w:sz w:val="24"/>
          <w:szCs w:val="24"/>
        </w:rPr>
        <w:t>Australian haematologists have experience with cilta-cel from the CARTITUDE clinical trial</w:t>
      </w:r>
      <w:r w:rsidR="00CB1991">
        <w:rPr>
          <w:rFonts w:asciiTheme="minorHAnsi" w:hAnsiTheme="minorHAnsi" w:cstheme="minorHAnsi"/>
          <w:sz w:val="24"/>
          <w:szCs w:val="24"/>
        </w:rPr>
        <w:t xml:space="preserve"> program</w:t>
      </w:r>
      <w:r>
        <w:rPr>
          <w:rFonts w:asciiTheme="minorHAnsi" w:hAnsiTheme="minorHAnsi" w:cstheme="minorHAnsi"/>
          <w:sz w:val="24"/>
          <w:szCs w:val="24"/>
        </w:rPr>
        <w:t xml:space="preserve">, </w:t>
      </w:r>
      <w:proofErr w:type="gramStart"/>
      <w:r>
        <w:rPr>
          <w:rFonts w:asciiTheme="minorHAnsi" w:hAnsiTheme="minorHAnsi" w:cstheme="minorHAnsi"/>
          <w:sz w:val="24"/>
          <w:szCs w:val="24"/>
        </w:rPr>
        <w:t xml:space="preserve">and </w:t>
      </w:r>
      <w:r w:rsidR="00605E47">
        <w:rPr>
          <w:rFonts w:asciiTheme="minorHAnsi" w:hAnsiTheme="minorHAnsi" w:cstheme="minorHAnsi"/>
          <w:sz w:val="24"/>
          <w:szCs w:val="24"/>
        </w:rPr>
        <w:t>also</w:t>
      </w:r>
      <w:proofErr w:type="gramEnd"/>
      <w:r w:rsidR="00605E47">
        <w:rPr>
          <w:rFonts w:asciiTheme="minorHAnsi" w:hAnsiTheme="minorHAnsi" w:cstheme="minorHAnsi"/>
          <w:sz w:val="24"/>
          <w:szCs w:val="24"/>
        </w:rPr>
        <w:t xml:space="preserve"> from using</w:t>
      </w:r>
      <w:r>
        <w:rPr>
          <w:rFonts w:asciiTheme="minorHAnsi" w:hAnsiTheme="minorHAnsi" w:cstheme="minorHAnsi"/>
          <w:sz w:val="24"/>
          <w:szCs w:val="24"/>
        </w:rPr>
        <w:t xml:space="preserve"> cilta-cel for 5L+ MM</w:t>
      </w:r>
      <w:r w:rsidR="00605E47">
        <w:rPr>
          <w:rFonts w:asciiTheme="minorHAnsi" w:hAnsiTheme="minorHAnsi" w:cstheme="minorHAnsi"/>
          <w:sz w:val="24"/>
          <w:szCs w:val="24"/>
        </w:rPr>
        <w:t xml:space="preserve"> which was NHRA funded from </w:t>
      </w:r>
      <w:r w:rsidR="00FF699D" w:rsidRPr="00FF699D">
        <w:rPr>
          <w:rFonts w:asciiTheme="minorHAnsi" w:hAnsiTheme="minorHAnsi" w:cstheme="minorHAnsi"/>
          <w:b/>
          <w:bCs/>
          <w:sz w:val="24"/>
          <w:szCs w:val="24"/>
        </w:rPr>
        <w:t>redacted</w:t>
      </w:r>
      <w:r>
        <w:rPr>
          <w:rFonts w:asciiTheme="minorHAnsi" w:hAnsiTheme="minorHAnsi" w:cstheme="minorHAnsi"/>
          <w:sz w:val="24"/>
          <w:szCs w:val="24"/>
        </w:rPr>
        <w:t>.</w:t>
      </w:r>
      <w:r w:rsidR="00803F73">
        <w:rPr>
          <w:rFonts w:asciiTheme="minorHAnsi" w:hAnsiTheme="minorHAnsi" w:cstheme="minorHAnsi"/>
          <w:sz w:val="24"/>
          <w:szCs w:val="24"/>
        </w:rPr>
        <w:t xml:space="preserve"> This means </w:t>
      </w:r>
      <w:r w:rsidR="00DA2F48">
        <w:rPr>
          <w:rFonts w:asciiTheme="minorHAnsi" w:hAnsiTheme="minorHAnsi" w:cstheme="minorHAnsi"/>
          <w:sz w:val="24"/>
          <w:szCs w:val="24"/>
        </w:rPr>
        <w:t xml:space="preserve">that </w:t>
      </w:r>
      <w:r w:rsidR="00803F73">
        <w:rPr>
          <w:rFonts w:asciiTheme="minorHAnsi" w:hAnsiTheme="minorHAnsi" w:cstheme="minorHAnsi"/>
          <w:sz w:val="24"/>
          <w:szCs w:val="24"/>
        </w:rPr>
        <w:t xml:space="preserve">there is significant experience with using this technology already in Australian clinical practice, and </w:t>
      </w:r>
      <w:r w:rsidR="00DA2F48">
        <w:rPr>
          <w:rFonts w:asciiTheme="minorHAnsi" w:hAnsiTheme="minorHAnsi" w:cstheme="minorHAnsi"/>
          <w:sz w:val="24"/>
          <w:szCs w:val="24"/>
        </w:rPr>
        <w:t>there is significant desire for its availability</w:t>
      </w:r>
      <w:r w:rsidR="00257D9B">
        <w:rPr>
          <w:rFonts w:asciiTheme="minorHAnsi" w:hAnsiTheme="minorHAnsi" w:cstheme="minorHAnsi"/>
          <w:sz w:val="24"/>
          <w:szCs w:val="24"/>
        </w:rPr>
        <w:t xml:space="preserve"> on the NHRA</w:t>
      </w:r>
      <w:r w:rsidR="00DA2F48">
        <w:rPr>
          <w:rFonts w:asciiTheme="minorHAnsi" w:hAnsiTheme="minorHAnsi" w:cstheme="minorHAnsi"/>
          <w:sz w:val="24"/>
          <w:szCs w:val="24"/>
        </w:rPr>
        <w:t xml:space="preserve"> earlier in the treatment algorithm, as this is where maximum patient benefit and </w:t>
      </w:r>
      <w:proofErr w:type="gramStart"/>
      <w:r w:rsidR="00DA2F48">
        <w:rPr>
          <w:rFonts w:asciiTheme="minorHAnsi" w:hAnsiTheme="minorHAnsi" w:cstheme="minorHAnsi"/>
          <w:sz w:val="24"/>
          <w:szCs w:val="24"/>
        </w:rPr>
        <w:t>long term</w:t>
      </w:r>
      <w:proofErr w:type="gramEnd"/>
      <w:r w:rsidR="00DA2F48">
        <w:rPr>
          <w:rFonts w:asciiTheme="minorHAnsi" w:hAnsiTheme="minorHAnsi" w:cstheme="minorHAnsi"/>
          <w:sz w:val="24"/>
          <w:szCs w:val="24"/>
        </w:rPr>
        <w:t xml:space="preserve"> outcomes are achieved.</w:t>
      </w:r>
    </w:p>
    <w:p w14:paraId="5C44CE8D" w14:textId="0CFB1EEF" w:rsidR="00C566B5" w:rsidRPr="00F849F2" w:rsidRDefault="00C566B5"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Identify how the proposed technology achieves the intended patient outcomes:</w:t>
      </w:r>
    </w:p>
    <w:p w14:paraId="76EB3A91" w14:textId="0A157316" w:rsidR="006A17C5" w:rsidRPr="009A7CE6" w:rsidRDefault="009A7CE6" w:rsidP="007520A6">
      <w:pPr>
        <w:jc w:val="both"/>
        <w:rPr>
          <w:rFonts w:asciiTheme="minorHAnsi" w:hAnsiTheme="minorHAnsi" w:cstheme="minorHAnsi"/>
          <w:sz w:val="24"/>
          <w:szCs w:val="24"/>
        </w:rPr>
      </w:pPr>
      <w:r w:rsidRPr="009A7CE6">
        <w:rPr>
          <w:rFonts w:asciiTheme="minorHAnsi" w:hAnsiTheme="minorHAnsi" w:cstheme="minorHAnsi"/>
          <w:sz w:val="24"/>
          <w:szCs w:val="24"/>
        </w:rPr>
        <w:t xml:space="preserve">Refer to the </w:t>
      </w:r>
      <w:r>
        <w:rPr>
          <w:rFonts w:asciiTheme="minorHAnsi" w:hAnsiTheme="minorHAnsi" w:cstheme="minorHAnsi"/>
          <w:sz w:val="24"/>
          <w:szCs w:val="24"/>
        </w:rPr>
        <w:t>‘Intervention’ section above.</w:t>
      </w:r>
    </w:p>
    <w:p w14:paraId="5BE00386" w14:textId="286CF477" w:rsidR="00C566B5" w:rsidRPr="00F849F2" w:rsidRDefault="00C566B5"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 xml:space="preserve">For some people, compared with the comparator(s), does the test information result in: </w:t>
      </w:r>
    </w:p>
    <w:p w14:paraId="1F336692" w14:textId="6D89AF74" w:rsidR="00C566B5" w:rsidRPr="0054382B" w:rsidRDefault="00C566B5" w:rsidP="007520A6">
      <w:pPr>
        <w:spacing w:before="120"/>
        <w:jc w:val="both"/>
        <w:rPr>
          <w:rFonts w:asciiTheme="minorHAnsi" w:hAnsiTheme="minorHAnsi" w:cstheme="minorHAnsi"/>
          <w:bCs/>
          <w:sz w:val="24"/>
          <w:szCs w:val="24"/>
        </w:rPr>
      </w:pPr>
      <w:r w:rsidRPr="0054382B">
        <w:rPr>
          <w:rFonts w:asciiTheme="minorHAnsi" w:hAnsiTheme="minorHAnsi" w:cstheme="minorHAnsi"/>
          <w:b/>
          <w:bCs/>
          <w:sz w:val="24"/>
          <w:szCs w:val="24"/>
        </w:rPr>
        <w:t>A change in clinical management?</w:t>
      </w:r>
      <w:r w:rsidRPr="0054382B">
        <w:rPr>
          <w:rFonts w:asciiTheme="minorHAnsi" w:hAnsiTheme="minorHAnsi" w:cstheme="minorHAnsi"/>
          <w:bCs/>
          <w:sz w:val="24"/>
          <w:szCs w:val="24"/>
        </w:rPr>
        <w:tab/>
      </w:r>
      <w:r w:rsidRPr="00C35E43">
        <w:rPr>
          <w:rFonts w:asciiTheme="minorHAnsi" w:hAnsiTheme="minorHAnsi" w:cstheme="minorHAnsi"/>
          <w:bCs/>
          <w:sz w:val="24"/>
          <w:szCs w:val="24"/>
        </w:rPr>
        <w:t>Yes</w:t>
      </w:r>
    </w:p>
    <w:p w14:paraId="28A701B5" w14:textId="3F311101" w:rsidR="00C566B5" w:rsidRPr="0054382B" w:rsidRDefault="00C566B5" w:rsidP="007520A6">
      <w:pPr>
        <w:jc w:val="both"/>
        <w:rPr>
          <w:rFonts w:asciiTheme="minorHAnsi" w:hAnsiTheme="minorHAnsi" w:cstheme="minorHAnsi"/>
          <w:bCs/>
          <w:sz w:val="24"/>
          <w:szCs w:val="24"/>
        </w:rPr>
      </w:pPr>
      <w:r w:rsidRPr="0054382B">
        <w:rPr>
          <w:rFonts w:asciiTheme="minorHAnsi" w:hAnsiTheme="minorHAnsi" w:cstheme="minorHAnsi"/>
          <w:b/>
          <w:bCs/>
          <w:sz w:val="24"/>
          <w:szCs w:val="24"/>
        </w:rPr>
        <w:t>A change in health outcome?</w:t>
      </w:r>
      <w:r w:rsidRPr="0054382B">
        <w:rPr>
          <w:rFonts w:asciiTheme="minorHAnsi" w:hAnsiTheme="minorHAnsi" w:cstheme="minorHAnsi"/>
          <w:bCs/>
          <w:sz w:val="24"/>
          <w:szCs w:val="24"/>
        </w:rPr>
        <w:tab/>
      </w:r>
      <w:r w:rsidRPr="00C35E43">
        <w:rPr>
          <w:rFonts w:asciiTheme="minorHAnsi" w:hAnsiTheme="minorHAnsi" w:cstheme="minorHAnsi"/>
          <w:bCs/>
          <w:sz w:val="24"/>
          <w:szCs w:val="24"/>
        </w:rPr>
        <w:t>Yes</w:t>
      </w:r>
    </w:p>
    <w:p w14:paraId="5ABE7672" w14:textId="4458CC51" w:rsidR="00C566B5" w:rsidRPr="00F849F2" w:rsidRDefault="00C566B5" w:rsidP="007520A6">
      <w:pPr>
        <w:jc w:val="both"/>
        <w:rPr>
          <w:rFonts w:asciiTheme="minorHAnsi" w:hAnsiTheme="minorHAnsi" w:cstheme="minorHAnsi"/>
          <w:bCs/>
          <w:sz w:val="24"/>
          <w:szCs w:val="24"/>
        </w:rPr>
      </w:pPr>
      <w:r w:rsidRPr="0054382B">
        <w:rPr>
          <w:rFonts w:asciiTheme="minorHAnsi" w:hAnsiTheme="minorHAnsi" w:cstheme="minorHAnsi"/>
          <w:b/>
          <w:bCs/>
          <w:sz w:val="24"/>
          <w:szCs w:val="24"/>
        </w:rPr>
        <w:t>Other benefits?</w:t>
      </w:r>
      <w:r w:rsidRPr="0054382B">
        <w:rPr>
          <w:rFonts w:asciiTheme="minorHAnsi" w:hAnsiTheme="minorHAnsi" w:cstheme="minorHAnsi"/>
          <w:bCs/>
          <w:sz w:val="24"/>
          <w:szCs w:val="24"/>
        </w:rPr>
        <w:tab/>
      </w:r>
      <w:r w:rsidRPr="0054382B">
        <w:rPr>
          <w:rFonts w:asciiTheme="minorHAnsi" w:hAnsiTheme="minorHAnsi" w:cstheme="minorHAnsi"/>
          <w:bCs/>
          <w:sz w:val="24"/>
          <w:szCs w:val="24"/>
        </w:rPr>
        <w:tab/>
      </w:r>
      <w:r w:rsidRPr="0054382B">
        <w:rPr>
          <w:rFonts w:asciiTheme="minorHAnsi" w:hAnsiTheme="minorHAnsi" w:cstheme="minorHAnsi"/>
          <w:bCs/>
          <w:sz w:val="24"/>
          <w:szCs w:val="24"/>
        </w:rPr>
        <w:tab/>
      </w:r>
      <w:r w:rsidRPr="00C35E43">
        <w:rPr>
          <w:rFonts w:asciiTheme="minorHAnsi" w:hAnsiTheme="minorHAnsi" w:cstheme="minorHAnsi"/>
          <w:bCs/>
          <w:sz w:val="24"/>
          <w:szCs w:val="24"/>
        </w:rPr>
        <w:t>Yes</w:t>
      </w:r>
    </w:p>
    <w:p w14:paraId="4E3E3B18" w14:textId="0C40ECF0" w:rsidR="00C566B5" w:rsidRPr="00F849F2" w:rsidRDefault="00D44AD1"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P</w:t>
      </w:r>
      <w:r w:rsidR="00C566B5" w:rsidRPr="00F849F2">
        <w:rPr>
          <w:rFonts w:asciiTheme="minorHAnsi" w:hAnsiTheme="minorHAnsi" w:cstheme="minorHAnsi"/>
          <w:b/>
          <w:bCs/>
          <w:sz w:val="24"/>
          <w:szCs w:val="24"/>
        </w:rPr>
        <w:t>rovide a rationale, and information on other benefits if relevant:</w:t>
      </w:r>
    </w:p>
    <w:p w14:paraId="65BFCEE9" w14:textId="3D405EC0" w:rsidR="006A2898" w:rsidRPr="00F849F2" w:rsidRDefault="006A2898" w:rsidP="007520A6">
      <w:pPr>
        <w:jc w:val="both"/>
        <w:rPr>
          <w:rFonts w:asciiTheme="minorHAnsi" w:eastAsia="Segoe UI" w:hAnsiTheme="minorHAnsi" w:cstheme="minorHAnsi"/>
          <w:color w:val="000000"/>
          <w:sz w:val="24"/>
          <w:szCs w:val="24"/>
        </w:rPr>
      </w:pPr>
      <w:r w:rsidRPr="00656C54">
        <w:rPr>
          <w:rFonts w:asciiTheme="minorHAnsi" w:hAnsiTheme="minorHAnsi" w:cstheme="minorHAnsi"/>
          <w:sz w:val="24"/>
          <w:szCs w:val="24"/>
        </w:rPr>
        <w:t>Cilta-cel is not a test.</w:t>
      </w:r>
      <w:r w:rsidR="009B7211" w:rsidRPr="00656C54">
        <w:rPr>
          <w:rFonts w:asciiTheme="minorHAnsi" w:hAnsiTheme="minorHAnsi" w:cstheme="minorHAnsi"/>
          <w:sz w:val="24"/>
          <w:szCs w:val="24"/>
        </w:rPr>
        <w:t xml:space="preserve"> Cilta-cel is </w:t>
      </w:r>
      <w:proofErr w:type="gramStart"/>
      <w:r w:rsidR="009B7211" w:rsidRPr="00656C54">
        <w:rPr>
          <w:rFonts w:asciiTheme="minorHAnsi" w:hAnsiTheme="minorHAnsi" w:cstheme="minorHAnsi"/>
          <w:sz w:val="24"/>
          <w:szCs w:val="24"/>
        </w:rPr>
        <w:t>a</w:t>
      </w:r>
      <w:proofErr w:type="gramEnd"/>
      <w:r w:rsidR="009B7211" w:rsidRPr="00656C54">
        <w:rPr>
          <w:rFonts w:asciiTheme="minorHAnsi" w:hAnsiTheme="minorHAnsi" w:cstheme="minorHAnsi"/>
          <w:sz w:val="24"/>
          <w:szCs w:val="24"/>
        </w:rPr>
        <w:t xml:space="preserve"> HST, while the comparators are medicines</w:t>
      </w:r>
      <w:r w:rsidR="00DD46FF" w:rsidRPr="00656C54">
        <w:rPr>
          <w:rFonts w:asciiTheme="minorHAnsi" w:hAnsiTheme="minorHAnsi" w:cstheme="minorHAnsi"/>
          <w:sz w:val="24"/>
          <w:szCs w:val="24"/>
        </w:rPr>
        <w:t xml:space="preserve"> listed on the PBS</w:t>
      </w:r>
      <w:r w:rsidR="000B4E92" w:rsidRPr="00656C54">
        <w:rPr>
          <w:rFonts w:asciiTheme="minorHAnsi" w:hAnsiTheme="minorHAnsi" w:cstheme="minorHAnsi"/>
          <w:sz w:val="24"/>
          <w:szCs w:val="24"/>
        </w:rPr>
        <w:t>. Compared with the comparators, cilta-cel results in superior efficacy</w:t>
      </w:r>
      <w:r w:rsidR="00DD46FF" w:rsidRPr="00656C54">
        <w:rPr>
          <w:rFonts w:asciiTheme="minorHAnsi" w:hAnsiTheme="minorHAnsi" w:cstheme="minorHAnsi"/>
          <w:sz w:val="24"/>
          <w:szCs w:val="24"/>
        </w:rPr>
        <w:t xml:space="preserve"> (i.e., PFS, OS)</w:t>
      </w:r>
      <w:r w:rsidR="000B4E92" w:rsidRPr="00656C54">
        <w:rPr>
          <w:rFonts w:asciiTheme="minorHAnsi" w:hAnsiTheme="minorHAnsi" w:cstheme="minorHAnsi"/>
          <w:sz w:val="24"/>
          <w:szCs w:val="24"/>
        </w:rPr>
        <w:t>, and is also delivered as a one-off therapy instead of</w:t>
      </w:r>
      <w:r w:rsidR="00DD46FF" w:rsidRPr="00656C54">
        <w:rPr>
          <w:rFonts w:asciiTheme="minorHAnsi" w:hAnsiTheme="minorHAnsi" w:cstheme="minorHAnsi"/>
          <w:sz w:val="24"/>
          <w:szCs w:val="24"/>
        </w:rPr>
        <w:t xml:space="preserve"> continuous therapy</w:t>
      </w:r>
      <w:r w:rsidR="000B4E92" w:rsidRPr="00656C54">
        <w:rPr>
          <w:rFonts w:asciiTheme="minorHAnsi" w:hAnsiTheme="minorHAnsi" w:cstheme="minorHAnsi"/>
          <w:sz w:val="24"/>
          <w:szCs w:val="24"/>
        </w:rPr>
        <w:t>.</w:t>
      </w:r>
      <w:r w:rsidR="0054382B">
        <w:rPr>
          <w:rFonts w:asciiTheme="minorHAnsi" w:hAnsiTheme="minorHAnsi" w:cstheme="minorHAnsi"/>
          <w:sz w:val="24"/>
          <w:szCs w:val="24"/>
        </w:rPr>
        <w:t xml:space="preserve"> Refer to</w:t>
      </w:r>
      <w:r w:rsidR="00A6513C">
        <w:rPr>
          <w:rFonts w:asciiTheme="minorHAnsi" w:hAnsiTheme="minorHAnsi" w:cstheme="minorHAnsi"/>
          <w:sz w:val="24"/>
          <w:szCs w:val="24"/>
        </w:rPr>
        <w:t xml:space="preserve"> above subsection in the</w:t>
      </w:r>
      <w:r w:rsidR="0054382B">
        <w:rPr>
          <w:rFonts w:asciiTheme="minorHAnsi" w:hAnsiTheme="minorHAnsi" w:cstheme="minorHAnsi"/>
          <w:sz w:val="24"/>
          <w:szCs w:val="24"/>
        </w:rPr>
        <w:t xml:space="preserve"> ‘Claims’ section for more information </w:t>
      </w:r>
      <w:r w:rsidR="00A6513C">
        <w:rPr>
          <w:rFonts w:asciiTheme="minorHAnsi" w:hAnsiTheme="minorHAnsi" w:cstheme="minorHAnsi"/>
          <w:sz w:val="24"/>
          <w:szCs w:val="24"/>
        </w:rPr>
        <w:t>on these elements.</w:t>
      </w:r>
    </w:p>
    <w:p w14:paraId="6A34928D" w14:textId="56EC11ED" w:rsidR="002A7E4A" w:rsidRPr="00F849F2" w:rsidRDefault="00C566B5"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lastRenderedPageBreak/>
        <w:t xml:space="preserve">In terms of the immediate costs of the proposed technology (and immediate cost consequences, such as procedural costs, testing costs etc.), is the proposed technology claimed to be more costly, the same cost or less costly than the comparator? </w:t>
      </w:r>
    </w:p>
    <w:p w14:paraId="562C5EA3" w14:textId="4D22DEA8" w:rsidR="00C566B5" w:rsidRPr="00F849F2" w:rsidRDefault="00F849F2"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Costs of the proposed technology More costly"/>
            <w:checkBox>
              <w:sizeAuto/>
              <w:default w:val="1"/>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C566B5" w:rsidRPr="00F849F2">
        <w:rPr>
          <w:rFonts w:asciiTheme="minorHAnsi" w:hAnsiTheme="minorHAnsi" w:cstheme="minorHAnsi"/>
          <w:sz w:val="24"/>
          <w:szCs w:val="24"/>
        </w:rPr>
        <w:t xml:space="preserve"> More costly </w:t>
      </w:r>
    </w:p>
    <w:p w14:paraId="7F377358" w14:textId="4F1E62C8" w:rsidR="00C566B5" w:rsidRPr="00F849F2" w:rsidRDefault="00054FFA"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Costs of the proposed technology Same cost"/>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C566B5" w:rsidRPr="00F849F2">
        <w:rPr>
          <w:rFonts w:asciiTheme="minorHAnsi" w:hAnsiTheme="minorHAnsi" w:cstheme="minorHAnsi"/>
          <w:sz w:val="24"/>
          <w:szCs w:val="24"/>
        </w:rPr>
        <w:t xml:space="preserve"> Same cost</w:t>
      </w:r>
    </w:p>
    <w:p w14:paraId="0C1ACD10" w14:textId="6516ABC9" w:rsidR="00CC554B" w:rsidRPr="00F849F2" w:rsidRDefault="00054FFA" w:rsidP="007520A6">
      <w:pPr>
        <w:pStyle w:val="Tickboxes"/>
        <w:jc w:val="both"/>
        <w:rPr>
          <w:rFonts w:asciiTheme="minorHAnsi" w:hAnsiTheme="minorHAnsi" w:cstheme="minorHAnsi"/>
          <w:sz w:val="24"/>
          <w:szCs w:val="24"/>
        </w:rPr>
      </w:pPr>
      <w:r w:rsidRPr="00F849F2">
        <w:rPr>
          <w:rFonts w:asciiTheme="minorHAnsi" w:hAnsiTheme="minorHAnsi" w:cstheme="minorHAnsi"/>
          <w:sz w:val="24"/>
          <w:szCs w:val="24"/>
        </w:rPr>
        <w:fldChar w:fldCharType="begin">
          <w:ffData>
            <w:name w:val=""/>
            <w:enabled/>
            <w:calcOnExit w:val="0"/>
            <w:statusText w:type="text" w:val="Costs of the proposed technology Less costly"/>
            <w:checkBox>
              <w:sizeAuto/>
              <w:default w:val="0"/>
            </w:checkBox>
          </w:ffData>
        </w:fldChar>
      </w:r>
      <w:r w:rsidRPr="00F849F2">
        <w:rPr>
          <w:rFonts w:asciiTheme="minorHAnsi" w:hAnsiTheme="minorHAnsi" w:cstheme="minorHAnsi"/>
          <w:sz w:val="24"/>
          <w:szCs w:val="24"/>
        </w:rPr>
        <w:instrText xml:space="preserve"> FORMCHECKBOX </w:instrText>
      </w:r>
      <w:r w:rsidRPr="00F849F2">
        <w:rPr>
          <w:rFonts w:asciiTheme="minorHAnsi" w:hAnsiTheme="minorHAnsi" w:cstheme="minorHAnsi"/>
          <w:sz w:val="24"/>
          <w:szCs w:val="24"/>
        </w:rPr>
      </w:r>
      <w:r w:rsidRPr="00F849F2">
        <w:rPr>
          <w:rFonts w:asciiTheme="minorHAnsi" w:hAnsiTheme="minorHAnsi" w:cstheme="minorHAnsi"/>
          <w:sz w:val="24"/>
          <w:szCs w:val="24"/>
        </w:rPr>
        <w:fldChar w:fldCharType="separate"/>
      </w:r>
      <w:r w:rsidRPr="00F849F2">
        <w:rPr>
          <w:rFonts w:asciiTheme="minorHAnsi" w:hAnsiTheme="minorHAnsi" w:cstheme="minorHAnsi"/>
          <w:sz w:val="24"/>
          <w:szCs w:val="24"/>
        </w:rPr>
        <w:fldChar w:fldCharType="end"/>
      </w:r>
      <w:r w:rsidR="00C566B5" w:rsidRPr="00F849F2">
        <w:rPr>
          <w:rFonts w:asciiTheme="minorHAnsi" w:hAnsiTheme="minorHAnsi" w:cstheme="minorHAnsi"/>
          <w:sz w:val="24"/>
          <w:szCs w:val="24"/>
        </w:rPr>
        <w:t xml:space="preserve"> Less costly </w:t>
      </w:r>
    </w:p>
    <w:p w14:paraId="4D728741" w14:textId="64D238AE" w:rsidR="00C566B5" w:rsidRPr="00F849F2" w:rsidRDefault="00C566B5"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Provide a brief rationale for the claim:</w:t>
      </w:r>
    </w:p>
    <w:p w14:paraId="0E90B5FE" w14:textId="48E9DEF7" w:rsidR="00AB698B" w:rsidRPr="00AB698B" w:rsidRDefault="00AB698B" w:rsidP="007520A6">
      <w:pPr>
        <w:jc w:val="both"/>
        <w:rPr>
          <w:rFonts w:asciiTheme="minorHAnsi" w:hAnsiTheme="minorHAnsi" w:cstheme="minorHAnsi"/>
          <w:sz w:val="24"/>
          <w:szCs w:val="24"/>
        </w:rPr>
      </w:pPr>
      <w:r w:rsidRPr="00AB698B">
        <w:rPr>
          <w:rFonts w:asciiTheme="minorHAnsi" w:hAnsiTheme="minorHAnsi" w:cstheme="minorHAnsi"/>
          <w:sz w:val="24"/>
          <w:szCs w:val="24"/>
        </w:rPr>
        <w:t xml:space="preserve">Cilta-cel qualifies as a high cost, </w:t>
      </w:r>
      <w:r w:rsidR="006A2898">
        <w:rPr>
          <w:rFonts w:asciiTheme="minorHAnsi" w:hAnsiTheme="minorHAnsi" w:cstheme="minorHAnsi"/>
          <w:sz w:val="24"/>
          <w:szCs w:val="24"/>
        </w:rPr>
        <w:t>HST</w:t>
      </w:r>
      <w:r w:rsidRPr="00AB698B">
        <w:rPr>
          <w:rFonts w:asciiTheme="minorHAnsi" w:hAnsiTheme="minorHAnsi" w:cstheme="minorHAnsi"/>
          <w:sz w:val="24"/>
          <w:szCs w:val="24"/>
        </w:rPr>
        <w:t xml:space="preserve">. Cilta-cel </w:t>
      </w:r>
      <w:r>
        <w:rPr>
          <w:rFonts w:asciiTheme="minorHAnsi" w:hAnsiTheme="minorHAnsi" w:cstheme="minorHAnsi"/>
          <w:sz w:val="24"/>
          <w:szCs w:val="24"/>
        </w:rPr>
        <w:t>is</w:t>
      </w:r>
      <w:r w:rsidRPr="00AB698B">
        <w:rPr>
          <w:rFonts w:asciiTheme="minorHAnsi" w:hAnsiTheme="minorHAnsi" w:cstheme="minorHAnsi"/>
          <w:sz w:val="24"/>
          <w:szCs w:val="24"/>
        </w:rPr>
        <w:t xml:space="preserve"> a TGA approved therapy </w:t>
      </w:r>
      <w:r>
        <w:rPr>
          <w:rFonts w:asciiTheme="minorHAnsi" w:hAnsiTheme="minorHAnsi" w:cstheme="minorHAnsi"/>
          <w:sz w:val="24"/>
          <w:szCs w:val="24"/>
        </w:rPr>
        <w:t xml:space="preserve">that will be </w:t>
      </w:r>
      <w:r w:rsidRPr="00AB698B">
        <w:rPr>
          <w:rFonts w:asciiTheme="minorHAnsi" w:hAnsiTheme="minorHAnsi" w:cstheme="minorHAnsi"/>
          <w:sz w:val="24"/>
          <w:szCs w:val="24"/>
        </w:rPr>
        <w:t>delivered in public hospitals where the therapy and its conditions of use are recommended by MSAC.</w:t>
      </w:r>
    </w:p>
    <w:p w14:paraId="5400F59A" w14:textId="2BCC3F8D" w:rsidR="00E51D81" w:rsidRPr="00F849F2" w:rsidRDefault="00AB698B" w:rsidP="007520A6">
      <w:pPr>
        <w:jc w:val="both"/>
        <w:rPr>
          <w:rFonts w:asciiTheme="minorHAnsi" w:hAnsiTheme="minorHAnsi" w:cstheme="minorHAnsi"/>
          <w:sz w:val="24"/>
          <w:szCs w:val="24"/>
        </w:rPr>
      </w:pPr>
      <w:r w:rsidRPr="00AB698B">
        <w:rPr>
          <w:rFonts w:asciiTheme="minorHAnsi" w:hAnsiTheme="minorHAnsi" w:cstheme="minorHAnsi"/>
          <w:sz w:val="24"/>
          <w:szCs w:val="24"/>
        </w:rPr>
        <w:t>Janssen’s Global Headquarters has not yet established the price of cilta-cel</w:t>
      </w:r>
      <w:r>
        <w:rPr>
          <w:rFonts w:asciiTheme="minorHAnsi" w:hAnsiTheme="minorHAnsi" w:cstheme="minorHAnsi"/>
          <w:sz w:val="24"/>
          <w:szCs w:val="24"/>
        </w:rPr>
        <w:t xml:space="preserve"> for 2L+ MM</w:t>
      </w:r>
      <w:r w:rsidRPr="00AB698B">
        <w:rPr>
          <w:rFonts w:asciiTheme="minorHAnsi" w:hAnsiTheme="minorHAnsi" w:cstheme="minorHAnsi"/>
          <w:sz w:val="24"/>
          <w:szCs w:val="24"/>
        </w:rPr>
        <w:t xml:space="preserve">, but the average annual treatment cost at the commencement of funding will exceed AU$200,000 per patient (including supportive care, ancillary services, infusion, toxicity management and logistics), which is the threshold as described in the Addendum for a high cost, specialised therapy. </w:t>
      </w:r>
      <w:r w:rsidR="00241A43">
        <w:rPr>
          <w:rFonts w:asciiTheme="minorHAnsi" w:hAnsiTheme="minorHAnsi" w:cstheme="minorHAnsi"/>
          <w:sz w:val="24"/>
          <w:szCs w:val="24"/>
        </w:rPr>
        <w:t>G</w:t>
      </w:r>
      <w:r w:rsidR="00241A43" w:rsidRPr="00241A43">
        <w:rPr>
          <w:rFonts w:asciiTheme="minorHAnsi" w:hAnsiTheme="minorHAnsi" w:cstheme="minorHAnsi"/>
          <w:sz w:val="24"/>
          <w:szCs w:val="24"/>
        </w:rPr>
        <w:t xml:space="preserve">iven </w:t>
      </w:r>
      <w:r w:rsidR="00241A43">
        <w:rPr>
          <w:rFonts w:asciiTheme="minorHAnsi" w:hAnsiTheme="minorHAnsi" w:cstheme="minorHAnsi"/>
          <w:sz w:val="24"/>
          <w:szCs w:val="24"/>
        </w:rPr>
        <w:t xml:space="preserve">the </w:t>
      </w:r>
      <w:r w:rsidR="00241A43" w:rsidRPr="00241A43">
        <w:rPr>
          <w:rFonts w:asciiTheme="minorHAnsi" w:hAnsiTheme="minorHAnsi" w:cstheme="minorHAnsi"/>
          <w:sz w:val="24"/>
          <w:szCs w:val="24"/>
        </w:rPr>
        <w:t xml:space="preserve">proposed higher cost, </w:t>
      </w:r>
      <w:r w:rsidR="00241A43">
        <w:rPr>
          <w:rFonts w:asciiTheme="minorHAnsi" w:hAnsiTheme="minorHAnsi" w:cstheme="minorHAnsi"/>
          <w:sz w:val="24"/>
          <w:szCs w:val="24"/>
        </w:rPr>
        <w:t>and</w:t>
      </w:r>
      <w:r w:rsidR="00241A43" w:rsidRPr="00241A43">
        <w:rPr>
          <w:rFonts w:asciiTheme="minorHAnsi" w:hAnsiTheme="minorHAnsi" w:cstheme="minorHAnsi"/>
          <w:sz w:val="24"/>
          <w:szCs w:val="24"/>
        </w:rPr>
        <w:t xml:space="preserve"> superior </w:t>
      </w:r>
      <w:r w:rsidR="00241A43">
        <w:rPr>
          <w:rFonts w:asciiTheme="minorHAnsi" w:hAnsiTheme="minorHAnsi" w:cstheme="minorHAnsi"/>
          <w:sz w:val="24"/>
          <w:szCs w:val="24"/>
        </w:rPr>
        <w:t xml:space="preserve">clinical </w:t>
      </w:r>
      <w:r w:rsidR="00241A43" w:rsidRPr="00241A43">
        <w:rPr>
          <w:rFonts w:asciiTheme="minorHAnsi" w:hAnsiTheme="minorHAnsi" w:cstheme="minorHAnsi"/>
          <w:sz w:val="24"/>
          <w:szCs w:val="24"/>
        </w:rPr>
        <w:t>benefits, a cost-effect</w:t>
      </w:r>
      <w:r w:rsidR="00241A43">
        <w:rPr>
          <w:rFonts w:asciiTheme="minorHAnsi" w:hAnsiTheme="minorHAnsi" w:cstheme="minorHAnsi"/>
          <w:sz w:val="24"/>
          <w:szCs w:val="24"/>
        </w:rPr>
        <w:t>i</w:t>
      </w:r>
      <w:r w:rsidR="00241A43" w:rsidRPr="00241A43">
        <w:rPr>
          <w:rFonts w:asciiTheme="minorHAnsi" w:hAnsiTheme="minorHAnsi" w:cstheme="minorHAnsi"/>
          <w:sz w:val="24"/>
          <w:szCs w:val="24"/>
        </w:rPr>
        <w:t>veness analysis will be pr</w:t>
      </w:r>
      <w:r w:rsidR="00241A43">
        <w:rPr>
          <w:rFonts w:asciiTheme="minorHAnsi" w:hAnsiTheme="minorHAnsi" w:cstheme="minorHAnsi"/>
          <w:sz w:val="24"/>
          <w:szCs w:val="24"/>
        </w:rPr>
        <w:t>o</w:t>
      </w:r>
      <w:r w:rsidR="00241A43" w:rsidRPr="00241A43">
        <w:rPr>
          <w:rFonts w:asciiTheme="minorHAnsi" w:hAnsiTheme="minorHAnsi" w:cstheme="minorHAnsi"/>
          <w:sz w:val="24"/>
          <w:szCs w:val="24"/>
        </w:rPr>
        <w:t xml:space="preserve">vided in the </w:t>
      </w:r>
      <w:r w:rsidR="008D3F91">
        <w:rPr>
          <w:rFonts w:asciiTheme="minorHAnsi" w:hAnsiTheme="minorHAnsi" w:cstheme="minorHAnsi"/>
          <w:sz w:val="24"/>
          <w:szCs w:val="24"/>
        </w:rPr>
        <w:t xml:space="preserve">sponsors </w:t>
      </w:r>
      <w:r w:rsidR="00241A43" w:rsidRPr="00241A43">
        <w:rPr>
          <w:rFonts w:asciiTheme="minorHAnsi" w:hAnsiTheme="minorHAnsi" w:cstheme="minorHAnsi"/>
          <w:sz w:val="24"/>
          <w:szCs w:val="24"/>
        </w:rPr>
        <w:t>ADAR</w:t>
      </w:r>
      <w:r w:rsidR="00241A43">
        <w:rPr>
          <w:rFonts w:asciiTheme="minorHAnsi" w:hAnsiTheme="minorHAnsi" w:cstheme="minorHAnsi"/>
          <w:sz w:val="24"/>
          <w:szCs w:val="24"/>
        </w:rPr>
        <w:t xml:space="preserve">. </w:t>
      </w:r>
      <w:r w:rsidRPr="00AB698B">
        <w:rPr>
          <w:rFonts w:asciiTheme="minorHAnsi" w:hAnsiTheme="minorHAnsi" w:cstheme="minorHAnsi"/>
          <w:sz w:val="24"/>
          <w:szCs w:val="24"/>
        </w:rPr>
        <w:t>Further information regarding costs will be provided in the submission.</w:t>
      </w:r>
    </w:p>
    <w:p w14:paraId="321449D0" w14:textId="658D00F6" w:rsidR="005E1CFB" w:rsidRPr="00F849F2" w:rsidRDefault="0090168B" w:rsidP="007520A6">
      <w:pPr>
        <w:pStyle w:val="Heading1"/>
        <w:jc w:val="both"/>
        <w:rPr>
          <w:rFonts w:asciiTheme="minorHAnsi" w:hAnsiTheme="minorHAnsi" w:cstheme="minorHAnsi"/>
          <w:color w:val="002060"/>
        </w:rPr>
      </w:pPr>
      <w:r w:rsidRPr="00F849F2">
        <w:rPr>
          <w:rFonts w:asciiTheme="minorHAnsi" w:hAnsiTheme="minorHAnsi" w:cstheme="minorHAnsi"/>
          <w:color w:val="002060"/>
        </w:rPr>
        <w:t>Algorithms</w:t>
      </w:r>
    </w:p>
    <w:p w14:paraId="7EDD3EB5" w14:textId="28403377" w:rsidR="0090168B" w:rsidRPr="00F849F2" w:rsidRDefault="004F12A9" w:rsidP="007520A6">
      <w:pPr>
        <w:pStyle w:val="Heading2"/>
        <w:jc w:val="both"/>
        <w:rPr>
          <w:rFonts w:asciiTheme="minorHAnsi" w:hAnsiTheme="minorHAnsi" w:cstheme="minorHAnsi"/>
          <w:sz w:val="24"/>
          <w:szCs w:val="24"/>
          <w:u w:val="single"/>
        </w:rPr>
      </w:pPr>
      <w:r w:rsidRPr="00F849F2">
        <w:rPr>
          <w:rFonts w:asciiTheme="minorHAnsi" w:hAnsiTheme="minorHAnsi" w:cstheme="minorHAnsi"/>
          <w:sz w:val="24"/>
          <w:szCs w:val="24"/>
          <w:u w:val="single"/>
        </w:rPr>
        <w:t>PREPARATION FOR USING THE HEALTH TECHNOLOGY</w:t>
      </w:r>
    </w:p>
    <w:p w14:paraId="463FDC5D" w14:textId="6F7B78FF" w:rsidR="005E1CFB" w:rsidRPr="00F849F2" w:rsidRDefault="0090168B"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Define and summarise the clinical management algorithm, including any required tests or healthcare resources, before patients would be eligible for the proposed health technology</w:t>
      </w:r>
      <w:r w:rsidR="005E1CFB" w:rsidRPr="00F849F2">
        <w:rPr>
          <w:rFonts w:asciiTheme="minorHAnsi" w:hAnsiTheme="minorHAnsi" w:cstheme="minorHAnsi"/>
          <w:b/>
          <w:bCs/>
          <w:sz w:val="24"/>
          <w:szCs w:val="24"/>
        </w:rPr>
        <w:t>:</w:t>
      </w:r>
    </w:p>
    <w:p w14:paraId="6C44360A" w14:textId="56854016" w:rsidR="00061569" w:rsidRPr="00061569"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 xml:space="preserve">The management of patients with MM is individualised and many factors are considered when making treatment decisions, including age, comorbidities, frailty, </w:t>
      </w:r>
      <w:r w:rsidR="008665BD">
        <w:rPr>
          <w:rFonts w:asciiTheme="minorHAnsi" w:hAnsiTheme="minorHAnsi" w:cstheme="minorHAnsi"/>
          <w:sz w:val="24"/>
          <w:szCs w:val="24"/>
        </w:rPr>
        <w:t xml:space="preserve">treatment history </w:t>
      </w:r>
      <w:r w:rsidRPr="00061569">
        <w:rPr>
          <w:rFonts w:asciiTheme="minorHAnsi" w:hAnsiTheme="minorHAnsi" w:cstheme="minorHAnsi"/>
          <w:sz w:val="24"/>
          <w:szCs w:val="24"/>
        </w:rPr>
        <w:t>and disability. Currently available myeloma therapies in Australia include– proteosome inhibitors (PI [e.g. bortezomib, carfilzomib]), immunomodulator drugs (</w:t>
      </w:r>
      <w:proofErr w:type="spellStart"/>
      <w:r w:rsidRPr="00061569">
        <w:rPr>
          <w:rFonts w:asciiTheme="minorHAnsi" w:hAnsiTheme="minorHAnsi" w:cstheme="minorHAnsi"/>
          <w:sz w:val="24"/>
          <w:szCs w:val="24"/>
        </w:rPr>
        <w:t>IMiDs</w:t>
      </w:r>
      <w:proofErr w:type="spellEnd"/>
      <w:r w:rsidRPr="00061569">
        <w:rPr>
          <w:rFonts w:asciiTheme="minorHAnsi" w:hAnsiTheme="minorHAnsi" w:cstheme="minorHAnsi"/>
          <w:sz w:val="24"/>
          <w:szCs w:val="24"/>
        </w:rPr>
        <w:t xml:space="preserve"> [e.g. thalidomide, lenalidomide, pomalidomide]), anti-CD38 monoclonal antibodies (e.g. daratumumab)</w:t>
      </w:r>
      <w:r>
        <w:rPr>
          <w:rFonts w:asciiTheme="minorHAnsi" w:hAnsiTheme="minorHAnsi" w:cstheme="minorHAnsi"/>
          <w:sz w:val="24"/>
          <w:szCs w:val="24"/>
        </w:rPr>
        <w:t xml:space="preserve">, </w:t>
      </w:r>
      <w:r w:rsidRPr="00061569">
        <w:rPr>
          <w:rFonts w:asciiTheme="minorHAnsi" w:hAnsiTheme="minorHAnsi" w:cstheme="minorHAnsi"/>
          <w:sz w:val="24"/>
          <w:szCs w:val="24"/>
        </w:rPr>
        <w:t>selective inhibitor of nuclear export (SINE [e.g. selinexor])</w:t>
      </w:r>
      <w:r>
        <w:rPr>
          <w:rFonts w:asciiTheme="minorHAnsi" w:hAnsiTheme="minorHAnsi" w:cstheme="minorHAnsi"/>
          <w:sz w:val="24"/>
          <w:szCs w:val="24"/>
        </w:rPr>
        <w:t xml:space="preserve">, BCMA </w:t>
      </w:r>
      <w:r w:rsidR="005C38EE">
        <w:rPr>
          <w:rFonts w:asciiTheme="minorHAnsi" w:hAnsiTheme="minorHAnsi" w:cstheme="minorHAnsi"/>
          <w:sz w:val="24"/>
          <w:szCs w:val="24"/>
        </w:rPr>
        <w:t xml:space="preserve">targeted bispecific antibodies (e.g. </w:t>
      </w:r>
      <w:proofErr w:type="spellStart"/>
      <w:r w:rsidR="005C38EE">
        <w:rPr>
          <w:rFonts w:asciiTheme="minorHAnsi" w:hAnsiTheme="minorHAnsi" w:cstheme="minorHAnsi"/>
          <w:sz w:val="24"/>
          <w:szCs w:val="24"/>
        </w:rPr>
        <w:t>elranatamab</w:t>
      </w:r>
      <w:proofErr w:type="spellEnd"/>
      <w:r w:rsidR="005C38EE">
        <w:rPr>
          <w:rFonts w:asciiTheme="minorHAnsi" w:hAnsiTheme="minorHAnsi" w:cstheme="minorHAnsi"/>
          <w:sz w:val="24"/>
          <w:szCs w:val="24"/>
        </w:rPr>
        <w:t>) and CART therapy (e.g. cilta-cel</w:t>
      </w:r>
      <w:r w:rsidR="001F3BFA">
        <w:rPr>
          <w:rFonts w:asciiTheme="minorHAnsi" w:hAnsiTheme="minorHAnsi" w:cstheme="minorHAnsi"/>
          <w:sz w:val="24"/>
          <w:szCs w:val="24"/>
        </w:rPr>
        <w:t xml:space="preserve"> [in 5L+ MM]</w:t>
      </w:r>
      <w:r w:rsidR="005C38EE">
        <w:rPr>
          <w:rFonts w:asciiTheme="minorHAnsi" w:hAnsiTheme="minorHAnsi" w:cstheme="minorHAnsi"/>
          <w:sz w:val="24"/>
          <w:szCs w:val="24"/>
        </w:rPr>
        <w:t>)</w:t>
      </w:r>
      <w:r w:rsidRPr="00061569">
        <w:rPr>
          <w:rFonts w:asciiTheme="minorHAnsi" w:hAnsiTheme="minorHAnsi" w:cstheme="minorHAnsi"/>
          <w:sz w:val="24"/>
          <w:szCs w:val="24"/>
        </w:rPr>
        <w:t>.</w:t>
      </w:r>
    </w:p>
    <w:p w14:paraId="5E233B86" w14:textId="5BD7DE5D" w:rsidR="005C38EE" w:rsidRPr="00061569" w:rsidRDefault="005C38EE" w:rsidP="007520A6">
      <w:pPr>
        <w:jc w:val="both"/>
        <w:rPr>
          <w:rFonts w:asciiTheme="minorHAnsi" w:hAnsiTheme="minorHAnsi" w:cstheme="minorHAnsi"/>
          <w:sz w:val="24"/>
          <w:szCs w:val="24"/>
        </w:rPr>
      </w:pPr>
      <w:r w:rsidRPr="00061569">
        <w:rPr>
          <w:rFonts w:asciiTheme="minorHAnsi" w:hAnsiTheme="minorHAnsi" w:cstheme="minorHAnsi"/>
          <w:sz w:val="24"/>
          <w:szCs w:val="24"/>
        </w:rPr>
        <w:t xml:space="preserve">A treatment algorithm is presented below in </w:t>
      </w:r>
      <w:r w:rsidRPr="00541BDB">
        <w:rPr>
          <w:rFonts w:asciiTheme="minorHAnsi" w:hAnsiTheme="minorHAnsi" w:cstheme="minorHAnsi"/>
          <w:sz w:val="24"/>
          <w:szCs w:val="24"/>
        </w:rPr>
        <w:t xml:space="preserve">Figure </w:t>
      </w:r>
      <w:r w:rsidR="006C4938" w:rsidRPr="000672A4">
        <w:rPr>
          <w:rFonts w:asciiTheme="minorHAnsi" w:hAnsiTheme="minorHAnsi" w:cstheme="minorHAnsi"/>
          <w:sz w:val="24"/>
          <w:szCs w:val="24"/>
        </w:rPr>
        <w:t>7</w:t>
      </w:r>
      <w:r w:rsidRPr="000672A4">
        <w:rPr>
          <w:rFonts w:asciiTheme="minorHAnsi" w:hAnsiTheme="minorHAnsi" w:cstheme="minorHAnsi"/>
          <w:sz w:val="24"/>
          <w:szCs w:val="24"/>
        </w:rPr>
        <w:t xml:space="preserve"> that</w:t>
      </w:r>
      <w:r w:rsidRPr="00061569">
        <w:rPr>
          <w:rFonts w:asciiTheme="minorHAnsi" w:hAnsiTheme="minorHAnsi" w:cstheme="minorHAnsi"/>
          <w:sz w:val="24"/>
          <w:szCs w:val="24"/>
        </w:rPr>
        <w:t xml:space="preserve"> is informed by the Australian MSAG guideline, the PBS restrictions for currently available MM therapies</w:t>
      </w:r>
      <w:r w:rsidR="00DF0FF5">
        <w:rPr>
          <w:rFonts w:asciiTheme="minorHAnsi" w:hAnsiTheme="minorHAnsi" w:cstheme="minorHAnsi"/>
          <w:sz w:val="24"/>
          <w:szCs w:val="24"/>
        </w:rPr>
        <w:t>,</w:t>
      </w:r>
      <w:r w:rsidRPr="00061569">
        <w:rPr>
          <w:rFonts w:asciiTheme="minorHAnsi" w:hAnsiTheme="minorHAnsi" w:cstheme="minorHAnsi"/>
          <w:sz w:val="24"/>
          <w:szCs w:val="24"/>
        </w:rPr>
        <w:t xml:space="preserve"> </w:t>
      </w:r>
      <w:r w:rsidR="00DF0FF5">
        <w:rPr>
          <w:rFonts w:asciiTheme="minorHAnsi" w:hAnsiTheme="minorHAnsi" w:cstheme="minorHAnsi"/>
          <w:sz w:val="24"/>
          <w:szCs w:val="24"/>
        </w:rPr>
        <w:t xml:space="preserve">NHRA funded therapies, and </w:t>
      </w:r>
      <w:r w:rsidRPr="00061569">
        <w:rPr>
          <w:rFonts w:asciiTheme="minorHAnsi" w:hAnsiTheme="minorHAnsi" w:cstheme="minorHAnsi"/>
          <w:sz w:val="24"/>
          <w:szCs w:val="24"/>
        </w:rPr>
        <w:t xml:space="preserve">recent PBAC </w:t>
      </w:r>
      <w:r w:rsidR="00DF0FF5">
        <w:rPr>
          <w:rFonts w:asciiTheme="minorHAnsi" w:hAnsiTheme="minorHAnsi" w:cstheme="minorHAnsi"/>
          <w:sz w:val="24"/>
          <w:szCs w:val="24"/>
        </w:rPr>
        <w:t>considerations</w:t>
      </w:r>
      <w:r w:rsidRPr="00061569">
        <w:rPr>
          <w:rFonts w:asciiTheme="minorHAnsi" w:hAnsiTheme="minorHAnsi" w:cstheme="minorHAnsi"/>
          <w:sz w:val="24"/>
          <w:szCs w:val="24"/>
        </w:rPr>
        <w:t xml:space="preserve"> for MM therapies</w:t>
      </w:r>
      <w:r w:rsidR="00DF0FF5">
        <w:rPr>
          <w:rFonts w:asciiTheme="minorHAnsi" w:hAnsiTheme="minorHAnsi" w:cstheme="minorHAnsi"/>
          <w:sz w:val="24"/>
          <w:szCs w:val="24"/>
        </w:rPr>
        <w:t xml:space="preserve"> (i.e., medicines considered by the PBAC but not currently </w:t>
      </w:r>
      <w:r w:rsidR="00753EE5">
        <w:rPr>
          <w:rFonts w:asciiTheme="minorHAnsi" w:hAnsiTheme="minorHAnsi" w:cstheme="minorHAnsi"/>
          <w:sz w:val="24"/>
          <w:szCs w:val="24"/>
        </w:rPr>
        <w:t xml:space="preserve">PBS </w:t>
      </w:r>
      <w:r w:rsidR="00DF0FF5">
        <w:rPr>
          <w:rFonts w:asciiTheme="minorHAnsi" w:hAnsiTheme="minorHAnsi" w:cstheme="minorHAnsi"/>
          <w:sz w:val="24"/>
          <w:szCs w:val="24"/>
        </w:rPr>
        <w:t>listed)</w:t>
      </w:r>
      <w:r w:rsidRPr="00061569">
        <w:rPr>
          <w:rFonts w:asciiTheme="minorHAnsi" w:hAnsiTheme="minorHAnsi" w:cstheme="minorHAnsi"/>
          <w:sz w:val="24"/>
          <w:szCs w:val="24"/>
        </w:rPr>
        <w:t>.</w:t>
      </w:r>
    </w:p>
    <w:p w14:paraId="62945A22" w14:textId="77777777" w:rsidR="00061569" w:rsidRPr="005B3DEC" w:rsidRDefault="00061569" w:rsidP="00E8592F">
      <w:pPr>
        <w:keepNext/>
        <w:jc w:val="both"/>
        <w:rPr>
          <w:rFonts w:asciiTheme="minorHAnsi" w:hAnsiTheme="minorHAnsi" w:cstheme="minorHAnsi"/>
          <w:sz w:val="24"/>
          <w:szCs w:val="24"/>
          <w:u w:val="single"/>
        </w:rPr>
      </w:pPr>
      <w:r w:rsidRPr="005B3DEC">
        <w:rPr>
          <w:rFonts w:asciiTheme="minorHAnsi" w:hAnsiTheme="minorHAnsi" w:cstheme="minorHAnsi"/>
          <w:sz w:val="24"/>
          <w:szCs w:val="24"/>
          <w:u w:val="single"/>
        </w:rPr>
        <w:t>First line treatment and determining eligibility for transplant</w:t>
      </w:r>
    </w:p>
    <w:p w14:paraId="54B31CE4" w14:textId="77777777" w:rsidR="00D30BC0"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 xml:space="preserve">At diagnosis, patients with MM </w:t>
      </w:r>
      <w:r w:rsidR="0038619D">
        <w:rPr>
          <w:rFonts w:asciiTheme="minorHAnsi" w:hAnsiTheme="minorHAnsi" w:cstheme="minorHAnsi"/>
          <w:sz w:val="24"/>
          <w:szCs w:val="24"/>
        </w:rPr>
        <w:t>have historically</w:t>
      </w:r>
      <w:r w:rsidRPr="00061569">
        <w:rPr>
          <w:rFonts w:asciiTheme="minorHAnsi" w:hAnsiTheme="minorHAnsi" w:cstheme="minorHAnsi"/>
          <w:sz w:val="24"/>
          <w:szCs w:val="24"/>
        </w:rPr>
        <w:t xml:space="preserve"> </w:t>
      </w:r>
      <w:r w:rsidR="0038619D">
        <w:rPr>
          <w:rFonts w:asciiTheme="minorHAnsi" w:hAnsiTheme="minorHAnsi" w:cstheme="minorHAnsi"/>
          <w:sz w:val="24"/>
          <w:szCs w:val="24"/>
        </w:rPr>
        <w:t xml:space="preserve">been </w:t>
      </w:r>
      <w:r w:rsidRPr="00061569">
        <w:rPr>
          <w:rFonts w:asciiTheme="minorHAnsi" w:hAnsiTheme="minorHAnsi" w:cstheme="minorHAnsi"/>
          <w:sz w:val="24"/>
          <w:szCs w:val="24"/>
        </w:rPr>
        <w:t xml:space="preserve">classified as either autologous stem cell transplant eligible (TE) or transplant ineligible (TI). Eligibility for ASCT is assessed on various factors including age, presence of comorbidities and functional status. As such, patients with TE MM are younger and fitter than patients with TI MM who are generally older and </w:t>
      </w:r>
      <w:proofErr w:type="gramStart"/>
      <w:r w:rsidRPr="00061569">
        <w:rPr>
          <w:rFonts w:asciiTheme="minorHAnsi" w:hAnsiTheme="minorHAnsi" w:cstheme="minorHAnsi"/>
          <w:sz w:val="24"/>
          <w:szCs w:val="24"/>
        </w:rPr>
        <w:t>more frail</w:t>
      </w:r>
      <w:proofErr w:type="gramEnd"/>
      <w:r w:rsidRPr="00061569">
        <w:rPr>
          <w:rFonts w:asciiTheme="minorHAnsi" w:hAnsiTheme="minorHAnsi" w:cstheme="minorHAnsi"/>
          <w:sz w:val="24"/>
          <w:szCs w:val="24"/>
        </w:rPr>
        <w:t xml:space="preserve">. </w:t>
      </w:r>
    </w:p>
    <w:p w14:paraId="009F3725" w14:textId="4370192B" w:rsidR="00B2147F" w:rsidRPr="00061569" w:rsidRDefault="00B2147F" w:rsidP="00B2147F">
      <w:pPr>
        <w:jc w:val="both"/>
        <w:rPr>
          <w:rFonts w:asciiTheme="minorHAnsi" w:hAnsiTheme="minorHAnsi" w:cstheme="minorHAnsi"/>
          <w:sz w:val="24"/>
          <w:szCs w:val="24"/>
        </w:rPr>
      </w:pPr>
      <w:r>
        <w:rPr>
          <w:rFonts w:asciiTheme="minorHAnsi" w:hAnsiTheme="minorHAnsi" w:cstheme="minorHAnsi"/>
          <w:sz w:val="24"/>
          <w:szCs w:val="24"/>
        </w:rPr>
        <w:t>In July 2025, MM c</w:t>
      </w:r>
      <w:r w:rsidRPr="00363298">
        <w:rPr>
          <w:rFonts w:asciiTheme="minorHAnsi" w:hAnsiTheme="minorHAnsi" w:cstheme="minorHAnsi"/>
          <w:sz w:val="24"/>
          <w:szCs w:val="24"/>
        </w:rPr>
        <w:t xml:space="preserve">linicians </w:t>
      </w:r>
      <w:r>
        <w:rPr>
          <w:rFonts w:asciiTheme="minorHAnsi" w:hAnsiTheme="minorHAnsi" w:cstheme="minorHAnsi"/>
          <w:sz w:val="24"/>
          <w:szCs w:val="24"/>
        </w:rPr>
        <w:t>highlighted to the PBAC that</w:t>
      </w:r>
      <w:r w:rsidRPr="00363298">
        <w:rPr>
          <w:rFonts w:asciiTheme="minorHAnsi" w:hAnsiTheme="minorHAnsi" w:cstheme="minorHAnsi"/>
          <w:sz w:val="24"/>
          <w:szCs w:val="24"/>
        </w:rPr>
        <w:t xml:space="preserve"> the PBS restriction requirement to classify newly diagnosed multiple</w:t>
      </w:r>
      <w:r>
        <w:rPr>
          <w:rFonts w:asciiTheme="minorHAnsi" w:hAnsiTheme="minorHAnsi" w:cstheme="minorHAnsi"/>
          <w:sz w:val="24"/>
          <w:szCs w:val="24"/>
        </w:rPr>
        <w:t xml:space="preserve"> </w:t>
      </w:r>
      <w:r w:rsidRPr="00363298">
        <w:rPr>
          <w:rFonts w:asciiTheme="minorHAnsi" w:hAnsiTheme="minorHAnsi" w:cstheme="minorHAnsi"/>
          <w:sz w:val="24"/>
          <w:szCs w:val="24"/>
        </w:rPr>
        <w:t>myeloma (NDMM) as autologous stem cell transplant (ASCT) ineligible or eligible</w:t>
      </w:r>
      <w:r>
        <w:rPr>
          <w:rFonts w:asciiTheme="minorHAnsi" w:hAnsiTheme="minorHAnsi" w:cstheme="minorHAnsi"/>
          <w:sz w:val="24"/>
          <w:szCs w:val="24"/>
        </w:rPr>
        <w:t xml:space="preserve"> </w:t>
      </w:r>
      <w:r w:rsidRPr="00363298">
        <w:rPr>
          <w:rFonts w:asciiTheme="minorHAnsi" w:hAnsiTheme="minorHAnsi" w:cstheme="minorHAnsi"/>
          <w:sz w:val="24"/>
          <w:szCs w:val="24"/>
        </w:rPr>
        <w:t>is a historic and arbitrary distinction and emphasised that transplantation remains the</w:t>
      </w:r>
      <w:r>
        <w:rPr>
          <w:rFonts w:asciiTheme="minorHAnsi" w:hAnsiTheme="minorHAnsi" w:cstheme="minorHAnsi"/>
          <w:sz w:val="24"/>
          <w:szCs w:val="24"/>
        </w:rPr>
        <w:t xml:space="preserve"> </w:t>
      </w:r>
      <w:r w:rsidRPr="00363298">
        <w:rPr>
          <w:rFonts w:asciiTheme="minorHAnsi" w:hAnsiTheme="minorHAnsi" w:cstheme="minorHAnsi"/>
          <w:sz w:val="24"/>
          <w:szCs w:val="24"/>
        </w:rPr>
        <w:t>most cost-effective method of managing myeloma for eligible patients</w:t>
      </w:r>
      <w:r>
        <w:rPr>
          <w:rFonts w:asciiTheme="minorHAnsi" w:hAnsiTheme="minorHAnsi" w:cstheme="minorHAnsi"/>
          <w:sz w:val="24"/>
          <w:szCs w:val="24"/>
        </w:rPr>
        <w:t xml:space="preserve"> (MM stakeholder meeting, July 2025)</w:t>
      </w:r>
      <w:r w:rsidRPr="00363298">
        <w:rPr>
          <w:rFonts w:asciiTheme="minorHAnsi" w:hAnsiTheme="minorHAnsi" w:cstheme="minorHAnsi"/>
          <w:sz w:val="24"/>
          <w:szCs w:val="24"/>
        </w:rPr>
        <w:t>.</w:t>
      </w:r>
    </w:p>
    <w:p w14:paraId="7052C89A" w14:textId="07CCBE74" w:rsidR="00061569" w:rsidRPr="00061569"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 xml:space="preserve">Irrespective of whether ASCT is incorporated as part of initial treatment, the aim of first-line MM treatment is to induce a maximal depth of response, ideally complete response (CR) or better, </w:t>
      </w:r>
      <w:r w:rsidRPr="00061569">
        <w:rPr>
          <w:rFonts w:asciiTheme="minorHAnsi" w:hAnsiTheme="minorHAnsi" w:cstheme="minorHAnsi"/>
          <w:sz w:val="24"/>
          <w:szCs w:val="24"/>
        </w:rPr>
        <w:lastRenderedPageBreak/>
        <w:t xml:space="preserve">without unacceptable toxicities. CR or better is associated with significant prolongation of PFS and OS in both the TE and TI setting (H. Quach, 2022), and in both young and elderly patients. </w:t>
      </w:r>
    </w:p>
    <w:p w14:paraId="592BAB35" w14:textId="77777777" w:rsidR="00061569" w:rsidRPr="001F5855" w:rsidRDefault="00061569" w:rsidP="00E8592F">
      <w:pPr>
        <w:keepNext/>
        <w:jc w:val="both"/>
        <w:rPr>
          <w:rFonts w:asciiTheme="minorHAnsi" w:hAnsiTheme="minorHAnsi" w:cstheme="minorHAnsi"/>
          <w:sz w:val="24"/>
          <w:szCs w:val="24"/>
          <w:u w:val="single"/>
        </w:rPr>
      </w:pPr>
      <w:r w:rsidRPr="001F5855">
        <w:rPr>
          <w:rFonts w:asciiTheme="minorHAnsi" w:hAnsiTheme="minorHAnsi" w:cstheme="minorHAnsi"/>
          <w:sz w:val="24"/>
          <w:szCs w:val="24"/>
          <w:u w:val="single"/>
        </w:rPr>
        <w:t>Treatment of TE NDMM</w:t>
      </w:r>
    </w:p>
    <w:p w14:paraId="7B53FB19" w14:textId="519CA81D" w:rsidR="00061569" w:rsidRPr="00061569"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The combination of bortezomib, lenalidomide plus dexamethasone (</w:t>
      </w:r>
      <w:proofErr w:type="spellStart"/>
      <w:r w:rsidRPr="00061569">
        <w:rPr>
          <w:rFonts w:asciiTheme="minorHAnsi" w:hAnsiTheme="minorHAnsi" w:cstheme="minorHAnsi"/>
          <w:sz w:val="24"/>
          <w:szCs w:val="24"/>
        </w:rPr>
        <w:t>BLd</w:t>
      </w:r>
      <w:proofErr w:type="spellEnd"/>
      <w:r w:rsidRPr="00061569">
        <w:rPr>
          <w:rFonts w:asciiTheme="minorHAnsi" w:hAnsiTheme="minorHAnsi" w:cstheme="minorHAnsi"/>
          <w:sz w:val="24"/>
          <w:szCs w:val="24"/>
        </w:rPr>
        <w:t xml:space="preserve">) is PBS listed for newly diagnosed multiple myeloma irrespective of transplant eligibility; and lenalidomide maintenance post ASCT is also available </w:t>
      </w:r>
      <w:r w:rsidR="000916B4">
        <w:rPr>
          <w:rFonts w:asciiTheme="minorHAnsi" w:hAnsiTheme="minorHAnsi" w:cstheme="minorHAnsi"/>
          <w:sz w:val="24"/>
          <w:szCs w:val="24"/>
        </w:rPr>
        <w:t>on</w:t>
      </w:r>
      <w:r w:rsidRPr="00061569">
        <w:rPr>
          <w:rFonts w:asciiTheme="minorHAnsi" w:hAnsiTheme="minorHAnsi" w:cstheme="minorHAnsi"/>
          <w:sz w:val="24"/>
          <w:szCs w:val="24"/>
        </w:rPr>
        <w:t xml:space="preserve"> the PBS. </w:t>
      </w:r>
      <w:r w:rsidR="00D94B70">
        <w:rPr>
          <w:rFonts w:asciiTheme="minorHAnsi" w:hAnsiTheme="minorHAnsi" w:cstheme="minorHAnsi"/>
          <w:sz w:val="24"/>
          <w:szCs w:val="24"/>
        </w:rPr>
        <w:t>M</w:t>
      </w:r>
      <w:r w:rsidRPr="00061569">
        <w:rPr>
          <w:rFonts w:asciiTheme="minorHAnsi" w:hAnsiTheme="minorHAnsi" w:cstheme="minorHAnsi"/>
          <w:sz w:val="24"/>
          <w:szCs w:val="24"/>
        </w:rPr>
        <w:t xml:space="preserve">ost transplant eligible patients will receive </w:t>
      </w:r>
      <w:proofErr w:type="spellStart"/>
      <w:r w:rsidRPr="00061569">
        <w:rPr>
          <w:rFonts w:asciiTheme="minorHAnsi" w:hAnsiTheme="minorHAnsi" w:cstheme="minorHAnsi"/>
          <w:sz w:val="24"/>
          <w:szCs w:val="24"/>
        </w:rPr>
        <w:t>BLd</w:t>
      </w:r>
      <w:proofErr w:type="spellEnd"/>
      <w:r w:rsidRPr="00061569">
        <w:rPr>
          <w:rFonts w:asciiTheme="minorHAnsi" w:hAnsiTheme="minorHAnsi" w:cstheme="minorHAnsi"/>
          <w:sz w:val="24"/>
          <w:szCs w:val="24"/>
        </w:rPr>
        <w:t xml:space="preserve"> and go on to receive lenalidomide maintenance after transplantation. Other options on the PBS for TE patients include </w:t>
      </w:r>
      <w:r w:rsidR="000C5FCF" w:rsidRPr="00061569">
        <w:rPr>
          <w:rFonts w:asciiTheme="minorHAnsi" w:hAnsiTheme="minorHAnsi" w:cstheme="minorHAnsi"/>
          <w:sz w:val="24"/>
          <w:szCs w:val="24"/>
        </w:rPr>
        <w:t>bortezomib and dexamethasone (</w:t>
      </w:r>
      <w:r w:rsidRPr="00061569">
        <w:rPr>
          <w:rFonts w:asciiTheme="minorHAnsi" w:hAnsiTheme="minorHAnsi" w:cstheme="minorHAnsi"/>
          <w:sz w:val="24"/>
          <w:szCs w:val="24"/>
        </w:rPr>
        <w:t>Bd</w:t>
      </w:r>
      <w:r w:rsidR="000C5FCF">
        <w:rPr>
          <w:rFonts w:asciiTheme="minorHAnsi" w:hAnsiTheme="minorHAnsi" w:cstheme="minorHAnsi"/>
          <w:sz w:val="24"/>
          <w:szCs w:val="24"/>
        </w:rPr>
        <w:t>)</w:t>
      </w:r>
      <w:r w:rsidRPr="00061569">
        <w:rPr>
          <w:rFonts w:asciiTheme="minorHAnsi" w:hAnsiTheme="minorHAnsi" w:cstheme="minorHAnsi"/>
          <w:sz w:val="24"/>
          <w:szCs w:val="24"/>
        </w:rPr>
        <w:t xml:space="preserve"> or bortezomib, cyclophosphamide and dexamethasone (</w:t>
      </w:r>
      <w:proofErr w:type="spellStart"/>
      <w:r w:rsidRPr="00061569">
        <w:rPr>
          <w:rFonts w:asciiTheme="minorHAnsi" w:hAnsiTheme="minorHAnsi" w:cstheme="minorHAnsi"/>
          <w:sz w:val="24"/>
          <w:szCs w:val="24"/>
        </w:rPr>
        <w:t>BCd</w:t>
      </w:r>
      <w:proofErr w:type="spellEnd"/>
      <w:r w:rsidRPr="00061569">
        <w:rPr>
          <w:rFonts w:asciiTheme="minorHAnsi" w:hAnsiTheme="minorHAnsi" w:cstheme="minorHAnsi"/>
          <w:sz w:val="24"/>
          <w:szCs w:val="24"/>
        </w:rPr>
        <w:t xml:space="preserve">), but these are not commonly used given TE patients are generally young and sufficiently fit to receive </w:t>
      </w:r>
      <w:proofErr w:type="spellStart"/>
      <w:r w:rsidRPr="00061569">
        <w:rPr>
          <w:rFonts w:asciiTheme="minorHAnsi" w:hAnsiTheme="minorHAnsi" w:cstheme="minorHAnsi"/>
          <w:sz w:val="24"/>
          <w:szCs w:val="24"/>
        </w:rPr>
        <w:t>BLd.</w:t>
      </w:r>
      <w:proofErr w:type="spellEnd"/>
      <w:r w:rsidRPr="00061569">
        <w:rPr>
          <w:rFonts w:asciiTheme="minorHAnsi" w:hAnsiTheme="minorHAnsi" w:cstheme="minorHAnsi"/>
          <w:sz w:val="24"/>
          <w:szCs w:val="24"/>
        </w:rPr>
        <w:t xml:space="preserve"> Thus, most TE patients will have received both a PI and IMiD</w:t>
      </w:r>
      <w:r w:rsidR="00976D01">
        <w:rPr>
          <w:rFonts w:asciiTheme="minorHAnsi" w:hAnsiTheme="minorHAnsi" w:cstheme="minorHAnsi"/>
          <w:sz w:val="24"/>
          <w:szCs w:val="24"/>
        </w:rPr>
        <w:t xml:space="preserve"> (i.e., lenalidomide)</w:t>
      </w:r>
      <w:r w:rsidRPr="00061569">
        <w:rPr>
          <w:rFonts w:asciiTheme="minorHAnsi" w:hAnsiTheme="minorHAnsi" w:cstheme="minorHAnsi"/>
          <w:sz w:val="24"/>
          <w:szCs w:val="24"/>
        </w:rPr>
        <w:t xml:space="preserve"> </w:t>
      </w:r>
      <w:r w:rsidR="00BA09D0">
        <w:rPr>
          <w:rFonts w:asciiTheme="minorHAnsi" w:hAnsiTheme="minorHAnsi" w:cstheme="minorHAnsi"/>
          <w:sz w:val="24"/>
          <w:szCs w:val="24"/>
        </w:rPr>
        <w:t>as part of</w:t>
      </w:r>
      <w:r w:rsidRPr="00061569">
        <w:rPr>
          <w:rFonts w:asciiTheme="minorHAnsi" w:hAnsiTheme="minorHAnsi" w:cstheme="minorHAnsi"/>
          <w:sz w:val="24"/>
          <w:szCs w:val="24"/>
        </w:rPr>
        <w:t xml:space="preserve"> their first line </w:t>
      </w:r>
      <w:r w:rsidR="00BA09D0">
        <w:rPr>
          <w:rFonts w:asciiTheme="minorHAnsi" w:hAnsiTheme="minorHAnsi" w:cstheme="minorHAnsi"/>
          <w:sz w:val="24"/>
          <w:szCs w:val="24"/>
        </w:rPr>
        <w:t>treatment</w:t>
      </w:r>
      <w:r w:rsidRPr="00061569">
        <w:rPr>
          <w:rFonts w:asciiTheme="minorHAnsi" w:hAnsiTheme="minorHAnsi" w:cstheme="minorHAnsi"/>
          <w:sz w:val="24"/>
          <w:szCs w:val="24"/>
        </w:rPr>
        <w:t xml:space="preserve">. </w:t>
      </w:r>
    </w:p>
    <w:p w14:paraId="5FD4EF08" w14:textId="77777777" w:rsidR="00061569" w:rsidRPr="001F5855" w:rsidRDefault="00061569" w:rsidP="00E8592F">
      <w:pPr>
        <w:keepNext/>
        <w:jc w:val="both"/>
        <w:rPr>
          <w:rFonts w:asciiTheme="minorHAnsi" w:hAnsiTheme="minorHAnsi" w:cstheme="minorHAnsi"/>
          <w:sz w:val="24"/>
          <w:szCs w:val="24"/>
          <w:u w:val="single"/>
        </w:rPr>
      </w:pPr>
      <w:r w:rsidRPr="001F5855">
        <w:rPr>
          <w:rFonts w:asciiTheme="minorHAnsi" w:hAnsiTheme="minorHAnsi" w:cstheme="minorHAnsi"/>
          <w:sz w:val="24"/>
          <w:szCs w:val="24"/>
          <w:u w:val="single"/>
        </w:rPr>
        <w:t>Treatment of TI NDMM</w:t>
      </w:r>
    </w:p>
    <w:p w14:paraId="1BE2EEFA" w14:textId="77777777" w:rsidR="00F92A8D"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 xml:space="preserve">In </w:t>
      </w:r>
      <w:r w:rsidR="001A6560">
        <w:rPr>
          <w:rFonts w:asciiTheme="minorHAnsi" w:hAnsiTheme="minorHAnsi" w:cstheme="minorHAnsi"/>
          <w:sz w:val="24"/>
          <w:szCs w:val="24"/>
        </w:rPr>
        <w:t>November</w:t>
      </w:r>
      <w:r w:rsidRPr="00061569">
        <w:rPr>
          <w:rFonts w:asciiTheme="minorHAnsi" w:hAnsiTheme="minorHAnsi" w:cstheme="minorHAnsi"/>
          <w:sz w:val="24"/>
          <w:szCs w:val="24"/>
        </w:rPr>
        <w:t xml:space="preserve"> 2025, daratumumab in combination with lenalidomide and dexamethasone (</w:t>
      </w:r>
      <w:proofErr w:type="spellStart"/>
      <w:r w:rsidRPr="00061569">
        <w:rPr>
          <w:rFonts w:asciiTheme="minorHAnsi" w:hAnsiTheme="minorHAnsi" w:cstheme="minorHAnsi"/>
          <w:sz w:val="24"/>
          <w:szCs w:val="24"/>
        </w:rPr>
        <w:t>DLd</w:t>
      </w:r>
      <w:proofErr w:type="spellEnd"/>
      <w:r w:rsidRPr="00061569">
        <w:rPr>
          <w:rFonts w:asciiTheme="minorHAnsi" w:hAnsiTheme="minorHAnsi" w:cstheme="minorHAnsi"/>
          <w:sz w:val="24"/>
          <w:szCs w:val="24"/>
        </w:rPr>
        <w:t xml:space="preserve">) </w:t>
      </w:r>
      <w:r w:rsidR="001A6560">
        <w:rPr>
          <w:rFonts w:asciiTheme="minorHAnsi" w:hAnsiTheme="minorHAnsi" w:cstheme="minorHAnsi"/>
          <w:sz w:val="24"/>
          <w:szCs w:val="24"/>
        </w:rPr>
        <w:t xml:space="preserve">was PBS listed </w:t>
      </w:r>
      <w:r w:rsidRPr="00061569">
        <w:rPr>
          <w:rFonts w:asciiTheme="minorHAnsi" w:hAnsiTheme="minorHAnsi" w:cstheme="minorHAnsi"/>
          <w:sz w:val="24"/>
          <w:szCs w:val="24"/>
        </w:rPr>
        <w:t xml:space="preserve">for TI NDMM. </w:t>
      </w:r>
      <w:proofErr w:type="spellStart"/>
      <w:r w:rsidRPr="00061569">
        <w:rPr>
          <w:rFonts w:asciiTheme="minorHAnsi" w:hAnsiTheme="minorHAnsi" w:cstheme="minorHAnsi"/>
          <w:sz w:val="24"/>
          <w:szCs w:val="24"/>
        </w:rPr>
        <w:t>DLd</w:t>
      </w:r>
      <w:proofErr w:type="spellEnd"/>
      <w:r w:rsidRPr="00061569">
        <w:rPr>
          <w:rFonts w:asciiTheme="minorHAnsi" w:hAnsiTheme="minorHAnsi" w:cstheme="minorHAnsi"/>
          <w:sz w:val="24"/>
          <w:szCs w:val="24"/>
        </w:rPr>
        <w:t xml:space="preserve"> will be used by most TI NDMM patients </w:t>
      </w:r>
      <w:r w:rsidR="00BA09D0">
        <w:rPr>
          <w:rFonts w:asciiTheme="minorHAnsi" w:hAnsiTheme="minorHAnsi" w:cstheme="minorHAnsi"/>
          <w:sz w:val="24"/>
          <w:szCs w:val="24"/>
        </w:rPr>
        <w:t xml:space="preserve">due to its superior efficacy relative to </w:t>
      </w:r>
      <w:r w:rsidR="00F92A8D">
        <w:rPr>
          <w:rFonts w:asciiTheme="minorHAnsi" w:hAnsiTheme="minorHAnsi" w:cstheme="minorHAnsi"/>
          <w:sz w:val="24"/>
          <w:szCs w:val="24"/>
        </w:rPr>
        <w:t>all</w:t>
      </w:r>
      <w:r w:rsidR="00BA09D0">
        <w:rPr>
          <w:rFonts w:asciiTheme="minorHAnsi" w:hAnsiTheme="minorHAnsi" w:cstheme="minorHAnsi"/>
          <w:sz w:val="24"/>
          <w:szCs w:val="24"/>
        </w:rPr>
        <w:t xml:space="preserve"> other available treatment options</w:t>
      </w:r>
      <w:r w:rsidRPr="00061569">
        <w:rPr>
          <w:rFonts w:asciiTheme="minorHAnsi" w:hAnsiTheme="minorHAnsi" w:cstheme="minorHAnsi"/>
          <w:sz w:val="24"/>
          <w:szCs w:val="24"/>
        </w:rPr>
        <w:t xml:space="preserve">. As such, people with TI NDMM will now be exposed to both a IMiD and an anti-CD38 therapy in their first line of treatment. </w:t>
      </w:r>
    </w:p>
    <w:p w14:paraId="06E2F6FA" w14:textId="3AAE7DD7" w:rsidR="00061569" w:rsidRPr="00061569"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 xml:space="preserve">Other treatments available for TI NDMM, include </w:t>
      </w:r>
      <w:proofErr w:type="spellStart"/>
      <w:r w:rsidRPr="00061569">
        <w:rPr>
          <w:rFonts w:asciiTheme="minorHAnsi" w:hAnsiTheme="minorHAnsi" w:cstheme="minorHAnsi"/>
          <w:sz w:val="24"/>
          <w:szCs w:val="24"/>
        </w:rPr>
        <w:t>BLd</w:t>
      </w:r>
      <w:proofErr w:type="spellEnd"/>
      <w:r w:rsidRPr="00061569">
        <w:rPr>
          <w:rFonts w:asciiTheme="minorHAnsi" w:hAnsiTheme="minorHAnsi" w:cstheme="minorHAnsi"/>
          <w:sz w:val="24"/>
          <w:szCs w:val="24"/>
        </w:rPr>
        <w:t>, lenalidomide and dexamethasone (</w:t>
      </w:r>
      <w:proofErr w:type="spellStart"/>
      <w:r w:rsidRPr="00061569">
        <w:rPr>
          <w:rFonts w:asciiTheme="minorHAnsi" w:hAnsiTheme="minorHAnsi" w:cstheme="minorHAnsi"/>
          <w:sz w:val="24"/>
          <w:szCs w:val="24"/>
        </w:rPr>
        <w:t>Ld</w:t>
      </w:r>
      <w:proofErr w:type="spellEnd"/>
      <w:r w:rsidRPr="00061569">
        <w:rPr>
          <w:rFonts w:asciiTheme="minorHAnsi" w:hAnsiTheme="minorHAnsi" w:cstheme="minorHAnsi"/>
          <w:sz w:val="24"/>
          <w:szCs w:val="24"/>
        </w:rPr>
        <w:t xml:space="preserve">) and Bd. The use of bortezomib as part of </w:t>
      </w:r>
      <w:r w:rsidR="003638FA">
        <w:rPr>
          <w:rFonts w:asciiTheme="minorHAnsi" w:hAnsiTheme="minorHAnsi" w:cstheme="minorHAnsi"/>
          <w:sz w:val="24"/>
          <w:szCs w:val="24"/>
        </w:rPr>
        <w:t xml:space="preserve">a </w:t>
      </w:r>
      <w:proofErr w:type="spellStart"/>
      <w:r w:rsidRPr="00061569">
        <w:rPr>
          <w:rFonts w:asciiTheme="minorHAnsi" w:hAnsiTheme="minorHAnsi" w:cstheme="minorHAnsi"/>
          <w:sz w:val="24"/>
          <w:szCs w:val="24"/>
        </w:rPr>
        <w:t>BLd</w:t>
      </w:r>
      <w:proofErr w:type="spellEnd"/>
      <w:r w:rsidR="003638FA">
        <w:rPr>
          <w:rFonts w:asciiTheme="minorHAnsi" w:hAnsiTheme="minorHAnsi" w:cstheme="minorHAnsi"/>
          <w:sz w:val="24"/>
          <w:szCs w:val="24"/>
        </w:rPr>
        <w:t xml:space="preserve"> regimen</w:t>
      </w:r>
      <w:r w:rsidRPr="00061569">
        <w:rPr>
          <w:rFonts w:asciiTheme="minorHAnsi" w:hAnsiTheme="minorHAnsi" w:cstheme="minorHAnsi"/>
          <w:sz w:val="24"/>
          <w:szCs w:val="24"/>
        </w:rPr>
        <w:t xml:space="preserve"> is associated with known tolerability challenges and </w:t>
      </w:r>
      <w:r w:rsidR="003638FA">
        <w:rPr>
          <w:rFonts w:asciiTheme="minorHAnsi" w:hAnsiTheme="minorHAnsi" w:cstheme="minorHAnsi"/>
          <w:sz w:val="24"/>
          <w:szCs w:val="24"/>
        </w:rPr>
        <w:t>Australian real</w:t>
      </w:r>
      <w:r w:rsidR="00F77E7B">
        <w:rPr>
          <w:rFonts w:asciiTheme="minorHAnsi" w:hAnsiTheme="minorHAnsi" w:cstheme="minorHAnsi"/>
          <w:sz w:val="24"/>
          <w:szCs w:val="24"/>
        </w:rPr>
        <w:t>-</w:t>
      </w:r>
      <w:r w:rsidR="003638FA">
        <w:rPr>
          <w:rFonts w:asciiTheme="minorHAnsi" w:hAnsiTheme="minorHAnsi" w:cstheme="minorHAnsi"/>
          <w:sz w:val="24"/>
          <w:szCs w:val="24"/>
        </w:rPr>
        <w:t xml:space="preserve">world </w:t>
      </w:r>
      <w:r w:rsidRPr="00061569">
        <w:rPr>
          <w:rFonts w:asciiTheme="minorHAnsi" w:hAnsiTheme="minorHAnsi" w:cstheme="minorHAnsi"/>
          <w:sz w:val="24"/>
          <w:szCs w:val="24"/>
        </w:rPr>
        <w:t xml:space="preserve">evidence has shown that </w:t>
      </w:r>
      <w:proofErr w:type="spellStart"/>
      <w:r w:rsidRPr="00061569">
        <w:rPr>
          <w:rFonts w:asciiTheme="minorHAnsi" w:hAnsiTheme="minorHAnsi" w:cstheme="minorHAnsi"/>
          <w:sz w:val="24"/>
          <w:szCs w:val="24"/>
        </w:rPr>
        <w:t>BLd</w:t>
      </w:r>
      <w:proofErr w:type="spellEnd"/>
      <w:r w:rsidRPr="00061569">
        <w:rPr>
          <w:rFonts w:asciiTheme="minorHAnsi" w:hAnsiTheme="minorHAnsi" w:cstheme="minorHAnsi"/>
          <w:sz w:val="24"/>
          <w:szCs w:val="24"/>
        </w:rPr>
        <w:t xml:space="preserve"> has not delivered improved clinical outcomes in the TI NDMM setting. </w:t>
      </w:r>
      <w:r w:rsidR="00A12A31">
        <w:rPr>
          <w:rFonts w:asciiTheme="minorHAnsi" w:hAnsiTheme="minorHAnsi" w:cstheme="minorHAnsi"/>
          <w:sz w:val="24"/>
          <w:szCs w:val="24"/>
        </w:rPr>
        <w:t xml:space="preserve">Thus, most TI patients will have received a IMiD (i.e., lenalidomide) </w:t>
      </w:r>
      <w:r w:rsidR="00540B85">
        <w:rPr>
          <w:rFonts w:asciiTheme="minorHAnsi" w:hAnsiTheme="minorHAnsi" w:cstheme="minorHAnsi"/>
          <w:sz w:val="24"/>
          <w:szCs w:val="24"/>
        </w:rPr>
        <w:t>as part of</w:t>
      </w:r>
      <w:r w:rsidR="00A12A31">
        <w:rPr>
          <w:rFonts w:asciiTheme="minorHAnsi" w:hAnsiTheme="minorHAnsi" w:cstheme="minorHAnsi"/>
          <w:sz w:val="24"/>
          <w:szCs w:val="24"/>
        </w:rPr>
        <w:t xml:space="preserve"> their first line </w:t>
      </w:r>
      <w:r w:rsidR="00540B85">
        <w:rPr>
          <w:rFonts w:asciiTheme="minorHAnsi" w:hAnsiTheme="minorHAnsi" w:cstheme="minorHAnsi"/>
          <w:sz w:val="24"/>
          <w:szCs w:val="24"/>
        </w:rPr>
        <w:t>treatment</w:t>
      </w:r>
      <w:r w:rsidR="00A12A31">
        <w:rPr>
          <w:rFonts w:asciiTheme="minorHAnsi" w:hAnsiTheme="minorHAnsi" w:cstheme="minorHAnsi"/>
          <w:sz w:val="24"/>
          <w:szCs w:val="24"/>
        </w:rPr>
        <w:t>, and some TI patients will have received a PI.</w:t>
      </w:r>
    </w:p>
    <w:p w14:paraId="4C298BF8" w14:textId="77777777" w:rsidR="00061569" w:rsidRPr="001F5855" w:rsidRDefault="00061569" w:rsidP="00E8592F">
      <w:pPr>
        <w:keepNext/>
        <w:jc w:val="both"/>
        <w:rPr>
          <w:rFonts w:asciiTheme="minorHAnsi" w:hAnsiTheme="minorHAnsi" w:cstheme="minorHAnsi"/>
          <w:sz w:val="24"/>
          <w:szCs w:val="24"/>
          <w:u w:val="single"/>
        </w:rPr>
      </w:pPr>
      <w:r w:rsidRPr="001F5855">
        <w:rPr>
          <w:rFonts w:asciiTheme="minorHAnsi" w:hAnsiTheme="minorHAnsi" w:cstheme="minorHAnsi"/>
          <w:sz w:val="24"/>
          <w:szCs w:val="24"/>
          <w:u w:val="single"/>
        </w:rPr>
        <w:t>Treatment of RRMM</w:t>
      </w:r>
    </w:p>
    <w:p w14:paraId="70EB76F1" w14:textId="2E2F30BB" w:rsidR="00061569" w:rsidRPr="00061569"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 xml:space="preserve">The type of prior therapy </w:t>
      </w:r>
      <w:proofErr w:type="gramStart"/>
      <w:r w:rsidRPr="00061569">
        <w:rPr>
          <w:rFonts w:asciiTheme="minorHAnsi" w:hAnsiTheme="minorHAnsi" w:cstheme="minorHAnsi"/>
          <w:sz w:val="24"/>
          <w:szCs w:val="24"/>
        </w:rPr>
        <w:t>received,</w:t>
      </w:r>
      <w:proofErr w:type="gramEnd"/>
      <w:r w:rsidRPr="00061569">
        <w:rPr>
          <w:rFonts w:asciiTheme="minorHAnsi" w:hAnsiTheme="minorHAnsi" w:cstheme="minorHAnsi"/>
          <w:sz w:val="24"/>
          <w:szCs w:val="24"/>
        </w:rPr>
        <w:t xml:space="preserve"> response and associated toxicities with prior therapy are important factors which determine treatment of relapsed/refractory patients in the second line setting and beyond. The aim of treatment is not only to prolong survival, but to also treat or prevent development of myeloma related end organ damage. Treatments currently PBS listed for patients </w:t>
      </w:r>
      <w:r w:rsidR="00540B85">
        <w:rPr>
          <w:rFonts w:asciiTheme="minorHAnsi" w:hAnsiTheme="minorHAnsi" w:cstheme="minorHAnsi"/>
          <w:sz w:val="24"/>
          <w:szCs w:val="24"/>
        </w:rPr>
        <w:t>in the</w:t>
      </w:r>
      <w:r w:rsidRPr="00061569">
        <w:rPr>
          <w:rFonts w:asciiTheme="minorHAnsi" w:hAnsiTheme="minorHAnsi" w:cstheme="minorHAnsi"/>
          <w:sz w:val="24"/>
          <w:szCs w:val="24"/>
        </w:rPr>
        <w:t xml:space="preserve"> </w:t>
      </w:r>
      <w:r w:rsidR="00540B85">
        <w:rPr>
          <w:rFonts w:asciiTheme="minorHAnsi" w:hAnsiTheme="minorHAnsi" w:cstheme="minorHAnsi"/>
          <w:sz w:val="24"/>
          <w:szCs w:val="24"/>
        </w:rPr>
        <w:t xml:space="preserve">early-line </w:t>
      </w:r>
      <w:r w:rsidRPr="00061569">
        <w:rPr>
          <w:rFonts w:asciiTheme="minorHAnsi" w:hAnsiTheme="minorHAnsi" w:cstheme="minorHAnsi"/>
          <w:sz w:val="24"/>
          <w:szCs w:val="24"/>
        </w:rPr>
        <w:t xml:space="preserve">RRMM </w:t>
      </w:r>
      <w:r w:rsidR="00540B85">
        <w:rPr>
          <w:rFonts w:asciiTheme="minorHAnsi" w:hAnsiTheme="minorHAnsi" w:cstheme="minorHAnsi"/>
          <w:sz w:val="24"/>
          <w:szCs w:val="24"/>
        </w:rPr>
        <w:t xml:space="preserve">setting </w:t>
      </w:r>
      <w:r w:rsidRPr="00061569">
        <w:rPr>
          <w:rFonts w:asciiTheme="minorHAnsi" w:hAnsiTheme="minorHAnsi" w:cstheme="minorHAnsi"/>
          <w:sz w:val="24"/>
          <w:szCs w:val="24"/>
        </w:rPr>
        <w:t>include daratumumab, lenalidomide, bortezomib, carfilzomib, pomalidomide, and selinexor. These treatments may or may not be used in combination with chemotherapies and/or corticosteroids (most commonly dexamethasone). Elotuzumab was PBS listed for RRMM but the initial PBS subsidy for elotuzumab for multiple myeloma was delisted as of December 1, 2024, for new patients.</w:t>
      </w:r>
    </w:p>
    <w:p w14:paraId="02C9481B" w14:textId="38682BF7" w:rsidR="00C86553"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t>Daratumumab, bortezomib and dexamethasone (</w:t>
      </w:r>
      <w:proofErr w:type="spellStart"/>
      <w:r w:rsidRPr="00061569">
        <w:rPr>
          <w:rFonts w:asciiTheme="minorHAnsi" w:hAnsiTheme="minorHAnsi" w:cstheme="minorHAnsi"/>
          <w:sz w:val="24"/>
          <w:szCs w:val="24"/>
        </w:rPr>
        <w:t>DBd</w:t>
      </w:r>
      <w:proofErr w:type="spellEnd"/>
      <w:r w:rsidRPr="00061569">
        <w:rPr>
          <w:rFonts w:asciiTheme="minorHAnsi" w:hAnsiTheme="minorHAnsi" w:cstheme="minorHAnsi"/>
          <w:sz w:val="24"/>
          <w:szCs w:val="24"/>
        </w:rPr>
        <w:t xml:space="preserve">) </w:t>
      </w:r>
      <w:proofErr w:type="gramStart"/>
      <w:r w:rsidRPr="00061569">
        <w:rPr>
          <w:rFonts w:asciiTheme="minorHAnsi" w:hAnsiTheme="minorHAnsi" w:cstheme="minorHAnsi"/>
          <w:sz w:val="24"/>
          <w:szCs w:val="24"/>
        </w:rPr>
        <w:t>is</w:t>
      </w:r>
      <w:proofErr w:type="gramEnd"/>
      <w:r w:rsidRPr="00061569">
        <w:rPr>
          <w:rFonts w:asciiTheme="minorHAnsi" w:hAnsiTheme="minorHAnsi" w:cstheme="minorHAnsi"/>
          <w:sz w:val="24"/>
          <w:szCs w:val="24"/>
        </w:rPr>
        <w:t xml:space="preserve"> only listed on the PBS in the RRMM setting for second-line MM only (i.e. not a line agnostic PBS listing). Furthermore, patients eligible for </w:t>
      </w:r>
      <w:proofErr w:type="spellStart"/>
      <w:r w:rsidRPr="00061569">
        <w:rPr>
          <w:rFonts w:asciiTheme="minorHAnsi" w:hAnsiTheme="minorHAnsi" w:cstheme="minorHAnsi"/>
          <w:sz w:val="24"/>
          <w:szCs w:val="24"/>
        </w:rPr>
        <w:t>DBd</w:t>
      </w:r>
      <w:proofErr w:type="spellEnd"/>
      <w:r w:rsidRPr="00061569">
        <w:rPr>
          <w:rFonts w:asciiTheme="minorHAnsi" w:hAnsiTheme="minorHAnsi" w:cstheme="minorHAnsi"/>
          <w:sz w:val="24"/>
          <w:szCs w:val="24"/>
        </w:rPr>
        <w:t xml:space="preserve"> must not have received prior daratumumab in the first line setting</w:t>
      </w:r>
      <w:r w:rsidR="00C86553">
        <w:rPr>
          <w:rFonts w:asciiTheme="minorHAnsi" w:hAnsiTheme="minorHAnsi" w:cstheme="minorHAnsi"/>
          <w:sz w:val="24"/>
          <w:szCs w:val="24"/>
        </w:rPr>
        <w:t xml:space="preserve"> (i.e., </w:t>
      </w:r>
      <w:proofErr w:type="spellStart"/>
      <w:r w:rsidR="00C86553">
        <w:rPr>
          <w:rFonts w:asciiTheme="minorHAnsi" w:hAnsiTheme="minorHAnsi" w:cstheme="minorHAnsi"/>
          <w:sz w:val="24"/>
          <w:szCs w:val="24"/>
        </w:rPr>
        <w:t>DLd</w:t>
      </w:r>
      <w:proofErr w:type="spellEnd"/>
      <w:r w:rsidR="00C86553">
        <w:rPr>
          <w:rFonts w:asciiTheme="minorHAnsi" w:hAnsiTheme="minorHAnsi" w:cstheme="minorHAnsi"/>
          <w:sz w:val="24"/>
          <w:szCs w:val="24"/>
        </w:rPr>
        <w:t>)</w:t>
      </w:r>
      <w:r w:rsidRPr="00061569">
        <w:rPr>
          <w:rFonts w:asciiTheme="minorHAnsi" w:hAnsiTheme="minorHAnsi" w:cstheme="minorHAnsi"/>
          <w:sz w:val="24"/>
          <w:szCs w:val="24"/>
        </w:rPr>
        <w:t xml:space="preserve">. Whereas lenalidomide, bortezomib, carfilzomib, pomalidomide, and selinexor all have line agnostic PBS listings in the RRMM setting. </w:t>
      </w:r>
    </w:p>
    <w:p w14:paraId="3A10995D" w14:textId="7D5120A1" w:rsidR="00D7253F" w:rsidRDefault="00D7253F" w:rsidP="00D7253F">
      <w:pPr>
        <w:jc w:val="both"/>
        <w:rPr>
          <w:rFonts w:asciiTheme="minorHAnsi" w:hAnsiTheme="minorHAnsi" w:cstheme="minorHAnsi"/>
          <w:sz w:val="24"/>
          <w:szCs w:val="24"/>
        </w:rPr>
      </w:pPr>
      <w:proofErr w:type="spellStart"/>
      <w:r w:rsidRPr="00605BED">
        <w:rPr>
          <w:rFonts w:asciiTheme="minorHAnsi" w:hAnsiTheme="minorHAnsi" w:cstheme="minorHAnsi"/>
          <w:sz w:val="24"/>
          <w:szCs w:val="24"/>
        </w:rPr>
        <w:t>Belantamab</w:t>
      </w:r>
      <w:proofErr w:type="spellEnd"/>
      <w:r w:rsidRPr="00605BED">
        <w:rPr>
          <w:rFonts w:asciiTheme="minorHAnsi" w:hAnsiTheme="minorHAnsi" w:cstheme="minorHAnsi"/>
          <w:sz w:val="24"/>
          <w:szCs w:val="24"/>
        </w:rPr>
        <w:t xml:space="preserve"> mafodotin</w:t>
      </w:r>
      <w:r>
        <w:rPr>
          <w:rFonts w:asciiTheme="minorHAnsi" w:hAnsiTheme="minorHAnsi" w:cstheme="minorHAnsi"/>
          <w:sz w:val="24"/>
          <w:szCs w:val="24"/>
        </w:rPr>
        <w:t xml:space="preserve">, </w:t>
      </w:r>
      <w:r w:rsidRPr="00605BED">
        <w:rPr>
          <w:rFonts w:asciiTheme="minorHAnsi" w:hAnsiTheme="minorHAnsi" w:cstheme="minorHAnsi"/>
          <w:sz w:val="24"/>
          <w:szCs w:val="24"/>
        </w:rPr>
        <w:t xml:space="preserve">an antibody-drug conjugate targeting BCMA for </w:t>
      </w:r>
      <w:r>
        <w:rPr>
          <w:rFonts w:asciiTheme="minorHAnsi" w:hAnsiTheme="minorHAnsi" w:cstheme="minorHAnsi"/>
          <w:sz w:val="24"/>
          <w:szCs w:val="24"/>
        </w:rPr>
        <w:t>RRMM, was not recommended in combination with bortezomib and dexamethasone (</w:t>
      </w:r>
      <w:proofErr w:type="spellStart"/>
      <w:r>
        <w:rPr>
          <w:rFonts w:asciiTheme="minorHAnsi" w:hAnsiTheme="minorHAnsi" w:cstheme="minorHAnsi"/>
          <w:sz w:val="24"/>
          <w:szCs w:val="24"/>
        </w:rPr>
        <w:t>BmBd</w:t>
      </w:r>
      <w:proofErr w:type="spellEnd"/>
      <w:r>
        <w:rPr>
          <w:rFonts w:asciiTheme="minorHAnsi" w:hAnsiTheme="minorHAnsi" w:cstheme="minorHAnsi"/>
          <w:sz w:val="24"/>
          <w:szCs w:val="24"/>
        </w:rPr>
        <w:t xml:space="preserve">) by the PBAC in November 2025 for 2L only MM. </w:t>
      </w:r>
      <w:r w:rsidRPr="00F01A8A">
        <w:rPr>
          <w:rFonts w:asciiTheme="minorHAnsi" w:hAnsiTheme="minorHAnsi" w:cstheme="minorHAnsi"/>
          <w:sz w:val="24"/>
          <w:szCs w:val="24"/>
        </w:rPr>
        <w:t xml:space="preserve">The PBAC noted that </w:t>
      </w:r>
      <w:r>
        <w:rPr>
          <w:rFonts w:asciiTheme="minorHAnsi" w:hAnsiTheme="minorHAnsi" w:cstheme="minorHAnsi"/>
          <w:sz w:val="24"/>
          <w:szCs w:val="24"/>
        </w:rPr>
        <w:t>the requested positioning</w:t>
      </w:r>
      <w:r w:rsidRPr="00F01A8A">
        <w:rPr>
          <w:rFonts w:asciiTheme="minorHAnsi" w:hAnsiTheme="minorHAnsi" w:cstheme="minorHAnsi"/>
          <w:sz w:val="24"/>
          <w:szCs w:val="24"/>
        </w:rPr>
        <w:t xml:space="preserve"> did not align with the clinical trial </w:t>
      </w:r>
      <w:r>
        <w:rPr>
          <w:rFonts w:asciiTheme="minorHAnsi" w:hAnsiTheme="minorHAnsi" w:cstheme="minorHAnsi"/>
          <w:sz w:val="24"/>
          <w:szCs w:val="24"/>
        </w:rPr>
        <w:t>(</w:t>
      </w:r>
      <w:r w:rsidRPr="00ED649F">
        <w:rPr>
          <w:rFonts w:asciiTheme="minorHAnsi" w:hAnsiTheme="minorHAnsi" w:cstheme="minorHAnsi"/>
          <w:i/>
          <w:iCs/>
          <w:sz w:val="24"/>
          <w:szCs w:val="24"/>
        </w:rPr>
        <w:t>i.e.,</w:t>
      </w:r>
      <w:r>
        <w:rPr>
          <w:rFonts w:asciiTheme="minorHAnsi" w:hAnsiTheme="minorHAnsi" w:cstheme="minorHAnsi"/>
          <w:sz w:val="24"/>
          <w:szCs w:val="24"/>
        </w:rPr>
        <w:t xml:space="preserve"> a large proportion had received more than one prior line of therapy), </w:t>
      </w:r>
      <w:r w:rsidRPr="00F01A8A">
        <w:rPr>
          <w:rFonts w:asciiTheme="minorHAnsi" w:hAnsiTheme="minorHAnsi" w:cstheme="minorHAnsi"/>
          <w:sz w:val="24"/>
          <w:szCs w:val="24"/>
        </w:rPr>
        <w:t xml:space="preserve">or with how clinicians would like to use </w:t>
      </w:r>
      <w:r>
        <w:rPr>
          <w:rFonts w:asciiTheme="minorHAnsi" w:hAnsiTheme="minorHAnsi" w:cstheme="minorHAnsi"/>
          <w:sz w:val="24"/>
          <w:szCs w:val="24"/>
        </w:rPr>
        <w:t>MM</w:t>
      </w:r>
      <w:r w:rsidRPr="00F01A8A">
        <w:rPr>
          <w:rFonts w:asciiTheme="minorHAnsi" w:hAnsiTheme="minorHAnsi" w:cstheme="minorHAnsi"/>
          <w:sz w:val="24"/>
          <w:szCs w:val="24"/>
        </w:rPr>
        <w:t xml:space="preserve"> therapies</w:t>
      </w:r>
      <w:r>
        <w:rPr>
          <w:rFonts w:asciiTheme="minorHAnsi" w:hAnsiTheme="minorHAnsi" w:cstheme="minorHAnsi"/>
          <w:sz w:val="24"/>
          <w:szCs w:val="24"/>
        </w:rPr>
        <w:t xml:space="preserve"> as described at the July 2025 stakeholder meeting (described above)</w:t>
      </w:r>
      <w:r w:rsidRPr="00F01A8A">
        <w:rPr>
          <w:rFonts w:asciiTheme="minorHAnsi" w:hAnsiTheme="minorHAnsi" w:cstheme="minorHAnsi"/>
          <w:sz w:val="24"/>
          <w:szCs w:val="24"/>
        </w:rPr>
        <w:t xml:space="preserve">. </w:t>
      </w:r>
      <w:r w:rsidRPr="00BF5772">
        <w:rPr>
          <w:rFonts w:asciiTheme="minorHAnsi" w:hAnsiTheme="minorHAnsi" w:cstheme="minorHAnsi"/>
          <w:sz w:val="24"/>
          <w:szCs w:val="24"/>
        </w:rPr>
        <w:t xml:space="preserve">The PBAC considered </w:t>
      </w:r>
      <w:r>
        <w:rPr>
          <w:rFonts w:asciiTheme="minorHAnsi" w:hAnsiTheme="minorHAnsi" w:cstheme="minorHAnsi"/>
          <w:sz w:val="24"/>
          <w:szCs w:val="24"/>
        </w:rPr>
        <w:t xml:space="preserve">a broad </w:t>
      </w:r>
      <w:r w:rsidRPr="00BF5772">
        <w:rPr>
          <w:rFonts w:asciiTheme="minorHAnsi" w:hAnsiTheme="minorHAnsi" w:cstheme="minorHAnsi"/>
          <w:sz w:val="24"/>
          <w:szCs w:val="24"/>
        </w:rPr>
        <w:t xml:space="preserve">RRMM </w:t>
      </w:r>
      <w:r>
        <w:rPr>
          <w:rFonts w:asciiTheme="minorHAnsi" w:hAnsiTheme="minorHAnsi" w:cstheme="minorHAnsi"/>
          <w:sz w:val="24"/>
          <w:szCs w:val="24"/>
        </w:rPr>
        <w:t xml:space="preserve">listing would be more appropriate </w:t>
      </w:r>
      <w:r w:rsidRPr="00BF5772">
        <w:rPr>
          <w:rFonts w:asciiTheme="minorHAnsi" w:hAnsiTheme="minorHAnsi" w:cstheme="minorHAnsi"/>
          <w:sz w:val="24"/>
          <w:szCs w:val="24"/>
        </w:rPr>
        <w:t xml:space="preserve">to allow clinician and patient discretion about when and how it can be used. </w:t>
      </w:r>
      <w:proofErr w:type="spellStart"/>
      <w:r>
        <w:rPr>
          <w:rFonts w:asciiTheme="minorHAnsi" w:hAnsiTheme="minorHAnsi" w:cstheme="minorHAnsi"/>
          <w:sz w:val="24"/>
          <w:szCs w:val="24"/>
        </w:rPr>
        <w:t>BmBd</w:t>
      </w:r>
      <w:proofErr w:type="spellEnd"/>
      <w:r>
        <w:rPr>
          <w:rFonts w:asciiTheme="minorHAnsi" w:hAnsiTheme="minorHAnsi" w:cstheme="minorHAnsi"/>
          <w:sz w:val="24"/>
          <w:szCs w:val="24"/>
        </w:rPr>
        <w:t xml:space="preserve"> is now being reconsidered by the PBAC in July 2026 for a broad RRMM </w:t>
      </w:r>
      <w:proofErr w:type="gramStart"/>
      <w:r>
        <w:rPr>
          <w:rFonts w:asciiTheme="minorHAnsi" w:hAnsiTheme="minorHAnsi" w:cstheme="minorHAnsi"/>
          <w:sz w:val="24"/>
          <w:szCs w:val="24"/>
        </w:rPr>
        <w:t>listing</w:t>
      </w:r>
      <w:r w:rsidR="00AF61A9">
        <w:rPr>
          <w:rFonts w:asciiTheme="minorHAnsi" w:hAnsiTheme="minorHAnsi" w:cstheme="minorHAnsi"/>
          <w:sz w:val="24"/>
          <w:szCs w:val="24"/>
        </w:rPr>
        <w:t>, but</w:t>
      </w:r>
      <w:proofErr w:type="gramEnd"/>
      <w:r w:rsidR="00AF61A9">
        <w:rPr>
          <w:rFonts w:asciiTheme="minorHAnsi" w:hAnsiTheme="minorHAnsi" w:cstheme="minorHAnsi"/>
          <w:sz w:val="24"/>
          <w:szCs w:val="24"/>
        </w:rPr>
        <w:t xml:space="preserve"> is not currently available on the PBS</w:t>
      </w:r>
      <w:r>
        <w:rPr>
          <w:rFonts w:asciiTheme="minorHAnsi" w:hAnsiTheme="minorHAnsi" w:cstheme="minorHAnsi"/>
          <w:sz w:val="24"/>
          <w:szCs w:val="24"/>
        </w:rPr>
        <w:t>.</w:t>
      </w:r>
    </w:p>
    <w:p w14:paraId="3AB9A75D" w14:textId="3F9AA6E9" w:rsidR="00394CAD" w:rsidRDefault="00061569" w:rsidP="007520A6">
      <w:pPr>
        <w:jc w:val="both"/>
        <w:rPr>
          <w:rFonts w:asciiTheme="minorHAnsi" w:hAnsiTheme="minorHAnsi" w:cstheme="minorHAnsi"/>
          <w:sz w:val="24"/>
          <w:szCs w:val="24"/>
        </w:rPr>
      </w:pPr>
      <w:r w:rsidRPr="00061569">
        <w:rPr>
          <w:rFonts w:asciiTheme="minorHAnsi" w:hAnsiTheme="minorHAnsi" w:cstheme="minorHAnsi"/>
          <w:sz w:val="24"/>
          <w:szCs w:val="24"/>
        </w:rPr>
        <w:lastRenderedPageBreak/>
        <w:t xml:space="preserve">There is no single best treatment sequence defined for RRMM. </w:t>
      </w:r>
      <w:proofErr w:type="gramStart"/>
      <w:r w:rsidR="002B7555">
        <w:rPr>
          <w:rFonts w:asciiTheme="minorHAnsi" w:hAnsiTheme="minorHAnsi" w:cstheme="minorHAnsi"/>
          <w:sz w:val="24"/>
          <w:szCs w:val="24"/>
        </w:rPr>
        <w:t>G</w:t>
      </w:r>
      <w:r w:rsidR="002B7555" w:rsidRPr="00061569">
        <w:rPr>
          <w:rFonts w:asciiTheme="minorHAnsi" w:hAnsiTheme="minorHAnsi" w:cstheme="minorHAnsi"/>
          <w:sz w:val="24"/>
          <w:szCs w:val="24"/>
        </w:rPr>
        <w:t>enerally</w:t>
      </w:r>
      <w:proofErr w:type="gramEnd"/>
      <w:r w:rsidR="002B7555" w:rsidRPr="00061569">
        <w:rPr>
          <w:rFonts w:asciiTheme="minorHAnsi" w:hAnsiTheme="minorHAnsi" w:cstheme="minorHAnsi"/>
          <w:sz w:val="24"/>
          <w:szCs w:val="24"/>
        </w:rPr>
        <w:t xml:space="preserve"> it is recommended to switch drug class at each relapse, especially if remission to prior medicines was short or a patient had concerning associated toxicity. </w:t>
      </w:r>
      <w:r w:rsidR="00394CAD">
        <w:rPr>
          <w:rFonts w:asciiTheme="minorHAnsi" w:hAnsiTheme="minorHAnsi" w:cstheme="minorHAnsi"/>
          <w:sz w:val="24"/>
          <w:szCs w:val="24"/>
        </w:rPr>
        <w:t xml:space="preserve">Furthermore, </w:t>
      </w:r>
      <w:r w:rsidR="00D77CE0" w:rsidRPr="00061569">
        <w:rPr>
          <w:rFonts w:asciiTheme="minorHAnsi" w:hAnsiTheme="minorHAnsi" w:cstheme="minorHAnsi"/>
          <w:sz w:val="24"/>
          <w:szCs w:val="24"/>
        </w:rPr>
        <w:t>response</w:t>
      </w:r>
      <w:r w:rsidR="00D77CE0">
        <w:rPr>
          <w:rFonts w:asciiTheme="minorHAnsi" w:hAnsiTheme="minorHAnsi" w:cstheme="minorHAnsi"/>
          <w:sz w:val="24"/>
          <w:szCs w:val="24"/>
        </w:rPr>
        <w:t xml:space="preserve"> </w:t>
      </w:r>
      <w:r w:rsidR="00D77CE0" w:rsidRPr="00061569">
        <w:rPr>
          <w:rFonts w:asciiTheme="minorHAnsi" w:hAnsiTheme="minorHAnsi" w:cstheme="minorHAnsi"/>
          <w:sz w:val="24"/>
          <w:szCs w:val="24"/>
        </w:rPr>
        <w:t xml:space="preserve">to previous therapies </w:t>
      </w:r>
      <w:r w:rsidR="00D77CE0">
        <w:rPr>
          <w:rFonts w:asciiTheme="minorHAnsi" w:hAnsiTheme="minorHAnsi" w:cstheme="minorHAnsi"/>
          <w:sz w:val="24"/>
          <w:szCs w:val="24"/>
        </w:rPr>
        <w:t>and prior treatment history</w:t>
      </w:r>
      <w:r w:rsidR="00D77CE0" w:rsidRPr="00061569">
        <w:rPr>
          <w:rFonts w:asciiTheme="minorHAnsi" w:hAnsiTheme="minorHAnsi" w:cstheme="minorHAnsi"/>
          <w:sz w:val="24"/>
          <w:szCs w:val="24"/>
        </w:rPr>
        <w:t xml:space="preserve"> received plays a major role in treatment selection and this has historically led to heterogeneity in treatment sequences in clinical practice.</w:t>
      </w:r>
      <w:r w:rsidR="00D77CE0">
        <w:rPr>
          <w:rFonts w:asciiTheme="minorHAnsi" w:hAnsiTheme="minorHAnsi" w:cstheme="minorHAnsi"/>
          <w:sz w:val="24"/>
          <w:szCs w:val="24"/>
        </w:rPr>
        <w:t xml:space="preserve"> </w:t>
      </w:r>
      <w:r w:rsidR="00B42FE2">
        <w:rPr>
          <w:rFonts w:asciiTheme="minorHAnsi" w:hAnsiTheme="minorHAnsi" w:cstheme="minorHAnsi"/>
          <w:sz w:val="24"/>
          <w:szCs w:val="24"/>
        </w:rPr>
        <w:t>As the presente</w:t>
      </w:r>
      <w:r w:rsidR="00B42FE2" w:rsidRPr="00541BDB">
        <w:rPr>
          <w:rFonts w:asciiTheme="minorHAnsi" w:hAnsiTheme="minorHAnsi" w:cstheme="minorHAnsi"/>
          <w:sz w:val="24"/>
          <w:szCs w:val="24"/>
        </w:rPr>
        <w:t>d in</w:t>
      </w:r>
      <w:r w:rsidR="00394CAD" w:rsidRPr="00541BDB">
        <w:rPr>
          <w:rFonts w:asciiTheme="minorHAnsi" w:hAnsiTheme="minorHAnsi" w:cstheme="minorHAnsi"/>
          <w:sz w:val="24"/>
          <w:szCs w:val="24"/>
        </w:rPr>
        <w:t xml:space="preserve"> </w:t>
      </w:r>
      <w:r w:rsidR="00394CAD" w:rsidRPr="00591DBB">
        <w:rPr>
          <w:rFonts w:asciiTheme="minorHAnsi" w:hAnsiTheme="minorHAnsi" w:cstheme="minorHAnsi"/>
          <w:sz w:val="24"/>
          <w:szCs w:val="24"/>
        </w:rPr>
        <w:t xml:space="preserve">Figure </w:t>
      </w:r>
      <w:r w:rsidR="002B1FFE" w:rsidRPr="00541BDB">
        <w:rPr>
          <w:rFonts w:asciiTheme="minorHAnsi" w:hAnsiTheme="minorHAnsi" w:cstheme="minorHAnsi"/>
          <w:sz w:val="24"/>
          <w:szCs w:val="24"/>
        </w:rPr>
        <w:t>3</w:t>
      </w:r>
      <w:r w:rsidR="00394CAD" w:rsidRPr="00541BDB">
        <w:rPr>
          <w:rFonts w:asciiTheme="minorHAnsi" w:hAnsiTheme="minorHAnsi" w:cstheme="minorHAnsi"/>
          <w:sz w:val="24"/>
          <w:szCs w:val="24"/>
        </w:rPr>
        <w:t xml:space="preserve"> </w:t>
      </w:r>
      <w:r w:rsidR="00B42FE2" w:rsidRPr="00541BDB">
        <w:rPr>
          <w:rFonts w:asciiTheme="minorHAnsi" w:hAnsiTheme="minorHAnsi" w:cstheme="minorHAnsi"/>
          <w:sz w:val="24"/>
          <w:szCs w:val="24"/>
        </w:rPr>
        <w:t>the</w:t>
      </w:r>
      <w:r w:rsidR="00B42FE2">
        <w:rPr>
          <w:rFonts w:asciiTheme="minorHAnsi" w:hAnsiTheme="minorHAnsi" w:cstheme="minorHAnsi"/>
          <w:sz w:val="24"/>
          <w:szCs w:val="24"/>
        </w:rPr>
        <w:t xml:space="preserve"> </w:t>
      </w:r>
      <w:r w:rsidR="00394CAD">
        <w:rPr>
          <w:rFonts w:asciiTheme="minorHAnsi" w:hAnsiTheme="minorHAnsi" w:cstheme="minorHAnsi"/>
          <w:sz w:val="24"/>
          <w:szCs w:val="24"/>
        </w:rPr>
        <w:t xml:space="preserve">use of lenalidomide in the RRMM setting (i.e., 2 to 4L MM) has substantially reduced </w:t>
      </w:r>
      <w:r w:rsidR="00B42FE2">
        <w:rPr>
          <w:rFonts w:asciiTheme="minorHAnsi" w:hAnsiTheme="minorHAnsi" w:cstheme="minorHAnsi"/>
          <w:sz w:val="24"/>
          <w:szCs w:val="24"/>
        </w:rPr>
        <w:t>from 2021</w:t>
      </w:r>
      <w:r w:rsidR="00394CAD">
        <w:rPr>
          <w:rFonts w:asciiTheme="minorHAnsi" w:hAnsiTheme="minorHAnsi" w:cstheme="minorHAnsi"/>
          <w:sz w:val="24"/>
          <w:szCs w:val="24"/>
        </w:rPr>
        <w:t xml:space="preserve"> </w:t>
      </w:r>
      <w:r w:rsidR="00B42FE2">
        <w:rPr>
          <w:rFonts w:asciiTheme="minorHAnsi" w:hAnsiTheme="minorHAnsi" w:cstheme="minorHAnsi"/>
          <w:sz w:val="24"/>
          <w:szCs w:val="24"/>
        </w:rPr>
        <w:t>as</w:t>
      </w:r>
      <w:r w:rsidR="00394CAD">
        <w:rPr>
          <w:rFonts w:asciiTheme="minorHAnsi" w:hAnsiTheme="minorHAnsi" w:cstheme="minorHAnsi"/>
          <w:sz w:val="24"/>
          <w:szCs w:val="24"/>
        </w:rPr>
        <w:t xml:space="preserve"> it became available across multiple PBS listings, and across broad NDMM settings</w:t>
      </w:r>
      <w:r w:rsidR="00B42FE2">
        <w:rPr>
          <w:rFonts w:asciiTheme="minorHAnsi" w:hAnsiTheme="minorHAnsi" w:cstheme="minorHAnsi"/>
          <w:sz w:val="24"/>
          <w:szCs w:val="24"/>
        </w:rPr>
        <w:t xml:space="preserve">, and thus most patients have previously received this </w:t>
      </w:r>
      <w:r w:rsidR="00746862">
        <w:rPr>
          <w:rFonts w:asciiTheme="minorHAnsi" w:hAnsiTheme="minorHAnsi" w:cstheme="minorHAnsi"/>
          <w:sz w:val="24"/>
          <w:szCs w:val="24"/>
        </w:rPr>
        <w:t xml:space="preserve">medicine once they </w:t>
      </w:r>
      <w:proofErr w:type="gramStart"/>
      <w:r w:rsidR="00746862">
        <w:rPr>
          <w:rFonts w:asciiTheme="minorHAnsi" w:hAnsiTheme="minorHAnsi" w:cstheme="minorHAnsi"/>
          <w:sz w:val="24"/>
          <w:szCs w:val="24"/>
        </w:rPr>
        <w:t>relapse, and</w:t>
      </w:r>
      <w:proofErr w:type="gramEnd"/>
      <w:r w:rsidR="00746862">
        <w:rPr>
          <w:rFonts w:asciiTheme="minorHAnsi" w:hAnsiTheme="minorHAnsi" w:cstheme="minorHAnsi"/>
          <w:sz w:val="24"/>
          <w:szCs w:val="24"/>
        </w:rPr>
        <w:t xml:space="preserve"> have typically become refractory to it</w:t>
      </w:r>
      <w:r w:rsidR="00394CAD">
        <w:rPr>
          <w:rFonts w:asciiTheme="minorHAnsi" w:hAnsiTheme="minorHAnsi" w:cstheme="minorHAnsi"/>
          <w:sz w:val="24"/>
          <w:szCs w:val="24"/>
        </w:rPr>
        <w:t>.</w:t>
      </w:r>
      <w:r w:rsidR="00E81F2A">
        <w:rPr>
          <w:rFonts w:asciiTheme="minorHAnsi" w:hAnsiTheme="minorHAnsi" w:cstheme="minorHAnsi"/>
          <w:sz w:val="24"/>
          <w:szCs w:val="24"/>
        </w:rPr>
        <w:t xml:space="preserve"> P</w:t>
      </w:r>
      <w:r w:rsidR="00E81F2A" w:rsidRPr="00E81F2A">
        <w:rPr>
          <w:rFonts w:asciiTheme="minorHAnsi" w:hAnsiTheme="minorHAnsi" w:cstheme="minorHAnsi"/>
          <w:sz w:val="24"/>
          <w:szCs w:val="24"/>
        </w:rPr>
        <w:t>ublications have consistently noted that survival outcomes in lenalidomide-refractory patients have also shown little improvement even with recent advances</w:t>
      </w:r>
      <w:r w:rsidR="00E81F2A">
        <w:rPr>
          <w:rFonts w:asciiTheme="minorHAnsi" w:hAnsiTheme="minorHAnsi" w:cstheme="minorHAnsi"/>
          <w:sz w:val="24"/>
          <w:szCs w:val="24"/>
        </w:rPr>
        <w:t xml:space="preserve"> (Dhakal B et al 2024; Dhakal B et al 2025; Hartley-Brown M et al 2024; Yong K et al 2025)</w:t>
      </w:r>
      <w:r w:rsidR="00E81F2A" w:rsidRPr="00E81F2A">
        <w:rPr>
          <w:rFonts w:asciiTheme="minorHAnsi" w:hAnsiTheme="minorHAnsi" w:cstheme="minorHAnsi"/>
          <w:sz w:val="24"/>
          <w:szCs w:val="24"/>
        </w:rPr>
        <w:t>. This highlights a significant clinical unmet need for new and effective innovative therapies, such as cilta-cel, for the relevant population considered within this application.</w:t>
      </w:r>
    </w:p>
    <w:p w14:paraId="22FB692F" w14:textId="6ED93C2F" w:rsidR="002B7555" w:rsidRDefault="00746862" w:rsidP="007520A6">
      <w:pPr>
        <w:jc w:val="both"/>
        <w:rPr>
          <w:rFonts w:asciiTheme="minorHAnsi" w:hAnsiTheme="minorHAnsi" w:cstheme="minorHAnsi"/>
          <w:sz w:val="24"/>
          <w:szCs w:val="24"/>
        </w:rPr>
      </w:pPr>
      <w:r>
        <w:rPr>
          <w:rFonts w:asciiTheme="minorHAnsi" w:hAnsiTheme="minorHAnsi" w:cstheme="minorHAnsi"/>
          <w:sz w:val="24"/>
          <w:szCs w:val="24"/>
        </w:rPr>
        <w:t>A</w:t>
      </w:r>
      <w:r w:rsidR="002B7555" w:rsidRPr="00061569">
        <w:rPr>
          <w:rFonts w:asciiTheme="minorHAnsi" w:hAnsiTheme="minorHAnsi" w:cstheme="minorHAnsi"/>
          <w:sz w:val="24"/>
          <w:szCs w:val="24"/>
        </w:rPr>
        <w:t>ccess and choice in the RRMM setting may also be determined by the PBS restrictions</w:t>
      </w:r>
      <w:r>
        <w:rPr>
          <w:rFonts w:asciiTheme="minorHAnsi" w:hAnsiTheme="minorHAnsi" w:cstheme="minorHAnsi"/>
          <w:sz w:val="24"/>
          <w:szCs w:val="24"/>
        </w:rPr>
        <w:t>.</w:t>
      </w:r>
      <w:r w:rsidR="002B7555" w:rsidRPr="00061569">
        <w:rPr>
          <w:rFonts w:asciiTheme="minorHAnsi" w:hAnsiTheme="minorHAnsi" w:cstheme="minorHAnsi"/>
          <w:sz w:val="24"/>
          <w:szCs w:val="24"/>
        </w:rPr>
        <w:t xml:space="preserve"> </w:t>
      </w:r>
      <w:r>
        <w:rPr>
          <w:rFonts w:asciiTheme="minorHAnsi" w:hAnsiTheme="minorHAnsi" w:cstheme="minorHAnsi"/>
          <w:sz w:val="24"/>
          <w:szCs w:val="24"/>
        </w:rPr>
        <w:t>For example,</w:t>
      </w:r>
      <w:r w:rsidR="002B7555" w:rsidRPr="00061569">
        <w:rPr>
          <w:rFonts w:asciiTheme="minorHAnsi" w:hAnsiTheme="minorHAnsi" w:cstheme="minorHAnsi"/>
          <w:sz w:val="24"/>
          <w:szCs w:val="24"/>
        </w:rPr>
        <w:t xml:space="preserve"> access to daratumumab (i.e., anti-CD38 monoclonal antibody) is restricted to once per lifetime </w:t>
      </w:r>
      <w:proofErr w:type="gramStart"/>
      <w:r w:rsidR="002B7555" w:rsidRPr="00061569">
        <w:rPr>
          <w:rFonts w:asciiTheme="minorHAnsi" w:hAnsiTheme="minorHAnsi" w:cstheme="minorHAnsi"/>
          <w:sz w:val="24"/>
          <w:szCs w:val="24"/>
        </w:rPr>
        <w:t>use, and</w:t>
      </w:r>
      <w:proofErr w:type="gramEnd"/>
      <w:r w:rsidR="002B7555" w:rsidRPr="00061569">
        <w:rPr>
          <w:rFonts w:asciiTheme="minorHAnsi" w:hAnsiTheme="minorHAnsi" w:cstheme="minorHAnsi"/>
          <w:sz w:val="24"/>
          <w:szCs w:val="24"/>
        </w:rPr>
        <w:t xml:space="preserve"> can either be used as </w:t>
      </w:r>
      <w:proofErr w:type="spellStart"/>
      <w:r w:rsidR="002B7555" w:rsidRPr="00061569">
        <w:rPr>
          <w:rFonts w:asciiTheme="minorHAnsi" w:hAnsiTheme="minorHAnsi" w:cstheme="minorHAnsi"/>
          <w:sz w:val="24"/>
          <w:szCs w:val="24"/>
        </w:rPr>
        <w:t>DLd</w:t>
      </w:r>
      <w:proofErr w:type="spellEnd"/>
      <w:r w:rsidR="002B7555" w:rsidRPr="00061569">
        <w:rPr>
          <w:rFonts w:asciiTheme="minorHAnsi" w:hAnsiTheme="minorHAnsi" w:cstheme="minorHAnsi"/>
          <w:sz w:val="24"/>
          <w:szCs w:val="24"/>
        </w:rPr>
        <w:t xml:space="preserve"> in the TI NDMM setting, or as </w:t>
      </w:r>
      <w:proofErr w:type="spellStart"/>
      <w:r w:rsidR="002B7555" w:rsidRPr="00061569">
        <w:rPr>
          <w:rFonts w:asciiTheme="minorHAnsi" w:hAnsiTheme="minorHAnsi" w:cstheme="minorHAnsi"/>
          <w:sz w:val="24"/>
          <w:szCs w:val="24"/>
        </w:rPr>
        <w:t>DBd</w:t>
      </w:r>
      <w:proofErr w:type="spellEnd"/>
      <w:r w:rsidR="002B7555" w:rsidRPr="00061569">
        <w:rPr>
          <w:rFonts w:asciiTheme="minorHAnsi" w:hAnsiTheme="minorHAnsi" w:cstheme="minorHAnsi"/>
          <w:sz w:val="24"/>
          <w:szCs w:val="24"/>
        </w:rPr>
        <w:t xml:space="preserve"> in the second line MM setting. </w:t>
      </w:r>
      <w:r>
        <w:rPr>
          <w:rFonts w:asciiTheme="minorHAnsi" w:hAnsiTheme="minorHAnsi" w:cstheme="minorHAnsi"/>
          <w:sz w:val="24"/>
          <w:szCs w:val="24"/>
        </w:rPr>
        <w:t>This means that</w:t>
      </w:r>
      <w:r w:rsidR="002B7555" w:rsidRPr="00061569">
        <w:rPr>
          <w:rFonts w:asciiTheme="minorHAnsi" w:hAnsiTheme="minorHAnsi" w:cstheme="minorHAnsi"/>
          <w:sz w:val="24"/>
          <w:szCs w:val="24"/>
        </w:rPr>
        <w:t xml:space="preserve"> if a person with MM received </w:t>
      </w:r>
      <w:proofErr w:type="spellStart"/>
      <w:r w:rsidR="002B7555" w:rsidRPr="00061569">
        <w:rPr>
          <w:rFonts w:asciiTheme="minorHAnsi" w:hAnsiTheme="minorHAnsi" w:cstheme="minorHAnsi"/>
          <w:sz w:val="24"/>
          <w:szCs w:val="24"/>
        </w:rPr>
        <w:t>DLd</w:t>
      </w:r>
      <w:proofErr w:type="spellEnd"/>
      <w:r w:rsidR="002B7555" w:rsidRPr="00061569">
        <w:rPr>
          <w:rFonts w:asciiTheme="minorHAnsi" w:hAnsiTheme="minorHAnsi" w:cstheme="minorHAnsi"/>
          <w:sz w:val="24"/>
          <w:szCs w:val="24"/>
        </w:rPr>
        <w:t xml:space="preserve"> in the first-line setting, they cannot receive daratumumab again, so the patient would receive either </w:t>
      </w:r>
      <w:r w:rsidR="00BD59BF">
        <w:rPr>
          <w:rFonts w:asciiTheme="minorHAnsi" w:hAnsiTheme="minorHAnsi" w:cstheme="minorHAnsi"/>
          <w:sz w:val="24"/>
          <w:szCs w:val="24"/>
        </w:rPr>
        <w:t xml:space="preserve">carfilzomib in combination with dexamethasone </w:t>
      </w:r>
      <w:r w:rsidR="002B7555" w:rsidRPr="00061569">
        <w:rPr>
          <w:rFonts w:asciiTheme="minorHAnsi" w:hAnsiTheme="minorHAnsi" w:cstheme="minorHAnsi"/>
          <w:sz w:val="24"/>
          <w:szCs w:val="24"/>
        </w:rPr>
        <w:t>(Cd), or pomalidomide in combination with bortezomib and dexamethasone (</w:t>
      </w:r>
      <w:proofErr w:type="spellStart"/>
      <w:r w:rsidR="002B7555" w:rsidRPr="00061569">
        <w:rPr>
          <w:rFonts w:asciiTheme="minorHAnsi" w:hAnsiTheme="minorHAnsi" w:cstheme="minorHAnsi"/>
          <w:sz w:val="24"/>
          <w:szCs w:val="24"/>
        </w:rPr>
        <w:t>PBd</w:t>
      </w:r>
      <w:proofErr w:type="spellEnd"/>
      <w:r w:rsidR="002B7555" w:rsidRPr="00061569">
        <w:rPr>
          <w:rFonts w:asciiTheme="minorHAnsi" w:hAnsiTheme="minorHAnsi" w:cstheme="minorHAnsi"/>
          <w:sz w:val="24"/>
          <w:szCs w:val="24"/>
        </w:rPr>
        <w:t xml:space="preserve">) in the RRMM setting. If a person with MM did not receive daratumumab in the first-line setting, especially those with TE NDMM in which daratumumab is not currently available, the person with MM would likely receive </w:t>
      </w:r>
      <w:proofErr w:type="spellStart"/>
      <w:r w:rsidR="002B7555" w:rsidRPr="00061569">
        <w:rPr>
          <w:rFonts w:asciiTheme="minorHAnsi" w:hAnsiTheme="minorHAnsi" w:cstheme="minorHAnsi"/>
          <w:sz w:val="24"/>
          <w:szCs w:val="24"/>
        </w:rPr>
        <w:t>BLd</w:t>
      </w:r>
      <w:proofErr w:type="spellEnd"/>
      <w:r w:rsidR="002B7555" w:rsidRPr="00061569">
        <w:rPr>
          <w:rFonts w:asciiTheme="minorHAnsi" w:hAnsiTheme="minorHAnsi" w:cstheme="minorHAnsi"/>
          <w:sz w:val="24"/>
          <w:szCs w:val="24"/>
        </w:rPr>
        <w:t xml:space="preserve"> and then most likely receive </w:t>
      </w:r>
      <w:proofErr w:type="spellStart"/>
      <w:r w:rsidR="002B7555" w:rsidRPr="00061569">
        <w:rPr>
          <w:rFonts w:asciiTheme="minorHAnsi" w:hAnsiTheme="minorHAnsi" w:cstheme="minorHAnsi"/>
          <w:sz w:val="24"/>
          <w:szCs w:val="24"/>
        </w:rPr>
        <w:t>DBd</w:t>
      </w:r>
      <w:proofErr w:type="spellEnd"/>
      <w:r w:rsidR="002B7555" w:rsidRPr="00061569">
        <w:rPr>
          <w:rFonts w:asciiTheme="minorHAnsi" w:hAnsiTheme="minorHAnsi" w:cstheme="minorHAnsi"/>
          <w:sz w:val="24"/>
          <w:szCs w:val="24"/>
        </w:rPr>
        <w:t xml:space="preserve"> for second-line MM. </w:t>
      </w:r>
    </w:p>
    <w:p w14:paraId="4516AACE" w14:textId="2405D5D5" w:rsidR="00EC29CE" w:rsidRDefault="00746862" w:rsidP="00F22F17">
      <w:pPr>
        <w:jc w:val="both"/>
        <w:rPr>
          <w:rFonts w:asciiTheme="minorHAnsi" w:hAnsiTheme="minorHAnsi" w:cstheme="minorHAnsi"/>
          <w:sz w:val="24"/>
          <w:szCs w:val="24"/>
        </w:rPr>
      </w:pPr>
      <w:r>
        <w:rPr>
          <w:rFonts w:asciiTheme="minorHAnsi" w:hAnsiTheme="minorHAnsi" w:cstheme="minorHAnsi"/>
          <w:sz w:val="24"/>
          <w:szCs w:val="24"/>
        </w:rPr>
        <w:t xml:space="preserve">Until </w:t>
      </w:r>
      <w:r w:rsidR="00C51A6A">
        <w:rPr>
          <w:rFonts w:asciiTheme="minorHAnsi" w:hAnsiTheme="minorHAnsi" w:cstheme="minorHAnsi"/>
          <w:sz w:val="24"/>
          <w:szCs w:val="24"/>
        </w:rPr>
        <w:t xml:space="preserve">recently, there were a limited number of </w:t>
      </w:r>
      <w:r w:rsidR="00D82E3D">
        <w:rPr>
          <w:rFonts w:asciiTheme="minorHAnsi" w:hAnsiTheme="minorHAnsi" w:cstheme="minorHAnsi"/>
          <w:sz w:val="24"/>
          <w:szCs w:val="24"/>
        </w:rPr>
        <w:t xml:space="preserve">therapies </w:t>
      </w:r>
      <w:r w:rsidR="00C51A6A">
        <w:rPr>
          <w:rFonts w:asciiTheme="minorHAnsi" w:hAnsiTheme="minorHAnsi" w:cstheme="minorHAnsi"/>
          <w:sz w:val="24"/>
          <w:szCs w:val="24"/>
        </w:rPr>
        <w:t>with different, or new, mechanisms of action on the PBS</w:t>
      </w:r>
      <w:r w:rsidR="00D82E3D">
        <w:rPr>
          <w:rFonts w:asciiTheme="minorHAnsi" w:hAnsiTheme="minorHAnsi" w:cstheme="minorHAnsi"/>
          <w:sz w:val="24"/>
          <w:szCs w:val="24"/>
        </w:rPr>
        <w:t xml:space="preserve"> or NHRA for heavily </w:t>
      </w:r>
      <w:r w:rsidR="00B77875">
        <w:rPr>
          <w:rFonts w:asciiTheme="minorHAnsi" w:hAnsiTheme="minorHAnsi" w:cstheme="minorHAnsi"/>
          <w:sz w:val="24"/>
          <w:szCs w:val="24"/>
        </w:rPr>
        <w:t>pre</w:t>
      </w:r>
      <w:r w:rsidR="00D82E3D">
        <w:rPr>
          <w:rFonts w:asciiTheme="minorHAnsi" w:hAnsiTheme="minorHAnsi" w:cstheme="minorHAnsi"/>
          <w:sz w:val="24"/>
          <w:szCs w:val="24"/>
        </w:rPr>
        <w:t>treated RRMM.</w:t>
      </w:r>
      <w:r w:rsidR="007B72E7">
        <w:rPr>
          <w:rFonts w:asciiTheme="minorHAnsi" w:hAnsiTheme="minorHAnsi" w:cstheme="minorHAnsi"/>
          <w:sz w:val="24"/>
          <w:szCs w:val="24"/>
        </w:rPr>
        <w:t xml:space="preserve"> </w:t>
      </w:r>
      <w:r w:rsidR="00AC6515">
        <w:rPr>
          <w:rFonts w:asciiTheme="minorHAnsi" w:hAnsiTheme="minorHAnsi" w:cstheme="minorHAnsi"/>
          <w:sz w:val="24"/>
          <w:szCs w:val="24"/>
        </w:rPr>
        <w:t>M</w:t>
      </w:r>
      <w:r w:rsidR="00AC6515" w:rsidRPr="00AC6515">
        <w:rPr>
          <w:rFonts w:asciiTheme="minorHAnsi" w:hAnsiTheme="minorHAnsi" w:cstheme="minorHAnsi"/>
          <w:sz w:val="24"/>
          <w:szCs w:val="24"/>
        </w:rPr>
        <w:t xml:space="preserve">ost patients have received the 3 classes of MM drugs by the time they reach the 3L MM setting (i.e., PI, IMiD and anti-CD38 monoclonal antibody). These patients are </w:t>
      </w:r>
      <w:r w:rsidR="00AC6515">
        <w:rPr>
          <w:rFonts w:asciiTheme="minorHAnsi" w:hAnsiTheme="minorHAnsi" w:cstheme="minorHAnsi"/>
          <w:sz w:val="24"/>
          <w:szCs w:val="24"/>
        </w:rPr>
        <w:t xml:space="preserve">referred to as </w:t>
      </w:r>
      <w:r w:rsidR="00AC6515" w:rsidRPr="00AC6515">
        <w:rPr>
          <w:rFonts w:asciiTheme="minorHAnsi" w:hAnsiTheme="minorHAnsi" w:cstheme="minorHAnsi"/>
          <w:sz w:val="24"/>
          <w:szCs w:val="24"/>
        </w:rPr>
        <w:t>triple class exposed (i.e., TCE).</w:t>
      </w:r>
      <w:r w:rsidR="00AC6515">
        <w:rPr>
          <w:rFonts w:asciiTheme="minorHAnsi" w:hAnsiTheme="minorHAnsi" w:cstheme="minorHAnsi"/>
          <w:sz w:val="24"/>
          <w:szCs w:val="24"/>
        </w:rPr>
        <w:t xml:space="preserve"> </w:t>
      </w:r>
      <w:r w:rsidR="007B72E7">
        <w:rPr>
          <w:rFonts w:asciiTheme="minorHAnsi" w:hAnsiTheme="minorHAnsi" w:cstheme="minorHAnsi"/>
          <w:sz w:val="24"/>
          <w:szCs w:val="24"/>
        </w:rPr>
        <w:t>On 1 April 20</w:t>
      </w:r>
      <w:r w:rsidR="0089690D">
        <w:rPr>
          <w:rFonts w:asciiTheme="minorHAnsi" w:hAnsiTheme="minorHAnsi" w:cstheme="minorHAnsi"/>
          <w:sz w:val="24"/>
          <w:szCs w:val="24"/>
        </w:rPr>
        <w:t>2</w:t>
      </w:r>
      <w:r w:rsidR="00D0714E">
        <w:rPr>
          <w:rFonts w:asciiTheme="minorHAnsi" w:hAnsiTheme="minorHAnsi" w:cstheme="minorHAnsi"/>
          <w:sz w:val="24"/>
          <w:szCs w:val="24"/>
        </w:rPr>
        <w:t>6</w:t>
      </w:r>
      <w:r w:rsidR="0089690D">
        <w:rPr>
          <w:rFonts w:asciiTheme="minorHAnsi" w:hAnsiTheme="minorHAnsi" w:cstheme="minorHAnsi"/>
          <w:sz w:val="24"/>
          <w:szCs w:val="24"/>
        </w:rPr>
        <w:t xml:space="preserve">, </w:t>
      </w:r>
      <w:proofErr w:type="spellStart"/>
      <w:r w:rsidR="0089690D">
        <w:rPr>
          <w:rFonts w:asciiTheme="minorHAnsi" w:hAnsiTheme="minorHAnsi" w:cstheme="minorHAnsi"/>
          <w:sz w:val="24"/>
          <w:szCs w:val="24"/>
        </w:rPr>
        <w:t>elranatamab</w:t>
      </w:r>
      <w:proofErr w:type="spellEnd"/>
      <w:r w:rsidR="0089690D">
        <w:rPr>
          <w:rFonts w:asciiTheme="minorHAnsi" w:hAnsiTheme="minorHAnsi" w:cstheme="minorHAnsi"/>
          <w:sz w:val="24"/>
          <w:szCs w:val="24"/>
        </w:rPr>
        <w:t xml:space="preserve">, a BCMA targeted bispecific antibody was listed on the PBS for people with MM after at least three prior lines of therapy (i.e., 4L+) including </w:t>
      </w:r>
      <w:r w:rsidR="004F0176">
        <w:rPr>
          <w:rFonts w:asciiTheme="minorHAnsi" w:hAnsiTheme="minorHAnsi" w:cstheme="minorHAnsi"/>
          <w:sz w:val="24"/>
          <w:szCs w:val="24"/>
        </w:rPr>
        <w:t>a PI, IMiD and an anti-CD38</w:t>
      </w:r>
      <w:r w:rsidR="00AC6515">
        <w:rPr>
          <w:rFonts w:asciiTheme="minorHAnsi" w:hAnsiTheme="minorHAnsi" w:cstheme="minorHAnsi"/>
          <w:sz w:val="24"/>
          <w:szCs w:val="24"/>
        </w:rPr>
        <w:t xml:space="preserve"> (i.e., TCE)</w:t>
      </w:r>
      <w:r w:rsidR="004F0176">
        <w:rPr>
          <w:rFonts w:asciiTheme="minorHAnsi" w:hAnsiTheme="minorHAnsi" w:cstheme="minorHAnsi"/>
          <w:sz w:val="24"/>
          <w:szCs w:val="24"/>
        </w:rPr>
        <w:t>.</w:t>
      </w:r>
      <w:r w:rsidR="00AC6515">
        <w:rPr>
          <w:rFonts w:asciiTheme="minorHAnsi" w:hAnsiTheme="minorHAnsi" w:cstheme="minorHAnsi"/>
          <w:sz w:val="24"/>
          <w:szCs w:val="24"/>
        </w:rPr>
        <w:t xml:space="preserve"> </w:t>
      </w:r>
      <w:proofErr w:type="spellStart"/>
      <w:r w:rsidR="00EF42B8">
        <w:rPr>
          <w:rFonts w:asciiTheme="minorHAnsi" w:hAnsiTheme="minorHAnsi" w:cstheme="minorHAnsi"/>
          <w:sz w:val="24"/>
          <w:szCs w:val="24"/>
        </w:rPr>
        <w:t>Teclistamab</w:t>
      </w:r>
      <w:proofErr w:type="spellEnd"/>
      <w:r w:rsidR="00EF42B8">
        <w:rPr>
          <w:rFonts w:asciiTheme="minorHAnsi" w:hAnsiTheme="minorHAnsi" w:cstheme="minorHAnsi"/>
          <w:sz w:val="24"/>
          <w:szCs w:val="24"/>
        </w:rPr>
        <w:t xml:space="preserve">, </w:t>
      </w:r>
      <w:r w:rsidR="00466AD1">
        <w:rPr>
          <w:rFonts w:asciiTheme="minorHAnsi" w:hAnsiTheme="minorHAnsi" w:cstheme="minorHAnsi"/>
          <w:sz w:val="24"/>
          <w:szCs w:val="24"/>
        </w:rPr>
        <w:t xml:space="preserve">which is also a BCMA targeted bispecific antibody, was recommended by the PBAC in March 2026, for the same population as </w:t>
      </w:r>
      <w:proofErr w:type="spellStart"/>
      <w:r w:rsidR="00466AD1">
        <w:rPr>
          <w:rFonts w:asciiTheme="minorHAnsi" w:hAnsiTheme="minorHAnsi" w:cstheme="minorHAnsi"/>
          <w:sz w:val="24"/>
          <w:szCs w:val="24"/>
        </w:rPr>
        <w:t>elranatamab</w:t>
      </w:r>
      <w:proofErr w:type="spellEnd"/>
      <w:r w:rsidR="00466AD1">
        <w:rPr>
          <w:rFonts w:asciiTheme="minorHAnsi" w:hAnsiTheme="minorHAnsi" w:cstheme="minorHAnsi"/>
          <w:sz w:val="24"/>
          <w:szCs w:val="24"/>
        </w:rPr>
        <w:t xml:space="preserve">. </w:t>
      </w:r>
      <w:r w:rsidR="00706EF3" w:rsidRPr="00706EF3">
        <w:rPr>
          <w:rFonts w:asciiTheme="minorHAnsi" w:hAnsiTheme="minorHAnsi" w:cstheme="minorHAnsi"/>
          <w:sz w:val="24"/>
          <w:szCs w:val="24"/>
        </w:rPr>
        <w:t>Patient</w:t>
      </w:r>
      <w:r w:rsidR="00F22F17">
        <w:rPr>
          <w:rFonts w:asciiTheme="minorHAnsi" w:hAnsiTheme="minorHAnsi" w:cstheme="minorHAnsi"/>
          <w:sz w:val="24"/>
          <w:szCs w:val="24"/>
        </w:rPr>
        <w:t xml:space="preserve">s </w:t>
      </w:r>
      <w:r w:rsidR="00541BDB">
        <w:rPr>
          <w:rFonts w:asciiTheme="minorHAnsi" w:hAnsiTheme="minorHAnsi" w:cstheme="minorHAnsi"/>
          <w:sz w:val="24"/>
          <w:szCs w:val="24"/>
        </w:rPr>
        <w:t>can</w:t>
      </w:r>
      <w:r w:rsidR="00F22F17">
        <w:rPr>
          <w:rFonts w:asciiTheme="minorHAnsi" w:hAnsiTheme="minorHAnsi" w:cstheme="minorHAnsi"/>
          <w:sz w:val="24"/>
          <w:szCs w:val="24"/>
        </w:rPr>
        <w:t xml:space="preserve"> </w:t>
      </w:r>
      <w:r w:rsidR="0050563E">
        <w:rPr>
          <w:rFonts w:asciiTheme="minorHAnsi" w:hAnsiTheme="minorHAnsi" w:cstheme="minorHAnsi"/>
          <w:sz w:val="24"/>
          <w:szCs w:val="24"/>
        </w:rPr>
        <w:t>only</w:t>
      </w:r>
      <w:r w:rsidR="00F22F17">
        <w:rPr>
          <w:rFonts w:asciiTheme="minorHAnsi" w:hAnsiTheme="minorHAnsi" w:cstheme="minorHAnsi"/>
          <w:sz w:val="24"/>
          <w:szCs w:val="24"/>
        </w:rPr>
        <w:t xml:space="preserve"> receive </w:t>
      </w:r>
      <w:r w:rsidR="0050563E">
        <w:rPr>
          <w:rFonts w:asciiTheme="minorHAnsi" w:hAnsiTheme="minorHAnsi" w:cstheme="minorHAnsi"/>
          <w:sz w:val="24"/>
          <w:szCs w:val="24"/>
        </w:rPr>
        <w:t xml:space="preserve">one of </w:t>
      </w:r>
      <w:proofErr w:type="spellStart"/>
      <w:r w:rsidR="0050563E">
        <w:rPr>
          <w:rFonts w:asciiTheme="minorHAnsi" w:hAnsiTheme="minorHAnsi" w:cstheme="minorHAnsi"/>
          <w:sz w:val="24"/>
          <w:szCs w:val="24"/>
        </w:rPr>
        <w:t>belantamab</w:t>
      </w:r>
      <w:proofErr w:type="spellEnd"/>
      <w:r w:rsidR="0050563E">
        <w:rPr>
          <w:rFonts w:asciiTheme="minorHAnsi" w:hAnsiTheme="minorHAnsi" w:cstheme="minorHAnsi"/>
          <w:sz w:val="24"/>
          <w:szCs w:val="24"/>
        </w:rPr>
        <w:t>,</w:t>
      </w:r>
      <w:r w:rsidR="00F22F17">
        <w:rPr>
          <w:rFonts w:asciiTheme="minorHAnsi" w:hAnsiTheme="minorHAnsi" w:cstheme="minorHAnsi"/>
          <w:sz w:val="24"/>
          <w:szCs w:val="24"/>
        </w:rPr>
        <w:t xml:space="preserve"> </w:t>
      </w:r>
      <w:proofErr w:type="spellStart"/>
      <w:r w:rsidR="00F22F17">
        <w:rPr>
          <w:rFonts w:asciiTheme="minorHAnsi" w:hAnsiTheme="minorHAnsi" w:cstheme="minorHAnsi"/>
          <w:sz w:val="24"/>
          <w:szCs w:val="24"/>
        </w:rPr>
        <w:t>elranatamab</w:t>
      </w:r>
      <w:proofErr w:type="spellEnd"/>
      <w:r w:rsidR="00F22F17">
        <w:rPr>
          <w:rFonts w:asciiTheme="minorHAnsi" w:hAnsiTheme="minorHAnsi" w:cstheme="minorHAnsi"/>
          <w:sz w:val="24"/>
          <w:szCs w:val="24"/>
        </w:rPr>
        <w:t xml:space="preserve"> </w:t>
      </w:r>
      <w:r w:rsidR="009B0AAF">
        <w:rPr>
          <w:rFonts w:asciiTheme="minorHAnsi" w:hAnsiTheme="minorHAnsi" w:cstheme="minorHAnsi"/>
          <w:sz w:val="24"/>
          <w:szCs w:val="24"/>
        </w:rPr>
        <w:t>or</w:t>
      </w:r>
      <w:r w:rsidR="00F22F17">
        <w:rPr>
          <w:rFonts w:asciiTheme="minorHAnsi" w:hAnsiTheme="minorHAnsi" w:cstheme="minorHAnsi"/>
          <w:sz w:val="24"/>
          <w:szCs w:val="24"/>
        </w:rPr>
        <w:t xml:space="preserve"> </w:t>
      </w:r>
      <w:proofErr w:type="spellStart"/>
      <w:r w:rsidR="00F22F17">
        <w:rPr>
          <w:rFonts w:asciiTheme="minorHAnsi" w:hAnsiTheme="minorHAnsi" w:cstheme="minorHAnsi"/>
          <w:sz w:val="24"/>
          <w:szCs w:val="24"/>
        </w:rPr>
        <w:t>teclistamab</w:t>
      </w:r>
      <w:proofErr w:type="spellEnd"/>
      <w:r w:rsidR="00F22F17">
        <w:rPr>
          <w:rFonts w:asciiTheme="minorHAnsi" w:hAnsiTheme="minorHAnsi" w:cstheme="minorHAnsi"/>
          <w:sz w:val="24"/>
          <w:szCs w:val="24"/>
        </w:rPr>
        <w:t xml:space="preserve"> on the PBS</w:t>
      </w:r>
      <w:r w:rsidR="00EA7616">
        <w:rPr>
          <w:rFonts w:asciiTheme="minorHAnsi" w:hAnsiTheme="minorHAnsi" w:cstheme="minorHAnsi"/>
          <w:sz w:val="24"/>
          <w:szCs w:val="24"/>
        </w:rPr>
        <w:t xml:space="preserve"> (if listed)</w:t>
      </w:r>
      <w:r w:rsidR="00F22F17">
        <w:rPr>
          <w:rFonts w:asciiTheme="minorHAnsi" w:hAnsiTheme="minorHAnsi" w:cstheme="minorHAnsi"/>
          <w:sz w:val="24"/>
          <w:szCs w:val="24"/>
        </w:rPr>
        <w:t xml:space="preserve"> as the PBAC have recommended that the clinical criteria for BCMA therapies include that “</w:t>
      </w:r>
      <w:r w:rsidR="00F22F17" w:rsidRPr="0004144C">
        <w:rPr>
          <w:rFonts w:asciiTheme="minorHAnsi" w:hAnsiTheme="minorHAnsi" w:cstheme="minorHAnsi"/>
          <w:i/>
          <w:iCs/>
          <w:sz w:val="24"/>
          <w:szCs w:val="24"/>
        </w:rPr>
        <w:t>patients</w:t>
      </w:r>
      <w:r w:rsidR="00706EF3" w:rsidRPr="0004144C">
        <w:rPr>
          <w:rFonts w:asciiTheme="minorHAnsi" w:hAnsiTheme="minorHAnsi" w:cstheme="minorHAnsi"/>
          <w:i/>
          <w:iCs/>
          <w:sz w:val="24"/>
          <w:szCs w:val="24"/>
        </w:rPr>
        <w:t xml:space="preserve"> must not have previously received treatment with another B-cell maturation antigen (BCMA) directed therapy for this condition</w:t>
      </w:r>
      <w:r w:rsidR="00F22F17" w:rsidRPr="0004144C">
        <w:rPr>
          <w:rFonts w:asciiTheme="minorHAnsi" w:hAnsiTheme="minorHAnsi" w:cstheme="minorHAnsi"/>
          <w:i/>
          <w:iCs/>
          <w:sz w:val="24"/>
          <w:szCs w:val="24"/>
        </w:rPr>
        <w:t>”</w:t>
      </w:r>
      <w:r w:rsidR="00585023">
        <w:rPr>
          <w:rFonts w:asciiTheme="minorHAnsi" w:hAnsiTheme="minorHAnsi" w:cstheme="minorHAnsi"/>
          <w:sz w:val="24"/>
          <w:szCs w:val="24"/>
        </w:rPr>
        <w:t>.</w:t>
      </w:r>
      <w:r w:rsidR="00F22F17">
        <w:rPr>
          <w:rFonts w:asciiTheme="minorHAnsi" w:hAnsiTheme="minorHAnsi" w:cstheme="minorHAnsi"/>
          <w:sz w:val="24"/>
          <w:szCs w:val="24"/>
        </w:rPr>
        <w:t xml:space="preserve"> </w:t>
      </w:r>
      <w:r w:rsidR="00BC1223">
        <w:rPr>
          <w:rFonts w:asciiTheme="minorHAnsi" w:hAnsiTheme="minorHAnsi" w:cstheme="minorHAnsi"/>
          <w:sz w:val="24"/>
          <w:szCs w:val="24"/>
        </w:rPr>
        <w:t xml:space="preserve">One-off </w:t>
      </w:r>
      <w:r w:rsidR="00EC29CE">
        <w:rPr>
          <w:rFonts w:asciiTheme="minorHAnsi" w:hAnsiTheme="minorHAnsi" w:cstheme="minorHAnsi"/>
          <w:sz w:val="24"/>
          <w:szCs w:val="24"/>
        </w:rPr>
        <w:t>c</w:t>
      </w:r>
      <w:r w:rsidR="00D0714E">
        <w:rPr>
          <w:rFonts w:asciiTheme="minorHAnsi" w:hAnsiTheme="minorHAnsi" w:cstheme="minorHAnsi"/>
          <w:sz w:val="24"/>
          <w:szCs w:val="24"/>
        </w:rPr>
        <w:t>ilta-cel</w:t>
      </w:r>
      <w:r w:rsidR="00EC29CE">
        <w:rPr>
          <w:rFonts w:asciiTheme="minorHAnsi" w:hAnsiTheme="minorHAnsi" w:cstheme="minorHAnsi"/>
          <w:sz w:val="24"/>
          <w:szCs w:val="24"/>
        </w:rPr>
        <w:t xml:space="preserve"> CAR-T therapy</w:t>
      </w:r>
      <w:r w:rsidR="00F30429">
        <w:rPr>
          <w:rFonts w:asciiTheme="minorHAnsi" w:hAnsiTheme="minorHAnsi" w:cstheme="minorHAnsi"/>
          <w:sz w:val="24"/>
          <w:szCs w:val="24"/>
        </w:rPr>
        <w:t xml:space="preserve"> (i.e., the intervention of interest for this application)</w:t>
      </w:r>
      <w:r w:rsidR="00D0714E">
        <w:rPr>
          <w:rFonts w:asciiTheme="minorHAnsi" w:hAnsiTheme="minorHAnsi" w:cstheme="minorHAnsi"/>
          <w:sz w:val="24"/>
          <w:szCs w:val="24"/>
        </w:rPr>
        <w:t xml:space="preserve"> </w:t>
      </w:r>
      <w:r w:rsidR="00D0714E" w:rsidRPr="00061569">
        <w:rPr>
          <w:rFonts w:asciiTheme="minorHAnsi" w:hAnsiTheme="minorHAnsi" w:cstheme="minorHAnsi"/>
          <w:sz w:val="24"/>
          <w:szCs w:val="24"/>
        </w:rPr>
        <w:t>was</w:t>
      </w:r>
      <w:r w:rsidR="00D0714E">
        <w:rPr>
          <w:rFonts w:asciiTheme="minorHAnsi" w:hAnsiTheme="minorHAnsi" w:cstheme="minorHAnsi"/>
          <w:sz w:val="24"/>
          <w:szCs w:val="24"/>
        </w:rPr>
        <w:t xml:space="preserve"> NHRA funded from </w:t>
      </w:r>
      <w:r w:rsidR="00FF699D" w:rsidRPr="00FF699D">
        <w:rPr>
          <w:rFonts w:asciiTheme="minorHAnsi" w:hAnsiTheme="minorHAnsi" w:cstheme="minorHAnsi"/>
          <w:b/>
          <w:bCs/>
          <w:sz w:val="24"/>
          <w:szCs w:val="24"/>
        </w:rPr>
        <w:t>redacted</w:t>
      </w:r>
      <w:r w:rsidR="00D0714E">
        <w:rPr>
          <w:rFonts w:asciiTheme="minorHAnsi" w:hAnsiTheme="minorHAnsi" w:cstheme="minorHAnsi"/>
          <w:sz w:val="24"/>
          <w:szCs w:val="24"/>
        </w:rPr>
        <w:t xml:space="preserve"> </w:t>
      </w:r>
      <w:r w:rsidR="00D0714E" w:rsidRPr="00061569">
        <w:rPr>
          <w:rFonts w:asciiTheme="minorHAnsi" w:hAnsiTheme="minorHAnsi" w:cstheme="minorHAnsi"/>
          <w:sz w:val="24"/>
          <w:szCs w:val="24"/>
        </w:rPr>
        <w:t>for the treatment of adult patients with RRMM who have received at least 4 prior lines of therapy</w:t>
      </w:r>
      <w:r w:rsidR="00FC47C6">
        <w:rPr>
          <w:rFonts w:asciiTheme="minorHAnsi" w:hAnsiTheme="minorHAnsi" w:cstheme="minorHAnsi"/>
          <w:sz w:val="24"/>
          <w:szCs w:val="24"/>
        </w:rPr>
        <w:t xml:space="preserve"> (i.e., 5L+) including a PI, IMiD and an anti-CD38</w:t>
      </w:r>
      <w:r w:rsidR="00466AD1">
        <w:rPr>
          <w:rFonts w:asciiTheme="minorHAnsi" w:hAnsiTheme="minorHAnsi" w:cstheme="minorHAnsi"/>
          <w:sz w:val="24"/>
          <w:szCs w:val="24"/>
        </w:rPr>
        <w:t>, after MSAC supported its funding in November 2024.</w:t>
      </w:r>
      <w:r w:rsidR="00DF44D1">
        <w:rPr>
          <w:rFonts w:asciiTheme="minorHAnsi" w:hAnsiTheme="minorHAnsi" w:cstheme="minorHAnsi"/>
          <w:sz w:val="24"/>
          <w:szCs w:val="24"/>
        </w:rPr>
        <w:t xml:space="preserve"> </w:t>
      </w:r>
    </w:p>
    <w:p w14:paraId="4131E93D" w14:textId="688640A0" w:rsidR="005E1CFB" w:rsidRPr="00F849F2" w:rsidRDefault="0090168B"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Is there any expectation that the clinical management algorithm before the health technology is used will change due to the introduction of the proposed health technology</w:t>
      </w:r>
      <w:r w:rsidR="005E1CFB" w:rsidRPr="00F849F2">
        <w:rPr>
          <w:rFonts w:asciiTheme="minorHAnsi" w:hAnsiTheme="minorHAnsi" w:cstheme="minorHAnsi"/>
          <w:b/>
          <w:bCs/>
          <w:sz w:val="24"/>
          <w:szCs w:val="24"/>
        </w:rPr>
        <w:t xml:space="preserve">? </w:t>
      </w:r>
    </w:p>
    <w:p w14:paraId="608D8C57" w14:textId="304C6040" w:rsidR="006A17C5" w:rsidRDefault="005E1CFB" w:rsidP="007520A6">
      <w:pPr>
        <w:jc w:val="both"/>
        <w:rPr>
          <w:rFonts w:asciiTheme="minorHAnsi" w:hAnsiTheme="minorHAnsi" w:cstheme="minorHAnsi"/>
          <w:sz w:val="24"/>
          <w:szCs w:val="24"/>
        </w:rPr>
      </w:pPr>
      <w:r w:rsidRPr="005D05D2">
        <w:rPr>
          <w:rFonts w:asciiTheme="minorHAnsi" w:hAnsiTheme="minorHAnsi" w:cstheme="minorHAnsi"/>
          <w:sz w:val="24"/>
          <w:szCs w:val="24"/>
        </w:rPr>
        <w:t>No</w:t>
      </w:r>
    </w:p>
    <w:p w14:paraId="0EA69E70" w14:textId="4C8334CD" w:rsidR="005E1CFB" w:rsidRPr="00F849F2" w:rsidRDefault="0090168B"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Describe and explain any differences in the clinical management algorithm prior to the use of the proposed health technology vs. the comparator health technology</w:t>
      </w:r>
      <w:r w:rsidR="005E1CFB" w:rsidRPr="00F849F2">
        <w:rPr>
          <w:rFonts w:asciiTheme="minorHAnsi" w:hAnsiTheme="minorHAnsi" w:cstheme="minorHAnsi"/>
          <w:b/>
          <w:bCs/>
          <w:sz w:val="24"/>
          <w:szCs w:val="24"/>
        </w:rPr>
        <w:t>:</w:t>
      </w:r>
    </w:p>
    <w:p w14:paraId="64FB8C58" w14:textId="0B890B2D" w:rsidR="00E51D81" w:rsidRDefault="00C53025" w:rsidP="007520A6">
      <w:pPr>
        <w:jc w:val="both"/>
        <w:rPr>
          <w:rFonts w:asciiTheme="minorHAnsi" w:hAnsiTheme="minorHAnsi" w:cstheme="minorHAnsi"/>
          <w:sz w:val="24"/>
          <w:szCs w:val="24"/>
        </w:rPr>
      </w:pPr>
      <w:r>
        <w:rPr>
          <w:rFonts w:asciiTheme="minorHAnsi" w:hAnsiTheme="minorHAnsi" w:cstheme="minorHAnsi"/>
          <w:sz w:val="24"/>
          <w:szCs w:val="24"/>
        </w:rPr>
        <w:t>N/A</w:t>
      </w:r>
      <w:r w:rsidR="00330846">
        <w:rPr>
          <w:rFonts w:asciiTheme="minorHAnsi" w:hAnsiTheme="minorHAnsi" w:cstheme="minorHAnsi"/>
          <w:sz w:val="24"/>
          <w:szCs w:val="24"/>
        </w:rPr>
        <w:t>.</w:t>
      </w:r>
      <w:r w:rsidR="006D5EEC">
        <w:rPr>
          <w:rFonts w:asciiTheme="minorHAnsi" w:hAnsiTheme="minorHAnsi" w:cstheme="minorHAnsi"/>
          <w:sz w:val="24"/>
          <w:szCs w:val="24"/>
        </w:rPr>
        <w:t xml:space="preserve"> People with MM will continue to </w:t>
      </w:r>
      <w:r w:rsidR="00A55798">
        <w:rPr>
          <w:rFonts w:asciiTheme="minorHAnsi" w:hAnsiTheme="minorHAnsi" w:cstheme="minorHAnsi"/>
          <w:sz w:val="24"/>
          <w:szCs w:val="24"/>
        </w:rPr>
        <w:t>be prescribed the same therapies for 1L MM.</w:t>
      </w:r>
      <w:r w:rsidR="009C1579">
        <w:rPr>
          <w:rFonts w:asciiTheme="minorHAnsi" w:hAnsiTheme="minorHAnsi" w:cstheme="minorHAnsi"/>
          <w:sz w:val="24"/>
          <w:szCs w:val="24"/>
        </w:rPr>
        <w:t xml:space="preserve"> Most patients in Australian clinical practice receive a lenalidomide based regimen for their 1L treatment.</w:t>
      </w:r>
    </w:p>
    <w:p w14:paraId="2AEB8C28" w14:textId="314DC6B7" w:rsidR="00F16239" w:rsidRPr="00F849F2" w:rsidRDefault="004F12A9" w:rsidP="00400CD0">
      <w:pPr>
        <w:pStyle w:val="Heading2"/>
        <w:keepNext/>
        <w:keepLines/>
        <w:jc w:val="both"/>
        <w:rPr>
          <w:rFonts w:asciiTheme="minorHAnsi" w:hAnsiTheme="minorHAnsi" w:cstheme="minorHAnsi"/>
          <w:sz w:val="24"/>
          <w:szCs w:val="24"/>
          <w:u w:val="single"/>
        </w:rPr>
      </w:pPr>
      <w:r w:rsidRPr="00F849F2">
        <w:rPr>
          <w:rFonts w:asciiTheme="minorHAnsi" w:hAnsiTheme="minorHAnsi" w:cstheme="minorHAnsi"/>
          <w:sz w:val="24"/>
          <w:szCs w:val="24"/>
          <w:u w:val="single"/>
        </w:rPr>
        <w:lastRenderedPageBreak/>
        <w:t>USE OF THE HEALTH TECHNOLOGY</w:t>
      </w:r>
    </w:p>
    <w:p w14:paraId="7C130FEF" w14:textId="1B294379" w:rsidR="0090168B" w:rsidRPr="00F849F2" w:rsidRDefault="00F16239" w:rsidP="00400CD0">
      <w:pPr>
        <w:keepNext/>
        <w:keepLines/>
        <w:jc w:val="both"/>
        <w:rPr>
          <w:rFonts w:asciiTheme="minorHAnsi" w:hAnsiTheme="minorHAnsi" w:cstheme="minorHAnsi"/>
          <w:b/>
          <w:bCs/>
          <w:sz w:val="24"/>
          <w:szCs w:val="24"/>
        </w:rPr>
      </w:pPr>
      <w:r w:rsidRPr="00F849F2">
        <w:rPr>
          <w:rFonts w:asciiTheme="minorHAnsi" w:hAnsiTheme="minorHAnsi" w:cstheme="minorHAnsi"/>
          <w:b/>
          <w:bCs/>
          <w:sz w:val="24"/>
          <w:szCs w:val="24"/>
        </w:rPr>
        <w:t>Explain what other healthcare resources are used in conjunction with delivering the proposed health technology</w:t>
      </w:r>
      <w:r w:rsidR="0090168B" w:rsidRPr="00F849F2">
        <w:rPr>
          <w:rFonts w:asciiTheme="minorHAnsi" w:hAnsiTheme="minorHAnsi" w:cstheme="minorHAnsi"/>
          <w:b/>
          <w:bCs/>
          <w:sz w:val="24"/>
          <w:szCs w:val="24"/>
        </w:rPr>
        <w:t>:</w:t>
      </w:r>
    </w:p>
    <w:p w14:paraId="65BAA2AA" w14:textId="1A4187DE" w:rsidR="003F784F" w:rsidRPr="00671EBB" w:rsidRDefault="00E13228" w:rsidP="00400CD0">
      <w:pPr>
        <w:keepNext/>
        <w:keepLines/>
        <w:jc w:val="both"/>
        <w:rPr>
          <w:rFonts w:asciiTheme="minorHAnsi" w:eastAsia="Segoe UI" w:hAnsiTheme="minorHAnsi" w:cstheme="minorHAnsi"/>
          <w:color w:val="000000"/>
          <w:sz w:val="24"/>
          <w:szCs w:val="24"/>
        </w:rPr>
      </w:pPr>
      <w:r>
        <w:rPr>
          <w:rFonts w:asciiTheme="minorHAnsi" w:eastAsia="Segoe UI" w:hAnsiTheme="minorHAnsi" w:cstheme="minorHAnsi"/>
          <w:color w:val="000000"/>
          <w:sz w:val="24"/>
          <w:szCs w:val="24"/>
        </w:rPr>
        <w:t>As noted in previous sections, t</w:t>
      </w:r>
      <w:r w:rsidR="003F784F" w:rsidRPr="007B26BB">
        <w:rPr>
          <w:rFonts w:asciiTheme="minorHAnsi" w:eastAsia="Segoe UI" w:hAnsiTheme="minorHAnsi" w:cstheme="minorHAnsi"/>
          <w:color w:val="000000"/>
          <w:sz w:val="24"/>
          <w:szCs w:val="24"/>
        </w:rPr>
        <w:t xml:space="preserve">reatment with cilta-cel is limited to key specialist public hospital centres across the Australian states and territories. Several hospitals have experience with cilta-cel through the CARTITUDE clinical trial program, and through </w:t>
      </w:r>
      <w:r w:rsidR="003F784F">
        <w:rPr>
          <w:rFonts w:asciiTheme="minorHAnsi" w:eastAsia="Segoe UI" w:hAnsiTheme="minorHAnsi" w:cstheme="minorHAnsi"/>
          <w:color w:val="000000"/>
          <w:sz w:val="24"/>
          <w:szCs w:val="24"/>
        </w:rPr>
        <w:t xml:space="preserve">the delivery of cilta-cel in the 5L+ MM setting under the current </w:t>
      </w:r>
      <w:r w:rsidR="003F784F" w:rsidRPr="007B26BB">
        <w:rPr>
          <w:rFonts w:asciiTheme="minorHAnsi" w:eastAsia="Segoe UI" w:hAnsiTheme="minorHAnsi" w:cstheme="minorHAnsi"/>
          <w:color w:val="000000"/>
          <w:sz w:val="24"/>
          <w:szCs w:val="24"/>
        </w:rPr>
        <w:t>NHRA funding</w:t>
      </w:r>
      <w:r w:rsidR="003F784F">
        <w:rPr>
          <w:rFonts w:asciiTheme="minorHAnsi" w:eastAsia="Segoe UI" w:hAnsiTheme="minorHAnsi" w:cstheme="minorHAnsi"/>
          <w:color w:val="000000"/>
          <w:sz w:val="24"/>
          <w:szCs w:val="24"/>
        </w:rPr>
        <w:t xml:space="preserve"> arrangement</w:t>
      </w:r>
      <w:r w:rsidR="003F784F" w:rsidRPr="007B26BB">
        <w:rPr>
          <w:rFonts w:asciiTheme="minorHAnsi" w:eastAsia="Segoe UI" w:hAnsiTheme="minorHAnsi" w:cstheme="minorHAnsi"/>
          <w:color w:val="000000"/>
          <w:sz w:val="24"/>
          <w:szCs w:val="24"/>
        </w:rPr>
        <w:t xml:space="preserve">. Thus, </w:t>
      </w:r>
      <w:r w:rsidR="003F784F">
        <w:rPr>
          <w:rFonts w:asciiTheme="minorHAnsi" w:eastAsia="Segoe UI" w:hAnsiTheme="minorHAnsi" w:cstheme="minorHAnsi"/>
          <w:color w:val="000000"/>
          <w:sz w:val="24"/>
          <w:szCs w:val="24"/>
        </w:rPr>
        <w:t>several sites in Australia</w:t>
      </w:r>
      <w:r w:rsidR="003F784F" w:rsidRPr="007B26BB">
        <w:rPr>
          <w:rFonts w:asciiTheme="minorHAnsi" w:eastAsia="Segoe UI" w:hAnsiTheme="minorHAnsi" w:cstheme="minorHAnsi"/>
          <w:color w:val="000000"/>
          <w:sz w:val="24"/>
          <w:szCs w:val="24"/>
        </w:rPr>
        <w:t xml:space="preserve"> have relevant clinical experience and protocols in place for delivering this medical service. </w:t>
      </w:r>
    </w:p>
    <w:p w14:paraId="43FF51CA" w14:textId="4E759577" w:rsidR="003F784F" w:rsidRPr="00671EBB" w:rsidRDefault="003F784F" w:rsidP="003F784F">
      <w:pPr>
        <w:jc w:val="both"/>
        <w:rPr>
          <w:rFonts w:asciiTheme="minorHAnsi" w:eastAsia="Segoe UI" w:hAnsiTheme="minorHAnsi" w:cstheme="minorBidi"/>
          <w:color w:val="000000"/>
          <w:sz w:val="24"/>
          <w:szCs w:val="24"/>
        </w:rPr>
      </w:pPr>
      <w:r w:rsidRPr="00C97EFE">
        <w:rPr>
          <w:rFonts w:asciiTheme="minorHAnsi" w:hAnsiTheme="minorHAnsi" w:cstheme="minorHAnsi"/>
          <w:sz w:val="24"/>
          <w:szCs w:val="24"/>
        </w:rPr>
        <w:t xml:space="preserve">Cilta-cel treatment centres need to be approved by State/Territory governments and accredited by Janssen with supply and quality agreements in place. As part of Janssen accreditation process, the treatment centres will need to be trained in accordance with the TGA approve Risk Management Plan that includes, among other things, the </w:t>
      </w:r>
      <w:proofErr w:type="gramStart"/>
      <w:r w:rsidRPr="00C97EFE">
        <w:rPr>
          <w:rFonts w:asciiTheme="minorHAnsi" w:hAnsiTheme="minorHAnsi" w:cstheme="minorHAnsi"/>
          <w:sz w:val="24"/>
          <w:szCs w:val="24"/>
        </w:rPr>
        <w:t>important identified</w:t>
      </w:r>
      <w:proofErr w:type="gramEnd"/>
      <w:r w:rsidRPr="00C97EFE">
        <w:rPr>
          <w:rFonts w:asciiTheme="minorHAnsi" w:hAnsiTheme="minorHAnsi" w:cstheme="minorHAnsi"/>
          <w:sz w:val="24"/>
          <w:szCs w:val="24"/>
        </w:rPr>
        <w:t xml:space="preserve"> risks of cytokine release syndrome (CRS) and neurotoxicity and availability of tocilizumab to manage CRS. </w:t>
      </w:r>
      <w:r>
        <w:rPr>
          <w:rFonts w:asciiTheme="minorHAnsi" w:hAnsiTheme="minorHAnsi" w:cstheme="minorHAnsi"/>
          <w:sz w:val="24"/>
          <w:szCs w:val="24"/>
        </w:rPr>
        <w:t xml:space="preserve">The accreditation process also </w:t>
      </w:r>
      <w:r w:rsidR="00047230" w:rsidRPr="00047230">
        <w:rPr>
          <w:rFonts w:asciiTheme="minorHAnsi" w:hAnsiTheme="minorHAnsi" w:cstheme="minorHAnsi"/>
          <w:b/>
          <w:bCs/>
          <w:sz w:val="24"/>
          <w:szCs w:val="24"/>
        </w:rPr>
        <w:t>redacted</w:t>
      </w:r>
      <w:r w:rsidRPr="4355BCE7">
        <w:rPr>
          <w:rFonts w:asciiTheme="minorHAnsi" w:eastAsia="Segoe UI" w:hAnsiTheme="minorHAnsi" w:cstheme="minorBidi"/>
          <w:color w:val="000000" w:themeColor="text1"/>
          <w:sz w:val="24"/>
          <w:szCs w:val="24"/>
        </w:rPr>
        <w:t>.</w:t>
      </w:r>
    </w:p>
    <w:p w14:paraId="34F179CA" w14:textId="77777777" w:rsidR="003F784F" w:rsidRPr="00C97EFE" w:rsidRDefault="003F784F" w:rsidP="003F784F">
      <w:pPr>
        <w:jc w:val="both"/>
        <w:rPr>
          <w:rFonts w:asciiTheme="minorHAnsi" w:hAnsiTheme="minorHAnsi" w:cstheme="minorHAnsi"/>
          <w:sz w:val="24"/>
          <w:szCs w:val="24"/>
        </w:rPr>
      </w:pPr>
      <w:r w:rsidRPr="00C97EFE">
        <w:rPr>
          <w:rFonts w:asciiTheme="minorHAnsi" w:hAnsiTheme="minorHAnsi" w:cstheme="minorHAnsi"/>
          <w:sz w:val="24"/>
          <w:szCs w:val="24"/>
        </w:rPr>
        <w:t>Once the site has been qualified as a certified healthcare facility, patient enrolment can occur</w:t>
      </w:r>
      <w:r>
        <w:rPr>
          <w:rFonts w:asciiTheme="minorHAnsi" w:hAnsiTheme="minorHAnsi" w:cstheme="minorHAnsi"/>
          <w:sz w:val="24"/>
          <w:szCs w:val="24"/>
        </w:rPr>
        <w:t>.</w:t>
      </w:r>
    </w:p>
    <w:p w14:paraId="21132564" w14:textId="0517CB13" w:rsidR="003F784F" w:rsidRDefault="003F784F" w:rsidP="007520A6">
      <w:pPr>
        <w:jc w:val="both"/>
        <w:rPr>
          <w:rFonts w:asciiTheme="minorHAnsi" w:eastAsia="Segoe UI" w:hAnsiTheme="minorHAnsi" w:cstheme="minorHAnsi"/>
          <w:color w:val="000000"/>
          <w:sz w:val="24"/>
          <w:szCs w:val="24"/>
        </w:rPr>
      </w:pPr>
      <w:r w:rsidRPr="00671EBB">
        <w:rPr>
          <w:rFonts w:asciiTheme="minorHAnsi" w:eastAsia="Segoe UI" w:hAnsiTheme="minorHAnsi" w:cstheme="minorHAnsi"/>
          <w:color w:val="000000"/>
          <w:sz w:val="24"/>
          <w:szCs w:val="24"/>
        </w:rPr>
        <w:t xml:space="preserve">Full site re-accreditation by Janssen will occur every </w:t>
      </w:r>
      <w:r w:rsidR="00047230" w:rsidRPr="00047230">
        <w:rPr>
          <w:rFonts w:asciiTheme="minorHAnsi" w:eastAsia="Segoe UI" w:hAnsiTheme="minorHAnsi" w:cstheme="minorHAnsi"/>
          <w:b/>
          <w:bCs/>
          <w:color w:val="000000"/>
          <w:sz w:val="24"/>
          <w:szCs w:val="24"/>
        </w:rPr>
        <w:t>redacted</w:t>
      </w:r>
      <w:r w:rsidRPr="00671EBB">
        <w:rPr>
          <w:rFonts w:asciiTheme="minorHAnsi" w:eastAsia="Segoe UI" w:hAnsiTheme="minorHAnsi" w:cstheme="minorHAnsi"/>
          <w:color w:val="000000"/>
          <w:sz w:val="24"/>
          <w:szCs w:val="24"/>
        </w:rPr>
        <w:t xml:space="preserve"> which is inclusive of on-site audits to ensure compliance with set-up, processes, and training. </w:t>
      </w:r>
    </w:p>
    <w:p w14:paraId="0273E5B9" w14:textId="17B189BC" w:rsidR="00671EBB" w:rsidRPr="00671EBB" w:rsidRDefault="00671EBB" w:rsidP="007520A6">
      <w:pPr>
        <w:jc w:val="both"/>
        <w:rPr>
          <w:rFonts w:asciiTheme="minorHAnsi" w:eastAsia="Segoe UI" w:hAnsiTheme="minorHAnsi" w:cstheme="minorHAnsi"/>
          <w:color w:val="000000"/>
          <w:sz w:val="24"/>
          <w:szCs w:val="24"/>
        </w:rPr>
      </w:pPr>
      <w:r w:rsidRPr="00671EBB">
        <w:rPr>
          <w:rFonts w:asciiTheme="minorHAnsi" w:eastAsia="Segoe UI" w:hAnsiTheme="minorHAnsi" w:cstheme="minorHAnsi"/>
          <w:color w:val="000000"/>
          <w:sz w:val="24"/>
          <w:szCs w:val="24"/>
        </w:rPr>
        <w:t xml:space="preserve">Furthermore, patient selection and referral decisions will be determined by institution, state and National </w:t>
      </w:r>
      <w:proofErr w:type="spellStart"/>
      <w:r w:rsidRPr="00671EBB">
        <w:rPr>
          <w:rFonts w:asciiTheme="minorHAnsi" w:eastAsia="Segoe UI" w:hAnsiTheme="minorHAnsi" w:cstheme="minorHAnsi"/>
          <w:color w:val="000000"/>
          <w:sz w:val="24"/>
          <w:szCs w:val="24"/>
        </w:rPr>
        <w:t>Multi Disciplinary</w:t>
      </w:r>
      <w:proofErr w:type="spellEnd"/>
      <w:r w:rsidRPr="00671EBB">
        <w:rPr>
          <w:rFonts w:asciiTheme="minorHAnsi" w:eastAsia="Segoe UI" w:hAnsiTheme="minorHAnsi" w:cstheme="minorHAnsi"/>
          <w:color w:val="000000"/>
          <w:sz w:val="24"/>
          <w:szCs w:val="24"/>
        </w:rPr>
        <w:t xml:space="preserve"> Teams (MDT) which will ensure </w:t>
      </w:r>
      <w:r w:rsidR="00F37C61">
        <w:rPr>
          <w:rFonts w:asciiTheme="minorHAnsi" w:eastAsia="Segoe UI" w:hAnsiTheme="minorHAnsi" w:cstheme="minorHAnsi"/>
          <w:color w:val="000000"/>
          <w:sz w:val="24"/>
          <w:szCs w:val="24"/>
        </w:rPr>
        <w:t xml:space="preserve">eligible and </w:t>
      </w:r>
      <w:r w:rsidRPr="00671EBB">
        <w:rPr>
          <w:rFonts w:asciiTheme="minorHAnsi" w:eastAsia="Segoe UI" w:hAnsiTheme="minorHAnsi" w:cstheme="minorHAnsi"/>
          <w:color w:val="000000"/>
          <w:sz w:val="24"/>
          <w:szCs w:val="24"/>
        </w:rPr>
        <w:t>suitable patients who can tolerate CAR-T therapy are identified and prioritised for treatment. This level of decision making and consideration by MDTs will lead to better patient selection and achievement of optimal patient outcomes aligned to those seen in CARTITUDE-</w:t>
      </w:r>
      <w:r w:rsidR="0063160A">
        <w:rPr>
          <w:rFonts w:asciiTheme="minorHAnsi" w:eastAsia="Segoe UI" w:hAnsiTheme="minorHAnsi" w:cstheme="minorHAnsi"/>
          <w:color w:val="000000"/>
          <w:sz w:val="24"/>
          <w:szCs w:val="24"/>
        </w:rPr>
        <w:t>4</w:t>
      </w:r>
      <w:r w:rsidRPr="00671EBB">
        <w:rPr>
          <w:rFonts w:asciiTheme="minorHAnsi" w:eastAsia="Segoe UI" w:hAnsiTheme="minorHAnsi" w:cstheme="minorHAnsi"/>
          <w:color w:val="000000"/>
          <w:sz w:val="24"/>
          <w:szCs w:val="24"/>
        </w:rPr>
        <w:t>.</w:t>
      </w:r>
    </w:p>
    <w:p w14:paraId="750AB729" w14:textId="1843FFFE" w:rsidR="00671EBB" w:rsidRPr="00F849F2" w:rsidRDefault="00671EBB" w:rsidP="007520A6">
      <w:pPr>
        <w:jc w:val="both"/>
        <w:rPr>
          <w:rFonts w:asciiTheme="minorHAnsi" w:eastAsia="Segoe UI" w:hAnsiTheme="minorHAnsi" w:cstheme="minorHAnsi"/>
          <w:color w:val="000000"/>
          <w:sz w:val="24"/>
          <w:szCs w:val="24"/>
        </w:rPr>
      </w:pPr>
      <w:r w:rsidRPr="00671EBB">
        <w:rPr>
          <w:rFonts w:asciiTheme="minorHAnsi" w:eastAsia="Segoe UI" w:hAnsiTheme="minorHAnsi" w:cstheme="minorHAnsi"/>
          <w:color w:val="000000"/>
          <w:sz w:val="24"/>
          <w:szCs w:val="24"/>
        </w:rPr>
        <w:t xml:space="preserve">Consistent with other CAR-Ts considered by MSAC, </w:t>
      </w:r>
      <w:r w:rsidR="00F846D5">
        <w:rPr>
          <w:rFonts w:asciiTheme="minorHAnsi" w:eastAsia="Segoe UI" w:hAnsiTheme="minorHAnsi" w:cstheme="minorHAnsi"/>
          <w:color w:val="000000"/>
          <w:sz w:val="24"/>
          <w:szCs w:val="24"/>
        </w:rPr>
        <w:t xml:space="preserve">including cilta-cel for 5L+, </w:t>
      </w:r>
      <w:r w:rsidRPr="00671EBB">
        <w:rPr>
          <w:rFonts w:asciiTheme="minorHAnsi" w:eastAsia="Segoe UI" w:hAnsiTheme="minorHAnsi" w:cstheme="minorHAnsi"/>
          <w:color w:val="000000"/>
          <w:sz w:val="24"/>
          <w:szCs w:val="24"/>
        </w:rPr>
        <w:t xml:space="preserve">it is proposed that the use of cilta-cel </w:t>
      </w:r>
      <w:r w:rsidR="00F846D5">
        <w:rPr>
          <w:rFonts w:asciiTheme="minorHAnsi" w:eastAsia="Segoe UI" w:hAnsiTheme="minorHAnsi" w:cstheme="minorHAnsi"/>
          <w:color w:val="000000"/>
          <w:sz w:val="24"/>
          <w:szCs w:val="24"/>
        </w:rPr>
        <w:t xml:space="preserve">for 2L+, </w:t>
      </w:r>
      <w:r w:rsidRPr="00671EBB">
        <w:rPr>
          <w:rFonts w:asciiTheme="minorHAnsi" w:eastAsia="Segoe UI" w:hAnsiTheme="minorHAnsi" w:cstheme="minorHAnsi"/>
          <w:color w:val="000000"/>
          <w:sz w:val="24"/>
          <w:szCs w:val="24"/>
        </w:rPr>
        <w:t xml:space="preserve">will be limited to one successful infusion per lifetime (a successful infusion is when the patient with </w:t>
      </w:r>
      <w:r w:rsidR="00F846D5">
        <w:rPr>
          <w:rFonts w:asciiTheme="minorHAnsi" w:eastAsia="Segoe UI" w:hAnsiTheme="minorHAnsi" w:cstheme="minorHAnsi"/>
          <w:color w:val="000000"/>
          <w:sz w:val="24"/>
          <w:szCs w:val="24"/>
        </w:rPr>
        <w:t>2L+ MM</w:t>
      </w:r>
      <w:r w:rsidRPr="00671EBB">
        <w:rPr>
          <w:rFonts w:asciiTheme="minorHAnsi" w:eastAsia="Segoe UI" w:hAnsiTheme="minorHAnsi" w:cstheme="minorHAnsi"/>
          <w:color w:val="000000"/>
          <w:sz w:val="24"/>
          <w:szCs w:val="24"/>
        </w:rPr>
        <w:t xml:space="preserve"> has been infused with the optimal cilta-cel dosage as per the TGA recommend dose).</w:t>
      </w:r>
    </w:p>
    <w:p w14:paraId="35102AF6" w14:textId="1AA7FA5C" w:rsidR="006A17C5" w:rsidRPr="00671EBB" w:rsidRDefault="00671EBB" w:rsidP="007520A6">
      <w:pPr>
        <w:jc w:val="both"/>
        <w:rPr>
          <w:rFonts w:asciiTheme="minorHAnsi" w:hAnsiTheme="minorHAnsi" w:cstheme="minorHAnsi"/>
          <w:sz w:val="24"/>
          <w:szCs w:val="24"/>
        </w:rPr>
      </w:pPr>
      <w:r>
        <w:rPr>
          <w:rFonts w:asciiTheme="minorHAnsi" w:hAnsiTheme="minorHAnsi" w:cstheme="minorHAnsi"/>
          <w:sz w:val="24"/>
          <w:szCs w:val="24"/>
        </w:rPr>
        <w:t>Also r</w:t>
      </w:r>
      <w:r w:rsidRPr="00671EBB">
        <w:rPr>
          <w:rFonts w:asciiTheme="minorHAnsi" w:hAnsiTheme="minorHAnsi" w:cstheme="minorHAnsi"/>
          <w:sz w:val="24"/>
          <w:szCs w:val="24"/>
        </w:rPr>
        <w:t>efer to response to ‘Describe the key components and clinical steps involved in delivering the proposed health technology’ in the Intervention section of this application</w:t>
      </w:r>
      <w:r w:rsidR="00F846D5">
        <w:rPr>
          <w:rFonts w:asciiTheme="minorHAnsi" w:hAnsiTheme="minorHAnsi" w:cstheme="minorHAnsi"/>
          <w:sz w:val="24"/>
          <w:szCs w:val="24"/>
        </w:rPr>
        <w:t xml:space="preserve"> for further information on </w:t>
      </w:r>
      <w:r w:rsidR="004C1ECB">
        <w:rPr>
          <w:rFonts w:asciiTheme="minorHAnsi" w:hAnsiTheme="minorHAnsi" w:cstheme="minorHAnsi"/>
          <w:sz w:val="24"/>
          <w:szCs w:val="24"/>
        </w:rPr>
        <w:t>other healthcare resources used in the delivery of cilta-cel therapy</w:t>
      </w:r>
      <w:r w:rsidRPr="00671EBB">
        <w:rPr>
          <w:rFonts w:asciiTheme="minorHAnsi" w:hAnsiTheme="minorHAnsi" w:cstheme="minorHAnsi"/>
          <w:sz w:val="24"/>
          <w:szCs w:val="24"/>
        </w:rPr>
        <w:t>.</w:t>
      </w:r>
    </w:p>
    <w:p w14:paraId="38D2ADE7" w14:textId="5AE8EE70" w:rsidR="0090168B" w:rsidRPr="00F849F2" w:rsidRDefault="00F16239"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Explain what other healthcare resources are used in conjunction with the comparator health technology</w:t>
      </w:r>
      <w:r w:rsidR="0090168B" w:rsidRPr="00F849F2">
        <w:rPr>
          <w:rFonts w:asciiTheme="minorHAnsi" w:hAnsiTheme="minorHAnsi" w:cstheme="minorHAnsi"/>
          <w:b/>
          <w:bCs/>
          <w:sz w:val="24"/>
          <w:szCs w:val="24"/>
        </w:rPr>
        <w:t>:</w:t>
      </w:r>
    </w:p>
    <w:p w14:paraId="48F63AF9" w14:textId="627B3D6E" w:rsidR="006A17C5" w:rsidRDefault="00B05C16" w:rsidP="007520A6">
      <w:pPr>
        <w:jc w:val="both"/>
        <w:rPr>
          <w:rFonts w:asciiTheme="minorHAnsi" w:hAnsiTheme="minorHAnsi" w:cstheme="minorHAnsi"/>
          <w:sz w:val="24"/>
          <w:szCs w:val="24"/>
        </w:rPr>
      </w:pPr>
      <w:r>
        <w:rPr>
          <w:rFonts w:asciiTheme="minorHAnsi" w:hAnsiTheme="minorHAnsi" w:cstheme="minorHAnsi"/>
          <w:sz w:val="24"/>
          <w:szCs w:val="24"/>
        </w:rPr>
        <w:t>Not relevant.</w:t>
      </w:r>
    </w:p>
    <w:p w14:paraId="378F78D9" w14:textId="484CE4E7" w:rsidR="00F16239" w:rsidRPr="00F849F2" w:rsidRDefault="00F16239"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Describe and explain any differences in the healthcare resources used in conjunction with the proposed health technology vs. the comparator health technology:</w:t>
      </w:r>
    </w:p>
    <w:p w14:paraId="42BC5309" w14:textId="35CAEA7B" w:rsidR="00E51D81" w:rsidRDefault="002D2859" w:rsidP="007520A6">
      <w:pPr>
        <w:jc w:val="both"/>
        <w:rPr>
          <w:rFonts w:asciiTheme="minorHAnsi" w:hAnsiTheme="minorHAnsi" w:cstheme="minorHAnsi"/>
          <w:sz w:val="24"/>
          <w:szCs w:val="24"/>
        </w:rPr>
      </w:pPr>
      <w:r>
        <w:rPr>
          <w:rFonts w:asciiTheme="minorHAnsi" w:hAnsiTheme="minorHAnsi" w:cstheme="minorHAnsi"/>
          <w:sz w:val="24"/>
          <w:szCs w:val="24"/>
        </w:rPr>
        <w:t>Refer to the ‘Intervention’ section of this application</w:t>
      </w:r>
      <w:r w:rsidR="000A662C">
        <w:rPr>
          <w:rFonts w:asciiTheme="minorHAnsi" w:hAnsiTheme="minorHAnsi" w:cstheme="minorHAnsi"/>
          <w:sz w:val="24"/>
          <w:szCs w:val="24"/>
        </w:rPr>
        <w:t>.</w:t>
      </w:r>
    </w:p>
    <w:p w14:paraId="2BE17ED5" w14:textId="5423D7F3" w:rsidR="00F16239" w:rsidRPr="00F849F2" w:rsidRDefault="004F12A9" w:rsidP="007520A6">
      <w:pPr>
        <w:pStyle w:val="Heading2"/>
        <w:jc w:val="both"/>
        <w:rPr>
          <w:rFonts w:asciiTheme="minorHAnsi" w:hAnsiTheme="minorHAnsi" w:cstheme="minorHAnsi"/>
          <w:sz w:val="24"/>
          <w:szCs w:val="24"/>
          <w:u w:val="single"/>
        </w:rPr>
      </w:pPr>
      <w:r w:rsidRPr="00F849F2">
        <w:rPr>
          <w:rFonts w:asciiTheme="minorHAnsi" w:hAnsiTheme="minorHAnsi" w:cstheme="minorHAnsi"/>
          <w:sz w:val="24"/>
          <w:szCs w:val="24"/>
          <w:u w:val="single"/>
        </w:rPr>
        <w:t>CLINICAL MANAGEMENT AFTER THE USE OF HEALTH TECHNOLOGY</w:t>
      </w:r>
    </w:p>
    <w:p w14:paraId="3017C87B" w14:textId="1AA8C4E5" w:rsidR="00F16239" w:rsidRPr="00F849F2" w:rsidRDefault="00F16239" w:rsidP="007520A6">
      <w:pPr>
        <w:jc w:val="both"/>
        <w:rPr>
          <w:rFonts w:asciiTheme="minorHAnsi" w:hAnsiTheme="minorHAnsi" w:cstheme="minorHAnsi"/>
          <w:b/>
          <w:bCs/>
          <w:sz w:val="24"/>
          <w:szCs w:val="24"/>
        </w:rPr>
      </w:pPr>
      <w:r w:rsidRPr="00F849F2">
        <w:rPr>
          <w:rFonts w:asciiTheme="minorHAnsi" w:hAnsiTheme="minorHAnsi" w:cstheme="minorHAnsi"/>
          <w:b/>
          <w:bCs/>
          <w:sz w:val="24"/>
          <w:szCs w:val="24"/>
        </w:rPr>
        <w:t>Define and summarise the clinical management algorithm, including any required tests or healthcare resources, after the use of the proposed health technology:</w:t>
      </w:r>
    </w:p>
    <w:p w14:paraId="5449C980" w14:textId="07178435" w:rsidR="00590809" w:rsidRDefault="0003588C" w:rsidP="007520A6">
      <w:pPr>
        <w:jc w:val="both"/>
        <w:rPr>
          <w:rFonts w:asciiTheme="minorHAnsi" w:hAnsiTheme="minorHAnsi" w:cstheme="minorHAnsi"/>
          <w:sz w:val="24"/>
          <w:szCs w:val="24"/>
        </w:rPr>
      </w:pPr>
      <w:r>
        <w:rPr>
          <w:rFonts w:asciiTheme="minorHAnsi" w:hAnsiTheme="minorHAnsi" w:cstheme="minorHAnsi"/>
          <w:sz w:val="24"/>
          <w:szCs w:val="24"/>
        </w:rPr>
        <w:t xml:space="preserve">Following </w:t>
      </w:r>
      <w:r w:rsidR="00F123E3">
        <w:rPr>
          <w:rFonts w:asciiTheme="minorHAnsi" w:hAnsiTheme="minorHAnsi" w:cstheme="minorHAnsi"/>
          <w:sz w:val="24"/>
          <w:szCs w:val="24"/>
        </w:rPr>
        <w:t xml:space="preserve">one-off </w:t>
      </w:r>
      <w:r>
        <w:rPr>
          <w:rFonts w:asciiTheme="minorHAnsi" w:hAnsiTheme="minorHAnsi" w:cstheme="minorHAnsi"/>
          <w:sz w:val="24"/>
          <w:szCs w:val="24"/>
        </w:rPr>
        <w:t xml:space="preserve">cilta-cel in the 2L+ MM setting, </w:t>
      </w:r>
      <w:r w:rsidR="00F123E3">
        <w:rPr>
          <w:rFonts w:asciiTheme="minorHAnsi" w:hAnsiTheme="minorHAnsi" w:cstheme="minorHAnsi"/>
          <w:sz w:val="24"/>
          <w:szCs w:val="24"/>
        </w:rPr>
        <w:t xml:space="preserve">outside of the routine </w:t>
      </w:r>
      <w:r w:rsidR="00590809">
        <w:rPr>
          <w:rFonts w:asciiTheme="minorHAnsi" w:hAnsiTheme="minorHAnsi" w:cstheme="minorHAnsi"/>
          <w:sz w:val="24"/>
          <w:szCs w:val="24"/>
        </w:rPr>
        <w:t xml:space="preserve">visits to assess their MM, </w:t>
      </w:r>
      <w:r w:rsidR="00BE42D5" w:rsidRPr="00BE42D5">
        <w:rPr>
          <w:rFonts w:asciiTheme="minorHAnsi" w:hAnsiTheme="minorHAnsi" w:cstheme="minorHAnsi"/>
          <w:b/>
          <w:bCs/>
          <w:sz w:val="24"/>
          <w:szCs w:val="24"/>
        </w:rPr>
        <w:t>redacted</w:t>
      </w:r>
      <w:r w:rsidR="00275535">
        <w:rPr>
          <w:rFonts w:asciiTheme="minorHAnsi" w:hAnsiTheme="minorHAnsi" w:cstheme="minorHAnsi"/>
          <w:sz w:val="24"/>
          <w:szCs w:val="24"/>
        </w:rPr>
        <w:t xml:space="preserve">. Furthermore, </w:t>
      </w:r>
      <w:r w:rsidR="001C2C53">
        <w:rPr>
          <w:rFonts w:asciiTheme="minorHAnsi" w:hAnsiTheme="minorHAnsi" w:cstheme="minorHAnsi"/>
          <w:sz w:val="24"/>
          <w:szCs w:val="24"/>
        </w:rPr>
        <w:t xml:space="preserve">two </w:t>
      </w:r>
      <w:r w:rsidR="00275535">
        <w:rPr>
          <w:rFonts w:asciiTheme="minorHAnsi" w:hAnsiTheme="minorHAnsi" w:cstheme="minorHAnsi"/>
          <w:sz w:val="24"/>
          <w:szCs w:val="24"/>
        </w:rPr>
        <w:t>key difference</w:t>
      </w:r>
      <w:r w:rsidR="00FF14AA">
        <w:rPr>
          <w:rFonts w:asciiTheme="minorHAnsi" w:hAnsiTheme="minorHAnsi" w:cstheme="minorHAnsi"/>
          <w:sz w:val="24"/>
          <w:szCs w:val="24"/>
        </w:rPr>
        <w:t>s</w:t>
      </w:r>
      <w:r w:rsidR="00275535">
        <w:rPr>
          <w:rFonts w:asciiTheme="minorHAnsi" w:hAnsiTheme="minorHAnsi" w:cstheme="minorHAnsi"/>
          <w:sz w:val="24"/>
          <w:szCs w:val="24"/>
        </w:rPr>
        <w:t xml:space="preserve"> in the clinical management algorithm after a person with MM receive</w:t>
      </w:r>
      <w:r w:rsidR="005A1227">
        <w:rPr>
          <w:rFonts w:asciiTheme="minorHAnsi" w:hAnsiTheme="minorHAnsi" w:cstheme="minorHAnsi"/>
          <w:sz w:val="24"/>
          <w:szCs w:val="24"/>
        </w:rPr>
        <w:t>s</w:t>
      </w:r>
      <w:r w:rsidR="00275535">
        <w:rPr>
          <w:rFonts w:asciiTheme="minorHAnsi" w:hAnsiTheme="minorHAnsi" w:cstheme="minorHAnsi"/>
          <w:sz w:val="24"/>
          <w:szCs w:val="24"/>
        </w:rPr>
        <w:t xml:space="preserve"> cilta-cel at 2L+</w:t>
      </w:r>
      <w:r w:rsidR="004851C6">
        <w:rPr>
          <w:rFonts w:asciiTheme="minorHAnsi" w:hAnsiTheme="minorHAnsi" w:cstheme="minorHAnsi"/>
          <w:sz w:val="24"/>
          <w:szCs w:val="24"/>
        </w:rPr>
        <w:t xml:space="preserve"> compared to current practice</w:t>
      </w:r>
      <w:r w:rsidR="00275535">
        <w:rPr>
          <w:rFonts w:asciiTheme="minorHAnsi" w:hAnsiTheme="minorHAnsi" w:cstheme="minorHAnsi"/>
          <w:sz w:val="24"/>
          <w:szCs w:val="24"/>
        </w:rPr>
        <w:t xml:space="preserve">, is that they would no longer be </w:t>
      </w:r>
      <w:r w:rsidR="004851C6">
        <w:rPr>
          <w:rFonts w:asciiTheme="minorHAnsi" w:hAnsiTheme="minorHAnsi" w:cstheme="minorHAnsi"/>
          <w:sz w:val="24"/>
          <w:szCs w:val="24"/>
        </w:rPr>
        <w:t xml:space="preserve">eligible for any BCMA directed therapy (e.g., </w:t>
      </w:r>
      <w:proofErr w:type="spellStart"/>
      <w:r w:rsidR="004851C6">
        <w:rPr>
          <w:rFonts w:asciiTheme="minorHAnsi" w:hAnsiTheme="minorHAnsi" w:cstheme="minorHAnsi"/>
          <w:sz w:val="24"/>
          <w:szCs w:val="24"/>
        </w:rPr>
        <w:t>elranatamab</w:t>
      </w:r>
      <w:proofErr w:type="spellEnd"/>
      <w:r w:rsidR="004851C6">
        <w:rPr>
          <w:rFonts w:asciiTheme="minorHAnsi" w:hAnsiTheme="minorHAnsi" w:cstheme="minorHAnsi"/>
          <w:sz w:val="24"/>
          <w:szCs w:val="24"/>
        </w:rPr>
        <w:t xml:space="preserve">, </w:t>
      </w:r>
      <w:proofErr w:type="spellStart"/>
      <w:r w:rsidR="004851C6">
        <w:rPr>
          <w:rFonts w:asciiTheme="minorHAnsi" w:hAnsiTheme="minorHAnsi" w:cstheme="minorHAnsi"/>
          <w:sz w:val="24"/>
          <w:szCs w:val="24"/>
        </w:rPr>
        <w:t>teclistamab</w:t>
      </w:r>
      <w:proofErr w:type="spellEnd"/>
      <w:r w:rsidR="004851C6">
        <w:rPr>
          <w:rFonts w:asciiTheme="minorHAnsi" w:hAnsiTheme="minorHAnsi" w:cstheme="minorHAnsi"/>
          <w:sz w:val="24"/>
          <w:szCs w:val="24"/>
        </w:rPr>
        <w:t xml:space="preserve">, </w:t>
      </w:r>
      <w:proofErr w:type="spellStart"/>
      <w:r w:rsidR="004851C6">
        <w:rPr>
          <w:rFonts w:asciiTheme="minorHAnsi" w:hAnsiTheme="minorHAnsi" w:cstheme="minorHAnsi"/>
          <w:sz w:val="24"/>
          <w:szCs w:val="24"/>
        </w:rPr>
        <w:t>belantamab</w:t>
      </w:r>
      <w:proofErr w:type="spellEnd"/>
      <w:r w:rsidR="004851C6">
        <w:rPr>
          <w:rFonts w:asciiTheme="minorHAnsi" w:hAnsiTheme="minorHAnsi" w:cstheme="minorHAnsi"/>
          <w:sz w:val="24"/>
          <w:szCs w:val="24"/>
        </w:rPr>
        <w:t>)</w:t>
      </w:r>
      <w:r w:rsidR="00C73E09">
        <w:rPr>
          <w:rFonts w:asciiTheme="minorHAnsi" w:hAnsiTheme="minorHAnsi" w:cstheme="minorHAnsi"/>
          <w:sz w:val="24"/>
          <w:szCs w:val="24"/>
        </w:rPr>
        <w:t xml:space="preserve"> on the PBS</w:t>
      </w:r>
      <w:r w:rsidR="005A1227">
        <w:rPr>
          <w:rFonts w:asciiTheme="minorHAnsi" w:hAnsiTheme="minorHAnsi" w:cstheme="minorHAnsi"/>
          <w:sz w:val="24"/>
          <w:szCs w:val="24"/>
        </w:rPr>
        <w:t>, or</w:t>
      </w:r>
      <w:r w:rsidR="00CD1186">
        <w:rPr>
          <w:rFonts w:asciiTheme="minorHAnsi" w:hAnsiTheme="minorHAnsi" w:cstheme="minorHAnsi"/>
          <w:sz w:val="24"/>
          <w:szCs w:val="24"/>
        </w:rPr>
        <w:t xml:space="preserve"> (should the </w:t>
      </w:r>
      <w:r w:rsidR="00F03B37">
        <w:rPr>
          <w:rFonts w:asciiTheme="minorHAnsi" w:hAnsiTheme="minorHAnsi" w:cstheme="minorHAnsi"/>
          <w:sz w:val="24"/>
          <w:szCs w:val="24"/>
        </w:rPr>
        <w:t xml:space="preserve">2L+ cilta-cel treatment be considered a successful infusion), patients will not be </w:t>
      </w:r>
      <w:r w:rsidR="00F03B37">
        <w:rPr>
          <w:rFonts w:asciiTheme="minorHAnsi" w:hAnsiTheme="minorHAnsi" w:cstheme="minorHAnsi"/>
          <w:sz w:val="24"/>
          <w:szCs w:val="24"/>
        </w:rPr>
        <w:lastRenderedPageBreak/>
        <w:t>eligible for</w:t>
      </w:r>
      <w:r w:rsidR="005A1227">
        <w:rPr>
          <w:rFonts w:asciiTheme="minorHAnsi" w:hAnsiTheme="minorHAnsi" w:cstheme="minorHAnsi"/>
          <w:sz w:val="24"/>
          <w:szCs w:val="24"/>
        </w:rPr>
        <w:t xml:space="preserve"> </w:t>
      </w:r>
      <w:r w:rsidR="00FD28C4">
        <w:rPr>
          <w:rFonts w:asciiTheme="minorHAnsi" w:hAnsiTheme="minorHAnsi" w:cstheme="minorHAnsi"/>
          <w:sz w:val="24"/>
          <w:szCs w:val="24"/>
        </w:rPr>
        <w:t>treatment with another CART therapy</w:t>
      </w:r>
      <w:r w:rsidR="00C73E09">
        <w:rPr>
          <w:rFonts w:asciiTheme="minorHAnsi" w:hAnsiTheme="minorHAnsi" w:cstheme="minorHAnsi"/>
          <w:sz w:val="24"/>
          <w:szCs w:val="24"/>
        </w:rPr>
        <w:t xml:space="preserve"> or cilta-cel in the 5L+ MM setting</w:t>
      </w:r>
      <w:r w:rsidR="00FD28C4">
        <w:rPr>
          <w:rFonts w:asciiTheme="minorHAnsi" w:hAnsiTheme="minorHAnsi" w:cstheme="minorHAnsi"/>
          <w:sz w:val="24"/>
          <w:szCs w:val="24"/>
        </w:rPr>
        <w:t>. Refer to Table 4 for further details.</w:t>
      </w:r>
    </w:p>
    <w:p w14:paraId="09165252" w14:textId="2941401E" w:rsidR="00F16239" w:rsidRPr="00F849F2" w:rsidRDefault="00F16239" w:rsidP="007520A6">
      <w:pPr>
        <w:jc w:val="both"/>
        <w:rPr>
          <w:rFonts w:asciiTheme="minorHAnsi" w:hAnsiTheme="minorHAnsi" w:cstheme="minorHAnsi"/>
          <w:b/>
          <w:sz w:val="24"/>
          <w:szCs w:val="24"/>
        </w:rPr>
      </w:pPr>
      <w:r w:rsidRPr="00F849F2">
        <w:rPr>
          <w:rFonts w:asciiTheme="minorHAnsi" w:hAnsiTheme="minorHAnsi" w:cstheme="minorHAnsi"/>
          <w:b/>
          <w:sz w:val="24"/>
          <w:szCs w:val="24"/>
        </w:rPr>
        <w:t>Define and summarise the clinical management algorithm, including any required tests or healthcare resources, after the use of the comparator health technology:</w:t>
      </w:r>
    </w:p>
    <w:p w14:paraId="7261FD8A" w14:textId="37D3288E" w:rsidR="00F16239" w:rsidRPr="00F849F2" w:rsidRDefault="000A662C" w:rsidP="007520A6">
      <w:pPr>
        <w:jc w:val="both"/>
        <w:rPr>
          <w:rFonts w:asciiTheme="minorHAnsi" w:eastAsia="Segoe UI" w:hAnsiTheme="minorHAnsi" w:cstheme="minorHAnsi"/>
          <w:color w:val="000000"/>
          <w:sz w:val="24"/>
          <w:szCs w:val="24"/>
        </w:rPr>
      </w:pPr>
      <w:r>
        <w:rPr>
          <w:rFonts w:asciiTheme="minorHAnsi" w:hAnsiTheme="minorHAnsi" w:cstheme="minorHAnsi"/>
          <w:sz w:val="24"/>
          <w:szCs w:val="24"/>
        </w:rPr>
        <w:t>Refer to the ‘Algorithm’ section of this application</w:t>
      </w:r>
      <w:r w:rsidR="00FD28C4">
        <w:rPr>
          <w:rFonts w:asciiTheme="minorHAnsi" w:hAnsiTheme="minorHAnsi" w:cstheme="minorHAnsi"/>
          <w:sz w:val="24"/>
          <w:szCs w:val="24"/>
        </w:rPr>
        <w:t>, and Table 4 below, for further details</w:t>
      </w:r>
      <w:r>
        <w:rPr>
          <w:rFonts w:asciiTheme="minorHAnsi" w:hAnsiTheme="minorHAnsi" w:cstheme="minorHAnsi"/>
          <w:sz w:val="24"/>
          <w:szCs w:val="24"/>
        </w:rPr>
        <w:t>.</w:t>
      </w:r>
    </w:p>
    <w:p w14:paraId="5C871695" w14:textId="544C18F8" w:rsidR="00F16239" w:rsidRPr="00F849F2" w:rsidRDefault="00F16239" w:rsidP="006742AE">
      <w:pPr>
        <w:keepNext/>
        <w:jc w:val="both"/>
        <w:rPr>
          <w:rFonts w:asciiTheme="minorHAnsi" w:hAnsiTheme="minorHAnsi" w:cstheme="minorHAnsi"/>
          <w:b/>
          <w:sz w:val="24"/>
          <w:szCs w:val="24"/>
        </w:rPr>
      </w:pPr>
      <w:r w:rsidRPr="00F849F2">
        <w:rPr>
          <w:rFonts w:asciiTheme="minorHAnsi" w:hAnsiTheme="minorHAnsi" w:cstheme="minorHAnsi"/>
          <w:b/>
          <w:sz w:val="24"/>
          <w:szCs w:val="24"/>
        </w:rPr>
        <w:t>Describe and explain any differences in the healthcare resources used after the proposed health technology vs. the comparator health technology:</w:t>
      </w:r>
    </w:p>
    <w:p w14:paraId="1D5C73DD" w14:textId="2CDDE68B" w:rsidR="006742AE" w:rsidRPr="006742AE" w:rsidRDefault="006742AE" w:rsidP="00191EBE">
      <w:pPr>
        <w:keepNext/>
        <w:jc w:val="both"/>
        <w:rPr>
          <w:rFonts w:asciiTheme="minorHAnsi" w:hAnsiTheme="minorHAnsi" w:cstheme="minorHAnsi"/>
          <w:sz w:val="24"/>
          <w:szCs w:val="24"/>
        </w:rPr>
      </w:pPr>
      <w:r>
        <w:rPr>
          <w:rFonts w:asciiTheme="minorHAnsi" w:hAnsiTheme="minorHAnsi" w:cstheme="minorHAnsi"/>
          <w:sz w:val="24"/>
          <w:szCs w:val="24"/>
        </w:rPr>
        <w:t xml:space="preserve">Table </w:t>
      </w:r>
      <w:r w:rsidR="009874C5">
        <w:rPr>
          <w:rFonts w:asciiTheme="minorHAnsi" w:hAnsiTheme="minorHAnsi" w:cstheme="minorHAnsi"/>
          <w:sz w:val="24"/>
          <w:szCs w:val="24"/>
        </w:rPr>
        <w:t>5</w:t>
      </w:r>
      <w:r>
        <w:rPr>
          <w:rFonts w:asciiTheme="minorHAnsi" w:hAnsiTheme="minorHAnsi" w:cstheme="minorHAnsi"/>
          <w:sz w:val="24"/>
          <w:szCs w:val="24"/>
        </w:rPr>
        <w:t xml:space="preserve"> presents a comparison of the differences in healthcare resources used after the proposed health technology (i.e., cilta-cel) compared to the comparators.</w:t>
      </w:r>
    </w:p>
    <w:p w14:paraId="1EE2B4EC" w14:textId="0BBACBD5" w:rsidR="0090168B" w:rsidRDefault="003A1C37" w:rsidP="00191EBE">
      <w:pPr>
        <w:keepNext/>
        <w:jc w:val="both"/>
        <w:rPr>
          <w:rFonts w:asciiTheme="minorHAnsi" w:hAnsiTheme="minorHAnsi" w:cstheme="minorHAnsi"/>
          <w:b/>
          <w:bCs/>
          <w:sz w:val="24"/>
          <w:szCs w:val="24"/>
        </w:rPr>
      </w:pPr>
      <w:r w:rsidRPr="003A1C37">
        <w:rPr>
          <w:rFonts w:asciiTheme="minorHAnsi" w:hAnsiTheme="minorHAnsi" w:cstheme="minorHAnsi"/>
          <w:b/>
          <w:bCs/>
          <w:sz w:val="24"/>
          <w:szCs w:val="24"/>
        </w:rPr>
        <w:t xml:space="preserve">Table </w:t>
      </w:r>
      <w:r w:rsidR="009874C5">
        <w:rPr>
          <w:rFonts w:asciiTheme="minorHAnsi" w:hAnsiTheme="minorHAnsi" w:cstheme="minorHAnsi"/>
          <w:b/>
          <w:bCs/>
          <w:sz w:val="24"/>
          <w:szCs w:val="24"/>
        </w:rPr>
        <w:t>5</w:t>
      </w:r>
      <w:r w:rsidRPr="003A1C37">
        <w:rPr>
          <w:rFonts w:asciiTheme="minorHAnsi" w:hAnsiTheme="minorHAnsi" w:cstheme="minorHAnsi"/>
          <w:b/>
          <w:bCs/>
          <w:sz w:val="24"/>
          <w:szCs w:val="24"/>
        </w:rPr>
        <w:t>: Comparison of the current and proposed clinical management algorithms (after cilta-cel and comparators)</w:t>
      </w:r>
    </w:p>
    <w:tbl>
      <w:tblPr>
        <w:tblStyle w:val="TableGrid"/>
        <w:tblW w:w="0" w:type="auto"/>
        <w:tblLook w:val="04A0" w:firstRow="1" w:lastRow="0" w:firstColumn="1" w:lastColumn="0" w:noHBand="0" w:noVBand="1"/>
      </w:tblPr>
      <w:tblGrid>
        <w:gridCol w:w="2366"/>
        <w:gridCol w:w="2366"/>
        <w:gridCol w:w="2366"/>
        <w:gridCol w:w="2367"/>
      </w:tblGrid>
      <w:tr w:rsidR="00191EBE" w:rsidRPr="000B5F9C" w14:paraId="3D1493F0" w14:textId="77777777" w:rsidTr="00FB293B">
        <w:tc>
          <w:tcPr>
            <w:tcW w:w="2366" w:type="dxa"/>
          </w:tcPr>
          <w:p w14:paraId="34D9D04F" w14:textId="7F791034" w:rsidR="00191EBE" w:rsidRPr="000B5F9C" w:rsidRDefault="00191EBE" w:rsidP="00FB293B">
            <w:pPr>
              <w:keepNext/>
              <w:rPr>
                <w:rFonts w:asciiTheme="minorHAnsi" w:eastAsia="Segoe UI" w:hAnsiTheme="minorHAnsi" w:cstheme="minorHAnsi"/>
                <w:b/>
                <w:bCs/>
                <w:color w:val="000000"/>
                <w:sz w:val="20"/>
                <w:szCs w:val="20"/>
              </w:rPr>
            </w:pPr>
            <w:r w:rsidRPr="000B5F9C">
              <w:rPr>
                <w:rFonts w:asciiTheme="minorHAnsi" w:eastAsia="Segoe UI" w:hAnsiTheme="minorHAnsi" w:cstheme="minorHAnsi"/>
                <w:b/>
                <w:bCs/>
                <w:color w:val="000000"/>
                <w:sz w:val="20"/>
                <w:szCs w:val="20"/>
              </w:rPr>
              <w:t>Factor relating to subsequent therapy</w:t>
            </w:r>
          </w:p>
        </w:tc>
        <w:tc>
          <w:tcPr>
            <w:tcW w:w="2366" w:type="dxa"/>
          </w:tcPr>
          <w:p w14:paraId="231936CD" w14:textId="0C3F2929" w:rsidR="00191EBE" w:rsidRPr="000B5F9C" w:rsidRDefault="00191EBE" w:rsidP="00FB293B">
            <w:pPr>
              <w:keepNext/>
              <w:rPr>
                <w:rFonts w:asciiTheme="minorHAnsi" w:eastAsia="Segoe UI" w:hAnsiTheme="minorHAnsi" w:cstheme="minorHAnsi"/>
                <w:b/>
                <w:bCs/>
                <w:color w:val="000000"/>
                <w:sz w:val="20"/>
                <w:szCs w:val="20"/>
              </w:rPr>
            </w:pPr>
            <w:r w:rsidRPr="000B5F9C">
              <w:rPr>
                <w:rFonts w:asciiTheme="minorHAnsi" w:eastAsia="Segoe UI" w:hAnsiTheme="minorHAnsi" w:cstheme="minorHAnsi"/>
                <w:b/>
                <w:bCs/>
                <w:color w:val="000000"/>
                <w:sz w:val="20"/>
                <w:szCs w:val="20"/>
              </w:rPr>
              <w:t>Proposed (with cilta-cel at 2L</w:t>
            </w:r>
            <w:r w:rsidR="00531EA4" w:rsidRPr="000B5F9C">
              <w:rPr>
                <w:rFonts w:asciiTheme="minorHAnsi" w:eastAsia="Segoe UI" w:hAnsiTheme="minorHAnsi" w:cstheme="minorHAnsi"/>
                <w:b/>
                <w:bCs/>
                <w:color w:val="000000"/>
                <w:sz w:val="20"/>
                <w:szCs w:val="20"/>
              </w:rPr>
              <w:t xml:space="preserve"> to 4L MM</w:t>
            </w:r>
            <w:r w:rsidRPr="000B5F9C">
              <w:rPr>
                <w:rFonts w:asciiTheme="minorHAnsi" w:eastAsia="Segoe UI" w:hAnsiTheme="minorHAnsi" w:cstheme="minorHAnsi"/>
                <w:b/>
                <w:bCs/>
                <w:color w:val="000000"/>
                <w:sz w:val="20"/>
                <w:szCs w:val="20"/>
              </w:rPr>
              <w:t>)</w:t>
            </w:r>
          </w:p>
        </w:tc>
        <w:tc>
          <w:tcPr>
            <w:tcW w:w="2366" w:type="dxa"/>
          </w:tcPr>
          <w:p w14:paraId="1958109F" w14:textId="18FD2276" w:rsidR="00191EBE" w:rsidRPr="000B5F9C" w:rsidRDefault="00191EBE" w:rsidP="00FB293B">
            <w:pPr>
              <w:keepNext/>
              <w:rPr>
                <w:rFonts w:asciiTheme="minorHAnsi" w:eastAsia="Segoe UI" w:hAnsiTheme="minorHAnsi" w:cstheme="minorHAnsi"/>
                <w:b/>
                <w:bCs/>
                <w:color w:val="000000"/>
                <w:sz w:val="20"/>
                <w:szCs w:val="20"/>
              </w:rPr>
            </w:pPr>
            <w:r w:rsidRPr="000B5F9C">
              <w:rPr>
                <w:rFonts w:asciiTheme="minorHAnsi" w:eastAsia="Segoe UI" w:hAnsiTheme="minorHAnsi" w:cstheme="minorHAnsi"/>
                <w:b/>
                <w:bCs/>
                <w:color w:val="000000"/>
                <w:sz w:val="20"/>
                <w:szCs w:val="20"/>
              </w:rPr>
              <w:t>Current (without cilta-cel at 2L</w:t>
            </w:r>
            <w:r w:rsidR="00531EA4" w:rsidRPr="000B5F9C">
              <w:rPr>
                <w:rFonts w:asciiTheme="minorHAnsi" w:eastAsia="Segoe UI" w:hAnsiTheme="minorHAnsi" w:cstheme="minorHAnsi"/>
                <w:b/>
                <w:bCs/>
                <w:color w:val="000000"/>
                <w:sz w:val="20"/>
                <w:szCs w:val="20"/>
              </w:rPr>
              <w:t xml:space="preserve"> to 4L MM</w:t>
            </w:r>
            <w:r w:rsidRPr="000B5F9C">
              <w:rPr>
                <w:rFonts w:asciiTheme="minorHAnsi" w:eastAsia="Segoe UI" w:hAnsiTheme="minorHAnsi" w:cstheme="minorHAnsi"/>
                <w:b/>
                <w:bCs/>
                <w:color w:val="000000"/>
                <w:sz w:val="20"/>
                <w:szCs w:val="20"/>
              </w:rPr>
              <w:t>)</w:t>
            </w:r>
          </w:p>
        </w:tc>
        <w:tc>
          <w:tcPr>
            <w:tcW w:w="2367" w:type="dxa"/>
          </w:tcPr>
          <w:p w14:paraId="62825570" w14:textId="6C82550A" w:rsidR="00191EBE" w:rsidRPr="000B5F9C" w:rsidRDefault="00531EA4" w:rsidP="00FB293B">
            <w:pPr>
              <w:keepNext/>
              <w:rPr>
                <w:rFonts w:asciiTheme="minorHAnsi" w:eastAsia="Segoe UI" w:hAnsiTheme="minorHAnsi" w:cstheme="minorHAnsi"/>
                <w:b/>
                <w:bCs/>
                <w:color w:val="000000"/>
                <w:sz w:val="20"/>
                <w:szCs w:val="20"/>
              </w:rPr>
            </w:pPr>
            <w:r w:rsidRPr="000B5F9C">
              <w:rPr>
                <w:rFonts w:asciiTheme="minorHAnsi" w:eastAsia="Segoe UI" w:hAnsiTheme="minorHAnsi" w:cstheme="minorHAnsi"/>
                <w:b/>
                <w:bCs/>
                <w:color w:val="000000"/>
                <w:sz w:val="20"/>
                <w:szCs w:val="20"/>
              </w:rPr>
              <w:t>Rationale</w:t>
            </w:r>
          </w:p>
        </w:tc>
      </w:tr>
      <w:tr w:rsidR="00B120B3" w:rsidRPr="000B5F9C" w14:paraId="43800ADD" w14:textId="77777777" w:rsidTr="00FB293B">
        <w:tc>
          <w:tcPr>
            <w:tcW w:w="2366" w:type="dxa"/>
          </w:tcPr>
          <w:p w14:paraId="19EBE049" w14:textId="716E7165" w:rsidR="00B120B3" w:rsidRPr="000B5F9C" w:rsidRDefault="00FB293B"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Delivery of healthcare technology</w:t>
            </w:r>
          </w:p>
        </w:tc>
        <w:tc>
          <w:tcPr>
            <w:tcW w:w="2366" w:type="dxa"/>
          </w:tcPr>
          <w:p w14:paraId="09081109" w14:textId="44B37C71" w:rsidR="00B120B3" w:rsidRPr="000B5F9C" w:rsidRDefault="00FB293B"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One-off therapy</w:t>
            </w:r>
          </w:p>
        </w:tc>
        <w:tc>
          <w:tcPr>
            <w:tcW w:w="2366" w:type="dxa"/>
          </w:tcPr>
          <w:p w14:paraId="158248CF" w14:textId="06FBC4A1" w:rsidR="00B120B3" w:rsidRPr="000B5F9C" w:rsidRDefault="00FB293B"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Medicines provided as continuous therapy until disease progression, or unacceptable toxicity</w:t>
            </w:r>
          </w:p>
        </w:tc>
        <w:tc>
          <w:tcPr>
            <w:tcW w:w="2367" w:type="dxa"/>
          </w:tcPr>
          <w:p w14:paraId="422FEC10" w14:textId="62900728" w:rsidR="00B120B3" w:rsidRPr="000B5F9C" w:rsidRDefault="00FB293B"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 xml:space="preserve">Cilta-cel is </w:t>
            </w:r>
            <w:proofErr w:type="gramStart"/>
            <w:r w:rsidRPr="000B5F9C">
              <w:rPr>
                <w:rFonts w:asciiTheme="minorHAnsi" w:eastAsia="Segoe UI" w:hAnsiTheme="minorHAnsi" w:cstheme="minorHAnsi"/>
                <w:color w:val="000000"/>
                <w:sz w:val="20"/>
                <w:szCs w:val="20"/>
              </w:rPr>
              <w:t>a</w:t>
            </w:r>
            <w:proofErr w:type="gramEnd"/>
            <w:r w:rsidRPr="000B5F9C">
              <w:rPr>
                <w:rFonts w:asciiTheme="minorHAnsi" w:eastAsia="Segoe UI" w:hAnsiTheme="minorHAnsi" w:cstheme="minorHAnsi"/>
                <w:color w:val="000000"/>
                <w:sz w:val="20"/>
                <w:szCs w:val="20"/>
              </w:rPr>
              <w:t xml:space="preserve"> HST, comparators are medicines</w:t>
            </w:r>
            <w:r w:rsidR="00C71DB0" w:rsidRPr="000B5F9C">
              <w:rPr>
                <w:rFonts w:asciiTheme="minorHAnsi" w:eastAsia="Segoe UI" w:hAnsiTheme="minorHAnsi" w:cstheme="minorHAnsi"/>
                <w:color w:val="000000"/>
                <w:sz w:val="20"/>
                <w:szCs w:val="20"/>
              </w:rPr>
              <w:t xml:space="preserve">. Likely to require more </w:t>
            </w:r>
            <w:r w:rsidR="00BA69C3" w:rsidRPr="000B5F9C">
              <w:rPr>
                <w:rFonts w:asciiTheme="minorHAnsi" w:eastAsia="Segoe UI" w:hAnsiTheme="minorHAnsi" w:cstheme="minorHAnsi"/>
                <w:color w:val="000000"/>
                <w:sz w:val="20"/>
                <w:szCs w:val="20"/>
              </w:rPr>
              <w:t>hospital visits</w:t>
            </w:r>
            <w:r w:rsidR="00C71DB0" w:rsidRPr="000B5F9C">
              <w:rPr>
                <w:rFonts w:asciiTheme="minorHAnsi" w:eastAsia="Segoe UI" w:hAnsiTheme="minorHAnsi" w:cstheme="minorHAnsi"/>
                <w:color w:val="000000"/>
                <w:sz w:val="20"/>
                <w:szCs w:val="20"/>
              </w:rPr>
              <w:t xml:space="preserve"> for </w:t>
            </w:r>
            <w:r w:rsidR="00BA69C3" w:rsidRPr="000B5F9C">
              <w:rPr>
                <w:rFonts w:asciiTheme="minorHAnsi" w:eastAsia="Segoe UI" w:hAnsiTheme="minorHAnsi" w:cstheme="minorHAnsi"/>
                <w:color w:val="000000"/>
                <w:sz w:val="20"/>
                <w:szCs w:val="20"/>
              </w:rPr>
              <w:t>comparators in long-term due to nature of delivery</w:t>
            </w:r>
            <w:r w:rsidR="00C71DB0" w:rsidRPr="000B5F9C">
              <w:rPr>
                <w:rFonts w:asciiTheme="minorHAnsi" w:eastAsia="Segoe UI" w:hAnsiTheme="minorHAnsi" w:cstheme="minorHAnsi"/>
                <w:color w:val="000000"/>
                <w:sz w:val="20"/>
                <w:szCs w:val="20"/>
              </w:rPr>
              <w:t>.</w:t>
            </w:r>
          </w:p>
        </w:tc>
      </w:tr>
      <w:tr w:rsidR="00792DB9" w:rsidRPr="000B5F9C" w14:paraId="35FE67A8" w14:textId="77777777" w:rsidTr="00FB293B">
        <w:tc>
          <w:tcPr>
            <w:tcW w:w="2366" w:type="dxa"/>
          </w:tcPr>
          <w:p w14:paraId="30ADC473" w14:textId="170F55E2" w:rsidR="00792DB9" w:rsidRPr="000B5F9C" w:rsidRDefault="00792DB9"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Timing of subsequent therapy</w:t>
            </w:r>
          </w:p>
        </w:tc>
        <w:tc>
          <w:tcPr>
            <w:tcW w:w="2366" w:type="dxa"/>
          </w:tcPr>
          <w:p w14:paraId="155642E0" w14:textId="44A765ED" w:rsidR="00792DB9" w:rsidRPr="000B5F9C" w:rsidRDefault="00E44E70"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Longer relative to current therapy</w:t>
            </w:r>
          </w:p>
        </w:tc>
        <w:tc>
          <w:tcPr>
            <w:tcW w:w="2366" w:type="dxa"/>
          </w:tcPr>
          <w:p w14:paraId="29505B36" w14:textId="001CA927" w:rsidR="00792DB9" w:rsidRPr="000B5F9C" w:rsidRDefault="00E44E70"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Upon relapse</w:t>
            </w:r>
          </w:p>
        </w:tc>
        <w:tc>
          <w:tcPr>
            <w:tcW w:w="2367" w:type="dxa"/>
          </w:tcPr>
          <w:p w14:paraId="0AC801EC" w14:textId="67466808" w:rsidR="00792DB9" w:rsidRPr="000B5F9C" w:rsidRDefault="00E44E70"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As cilta-cel is superior in efficacy to current standard of care, this will delay, and potentially reduce, the need for subsequent therapy</w:t>
            </w:r>
          </w:p>
        </w:tc>
      </w:tr>
      <w:tr w:rsidR="00191EBE" w:rsidRPr="000B5F9C" w14:paraId="162E1980" w14:textId="77777777" w:rsidTr="00FB293B">
        <w:tc>
          <w:tcPr>
            <w:tcW w:w="2366" w:type="dxa"/>
          </w:tcPr>
          <w:p w14:paraId="597C2764" w14:textId="0EFA99CA" w:rsidR="00191EBE" w:rsidRPr="000B5F9C" w:rsidRDefault="00B120B3"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 xml:space="preserve">Option to use a </w:t>
            </w:r>
            <w:r w:rsidR="00191EBE" w:rsidRPr="000B5F9C">
              <w:rPr>
                <w:rFonts w:asciiTheme="minorHAnsi" w:eastAsia="Segoe UI" w:hAnsiTheme="minorHAnsi" w:cstheme="minorHAnsi"/>
                <w:color w:val="000000"/>
                <w:sz w:val="20"/>
                <w:szCs w:val="20"/>
              </w:rPr>
              <w:t>BCMA directed therapy</w:t>
            </w:r>
            <w:r w:rsidRPr="000B5F9C">
              <w:rPr>
                <w:rFonts w:asciiTheme="minorHAnsi" w:eastAsia="Segoe UI" w:hAnsiTheme="minorHAnsi" w:cstheme="minorHAnsi"/>
                <w:color w:val="000000"/>
                <w:sz w:val="20"/>
                <w:szCs w:val="20"/>
              </w:rPr>
              <w:t xml:space="preserve"> upon relapse</w:t>
            </w:r>
          </w:p>
        </w:tc>
        <w:tc>
          <w:tcPr>
            <w:tcW w:w="2366" w:type="dxa"/>
          </w:tcPr>
          <w:p w14:paraId="0B0012EE" w14:textId="6AB6648A" w:rsidR="00191EBE" w:rsidRPr="000B5F9C" w:rsidRDefault="00531EA4"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Not eligible for any BCMA directed therapy</w:t>
            </w:r>
          </w:p>
        </w:tc>
        <w:tc>
          <w:tcPr>
            <w:tcW w:w="2366" w:type="dxa"/>
          </w:tcPr>
          <w:p w14:paraId="1CE2E1A5" w14:textId="060A71E8" w:rsidR="00191EBE" w:rsidRPr="000B5F9C" w:rsidRDefault="00531EA4"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Eligible for a BCMA directed therapy</w:t>
            </w:r>
          </w:p>
        </w:tc>
        <w:tc>
          <w:tcPr>
            <w:tcW w:w="2367" w:type="dxa"/>
          </w:tcPr>
          <w:p w14:paraId="46F73EB9" w14:textId="67FB1C70" w:rsidR="00191EBE" w:rsidRPr="000B5F9C" w:rsidRDefault="00531EA4"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 xml:space="preserve">Restriction proposed </w:t>
            </w:r>
            <w:r w:rsidR="00220D5E" w:rsidRPr="000B5F9C">
              <w:rPr>
                <w:rFonts w:asciiTheme="minorHAnsi" w:eastAsia="Segoe UI" w:hAnsiTheme="minorHAnsi" w:cstheme="minorHAnsi"/>
                <w:color w:val="000000"/>
                <w:sz w:val="20"/>
                <w:szCs w:val="20"/>
              </w:rPr>
              <w:t xml:space="preserve">for cilta-cel for 2L+ (CART-4) </w:t>
            </w:r>
            <w:r w:rsidRPr="000B5F9C">
              <w:rPr>
                <w:rFonts w:asciiTheme="minorHAnsi" w:eastAsia="Segoe UI" w:hAnsiTheme="minorHAnsi" w:cstheme="minorHAnsi"/>
                <w:color w:val="000000"/>
                <w:sz w:val="20"/>
                <w:szCs w:val="20"/>
              </w:rPr>
              <w:t xml:space="preserve">to </w:t>
            </w:r>
            <w:r w:rsidR="00220D5E" w:rsidRPr="000B5F9C">
              <w:rPr>
                <w:rFonts w:asciiTheme="minorHAnsi" w:eastAsia="Segoe UI" w:hAnsiTheme="minorHAnsi" w:cstheme="minorHAnsi"/>
                <w:color w:val="000000"/>
                <w:sz w:val="20"/>
                <w:szCs w:val="20"/>
              </w:rPr>
              <w:t>include criteria that patient must not have previously received BCMA directed therapy as aligned to CARTITUDE-4 evidence/population &amp; current PBS restrictions</w:t>
            </w:r>
          </w:p>
        </w:tc>
      </w:tr>
      <w:tr w:rsidR="00191EBE" w:rsidRPr="000B5F9C" w14:paraId="06B352C5" w14:textId="77777777" w:rsidTr="00FB293B">
        <w:tc>
          <w:tcPr>
            <w:tcW w:w="2366" w:type="dxa"/>
          </w:tcPr>
          <w:p w14:paraId="0194F242" w14:textId="7B2F69D8" w:rsidR="00191EBE" w:rsidRPr="000B5F9C" w:rsidRDefault="00B120B3"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 xml:space="preserve">Option to use a </w:t>
            </w:r>
            <w:r w:rsidR="00191EBE" w:rsidRPr="000B5F9C">
              <w:rPr>
                <w:rFonts w:asciiTheme="minorHAnsi" w:eastAsia="Segoe UI" w:hAnsiTheme="minorHAnsi" w:cstheme="minorHAnsi"/>
                <w:color w:val="000000"/>
                <w:sz w:val="20"/>
                <w:szCs w:val="20"/>
              </w:rPr>
              <w:t>CART therapy</w:t>
            </w:r>
            <w:r w:rsidRPr="000B5F9C">
              <w:rPr>
                <w:rFonts w:asciiTheme="minorHAnsi" w:eastAsia="Segoe UI" w:hAnsiTheme="minorHAnsi" w:cstheme="minorHAnsi"/>
                <w:color w:val="000000"/>
                <w:sz w:val="20"/>
                <w:szCs w:val="20"/>
              </w:rPr>
              <w:t xml:space="preserve"> upon relapse</w:t>
            </w:r>
          </w:p>
        </w:tc>
        <w:tc>
          <w:tcPr>
            <w:tcW w:w="2366" w:type="dxa"/>
          </w:tcPr>
          <w:p w14:paraId="4A1E8EA4" w14:textId="62D0E7AA" w:rsidR="00191EBE" w:rsidRPr="000B5F9C" w:rsidRDefault="00531EA4"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 xml:space="preserve">Not eligible for cilta-cel or </w:t>
            </w:r>
            <w:r w:rsidR="004E509D">
              <w:rPr>
                <w:rFonts w:asciiTheme="minorHAnsi" w:eastAsia="Segoe UI" w:hAnsiTheme="minorHAnsi" w:cstheme="minorHAnsi"/>
                <w:color w:val="000000"/>
                <w:sz w:val="20"/>
                <w:szCs w:val="20"/>
              </w:rPr>
              <w:t xml:space="preserve">other </w:t>
            </w:r>
            <w:r w:rsidRPr="000B5F9C">
              <w:rPr>
                <w:rFonts w:asciiTheme="minorHAnsi" w:eastAsia="Segoe UI" w:hAnsiTheme="minorHAnsi" w:cstheme="minorHAnsi"/>
                <w:color w:val="000000"/>
                <w:sz w:val="20"/>
                <w:szCs w:val="20"/>
              </w:rPr>
              <w:t xml:space="preserve">CART therapy </w:t>
            </w:r>
          </w:p>
        </w:tc>
        <w:tc>
          <w:tcPr>
            <w:tcW w:w="2366" w:type="dxa"/>
          </w:tcPr>
          <w:p w14:paraId="1152FA0E" w14:textId="05B4C3D8" w:rsidR="00191EBE" w:rsidRPr="000B5F9C" w:rsidRDefault="00531EA4"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Remain eligible for cilta-cel at 5L+</w:t>
            </w:r>
          </w:p>
        </w:tc>
        <w:tc>
          <w:tcPr>
            <w:tcW w:w="2367" w:type="dxa"/>
          </w:tcPr>
          <w:p w14:paraId="374FAD2C" w14:textId="1580030A" w:rsidR="00191EBE" w:rsidRPr="000B5F9C" w:rsidRDefault="00531EA4"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Treatment limited to on</w:t>
            </w:r>
            <w:r w:rsidR="00CD1186">
              <w:rPr>
                <w:rFonts w:asciiTheme="minorHAnsi" w:eastAsia="Segoe UI" w:hAnsiTheme="minorHAnsi" w:cstheme="minorHAnsi"/>
                <w:color w:val="000000"/>
                <w:sz w:val="20"/>
                <w:szCs w:val="20"/>
              </w:rPr>
              <w:t>e successful infusion</w:t>
            </w:r>
            <w:r w:rsidRPr="000B5F9C">
              <w:rPr>
                <w:rFonts w:asciiTheme="minorHAnsi" w:eastAsia="Segoe UI" w:hAnsiTheme="minorHAnsi" w:cstheme="minorHAnsi"/>
                <w:color w:val="000000"/>
                <w:sz w:val="20"/>
                <w:szCs w:val="20"/>
              </w:rPr>
              <w:t xml:space="preserve"> per lifetime CART therapy</w:t>
            </w:r>
          </w:p>
        </w:tc>
      </w:tr>
      <w:tr w:rsidR="00C94331" w:rsidRPr="000B5F9C" w14:paraId="250CE281" w14:textId="77777777" w:rsidTr="00FB293B">
        <w:tc>
          <w:tcPr>
            <w:tcW w:w="2366" w:type="dxa"/>
          </w:tcPr>
          <w:p w14:paraId="287B049E" w14:textId="392C793A" w:rsidR="00C94331" w:rsidRPr="000B5F9C" w:rsidRDefault="00B120B3"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Option to use an</w:t>
            </w:r>
            <w:r w:rsidR="00C94331" w:rsidRPr="000B5F9C">
              <w:rPr>
                <w:rFonts w:asciiTheme="minorHAnsi" w:eastAsia="Segoe UI" w:hAnsiTheme="minorHAnsi" w:cstheme="minorHAnsi"/>
                <w:color w:val="000000"/>
                <w:sz w:val="20"/>
                <w:szCs w:val="20"/>
              </w:rPr>
              <w:t xml:space="preserve"> IMiD</w:t>
            </w:r>
            <w:r w:rsidRPr="000B5F9C">
              <w:rPr>
                <w:rFonts w:asciiTheme="minorHAnsi" w:eastAsia="Segoe UI" w:hAnsiTheme="minorHAnsi" w:cstheme="minorHAnsi"/>
                <w:color w:val="000000"/>
                <w:sz w:val="20"/>
                <w:szCs w:val="20"/>
              </w:rPr>
              <w:t xml:space="preserve"> or </w:t>
            </w:r>
            <w:r w:rsidR="00C94331" w:rsidRPr="000B5F9C">
              <w:rPr>
                <w:rFonts w:asciiTheme="minorHAnsi" w:eastAsia="Segoe UI" w:hAnsiTheme="minorHAnsi" w:cstheme="minorHAnsi"/>
                <w:color w:val="000000"/>
                <w:sz w:val="20"/>
                <w:szCs w:val="20"/>
              </w:rPr>
              <w:t>PI</w:t>
            </w:r>
            <w:r w:rsidRPr="000B5F9C">
              <w:rPr>
                <w:rFonts w:asciiTheme="minorHAnsi" w:eastAsia="Segoe UI" w:hAnsiTheme="minorHAnsi" w:cstheme="minorHAnsi"/>
                <w:color w:val="000000"/>
                <w:sz w:val="20"/>
                <w:szCs w:val="20"/>
              </w:rPr>
              <w:t xml:space="preserve"> upon relapse</w:t>
            </w:r>
          </w:p>
        </w:tc>
        <w:tc>
          <w:tcPr>
            <w:tcW w:w="4732" w:type="dxa"/>
            <w:gridSpan w:val="2"/>
          </w:tcPr>
          <w:p w14:paraId="77A4BF36" w14:textId="0791189C" w:rsidR="00C94331" w:rsidRPr="000B5F9C" w:rsidRDefault="00C94331"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No difference (unchanged)</w:t>
            </w:r>
          </w:p>
        </w:tc>
        <w:tc>
          <w:tcPr>
            <w:tcW w:w="2367" w:type="dxa"/>
          </w:tcPr>
          <w:p w14:paraId="06487714" w14:textId="01D385DA" w:rsidR="00C94331" w:rsidRPr="000B5F9C" w:rsidRDefault="00FD2494" w:rsidP="00FB293B">
            <w:pPr>
              <w:keepNext/>
              <w:rPr>
                <w:rFonts w:asciiTheme="minorHAnsi" w:eastAsia="Segoe UI" w:hAnsiTheme="minorHAnsi" w:cstheme="minorHAnsi"/>
                <w:color w:val="000000"/>
                <w:sz w:val="20"/>
                <w:szCs w:val="20"/>
              </w:rPr>
            </w:pPr>
            <w:r w:rsidRPr="000B5F9C">
              <w:rPr>
                <w:rFonts w:asciiTheme="minorHAnsi" w:eastAsia="Segoe UI" w:hAnsiTheme="minorHAnsi" w:cstheme="minorHAnsi"/>
                <w:color w:val="000000"/>
                <w:sz w:val="20"/>
                <w:szCs w:val="20"/>
              </w:rPr>
              <w:t>Treatment will</w:t>
            </w:r>
            <w:r w:rsidR="00C94331" w:rsidRPr="000B5F9C">
              <w:rPr>
                <w:rFonts w:asciiTheme="minorHAnsi" w:eastAsia="Segoe UI" w:hAnsiTheme="minorHAnsi" w:cstheme="minorHAnsi"/>
                <w:color w:val="000000"/>
                <w:sz w:val="20"/>
                <w:szCs w:val="20"/>
              </w:rPr>
              <w:t xml:space="preserve"> depend on </w:t>
            </w:r>
            <w:r w:rsidRPr="000B5F9C">
              <w:rPr>
                <w:rFonts w:asciiTheme="minorHAnsi" w:eastAsia="Segoe UI" w:hAnsiTheme="minorHAnsi" w:cstheme="minorHAnsi"/>
                <w:color w:val="000000"/>
                <w:sz w:val="20"/>
                <w:szCs w:val="20"/>
              </w:rPr>
              <w:t xml:space="preserve">multiple factors, including treatment history </w:t>
            </w:r>
            <w:r w:rsidR="00B120B3" w:rsidRPr="000B5F9C">
              <w:rPr>
                <w:rFonts w:asciiTheme="minorHAnsi" w:eastAsia="Segoe UI" w:hAnsiTheme="minorHAnsi" w:cstheme="minorHAnsi"/>
                <w:color w:val="000000"/>
                <w:sz w:val="20"/>
                <w:szCs w:val="20"/>
              </w:rPr>
              <w:t>(type, response, toxicity). Refer to ‘Algorithm’ section.</w:t>
            </w:r>
          </w:p>
        </w:tc>
      </w:tr>
    </w:tbl>
    <w:p w14:paraId="0EB5EB03" w14:textId="2F640491" w:rsidR="005837E9" w:rsidRPr="00F849F2" w:rsidRDefault="00F47AFE" w:rsidP="00071A7D">
      <w:pPr>
        <w:keepNext/>
        <w:spacing w:before="240"/>
        <w:jc w:val="both"/>
        <w:rPr>
          <w:rFonts w:asciiTheme="minorHAnsi" w:hAnsiTheme="minorHAnsi" w:cstheme="minorHAnsi"/>
          <w:b/>
          <w:sz w:val="24"/>
          <w:szCs w:val="24"/>
        </w:rPr>
      </w:pPr>
      <w:r w:rsidRPr="00F849F2">
        <w:rPr>
          <w:rFonts w:asciiTheme="minorHAnsi" w:hAnsiTheme="minorHAnsi" w:cstheme="minorHAnsi"/>
          <w:b/>
          <w:sz w:val="24"/>
          <w:szCs w:val="24"/>
        </w:rPr>
        <w:t xml:space="preserve">Insert </w:t>
      </w:r>
      <w:r w:rsidR="00545A4C" w:rsidRPr="00F849F2">
        <w:rPr>
          <w:rFonts w:asciiTheme="minorHAnsi" w:hAnsiTheme="minorHAnsi" w:cstheme="minorHAnsi"/>
          <w:b/>
          <w:sz w:val="24"/>
          <w:szCs w:val="24"/>
        </w:rPr>
        <w:t>diagrams demonstrating the clinical management algorithm with and without the proposed health technology:</w:t>
      </w:r>
    </w:p>
    <w:p w14:paraId="47F6B92D" w14:textId="26C7E560" w:rsidR="00AF0D0E" w:rsidRPr="003965AF" w:rsidRDefault="003965AF" w:rsidP="007520A6">
      <w:pPr>
        <w:pStyle w:val="Instructions"/>
        <w:jc w:val="both"/>
        <w:outlineLvl w:val="9"/>
        <w:rPr>
          <w:rFonts w:asciiTheme="minorHAnsi" w:eastAsiaTheme="minorHAnsi" w:hAnsiTheme="minorHAnsi" w:cstheme="minorHAnsi"/>
          <w:i w:val="0"/>
          <w:iCs w:val="0"/>
          <w:color w:val="auto"/>
          <w:sz w:val="24"/>
          <w:szCs w:val="24"/>
        </w:rPr>
      </w:pPr>
      <w:r w:rsidRPr="00F52D37">
        <w:rPr>
          <w:rFonts w:asciiTheme="minorHAnsi" w:eastAsiaTheme="minorHAnsi" w:hAnsiTheme="minorHAnsi" w:cstheme="minorHAnsi"/>
          <w:i w:val="0"/>
          <w:iCs w:val="0"/>
          <w:color w:val="auto"/>
          <w:sz w:val="24"/>
          <w:szCs w:val="24"/>
        </w:rPr>
        <w:t xml:space="preserve">Refer to </w:t>
      </w:r>
      <w:r w:rsidR="004431C4" w:rsidRPr="00F52D37">
        <w:rPr>
          <w:rFonts w:asciiTheme="minorHAnsi" w:eastAsiaTheme="minorHAnsi" w:hAnsiTheme="minorHAnsi" w:cstheme="minorHAnsi"/>
          <w:i w:val="0"/>
          <w:iCs w:val="0"/>
          <w:color w:val="auto"/>
          <w:sz w:val="24"/>
          <w:szCs w:val="24"/>
        </w:rPr>
        <w:t>‘Algorithm’ section above for descriptive detail</w:t>
      </w:r>
      <w:r w:rsidR="00874F99" w:rsidRPr="00F52D37">
        <w:rPr>
          <w:rFonts w:asciiTheme="minorHAnsi" w:eastAsiaTheme="minorHAnsi" w:hAnsiTheme="minorHAnsi" w:cstheme="minorHAnsi"/>
          <w:i w:val="0"/>
          <w:iCs w:val="0"/>
          <w:color w:val="auto"/>
          <w:sz w:val="24"/>
          <w:szCs w:val="24"/>
        </w:rPr>
        <w:t xml:space="preserve"> on current and proposed algorithm</w:t>
      </w:r>
      <w:r w:rsidR="004431C4" w:rsidRPr="00F52D37">
        <w:rPr>
          <w:rFonts w:asciiTheme="minorHAnsi" w:eastAsiaTheme="minorHAnsi" w:hAnsiTheme="minorHAnsi" w:cstheme="minorHAnsi"/>
          <w:i w:val="0"/>
          <w:iCs w:val="0"/>
          <w:color w:val="auto"/>
          <w:sz w:val="24"/>
          <w:szCs w:val="24"/>
        </w:rPr>
        <w:t>.</w:t>
      </w:r>
      <w:r w:rsidR="00874F99" w:rsidRPr="00F52D37">
        <w:rPr>
          <w:rFonts w:asciiTheme="minorHAnsi" w:eastAsiaTheme="minorHAnsi" w:hAnsiTheme="minorHAnsi" w:cstheme="minorHAnsi"/>
          <w:i w:val="0"/>
          <w:iCs w:val="0"/>
          <w:color w:val="auto"/>
          <w:sz w:val="24"/>
          <w:szCs w:val="24"/>
        </w:rPr>
        <w:t xml:space="preserve"> The current algorithm</w:t>
      </w:r>
      <w:r w:rsidR="00863BD6" w:rsidRPr="00F52D37">
        <w:rPr>
          <w:rFonts w:asciiTheme="minorHAnsi" w:eastAsiaTheme="minorHAnsi" w:hAnsiTheme="minorHAnsi" w:cstheme="minorHAnsi"/>
          <w:i w:val="0"/>
          <w:iCs w:val="0"/>
          <w:color w:val="auto"/>
          <w:sz w:val="24"/>
          <w:szCs w:val="24"/>
        </w:rPr>
        <w:t xml:space="preserve"> is provided pictorially in </w:t>
      </w:r>
      <w:r w:rsidR="00863BD6" w:rsidRPr="00591DBB">
        <w:rPr>
          <w:rFonts w:asciiTheme="minorHAnsi" w:eastAsiaTheme="minorHAnsi" w:hAnsiTheme="minorHAnsi" w:cstheme="minorHAnsi"/>
          <w:i w:val="0"/>
          <w:iCs w:val="0"/>
          <w:color w:val="auto"/>
          <w:sz w:val="24"/>
          <w:szCs w:val="24"/>
        </w:rPr>
        <w:t xml:space="preserve">Figure </w:t>
      </w:r>
      <w:r w:rsidR="00F52D37" w:rsidRPr="00591DBB">
        <w:rPr>
          <w:rFonts w:asciiTheme="minorHAnsi" w:eastAsiaTheme="minorHAnsi" w:hAnsiTheme="minorHAnsi" w:cstheme="minorHAnsi"/>
          <w:i w:val="0"/>
          <w:iCs w:val="0"/>
          <w:color w:val="auto"/>
          <w:sz w:val="24"/>
          <w:szCs w:val="24"/>
        </w:rPr>
        <w:t>7</w:t>
      </w:r>
      <w:r w:rsidR="00863BD6" w:rsidRPr="00591DBB">
        <w:rPr>
          <w:rFonts w:asciiTheme="minorHAnsi" w:eastAsiaTheme="minorHAnsi" w:hAnsiTheme="minorHAnsi" w:cstheme="minorHAnsi"/>
          <w:i w:val="0"/>
          <w:iCs w:val="0"/>
          <w:color w:val="auto"/>
          <w:sz w:val="24"/>
          <w:szCs w:val="24"/>
        </w:rPr>
        <w:t xml:space="preserve"> below</w:t>
      </w:r>
      <w:r w:rsidR="00863BD6" w:rsidRPr="00F52D37">
        <w:rPr>
          <w:rFonts w:asciiTheme="minorHAnsi" w:eastAsiaTheme="minorHAnsi" w:hAnsiTheme="minorHAnsi" w:cstheme="minorHAnsi"/>
          <w:i w:val="0"/>
          <w:iCs w:val="0"/>
          <w:color w:val="auto"/>
          <w:sz w:val="24"/>
          <w:szCs w:val="24"/>
        </w:rPr>
        <w:t>, and</w:t>
      </w:r>
      <w:r w:rsidR="00874F99" w:rsidRPr="00F52D37">
        <w:rPr>
          <w:rFonts w:asciiTheme="minorHAnsi" w:eastAsiaTheme="minorHAnsi" w:hAnsiTheme="minorHAnsi" w:cstheme="minorHAnsi"/>
          <w:i w:val="0"/>
          <w:iCs w:val="0"/>
          <w:color w:val="auto"/>
          <w:sz w:val="24"/>
          <w:szCs w:val="24"/>
        </w:rPr>
        <w:t xml:space="preserve"> has included near-market comparators</w:t>
      </w:r>
      <w:r w:rsidR="00141BF0" w:rsidRPr="00F52D37">
        <w:rPr>
          <w:rFonts w:asciiTheme="minorHAnsi" w:eastAsiaTheme="minorHAnsi" w:hAnsiTheme="minorHAnsi" w:cstheme="minorHAnsi"/>
          <w:i w:val="0"/>
          <w:iCs w:val="0"/>
          <w:color w:val="auto"/>
          <w:sz w:val="24"/>
          <w:szCs w:val="24"/>
        </w:rPr>
        <w:t xml:space="preserve"> (i.e., </w:t>
      </w:r>
      <w:proofErr w:type="spellStart"/>
      <w:r w:rsidR="00C01BB6" w:rsidRPr="00F52D37">
        <w:rPr>
          <w:rFonts w:asciiTheme="minorHAnsi" w:eastAsiaTheme="minorHAnsi" w:hAnsiTheme="minorHAnsi" w:cstheme="minorHAnsi"/>
          <w:i w:val="0"/>
          <w:iCs w:val="0"/>
          <w:color w:val="auto"/>
          <w:sz w:val="24"/>
          <w:szCs w:val="24"/>
        </w:rPr>
        <w:t>belantamab</w:t>
      </w:r>
      <w:proofErr w:type="spellEnd"/>
      <w:r w:rsidR="00C01BB6" w:rsidRPr="00F52D37">
        <w:rPr>
          <w:rFonts w:asciiTheme="minorHAnsi" w:eastAsiaTheme="minorHAnsi" w:hAnsiTheme="minorHAnsi" w:cstheme="minorHAnsi"/>
          <w:i w:val="0"/>
          <w:iCs w:val="0"/>
          <w:color w:val="auto"/>
          <w:sz w:val="24"/>
          <w:szCs w:val="24"/>
        </w:rPr>
        <w:t xml:space="preserve"> mafodotin</w:t>
      </w:r>
      <w:r w:rsidR="00141BF0" w:rsidRPr="00F52D37">
        <w:rPr>
          <w:rFonts w:asciiTheme="minorHAnsi" w:eastAsiaTheme="minorHAnsi" w:hAnsiTheme="minorHAnsi" w:cstheme="minorHAnsi"/>
          <w:i w:val="0"/>
          <w:iCs w:val="0"/>
          <w:color w:val="auto"/>
          <w:sz w:val="24"/>
          <w:szCs w:val="24"/>
        </w:rPr>
        <w:t xml:space="preserve">, and </w:t>
      </w:r>
      <w:proofErr w:type="spellStart"/>
      <w:r w:rsidR="00C01BB6" w:rsidRPr="00F52D37">
        <w:rPr>
          <w:rFonts w:asciiTheme="minorHAnsi" w:eastAsiaTheme="minorHAnsi" w:hAnsiTheme="minorHAnsi" w:cstheme="minorHAnsi"/>
          <w:i w:val="0"/>
          <w:iCs w:val="0"/>
          <w:color w:val="auto"/>
          <w:sz w:val="24"/>
          <w:szCs w:val="24"/>
        </w:rPr>
        <w:t>teclistamab</w:t>
      </w:r>
      <w:proofErr w:type="spellEnd"/>
      <w:r w:rsidR="00141BF0" w:rsidRPr="00F52D37">
        <w:rPr>
          <w:rFonts w:asciiTheme="minorHAnsi" w:eastAsiaTheme="minorHAnsi" w:hAnsiTheme="minorHAnsi" w:cstheme="minorHAnsi"/>
          <w:i w:val="0"/>
          <w:iCs w:val="0"/>
          <w:color w:val="auto"/>
          <w:sz w:val="24"/>
          <w:szCs w:val="24"/>
        </w:rPr>
        <w:t xml:space="preserve">, which have been recommended by </w:t>
      </w:r>
      <w:r w:rsidR="00141BF0" w:rsidRPr="00F52D37">
        <w:rPr>
          <w:rFonts w:asciiTheme="minorHAnsi" w:eastAsiaTheme="minorHAnsi" w:hAnsiTheme="minorHAnsi" w:cstheme="minorHAnsi"/>
          <w:i w:val="0"/>
          <w:iCs w:val="0"/>
          <w:color w:val="auto"/>
          <w:sz w:val="24"/>
          <w:szCs w:val="24"/>
        </w:rPr>
        <w:lastRenderedPageBreak/>
        <w:t xml:space="preserve">the PBAC but are not yet PBS listed). Furthermore, on the PBS, a patient is only able to access an anti-CD38 </w:t>
      </w:r>
      <w:r w:rsidR="00726310" w:rsidRPr="00F52D37">
        <w:rPr>
          <w:rFonts w:asciiTheme="minorHAnsi" w:eastAsiaTheme="minorHAnsi" w:hAnsiTheme="minorHAnsi" w:cstheme="minorHAnsi"/>
          <w:i w:val="0"/>
          <w:iCs w:val="0"/>
          <w:color w:val="auto"/>
          <w:sz w:val="24"/>
          <w:szCs w:val="24"/>
        </w:rPr>
        <w:t xml:space="preserve">therapy </w:t>
      </w:r>
      <w:r w:rsidR="00141BF0" w:rsidRPr="00F52D37">
        <w:rPr>
          <w:rFonts w:asciiTheme="minorHAnsi" w:eastAsiaTheme="minorHAnsi" w:hAnsiTheme="minorHAnsi" w:cstheme="minorHAnsi"/>
          <w:i w:val="0"/>
          <w:iCs w:val="0"/>
          <w:color w:val="auto"/>
          <w:sz w:val="24"/>
          <w:szCs w:val="24"/>
        </w:rPr>
        <w:t xml:space="preserve">(e.g., daratumumab) and a BCMA directed therapy (e.g., cilta-cel, </w:t>
      </w:r>
      <w:proofErr w:type="spellStart"/>
      <w:r w:rsidR="00C01BB6" w:rsidRPr="00F52D37">
        <w:rPr>
          <w:rFonts w:asciiTheme="minorHAnsi" w:eastAsiaTheme="minorHAnsi" w:hAnsiTheme="minorHAnsi" w:cstheme="minorHAnsi"/>
          <w:i w:val="0"/>
          <w:iCs w:val="0"/>
          <w:color w:val="auto"/>
          <w:sz w:val="24"/>
          <w:szCs w:val="24"/>
        </w:rPr>
        <w:t>teclistamab</w:t>
      </w:r>
      <w:proofErr w:type="spellEnd"/>
      <w:r w:rsidR="00141BF0" w:rsidRPr="00F52D37">
        <w:rPr>
          <w:rFonts w:asciiTheme="minorHAnsi" w:eastAsiaTheme="minorHAnsi" w:hAnsiTheme="minorHAnsi" w:cstheme="minorHAnsi"/>
          <w:i w:val="0"/>
          <w:iCs w:val="0"/>
          <w:color w:val="auto"/>
          <w:sz w:val="24"/>
          <w:szCs w:val="24"/>
        </w:rPr>
        <w:t xml:space="preserve">, </w:t>
      </w:r>
      <w:proofErr w:type="spellStart"/>
      <w:r w:rsidR="00141BF0" w:rsidRPr="00F52D37">
        <w:rPr>
          <w:rFonts w:asciiTheme="minorHAnsi" w:eastAsiaTheme="minorHAnsi" w:hAnsiTheme="minorHAnsi" w:cstheme="minorHAnsi"/>
          <w:i w:val="0"/>
          <w:iCs w:val="0"/>
          <w:color w:val="auto"/>
          <w:sz w:val="24"/>
          <w:szCs w:val="24"/>
        </w:rPr>
        <w:t>elranatamab</w:t>
      </w:r>
      <w:proofErr w:type="spellEnd"/>
      <w:r w:rsidR="00141BF0" w:rsidRPr="00F52D37">
        <w:rPr>
          <w:rFonts w:asciiTheme="minorHAnsi" w:eastAsiaTheme="minorHAnsi" w:hAnsiTheme="minorHAnsi" w:cstheme="minorHAnsi"/>
          <w:i w:val="0"/>
          <w:iCs w:val="0"/>
          <w:color w:val="auto"/>
          <w:sz w:val="24"/>
          <w:szCs w:val="24"/>
        </w:rPr>
        <w:t xml:space="preserve">, </w:t>
      </w:r>
      <w:proofErr w:type="spellStart"/>
      <w:r w:rsidR="0069193E" w:rsidRPr="00F52D37">
        <w:rPr>
          <w:rFonts w:asciiTheme="minorHAnsi" w:eastAsiaTheme="minorHAnsi" w:hAnsiTheme="minorHAnsi" w:cstheme="minorHAnsi"/>
          <w:i w:val="0"/>
          <w:iCs w:val="0"/>
          <w:color w:val="auto"/>
          <w:sz w:val="24"/>
          <w:szCs w:val="24"/>
        </w:rPr>
        <w:t>belantamab</w:t>
      </w:r>
      <w:proofErr w:type="spellEnd"/>
      <w:r w:rsidR="0069193E" w:rsidRPr="00F52D37">
        <w:rPr>
          <w:rFonts w:asciiTheme="minorHAnsi" w:eastAsiaTheme="minorHAnsi" w:hAnsiTheme="minorHAnsi" w:cstheme="minorHAnsi"/>
          <w:i w:val="0"/>
          <w:iCs w:val="0"/>
          <w:color w:val="auto"/>
          <w:sz w:val="24"/>
          <w:szCs w:val="24"/>
        </w:rPr>
        <w:t xml:space="preserve"> </w:t>
      </w:r>
      <w:r w:rsidR="00726310" w:rsidRPr="00F52D37">
        <w:rPr>
          <w:rFonts w:asciiTheme="minorHAnsi" w:eastAsiaTheme="minorHAnsi" w:hAnsiTheme="minorHAnsi" w:cstheme="minorHAnsi"/>
          <w:i w:val="0"/>
          <w:iCs w:val="0"/>
          <w:color w:val="auto"/>
          <w:sz w:val="24"/>
          <w:szCs w:val="24"/>
        </w:rPr>
        <w:t>mafodotin) once.</w:t>
      </w:r>
    </w:p>
    <w:p w14:paraId="662D4B9A" w14:textId="77777777" w:rsidR="009F3560" w:rsidRDefault="009F3560" w:rsidP="00AF0D0E">
      <w:pPr>
        <w:keepNext/>
        <w:jc w:val="both"/>
        <w:rPr>
          <w:rFonts w:asciiTheme="minorHAnsi" w:hAnsiTheme="minorHAnsi" w:cstheme="minorHAnsi"/>
          <w:b/>
          <w:bCs/>
          <w:sz w:val="24"/>
          <w:szCs w:val="24"/>
        </w:rPr>
        <w:sectPr w:rsidR="009F3560" w:rsidSect="000E1074">
          <w:pgSz w:w="11906" w:h="16838"/>
          <w:pgMar w:top="1134" w:right="991" w:bottom="1135" w:left="1440" w:header="426" w:footer="252" w:gutter="0"/>
          <w:pgNumType w:start="0"/>
          <w:cols w:space="708"/>
          <w:titlePg/>
          <w:docGrid w:linePitch="360"/>
        </w:sectPr>
      </w:pPr>
    </w:p>
    <w:p w14:paraId="1062420A" w14:textId="2898E8AF" w:rsidR="001F6E45" w:rsidRPr="00AF0D0E" w:rsidRDefault="00AF0D0E" w:rsidP="00AF0D0E">
      <w:pPr>
        <w:keepNext/>
        <w:jc w:val="both"/>
        <w:rPr>
          <w:rFonts w:asciiTheme="minorHAnsi" w:hAnsiTheme="minorHAnsi" w:cstheme="minorHAnsi"/>
          <w:b/>
          <w:bCs/>
          <w:sz w:val="24"/>
          <w:szCs w:val="24"/>
        </w:rPr>
      </w:pPr>
      <w:r w:rsidRPr="00FB494D">
        <w:rPr>
          <w:rFonts w:asciiTheme="minorHAnsi" w:hAnsiTheme="minorHAnsi" w:cstheme="minorHAnsi"/>
          <w:b/>
          <w:bCs/>
          <w:sz w:val="24"/>
          <w:szCs w:val="24"/>
        </w:rPr>
        <w:lastRenderedPageBreak/>
        <w:t xml:space="preserve">Figure </w:t>
      </w:r>
      <w:r w:rsidR="006C4938">
        <w:rPr>
          <w:rFonts w:asciiTheme="minorHAnsi" w:hAnsiTheme="minorHAnsi" w:cstheme="minorHAnsi"/>
          <w:b/>
          <w:bCs/>
          <w:sz w:val="24"/>
          <w:szCs w:val="24"/>
        </w:rPr>
        <w:t>7</w:t>
      </w:r>
      <w:r w:rsidRPr="00FB494D">
        <w:rPr>
          <w:rFonts w:asciiTheme="minorHAnsi" w:hAnsiTheme="minorHAnsi" w:cstheme="minorHAnsi"/>
          <w:b/>
          <w:bCs/>
          <w:sz w:val="24"/>
          <w:szCs w:val="24"/>
        </w:rPr>
        <w:t xml:space="preserve">: </w:t>
      </w:r>
      <w:r>
        <w:rPr>
          <w:rFonts w:asciiTheme="minorHAnsi" w:hAnsiTheme="minorHAnsi" w:cstheme="minorHAnsi"/>
          <w:b/>
          <w:bCs/>
          <w:sz w:val="24"/>
          <w:szCs w:val="24"/>
        </w:rPr>
        <w:t>Current treatment algorithm</w:t>
      </w:r>
    </w:p>
    <w:p w14:paraId="267DF022" w14:textId="4C685E94" w:rsidR="00AF0D0E" w:rsidRDefault="00216BD4" w:rsidP="009F3560">
      <w:pPr>
        <w:jc w:val="center"/>
        <w:rPr>
          <w:rFonts w:asciiTheme="minorHAnsi" w:hAnsiTheme="minorHAnsi" w:cstheme="minorHAnsi"/>
          <w:highlight w:val="lightGray"/>
        </w:rPr>
      </w:pPr>
      <w:r w:rsidRPr="00216BD4">
        <w:rPr>
          <w:noProof/>
        </w:rPr>
        <w:t xml:space="preserve"> </w:t>
      </w:r>
      <w:r>
        <w:rPr>
          <w:noProof/>
        </w:rPr>
        <w:drawing>
          <wp:inline distT="0" distB="0" distL="0" distR="0" wp14:anchorId="75544975" wp14:editId="6420691E">
            <wp:extent cx="8684520" cy="4885266"/>
            <wp:effectExtent l="0" t="0" r="2540" b="0"/>
            <wp:docPr id="1212575340" name="Graphic 1" descr="Current treatment algorith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575340" name="Graphic 1" descr="Current treatment algorithm"/>
                    <pic:cNvPicPr/>
                  </pic:nvPicPr>
                  <pic:blipFill>
                    <a:blip r:embed="rId23">
                      <a:extLst>
                        <a:ext uri="{96DAC541-7B7A-43D3-8B79-37D633B846F1}">
                          <asvg:svgBlip xmlns:asvg="http://schemas.microsoft.com/office/drawing/2016/SVG/main" r:embed="rId24"/>
                        </a:ext>
                      </a:extLst>
                    </a:blip>
                    <a:stretch>
                      <a:fillRect/>
                    </a:stretch>
                  </pic:blipFill>
                  <pic:spPr>
                    <a:xfrm>
                      <a:off x="0" y="0"/>
                      <a:ext cx="8698168" cy="4892943"/>
                    </a:xfrm>
                    <a:prstGeom prst="rect">
                      <a:avLst/>
                    </a:prstGeom>
                  </pic:spPr>
                </pic:pic>
              </a:graphicData>
            </a:graphic>
          </wp:inline>
        </w:drawing>
      </w:r>
    </w:p>
    <w:p w14:paraId="35F31869" w14:textId="77777777" w:rsidR="00B00018" w:rsidRDefault="00216BD4" w:rsidP="009F3560">
      <w:pPr>
        <w:jc w:val="both"/>
        <w:rPr>
          <w:rFonts w:asciiTheme="minorHAnsi" w:hAnsiTheme="minorHAnsi" w:cstheme="minorHAnsi"/>
          <w:sz w:val="18"/>
          <w:szCs w:val="18"/>
        </w:rPr>
      </w:pPr>
      <w:r>
        <w:rPr>
          <w:rFonts w:asciiTheme="minorHAnsi" w:hAnsiTheme="minorHAnsi" w:cstheme="minorHAnsi"/>
          <w:sz w:val="18"/>
          <w:szCs w:val="18"/>
        </w:rPr>
        <w:t xml:space="preserve">Note: Near market comparators </w:t>
      </w:r>
      <w:proofErr w:type="spellStart"/>
      <w:r>
        <w:rPr>
          <w:rFonts w:asciiTheme="minorHAnsi" w:hAnsiTheme="minorHAnsi" w:cstheme="minorHAnsi"/>
          <w:sz w:val="18"/>
          <w:szCs w:val="18"/>
        </w:rPr>
        <w:t>BmBd</w:t>
      </w:r>
      <w:proofErr w:type="spellEnd"/>
      <w:r>
        <w:rPr>
          <w:rFonts w:asciiTheme="minorHAnsi" w:hAnsiTheme="minorHAnsi" w:cstheme="minorHAnsi"/>
          <w:sz w:val="18"/>
          <w:szCs w:val="18"/>
        </w:rPr>
        <w:t xml:space="preserve"> and TEC are e</w:t>
      </w:r>
      <w:r w:rsidR="00B00018">
        <w:rPr>
          <w:rFonts w:asciiTheme="minorHAnsi" w:hAnsiTheme="minorHAnsi" w:cstheme="minorHAnsi"/>
          <w:sz w:val="18"/>
          <w:szCs w:val="18"/>
        </w:rPr>
        <w:t>xcluded as they are not currently listed on the PBS.</w:t>
      </w:r>
    </w:p>
    <w:p w14:paraId="62418972" w14:textId="1A4DCE61" w:rsidR="009F3560" w:rsidRPr="009F3560" w:rsidRDefault="0069193E" w:rsidP="009F3560">
      <w:pPr>
        <w:jc w:val="both"/>
        <w:rPr>
          <w:rFonts w:asciiTheme="minorHAnsi" w:hAnsiTheme="minorHAnsi" w:cstheme="minorHAnsi"/>
          <w:sz w:val="18"/>
          <w:szCs w:val="18"/>
        </w:rPr>
      </w:pPr>
      <w:r w:rsidRPr="0069193E">
        <w:rPr>
          <w:rFonts w:asciiTheme="minorHAnsi" w:hAnsiTheme="minorHAnsi" w:cstheme="minorHAnsi"/>
          <w:sz w:val="18"/>
          <w:szCs w:val="18"/>
        </w:rPr>
        <w:t xml:space="preserve">Abbreviations: </w:t>
      </w:r>
      <w:r w:rsidR="00B8506D" w:rsidRPr="00B8506D">
        <w:rPr>
          <w:rFonts w:asciiTheme="minorHAnsi" w:hAnsiTheme="minorHAnsi" w:cstheme="minorHAnsi"/>
          <w:sz w:val="18"/>
          <w:szCs w:val="18"/>
        </w:rPr>
        <w:t xml:space="preserve">Bd, bortezomib and dexamethasone; </w:t>
      </w:r>
      <w:proofErr w:type="spellStart"/>
      <w:r w:rsidR="00B8506D" w:rsidRPr="00B8506D">
        <w:rPr>
          <w:rFonts w:asciiTheme="minorHAnsi" w:hAnsiTheme="minorHAnsi" w:cstheme="minorHAnsi"/>
          <w:sz w:val="18"/>
          <w:szCs w:val="18"/>
        </w:rPr>
        <w:t>BLd</w:t>
      </w:r>
      <w:proofErr w:type="spellEnd"/>
      <w:r w:rsidR="00B8506D" w:rsidRPr="00B8506D">
        <w:rPr>
          <w:rFonts w:asciiTheme="minorHAnsi" w:hAnsiTheme="minorHAnsi" w:cstheme="minorHAnsi"/>
          <w:sz w:val="18"/>
          <w:szCs w:val="18"/>
        </w:rPr>
        <w:t xml:space="preserve">, bortezomib with lenalidomide and dexamethasone; </w:t>
      </w:r>
      <w:proofErr w:type="spellStart"/>
      <w:r w:rsidR="00B8506D" w:rsidRPr="00B8506D">
        <w:rPr>
          <w:rFonts w:asciiTheme="minorHAnsi" w:hAnsiTheme="minorHAnsi" w:cstheme="minorHAnsi"/>
          <w:sz w:val="18"/>
          <w:szCs w:val="18"/>
        </w:rPr>
        <w:t>Bcd</w:t>
      </w:r>
      <w:proofErr w:type="spellEnd"/>
      <w:r w:rsidR="00B8506D" w:rsidRPr="00B8506D">
        <w:rPr>
          <w:rFonts w:asciiTheme="minorHAnsi" w:hAnsiTheme="minorHAnsi" w:cstheme="minorHAnsi"/>
          <w:sz w:val="18"/>
          <w:szCs w:val="18"/>
        </w:rPr>
        <w:t xml:space="preserve">, bortezomib with cyclophosphamide and dexamethasone; </w:t>
      </w:r>
      <w:proofErr w:type="spellStart"/>
      <w:r w:rsidR="003844DD">
        <w:rPr>
          <w:rFonts w:asciiTheme="minorHAnsi" w:hAnsiTheme="minorHAnsi" w:cstheme="minorHAnsi"/>
          <w:sz w:val="18"/>
          <w:szCs w:val="18"/>
        </w:rPr>
        <w:t>BmBd</w:t>
      </w:r>
      <w:proofErr w:type="spellEnd"/>
      <w:r w:rsidR="003844DD">
        <w:rPr>
          <w:rFonts w:asciiTheme="minorHAnsi" w:hAnsiTheme="minorHAnsi" w:cstheme="minorHAnsi"/>
          <w:sz w:val="18"/>
          <w:szCs w:val="18"/>
        </w:rPr>
        <w:t>,</w:t>
      </w:r>
      <w:r w:rsidR="005B0EA1">
        <w:rPr>
          <w:rFonts w:asciiTheme="minorHAnsi" w:hAnsiTheme="minorHAnsi" w:cstheme="minorHAnsi"/>
          <w:sz w:val="18"/>
          <w:szCs w:val="18"/>
        </w:rPr>
        <w:t xml:space="preserve"> </w:t>
      </w:r>
      <w:proofErr w:type="spellStart"/>
      <w:r w:rsidR="005B0EA1" w:rsidRPr="005B0EA1">
        <w:rPr>
          <w:rFonts w:asciiTheme="minorHAnsi" w:hAnsiTheme="minorHAnsi" w:cstheme="minorHAnsi"/>
          <w:sz w:val="18"/>
          <w:szCs w:val="18"/>
        </w:rPr>
        <w:t>belantamab</w:t>
      </w:r>
      <w:proofErr w:type="spellEnd"/>
      <w:r w:rsidR="005B0EA1" w:rsidRPr="005B0EA1">
        <w:rPr>
          <w:rFonts w:asciiTheme="minorHAnsi" w:hAnsiTheme="minorHAnsi" w:cstheme="minorHAnsi"/>
          <w:sz w:val="18"/>
          <w:szCs w:val="18"/>
        </w:rPr>
        <w:t xml:space="preserve"> mafodotin</w:t>
      </w:r>
      <w:r w:rsidR="005B0EA1">
        <w:rPr>
          <w:rFonts w:asciiTheme="minorHAnsi" w:hAnsiTheme="minorHAnsi" w:cstheme="minorHAnsi"/>
          <w:sz w:val="18"/>
          <w:szCs w:val="18"/>
        </w:rPr>
        <w:t>;</w:t>
      </w:r>
      <w:r w:rsidR="003844DD">
        <w:rPr>
          <w:rFonts w:asciiTheme="minorHAnsi" w:hAnsiTheme="minorHAnsi" w:cstheme="minorHAnsi"/>
          <w:sz w:val="18"/>
          <w:szCs w:val="18"/>
        </w:rPr>
        <w:t xml:space="preserve"> </w:t>
      </w:r>
      <w:r w:rsidR="00B8506D">
        <w:rPr>
          <w:rFonts w:asciiTheme="minorHAnsi" w:hAnsiTheme="minorHAnsi" w:cstheme="minorHAnsi"/>
          <w:sz w:val="18"/>
          <w:szCs w:val="18"/>
        </w:rPr>
        <w:t xml:space="preserve">CC, cilta-cel; </w:t>
      </w:r>
      <w:r w:rsidR="00B8506D" w:rsidRPr="00B8506D">
        <w:rPr>
          <w:rFonts w:asciiTheme="minorHAnsi" w:hAnsiTheme="minorHAnsi" w:cstheme="minorHAnsi"/>
          <w:sz w:val="18"/>
          <w:szCs w:val="18"/>
        </w:rPr>
        <w:t xml:space="preserve">Cd, carfilzomib and dexamethasone; </w:t>
      </w:r>
      <w:proofErr w:type="spellStart"/>
      <w:r w:rsidR="00B8506D" w:rsidRPr="00B8506D">
        <w:rPr>
          <w:rFonts w:asciiTheme="minorHAnsi" w:hAnsiTheme="minorHAnsi" w:cstheme="minorHAnsi"/>
          <w:sz w:val="18"/>
          <w:szCs w:val="18"/>
        </w:rPr>
        <w:t>CLd</w:t>
      </w:r>
      <w:proofErr w:type="spellEnd"/>
      <w:r w:rsidR="00B8506D" w:rsidRPr="00B8506D">
        <w:rPr>
          <w:rFonts w:asciiTheme="minorHAnsi" w:hAnsiTheme="minorHAnsi" w:cstheme="minorHAnsi"/>
          <w:sz w:val="18"/>
          <w:szCs w:val="18"/>
        </w:rPr>
        <w:t xml:space="preserve">, carfilzomib with lenalidomide and dexamethasone; </w:t>
      </w:r>
      <w:proofErr w:type="spellStart"/>
      <w:r w:rsidR="00B8506D" w:rsidRPr="00B8506D">
        <w:rPr>
          <w:rFonts w:asciiTheme="minorHAnsi" w:hAnsiTheme="minorHAnsi" w:cstheme="minorHAnsi"/>
          <w:sz w:val="18"/>
          <w:szCs w:val="18"/>
        </w:rPr>
        <w:t>DBd</w:t>
      </w:r>
      <w:proofErr w:type="spellEnd"/>
      <w:r w:rsidR="00B8506D" w:rsidRPr="00B8506D">
        <w:rPr>
          <w:rFonts w:asciiTheme="minorHAnsi" w:hAnsiTheme="minorHAnsi" w:cstheme="minorHAnsi"/>
          <w:sz w:val="18"/>
          <w:szCs w:val="18"/>
        </w:rPr>
        <w:t xml:space="preserve">, daratumumab with bortezomib and dexamethasone; </w:t>
      </w:r>
      <w:proofErr w:type="spellStart"/>
      <w:r w:rsidR="00B8506D" w:rsidRPr="00B8506D">
        <w:rPr>
          <w:rFonts w:asciiTheme="minorHAnsi" w:hAnsiTheme="minorHAnsi" w:cstheme="minorHAnsi"/>
          <w:sz w:val="18"/>
          <w:szCs w:val="18"/>
        </w:rPr>
        <w:t>DLd</w:t>
      </w:r>
      <w:proofErr w:type="spellEnd"/>
      <w:r w:rsidR="00B8506D" w:rsidRPr="00B8506D">
        <w:rPr>
          <w:rFonts w:asciiTheme="minorHAnsi" w:hAnsiTheme="minorHAnsi" w:cstheme="minorHAnsi"/>
          <w:sz w:val="18"/>
          <w:szCs w:val="18"/>
        </w:rPr>
        <w:t xml:space="preserve">, daratumumab with lenalidomide and dexamethasone; </w:t>
      </w:r>
      <w:r w:rsidR="00B8506D">
        <w:rPr>
          <w:rFonts w:asciiTheme="minorHAnsi" w:hAnsiTheme="minorHAnsi" w:cstheme="minorHAnsi"/>
          <w:sz w:val="18"/>
          <w:szCs w:val="18"/>
        </w:rPr>
        <w:t xml:space="preserve">ELR, </w:t>
      </w:r>
      <w:proofErr w:type="spellStart"/>
      <w:r w:rsidR="00B8506D">
        <w:rPr>
          <w:rFonts w:asciiTheme="minorHAnsi" w:hAnsiTheme="minorHAnsi" w:cstheme="minorHAnsi"/>
          <w:sz w:val="18"/>
          <w:szCs w:val="18"/>
        </w:rPr>
        <w:t>elranatamab</w:t>
      </w:r>
      <w:proofErr w:type="spellEnd"/>
      <w:r w:rsidR="00B8506D">
        <w:rPr>
          <w:rFonts w:asciiTheme="minorHAnsi" w:hAnsiTheme="minorHAnsi" w:cstheme="minorHAnsi"/>
          <w:sz w:val="18"/>
          <w:szCs w:val="18"/>
        </w:rPr>
        <w:t xml:space="preserve">; </w:t>
      </w:r>
      <w:proofErr w:type="spellStart"/>
      <w:r w:rsidR="00B8506D" w:rsidRPr="00B8506D">
        <w:rPr>
          <w:rFonts w:asciiTheme="minorHAnsi" w:hAnsiTheme="minorHAnsi" w:cstheme="minorHAnsi"/>
          <w:sz w:val="18"/>
          <w:szCs w:val="18"/>
        </w:rPr>
        <w:t>Ld</w:t>
      </w:r>
      <w:proofErr w:type="spellEnd"/>
      <w:r w:rsidR="00B8506D" w:rsidRPr="00B8506D">
        <w:rPr>
          <w:rFonts w:asciiTheme="minorHAnsi" w:hAnsiTheme="minorHAnsi" w:cstheme="minorHAnsi"/>
          <w:sz w:val="18"/>
          <w:szCs w:val="18"/>
        </w:rPr>
        <w:t xml:space="preserve">, lenalidomide and dexamethasone; Pd, pomalidomide and dexamethasone; </w:t>
      </w:r>
      <w:proofErr w:type="spellStart"/>
      <w:r w:rsidR="00B8506D" w:rsidRPr="00B8506D">
        <w:rPr>
          <w:rFonts w:asciiTheme="minorHAnsi" w:hAnsiTheme="minorHAnsi" w:cstheme="minorHAnsi"/>
          <w:sz w:val="18"/>
          <w:szCs w:val="18"/>
        </w:rPr>
        <w:t>PBd</w:t>
      </w:r>
      <w:proofErr w:type="spellEnd"/>
      <w:r w:rsidR="00B8506D" w:rsidRPr="00B8506D">
        <w:rPr>
          <w:rFonts w:asciiTheme="minorHAnsi" w:hAnsiTheme="minorHAnsi" w:cstheme="minorHAnsi"/>
          <w:sz w:val="18"/>
          <w:szCs w:val="18"/>
        </w:rPr>
        <w:t xml:space="preserve">, pomalidomide with bortezomib and dexamethasone; Sd, selinexor and dexamethasone; </w:t>
      </w:r>
      <w:proofErr w:type="spellStart"/>
      <w:r w:rsidR="00B8506D" w:rsidRPr="00B8506D">
        <w:rPr>
          <w:rFonts w:asciiTheme="minorHAnsi" w:hAnsiTheme="minorHAnsi" w:cstheme="minorHAnsi"/>
          <w:sz w:val="18"/>
          <w:szCs w:val="18"/>
        </w:rPr>
        <w:t>SBd</w:t>
      </w:r>
      <w:proofErr w:type="spellEnd"/>
      <w:r w:rsidR="00B8506D" w:rsidRPr="00B8506D">
        <w:rPr>
          <w:rFonts w:asciiTheme="minorHAnsi" w:hAnsiTheme="minorHAnsi" w:cstheme="minorHAnsi"/>
          <w:sz w:val="18"/>
          <w:szCs w:val="18"/>
        </w:rPr>
        <w:t>, selinexor with bortezomib and dexamethasone</w:t>
      </w:r>
      <w:r w:rsidR="003844DD">
        <w:rPr>
          <w:rFonts w:asciiTheme="minorHAnsi" w:hAnsiTheme="minorHAnsi" w:cstheme="minorHAnsi"/>
          <w:sz w:val="18"/>
          <w:szCs w:val="18"/>
        </w:rPr>
        <w:t xml:space="preserve">; TEC, </w:t>
      </w:r>
      <w:proofErr w:type="spellStart"/>
      <w:r w:rsidR="003844DD">
        <w:rPr>
          <w:rFonts w:asciiTheme="minorHAnsi" w:hAnsiTheme="minorHAnsi" w:cstheme="minorHAnsi"/>
          <w:sz w:val="18"/>
          <w:szCs w:val="18"/>
        </w:rPr>
        <w:t>teclistamab</w:t>
      </w:r>
      <w:proofErr w:type="spellEnd"/>
      <w:r w:rsidR="00B8506D" w:rsidRPr="00B8506D">
        <w:rPr>
          <w:rFonts w:asciiTheme="minorHAnsi" w:hAnsiTheme="minorHAnsi" w:cstheme="minorHAnsi"/>
          <w:sz w:val="18"/>
          <w:szCs w:val="18"/>
        </w:rPr>
        <w:t>.</w:t>
      </w:r>
    </w:p>
    <w:p w14:paraId="2A79FC3C" w14:textId="29A7EAC6" w:rsidR="00193C97" w:rsidRPr="00193C97" w:rsidRDefault="00193C97" w:rsidP="00193C97">
      <w:pPr>
        <w:keepNext/>
        <w:jc w:val="both"/>
        <w:rPr>
          <w:rFonts w:asciiTheme="minorHAnsi" w:hAnsiTheme="minorHAnsi" w:cstheme="minorHAnsi"/>
          <w:b/>
          <w:bCs/>
          <w:sz w:val="24"/>
          <w:szCs w:val="24"/>
        </w:rPr>
      </w:pPr>
      <w:r w:rsidRPr="00FB494D">
        <w:rPr>
          <w:rFonts w:asciiTheme="minorHAnsi" w:hAnsiTheme="minorHAnsi" w:cstheme="minorHAnsi"/>
          <w:b/>
          <w:bCs/>
          <w:sz w:val="24"/>
          <w:szCs w:val="24"/>
        </w:rPr>
        <w:lastRenderedPageBreak/>
        <w:t xml:space="preserve">Figure </w:t>
      </w:r>
      <w:r w:rsidR="006C4938">
        <w:rPr>
          <w:rFonts w:asciiTheme="minorHAnsi" w:hAnsiTheme="minorHAnsi" w:cstheme="minorHAnsi"/>
          <w:b/>
          <w:bCs/>
          <w:sz w:val="24"/>
          <w:szCs w:val="24"/>
        </w:rPr>
        <w:t>8</w:t>
      </w:r>
      <w:r w:rsidRPr="00FB494D">
        <w:rPr>
          <w:rFonts w:asciiTheme="minorHAnsi" w:hAnsiTheme="minorHAnsi" w:cstheme="minorHAnsi"/>
          <w:b/>
          <w:bCs/>
          <w:sz w:val="24"/>
          <w:szCs w:val="24"/>
        </w:rPr>
        <w:t xml:space="preserve">: </w:t>
      </w:r>
      <w:r w:rsidR="00C2094C">
        <w:rPr>
          <w:rFonts w:asciiTheme="minorHAnsi" w:hAnsiTheme="minorHAnsi" w:cstheme="minorHAnsi"/>
          <w:b/>
          <w:bCs/>
          <w:sz w:val="24"/>
          <w:szCs w:val="24"/>
        </w:rPr>
        <w:t>Proposed</w:t>
      </w:r>
      <w:r>
        <w:rPr>
          <w:rFonts w:asciiTheme="minorHAnsi" w:hAnsiTheme="minorHAnsi" w:cstheme="minorHAnsi"/>
          <w:b/>
          <w:bCs/>
          <w:sz w:val="24"/>
          <w:szCs w:val="24"/>
        </w:rPr>
        <w:t xml:space="preserve"> treatment algorithm</w:t>
      </w:r>
      <w:r w:rsidR="00C2094C">
        <w:rPr>
          <w:rFonts w:asciiTheme="minorHAnsi" w:hAnsiTheme="minorHAnsi" w:cstheme="minorHAnsi"/>
          <w:b/>
          <w:bCs/>
          <w:sz w:val="24"/>
          <w:szCs w:val="24"/>
        </w:rPr>
        <w:t xml:space="preserve"> with cilta-cel NHRA funded for 5L+ MM</w:t>
      </w:r>
    </w:p>
    <w:p w14:paraId="6D5F59FE" w14:textId="1EA4DF4C" w:rsidR="00193C97" w:rsidRDefault="00A020C0" w:rsidP="009F3560">
      <w:pPr>
        <w:jc w:val="center"/>
        <w:rPr>
          <w:rFonts w:asciiTheme="minorHAnsi" w:hAnsiTheme="minorHAnsi" w:cstheme="minorHAnsi"/>
          <w:highlight w:val="lightGray"/>
        </w:rPr>
      </w:pPr>
      <w:r w:rsidRPr="00A020C0">
        <w:rPr>
          <w:noProof/>
        </w:rPr>
        <w:t xml:space="preserve"> </w:t>
      </w:r>
      <w:r>
        <w:rPr>
          <w:noProof/>
        </w:rPr>
        <w:drawing>
          <wp:inline distT="0" distB="0" distL="0" distR="0" wp14:anchorId="60B46F4A" wp14:editId="1ABF8499">
            <wp:extent cx="8712200" cy="4900837"/>
            <wp:effectExtent l="0" t="0" r="0" b="0"/>
            <wp:docPr id="908769171" name="Graphic 1" descr="Pictorial depiction of the proposed treatment algorith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69171" name="Graphic 1" descr="Pictorial depiction of the proposed treatment algorithm"/>
                    <pic:cNvPicPr/>
                  </pic:nvPicPr>
                  <pic:blipFill>
                    <a:blip r:embed="rId25">
                      <a:extLst>
                        <a:ext uri="{96DAC541-7B7A-43D3-8B79-37D633B846F1}">
                          <asvg:svgBlip xmlns:asvg="http://schemas.microsoft.com/office/drawing/2016/SVG/main" r:embed="rId26"/>
                        </a:ext>
                      </a:extLst>
                    </a:blip>
                    <a:stretch>
                      <a:fillRect/>
                    </a:stretch>
                  </pic:blipFill>
                  <pic:spPr>
                    <a:xfrm>
                      <a:off x="0" y="0"/>
                      <a:ext cx="8728557" cy="4910038"/>
                    </a:xfrm>
                    <a:prstGeom prst="rect">
                      <a:avLst/>
                    </a:prstGeom>
                  </pic:spPr>
                </pic:pic>
              </a:graphicData>
            </a:graphic>
          </wp:inline>
        </w:drawing>
      </w:r>
    </w:p>
    <w:p w14:paraId="24B9F502" w14:textId="77777777" w:rsidR="00B00018" w:rsidRDefault="00B00018" w:rsidP="00B00018">
      <w:pPr>
        <w:jc w:val="both"/>
        <w:rPr>
          <w:rFonts w:asciiTheme="minorHAnsi" w:hAnsiTheme="minorHAnsi" w:cstheme="minorHAnsi"/>
          <w:sz w:val="18"/>
          <w:szCs w:val="18"/>
        </w:rPr>
      </w:pPr>
      <w:r>
        <w:rPr>
          <w:rFonts w:asciiTheme="minorHAnsi" w:hAnsiTheme="minorHAnsi" w:cstheme="minorHAnsi"/>
          <w:sz w:val="18"/>
          <w:szCs w:val="18"/>
        </w:rPr>
        <w:t xml:space="preserve">Note: Near market comparators </w:t>
      </w:r>
      <w:proofErr w:type="spellStart"/>
      <w:r>
        <w:rPr>
          <w:rFonts w:asciiTheme="minorHAnsi" w:hAnsiTheme="minorHAnsi" w:cstheme="minorHAnsi"/>
          <w:sz w:val="18"/>
          <w:szCs w:val="18"/>
        </w:rPr>
        <w:t>BmBd</w:t>
      </w:r>
      <w:proofErr w:type="spellEnd"/>
      <w:r>
        <w:rPr>
          <w:rFonts w:asciiTheme="minorHAnsi" w:hAnsiTheme="minorHAnsi" w:cstheme="minorHAnsi"/>
          <w:sz w:val="18"/>
          <w:szCs w:val="18"/>
        </w:rPr>
        <w:t xml:space="preserve"> and TEC are excluded as they are not currently listed on the PBS.</w:t>
      </w:r>
    </w:p>
    <w:p w14:paraId="465881D0" w14:textId="77777777" w:rsidR="005B0EA1" w:rsidRPr="00C01BB6" w:rsidRDefault="005B0EA1" w:rsidP="005B0EA1">
      <w:pPr>
        <w:jc w:val="both"/>
        <w:rPr>
          <w:rFonts w:asciiTheme="minorHAnsi" w:hAnsiTheme="minorHAnsi" w:cstheme="minorHAnsi"/>
          <w:sz w:val="18"/>
          <w:szCs w:val="18"/>
        </w:rPr>
      </w:pPr>
      <w:r w:rsidRPr="0069193E">
        <w:rPr>
          <w:rFonts w:asciiTheme="minorHAnsi" w:hAnsiTheme="minorHAnsi" w:cstheme="minorHAnsi"/>
          <w:sz w:val="18"/>
          <w:szCs w:val="18"/>
        </w:rPr>
        <w:t xml:space="preserve">Abbreviations: </w:t>
      </w:r>
      <w:r w:rsidRPr="00B8506D">
        <w:rPr>
          <w:rFonts w:asciiTheme="minorHAnsi" w:hAnsiTheme="minorHAnsi" w:cstheme="minorHAnsi"/>
          <w:sz w:val="18"/>
          <w:szCs w:val="18"/>
        </w:rPr>
        <w:t xml:space="preserve">Bd, bortezomib and dexamethasone; </w:t>
      </w:r>
      <w:proofErr w:type="spellStart"/>
      <w:r w:rsidRPr="00B8506D">
        <w:rPr>
          <w:rFonts w:asciiTheme="minorHAnsi" w:hAnsiTheme="minorHAnsi" w:cstheme="minorHAnsi"/>
          <w:sz w:val="18"/>
          <w:szCs w:val="18"/>
        </w:rPr>
        <w:t>BLd</w:t>
      </w:r>
      <w:proofErr w:type="spellEnd"/>
      <w:r w:rsidRPr="00B8506D">
        <w:rPr>
          <w:rFonts w:asciiTheme="minorHAnsi" w:hAnsiTheme="minorHAnsi" w:cstheme="minorHAnsi"/>
          <w:sz w:val="18"/>
          <w:szCs w:val="18"/>
        </w:rPr>
        <w:t xml:space="preserve">, bortezomib with lenalidomide and dexamethasone; </w:t>
      </w:r>
      <w:proofErr w:type="spellStart"/>
      <w:r w:rsidRPr="00B8506D">
        <w:rPr>
          <w:rFonts w:asciiTheme="minorHAnsi" w:hAnsiTheme="minorHAnsi" w:cstheme="minorHAnsi"/>
          <w:sz w:val="18"/>
          <w:szCs w:val="18"/>
        </w:rPr>
        <w:t>Bcd</w:t>
      </w:r>
      <w:proofErr w:type="spellEnd"/>
      <w:r w:rsidRPr="00B8506D">
        <w:rPr>
          <w:rFonts w:asciiTheme="minorHAnsi" w:hAnsiTheme="minorHAnsi" w:cstheme="minorHAnsi"/>
          <w:sz w:val="18"/>
          <w:szCs w:val="18"/>
        </w:rPr>
        <w:t xml:space="preserve">, bortezomib with cyclophosphamide and dexamethasone; </w:t>
      </w:r>
      <w:proofErr w:type="spellStart"/>
      <w:r>
        <w:rPr>
          <w:rFonts w:asciiTheme="minorHAnsi" w:hAnsiTheme="minorHAnsi" w:cstheme="minorHAnsi"/>
          <w:sz w:val="18"/>
          <w:szCs w:val="18"/>
        </w:rPr>
        <w:t>BmBd</w:t>
      </w:r>
      <w:proofErr w:type="spellEnd"/>
      <w:r>
        <w:rPr>
          <w:rFonts w:asciiTheme="minorHAnsi" w:hAnsiTheme="minorHAnsi" w:cstheme="minorHAnsi"/>
          <w:sz w:val="18"/>
          <w:szCs w:val="18"/>
        </w:rPr>
        <w:t xml:space="preserve">, </w:t>
      </w:r>
      <w:proofErr w:type="spellStart"/>
      <w:r w:rsidRPr="005B0EA1">
        <w:rPr>
          <w:rFonts w:asciiTheme="minorHAnsi" w:hAnsiTheme="minorHAnsi" w:cstheme="minorHAnsi"/>
          <w:sz w:val="18"/>
          <w:szCs w:val="18"/>
        </w:rPr>
        <w:t>belantamab</w:t>
      </w:r>
      <w:proofErr w:type="spellEnd"/>
      <w:r w:rsidRPr="005B0EA1">
        <w:rPr>
          <w:rFonts w:asciiTheme="minorHAnsi" w:hAnsiTheme="minorHAnsi" w:cstheme="minorHAnsi"/>
          <w:sz w:val="18"/>
          <w:szCs w:val="18"/>
        </w:rPr>
        <w:t xml:space="preserve"> mafodotin</w:t>
      </w:r>
      <w:r>
        <w:rPr>
          <w:rFonts w:asciiTheme="minorHAnsi" w:hAnsiTheme="minorHAnsi" w:cstheme="minorHAnsi"/>
          <w:sz w:val="18"/>
          <w:szCs w:val="18"/>
        </w:rPr>
        <w:t xml:space="preserve">; CC, cilta-cel; </w:t>
      </w:r>
      <w:r w:rsidRPr="00B8506D">
        <w:rPr>
          <w:rFonts w:asciiTheme="minorHAnsi" w:hAnsiTheme="minorHAnsi" w:cstheme="minorHAnsi"/>
          <w:sz w:val="18"/>
          <w:szCs w:val="18"/>
        </w:rPr>
        <w:t xml:space="preserve">Cd, carfilzomib and dexamethasone; </w:t>
      </w:r>
      <w:proofErr w:type="spellStart"/>
      <w:r w:rsidRPr="00B8506D">
        <w:rPr>
          <w:rFonts w:asciiTheme="minorHAnsi" w:hAnsiTheme="minorHAnsi" w:cstheme="minorHAnsi"/>
          <w:sz w:val="18"/>
          <w:szCs w:val="18"/>
        </w:rPr>
        <w:t>CLd</w:t>
      </w:r>
      <w:proofErr w:type="spellEnd"/>
      <w:r w:rsidRPr="00B8506D">
        <w:rPr>
          <w:rFonts w:asciiTheme="minorHAnsi" w:hAnsiTheme="minorHAnsi" w:cstheme="minorHAnsi"/>
          <w:sz w:val="18"/>
          <w:szCs w:val="18"/>
        </w:rPr>
        <w:t xml:space="preserve">, carfilzomib with lenalidomide and dexamethasone; </w:t>
      </w:r>
      <w:proofErr w:type="spellStart"/>
      <w:r w:rsidRPr="00B8506D">
        <w:rPr>
          <w:rFonts w:asciiTheme="minorHAnsi" w:hAnsiTheme="minorHAnsi" w:cstheme="minorHAnsi"/>
          <w:sz w:val="18"/>
          <w:szCs w:val="18"/>
        </w:rPr>
        <w:t>DBd</w:t>
      </w:r>
      <w:proofErr w:type="spellEnd"/>
      <w:r w:rsidRPr="00B8506D">
        <w:rPr>
          <w:rFonts w:asciiTheme="minorHAnsi" w:hAnsiTheme="minorHAnsi" w:cstheme="minorHAnsi"/>
          <w:sz w:val="18"/>
          <w:szCs w:val="18"/>
        </w:rPr>
        <w:t xml:space="preserve">, daratumumab with bortezomib and dexamethasone; </w:t>
      </w:r>
      <w:proofErr w:type="spellStart"/>
      <w:r w:rsidRPr="00B8506D">
        <w:rPr>
          <w:rFonts w:asciiTheme="minorHAnsi" w:hAnsiTheme="minorHAnsi" w:cstheme="minorHAnsi"/>
          <w:sz w:val="18"/>
          <w:szCs w:val="18"/>
        </w:rPr>
        <w:t>DLd</w:t>
      </w:r>
      <w:proofErr w:type="spellEnd"/>
      <w:r w:rsidRPr="00B8506D">
        <w:rPr>
          <w:rFonts w:asciiTheme="minorHAnsi" w:hAnsiTheme="minorHAnsi" w:cstheme="minorHAnsi"/>
          <w:sz w:val="18"/>
          <w:szCs w:val="18"/>
        </w:rPr>
        <w:t xml:space="preserve">, daratumumab with lenalidomide and dexamethasone; </w:t>
      </w:r>
      <w:r>
        <w:rPr>
          <w:rFonts w:asciiTheme="minorHAnsi" w:hAnsiTheme="minorHAnsi" w:cstheme="minorHAnsi"/>
          <w:sz w:val="18"/>
          <w:szCs w:val="18"/>
        </w:rPr>
        <w:t xml:space="preserve">ELR, </w:t>
      </w:r>
      <w:proofErr w:type="spellStart"/>
      <w:r>
        <w:rPr>
          <w:rFonts w:asciiTheme="minorHAnsi" w:hAnsiTheme="minorHAnsi" w:cstheme="minorHAnsi"/>
          <w:sz w:val="18"/>
          <w:szCs w:val="18"/>
        </w:rPr>
        <w:t>elranatamab</w:t>
      </w:r>
      <w:proofErr w:type="spellEnd"/>
      <w:r>
        <w:rPr>
          <w:rFonts w:asciiTheme="minorHAnsi" w:hAnsiTheme="minorHAnsi" w:cstheme="minorHAnsi"/>
          <w:sz w:val="18"/>
          <w:szCs w:val="18"/>
        </w:rPr>
        <w:t xml:space="preserve">; </w:t>
      </w:r>
      <w:proofErr w:type="spellStart"/>
      <w:r w:rsidRPr="00B8506D">
        <w:rPr>
          <w:rFonts w:asciiTheme="minorHAnsi" w:hAnsiTheme="minorHAnsi" w:cstheme="minorHAnsi"/>
          <w:sz w:val="18"/>
          <w:szCs w:val="18"/>
        </w:rPr>
        <w:t>Ld</w:t>
      </w:r>
      <w:proofErr w:type="spellEnd"/>
      <w:r w:rsidRPr="00B8506D">
        <w:rPr>
          <w:rFonts w:asciiTheme="minorHAnsi" w:hAnsiTheme="minorHAnsi" w:cstheme="minorHAnsi"/>
          <w:sz w:val="18"/>
          <w:szCs w:val="18"/>
        </w:rPr>
        <w:t xml:space="preserve">, lenalidomide and dexamethasone; Pd, pomalidomide and dexamethasone; </w:t>
      </w:r>
      <w:proofErr w:type="spellStart"/>
      <w:r w:rsidRPr="00B8506D">
        <w:rPr>
          <w:rFonts w:asciiTheme="minorHAnsi" w:hAnsiTheme="minorHAnsi" w:cstheme="minorHAnsi"/>
          <w:sz w:val="18"/>
          <w:szCs w:val="18"/>
        </w:rPr>
        <w:t>PBd</w:t>
      </w:r>
      <w:proofErr w:type="spellEnd"/>
      <w:r w:rsidRPr="00B8506D">
        <w:rPr>
          <w:rFonts w:asciiTheme="minorHAnsi" w:hAnsiTheme="minorHAnsi" w:cstheme="minorHAnsi"/>
          <w:sz w:val="18"/>
          <w:szCs w:val="18"/>
        </w:rPr>
        <w:t xml:space="preserve">, pomalidomide with bortezomib and dexamethasone; Sd, selinexor and dexamethasone; </w:t>
      </w:r>
      <w:proofErr w:type="spellStart"/>
      <w:r w:rsidRPr="00B8506D">
        <w:rPr>
          <w:rFonts w:asciiTheme="minorHAnsi" w:hAnsiTheme="minorHAnsi" w:cstheme="minorHAnsi"/>
          <w:sz w:val="18"/>
          <w:szCs w:val="18"/>
        </w:rPr>
        <w:t>SBd</w:t>
      </w:r>
      <w:proofErr w:type="spellEnd"/>
      <w:r w:rsidRPr="00B8506D">
        <w:rPr>
          <w:rFonts w:asciiTheme="minorHAnsi" w:hAnsiTheme="minorHAnsi" w:cstheme="minorHAnsi"/>
          <w:sz w:val="18"/>
          <w:szCs w:val="18"/>
        </w:rPr>
        <w:t>, selinexor with bortezomib and dexamethasone</w:t>
      </w:r>
      <w:r>
        <w:rPr>
          <w:rFonts w:asciiTheme="minorHAnsi" w:hAnsiTheme="minorHAnsi" w:cstheme="minorHAnsi"/>
          <w:sz w:val="18"/>
          <w:szCs w:val="18"/>
        </w:rPr>
        <w:t xml:space="preserve">; TEC, </w:t>
      </w:r>
      <w:proofErr w:type="spellStart"/>
      <w:r>
        <w:rPr>
          <w:rFonts w:asciiTheme="minorHAnsi" w:hAnsiTheme="minorHAnsi" w:cstheme="minorHAnsi"/>
          <w:sz w:val="18"/>
          <w:szCs w:val="18"/>
        </w:rPr>
        <w:t>teclistamab</w:t>
      </w:r>
      <w:proofErr w:type="spellEnd"/>
      <w:r w:rsidRPr="00B8506D">
        <w:rPr>
          <w:rFonts w:asciiTheme="minorHAnsi" w:hAnsiTheme="minorHAnsi" w:cstheme="minorHAnsi"/>
          <w:sz w:val="18"/>
          <w:szCs w:val="18"/>
        </w:rPr>
        <w:t>.</w:t>
      </w:r>
    </w:p>
    <w:p w14:paraId="788A9061" w14:textId="530DE0B2" w:rsidR="005B0EA1" w:rsidRPr="00F849F2" w:rsidRDefault="005B0EA1" w:rsidP="007520A6">
      <w:pPr>
        <w:jc w:val="both"/>
        <w:rPr>
          <w:rFonts w:asciiTheme="minorHAnsi" w:hAnsiTheme="minorHAnsi" w:cstheme="minorHAnsi"/>
          <w:highlight w:val="lightGray"/>
        </w:rPr>
        <w:sectPr w:rsidR="005B0EA1" w:rsidRPr="00F849F2" w:rsidSect="009F3560">
          <w:pgSz w:w="16838" w:h="11906" w:orient="landscape"/>
          <w:pgMar w:top="1440" w:right="1134" w:bottom="992" w:left="1134" w:header="425" w:footer="249" w:gutter="0"/>
          <w:pgNumType w:start="0"/>
          <w:cols w:space="708"/>
          <w:titlePg/>
          <w:docGrid w:linePitch="360"/>
        </w:sectPr>
      </w:pPr>
    </w:p>
    <w:p w14:paraId="76D1C223" w14:textId="77777777" w:rsidR="001F6E45" w:rsidRPr="00F849F2" w:rsidRDefault="001F6E45" w:rsidP="007520A6">
      <w:pPr>
        <w:pStyle w:val="Heading1"/>
        <w:jc w:val="both"/>
        <w:rPr>
          <w:rFonts w:asciiTheme="minorHAnsi" w:hAnsiTheme="minorHAnsi" w:cstheme="minorHAnsi"/>
          <w:color w:val="002060"/>
        </w:rPr>
      </w:pPr>
      <w:r w:rsidRPr="00F849F2">
        <w:rPr>
          <w:rFonts w:asciiTheme="minorHAnsi" w:hAnsiTheme="minorHAnsi" w:cstheme="minorHAnsi"/>
          <w:color w:val="002060"/>
        </w:rPr>
        <w:lastRenderedPageBreak/>
        <w:t>Summary of Evidence</w:t>
      </w:r>
    </w:p>
    <w:p w14:paraId="06E50FAE" w14:textId="6EF48BFB" w:rsidR="001F6E45" w:rsidRPr="000F523D" w:rsidRDefault="001F6E45" w:rsidP="007520A6">
      <w:pPr>
        <w:jc w:val="both"/>
        <w:rPr>
          <w:rFonts w:asciiTheme="minorHAnsi" w:hAnsiTheme="minorHAnsi" w:cstheme="minorHAnsi"/>
          <w:b/>
          <w:sz w:val="24"/>
          <w:szCs w:val="24"/>
        </w:rPr>
      </w:pPr>
      <w:r w:rsidRPr="00F849F2">
        <w:rPr>
          <w:rFonts w:asciiTheme="minorHAnsi" w:hAnsiTheme="minorHAnsi" w:cstheme="minorHAnsi"/>
          <w:b/>
          <w:sz w:val="24"/>
          <w:szCs w:val="24"/>
        </w:rPr>
        <w:t xml:space="preserve">Provide one or more recent (published) </w:t>
      </w:r>
      <w:proofErr w:type="gramStart"/>
      <w:r w:rsidRPr="00F849F2">
        <w:rPr>
          <w:rFonts w:asciiTheme="minorHAnsi" w:hAnsiTheme="minorHAnsi" w:cstheme="minorHAnsi"/>
          <w:b/>
          <w:sz w:val="24"/>
          <w:szCs w:val="24"/>
        </w:rPr>
        <w:t>high quality</w:t>
      </w:r>
      <w:proofErr w:type="gramEnd"/>
      <w:r w:rsidRPr="00F849F2">
        <w:rPr>
          <w:rFonts w:asciiTheme="minorHAnsi" w:hAnsiTheme="minorHAnsi" w:cstheme="minorHAnsi"/>
          <w:b/>
          <w:sz w:val="24"/>
          <w:szCs w:val="24"/>
        </w:rPr>
        <w:t xml:space="preserve"> clinical studies that support use of the proposed health service/technology. At ‘Application Form lodgement’, </w:t>
      </w:r>
    </w:p>
    <w:tbl>
      <w:tblPr>
        <w:tblStyle w:val="TableGrid"/>
        <w:tblW w:w="5000" w:type="pct"/>
        <w:tblLook w:val="04A0" w:firstRow="1" w:lastRow="0" w:firstColumn="1" w:lastColumn="0" w:noHBand="0" w:noVBand="1"/>
        <w:tblCaption w:val="Summary of Evidence - Published"/>
      </w:tblPr>
      <w:tblGrid>
        <w:gridCol w:w="368"/>
        <w:gridCol w:w="1847"/>
        <w:gridCol w:w="2562"/>
        <w:gridCol w:w="2486"/>
        <w:gridCol w:w="5539"/>
        <w:gridCol w:w="1451"/>
      </w:tblGrid>
      <w:tr w:rsidR="004F12A9" w:rsidRPr="00EE6CDC" w14:paraId="5B25CF42" w14:textId="77777777" w:rsidTr="00CC191F">
        <w:trPr>
          <w:cantSplit/>
          <w:tblHeader/>
        </w:trPr>
        <w:tc>
          <w:tcPr>
            <w:tcW w:w="129" w:type="pct"/>
          </w:tcPr>
          <w:p w14:paraId="628D0BBC" w14:textId="77777777" w:rsidR="004F12A9" w:rsidRPr="00EE6CDC" w:rsidRDefault="004F12A9" w:rsidP="007520A6">
            <w:pPr>
              <w:spacing w:after="0"/>
              <w:jc w:val="both"/>
              <w:rPr>
                <w:rFonts w:ascii="Calibri" w:hAnsi="Calibri" w:cs="Calibri"/>
                <w:sz w:val="20"/>
                <w:szCs w:val="20"/>
              </w:rPr>
            </w:pPr>
          </w:p>
        </w:tc>
        <w:tc>
          <w:tcPr>
            <w:tcW w:w="648" w:type="pct"/>
          </w:tcPr>
          <w:p w14:paraId="5808207C" w14:textId="77777777" w:rsidR="004F12A9" w:rsidRPr="00EE6CDC" w:rsidRDefault="004F12A9" w:rsidP="007520A6">
            <w:pPr>
              <w:spacing w:after="0"/>
              <w:jc w:val="both"/>
              <w:rPr>
                <w:rFonts w:ascii="Calibri" w:hAnsi="Calibri" w:cs="Calibri"/>
                <w:b/>
                <w:bCs/>
                <w:sz w:val="20"/>
                <w:szCs w:val="20"/>
              </w:rPr>
            </w:pPr>
            <w:r w:rsidRPr="00EE6CDC">
              <w:rPr>
                <w:rFonts w:ascii="Calibri" w:hAnsi="Calibri" w:cs="Calibri"/>
                <w:b/>
                <w:bCs/>
                <w:sz w:val="20"/>
                <w:szCs w:val="20"/>
              </w:rPr>
              <w:t>Type of study design*</w:t>
            </w:r>
          </w:p>
        </w:tc>
        <w:tc>
          <w:tcPr>
            <w:tcW w:w="899" w:type="pct"/>
          </w:tcPr>
          <w:p w14:paraId="4AD3122F" w14:textId="36AAFBB8" w:rsidR="004F12A9" w:rsidRPr="00EE6CDC" w:rsidRDefault="004F12A9" w:rsidP="007520A6">
            <w:pPr>
              <w:spacing w:after="0"/>
              <w:jc w:val="both"/>
              <w:rPr>
                <w:rFonts w:ascii="Calibri" w:hAnsi="Calibri" w:cs="Calibri"/>
                <w:b/>
                <w:bCs/>
                <w:sz w:val="20"/>
                <w:szCs w:val="20"/>
              </w:rPr>
            </w:pPr>
            <w:r w:rsidRPr="00EE6CDC">
              <w:rPr>
                <w:rFonts w:ascii="Calibri" w:hAnsi="Calibri" w:cs="Calibri"/>
                <w:b/>
                <w:bCs/>
                <w:sz w:val="20"/>
                <w:szCs w:val="20"/>
              </w:rPr>
              <w:t xml:space="preserve">Title of journal article or research project </w:t>
            </w:r>
          </w:p>
        </w:tc>
        <w:tc>
          <w:tcPr>
            <w:tcW w:w="872" w:type="pct"/>
          </w:tcPr>
          <w:p w14:paraId="1E6D6673" w14:textId="26BFBFAA" w:rsidR="004F12A9" w:rsidRPr="00EE6CDC" w:rsidRDefault="004F12A9" w:rsidP="007520A6">
            <w:pPr>
              <w:spacing w:after="0"/>
              <w:jc w:val="both"/>
              <w:rPr>
                <w:rFonts w:ascii="Calibri" w:hAnsi="Calibri" w:cs="Calibri"/>
                <w:b/>
                <w:bCs/>
                <w:sz w:val="20"/>
                <w:szCs w:val="20"/>
              </w:rPr>
            </w:pPr>
            <w:r w:rsidRPr="00EE6CDC">
              <w:rPr>
                <w:rFonts w:ascii="Calibri" w:hAnsi="Calibri" w:cs="Calibri"/>
                <w:b/>
                <w:bCs/>
                <w:sz w:val="20"/>
                <w:szCs w:val="20"/>
              </w:rPr>
              <w:t xml:space="preserve">Short description of research </w:t>
            </w:r>
            <w:r w:rsidR="0060206D" w:rsidRPr="00EE6CDC">
              <w:rPr>
                <w:rFonts w:ascii="Calibri" w:hAnsi="Calibri" w:cs="Calibri"/>
                <w:b/>
                <w:bCs/>
                <w:sz w:val="20"/>
                <w:szCs w:val="20"/>
              </w:rPr>
              <w:t xml:space="preserve">(max 50 </w:t>
            </w:r>
            <w:proofErr w:type="gramStart"/>
            <w:r w:rsidR="0060206D" w:rsidRPr="00EE6CDC">
              <w:rPr>
                <w:rFonts w:ascii="Calibri" w:hAnsi="Calibri" w:cs="Calibri"/>
                <w:b/>
                <w:bCs/>
                <w:sz w:val="20"/>
                <w:szCs w:val="20"/>
              </w:rPr>
              <w:t>words)*</w:t>
            </w:r>
            <w:proofErr w:type="gramEnd"/>
            <w:r w:rsidR="0060206D" w:rsidRPr="00EE6CDC">
              <w:rPr>
                <w:rFonts w:ascii="Calibri" w:hAnsi="Calibri" w:cs="Calibri"/>
                <w:b/>
                <w:bCs/>
                <w:sz w:val="20"/>
                <w:szCs w:val="20"/>
              </w:rPr>
              <w:t>*</w:t>
            </w:r>
          </w:p>
        </w:tc>
        <w:tc>
          <w:tcPr>
            <w:tcW w:w="1943" w:type="pct"/>
          </w:tcPr>
          <w:p w14:paraId="6600074B" w14:textId="63167525" w:rsidR="004F12A9" w:rsidRPr="00EE6CDC" w:rsidRDefault="004F12A9" w:rsidP="007520A6">
            <w:pPr>
              <w:spacing w:after="0"/>
              <w:jc w:val="both"/>
              <w:rPr>
                <w:rFonts w:ascii="Calibri" w:hAnsi="Calibri" w:cs="Calibri"/>
                <w:b/>
                <w:bCs/>
                <w:sz w:val="20"/>
                <w:szCs w:val="20"/>
              </w:rPr>
            </w:pPr>
            <w:r w:rsidRPr="00EE6CDC">
              <w:rPr>
                <w:rFonts w:ascii="Calibri" w:hAnsi="Calibri" w:cs="Calibri"/>
                <w:b/>
                <w:bCs/>
                <w:sz w:val="20"/>
                <w:szCs w:val="20"/>
              </w:rPr>
              <w:t xml:space="preserve">Website link to journal article or research </w:t>
            </w:r>
          </w:p>
        </w:tc>
        <w:tc>
          <w:tcPr>
            <w:tcW w:w="509" w:type="pct"/>
          </w:tcPr>
          <w:p w14:paraId="2A24A6F5" w14:textId="008A33DF" w:rsidR="004F12A9" w:rsidRPr="00EE6CDC" w:rsidRDefault="004F12A9" w:rsidP="007520A6">
            <w:pPr>
              <w:spacing w:after="0"/>
              <w:jc w:val="both"/>
              <w:rPr>
                <w:rFonts w:ascii="Calibri" w:hAnsi="Calibri" w:cs="Calibri"/>
                <w:b/>
                <w:bCs/>
                <w:sz w:val="20"/>
                <w:szCs w:val="20"/>
              </w:rPr>
            </w:pPr>
            <w:r w:rsidRPr="00EE6CDC">
              <w:rPr>
                <w:rFonts w:ascii="Calibri" w:hAnsi="Calibri" w:cs="Calibri"/>
                <w:b/>
                <w:bCs/>
                <w:sz w:val="20"/>
                <w:szCs w:val="20"/>
              </w:rPr>
              <w:t>Date of publication</w:t>
            </w:r>
            <w:r w:rsidR="0060206D" w:rsidRPr="00EE6CDC">
              <w:rPr>
                <w:rFonts w:ascii="Calibri" w:hAnsi="Calibri" w:cs="Calibri"/>
                <w:b/>
                <w:bCs/>
                <w:sz w:val="20"/>
                <w:szCs w:val="20"/>
              </w:rPr>
              <w:t>***</w:t>
            </w:r>
          </w:p>
        </w:tc>
      </w:tr>
      <w:tr w:rsidR="00104D84" w:rsidRPr="00EE6CDC" w14:paraId="0B195CDD" w14:textId="77777777" w:rsidTr="00CC191F">
        <w:trPr>
          <w:cantSplit/>
        </w:trPr>
        <w:tc>
          <w:tcPr>
            <w:tcW w:w="129" w:type="pct"/>
          </w:tcPr>
          <w:p w14:paraId="548CF10A" w14:textId="77777777" w:rsidR="00104D84" w:rsidRPr="00EE6CDC" w:rsidRDefault="00104D84" w:rsidP="007520A6">
            <w:pPr>
              <w:spacing w:after="0"/>
              <w:jc w:val="both"/>
              <w:rPr>
                <w:rFonts w:ascii="Calibri" w:hAnsi="Calibri" w:cs="Calibri"/>
                <w:sz w:val="20"/>
                <w:szCs w:val="20"/>
              </w:rPr>
            </w:pPr>
            <w:r w:rsidRPr="00EE6CDC">
              <w:rPr>
                <w:rFonts w:ascii="Calibri" w:hAnsi="Calibri" w:cs="Calibri"/>
                <w:sz w:val="20"/>
                <w:szCs w:val="20"/>
              </w:rPr>
              <w:t>1.</w:t>
            </w:r>
          </w:p>
        </w:tc>
        <w:tc>
          <w:tcPr>
            <w:tcW w:w="648" w:type="pct"/>
            <w:vMerge w:val="restart"/>
            <w:vAlign w:val="center"/>
          </w:tcPr>
          <w:p w14:paraId="4CB0693F" w14:textId="77777777" w:rsidR="00104D84" w:rsidRPr="00EE6CDC" w:rsidRDefault="00104D84" w:rsidP="007520A6">
            <w:pPr>
              <w:widowControl w:val="0"/>
              <w:spacing w:after="0"/>
              <w:jc w:val="both"/>
              <w:rPr>
                <w:rFonts w:ascii="Calibri" w:hAnsi="Calibri" w:cs="Calibri"/>
                <w:b/>
                <w:sz w:val="20"/>
                <w:szCs w:val="20"/>
              </w:rPr>
            </w:pPr>
            <w:r w:rsidRPr="00EE6CDC">
              <w:rPr>
                <w:rFonts w:ascii="Calibri" w:hAnsi="Calibri" w:cs="Calibri"/>
                <w:b/>
                <w:sz w:val="20"/>
                <w:szCs w:val="20"/>
              </w:rPr>
              <w:t xml:space="preserve">PIVOTAL STUDY </w:t>
            </w:r>
          </w:p>
          <w:p w14:paraId="3E07F336" w14:textId="26C2658A" w:rsidR="00104D84" w:rsidRPr="00EE6CDC" w:rsidRDefault="00104D84" w:rsidP="007520A6">
            <w:pPr>
              <w:spacing w:after="0"/>
              <w:jc w:val="both"/>
              <w:rPr>
                <w:rFonts w:ascii="Calibri" w:hAnsi="Calibri" w:cs="Calibri"/>
                <w:b/>
                <w:sz w:val="20"/>
                <w:szCs w:val="20"/>
              </w:rPr>
            </w:pPr>
            <w:r w:rsidRPr="00EE6CDC">
              <w:rPr>
                <w:rFonts w:ascii="Calibri" w:hAnsi="Calibri" w:cs="Calibri"/>
                <w:b/>
                <w:sz w:val="20"/>
                <w:szCs w:val="20"/>
              </w:rPr>
              <w:t xml:space="preserve">Phase III, randomised, open-label, multi-centre study in patients with lenalidomide-refractory multiple myeloma who have received 1-3 previous lines of treatment </w:t>
            </w:r>
            <w:r w:rsidRPr="00EE6CDC">
              <w:rPr>
                <w:rFonts w:ascii="Calibri" w:hAnsi="Calibri" w:cs="Calibri"/>
                <w:bCs/>
                <w:sz w:val="20"/>
                <w:szCs w:val="20"/>
              </w:rPr>
              <w:t>(including a proteasome inhibitor and an immunomodulatory drug)</w:t>
            </w:r>
          </w:p>
        </w:tc>
        <w:tc>
          <w:tcPr>
            <w:tcW w:w="899" w:type="pct"/>
          </w:tcPr>
          <w:p w14:paraId="0ABE15D6" w14:textId="77777777" w:rsidR="00104D84" w:rsidRPr="00EE6CDC" w:rsidRDefault="00104D84" w:rsidP="007520A6">
            <w:pPr>
              <w:widowControl w:val="0"/>
              <w:spacing w:after="0"/>
              <w:jc w:val="both"/>
              <w:rPr>
                <w:rFonts w:ascii="Calibri" w:hAnsi="Calibri" w:cs="Calibri"/>
                <w:b/>
                <w:bCs/>
                <w:sz w:val="20"/>
                <w:szCs w:val="20"/>
              </w:rPr>
            </w:pPr>
            <w:r w:rsidRPr="00EE6CDC">
              <w:rPr>
                <w:rFonts w:ascii="Calibri" w:hAnsi="Calibri" w:cs="Calibri"/>
                <w:b/>
                <w:bCs/>
                <w:sz w:val="20"/>
                <w:szCs w:val="20"/>
              </w:rPr>
              <w:t>CARTITUDE-4</w:t>
            </w:r>
          </w:p>
          <w:p w14:paraId="395856C9" w14:textId="77777777" w:rsidR="00104D84" w:rsidRPr="00EE6CDC" w:rsidRDefault="00104D84" w:rsidP="007520A6">
            <w:pPr>
              <w:widowControl w:val="0"/>
              <w:spacing w:after="0"/>
              <w:jc w:val="both"/>
              <w:rPr>
                <w:rFonts w:ascii="Calibri" w:hAnsi="Calibri" w:cs="Calibri"/>
                <w:bCs/>
                <w:sz w:val="20"/>
                <w:szCs w:val="20"/>
              </w:rPr>
            </w:pPr>
            <w:r w:rsidRPr="00EE6CDC">
              <w:rPr>
                <w:rFonts w:ascii="Calibri" w:hAnsi="Calibri" w:cs="Calibri"/>
                <w:bCs/>
                <w:sz w:val="20"/>
                <w:szCs w:val="20"/>
              </w:rPr>
              <w:t>Clinical trial identifier:</w:t>
            </w:r>
          </w:p>
          <w:p w14:paraId="0D061EA9" w14:textId="77777777" w:rsidR="00104D84" w:rsidRPr="00EE6CDC" w:rsidRDefault="00104D84" w:rsidP="007520A6">
            <w:pPr>
              <w:widowControl w:val="0"/>
              <w:spacing w:after="0"/>
              <w:jc w:val="both"/>
              <w:rPr>
                <w:rFonts w:ascii="Calibri" w:hAnsi="Calibri" w:cs="Calibri"/>
                <w:sz w:val="20"/>
                <w:szCs w:val="20"/>
              </w:rPr>
            </w:pPr>
            <w:hyperlink r:id="rId27" w:tgtFrame="_blank" w:history="1">
              <w:r w:rsidRPr="00EE6CDC">
                <w:rPr>
                  <w:rStyle w:val="Hyperlink"/>
                  <w:rFonts w:ascii="Calibri" w:hAnsi="Calibri" w:cs="Calibri"/>
                  <w:color w:val="auto"/>
                  <w:sz w:val="20"/>
                  <w:szCs w:val="20"/>
                </w:rPr>
                <w:t>NCT04181827</w:t>
              </w:r>
            </w:hyperlink>
          </w:p>
          <w:p w14:paraId="520A2BA5" w14:textId="3ED2F15E" w:rsidR="00104D84" w:rsidRPr="00EE6CDC" w:rsidRDefault="00104D84" w:rsidP="007520A6">
            <w:pPr>
              <w:spacing w:after="0"/>
              <w:jc w:val="both"/>
              <w:rPr>
                <w:rFonts w:ascii="Calibri" w:hAnsi="Calibri" w:cs="Calibri"/>
                <w:b/>
                <w:sz w:val="20"/>
                <w:szCs w:val="20"/>
              </w:rPr>
            </w:pPr>
            <w:r w:rsidRPr="00EE6CDC">
              <w:rPr>
                <w:rFonts w:ascii="Calibri" w:hAnsi="Calibri" w:cs="Calibri"/>
                <w:sz w:val="20"/>
                <w:szCs w:val="20"/>
              </w:rPr>
              <w:t xml:space="preserve">San-Miguel, J. et al. (2023). Cilta-cel or Standard Care in Lenalidomide-Refractory Multiple Myeloma. </w:t>
            </w:r>
            <w:r w:rsidRPr="00EE6CDC">
              <w:rPr>
                <w:rFonts w:ascii="Calibri" w:hAnsi="Calibri" w:cs="Calibri"/>
                <w:i/>
                <w:iCs/>
                <w:sz w:val="20"/>
                <w:szCs w:val="20"/>
              </w:rPr>
              <w:t>N Engl J Med</w:t>
            </w:r>
            <w:r w:rsidRPr="00EE6CDC">
              <w:rPr>
                <w:rFonts w:ascii="Calibri" w:hAnsi="Calibri" w:cs="Calibri"/>
                <w:sz w:val="20"/>
                <w:szCs w:val="20"/>
              </w:rPr>
              <w:t xml:space="preserve"> </w:t>
            </w:r>
            <w:proofErr w:type="gramStart"/>
            <w:r w:rsidRPr="00EE6CDC">
              <w:rPr>
                <w:rFonts w:ascii="Calibri" w:hAnsi="Calibri" w:cs="Calibri"/>
                <w:sz w:val="20"/>
                <w:szCs w:val="20"/>
              </w:rPr>
              <w:t>2023;389:335</w:t>
            </w:r>
            <w:proofErr w:type="gramEnd"/>
            <w:r w:rsidRPr="00EE6CDC">
              <w:rPr>
                <w:rFonts w:ascii="Calibri" w:hAnsi="Calibri" w:cs="Calibri"/>
                <w:sz w:val="20"/>
                <w:szCs w:val="20"/>
              </w:rPr>
              <w:t>-347</w:t>
            </w:r>
          </w:p>
        </w:tc>
        <w:tc>
          <w:tcPr>
            <w:tcW w:w="872" w:type="pct"/>
            <w:vMerge w:val="restart"/>
          </w:tcPr>
          <w:p w14:paraId="3D8270ED" w14:textId="77777777" w:rsidR="00104D84" w:rsidRPr="00EE6CDC" w:rsidRDefault="00104D84" w:rsidP="007520A6">
            <w:pPr>
              <w:widowControl w:val="0"/>
              <w:spacing w:after="0"/>
              <w:jc w:val="both"/>
              <w:rPr>
                <w:rFonts w:ascii="Calibri" w:hAnsi="Calibri" w:cs="Calibri"/>
                <w:bCs/>
                <w:sz w:val="20"/>
                <w:szCs w:val="20"/>
              </w:rPr>
            </w:pPr>
            <w:r w:rsidRPr="00EE6CDC">
              <w:rPr>
                <w:rFonts w:ascii="Calibri" w:hAnsi="Calibri" w:cs="Calibri"/>
                <w:bCs/>
                <w:sz w:val="20"/>
                <w:szCs w:val="20"/>
              </w:rPr>
              <w:t>Evaluation of efficacy and safety of cilta-cel (N=208) vs physician’s choice (N=211) of effective standard care (pomalidomide, bortezomib, and dexamethasone [</w:t>
            </w:r>
            <w:proofErr w:type="spellStart"/>
            <w:r w:rsidRPr="00EE6CDC">
              <w:rPr>
                <w:rFonts w:ascii="Calibri" w:hAnsi="Calibri" w:cs="Calibri"/>
                <w:bCs/>
                <w:sz w:val="20"/>
                <w:szCs w:val="20"/>
              </w:rPr>
              <w:t>PVd</w:t>
            </w:r>
            <w:proofErr w:type="spellEnd"/>
            <w:r w:rsidRPr="00EE6CDC">
              <w:rPr>
                <w:rFonts w:ascii="Calibri" w:hAnsi="Calibri" w:cs="Calibri"/>
                <w:bCs/>
                <w:sz w:val="20"/>
                <w:szCs w:val="20"/>
              </w:rPr>
              <w:t>] or daratumumab, pomalidomide, and dexamethasone [</w:t>
            </w:r>
            <w:proofErr w:type="spellStart"/>
            <w:r w:rsidRPr="00EE6CDC">
              <w:rPr>
                <w:rFonts w:ascii="Calibri" w:hAnsi="Calibri" w:cs="Calibri"/>
                <w:bCs/>
                <w:sz w:val="20"/>
                <w:szCs w:val="20"/>
              </w:rPr>
              <w:t>DPd</w:t>
            </w:r>
            <w:proofErr w:type="spellEnd"/>
            <w:r w:rsidRPr="00EE6CDC">
              <w:rPr>
                <w:rFonts w:ascii="Calibri" w:hAnsi="Calibri" w:cs="Calibri"/>
                <w:bCs/>
                <w:sz w:val="20"/>
                <w:szCs w:val="20"/>
              </w:rPr>
              <w:t xml:space="preserve">]) in patients with lenalidomide-refractory MM. </w:t>
            </w:r>
          </w:p>
          <w:p w14:paraId="5BEC84FB" w14:textId="4240AEC7" w:rsidR="008919F2" w:rsidRPr="00EE6CDC" w:rsidRDefault="00104D84" w:rsidP="007520A6">
            <w:pPr>
              <w:widowControl w:val="0"/>
              <w:spacing w:after="0"/>
              <w:jc w:val="both"/>
              <w:rPr>
                <w:rFonts w:ascii="Calibri" w:hAnsi="Calibri" w:cs="Calibri"/>
                <w:bCs/>
                <w:sz w:val="20"/>
                <w:szCs w:val="20"/>
              </w:rPr>
            </w:pPr>
            <w:r w:rsidRPr="00EE6CDC">
              <w:rPr>
                <w:rFonts w:ascii="Calibri" w:hAnsi="Calibri" w:cs="Calibri"/>
                <w:bCs/>
                <w:sz w:val="20"/>
                <w:szCs w:val="20"/>
              </w:rPr>
              <w:t>Primary endpoint: progression-free survival</w:t>
            </w:r>
          </w:p>
          <w:p w14:paraId="6B39284A" w14:textId="6ED42717" w:rsidR="00104D84" w:rsidRPr="00EE6CDC" w:rsidRDefault="00104D84" w:rsidP="007520A6">
            <w:pPr>
              <w:spacing w:after="0"/>
              <w:jc w:val="both"/>
              <w:rPr>
                <w:rFonts w:ascii="Calibri" w:hAnsi="Calibri" w:cs="Calibri"/>
                <w:b/>
                <w:sz w:val="20"/>
                <w:szCs w:val="20"/>
              </w:rPr>
            </w:pPr>
            <w:r w:rsidRPr="00EE6CDC">
              <w:rPr>
                <w:rFonts w:ascii="Calibri" w:hAnsi="Calibri" w:cs="Calibri"/>
                <w:bCs/>
                <w:sz w:val="20"/>
                <w:szCs w:val="20"/>
              </w:rPr>
              <w:t>Median follow-up was 15.9 months</w:t>
            </w:r>
            <w:r w:rsidR="00761099" w:rsidRPr="00EE6CDC">
              <w:rPr>
                <w:rFonts w:ascii="Calibri" w:hAnsi="Calibri" w:cs="Calibri"/>
                <w:bCs/>
                <w:sz w:val="20"/>
                <w:szCs w:val="20"/>
              </w:rPr>
              <w:t xml:space="preserve"> in primary analysis</w:t>
            </w:r>
            <w:r w:rsidR="008919F2" w:rsidRPr="00EE6CDC">
              <w:rPr>
                <w:rFonts w:ascii="Calibri" w:hAnsi="Calibri" w:cs="Calibri"/>
                <w:bCs/>
                <w:sz w:val="20"/>
                <w:szCs w:val="20"/>
              </w:rPr>
              <w:t xml:space="preserve"> (San-Miguel J et al. 2023)</w:t>
            </w:r>
            <w:r w:rsidR="00761099" w:rsidRPr="00EE6CDC">
              <w:rPr>
                <w:rFonts w:ascii="Calibri" w:hAnsi="Calibri" w:cs="Calibri"/>
                <w:bCs/>
                <w:sz w:val="20"/>
                <w:szCs w:val="20"/>
              </w:rPr>
              <w:t xml:space="preserve">. Median follow-up in updated analysis was </w:t>
            </w:r>
            <w:r w:rsidR="008919F2" w:rsidRPr="00EE6CDC">
              <w:rPr>
                <w:rFonts w:ascii="Calibri" w:hAnsi="Calibri" w:cs="Calibri"/>
                <w:bCs/>
                <w:sz w:val="20"/>
                <w:szCs w:val="20"/>
              </w:rPr>
              <w:t>33.6 months (</w:t>
            </w:r>
            <w:proofErr w:type="spellStart"/>
            <w:r w:rsidR="008919F2" w:rsidRPr="00EE6CDC">
              <w:rPr>
                <w:rFonts w:ascii="Calibri" w:hAnsi="Calibri" w:cs="Calibri"/>
                <w:bCs/>
                <w:sz w:val="20"/>
                <w:szCs w:val="20"/>
              </w:rPr>
              <w:t>Einsele</w:t>
            </w:r>
            <w:proofErr w:type="spellEnd"/>
            <w:r w:rsidR="008919F2" w:rsidRPr="00EE6CDC">
              <w:rPr>
                <w:rFonts w:ascii="Calibri" w:hAnsi="Calibri" w:cs="Calibri"/>
                <w:bCs/>
                <w:sz w:val="20"/>
                <w:szCs w:val="20"/>
              </w:rPr>
              <w:t xml:space="preserve"> H et al. 2026).</w:t>
            </w:r>
          </w:p>
        </w:tc>
        <w:tc>
          <w:tcPr>
            <w:tcW w:w="1943" w:type="pct"/>
          </w:tcPr>
          <w:p w14:paraId="48E7E3E5" w14:textId="014C4B7E" w:rsidR="00104D84" w:rsidRPr="00EE6CDC" w:rsidRDefault="00104D84" w:rsidP="007520A6">
            <w:pPr>
              <w:widowControl w:val="0"/>
              <w:spacing w:after="0"/>
              <w:jc w:val="both"/>
              <w:rPr>
                <w:rFonts w:ascii="Calibri" w:hAnsi="Calibri" w:cs="Calibri"/>
                <w:bCs/>
                <w:sz w:val="20"/>
                <w:szCs w:val="20"/>
              </w:rPr>
            </w:pPr>
            <w:r w:rsidRPr="00EE6CDC">
              <w:rPr>
                <w:rFonts w:ascii="Calibri" w:hAnsi="Calibri" w:cs="Calibri"/>
                <w:bCs/>
                <w:sz w:val="20"/>
                <w:szCs w:val="20"/>
              </w:rPr>
              <w:t>Primary Publication</w:t>
            </w:r>
            <w:r w:rsidR="00EE6CDC" w:rsidRPr="00EE6CDC">
              <w:rPr>
                <w:rFonts w:ascii="Calibri" w:hAnsi="Calibri" w:cs="Calibri"/>
                <w:bCs/>
                <w:sz w:val="20"/>
                <w:szCs w:val="20"/>
              </w:rPr>
              <w:t xml:space="preserve"> </w:t>
            </w:r>
            <w:r w:rsidR="00EE6CDC" w:rsidRPr="00EE6CDC">
              <w:rPr>
                <w:rFonts w:ascii="Calibri" w:hAnsi="Calibri" w:cs="Calibri"/>
                <w:sz w:val="20"/>
                <w:szCs w:val="20"/>
              </w:rPr>
              <w:t>(interim analysis 1 [IA1])</w:t>
            </w:r>
          </w:p>
          <w:p w14:paraId="0ACB8670" w14:textId="031EB1D8" w:rsidR="00104D84" w:rsidRPr="00EE6CDC" w:rsidRDefault="00104D84" w:rsidP="007520A6">
            <w:pPr>
              <w:spacing w:after="0"/>
              <w:jc w:val="both"/>
              <w:rPr>
                <w:rFonts w:ascii="Calibri" w:hAnsi="Calibri" w:cs="Calibri"/>
                <w:b/>
                <w:sz w:val="20"/>
                <w:szCs w:val="20"/>
              </w:rPr>
            </w:pPr>
            <w:hyperlink r:id="rId28" w:history="1">
              <w:r w:rsidRPr="00EE6CDC">
                <w:rPr>
                  <w:rStyle w:val="Hyperlink"/>
                  <w:rFonts w:ascii="Calibri" w:hAnsi="Calibri" w:cs="Calibri"/>
                  <w:bCs/>
                  <w:color w:val="auto"/>
                  <w:sz w:val="20"/>
                  <w:szCs w:val="20"/>
                </w:rPr>
                <w:t>https://www.nejm.org/doi/full/10.1056/NEJMoa2303379</w:t>
              </w:r>
            </w:hyperlink>
            <w:r w:rsidRPr="00EE6CDC">
              <w:rPr>
                <w:rFonts w:ascii="Calibri" w:hAnsi="Calibri" w:cs="Calibri"/>
                <w:bCs/>
                <w:sz w:val="20"/>
                <w:szCs w:val="20"/>
              </w:rPr>
              <w:t xml:space="preserve"> </w:t>
            </w:r>
          </w:p>
        </w:tc>
        <w:tc>
          <w:tcPr>
            <w:tcW w:w="509" w:type="pct"/>
          </w:tcPr>
          <w:p w14:paraId="3CF12B5D" w14:textId="4B99634A" w:rsidR="00104D84" w:rsidRPr="00EE6CDC" w:rsidRDefault="00104D84" w:rsidP="007520A6">
            <w:pPr>
              <w:spacing w:after="0"/>
              <w:jc w:val="both"/>
              <w:rPr>
                <w:rFonts w:ascii="Calibri" w:hAnsi="Calibri" w:cs="Calibri"/>
                <w:b/>
                <w:sz w:val="20"/>
                <w:szCs w:val="20"/>
              </w:rPr>
            </w:pPr>
            <w:r w:rsidRPr="00EE6CDC">
              <w:rPr>
                <w:rFonts w:ascii="Calibri" w:hAnsi="Calibri" w:cs="Calibri"/>
                <w:sz w:val="20"/>
                <w:szCs w:val="20"/>
              </w:rPr>
              <w:t>5 June 2023</w:t>
            </w:r>
          </w:p>
        </w:tc>
      </w:tr>
      <w:tr w:rsidR="00104D84" w:rsidRPr="00EE6CDC" w14:paraId="01B2159C" w14:textId="77777777" w:rsidTr="00CC191F">
        <w:trPr>
          <w:cantSplit/>
        </w:trPr>
        <w:tc>
          <w:tcPr>
            <w:tcW w:w="129" w:type="pct"/>
          </w:tcPr>
          <w:p w14:paraId="670C4819" w14:textId="77777777" w:rsidR="00104D84" w:rsidRPr="00EE6CDC" w:rsidRDefault="00104D84" w:rsidP="007520A6">
            <w:pPr>
              <w:spacing w:after="0"/>
              <w:jc w:val="both"/>
              <w:rPr>
                <w:rFonts w:ascii="Calibri" w:hAnsi="Calibri" w:cs="Calibri"/>
                <w:sz w:val="20"/>
                <w:szCs w:val="20"/>
              </w:rPr>
            </w:pPr>
            <w:r w:rsidRPr="00EE6CDC">
              <w:rPr>
                <w:rFonts w:ascii="Calibri" w:hAnsi="Calibri" w:cs="Calibri"/>
                <w:sz w:val="20"/>
                <w:szCs w:val="20"/>
              </w:rPr>
              <w:t>2.</w:t>
            </w:r>
          </w:p>
        </w:tc>
        <w:tc>
          <w:tcPr>
            <w:tcW w:w="648" w:type="pct"/>
            <w:vMerge/>
          </w:tcPr>
          <w:p w14:paraId="5D36E1AA" w14:textId="77777777" w:rsidR="00104D84" w:rsidRPr="00EE6CDC" w:rsidRDefault="00104D84" w:rsidP="007520A6">
            <w:pPr>
              <w:spacing w:after="0"/>
              <w:jc w:val="both"/>
              <w:rPr>
                <w:rFonts w:ascii="Calibri" w:hAnsi="Calibri" w:cs="Calibri"/>
                <w:sz w:val="20"/>
                <w:szCs w:val="20"/>
              </w:rPr>
            </w:pPr>
          </w:p>
        </w:tc>
        <w:tc>
          <w:tcPr>
            <w:tcW w:w="899" w:type="pct"/>
          </w:tcPr>
          <w:p w14:paraId="1D7C16E5" w14:textId="5682F416" w:rsidR="00104D84" w:rsidRPr="00EE6CDC" w:rsidRDefault="00104D84" w:rsidP="007520A6">
            <w:pPr>
              <w:spacing w:after="0"/>
              <w:jc w:val="both"/>
              <w:rPr>
                <w:rFonts w:ascii="Calibri" w:hAnsi="Calibri" w:cs="Calibri"/>
                <w:sz w:val="20"/>
                <w:szCs w:val="20"/>
              </w:rPr>
            </w:pPr>
            <w:r w:rsidRPr="00EE6CDC">
              <w:rPr>
                <w:rFonts w:ascii="Calibri" w:hAnsi="Calibri" w:cs="Calibri"/>
                <w:sz w:val="20"/>
                <w:szCs w:val="20"/>
              </w:rPr>
              <w:t xml:space="preserve">Mina, R. et al. (2025). Patient-reported outcomes following ciltacabtagene autoleucel or standard of care in patients with lenalidomide-refractory multiple myeloma (CARTITUDE-4): results from a randomised, open-label, phase 3 trial. </w:t>
            </w:r>
            <w:r w:rsidRPr="00EE6CDC">
              <w:rPr>
                <w:rFonts w:ascii="Calibri" w:hAnsi="Calibri" w:cs="Calibri"/>
                <w:i/>
                <w:iCs/>
                <w:sz w:val="20"/>
                <w:szCs w:val="20"/>
              </w:rPr>
              <w:t>The Lancet Haematology</w:t>
            </w:r>
            <w:r w:rsidRPr="00EE6CDC">
              <w:rPr>
                <w:rFonts w:ascii="Calibri" w:hAnsi="Calibri" w:cs="Calibri"/>
                <w:sz w:val="20"/>
                <w:szCs w:val="20"/>
              </w:rPr>
              <w:t>, Volume 12, Issue 1, e45 - e56</w:t>
            </w:r>
          </w:p>
        </w:tc>
        <w:tc>
          <w:tcPr>
            <w:tcW w:w="872" w:type="pct"/>
            <w:vMerge/>
          </w:tcPr>
          <w:p w14:paraId="3C870464" w14:textId="77777777" w:rsidR="00104D84" w:rsidRPr="00EE6CDC" w:rsidRDefault="00104D84" w:rsidP="007520A6">
            <w:pPr>
              <w:spacing w:after="0"/>
              <w:jc w:val="both"/>
              <w:rPr>
                <w:rFonts w:ascii="Calibri" w:hAnsi="Calibri" w:cs="Calibri"/>
                <w:sz w:val="20"/>
                <w:szCs w:val="20"/>
              </w:rPr>
            </w:pPr>
          </w:p>
        </w:tc>
        <w:tc>
          <w:tcPr>
            <w:tcW w:w="1943" w:type="pct"/>
          </w:tcPr>
          <w:p w14:paraId="22C048D2" w14:textId="78DAD78A" w:rsidR="00104D84" w:rsidRPr="00EE6CDC" w:rsidRDefault="00104D84" w:rsidP="007520A6">
            <w:pPr>
              <w:spacing w:after="0"/>
              <w:jc w:val="both"/>
              <w:rPr>
                <w:rFonts w:ascii="Calibri" w:hAnsi="Calibri" w:cs="Calibri"/>
                <w:sz w:val="20"/>
                <w:szCs w:val="20"/>
              </w:rPr>
            </w:pPr>
            <w:hyperlink r:id="rId29" w:history="1">
              <w:r w:rsidRPr="00EE6CDC">
                <w:rPr>
                  <w:rStyle w:val="Hyperlink"/>
                  <w:rFonts w:ascii="Calibri" w:hAnsi="Calibri" w:cs="Calibri"/>
                  <w:bCs/>
                  <w:color w:val="auto"/>
                  <w:sz w:val="20"/>
                  <w:szCs w:val="20"/>
                </w:rPr>
                <w:t>https://www.thelancet.com/journals/lanhae/article/PIIS2352-3026(24)00320-X/abstract</w:t>
              </w:r>
            </w:hyperlink>
            <w:r w:rsidRPr="00EE6CDC">
              <w:rPr>
                <w:rFonts w:ascii="Calibri" w:hAnsi="Calibri" w:cs="Calibri"/>
                <w:bCs/>
                <w:sz w:val="20"/>
                <w:szCs w:val="20"/>
              </w:rPr>
              <w:t xml:space="preserve"> </w:t>
            </w:r>
          </w:p>
        </w:tc>
        <w:tc>
          <w:tcPr>
            <w:tcW w:w="509" w:type="pct"/>
          </w:tcPr>
          <w:p w14:paraId="45B6679F" w14:textId="7E8BCA61" w:rsidR="00104D84" w:rsidRPr="00EE6CDC" w:rsidRDefault="00104D84" w:rsidP="007520A6">
            <w:pPr>
              <w:spacing w:after="0"/>
              <w:jc w:val="both"/>
              <w:rPr>
                <w:rFonts w:ascii="Calibri" w:hAnsi="Calibri" w:cs="Calibri"/>
                <w:sz w:val="20"/>
                <w:szCs w:val="20"/>
              </w:rPr>
            </w:pPr>
            <w:r w:rsidRPr="00EE6CDC">
              <w:rPr>
                <w:rFonts w:ascii="Calibri" w:hAnsi="Calibri" w:cs="Calibri"/>
                <w:bCs/>
                <w:sz w:val="20"/>
                <w:szCs w:val="20"/>
              </w:rPr>
              <w:t>January 2025</w:t>
            </w:r>
          </w:p>
        </w:tc>
      </w:tr>
      <w:tr w:rsidR="00CC191F" w:rsidRPr="00EE6CDC" w14:paraId="1D4BDD1E" w14:textId="77777777" w:rsidTr="00CC191F">
        <w:trPr>
          <w:cantSplit/>
        </w:trPr>
        <w:tc>
          <w:tcPr>
            <w:tcW w:w="129" w:type="pct"/>
          </w:tcPr>
          <w:p w14:paraId="6EDE9D12" w14:textId="30923F7E" w:rsidR="00CC191F" w:rsidRPr="00EE6CDC" w:rsidRDefault="00CC191F" w:rsidP="007520A6">
            <w:pPr>
              <w:spacing w:after="0"/>
              <w:jc w:val="both"/>
              <w:rPr>
                <w:rFonts w:ascii="Calibri" w:hAnsi="Calibri" w:cs="Calibri"/>
                <w:sz w:val="20"/>
                <w:szCs w:val="20"/>
              </w:rPr>
            </w:pPr>
            <w:r w:rsidRPr="00EE6CDC">
              <w:rPr>
                <w:rFonts w:ascii="Calibri" w:hAnsi="Calibri" w:cs="Calibri"/>
                <w:sz w:val="20"/>
                <w:szCs w:val="20"/>
              </w:rPr>
              <w:t>3.</w:t>
            </w:r>
          </w:p>
        </w:tc>
        <w:tc>
          <w:tcPr>
            <w:tcW w:w="648" w:type="pct"/>
            <w:vMerge/>
          </w:tcPr>
          <w:p w14:paraId="6D3CA410" w14:textId="77777777" w:rsidR="00CC191F" w:rsidRPr="00EE6CDC" w:rsidRDefault="00CC191F" w:rsidP="007520A6">
            <w:pPr>
              <w:spacing w:after="0"/>
              <w:jc w:val="both"/>
              <w:rPr>
                <w:rFonts w:ascii="Calibri" w:hAnsi="Calibri" w:cs="Calibri"/>
                <w:sz w:val="20"/>
                <w:szCs w:val="20"/>
              </w:rPr>
            </w:pPr>
          </w:p>
        </w:tc>
        <w:tc>
          <w:tcPr>
            <w:tcW w:w="899" w:type="pct"/>
          </w:tcPr>
          <w:p w14:paraId="4A6EE2A3" w14:textId="36A17792" w:rsidR="00CC191F" w:rsidRPr="00EE6CDC" w:rsidRDefault="008430E0" w:rsidP="007520A6">
            <w:pPr>
              <w:spacing w:after="0"/>
              <w:jc w:val="both"/>
              <w:rPr>
                <w:rFonts w:ascii="Calibri" w:hAnsi="Calibri" w:cs="Calibri"/>
                <w:sz w:val="20"/>
                <w:szCs w:val="20"/>
              </w:rPr>
            </w:pPr>
            <w:proofErr w:type="spellStart"/>
            <w:r w:rsidRPr="00EE6CDC">
              <w:rPr>
                <w:rFonts w:ascii="Calibri" w:hAnsi="Calibri" w:cs="Calibri"/>
                <w:sz w:val="20"/>
                <w:szCs w:val="20"/>
              </w:rPr>
              <w:t>Einsele</w:t>
            </w:r>
            <w:proofErr w:type="spellEnd"/>
            <w:r w:rsidRPr="00EE6CDC">
              <w:rPr>
                <w:rFonts w:ascii="Calibri" w:hAnsi="Calibri" w:cs="Calibri"/>
                <w:sz w:val="20"/>
                <w:szCs w:val="20"/>
              </w:rPr>
              <w:t xml:space="preserve"> H, </w:t>
            </w:r>
            <w:r w:rsidR="000645C4" w:rsidRPr="00EE6CDC">
              <w:rPr>
                <w:rFonts w:ascii="Calibri" w:hAnsi="Calibri" w:cs="Calibri"/>
                <w:sz w:val="20"/>
                <w:szCs w:val="20"/>
              </w:rPr>
              <w:t xml:space="preserve">et al. (2026). </w:t>
            </w:r>
            <w:r w:rsidRPr="00EE6CDC">
              <w:rPr>
                <w:rFonts w:ascii="Calibri" w:hAnsi="Calibri" w:cs="Calibri"/>
                <w:sz w:val="20"/>
                <w:szCs w:val="20"/>
              </w:rPr>
              <w:t>Cilta-cel in lenalidomide-refractory multiple myeloma (CARTITUDE-4): an updated analysis including overall survival from an open-label, multicentre, randomised, phase 3 trial</w:t>
            </w:r>
            <w:r w:rsidR="000645C4" w:rsidRPr="00EE6CDC">
              <w:rPr>
                <w:rFonts w:ascii="Calibri" w:hAnsi="Calibri" w:cs="Calibri"/>
                <w:sz w:val="20"/>
                <w:szCs w:val="20"/>
              </w:rPr>
              <w:t>. Lancet Oncol 2026 Feb;27(2):254</w:t>
            </w:r>
            <w:r w:rsidR="00761099" w:rsidRPr="00EE6CDC">
              <w:rPr>
                <w:rFonts w:ascii="Calibri" w:hAnsi="Calibri" w:cs="Calibri"/>
                <w:sz w:val="20"/>
                <w:szCs w:val="20"/>
              </w:rPr>
              <w:t>-268</w:t>
            </w:r>
          </w:p>
        </w:tc>
        <w:tc>
          <w:tcPr>
            <w:tcW w:w="872" w:type="pct"/>
            <w:vMerge/>
          </w:tcPr>
          <w:p w14:paraId="1AF9658D" w14:textId="77777777" w:rsidR="00CC191F" w:rsidRPr="00EE6CDC" w:rsidRDefault="00CC191F" w:rsidP="007520A6">
            <w:pPr>
              <w:spacing w:after="0"/>
              <w:jc w:val="both"/>
              <w:rPr>
                <w:rFonts w:ascii="Calibri" w:hAnsi="Calibri" w:cs="Calibri"/>
                <w:sz w:val="20"/>
                <w:szCs w:val="20"/>
              </w:rPr>
            </w:pPr>
          </w:p>
        </w:tc>
        <w:tc>
          <w:tcPr>
            <w:tcW w:w="1943" w:type="pct"/>
          </w:tcPr>
          <w:p w14:paraId="6CB99FFF" w14:textId="3807042A" w:rsidR="00AF5FE0" w:rsidRPr="00EE6CDC" w:rsidRDefault="00EE6CDC" w:rsidP="007520A6">
            <w:pPr>
              <w:spacing w:after="0"/>
              <w:jc w:val="both"/>
              <w:rPr>
                <w:rFonts w:ascii="Calibri" w:hAnsi="Calibri" w:cs="Calibri"/>
                <w:bCs/>
                <w:sz w:val="20"/>
                <w:szCs w:val="20"/>
                <w:u w:val="single"/>
              </w:rPr>
            </w:pPr>
            <w:r w:rsidRPr="00EE6CDC">
              <w:rPr>
                <w:rFonts w:ascii="Calibri" w:hAnsi="Calibri" w:cs="Calibri"/>
                <w:sz w:val="20"/>
                <w:szCs w:val="20"/>
              </w:rPr>
              <w:t xml:space="preserve">Updated analysis (IA2): </w:t>
            </w:r>
            <w:hyperlink r:id="rId30" w:history="1">
              <w:r w:rsidRPr="00EE6CDC">
                <w:rPr>
                  <w:rStyle w:val="Hyperlink"/>
                  <w:rFonts w:ascii="Calibri" w:hAnsi="Calibri" w:cs="Calibri"/>
                  <w:bCs/>
                  <w:color w:val="auto"/>
                  <w:sz w:val="20"/>
                  <w:szCs w:val="20"/>
                </w:rPr>
                <w:t>https://www.thelancet.com/journals/lanonc/article/PIIS1470-2045(25)00653-9/fulltext</w:t>
              </w:r>
            </w:hyperlink>
          </w:p>
        </w:tc>
        <w:tc>
          <w:tcPr>
            <w:tcW w:w="509" w:type="pct"/>
          </w:tcPr>
          <w:p w14:paraId="283BE84F" w14:textId="66EB0502" w:rsidR="00CC191F" w:rsidRPr="00EE6CDC" w:rsidRDefault="006D2BC1" w:rsidP="007520A6">
            <w:pPr>
              <w:spacing w:after="0"/>
              <w:jc w:val="both"/>
              <w:rPr>
                <w:rFonts w:ascii="Calibri" w:hAnsi="Calibri" w:cs="Calibri"/>
                <w:bCs/>
                <w:sz w:val="20"/>
                <w:szCs w:val="20"/>
              </w:rPr>
            </w:pPr>
            <w:r w:rsidRPr="00EE6CDC">
              <w:rPr>
                <w:rFonts w:ascii="Calibri" w:hAnsi="Calibri" w:cs="Calibri"/>
                <w:bCs/>
                <w:sz w:val="20"/>
                <w:szCs w:val="20"/>
              </w:rPr>
              <w:t>February 2026</w:t>
            </w:r>
          </w:p>
        </w:tc>
      </w:tr>
      <w:tr w:rsidR="00104D84" w:rsidRPr="00EE6CDC" w14:paraId="7F22AD1F" w14:textId="77777777" w:rsidTr="00CC191F">
        <w:trPr>
          <w:cantSplit/>
        </w:trPr>
        <w:tc>
          <w:tcPr>
            <w:tcW w:w="129" w:type="pct"/>
          </w:tcPr>
          <w:p w14:paraId="27F3A2CB" w14:textId="4420689C" w:rsidR="00104D84" w:rsidRPr="00EE6CDC" w:rsidRDefault="00CC191F" w:rsidP="007520A6">
            <w:pPr>
              <w:spacing w:after="0"/>
              <w:jc w:val="both"/>
              <w:rPr>
                <w:rFonts w:ascii="Calibri" w:hAnsi="Calibri" w:cs="Calibri"/>
                <w:sz w:val="20"/>
                <w:szCs w:val="20"/>
              </w:rPr>
            </w:pPr>
            <w:r w:rsidRPr="00EE6CDC">
              <w:rPr>
                <w:rFonts w:ascii="Calibri" w:hAnsi="Calibri" w:cs="Calibri"/>
                <w:sz w:val="20"/>
                <w:szCs w:val="20"/>
              </w:rPr>
              <w:lastRenderedPageBreak/>
              <w:t>4</w:t>
            </w:r>
            <w:r w:rsidR="00104D84" w:rsidRPr="00EE6CDC">
              <w:rPr>
                <w:rFonts w:ascii="Calibri" w:hAnsi="Calibri" w:cs="Calibri"/>
                <w:sz w:val="20"/>
                <w:szCs w:val="20"/>
              </w:rPr>
              <w:t>.</w:t>
            </w:r>
          </w:p>
        </w:tc>
        <w:tc>
          <w:tcPr>
            <w:tcW w:w="648" w:type="pct"/>
            <w:vMerge/>
          </w:tcPr>
          <w:p w14:paraId="48B9042A" w14:textId="77777777" w:rsidR="00104D84" w:rsidRPr="00EE6CDC" w:rsidRDefault="00104D84" w:rsidP="007520A6">
            <w:pPr>
              <w:spacing w:after="0"/>
              <w:jc w:val="both"/>
              <w:rPr>
                <w:rFonts w:ascii="Calibri" w:hAnsi="Calibri" w:cs="Calibri"/>
                <w:sz w:val="20"/>
                <w:szCs w:val="20"/>
              </w:rPr>
            </w:pPr>
          </w:p>
        </w:tc>
        <w:tc>
          <w:tcPr>
            <w:tcW w:w="899" w:type="pct"/>
          </w:tcPr>
          <w:p w14:paraId="7CE1957F" w14:textId="53DFF82D" w:rsidR="00104D84" w:rsidRPr="00EE6CDC" w:rsidRDefault="00104D84" w:rsidP="007520A6">
            <w:pPr>
              <w:spacing w:after="0"/>
              <w:jc w:val="both"/>
              <w:rPr>
                <w:rFonts w:ascii="Calibri" w:hAnsi="Calibri" w:cs="Calibri"/>
                <w:sz w:val="20"/>
                <w:szCs w:val="20"/>
              </w:rPr>
            </w:pPr>
            <w:r w:rsidRPr="00EE6CDC">
              <w:rPr>
                <w:rFonts w:ascii="Calibri" w:hAnsi="Calibri" w:cs="Calibri"/>
                <w:sz w:val="20"/>
                <w:szCs w:val="20"/>
              </w:rPr>
              <w:t>Dhakal, B. et al. (2023). First phase 3 results from CARTITUDE-4: Cilta-cel versus standard of care (</w:t>
            </w:r>
            <w:proofErr w:type="spellStart"/>
            <w:r w:rsidRPr="00EE6CDC">
              <w:rPr>
                <w:rFonts w:ascii="Calibri" w:hAnsi="Calibri" w:cs="Calibri"/>
                <w:sz w:val="20"/>
                <w:szCs w:val="20"/>
              </w:rPr>
              <w:t>PVd</w:t>
            </w:r>
            <w:proofErr w:type="spellEnd"/>
            <w:r w:rsidRPr="00EE6CDC">
              <w:rPr>
                <w:rFonts w:ascii="Calibri" w:hAnsi="Calibri" w:cs="Calibri"/>
                <w:sz w:val="20"/>
                <w:szCs w:val="20"/>
              </w:rPr>
              <w:t xml:space="preserve"> or </w:t>
            </w:r>
            <w:proofErr w:type="spellStart"/>
            <w:r w:rsidRPr="00EE6CDC">
              <w:rPr>
                <w:rFonts w:ascii="Calibri" w:hAnsi="Calibri" w:cs="Calibri"/>
                <w:sz w:val="20"/>
                <w:szCs w:val="20"/>
              </w:rPr>
              <w:t>DPd</w:t>
            </w:r>
            <w:proofErr w:type="spellEnd"/>
            <w:r w:rsidRPr="00EE6CDC">
              <w:rPr>
                <w:rFonts w:ascii="Calibri" w:hAnsi="Calibri" w:cs="Calibri"/>
                <w:sz w:val="20"/>
                <w:szCs w:val="20"/>
              </w:rPr>
              <w:t xml:space="preserve">) in lenalidomide-refractory multiple myeloma. </w:t>
            </w:r>
            <w:r w:rsidRPr="00EE6CDC">
              <w:rPr>
                <w:rFonts w:ascii="Calibri" w:hAnsi="Calibri" w:cs="Calibri"/>
                <w:sz w:val="20"/>
                <w:szCs w:val="20"/>
                <w:lang w:val="en-US"/>
              </w:rPr>
              <w:t>ASCO 2023 conference</w:t>
            </w:r>
          </w:p>
        </w:tc>
        <w:tc>
          <w:tcPr>
            <w:tcW w:w="872" w:type="pct"/>
            <w:vMerge/>
          </w:tcPr>
          <w:p w14:paraId="75312BF5" w14:textId="77777777" w:rsidR="00104D84" w:rsidRPr="00EE6CDC" w:rsidRDefault="00104D84" w:rsidP="007520A6">
            <w:pPr>
              <w:spacing w:after="0"/>
              <w:jc w:val="both"/>
              <w:rPr>
                <w:rFonts w:ascii="Calibri" w:hAnsi="Calibri" w:cs="Calibri"/>
                <w:sz w:val="20"/>
                <w:szCs w:val="20"/>
              </w:rPr>
            </w:pPr>
          </w:p>
        </w:tc>
        <w:tc>
          <w:tcPr>
            <w:tcW w:w="1943" w:type="pct"/>
          </w:tcPr>
          <w:p w14:paraId="5240C9D0" w14:textId="77777777" w:rsidR="00104D84" w:rsidRPr="00EE6CDC" w:rsidRDefault="00104D84" w:rsidP="007520A6">
            <w:pPr>
              <w:widowControl w:val="0"/>
              <w:spacing w:after="0"/>
              <w:jc w:val="both"/>
              <w:rPr>
                <w:rFonts w:ascii="Calibri" w:hAnsi="Calibri" w:cs="Calibri"/>
                <w:bCs/>
                <w:sz w:val="20"/>
                <w:szCs w:val="20"/>
              </w:rPr>
            </w:pPr>
            <w:r w:rsidRPr="00EE6CDC">
              <w:rPr>
                <w:rFonts w:ascii="Calibri" w:hAnsi="Calibri" w:cs="Calibri"/>
                <w:bCs/>
                <w:sz w:val="20"/>
                <w:szCs w:val="20"/>
              </w:rPr>
              <w:t>Conference abstract</w:t>
            </w:r>
          </w:p>
          <w:p w14:paraId="7A705BE6" w14:textId="1A8B06E2" w:rsidR="00104D84" w:rsidRPr="00EE6CDC" w:rsidRDefault="00104D84" w:rsidP="007520A6">
            <w:pPr>
              <w:spacing w:after="0"/>
              <w:jc w:val="both"/>
              <w:rPr>
                <w:rFonts w:ascii="Calibri" w:hAnsi="Calibri" w:cs="Calibri"/>
                <w:sz w:val="20"/>
                <w:szCs w:val="20"/>
              </w:rPr>
            </w:pPr>
            <w:hyperlink r:id="rId31" w:history="1">
              <w:r w:rsidRPr="00EE6CDC">
                <w:rPr>
                  <w:rStyle w:val="Hyperlink"/>
                  <w:rFonts w:ascii="Calibri" w:hAnsi="Calibri" w:cs="Calibri"/>
                  <w:bCs/>
                  <w:color w:val="auto"/>
                  <w:sz w:val="20"/>
                  <w:szCs w:val="20"/>
                </w:rPr>
                <w:t>https://ascopubs.org/doi/10.1200/JCO.2023.41.17_suppl.LBA106</w:t>
              </w:r>
            </w:hyperlink>
            <w:r w:rsidRPr="00EE6CDC">
              <w:rPr>
                <w:rFonts w:ascii="Calibri" w:hAnsi="Calibri" w:cs="Calibri"/>
                <w:bCs/>
                <w:sz w:val="20"/>
                <w:szCs w:val="20"/>
              </w:rPr>
              <w:t xml:space="preserve"> </w:t>
            </w:r>
          </w:p>
        </w:tc>
        <w:tc>
          <w:tcPr>
            <w:tcW w:w="509" w:type="pct"/>
          </w:tcPr>
          <w:p w14:paraId="4382772C" w14:textId="6293C92B" w:rsidR="00104D84" w:rsidRPr="00EE6CDC" w:rsidRDefault="00104D84" w:rsidP="007520A6">
            <w:pPr>
              <w:spacing w:after="0"/>
              <w:jc w:val="both"/>
              <w:rPr>
                <w:rFonts w:ascii="Calibri" w:hAnsi="Calibri" w:cs="Calibri"/>
                <w:sz w:val="20"/>
                <w:szCs w:val="20"/>
              </w:rPr>
            </w:pPr>
            <w:r w:rsidRPr="00EE6CDC">
              <w:rPr>
                <w:rFonts w:ascii="Calibri" w:hAnsi="Calibri" w:cs="Calibri"/>
                <w:bCs/>
                <w:sz w:val="20"/>
                <w:szCs w:val="20"/>
              </w:rPr>
              <w:t>7 June 2023</w:t>
            </w:r>
          </w:p>
        </w:tc>
      </w:tr>
    </w:tbl>
    <w:p w14:paraId="6C4F0E18" w14:textId="08B61E28" w:rsidR="001F6E45" w:rsidRPr="0060206D" w:rsidRDefault="001F6E45" w:rsidP="007520A6">
      <w:pPr>
        <w:jc w:val="both"/>
        <w:rPr>
          <w:rFonts w:asciiTheme="minorHAnsi" w:hAnsiTheme="minorHAnsi" w:cstheme="minorHAnsi"/>
          <w:i/>
          <w:iCs/>
          <w:sz w:val="20"/>
          <w:szCs w:val="20"/>
        </w:rPr>
      </w:pPr>
      <w:r w:rsidRPr="0060206D">
        <w:rPr>
          <w:rFonts w:asciiTheme="minorHAnsi" w:hAnsiTheme="minorHAnsi" w:cstheme="minorHAnsi"/>
          <w:i/>
          <w:iCs/>
          <w:sz w:val="20"/>
          <w:szCs w:val="20"/>
        </w:rPr>
        <w:t xml:space="preserve">* Categorise study design, for example meta-analysis, randomised trials, non-randomised trial or observational study, study of diagnostic accuracy, etc. </w:t>
      </w:r>
    </w:p>
    <w:p w14:paraId="2FDC93B9" w14:textId="77777777" w:rsidR="001F6E45" w:rsidRPr="0060206D" w:rsidRDefault="001F6E45" w:rsidP="007520A6">
      <w:pPr>
        <w:jc w:val="both"/>
        <w:rPr>
          <w:rFonts w:asciiTheme="minorHAnsi" w:hAnsiTheme="minorHAnsi" w:cstheme="minorHAnsi"/>
          <w:i/>
          <w:iCs/>
          <w:sz w:val="20"/>
          <w:szCs w:val="20"/>
        </w:rPr>
      </w:pPr>
      <w:r w:rsidRPr="0060206D">
        <w:rPr>
          <w:rFonts w:asciiTheme="minorHAnsi" w:hAnsiTheme="minorHAnsi" w:cstheme="minorHAnsi"/>
          <w:i/>
          <w:iCs/>
          <w:sz w:val="20"/>
          <w:szCs w:val="20"/>
        </w:rPr>
        <w:t>**Provide high level information including population numbers and whether patients are being recruited or in post-recruitment, including providing the trial registration number to allow for tracking purposes. For yet to be published research, provide high level information including population numbers and whether patients are being recruited or in post-recruitment.</w:t>
      </w:r>
    </w:p>
    <w:p w14:paraId="240506B8" w14:textId="3E2EA52A" w:rsidR="006A17C5" w:rsidRDefault="001F6E45" w:rsidP="007520A6">
      <w:pPr>
        <w:jc w:val="both"/>
        <w:rPr>
          <w:rFonts w:asciiTheme="minorHAnsi" w:hAnsiTheme="minorHAnsi" w:cstheme="minorHAnsi"/>
          <w:i/>
          <w:iCs/>
          <w:sz w:val="20"/>
          <w:szCs w:val="20"/>
        </w:rPr>
      </w:pPr>
      <w:r w:rsidRPr="0060206D">
        <w:rPr>
          <w:rFonts w:asciiTheme="minorHAnsi" w:hAnsiTheme="minorHAnsi" w:cstheme="minorHAnsi"/>
          <w:i/>
          <w:iCs/>
          <w:sz w:val="20"/>
          <w:szCs w:val="20"/>
        </w:rPr>
        <w:t xml:space="preserve">*** If the publication is a follow-up to an initial publication, please advise. For yet to be published research, include the date of when results will be made available (to the best of your knowledge). </w:t>
      </w:r>
    </w:p>
    <w:p w14:paraId="30197D20" w14:textId="77777777" w:rsidR="00AA7ED1" w:rsidRDefault="00AA7ED1" w:rsidP="007520A6">
      <w:pPr>
        <w:pStyle w:val="Heading1"/>
        <w:jc w:val="both"/>
        <w:rPr>
          <w:color w:val="002060"/>
        </w:rPr>
        <w:sectPr w:rsidR="00AA7ED1" w:rsidSect="001F6E45">
          <w:headerReference w:type="first" r:id="rId32"/>
          <w:footerReference w:type="first" r:id="rId33"/>
          <w:pgSz w:w="16838" w:h="11906" w:orient="landscape"/>
          <w:pgMar w:top="1440" w:right="1440" w:bottom="991" w:left="1135" w:header="426" w:footer="252" w:gutter="0"/>
          <w:cols w:space="708"/>
          <w:docGrid w:linePitch="360"/>
        </w:sectPr>
      </w:pPr>
    </w:p>
    <w:p w14:paraId="0847BE40" w14:textId="1E0859E5" w:rsidR="00064F3A" w:rsidRPr="005A7336" w:rsidRDefault="00AA7ED1" w:rsidP="007520A6">
      <w:pPr>
        <w:pStyle w:val="Heading1"/>
        <w:jc w:val="both"/>
        <w:rPr>
          <w:color w:val="002060"/>
        </w:rPr>
      </w:pPr>
      <w:r w:rsidRPr="00AA7ED1">
        <w:rPr>
          <w:color w:val="002060"/>
        </w:rPr>
        <w:lastRenderedPageBreak/>
        <w:t>References</w:t>
      </w:r>
    </w:p>
    <w:p w14:paraId="52D38AC7" w14:textId="482C9484" w:rsidR="007109E2" w:rsidRDefault="007109E2" w:rsidP="008551FF">
      <w:pPr>
        <w:spacing w:before="120"/>
        <w:jc w:val="both"/>
        <w:rPr>
          <w:rFonts w:asciiTheme="minorHAnsi" w:hAnsiTheme="minorHAnsi" w:cstheme="minorHAnsi"/>
        </w:rPr>
      </w:pPr>
      <w:r>
        <w:rPr>
          <w:rFonts w:asciiTheme="minorHAnsi" w:hAnsiTheme="minorHAnsi" w:cstheme="minorHAnsi"/>
        </w:rPr>
        <w:t>Cohen AD et al. (2022).</w:t>
      </w:r>
      <w:r w:rsidR="0023048B">
        <w:rPr>
          <w:rFonts w:asciiTheme="minorHAnsi" w:hAnsiTheme="minorHAnsi" w:cstheme="minorHAnsi"/>
        </w:rPr>
        <w:t xml:space="preserve"> </w:t>
      </w:r>
      <w:r w:rsidR="0023048B" w:rsidRPr="0023048B">
        <w:rPr>
          <w:rFonts w:asciiTheme="minorHAnsi" w:hAnsiTheme="minorHAnsi" w:cstheme="minorHAnsi"/>
        </w:rPr>
        <w:t>Incidence and management of CAR-T neurotoxicity in patients with multiple myeloma treated with ciltacabtagene autoleucel in CARTITUDE studies</w:t>
      </w:r>
      <w:r w:rsidR="0023048B">
        <w:rPr>
          <w:rFonts w:asciiTheme="minorHAnsi" w:hAnsiTheme="minorHAnsi" w:cstheme="minorHAnsi"/>
        </w:rPr>
        <w:t xml:space="preserve">. </w:t>
      </w:r>
      <w:r w:rsidR="00161F87" w:rsidRPr="00161F87">
        <w:rPr>
          <w:rFonts w:asciiTheme="minorHAnsi" w:hAnsiTheme="minorHAnsi" w:cstheme="minorHAnsi"/>
        </w:rPr>
        <w:t>Blood Cancer Journal volume 12, Article number: 32 (2022)</w:t>
      </w:r>
      <w:r w:rsidR="00161F87">
        <w:rPr>
          <w:rFonts w:asciiTheme="minorHAnsi" w:hAnsiTheme="minorHAnsi" w:cstheme="minorHAnsi"/>
        </w:rPr>
        <w:t>.</w:t>
      </w:r>
    </w:p>
    <w:p w14:paraId="4E5F42B8" w14:textId="1AA8A520" w:rsidR="00EA5380" w:rsidRDefault="00EA5380" w:rsidP="008551FF">
      <w:pPr>
        <w:spacing w:before="120"/>
        <w:jc w:val="both"/>
        <w:rPr>
          <w:rFonts w:asciiTheme="minorHAnsi" w:hAnsiTheme="minorHAnsi" w:cstheme="minorHAnsi"/>
        </w:rPr>
      </w:pPr>
      <w:r w:rsidRPr="00EA5380">
        <w:rPr>
          <w:rFonts w:asciiTheme="minorHAnsi" w:hAnsiTheme="minorHAnsi" w:cstheme="minorHAnsi"/>
        </w:rPr>
        <w:t xml:space="preserve">Dhakal B, </w:t>
      </w:r>
      <w:proofErr w:type="spellStart"/>
      <w:r w:rsidRPr="00EA5380">
        <w:rPr>
          <w:rFonts w:asciiTheme="minorHAnsi" w:hAnsiTheme="minorHAnsi" w:cstheme="minorHAnsi"/>
        </w:rPr>
        <w:t>Einsele</w:t>
      </w:r>
      <w:proofErr w:type="spellEnd"/>
      <w:r w:rsidRPr="00EA5380">
        <w:rPr>
          <w:rFonts w:asciiTheme="minorHAnsi" w:hAnsiTheme="minorHAnsi" w:cstheme="minorHAnsi"/>
        </w:rPr>
        <w:t xml:space="preserve"> H, Schecter J, Deraedt W, Lendvai N et al. (2024)</w:t>
      </w:r>
      <w:r w:rsidR="003C3F8E">
        <w:rPr>
          <w:rFonts w:asciiTheme="minorHAnsi" w:hAnsiTheme="minorHAnsi" w:cstheme="minorHAnsi"/>
        </w:rPr>
        <w:t>.</w:t>
      </w:r>
      <w:r w:rsidRPr="00EA5380">
        <w:rPr>
          <w:rFonts w:asciiTheme="minorHAnsi" w:hAnsiTheme="minorHAnsi" w:cstheme="minorHAnsi"/>
        </w:rPr>
        <w:t xml:space="preserve"> </w:t>
      </w:r>
      <w:r w:rsidR="00BF5DDB" w:rsidRPr="00BF5DDB">
        <w:rPr>
          <w:rFonts w:asciiTheme="minorHAnsi" w:hAnsiTheme="minorHAnsi" w:cstheme="minorHAnsi"/>
        </w:rPr>
        <w:t>Real-world treatment patterns and outcomes in relapsed/refractory multiple myeloma (1-3 prior lines): Flatiron database</w:t>
      </w:r>
      <w:r w:rsidRPr="00EA5380">
        <w:rPr>
          <w:rFonts w:asciiTheme="minorHAnsi" w:hAnsiTheme="minorHAnsi" w:cstheme="minorHAnsi"/>
        </w:rPr>
        <w:t>.</w:t>
      </w:r>
      <w:r w:rsidR="008551FF">
        <w:rPr>
          <w:rFonts w:asciiTheme="minorHAnsi" w:hAnsiTheme="minorHAnsi" w:cstheme="minorHAnsi"/>
        </w:rPr>
        <w:t xml:space="preserve"> </w:t>
      </w:r>
      <w:r w:rsidR="008551FF" w:rsidRPr="008551FF">
        <w:rPr>
          <w:rFonts w:asciiTheme="minorHAnsi" w:hAnsiTheme="minorHAnsi" w:cstheme="minorHAnsi"/>
        </w:rPr>
        <w:t>Blood Adv. 2024 Oct 8;8(19):5062-5071.</w:t>
      </w:r>
      <w:r w:rsidRPr="00EA5380">
        <w:rPr>
          <w:rFonts w:asciiTheme="minorHAnsi" w:hAnsiTheme="minorHAnsi" w:cstheme="minorHAnsi"/>
        </w:rPr>
        <w:t xml:space="preserve"> </w:t>
      </w:r>
    </w:p>
    <w:p w14:paraId="48907424" w14:textId="77777777" w:rsidR="00F12F95" w:rsidRDefault="00F12F95" w:rsidP="00F12F95">
      <w:pPr>
        <w:spacing w:before="120"/>
        <w:jc w:val="both"/>
        <w:rPr>
          <w:rFonts w:asciiTheme="minorHAnsi" w:hAnsiTheme="minorHAnsi" w:cstheme="minorHAnsi"/>
        </w:rPr>
      </w:pPr>
      <w:r>
        <w:rPr>
          <w:rFonts w:asciiTheme="minorHAnsi" w:hAnsiTheme="minorHAnsi" w:cstheme="minorHAnsi"/>
        </w:rPr>
        <w:t>Dhakal</w:t>
      </w:r>
      <w:r w:rsidRPr="00EA5380">
        <w:rPr>
          <w:rFonts w:asciiTheme="minorHAnsi" w:hAnsiTheme="minorHAnsi" w:cstheme="minorHAnsi"/>
        </w:rPr>
        <w:t xml:space="preserve">, </w:t>
      </w:r>
      <w:r>
        <w:rPr>
          <w:rFonts w:asciiTheme="minorHAnsi" w:hAnsiTheme="minorHAnsi" w:cstheme="minorHAnsi"/>
        </w:rPr>
        <w:t>et al</w:t>
      </w:r>
      <w:r w:rsidRPr="00EA5380">
        <w:rPr>
          <w:rFonts w:asciiTheme="minorHAnsi" w:hAnsiTheme="minorHAnsi" w:cstheme="minorHAnsi"/>
        </w:rPr>
        <w:t xml:space="preserve"> (202</w:t>
      </w:r>
      <w:r>
        <w:rPr>
          <w:rFonts w:asciiTheme="minorHAnsi" w:hAnsiTheme="minorHAnsi" w:cstheme="minorHAnsi"/>
        </w:rPr>
        <w:t>5</w:t>
      </w:r>
      <w:r w:rsidRPr="00EA5380">
        <w:rPr>
          <w:rFonts w:asciiTheme="minorHAnsi" w:hAnsiTheme="minorHAnsi" w:cstheme="minorHAnsi"/>
        </w:rPr>
        <w:t xml:space="preserve">). </w:t>
      </w:r>
      <w:r w:rsidRPr="008949B6">
        <w:rPr>
          <w:rFonts w:asciiTheme="minorHAnsi" w:hAnsiTheme="minorHAnsi" w:cstheme="minorHAnsi"/>
        </w:rPr>
        <w:t xml:space="preserve">Real-World Treatment Patterns and Outcomes in Patients </w:t>
      </w:r>
      <w:proofErr w:type="gramStart"/>
      <w:r w:rsidRPr="008949B6">
        <w:rPr>
          <w:rFonts w:asciiTheme="minorHAnsi" w:hAnsiTheme="minorHAnsi" w:cstheme="minorHAnsi"/>
        </w:rPr>
        <w:t>With</w:t>
      </w:r>
      <w:proofErr w:type="gramEnd"/>
      <w:r w:rsidRPr="008949B6">
        <w:rPr>
          <w:rFonts w:asciiTheme="minorHAnsi" w:hAnsiTheme="minorHAnsi" w:cstheme="minorHAnsi"/>
        </w:rPr>
        <w:t xml:space="preserve"> Lenalidomide-Refractory Multiple Myeloma With 1 to 3 Prior Lines: SEER-Medicare Database</w:t>
      </w:r>
      <w:r w:rsidRPr="00EA5380">
        <w:rPr>
          <w:rFonts w:asciiTheme="minorHAnsi" w:hAnsiTheme="minorHAnsi" w:cstheme="minorHAnsi"/>
        </w:rPr>
        <w:t xml:space="preserve">. </w:t>
      </w:r>
      <w:r w:rsidRPr="00DE62B6">
        <w:rPr>
          <w:rFonts w:asciiTheme="minorHAnsi" w:hAnsiTheme="minorHAnsi" w:cstheme="minorHAnsi"/>
        </w:rPr>
        <w:t>Clin Lymphoma Myeloma Leuk. 2025 Jun;25(6</w:t>
      </w:r>
      <w:proofErr w:type="gramStart"/>
      <w:r w:rsidRPr="00DE62B6">
        <w:rPr>
          <w:rFonts w:asciiTheme="minorHAnsi" w:hAnsiTheme="minorHAnsi" w:cstheme="minorHAnsi"/>
        </w:rPr>
        <w:t>):e</w:t>
      </w:r>
      <w:proofErr w:type="gramEnd"/>
      <w:r w:rsidRPr="00DE62B6">
        <w:rPr>
          <w:rFonts w:asciiTheme="minorHAnsi" w:hAnsiTheme="minorHAnsi" w:cstheme="minorHAnsi"/>
        </w:rPr>
        <w:t>394-e403.</w:t>
      </w:r>
    </w:p>
    <w:p w14:paraId="7F26E8E4" w14:textId="102DF6BC" w:rsidR="00EA1451" w:rsidRDefault="00EA1451" w:rsidP="007520A6">
      <w:pPr>
        <w:spacing w:before="120"/>
        <w:jc w:val="both"/>
        <w:rPr>
          <w:rFonts w:asciiTheme="minorHAnsi" w:hAnsiTheme="minorHAnsi" w:cstheme="minorHAnsi"/>
        </w:rPr>
      </w:pPr>
      <w:proofErr w:type="spellStart"/>
      <w:r>
        <w:rPr>
          <w:rFonts w:asciiTheme="minorHAnsi" w:hAnsiTheme="minorHAnsi" w:cstheme="minorHAnsi"/>
        </w:rPr>
        <w:t>Einsele</w:t>
      </w:r>
      <w:proofErr w:type="spellEnd"/>
      <w:r>
        <w:rPr>
          <w:rFonts w:asciiTheme="minorHAnsi" w:hAnsiTheme="minorHAnsi" w:cstheme="minorHAnsi"/>
        </w:rPr>
        <w:t xml:space="preserve"> H et al. </w:t>
      </w:r>
      <w:r w:rsidRPr="00EA1451">
        <w:rPr>
          <w:rFonts w:asciiTheme="minorHAnsi" w:hAnsiTheme="minorHAnsi" w:cstheme="minorHAnsi"/>
        </w:rPr>
        <w:t>Cilta-cel in lenalidomide-refractory multiple myeloma</w:t>
      </w:r>
      <w:r>
        <w:rPr>
          <w:rFonts w:asciiTheme="minorHAnsi" w:hAnsiTheme="minorHAnsi" w:cstheme="minorHAnsi"/>
        </w:rPr>
        <w:t xml:space="preserve"> </w:t>
      </w:r>
      <w:r w:rsidRPr="00EA1451">
        <w:rPr>
          <w:rFonts w:asciiTheme="minorHAnsi" w:hAnsiTheme="minorHAnsi" w:cstheme="minorHAnsi"/>
        </w:rPr>
        <w:t>(CARTITUDE-4): an updated analysis including overall</w:t>
      </w:r>
      <w:r>
        <w:rPr>
          <w:rFonts w:asciiTheme="minorHAnsi" w:hAnsiTheme="minorHAnsi" w:cstheme="minorHAnsi"/>
        </w:rPr>
        <w:t xml:space="preserve"> </w:t>
      </w:r>
      <w:r w:rsidRPr="00EA1451">
        <w:rPr>
          <w:rFonts w:asciiTheme="minorHAnsi" w:hAnsiTheme="minorHAnsi" w:cstheme="minorHAnsi"/>
        </w:rPr>
        <w:t>survival from an open-label, multicentre, randomised,</w:t>
      </w:r>
      <w:r>
        <w:rPr>
          <w:rFonts w:asciiTheme="minorHAnsi" w:hAnsiTheme="minorHAnsi" w:cstheme="minorHAnsi"/>
        </w:rPr>
        <w:t xml:space="preserve"> </w:t>
      </w:r>
      <w:r w:rsidRPr="00EA1451">
        <w:rPr>
          <w:rFonts w:asciiTheme="minorHAnsi" w:hAnsiTheme="minorHAnsi" w:cstheme="minorHAnsi"/>
        </w:rPr>
        <w:t>phase 3 trial</w:t>
      </w:r>
      <w:r>
        <w:rPr>
          <w:rFonts w:asciiTheme="minorHAnsi" w:hAnsiTheme="minorHAnsi" w:cstheme="minorHAnsi"/>
        </w:rPr>
        <w:t xml:space="preserve">. </w:t>
      </w:r>
      <w:r w:rsidR="009906A7" w:rsidRPr="009906A7">
        <w:rPr>
          <w:rFonts w:asciiTheme="minorHAnsi" w:hAnsiTheme="minorHAnsi" w:cstheme="minorHAnsi"/>
        </w:rPr>
        <w:t>Lancet Oncol 2026; 27: 254–68</w:t>
      </w:r>
    </w:p>
    <w:p w14:paraId="5B7E17CA" w14:textId="5390C534" w:rsidR="003C4E82" w:rsidRDefault="003C4E82" w:rsidP="007520A6">
      <w:pPr>
        <w:spacing w:before="120"/>
        <w:jc w:val="both"/>
        <w:rPr>
          <w:rFonts w:asciiTheme="minorHAnsi" w:hAnsiTheme="minorHAnsi" w:cstheme="minorHAnsi"/>
        </w:rPr>
      </w:pPr>
      <w:r>
        <w:rPr>
          <w:rFonts w:asciiTheme="minorHAnsi" w:hAnsiTheme="minorHAnsi" w:cstheme="minorHAnsi"/>
        </w:rPr>
        <w:t xml:space="preserve">Hartley-Brown MA, et al. (2024). Multiple myeloma refractory to lenalidomide. A systematic literature review of trials and real-world evidence. </w:t>
      </w:r>
      <w:r w:rsidR="009926F5" w:rsidRPr="009926F5">
        <w:rPr>
          <w:rFonts w:asciiTheme="minorHAnsi" w:hAnsiTheme="minorHAnsi" w:cstheme="minorHAnsi"/>
        </w:rPr>
        <w:t xml:space="preserve">Br J Haematol. </w:t>
      </w:r>
      <w:proofErr w:type="gramStart"/>
      <w:r w:rsidR="009926F5" w:rsidRPr="009926F5">
        <w:rPr>
          <w:rFonts w:asciiTheme="minorHAnsi" w:hAnsiTheme="minorHAnsi" w:cstheme="minorHAnsi"/>
        </w:rPr>
        <w:t>2024;00:1</w:t>
      </w:r>
      <w:proofErr w:type="gramEnd"/>
      <w:r w:rsidR="009926F5" w:rsidRPr="009926F5">
        <w:rPr>
          <w:rFonts w:asciiTheme="minorHAnsi" w:hAnsiTheme="minorHAnsi" w:cstheme="minorHAnsi"/>
        </w:rPr>
        <w:t>–18</w:t>
      </w:r>
      <w:r w:rsidR="009926F5">
        <w:rPr>
          <w:rFonts w:asciiTheme="minorHAnsi" w:hAnsiTheme="minorHAnsi" w:cstheme="minorHAnsi"/>
        </w:rPr>
        <w:t>.</w:t>
      </w:r>
    </w:p>
    <w:p w14:paraId="4DA19423" w14:textId="1204C173" w:rsidR="00CD448E" w:rsidRDefault="00CD448E" w:rsidP="007520A6">
      <w:pPr>
        <w:spacing w:before="120"/>
        <w:jc w:val="both"/>
        <w:rPr>
          <w:rFonts w:asciiTheme="minorHAnsi" w:hAnsiTheme="minorHAnsi" w:cstheme="minorHAnsi"/>
        </w:rPr>
      </w:pPr>
      <w:r>
        <w:rPr>
          <w:rFonts w:asciiTheme="minorHAnsi" w:hAnsiTheme="minorHAnsi" w:cstheme="minorHAnsi"/>
        </w:rPr>
        <w:t>M</w:t>
      </w:r>
      <w:r w:rsidR="009D1993">
        <w:rPr>
          <w:rFonts w:asciiTheme="minorHAnsi" w:hAnsiTheme="minorHAnsi" w:cstheme="minorHAnsi"/>
        </w:rPr>
        <w:t xml:space="preserve">ultiple </w:t>
      </w:r>
      <w:r>
        <w:rPr>
          <w:rFonts w:asciiTheme="minorHAnsi" w:hAnsiTheme="minorHAnsi" w:cstheme="minorHAnsi"/>
        </w:rPr>
        <w:t>M</w:t>
      </w:r>
      <w:r w:rsidR="009D1993">
        <w:rPr>
          <w:rFonts w:asciiTheme="minorHAnsi" w:hAnsiTheme="minorHAnsi" w:cstheme="minorHAnsi"/>
        </w:rPr>
        <w:t>yeloma</w:t>
      </w:r>
      <w:r>
        <w:rPr>
          <w:rFonts w:asciiTheme="minorHAnsi" w:hAnsiTheme="minorHAnsi" w:cstheme="minorHAnsi"/>
        </w:rPr>
        <w:t xml:space="preserve"> </w:t>
      </w:r>
      <w:r w:rsidR="009D1993">
        <w:rPr>
          <w:rFonts w:asciiTheme="minorHAnsi" w:hAnsiTheme="minorHAnsi" w:cstheme="minorHAnsi"/>
        </w:rPr>
        <w:t>S</w:t>
      </w:r>
      <w:r>
        <w:rPr>
          <w:rFonts w:asciiTheme="minorHAnsi" w:hAnsiTheme="minorHAnsi" w:cstheme="minorHAnsi"/>
        </w:rPr>
        <w:t xml:space="preserve">takeholder </w:t>
      </w:r>
      <w:r w:rsidR="009D1993">
        <w:rPr>
          <w:rFonts w:asciiTheme="minorHAnsi" w:hAnsiTheme="minorHAnsi" w:cstheme="minorHAnsi"/>
        </w:rPr>
        <w:t>M</w:t>
      </w:r>
      <w:r>
        <w:rPr>
          <w:rFonts w:asciiTheme="minorHAnsi" w:hAnsiTheme="minorHAnsi" w:cstheme="minorHAnsi"/>
        </w:rPr>
        <w:t>eeting</w:t>
      </w:r>
      <w:r w:rsidR="009D1993">
        <w:rPr>
          <w:rFonts w:asciiTheme="minorHAnsi" w:hAnsiTheme="minorHAnsi" w:cstheme="minorHAnsi"/>
        </w:rPr>
        <w:t xml:space="preserve">. Outcome Statement. Friday 25 July 2025. PBAC. </w:t>
      </w:r>
      <w:r w:rsidR="00824FDC">
        <w:rPr>
          <w:rFonts w:asciiTheme="minorHAnsi" w:hAnsiTheme="minorHAnsi" w:cstheme="minorHAnsi"/>
        </w:rPr>
        <w:t xml:space="preserve">Link: </w:t>
      </w:r>
      <w:hyperlink r:id="rId34" w:history="1">
        <w:r w:rsidR="002B7555" w:rsidRPr="001E0342">
          <w:rPr>
            <w:rStyle w:val="Hyperlink"/>
            <w:rFonts w:asciiTheme="minorHAnsi" w:hAnsiTheme="minorHAnsi" w:cstheme="minorHAnsi"/>
          </w:rPr>
          <w:t>https://pbs.gov.au/industry/listing/elements/pbac-meetings/pbac-stakeholder-meetings/Multiple-Myeloma-Meeting-Outcome-Statement.pdf</w:t>
        </w:r>
      </w:hyperlink>
    </w:p>
    <w:p w14:paraId="56CD2C32" w14:textId="0263E700" w:rsidR="005A7336" w:rsidRPr="005A7336" w:rsidRDefault="005A7336" w:rsidP="007520A6">
      <w:pPr>
        <w:spacing w:before="120"/>
        <w:jc w:val="both"/>
        <w:rPr>
          <w:rFonts w:asciiTheme="minorHAnsi" w:hAnsiTheme="minorHAnsi" w:cstheme="minorHAnsi"/>
        </w:rPr>
      </w:pPr>
      <w:r w:rsidRPr="005A7336">
        <w:rPr>
          <w:rFonts w:asciiTheme="minorHAnsi" w:hAnsiTheme="minorHAnsi" w:cstheme="minorHAnsi"/>
        </w:rPr>
        <w:t xml:space="preserve">Quach H. and Prince H.M. on behalf of MSAG 2019.  Clinical Practice Guideline. Multiple Myeloma. Updated 2019 </w:t>
      </w:r>
      <w:hyperlink r:id="rId35" w:history="1">
        <w:r w:rsidRPr="005A7336">
          <w:rPr>
            <w:rStyle w:val="Hyperlink"/>
            <w:rFonts w:asciiTheme="minorHAnsi" w:hAnsiTheme="minorHAnsi" w:cstheme="minorHAnsi"/>
          </w:rPr>
          <w:t>https://myeloma.org.au/wp-content/uploads/2019/10/myeloma_clinical_practice_guideline_oct19</w:t>
        </w:r>
      </w:hyperlink>
      <w:r w:rsidRPr="005A7336">
        <w:rPr>
          <w:rFonts w:asciiTheme="minorHAnsi" w:hAnsiTheme="minorHAnsi" w:cstheme="minorHAnsi"/>
        </w:rPr>
        <w:t xml:space="preserve">. </w:t>
      </w:r>
    </w:p>
    <w:p w14:paraId="1B69C39C" w14:textId="77777777" w:rsidR="00EA5380" w:rsidRDefault="00064F3A" w:rsidP="00EA5380">
      <w:pPr>
        <w:spacing w:before="120"/>
        <w:jc w:val="both"/>
        <w:rPr>
          <w:rFonts w:asciiTheme="minorHAnsi" w:hAnsiTheme="minorHAnsi" w:cstheme="minorHAnsi"/>
        </w:rPr>
      </w:pPr>
      <w:r w:rsidRPr="005A7336">
        <w:rPr>
          <w:rFonts w:asciiTheme="minorHAnsi" w:hAnsiTheme="minorHAnsi" w:cstheme="minorHAnsi"/>
        </w:rPr>
        <w:t xml:space="preserve">Zhao J et al. Real-world treatment patterns in relapsed/refractory multiple myeloma in Australia: results from the Myeloma and Related Diseases Registry. Abstract presented (O051) at Blood 2019 on 21/10/2019, Perth Convention &amp; Exhibition Centre, 20 - 23 October 2019.  </w:t>
      </w:r>
      <w:r w:rsidR="005A7336">
        <w:rPr>
          <w:rFonts w:asciiTheme="minorHAnsi" w:hAnsiTheme="minorHAnsi" w:cstheme="minorHAnsi"/>
        </w:rPr>
        <w:t xml:space="preserve"> Link: </w:t>
      </w:r>
      <w:hyperlink r:id="rId36" w:history="1">
        <w:r w:rsidR="005A7336" w:rsidRPr="004971F1">
          <w:rPr>
            <w:rStyle w:val="Hyperlink"/>
            <w:rFonts w:asciiTheme="minorHAnsi" w:hAnsiTheme="minorHAnsi" w:cstheme="minorHAnsi"/>
          </w:rPr>
          <w:t>https://www.hsanz.org.au/resources/Documents/Blood%20Abstract%20Supplement/Blood%202019%20abstract%20supplement.pdf</w:t>
        </w:r>
      </w:hyperlink>
      <w:r w:rsidR="00EA5380" w:rsidRPr="00EA5380">
        <w:rPr>
          <w:rFonts w:asciiTheme="minorHAnsi" w:hAnsiTheme="minorHAnsi" w:cstheme="minorHAnsi"/>
        </w:rPr>
        <w:t xml:space="preserve"> </w:t>
      </w:r>
    </w:p>
    <w:p w14:paraId="4569B648" w14:textId="56279509" w:rsidR="00EA5380" w:rsidRPr="00EA5380" w:rsidRDefault="00EA5380" w:rsidP="00F36E10">
      <w:pPr>
        <w:spacing w:before="120"/>
        <w:jc w:val="both"/>
        <w:rPr>
          <w:rFonts w:asciiTheme="minorHAnsi" w:hAnsiTheme="minorHAnsi" w:cstheme="minorHAnsi"/>
        </w:rPr>
      </w:pPr>
      <w:r w:rsidRPr="00EA5380">
        <w:rPr>
          <w:rFonts w:asciiTheme="minorHAnsi" w:hAnsiTheme="minorHAnsi" w:cstheme="minorHAnsi"/>
        </w:rPr>
        <w:t xml:space="preserve">Yong K, </w:t>
      </w:r>
      <w:proofErr w:type="spellStart"/>
      <w:r w:rsidRPr="00EA5380">
        <w:rPr>
          <w:rFonts w:asciiTheme="minorHAnsi" w:hAnsiTheme="minorHAnsi" w:cstheme="minorHAnsi"/>
        </w:rPr>
        <w:t>Einsele</w:t>
      </w:r>
      <w:proofErr w:type="spellEnd"/>
      <w:r w:rsidRPr="00EA5380">
        <w:rPr>
          <w:rFonts w:asciiTheme="minorHAnsi" w:hAnsiTheme="minorHAnsi" w:cstheme="minorHAnsi"/>
        </w:rPr>
        <w:t xml:space="preserve"> H, Schecter J, Roccia T, Deraedt W et al. (202</w:t>
      </w:r>
      <w:r w:rsidR="00F36E10">
        <w:rPr>
          <w:rFonts w:asciiTheme="minorHAnsi" w:hAnsiTheme="minorHAnsi" w:cstheme="minorHAnsi"/>
        </w:rPr>
        <w:t>5</w:t>
      </w:r>
      <w:r w:rsidRPr="00EA5380">
        <w:rPr>
          <w:rFonts w:asciiTheme="minorHAnsi" w:hAnsiTheme="minorHAnsi" w:cstheme="minorHAnsi"/>
        </w:rPr>
        <w:t>)</w:t>
      </w:r>
      <w:r w:rsidR="008551FF">
        <w:rPr>
          <w:rFonts w:asciiTheme="minorHAnsi" w:hAnsiTheme="minorHAnsi" w:cstheme="minorHAnsi"/>
        </w:rPr>
        <w:t>.</w:t>
      </w:r>
      <w:r w:rsidRPr="00EA5380">
        <w:rPr>
          <w:rFonts w:asciiTheme="minorHAnsi" w:hAnsiTheme="minorHAnsi" w:cstheme="minorHAnsi"/>
        </w:rPr>
        <w:t xml:space="preserve"> Characteristics and outcomes in patients with lenalidomide refractory multiple myeloma treated with 1-3 prior lines of therapy: analysis of individual patient-level data from daratumumab clinical trials. </w:t>
      </w:r>
      <w:r w:rsidR="00F36E10" w:rsidRPr="00F36E10">
        <w:rPr>
          <w:rFonts w:asciiTheme="minorHAnsi" w:hAnsiTheme="minorHAnsi" w:cstheme="minorHAnsi"/>
        </w:rPr>
        <w:t>European Journal of Cancer</w:t>
      </w:r>
      <w:r w:rsidR="00F36E10">
        <w:rPr>
          <w:rFonts w:asciiTheme="minorHAnsi" w:hAnsiTheme="minorHAnsi" w:cstheme="minorHAnsi"/>
        </w:rPr>
        <w:t xml:space="preserve"> </w:t>
      </w:r>
      <w:r w:rsidR="00F36E10" w:rsidRPr="00F36E10">
        <w:rPr>
          <w:rFonts w:asciiTheme="minorHAnsi" w:hAnsiTheme="minorHAnsi" w:cstheme="minorHAnsi"/>
        </w:rPr>
        <w:t>Volume 215, 17 January 2025, 115157</w:t>
      </w:r>
      <w:r w:rsidR="00F36E10">
        <w:rPr>
          <w:rFonts w:asciiTheme="minorHAnsi" w:hAnsiTheme="minorHAnsi" w:cstheme="minorHAnsi"/>
        </w:rPr>
        <w:t>.</w:t>
      </w:r>
    </w:p>
    <w:p w14:paraId="0D0689C0" w14:textId="0382BFFA" w:rsidR="00AA7ED1" w:rsidRPr="00AA7ED1" w:rsidRDefault="00AA7ED1" w:rsidP="007520A6">
      <w:pPr>
        <w:spacing w:before="120"/>
        <w:jc w:val="both"/>
        <w:rPr>
          <w:rStyle w:val="Heading2Char"/>
          <w:rFonts w:asciiTheme="minorHAnsi" w:eastAsiaTheme="minorHAnsi" w:hAnsiTheme="minorHAnsi" w:cstheme="minorHAnsi"/>
          <w:b w:val="0"/>
          <w:color w:val="auto"/>
          <w:sz w:val="20"/>
          <w:szCs w:val="20"/>
        </w:rPr>
      </w:pPr>
    </w:p>
    <w:sectPr w:rsidR="00AA7ED1" w:rsidRPr="00AA7ED1" w:rsidSect="00BF0080">
      <w:pgSz w:w="11906" w:h="16838"/>
      <w:pgMar w:top="1440" w:right="992" w:bottom="1134" w:left="1440" w:header="425"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A8EFE" w14:textId="77777777" w:rsidR="0067097C" w:rsidRDefault="0067097C" w:rsidP="001E1797">
      <w:r>
        <w:separator/>
      </w:r>
    </w:p>
  </w:endnote>
  <w:endnote w:type="continuationSeparator" w:id="0">
    <w:p w14:paraId="438C96BD" w14:textId="77777777" w:rsidR="0067097C" w:rsidRDefault="0067097C" w:rsidP="001E1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C3648" w14:textId="77777777" w:rsidR="00D548FA" w:rsidRDefault="00D548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6C7C" w14:textId="287383EC" w:rsidR="0090168B" w:rsidRDefault="0090168B" w:rsidP="00B628C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BBC13" w14:textId="77777777" w:rsidR="00D548FA" w:rsidRDefault="00D548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750"/>
      <w:gridCol w:w="4750"/>
      <w:gridCol w:w="4750"/>
    </w:tblGrid>
    <w:tr w:rsidR="51FB2048" w14:paraId="5E6F7420" w14:textId="77777777" w:rsidTr="51FB2048">
      <w:trPr>
        <w:trHeight w:val="300"/>
      </w:trPr>
      <w:tc>
        <w:tcPr>
          <w:tcW w:w="4750" w:type="dxa"/>
        </w:tcPr>
        <w:p w14:paraId="4F39F0FF" w14:textId="7B9388AD" w:rsidR="51FB2048" w:rsidRDefault="51FB2048" w:rsidP="51FB2048">
          <w:pPr>
            <w:pStyle w:val="Header"/>
            <w:ind w:left="-115"/>
          </w:pPr>
        </w:p>
      </w:tc>
      <w:tc>
        <w:tcPr>
          <w:tcW w:w="4750" w:type="dxa"/>
        </w:tcPr>
        <w:p w14:paraId="0396A459" w14:textId="0962FD43" w:rsidR="51FB2048" w:rsidRDefault="51FB2048" w:rsidP="51FB2048">
          <w:pPr>
            <w:pStyle w:val="Header"/>
            <w:jc w:val="center"/>
          </w:pPr>
        </w:p>
      </w:tc>
      <w:tc>
        <w:tcPr>
          <w:tcW w:w="4750" w:type="dxa"/>
        </w:tcPr>
        <w:p w14:paraId="022CCAF1" w14:textId="6BEC7435" w:rsidR="51FB2048" w:rsidRDefault="51FB2048" w:rsidP="51FB2048">
          <w:pPr>
            <w:pStyle w:val="Header"/>
            <w:ind w:right="-115"/>
            <w:jc w:val="right"/>
          </w:pPr>
        </w:p>
      </w:tc>
    </w:tr>
  </w:tbl>
  <w:p w14:paraId="527A042B" w14:textId="2080D98D" w:rsidR="51FB2048" w:rsidRDefault="51FB2048" w:rsidP="51FB20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FEBA3" w14:textId="77777777" w:rsidR="0067097C" w:rsidRDefault="0067097C" w:rsidP="001E1797">
      <w:r>
        <w:separator/>
      </w:r>
    </w:p>
  </w:footnote>
  <w:footnote w:type="continuationSeparator" w:id="0">
    <w:p w14:paraId="1BE44722" w14:textId="77777777" w:rsidR="0067097C" w:rsidRDefault="0067097C" w:rsidP="001E1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8C82" w14:textId="77777777" w:rsidR="00D548FA" w:rsidRDefault="00D54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3DC51" w14:textId="58FA739E" w:rsidR="000E1074" w:rsidRPr="002E357C" w:rsidRDefault="07B450D6" w:rsidP="000E1074">
    <w:pPr>
      <w:pStyle w:val="Header"/>
      <w:rPr>
        <w:rFonts w:asciiTheme="minorHAnsi" w:eastAsiaTheme="minorEastAsia" w:hAnsiTheme="minorHAnsi" w:cstheme="minorBidi"/>
      </w:rPr>
    </w:pPr>
    <w:r w:rsidRPr="07B450D6">
      <w:rPr>
        <w:rFonts w:asciiTheme="minorHAnsi" w:eastAsiaTheme="minorEastAsia" w:hAnsiTheme="minorHAnsi" w:cstheme="minorBidi"/>
      </w:rPr>
      <w:t xml:space="preserve">Ciltacabtagene autoleucel to treat RRMM after at least 1 prior therapy – PICO Set </w:t>
    </w:r>
  </w:p>
  <w:p w14:paraId="1DD805F7" w14:textId="77777777" w:rsidR="000E1074" w:rsidRDefault="000E1074" w:rsidP="000E1074">
    <w:pPr>
      <w:pStyle w:val="Header"/>
    </w:pPr>
    <w:r>
      <w:rPr>
        <w:noProof/>
      </w:rPr>
      <mc:AlternateContent>
        <mc:Choice Requires="wps">
          <w:drawing>
            <wp:anchor distT="0" distB="0" distL="114300" distR="114300" simplePos="0" relativeHeight="251658240" behindDoc="0" locked="0" layoutInCell="1" allowOverlap="1" wp14:anchorId="036995D9" wp14:editId="04A65364">
              <wp:simplePos x="0" y="0"/>
              <wp:positionH relativeFrom="column">
                <wp:posOffset>-142875</wp:posOffset>
              </wp:positionH>
              <wp:positionV relativeFrom="paragraph">
                <wp:posOffset>117475</wp:posOffset>
              </wp:positionV>
              <wp:extent cx="589597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5895975" cy="0"/>
                      </a:xfrm>
                      <a:prstGeom prst="line">
                        <a:avLst/>
                      </a:prstGeom>
                      <a:ln>
                        <a:solidFill>
                          <a:schemeClr val="bg2">
                            <a:lumMod val="9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D3A11C"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25pt,9.25pt" to="45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" strokecolor="#cfcdcd [2894]"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290C" w14:textId="77777777" w:rsidR="00D548FA" w:rsidRDefault="00D548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59"/>
      <w:gridCol w:w="3158"/>
      <w:gridCol w:w="3158"/>
    </w:tblGrid>
    <w:tr w:rsidR="51FB2048" w14:paraId="7C93DD5A" w14:textId="77777777" w:rsidTr="51FB2048">
      <w:trPr>
        <w:trHeight w:val="300"/>
      </w:trPr>
      <w:tc>
        <w:tcPr>
          <w:tcW w:w="4750" w:type="dxa"/>
        </w:tcPr>
        <w:p w14:paraId="1E6E7632" w14:textId="0465DCCB" w:rsidR="51FB2048" w:rsidRDefault="51FB2048" w:rsidP="51FB2048">
          <w:pPr>
            <w:pStyle w:val="Header"/>
            <w:ind w:left="-115"/>
          </w:pPr>
        </w:p>
      </w:tc>
      <w:tc>
        <w:tcPr>
          <w:tcW w:w="4750" w:type="dxa"/>
        </w:tcPr>
        <w:p w14:paraId="434FB142" w14:textId="07D4B65A" w:rsidR="51FB2048" w:rsidRDefault="51FB2048" w:rsidP="51FB2048">
          <w:pPr>
            <w:pStyle w:val="Header"/>
            <w:jc w:val="center"/>
          </w:pPr>
        </w:p>
      </w:tc>
      <w:tc>
        <w:tcPr>
          <w:tcW w:w="4750" w:type="dxa"/>
        </w:tcPr>
        <w:p w14:paraId="685A9D60" w14:textId="37AA24E1" w:rsidR="51FB2048" w:rsidRDefault="51FB2048" w:rsidP="51FB2048">
          <w:pPr>
            <w:pStyle w:val="Header"/>
            <w:ind w:right="-115"/>
            <w:jc w:val="right"/>
          </w:pPr>
        </w:p>
      </w:tc>
    </w:tr>
  </w:tbl>
  <w:p w14:paraId="60A32D20" w14:textId="40305931" w:rsidR="51FB2048" w:rsidRDefault="51FB2048" w:rsidP="51FB20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1077"/>
    <w:multiLevelType w:val="multilevel"/>
    <w:tmpl w:val="8C9CC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4C5B59"/>
    <w:multiLevelType w:val="hybridMultilevel"/>
    <w:tmpl w:val="73BA1E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5822AF"/>
    <w:multiLevelType w:val="hybridMultilevel"/>
    <w:tmpl w:val="8E4C9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FB5FFF"/>
    <w:multiLevelType w:val="hybridMultilevel"/>
    <w:tmpl w:val="F53C9B30"/>
    <w:lvl w:ilvl="0" w:tplc="0E8C979C">
      <w:start w:val="1"/>
      <w:numFmt w:val="decimal"/>
      <w:lvlText w:val="%1."/>
      <w:lvlJc w:val="left"/>
      <w:pPr>
        <w:ind w:left="1020" w:hanging="360"/>
      </w:pPr>
    </w:lvl>
    <w:lvl w:ilvl="1" w:tplc="E1E0E59E">
      <w:start w:val="1"/>
      <w:numFmt w:val="decimal"/>
      <w:lvlText w:val="%2."/>
      <w:lvlJc w:val="left"/>
      <w:pPr>
        <w:ind w:left="1020" w:hanging="360"/>
      </w:pPr>
    </w:lvl>
    <w:lvl w:ilvl="2" w:tplc="A4049BD4">
      <w:start w:val="1"/>
      <w:numFmt w:val="decimal"/>
      <w:lvlText w:val="%3."/>
      <w:lvlJc w:val="left"/>
      <w:pPr>
        <w:ind w:left="1020" w:hanging="360"/>
      </w:pPr>
    </w:lvl>
    <w:lvl w:ilvl="3" w:tplc="AEDCB0EA">
      <w:start w:val="1"/>
      <w:numFmt w:val="decimal"/>
      <w:lvlText w:val="%4."/>
      <w:lvlJc w:val="left"/>
      <w:pPr>
        <w:ind w:left="1020" w:hanging="360"/>
      </w:pPr>
    </w:lvl>
    <w:lvl w:ilvl="4" w:tplc="745EA8EE">
      <w:start w:val="1"/>
      <w:numFmt w:val="decimal"/>
      <w:lvlText w:val="%5."/>
      <w:lvlJc w:val="left"/>
      <w:pPr>
        <w:ind w:left="1020" w:hanging="360"/>
      </w:pPr>
    </w:lvl>
    <w:lvl w:ilvl="5" w:tplc="435A548C">
      <w:start w:val="1"/>
      <w:numFmt w:val="decimal"/>
      <w:lvlText w:val="%6."/>
      <w:lvlJc w:val="left"/>
      <w:pPr>
        <w:ind w:left="1020" w:hanging="360"/>
      </w:pPr>
    </w:lvl>
    <w:lvl w:ilvl="6" w:tplc="15FCB60A">
      <w:start w:val="1"/>
      <w:numFmt w:val="decimal"/>
      <w:lvlText w:val="%7."/>
      <w:lvlJc w:val="left"/>
      <w:pPr>
        <w:ind w:left="1020" w:hanging="360"/>
      </w:pPr>
    </w:lvl>
    <w:lvl w:ilvl="7" w:tplc="0C2EC3CA">
      <w:start w:val="1"/>
      <w:numFmt w:val="decimal"/>
      <w:lvlText w:val="%8."/>
      <w:lvlJc w:val="left"/>
      <w:pPr>
        <w:ind w:left="1020" w:hanging="360"/>
      </w:pPr>
    </w:lvl>
    <w:lvl w:ilvl="8" w:tplc="ADC60DAE">
      <w:start w:val="1"/>
      <w:numFmt w:val="decimal"/>
      <w:lvlText w:val="%9."/>
      <w:lvlJc w:val="left"/>
      <w:pPr>
        <w:ind w:left="1020" w:hanging="360"/>
      </w:pPr>
    </w:lvl>
  </w:abstractNum>
  <w:abstractNum w:abstractNumId="4" w15:restartNumberingAfterBreak="0">
    <w:nsid w:val="1BB073DB"/>
    <w:multiLevelType w:val="hybridMultilevel"/>
    <w:tmpl w:val="CA0CB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E64C35"/>
    <w:multiLevelType w:val="hybridMultilevel"/>
    <w:tmpl w:val="9FECC33A"/>
    <w:lvl w:ilvl="0" w:tplc="0A828800">
      <w:start w:val="1"/>
      <w:numFmt w:val="decimal"/>
      <w:lvlText w:val="%1."/>
      <w:lvlJc w:val="left"/>
      <w:pPr>
        <w:ind w:left="1020" w:hanging="360"/>
      </w:pPr>
    </w:lvl>
    <w:lvl w:ilvl="1" w:tplc="CC567B54">
      <w:start w:val="1"/>
      <w:numFmt w:val="decimal"/>
      <w:lvlText w:val="%2."/>
      <w:lvlJc w:val="left"/>
      <w:pPr>
        <w:ind w:left="1020" w:hanging="360"/>
      </w:pPr>
    </w:lvl>
    <w:lvl w:ilvl="2" w:tplc="D972A988">
      <w:start w:val="1"/>
      <w:numFmt w:val="decimal"/>
      <w:lvlText w:val="%3."/>
      <w:lvlJc w:val="left"/>
      <w:pPr>
        <w:ind w:left="1020" w:hanging="360"/>
      </w:pPr>
    </w:lvl>
    <w:lvl w:ilvl="3" w:tplc="325AFB2C">
      <w:start w:val="1"/>
      <w:numFmt w:val="decimal"/>
      <w:lvlText w:val="%4."/>
      <w:lvlJc w:val="left"/>
      <w:pPr>
        <w:ind w:left="1020" w:hanging="360"/>
      </w:pPr>
    </w:lvl>
    <w:lvl w:ilvl="4" w:tplc="662AEBBC">
      <w:start w:val="1"/>
      <w:numFmt w:val="decimal"/>
      <w:lvlText w:val="%5."/>
      <w:lvlJc w:val="left"/>
      <w:pPr>
        <w:ind w:left="1020" w:hanging="360"/>
      </w:pPr>
    </w:lvl>
    <w:lvl w:ilvl="5" w:tplc="3FD41F56">
      <w:start w:val="1"/>
      <w:numFmt w:val="decimal"/>
      <w:lvlText w:val="%6."/>
      <w:lvlJc w:val="left"/>
      <w:pPr>
        <w:ind w:left="1020" w:hanging="360"/>
      </w:pPr>
    </w:lvl>
    <w:lvl w:ilvl="6" w:tplc="6EA4ED1E">
      <w:start w:val="1"/>
      <w:numFmt w:val="decimal"/>
      <w:lvlText w:val="%7."/>
      <w:lvlJc w:val="left"/>
      <w:pPr>
        <w:ind w:left="1020" w:hanging="360"/>
      </w:pPr>
    </w:lvl>
    <w:lvl w:ilvl="7" w:tplc="15B4EC30">
      <w:start w:val="1"/>
      <w:numFmt w:val="decimal"/>
      <w:lvlText w:val="%8."/>
      <w:lvlJc w:val="left"/>
      <w:pPr>
        <w:ind w:left="1020" w:hanging="360"/>
      </w:pPr>
    </w:lvl>
    <w:lvl w:ilvl="8" w:tplc="7E0AE8F0">
      <w:start w:val="1"/>
      <w:numFmt w:val="decimal"/>
      <w:lvlText w:val="%9."/>
      <w:lvlJc w:val="left"/>
      <w:pPr>
        <w:ind w:left="1020" w:hanging="360"/>
      </w:pPr>
    </w:lvl>
  </w:abstractNum>
  <w:abstractNum w:abstractNumId="6" w15:restartNumberingAfterBreak="0">
    <w:nsid w:val="35F400D2"/>
    <w:multiLevelType w:val="hybridMultilevel"/>
    <w:tmpl w:val="59FEB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04414EF"/>
    <w:multiLevelType w:val="multilevel"/>
    <w:tmpl w:val="6D586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35360A"/>
    <w:multiLevelType w:val="hybridMultilevel"/>
    <w:tmpl w:val="91DE5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F4D20DB"/>
    <w:multiLevelType w:val="multilevel"/>
    <w:tmpl w:val="4A7257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D13F0F"/>
    <w:multiLevelType w:val="hybridMultilevel"/>
    <w:tmpl w:val="CCD45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45189465">
    <w:abstractNumId w:val="6"/>
  </w:num>
  <w:num w:numId="2" w16cid:durableId="820582861">
    <w:abstractNumId w:val="1"/>
  </w:num>
  <w:num w:numId="3" w16cid:durableId="1808471975">
    <w:abstractNumId w:val="4"/>
  </w:num>
  <w:num w:numId="4" w16cid:durableId="1788963496">
    <w:abstractNumId w:val="10"/>
  </w:num>
  <w:num w:numId="5" w16cid:durableId="353383959">
    <w:abstractNumId w:val="8"/>
  </w:num>
  <w:num w:numId="6" w16cid:durableId="1853954159">
    <w:abstractNumId w:val="5"/>
  </w:num>
  <w:num w:numId="7" w16cid:durableId="1134983663">
    <w:abstractNumId w:val="2"/>
  </w:num>
  <w:num w:numId="8" w16cid:durableId="581447074">
    <w:abstractNumId w:val="3"/>
  </w:num>
  <w:num w:numId="9" w16cid:durableId="2058048075">
    <w:abstractNumId w:val="0"/>
  </w:num>
  <w:num w:numId="10" w16cid:durableId="1845321870">
    <w:abstractNumId w:val="9"/>
  </w:num>
  <w:num w:numId="11" w16cid:durableId="14001349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22"/>
    <w:rsid w:val="00000196"/>
    <w:rsid w:val="000018B2"/>
    <w:rsid w:val="000038B7"/>
    <w:rsid w:val="000151FA"/>
    <w:rsid w:val="00015B10"/>
    <w:rsid w:val="00017770"/>
    <w:rsid w:val="0002084E"/>
    <w:rsid w:val="000218F0"/>
    <w:rsid w:val="00023A5B"/>
    <w:rsid w:val="0002426C"/>
    <w:rsid w:val="00025969"/>
    <w:rsid w:val="00027E8B"/>
    <w:rsid w:val="00030BA9"/>
    <w:rsid w:val="00033767"/>
    <w:rsid w:val="000339C5"/>
    <w:rsid w:val="00033D25"/>
    <w:rsid w:val="000346BE"/>
    <w:rsid w:val="0003545B"/>
    <w:rsid w:val="0003583D"/>
    <w:rsid w:val="0003588C"/>
    <w:rsid w:val="0004144C"/>
    <w:rsid w:val="00047230"/>
    <w:rsid w:val="00051843"/>
    <w:rsid w:val="00052C2E"/>
    <w:rsid w:val="000531EC"/>
    <w:rsid w:val="000535C2"/>
    <w:rsid w:val="00054205"/>
    <w:rsid w:val="00054FFA"/>
    <w:rsid w:val="00057ADD"/>
    <w:rsid w:val="00061569"/>
    <w:rsid w:val="00061BE4"/>
    <w:rsid w:val="00061FCE"/>
    <w:rsid w:val="000627EF"/>
    <w:rsid w:val="00063272"/>
    <w:rsid w:val="000645C4"/>
    <w:rsid w:val="00064F3A"/>
    <w:rsid w:val="00065544"/>
    <w:rsid w:val="000661B7"/>
    <w:rsid w:val="000672A4"/>
    <w:rsid w:val="00070F14"/>
    <w:rsid w:val="00071A7D"/>
    <w:rsid w:val="00073B29"/>
    <w:rsid w:val="0008427F"/>
    <w:rsid w:val="000850F6"/>
    <w:rsid w:val="0009097A"/>
    <w:rsid w:val="00090E4C"/>
    <w:rsid w:val="00090FEB"/>
    <w:rsid w:val="000916B4"/>
    <w:rsid w:val="0009200A"/>
    <w:rsid w:val="00093091"/>
    <w:rsid w:val="000934AF"/>
    <w:rsid w:val="00093CFA"/>
    <w:rsid w:val="000957D5"/>
    <w:rsid w:val="000A1AB4"/>
    <w:rsid w:val="000A1C9A"/>
    <w:rsid w:val="000A2307"/>
    <w:rsid w:val="000A662C"/>
    <w:rsid w:val="000A7163"/>
    <w:rsid w:val="000A73EB"/>
    <w:rsid w:val="000B0CE8"/>
    <w:rsid w:val="000B218B"/>
    <w:rsid w:val="000B2661"/>
    <w:rsid w:val="000B2922"/>
    <w:rsid w:val="000B45E8"/>
    <w:rsid w:val="000B4E92"/>
    <w:rsid w:val="000B55C9"/>
    <w:rsid w:val="000B563C"/>
    <w:rsid w:val="000B5985"/>
    <w:rsid w:val="000B5C54"/>
    <w:rsid w:val="000B5F9C"/>
    <w:rsid w:val="000B7E4B"/>
    <w:rsid w:val="000C0A8E"/>
    <w:rsid w:val="000C13D1"/>
    <w:rsid w:val="000C15B8"/>
    <w:rsid w:val="000C1E3B"/>
    <w:rsid w:val="000C2EA8"/>
    <w:rsid w:val="000C3B9F"/>
    <w:rsid w:val="000C486D"/>
    <w:rsid w:val="000C4988"/>
    <w:rsid w:val="000C51F9"/>
    <w:rsid w:val="000C5DBB"/>
    <w:rsid w:val="000C5F89"/>
    <w:rsid w:val="000C5FCF"/>
    <w:rsid w:val="000D2354"/>
    <w:rsid w:val="000D2F09"/>
    <w:rsid w:val="000D3270"/>
    <w:rsid w:val="000D35C2"/>
    <w:rsid w:val="000D4699"/>
    <w:rsid w:val="000D52D3"/>
    <w:rsid w:val="000D6D6F"/>
    <w:rsid w:val="000E0A96"/>
    <w:rsid w:val="000E0C36"/>
    <w:rsid w:val="000E1074"/>
    <w:rsid w:val="000E53F6"/>
    <w:rsid w:val="000E5F0F"/>
    <w:rsid w:val="000E7330"/>
    <w:rsid w:val="000E7EDC"/>
    <w:rsid w:val="000E7EEF"/>
    <w:rsid w:val="000F19BA"/>
    <w:rsid w:val="000F2A85"/>
    <w:rsid w:val="000F2B66"/>
    <w:rsid w:val="000F418E"/>
    <w:rsid w:val="000F517C"/>
    <w:rsid w:val="000F523D"/>
    <w:rsid w:val="000F58DC"/>
    <w:rsid w:val="000F5937"/>
    <w:rsid w:val="000F67CE"/>
    <w:rsid w:val="00100796"/>
    <w:rsid w:val="00100B4E"/>
    <w:rsid w:val="00104D84"/>
    <w:rsid w:val="00106E5A"/>
    <w:rsid w:val="0011277D"/>
    <w:rsid w:val="00114A00"/>
    <w:rsid w:val="001152C8"/>
    <w:rsid w:val="00116EB5"/>
    <w:rsid w:val="001172B9"/>
    <w:rsid w:val="001218B7"/>
    <w:rsid w:val="00133B33"/>
    <w:rsid w:val="00135DF8"/>
    <w:rsid w:val="00140296"/>
    <w:rsid w:val="00141BF0"/>
    <w:rsid w:val="001451D2"/>
    <w:rsid w:val="00145CDF"/>
    <w:rsid w:val="001463D8"/>
    <w:rsid w:val="0014678D"/>
    <w:rsid w:val="00151FEF"/>
    <w:rsid w:val="00154D97"/>
    <w:rsid w:val="00155DC1"/>
    <w:rsid w:val="0016065A"/>
    <w:rsid w:val="00160E32"/>
    <w:rsid w:val="001618F9"/>
    <w:rsid w:val="00161F87"/>
    <w:rsid w:val="00163CE3"/>
    <w:rsid w:val="0016485B"/>
    <w:rsid w:val="00165104"/>
    <w:rsid w:val="00167A3B"/>
    <w:rsid w:val="0017032B"/>
    <w:rsid w:val="00172509"/>
    <w:rsid w:val="00172F93"/>
    <w:rsid w:val="00174F80"/>
    <w:rsid w:val="00175074"/>
    <w:rsid w:val="00176C36"/>
    <w:rsid w:val="00177540"/>
    <w:rsid w:val="00181713"/>
    <w:rsid w:val="00184898"/>
    <w:rsid w:val="00191EBE"/>
    <w:rsid w:val="001936DC"/>
    <w:rsid w:val="00193C97"/>
    <w:rsid w:val="00194EAD"/>
    <w:rsid w:val="001953B7"/>
    <w:rsid w:val="00195886"/>
    <w:rsid w:val="001A0F88"/>
    <w:rsid w:val="001A141E"/>
    <w:rsid w:val="001A1543"/>
    <w:rsid w:val="001A22C6"/>
    <w:rsid w:val="001A26AF"/>
    <w:rsid w:val="001A308D"/>
    <w:rsid w:val="001A3DE2"/>
    <w:rsid w:val="001A6560"/>
    <w:rsid w:val="001A6AEF"/>
    <w:rsid w:val="001B01F5"/>
    <w:rsid w:val="001B32A1"/>
    <w:rsid w:val="001B5D2C"/>
    <w:rsid w:val="001B647C"/>
    <w:rsid w:val="001C1230"/>
    <w:rsid w:val="001C2C09"/>
    <w:rsid w:val="001C2C53"/>
    <w:rsid w:val="001C3D66"/>
    <w:rsid w:val="001C5D6D"/>
    <w:rsid w:val="001C67C1"/>
    <w:rsid w:val="001C67E0"/>
    <w:rsid w:val="001C6F0A"/>
    <w:rsid w:val="001D50AE"/>
    <w:rsid w:val="001D55B9"/>
    <w:rsid w:val="001D59CF"/>
    <w:rsid w:val="001D66EF"/>
    <w:rsid w:val="001D7B3C"/>
    <w:rsid w:val="001E035D"/>
    <w:rsid w:val="001E1797"/>
    <w:rsid w:val="001E5A79"/>
    <w:rsid w:val="001E6399"/>
    <w:rsid w:val="001F3BFA"/>
    <w:rsid w:val="001F5855"/>
    <w:rsid w:val="001F6E45"/>
    <w:rsid w:val="00204711"/>
    <w:rsid w:val="00204FB8"/>
    <w:rsid w:val="00210C66"/>
    <w:rsid w:val="0021248C"/>
    <w:rsid w:val="00212490"/>
    <w:rsid w:val="00213530"/>
    <w:rsid w:val="00216BD4"/>
    <w:rsid w:val="00220D5E"/>
    <w:rsid w:val="00226C69"/>
    <w:rsid w:val="0023048B"/>
    <w:rsid w:val="00231FB1"/>
    <w:rsid w:val="00233739"/>
    <w:rsid w:val="00234FF3"/>
    <w:rsid w:val="00241A43"/>
    <w:rsid w:val="00244156"/>
    <w:rsid w:val="00244AC3"/>
    <w:rsid w:val="0025597D"/>
    <w:rsid w:val="00257D9B"/>
    <w:rsid w:val="002624DA"/>
    <w:rsid w:val="00266226"/>
    <w:rsid w:val="00267454"/>
    <w:rsid w:val="002707A6"/>
    <w:rsid w:val="00271AFB"/>
    <w:rsid w:val="00275535"/>
    <w:rsid w:val="00277E5F"/>
    <w:rsid w:val="00280050"/>
    <w:rsid w:val="0028039B"/>
    <w:rsid w:val="00283AFE"/>
    <w:rsid w:val="002854F3"/>
    <w:rsid w:val="00285707"/>
    <w:rsid w:val="00286333"/>
    <w:rsid w:val="00292AAE"/>
    <w:rsid w:val="002A0B66"/>
    <w:rsid w:val="002A10C5"/>
    <w:rsid w:val="002A3474"/>
    <w:rsid w:val="002A4357"/>
    <w:rsid w:val="002A5538"/>
    <w:rsid w:val="002A612E"/>
    <w:rsid w:val="002A6959"/>
    <w:rsid w:val="002A772A"/>
    <w:rsid w:val="002A7E4A"/>
    <w:rsid w:val="002B0785"/>
    <w:rsid w:val="002B146D"/>
    <w:rsid w:val="002B1FFE"/>
    <w:rsid w:val="002B42B4"/>
    <w:rsid w:val="002B4CE7"/>
    <w:rsid w:val="002B649C"/>
    <w:rsid w:val="002B6D24"/>
    <w:rsid w:val="002B7555"/>
    <w:rsid w:val="002B7B2B"/>
    <w:rsid w:val="002C054E"/>
    <w:rsid w:val="002C30AC"/>
    <w:rsid w:val="002C5C26"/>
    <w:rsid w:val="002C6E32"/>
    <w:rsid w:val="002D2023"/>
    <w:rsid w:val="002D2466"/>
    <w:rsid w:val="002D2859"/>
    <w:rsid w:val="002D2CA6"/>
    <w:rsid w:val="002D46EB"/>
    <w:rsid w:val="002D7216"/>
    <w:rsid w:val="002E0FB9"/>
    <w:rsid w:val="002E174F"/>
    <w:rsid w:val="002E3487"/>
    <w:rsid w:val="002E357C"/>
    <w:rsid w:val="002E3806"/>
    <w:rsid w:val="002E3D8A"/>
    <w:rsid w:val="002E4566"/>
    <w:rsid w:val="002E584A"/>
    <w:rsid w:val="002F208E"/>
    <w:rsid w:val="002F3A4B"/>
    <w:rsid w:val="002F59DC"/>
    <w:rsid w:val="002F72BB"/>
    <w:rsid w:val="002F7378"/>
    <w:rsid w:val="003016E0"/>
    <w:rsid w:val="00302A50"/>
    <w:rsid w:val="0030709F"/>
    <w:rsid w:val="0031013D"/>
    <w:rsid w:val="00311057"/>
    <w:rsid w:val="003129C9"/>
    <w:rsid w:val="003167A9"/>
    <w:rsid w:val="003201DE"/>
    <w:rsid w:val="00321A29"/>
    <w:rsid w:val="003226EA"/>
    <w:rsid w:val="00323711"/>
    <w:rsid w:val="00324E5F"/>
    <w:rsid w:val="00326CFB"/>
    <w:rsid w:val="00326F99"/>
    <w:rsid w:val="00330846"/>
    <w:rsid w:val="00331326"/>
    <w:rsid w:val="0033346C"/>
    <w:rsid w:val="003335C1"/>
    <w:rsid w:val="0033452B"/>
    <w:rsid w:val="00334C34"/>
    <w:rsid w:val="00336A5F"/>
    <w:rsid w:val="00336D18"/>
    <w:rsid w:val="003371B3"/>
    <w:rsid w:val="00343E0F"/>
    <w:rsid w:val="003457D9"/>
    <w:rsid w:val="00346390"/>
    <w:rsid w:val="00350136"/>
    <w:rsid w:val="00352CF6"/>
    <w:rsid w:val="0035351C"/>
    <w:rsid w:val="00355F48"/>
    <w:rsid w:val="003562A3"/>
    <w:rsid w:val="00363298"/>
    <w:rsid w:val="003638FA"/>
    <w:rsid w:val="00365AA0"/>
    <w:rsid w:val="00366F0E"/>
    <w:rsid w:val="003676C9"/>
    <w:rsid w:val="003717DE"/>
    <w:rsid w:val="00373FA1"/>
    <w:rsid w:val="0037400C"/>
    <w:rsid w:val="00376D5E"/>
    <w:rsid w:val="003771FE"/>
    <w:rsid w:val="00380C41"/>
    <w:rsid w:val="003819CD"/>
    <w:rsid w:val="0038285C"/>
    <w:rsid w:val="003844DD"/>
    <w:rsid w:val="00384F65"/>
    <w:rsid w:val="0038619D"/>
    <w:rsid w:val="00386F4B"/>
    <w:rsid w:val="00391B54"/>
    <w:rsid w:val="003933CE"/>
    <w:rsid w:val="00393E99"/>
    <w:rsid w:val="0039430A"/>
    <w:rsid w:val="0039483C"/>
    <w:rsid w:val="00394CAD"/>
    <w:rsid w:val="003957F4"/>
    <w:rsid w:val="003965AF"/>
    <w:rsid w:val="003A16D1"/>
    <w:rsid w:val="003A1C37"/>
    <w:rsid w:val="003A4929"/>
    <w:rsid w:val="003A7594"/>
    <w:rsid w:val="003B215B"/>
    <w:rsid w:val="003B45CF"/>
    <w:rsid w:val="003C09A1"/>
    <w:rsid w:val="003C0E70"/>
    <w:rsid w:val="003C3F8E"/>
    <w:rsid w:val="003C4E82"/>
    <w:rsid w:val="003C5FFF"/>
    <w:rsid w:val="003C72EC"/>
    <w:rsid w:val="003D197C"/>
    <w:rsid w:val="003D2547"/>
    <w:rsid w:val="003D373C"/>
    <w:rsid w:val="003D5870"/>
    <w:rsid w:val="003D7501"/>
    <w:rsid w:val="003E12DB"/>
    <w:rsid w:val="003E1CF8"/>
    <w:rsid w:val="003E26BA"/>
    <w:rsid w:val="003E3C41"/>
    <w:rsid w:val="003E45A0"/>
    <w:rsid w:val="003E4C1D"/>
    <w:rsid w:val="003E67A2"/>
    <w:rsid w:val="003E6819"/>
    <w:rsid w:val="003E7028"/>
    <w:rsid w:val="003E7579"/>
    <w:rsid w:val="003F39D1"/>
    <w:rsid w:val="003F784F"/>
    <w:rsid w:val="00400CD0"/>
    <w:rsid w:val="0040187F"/>
    <w:rsid w:val="00402916"/>
    <w:rsid w:val="0040396E"/>
    <w:rsid w:val="0041031F"/>
    <w:rsid w:val="004110F6"/>
    <w:rsid w:val="004129F2"/>
    <w:rsid w:val="00412B2E"/>
    <w:rsid w:val="00416120"/>
    <w:rsid w:val="00416BDE"/>
    <w:rsid w:val="004209FC"/>
    <w:rsid w:val="0042180F"/>
    <w:rsid w:val="00421C27"/>
    <w:rsid w:val="0042604F"/>
    <w:rsid w:val="00427C35"/>
    <w:rsid w:val="00431B38"/>
    <w:rsid w:val="004335DE"/>
    <w:rsid w:val="004349C7"/>
    <w:rsid w:val="00435DED"/>
    <w:rsid w:val="0043687F"/>
    <w:rsid w:val="00437ECA"/>
    <w:rsid w:val="00441F62"/>
    <w:rsid w:val="004431C4"/>
    <w:rsid w:val="00446467"/>
    <w:rsid w:val="00446FEB"/>
    <w:rsid w:val="00451F05"/>
    <w:rsid w:val="00452657"/>
    <w:rsid w:val="004537B6"/>
    <w:rsid w:val="004600BB"/>
    <w:rsid w:val="00462098"/>
    <w:rsid w:val="004630C2"/>
    <w:rsid w:val="00463E42"/>
    <w:rsid w:val="00464444"/>
    <w:rsid w:val="00466AD1"/>
    <w:rsid w:val="00471A0B"/>
    <w:rsid w:val="00471D97"/>
    <w:rsid w:val="00473193"/>
    <w:rsid w:val="004741E2"/>
    <w:rsid w:val="00474B4D"/>
    <w:rsid w:val="0047658B"/>
    <w:rsid w:val="00477FA0"/>
    <w:rsid w:val="00480503"/>
    <w:rsid w:val="004805BF"/>
    <w:rsid w:val="0048120A"/>
    <w:rsid w:val="0048285C"/>
    <w:rsid w:val="004851C6"/>
    <w:rsid w:val="00490CC5"/>
    <w:rsid w:val="004A45BE"/>
    <w:rsid w:val="004A563B"/>
    <w:rsid w:val="004A653E"/>
    <w:rsid w:val="004B1225"/>
    <w:rsid w:val="004B4784"/>
    <w:rsid w:val="004B621A"/>
    <w:rsid w:val="004C02B7"/>
    <w:rsid w:val="004C1ECB"/>
    <w:rsid w:val="004C42EC"/>
    <w:rsid w:val="004C6470"/>
    <w:rsid w:val="004D1B62"/>
    <w:rsid w:val="004D4CE1"/>
    <w:rsid w:val="004D4ED7"/>
    <w:rsid w:val="004E509D"/>
    <w:rsid w:val="004E6395"/>
    <w:rsid w:val="004E6653"/>
    <w:rsid w:val="004F0176"/>
    <w:rsid w:val="004F0BCD"/>
    <w:rsid w:val="004F12A9"/>
    <w:rsid w:val="004F1D82"/>
    <w:rsid w:val="004F1FE9"/>
    <w:rsid w:val="004F26F0"/>
    <w:rsid w:val="004F4AD6"/>
    <w:rsid w:val="004F4FB0"/>
    <w:rsid w:val="004F52E8"/>
    <w:rsid w:val="004F7BDE"/>
    <w:rsid w:val="00501ADB"/>
    <w:rsid w:val="00505236"/>
    <w:rsid w:val="0050563E"/>
    <w:rsid w:val="00507855"/>
    <w:rsid w:val="00513467"/>
    <w:rsid w:val="00514726"/>
    <w:rsid w:val="00515E72"/>
    <w:rsid w:val="0051722D"/>
    <w:rsid w:val="00517C05"/>
    <w:rsid w:val="0052274F"/>
    <w:rsid w:val="005228AC"/>
    <w:rsid w:val="005238F0"/>
    <w:rsid w:val="00524F8F"/>
    <w:rsid w:val="005258BB"/>
    <w:rsid w:val="00527C5D"/>
    <w:rsid w:val="00531EA4"/>
    <w:rsid w:val="005334D6"/>
    <w:rsid w:val="00533882"/>
    <w:rsid w:val="00534840"/>
    <w:rsid w:val="00535F22"/>
    <w:rsid w:val="0053644B"/>
    <w:rsid w:val="00536840"/>
    <w:rsid w:val="00536989"/>
    <w:rsid w:val="00536FE3"/>
    <w:rsid w:val="00540B85"/>
    <w:rsid w:val="005411A3"/>
    <w:rsid w:val="00541BDB"/>
    <w:rsid w:val="00542672"/>
    <w:rsid w:val="0054382B"/>
    <w:rsid w:val="00543A27"/>
    <w:rsid w:val="005444A8"/>
    <w:rsid w:val="00545251"/>
    <w:rsid w:val="00545A4C"/>
    <w:rsid w:val="005503BC"/>
    <w:rsid w:val="0055142D"/>
    <w:rsid w:val="00551C45"/>
    <w:rsid w:val="00552712"/>
    <w:rsid w:val="005528B1"/>
    <w:rsid w:val="0055384B"/>
    <w:rsid w:val="00557B7C"/>
    <w:rsid w:val="00560DCF"/>
    <w:rsid w:val="00561F5E"/>
    <w:rsid w:val="00566AE0"/>
    <w:rsid w:val="00566CF9"/>
    <w:rsid w:val="0057118B"/>
    <w:rsid w:val="005779BF"/>
    <w:rsid w:val="005809C8"/>
    <w:rsid w:val="00582CF4"/>
    <w:rsid w:val="005837E9"/>
    <w:rsid w:val="0058464A"/>
    <w:rsid w:val="00585023"/>
    <w:rsid w:val="00590809"/>
    <w:rsid w:val="00591DBB"/>
    <w:rsid w:val="005A0E89"/>
    <w:rsid w:val="005A1227"/>
    <w:rsid w:val="005A4069"/>
    <w:rsid w:val="005A548E"/>
    <w:rsid w:val="005A6732"/>
    <w:rsid w:val="005A7336"/>
    <w:rsid w:val="005A7C3C"/>
    <w:rsid w:val="005B0EA1"/>
    <w:rsid w:val="005B154A"/>
    <w:rsid w:val="005B1C4A"/>
    <w:rsid w:val="005B3DEC"/>
    <w:rsid w:val="005B522E"/>
    <w:rsid w:val="005B5A58"/>
    <w:rsid w:val="005C1452"/>
    <w:rsid w:val="005C31C3"/>
    <w:rsid w:val="005C38EE"/>
    <w:rsid w:val="005C6946"/>
    <w:rsid w:val="005C6A89"/>
    <w:rsid w:val="005C6C02"/>
    <w:rsid w:val="005C7F1F"/>
    <w:rsid w:val="005D05D2"/>
    <w:rsid w:val="005D5D68"/>
    <w:rsid w:val="005E1CFB"/>
    <w:rsid w:val="005E1E03"/>
    <w:rsid w:val="005E46C8"/>
    <w:rsid w:val="005E70DE"/>
    <w:rsid w:val="005E7455"/>
    <w:rsid w:val="005E7D65"/>
    <w:rsid w:val="005F27E2"/>
    <w:rsid w:val="005F678C"/>
    <w:rsid w:val="005F7BC4"/>
    <w:rsid w:val="00600DFC"/>
    <w:rsid w:val="0060206D"/>
    <w:rsid w:val="0060380E"/>
    <w:rsid w:val="006050A6"/>
    <w:rsid w:val="00605BED"/>
    <w:rsid w:val="00605E47"/>
    <w:rsid w:val="006075CD"/>
    <w:rsid w:val="006142C7"/>
    <w:rsid w:val="00614B88"/>
    <w:rsid w:val="00616BA2"/>
    <w:rsid w:val="00617E40"/>
    <w:rsid w:val="006227EF"/>
    <w:rsid w:val="00625A7C"/>
    <w:rsid w:val="0062705E"/>
    <w:rsid w:val="00630D7D"/>
    <w:rsid w:val="00631200"/>
    <w:rsid w:val="0063160A"/>
    <w:rsid w:val="0063188F"/>
    <w:rsid w:val="006331A2"/>
    <w:rsid w:val="00634276"/>
    <w:rsid w:val="00634374"/>
    <w:rsid w:val="006353A3"/>
    <w:rsid w:val="00636781"/>
    <w:rsid w:val="00636BD3"/>
    <w:rsid w:val="00640C29"/>
    <w:rsid w:val="006429A1"/>
    <w:rsid w:val="006437E6"/>
    <w:rsid w:val="00644183"/>
    <w:rsid w:val="00646CED"/>
    <w:rsid w:val="006479F8"/>
    <w:rsid w:val="00650760"/>
    <w:rsid w:val="00656B0A"/>
    <w:rsid w:val="00656C54"/>
    <w:rsid w:val="0066346D"/>
    <w:rsid w:val="00663585"/>
    <w:rsid w:val="00663C2F"/>
    <w:rsid w:val="00664F67"/>
    <w:rsid w:val="006652E8"/>
    <w:rsid w:val="00665487"/>
    <w:rsid w:val="006656AD"/>
    <w:rsid w:val="00667232"/>
    <w:rsid w:val="0067097C"/>
    <w:rsid w:val="00671EBB"/>
    <w:rsid w:val="00671FFC"/>
    <w:rsid w:val="00672912"/>
    <w:rsid w:val="00672DD9"/>
    <w:rsid w:val="0067310D"/>
    <w:rsid w:val="006742AE"/>
    <w:rsid w:val="006747C9"/>
    <w:rsid w:val="00675A36"/>
    <w:rsid w:val="006761E5"/>
    <w:rsid w:val="00682E60"/>
    <w:rsid w:val="0068342D"/>
    <w:rsid w:val="00683B8D"/>
    <w:rsid w:val="0069193E"/>
    <w:rsid w:val="006A0634"/>
    <w:rsid w:val="006A0A41"/>
    <w:rsid w:val="006A10A5"/>
    <w:rsid w:val="006A17C5"/>
    <w:rsid w:val="006A2485"/>
    <w:rsid w:val="006A2898"/>
    <w:rsid w:val="006A44D0"/>
    <w:rsid w:val="006A58C1"/>
    <w:rsid w:val="006B351E"/>
    <w:rsid w:val="006B404E"/>
    <w:rsid w:val="006B4455"/>
    <w:rsid w:val="006B46DF"/>
    <w:rsid w:val="006B7F11"/>
    <w:rsid w:val="006C4938"/>
    <w:rsid w:val="006C6F77"/>
    <w:rsid w:val="006D2BC1"/>
    <w:rsid w:val="006D5EEC"/>
    <w:rsid w:val="006D6ADA"/>
    <w:rsid w:val="006E05BA"/>
    <w:rsid w:val="006E1093"/>
    <w:rsid w:val="006E1E69"/>
    <w:rsid w:val="006E2BD6"/>
    <w:rsid w:val="006E2D42"/>
    <w:rsid w:val="006E3099"/>
    <w:rsid w:val="006E6B23"/>
    <w:rsid w:val="006F28B4"/>
    <w:rsid w:val="006F3B4A"/>
    <w:rsid w:val="006F56EB"/>
    <w:rsid w:val="00706EF3"/>
    <w:rsid w:val="007102D3"/>
    <w:rsid w:val="0071053F"/>
    <w:rsid w:val="0071093F"/>
    <w:rsid w:val="007109E2"/>
    <w:rsid w:val="0071342A"/>
    <w:rsid w:val="00713BFD"/>
    <w:rsid w:val="0071642E"/>
    <w:rsid w:val="007213FF"/>
    <w:rsid w:val="00721847"/>
    <w:rsid w:val="007221D1"/>
    <w:rsid w:val="00722B7E"/>
    <w:rsid w:val="00722C70"/>
    <w:rsid w:val="007233A7"/>
    <w:rsid w:val="007237E8"/>
    <w:rsid w:val="00723E6B"/>
    <w:rsid w:val="00726310"/>
    <w:rsid w:val="0073734A"/>
    <w:rsid w:val="00737788"/>
    <w:rsid w:val="0074499E"/>
    <w:rsid w:val="00746316"/>
    <w:rsid w:val="00746862"/>
    <w:rsid w:val="007515DD"/>
    <w:rsid w:val="0075160D"/>
    <w:rsid w:val="007519CC"/>
    <w:rsid w:val="007520A6"/>
    <w:rsid w:val="00753181"/>
    <w:rsid w:val="0075399A"/>
    <w:rsid w:val="00753EE5"/>
    <w:rsid w:val="00754E23"/>
    <w:rsid w:val="00755146"/>
    <w:rsid w:val="0075781A"/>
    <w:rsid w:val="007604C5"/>
    <w:rsid w:val="00761099"/>
    <w:rsid w:val="00770FA6"/>
    <w:rsid w:val="00771225"/>
    <w:rsid w:val="00771C95"/>
    <w:rsid w:val="00774D43"/>
    <w:rsid w:val="007769BF"/>
    <w:rsid w:val="007804D5"/>
    <w:rsid w:val="00781063"/>
    <w:rsid w:val="00781A2D"/>
    <w:rsid w:val="007820D6"/>
    <w:rsid w:val="007824D6"/>
    <w:rsid w:val="007827CE"/>
    <w:rsid w:val="007837C7"/>
    <w:rsid w:val="00783F56"/>
    <w:rsid w:val="00785690"/>
    <w:rsid w:val="007860D3"/>
    <w:rsid w:val="0078639D"/>
    <w:rsid w:val="00792D06"/>
    <w:rsid w:val="00792DB9"/>
    <w:rsid w:val="0079527A"/>
    <w:rsid w:val="00795BF6"/>
    <w:rsid w:val="00796C64"/>
    <w:rsid w:val="007A025F"/>
    <w:rsid w:val="007A082A"/>
    <w:rsid w:val="007A4392"/>
    <w:rsid w:val="007A75BA"/>
    <w:rsid w:val="007B1688"/>
    <w:rsid w:val="007B19EB"/>
    <w:rsid w:val="007B26BB"/>
    <w:rsid w:val="007B3F17"/>
    <w:rsid w:val="007B72E7"/>
    <w:rsid w:val="007C51A2"/>
    <w:rsid w:val="007C6D57"/>
    <w:rsid w:val="007C7700"/>
    <w:rsid w:val="007D16B0"/>
    <w:rsid w:val="007E1AF7"/>
    <w:rsid w:val="007E3253"/>
    <w:rsid w:val="007E3BB6"/>
    <w:rsid w:val="007F07F3"/>
    <w:rsid w:val="007F0D20"/>
    <w:rsid w:val="007F1D42"/>
    <w:rsid w:val="007F23DF"/>
    <w:rsid w:val="007F2D4E"/>
    <w:rsid w:val="00800E42"/>
    <w:rsid w:val="00801409"/>
    <w:rsid w:val="0080163F"/>
    <w:rsid w:val="008035A8"/>
    <w:rsid w:val="00803853"/>
    <w:rsid w:val="00803F73"/>
    <w:rsid w:val="008041AA"/>
    <w:rsid w:val="00810A9C"/>
    <w:rsid w:val="00811E4E"/>
    <w:rsid w:val="00813251"/>
    <w:rsid w:val="008211F9"/>
    <w:rsid w:val="00824162"/>
    <w:rsid w:val="00824FDC"/>
    <w:rsid w:val="00827B00"/>
    <w:rsid w:val="00833E71"/>
    <w:rsid w:val="008348B3"/>
    <w:rsid w:val="008368A0"/>
    <w:rsid w:val="00836A15"/>
    <w:rsid w:val="0084003F"/>
    <w:rsid w:val="00840E73"/>
    <w:rsid w:val="00841FE9"/>
    <w:rsid w:val="008430E0"/>
    <w:rsid w:val="008506FB"/>
    <w:rsid w:val="00851DD0"/>
    <w:rsid w:val="008524CA"/>
    <w:rsid w:val="00854938"/>
    <w:rsid w:val="00854BF8"/>
    <w:rsid w:val="008551FF"/>
    <w:rsid w:val="0085710F"/>
    <w:rsid w:val="00861FE9"/>
    <w:rsid w:val="00862321"/>
    <w:rsid w:val="0086242F"/>
    <w:rsid w:val="00862959"/>
    <w:rsid w:val="00863BD6"/>
    <w:rsid w:val="008650F3"/>
    <w:rsid w:val="008665BD"/>
    <w:rsid w:val="00870548"/>
    <w:rsid w:val="008721B6"/>
    <w:rsid w:val="008749D6"/>
    <w:rsid w:val="00874B43"/>
    <w:rsid w:val="00874F99"/>
    <w:rsid w:val="00876C5C"/>
    <w:rsid w:val="00877674"/>
    <w:rsid w:val="0088062D"/>
    <w:rsid w:val="00884143"/>
    <w:rsid w:val="00884F92"/>
    <w:rsid w:val="00886D1A"/>
    <w:rsid w:val="00886E99"/>
    <w:rsid w:val="00886FC0"/>
    <w:rsid w:val="00887475"/>
    <w:rsid w:val="00890ABF"/>
    <w:rsid w:val="008919F2"/>
    <w:rsid w:val="00891A65"/>
    <w:rsid w:val="008949B6"/>
    <w:rsid w:val="0089690D"/>
    <w:rsid w:val="00896BF2"/>
    <w:rsid w:val="008A163B"/>
    <w:rsid w:val="008A1D18"/>
    <w:rsid w:val="008A6D41"/>
    <w:rsid w:val="008A784B"/>
    <w:rsid w:val="008B004B"/>
    <w:rsid w:val="008B20F8"/>
    <w:rsid w:val="008B51CB"/>
    <w:rsid w:val="008B7246"/>
    <w:rsid w:val="008C3FBE"/>
    <w:rsid w:val="008C4184"/>
    <w:rsid w:val="008C4642"/>
    <w:rsid w:val="008C4AD5"/>
    <w:rsid w:val="008C5AA6"/>
    <w:rsid w:val="008D0196"/>
    <w:rsid w:val="008D3F91"/>
    <w:rsid w:val="008D6C00"/>
    <w:rsid w:val="008E498F"/>
    <w:rsid w:val="008E4F03"/>
    <w:rsid w:val="008F2733"/>
    <w:rsid w:val="008F2F5A"/>
    <w:rsid w:val="008F528D"/>
    <w:rsid w:val="008F544B"/>
    <w:rsid w:val="00901184"/>
    <w:rsid w:val="0090168B"/>
    <w:rsid w:val="009026F6"/>
    <w:rsid w:val="00904FB3"/>
    <w:rsid w:val="00906C8E"/>
    <w:rsid w:val="00906FF7"/>
    <w:rsid w:val="00910339"/>
    <w:rsid w:val="00912AF4"/>
    <w:rsid w:val="009142B4"/>
    <w:rsid w:val="00916C9E"/>
    <w:rsid w:val="0091781E"/>
    <w:rsid w:val="009245C8"/>
    <w:rsid w:val="009249AD"/>
    <w:rsid w:val="00930318"/>
    <w:rsid w:val="00930344"/>
    <w:rsid w:val="009311A0"/>
    <w:rsid w:val="009330EC"/>
    <w:rsid w:val="00933838"/>
    <w:rsid w:val="00936BFE"/>
    <w:rsid w:val="00937748"/>
    <w:rsid w:val="00942472"/>
    <w:rsid w:val="0094606B"/>
    <w:rsid w:val="00951689"/>
    <w:rsid w:val="009556E4"/>
    <w:rsid w:val="00955904"/>
    <w:rsid w:val="00957376"/>
    <w:rsid w:val="00961848"/>
    <w:rsid w:val="00962A68"/>
    <w:rsid w:val="00962BCE"/>
    <w:rsid w:val="00963274"/>
    <w:rsid w:val="00963370"/>
    <w:rsid w:val="00963BD6"/>
    <w:rsid w:val="009647CF"/>
    <w:rsid w:val="00964B66"/>
    <w:rsid w:val="00964B76"/>
    <w:rsid w:val="0096698F"/>
    <w:rsid w:val="0097065B"/>
    <w:rsid w:val="00971A9B"/>
    <w:rsid w:val="00973D97"/>
    <w:rsid w:val="0097441D"/>
    <w:rsid w:val="00974FEB"/>
    <w:rsid w:val="00975057"/>
    <w:rsid w:val="00975B6D"/>
    <w:rsid w:val="00975B82"/>
    <w:rsid w:val="00976D01"/>
    <w:rsid w:val="00976D0F"/>
    <w:rsid w:val="0098162F"/>
    <w:rsid w:val="00981943"/>
    <w:rsid w:val="009836E7"/>
    <w:rsid w:val="00983776"/>
    <w:rsid w:val="00983827"/>
    <w:rsid w:val="00985071"/>
    <w:rsid w:val="0098527E"/>
    <w:rsid w:val="009868DE"/>
    <w:rsid w:val="009874C5"/>
    <w:rsid w:val="009904ED"/>
    <w:rsid w:val="009906A7"/>
    <w:rsid w:val="00991472"/>
    <w:rsid w:val="00991852"/>
    <w:rsid w:val="009918FA"/>
    <w:rsid w:val="009924B2"/>
    <w:rsid w:val="009926F5"/>
    <w:rsid w:val="00993C06"/>
    <w:rsid w:val="00997ABE"/>
    <w:rsid w:val="009A0452"/>
    <w:rsid w:val="009A2A5F"/>
    <w:rsid w:val="009A36B5"/>
    <w:rsid w:val="009A5629"/>
    <w:rsid w:val="009A75E2"/>
    <w:rsid w:val="009A7CE6"/>
    <w:rsid w:val="009A7DC8"/>
    <w:rsid w:val="009B0AAF"/>
    <w:rsid w:val="009B10F0"/>
    <w:rsid w:val="009B2AB3"/>
    <w:rsid w:val="009B52EE"/>
    <w:rsid w:val="009B64D2"/>
    <w:rsid w:val="009B7211"/>
    <w:rsid w:val="009B7A80"/>
    <w:rsid w:val="009C0554"/>
    <w:rsid w:val="009C12B4"/>
    <w:rsid w:val="009C13F0"/>
    <w:rsid w:val="009C1416"/>
    <w:rsid w:val="009C1579"/>
    <w:rsid w:val="009C7C3E"/>
    <w:rsid w:val="009D1993"/>
    <w:rsid w:val="009D37CC"/>
    <w:rsid w:val="009D5D20"/>
    <w:rsid w:val="009E2976"/>
    <w:rsid w:val="009E4587"/>
    <w:rsid w:val="009E4AEC"/>
    <w:rsid w:val="009F3390"/>
    <w:rsid w:val="009F3560"/>
    <w:rsid w:val="009F5512"/>
    <w:rsid w:val="009F55A5"/>
    <w:rsid w:val="00A0040F"/>
    <w:rsid w:val="00A014CC"/>
    <w:rsid w:val="00A01BB2"/>
    <w:rsid w:val="00A020C0"/>
    <w:rsid w:val="00A057E9"/>
    <w:rsid w:val="00A0617A"/>
    <w:rsid w:val="00A10624"/>
    <w:rsid w:val="00A10EC7"/>
    <w:rsid w:val="00A12A31"/>
    <w:rsid w:val="00A12A8E"/>
    <w:rsid w:val="00A13A0A"/>
    <w:rsid w:val="00A14E71"/>
    <w:rsid w:val="00A159B8"/>
    <w:rsid w:val="00A20FDA"/>
    <w:rsid w:val="00A21EBB"/>
    <w:rsid w:val="00A224BD"/>
    <w:rsid w:val="00A22C78"/>
    <w:rsid w:val="00A24E74"/>
    <w:rsid w:val="00A408BA"/>
    <w:rsid w:val="00A435D2"/>
    <w:rsid w:val="00A47339"/>
    <w:rsid w:val="00A50264"/>
    <w:rsid w:val="00A51A68"/>
    <w:rsid w:val="00A5327F"/>
    <w:rsid w:val="00A54B91"/>
    <w:rsid w:val="00A55798"/>
    <w:rsid w:val="00A557B2"/>
    <w:rsid w:val="00A55E6D"/>
    <w:rsid w:val="00A60925"/>
    <w:rsid w:val="00A62567"/>
    <w:rsid w:val="00A6304B"/>
    <w:rsid w:val="00A6513C"/>
    <w:rsid w:val="00A6749E"/>
    <w:rsid w:val="00A6790F"/>
    <w:rsid w:val="00A67D7B"/>
    <w:rsid w:val="00A722DB"/>
    <w:rsid w:val="00A72EE2"/>
    <w:rsid w:val="00A73AE2"/>
    <w:rsid w:val="00A73B68"/>
    <w:rsid w:val="00A75CD9"/>
    <w:rsid w:val="00A81320"/>
    <w:rsid w:val="00A9557E"/>
    <w:rsid w:val="00A971D1"/>
    <w:rsid w:val="00A971EC"/>
    <w:rsid w:val="00AA70A0"/>
    <w:rsid w:val="00AA7ED1"/>
    <w:rsid w:val="00AB07E5"/>
    <w:rsid w:val="00AB107F"/>
    <w:rsid w:val="00AB119F"/>
    <w:rsid w:val="00AB4A1C"/>
    <w:rsid w:val="00AB698B"/>
    <w:rsid w:val="00AB6CD7"/>
    <w:rsid w:val="00AC0692"/>
    <w:rsid w:val="00AC159C"/>
    <w:rsid w:val="00AC416D"/>
    <w:rsid w:val="00AC6515"/>
    <w:rsid w:val="00AC7392"/>
    <w:rsid w:val="00AC7B20"/>
    <w:rsid w:val="00AD0015"/>
    <w:rsid w:val="00AD09C6"/>
    <w:rsid w:val="00AD0D4A"/>
    <w:rsid w:val="00AE0AD9"/>
    <w:rsid w:val="00AE11E1"/>
    <w:rsid w:val="00AE3B26"/>
    <w:rsid w:val="00AE50CA"/>
    <w:rsid w:val="00AE638C"/>
    <w:rsid w:val="00AE6ADF"/>
    <w:rsid w:val="00AE6C4A"/>
    <w:rsid w:val="00AF0D0E"/>
    <w:rsid w:val="00AF5C9B"/>
    <w:rsid w:val="00AF5FE0"/>
    <w:rsid w:val="00AF61A9"/>
    <w:rsid w:val="00B00018"/>
    <w:rsid w:val="00B00FC9"/>
    <w:rsid w:val="00B0104B"/>
    <w:rsid w:val="00B016B3"/>
    <w:rsid w:val="00B03075"/>
    <w:rsid w:val="00B04FD3"/>
    <w:rsid w:val="00B05C16"/>
    <w:rsid w:val="00B0732C"/>
    <w:rsid w:val="00B10A36"/>
    <w:rsid w:val="00B120B3"/>
    <w:rsid w:val="00B139EA"/>
    <w:rsid w:val="00B14D74"/>
    <w:rsid w:val="00B17FDF"/>
    <w:rsid w:val="00B2147F"/>
    <w:rsid w:val="00B21DB4"/>
    <w:rsid w:val="00B26C3C"/>
    <w:rsid w:val="00B26E52"/>
    <w:rsid w:val="00B300E6"/>
    <w:rsid w:val="00B30A3B"/>
    <w:rsid w:val="00B3271F"/>
    <w:rsid w:val="00B33169"/>
    <w:rsid w:val="00B4025B"/>
    <w:rsid w:val="00B407CE"/>
    <w:rsid w:val="00B42FE2"/>
    <w:rsid w:val="00B43F1A"/>
    <w:rsid w:val="00B451BA"/>
    <w:rsid w:val="00B45BD0"/>
    <w:rsid w:val="00B46992"/>
    <w:rsid w:val="00B51B03"/>
    <w:rsid w:val="00B51B54"/>
    <w:rsid w:val="00B55845"/>
    <w:rsid w:val="00B560C8"/>
    <w:rsid w:val="00B578E9"/>
    <w:rsid w:val="00B628C2"/>
    <w:rsid w:val="00B646F6"/>
    <w:rsid w:val="00B64F3C"/>
    <w:rsid w:val="00B7123B"/>
    <w:rsid w:val="00B7207C"/>
    <w:rsid w:val="00B73F83"/>
    <w:rsid w:val="00B759D1"/>
    <w:rsid w:val="00B76795"/>
    <w:rsid w:val="00B7770C"/>
    <w:rsid w:val="00B77875"/>
    <w:rsid w:val="00B82818"/>
    <w:rsid w:val="00B83800"/>
    <w:rsid w:val="00B83CF1"/>
    <w:rsid w:val="00B8506D"/>
    <w:rsid w:val="00B9050E"/>
    <w:rsid w:val="00B908DE"/>
    <w:rsid w:val="00B91795"/>
    <w:rsid w:val="00B92435"/>
    <w:rsid w:val="00B936AF"/>
    <w:rsid w:val="00B95172"/>
    <w:rsid w:val="00B96632"/>
    <w:rsid w:val="00BA056D"/>
    <w:rsid w:val="00BA09D0"/>
    <w:rsid w:val="00BA2BAD"/>
    <w:rsid w:val="00BA3EEF"/>
    <w:rsid w:val="00BA410A"/>
    <w:rsid w:val="00BA69C3"/>
    <w:rsid w:val="00BA7422"/>
    <w:rsid w:val="00BA7E52"/>
    <w:rsid w:val="00BB494A"/>
    <w:rsid w:val="00BB60DF"/>
    <w:rsid w:val="00BB7A66"/>
    <w:rsid w:val="00BC0038"/>
    <w:rsid w:val="00BC1223"/>
    <w:rsid w:val="00BC4D79"/>
    <w:rsid w:val="00BC4F9F"/>
    <w:rsid w:val="00BC5609"/>
    <w:rsid w:val="00BC78F8"/>
    <w:rsid w:val="00BD4662"/>
    <w:rsid w:val="00BD4AB3"/>
    <w:rsid w:val="00BD59BF"/>
    <w:rsid w:val="00BD710A"/>
    <w:rsid w:val="00BE0612"/>
    <w:rsid w:val="00BE06B7"/>
    <w:rsid w:val="00BE0CE1"/>
    <w:rsid w:val="00BE1FF8"/>
    <w:rsid w:val="00BE3646"/>
    <w:rsid w:val="00BE42D5"/>
    <w:rsid w:val="00BE4FD6"/>
    <w:rsid w:val="00BE6B22"/>
    <w:rsid w:val="00BE70FF"/>
    <w:rsid w:val="00BF0080"/>
    <w:rsid w:val="00BF0C81"/>
    <w:rsid w:val="00BF2874"/>
    <w:rsid w:val="00BF3271"/>
    <w:rsid w:val="00BF52C5"/>
    <w:rsid w:val="00BF5772"/>
    <w:rsid w:val="00BF5DDB"/>
    <w:rsid w:val="00BF7D02"/>
    <w:rsid w:val="00BF7EF2"/>
    <w:rsid w:val="00BF7FDE"/>
    <w:rsid w:val="00C01BB6"/>
    <w:rsid w:val="00C042E7"/>
    <w:rsid w:val="00C132C0"/>
    <w:rsid w:val="00C14A7E"/>
    <w:rsid w:val="00C2094C"/>
    <w:rsid w:val="00C22FB4"/>
    <w:rsid w:val="00C23B6E"/>
    <w:rsid w:val="00C24330"/>
    <w:rsid w:val="00C245CC"/>
    <w:rsid w:val="00C24D93"/>
    <w:rsid w:val="00C27DAE"/>
    <w:rsid w:val="00C3143A"/>
    <w:rsid w:val="00C3585F"/>
    <w:rsid w:val="00C35E43"/>
    <w:rsid w:val="00C3672E"/>
    <w:rsid w:val="00C37CA5"/>
    <w:rsid w:val="00C417B8"/>
    <w:rsid w:val="00C42939"/>
    <w:rsid w:val="00C434C2"/>
    <w:rsid w:val="00C44068"/>
    <w:rsid w:val="00C51A6A"/>
    <w:rsid w:val="00C51E4B"/>
    <w:rsid w:val="00C53025"/>
    <w:rsid w:val="00C566B5"/>
    <w:rsid w:val="00C57631"/>
    <w:rsid w:val="00C61E41"/>
    <w:rsid w:val="00C62E85"/>
    <w:rsid w:val="00C6383D"/>
    <w:rsid w:val="00C6701A"/>
    <w:rsid w:val="00C6733C"/>
    <w:rsid w:val="00C7095D"/>
    <w:rsid w:val="00C70D1B"/>
    <w:rsid w:val="00C70FC3"/>
    <w:rsid w:val="00C71C08"/>
    <w:rsid w:val="00C71DB0"/>
    <w:rsid w:val="00C726C0"/>
    <w:rsid w:val="00C73E09"/>
    <w:rsid w:val="00C74DC6"/>
    <w:rsid w:val="00C76793"/>
    <w:rsid w:val="00C805A4"/>
    <w:rsid w:val="00C83859"/>
    <w:rsid w:val="00C86553"/>
    <w:rsid w:val="00C871D1"/>
    <w:rsid w:val="00C90835"/>
    <w:rsid w:val="00C9169C"/>
    <w:rsid w:val="00C94331"/>
    <w:rsid w:val="00C943CB"/>
    <w:rsid w:val="00C946D8"/>
    <w:rsid w:val="00C96E92"/>
    <w:rsid w:val="00C97BEE"/>
    <w:rsid w:val="00C97EFE"/>
    <w:rsid w:val="00CA14E2"/>
    <w:rsid w:val="00CA1B02"/>
    <w:rsid w:val="00CA4A7F"/>
    <w:rsid w:val="00CA5583"/>
    <w:rsid w:val="00CA68B5"/>
    <w:rsid w:val="00CA6FE9"/>
    <w:rsid w:val="00CB07C7"/>
    <w:rsid w:val="00CB1991"/>
    <w:rsid w:val="00CB2915"/>
    <w:rsid w:val="00CB35C0"/>
    <w:rsid w:val="00CB3B09"/>
    <w:rsid w:val="00CB5480"/>
    <w:rsid w:val="00CC191F"/>
    <w:rsid w:val="00CC2689"/>
    <w:rsid w:val="00CC3F70"/>
    <w:rsid w:val="00CC475C"/>
    <w:rsid w:val="00CC554B"/>
    <w:rsid w:val="00CC7544"/>
    <w:rsid w:val="00CC7A15"/>
    <w:rsid w:val="00CD1186"/>
    <w:rsid w:val="00CD448E"/>
    <w:rsid w:val="00CD45E6"/>
    <w:rsid w:val="00CE0304"/>
    <w:rsid w:val="00CE0952"/>
    <w:rsid w:val="00CE0B4E"/>
    <w:rsid w:val="00CE21BF"/>
    <w:rsid w:val="00CE2F69"/>
    <w:rsid w:val="00CE4244"/>
    <w:rsid w:val="00CE4FC4"/>
    <w:rsid w:val="00CE6CBF"/>
    <w:rsid w:val="00CE78CC"/>
    <w:rsid w:val="00CF00E9"/>
    <w:rsid w:val="00CF0C64"/>
    <w:rsid w:val="00CF2B8C"/>
    <w:rsid w:val="00CF4FFC"/>
    <w:rsid w:val="00CF614D"/>
    <w:rsid w:val="00D05057"/>
    <w:rsid w:val="00D05F0F"/>
    <w:rsid w:val="00D0714E"/>
    <w:rsid w:val="00D10627"/>
    <w:rsid w:val="00D12611"/>
    <w:rsid w:val="00D12B97"/>
    <w:rsid w:val="00D12EE2"/>
    <w:rsid w:val="00D1596B"/>
    <w:rsid w:val="00D23F67"/>
    <w:rsid w:val="00D24D02"/>
    <w:rsid w:val="00D2795A"/>
    <w:rsid w:val="00D30BC0"/>
    <w:rsid w:val="00D30F95"/>
    <w:rsid w:val="00D32926"/>
    <w:rsid w:val="00D32A5A"/>
    <w:rsid w:val="00D32DD1"/>
    <w:rsid w:val="00D35D09"/>
    <w:rsid w:val="00D3651A"/>
    <w:rsid w:val="00D40FD8"/>
    <w:rsid w:val="00D4151A"/>
    <w:rsid w:val="00D42274"/>
    <w:rsid w:val="00D447A1"/>
    <w:rsid w:val="00D44AD1"/>
    <w:rsid w:val="00D4606E"/>
    <w:rsid w:val="00D5053C"/>
    <w:rsid w:val="00D50A2E"/>
    <w:rsid w:val="00D510B3"/>
    <w:rsid w:val="00D548FA"/>
    <w:rsid w:val="00D55A3F"/>
    <w:rsid w:val="00D57B20"/>
    <w:rsid w:val="00D629B7"/>
    <w:rsid w:val="00D64399"/>
    <w:rsid w:val="00D67665"/>
    <w:rsid w:val="00D7253F"/>
    <w:rsid w:val="00D747F5"/>
    <w:rsid w:val="00D74C94"/>
    <w:rsid w:val="00D7670A"/>
    <w:rsid w:val="00D77CE0"/>
    <w:rsid w:val="00D804C1"/>
    <w:rsid w:val="00D82253"/>
    <w:rsid w:val="00D82E3D"/>
    <w:rsid w:val="00D84A51"/>
    <w:rsid w:val="00D8618A"/>
    <w:rsid w:val="00D8696D"/>
    <w:rsid w:val="00D90BF7"/>
    <w:rsid w:val="00D91DE4"/>
    <w:rsid w:val="00D94734"/>
    <w:rsid w:val="00D94AAB"/>
    <w:rsid w:val="00D94B70"/>
    <w:rsid w:val="00D95DFC"/>
    <w:rsid w:val="00DA00CA"/>
    <w:rsid w:val="00DA0A2D"/>
    <w:rsid w:val="00DA2F48"/>
    <w:rsid w:val="00DB1F4C"/>
    <w:rsid w:val="00DB2D53"/>
    <w:rsid w:val="00DB44D7"/>
    <w:rsid w:val="00DB5406"/>
    <w:rsid w:val="00DB700B"/>
    <w:rsid w:val="00DB7500"/>
    <w:rsid w:val="00DB773B"/>
    <w:rsid w:val="00DC36BE"/>
    <w:rsid w:val="00DC72D0"/>
    <w:rsid w:val="00DC76DA"/>
    <w:rsid w:val="00DC7FB0"/>
    <w:rsid w:val="00DD0A06"/>
    <w:rsid w:val="00DD46FF"/>
    <w:rsid w:val="00DD4DFC"/>
    <w:rsid w:val="00DD60BF"/>
    <w:rsid w:val="00DD7CA8"/>
    <w:rsid w:val="00DE146E"/>
    <w:rsid w:val="00DE2BDD"/>
    <w:rsid w:val="00DE2F8E"/>
    <w:rsid w:val="00DE4A79"/>
    <w:rsid w:val="00DE62B6"/>
    <w:rsid w:val="00DE64B0"/>
    <w:rsid w:val="00DE7CB2"/>
    <w:rsid w:val="00DF0CB5"/>
    <w:rsid w:val="00DF0FF5"/>
    <w:rsid w:val="00DF1450"/>
    <w:rsid w:val="00DF1515"/>
    <w:rsid w:val="00DF3653"/>
    <w:rsid w:val="00DF44D1"/>
    <w:rsid w:val="00E00CD3"/>
    <w:rsid w:val="00E0406E"/>
    <w:rsid w:val="00E05580"/>
    <w:rsid w:val="00E11BD5"/>
    <w:rsid w:val="00E12DFE"/>
    <w:rsid w:val="00E13228"/>
    <w:rsid w:val="00E1430C"/>
    <w:rsid w:val="00E150A7"/>
    <w:rsid w:val="00E15F1A"/>
    <w:rsid w:val="00E21C16"/>
    <w:rsid w:val="00E2260C"/>
    <w:rsid w:val="00E2309A"/>
    <w:rsid w:val="00E247AE"/>
    <w:rsid w:val="00E24C28"/>
    <w:rsid w:val="00E26292"/>
    <w:rsid w:val="00E329FB"/>
    <w:rsid w:val="00E367E7"/>
    <w:rsid w:val="00E3775C"/>
    <w:rsid w:val="00E37878"/>
    <w:rsid w:val="00E42D7E"/>
    <w:rsid w:val="00E44E70"/>
    <w:rsid w:val="00E4584B"/>
    <w:rsid w:val="00E46388"/>
    <w:rsid w:val="00E51D81"/>
    <w:rsid w:val="00E52504"/>
    <w:rsid w:val="00E537BF"/>
    <w:rsid w:val="00E632A6"/>
    <w:rsid w:val="00E63C02"/>
    <w:rsid w:val="00E669CA"/>
    <w:rsid w:val="00E66E44"/>
    <w:rsid w:val="00E7007E"/>
    <w:rsid w:val="00E714B1"/>
    <w:rsid w:val="00E72817"/>
    <w:rsid w:val="00E72B2B"/>
    <w:rsid w:val="00E8117B"/>
    <w:rsid w:val="00E81F2A"/>
    <w:rsid w:val="00E8592F"/>
    <w:rsid w:val="00E85D01"/>
    <w:rsid w:val="00E90C9B"/>
    <w:rsid w:val="00E93CBF"/>
    <w:rsid w:val="00E958C4"/>
    <w:rsid w:val="00E978D5"/>
    <w:rsid w:val="00E97A7F"/>
    <w:rsid w:val="00EA1242"/>
    <w:rsid w:val="00EA1451"/>
    <w:rsid w:val="00EA2D01"/>
    <w:rsid w:val="00EA38E9"/>
    <w:rsid w:val="00EA3C31"/>
    <w:rsid w:val="00EA4441"/>
    <w:rsid w:val="00EA5380"/>
    <w:rsid w:val="00EA5CAA"/>
    <w:rsid w:val="00EA7616"/>
    <w:rsid w:val="00EA7B42"/>
    <w:rsid w:val="00EB032E"/>
    <w:rsid w:val="00EB0BAF"/>
    <w:rsid w:val="00EB170C"/>
    <w:rsid w:val="00EB37FA"/>
    <w:rsid w:val="00EB4FCB"/>
    <w:rsid w:val="00EB6244"/>
    <w:rsid w:val="00EB785F"/>
    <w:rsid w:val="00EC022A"/>
    <w:rsid w:val="00EC1390"/>
    <w:rsid w:val="00EC1C28"/>
    <w:rsid w:val="00EC29CE"/>
    <w:rsid w:val="00EC3BD7"/>
    <w:rsid w:val="00EC45BE"/>
    <w:rsid w:val="00EC7AE1"/>
    <w:rsid w:val="00ED3A20"/>
    <w:rsid w:val="00ED4C87"/>
    <w:rsid w:val="00ED649F"/>
    <w:rsid w:val="00ED6579"/>
    <w:rsid w:val="00ED74AF"/>
    <w:rsid w:val="00EE5485"/>
    <w:rsid w:val="00EE57BC"/>
    <w:rsid w:val="00EE6CDC"/>
    <w:rsid w:val="00EE7121"/>
    <w:rsid w:val="00EF06E3"/>
    <w:rsid w:val="00EF38B9"/>
    <w:rsid w:val="00EF42B8"/>
    <w:rsid w:val="00EF4416"/>
    <w:rsid w:val="00EF4A84"/>
    <w:rsid w:val="00EF59CA"/>
    <w:rsid w:val="00EF6F1B"/>
    <w:rsid w:val="00EF742F"/>
    <w:rsid w:val="00F0131F"/>
    <w:rsid w:val="00F01A8A"/>
    <w:rsid w:val="00F03B37"/>
    <w:rsid w:val="00F05740"/>
    <w:rsid w:val="00F06FD8"/>
    <w:rsid w:val="00F1128E"/>
    <w:rsid w:val="00F1192D"/>
    <w:rsid w:val="00F1228E"/>
    <w:rsid w:val="00F123E3"/>
    <w:rsid w:val="00F1263B"/>
    <w:rsid w:val="00F12F95"/>
    <w:rsid w:val="00F130F7"/>
    <w:rsid w:val="00F138CD"/>
    <w:rsid w:val="00F13EA9"/>
    <w:rsid w:val="00F14D6C"/>
    <w:rsid w:val="00F15828"/>
    <w:rsid w:val="00F16239"/>
    <w:rsid w:val="00F16EEB"/>
    <w:rsid w:val="00F21032"/>
    <w:rsid w:val="00F22F17"/>
    <w:rsid w:val="00F23E70"/>
    <w:rsid w:val="00F2474F"/>
    <w:rsid w:val="00F249FE"/>
    <w:rsid w:val="00F25184"/>
    <w:rsid w:val="00F26AEE"/>
    <w:rsid w:val="00F27C0F"/>
    <w:rsid w:val="00F303EB"/>
    <w:rsid w:val="00F30429"/>
    <w:rsid w:val="00F30AAE"/>
    <w:rsid w:val="00F30ACE"/>
    <w:rsid w:val="00F33419"/>
    <w:rsid w:val="00F33F12"/>
    <w:rsid w:val="00F36E10"/>
    <w:rsid w:val="00F37888"/>
    <w:rsid w:val="00F37C61"/>
    <w:rsid w:val="00F4138C"/>
    <w:rsid w:val="00F41BC6"/>
    <w:rsid w:val="00F43627"/>
    <w:rsid w:val="00F47AFE"/>
    <w:rsid w:val="00F52D37"/>
    <w:rsid w:val="00F57B14"/>
    <w:rsid w:val="00F61440"/>
    <w:rsid w:val="00F623C8"/>
    <w:rsid w:val="00F62E06"/>
    <w:rsid w:val="00F64836"/>
    <w:rsid w:val="00F64CEA"/>
    <w:rsid w:val="00F67554"/>
    <w:rsid w:val="00F7159C"/>
    <w:rsid w:val="00F72584"/>
    <w:rsid w:val="00F74338"/>
    <w:rsid w:val="00F75900"/>
    <w:rsid w:val="00F7726A"/>
    <w:rsid w:val="00F77E7B"/>
    <w:rsid w:val="00F80A3B"/>
    <w:rsid w:val="00F833F5"/>
    <w:rsid w:val="00F846D5"/>
    <w:rsid w:val="00F849F2"/>
    <w:rsid w:val="00F85A19"/>
    <w:rsid w:val="00F913F1"/>
    <w:rsid w:val="00F91CEF"/>
    <w:rsid w:val="00F91E7C"/>
    <w:rsid w:val="00F92A8D"/>
    <w:rsid w:val="00F93D68"/>
    <w:rsid w:val="00F944C1"/>
    <w:rsid w:val="00F947D4"/>
    <w:rsid w:val="00F94C84"/>
    <w:rsid w:val="00F951B6"/>
    <w:rsid w:val="00F97E44"/>
    <w:rsid w:val="00FA6D5A"/>
    <w:rsid w:val="00FB293B"/>
    <w:rsid w:val="00FB34C0"/>
    <w:rsid w:val="00FB494D"/>
    <w:rsid w:val="00FB5E70"/>
    <w:rsid w:val="00FB6EEC"/>
    <w:rsid w:val="00FC04D8"/>
    <w:rsid w:val="00FC1E27"/>
    <w:rsid w:val="00FC343B"/>
    <w:rsid w:val="00FC3D70"/>
    <w:rsid w:val="00FC47C6"/>
    <w:rsid w:val="00FD2494"/>
    <w:rsid w:val="00FD28C4"/>
    <w:rsid w:val="00FD2E68"/>
    <w:rsid w:val="00FD6A9A"/>
    <w:rsid w:val="00FD7C75"/>
    <w:rsid w:val="00FE0321"/>
    <w:rsid w:val="00FE257E"/>
    <w:rsid w:val="00FE27C8"/>
    <w:rsid w:val="00FE661F"/>
    <w:rsid w:val="00FE66C6"/>
    <w:rsid w:val="00FF13D0"/>
    <w:rsid w:val="00FF14AA"/>
    <w:rsid w:val="00FF3513"/>
    <w:rsid w:val="00FF3D6D"/>
    <w:rsid w:val="00FF5177"/>
    <w:rsid w:val="00FF699D"/>
    <w:rsid w:val="00FF6D74"/>
    <w:rsid w:val="03EAB9A5"/>
    <w:rsid w:val="04A5F7C2"/>
    <w:rsid w:val="07B450D6"/>
    <w:rsid w:val="16F3A7BB"/>
    <w:rsid w:val="227FFED6"/>
    <w:rsid w:val="3A59148A"/>
    <w:rsid w:val="4355BCE7"/>
    <w:rsid w:val="46B62747"/>
    <w:rsid w:val="4C4386FA"/>
    <w:rsid w:val="51FB2048"/>
    <w:rsid w:val="52DE1DC8"/>
    <w:rsid w:val="5BA617D6"/>
    <w:rsid w:val="5BDEAFC2"/>
    <w:rsid w:val="7B73F028"/>
    <w:rsid w:val="7BACC3D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797"/>
    <w:pPr>
      <w:spacing w:after="120" w:line="240" w:lineRule="auto"/>
    </w:pPr>
    <w:rPr>
      <w:rFonts w:ascii="Segoe UI" w:hAnsi="Segoe UI" w:cs="Segoe UI"/>
      <w:sz w:val="22"/>
      <w:szCs w:val="22"/>
    </w:rPr>
  </w:style>
  <w:style w:type="paragraph" w:styleId="Heading1">
    <w:name w:val="heading 1"/>
    <w:basedOn w:val="Normal"/>
    <w:next w:val="Normal"/>
    <w:link w:val="Heading1Char"/>
    <w:uiPriority w:val="9"/>
    <w:qFormat/>
    <w:rsid w:val="004F12A9"/>
    <w:pPr>
      <w:spacing w:before="240"/>
      <w:outlineLvl w:val="0"/>
    </w:pPr>
    <w:rPr>
      <w:rFonts w:eastAsia="Segoe UI"/>
      <w:b/>
      <w:color w:val="0070C0"/>
      <w:sz w:val="32"/>
    </w:rPr>
  </w:style>
  <w:style w:type="paragraph" w:styleId="Heading2">
    <w:name w:val="heading 2"/>
    <w:basedOn w:val="Normal"/>
    <w:next w:val="Normal"/>
    <w:link w:val="Heading2Char"/>
    <w:uiPriority w:val="9"/>
    <w:unhideWhenUsed/>
    <w:qFormat/>
    <w:rsid w:val="001E1797"/>
    <w:pPr>
      <w:spacing w:before="240" w:after="0"/>
      <w:outlineLvl w:val="1"/>
    </w:pPr>
    <w:rPr>
      <w:rFonts w:eastAsia="Segoe UI"/>
      <w:b/>
      <w:color w:val="000000"/>
    </w:rPr>
  </w:style>
  <w:style w:type="paragraph" w:styleId="Heading3">
    <w:name w:val="heading 3"/>
    <w:basedOn w:val="Normal"/>
    <w:next w:val="Normal"/>
    <w:link w:val="Heading3Char"/>
    <w:uiPriority w:val="9"/>
    <w:semiHidden/>
    <w:unhideWhenUsed/>
    <w:qFormat/>
    <w:rsid w:val="00D548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548F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548F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548F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548F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548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548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aliases w:val="Summary box,Table Gridbeth,RTI AMCP Table,new style,ASD Table,CMA Table Template"/>
    <w:basedOn w:val="TableNormal"/>
    <w:uiPriority w:val="5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4F12A9"/>
    <w:pPr>
      <w:spacing w:after="160"/>
      <w:contextualSpacing/>
    </w:pPr>
    <w:rPr>
      <w:bCs/>
      <w:sz w:val="21"/>
      <w:szCs w:val="21"/>
    </w:rPr>
  </w:style>
  <w:style w:type="character" w:customStyle="1" w:styleId="TickboxesChar">
    <w:name w:val="Tick boxes Char"/>
    <w:basedOn w:val="DefaultParagraphFont"/>
    <w:link w:val="Tickboxes"/>
    <w:rsid w:val="004F12A9"/>
    <w:rPr>
      <w:rFonts w:ascii="Segoe UI" w:hAnsi="Segoe UI" w:cs="Segoe UI"/>
      <w:bCs/>
      <w:sz w:val="21"/>
      <w:szCs w:val="21"/>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39430A"/>
    <w:rPr>
      <w:sz w:val="16"/>
      <w:szCs w:val="16"/>
    </w:rPr>
  </w:style>
  <w:style w:type="paragraph" w:styleId="CommentText">
    <w:name w:val="annotation text"/>
    <w:basedOn w:val="Normal"/>
    <w:link w:val="CommentTextChar"/>
    <w:uiPriority w:val="99"/>
    <w:unhideWhenUsed/>
    <w:rsid w:val="0039430A"/>
    <w:rPr>
      <w:sz w:val="20"/>
      <w:szCs w:val="20"/>
    </w:rPr>
  </w:style>
  <w:style w:type="character" w:customStyle="1" w:styleId="CommentTextChar">
    <w:name w:val="Comment Text Char"/>
    <w:basedOn w:val="DefaultParagraphFont"/>
    <w:link w:val="CommentText"/>
    <w:uiPriority w:val="99"/>
    <w:rsid w:val="0039430A"/>
    <w:rPr>
      <w:sz w:val="20"/>
      <w:szCs w:val="20"/>
    </w:rPr>
  </w:style>
  <w:style w:type="paragraph" w:styleId="CommentSubject">
    <w:name w:val="annotation subject"/>
    <w:basedOn w:val="CommentText"/>
    <w:next w:val="CommentText"/>
    <w:link w:val="CommentSubjectChar"/>
    <w:uiPriority w:val="99"/>
    <w:semiHidden/>
    <w:unhideWhenUsed/>
    <w:rsid w:val="0039430A"/>
    <w:rPr>
      <w:b/>
      <w:bCs/>
    </w:rPr>
  </w:style>
  <w:style w:type="character" w:customStyle="1" w:styleId="CommentSubjectChar">
    <w:name w:val="Comment Subject Char"/>
    <w:basedOn w:val="CommentTextChar"/>
    <w:link w:val="CommentSubject"/>
    <w:uiPriority w:val="99"/>
    <w:semiHidden/>
    <w:rsid w:val="0039430A"/>
    <w:rPr>
      <w:b/>
      <w:bCs/>
      <w:sz w:val="20"/>
      <w:szCs w:val="20"/>
    </w:rPr>
  </w:style>
  <w:style w:type="character" w:customStyle="1" w:styleId="Heading1Char">
    <w:name w:val="Heading 1 Char"/>
    <w:basedOn w:val="DefaultParagraphFont"/>
    <w:link w:val="Heading1"/>
    <w:uiPriority w:val="9"/>
    <w:rsid w:val="004F12A9"/>
    <w:rPr>
      <w:rFonts w:ascii="Segoe UI" w:eastAsia="Segoe UI" w:hAnsi="Segoe UI" w:cs="Segoe UI"/>
      <w:b/>
      <w:color w:val="0070C0"/>
      <w:sz w:val="32"/>
      <w:szCs w:val="22"/>
    </w:rPr>
  </w:style>
  <w:style w:type="character" w:customStyle="1" w:styleId="Heading2Char">
    <w:name w:val="Heading 2 Char"/>
    <w:basedOn w:val="DefaultParagraphFont"/>
    <w:link w:val="Heading2"/>
    <w:uiPriority w:val="9"/>
    <w:rsid w:val="001E1797"/>
    <w:rPr>
      <w:rFonts w:ascii="Segoe UI" w:eastAsia="Segoe UI" w:hAnsi="Segoe UI"/>
      <w:b/>
      <w:color w:val="000000"/>
      <w:sz w:val="22"/>
    </w:rPr>
  </w:style>
  <w:style w:type="paragraph" w:customStyle="1" w:styleId="Instructions">
    <w:name w:val="Instructions"/>
    <w:basedOn w:val="Heading2"/>
    <w:link w:val="InstructionsChar"/>
    <w:qFormat/>
    <w:rsid w:val="00D44AD1"/>
    <w:pPr>
      <w:spacing w:before="120" w:after="120"/>
    </w:pPr>
    <w:rPr>
      <w:b w:val="0"/>
      <w:bCs/>
      <w:i/>
      <w:iCs/>
      <w:color w:val="538135" w:themeColor="accent6" w:themeShade="BF"/>
    </w:rPr>
  </w:style>
  <w:style w:type="character" w:customStyle="1" w:styleId="InstructionsChar">
    <w:name w:val="Instructions Char"/>
    <w:basedOn w:val="Heading2Char"/>
    <w:link w:val="Instructions"/>
    <w:rsid w:val="00D44AD1"/>
    <w:rPr>
      <w:rFonts w:ascii="Segoe UI" w:eastAsia="Segoe UI" w:hAnsi="Segoe UI" w:cs="Segoe UI"/>
      <w:b w:val="0"/>
      <w:bCs/>
      <w:i/>
      <w:iCs/>
      <w:color w:val="538135" w:themeColor="accent6" w:themeShade="BF"/>
      <w:sz w:val="22"/>
      <w:szCs w:val="22"/>
    </w:rPr>
  </w:style>
  <w:style w:type="paragraph" w:styleId="Title">
    <w:name w:val="Title"/>
    <w:basedOn w:val="Normal"/>
    <w:next w:val="Normal"/>
    <w:link w:val="TitleChar"/>
    <w:uiPriority w:val="10"/>
    <w:qFormat/>
    <w:rsid w:val="005503BC"/>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03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03B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503BC"/>
    <w:rPr>
      <w:rFonts w:asciiTheme="minorHAnsi" w:eastAsiaTheme="minorEastAsia" w:hAnsiTheme="minorHAnsi" w:cstheme="minorBidi"/>
      <w:color w:val="5A5A5A" w:themeColor="text1" w:themeTint="A5"/>
      <w:spacing w:val="15"/>
      <w:sz w:val="22"/>
      <w:szCs w:val="22"/>
    </w:rPr>
  </w:style>
  <w:style w:type="character" w:styleId="Hyperlink">
    <w:name w:val="Hyperlink"/>
    <w:basedOn w:val="DefaultParagraphFont"/>
    <w:uiPriority w:val="99"/>
    <w:unhideWhenUsed/>
    <w:rsid w:val="00104D84"/>
    <w:rPr>
      <w:color w:val="0563C1" w:themeColor="hyperlink"/>
      <w:u w:val="single"/>
    </w:rPr>
  </w:style>
  <w:style w:type="character" w:styleId="UnresolvedMention">
    <w:name w:val="Unresolved Mention"/>
    <w:basedOn w:val="DefaultParagraphFont"/>
    <w:uiPriority w:val="99"/>
    <w:semiHidden/>
    <w:unhideWhenUsed/>
    <w:rsid w:val="00AF5FE0"/>
    <w:rPr>
      <w:color w:val="605E5C"/>
      <w:shd w:val="clear" w:color="auto" w:fill="E1DFDD"/>
    </w:rPr>
  </w:style>
  <w:style w:type="character" w:styleId="FollowedHyperlink">
    <w:name w:val="FollowedHyperlink"/>
    <w:basedOn w:val="DefaultParagraphFont"/>
    <w:uiPriority w:val="99"/>
    <w:semiHidden/>
    <w:unhideWhenUsed/>
    <w:rsid w:val="00064F3A"/>
    <w:rPr>
      <w:color w:val="954F72" w:themeColor="followedHyperlink"/>
      <w:u w:val="single"/>
    </w:rPr>
  </w:style>
  <w:style w:type="paragraph" w:styleId="ListParagraph">
    <w:name w:val="List Paragraph"/>
    <w:basedOn w:val="Normal"/>
    <w:uiPriority w:val="34"/>
    <w:qFormat/>
    <w:rsid w:val="009E4587"/>
    <w:pPr>
      <w:ind w:left="720"/>
      <w:contextualSpacing/>
    </w:pPr>
  </w:style>
  <w:style w:type="paragraph" w:styleId="Revision">
    <w:name w:val="Revision"/>
    <w:hidden/>
    <w:uiPriority w:val="99"/>
    <w:semiHidden/>
    <w:rsid w:val="0091781E"/>
    <w:pPr>
      <w:spacing w:after="0" w:line="240" w:lineRule="auto"/>
    </w:pPr>
    <w:rPr>
      <w:rFonts w:ascii="Segoe UI" w:hAnsi="Segoe UI" w:cs="Segoe UI"/>
      <w:sz w:val="22"/>
      <w:szCs w:val="22"/>
    </w:rPr>
  </w:style>
  <w:style w:type="character" w:styleId="BookTitle">
    <w:name w:val="Book Title"/>
    <w:basedOn w:val="DefaultParagraphFont"/>
    <w:uiPriority w:val="33"/>
    <w:qFormat/>
    <w:rsid w:val="00D548FA"/>
    <w:rPr>
      <w:b/>
      <w:bCs/>
      <w:i/>
      <w:iCs/>
      <w:spacing w:val="5"/>
    </w:rPr>
  </w:style>
  <w:style w:type="paragraph" w:styleId="Caption">
    <w:name w:val="caption"/>
    <w:basedOn w:val="Normal"/>
    <w:next w:val="Normal"/>
    <w:uiPriority w:val="35"/>
    <w:semiHidden/>
    <w:unhideWhenUsed/>
    <w:qFormat/>
    <w:rsid w:val="00D548FA"/>
    <w:pPr>
      <w:spacing w:after="200"/>
    </w:pPr>
    <w:rPr>
      <w:i/>
      <w:iCs/>
      <w:color w:val="44546A" w:themeColor="text2"/>
      <w:sz w:val="18"/>
      <w:szCs w:val="18"/>
    </w:rPr>
  </w:style>
  <w:style w:type="character" w:styleId="Emphasis">
    <w:name w:val="Emphasis"/>
    <w:basedOn w:val="DefaultParagraphFont"/>
    <w:uiPriority w:val="20"/>
    <w:qFormat/>
    <w:rsid w:val="00D548FA"/>
    <w:rPr>
      <w:i/>
      <w:iCs/>
    </w:rPr>
  </w:style>
  <w:style w:type="character" w:customStyle="1" w:styleId="Heading3Char">
    <w:name w:val="Heading 3 Char"/>
    <w:basedOn w:val="DefaultParagraphFont"/>
    <w:link w:val="Heading3"/>
    <w:uiPriority w:val="9"/>
    <w:semiHidden/>
    <w:rsid w:val="00D548FA"/>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D548FA"/>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D548FA"/>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D548FA"/>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D548FA"/>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D548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548F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548FA"/>
    <w:rPr>
      <w:i/>
      <w:iCs/>
      <w:color w:val="4472C4" w:themeColor="accent1"/>
    </w:rPr>
  </w:style>
  <w:style w:type="paragraph" w:styleId="IntenseQuote">
    <w:name w:val="Intense Quote"/>
    <w:basedOn w:val="Normal"/>
    <w:next w:val="Normal"/>
    <w:link w:val="IntenseQuoteChar"/>
    <w:uiPriority w:val="30"/>
    <w:qFormat/>
    <w:rsid w:val="00D548F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548FA"/>
    <w:rPr>
      <w:rFonts w:ascii="Segoe UI" w:hAnsi="Segoe UI" w:cs="Segoe UI"/>
      <w:i/>
      <w:iCs/>
      <w:color w:val="4472C4" w:themeColor="accent1"/>
      <w:sz w:val="22"/>
      <w:szCs w:val="22"/>
    </w:rPr>
  </w:style>
  <w:style w:type="character" w:styleId="IntenseReference">
    <w:name w:val="Intense Reference"/>
    <w:basedOn w:val="DefaultParagraphFont"/>
    <w:uiPriority w:val="32"/>
    <w:qFormat/>
    <w:rsid w:val="00D548FA"/>
    <w:rPr>
      <w:b/>
      <w:bCs/>
      <w:smallCaps/>
      <w:color w:val="4472C4" w:themeColor="accent1"/>
      <w:spacing w:val="5"/>
    </w:rPr>
  </w:style>
  <w:style w:type="paragraph" w:styleId="NoSpacing">
    <w:name w:val="No Spacing"/>
    <w:uiPriority w:val="1"/>
    <w:qFormat/>
    <w:rsid w:val="00D548FA"/>
    <w:pPr>
      <w:spacing w:after="0" w:line="240" w:lineRule="auto"/>
    </w:pPr>
    <w:rPr>
      <w:rFonts w:ascii="Segoe UI" w:hAnsi="Segoe UI" w:cs="Segoe UI"/>
      <w:sz w:val="22"/>
      <w:szCs w:val="22"/>
    </w:rPr>
  </w:style>
  <w:style w:type="paragraph" w:styleId="Quote">
    <w:name w:val="Quote"/>
    <w:basedOn w:val="Normal"/>
    <w:next w:val="Normal"/>
    <w:link w:val="QuoteChar"/>
    <w:uiPriority w:val="29"/>
    <w:qFormat/>
    <w:rsid w:val="00D548F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548FA"/>
    <w:rPr>
      <w:rFonts w:ascii="Segoe UI" w:hAnsi="Segoe UI" w:cs="Segoe UI"/>
      <w:i/>
      <w:iCs/>
      <w:color w:val="404040" w:themeColor="text1" w:themeTint="BF"/>
      <w:sz w:val="22"/>
      <w:szCs w:val="22"/>
    </w:rPr>
  </w:style>
  <w:style w:type="character" w:styleId="Strong">
    <w:name w:val="Strong"/>
    <w:basedOn w:val="DefaultParagraphFont"/>
    <w:uiPriority w:val="22"/>
    <w:qFormat/>
    <w:rsid w:val="00D548FA"/>
    <w:rPr>
      <w:b/>
      <w:bCs/>
    </w:rPr>
  </w:style>
  <w:style w:type="character" w:styleId="SubtleEmphasis">
    <w:name w:val="Subtle Emphasis"/>
    <w:basedOn w:val="DefaultParagraphFont"/>
    <w:uiPriority w:val="19"/>
    <w:qFormat/>
    <w:rsid w:val="00D548FA"/>
    <w:rPr>
      <w:i/>
      <w:iCs/>
      <w:color w:val="404040" w:themeColor="text1" w:themeTint="BF"/>
    </w:rPr>
  </w:style>
  <w:style w:type="character" w:styleId="SubtleReference">
    <w:name w:val="Subtle Reference"/>
    <w:basedOn w:val="DefaultParagraphFont"/>
    <w:uiPriority w:val="31"/>
    <w:qFormat/>
    <w:rsid w:val="00D548FA"/>
    <w:rPr>
      <w:smallCaps/>
      <w:color w:val="5A5A5A" w:themeColor="text1" w:themeTint="A5"/>
    </w:rPr>
  </w:style>
  <w:style w:type="paragraph" w:styleId="TOCHeading">
    <w:name w:val="TOC Heading"/>
    <w:basedOn w:val="Heading1"/>
    <w:next w:val="Normal"/>
    <w:uiPriority w:val="39"/>
    <w:semiHidden/>
    <w:unhideWhenUsed/>
    <w:qFormat/>
    <w:rsid w:val="00D548FA"/>
    <w:pPr>
      <w:keepNext/>
      <w:keepLines/>
      <w:spacing w:after="0"/>
      <w:outlineLvl w:val="9"/>
    </w:pPr>
    <w:rPr>
      <w:rFonts w:asciiTheme="majorHAnsi" w:eastAsiaTheme="majorEastAsia" w:hAnsiTheme="majorHAnsi" w:cstheme="majorBidi"/>
      <w:b w:val="0"/>
      <w:color w:val="2F5496"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0661">
      <w:bodyDiv w:val="1"/>
      <w:marLeft w:val="0"/>
      <w:marRight w:val="0"/>
      <w:marTop w:val="0"/>
      <w:marBottom w:val="0"/>
      <w:divBdr>
        <w:top w:val="none" w:sz="0" w:space="0" w:color="auto"/>
        <w:left w:val="none" w:sz="0" w:space="0" w:color="auto"/>
        <w:bottom w:val="none" w:sz="0" w:space="0" w:color="auto"/>
        <w:right w:val="none" w:sz="0" w:space="0" w:color="auto"/>
      </w:divBdr>
    </w:div>
    <w:div w:id="17558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nam04.safelinks.protection.outlook.com/?url=https%3A%2F%2Fwww.health.vic.gov.au%2Fhighly-specialised-therapies-program&amp;data=05%7C02%7CMBurke33%40its.jnj.com%7Cca1779f8ebb14c20441e08dee12cdfe1%7C3ac94b33913548219502eafda6592a35%7C0%7C0%7C639195780007461069%7CUnknown%7CTWFpbGZsb3d8eyJFbXB0eU1hcGkiOnRydWUsIlYiOiIwLjAuMDAwMCIsIlAiOiJXaW4zMiIsIkFOIjoiTWFpbCIsIldUIjoyfQ%3D%3D%7C0%7C%7C%7C&amp;sdata=PLRPKec0I0SPYMmdfCDutvnzkYWGCvct4FMVXCMmV0Y%3D&amp;reserved=0" TargetMode="External"/><Relationship Id="rId26" Type="http://schemas.openxmlformats.org/officeDocument/2006/relationships/image" Target="media/image8.svg"/><Relationship Id="rId21" Type="http://schemas.openxmlformats.org/officeDocument/2006/relationships/image" Target="media/image3.png"/><Relationship Id="rId34" Type="http://schemas.openxmlformats.org/officeDocument/2006/relationships/hyperlink" Target="https://pbs.gov.au/industry/listing/elements/pbac-meetings/pbac-stakeholder-meetings/Multiple-Myeloma-Meeting-Outcome-Statement.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image" Target="media/image7.png"/><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2.png"/><Relationship Id="rId29" Type="http://schemas.openxmlformats.org/officeDocument/2006/relationships/hyperlink" Target="https://www.thelancet.com/journals/lanhae/article/PIIS2352-3026(24)00320-X/abstr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6.svg"/><Relationship Id="rId32" Type="http://schemas.openxmlformats.org/officeDocument/2006/relationships/header" Target="header4.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5.png"/><Relationship Id="rId28" Type="http://schemas.openxmlformats.org/officeDocument/2006/relationships/hyperlink" Target="https://www.nejm.org/doi/full/10.1056/NEJMoa2303379" TargetMode="External"/><Relationship Id="rId36" Type="http://schemas.openxmlformats.org/officeDocument/2006/relationships/hyperlink" Target="https://www.hsanz.org.au/resources/Documents/Blood%20Abstract%20Supplement/Blood%202019%20abstract%20supplement.pdf" TargetMode="External"/><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hyperlink" Target="https://ascopubs.org/doi/10.1200/JCO.2023.41.17_suppl.LBA10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4.png"/><Relationship Id="rId27" Type="http://schemas.openxmlformats.org/officeDocument/2006/relationships/hyperlink" Target="http://clinicaltrials.gov/show/NCT04181827" TargetMode="External"/><Relationship Id="rId30" Type="http://schemas.openxmlformats.org/officeDocument/2006/relationships/hyperlink" Target="https://www.thelancet.com/journals/lanonc/article/PIIS1470-2045(25)00653-9/fulltext" TargetMode="External"/><Relationship Id="rId35" Type="http://schemas.openxmlformats.org/officeDocument/2006/relationships/hyperlink" Target="https://myeloma.org.au/wp-content/uploads/2019/10/myeloma_clinical_practice_guideline_oct19"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AU" sz="1100">
                <a:latin typeface="Calibri" panose="020F0502020204030204" pitchFamily="34" charset="0"/>
                <a:ea typeface="Calibri" panose="020F0502020204030204" pitchFamily="34" charset="0"/>
                <a:cs typeface="Calibri" panose="020F0502020204030204" pitchFamily="34" charset="0"/>
              </a:rPr>
              <a:t>Drug utilisation on</a:t>
            </a:r>
            <a:r>
              <a:rPr lang="en-AU" sz="1100" baseline="0">
                <a:latin typeface="Calibri" panose="020F0502020204030204" pitchFamily="34" charset="0"/>
                <a:ea typeface="Calibri" panose="020F0502020204030204" pitchFamily="34" charset="0"/>
                <a:cs typeface="Calibri" panose="020F0502020204030204" pitchFamily="34" charset="0"/>
              </a:rPr>
              <a:t> PBS in 2L+ MM</a:t>
            </a:r>
            <a:endParaRPr lang="en-AU" sz="1100">
              <a:latin typeface="Calibri" panose="020F0502020204030204" pitchFamily="34" charset="0"/>
              <a:ea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AU"/>
        </a:p>
      </c:txPr>
    </c:title>
    <c:autoTitleDeleted val="0"/>
    <c:plotArea>
      <c:layout/>
      <c:barChart>
        <c:barDir val="col"/>
        <c:grouping val="percentStacked"/>
        <c:varyColors val="0"/>
        <c:ser>
          <c:idx val="0"/>
          <c:order val="0"/>
          <c:tx>
            <c:strRef>
              <c:f>'2L+ MM utilisation '!$A$3</c:f>
              <c:strCache>
                <c:ptCount val="1"/>
                <c:pt idx="0">
                  <c:v>Darzalex</c:v>
                </c:pt>
              </c:strCache>
            </c:strRef>
          </c:tx>
          <c:spPr>
            <a:solidFill>
              <a:schemeClr val="accent1"/>
            </a:solidFill>
            <a:ln>
              <a:noFill/>
            </a:ln>
            <a:effectLst/>
          </c:spPr>
          <c:invertIfNegative val="0"/>
          <c:cat>
            <c:strRef>
              <c:f>'2L+ MM utilisation '!$B$2:$G$2</c:f>
              <c:strCache>
                <c:ptCount val="6"/>
                <c:pt idx="0">
                  <c:v>2021</c:v>
                </c:pt>
                <c:pt idx="1">
                  <c:v>2022</c:v>
                </c:pt>
                <c:pt idx="2">
                  <c:v>2023</c:v>
                </c:pt>
                <c:pt idx="3">
                  <c:v>2024</c:v>
                </c:pt>
                <c:pt idx="4">
                  <c:v>2025</c:v>
                </c:pt>
                <c:pt idx="5">
                  <c:v>2026</c:v>
                </c:pt>
              </c:strCache>
            </c:strRef>
          </c:cat>
          <c:val>
            <c:numRef>
              <c:f>'2L+ MM utilisation '!$B$3:$G$3</c:f>
              <c:numCache>
                <c:formatCode>#,##0_);\(#,##0\)</c:formatCode>
                <c:ptCount val="6"/>
                <c:pt idx="0">
                  <c:v>990</c:v>
                </c:pt>
                <c:pt idx="1">
                  <c:v>1580</c:v>
                </c:pt>
                <c:pt idx="2">
                  <c:v>1730</c:v>
                </c:pt>
                <c:pt idx="3">
                  <c:v>1980</c:v>
                </c:pt>
                <c:pt idx="4">
                  <c:v>2120</c:v>
                </c:pt>
                <c:pt idx="5">
                  <c:v>1230</c:v>
                </c:pt>
              </c:numCache>
            </c:numRef>
          </c:val>
          <c:extLst>
            <c:ext xmlns:c16="http://schemas.microsoft.com/office/drawing/2014/chart" uri="{C3380CC4-5D6E-409C-BE32-E72D297353CC}">
              <c16:uniqueId val="{00000000-E7C5-48BD-9D28-E6AD8255C6FE}"/>
            </c:ext>
          </c:extLst>
        </c:ser>
        <c:ser>
          <c:idx val="1"/>
          <c:order val="1"/>
          <c:tx>
            <c:strRef>
              <c:f>'2L+ MM utilisation '!$A$4</c:f>
              <c:strCache>
                <c:ptCount val="1"/>
                <c:pt idx="0">
                  <c:v>Revlimid</c:v>
                </c:pt>
              </c:strCache>
            </c:strRef>
          </c:tx>
          <c:spPr>
            <a:solidFill>
              <a:schemeClr val="accent2"/>
            </a:solidFill>
            <a:ln>
              <a:noFill/>
            </a:ln>
            <a:effectLst/>
          </c:spPr>
          <c:invertIfNegative val="0"/>
          <c:cat>
            <c:strRef>
              <c:f>'2L+ MM utilisation '!$B$2:$G$2</c:f>
              <c:strCache>
                <c:ptCount val="6"/>
                <c:pt idx="0">
                  <c:v>2021</c:v>
                </c:pt>
                <c:pt idx="1">
                  <c:v>2022</c:v>
                </c:pt>
                <c:pt idx="2">
                  <c:v>2023</c:v>
                </c:pt>
                <c:pt idx="3">
                  <c:v>2024</c:v>
                </c:pt>
                <c:pt idx="4">
                  <c:v>2025</c:v>
                </c:pt>
                <c:pt idx="5">
                  <c:v>2026</c:v>
                </c:pt>
              </c:strCache>
            </c:strRef>
          </c:cat>
          <c:val>
            <c:numRef>
              <c:f>'2L+ MM utilisation '!$B$4:$G$4</c:f>
              <c:numCache>
                <c:formatCode>#,##0_);\(#,##0\)</c:formatCode>
                <c:ptCount val="6"/>
                <c:pt idx="0">
                  <c:v>1900</c:v>
                </c:pt>
                <c:pt idx="1">
                  <c:v>1840</c:v>
                </c:pt>
                <c:pt idx="2">
                  <c:v>1630</c:v>
                </c:pt>
                <c:pt idx="3">
                  <c:v>1420</c:v>
                </c:pt>
                <c:pt idx="4">
                  <c:v>1080</c:v>
                </c:pt>
                <c:pt idx="5">
                  <c:v>390</c:v>
                </c:pt>
              </c:numCache>
            </c:numRef>
          </c:val>
          <c:extLst>
            <c:ext xmlns:c16="http://schemas.microsoft.com/office/drawing/2014/chart" uri="{C3380CC4-5D6E-409C-BE32-E72D297353CC}">
              <c16:uniqueId val="{00000001-E7C5-48BD-9D28-E6AD8255C6FE}"/>
            </c:ext>
          </c:extLst>
        </c:ser>
        <c:ser>
          <c:idx val="2"/>
          <c:order val="2"/>
          <c:tx>
            <c:strRef>
              <c:f>'2L+ MM utilisation '!$A$5</c:f>
              <c:strCache>
                <c:ptCount val="1"/>
                <c:pt idx="0">
                  <c:v>Velcade</c:v>
                </c:pt>
              </c:strCache>
            </c:strRef>
          </c:tx>
          <c:spPr>
            <a:solidFill>
              <a:schemeClr val="accent3"/>
            </a:solidFill>
            <a:ln>
              <a:noFill/>
            </a:ln>
            <a:effectLst/>
          </c:spPr>
          <c:invertIfNegative val="0"/>
          <c:cat>
            <c:strRef>
              <c:f>'2L+ MM utilisation '!$B$2:$G$2</c:f>
              <c:strCache>
                <c:ptCount val="6"/>
                <c:pt idx="0">
                  <c:v>2021</c:v>
                </c:pt>
                <c:pt idx="1">
                  <c:v>2022</c:v>
                </c:pt>
                <c:pt idx="2">
                  <c:v>2023</c:v>
                </c:pt>
                <c:pt idx="3">
                  <c:v>2024</c:v>
                </c:pt>
                <c:pt idx="4">
                  <c:v>2025</c:v>
                </c:pt>
                <c:pt idx="5">
                  <c:v>2026</c:v>
                </c:pt>
              </c:strCache>
            </c:strRef>
          </c:cat>
          <c:val>
            <c:numRef>
              <c:f>'2L+ MM utilisation '!$B$5:$G$5</c:f>
              <c:numCache>
                <c:formatCode>#,##0_);\(#,##0\)</c:formatCode>
                <c:ptCount val="6"/>
                <c:pt idx="0">
                  <c:v>1320</c:v>
                </c:pt>
                <c:pt idx="1">
                  <c:v>1500</c:v>
                </c:pt>
                <c:pt idx="2">
                  <c:v>1460</c:v>
                </c:pt>
                <c:pt idx="3">
                  <c:v>1240</c:v>
                </c:pt>
                <c:pt idx="4">
                  <c:v>1380</c:v>
                </c:pt>
                <c:pt idx="5">
                  <c:v>360</c:v>
                </c:pt>
              </c:numCache>
            </c:numRef>
          </c:val>
          <c:extLst>
            <c:ext xmlns:c16="http://schemas.microsoft.com/office/drawing/2014/chart" uri="{C3380CC4-5D6E-409C-BE32-E72D297353CC}">
              <c16:uniqueId val="{00000002-E7C5-48BD-9D28-E6AD8255C6FE}"/>
            </c:ext>
          </c:extLst>
        </c:ser>
        <c:ser>
          <c:idx val="3"/>
          <c:order val="3"/>
          <c:tx>
            <c:strRef>
              <c:f>'2L+ MM utilisation '!$A$6</c:f>
              <c:strCache>
                <c:ptCount val="1"/>
                <c:pt idx="0">
                  <c:v>Kyprolis</c:v>
                </c:pt>
              </c:strCache>
            </c:strRef>
          </c:tx>
          <c:spPr>
            <a:solidFill>
              <a:schemeClr val="accent4"/>
            </a:solidFill>
            <a:ln>
              <a:noFill/>
            </a:ln>
            <a:effectLst/>
          </c:spPr>
          <c:invertIfNegative val="0"/>
          <c:cat>
            <c:strRef>
              <c:f>'2L+ MM utilisation '!$B$2:$G$2</c:f>
              <c:strCache>
                <c:ptCount val="6"/>
                <c:pt idx="0">
                  <c:v>2021</c:v>
                </c:pt>
                <c:pt idx="1">
                  <c:v>2022</c:v>
                </c:pt>
                <c:pt idx="2">
                  <c:v>2023</c:v>
                </c:pt>
                <c:pt idx="3">
                  <c:v>2024</c:v>
                </c:pt>
                <c:pt idx="4">
                  <c:v>2025</c:v>
                </c:pt>
                <c:pt idx="5">
                  <c:v>2026</c:v>
                </c:pt>
              </c:strCache>
            </c:strRef>
          </c:cat>
          <c:val>
            <c:numRef>
              <c:f>'2L+ MM utilisation '!$B$6:$G$6</c:f>
              <c:numCache>
                <c:formatCode>#,##0_);\(#,##0\)</c:formatCode>
                <c:ptCount val="6"/>
                <c:pt idx="0">
                  <c:v>990</c:v>
                </c:pt>
                <c:pt idx="1">
                  <c:v>830</c:v>
                </c:pt>
                <c:pt idx="2">
                  <c:v>730</c:v>
                </c:pt>
                <c:pt idx="3">
                  <c:v>660</c:v>
                </c:pt>
                <c:pt idx="4">
                  <c:v>700</c:v>
                </c:pt>
                <c:pt idx="5">
                  <c:v>290</c:v>
                </c:pt>
              </c:numCache>
            </c:numRef>
          </c:val>
          <c:extLst>
            <c:ext xmlns:c16="http://schemas.microsoft.com/office/drawing/2014/chart" uri="{C3380CC4-5D6E-409C-BE32-E72D297353CC}">
              <c16:uniqueId val="{00000003-E7C5-48BD-9D28-E6AD8255C6FE}"/>
            </c:ext>
          </c:extLst>
        </c:ser>
        <c:ser>
          <c:idx val="4"/>
          <c:order val="4"/>
          <c:tx>
            <c:strRef>
              <c:f>'2L+ MM utilisation '!$A$7</c:f>
              <c:strCache>
                <c:ptCount val="1"/>
                <c:pt idx="0">
                  <c:v>Pomalyst</c:v>
                </c:pt>
              </c:strCache>
            </c:strRef>
          </c:tx>
          <c:spPr>
            <a:solidFill>
              <a:schemeClr val="accent5"/>
            </a:solidFill>
            <a:ln>
              <a:noFill/>
            </a:ln>
            <a:effectLst/>
          </c:spPr>
          <c:invertIfNegative val="0"/>
          <c:cat>
            <c:strRef>
              <c:f>'2L+ MM utilisation '!$B$2:$G$2</c:f>
              <c:strCache>
                <c:ptCount val="6"/>
                <c:pt idx="0">
                  <c:v>2021</c:v>
                </c:pt>
                <c:pt idx="1">
                  <c:v>2022</c:v>
                </c:pt>
                <c:pt idx="2">
                  <c:v>2023</c:v>
                </c:pt>
                <c:pt idx="3">
                  <c:v>2024</c:v>
                </c:pt>
                <c:pt idx="4">
                  <c:v>2025</c:v>
                </c:pt>
                <c:pt idx="5">
                  <c:v>2026</c:v>
                </c:pt>
              </c:strCache>
            </c:strRef>
          </c:cat>
          <c:val>
            <c:numRef>
              <c:f>'2L+ MM utilisation '!$B$7:$G$7</c:f>
              <c:numCache>
                <c:formatCode>#,##0_);\(#,##0\)</c:formatCode>
                <c:ptCount val="6"/>
                <c:pt idx="0">
                  <c:v>700</c:v>
                </c:pt>
                <c:pt idx="1">
                  <c:v>700</c:v>
                </c:pt>
                <c:pt idx="2">
                  <c:v>530</c:v>
                </c:pt>
                <c:pt idx="3">
                  <c:v>520</c:v>
                </c:pt>
                <c:pt idx="4">
                  <c:v>560</c:v>
                </c:pt>
                <c:pt idx="5">
                  <c:v>170</c:v>
                </c:pt>
              </c:numCache>
            </c:numRef>
          </c:val>
          <c:extLst>
            <c:ext xmlns:c16="http://schemas.microsoft.com/office/drawing/2014/chart" uri="{C3380CC4-5D6E-409C-BE32-E72D297353CC}">
              <c16:uniqueId val="{00000004-E7C5-48BD-9D28-E6AD8255C6FE}"/>
            </c:ext>
          </c:extLst>
        </c:ser>
        <c:ser>
          <c:idx val="5"/>
          <c:order val="5"/>
          <c:tx>
            <c:strRef>
              <c:f>'2L+ MM utilisation '!$A$8</c:f>
              <c:strCache>
                <c:ptCount val="1"/>
                <c:pt idx="0">
                  <c:v>Xpovio</c:v>
                </c:pt>
              </c:strCache>
            </c:strRef>
          </c:tx>
          <c:spPr>
            <a:solidFill>
              <a:schemeClr val="accent6"/>
            </a:solidFill>
            <a:ln>
              <a:noFill/>
            </a:ln>
            <a:effectLst/>
          </c:spPr>
          <c:invertIfNegative val="0"/>
          <c:cat>
            <c:strRef>
              <c:f>'2L+ MM utilisation '!$B$2:$G$2</c:f>
              <c:strCache>
                <c:ptCount val="6"/>
                <c:pt idx="0">
                  <c:v>2021</c:v>
                </c:pt>
                <c:pt idx="1">
                  <c:v>2022</c:v>
                </c:pt>
                <c:pt idx="2">
                  <c:v>2023</c:v>
                </c:pt>
                <c:pt idx="3">
                  <c:v>2024</c:v>
                </c:pt>
                <c:pt idx="4">
                  <c:v>2025</c:v>
                </c:pt>
                <c:pt idx="5">
                  <c:v>2026</c:v>
                </c:pt>
              </c:strCache>
            </c:strRef>
          </c:cat>
          <c:val>
            <c:numRef>
              <c:f>'2L+ MM utilisation '!$B$8:$G$8</c:f>
              <c:numCache>
                <c:formatCode>#,##0_);\(#,##0\)</c:formatCode>
                <c:ptCount val="6"/>
                <c:pt idx="0" formatCode="General">
                  <c:v>0</c:v>
                </c:pt>
                <c:pt idx="1">
                  <c:v>10</c:v>
                </c:pt>
                <c:pt idx="2">
                  <c:v>60</c:v>
                </c:pt>
                <c:pt idx="3">
                  <c:v>10</c:v>
                </c:pt>
                <c:pt idx="4">
                  <c:v>90</c:v>
                </c:pt>
                <c:pt idx="5">
                  <c:v>30</c:v>
                </c:pt>
              </c:numCache>
            </c:numRef>
          </c:val>
          <c:extLst>
            <c:ext xmlns:c16="http://schemas.microsoft.com/office/drawing/2014/chart" uri="{C3380CC4-5D6E-409C-BE32-E72D297353CC}">
              <c16:uniqueId val="{00000005-E7C5-48BD-9D28-E6AD8255C6FE}"/>
            </c:ext>
          </c:extLst>
        </c:ser>
        <c:ser>
          <c:idx val="6"/>
          <c:order val="6"/>
          <c:tx>
            <c:strRef>
              <c:f>'2L+ MM utilisation '!$A$9</c:f>
              <c:strCache>
                <c:ptCount val="1"/>
                <c:pt idx="0">
                  <c:v>Thalidomide</c:v>
                </c:pt>
              </c:strCache>
            </c:strRef>
          </c:tx>
          <c:spPr>
            <a:solidFill>
              <a:schemeClr val="accent1">
                <a:lumMod val="60000"/>
              </a:schemeClr>
            </a:solidFill>
            <a:ln>
              <a:noFill/>
            </a:ln>
            <a:effectLst/>
          </c:spPr>
          <c:invertIfNegative val="0"/>
          <c:cat>
            <c:strRef>
              <c:f>'2L+ MM utilisation '!$B$2:$G$2</c:f>
              <c:strCache>
                <c:ptCount val="6"/>
                <c:pt idx="0">
                  <c:v>2021</c:v>
                </c:pt>
                <c:pt idx="1">
                  <c:v>2022</c:v>
                </c:pt>
                <c:pt idx="2">
                  <c:v>2023</c:v>
                </c:pt>
                <c:pt idx="3">
                  <c:v>2024</c:v>
                </c:pt>
                <c:pt idx="4">
                  <c:v>2025</c:v>
                </c:pt>
                <c:pt idx="5">
                  <c:v>2026</c:v>
                </c:pt>
              </c:strCache>
            </c:strRef>
          </c:cat>
          <c:val>
            <c:numRef>
              <c:f>'2L+ MM utilisation '!$B$9:$G$9</c:f>
              <c:numCache>
                <c:formatCode>#,##0_);\(#,##0\)</c:formatCode>
                <c:ptCount val="6"/>
                <c:pt idx="0">
                  <c:v>160</c:v>
                </c:pt>
                <c:pt idx="1">
                  <c:v>150</c:v>
                </c:pt>
                <c:pt idx="2">
                  <c:v>130</c:v>
                </c:pt>
                <c:pt idx="3">
                  <c:v>60</c:v>
                </c:pt>
                <c:pt idx="4">
                  <c:v>80</c:v>
                </c:pt>
                <c:pt idx="5">
                  <c:v>10</c:v>
                </c:pt>
              </c:numCache>
            </c:numRef>
          </c:val>
          <c:extLst>
            <c:ext xmlns:c16="http://schemas.microsoft.com/office/drawing/2014/chart" uri="{C3380CC4-5D6E-409C-BE32-E72D297353CC}">
              <c16:uniqueId val="{00000006-E7C5-48BD-9D28-E6AD8255C6FE}"/>
            </c:ext>
          </c:extLst>
        </c:ser>
        <c:dLbls>
          <c:showLegendKey val="0"/>
          <c:showVal val="0"/>
          <c:showCatName val="0"/>
          <c:showSerName val="0"/>
          <c:showPercent val="0"/>
          <c:showBubbleSize val="0"/>
        </c:dLbls>
        <c:gapWidth val="150"/>
        <c:overlap val="100"/>
        <c:axId val="1175029600"/>
        <c:axId val="1175014240"/>
      </c:barChart>
      <c:catAx>
        <c:axId val="117502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175014240"/>
        <c:crosses val="autoZero"/>
        <c:auto val="1"/>
        <c:lblAlgn val="ctr"/>
        <c:lblOffset val="100"/>
        <c:noMultiLvlLbl val="0"/>
      </c:catAx>
      <c:valAx>
        <c:axId val="11750142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crossAx val="117502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ECA3660A9E6844A6283D382B1ED595" ma:contentTypeVersion="14" ma:contentTypeDescription="Create a new document." ma:contentTypeScope="" ma:versionID="5fe2cce2b9d6e7dde0360aebcc141346">
  <xsd:schema xmlns:xsd="http://www.w3.org/2001/XMLSchema" xmlns:xs="http://www.w3.org/2001/XMLSchema" xmlns:p="http://schemas.microsoft.com/office/2006/metadata/properties" xmlns:ns2="fcf7a6c0-b028-428b-8f28-9b06d722bf06" xmlns:ns3="e7d54a9e-4aca-451b-99db-b94fe438e987" targetNamespace="http://schemas.microsoft.com/office/2006/metadata/properties" ma:root="true" ma:fieldsID="942112c89522ad2aaf0582c26e3af6f3" ns2:_="" ns3:_="">
    <xsd:import namespace="fcf7a6c0-b028-428b-8f28-9b06d722bf06"/>
    <xsd:import namespace="e7d54a9e-4aca-451b-99db-b94fe438e98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7a6c0-b028-428b-8f28-9b06d722bf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d54a9e-4aca-451b-99db-b94fe438e98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b094059-5103-4cd0-8820-a17a44f45f06}" ma:internalName="TaxCatchAll" ma:showField="CatchAllData" ma:web="e7d54a9e-4aca-451b-99db-b94fe438e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d54a9e-4aca-451b-99db-b94fe438e987" xsi:nil="true"/>
    <lcf76f155ced4ddcb4097134ff3c332f xmlns="fcf7a6c0-b028-428b-8f28-9b06d722bf06">
      <Terms xmlns="http://schemas.microsoft.com/office/infopath/2007/PartnerControls"/>
    </lcf76f155ced4ddcb4097134ff3c332f>
    <SharedWithUsers xmlns="e7d54a9e-4aca-451b-99db-b94fe438e987">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317-1A72-4A34-9FA5-DF325E137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7a6c0-b028-428b-8f28-9b06d722bf06"/>
    <ds:schemaRef ds:uri="e7d54a9e-4aca-451b-99db-b94fe438e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1213F9-859D-4DE5-BB1E-B647F2CDB5B7}">
  <ds:schemaRefs>
    <ds:schemaRef ds:uri="http://schemas.microsoft.com/sharepoint/v3/contenttype/forms"/>
  </ds:schemaRefs>
</ds:datastoreItem>
</file>

<file path=customXml/itemProps3.xml><?xml version="1.0" encoding="utf-8"?>
<ds:datastoreItem xmlns:ds="http://schemas.openxmlformats.org/officeDocument/2006/customXml" ds:itemID="{280DE8F0-CC93-4176-A688-F60B62B4F3FD}">
  <ds:schemaRefs>
    <ds:schemaRef ds:uri="http://schemas.microsoft.com/office/2006/metadata/properties"/>
    <ds:schemaRef ds:uri="http://schemas.microsoft.com/office/infopath/2007/PartnerControls"/>
    <ds:schemaRef ds:uri="e7d54a9e-4aca-451b-99db-b94fe438e987"/>
    <ds:schemaRef ds:uri="fcf7a6c0-b028-428b-8f28-9b06d722bf06"/>
  </ds:schemaRefs>
</ds:datastoreItem>
</file>

<file path=customXml/itemProps4.xml><?xml version="1.0" encoding="utf-8"?>
<ds:datastoreItem xmlns:ds="http://schemas.openxmlformats.org/officeDocument/2006/customXml" ds:itemID="{0F00D2DE-39C5-401D-9785-68455DE9386A}">
  <ds:schemaRefs>
    <ds:schemaRef ds:uri="http://schemas.openxmlformats.org/officeDocument/2006/bibliography"/>
  </ds:schemaRefs>
</ds:datastoreItem>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30</Pages>
  <Words>10650</Words>
  <Characters>61560</Characters>
  <Application>Microsoft Office Word</Application>
  <DocSecurity>0</DocSecurity>
  <Lines>1231</Lines>
  <Paragraphs>587</Paragraphs>
  <ScaleCrop>false</ScaleCrop>
  <HeadingPairs>
    <vt:vector size="2" baseType="variant">
      <vt:variant>
        <vt:lpstr>Title</vt:lpstr>
      </vt:variant>
      <vt:variant>
        <vt:i4>1</vt:i4>
      </vt:variant>
    </vt:vector>
  </HeadingPairs>
  <TitlesOfParts>
    <vt:vector size="1" baseType="lpstr">
      <vt:lpstr>Other MSAC PICO Set template</vt:lpstr>
    </vt:vector>
  </TitlesOfParts>
  <Company/>
  <LinksUpToDate>false</LinksUpToDate>
  <CharactersWithSpaces>71623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MSAC PICO Set template</dc:title>
  <dc:subject/>
  <dc:creator/>
  <cp:keywords/>
  <dc:description/>
  <cp:lastModifiedBy/>
  <cp:revision>1</cp:revision>
  <dcterms:created xsi:type="dcterms:W3CDTF">2026-10-19T02:43:00Z</dcterms:created>
  <dcterms:modified xsi:type="dcterms:W3CDTF">2026-10-19T03:25:00Z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0x0101007FECA3660A9E6844A6283D382B1ED595</vt:lpwstr>
  </property>
  <property fmtid="{D5CDD505-2E9C-101B-9397-08002B2CF9AE}" pid="3" name="docLang">
    <vt:lpwstr>en</vt:lpwstr>
  </property>
  <property fmtid="{D5CDD505-2E9C-101B-9397-08002B2CF9AE}" pid="4" name="HPPTrimRecordId">
    <vt:lpwstr>D26-3881677</vt:lpwstr>
  </property>
  <property fmtid="{D5CDD505-2E9C-101B-9397-08002B2CF9AE}" pid="5" name="MediaServiceImageTags">
    <vt:lpwstr/>
  </property>
  <property fmtid="{D5CDD505-2E9C-101B-9397-08002B2CF9AE}" pid="6" name="TrimRecordURI">
    <vt:lpwstr>268469737</vt:lpwstr>
  </property>
  <property fmtid="{D5CDD505-2E9C-101B-9397-08002B2CF9AE}" pid="7" name="HPPTrimContainerId">
    <vt:lpwstr>E26-499832</vt:lpwstr>
  </property>
  <property fmtid="{D5CDD505-2E9C-101B-9397-08002B2CF9AE}" pid="8" name="HPPArchived">
    <vt:lpwstr>Archived</vt:lpwstr>
  </property>
  <property fmtid="{D5CDD505-2E9C-101B-9397-08002B2CF9AE}" pid="9" name="HPPTrimLink">
    <vt:lpwstr>https://auc-common-prd-app-as-trim.azurewebsites.net/Api/DownloadTrimFile/HPP/D26-3881677</vt:lpwstr>
  </property>
  <property fmtid="{D5CDD505-2E9C-101B-9397-08002B2CF9AE}" pid="10" name="MSIP_Label_7cd3e8b9-ffed-43a8-b7f4-cc2fa0382d36_Enabled">
    <vt:lpwstr>true</vt:lpwstr>
  </property>
  <property fmtid="{D5CDD505-2E9C-101B-9397-08002B2CF9AE}" pid="11" name="MSIP_Label_7cd3e8b9-ffed-43a8-b7f4-cc2fa0382d36_SetDate">
    <vt:lpwstr>2026-10-08T22:59:27Z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eaa1a385-1025-4847-a47f-ce3f4b5c04a8</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y fmtid="{D5CDD505-2E9C-101B-9397-08002B2CF9AE}" pid="18" name="Order">
    <vt:r8>65141600</vt:r8>
  </property>
  <property fmtid="{D5CDD505-2E9C-101B-9397-08002B2CF9AE}" pid="19" name="xd_Signature">
    <vt:bool>false</vt:bool>
  </property>
  <property fmtid="{D5CDD505-2E9C-101B-9397-08002B2CF9AE}" pid="20" name="xd_ProgID">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ies>
</file>