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17EE7"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7AD22299" wp14:editId="6A864E00">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54EE4CD1"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5505D327" w14:textId="6CAA50E6" w:rsidR="00BC1364" w:rsidRPr="00F715D1" w:rsidRDefault="00BC1364" w:rsidP="00F715D1">
      <w:pPr>
        <w:pStyle w:val="Subtitle"/>
      </w:pPr>
      <w:r w:rsidRPr="00F715D1">
        <w:t xml:space="preserve">Application No. </w:t>
      </w:r>
      <w:r w:rsidR="00F878CB">
        <w:t>15</w:t>
      </w:r>
      <w:r w:rsidR="009C596F">
        <w:t>54</w:t>
      </w:r>
      <w:r w:rsidRPr="00F715D1">
        <w:t xml:space="preserve"> – </w:t>
      </w:r>
      <w:r w:rsidR="009C596F">
        <w:t xml:space="preserve">Amendment to MBS item 73295 to allow testing for somatic BRCA mutation to allow patient access to </w:t>
      </w:r>
      <w:r w:rsidR="00193433" w:rsidRPr="00193433">
        <w:t xml:space="preserve">first-line maintenance treatment </w:t>
      </w:r>
      <w:r w:rsidR="00193433">
        <w:t xml:space="preserve">with </w:t>
      </w:r>
      <w:r w:rsidR="009C596F">
        <w:t>olaparib</w:t>
      </w:r>
    </w:p>
    <w:p w14:paraId="5B826837" w14:textId="243A06E9"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F878CB">
        <w:rPr>
          <w:rFonts w:ascii="Arial" w:hAnsi="Arial" w:cs="Arial"/>
          <w:b/>
          <w:szCs w:val="24"/>
        </w:rPr>
        <w:t>AstraZeneca</w:t>
      </w:r>
      <w:r w:rsidR="00D62626">
        <w:rPr>
          <w:rFonts w:ascii="Arial" w:hAnsi="Arial" w:cs="Arial"/>
          <w:b/>
          <w:szCs w:val="24"/>
        </w:rPr>
        <w:t xml:space="preserve"> Pty Ltd</w:t>
      </w:r>
    </w:p>
    <w:p w14:paraId="34E4F925"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F878CB">
        <w:rPr>
          <w:rFonts w:ascii="Arial" w:hAnsi="Arial" w:cs="Arial"/>
          <w:b/>
          <w:szCs w:val="24"/>
        </w:rPr>
        <w:t>79</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F878CB">
        <w:rPr>
          <w:rFonts w:ascii="Arial" w:hAnsi="Arial" w:cs="Arial"/>
          <w:b/>
          <w:szCs w:val="24"/>
        </w:rPr>
        <w:t>28-29 July 2020</w:t>
      </w:r>
    </w:p>
    <w:p w14:paraId="4F36E140"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8" w:tooltip="Link to Medical Services Advisory Committee website" w:history="1">
        <w:r w:rsidR="00F715D1" w:rsidRPr="00F715D1">
          <w:rPr>
            <w:rStyle w:val="Hyperlink"/>
            <w:szCs w:val="24"/>
          </w:rPr>
          <w:t>visit the MSAC website</w:t>
        </w:r>
      </w:hyperlink>
    </w:p>
    <w:p w14:paraId="076C21CE" w14:textId="3112156A" w:rsidR="003D7F29" w:rsidRPr="00F715D1" w:rsidRDefault="003D7F29" w:rsidP="00F715D1">
      <w:pPr>
        <w:pStyle w:val="Heading1"/>
      </w:pPr>
      <w:r w:rsidRPr="00F715D1">
        <w:t>Purpose of application</w:t>
      </w:r>
    </w:p>
    <w:p w14:paraId="5A598F3C" w14:textId="77777777" w:rsidR="00347CDB" w:rsidRDefault="00347CDB" w:rsidP="00347CDB">
      <w:pPr>
        <w:spacing w:after="120"/>
        <w:rPr>
          <w:iCs/>
          <w:szCs w:val="24"/>
        </w:rPr>
      </w:pPr>
      <w:r w:rsidRPr="00577F2C">
        <w:rPr>
          <w:iCs/>
          <w:szCs w:val="24"/>
        </w:rPr>
        <w:t xml:space="preserve">An </w:t>
      </w:r>
      <w:r>
        <w:rPr>
          <w:iCs/>
          <w:szCs w:val="24"/>
        </w:rPr>
        <w:t xml:space="preserve">application for a streamlined codependent </w:t>
      </w:r>
      <w:r>
        <w:t xml:space="preserve">consideration </w:t>
      </w:r>
      <w:r>
        <w:rPr>
          <w:iCs/>
          <w:szCs w:val="24"/>
        </w:rPr>
        <w:t>requested:</w:t>
      </w:r>
    </w:p>
    <w:p w14:paraId="38D8E1DD" w14:textId="1A4B2133" w:rsidR="00347CDB" w:rsidRPr="00577F2C" w:rsidRDefault="00193433" w:rsidP="00347CDB">
      <w:pPr>
        <w:pStyle w:val="ListParagraph"/>
        <w:numPr>
          <w:ilvl w:val="0"/>
          <w:numId w:val="25"/>
        </w:numPr>
        <w:spacing w:after="240"/>
        <w:rPr>
          <w:iCs/>
          <w:szCs w:val="24"/>
        </w:rPr>
      </w:pPr>
      <w:bookmarkStart w:id="0" w:name="_Hlk36038391"/>
      <w:r>
        <w:rPr>
          <w:iCs/>
          <w:szCs w:val="24"/>
        </w:rPr>
        <w:t xml:space="preserve">an extension of the </w:t>
      </w:r>
      <w:r w:rsidR="00347CDB" w:rsidRPr="00577F2C">
        <w:rPr>
          <w:iCs/>
          <w:szCs w:val="24"/>
        </w:rPr>
        <w:t>Pharm</w:t>
      </w:r>
      <w:r w:rsidR="00347CDB">
        <w:rPr>
          <w:iCs/>
          <w:szCs w:val="24"/>
        </w:rPr>
        <w:t>a</w:t>
      </w:r>
      <w:r w:rsidR="00347CDB" w:rsidRPr="00577F2C">
        <w:rPr>
          <w:iCs/>
          <w:szCs w:val="24"/>
        </w:rPr>
        <w:t xml:space="preserve">ceutical Benefits Schedule (PBS) listing of </w:t>
      </w:r>
      <w:r w:rsidR="00347CDB" w:rsidRPr="00347CDB">
        <w:rPr>
          <w:iCs/>
          <w:szCs w:val="24"/>
        </w:rPr>
        <w:t xml:space="preserve">olaparib (Lynparza) </w:t>
      </w:r>
      <w:r>
        <w:rPr>
          <w:iCs/>
          <w:szCs w:val="24"/>
        </w:rPr>
        <w:t>to include</w:t>
      </w:r>
      <w:r w:rsidR="00347CDB" w:rsidRPr="00347CDB">
        <w:rPr>
          <w:iCs/>
          <w:szCs w:val="24"/>
        </w:rPr>
        <w:t xml:space="preserve"> newly diagnosed advanced BRCA-mutated high grade epithelial ovarian, fallopian tube or primary peritoneal cancer in response (complete or partial) to first-l</w:t>
      </w:r>
      <w:r>
        <w:rPr>
          <w:iCs/>
          <w:szCs w:val="24"/>
        </w:rPr>
        <w:t>ine platinum-based chemotherapy</w:t>
      </w:r>
    </w:p>
    <w:p w14:paraId="735DB8CB" w14:textId="02852A92" w:rsidR="00347CDB" w:rsidRDefault="00347CDB" w:rsidP="00347CDB">
      <w:pPr>
        <w:pStyle w:val="ListParagraph"/>
        <w:numPr>
          <w:ilvl w:val="0"/>
          <w:numId w:val="25"/>
        </w:numPr>
        <w:spacing w:after="240"/>
        <w:rPr>
          <w:iCs/>
          <w:szCs w:val="24"/>
        </w:rPr>
      </w:pPr>
      <w:r>
        <w:rPr>
          <w:iCs/>
          <w:szCs w:val="24"/>
        </w:rPr>
        <w:t xml:space="preserve">an </w:t>
      </w:r>
      <w:r w:rsidRPr="00577F2C">
        <w:rPr>
          <w:iCs/>
          <w:szCs w:val="24"/>
        </w:rPr>
        <w:t xml:space="preserve">amendment of Medicare Benefits Schedule (MBS) item 73343 </w:t>
      </w:r>
      <w:r w:rsidRPr="00347CDB">
        <w:rPr>
          <w:iCs/>
          <w:szCs w:val="24"/>
        </w:rPr>
        <w:t xml:space="preserve">to </w:t>
      </w:r>
      <w:r w:rsidR="00193433">
        <w:rPr>
          <w:iCs/>
          <w:szCs w:val="24"/>
        </w:rPr>
        <w:t>include</w:t>
      </w:r>
      <w:r w:rsidRPr="00347CDB">
        <w:rPr>
          <w:iCs/>
          <w:szCs w:val="24"/>
        </w:rPr>
        <w:t xml:space="preserve"> first-line tumour </w:t>
      </w:r>
      <w:r w:rsidRPr="00BA2406">
        <w:rPr>
          <w:i/>
          <w:iCs/>
          <w:szCs w:val="24"/>
        </w:rPr>
        <w:t>BRCA1 BRCA2</w:t>
      </w:r>
      <w:r w:rsidRPr="00347CDB">
        <w:rPr>
          <w:iCs/>
          <w:szCs w:val="24"/>
        </w:rPr>
        <w:t xml:space="preserve"> testing at diagnosis of advanced ovarian cancer.</w:t>
      </w:r>
    </w:p>
    <w:bookmarkEnd w:id="0"/>
    <w:p w14:paraId="6D8737F5" w14:textId="77777777" w:rsidR="00E977EE" w:rsidRPr="00F715D1" w:rsidRDefault="00E977EE" w:rsidP="00F715D1">
      <w:pPr>
        <w:pStyle w:val="Heading1"/>
      </w:pPr>
      <w:r w:rsidRPr="00F715D1">
        <w:t>MSAC’s advice to the Minister</w:t>
      </w:r>
    </w:p>
    <w:p w14:paraId="2FF19BC1" w14:textId="087EAE0B" w:rsidR="0080169B" w:rsidRDefault="00057592" w:rsidP="0080169B">
      <w:pPr>
        <w:spacing w:after="240"/>
      </w:pPr>
      <w:r w:rsidRPr="0099407C">
        <w:t xml:space="preserve">After </w:t>
      </w:r>
      <w:r>
        <w:t xml:space="preserve">reviewing </w:t>
      </w:r>
      <w:r w:rsidRPr="00DC405B">
        <w:t xml:space="preserve">estimates </w:t>
      </w:r>
      <w:r>
        <w:t xml:space="preserve">of </w:t>
      </w:r>
      <w:r w:rsidRPr="00DC405B">
        <w:t xml:space="preserve">utilisation and </w:t>
      </w:r>
      <w:r w:rsidR="00193433">
        <w:t xml:space="preserve">financial implications to </w:t>
      </w:r>
      <w:r w:rsidRPr="00DC405B">
        <w:t xml:space="preserve">the </w:t>
      </w:r>
      <w:r>
        <w:t>Medicare Benefits Schedule (</w:t>
      </w:r>
      <w:r w:rsidRPr="00DC405B">
        <w:t>MBS</w:t>
      </w:r>
      <w:r>
        <w:t>)</w:t>
      </w:r>
      <w:r w:rsidRPr="0099407C">
        <w:t xml:space="preserve">, MSAC </w:t>
      </w:r>
      <w:r w:rsidR="00193433">
        <w:t xml:space="preserve">confirmed that its November 2019 </w:t>
      </w:r>
      <w:r w:rsidRPr="0099407C">
        <w:t>support</w:t>
      </w:r>
      <w:r w:rsidR="00193433">
        <w:t xml:space="preserve"> to</w:t>
      </w:r>
      <w:r w:rsidRPr="0099407C">
        <w:t xml:space="preserve"> amend MBS item 73295 </w:t>
      </w:r>
      <w:r w:rsidR="00193433">
        <w:t xml:space="preserve">would </w:t>
      </w:r>
      <w:r w:rsidRPr="0099407C">
        <w:t xml:space="preserve">allow testing for somatic </w:t>
      </w:r>
      <w:r w:rsidRPr="0099407C">
        <w:rPr>
          <w:i/>
          <w:iCs/>
        </w:rPr>
        <w:t>BRCA</w:t>
      </w:r>
      <w:r w:rsidRPr="0099407C">
        <w:t xml:space="preserve"> mutation</w:t>
      </w:r>
      <w:r w:rsidR="00193433">
        <w:t>s would help determine</w:t>
      </w:r>
      <w:r w:rsidRPr="0099407C">
        <w:t xml:space="preserve"> patient access to olaparib</w:t>
      </w:r>
      <w:r>
        <w:t xml:space="preserve"> in the first-line setting</w:t>
      </w:r>
      <w:r w:rsidRPr="0099407C">
        <w:t xml:space="preserve">, in line with the extended </w:t>
      </w:r>
      <w:r>
        <w:t>Pharmaceutical Benefits Scheme (</w:t>
      </w:r>
      <w:r w:rsidRPr="0099407C">
        <w:t>PBS</w:t>
      </w:r>
      <w:r>
        <w:t>)</w:t>
      </w:r>
      <w:r w:rsidRPr="0099407C">
        <w:t xml:space="preserve"> listing of olaparib as recommended by the </w:t>
      </w:r>
      <w:r>
        <w:t>Pharmaceutical Benefits Advisory Committee (</w:t>
      </w:r>
      <w:r w:rsidRPr="0099407C">
        <w:t>PBAC</w:t>
      </w:r>
      <w:r>
        <w:t>)</w:t>
      </w:r>
      <w:r w:rsidRPr="0099407C">
        <w:t xml:space="preserve"> in July 2020.</w:t>
      </w:r>
    </w:p>
    <w:tbl>
      <w:tblPr>
        <w:tblStyle w:val="TableGrid"/>
        <w:tblW w:w="0" w:type="auto"/>
        <w:tblLook w:val="04A0" w:firstRow="1" w:lastRow="0" w:firstColumn="1" w:lastColumn="0" w:noHBand="0" w:noVBand="1"/>
        <w:tblDescription w:val="Consumer Summary of MSAC consideration"/>
      </w:tblPr>
      <w:tblGrid>
        <w:gridCol w:w="9016"/>
      </w:tblGrid>
      <w:tr w:rsidR="0080169B" w14:paraId="6E272498" w14:textId="77777777" w:rsidTr="0080169B">
        <w:trPr>
          <w:tblHeader/>
        </w:trPr>
        <w:tc>
          <w:tcPr>
            <w:tcW w:w="9016" w:type="dxa"/>
          </w:tcPr>
          <w:p w14:paraId="56D6166C" w14:textId="14929DE9" w:rsidR="0080169B" w:rsidRPr="0080169B" w:rsidRDefault="0080169B" w:rsidP="0080169B">
            <w:pPr>
              <w:spacing w:before="120" w:after="120"/>
              <w:rPr>
                <w:b/>
              </w:rPr>
            </w:pPr>
            <w:r w:rsidRPr="0080169B">
              <w:rPr>
                <w:b/>
              </w:rPr>
              <w:t>Consumer summary</w:t>
            </w:r>
          </w:p>
        </w:tc>
      </w:tr>
      <w:tr w:rsidR="0080169B" w14:paraId="013E1AB8" w14:textId="77777777" w:rsidTr="0080169B">
        <w:tc>
          <w:tcPr>
            <w:tcW w:w="9016" w:type="dxa"/>
          </w:tcPr>
          <w:p w14:paraId="425E31A2" w14:textId="77777777" w:rsidR="0080169B" w:rsidRDefault="0080169B" w:rsidP="0080169B">
            <w:pPr>
              <w:spacing w:before="120" w:after="120"/>
            </w:pPr>
            <w:r>
              <w:t>AstraZeneca Pty Ltd applied for public funding through the Medicare Benefits Schedule (MBS) for testing BRCA (BReastCAncer) 1 and 2 genes for mutations in a sample of tumour tissue. This application was for testing in people with advanced, high-grade/fast-growing ovarian cancer or fallopian tube cancer or primary cancer in the peritoneum (the tissue that lines the cavity of the abdomen).</w:t>
            </w:r>
          </w:p>
          <w:p w14:paraId="32A2EAB2" w14:textId="77777777" w:rsidR="0080169B" w:rsidRDefault="0080169B" w:rsidP="0080169B">
            <w:r>
              <w:t>Olaparib is a medicine for these advanced, high-grade/fast growing cancers. Olaparib is likely to be more clinically effective for people who have a mutation in their BRCA1 or BRCA2 genes. Genetic testing is the only way to find out if someone has a gene mutation.</w:t>
            </w:r>
          </w:p>
          <w:p w14:paraId="2F127626" w14:textId="77777777" w:rsidR="0080169B" w:rsidRDefault="0080169B" w:rsidP="0080169B">
            <w:r>
              <w:lastRenderedPageBreak/>
              <w:t>MSAC had considered this application in November 2019, and supported public funding for BRCA1 or BRCA2 testing in a sample of tumour tissue from a person with one of these advanced, high-grade/fast growing  cancers whose cancer has come back (relapsed) after initial response to treatment. This decision was consistent with the existing Pharmaceutical Benefits Scheme (PBS) listing of olaparib: at that time, the Pharmaceutical Benefits Advisory Committee (PBAC) had decided not to recommend an extension of the PBS listing of olaparib to include patients who have been diagnosed with one of these advanced, high-grade/fast growing cancers for the first time and are responding to initial treatment.</w:t>
            </w:r>
          </w:p>
          <w:p w14:paraId="724B4E38" w14:textId="77777777" w:rsidR="0080169B" w:rsidRDefault="0080169B" w:rsidP="0080169B">
            <w:pPr>
              <w:spacing w:before="120" w:after="240"/>
            </w:pPr>
            <w:r>
              <w:t>In July 2020, the PBAC recommended olaparib for newly diagnosed patients.</w:t>
            </w:r>
          </w:p>
          <w:p w14:paraId="4E049FF2" w14:textId="77777777" w:rsidR="0080169B" w:rsidRPr="0080169B" w:rsidRDefault="0080169B" w:rsidP="0080169B">
            <w:pPr>
              <w:spacing w:before="120" w:after="120"/>
              <w:rPr>
                <w:b/>
              </w:rPr>
            </w:pPr>
            <w:r w:rsidRPr="0080169B">
              <w:rPr>
                <w:b/>
              </w:rPr>
              <w:t>MSAC’s advice to the Commonwealth Minister for Health</w:t>
            </w:r>
          </w:p>
          <w:p w14:paraId="6EB3C29E" w14:textId="2278EC72" w:rsidR="0080169B" w:rsidRDefault="0080169B" w:rsidP="0080169B">
            <w:pPr>
              <w:spacing w:after="120"/>
            </w:pPr>
            <w:r>
              <w:t>MSAC confirmed its previously supported changes to the MBS would allow genetic testing for patients with newly diagnosed advanced, high-grade/fast growing cancer to help decide whether they are in the group of people who might derive greater clinical benefit from olaparib.</w:t>
            </w:r>
          </w:p>
        </w:tc>
      </w:tr>
    </w:tbl>
    <w:p w14:paraId="7896FFDF" w14:textId="12A592F6" w:rsidR="00550354" w:rsidRPr="00F715D1" w:rsidRDefault="00550354" w:rsidP="00F715D1">
      <w:pPr>
        <w:pStyle w:val="Heading1"/>
      </w:pPr>
      <w:r w:rsidRPr="00F715D1">
        <w:lastRenderedPageBreak/>
        <w:t xml:space="preserve">Summary of consideration </w:t>
      </w:r>
      <w:r w:rsidR="006E1020">
        <w:t>and rationale for MSAC’s advice</w:t>
      </w:r>
    </w:p>
    <w:p w14:paraId="2F3500DB" w14:textId="689C4E39" w:rsidR="00057592" w:rsidRDefault="00057592" w:rsidP="00057592">
      <w:r>
        <w:t>MSAC noted that t</w:t>
      </w:r>
      <w:r w:rsidRPr="00A54FE6">
        <w:t xml:space="preserve">he </w:t>
      </w:r>
      <w:r w:rsidR="006E1020">
        <w:t xml:space="preserve">July 2020 </w:t>
      </w:r>
      <w:r w:rsidRPr="00A54FE6">
        <w:t xml:space="preserve">PBAC </w:t>
      </w:r>
      <w:r w:rsidR="006E1020">
        <w:t xml:space="preserve">meeting </w:t>
      </w:r>
      <w:r w:rsidRPr="00A54FE6">
        <w:t xml:space="preserve">recommended olaparib for newly diagnosed advanced </w:t>
      </w:r>
      <w:r w:rsidRPr="00A54FE6">
        <w:rPr>
          <w:i/>
          <w:iCs/>
        </w:rPr>
        <w:t>BRCA</w:t>
      </w:r>
      <w:r w:rsidRPr="00A54FE6">
        <w:t xml:space="preserve">-mutated high-grade epithelial ovarian, fallopian tube or primary peritoneal cancer </w:t>
      </w:r>
      <w:r>
        <w:t xml:space="preserve">for patients </w:t>
      </w:r>
      <w:r w:rsidRPr="00A54FE6">
        <w:t>who are in response to first</w:t>
      </w:r>
      <w:r>
        <w:t>-</w:t>
      </w:r>
      <w:r w:rsidRPr="00A54FE6">
        <w:t>line platinum-based chemotherapy.</w:t>
      </w:r>
      <w:r>
        <w:t xml:space="preserve"> The PBAC recommendation </w:t>
      </w:r>
      <w:r w:rsidR="006E1020">
        <w:t xml:space="preserve">also relies on </w:t>
      </w:r>
      <w:r>
        <w:t>p</w:t>
      </w:r>
      <w:r w:rsidRPr="00A54FE6">
        <w:t xml:space="preserve">roposed amendments to </w:t>
      </w:r>
      <w:r>
        <w:t xml:space="preserve">MBS item </w:t>
      </w:r>
      <w:r w:rsidRPr="00A54FE6">
        <w:t>73295, and new</w:t>
      </w:r>
      <w:r>
        <w:t xml:space="preserve"> MBS</w:t>
      </w:r>
      <w:r w:rsidRPr="00A54FE6">
        <w:t xml:space="preserve"> items 73301</w:t>
      </w:r>
      <w:r>
        <w:t xml:space="preserve"> and</w:t>
      </w:r>
      <w:r w:rsidRPr="00A54FE6">
        <w:t xml:space="preserve"> 73302</w:t>
      </w:r>
      <w:r>
        <w:t>.</w:t>
      </w:r>
    </w:p>
    <w:p w14:paraId="23070FE8" w14:textId="4E575F37" w:rsidR="00057592" w:rsidRDefault="00057592" w:rsidP="0080169B">
      <w:pPr>
        <w:spacing w:before="240"/>
      </w:pPr>
      <w:r>
        <w:t>MSAC noted</w:t>
      </w:r>
      <w:r w:rsidRPr="0099407C">
        <w:t xml:space="preserve"> that amendments to MBS item 73295 and two new MBS items (73301 and 73302) resulting from MSAC’s November 2019 consideration of Application 1554 will be implemented on 1 August 2020</w:t>
      </w:r>
      <w:r>
        <w:t>.</w:t>
      </w:r>
    </w:p>
    <w:p w14:paraId="38EB54F6" w14:textId="5B176C52" w:rsidR="00057592" w:rsidRDefault="00057592" w:rsidP="0080169B">
      <w:pPr>
        <w:spacing w:before="240"/>
      </w:pPr>
      <w:r>
        <w:t xml:space="preserve">MSAC confirmed the proposed item descriptors were </w:t>
      </w:r>
      <w:r w:rsidR="006E1020">
        <w:t xml:space="preserve">also </w:t>
      </w:r>
      <w:r>
        <w:t xml:space="preserve">suitable to accommodate </w:t>
      </w:r>
      <w:r w:rsidRPr="0099407C">
        <w:rPr>
          <w:i/>
          <w:iCs/>
        </w:rPr>
        <w:t>BRCA</w:t>
      </w:r>
      <w:r>
        <w:t xml:space="preserve"> testing for the first-line patient population.</w:t>
      </w:r>
    </w:p>
    <w:p w14:paraId="228806D8" w14:textId="032D6DBD" w:rsidR="00057592" w:rsidRPr="00DC405B" w:rsidRDefault="00057592" w:rsidP="0080169B">
      <w:pPr>
        <w:spacing w:before="240"/>
      </w:pPr>
      <w:r w:rsidRPr="00DC405B">
        <w:t xml:space="preserve">MSAC noted the utilisation estimates and impacts on the MBS presented by the applicant for testing and treatment of patients in the first-line setting. The applicant predicted a decrease in services for existing germline </w:t>
      </w:r>
      <w:r w:rsidRPr="00DC405B">
        <w:rPr>
          <w:i/>
          <w:iCs/>
        </w:rPr>
        <w:t>BRCA</w:t>
      </w:r>
      <w:r w:rsidRPr="00DC405B">
        <w:t xml:space="preserve"> testing items such as 73295 and 73296, when tumour testing is made available on 1 August 2020. The applicant predicted that extending eligibility for olaparib to newly diagnosed patients will result in increased utilisation of the new tumour testing item 73301, with estimated utilisation of </w:t>
      </w:r>
      <w:r w:rsidR="005D6125" w:rsidRPr="005D6125">
        <w:rPr>
          <w:b/>
        </w:rPr>
        <w:t>redacted</w:t>
      </w:r>
      <w:r w:rsidR="005D6125" w:rsidRPr="00DC405B">
        <w:t xml:space="preserve"> </w:t>
      </w:r>
      <w:r w:rsidRPr="00DC405B">
        <w:t xml:space="preserve">patients in year 1. MSAC considered these estimates </w:t>
      </w:r>
      <w:r>
        <w:t>to be</w:t>
      </w:r>
      <w:r w:rsidRPr="00DC405B">
        <w:t xml:space="preserve"> </w:t>
      </w:r>
      <w:r>
        <w:t>acceptable</w:t>
      </w:r>
      <w:r w:rsidRPr="00DC405B">
        <w:t>.</w:t>
      </w:r>
    </w:p>
    <w:p w14:paraId="68210CF6" w14:textId="77777777" w:rsidR="00BC1364" w:rsidRPr="00F715D1" w:rsidRDefault="00BC1364" w:rsidP="00F715D1">
      <w:pPr>
        <w:pStyle w:val="Heading1"/>
      </w:pPr>
      <w:r w:rsidRPr="00F715D1">
        <w:t>Background</w:t>
      </w:r>
    </w:p>
    <w:p w14:paraId="7DEAF292" w14:textId="2E0B9041" w:rsidR="00EA65A0" w:rsidRDefault="00851E29" w:rsidP="00851E29">
      <w:r>
        <w:t>At its November 2019 meeting, MSAC</w:t>
      </w:r>
      <w:bookmarkStart w:id="1" w:name="Editing"/>
      <w:bookmarkEnd w:id="1"/>
      <w:r>
        <w:t xml:space="preserve"> </w:t>
      </w:r>
      <w:r w:rsidRPr="00CD1C57">
        <w:t xml:space="preserve">supported the modification of existing MBS item 73295 and the creation of two new MBS items to fund somatic </w:t>
      </w:r>
      <w:r w:rsidRPr="00CD1C57">
        <w:rPr>
          <w:i/>
        </w:rPr>
        <w:t>BRCA</w:t>
      </w:r>
      <w:r w:rsidRPr="00CD1C57">
        <w:t xml:space="preserve"> testing to help identify additional patients as eligible for PBS-subsidised olaparib beyond its e</w:t>
      </w:r>
      <w:r>
        <w:t>xisting second-line restriction (</w:t>
      </w:r>
      <w:hyperlink r:id="rId9" w:history="1">
        <w:r w:rsidRPr="00347CDB">
          <w:rPr>
            <w:rStyle w:val="Hyperlink"/>
          </w:rPr>
          <w:t>MSAC Application 1554</w:t>
        </w:r>
        <w:r w:rsidR="00347CDB" w:rsidRPr="00347CDB">
          <w:rPr>
            <w:rStyle w:val="Hyperlink"/>
          </w:rPr>
          <w:t xml:space="preserve"> Public Summary Document [PSD] 2019</w:t>
        </w:r>
      </w:hyperlink>
      <w:r w:rsidR="00347CDB">
        <w:t>, p1)</w:t>
      </w:r>
      <w:r w:rsidR="00BA2406">
        <w:t>.</w:t>
      </w:r>
    </w:p>
    <w:p w14:paraId="3968CBB1" w14:textId="590A0689" w:rsidR="00EA65A0" w:rsidRPr="00310F37" w:rsidRDefault="00EA65A0" w:rsidP="0080169B">
      <w:pPr>
        <w:pStyle w:val="MSACESParagraph"/>
        <w:spacing w:before="240"/>
        <w:rPr>
          <w:color w:val="222222"/>
          <w:szCs w:val="24"/>
        </w:rPr>
      </w:pPr>
      <w:r w:rsidRPr="00736734">
        <w:rPr>
          <w:color w:val="222222"/>
          <w:szCs w:val="24"/>
        </w:rPr>
        <w:t xml:space="preserve">Germline </w:t>
      </w:r>
      <w:r w:rsidRPr="00675B50">
        <w:rPr>
          <w:i/>
          <w:color w:val="222222"/>
          <w:szCs w:val="24"/>
        </w:rPr>
        <w:t>BRCA1</w:t>
      </w:r>
      <w:r w:rsidRPr="00736734">
        <w:rPr>
          <w:color w:val="222222"/>
          <w:szCs w:val="24"/>
        </w:rPr>
        <w:t xml:space="preserve"> or </w:t>
      </w:r>
      <w:r w:rsidRPr="00675B50">
        <w:rPr>
          <w:i/>
          <w:color w:val="222222"/>
          <w:szCs w:val="24"/>
        </w:rPr>
        <w:t>BRCA</w:t>
      </w:r>
      <w:r>
        <w:rPr>
          <w:i/>
          <w:color w:val="222222"/>
          <w:szCs w:val="24"/>
        </w:rPr>
        <w:t>2</w:t>
      </w:r>
      <w:r w:rsidRPr="00736734">
        <w:rPr>
          <w:color w:val="222222"/>
          <w:szCs w:val="24"/>
        </w:rPr>
        <w:t xml:space="preserve"> testing to determine eligibility for olaparib maintenance therapy in patients with platinum sensitive, relapsed HGSOC was listed on the MBS (</w:t>
      </w:r>
      <w:r w:rsidR="006E1020">
        <w:rPr>
          <w:color w:val="222222"/>
          <w:szCs w:val="24"/>
        </w:rPr>
        <w:t>MBS i</w:t>
      </w:r>
      <w:r w:rsidRPr="00736734">
        <w:rPr>
          <w:color w:val="222222"/>
          <w:szCs w:val="24"/>
        </w:rPr>
        <w:t xml:space="preserve">tem 73295) </w:t>
      </w:r>
      <w:r>
        <w:rPr>
          <w:color w:val="222222"/>
          <w:szCs w:val="24"/>
        </w:rPr>
        <w:t xml:space="preserve">alongside </w:t>
      </w:r>
      <w:r w:rsidRPr="00736734">
        <w:rPr>
          <w:color w:val="222222"/>
          <w:szCs w:val="24"/>
        </w:rPr>
        <w:t xml:space="preserve">PBS </w:t>
      </w:r>
      <w:r>
        <w:rPr>
          <w:color w:val="222222"/>
          <w:szCs w:val="24"/>
        </w:rPr>
        <w:t xml:space="preserve">listings for olaparib </w:t>
      </w:r>
      <w:r w:rsidRPr="00736734">
        <w:rPr>
          <w:color w:val="222222"/>
          <w:szCs w:val="24"/>
        </w:rPr>
        <w:t>(</w:t>
      </w:r>
      <w:r w:rsidR="006E1020">
        <w:rPr>
          <w:color w:val="222222"/>
          <w:szCs w:val="24"/>
        </w:rPr>
        <w:t>PBS i</w:t>
      </w:r>
      <w:r w:rsidRPr="00736734">
        <w:rPr>
          <w:color w:val="222222"/>
          <w:szCs w:val="24"/>
        </w:rPr>
        <w:t>tems 11034R an</w:t>
      </w:r>
      <w:r w:rsidR="00BD71BF">
        <w:rPr>
          <w:color w:val="222222"/>
          <w:szCs w:val="24"/>
        </w:rPr>
        <w:t>d 11050N) since 1 February </w:t>
      </w:r>
      <w:r>
        <w:rPr>
          <w:color w:val="222222"/>
          <w:szCs w:val="24"/>
        </w:rPr>
        <w:t xml:space="preserve">2017. </w:t>
      </w:r>
      <w:r w:rsidRPr="00736734">
        <w:rPr>
          <w:color w:val="222222"/>
          <w:szCs w:val="24"/>
        </w:rPr>
        <w:t xml:space="preserve">Subsequently, germline gene mutation testing, including </w:t>
      </w:r>
      <w:r w:rsidRPr="00675B50">
        <w:rPr>
          <w:i/>
          <w:color w:val="222222"/>
          <w:szCs w:val="24"/>
        </w:rPr>
        <w:t>BRCA1</w:t>
      </w:r>
      <w:r w:rsidRPr="00736734">
        <w:rPr>
          <w:color w:val="222222"/>
          <w:szCs w:val="24"/>
        </w:rPr>
        <w:t xml:space="preserve"> and </w:t>
      </w:r>
      <w:r w:rsidRPr="00675B50">
        <w:rPr>
          <w:i/>
          <w:color w:val="222222"/>
          <w:szCs w:val="24"/>
        </w:rPr>
        <w:t>BRCA</w:t>
      </w:r>
      <w:r>
        <w:rPr>
          <w:i/>
          <w:color w:val="222222"/>
          <w:szCs w:val="24"/>
        </w:rPr>
        <w:t>2</w:t>
      </w:r>
      <w:r w:rsidRPr="00736734">
        <w:rPr>
          <w:color w:val="222222"/>
          <w:szCs w:val="24"/>
        </w:rPr>
        <w:t xml:space="preserve"> testing</w:t>
      </w:r>
      <w:r>
        <w:rPr>
          <w:color w:val="222222"/>
          <w:szCs w:val="24"/>
        </w:rPr>
        <w:t>,</w:t>
      </w:r>
      <w:r w:rsidRPr="00736734">
        <w:rPr>
          <w:color w:val="222222"/>
          <w:szCs w:val="24"/>
        </w:rPr>
        <w:t xml:space="preserve"> at diagnosis of ovarian </w:t>
      </w:r>
      <w:r w:rsidRPr="00A52284">
        <w:rPr>
          <w:rFonts w:cs="Times New Roman"/>
        </w:rPr>
        <w:t>cancer</w:t>
      </w:r>
      <w:r w:rsidRPr="00736734">
        <w:rPr>
          <w:color w:val="222222"/>
          <w:szCs w:val="24"/>
        </w:rPr>
        <w:t xml:space="preserve"> in patients at &gt;10% risk of having a pathogenic gene mutation</w:t>
      </w:r>
      <w:r>
        <w:rPr>
          <w:color w:val="222222"/>
          <w:szCs w:val="24"/>
        </w:rPr>
        <w:t>,</w:t>
      </w:r>
      <w:r w:rsidRPr="00736734">
        <w:rPr>
          <w:color w:val="222222"/>
          <w:szCs w:val="24"/>
        </w:rPr>
        <w:t xml:space="preserve"> became available on the MBS f</w:t>
      </w:r>
      <w:r>
        <w:rPr>
          <w:color w:val="222222"/>
          <w:szCs w:val="24"/>
        </w:rPr>
        <w:t xml:space="preserve">rom </w:t>
      </w:r>
      <w:r w:rsidR="00BD71BF">
        <w:rPr>
          <w:color w:val="222222"/>
          <w:szCs w:val="24"/>
        </w:rPr>
        <w:t>1 </w:t>
      </w:r>
      <w:r>
        <w:rPr>
          <w:color w:val="222222"/>
          <w:szCs w:val="24"/>
        </w:rPr>
        <w:t>November</w:t>
      </w:r>
      <w:r w:rsidR="00BD71BF">
        <w:rPr>
          <w:color w:val="222222"/>
          <w:szCs w:val="24"/>
        </w:rPr>
        <w:t> 2</w:t>
      </w:r>
      <w:r>
        <w:rPr>
          <w:color w:val="222222"/>
          <w:szCs w:val="24"/>
        </w:rPr>
        <w:t>017 (</w:t>
      </w:r>
      <w:r w:rsidR="00BD71BF">
        <w:rPr>
          <w:color w:val="222222"/>
          <w:szCs w:val="24"/>
        </w:rPr>
        <w:t>MBS i</w:t>
      </w:r>
      <w:r>
        <w:rPr>
          <w:color w:val="222222"/>
          <w:szCs w:val="24"/>
        </w:rPr>
        <w:t>tem 73296).</w:t>
      </w:r>
    </w:p>
    <w:p w14:paraId="045B1A80" w14:textId="77777777" w:rsidR="00BC1364" w:rsidRPr="00F715D1" w:rsidRDefault="00BC1364" w:rsidP="00F715D1">
      <w:pPr>
        <w:pStyle w:val="Heading1"/>
      </w:pPr>
      <w:r w:rsidRPr="00F715D1">
        <w:t>Prerequisites to implementation of any funding advice</w:t>
      </w:r>
    </w:p>
    <w:p w14:paraId="361441C5" w14:textId="77777777" w:rsidR="00BC1364" w:rsidRPr="0041184F" w:rsidRDefault="00BA2406" w:rsidP="00BA2406">
      <w:r>
        <w:t xml:space="preserve">This was unchanged; refer to </w:t>
      </w:r>
      <w:hyperlink r:id="rId10" w:history="1">
        <w:r w:rsidRPr="00BA2406">
          <w:rPr>
            <w:rStyle w:val="Hyperlink"/>
          </w:rPr>
          <w:t>MSAC Application 1554 PSD 2019</w:t>
        </w:r>
      </w:hyperlink>
      <w:r>
        <w:t>, pp6-7.</w:t>
      </w:r>
    </w:p>
    <w:p w14:paraId="422BEEEB" w14:textId="77777777" w:rsidR="00BC1364" w:rsidRPr="00F715D1" w:rsidRDefault="00BC1364" w:rsidP="00F715D1">
      <w:pPr>
        <w:pStyle w:val="Heading1"/>
      </w:pPr>
      <w:r w:rsidRPr="00F715D1">
        <w:t>Proposal for public funding</w:t>
      </w:r>
    </w:p>
    <w:p w14:paraId="5027C91F" w14:textId="23859754" w:rsidR="00BD71BF" w:rsidRPr="0041184F" w:rsidRDefault="00BA2406" w:rsidP="00BD71BF">
      <w:pPr>
        <w:pStyle w:val="MSACESParagraph"/>
      </w:pPr>
      <w:r>
        <w:t xml:space="preserve">The application proposed a minor amendment to the MBS item descriptor </w:t>
      </w:r>
      <w:r w:rsidR="00BD71BF">
        <w:t xml:space="preserve">for item </w:t>
      </w:r>
      <w:r>
        <w:t>73295 (</w:t>
      </w:r>
      <w:r w:rsidR="0080169B">
        <w:fldChar w:fldCharType="begin"/>
      </w:r>
      <w:r w:rsidR="0080169B">
        <w:instrText xml:space="preserve"> REF _Ref49951428 \h </w:instrText>
      </w:r>
      <w:r w:rsidR="0080169B">
        <w:fldChar w:fldCharType="separate"/>
      </w:r>
      <w:r w:rsidR="0080169B">
        <w:t xml:space="preserve">Table </w:t>
      </w:r>
      <w:r w:rsidR="0080169B">
        <w:rPr>
          <w:noProof/>
        </w:rPr>
        <w:t>1</w:t>
      </w:r>
      <w:r w:rsidR="0080169B">
        <w:fldChar w:fldCharType="end"/>
      </w:r>
      <w:r>
        <w:t xml:space="preserve">). The applicant considered that the proposed wording to the descriptor was revised for consistency </w:t>
      </w:r>
      <w:r w:rsidRPr="00BD71BF">
        <w:rPr>
          <w:color w:val="222222"/>
          <w:szCs w:val="24"/>
        </w:rPr>
        <w:t>and</w:t>
      </w:r>
      <w:r>
        <w:t xml:space="preserve"> aligned with the existing MBS item numbers: 73295, 73296, 73297. Th</w:t>
      </w:r>
      <w:r w:rsidR="00BD71BF">
        <w:t xml:space="preserve">e </w:t>
      </w:r>
      <w:r w:rsidR="00BD71BF" w:rsidRPr="00BD71BF">
        <w:rPr>
          <w:color w:val="222222"/>
          <w:szCs w:val="24"/>
        </w:rPr>
        <w:t>applicant</w:t>
      </w:r>
      <w:r w:rsidR="00BD71BF">
        <w:t xml:space="preserve"> also noted that, in </w:t>
      </w:r>
      <w:r>
        <w:t xml:space="preserve">MBS item YYYYY, reference to MBS item XXXXX </w:t>
      </w:r>
      <w:r w:rsidR="00BD71BF">
        <w:t>w</w:t>
      </w:r>
      <w:r>
        <w:t xml:space="preserve">as removed. The applicant’s reason </w:t>
      </w:r>
      <w:r w:rsidR="00BD71BF">
        <w:t>was</w:t>
      </w:r>
      <w:r>
        <w:t xml:space="preserve"> that patients currently with a positive tumour </w:t>
      </w:r>
      <w:r w:rsidRPr="00BA2406">
        <w:rPr>
          <w:i/>
        </w:rPr>
        <w:t>BRCA</w:t>
      </w:r>
      <w:r>
        <w:t xml:space="preserve"> test are eligible for this future service.</w:t>
      </w:r>
    </w:p>
    <w:p w14:paraId="0D431ED9" w14:textId="4BB10E95" w:rsidR="00BD71BF" w:rsidRDefault="0080169B" w:rsidP="0080169B">
      <w:pPr>
        <w:pStyle w:val="Caption"/>
      </w:pPr>
      <w:bookmarkStart w:id="2" w:name="_Ref49951428"/>
      <w:r>
        <w:t xml:space="preserve">Table </w:t>
      </w:r>
      <w:r w:rsidR="00214F1A">
        <w:fldChar w:fldCharType="begin"/>
      </w:r>
      <w:r w:rsidR="00214F1A">
        <w:instrText xml:space="preserve"> SEQ Table \* ARABIC </w:instrText>
      </w:r>
      <w:r w:rsidR="00214F1A">
        <w:fldChar w:fldCharType="separate"/>
      </w:r>
      <w:r>
        <w:rPr>
          <w:noProof/>
        </w:rPr>
        <w:t>1</w:t>
      </w:r>
      <w:r w:rsidR="00214F1A">
        <w:rPr>
          <w:noProof/>
        </w:rPr>
        <w:fldChar w:fldCharType="end"/>
      </w:r>
      <w:bookmarkEnd w:id="2"/>
      <w:r w:rsidR="005E601D">
        <w:tab/>
        <w:t>Applicant’s proposed draft MBS item descriptors</w:t>
      </w:r>
    </w:p>
    <w:tbl>
      <w:tblPr>
        <w:tblStyle w:val="TableGrid"/>
        <w:tblW w:w="5000" w:type="pct"/>
        <w:tblLook w:val="04A0" w:firstRow="1" w:lastRow="0" w:firstColumn="1" w:lastColumn="0" w:noHBand="0" w:noVBand="1"/>
        <w:tblDescription w:val="Applicant’s proposed draft MBS item descriptors"/>
      </w:tblPr>
      <w:tblGrid>
        <w:gridCol w:w="4672"/>
        <w:gridCol w:w="4344"/>
      </w:tblGrid>
      <w:tr w:rsidR="005E601D" w:rsidRPr="005E601D" w14:paraId="3EF230A5" w14:textId="77777777" w:rsidTr="000B3CE8">
        <w:trPr>
          <w:tblHeader/>
        </w:trPr>
        <w:tc>
          <w:tcPr>
            <w:tcW w:w="5000" w:type="pct"/>
            <w:gridSpan w:val="2"/>
          </w:tcPr>
          <w:p w14:paraId="0161CD55" w14:textId="2596DA1E" w:rsidR="00BD71BF" w:rsidRPr="0080169B" w:rsidRDefault="005E601D" w:rsidP="0080169B">
            <w:pPr>
              <w:pStyle w:val="TableText"/>
              <w:keepNext w:val="0"/>
              <w:widowControl w:val="0"/>
              <w:spacing w:before="0" w:after="240" w:line="276" w:lineRule="auto"/>
              <w:rPr>
                <w:rFonts w:ascii="Arial Narrow" w:hAnsi="Arial Narrow"/>
                <w:sz w:val="20"/>
              </w:rPr>
            </w:pPr>
            <w:r w:rsidRPr="005E601D">
              <w:rPr>
                <w:rFonts w:ascii="Arial Narrow" w:hAnsi="Arial Narrow"/>
                <w:sz w:val="20"/>
              </w:rPr>
              <w:t>MBS item 73295</w:t>
            </w:r>
          </w:p>
          <w:p w14:paraId="6F6A63DA" w14:textId="3E8512AC" w:rsidR="005E601D" w:rsidRPr="0080169B" w:rsidRDefault="005E601D" w:rsidP="0080169B">
            <w:pPr>
              <w:pStyle w:val="TableText"/>
              <w:keepNext w:val="0"/>
              <w:widowControl w:val="0"/>
              <w:spacing w:before="0" w:after="240" w:line="276" w:lineRule="auto"/>
              <w:rPr>
                <w:rFonts w:ascii="Arial Narrow" w:hAnsi="Arial Narrow"/>
                <w:color w:val="auto"/>
                <w:sz w:val="20"/>
              </w:rPr>
            </w:pPr>
            <w:r w:rsidRPr="005E601D">
              <w:rPr>
                <w:rFonts w:ascii="Arial Narrow" w:hAnsi="Arial Narrow"/>
                <w:color w:val="auto"/>
                <w:sz w:val="20"/>
              </w:rPr>
              <w:t>Detection of germline</w:t>
            </w:r>
            <w:r w:rsidRPr="005E601D">
              <w:rPr>
                <w:rFonts w:ascii="Arial Narrow" w:hAnsi="Arial Narrow"/>
                <w:i/>
                <w:color w:val="auto"/>
                <w:sz w:val="20"/>
              </w:rPr>
              <w:t xml:space="preserve"> BRCA1 </w:t>
            </w:r>
            <w:r w:rsidRPr="005E601D">
              <w:rPr>
                <w:rFonts w:ascii="Arial Narrow" w:hAnsi="Arial Narrow"/>
                <w:color w:val="auto"/>
                <w:sz w:val="20"/>
              </w:rPr>
              <w:t xml:space="preserve">or </w:t>
            </w:r>
            <w:r w:rsidRPr="005E601D">
              <w:rPr>
                <w:rFonts w:ascii="Arial Narrow" w:hAnsi="Arial Narrow"/>
                <w:i/>
                <w:color w:val="auto"/>
                <w:sz w:val="20"/>
              </w:rPr>
              <w:t>BRCA2</w:t>
            </w:r>
            <w:r w:rsidRPr="005E601D">
              <w:rPr>
                <w:rFonts w:ascii="Arial Narrow" w:hAnsi="Arial Narrow"/>
                <w:color w:val="auto"/>
                <w:sz w:val="20"/>
              </w:rPr>
              <w:t xml:space="preserve"> gene mutations, in a patient with advanced (FIGO III-IV) high-grade serous or high-grade epithelial ovarian, fallopian tube or primary peritoneal cancer for whom testing of tumour tissue is not feasible, requested by a specialist or consultant physician, to determine eligibility for olaparib under the Pharmaceutical Benefits Scheme (PBS).</w:t>
            </w:r>
          </w:p>
          <w:p w14:paraId="21A8F7C7" w14:textId="056BC3FF" w:rsidR="005E601D" w:rsidRPr="005E601D" w:rsidRDefault="00BD71BF" w:rsidP="0080169B">
            <w:pPr>
              <w:pStyle w:val="TableText"/>
              <w:keepNext w:val="0"/>
              <w:widowControl w:val="0"/>
              <w:spacing w:before="0" w:after="240" w:line="276" w:lineRule="auto"/>
              <w:rPr>
                <w:rFonts w:ascii="Arial Narrow" w:hAnsi="Arial Narrow"/>
                <w:sz w:val="20"/>
              </w:rPr>
            </w:pPr>
            <w:r>
              <w:rPr>
                <w:rFonts w:ascii="Arial Narrow" w:hAnsi="Arial Narrow"/>
                <w:sz w:val="20"/>
              </w:rPr>
              <w:t>Maximum one test per lifetime</w:t>
            </w:r>
          </w:p>
          <w:p w14:paraId="6A364496" w14:textId="77777777" w:rsidR="005E601D" w:rsidRPr="005E601D" w:rsidRDefault="005E601D" w:rsidP="005E601D">
            <w:pPr>
              <w:pStyle w:val="TableText"/>
              <w:keepNext w:val="0"/>
              <w:widowControl w:val="0"/>
              <w:spacing w:before="33" w:after="33" w:line="276" w:lineRule="auto"/>
              <w:rPr>
                <w:rFonts w:ascii="Arial Narrow" w:hAnsi="Arial Narrow"/>
                <w:sz w:val="20"/>
              </w:rPr>
            </w:pPr>
            <w:r w:rsidRPr="005E601D">
              <w:rPr>
                <w:rFonts w:ascii="Arial Narrow" w:hAnsi="Arial Narrow"/>
                <w:sz w:val="20"/>
              </w:rPr>
              <w:t xml:space="preserve">Fee: $1200.00 </w:t>
            </w:r>
          </w:p>
        </w:tc>
      </w:tr>
      <w:tr w:rsidR="005E601D" w:rsidRPr="005E601D" w14:paraId="35811D67" w14:textId="77777777" w:rsidTr="000B3CE8">
        <w:tc>
          <w:tcPr>
            <w:tcW w:w="2591" w:type="pct"/>
            <w:hideMark/>
          </w:tcPr>
          <w:p w14:paraId="6FD95A6C" w14:textId="32D66686" w:rsidR="005E601D" w:rsidRPr="005E601D" w:rsidRDefault="005E601D" w:rsidP="0080169B">
            <w:pPr>
              <w:pStyle w:val="TableText"/>
              <w:widowControl w:val="0"/>
              <w:spacing w:before="33" w:after="240" w:line="276" w:lineRule="auto"/>
              <w:rPr>
                <w:rFonts w:ascii="Arial Narrow" w:hAnsi="Arial Narrow"/>
                <w:sz w:val="20"/>
              </w:rPr>
            </w:pPr>
            <w:r w:rsidRPr="005E601D">
              <w:rPr>
                <w:rFonts w:ascii="Arial Narrow" w:hAnsi="Arial Narrow"/>
                <w:sz w:val="20"/>
              </w:rPr>
              <w:t>MBS item XXXXX</w:t>
            </w:r>
          </w:p>
        </w:tc>
        <w:tc>
          <w:tcPr>
            <w:tcW w:w="2409" w:type="pct"/>
            <w:hideMark/>
          </w:tcPr>
          <w:p w14:paraId="006ECB7D" w14:textId="77777777" w:rsidR="005E601D" w:rsidRPr="005E601D" w:rsidRDefault="005E601D" w:rsidP="005E601D">
            <w:pPr>
              <w:pStyle w:val="TableText"/>
              <w:widowControl w:val="0"/>
              <w:spacing w:before="33" w:after="33" w:line="276" w:lineRule="auto"/>
              <w:jc w:val="right"/>
              <w:rPr>
                <w:rFonts w:ascii="Arial Narrow" w:hAnsi="Arial Narrow"/>
                <w:sz w:val="20"/>
              </w:rPr>
            </w:pPr>
            <w:r w:rsidRPr="005E601D">
              <w:rPr>
                <w:rFonts w:ascii="Arial Narrow" w:hAnsi="Arial Narrow"/>
                <w:sz w:val="20"/>
              </w:rPr>
              <w:t>Group P7 – Genetics</w:t>
            </w:r>
          </w:p>
        </w:tc>
      </w:tr>
      <w:tr w:rsidR="005E601D" w:rsidRPr="005E601D" w14:paraId="45F388F7" w14:textId="77777777" w:rsidTr="000B3CE8">
        <w:tc>
          <w:tcPr>
            <w:tcW w:w="5000" w:type="pct"/>
            <w:gridSpan w:val="2"/>
          </w:tcPr>
          <w:p w14:paraId="1DFC36A0" w14:textId="7B489371" w:rsidR="005E601D" w:rsidRPr="005E601D" w:rsidRDefault="005E601D" w:rsidP="005E601D">
            <w:pPr>
              <w:pStyle w:val="TableText"/>
              <w:keepNext w:val="0"/>
              <w:widowControl w:val="0"/>
              <w:spacing w:before="33" w:after="33" w:line="276" w:lineRule="auto"/>
              <w:rPr>
                <w:rFonts w:ascii="Arial Narrow" w:hAnsi="Arial Narrow"/>
                <w:sz w:val="20"/>
              </w:rPr>
            </w:pPr>
            <w:r w:rsidRPr="005E601D">
              <w:rPr>
                <w:rFonts w:ascii="Arial Narrow" w:hAnsi="Arial Narrow"/>
                <w:sz w:val="20"/>
              </w:rPr>
              <w:t xml:space="preserve">A test of tumour tissue in a patient with </w:t>
            </w:r>
            <w:r w:rsidRPr="005E601D">
              <w:rPr>
                <w:rFonts w:ascii="Arial Narrow" w:hAnsi="Arial Narrow"/>
                <w:color w:val="auto"/>
                <w:sz w:val="20"/>
              </w:rPr>
              <w:t>advanced (FIGO III-IV)</w:t>
            </w:r>
            <w:r w:rsidRPr="005E601D">
              <w:rPr>
                <w:rFonts w:ascii="Arial Narrow" w:hAnsi="Arial Narrow"/>
                <w:sz w:val="20"/>
              </w:rPr>
              <w:t xml:space="preserve"> high grade serous or high grade epithelial ovarian, fallopian tube or primary peritoneal cancer requested by a specialist or consultant physician, to determine eligibility relating to </w:t>
            </w:r>
            <w:r w:rsidRPr="005E601D">
              <w:rPr>
                <w:rFonts w:ascii="Arial Narrow" w:hAnsi="Arial Narrow"/>
                <w:i/>
                <w:sz w:val="20"/>
              </w:rPr>
              <w:t>BRCA1 BRCA2</w:t>
            </w:r>
            <w:r w:rsidRPr="005E601D">
              <w:rPr>
                <w:rFonts w:ascii="Arial Narrow" w:hAnsi="Arial Narrow"/>
                <w:sz w:val="20"/>
              </w:rPr>
              <w:t xml:space="preserve"> mutation status for access to olaparib under the Pharmaceutical Benefits Scheme (PBS).</w:t>
            </w:r>
          </w:p>
          <w:p w14:paraId="73FD4E1D" w14:textId="1B0F124C" w:rsidR="005E601D" w:rsidRPr="005E601D" w:rsidRDefault="005E601D" w:rsidP="0080169B">
            <w:pPr>
              <w:pStyle w:val="TableText"/>
              <w:keepNext w:val="0"/>
              <w:widowControl w:val="0"/>
              <w:spacing w:before="240" w:after="240" w:line="276" w:lineRule="auto"/>
              <w:rPr>
                <w:rFonts w:ascii="Arial Narrow" w:hAnsi="Arial Narrow"/>
                <w:sz w:val="20"/>
              </w:rPr>
            </w:pPr>
            <w:r w:rsidRPr="005E601D">
              <w:rPr>
                <w:rFonts w:ascii="Arial Narrow" w:hAnsi="Arial Narrow"/>
                <w:sz w:val="20"/>
              </w:rPr>
              <w:t>Once per primary tumour diagnosis</w:t>
            </w:r>
          </w:p>
          <w:p w14:paraId="57AA93C3" w14:textId="77777777" w:rsidR="005E601D" w:rsidRPr="005E601D" w:rsidRDefault="005E601D" w:rsidP="005E601D">
            <w:pPr>
              <w:pStyle w:val="TableText"/>
              <w:keepNext w:val="0"/>
              <w:widowControl w:val="0"/>
              <w:spacing w:before="33" w:after="33" w:line="276" w:lineRule="auto"/>
              <w:rPr>
                <w:rFonts w:ascii="Arial Narrow" w:hAnsi="Arial Narrow"/>
                <w:sz w:val="20"/>
              </w:rPr>
            </w:pPr>
            <w:r w:rsidRPr="005E601D">
              <w:rPr>
                <w:rFonts w:ascii="Arial Narrow" w:hAnsi="Arial Narrow"/>
                <w:sz w:val="20"/>
              </w:rPr>
              <w:t xml:space="preserve">Fee: $1200.00 </w:t>
            </w:r>
          </w:p>
        </w:tc>
      </w:tr>
      <w:tr w:rsidR="005E601D" w:rsidRPr="005E601D" w14:paraId="00E0B415" w14:textId="77777777" w:rsidTr="000B3CE8">
        <w:tc>
          <w:tcPr>
            <w:tcW w:w="2591" w:type="pct"/>
            <w:hideMark/>
          </w:tcPr>
          <w:p w14:paraId="7E38755C" w14:textId="60F660AD" w:rsidR="005E601D" w:rsidRPr="005E601D" w:rsidRDefault="005E601D" w:rsidP="0080169B">
            <w:pPr>
              <w:pStyle w:val="TableText"/>
              <w:keepNext w:val="0"/>
              <w:widowControl w:val="0"/>
              <w:spacing w:before="33" w:after="240" w:line="276" w:lineRule="auto"/>
              <w:rPr>
                <w:rFonts w:ascii="Arial Narrow" w:hAnsi="Arial Narrow"/>
                <w:sz w:val="20"/>
              </w:rPr>
            </w:pPr>
            <w:bookmarkStart w:id="3" w:name="_Hlk43372906"/>
            <w:r w:rsidRPr="005E601D">
              <w:rPr>
                <w:rFonts w:ascii="Arial Narrow" w:hAnsi="Arial Narrow"/>
                <w:sz w:val="20"/>
              </w:rPr>
              <w:t>MBS item YYYYY</w:t>
            </w:r>
          </w:p>
        </w:tc>
        <w:tc>
          <w:tcPr>
            <w:tcW w:w="2409" w:type="pct"/>
            <w:hideMark/>
          </w:tcPr>
          <w:p w14:paraId="56FB4707" w14:textId="77777777" w:rsidR="005E601D" w:rsidRPr="005E601D" w:rsidRDefault="005E601D" w:rsidP="005E601D">
            <w:pPr>
              <w:pStyle w:val="TableText"/>
              <w:keepNext w:val="0"/>
              <w:widowControl w:val="0"/>
              <w:spacing w:before="33" w:after="33" w:line="276" w:lineRule="auto"/>
              <w:jc w:val="right"/>
              <w:rPr>
                <w:rFonts w:ascii="Arial Narrow" w:hAnsi="Arial Narrow"/>
                <w:sz w:val="20"/>
              </w:rPr>
            </w:pPr>
            <w:r w:rsidRPr="005E601D">
              <w:rPr>
                <w:rFonts w:ascii="Arial Narrow" w:hAnsi="Arial Narrow"/>
                <w:sz w:val="20"/>
              </w:rPr>
              <w:t>Group P7 – Genetics</w:t>
            </w:r>
          </w:p>
        </w:tc>
      </w:tr>
      <w:tr w:rsidR="005E601D" w:rsidRPr="005E601D" w14:paraId="5954EF66" w14:textId="77777777" w:rsidTr="000B3CE8">
        <w:tc>
          <w:tcPr>
            <w:tcW w:w="5000" w:type="pct"/>
            <w:gridSpan w:val="2"/>
          </w:tcPr>
          <w:p w14:paraId="2D3A10E3" w14:textId="21644C1B" w:rsidR="005E601D" w:rsidRPr="005E601D" w:rsidRDefault="005E601D" w:rsidP="005E601D">
            <w:pPr>
              <w:pStyle w:val="TableText"/>
              <w:keepNext w:val="0"/>
              <w:widowControl w:val="0"/>
              <w:spacing w:before="33" w:after="33" w:line="276" w:lineRule="auto"/>
              <w:rPr>
                <w:rFonts w:ascii="Arial Narrow" w:hAnsi="Arial Narrow"/>
                <w:sz w:val="20"/>
              </w:rPr>
            </w:pPr>
            <w:r w:rsidRPr="005E601D">
              <w:rPr>
                <w:rFonts w:ascii="Arial Narrow" w:hAnsi="Arial Narrow"/>
                <w:sz w:val="20"/>
              </w:rPr>
              <w:t xml:space="preserve">Characterisation of germline </w:t>
            </w:r>
            <w:r w:rsidRPr="005E601D">
              <w:rPr>
                <w:rFonts w:ascii="Arial Narrow" w:hAnsi="Arial Narrow"/>
                <w:i/>
                <w:sz w:val="20"/>
              </w:rPr>
              <w:t>BRCA1</w:t>
            </w:r>
            <w:r w:rsidRPr="005E601D">
              <w:rPr>
                <w:rFonts w:ascii="Arial Narrow" w:hAnsi="Arial Narrow"/>
                <w:sz w:val="20"/>
              </w:rPr>
              <w:t xml:space="preserve"> and </w:t>
            </w:r>
            <w:r w:rsidRPr="005E601D">
              <w:rPr>
                <w:rFonts w:ascii="Arial Narrow" w:hAnsi="Arial Narrow"/>
                <w:i/>
                <w:sz w:val="20"/>
              </w:rPr>
              <w:t>BRCA2</w:t>
            </w:r>
            <w:r w:rsidRPr="005E601D">
              <w:rPr>
                <w:rFonts w:ascii="Arial Narrow" w:hAnsi="Arial Narrow"/>
                <w:sz w:val="20"/>
              </w:rPr>
              <w:t xml:space="preserve"> gene mutations including copy number variants, as requested by a specialist or consultant physician in a patient who has had a pathogenic (Class 5) or likely pathogenic (Class 4) mutation identified by tumour </w:t>
            </w:r>
            <w:r w:rsidRPr="005E601D">
              <w:rPr>
                <w:rFonts w:ascii="Arial Narrow" w:hAnsi="Arial Narrow"/>
                <w:i/>
                <w:sz w:val="20"/>
              </w:rPr>
              <w:t xml:space="preserve">BRCA1 BRCA2 </w:t>
            </w:r>
            <w:r w:rsidRPr="005E601D">
              <w:rPr>
                <w:rFonts w:ascii="Arial Narrow" w:hAnsi="Arial Narrow"/>
                <w:iCs/>
                <w:sz w:val="20"/>
              </w:rPr>
              <w:t>testing</w:t>
            </w:r>
            <w:r w:rsidRPr="005E601D">
              <w:rPr>
                <w:rFonts w:ascii="Arial Narrow" w:hAnsi="Arial Narrow"/>
                <w:i/>
                <w:sz w:val="20"/>
              </w:rPr>
              <w:t xml:space="preserve"> </w:t>
            </w:r>
            <w:r w:rsidRPr="005E601D">
              <w:rPr>
                <w:rFonts w:ascii="Arial Narrow" w:hAnsi="Arial Narrow"/>
                <w:sz w:val="20"/>
              </w:rPr>
              <w:t>and has not previously received a service under item 73296.</w:t>
            </w:r>
          </w:p>
          <w:p w14:paraId="3CB9A334" w14:textId="4C964836" w:rsidR="005E601D" w:rsidRPr="005E601D" w:rsidRDefault="00BD71BF" w:rsidP="0080169B">
            <w:pPr>
              <w:pStyle w:val="TableText"/>
              <w:keepNext w:val="0"/>
              <w:widowControl w:val="0"/>
              <w:spacing w:before="240" w:after="240" w:line="276" w:lineRule="auto"/>
              <w:rPr>
                <w:rFonts w:ascii="Arial Narrow" w:hAnsi="Arial Narrow"/>
                <w:sz w:val="20"/>
              </w:rPr>
            </w:pPr>
            <w:r>
              <w:rPr>
                <w:rFonts w:ascii="Arial Narrow" w:hAnsi="Arial Narrow"/>
                <w:sz w:val="20"/>
              </w:rPr>
              <w:t>Maximum one test per lifetime</w:t>
            </w:r>
          </w:p>
          <w:p w14:paraId="38B6D6A3" w14:textId="77777777" w:rsidR="005E601D" w:rsidRPr="005E601D" w:rsidRDefault="005E601D" w:rsidP="005E601D">
            <w:pPr>
              <w:pStyle w:val="TableText"/>
              <w:keepNext w:val="0"/>
              <w:widowControl w:val="0"/>
              <w:spacing w:before="33" w:after="33" w:line="276" w:lineRule="auto"/>
              <w:rPr>
                <w:rFonts w:ascii="Arial Narrow" w:hAnsi="Arial Narrow"/>
                <w:sz w:val="20"/>
              </w:rPr>
            </w:pPr>
            <w:r w:rsidRPr="005E601D">
              <w:rPr>
                <w:rFonts w:ascii="Arial Narrow" w:hAnsi="Arial Narrow"/>
                <w:sz w:val="20"/>
              </w:rPr>
              <w:t xml:space="preserve">Fee: $400.00 </w:t>
            </w:r>
          </w:p>
        </w:tc>
      </w:tr>
      <w:bookmarkEnd w:id="3"/>
      <w:tr w:rsidR="005E601D" w:rsidRPr="005E601D" w14:paraId="1A2CBA47" w14:textId="77777777" w:rsidTr="000B3CE8">
        <w:tc>
          <w:tcPr>
            <w:tcW w:w="5000" w:type="pct"/>
            <w:gridSpan w:val="2"/>
            <w:hideMark/>
          </w:tcPr>
          <w:p w14:paraId="2A710122" w14:textId="77777777" w:rsidR="005E601D" w:rsidRPr="005E601D" w:rsidRDefault="005E601D" w:rsidP="005E601D">
            <w:pPr>
              <w:pStyle w:val="TableText"/>
              <w:keepNext w:val="0"/>
              <w:widowControl w:val="0"/>
              <w:spacing w:before="33" w:after="33" w:line="276" w:lineRule="auto"/>
              <w:rPr>
                <w:rFonts w:ascii="Arial Narrow" w:hAnsi="Arial Narrow"/>
                <w:sz w:val="20"/>
              </w:rPr>
            </w:pPr>
            <w:r w:rsidRPr="005E601D">
              <w:rPr>
                <w:rFonts w:ascii="Arial Narrow" w:hAnsi="Arial Narrow"/>
                <w:sz w:val="20"/>
              </w:rPr>
              <w:t>Explanatory notes</w:t>
            </w:r>
          </w:p>
          <w:p w14:paraId="4C455077" w14:textId="77777777" w:rsidR="005E601D" w:rsidRPr="005E601D" w:rsidRDefault="005E601D" w:rsidP="005E601D">
            <w:pPr>
              <w:pStyle w:val="TableText"/>
              <w:keepNext w:val="0"/>
              <w:widowControl w:val="0"/>
              <w:spacing w:before="33" w:after="33" w:line="276" w:lineRule="auto"/>
              <w:rPr>
                <w:rFonts w:ascii="Arial Narrow" w:hAnsi="Arial Narrow"/>
                <w:sz w:val="20"/>
              </w:rPr>
            </w:pPr>
            <w:r w:rsidRPr="005E601D">
              <w:rPr>
                <w:rFonts w:ascii="Arial Narrow" w:hAnsi="Arial Narrow"/>
                <w:sz w:val="20"/>
              </w:rPr>
              <w:t>Patients who are found to have a pathogenic or likely pathogenic variant in BRCA1 or BRCA2 should be referred for post-test genetic counselling as there may be implications for other family members. Appropriate genetic counselling should be provided to the patient either by the specialist treating practitioner, a genetic counselling service or a clinical geneticist.</w:t>
            </w:r>
          </w:p>
        </w:tc>
      </w:tr>
    </w:tbl>
    <w:p w14:paraId="40F2EF7D" w14:textId="77777777" w:rsidR="00BA2406" w:rsidRPr="005E601D" w:rsidRDefault="005E601D" w:rsidP="005E601D">
      <w:pPr>
        <w:spacing w:after="240"/>
        <w:rPr>
          <w:rFonts w:ascii="Arial Narrow" w:hAnsi="Arial Narrow"/>
          <w:sz w:val="18"/>
        </w:rPr>
      </w:pPr>
      <w:r w:rsidRPr="005E601D">
        <w:rPr>
          <w:rFonts w:ascii="Arial Narrow" w:hAnsi="Arial Narrow"/>
          <w:sz w:val="18"/>
        </w:rPr>
        <w:t xml:space="preserve">Source: </w:t>
      </w:r>
      <w:r>
        <w:rPr>
          <w:rFonts w:ascii="Arial Narrow" w:hAnsi="Arial Narrow"/>
          <w:sz w:val="18"/>
        </w:rPr>
        <w:t>p6 of Minor Submission</w:t>
      </w:r>
    </w:p>
    <w:p w14:paraId="4F14F9F9" w14:textId="0C11321A" w:rsidR="00BC1364" w:rsidRPr="0041184F" w:rsidRDefault="00BA2406" w:rsidP="00BA2406">
      <w:r>
        <w:t xml:space="preserve">The applicant noted that </w:t>
      </w:r>
      <w:r w:rsidRPr="00BA2406">
        <w:t xml:space="preserve">the suggested changes made by MSAC to the MBS descriptors allows for tumour </w:t>
      </w:r>
      <w:r w:rsidRPr="00BA2406">
        <w:rPr>
          <w:i/>
        </w:rPr>
        <w:t>BRCA</w:t>
      </w:r>
      <w:r w:rsidRPr="00BA2406">
        <w:t xml:space="preserve"> testing to occur agnostic to line of therapy.</w:t>
      </w:r>
    </w:p>
    <w:p w14:paraId="72C6B2C6" w14:textId="77777777" w:rsidR="00BC1364" w:rsidRPr="00F715D1" w:rsidRDefault="00BC1364" w:rsidP="00F715D1">
      <w:pPr>
        <w:pStyle w:val="Heading1"/>
      </w:pPr>
      <w:r w:rsidRPr="00F715D1">
        <w:t>Proposed intervention’s place in clinical management</w:t>
      </w:r>
    </w:p>
    <w:p w14:paraId="4BC556A8" w14:textId="42620F17" w:rsidR="005E601D" w:rsidRDefault="00D414F9" w:rsidP="005E601D">
      <w:r>
        <w:t>The application propose</w:t>
      </w:r>
      <w:r w:rsidR="00826E2E">
        <w:t>d</w:t>
      </w:r>
      <w:r>
        <w:t xml:space="preserve"> </w:t>
      </w:r>
      <w:r w:rsidRPr="00D414F9">
        <w:rPr>
          <w:iCs/>
          <w:szCs w:val="24"/>
        </w:rPr>
        <w:t xml:space="preserve">that </w:t>
      </w:r>
      <w:r w:rsidRPr="00D414F9">
        <w:rPr>
          <w:i/>
          <w:iCs/>
          <w:szCs w:val="24"/>
        </w:rPr>
        <w:t>BRCA</w:t>
      </w:r>
      <w:r w:rsidRPr="00D414F9">
        <w:rPr>
          <w:iCs/>
          <w:szCs w:val="24"/>
        </w:rPr>
        <w:t xml:space="preserve"> mutation testing of tumour tissue </w:t>
      </w:r>
      <w:r w:rsidR="00826E2E">
        <w:rPr>
          <w:iCs/>
          <w:szCs w:val="24"/>
        </w:rPr>
        <w:t>be</w:t>
      </w:r>
      <w:r w:rsidRPr="00D414F9">
        <w:rPr>
          <w:iCs/>
          <w:szCs w:val="24"/>
        </w:rPr>
        <w:t xml:space="preserve"> conducted in patients newly diagnosed with advanced (FIGO Stage III-IV) high grade epithelial ovarian, fallopian tube or primary peritoneal cancer rather than patients with platinum sensitive relapsed high grade serous ovarian cancer (HGSOC), therefore at </w:t>
      </w:r>
      <w:r w:rsidR="00826E2E">
        <w:rPr>
          <w:iCs/>
          <w:szCs w:val="24"/>
        </w:rPr>
        <w:t xml:space="preserve">the </w:t>
      </w:r>
      <w:r w:rsidRPr="00D414F9">
        <w:rPr>
          <w:iCs/>
          <w:szCs w:val="24"/>
        </w:rPr>
        <w:t xml:space="preserve">point of </w:t>
      </w:r>
      <w:r w:rsidR="00826E2E">
        <w:rPr>
          <w:iCs/>
          <w:szCs w:val="24"/>
        </w:rPr>
        <w:t xml:space="preserve">this </w:t>
      </w:r>
      <w:r w:rsidRPr="00D414F9">
        <w:rPr>
          <w:iCs/>
          <w:szCs w:val="24"/>
        </w:rPr>
        <w:t xml:space="preserve">diagnosis rather than after recurrence of </w:t>
      </w:r>
      <w:r w:rsidR="00826E2E">
        <w:rPr>
          <w:iCs/>
          <w:szCs w:val="24"/>
        </w:rPr>
        <w:t xml:space="preserve">the </w:t>
      </w:r>
      <w:r w:rsidRPr="00D414F9">
        <w:rPr>
          <w:iCs/>
          <w:szCs w:val="24"/>
        </w:rPr>
        <w:t>disease as per the current MBS item 73295.</w:t>
      </w:r>
    </w:p>
    <w:p w14:paraId="6C9A4744" w14:textId="77777777" w:rsidR="00BC1364" w:rsidRPr="00F715D1" w:rsidRDefault="00BC1364" w:rsidP="00F715D1">
      <w:pPr>
        <w:pStyle w:val="Heading1"/>
      </w:pPr>
      <w:r w:rsidRPr="00F715D1">
        <w:t>Comparative effectiveness</w:t>
      </w:r>
    </w:p>
    <w:p w14:paraId="75ACEC8B" w14:textId="77777777" w:rsidR="00F37B9C" w:rsidRDefault="00D414F9" w:rsidP="00D414F9">
      <w:pPr>
        <w:pStyle w:val="Heading2"/>
      </w:pPr>
      <w:r>
        <w:t>BRCA mutation testing in SOLO1</w:t>
      </w:r>
    </w:p>
    <w:p w14:paraId="1C5B9243" w14:textId="282677B9" w:rsidR="00310F37" w:rsidRDefault="00D414F9" w:rsidP="00D414F9">
      <w:r>
        <w:t xml:space="preserve">The application stated that germline </w:t>
      </w:r>
      <w:r w:rsidRPr="00D414F9">
        <w:rPr>
          <w:i/>
        </w:rPr>
        <w:t>BRCA</w:t>
      </w:r>
      <w:r>
        <w:t xml:space="preserve"> testing conducted for SOLO1 by Myriad was performed either using their CLIA-based assay, the Myriad Integrated BRCA Analysis</w:t>
      </w:r>
      <w:r w:rsidRPr="00D414F9">
        <w:rPr>
          <w:vertAlign w:val="superscript"/>
        </w:rPr>
        <w:t>®</w:t>
      </w:r>
      <w:r>
        <w:t xml:space="preserve"> test or the Myriad BRCA Analysis CDX</w:t>
      </w:r>
      <w:r w:rsidRPr="00D414F9">
        <w:rPr>
          <w:vertAlign w:val="superscript"/>
        </w:rPr>
        <w:t>®</w:t>
      </w:r>
      <w:r>
        <w:t xml:space="preserve"> test. The Myriad test uses Sanger sequencing, considered the reference standard in the application. Germline </w:t>
      </w:r>
      <w:r w:rsidRPr="00EA65A0">
        <w:rPr>
          <w:i/>
        </w:rPr>
        <w:t>BRCA</w:t>
      </w:r>
      <w:r>
        <w:t xml:space="preserve">m testing offered by several Australian pathology providers use either Sanger sequencing or </w:t>
      </w:r>
      <w:r w:rsidR="00EA65A0">
        <w:t>next generation sequencing (</w:t>
      </w:r>
      <w:r>
        <w:t>NGS</w:t>
      </w:r>
      <w:r w:rsidR="00EA65A0">
        <w:t>)</w:t>
      </w:r>
      <w:r w:rsidR="00540B50">
        <w:t>-based methods.</w:t>
      </w:r>
    </w:p>
    <w:p w14:paraId="22FAE2C2" w14:textId="51A05F8F" w:rsidR="00310F37" w:rsidRDefault="00EA65A0" w:rsidP="0080169B">
      <w:pPr>
        <w:spacing w:before="240"/>
      </w:pPr>
      <w:r>
        <w:t>The application considered that c</w:t>
      </w:r>
      <w:r w:rsidR="00D414F9">
        <w:t>lose concordance between NGS-methods and Sanger sequencing was previously demonstrated in the platinum sensitive relapse HGSOC submission in 2016</w:t>
      </w:r>
      <w:r w:rsidR="00310F37">
        <w:t xml:space="preserve"> (see </w:t>
      </w:r>
      <w:hyperlink r:id="rId11" w:history="1">
        <w:r w:rsidR="00310F37" w:rsidRPr="00310F37">
          <w:rPr>
            <w:rStyle w:val="Hyperlink"/>
          </w:rPr>
          <w:t>MSAC Application 1380 PSD 2016</w:t>
        </w:r>
      </w:hyperlink>
      <w:r w:rsidR="00310F37">
        <w:t>)</w:t>
      </w:r>
      <w:r w:rsidR="00310F37" w:rsidRPr="00310F37">
        <w:t>.</w:t>
      </w:r>
      <w:r w:rsidR="00D414F9">
        <w:t xml:space="preserve"> Central tumour </w:t>
      </w:r>
      <w:r w:rsidR="00D414F9" w:rsidRPr="00310F37">
        <w:rPr>
          <w:i/>
        </w:rPr>
        <w:t>BRCA</w:t>
      </w:r>
      <w:r w:rsidR="00D414F9">
        <w:t xml:space="preserve">m testing was performed by Foundation Medicine Inc. via the FoundationOne CDx Clinical trial Assay using </w:t>
      </w:r>
      <w:r>
        <w:t>NGS</w:t>
      </w:r>
      <w:r w:rsidR="00310F37">
        <w:t xml:space="preserve"> methodology.</w:t>
      </w:r>
    </w:p>
    <w:p w14:paraId="7DBBAD0E" w14:textId="292A67AE" w:rsidR="00310F37" w:rsidRDefault="00D414F9" w:rsidP="0080169B">
      <w:pPr>
        <w:spacing w:before="240"/>
      </w:pPr>
      <w:r>
        <w:t xml:space="preserve">The </w:t>
      </w:r>
      <w:r w:rsidR="00310F37">
        <w:t>application recalled that</w:t>
      </w:r>
      <w:r w:rsidR="00826E2E">
        <w:t>, for</w:t>
      </w:r>
      <w:r w:rsidR="00310F37">
        <w:t xml:space="preserve"> the November 2019 consideration of </w:t>
      </w:r>
      <w:r>
        <w:t>MSAC</w:t>
      </w:r>
      <w:r w:rsidR="00310F37">
        <w:t xml:space="preserve"> Application 1554, it</w:t>
      </w:r>
      <w:r w:rsidR="004A18A2">
        <w:t xml:space="preserve"> </w:t>
      </w:r>
      <w:r>
        <w:t xml:space="preserve">presented comparative diagnostic accuracy and/or concordance of NGS-based tumour testing for detection of </w:t>
      </w:r>
      <w:r w:rsidRPr="00EA65A0">
        <w:rPr>
          <w:i/>
        </w:rPr>
        <w:t>BRCA1/2</w:t>
      </w:r>
      <w:r>
        <w:t xml:space="preserve"> mutations, compared to reference standards such as polymerase chain reaction (PCR)/Sanger sequencing and/or matched germline </w:t>
      </w:r>
      <w:r w:rsidRPr="00EA65A0">
        <w:rPr>
          <w:i/>
        </w:rPr>
        <w:t>BRCA1/2</w:t>
      </w:r>
      <w:r>
        <w:t xml:space="preserve"> mutation testing. </w:t>
      </w:r>
      <w:r w:rsidR="00310F37">
        <w:t>The application considered that t</w:t>
      </w:r>
      <w:r>
        <w:t>hese studies reported a high level of diagnostic accuracy (sensitivity 95-100%; specificity 97.3-100%).</w:t>
      </w:r>
    </w:p>
    <w:p w14:paraId="23EAE1E2" w14:textId="4C575076" w:rsidR="00D414F9" w:rsidRPr="00D414F9" w:rsidRDefault="00310F37" w:rsidP="0080169B">
      <w:pPr>
        <w:spacing w:before="240"/>
      </w:pPr>
      <w:r>
        <w:t>The application also considered that the November 2019 consideration of MSAC Application 1554</w:t>
      </w:r>
      <w:r w:rsidR="00D414F9">
        <w:t xml:space="preserve"> confirmed that </w:t>
      </w:r>
      <w:r w:rsidR="00D414F9" w:rsidRPr="00310F37">
        <w:rPr>
          <w:i/>
        </w:rPr>
        <w:t>BRCA</w:t>
      </w:r>
      <w:r w:rsidR="00D414F9">
        <w:t xml:space="preserve"> tumour testing is sufficiently accurate to identify all patients with a confirmed pathogenic </w:t>
      </w:r>
      <w:r w:rsidR="00D414F9" w:rsidRPr="00310F37">
        <w:rPr>
          <w:i/>
        </w:rPr>
        <w:t>BRCA</w:t>
      </w:r>
      <w:r w:rsidR="00D414F9">
        <w:t xml:space="preserve"> mutation who w</w:t>
      </w:r>
      <w:r w:rsidR="00826E2E">
        <w:t>ould</w:t>
      </w:r>
      <w:r w:rsidR="00D414F9">
        <w:t xml:space="preserve"> benefit from olaparib treatment, including patients with a germline mutation that would otherwise have been identified by the currently funded germline </w:t>
      </w:r>
      <w:r w:rsidR="00D414F9" w:rsidRPr="000364F9">
        <w:rPr>
          <w:i/>
        </w:rPr>
        <w:t>BRCA</w:t>
      </w:r>
      <w:r w:rsidR="00D414F9">
        <w:t xml:space="preserve"> test. Furthermore,</w:t>
      </w:r>
      <w:r w:rsidR="004A18A2">
        <w:t xml:space="preserve"> the application stated that</w:t>
      </w:r>
      <w:r w:rsidR="00D414F9">
        <w:t xml:space="preserve"> additional </w:t>
      </w:r>
      <w:r w:rsidR="00D414F9" w:rsidRPr="000364F9">
        <w:rPr>
          <w:i/>
        </w:rPr>
        <w:t>BRCA</w:t>
      </w:r>
      <w:r w:rsidR="00D414F9">
        <w:t xml:space="preserve"> mutant variants were frequently detected by tumour testing, indicating somatic mutations that are not detected by the currently funded tests. Consequently, more patients with a </w:t>
      </w:r>
      <w:r w:rsidR="00D414F9" w:rsidRPr="000364F9">
        <w:rPr>
          <w:i/>
        </w:rPr>
        <w:t>BRCA</w:t>
      </w:r>
      <w:r w:rsidR="00D414F9">
        <w:t xml:space="preserve"> mutation w</w:t>
      </w:r>
      <w:r w:rsidR="00826E2E">
        <w:t>ould</w:t>
      </w:r>
      <w:r w:rsidR="00D414F9">
        <w:t xml:space="preserve"> be detected by tumour testing, leading to more equitable access to olaparib for patients with advanced, high grade epithelial ovarian, fallopian tube or primary peritoneal cancer.</w:t>
      </w:r>
    </w:p>
    <w:p w14:paraId="5F26D4EB" w14:textId="77777777" w:rsidR="00BC1364" w:rsidRPr="00F715D1" w:rsidRDefault="00BC1364" w:rsidP="00F715D1">
      <w:pPr>
        <w:pStyle w:val="Heading1"/>
      </w:pPr>
      <w:r w:rsidRPr="00F715D1">
        <w:t>Financial/budgetary impacts</w:t>
      </w:r>
    </w:p>
    <w:p w14:paraId="3FD99BC3" w14:textId="32537F41" w:rsidR="00F7086B" w:rsidRPr="00F7086B" w:rsidRDefault="005E1168" w:rsidP="00F7086B">
      <w:pPr>
        <w:spacing w:after="240"/>
      </w:pPr>
      <w:r>
        <w:t xml:space="preserve">The application presented the </w:t>
      </w:r>
      <w:r w:rsidR="004A18A2">
        <w:t xml:space="preserve">financial impact of </w:t>
      </w:r>
      <w:r w:rsidR="000A153F" w:rsidRPr="00310F37">
        <w:rPr>
          <w:i/>
        </w:rPr>
        <w:t>BRCA</w:t>
      </w:r>
      <w:r w:rsidR="000A153F">
        <w:t xml:space="preserve"> </w:t>
      </w:r>
      <w:r w:rsidR="004A18A2">
        <w:t>tumour testing</w:t>
      </w:r>
      <w:r w:rsidR="000A153F">
        <w:t>,</w:t>
      </w:r>
      <w:r w:rsidR="004A18A2">
        <w:t xml:space="preserve"> as was presented in the PBAC application for consideration at the July 2020 meeting</w:t>
      </w:r>
      <w:r w:rsidR="000A153F">
        <w:t>.</w:t>
      </w:r>
      <w:r w:rsidR="00F7086B">
        <w:br w:type="page"/>
      </w:r>
    </w:p>
    <w:p w14:paraId="037DBDC7" w14:textId="3054CA17" w:rsidR="000A153F" w:rsidRDefault="0080169B" w:rsidP="0080169B">
      <w:pPr>
        <w:pStyle w:val="Caption"/>
        <w:keepNext/>
        <w:keepLines/>
      </w:pPr>
      <w:r>
        <w:t xml:space="preserve">Table </w:t>
      </w:r>
      <w:fldSimple w:instr=" SEQ Table \* ARABIC ">
        <w:r>
          <w:rPr>
            <w:noProof/>
          </w:rPr>
          <w:t>2</w:t>
        </w:r>
      </w:fldSimple>
      <w:r w:rsidR="000A153F">
        <w:tab/>
        <w:t xml:space="preserve">Estimated extent of use of tumour </w:t>
      </w:r>
      <w:r w:rsidR="000A153F" w:rsidRPr="000A153F">
        <w:rPr>
          <w:i/>
        </w:rPr>
        <w:t>BRCA</w:t>
      </w:r>
      <w:r w:rsidR="000A153F">
        <w:t>m testing and financial implications</w:t>
      </w:r>
    </w:p>
    <w:tbl>
      <w:tblPr>
        <w:tblStyle w:val="TableGrid"/>
        <w:tblW w:w="0" w:type="auto"/>
        <w:tblLook w:val="04A0" w:firstRow="1" w:lastRow="0" w:firstColumn="1" w:lastColumn="0" w:noHBand="0" w:noVBand="1"/>
        <w:tblDescription w:val="Estimated extent of use of tumour BRCAm testing and financial implications"/>
      </w:tblPr>
      <w:tblGrid>
        <w:gridCol w:w="2263"/>
        <w:gridCol w:w="1134"/>
        <w:gridCol w:w="1134"/>
        <w:gridCol w:w="1134"/>
        <w:gridCol w:w="1134"/>
        <w:gridCol w:w="1135"/>
        <w:gridCol w:w="1082"/>
      </w:tblGrid>
      <w:tr w:rsidR="00A73A85" w:rsidRPr="00F1514B" w14:paraId="6DD66B4F" w14:textId="77777777" w:rsidTr="00A73A85">
        <w:trPr>
          <w:tblHeader/>
        </w:trPr>
        <w:tc>
          <w:tcPr>
            <w:tcW w:w="2263" w:type="dxa"/>
          </w:tcPr>
          <w:p w14:paraId="7C838975" w14:textId="15FF287F" w:rsidR="00F1514B" w:rsidRPr="00F1514B" w:rsidRDefault="00F1514B" w:rsidP="00F1514B">
            <w:pPr>
              <w:rPr>
                <w:rFonts w:ascii="Arial Narrow" w:hAnsi="Arial Narrow"/>
                <w:b/>
                <w:sz w:val="20"/>
              </w:rPr>
            </w:pPr>
            <w:r w:rsidRPr="00F1514B">
              <w:rPr>
                <w:rFonts w:ascii="Arial Narrow" w:hAnsi="Arial Narrow"/>
                <w:b/>
                <w:sz w:val="20"/>
              </w:rPr>
              <w:t>-</w:t>
            </w:r>
          </w:p>
        </w:tc>
        <w:tc>
          <w:tcPr>
            <w:tcW w:w="1134" w:type="dxa"/>
          </w:tcPr>
          <w:p w14:paraId="5D3D4922" w14:textId="6788DCC9" w:rsidR="00F1514B" w:rsidRPr="00F1514B" w:rsidRDefault="00F1514B" w:rsidP="00F1514B">
            <w:pPr>
              <w:rPr>
                <w:rFonts w:ascii="Arial Narrow" w:hAnsi="Arial Narrow"/>
                <w:b/>
                <w:sz w:val="20"/>
              </w:rPr>
            </w:pPr>
            <w:r w:rsidRPr="00F1514B">
              <w:rPr>
                <w:rFonts w:ascii="Arial Narrow" w:hAnsi="Arial Narrow"/>
                <w:b/>
                <w:sz w:val="20"/>
              </w:rPr>
              <w:t>Year 1</w:t>
            </w:r>
          </w:p>
        </w:tc>
        <w:tc>
          <w:tcPr>
            <w:tcW w:w="1134" w:type="dxa"/>
          </w:tcPr>
          <w:p w14:paraId="132B9278" w14:textId="39952090" w:rsidR="00F1514B" w:rsidRPr="00F1514B" w:rsidRDefault="00F1514B" w:rsidP="00F1514B">
            <w:pPr>
              <w:rPr>
                <w:rFonts w:ascii="Arial Narrow" w:hAnsi="Arial Narrow"/>
                <w:b/>
                <w:sz w:val="20"/>
              </w:rPr>
            </w:pPr>
            <w:r w:rsidRPr="00F1514B">
              <w:rPr>
                <w:rFonts w:ascii="Arial Narrow" w:hAnsi="Arial Narrow"/>
                <w:b/>
                <w:sz w:val="20"/>
              </w:rPr>
              <w:t>Year 2</w:t>
            </w:r>
          </w:p>
        </w:tc>
        <w:tc>
          <w:tcPr>
            <w:tcW w:w="1134" w:type="dxa"/>
          </w:tcPr>
          <w:p w14:paraId="099EB567" w14:textId="1B2797D3" w:rsidR="00F1514B" w:rsidRPr="00F1514B" w:rsidRDefault="00F1514B" w:rsidP="00F1514B">
            <w:pPr>
              <w:rPr>
                <w:rFonts w:ascii="Arial Narrow" w:hAnsi="Arial Narrow"/>
                <w:b/>
                <w:sz w:val="20"/>
              </w:rPr>
            </w:pPr>
            <w:r w:rsidRPr="00F1514B">
              <w:rPr>
                <w:rFonts w:ascii="Arial Narrow" w:hAnsi="Arial Narrow"/>
                <w:b/>
                <w:sz w:val="20"/>
              </w:rPr>
              <w:t>Year 3</w:t>
            </w:r>
          </w:p>
        </w:tc>
        <w:tc>
          <w:tcPr>
            <w:tcW w:w="1134" w:type="dxa"/>
          </w:tcPr>
          <w:p w14:paraId="28A1DF8D" w14:textId="25A3FB4B" w:rsidR="00F1514B" w:rsidRPr="00F1514B" w:rsidRDefault="00F1514B" w:rsidP="00F1514B">
            <w:pPr>
              <w:rPr>
                <w:rFonts w:ascii="Arial Narrow" w:hAnsi="Arial Narrow"/>
                <w:b/>
                <w:sz w:val="20"/>
              </w:rPr>
            </w:pPr>
            <w:r w:rsidRPr="00F1514B">
              <w:rPr>
                <w:rFonts w:ascii="Arial Narrow" w:hAnsi="Arial Narrow"/>
                <w:b/>
                <w:sz w:val="20"/>
              </w:rPr>
              <w:t>Year 4</w:t>
            </w:r>
          </w:p>
        </w:tc>
        <w:tc>
          <w:tcPr>
            <w:tcW w:w="1135" w:type="dxa"/>
          </w:tcPr>
          <w:p w14:paraId="6509E15D" w14:textId="3C526473" w:rsidR="00F1514B" w:rsidRPr="00F1514B" w:rsidRDefault="00F1514B" w:rsidP="00F1514B">
            <w:pPr>
              <w:rPr>
                <w:rFonts w:ascii="Arial Narrow" w:hAnsi="Arial Narrow"/>
                <w:b/>
                <w:sz w:val="20"/>
              </w:rPr>
            </w:pPr>
            <w:r w:rsidRPr="00F1514B">
              <w:rPr>
                <w:rFonts w:ascii="Arial Narrow" w:hAnsi="Arial Narrow"/>
                <w:b/>
                <w:sz w:val="20"/>
              </w:rPr>
              <w:t>Year 5</w:t>
            </w:r>
          </w:p>
        </w:tc>
        <w:tc>
          <w:tcPr>
            <w:tcW w:w="1082" w:type="dxa"/>
          </w:tcPr>
          <w:p w14:paraId="47178F04" w14:textId="01C85010" w:rsidR="00F1514B" w:rsidRPr="00F1514B" w:rsidRDefault="00F1514B" w:rsidP="00F1514B">
            <w:pPr>
              <w:rPr>
                <w:rFonts w:ascii="Arial Narrow" w:hAnsi="Arial Narrow"/>
                <w:b/>
                <w:sz w:val="20"/>
              </w:rPr>
            </w:pPr>
            <w:r w:rsidRPr="00F1514B">
              <w:rPr>
                <w:rFonts w:ascii="Arial Narrow" w:hAnsi="Arial Narrow"/>
                <w:b/>
                <w:sz w:val="20"/>
              </w:rPr>
              <w:t>Year 6</w:t>
            </w:r>
          </w:p>
        </w:tc>
      </w:tr>
      <w:tr w:rsidR="00A73A85" w:rsidRPr="004A64CE" w14:paraId="654435C7" w14:textId="77777777" w:rsidTr="00A73A85">
        <w:trPr>
          <w:trHeight w:val="252"/>
        </w:trPr>
        <w:tc>
          <w:tcPr>
            <w:tcW w:w="2263" w:type="dxa"/>
          </w:tcPr>
          <w:p w14:paraId="3F2693F1" w14:textId="77777777" w:rsidR="005D6125" w:rsidRPr="00D54755" w:rsidRDefault="005D6125" w:rsidP="005D6125">
            <w:pPr>
              <w:keepNext/>
              <w:keepLines/>
              <w:ind w:left="34"/>
              <w:rPr>
                <w:rFonts w:ascii="Arial Narrow" w:hAnsi="Arial Narrow"/>
                <w:sz w:val="20"/>
                <w:lang w:bidi="en-US"/>
              </w:rPr>
            </w:pPr>
            <w:r w:rsidRPr="00D54755">
              <w:rPr>
                <w:rFonts w:ascii="Arial Narrow" w:hAnsi="Arial Narrow"/>
                <w:sz w:val="20"/>
                <w:lang w:bidi="en-US"/>
              </w:rPr>
              <w:t xml:space="preserve">Number of patients tested with tumour OR germline </w:t>
            </w:r>
            <w:r w:rsidRPr="00D54755">
              <w:rPr>
                <w:rFonts w:ascii="Arial Narrow" w:hAnsi="Arial Narrow"/>
                <w:i/>
                <w:sz w:val="20"/>
                <w:lang w:bidi="en-US"/>
              </w:rPr>
              <w:t>BRCA</w:t>
            </w:r>
            <w:r w:rsidRPr="00D54755">
              <w:rPr>
                <w:rFonts w:ascii="Arial Narrow" w:hAnsi="Arial Narrow"/>
                <w:sz w:val="20"/>
                <w:lang w:bidi="en-US"/>
              </w:rPr>
              <w:t>m testing</w:t>
            </w:r>
          </w:p>
        </w:tc>
        <w:tc>
          <w:tcPr>
            <w:tcW w:w="1134" w:type="dxa"/>
          </w:tcPr>
          <w:p w14:paraId="46066BE0" w14:textId="00D79C98" w:rsidR="005D6125" w:rsidRPr="00D54755" w:rsidRDefault="005D6125" w:rsidP="005D6125">
            <w:pPr>
              <w:keepNext/>
              <w:keepLines/>
              <w:ind w:left="34"/>
              <w:jc w:val="center"/>
              <w:rPr>
                <w:rFonts w:ascii="Arial Narrow" w:hAnsi="Arial Narrow"/>
                <w:sz w:val="20"/>
                <w:lang w:bidi="en-US"/>
              </w:rPr>
            </w:pPr>
            <w:r w:rsidRPr="005D6125">
              <w:rPr>
                <w:rFonts w:ascii="Arial Narrow" w:hAnsi="Arial Narrow"/>
                <w:b/>
                <w:color w:val="000000"/>
                <w:sz w:val="20"/>
              </w:rPr>
              <w:t>redacted</w:t>
            </w:r>
          </w:p>
        </w:tc>
        <w:tc>
          <w:tcPr>
            <w:tcW w:w="1134" w:type="dxa"/>
          </w:tcPr>
          <w:p w14:paraId="7F655CB8" w14:textId="6A9F17C9" w:rsidR="005D6125" w:rsidRPr="00D54755" w:rsidRDefault="005D6125" w:rsidP="005D6125">
            <w:pPr>
              <w:keepNext/>
              <w:keepLines/>
              <w:ind w:left="34"/>
              <w:jc w:val="center"/>
              <w:rPr>
                <w:rFonts w:ascii="Arial Narrow" w:hAnsi="Arial Narrow"/>
                <w:sz w:val="20"/>
                <w:lang w:bidi="en-US"/>
              </w:rPr>
            </w:pPr>
            <w:r w:rsidRPr="008033C2">
              <w:rPr>
                <w:rFonts w:ascii="Arial Narrow" w:hAnsi="Arial Narrow"/>
                <w:b/>
                <w:color w:val="000000"/>
                <w:sz w:val="20"/>
              </w:rPr>
              <w:t>redacted</w:t>
            </w:r>
          </w:p>
        </w:tc>
        <w:tc>
          <w:tcPr>
            <w:tcW w:w="1134" w:type="dxa"/>
          </w:tcPr>
          <w:p w14:paraId="6EA2F1B5" w14:textId="74605D11" w:rsidR="005D6125" w:rsidRPr="00D54755" w:rsidRDefault="005D6125" w:rsidP="005D6125">
            <w:pPr>
              <w:keepNext/>
              <w:keepLines/>
              <w:ind w:left="34"/>
              <w:jc w:val="center"/>
              <w:rPr>
                <w:rFonts w:ascii="Arial Narrow" w:hAnsi="Arial Narrow"/>
                <w:sz w:val="20"/>
                <w:lang w:bidi="en-US"/>
              </w:rPr>
            </w:pPr>
            <w:r w:rsidRPr="008033C2">
              <w:rPr>
                <w:rFonts w:ascii="Arial Narrow" w:hAnsi="Arial Narrow"/>
                <w:b/>
                <w:color w:val="000000"/>
                <w:sz w:val="20"/>
              </w:rPr>
              <w:t>redacted</w:t>
            </w:r>
          </w:p>
        </w:tc>
        <w:tc>
          <w:tcPr>
            <w:tcW w:w="1134" w:type="dxa"/>
          </w:tcPr>
          <w:p w14:paraId="7C1F981F" w14:textId="2FDF4738" w:rsidR="005D6125" w:rsidRPr="00D54755" w:rsidRDefault="005D6125" w:rsidP="005D6125">
            <w:pPr>
              <w:keepNext/>
              <w:keepLines/>
              <w:ind w:left="34"/>
              <w:jc w:val="center"/>
              <w:rPr>
                <w:rFonts w:ascii="Arial Narrow" w:hAnsi="Arial Narrow"/>
                <w:sz w:val="20"/>
                <w:lang w:bidi="en-US"/>
              </w:rPr>
            </w:pPr>
            <w:r w:rsidRPr="008033C2">
              <w:rPr>
                <w:rFonts w:ascii="Arial Narrow" w:hAnsi="Arial Narrow"/>
                <w:b/>
                <w:color w:val="000000"/>
                <w:sz w:val="20"/>
              </w:rPr>
              <w:t>redacted</w:t>
            </w:r>
          </w:p>
        </w:tc>
        <w:tc>
          <w:tcPr>
            <w:tcW w:w="1135" w:type="dxa"/>
          </w:tcPr>
          <w:p w14:paraId="631BE8B4" w14:textId="23BBF481" w:rsidR="005D6125" w:rsidRPr="00D54755" w:rsidRDefault="005D6125" w:rsidP="005D6125">
            <w:pPr>
              <w:keepNext/>
              <w:keepLines/>
              <w:ind w:left="34"/>
              <w:jc w:val="center"/>
              <w:rPr>
                <w:rFonts w:ascii="Arial Narrow" w:hAnsi="Arial Narrow"/>
                <w:sz w:val="20"/>
                <w:lang w:bidi="en-US"/>
              </w:rPr>
            </w:pPr>
            <w:r w:rsidRPr="008033C2">
              <w:rPr>
                <w:rFonts w:ascii="Arial Narrow" w:hAnsi="Arial Narrow"/>
                <w:b/>
                <w:color w:val="000000"/>
                <w:sz w:val="20"/>
              </w:rPr>
              <w:t>redacted</w:t>
            </w:r>
          </w:p>
        </w:tc>
        <w:tc>
          <w:tcPr>
            <w:tcW w:w="1082" w:type="dxa"/>
          </w:tcPr>
          <w:p w14:paraId="40BB1C94" w14:textId="7C9FC570" w:rsidR="005D6125" w:rsidRPr="00D54755" w:rsidRDefault="005D6125" w:rsidP="005D6125">
            <w:pPr>
              <w:keepNext/>
              <w:keepLines/>
              <w:ind w:left="34"/>
              <w:jc w:val="center"/>
              <w:rPr>
                <w:rFonts w:ascii="Arial Narrow" w:hAnsi="Arial Narrow"/>
                <w:sz w:val="20"/>
                <w:lang w:bidi="en-US"/>
              </w:rPr>
            </w:pPr>
            <w:r w:rsidRPr="008033C2">
              <w:rPr>
                <w:rFonts w:ascii="Arial Narrow" w:hAnsi="Arial Narrow"/>
                <w:b/>
                <w:color w:val="000000"/>
                <w:sz w:val="20"/>
              </w:rPr>
              <w:t>redacted</w:t>
            </w:r>
          </w:p>
        </w:tc>
      </w:tr>
      <w:tr w:rsidR="00A73A85" w:rsidRPr="00752AFD" w14:paraId="21E3090B" w14:textId="77777777" w:rsidTr="00A73A85">
        <w:trPr>
          <w:trHeight w:val="252"/>
        </w:trPr>
        <w:tc>
          <w:tcPr>
            <w:tcW w:w="2263" w:type="dxa"/>
          </w:tcPr>
          <w:p w14:paraId="04CFEF3C" w14:textId="77777777" w:rsidR="005D6125" w:rsidRPr="00D54755" w:rsidRDefault="005D6125" w:rsidP="005D6125">
            <w:pPr>
              <w:keepNext/>
              <w:keepLines/>
              <w:ind w:left="34"/>
              <w:jc w:val="right"/>
              <w:rPr>
                <w:rFonts w:ascii="Arial Narrow" w:hAnsi="Arial Narrow"/>
                <w:sz w:val="20"/>
                <w:lang w:bidi="en-US"/>
              </w:rPr>
            </w:pPr>
            <w:r w:rsidRPr="00D54755">
              <w:rPr>
                <w:rFonts w:ascii="Arial Narrow" w:hAnsi="Arial Narrow"/>
                <w:sz w:val="20"/>
                <w:lang w:bidi="en-US"/>
              </w:rPr>
              <w:t xml:space="preserve">Tumour </w:t>
            </w:r>
            <w:r w:rsidRPr="00D54755">
              <w:rPr>
                <w:rFonts w:ascii="Arial Narrow" w:hAnsi="Arial Narrow"/>
                <w:i/>
                <w:sz w:val="20"/>
                <w:lang w:bidi="en-US"/>
              </w:rPr>
              <w:t>BRCA</w:t>
            </w:r>
            <w:r w:rsidRPr="00D54755">
              <w:rPr>
                <w:rFonts w:ascii="Arial Narrow" w:hAnsi="Arial Narrow"/>
                <w:sz w:val="20"/>
                <w:lang w:bidi="en-US"/>
              </w:rPr>
              <w:t xml:space="preserve"> test</w:t>
            </w:r>
          </w:p>
        </w:tc>
        <w:tc>
          <w:tcPr>
            <w:tcW w:w="1134" w:type="dxa"/>
          </w:tcPr>
          <w:p w14:paraId="38197F67" w14:textId="18664BF5" w:rsidR="005D6125" w:rsidRPr="00D54755" w:rsidRDefault="005D6125" w:rsidP="005D6125">
            <w:pPr>
              <w:keepNext/>
              <w:keepLines/>
              <w:ind w:left="34"/>
              <w:jc w:val="center"/>
              <w:rPr>
                <w:rFonts w:ascii="Arial Narrow" w:hAnsi="Arial Narrow"/>
                <w:color w:val="000000"/>
                <w:sz w:val="20"/>
              </w:rPr>
            </w:pPr>
            <w:r w:rsidRPr="00BA41C7">
              <w:rPr>
                <w:rFonts w:ascii="Arial Narrow" w:hAnsi="Arial Narrow"/>
                <w:b/>
                <w:color w:val="000000"/>
                <w:sz w:val="20"/>
              </w:rPr>
              <w:t>redacted</w:t>
            </w:r>
          </w:p>
        </w:tc>
        <w:tc>
          <w:tcPr>
            <w:tcW w:w="1134" w:type="dxa"/>
          </w:tcPr>
          <w:p w14:paraId="45396B82" w14:textId="277CA9A2" w:rsidR="005D6125" w:rsidRPr="00D54755" w:rsidRDefault="005D6125" w:rsidP="005D6125">
            <w:pPr>
              <w:keepNext/>
              <w:keepLines/>
              <w:ind w:left="34"/>
              <w:jc w:val="center"/>
              <w:rPr>
                <w:rFonts w:ascii="Arial Narrow" w:hAnsi="Arial Narrow"/>
                <w:color w:val="000000"/>
                <w:sz w:val="20"/>
              </w:rPr>
            </w:pPr>
            <w:r w:rsidRPr="00BA41C7">
              <w:rPr>
                <w:rFonts w:ascii="Arial Narrow" w:hAnsi="Arial Narrow"/>
                <w:b/>
                <w:color w:val="000000"/>
                <w:sz w:val="20"/>
              </w:rPr>
              <w:t>redacted</w:t>
            </w:r>
          </w:p>
        </w:tc>
        <w:tc>
          <w:tcPr>
            <w:tcW w:w="1134" w:type="dxa"/>
          </w:tcPr>
          <w:p w14:paraId="46DE32F1" w14:textId="74846518" w:rsidR="005D6125" w:rsidRPr="00D54755" w:rsidRDefault="005D6125" w:rsidP="005D6125">
            <w:pPr>
              <w:keepNext/>
              <w:keepLines/>
              <w:ind w:left="34"/>
              <w:jc w:val="center"/>
              <w:rPr>
                <w:rFonts w:ascii="Arial Narrow" w:hAnsi="Arial Narrow"/>
                <w:color w:val="000000"/>
                <w:sz w:val="20"/>
              </w:rPr>
            </w:pPr>
            <w:r w:rsidRPr="00BA41C7">
              <w:rPr>
                <w:rFonts w:ascii="Arial Narrow" w:hAnsi="Arial Narrow"/>
                <w:b/>
                <w:color w:val="000000"/>
                <w:sz w:val="20"/>
              </w:rPr>
              <w:t>redacted</w:t>
            </w:r>
          </w:p>
        </w:tc>
        <w:tc>
          <w:tcPr>
            <w:tcW w:w="1134" w:type="dxa"/>
          </w:tcPr>
          <w:p w14:paraId="555523C9" w14:textId="1627413B" w:rsidR="005D6125" w:rsidRPr="00D54755" w:rsidRDefault="005D6125" w:rsidP="005D6125">
            <w:pPr>
              <w:keepNext/>
              <w:keepLines/>
              <w:ind w:left="34"/>
              <w:jc w:val="center"/>
              <w:rPr>
                <w:rFonts w:ascii="Arial Narrow" w:hAnsi="Arial Narrow"/>
                <w:color w:val="000000"/>
                <w:sz w:val="20"/>
              </w:rPr>
            </w:pPr>
            <w:r w:rsidRPr="00BA41C7">
              <w:rPr>
                <w:rFonts w:ascii="Arial Narrow" w:hAnsi="Arial Narrow"/>
                <w:b/>
                <w:color w:val="000000"/>
                <w:sz w:val="20"/>
              </w:rPr>
              <w:t>redacted</w:t>
            </w:r>
          </w:p>
        </w:tc>
        <w:tc>
          <w:tcPr>
            <w:tcW w:w="1135" w:type="dxa"/>
          </w:tcPr>
          <w:p w14:paraId="3E4AC6DD" w14:textId="7AFE437B" w:rsidR="005D6125" w:rsidRPr="00D54755" w:rsidRDefault="005D6125" w:rsidP="005D6125">
            <w:pPr>
              <w:keepNext/>
              <w:keepLines/>
              <w:ind w:left="34"/>
              <w:jc w:val="center"/>
              <w:rPr>
                <w:rFonts w:ascii="Arial Narrow" w:hAnsi="Arial Narrow"/>
                <w:color w:val="000000"/>
                <w:sz w:val="20"/>
              </w:rPr>
            </w:pPr>
            <w:r w:rsidRPr="00BA41C7">
              <w:rPr>
                <w:rFonts w:ascii="Arial Narrow" w:hAnsi="Arial Narrow"/>
                <w:b/>
                <w:color w:val="000000"/>
                <w:sz w:val="20"/>
              </w:rPr>
              <w:t>redacted</w:t>
            </w:r>
          </w:p>
        </w:tc>
        <w:tc>
          <w:tcPr>
            <w:tcW w:w="1082" w:type="dxa"/>
          </w:tcPr>
          <w:p w14:paraId="55BBD4E4" w14:textId="076FB7BA" w:rsidR="005D6125" w:rsidRPr="00D54755" w:rsidRDefault="005D6125" w:rsidP="005D6125">
            <w:pPr>
              <w:keepNext/>
              <w:keepLines/>
              <w:ind w:left="34"/>
              <w:jc w:val="center"/>
              <w:rPr>
                <w:rFonts w:ascii="Arial Narrow" w:hAnsi="Arial Narrow"/>
                <w:color w:val="000000"/>
                <w:sz w:val="20"/>
              </w:rPr>
            </w:pPr>
            <w:r w:rsidRPr="00BA41C7">
              <w:rPr>
                <w:rFonts w:ascii="Arial Narrow" w:hAnsi="Arial Narrow"/>
                <w:b/>
                <w:color w:val="000000"/>
                <w:sz w:val="20"/>
              </w:rPr>
              <w:t>redacted</w:t>
            </w:r>
          </w:p>
        </w:tc>
      </w:tr>
      <w:tr w:rsidR="00A73A85" w:rsidRPr="00752AFD" w14:paraId="7F66FCF4" w14:textId="77777777" w:rsidTr="00A73A85">
        <w:trPr>
          <w:trHeight w:val="252"/>
        </w:trPr>
        <w:tc>
          <w:tcPr>
            <w:tcW w:w="2263" w:type="dxa"/>
          </w:tcPr>
          <w:p w14:paraId="1DDEB926" w14:textId="77777777" w:rsidR="005D6125" w:rsidRPr="00D54755" w:rsidRDefault="005D6125" w:rsidP="005D6125">
            <w:pPr>
              <w:keepNext/>
              <w:keepLines/>
              <w:ind w:left="34"/>
              <w:jc w:val="right"/>
              <w:rPr>
                <w:rFonts w:ascii="Arial Narrow" w:hAnsi="Arial Narrow"/>
                <w:sz w:val="20"/>
                <w:lang w:bidi="en-US"/>
              </w:rPr>
            </w:pPr>
            <w:r w:rsidRPr="00D54755">
              <w:rPr>
                <w:rFonts w:ascii="Arial Narrow" w:hAnsi="Arial Narrow"/>
                <w:sz w:val="20"/>
                <w:lang w:bidi="en-US"/>
              </w:rPr>
              <w:t xml:space="preserve">Germline </w:t>
            </w:r>
            <w:r w:rsidRPr="00D54755">
              <w:rPr>
                <w:rFonts w:ascii="Arial Narrow" w:hAnsi="Arial Narrow"/>
                <w:i/>
                <w:sz w:val="20"/>
                <w:lang w:bidi="en-US"/>
              </w:rPr>
              <w:t>BRCA</w:t>
            </w:r>
            <w:r w:rsidRPr="00D54755">
              <w:rPr>
                <w:rFonts w:ascii="Arial Narrow" w:hAnsi="Arial Narrow"/>
                <w:sz w:val="20"/>
                <w:lang w:bidi="en-US"/>
              </w:rPr>
              <w:t xml:space="preserve"> test (MBS item #73295)</w:t>
            </w:r>
          </w:p>
        </w:tc>
        <w:tc>
          <w:tcPr>
            <w:tcW w:w="1134" w:type="dxa"/>
          </w:tcPr>
          <w:p w14:paraId="0471AB98" w14:textId="63E81FBA" w:rsidR="005D6125" w:rsidRPr="00D54755" w:rsidRDefault="005D6125" w:rsidP="005D6125">
            <w:pPr>
              <w:keepNext/>
              <w:keepLines/>
              <w:ind w:left="34"/>
              <w:jc w:val="center"/>
              <w:rPr>
                <w:rFonts w:ascii="Arial Narrow" w:hAnsi="Arial Narrow"/>
                <w:color w:val="000000"/>
                <w:sz w:val="20"/>
              </w:rPr>
            </w:pPr>
            <w:r w:rsidRPr="002E4457">
              <w:rPr>
                <w:rFonts w:ascii="Arial Narrow" w:hAnsi="Arial Narrow"/>
                <w:b/>
                <w:color w:val="000000"/>
                <w:sz w:val="20"/>
              </w:rPr>
              <w:t>redacted</w:t>
            </w:r>
          </w:p>
        </w:tc>
        <w:tc>
          <w:tcPr>
            <w:tcW w:w="1134" w:type="dxa"/>
          </w:tcPr>
          <w:p w14:paraId="17D08FF5" w14:textId="5B161582" w:rsidR="005D6125" w:rsidRPr="00D54755" w:rsidRDefault="005D6125" w:rsidP="005D6125">
            <w:pPr>
              <w:keepNext/>
              <w:keepLines/>
              <w:ind w:left="34"/>
              <w:jc w:val="center"/>
              <w:rPr>
                <w:rFonts w:ascii="Arial Narrow" w:hAnsi="Arial Narrow"/>
                <w:color w:val="000000"/>
                <w:sz w:val="20"/>
              </w:rPr>
            </w:pPr>
            <w:r w:rsidRPr="002E4457">
              <w:rPr>
                <w:rFonts w:ascii="Arial Narrow" w:hAnsi="Arial Narrow"/>
                <w:b/>
                <w:color w:val="000000"/>
                <w:sz w:val="20"/>
              </w:rPr>
              <w:t>redacted</w:t>
            </w:r>
          </w:p>
        </w:tc>
        <w:tc>
          <w:tcPr>
            <w:tcW w:w="1134" w:type="dxa"/>
          </w:tcPr>
          <w:p w14:paraId="372F6426" w14:textId="79440E7D" w:rsidR="005D6125" w:rsidRPr="00D54755" w:rsidRDefault="005D6125" w:rsidP="005D6125">
            <w:pPr>
              <w:keepNext/>
              <w:keepLines/>
              <w:ind w:left="34"/>
              <w:jc w:val="center"/>
              <w:rPr>
                <w:rFonts w:ascii="Arial Narrow" w:hAnsi="Arial Narrow"/>
                <w:color w:val="000000"/>
                <w:sz w:val="20"/>
              </w:rPr>
            </w:pPr>
            <w:r w:rsidRPr="002E4457">
              <w:rPr>
                <w:rFonts w:ascii="Arial Narrow" w:hAnsi="Arial Narrow"/>
                <w:b/>
                <w:color w:val="000000"/>
                <w:sz w:val="20"/>
              </w:rPr>
              <w:t>redacted</w:t>
            </w:r>
          </w:p>
        </w:tc>
        <w:tc>
          <w:tcPr>
            <w:tcW w:w="1134" w:type="dxa"/>
          </w:tcPr>
          <w:p w14:paraId="3021DDD9" w14:textId="42ECD1B0" w:rsidR="005D6125" w:rsidRPr="00D54755" w:rsidRDefault="005D6125" w:rsidP="005D6125">
            <w:pPr>
              <w:keepNext/>
              <w:keepLines/>
              <w:ind w:left="34"/>
              <w:jc w:val="center"/>
              <w:rPr>
                <w:rFonts w:ascii="Arial Narrow" w:hAnsi="Arial Narrow"/>
                <w:color w:val="000000"/>
                <w:sz w:val="20"/>
              </w:rPr>
            </w:pPr>
            <w:r w:rsidRPr="002E4457">
              <w:rPr>
                <w:rFonts w:ascii="Arial Narrow" w:hAnsi="Arial Narrow"/>
                <w:b/>
                <w:color w:val="000000"/>
                <w:sz w:val="20"/>
              </w:rPr>
              <w:t>redacted</w:t>
            </w:r>
          </w:p>
        </w:tc>
        <w:tc>
          <w:tcPr>
            <w:tcW w:w="1135" w:type="dxa"/>
          </w:tcPr>
          <w:p w14:paraId="1E4891B8" w14:textId="12352595" w:rsidR="005D6125" w:rsidRPr="00D54755" w:rsidRDefault="005D6125" w:rsidP="005D6125">
            <w:pPr>
              <w:keepNext/>
              <w:keepLines/>
              <w:ind w:left="34"/>
              <w:jc w:val="center"/>
              <w:rPr>
                <w:rFonts w:ascii="Arial Narrow" w:hAnsi="Arial Narrow"/>
                <w:color w:val="000000"/>
                <w:sz w:val="20"/>
              </w:rPr>
            </w:pPr>
            <w:r w:rsidRPr="002E4457">
              <w:rPr>
                <w:rFonts w:ascii="Arial Narrow" w:hAnsi="Arial Narrow"/>
                <w:b/>
                <w:color w:val="000000"/>
                <w:sz w:val="20"/>
              </w:rPr>
              <w:t>redacted</w:t>
            </w:r>
          </w:p>
        </w:tc>
        <w:tc>
          <w:tcPr>
            <w:tcW w:w="1082" w:type="dxa"/>
          </w:tcPr>
          <w:p w14:paraId="610B090C" w14:textId="1BEF7409" w:rsidR="005D6125" w:rsidRPr="00D54755" w:rsidRDefault="005D6125" w:rsidP="005D6125">
            <w:pPr>
              <w:keepNext/>
              <w:keepLines/>
              <w:ind w:left="34"/>
              <w:jc w:val="center"/>
              <w:rPr>
                <w:rFonts w:ascii="Arial Narrow" w:hAnsi="Arial Narrow"/>
                <w:color w:val="000000"/>
                <w:sz w:val="20"/>
              </w:rPr>
            </w:pPr>
            <w:r w:rsidRPr="002E4457">
              <w:rPr>
                <w:rFonts w:ascii="Arial Narrow" w:hAnsi="Arial Narrow"/>
                <w:b/>
                <w:color w:val="000000"/>
                <w:sz w:val="20"/>
              </w:rPr>
              <w:t>redacted</w:t>
            </w:r>
          </w:p>
        </w:tc>
      </w:tr>
      <w:tr w:rsidR="00A73A85" w:rsidRPr="00752AFD" w14:paraId="5F0835BD" w14:textId="77777777" w:rsidTr="00A73A85">
        <w:trPr>
          <w:trHeight w:val="252"/>
        </w:trPr>
        <w:tc>
          <w:tcPr>
            <w:tcW w:w="2263" w:type="dxa"/>
          </w:tcPr>
          <w:p w14:paraId="2D03168D" w14:textId="77777777" w:rsidR="005D6125" w:rsidRPr="00D54755" w:rsidRDefault="005D6125" w:rsidP="005D6125">
            <w:pPr>
              <w:keepNext/>
              <w:keepLines/>
              <w:ind w:left="34"/>
              <w:jc w:val="right"/>
              <w:rPr>
                <w:rFonts w:ascii="Arial Narrow" w:hAnsi="Arial Narrow"/>
                <w:sz w:val="20"/>
                <w:lang w:bidi="en-US"/>
              </w:rPr>
            </w:pPr>
            <w:r w:rsidRPr="00D54755">
              <w:rPr>
                <w:rFonts w:ascii="Arial Narrow" w:hAnsi="Arial Narrow"/>
                <w:sz w:val="20"/>
                <w:lang w:bidi="en-US"/>
              </w:rPr>
              <w:t>Familial risk &gt; 10% (MBS item #73296)</w:t>
            </w:r>
          </w:p>
        </w:tc>
        <w:tc>
          <w:tcPr>
            <w:tcW w:w="1134" w:type="dxa"/>
          </w:tcPr>
          <w:p w14:paraId="6A84E714" w14:textId="4C434BDE" w:rsidR="005D6125" w:rsidRPr="00D54755" w:rsidRDefault="005D6125" w:rsidP="005D6125">
            <w:pPr>
              <w:keepNext/>
              <w:keepLines/>
              <w:ind w:left="34"/>
              <w:jc w:val="center"/>
              <w:rPr>
                <w:rFonts w:ascii="Arial Narrow" w:hAnsi="Arial Narrow"/>
                <w:color w:val="000000"/>
                <w:sz w:val="20"/>
              </w:rPr>
            </w:pPr>
            <w:r w:rsidRPr="00DF7CF7">
              <w:rPr>
                <w:rFonts w:ascii="Arial Narrow" w:hAnsi="Arial Narrow"/>
                <w:b/>
                <w:color w:val="000000"/>
                <w:sz w:val="20"/>
              </w:rPr>
              <w:t>redacted</w:t>
            </w:r>
          </w:p>
        </w:tc>
        <w:tc>
          <w:tcPr>
            <w:tcW w:w="1134" w:type="dxa"/>
          </w:tcPr>
          <w:p w14:paraId="07A1CB87" w14:textId="4CC2723E" w:rsidR="005D6125" w:rsidRPr="00D54755" w:rsidRDefault="005D6125" w:rsidP="005D6125">
            <w:pPr>
              <w:keepNext/>
              <w:keepLines/>
              <w:ind w:left="34"/>
              <w:jc w:val="center"/>
              <w:rPr>
                <w:rFonts w:ascii="Arial Narrow" w:hAnsi="Arial Narrow"/>
                <w:color w:val="000000"/>
                <w:sz w:val="20"/>
              </w:rPr>
            </w:pPr>
            <w:r w:rsidRPr="00DF7CF7">
              <w:rPr>
                <w:rFonts w:ascii="Arial Narrow" w:hAnsi="Arial Narrow"/>
                <w:b/>
                <w:color w:val="000000"/>
                <w:sz w:val="20"/>
              </w:rPr>
              <w:t>redacted</w:t>
            </w:r>
          </w:p>
        </w:tc>
        <w:tc>
          <w:tcPr>
            <w:tcW w:w="1134" w:type="dxa"/>
          </w:tcPr>
          <w:p w14:paraId="6509A4AD" w14:textId="5AA59242" w:rsidR="005D6125" w:rsidRPr="00D54755" w:rsidRDefault="005D6125" w:rsidP="005D6125">
            <w:pPr>
              <w:keepNext/>
              <w:keepLines/>
              <w:ind w:left="34"/>
              <w:jc w:val="center"/>
              <w:rPr>
                <w:rFonts w:ascii="Arial Narrow" w:hAnsi="Arial Narrow"/>
                <w:color w:val="000000"/>
                <w:sz w:val="20"/>
              </w:rPr>
            </w:pPr>
            <w:r w:rsidRPr="00DF7CF7">
              <w:rPr>
                <w:rFonts w:ascii="Arial Narrow" w:hAnsi="Arial Narrow"/>
                <w:b/>
                <w:color w:val="000000"/>
                <w:sz w:val="20"/>
              </w:rPr>
              <w:t>redacted</w:t>
            </w:r>
          </w:p>
        </w:tc>
        <w:tc>
          <w:tcPr>
            <w:tcW w:w="1134" w:type="dxa"/>
          </w:tcPr>
          <w:p w14:paraId="3DFF6840" w14:textId="1CE8D0BC" w:rsidR="005D6125" w:rsidRPr="00D54755" w:rsidRDefault="005D6125" w:rsidP="005D6125">
            <w:pPr>
              <w:keepNext/>
              <w:keepLines/>
              <w:ind w:left="34"/>
              <w:jc w:val="center"/>
              <w:rPr>
                <w:rFonts w:ascii="Arial Narrow" w:hAnsi="Arial Narrow"/>
                <w:color w:val="000000"/>
                <w:sz w:val="20"/>
              </w:rPr>
            </w:pPr>
            <w:r w:rsidRPr="00DF7CF7">
              <w:rPr>
                <w:rFonts w:ascii="Arial Narrow" w:hAnsi="Arial Narrow"/>
                <w:b/>
                <w:color w:val="000000"/>
                <w:sz w:val="20"/>
              </w:rPr>
              <w:t>redacted</w:t>
            </w:r>
          </w:p>
        </w:tc>
        <w:tc>
          <w:tcPr>
            <w:tcW w:w="1135" w:type="dxa"/>
          </w:tcPr>
          <w:p w14:paraId="0A4F2C34" w14:textId="2A9C7F36" w:rsidR="005D6125" w:rsidRPr="00D54755" w:rsidRDefault="005D6125" w:rsidP="005D6125">
            <w:pPr>
              <w:keepNext/>
              <w:keepLines/>
              <w:ind w:left="34"/>
              <w:jc w:val="center"/>
              <w:rPr>
                <w:rFonts w:ascii="Arial Narrow" w:hAnsi="Arial Narrow"/>
                <w:color w:val="000000"/>
                <w:sz w:val="20"/>
              </w:rPr>
            </w:pPr>
            <w:r w:rsidRPr="00DF7CF7">
              <w:rPr>
                <w:rFonts w:ascii="Arial Narrow" w:hAnsi="Arial Narrow"/>
                <w:b/>
                <w:color w:val="000000"/>
                <w:sz w:val="20"/>
              </w:rPr>
              <w:t>redacted</w:t>
            </w:r>
          </w:p>
        </w:tc>
        <w:tc>
          <w:tcPr>
            <w:tcW w:w="1082" w:type="dxa"/>
          </w:tcPr>
          <w:p w14:paraId="1A5F8F46" w14:textId="50C8F5F6" w:rsidR="005D6125" w:rsidRPr="00D54755" w:rsidRDefault="005D6125" w:rsidP="005D6125">
            <w:pPr>
              <w:keepNext/>
              <w:keepLines/>
              <w:ind w:left="34"/>
              <w:jc w:val="center"/>
              <w:rPr>
                <w:rFonts w:ascii="Arial Narrow" w:hAnsi="Arial Narrow"/>
                <w:color w:val="000000"/>
                <w:sz w:val="20"/>
              </w:rPr>
            </w:pPr>
            <w:r w:rsidRPr="00DF7CF7">
              <w:rPr>
                <w:rFonts w:ascii="Arial Narrow" w:hAnsi="Arial Narrow"/>
                <w:b/>
                <w:color w:val="000000"/>
                <w:sz w:val="20"/>
              </w:rPr>
              <w:t>redacted</w:t>
            </w:r>
          </w:p>
        </w:tc>
      </w:tr>
      <w:tr w:rsidR="00A73A85" w:rsidRPr="00752AFD" w14:paraId="4A7D9D16" w14:textId="77777777" w:rsidTr="00A73A85">
        <w:trPr>
          <w:trHeight w:val="252"/>
        </w:trPr>
        <w:tc>
          <w:tcPr>
            <w:tcW w:w="2263" w:type="dxa"/>
          </w:tcPr>
          <w:p w14:paraId="59026E2C" w14:textId="77777777" w:rsidR="00F1514B" w:rsidRPr="00D54755" w:rsidRDefault="00F1514B" w:rsidP="00EA0457">
            <w:pPr>
              <w:keepNext/>
              <w:keepLines/>
              <w:ind w:left="34"/>
              <w:rPr>
                <w:rFonts w:ascii="Arial Narrow" w:hAnsi="Arial Narrow"/>
                <w:sz w:val="20"/>
                <w:lang w:bidi="en-US"/>
              </w:rPr>
            </w:pPr>
            <w:r w:rsidRPr="00D54755">
              <w:rPr>
                <w:rFonts w:ascii="Arial Narrow" w:hAnsi="Arial Narrow"/>
                <w:sz w:val="20"/>
                <w:lang w:bidi="en-US"/>
              </w:rPr>
              <w:t>Cost to the MBS (85%)</w:t>
            </w:r>
          </w:p>
        </w:tc>
        <w:tc>
          <w:tcPr>
            <w:tcW w:w="1134" w:type="dxa"/>
          </w:tcPr>
          <w:p w14:paraId="4D497802" w14:textId="4890B2D0" w:rsidR="00F1514B" w:rsidRPr="00D54755" w:rsidRDefault="00F1514B" w:rsidP="00EA0457">
            <w:pPr>
              <w:keepNext/>
              <w:keepLines/>
              <w:ind w:left="34"/>
              <w:jc w:val="center"/>
              <w:rPr>
                <w:rFonts w:ascii="Arial Narrow" w:hAnsi="Arial Narrow"/>
                <w:sz w:val="20"/>
                <w:lang w:bidi="en-US"/>
              </w:rPr>
            </w:pPr>
            <w:r w:rsidRPr="00D54755">
              <w:rPr>
                <w:rFonts w:ascii="Arial Narrow" w:hAnsi="Arial Narrow"/>
                <w:color w:val="000000"/>
                <w:sz w:val="20"/>
              </w:rPr>
              <w:t>$</w:t>
            </w:r>
            <w:r w:rsidR="005D6125" w:rsidRPr="005D6125">
              <w:rPr>
                <w:rFonts w:ascii="Arial Narrow" w:hAnsi="Arial Narrow"/>
                <w:b/>
                <w:color w:val="000000"/>
                <w:sz w:val="20"/>
              </w:rPr>
              <w:t>redacted</w:t>
            </w:r>
          </w:p>
        </w:tc>
        <w:tc>
          <w:tcPr>
            <w:tcW w:w="1134" w:type="dxa"/>
          </w:tcPr>
          <w:p w14:paraId="168DBF65" w14:textId="7228A43C" w:rsidR="00F1514B" w:rsidRPr="00D54755" w:rsidRDefault="00F1514B" w:rsidP="00EA0457">
            <w:pPr>
              <w:keepNext/>
              <w:keepLines/>
              <w:ind w:left="34"/>
              <w:jc w:val="center"/>
              <w:rPr>
                <w:rFonts w:ascii="Arial Narrow" w:hAnsi="Arial Narrow"/>
                <w:sz w:val="20"/>
                <w:lang w:bidi="en-US"/>
              </w:rPr>
            </w:pPr>
            <w:r w:rsidRPr="00D54755">
              <w:rPr>
                <w:rFonts w:ascii="Arial Narrow" w:hAnsi="Arial Narrow"/>
                <w:color w:val="000000"/>
                <w:sz w:val="20"/>
              </w:rPr>
              <w:t>$</w:t>
            </w:r>
            <w:r w:rsidR="005D6125" w:rsidRPr="005D6125">
              <w:rPr>
                <w:rFonts w:ascii="Arial Narrow" w:hAnsi="Arial Narrow"/>
                <w:b/>
                <w:color w:val="000000"/>
                <w:sz w:val="20"/>
              </w:rPr>
              <w:t>redacted</w:t>
            </w:r>
          </w:p>
        </w:tc>
        <w:tc>
          <w:tcPr>
            <w:tcW w:w="1134" w:type="dxa"/>
          </w:tcPr>
          <w:p w14:paraId="56F430ED" w14:textId="1C31875D" w:rsidR="00F1514B" w:rsidRPr="00D54755" w:rsidRDefault="00F1514B" w:rsidP="00EA0457">
            <w:pPr>
              <w:keepNext/>
              <w:keepLines/>
              <w:ind w:left="34"/>
              <w:jc w:val="center"/>
              <w:rPr>
                <w:rFonts w:ascii="Arial Narrow" w:hAnsi="Arial Narrow"/>
                <w:sz w:val="20"/>
                <w:lang w:bidi="en-US"/>
              </w:rPr>
            </w:pPr>
            <w:r w:rsidRPr="00D54755">
              <w:rPr>
                <w:rFonts w:ascii="Arial Narrow" w:hAnsi="Arial Narrow"/>
                <w:color w:val="000000"/>
                <w:sz w:val="20"/>
              </w:rPr>
              <w:t>$</w:t>
            </w:r>
            <w:r w:rsidR="005D6125" w:rsidRPr="005D6125">
              <w:rPr>
                <w:rFonts w:ascii="Arial Narrow" w:hAnsi="Arial Narrow"/>
                <w:b/>
                <w:color w:val="000000"/>
                <w:sz w:val="20"/>
              </w:rPr>
              <w:t>redacted</w:t>
            </w:r>
          </w:p>
        </w:tc>
        <w:tc>
          <w:tcPr>
            <w:tcW w:w="1134" w:type="dxa"/>
          </w:tcPr>
          <w:p w14:paraId="7105C684" w14:textId="3322AE1D" w:rsidR="00F1514B" w:rsidRPr="00D54755" w:rsidRDefault="00F1514B" w:rsidP="00EA0457">
            <w:pPr>
              <w:keepNext/>
              <w:keepLines/>
              <w:ind w:left="34"/>
              <w:jc w:val="center"/>
              <w:rPr>
                <w:rFonts w:ascii="Arial Narrow" w:hAnsi="Arial Narrow"/>
                <w:sz w:val="20"/>
                <w:lang w:bidi="en-US"/>
              </w:rPr>
            </w:pPr>
            <w:r w:rsidRPr="00D54755">
              <w:rPr>
                <w:rFonts w:ascii="Arial Narrow" w:hAnsi="Arial Narrow"/>
                <w:color w:val="000000"/>
                <w:sz w:val="20"/>
              </w:rPr>
              <w:t>$</w:t>
            </w:r>
            <w:r w:rsidR="005D6125" w:rsidRPr="005D6125">
              <w:rPr>
                <w:rFonts w:ascii="Arial Narrow" w:hAnsi="Arial Narrow"/>
                <w:b/>
                <w:color w:val="000000"/>
                <w:sz w:val="20"/>
              </w:rPr>
              <w:t>redacted</w:t>
            </w:r>
          </w:p>
        </w:tc>
        <w:tc>
          <w:tcPr>
            <w:tcW w:w="1135" w:type="dxa"/>
          </w:tcPr>
          <w:p w14:paraId="059DAEAB" w14:textId="547E5245" w:rsidR="00F1514B" w:rsidRPr="00D54755" w:rsidRDefault="00F1514B" w:rsidP="00EA0457">
            <w:pPr>
              <w:keepNext/>
              <w:keepLines/>
              <w:ind w:left="34"/>
              <w:jc w:val="center"/>
              <w:rPr>
                <w:rFonts w:ascii="Arial Narrow" w:hAnsi="Arial Narrow"/>
                <w:sz w:val="20"/>
                <w:lang w:bidi="en-US"/>
              </w:rPr>
            </w:pPr>
            <w:r w:rsidRPr="00D54755">
              <w:rPr>
                <w:rFonts w:ascii="Arial Narrow" w:hAnsi="Arial Narrow"/>
                <w:color w:val="000000"/>
                <w:sz w:val="20"/>
              </w:rPr>
              <w:t>$</w:t>
            </w:r>
            <w:r w:rsidR="005D6125" w:rsidRPr="005D6125">
              <w:rPr>
                <w:rFonts w:ascii="Arial Narrow" w:hAnsi="Arial Narrow"/>
                <w:b/>
                <w:color w:val="000000"/>
                <w:sz w:val="20"/>
              </w:rPr>
              <w:t>redacted</w:t>
            </w:r>
          </w:p>
        </w:tc>
        <w:tc>
          <w:tcPr>
            <w:tcW w:w="1082" w:type="dxa"/>
          </w:tcPr>
          <w:p w14:paraId="0D427B37" w14:textId="0D2702B4" w:rsidR="00F1514B" w:rsidRPr="00D54755" w:rsidRDefault="00F1514B" w:rsidP="00EA0457">
            <w:pPr>
              <w:keepNext/>
              <w:keepLines/>
              <w:ind w:left="34"/>
              <w:jc w:val="center"/>
              <w:rPr>
                <w:rFonts w:ascii="Arial Narrow" w:hAnsi="Arial Narrow"/>
                <w:sz w:val="20"/>
                <w:lang w:bidi="en-US"/>
              </w:rPr>
            </w:pPr>
            <w:r w:rsidRPr="00D54755">
              <w:rPr>
                <w:rFonts w:ascii="Arial Narrow" w:hAnsi="Arial Narrow"/>
                <w:color w:val="000000"/>
                <w:sz w:val="20"/>
              </w:rPr>
              <w:t>$</w:t>
            </w:r>
            <w:r w:rsidR="005D6125" w:rsidRPr="005D6125">
              <w:rPr>
                <w:rFonts w:ascii="Arial Narrow" w:hAnsi="Arial Narrow"/>
                <w:b/>
                <w:color w:val="000000"/>
                <w:sz w:val="20"/>
              </w:rPr>
              <w:t>redacted</w:t>
            </w:r>
          </w:p>
        </w:tc>
      </w:tr>
      <w:tr w:rsidR="00A73A85" w:rsidRPr="00D7180D" w14:paraId="71C8012D" w14:textId="77777777" w:rsidTr="00A73A85">
        <w:tc>
          <w:tcPr>
            <w:tcW w:w="2263" w:type="dxa"/>
          </w:tcPr>
          <w:p w14:paraId="50001FFF" w14:textId="77777777" w:rsidR="005D6125" w:rsidRPr="00D54755" w:rsidRDefault="005D6125" w:rsidP="005D6125">
            <w:pPr>
              <w:ind w:left="34"/>
              <w:rPr>
                <w:rFonts w:ascii="Arial Narrow" w:hAnsi="Arial Narrow"/>
                <w:sz w:val="20"/>
                <w:lang w:bidi="en-US"/>
              </w:rPr>
            </w:pPr>
            <w:r w:rsidRPr="00D54755">
              <w:rPr>
                <w:rFonts w:ascii="Arial Narrow" w:hAnsi="Arial Narrow"/>
                <w:sz w:val="20"/>
                <w:lang w:bidi="en-US"/>
              </w:rPr>
              <w:t xml:space="preserve">Number of patients no longer tested with germline </w:t>
            </w:r>
            <w:r w:rsidRPr="00D54755">
              <w:rPr>
                <w:rFonts w:ascii="Arial Narrow" w:hAnsi="Arial Narrow"/>
                <w:i/>
                <w:sz w:val="20"/>
                <w:lang w:bidi="en-US"/>
              </w:rPr>
              <w:t>BRCA</w:t>
            </w:r>
            <w:r w:rsidRPr="00D54755">
              <w:rPr>
                <w:rFonts w:ascii="Arial Narrow" w:hAnsi="Arial Narrow"/>
                <w:sz w:val="20"/>
                <w:lang w:bidi="en-US"/>
              </w:rPr>
              <w:t>m test from second-line</w:t>
            </w:r>
          </w:p>
        </w:tc>
        <w:tc>
          <w:tcPr>
            <w:tcW w:w="1134" w:type="dxa"/>
          </w:tcPr>
          <w:p w14:paraId="2FD84CA9" w14:textId="2C9F5A81" w:rsidR="005D6125" w:rsidRPr="00D54755" w:rsidRDefault="005D6125" w:rsidP="005D6125">
            <w:pPr>
              <w:ind w:left="34"/>
              <w:jc w:val="center"/>
              <w:rPr>
                <w:rFonts w:ascii="Arial Narrow" w:hAnsi="Arial Narrow"/>
                <w:color w:val="000000"/>
                <w:sz w:val="20"/>
              </w:rPr>
            </w:pPr>
            <w:r w:rsidRPr="005173E6">
              <w:rPr>
                <w:rFonts w:ascii="Arial Narrow" w:hAnsi="Arial Narrow"/>
                <w:b/>
                <w:color w:val="000000"/>
                <w:sz w:val="20"/>
              </w:rPr>
              <w:t>redacted</w:t>
            </w:r>
          </w:p>
        </w:tc>
        <w:tc>
          <w:tcPr>
            <w:tcW w:w="1134" w:type="dxa"/>
          </w:tcPr>
          <w:p w14:paraId="1801ACC3" w14:textId="785FD9A8" w:rsidR="005D6125" w:rsidRPr="00D54755" w:rsidRDefault="005D6125" w:rsidP="005D6125">
            <w:pPr>
              <w:ind w:left="34"/>
              <w:jc w:val="center"/>
              <w:rPr>
                <w:rFonts w:ascii="Arial Narrow" w:hAnsi="Arial Narrow"/>
                <w:color w:val="000000"/>
                <w:sz w:val="20"/>
              </w:rPr>
            </w:pPr>
            <w:r w:rsidRPr="005173E6">
              <w:rPr>
                <w:rFonts w:ascii="Arial Narrow" w:hAnsi="Arial Narrow"/>
                <w:b/>
                <w:color w:val="000000"/>
                <w:sz w:val="20"/>
              </w:rPr>
              <w:t>redacted</w:t>
            </w:r>
          </w:p>
        </w:tc>
        <w:tc>
          <w:tcPr>
            <w:tcW w:w="1134" w:type="dxa"/>
          </w:tcPr>
          <w:p w14:paraId="134D859E" w14:textId="102DF739" w:rsidR="005D6125" w:rsidRPr="00D54755" w:rsidRDefault="005D6125" w:rsidP="005D6125">
            <w:pPr>
              <w:ind w:left="34"/>
              <w:jc w:val="center"/>
              <w:rPr>
                <w:rFonts w:ascii="Arial Narrow" w:hAnsi="Arial Narrow"/>
                <w:color w:val="000000"/>
                <w:sz w:val="20"/>
              </w:rPr>
            </w:pPr>
            <w:r w:rsidRPr="005173E6">
              <w:rPr>
                <w:rFonts w:ascii="Arial Narrow" w:hAnsi="Arial Narrow"/>
                <w:b/>
                <w:color w:val="000000"/>
                <w:sz w:val="20"/>
              </w:rPr>
              <w:t>redacted</w:t>
            </w:r>
          </w:p>
        </w:tc>
        <w:tc>
          <w:tcPr>
            <w:tcW w:w="1134" w:type="dxa"/>
          </w:tcPr>
          <w:p w14:paraId="200BAA89" w14:textId="4E71FC7B" w:rsidR="005D6125" w:rsidRPr="00D54755" w:rsidRDefault="005D6125" w:rsidP="005D6125">
            <w:pPr>
              <w:ind w:left="34"/>
              <w:jc w:val="center"/>
              <w:rPr>
                <w:rFonts w:ascii="Arial Narrow" w:hAnsi="Arial Narrow"/>
                <w:color w:val="000000"/>
                <w:sz w:val="20"/>
              </w:rPr>
            </w:pPr>
            <w:r w:rsidRPr="005173E6">
              <w:rPr>
                <w:rFonts w:ascii="Arial Narrow" w:hAnsi="Arial Narrow"/>
                <w:b/>
                <w:color w:val="000000"/>
                <w:sz w:val="20"/>
              </w:rPr>
              <w:t>redacted</w:t>
            </w:r>
          </w:p>
        </w:tc>
        <w:tc>
          <w:tcPr>
            <w:tcW w:w="1135" w:type="dxa"/>
          </w:tcPr>
          <w:p w14:paraId="7A99FCB8" w14:textId="05EFCC0F" w:rsidR="005D6125" w:rsidRPr="00D54755" w:rsidRDefault="005D6125" w:rsidP="005D6125">
            <w:pPr>
              <w:ind w:left="34"/>
              <w:jc w:val="center"/>
              <w:rPr>
                <w:rFonts w:ascii="Arial Narrow" w:hAnsi="Arial Narrow"/>
                <w:color w:val="000000"/>
                <w:sz w:val="20"/>
              </w:rPr>
            </w:pPr>
            <w:r w:rsidRPr="005173E6">
              <w:rPr>
                <w:rFonts w:ascii="Arial Narrow" w:hAnsi="Arial Narrow"/>
                <w:b/>
                <w:color w:val="000000"/>
                <w:sz w:val="20"/>
              </w:rPr>
              <w:t>redacted</w:t>
            </w:r>
          </w:p>
        </w:tc>
        <w:tc>
          <w:tcPr>
            <w:tcW w:w="1082" w:type="dxa"/>
          </w:tcPr>
          <w:p w14:paraId="00810C78" w14:textId="5B7418F7" w:rsidR="005D6125" w:rsidRPr="00D54755" w:rsidRDefault="005D6125" w:rsidP="005D6125">
            <w:pPr>
              <w:ind w:left="34"/>
              <w:jc w:val="center"/>
              <w:rPr>
                <w:rFonts w:ascii="Arial Narrow" w:hAnsi="Arial Narrow"/>
                <w:color w:val="000000"/>
                <w:sz w:val="20"/>
              </w:rPr>
            </w:pPr>
            <w:r w:rsidRPr="005173E6">
              <w:rPr>
                <w:rFonts w:ascii="Arial Narrow" w:hAnsi="Arial Narrow"/>
                <w:b/>
                <w:color w:val="000000"/>
                <w:sz w:val="20"/>
              </w:rPr>
              <w:t>redacted</w:t>
            </w:r>
          </w:p>
        </w:tc>
      </w:tr>
      <w:tr w:rsidR="00A73A85" w:rsidRPr="00AF4BE4" w14:paraId="4808055E" w14:textId="77777777" w:rsidTr="00A73A85">
        <w:tc>
          <w:tcPr>
            <w:tcW w:w="2263" w:type="dxa"/>
          </w:tcPr>
          <w:p w14:paraId="20E21449" w14:textId="77777777" w:rsidR="00F1514B" w:rsidRPr="00D54755" w:rsidRDefault="00F1514B" w:rsidP="00EA0457">
            <w:pPr>
              <w:ind w:left="34"/>
              <w:rPr>
                <w:rFonts w:ascii="Arial Narrow" w:hAnsi="Arial Narrow"/>
                <w:sz w:val="20"/>
                <w:lang w:bidi="en-US"/>
              </w:rPr>
            </w:pPr>
            <w:r w:rsidRPr="00D54755">
              <w:rPr>
                <w:rFonts w:ascii="Arial Narrow" w:hAnsi="Arial Narrow"/>
                <w:sz w:val="20"/>
                <w:lang w:bidi="en-US"/>
              </w:rPr>
              <w:t>Saving to MBS</w:t>
            </w:r>
          </w:p>
        </w:tc>
        <w:tc>
          <w:tcPr>
            <w:tcW w:w="1134" w:type="dxa"/>
          </w:tcPr>
          <w:p w14:paraId="1C30F9FB" w14:textId="4FA7AB4E" w:rsidR="00F1514B" w:rsidRPr="00D54755" w:rsidRDefault="00F1514B" w:rsidP="00EA0457">
            <w:pPr>
              <w:ind w:left="34"/>
              <w:jc w:val="center"/>
              <w:rPr>
                <w:rFonts w:ascii="Arial Narrow" w:hAnsi="Arial Narrow"/>
                <w:sz w:val="20"/>
                <w:highlight w:val="yellow"/>
                <w:lang w:bidi="en-US"/>
              </w:rPr>
            </w:pPr>
            <w:r w:rsidRPr="00D54755">
              <w:rPr>
                <w:rFonts w:ascii="Arial Narrow" w:hAnsi="Arial Narrow"/>
                <w:sz w:val="20"/>
              </w:rPr>
              <w:t>$</w:t>
            </w:r>
            <w:r w:rsidR="005D6125" w:rsidRPr="005D6125">
              <w:rPr>
                <w:rFonts w:ascii="Arial Narrow" w:hAnsi="Arial Narrow"/>
                <w:b/>
                <w:color w:val="000000"/>
                <w:sz w:val="20"/>
              </w:rPr>
              <w:t>redacted</w:t>
            </w:r>
          </w:p>
        </w:tc>
        <w:tc>
          <w:tcPr>
            <w:tcW w:w="1134" w:type="dxa"/>
          </w:tcPr>
          <w:p w14:paraId="1DF2D446" w14:textId="006694A3" w:rsidR="00F1514B" w:rsidRPr="00D54755" w:rsidRDefault="00F1514B" w:rsidP="00EA0457">
            <w:pPr>
              <w:ind w:left="34"/>
              <w:jc w:val="center"/>
              <w:rPr>
                <w:rFonts w:ascii="Arial Narrow" w:hAnsi="Arial Narrow"/>
                <w:sz w:val="20"/>
                <w:highlight w:val="yellow"/>
                <w:lang w:bidi="en-US"/>
              </w:rPr>
            </w:pPr>
            <w:r w:rsidRPr="00D54755">
              <w:rPr>
                <w:rFonts w:ascii="Arial Narrow" w:hAnsi="Arial Narrow"/>
                <w:sz w:val="20"/>
              </w:rPr>
              <w:t>$</w:t>
            </w:r>
            <w:r w:rsidR="005D6125" w:rsidRPr="005D6125">
              <w:rPr>
                <w:rFonts w:ascii="Arial Narrow" w:hAnsi="Arial Narrow"/>
                <w:b/>
                <w:color w:val="000000"/>
                <w:sz w:val="20"/>
              </w:rPr>
              <w:t>redacted</w:t>
            </w:r>
          </w:p>
        </w:tc>
        <w:tc>
          <w:tcPr>
            <w:tcW w:w="1134" w:type="dxa"/>
          </w:tcPr>
          <w:p w14:paraId="07C63CDA" w14:textId="704981F5" w:rsidR="00F1514B" w:rsidRPr="00D54755" w:rsidRDefault="00F1514B" w:rsidP="00EA0457">
            <w:pPr>
              <w:ind w:left="34"/>
              <w:jc w:val="center"/>
              <w:rPr>
                <w:rFonts w:ascii="Arial Narrow" w:hAnsi="Arial Narrow"/>
                <w:sz w:val="20"/>
                <w:highlight w:val="yellow"/>
                <w:lang w:bidi="en-US"/>
              </w:rPr>
            </w:pPr>
            <w:r w:rsidRPr="00D54755">
              <w:rPr>
                <w:rFonts w:ascii="Arial Narrow" w:hAnsi="Arial Narrow"/>
                <w:sz w:val="20"/>
              </w:rPr>
              <w:t>$</w:t>
            </w:r>
            <w:r w:rsidR="005D6125" w:rsidRPr="005D6125">
              <w:rPr>
                <w:rFonts w:ascii="Arial Narrow" w:hAnsi="Arial Narrow"/>
                <w:b/>
                <w:color w:val="000000"/>
                <w:sz w:val="20"/>
              </w:rPr>
              <w:t>redacted</w:t>
            </w:r>
          </w:p>
        </w:tc>
        <w:tc>
          <w:tcPr>
            <w:tcW w:w="1134" w:type="dxa"/>
          </w:tcPr>
          <w:p w14:paraId="5B192C3E" w14:textId="08199FD6" w:rsidR="00F1514B" w:rsidRPr="00D54755" w:rsidRDefault="00F1514B" w:rsidP="00EA0457">
            <w:pPr>
              <w:ind w:left="34"/>
              <w:jc w:val="center"/>
              <w:rPr>
                <w:rFonts w:ascii="Arial Narrow" w:hAnsi="Arial Narrow"/>
                <w:sz w:val="20"/>
                <w:highlight w:val="yellow"/>
                <w:lang w:bidi="en-US"/>
              </w:rPr>
            </w:pPr>
            <w:r w:rsidRPr="00D54755">
              <w:rPr>
                <w:rFonts w:ascii="Arial Narrow" w:hAnsi="Arial Narrow"/>
                <w:sz w:val="20"/>
              </w:rPr>
              <w:t>$</w:t>
            </w:r>
            <w:r w:rsidR="005D6125" w:rsidRPr="005D6125">
              <w:rPr>
                <w:rFonts w:ascii="Arial Narrow" w:hAnsi="Arial Narrow"/>
                <w:b/>
                <w:color w:val="000000"/>
                <w:sz w:val="20"/>
              </w:rPr>
              <w:t>redacted</w:t>
            </w:r>
          </w:p>
        </w:tc>
        <w:tc>
          <w:tcPr>
            <w:tcW w:w="1135" w:type="dxa"/>
          </w:tcPr>
          <w:p w14:paraId="6FC33770" w14:textId="05E9CB99" w:rsidR="00F1514B" w:rsidRPr="00D54755" w:rsidRDefault="00F1514B" w:rsidP="00EA0457">
            <w:pPr>
              <w:ind w:left="34"/>
              <w:jc w:val="center"/>
              <w:rPr>
                <w:rFonts w:ascii="Arial Narrow" w:hAnsi="Arial Narrow"/>
                <w:sz w:val="20"/>
                <w:highlight w:val="yellow"/>
                <w:lang w:bidi="en-US"/>
              </w:rPr>
            </w:pPr>
            <w:r w:rsidRPr="00D54755">
              <w:rPr>
                <w:rFonts w:ascii="Arial Narrow" w:hAnsi="Arial Narrow"/>
                <w:sz w:val="20"/>
              </w:rPr>
              <w:t>$</w:t>
            </w:r>
            <w:r w:rsidR="005D6125" w:rsidRPr="005D6125">
              <w:rPr>
                <w:rFonts w:ascii="Arial Narrow" w:hAnsi="Arial Narrow"/>
                <w:b/>
                <w:color w:val="000000"/>
                <w:sz w:val="20"/>
              </w:rPr>
              <w:t>redacted</w:t>
            </w:r>
          </w:p>
        </w:tc>
        <w:tc>
          <w:tcPr>
            <w:tcW w:w="1082" w:type="dxa"/>
          </w:tcPr>
          <w:p w14:paraId="2F32B9A0" w14:textId="76DFBF67" w:rsidR="00F1514B" w:rsidRPr="00D54755" w:rsidRDefault="00F1514B" w:rsidP="00EA0457">
            <w:pPr>
              <w:ind w:left="34"/>
              <w:jc w:val="center"/>
              <w:rPr>
                <w:rFonts w:ascii="Arial Narrow" w:hAnsi="Arial Narrow"/>
                <w:sz w:val="20"/>
                <w:highlight w:val="yellow"/>
                <w:lang w:bidi="en-US"/>
              </w:rPr>
            </w:pPr>
            <w:r w:rsidRPr="00D54755">
              <w:rPr>
                <w:rFonts w:ascii="Arial Narrow" w:hAnsi="Arial Narrow"/>
                <w:sz w:val="20"/>
              </w:rPr>
              <w:t>$</w:t>
            </w:r>
            <w:r w:rsidR="005D6125" w:rsidRPr="005D6125">
              <w:rPr>
                <w:rFonts w:ascii="Arial Narrow" w:hAnsi="Arial Narrow"/>
                <w:b/>
                <w:color w:val="000000"/>
                <w:sz w:val="20"/>
              </w:rPr>
              <w:t>redacted</w:t>
            </w:r>
          </w:p>
        </w:tc>
      </w:tr>
      <w:tr w:rsidR="00A73A85" w:rsidRPr="005073AA" w14:paraId="4082FC60" w14:textId="77777777" w:rsidTr="00A73A85">
        <w:tc>
          <w:tcPr>
            <w:tcW w:w="2263" w:type="dxa"/>
          </w:tcPr>
          <w:p w14:paraId="76C2C39B" w14:textId="77777777" w:rsidR="00F1514B" w:rsidRPr="00D54755" w:rsidRDefault="00F1514B" w:rsidP="00EA0457">
            <w:pPr>
              <w:ind w:left="34"/>
              <w:rPr>
                <w:rFonts w:ascii="Arial Narrow" w:hAnsi="Arial Narrow"/>
                <w:sz w:val="20"/>
                <w:lang w:bidi="en-US"/>
              </w:rPr>
            </w:pPr>
            <w:r w:rsidRPr="00D54755">
              <w:rPr>
                <w:rFonts w:ascii="Arial Narrow" w:hAnsi="Arial Narrow"/>
                <w:sz w:val="20"/>
                <w:lang w:bidi="en-US"/>
              </w:rPr>
              <w:t>Net cost to the MBS</w:t>
            </w:r>
          </w:p>
        </w:tc>
        <w:tc>
          <w:tcPr>
            <w:tcW w:w="1134" w:type="dxa"/>
          </w:tcPr>
          <w:p w14:paraId="28D7170F" w14:textId="00BEB6C0" w:rsidR="00F1514B" w:rsidRPr="00D54755" w:rsidRDefault="00F1514B" w:rsidP="00EA0457">
            <w:pPr>
              <w:ind w:left="34"/>
              <w:jc w:val="center"/>
              <w:rPr>
                <w:rFonts w:ascii="Arial Narrow" w:hAnsi="Arial Narrow"/>
                <w:sz w:val="20"/>
                <w:highlight w:val="yellow"/>
                <w:lang w:bidi="en-US"/>
              </w:rPr>
            </w:pPr>
            <w:r w:rsidRPr="00D54755">
              <w:rPr>
                <w:rFonts w:ascii="Arial Narrow" w:hAnsi="Arial Narrow"/>
                <w:color w:val="000000"/>
                <w:sz w:val="20"/>
              </w:rPr>
              <w:t>$</w:t>
            </w:r>
            <w:r w:rsidR="005D6125" w:rsidRPr="005D6125">
              <w:rPr>
                <w:rFonts w:ascii="Arial Narrow" w:hAnsi="Arial Narrow"/>
                <w:b/>
                <w:color w:val="000000"/>
                <w:sz w:val="20"/>
              </w:rPr>
              <w:t>redacted</w:t>
            </w:r>
          </w:p>
        </w:tc>
        <w:tc>
          <w:tcPr>
            <w:tcW w:w="1134" w:type="dxa"/>
          </w:tcPr>
          <w:p w14:paraId="5E9C56C4" w14:textId="2F759F9E" w:rsidR="00F1514B" w:rsidRPr="00D54755" w:rsidRDefault="00F1514B" w:rsidP="00EA0457">
            <w:pPr>
              <w:ind w:left="34"/>
              <w:jc w:val="center"/>
              <w:rPr>
                <w:rFonts w:ascii="Arial Narrow" w:hAnsi="Arial Narrow"/>
                <w:sz w:val="20"/>
                <w:highlight w:val="yellow"/>
                <w:lang w:bidi="en-US"/>
              </w:rPr>
            </w:pPr>
            <w:r w:rsidRPr="00D54755">
              <w:rPr>
                <w:rFonts w:ascii="Arial Narrow" w:hAnsi="Arial Narrow"/>
                <w:color w:val="000000"/>
                <w:sz w:val="20"/>
              </w:rPr>
              <w:t>$</w:t>
            </w:r>
            <w:r w:rsidR="005D6125" w:rsidRPr="005D6125">
              <w:rPr>
                <w:rFonts w:ascii="Arial Narrow" w:hAnsi="Arial Narrow"/>
                <w:b/>
                <w:color w:val="000000"/>
                <w:sz w:val="20"/>
              </w:rPr>
              <w:t>redacted</w:t>
            </w:r>
          </w:p>
        </w:tc>
        <w:tc>
          <w:tcPr>
            <w:tcW w:w="1134" w:type="dxa"/>
          </w:tcPr>
          <w:p w14:paraId="2EB97F83" w14:textId="4E794F42" w:rsidR="00F1514B" w:rsidRPr="00D54755" w:rsidRDefault="00F1514B" w:rsidP="00EA0457">
            <w:pPr>
              <w:ind w:left="34"/>
              <w:jc w:val="center"/>
              <w:rPr>
                <w:rFonts w:ascii="Arial Narrow" w:hAnsi="Arial Narrow"/>
                <w:sz w:val="20"/>
                <w:highlight w:val="yellow"/>
                <w:lang w:bidi="en-US"/>
              </w:rPr>
            </w:pPr>
            <w:r w:rsidRPr="00D54755">
              <w:rPr>
                <w:rFonts w:ascii="Arial Narrow" w:hAnsi="Arial Narrow"/>
                <w:color w:val="000000"/>
                <w:sz w:val="20"/>
              </w:rPr>
              <w:t>$</w:t>
            </w:r>
            <w:r w:rsidR="005D6125" w:rsidRPr="005D6125">
              <w:rPr>
                <w:rFonts w:ascii="Arial Narrow" w:hAnsi="Arial Narrow"/>
                <w:b/>
                <w:color w:val="000000"/>
                <w:sz w:val="20"/>
              </w:rPr>
              <w:t>redacted</w:t>
            </w:r>
          </w:p>
        </w:tc>
        <w:tc>
          <w:tcPr>
            <w:tcW w:w="1134" w:type="dxa"/>
          </w:tcPr>
          <w:p w14:paraId="1D5D840E" w14:textId="1EE27AAC" w:rsidR="00F1514B" w:rsidRPr="00D54755" w:rsidRDefault="00F1514B" w:rsidP="00EA0457">
            <w:pPr>
              <w:ind w:left="34"/>
              <w:jc w:val="center"/>
              <w:rPr>
                <w:rFonts w:ascii="Arial Narrow" w:hAnsi="Arial Narrow"/>
                <w:sz w:val="20"/>
                <w:highlight w:val="yellow"/>
                <w:lang w:bidi="en-US"/>
              </w:rPr>
            </w:pPr>
            <w:r w:rsidRPr="00D54755">
              <w:rPr>
                <w:rFonts w:ascii="Arial Narrow" w:hAnsi="Arial Narrow"/>
                <w:color w:val="000000"/>
                <w:sz w:val="20"/>
              </w:rPr>
              <w:t>$</w:t>
            </w:r>
            <w:r w:rsidR="005D6125" w:rsidRPr="005D6125">
              <w:rPr>
                <w:rFonts w:ascii="Arial Narrow" w:hAnsi="Arial Narrow"/>
                <w:b/>
                <w:color w:val="000000"/>
                <w:sz w:val="20"/>
              </w:rPr>
              <w:t>redacted</w:t>
            </w:r>
          </w:p>
        </w:tc>
        <w:tc>
          <w:tcPr>
            <w:tcW w:w="1135" w:type="dxa"/>
          </w:tcPr>
          <w:p w14:paraId="279FE128" w14:textId="7188D2A0" w:rsidR="00F1514B" w:rsidRPr="00D54755" w:rsidRDefault="00F1514B" w:rsidP="00EA0457">
            <w:pPr>
              <w:ind w:left="34"/>
              <w:jc w:val="center"/>
              <w:rPr>
                <w:rFonts w:ascii="Arial Narrow" w:hAnsi="Arial Narrow"/>
                <w:sz w:val="20"/>
                <w:highlight w:val="yellow"/>
                <w:lang w:bidi="en-US"/>
              </w:rPr>
            </w:pPr>
            <w:r w:rsidRPr="00D54755">
              <w:rPr>
                <w:rFonts w:ascii="Arial Narrow" w:hAnsi="Arial Narrow"/>
                <w:color w:val="000000"/>
                <w:sz w:val="20"/>
              </w:rPr>
              <w:t>$</w:t>
            </w:r>
            <w:r w:rsidR="005D6125" w:rsidRPr="005D6125">
              <w:rPr>
                <w:rFonts w:ascii="Arial Narrow" w:hAnsi="Arial Narrow"/>
                <w:b/>
                <w:color w:val="000000"/>
                <w:sz w:val="20"/>
              </w:rPr>
              <w:t>redacted</w:t>
            </w:r>
          </w:p>
        </w:tc>
        <w:tc>
          <w:tcPr>
            <w:tcW w:w="1082" w:type="dxa"/>
          </w:tcPr>
          <w:p w14:paraId="3B8D8DBA" w14:textId="29054288" w:rsidR="00F1514B" w:rsidRPr="00D54755" w:rsidRDefault="00F1514B" w:rsidP="00EA0457">
            <w:pPr>
              <w:ind w:left="34"/>
              <w:jc w:val="center"/>
              <w:rPr>
                <w:rFonts w:ascii="Arial Narrow" w:hAnsi="Arial Narrow"/>
                <w:sz w:val="20"/>
                <w:highlight w:val="yellow"/>
                <w:lang w:bidi="en-US"/>
              </w:rPr>
            </w:pPr>
            <w:r w:rsidRPr="00D54755">
              <w:rPr>
                <w:rFonts w:ascii="Arial Narrow" w:hAnsi="Arial Narrow"/>
                <w:color w:val="000000"/>
                <w:sz w:val="20"/>
              </w:rPr>
              <w:t>$</w:t>
            </w:r>
            <w:r w:rsidR="005D6125" w:rsidRPr="005D6125">
              <w:rPr>
                <w:rFonts w:ascii="Arial Narrow" w:hAnsi="Arial Narrow"/>
                <w:b/>
                <w:color w:val="000000"/>
                <w:sz w:val="20"/>
              </w:rPr>
              <w:t>redacted</w:t>
            </w:r>
          </w:p>
        </w:tc>
      </w:tr>
    </w:tbl>
    <w:p w14:paraId="1447F47A" w14:textId="05815A95" w:rsidR="000A153F" w:rsidRDefault="000A153F" w:rsidP="000A153F">
      <w:pPr>
        <w:rPr>
          <w:rFonts w:ascii="Arial Narrow" w:hAnsi="Arial Narrow"/>
          <w:sz w:val="18"/>
        </w:rPr>
      </w:pPr>
      <w:r w:rsidRPr="000A153F">
        <w:rPr>
          <w:rFonts w:ascii="Arial Narrow" w:hAnsi="Arial Narrow"/>
          <w:sz w:val="18"/>
        </w:rPr>
        <w:t>Source: Table 1, p3 of Minor Submission</w:t>
      </w:r>
    </w:p>
    <w:p w14:paraId="0FECA565" w14:textId="1D43DFF9" w:rsidR="000A153F" w:rsidRPr="000A153F" w:rsidRDefault="000A153F" w:rsidP="000A153F">
      <w:pPr>
        <w:spacing w:after="240"/>
        <w:rPr>
          <w:rFonts w:ascii="Arial Narrow" w:hAnsi="Arial Narrow"/>
          <w:i/>
          <w:sz w:val="18"/>
        </w:rPr>
      </w:pPr>
      <w:r w:rsidRPr="000A153F">
        <w:rPr>
          <w:rFonts w:ascii="Arial Narrow" w:hAnsi="Arial Narrow"/>
          <w:i/>
          <w:sz w:val="18"/>
        </w:rPr>
        <w:t>Note, based on 85% MBS rebate</w:t>
      </w:r>
    </w:p>
    <w:p w14:paraId="7C583002" w14:textId="77777777" w:rsidR="00BC1364" w:rsidRPr="00F715D1" w:rsidRDefault="00C06B0B" w:rsidP="00F715D1">
      <w:pPr>
        <w:pStyle w:val="Heading1"/>
      </w:pPr>
      <w:r>
        <w:t>Applicant</w:t>
      </w:r>
      <w:r w:rsidR="00BC1364" w:rsidRPr="00F715D1">
        <w:t xml:space="preserve"> comments on MSAC’s </w:t>
      </w:r>
      <w:r w:rsidR="00DA56AA" w:rsidRPr="00F715D1">
        <w:t>Public Summary Document</w:t>
      </w:r>
    </w:p>
    <w:p w14:paraId="5E36AFBD" w14:textId="367E2953" w:rsidR="00BC1364" w:rsidRPr="00515B01" w:rsidRDefault="005D6125" w:rsidP="00F715D1">
      <w:pPr>
        <w:spacing w:after="240"/>
        <w:rPr>
          <w:szCs w:val="24"/>
        </w:rPr>
      </w:pPr>
      <w:r w:rsidRPr="00515B01">
        <w:rPr>
          <w:szCs w:val="24"/>
        </w:rPr>
        <w:t>The Applicant had no comment.</w:t>
      </w:r>
    </w:p>
    <w:p w14:paraId="7300DEF7" w14:textId="77777777" w:rsidR="00BC1364" w:rsidRPr="00F715D1" w:rsidRDefault="00271F18" w:rsidP="00F715D1">
      <w:pPr>
        <w:pStyle w:val="Heading1"/>
      </w:pPr>
      <w:r w:rsidRPr="00F715D1">
        <w:t>Further inf</w:t>
      </w:r>
      <w:bookmarkStart w:id="4" w:name="_GoBack"/>
      <w:bookmarkEnd w:id="4"/>
      <w:r w:rsidRPr="00F715D1">
        <w:t>ormation on MSAC</w:t>
      </w:r>
    </w:p>
    <w:p w14:paraId="0376ACDC"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2" w:tooltip="Link to Medical Services Advisory Committee website" w:history="1">
        <w:r w:rsidR="00BC2667" w:rsidRPr="00F715D1">
          <w:rPr>
            <w:rStyle w:val="Hyperlink"/>
            <w:szCs w:val="24"/>
          </w:rPr>
          <w:t>visit the MSAC website</w:t>
        </w:r>
      </w:hyperlink>
    </w:p>
    <w:sectPr w:rsidR="00BC1364" w:rsidRPr="00F715D1" w:rsidSect="00271F18">
      <w:headerReference w:type="even" r:id="rId13"/>
      <w:headerReference w:type="default" r:id="rId14"/>
      <w:footerReference w:type="even" r:id="rId15"/>
      <w:footerReference w:type="default" r:id="rId16"/>
      <w:headerReference w:type="first" r:id="rId17"/>
      <w:footerReference w:type="first" r:id="rId18"/>
      <w:pgSz w:w="11906" w:h="16838"/>
      <w:pgMar w:top="1134" w:right="1440" w:bottom="42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23F04" w16cex:dateUtc="2020-08-15T01:31:00Z"/>
  <w16cex:commentExtensible w16cex:durableId="22E23FF6" w16cex:dateUtc="2020-08-15T01:35:00Z"/>
  <w16cex:commentExtensible w16cex:durableId="22E24185" w16cex:dateUtc="2020-08-15T01:42:00Z"/>
  <w16cex:commentExtensible w16cex:durableId="22E2424A" w16cex:dateUtc="2020-08-15T01:45:00Z"/>
  <w16cex:commentExtensible w16cex:durableId="22E4B59D" w16cex:dateUtc="2020-08-16T22:21:00Z"/>
  <w16cex:commentExtensible w16cex:durableId="22E4BA39" w16cex:dateUtc="2020-08-16T2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54D094" w16cid:durableId="22E23F04"/>
  <w16cid:commentId w16cid:paraId="5F4F2E07" w16cid:durableId="22E23FF6"/>
  <w16cid:commentId w16cid:paraId="3EDF4174" w16cid:durableId="22E24185"/>
  <w16cid:commentId w16cid:paraId="58FAF464" w16cid:durableId="22E2424A"/>
  <w16cid:commentId w16cid:paraId="0C8DA6EA" w16cid:durableId="22E4B59D"/>
  <w16cid:commentId w16cid:paraId="7A327BF6" w16cid:durableId="22E4BA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72312" w14:textId="77777777" w:rsidR="006F621A" w:rsidRDefault="006F621A" w:rsidP="00065623">
      <w:r>
        <w:separator/>
      </w:r>
    </w:p>
  </w:endnote>
  <w:endnote w:type="continuationSeparator" w:id="0">
    <w:p w14:paraId="15CC4228" w14:textId="77777777" w:rsidR="006F621A" w:rsidRDefault="006F621A"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1D9B1" w14:textId="77777777" w:rsidR="00C70E83" w:rsidRDefault="00C70E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482CD07A" w14:textId="0883D687" w:rsidR="00352224" w:rsidRDefault="00352224">
        <w:pPr>
          <w:pStyle w:val="Footer"/>
          <w:jc w:val="right"/>
        </w:pPr>
        <w:r>
          <w:fldChar w:fldCharType="begin"/>
        </w:r>
        <w:r>
          <w:instrText xml:space="preserve"> PAGE   \* MERGEFORMAT </w:instrText>
        </w:r>
        <w:r>
          <w:fldChar w:fldCharType="separate"/>
        </w:r>
        <w:r w:rsidR="00214F1A">
          <w:rPr>
            <w:noProof/>
          </w:rPr>
          <w:t>5</w:t>
        </w:r>
        <w:r>
          <w:rPr>
            <w:noProof/>
          </w:rPr>
          <w:fldChar w:fldCharType="end"/>
        </w:r>
      </w:p>
    </w:sdtContent>
  </w:sdt>
  <w:p w14:paraId="7A46AE43" w14:textId="77777777" w:rsidR="00BC1364" w:rsidRDefault="00BC13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32A6C" w14:textId="77777777" w:rsidR="00C70E83" w:rsidRDefault="00C70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97242" w14:textId="77777777" w:rsidR="006F621A" w:rsidRDefault="006F621A" w:rsidP="00065623">
      <w:r>
        <w:separator/>
      </w:r>
    </w:p>
  </w:footnote>
  <w:footnote w:type="continuationSeparator" w:id="0">
    <w:p w14:paraId="7CAAD229" w14:textId="77777777" w:rsidR="006F621A" w:rsidRDefault="006F621A" w:rsidP="00065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D9BDF" w14:textId="77777777" w:rsidR="00C70E83" w:rsidRDefault="00C70E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A9A30" w14:textId="77777777" w:rsidR="00C70E83" w:rsidRDefault="00C70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C2931" w14:textId="77777777" w:rsidR="00C70E83" w:rsidRDefault="00C70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3"/>
  </w:num>
  <w:num w:numId="3">
    <w:abstractNumId w:val="1"/>
  </w:num>
  <w:num w:numId="4">
    <w:abstractNumId w:val="15"/>
  </w:num>
  <w:num w:numId="5">
    <w:abstractNumId w:val="9"/>
  </w:num>
  <w:num w:numId="6">
    <w:abstractNumId w:val="14"/>
  </w:num>
  <w:num w:numId="7">
    <w:abstractNumId w:val="18"/>
  </w:num>
  <w:num w:numId="8">
    <w:abstractNumId w:val="10"/>
  </w:num>
  <w:num w:numId="9">
    <w:abstractNumId w:val="24"/>
  </w:num>
  <w:num w:numId="10">
    <w:abstractNumId w:val="0"/>
  </w:num>
  <w:num w:numId="11">
    <w:abstractNumId w:val="17"/>
  </w:num>
  <w:num w:numId="12">
    <w:abstractNumId w:val="19"/>
  </w:num>
  <w:num w:numId="13">
    <w:abstractNumId w:val="4"/>
  </w:num>
  <w:num w:numId="14">
    <w:abstractNumId w:val="23"/>
  </w:num>
  <w:num w:numId="15">
    <w:abstractNumId w:val="16"/>
  </w:num>
  <w:num w:numId="16">
    <w:abstractNumId w:val="20"/>
  </w:num>
  <w:num w:numId="17">
    <w:abstractNumId w:val="11"/>
  </w:num>
  <w:num w:numId="18">
    <w:abstractNumId w:val="12"/>
  </w:num>
  <w:num w:numId="19">
    <w:abstractNumId w:val="22"/>
  </w:num>
  <w:num w:numId="20">
    <w:abstractNumId w:val="21"/>
  </w:num>
  <w:num w:numId="21">
    <w:abstractNumId w:val="3"/>
  </w:num>
  <w:num w:numId="22">
    <w:abstractNumId w:val="8"/>
  </w:num>
  <w:num w:numId="23">
    <w:abstractNumId w:val="2"/>
  </w:num>
  <w:num w:numId="24">
    <w:abstractNumId w:val="7"/>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7312"/>
    <w:rsid w:val="00011A36"/>
    <w:rsid w:val="0001311B"/>
    <w:rsid w:val="0001332A"/>
    <w:rsid w:val="000317F2"/>
    <w:rsid w:val="000364F9"/>
    <w:rsid w:val="00047606"/>
    <w:rsid w:val="00057592"/>
    <w:rsid w:val="00065623"/>
    <w:rsid w:val="000756B9"/>
    <w:rsid w:val="00096B67"/>
    <w:rsid w:val="00096DAF"/>
    <w:rsid w:val="000A153F"/>
    <w:rsid w:val="000B3CE8"/>
    <w:rsid w:val="000C2F47"/>
    <w:rsid w:val="000D2B9A"/>
    <w:rsid w:val="000D6C00"/>
    <w:rsid w:val="000E4E04"/>
    <w:rsid w:val="000F14B4"/>
    <w:rsid w:val="000F75DF"/>
    <w:rsid w:val="001023DC"/>
    <w:rsid w:val="001328FA"/>
    <w:rsid w:val="00147AAF"/>
    <w:rsid w:val="001552C0"/>
    <w:rsid w:val="001640B1"/>
    <w:rsid w:val="0018435E"/>
    <w:rsid w:val="00193433"/>
    <w:rsid w:val="002041A1"/>
    <w:rsid w:val="002054F0"/>
    <w:rsid w:val="00214F1A"/>
    <w:rsid w:val="00230D6B"/>
    <w:rsid w:val="00232068"/>
    <w:rsid w:val="002330F2"/>
    <w:rsid w:val="00243D9E"/>
    <w:rsid w:val="00253B66"/>
    <w:rsid w:val="00261DF1"/>
    <w:rsid w:val="0026661F"/>
    <w:rsid w:val="00271F18"/>
    <w:rsid w:val="0027644C"/>
    <w:rsid w:val="00282779"/>
    <w:rsid w:val="0028334D"/>
    <w:rsid w:val="002B7FFA"/>
    <w:rsid w:val="002C2BCF"/>
    <w:rsid w:val="002F279D"/>
    <w:rsid w:val="002F43B8"/>
    <w:rsid w:val="00310F37"/>
    <w:rsid w:val="00336856"/>
    <w:rsid w:val="0034554D"/>
    <w:rsid w:val="00347CDB"/>
    <w:rsid w:val="00352224"/>
    <w:rsid w:val="003671E6"/>
    <w:rsid w:val="00384272"/>
    <w:rsid w:val="00386D67"/>
    <w:rsid w:val="003945B8"/>
    <w:rsid w:val="003D7F29"/>
    <w:rsid w:val="003E70F4"/>
    <w:rsid w:val="003F0453"/>
    <w:rsid w:val="003F3A6E"/>
    <w:rsid w:val="00405A6B"/>
    <w:rsid w:val="00407B1F"/>
    <w:rsid w:val="0041184F"/>
    <w:rsid w:val="00414C57"/>
    <w:rsid w:val="0041758C"/>
    <w:rsid w:val="004539DE"/>
    <w:rsid w:val="004A18A2"/>
    <w:rsid w:val="004A2CF1"/>
    <w:rsid w:val="004C3035"/>
    <w:rsid w:val="004C307F"/>
    <w:rsid w:val="004E4BA8"/>
    <w:rsid w:val="004F340F"/>
    <w:rsid w:val="004F7B7C"/>
    <w:rsid w:val="00515B01"/>
    <w:rsid w:val="0052243D"/>
    <w:rsid w:val="00532435"/>
    <w:rsid w:val="00540B50"/>
    <w:rsid w:val="00550354"/>
    <w:rsid w:val="0055197D"/>
    <w:rsid w:val="00556A09"/>
    <w:rsid w:val="00571236"/>
    <w:rsid w:val="005953A1"/>
    <w:rsid w:val="005A4362"/>
    <w:rsid w:val="005B5434"/>
    <w:rsid w:val="005D0332"/>
    <w:rsid w:val="005D0D8C"/>
    <w:rsid w:val="005D194B"/>
    <w:rsid w:val="005D6125"/>
    <w:rsid w:val="005E1168"/>
    <w:rsid w:val="005E601D"/>
    <w:rsid w:val="006776AE"/>
    <w:rsid w:val="006A0D97"/>
    <w:rsid w:val="006A7165"/>
    <w:rsid w:val="006B1F86"/>
    <w:rsid w:val="006C0A91"/>
    <w:rsid w:val="006E1020"/>
    <w:rsid w:val="006F621A"/>
    <w:rsid w:val="0070438E"/>
    <w:rsid w:val="007054BB"/>
    <w:rsid w:val="00707064"/>
    <w:rsid w:val="00730683"/>
    <w:rsid w:val="00741521"/>
    <w:rsid w:val="0075261F"/>
    <w:rsid w:val="0075468E"/>
    <w:rsid w:val="007665D8"/>
    <w:rsid w:val="00766E36"/>
    <w:rsid w:val="007765F4"/>
    <w:rsid w:val="00776633"/>
    <w:rsid w:val="00784D53"/>
    <w:rsid w:val="00797797"/>
    <w:rsid w:val="007A63C9"/>
    <w:rsid w:val="007B32D1"/>
    <w:rsid w:val="007B7095"/>
    <w:rsid w:val="007D24E1"/>
    <w:rsid w:val="007D6288"/>
    <w:rsid w:val="007D63F2"/>
    <w:rsid w:val="007D7F11"/>
    <w:rsid w:val="007F4CE9"/>
    <w:rsid w:val="007F4E20"/>
    <w:rsid w:val="0080169B"/>
    <w:rsid w:val="00822C7E"/>
    <w:rsid w:val="00826E2E"/>
    <w:rsid w:val="00847060"/>
    <w:rsid w:val="00847A36"/>
    <w:rsid w:val="00851E29"/>
    <w:rsid w:val="00856A33"/>
    <w:rsid w:val="00892620"/>
    <w:rsid w:val="008C778E"/>
    <w:rsid w:val="008C7D37"/>
    <w:rsid w:val="008D5885"/>
    <w:rsid w:val="00907A1D"/>
    <w:rsid w:val="00923FA2"/>
    <w:rsid w:val="0096060D"/>
    <w:rsid w:val="00974A50"/>
    <w:rsid w:val="0097585A"/>
    <w:rsid w:val="009924B0"/>
    <w:rsid w:val="009942C9"/>
    <w:rsid w:val="009B35C4"/>
    <w:rsid w:val="009B3A95"/>
    <w:rsid w:val="009C596F"/>
    <w:rsid w:val="009C630A"/>
    <w:rsid w:val="009E0D98"/>
    <w:rsid w:val="009F7608"/>
    <w:rsid w:val="00A068A1"/>
    <w:rsid w:val="00A1207D"/>
    <w:rsid w:val="00A12FD8"/>
    <w:rsid w:val="00A346FC"/>
    <w:rsid w:val="00A46D77"/>
    <w:rsid w:val="00A6376C"/>
    <w:rsid w:val="00A73A85"/>
    <w:rsid w:val="00A846F2"/>
    <w:rsid w:val="00A84F93"/>
    <w:rsid w:val="00AB1AC5"/>
    <w:rsid w:val="00AB3BFC"/>
    <w:rsid w:val="00AC4F2E"/>
    <w:rsid w:val="00AD0C37"/>
    <w:rsid w:val="00AD385F"/>
    <w:rsid w:val="00AE6E2A"/>
    <w:rsid w:val="00B03EAB"/>
    <w:rsid w:val="00B31772"/>
    <w:rsid w:val="00B31E9C"/>
    <w:rsid w:val="00B35595"/>
    <w:rsid w:val="00B51C6D"/>
    <w:rsid w:val="00B83DD2"/>
    <w:rsid w:val="00B86D64"/>
    <w:rsid w:val="00BA2406"/>
    <w:rsid w:val="00BA4AC5"/>
    <w:rsid w:val="00BC1364"/>
    <w:rsid w:val="00BC2667"/>
    <w:rsid w:val="00BC7DE9"/>
    <w:rsid w:val="00BD71BF"/>
    <w:rsid w:val="00BF479B"/>
    <w:rsid w:val="00C02577"/>
    <w:rsid w:val="00C06B0B"/>
    <w:rsid w:val="00C204FB"/>
    <w:rsid w:val="00C20BEE"/>
    <w:rsid w:val="00C2158D"/>
    <w:rsid w:val="00C67DD2"/>
    <w:rsid w:val="00C70E83"/>
    <w:rsid w:val="00C725CB"/>
    <w:rsid w:val="00C76F5C"/>
    <w:rsid w:val="00C96BAD"/>
    <w:rsid w:val="00CA6944"/>
    <w:rsid w:val="00CB0F8E"/>
    <w:rsid w:val="00CB7E7D"/>
    <w:rsid w:val="00CC2911"/>
    <w:rsid w:val="00CF0C6D"/>
    <w:rsid w:val="00CF4E81"/>
    <w:rsid w:val="00CF7307"/>
    <w:rsid w:val="00CF7C68"/>
    <w:rsid w:val="00D124FA"/>
    <w:rsid w:val="00D340DE"/>
    <w:rsid w:val="00D414F9"/>
    <w:rsid w:val="00D55723"/>
    <w:rsid w:val="00D62626"/>
    <w:rsid w:val="00D62FAD"/>
    <w:rsid w:val="00D64355"/>
    <w:rsid w:val="00D70450"/>
    <w:rsid w:val="00D83BFD"/>
    <w:rsid w:val="00D90A38"/>
    <w:rsid w:val="00D95739"/>
    <w:rsid w:val="00DA0515"/>
    <w:rsid w:val="00DA171E"/>
    <w:rsid w:val="00DA56AA"/>
    <w:rsid w:val="00DB5833"/>
    <w:rsid w:val="00DD2858"/>
    <w:rsid w:val="00DF489D"/>
    <w:rsid w:val="00DF6326"/>
    <w:rsid w:val="00E03E33"/>
    <w:rsid w:val="00E059E0"/>
    <w:rsid w:val="00E3642A"/>
    <w:rsid w:val="00E415C4"/>
    <w:rsid w:val="00E50016"/>
    <w:rsid w:val="00E50EAA"/>
    <w:rsid w:val="00E656D6"/>
    <w:rsid w:val="00E977EE"/>
    <w:rsid w:val="00EA2F24"/>
    <w:rsid w:val="00EA5C0E"/>
    <w:rsid w:val="00EA65A0"/>
    <w:rsid w:val="00EA67A2"/>
    <w:rsid w:val="00EB630F"/>
    <w:rsid w:val="00EB6B6F"/>
    <w:rsid w:val="00EC4F98"/>
    <w:rsid w:val="00EC5F91"/>
    <w:rsid w:val="00F12F02"/>
    <w:rsid w:val="00F1514B"/>
    <w:rsid w:val="00F32E0D"/>
    <w:rsid w:val="00F35134"/>
    <w:rsid w:val="00F37B9C"/>
    <w:rsid w:val="00F41812"/>
    <w:rsid w:val="00F56D7F"/>
    <w:rsid w:val="00F7086B"/>
    <w:rsid w:val="00F715D1"/>
    <w:rsid w:val="00F72715"/>
    <w:rsid w:val="00F73333"/>
    <w:rsid w:val="00F74DFE"/>
    <w:rsid w:val="00F77B9C"/>
    <w:rsid w:val="00F83776"/>
    <w:rsid w:val="00F878CB"/>
    <w:rsid w:val="00F95D8F"/>
    <w:rsid w:val="00FB350A"/>
    <w:rsid w:val="00FB4C5D"/>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E56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D414F9"/>
    <w:pPr>
      <w:keepNext/>
      <w:keepLines/>
      <w:spacing w:before="200"/>
      <w:outlineLvl w:val="1"/>
    </w:pPr>
    <w:rPr>
      <w:rFonts w:eastAsiaTheme="majorEastAsia" w:cstheme="majorBidi"/>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D414F9"/>
    <w:rPr>
      <w:rFonts w:eastAsiaTheme="majorEastAsia" w:cstheme="majorBidi"/>
      <w:bCs/>
      <w:i/>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locked/>
    <w:rsid w:val="00A6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5E601D"/>
    <w:pPr>
      <w:keepNext/>
      <w:spacing w:before="60" w:after="60"/>
    </w:pPr>
    <w:rPr>
      <w:color w:val="000000"/>
      <w:sz w:val="21"/>
      <w:szCs w:val="21"/>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Char"/>
    <w:basedOn w:val="Normal"/>
    <w:next w:val="Normal"/>
    <w:link w:val="CaptionChar"/>
    <w:autoRedefine/>
    <w:uiPriority w:val="35"/>
    <w:unhideWhenUsed/>
    <w:qFormat/>
    <w:locked/>
    <w:rsid w:val="0080169B"/>
    <w:rPr>
      <w:rFonts w:ascii="Arial Narrow" w:hAnsi="Arial Narrow"/>
      <w:b/>
      <w:iCs/>
      <w:sz w:val="20"/>
      <w:szCs w:val="18"/>
    </w:rPr>
  </w:style>
  <w:style w:type="paragraph" w:customStyle="1" w:styleId="MSACESParagraph">
    <w:name w:val="MSAC ES Paragraph"/>
    <w:link w:val="MSACESParagraphChar"/>
    <w:uiPriority w:val="1"/>
    <w:qFormat/>
    <w:rsid w:val="00EA65A0"/>
    <w:pPr>
      <w:spacing w:after="240"/>
    </w:pPr>
    <w:rPr>
      <w:rFonts w:eastAsiaTheme="minorHAnsi" w:cstheme="minorBidi"/>
      <w:sz w:val="24"/>
      <w:lang w:eastAsia="en-US"/>
    </w:rPr>
  </w:style>
  <w:style w:type="character" w:customStyle="1" w:styleId="MSACESParagraphChar">
    <w:name w:val="MSAC ES Paragraph Char"/>
    <w:basedOn w:val="DefaultParagraphFont"/>
    <w:link w:val="MSACESParagraph"/>
    <w:uiPriority w:val="1"/>
    <w:rsid w:val="00EA65A0"/>
    <w:rPr>
      <w:rFonts w:eastAsiaTheme="minorHAnsi" w:cstheme="minorBidi"/>
      <w:sz w:val="24"/>
      <w:lang w:eastAsia="en-US"/>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har Char"/>
    <w:link w:val="Caption"/>
    <w:uiPriority w:val="35"/>
    <w:rsid w:val="0080169B"/>
    <w:rPr>
      <w:rFonts w:ascii="Arial Narrow" w:eastAsia="Times New Roman" w:hAnsi="Arial Narrow"/>
      <w:b/>
      <w:iCs/>
      <w:sz w:val="20"/>
      <w:szCs w:val="18"/>
    </w:rPr>
  </w:style>
  <w:style w:type="paragraph" w:customStyle="1" w:styleId="BoxText">
    <w:name w:val="BoxText"/>
    <w:basedOn w:val="Normal"/>
    <w:qFormat/>
    <w:rsid w:val="00057592"/>
    <w:pPr>
      <w:pBdr>
        <w:top w:val="single" w:sz="4" w:space="4" w:color="000000"/>
        <w:left w:val="single" w:sz="4" w:space="4" w:color="000000"/>
        <w:bottom w:val="single" w:sz="4" w:space="4" w:color="000000"/>
        <w:right w:val="single" w:sz="4" w:space="4" w:color="000000"/>
      </w:pBdr>
      <w:spacing w:after="120"/>
    </w:pPr>
    <w:rPr>
      <w:color w:val="000000"/>
    </w:rPr>
  </w:style>
  <w:style w:type="paragraph" w:customStyle="1" w:styleId="BoxName">
    <w:name w:val="BoxName"/>
    <w:basedOn w:val="BoxText"/>
    <w:rsid w:val="00057592"/>
    <w:pPr>
      <w:keepNext/>
      <w:spacing w:before="180"/>
      <w:ind w:left="1080" w:hanging="1080"/>
    </w:pPr>
    <w:rPr>
      <w:b/>
      <w:bCs/>
    </w:rPr>
  </w:style>
  <w:style w:type="paragraph" w:customStyle="1" w:styleId="BoxHeading">
    <w:name w:val="BoxHeading"/>
    <w:basedOn w:val="BoxText"/>
    <w:rsid w:val="00057592"/>
    <w:pPr>
      <w:keepNext/>
      <w:spacing w:before="120" w:after="6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image" Target="media/image1.png"/><Relationship Id="rId12" Type="http://schemas.openxmlformats.org/officeDocument/2006/relationships/hyperlink" Target="http://www.msac.gov.a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ac.gov.au/internet/msac/publishing.nsf/Content/8488B4782990AA61CA25801000123BF2/$File/1380%20-%20Final%20PSD%20-%20BRCA%20testing%20for%20olaparib%20in%20ovarian%20cancer.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sac.gov.au/internet/msac/publishing.nsf/Content/C9C1B5F58153AEBACA25831A00831E86/$File/1554%20-%20Final%20PSD_redacted.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sac.gov.au/internet/msac/publishing.nsf/Content/C9C1B5F58153AEBACA25831A00831E86/$File/1554%20-%20Final%20PSD_redacted.docx" TargetMode="Externa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1777</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1554 Final PSD_Jul2020</dc:title>
  <dc:creator/>
  <cp:lastModifiedBy/>
  <cp:revision>1</cp:revision>
  <dcterms:created xsi:type="dcterms:W3CDTF">2020-09-07T05:43:00Z</dcterms:created>
  <dcterms:modified xsi:type="dcterms:W3CDTF">2020-09-24T05:42:00Z</dcterms:modified>
</cp:coreProperties>
</file>