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3D280"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0323D42C" wp14:editId="108F572E">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1F5F490D" w14:textId="77777777" w:rsidR="00303C94" w:rsidRPr="00F4622B" w:rsidRDefault="00303C94" w:rsidP="00F4622B">
      <w:pPr>
        <w:pStyle w:val="Heading10"/>
        <w:jc w:val="center"/>
        <w:rPr>
          <w:sz w:val="120"/>
          <w:szCs w:val="120"/>
        </w:rPr>
      </w:pPr>
    </w:p>
    <w:p w14:paraId="25823551" w14:textId="77777777" w:rsidR="0044715D" w:rsidRDefault="005F4D2F" w:rsidP="00A601AC">
      <w:pPr>
        <w:pStyle w:val="Heading10"/>
        <w:jc w:val="center"/>
        <w:rPr>
          <w:sz w:val="48"/>
          <w:szCs w:val="48"/>
        </w:rPr>
      </w:pPr>
      <w:r>
        <w:rPr>
          <w:sz w:val="48"/>
          <w:szCs w:val="48"/>
        </w:rPr>
        <w:t xml:space="preserve">Application </w:t>
      </w:r>
      <w:r w:rsidR="006254C2">
        <w:rPr>
          <w:sz w:val="48"/>
          <w:szCs w:val="48"/>
        </w:rPr>
        <w:t>1572</w:t>
      </w:r>
      <w:r w:rsidR="00303C94">
        <w:rPr>
          <w:sz w:val="48"/>
          <w:szCs w:val="48"/>
        </w:rPr>
        <w:t>:</w:t>
      </w:r>
    </w:p>
    <w:p w14:paraId="0F4423BE" w14:textId="77777777" w:rsidR="00303C94" w:rsidRPr="00303C94" w:rsidRDefault="006254C2" w:rsidP="00A601AC">
      <w:pPr>
        <w:pStyle w:val="Heading10"/>
        <w:jc w:val="center"/>
        <w:rPr>
          <w:sz w:val="48"/>
          <w:szCs w:val="48"/>
        </w:rPr>
      </w:pPr>
      <w:r w:rsidRPr="006254C2">
        <w:rPr>
          <w:color w:val="548DD4"/>
          <w:sz w:val="48"/>
          <w:szCs w:val="48"/>
        </w:rPr>
        <w:t>Diagnosis of hypertension using ambulatory blood pressure monitoring in patients with clinic blood pressure ≥ 140/90mmHg and ≤ 180/110mmHg</w:t>
      </w:r>
      <w:bookmarkStart w:id="2" w:name="_GoBack"/>
      <w:bookmarkEnd w:id="2"/>
    </w:p>
    <w:p w14:paraId="441BF628" w14:textId="77777777" w:rsidR="0044715D" w:rsidRDefault="0044715D" w:rsidP="00F4622B">
      <w:pPr>
        <w:pStyle w:val="Heading10"/>
        <w:tabs>
          <w:tab w:val="left" w:pos="5613"/>
        </w:tabs>
        <w:jc w:val="center"/>
        <w:rPr>
          <w:sz w:val="72"/>
          <w:szCs w:val="72"/>
        </w:rPr>
      </w:pPr>
    </w:p>
    <w:p w14:paraId="7FBF36F7" w14:textId="5C87124A" w:rsidR="00D46C89" w:rsidRDefault="00380622" w:rsidP="003D699E">
      <w:pPr>
        <w:pStyle w:val="Heading10"/>
        <w:jc w:val="center"/>
        <w:rPr>
          <w:sz w:val="72"/>
          <w:szCs w:val="72"/>
        </w:rPr>
      </w:pPr>
      <w:r>
        <w:rPr>
          <w:sz w:val="72"/>
          <w:szCs w:val="72"/>
        </w:rPr>
        <w:t xml:space="preserve">Ratified </w:t>
      </w:r>
      <w:r w:rsidR="00D46C89">
        <w:rPr>
          <w:sz w:val="72"/>
          <w:szCs w:val="72"/>
        </w:rPr>
        <w:t>PICO Confirmation</w:t>
      </w:r>
    </w:p>
    <w:p w14:paraId="65ACAB26" w14:textId="4E38AD8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5E5423">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2C2EAFBE"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5E695872" w14:textId="45C66526" w:rsidR="007E7E23" w:rsidRDefault="007E7E23">
      <w:pPr>
        <w:rPr>
          <w:sz w:val="20"/>
          <w:szCs w:val="20"/>
        </w:rPr>
      </w:pPr>
    </w:p>
    <w:p w14:paraId="377CE819" w14:textId="77777777" w:rsidR="00B21D00" w:rsidRDefault="00B21D00" w:rsidP="00303C94">
      <w:pPr>
        <w:rPr>
          <w:rFonts w:eastAsia="Times New Roman" w:cs="Tahoma"/>
          <w:sz w:val="44"/>
          <w:szCs w:val="44"/>
          <w:lang w:eastAsia="en-AU"/>
        </w:rPr>
      </w:pPr>
    </w:p>
    <w:p w14:paraId="7AC6B543" w14:textId="70D50710" w:rsidR="00C9630A" w:rsidRPr="00895BCC" w:rsidRDefault="0044715D" w:rsidP="00303C94">
      <w:pPr>
        <w:rPr>
          <w:color w:val="FF0000"/>
          <w:u w:val="dotted" w:color="FF0000"/>
        </w:rPr>
      </w:pPr>
      <w:r w:rsidRPr="00895BCC">
        <w:rPr>
          <w:color w:val="FF0000"/>
          <w:u w:val="dotted" w:color="FF0000"/>
        </w:rPr>
        <w:br w:type="page"/>
      </w:r>
    </w:p>
    <w:p w14:paraId="3424B6B7"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0FC5D7CE" w14:textId="77777777" w:rsidTr="00CB6086">
        <w:tc>
          <w:tcPr>
            <w:tcW w:w="1005" w:type="pct"/>
            <w:tcBorders>
              <w:top w:val="single" w:sz="8" w:space="0" w:color="auto"/>
              <w:bottom w:val="single" w:sz="8" w:space="0" w:color="auto"/>
              <w:right w:val="single" w:sz="4" w:space="0" w:color="auto"/>
            </w:tcBorders>
            <w:shd w:val="clear" w:color="auto" w:fill="D9D9D9"/>
          </w:tcPr>
          <w:p w14:paraId="443EDE47"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AE21ED6" w14:textId="77777777" w:rsidR="0044715D" w:rsidRPr="00084393" w:rsidRDefault="0044715D" w:rsidP="00953A84">
            <w:pPr>
              <w:spacing w:before="20" w:after="20" w:line="240" w:lineRule="auto"/>
              <w:jc w:val="both"/>
              <w:rPr>
                <w:b/>
              </w:rPr>
            </w:pPr>
            <w:r>
              <w:rPr>
                <w:b/>
              </w:rPr>
              <w:t>Description</w:t>
            </w:r>
          </w:p>
        </w:tc>
      </w:tr>
      <w:tr w:rsidR="0044715D" w:rsidRPr="00084393" w14:paraId="336D2FF8" w14:textId="77777777" w:rsidTr="00CB6086">
        <w:tc>
          <w:tcPr>
            <w:tcW w:w="1005" w:type="pct"/>
            <w:tcBorders>
              <w:top w:val="single" w:sz="8" w:space="0" w:color="auto"/>
              <w:right w:val="single" w:sz="4" w:space="0" w:color="auto"/>
            </w:tcBorders>
          </w:tcPr>
          <w:p w14:paraId="33F4A811"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83DDFDD" w14:textId="41590CDE" w:rsidR="00EF41E8" w:rsidRDefault="00F715B8" w:rsidP="00EF41E8">
            <w:r>
              <w:t xml:space="preserve">Adults ≥18 years old with </w:t>
            </w:r>
            <w:r w:rsidR="000951C2">
              <w:t>suspected hypertension</w:t>
            </w:r>
            <w:r w:rsidR="00EF41E8">
              <w:t xml:space="preserve">, </w:t>
            </w:r>
            <w:r w:rsidR="00EF41E8" w:rsidRPr="00B27B08">
              <w:t>who have a clinic blood pressure measurement (CBPM) of: systolic blood pressure between ≥140 to ≤180 mmHg, and diastolic blood pressure between 90 to ≤110mmHg, using a sphygmomanometer, and who have not yet commenced anti-hypertensive therapy.</w:t>
            </w:r>
          </w:p>
          <w:p w14:paraId="7C53BC56" w14:textId="6A9E43A0" w:rsidR="00F715B8" w:rsidRPr="00DD456A" w:rsidRDefault="00762C32" w:rsidP="00FE1D3B">
            <w:pPr>
              <w:rPr>
                <w:color w:val="FF0000"/>
                <w:u w:val="dotted"/>
              </w:rPr>
            </w:pPr>
            <w:r>
              <w:t xml:space="preserve">Exclusions: </w:t>
            </w:r>
            <w:r w:rsidR="001E2E7A">
              <w:t>Pregnant women</w:t>
            </w:r>
            <w:r w:rsidR="00FE1D3B">
              <w:t xml:space="preserve">, </w:t>
            </w:r>
            <w:r w:rsidR="00FE1D3B" w:rsidRPr="00FE1D3B">
              <w:t>those with a confirmed diagnosis of hypertension as diagnosed by ABPM within the last 12 months</w:t>
            </w:r>
          </w:p>
        </w:tc>
      </w:tr>
      <w:tr w:rsidR="00A84A56" w:rsidRPr="00084393" w14:paraId="16D32C93" w14:textId="77777777" w:rsidTr="00CB6086">
        <w:tc>
          <w:tcPr>
            <w:tcW w:w="1005" w:type="pct"/>
            <w:tcBorders>
              <w:top w:val="single" w:sz="8" w:space="0" w:color="auto"/>
              <w:right w:val="single" w:sz="4" w:space="0" w:color="auto"/>
            </w:tcBorders>
          </w:tcPr>
          <w:p w14:paraId="7ED61954" w14:textId="77777777" w:rsidR="00F12E59" w:rsidRDefault="00F12E59" w:rsidP="00F12E59">
            <w:pPr>
              <w:spacing w:before="20" w:after="20" w:line="240" w:lineRule="auto"/>
              <w:rPr>
                <w:rFonts w:cs="Arial"/>
              </w:rPr>
            </w:pPr>
            <w:r>
              <w:rPr>
                <w:rFonts w:cs="Arial"/>
              </w:rPr>
              <w:t>Prior tests</w:t>
            </w:r>
          </w:p>
          <w:p w14:paraId="76969C5B" w14:textId="77777777"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0AF93E2E" w14:textId="77754BE5" w:rsidR="001E2E7A" w:rsidRPr="001E2E7A" w:rsidRDefault="001E2E7A" w:rsidP="00FE1D3B">
            <w:pPr>
              <w:rPr>
                <w:szCs w:val="20"/>
              </w:rPr>
            </w:pPr>
            <w:r>
              <w:t xml:space="preserve">Clinic blood pressure measurement (CBPM), taken </w:t>
            </w:r>
            <w:r w:rsidR="00D73EF4" w:rsidRPr="00D73EF4">
              <w:t xml:space="preserve">using </w:t>
            </w:r>
            <w:r w:rsidR="00D73EF4">
              <w:t>a v</w:t>
            </w:r>
            <w:r w:rsidR="00D73EF4" w:rsidRPr="00D73EF4">
              <w:t>alidated and regularly maintained non-mercury sphygmomanometer</w:t>
            </w:r>
            <w:r w:rsidR="00D73EF4">
              <w:t>,</w:t>
            </w:r>
            <w:r>
              <w:t xml:space="preserve"> </w:t>
            </w:r>
            <w:r>
              <w:rPr>
                <w:szCs w:val="20"/>
              </w:rPr>
              <w:t>during a consultation at the doctor’s office or in the patient</w:t>
            </w:r>
            <w:r w:rsidR="005457A2">
              <w:rPr>
                <w:szCs w:val="20"/>
              </w:rPr>
              <w:t>’</w:t>
            </w:r>
            <w:r>
              <w:rPr>
                <w:szCs w:val="20"/>
              </w:rPr>
              <w:t>s home</w:t>
            </w:r>
            <w:r w:rsidR="005457A2">
              <w:rPr>
                <w:szCs w:val="20"/>
              </w:rPr>
              <w:t>,</w:t>
            </w:r>
            <w:r>
              <w:rPr>
                <w:szCs w:val="20"/>
              </w:rPr>
              <w:t xml:space="preserve"> </w:t>
            </w:r>
            <w:r w:rsidRPr="005E43E9">
              <w:t xml:space="preserve">with </w:t>
            </w:r>
            <w:r w:rsidR="00FE1D3B">
              <w:t>a medical practitioner.</w:t>
            </w:r>
          </w:p>
        </w:tc>
      </w:tr>
      <w:tr w:rsidR="00A84A56" w:rsidRPr="00084393" w14:paraId="0A76CABC" w14:textId="77777777" w:rsidTr="00CB6086">
        <w:tc>
          <w:tcPr>
            <w:tcW w:w="1005" w:type="pct"/>
            <w:tcBorders>
              <w:right w:val="single" w:sz="4" w:space="0" w:color="auto"/>
            </w:tcBorders>
          </w:tcPr>
          <w:p w14:paraId="3E61D047"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52AE7978" w14:textId="3DB2AB7D" w:rsidR="00F715B8" w:rsidRPr="00DD456A" w:rsidRDefault="00F715B8" w:rsidP="00FE1D3B">
            <w:pPr>
              <w:rPr>
                <w:color w:val="FF0000"/>
                <w:u w:val="dotted"/>
              </w:rPr>
            </w:pPr>
            <w:r w:rsidRPr="00F715B8">
              <w:t xml:space="preserve">Ambulatory </w:t>
            </w:r>
            <w:r>
              <w:t>blood pressure monitoring</w:t>
            </w:r>
            <w:r w:rsidR="00D63D60">
              <w:t xml:space="preserve"> </w:t>
            </w:r>
            <w:r w:rsidR="009B2D22">
              <w:t xml:space="preserve">(ABPM) </w:t>
            </w:r>
            <w:r w:rsidR="00D63D60">
              <w:t xml:space="preserve">in the patients home/daily activities for </w:t>
            </w:r>
            <w:r w:rsidR="00D63D60" w:rsidRPr="000A35E7">
              <w:rPr>
                <w:szCs w:val="20"/>
              </w:rPr>
              <w:t>≥ 24 hours</w:t>
            </w:r>
            <w:r>
              <w:t xml:space="preserve">, </w:t>
            </w:r>
            <w:r w:rsidR="00D63D60">
              <w:t>after which</w:t>
            </w:r>
            <w:r>
              <w:t xml:space="preserve"> </w:t>
            </w:r>
            <w:r w:rsidR="00D63D60">
              <w:rPr>
                <w:szCs w:val="20"/>
              </w:rPr>
              <w:t xml:space="preserve">a </w:t>
            </w:r>
            <w:r w:rsidR="00FE1D3B">
              <w:rPr>
                <w:szCs w:val="20"/>
              </w:rPr>
              <w:t>medical practitioner</w:t>
            </w:r>
            <w:r w:rsidR="00D63D60" w:rsidRPr="000A35E7">
              <w:rPr>
                <w:szCs w:val="20"/>
              </w:rPr>
              <w:t xml:space="preserve"> downloads the data from the monitor</w:t>
            </w:r>
            <w:r w:rsidR="00856EED">
              <w:rPr>
                <w:szCs w:val="20"/>
              </w:rPr>
              <w:t>;</w:t>
            </w:r>
            <w:r w:rsidR="00D63D60" w:rsidRPr="000A35E7">
              <w:rPr>
                <w:szCs w:val="20"/>
              </w:rPr>
              <w:t xml:space="preserve"> interprets and reviews the results</w:t>
            </w:r>
            <w:r w:rsidR="00856EED">
              <w:rPr>
                <w:szCs w:val="20"/>
              </w:rPr>
              <w:t>;</w:t>
            </w:r>
            <w:r w:rsidR="00D63D60" w:rsidRPr="000A35E7">
              <w:rPr>
                <w:szCs w:val="20"/>
              </w:rPr>
              <w:t xml:space="preserve"> creates a report</w:t>
            </w:r>
            <w:r w:rsidR="00856EED">
              <w:rPr>
                <w:szCs w:val="20"/>
              </w:rPr>
              <w:t>;</w:t>
            </w:r>
            <w:r w:rsidR="00D63D60" w:rsidRPr="000A35E7">
              <w:rPr>
                <w:szCs w:val="20"/>
              </w:rPr>
              <w:t xml:space="preserve"> and puts together a patient management plan.</w:t>
            </w:r>
          </w:p>
        </w:tc>
      </w:tr>
      <w:tr w:rsidR="00A84A56" w:rsidRPr="00084393" w14:paraId="3209ED78" w14:textId="77777777" w:rsidTr="00CB6086">
        <w:tc>
          <w:tcPr>
            <w:tcW w:w="1005" w:type="pct"/>
            <w:tcBorders>
              <w:right w:val="single" w:sz="4" w:space="0" w:color="auto"/>
            </w:tcBorders>
          </w:tcPr>
          <w:p w14:paraId="0A4C557B"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76792650" w14:textId="531E26ED" w:rsidR="001E2E7A" w:rsidRPr="005E43E9" w:rsidRDefault="001E2E7A" w:rsidP="001E2E7A">
            <w:pPr>
              <w:pStyle w:val="ListParagraph"/>
              <w:numPr>
                <w:ilvl w:val="0"/>
                <w:numId w:val="24"/>
              </w:numPr>
            </w:pPr>
            <w:r>
              <w:t>CBPM/</w:t>
            </w:r>
            <w:r w:rsidRPr="005E43E9">
              <w:t xml:space="preserve">Repeat CBPM using a validated and regularly maintained non-mercury sphygmomanometer, during consultation </w:t>
            </w:r>
            <w:r w:rsidR="00A420C2">
              <w:rPr>
                <w:szCs w:val="20"/>
              </w:rPr>
              <w:t>at the doctor’s office or in the patient’s home</w:t>
            </w:r>
            <w:r w:rsidR="00A420C2" w:rsidRPr="005E43E9">
              <w:t xml:space="preserve"> </w:t>
            </w:r>
            <w:r w:rsidRPr="005E43E9">
              <w:t xml:space="preserve">with </w:t>
            </w:r>
            <w:r w:rsidR="00FE1D3B">
              <w:t>a medical practitioner.</w:t>
            </w:r>
          </w:p>
          <w:p w14:paraId="7841E8E5" w14:textId="71C4AB80" w:rsidR="001E2E7A" w:rsidRPr="005E43E9" w:rsidRDefault="00E662AF" w:rsidP="001E2E7A">
            <w:pPr>
              <w:pStyle w:val="ListParagraph"/>
              <w:numPr>
                <w:ilvl w:val="0"/>
                <w:numId w:val="24"/>
              </w:numPr>
              <w:jc w:val="both"/>
              <w:rPr>
                <w:szCs w:val="20"/>
              </w:rPr>
            </w:pPr>
            <w:r>
              <w:rPr>
                <w:szCs w:val="20"/>
              </w:rPr>
              <w:t>Home blood pressure monitoring (</w:t>
            </w:r>
            <w:r w:rsidR="001E2E7A">
              <w:rPr>
                <w:szCs w:val="20"/>
              </w:rPr>
              <w:t>HBPM</w:t>
            </w:r>
            <w:r>
              <w:rPr>
                <w:szCs w:val="20"/>
              </w:rPr>
              <w:t>)</w:t>
            </w:r>
            <w:r w:rsidR="001E2E7A">
              <w:t xml:space="preserve">: </w:t>
            </w:r>
            <w:r w:rsidR="001E2E7A" w:rsidRPr="005E43E9">
              <w:t>Multiple non-ambulatory blood pressure measurements taken by the patient in their home.</w:t>
            </w:r>
          </w:p>
          <w:p w14:paraId="7EA599CB" w14:textId="1B42A5E0" w:rsidR="001E2E7A" w:rsidRPr="00C16740" w:rsidRDefault="001E2E7A" w:rsidP="001E2E7A">
            <w:pPr>
              <w:jc w:val="both"/>
            </w:pPr>
            <w:r>
              <w:rPr>
                <w:szCs w:val="20"/>
              </w:rPr>
              <w:t xml:space="preserve">HBPM involves the patient </w:t>
            </w:r>
            <w:r w:rsidR="00762C32">
              <w:rPr>
                <w:szCs w:val="20"/>
              </w:rPr>
              <w:t>self-measuring</w:t>
            </w:r>
            <w:r>
              <w:rPr>
                <w:szCs w:val="20"/>
              </w:rPr>
              <w:t xml:space="preserve"> BP at home, usually over a period of 1 week. It is often measured at approximately the same time in the morning or evening. The patient records the measurements and then returns to the doctor.</w:t>
            </w:r>
          </w:p>
        </w:tc>
      </w:tr>
      <w:tr w:rsidR="00C51006" w:rsidRPr="00C51006" w14:paraId="2BF4861B" w14:textId="77777777" w:rsidTr="00CB6086">
        <w:tc>
          <w:tcPr>
            <w:tcW w:w="1005" w:type="pct"/>
            <w:tcBorders>
              <w:right w:val="single" w:sz="4" w:space="0" w:color="auto"/>
            </w:tcBorders>
          </w:tcPr>
          <w:p w14:paraId="41E7DDA6" w14:textId="77777777" w:rsidR="00A84A56" w:rsidRPr="00C51006" w:rsidRDefault="00A84A56" w:rsidP="00F12E59">
            <w:pPr>
              <w:spacing w:before="20" w:after="20" w:line="240" w:lineRule="auto"/>
              <w:rPr>
                <w:rFonts w:cs="Arial"/>
              </w:rPr>
            </w:pPr>
            <w:r w:rsidRPr="00C51006">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1FFA9C03" w14:textId="77777777" w:rsidR="00620818" w:rsidRPr="00E14F62" w:rsidRDefault="001A330A" w:rsidP="001A330A">
            <w:pPr>
              <w:spacing w:after="0"/>
              <w:rPr>
                <w:u w:val="single"/>
              </w:rPr>
            </w:pPr>
            <w:r w:rsidRPr="00E14F62">
              <w:rPr>
                <w:u w:val="single"/>
              </w:rPr>
              <w:t>Efficacy/effectiveness</w:t>
            </w:r>
          </w:p>
          <w:p w14:paraId="14CBF336" w14:textId="2A0EBB13" w:rsidR="001A330A" w:rsidRPr="00E14F62" w:rsidRDefault="00620818" w:rsidP="003829EB">
            <w:pPr>
              <w:pStyle w:val="ListParagraph"/>
              <w:numPr>
                <w:ilvl w:val="0"/>
                <w:numId w:val="38"/>
              </w:numPr>
              <w:spacing w:after="0"/>
            </w:pPr>
            <w:r w:rsidRPr="00E14F62">
              <w:rPr>
                <w:szCs w:val="20"/>
              </w:rPr>
              <w:t>Adverse events from anti-hypertensive medication</w:t>
            </w:r>
            <w:r w:rsidR="00857163" w:rsidRPr="00E14F62">
              <w:rPr>
                <w:szCs w:val="20"/>
              </w:rPr>
              <w:t xml:space="preserve">, such as </w:t>
            </w:r>
          </w:p>
          <w:p w14:paraId="75C2EA30" w14:textId="44A3AFED" w:rsidR="00620818" w:rsidRPr="00E14F62" w:rsidRDefault="00710781" w:rsidP="00380622">
            <w:pPr>
              <w:pStyle w:val="ListParagraph"/>
              <w:spacing w:after="0"/>
              <w:ind w:left="776"/>
            </w:pPr>
            <w:r w:rsidRPr="00E14F62">
              <w:t xml:space="preserve">orthostatic hypotension </w:t>
            </w:r>
            <w:r w:rsidR="00857163" w:rsidRPr="00E14F62">
              <w:t>and related events</w:t>
            </w:r>
            <w:r w:rsidRPr="00E14F62">
              <w:t xml:space="preserve"> </w:t>
            </w:r>
            <w:r w:rsidR="00857163" w:rsidRPr="00E14F62">
              <w:t>including</w:t>
            </w:r>
            <w:r w:rsidRPr="00E14F62">
              <w:t xml:space="preserve"> falls</w:t>
            </w:r>
            <w:r w:rsidR="00857163" w:rsidRPr="00E14F62">
              <w:t xml:space="preserve">, </w:t>
            </w:r>
            <w:r w:rsidRPr="00E14F62">
              <w:t xml:space="preserve">hospital admissions </w:t>
            </w:r>
            <w:r w:rsidR="00857163" w:rsidRPr="00E14F62">
              <w:t xml:space="preserve">and </w:t>
            </w:r>
            <w:r w:rsidRPr="00E14F62">
              <w:t xml:space="preserve">cardiovascular </w:t>
            </w:r>
            <w:r w:rsidR="00BE5230" w:rsidRPr="00E14F62">
              <w:t>outcomes</w:t>
            </w:r>
            <w:r w:rsidRPr="00E14F62">
              <w:t>.</w:t>
            </w:r>
          </w:p>
          <w:p w14:paraId="723B6E94" w14:textId="2F594C97" w:rsidR="001A330A" w:rsidRPr="00882EDD" w:rsidRDefault="004132F0" w:rsidP="003829EB">
            <w:pPr>
              <w:pStyle w:val="ListParagraph"/>
              <w:numPr>
                <w:ilvl w:val="0"/>
                <w:numId w:val="38"/>
              </w:numPr>
              <w:spacing w:after="0"/>
            </w:pPr>
            <w:r w:rsidRPr="00061915">
              <w:t>Composite outcomes: M</w:t>
            </w:r>
            <w:r w:rsidR="00186656" w:rsidRPr="00061915">
              <w:t>ajor adverse cardi</w:t>
            </w:r>
            <w:r w:rsidR="00FF197A" w:rsidRPr="00061915">
              <w:t>ovascular</w:t>
            </w:r>
            <w:r w:rsidR="009D0836" w:rsidRPr="00061915">
              <w:t xml:space="preserve"> and cerebrovascular events (MAC</w:t>
            </w:r>
            <w:r w:rsidR="00186656" w:rsidRPr="00882EDD">
              <w:t>CE)</w:t>
            </w:r>
            <w:r w:rsidRPr="00882EDD">
              <w:t xml:space="preserve"> or Major adverse cardiovascular events (MACE)</w:t>
            </w:r>
          </w:p>
          <w:p w14:paraId="2FAFE8B6" w14:textId="5F34748F" w:rsidR="004132F0" w:rsidRPr="00882EDD" w:rsidRDefault="004132F0" w:rsidP="003829EB">
            <w:pPr>
              <w:pStyle w:val="ListParagraph"/>
              <w:numPr>
                <w:ilvl w:val="0"/>
                <w:numId w:val="38"/>
              </w:numPr>
              <w:spacing w:after="0"/>
              <w:rPr>
                <w:szCs w:val="20"/>
              </w:rPr>
            </w:pPr>
            <w:r w:rsidRPr="00882EDD">
              <w:t xml:space="preserve">Cardiac events/conditions </w:t>
            </w:r>
            <w:r w:rsidR="00A04D95" w:rsidRPr="00882EDD">
              <w:t>(e</w:t>
            </w:r>
            <w:r w:rsidR="00935475">
              <w:t>.</w:t>
            </w:r>
            <w:r w:rsidR="00A04D95" w:rsidRPr="00882EDD">
              <w:t>g. c</w:t>
            </w:r>
            <w:r w:rsidR="00186656" w:rsidRPr="00882EDD">
              <w:rPr>
                <w:szCs w:val="20"/>
              </w:rPr>
              <w:t>oronary heart disease</w:t>
            </w:r>
            <w:r w:rsidR="00A04D95" w:rsidRPr="00882EDD">
              <w:rPr>
                <w:szCs w:val="20"/>
              </w:rPr>
              <w:t>/myocardial infarction, s</w:t>
            </w:r>
            <w:r w:rsidR="00186656" w:rsidRPr="00882EDD">
              <w:rPr>
                <w:szCs w:val="20"/>
              </w:rPr>
              <w:t>troke</w:t>
            </w:r>
            <w:r w:rsidR="00A04D95" w:rsidRPr="00882EDD">
              <w:rPr>
                <w:szCs w:val="20"/>
              </w:rPr>
              <w:t>, h</w:t>
            </w:r>
            <w:r w:rsidR="00186656" w:rsidRPr="00882EDD">
              <w:rPr>
                <w:szCs w:val="20"/>
              </w:rPr>
              <w:t>eart failure/cardiomyopathy</w:t>
            </w:r>
            <w:r w:rsidRPr="00882EDD">
              <w:rPr>
                <w:szCs w:val="20"/>
              </w:rPr>
              <w:t>)</w:t>
            </w:r>
          </w:p>
          <w:p w14:paraId="4832FAD0" w14:textId="776E5B68" w:rsidR="00186656" w:rsidRPr="00882EDD" w:rsidRDefault="0082113A" w:rsidP="003829EB">
            <w:pPr>
              <w:pStyle w:val="ListParagraph"/>
              <w:numPr>
                <w:ilvl w:val="0"/>
                <w:numId w:val="38"/>
              </w:numPr>
              <w:spacing w:after="0"/>
            </w:pPr>
            <w:r w:rsidRPr="00882EDD">
              <w:t>All-cause m</w:t>
            </w:r>
            <w:r w:rsidR="00186656" w:rsidRPr="00882EDD">
              <w:t>ortality</w:t>
            </w:r>
          </w:p>
          <w:p w14:paraId="4F2F0750" w14:textId="01BE86EA" w:rsidR="009D0836" w:rsidRPr="00882EDD" w:rsidRDefault="009D0836" w:rsidP="003829EB">
            <w:pPr>
              <w:pStyle w:val="ListParagraph"/>
              <w:numPr>
                <w:ilvl w:val="0"/>
                <w:numId w:val="38"/>
              </w:numPr>
              <w:spacing w:after="0"/>
            </w:pPr>
            <w:r w:rsidRPr="00882EDD">
              <w:t>Cardiovascular</w:t>
            </w:r>
            <w:r w:rsidR="0082113A" w:rsidRPr="00882EDD">
              <w:t xml:space="preserve">-specific </w:t>
            </w:r>
            <w:r w:rsidRPr="00882EDD">
              <w:t>mortality</w:t>
            </w:r>
          </w:p>
          <w:p w14:paraId="054A6DFE" w14:textId="3C8973B7" w:rsidR="00AE555C" w:rsidRPr="00585BF9" w:rsidRDefault="00AE555C" w:rsidP="003829EB">
            <w:pPr>
              <w:pStyle w:val="ListParagraph"/>
              <w:numPr>
                <w:ilvl w:val="0"/>
                <w:numId w:val="38"/>
              </w:numPr>
              <w:spacing w:after="0"/>
              <w:rPr>
                <w:szCs w:val="20"/>
              </w:rPr>
            </w:pPr>
            <w:r w:rsidRPr="00882EDD">
              <w:t>Health-related quality of life</w:t>
            </w:r>
          </w:p>
          <w:p w14:paraId="4C0CE974" w14:textId="6864F0B1" w:rsidR="00625D1E" w:rsidRDefault="00585BF9" w:rsidP="00585BF9">
            <w:pPr>
              <w:pStyle w:val="ListParagraph"/>
              <w:numPr>
                <w:ilvl w:val="0"/>
                <w:numId w:val="38"/>
              </w:numPr>
              <w:spacing w:after="0"/>
            </w:pPr>
            <w:r>
              <w:lastRenderedPageBreak/>
              <w:t xml:space="preserve">Diagnostic accuracy (e.g. </w:t>
            </w:r>
            <w:r w:rsidR="00C64B3C">
              <w:t>sensitivity;</w:t>
            </w:r>
            <w:r w:rsidR="00625D1E">
              <w:t xml:space="preserve"> specificit</w:t>
            </w:r>
            <w:r w:rsidR="00C64B3C">
              <w:t>y; area under the curve (AUC);</w:t>
            </w:r>
            <w:r>
              <w:t xml:space="preserve"> f</w:t>
            </w:r>
            <w:r w:rsidR="00625D1E">
              <w:t xml:space="preserve">alse </w:t>
            </w:r>
            <w:r>
              <w:t>p</w:t>
            </w:r>
            <w:r w:rsidR="00C64B3C">
              <w:t>ositives (FP);</w:t>
            </w:r>
            <w:r>
              <w:t xml:space="preserve"> false n</w:t>
            </w:r>
            <w:r w:rsidR="00C64B3C">
              <w:t>egatives (FN);</w:t>
            </w:r>
            <w:r>
              <w:t xml:space="preserve"> true p</w:t>
            </w:r>
            <w:r w:rsidR="00C64B3C">
              <w:t>ositives (TP);</w:t>
            </w:r>
            <w:r>
              <w:t xml:space="preserve"> true n</w:t>
            </w:r>
            <w:r w:rsidR="00625D1E">
              <w:t>egatives (TN))</w:t>
            </w:r>
            <w:r w:rsidR="00C64B3C">
              <w:t>.</w:t>
            </w:r>
          </w:p>
          <w:p w14:paraId="6A9B756E" w14:textId="77777777" w:rsidR="00625D1E" w:rsidRPr="00380622" w:rsidRDefault="00625D1E" w:rsidP="002321A1">
            <w:pPr>
              <w:spacing w:after="0"/>
              <w:ind w:left="56"/>
              <w:rPr>
                <w:szCs w:val="20"/>
                <w:highlight w:val="yellow"/>
              </w:rPr>
            </w:pPr>
          </w:p>
          <w:p w14:paraId="1AB4187C" w14:textId="0AD42C2D" w:rsidR="001A330A" w:rsidRPr="0021276E" w:rsidRDefault="001A330A" w:rsidP="001A330A">
            <w:pPr>
              <w:spacing w:after="0"/>
              <w:rPr>
                <w:u w:val="single"/>
              </w:rPr>
            </w:pPr>
            <w:r w:rsidRPr="0021276E">
              <w:rPr>
                <w:u w:val="single"/>
              </w:rPr>
              <w:t>Safety</w:t>
            </w:r>
          </w:p>
          <w:p w14:paraId="20E2B245" w14:textId="79F146BC" w:rsidR="00C42E43" w:rsidRPr="00882EDD" w:rsidRDefault="00C42E43" w:rsidP="00F6512C">
            <w:pPr>
              <w:spacing w:after="0"/>
            </w:pPr>
            <w:r w:rsidRPr="00882EDD">
              <w:t>Adverse effects of using ABPM such as; skin irritation,</w:t>
            </w:r>
            <w:r w:rsidR="00D87815" w:rsidRPr="00882EDD">
              <w:t xml:space="preserve"> haematoma, </w:t>
            </w:r>
            <w:r w:rsidRPr="00882EDD">
              <w:t>sleep quality</w:t>
            </w:r>
            <w:r w:rsidR="00D87815" w:rsidRPr="00882EDD">
              <w:t>.</w:t>
            </w:r>
          </w:p>
          <w:p w14:paraId="1FCA594E" w14:textId="77777777" w:rsidR="00186656" w:rsidRPr="00380622" w:rsidRDefault="00186656" w:rsidP="001A330A">
            <w:pPr>
              <w:spacing w:after="0"/>
              <w:rPr>
                <w:highlight w:val="yellow"/>
              </w:rPr>
            </w:pPr>
          </w:p>
          <w:p w14:paraId="7E89A07D" w14:textId="77777777" w:rsidR="000656BF" w:rsidRPr="00E14F62" w:rsidRDefault="001A330A" w:rsidP="001A330A">
            <w:pPr>
              <w:spacing w:after="0"/>
              <w:rPr>
                <w:u w:val="single"/>
              </w:rPr>
            </w:pPr>
            <w:r w:rsidRPr="00E14F62">
              <w:rPr>
                <w:u w:val="single"/>
              </w:rPr>
              <w:t>Cost-effectiveness</w:t>
            </w:r>
          </w:p>
          <w:p w14:paraId="78D6ADC0" w14:textId="57779392" w:rsidR="001A330A" w:rsidRPr="00E14F62" w:rsidRDefault="007B0FD6" w:rsidP="003829EB">
            <w:pPr>
              <w:pStyle w:val="ListParagraph"/>
              <w:numPr>
                <w:ilvl w:val="0"/>
                <w:numId w:val="38"/>
              </w:numPr>
              <w:spacing w:after="0"/>
            </w:pPr>
            <w:r w:rsidRPr="00E14F62">
              <w:t>C</w:t>
            </w:r>
            <w:r w:rsidR="000656BF" w:rsidRPr="00E14F62">
              <w:t xml:space="preserve">ost of </w:t>
            </w:r>
            <w:r w:rsidR="00B148A9" w:rsidRPr="00E14F62">
              <w:t xml:space="preserve">doctor </w:t>
            </w:r>
            <w:r w:rsidR="000656BF" w:rsidRPr="00E14F62">
              <w:t>consultation</w:t>
            </w:r>
            <w:r w:rsidRPr="00E14F62">
              <w:t>/</w:t>
            </w:r>
            <w:r w:rsidR="000656BF" w:rsidRPr="00E14F62">
              <w:t>s</w:t>
            </w:r>
          </w:p>
          <w:p w14:paraId="6BAE0BC6" w14:textId="21651A6D" w:rsidR="000656BF" w:rsidRPr="00E14F62" w:rsidRDefault="007B0FD6" w:rsidP="003829EB">
            <w:pPr>
              <w:pStyle w:val="ListParagraph"/>
              <w:numPr>
                <w:ilvl w:val="0"/>
                <w:numId w:val="38"/>
              </w:numPr>
              <w:spacing w:after="0"/>
            </w:pPr>
            <w:r w:rsidRPr="00E14F62">
              <w:t>Cost of m</w:t>
            </w:r>
            <w:r w:rsidR="000656BF" w:rsidRPr="00E14F62">
              <w:t>edication cost</w:t>
            </w:r>
          </w:p>
          <w:p w14:paraId="00779250" w14:textId="3EB3833E" w:rsidR="000656BF" w:rsidRPr="00E14F62" w:rsidRDefault="007B0FD6" w:rsidP="003829EB">
            <w:pPr>
              <w:pStyle w:val="ListParagraph"/>
              <w:numPr>
                <w:ilvl w:val="0"/>
                <w:numId w:val="38"/>
              </w:numPr>
              <w:spacing w:after="0"/>
            </w:pPr>
            <w:r w:rsidRPr="00E14F62">
              <w:t xml:space="preserve">Cost of </w:t>
            </w:r>
            <w:r w:rsidR="000656BF" w:rsidRPr="00E14F62">
              <w:t>treating adverse events resulting from medication</w:t>
            </w:r>
            <w:r w:rsidR="00B148A9" w:rsidRPr="00E14F62">
              <w:t xml:space="preserve"> including hypotension related events.</w:t>
            </w:r>
          </w:p>
          <w:p w14:paraId="64077387" w14:textId="77777777" w:rsidR="00FB0614" w:rsidRPr="00E14F62" w:rsidRDefault="00FB0614" w:rsidP="000656BF">
            <w:pPr>
              <w:spacing w:after="0"/>
            </w:pPr>
          </w:p>
          <w:p w14:paraId="5ED493C9" w14:textId="77777777" w:rsidR="001A330A" w:rsidRPr="00E14F62" w:rsidRDefault="001A330A" w:rsidP="003829EB">
            <w:pPr>
              <w:pStyle w:val="ListParagraph"/>
              <w:numPr>
                <w:ilvl w:val="0"/>
                <w:numId w:val="38"/>
              </w:numPr>
              <w:spacing w:after="0"/>
            </w:pPr>
            <w:r w:rsidRPr="00E14F62">
              <w:t>Cost per life year gained</w:t>
            </w:r>
          </w:p>
          <w:p w14:paraId="1C367BBC" w14:textId="37DE1FB9" w:rsidR="001A330A" w:rsidRPr="00E14F62" w:rsidRDefault="001A330A" w:rsidP="003829EB">
            <w:pPr>
              <w:pStyle w:val="ListParagraph"/>
              <w:numPr>
                <w:ilvl w:val="0"/>
                <w:numId w:val="38"/>
              </w:numPr>
              <w:spacing w:after="0"/>
            </w:pPr>
            <w:r w:rsidRPr="00E14F62">
              <w:t xml:space="preserve">Cost per </w:t>
            </w:r>
            <w:r w:rsidR="00B82DD9" w:rsidRPr="00E14F62">
              <w:t>quality-adjusted life year (</w:t>
            </w:r>
            <w:r w:rsidRPr="00E14F62">
              <w:t>QALY</w:t>
            </w:r>
            <w:r w:rsidR="00B82DD9" w:rsidRPr="00E14F62">
              <w:t>)</w:t>
            </w:r>
            <w:r w:rsidRPr="00E14F62">
              <w:t xml:space="preserve"> gained</w:t>
            </w:r>
          </w:p>
          <w:p w14:paraId="6659FA55" w14:textId="747BC4C5" w:rsidR="000656BF" w:rsidRPr="00E14F62" w:rsidRDefault="007B0FD6" w:rsidP="003829EB">
            <w:pPr>
              <w:pStyle w:val="ListParagraph"/>
              <w:numPr>
                <w:ilvl w:val="0"/>
                <w:numId w:val="38"/>
              </w:numPr>
              <w:spacing w:after="0"/>
            </w:pPr>
            <w:r w:rsidRPr="00E14F62">
              <w:t>C</w:t>
            </w:r>
            <w:r w:rsidR="000656BF" w:rsidRPr="00E14F62">
              <w:t>ost of treating cardiac events/conditions</w:t>
            </w:r>
          </w:p>
          <w:p w14:paraId="386E43D8" w14:textId="77777777" w:rsidR="003829EB" w:rsidRPr="00E14F62" w:rsidRDefault="003829EB" w:rsidP="003829EB">
            <w:pPr>
              <w:spacing w:after="0"/>
              <w:ind w:left="56"/>
            </w:pPr>
          </w:p>
          <w:p w14:paraId="226E4EE7" w14:textId="6DFDE585" w:rsidR="003829EB" w:rsidRPr="00E14F62" w:rsidRDefault="007B0FD6" w:rsidP="003829EB">
            <w:pPr>
              <w:pStyle w:val="ListParagraph"/>
              <w:numPr>
                <w:ilvl w:val="0"/>
                <w:numId w:val="38"/>
              </w:numPr>
              <w:spacing w:after="0"/>
            </w:pPr>
            <w:r w:rsidRPr="00E14F62">
              <w:t>C</w:t>
            </w:r>
            <w:r w:rsidR="003829EB" w:rsidRPr="00E14F62">
              <w:t>ost of treating cardiac events/conditions occur</w:t>
            </w:r>
            <w:r w:rsidR="00E14F62">
              <w:t>r</w:t>
            </w:r>
            <w:r w:rsidRPr="00E14F62">
              <w:t>ing</w:t>
            </w:r>
            <w:r w:rsidR="003829EB" w:rsidRPr="00E14F62">
              <w:t xml:space="preserve"> in the 2-3 week period </w:t>
            </w:r>
            <w:r w:rsidRPr="00E14F62">
              <w:t xml:space="preserve">after </w:t>
            </w:r>
            <w:r w:rsidR="007F0FF4" w:rsidRPr="00E14F62">
              <w:t xml:space="preserve">confirmed </w:t>
            </w:r>
            <w:r w:rsidR="003829EB" w:rsidRPr="00E14F62">
              <w:t xml:space="preserve">diagnosis of Hypertension </w:t>
            </w:r>
          </w:p>
          <w:p w14:paraId="485B662B" w14:textId="77777777" w:rsidR="000656BF" w:rsidRPr="00C51006" w:rsidRDefault="000656BF" w:rsidP="008176CF">
            <w:pPr>
              <w:spacing w:after="0"/>
              <w:ind w:left="360"/>
            </w:pPr>
          </w:p>
          <w:p w14:paraId="66DD07CB" w14:textId="77777777" w:rsidR="001A330A" w:rsidRPr="008176CF" w:rsidRDefault="001A330A" w:rsidP="001A330A">
            <w:pPr>
              <w:spacing w:after="0"/>
              <w:rPr>
                <w:u w:val="single"/>
              </w:rPr>
            </w:pPr>
            <w:r w:rsidRPr="008176CF">
              <w:rPr>
                <w:u w:val="single"/>
              </w:rPr>
              <w:t>Healthcare resources</w:t>
            </w:r>
          </w:p>
          <w:p w14:paraId="0D751908" w14:textId="006BC0C1" w:rsidR="001A330A" w:rsidRPr="00C51006" w:rsidRDefault="001A330A" w:rsidP="003829EB">
            <w:pPr>
              <w:pStyle w:val="ListParagraph"/>
              <w:numPr>
                <w:ilvl w:val="0"/>
                <w:numId w:val="38"/>
              </w:numPr>
              <w:spacing w:after="0"/>
            </w:pPr>
            <w:r w:rsidRPr="00C51006">
              <w:t>Cost of</w:t>
            </w:r>
            <w:r w:rsidR="00612F64" w:rsidRPr="00C51006">
              <w:t xml:space="preserve"> ABPM</w:t>
            </w:r>
          </w:p>
          <w:p w14:paraId="434A4AAD" w14:textId="6646CBCD" w:rsidR="00612F64" w:rsidRPr="00C51006" w:rsidRDefault="00612F64" w:rsidP="003829EB">
            <w:pPr>
              <w:pStyle w:val="ListParagraph"/>
              <w:numPr>
                <w:ilvl w:val="0"/>
                <w:numId w:val="38"/>
              </w:numPr>
              <w:spacing w:after="0"/>
            </w:pPr>
            <w:r w:rsidRPr="00C51006">
              <w:t>Cost of clinical consultation/s</w:t>
            </w:r>
          </w:p>
          <w:p w14:paraId="4044990B" w14:textId="346B934E" w:rsidR="00612F64" w:rsidRPr="00C51006" w:rsidRDefault="00612F64" w:rsidP="003829EB">
            <w:pPr>
              <w:pStyle w:val="ListParagraph"/>
              <w:numPr>
                <w:ilvl w:val="0"/>
                <w:numId w:val="38"/>
              </w:numPr>
              <w:spacing w:after="0"/>
            </w:pPr>
            <w:r w:rsidRPr="00C51006">
              <w:t>Cost associated with changes in clinical management</w:t>
            </w:r>
            <w:r w:rsidR="0030256C">
              <w:br/>
            </w:r>
          </w:p>
          <w:p w14:paraId="3527A8C2" w14:textId="77777777" w:rsidR="001A330A" w:rsidRPr="008176CF" w:rsidRDefault="001A330A" w:rsidP="001A330A">
            <w:pPr>
              <w:spacing w:after="0"/>
              <w:rPr>
                <w:u w:val="single"/>
              </w:rPr>
            </w:pPr>
            <w:r w:rsidRPr="008176CF">
              <w:rPr>
                <w:u w:val="single"/>
              </w:rPr>
              <w:t>Total Australian Government Healthcare costs</w:t>
            </w:r>
          </w:p>
          <w:p w14:paraId="4D81D9CA" w14:textId="44CE9059" w:rsidR="001A330A" w:rsidRPr="00C51006" w:rsidRDefault="0030256C" w:rsidP="003829EB">
            <w:pPr>
              <w:pStyle w:val="ListParagraph"/>
              <w:numPr>
                <w:ilvl w:val="0"/>
                <w:numId w:val="38"/>
              </w:numPr>
            </w:pPr>
            <w:r>
              <w:t>Total cost to the Medicare</w:t>
            </w:r>
            <w:r w:rsidR="001A330A" w:rsidRPr="00C51006">
              <w:t xml:space="preserve"> Benefits Schedule (MBS)</w:t>
            </w:r>
          </w:p>
          <w:p w14:paraId="6078BF7F" w14:textId="77777777" w:rsidR="00360D29" w:rsidRPr="00C51006" w:rsidRDefault="001A330A" w:rsidP="003829EB">
            <w:pPr>
              <w:pStyle w:val="ListParagraph"/>
              <w:numPr>
                <w:ilvl w:val="0"/>
                <w:numId w:val="38"/>
              </w:numPr>
            </w:pPr>
            <w:r w:rsidRPr="00C51006">
              <w:t>Total cost to the Pharmaceutical Benefits Scheme (PBS)</w:t>
            </w:r>
          </w:p>
          <w:p w14:paraId="3202AEB1" w14:textId="0245E617" w:rsidR="00004EF1" w:rsidRPr="00C51006" w:rsidRDefault="001A330A" w:rsidP="003829EB">
            <w:pPr>
              <w:pStyle w:val="ListParagraph"/>
              <w:numPr>
                <w:ilvl w:val="0"/>
                <w:numId w:val="38"/>
              </w:numPr>
            </w:pPr>
            <w:r w:rsidRPr="00C51006">
              <w:t>Total cost to other healthcare services</w:t>
            </w:r>
          </w:p>
        </w:tc>
      </w:tr>
    </w:tbl>
    <w:p w14:paraId="5EC9906D" w14:textId="3BBA6DB3" w:rsidR="002A4909" w:rsidRDefault="002A4909" w:rsidP="002A4909">
      <w:pPr>
        <w:rPr>
          <w:color w:val="548DD4"/>
        </w:rPr>
      </w:pPr>
    </w:p>
    <w:p w14:paraId="75B67E89" w14:textId="77777777" w:rsidR="00F12E59" w:rsidRDefault="00F12E59">
      <w:pPr>
        <w:rPr>
          <w:rFonts w:eastAsia="MS Gothic"/>
          <w:b/>
          <w:bCs/>
          <w:i/>
          <w:color w:val="548DD4"/>
          <w:szCs w:val="26"/>
          <w:u w:val="single"/>
        </w:rPr>
      </w:pPr>
      <w:r>
        <w:rPr>
          <w:rFonts w:eastAsia="MS Gothic"/>
          <w:b/>
          <w:bCs/>
          <w:i/>
          <w:color w:val="548DD4"/>
          <w:szCs w:val="26"/>
          <w:u w:val="single"/>
        </w:rPr>
        <w:br w:type="page"/>
      </w:r>
    </w:p>
    <w:p w14:paraId="75213EE9" w14:textId="77777777" w:rsidR="007F4E20" w:rsidRPr="003829EB" w:rsidRDefault="00E364F7">
      <w:pPr>
        <w:rPr>
          <w:rFonts w:eastAsia="MS Gothic"/>
          <w:bCs/>
          <w:szCs w:val="26"/>
        </w:rPr>
      </w:pPr>
      <w:r w:rsidRPr="003829EB">
        <w:rPr>
          <w:rFonts w:eastAsia="MS Gothic"/>
          <w:b/>
          <w:bCs/>
          <w:i/>
          <w:szCs w:val="26"/>
          <w:u w:val="single"/>
        </w:rPr>
        <w:lastRenderedPageBreak/>
        <w:t>PICO</w:t>
      </w:r>
      <w:r w:rsidR="00953ED7" w:rsidRPr="003829EB">
        <w:rPr>
          <w:rFonts w:eastAsia="MS Gothic"/>
          <w:b/>
          <w:bCs/>
          <w:i/>
          <w:szCs w:val="26"/>
          <w:u w:val="single"/>
        </w:rPr>
        <w:t xml:space="preserve"> or PPICO</w:t>
      </w:r>
      <w:r w:rsidRPr="003829EB">
        <w:rPr>
          <w:rFonts w:eastAsia="MS Gothic"/>
          <w:b/>
          <w:bCs/>
          <w:i/>
          <w:szCs w:val="26"/>
          <w:u w:val="single"/>
        </w:rPr>
        <w:t xml:space="preserve"> rationale</w:t>
      </w:r>
      <w:r w:rsidR="006D1643" w:rsidRPr="003829EB">
        <w:rPr>
          <w:rFonts w:eastAsia="MS Gothic"/>
          <w:b/>
          <w:bCs/>
          <w:i/>
          <w:szCs w:val="26"/>
          <w:u w:val="single"/>
        </w:rPr>
        <w:t xml:space="preserve"> for therapeutic </w:t>
      </w:r>
      <w:r w:rsidR="00B45971" w:rsidRPr="003829EB">
        <w:rPr>
          <w:rFonts w:eastAsia="MS Gothic"/>
          <w:b/>
          <w:bCs/>
          <w:i/>
          <w:szCs w:val="26"/>
          <w:u w:val="single"/>
        </w:rPr>
        <w:t xml:space="preserve">and investigative </w:t>
      </w:r>
      <w:r w:rsidR="00BA63AA" w:rsidRPr="003829EB">
        <w:rPr>
          <w:rFonts w:eastAsia="MS Gothic"/>
          <w:b/>
          <w:bCs/>
          <w:i/>
          <w:szCs w:val="26"/>
          <w:u w:val="single"/>
        </w:rPr>
        <w:t>medical services only</w:t>
      </w:r>
    </w:p>
    <w:p w14:paraId="17775547" w14:textId="06D3F261" w:rsidR="00896845" w:rsidRPr="00E364F7" w:rsidRDefault="00896845">
      <w:pPr>
        <w:rPr>
          <w:b/>
        </w:rPr>
      </w:pPr>
      <w:r w:rsidRPr="00E364F7">
        <w:rPr>
          <w:b/>
        </w:rPr>
        <w:t>Population</w:t>
      </w:r>
      <w:r w:rsidR="00DD7EC0">
        <w:rPr>
          <w:b/>
        </w:rPr>
        <w:t xml:space="preserve"> </w:t>
      </w:r>
    </w:p>
    <w:p w14:paraId="0CB50CAA" w14:textId="3DF681E6" w:rsidR="00FE1D3B" w:rsidRPr="00FE1D3B" w:rsidRDefault="009B2D22" w:rsidP="00FE1D3B">
      <w:pPr>
        <w:rPr>
          <w:szCs w:val="20"/>
        </w:rPr>
      </w:pPr>
      <w:r>
        <w:t>The patient population for whom public funding of the proposed medical service is intended includes adult patients ≥18 years old with suspected hypertension</w:t>
      </w:r>
      <w:r w:rsidR="0030256C">
        <w:t>,</w:t>
      </w:r>
      <w:r>
        <w:t xml:space="preserve"> </w:t>
      </w:r>
      <w:r w:rsidR="00EF41E8" w:rsidRPr="00E14F62">
        <w:t>who have a clinic blood pressure measurement (CBPM) of: systolic blood pressure between ≥140 to ≤180 mmHg, and diastolic blood pressure between 90 to ≤110mmHg, using a sphygmomanometer, and who has not yet commenced anti-hypertensive therapy.</w:t>
      </w:r>
      <w:r w:rsidR="00BC30D1" w:rsidRPr="00E14F62">
        <w:rPr>
          <w:szCs w:val="20"/>
        </w:rPr>
        <w:t xml:space="preserve"> </w:t>
      </w:r>
      <w:r w:rsidR="00FE1D3B" w:rsidRPr="00E14F62">
        <w:rPr>
          <w:szCs w:val="20"/>
        </w:rPr>
        <w:t>Those with a confirmed diagnosis of hypertension based on an ABPM measurement in the last 12 months are excluded from the population</w:t>
      </w:r>
      <w:r w:rsidR="00FE1D3B" w:rsidRPr="00FE1D3B">
        <w:rPr>
          <w:szCs w:val="20"/>
        </w:rPr>
        <w:t xml:space="preserve"> for this proposed assessment. </w:t>
      </w:r>
    </w:p>
    <w:p w14:paraId="4AA801E4" w14:textId="476F5F9E" w:rsidR="00BC30D1" w:rsidRDefault="00FE1D3B" w:rsidP="00BC30D1">
      <w:pPr>
        <w:rPr>
          <w:szCs w:val="20"/>
        </w:rPr>
      </w:pPr>
      <w:r w:rsidRPr="00FE1D3B">
        <w:rPr>
          <w:szCs w:val="20"/>
        </w:rPr>
        <w:t>The population for the proposed assessment includes patients with suspected hypertension who have CBPM of ≥140/90mmHg and ≤180/110mmHg (Grade 1: ≥140/90mmHg - &lt;160/100mmHg, and Grade 2: ≥160/110mmHg - ≤180/110mmHg).</w:t>
      </w:r>
    </w:p>
    <w:p w14:paraId="386AAC47" w14:textId="02AA6153" w:rsidR="002B031C" w:rsidRPr="002B031C" w:rsidRDefault="00F10BFA" w:rsidP="00BC30D1">
      <w:pPr>
        <w:rPr>
          <w:szCs w:val="20"/>
        </w:rPr>
      </w:pPr>
      <w:r>
        <w:rPr>
          <w:szCs w:val="20"/>
        </w:rPr>
        <w:t>Although use of ABPM may be useful for diagnosis of ‘white coat hypertension’ in pregnant women</w:t>
      </w:r>
      <w:r w:rsidR="00B6193C">
        <w:rPr>
          <w:szCs w:val="20"/>
        </w:rPr>
        <w:t xml:space="preserve"> </w:t>
      </w:r>
      <w:r w:rsidR="00543BF2">
        <w:rPr>
          <w:szCs w:val="20"/>
        </w:rPr>
        <w:fldChar w:fldCharType="begin"/>
      </w:r>
      <w:r w:rsidR="00543BF2">
        <w:rPr>
          <w:szCs w:val="20"/>
        </w:rPr>
        <w:instrText xml:space="preserve"> ADDIN EN.CITE &lt;EndNote&gt;&lt;Cite&gt;&lt;Author&gt;National Heart Foundation and High Blood Pressure Research Council of Australia Ambulatory Blood Pressure Monitoring Consensus Committee&lt;/Author&gt;&lt;Year&gt;2011&lt;/Year&gt;&lt;RecNum&gt;2&lt;/RecNum&gt;&lt;DisplayText&gt;(National Heart Foundation and High Blood Pressure Research Council of Australia Ambulatory Blood Pressure Monitoring Consensus Committee 2011)&lt;/DisplayText&gt;&lt;record&gt;&lt;rec-number&gt;2&lt;/rec-number&gt;&lt;foreign-keys&gt;&lt;key app="EN" db-id="s955atafr9wsseewttmxxz54fz925s0fvr2v" timestamp="1550119246"&gt;2&lt;/key&gt;&lt;/foreign-keys&gt;&lt;ref-type name="Report"&gt;27&lt;/ref-type&gt;&lt;contributors&gt;&lt;authors&gt;&lt;author&gt;National Heart Foundation and High Blood Pressure Research Council of Australia Ambulatory Blood Pressure Monitoring Consensus Committee,&lt;/author&gt;&lt;/authors&gt;&lt;/contributors&gt;&lt;titles&gt;&lt;title&gt;Ambulatory blood pressure monitoring&lt;/title&gt;&lt;/titles&gt;&lt;dates&gt;&lt;year&gt;2011&lt;/year&gt;&lt;/dates&gt;&lt;urls&gt;&lt;related-urls&gt;&lt;url&gt;https://www.racgp.org.au/download/documents/AFP/2011/November/201111nhf.pdf&lt;/url&gt;&lt;/related-urls&gt;&lt;/urls&gt;&lt;/record&gt;&lt;/Cite&gt;&lt;/EndNote&gt;</w:instrText>
      </w:r>
      <w:r w:rsidR="00543BF2">
        <w:rPr>
          <w:szCs w:val="20"/>
        </w:rPr>
        <w:fldChar w:fldCharType="separate"/>
      </w:r>
      <w:r w:rsidR="00543BF2">
        <w:rPr>
          <w:noProof/>
          <w:szCs w:val="20"/>
        </w:rPr>
        <w:t>(National Heart Foundation and High Blood Pressure Research Council of Australia Ambulatory Blood Pressure Monitoring Consensus Committee 2011)</w:t>
      </w:r>
      <w:r w:rsidR="00543BF2">
        <w:rPr>
          <w:szCs w:val="20"/>
        </w:rPr>
        <w:fldChar w:fldCharType="end"/>
      </w:r>
      <w:r w:rsidR="00844A77">
        <w:rPr>
          <w:szCs w:val="20"/>
        </w:rPr>
        <w:t>, they</w:t>
      </w:r>
      <w:r w:rsidRPr="00F10BFA">
        <w:rPr>
          <w:szCs w:val="20"/>
        </w:rPr>
        <w:t xml:space="preserve"> </w:t>
      </w:r>
      <w:r>
        <w:rPr>
          <w:szCs w:val="20"/>
        </w:rPr>
        <w:t xml:space="preserve">are excluded from the population for this proposed assessment, as they would follow a different clinical pathway to the proposed population. </w:t>
      </w:r>
      <w:r w:rsidR="00CB0F32">
        <w:rPr>
          <w:szCs w:val="20"/>
        </w:rPr>
        <w:t>For example,</w:t>
      </w:r>
      <w:r>
        <w:rPr>
          <w:szCs w:val="20"/>
        </w:rPr>
        <w:t xml:space="preserve"> an outcome such as pre-eclampsia or the c</w:t>
      </w:r>
      <w:r w:rsidR="00CB0F32">
        <w:rPr>
          <w:szCs w:val="20"/>
        </w:rPr>
        <w:t>ontra</w:t>
      </w:r>
      <w:r>
        <w:rPr>
          <w:szCs w:val="20"/>
        </w:rPr>
        <w:t>indication of certain tre</w:t>
      </w:r>
      <w:r w:rsidR="00844A77">
        <w:rPr>
          <w:szCs w:val="20"/>
        </w:rPr>
        <w:t>atment options for hypertension</w:t>
      </w:r>
      <w:r>
        <w:rPr>
          <w:szCs w:val="20"/>
        </w:rPr>
        <w:t xml:space="preserve"> during pregnancy </w:t>
      </w:r>
      <w:r w:rsidR="00543BF2">
        <w:rPr>
          <w:szCs w:val="20"/>
        </w:rPr>
        <w:fldChar w:fldCharType="begin"/>
      </w:r>
      <w:r w:rsidR="00543BF2">
        <w:rPr>
          <w:szCs w:val="20"/>
        </w:rPr>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rPr>
          <w:szCs w:val="20"/>
        </w:rPr>
        <w:fldChar w:fldCharType="separate"/>
      </w:r>
      <w:r w:rsidR="00543BF2">
        <w:rPr>
          <w:noProof/>
          <w:szCs w:val="20"/>
        </w:rPr>
        <w:t>(Gabb 2016)</w:t>
      </w:r>
      <w:r w:rsidR="00543BF2">
        <w:rPr>
          <w:szCs w:val="20"/>
        </w:rPr>
        <w:fldChar w:fldCharType="end"/>
      </w:r>
      <w:r w:rsidR="00A420C2">
        <w:rPr>
          <w:szCs w:val="20"/>
        </w:rPr>
        <w:t>.</w:t>
      </w:r>
    </w:p>
    <w:p w14:paraId="6EB52600" w14:textId="6679C21D" w:rsidR="004F41F7" w:rsidRDefault="004F41F7" w:rsidP="009B2D22">
      <w:r w:rsidRPr="004F41F7">
        <w:t>In 2017-18</w:t>
      </w:r>
      <w:r>
        <w:t>, 1 in 10 (10.6%) people in Australia had hypertension</w:t>
      </w:r>
      <w:r w:rsidR="007D627A">
        <w:t xml:space="preserve"> (</w:t>
      </w:r>
      <w:r w:rsidR="007D627A">
        <w:fldChar w:fldCharType="begin"/>
      </w:r>
      <w:r w:rsidR="007D627A">
        <w:instrText xml:space="preserve"> REF _Ref1468927 \h </w:instrText>
      </w:r>
      <w:r w:rsidR="007D627A">
        <w:fldChar w:fldCharType="separate"/>
      </w:r>
      <w:r w:rsidR="00612F64">
        <w:t xml:space="preserve">Figure </w:t>
      </w:r>
      <w:r w:rsidR="00612F64">
        <w:rPr>
          <w:noProof/>
        </w:rPr>
        <w:t>1</w:t>
      </w:r>
      <w:r w:rsidR="007D627A">
        <w:fldChar w:fldCharType="end"/>
      </w:r>
      <w:r w:rsidR="007D627A">
        <w:t>)</w:t>
      </w:r>
      <w:r>
        <w:t>. The prevalence is balanced amongst gender and has remained similar over the prior 10 years</w:t>
      </w:r>
      <w:r w:rsidR="0006798B">
        <w:t xml:space="preserve"> </w:t>
      </w:r>
      <w:r w:rsidR="00543BF2">
        <w:fldChar w:fldCharType="begin"/>
      </w:r>
      <w:r w:rsidR="00543BF2">
        <w:instrText xml:space="preserve"> ADDIN EN.CITE &lt;EndNote&gt;&lt;Cite&gt;&lt;Author&gt;ABS&lt;/Author&gt;&lt;Year&gt;2018&lt;/Year&gt;&lt;RecNum&gt;7&lt;/RecNum&gt;&lt;DisplayText&gt;(ABS 2018)&lt;/DisplayText&gt;&lt;record&gt;&lt;rec-number&gt;7&lt;/rec-number&gt;&lt;foreign-keys&gt;&lt;key app="EN" db-id="s955atafr9wsseewttmxxz54fz925s0fvr2v" timestamp="1550535746"&gt;7&lt;/key&gt;&lt;/foreign-keys&gt;&lt;ref-type name="Report"&gt;27&lt;/ref-type&gt;&lt;contributors&gt;&lt;authors&gt;&lt;author&gt;ABS&lt;/author&gt;&lt;/authors&gt;&lt;/contributors&gt;&lt;titles&gt;&lt;title&gt;HYPERTENSION AND MEASURED HIGH BLOOD PRESSURE&lt;/title&gt;&lt;/titles&gt;&lt;dates&gt;&lt;year&gt;2018&lt;/year&gt;&lt;/dates&gt;&lt;pub-location&gt;Canberra, Australia&lt;/pub-location&gt;&lt;publisher&gt;Australian Bureau of Statistics&lt;/publisher&gt;&lt;urls&gt;&lt;related-urls&gt;&lt;url&gt;https://www.abs.gov.au/ausstats/abs@.nsf/Lookup/by%20Subject/4364.0.55.001~2017-18~Main%20Features~Hypertension%20and%20measured%20high%20blood%20pressure~60&lt;/url&gt;&lt;/related-urls&gt;&lt;/urls&gt;&lt;/record&gt;&lt;/Cite&gt;&lt;/EndNote&gt;</w:instrText>
      </w:r>
      <w:r w:rsidR="00543BF2">
        <w:fldChar w:fldCharType="separate"/>
      </w:r>
      <w:r w:rsidR="00543BF2">
        <w:rPr>
          <w:noProof/>
        </w:rPr>
        <w:t>(ABS 2018)</w:t>
      </w:r>
      <w:r w:rsidR="00543BF2">
        <w:fldChar w:fldCharType="end"/>
      </w:r>
      <w:r>
        <w:t>.</w:t>
      </w:r>
    </w:p>
    <w:p w14:paraId="08839BD0" w14:textId="78FD88B4" w:rsidR="007D627A" w:rsidRDefault="007D627A" w:rsidP="007D627A">
      <w:pPr>
        <w:pStyle w:val="Caption"/>
        <w:rPr>
          <w:rFonts w:asciiTheme="minorHAnsi" w:eastAsiaTheme="minorHAnsi" w:hAnsiTheme="minorHAnsi" w:cstheme="minorBidi"/>
        </w:rPr>
      </w:pPr>
      <w:bookmarkStart w:id="3" w:name="_Ref1468927"/>
      <w:r>
        <w:t xml:space="preserve">Figure </w:t>
      </w:r>
      <w:r>
        <w:fldChar w:fldCharType="begin"/>
      </w:r>
      <w:r>
        <w:instrText xml:space="preserve"> SEQ Figure \* ARABIC </w:instrText>
      </w:r>
      <w:r>
        <w:fldChar w:fldCharType="separate"/>
      </w:r>
      <w:r w:rsidR="00612F64">
        <w:rPr>
          <w:noProof/>
        </w:rPr>
        <w:t>1</w:t>
      </w:r>
      <w:r>
        <w:fldChar w:fldCharType="end"/>
      </w:r>
      <w:bookmarkEnd w:id="3"/>
      <w:r>
        <w:t>: P</w:t>
      </w:r>
      <w:r w:rsidRPr="00034C41">
        <w:t xml:space="preserve">roportion of people </w:t>
      </w:r>
      <w:r w:rsidR="00D8281E">
        <w:t xml:space="preserve">in </w:t>
      </w:r>
      <w:r w:rsidR="00D8281E">
        <w:rPr>
          <w:rFonts w:cs="Arial"/>
          <w:bCs/>
          <w:lang w:eastAsia="en-AU"/>
        </w:rPr>
        <w:t>Australian</w:t>
      </w:r>
      <w:r w:rsidR="00D8281E" w:rsidRPr="00034C41">
        <w:t xml:space="preserve"> </w:t>
      </w:r>
      <w:r w:rsidRPr="00034C41">
        <w:t>with hypertension</w:t>
      </w:r>
      <w:r>
        <w:t>, 2017-2018</w:t>
      </w:r>
    </w:p>
    <w:p w14:paraId="3BFD24D3" w14:textId="1B2A85BD" w:rsidR="007D627A" w:rsidRPr="00916A75" w:rsidRDefault="00327BC0" w:rsidP="007D627A">
      <w:pPr>
        <w:spacing w:before="120" w:after="0" w:line="240" w:lineRule="auto"/>
        <w:jc w:val="both"/>
        <w:rPr>
          <w:rFonts w:asciiTheme="minorHAnsi" w:eastAsiaTheme="minorHAnsi" w:hAnsiTheme="minorHAnsi" w:cstheme="minorBidi"/>
          <w:sz w:val="20"/>
          <w:szCs w:val="20"/>
        </w:rPr>
      </w:pPr>
      <w:r>
        <w:rPr>
          <w:rFonts w:asciiTheme="minorHAnsi" w:eastAsiaTheme="minorHAnsi" w:hAnsiTheme="minorHAnsi" w:cstheme="minorBidi"/>
          <w:noProof/>
          <w:sz w:val="20"/>
          <w:szCs w:val="20"/>
          <w:lang w:eastAsia="en-AU"/>
        </w:rPr>
        <w:drawing>
          <wp:inline distT="0" distB="0" distL="0" distR="0" wp14:anchorId="495956C3" wp14:editId="126600FE">
            <wp:extent cx="4632960" cy="2718387"/>
            <wp:effectExtent l="0" t="0" r="0" b="6350"/>
            <wp:docPr id="6" name="Picture 6" descr="This figure shows the proportion of people in Australian with hypertension, 2017-2018" title="Proportion of people in Australian with hypertension,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tif"/>
                    <pic:cNvPicPr/>
                  </pic:nvPicPr>
                  <pic:blipFill>
                    <a:blip r:embed="rId9">
                      <a:extLst>
                        <a:ext uri="{28A0092B-C50C-407E-A947-70E740481C1C}">
                          <a14:useLocalDpi xmlns:a14="http://schemas.microsoft.com/office/drawing/2010/main" val="0"/>
                        </a:ext>
                      </a:extLst>
                    </a:blip>
                    <a:stretch>
                      <a:fillRect/>
                    </a:stretch>
                  </pic:blipFill>
                  <pic:spPr>
                    <a:xfrm>
                      <a:off x="0" y="0"/>
                      <a:ext cx="4658361" cy="2733291"/>
                    </a:xfrm>
                    <a:prstGeom prst="rect">
                      <a:avLst/>
                    </a:prstGeom>
                  </pic:spPr>
                </pic:pic>
              </a:graphicData>
            </a:graphic>
          </wp:inline>
        </w:drawing>
      </w:r>
    </w:p>
    <w:p w14:paraId="797A7735" w14:textId="0FB84000" w:rsidR="007D627A" w:rsidRPr="00034C41" w:rsidRDefault="007D627A" w:rsidP="007D627A">
      <w:pPr>
        <w:rPr>
          <w:sz w:val="18"/>
        </w:rPr>
      </w:pPr>
      <w:r w:rsidRPr="00034C41">
        <w:rPr>
          <w:sz w:val="18"/>
        </w:rPr>
        <w:t>Source: Australian Bureau of Statistics, Commonwealth of Australia, 2018</w:t>
      </w:r>
      <w:r w:rsidR="00543BF2">
        <w:rPr>
          <w:sz w:val="18"/>
        </w:rPr>
        <w:fldChar w:fldCharType="begin"/>
      </w:r>
      <w:r w:rsidR="00543BF2">
        <w:rPr>
          <w:sz w:val="18"/>
        </w:rPr>
        <w:instrText xml:space="preserve"> ADDIN EN.CITE &lt;EndNote&gt;&lt;Cite&gt;&lt;Author&gt;ABS&lt;/Author&gt;&lt;Year&gt;2018&lt;/Year&gt;&lt;RecNum&gt;7&lt;/RecNum&gt;&lt;DisplayText&gt;(ABS 2018)&lt;/DisplayText&gt;&lt;record&gt;&lt;rec-number&gt;7&lt;/rec-number&gt;&lt;foreign-keys&gt;&lt;key app="EN" db-id="s955atafr9wsseewttmxxz54fz925s0fvr2v" timestamp="1550535746"&gt;7&lt;/key&gt;&lt;/foreign-keys&gt;&lt;ref-type name="Report"&gt;27&lt;/ref-type&gt;&lt;contributors&gt;&lt;authors&gt;&lt;author&gt;ABS&lt;/author&gt;&lt;/authors&gt;&lt;/contributors&gt;&lt;titles&gt;&lt;title&gt;HYPERTENSION AND MEASURED HIGH BLOOD PRESSURE&lt;/title&gt;&lt;/titles&gt;&lt;dates&gt;&lt;year&gt;2018&lt;/year&gt;&lt;/dates&gt;&lt;pub-location&gt;Canberra, Australia&lt;/pub-location&gt;&lt;publisher&gt;Australian Bureau of Statistics&lt;/publisher&gt;&lt;urls&gt;&lt;related-urls&gt;&lt;url&gt;https://www.abs.gov.au/ausstats/abs@.nsf/Lookup/by%20Subject/4364.0.55.001~2017-18~Main%20Features~Hypertension%20and%20measured%20high%20blood%20pressure~60&lt;/url&gt;&lt;/related-urls&gt;&lt;/urls&gt;&lt;/record&gt;&lt;/Cite&gt;&lt;/EndNote&gt;</w:instrText>
      </w:r>
      <w:r w:rsidR="00543BF2">
        <w:rPr>
          <w:sz w:val="18"/>
        </w:rPr>
        <w:fldChar w:fldCharType="separate"/>
      </w:r>
      <w:r w:rsidR="00543BF2">
        <w:rPr>
          <w:noProof/>
          <w:sz w:val="18"/>
        </w:rPr>
        <w:t>(ABS 2018)</w:t>
      </w:r>
      <w:r w:rsidR="00543BF2">
        <w:rPr>
          <w:sz w:val="18"/>
        </w:rPr>
        <w:fldChar w:fldCharType="end"/>
      </w:r>
      <w:r w:rsidRPr="00034C41">
        <w:rPr>
          <w:sz w:val="18"/>
        </w:rPr>
        <w:t>.</w:t>
      </w:r>
    </w:p>
    <w:p w14:paraId="6DD43452" w14:textId="0A91363A" w:rsidR="00C00286" w:rsidRPr="00916A75" w:rsidRDefault="00C00286" w:rsidP="00F03562">
      <w:pPr>
        <w:spacing w:before="120" w:after="60" w:line="240" w:lineRule="auto"/>
        <w:rPr>
          <w:rFonts w:asciiTheme="minorHAnsi" w:eastAsia="Times New Roman" w:hAnsiTheme="minorHAnsi" w:cs="Arial"/>
          <w:bCs/>
          <w:lang w:eastAsia="en-AU"/>
        </w:rPr>
      </w:pPr>
      <w:r>
        <w:rPr>
          <w:rFonts w:asciiTheme="minorHAnsi" w:eastAsia="Times New Roman" w:hAnsiTheme="minorHAnsi" w:cs="Arial"/>
          <w:bCs/>
          <w:lang w:eastAsia="en-AU"/>
        </w:rPr>
        <w:fldChar w:fldCharType="begin"/>
      </w:r>
      <w:r>
        <w:rPr>
          <w:rFonts w:asciiTheme="minorHAnsi" w:eastAsia="Times New Roman" w:hAnsiTheme="minorHAnsi" w:cs="Arial"/>
          <w:bCs/>
          <w:lang w:eastAsia="en-AU"/>
        </w:rPr>
        <w:instrText xml:space="preserve"> REF _Ref4514359 \h </w:instrText>
      </w:r>
      <w:r>
        <w:rPr>
          <w:rFonts w:asciiTheme="minorHAnsi" w:eastAsia="Times New Roman" w:hAnsiTheme="minorHAnsi" w:cs="Arial"/>
          <w:bCs/>
          <w:lang w:eastAsia="en-AU"/>
        </w:rPr>
      </w:r>
      <w:r>
        <w:rPr>
          <w:rFonts w:asciiTheme="minorHAnsi" w:eastAsia="Times New Roman" w:hAnsiTheme="minorHAnsi" w:cs="Arial"/>
          <w:bCs/>
          <w:lang w:eastAsia="en-AU"/>
        </w:rPr>
        <w:fldChar w:fldCharType="separate"/>
      </w:r>
      <w:r>
        <w:t xml:space="preserve">Table </w:t>
      </w:r>
      <w:r>
        <w:rPr>
          <w:noProof/>
        </w:rPr>
        <w:t>1</w:t>
      </w:r>
      <w:r>
        <w:rPr>
          <w:rFonts w:asciiTheme="minorHAnsi" w:eastAsia="Times New Roman" w:hAnsiTheme="minorHAnsi" w:cs="Arial"/>
          <w:bCs/>
          <w:lang w:eastAsia="en-AU"/>
        </w:rPr>
        <w:fldChar w:fldCharType="end"/>
      </w:r>
      <w:r>
        <w:rPr>
          <w:rFonts w:asciiTheme="minorHAnsi" w:eastAsia="Times New Roman" w:hAnsiTheme="minorHAnsi" w:cs="Arial"/>
          <w:bCs/>
          <w:lang w:eastAsia="en-AU"/>
        </w:rPr>
        <w:t xml:space="preserve"> and </w:t>
      </w:r>
      <w:r>
        <w:rPr>
          <w:rFonts w:asciiTheme="minorHAnsi" w:eastAsia="Times New Roman" w:hAnsiTheme="minorHAnsi" w:cs="Arial"/>
          <w:bCs/>
          <w:lang w:eastAsia="en-AU"/>
        </w:rPr>
        <w:fldChar w:fldCharType="begin"/>
      </w:r>
      <w:r>
        <w:rPr>
          <w:rFonts w:asciiTheme="minorHAnsi" w:eastAsia="Times New Roman" w:hAnsiTheme="minorHAnsi" w:cs="Arial"/>
          <w:bCs/>
          <w:lang w:eastAsia="en-AU"/>
        </w:rPr>
        <w:instrText xml:space="preserve"> REF _Ref4514361 \h </w:instrText>
      </w:r>
      <w:r>
        <w:rPr>
          <w:rFonts w:asciiTheme="minorHAnsi" w:eastAsia="Times New Roman" w:hAnsiTheme="minorHAnsi" w:cs="Arial"/>
          <w:bCs/>
          <w:lang w:eastAsia="en-AU"/>
        </w:rPr>
      </w:r>
      <w:r>
        <w:rPr>
          <w:rFonts w:asciiTheme="minorHAnsi" w:eastAsia="Times New Roman" w:hAnsiTheme="minorHAnsi" w:cs="Arial"/>
          <w:bCs/>
          <w:lang w:eastAsia="en-AU"/>
        </w:rPr>
        <w:fldChar w:fldCharType="separate"/>
      </w:r>
      <w:r w:rsidRPr="00F50E48">
        <w:t xml:space="preserve">Table </w:t>
      </w:r>
      <w:r>
        <w:rPr>
          <w:noProof/>
        </w:rPr>
        <w:t>2</w:t>
      </w:r>
      <w:r>
        <w:rPr>
          <w:rFonts w:asciiTheme="minorHAnsi" w:eastAsia="Times New Roman" w:hAnsiTheme="minorHAnsi" w:cs="Arial"/>
          <w:bCs/>
          <w:lang w:eastAsia="en-AU"/>
        </w:rPr>
        <w:fldChar w:fldCharType="end"/>
      </w:r>
      <w:r>
        <w:rPr>
          <w:rFonts w:asciiTheme="minorHAnsi" w:eastAsia="Times New Roman" w:hAnsiTheme="minorHAnsi" w:cs="Arial"/>
          <w:bCs/>
          <w:lang w:eastAsia="en-AU"/>
        </w:rPr>
        <w:t xml:space="preserve"> (below) provide some </w:t>
      </w:r>
      <w:r w:rsidR="00E26E02">
        <w:rPr>
          <w:rFonts w:asciiTheme="minorHAnsi" w:eastAsia="Times New Roman" w:hAnsiTheme="minorHAnsi" w:cs="Arial"/>
          <w:bCs/>
          <w:lang w:eastAsia="en-AU"/>
        </w:rPr>
        <w:t>content of the burden of high blood pressure in Australian adults and its prevalence in Australian states/territories.</w:t>
      </w:r>
    </w:p>
    <w:p w14:paraId="1BE8DAE3" w14:textId="6AE05926" w:rsidR="004F41F7" w:rsidRDefault="004F41F7" w:rsidP="004F41F7">
      <w:pPr>
        <w:pStyle w:val="Caption"/>
      </w:pPr>
      <w:bookmarkStart w:id="4" w:name="_Ref4514359"/>
      <w:bookmarkStart w:id="5" w:name="_Ref4514355"/>
      <w:r>
        <w:t xml:space="preserve">Table </w:t>
      </w:r>
      <w:r>
        <w:fldChar w:fldCharType="begin"/>
      </w:r>
      <w:r>
        <w:instrText xml:space="preserve"> SEQ Table \* ARABIC </w:instrText>
      </w:r>
      <w:r>
        <w:fldChar w:fldCharType="separate"/>
      </w:r>
      <w:r w:rsidR="00612F64">
        <w:rPr>
          <w:noProof/>
        </w:rPr>
        <w:t>1</w:t>
      </w:r>
      <w:r>
        <w:fldChar w:fldCharType="end"/>
      </w:r>
      <w:bookmarkEnd w:id="4"/>
      <w:r w:rsidR="007B05E2">
        <w:t>:</w:t>
      </w:r>
      <w:r>
        <w:t xml:space="preserve"> </w:t>
      </w:r>
      <w:r w:rsidR="00D8281E">
        <w:rPr>
          <w:rFonts w:cs="Arial"/>
          <w:bCs/>
          <w:lang w:eastAsia="en-AU"/>
        </w:rPr>
        <w:t xml:space="preserve">Percentage of Australian population with </w:t>
      </w:r>
      <w:r w:rsidRPr="007B05E2">
        <w:rPr>
          <w:rFonts w:cs="Arial"/>
          <w:bCs/>
          <w:lang w:eastAsia="en-AU"/>
        </w:rPr>
        <w:t>high/very high blood pressure</w:t>
      </w:r>
      <w:bookmarkEnd w:id="5"/>
      <w:r w:rsidRPr="007B05E2">
        <w:rPr>
          <w:rFonts w:cs="Arial"/>
          <w:bCs/>
          <w:lang w:eastAsia="en-AU"/>
        </w:rPr>
        <w:t xml:space="preserve"> </w:t>
      </w:r>
    </w:p>
    <w:tbl>
      <w:tblPr>
        <w:tblStyle w:val="TableGridLight1"/>
        <w:tblW w:w="6847" w:type="dxa"/>
        <w:tblLook w:val="04A0" w:firstRow="1" w:lastRow="0" w:firstColumn="1" w:lastColumn="0" w:noHBand="0" w:noVBand="1"/>
        <w:tblCaption w:val="Percentage of Australian population with high/very high blood pressure "/>
        <w:tblDescription w:val="The table shows the percentage of the Australian population with high/very high blood pressure taking or not taking hypertension medication"/>
      </w:tblPr>
      <w:tblGrid>
        <w:gridCol w:w="4194"/>
        <w:gridCol w:w="920"/>
        <w:gridCol w:w="1100"/>
        <w:gridCol w:w="1069"/>
      </w:tblGrid>
      <w:tr w:rsidR="004F41F7" w:rsidRPr="005675F4" w14:paraId="105443C9" w14:textId="77777777" w:rsidTr="00CB6086">
        <w:trPr>
          <w:trHeight w:val="264"/>
          <w:tblHeader/>
        </w:trPr>
        <w:tc>
          <w:tcPr>
            <w:tcW w:w="4194" w:type="dxa"/>
            <w:noWrap/>
          </w:tcPr>
          <w:p w14:paraId="12970F1A" w14:textId="77777777" w:rsidR="004F41F7" w:rsidRPr="005675F4" w:rsidRDefault="004F41F7" w:rsidP="00344044">
            <w:pPr>
              <w:pStyle w:val="Table"/>
              <w:spacing w:after="0"/>
              <w:ind w:firstLineChars="0" w:firstLine="0"/>
              <w:rPr>
                <w:b/>
              </w:rPr>
            </w:pPr>
            <w:r w:rsidRPr="005675F4">
              <w:rPr>
                <w:b/>
              </w:rPr>
              <w:t>% of population</w:t>
            </w:r>
          </w:p>
        </w:tc>
        <w:tc>
          <w:tcPr>
            <w:tcW w:w="909" w:type="dxa"/>
          </w:tcPr>
          <w:p w14:paraId="482B1091" w14:textId="77777777" w:rsidR="004F41F7" w:rsidRPr="005675F4" w:rsidRDefault="004F41F7" w:rsidP="00344044">
            <w:pPr>
              <w:pStyle w:val="Table"/>
              <w:spacing w:after="0"/>
              <w:rPr>
                <w:rFonts w:eastAsiaTheme="minorHAnsi"/>
                <w:b/>
              </w:rPr>
            </w:pPr>
            <w:r w:rsidRPr="005675F4">
              <w:rPr>
                <w:rFonts w:eastAsiaTheme="minorHAnsi"/>
                <w:b/>
              </w:rPr>
              <w:t xml:space="preserve">Males </w:t>
            </w:r>
          </w:p>
        </w:tc>
        <w:tc>
          <w:tcPr>
            <w:tcW w:w="887" w:type="dxa"/>
          </w:tcPr>
          <w:p w14:paraId="37276664" w14:textId="77777777" w:rsidR="004F41F7" w:rsidRPr="005675F4" w:rsidRDefault="004F41F7" w:rsidP="00344044">
            <w:pPr>
              <w:pStyle w:val="Table"/>
              <w:spacing w:after="0"/>
              <w:rPr>
                <w:rFonts w:eastAsiaTheme="minorHAnsi"/>
                <w:b/>
              </w:rPr>
            </w:pPr>
            <w:r w:rsidRPr="005675F4">
              <w:rPr>
                <w:rFonts w:eastAsiaTheme="minorHAnsi"/>
                <w:b/>
              </w:rPr>
              <w:t>Females</w:t>
            </w:r>
          </w:p>
        </w:tc>
        <w:tc>
          <w:tcPr>
            <w:tcW w:w="857" w:type="dxa"/>
          </w:tcPr>
          <w:p w14:paraId="7D8FCA63" w14:textId="77777777" w:rsidR="004F41F7" w:rsidRPr="005675F4" w:rsidRDefault="004F41F7" w:rsidP="00344044">
            <w:pPr>
              <w:pStyle w:val="Table"/>
              <w:spacing w:after="0"/>
              <w:rPr>
                <w:rFonts w:eastAsiaTheme="minorHAnsi"/>
                <w:b/>
              </w:rPr>
            </w:pPr>
            <w:r w:rsidRPr="005675F4">
              <w:rPr>
                <w:rFonts w:eastAsiaTheme="minorHAnsi"/>
                <w:b/>
              </w:rPr>
              <w:t>Persons</w:t>
            </w:r>
          </w:p>
        </w:tc>
      </w:tr>
      <w:tr w:rsidR="004F41F7" w:rsidRPr="00916A75" w14:paraId="4FF9BA0D" w14:textId="77777777" w:rsidTr="005675F4">
        <w:trPr>
          <w:trHeight w:val="264"/>
        </w:trPr>
        <w:tc>
          <w:tcPr>
            <w:tcW w:w="4194" w:type="dxa"/>
            <w:noWrap/>
            <w:hideMark/>
          </w:tcPr>
          <w:p w14:paraId="0BB92767" w14:textId="77777777" w:rsidR="004F41F7" w:rsidRPr="00916A75" w:rsidRDefault="004F41F7" w:rsidP="00344044">
            <w:pPr>
              <w:spacing w:before="60"/>
              <w:rPr>
                <w:rFonts w:asciiTheme="minorHAnsi" w:eastAsia="Times New Roman" w:hAnsiTheme="minorHAnsi" w:cs="Arial"/>
                <w:sz w:val="20"/>
                <w:szCs w:val="20"/>
                <w:lang w:eastAsia="en-AU"/>
              </w:rPr>
            </w:pPr>
            <w:r w:rsidRPr="00916A75">
              <w:rPr>
                <w:rFonts w:asciiTheme="minorHAnsi" w:eastAsia="Times New Roman" w:hAnsiTheme="minorHAnsi" w:cs="Arial"/>
                <w:sz w:val="20"/>
                <w:szCs w:val="20"/>
                <w:lang w:eastAsia="en-AU"/>
              </w:rPr>
              <w:t>Taking hypertension medication</w:t>
            </w:r>
          </w:p>
        </w:tc>
        <w:tc>
          <w:tcPr>
            <w:tcW w:w="909" w:type="dxa"/>
          </w:tcPr>
          <w:p w14:paraId="5929426E"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6.9</w:t>
            </w:r>
          </w:p>
        </w:tc>
        <w:tc>
          <w:tcPr>
            <w:tcW w:w="887" w:type="dxa"/>
          </w:tcPr>
          <w:p w14:paraId="1EE64FA7"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7.0</w:t>
            </w:r>
          </w:p>
        </w:tc>
        <w:tc>
          <w:tcPr>
            <w:tcW w:w="857" w:type="dxa"/>
          </w:tcPr>
          <w:p w14:paraId="048A7D68"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7.0</w:t>
            </w:r>
          </w:p>
        </w:tc>
      </w:tr>
      <w:tr w:rsidR="004F41F7" w:rsidRPr="00916A75" w14:paraId="1AD5A261" w14:textId="77777777" w:rsidTr="005675F4">
        <w:trPr>
          <w:trHeight w:val="264"/>
        </w:trPr>
        <w:tc>
          <w:tcPr>
            <w:tcW w:w="4194" w:type="dxa"/>
            <w:noWrap/>
            <w:hideMark/>
          </w:tcPr>
          <w:p w14:paraId="3A635233" w14:textId="77777777" w:rsidR="004F41F7" w:rsidRPr="00916A75" w:rsidRDefault="004F41F7" w:rsidP="00344044">
            <w:pPr>
              <w:spacing w:before="60"/>
              <w:rPr>
                <w:rFonts w:asciiTheme="minorHAnsi" w:eastAsia="Times New Roman" w:hAnsiTheme="minorHAnsi" w:cs="Arial"/>
                <w:sz w:val="20"/>
                <w:szCs w:val="20"/>
                <w:lang w:eastAsia="en-AU"/>
              </w:rPr>
            </w:pPr>
            <w:r w:rsidRPr="00916A75">
              <w:rPr>
                <w:rFonts w:asciiTheme="minorHAnsi" w:eastAsia="Times New Roman" w:hAnsiTheme="minorHAnsi" w:cs="Arial"/>
                <w:sz w:val="20"/>
                <w:szCs w:val="20"/>
                <w:lang w:eastAsia="en-AU"/>
              </w:rPr>
              <w:lastRenderedPageBreak/>
              <w:t>Not taking hypertension medication</w:t>
            </w:r>
          </w:p>
        </w:tc>
        <w:tc>
          <w:tcPr>
            <w:tcW w:w="909" w:type="dxa"/>
          </w:tcPr>
          <w:p w14:paraId="0F554154"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15.3</w:t>
            </w:r>
          </w:p>
        </w:tc>
        <w:tc>
          <w:tcPr>
            <w:tcW w:w="887" w:type="dxa"/>
          </w:tcPr>
          <w:p w14:paraId="54B7DBFA"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11.3</w:t>
            </w:r>
          </w:p>
        </w:tc>
        <w:tc>
          <w:tcPr>
            <w:tcW w:w="857" w:type="dxa"/>
          </w:tcPr>
          <w:p w14:paraId="2C7EE2F5"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13.3</w:t>
            </w:r>
          </w:p>
        </w:tc>
      </w:tr>
      <w:tr w:rsidR="004F41F7" w:rsidRPr="00916A75" w14:paraId="204E368C" w14:textId="77777777" w:rsidTr="005675F4">
        <w:trPr>
          <w:trHeight w:val="264"/>
        </w:trPr>
        <w:tc>
          <w:tcPr>
            <w:tcW w:w="4194" w:type="dxa"/>
            <w:noWrap/>
            <w:hideMark/>
          </w:tcPr>
          <w:p w14:paraId="10C320C2" w14:textId="77777777" w:rsidR="004F41F7" w:rsidRPr="00916A75" w:rsidRDefault="004F41F7" w:rsidP="00344044">
            <w:pPr>
              <w:spacing w:before="60"/>
              <w:rPr>
                <w:rFonts w:asciiTheme="minorHAnsi" w:eastAsia="Times New Roman" w:hAnsiTheme="minorHAnsi" w:cs="Arial"/>
                <w:i/>
                <w:iCs/>
                <w:sz w:val="20"/>
                <w:szCs w:val="20"/>
                <w:lang w:eastAsia="en-AU"/>
              </w:rPr>
            </w:pPr>
            <w:r w:rsidRPr="00916A75">
              <w:rPr>
                <w:rFonts w:asciiTheme="minorHAnsi" w:eastAsia="Times New Roman" w:hAnsiTheme="minorHAnsi" w:cs="Arial"/>
                <w:i/>
                <w:iCs/>
                <w:sz w:val="20"/>
                <w:szCs w:val="20"/>
                <w:lang w:eastAsia="en-AU"/>
              </w:rPr>
              <w:t>Total high/very high measured blood pressure</w:t>
            </w:r>
          </w:p>
        </w:tc>
        <w:tc>
          <w:tcPr>
            <w:tcW w:w="909" w:type="dxa"/>
          </w:tcPr>
          <w:p w14:paraId="28CC6AD3"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22.2</w:t>
            </w:r>
          </w:p>
        </w:tc>
        <w:tc>
          <w:tcPr>
            <w:tcW w:w="887" w:type="dxa"/>
          </w:tcPr>
          <w:p w14:paraId="452AEAE8"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18.3</w:t>
            </w:r>
          </w:p>
        </w:tc>
        <w:tc>
          <w:tcPr>
            <w:tcW w:w="857" w:type="dxa"/>
          </w:tcPr>
          <w:p w14:paraId="1A82A059" w14:textId="77777777" w:rsidR="004F41F7" w:rsidRPr="00916A75" w:rsidRDefault="004F41F7" w:rsidP="00344044">
            <w:pPr>
              <w:spacing w:before="60"/>
              <w:jc w:val="right"/>
              <w:rPr>
                <w:rFonts w:asciiTheme="minorHAnsi" w:eastAsiaTheme="minorHAnsi" w:hAnsiTheme="minorHAnsi" w:cs="Arial"/>
                <w:sz w:val="20"/>
                <w:szCs w:val="20"/>
              </w:rPr>
            </w:pPr>
            <w:r w:rsidRPr="00916A75">
              <w:rPr>
                <w:rFonts w:asciiTheme="minorHAnsi" w:eastAsiaTheme="minorHAnsi" w:hAnsiTheme="minorHAnsi" w:cs="Arial"/>
                <w:sz w:val="20"/>
                <w:szCs w:val="20"/>
              </w:rPr>
              <w:t>20.2</w:t>
            </w:r>
          </w:p>
        </w:tc>
      </w:tr>
    </w:tbl>
    <w:p w14:paraId="738F65E2" w14:textId="61221827" w:rsidR="004F41F7" w:rsidRPr="00916A75" w:rsidRDefault="004F41F7" w:rsidP="005675F4">
      <w:pPr>
        <w:spacing w:after="120" w:line="240" w:lineRule="auto"/>
        <w:rPr>
          <w:rFonts w:asciiTheme="minorHAnsi" w:eastAsiaTheme="minorHAnsi" w:hAnsiTheme="minorHAnsi" w:cstheme="minorBidi"/>
          <w:sz w:val="18"/>
          <w:szCs w:val="18"/>
        </w:rPr>
      </w:pPr>
      <w:r>
        <w:rPr>
          <w:rFonts w:asciiTheme="minorHAnsi" w:eastAsiaTheme="minorHAnsi" w:hAnsiTheme="minorHAnsi" w:cstheme="minorBidi"/>
          <w:sz w:val="18"/>
          <w:szCs w:val="18"/>
        </w:rPr>
        <w:t>Source:</w:t>
      </w:r>
      <w:r w:rsidRPr="00916A75">
        <w:rPr>
          <w:rFonts w:asciiTheme="minorHAnsi" w:eastAsiaTheme="minorHAnsi" w:hAnsiTheme="minorHAnsi" w:cstheme="minorBidi"/>
          <w:sz w:val="18"/>
          <w:szCs w:val="18"/>
        </w:rPr>
        <w:t xml:space="preserve"> Australian Health Survey: Health Service Usage and Health Related Actions, 2011–12</w:t>
      </w:r>
      <w:r w:rsidR="00543BF2">
        <w:rPr>
          <w:rFonts w:asciiTheme="minorHAnsi" w:eastAsiaTheme="minorHAnsi" w:hAnsiTheme="minorHAnsi" w:cstheme="minorBidi"/>
          <w:sz w:val="18"/>
          <w:szCs w:val="18"/>
        </w:rPr>
        <w:fldChar w:fldCharType="begin"/>
      </w:r>
      <w:r w:rsidR="00543BF2">
        <w:rPr>
          <w:rFonts w:asciiTheme="minorHAnsi" w:eastAsiaTheme="minorHAnsi" w:hAnsiTheme="minorHAnsi" w:cstheme="minorBidi"/>
          <w:sz w:val="18"/>
          <w:szCs w:val="18"/>
        </w:rPr>
        <w:instrText xml:space="preserve"> ADDIN EN.CITE &lt;EndNote&gt;&lt;Cite&gt;&lt;Author&gt;ABS&lt;/Author&gt;&lt;Year&gt;2013&lt;/Year&gt;&lt;RecNum&gt;15&lt;/RecNum&gt;&lt;DisplayText&gt;(ABS 2013)&lt;/DisplayText&gt;&lt;record&gt;&lt;rec-number&gt;15&lt;/rec-number&gt;&lt;foreign-keys&gt;&lt;key app="EN" db-id="s955atafr9wsseewttmxxz54fz925s0fvr2v" timestamp="1552542152"&gt;15&lt;/key&gt;&lt;/foreign-keys&gt;&lt;ref-type name="Report"&gt;27&lt;/ref-type&gt;&lt;contributors&gt;&lt;authors&gt;&lt;author&gt;ABS&lt;/author&gt;&lt;/authors&gt;&lt;/contributors&gt;&lt;titles&gt;&lt;title&gt;Australian Health Survey 2011-13&lt;/title&gt;&lt;/titles&gt;&lt;dates&gt;&lt;year&gt;2013&lt;/year&gt;&lt;/dates&gt;&lt;pub-location&gt;Canberra&lt;/pub-location&gt;&lt;publisher&gt;Australian Commonwealth Government&lt;/publisher&gt;&lt;urls&gt;&lt;related-urls&gt;&lt;url&gt;https://www.abs.gov.au/ausstats/abs@.nsf/Lookup/4364.0.55.002main+features12011-12&lt;/url&gt;&lt;/related-urls&gt;&lt;/urls&gt;&lt;/record&gt;&lt;/Cite&gt;&lt;/EndNote&gt;</w:instrText>
      </w:r>
      <w:r w:rsidR="00543BF2">
        <w:rPr>
          <w:rFonts w:asciiTheme="minorHAnsi" w:eastAsiaTheme="minorHAnsi" w:hAnsiTheme="minorHAnsi" w:cstheme="minorBidi"/>
          <w:sz w:val="18"/>
          <w:szCs w:val="18"/>
        </w:rPr>
        <w:fldChar w:fldCharType="separate"/>
      </w:r>
      <w:r w:rsidR="00543BF2">
        <w:rPr>
          <w:rFonts w:asciiTheme="minorHAnsi" w:eastAsiaTheme="minorHAnsi" w:hAnsiTheme="minorHAnsi" w:cstheme="minorBidi"/>
          <w:noProof/>
          <w:sz w:val="18"/>
          <w:szCs w:val="18"/>
        </w:rPr>
        <w:t>(ABS 2013)</w:t>
      </w:r>
      <w:r w:rsidR="00543BF2">
        <w:rPr>
          <w:rFonts w:asciiTheme="minorHAnsi" w:eastAsiaTheme="minorHAnsi" w:hAnsiTheme="minorHAnsi" w:cstheme="minorBidi"/>
          <w:sz w:val="18"/>
          <w:szCs w:val="18"/>
        </w:rPr>
        <w:fldChar w:fldCharType="end"/>
      </w:r>
    </w:p>
    <w:p w14:paraId="2262114D" w14:textId="4FB24DF1" w:rsidR="00E0361D" w:rsidRPr="007C43EE" w:rsidRDefault="00E0361D" w:rsidP="007C43EE">
      <w:pPr>
        <w:spacing w:after="0"/>
        <w:jc w:val="both"/>
        <w:rPr>
          <w:i/>
          <w:szCs w:val="20"/>
        </w:rPr>
      </w:pPr>
    </w:p>
    <w:p w14:paraId="094DFCFB" w14:textId="7814C544" w:rsidR="007C6687" w:rsidRPr="00F50E48" w:rsidRDefault="007C6687" w:rsidP="007C6687">
      <w:pPr>
        <w:pStyle w:val="Caption"/>
      </w:pPr>
      <w:bookmarkStart w:id="6" w:name="_Ref4514361"/>
      <w:r w:rsidRPr="00F50E48">
        <w:t xml:space="preserve">Table </w:t>
      </w:r>
      <w:r w:rsidRPr="00F50E48">
        <w:fldChar w:fldCharType="begin"/>
      </w:r>
      <w:r w:rsidRPr="00F50E48">
        <w:instrText xml:space="preserve"> SEQ Table \* ARABIC </w:instrText>
      </w:r>
      <w:r w:rsidRPr="00F50E48">
        <w:fldChar w:fldCharType="separate"/>
      </w:r>
      <w:r w:rsidR="00612F64">
        <w:rPr>
          <w:noProof/>
        </w:rPr>
        <w:t>2</w:t>
      </w:r>
      <w:r w:rsidRPr="00F50E48">
        <w:fldChar w:fldCharType="end"/>
      </w:r>
      <w:bookmarkEnd w:id="6"/>
      <w:r w:rsidR="0086240B">
        <w:t>:</w:t>
      </w:r>
      <w:r w:rsidRPr="00F50E48">
        <w:t xml:space="preserve"> </w:t>
      </w:r>
      <w:r w:rsidRPr="00F50E48">
        <w:rPr>
          <w:rFonts w:eastAsiaTheme="minorHAnsi" w:cstheme="minorBidi"/>
        </w:rPr>
        <w:t xml:space="preserve">Prevalence of uncontrolled or unmanaged high blood pressure </w:t>
      </w:r>
      <w:r w:rsidR="0086240B">
        <w:rPr>
          <w:rFonts w:eastAsiaTheme="minorHAnsi" w:cstheme="minorBidi"/>
        </w:rPr>
        <w:t>in Australia</w:t>
      </w:r>
    </w:p>
    <w:tbl>
      <w:tblPr>
        <w:tblStyle w:val="GridTable1Light1"/>
        <w:tblW w:w="3652" w:type="dxa"/>
        <w:tblLook w:val="04A0" w:firstRow="1" w:lastRow="0" w:firstColumn="1" w:lastColumn="0" w:noHBand="0" w:noVBand="1"/>
        <w:tblCaption w:val="Prevalence of uncontrolled or unmanaged high blood pressure in Australia"/>
        <w:tblDescription w:val="This table shows the prevalence of uncontrolled or unmanaged high blood pressure in Australia"/>
      </w:tblPr>
      <w:tblGrid>
        <w:gridCol w:w="2802"/>
        <w:gridCol w:w="850"/>
      </w:tblGrid>
      <w:tr w:rsidR="005675F4" w:rsidRPr="00344044" w14:paraId="185DA82F" w14:textId="77777777" w:rsidTr="00CB608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02" w:type="dxa"/>
            <w:hideMark/>
          </w:tcPr>
          <w:p w14:paraId="663A7C66" w14:textId="77777777" w:rsidR="005675F4" w:rsidRPr="00344044" w:rsidRDefault="005675F4" w:rsidP="005675F4">
            <w:pPr>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State/territory</w:t>
            </w:r>
          </w:p>
        </w:tc>
        <w:tc>
          <w:tcPr>
            <w:tcW w:w="850" w:type="dxa"/>
            <w:hideMark/>
          </w:tcPr>
          <w:p w14:paraId="6CC3388F" w14:textId="77777777" w:rsidR="005675F4" w:rsidRPr="00344044" w:rsidRDefault="005675F4" w:rsidP="005675F4">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w:t>
            </w:r>
          </w:p>
        </w:tc>
      </w:tr>
      <w:tr w:rsidR="005675F4" w:rsidRPr="00344044" w14:paraId="7FFEAB24"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5C09CBA5"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Tasmania</w:t>
            </w:r>
          </w:p>
        </w:tc>
        <w:tc>
          <w:tcPr>
            <w:tcW w:w="850" w:type="dxa"/>
            <w:hideMark/>
          </w:tcPr>
          <w:p w14:paraId="7ED65819"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25.2%</w:t>
            </w:r>
          </w:p>
        </w:tc>
      </w:tr>
      <w:tr w:rsidR="005675F4" w:rsidRPr="00344044" w14:paraId="2A8160F1"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67F89237"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South Australia</w:t>
            </w:r>
          </w:p>
        </w:tc>
        <w:tc>
          <w:tcPr>
            <w:tcW w:w="850" w:type="dxa"/>
            <w:hideMark/>
          </w:tcPr>
          <w:p w14:paraId="460E37D9"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22.6%</w:t>
            </w:r>
          </w:p>
        </w:tc>
      </w:tr>
      <w:tr w:rsidR="005675F4" w:rsidRPr="00344044" w14:paraId="7170BFA0"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4070C09D"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Victoria</w:t>
            </w:r>
          </w:p>
        </w:tc>
        <w:tc>
          <w:tcPr>
            <w:tcW w:w="850" w:type="dxa"/>
            <w:hideMark/>
          </w:tcPr>
          <w:p w14:paraId="409A1051"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22.8%</w:t>
            </w:r>
          </w:p>
        </w:tc>
      </w:tr>
      <w:tr w:rsidR="005675F4" w:rsidRPr="00344044" w14:paraId="34895907"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0D7452EA"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New South Wales</w:t>
            </w:r>
          </w:p>
        </w:tc>
        <w:tc>
          <w:tcPr>
            <w:tcW w:w="850" w:type="dxa"/>
            <w:hideMark/>
          </w:tcPr>
          <w:p w14:paraId="429DA32A"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21.3%</w:t>
            </w:r>
          </w:p>
        </w:tc>
      </w:tr>
      <w:tr w:rsidR="005675F4" w:rsidRPr="00344044" w14:paraId="3A31B7C7"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1429220F"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Western Australia</w:t>
            </w:r>
          </w:p>
        </w:tc>
        <w:tc>
          <w:tcPr>
            <w:tcW w:w="850" w:type="dxa"/>
            <w:hideMark/>
          </w:tcPr>
          <w:p w14:paraId="090C5BFD"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20.4%</w:t>
            </w:r>
          </w:p>
        </w:tc>
      </w:tr>
      <w:tr w:rsidR="005675F4" w:rsidRPr="00344044" w14:paraId="76BB905A"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20640FFB"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Australian Capital Territory</w:t>
            </w:r>
          </w:p>
        </w:tc>
        <w:tc>
          <w:tcPr>
            <w:tcW w:w="850" w:type="dxa"/>
            <w:hideMark/>
          </w:tcPr>
          <w:p w14:paraId="39C5DCFC"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23.7%</w:t>
            </w:r>
          </w:p>
        </w:tc>
      </w:tr>
      <w:tr w:rsidR="005675F4" w:rsidRPr="00344044" w14:paraId="3E814543"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149DC09D"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Queensland</w:t>
            </w:r>
          </w:p>
        </w:tc>
        <w:tc>
          <w:tcPr>
            <w:tcW w:w="850" w:type="dxa"/>
            <w:hideMark/>
          </w:tcPr>
          <w:p w14:paraId="02F2FA84"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22.5%</w:t>
            </w:r>
          </w:p>
        </w:tc>
      </w:tr>
      <w:tr w:rsidR="005675F4" w:rsidRPr="00344044" w14:paraId="28D000F2" w14:textId="77777777" w:rsidTr="005675F4">
        <w:trPr>
          <w:trHeight w:val="20"/>
        </w:trPr>
        <w:tc>
          <w:tcPr>
            <w:cnfStyle w:val="001000000000" w:firstRow="0" w:lastRow="0" w:firstColumn="1" w:lastColumn="0" w:oddVBand="0" w:evenVBand="0" w:oddHBand="0" w:evenHBand="0" w:firstRowFirstColumn="0" w:firstRowLastColumn="0" w:lastRowFirstColumn="0" w:lastRowLastColumn="0"/>
            <w:tcW w:w="2802" w:type="dxa"/>
            <w:hideMark/>
          </w:tcPr>
          <w:p w14:paraId="004AF4BC" w14:textId="77777777" w:rsidR="005675F4" w:rsidRPr="00344044" w:rsidRDefault="005675F4" w:rsidP="005675F4">
            <w:pPr>
              <w:rPr>
                <w:rFonts w:asciiTheme="minorHAnsi" w:eastAsiaTheme="minorHAnsi" w:hAnsiTheme="minorHAnsi" w:cstheme="minorBidi"/>
                <w:b w:val="0"/>
                <w:sz w:val="20"/>
                <w:szCs w:val="18"/>
              </w:rPr>
            </w:pPr>
            <w:r w:rsidRPr="00344044">
              <w:rPr>
                <w:rFonts w:asciiTheme="minorHAnsi" w:eastAsiaTheme="minorHAnsi" w:hAnsiTheme="minorHAnsi" w:cstheme="minorBidi"/>
                <w:b w:val="0"/>
                <w:sz w:val="20"/>
                <w:szCs w:val="18"/>
              </w:rPr>
              <w:t>Northern Territory</w:t>
            </w:r>
          </w:p>
        </w:tc>
        <w:tc>
          <w:tcPr>
            <w:tcW w:w="850" w:type="dxa"/>
            <w:hideMark/>
          </w:tcPr>
          <w:p w14:paraId="569B8F29" w14:textId="77777777" w:rsidR="005675F4" w:rsidRPr="00344044" w:rsidRDefault="005675F4" w:rsidP="005675F4">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18"/>
              </w:rPr>
            </w:pPr>
            <w:r w:rsidRPr="00344044">
              <w:rPr>
                <w:rFonts w:asciiTheme="minorHAnsi" w:eastAsiaTheme="minorHAnsi" w:hAnsiTheme="minorHAnsi" w:cstheme="minorBidi"/>
                <w:sz w:val="20"/>
                <w:szCs w:val="18"/>
              </w:rPr>
              <w:t>21.5%</w:t>
            </w:r>
          </w:p>
        </w:tc>
      </w:tr>
    </w:tbl>
    <w:p w14:paraId="46EC4186" w14:textId="09D32A57" w:rsidR="00916A75" w:rsidRPr="00916A75" w:rsidRDefault="007C6687" w:rsidP="005675F4">
      <w:pPr>
        <w:spacing w:after="0" w:line="240" w:lineRule="auto"/>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Source: </w:t>
      </w:r>
      <w:r w:rsidR="00916A75" w:rsidRPr="00916A75">
        <w:rPr>
          <w:rFonts w:asciiTheme="minorHAnsi" w:eastAsiaTheme="minorHAnsi" w:hAnsiTheme="minorHAnsi" w:cstheme="minorBidi"/>
          <w:sz w:val="18"/>
          <w:szCs w:val="18"/>
        </w:rPr>
        <w:t>Australian Bureau of Statistics. A</w:t>
      </w:r>
      <w:r w:rsidR="0086240B">
        <w:rPr>
          <w:rFonts w:asciiTheme="minorHAnsi" w:eastAsiaTheme="minorHAnsi" w:hAnsiTheme="minorHAnsi" w:cstheme="minorBidi"/>
          <w:sz w:val="18"/>
          <w:szCs w:val="18"/>
        </w:rPr>
        <w:t>ustralian Health Survey 2014/15</w:t>
      </w:r>
      <w:r w:rsidR="00543BF2">
        <w:rPr>
          <w:rFonts w:asciiTheme="minorHAnsi" w:eastAsiaTheme="minorHAnsi" w:hAnsiTheme="minorHAnsi" w:cstheme="minorBidi"/>
          <w:sz w:val="18"/>
          <w:szCs w:val="18"/>
        </w:rPr>
        <w:fldChar w:fldCharType="begin"/>
      </w:r>
      <w:r w:rsidR="00543BF2">
        <w:rPr>
          <w:rFonts w:asciiTheme="minorHAnsi" w:eastAsiaTheme="minorHAnsi" w:hAnsiTheme="minorHAnsi" w:cstheme="minorBidi"/>
          <w:sz w:val="18"/>
          <w:szCs w:val="18"/>
        </w:rPr>
        <w:instrText xml:space="preserve"> ADDIN EN.CITE &lt;EndNote&gt;&lt;Cite&gt;&lt;Author&gt;ABS&lt;/Author&gt;&lt;Year&gt;2015&lt;/Year&gt;&lt;RecNum&gt;16&lt;/RecNum&gt;&lt;DisplayText&gt;(ABS 2015)&lt;/DisplayText&gt;&lt;record&gt;&lt;rec-number&gt;16&lt;/rec-number&gt;&lt;foreign-keys&gt;&lt;key app="EN" db-id="s955atafr9wsseewttmxxz54fz925s0fvr2v" timestamp="1552542545"&gt;16&lt;/key&gt;&lt;/foreign-keys&gt;&lt;ref-type name="Report"&gt;27&lt;/ref-type&gt;&lt;contributors&gt;&lt;authors&gt;&lt;author&gt;ABS&lt;/author&gt;&lt;/authors&gt;&lt;/contributors&gt;&lt;titles&gt;&lt;title&gt;National Health Survey 2014-15&lt;/title&gt;&lt;/titles&gt;&lt;dates&gt;&lt;year&gt;2015&lt;/year&gt;&lt;/dates&gt;&lt;pub-location&gt;Canberra&lt;/pub-location&gt;&lt;publisher&gt;Australian Commonwealth Government&lt;/publisher&gt;&lt;urls&gt;&lt;related-urls&gt;&lt;url&gt;http://www.ausstats.abs.gov.au/Ausstats/subscriber.nsf/0/CDA852A349B4CEE6CA257F150009FC53/$File/national%20health%20survey%20first%20results,%202014-15.pdf&lt;/url&gt;&lt;/related-urls&gt;&lt;/urls&gt;&lt;/record&gt;&lt;/Cite&gt;&lt;/EndNote&gt;</w:instrText>
      </w:r>
      <w:r w:rsidR="00543BF2">
        <w:rPr>
          <w:rFonts w:asciiTheme="minorHAnsi" w:eastAsiaTheme="minorHAnsi" w:hAnsiTheme="minorHAnsi" w:cstheme="minorBidi"/>
          <w:sz w:val="18"/>
          <w:szCs w:val="18"/>
        </w:rPr>
        <w:fldChar w:fldCharType="separate"/>
      </w:r>
      <w:r w:rsidR="00543BF2">
        <w:rPr>
          <w:rFonts w:asciiTheme="minorHAnsi" w:eastAsiaTheme="minorHAnsi" w:hAnsiTheme="minorHAnsi" w:cstheme="minorBidi"/>
          <w:noProof/>
          <w:sz w:val="18"/>
          <w:szCs w:val="18"/>
        </w:rPr>
        <w:t>(ABS 2015)</w:t>
      </w:r>
      <w:r w:rsidR="00543BF2">
        <w:rPr>
          <w:rFonts w:asciiTheme="minorHAnsi" w:eastAsiaTheme="minorHAnsi" w:hAnsiTheme="minorHAnsi" w:cstheme="minorBidi"/>
          <w:sz w:val="18"/>
          <w:szCs w:val="18"/>
        </w:rPr>
        <w:fldChar w:fldCharType="end"/>
      </w:r>
    </w:p>
    <w:p w14:paraId="7AD5BAA5" w14:textId="77777777" w:rsidR="007662D5" w:rsidRDefault="007662D5" w:rsidP="0030256C">
      <w:pPr>
        <w:spacing w:after="0"/>
      </w:pPr>
    </w:p>
    <w:p w14:paraId="7B1A171C" w14:textId="77777777" w:rsidR="00E364F7" w:rsidRDefault="002B3338" w:rsidP="002B3338">
      <w:pPr>
        <w:rPr>
          <w:i/>
          <w:u w:val="single"/>
        </w:rPr>
      </w:pPr>
      <w:r>
        <w:rPr>
          <w:i/>
          <w:u w:val="single"/>
        </w:rPr>
        <w:t>Rationale</w:t>
      </w:r>
    </w:p>
    <w:p w14:paraId="58053965" w14:textId="40DB3E55" w:rsidR="00034C41" w:rsidRPr="003D0503" w:rsidRDefault="00BB0348" w:rsidP="00700118">
      <w:pPr>
        <w:rPr>
          <w:color w:val="7030A0"/>
        </w:rPr>
      </w:pPr>
      <w:r>
        <w:t xml:space="preserve">The population described above is consistent with the population described in the </w:t>
      </w:r>
      <w:r w:rsidRPr="00BB0348">
        <w:t>current Australian guideli</w:t>
      </w:r>
      <w:r>
        <w:t xml:space="preserve">nes for diagnosing hypertension, which </w:t>
      </w:r>
      <w:r w:rsidRPr="00BB0348">
        <w:t>recommend</w:t>
      </w:r>
      <w:r>
        <w:t>s</w:t>
      </w:r>
      <w:r w:rsidRPr="00BB0348">
        <w:t xml:space="preserve"> either ABPM and/or </w:t>
      </w:r>
      <w:r>
        <w:t>home blood pressure monitoring (</w:t>
      </w:r>
      <w:r w:rsidRPr="00BB0348">
        <w:t>HBPM</w:t>
      </w:r>
      <w:r>
        <w:t>)</w:t>
      </w:r>
      <w:r w:rsidRPr="00BB0348">
        <w:t xml:space="preserve"> should be offered if </w:t>
      </w:r>
      <w:r w:rsidR="007662D5">
        <w:t>CBPM</w:t>
      </w:r>
      <w:r w:rsidRPr="00BB0348">
        <w:t xml:space="preserve"> ≥140/90mmHg</w:t>
      </w:r>
      <w:r w:rsidR="009C0C5C">
        <w:t xml:space="preserve"> </w:t>
      </w:r>
      <w:r w:rsidR="00543BF2">
        <w:fldChar w:fldCharType="begin"/>
      </w:r>
      <w:r w:rsidR="00543BF2">
        <w:instrText xml:space="preserve"> ADDIN EN.CITE &lt;EndNote&gt;&lt;Cite&gt;&lt;Author&gt;National Heart Foundation of Australia&lt;/Author&gt;&lt;Year&gt;2016&lt;/Year&gt;&lt;RecNum&gt;18&lt;/RecNum&gt;&lt;DisplayText&gt;(Gabb 2016, National Heart Foundation of Australia 2016)&lt;/DisplayText&gt;&lt;record&gt;&lt;rec-number&gt;18&lt;/rec-number&gt;&lt;foreign-keys&gt;&lt;key app="EN" db-id="s955atafr9wsseewttmxxz54fz925s0fvr2v" timestamp="1553579542"&gt;18&lt;/key&gt;&lt;/foreign-keys&gt;&lt;ref-type name="Report"&gt;27&lt;/ref-type&gt;&lt;contributors&gt;&lt;authors&gt;&lt;author&gt;National Heart Foundation of Australia,&lt;/author&gt;&lt;/authors&gt;&lt;/contributors&gt;&lt;titles&gt;&lt;title&gt;Guideline for the diagnosis and management of hypertension in adults - 2016.&lt;/title&gt;&lt;/titles&gt;&lt;dates&gt;&lt;year&gt;2016&lt;/year&gt;&lt;/dates&gt;&lt;pub-location&gt;Melbourne&lt;/pub-location&gt;&lt;publisher&gt;National Heart Foundation of Australia&lt;/publisher&gt;&lt;urls&gt;&lt;/urls&gt;&lt;/record&gt;&lt;/Cite&gt;&lt;Cite&gt;&lt;Author&gt;Gabb&lt;/Author&gt;&lt;Year&gt;2016&lt;/Year&gt;&lt;RecNum&gt;1&lt;/RecNum&gt;&lt;record&gt;&lt;rec-number&gt;1&lt;/rec-number&gt;&lt;foreign-keys&gt;&lt;key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fldChar w:fldCharType="separate"/>
      </w:r>
      <w:r w:rsidR="00543BF2">
        <w:rPr>
          <w:noProof/>
        </w:rPr>
        <w:t>(Gabb 2016, National Heart Foundation of Australia 2016)</w:t>
      </w:r>
      <w:r w:rsidR="00543BF2">
        <w:fldChar w:fldCharType="end"/>
      </w:r>
      <w:r w:rsidRPr="00BB0348">
        <w:t>.</w:t>
      </w:r>
      <w:r w:rsidR="00034C41">
        <w:t xml:space="preserve"> </w:t>
      </w:r>
      <w:r w:rsidR="00DF185F">
        <w:t xml:space="preserve">As those with BP </w:t>
      </w:r>
      <w:r w:rsidR="00DF185F">
        <w:rPr>
          <w:rFonts w:cs="Calibri"/>
        </w:rPr>
        <w:t>≥</w:t>
      </w:r>
      <w:r w:rsidR="00DF185F">
        <w:t>180/110</w:t>
      </w:r>
      <w:r w:rsidR="00DF185F" w:rsidRPr="00BB0348">
        <w:t>mmHg</w:t>
      </w:r>
      <w:r w:rsidR="00700118">
        <w:t xml:space="preserve"> are considered to have </w:t>
      </w:r>
      <w:r w:rsidR="00700118" w:rsidRPr="00700118">
        <w:t>Grade 3 (severe) hypertension</w:t>
      </w:r>
      <w:r w:rsidR="00700118">
        <w:t>, they are not considered part of the population for this application. The application focuses on those who may have ‘white coat hypertension’ and do not have a diagnosis of hypertension, these patients are likely to have a CBPM &lt;180/110</w:t>
      </w:r>
      <w:r w:rsidR="00700118" w:rsidRPr="00BB0348">
        <w:t>mmHg</w:t>
      </w:r>
      <w:r w:rsidR="00700118">
        <w:t xml:space="preserve">. </w:t>
      </w:r>
    </w:p>
    <w:p w14:paraId="45346D9C" w14:textId="672334EC" w:rsidR="00E32BB0" w:rsidRDefault="000C3051" w:rsidP="00E32BB0">
      <w:pPr>
        <w:spacing w:after="0"/>
        <w:jc w:val="both"/>
        <w:rPr>
          <w:szCs w:val="20"/>
        </w:rPr>
      </w:pPr>
      <w:r>
        <w:rPr>
          <w:szCs w:val="20"/>
        </w:rPr>
        <w:t>H</w:t>
      </w:r>
      <w:r w:rsidR="00E32BB0" w:rsidRPr="00E32BB0">
        <w:rPr>
          <w:szCs w:val="20"/>
        </w:rPr>
        <w:t xml:space="preserve">igh blood pressure </w:t>
      </w:r>
      <w:r>
        <w:rPr>
          <w:szCs w:val="20"/>
        </w:rPr>
        <w:t xml:space="preserve">contributed </w:t>
      </w:r>
      <w:r w:rsidRPr="00E32BB0">
        <w:rPr>
          <w:szCs w:val="20"/>
        </w:rPr>
        <w:t>42.1%</w:t>
      </w:r>
      <w:r>
        <w:rPr>
          <w:szCs w:val="20"/>
        </w:rPr>
        <w:t xml:space="preserve"> the burden of c</w:t>
      </w:r>
      <w:r w:rsidRPr="00E32BB0">
        <w:rPr>
          <w:szCs w:val="20"/>
        </w:rPr>
        <w:t>ardiovascular disease</w:t>
      </w:r>
      <w:r>
        <w:rPr>
          <w:szCs w:val="20"/>
        </w:rPr>
        <w:t xml:space="preserve"> in Australia in 2003, which </w:t>
      </w:r>
      <w:r w:rsidR="00E32BB0" w:rsidRPr="00E32BB0">
        <w:rPr>
          <w:szCs w:val="20"/>
        </w:rPr>
        <w:t xml:space="preserve">was the </w:t>
      </w:r>
      <w:r w:rsidRPr="00E32BB0">
        <w:rPr>
          <w:szCs w:val="20"/>
        </w:rPr>
        <w:t>highest</w:t>
      </w:r>
      <w:r w:rsidR="00E32BB0" w:rsidRPr="00E32BB0">
        <w:rPr>
          <w:szCs w:val="20"/>
        </w:rPr>
        <w:t xml:space="preserve"> </w:t>
      </w:r>
      <w:r>
        <w:rPr>
          <w:szCs w:val="20"/>
        </w:rPr>
        <w:t>contributor to the burden of c</w:t>
      </w:r>
      <w:r w:rsidR="00E32BB0" w:rsidRPr="00E32BB0">
        <w:rPr>
          <w:szCs w:val="20"/>
        </w:rPr>
        <w:t>ardiovascular disease</w:t>
      </w:r>
      <w:r w:rsidR="007264AD">
        <w:rPr>
          <w:szCs w:val="20"/>
        </w:rPr>
        <w:t>. Cardiovascular disease contributed to</w:t>
      </w:r>
      <w:r>
        <w:rPr>
          <w:szCs w:val="20"/>
        </w:rPr>
        <w:t xml:space="preserve"> 15% of the total burden of disease in Australia, coming behind </w:t>
      </w:r>
      <w:r w:rsidR="00E32BB0" w:rsidRPr="00E32BB0">
        <w:rPr>
          <w:szCs w:val="20"/>
        </w:rPr>
        <w:t xml:space="preserve">cancers </w:t>
      </w:r>
      <w:r>
        <w:rPr>
          <w:szCs w:val="20"/>
        </w:rPr>
        <w:t xml:space="preserve">which consist of </w:t>
      </w:r>
      <w:r w:rsidR="00E32BB0" w:rsidRPr="00E32BB0">
        <w:rPr>
          <w:szCs w:val="20"/>
        </w:rPr>
        <w:t>19</w:t>
      </w:r>
      <w:r>
        <w:rPr>
          <w:szCs w:val="20"/>
        </w:rPr>
        <w:t>%</w:t>
      </w:r>
      <w:r w:rsidR="00E32BB0" w:rsidRPr="00E32BB0">
        <w:rPr>
          <w:szCs w:val="20"/>
        </w:rPr>
        <w:t xml:space="preserve"> of the total burden</w:t>
      </w:r>
      <w:r>
        <w:rPr>
          <w:szCs w:val="20"/>
        </w:rPr>
        <w:t xml:space="preserve"> </w:t>
      </w:r>
      <w:r w:rsidR="00543BF2">
        <w:rPr>
          <w:szCs w:val="20"/>
        </w:rPr>
        <w:fldChar w:fldCharType="begin"/>
      </w:r>
      <w:r w:rsidR="00543BF2">
        <w:rPr>
          <w:szCs w:val="20"/>
        </w:rPr>
        <w:instrText xml:space="preserve"> ADDIN EN.CITE &lt;EndNote&gt;&lt;Cite&gt;&lt;Author&gt;AIHW&lt;/Author&gt;&lt;Year&gt;2011&lt;/Year&gt;&lt;RecNum&gt;8&lt;/RecNum&gt;&lt;DisplayText&gt;(AIHW 2011)&lt;/DisplayText&gt;&lt;record&gt;&lt;rec-number&gt;8&lt;/rec-number&gt;&lt;foreign-keys&gt;&lt;key app="EN" db-id="s955atafr9wsseewttmxxz54fz925s0fvr2v" timestamp="1550537449"&gt;8&lt;/key&gt;&lt;/foreign-keys&gt;&lt;ref-type name="Report"&gt;27&lt;/ref-type&gt;&lt;contributors&gt;&lt;authors&gt;&lt;author&gt;AIHW&lt;/author&gt;&lt;/authors&gt;&lt;/contributors&gt;&lt;titles&gt;&lt;title&gt;Cardiovascular disease: Australian facts 2011&lt;/title&gt;&lt;/titles&gt;&lt;dates&gt;&lt;year&gt;2011&lt;/year&gt;&lt;/dates&gt;&lt;publisher&gt;Australian Institute for Health and Welfare&lt;/publisher&gt;&lt;urls&gt;&lt;related-urls&gt;&lt;url&gt;https://www.aihw.gov.au/reports/heart-stroke-vascular-disease/cardiovascular-disease-australian-facts-2011/contents/summary&lt;/url&gt;&lt;/related-urls&gt;&lt;/urls&gt;&lt;/record&gt;&lt;/Cite&gt;&lt;/EndNote&gt;</w:instrText>
      </w:r>
      <w:r w:rsidR="00543BF2">
        <w:rPr>
          <w:szCs w:val="20"/>
        </w:rPr>
        <w:fldChar w:fldCharType="separate"/>
      </w:r>
      <w:r w:rsidR="00543BF2">
        <w:rPr>
          <w:noProof/>
          <w:szCs w:val="20"/>
        </w:rPr>
        <w:t>(AIHW 2011)</w:t>
      </w:r>
      <w:r w:rsidR="00543BF2">
        <w:rPr>
          <w:szCs w:val="20"/>
        </w:rPr>
        <w:fldChar w:fldCharType="end"/>
      </w:r>
      <w:r w:rsidR="00E32BB0" w:rsidRPr="00E32BB0">
        <w:rPr>
          <w:szCs w:val="20"/>
        </w:rPr>
        <w:t xml:space="preserve">. </w:t>
      </w:r>
      <w:r>
        <w:rPr>
          <w:szCs w:val="20"/>
        </w:rPr>
        <w:t xml:space="preserve">Health care </w:t>
      </w:r>
      <w:r w:rsidR="00B31718">
        <w:rPr>
          <w:szCs w:val="20"/>
        </w:rPr>
        <w:t>expenditure</w:t>
      </w:r>
      <w:r>
        <w:rPr>
          <w:szCs w:val="20"/>
        </w:rPr>
        <w:t xml:space="preserve"> for patients admitted with cardiovascular disease was</w:t>
      </w:r>
      <w:r w:rsidR="00E32BB0" w:rsidRPr="00E32BB0">
        <w:rPr>
          <w:szCs w:val="20"/>
        </w:rPr>
        <w:t xml:space="preserve"> $5.0 billion</w:t>
      </w:r>
      <w:r>
        <w:rPr>
          <w:szCs w:val="20"/>
        </w:rPr>
        <w:t xml:space="preserve"> in</w:t>
      </w:r>
      <w:r w:rsidR="00E32BB0" w:rsidRPr="00E32BB0">
        <w:rPr>
          <w:szCs w:val="20"/>
        </w:rPr>
        <w:t xml:space="preserve"> </w:t>
      </w:r>
      <w:r w:rsidRPr="00E32BB0">
        <w:rPr>
          <w:szCs w:val="20"/>
        </w:rPr>
        <w:t>2012-13</w:t>
      </w:r>
      <w:r w:rsidR="00B31718">
        <w:rPr>
          <w:szCs w:val="20"/>
        </w:rPr>
        <w:t xml:space="preserve">, accounting for </w:t>
      </w:r>
      <w:r w:rsidR="00E32BB0" w:rsidRPr="00E32BB0">
        <w:rPr>
          <w:szCs w:val="20"/>
        </w:rPr>
        <w:t>11.1</w:t>
      </w:r>
      <w:r w:rsidR="00B31718">
        <w:rPr>
          <w:szCs w:val="20"/>
        </w:rPr>
        <w:t>%</w:t>
      </w:r>
      <w:r w:rsidR="00E32BB0" w:rsidRPr="00E32BB0">
        <w:rPr>
          <w:szCs w:val="20"/>
        </w:rPr>
        <w:t xml:space="preserve"> of total a</w:t>
      </w:r>
      <w:r w:rsidR="00B31718">
        <w:rPr>
          <w:szCs w:val="20"/>
        </w:rPr>
        <w:t xml:space="preserve">dmitted health expenditure, which was the greatest </w:t>
      </w:r>
      <w:r w:rsidR="00E32BB0" w:rsidRPr="00E32BB0">
        <w:rPr>
          <w:szCs w:val="20"/>
        </w:rPr>
        <w:t xml:space="preserve">expenditure </w:t>
      </w:r>
      <w:r w:rsidR="00B31718">
        <w:rPr>
          <w:szCs w:val="20"/>
        </w:rPr>
        <w:t>for any disease group</w:t>
      </w:r>
      <w:r w:rsidR="002D40B4">
        <w:rPr>
          <w:szCs w:val="20"/>
        </w:rPr>
        <w:t xml:space="preserve"> </w:t>
      </w:r>
      <w:r w:rsidR="00543BF2">
        <w:rPr>
          <w:szCs w:val="20"/>
        </w:rPr>
        <w:fldChar w:fldCharType="begin"/>
      </w:r>
      <w:r w:rsidR="00543BF2">
        <w:rPr>
          <w:szCs w:val="20"/>
        </w:rPr>
        <w:instrText xml:space="preserve"> ADDIN EN.CITE &lt;EndNote&gt;&lt;Cite&gt;&lt;Author&gt;Heart Foundation&lt;/Author&gt;&lt;Year&gt;2018&lt;/Year&gt;&lt;RecNum&gt;9&lt;/RecNum&gt;&lt;DisplayText&gt;(Heart Foundation 2018)&lt;/DisplayText&gt;&lt;record&gt;&lt;rec-number&gt;9&lt;/rec-number&gt;&lt;foreign-keys&gt;&lt;key app="EN" db-id="s955atafr9wsseewttmxxz54fz925s0fvr2v" timestamp="1550537760"&gt;9&lt;/key&gt;&lt;/foreign-keys&gt;&lt;ref-type name="Report"&gt;27&lt;/ref-type&gt;&lt;contributors&gt;&lt;authors&gt;&lt;author&gt;Heart Foundation,&lt;/author&gt;&lt;/authors&gt;&lt;/contributors&gt;&lt;titles&gt;&lt;title&gt;High blood pressure statistics&lt;/title&gt;&lt;/titles&gt;&lt;dates&gt;&lt;year&gt;2018&lt;/year&gt;&lt;/dates&gt;&lt;urls&gt;&lt;related-urls&gt;&lt;url&gt;https://www.heartfoundation.org.au/about-us/what-we-do/heart-disease-in-australia/high-blood-pressure-statistics&lt;/url&gt;&lt;/related-urls&gt;&lt;/urls&gt;&lt;/record&gt;&lt;/Cite&gt;&lt;/EndNote&gt;</w:instrText>
      </w:r>
      <w:r w:rsidR="00543BF2">
        <w:rPr>
          <w:szCs w:val="20"/>
        </w:rPr>
        <w:fldChar w:fldCharType="separate"/>
      </w:r>
      <w:r w:rsidR="00543BF2">
        <w:rPr>
          <w:noProof/>
          <w:szCs w:val="20"/>
        </w:rPr>
        <w:t>(Heart Foundation 2018)</w:t>
      </w:r>
      <w:r w:rsidR="00543BF2">
        <w:rPr>
          <w:szCs w:val="20"/>
        </w:rPr>
        <w:fldChar w:fldCharType="end"/>
      </w:r>
      <w:r w:rsidR="00E32BB0" w:rsidRPr="00E32BB0">
        <w:rPr>
          <w:szCs w:val="20"/>
        </w:rPr>
        <w:t>.</w:t>
      </w:r>
    </w:p>
    <w:p w14:paraId="1CB39B97" w14:textId="77777777" w:rsidR="00E32BB0" w:rsidRPr="00E32BB0" w:rsidRDefault="00E32BB0" w:rsidP="00E32BB0">
      <w:pPr>
        <w:spacing w:after="0"/>
        <w:jc w:val="both"/>
        <w:rPr>
          <w:szCs w:val="20"/>
        </w:rPr>
      </w:pPr>
    </w:p>
    <w:p w14:paraId="6942F6EC" w14:textId="0CE6C247" w:rsidR="00BB0348" w:rsidRPr="00F50E48" w:rsidRDefault="00BB0348" w:rsidP="00A773D8">
      <w:r w:rsidRPr="007C43EE">
        <w:t xml:space="preserve">High blood pressure is defined by </w:t>
      </w:r>
      <w:r w:rsidR="007662D5">
        <w:t xml:space="preserve">the Australian guidelines as </w:t>
      </w:r>
      <w:r w:rsidRPr="007C43EE">
        <w:t xml:space="preserve">a </w:t>
      </w:r>
      <w:r>
        <w:t>CBPM</w:t>
      </w:r>
      <w:r w:rsidRPr="007C43EE">
        <w:t xml:space="preserve"> ≥ 140/90mmHg</w:t>
      </w:r>
      <w:r w:rsidR="00B0213D">
        <w:t xml:space="preserve"> </w:t>
      </w:r>
      <w:r w:rsidR="00543BF2">
        <w:fldChar w:fldCharType="begin"/>
      </w:r>
      <w:r w:rsidR="00543BF2">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fldChar w:fldCharType="separate"/>
      </w:r>
      <w:r w:rsidR="00543BF2">
        <w:rPr>
          <w:noProof/>
        </w:rPr>
        <w:t>(Gabb 2016)</w:t>
      </w:r>
      <w:r w:rsidR="00543BF2">
        <w:fldChar w:fldCharType="end"/>
      </w:r>
      <w:r w:rsidRPr="007C43EE">
        <w:t>.</w:t>
      </w:r>
      <w:r>
        <w:t xml:space="preserve"> </w:t>
      </w:r>
      <w:r w:rsidRPr="007C43EE">
        <w:t xml:space="preserve">However, </w:t>
      </w:r>
      <w:r w:rsidR="0042397C" w:rsidRPr="007C43EE">
        <w:t>patients</w:t>
      </w:r>
      <w:r w:rsidR="0042397C">
        <w:t xml:space="preserve"> with ‘w</w:t>
      </w:r>
      <w:r w:rsidR="0042397C" w:rsidRPr="00F50E48">
        <w:t>hite-coat hypertension</w:t>
      </w:r>
      <w:r w:rsidR="0042397C">
        <w:t>’</w:t>
      </w:r>
      <w:r w:rsidR="0042397C" w:rsidRPr="00F50E48">
        <w:t xml:space="preserve"> (isolated clinic hypertension)</w:t>
      </w:r>
      <w:r w:rsidR="0042397C">
        <w:t xml:space="preserve"> </w:t>
      </w:r>
      <w:r w:rsidRPr="007C43EE">
        <w:t>are known to give misleading results.</w:t>
      </w:r>
      <w:r w:rsidR="00A773D8">
        <w:t xml:space="preserve"> </w:t>
      </w:r>
      <w:r w:rsidRPr="00F50E48">
        <w:t>White-coat hypertension refers to the condition in which a person meets criteria for hypertension when measured in the clinic</w:t>
      </w:r>
      <w:r w:rsidR="00150317">
        <w:t xml:space="preserve"> (i.e. CBPM)</w:t>
      </w:r>
      <w:r w:rsidRPr="00F50E48">
        <w:t xml:space="preserve"> but shows normal BP levels</w:t>
      </w:r>
      <w:r w:rsidR="007662D5" w:rsidRPr="00F50E48">
        <w:t xml:space="preserve"> when measured at HBPM or ABPM, which</w:t>
      </w:r>
      <w:r w:rsidRPr="00F50E48">
        <w:t xml:space="preserve"> occurs in </w:t>
      </w:r>
      <w:r w:rsidR="00185DEC">
        <w:t>up to 32% of the population: (Brown et.al 2001).</w:t>
      </w:r>
    </w:p>
    <w:p w14:paraId="0DED73B4" w14:textId="73B5FA6B" w:rsidR="001F3CB9" w:rsidRDefault="009C0C5C" w:rsidP="00E0002D">
      <w:r>
        <w:t xml:space="preserve">The </w:t>
      </w:r>
      <w:r w:rsidR="001F3CB9" w:rsidRPr="007A7A3E">
        <w:t>NICE guideline</w:t>
      </w:r>
      <w:r w:rsidR="0085637C" w:rsidRPr="007A7A3E">
        <w:t xml:space="preserve"> </w:t>
      </w:r>
      <w:r w:rsidR="006A05C9" w:rsidRPr="007A7A3E">
        <w:t>on</w:t>
      </w:r>
      <w:r w:rsidR="006A05C9">
        <w:t xml:space="preserve"> ‘</w:t>
      </w:r>
      <w:r w:rsidR="006A05C9" w:rsidRPr="006A05C9">
        <w:t>Hypertension in adults: diagnosis and management</w:t>
      </w:r>
      <w:r w:rsidR="006A05C9">
        <w:t xml:space="preserve">’ </w:t>
      </w:r>
      <w:r w:rsidR="0085637C">
        <w:t xml:space="preserve">exclusively </w:t>
      </w:r>
      <w:r w:rsidR="006A05C9">
        <w:t xml:space="preserve">recommends </w:t>
      </w:r>
      <w:r w:rsidR="0085637C">
        <w:t xml:space="preserve">ABPM for patients with a CBPM </w:t>
      </w:r>
      <w:r w:rsidR="0085637C" w:rsidRPr="00BB0348">
        <w:t>≥140/90 mmHg</w:t>
      </w:r>
      <w:r w:rsidR="0085637C">
        <w:t xml:space="preserve">, to confirm </w:t>
      </w:r>
      <w:r w:rsidR="00E47163">
        <w:t>the diagnosis of hypertension</w:t>
      </w:r>
      <w:r w:rsidR="00FF39DC">
        <w:t xml:space="preserve"> </w:t>
      </w:r>
      <w:r w:rsidR="00543BF2">
        <w:fldChar w:fldCharType="begin"/>
      </w:r>
      <w:r w:rsidR="00543BF2">
        <w:instrText xml:space="preserve"> ADDIN EN.CITE &lt;EndNote&gt;&lt;Cite&gt;&lt;Author&gt;NICE&lt;/Author&gt;&lt;Year&gt;2011&lt;/Year&gt;&lt;RecNum&gt;4&lt;/RecNum&gt;&lt;DisplayText&gt;(NICE 2011)&lt;/DisplayText&gt;&lt;record&gt;&lt;rec-number&gt;4&lt;/rec-number&gt;&lt;foreign-keys&gt;&lt;key app="EN" db-id="s955atafr9wsseewttmxxz54fz925s0fvr2v" timestamp="1550465134"&gt;4&lt;/key&gt;&lt;/foreign-keys&gt;&lt;ref-type name="Report"&gt;27&lt;/ref-type&gt;&lt;contributors&gt;&lt;authors&gt;&lt;author&gt;NICE&lt;/author&gt;&lt;/authors&gt;&lt;/contributors&gt;&lt;titles&gt;&lt;title&gt;Hypertension in adults: diagnosis and management. Clinical guideline [CG127]&lt;/title&gt;&lt;/titles&gt;&lt;dates&gt;&lt;year&gt;2011&lt;/year&gt;&lt;/dates&gt;&lt;pub-location&gt;Manchester, UK&lt;/pub-location&gt;&lt;publisher&gt;National Institute of Health and Care Excellence&lt;/publisher&gt;&lt;urls&gt;&lt;related-urls&gt;&lt;url&gt;https://www.nice.org.uk/guidance/cg127&lt;/url&gt;&lt;/related-urls&gt;&lt;/urls&gt;&lt;/record&gt;&lt;/Cite&gt;&lt;/EndNote&gt;</w:instrText>
      </w:r>
      <w:r w:rsidR="00543BF2">
        <w:fldChar w:fldCharType="separate"/>
      </w:r>
      <w:r w:rsidR="00543BF2">
        <w:rPr>
          <w:noProof/>
        </w:rPr>
        <w:t>(NICE 2011)</w:t>
      </w:r>
      <w:r w:rsidR="00543BF2">
        <w:fldChar w:fldCharType="end"/>
      </w:r>
      <w:r w:rsidR="00E47163">
        <w:t xml:space="preserve">. </w:t>
      </w:r>
    </w:p>
    <w:p w14:paraId="46A2690E" w14:textId="48C27876" w:rsidR="008C58B0" w:rsidRDefault="0085637C" w:rsidP="00A420C2">
      <w:pPr>
        <w:tabs>
          <w:tab w:val="left" w:pos="5668"/>
        </w:tabs>
      </w:pPr>
      <w:r>
        <w:t>The Canadian guidelines</w:t>
      </w:r>
      <w:r w:rsidR="00B0213D">
        <w:t xml:space="preserve"> </w:t>
      </w:r>
      <w:r w:rsidR="00543BF2">
        <w:fldChar w:fldCharType="begin"/>
      </w:r>
      <w:r w:rsidR="00543BF2">
        <w:instrText xml:space="preserve"> ADDIN EN.CITE &lt;EndNote&gt;&lt;Cite&gt;&lt;Author&gt;Nerenberg KA&lt;/Author&gt;&lt;Year&gt;2018&lt;/Year&gt;&lt;RecNum&gt;10&lt;/RecNum&gt;&lt;DisplayText&gt;(Nerenberg KA, Harris KC et al. 2018)&lt;/DisplayText&gt;&lt;record&gt;&lt;rec-number&gt;10&lt;/rec-number&gt;&lt;foreign-keys&gt;&lt;key app="EN" db-id="s955atafr9wsseewttmxxz54fz925s0fvr2v" timestamp="1550537990"&gt;10&lt;/key&gt;&lt;/foreign-keys&gt;&lt;ref-type name="Report"&gt;27&lt;/ref-type&gt;&lt;contributors&gt;&lt;authors&gt;&lt;author&gt;Nerenberg KA, Zarnke KB, Leung AA, Dasgupta K, Butalia S, McBrien K,&lt;/author&gt;&lt;author&gt;Harris KC, Nakhla M, Cloutier L, Gelfer M, Lamarre-Cliche M, Milot A, Bolli P, Tremblay G, McLean&lt;/author&gt;&lt;author&gt;D, Padwal RS, Tran KC, Grover S, Rabkin SW, Moe GW, Howlett JG, Lindsay P, Hill MD, Sharma M,&lt;/author&gt;&lt;author&gt;Field T, Wein TH, Shoamanesh A, Dresser GK, Hamet P, Herman RJ, Burgess E, Gryn SE, Grégoire&lt;/author&gt;&lt;author&gt;JC, Lewanczuk R, Poirier L, Campbell TS, Feldman RD, Lavoie KL, Tsuyuki RT, Honos G, Prebtani&lt;/author&gt;&lt;author&gt;APH, Kline G, Schiffrin EL, Don-Wauchope A, Tobe SW, Gilbert RE, Leiter LA, Jones C, Woo V,&lt;/author&gt;&lt;author&gt;Hegele RA, Selby P, Pipe A, McFarlane PA, Oh P, Gupta M, Bacon SL, Kaczorowski J, Trudeau L,&lt;/author&gt;&lt;author&gt;Campbell NR, Hiremath S, Roerecke M, Arcand J, Ruzicka M, Prasad GVR, Vallée M, Edwards C,&lt;/author&gt;&lt;author&gt;Sivapalan P, Penner SB, Fournier A, Benoit G, Feber J, Dionne J, Magee LA, Logan AG, Côté A-M,&lt;/author&gt;&lt;author&gt;Rey E, Firoz T, Kuyper LM, Gabor JY, Townsend RR, Rabi DM, Daskalopoulou SS,&lt;/author&gt;&lt;/authors&gt;&lt;/contributors&gt;&lt;titles&gt;&lt;title&gt;Hypertension Canada’s 2018 Guidelines for Diagnosis, Risk Assessment, Prevention, and Treatment of Hypertension in Adults and Children&lt;/title&gt;&lt;/titles&gt;&lt;dates&gt;&lt;year&gt;2018&lt;/year&gt;&lt;/dates&gt;&lt;pub-location&gt;Canadian Journal of Cardiology&lt;/pub-location&gt;&lt;publisher&gt;Hypertension Canada&lt;/publisher&gt;&lt;urls&gt;&lt;related-urls&gt;&lt;url&gt;10.1016/j.cjca.2018.02.022.&lt;/url&gt;&lt;/related-urls&gt;&lt;/urls&gt;&lt;/record&gt;&lt;/Cite&gt;&lt;/EndNote&gt;</w:instrText>
      </w:r>
      <w:r w:rsidR="00543BF2">
        <w:fldChar w:fldCharType="separate"/>
      </w:r>
      <w:r w:rsidR="00543BF2">
        <w:rPr>
          <w:noProof/>
        </w:rPr>
        <w:t>(Nerenberg KA, Harris KC et al. 2018)</w:t>
      </w:r>
      <w:r w:rsidR="00543BF2">
        <w:fldChar w:fldCharType="end"/>
      </w:r>
      <w:r w:rsidR="006043F0">
        <w:t xml:space="preserve"> follow </w:t>
      </w:r>
      <w:r>
        <w:t>similar recommendation</w:t>
      </w:r>
      <w:r w:rsidR="006043F0">
        <w:t>s</w:t>
      </w:r>
      <w:r>
        <w:t xml:space="preserve"> to Austral</w:t>
      </w:r>
      <w:r w:rsidR="00B36DC0">
        <w:t>ia</w:t>
      </w:r>
      <w:r w:rsidR="007264AD">
        <w:t>, stating that ABPM “can be used in the diagnosis of hypertension” and “should be considered” in the case of suspected ‘white coat hypertension’.</w:t>
      </w:r>
      <w:r w:rsidR="007264AD">
        <w:tab/>
      </w:r>
    </w:p>
    <w:p w14:paraId="74F4F911" w14:textId="77777777" w:rsidR="00953ED7" w:rsidRPr="00E364F7" w:rsidRDefault="00953ED7" w:rsidP="00953ED7">
      <w:pPr>
        <w:rPr>
          <w:b/>
        </w:rPr>
      </w:pPr>
      <w:r>
        <w:rPr>
          <w:b/>
        </w:rPr>
        <w:lastRenderedPageBreak/>
        <w:t>Prior test (investigative services only - if prior tests are to be included)</w:t>
      </w:r>
    </w:p>
    <w:p w14:paraId="0F6FB029" w14:textId="5E2D7180" w:rsidR="00166624" w:rsidRDefault="00166624" w:rsidP="00EA137F">
      <w:r>
        <w:t xml:space="preserve">CBPM </w:t>
      </w:r>
      <w:r w:rsidRPr="00D73EF4">
        <w:t xml:space="preserve">using </w:t>
      </w:r>
      <w:r>
        <w:t>a v</w:t>
      </w:r>
      <w:r w:rsidRPr="00D73EF4">
        <w:t>alidated and regularly maintained non-mercury sphygmomanometer</w:t>
      </w:r>
      <w:r>
        <w:t>,</w:t>
      </w:r>
      <w:r w:rsidRPr="00D73EF4">
        <w:t xml:space="preserve"> during consultation with </w:t>
      </w:r>
      <w:r w:rsidR="00FE1D3B">
        <w:t>a medical practitioner</w:t>
      </w:r>
      <w:r w:rsidRPr="00385527">
        <w:t>,</w:t>
      </w:r>
      <w:r>
        <w:t xml:space="preserve"> </w:t>
      </w:r>
      <w:r w:rsidR="0012272F">
        <w:t>in line with current</w:t>
      </w:r>
      <w:r>
        <w:t xml:space="preserve"> </w:t>
      </w:r>
      <w:r w:rsidRPr="00CB101A">
        <w:t>Australian guidelines on diagnosis of hypertension</w:t>
      </w:r>
      <w:r w:rsidR="000703BF" w:rsidRPr="00CB101A">
        <w:t xml:space="preserve"> </w:t>
      </w:r>
      <w:r w:rsidR="00543BF2">
        <w:fldChar w:fldCharType="begin"/>
      </w:r>
      <w:r w:rsidR="00543BF2">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fldChar w:fldCharType="separate"/>
      </w:r>
      <w:r w:rsidR="00543BF2">
        <w:rPr>
          <w:noProof/>
        </w:rPr>
        <w:t>(Gabb 2016)</w:t>
      </w:r>
      <w:r w:rsidR="00543BF2">
        <w:fldChar w:fldCharType="end"/>
      </w:r>
      <w:r w:rsidRPr="00CB101A">
        <w:t>.</w:t>
      </w:r>
    </w:p>
    <w:p w14:paraId="406B2347" w14:textId="566C63CF" w:rsidR="00896845" w:rsidRDefault="00896845" w:rsidP="00263D12">
      <w:pPr>
        <w:spacing w:before="240"/>
        <w:rPr>
          <w:b/>
        </w:rPr>
      </w:pPr>
      <w:r w:rsidRPr="00E364F7">
        <w:rPr>
          <w:b/>
        </w:rPr>
        <w:t>Intervention</w:t>
      </w:r>
    </w:p>
    <w:p w14:paraId="705404AD" w14:textId="034B68E0" w:rsidR="008A5C62" w:rsidRDefault="00385527" w:rsidP="005817E2">
      <w:pPr>
        <w:jc w:val="both"/>
      </w:pPr>
      <w:r w:rsidRPr="008A5C62">
        <w:rPr>
          <w:szCs w:val="20"/>
        </w:rPr>
        <w:t xml:space="preserve">Patients with </w:t>
      </w:r>
      <w:r w:rsidR="009C0C5C">
        <w:rPr>
          <w:szCs w:val="20"/>
        </w:rPr>
        <w:t xml:space="preserve">a </w:t>
      </w:r>
      <w:r w:rsidRPr="008A5C62">
        <w:rPr>
          <w:szCs w:val="20"/>
        </w:rPr>
        <w:t xml:space="preserve">confirmed CBPM </w:t>
      </w:r>
      <w:r w:rsidR="00BA4A4F" w:rsidRPr="008A5C62">
        <w:rPr>
          <w:szCs w:val="20"/>
        </w:rPr>
        <w:t>≥ 140/90mmHg and ≤ 180/110mmHg</w:t>
      </w:r>
      <w:r w:rsidRPr="008A5C62">
        <w:rPr>
          <w:szCs w:val="20"/>
        </w:rPr>
        <w:t xml:space="preserve"> will be</w:t>
      </w:r>
      <w:r w:rsidR="00BA4A4F" w:rsidRPr="008A5C62">
        <w:rPr>
          <w:szCs w:val="20"/>
        </w:rPr>
        <w:t xml:space="preserve"> fitted with </w:t>
      </w:r>
      <w:r w:rsidRPr="008A5C62">
        <w:rPr>
          <w:szCs w:val="20"/>
        </w:rPr>
        <w:t xml:space="preserve">an </w:t>
      </w:r>
      <w:r w:rsidR="00BA4A4F" w:rsidRPr="008A5C62">
        <w:rPr>
          <w:szCs w:val="20"/>
        </w:rPr>
        <w:t>ABPM</w:t>
      </w:r>
      <w:r w:rsidRPr="008A5C62">
        <w:rPr>
          <w:szCs w:val="20"/>
        </w:rPr>
        <w:t>,</w:t>
      </w:r>
      <w:r w:rsidR="00BA4A4F" w:rsidRPr="008A5C62">
        <w:rPr>
          <w:szCs w:val="20"/>
        </w:rPr>
        <w:t xml:space="preserve"> including giving instructions to the patient about wearing the</w:t>
      </w:r>
      <w:r w:rsidRPr="008A5C62">
        <w:rPr>
          <w:szCs w:val="20"/>
        </w:rPr>
        <w:t xml:space="preserve"> device</w:t>
      </w:r>
      <w:r w:rsidR="00953A84" w:rsidRPr="00E924FF">
        <w:rPr>
          <w:szCs w:val="20"/>
        </w:rPr>
        <w:t xml:space="preserve">, </w:t>
      </w:r>
      <w:r w:rsidR="00BC30D1" w:rsidRPr="00E924FF">
        <w:rPr>
          <w:szCs w:val="20"/>
        </w:rPr>
        <w:t>as part of another medical service. The new medical service starts when t</w:t>
      </w:r>
      <w:r w:rsidR="008A5C62" w:rsidRPr="00E924FF">
        <w:rPr>
          <w:szCs w:val="20"/>
        </w:rPr>
        <w:t>he patient return</w:t>
      </w:r>
      <w:r w:rsidR="00BC30D1" w:rsidRPr="00E924FF">
        <w:rPr>
          <w:szCs w:val="20"/>
        </w:rPr>
        <w:t>s</w:t>
      </w:r>
      <w:r w:rsidR="008A5C62" w:rsidRPr="00E924FF">
        <w:rPr>
          <w:szCs w:val="20"/>
        </w:rPr>
        <w:t xml:space="preserve"> to the </w:t>
      </w:r>
      <w:r w:rsidR="00287E44" w:rsidRPr="00E924FF">
        <w:rPr>
          <w:szCs w:val="20"/>
        </w:rPr>
        <w:t>medical practitioner</w:t>
      </w:r>
      <w:r w:rsidR="009C0C5C" w:rsidRPr="00E924FF">
        <w:rPr>
          <w:szCs w:val="20"/>
        </w:rPr>
        <w:t xml:space="preserve"> </w:t>
      </w:r>
      <w:r w:rsidR="008A5C62" w:rsidRPr="00E924FF">
        <w:rPr>
          <w:szCs w:val="20"/>
        </w:rPr>
        <w:t xml:space="preserve">after ≥ 24 hours and the monitor is removed. The </w:t>
      </w:r>
      <w:r w:rsidR="00287E44" w:rsidRPr="00E924FF">
        <w:rPr>
          <w:szCs w:val="20"/>
        </w:rPr>
        <w:t>medical practitioner</w:t>
      </w:r>
      <w:r w:rsidR="00F52615" w:rsidRPr="00E924FF">
        <w:rPr>
          <w:szCs w:val="20"/>
        </w:rPr>
        <w:t>, who is</w:t>
      </w:r>
      <w:r w:rsidR="00F52615">
        <w:rPr>
          <w:szCs w:val="20"/>
        </w:rPr>
        <w:t xml:space="preserve"> adequately skilled in interpreting this data,</w:t>
      </w:r>
      <w:r w:rsidR="008A5C62" w:rsidRPr="008A5C62">
        <w:rPr>
          <w:szCs w:val="20"/>
        </w:rPr>
        <w:t xml:space="preserve"> downloads the data from the monitor, interprets and reviews the results, creates a report and </w:t>
      </w:r>
      <w:r w:rsidR="00BC30D1">
        <w:rPr>
          <w:szCs w:val="20"/>
        </w:rPr>
        <w:t>develops</w:t>
      </w:r>
      <w:r w:rsidR="008A5C62" w:rsidRPr="008A5C62">
        <w:rPr>
          <w:szCs w:val="20"/>
        </w:rPr>
        <w:t xml:space="preserve"> a patient management plan.</w:t>
      </w:r>
      <w:r w:rsidR="005817E2">
        <w:rPr>
          <w:szCs w:val="20"/>
        </w:rPr>
        <w:t xml:space="preserve"> The results should be interpreted with </w:t>
      </w:r>
      <w:r w:rsidR="00BC30D1">
        <w:rPr>
          <w:szCs w:val="20"/>
        </w:rPr>
        <w:t>care</w:t>
      </w:r>
      <w:r w:rsidR="005817E2">
        <w:rPr>
          <w:szCs w:val="20"/>
        </w:rPr>
        <w:t xml:space="preserve">, taking into account measures such as </w:t>
      </w:r>
      <w:r w:rsidR="005817E2">
        <w:t>BP load, BP variability, maximum systolic BP and morning BP surge</w:t>
      </w:r>
      <w:r w:rsidR="00A420C2">
        <w:t xml:space="preserve"> </w:t>
      </w:r>
      <w:r w:rsidR="00543BF2">
        <w:fldChar w:fldCharType="begin"/>
      </w:r>
      <w:r w:rsidR="00543BF2">
        <w:instrText xml:space="preserve"> ADDIN EN.CITE &lt;EndNote&gt;&lt;Cite&gt;&lt;Author&gt;National Heart Foundation of Australia&lt;/Author&gt;&lt;Year&gt;2016&lt;/Year&gt;&lt;RecNum&gt;18&lt;/RecNum&gt;&lt;DisplayText&gt;(National Heart Foundation of Australia 2016)&lt;/DisplayText&gt;&lt;record&gt;&lt;rec-number&gt;18&lt;/rec-number&gt;&lt;foreign-keys&gt;&lt;key app="EN" db-id="s955atafr9wsseewttmxxz54fz925s0fvr2v" timestamp="1553579542"&gt;18&lt;/key&gt;&lt;/foreign-keys&gt;&lt;ref-type name="Report"&gt;27&lt;/ref-type&gt;&lt;contributors&gt;&lt;authors&gt;&lt;author&gt;National Heart Foundation of Australia,&lt;/author&gt;&lt;/authors&gt;&lt;/contributors&gt;&lt;titles&gt;&lt;title&gt;Guideline for the diagnosis and management of hypertension in adults - 2016.&lt;/title&gt;&lt;/titles&gt;&lt;dates&gt;&lt;year&gt;2016&lt;/year&gt;&lt;/dates&gt;&lt;pub-location&gt;Melbourne&lt;/pub-location&gt;&lt;publisher&gt;National Heart Foundation of Australia&lt;/publisher&gt;&lt;urls&gt;&lt;/urls&gt;&lt;/record&gt;&lt;/Cite&gt;&lt;/EndNote&gt;</w:instrText>
      </w:r>
      <w:r w:rsidR="00543BF2">
        <w:fldChar w:fldCharType="separate"/>
      </w:r>
      <w:r w:rsidR="00543BF2">
        <w:rPr>
          <w:noProof/>
        </w:rPr>
        <w:t>(National Heart Foundation of Australia 2016)</w:t>
      </w:r>
      <w:r w:rsidR="00543BF2">
        <w:fldChar w:fldCharType="end"/>
      </w:r>
      <w:r w:rsidR="003D7E2A">
        <w:t xml:space="preserve">. </w:t>
      </w:r>
    </w:p>
    <w:p w14:paraId="3F4F02DC" w14:textId="26A725A9" w:rsidR="00603270" w:rsidRPr="00E0361D" w:rsidRDefault="00E0361D" w:rsidP="00603270">
      <w:pPr>
        <w:jc w:val="both"/>
        <w:rPr>
          <w:szCs w:val="20"/>
        </w:rPr>
      </w:pPr>
      <w:r>
        <w:t xml:space="preserve">The device consists of a portable monitor, which is connected to a standard cuff on the upper arm and measures, at regular intervals of around 20–30 minutes over a period of </w:t>
      </w:r>
      <w:r w:rsidRPr="008A5C62">
        <w:rPr>
          <w:szCs w:val="20"/>
        </w:rPr>
        <w:t>≥ 24 hours</w:t>
      </w:r>
      <w:r>
        <w:t>; systolic, diastolic and mean BP as well as heart rate, during the day time, night time, and sleep and awake</w:t>
      </w:r>
      <w:r w:rsidR="00603270">
        <w:t xml:space="preserve"> </w:t>
      </w:r>
      <w:r w:rsidR="00543BF2">
        <w:fldChar w:fldCharType="begin"/>
      </w:r>
      <w:r w:rsidR="00543BF2">
        <w:instrText xml:space="preserve"> ADDIN EN.CITE &lt;EndNote&gt;&lt;Cite&gt;&lt;Author&gt;National Heart Foundation and High Blood Pressure Research Council of Australia Ambulatory Blood Pressure Monitoring Consensus Committee&lt;/Author&gt;&lt;Year&gt;2011&lt;/Year&gt;&lt;RecNum&gt;2&lt;/RecNum&gt;&lt;DisplayText&gt;(National Heart Foundation and High Blood Pressure Research Council of Australia Ambulatory Blood Pressure Monitoring Consensus Committee 2011)&lt;/DisplayText&gt;&lt;record&gt;&lt;rec-number&gt;2&lt;/rec-number&gt;&lt;foreign-keys&gt;&lt;key app="EN" db-id="s955atafr9wsseewttmxxz54fz925s0fvr2v" timestamp="1550119246"&gt;2&lt;/key&gt;&lt;/foreign-keys&gt;&lt;ref-type name="Report"&gt;27&lt;/ref-type&gt;&lt;contributors&gt;&lt;authors&gt;&lt;author&gt;National Heart Foundation and High Blood Pressure Research Council of Australia Ambulatory Blood Pressure Monitoring Consensus Committee,&lt;/author&gt;&lt;/authors&gt;&lt;/contributors&gt;&lt;titles&gt;&lt;title&gt;Ambulatory blood pressure monitoring&lt;/title&gt;&lt;/titles&gt;&lt;dates&gt;&lt;year&gt;2011&lt;/year&gt;&lt;/dates&gt;&lt;urls&gt;&lt;related-urls&gt;&lt;url&gt;https://www.racgp.org.au/download/documents/AFP/2011/November/201111nhf.pdf&lt;/url&gt;&lt;/related-urls&gt;&lt;/urls&gt;&lt;/record&gt;&lt;/Cite&gt;&lt;/EndNote&gt;</w:instrText>
      </w:r>
      <w:r w:rsidR="00543BF2">
        <w:fldChar w:fldCharType="separate"/>
      </w:r>
      <w:r w:rsidR="00543BF2">
        <w:rPr>
          <w:noProof/>
        </w:rPr>
        <w:t>(National Heart Foundation and High Blood Pressure Research Council of Australia Ambulatory Blood Pressure Monitoring Consensus Committee 2011)</w:t>
      </w:r>
      <w:r w:rsidR="00543BF2">
        <w:fldChar w:fldCharType="end"/>
      </w:r>
      <w:r w:rsidR="00A420C2">
        <w:t>.</w:t>
      </w:r>
    </w:p>
    <w:p w14:paraId="62D1C4CE" w14:textId="4437CF83" w:rsidR="00BB0348" w:rsidRDefault="00387B39" w:rsidP="00387B39">
      <w:pPr>
        <w:rPr>
          <w:szCs w:val="20"/>
        </w:rPr>
      </w:pPr>
      <w:r w:rsidRPr="007B60FD">
        <w:rPr>
          <w:szCs w:val="20"/>
        </w:rPr>
        <w:t xml:space="preserve">Currently there are </w:t>
      </w:r>
      <w:r w:rsidR="00F06D87">
        <w:rPr>
          <w:szCs w:val="20"/>
        </w:rPr>
        <w:t>ten</w:t>
      </w:r>
      <w:r w:rsidR="00F06D87" w:rsidRPr="007B60FD">
        <w:rPr>
          <w:szCs w:val="20"/>
        </w:rPr>
        <w:t xml:space="preserve"> </w:t>
      </w:r>
      <w:r w:rsidRPr="007B60FD">
        <w:rPr>
          <w:szCs w:val="20"/>
        </w:rPr>
        <w:t>different brands of ABPM available in Australia</w:t>
      </w:r>
      <w:r w:rsidR="007B60FD" w:rsidRPr="007B60FD">
        <w:rPr>
          <w:szCs w:val="20"/>
        </w:rPr>
        <w:t xml:space="preserve"> (</w:t>
      </w:r>
      <w:r w:rsidR="007B60FD" w:rsidRPr="007B60FD">
        <w:rPr>
          <w:szCs w:val="20"/>
        </w:rPr>
        <w:fldChar w:fldCharType="begin"/>
      </w:r>
      <w:r w:rsidR="007B60FD" w:rsidRPr="007B60FD">
        <w:rPr>
          <w:szCs w:val="20"/>
        </w:rPr>
        <w:instrText xml:space="preserve"> REF _Ref1051015 \h  \* MERGEFORMAT </w:instrText>
      </w:r>
      <w:r w:rsidR="007B60FD" w:rsidRPr="007B60FD">
        <w:rPr>
          <w:szCs w:val="20"/>
        </w:rPr>
      </w:r>
      <w:r w:rsidR="007B60FD" w:rsidRPr="007B60FD">
        <w:rPr>
          <w:szCs w:val="20"/>
        </w:rPr>
        <w:fldChar w:fldCharType="separate"/>
      </w:r>
      <w:r w:rsidR="00612F64">
        <w:t xml:space="preserve">Table </w:t>
      </w:r>
      <w:r w:rsidR="00612F64">
        <w:rPr>
          <w:noProof/>
        </w:rPr>
        <w:t>3</w:t>
      </w:r>
      <w:r w:rsidR="007B60FD" w:rsidRPr="007B60FD">
        <w:rPr>
          <w:szCs w:val="20"/>
        </w:rPr>
        <w:fldChar w:fldCharType="end"/>
      </w:r>
      <w:r w:rsidR="007B60FD" w:rsidRPr="007B60FD">
        <w:rPr>
          <w:szCs w:val="20"/>
        </w:rPr>
        <w:t>)</w:t>
      </w:r>
      <w:r w:rsidRPr="007B60FD">
        <w:rPr>
          <w:szCs w:val="20"/>
        </w:rPr>
        <w:t>.</w:t>
      </w:r>
    </w:p>
    <w:p w14:paraId="03E70130" w14:textId="394EC5EC" w:rsidR="00273719" w:rsidRDefault="00273719" w:rsidP="00273719">
      <w:pPr>
        <w:pStyle w:val="Caption"/>
      </w:pPr>
      <w:bookmarkStart w:id="7" w:name="_Ref1051015"/>
      <w:r>
        <w:t xml:space="preserve">Table </w:t>
      </w:r>
      <w:r>
        <w:fldChar w:fldCharType="begin"/>
      </w:r>
      <w:r>
        <w:instrText xml:space="preserve"> SEQ Table \* ARABIC </w:instrText>
      </w:r>
      <w:r>
        <w:fldChar w:fldCharType="separate"/>
      </w:r>
      <w:r w:rsidR="00612F64">
        <w:rPr>
          <w:noProof/>
        </w:rPr>
        <w:t>3</w:t>
      </w:r>
      <w:r>
        <w:fldChar w:fldCharType="end"/>
      </w:r>
      <w:bookmarkEnd w:id="7"/>
      <w:r>
        <w:t xml:space="preserve">: Current </w:t>
      </w:r>
      <w:r w:rsidR="00B44189">
        <w:t>ABPM</w:t>
      </w:r>
      <w:r>
        <w:t xml:space="preserve"> available in Australia</w:t>
      </w:r>
    </w:p>
    <w:tbl>
      <w:tblPr>
        <w:tblStyle w:val="TableGrid4"/>
        <w:tblW w:w="9016" w:type="dxa"/>
        <w:tblLook w:val="04A0" w:firstRow="1" w:lastRow="0" w:firstColumn="1" w:lastColumn="0" w:noHBand="0" w:noVBand="1"/>
        <w:tblCaption w:val="Current ABPM available in Australia"/>
        <w:tblDescription w:val="This table shows the current ABPM available in Australia"/>
      </w:tblPr>
      <w:tblGrid>
        <w:gridCol w:w="2755"/>
        <w:gridCol w:w="3471"/>
        <w:gridCol w:w="2790"/>
      </w:tblGrid>
      <w:tr w:rsidR="00F35C5A" w:rsidRPr="00273719" w14:paraId="4F03ED33" w14:textId="042EF574" w:rsidTr="00A420C2">
        <w:trPr>
          <w:tblHeader/>
        </w:trPr>
        <w:tc>
          <w:tcPr>
            <w:tcW w:w="2755" w:type="dxa"/>
          </w:tcPr>
          <w:p w14:paraId="0B7FCBA3" w14:textId="77777777" w:rsidR="00F35C5A" w:rsidRPr="00273719" w:rsidRDefault="00F35C5A" w:rsidP="00273719">
            <w:pPr>
              <w:spacing w:before="60" w:after="60"/>
              <w:rPr>
                <w:rFonts w:asciiTheme="minorHAnsi" w:eastAsiaTheme="minorHAnsi" w:hAnsiTheme="minorHAnsi" w:cstheme="minorBidi"/>
                <w:b/>
                <w:sz w:val="20"/>
              </w:rPr>
            </w:pPr>
            <w:r w:rsidRPr="00273719">
              <w:rPr>
                <w:rFonts w:asciiTheme="minorHAnsi" w:eastAsiaTheme="minorHAnsi" w:hAnsiTheme="minorHAnsi" w:cstheme="minorBidi"/>
                <w:b/>
                <w:sz w:val="20"/>
              </w:rPr>
              <w:t>Sponsor</w:t>
            </w:r>
          </w:p>
        </w:tc>
        <w:tc>
          <w:tcPr>
            <w:tcW w:w="3471" w:type="dxa"/>
          </w:tcPr>
          <w:p w14:paraId="40B3DBCC" w14:textId="77777777" w:rsidR="00F35C5A" w:rsidRPr="00273719" w:rsidRDefault="00F35C5A" w:rsidP="00273719">
            <w:pPr>
              <w:spacing w:before="60" w:after="60"/>
              <w:rPr>
                <w:rFonts w:asciiTheme="minorHAnsi" w:eastAsiaTheme="minorHAnsi" w:hAnsiTheme="minorHAnsi" w:cstheme="minorBidi"/>
                <w:b/>
                <w:sz w:val="20"/>
              </w:rPr>
            </w:pPr>
            <w:r w:rsidRPr="00273719">
              <w:rPr>
                <w:rFonts w:asciiTheme="minorHAnsi" w:eastAsiaTheme="minorHAnsi" w:hAnsiTheme="minorHAnsi" w:cstheme="minorBidi"/>
                <w:b/>
                <w:sz w:val="20"/>
              </w:rPr>
              <w:t>Manufacturer</w:t>
            </w:r>
          </w:p>
        </w:tc>
        <w:tc>
          <w:tcPr>
            <w:tcW w:w="2790" w:type="dxa"/>
          </w:tcPr>
          <w:p w14:paraId="188B1AE4" w14:textId="273061F6" w:rsidR="00F35C5A" w:rsidRPr="00273719" w:rsidRDefault="00F35C5A" w:rsidP="00273719">
            <w:pPr>
              <w:spacing w:before="60" w:after="60"/>
              <w:rPr>
                <w:rFonts w:asciiTheme="minorHAnsi" w:eastAsiaTheme="minorHAnsi" w:hAnsiTheme="minorHAnsi" w:cstheme="minorBidi"/>
                <w:b/>
                <w:sz w:val="20"/>
              </w:rPr>
            </w:pPr>
            <w:r w:rsidRPr="00F35C5A">
              <w:rPr>
                <w:rFonts w:asciiTheme="minorHAnsi" w:eastAsiaTheme="minorHAnsi" w:hAnsiTheme="minorHAnsi" w:cstheme="minorBidi"/>
                <w:b/>
                <w:sz w:val="20"/>
              </w:rPr>
              <w:t>ARTG</w:t>
            </w:r>
            <w:r>
              <w:rPr>
                <w:rFonts w:asciiTheme="minorHAnsi" w:eastAsiaTheme="minorHAnsi" w:hAnsiTheme="minorHAnsi" w:cstheme="minorBidi"/>
                <w:b/>
                <w:sz w:val="20"/>
              </w:rPr>
              <w:t xml:space="preserve"> ID number</w:t>
            </w:r>
          </w:p>
        </w:tc>
      </w:tr>
      <w:tr w:rsidR="00F35C5A" w:rsidRPr="00273719" w14:paraId="63414831" w14:textId="2B9355B3" w:rsidTr="00A420C2">
        <w:tc>
          <w:tcPr>
            <w:tcW w:w="2755" w:type="dxa"/>
          </w:tcPr>
          <w:p w14:paraId="64AF95A4"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HealthStats Australia</w:t>
            </w:r>
          </w:p>
        </w:tc>
        <w:tc>
          <w:tcPr>
            <w:tcW w:w="3471" w:type="dxa"/>
          </w:tcPr>
          <w:p w14:paraId="3F0CA5CC" w14:textId="77777777" w:rsidR="00F35C5A" w:rsidRPr="00273719" w:rsidRDefault="00F35C5A" w:rsidP="00273719">
            <w:pPr>
              <w:rPr>
                <w:rFonts w:asciiTheme="minorHAnsi" w:eastAsiaTheme="minorHAnsi" w:hAnsiTheme="minorHAnsi" w:cstheme="minorBidi"/>
                <w:sz w:val="20"/>
                <w:szCs w:val="20"/>
              </w:rPr>
            </w:pPr>
            <w:r w:rsidRPr="00273719">
              <w:rPr>
                <w:rFonts w:asciiTheme="minorHAnsi" w:eastAsiaTheme="minorHAnsi" w:hAnsiTheme="minorHAnsi" w:cstheme="minorBidi"/>
                <w:color w:val="333333"/>
                <w:sz w:val="20"/>
                <w:szCs w:val="20"/>
                <w:shd w:val="clear" w:color="auto" w:fill="FFFFFF"/>
              </w:rPr>
              <w:t>HealthSTATS International Pte Ltd</w:t>
            </w:r>
          </w:p>
        </w:tc>
        <w:tc>
          <w:tcPr>
            <w:tcW w:w="2790" w:type="dxa"/>
          </w:tcPr>
          <w:p w14:paraId="4E4B88B2" w14:textId="202081D6" w:rsidR="00F35C5A" w:rsidRPr="00273719" w:rsidRDefault="00F35C5A" w:rsidP="00273719">
            <w:pPr>
              <w:rPr>
                <w:rFonts w:asciiTheme="minorHAnsi" w:eastAsiaTheme="minorHAnsi" w:hAnsiTheme="minorHAnsi" w:cstheme="minorBidi"/>
                <w:color w:val="333333"/>
                <w:sz w:val="20"/>
                <w:szCs w:val="20"/>
                <w:shd w:val="clear" w:color="auto" w:fill="FFFFFF"/>
              </w:rPr>
            </w:pPr>
            <w:r w:rsidRPr="00F35C5A">
              <w:rPr>
                <w:rFonts w:asciiTheme="minorHAnsi" w:eastAsiaTheme="minorHAnsi" w:hAnsiTheme="minorHAnsi" w:cstheme="minorBidi"/>
                <w:color w:val="333333"/>
                <w:sz w:val="20"/>
                <w:szCs w:val="20"/>
                <w:shd w:val="clear" w:color="auto" w:fill="FFFFFF"/>
              </w:rPr>
              <w:t>221446</w:t>
            </w:r>
          </w:p>
        </w:tc>
      </w:tr>
      <w:tr w:rsidR="00F35C5A" w:rsidRPr="00273719" w14:paraId="45C81C2E" w14:textId="42C7F83E" w:rsidTr="00A420C2">
        <w:tc>
          <w:tcPr>
            <w:tcW w:w="2755" w:type="dxa"/>
          </w:tcPr>
          <w:p w14:paraId="5A7B6BC5"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Atcor Medical Pty Ltd</w:t>
            </w:r>
          </w:p>
        </w:tc>
        <w:tc>
          <w:tcPr>
            <w:tcW w:w="3471" w:type="dxa"/>
          </w:tcPr>
          <w:p w14:paraId="4BE25AF4"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SunTech Medical Inc</w:t>
            </w:r>
          </w:p>
        </w:tc>
        <w:tc>
          <w:tcPr>
            <w:tcW w:w="2790" w:type="dxa"/>
          </w:tcPr>
          <w:p w14:paraId="0C8B4BBA" w14:textId="4D396B73" w:rsidR="00F35C5A" w:rsidRPr="00273719" w:rsidRDefault="00F35C5A" w:rsidP="00B116BC">
            <w:pPr>
              <w:rPr>
                <w:rFonts w:asciiTheme="minorHAnsi" w:eastAsiaTheme="minorHAnsi" w:hAnsiTheme="minorHAnsi" w:cstheme="minorBidi"/>
                <w:sz w:val="20"/>
              </w:rPr>
            </w:pPr>
            <w:r w:rsidRPr="00F35C5A">
              <w:rPr>
                <w:rFonts w:asciiTheme="minorHAnsi" w:eastAsiaTheme="minorHAnsi" w:hAnsiTheme="minorHAnsi" w:cstheme="minorBidi"/>
                <w:sz w:val="20"/>
              </w:rPr>
              <w:t>234055</w:t>
            </w:r>
          </w:p>
        </w:tc>
      </w:tr>
      <w:tr w:rsidR="00F35C5A" w:rsidRPr="00273719" w14:paraId="3985A131" w14:textId="56E4D2F2" w:rsidTr="00A420C2">
        <w:tc>
          <w:tcPr>
            <w:tcW w:w="2755" w:type="dxa"/>
          </w:tcPr>
          <w:p w14:paraId="28EDECE0"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Australian Sales and Trade Services (ASTS)</w:t>
            </w:r>
          </w:p>
        </w:tc>
        <w:tc>
          <w:tcPr>
            <w:tcW w:w="3471" w:type="dxa"/>
          </w:tcPr>
          <w:p w14:paraId="4AA510E3"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Andon Health Co Ltd</w:t>
            </w:r>
          </w:p>
        </w:tc>
        <w:tc>
          <w:tcPr>
            <w:tcW w:w="2790" w:type="dxa"/>
          </w:tcPr>
          <w:p w14:paraId="237D667B" w14:textId="40B09792" w:rsidR="00F35C5A" w:rsidRPr="00273719" w:rsidRDefault="00F35C5A" w:rsidP="00273719">
            <w:pPr>
              <w:rPr>
                <w:rFonts w:asciiTheme="minorHAnsi" w:eastAsiaTheme="minorHAnsi" w:hAnsiTheme="minorHAnsi" w:cstheme="minorBidi"/>
                <w:sz w:val="20"/>
              </w:rPr>
            </w:pPr>
            <w:r w:rsidRPr="00F35C5A">
              <w:rPr>
                <w:rFonts w:asciiTheme="minorHAnsi" w:eastAsiaTheme="minorHAnsi" w:hAnsiTheme="minorHAnsi" w:cstheme="minorBidi"/>
                <w:sz w:val="20"/>
              </w:rPr>
              <w:t>217021</w:t>
            </w:r>
          </w:p>
        </w:tc>
      </w:tr>
      <w:tr w:rsidR="00F35C5A" w:rsidRPr="00273719" w14:paraId="7715BFA3" w14:textId="1CD14AFC" w:rsidTr="00A420C2">
        <w:tc>
          <w:tcPr>
            <w:tcW w:w="2755" w:type="dxa"/>
          </w:tcPr>
          <w:p w14:paraId="5685AEA4"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Core Diagnostics Pty Ltd</w:t>
            </w:r>
          </w:p>
        </w:tc>
        <w:tc>
          <w:tcPr>
            <w:tcW w:w="3471" w:type="dxa"/>
          </w:tcPr>
          <w:p w14:paraId="61899B40"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DM Systems (Beijing) Co Limited</w:t>
            </w:r>
          </w:p>
        </w:tc>
        <w:tc>
          <w:tcPr>
            <w:tcW w:w="2790" w:type="dxa"/>
          </w:tcPr>
          <w:p w14:paraId="24367845" w14:textId="6A3906EC" w:rsidR="00F35C5A" w:rsidRPr="00273719" w:rsidRDefault="00B116BC" w:rsidP="00273719">
            <w:pPr>
              <w:rPr>
                <w:rFonts w:asciiTheme="minorHAnsi" w:eastAsiaTheme="minorHAnsi" w:hAnsiTheme="minorHAnsi" w:cstheme="minorBidi"/>
                <w:sz w:val="20"/>
              </w:rPr>
            </w:pPr>
            <w:r w:rsidRPr="00B116BC">
              <w:rPr>
                <w:rFonts w:asciiTheme="minorHAnsi" w:eastAsiaTheme="minorHAnsi" w:hAnsiTheme="minorHAnsi" w:cstheme="minorBidi"/>
                <w:sz w:val="20"/>
              </w:rPr>
              <w:t>285458</w:t>
            </w:r>
          </w:p>
        </w:tc>
      </w:tr>
      <w:tr w:rsidR="00F35C5A" w:rsidRPr="00273719" w14:paraId="7AD712D4" w14:textId="58B0B6EC" w:rsidTr="00A420C2">
        <w:tc>
          <w:tcPr>
            <w:tcW w:w="2755" w:type="dxa"/>
          </w:tcPr>
          <w:p w14:paraId="1865C4CE"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Ecomed Pty Ltd</w:t>
            </w:r>
          </w:p>
        </w:tc>
        <w:tc>
          <w:tcPr>
            <w:tcW w:w="3471" w:type="dxa"/>
          </w:tcPr>
          <w:p w14:paraId="133BDE97" w14:textId="7DA2A46A" w:rsidR="00F35C5A" w:rsidRPr="00273719" w:rsidRDefault="00B116BC" w:rsidP="00273719">
            <w:pPr>
              <w:rPr>
                <w:rFonts w:asciiTheme="minorHAnsi" w:eastAsiaTheme="minorHAnsi" w:hAnsiTheme="minorHAnsi" w:cstheme="minorBidi"/>
                <w:sz w:val="20"/>
              </w:rPr>
            </w:pPr>
            <w:r>
              <w:t xml:space="preserve"> </w:t>
            </w:r>
            <w:r w:rsidRPr="00B116BC">
              <w:rPr>
                <w:rFonts w:asciiTheme="minorHAnsi" w:eastAsiaTheme="minorHAnsi" w:hAnsiTheme="minorHAnsi" w:cstheme="minorBidi"/>
                <w:sz w:val="20"/>
              </w:rPr>
              <w:t>Statcorp Incorporated</w:t>
            </w:r>
          </w:p>
        </w:tc>
        <w:tc>
          <w:tcPr>
            <w:tcW w:w="2790" w:type="dxa"/>
          </w:tcPr>
          <w:p w14:paraId="0E665CFF" w14:textId="0EA8264B" w:rsidR="00F35C5A" w:rsidRPr="00273719" w:rsidRDefault="00B116BC" w:rsidP="00273719">
            <w:pPr>
              <w:rPr>
                <w:rFonts w:asciiTheme="minorHAnsi" w:eastAsiaTheme="minorHAnsi" w:hAnsiTheme="minorHAnsi" w:cstheme="minorBidi"/>
                <w:sz w:val="20"/>
              </w:rPr>
            </w:pPr>
            <w:r w:rsidRPr="00B116BC">
              <w:rPr>
                <w:rFonts w:asciiTheme="minorHAnsi" w:eastAsiaTheme="minorHAnsi" w:hAnsiTheme="minorHAnsi" w:cstheme="minorBidi"/>
                <w:sz w:val="20"/>
              </w:rPr>
              <w:t>198318</w:t>
            </w:r>
          </w:p>
        </w:tc>
      </w:tr>
      <w:tr w:rsidR="00F35C5A" w:rsidRPr="00273719" w14:paraId="367ED970" w14:textId="080A4D46" w:rsidTr="00A420C2">
        <w:tc>
          <w:tcPr>
            <w:tcW w:w="2755" w:type="dxa"/>
          </w:tcPr>
          <w:p w14:paraId="27FA5643"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Cellmed Pty Ltd</w:t>
            </w:r>
          </w:p>
        </w:tc>
        <w:tc>
          <w:tcPr>
            <w:tcW w:w="3471" w:type="dxa"/>
          </w:tcPr>
          <w:p w14:paraId="49CC1CEF"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SunTech Medical Inc</w:t>
            </w:r>
          </w:p>
        </w:tc>
        <w:tc>
          <w:tcPr>
            <w:tcW w:w="2790" w:type="dxa"/>
          </w:tcPr>
          <w:p w14:paraId="0E433779" w14:textId="5D93BDFC" w:rsidR="00F35C5A" w:rsidRPr="00273719" w:rsidRDefault="00B116BC" w:rsidP="00273719">
            <w:pPr>
              <w:rPr>
                <w:rFonts w:asciiTheme="minorHAnsi" w:eastAsiaTheme="minorHAnsi" w:hAnsiTheme="minorHAnsi" w:cstheme="minorBidi"/>
                <w:sz w:val="20"/>
              </w:rPr>
            </w:pPr>
            <w:r w:rsidRPr="00B116BC">
              <w:rPr>
                <w:rFonts w:asciiTheme="minorHAnsi" w:eastAsiaTheme="minorHAnsi" w:hAnsiTheme="minorHAnsi" w:cstheme="minorBidi"/>
                <w:sz w:val="20"/>
              </w:rPr>
              <w:t>310020</w:t>
            </w:r>
          </w:p>
        </w:tc>
      </w:tr>
      <w:tr w:rsidR="00F35C5A" w:rsidRPr="00C501CF" w14:paraId="54F1E490" w14:textId="556701D5" w:rsidTr="00A420C2">
        <w:tc>
          <w:tcPr>
            <w:tcW w:w="2755" w:type="dxa"/>
          </w:tcPr>
          <w:p w14:paraId="35BF1624"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Welch Allyn Australia Pty Limited</w:t>
            </w:r>
          </w:p>
        </w:tc>
        <w:tc>
          <w:tcPr>
            <w:tcW w:w="3471" w:type="dxa"/>
          </w:tcPr>
          <w:p w14:paraId="7EC133EC" w14:textId="77777777" w:rsidR="00F35C5A" w:rsidRPr="00A421E3" w:rsidRDefault="00F35C5A" w:rsidP="00273719">
            <w:pPr>
              <w:rPr>
                <w:rFonts w:asciiTheme="minorHAnsi" w:eastAsiaTheme="minorHAnsi" w:hAnsiTheme="minorHAnsi" w:cstheme="minorBidi"/>
                <w:sz w:val="20"/>
                <w:lang w:val="de-CH"/>
              </w:rPr>
            </w:pPr>
            <w:r w:rsidRPr="00A421E3">
              <w:rPr>
                <w:rFonts w:asciiTheme="minorHAnsi" w:eastAsiaTheme="minorHAnsi" w:hAnsiTheme="minorHAnsi" w:cstheme="minorBidi"/>
                <w:sz w:val="20"/>
                <w:lang w:val="de-CH"/>
              </w:rPr>
              <w:t>IEM GmbH Industrielle Entwicklung Medizintechnik und Vertriebsgesellschaft mbH</w:t>
            </w:r>
          </w:p>
        </w:tc>
        <w:tc>
          <w:tcPr>
            <w:tcW w:w="2790" w:type="dxa"/>
          </w:tcPr>
          <w:p w14:paraId="6BBE22E4" w14:textId="439BBF60" w:rsidR="00F35C5A" w:rsidRPr="00A421E3" w:rsidRDefault="00F06D87" w:rsidP="00273719">
            <w:pPr>
              <w:rPr>
                <w:rFonts w:asciiTheme="minorHAnsi" w:eastAsiaTheme="minorHAnsi" w:hAnsiTheme="minorHAnsi" w:cstheme="minorBidi"/>
                <w:sz w:val="20"/>
                <w:lang w:val="de-CH"/>
              </w:rPr>
            </w:pPr>
            <w:r w:rsidRPr="00F06D87">
              <w:rPr>
                <w:rFonts w:asciiTheme="minorHAnsi" w:eastAsiaTheme="minorHAnsi" w:hAnsiTheme="minorHAnsi" w:cstheme="minorBidi"/>
                <w:sz w:val="20"/>
                <w:lang w:val="de-CH"/>
              </w:rPr>
              <w:t>311921</w:t>
            </w:r>
          </w:p>
        </w:tc>
      </w:tr>
      <w:tr w:rsidR="00F35C5A" w:rsidRPr="00C501CF" w14:paraId="37A1770E" w14:textId="784D6ED9" w:rsidTr="00A420C2">
        <w:tc>
          <w:tcPr>
            <w:tcW w:w="2755" w:type="dxa"/>
          </w:tcPr>
          <w:p w14:paraId="5EDA3DA7"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Cardioscan Services Pty Ltd</w:t>
            </w:r>
          </w:p>
        </w:tc>
        <w:tc>
          <w:tcPr>
            <w:tcW w:w="3471" w:type="dxa"/>
          </w:tcPr>
          <w:p w14:paraId="757C2B99" w14:textId="77777777" w:rsidR="00F35C5A" w:rsidRPr="00A421E3" w:rsidRDefault="00F35C5A" w:rsidP="00273719">
            <w:pPr>
              <w:rPr>
                <w:rFonts w:asciiTheme="minorHAnsi" w:eastAsiaTheme="minorHAnsi" w:hAnsiTheme="minorHAnsi" w:cstheme="minorBidi"/>
                <w:sz w:val="20"/>
                <w:lang w:val="de-CH"/>
              </w:rPr>
            </w:pPr>
            <w:r w:rsidRPr="00A421E3">
              <w:rPr>
                <w:rFonts w:asciiTheme="minorHAnsi" w:eastAsiaTheme="minorHAnsi" w:hAnsiTheme="minorHAnsi" w:cstheme="minorBidi"/>
                <w:sz w:val="20"/>
                <w:lang w:val="de-CH"/>
              </w:rPr>
              <w:t>IEM GmbH Industrielle Entwicklung Medizintechnik und Vertriebsgesellschaft mbH</w:t>
            </w:r>
          </w:p>
        </w:tc>
        <w:tc>
          <w:tcPr>
            <w:tcW w:w="2790" w:type="dxa"/>
          </w:tcPr>
          <w:p w14:paraId="4DA27BEF" w14:textId="19B9D9A1" w:rsidR="00F35C5A" w:rsidRPr="00A421E3" w:rsidRDefault="00F06D87" w:rsidP="00273719">
            <w:pPr>
              <w:rPr>
                <w:rFonts w:asciiTheme="minorHAnsi" w:eastAsiaTheme="minorHAnsi" w:hAnsiTheme="minorHAnsi" w:cstheme="minorBidi"/>
                <w:sz w:val="20"/>
                <w:lang w:val="de-CH"/>
              </w:rPr>
            </w:pPr>
            <w:r w:rsidRPr="00F06D87">
              <w:rPr>
                <w:rFonts w:asciiTheme="minorHAnsi" w:eastAsiaTheme="minorHAnsi" w:hAnsiTheme="minorHAnsi" w:cstheme="minorBidi"/>
                <w:sz w:val="20"/>
                <w:lang w:val="de-CH"/>
              </w:rPr>
              <w:t>227055</w:t>
            </w:r>
          </w:p>
        </w:tc>
      </w:tr>
      <w:tr w:rsidR="00F35C5A" w:rsidRPr="00273719" w14:paraId="49D0929D" w14:textId="6D795876" w:rsidTr="00A420C2">
        <w:tc>
          <w:tcPr>
            <w:tcW w:w="2755" w:type="dxa"/>
          </w:tcPr>
          <w:p w14:paraId="48613245"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GE Healthcare Australia Pty Ltd</w:t>
            </w:r>
          </w:p>
        </w:tc>
        <w:tc>
          <w:tcPr>
            <w:tcW w:w="3471" w:type="dxa"/>
          </w:tcPr>
          <w:p w14:paraId="53D26745"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GE Medical Systems Information Technologies</w:t>
            </w:r>
          </w:p>
        </w:tc>
        <w:tc>
          <w:tcPr>
            <w:tcW w:w="2790" w:type="dxa"/>
          </w:tcPr>
          <w:p w14:paraId="6343A27F" w14:textId="58D82B5E" w:rsidR="00F35C5A" w:rsidRPr="00273719" w:rsidRDefault="00F35C5A" w:rsidP="00273719">
            <w:pPr>
              <w:rPr>
                <w:rFonts w:asciiTheme="minorHAnsi" w:eastAsiaTheme="minorHAnsi" w:hAnsiTheme="minorHAnsi" w:cstheme="minorBidi"/>
                <w:sz w:val="20"/>
              </w:rPr>
            </w:pPr>
            <w:r w:rsidRPr="00F35C5A">
              <w:rPr>
                <w:rFonts w:asciiTheme="minorHAnsi" w:eastAsiaTheme="minorHAnsi" w:hAnsiTheme="minorHAnsi" w:cstheme="minorBidi"/>
                <w:sz w:val="20"/>
              </w:rPr>
              <w:t>134874</w:t>
            </w:r>
          </w:p>
        </w:tc>
      </w:tr>
      <w:tr w:rsidR="00F35C5A" w:rsidRPr="00273719" w14:paraId="084EADFE" w14:textId="34BDD740" w:rsidTr="00A420C2">
        <w:tc>
          <w:tcPr>
            <w:tcW w:w="2755" w:type="dxa"/>
          </w:tcPr>
          <w:p w14:paraId="619574FD"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InMed Healthcare Pty Ltd</w:t>
            </w:r>
          </w:p>
        </w:tc>
        <w:tc>
          <w:tcPr>
            <w:tcW w:w="3471" w:type="dxa"/>
          </w:tcPr>
          <w:p w14:paraId="3DB5F397" w14:textId="77777777" w:rsidR="00F35C5A" w:rsidRPr="00273719" w:rsidRDefault="00F35C5A" w:rsidP="00273719">
            <w:pPr>
              <w:rPr>
                <w:rFonts w:asciiTheme="minorHAnsi" w:eastAsiaTheme="minorHAnsi" w:hAnsiTheme="minorHAnsi" w:cstheme="minorBidi"/>
                <w:sz w:val="20"/>
              </w:rPr>
            </w:pPr>
            <w:r w:rsidRPr="00273719">
              <w:rPr>
                <w:rFonts w:asciiTheme="minorHAnsi" w:eastAsiaTheme="minorHAnsi" w:hAnsiTheme="minorHAnsi" w:cstheme="minorBidi"/>
                <w:sz w:val="20"/>
              </w:rPr>
              <w:t>Meditech KFT</w:t>
            </w:r>
          </w:p>
        </w:tc>
        <w:tc>
          <w:tcPr>
            <w:tcW w:w="2790" w:type="dxa"/>
          </w:tcPr>
          <w:p w14:paraId="71F7886A" w14:textId="448C35EC" w:rsidR="00F35C5A" w:rsidRPr="00273719" w:rsidRDefault="00F06D87" w:rsidP="00273719">
            <w:pPr>
              <w:rPr>
                <w:rFonts w:asciiTheme="minorHAnsi" w:eastAsiaTheme="minorHAnsi" w:hAnsiTheme="minorHAnsi" w:cstheme="minorBidi"/>
                <w:sz w:val="20"/>
              </w:rPr>
            </w:pPr>
            <w:r w:rsidRPr="00F06D87">
              <w:rPr>
                <w:rFonts w:asciiTheme="minorHAnsi" w:eastAsiaTheme="minorHAnsi" w:hAnsiTheme="minorHAnsi" w:cstheme="minorBidi"/>
                <w:sz w:val="20"/>
              </w:rPr>
              <w:t>147014</w:t>
            </w:r>
          </w:p>
        </w:tc>
      </w:tr>
    </w:tbl>
    <w:p w14:paraId="180EF4BD" w14:textId="32374221" w:rsidR="00273719" w:rsidRDefault="00273719" w:rsidP="00E924FF">
      <w:pPr>
        <w:spacing w:after="0"/>
        <w:rPr>
          <w:szCs w:val="20"/>
        </w:rPr>
      </w:pPr>
    </w:p>
    <w:p w14:paraId="26A9A20C" w14:textId="77777777" w:rsidR="002B3338" w:rsidRDefault="002B3338" w:rsidP="00E924FF">
      <w:pPr>
        <w:spacing w:after="120"/>
        <w:rPr>
          <w:i/>
        </w:rPr>
      </w:pPr>
      <w:r>
        <w:rPr>
          <w:i/>
          <w:u w:val="single"/>
        </w:rPr>
        <w:t>Rationale</w:t>
      </w:r>
    </w:p>
    <w:p w14:paraId="00B5AD8D" w14:textId="40E9B526" w:rsidR="009C0C5C" w:rsidRDefault="00BB0348" w:rsidP="009C0C5C">
      <w:r w:rsidRPr="008C58B0">
        <w:t>Clinic, home and ambulatory BP all predict the risk of a cardiovascular event</w:t>
      </w:r>
      <w:r w:rsidR="00E0002D">
        <w:t>.</w:t>
      </w:r>
      <w:r w:rsidR="00953A84">
        <w:t xml:space="preserve"> </w:t>
      </w:r>
      <w:r w:rsidR="009C0C5C">
        <w:t xml:space="preserve">The </w:t>
      </w:r>
      <w:r w:rsidR="009C0C5C" w:rsidRPr="00BB0348">
        <w:t>current Australian guideli</w:t>
      </w:r>
      <w:r w:rsidR="009C0C5C">
        <w:t xml:space="preserve">nes for diagnosing hypertension </w:t>
      </w:r>
      <w:r w:rsidR="00F10BFA">
        <w:t xml:space="preserve">in adults </w:t>
      </w:r>
      <w:r w:rsidR="009C0C5C" w:rsidRPr="00BB0348">
        <w:t>recommend</w:t>
      </w:r>
      <w:r w:rsidR="009C0C5C">
        <w:t>s</w:t>
      </w:r>
      <w:r w:rsidR="009C0C5C" w:rsidRPr="00BB0348">
        <w:t xml:space="preserve"> either ABPM and/or </w:t>
      </w:r>
      <w:r w:rsidR="009C0C5C">
        <w:t>home blood pressure monitoring (</w:t>
      </w:r>
      <w:r w:rsidR="009C0C5C" w:rsidRPr="00BB0348">
        <w:t>HBPM</w:t>
      </w:r>
      <w:r w:rsidR="009C0C5C">
        <w:t>)</w:t>
      </w:r>
      <w:r w:rsidR="009C0C5C" w:rsidRPr="00BB0348">
        <w:t xml:space="preserve"> should be offered if </w:t>
      </w:r>
      <w:r w:rsidR="009C0C5C">
        <w:t>CBPM</w:t>
      </w:r>
      <w:r w:rsidR="009C0C5C" w:rsidRPr="00BB0348">
        <w:t xml:space="preserve"> ≥140/90 mmHg</w:t>
      </w:r>
      <w:r w:rsidR="000C52CF">
        <w:t xml:space="preserve"> </w:t>
      </w:r>
      <w:r w:rsidR="00543BF2">
        <w:rPr>
          <w:rFonts w:cs="Arial"/>
          <w:u w:val="dotted"/>
        </w:rPr>
        <w:fldChar w:fldCharType="begin"/>
      </w:r>
      <w:r w:rsidR="00543BF2">
        <w:rPr>
          <w:rFonts w:cs="Arial"/>
          <w:u w:val="dotted"/>
        </w:rPr>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rPr>
          <w:rFonts w:cs="Arial"/>
          <w:u w:val="dotted"/>
        </w:rPr>
        <w:fldChar w:fldCharType="separate"/>
      </w:r>
      <w:r w:rsidR="00543BF2">
        <w:rPr>
          <w:rFonts w:cs="Arial"/>
          <w:noProof/>
          <w:u w:val="dotted"/>
        </w:rPr>
        <w:t>(Gabb 2016)</w:t>
      </w:r>
      <w:r w:rsidR="00543BF2">
        <w:rPr>
          <w:rFonts w:cs="Arial"/>
          <w:u w:val="dotted"/>
        </w:rPr>
        <w:fldChar w:fldCharType="end"/>
      </w:r>
      <w:r w:rsidR="009C0C5C">
        <w:t>.</w:t>
      </w:r>
    </w:p>
    <w:p w14:paraId="7E541771" w14:textId="3036E238" w:rsidR="00C476E0" w:rsidRDefault="000B4F1E" w:rsidP="00C476E0">
      <w:r>
        <w:lastRenderedPageBreak/>
        <w:t>Stakeholder consultation on this application indicated the importance of using a</w:t>
      </w:r>
      <w:r w:rsidR="00C476E0">
        <w:t xml:space="preserve"> validat</w:t>
      </w:r>
      <w:r>
        <w:t>ed</w:t>
      </w:r>
      <w:r w:rsidR="00C476E0">
        <w:t xml:space="preserve"> device against standard </w:t>
      </w:r>
      <w:r w:rsidR="00BC30D1">
        <w:t>sphygmomanometry, which</w:t>
      </w:r>
      <w:r>
        <w:t xml:space="preserve"> is the validity of the device to accurately measure BP</w:t>
      </w:r>
      <w:r w:rsidR="00FF628B">
        <w:t xml:space="preserve"> as well as </w:t>
      </w:r>
      <w:r>
        <w:t>t</w:t>
      </w:r>
      <w:r w:rsidR="00FF628B">
        <w:t>he safety of the device. The</w:t>
      </w:r>
      <w:r>
        <w:t xml:space="preserve"> need</w:t>
      </w:r>
      <w:r w:rsidR="00375764">
        <w:t xml:space="preserve"> for</w:t>
      </w:r>
      <w:r>
        <w:t xml:space="preserve"> </w:t>
      </w:r>
      <w:r w:rsidR="00C476E0">
        <w:t>reporting requirements</w:t>
      </w:r>
      <w:r w:rsidR="00FF628B">
        <w:t xml:space="preserve"> </w:t>
      </w:r>
      <w:r w:rsidR="00375764">
        <w:t xml:space="preserve">to ensure the validated device is regularly maintained </w:t>
      </w:r>
      <w:r w:rsidR="00FF628B">
        <w:t>was also suggested.</w:t>
      </w:r>
    </w:p>
    <w:p w14:paraId="51CED9F1" w14:textId="07D2DE5E" w:rsidR="00E0002D" w:rsidRDefault="00953A84" w:rsidP="00110EF6">
      <w:r>
        <w:t>The</w:t>
      </w:r>
      <w:r w:rsidR="00E0002D">
        <w:t xml:space="preserve"> NICE Quality Statement, reviewed every year, </w:t>
      </w:r>
      <w:r>
        <w:t>concluded that</w:t>
      </w:r>
      <w:r w:rsidR="00E0002D">
        <w:t>: “</w:t>
      </w:r>
      <w:r w:rsidR="00E0002D" w:rsidRPr="00E47163">
        <w:t>ABPM is the most accurate method for confirming a diagnosis of hypertension, and its use should reduce unnecessary treatment in people who do not have true hypertension. ABPM has also been shown to be superior to other methods of multiple blood pressure measurement for predicting blood pressure-related clinical events.</w:t>
      </w:r>
      <w:r w:rsidR="00E0002D">
        <w:t>”</w:t>
      </w:r>
      <w:r w:rsidR="00543BF2">
        <w:fldChar w:fldCharType="begin"/>
      </w:r>
      <w:r w:rsidR="00543BF2">
        <w:instrText xml:space="preserve"> ADDIN EN.CITE &lt;EndNote&gt;&lt;Cite&gt;&lt;Author&gt;NICE&lt;/Author&gt;&lt;Year&gt;2013&lt;/Year&gt;&lt;RecNum&gt;5&lt;/RecNum&gt;&lt;DisplayText&gt;(NICE 2013)&lt;/DisplayText&gt;&lt;record&gt;&lt;rec-number&gt;5&lt;/rec-number&gt;&lt;foreign-keys&gt;&lt;key app="EN" db-id="s955atafr9wsseewttmxxz54fz925s0fvr2v" timestamp="1550465219"&gt;5&lt;/key&gt;&lt;/foreign-keys&gt;&lt;ref-type name="Report"&gt;27&lt;/ref-type&gt;&lt;contributors&gt;&lt;authors&gt;&lt;author&gt;NICE&lt;/author&gt;&lt;/authors&gt;&lt;/contributors&gt;&lt;titles&gt;&lt;title&gt;Hypertension in adults. Quality standard [QS28]&lt;/title&gt;&lt;/titles&gt;&lt;dates&gt;&lt;year&gt;2013&lt;/year&gt;&lt;/dates&gt;&lt;pub-location&gt;Manchester, UK&lt;/pub-location&gt;&lt;publisher&gt;National Institute of Health and Care Excellence&lt;/publisher&gt;&lt;urls&gt;&lt;related-urls&gt;&lt;url&gt;https://www.nice.org.uk/guidance/qs28&lt;/url&gt;&lt;/related-urls&gt;&lt;/urls&gt;&lt;/record&gt;&lt;/Cite&gt;&lt;/EndNote&gt;</w:instrText>
      </w:r>
      <w:r w:rsidR="00543BF2">
        <w:fldChar w:fldCharType="separate"/>
      </w:r>
      <w:r w:rsidR="00543BF2">
        <w:rPr>
          <w:noProof/>
        </w:rPr>
        <w:t>(NICE 2013)</w:t>
      </w:r>
      <w:r w:rsidR="00543BF2">
        <w:fldChar w:fldCharType="end"/>
      </w:r>
      <w:r w:rsidR="00C35C01">
        <w:t xml:space="preserve"> </w:t>
      </w:r>
      <w:r w:rsidR="00E0002D">
        <w:t xml:space="preserve">NICE also conducted an </w:t>
      </w:r>
      <w:r w:rsidR="00E0002D" w:rsidRPr="00EB63BC">
        <w:t>evidence update</w:t>
      </w:r>
      <w:r w:rsidR="000C52CF">
        <w:t xml:space="preserve"> </w:t>
      </w:r>
      <w:r w:rsidR="00543BF2">
        <w:fldChar w:fldCharType="begin"/>
      </w:r>
      <w:r w:rsidR="00543BF2">
        <w:instrText xml:space="preserve"> ADDIN EN.CITE &lt;EndNote&gt;&lt;Cite&gt;&lt;Author&gt;NICE&lt;/Author&gt;&lt;Year&gt;2013&lt;/Year&gt;&lt;RecNum&gt;3&lt;/RecNum&gt;&lt;DisplayText&gt;(NICE 2013)&lt;/DisplayText&gt;&lt;record&gt;&lt;rec-number&gt;3&lt;/rec-number&gt;&lt;foreign-keys&gt;&lt;key app="EN" db-id="s955atafr9wsseewttmxxz54fz925s0fvr2v" timestamp="1550464048"&gt;3&lt;/key&gt;&lt;/foreign-keys&gt;&lt;ref-type name="Report"&gt;27&lt;/ref-type&gt;&lt;contributors&gt;&lt;authors&gt;&lt;author&gt;NICE&lt;/author&gt;&lt;/authors&gt;&lt;/contributors&gt;&lt;titles&gt;&lt;title&gt;Hypertension: Evidence Update. A summary of selected new evidence relevant to NICE clinical guideline 127 ‘Clinical management of primary hypertension in adults’ (2011)&lt;/title&gt;&lt;/titles&gt;&lt;dates&gt;&lt;year&gt;2013&lt;/year&gt;&lt;/dates&gt;&lt;pub-location&gt;Manchester, UK&lt;/pub-location&gt;&lt;publisher&gt;National Institute for Health and Care Excellence&lt;/publisher&gt;&lt;urls&gt;&lt;related-urls&gt;&lt;url&gt;https://www.nice.org.uk/guidance/cg127/evidence/evidence-update-pdf-248584429&lt;/url&gt;&lt;/related-urls&gt;&lt;/urls&gt;&lt;/record&gt;&lt;/Cite&gt;&lt;/EndNote&gt;</w:instrText>
      </w:r>
      <w:r w:rsidR="00543BF2">
        <w:fldChar w:fldCharType="separate"/>
      </w:r>
      <w:r w:rsidR="00543BF2">
        <w:rPr>
          <w:noProof/>
        </w:rPr>
        <w:t>(NICE 2013)</w:t>
      </w:r>
      <w:r w:rsidR="00543BF2">
        <w:fldChar w:fldCharType="end"/>
      </w:r>
      <w:r w:rsidR="00E0002D" w:rsidRPr="00EB63BC">
        <w:t xml:space="preserve"> of</w:t>
      </w:r>
      <w:r w:rsidR="00E0002D">
        <w:t xml:space="preserve"> their hypertension guideline in 2013, which concluded that: “Automated clinic blood pressure measurement providing a series of readings may result in more accurate blood pressure measurement than manual blood pressure measurement, but may still overestimate blood pressure in some patients when compared with ambulatory blood pressure monitoring.”</w:t>
      </w:r>
    </w:p>
    <w:p w14:paraId="3C713918" w14:textId="77777777" w:rsidR="00896845" w:rsidRPr="00665896" w:rsidRDefault="00896845">
      <w:pPr>
        <w:rPr>
          <w:rFonts w:asciiTheme="minorHAnsi" w:hAnsiTheme="minorHAnsi"/>
          <w:b/>
        </w:rPr>
      </w:pPr>
      <w:r w:rsidRPr="00665896">
        <w:rPr>
          <w:rFonts w:asciiTheme="minorHAnsi" w:hAnsiTheme="minorHAnsi"/>
          <w:b/>
        </w:rPr>
        <w:t>Comparator</w:t>
      </w:r>
    </w:p>
    <w:p w14:paraId="6C9E049D" w14:textId="4E97BC12" w:rsidR="00102284" w:rsidRPr="00665896" w:rsidRDefault="00102284" w:rsidP="00110EF6">
      <w:pPr>
        <w:pStyle w:val="ListParagraph"/>
        <w:numPr>
          <w:ilvl w:val="0"/>
          <w:numId w:val="25"/>
        </w:numPr>
        <w:rPr>
          <w:rFonts w:asciiTheme="minorHAnsi" w:hAnsiTheme="minorHAnsi"/>
        </w:rPr>
      </w:pPr>
      <w:r w:rsidRPr="00665896">
        <w:rPr>
          <w:rFonts w:asciiTheme="minorHAnsi" w:hAnsiTheme="minorHAnsi"/>
        </w:rPr>
        <w:t xml:space="preserve">Repeat CBPM using a validated and regularly maintained non-mercury sphygmomanometer, </w:t>
      </w:r>
      <w:r w:rsidR="00FC323D" w:rsidRPr="00665896">
        <w:rPr>
          <w:rFonts w:asciiTheme="minorHAnsi" w:hAnsiTheme="minorHAnsi"/>
        </w:rPr>
        <w:t>taken during a consultation at the doctor’s office</w:t>
      </w:r>
      <w:r w:rsidR="00340A4B">
        <w:rPr>
          <w:rFonts w:asciiTheme="minorHAnsi" w:hAnsiTheme="minorHAnsi"/>
        </w:rPr>
        <w:t xml:space="preserve"> or in the </w:t>
      </w:r>
      <w:r w:rsidR="00287E44">
        <w:rPr>
          <w:rFonts w:asciiTheme="minorHAnsi" w:hAnsiTheme="minorHAnsi"/>
        </w:rPr>
        <w:t>patient</w:t>
      </w:r>
      <w:r w:rsidR="00340A4B">
        <w:rPr>
          <w:rFonts w:asciiTheme="minorHAnsi" w:hAnsiTheme="minorHAnsi"/>
        </w:rPr>
        <w:t>’</w:t>
      </w:r>
      <w:r w:rsidR="00287E44">
        <w:rPr>
          <w:rFonts w:asciiTheme="minorHAnsi" w:hAnsiTheme="minorHAnsi"/>
        </w:rPr>
        <w:t xml:space="preserve">s home </w:t>
      </w:r>
      <w:r w:rsidR="00340A4B">
        <w:rPr>
          <w:rFonts w:asciiTheme="minorHAnsi" w:hAnsiTheme="minorHAnsi"/>
        </w:rPr>
        <w:t>(with</w:t>
      </w:r>
      <w:r w:rsidR="00287E44">
        <w:rPr>
          <w:rFonts w:asciiTheme="minorHAnsi" w:hAnsiTheme="minorHAnsi"/>
        </w:rPr>
        <w:t xml:space="preserve"> a medical practitioner</w:t>
      </w:r>
      <w:r w:rsidR="00340A4B">
        <w:rPr>
          <w:rFonts w:asciiTheme="minorHAnsi" w:hAnsiTheme="minorHAnsi"/>
        </w:rPr>
        <w:t>)</w:t>
      </w:r>
      <w:r w:rsidR="00287E44">
        <w:rPr>
          <w:rFonts w:asciiTheme="minorHAnsi" w:hAnsiTheme="minorHAnsi"/>
        </w:rPr>
        <w:t>.</w:t>
      </w:r>
      <w:r w:rsidR="00FC323D" w:rsidRPr="00665896">
        <w:rPr>
          <w:rFonts w:asciiTheme="minorHAnsi" w:hAnsiTheme="minorHAnsi"/>
        </w:rPr>
        <w:t xml:space="preserve"> </w:t>
      </w:r>
    </w:p>
    <w:p w14:paraId="33774FFF" w14:textId="45091AE3" w:rsidR="00EE3C78" w:rsidRPr="00665896" w:rsidRDefault="005E716B" w:rsidP="00110EF6">
      <w:pPr>
        <w:pStyle w:val="ListParagraph"/>
        <w:numPr>
          <w:ilvl w:val="0"/>
          <w:numId w:val="25"/>
        </w:numPr>
        <w:jc w:val="both"/>
        <w:rPr>
          <w:rFonts w:asciiTheme="minorHAnsi" w:hAnsiTheme="minorHAnsi"/>
        </w:rPr>
      </w:pPr>
      <w:r w:rsidRPr="00665896">
        <w:rPr>
          <w:rFonts w:asciiTheme="minorHAnsi" w:hAnsiTheme="minorHAnsi"/>
        </w:rPr>
        <w:t xml:space="preserve">HBPM: </w:t>
      </w:r>
      <w:r w:rsidR="00102284" w:rsidRPr="00665896">
        <w:rPr>
          <w:rFonts w:asciiTheme="minorHAnsi" w:hAnsiTheme="minorHAnsi"/>
        </w:rPr>
        <w:t xml:space="preserve">Multiple non-ambulatory blood pressure measurements taken </w:t>
      </w:r>
      <w:r w:rsidR="00B316C0" w:rsidRPr="00665896">
        <w:rPr>
          <w:rFonts w:asciiTheme="minorHAnsi" w:hAnsiTheme="minorHAnsi"/>
        </w:rPr>
        <w:t xml:space="preserve">using a </w:t>
      </w:r>
      <w:r w:rsidR="00B316C0" w:rsidRPr="00665896">
        <w:rPr>
          <w:rFonts w:asciiTheme="minorHAnsi" w:hAnsiTheme="minorHAnsi" w:cs="Arial"/>
          <w:color w:val="333333"/>
          <w:shd w:val="clear" w:color="auto" w:fill="FFFFFF"/>
        </w:rPr>
        <w:t xml:space="preserve">validated and automated device </w:t>
      </w:r>
      <w:r w:rsidR="00102284" w:rsidRPr="00665896">
        <w:rPr>
          <w:rFonts w:asciiTheme="minorHAnsi" w:hAnsiTheme="minorHAnsi"/>
        </w:rPr>
        <w:t>by the patient in their home.</w:t>
      </w:r>
    </w:p>
    <w:p w14:paraId="4EE079AA" w14:textId="41152354" w:rsidR="00102284" w:rsidRPr="00102284" w:rsidRDefault="005E716B" w:rsidP="00102284">
      <w:pPr>
        <w:jc w:val="both"/>
        <w:rPr>
          <w:szCs w:val="20"/>
        </w:rPr>
      </w:pPr>
      <w:r>
        <w:rPr>
          <w:szCs w:val="20"/>
        </w:rPr>
        <w:t xml:space="preserve">HBPM involves the patient </w:t>
      </w:r>
      <w:r w:rsidR="00C72078">
        <w:rPr>
          <w:szCs w:val="20"/>
        </w:rPr>
        <w:t>self-measuring</w:t>
      </w:r>
      <w:r>
        <w:rPr>
          <w:szCs w:val="20"/>
        </w:rPr>
        <w:t xml:space="preserve"> BP at home, usually over a period of 1 week</w:t>
      </w:r>
      <w:r w:rsidR="00B316C0">
        <w:rPr>
          <w:szCs w:val="20"/>
        </w:rPr>
        <w:t xml:space="preserve"> </w:t>
      </w:r>
      <w:r w:rsidR="00B316C0" w:rsidRPr="00635D88">
        <w:rPr>
          <w:szCs w:val="20"/>
        </w:rPr>
        <w:t>using a validated and automated device</w:t>
      </w:r>
      <w:r w:rsidR="00CE6846">
        <w:rPr>
          <w:szCs w:val="20"/>
        </w:rPr>
        <w:t xml:space="preserve">. It is often measured at approximately the same time in the morning or evening. </w:t>
      </w:r>
      <w:r w:rsidR="00B316C0">
        <w:rPr>
          <w:szCs w:val="20"/>
        </w:rPr>
        <w:t>Training should be provide</w:t>
      </w:r>
      <w:r w:rsidR="00665896">
        <w:rPr>
          <w:szCs w:val="20"/>
        </w:rPr>
        <w:t>d</w:t>
      </w:r>
      <w:r w:rsidR="00B316C0">
        <w:rPr>
          <w:szCs w:val="20"/>
        </w:rPr>
        <w:t xml:space="preserve"> to patients on how to appropriately take BP measurements at home. </w:t>
      </w:r>
      <w:r w:rsidR="00C96F25">
        <w:rPr>
          <w:szCs w:val="20"/>
        </w:rPr>
        <w:t>The patient records the measurements and then returns to the doctor</w:t>
      </w:r>
      <w:r>
        <w:rPr>
          <w:szCs w:val="20"/>
        </w:rPr>
        <w:t xml:space="preserve"> </w:t>
      </w:r>
      <w:r w:rsidR="00543BF2">
        <w:rPr>
          <w:szCs w:val="20"/>
        </w:rPr>
        <w:fldChar w:fldCharType="begin">
          <w:fldData xml:space="preserve">PEVuZE5vdGU+PENpdGU+PEF1dGhvcj5TaGFybWFuPC9BdXRob3I+PFllYXI+MjAxNTwvWWVhcj48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</w:fldData>
        </w:fldChar>
      </w:r>
      <w:r w:rsidR="00543BF2">
        <w:rPr>
          <w:szCs w:val="20"/>
        </w:rPr>
        <w:instrText xml:space="preserve"> ADDIN EN.CITE </w:instrText>
      </w:r>
      <w:r w:rsidR="00543BF2">
        <w:rPr>
          <w:szCs w:val="20"/>
        </w:rPr>
        <w:fldChar w:fldCharType="begin">
          <w:fldData xml:space="preserve">PEVuZE5vdGU+PENpdGU+PEF1dGhvcj5TaGFybWFuPC9BdXRob3I+PFllYXI+MjAxNTwvWWVhcj48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</w:fldData>
        </w:fldChar>
      </w:r>
      <w:r w:rsidR="00543BF2">
        <w:rPr>
          <w:szCs w:val="20"/>
        </w:rPr>
        <w:instrText xml:space="preserve"> ADDIN EN.CITE.DATA </w:instrText>
      </w:r>
      <w:r w:rsidR="00543BF2">
        <w:rPr>
          <w:szCs w:val="20"/>
        </w:rPr>
      </w:r>
      <w:r w:rsidR="00543BF2">
        <w:rPr>
          <w:szCs w:val="20"/>
        </w:rPr>
        <w:fldChar w:fldCharType="end"/>
      </w:r>
      <w:r w:rsidR="00543BF2">
        <w:rPr>
          <w:szCs w:val="20"/>
        </w:rPr>
      </w:r>
      <w:r w:rsidR="00543BF2">
        <w:rPr>
          <w:szCs w:val="20"/>
        </w:rPr>
        <w:fldChar w:fldCharType="separate"/>
      </w:r>
      <w:r w:rsidR="00543BF2">
        <w:rPr>
          <w:noProof/>
          <w:szCs w:val="20"/>
        </w:rPr>
        <w:t>(Sharman, Howes et al. 2015)</w:t>
      </w:r>
      <w:r w:rsidR="00543BF2">
        <w:rPr>
          <w:szCs w:val="20"/>
        </w:rPr>
        <w:fldChar w:fldCharType="end"/>
      </w:r>
    </w:p>
    <w:p w14:paraId="4122C8DC" w14:textId="77777777" w:rsidR="00896845" w:rsidRDefault="002B3338" w:rsidP="002B3338">
      <w:pPr>
        <w:rPr>
          <w:i/>
        </w:rPr>
      </w:pPr>
      <w:r>
        <w:rPr>
          <w:i/>
          <w:u w:val="single"/>
        </w:rPr>
        <w:t>Rationale</w:t>
      </w:r>
    </w:p>
    <w:p w14:paraId="3741B819" w14:textId="7288B0CB" w:rsidR="00B8613A" w:rsidRDefault="00B8613A" w:rsidP="00665896">
      <w:pPr>
        <w:jc w:val="both"/>
      </w:pPr>
      <w:r>
        <w:t xml:space="preserve">CBPM is known to give misleading results </w:t>
      </w:r>
      <w:r w:rsidR="00FC323D">
        <w:t>in the case of</w:t>
      </w:r>
      <w:r>
        <w:t xml:space="preserve"> white-coat hypertension</w:t>
      </w:r>
      <w:r w:rsidR="00FC323D">
        <w:t>,</w:t>
      </w:r>
      <w:r>
        <w:t xml:space="preserve"> so t</w:t>
      </w:r>
      <w:r w:rsidR="005E716B">
        <w:t xml:space="preserve">he </w:t>
      </w:r>
      <w:r w:rsidR="005E716B" w:rsidRPr="00BB0348">
        <w:t>current Australian guideli</w:t>
      </w:r>
      <w:r w:rsidR="005E716B">
        <w:t xml:space="preserve">nes for diagnosing hypertension </w:t>
      </w:r>
      <w:r w:rsidR="005E716B" w:rsidRPr="00BB0348">
        <w:t>recommend</w:t>
      </w:r>
      <w:r w:rsidR="005E716B">
        <w:t>s</w:t>
      </w:r>
      <w:r w:rsidR="005E716B" w:rsidRPr="00BB0348">
        <w:t xml:space="preserve"> either ABPM and/or </w:t>
      </w:r>
      <w:r w:rsidR="005E716B">
        <w:t>home blood pressure monitoring (</w:t>
      </w:r>
      <w:r w:rsidR="005E716B" w:rsidRPr="00BB0348">
        <w:t>HBPM</w:t>
      </w:r>
      <w:r w:rsidR="005E716B">
        <w:t>)</w:t>
      </w:r>
      <w:r w:rsidR="005E716B" w:rsidRPr="00BB0348">
        <w:t xml:space="preserve"> should be offered if </w:t>
      </w:r>
      <w:r w:rsidR="005E716B">
        <w:t>CBPM</w:t>
      </w:r>
      <w:r w:rsidR="005E716B" w:rsidRPr="00BB0348">
        <w:t xml:space="preserve"> ≥140/90 mmHg</w:t>
      </w:r>
      <w:r w:rsidR="001A0D4B">
        <w:t xml:space="preserve"> </w:t>
      </w:r>
      <w:r w:rsidR="00543BF2">
        <w:rPr>
          <w:rFonts w:cs="Arial"/>
          <w:u w:val="dotted"/>
        </w:rPr>
        <w:fldChar w:fldCharType="begin"/>
      </w:r>
      <w:r w:rsidR="00543BF2">
        <w:rPr>
          <w:rFonts w:cs="Arial"/>
          <w:u w:val="dotted"/>
        </w:rPr>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rPr>
          <w:rFonts w:cs="Arial"/>
          <w:u w:val="dotted"/>
        </w:rPr>
        <w:fldChar w:fldCharType="separate"/>
      </w:r>
      <w:r w:rsidR="00543BF2">
        <w:rPr>
          <w:rFonts w:cs="Arial"/>
          <w:noProof/>
          <w:u w:val="dotted"/>
        </w:rPr>
        <w:t>(Gabb 2016)</w:t>
      </w:r>
      <w:r w:rsidR="00543BF2">
        <w:rPr>
          <w:rFonts w:cs="Arial"/>
          <w:u w:val="dotted"/>
        </w:rPr>
        <w:fldChar w:fldCharType="end"/>
      </w:r>
      <w:r w:rsidR="001A0D4B">
        <w:t>.</w:t>
      </w:r>
      <w:r w:rsidR="001B5744">
        <w:t xml:space="preserve"> </w:t>
      </w:r>
      <w:r w:rsidR="00033ECE">
        <w:t xml:space="preserve">Australian guidance </w:t>
      </w:r>
      <w:r w:rsidR="00B316C0">
        <w:t xml:space="preserve">also notes that HBPM and ABPM can be considered to provide complementary information </w:t>
      </w:r>
      <w:r w:rsidR="00543BF2">
        <w:fldChar w:fldCharType="begin"/>
      </w:r>
      <w:r w:rsidR="00543BF2">
        <w:instrText xml:space="preserve"> ADDIN EN.CITE &lt;EndNote&gt;&lt;Cite&gt;&lt;Author&gt;National Heart Foundation of Australia&lt;/Author&gt;&lt;Year&gt;2016&lt;/Year&gt;&lt;RecNum&gt;18&lt;/RecNum&gt;&lt;DisplayText&gt;(National Heart Foundation of Australia 2016)&lt;/DisplayText&gt;&lt;record&gt;&lt;rec-number&gt;18&lt;/rec-number&gt;&lt;foreign-keys&gt;&lt;key app="EN" db-id="s955atafr9wsseewttmxxz54fz925s0fvr2v" timestamp="1553579542"&gt;18&lt;/key&gt;&lt;/foreign-keys&gt;&lt;ref-type name="Report"&gt;27&lt;/ref-type&gt;&lt;contributors&gt;&lt;authors&gt;&lt;author&gt;National Heart Foundation of Australia,&lt;/author&gt;&lt;/authors&gt;&lt;/contributors&gt;&lt;titles&gt;&lt;title&gt;Guideline for the diagnosis and management of hypertension in adults - 2016.&lt;/title&gt;&lt;/titles&gt;&lt;dates&gt;&lt;year&gt;2016&lt;/year&gt;&lt;/dates&gt;&lt;pub-location&gt;Melbourne&lt;/pub-location&gt;&lt;publisher&gt;National Heart Foundation of Australia&lt;/publisher&gt;&lt;urls&gt;&lt;/urls&gt;&lt;/record&gt;&lt;/Cite&gt;&lt;/EndNote&gt;</w:instrText>
      </w:r>
      <w:r w:rsidR="00543BF2">
        <w:fldChar w:fldCharType="separate"/>
      </w:r>
      <w:r w:rsidR="00543BF2">
        <w:rPr>
          <w:noProof/>
        </w:rPr>
        <w:t>(National Heart Foundation of Australia 2016)</w:t>
      </w:r>
      <w:r w:rsidR="00543BF2">
        <w:fldChar w:fldCharType="end"/>
      </w:r>
      <w:r w:rsidR="00B316C0">
        <w:t xml:space="preserve">. </w:t>
      </w:r>
      <w:r w:rsidR="001B5744">
        <w:t xml:space="preserve">There have been a number of studies published that suggest </w:t>
      </w:r>
      <w:r w:rsidR="001B5744" w:rsidRPr="00BB0348">
        <w:t>ABPM</w:t>
      </w:r>
      <w:r w:rsidR="001B5744">
        <w:t xml:space="preserve"> may be the preferred option over HBPM</w:t>
      </w:r>
      <w:r w:rsidR="00A420C2">
        <w:t xml:space="preserve"> </w:t>
      </w:r>
      <w:r w:rsidR="00543BF2">
        <w:fldChar w:fldCharType="begin">
          <w:fldData xml:space="preserve">PEVuZE5vdGU+PENpdGU+PEF1dGhvcj5TZWdhPC9BdXRob3I+PFllYXI+MjAwNTwvWWVhcj48UmVj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</w:fldData>
        </w:fldChar>
      </w:r>
      <w:r w:rsidR="00543BF2">
        <w:instrText xml:space="preserve"> ADDIN EN.CITE </w:instrText>
      </w:r>
      <w:r w:rsidR="00543BF2">
        <w:fldChar w:fldCharType="begin">
          <w:fldData xml:space="preserve">PEVuZE5vdGU+PENpdGU+PEF1dGhvcj5TZWdhPC9BdXRob3I+PFllYXI+MjAwNTwvWWVhcj48UmVj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</w:fldData>
        </w:fldChar>
      </w:r>
      <w:r w:rsidR="00543BF2">
        <w:instrText xml:space="preserve"> ADDIN EN.CITE.DATA </w:instrText>
      </w:r>
      <w:r w:rsidR="00543BF2">
        <w:fldChar w:fldCharType="end"/>
      </w:r>
      <w:r w:rsidR="00543BF2">
        <w:fldChar w:fldCharType="separate"/>
      </w:r>
      <w:r w:rsidR="00543BF2">
        <w:rPr>
          <w:noProof/>
        </w:rPr>
        <w:t>(Sega, Facchetti et al. 2005, Fagard, Thijs et al. 2008, Hodgkinson, Mant et al. 2011, Muntner P, Myers MG et al. 2019)</w:t>
      </w:r>
      <w:r w:rsidR="00543BF2">
        <w:fldChar w:fldCharType="end"/>
      </w:r>
      <w:r w:rsidR="001B5744">
        <w:t>.</w:t>
      </w:r>
    </w:p>
    <w:p w14:paraId="336B446C" w14:textId="67211821" w:rsidR="00896845" w:rsidRDefault="00896845" w:rsidP="00665896">
      <w:pPr>
        <w:jc w:val="both"/>
        <w:rPr>
          <w:b/>
        </w:rPr>
      </w:pPr>
      <w:r w:rsidRPr="00E364F7">
        <w:rPr>
          <w:b/>
        </w:rPr>
        <w:t>Outcomes</w:t>
      </w:r>
    </w:p>
    <w:p w14:paraId="75E6CBD3" w14:textId="77777777" w:rsidR="00882EDD" w:rsidRPr="00340A4B" w:rsidRDefault="00882EDD" w:rsidP="00882EDD">
      <w:pPr>
        <w:spacing w:after="0"/>
        <w:rPr>
          <w:u w:val="single"/>
        </w:rPr>
      </w:pPr>
      <w:r w:rsidRPr="00340A4B">
        <w:rPr>
          <w:u w:val="single"/>
        </w:rPr>
        <w:t>Efficacy/effectiveness</w:t>
      </w:r>
    </w:p>
    <w:p w14:paraId="027308C3" w14:textId="03F8C9FB" w:rsidR="00882EDD" w:rsidRPr="00340A4B" w:rsidRDefault="00882EDD" w:rsidP="00F77567">
      <w:pPr>
        <w:pStyle w:val="ListParagraph"/>
        <w:numPr>
          <w:ilvl w:val="0"/>
          <w:numId w:val="38"/>
        </w:numPr>
        <w:spacing w:after="0"/>
      </w:pPr>
      <w:r w:rsidRPr="00340A4B">
        <w:rPr>
          <w:szCs w:val="20"/>
        </w:rPr>
        <w:t xml:space="preserve">Adverse events from anti-hypertensive medication, such as </w:t>
      </w:r>
      <w:r w:rsidRPr="00340A4B">
        <w:t>orthostatic hypotension and related events including falls, hospital admissions and cardiovascular outcomes.</w:t>
      </w:r>
    </w:p>
    <w:p w14:paraId="1223CCC0" w14:textId="77777777" w:rsidR="00882EDD" w:rsidRPr="00882EDD" w:rsidRDefault="00882EDD" w:rsidP="00882EDD">
      <w:pPr>
        <w:pStyle w:val="ListParagraph"/>
        <w:numPr>
          <w:ilvl w:val="0"/>
          <w:numId w:val="38"/>
        </w:numPr>
        <w:spacing w:after="0"/>
      </w:pPr>
      <w:r w:rsidRPr="00061915">
        <w:t>Composite outcomes: Major adverse cardiovascular and cerebrovascular events (MAC</w:t>
      </w:r>
      <w:r w:rsidRPr="007A3548">
        <w:t>CE) or Major adverse cardiovascular events (MACE)</w:t>
      </w:r>
    </w:p>
    <w:p w14:paraId="0272A62A" w14:textId="77777777" w:rsidR="00882EDD" w:rsidRPr="00882EDD" w:rsidRDefault="00882EDD" w:rsidP="00882EDD">
      <w:pPr>
        <w:pStyle w:val="ListParagraph"/>
        <w:numPr>
          <w:ilvl w:val="0"/>
          <w:numId w:val="38"/>
        </w:numPr>
        <w:spacing w:after="0"/>
        <w:rPr>
          <w:szCs w:val="20"/>
        </w:rPr>
      </w:pPr>
      <w:r w:rsidRPr="00882EDD">
        <w:lastRenderedPageBreak/>
        <w:t>Cardiac events/conditions (eg. c</w:t>
      </w:r>
      <w:r w:rsidRPr="00882EDD">
        <w:rPr>
          <w:szCs w:val="20"/>
        </w:rPr>
        <w:t>oronary heart disease/myocardial infarction, stroke, heart failure/cardiomyopathy)</w:t>
      </w:r>
    </w:p>
    <w:p w14:paraId="035D5D86" w14:textId="77777777" w:rsidR="00882EDD" w:rsidRPr="00882EDD" w:rsidRDefault="00882EDD" w:rsidP="00882EDD">
      <w:pPr>
        <w:pStyle w:val="ListParagraph"/>
        <w:numPr>
          <w:ilvl w:val="0"/>
          <w:numId w:val="38"/>
        </w:numPr>
        <w:spacing w:after="0"/>
      </w:pPr>
      <w:r w:rsidRPr="00882EDD">
        <w:t>All-cause mortality</w:t>
      </w:r>
    </w:p>
    <w:p w14:paraId="2FD97D01" w14:textId="77777777" w:rsidR="00882EDD" w:rsidRPr="00882EDD" w:rsidRDefault="00882EDD" w:rsidP="00882EDD">
      <w:pPr>
        <w:pStyle w:val="ListParagraph"/>
        <w:numPr>
          <w:ilvl w:val="0"/>
          <w:numId w:val="38"/>
        </w:numPr>
        <w:spacing w:after="0"/>
      </w:pPr>
      <w:r w:rsidRPr="00882EDD">
        <w:t>Cardiovascular-specific mortality</w:t>
      </w:r>
    </w:p>
    <w:p w14:paraId="459D56FC" w14:textId="77777777" w:rsidR="00882EDD" w:rsidRPr="00882EDD" w:rsidRDefault="00882EDD" w:rsidP="00882EDD">
      <w:pPr>
        <w:pStyle w:val="ListParagraph"/>
        <w:numPr>
          <w:ilvl w:val="0"/>
          <w:numId w:val="38"/>
        </w:numPr>
        <w:spacing w:after="0"/>
        <w:rPr>
          <w:szCs w:val="20"/>
        </w:rPr>
      </w:pPr>
      <w:r w:rsidRPr="00882EDD">
        <w:t>Health-related quality of life</w:t>
      </w:r>
    </w:p>
    <w:p w14:paraId="7C4495FA" w14:textId="61551E26" w:rsidR="00882EDD" w:rsidRDefault="00882EDD" w:rsidP="00882EDD">
      <w:pPr>
        <w:spacing w:after="0"/>
        <w:ind w:left="56"/>
        <w:rPr>
          <w:szCs w:val="20"/>
          <w:highlight w:val="yellow"/>
        </w:rPr>
      </w:pPr>
    </w:p>
    <w:p w14:paraId="6E3A9B9E" w14:textId="77777777" w:rsidR="00882EDD" w:rsidRDefault="00882EDD" w:rsidP="00882EDD">
      <w:pPr>
        <w:spacing w:after="0"/>
      </w:pPr>
      <w:r>
        <w:t>Diagnostic accuracy (eg. sensitivity, specificity, Area Under the Curve (AUC), False Positives (FP), False Negatives (FN), True Positives (TP), True Negatives (TN))</w:t>
      </w:r>
    </w:p>
    <w:p w14:paraId="5970E9B8" w14:textId="77777777" w:rsidR="00882EDD" w:rsidRPr="00882EDD" w:rsidRDefault="00882EDD" w:rsidP="00882EDD">
      <w:pPr>
        <w:spacing w:after="0"/>
        <w:ind w:left="56"/>
        <w:rPr>
          <w:szCs w:val="20"/>
          <w:highlight w:val="yellow"/>
        </w:rPr>
      </w:pPr>
    </w:p>
    <w:p w14:paraId="5BC31248" w14:textId="77777777" w:rsidR="00882EDD" w:rsidRPr="0021276E" w:rsidRDefault="00882EDD" w:rsidP="00882EDD">
      <w:pPr>
        <w:spacing w:after="0"/>
        <w:rPr>
          <w:u w:val="single"/>
        </w:rPr>
      </w:pPr>
      <w:r w:rsidRPr="0021276E">
        <w:rPr>
          <w:u w:val="single"/>
        </w:rPr>
        <w:t>Safety</w:t>
      </w:r>
    </w:p>
    <w:p w14:paraId="65A13736" w14:textId="77777777" w:rsidR="00882EDD" w:rsidRPr="007A3548" w:rsidRDefault="00882EDD" w:rsidP="00882EDD">
      <w:pPr>
        <w:spacing w:after="0"/>
      </w:pPr>
      <w:r w:rsidRPr="007A3548">
        <w:t>Adverse effects of using ABPM such as; skin irritation, haematoma, sleep quality.</w:t>
      </w:r>
    </w:p>
    <w:p w14:paraId="74CFF166" w14:textId="77777777" w:rsidR="00882EDD" w:rsidRPr="00882EDD" w:rsidRDefault="00882EDD" w:rsidP="00882EDD">
      <w:pPr>
        <w:spacing w:after="0"/>
        <w:rPr>
          <w:highlight w:val="yellow"/>
        </w:rPr>
      </w:pPr>
    </w:p>
    <w:p w14:paraId="686CCDA3" w14:textId="77777777" w:rsidR="00882EDD" w:rsidRPr="00C73FAD" w:rsidRDefault="00882EDD" w:rsidP="00882EDD">
      <w:pPr>
        <w:spacing w:after="0"/>
        <w:rPr>
          <w:u w:val="single"/>
        </w:rPr>
      </w:pPr>
      <w:r w:rsidRPr="00C73FAD">
        <w:rPr>
          <w:u w:val="single"/>
        </w:rPr>
        <w:t>Cost-effectiveness</w:t>
      </w:r>
    </w:p>
    <w:p w14:paraId="3119E286" w14:textId="58D19DD7" w:rsidR="00882EDD" w:rsidRPr="00C73FAD" w:rsidRDefault="00882EDD" w:rsidP="00882EDD">
      <w:pPr>
        <w:pStyle w:val="ListParagraph"/>
        <w:numPr>
          <w:ilvl w:val="0"/>
          <w:numId w:val="38"/>
        </w:numPr>
        <w:spacing w:after="0"/>
      </w:pPr>
      <w:r w:rsidRPr="00C73FAD">
        <w:t>Cost of doctor consultation/s</w:t>
      </w:r>
    </w:p>
    <w:p w14:paraId="4913EF45" w14:textId="7CA137CA" w:rsidR="00882EDD" w:rsidRPr="00C73FAD" w:rsidRDefault="00882EDD" w:rsidP="00882EDD">
      <w:pPr>
        <w:pStyle w:val="ListParagraph"/>
        <w:numPr>
          <w:ilvl w:val="0"/>
          <w:numId w:val="38"/>
        </w:numPr>
        <w:spacing w:after="0"/>
      </w:pPr>
      <w:r w:rsidRPr="00C73FAD">
        <w:t>Cost of medication cost</w:t>
      </w:r>
    </w:p>
    <w:p w14:paraId="1CCEF393" w14:textId="4FE635CB" w:rsidR="00882EDD" w:rsidRPr="00C73FAD" w:rsidRDefault="00882EDD" w:rsidP="00882EDD">
      <w:pPr>
        <w:pStyle w:val="ListParagraph"/>
        <w:numPr>
          <w:ilvl w:val="0"/>
          <w:numId w:val="38"/>
        </w:numPr>
        <w:spacing w:after="0"/>
      </w:pPr>
      <w:r w:rsidRPr="00C73FAD">
        <w:t>Cost of treating adverse events resulting from medication including hypotension related events.</w:t>
      </w:r>
    </w:p>
    <w:p w14:paraId="4A630925" w14:textId="77777777" w:rsidR="00882EDD" w:rsidRPr="00C73FAD" w:rsidRDefault="00882EDD" w:rsidP="00882EDD">
      <w:pPr>
        <w:pStyle w:val="ListParagraph"/>
        <w:numPr>
          <w:ilvl w:val="0"/>
          <w:numId w:val="38"/>
        </w:numPr>
        <w:spacing w:after="0"/>
      </w:pPr>
      <w:r w:rsidRPr="00C73FAD">
        <w:t>Cost per life year gained</w:t>
      </w:r>
    </w:p>
    <w:p w14:paraId="5462B9DD" w14:textId="77777777" w:rsidR="00882EDD" w:rsidRPr="00C73FAD" w:rsidRDefault="00882EDD" w:rsidP="00882EDD">
      <w:pPr>
        <w:pStyle w:val="ListParagraph"/>
        <w:numPr>
          <w:ilvl w:val="0"/>
          <w:numId w:val="38"/>
        </w:numPr>
        <w:spacing w:after="0"/>
      </w:pPr>
      <w:r w:rsidRPr="00C73FAD">
        <w:t>Cost per quality-adjusted life year (QALY) gained</w:t>
      </w:r>
    </w:p>
    <w:p w14:paraId="6A8142ED" w14:textId="4DAA9EDD" w:rsidR="00882EDD" w:rsidRPr="00C73FAD" w:rsidRDefault="00882EDD" w:rsidP="00882EDD">
      <w:pPr>
        <w:pStyle w:val="ListParagraph"/>
        <w:numPr>
          <w:ilvl w:val="0"/>
          <w:numId w:val="38"/>
        </w:numPr>
        <w:spacing w:after="0"/>
      </w:pPr>
      <w:r w:rsidRPr="00C73FAD">
        <w:t>Cost of treating cardiac events/conditions</w:t>
      </w:r>
    </w:p>
    <w:p w14:paraId="787BF92E" w14:textId="294C5CCC" w:rsidR="00882EDD" w:rsidRPr="00C73FAD" w:rsidRDefault="00882EDD" w:rsidP="00882EDD">
      <w:pPr>
        <w:pStyle w:val="ListParagraph"/>
        <w:numPr>
          <w:ilvl w:val="0"/>
          <w:numId w:val="38"/>
        </w:numPr>
        <w:spacing w:after="0"/>
      </w:pPr>
      <w:r w:rsidRPr="00C73FAD">
        <w:t xml:space="preserve">Cost of treating cardiac events/conditions occuring in the 2-3 week period after confirmed diagnosis of Hypertension </w:t>
      </w:r>
    </w:p>
    <w:p w14:paraId="70615DAE" w14:textId="77777777" w:rsidR="003829EB" w:rsidRPr="00C73FAD" w:rsidRDefault="003829EB" w:rsidP="003829EB">
      <w:pPr>
        <w:spacing w:after="0"/>
        <w:jc w:val="both"/>
        <w:rPr>
          <w:u w:val="single"/>
        </w:rPr>
      </w:pPr>
    </w:p>
    <w:p w14:paraId="6253D18C" w14:textId="77777777" w:rsidR="003829EB" w:rsidRPr="003829EB" w:rsidRDefault="003829EB" w:rsidP="003829EB">
      <w:pPr>
        <w:spacing w:after="0"/>
        <w:jc w:val="both"/>
      </w:pPr>
      <w:r w:rsidRPr="00C73FAD">
        <w:t>Healthcare resources</w:t>
      </w:r>
    </w:p>
    <w:p w14:paraId="449AD315" w14:textId="77777777" w:rsidR="003829EB" w:rsidRPr="003829EB" w:rsidRDefault="003829EB" w:rsidP="003829EB">
      <w:pPr>
        <w:numPr>
          <w:ilvl w:val="0"/>
          <w:numId w:val="38"/>
        </w:numPr>
        <w:spacing w:after="0"/>
        <w:jc w:val="both"/>
      </w:pPr>
      <w:r w:rsidRPr="003829EB">
        <w:t>Cost of ABPM</w:t>
      </w:r>
    </w:p>
    <w:p w14:paraId="02A0A3B3" w14:textId="77777777" w:rsidR="003829EB" w:rsidRPr="003829EB" w:rsidRDefault="003829EB" w:rsidP="003829EB">
      <w:pPr>
        <w:numPr>
          <w:ilvl w:val="0"/>
          <w:numId w:val="38"/>
        </w:numPr>
        <w:spacing w:after="0"/>
        <w:jc w:val="both"/>
      </w:pPr>
      <w:r w:rsidRPr="003829EB">
        <w:t>Cost of clinical consultation/s</w:t>
      </w:r>
    </w:p>
    <w:p w14:paraId="67B4C00C" w14:textId="77777777" w:rsidR="003829EB" w:rsidRPr="003829EB" w:rsidRDefault="003829EB" w:rsidP="003829EB">
      <w:pPr>
        <w:numPr>
          <w:ilvl w:val="0"/>
          <w:numId w:val="38"/>
        </w:numPr>
        <w:spacing w:after="0"/>
        <w:jc w:val="both"/>
      </w:pPr>
      <w:r w:rsidRPr="003829EB">
        <w:t>Cost associated with changes in clinical management</w:t>
      </w:r>
    </w:p>
    <w:p w14:paraId="1C388B25" w14:textId="77777777" w:rsidR="003829EB" w:rsidRPr="003829EB" w:rsidRDefault="003829EB" w:rsidP="003829EB">
      <w:pPr>
        <w:spacing w:after="0"/>
        <w:jc w:val="both"/>
      </w:pPr>
      <w:r w:rsidRPr="003829EB">
        <w:t>Total Australian Government Healthcare costs</w:t>
      </w:r>
    </w:p>
    <w:p w14:paraId="403EBB72" w14:textId="77777777" w:rsidR="003829EB" w:rsidRPr="003829EB" w:rsidRDefault="003829EB" w:rsidP="003829EB">
      <w:pPr>
        <w:numPr>
          <w:ilvl w:val="0"/>
          <w:numId w:val="38"/>
        </w:numPr>
        <w:spacing w:after="0"/>
        <w:jc w:val="both"/>
      </w:pPr>
      <w:r w:rsidRPr="003829EB">
        <w:t>Total cost to the Medical Benefits Schedule (MBS)</w:t>
      </w:r>
    </w:p>
    <w:p w14:paraId="41A9D650" w14:textId="77777777" w:rsidR="003829EB" w:rsidRPr="003829EB" w:rsidRDefault="003829EB" w:rsidP="003829EB">
      <w:pPr>
        <w:numPr>
          <w:ilvl w:val="0"/>
          <w:numId w:val="38"/>
        </w:numPr>
        <w:spacing w:after="0"/>
        <w:jc w:val="both"/>
      </w:pPr>
      <w:r w:rsidRPr="003829EB">
        <w:t>Total cost to the Pharmaceutical Benefits Scheme (PBS)</w:t>
      </w:r>
    </w:p>
    <w:p w14:paraId="103E708D" w14:textId="7475B105" w:rsidR="00917C69" w:rsidRDefault="003829EB" w:rsidP="002B3338">
      <w:pPr>
        <w:rPr>
          <w:i/>
          <w:u w:val="single"/>
        </w:rPr>
      </w:pPr>
      <w:r w:rsidRPr="003829EB">
        <w:t>Total cost to other healthcare services</w:t>
      </w:r>
    </w:p>
    <w:p w14:paraId="0353AD5E" w14:textId="07C0F332" w:rsidR="00484B33" w:rsidRPr="00C96F25" w:rsidRDefault="00C96F25" w:rsidP="002B3338">
      <w:pPr>
        <w:rPr>
          <w:i/>
          <w:u w:val="single"/>
        </w:rPr>
      </w:pPr>
      <w:r>
        <w:rPr>
          <w:i/>
          <w:u w:val="single"/>
        </w:rPr>
        <w:t>Rationale</w:t>
      </w:r>
    </w:p>
    <w:p w14:paraId="77F34723" w14:textId="4661044D" w:rsidR="009C659D" w:rsidRPr="00C96F25" w:rsidRDefault="00DA2B57" w:rsidP="00665896">
      <w:pPr>
        <w:jc w:val="both"/>
      </w:pPr>
      <w:r>
        <w:t xml:space="preserve">CBPM, </w:t>
      </w:r>
      <w:r w:rsidR="00753726">
        <w:t xml:space="preserve">HBPM and ABPM </w:t>
      </w:r>
      <w:r w:rsidR="009C659D" w:rsidRPr="008C58B0">
        <w:t>all predict the risk of a car</w:t>
      </w:r>
      <w:r w:rsidR="00753726">
        <w:t>diovascular event; however, HBPM</w:t>
      </w:r>
      <w:r w:rsidR="009C659D" w:rsidRPr="008C58B0">
        <w:t xml:space="preserve"> and </w:t>
      </w:r>
      <w:r w:rsidR="00753726">
        <w:t>ABPM</w:t>
      </w:r>
      <w:r w:rsidR="009C659D" w:rsidRPr="008C58B0">
        <w:t xml:space="preserve"> are stronger predictors of adverse cardiovascular outcomes</w:t>
      </w:r>
      <w:r w:rsidR="009C659D" w:rsidRPr="001F3CB9">
        <w:t xml:space="preserve">, as out-of-clinic BP is </w:t>
      </w:r>
      <w:r w:rsidR="007264AD">
        <w:t xml:space="preserve">considered </w:t>
      </w:r>
      <w:r w:rsidR="009C659D" w:rsidRPr="001F3CB9">
        <w:t>a stronger predictor of outcome</w:t>
      </w:r>
      <w:r w:rsidR="00F5465D">
        <w:t xml:space="preserve"> </w:t>
      </w:r>
      <w:r w:rsidR="00543BF2">
        <w:fldChar w:fldCharType="begin"/>
      </w:r>
      <w:r w:rsidR="00543BF2">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fldChar w:fldCharType="separate"/>
      </w:r>
      <w:r w:rsidR="00543BF2">
        <w:rPr>
          <w:noProof/>
        </w:rPr>
        <w:t>(Gabb 2016)</w:t>
      </w:r>
      <w:r w:rsidR="00543BF2">
        <w:fldChar w:fldCharType="end"/>
      </w:r>
      <w:r w:rsidR="009C659D" w:rsidRPr="001F3CB9">
        <w:t>.</w:t>
      </w:r>
      <w:r w:rsidR="009C659D">
        <w:t xml:space="preserve"> However, it should be noted that the thresholds are different for diagnosis based on th</w:t>
      </w:r>
      <w:r w:rsidR="00C96F25">
        <w:t>e measure</w:t>
      </w:r>
      <w:r w:rsidR="00CB64A2">
        <w:t xml:space="preserve"> used, as shown in </w:t>
      </w:r>
      <w:r w:rsidR="00CB64A2">
        <w:fldChar w:fldCharType="begin"/>
      </w:r>
      <w:r w:rsidR="00CB64A2">
        <w:instrText xml:space="preserve"> REF _Ref1472862 \h </w:instrText>
      </w:r>
      <w:r w:rsidR="00CB64A2">
        <w:fldChar w:fldCharType="separate"/>
      </w:r>
      <w:r w:rsidR="00612F64">
        <w:t xml:space="preserve">Table </w:t>
      </w:r>
      <w:r w:rsidR="00612F64">
        <w:rPr>
          <w:noProof/>
        </w:rPr>
        <w:t>4</w:t>
      </w:r>
      <w:r w:rsidR="00CB64A2">
        <w:fldChar w:fldCharType="end"/>
      </w:r>
      <w:r w:rsidR="00CB64A2">
        <w:t>.</w:t>
      </w:r>
    </w:p>
    <w:p w14:paraId="6E1454EF" w14:textId="56FB04E7" w:rsidR="009C659D" w:rsidRDefault="009C659D" w:rsidP="009C659D">
      <w:pPr>
        <w:pStyle w:val="Caption"/>
      </w:pPr>
      <w:bookmarkStart w:id="8" w:name="_Ref1472862"/>
      <w:r>
        <w:lastRenderedPageBreak/>
        <w:t xml:space="preserve">Table </w:t>
      </w:r>
      <w:r>
        <w:fldChar w:fldCharType="begin"/>
      </w:r>
      <w:r>
        <w:instrText xml:space="preserve"> SEQ Table \* ARABIC </w:instrText>
      </w:r>
      <w:r>
        <w:fldChar w:fldCharType="separate"/>
      </w:r>
      <w:r w:rsidR="00612F64">
        <w:rPr>
          <w:noProof/>
        </w:rPr>
        <w:t>4</w:t>
      </w:r>
      <w:r>
        <w:fldChar w:fldCharType="end"/>
      </w:r>
      <w:bookmarkEnd w:id="8"/>
      <w:r>
        <w:t>: Criteria for diagnosis of hypertension using different methods</w:t>
      </w:r>
    </w:p>
    <w:p w14:paraId="3732AC4A" w14:textId="3238BBF5" w:rsidR="00831E67" w:rsidRPr="009F5E0F" w:rsidRDefault="009F5E0F" w:rsidP="00CB64A2">
      <w:pPr>
        <w:rPr>
          <w:i/>
        </w:rPr>
      </w:pPr>
      <w:r>
        <w:rPr>
          <w:i/>
          <w:noProof/>
          <w:lang w:eastAsia="en-AU"/>
        </w:rPr>
        <w:drawing>
          <wp:inline distT="0" distB="0" distL="0" distR="0" wp14:anchorId="40678AEF" wp14:editId="3538F84B">
            <wp:extent cx="6477000" cy="1271576"/>
            <wp:effectExtent l="0" t="0" r="0" b="5080"/>
            <wp:docPr id="12" name="Picture 12" descr="This table shows the criteria for diagnosis of hypertension using different methods" title="Criteria for diagnosis of hypertension using different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le 4.tif"/>
                    <pic:cNvPicPr/>
                  </pic:nvPicPr>
                  <pic:blipFill>
                    <a:blip r:embed="rId10">
                      <a:extLst>
                        <a:ext uri="{28A0092B-C50C-407E-A947-70E740481C1C}">
                          <a14:useLocalDpi xmlns:a14="http://schemas.microsoft.com/office/drawing/2010/main" val="0"/>
                        </a:ext>
                      </a:extLst>
                    </a:blip>
                    <a:stretch>
                      <a:fillRect/>
                    </a:stretch>
                  </pic:blipFill>
                  <pic:spPr>
                    <a:xfrm>
                      <a:off x="0" y="0"/>
                      <a:ext cx="6510535" cy="1278160"/>
                    </a:xfrm>
                    <a:prstGeom prst="rect">
                      <a:avLst/>
                    </a:prstGeom>
                  </pic:spPr>
                </pic:pic>
              </a:graphicData>
            </a:graphic>
          </wp:inline>
        </w:drawing>
      </w:r>
      <w:r w:rsidR="009C659D" w:rsidRPr="009F5E0F">
        <w:rPr>
          <w:sz w:val="16"/>
        </w:rPr>
        <w:t xml:space="preserve">Source: </w:t>
      </w:r>
      <w:r w:rsidR="00CB64A2" w:rsidRPr="009F5E0F">
        <w:rPr>
          <w:sz w:val="16"/>
        </w:rPr>
        <w:t>Australian guideline for the diagnosis and management of hypertension in adults — 2016</w:t>
      </w:r>
      <w:r>
        <w:rPr>
          <w:sz w:val="16"/>
        </w:rPr>
        <w:t xml:space="preserve"> </w:t>
      </w:r>
      <w:r w:rsidR="00543BF2">
        <w:rPr>
          <w:sz w:val="16"/>
        </w:rPr>
        <w:fldChar w:fldCharType="begin"/>
      </w:r>
      <w:r w:rsidR="00543BF2">
        <w:rPr>
          <w:sz w:val="16"/>
        </w:rPr>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rPr>
          <w:sz w:val="16"/>
        </w:rPr>
        <w:fldChar w:fldCharType="separate"/>
      </w:r>
      <w:r w:rsidR="00543BF2">
        <w:rPr>
          <w:noProof/>
          <w:sz w:val="16"/>
        </w:rPr>
        <w:t>(Gabb 2016)</w:t>
      </w:r>
      <w:r w:rsidR="00543BF2">
        <w:rPr>
          <w:sz w:val="16"/>
        </w:rPr>
        <w:fldChar w:fldCharType="end"/>
      </w:r>
      <w:r>
        <w:rPr>
          <w:sz w:val="16"/>
        </w:rPr>
        <w:t>.</w:t>
      </w:r>
    </w:p>
    <w:p w14:paraId="6FC8B2FE" w14:textId="0570E942" w:rsidR="00540C08" w:rsidRDefault="00BA665F" w:rsidP="00665896">
      <w:pPr>
        <w:spacing w:after="0"/>
        <w:jc w:val="both"/>
      </w:pPr>
      <w:r w:rsidRPr="00BA665F">
        <w:rPr>
          <w:szCs w:val="20"/>
        </w:rPr>
        <w:t>Canadian guidelines also specify</w:t>
      </w:r>
      <w:r w:rsidR="00A420C2">
        <w:rPr>
          <w:szCs w:val="20"/>
        </w:rPr>
        <w:t xml:space="preserve"> </w:t>
      </w:r>
      <w:r w:rsidRPr="00BA665F">
        <w:rPr>
          <w:szCs w:val="20"/>
        </w:rPr>
        <w:t>follow the same different thresholds as Australia for considering</w:t>
      </w:r>
      <w:r w:rsidR="00A420C2">
        <w:rPr>
          <w:szCs w:val="20"/>
        </w:rPr>
        <w:t xml:space="preserve"> </w:t>
      </w:r>
      <w:r w:rsidRPr="00BA665F">
        <w:rPr>
          <w:szCs w:val="20"/>
        </w:rPr>
        <w:t xml:space="preserve">for therapy adjustments for ABPM over 24 hours and daytime (awake). The Canadian guidelines also highlight the importance of changes in BP at night-time (asleep) in therapy decisions (Nerenberg KA, Harris KC et al. 2018). </w:t>
      </w:r>
      <w:r w:rsidR="00540C08">
        <w:t>Adverse effects of using ABPM have previously been reported such as; skin irritation,</w:t>
      </w:r>
      <w:r w:rsidR="00540C08" w:rsidRPr="00C42E43">
        <w:t xml:space="preserve"> haematoma and sleep quality </w:t>
      </w:r>
      <w:r w:rsidR="00543BF2">
        <w:fldChar w:fldCharType="begin"/>
      </w:r>
      <w:r w:rsidR="00543BF2">
        <w:instrText xml:space="preserve"> ADDIN EN.CITE &lt;EndNote&gt;&lt;Cite&gt;&lt;Author&gt;Beltman&lt;/Author&gt;&lt;Year&gt;1996&lt;/Year&gt;&lt;RecNum&gt;12&lt;/RecNum&gt;&lt;DisplayText&gt;(Beltman, Heesen et al. 1996)&lt;/DisplayText&gt;&lt;record&gt;&lt;rec-number&gt;12&lt;/rec-number&gt;&lt;foreign-keys&gt;&lt;key app="EN" db-id="s955atafr9wsseewttmxxz54fz925s0fvr2v" timestamp="1550545342"&gt;12&lt;/key&gt;&lt;/foreign-keys&gt;&lt;ref-type name="Journal Article"&gt;17&lt;/ref-type&gt;&lt;contributors&gt;&lt;authors&gt;&lt;author&gt;Beltman, F. W.&lt;/author&gt;&lt;author&gt;Heesen, W. F.&lt;/author&gt;&lt;author&gt;Smit, A. J.&lt;/author&gt;&lt;author&gt;May, J. F.&lt;/author&gt;&lt;author&gt;Lie, K. I.&lt;/author&gt;&lt;author&gt;Meyboom-de Jong, B.&lt;/author&gt;&lt;/authors&gt;&lt;/contributors&gt;&lt;auth-address&gt;Department of General Practice, University of Groningen, The Netherlands.&lt;/auth-address&gt;&lt;titles&gt;&lt;title&gt;Acceptance and side effects of ambulatory blood pressure monitoring: evaluation of a new technology&lt;/title&gt;&lt;secondary-title&gt;J Hum Hypertens&lt;/secondary-title&gt;&lt;alt-title&gt;Journal of human hypertension&lt;/alt-title&gt;&lt;/titles&gt;&lt;periodical&gt;&lt;full-title&gt;J Hum Hypertens&lt;/full-title&gt;&lt;abbr-1&gt;Journal of human hypertension&lt;/abbr-1&gt;&lt;/periodical&gt;&lt;alt-periodical&gt;&lt;full-title&gt;J Hum Hypertens&lt;/full-title&gt;&lt;abbr-1&gt;Journal of human hypertension&lt;/abbr-1&gt;&lt;/alt-periodical&gt;&lt;pages&gt;S39-42&lt;/pages&gt;&lt;volume&gt;10 Suppl 3&lt;/volume&gt;&lt;edition&gt;1996/09/01&lt;/edition&gt;&lt;keywords&gt;&lt;keyword&gt;Blood Pressure Monitoring, Ambulatory/*adverse effects&lt;/keyword&gt;&lt;keyword&gt;Evaluation Studies as Topic&lt;/keyword&gt;&lt;keyword&gt;Female&lt;/keyword&gt;&lt;keyword&gt;Humans&lt;/keyword&gt;&lt;keyword&gt;Male&lt;/keyword&gt;&lt;keyword&gt;Middle Aged&lt;/keyword&gt;&lt;keyword&gt;*Patient Acceptance of Health Care&lt;/keyword&gt;&lt;keyword&gt;Sleep Wake Disorders/etiology&lt;/keyword&gt;&lt;/keywords&gt;&lt;dates&gt;&lt;year&gt;1996&lt;/year&gt;&lt;pub-dates&gt;&lt;date&gt;Sep&lt;/date&gt;&lt;/pub-dates&gt;&lt;/dates&gt;&lt;isbn&gt;0950-9240 (Print)&amp;#xD;0950-9240&lt;/isbn&gt;&lt;accession-num&gt;8872824&lt;/accession-num&gt;&lt;urls&gt;&lt;/urls&gt;&lt;remote-database-provider&gt;NLM&lt;/remote-database-provider&gt;&lt;language&gt;eng&lt;/language&gt;&lt;/record&gt;&lt;/Cite&gt;&lt;/EndNote&gt;</w:instrText>
      </w:r>
      <w:r w:rsidR="00543BF2">
        <w:fldChar w:fldCharType="separate"/>
      </w:r>
      <w:r w:rsidR="00543BF2">
        <w:rPr>
          <w:noProof/>
        </w:rPr>
        <w:t>(Beltman, Heesen et al. 1996)</w:t>
      </w:r>
      <w:r w:rsidR="00543BF2">
        <w:fldChar w:fldCharType="end"/>
      </w:r>
    </w:p>
    <w:p w14:paraId="4BA5C62E" w14:textId="77777777" w:rsidR="00540C08" w:rsidRDefault="00540C08" w:rsidP="00665896">
      <w:pPr>
        <w:spacing w:after="0"/>
        <w:jc w:val="both"/>
      </w:pPr>
    </w:p>
    <w:p w14:paraId="13BE6CB4" w14:textId="0291945F" w:rsidR="00831E67" w:rsidRDefault="00831E67" w:rsidP="00665896">
      <w:pPr>
        <w:jc w:val="both"/>
      </w:pPr>
      <w:r w:rsidRPr="009C659D">
        <w:t>As per the Australian Guidelines</w:t>
      </w:r>
      <w:r w:rsidR="005550A3">
        <w:t xml:space="preserve"> </w:t>
      </w:r>
      <w:r w:rsidR="00543BF2">
        <w:fldChar w:fldCharType="begin"/>
      </w:r>
      <w:r w:rsidR="00543BF2">
        <w:instrText xml:space="preserve"> ADDIN EN.CITE &lt;EndNote&gt;&lt;Cite&gt;&lt;Author&gt;Gabb&lt;/Author&gt;&lt;Year&gt;2016&lt;/Year&gt;&lt;RecNum&gt;1&lt;/RecNum&gt;&lt;DisplayText&gt;(Gabb 2016, National Heart Foundation of Australia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Australia&lt;/publisher&gt;&lt;urls&gt;&lt;/urls&gt;&lt;/record&gt;&lt;/Cite&gt;&lt;Cite&gt;&lt;Author&gt;National Heart Foundation of Australia&lt;/Author&gt;&lt;Year&gt;2016&lt;/Year&gt;&lt;RecNum&gt;18&lt;/RecNum&gt;&lt;record&gt;&lt;rec-number&gt;18&lt;/rec-number&gt;&lt;foreign-keys&gt;&lt;key app="EN" db-id="s955atafr9wsseewttmxxz54fz925s0fvr2v" timestamp="1553579542"&gt;18&lt;/key&gt;&lt;/foreign-keys&gt;&lt;ref-type name="Report"&gt;27&lt;/ref-type&gt;&lt;contributors&gt;&lt;authors&gt;&lt;author&gt;National Heart Foundation of Australia,&lt;/author&gt;&lt;/authors&gt;&lt;/contributors&gt;&lt;titles&gt;&lt;title&gt;Guideline for the diagnosis and management of hypertension in adults - 2016.&lt;/title&gt;&lt;/titles&gt;&lt;dates&gt;&lt;year&gt;2016&lt;/year&gt;&lt;/dates&gt;&lt;pub-location&gt;Melbourne&lt;/pub-location&gt;&lt;publisher&gt;National Heart Foundation of Australia&lt;/publisher&gt;&lt;urls&gt;&lt;/urls&gt;&lt;/record&gt;&lt;/Cite&gt;&lt;/EndNote&gt;</w:instrText>
      </w:r>
      <w:r w:rsidR="00543BF2">
        <w:fldChar w:fldCharType="separate"/>
      </w:r>
      <w:r w:rsidR="00543BF2">
        <w:rPr>
          <w:noProof/>
        </w:rPr>
        <w:t>(Gabb 2016, National Heart Foundation of Australia 2016)</w:t>
      </w:r>
      <w:r w:rsidR="00543BF2">
        <w:fldChar w:fldCharType="end"/>
      </w:r>
      <w:r w:rsidRPr="009C659D">
        <w:t>, there are no specific contraindications to ABP monitoring</w:t>
      </w:r>
      <w:r w:rsidR="002C1B58">
        <w:t>;</w:t>
      </w:r>
      <w:r w:rsidRPr="009C659D">
        <w:t xml:space="preserve"> however, it is important that this test does</w:t>
      </w:r>
      <w:r w:rsidR="006502B9">
        <w:t xml:space="preserve"> no</w:t>
      </w:r>
      <w:r w:rsidRPr="009C659D">
        <w:t>t delay commencing drug therapy in patients with severe hypertension (</w:t>
      </w:r>
      <w:r w:rsidR="006502B9">
        <w:t>C</w:t>
      </w:r>
      <w:r w:rsidRPr="009C659D">
        <w:t>BP</w:t>
      </w:r>
      <w:r w:rsidR="006502B9">
        <w:t>M</w:t>
      </w:r>
      <w:r w:rsidRPr="009C659D">
        <w:t xml:space="preserve"> grade 3; defined as systolic BP ≥180 mmHg and/or diastolic BP ≥110 mmHg). </w:t>
      </w:r>
    </w:p>
    <w:p w14:paraId="7360211C" w14:textId="77777777" w:rsidR="008F05D4" w:rsidRPr="00D8272F" w:rsidRDefault="008F05D4" w:rsidP="008F05D4">
      <w:pPr>
        <w:spacing w:after="0"/>
        <w:jc w:val="both"/>
        <w:rPr>
          <w:highlight w:val="yellow"/>
        </w:rPr>
      </w:pPr>
    </w:p>
    <w:p w14:paraId="51BCF27E" w14:textId="4F0740FE" w:rsidR="00D63D60" w:rsidRDefault="00D63D60" w:rsidP="00831E67">
      <w:pPr>
        <w:rPr>
          <w:rFonts w:eastAsia="MS Gothic"/>
          <w:b/>
          <w:bCs/>
          <w:i/>
          <w:color w:val="548DD4"/>
          <w:szCs w:val="26"/>
          <w:u w:val="single"/>
        </w:rPr>
      </w:pPr>
      <w:r>
        <w:rPr>
          <w:color w:val="548DD4"/>
        </w:rPr>
        <w:br w:type="page"/>
      </w:r>
    </w:p>
    <w:p w14:paraId="58AFAE61" w14:textId="4687190C"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w:t>
      </w:r>
      <w:r w:rsidR="002E628A">
        <w:rPr>
          <w:color w:val="548DD4"/>
        </w:rPr>
        <w:t xml:space="preserve">and proposed (shaded)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47D8AC10" w14:textId="76748833" w:rsidR="00193144" w:rsidRPr="00A420C2" w:rsidRDefault="00193144" w:rsidP="00665896">
      <w:pPr>
        <w:jc w:val="both"/>
      </w:pPr>
      <w:r>
        <w:t>The clinical management algorithm (below) in</w:t>
      </w:r>
      <w:r w:rsidR="006726F4">
        <w:t xml:space="preserve"> is in line with the Australian guidelines and thresholds for diagnosis show in </w:t>
      </w:r>
      <w:r w:rsidR="006726F4" w:rsidRPr="006726F4">
        <w:t>Table 4</w:t>
      </w:r>
      <w:r w:rsidR="006726F4">
        <w:t xml:space="preserve"> above. The treatments provided following diagnosis of </w:t>
      </w:r>
      <w:r w:rsidR="009C2163">
        <w:t>grade</w:t>
      </w:r>
      <w:r w:rsidR="006726F4">
        <w:t xml:space="preserve"> 1 or </w:t>
      </w:r>
      <w:r w:rsidR="00E65A21">
        <w:t xml:space="preserve">grade </w:t>
      </w:r>
      <w:r w:rsidR="006726F4">
        <w:t>2 hypertensio</w:t>
      </w:r>
      <w:r w:rsidR="00E65A21">
        <w:t>n are a simplification of the treatment guidance, based on discussions at a teleconference with the department of health and the applicant.</w:t>
      </w:r>
    </w:p>
    <w:p w14:paraId="68B3892D" w14:textId="55681005" w:rsidR="00917C69" w:rsidRDefault="00917C69" w:rsidP="00357B08">
      <w:pPr>
        <w:rPr>
          <w:color w:val="548DD4"/>
        </w:rPr>
      </w:pPr>
    </w:p>
    <w:p w14:paraId="16211E3C" w14:textId="0E18AB00" w:rsidR="00E968F6" w:rsidRDefault="00402F40" w:rsidP="00E968F6">
      <w:pPr>
        <w:pStyle w:val="Heading2"/>
        <w:spacing w:line="240" w:lineRule="auto"/>
        <w:jc w:val="both"/>
        <w:rPr>
          <w:color w:val="548DD4"/>
        </w:rPr>
      </w:pPr>
      <w:r w:rsidRPr="00D8272F">
        <w:rPr>
          <w:noProof/>
          <w:color w:val="548DD4"/>
          <w:u w:val="none"/>
          <w:lang w:eastAsia="en-AU"/>
        </w:rPr>
        <w:drawing>
          <wp:inline distT="0" distB="0" distL="0" distR="0" wp14:anchorId="14CCD731" wp14:editId="53B252C4">
            <wp:extent cx="5730875" cy="4907915"/>
            <wp:effectExtent l="0" t="0" r="3175" b="0"/>
            <wp:docPr id="4" name="Picture 4" title="Diagram showing current an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4907915"/>
                    </a:xfrm>
                    <a:prstGeom prst="rect">
                      <a:avLst/>
                    </a:prstGeom>
                    <a:noFill/>
                  </pic:spPr>
                </pic:pic>
              </a:graphicData>
            </a:graphic>
          </wp:inline>
        </w:drawing>
      </w:r>
      <w:r w:rsidR="003E0382">
        <w:rPr>
          <w:color w:val="548DD4"/>
        </w:rPr>
        <w:t xml:space="preserve">Proposed </w:t>
      </w:r>
      <w:r w:rsidR="002B226C">
        <w:rPr>
          <w:color w:val="548DD4"/>
        </w:rPr>
        <w:t xml:space="preserve">economic </w:t>
      </w:r>
      <w:r w:rsidR="009E5295">
        <w:rPr>
          <w:color w:val="548DD4"/>
        </w:rPr>
        <w:t>evaluation</w:t>
      </w:r>
    </w:p>
    <w:p w14:paraId="6D030895" w14:textId="267CDE0A" w:rsidR="005550A3" w:rsidRDefault="00CB46CB" w:rsidP="00665896">
      <w:pPr>
        <w:spacing w:after="240"/>
        <w:jc w:val="both"/>
      </w:pPr>
      <w:r>
        <w:t xml:space="preserve">The clinical claim is that ABPM is non-inferior in safety and superior in clinical effectiveness to CBPM and HBPM. </w:t>
      </w:r>
      <w:r w:rsidR="00363954">
        <w:t>This is because HBPM</w:t>
      </w:r>
      <w:r w:rsidR="00363954" w:rsidRPr="008C58B0">
        <w:t xml:space="preserve"> and </w:t>
      </w:r>
      <w:r w:rsidR="00363954">
        <w:t>ABPM</w:t>
      </w:r>
      <w:r w:rsidR="00363954" w:rsidRPr="008C58B0">
        <w:t xml:space="preserve"> are stronger predictors of adverse cardiovascular outcomes</w:t>
      </w:r>
      <w:r w:rsidR="00363954" w:rsidRPr="001F3CB9">
        <w:t xml:space="preserve">, as out-of-clinic BP is </w:t>
      </w:r>
      <w:r w:rsidR="00363954">
        <w:t xml:space="preserve">considered </w:t>
      </w:r>
      <w:r w:rsidR="00363954" w:rsidRPr="001F3CB9">
        <w:t>a stronger predictor of outcome</w:t>
      </w:r>
      <w:r w:rsidR="005550A3">
        <w:t xml:space="preserve"> </w:t>
      </w:r>
      <w:r w:rsidR="00543BF2">
        <w:fldChar w:fldCharType="begin"/>
      </w:r>
      <w:r w:rsidR="00543BF2">
        <w:instrText xml:space="preserve"> ADDIN EN.CITE &lt;EndNote&gt;&lt;Cite&gt;&lt;Author&gt;Gabb&lt;/Author&gt;&lt;Year&gt;2016&lt;/Year&gt;&lt;RecNum&gt;1&lt;/RecNum&gt;&lt;DisplayText&gt;(Gabb 2016)&lt;/DisplayText&gt;&lt;record&gt;&lt;rec-number&gt;1&lt;/rec-number&gt;&lt;foreign-keys&gt;&lt;key app="EN" db-id="s955atafr9wsseewttmxxz54fz925s0fvr2v" timestamp="1550110112"&gt;1&lt;/key&gt;&lt;/foreign-keys&gt;&lt;ref-type name="Report"&gt;27&lt;/ref-type&gt;&lt;contributors&gt;&lt;authors&gt;&lt;author&gt;Gabb, Mangoni, Anderson, Cowley, Dowden, Golledge, Hankey, Howes, Leckie, Perkovic, Schlaich, Zwar, Medley, Arnolda&lt;/author&gt;&lt;/authors&gt;&lt;/contributors&gt;&lt;titles&gt;&lt;title&gt;Guideline for the diagnosis and management of hypertension in adults&lt;/title&gt;&lt;/titles&gt;&lt;dates&gt;&lt;year&gt;2016&lt;/year&gt;&lt;/dates&gt;&lt;publisher&gt;The National Heart Foundation of Australia&lt;/publisher&gt;&lt;urls&gt;&lt;/urls&gt;&lt;/record&gt;&lt;/Cite&gt;&lt;/EndNote&gt;</w:instrText>
      </w:r>
      <w:r w:rsidR="00543BF2">
        <w:fldChar w:fldCharType="separate"/>
      </w:r>
      <w:r w:rsidR="00543BF2">
        <w:rPr>
          <w:noProof/>
        </w:rPr>
        <w:t>(Gabb 2016)</w:t>
      </w:r>
      <w:r w:rsidR="00543BF2">
        <w:fldChar w:fldCharType="end"/>
      </w:r>
      <w:r w:rsidR="00363954" w:rsidRPr="001F3CB9">
        <w:t>.</w:t>
      </w:r>
      <w:r w:rsidR="00363954">
        <w:t xml:space="preserve"> Comparative prognostic and diagnostic evidence to this effect was provided in the application </w:t>
      </w:r>
      <w:r w:rsidR="00543BF2">
        <w:fldChar w:fldCharType="begin">
          <w:fldData xml:space="preserve">PEVuZE5vdGU+PENpdGU+PEF1dGhvcj5TZWdhPC9BdXRob3I+PFllYXI+MjAwNTwvWWVhcj48UmVj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YWw+PHBhZ2VzPjE3NzctODM8L3BhZ2VzPjx2b2x1bWU+MTExPC92b2x1bWU+PG51bWJlcj4xNDwv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</w:fldData>
        </w:fldChar>
      </w:r>
      <w:r w:rsidR="00543BF2">
        <w:instrText xml:space="preserve"> ADDIN EN.CITE </w:instrText>
      </w:r>
      <w:r w:rsidR="00543BF2">
        <w:fldChar w:fldCharType="begin">
          <w:fldData xml:space="preserve">PEVuZE5vdGU+PENpdGU+PEF1dGhvcj5TZWdhPC9BdXRob3I+PFllYXI+MjAwNTwvWWVhcj48UmVj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</w:fldData>
        </w:fldChar>
      </w:r>
      <w:r w:rsidR="00543BF2">
        <w:instrText xml:space="preserve"> ADDIN EN.CITE.DATA </w:instrText>
      </w:r>
      <w:r w:rsidR="00543BF2">
        <w:fldChar w:fldCharType="end"/>
      </w:r>
      <w:r w:rsidR="00543BF2">
        <w:fldChar w:fldCharType="separate"/>
      </w:r>
      <w:r w:rsidR="00543BF2">
        <w:rPr>
          <w:noProof/>
        </w:rPr>
        <w:t>(Sega, Facchetti et al. 2005, Fagard, Thijs et al. 2008, Hodgkinson, Mant et al. 2011)</w:t>
      </w:r>
      <w:r w:rsidR="00543BF2">
        <w:fldChar w:fldCharType="end"/>
      </w:r>
      <w:r w:rsidR="005550A3">
        <w:t>.</w:t>
      </w:r>
    </w:p>
    <w:p w14:paraId="6A3B341A" w14:textId="328D2186" w:rsidR="00817410" w:rsidRDefault="00CB46CB" w:rsidP="00817410">
      <w:pPr>
        <w:spacing w:after="240"/>
        <w:jc w:val="both"/>
      </w:pPr>
      <w:r>
        <w:t xml:space="preserve">According to the </w:t>
      </w:r>
      <w:r w:rsidRPr="00CA7658">
        <w:rPr>
          <w:i/>
        </w:rPr>
        <w:t>Technical Guidelines for preparing assessment reports for the Medical Services Advisory Committee</w:t>
      </w:r>
      <w:r>
        <w:rPr>
          <w:i/>
        </w:rPr>
        <w:t>: Investigative</w:t>
      </w:r>
      <w:r>
        <w:t xml:space="preserve"> the required economic analysis is therefore a cost-utility or a cost-effectiveness analysis.</w:t>
      </w:r>
      <w:r w:rsidR="00363954">
        <w:t xml:space="preserve"> An Australian cost analysis study, based on a model, was provided in the application, however this study was conducted in 2002</w:t>
      </w:r>
      <w:r w:rsidR="00543BF2">
        <w:fldChar w:fldCharType="begin"/>
      </w:r>
      <w:r w:rsidR="00543BF2">
        <w:instrText xml:space="preserve"> ADDIN EN.CITE &lt;EndNote&gt;&lt;Cite&gt;&lt;Author&gt;Ewald&lt;/Author&gt;&lt;Year&gt;2002&lt;/Year&gt;&lt;RecNum&gt;22&lt;/RecNum&gt;&lt;DisplayText&gt;(Ewald and Pekarsky 2002)&lt;/DisplayText&gt;&lt;record&gt;&lt;rec-number&gt;22&lt;/rec-number&gt;&lt;foreign-keys&gt;&lt;key app="EN" db-id="s955atafr9wsseewttmxxz54fz925s0fvr2v" timestamp="1553586693"&gt;22&lt;/key&gt;&lt;/foreign-keys&gt;&lt;ref-type name="Journal Article"&gt;17&lt;/ref-type&gt;&lt;contributors&gt;&lt;authors&gt;&lt;author&gt;Ewald, B.&lt;/author&gt;&lt;author&gt;Pekarsky, B.&lt;/author&gt;&lt;/authors&gt;&lt;/contributors&gt;&lt;auth-address&gt;Central Australian Division of General Practice, Alice Springs, NT. bewald@cceb.newcastle.edu.au&lt;/auth-address&gt;&lt;titles&gt;&lt;title&gt;Cost analysis of ambulatory blood pressure monitoring in initiating antihypertensive drug treatment in Australian general practice&lt;/title&gt;&lt;secondary-title&gt;Med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Australia&lt;/abbr-1&gt;&lt;/alt-periodical&gt;&lt;pages&gt;580-3&lt;/pages&gt;&lt;volume&gt;176&lt;/volume&gt;&lt;number&gt;12&lt;/number&gt;&lt;edition&gt;2002/06/18&lt;/edition&gt;&lt;keywords&gt;&lt;keyword&gt;Antihypertensive Agents/*economics/therapeutic use&lt;/keyword&gt;&lt;keyword&gt;Australia&lt;/keyword&gt;&lt;keyword&gt;Blood Pressure Monitoring, Ambulatory/*economics&lt;/keyword&gt;&lt;keyword&gt;Costs and Cost Analysis&lt;/keyword&gt;&lt;keyword&gt;Family Practice/economics&lt;/keyword&gt;&lt;keyword&gt;Female&lt;/keyword&gt;&lt;keyword&gt;*Health Care Costs&lt;/keyword&gt;&lt;keyword&gt;Humans&lt;/keyword&gt;&lt;keyword&gt;Hypertension/diagnosis/drug therapy/*economics&lt;/keyword&gt;&lt;keyword&gt;Male&lt;/keyword&gt;&lt;keyword&gt;Models, Economic&lt;/keyword&gt;&lt;/keywords&gt;&lt;dates&gt;&lt;year&gt;2002&lt;/year&gt;&lt;pub-dates&gt;&lt;date&gt;Jun 17&lt;/date&gt;&lt;/pub-dates&gt;&lt;/dates&gt;&lt;isbn&gt;0025-729X (Print)&amp;#xD;0025-729x&lt;/isbn&gt;&lt;accession-num&gt;12064956&lt;/accession-num&gt;&lt;urls&gt;&lt;/urls&gt;&lt;remote-database-provider&gt;NLM&lt;/remote-database-provider&gt;&lt;language&gt;eng&lt;/language&gt;&lt;/record&gt;&lt;/Cite&gt;&lt;/EndNote&gt;</w:instrText>
      </w:r>
      <w:r w:rsidR="00543BF2">
        <w:fldChar w:fldCharType="separate"/>
      </w:r>
      <w:r w:rsidR="00543BF2">
        <w:rPr>
          <w:noProof/>
        </w:rPr>
        <w:t>(Ewald and Pekarsky 2002)</w:t>
      </w:r>
      <w:r w:rsidR="00543BF2">
        <w:fldChar w:fldCharType="end"/>
      </w:r>
      <w:r w:rsidR="00363954">
        <w:t>. The 2011 NICE guideline conducted an original cost-utility analysis comparing CBPM, HBPM and ABPM</w:t>
      </w:r>
      <w:r w:rsidR="00591ADA">
        <w:t xml:space="preserve"> that</w:t>
      </w:r>
      <w:r w:rsidR="00C73FAD">
        <w:t xml:space="preserve"> </w:t>
      </w:r>
      <w:r w:rsidR="00FB77C0">
        <w:t xml:space="preserve">may </w:t>
      </w:r>
      <w:r w:rsidR="00591ADA">
        <w:t>be</w:t>
      </w:r>
      <w:r w:rsidR="00C73FAD">
        <w:t xml:space="preserve"> </w:t>
      </w:r>
      <w:r w:rsidR="00FB77C0">
        <w:lastRenderedPageBreak/>
        <w:t xml:space="preserve">useful to guide the modelling of this proposed assessment </w:t>
      </w:r>
      <w:r w:rsidR="00543BF2">
        <w:fldChar w:fldCharType="begin"/>
      </w:r>
      <w:r w:rsidR="00543BF2">
        <w:instrText xml:space="preserve"> ADDIN EN.CITE &lt;EndNote&gt;&lt;Cite&gt;&lt;Author&gt;NICE&lt;/Author&gt;&lt;Year&gt;2011&lt;/Year&gt;&lt;RecNum&gt;4&lt;/RecNum&gt;&lt;DisplayText&gt;(NICE 2011)&lt;/DisplayText&gt;&lt;record&gt;&lt;rec-number&gt;4&lt;/rec-number&gt;&lt;foreign-keys&gt;&lt;key app="EN" db-id="s955atafr9wsseewttmxxz54fz925s0fvr2v" timestamp="1550465134"&gt;4&lt;/key&gt;&lt;/foreign-keys&gt;&lt;ref-type name="Report"&gt;27&lt;/ref-type&gt;&lt;contributors&gt;&lt;authors&gt;&lt;author&gt;NICE&lt;/author&gt;&lt;/authors&gt;&lt;/contributors&gt;&lt;titles&gt;&lt;title&gt;Hypertension in adults: diagnosis and management. Clinical guideline [CG127]&lt;/title&gt;&lt;/titles&gt;&lt;dates&gt;&lt;year&gt;2011&lt;/year&gt;&lt;/dates&gt;&lt;pub-location&gt;Manchester, UK&lt;/pub-location&gt;&lt;publisher&gt;National Institute of Health and Care Excellence&lt;/publisher&gt;&lt;urls&gt;&lt;related-urls&gt;&lt;url&gt;https://www.nice.org.uk/guidance/cg127&lt;/url&gt;&lt;/related-urls&gt;&lt;/urls&gt;&lt;/record&gt;&lt;/Cite&gt;&lt;/EndNote&gt;</w:instrText>
      </w:r>
      <w:r w:rsidR="00543BF2">
        <w:fldChar w:fldCharType="separate"/>
      </w:r>
      <w:r w:rsidR="00543BF2">
        <w:rPr>
          <w:noProof/>
        </w:rPr>
        <w:t>(NICE 2011)</w:t>
      </w:r>
      <w:r w:rsidR="00543BF2">
        <w:fldChar w:fldCharType="end"/>
      </w:r>
      <w:r w:rsidR="005550A3">
        <w:t>.</w:t>
      </w:r>
      <w:r w:rsidR="00817410">
        <w:t xml:space="preserve"> However, this analysis is </w:t>
      </w:r>
      <w:r w:rsidR="00C52DC9">
        <w:br/>
      </w:r>
      <w:r w:rsidR="00817410">
        <w:t>UK</w:t>
      </w:r>
      <w:r w:rsidR="00C73FAD">
        <w:t>-</w:t>
      </w:r>
      <w:r w:rsidR="00817410">
        <w:t xml:space="preserve">specific and provides recommendations for </w:t>
      </w:r>
      <w:r w:rsidR="00C52DC9">
        <w:t xml:space="preserve">the NHS; </w:t>
      </w:r>
      <w:r w:rsidR="00817410">
        <w:t xml:space="preserve">therefore the results do not </w:t>
      </w:r>
      <w:r w:rsidR="00C52DC9">
        <w:t xml:space="preserve">apply directly </w:t>
      </w:r>
      <w:r w:rsidR="00817410">
        <w:t xml:space="preserve">to the Australian context </w:t>
      </w:r>
      <w:r w:rsidR="00C52DC9">
        <w:t xml:space="preserve">or </w:t>
      </w:r>
      <w:r w:rsidR="00817410">
        <w:t>MBS</w:t>
      </w:r>
      <w:r w:rsidR="00817410" w:rsidRPr="00C73FAD">
        <w:t>.</w:t>
      </w:r>
      <w:r w:rsidR="000F406B" w:rsidRPr="00C73FAD">
        <w:t xml:space="preserve"> </w:t>
      </w:r>
      <w:r w:rsidR="00033D86" w:rsidRPr="00C73FAD">
        <w:t xml:space="preserve">The proposed economic model should include an examination of business and service delivery models (including proposed venue/location). </w:t>
      </w:r>
      <w:r w:rsidR="00591ADA" w:rsidRPr="00C73FAD">
        <w:t xml:space="preserve">The 2011 NICE guideline’s </w:t>
      </w:r>
      <w:r w:rsidR="00817410" w:rsidRPr="00C73FAD">
        <w:t xml:space="preserve">original cost-utility analysis </w:t>
      </w:r>
      <w:r w:rsidR="00591ADA" w:rsidRPr="00C73FAD">
        <w:t>stated their conclusions</w:t>
      </w:r>
      <w:r w:rsidR="00817410" w:rsidRPr="00C73FAD">
        <w:t xml:space="preserve"> as follows: “This analysis</w:t>
      </w:r>
      <w:r w:rsidR="00817410">
        <w:t xml:space="preserve"> suggests that ABPM is the most cost-effective method of confirming a diagnosis of hypertension in a population suspected of having hypertension based a CBPM screening measurement &gt;140/90 mmHg, compared with further CBPM or HBPM. This conclusion was consistent across a range of age/gender stratified subgroups. Uncertainties in the analysis were explored through extensive sensitive analysis which in most cases did not change conclusions.”</w:t>
      </w:r>
    </w:p>
    <w:p w14:paraId="13BB4CD0" w14:textId="77777777" w:rsidR="00591ADA" w:rsidRPr="00591ADA" w:rsidRDefault="00817410" w:rsidP="00817410">
      <w:pPr>
        <w:spacing w:after="240"/>
        <w:jc w:val="both"/>
      </w:pPr>
      <w:r>
        <w:t>The NICE guideline</w:t>
      </w:r>
      <w:r w:rsidR="00591ADA">
        <w:t>’s</w:t>
      </w:r>
      <w:r w:rsidR="00591ADA" w:rsidRPr="00591ADA">
        <w:t xml:space="preserve"> </w:t>
      </w:r>
      <w:r w:rsidR="00591ADA">
        <w:t>original cost-utility analysis</w:t>
      </w:r>
      <w:r>
        <w:t xml:space="preserve"> also stated that patients </w:t>
      </w:r>
      <w:r w:rsidR="00591ADA">
        <w:t>may</w:t>
      </w:r>
      <w:r>
        <w:t xml:space="preserve"> be diagnosed faster </w:t>
      </w:r>
      <w:r w:rsidR="00591ADA">
        <w:t xml:space="preserve">with ABPM </w:t>
      </w:r>
      <w:r>
        <w:t xml:space="preserve">than a diagnosis with CBPM. </w:t>
      </w:r>
      <w:r w:rsidR="00591ADA">
        <w:t xml:space="preserve">A faster diagnosis could impact the number of doctor consultations, medications prescribed and need to treat adverse events resulting from medication including hypotension related events, which all have associated costs. Therefore, it would be useful for the current proposed assessment to investigate these as potential inputs in the model. </w:t>
      </w:r>
      <w:r>
        <w:t xml:space="preserve">Additionally, it may be worth investigating if there are any </w:t>
      </w:r>
      <w:r w:rsidR="00591ADA">
        <w:t>differences in</w:t>
      </w:r>
      <w:r>
        <w:t xml:space="preserve"> cost of treating potential cardiac events/conditions that could occur in the 2-3 week period that the patient may be waiting for a </w:t>
      </w:r>
      <w:r w:rsidRPr="00591ADA">
        <w:t xml:space="preserve">confirmed diagnosis </w:t>
      </w:r>
      <w:r w:rsidR="00591ADA" w:rsidRPr="00591ADA">
        <w:t>of h</w:t>
      </w:r>
      <w:r w:rsidRPr="00591ADA">
        <w:t xml:space="preserve">ypertension. </w:t>
      </w:r>
    </w:p>
    <w:p w14:paraId="6A695DFB" w14:textId="4839A29F" w:rsidR="00817410" w:rsidRDefault="00591ADA" w:rsidP="008A1546">
      <w:pPr>
        <w:spacing w:after="240"/>
        <w:jc w:val="both"/>
      </w:pPr>
      <w:r w:rsidRPr="00591ADA">
        <w:t xml:space="preserve">If the evidence identified in the proposed assessment shows a difference </w:t>
      </w:r>
      <w:r>
        <w:t xml:space="preserve">in </w:t>
      </w:r>
      <w:r w:rsidRPr="008A1546">
        <w:t>cardiovascular disease (CVD)</w:t>
      </w:r>
      <w:r w:rsidRPr="00591ADA">
        <w:t xml:space="preserve"> as a consequence of a more accurate diagnosis and therefore a more targeted treatment plan (eg, timing of medication throughout the day), then this costs </w:t>
      </w:r>
      <w:r w:rsidR="00092664">
        <w:t>should</w:t>
      </w:r>
      <w:r w:rsidRPr="00591ADA">
        <w:t xml:space="preserve"> be considered as part of the </w:t>
      </w:r>
      <w:r w:rsidR="00092664">
        <w:t xml:space="preserve">proposed economic </w:t>
      </w:r>
      <w:r w:rsidRPr="00591ADA">
        <w:t>analysis.</w:t>
      </w:r>
      <w:r>
        <w:t xml:space="preserve"> It should be noted that the</w:t>
      </w:r>
      <w:r w:rsidR="00817410">
        <w:t xml:space="preserve"> NICE cost-utility analysis reported a sensitivity analysis where cardiovascular risk reduction was applied to those correctly and incorrectly diagnosed</w:t>
      </w:r>
      <w:r>
        <w:t xml:space="preserve">, in which case CBPM was more cost-effective. </w:t>
      </w:r>
    </w:p>
    <w:p w14:paraId="69C57E69" w14:textId="1D167A7F" w:rsidR="00752491" w:rsidRDefault="00752491" w:rsidP="00752491">
      <w:pPr>
        <w:pStyle w:val="Heading2"/>
        <w:spacing w:line="240" w:lineRule="auto"/>
        <w:jc w:val="both"/>
        <w:rPr>
          <w:color w:val="548DD4"/>
        </w:rPr>
      </w:pPr>
      <w:r>
        <w:rPr>
          <w:color w:val="548DD4"/>
        </w:rPr>
        <w:t>Proposed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04CDD083" w14:textId="77777777" w:rsidTr="00241D12">
        <w:trPr>
          <w:cantSplit/>
          <w:tblHeader/>
        </w:trPr>
        <w:tc>
          <w:tcPr>
            <w:tcW w:w="9016" w:type="dxa"/>
          </w:tcPr>
          <w:p w14:paraId="6C1E8EB7" w14:textId="77777777" w:rsidR="00C878A6" w:rsidRPr="00216F7B" w:rsidRDefault="008C3E5E" w:rsidP="00667712">
            <w:r w:rsidRPr="00DE3D6C">
              <w:t xml:space="preserve">Category </w:t>
            </w:r>
            <w:r w:rsidR="00C878A6">
              <w:t xml:space="preserve">2 </w:t>
            </w:r>
            <w:r w:rsidR="00C878A6" w:rsidRPr="00216F7B">
              <w:t xml:space="preserve">DIAGNOSTIC PROCEDURES AND </w:t>
            </w:r>
            <w:r w:rsidR="00C878A6" w:rsidRPr="003A7AE9">
              <w:t xml:space="preserve">INVESTIGATIONS </w:t>
            </w:r>
            <w:r w:rsidRPr="003A7AE9">
              <w:t xml:space="preserve">– </w:t>
            </w:r>
            <w:r w:rsidR="00C878A6" w:rsidRPr="003A7AE9">
              <w:t>Group</w:t>
            </w:r>
            <w:r w:rsidR="00C878A6" w:rsidRPr="00216F7B">
              <w:t xml:space="preserve"> D1 - Misce</w:t>
            </w:r>
            <w:r w:rsidR="00C878A6">
              <w:t>llaneous Diagnostic Procedures a</w:t>
            </w:r>
            <w:r w:rsidR="00C878A6" w:rsidRPr="00216F7B">
              <w:t>nd Investigations</w:t>
            </w:r>
          </w:p>
          <w:p w14:paraId="11946405" w14:textId="66C9F08F" w:rsidR="008C3E5E" w:rsidRPr="00DE3D6C" w:rsidRDefault="008C3E5E" w:rsidP="00667712"/>
        </w:tc>
      </w:tr>
      <w:tr w:rsidR="008C3E5E" w:rsidRPr="00895BCC" w14:paraId="1DAAAA51" w14:textId="77777777" w:rsidTr="00241D12">
        <w:trPr>
          <w:cantSplit/>
          <w:tblHeader/>
        </w:trPr>
        <w:tc>
          <w:tcPr>
            <w:tcW w:w="9016" w:type="dxa"/>
          </w:tcPr>
          <w:p w14:paraId="14400510" w14:textId="77777777" w:rsidR="00C878A6" w:rsidRPr="00295AD6" w:rsidRDefault="00C878A6" w:rsidP="00667712">
            <w:pPr>
              <w:rPr>
                <w:u w:val="single"/>
              </w:rPr>
            </w:pPr>
            <w:r w:rsidRPr="00295AD6">
              <w:rPr>
                <w:u w:val="single"/>
              </w:rPr>
              <w:t>MBS Item 116XX</w:t>
            </w:r>
          </w:p>
          <w:p w14:paraId="451E5DAF" w14:textId="5E71CF9D" w:rsidR="006101AB" w:rsidRDefault="00C878A6" w:rsidP="00667712">
            <w:r w:rsidRPr="00216F7B">
              <w:t xml:space="preserve">Continuous blood pressure recording of ambulatory </w:t>
            </w:r>
            <w:r w:rsidR="00961A41">
              <w:t xml:space="preserve">adult </w:t>
            </w:r>
            <w:r w:rsidRPr="00216F7B">
              <w:t>patient for 24 or more hours</w:t>
            </w:r>
            <w:r w:rsidR="00402F40" w:rsidRPr="00402F40">
              <w:t xml:space="preserve"> (not in association with ambulatory ECG monitoring)</w:t>
            </w:r>
            <w:r w:rsidR="00C52DC9">
              <w:t>,</w:t>
            </w:r>
            <w:r w:rsidR="00402F40" w:rsidRPr="00402F40">
              <w:t xml:space="preserve"> </w:t>
            </w:r>
            <w:r w:rsidR="00402F40">
              <w:t>with</w:t>
            </w:r>
            <w:r w:rsidR="00402F40" w:rsidRPr="00216F7B">
              <w:t xml:space="preserve"> </w:t>
            </w:r>
            <w:r w:rsidR="00C52DC9">
              <w:t xml:space="preserve">resting blood pressure and </w:t>
            </w:r>
            <w:r w:rsidRPr="00216F7B">
              <w:t xml:space="preserve">recording of parameters, </w:t>
            </w:r>
            <w:r w:rsidR="00402F40">
              <w:t>using</w:t>
            </w:r>
            <w:r w:rsidR="00402F40" w:rsidRPr="00216F7B">
              <w:t xml:space="preserve"> </w:t>
            </w:r>
            <w:r w:rsidRPr="00216F7B">
              <w:t>microprocessor</w:t>
            </w:r>
            <w:r w:rsidR="006101AB">
              <w:t>-</w:t>
            </w:r>
            <w:r w:rsidRPr="00216F7B">
              <w:t xml:space="preserve">based analysis equipment, </w:t>
            </w:r>
            <w:r w:rsidR="00C52DC9">
              <w:t xml:space="preserve">with </w:t>
            </w:r>
            <w:r w:rsidRPr="00216F7B">
              <w:t>interpretation and report</w:t>
            </w:r>
            <w:r w:rsidR="00C52DC9">
              <w:t>ing</w:t>
            </w:r>
            <w:r w:rsidRPr="00216F7B">
              <w:t xml:space="preserve"> </w:t>
            </w:r>
            <w:r w:rsidRPr="000A35E7">
              <w:t xml:space="preserve">of recordings by a </w:t>
            </w:r>
            <w:r w:rsidR="00402F40">
              <w:t>medical</w:t>
            </w:r>
            <w:r w:rsidR="00402F40" w:rsidRPr="000A35E7">
              <w:t xml:space="preserve"> </w:t>
            </w:r>
            <w:r w:rsidRPr="000A35E7">
              <w:t>practitioner</w:t>
            </w:r>
            <w:r w:rsidR="006101AB">
              <w:t>,</w:t>
            </w:r>
            <w:r w:rsidRPr="000A35E7">
              <w:t xml:space="preserve"> </w:t>
            </w:r>
            <w:r w:rsidR="00402F40">
              <w:t>together with a treatment plan.</w:t>
            </w:r>
            <w:r w:rsidR="00402F40" w:rsidRPr="00402F40">
              <w:t xml:space="preserve"> </w:t>
            </w:r>
          </w:p>
          <w:p w14:paraId="09823950" w14:textId="77777777" w:rsidR="006101AB" w:rsidRDefault="006101AB" w:rsidP="00667712"/>
          <w:p w14:paraId="770EF8F9" w14:textId="36AF98B5" w:rsidR="00C878A6" w:rsidRDefault="00402F40" w:rsidP="00667712">
            <w:r w:rsidRPr="00402F40">
              <w:t xml:space="preserve">For a patient who has a clinic blood pressure measurement (CBPM) of: systolic blood pressure between ≥140 to </w:t>
            </w:r>
            <w:r w:rsidR="009D24BE">
              <w:t>≤</w:t>
            </w:r>
            <w:r w:rsidRPr="00402F40">
              <w:t>180 mmHg, and diastolic blood pressure between 90 to ≤110mmHg, using a sphygmomanometer, and who has not yet commenced anti-hypertensive therapy</w:t>
            </w:r>
            <w:r>
              <w:t>.</w:t>
            </w:r>
          </w:p>
          <w:p w14:paraId="6AEB04B5" w14:textId="77777777" w:rsidR="00402F40" w:rsidRPr="000A35E7" w:rsidRDefault="00402F40" w:rsidP="00667712"/>
          <w:p w14:paraId="69F2C687" w14:textId="52A79874" w:rsidR="00C878A6" w:rsidRPr="00216F7B" w:rsidRDefault="00C878A6" w:rsidP="00667712">
            <w:r w:rsidRPr="00216F7B">
              <w:t>Max</w:t>
            </w:r>
            <w:r w:rsidR="00C52DC9">
              <w:t>imum</w:t>
            </w:r>
            <w:r w:rsidRPr="00216F7B">
              <w:t xml:space="preserve"> </w:t>
            </w:r>
            <w:r w:rsidR="00185DEC">
              <w:t>one</w:t>
            </w:r>
            <w:r w:rsidR="00185DEC" w:rsidRPr="00216F7B">
              <w:t xml:space="preserve"> </w:t>
            </w:r>
            <w:r w:rsidRPr="00216F7B">
              <w:t>time per year</w:t>
            </w:r>
          </w:p>
          <w:p w14:paraId="2B524650" w14:textId="77777777" w:rsidR="008C3E5E" w:rsidRPr="00895BCC" w:rsidRDefault="008C3E5E" w:rsidP="00667712">
            <w:pPr>
              <w:rPr>
                <w:u w:color="FF0000"/>
              </w:rPr>
            </w:pPr>
          </w:p>
          <w:p w14:paraId="0E604102" w14:textId="257774EA" w:rsidR="008C3E5E" w:rsidRPr="00895BCC" w:rsidRDefault="006101AB" w:rsidP="00C52DC9">
            <w:pPr>
              <w:rPr>
                <w:u w:color="FF0000"/>
              </w:rPr>
            </w:pPr>
            <w:r>
              <w:rPr>
                <w:u w:color="FF0000"/>
              </w:rPr>
              <w:t xml:space="preserve">MBS </w:t>
            </w:r>
            <w:r w:rsidR="008C3E5E" w:rsidRPr="00A43EF8">
              <w:rPr>
                <w:u w:color="FF0000"/>
              </w:rPr>
              <w:t xml:space="preserve">Fee: </w:t>
            </w:r>
            <w:r w:rsidR="000656BF" w:rsidRPr="00A43EF8">
              <w:rPr>
                <w:u w:color="FF0000"/>
              </w:rPr>
              <w:t>$1</w:t>
            </w:r>
            <w:r w:rsidR="00A43EF8">
              <w:rPr>
                <w:u w:color="FF0000"/>
              </w:rPr>
              <w:t>06.10</w:t>
            </w:r>
            <w:r w:rsidR="00402F40">
              <w:rPr>
                <w:u w:color="FF0000"/>
              </w:rPr>
              <w:t xml:space="preserve"> </w:t>
            </w:r>
          </w:p>
        </w:tc>
      </w:tr>
    </w:tbl>
    <w:p w14:paraId="2D6E437D" w14:textId="77777777" w:rsidR="001772F7" w:rsidRDefault="001772F7" w:rsidP="00E364F7"/>
    <w:p w14:paraId="6FA0ED34" w14:textId="066A600C" w:rsidR="00D33AE9" w:rsidRPr="006101AB" w:rsidRDefault="00F75A6B" w:rsidP="006101AB">
      <w:pPr>
        <w:pStyle w:val="Heading2"/>
        <w:spacing w:after="240" w:line="240" w:lineRule="auto"/>
        <w:jc w:val="both"/>
        <w:rPr>
          <w:i w:val="0"/>
          <w:color w:val="548DD4"/>
        </w:rPr>
      </w:pPr>
      <w:r w:rsidRPr="006101AB">
        <w:rPr>
          <w:i w:val="0"/>
          <w:color w:val="548DD4"/>
        </w:rPr>
        <w:lastRenderedPageBreak/>
        <w:t xml:space="preserve">Additional justifications </w:t>
      </w:r>
      <w:r w:rsidR="00A60B45" w:rsidRPr="006101AB">
        <w:rPr>
          <w:i w:val="0"/>
          <w:color w:val="548DD4"/>
        </w:rPr>
        <w:t xml:space="preserve">by </w:t>
      </w:r>
      <w:r w:rsidR="00D0771F">
        <w:rPr>
          <w:i w:val="0"/>
          <w:color w:val="548DD4"/>
        </w:rPr>
        <w:t xml:space="preserve">the </w:t>
      </w:r>
      <w:r w:rsidR="00A60B45" w:rsidRPr="006101AB">
        <w:rPr>
          <w:i w:val="0"/>
          <w:color w:val="548DD4"/>
        </w:rPr>
        <w:t>applicant</w:t>
      </w:r>
      <w:r w:rsidR="006101AB" w:rsidRPr="006101AB">
        <w:rPr>
          <w:i w:val="0"/>
          <w:color w:val="548DD4"/>
        </w:rPr>
        <w:t>, as</w:t>
      </w:r>
      <w:r w:rsidR="00A60B45" w:rsidRPr="006101AB">
        <w:rPr>
          <w:i w:val="0"/>
          <w:color w:val="548DD4"/>
        </w:rPr>
        <w:t xml:space="preserve"> </w:t>
      </w:r>
      <w:r w:rsidRPr="006101AB">
        <w:rPr>
          <w:i w:val="0"/>
          <w:color w:val="548DD4"/>
        </w:rPr>
        <w:t>requested by PASC</w:t>
      </w:r>
    </w:p>
    <w:p w14:paraId="045ABAAF" w14:textId="05D1DDD5" w:rsidR="00D33AE9" w:rsidRPr="00F75A6B" w:rsidRDefault="00D33AE9" w:rsidP="00D33AE9">
      <w:pPr>
        <w:rPr>
          <w:i/>
          <w:u w:val="single"/>
        </w:rPr>
      </w:pPr>
      <w:r w:rsidRPr="00F75A6B">
        <w:rPr>
          <w:i/>
          <w:u w:val="single"/>
        </w:rPr>
        <w:t>Justification for use of ABPM on</w:t>
      </w:r>
      <w:r w:rsidR="00F75A6B">
        <w:rPr>
          <w:i/>
          <w:u w:val="single"/>
        </w:rPr>
        <w:t>c</w:t>
      </w:r>
      <w:r w:rsidRPr="00F75A6B">
        <w:rPr>
          <w:i/>
          <w:u w:val="single"/>
        </w:rPr>
        <w:t>e per</w:t>
      </w:r>
      <w:r w:rsidR="00F75A6B">
        <w:rPr>
          <w:i/>
          <w:u w:val="single"/>
        </w:rPr>
        <w:t xml:space="preserve"> year</w:t>
      </w:r>
      <w:r w:rsidRPr="00F75A6B">
        <w:rPr>
          <w:i/>
          <w:u w:val="single"/>
        </w:rPr>
        <w:t xml:space="preserve"> </w:t>
      </w:r>
    </w:p>
    <w:p w14:paraId="27B870D1" w14:textId="7CBA9A28" w:rsidR="00D33AE9" w:rsidRDefault="00D33AE9" w:rsidP="00D33AE9">
      <w:r>
        <w:t xml:space="preserve">ABPM will be used to confirm the diagnosis of </w:t>
      </w:r>
      <w:r w:rsidR="006101AB">
        <w:t>h</w:t>
      </w:r>
      <w:r>
        <w:t>ypertension in patients who have suspected hypertension</w:t>
      </w:r>
      <w:r w:rsidR="00C52DC9">
        <w:t>,</w:t>
      </w:r>
      <w:r>
        <w:t xml:space="preserve"> based on their clinic BP measurement of systolic blood pressure between</w:t>
      </w:r>
      <w:r w:rsidRPr="00F618ED">
        <w:t xml:space="preserve"> ≥140</w:t>
      </w:r>
      <w:r>
        <w:t xml:space="preserve"> to ≤180 mmHg, </w:t>
      </w:r>
      <w:r w:rsidRPr="00F618ED">
        <w:t>and</w:t>
      </w:r>
      <w:r>
        <w:t xml:space="preserve"> diastolic blood pressure between 90 to </w:t>
      </w:r>
      <w:r>
        <w:rPr>
          <w:rFonts w:cs="Calibri"/>
        </w:rPr>
        <w:t>≤</w:t>
      </w:r>
      <w:r w:rsidRPr="00F618ED">
        <w:t>110mmHg</w:t>
      </w:r>
      <w:r>
        <w:t xml:space="preserve">. Once the diagnosis of hypertension with ABPM has been confirmed, a patient management plan to decrease blood pressure will be developed, which may include blood pressure lowering medication. </w:t>
      </w:r>
      <w:r w:rsidR="00C52DC9">
        <w:t xml:space="preserve">While </w:t>
      </w:r>
      <w:r>
        <w:t xml:space="preserve">hypertension can be a lifelong disease, lifestyle modification </w:t>
      </w:r>
      <w:r w:rsidR="00C52DC9">
        <w:t>(</w:t>
      </w:r>
      <w:r>
        <w:t>such as weight loss, exercise and healthy eating</w:t>
      </w:r>
      <w:r w:rsidR="00C52DC9">
        <w:t>)</w:t>
      </w:r>
      <w:r>
        <w:t xml:space="preserve"> can reduce blood pressure in hypertensive patients. Therefore, re-testing a patient with</w:t>
      </w:r>
      <w:r w:rsidRPr="00614A0A">
        <w:t xml:space="preserve"> </w:t>
      </w:r>
      <w:r w:rsidR="00C52DC9">
        <w:t>clinic-</w:t>
      </w:r>
      <w:r>
        <w:t xml:space="preserve">measured </w:t>
      </w:r>
      <w:r w:rsidRPr="00614A0A">
        <w:t>systolic blood pressure between ≥140 to ≤180 mmHg, and diastolic blood pressure between 90 to ≤110mmHg</w:t>
      </w:r>
      <w:r>
        <w:t xml:space="preserve"> </w:t>
      </w:r>
      <w:r w:rsidR="00C52DC9">
        <w:t>(</w:t>
      </w:r>
      <w:r>
        <w:t>measured in the clinic</w:t>
      </w:r>
      <w:r w:rsidR="00C52DC9">
        <w:t>), followed by</w:t>
      </w:r>
      <w:r>
        <w:t xml:space="preserve"> ABPM to confirm the diagnosis of hypertension </w:t>
      </w:r>
      <w:r w:rsidR="00C52DC9">
        <w:t xml:space="preserve">(and </w:t>
      </w:r>
      <w:r>
        <w:t>re-calibrate the patient management plan once per year</w:t>
      </w:r>
      <w:r w:rsidR="00C52DC9">
        <w:t>)</w:t>
      </w:r>
      <w:r>
        <w:t xml:space="preserve"> would be prudent.</w:t>
      </w:r>
    </w:p>
    <w:p w14:paraId="69CCBFF7" w14:textId="753228C8" w:rsidR="00D33AE9" w:rsidRPr="00F75A6B" w:rsidRDefault="00D33AE9" w:rsidP="00D33AE9">
      <w:pPr>
        <w:rPr>
          <w:i/>
          <w:u w:val="single"/>
        </w:rPr>
      </w:pPr>
      <w:r w:rsidRPr="00F75A6B">
        <w:rPr>
          <w:i/>
          <w:u w:val="single"/>
        </w:rPr>
        <w:t xml:space="preserve">Justification for </w:t>
      </w:r>
      <w:r w:rsidR="006101AB">
        <w:rPr>
          <w:i/>
          <w:u w:val="single"/>
        </w:rPr>
        <w:t xml:space="preserve">MBS </w:t>
      </w:r>
      <w:r w:rsidR="00C52DC9">
        <w:rPr>
          <w:i/>
          <w:u w:val="single"/>
        </w:rPr>
        <w:t>b</w:t>
      </w:r>
      <w:r w:rsidRPr="00F75A6B">
        <w:rPr>
          <w:i/>
          <w:u w:val="single"/>
        </w:rPr>
        <w:t>enefit amount and clarif</w:t>
      </w:r>
      <w:r w:rsidR="00F75A6B" w:rsidRPr="00F75A6B">
        <w:rPr>
          <w:i/>
          <w:u w:val="single"/>
        </w:rPr>
        <w:t>ication of the service provided</w:t>
      </w:r>
    </w:p>
    <w:p w14:paraId="6EED4FDA" w14:textId="4EAC0757" w:rsidR="00D33AE9" w:rsidRDefault="00D33AE9" w:rsidP="00D33AE9">
      <w:pPr>
        <w:rPr>
          <w:b/>
        </w:rPr>
      </w:pPr>
      <w:r>
        <w:t xml:space="preserve">In order for a patient to be eligible for an ABPM measurement, </w:t>
      </w:r>
      <w:r w:rsidR="006101AB">
        <w:t>they</w:t>
      </w:r>
      <w:r>
        <w:t xml:space="preserve"> must </w:t>
      </w:r>
      <w:r w:rsidR="00C52DC9">
        <w:t>have a demonstrated/recorde</w:t>
      </w:r>
      <w:r w:rsidR="00BC4BD1">
        <w:t xml:space="preserve">d </w:t>
      </w:r>
      <w:r w:rsidRPr="00614A0A">
        <w:t>clinic BP measurement of systolic blood pressure between ≥140 to ≤180 mmHg, and diastolic blood pressure between 90 to ≤110mmHg</w:t>
      </w:r>
      <w:r w:rsidR="00BC4BD1">
        <w:t>,</w:t>
      </w:r>
      <w:r>
        <w:t xml:space="preserve"> in a consultation with a medical practitioner, </w:t>
      </w:r>
      <w:r w:rsidRPr="00EE1830">
        <w:rPr>
          <w:b/>
        </w:rPr>
        <w:t>that is billed as a separate service.</w:t>
      </w:r>
      <w:r w:rsidRPr="00467742">
        <w:rPr>
          <w:b/>
        </w:rPr>
        <w:t xml:space="preserve"> </w:t>
      </w:r>
    </w:p>
    <w:p w14:paraId="211D5855" w14:textId="14FB595E" w:rsidR="00D33AE9" w:rsidRPr="00EE1830" w:rsidRDefault="00D33AE9" w:rsidP="00D33AE9">
      <w:pPr>
        <w:rPr>
          <w:b/>
        </w:rPr>
      </w:pPr>
      <w:r w:rsidRPr="00EE1830">
        <w:t xml:space="preserve">For example, the patient may visit </w:t>
      </w:r>
      <w:r w:rsidR="00FE6754">
        <w:t xml:space="preserve">a </w:t>
      </w:r>
      <w:r w:rsidRPr="00EE1830">
        <w:t>medical practitioner for a consultation regarding influenza</w:t>
      </w:r>
      <w:r w:rsidR="00FE6754">
        <w:t xml:space="preserve">, where, </w:t>
      </w:r>
      <w:r>
        <w:t>as part of</w:t>
      </w:r>
      <w:r w:rsidRPr="00EE1830">
        <w:t xml:space="preserve"> this consultation, the patient’s </w:t>
      </w:r>
      <w:r>
        <w:t xml:space="preserve">clinic </w:t>
      </w:r>
      <w:r w:rsidRPr="00EE1830">
        <w:t>BP is measured. If the patient</w:t>
      </w:r>
      <w:r>
        <w:t>’</w:t>
      </w:r>
      <w:r w:rsidRPr="00EE1830">
        <w:t xml:space="preserve">s measurements are within the prescribed </w:t>
      </w:r>
      <w:r w:rsidR="00FE6754">
        <w:t xml:space="preserve">(at risk) </w:t>
      </w:r>
      <w:r w:rsidRPr="00EE1830">
        <w:t xml:space="preserve">range, the patient </w:t>
      </w:r>
      <w:r w:rsidR="00FE6754">
        <w:t>is</w:t>
      </w:r>
      <w:r w:rsidRPr="00EE1830">
        <w:t xml:space="preserve"> fitted with the ABPM monitor by the medical practitioner or </w:t>
      </w:r>
      <w:r>
        <w:t>n</w:t>
      </w:r>
      <w:r w:rsidRPr="00EE1830">
        <w:t>urse</w:t>
      </w:r>
      <w:r w:rsidR="00F77567">
        <w:t>,</w:t>
      </w:r>
      <w:r>
        <w:t xml:space="preserve"> and told to return in 24 hours. </w:t>
      </w:r>
      <w:r w:rsidRPr="00EE1830">
        <w:rPr>
          <w:b/>
        </w:rPr>
        <w:t xml:space="preserve">No additional reimbursement for fitting the monitor to the patient is requested under this application – the medical practitioner will </w:t>
      </w:r>
      <w:r w:rsidR="00BC4BD1">
        <w:rPr>
          <w:b/>
        </w:rPr>
        <w:t xml:space="preserve">bill the entire </w:t>
      </w:r>
      <w:r w:rsidR="00BC4BD1" w:rsidRPr="00BC4BD1">
        <w:rPr>
          <w:b/>
          <w:u w:val="single"/>
        </w:rPr>
        <w:t>pre</w:t>
      </w:r>
      <w:r w:rsidR="00BC4BD1">
        <w:rPr>
          <w:b/>
        </w:rPr>
        <w:t xml:space="preserve">-ABPM consultation service against a </w:t>
      </w:r>
      <w:r w:rsidRPr="00EE1830">
        <w:rPr>
          <w:b/>
        </w:rPr>
        <w:t xml:space="preserve">current </w:t>
      </w:r>
      <w:r w:rsidR="00BC4BD1">
        <w:rPr>
          <w:b/>
        </w:rPr>
        <w:t xml:space="preserve">MBS item (and fee) for a general </w:t>
      </w:r>
      <w:r w:rsidRPr="00EE1830">
        <w:rPr>
          <w:b/>
        </w:rPr>
        <w:t>consultation.</w:t>
      </w:r>
    </w:p>
    <w:p w14:paraId="7DD26B59" w14:textId="3D3DF076" w:rsidR="00D33AE9" w:rsidRPr="00467742" w:rsidRDefault="00D33AE9" w:rsidP="00D33AE9">
      <w:r>
        <w:t xml:space="preserve">When the patient returns with the monitor, the proposed service will commence. The </w:t>
      </w:r>
      <w:r w:rsidR="00F77567">
        <w:t>medical practitioner</w:t>
      </w:r>
      <w:r>
        <w:t xml:space="preserve"> will create </w:t>
      </w:r>
      <w:r w:rsidR="00F77567">
        <w:t xml:space="preserve">a </w:t>
      </w:r>
      <w:r>
        <w:t xml:space="preserve">report </w:t>
      </w:r>
      <w:r w:rsidR="00F77567">
        <w:t>(</w:t>
      </w:r>
      <w:r>
        <w:t>by downloading data from the ABPM monitor</w:t>
      </w:r>
      <w:r w:rsidR="00F77567">
        <w:t>)</w:t>
      </w:r>
      <w:r>
        <w:t>, review and interpret the report</w:t>
      </w:r>
      <w:r w:rsidR="00F77567">
        <w:t>,</w:t>
      </w:r>
      <w:r>
        <w:t xml:space="preserve"> and then develop a patient management </w:t>
      </w:r>
      <w:r w:rsidR="00F77567">
        <w:t>plan,</w:t>
      </w:r>
      <w:r>
        <w:t xml:space="preserve"> which could include lifestyle modifications and/or medication.</w:t>
      </w:r>
    </w:p>
    <w:p w14:paraId="0C6D3790" w14:textId="63DF5A4D" w:rsidR="00D33AE9" w:rsidRPr="00440F13" w:rsidRDefault="00D33AE9" w:rsidP="00D33AE9">
      <w:pPr>
        <w:spacing w:after="0"/>
        <w:rPr>
          <w:szCs w:val="20"/>
        </w:rPr>
      </w:pPr>
      <w:r w:rsidRPr="00440F13">
        <w:rPr>
          <w:szCs w:val="20"/>
        </w:rPr>
        <w:t xml:space="preserve">It is estimated </w:t>
      </w:r>
      <w:r w:rsidR="00D0771F">
        <w:rPr>
          <w:szCs w:val="20"/>
        </w:rPr>
        <w:t xml:space="preserve">by the applicant </w:t>
      </w:r>
      <w:r w:rsidRPr="00440F13">
        <w:rPr>
          <w:szCs w:val="20"/>
        </w:rPr>
        <w:t>that the fee for the proposed service would be between:</w:t>
      </w:r>
    </w:p>
    <w:p w14:paraId="54F93719" w14:textId="77777777" w:rsidR="00D33AE9" w:rsidRDefault="00D33AE9" w:rsidP="00D33AE9">
      <w:pPr>
        <w:spacing w:after="0"/>
        <w:ind w:left="426"/>
        <w:rPr>
          <w:color w:val="FF0000"/>
          <w:szCs w:val="20"/>
        </w:rPr>
      </w:pPr>
    </w:p>
    <w:p w14:paraId="77C3A53A" w14:textId="5654BC2E" w:rsidR="00D33AE9" w:rsidRPr="00440F13" w:rsidRDefault="00D33AE9" w:rsidP="00D33AE9">
      <w:pPr>
        <w:spacing w:after="0"/>
        <w:ind w:left="426"/>
        <w:rPr>
          <w:b/>
          <w:szCs w:val="20"/>
          <w:u w:val="single"/>
        </w:rPr>
      </w:pPr>
      <w:r w:rsidRPr="00440F13">
        <w:rPr>
          <w:b/>
          <w:szCs w:val="20"/>
          <w:u w:val="single"/>
        </w:rPr>
        <w:t xml:space="preserve">Costing Scenario One </w:t>
      </w:r>
      <w:r w:rsidR="00F77567">
        <w:rPr>
          <w:b/>
          <w:szCs w:val="20"/>
          <w:u w:val="single"/>
        </w:rPr>
        <w:t>(</w:t>
      </w:r>
      <w:r w:rsidRPr="00440F13">
        <w:rPr>
          <w:b/>
          <w:szCs w:val="20"/>
          <w:u w:val="single"/>
        </w:rPr>
        <w:t>based on MBS Item 36</w:t>
      </w:r>
      <w:r w:rsidR="00F77567">
        <w:rPr>
          <w:b/>
          <w:szCs w:val="20"/>
          <w:u w:val="single"/>
        </w:rPr>
        <w:t>)</w:t>
      </w:r>
      <w:r w:rsidRPr="00440F13">
        <w:rPr>
          <w:b/>
          <w:szCs w:val="20"/>
          <w:u w:val="single"/>
        </w:rPr>
        <w:t>:</w:t>
      </w:r>
    </w:p>
    <w:p w14:paraId="27A69889" w14:textId="304F8559" w:rsidR="00D33AE9" w:rsidRPr="00440F13" w:rsidRDefault="00F77567" w:rsidP="002815F9">
      <w:pPr>
        <w:spacing w:after="0"/>
        <w:ind w:left="425"/>
        <w:rPr>
          <w:szCs w:val="20"/>
        </w:rPr>
      </w:pPr>
      <w:r>
        <w:rPr>
          <w:szCs w:val="20"/>
        </w:rPr>
        <w:t>Medical practitioner</w:t>
      </w:r>
      <w:r w:rsidR="002815F9">
        <w:rPr>
          <w:szCs w:val="20"/>
        </w:rPr>
        <w:t xml:space="preserve"> creation of report:</w:t>
      </w:r>
      <w:r w:rsidR="002815F9">
        <w:rPr>
          <w:szCs w:val="20"/>
        </w:rPr>
        <w:tab/>
      </w:r>
      <w:r w:rsidR="00D33AE9">
        <w:rPr>
          <w:szCs w:val="20"/>
        </w:rPr>
        <w:t>5</w:t>
      </w:r>
      <w:r w:rsidR="00D33AE9" w:rsidRPr="006A2320">
        <w:rPr>
          <w:szCs w:val="20"/>
        </w:rPr>
        <w:t xml:space="preserve"> minutes</w:t>
      </w:r>
    </w:p>
    <w:p w14:paraId="3D3679FD" w14:textId="2E09C8F5" w:rsidR="00D33AE9" w:rsidRPr="00440F13" w:rsidRDefault="00F77567" w:rsidP="00D33AE9">
      <w:pPr>
        <w:spacing w:after="0"/>
        <w:ind w:left="426"/>
        <w:rPr>
          <w:szCs w:val="20"/>
        </w:rPr>
      </w:pPr>
      <w:r>
        <w:rPr>
          <w:szCs w:val="20"/>
        </w:rPr>
        <w:t>Medical practitioner</w:t>
      </w:r>
      <w:r w:rsidR="00D33AE9" w:rsidRPr="00440F13">
        <w:rPr>
          <w:szCs w:val="20"/>
        </w:rPr>
        <w:t xml:space="preserve"> revie</w:t>
      </w:r>
      <w:r w:rsidR="002815F9">
        <w:rPr>
          <w:szCs w:val="20"/>
        </w:rPr>
        <w:t>w and interpretation of report:</w:t>
      </w:r>
      <w:r w:rsidR="002815F9">
        <w:rPr>
          <w:szCs w:val="20"/>
        </w:rPr>
        <w:tab/>
      </w:r>
      <w:r w:rsidR="00D33AE9" w:rsidRPr="00440F13">
        <w:rPr>
          <w:szCs w:val="20"/>
        </w:rPr>
        <w:t>10 minutes</w:t>
      </w:r>
    </w:p>
    <w:p w14:paraId="6DF2BDEB" w14:textId="60E53FA2" w:rsidR="00D33AE9" w:rsidRPr="00440F13" w:rsidRDefault="00F77567" w:rsidP="00D33AE9">
      <w:pPr>
        <w:spacing w:after="0"/>
        <w:ind w:left="426"/>
        <w:rPr>
          <w:szCs w:val="20"/>
        </w:rPr>
      </w:pPr>
      <w:r>
        <w:rPr>
          <w:szCs w:val="20"/>
        </w:rPr>
        <w:t>Medical practitioner</w:t>
      </w:r>
      <w:r w:rsidR="00D33AE9" w:rsidRPr="00440F13">
        <w:rPr>
          <w:szCs w:val="20"/>
        </w:rPr>
        <w:t xml:space="preserve"> p</w:t>
      </w:r>
      <w:r>
        <w:rPr>
          <w:szCs w:val="20"/>
        </w:rPr>
        <w:t xml:space="preserve">reparation of </w:t>
      </w:r>
      <w:r w:rsidR="00D33AE9" w:rsidRPr="00440F13">
        <w:rPr>
          <w:szCs w:val="20"/>
        </w:rPr>
        <w:t>a m</w:t>
      </w:r>
      <w:r w:rsidR="002815F9">
        <w:rPr>
          <w:szCs w:val="20"/>
        </w:rPr>
        <w:t>anagement plan for the patient:</w:t>
      </w:r>
      <w:r w:rsidR="002815F9">
        <w:rPr>
          <w:szCs w:val="20"/>
        </w:rPr>
        <w:tab/>
      </w:r>
      <w:r w:rsidR="00D33AE9" w:rsidRPr="00440F13">
        <w:rPr>
          <w:szCs w:val="20"/>
        </w:rPr>
        <w:t>10 minutes</w:t>
      </w:r>
    </w:p>
    <w:p w14:paraId="146CC680" w14:textId="3A550C44" w:rsidR="00D33AE9" w:rsidRPr="00D0771F" w:rsidRDefault="00BC4BD1" w:rsidP="00D0771F">
      <w:pPr>
        <w:spacing w:after="0" w:line="240" w:lineRule="auto"/>
        <w:ind w:firstLine="426"/>
        <w:rPr>
          <w:szCs w:val="20"/>
        </w:rPr>
      </w:pPr>
      <w:r>
        <w:rPr>
          <w:szCs w:val="20"/>
        </w:rPr>
        <w:t xml:space="preserve">MBS </w:t>
      </w:r>
      <w:r w:rsidR="00D0771F">
        <w:rPr>
          <w:szCs w:val="20"/>
        </w:rPr>
        <w:t xml:space="preserve">Fee = </w:t>
      </w:r>
      <w:r w:rsidR="00D33AE9" w:rsidRPr="00D0771F">
        <w:rPr>
          <w:szCs w:val="20"/>
        </w:rPr>
        <w:t xml:space="preserve">$72.80 </w:t>
      </w:r>
      <w:r w:rsidR="00D0771F" w:rsidRPr="00D0771F">
        <w:rPr>
          <w:szCs w:val="20"/>
        </w:rPr>
        <w:t xml:space="preserve">  </w:t>
      </w:r>
      <w:r>
        <w:rPr>
          <w:szCs w:val="20"/>
        </w:rPr>
        <w:t xml:space="preserve">MBS </w:t>
      </w:r>
      <w:r w:rsidR="00D33AE9" w:rsidRPr="00D0771F">
        <w:rPr>
          <w:szCs w:val="20"/>
        </w:rPr>
        <w:t>Benefit: 100% = $72.80 (based on MBS Item 36)</w:t>
      </w:r>
    </w:p>
    <w:p w14:paraId="2C07E628" w14:textId="26045B17" w:rsidR="00D33AE9" w:rsidRPr="00467742" w:rsidRDefault="00D0771F" w:rsidP="009E2A25">
      <w:pPr>
        <w:spacing w:after="0" w:line="240" w:lineRule="auto"/>
        <w:ind w:left="426"/>
        <w:rPr>
          <w:szCs w:val="20"/>
        </w:rPr>
      </w:pPr>
      <w:r>
        <w:rPr>
          <w:szCs w:val="20"/>
        </w:rPr>
        <w:br/>
      </w:r>
      <w:r w:rsidR="00D33AE9" w:rsidRPr="00467742">
        <w:rPr>
          <w:szCs w:val="20"/>
        </w:rPr>
        <w:t>Cost of ambulatory blood pressure monitor: $2,500 with a five year life</w:t>
      </w:r>
    </w:p>
    <w:p w14:paraId="46155536" w14:textId="77777777" w:rsidR="00D33AE9" w:rsidRPr="00440F13" w:rsidRDefault="00D33AE9" w:rsidP="00D33AE9">
      <w:pPr>
        <w:pStyle w:val="ListParagraph"/>
        <w:numPr>
          <w:ilvl w:val="0"/>
          <w:numId w:val="39"/>
        </w:numPr>
        <w:spacing w:after="0" w:line="240" w:lineRule="auto"/>
        <w:ind w:left="1134" w:hanging="425"/>
        <w:contextualSpacing w:val="0"/>
        <w:rPr>
          <w:szCs w:val="20"/>
        </w:rPr>
      </w:pPr>
      <w:r w:rsidRPr="00440F13">
        <w:rPr>
          <w:szCs w:val="20"/>
        </w:rPr>
        <w:t>$</w:t>
      </w:r>
      <w:r>
        <w:rPr>
          <w:szCs w:val="20"/>
        </w:rPr>
        <w:t>1</w:t>
      </w:r>
      <w:r w:rsidRPr="00440F13">
        <w:rPr>
          <w:szCs w:val="20"/>
        </w:rPr>
        <w:t xml:space="preserve">0.00 per patient (based on </w:t>
      </w:r>
      <w:r>
        <w:rPr>
          <w:szCs w:val="20"/>
        </w:rPr>
        <w:t>50</w:t>
      </w:r>
      <w:r w:rsidRPr="00440F13">
        <w:rPr>
          <w:szCs w:val="20"/>
        </w:rPr>
        <w:t xml:space="preserve"> patients per year)</w:t>
      </w:r>
    </w:p>
    <w:p w14:paraId="3B72D9CD" w14:textId="16AC55E2" w:rsidR="00D33AE9" w:rsidRPr="004B055F" w:rsidRDefault="00D33AE9" w:rsidP="00D33AE9">
      <w:pPr>
        <w:spacing w:after="0"/>
        <w:ind w:left="426"/>
        <w:rPr>
          <w:szCs w:val="20"/>
        </w:rPr>
      </w:pPr>
      <w:r w:rsidRPr="004B055F">
        <w:rPr>
          <w:szCs w:val="20"/>
        </w:rPr>
        <w:t xml:space="preserve">Consumables: </w:t>
      </w:r>
      <w:r w:rsidR="00D0771F">
        <w:rPr>
          <w:szCs w:val="20"/>
        </w:rPr>
        <w:t>T</w:t>
      </w:r>
      <w:r w:rsidRPr="004B055F">
        <w:rPr>
          <w:szCs w:val="20"/>
        </w:rPr>
        <w:t>wo AA batteries per patient</w:t>
      </w:r>
      <w:r>
        <w:rPr>
          <w:szCs w:val="20"/>
        </w:rPr>
        <w:t xml:space="preserve"> ($2.00)</w:t>
      </w:r>
    </w:p>
    <w:p w14:paraId="401A5781" w14:textId="7083D0AC" w:rsidR="00D33AE9" w:rsidRPr="00D0771F" w:rsidRDefault="00D33AE9" w:rsidP="00D33AE9">
      <w:pPr>
        <w:spacing w:after="0"/>
        <w:ind w:left="426"/>
        <w:rPr>
          <w:b/>
          <w:i/>
          <w:szCs w:val="20"/>
        </w:rPr>
      </w:pPr>
      <w:r w:rsidRPr="00D0771F">
        <w:rPr>
          <w:b/>
          <w:i/>
          <w:szCs w:val="20"/>
        </w:rPr>
        <w:t>Total Fee</w:t>
      </w:r>
      <w:r w:rsidR="003C685C">
        <w:rPr>
          <w:b/>
          <w:i/>
          <w:szCs w:val="20"/>
        </w:rPr>
        <w:t xml:space="preserve"> =</w:t>
      </w:r>
      <w:r w:rsidRPr="00D0771F">
        <w:rPr>
          <w:b/>
          <w:i/>
          <w:szCs w:val="20"/>
        </w:rPr>
        <w:t xml:space="preserve"> $84.80</w:t>
      </w:r>
    </w:p>
    <w:p w14:paraId="4D9BB506" w14:textId="77777777" w:rsidR="00D33AE9" w:rsidRPr="00831002" w:rsidRDefault="00D33AE9" w:rsidP="00D33AE9">
      <w:pPr>
        <w:spacing w:after="0"/>
        <w:ind w:left="426"/>
        <w:rPr>
          <w:color w:val="FF0000"/>
          <w:szCs w:val="20"/>
        </w:rPr>
      </w:pPr>
    </w:p>
    <w:p w14:paraId="697C73C1" w14:textId="506E893A" w:rsidR="00D33AE9" w:rsidRPr="00440F13" w:rsidRDefault="00D33AE9" w:rsidP="00D33AE9">
      <w:pPr>
        <w:spacing w:after="0"/>
        <w:ind w:left="426"/>
        <w:rPr>
          <w:b/>
          <w:szCs w:val="20"/>
          <w:u w:val="single"/>
        </w:rPr>
      </w:pPr>
      <w:r w:rsidRPr="00440F13">
        <w:rPr>
          <w:b/>
          <w:szCs w:val="20"/>
          <w:u w:val="single"/>
        </w:rPr>
        <w:t xml:space="preserve">Costing Scenario Two </w:t>
      </w:r>
      <w:r w:rsidR="00F77567">
        <w:rPr>
          <w:b/>
          <w:szCs w:val="20"/>
          <w:u w:val="single"/>
        </w:rPr>
        <w:t>(</w:t>
      </w:r>
      <w:r w:rsidRPr="00440F13">
        <w:rPr>
          <w:b/>
          <w:szCs w:val="20"/>
          <w:u w:val="single"/>
        </w:rPr>
        <w:t>based on MBS Item 229</w:t>
      </w:r>
      <w:r w:rsidR="00F77567">
        <w:rPr>
          <w:b/>
          <w:szCs w:val="20"/>
          <w:u w:val="single"/>
        </w:rPr>
        <w:t>)</w:t>
      </w:r>
      <w:r w:rsidRPr="00440F13">
        <w:rPr>
          <w:b/>
          <w:szCs w:val="20"/>
          <w:u w:val="single"/>
        </w:rPr>
        <w:t>:</w:t>
      </w:r>
    </w:p>
    <w:p w14:paraId="6671A560" w14:textId="77777777" w:rsidR="00D33AE9" w:rsidRPr="00440F13" w:rsidRDefault="00D33AE9" w:rsidP="00D0771F">
      <w:pPr>
        <w:spacing w:after="0"/>
        <w:ind w:left="426"/>
        <w:rPr>
          <w:szCs w:val="20"/>
        </w:rPr>
      </w:pPr>
      <w:r w:rsidRPr="00440F13">
        <w:rPr>
          <w:szCs w:val="20"/>
        </w:rPr>
        <w:t>Attendance by a medical practitioner, for preparation of a GP management plan for a patient (other than a service associated with a service to which any of items 735 to 758 and items 235 to 240 apply)</w:t>
      </w:r>
    </w:p>
    <w:p w14:paraId="30E25427" w14:textId="22E16F56" w:rsidR="00D33AE9" w:rsidRPr="00440F13" w:rsidRDefault="00BC4BD1" w:rsidP="00D33AE9">
      <w:pPr>
        <w:spacing w:after="0"/>
        <w:ind w:left="426"/>
        <w:jc w:val="both"/>
        <w:rPr>
          <w:szCs w:val="20"/>
        </w:rPr>
      </w:pPr>
      <w:r>
        <w:rPr>
          <w:szCs w:val="20"/>
        </w:rPr>
        <w:t xml:space="preserve">MBS </w:t>
      </w:r>
      <w:r w:rsidR="00D33AE9" w:rsidRPr="00440F13">
        <w:rPr>
          <w:szCs w:val="20"/>
        </w:rPr>
        <w:t>Fee</w:t>
      </w:r>
      <w:r w:rsidR="00D0771F">
        <w:rPr>
          <w:szCs w:val="20"/>
        </w:rPr>
        <w:t xml:space="preserve"> = </w:t>
      </w:r>
      <w:r w:rsidR="00D33AE9" w:rsidRPr="00440F13">
        <w:rPr>
          <w:szCs w:val="20"/>
        </w:rPr>
        <w:t xml:space="preserve">$115.40 </w:t>
      </w:r>
      <w:r w:rsidR="00F77567">
        <w:rPr>
          <w:szCs w:val="20"/>
        </w:rPr>
        <w:t xml:space="preserve">  </w:t>
      </w:r>
      <w:r w:rsidR="00D33AE9" w:rsidRPr="00440F13">
        <w:rPr>
          <w:szCs w:val="20"/>
        </w:rPr>
        <w:t>Benefit: 75% = $86.55</w:t>
      </w:r>
      <w:r w:rsidR="00F77567">
        <w:rPr>
          <w:szCs w:val="20"/>
        </w:rPr>
        <w:t xml:space="preserve"> (admitted patient)</w:t>
      </w:r>
      <w:r w:rsidR="002815F9">
        <w:rPr>
          <w:szCs w:val="20"/>
        </w:rPr>
        <w:t xml:space="preserve">   </w:t>
      </w:r>
      <w:r w:rsidR="00D33AE9" w:rsidRPr="00440F13">
        <w:rPr>
          <w:szCs w:val="20"/>
        </w:rPr>
        <w:t>100% = $115.40</w:t>
      </w:r>
      <w:r w:rsidR="00F77567">
        <w:rPr>
          <w:szCs w:val="20"/>
        </w:rPr>
        <w:t xml:space="preserve"> (GP outpatient)</w:t>
      </w:r>
    </w:p>
    <w:p w14:paraId="75C334CE" w14:textId="7479A5EE" w:rsidR="00D33AE9" w:rsidRPr="00440F13" w:rsidRDefault="00D33AE9" w:rsidP="00D33AE9">
      <w:pPr>
        <w:spacing w:after="0"/>
        <w:ind w:left="426"/>
        <w:jc w:val="both"/>
        <w:rPr>
          <w:szCs w:val="20"/>
        </w:rPr>
      </w:pPr>
      <w:r w:rsidRPr="00440F13">
        <w:rPr>
          <w:szCs w:val="20"/>
        </w:rPr>
        <w:t>(See para AN.7.1, AN.7.17 of explanatory notes to this Category)</w:t>
      </w:r>
    </w:p>
    <w:p w14:paraId="5CCDBE77" w14:textId="77777777" w:rsidR="00D33AE9" w:rsidRPr="00831002" w:rsidRDefault="00D33AE9" w:rsidP="00D33AE9">
      <w:pPr>
        <w:spacing w:after="0"/>
        <w:ind w:left="426"/>
        <w:rPr>
          <w:color w:val="FF0000"/>
          <w:szCs w:val="20"/>
        </w:rPr>
      </w:pPr>
    </w:p>
    <w:p w14:paraId="5C10D058" w14:textId="77777777" w:rsidR="00D33AE9" w:rsidRPr="004B055F" w:rsidRDefault="00D33AE9" w:rsidP="00D33AE9">
      <w:pPr>
        <w:spacing w:after="0"/>
        <w:ind w:left="426"/>
        <w:rPr>
          <w:szCs w:val="20"/>
        </w:rPr>
      </w:pPr>
      <w:r w:rsidRPr="004B055F">
        <w:rPr>
          <w:szCs w:val="20"/>
        </w:rPr>
        <w:t>Cost of ambulatory blood pressure monitor: $2,500 with a five year life</w:t>
      </w:r>
    </w:p>
    <w:p w14:paraId="0C159624" w14:textId="77777777" w:rsidR="00D33AE9" w:rsidRPr="004B055F" w:rsidRDefault="00D33AE9" w:rsidP="00D33AE9">
      <w:pPr>
        <w:pStyle w:val="ListParagraph"/>
        <w:numPr>
          <w:ilvl w:val="0"/>
          <w:numId w:val="39"/>
        </w:numPr>
        <w:spacing w:after="0" w:line="240" w:lineRule="auto"/>
        <w:contextualSpacing w:val="0"/>
        <w:rPr>
          <w:szCs w:val="20"/>
        </w:rPr>
      </w:pPr>
      <w:r w:rsidRPr="004B055F">
        <w:rPr>
          <w:szCs w:val="20"/>
        </w:rPr>
        <w:t>$10.00 per patient (based on 50 patients per year)</w:t>
      </w:r>
    </w:p>
    <w:p w14:paraId="332D9236" w14:textId="1DB86980" w:rsidR="00D33AE9" w:rsidRPr="004B055F" w:rsidRDefault="00D33AE9" w:rsidP="00D33AE9">
      <w:pPr>
        <w:spacing w:after="0"/>
        <w:ind w:left="426"/>
        <w:rPr>
          <w:szCs w:val="20"/>
        </w:rPr>
      </w:pPr>
      <w:r w:rsidRPr="004B055F">
        <w:rPr>
          <w:szCs w:val="20"/>
        </w:rPr>
        <w:t xml:space="preserve">Consumables: </w:t>
      </w:r>
      <w:r w:rsidR="00F77567">
        <w:rPr>
          <w:szCs w:val="20"/>
        </w:rPr>
        <w:t>T</w:t>
      </w:r>
      <w:r w:rsidRPr="004B055F">
        <w:rPr>
          <w:szCs w:val="20"/>
        </w:rPr>
        <w:t>wo AA batteries per patient ($2.00)</w:t>
      </w:r>
    </w:p>
    <w:p w14:paraId="764EDEC1" w14:textId="51A8A1A0" w:rsidR="00D33AE9" w:rsidRPr="00D0771F" w:rsidRDefault="00D33AE9" w:rsidP="00D33AE9">
      <w:pPr>
        <w:spacing w:after="0"/>
        <w:ind w:left="426"/>
        <w:jc w:val="both"/>
        <w:rPr>
          <w:b/>
          <w:i/>
          <w:szCs w:val="20"/>
        </w:rPr>
      </w:pPr>
      <w:r w:rsidRPr="00D0771F">
        <w:rPr>
          <w:b/>
          <w:i/>
          <w:szCs w:val="20"/>
        </w:rPr>
        <w:t>Total Fee</w:t>
      </w:r>
      <w:r w:rsidR="003C685C">
        <w:rPr>
          <w:b/>
          <w:i/>
          <w:szCs w:val="20"/>
        </w:rPr>
        <w:t xml:space="preserve"> = </w:t>
      </w:r>
      <w:r w:rsidRPr="00D0771F">
        <w:rPr>
          <w:b/>
          <w:i/>
          <w:szCs w:val="20"/>
        </w:rPr>
        <w:t>$127.40</w:t>
      </w:r>
    </w:p>
    <w:p w14:paraId="4AC49AB5" w14:textId="77777777" w:rsidR="00D33AE9" w:rsidRPr="004B055F" w:rsidRDefault="00D33AE9" w:rsidP="00D33AE9">
      <w:pPr>
        <w:spacing w:after="0"/>
        <w:ind w:left="426"/>
        <w:jc w:val="both"/>
        <w:rPr>
          <w:szCs w:val="20"/>
        </w:rPr>
      </w:pPr>
    </w:p>
    <w:p w14:paraId="736FF0AF" w14:textId="304A752C" w:rsidR="00D33AE9" w:rsidRPr="005102F5" w:rsidRDefault="00D33AE9" w:rsidP="00D33AE9">
      <w:pPr>
        <w:spacing w:after="0"/>
        <w:ind w:left="426"/>
        <w:jc w:val="both"/>
        <w:rPr>
          <w:b/>
          <w:szCs w:val="20"/>
        </w:rPr>
      </w:pPr>
      <w:r w:rsidRPr="005102F5">
        <w:rPr>
          <w:b/>
          <w:szCs w:val="20"/>
          <w:u w:val="single"/>
        </w:rPr>
        <w:t>AVERAGE F</w:t>
      </w:r>
      <w:r w:rsidR="003C685C" w:rsidRPr="005102F5">
        <w:rPr>
          <w:b/>
          <w:szCs w:val="20"/>
          <w:u w:val="single"/>
        </w:rPr>
        <w:t>EE</w:t>
      </w:r>
      <w:r w:rsidR="003C685C" w:rsidRPr="005102F5">
        <w:rPr>
          <w:b/>
          <w:szCs w:val="20"/>
        </w:rPr>
        <w:t xml:space="preserve"> = </w:t>
      </w:r>
      <w:r w:rsidRPr="005102F5">
        <w:rPr>
          <w:b/>
          <w:szCs w:val="20"/>
        </w:rPr>
        <w:t>$106.10</w:t>
      </w:r>
    </w:p>
    <w:p w14:paraId="28716F19" w14:textId="77777777" w:rsidR="00D33AE9" w:rsidRPr="004B055F" w:rsidRDefault="00D33AE9" w:rsidP="00D33AE9">
      <w:pPr>
        <w:spacing w:after="0"/>
        <w:ind w:left="426"/>
        <w:jc w:val="both"/>
        <w:rPr>
          <w:szCs w:val="20"/>
        </w:rPr>
      </w:pPr>
    </w:p>
    <w:p w14:paraId="22BFDFEF" w14:textId="14F4FE8D" w:rsidR="00D33AE9" w:rsidRDefault="00D33AE9" w:rsidP="00D33AE9">
      <w:pPr>
        <w:spacing w:after="0"/>
        <w:ind w:left="426"/>
        <w:jc w:val="both"/>
        <w:rPr>
          <w:szCs w:val="20"/>
        </w:rPr>
      </w:pPr>
      <w:r w:rsidRPr="00440F13">
        <w:rPr>
          <w:szCs w:val="20"/>
        </w:rPr>
        <w:t xml:space="preserve">As a comparator, if </w:t>
      </w:r>
      <w:r w:rsidR="00F77567">
        <w:rPr>
          <w:szCs w:val="20"/>
        </w:rPr>
        <w:t xml:space="preserve">three </w:t>
      </w:r>
      <w:r w:rsidRPr="00440F13">
        <w:rPr>
          <w:szCs w:val="20"/>
        </w:rPr>
        <w:t xml:space="preserve">standard GP consultations were </w:t>
      </w:r>
      <w:r>
        <w:rPr>
          <w:szCs w:val="20"/>
        </w:rPr>
        <w:t>required</w:t>
      </w:r>
      <w:r w:rsidRPr="00440F13">
        <w:rPr>
          <w:szCs w:val="20"/>
        </w:rPr>
        <w:t xml:space="preserve"> to confirm the diagnosis of high blood pressure</w:t>
      </w:r>
      <w:r>
        <w:rPr>
          <w:szCs w:val="20"/>
        </w:rPr>
        <w:t xml:space="preserve"> using clinic blood pressure</w:t>
      </w:r>
      <w:r w:rsidRPr="00440F13">
        <w:rPr>
          <w:szCs w:val="20"/>
        </w:rPr>
        <w:t>, the cost of these consultations would be 3 x  $36.30  = $108.90.</w:t>
      </w:r>
    </w:p>
    <w:p w14:paraId="35FEA319" w14:textId="77777777" w:rsidR="00D33AE9" w:rsidRPr="00F75A6B" w:rsidRDefault="00D33AE9" w:rsidP="00D33AE9">
      <w:pPr>
        <w:spacing w:after="0"/>
        <w:ind w:left="426"/>
        <w:jc w:val="both"/>
        <w:rPr>
          <w:szCs w:val="20"/>
          <w:u w:val="single"/>
        </w:rPr>
      </w:pPr>
    </w:p>
    <w:p w14:paraId="04C3D6AB" w14:textId="3DB25F12" w:rsidR="00D33AE9" w:rsidRPr="00F75A6B" w:rsidRDefault="00D33AE9" w:rsidP="00F75A6B">
      <w:pPr>
        <w:rPr>
          <w:i/>
          <w:u w:val="single"/>
        </w:rPr>
      </w:pPr>
      <w:r w:rsidRPr="00F75A6B">
        <w:rPr>
          <w:i/>
          <w:u w:val="single"/>
        </w:rPr>
        <w:t xml:space="preserve">Justification </w:t>
      </w:r>
      <w:r w:rsidR="00FE6754">
        <w:rPr>
          <w:i/>
          <w:u w:val="single"/>
        </w:rPr>
        <w:t xml:space="preserve">by the applicant </w:t>
      </w:r>
      <w:r w:rsidRPr="00F75A6B">
        <w:rPr>
          <w:i/>
          <w:u w:val="single"/>
        </w:rPr>
        <w:t xml:space="preserve">for including equipment </w:t>
      </w:r>
      <w:r w:rsidR="00F75A6B" w:rsidRPr="00F75A6B">
        <w:rPr>
          <w:i/>
          <w:u w:val="single"/>
        </w:rPr>
        <w:t>costs in this service</w:t>
      </w:r>
    </w:p>
    <w:p w14:paraId="25E94355" w14:textId="233E673A" w:rsidR="00D33AE9" w:rsidRDefault="00FE6754" w:rsidP="00D33AE9">
      <w:r>
        <w:t xml:space="preserve">The applicant stated that </w:t>
      </w:r>
      <w:r w:rsidR="00D33AE9">
        <w:t>ABPM monitors are not currently owned by many medical practitioners, so they cannot offer this service to patients. The amount requested per service ($</w:t>
      </w:r>
      <w:r>
        <w:t>1</w:t>
      </w:r>
      <w:r w:rsidR="00D33AE9">
        <w:t>0 for the monitor and $2 for the batteries) represents the incremental cost of providing this equipment over the useful lif</w:t>
      </w:r>
      <w:r w:rsidR="00C86CC7">
        <w:t>e of the device (5 years). The return on i</w:t>
      </w:r>
      <w:r w:rsidR="00D33AE9">
        <w:t>nvestment (ROI) for these devices is effectively zero if the devices are reimbursed at $</w:t>
      </w:r>
      <w:r w:rsidR="00CA62FA">
        <w:t>12</w:t>
      </w:r>
      <w:r w:rsidR="00D33AE9">
        <w:t xml:space="preserve"> per measurement, with the ROI </w:t>
      </w:r>
      <w:r>
        <w:t>for</w:t>
      </w:r>
      <w:r w:rsidR="00D33AE9">
        <w:t xml:space="preserve"> the</w:t>
      </w:r>
      <w:r w:rsidR="00CA62FA">
        <w:t>se</w:t>
      </w:r>
      <w:r w:rsidR="00D33AE9">
        <w:t xml:space="preserve"> devices becom</w:t>
      </w:r>
      <w:r>
        <w:t xml:space="preserve">ing </w:t>
      </w:r>
      <w:r w:rsidR="00D33AE9">
        <w:t xml:space="preserve">negative if cost of the device is not covered </w:t>
      </w:r>
      <w:r w:rsidR="00CA62FA">
        <w:t>by</w:t>
      </w:r>
      <w:r w:rsidR="00D33AE9">
        <w:t xml:space="preserve"> th</w:t>
      </w:r>
      <w:r w:rsidR="00CA62FA">
        <w:t>e</w:t>
      </w:r>
      <w:r w:rsidR="00D33AE9">
        <w:t xml:space="preserve"> service</w:t>
      </w:r>
      <w:r w:rsidR="00CA62FA">
        <w:t xml:space="preserve"> fee</w:t>
      </w:r>
      <w:r w:rsidR="00D33AE9">
        <w:t>. This would mean medical practitioners would need to subsidise the cost of these monitors</w:t>
      </w:r>
      <w:r w:rsidR="00CA62FA">
        <w:t>,</w:t>
      </w:r>
      <w:r w:rsidR="00D33AE9">
        <w:t xml:space="preserve"> using revenue from other services. The cost of the monitor is not insignificant ($2</w:t>
      </w:r>
      <w:r>
        <w:t>,</w:t>
      </w:r>
      <w:r w:rsidR="00D33AE9">
        <w:t>500), and accelerated depreciation will not convince medical practitioners to purchase these devices if there is no fee for provision of these devices.</w:t>
      </w:r>
    </w:p>
    <w:p w14:paraId="00C8DD76" w14:textId="6DA9E505" w:rsidR="00D33AE9" w:rsidRPr="00F75A6B" w:rsidRDefault="00D33AE9" w:rsidP="00D33AE9">
      <w:pPr>
        <w:rPr>
          <w:i/>
          <w:u w:val="single"/>
        </w:rPr>
      </w:pPr>
      <w:r w:rsidRPr="00F75A6B">
        <w:rPr>
          <w:i/>
          <w:u w:val="single"/>
        </w:rPr>
        <w:t>Justification for a new item</w:t>
      </w:r>
      <w:r w:rsidR="00FE6754">
        <w:rPr>
          <w:i/>
          <w:u w:val="single"/>
        </w:rPr>
        <w:t xml:space="preserve">, as opposed to </w:t>
      </w:r>
      <w:r w:rsidR="00F75A6B">
        <w:rPr>
          <w:i/>
          <w:u w:val="single"/>
        </w:rPr>
        <w:t>using current MBS item</w:t>
      </w:r>
      <w:r w:rsidR="00FE6754">
        <w:rPr>
          <w:i/>
          <w:u w:val="single"/>
        </w:rPr>
        <w:t>s</w:t>
      </w:r>
    </w:p>
    <w:p w14:paraId="34E4B995" w14:textId="244B986F" w:rsidR="00D33AE9" w:rsidRDefault="00D33AE9" w:rsidP="00D33AE9">
      <w:r>
        <w:t xml:space="preserve">The applicant </w:t>
      </w:r>
      <w:r w:rsidR="00FE6754">
        <w:t xml:space="preserve">believes </w:t>
      </w:r>
      <w:r>
        <w:t xml:space="preserve">a new item number </w:t>
      </w:r>
      <w:r w:rsidR="00FE6754">
        <w:t>is needed</w:t>
      </w:r>
      <w:r>
        <w:t xml:space="preserve"> </w:t>
      </w:r>
      <w:r w:rsidR="00FE6754">
        <w:t>because</w:t>
      </w:r>
      <w:r>
        <w:t>:</w:t>
      </w:r>
    </w:p>
    <w:p w14:paraId="45B04812" w14:textId="180379EF" w:rsidR="00D33AE9" w:rsidRDefault="00D33AE9" w:rsidP="00D33AE9">
      <w:pPr>
        <w:pStyle w:val="ListParagraph"/>
        <w:numPr>
          <w:ilvl w:val="0"/>
          <w:numId w:val="40"/>
        </w:numPr>
      </w:pPr>
      <w:r>
        <w:t>Long consultation item</w:t>
      </w:r>
      <w:r w:rsidR="00FE6754">
        <w:t>s</w:t>
      </w:r>
      <w:r>
        <w:t xml:space="preserve"> on the MBS involving developing patient management plans currently refer to terminal diseases (hypertension is not terminal as can be reversed with lifestyle measures and medication) or refer to other diseases such as diabetes.</w:t>
      </w:r>
    </w:p>
    <w:p w14:paraId="16C9AFB3" w14:textId="77777777" w:rsidR="00D33AE9" w:rsidRDefault="00D33AE9" w:rsidP="00D33AE9">
      <w:pPr>
        <w:pStyle w:val="ListParagraph"/>
        <w:numPr>
          <w:ilvl w:val="0"/>
          <w:numId w:val="40"/>
        </w:numPr>
      </w:pPr>
      <w:r>
        <w:t>Other long consultation item numbers on the MBS do not include an allowance for the provision of ABPM monitors.</w:t>
      </w:r>
    </w:p>
    <w:p w14:paraId="337DFE88" w14:textId="29902E16" w:rsidR="001772F7" w:rsidRDefault="00D33AE9" w:rsidP="00FF25A4">
      <w:pPr>
        <w:pStyle w:val="ListParagraph"/>
        <w:numPr>
          <w:ilvl w:val="0"/>
          <w:numId w:val="40"/>
        </w:numPr>
      </w:pPr>
      <w:r>
        <w:t xml:space="preserve">Without a specific item </w:t>
      </w:r>
      <w:r w:rsidR="004E455D">
        <w:t>number</w:t>
      </w:r>
      <w:r>
        <w:t xml:space="preserve"> referring to ABPM for the measurement for patients with clinic </w:t>
      </w:r>
      <w:r w:rsidRPr="00F833FC">
        <w:t>systolic blood pressure between ≥140 to ≤180 mmHg, and diastolic blood pressure between 90 to ≤110mmHg</w:t>
      </w:r>
      <w:r>
        <w:t xml:space="preserve">, the MBS could be billed for long consultations for all patients regardless of their clinic BP. </w:t>
      </w:r>
      <w:r>
        <w:br w:type="page"/>
      </w:r>
    </w:p>
    <w:p w14:paraId="2CB815D3" w14:textId="5E8A30C1" w:rsidR="001772F7" w:rsidRPr="001772F7" w:rsidRDefault="001772F7" w:rsidP="00E364F7">
      <w:pPr>
        <w:rPr>
          <w:b/>
        </w:rPr>
      </w:pPr>
      <w:r w:rsidRPr="001772F7">
        <w:rPr>
          <w:b/>
        </w:rPr>
        <w:lastRenderedPageBreak/>
        <w:t>References</w:t>
      </w:r>
    </w:p>
    <w:p w14:paraId="02B1A99E" w14:textId="77777777" w:rsidR="00543BF2" w:rsidRPr="00543BF2" w:rsidRDefault="00543BF2" w:rsidP="00543BF2">
      <w:pPr>
        <w:pStyle w:val="EndNoteBibliography"/>
        <w:spacing w:after="0"/>
      </w:pPr>
      <w:r>
        <w:fldChar w:fldCharType="begin"/>
      </w:r>
      <w:r>
        <w:instrText xml:space="preserve"> ADDIN EN.REFLIST </w:instrText>
      </w:r>
      <w:r>
        <w:fldChar w:fldCharType="separate"/>
      </w:r>
      <w:r w:rsidRPr="00543BF2">
        <w:t>ABS (2013). Australian Health Survey 2011-13. Canberra, Australian Commonwealth Government.</w:t>
      </w:r>
    </w:p>
    <w:p w14:paraId="3E3259AB" w14:textId="77777777" w:rsidR="00543BF2" w:rsidRPr="00543BF2" w:rsidRDefault="00543BF2" w:rsidP="00543BF2">
      <w:pPr>
        <w:pStyle w:val="EndNoteBibliography"/>
        <w:spacing w:after="0"/>
      </w:pPr>
      <w:r w:rsidRPr="00543BF2">
        <w:t>ABS (2015). National Health Survey 2014-15. Canberra, Australian Commonwealth Government.</w:t>
      </w:r>
    </w:p>
    <w:p w14:paraId="417A002C" w14:textId="77777777" w:rsidR="00543BF2" w:rsidRPr="00543BF2" w:rsidRDefault="00543BF2" w:rsidP="00543BF2">
      <w:pPr>
        <w:pStyle w:val="EndNoteBibliography"/>
        <w:spacing w:after="0"/>
      </w:pPr>
      <w:r w:rsidRPr="00543BF2">
        <w:t>ABS (2018). HYPERTENSION AND MEASURED HIGH BLOOD PRESSURE. Canberra, Australia, Australian Bureau of Statistics.</w:t>
      </w:r>
    </w:p>
    <w:p w14:paraId="4F3C9848" w14:textId="77777777" w:rsidR="00543BF2" w:rsidRPr="00543BF2" w:rsidRDefault="00543BF2" w:rsidP="00543BF2">
      <w:pPr>
        <w:pStyle w:val="EndNoteBibliography"/>
        <w:spacing w:after="0"/>
      </w:pPr>
      <w:r w:rsidRPr="00543BF2">
        <w:t>AIHW (2011). Cardiovascular disease: Australian facts 2011, Australian Institute for Health and Welfare.</w:t>
      </w:r>
    </w:p>
    <w:p w14:paraId="347AD785" w14:textId="77777777" w:rsidR="00543BF2" w:rsidRPr="00543BF2" w:rsidRDefault="00543BF2" w:rsidP="00543BF2">
      <w:pPr>
        <w:pStyle w:val="EndNoteBibliography"/>
        <w:spacing w:after="0"/>
      </w:pPr>
      <w:r w:rsidRPr="00543BF2">
        <w:t xml:space="preserve">Beltman, F. W., W. F. Heesen, A. J. Smit, J. F. May, K. I. Lie and B. Meyboom-de Jong (1996). "Acceptance and side effects of ambulatory blood pressure monitoring: evaluation of a new technology." </w:t>
      </w:r>
      <w:r w:rsidRPr="00543BF2">
        <w:rPr>
          <w:u w:val="single"/>
        </w:rPr>
        <w:t>J Hum Hypertens</w:t>
      </w:r>
      <w:r w:rsidRPr="00543BF2">
        <w:t xml:space="preserve"> </w:t>
      </w:r>
      <w:r w:rsidRPr="00543BF2">
        <w:rPr>
          <w:b/>
        </w:rPr>
        <w:t>10 Suppl 3</w:t>
      </w:r>
      <w:r w:rsidRPr="00543BF2">
        <w:t>: S39-42.</w:t>
      </w:r>
    </w:p>
    <w:p w14:paraId="4CE77F90" w14:textId="77777777" w:rsidR="00543BF2" w:rsidRPr="00543BF2" w:rsidRDefault="00543BF2" w:rsidP="00543BF2">
      <w:pPr>
        <w:pStyle w:val="EndNoteBibliography"/>
        <w:spacing w:after="0"/>
      </w:pPr>
      <w:r w:rsidRPr="00543BF2">
        <w:t xml:space="preserve">Ewald, B. and B. Pekarsky (2002). "Cost analysis of ambulatory blood pressure monitoring in initiating antihypertensive drug treatment in Australian general practice." </w:t>
      </w:r>
      <w:r w:rsidRPr="00543BF2">
        <w:rPr>
          <w:u w:val="single"/>
        </w:rPr>
        <w:t>Med J Aust</w:t>
      </w:r>
      <w:r w:rsidRPr="00543BF2">
        <w:t xml:space="preserve"> </w:t>
      </w:r>
      <w:r w:rsidRPr="00543BF2">
        <w:rPr>
          <w:b/>
        </w:rPr>
        <w:t>176</w:t>
      </w:r>
      <w:r w:rsidRPr="00543BF2">
        <w:t>(12): 580-583.</w:t>
      </w:r>
    </w:p>
    <w:p w14:paraId="002683DC" w14:textId="77777777" w:rsidR="00543BF2" w:rsidRPr="00543BF2" w:rsidRDefault="00543BF2" w:rsidP="00543BF2">
      <w:pPr>
        <w:pStyle w:val="EndNoteBibliography"/>
        <w:spacing w:after="0"/>
      </w:pPr>
      <w:r w:rsidRPr="00543BF2">
        <w:t xml:space="preserve">Fagard, R. H., L. Thijs, J. A. Staessen, D. L. Clement, M. L. De Buyzere and D. A. De Bacquer (2008). "Prognostic significance of ambulatory blood pressure in hypertensive patients with history of cardiovascular disease." </w:t>
      </w:r>
      <w:r w:rsidRPr="00543BF2">
        <w:rPr>
          <w:u w:val="single"/>
        </w:rPr>
        <w:t>Blood Press Monit</w:t>
      </w:r>
      <w:r w:rsidRPr="00543BF2">
        <w:t xml:space="preserve"> </w:t>
      </w:r>
      <w:r w:rsidRPr="00543BF2">
        <w:rPr>
          <w:b/>
        </w:rPr>
        <w:t>13</w:t>
      </w:r>
      <w:r w:rsidRPr="00543BF2">
        <w:t>(6): 325-332.</w:t>
      </w:r>
    </w:p>
    <w:p w14:paraId="5D6BF417" w14:textId="77777777" w:rsidR="00543BF2" w:rsidRPr="00543BF2" w:rsidRDefault="00543BF2" w:rsidP="00543BF2">
      <w:pPr>
        <w:pStyle w:val="EndNoteBibliography"/>
        <w:spacing w:after="0"/>
      </w:pPr>
      <w:r w:rsidRPr="00543BF2">
        <w:t>Gabb, M., Anderson, Cowley, Dowden, Golledge, Hankey, Howes, Leckie, Perkovic, Schlaich, Zwar, Medley, Arnolda (2016). Guideline for the diagnosis and management of hypertension in adults, The National Heart Foundation of Australia.</w:t>
      </w:r>
    </w:p>
    <w:p w14:paraId="2C5093DA" w14:textId="77777777" w:rsidR="00543BF2" w:rsidRPr="00543BF2" w:rsidRDefault="00543BF2" w:rsidP="00543BF2">
      <w:pPr>
        <w:pStyle w:val="EndNoteBibliography"/>
        <w:spacing w:after="0"/>
      </w:pPr>
      <w:r w:rsidRPr="00543BF2">
        <w:t xml:space="preserve">Head, G. A., B. P. McGrath, A. S. Mihailidou, M. R. Nelson, M. P. Schlaich, M. Stowasser, A. A. Mangoni, D. Cowley, M. A. Brown, L. A. Ruta and A. Wilson (2012). "Ambulatory blood pressure monitoring in Australia: 2011 consensus position statement." </w:t>
      </w:r>
      <w:r w:rsidRPr="00543BF2">
        <w:rPr>
          <w:u w:val="single"/>
        </w:rPr>
        <w:t>J Hypertens</w:t>
      </w:r>
      <w:r w:rsidRPr="00543BF2">
        <w:t xml:space="preserve"> </w:t>
      </w:r>
      <w:r w:rsidRPr="00543BF2">
        <w:rPr>
          <w:b/>
        </w:rPr>
        <w:t>30</w:t>
      </w:r>
      <w:r w:rsidRPr="00543BF2">
        <w:t>(2): 253-266.</w:t>
      </w:r>
    </w:p>
    <w:p w14:paraId="2F25FDB4" w14:textId="77777777" w:rsidR="00543BF2" w:rsidRPr="00543BF2" w:rsidRDefault="00543BF2" w:rsidP="00543BF2">
      <w:pPr>
        <w:pStyle w:val="EndNoteBibliography"/>
        <w:spacing w:after="0"/>
      </w:pPr>
      <w:r w:rsidRPr="00543BF2">
        <w:t>Heart Foundation (2018). High blood pressure statistics.</w:t>
      </w:r>
    </w:p>
    <w:p w14:paraId="2C9C901B" w14:textId="77777777" w:rsidR="00543BF2" w:rsidRPr="00543BF2" w:rsidRDefault="00543BF2" w:rsidP="00543BF2">
      <w:pPr>
        <w:pStyle w:val="EndNoteBibliography"/>
        <w:spacing w:after="0"/>
      </w:pPr>
      <w:r w:rsidRPr="00543BF2">
        <w:t xml:space="preserve">Hodgkinson, J., J. Mant, U. Martin, B. Guo, F. D. Hobbs, J. J. Deeks, C. Heneghan, N. Roberts and R. J. McManus (2011). "Relative effectiveness of clinic and home blood pressure monitoring compared with ambulatory blood pressure monitoring in diagnosis of hypertension: systematic review." </w:t>
      </w:r>
      <w:r w:rsidRPr="00543BF2">
        <w:rPr>
          <w:u w:val="single"/>
        </w:rPr>
        <w:t>Bmj</w:t>
      </w:r>
      <w:r w:rsidRPr="00543BF2">
        <w:t xml:space="preserve"> </w:t>
      </w:r>
      <w:r w:rsidRPr="00543BF2">
        <w:rPr>
          <w:b/>
        </w:rPr>
        <w:t>342</w:t>
      </w:r>
      <w:r w:rsidRPr="00543BF2">
        <w:t>: d3621.</w:t>
      </w:r>
    </w:p>
    <w:p w14:paraId="10CDD1AB" w14:textId="77777777" w:rsidR="00543BF2" w:rsidRPr="00543BF2" w:rsidRDefault="00543BF2" w:rsidP="00543BF2">
      <w:pPr>
        <w:pStyle w:val="EndNoteBibliography"/>
        <w:spacing w:after="0"/>
      </w:pPr>
      <w:r w:rsidRPr="00543BF2">
        <w:t xml:space="preserve">Muntner P, S. D., Carey RM, Charleston JB, Gaillard T, Misra S,, O. G. Myers MG, Schwartz JE, Townsend RR, Urbina EM, Viera AJ, White WB, Wright JT Jr; on behalf of the American Heart Association Council, o. H. C. o. C. D. i. t. Y. C. o. C. a. S. N. C. o. C. Radiology and a. I. C. o. C. C. a. C. o. Q. o. C. a. O. Research. (2019). "Measurement of Blood Pressure in Humans. A Scientific Statement From the American Heart Association." </w:t>
      </w:r>
      <w:r w:rsidRPr="00543BF2">
        <w:rPr>
          <w:u w:val="single"/>
        </w:rPr>
        <w:t>Hypertension</w:t>
      </w:r>
      <w:r w:rsidRPr="00543BF2">
        <w:t xml:space="preserve"> </w:t>
      </w:r>
      <w:r w:rsidRPr="00543BF2">
        <w:rPr>
          <w:b/>
        </w:rPr>
        <w:t>71</w:t>
      </w:r>
      <w:r w:rsidRPr="00543BF2">
        <w:t>.</w:t>
      </w:r>
    </w:p>
    <w:p w14:paraId="34698DB4" w14:textId="77777777" w:rsidR="00543BF2" w:rsidRPr="00543BF2" w:rsidRDefault="00543BF2" w:rsidP="00543BF2">
      <w:pPr>
        <w:pStyle w:val="EndNoteBibliography"/>
        <w:spacing w:after="0"/>
      </w:pPr>
      <w:r w:rsidRPr="00543BF2">
        <w:t>National Heart Foundation and High Blood Pressure Research Council of Australia Ambulatory Blood Pressure Monitoring Consensus Committee (2011). Ambulatory blood pressure monitoring.</w:t>
      </w:r>
    </w:p>
    <w:p w14:paraId="287EE91E" w14:textId="77777777" w:rsidR="00543BF2" w:rsidRPr="00543BF2" w:rsidRDefault="00543BF2" w:rsidP="00543BF2">
      <w:pPr>
        <w:pStyle w:val="EndNoteBibliography"/>
        <w:spacing w:after="0"/>
      </w:pPr>
      <w:r w:rsidRPr="00543BF2">
        <w:t>National Heart Foundation of Australia (2016). Guideline for the diagnosis and management of hypertension in adults - 2016. Melbourne, National Heart Foundation of Australia.</w:t>
      </w:r>
    </w:p>
    <w:p w14:paraId="3E1BD3B0" w14:textId="77777777" w:rsidR="00543BF2" w:rsidRPr="00543BF2" w:rsidRDefault="00543BF2" w:rsidP="00543BF2">
      <w:pPr>
        <w:pStyle w:val="EndNoteBibliography"/>
        <w:spacing w:after="0"/>
      </w:pPr>
      <w:r w:rsidRPr="00543BF2">
        <w:t>Nerenberg KA, Z. K., Leung AA, Dasgupta K, Butalia S, McBrien K,, N. M. Harris KC, Cloutier L, Gelfer M, Lamarre-Cliche M, Milot A, Bolli P, Tremblay G, McLean, P. R. D, Tran KC, Grover S, Rabkin SW, Moe GW, Howlett JG, Lindsay P, Hill MD, Sharma M,, W. T. Field T, Shoamanesh A, Dresser GK, Hamet P, Herman RJ, Burgess E, Gryn SE, Grégoire, L. R. JC, Poirier L, Campbell TS, Feldman RD, Lavoie KL, Tsuyuki RT, Honos G, Prebtani, K. G. APH, Schiffrin EL, Don-Wauchope A, Tobe SW, Gilbert RE, Leiter LA, Jones C, Woo V,, S. P. Hegele RA, Pipe A, McFarlane PA, Oh P, Gupta M, Bacon SL, Kaczorowski J, Trudeau L,, H. S. Campbell NR, Roerecke M, Arcand J, Ruzicka M, Prasad GVR, Vallée M, Edwards C,, P. S. Sivapalan P, Fournier A, Benoit G, Feber J, Dionne J, Magee LA, Logan AG, Côté A-M, and F. T. Rey E, Kuyper LM, Gabor JY, Townsend RR, Rabi DM, Daskalopoulou SS, (2018). Hypertension Canada’s 2018 Guidelines for Diagnosis, Risk Assessment, Prevention, and Treatment of Hypertension in Adults and Children. Canadian Journal of Cardiology, Hypertension Canada.</w:t>
      </w:r>
    </w:p>
    <w:p w14:paraId="06D36038" w14:textId="77777777" w:rsidR="00543BF2" w:rsidRPr="00543BF2" w:rsidRDefault="00543BF2" w:rsidP="00543BF2">
      <w:pPr>
        <w:pStyle w:val="EndNoteBibliography"/>
        <w:spacing w:after="0"/>
      </w:pPr>
      <w:r w:rsidRPr="00543BF2">
        <w:t>NICE (2011). Hypertension in adults: diagnosis and management. Clinical guideline [CG127]. Manchester, UK, National Institute of Health and Care Excellence.</w:t>
      </w:r>
    </w:p>
    <w:p w14:paraId="70E847F0" w14:textId="77777777" w:rsidR="00543BF2" w:rsidRPr="00543BF2" w:rsidRDefault="00543BF2" w:rsidP="00543BF2">
      <w:pPr>
        <w:pStyle w:val="EndNoteBibliography"/>
        <w:spacing w:after="0"/>
      </w:pPr>
      <w:r w:rsidRPr="00543BF2">
        <w:lastRenderedPageBreak/>
        <w:t>NICE (2013). Hypertension in adults. Quality standard [QS28]. Manchester, UK, National Institute of Health and Care Excellence.</w:t>
      </w:r>
    </w:p>
    <w:p w14:paraId="5A16EDB4" w14:textId="77777777" w:rsidR="00543BF2" w:rsidRPr="00543BF2" w:rsidRDefault="00543BF2" w:rsidP="00543BF2">
      <w:pPr>
        <w:pStyle w:val="EndNoteBibliography"/>
        <w:spacing w:after="0"/>
      </w:pPr>
      <w:r w:rsidRPr="00543BF2">
        <w:t>NICE (2013). Hypertension: Evidence Update. A summary of selected new evidence relevant to NICE clinical guideline 127 ‘Clinical management of primary hypertension in adults’ (2011). Manchester, UK, National Institute for Health and Care Excellence.</w:t>
      </w:r>
    </w:p>
    <w:p w14:paraId="3A1E36CA" w14:textId="77777777" w:rsidR="00543BF2" w:rsidRPr="00543BF2" w:rsidRDefault="00543BF2" w:rsidP="00543BF2">
      <w:pPr>
        <w:pStyle w:val="EndNoteBibliography"/>
        <w:spacing w:after="0"/>
      </w:pPr>
      <w:r w:rsidRPr="00543BF2">
        <w:t xml:space="preserve">Sega, R., R. Facchetti, M. Bombelli, G. Cesana, G. Corrao, G. Grassi and G. Mancia (2005). "Prognostic value of ambulatory and home blood pressures compared with office blood pressure in the general population: follow-up results from the Pressioni Arteriose Monitorate e Loro Associazioni (PAMELA) study." </w:t>
      </w:r>
      <w:r w:rsidRPr="00543BF2">
        <w:rPr>
          <w:u w:val="single"/>
        </w:rPr>
        <w:t>Circulation</w:t>
      </w:r>
      <w:r w:rsidRPr="00543BF2">
        <w:t xml:space="preserve"> </w:t>
      </w:r>
      <w:r w:rsidRPr="00543BF2">
        <w:rPr>
          <w:b/>
        </w:rPr>
        <w:t>111</w:t>
      </w:r>
      <w:r w:rsidRPr="00543BF2">
        <w:t>(14): 1777-1783.</w:t>
      </w:r>
    </w:p>
    <w:p w14:paraId="7A7A018D" w14:textId="77777777" w:rsidR="00543BF2" w:rsidRPr="00543BF2" w:rsidRDefault="00543BF2" w:rsidP="00543BF2">
      <w:pPr>
        <w:pStyle w:val="EndNoteBibliography"/>
        <w:spacing w:after="0"/>
      </w:pPr>
      <w:r w:rsidRPr="00543BF2">
        <w:t xml:space="preserve">Sharman, J. E., F. S. Howes, G. A. Head, B. P. McGrath, M. Stowasser, M. Schlaich, P. Glasziou and M. R. Nelson (2015). "Home blood pressure monitoring: Australian Expert Consensus Statement." </w:t>
      </w:r>
      <w:r w:rsidRPr="00543BF2">
        <w:rPr>
          <w:u w:val="single"/>
        </w:rPr>
        <w:t>J Hypertens</w:t>
      </w:r>
      <w:r w:rsidRPr="00543BF2">
        <w:t xml:space="preserve"> </w:t>
      </w:r>
      <w:r w:rsidRPr="00543BF2">
        <w:rPr>
          <w:b/>
        </w:rPr>
        <w:t>33</w:t>
      </w:r>
      <w:r w:rsidRPr="00543BF2">
        <w:t>(9): 1721-1728.</w:t>
      </w:r>
    </w:p>
    <w:p w14:paraId="33599369" w14:textId="6288C50E" w:rsidR="00543BF2" w:rsidRPr="00543BF2" w:rsidRDefault="00543BF2" w:rsidP="00543BF2">
      <w:pPr>
        <w:pStyle w:val="EndNoteBibliography"/>
      </w:pPr>
      <w:r w:rsidRPr="00543BF2">
        <w:t>The Royal Australian College of General Practitioners (2018). Guidelines for preventive activities in general practice. East Melbourne, Vic, RACGP.</w:t>
      </w:r>
    </w:p>
    <w:p w14:paraId="3754AEEE" w14:textId="36405CF2" w:rsidR="008C3E5E" w:rsidRPr="00DE3D6C" w:rsidRDefault="00543BF2" w:rsidP="001772F7">
      <w:r>
        <w:fldChar w:fldCharType="end"/>
      </w:r>
    </w:p>
    <w:sectPr w:rsidR="008C3E5E" w:rsidRPr="00DE3D6C" w:rsidSect="00380622">
      <w:headerReference w:type="even" r:id="rId12"/>
      <w:footerReference w:type="default" r:id="rId13"/>
      <w:pgSz w:w="11906" w:h="16838"/>
      <w:pgMar w:top="1440" w:right="1440" w:bottom="1440" w:left="1440" w:header="708" w:footer="7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4F618" w16cid:durableId="204DFC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19E7" w14:textId="77777777" w:rsidR="00340A4B" w:rsidRDefault="00340A4B" w:rsidP="003D699E">
      <w:pPr>
        <w:spacing w:after="0" w:line="240" w:lineRule="auto"/>
      </w:pPr>
      <w:r>
        <w:separator/>
      </w:r>
    </w:p>
  </w:endnote>
  <w:endnote w:type="continuationSeparator" w:id="0">
    <w:p w14:paraId="1EFB8926" w14:textId="77777777" w:rsidR="00340A4B" w:rsidRDefault="00340A4B"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8861022"/>
      <w:docPartObj>
        <w:docPartGallery w:val="Page Numbers (Bottom of Page)"/>
        <w:docPartUnique/>
      </w:docPartObj>
    </w:sdtPr>
    <w:sdtEndPr>
      <w:rPr>
        <w:color w:val="808080" w:themeColor="background1" w:themeShade="80"/>
        <w:spacing w:val="60"/>
      </w:rPr>
    </w:sdtEndPr>
    <w:sdtContent>
      <w:p w14:paraId="1CE2344A" w14:textId="1FB3A264" w:rsidR="00340A4B" w:rsidRDefault="00340A4B"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815F9" w:rsidRPr="002815F9">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JUNE 2019</w:t>
        </w:r>
      </w:p>
      <w:p w14:paraId="2CFCAAC3" w14:textId="5E1B7FAF" w:rsidR="00340A4B" w:rsidRPr="00CF2DFA" w:rsidRDefault="00340A4B" w:rsidP="00DB3780">
        <w:pPr>
          <w:pStyle w:val="Footer"/>
          <w:pBdr>
            <w:top w:val="single" w:sz="4" w:space="1" w:color="D9D9D9" w:themeColor="background1" w:themeShade="D9"/>
          </w:pBdr>
          <w:rPr>
            <w:b/>
            <w:bCs/>
            <w:sz w:val="18"/>
            <w:szCs w:val="18"/>
          </w:rPr>
        </w:pPr>
        <w:r w:rsidRPr="00DB3780">
          <w:rPr>
            <w:color w:val="808080" w:themeColor="background1" w:themeShade="80"/>
            <w:spacing w:val="60"/>
            <w:sz w:val="18"/>
            <w:szCs w:val="18"/>
          </w:rPr>
          <w:t>Application 1572:</w:t>
        </w:r>
        <w:r>
          <w:rPr>
            <w:color w:val="808080" w:themeColor="background1" w:themeShade="80"/>
            <w:spacing w:val="60"/>
            <w:sz w:val="18"/>
            <w:szCs w:val="18"/>
          </w:rPr>
          <w:t xml:space="preserve"> </w:t>
        </w:r>
        <w:r w:rsidRPr="00DB3780">
          <w:rPr>
            <w:color w:val="808080" w:themeColor="background1" w:themeShade="80"/>
            <w:spacing w:val="60"/>
            <w:sz w:val="18"/>
            <w:szCs w:val="18"/>
          </w:rPr>
          <w:t>Diagnosis of hypertension using ambulatory blood pressure monitoring in patients with clinic blood pressure ≥ 140/90mmHg and ≤ 180/110mmHg</w:t>
        </w:r>
      </w:p>
    </w:sdtContent>
  </w:sdt>
  <w:p w14:paraId="742FD74C" w14:textId="77777777" w:rsidR="00340A4B" w:rsidRDefault="00340A4B" w:rsidP="003D699E">
    <w:pPr>
      <w:pStyle w:val="Footer"/>
    </w:pPr>
  </w:p>
  <w:p w14:paraId="6A63845B" w14:textId="77777777" w:rsidR="00340A4B" w:rsidRDefault="0034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7E05" w14:textId="77777777" w:rsidR="00340A4B" w:rsidRDefault="00340A4B" w:rsidP="003D699E">
      <w:pPr>
        <w:spacing w:after="0" w:line="240" w:lineRule="auto"/>
      </w:pPr>
      <w:r>
        <w:separator/>
      </w:r>
    </w:p>
  </w:footnote>
  <w:footnote w:type="continuationSeparator" w:id="0">
    <w:p w14:paraId="183E977D" w14:textId="77777777" w:rsidR="00340A4B" w:rsidRDefault="00340A4B"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7F21F" w14:textId="77777777" w:rsidR="00340A4B" w:rsidRDefault="00340A4B">
    <w:pPr>
      <w:pStyle w:val="Header"/>
    </w:pPr>
    <w:r>
      <w:rPr>
        <w:noProof/>
        <w:lang w:eastAsia="en-AU"/>
      </w:rPr>
      <mc:AlternateContent>
        <mc:Choice Requires="wps">
          <w:drawing>
            <wp:anchor distT="0" distB="0" distL="114300" distR="114300" simplePos="0" relativeHeight="251657728" behindDoc="1" locked="0" layoutInCell="0" allowOverlap="1" wp14:anchorId="4CF6CE8F" wp14:editId="335F1805">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42655C" w14:textId="77777777" w:rsidR="00340A4B" w:rsidRDefault="00340A4B" w:rsidP="00604E5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F6CE8F"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B42655C" w14:textId="77777777" w:rsidR="00340A4B" w:rsidRDefault="00340A4B" w:rsidP="00604E5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F00"/>
    <w:multiLevelType w:val="hybridMultilevel"/>
    <w:tmpl w:val="7714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6017A4"/>
    <w:multiLevelType w:val="hybridMultilevel"/>
    <w:tmpl w:val="DAA22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009D2"/>
    <w:multiLevelType w:val="hybridMultilevel"/>
    <w:tmpl w:val="B78C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76A13"/>
    <w:multiLevelType w:val="hybridMultilevel"/>
    <w:tmpl w:val="BF84C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A05C31"/>
    <w:multiLevelType w:val="hybridMultilevel"/>
    <w:tmpl w:val="D300622E"/>
    <w:lvl w:ilvl="0" w:tplc="9CBEBFF6">
      <w:start w:val="1"/>
      <w:numFmt w:val="decimal"/>
      <w:lvlText w:val="%1."/>
      <w:lvlJc w:val="left"/>
      <w:pPr>
        <w:ind w:left="416" w:hanging="360"/>
      </w:pPr>
      <w:rPr>
        <w:rFonts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9" w15:restartNumberingAfterBreak="0">
    <w:nsid w:val="2D721E5A"/>
    <w:multiLevelType w:val="hybridMultilevel"/>
    <w:tmpl w:val="3D8E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21310"/>
    <w:multiLevelType w:val="hybridMultilevel"/>
    <w:tmpl w:val="3D263F30"/>
    <w:lvl w:ilvl="0" w:tplc="8562A284">
      <w:start w:val="1"/>
      <w:numFmt w:val="decimal"/>
      <w:lvlText w:val="%1."/>
      <w:lvlJc w:val="left"/>
      <w:pPr>
        <w:ind w:left="416" w:hanging="360"/>
      </w:pPr>
      <w:rPr>
        <w:rFonts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11" w15:restartNumberingAfterBreak="0">
    <w:nsid w:val="375A2A19"/>
    <w:multiLevelType w:val="hybridMultilevel"/>
    <w:tmpl w:val="53568D5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ACD7C84"/>
    <w:multiLevelType w:val="multilevel"/>
    <w:tmpl w:val="5C802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4300E7"/>
    <w:multiLevelType w:val="hybridMultilevel"/>
    <w:tmpl w:val="83F4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1438D"/>
    <w:multiLevelType w:val="hybridMultilevel"/>
    <w:tmpl w:val="870EB67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EE819BC"/>
    <w:multiLevelType w:val="hybridMultilevel"/>
    <w:tmpl w:val="EB2825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F3767"/>
    <w:multiLevelType w:val="hybridMultilevel"/>
    <w:tmpl w:val="4EEC3BDA"/>
    <w:lvl w:ilvl="0" w:tplc="AEA8151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692D23"/>
    <w:multiLevelType w:val="hybridMultilevel"/>
    <w:tmpl w:val="B99C2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D03E99"/>
    <w:multiLevelType w:val="multilevel"/>
    <w:tmpl w:val="30302E74"/>
    <w:lvl w:ilvl="0">
      <w:start w:val="1"/>
      <w:numFmt w:val="decimal"/>
      <w:lvlText w:val="%1."/>
      <w:lvlJc w:val="left"/>
      <w:pPr>
        <w:ind w:left="1146" w:hanging="360"/>
      </w:pPr>
      <w:rPr>
        <w:rFonts w:asciiTheme="minorHAnsi" w:eastAsiaTheme="minorHAnsi" w:hAnsiTheme="minorHAnsi" w:cstheme="minorBidi"/>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493076BE"/>
    <w:multiLevelType w:val="hybridMultilevel"/>
    <w:tmpl w:val="69A2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C1039CA"/>
    <w:multiLevelType w:val="hybridMultilevel"/>
    <w:tmpl w:val="854E6DEE"/>
    <w:lvl w:ilvl="0" w:tplc="0C09000F">
      <w:start w:val="1"/>
      <w:numFmt w:val="decimal"/>
      <w:lvlText w:val="%1."/>
      <w:lvlJc w:val="left"/>
      <w:pPr>
        <w:ind w:left="1146" w:hanging="360"/>
      </w:p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E975F1"/>
    <w:multiLevelType w:val="hybridMultilevel"/>
    <w:tmpl w:val="278A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42C52"/>
    <w:multiLevelType w:val="hybridMultilevel"/>
    <w:tmpl w:val="1FE6F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9363C4"/>
    <w:multiLevelType w:val="hybridMultilevel"/>
    <w:tmpl w:val="433CC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1F72E1"/>
    <w:multiLevelType w:val="hybridMultilevel"/>
    <w:tmpl w:val="0C127F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F11E43"/>
    <w:multiLevelType w:val="hybridMultilevel"/>
    <w:tmpl w:val="1FE6F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033132"/>
    <w:multiLevelType w:val="hybridMultilevel"/>
    <w:tmpl w:val="1082A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10EFA"/>
    <w:multiLevelType w:val="hybridMultilevel"/>
    <w:tmpl w:val="6DCED6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240B5B"/>
    <w:multiLevelType w:val="hybridMultilevel"/>
    <w:tmpl w:val="BBF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1C69B7"/>
    <w:multiLevelType w:val="hybridMultilevel"/>
    <w:tmpl w:val="A0987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5417D33"/>
    <w:multiLevelType w:val="hybridMultilevel"/>
    <w:tmpl w:val="F3F45B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15:restartNumberingAfterBreak="0">
    <w:nsid w:val="7A0E36F1"/>
    <w:multiLevelType w:val="hybridMultilevel"/>
    <w:tmpl w:val="D0DC350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7" w15:restartNumberingAfterBreak="0">
    <w:nsid w:val="7A333E37"/>
    <w:multiLevelType w:val="hybridMultilevel"/>
    <w:tmpl w:val="1C1E1E48"/>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8" w15:restartNumberingAfterBreak="0">
    <w:nsid w:val="7B360F70"/>
    <w:multiLevelType w:val="hybridMultilevel"/>
    <w:tmpl w:val="A5C611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E35131"/>
    <w:multiLevelType w:val="hybridMultilevel"/>
    <w:tmpl w:val="95E04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
  </w:num>
  <w:num w:numId="3">
    <w:abstractNumId w:val="5"/>
  </w:num>
  <w:num w:numId="4">
    <w:abstractNumId w:val="31"/>
  </w:num>
  <w:num w:numId="5">
    <w:abstractNumId w:val="34"/>
  </w:num>
  <w:num w:numId="6">
    <w:abstractNumId w:val="20"/>
  </w:num>
  <w:num w:numId="7">
    <w:abstractNumId w:val="3"/>
  </w:num>
  <w:num w:numId="8">
    <w:abstractNumId w:val="2"/>
  </w:num>
  <w:num w:numId="9">
    <w:abstractNumId w:val="22"/>
  </w:num>
  <w:num w:numId="10">
    <w:abstractNumId w:val="12"/>
  </w:num>
  <w:num w:numId="11">
    <w:abstractNumId w:val="12"/>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29"/>
  </w:num>
  <w:num w:numId="13">
    <w:abstractNumId w:val="21"/>
  </w:num>
  <w:num w:numId="14">
    <w:abstractNumId w:val="18"/>
  </w:num>
  <w:num w:numId="15">
    <w:abstractNumId w:val="7"/>
  </w:num>
  <w:num w:numId="16">
    <w:abstractNumId w:val="17"/>
  </w:num>
  <w:num w:numId="17">
    <w:abstractNumId w:val="14"/>
  </w:num>
  <w:num w:numId="18">
    <w:abstractNumId w:val="11"/>
  </w:num>
  <w:num w:numId="19">
    <w:abstractNumId w:val="30"/>
  </w:num>
  <w:num w:numId="20">
    <w:abstractNumId w:val="24"/>
  </w:num>
  <w:num w:numId="21">
    <w:abstractNumId w:val="0"/>
  </w:num>
  <w:num w:numId="22">
    <w:abstractNumId w:val="13"/>
  </w:num>
  <w:num w:numId="23">
    <w:abstractNumId w:val="32"/>
  </w:num>
  <w:num w:numId="24">
    <w:abstractNumId w:val="27"/>
  </w:num>
  <w:num w:numId="25">
    <w:abstractNumId w:val="39"/>
  </w:num>
  <w:num w:numId="26">
    <w:abstractNumId w:val="38"/>
  </w:num>
  <w:num w:numId="27">
    <w:abstractNumId w:val="26"/>
  </w:num>
  <w:num w:numId="28">
    <w:abstractNumId w:val="6"/>
  </w:num>
  <w:num w:numId="29">
    <w:abstractNumId w:val="19"/>
  </w:num>
  <w:num w:numId="30">
    <w:abstractNumId w:val="28"/>
  </w:num>
  <w:num w:numId="31">
    <w:abstractNumId w:val="9"/>
  </w:num>
  <w:num w:numId="32">
    <w:abstractNumId w:val="33"/>
  </w:num>
  <w:num w:numId="33">
    <w:abstractNumId w:val="8"/>
  </w:num>
  <w:num w:numId="34">
    <w:abstractNumId w:val="4"/>
  </w:num>
  <w:num w:numId="35">
    <w:abstractNumId w:val="37"/>
  </w:num>
  <w:num w:numId="36">
    <w:abstractNumId w:val="10"/>
  </w:num>
  <w:num w:numId="37">
    <w:abstractNumId w:val="16"/>
  </w:num>
  <w:num w:numId="38">
    <w:abstractNumId w:val="36"/>
  </w:num>
  <w:num w:numId="39">
    <w:abstractNumId w:val="35"/>
  </w:num>
  <w:num w:numId="40">
    <w:abstractNumId w:val="1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55atafr9wsseewttmxxz54fz925s0fvr2v&quot;&gt;1572 ABPM&lt;record-ids&gt;&lt;item&gt;1&lt;/item&gt;&lt;item&gt;2&lt;/item&gt;&lt;item&gt;3&lt;/item&gt;&lt;item&gt;4&lt;/item&gt;&lt;item&gt;5&lt;/item&gt;&lt;item&gt;6&lt;/item&gt;&lt;item&gt;7&lt;/item&gt;&lt;item&gt;8&lt;/item&gt;&lt;item&gt;9&lt;/item&gt;&lt;item&gt;10&lt;/item&gt;&lt;item&gt;11&lt;/item&gt;&lt;item&gt;12&lt;/item&gt;&lt;item&gt;15&lt;/item&gt;&lt;item&gt;16&lt;/item&gt;&lt;item&gt;17&lt;/item&gt;&lt;item&gt;18&lt;/item&gt;&lt;item&gt;19&lt;/item&gt;&lt;item&gt;20&lt;/item&gt;&lt;item&gt;21&lt;/item&gt;&lt;item&gt;22&lt;/item&gt;&lt;item&gt;23&lt;/item&gt;&lt;/record-ids&gt;&lt;/item&gt;&lt;/Libraries&gt;"/>
  </w:docVars>
  <w:rsids>
    <w:rsidRoot w:val="0044715D"/>
    <w:rsid w:val="00002118"/>
    <w:rsid w:val="00004548"/>
    <w:rsid w:val="00004EF1"/>
    <w:rsid w:val="00014375"/>
    <w:rsid w:val="0002073D"/>
    <w:rsid w:val="0003068E"/>
    <w:rsid w:val="00031652"/>
    <w:rsid w:val="00032F32"/>
    <w:rsid w:val="00033D86"/>
    <w:rsid w:val="00033ECE"/>
    <w:rsid w:val="00034C41"/>
    <w:rsid w:val="00057693"/>
    <w:rsid w:val="00061915"/>
    <w:rsid w:val="00063AC8"/>
    <w:rsid w:val="000656BF"/>
    <w:rsid w:val="0006798B"/>
    <w:rsid w:val="000703BF"/>
    <w:rsid w:val="0007155D"/>
    <w:rsid w:val="00080B23"/>
    <w:rsid w:val="00080D00"/>
    <w:rsid w:val="00086712"/>
    <w:rsid w:val="00092664"/>
    <w:rsid w:val="000951C2"/>
    <w:rsid w:val="000A0FBA"/>
    <w:rsid w:val="000A1009"/>
    <w:rsid w:val="000A335C"/>
    <w:rsid w:val="000A791B"/>
    <w:rsid w:val="000B4F1E"/>
    <w:rsid w:val="000B519A"/>
    <w:rsid w:val="000C3051"/>
    <w:rsid w:val="000C3470"/>
    <w:rsid w:val="000C52CF"/>
    <w:rsid w:val="000D1F92"/>
    <w:rsid w:val="000D61D6"/>
    <w:rsid w:val="000E5423"/>
    <w:rsid w:val="000E7E5C"/>
    <w:rsid w:val="000F406B"/>
    <w:rsid w:val="000F6D36"/>
    <w:rsid w:val="000F7C97"/>
    <w:rsid w:val="000F7FC2"/>
    <w:rsid w:val="00102284"/>
    <w:rsid w:val="0010460F"/>
    <w:rsid w:val="00110EF6"/>
    <w:rsid w:val="0012272F"/>
    <w:rsid w:val="001333CC"/>
    <w:rsid w:val="00142E60"/>
    <w:rsid w:val="001455EC"/>
    <w:rsid w:val="00150317"/>
    <w:rsid w:val="0015769B"/>
    <w:rsid w:val="00165E2F"/>
    <w:rsid w:val="00166624"/>
    <w:rsid w:val="001772F7"/>
    <w:rsid w:val="00181904"/>
    <w:rsid w:val="00185A78"/>
    <w:rsid w:val="00185DEC"/>
    <w:rsid w:val="00186656"/>
    <w:rsid w:val="00187DBE"/>
    <w:rsid w:val="00191E53"/>
    <w:rsid w:val="00193144"/>
    <w:rsid w:val="001942F1"/>
    <w:rsid w:val="00197879"/>
    <w:rsid w:val="001A0D4B"/>
    <w:rsid w:val="001A156C"/>
    <w:rsid w:val="001A330A"/>
    <w:rsid w:val="001B5744"/>
    <w:rsid w:val="001E11C4"/>
    <w:rsid w:val="001E2E7A"/>
    <w:rsid w:val="001E6AB3"/>
    <w:rsid w:val="001F2A5C"/>
    <w:rsid w:val="001F3CB9"/>
    <w:rsid w:val="002109ED"/>
    <w:rsid w:val="0021276E"/>
    <w:rsid w:val="002226D5"/>
    <w:rsid w:val="002272C1"/>
    <w:rsid w:val="002321A1"/>
    <w:rsid w:val="00241D12"/>
    <w:rsid w:val="00247B84"/>
    <w:rsid w:val="00255A3F"/>
    <w:rsid w:val="00255C8C"/>
    <w:rsid w:val="00260B54"/>
    <w:rsid w:val="00263D12"/>
    <w:rsid w:val="0026674A"/>
    <w:rsid w:val="002731E7"/>
    <w:rsid w:val="00273719"/>
    <w:rsid w:val="00276CAC"/>
    <w:rsid w:val="002777DE"/>
    <w:rsid w:val="002815F9"/>
    <w:rsid w:val="00282B7B"/>
    <w:rsid w:val="002878C2"/>
    <w:rsid w:val="00287E44"/>
    <w:rsid w:val="00292DE9"/>
    <w:rsid w:val="002966E0"/>
    <w:rsid w:val="002A03CE"/>
    <w:rsid w:val="002A4909"/>
    <w:rsid w:val="002A66BD"/>
    <w:rsid w:val="002A6CB4"/>
    <w:rsid w:val="002B031C"/>
    <w:rsid w:val="002B1987"/>
    <w:rsid w:val="002B226C"/>
    <w:rsid w:val="002B3338"/>
    <w:rsid w:val="002B6B33"/>
    <w:rsid w:val="002B6EA4"/>
    <w:rsid w:val="002C1B58"/>
    <w:rsid w:val="002C3AD3"/>
    <w:rsid w:val="002C5DBD"/>
    <w:rsid w:val="002D286E"/>
    <w:rsid w:val="002D40B4"/>
    <w:rsid w:val="002E6187"/>
    <w:rsid w:val="002E628A"/>
    <w:rsid w:val="002F5429"/>
    <w:rsid w:val="002F6088"/>
    <w:rsid w:val="0030256C"/>
    <w:rsid w:val="00303C94"/>
    <w:rsid w:val="003057B0"/>
    <w:rsid w:val="00317F61"/>
    <w:rsid w:val="00321A5E"/>
    <w:rsid w:val="00324951"/>
    <w:rsid w:val="00327BC0"/>
    <w:rsid w:val="00333805"/>
    <w:rsid w:val="00340A4B"/>
    <w:rsid w:val="00342CDE"/>
    <w:rsid w:val="00344044"/>
    <w:rsid w:val="00345533"/>
    <w:rsid w:val="0034591F"/>
    <w:rsid w:val="0035509B"/>
    <w:rsid w:val="00357B08"/>
    <w:rsid w:val="00360D29"/>
    <w:rsid w:val="00362776"/>
    <w:rsid w:val="00363954"/>
    <w:rsid w:val="003741D9"/>
    <w:rsid w:val="00375764"/>
    <w:rsid w:val="00380622"/>
    <w:rsid w:val="00380A9B"/>
    <w:rsid w:val="003813B8"/>
    <w:rsid w:val="00382875"/>
    <w:rsid w:val="003829EB"/>
    <w:rsid w:val="00385527"/>
    <w:rsid w:val="00387B39"/>
    <w:rsid w:val="003954AC"/>
    <w:rsid w:val="003977FA"/>
    <w:rsid w:val="003A1400"/>
    <w:rsid w:val="003A1B39"/>
    <w:rsid w:val="003A790D"/>
    <w:rsid w:val="003A7AE9"/>
    <w:rsid w:val="003B1C29"/>
    <w:rsid w:val="003C685C"/>
    <w:rsid w:val="003D0503"/>
    <w:rsid w:val="003D699E"/>
    <w:rsid w:val="003D7E2A"/>
    <w:rsid w:val="003E0382"/>
    <w:rsid w:val="003E092D"/>
    <w:rsid w:val="003E2ED9"/>
    <w:rsid w:val="003E4171"/>
    <w:rsid w:val="003F0D18"/>
    <w:rsid w:val="003F2384"/>
    <w:rsid w:val="0040243A"/>
    <w:rsid w:val="00402F40"/>
    <w:rsid w:val="0040341E"/>
    <w:rsid w:val="00403446"/>
    <w:rsid w:val="00407371"/>
    <w:rsid w:val="00411511"/>
    <w:rsid w:val="004132F0"/>
    <w:rsid w:val="004220FA"/>
    <w:rsid w:val="0042397C"/>
    <w:rsid w:val="0042483F"/>
    <w:rsid w:val="00427B9C"/>
    <w:rsid w:val="00440228"/>
    <w:rsid w:val="004402E7"/>
    <w:rsid w:val="0044715D"/>
    <w:rsid w:val="004520DA"/>
    <w:rsid w:val="004546B5"/>
    <w:rsid w:val="00471924"/>
    <w:rsid w:val="0047444B"/>
    <w:rsid w:val="00483EDE"/>
    <w:rsid w:val="00484B33"/>
    <w:rsid w:val="004916B5"/>
    <w:rsid w:val="00493E4A"/>
    <w:rsid w:val="004A187C"/>
    <w:rsid w:val="004C1FA9"/>
    <w:rsid w:val="004C4084"/>
    <w:rsid w:val="004D1D41"/>
    <w:rsid w:val="004D25D6"/>
    <w:rsid w:val="004D4210"/>
    <w:rsid w:val="004E455D"/>
    <w:rsid w:val="004E748A"/>
    <w:rsid w:val="004F41F7"/>
    <w:rsid w:val="004F681F"/>
    <w:rsid w:val="00507C8E"/>
    <w:rsid w:val="005102F5"/>
    <w:rsid w:val="005206ED"/>
    <w:rsid w:val="00540C08"/>
    <w:rsid w:val="00543A25"/>
    <w:rsid w:val="00543BF2"/>
    <w:rsid w:val="005457A2"/>
    <w:rsid w:val="00547893"/>
    <w:rsid w:val="0055343D"/>
    <w:rsid w:val="005550A3"/>
    <w:rsid w:val="005640CC"/>
    <w:rsid w:val="00564942"/>
    <w:rsid w:val="005666DF"/>
    <w:rsid w:val="005675F4"/>
    <w:rsid w:val="00571BB1"/>
    <w:rsid w:val="00573B9C"/>
    <w:rsid w:val="005817E2"/>
    <w:rsid w:val="00582D1F"/>
    <w:rsid w:val="00585810"/>
    <w:rsid w:val="00585BF9"/>
    <w:rsid w:val="00591ADA"/>
    <w:rsid w:val="005A095E"/>
    <w:rsid w:val="005A19C6"/>
    <w:rsid w:val="005A2E44"/>
    <w:rsid w:val="005C3291"/>
    <w:rsid w:val="005C7289"/>
    <w:rsid w:val="005C7B58"/>
    <w:rsid w:val="005D6076"/>
    <w:rsid w:val="005E1F46"/>
    <w:rsid w:val="005E43E9"/>
    <w:rsid w:val="005E45D4"/>
    <w:rsid w:val="005E5423"/>
    <w:rsid w:val="005E5FFE"/>
    <w:rsid w:val="005E716B"/>
    <w:rsid w:val="005F4D2F"/>
    <w:rsid w:val="005F71E4"/>
    <w:rsid w:val="00603270"/>
    <w:rsid w:val="006043F0"/>
    <w:rsid w:val="00604E52"/>
    <w:rsid w:val="006101AB"/>
    <w:rsid w:val="00612F64"/>
    <w:rsid w:val="006140B7"/>
    <w:rsid w:val="00620818"/>
    <w:rsid w:val="006254C2"/>
    <w:rsid w:val="00625D1E"/>
    <w:rsid w:val="00627B5C"/>
    <w:rsid w:val="00635D88"/>
    <w:rsid w:val="00644920"/>
    <w:rsid w:val="00645704"/>
    <w:rsid w:val="006502B9"/>
    <w:rsid w:val="00653696"/>
    <w:rsid w:val="00653E42"/>
    <w:rsid w:val="00655327"/>
    <w:rsid w:val="00665896"/>
    <w:rsid w:val="00667271"/>
    <w:rsid w:val="00667712"/>
    <w:rsid w:val="006726F4"/>
    <w:rsid w:val="00673539"/>
    <w:rsid w:val="00677A91"/>
    <w:rsid w:val="0068569C"/>
    <w:rsid w:val="00695588"/>
    <w:rsid w:val="006A05C9"/>
    <w:rsid w:val="006A5462"/>
    <w:rsid w:val="006B6204"/>
    <w:rsid w:val="006C0914"/>
    <w:rsid w:val="006C0D3C"/>
    <w:rsid w:val="006D1643"/>
    <w:rsid w:val="006D1C1E"/>
    <w:rsid w:val="006D3251"/>
    <w:rsid w:val="006E3DC4"/>
    <w:rsid w:val="006E4B36"/>
    <w:rsid w:val="006F2F54"/>
    <w:rsid w:val="00700118"/>
    <w:rsid w:val="00701B16"/>
    <w:rsid w:val="00710781"/>
    <w:rsid w:val="007264AD"/>
    <w:rsid w:val="007272B0"/>
    <w:rsid w:val="00727644"/>
    <w:rsid w:val="00734F81"/>
    <w:rsid w:val="0073757B"/>
    <w:rsid w:val="00751006"/>
    <w:rsid w:val="00752491"/>
    <w:rsid w:val="00753726"/>
    <w:rsid w:val="00756957"/>
    <w:rsid w:val="00762C32"/>
    <w:rsid w:val="007658D1"/>
    <w:rsid w:val="007662D5"/>
    <w:rsid w:val="00781312"/>
    <w:rsid w:val="007816E6"/>
    <w:rsid w:val="00785BC2"/>
    <w:rsid w:val="00785C31"/>
    <w:rsid w:val="0079086D"/>
    <w:rsid w:val="00792843"/>
    <w:rsid w:val="00793D78"/>
    <w:rsid w:val="007A7507"/>
    <w:rsid w:val="007A77E8"/>
    <w:rsid w:val="007A7A3E"/>
    <w:rsid w:val="007B05E2"/>
    <w:rsid w:val="007B0FD6"/>
    <w:rsid w:val="007B1070"/>
    <w:rsid w:val="007B3FCE"/>
    <w:rsid w:val="007B60FD"/>
    <w:rsid w:val="007C43EE"/>
    <w:rsid w:val="007C6687"/>
    <w:rsid w:val="007D044A"/>
    <w:rsid w:val="007D3DDB"/>
    <w:rsid w:val="007D627A"/>
    <w:rsid w:val="007E7E23"/>
    <w:rsid w:val="007F0FF4"/>
    <w:rsid w:val="007F289F"/>
    <w:rsid w:val="007F4E20"/>
    <w:rsid w:val="00803547"/>
    <w:rsid w:val="0080687C"/>
    <w:rsid w:val="00817410"/>
    <w:rsid w:val="008176CF"/>
    <w:rsid w:val="0082113A"/>
    <w:rsid w:val="0082178D"/>
    <w:rsid w:val="00823BAF"/>
    <w:rsid w:val="00827043"/>
    <w:rsid w:val="00831CA9"/>
    <w:rsid w:val="00831E67"/>
    <w:rsid w:val="008425D2"/>
    <w:rsid w:val="00844A77"/>
    <w:rsid w:val="00846FA9"/>
    <w:rsid w:val="008536A9"/>
    <w:rsid w:val="0085637C"/>
    <w:rsid w:val="00856EED"/>
    <w:rsid w:val="00857163"/>
    <w:rsid w:val="0086240B"/>
    <w:rsid w:val="00870120"/>
    <w:rsid w:val="00870245"/>
    <w:rsid w:val="008706D6"/>
    <w:rsid w:val="00871B66"/>
    <w:rsid w:val="00874BA7"/>
    <w:rsid w:val="008757BF"/>
    <w:rsid w:val="00882EDD"/>
    <w:rsid w:val="008839A2"/>
    <w:rsid w:val="008843F6"/>
    <w:rsid w:val="00893E49"/>
    <w:rsid w:val="00894820"/>
    <w:rsid w:val="00895BCC"/>
    <w:rsid w:val="00896845"/>
    <w:rsid w:val="00896A9B"/>
    <w:rsid w:val="008A1546"/>
    <w:rsid w:val="008A28F5"/>
    <w:rsid w:val="008A5B57"/>
    <w:rsid w:val="008A5C62"/>
    <w:rsid w:val="008B3814"/>
    <w:rsid w:val="008C3E5E"/>
    <w:rsid w:val="008C58B0"/>
    <w:rsid w:val="008D066F"/>
    <w:rsid w:val="008D1839"/>
    <w:rsid w:val="008D73A8"/>
    <w:rsid w:val="008F05D4"/>
    <w:rsid w:val="00915AAE"/>
    <w:rsid w:val="00916A75"/>
    <w:rsid w:val="00917C69"/>
    <w:rsid w:val="0092221F"/>
    <w:rsid w:val="009277DE"/>
    <w:rsid w:val="00933BFD"/>
    <w:rsid w:val="00935475"/>
    <w:rsid w:val="00953A84"/>
    <w:rsid w:val="00953ED7"/>
    <w:rsid w:val="00954153"/>
    <w:rsid w:val="00956F3B"/>
    <w:rsid w:val="00961A41"/>
    <w:rsid w:val="00973D88"/>
    <w:rsid w:val="009743F5"/>
    <w:rsid w:val="009802FD"/>
    <w:rsid w:val="009805A2"/>
    <w:rsid w:val="009831CE"/>
    <w:rsid w:val="009B2D22"/>
    <w:rsid w:val="009B6A86"/>
    <w:rsid w:val="009C0633"/>
    <w:rsid w:val="009C0C5C"/>
    <w:rsid w:val="009C1608"/>
    <w:rsid w:val="009C2163"/>
    <w:rsid w:val="009C5C9A"/>
    <w:rsid w:val="009C659D"/>
    <w:rsid w:val="009D0836"/>
    <w:rsid w:val="009D24BE"/>
    <w:rsid w:val="009D6757"/>
    <w:rsid w:val="009E1DE0"/>
    <w:rsid w:val="009E2A25"/>
    <w:rsid w:val="009E5295"/>
    <w:rsid w:val="009F238A"/>
    <w:rsid w:val="009F39BE"/>
    <w:rsid w:val="009F5E0F"/>
    <w:rsid w:val="009F7D34"/>
    <w:rsid w:val="009F7DBF"/>
    <w:rsid w:val="00A02A53"/>
    <w:rsid w:val="00A03631"/>
    <w:rsid w:val="00A04D95"/>
    <w:rsid w:val="00A062E1"/>
    <w:rsid w:val="00A34380"/>
    <w:rsid w:val="00A420C2"/>
    <w:rsid w:val="00A421E3"/>
    <w:rsid w:val="00A42401"/>
    <w:rsid w:val="00A43EF8"/>
    <w:rsid w:val="00A443E8"/>
    <w:rsid w:val="00A47388"/>
    <w:rsid w:val="00A601AC"/>
    <w:rsid w:val="00A60B45"/>
    <w:rsid w:val="00A76568"/>
    <w:rsid w:val="00A773D8"/>
    <w:rsid w:val="00A84A56"/>
    <w:rsid w:val="00A861C3"/>
    <w:rsid w:val="00A94771"/>
    <w:rsid w:val="00AA3792"/>
    <w:rsid w:val="00AA79B4"/>
    <w:rsid w:val="00AB1F47"/>
    <w:rsid w:val="00AB5DAF"/>
    <w:rsid w:val="00AC3CAF"/>
    <w:rsid w:val="00AD281D"/>
    <w:rsid w:val="00AD4596"/>
    <w:rsid w:val="00AE555C"/>
    <w:rsid w:val="00AE5AF3"/>
    <w:rsid w:val="00AF20A2"/>
    <w:rsid w:val="00AF2A4B"/>
    <w:rsid w:val="00B0213D"/>
    <w:rsid w:val="00B116BC"/>
    <w:rsid w:val="00B13BEA"/>
    <w:rsid w:val="00B14769"/>
    <w:rsid w:val="00B148A9"/>
    <w:rsid w:val="00B2147E"/>
    <w:rsid w:val="00B21845"/>
    <w:rsid w:val="00B21D00"/>
    <w:rsid w:val="00B22C20"/>
    <w:rsid w:val="00B27B08"/>
    <w:rsid w:val="00B316C0"/>
    <w:rsid w:val="00B31718"/>
    <w:rsid w:val="00B31DFE"/>
    <w:rsid w:val="00B33103"/>
    <w:rsid w:val="00B36DC0"/>
    <w:rsid w:val="00B371DF"/>
    <w:rsid w:val="00B41C22"/>
    <w:rsid w:val="00B44189"/>
    <w:rsid w:val="00B45971"/>
    <w:rsid w:val="00B46A0A"/>
    <w:rsid w:val="00B6193C"/>
    <w:rsid w:val="00B643E2"/>
    <w:rsid w:val="00B71CF1"/>
    <w:rsid w:val="00B72E8D"/>
    <w:rsid w:val="00B74B4D"/>
    <w:rsid w:val="00B82DD9"/>
    <w:rsid w:val="00B83C0D"/>
    <w:rsid w:val="00B85D39"/>
    <w:rsid w:val="00B8613A"/>
    <w:rsid w:val="00B92C19"/>
    <w:rsid w:val="00B93699"/>
    <w:rsid w:val="00BA18A9"/>
    <w:rsid w:val="00BA4A4F"/>
    <w:rsid w:val="00BA63AA"/>
    <w:rsid w:val="00BA665F"/>
    <w:rsid w:val="00BB0348"/>
    <w:rsid w:val="00BC155B"/>
    <w:rsid w:val="00BC2C45"/>
    <w:rsid w:val="00BC30D1"/>
    <w:rsid w:val="00BC4BD1"/>
    <w:rsid w:val="00BD7333"/>
    <w:rsid w:val="00BE5230"/>
    <w:rsid w:val="00BF33D3"/>
    <w:rsid w:val="00BF4466"/>
    <w:rsid w:val="00C00286"/>
    <w:rsid w:val="00C02335"/>
    <w:rsid w:val="00C16740"/>
    <w:rsid w:val="00C22CA5"/>
    <w:rsid w:val="00C23ACE"/>
    <w:rsid w:val="00C35C01"/>
    <w:rsid w:val="00C377B1"/>
    <w:rsid w:val="00C42E43"/>
    <w:rsid w:val="00C46D0F"/>
    <w:rsid w:val="00C476E0"/>
    <w:rsid w:val="00C5010B"/>
    <w:rsid w:val="00C501CF"/>
    <w:rsid w:val="00C504CD"/>
    <w:rsid w:val="00C51006"/>
    <w:rsid w:val="00C52DC9"/>
    <w:rsid w:val="00C57A21"/>
    <w:rsid w:val="00C61965"/>
    <w:rsid w:val="00C61AF7"/>
    <w:rsid w:val="00C63A94"/>
    <w:rsid w:val="00C64B3C"/>
    <w:rsid w:val="00C72078"/>
    <w:rsid w:val="00C73FAD"/>
    <w:rsid w:val="00C77C0B"/>
    <w:rsid w:val="00C82FAB"/>
    <w:rsid w:val="00C8369B"/>
    <w:rsid w:val="00C852E8"/>
    <w:rsid w:val="00C86CC7"/>
    <w:rsid w:val="00C878A6"/>
    <w:rsid w:val="00C9571E"/>
    <w:rsid w:val="00C9630A"/>
    <w:rsid w:val="00C96F25"/>
    <w:rsid w:val="00CA60D8"/>
    <w:rsid w:val="00CA62FA"/>
    <w:rsid w:val="00CB0F32"/>
    <w:rsid w:val="00CB101A"/>
    <w:rsid w:val="00CB29C6"/>
    <w:rsid w:val="00CB2A1A"/>
    <w:rsid w:val="00CB46CB"/>
    <w:rsid w:val="00CB6086"/>
    <w:rsid w:val="00CB64A2"/>
    <w:rsid w:val="00CC2503"/>
    <w:rsid w:val="00CC60B0"/>
    <w:rsid w:val="00CD0301"/>
    <w:rsid w:val="00CD5729"/>
    <w:rsid w:val="00CE40A6"/>
    <w:rsid w:val="00CE6846"/>
    <w:rsid w:val="00CF1C6D"/>
    <w:rsid w:val="00CF619B"/>
    <w:rsid w:val="00D00D88"/>
    <w:rsid w:val="00D0771F"/>
    <w:rsid w:val="00D1758B"/>
    <w:rsid w:val="00D26848"/>
    <w:rsid w:val="00D302A8"/>
    <w:rsid w:val="00D3046E"/>
    <w:rsid w:val="00D33AE9"/>
    <w:rsid w:val="00D43E15"/>
    <w:rsid w:val="00D46C89"/>
    <w:rsid w:val="00D501BF"/>
    <w:rsid w:val="00D63D60"/>
    <w:rsid w:val="00D64A29"/>
    <w:rsid w:val="00D73EF4"/>
    <w:rsid w:val="00D74FAF"/>
    <w:rsid w:val="00D80141"/>
    <w:rsid w:val="00D80A02"/>
    <w:rsid w:val="00D8272F"/>
    <w:rsid w:val="00D8281E"/>
    <w:rsid w:val="00D87815"/>
    <w:rsid w:val="00DA2B57"/>
    <w:rsid w:val="00DA3E1C"/>
    <w:rsid w:val="00DB3780"/>
    <w:rsid w:val="00DB3CD9"/>
    <w:rsid w:val="00DD2AA0"/>
    <w:rsid w:val="00DD456A"/>
    <w:rsid w:val="00DD7EC0"/>
    <w:rsid w:val="00DE0DC5"/>
    <w:rsid w:val="00DE3D6C"/>
    <w:rsid w:val="00DE7839"/>
    <w:rsid w:val="00DF185F"/>
    <w:rsid w:val="00DF2D4E"/>
    <w:rsid w:val="00E0002D"/>
    <w:rsid w:val="00E0361D"/>
    <w:rsid w:val="00E04818"/>
    <w:rsid w:val="00E06050"/>
    <w:rsid w:val="00E14F62"/>
    <w:rsid w:val="00E153AD"/>
    <w:rsid w:val="00E17F93"/>
    <w:rsid w:val="00E26E02"/>
    <w:rsid w:val="00E320E3"/>
    <w:rsid w:val="00E32BB0"/>
    <w:rsid w:val="00E364F7"/>
    <w:rsid w:val="00E46B27"/>
    <w:rsid w:val="00E46C0B"/>
    <w:rsid w:val="00E47163"/>
    <w:rsid w:val="00E53E41"/>
    <w:rsid w:val="00E571D3"/>
    <w:rsid w:val="00E579FE"/>
    <w:rsid w:val="00E63213"/>
    <w:rsid w:val="00E65A21"/>
    <w:rsid w:val="00E662AF"/>
    <w:rsid w:val="00E77F5A"/>
    <w:rsid w:val="00E83EA4"/>
    <w:rsid w:val="00E924FF"/>
    <w:rsid w:val="00E93717"/>
    <w:rsid w:val="00E968F6"/>
    <w:rsid w:val="00E96A55"/>
    <w:rsid w:val="00EA0346"/>
    <w:rsid w:val="00EA09C5"/>
    <w:rsid w:val="00EA137F"/>
    <w:rsid w:val="00EA3FD4"/>
    <w:rsid w:val="00EB1BDF"/>
    <w:rsid w:val="00EB63BC"/>
    <w:rsid w:val="00EB6740"/>
    <w:rsid w:val="00EB67AF"/>
    <w:rsid w:val="00EC2A86"/>
    <w:rsid w:val="00EC7129"/>
    <w:rsid w:val="00ED06FF"/>
    <w:rsid w:val="00ED771D"/>
    <w:rsid w:val="00EE2BC1"/>
    <w:rsid w:val="00EE3C78"/>
    <w:rsid w:val="00EE7A1F"/>
    <w:rsid w:val="00EF2590"/>
    <w:rsid w:val="00EF41E8"/>
    <w:rsid w:val="00EF6479"/>
    <w:rsid w:val="00F0053D"/>
    <w:rsid w:val="00F010E3"/>
    <w:rsid w:val="00F0186F"/>
    <w:rsid w:val="00F0264A"/>
    <w:rsid w:val="00F03562"/>
    <w:rsid w:val="00F06D87"/>
    <w:rsid w:val="00F10BFA"/>
    <w:rsid w:val="00F12E59"/>
    <w:rsid w:val="00F140AA"/>
    <w:rsid w:val="00F17B6E"/>
    <w:rsid w:val="00F35C5A"/>
    <w:rsid w:val="00F4622B"/>
    <w:rsid w:val="00F50E48"/>
    <w:rsid w:val="00F52615"/>
    <w:rsid w:val="00F5465D"/>
    <w:rsid w:val="00F64E40"/>
    <w:rsid w:val="00F6512C"/>
    <w:rsid w:val="00F66C65"/>
    <w:rsid w:val="00F67674"/>
    <w:rsid w:val="00F715B8"/>
    <w:rsid w:val="00F75A6B"/>
    <w:rsid w:val="00F76968"/>
    <w:rsid w:val="00F77567"/>
    <w:rsid w:val="00F808C7"/>
    <w:rsid w:val="00F83164"/>
    <w:rsid w:val="00F87D40"/>
    <w:rsid w:val="00F9680A"/>
    <w:rsid w:val="00F97032"/>
    <w:rsid w:val="00FA2E51"/>
    <w:rsid w:val="00FA522E"/>
    <w:rsid w:val="00FB0614"/>
    <w:rsid w:val="00FB114D"/>
    <w:rsid w:val="00FB77C0"/>
    <w:rsid w:val="00FC0945"/>
    <w:rsid w:val="00FC323D"/>
    <w:rsid w:val="00FC3F20"/>
    <w:rsid w:val="00FC752E"/>
    <w:rsid w:val="00FD1392"/>
    <w:rsid w:val="00FD1825"/>
    <w:rsid w:val="00FE1D3B"/>
    <w:rsid w:val="00FE6754"/>
    <w:rsid w:val="00FF197A"/>
    <w:rsid w:val="00FF25A4"/>
    <w:rsid w:val="00FF39DC"/>
    <w:rsid w:val="00FF5347"/>
    <w:rsid w:val="00FF56E0"/>
    <w:rsid w:val="00FF6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9F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604E52"/>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71BB1"/>
    <w:pPr>
      <w:autoSpaceDE w:val="0"/>
      <w:autoSpaceDN w:val="0"/>
      <w:adjustRightInd w:val="0"/>
      <w:spacing w:after="0" w:line="240" w:lineRule="auto"/>
    </w:pPr>
    <w:rPr>
      <w:rFonts w:ascii="Arial" w:hAnsi="Arial" w:cs="Arial"/>
      <w:color w:val="000000"/>
      <w:szCs w:val="24"/>
    </w:rPr>
  </w:style>
  <w:style w:type="table" w:customStyle="1" w:styleId="TableGrid2">
    <w:name w:val="Table Grid2"/>
    <w:basedOn w:val="TableNormal"/>
    <w:next w:val="TableGrid"/>
    <w:uiPriority w:val="59"/>
    <w:rsid w:val="00916A7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703BF"/>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0703BF"/>
    <w:rPr>
      <w:rFonts w:ascii="Calibri" w:eastAsia="Calibri" w:hAnsi="Calibri" w:cs="Calibri"/>
      <w:noProof/>
      <w:sz w:val="22"/>
      <w:lang w:val="en-US"/>
    </w:rPr>
  </w:style>
  <w:style w:type="paragraph" w:customStyle="1" w:styleId="EndNoteBibliography">
    <w:name w:val="EndNote Bibliography"/>
    <w:basedOn w:val="Normal"/>
    <w:link w:val="EndNoteBibliographyChar"/>
    <w:rsid w:val="000703B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0703BF"/>
    <w:rPr>
      <w:rFonts w:ascii="Calibri" w:eastAsia="Calibri" w:hAnsi="Calibri" w:cs="Calibri"/>
      <w:noProof/>
      <w:sz w:val="22"/>
      <w:lang w:val="en-US"/>
    </w:rPr>
  </w:style>
  <w:style w:type="table" w:customStyle="1" w:styleId="PlainTable11">
    <w:name w:val="Plain Table 11"/>
    <w:basedOn w:val="TableNormal"/>
    <w:uiPriority w:val="41"/>
    <w:rsid w:val="00567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5675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67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qFormat/>
    <w:rsid w:val="005675F4"/>
    <w:pPr>
      <w:spacing w:before="60" w:after="60" w:line="240" w:lineRule="auto"/>
      <w:ind w:firstLineChars="100" w:firstLine="200"/>
    </w:pPr>
    <w:rPr>
      <w:rFonts w:asciiTheme="minorHAnsi" w:eastAsia="Times New Roman" w:hAnsiTheme="minorHAnsi" w:cs="Arial"/>
      <w:sz w:val="20"/>
      <w:szCs w:val="20"/>
      <w:lang w:eastAsia="en-AU"/>
    </w:rPr>
  </w:style>
  <w:style w:type="table" w:customStyle="1" w:styleId="TableGrid4">
    <w:name w:val="Table Grid4"/>
    <w:basedOn w:val="TableNormal"/>
    <w:next w:val="TableGrid"/>
    <w:uiPriority w:val="59"/>
    <w:rsid w:val="0027371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EDD"/>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4343">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83965469">
      <w:bodyDiv w:val="1"/>
      <w:marLeft w:val="0"/>
      <w:marRight w:val="0"/>
      <w:marTop w:val="0"/>
      <w:marBottom w:val="0"/>
      <w:divBdr>
        <w:top w:val="none" w:sz="0" w:space="0" w:color="auto"/>
        <w:left w:val="none" w:sz="0" w:space="0" w:color="auto"/>
        <w:bottom w:val="none" w:sz="0" w:space="0" w:color="auto"/>
        <w:right w:val="none" w:sz="0" w:space="0" w:color="auto"/>
      </w:divBdr>
    </w:div>
    <w:div w:id="915288322">
      <w:bodyDiv w:val="1"/>
      <w:marLeft w:val="0"/>
      <w:marRight w:val="0"/>
      <w:marTop w:val="0"/>
      <w:marBottom w:val="0"/>
      <w:divBdr>
        <w:top w:val="none" w:sz="0" w:space="0" w:color="auto"/>
        <w:left w:val="none" w:sz="0" w:space="0" w:color="auto"/>
        <w:bottom w:val="none" w:sz="0" w:space="0" w:color="auto"/>
        <w:right w:val="none" w:sz="0" w:space="0" w:color="auto"/>
      </w:divBdr>
    </w:div>
    <w:div w:id="950167239">
      <w:bodyDiv w:val="1"/>
      <w:marLeft w:val="0"/>
      <w:marRight w:val="0"/>
      <w:marTop w:val="0"/>
      <w:marBottom w:val="0"/>
      <w:divBdr>
        <w:top w:val="none" w:sz="0" w:space="0" w:color="auto"/>
        <w:left w:val="none" w:sz="0" w:space="0" w:color="auto"/>
        <w:bottom w:val="none" w:sz="0" w:space="0" w:color="auto"/>
        <w:right w:val="none" w:sz="0" w:space="0" w:color="auto"/>
      </w:divBdr>
    </w:div>
    <w:div w:id="113895327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93715213">
      <w:bodyDiv w:val="1"/>
      <w:marLeft w:val="0"/>
      <w:marRight w:val="0"/>
      <w:marTop w:val="0"/>
      <w:marBottom w:val="0"/>
      <w:divBdr>
        <w:top w:val="none" w:sz="0" w:space="0" w:color="auto"/>
        <w:left w:val="none" w:sz="0" w:space="0" w:color="auto"/>
        <w:bottom w:val="none" w:sz="0" w:space="0" w:color="auto"/>
        <w:right w:val="none" w:sz="0" w:space="0" w:color="auto"/>
      </w:divBdr>
    </w:div>
    <w:div w:id="1751660350">
      <w:bodyDiv w:val="1"/>
      <w:marLeft w:val="0"/>
      <w:marRight w:val="0"/>
      <w:marTop w:val="0"/>
      <w:marBottom w:val="0"/>
      <w:divBdr>
        <w:top w:val="none" w:sz="0" w:space="0" w:color="auto"/>
        <w:left w:val="none" w:sz="0" w:space="0" w:color="auto"/>
        <w:bottom w:val="none" w:sz="0" w:space="0" w:color="auto"/>
        <w:right w:val="none" w:sz="0" w:space="0" w:color="auto"/>
      </w:divBdr>
    </w:div>
    <w:div w:id="181922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357E-DBB1-49F1-9A92-A397CC59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8579</Words>
  <Characters>48904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2019-06-27T06:39:00Z</dcterms:created>
  <dcterms:modified xsi:type="dcterms:W3CDTF">2019-10-21T04:26:00Z</dcterms:modified>
</cp:coreProperties>
</file>