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D2D63" w14:textId="77777777" w:rsidR="0044715D" w:rsidRPr="00315E9C" w:rsidRDefault="0044715D" w:rsidP="0044715D">
      <w:pPr>
        <w:spacing w:before="120" w:after="120" w:line="312" w:lineRule="auto"/>
        <w:jc w:val="center"/>
        <w:rPr>
          <w:sz w:val="20"/>
          <w:szCs w:val="20"/>
        </w:rPr>
      </w:pPr>
      <w:bookmarkStart w:id="0" w:name="_Toc403747457"/>
      <w:bookmarkStart w:id="1" w:name="_Toc412039297"/>
      <w:r w:rsidRPr="00315E9C">
        <w:rPr>
          <w:b/>
          <w:noProof/>
          <w:sz w:val="20"/>
          <w:szCs w:val="20"/>
          <w:lang w:eastAsia="en-AU"/>
        </w:rPr>
        <w:drawing>
          <wp:inline distT="0" distB="0" distL="0" distR="0" wp14:anchorId="5FE5CD22" wp14:editId="0DFB72FD">
            <wp:extent cx="2406216" cy="1562100"/>
            <wp:effectExtent l="0" t="0" r="0" b="0"/>
            <wp:docPr id="1" name="Picture 2"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182" cy="1562727"/>
                    </a:xfrm>
                    <a:prstGeom prst="rect">
                      <a:avLst/>
                    </a:prstGeom>
                    <a:noFill/>
                    <a:ln>
                      <a:noFill/>
                    </a:ln>
                  </pic:spPr>
                </pic:pic>
              </a:graphicData>
            </a:graphic>
          </wp:inline>
        </w:drawing>
      </w:r>
    </w:p>
    <w:p w14:paraId="6DB32187" w14:textId="77777777" w:rsidR="00303C94" w:rsidRPr="00315E9C" w:rsidRDefault="00303C94" w:rsidP="00F4622B">
      <w:pPr>
        <w:pStyle w:val="Heading10"/>
        <w:jc w:val="center"/>
        <w:rPr>
          <w:rFonts w:asciiTheme="minorHAnsi" w:hAnsiTheme="minorHAnsi" w:cstheme="minorHAnsi"/>
          <w:sz w:val="48"/>
          <w:szCs w:val="48"/>
        </w:rPr>
      </w:pPr>
    </w:p>
    <w:p w14:paraId="0C1A2DE9" w14:textId="77777777" w:rsidR="0044715D" w:rsidRPr="00315E9C" w:rsidRDefault="005F4D2F" w:rsidP="00A601AC">
      <w:pPr>
        <w:pStyle w:val="Heading10"/>
        <w:jc w:val="center"/>
        <w:rPr>
          <w:rFonts w:asciiTheme="minorHAnsi" w:hAnsiTheme="minorHAnsi" w:cstheme="minorHAnsi"/>
          <w:sz w:val="48"/>
          <w:szCs w:val="48"/>
        </w:rPr>
      </w:pPr>
      <w:r w:rsidRPr="00315E9C">
        <w:rPr>
          <w:rFonts w:asciiTheme="minorHAnsi" w:hAnsiTheme="minorHAnsi" w:cstheme="minorHAnsi"/>
          <w:sz w:val="48"/>
          <w:szCs w:val="48"/>
        </w:rPr>
        <w:t xml:space="preserve">Application </w:t>
      </w:r>
      <w:r w:rsidR="00B43C3E" w:rsidRPr="00315E9C">
        <w:rPr>
          <w:rFonts w:asciiTheme="minorHAnsi" w:hAnsiTheme="minorHAnsi" w:cstheme="minorHAnsi"/>
          <w:sz w:val="48"/>
          <w:szCs w:val="48"/>
        </w:rPr>
        <w:t>1591</w:t>
      </w:r>
      <w:r w:rsidR="00303C94" w:rsidRPr="00315E9C">
        <w:rPr>
          <w:rFonts w:asciiTheme="minorHAnsi" w:hAnsiTheme="minorHAnsi" w:cstheme="minorHAnsi"/>
          <w:sz w:val="48"/>
          <w:szCs w:val="48"/>
        </w:rPr>
        <w:t>:</w:t>
      </w:r>
    </w:p>
    <w:p w14:paraId="23535C6C" w14:textId="2DF7FCCA" w:rsidR="00961104" w:rsidRPr="00961104" w:rsidRDefault="00961104" w:rsidP="00961104">
      <w:pPr>
        <w:pStyle w:val="Heading10"/>
        <w:jc w:val="center"/>
        <w:rPr>
          <w:color w:val="548DD4" w:themeColor="text2" w:themeTint="99"/>
          <w:sz w:val="48"/>
          <w:szCs w:val="48"/>
        </w:rPr>
      </w:pPr>
      <w:r>
        <w:rPr>
          <w:color w:val="548DD4" w:themeColor="text2" w:themeTint="99"/>
          <w:sz w:val="48"/>
          <w:szCs w:val="48"/>
        </w:rPr>
        <w:t xml:space="preserve">Review of immunoglobulin use for </w:t>
      </w:r>
      <w:bookmarkStart w:id="2" w:name="_GoBack"/>
      <w:bookmarkEnd w:id="2"/>
    </w:p>
    <w:p w14:paraId="635FEC7B" w14:textId="65665EE5" w:rsidR="00303C94" w:rsidRPr="00315E9C" w:rsidRDefault="00B43C3E" w:rsidP="00A601AC">
      <w:pPr>
        <w:pStyle w:val="Heading10"/>
        <w:jc w:val="center"/>
        <w:rPr>
          <w:rFonts w:asciiTheme="minorHAnsi" w:hAnsiTheme="minorHAnsi" w:cstheme="minorHAnsi"/>
          <w:color w:val="548DD4"/>
          <w:sz w:val="48"/>
          <w:szCs w:val="48"/>
        </w:rPr>
      </w:pPr>
      <w:r w:rsidRPr="00315E9C">
        <w:rPr>
          <w:rFonts w:asciiTheme="minorHAnsi" w:hAnsiTheme="minorHAnsi" w:cstheme="minorHAnsi"/>
          <w:color w:val="548DD4"/>
          <w:sz w:val="48"/>
          <w:szCs w:val="48"/>
        </w:rPr>
        <w:t>Secondary Hypogammaglobulinaemia unrelated to haematological malignancies, or post-haemopoietic stem cell transplantation (HSCT)</w:t>
      </w:r>
    </w:p>
    <w:p w14:paraId="7200044C" w14:textId="77777777" w:rsidR="0044715D" w:rsidRPr="00315E9C" w:rsidRDefault="0044715D" w:rsidP="00F4622B">
      <w:pPr>
        <w:pStyle w:val="Heading10"/>
        <w:tabs>
          <w:tab w:val="left" w:pos="5613"/>
        </w:tabs>
        <w:jc w:val="center"/>
        <w:rPr>
          <w:sz w:val="20"/>
          <w:szCs w:val="20"/>
        </w:rPr>
      </w:pPr>
    </w:p>
    <w:p w14:paraId="05B1BABE" w14:textId="77777777" w:rsidR="00D46C89" w:rsidRPr="00315E9C" w:rsidRDefault="00D46C89" w:rsidP="003D699E">
      <w:pPr>
        <w:pStyle w:val="Heading10"/>
        <w:jc w:val="center"/>
        <w:rPr>
          <w:rFonts w:asciiTheme="minorHAnsi" w:hAnsiTheme="minorHAnsi" w:cstheme="minorHAnsi"/>
          <w:sz w:val="72"/>
          <w:szCs w:val="72"/>
        </w:rPr>
      </w:pPr>
      <w:r w:rsidRPr="00315E9C">
        <w:rPr>
          <w:rFonts w:asciiTheme="minorHAnsi" w:hAnsiTheme="minorHAnsi" w:cstheme="minorHAnsi"/>
          <w:sz w:val="72"/>
          <w:szCs w:val="72"/>
        </w:rPr>
        <w:t>PICO Confirmation</w:t>
      </w:r>
    </w:p>
    <w:p w14:paraId="0E55CA7E" w14:textId="77777777" w:rsidR="003D699E" w:rsidRPr="00315E9C" w:rsidRDefault="003D699E" w:rsidP="00382875">
      <w:pPr>
        <w:spacing w:before="180"/>
        <w:jc w:val="center"/>
        <w:rPr>
          <w:rFonts w:asciiTheme="minorHAnsi" w:hAnsiTheme="minorHAnsi" w:cstheme="minorHAnsi"/>
          <w:b/>
          <w:sz w:val="32"/>
          <w:szCs w:val="32"/>
        </w:rPr>
      </w:pPr>
      <w:r w:rsidRPr="00315E9C">
        <w:rPr>
          <w:rFonts w:asciiTheme="minorHAnsi" w:hAnsiTheme="minorHAnsi" w:cstheme="minorHAnsi"/>
          <w:b/>
          <w:sz w:val="32"/>
          <w:szCs w:val="32"/>
        </w:rPr>
        <w:t>(</w:t>
      </w:r>
      <w:r w:rsidR="00A84A56" w:rsidRPr="00315E9C">
        <w:rPr>
          <w:rFonts w:asciiTheme="minorHAnsi" w:hAnsiTheme="minorHAnsi" w:cstheme="minorHAnsi"/>
          <w:b/>
          <w:sz w:val="32"/>
          <w:szCs w:val="32"/>
        </w:rPr>
        <w:t>t</w:t>
      </w:r>
      <w:r w:rsidR="00382875" w:rsidRPr="00315E9C">
        <w:rPr>
          <w:rFonts w:asciiTheme="minorHAnsi" w:hAnsiTheme="minorHAnsi" w:cstheme="minorHAnsi"/>
          <w:b/>
          <w:sz w:val="32"/>
          <w:szCs w:val="32"/>
        </w:rPr>
        <w:t xml:space="preserve">o guide a new </w:t>
      </w:r>
      <w:r w:rsidR="00B43C3E" w:rsidRPr="00315E9C">
        <w:rPr>
          <w:rFonts w:asciiTheme="minorHAnsi" w:hAnsiTheme="minorHAnsi" w:cstheme="minorHAnsi"/>
          <w:b/>
          <w:sz w:val="32"/>
          <w:szCs w:val="32"/>
        </w:rPr>
        <w:t>referral</w:t>
      </w:r>
      <w:r w:rsidR="00382875" w:rsidRPr="00315E9C">
        <w:rPr>
          <w:rFonts w:asciiTheme="minorHAnsi" w:hAnsiTheme="minorHAnsi" w:cstheme="minorHAnsi"/>
          <w:b/>
          <w:sz w:val="32"/>
          <w:szCs w:val="32"/>
        </w:rPr>
        <w:t xml:space="preserve"> to MSAC</w:t>
      </w:r>
      <w:r w:rsidRPr="00315E9C">
        <w:rPr>
          <w:rFonts w:asciiTheme="minorHAnsi" w:hAnsiTheme="minorHAnsi" w:cstheme="minorHAnsi"/>
          <w:b/>
          <w:sz w:val="32"/>
          <w:szCs w:val="32"/>
        </w:rPr>
        <w:t>)</w:t>
      </w:r>
    </w:p>
    <w:p w14:paraId="0C45F17C" w14:textId="77777777" w:rsidR="007E7E23" w:rsidRPr="00315E9C" w:rsidRDefault="007E7E23">
      <w:pPr>
        <w:rPr>
          <w:sz w:val="20"/>
          <w:szCs w:val="20"/>
        </w:rPr>
      </w:pPr>
      <w:r w:rsidRPr="00315E9C">
        <w:rPr>
          <w:sz w:val="20"/>
          <w:szCs w:val="20"/>
        </w:rPr>
        <w:br w:type="page"/>
      </w:r>
    </w:p>
    <w:p w14:paraId="724DCDE1" w14:textId="77777777" w:rsidR="00F12E59" w:rsidRPr="00315E9C" w:rsidRDefault="0044715D" w:rsidP="00E63E99">
      <w:pPr>
        <w:pStyle w:val="Heading2"/>
        <w:rPr>
          <w:i/>
        </w:rPr>
      </w:pPr>
      <w:r w:rsidRPr="00315E9C">
        <w:lastRenderedPageBreak/>
        <w:t xml:space="preserve">Summary of PICO </w:t>
      </w:r>
      <w:r w:rsidRPr="00E63E99">
        <w:t>criteria</w:t>
      </w:r>
      <w:bookmarkEnd w:id="0"/>
      <w:bookmarkEnd w:id="1"/>
      <w:r w:rsidR="00F12E59" w:rsidRPr="00315E9C">
        <w:t xml:space="preserve"> to define the question(s) to be addressed in an Assessment Report to the Medical</w:t>
      </w:r>
      <w:r w:rsidR="00F12E59" w:rsidRPr="00315E9C">
        <w:rPr>
          <w:u w:val="none"/>
        </w:rPr>
        <w:t xml:space="preserve"> </w:t>
      </w:r>
      <w:r w:rsidR="00F12E59" w:rsidRPr="00315E9C">
        <w:t>Services Advisory Committee (MSAC)</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811"/>
        <w:gridCol w:w="7200"/>
      </w:tblGrid>
      <w:tr w:rsidR="0044715D" w:rsidRPr="00315E9C" w14:paraId="558D2289" w14:textId="77777777" w:rsidTr="00A84A56">
        <w:trPr>
          <w:tblHeader/>
        </w:trPr>
        <w:tc>
          <w:tcPr>
            <w:tcW w:w="1005" w:type="pct"/>
            <w:tcBorders>
              <w:top w:val="single" w:sz="8" w:space="0" w:color="auto"/>
              <w:bottom w:val="single" w:sz="8" w:space="0" w:color="auto"/>
              <w:right w:val="single" w:sz="4" w:space="0" w:color="auto"/>
            </w:tcBorders>
            <w:shd w:val="clear" w:color="auto" w:fill="D9D9D9"/>
          </w:tcPr>
          <w:p w14:paraId="2DE0148B" w14:textId="77777777" w:rsidR="0044715D" w:rsidRPr="00315E9C" w:rsidRDefault="00A84A56" w:rsidP="00F12E59">
            <w:pPr>
              <w:spacing w:before="20" w:after="20" w:line="240" w:lineRule="auto"/>
              <w:rPr>
                <w:b/>
                <w:sz w:val="20"/>
                <w:szCs w:val="20"/>
              </w:rPr>
            </w:pPr>
            <w:r w:rsidRPr="00315E9C">
              <w:rPr>
                <w:b/>
                <w:sz w:val="20"/>
                <w:szCs w:val="20"/>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cPr>
          <w:p w14:paraId="0880F03E" w14:textId="77777777" w:rsidR="0044715D" w:rsidRPr="00315E9C" w:rsidRDefault="0044715D" w:rsidP="00574943">
            <w:pPr>
              <w:spacing w:before="20" w:after="20" w:line="240" w:lineRule="auto"/>
              <w:jc w:val="both"/>
              <w:rPr>
                <w:b/>
                <w:sz w:val="20"/>
                <w:szCs w:val="20"/>
              </w:rPr>
            </w:pPr>
            <w:r w:rsidRPr="00315E9C">
              <w:rPr>
                <w:b/>
                <w:sz w:val="20"/>
                <w:szCs w:val="20"/>
              </w:rPr>
              <w:t>Description</w:t>
            </w:r>
          </w:p>
        </w:tc>
      </w:tr>
      <w:tr w:rsidR="008456AF" w:rsidRPr="00315E9C" w14:paraId="3F433294" w14:textId="77777777" w:rsidTr="00A84A56">
        <w:tc>
          <w:tcPr>
            <w:tcW w:w="1005" w:type="pct"/>
            <w:tcBorders>
              <w:top w:val="single" w:sz="8" w:space="0" w:color="auto"/>
              <w:right w:val="single" w:sz="4" w:space="0" w:color="auto"/>
            </w:tcBorders>
          </w:tcPr>
          <w:p w14:paraId="2272BB76" w14:textId="77777777" w:rsidR="008456AF" w:rsidRPr="00315E9C" w:rsidRDefault="008456AF" w:rsidP="00FF2E6D">
            <w:pPr>
              <w:spacing w:after="0" w:line="240" w:lineRule="auto"/>
              <w:rPr>
                <w:rFonts w:cs="Arial"/>
                <w:sz w:val="20"/>
                <w:szCs w:val="20"/>
              </w:rPr>
            </w:pPr>
            <w:r w:rsidRPr="00315E9C">
              <w:rPr>
                <w:rFonts w:cs="Arial"/>
                <w:sz w:val="20"/>
                <w:szCs w:val="20"/>
              </w:rPr>
              <w:t>Patients</w:t>
            </w:r>
          </w:p>
        </w:tc>
        <w:tc>
          <w:tcPr>
            <w:tcW w:w="3995" w:type="pct"/>
            <w:tcBorders>
              <w:top w:val="single" w:sz="4" w:space="0" w:color="auto"/>
              <w:left w:val="single" w:sz="4" w:space="0" w:color="auto"/>
              <w:bottom w:val="single" w:sz="4" w:space="0" w:color="auto"/>
              <w:right w:val="single" w:sz="4" w:space="0" w:color="auto"/>
            </w:tcBorders>
          </w:tcPr>
          <w:p w14:paraId="268E619B" w14:textId="3C1E0C3A" w:rsidR="008456AF" w:rsidRPr="00315E9C" w:rsidRDefault="008456AF" w:rsidP="00FF2E6D">
            <w:pPr>
              <w:spacing w:after="0"/>
              <w:rPr>
                <w:color w:val="FF0000"/>
                <w:sz w:val="20"/>
                <w:szCs w:val="20"/>
                <w:u w:val="dotted"/>
              </w:rPr>
            </w:pPr>
            <w:r w:rsidRPr="00315E9C">
              <w:rPr>
                <w:rFonts w:asciiTheme="minorHAnsi" w:hAnsiTheme="minorHAnsi" w:cstheme="minorHAnsi"/>
                <w:sz w:val="20"/>
                <w:szCs w:val="20"/>
              </w:rPr>
              <w:t xml:space="preserve">Patients with secondary hypogammaglobulinaemia unrelated to haematological malignancy or haemopoeitic stem cell transplant (HSCT) </w:t>
            </w:r>
            <w:r w:rsidRPr="00315E9C">
              <w:rPr>
                <w:rFonts w:asciiTheme="minorHAnsi" w:hAnsiTheme="minorHAnsi" w:cstheme="minorHAnsi"/>
                <w:noProof/>
                <w:sz w:val="20"/>
                <w:szCs w:val="20"/>
              </w:rPr>
              <w:t>who</w:t>
            </w:r>
            <w:r w:rsidRPr="00315E9C">
              <w:rPr>
                <w:rFonts w:asciiTheme="minorHAnsi" w:hAnsiTheme="minorHAnsi" w:cstheme="minorHAnsi"/>
                <w:sz w:val="20"/>
                <w:szCs w:val="20"/>
              </w:rPr>
              <w:t xml:space="preserve"> are currently eligible for immunoglobulin (Ig) treatment according to </w:t>
            </w:r>
            <w:r w:rsidR="00760108" w:rsidRPr="00315E9C">
              <w:rPr>
                <w:rFonts w:asciiTheme="minorHAnsi" w:hAnsiTheme="minorHAnsi" w:cstheme="minorHAnsi"/>
                <w:sz w:val="20"/>
                <w:szCs w:val="20"/>
              </w:rPr>
              <w:t xml:space="preserve">the </w:t>
            </w:r>
            <w:r w:rsidRPr="00315E9C">
              <w:rPr>
                <w:rFonts w:asciiTheme="minorHAnsi" w:hAnsiTheme="minorHAnsi" w:cstheme="minorHAnsi"/>
                <w:sz w:val="20"/>
                <w:szCs w:val="20"/>
              </w:rPr>
              <w:t>Criteria</w:t>
            </w:r>
            <w:r w:rsidR="00760108" w:rsidRPr="00315E9C">
              <w:rPr>
                <w:rFonts w:asciiTheme="minorHAnsi" w:hAnsiTheme="minorHAnsi" w:cstheme="minorHAnsi"/>
                <w:sz w:val="20"/>
                <w:szCs w:val="20"/>
              </w:rPr>
              <w:t xml:space="preserve"> for the Clinical use of Ig in Australia (</w:t>
            </w:r>
            <w:r w:rsidR="00195D90" w:rsidRPr="00315E9C">
              <w:rPr>
                <w:rFonts w:asciiTheme="minorHAnsi" w:hAnsiTheme="minorHAnsi" w:cstheme="minorHAnsi"/>
                <w:sz w:val="20"/>
                <w:szCs w:val="20"/>
              </w:rPr>
              <w:t xml:space="preserve">Criteria </w:t>
            </w:r>
            <w:r w:rsidR="00760108" w:rsidRPr="00315E9C">
              <w:rPr>
                <w:rFonts w:asciiTheme="minorHAnsi" w:hAnsiTheme="minorHAnsi" w:cstheme="minorHAnsi"/>
                <w:sz w:val="20"/>
                <w:szCs w:val="20"/>
              </w:rPr>
              <w:t>version 3</w:t>
            </w:r>
            <w:r w:rsidR="00BD5D51" w:rsidRPr="00315E9C">
              <w:rPr>
                <w:rFonts w:asciiTheme="minorHAnsi" w:hAnsiTheme="minorHAnsi" w:cstheme="minorHAnsi"/>
                <w:sz w:val="20"/>
                <w:szCs w:val="20"/>
              </w:rPr>
              <w:t>)</w:t>
            </w:r>
          </w:p>
        </w:tc>
      </w:tr>
      <w:tr w:rsidR="008456AF" w:rsidRPr="00315E9C" w14:paraId="491F5B5B" w14:textId="77777777" w:rsidTr="00A84A56">
        <w:tc>
          <w:tcPr>
            <w:tcW w:w="1005" w:type="pct"/>
            <w:tcBorders>
              <w:right w:val="single" w:sz="4" w:space="0" w:color="auto"/>
            </w:tcBorders>
          </w:tcPr>
          <w:p w14:paraId="0FF8253F" w14:textId="77777777" w:rsidR="008456AF" w:rsidRPr="00315E9C" w:rsidRDefault="008456AF" w:rsidP="00FF2E6D">
            <w:pPr>
              <w:spacing w:after="20" w:line="240" w:lineRule="auto"/>
              <w:rPr>
                <w:rFonts w:cs="Arial"/>
                <w:sz w:val="20"/>
                <w:szCs w:val="20"/>
              </w:rPr>
            </w:pPr>
            <w:r w:rsidRPr="00315E9C">
              <w:rPr>
                <w:rFonts w:cs="Arial"/>
                <w:sz w:val="20"/>
                <w:szCs w:val="20"/>
              </w:rPr>
              <w:t>Intervention</w:t>
            </w:r>
          </w:p>
        </w:tc>
        <w:tc>
          <w:tcPr>
            <w:tcW w:w="3995" w:type="pct"/>
            <w:tcBorders>
              <w:top w:val="single" w:sz="4" w:space="0" w:color="auto"/>
              <w:left w:val="single" w:sz="4" w:space="0" w:color="auto"/>
              <w:bottom w:val="single" w:sz="4" w:space="0" w:color="auto"/>
              <w:right w:val="single" w:sz="4" w:space="0" w:color="auto"/>
            </w:tcBorders>
          </w:tcPr>
          <w:p w14:paraId="3DB98E52" w14:textId="77777777" w:rsidR="008456AF" w:rsidRPr="00315E9C" w:rsidRDefault="008456AF" w:rsidP="00FF2E6D">
            <w:pPr>
              <w:spacing w:after="0" w:line="240" w:lineRule="auto"/>
              <w:ind w:hanging="76"/>
              <w:rPr>
                <w:rFonts w:asciiTheme="minorHAnsi" w:hAnsiTheme="minorHAnsi" w:cstheme="minorHAnsi"/>
                <w:sz w:val="20"/>
                <w:szCs w:val="20"/>
              </w:rPr>
            </w:pPr>
            <w:r w:rsidRPr="00315E9C">
              <w:rPr>
                <w:rFonts w:asciiTheme="minorHAnsi" w:hAnsiTheme="minorHAnsi" w:cstheme="minorHAnsi"/>
                <w:sz w:val="20"/>
                <w:szCs w:val="20"/>
              </w:rPr>
              <w:t>Replacement IgG therapy with or without antibiotics, including:</w:t>
            </w:r>
          </w:p>
          <w:p w14:paraId="1295AE9E" w14:textId="77777777" w:rsidR="008456AF" w:rsidRPr="00315E9C" w:rsidRDefault="008456AF" w:rsidP="00FF2E6D">
            <w:pPr>
              <w:pStyle w:val="Tablecontents"/>
              <w:numPr>
                <w:ilvl w:val="0"/>
                <w:numId w:val="11"/>
              </w:numPr>
              <w:spacing w:before="0" w:after="0" w:line="276" w:lineRule="auto"/>
              <w:rPr>
                <w:rFonts w:asciiTheme="minorHAnsi" w:hAnsiTheme="minorHAnsi" w:cstheme="minorHAnsi"/>
                <w:sz w:val="20"/>
                <w:szCs w:val="20"/>
              </w:rPr>
            </w:pPr>
            <w:r w:rsidRPr="00315E9C">
              <w:rPr>
                <w:rFonts w:asciiTheme="minorHAnsi" w:hAnsiTheme="minorHAnsi" w:cstheme="minorHAnsi"/>
                <w:sz w:val="20"/>
                <w:szCs w:val="20"/>
              </w:rPr>
              <w:t>IgG by intravenous administration (IVIg) or</w:t>
            </w:r>
          </w:p>
          <w:p w14:paraId="13589A2D" w14:textId="77777777" w:rsidR="008456AF" w:rsidRPr="00315E9C" w:rsidRDefault="008456AF" w:rsidP="00FF2E6D">
            <w:pPr>
              <w:pStyle w:val="ListParagraph"/>
              <w:numPr>
                <w:ilvl w:val="0"/>
                <w:numId w:val="11"/>
              </w:numPr>
              <w:spacing w:after="0"/>
              <w:rPr>
                <w:sz w:val="20"/>
                <w:szCs w:val="20"/>
                <w:u w:val="dotted"/>
              </w:rPr>
            </w:pPr>
            <w:r w:rsidRPr="00315E9C">
              <w:rPr>
                <w:rFonts w:asciiTheme="minorHAnsi" w:hAnsiTheme="minorHAnsi" w:cstheme="minorHAnsi"/>
                <w:sz w:val="20"/>
                <w:szCs w:val="20"/>
              </w:rPr>
              <w:t>IgG subcutaneous administration (SCIg)</w:t>
            </w:r>
          </w:p>
        </w:tc>
      </w:tr>
      <w:tr w:rsidR="008456AF" w:rsidRPr="00315E9C" w14:paraId="00009FD0" w14:textId="77777777" w:rsidTr="00FF2E6D">
        <w:trPr>
          <w:trHeight w:val="289"/>
        </w:trPr>
        <w:tc>
          <w:tcPr>
            <w:tcW w:w="1005" w:type="pct"/>
            <w:tcBorders>
              <w:right w:val="single" w:sz="4" w:space="0" w:color="auto"/>
            </w:tcBorders>
          </w:tcPr>
          <w:p w14:paraId="530095F0" w14:textId="77777777" w:rsidR="008456AF" w:rsidRPr="00315E9C" w:rsidRDefault="008456AF" w:rsidP="00FF2E6D">
            <w:pPr>
              <w:spacing w:after="0" w:line="240" w:lineRule="auto"/>
              <w:rPr>
                <w:rFonts w:cs="Arial"/>
                <w:sz w:val="20"/>
                <w:szCs w:val="20"/>
              </w:rPr>
            </w:pPr>
            <w:r w:rsidRPr="00315E9C">
              <w:rPr>
                <w:rFonts w:cs="Arial"/>
                <w:sz w:val="20"/>
                <w:szCs w:val="20"/>
              </w:rPr>
              <w:t>Comparator</w:t>
            </w:r>
          </w:p>
        </w:tc>
        <w:tc>
          <w:tcPr>
            <w:tcW w:w="3995" w:type="pct"/>
            <w:tcBorders>
              <w:top w:val="single" w:sz="4" w:space="0" w:color="auto"/>
              <w:left w:val="single" w:sz="4" w:space="0" w:color="auto"/>
              <w:bottom w:val="single" w:sz="4" w:space="0" w:color="auto"/>
              <w:right w:val="single" w:sz="4" w:space="0" w:color="auto"/>
            </w:tcBorders>
          </w:tcPr>
          <w:p w14:paraId="5884F6E5" w14:textId="77777777" w:rsidR="008456AF" w:rsidRPr="00315E9C" w:rsidRDefault="008456AF" w:rsidP="00FF2E6D">
            <w:pPr>
              <w:spacing w:after="0"/>
              <w:rPr>
                <w:color w:val="FF0000"/>
                <w:sz w:val="20"/>
                <w:szCs w:val="20"/>
                <w:u w:val="dotted"/>
              </w:rPr>
            </w:pPr>
            <w:r w:rsidRPr="00315E9C">
              <w:rPr>
                <w:rFonts w:asciiTheme="minorHAnsi" w:hAnsiTheme="minorHAnsi" w:cstheme="minorHAnsi"/>
                <w:sz w:val="20"/>
                <w:szCs w:val="20"/>
              </w:rPr>
              <w:t>No IgG therapy with or without antibiotics</w:t>
            </w:r>
          </w:p>
        </w:tc>
      </w:tr>
      <w:tr w:rsidR="008456AF" w:rsidRPr="00315E9C" w14:paraId="6377D2E0" w14:textId="77777777" w:rsidTr="00A84A56">
        <w:tc>
          <w:tcPr>
            <w:tcW w:w="1005" w:type="pct"/>
            <w:tcBorders>
              <w:right w:val="single" w:sz="4" w:space="0" w:color="auto"/>
            </w:tcBorders>
          </w:tcPr>
          <w:p w14:paraId="32FFA244" w14:textId="77777777" w:rsidR="008456AF" w:rsidRPr="00315E9C" w:rsidRDefault="008456AF" w:rsidP="00FF2E6D">
            <w:pPr>
              <w:spacing w:after="20" w:line="240" w:lineRule="auto"/>
              <w:rPr>
                <w:rFonts w:cs="Arial"/>
                <w:sz w:val="20"/>
                <w:szCs w:val="20"/>
              </w:rPr>
            </w:pPr>
            <w:r w:rsidRPr="00315E9C">
              <w:rPr>
                <w:rFonts w:cs="Arial"/>
                <w:sz w:val="20"/>
                <w:szCs w:val="20"/>
              </w:rPr>
              <w:t>Outcomes</w:t>
            </w:r>
          </w:p>
        </w:tc>
        <w:tc>
          <w:tcPr>
            <w:tcW w:w="3995" w:type="pct"/>
            <w:tcBorders>
              <w:top w:val="single" w:sz="4" w:space="0" w:color="auto"/>
              <w:left w:val="single" w:sz="4" w:space="0" w:color="auto"/>
              <w:bottom w:val="single" w:sz="4" w:space="0" w:color="auto"/>
              <w:right w:val="single" w:sz="4" w:space="0" w:color="auto"/>
            </w:tcBorders>
          </w:tcPr>
          <w:p w14:paraId="1400CAEC" w14:textId="77777777" w:rsidR="008456AF" w:rsidRPr="00315E9C" w:rsidRDefault="008456AF" w:rsidP="00FF2E6D">
            <w:pPr>
              <w:pStyle w:val="Tablecontents"/>
              <w:spacing w:before="0" w:line="276" w:lineRule="auto"/>
              <w:jc w:val="both"/>
              <w:rPr>
                <w:rFonts w:asciiTheme="minorHAnsi" w:hAnsiTheme="minorHAnsi" w:cstheme="minorHAnsi"/>
                <w:sz w:val="20"/>
                <w:szCs w:val="20"/>
              </w:rPr>
            </w:pPr>
            <w:r w:rsidRPr="00315E9C">
              <w:rPr>
                <w:rFonts w:asciiTheme="minorHAnsi" w:hAnsiTheme="minorHAnsi" w:cstheme="minorHAnsi"/>
                <w:sz w:val="20"/>
                <w:szCs w:val="20"/>
              </w:rPr>
              <w:t xml:space="preserve">The outcomes listed are those identified in the development of the PICO. Additional </w:t>
            </w:r>
            <w:r w:rsidR="00DD7E6C" w:rsidRPr="00315E9C">
              <w:rPr>
                <w:rFonts w:asciiTheme="minorHAnsi" w:hAnsiTheme="minorHAnsi" w:cstheme="minorHAnsi"/>
                <w:sz w:val="20"/>
                <w:szCs w:val="20"/>
              </w:rPr>
              <w:t xml:space="preserve">relevant </w:t>
            </w:r>
            <w:r w:rsidRPr="00315E9C">
              <w:rPr>
                <w:rFonts w:asciiTheme="minorHAnsi" w:hAnsiTheme="minorHAnsi" w:cstheme="minorHAnsi"/>
                <w:sz w:val="20"/>
                <w:szCs w:val="20"/>
              </w:rPr>
              <w:t xml:space="preserve">outcomes </w:t>
            </w:r>
            <w:r w:rsidR="00DD7E6C" w:rsidRPr="00315E9C">
              <w:rPr>
                <w:rFonts w:asciiTheme="minorHAnsi" w:hAnsiTheme="minorHAnsi" w:cstheme="minorHAnsi"/>
                <w:sz w:val="20"/>
                <w:szCs w:val="20"/>
              </w:rPr>
              <w:t xml:space="preserve">may be </w:t>
            </w:r>
            <w:r w:rsidRPr="00315E9C">
              <w:rPr>
                <w:rFonts w:asciiTheme="minorHAnsi" w:hAnsiTheme="minorHAnsi" w:cstheme="minorHAnsi"/>
                <w:sz w:val="20"/>
                <w:szCs w:val="20"/>
              </w:rPr>
              <w:t xml:space="preserve">identified during the evaluation process. </w:t>
            </w:r>
            <w:r w:rsidR="00DD7E6C" w:rsidRPr="00315E9C">
              <w:rPr>
                <w:rFonts w:asciiTheme="minorHAnsi" w:hAnsiTheme="minorHAnsi" w:cstheme="minorHAnsi"/>
                <w:sz w:val="20"/>
                <w:szCs w:val="20"/>
              </w:rPr>
              <w:t>T</w:t>
            </w:r>
            <w:r w:rsidRPr="00315E9C">
              <w:rPr>
                <w:rFonts w:asciiTheme="minorHAnsi" w:hAnsiTheme="minorHAnsi" w:cstheme="minorHAnsi"/>
                <w:sz w:val="20"/>
                <w:szCs w:val="20"/>
              </w:rPr>
              <w:t xml:space="preserve">he outcomes identified </w:t>
            </w:r>
            <w:r w:rsidR="00DD7E6C" w:rsidRPr="00315E9C">
              <w:rPr>
                <w:rFonts w:asciiTheme="minorHAnsi" w:hAnsiTheme="minorHAnsi" w:cstheme="minorHAnsi"/>
                <w:sz w:val="20"/>
                <w:szCs w:val="20"/>
              </w:rPr>
              <w:t>are:</w:t>
            </w:r>
          </w:p>
          <w:p w14:paraId="7D75742E" w14:textId="77777777" w:rsidR="008456AF" w:rsidRPr="00315E9C" w:rsidRDefault="008456AF" w:rsidP="00FF2E6D">
            <w:pPr>
              <w:pStyle w:val="Tablecontents"/>
              <w:spacing w:before="0" w:line="276" w:lineRule="auto"/>
              <w:ind w:hanging="76"/>
              <w:rPr>
                <w:rFonts w:asciiTheme="minorHAnsi" w:hAnsiTheme="minorHAnsi" w:cstheme="minorHAnsi"/>
                <w:sz w:val="20"/>
                <w:szCs w:val="20"/>
              </w:rPr>
            </w:pPr>
            <w:r w:rsidRPr="00315E9C">
              <w:rPr>
                <w:rFonts w:asciiTheme="minorHAnsi" w:hAnsiTheme="minorHAnsi" w:cstheme="minorHAnsi"/>
                <w:sz w:val="20"/>
                <w:szCs w:val="20"/>
              </w:rPr>
              <w:t>Safety Outcomes:</w:t>
            </w:r>
          </w:p>
          <w:p w14:paraId="1DF70E9C" w14:textId="77777777" w:rsidR="008456AF" w:rsidRPr="00315E9C" w:rsidRDefault="008456AF"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Adverse events</w:t>
            </w:r>
            <w:r w:rsidR="00DD7E6C" w:rsidRPr="00315E9C">
              <w:rPr>
                <w:rFonts w:asciiTheme="minorHAnsi" w:hAnsiTheme="minorHAnsi" w:cstheme="minorHAnsi"/>
                <w:sz w:val="20"/>
                <w:szCs w:val="20"/>
              </w:rPr>
              <w:t xml:space="preserve"> (AEs)</w:t>
            </w:r>
            <w:r w:rsidRPr="00315E9C">
              <w:rPr>
                <w:rFonts w:asciiTheme="minorHAnsi" w:hAnsiTheme="minorHAnsi" w:cstheme="minorHAnsi"/>
                <w:sz w:val="20"/>
                <w:szCs w:val="20"/>
              </w:rPr>
              <w:t xml:space="preserve">, including </w:t>
            </w:r>
            <w:r w:rsidR="00DD7E6C" w:rsidRPr="00315E9C">
              <w:rPr>
                <w:rFonts w:asciiTheme="minorHAnsi" w:hAnsiTheme="minorHAnsi" w:cstheme="minorHAnsi"/>
                <w:sz w:val="20"/>
                <w:szCs w:val="20"/>
              </w:rPr>
              <w:t>hypersensitivity reactions, anaphylaxis, veno-occlusive events</w:t>
            </w:r>
          </w:p>
          <w:p w14:paraId="29F840ED" w14:textId="77777777" w:rsidR="00DD7E6C" w:rsidRPr="00315E9C" w:rsidRDefault="00DD7E6C"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Antibiotic resistance</w:t>
            </w:r>
          </w:p>
          <w:p w14:paraId="33DF9E2A" w14:textId="77777777" w:rsidR="008456AF" w:rsidRPr="00315E9C" w:rsidRDefault="008456AF" w:rsidP="00FF2E6D">
            <w:pPr>
              <w:pStyle w:val="Tablecontents"/>
              <w:spacing w:before="0" w:line="276" w:lineRule="auto"/>
              <w:ind w:left="-76"/>
              <w:rPr>
                <w:rFonts w:asciiTheme="minorHAnsi" w:hAnsiTheme="minorHAnsi" w:cstheme="minorHAnsi"/>
                <w:sz w:val="20"/>
                <w:szCs w:val="20"/>
              </w:rPr>
            </w:pPr>
            <w:r w:rsidRPr="00315E9C">
              <w:rPr>
                <w:rFonts w:asciiTheme="minorHAnsi" w:hAnsiTheme="minorHAnsi" w:cstheme="minorHAnsi"/>
                <w:sz w:val="20"/>
                <w:szCs w:val="20"/>
              </w:rPr>
              <w:t>Clinical effectiveness outcomes:</w:t>
            </w:r>
          </w:p>
          <w:p w14:paraId="78E4FBFB" w14:textId="77CF77D0" w:rsidR="00FF2E6D" w:rsidRPr="00315E9C" w:rsidRDefault="00DD7E6C" w:rsidP="0013165C">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I</w:t>
            </w:r>
            <w:r w:rsidR="008456AF" w:rsidRPr="00315E9C">
              <w:rPr>
                <w:rFonts w:asciiTheme="minorHAnsi" w:hAnsiTheme="minorHAnsi" w:cstheme="minorHAnsi"/>
                <w:sz w:val="20"/>
                <w:szCs w:val="20"/>
              </w:rPr>
              <w:t>nfections</w:t>
            </w:r>
          </w:p>
          <w:p w14:paraId="5000769E" w14:textId="77777777" w:rsidR="0013165C" w:rsidRPr="00315E9C" w:rsidRDefault="0013165C" w:rsidP="0013165C">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 xml:space="preserve">Quality of life </w:t>
            </w:r>
          </w:p>
          <w:p w14:paraId="03A3C1E6" w14:textId="77777777" w:rsidR="008456AF" w:rsidRPr="00315E9C" w:rsidRDefault="008456AF"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 xml:space="preserve">Mortality </w:t>
            </w:r>
          </w:p>
          <w:p w14:paraId="3C5255D1" w14:textId="0C332F3C" w:rsidR="00DD7E6C" w:rsidRPr="00315E9C" w:rsidRDefault="00DD7E6C"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Transplant rejection</w:t>
            </w:r>
            <w:r w:rsidR="00FD6572" w:rsidRPr="00315E9C">
              <w:rPr>
                <w:rFonts w:asciiTheme="minorHAnsi" w:hAnsiTheme="minorHAnsi" w:cstheme="minorHAnsi"/>
                <w:sz w:val="20"/>
                <w:szCs w:val="20"/>
              </w:rPr>
              <w:t xml:space="preserve"> rates</w:t>
            </w:r>
          </w:p>
          <w:p w14:paraId="3DB314C8" w14:textId="71932F36" w:rsidR="00DD7E6C" w:rsidRPr="00315E9C" w:rsidRDefault="0013165C"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IgG trough levels</w:t>
            </w:r>
          </w:p>
          <w:p w14:paraId="1A311F0A" w14:textId="77777777" w:rsidR="00FF2E6D" w:rsidRPr="00315E9C" w:rsidRDefault="00FF2E6D" w:rsidP="00FF2E6D">
            <w:pPr>
              <w:pStyle w:val="Tablecontents"/>
              <w:spacing w:before="0" w:line="276" w:lineRule="auto"/>
              <w:rPr>
                <w:rFonts w:asciiTheme="minorHAnsi" w:hAnsiTheme="minorHAnsi" w:cstheme="minorHAnsi"/>
                <w:sz w:val="20"/>
                <w:szCs w:val="20"/>
              </w:rPr>
            </w:pPr>
            <w:r w:rsidRPr="00315E9C">
              <w:rPr>
                <w:rFonts w:asciiTheme="minorHAnsi" w:hAnsiTheme="minorHAnsi" w:cstheme="minorHAnsi"/>
                <w:sz w:val="20"/>
                <w:szCs w:val="20"/>
              </w:rPr>
              <w:t>Healthcare system resource utilisation:</w:t>
            </w:r>
          </w:p>
          <w:p w14:paraId="03172121" w14:textId="77777777" w:rsidR="00267A42" w:rsidRPr="00315E9C" w:rsidRDefault="00FF2E6D" w:rsidP="00574943">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Ig products</w:t>
            </w:r>
            <w:r w:rsidR="00743296" w:rsidRPr="00315E9C">
              <w:rPr>
                <w:rFonts w:asciiTheme="minorHAnsi" w:hAnsiTheme="minorHAnsi" w:cstheme="minorHAnsi"/>
                <w:sz w:val="20"/>
                <w:szCs w:val="20"/>
              </w:rPr>
              <w:t xml:space="preserve"> </w:t>
            </w:r>
          </w:p>
          <w:p w14:paraId="295E9B33" w14:textId="77777777" w:rsidR="00743296" w:rsidRPr="00315E9C" w:rsidRDefault="00267A42" w:rsidP="00574943">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A</w:t>
            </w:r>
            <w:r w:rsidR="00743296" w:rsidRPr="00315E9C">
              <w:rPr>
                <w:rFonts w:asciiTheme="minorHAnsi" w:hAnsiTheme="minorHAnsi" w:cstheme="minorHAnsi"/>
                <w:sz w:val="20"/>
                <w:szCs w:val="20"/>
              </w:rPr>
              <w:t>ntibiotic use</w:t>
            </w:r>
          </w:p>
          <w:p w14:paraId="2D74AD73" w14:textId="77777777"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Infusion equipment,</w:t>
            </w:r>
          </w:p>
          <w:p w14:paraId="702EEEEA" w14:textId="77777777"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 xml:space="preserve">Administrative and clinician time (e.g. resources associated with requesting, and authorising, access to Ig), </w:t>
            </w:r>
          </w:p>
          <w:p w14:paraId="5390748D" w14:textId="77777777"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Nursing time (for initiation and monitoring if IVIg)</w:t>
            </w:r>
          </w:p>
          <w:p w14:paraId="67D434A4" w14:textId="3AFEFEAF"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Hospitalisation (including length of stay)</w:t>
            </w:r>
          </w:p>
          <w:p w14:paraId="70A307EB" w14:textId="5F9E07E1" w:rsidR="00352C4E" w:rsidRPr="00315E9C" w:rsidRDefault="00352C4E"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ICU admission (including length of stay)</w:t>
            </w:r>
          </w:p>
          <w:p w14:paraId="52F4553D" w14:textId="77777777"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Management of adverse events</w:t>
            </w:r>
          </w:p>
          <w:p w14:paraId="0276E0F4" w14:textId="77777777"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 xml:space="preserve">Training of patient or carer to provide infusions (SCIg only), </w:t>
            </w:r>
          </w:p>
          <w:p w14:paraId="25A09150" w14:textId="77777777" w:rsidR="00FF2E6D" w:rsidRPr="00315E9C" w:rsidRDefault="00FF2E6D" w:rsidP="00FF2E6D">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Product dispensing and disposal of any unused product</w:t>
            </w:r>
          </w:p>
          <w:p w14:paraId="1BF36509" w14:textId="77777777" w:rsidR="008456AF" w:rsidRPr="00315E9C" w:rsidRDefault="00FF2E6D" w:rsidP="00267A42">
            <w:pPr>
              <w:pStyle w:val="Tablecontents"/>
              <w:numPr>
                <w:ilvl w:val="0"/>
                <w:numId w:val="10"/>
              </w:numPr>
              <w:spacing w:before="0" w:line="276" w:lineRule="auto"/>
              <w:rPr>
                <w:rFonts w:asciiTheme="minorHAnsi" w:hAnsiTheme="minorHAnsi" w:cstheme="minorHAnsi"/>
                <w:sz w:val="20"/>
                <w:szCs w:val="20"/>
              </w:rPr>
            </w:pPr>
            <w:r w:rsidRPr="00315E9C">
              <w:rPr>
                <w:rFonts w:asciiTheme="minorHAnsi" w:hAnsiTheme="minorHAnsi" w:cstheme="minorHAnsi"/>
                <w:sz w:val="20"/>
                <w:szCs w:val="20"/>
              </w:rPr>
              <w:t xml:space="preserve">Follow-up and/or monitoring visits </w:t>
            </w:r>
          </w:p>
        </w:tc>
      </w:tr>
    </w:tbl>
    <w:p w14:paraId="1C003002" w14:textId="77777777" w:rsidR="00280E31" w:rsidRPr="00315E9C" w:rsidRDefault="00280E31">
      <w:pPr>
        <w:rPr>
          <w:rFonts w:eastAsia="MS Gothic"/>
          <w:b/>
          <w:bCs/>
          <w:color w:val="548DD4"/>
          <w:u w:val="single"/>
        </w:rPr>
      </w:pPr>
      <w:r w:rsidRPr="00315E9C">
        <w:rPr>
          <w:rFonts w:eastAsia="MS Gothic"/>
          <w:b/>
          <w:bCs/>
          <w:color w:val="548DD4"/>
          <w:u w:val="single"/>
        </w:rPr>
        <w:br w:type="page"/>
      </w:r>
    </w:p>
    <w:p w14:paraId="4E3E8183" w14:textId="77777777" w:rsidR="007F4E20" w:rsidRPr="00315E9C" w:rsidRDefault="00E364F7" w:rsidP="00E63E99">
      <w:pPr>
        <w:pStyle w:val="Heading2"/>
      </w:pPr>
      <w:r w:rsidRPr="00315E9C">
        <w:lastRenderedPageBreak/>
        <w:t>PICO</w:t>
      </w:r>
      <w:r w:rsidR="00953ED7" w:rsidRPr="00315E9C">
        <w:t xml:space="preserve"> </w:t>
      </w:r>
      <w:r w:rsidRPr="00315E9C">
        <w:t>rationale</w:t>
      </w:r>
      <w:r w:rsidR="006D1643" w:rsidRPr="00315E9C">
        <w:t xml:space="preserve"> for therapeutic </w:t>
      </w:r>
      <w:r w:rsidR="00B45971" w:rsidRPr="00315E9C">
        <w:t xml:space="preserve">and investigative </w:t>
      </w:r>
      <w:r w:rsidR="00BA63AA" w:rsidRPr="00315E9C">
        <w:t>medical services only</w:t>
      </w:r>
    </w:p>
    <w:p w14:paraId="4EFB4EB0" w14:textId="77777777" w:rsidR="00123DCF" w:rsidRPr="00315E9C" w:rsidRDefault="00123DCF" w:rsidP="004472CD">
      <w:r w:rsidRPr="00315E9C">
        <w:t xml:space="preserve">Australian Governments, through the Jurisdictional Blood Committee (JBC), have agreed to conduct a robust Health Technology Assessment (HTA) review to ensure Government-funded immunoglobulin (Ig) use within Australia is based on strong evidence of clinical and cost effectiveness. </w:t>
      </w:r>
    </w:p>
    <w:p w14:paraId="1A069673" w14:textId="77777777" w:rsidR="00123DCF" w:rsidRPr="00315E9C" w:rsidRDefault="00123DCF" w:rsidP="004472CD">
      <w:r w:rsidRPr="00315E9C">
        <w:t>This HTA is being conducted through the Medical services Advisory Committee (MSAC) assessment process to review the evidence supporting IgG treatment for the indication of s</w:t>
      </w:r>
      <w:r w:rsidRPr="00315E9C">
        <w:rPr>
          <w:bCs/>
        </w:rPr>
        <w:t>econdary hypogammaglobulinaemia unrelated to haematological malignancy or haem</w:t>
      </w:r>
      <w:r w:rsidR="000203BE" w:rsidRPr="00315E9C">
        <w:rPr>
          <w:bCs/>
        </w:rPr>
        <w:t>at</w:t>
      </w:r>
      <w:r w:rsidRPr="00315E9C">
        <w:rPr>
          <w:bCs/>
        </w:rPr>
        <w:t xml:space="preserve">opoeitic stem cell transplant (HSCT). </w:t>
      </w:r>
      <w:r w:rsidRPr="00315E9C">
        <w:t>The MSAC Immunoglobulin Review Reference Group will oversee all immunoglobulin HTA review applications. The review complements the National Blood Authority (NBA) Immunoglobulin Governance Program which aims to strengthen clinical governance and authorisation of Government funded immunoglobulin in Australia.</w:t>
      </w:r>
    </w:p>
    <w:p w14:paraId="09C66B75" w14:textId="0E68A4E8" w:rsidR="00FF4B6E" w:rsidRPr="00315E9C" w:rsidRDefault="00FF4B6E" w:rsidP="004472CD">
      <w:r w:rsidRPr="00315E9C">
        <w:t>Public funding for immunoglobulins (IgG) for this indication is currently available under the National Blood Arrangements, as specified in the Criteria</w:t>
      </w:r>
      <w:r w:rsidR="00FD6572" w:rsidRPr="00315E9C">
        <w:t xml:space="preserve"> for the Clinical use of immunoglobulin (Ig) in Australia (The Criteria, Version 3)</w:t>
      </w:r>
      <w:r w:rsidR="00115D02" w:rsidRPr="00315E9C">
        <w:t xml:space="preserve"> </w:t>
      </w:r>
      <w:r w:rsidR="00115D02" w:rsidRPr="00315E9C">
        <w:fldChar w:fldCharType="begin"/>
      </w:r>
      <w:r w:rsidR="00115D02" w:rsidRPr="00315E9C">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00115D02" w:rsidRPr="00315E9C">
        <w:fldChar w:fldCharType="separate"/>
      </w:r>
      <w:r w:rsidR="00115D02" w:rsidRPr="00315E9C">
        <w:rPr>
          <w:noProof/>
        </w:rPr>
        <w:t>(1)</w:t>
      </w:r>
      <w:r w:rsidR="00115D02" w:rsidRPr="00315E9C">
        <w:fldChar w:fldCharType="end"/>
      </w:r>
      <w:r w:rsidR="00F34B58" w:rsidRPr="00315E9C">
        <w:t xml:space="preserve">. </w:t>
      </w:r>
      <w:r w:rsidR="00AD208B" w:rsidRPr="00315E9C">
        <w:t xml:space="preserve"> The Criteria is a publication that describes the eligibility criteria that patients must meet to receive Ig that is funded by all Australian governments. The Criteria helps to ensure that Ig is accessed consistently across Australia for the treatment of patients whose health is likely to be improved with Ig therapy </w:t>
      </w:r>
      <w:r w:rsidR="00AD208B" w:rsidRPr="00315E9C">
        <w:fldChar w:fldCharType="begin"/>
      </w:r>
      <w:r w:rsidR="00AD208B" w:rsidRPr="00315E9C">
        <w:instrText xml:space="preserve"> ADDIN EN.CITE &lt;EndNote&gt;&lt;Cite&gt;&lt;Author&gt;NBA&lt;/Author&gt;&lt;Year&gt;2018&lt;/Year&gt;&lt;RecNum&gt;5&lt;/RecNum&gt;&lt;DisplayText&gt;(2)&lt;/DisplayText&gt;&lt;record&gt;&lt;rec-number&gt;5&lt;/rec-number&gt;&lt;foreign-keys&gt;&lt;key app="EN" db-id="5xftwazxqe520uewe2ax9va4adpprzt9xazr" timestamp="1571180365"&gt;5&lt;/key&gt;&lt;/foreign-keys&gt;&lt;ref-type name="Report"&gt;27&lt;/ref-type&gt;&lt;contributors&gt;&lt;authors&gt;&lt;author&gt;NBA&lt;/author&gt;&lt;/authors&gt;&lt;/contributors&gt;&lt;titles&gt;&lt;title&gt;National report on the issue and use of Immunoglobulin (Ig). Annual Report 2015-16&lt;/title&gt;&lt;/titles&gt;&lt;dates&gt;&lt;year&gt;2018&lt;/year&gt;&lt;/dates&gt;&lt;pub-location&gt;National Blood Authority&lt;/pub-location&gt;&lt;urls&gt;&lt;related-urls&gt;&lt;url&gt;https://www.blood.gov.au/system/files/Report-on-the-Issues-and-Use-of-IVIg-2015-16-Final-May18.pdf&lt;/url&gt;&lt;/related-urls&gt;&lt;/urls&gt;&lt;access-date&gt;16/10/19&lt;/access-date&gt;&lt;/record&gt;&lt;/Cite&gt;&lt;/EndNote&gt;</w:instrText>
      </w:r>
      <w:r w:rsidR="00AD208B" w:rsidRPr="00315E9C">
        <w:fldChar w:fldCharType="separate"/>
      </w:r>
      <w:r w:rsidR="00AD208B" w:rsidRPr="00315E9C">
        <w:rPr>
          <w:noProof/>
        </w:rPr>
        <w:t>(2)</w:t>
      </w:r>
      <w:r w:rsidR="00AD208B" w:rsidRPr="00315E9C">
        <w:fldChar w:fldCharType="end"/>
      </w:r>
      <w:r w:rsidR="00AD208B" w:rsidRPr="00315E9C">
        <w:t>.  </w:t>
      </w:r>
    </w:p>
    <w:p w14:paraId="1C152B64" w14:textId="77777777" w:rsidR="00896845" w:rsidRPr="00E63E99" w:rsidRDefault="00896845" w:rsidP="00E63E99">
      <w:pPr>
        <w:pStyle w:val="Heading3"/>
      </w:pPr>
      <w:r w:rsidRPr="00E63E99">
        <w:t>Population</w:t>
      </w:r>
    </w:p>
    <w:p w14:paraId="732E6488" w14:textId="48BCD081" w:rsidR="005178FA" w:rsidRPr="00315E9C" w:rsidRDefault="005178FA" w:rsidP="004472CD">
      <w:r w:rsidRPr="00315E9C">
        <w:t>The population is patients with secondary hypogammaglobulinaemia unrelated to haematological malignancy or HSCT</w:t>
      </w:r>
      <w:r w:rsidR="002A7369" w:rsidRPr="00315E9C">
        <w:t>. Specific conditions include:</w:t>
      </w:r>
    </w:p>
    <w:p w14:paraId="55D3A101" w14:textId="77777777" w:rsidR="002A7369" w:rsidRPr="00315E9C" w:rsidRDefault="002A7369" w:rsidP="004472CD">
      <w:pPr>
        <w:pStyle w:val="ListParagraph"/>
        <w:numPr>
          <w:ilvl w:val="0"/>
          <w:numId w:val="20"/>
        </w:numPr>
      </w:pPr>
      <w:r w:rsidRPr="00315E9C">
        <w:t>Hypogammaglobulinaemia following solid organ transplantation</w:t>
      </w:r>
    </w:p>
    <w:p w14:paraId="32D476E9" w14:textId="77777777" w:rsidR="002A7369" w:rsidRPr="00315E9C" w:rsidRDefault="002A7369" w:rsidP="004472CD">
      <w:pPr>
        <w:pStyle w:val="ListParagraph"/>
        <w:numPr>
          <w:ilvl w:val="0"/>
          <w:numId w:val="20"/>
        </w:numPr>
      </w:pPr>
      <w:r w:rsidRPr="00315E9C">
        <w:t>Hypogammaglobulinaemia following B cell depletion therapy</w:t>
      </w:r>
    </w:p>
    <w:p w14:paraId="1BE2906E" w14:textId="77777777" w:rsidR="002A7369" w:rsidRPr="00315E9C" w:rsidRDefault="002A7369" w:rsidP="004472CD">
      <w:pPr>
        <w:pStyle w:val="ListParagraph"/>
        <w:numPr>
          <w:ilvl w:val="0"/>
          <w:numId w:val="20"/>
        </w:numPr>
      </w:pPr>
      <w:r w:rsidRPr="00315E9C">
        <w:t>Thymoma‐associated hypogammaglobulinaemia (Goods Syndrome)</w:t>
      </w:r>
    </w:p>
    <w:p w14:paraId="5DCB7FE2" w14:textId="77777777" w:rsidR="002A7369" w:rsidRPr="00315E9C" w:rsidRDefault="002A7369" w:rsidP="004472CD">
      <w:pPr>
        <w:pStyle w:val="ListParagraph"/>
        <w:numPr>
          <w:ilvl w:val="0"/>
          <w:numId w:val="20"/>
        </w:numPr>
      </w:pPr>
      <w:r w:rsidRPr="00315E9C">
        <w:t>Other hypogammaglobulinaemia unrelated to haematological malignancies or HSCT</w:t>
      </w:r>
    </w:p>
    <w:p w14:paraId="62F5FC95" w14:textId="686843C9" w:rsidR="00F34B58" w:rsidRPr="00315E9C" w:rsidRDefault="00D42809" w:rsidP="004472CD">
      <w:r w:rsidRPr="00315E9C">
        <w:t>Details on the c</w:t>
      </w:r>
      <w:r w:rsidR="002F62AB" w:rsidRPr="00315E9C">
        <w:t xml:space="preserve">linical criteria to access initial and continuing treatment under this indication </w:t>
      </w:r>
      <w:r w:rsidRPr="00315E9C">
        <w:t xml:space="preserve">are presented in </w:t>
      </w:r>
      <w:r w:rsidRPr="00315E9C">
        <w:fldChar w:fldCharType="begin"/>
      </w:r>
      <w:r w:rsidRPr="00315E9C">
        <w:instrText xml:space="preserve"> REF _Ref22028778 \h </w:instrText>
      </w:r>
      <w:r w:rsidR="004472CD" w:rsidRPr="00315E9C">
        <w:instrText xml:space="preserve"> \* MERGEFORMAT </w:instrText>
      </w:r>
      <w:r w:rsidRPr="00315E9C">
        <w:fldChar w:fldCharType="separate"/>
      </w:r>
      <w:r w:rsidR="00A851D8" w:rsidRPr="00A851D8">
        <w:t xml:space="preserve">Table </w:t>
      </w:r>
      <w:r w:rsidR="00A851D8" w:rsidRPr="00A851D8">
        <w:rPr>
          <w:noProof/>
        </w:rPr>
        <w:t>3</w:t>
      </w:r>
      <w:r w:rsidRPr="00315E9C">
        <w:fldChar w:fldCharType="end"/>
      </w:r>
      <w:r w:rsidRPr="00315E9C">
        <w:t>.</w:t>
      </w:r>
    </w:p>
    <w:p w14:paraId="11E7C729" w14:textId="00B8F379" w:rsidR="000203BE" w:rsidRPr="00315E9C" w:rsidRDefault="000203BE" w:rsidP="004472CD">
      <w:pPr>
        <w:rPr>
          <w:rFonts w:eastAsia="MS Gothic"/>
          <w:b/>
          <w:color w:val="548DD4"/>
          <w:u w:val="single"/>
        </w:rPr>
      </w:pPr>
      <w:r w:rsidRPr="00315E9C">
        <w:rPr>
          <w:szCs w:val="20"/>
        </w:rPr>
        <w:t>Hypogammaglobulinaemia is defined as a serum IgG level &lt;7g/L</w:t>
      </w:r>
      <w:r w:rsidR="00115D02" w:rsidRPr="00315E9C">
        <w:rPr>
          <w:szCs w:val="20"/>
        </w:rPr>
        <w:t xml:space="preserve"> </w:t>
      </w:r>
      <w:r w:rsidR="00115D02" w:rsidRPr="00315E9C">
        <w:rPr>
          <w:szCs w:val="20"/>
        </w:rPr>
        <w:fldChar w:fldCharType="begin"/>
      </w:r>
      <w:r w:rsidR="00AD208B" w:rsidRPr="00315E9C">
        <w:rPr>
          <w:szCs w:val="20"/>
        </w:rPr>
        <w:instrText xml:space="preserve"> ADDIN EN.CITE &lt;EndNote&gt;&lt;Cite&gt;&lt;Author&gt;Florescu&lt;/Author&gt;&lt;Year&gt;2014&lt;/Year&gt;&lt;RecNum&gt;2&lt;/RecNum&gt;&lt;DisplayText&gt;(3)&lt;/DisplayText&gt;&lt;record&gt;&lt;rec-number&gt;2&lt;/rec-number&gt;&lt;foreign-keys&gt;&lt;key app="EN" db-id="5xftwazxqe520uewe2ax9va4adpprzt9xazr" timestamp="1571179211"&gt;2&lt;/key&gt;&lt;/foreign-keys&gt;&lt;ref-type name="Journal Article"&gt;17&lt;/ref-type&gt;&lt;contributors&gt;&lt;authors&gt;&lt;author&gt;Florescu, Diana F&lt;/author&gt;&lt;/authors&gt;&lt;/contributors&gt;&lt;titles&gt;&lt;title&gt;Solid organ transplantation: hypogammaglobulinaemia and infectious complications after solid organ transplantation&lt;/title&gt;&lt;secondary-title&gt;Clinical and experimental immunology&lt;/secondary-title&gt;&lt;/titles&gt;&lt;periodical&gt;&lt;full-title&gt;Clinical and experimental immunology&lt;/full-title&gt;&lt;/periodical&gt;&lt;pages&gt;54&lt;/pages&gt;&lt;volume&gt;178&lt;/volume&gt;&lt;number&gt;Suppl 1&lt;/number&gt;&lt;dates&gt;&lt;year&gt;2014&lt;/year&gt;&lt;/dates&gt;&lt;urls&gt;&lt;/urls&gt;&lt;/record&gt;&lt;/Cite&gt;&lt;/EndNote&gt;</w:instrText>
      </w:r>
      <w:r w:rsidR="00115D02" w:rsidRPr="00315E9C">
        <w:rPr>
          <w:szCs w:val="20"/>
        </w:rPr>
        <w:fldChar w:fldCharType="separate"/>
      </w:r>
      <w:r w:rsidR="00AD208B" w:rsidRPr="00315E9C">
        <w:rPr>
          <w:noProof/>
          <w:szCs w:val="20"/>
        </w:rPr>
        <w:t>(3)</w:t>
      </w:r>
      <w:r w:rsidR="00115D02" w:rsidRPr="00315E9C">
        <w:rPr>
          <w:szCs w:val="20"/>
        </w:rPr>
        <w:fldChar w:fldCharType="end"/>
      </w:r>
      <w:r w:rsidRPr="00315E9C">
        <w:rPr>
          <w:szCs w:val="20"/>
        </w:rPr>
        <w:t xml:space="preserve">. </w:t>
      </w:r>
      <w:r w:rsidRPr="00315E9C">
        <w:t>An abnormal susceptibility to bacterial infections may arise from acquired hypogammaglobulinaemia that has diverse causes, including haematological malignancies and complications of its treatment (considered in acquired hypogammaglobulinaemia related to haematological malignancy and post haemopoietic stem cell transplantation); protein losing states; malnutrition; thymoma, immunosuppressant therapy; and repeated cycles of B-cell depletion therapy (e.g. rituximab), especially when used with immunosuppressant therapy and in children.</w:t>
      </w:r>
    </w:p>
    <w:p w14:paraId="03D01A02" w14:textId="0E97AE26" w:rsidR="00540ED5" w:rsidRPr="00315E9C" w:rsidRDefault="00540ED5" w:rsidP="004472CD">
      <w:r w:rsidRPr="00315E9C">
        <w:t xml:space="preserve">In many cases, successful management of the underlying condition will reverse the hypogammaglobulinaemia. However, in some cases, hypogammaglobulinaemia persists and is complicated by recurrent or severe bacterial infections. Secondary hypogammaglobulinaemia may </w:t>
      </w:r>
      <w:r w:rsidRPr="00315E9C">
        <w:lastRenderedPageBreak/>
        <w:t>occasionally be complicated by a disseminated enterovirus infection, particularly in patients who have received B cell depletion therapy for a B cell lymphoproliferative disorder.</w:t>
      </w:r>
    </w:p>
    <w:p w14:paraId="6C008DA4" w14:textId="16BA635D" w:rsidR="00F138C3" w:rsidRPr="00315E9C" w:rsidRDefault="00F138C3" w:rsidP="00E63E99">
      <w:pPr>
        <w:pStyle w:val="Heading4"/>
      </w:pPr>
      <w:r w:rsidRPr="00315E9C">
        <w:t>Similar indications</w:t>
      </w:r>
    </w:p>
    <w:p w14:paraId="07829851" w14:textId="13BB21A5" w:rsidR="001E104A" w:rsidRPr="00315E9C" w:rsidRDefault="001E104A" w:rsidP="004472CD">
      <w:r w:rsidRPr="00315E9C">
        <w:t>This indication is similar, but funded separately to “Acquired hypogammaglobulinaemia secondary to haematological malignancies or post-haematopoietic stem cell transplantation (HSCT)”.</w:t>
      </w:r>
    </w:p>
    <w:p w14:paraId="64DCC121" w14:textId="77777777" w:rsidR="00E364F7" w:rsidRPr="00315E9C" w:rsidRDefault="00B55793" w:rsidP="00E63E99">
      <w:pPr>
        <w:pStyle w:val="Heading4"/>
      </w:pPr>
      <w:r w:rsidRPr="00315E9C">
        <w:t>Prevalence and/or incidence</w:t>
      </w:r>
    </w:p>
    <w:p w14:paraId="03E9FB1D" w14:textId="29FAD2C4" w:rsidR="00B234A7" w:rsidRPr="00315E9C" w:rsidRDefault="00124CAB" w:rsidP="00B234A7">
      <w:r w:rsidRPr="00315E9C">
        <w:t xml:space="preserve">The prevalence of hypogammaglobulinaemia in the overall underlying medical conditions vary dependent on the cause. </w:t>
      </w:r>
      <w:r w:rsidR="00B234A7" w:rsidRPr="00315E9C">
        <w:t>The wider use of therapies for autoimmune, inflammatory and malignant disease, especially those targeting B cells, is leading to an increase in s</w:t>
      </w:r>
      <w:r w:rsidR="00115D02" w:rsidRPr="00315E9C">
        <w:t>econdary antibody deficiency</w:t>
      </w:r>
      <w:r w:rsidR="00B234A7" w:rsidRPr="00315E9C">
        <w:t xml:space="preserve"> </w:t>
      </w:r>
      <w:r w:rsidR="00B234A7" w:rsidRPr="00315E9C">
        <w:fldChar w:fldCharType="begin"/>
      </w:r>
      <w:r w:rsidR="00AD208B" w:rsidRPr="00315E9C">
        <w:instrText xml:space="preserve"> ADDIN EN.CITE &lt;EndNote&gt;&lt;Cite&gt;&lt;Author&gt;Patel&lt;/Author&gt;&lt;Year&gt;2019&lt;/Year&gt;&lt;RecNum&gt;3&lt;/RecNum&gt;&lt;DisplayText&gt;(4)&lt;/DisplayText&gt;&lt;record&gt;&lt;rec-number&gt;3&lt;/rec-number&gt;&lt;foreign-keys&gt;&lt;key app="EN" db-id="5xftwazxqe520uewe2ax9va4adpprzt9xazr" timestamp="1571179429"&gt;3&lt;/key&gt;&lt;/foreign-keys&gt;&lt;ref-type name="Journal Article"&gt;17&lt;/ref-type&gt;&lt;contributors&gt;&lt;authors&gt;&lt;author&gt;Patel, Smita Y&lt;/author&gt;&lt;author&gt;Carbone, Javier&lt;/author&gt;&lt;author&gt;Jolles, Stephen&lt;/author&gt;&lt;/authors&gt;&lt;/contributors&gt;&lt;titles&gt;&lt;title&gt;The Expanding Field of Secondary Antibody Deficiency: Causes, Diagnosis, and Management&lt;/title&gt;&lt;secondary-title&gt;Frontiers in immunology&lt;/secondary-title&gt;&lt;/titles&gt;&lt;periodical&gt;&lt;full-title&gt;Frontiers in immunology&lt;/full-title&gt;&lt;/periodical&gt;&lt;volume&gt;10&lt;/volume&gt;&lt;dates&gt;&lt;year&gt;2019&lt;/year&gt;&lt;/dates&gt;&lt;urls&gt;&lt;/urls&gt;&lt;/record&gt;&lt;/Cite&gt;&lt;/EndNote&gt;</w:instrText>
      </w:r>
      <w:r w:rsidR="00B234A7" w:rsidRPr="00315E9C">
        <w:fldChar w:fldCharType="separate"/>
      </w:r>
      <w:r w:rsidR="00AD208B" w:rsidRPr="00315E9C">
        <w:rPr>
          <w:noProof/>
        </w:rPr>
        <w:t>(4)</w:t>
      </w:r>
      <w:r w:rsidR="00B234A7" w:rsidRPr="00315E9C">
        <w:fldChar w:fldCharType="end"/>
      </w:r>
      <w:r w:rsidR="00B234A7" w:rsidRPr="00315E9C">
        <w:t xml:space="preserve">. The incidence of hypogammaglobulinaemia in patients with thymoma is 6-11 percent </w:t>
      </w:r>
      <w:r w:rsidR="00B234A7" w:rsidRPr="00315E9C">
        <w:fldChar w:fldCharType="begin"/>
      </w:r>
      <w:r w:rsidR="00AD208B" w:rsidRPr="00315E9C">
        <w:instrText xml:space="preserve"> ADDIN EN.CITE &lt;EndNote&gt;&lt;Cite&gt;&lt;Author&gt;Kelesidis&lt;/Author&gt;&lt;Year&gt;2010&lt;/Year&gt;&lt;RecNum&gt;4&lt;/RecNum&gt;&lt;DisplayText&gt;(5)&lt;/DisplayText&gt;&lt;record&gt;&lt;rec-number&gt;4&lt;/rec-number&gt;&lt;foreign-keys&gt;&lt;key app="EN" db-id="5xftwazxqe520uewe2ax9va4adpprzt9xazr" timestamp="1571180094"&gt;4&lt;/key&gt;&lt;/foreign-keys&gt;&lt;ref-type name="Journal Article"&gt;17&lt;/ref-type&gt;&lt;contributors&gt;&lt;authors&gt;&lt;author&gt;Kelesidis, Theodoros&lt;/author&gt;&lt;author&gt;Yang, Otto&lt;/author&gt;&lt;/authors&gt;&lt;/contributors&gt;&lt;titles&gt;&lt;title&gt;Good&amp;apos;s syndrome remains a mystery after 55 years: a systematic review of the scientific evidence&lt;/title&gt;&lt;secondary-title&gt;Clinical immunology&lt;/secondary-title&gt;&lt;/titles&gt;&lt;periodical&gt;&lt;full-title&gt;Clinical immunology&lt;/full-title&gt;&lt;/periodical&gt;&lt;pages&gt;347-363&lt;/pages&gt;&lt;volume&gt;135&lt;/volume&gt;&lt;number&gt;3&lt;/number&gt;&lt;dates&gt;&lt;year&gt;2010&lt;/year&gt;&lt;/dates&gt;&lt;isbn&gt;1521-6616&lt;/isbn&gt;&lt;urls&gt;&lt;related-urls&gt;&lt;url&gt;https://www.sciencedirect.com/science/article/abs/pii/S1521661610000082?via%3Dihub&lt;/url&gt;&lt;/related-urls&gt;&lt;/urls&gt;&lt;/record&gt;&lt;/Cite&gt;&lt;/EndNote&gt;</w:instrText>
      </w:r>
      <w:r w:rsidR="00B234A7" w:rsidRPr="00315E9C">
        <w:fldChar w:fldCharType="separate"/>
      </w:r>
      <w:r w:rsidR="00AD208B" w:rsidRPr="00315E9C">
        <w:rPr>
          <w:noProof/>
        </w:rPr>
        <w:t>(5)</w:t>
      </w:r>
      <w:r w:rsidR="00B234A7" w:rsidRPr="00315E9C">
        <w:fldChar w:fldCharType="end"/>
      </w:r>
      <w:r w:rsidR="00B234A7" w:rsidRPr="00315E9C">
        <w:t xml:space="preserve">. Approximately 15 percent of patients who have received a solid organ (heart, lung, kidney) transplant experience secondary hypogammaglobulinaemia with severe IgG deficiency (&lt;4g/L) during the first year after transplantation </w:t>
      </w:r>
      <w:r w:rsidR="00B234A7" w:rsidRPr="00315E9C">
        <w:fldChar w:fldCharType="begin"/>
      </w:r>
      <w:r w:rsidR="00AD208B" w:rsidRPr="00315E9C">
        <w:instrText xml:space="preserve"> ADDIN EN.CITE &lt;EndNote&gt;&lt;Cite&gt;&lt;Author&gt;Florescu&lt;/Author&gt;&lt;Year&gt;2014&lt;/Year&gt;&lt;RecNum&gt;2&lt;/RecNum&gt;&lt;DisplayText&gt;(3)&lt;/DisplayText&gt;&lt;record&gt;&lt;rec-number&gt;2&lt;/rec-number&gt;&lt;foreign-keys&gt;&lt;key app="EN" db-id="5xftwazxqe520uewe2ax9va4adpprzt9xazr" timestamp="1571179211"&gt;2&lt;/key&gt;&lt;/foreign-keys&gt;&lt;ref-type name="Journal Article"&gt;17&lt;/ref-type&gt;&lt;contributors&gt;&lt;authors&gt;&lt;author&gt;Florescu, Diana F&lt;/author&gt;&lt;/authors&gt;&lt;/contributors&gt;&lt;titles&gt;&lt;title&gt;Solid organ transplantation: hypogammaglobulinaemia and infectious complications after solid organ transplantation&lt;/title&gt;&lt;secondary-title&gt;Clinical and experimental immunology&lt;/secondary-title&gt;&lt;/titles&gt;&lt;periodical&gt;&lt;full-title&gt;Clinical and experimental immunology&lt;/full-title&gt;&lt;/periodical&gt;&lt;pages&gt;54&lt;/pages&gt;&lt;volume&gt;178&lt;/volume&gt;&lt;number&gt;Suppl 1&lt;/number&gt;&lt;dates&gt;&lt;year&gt;2014&lt;/year&gt;&lt;/dates&gt;&lt;urls&gt;&lt;/urls&gt;&lt;/record&gt;&lt;/Cite&gt;&lt;/EndNote&gt;</w:instrText>
      </w:r>
      <w:r w:rsidR="00B234A7" w:rsidRPr="00315E9C">
        <w:fldChar w:fldCharType="separate"/>
      </w:r>
      <w:r w:rsidR="00AD208B" w:rsidRPr="00315E9C">
        <w:rPr>
          <w:noProof/>
        </w:rPr>
        <w:t>(3)</w:t>
      </w:r>
      <w:r w:rsidR="00B234A7" w:rsidRPr="00315E9C">
        <w:fldChar w:fldCharType="end"/>
      </w:r>
      <w:r w:rsidR="00B234A7" w:rsidRPr="00315E9C">
        <w:t xml:space="preserve">. </w:t>
      </w:r>
      <w:r w:rsidR="00B234A7" w:rsidRPr="00315E9C">
        <w:fldChar w:fldCharType="begin"/>
      </w:r>
      <w:r w:rsidR="00B234A7" w:rsidRPr="00315E9C">
        <w:instrText xml:space="preserve"> REF _Ref22034093 \h </w:instrText>
      </w:r>
      <w:r w:rsidR="00315E9C" w:rsidRPr="00315E9C">
        <w:instrText xml:space="preserve"> \* MERGEFORMAT </w:instrText>
      </w:r>
      <w:r w:rsidR="00B234A7" w:rsidRPr="00315E9C">
        <w:fldChar w:fldCharType="separate"/>
      </w:r>
      <w:r w:rsidR="00A851D8" w:rsidRPr="00A851D8">
        <w:t xml:space="preserve">Figure </w:t>
      </w:r>
      <w:r w:rsidR="00A851D8" w:rsidRPr="00A851D8">
        <w:rPr>
          <w:noProof/>
        </w:rPr>
        <w:t>1</w:t>
      </w:r>
      <w:r w:rsidR="00B234A7" w:rsidRPr="00315E9C">
        <w:fldChar w:fldCharType="end"/>
      </w:r>
      <w:r w:rsidR="00B234A7" w:rsidRPr="00315E9C">
        <w:t xml:space="preserve"> illustrates the main conditions included in secondary hypogammaglobulinaemia.</w:t>
      </w:r>
    </w:p>
    <w:p w14:paraId="42533F22" w14:textId="77777777" w:rsidR="00B234A7" w:rsidRPr="00315E9C" w:rsidRDefault="00B234A7" w:rsidP="00B234A7">
      <w:pPr>
        <w:pStyle w:val="Default"/>
        <w:jc w:val="both"/>
        <w:rPr>
          <w:rFonts w:eastAsia="Calibri" w:cs="Times New Roman"/>
          <w:color w:val="auto"/>
          <w:sz w:val="22"/>
          <w:szCs w:val="22"/>
        </w:rPr>
      </w:pPr>
      <w:r w:rsidRPr="00315E9C">
        <w:rPr>
          <w:noProof/>
          <w:lang w:eastAsia="en-AU"/>
        </w:rPr>
        <w:drawing>
          <wp:inline distT="0" distB="0" distL="0" distR="0" wp14:anchorId="0276FB07" wp14:editId="7ED84E40">
            <wp:extent cx="5317262" cy="3012763"/>
            <wp:effectExtent l="0" t="0" r="0" b="0"/>
            <wp:docPr id="3" name="Chart 3" descr="Figure 1: Distribution of grams of Ig by specific condition (NBA internal 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A9CCA7" w14:textId="7946E8E7" w:rsidR="00B234A7" w:rsidRPr="00E63E99" w:rsidRDefault="00B234A7" w:rsidP="00E63E99">
      <w:pPr>
        <w:pStyle w:val="TableName"/>
        <w:ind w:left="0" w:firstLine="0"/>
        <w:rPr>
          <w:sz w:val="20"/>
          <w:szCs w:val="20"/>
        </w:rPr>
      </w:pPr>
      <w:bookmarkStart w:id="3" w:name="_Ref22034093"/>
      <w:r w:rsidRPr="00E63E99">
        <w:rPr>
          <w:sz w:val="20"/>
          <w:szCs w:val="20"/>
        </w:rPr>
        <w:t xml:space="preserve">Figure </w:t>
      </w:r>
      <w:r w:rsidRPr="00E63E99">
        <w:rPr>
          <w:sz w:val="20"/>
          <w:szCs w:val="20"/>
        </w:rPr>
        <w:fldChar w:fldCharType="begin"/>
      </w:r>
      <w:r w:rsidRPr="00E63E99">
        <w:rPr>
          <w:sz w:val="20"/>
          <w:szCs w:val="20"/>
        </w:rPr>
        <w:instrText xml:space="preserve"> SEQ Figure \* ARABIC </w:instrText>
      </w:r>
      <w:r w:rsidRPr="00E63E99">
        <w:rPr>
          <w:sz w:val="20"/>
          <w:szCs w:val="20"/>
        </w:rPr>
        <w:fldChar w:fldCharType="separate"/>
      </w:r>
      <w:r w:rsidR="00A851D8">
        <w:rPr>
          <w:noProof/>
          <w:sz w:val="20"/>
          <w:szCs w:val="20"/>
        </w:rPr>
        <w:t>1</w:t>
      </w:r>
      <w:r w:rsidRPr="00E63E99">
        <w:rPr>
          <w:sz w:val="20"/>
          <w:szCs w:val="20"/>
        </w:rPr>
        <w:fldChar w:fldCharType="end"/>
      </w:r>
      <w:bookmarkEnd w:id="3"/>
      <w:r w:rsidRPr="00E63E99">
        <w:rPr>
          <w:sz w:val="20"/>
          <w:szCs w:val="20"/>
        </w:rPr>
        <w:t xml:space="preserve">  Distribution of grams of Ig by specific condition in Secondary Hypogammaglobulinaemia</w:t>
      </w:r>
    </w:p>
    <w:p w14:paraId="0DADA2B3" w14:textId="2225C859" w:rsidR="00F138C3" w:rsidRPr="00315E9C" w:rsidRDefault="00B234A7" w:rsidP="00F138C3">
      <w:pPr>
        <w:pStyle w:val="Tablecontents"/>
        <w:rPr>
          <w:rFonts w:eastAsia="Times New Roman" w:cs="Tahoma"/>
          <w:sz w:val="20"/>
          <w:szCs w:val="20"/>
          <w:lang w:val="en-GB" w:eastAsia="ja-JP"/>
        </w:rPr>
      </w:pPr>
      <w:r w:rsidRPr="00315E9C">
        <w:rPr>
          <w:rFonts w:eastAsia="Times New Roman" w:cs="Tahoma"/>
          <w:sz w:val="20"/>
          <w:szCs w:val="20"/>
          <w:lang w:val="en-GB" w:eastAsia="ja-JP"/>
        </w:rPr>
        <w:t>Source: NBA internal data (provided by the applicant)</w:t>
      </w:r>
    </w:p>
    <w:p w14:paraId="1E83C4B1" w14:textId="77777777" w:rsidR="00F138C3" w:rsidRPr="00315E9C" w:rsidRDefault="00F138C3" w:rsidP="00F138C3">
      <w:pPr>
        <w:pStyle w:val="Tablecontents"/>
        <w:rPr>
          <w:rFonts w:eastAsia="Calibri" w:cs="Times New Roman"/>
          <w:sz w:val="18"/>
          <w:szCs w:val="18"/>
        </w:rPr>
      </w:pPr>
    </w:p>
    <w:p w14:paraId="5973F671" w14:textId="65602A9B" w:rsidR="00586AC9" w:rsidRPr="00315E9C" w:rsidRDefault="00B55793" w:rsidP="00267A42">
      <w:r w:rsidRPr="00315E9C">
        <w:t>The</w:t>
      </w:r>
      <w:r w:rsidR="00067188" w:rsidRPr="00315E9C">
        <w:t xml:space="preserve"> N</w:t>
      </w:r>
      <w:r w:rsidRPr="00315E9C">
        <w:t xml:space="preserve">ational Report on the Issue and Use of Immunoglobulin (Ig) </w:t>
      </w:r>
      <w:r w:rsidR="00067188" w:rsidRPr="00315E9C">
        <w:t>in 2015/2016</w:t>
      </w:r>
      <w:r w:rsidR="006805CA" w:rsidRPr="00315E9C">
        <w:t xml:space="preserve"> </w:t>
      </w:r>
      <w:r w:rsidR="006805CA" w:rsidRPr="00315E9C">
        <w:fldChar w:fldCharType="begin"/>
      </w:r>
      <w:r w:rsidR="00AD208B" w:rsidRPr="00315E9C">
        <w:instrText xml:space="preserve"> ADDIN EN.CITE &lt;EndNote&gt;&lt;Cite&gt;&lt;Author&gt;NBA&lt;/Author&gt;&lt;Year&gt;2018&lt;/Year&gt;&lt;RecNum&gt;5&lt;/RecNum&gt;&lt;DisplayText&gt;(2)&lt;/DisplayText&gt;&lt;record&gt;&lt;rec-number&gt;5&lt;/rec-number&gt;&lt;foreign-keys&gt;&lt;key app="EN" db-id="5xftwazxqe520uewe2ax9va4adpprzt9xazr" timestamp="1571180365"&gt;5&lt;/key&gt;&lt;/foreign-keys&gt;&lt;ref-type name="Report"&gt;27&lt;/ref-type&gt;&lt;contributors&gt;&lt;authors&gt;&lt;author&gt;NBA&lt;/author&gt;&lt;/authors&gt;&lt;/contributors&gt;&lt;titles&gt;&lt;title&gt;National report on the issue and use of Immunoglobulin (Ig). Annual Report 2015-16&lt;/title&gt;&lt;/titles&gt;&lt;dates&gt;&lt;year&gt;2018&lt;/year&gt;&lt;/dates&gt;&lt;pub-location&gt;National Blood Authority&lt;/pub-location&gt;&lt;urls&gt;&lt;related-urls&gt;&lt;url&gt;https://www.blood.gov.au/system/files/Report-on-the-Issues-and-Use-of-IVIg-2015-16-Final-May18.pdf&lt;/url&gt;&lt;/related-urls&gt;&lt;/urls&gt;&lt;access-date&gt;16/10/19&lt;/access-date&gt;&lt;/record&gt;&lt;/Cite&gt;&lt;/EndNote&gt;</w:instrText>
      </w:r>
      <w:r w:rsidR="006805CA" w:rsidRPr="00315E9C">
        <w:fldChar w:fldCharType="separate"/>
      </w:r>
      <w:r w:rsidR="00AD208B" w:rsidRPr="00315E9C">
        <w:rPr>
          <w:noProof/>
        </w:rPr>
        <w:t>(2)</w:t>
      </w:r>
      <w:r w:rsidR="006805CA" w:rsidRPr="00315E9C">
        <w:fldChar w:fldCharType="end"/>
      </w:r>
      <w:r w:rsidR="00067188" w:rsidRPr="00315E9C">
        <w:t xml:space="preserve"> indicated that 4% (n=652) of patients</w:t>
      </w:r>
      <w:r w:rsidR="00140294" w:rsidRPr="00315E9C">
        <w:t xml:space="preserve"> treated with </w:t>
      </w:r>
      <w:r w:rsidR="00067188" w:rsidRPr="00315E9C">
        <w:t>Ig in Australia were diagnosed with secondary hypogammaglobulinaemia (excluding haematological malignancies)</w:t>
      </w:r>
      <w:r w:rsidR="00A71D24" w:rsidRPr="00315E9C">
        <w:t>.</w:t>
      </w:r>
      <w:r w:rsidR="00293F16" w:rsidRPr="00315E9C">
        <w:t xml:space="preserve"> This indication falls into the top 10 diagnostic groups treated with Ig </w:t>
      </w:r>
      <w:r w:rsidR="004B4A79" w:rsidRPr="00315E9C">
        <w:t>(</w:t>
      </w:r>
      <w:r w:rsidR="004B4A79" w:rsidRPr="00315E9C">
        <w:fldChar w:fldCharType="begin"/>
      </w:r>
      <w:r w:rsidR="004B4A79" w:rsidRPr="00315E9C">
        <w:instrText xml:space="preserve"> REF _Ref22028583 \h  \* MERGEFORMAT </w:instrText>
      </w:r>
      <w:r w:rsidR="004B4A79" w:rsidRPr="00315E9C">
        <w:fldChar w:fldCharType="separate"/>
      </w:r>
      <w:r w:rsidR="00A851D8" w:rsidRPr="00A851D8">
        <w:t>Figure 2</w:t>
      </w:r>
      <w:r w:rsidR="004B4A79" w:rsidRPr="00315E9C">
        <w:fldChar w:fldCharType="end"/>
      </w:r>
      <w:r w:rsidR="004B4A79" w:rsidRPr="00315E9C">
        <w:t>).</w:t>
      </w:r>
    </w:p>
    <w:p w14:paraId="50C22AA3" w14:textId="77777777" w:rsidR="00303478" w:rsidRPr="00315E9C" w:rsidRDefault="00303478" w:rsidP="00A71D24">
      <w:pPr>
        <w:pStyle w:val="Default"/>
        <w:jc w:val="both"/>
      </w:pPr>
    </w:p>
    <w:p w14:paraId="43EA8409" w14:textId="77777777" w:rsidR="00586AC9" w:rsidRPr="00315E9C" w:rsidRDefault="00586AC9" w:rsidP="00A71D24">
      <w:pPr>
        <w:pStyle w:val="Default"/>
        <w:jc w:val="both"/>
        <w:rPr>
          <w:rFonts w:eastAsia="Calibri" w:cs="Times New Roman"/>
          <w:color w:val="auto"/>
          <w:sz w:val="22"/>
          <w:szCs w:val="22"/>
        </w:rPr>
      </w:pPr>
      <w:r w:rsidRPr="00315E9C">
        <w:rPr>
          <w:noProof/>
          <w:lang w:eastAsia="en-AU"/>
        </w:rPr>
        <w:lastRenderedPageBreak/>
        <w:drawing>
          <wp:inline distT="0" distB="0" distL="0" distR="0" wp14:anchorId="043830A7" wp14:editId="4CDD962E">
            <wp:extent cx="5112689" cy="4107511"/>
            <wp:effectExtent l="0" t="0" r="0" b="7620"/>
            <wp:docPr id="4" name="Picture 4" descr="Figure 2. This is a graph showing the top 10 diagnostic groups treated with Ig by state/territory and nation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5855" cy="4118089"/>
                    </a:xfrm>
                    <a:prstGeom prst="rect">
                      <a:avLst/>
                    </a:prstGeom>
                    <a:noFill/>
                    <a:ln>
                      <a:noFill/>
                    </a:ln>
                  </pic:spPr>
                </pic:pic>
              </a:graphicData>
            </a:graphic>
          </wp:inline>
        </w:drawing>
      </w:r>
    </w:p>
    <w:p w14:paraId="16D8186D" w14:textId="0DF93FE3" w:rsidR="00293F16" w:rsidRPr="00E63E99" w:rsidRDefault="004B4A79" w:rsidP="00E63E99">
      <w:pPr>
        <w:pStyle w:val="TableName"/>
        <w:ind w:left="0" w:firstLine="0"/>
        <w:rPr>
          <w:rFonts w:eastAsia="Calibri"/>
          <w:sz w:val="20"/>
          <w:szCs w:val="20"/>
        </w:rPr>
      </w:pPr>
      <w:bookmarkStart w:id="4" w:name="_Ref22028583"/>
      <w:r w:rsidRPr="00E63E99">
        <w:rPr>
          <w:sz w:val="20"/>
          <w:szCs w:val="20"/>
        </w:rPr>
        <w:t xml:space="preserve">Figure </w:t>
      </w:r>
      <w:r w:rsidRPr="00E63E99">
        <w:rPr>
          <w:sz w:val="20"/>
          <w:szCs w:val="20"/>
        </w:rPr>
        <w:fldChar w:fldCharType="begin"/>
      </w:r>
      <w:r w:rsidRPr="00E63E99">
        <w:rPr>
          <w:sz w:val="20"/>
          <w:szCs w:val="20"/>
        </w:rPr>
        <w:instrText xml:space="preserve"> SEQ Figure \* ARABIC </w:instrText>
      </w:r>
      <w:r w:rsidRPr="00E63E99">
        <w:rPr>
          <w:sz w:val="20"/>
          <w:szCs w:val="20"/>
        </w:rPr>
        <w:fldChar w:fldCharType="separate"/>
      </w:r>
      <w:r w:rsidR="00A851D8">
        <w:rPr>
          <w:noProof/>
          <w:sz w:val="20"/>
          <w:szCs w:val="20"/>
        </w:rPr>
        <w:t>2</w:t>
      </w:r>
      <w:r w:rsidRPr="00E63E99">
        <w:rPr>
          <w:sz w:val="20"/>
          <w:szCs w:val="20"/>
        </w:rPr>
        <w:fldChar w:fldCharType="end"/>
      </w:r>
      <w:bookmarkEnd w:id="4"/>
      <w:r w:rsidR="00293F16" w:rsidRPr="00E63E99">
        <w:rPr>
          <w:rFonts w:eastAsia="Calibri"/>
          <w:sz w:val="20"/>
          <w:szCs w:val="20"/>
        </w:rPr>
        <w:t>. Proportion of Ig used in the top 10 diagnostic groups</w:t>
      </w:r>
    </w:p>
    <w:p w14:paraId="7B2DC830" w14:textId="7C215501" w:rsidR="006235D5" w:rsidRPr="00315E9C" w:rsidRDefault="006235D5" w:rsidP="00CA1441">
      <w:pPr>
        <w:pStyle w:val="Tablecontents"/>
        <w:rPr>
          <w:sz w:val="20"/>
          <w:szCs w:val="20"/>
        </w:rPr>
      </w:pPr>
      <w:r w:rsidRPr="00315E9C">
        <w:rPr>
          <w:rFonts w:eastAsia="Times New Roman" w:cs="Tahoma"/>
          <w:sz w:val="20"/>
          <w:szCs w:val="20"/>
          <w:lang w:val="en-GB" w:eastAsia="ja-JP"/>
        </w:rPr>
        <w:t>Source</w:t>
      </w:r>
      <w:r w:rsidRPr="00315E9C">
        <w:rPr>
          <w:sz w:val="20"/>
          <w:szCs w:val="20"/>
          <w:lang w:val="en-GB" w:eastAsia="ja-JP"/>
        </w:rPr>
        <w:t>:</w:t>
      </w:r>
      <w:r w:rsidR="006805CA" w:rsidRPr="00315E9C">
        <w:rPr>
          <w:sz w:val="20"/>
          <w:szCs w:val="20"/>
          <w:lang w:val="en-GB" w:eastAsia="ja-JP"/>
        </w:rPr>
        <w:t xml:space="preserve"> </w:t>
      </w:r>
      <w:r w:rsidR="006805CA" w:rsidRPr="00315E9C">
        <w:rPr>
          <w:sz w:val="20"/>
          <w:szCs w:val="20"/>
        </w:rPr>
        <w:t xml:space="preserve">National report on the issue and use of Immunoglobulin (Ig). Annual Report 2015-16 </w:t>
      </w:r>
      <w:r w:rsidR="006805CA" w:rsidRPr="00315E9C">
        <w:rPr>
          <w:sz w:val="20"/>
          <w:szCs w:val="20"/>
        </w:rPr>
        <w:fldChar w:fldCharType="begin"/>
      </w:r>
      <w:r w:rsidR="00AD208B" w:rsidRPr="00315E9C">
        <w:rPr>
          <w:sz w:val="20"/>
          <w:szCs w:val="20"/>
        </w:rPr>
        <w:instrText xml:space="preserve"> ADDIN EN.CITE &lt;EndNote&gt;&lt;Cite&gt;&lt;Author&gt;NBA&lt;/Author&gt;&lt;Year&gt;2018&lt;/Year&gt;&lt;RecNum&gt;5&lt;/RecNum&gt;&lt;DisplayText&gt;(2)&lt;/DisplayText&gt;&lt;record&gt;&lt;rec-number&gt;5&lt;/rec-number&gt;&lt;foreign-keys&gt;&lt;key app="EN" db-id="5xftwazxqe520uewe2ax9va4adpprzt9xazr" timestamp="1571180365"&gt;5&lt;/key&gt;&lt;/foreign-keys&gt;&lt;ref-type name="Report"&gt;27&lt;/ref-type&gt;&lt;contributors&gt;&lt;authors&gt;&lt;author&gt;NBA&lt;/author&gt;&lt;/authors&gt;&lt;/contributors&gt;&lt;titles&gt;&lt;title&gt;National report on the issue and use of Immunoglobulin (Ig). Annual Report 2015-16&lt;/title&gt;&lt;/titles&gt;&lt;dates&gt;&lt;year&gt;2018&lt;/year&gt;&lt;/dates&gt;&lt;pub-location&gt;National Blood Authority&lt;/pub-location&gt;&lt;urls&gt;&lt;related-urls&gt;&lt;url&gt;https://www.blood.gov.au/system/files/Report-on-the-Issues-and-Use-of-IVIg-2015-16-Final-May18.pdf&lt;/url&gt;&lt;/related-urls&gt;&lt;/urls&gt;&lt;access-date&gt;16/10/19&lt;/access-date&gt;&lt;/record&gt;&lt;/Cite&gt;&lt;/EndNote&gt;</w:instrText>
      </w:r>
      <w:r w:rsidR="006805CA" w:rsidRPr="00315E9C">
        <w:rPr>
          <w:sz w:val="20"/>
          <w:szCs w:val="20"/>
        </w:rPr>
        <w:fldChar w:fldCharType="separate"/>
      </w:r>
      <w:r w:rsidR="00AD208B" w:rsidRPr="00315E9C">
        <w:rPr>
          <w:noProof/>
          <w:sz w:val="20"/>
          <w:szCs w:val="20"/>
        </w:rPr>
        <w:t>(2)</w:t>
      </w:r>
      <w:r w:rsidR="006805CA" w:rsidRPr="00315E9C">
        <w:rPr>
          <w:sz w:val="20"/>
          <w:szCs w:val="20"/>
        </w:rPr>
        <w:fldChar w:fldCharType="end"/>
      </w:r>
    </w:p>
    <w:p w14:paraId="2665DB4A" w14:textId="77777777" w:rsidR="006805CA" w:rsidRPr="00315E9C" w:rsidRDefault="006805CA" w:rsidP="006805CA">
      <w:pPr>
        <w:spacing w:after="0"/>
        <w:rPr>
          <w:lang w:val="en-GB" w:eastAsia="ja-JP"/>
        </w:rPr>
      </w:pPr>
    </w:p>
    <w:p w14:paraId="2C9A777B" w14:textId="4B9BA6AD" w:rsidR="00293F16" w:rsidRPr="00315E9C" w:rsidRDefault="00900085" w:rsidP="00293F16">
      <w:pPr>
        <w:jc w:val="both"/>
      </w:pPr>
      <w:r w:rsidRPr="00315E9C">
        <w:t xml:space="preserve">The report highlights an increase </w:t>
      </w:r>
      <w:r w:rsidR="00A71D24" w:rsidRPr="00315E9C">
        <w:t xml:space="preserve">in Ig grams used for this indication from 95,183g in </w:t>
      </w:r>
      <w:r w:rsidRPr="00315E9C">
        <w:t xml:space="preserve">2011/12 to </w:t>
      </w:r>
      <w:r w:rsidR="00A71D24" w:rsidRPr="00315E9C">
        <w:t xml:space="preserve">145,497g in </w:t>
      </w:r>
      <w:r w:rsidRPr="00315E9C">
        <w:t>2015/16</w:t>
      </w:r>
      <w:r w:rsidR="006805CA" w:rsidRPr="00315E9C">
        <w:t xml:space="preserve"> </w:t>
      </w:r>
      <w:r w:rsidR="006805CA" w:rsidRPr="00315E9C">
        <w:fldChar w:fldCharType="begin"/>
      </w:r>
      <w:r w:rsidR="00AD208B" w:rsidRPr="00315E9C">
        <w:instrText xml:space="preserve"> ADDIN EN.CITE &lt;EndNote&gt;&lt;Cite&gt;&lt;Author&gt;NBA&lt;/Author&gt;&lt;Year&gt;2018&lt;/Year&gt;&lt;RecNum&gt;5&lt;/RecNum&gt;&lt;DisplayText&gt;(2)&lt;/DisplayText&gt;&lt;record&gt;&lt;rec-number&gt;5&lt;/rec-number&gt;&lt;foreign-keys&gt;&lt;key app="EN" db-id="5xftwazxqe520uewe2ax9va4adpprzt9xazr" timestamp="1571180365"&gt;5&lt;/key&gt;&lt;/foreign-keys&gt;&lt;ref-type name="Report"&gt;27&lt;/ref-type&gt;&lt;contributors&gt;&lt;authors&gt;&lt;author&gt;NBA&lt;/author&gt;&lt;/authors&gt;&lt;/contributors&gt;&lt;titles&gt;&lt;title&gt;National report on the issue and use of Immunoglobulin (Ig). Annual Report 2015-16&lt;/title&gt;&lt;/titles&gt;&lt;dates&gt;&lt;year&gt;2018&lt;/year&gt;&lt;/dates&gt;&lt;pub-location&gt;National Blood Authority&lt;/pub-location&gt;&lt;urls&gt;&lt;related-urls&gt;&lt;url&gt;https://www.blood.gov.au/system/files/Report-on-the-Issues-and-Use-of-IVIg-2015-16-Final-May18.pdf&lt;/url&gt;&lt;/related-urls&gt;&lt;/urls&gt;&lt;access-date&gt;16/10/19&lt;/access-date&gt;&lt;/record&gt;&lt;/Cite&gt;&lt;/EndNote&gt;</w:instrText>
      </w:r>
      <w:r w:rsidR="006805CA" w:rsidRPr="00315E9C">
        <w:fldChar w:fldCharType="separate"/>
      </w:r>
      <w:r w:rsidR="00AD208B" w:rsidRPr="00315E9C">
        <w:rPr>
          <w:noProof/>
        </w:rPr>
        <w:t>(2)</w:t>
      </w:r>
      <w:r w:rsidR="006805CA" w:rsidRPr="00315E9C">
        <w:fldChar w:fldCharType="end"/>
      </w:r>
      <w:r w:rsidRPr="00315E9C">
        <w:t>.</w:t>
      </w:r>
      <w:r w:rsidR="00A71D24" w:rsidRPr="00315E9C">
        <w:t xml:space="preserve"> </w:t>
      </w:r>
      <w:r w:rsidR="00293F16" w:rsidRPr="00315E9C">
        <w:t xml:space="preserve">The applicant provided unpublished numbers for 2017/2018; with an increase to a total number of patients of 1011 and 222,137 g. </w:t>
      </w:r>
      <w:r w:rsidR="004B4A79" w:rsidRPr="00315E9C">
        <w:fldChar w:fldCharType="begin"/>
      </w:r>
      <w:r w:rsidR="004B4A79" w:rsidRPr="00315E9C">
        <w:instrText xml:space="preserve"> REF _Ref22028653 \h </w:instrText>
      </w:r>
      <w:r w:rsidR="00315E9C" w:rsidRPr="00315E9C">
        <w:instrText xml:space="preserve"> \* MERGEFORMAT </w:instrText>
      </w:r>
      <w:r w:rsidR="004B4A79" w:rsidRPr="00315E9C">
        <w:fldChar w:fldCharType="separate"/>
      </w:r>
      <w:r w:rsidR="00A851D8" w:rsidRPr="00A851D8">
        <w:t xml:space="preserve">Table </w:t>
      </w:r>
      <w:r w:rsidR="00A851D8" w:rsidRPr="00A851D8">
        <w:rPr>
          <w:noProof/>
        </w:rPr>
        <w:t>1</w:t>
      </w:r>
      <w:r w:rsidR="004B4A79" w:rsidRPr="00315E9C">
        <w:fldChar w:fldCharType="end"/>
      </w:r>
      <w:r w:rsidR="00A71D24" w:rsidRPr="00315E9C">
        <w:t xml:space="preserve"> presents the yearly increase by state. </w:t>
      </w:r>
    </w:p>
    <w:p w14:paraId="3CE67C1B" w14:textId="23EDF1DE" w:rsidR="00A71D24" w:rsidRPr="00E63E99" w:rsidRDefault="004B4A79" w:rsidP="00FF30B8">
      <w:pPr>
        <w:pStyle w:val="TableName"/>
        <w:keepLines/>
        <w:ind w:left="0" w:firstLine="0"/>
        <w:rPr>
          <w:sz w:val="20"/>
          <w:szCs w:val="20"/>
        </w:rPr>
      </w:pPr>
      <w:bookmarkStart w:id="5" w:name="bookmark0"/>
      <w:bookmarkStart w:id="6" w:name="bookmark1"/>
      <w:bookmarkStart w:id="7" w:name="_Ref22028653"/>
      <w:bookmarkEnd w:id="5"/>
      <w:bookmarkEnd w:id="6"/>
      <w:r w:rsidRPr="00E63E99">
        <w:rPr>
          <w:sz w:val="20"/>
          <w:szCs w:val="20"/>
        </w:rPr>
        <w:lastRenderedPageBreak/>
        <w:t xml:space="preserve">Table </w:t>
      </w:r>
      <w:r w:rsidRPr="00E63E99">
        <w:rPr>
          <w:sz w:val="20"/>
          <w:szCs w:val="20"/>
        </w:rPr>
        <w:fldChar w:fldCharType="begin"/>
      </w:r>
      <w:r w:rsidRPr="00E63E99">
        <w:rPr>
          <w:sz w:val="20"/>
          <w:szCs w:val="20"/>
        </w:rPr>
        <w:instrText xml:space="preserve"> SEQ Table \* ARABIC </w:instrText>
      </w:r>
      <w:r w:rsidRPr="00E63E99">
        <w:rPr>
          <w:sz w:val="20"/>
          <w:szCs w:val="20"/>
        </w:rPr>
        <w:fldChar w:fldCharType="separate"/>
      </w:r>
      <w:r w:rsidR="00A851D8">
        <w:rPr>
          <w:noProof/>
          <w:sz w:val="20"/>
          <w:szCs w:val="20"/>
        </w:rPr>
        <w:t>1</w:t>
      </w:r>
      <w:r w:rsidRPr="00E63E99">
        <w:rPr>
          <w:sz w:val="20"/>
          <w:szCs w:val="20"/>
        </w:rPr>
        <w:fldChar w:fldCharType="end"/>
      </w:r>
      <w:bookmarkEnd w:id="7"/>
      <w:r w:rsidR="00A71D24" w:rsidRPr="00E63E99">
        <w:rPr>
          <w:sz w:val="20"/>
          <w:szCs w:val="20"/>
        </w:rPr>
        <w:t xml:space="preserve"> Difference in grams issued for secondary hypogammaglobulinaemia (</w:t>
      </w:r>
      <w:r w:rsidR="009D6B0A" w:rsidRPr="00E63E99">
        <w:rPr>
          <w:sz w:val="20"/>
          <w:szCs w:val="20"/>
        </w:rPr>
        <w:t>%</w:t>
      </w:r>
      <w:r w:rsidR="00A71D24" w:rsidRPr="00E63E99">
        <w:rPr>
          <w:sz w:val="20"/>
          <w:szCs w:val="20"/>
        </w:rPr>
        <w:t>)</w:t>
      </w:r>
    </w:p>
    <w:tbl>
      <w:tblPr>
        <w:tblStyle w:val="TableGrid"/>
        <w:tblW w:w="5000" w:type="pct"/>
        <w:tblLook w:val="0000" w:firstRow="0" w:lastRow="0" w:firstColumn="0" w:lastColumn="0" w:noHBand="0" w:noVBand="0"/>
        <w:tblCaption w:val="Table 1. Difference in grams issued for secondary hypogammaglobulinaemia (%)"/>
        <w:tblDescription w:val="This is a table showing the difference in grams issued for secondary hypogammaglobulinaemia sorted by state and financial years."/>
      </w:tblPr>
      <w:tblGrid>
        <w:gridCol w:w="973"/>
        <w:gridCol w:w="1149"/>
        <w:gridCol w:w="1149"/>
        <w:gridCol w:w="1149"/>
        <w:gridCol w:w="1149"/>
        <w:gridCol w:w="1149"/>
        <w:gridCol w:w="1149"/>
        <w:gridCol w:w="1149"/>
      </w:tblGrid>
      <w:tr w:rsidR="00A145A5" w:rsidRPr="00005BD2" w14:paraId="4A95CD41" w14:textId="77777777" w:rsidTr="00B0404D">
        <w:trPr>
          <w:trHeight w:hRule="exact" w:val="291"/>
          <w:tblHeader/>
        </w:trPr>
        <w:tc>
          <w:tcPr>
            <w:tcW w:w="540" w:type="pct"/>
            <w:vAlign w:val="center"/>
          </w:tcPr>
          <w:p w14:paraId="7133EA27" w14:textId="77777777" w:rsidR="00A71D24" w:rsidRPr="00B0404D" w:rsidRDefault="00A71D24" w:rsidP="00FF30B8">
            <w:pPr>
              <w:pStyle w:val="Header"/>
              <w:keepNext/>
              <w:keepLines/>
              <w:rPr>
                <w:rFonts w:ascii="Arial Narrow" w:hAnsi="Arial Narrow"/>
                <w:b/>
              </w:rPr>
            </w:pPr>
          </w:p>
        </w:tc>
        <w:tc>
          <w:tcPr>
            <w:tcW w:w="637" w:type="pct"/>
            <w:vAlign w:val="center"/>
          </w:tcPr>
          <w:p w14:paraId="6FAACBE8" w14:textId="77777777" w:rsidR="00A71D24" w:rsidRPr="00B0404D" w:rsidRDefault="00A71D24" w:rsidP="00FF30B8">
            <w:pPr>
              <w:pStyle w:val="Header"/>
              <w:keepNext/>
              <w:keepLines/>
              <w:rPr>
                <w:rFonts w:ascii="Arial Narrow" w:hAnsi="Arial Narrow"/>
                <w:b/>
              </w:rPr>
            </w:pPr>
            <w:r w:rsidRPr="00B0404D">
              <w:rPr>
                <w:rFonts w:ascii="Arial Narrow" w:hAnsi="Arial Narrow" w:cs="Calibri"/>
                <w:b/>
                <w:bCs/>
                <w:sz w:val="20"/>
                <w:szCs w:val="20"/>
              </w:rPr>
              <w:t>2009-10</w:t>
            </w:r>
          </w:p>
        </w:tc>
        <w:tc>
          <w:tcPr>
            <w:tcW w:w="637" w:type="pct"/>
            <w:vAlign w:val="center"/>
          </w:tcPr>
          <w:p w14:paraId="065D794C" w14:textId="77777777" w:rsidR="00A71D24" w:rsidRPr="00B0404D" w:rsidRDefault="00A71D24" w:rsidP="00FF30B8">
            <w:pPr>
              <w:pStyle w:val="Header"/>
              <w:keepNext/>
              <w:keepLines/>
              <w:rPr>
                <w:rFonts w:ascii="Arial Narrow" w:hAnsi="Arial Narrow"/>
                <w:b/>
              </w:rPr>
            </w:pPr>
            <w:r w:rsidRPr="00B0404D">
              <w:rPr>
                <w:rFonts w:ascii="Arial Narrow" w:hAnsi="Arial Narrow" w:cs="Calibri"/>
                <w:b/>
                <w:bCs/>
                <w:sz w:val="20"/>
                <w:szCs w:val="20"/>
              </w:rPr>
              <w:t>2010-11</w:t>
            </w:r>
          </w:p>
        </w:tc>
        <w:tc>
          <w:tcPr>
            <w:tcW w:w="637" w:type="pct"/>
            <w:vAlign w:val="center"/>
          </w:tcPr>
          <w:p w14:paraId="4B030F62" w14:textId="77777777" w:rsidR="00A71D24" w:rsidRPr="00B0404D" w:rsidRDefault="00A71D24" w:rsidP="00FF30B8">
            <w:pPr>
              <w:pStyle w:val="Header"/>
              <w:keepNext/>
              <w:keepLines/>
              <w:rPr>
                <w:rFonts w:ascii="Arial Narrow" w:hAnsi="Arial Narrow"/>
                <w:b/>
              </w:rPr>
            </w:pPr>
            <w:r w:rsidRPr="00B0404D">
              <w:rPr>
                <w:rFonts w:ascii="Arial Narrow" w:hAnsi="Arial Narrow" w:cs="Calibri"/>
                <w:b/>
                <w:bCs/>
                <w:sz w:val="20"/>
                <w:szCs w:val="20"/>
              </w:rPr>
              <w:t>2011-12</w:t>
            </w:r>
          </w:p>
        </w:tc>
        <w:tc>
          <w:tcPr>
            <w:tcW w:w="637" w:type="pct"/>
            <w:vAlign w:val="center"/>
          </w:tcPr>
          <w:p w14:paraId="4F71F3F9" w14:textId="77777777" w:rsidR="00A71D24" w:rsidRPr="00B0404D" w:rsidRDefault="00A71D24" w:rsidP="00FF30B8">
            <w:pPr>
              <w:pStyle w:val="Header"/>
              <w:keepNext/>
              <w:keepLines/>
              <w:rPr>
                <w:rFonts w:ascii="Arial Narrow" w:hAnsi="Arial Narrow"/>
                <w:b/>
              </w:rPr>
            </w:pPr>
            <w:r w:rsidRPr="00B0404D">
              <w:rPr>
                <w:rFonts w:ascii="Arial Narrow" w:hAnsi="Arial Narrow" w:cs="Calibri"/>
                <w:b/>
                <w:bCs/>
                <w:sz w:val="20"/>
                <w:szCs w:val="20"/>
              </w:rPr>
              <w:t>2012-13</w:t>
            </w:r>
          </w:p>
        </w:tc>
        <w:tc>
          <w:tcPr>
            <w:tcW w:w="637" w:type="pct"/>
            <w:vAlign w:val="center"/>
          </w:tcPr>
          <w:p w14:paraId="61A97B56" w14:textId="77777777" w:rsidR="00A71D24" w:rsidRPr="00B0404D" w:rsidRDefault="00A71D24" w:rsidP="00FF30B8">
            <w:pPr>
              <w:pStyle w:val="Header"/>
              <w:keepNext/>
              <w:keepLines/>
              <w:rPr>
                <w:rFonts w:ascii="Arial Narrow" w:hAnsi="Arial Narrow"/>
                <w:b/>
              </w:rPr>
            </w:pPr>
            <w:r w:rsidRPr="00B0404D">
              <w:rPr>
                <w:rFonts w:ascii="Arial Narrow" w:hAnsi="Arial Narrow" w:cs="Calibri"/>
                <w:b/>
                <w:bCs/>
                <w:sz w:val="20"/>
                <w:szCs w:val="20"/>
              </w:rPr>
              <w:t>2013-14</w:t>
            </w:r>
          </w:p>
        </w:tc>
        <w:tc>
          <w:tcPr>
            <w:tcW w:w="637" w:type="pct"/>
            <w:vAlign w:val="center"/>
          </w:tcPr>
          <w:p w14:paraId="3DED70F4" w14:textId="77777777" w:rsidR="00A71D24" w:rsidRPr="00B0404D" w:rsidRDefault="00A71D24" w:rsidP="00FF30B8">
            <w:pPr>
              <w:pStyle w:val="Header"/>
              <w:keepNext/>
              <w:keepLines/>
              <w:rPr>
                <w:rFonts w:ascii="Arial Narrow" w:hAnsi="Arial Narrow" w:cs="Calibri"/>
                <w:b/>
                <w:bCs/>
                <w:sz w:val="20"/>
                <w:szCs w:val="20"/>
              </w:rPr>
            </w:pPr>
            <w:r w:rsidRPr="00B0404D">
              <w:rPr>
                <w:rFonts w:ascii="Arial Narrow" w:hAnsi="Arial Narrow" w:cs="Calibri"/>
                <w:b/>
                <w:bCs/>
                <w:sz w:val="20"/>
                <w:szCs w:val="20"/>
              </w:rPr>
              <w:t>2014-15</w:t>
            </w:r>
          </w:p>
        </w:tc>
        <w:tc>
          <w:tcPr>
            <w:tcW w:w="637" w:type="pct"/>
            <w:vAlign w:val="bottom"/>
          </w:tcPr>
          <w:p w14:paraId="59130AE5" w14:textId="77777777" w:rsidR="00A71D24" w:rsidRPr="00B0404D" w:rsidRDefault="00A71D24" w:rsidP="00FF30B8">
            <w:pPr>
              <w:pStyle w:val="Header"/>
              <w:keepNext/>
              <w:keepLines/>
              <w:rPr>
                <w:rFonts w:ascii="Arial Narrow" w:hAnsi="Arial Narrow" w:cs="Calibri"/>
                <w:b/>
                <w:bCs/>
                <w:sz w:val="20"/>
                <w:szCs w:val="20"/>
              </w:rPr>
            </w:pPr>
            <w:r w:rsidRPr="00B0404D">
              <w:rPr>
                <w:rFonts w:ascii="Arial Narrow" w:hAnsi="Arial Narrow" w:cs="Calibri"/>
                <w:b/>
                <w:bCs/>
                <w:sz w:val="20"/>
                <w:szCs w:val="20"/>
              </w:rPr>
              <w:t>2015-16</w:t>
            </w:r>
          </w:p>
        </w:tc>
      </w:tr>
      <w:tr w:rsidR="00A71D24" w:rsidRPr="00315E9C" w14:paraId="53EBA279" w14:textId="77777777" w:rsidTr="008B24B8">
        <w:trPr>
          <w:trHeight w:hRule="exact" w:val="448"/>
        </w:trPr>
        <w:tc>
          <w:tcPr>
            <w:tcW w:w="540" w:type="pct"/>
            <w:vAlign w:val="center"/>
          </w:tcPr>
          <w:p w14:paraId="6FF01D30"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NSW</w:t>
            </w:r>
          </w:p>
        </w:tc>
        <w:tc>
          <w:tcPr>
            <w:tcW w:w="637" w:type="pct"/>
            <w:vAlign w:val="center"/>
          </w:tcPr>
          <w:p w14:paraId="699CADD3" w14:textId="77777777" w:rsidR="00A71D24" w:rsidRPr="00315E9C" w:rsidRDefault="00A71D24" w:rsidP="00FF30B8">
            <w:pPr>
              <w:pStyle w:val="Tablecontents"/>
              <w:keepNext/>
              <w:keepLines/>
              <w:jc w:val="center"/>
              <w:rPr>
                <w:sz w:val="20"/>
                <w:szCs w:val="20"/>
              </w:rPr>
            </w:pPr>
            <w:r w:rsidRPr="00315E9C">
              <w:rPr>
                <w:sz w:val="20"/>
                <w:szCs w:val="20"/>
              </w:rPr>
              <w:t>51%</w:t>
            </w:r>
          </w:p>
        </w:tc>
        <w:tc>
          <w:tcPr>
            <w:tcW w:w="637" w:type="pct"/>
            <w:vAlign w:val="center"/>
          </w:tcPr>
          <w:p w14:paraId="3AC56D5E" w14:textId="77777777" w:rsidR="00A71D24" w:rsidRPr="00315E9C" w:rsidRDefault="00A71D24" w:rsidP="00FF30B8">
            <w:pPr>
              <w:pStyle w:val="Tablecontents"/>
              <w:keepNext/>
              <w:keepLines/>
              <w:jc w:val="center"/>
              <w:rPr>
                <w:sz w:val="20"/>
                <w:szCs w:val="20"/>
              </w:rPr>
            </w:pPr>
            <w:r w:rsidRPr="00315E9C">
              <w:rPr>
                <w:sz w:val="20"/>
                <w:szCs w:val="20"/>
              </w:rPr>
              <w:t>31%</w:t>
            </w:r>
          </w:p>
        </w:tc>
        <w:tc>
          <w:tcPr>
            <w:tcW w:w="637" w:type="pct"/>
            <w:vAlign w:val="center"/>
          </w:tcPr>
          <w:p w14:paraId="43017056" w14:textId="77777777" w:rsidR="00A71D24" w:rsidRPr="00315E9C" w:rsidRDefault="00A71D24" w:rsidP="00FF30B8">
            <w:pPr>
              <w:pStyle w:val="Tablecontents"/>
              <w:keepNext/>
              <w:keepLines/>
              <w:jc w:val="center"/>
              <w:rPr>
                <w:sz w:val="20"/>
                <w:szCs w:val="20"/>
              </w:rPr>
            </w:pPr>
            <w:r w:rsidRPr="00315E9C">
              <w:rPr>
                <w:sz w:val="20"/>
                <w:szCs w:val="20"/>
              </w:rPr>
              <w:t>37%</w:t>
            </w:r>
          </w:p>
        </w:tc>
        <w:tc>
          <w:tcPr>
            <w:tcW w:w="637" w:type="pct"/>
            <w:vAlign w:val="center"/>
          </w:tcPr>
          <w:p w14:paraId="293F6E22" w14:textId="77777777" w:rsidR="00A71D24" w:rsidRPr="00315E9C" w:rsidRDefault="00A71D24" w:rsidP="00FF30B8">
            <w:pPr>
              <w:pStyle w:val="Tablecontents"/>
              <w:keepNext/>
              <w:keepLines/>
              <w:jc w:val="center"/>
              <w:rPr>
                <w:sz w:val="20"/>
                <w:szCs w:val="20"/>
              </w:rPr>
            </w:pPr>
            <w:r w:rsidRPr="00315E9C">
              <w:rPr>
                <w:sz w:val="20"/>
                <w:szCs w:val="20"/>
              </w:rPr>
              <w:t>31%</w:t>
            </w:r>
          </w:p>
        </w:tc>
        <w:tc>
          <w:tcPr>
            <w:tcW w:w="637" w:type="pct"/>
            <w:vAlign w:val="center"/>
          </w:tcPr>
          <w:p w14:paraId="0170CE7F" w14:textId="77777777" w:rsidR="00A71D24" w:rsidRPr="00315E9C" w:rsidRDefault="00A71D24" w:rsidP="00FF30B8">
            <w:pPr>
              <w:pStyle w:val="Tablecontents"/>
              <w:keepNext/>
              <w:keepLines/>
              <w:jc w:val="center"/>
              <w:rPr>
                <w:sz w:val="20"/>
                <w:szCs w:val="20"/>
              </w:rPr>
            </w:pPr>
            <w:r w:rsidRPr="00315E9C">
              <w:rPr>
                <w:sz w:val="20"/>
                <w:szCs w:val="20"/>
              </w:rPr>
              <w:t>8%</w:t>
            </w:r>
          </w:p>
        </w:tc>
        <w:tc>
          <w:tcPr>
            <w:tcW w:w="637" w:type="pct"/>
            <w:vAlign w:val="center"/>
          </w:tcPr>
          <w:p w14:paraId="5FAE7DD4" w14:textId="77777777" w:rsidR="00A71D24" w:rsidRPr="00315E9C" w:rsidRDefault="00A71D24" w:rsidP="00FF30B8">
            <w:pPr>
              <w:pStyle w:val="Tablecontents"/>
              <w:keepNext/>
              <w:keepLines/>
              <w:jc w:val="center"/>
              <w:rPr>
                <w:sz w:val="20"/>
                <w:szCs w:val="20"/>
              </w:rPr>
            </w:pPr>
            <w:r w:rsidRPr="00315E9C">
              <w:rPr>
                <w:sz w:val="20"/>
                <w:szCs w:val="20"/>
              </w:rPr>
              <w:t>20%</w:t>
            </w:r>
          </w:p>
        </w:tc>
        <w:tc>
          <w:tcPr>
            <w:tcW w:w="637" w:type="pct"/>
            <w:vAlign w:val="center"/>
          </w:tcPr>
          <w:p w14:paraId="441E27DA" w14:textId="77777777" w:rsidR="00A71D24" w:rsidRPr="00315E9C" w:rsidRDefault="00A71D24" w:rsidP="00FF30B8">
            <w:pPr>
              <w:pStyle w:val="Tablecontents"/>
              <w:keepNext/>
              <w:keepLines/>
              <w:jc w:val="center"/>
              <w:rPr>
                <w:sz w:val="20"/>
                <w:szCs w:val="20"/>
              </w:rPr>
            </w:pPr>
            <w:r w:rsidRPr="00315E9C">
              <w:rPr>
                <w:sz w:val="20"/>
                <w:szCs w:val="20"/>
              </w:rPr>
              <w:t>15%</w:t>
            </w:r>
          </w:p>
        </w:tc>
      </w:tr>
      <w:tr w:rsidR="00A71D24" w:rsidRPr="00315E9C" w14:paraId="5676EEE4" w14:textId="77777777" w:rsidTr="008B24B8">
        <w:trPr>
          <w:trHeight w:hRule="exact" w:val="446"/>
        </w:trPr>
        <w:tc>
          <w:tcPr>
            <w:tcW w:w="540" w:type="pct"/>
            <w:vAlign w:val="center"/>
          </w:tcPr>
          <w:p w14:paraId="11C4D25A"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VIC</w:t>
            </w:r>
          </w:p>
        </w:tc>
        <w:tc>
          <w:tcPr>
            <w:tcW w:w="637" w:type="pct"/>
            <w:vAlign w:val="center"/>
          </w:tcPr>
          <w:p w14:paraId="46C68ABB" w14:textId="77777777" w:rsidR="00A71D24" w:rsidRPr="00315E9C" w:rsidRDefault="00A71D24" w:rsidP="00FF30B8">
            <w:pPr>
              <w:pStyle w:val="Tablecontents"/>
              <w:keepNext/>
              <w:keepLines/>
              <w:jc w:val="center"/>
              <w:rPr>
                <w:sz w:val="20"/>
                <w:szCs w:val="20"/>
              </w:rPr>
            </w:pPr>
            <w:r w:rsidRPr="00315E9C">
              <w:rPr>
                <w:sz w:val="20"/>
                <w:szCs w:val="20"/>
              </w:rPr>
              <w:t>17%</w:t>
            </w:r>
          </w:p>
        </w:tc>
        <w:tc>
          <w:tcPr>
            <w:tcW w:w="637" w:type="pct"/>
            <w:vAlign w:val="center"/>
          </w:tcPr>
          <w:p w14:paraId="49C4FF13" w14:textId="77777777" w:rsidR="00A71D24" w:rsidRPr="00315E9C" w:rsidRDefault="00A71D24" w:rsidP="00FF30B8">
            <w:pPr>
              <w:pStyle w:val="Tablecontents"/>
              <w:keepNext/>
              <w:keepLines/>
              <w:jc w:val="center"/>
              <w:rPr>
                <w:sz w:val="20"/>
                <w:szCs w:val="20"/>
              </w:rPr>
            </w:pPr>
            <w:r w:rsidRPr="00315E9C">
              <w:rPr>
                <w:sz w:val="20"/>
                <w:szCs w:val="20"/>
              </w:rPr>
              <w:t>35%</w:t>
            </w:r>
          </w:p>
        </w:tc>
        <w:tc>
          <w:tcPr>
            <w:tcW w:w="637" w:type="pct"/>
            <w:vAlign w:val="center"/>
          </w:tcPr>
          <w:p w14:paraId="257A5F42" w14:textId="77777777" w:rsidR="00A71D24" w:rsidRPr="00315E9C" w:rsidRDefault="00A71D24" w:rsidP="00FF30B8">
            <w:pPr>
              <w:pStyle w:val="Tablecontents"/>
              <w:keepNext/>
              <w:keepLines/>
              <w:jc w:val="center"/>
              <w:rPr>
                <w:sz w:val="20"/>
                <w:szCs w:val="20"/>
              </w:rPr>
            </w:pPr>
            <w:r w:rsidRPr="00315E9C">
              <w:rPr>
                <w:sz w:val="20"/>
                <w:szCs w:val="20"/>
              </w:rPr>
              <w:t>30%</w:t>
            </w:r>
          </w:p>
        </w:tc>
        <w:tc>
          <w:tcPr>
            <w:tcW w:w="637" w:type="pct"/>
            <w:vAlign w:val="center"/>
          </w:tcPr>
          <w:p w14:paraId="62A53B45" w14:textId="77777777" w:rsidR="00A71D24" w:rsidRPr="00315E9C" w:rsidRDefault="00A71D24" w:rsidP="00FF30B8">
            <w:pPr>
              <w:pStyle w:val="Tablecontents"/>
              <w:keepNext/>
              <w:keepLines/>
              <w:jc w:val="center"/>
              <w:rPr>
                <w:sz w:val="20"/>
                <w:szCs w:val="20"/>
              </w:rPr>
            </w:pPr>
            <w:r w:rsidRPr="00315E9C">
              <w:rPr>
                <w:sz w:val="20"/>
                <w:szCs w:val="20"/>
              </w:rPr>
              <w:t>4%</w:t>
            </w:r>
          </w:p>
        </w:tc>
        <w:tc>
          <w:tcPr>
            <w:tcW w:w="637" w:type="pct"/>
            <w:vAlign w:val="center"/>
          </w:tcPr>
          <w:p w14:paraId="77DFAD2A" w14:textId="77777777" w:rsidR="00A71D24" w:rsidRPr="00315E9C" w:rsidRDefault="00A71D24" w:rsidP="00FF30B8">
            <w:pPr>
              <w:pStyle w:val="Tablecontents"/>
              <w:keepNext/>
              <w:keepLines/>
              <w:jc w:val="center"/>
              <w:rPr>
                <w:sz w:val="20"/>
                <w:szCs w:val="20"/>
              </w:rPr>
            </w:pPr>
            <w:r w:rsidRPr="00315E9C">
              <w:rPr>
                <w:sz w:val="20"/>
                <w:szCs w:val="20"/>
              </w:rPr>
              <w:t>-7%</w:t>
            </w:r>
          </w:p>
        </w:tc>
        <w:tc>
          <w:tcPr>
            <w:tcW w:w="637" w:type="pct"/>
            <w:vAlign w:val="center"/>
          </w:tcPr>
          <w:p w14:paraId="5B032210" w14:textId="77777777" w:rsidR="00A71D24" w:rsidRPr="00315E9C" w:rsidRDefault="00A71D24" w:rsidP="00FF30B8">
            <w:pPr>
              <w:pStyle w:val="Tablecontents"/>
              <w:keepNext/>
              <w:keepLines/>
              <w:jc w:val="center"/>
              <w:rPr>
                <w:sz w:val="20"/>
                <w:szCs w:val="20"/>
              </w:rPr>
            </w:pPr>
            <w:r w:rsidRPr="00315E9C">
              <w:rPr>
                <w:sz w:val="20"/>
                <w:szCs w:val="20"/>
              </w:rPr>
              <w:t>11%</w:t>
            </w:r>
          </w:p>
        </w:tc>
        <w:tc>
          <w:tcPr>
            <w:tcW w:w="637" w:type="pct"/>
            <w:vAlign w:val="center"/>
          </w:tcPr>
          <w:p w14:paraId="223E98C1" w14:textId="77777777" w:rsidR="00A71D24" w:rsidRPr="00315E9C" w:rsidRDefault="00A71D24" w:rsidP="00FF30B8">
            <w:pPr>
              <w:pStyle w:val="Tablecontents"/>
              <w:keepNext/>
              <w:keepLines/>
              <w:jc w:val="center"/>
              <w:rPr>
                <w:sz w:val="20"/>
                <w:szCs w:val="20"/>
              </w:rPr>
            </w:pPr>
            <w:r w:rsidRPr="00315E9C">
              <w:rPr>
                <w:sz w:val="20"/>
                <w:szCs w:val="20"/>
              </w:rPr>
              <w:t>20%</w:t>
            </w:r>
          </w:p>
        </w:tc>
      </w:tr>
      <w:tr w:rsidR="00A71D24" w:rsidRPr="00315E9C" w14:paraId="1D35F977" w14:textId="77777777" w:rsidTr="008B24B8">
        <w:trPr>
          <w:trHeight w:hRule="exact" w:val="446"/>
        </w:trPr>
        <w:tc>
          <w:tcPr>
            <w:tcW w:w="540" w:type="pct"/>
            <w:vAlign w:val="center"/>
          </w:tcPr>
          <w:p w14:paraId="2BB7854F"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QLD</w:t>
            </w:r>
          </w:p>
        </w:tc>
        <w:tc>
          <w:tcPr>
            <w:tcW w:w="637" w:type="pct"/>
            <w:vAlign w:val="center"/>
          </w:tcPr>
          <w:p w14:paraId="3A81F16E" w14:textId="77777777" w:rsidR="00A71D24" w:rsidRPr="00315E9C" w:rsidRDefault="00A71D24" w:rsidP="00FF30B8">
            <w:pPr>
              <w:pStyle w:val="Tablecontents"/>
              <w:keepNext/>
              <w:keepLines/>
              <w:jc w:val="center"/>
              <w:rPr>
                <w:sz w:val="20"/>
                <w:szCs w:val="20"/>
              </w:rPr>
            </w:pPr>
            <w:r w:rsidRPr="00315E9C">
              <w:rPr>
                <w:sz w:val="20"/>
                <w:szCs w:val="20"/>
              </w:rPr>
              <w:t>-6%</w:t>
            </w:r>
          </w:p>
        </w:tc>
        <w:tc>
          <w:tcPr>
            <w:tcW w:w="637" w:type="pct"/>
            <w:vAlign w:val="center"/>
          </w:tcPr>
          <w:p w14:paraId="2617D89D" w14:textId="77777777" w:rsidR="00A71D24" w:rsidRPr="00315E9C" w:rsidRDefault="00A71D24" w:rsidP="00FF30B8">
            <w:pPr>
              <w:pStyle w:val="Tablecontents"/>
              <w:keepNext/>
              <w:keepLines/>
              <w:jc w:val="center"/>
              <w:rPr>
                <w:sz w:val="20"/>
                <w:szCs w:val="20"/>
              </w:rPr>
            </w:pPr>
            <w:r w:rsidRPr="00315E9C">
              <w:rPr>
                <w:sz w:val="20"/>
                <w:szCs w:val="20"/>
              </w:rPr>
              <w:t>13%</w:t>
            </w:r>
          </w:p>
        </w:tc>
        <w:tc>
          <w:tcPr>
            <w:tcW w:w="637" w:type="pct"/>
            <w:vAlign w:val="center"/>
          </w:tcPr>
          <w:p w14:paraId="7BDDB5BB" w14:textId="77777777" w:rsidR="00A71D24" w:rsidRPr="00315E9C" w:rsidRDefault="00A71D24" w:rsidP="00FF30B8">
            <w:pPr>
              <w:pStyle w:val="Tablecontents"/>
              <w:keepNext/>
              <w:keepLines/>
              <w:jc w:val="center"/>
              <w:rPr>
                <w:sz w:val="20"/>
                <w:szCs w:val="20"/>
              </w:rPr>
            </w:pPr>
            <w:r w:rsidRPr="00315E9C">
              <w:rPr>
                <w:sz w:val="20"/>
                <w:szCs w:val="20"/>
              </w:rPr>
              <w:t>12%</w:t>
            </w:r>
          </w:p>
        </w:tc>
        <w:tc>
          <w:tcPr>
            <w:tcW w:w="637" w:type="pct"/>
            <w:vAlign w:val="center"/>
          </w:tcPr>
          <w:p w14:paraId="0391B7B4" w14:textId="77777777" w:rsidR="00A71D24" w:rsidRPr="00315E9C" w:rsidRDefault="00A71D24" w:rsidP="00FF30B8">
            <w:pPr>
              <w:pStyle w:val="Tablecontents"/>
              <w:keepNext/>
              <w:keepLines/>
              <w:jc w:val="center"/>
              <w:rPr>
                <w:sz w:val="20"/>
                <w:szCs w:val="20"/>
              </w:rPr>
            </w:pPr>
            <w:r w:rsidRPr="00315E9C">
              <w:rPr>
                <w:sz w:val="20"/>
                <w:szCs w:val="20"/>
              </w:rPr>
              <w:t>1%</w:t>
            </w:r>
          </w:p>
        </w:tc>
        <w:tc>
          <w:tcPr>
            <w:tcW w:w="637" w:type="pct"/>
            <w:vAlign w:val="center"/>
          </w:tcPr>
          <w:p w14:paraId="0841361B" w14:textId="77777777" w:rsidR="00A71D24" w:rsidRPr="00315E9C" w:rsidRDefault="00A71D24" w:rsidP="00FF30B8">
            <w:pPr>
              <w:pStyle w:val="Tablecontents"/>
              <w:keepNext/>
              <w:keepLines/>
              <w:jc w:val="center"/>
              <w:rPr>
                <w:sz w:val="20"/>
                <w:szCs w:val="20"/>
              </w:rPr>
            </w:pPr>
            <w:r w:rsidRPr="00315E9C">
              <w:rPr>
                <w:sz w:val="20"/>
                <w:szCs w:val="20"/>
              </w:rPr>
              <w:t>7%</w:t>
            </w:r>
          </w:p>
        </w:tc>
        <w:tc>
          <w:tcPr>
            <w:tcW w:w="637" w:type="pct"/>
            <w:vAlign w:val="center"/>
          </w:tcPr>
          <w:p w14:paraId="48C568C0" w14:textId="77777777" w:rsidR="00A71D24" w:rsidRPr="00315E9C" w:rsidRDefault="00A71D24" w:rsidP="00FF30B8">
            <w:pPr>
              <w:pStyle w:val="Tablecontents"/>
              <w:keepNext/>
              <w:keepLines/>
              <w:jc w:val="center"/>
              <w:rPr>
                <w:sz w:val="20"/>
                <w:szCs w:val="20"/>
              </w:rPr>
            </w:pPr>
            <w:r w:rsidRPr="00315E9C">
              <w:rPr>
                <w:sz w:val="20"/>
                <w:szCs w:val="20"/>
              </w:rPr>
              <w:t>15%</w:t>
            </w:r>
          </w:p>
        </w:tc>
        <w:tc>
          <w:tcPr>
            <w:tcW w:w="637" w:type="pct"/>
            <w:vAlign w:val="center"/>
          </w:tcPr>
          <w:p w14:paraId="58505767" w14:textId="77777777" w:rsidR="00A71D24" w:rsidRPr="00315E9C" w:rsidRDefault="00A71D24" w:rsidP="00FF30B8">
            <w:pPr>
              <w:pStyle w:val="Tablecontents"/>
              <w:keepNext/>
              <w:keepLines/>
              <w:jc w:val="center"/>
              <w:rPr>
                <w:sz w:val="20"/>
                <w:szCs w:val="20"/>
              </w:rPr>
            </w:pPr>
            <w:r w:rsidRPr="00315E9C">
              <w:rPr>
                <w:sz w:val="20"/>
                <w:szCs w:val="20"/>
              </w:rPr>
              <w:t>16%</w:t>
            </w:r>
          </w:p>
        </w:tc>
      </w:tr>
      <w:tr w:rsidR="00A71D24" w:rsidRPr="00315E9C" w14:paraId="47470372" w14:textId="77777777" w:rsidTr="008B24B8">
        <w:trPr>
          <w:trHeight w:hRule="exact" w:val="448"/>
        </w:trPr>
        <w:tc>
          <w:tcPr>
            <w:tcW w:w="540" w:type="pct"/>
            <w:vAlign w:val="center"/>
          </w:tcPr>
          <w:p w14:paraId="3AB0050D"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WA</w:t>
            </w:r>
          </w:p>
        </w:tc>
        <w:tc>
          <w:tcPr>
            <w:tcW w:w="637" w:type="pct"/>
            <w:vAlign w:val="center"/>
          </w:tcPr>
          <w:p w14:paraId="0DBE8DC1" w14:textId="77777777" w:rsidR="00A71D24" w:rsidRPr="00315E9C" w:rsidRDefault="00A71D24" w:rsidP="00FF30B8">
            <w:pPr>
              <w:pStyle w:val="Tablecontents"/>
              <w:keepNext/>
              <w:keepLines/>
              <w:jc w:val="center"/>
              <w:rPr>
                <w:sz w:val="20"/>
                <w:szCs w:val="20"/>
              </w:rPr>
            </w:pPr>
            <w:r w:rsidRPr="00315E9C">
              <w:rPr>
                <w:sz w:val="20"/>
                <w:szCs w:val="20"/>
              </w:rPr>
              <w:t>-14%</w:t>
            </w:r>
          </w:p>
        </w:tc>
        <w:tc>
          <w:tcPr>
            <w:tcW w:w="637" w:type="pct"/>
            <w:vAlign w:val="center"/>
          </w:tcPr>
          <w:p w14:paraId="6250EA45" w14:textId="77777777" w:rsidR="00A71D24" w:rsidRPr="00315E9C" w:rsidRDefault="00A71D24" w:rsidP="00FF30B8">
            <w:pPr>
              <w:pStyle w:val="Tablecontents"/>
              <w:keepNext/>
              <w:keepLines/>
              <w:jc w:val="center"/>
              <w:rPr>
                <w:sz w:val="20"/>
                <w:szCs w:val="20"/>
              </w:rPr>
            </w:pPr>
            <w:r w:rsidRPr="00315E9C">
              <w:rPr>
                <w:sz w:val="20"/>
                <w:szCs w:val="20"/>
              </w:rPr>
              <w:t>-20%</w:t>
            </w:r>
          </w:p>
        </w:tc>
        <w:tc>
          <w:tcPr>
            <w:tcW w:w="637" w:type="pct"/>
            <w:vAlign w:val="center"/>
          </w:tcPr>
          <w:p w14:paraId="55384C01" w14:textId="77777777" w:rsidR="00A71D24" w:rsidRPr="00315E9C" w:rsidRDefault="00A71D24" w:rsidP="00FF30B8">
            <w:pPr>
              <w:pStyle w:val="Tablecontents"/>
              <w:keepNext/>
              <w:keepLines/>
              <w:jc w:val="center"/>
              <w:rPr>
                <w:sz w:val="20"/>
                <w:szCs w:val="20"/>
              </w:rPr>
            </w:pPr>
            <w:r w:rsidRPr="00315E9C">
              <w:rPr>
                <w:sz w:val="20"/>
                <w:szCs w:val="20"/>
              </w:rPr>
              <w:t>45%</w:t>
            </w:r>
          </w:p>
        </w:tc>
        <w:tc>
          <w:tcPr>
            <w:tcW w:w="637" w:type="pct"/>
            <w:vAlign w:val="center"/>
          </w:tcPr>
          <w:p w14:paraId="6BC8B4A0" w14:textId="77777777" w:rsidR="00A71D24" w:rsidRPr="00315E9C" w:rsidRDefault="00A71D24" w:rsidP="00FF30B8">
            <w:pPr>
              <w:pStyle w:val="Tablecontents"/>
              <w:keepNext/>
              <w:keepLines/>
              <w:jc w:val="center"/>
              <w:rPr>
                <w:sz w:val="20"/>
                <w:szCs w:val="20"/>
              </w:rPr>
            </w:pPr>
            <w:r w:rsidRPr="00315E9C">
              <w:rPr>
                <w:sz w:val="20"/>
                <w:szCs w:val="20"/>
              </w:rPr>
              <w:t>10%</w:t>
            </w:r>
          </w:p>
        </w:tc>
        <w:tc>
          <w:tcPr>
            <w:tcW w:w="637" w:type="pct"/>
            <w:vAlign w:val="center"/>
          </w:tcPr>
          <w:p w14:paraId="0DC65E68" w14:textId="77777777" w:rsidR="00A71D24" w:rsidRPr="00315E9C" w:rsidRDefault="00A71D24" w:rsidP="00FF30B8">
            <w:pPr>
              <w:pStyle w:val="Tablecontents"/>
              <w:keepNext/>
              <w:keepLines/>
              <w:jc w:val="center"/>
              <w:rPr>
                <w:sz w:val="20"/>
                <w:szCs w:val="20"/>
              </w:rPr>
            </w:pPr>
            <w:r w:rsidRPr="00315E9C">
              <w:rPr>
                <w:sz w:val="20"/>
                <w:szCs w:val="20"/>
              </w:rPr>
              <w:t>-24%</w:t>
            </w:r>
          </w:p>
        </w:tc>
        <w:tc>
          <w:tcPr>
            <w:tcW w:w="637" w:type="pct"/>
            <w:vAlign w:val="center"/>
          </w:tcPr>
          <w:p w14:paraId="0E206E10" w14:textId="77777777" w:rsidR="00A71D24" w:rsidRPr="00315E9C" w:rsidRDefault="00A71D24" w:rsidP="00FF30B8">
            <w:pPr>
              <w:pStyle w:val="Tablecontents"/>
              <w:keepNext/>
              <w:keepLines/>
              <w:jc w:val="center"/>
              <w:rPr>
                <w:sz w:val="20"/>
                <w:szCs w:val="20"/>
              </w:rPr>
            </w:pPr>
            <w:r w:rsidRPr="00315E9C">
              <w:rPr>
                <w:sz w:val="20"/>
                <w:szCs w:val="20"/>
              </w:rPr>
              <w:t>6%</w:t>
            </w:r>
          </w:p>
        </w:tc>
        <w:tc>
          <w:tcPr>
            <w:tcW w:w="637" w:type="pct"/>
            <w:vAlign w:val="center"/>
          </w:tcPr>
          <w:p w14:paraId="0D2B0AB9" w14:textId="77777777" w:rsidR="00A71D24" w:rsidRPr="00315E9C" w:rsidRDefault="00A71D24" w:rsidP="00FF30B8">
            <w:pPr>
              <w:pStyle w:val="Tablecontents"/>
              <w:keepNext/>
              <w:keepLines/>
              <w:jc w:val="center"/>
              <w:rPr>
                <w:sz w:val="20"/>
                <w:szCs w:val="20"/>
              </w:rPr>
            </w:pPr>
            <w:r w:rsidRPr="00315E9C">
              <w:rPr>
                <w:sz w:val="20"/>
                <w:szCs w:val="20"/>
              </w:rPr>
              <w:t>38%</w:t>
            </w:r>
          </w:p>
        </w:tc>
      </w:tr>
      <w:tr w:rsidR="00A71D24" w:rsidRPr="00315E9C" w14:paraId="458398D0" w14:textId="77777777" w:rsidTr="008B24B8">
        <w:trPr>
          <w:trHeight w:hRule="exact" w:val="448"/>
        </w:trPr>
        <w:tc>
          <w:tcPr>
            <w:tcW w:w="540" w:type="pct"/>
            <w:vAlign w:val="center"/>
          </w:tcPr>
          <w:p w14:paraId="0A5BF4A6"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SA</w:t>
            </w:r>
          </w:p>
        </w:tc>
        <w:tc>
          <w:tcPr>
            <w:tcW w:w="637" w:type="pct"/>
            <w:vAlign w:val="center"/>
          </w:tcPr>
          <w:p w14:paraId="04C53BAE" w14:textId="77777777" w:rsidR="00A71D24" w:rsidRPr="00315E9C" w:rsidRDefault="00A71D24" w:rsidP="00FF30B8">
            <w:pPr>
              <w:pStyle w:val="Tablecontents"/>
              <w:keepNext/>
              <w:keepLines/>
              <w:jc w:val="center"/>
              <w:rPr>
                <w:sz w:val="20"/>
                <w:szCs w:val="20"/>
              </w:rPr>
            </w:pPr>
            <w:r w:rsidRPr="00315E9C">
              <w:rPr>
                <w:sz w:val="20"/>
                <w:szCs w:val="20"/>
              </w:rPr>
              <w:t>88%</w:t>
            </w:r>
          </w:p>
        </w:tc>
        <w:tc>
          <w:tcPr>
            <w:tcW w:w="637" w:type="pct"/>
            <w:vAlign w:val="center"/>
          </w:tcPr>
          <w:p w14:paraId="1D8F3E9B" w14:textId="77777777" w:rsidR="00A71D24" w:rsidRPr="00315E9C" w:rsidRDefault="00A71D24" w:rsidP="00FF30B8">
            <w:pPr>
              <w:pStyle w:val="Tablecontents"/>
              <w:keepNext/>
              <w:keepLines/>
              <w:jc w:val="center"/>
              <w:rPr>
                <w:sz w:val="20"/>
                <w:szCs w:val="20"/>
              </w:rPr>
            </w:pPr>
            <w:r w:rsidRPr="00315E9C">
              <w:rPr>
                <w:sz w:val="20"/>
                <w:szCs w:val="20"/>
              </w:rPr>
              <w:t>0%</w:t>
            </w:r>
          </w:p>
        </w:tc>
        <w:tc>
          <w:tcPr>
            <w:tcW w:w="637" w:type="pct"/>
            <w:vAlign w:val="center"/>
          </w:tcPr>
          <w:p w14:paraId="1B618339" w14:textId="77777777" w:rsidR="00A71D24" w:rsidRPr="00315E9C" w:rsidRDefault="00A71D24" w:rsidP="00FF30B8">
            <w:pPr>
              <w:pStyle w:val="Tablecontents"/>
              <w:keepNext/>
              <w:keepLines/>
              <w:jc w:val="center"/>
              <w:rPr>
                <w:sz w:val="20"/>
                <w:szCs w:val="20"/>
              </w:rPr>
            </w:pPr>
            <w:r w:rsidRPr="00315E9C">
              <w:rPr>
                <w:sz w:val="20"/>
                <w:szCs w:val="20"/>
              </w:rPr>
              <w:t>-4%</w:t>
            </w:r>
          </w:p>
        </w:tc>
        <w:tc>
          <w:tcPr>
            <w:tcW w:w="637" w:type="pct"/>
            <w:vAlign w:val="center"/>
          </w:tcPr>
          <w:p w14:paraId="06F3DD0E" w14:textId="77777777" w:rsidR="00A71D24" w:rsidRPr="00315E9C" w:rsidRDefault="00A71D24" w:rsidP="00FF30B8">
            <w:pPr>
              <w:pStyle w:val="Tablecontents"/>
              <w:keepNext/>
              <w:keepLines/>
              <w:jc w:val="center"/>
              <w:rPr>
                <w:sz w:val="20"/>
                <w:szCs w:val="20"/>
              </w:rPr>
            </w:pPr>
            <w:r w:rsidRPr="00315E9C">
              <w:rPr>
                <w:sz w:val="20"/>
                <w:szCs w:val="20"/>
              </w:rPr>
              <w:t>45%</w:t>
            </w:r>
          </w:p>
        </w:tc>
        <w:tc>
          <w:tcPr>
            <w:tcW w:w="637" w:type="pct"/>
            <w:vAlign w:val="center"/>
          </w:tcPr>
          <w:p w14:paraId="5474102A" w14:textId="77777777" w:rsidR="00A71D24" w:rsidRPr="00315E9C" w:rsidRDefault="00A71D24" w:rsidP="00FF30B8">
            <w:pPr>
              <w:pStyle w:val="Tablecontents"/>
              <w:keepNext/>
              <w:keepLines/>
              <w:jc w:val="center"/>
              <w:rPr>
                <w:sz w:val="20"/>
                <w:szCs w:val="20"/>
              </w:rPr>
            </w:pPr>
            <w:r w:rsidRPr="00315E9C">
              <w:rPr>
                <w:sz w:val="20"/>
                <w:szCs w:val="20"/>
              </w:rPr>
              <w:t>15%</w:t>
            </w:r>
          </w:p>
        </w:tc>
        <w:tc>
          <w:tcPr>
            <w:tcW w:w="637" w:type="pct"/>
            <w:vAlign w:val="center"/>
          </w:tcPr>
          <w:p w14:paraId="039D104D" w14:textId="77777777" w:rsidR="00A71D24" w:rsidRPr="00315E9C" w:rsidRDefault="00A71D24" w:rsidP="00FF30B8">
            <w:pPr>
              <w:pStyle w:val="Tablecontents"/>
              <w:keepNext/>
              <w:keepLines/>
              <w:jc w:val="center"/>
              <w:rPr>
                <w:sz w:val="20"/>
                <w:szCs w:val="20"/>
              </w:rPr>
            </w:pPr>
            <w:r w:rsidRPr="00315E9C">
              <w:rPr>
                <w:sz w:val="20"/>
                <w:szCs w:val="20"/>
              </w:rPr>
              <w:t>-9%</w:t>
            </w:r>
          </w:p>
        </w:tc>
        <w:tc>
          <w:tcPr>
            <w:tcW w:w="637" w:type="pct"/>
            <w:vAlign w:val="center"/>
          </w:tcPr>
          <w:p w14:paraId="3B8702CF" w14:textId="77777777" w:rsidR="00A71D24" w:rsidRPr="00315E9C" w:rsidRDefault="00A71D24" w:rsidP="00FF30B8">
            <w:pPr>
              <w:pStyle w:val="Tablecontents"/>
              <w:keepNext/>
              <w:keepLines/>
              <w:jc w:val="center"/>
              <w:rPr>
                <w:sz w:val="20"/>
                <w:szCs w:val="20"/>
              </w:rPr>
            </w:pPr>
            <w:r w:rsidRPr="00315E9C">
              <w:rPr>
                <w:sz w:val="20"/>
                <w:szCs w:val="20"/>
              </w:rPr>
              <w:t>-20%</w:t>
            </w:r>
          </w:p>
        </w:tc>
      </w:tr>
      <w:tr w:rsidR="00A71D24" w:rsidRPr="00315E9C" w14:paraId="6B9B7900" w14:textId="77777777" w:rsidTr="008B24B8">
        <w:trPr>
          <w:trHeight w:hRule="exact" w:val="446"/>
        </w:trPr>
        <w:tc>
          <w:tcPr>
            <w:tcW w:w="540" w:type="pct"/>
            <w:vAlign w:val="center"/>
          </w:tcPr>
          <w:p w14:paraId="648A46B1"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TAS</w:t>
            </w:r>
          </w:p>
        </w:tc>
        <w:tc>
          <w:tcPr>
            <w:tcW w:w="637" w:type="pct"/>
            <w:vAlign w:val="center"/>
          </w:tcPr>
          <w:p w14:paraId="27C6DA0E" w14:textId="77777777" w:rsidR="00A71D24" w:rsidRPr="00315E9C" w:rsidRDefault="00A71D24" w:rsidP="00FF30B8">
            <w:pPr>
              <w:pStyle w:val="Tablecontents"/>
              <w:keepNext/>
              <w:keepLines/>
              <w:jc w:val="center"/>
              <w:rPr>
                <w:sz w:val="20"/>
                <w:szCs w:val="20"/>
              </w:rPr>
            </w:pPr>
            <w:r w:rsidRPr="00315E9C">
              <w:rPr>
                <w:sz w:val="20"/>
                <w:szCs w:val="20"/>
              </w:rPr>
              <w:t>16%</w:t>
            </w:r>
          </w:p>
        </w:tc>
        <w:tc>
          <w:tcPr>
            <w:tcW w:w="637" w:type="pct"/>
            <w:vAlign w:val="center"/>
          </w:tcPr>
          <w:p w14:paraId="12A81831" w14:textId="77777777" w:rsidR="00A71D24" w:rsidRPr="00315E9C" w:rsidRDefault="00A71D24" w:rsidP="00FF30B8">
            <w:pPr>
              <w:pStyle w:val="Tablecontents"/>
              <w:keepNext/>
              <w:keepLines/>
              <w:jc w:val="center"/>
              <w:rPr>
                <w:sz w:val="20"/>
                <w:szCs w:val="20"/>
              </w:rPr>
            </w:pPr>
            <w:r w:rsidRPr="00315E9C">
              <w:rPr>
                <w:sz w:val="20"/>
                <w:szCs w:val="20"/>
              </w:rPr>
              <w:t>41%</w:t>
            </w:r>
          </w:p>
        </w:tc>
        <w:tc>
          <w:tcPr>
            <w:tcW w:w="637" w:type="pct"/>
            <w:vAlign w:val="center"/>
          </w:tcPr>
          <w:p w14:paraId="55B4BFC1" w14:textId="77777777" w:rsidR="00A71D24" w:rsidRPr="00315E9C" w:rsidRDefault="00A71D24" w:rsidP="00FF30B8">
            <w:pPr>
              <w:pStyle w:val="Tablecontents"/>
              <w:keepNext/>
              <w:keepLines/>
              <w:jc w:val="center"/>
              <w:rPr>
                <w:sz w:val="20"/>
                <w:szCs w:val="20"/>
              </w:rPr>
            </w:pPr>
            <w:r w:rsidRPr="00315E9C">
              <w:rPr>
                <w:sz w:val="20"/>
                <w:szCs w:val="20"/>
              </w:rPr>
              <w:t>-4%</w:t>
            </w:r>
          </w:p>
        </w:tc>
        <w:tc>
          <w:tcPr>
            <w:tcW w:w="637" w:type="pct"/>
            <w:vAlign w:val="center"/>
          </w:tcPr>
          <w:p w14:paraId="122D328C" w14:textId="77777777" w:rsidR="00A71D24" w:rsidRPr="00315E9C" w:rsidRDefault="00A71D24" w:rsidP="00FF30B8">
            <w:pPr>
              <w:pStyle w:val="Tablecontents"/>
              <w:keepNext/>
              <w:keepLines/>
              <w:jc w:val="center"/>
              <w:rPr>
                <w:sz w:val="20"/>
                <w:szCs w:val="20"/>
              </w:rPr>
            </w:pPr>
            <w:r w:rsidRPr="00315E9C">
              <w:rPr>
                <w:sz w:val="20"/>
                <w:szCs w:val="20"/>
              </w:rPr>
              <w:t>-8%</w:t>
            </w:r>
          </w:p>
        </w:tc>
        <w:tc>
          <w:tcPr>
            <w:tcW w:w="637" w:type="pct"/>
            <w:vAlign w:val="center"/>
          </w:tcPr>
          <w:p w14:paraId="6AF8D9C2" w14:textId="77777777" w:rsidR="00A71D24" w:rsidRPr="00315E9C" w:rsidRDefault="00A71D24" w:rsidP="00FF30B8">
            <w:pPr>
              <w:pStyle w:val="Tablecontents"/>
              <w:keepNext/>
              <w:keepLines/>
              <w:jc w:val="center"/>
              <w:rPr>
                <w:sz w:val="20"/>
                <w:szCs w:val="20"/>
              </w:rPr>
            </w:pPr>
            <w:r w:rsidRPr="00315E9C">
              <w:rPr>
                <w:sz w:val="20"/>
                <w:szCs w:val="20"/>
              </w:rPr>
              <w:t>-2%</w:t>
            </w:r>
          </w:p>
        </w:tc>
        <w:tc>
          <w:tcPr>
            <w:tcW w:w="637" w:type="pct"/>
            <w:vAlign w:val="center"/>
          </w:tcPr>
          <w:p w14:paraId="67C6CA74" w14:textId="77777777" w:rsidR="00A71D24" w:rsidRPr="00315E9C" w:rsidRDefault="00A71D24" w:rsidP="00FF30B8">
            <w:pPr>
              <w:pStyle w:val="Tablecontents"/>
              <w:keepNext/>
              <w:keepLines/>
              <w:jc w:val="center"/>
              <w:rPr>
                <w:sz w:val="20"/>
                <w:szCs w:val="20"/>
              </w:rPr>
            </w:pPr>
            <w:r w:rsidRPr="00315E9C">
              <w:rPr>
                <w:sz w:val="20"/>
                <w:szCs w:val="20"/>
              </w:rPr>
              <w:t>-3%</w:t>
            </w:r>
          </w:p>
        </w:tc>
        <w:tc>
          <w:tcPr>
            <w:tcW w:w="637" w:type="pct"/>
            <w:vAlign w:val="center"/>
          </w:tcPr>
          <w:p w14:paraId="5051C265" w14:textId="77777777" w:rsidR="00A71D24" w:rsidRPr="00315E9C" w:rsidRDefault="00A71D24" w:rsidP="00FF30B8">
            <w:pPr>
              <w:pStyle w:val="Tablecontents"/>
              <w:keepNext/>
              <w:keepLines/>
              <w:jc w:val="center"/>
              <w:rPr>
                <w:sz w:val="20"/>
                <w:szCs w:val="20"/>
              </w:rPr>
            </w:pPr>
            <w:r w:rsidRPr="00315E9C">
              <w:rPr>
                <w:sz w:val="20"/>
                <w:szCs w:val="20"/>
              </w:rPr>
              <w:t>-7%</w:t>
            </w:r>
          </w:p>
        </w:tc>
      </w:tr>
      <w:tr w:rsidR="00A71D24" w:rsidRPr="00315E9C" w14:paraId="37A4FDB2" w14:textId="77777777" w:rsidTr="008B24B8">
        <w:trPr>
          <w:trHeight w:hRule="exact" w:val="446"/>
        </w:trPr>
        <w:tc>
          <w:tcPr>
            <w:tcW w:w="540" w:type="pct"/>
            <w:vAlign w:val="center"/>
          </w:tcPr>
          <w:p w14:paraId="467DECCF"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ACT</w:t>
            </w:r>
          </w:p>
        </w:tc>
        <w:tc>
          <w:tcPr>
            <w:tcW w:w="637" w:type="pct"/>
            <w:vAlign w:val="center"/>
          </w:tcPr>
          <w:p w14:paraId="67F2AC1F" w14:textId="77777777" w:rsidR="00A71D24" w:rsidRPr="00315E9C" w:rsidRDefault="00A71D24" w:rsidP="00FF30B8">
            <w:pPr>
              <w:pStyle w:val="Tablecontents"/>
              <w:keepNext/>
              <w:keepLines/>
              <w:jc w:val="center"/>
              <w:rPr>
                <w:sz w:val="20"/>
                <w:szCs w:val="20"/>
              </w:rPr>
            </w:pPr>
            <w:r w:rsidRPr="00315E9C">
              <w:rPr>
                <w:sz w:val="20"/>
                <w:szCs w:val="20"/>
              </w:rPr>
              <w:t>29%</w:t>
            </w:r>
          </w:p>
        </w:tc>
        <w:tc>
          <w:tcPr>
            <w:tcW w:w="637" w:type="pct"/>
            <w:vAlign w:val="center"/>
          </w:tcPr>
          <w:p w14:paraId="63C202D1" w14:textId="77777777" w:rsidR="00A71D24" w:rsidRPr="00315E9C" w:rsidRDefault="00A71D24" w:rsidP="00FF30B8">
            <w:pPr>
              <w:pStyle w:val="Tablecontents"/>
              <w:keepNext/>
              <w:keepLines/>
              <w:jc w:val="center"/>
              <w:rPr>
                <w:sz w:val="20"/>
                <w:szCs w:val="20"/>
              </w:rPr>
            </w:pPr>
            <w:r w:rsidRPr="00315E9C">
              <w:rPr>
                <w:sz w:val="20"/>
                <w:szCs w:val="20"/>
              </w:rPr>
              <w:t>-16%</w:t>
            </w:r>
          </w:p>
        </w:tc>
        <w:tc>
          <w:tcPr>
            <w:tcW w:w="637" w:type="pct"/>
            <w:vAlign w:val="center"/>
          </w:tcPr>
          <w:p w14:paraId="24F2F8CC" w14:textId="77777777" w:rsidR="00A71D24" w:rsidRPr="00315E9C" w:rsidRDefault="00A71D24" w:rsidP="00FF30B8">
            <w:pPr>
              <w:pStyle w:val="Tablecontents"/>
              <w:keepNext/>
              <w:keepLines/>
              <w:jc w:val="center"/>
              <w:rPr>
                <w:sz w:val="20"/>
                <w:szCs w:val="20"/>
              </w:rPr>
            </w:pPr>
            <w:r w:rsidRPr="00315E9C">
              <w:rPr>
                <w:sz w:val="20"/>
                <w:szCs w:val="20"/>
              </w:rPr>
              <w:t>-66%</w:t>
            </w:r>
          </w:p>
        </w:tc>
        <w:tc>
          <w:tcPr>
            <w:tcW w:w="637" w:type="pct"/>
            <w:vAlign w:val="center"/>
          </w:tcPr>
          <w:p w14:paraId="183F8107" w14:textId="77777777" w:rsidR="00A71D24" w:rsidRPr="00315E9C" w:rsidRDefault="00A71D24" w:rsidP="00FF30B8">
            <w:pPr>
              <w:pStyle w:val="Tablecontents"/>
              <w:keepNext/>
              <w:keepLines/>
              <w:jc w:val="center"/>
              <w:rPr>
                <w:sz w:val="20"/>
                <w:szCs w:val="20"/>
              </w:rPr>
            </w:pPr>
            <w:r w:rsidRPr="00315E9C">
              <w:rPr>
                <w:sz w:val="20"/>
                <w:szCs w:val="20"/>
              </w:rPr>
              <w:t>-51%</w:t>
            </w:r>
          </w:p>
        </w:tc>
        <w:tc>
          <w:tcPr>
            <w:tcW w:w="637" w:type="pct"/>
            <w:vAlign w:val="center"/>
          </w:tcPr>
          <w:p w14:paraId="5745B7FE" w14:textId="77777777" w:rsidR="00A71D24" w:rsidRPr="00315E9C" w:rsidRDefault="00A71D24" w:rsidP="00FF30B8">
            <w:pPr>
              <w:pStyle w:val="Tablecontents"/>
              <w:keepNext/>
              <w:keepLines/>
              <w:jc w:val="center"/>
              <w:rPr>
                <w:sz w:val="20"/>
                <w:szCs w:val="20"/>
              </w:rPr>
            </w:pPr>
            <w:r w:rsidRPr="00315E9C">
              <w:rPr>
                <w:sz w:val="20"/>
                <w:szCs w:val="20"/>
              </w:rPr>
              <w:t>41%</w:t>
            </w:r>
          </w:p>
        </w:tc>
        <w:tc>
          <w:tcPr>
            <w:tcW w:w="637" w:type="pct"/>
            <w:vAlign w:val="center"/>
          </w:tcPr>
          <w:p w14:paraId="28B06BEF" w14:textId="77777777" w:rsidR="00A71D24" w:rsidRPr="00315E9C" w:rsidRDefault="00A71D24" w:rsidP="00FF30B8">
            <w:pPr>
              <w:pStyle w:val="Tablecontents"/>
              <w:keepNext/>
              <w:keepLines/>
              <w:jc w:val="center"/>
              <w:rPr>
                <w:sz w:val="20"/>
                <w:szCs w:val="20"/>
              </w:rPr>
            </w:pPr>
            <w:r w:rsidRPr="00315E9C">
              <w:rPr>
                <w:sz w:val="20"/>
                <w:szCs w:val="20"/>
              </w:rPr>
              <w:t>454%</w:t>
            </w:r>
          </w:p>
        </w:tc>
        <w:tc>
          <w:tcPr>
            <w:tcW w:w="637" w:type="pct"/>
            <w:vAlign w:val="center"/>
          </w:tcPr>
          <w:p w14:paraId="13296F71" w14:textId="77777777" w:rsidR="00A71D24" w:rsidRPr="00315E9C" w:rsidRDefault="00A71D24" w:rsidP="00FF30B8">
            <w:pPr>
              <w:pStyle w:val="Tablecontents"/>
              <w:keepNext/>
              <w:keepLines/>
              <w:jc w:val="center"/>
              <w:rPr>
                <w:sz w:val="20"/>
                <w:szCs w:val="20"/>
              </w:rPr>
            </w:pPr>
            <w:r w:rsidRPr="00315E9C">
              <w:rPr>
                <w:sz w:val="20"/>
                <w:szCs w:val="20"/>
              </w:rPr>
              <w:t>22%</w:t>
            </w:r>
          </w:p>
        </w:tc>
      </w:tr>
      <w:tr w:rsidR="00A71D24" w:rsidRPr="00315E9C" w14:paraId="5487E7B6" w14:textId="77777777" w:rsidTr="008B24B8">
        <w:trPr>
          <w:trHeight w:hRule="exact" w:val="448"/>
        </w:trPr>
        <w:tc>
          <w:tcPr>
            <w:tcW w:w="540" w:type="pct"/>
            <w:vAlign w:val="center"/>
          </w:tcPr>
          <w:p w14:paraId="4FA55F9E" w14:textId="77777777" w:rsidR="00A71D24" w:rsidRPr="00315E9C" w:rsidRDefault="00A71D24" w:rsidP="00FF30B8">
            <w:pPr>
              <w:pStyle w:val="Tablecontents"/>
              <w:keepNext/>
              <w:keepLines/>
              <w:jc w:val="center"/>
              <w:rPr>
                <w:b/>
                <w:bCs/>
                <w:sz w:val="20"/>
                <w:szCs w:val="20"/>
              </w:rPr>
            </w:pPr>
            <w:r w:rsidRPr="00315E9C">
              <w:rPr>
                <w:rFonts w:cs="Calibri"/>
                <w:b/>
                <w:bCs/>
                <w:sz w:val="20"/>
                <w:szCs w:val="20"/>
              </w:rPr>
              <w:t>NT</w:t>
            </w:r>
          </w:p>
        </w:tc>
        <w:tc>
          <w:tcPr>
            <w:tcW w:w="637" w:type="pct"/>
            <w:vAlign w:val="center"/>
          </w:tcPr>
          <w:p w14:paraId="165214F4" w14:textId="77777777" w:rsidR="00A71D24" w:rsidRPr="00315E9C" w:rsidRDefault="00A71D24" w:rsidP="00FF30B8">
            <w:pPr>
              <w:pStyle w:val="Tablecontents"/>
              <w:keepNext/>
              <w:keepLines/>
              <w:jc w:val="center"/>
              <w:rPr>
                <w:sz w:val="20"/>
                <w:szCs w:val="20"/>
              </w:rPr>
            </w:pPr>
            <w:r w:rsidRPr="00315E9C">
              <w:rPr>
                <w:sz w:val="20"/>
                <w:szCs w:val="20"/>
              </w:rPr>
              <w:t>-</w:t>
            </w:r>
          </w:p>
        </w:tc>
        <w:tc>
          <w:tcPr>
            <w:tcW w:w="637" w:type="pct"/>
            <w:vAlign w:val="center"/>
          </w:tcPr>
          <w:p w14:paraId="65FAA556" w14:textId="77777777" w:rsidR="00A71D24" w:rsidRPr="00315E9C" w:rsidRDefault="00A71D24" w:rsidP="00FF30B8">
            <w:pPr>
              <w:pStyle w:val="Tablecontents"/>
              <w:keepNext/>
              <w:keepLines/>
              <w:jc w:val="center"/>
              <w:rPr>
                <w:sz w:val="20"/>
                <w:szCs w:val="20"/>
              </w:rPr>
            </w:pPr>
            <w:r w:rsidRPr="00315E9C">
              <w:rPr>
                <w:sz w:val="20"/>
                <w:szCs w:val="20"/>
              </w:rPr>
              <w:t>1100%</w:t>
            </w:r>
          </w:p>
        </w:tc>
        <w:tc>
          <w:tcPr>
            <w:tcW w:w="637" w:type="pct"/>
            <w:vAlign w:val="center"/>
          </w:tcPr>
          <w:p w14:paraId="5BA5C622" w14:textId="77777777" w:rsidR="00A71D24" w:rsidRPr="00315E9C" w:rsidRDefault="00A71D24" w:rsidP="00FF30B8">
            <w:pPr>
              <w:pStyle w:val="Tablecontents"/>
              <w:keepNext/>
              <w:keepLines/>
              <w:jc w:val="center"/>
              <w:rPr>
                <w:sz w:val="20"/>
                <w:szCs w:val="20"/>
              </w:rPr>
            </w:pPr>
            <w:r w:rsidRPr="00315E9C">
              <w:rPr>
                <w:sz w:val="20"/>
                <w:szCs w:val="20"/>
              </w:rPr>
              <w:t>-67%</w:t>
            </w:r>
          </w:p>
        </w:tc>
        <w:tc>
          <w:tcPr>
            <w:tcW w:w="637" w:type="pct"/>
            <w:vAlign w:val="center"/>
          </w:tcPr>
          <w:p w14:paraId="01AEE3CB" w14:textId="77777777" w:rsidR="00A71D24" w:rsidRPr="00315E9C" w:rsidRDefault="00A71D24" w:rsidP="00FF30B8">
            <w:pPr>
              <w:pStyle w:val="Tablecontents"/>
              <w:keepNext/>
              <w:keepLines/>
              <w:jc w:val="center"/>
              <w:rPr>
                <w:sz w:val="20"/>
                <w:szCs w:val="20"/>
              </w:rPr>
            </w:pPr>
            <w:r w:rsidRPr="00315E9C">
              <w:rPr>
                <w:sz w:val="20"/>
                <w:szCs w:val="20"/>
              </w:rPr>
              <w:t>330%</w:t>
            </w:r>
          </w:p>
        </w:tc>
        <w:tc>
          <w:tcPr>
            <w:tcW w:w="637" w:type="pct"/>
            <w:vAlign w:val="center"/>
          </w:tcPr>
          <w:p w14:paraId="2D658344" w14:textId="77777777" w:rsidR="00A71D24" w:rsidRPr="00315E9C" w:rsidRDefault="00A71D24" w:rsidP="00FF30B8">
            <w:pPr>
              <w:pStyle w:val="Tablecontents"/>
              <w:keepNext/>
              <w:keepLines/>
              <w:jc w:val="center"/>
              <w:rPr>
                <w:sz w:val="20"/>
                <w:szCs w:val="20"/>
              </w:rPr>
            </w:pPr>
            <w:r w:rsidRPr="00315E9C">
              <w:rPr>
                <w:sz w:val="20"/>
                <w:szCs w:val="20"/>
              </w:rPr>
              <w:t>-73%</w:t>
            </w:r>
          </w:p>
        </w:tc>
        <w:tc>
          <w:tcPr>
            <w:tcW w:w="637" w:type="pct"/>
            <w:vAlign w:val="center"/>
          </w:tcPr>
          <w:p w14:paraId="2A699B1A" w14:textId="77777777" w:rsidR="00A71D24" w:rsidRPr="00315E9C" w:rsidRDefault="00A71D24" w:rsidP="00FF30B8">
            <w:pPr>
              <w:pStyle w:val="Tablecontents"/>
              <w:keepNext/>
              <w:keepLines/>
              <w:jc w:val="center"/>
              <w:rPr>
                <w:sz w:val="20"/>
                <w:szCs w:val="20"/>
              </w:rPr>
            </w:pPr>
            <w:r w:rsidRPr="00315E9C">
              <w:rPr>
                <w:sz w:val="20"/>
                <w:szCs w:val="20"/>
              </w:rPr>
              <w:t>119%</w:t>
            </w:r>
          </w:p>
        </w:tc>
        <w:tc>
          <w:tcPr>
            <w:tcW w:w="637" w:type="pct"/>
            <w:vAlign w:val="center"/>
          </w:tcPr>
          <w:p w14:paraId="3070054B" w14:textId="77777777" w:rsidR="00A71D24" w:rsidRPr="00315E9C" w:rsidRDefault="00A71D24" w:rsidP="00FF30B8">
            <w:pPr>
              <w:pStyle w:val="Tablecontents"/>
              <w:keepNext/>
              <w:keepLines/>
              <w:jc w:val="center"/>
              <w:rPr>
                <w:sz w:val="20"/>
                <w:szCs w:val="20"/>
              </w:rPr>
            </w:pPr>
            <w:r w:rsidRPr="00315E9C">
              <w:rPr>
                <w:sz w:val="20"/>
                <w:szCs w:val="20"/>
              </w:rPr>
              <w:t>-81%</w:t>
            </w:r>
          </w:p>
        </w:tc>
      </w:tr>
      <w:tr w:rsidR="00A71D24" w:rsidRPr="00315E9C" w14:paraId="3178B330" w14:textId="77777777" w:rsidTr="008B24B8">
        <w:trPr>
          <w:trHeight w:hRule="exact" w:val="438"/>
        </w:trPr>
        <w:tc>
          <w:tcPr>
            <w:tcW w:w="540" w:type="pct"/>
            <w:vAlign w:val="center"/>
          </w:tcPr>
          <w:p w14:paraId="7CD1064F" w14:textId="77777777" w:rsidR="00A71D24" w:rsidRPr="00315E9C" w:rsidRDefault="00A71D24" w:rsidP="00FF30B8">
            <w:pPr>
              <w:pStyle w:val="Tablecontents"/>
              <w:keepNext/>
              <w:keepLines/>
              <w:jc w:val="center"/>
              <w:rPr>
                <w:sz w:val="20"/>
                <w:szCs w:val="20"/>
              </w:rPr>
            </w:pPr>
            <w:r w:rsidRPr="00315E9C">
              <w:rPr>
                <w:rFonts w:ascii="Arial" w:hAnsi="Arial" w:cs="Arial"/>
                <w:b/>
                <w:bCs/>
                <w:sz w:val="20"/>
                <w:szCs w:val="20"/>
              </w:rPr>
              <w:t>Total</w:t>
            </w:r>
          </w:p>
        </w:tc>
        <w:tc>
          <w:tcPr>
            <w:tcW w:w="637" w:type="pct"/>
            <w:vAlign w:val="center"/>
          </w:tcPr>
          <w:p w14:paraId="79EBF2B1" w14:textId="77777777" w:rsidR="00A71D24" w:rsidRPr="00315E9C" w:rsidRDefault="00A71D24" w:rsidP="00FF30B8">
            <w:pPr>
              <w:pStyle w:val="Tablecontents"/>
              <w:keepNext/>
              <w:keepLines/>
              <w:jc w:val="center"/>
              <w:rPr>
                <w:b/>
                <w:bCs/>
                <w:sz w:val="20"/>
                <w:szCs w:val="20"/>
              </w:rPr>
            </w:pPr>
            <w:r w:rsidRPr="00315E9C">
              <w:rPr>
                <w:b/>
                <w:bCs/>
                <w:sz w:val="20"/>
                <w:szCs w:val="20"/>
              </w:rPr>
              <w:t>11%</w:t>
            </w:r>
          </w:p>
        </w:tc>
        <w:tc>
          <w:tcPr>
            <w:tcW w:w="637" w:type="pct"/>
            <w:vAlign w:val="center"/>
          </w:tcPr>
          <w:p w14:paraId="6BCA6303" w14:textId="77777777" w:rsidR="00A71D24" w:rsidRPr="00315E9C" w:rsidRDefault="00A71D24" w:rsidP="00FF30B8">
            <w:pPr>
              <w:pStyle w:val="Tablecontents"/>
              <w:keepNext/>
              <w:keepLines/>
              <w:jc w:val="center"/>
              <w:rPr>
                <w:b/>
                <w:bCs/>
                <w:sz w:val="20"/>
                <w:szCs w:val="20"/>
              </w:rPr>
            </w:pPr>
            <w:r w:rsidRPr="00315E9C">
              <w:rPr>
                <w:b/>
                <w:bCs/>
                <w:sz w:val="20"/>
                <w:szCs w:val="20"/>
              </w:rPr>
              <w:t>21%</w:t>
            </w:r>
          </w:p>
        </w:tc>
        <w:tc>
          <w:tcPr>
            <w:tcW w:w="637" w:type="pct"/>
            <w:vAlign w:val="center"/>
          </w:tcPr>
          <w:p w14:paraId="4E456DE3" w14:textId="77777777" w:rsidR="00A71D24" w:rsidRPr="00315E9C" w:rsidRDefault="00A71D24" w:rsidP="00FF30B8">
            <w:pPr>
              <w:pStyle w:val="Tablecontents"/>
              <w:keepNext/>
              <w:keepLines/>
              <w:jc w:val="center"/>
              <w:rPr>
                <w:b/>
                <w:bCs/>
                <w:sz w:val="20"/>
                <w:szCs w:val="20"/>
              </w:rPr>
            </w:pPr>
            <w:r w:rsidRPr="00315E9C">
              <w:rPr>
                <w:b/>
                <w:bCs/>
                <w:sz w:val="20"/>
                <w:szCs w:val="20"/>
              </w:rPr>
              <w:t>20%</w:t>
            </w:r>
          </w:p>
        </w:tc>
        <w:tc>
          <w:tcPr>
            <w:tcW w:w="637" w:type="pct"/>
            <w:vAlign w:val="center"/>
          </w:tcPr>
          <w:p w14:paraId="58958AC9" w14:textId="77777777" w:rsidR="00A71D24" w:rsidRPr="00315E9C" w:rsidRDefault="00A71D24" w:rsidP="00FF30B8">
            <w:pPr>
              <w:pStyle w:val="Tablecontents"/>
              <w:keepNext/>
              <w:keepLines/>
              <w:jc w:val="center"/>
              <w:rPr>
                <w:b/>
                <w:bCs/>
                <w:sz w:val="20"/>
                <w:szCs w:val="20"/>
              </w:rPr>
            </w:pPr>
            <w:r w:rsidRPr="00315E9C">
              <w:rPr>
                <w:b/>
                <w:bCs/>
                <w:sz w:val="20"/>
                <w:szCs w:val="20"/>
              </w:rPr>
              <w:t>12%</w:t>
            </w:r>
          </w:p>
        </w:tc>
        <w:tc>
          <w:tcPr>
            <w:tcW w:w="637" w:type="pct"/>
            <w:vAlign w:val="center"/>
          </w:tcPr>
          <w:p w14:paraId="7BFA1B61" w14:textId="77777777" w:rsidR="00A71D24" w:rsidRPr="00315E9C" w:rsidRDefault="00A71D24" w:rsidP="00FF30B8">
            <w:pPr>
              <w:pStyle w:val="Tablecontents"/>
              <w:keepNext/>
              <w:keepLines/>
              <w:jc w:val="center"/>
              <w:rPr>
                <w:b/>
                <w:bCs/>
                <w:sz w:val="20"/>
                <w:szCs w:val="20"/>
              </w:rPr>
            </w:pPr>
            <w:r w:rsidRPr="00315E9C">
              <w:rPr>
                <w:b/>
                <w:bCs/>
                <w:sz w:val="20"/>
                <w:szCs w:val="20"/>
              </w:rPr>
              <w:t>3%</w:t>
            </w:r>
          </w:p>
        </w:tc>
        <w:tc>
          <w:tcPr>
            <w:tcW w:w="637" w:type="pct"/>
            <w:vAlign w:val="center"/>
          </w:tcPr>
          <w:p w14:paraId="44F95AB0" w14:textId="77777777" w:rsidR="00A71D24" w:rsidRPr="00315E9C" w:rsidRDefault="00A71D24" w:rsidP="00FF30B8">
            <w:pPr>
              <w:pStyle w:val="Tablecontents"/>
              <w:keepNext/>
              <w:keepLines/>
              <w:jc w:val="center"/>
              <w:rPr>
                <w:b/>
                <w:bCs/>
                <w:sz w:val="20"/>
                <w:szCs w:val="20"/>
              </w:rPr>
            </w:pPr>
            <w:r w:rsidRPr="00315E9C">
              <w:rPr>
                <w:b/>
                <w:bCs/>
                <w:sz w:val="20"/>
                <w:szCs w:val="20"/>
              </w:rPr>
              <w:t>15%</w:t>
            </w:r>
          </w:p>
        </w:tc>
        <w:tc>
          <w:tcPr>
            <w:tcW w:w="637" w:type="pct"/>
            <w:vAlign w:val="center"/>
          </w:tcPr>
          <w:p w14:paraId="2D18F4EB" w14:textId="77777777" w:rsidR="00A71D24" w:rsidRPr="00315E9C" w:rsidRDefault="00A71D24" w:rsidP="00FF30B8">
            <w:pPr>
              <w:pStyle w:val="Tablecontents"/>
              <w:keepNext/>
              <w:keepLines/>
              <w:jc w:val="center"/>
              <w:rPr>
                <w:b/>
                <w:bCs/>
                <w:sz w:val="20"/>
                <w:szCs w:val="20"/>
              </w:rPr>
            </w:pPr>
            <w:r w:rsidRPr="00315E9C">
              <w:rPr>
                <w:b/>
                <w:bCs/>
                <w:sz w:val="20"/>
                <w:szCs w:val="20"/>
              </w:rPr>
              <w:t>15%</w:t>
            </w:r>
          </w:p>
        </w:tc>
      </w:tr>
    </w:tbl>
    <w:p w14:paraId="7E7F0DC7" w14:textId="04DCF5BA" w:rsidR="006805CA" w:rsidRDefault="006805CA" w:rsidP="00FF30B8">
      <w:pPr>
        <w:pStyle w:val="Tablecontents"/>
        <w:keepNext/>
        <w:keepLines/>
        <w:rPr>
          <w:sz w:val="18"/>
          <w:szCs w:val="18"/>
        </w:rPr>
      </w:pPr>
      <w:r w:rsidRPr="00315E9C">
        <w:rPr>
          <w:sz w:val="18"/>
          <w:szCs w:val="18"/>
        </w:rPr>
        <w:t xml:space="preserve">Source: National report on the issue and use of Immunoglobulin (Ig). Annual Report 2015-16 </w:t>
      </w:r>
      <w:r w:rsidRPr="00315E9C">
        <w:rPr>
          <w:sz w:val="18"/>
          <w:szCs w:val="18"/>
        </w:rPr>
        <w:fldChar w:fldCharType="begin"/>
      </w:r>
      <w:r w:rsidR="00AD208B" w:rsidRPr="00315E9C">
        <w:rPr>
          <w:sz w:val="18"/>
          <w:szCs w:val="18"/>
        </w:rPr>
        <w:instrText xml:space="preserve"> ADDIN EN.CITE &lt;EndNote&gt;&lt;Cite&gt;&lt;Author&gt;NBA&lt;/Author&gt;&lt;Year&gt;2018&lt;/Year&gt;&lt;RecNum&gt;5&lt;/RecNum&gt;&lt;DisplayText&gt;(2)&lt;/DisplayText&gt;&lt;record&gt;&lt;rec-number&gt;5&lt;/rec-number&gt;&lt;foreign-keys&gt;&lt;key app="EN" db-id="5xftwazxqe520uewe2ax9va4adpprzt9xazr" timestamp="1571180365"&gt;5&lt;/key&gt;&lt;/foreign-keys&gt;&lt;ref-type name="Report"&gt;27&lt;/ref-type&gt;&lt;contributors&gt;&lt;authors&gt;&lt;author&gt;NBA&lt;/author&gt;&lt;/authors&gt;&lt;/contributors&gt;&lt;titles&gt;&lt;title&gt;National report on the issue and use of Immunoglobulin (Ig). Annual Report 2015-16&lt;/title&gt;&lt;/titles&gt;&lt;dates&gt;&lt;year&gt;2018&lt;/year&gt;&lt;/dates&gt;&lt;pub-location&gt;National Blood Authority&lt;/pub-location&gt;&lt;urls&gt;&lt;related-urls&gt;&lt;url&gt;https://www.blood.gov.au/system/files/Report-on-the-Issues-and-Use-of-IVIg-2015-16-Final-May18.pdf&lt;/url&gt;&lt;/related-urls&gt;&lt;/urls&gt;&lt;access-date&gt;16/10/19&lt;/access-date&gt;&lt;/record&gt;&lt;/Cite&gt;&lt;/EndNote&gt;</w:instrText>
      </w:r>
      <w:r w:rsidRPr="00315E9C">
        <w:rPr>
          <w:sz w:val="18"/>
          <w:szCs w:val="18"/>
        </w:rPr>
        <w:fldChar w:fldCharType="separate"/>
      </w:r>
      <w:r w:rsidR="00AD208B" w:rsidRPr="00315E9C">
        <w:rPr>
          <w:noProof/>
          <w:sz w:val="18"/>
          <w:szCs w:val="18"/>
        </w:rPr>
        <w:t>(2)</w:t>
      </w:r>
      <w:r w:rsidRPr="00315E9C">
        <w:rPr>
          <w:sz w:val="18"/>
          <w:szCs w:val="18"/>
        </w:rPr>
        <w:fldChar w:fldCharType="end"/>
      </w:r>
    </w:p>
    <w:p w14:paraId="2BCB8583" w14:textId="77777777" w:rsidR="00FF30B8" w:rsidRPr="00315E9C" w:rsidRDefault="00FF30B8" w:rsidP="008B24B8">
      <w:pPr>
        <w:pStyle w:val="Tablecontents"/>
        <w:rPr>
          <w:sz w:val="18"/>
          <w:szCs w:val="18"/>
        </w:rPr>
      </w:pPr>
    </w:p>
    <w:p w14:paraId="25908055" w14:textId="77777777" w:rsidR="00896845" w:rsidRPr="00315E9C" w:rsidRDefault="00896845" w:rsidP="00E63E99">
      <w:pPr>
        <w:pStyle w:val="Heading3"/>
      </w:pPr>
      <w:r w:rsidRPr="00315E9C">
        <w:t>Intervention</w:t>
      </w:r>
    </w:p>
    <w:p w14:paraId="339802A3" w14:textId="77777777" w:rsidR="000039BA" w:rsidRPr="00315E9C" w:rsidRDefault="00735F74" w:rsidP="00735F74">
      <w:pPr>
        <w:spacing w:before="20"/>
        <w:rPr>
          <w:rFonts w:asciiTheme="minorHAnsi" w:hAnsiTheme="minorHAnsi" w:cstheme="minorHAnsi"/>
        </w:rPr>
      </w:pPr>
      <w:r w:rsidRPr="00315E9C">
        <w:rPr>
          <w:rFonts w:asciiTheme="minorHAnsi" w:hAnsiTheme="minorHAnsi" w:cstheme="minorHAnsi"/>
        </w:rPr>
        <w:t>The intervention is IgG replacement therapy, which is given in combination with or without antibiotics</w:t>
      </w:r>
      <w:r w:rsidR="000039BA" w:rsidRPr="00315E9C">
        <w:rPr>
          <w:rFonts w:asciiTheme="minorHAnsi" w:hAnsiTheme="minorHAnsi" w:cstheme="minorHAnsi"/>
        </w:rPr>
        <w:t xml:space="preserve">, and </w:t>
      </w:r>
      <w:r w:rsidRPr="00315E9C">
        <w:rPr>
          <w:rFonts w:asciiTheme="minorHAnsi" w:hAnsiTheme="minorHAnsi" w:cstheme="minorHAnsi"/>
        </w:rPr>
        <w:t xml:space="preserve">is </w:t>
      </w:r>
      <w:r w:rsidR="000039BA" w:rsidRPr="00315E9C">
        <w:rPr>
          <w:rFonts w:asciiTheme="minorHAnsi" w:hAnsiTheme="minorHAnsi" w:cstheme="minorHAnsi"/>
        </w:rPr>
        <w:t xml:space="preserve">currently </w:t>
      </w:r>
      <w:r w:rsidRPr="00315E9C">
        <w:rPr>
          <w:rFonts w:asciiTheme="minorHAnsi" w:hAnsiTheme="minorHAnsi" w:cstheme="minorHAnsi"/>
        </w:rPr>
        <w:t>considered ‘standard of care’ for the population of interest.</w:t>
      </w:r>
      <w:r w:rsidR="00FE56DE" w:rsidRPr="00315E9C">
        <w:rPr>
          <w:rFonts w:asciiTheme="minorHAnsi" w:hAnsiTheme="minorHAnsi" w:cstheme="minorHAnsi"/>
        </w:rPr>
        <w:t xml:space="preserve"> </w:t>
      </w:r>
    </w:p>
    <w:p w14:paraId="69AA052C" w14:textId="77777777" w:rsidR="00735F74" w:rsidRPr="00315E9C" w:rsidRDefault="00735F74" w:rsidP="00735F74">
      <w:pPr>
        <w:spacing w:before="20"/>
        <w:rPr>
          <w:rFonts w:asciiTheme="minorHAnsi" w:hAnsiTheme="minorHAnsi" w:cstheme="minorHAnsi"/>
        </w:rPr>
      </w:pPr>
      <w:r w:rsidRPr="00315E9C">
        <w:rPr>
          <w:rFonts w:asciiTheme="minorHAnsi" w:hAnsiTheme="minorHAnsi" w:cstheme="minorHAnsi"/>
        </w:rPr>
        <w:t>IgG products may be administered through intravenous (IV) or subcutaneous (SC) injection (IVIg and SCIg, respectively). According to the Criteria V3, IVIg should be given at a maintenance dose of 0.4g/kg every four weeks and SCIg at 0.1g/kg every week. Doses should be adjusted based on trough levels to achieve at least the lower limit of the age-related IgG reference range. The age-related reference range will vary between pathology laboratories. IgG for intramuscular (IM) injection is out of scope for this evaluation</w:t>
      </w:r>
      <w:r w:rsidR="006805CA" w:rsidRPr="00315E9C">
        <w:rPr>
          <w:rFonts w:asciiTheme="minorHAnsi" w:hAnsiTheme="minorHAnsi" w:cstheme="minorHAnsi"/>
        </w:rPr>
        <w:t xml:space="preserve"> </w:t>
      </w:r>
      <w:r w:rsidR="006805CA" w:rsidRPr="00315E9C">
        <w:rPr>
          <w:rFonts w:asciiTheme="minorHAnsi" w:hAnsiTheme="minorHAnsi" w:cstheme="minorHAnsi"/>
        </w:rPr>
        <w:fldChar w:fldCharType="begin"/>
      </w:r>
      <w:r w:rsidR="006805CA" w:rsidRPr="00315E9C">
        <w:rPr>
          <w:rFonts w:asciiTheme="minorHAnsi" w:hAnsiTheme="minorHAnsi" w:cstheme="minorHAnsi"/>
        </w:rPr>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006805CA" w:rsidRPr="00315E9C">
        <w:rPr>
          <w:rFonts w:asciiTheme="minorHAnsi" w:hAnsiTheme="minorHAnsi" w:cstheme="minorHAnsi"/>
        </w:rPr>
        <w:fldChar w:fldCharType="separate"/>
      </w:r>
      <w:r w:rsidR="006805CA" w:rsidRPr="00315E9C">
        <w:rPr>
          <w:rFonts w:asciiTheme="minorHAnsi" w:hAnsiTheme="minorHAnsi" w:cstheme="minorHAnsi"/>
          <w:noProof/>
        </w:rPr>
        <w:t>(1)</w:t>
      </w:r>
      <w:r w:rsidR="006805CA" w:rsidRPr="00315E9C">
        <w:rPr>
          <w:rFonts w:asciiTheme="minorHAnsi" w:hAnsiTheme="minorHAnsi" w:cstheme="minorHAnsi"/>
        </w:rPr>
        <w:fldChar w:fldCharType="end"/>
      </w:r>
      <w:r w:rsidRPr="00315E9C">
        <w:rPr>
          <w:rFonts w:asciiTheme="minorHAnsi" w:hAnsiTheme="minorHAnsi" w:cstheme="minorHAnsi"/>
        </w:rPr>
        <w:t xml:space="preserve">.  </w:t>
      </w:r>
    </w:p>
    <w:p w14:paraId="3A9560A5" w14:textId="202BA0FB" w:rsidR="00FE56DE" w:rsidRPr="00315E9C" w:rsidRDefault="00885C9C" w:rsidP="00FE56DE">
      <w:pPr>
        <w:tabs>
          <w:tab w:val="left" w:pos="0"/>
        </w:tabs>
      </w:pPr>
      <w:r w:rsidRPr="00315E9C">
        <w:t>The Criteria requires i</w:t>
      </w:r>
      <w:r w:rsidR="00FE56DE" w:rsidRPr="00315E9C">
        <w:t>nitial review within six months and ongoing reviews by a specialist</w:t>
      </w:r>
      <w:r w:rsidRPr="00315E9C">
        <w:t xml:space="preserve"> </w:t>
      </w:r>
      <w:r w:rsidR="00FE56DE" w:rsidRPr="00315E9C">
        <w:t>at least annually to assess clinical benefit</w:t>
      </w:r>
      <w:r w:rsidR="00A57617" w:rsidRPr="00315E9C">
        <w:t xml:space="preserve"> and whether</w:t>
      </w:r>
      <w:r w:rsidR="000039BA" w:rsidRPr="00315E9C">
        <w:t xml:space="preserve"> c</w:t>
      </w:r>
      <w:r w:rsidR="00FE56DE" w:rsidRPr="00315E9C">
        <w:t>essation of Ig therapy should be considered</w:t>
      </w:r>
      <w:r w:rsidR="000039BA" w:rsidRPr="00315E9C">
        <w:t>.</w:t>
      </w:r>
      <w:r w:rsidRPr="00315E9C">
        <w:t xml:space="preserve"> </w:t>
      </w:r>
      <w:r w:rsidR="00DE2499" w:rsidRPr="00315E9C">
        <w:t>It is recommended that a</w:t>
      </w:r>
      <w:r w:rsidR="007350CA" w:rsidRPr="00315E9C">
        <w:t>ny</w:t>
      </w:r>
      <w:r w:rsidR="00DE2499" w:rsidRPr="00315E9C">
        <w:t xml:space="preserve">  </w:t>
      </w:r>
      <w:r w:rsidR="00FE56DE" w:rsidRPr="00315E9C">
        <w:t xml:space="preserve">cessation of </w:t>
      </w:r>
      <w:r w:rsidR="007350CA" w:rsidRPr="00315E9C">
        <w:t xml:space="preserve">the </w:t>
      </w:r>
      <w:r w:rsidR="00FE56DE" w:rsidRPr="00315E9C">
        <w:t xml:space="preserve">therapy </w:t>
      </w:r>
      <w:r w:rsidR="007350CA" w:rsidRPr="00315E9C">
        <w:t xml:space="preserve">occurs </w:t>
      </w:r>
      <w:r w:rsidR="00FE56DE" w:rsidRPr="00315E9C">
        <w:t>in</w:t>
      </w:r>
      <w:r w:rsidRPr="00315E9C">
        <w:t xml:space="preserve"> </w:t>
      </w:r>
      <w:r w:rsidR="00FE56DE" w:rsidRPr="00315E9C">
        <w:t>September/October, with repeat clinical and/or immunological evaluation</w:t>
      </w:r>
      <w:r w:rsidRPr="00315E9C">
        <w:t xml:space="preserve"> </w:t>
      </w:r>
      <w:r w:rsidR="007350CA" w:rsidRPr="00315E9C">
        <w:t xml:space="preserve">to consider the need for </w:t>
      </w:r>
      <w:r w:rsidR="00FE56DE" w:rsidRPr="00315E9C">
        <w:t>recommencement of therapy.</w:t>
      </w:r>
    </w:p>
    <w:p w14:paraId="0FA976DB" w14:textId="77777777" w:rsidR="002B5BA0" w:rsidRPr="00315E9C" w:rsidRDefault="00885C9C" w:rsidP="00885C9C">
      <w:pPr>
        <w:tabs>
          <w:tab w:val="left" w:pos="0"/>
        </w:tabs>
      </w:pPr>
      <w:r w:rsidRPr="00315E9C">
        <w:t xml:space="preserve">If the Ig therapy is delivered by intravenous infusion, patients will attend hospital for a day procedure to be infused by </w:t>
      </w:r>
      <w:r w:rsidR="0094075C" w:rsidRPr="00315E9C">
        <w:t>a nurse or doctor</w:t>
      </w:r>
      <w:r w:rsidRPr="00315E9C">
        <w:t xml:space="preserve">.  Depending on the dose, which may be split over several days, they may (or may not) be required to attend for a ‘day procedure’ on a number of days (usually consecutive) each month. The NBA understands that in very rare circumstances, IVIg has been administered by the patient or by a ‘hospital in the home’ nurse. </w:t>
      </w:r>
    </w:p>
    <w:p w14:paraId="73416C06" w14:textId="77777777" w:rsidR="00885C9C" w:rsidRPr="00315E9C" w:rsidRDefault="00885C9C" w:rsidP="00885C9C">
      <w:pPr>
        <w:tabs>
          <w:tab w:val="left" w:pos="0"/>
        </w:tabs>
      </w:pPr>
      <w:r w:rsidRPr="00315E9C">
        <w:t>Patients receiving (or carers administering) SCIg will require training and sufficient aptitude and capability to administer the product at home. SCIg also requires the appropriate infusion equipment as appropriate for the particular product.  SCIg programs are not available at all hospitals. This varies depending on the local jurisdiction’s policy, and the local hospital’s capacity.</w:t>
      </w:r>
    </w:p>
    <w:p w14:paraId="2FDA126C" w14:textId="77777777" w:rsidR="00735F74" w:rsidRPr="00315E9C" w:rsidRDefault="00EE4B0A" w:rsidP="00FF30B8">
      <w:pPr>
        <w:pStyle w:val="Heading4"/>
        <w:keepNext/>
        <w:keepLines/>
      </w:pPr>
      <w:r w:rsidRPr="00315E9C">
        <w:lastRenderedPageBreak/>
        <w:t>List of</w:t>
      </w:r>
      <w:r w:rsidR="00735F74" w:rsidRPr="00315E9C">
        <w:t xml:space="preserve"> products</w:t>
      </w:r>
      <w:r w:rsidRPr="00315E9C">
        <w:t xml:space="preserve"> </w:t>
      </w:r>
    </w:p>
    <w:p w14:paraId="5C0196F8" w14:textId="01873D1A" w:rsidR="00627B38" w:rsidRPr="00315E9C" w:rsidRDefault="00EE4B0A" w:rsidP="00FF30B8">
      <w:pPr>
        <w:keepNext/>
        <w:keepLines/>
        <w:rPr>
          <w:rFonts w:asciiTheme="minorHAnsi" w:hAnsiTheme="minorHAnsi" w:cstheme="minorHAnsi"/>
        </w:rPr>
      </w:pPr>
      <w:r w:rsidRPr="00315E9C">
        <w:rPr>
          <w:rFonts w:asciiTheme="minorHAnsi" w:hAnsiTheme="minorHAnsi" w:cstheme="minorHAnsi"/>
        </w:rPr>
        <w:t xml:space="preserve">IgG products (IVIg and SCIg) are purified from fractionated human donor plasma, formulated to contain the desired concentration of IgG as </w:t>
      </w:r>
      <w:r w:rsidR="00DE2499" w:rsidRPr="00315E9C">
        <w:rPr>
          <w:rFonts w:asciiTheme="minorHAnsi" w:hAnsiTheme="minorHAnsi" w:cstheme="minorHAnsi"/>
        </w:rPr>
        <w:t xml:space="preserve">the </w:t>
      </w:r>
      <w:r w:rsidRPr="00315E9C">
        <w:rPr>
          <w:rFonts w:asciiTheme="minorHAnsi" w:hAnsiTheme="minorHAnsi" w:cstheme="minorHAnsi"/>
        </w:rPr>
        <w:t xml:space="preserve">active substance. A list of all IgG products currently approved in Australia by the Therapeutic Goods Administration (TGA) and registered on the Australian Register of Therapeutic Goods (ARTG) is in </w:t>
      </w:r>
      <w:r w:rsidR="004B4A79" w:rsidRPr="00315E9C">
        <w:rPr>
          <w:rFonts w:asciiTheme="minorHAnsi" w:hAnsiTheme="minorHAnsi" w:cstheme="minorHAnsi"/>
          <w:highlight w:val="yellow"/>
        </w:rPr>
        <w:fldChar w:fldCharType="begin"/>
      </w:r>
      <w:r w:rsidR="004B4A79" w:rsidRPr="00315E9C">
        <w:rPr>
          <w:rFonts w:asciiTheme="minorHAnsi" w:hAnsiTheme="minorHAnsi" w:cstheme="minorHAnsi"/>
        </w:rPr>
        <w:instrText xml:space="preserve"> REF _Ref22028697 \h </w:instrText>
      </w:r>
      <w:r w:rsidR="00315E9C" w:rsidRPr="00315E9C">
        <w:rPr>
          <w:rFonts w:asciiTheme="minorHAnsi" w:hAnsiTheme="minorHAnsi" w:cstheme="minorHAnsi"/>
          <w:highlight w:val="yellow"/>
        </w:rPr>
        <w:instrText xml:space="preserve"> \* MERGEFORMAT </w:instrText>
      </w:r>
      <w:r w:rsidR="004B4A79" w:rsidRPr="00315E9C">
        <w:rPr>
          <w:rFonts w:asciiTheme="minorHAnsi" w:hAnsiTheme="minorHAnsi" w:cstheme="minorHAnsi"/>
          <w:highlight w:val="yellow"/>
        </w:rPr>
      </w:r>
      <w:r w:rsidR="004B4A79" w:rsidRPr="00315E9C">
        <w:rPr>
          <w:rFonts w:asciiTheme="minorHAnsi" w:hAnsiTheme="minorHAnsi" w:cstheme="minorHAnsi"/>
          <w:highlight w:val="yellow"/>
        </w:rPr>
        <w:fldChar w:fldCharType="separate"/>
      </w:r>
      <w:r w:rsidR="00A851D8" w:rsidRPr="00A851D8">
        <w:t xml:space="preserve">Table </w:t>
      </w:r>
      <w:r w:rsidR="00A851D8" w:rsidRPr="00A851D8">
        <w:rPr>
          <w:noProof/>
        </w:rPr>
        <w:t>2</w:t>
      </w:r>
      <w:r w:rsidR="004B4A79" w:rsidRPr="00315E9C">
        <w:rPr>
          <w:rFonts w:asciiTheme="minorHAnsi" w:hAnsiTheme="minorHAnsi" w:cstheme="minorHAnsi"/>
          <w:highlight w:val="yellow"/>
        </w:rPr>
        <w:fldChar w:fldCharType="end"/>
      </w:r>
      <w:r w:rsidR="004B4A79" w:rsidRPr="00315E9C">
        <w:rPr>
          <w:rFonts w:asciiTheme="minorHAnsi" w:hAnsiTheme="minorHAnsi" w:cstheme="minorHAnsi"/>
        </w:rPr>
        <w:t xml:space="preserve">. </w:t>
      </w:r>
      <w:r w:rsidR="00627B38" w:rsidRPr="00315E9C">
        <w:rPr>
          <w:rFonts w:asciiTheme="minorHAnsi" w:hAnsiTheme="minorHAnsi" w:cstheme="minorHAnsi"/>
        </w:rPr>
        <w:t xml:space="preserve">The wording of the TGA approved indications vary widely between each product, though most include wording such as “hypogammaglobulinaemia secondary to underlying disease or treatment” or similar. The TGA approved Product Information was checked to confirm that each product in </w:t>
      </w:r>
      <w:r w:rsidR="004B4A79" w:rsidRPr="00315E9C">
        <w:rPr>
          <w:rFonts w:asciiTheme="minorHAnsi" w:hAnsiTheme="minorHAnsi" w:cstheme="minorHAnsi"/>
        </w:rPr>
        <w:fldChar w:fldCharType="begin"/>
      </w:r>
      <w:r w:rsidR="004B4A79" w:rsidRPr="00315E9C">
        <w:rPr>
          <w:rFonts w:asciiTheme="minorHAnsi" w:hAnsiTheme="minorHAnsi" w:cstheme="minorHAnsi"/>
        </w:rPr>
        <w:instrText xml:space="preserve"> REF _Ref22028697 \h </w:instrText>
      </w:r>
      <w:r w:rsidR="00315E9C" w:rsidRPr="00315E9C">
        <w:rPr>
          <w:rFonts w:asciiTheme="minorHAnsi" w:hAnsiTheme="minorHAnsi" w:cstheme="minorHAnsi"/>
        </w:rPr>
        <w:instrText xml:space="preserve"> \* MERGEFORMAT </w:instrText>
      </w:r>
      <w:r w:rsidR="004B4A79" w:rsidRPr="00315E9C">
        <w:rPr>
          <w:rFonts w:asciiTheme="minorHAnsi" w:hAnsiTheme="minorHAnsi" w:cstheme="minorHAnsi"/>
        </w:rPr>
      </w:r>
      <w:r w:rsidR="004B4A79" w:rsidRPr="00315E9C">
        <w:rPr>
          <w:rFonts w:asciiTheme="minorHAnsi" w:hAnsiTheme="minorHAnsi" w:cstheme="minorHAnsi"/>
        </w:rPr>
        <w:fldChar w:fldCharType="separate"/>
      </w:r>
      <w:r w:rsidR="00A851D8" w:rsidRPr="00A851D8">
        <w:t xml:space="preserve">Table </w:t>
      </w:r>
      <w:r w:rsidR="00A851D8" w:rsidRPr="00A851D8">
        <w:rPr>
          <w:noProof/>
        </w:rPr>
        <w:t>2</w:t>
      </w:r>
      <w:r w:rsidR="004B4A79" w:rsidRPr="00315E9C">
        <w:rPr>
          <w:rFonts w:asciiTheme="minorHAnsi" w:hAnsiTheme="minorHAnsi" w:cstheme="minorHAnsi"/>
        </w:rPr>
        <w:fldChar w:fldCharType="end"/>
      </w:r>
      <w:r w:rsidR="00627B38" w:rsidRPr="00315E9C">
        <w:rPr>
          <w:rFonts w:asciiTheme="minorHAnsi" w:hAnsiTheme="minorHAnsi" w:cstheme="minorHAnsi"/>
        </w:rPr>
        <w:t xml:space="preserve"> was manufactured from normal donor plasma and not hyperimmune plasma.</w:t>
      </w:r>
    </w:p>
    <w:p w14:paraId="44098AD9" w14:textId="42F40B80" w:rsidR="00EE4B0A" w:rsidRPr="00E63E99" w:rsidRDefault="004B4A79" w:rsidP="00E63E99">
      <w:pPr>
        <w:pStyle w:val="TableName"/>
        <w:ind w:left="1531"/>
        <w:rPr>
          <w:rFonts w:asciiTheme="minorHAnsi" w:hAnsiTheme="minorHAnsi"/>
          <w:sz w:val="20"/>
          <w:szCs w:val="20"/>
        </w:rPr>
      </w:pPr>
      <w:bookmarkStart w:id="8" w:name="_Ref22028697"/>
      <w:r w:rsidRPr="00E63E99">
        <w:rPr>
          <w:sz w:val="20"/>
          <w:szCs w:val="20"/>
        </w:rPr>
        <w:t xml:space="preserve">Table </w:t>
      </w:r>
      <w:r w:rsidRPr="00E63E99">
        <w:rPr>
          <w:sz w:val="20"/>
          <w:szCs w:val="20"/>
        </w:rPr>
        <w:fldChar w:fldCharType="begin"/>
      </w:r>
      <w:r w:rsidRPr="00E63E99">
        <w:rPr>
          <w:sz w:val="20"/>
          <w:szCs w:val="20"/>
        </w:rPr>
        <w:instrText xml:space="preserve"> SEQ Table \* ARABIC </w:instrText>
      </w:r>
      <w:r w:rsidRPr="00E63E99">
        <w:rPr>
          <w:sz w:val="20"/>
          <w:szCs w:val="20"/>
        </w:rPr>
        <w:fldChar w:fldCharType="separate"/>
      </w:r>
      <w:r w:rsidR="00A851D8">
        <w:rPr>
          <w:noProof/>
          <w:sz w:val="20"/>
          <w:szCs w:val="20"/>
        </w:rPr>
        <w:t>2</w:t>
      </w:r>
      <w:r w:rsidRPr="00E63E99">
        <w:rPr>
          <w:sz w:val="20"/>
          <w:szCs w:val="20"/>
        </w:rPr>
        <w:fldChar w:fldCharType="end"/>
      </w:r>
      <w:bookmarkEnd w:id="8"/>
      <w:r w:rsidR="00EE4B0A" w:rsidRPr="00E63E99">
        <w:rPr>
          <w:sz w:val="20"/>
          <w:szCs w:val="20"/>
        </w:rPr>
        <w:t xml:space="preserve">  Ig</w:t>
      </w:r>
      <w:r w:rsidR="000A3DB7" w:rsidRPr="00E63E99">
        <w:rPr>
          <w:sz w:val="20"/>
          <w:szCs w:val="20"/>
        </w:rPr>
        <w:t>G</w:t>
      </w:r>
      <w:r w:rsidR="00EE4B0A" w:rsidRPr="00E63E99">
        <w:rPr>
          <w:sz w:val="20"/>
          <w:szCs w:val="20"/>
        </w:rPr>
        <w:t xml:space="preserve"> products registered on the ARTG for use in Australia</w:t>
      </w:r>
      <w:r w:rsidR="005F4388" w:rsidRPr="00E63E99">
        <w:rPr>
          <w:sz w:val="20"/>
          <w:szCs w:val="20"/>
        </w:rPr>
        <w:t xml:space="preserve"> for secondary hypogammaglobuli</w:t>
      </w:r>
      <w:r w:rsidR="00315E9C" w:rsidRPr="00E63E99">
        <w:rPr>
          <w:sz w:val="20"/>
          <w:szCs w:val="20"/>
        </w:rPr>
        <w:t>naemia</w:t>
      </w:r>
    </w:p>
    <w:tbl>
      <w:tblPr>
        <w:tblStyle w:val="TableGrid"/>
        <w:tblW w:w="5000" w:type="pct"/>
        <w:tblLook w:val="04A0" w:firstRow="1" w:lastRow="0" w:firstColumn="1" w:lastColumn="0" w:noHBand="0" w:noVBand="1"/>
        <w:tblCaption w:val="Table 2  IgG products registered on the ARTG for use in Australia for secondary hypogammaglobulinaemia"/>
        <w:tblDescription w:val="Ig products registered on the ARTG for use in Australia"/>
      </w:tblPr>
      <w:tblGrid>
        <w:gridCol w:w="1696"/>
        <w:gridCol w:w="1560"/>
        <w:gridCol w:w="2126"/>
        <w:gridCol w:w="2550"/>
        <w:gridCol w:w="1084"/>
      </w:tblGrid>
      <w:tr w:rsidR="00BF450F" w:rsidRPr="00315E9C" w14:paraId="3628FAB5" w14:textId="77777777" w:rsidTr="00F726C5">
        <w:trPr>
          <w:tblHeader/>
        </w:trPr>
        <w:tc>
          <w:tcPr>
            <w:tcW w:w="941" w:type="pct"/>
            <w:tcBorders>
              <w:top w:val="single" w:sz="4" w:space="0" w:color="auto"/>
              <w:left w:val="single" w:sz="4" w:space="0" w:color="auto"/>
              <w:bottom w:val="single" w:sz="4" w:space="0" w:color="auto"/>
              <w:right w:val="single" w:sz="4" w:space="0" w:color="auto"/>
            </w:tcBorders>
            <w:hideMark/>
          </w:tcPr>
          <w:p w14:paraId="3D20901B" w14:textId="77777777" w:rsidR="00BF450F" w:rsidRPr="00315E9C" w:rsidRDefault="00BF450F" w:rsidP="00EE4B0A">
            <w:pPr>
              <w:pStyle w:val="Tablecontents"/>
              <w:rPr>
                <w:b/>
                <w:sz w:val="20"/>
                <w:szCs w:val="20"/>
              </w:rPr>
            </w:pPr>
            <w:r w:rsidRPr="00315E9C">
              <w:rPr>
                <w:b/>
                <w:sz w:val="20"/>
                <w:szCs w:val="20"/>
              </w:rPr>
              <w:t xml:space="preserve">Product name </w:t>
            </w:r>
          </w:p>
        </w:tc>
        <w:tc>
          <w:tcPr>
            <w:tcW w:w="865" w:type="pct"/>
            <w:tcBorders>
              <w:top w:val="single" w:sz="4" w:space="0" w:color="auto"/>
              <w:left w:val="single" w:sz="4" w:space="0" w:color="auto"/>
              <w:bottom w:val="single" w:sz="4" w:space="0" w:color="auto"/>
              <w:right w:val="single" w:sz="4" w:space="0" w:color="auto"/>
            </w:tcBorders>
          </w:tcPr>
          <w:p w14:paraId="25453D84" w14:textId="77777777" w:rsidR="00BF450F" w:rsidRPr="00315E9C" w:rsidRDefault="00BF450F" w:rsidP="00EE4B0A">
            <w:pPr>
              <w:pStyle w:val="Tablecontents"/>
              <w:rPr>
                <w:b/>
                <w:sz w:val="20"/>
                <w:szCs w:val="20"/>
              </w:rPr>
            </w:pPr>
            <w:r w:rsidRPr="00315E9C">
              <w:rPr>
                <w:b/>
                <w:sz w:val="20"/>
                <w:szCs w:val="20"/>
              </w:rPr>
              <w:t>Sponsor</w:t>
            </w:r>
          </w:p>
        </w:tc>
        <w:tc>
          <w:tcPr>
            <w:tcW w:w="1179" w:type="pct"/>
            <w:tcBorders>
              <w:top w:val="single" w:sz="4" w:space="0" w:color="auto"/>
              <w:left w:val="single" w:sz="4" w:space="0" w:color="auto"/>
              <w:bottom w:val="single" w:sz="4" w:space="0" w:color="auto"/>
              <w:right w:val="single" w:sz="4" w:space="0" w:color="auto"/>
            </w:tcBorders>
            <w:hideMark/>
          </w:tcPr>
          <w:p w14:paraId="6C55C565" w14:textId="77777777" w:rsidR="00BF450F" w:rsidRPr="00315E9C" w:rsidRDefault="00BF450F" w:rsidP="005F4388">
            <w:pPr>
              <w:pStyle w:val="Tablecontents"/>
              <w:rPr>
                <w:b/>
                <w:sz w:val="20"/>
                <w:szCs w:val="20"/>
              </w:rPr>
            </w:pPr>
            <w:r w:rsidRPr="00315E9C">
              <w:rPr>
                <w:b/>
                <w:sz w:val="20"/>
                <w:szCs w:val="20"/>
              </w:rPr>
              <w:t>Route of Administration</w:t>
            </w:r>
          </w:p>
        </w:tc>
        <w:tc>
          <w:tcPr>
            <w:tcW w:w="1414" w:type="pct"/>
            <w:tcBorders>
              <w:top w:val="single" w:sz="4" w:space="0" w:color="auto"/>
              <w:left w:val="single" w:sz="4" w:space="0" w:color="auto"/>
              <w:bottom w:val="single" w:sz="4" w:space="0" w:color="auto"/>
              <w:right w:val="single" w:sz="4" w:space="0" w:color="auto"/>
            </w:tcBorders>
          </w:tcPr>
          <w:p w14:paraId="3182A8BB" w14:textId="77777777" w:rsidR="00BF450F" w:rsidRPr="00315E9C" w:rsidRDefault="00E77A61" w:rsidP="00E77A61">
            <w:pPr>
              <w:pStyle w:val="Tablecontents"/>
              <w:rPr>
                <w:b/>
                <w:sz w:val="20"/>
                <w:szCs w:val="20"/>
              </w:rPr>
            </w:pPr>
            <w:r w:rsidRPr="00315E9C">
              <w:rPr>
                <w:b/>
                <w:sz w:val="20"/>
                <w:szCs w:val="20"/>
              </w:rPr>
              <w:t xml:space="preserve">Strength </w:t>
            </w:r>
          </w:p>
        </w:tc>
        <w:tc>
          <w:tcPr>
            <w:tcW w:w="601" w:type="pct"/>
            <w:tcBorders>
              <w:top w:val="single" w:sz="4" w:space="0" w:color="auto"/>
              <w:left w:val="single" w:sz="4" w:space="0" w:color="auto"/>
              <w:bottom w:val="single" w:sz="4" w:space="0" w:color="auto"/>
              <w:right w:val="single" w:sz="4" w:space="0" w:color="auto"/>
            </w:tcBorders>
            <w:hideMark/>
          </w:tcPr>
          <w:p w14:paraId="7C8FDD47" w14:textId="77777777" w:rsidR="00BF450F" w:rsidRPr="00315E9C" w:rsidRDefault="00BF450F" w:rsidP="00EE4B0A">
            <w:pPr>
              <w:pStyle w:val="Tablecontents"/>
              <w:rPr>
                <w:b/>
                <w:sz w:val="20"/>
                <w:szCs w:val="20"/>
              </w:rPr>
            </w:pPr>
            <w:r w:rsidRPr="00315E9C">
              <w:rPr>
                <w:b/>
                <w:sz w:val="20"/>
                <w:szCs w:val="20"/>
              </w:rPr>
              <w:t xml:space="preserve">*NBA Funded </w:t>
            </w:r>
          </w:p>
        </w:tc>
      </w:tr>
      <w:tr w:rsidR="00BF450F" w:rsidRPr="00315E9C" w14:paraId="177E3F3B"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5D26CCCA" w14:textId="77777777" w:rsidR="00BF450F" w:rsidRPr="00315E9C" w:rsidRDefault="00BF450F" w:rsidP="00E0599E">
            <w:pPr>
              <w:pStyle w:val="Tablecontents"/>
              <w:rPr>
                <w:sz w:val="20"/>
                <w:szCs w:val="20"/>
              </w:rPr>
            </w:pPr>
            <w:r w:rsidRPr="00315E9C">
              <w:rPr>
                <w:sz w:val="20"/>
                <w:szCs w:val="20"/>
              </w:rPr>
              <w:t xml:space="preserve">Privigen </w:t>
            </w:r>
          </w:p>
        </w:tc>
        <w:tc>
          <w:tcPr>
            <w:tcW w:w="865" w:type="pct"/>
            <w:tcBorders>
              <w:top w:val="single" w:sz="4" w:space="0" w:color="auto"/>
              <w:left w:val="single" w:sz="4" w:space="0" w:color="auto"/>
              <w:bottom w:val="single" w:sz="4" w:space="0" w:color="auto"/>
              <w:right w:val="single" w:sz="4" w:space="0" w:color="auto"/>
            </w:tcBorders>
          </w:tcPr>
          <w:p w14:paraId="348B55D3" w14:textId="77777777" w:rsidR="00BF450F" w:rsidRPr="00315E9C" w:rsidRDefault="00BF450F" w:rsidP="00EE4B0A">
            <w:pPr>
              <w:pStyle w:val="Tablecontents"/>
              <w:rPr>
                <w:sz w:val="20"/>
                <w:szCs w:val="20"/>
              </w:rPr>
            </w:pPr>
            <w:r w:rsidRPr="00315E9C">
              <w:rPr>
                <w:sz w:val="20"/>
                <w:szCs w:val="20"/>
                <w:lang w:val="de-DE"/>
              </w:rPr>
              <w:t>CSL Behring</w:t>
            </w:r>
          </w:p>
        </w:tc>
        <w:tc>
          <w:tcPr>
            <w:tcW w:w="1179" w:type="pct"/>
            <w:tcBorders>
              <w:top w:val="single" w:sz="4" w:space="0" w:color="auto"/>
              <w:left w:val="single" w:sz="4" w:space="0" w:color="auto"/>
              <w:bottom w:val="single" w:sz="4" w:space="0" w:color="auto"/>
              <w:right w:val="single" w:sz="4" w:space="0" w:color="auto"/>
            </w:tcBorders>
            <w:hideMark/>
          </w:tcPr>
          <w:p w14:paraId="60683D77" w14:textId="77777777" w:rsidR="00BF450F" w:rsidRPr="00315E9C" w:rsidRDefault="00BF450F" w:rsidP="00EE4B0A">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1A0AF8D1" w14:textId="77777777" w:rsidR="00BF450F" w:rsidRPr="00315E9C" w:rsidRDefault="006805CA" w:rsidP="00EE4B0A">
            <w:pPr>
              <w:pStyle w:val="Tablecontents"/>
              <w:rPr>
                <w:sz w:val="20"/>
                <w:szCs w:val="20"/>
              </w:rPr>
            </w:pPr>
            <w:r w:rsidRPr="00315E9C">
              <w:rPr>
                <w:sz w:val="20"/>
                <w:szCs w:val="20"/>
              </w:rPr>
              <w:t>5g/50mL to 40g/400mL</w:t>
            </w:r>
          </w:p>
        </w:tc>
        <w:tc>
          <w:tcPr>
            <w:tcW w:w="601" w:type="pct"/>
            <w:tcBorders>
              <w:top w:val="single" w:sz="4" w:space="0" w:color="auto"/>
              <w:left w:val="single" w:sz="4" w:space="0" w:color="auto"/>
              <w:bottom w:val="single" w:sz="4" w:space="0" w:color="auto"/>
              <w:right w:val="single" w:sz="4" w:space="0" w:color="auto"/>
            </w:tcBorders>
            <w:hideMark/>
          </w:tcPr>
          <w:p w14:paraId="31F823B2" w14:textId="77777777" w:rsidR="00BF450F" w:rsidRPr="00315E9C" w:rsidRDefault="00BF450F" w:rsidP="00EE4B0A">
            <w:pPr>
              <w:pStyle w:val="Tablecontents"/>
              <w:rPr>
                <w:sz w:val="20"/>
                <w:szCs w:val="20"/>
              </w:rPr>
            </w:pPr>
            <w:r w:rsidRPr="00315E9C">
              <w:rPr>
                <w:sz w:val="20"/>
                <w:szCs w:val="20"/>
              </w:rPr>
              <w:t>Yes</w:t>
            </w:r>
          </w:p>
        </w:tc>
      </w:tr>
      <w:tr w:rsidR="00BF450F" w:rsidRPr="00315E9C" w14:paraId="5807DD23"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614C6C8F" w14:textId="77777777" w:rsidR="00BF450F" w:rsidRPr="00315E9C" w:rsidRDefault="00BF450F" w:rsidP="00E0599E">
            <w:pPr>
              <w:pStyle w:val="Tablecontents"/>
              <w:rPr>
                <w:sz w:val="20"/>
                <w:szCs w:val="20"/>
              </w:rPr>
            </w:pPr>
            <w:r w:rsidRPr="00315E9C">
              <w:rPr>
                <w:sz w:val="20"/>
                <w:szCs w:val="20"/>
              </w:rPr>
              <w:t xml:space="preserve">Hizentra </w:t>
            </w:r>
          </w:p>
        </w:tc>
        <w:tc>
          <w:tcPr>
            <w:tcW w:w="865" w:type="pct"/>
            <w:tcBorders>
              <w:top w:val="single" w:sz="4" w:space="0" w:color="auto"/>
              <w:left w:val="single" w:sz="4" w:space="0" w:color="auto"/>
              <w:bottom w:val="single" w:sz="4" w:space="0" w:color="auto"/>
              <w:right w:val="single" w:sz="4" w:space="0" w:color="auto"/>
            </w:tcBorders>
          </w:tcPr>
          <w:p w14:paraId="4BED97A5" w14:textId="77777777" w:rsidR="00BF450F" w:rsidRPr="00315E9C" w:rsidRDefault="00BF450F" w:rsidP="00EE4B0A">
            <w:pPr>
              <w:pStyle w:val="Tablecontents"/>
              <w:rPr>
                <w:sz w:val="20"/>
                <w:szCs w:val="20"/>
              </w:rPr>
            </w:pPr>
            <w:r w:rsidRPr="00315E9C">
              <w:rPr>
                <w:sz w:val="20"/>
                <w:szCs w:val="20"/>
                <w:lang w:val="de-DE"/>
              </w:rPr>
              <w:t>CSL Behring</w:t>
            </w:r>
          </w:p>
        </w:tc>
        <w:tc>
          <w:tcPr>
            <w:tcW w:w="1179" w:type="pct"/>
            <w:tcBorders>
              <w:top w:val="single" w:sz="4" w:space="0" w:color="auto"/>
              <w:left w:val="single" w:sz="4" w:space="0" w:color="auto"/>
              <w:bottom w:val="single" w:sz="4" w:space="0" w:color="auto"/>
              <w:right w:val="single" w:sz="4" w:space="0" w:color="auto"/>
            </w:tcBorders>
            <w:hideMark/>
          </w:tcPr>
          <w:p w14:paraId="74DF6BC8" w14:textId="77777777" w:rsidR="00BF450F" w:rsidRPr="00315E9C" w:rsidRDefault="00BF450F" w:rsidP="00EE4B0A">
            <w:pPr>
              <w:pStyle w:val="Tablecontents"/>
              <w:rPr>
                <w:sz w:val="20"/>
                <w:szCs w:val="20"/>
              </w:rPr>
            </w:pPr>
            <w:r w:rsidRPr="00315E9C">
              <w:rPr>
                <w:sz w:val="20"/>
                <w:szCs w:val="20"/>
              </w:rPr>
              <w:t>SC</w:t>
            </w:r>
          </w:p>
        </w:tc>
        <w:tc>
          <w:tcPr>
            <w:tcW w:w="1414" w:type="pct"/>
            <w:tcBorders>
              <w:top w:val="single" w:sz="4" w:space="0" w:color="auto"/>
              <w:left w:val="single" w:sz="4" w:space="0" w:color="auto"/>
              <w:bottom w:val="single" w:sz="4" w:space="0" w:color="auto"/>
              <w:right w:val="single" w:sz="4" w:space="0" w:color="auto"/>
            </w:tcBorders>
          </w:tcPr>
          <w:p w14:paraId="3A36C580" w14:textId="77777777" w:rsidR="00BF450F" w:rsidRPr="00315E9C" w:rsidRDefault="006805CA" w:rsidP="00EE4B0A">
            <w:pPr>
              <w:pStyle w:val="Tablecontents"/>
              <w:rPr>
                <w:sz w:val="20"/>
                <w:szCs w:val="20"/>
              </w:rPr>
            </w:pPr>
            <w:r w:rsidRPr="00315E9C">
              <w:rPr>
                <w:sz w:val="20"/>
                <w:szCs w:val="20"/>
              </w:rPr>
              <w:t>1g/5mL to 10g/50mL</w:t>
            </w:r>
          </w:p>
        </w:tc>
        <w:tc>
          <w:tcPr>
            <w:tcW w:w="601" w:type="pct"/>
            <w:tcBorders>
              <w:top w:val="single" w:sz="4" w:space="0" w:color="auto"/>
              <w:left w:val="single" w:sz="4" w:space="0" w:color="auto"/>
              <w:bottom w:val="single" w:sz="4" w:space="0" w:color="auto"/>
              <w:right w:val="single" w:sz="4" w:space="0" w:color="auto"/>
            </w:tcBorders>
            <w:hideMark/>
          </w:tcPr>
          <w:p w14:paraId="6243A46D" w14:textId="77777777" w:rsidR="00BF450F" w:rsidRPr="00315E9C" w:rsidRDefault="00BF450F" w:rsidP="00EE4B0A">
            <w:pPr>
              <w:pStyle w:val="Tablecontents"/>
              <w:rPr>
                <w:sz w:val="20"/>
                <w:szCs w:val="20"/>
              </w:rPr>
            </w:pPr>
            <w:r w:rsidRPr="00315E9C">
              <w:rPr>
                <w:sz w:val="20"/>
                <w:szCs w:val="20"/>
              </w:rPr>
              <w:t>Yes</w:t>
            </w:r>
          </w:p>
        </w:tc>
      </w:tr>
      <w:tr w:rsidR="00BF450F" w:rsidRPr="00315E9C" w14:paraId="33A3FD0E"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40BB6500" w14:textId="77777777" w:rsidR="00BF450F" w:rsidRPr="00315E9C" w:rsidRDefault="00BF450F" w:rsidP="00A66923">
            <w:pPr>
              <w:pStyle w:val="Tablecontents"/>
              <w:rPr>
                <w:sz w:val="20"/>
                <w:szCs w:val="20"/>
              </w:rPr>
            </w:pPr>
            <w:r w:rsidRPr="00315E9C">
              <w:rPr>
                <w:sz w:val="20"/>
                <w:szCs w:val="20"/>
              </w:rPr>
              <w:t xml:space="preserve">Flebogamma 10% </w:t>
            </w:r>
          </w:p>
        </w:tc>
        <w:tc>
          <w:tcPr>
            <w:tcW w:w="865" w:type="pct"/>
            <w:tcBorders>
              <w:top w:val="single" w:sz="4" w:space="0" w:color="auto"/>
              <w:left w:val="single" w:sz="4" w:space="0" w:color="auto"/>
              <w:bottom w:val="single" w:sz="4" w:space="0" w:color="auto"/>
              <w:right w:val="single" w:sz="4" w:space="0" w:color="auto"/>
            </w:tcBorders>
          </w:tcPr>
          <w:p w14:paraId="701E904E" w14:textId="77777777" w:rsidR="00BF450F" w:rsidRPr="00315E9C" w:rsidRDefault="00BF450F" w:rsidP="00EE4B0A">
            <w:pPr>
              <w:pStyle w:val="Tablecontents"/>
              <w:rPr>
                <w:sz w:val="20"/>
                <w:szCs w:val="20"/>
              </w:rPr>
            </w:pPr>
            <w:r w:rsidRPr="00315E9C">
              <w:rPr>
                <w:sz w:val="20"/>
                <w:szCs w:val="20"/>
              </w:rPr>
              <w:t>Grifols</w:t>
            </w:r>
          </w:p>
        </w:tc>
        <w:tc>
          <w:tcPr>
            <w:tcW w:w="1179" w:type="pct"/>
            <w:tcBorders>
              <w:top w:val="single" w:sz="4" w:space="0" w:color="auto"/>
              <w:left w:val="single" w:sz="4" w:space="0" w:color="auto"/>
              <w:bottom w:val="single" w:sz="4" w:space="0" w:color="auto"/>
              <w:right w:val="single" w:sz="4" w:space="0" w:color="auto"/>
            </w:tcBorders>
            <w:hideMark/>
          </w:tcPr>
          <w:p w14:paraId="5F930256" w14:textId="77777777" w:rsidR="00BF450F" w:rsidRPr="00315E9C" w:rsidRDefault="00BF450F" w:rsidP="00EE4B0A">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25CD7CC7" w14:textId="77777777" w:rsidR="00BF450F" w:rsidRPr="00315E9C" w:rsidRDefault="006805CA" w:rsidP="00EE4B0A">
            <w:pPr>
              <w:pStyle w:val="Tablecontents"/>
              <w:rPr>
                <w:sz w:val="20"/>
                <w:szCs w:val="20"/>
              </w:rPr>
            </w:pPr>
            <w:r w:rsidRPr="00315E9C">
              <w:rPr>
                <w:sz w:val="20"/>
                <w:szCs w:val="20"/>
              </w:rPr>
              <w:t xml:space="preserve">5g/50mL to </w:t>
            </w:r>
            <w:r w:rsidR="00AD58B6" w:rsidRPr="00315E9C">
              <w:rPr>
                <w:sz w:val="20"/>
                <w:szCs w:val="20"/>
              </w:rPr>
              <w:t>2</w:t>
            </w:r>
            <w:r w:rsidRPr="00315E9C">
              <w:rPr>
                <w:sz w:val="20"/>
                <w:szCs w:val="20"/>
              </w:rPr>
              <w:t>0g/</w:t>
            </w:r>
            <w:r w:rsidR="00AD58B6" w:rsidRPr="00315E9C">
              <w:rPr>
                <w:sz w:val="20"/>
                <w:szCs w:val="20"/>
              </w:rPr>
              <w:t>2</w:t>
            </w:r>
            <w:r w:rsidRPr="00315E9C">
              <w:rPr>
                <w:sz w:val="20"/>
                <w:szCs w:val="20"/>
              </w:rPr>
              <w:t>00mL</w:t>
            </w:r>
          </w:p>
        </w:tc>
        <w:tc>
          <w:tcPr>
            <w:tcW w:w="601" w:type="pct"/>
            <w:tcBorders>
              <w:top w:val="single" w:sz="4" w:space="0" w:color="auto"/>
              <w:left w:val="single" w:sz="4" w:space="0" w:color="auto"/>
              <w:bottom w:val="single" w:sz="4" w:space="0" w:color="auto"/>
              <w:right w:val="single" w:sz="4" w:space="0" w:color="auto"/>
            </w:tcBorders>
            <w:hideMark/>
          </w:tcPr>
          <w:p w14:paraId="5738A879" w14:textId="77777777" w:rsidR="00BF450F" w:rsidRPr="00315E9C" w:rsidRDefault="00BF450F" w:rsidP="00EE4B0A">
            <w:pPr>
              <w:pStyle w:val="Tablecontents"/>
              <w:rPr>
                <w:sz w:val="20"/>
                <w:szCs w:val="20"/>
              </w:rPr>
            </w:pPr>
            <w:r w:rsidRPr="00315E9C">
              <w:rPr>
                <w:sz w:val="20"/>
                <w:szCs w:val="20"/>
              </w:rPr>
              <w:t>Yes</w:t>
            </w:r>
          </w:p>
        </w:tc>
      </w:tr>
      <w:tr w:rsidR="00BF450F" w:rsidRPr="00315E9C" w14:paraId="3D9D9944"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352FC66C" w14:textId="77777777" w:rsidR="00BF450F" w:rsidRPr="00315E9C" w:rsidRDefault="00BF450F" w:rsidP="00E0599E">
            <w:pPr>
              <w:pStyle w:val="Tablecontents"/>
              <w:rPr>
                <w:sz w:val="20"/>
                <w:szCs w:val="20"/>
                <w:lang w:val="pt-PT"/>
              </w:rPr>
            </w:pPr>
            <w:r w:rsidRPr="00315E9C">
              <w:rPr>
                <w:sz w:val="20"/>
                <w:szCs w:val="20"/>
                <w:lang w:val="pt-PT"/>
              </w:rPr>
              <w:t xml:space="preserve">Evogam 16%  </w:t>
            </w:r>
          </w:p>
        </w:tc>
        <w:tc>
          <w:tcPr>
            <w:tcW w:w="865" w:type="pct"/>
            <w:tcBorders>
              <w:top w:val="single" w:sz="4" w:space="0" w:color="auto"/>
              <w:left w:val="single" w:sz="4" w:space="0" w:color="auto"/>
              <w:bottom w:val="single" w:sz="4" w:space="0" w:color="auto"/>
              <w:right w:val="single" w:sz="4" w:space="0" w:color="auto"/>
            </w:tcBorders>
          </w:tcPr>
          <w:p w14:paraId="04DBE9E4" w14:textId="77777777" w:rsidR="00BF450F" w:rsidRPr="00315E9C" w:rsidRDefault="00BF450F" w:rsidP="00EE4B0A">
            <w:pPr>
              <w:pStyle w:val="Tablecontents"/>
              <w:rPr>
                <w:sz w:val="20"/>
                <w:szCs w:val="20"/>
              </w:rPr>
            </w:pPr>
            <w:r w:rsidRPr="00315E9C">
              <w:rPr>
                <w:sz w:val="20"/>
                <w:szCs w:val="20"/>
                <w:lang w:val="pt-PT"/>
              </w:rPr>
              <w:t>CSL Behring</w:t>
            </w:r>
          </w:p>
        </w:tc>
        <w:tc>
          <w:tcPr>
            <w:tcW w:w="1179" w:type="pct"/>
            <w:tcBorders>
              <w:top w:val="single" w:sz="4" w:space="0" w:color="auto"/>
              <w:left w:val="single" w:sz="4" w:space="0" w:color="auto"/>
              <w:bottom w:val="single" w:sz="4" w:space="0" w:color="auto"/>
              <w:right w:val="single" w:sz="4" w:space="0" w:color="auto"/>
            </w:tcBorders>
            <w:hideMark/>
          </w:tcPr>
          <w:p w14:paraId="03A87C57" w14:textId="77777777" w:rsidR="00BF450F" w:rsidRPr="00315E9C" w:rsidRDefault="00BF450F" w:rsidP="00EE4B0A">
            <w:pPr>
              <w:pStyle w:val="Tablecontents"/>
              <w:rPr>
                <w:sz w:val="20"/>
                <w:szCs w:val="20"/>
              </w:rPr>
            </w:pPr>
            <w:r w:rsidRPr="00315E9C">
              <w:rPr>
                <w:sz w:val="20"/>
                <w:szCs w:val="20"/>
              </w:rPr>
              <w:t>SC</w:t>
            </w:r>
          </w:p>
        </w:tc>
        <w:tc>
          <w:tcPr>
            <w:tcW w:w="1414" w:type="pct"/>
            <w:tcBorders>
              <w:top w:val="single" w:sz="4" w:space="0" w:color="auto"/>
              <w:left w:val="single" w:sz="4" w:space="0" w:color="auto"/>
              <w:bottom w:val="single" w:sz="4" w:space="0" w:color="auto"/>
              <w:right w:val="single" w:sz="4" w:space="0" w:color="auto"/>
            </w:tcBorders>
          </w:tcPr>
          <w:p w14:paraId="71B6C508" w14:textId="77777777" w:rsidR="00BF450F" w:rsidRPr="00315E9C" w:rsidRDefault="006805CA" w:rsidP="00EE4B0A">
            <w:pPr>
              <w:pStyle w:val="Tablecontents"/>
              <w:rPr>
                <w:sz w:val="20"/>
                <w:szCs w:val="20"/>
              </w:rPr>
            </w:pPr>
            <w:r w:rsidRPr="00315E9C">
              <w:rPr>
                <w:sz w:val="20"/>
                <w:szCs w:val="20"/>
                <w:lang w:val="pt-PT"/>
              </w:rPr>
              <w:t>0.8g/5mL or 3.2g/20mL</w:t>
            </w:r>
          </w:p>
        </w:tc>
        <w:tc>
          <w:tcPr>
            <w:tcW w:w="601" w:type="pct"/>
            <w:tcBorders>
              <w:top w:val="single" w:sz="4" w:space="0" w:color="auto"/>
              <w:left w:val="single" w:sz="4" w:space="0" w:color="auto"/>
              <w:bottom w:val="single" w:sz="4" w:space="0" w:color="auto"/>
              <w:right w:val="single" w:sz="4" w:space="0" w:color="auto"/>
            </w:tcBorders>
            <w:hideMark/>
          </w:tcPr>
          <w:p w14:paraId="0BB1C34A" w14:textId="77777777" w:rsidR="00BF450F" w:rsidRPr="00315E9C" w:rsidRDefault="00BF450F" w:rsidP="00EE4B0A">
            <w:pPr>
              <w:pStyle w:val="Tablecontents"/>
              <w:rPr>
                <w:sz w:val="20"/>
                <w:szCs w:val="20"/>
              </w:rPr>
            </w:pPr>
            <w:r w:rsidRPr="00315E9C">
              <w:rPr>
                <w:sz w:val="20"/>
                <w:szCs w:val="20"/>
              </w:rPr>
              <w:t>Yes</w:t>
            </w:r>
          </w:p>
        </w:tc>
      </w:tr>
      <w:tr w:rsidR="00BF450F" w:rsidRPr="00315E9C" w14:paraId="7B5D798C" w14:textId="77777777" w:rsidTr="00F726C5">
        <w:tc>
          <w:tcPr>
            <w:tcW w:w="941" w:type="pct"/>
            <w:tcBorders>
              <w:top w:val="single" w:sz="4" w:space="0" w:color="auto"/>
              <w:left w:val="single" w:sz="4" w:space="0" w:color="auto"/>
              <w:bottom w:val="single" w:sz="4" w:space="0" w:color="auto"/>
              <w:right w:val="single" w:sz="4" w:space="0" w:color="auto"/>
            </w:tcBorders>
            <w:shd w:val="clear" w:color="auto" w:fill="auto"/>
            <w:hideMark/>
          </w:tcPr>
          <w:p w14:paraId="620DA60F" w14:textId="77777777" w:rsidR="00BF450F" w:rsidRPr="00315E9C" w:rsidRDefault="00BF450F" w:rsidP="00A66923">
            <w:pPr>
              <w:pStyle w:val="Tablecontents"/>
              <w:rPr>
                <w:sz w:val="20"/>
                <w:szCs w:val="20"/>
              </w:rPr>
            </w:pPr>
            <w:r w:rsidRPr="00315E9C">
              <w:rPr>
                <w:sz w:val="20"/>
                <w:szCs w:val="20"/>
              </w:rPr>
              <w:t>Intragam 10</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40A87DEB" w14:textId="77777777" w:rsidR="00BF450F" w:rsidRPr="00315E9C" w:rsidRDefault="00BF450F" w:rsidP="00EE4B0A">
            <w:pPr>
              <w:pStyle w:val="Tablecontents"/>
              <w:rPr>
                <w:sz w:val="20"/>
                <w:szCs w:val="20"/>
              </w:rPr>
            </w:pPr>
            <w:r w:rsidRPr="00315E9C">
              <w:rPr>
                <w:sz w:val="20"/>
                <w:szCs w:val="20"/>
                <w:lang w:val="pt-PT"/>
              </w:rPr>
              <w:t>CSL Behring</w:t>
            </w:r>
          </w:p>
        </w:tc>
        <w:tc>
          <w:tcPr>
            <w:tcW w:w="1179" w:type="pct"/>
            <w:tcBorders>
              <w:top w:val="single" w:sz="4" w:space="0" w:color="auto"/>
              <w:left w:val="single" w:sz="4" w:space="0" w:color="auto"/>
              <w:bottom w:val="single" w:sz="4" w:space="0" w:color="auto"/>
              <w:right w:val="single" w:sz="4" w:space="0" w:color="auto"/>
            </w:tcBorders>
            <w:shd w:val="clear" w:color="auto" w:fill="auto"/>
            <w:hideMark/>
          </w:tcPr>
          <w:p w14:paraId="1AF36C80" w14:textId="77777777" w:rsidR="00BF450F" w:rsidRPr="00315E9C" w:rsidRDefault="00BF450F" w:rsidP="00EE4B0A">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shd w:val="clear" w:color="auto" w:fill="auto"/>
          </w:tcPr>
          <w:p w14:paraId="079632F6" w14:textId="77777777" w:rsidR="00BF450F" w:rsidRPr="00315E9C" w:rsidRDefault="00E93999" w:rsidP="00EE4B0A">
            <w:pPr>
              <w:pStyle w:val="Tablecontents"/>
              <w:rPr>
                <w:sz w:val="20"/>
                <w:szCs w:val="20"/>
              </w:rPr>
            </w:pPr>
            <w:r w:rsidRPr="00315E9C">
              <w:rPr>
                <w:sz w:val="20"/>
                <w:szCs w:val="20"/>
              </w:rPr>
              <w:t>2.5g/25mL to 20g/200mL</w:t>
            </w:r>
          </w:p>
        </w:tc>
        <w:tc>
          <w:tcPr>
            <w:tcW w:w="601" w:type="pct"/>
            <w:tcBorders>
              <w:top w:val="single" w:sz="4" w:space="0" w:color="auto"/>
              <w:left w:val="single" w:sz="4" w:space="0" w:color="auto"/>
              <w:bottom w:val="single" w:sz="4" w:space="0" w:color="auto"/>
              <w:right w:val="single" w:sz="4" w:space="0" w:color="auto"/>
            </w:tcBorders>
            <w:hideMark/>
          </w:tcPr>
          <w:p w14:paraId="282DAD48" w14:textId="77777777" w:rsidR="00BF450F" w:rsidRPr="00315E9C" w:rsidRDefault="00BF450F" w:rsidP="00EE4B0A">
            <w:pPr>
              <w:pStyle w:val="Tablecontents"/>
              <w:rPr>
                <w:sz w:val="20"/>
                <w:szCs w:val="20"/>
              </w:rPr>
            </w:pPr>
            <w:r w:rsidRPr="00315E9C">
              <w:rPr>
                <w:sz w:val="20"/>
                <w:szCs w:val="20"/>
              </w:rPr>
              <w:t>Yes</w:t>
            </w:r>
          </w:p>
        </w:tc>
      </w:tr>
      <w:tr w:rsidR="00BF450F" w:rsidRPr="00315E9C" w14:paraId="3443E60B"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4C0CDA42" w14:textId="77777777" w:rsidR="00BF450F" w:rsidRPr="00315E9C" w:rsidRDefault="00BF450F" w:rsidP="00A66923">
            <w:pPr>
              <w:pStyle w:val="Tablecontents"/>
              <w:rPr>
                <w:sz w:val="20"/>
                <w:szCs w:val="20"/>
              </w:rPr>
            </w:pPr>
            <w:r w:rsidRPr="00315E9C">
              <w:rPr>
                <w:sz w:val="20"/>
                <w:szCs w:val="20"/>
              </w:rPr>
              <w:t xml:space="preserve">Flebogamma 5% </w:t>
            </w:r>
          </w:p>
        </w:tc>
        <w:tc>
          <w:tcPr>
            <w:tcW w:w="865" w:type="pct"/>
            <w:tcBorders>
              <w:top w:val="single" w:sz="4" w:space="0" w:color="auto"/>
              <w:left w:val="single" w:sz="4" w:space="0" w:color="auto"/>
              <w:bottom w:val="single" w:sz="4" w:space="0" w:color="auto"/>
              <w:right w:val="single" w:sz="4" w:space="0" w:color="auto"/>
            </w:tcBorders>
          </w:tcPr>
          <w:p w14:paraId="241DED1F" w14:textId="77777777" w:rsidR="00BF450F" w:rsidRPr="00315E9C" w:rsidRDefault="00BF450F" w:rsidP="00EE4B0A">
            <w:pPr>
              <w:pStyle w:val="Tablecontents"/>
              <w:rPr>
                <w:sz w:val="20"/>
                <w:szCs w:val="20"/>
              </w:rPr>
            </w:pPr>
            <w:r w:rsidRPr="00315E9C">
              <w:rPr>
                <w:sz w:val="20"/>
                <w:szCs w:val="20"/>
              </w:rPr>
              <w:t>Grifols</w:t>
            </w:r>
          </w:p>
        </w:tc>
        <w:tc>
          <w:tcPr>
            <w:tcW w:w="1179" w:type="pct"/>
            <w:tcBorders>
              <w:top w:val="single" w:sz="4" w:space="0" w:color="auto"/>
              <w:left w:val="single" w:sz="4" w:space="0" w:color="auto"/>
              <w:bottom w:val="single" w:sz="4" w:space="0" w:color="auto"/>
              <w:right w:val="single" w:sz="4" w:space="0" w:color="auto"/>
            </w:tcBorders>
            <w:hideMark/>
          </w:tcPr>
          <w:p w14:paraId="2B1E7B41" w14:textId="77777777" w:rsidR="00BF450F" w:rsidRPr="00315E9C" w:rsidRDefault="00BF450F" w:rsidP="00EE4B0A">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4B6B40E8" w14:textId="77777777" w:rsidR="00BF450F" w:rsidRPr="00315E9C" w:rsidRDefault="00E93999" w:rsidP="00EE4B0A">
            <w:pPr>
              <w:pStyle w:val="Tablecontents"/>
              <w:rPr>
                <w:sz w:val="20"/>
                <w:szCs w:val="20"/>
              </w:rPr>
            </w:pPr>
            <w:r w:rsidRPr="00315E9C">
              <w:rPr>
                <w:sz w:val="20"/>
                <w:szCs w:val="20"/>
              </w:rPr>
              <w:t>0.5g/10mL to 20g/400mL</w:t>
            </w:r>
          </w:p>
        </w:tc>
        <w:tc>
          <w:tcPr>
            <w:tcW w:w="601" w:type="pct"/>
            <w:tcBorders>
              <w:top w:val="single" w:sz="4" w:space="0" w:color="auto"/>
              <w:left w:val="single" w:sz="4" w:space="0" w:color="auto"/>
              <w:bottom w:val="single" w:sz="4" w:space="0" w:color="auto"/>
              <w:right w:val="single" w:sz="4" w:space="0" w:color="auto"/>
            </w:tcBorders>
            <w:hideMark/>
          </w:tcPr>
          <w:p w14:paraId="6CA5EB61" w14:textId="77777777" w:rsidR="00BF450F" w:rsidRPr="00315E9C" w:rsidRDefault="00BF450F" w:rsidP="00EE4B0A">
            <w:pPr>
              <w:pStyle w:val="Tablecontents"/>
              <w:rPr>
                <w:sz w:val="20"/>
                <w:szCs w:val="20"/>
              </w:rPr>
            </w:pPr>
            <w:r w:rsidRPr="00315E9C">
              <w:rPr>
                <w:sz w:val="20"/>
                <w:szCs w:val="20"/>
              </w:rPr>
              <w:t>Yes</w:t>
            </w:r>
          </w:p>
        </w:tc>
      </w:tr>
      <w:tr w:rsidR="00BF450F" w:rsidRPr="00315E9C" w14:paraId="27D3C93F"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2BDD0CF0" w14:textId="77777777" w:rsidR="00BF450F" w:rsidRPr="00315E9C" w:rsidRDefault="00BF450F" w:rsidP="00EE4B0A">
            <w:pPr>
              <w:pStyle w:val="Tablecontents"/>
              <w:rPr>
                <w:sz w:val="20"/>
                <w:szCs w:val="20"/>
              </w:rPr>
            </w:pPr>
            <w:r w:rsidRPr="00315E9C">
              <w:rPr>
                <w:sz w:val="20"/>
                <w:szCs w:val="20"/>
              </w:rPr>
              <w:t>Cuvitru 20%</w:t>
            </w:r>
          </w:p>
        </w:tc>
        <w:tc>
          <w:tcPr>
            <w:tcW w:w="865" w:type="pct"/>
            <w:tcBorders>
              <w:top w:val="single" w:sz="4" w:space="0" w:color="auto"/>
              <w:left w:val="single" w:sz="4" w:space="0" w:color="auto"/>
              <w:bottom w:val="single" w:sz="4" w:space="0" w:color="auto"/>
              <w:right w:val="single" w:sz="4" w:space="0" w:color="auto"/>
            </w:tcBorders>
          </w:tcPr>
          <w:p w14:paraId="5A461DF7" w14:textId="77777777" w:rsidR="00BF450F" w:rsidRPr="00315E9C" w:rsidRDefault="00BF450F" w:rsidP="00EE4B0A">
            <w:pPr>
              <w:pStyle w:val="Tablecontents"/>
              <w:rPr>
                <w:sz w:val="20"/>
                <w:szCs w:val="20"/>
              </w:rPr>
            </w:pPr>
            <w:r w:rsidRPr="00315E9C">
              <w:rPr>
                <w:sz w:val="20"/>
                <w:szCs w:val="20"/>
              </w:rPr>
              <w:t>Shire</w:t>
            </w:r>
          </w:p>
        </w:tc>
        <w:tc>
          <w:tcPr>
            <w:tcW w:w="1179" w:type="pct"/>
            <w:tcBorders>
              <w:top w:val="single" w:sz="4" w:space="0" w:color="auto"/>
              <w:left w:val="single" w:sz="4" w:space="0" w:color="auto"/>
              <w:bottom w:val="single" w:sz="4" w:space="0" w:color="auto"/>
              <w:right w:val="single" w:sz="4" w:space="0" w:color="auto"/>
            </w:tcBorders>
            <w:hideMark/>
          </w:tcPr>
          <w:p w14:paraId="4EF87135" w14:textId="77777777" w:rsidR="00BF450F" w:rsidRPr="00315E9C" w:rsidRDefault="00BF450F" w:rsidP="00EE4B0A">
            <w:pPr>
              <w:pStyle w:val="Tablecontents"/>
              <w:rPr>
                <w:sz w:val="20"/>
                <w:szCs w:val="20"/>
              </w:rPr>
            </w:pPr>
            <w:r w:rsidRPr="00315E9C">
              <w:rPr>
                <w:sz w:val="20"/>
                <w:szCs w:val="20"/>
              </w:rPr>
              <w:t>SC</w:t>
            </w:r>
          </w:p>
        </w:tc>
        <w:tc>
          <w:tcPr>
            <w:tcW w:w="1414" w:type="pct"/>
            <w:tcBorders>
              <w:top w:val="single" w:sz="4" w:space="0" w:color="auto"/>
              <w:left w:val="single" w:sz="4" w:space="0" w:color="auto"/>
              <w:bottom w:val="single" w:sz="4" w:space="0" w:color="auto"/>
              <w:right w:val="single" w:sz="4" w:space="0" w:color="auto"/>
            </w:tcBorders>
          </w:tcPr>
          <w:p w14:paraId="2C1BEE59" w14:textId="77777777" w:rsidR="00BF450F" w:rsidRPr="00315E9C" w:rsidRDefault="006C4C89" w:rsidP="00EE4B0A">
            <w:pPr>
              <w:pStyle w:val="Tablecontents"/>
              <w:rPr>
                <w:sz w:val="20"/>
                <w:szCs w:val="20"/>
              </w:rPr>
            </w:pPr>
            <w:r w:rsidRPr="00315E9C">
              <w:rPr>
                <w:sz w:val="20"/>
                <w:szCs w:val="20"/>
              </w:rPr>
              <w:t>1g/5mL to 8g/40mL</w:t>
            </w:r>
          </w:p>
        </w:tc>
        <w:tc>
          <w:tcPr>
            <w:tcW w:w="601" w:type="pct"/>
            <w:tcBorders>
              <w:top w:val="single" w:sz="4" w:space="0" w:color="auto"/>
              <w:left w:val="single" w:sz="4" w:space="0" w:color="auto"/>
              <w:bottom w:val="single" w:sz="4" w:space="0" w:color="auto"/>
              <w:right w:val="single" w:sz="4" w:space="0" w:color="auto"/>
            </w:tcBorders>
            <w:hideMark/>
          </w:tcPr>
          <w:p w14:paraId="46939BFB" w14:textId="77777777" w:rsidR="00BF450F" w:rsidRPr="00315E9C" w:rsidRDefault="00BF450F" w:rsidP="00EE4B0A">
            <w:pPr>
              <w:pStyle w:val="Tablecontents"/>
              <w:rPr>
                <w:sz w:val="20"/>
                <w:szCs w:val="20"/>
              </w:rPr>
            </w:pPr>
            <w:r w:rsidRPr="00315E9C">
              <w:rPr>
                <w:sz w:val="20"/>
                <w:szCs w:val="20"/>
              </w:rPr>
              <w:t>No</w:t>
            </w:r>
          </w:p>
        </w:tc>
      </w:tr>
      <w:tr w:rsidR="00BF450F" w:rsidRPr="00315E9C" w14:paraId="347181E8"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02DC404B" w14:textId="77777777" w:rsidR="00BF450F" w:rsidRPr="00315E9C" w:rsidRDefault="00BF450F" w:rsidP="00EE4B0A">
            <w:pPr>
              <w:pStyle w:val="Tablecontents"/>
              <w:rPr>
                <w:sz w:val="20"/>
                <w:szCs w:val="20"/>
                <w:lang w:val="pt-PT"/>
              </w:rPr>
            </w:pPr>
            <w:r w:rsidRPr="00315E9C">
              <w:rPr>
                <w:sz w:val="20"/>
                <w:szCs w:val="20"/>
                <w:lang w:val="pt-PT"/>
              </w:rPr>
              <w:t>Panzyga</w:t>
            </w:r>
          </w:p>
        </w:tc>
        <w:tc>
          <w:tcPr>
            <w:tcW w:w="865" w:type="pct"/>
            <w:tcBorders>
              <w:top w:val="single" w:sz="4" w:space="0" w:color="auto"/>
              <w:left w:val="single" w:sz="4" w:space="0" w:color="auto"/>
              <w:bottom w:val="single" w:sz="4" w:space="0" w:color="auto"/>
              <w:right w:val="single" w:sz="4" w:space="0" w:color="auto"/>
            </w:tcBorders>
          </w:tcPr>
          <w:p w14:paraId="569B3EE2" w14:textId="77777777" w:rsidR="00BF450F" w:rsidRPr="00315E9C" w:rsidRDefault="00BF450F" w:rsidP="00EE4B0A">
            <w:pPr>
              <w:pStyle w:val="Tablecontents"/>
              <w:rPr>
                <w:sz w:val="20"/>
                <w:szCs w:val="20"/>
                <w:lang w:val="es-ES"/>
              </w:rPr>
            </w:pPr>
            <w:r w:rsidRPr="00315E9C">
              <w:rPr>
                <w:sz w:val="20"/>
                <w:szCs w:val="20"/>
                <w:lang w:val="pt-PT"/>
              </w:rPr>
              <w:t>Octaphama</w:t>
            </w:r>
          </w:p>
        </w:tc>
        <w:tc>
          <w:tcPr>
            <w:tcW w:w="1179" w:type="pct"/>
            <w:tcBorders>
              <w:top w:val="single" w:sz="4" w:space="0" w:color="auto"/>
              <w:left w:val="single" w:sz="4" w:space="0" w:color="auto"/>
              <w:bottom w:val="single" w:sz="4" w:space="0" w:color="auto"/>
              <w:right w:val="single" w:sz="4" w:space="0" w:color="auto"/>
            </w:tcBorders>
            <w:hideMark/>
          </w:tcPr>
          <w:p w14:paraId="1CC84271" w14:textId="77777777" w:rsidR="00BF450F" w:rsidRPr="00315E9C" w:rsidRDefault="00BF450F" w:rsidP="00EE4B0A">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49A9A777" w14:textId="77777777" w:rsidR="00BF450F" w:rsidRPr="00315E9C" w:rsidRDefault="006C4C89" w:rsidP="00EE4B0A">
            <w:pPr>
              <w:pStyle w:val="Tablecontents"/>
              <w:rPr>
                <w:sz w:val="20"/>
                <w:szCs w:val="20"/>
              </w:rPr>
            </w:pPr>
            <w:r w:rsidRPr="00315E9C">
              <w:rPr>
                <w:sz w:val="20"/>
                <w:szCs w:val="20"/>
              </w:rPr>
              <w:t>1g/10mL to 30g/300mL</w:t>
            </w:r>
          </w:p>
        </w:tc>
        <w:tc>
          <w:tcPr>
            <w:tcW w:w="601" w:type="pct"/>
            <w:tcBorders>
              <w:top w:val="single" w:sz="4" w:space="0" w:color="auto"/>
              <w:left w:val="single" w:sz="4" w:space="0" w:color="auto"/>
              <w:bottom w:val="single" w:sz="4" w:space="0" w:color="auto"/>
              <w:right w:val="single" w:sz="4" w:space="0" w:color="auto"/>
            </w:tcBorders>
            <w:hideMark/>
          </w:tcPr>
          <w:p w14:paraId="0C8A65D6" w14:textId="77777777" w:rsidR="00BF450F" w:rsidRPr="00315E9C" w:rsidRDefault="00BF450F" w:rsidP="00EE4B0A">
            <w:pPr>
              <w:pStyle w:val="Tablecontents"/>
              <w:rPr>
                <w:sz w:val="20"/>
                <w:szCs w:val="20"/>
              </w:rPr>
            </w:pPr>
            <w:r w:rsidRPr="00315E9C">
              <w:rPr>
                <w:sz w:val="20"/>
                <w:szCs w:val="20"/>
              </w:rPr>
              <w:t>No</w:t>
            </w:r>
          </w:p>
        </w:tc>
      </w:tr>
      <w:tr w:rsidR="00BF450F" w:rsidRPr="00315E9C" w14:paraId="6EC77514"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01917FD8" w14:textId="77777777" w:rsidR="00BF450F" w:rsidRPr="00315E9C" w:rsidRDefault="00BF450F" w:rsidP="00EE4B0A">
            <w:pPr>
              <w:pStyle w:val="Tablecontents"/>
              <w:rPr>
                <w:sz w:val="20"/>
                <w:szCs w:val="20"/>
                <w:lang w:val="it-IT"/>
              </w:rPr>
            </w:pPr>
            <w:r w:rsidRPr="00315E9C">
              <w:rPr>
                <w:sz w:val="20"/>
                <w:szCs w:val="20"/>
                <w:lang w:val="it-IT"/>
              </w:rPr>
              <w:t xml:space="preserve">Gamunex 10% </w:t>
            </w:r>
          </w:p>
        </w:tc>
        <w:tc>
          <w:tcPr>
            <w:tcW w:w="865" w:type="pct"/>
            <w:tcBorders>
              <w:top w:val="single" w:sz="4" w:space="0" w:color="auto"/>
              <w:left w:val="single" w:sz="4" w:space="0" w:color="auto"/>
              <w:bottom w:val="single" w:sz="4" w:space="0" w:color="auto"/>
              <w:right w:val="single" w:sz="4" w:space="0" w:color="auto"/>
            </w:tcBorders>
          </w:tcPr>
          <w:p w14:paraId="45E23DC9" w14:textId="77777777" w:rsidR="00BF450F" w:rsidRPr="00315E9C" w:rsidRDefault="00BF450F" w:rsidP="00EE4B0A">
            <w:pPr>
              <w:pStyle w:val="Tablecontents"/>
              <w:rPr>
                <w:sz w:val="20"/>
                <w:szCs w:val="20"/>
              </w:rPr>
            </w:pPr>
            <w:r w:rsidRPr="00315E9C">
              <w:rPr>
                <w:sz w:val="20"/>
                <w:szCs w:val="20"/>
                <w:lang w:val="it-IT"/>
              </w:rPr>
              <w:t>Grifols</w:t>
            </w:r>
          </w:p>
        </w:tc>
        <w:tc>
          <w:tcPr>
            <w:tcW w:w="1179" w:type="pct"/>
            <w:tcBorders>
              <w:top w:val="single" w:sz="4" w:space="0" w:color="auto"/>
              <w:left w:val="single" w:sz="4" w:space="0" w:color="auto"/>
              <w:bottom w:val="single" w:sz="4" w:space="0" w:color="auto"/>
              <w:right w:val="single" w:sz="4" w:space="0" w:color="auto"/>
            </w:tcBorders>
            <w:hideMark/>
          </w:tcPr>
          <w:p w14:paraId="13692A54" w14:textId="77777777" w:rsidR="00BF450F" w:rsidRPr="00315E9C" w:rsidRDefault="00BF450F" w:rsidP="00EE4B0A">
            <w:pPr>
              <w:pStyle w:val="Tablecontents"/>
              <w:rPr>
                <w:sz w:val="20"/>
                <w:szCs w:val="20"/>
              </w:rPr>
            </w:pPr>
            <w:r w:rsidRPr="00315E9C">
              <w:rPr>
                <w:sz w:val="20"/>
                <w:szCs w:val="20"/>
              </w:rPr>
              <w:t>IV and SC</w:t>
            </w:r>
          </w:p>
        </w:tc>
        <w:tc>
          <w:tcPr>
            <w:tcW w:w="1414" w:type="pct"/>
            <w:tcBorders>
              <w:top w:val="single" w:sz="4" w:space="0" w:color="auto"/>
              <w:left w:val="single" w:sz="4" w:space="0" w:color="auto"/>
              <w:bottom w:val="single" w:sz="4" w:space="0" w:color="auto"/>
              <w:right w:val="single" w:sz="4" w:space="0" w:color="auto"/>
            </w:tcBorders>
          </w:tcPr>
          <w:p w14:paraId="4489A372" w14:textId="77777777" w:rsidR="00BF450F" w:rsidRPr="00315E9C" w:rsidRDefault="004926A6" w:rsidP="00EE4B0A">
            <w:pPr>
              <w:pStyle w:val="Tablecontents"/>
              <w:rPr>
                <w:sz w:val="20"/>
                <w:szCs w:val="20"/>
              </w:rPr>
            </w:pPr>
            <w:r w:rsidRPr="00315E9C">
              <w:rPr>
                <w:sz w:val="20"/>
                <w:szCs w:val="20"/>
              </w:rPr>
              <w:t>1g/10mL to 20g/200mL</w:t>
            </w:r>
          </w:p>
        </w:tc>
        <w:tc>
          <w:tcPr>
            <w:tcW w:w="601" w:type="pct"/>
            <w:tcBorders>
              <w:top w:val="single" w:sz="4" w:space="0" w:color="auto"/>
              <w:left w:val="single" w:sz="4" w:space="0" w:color="auto"/>
              <w:bottom w:val="single" w:sz="4" w:space="0" w:color="auto"/>
              <w:right w:val="single" w:sz="4" w:space="0" w:color="auto"/>
            </w:tcBorders>
            <w:hideMark/>
          </w:tcPr>
          <w:p w14:paraId="6F501877" w14:textId="77777777" w:rsidR="00BF450F" w:rsidRPr="00315E9C" w:rsidRDefault="00BF450F" w:rsidP="00EE4B0A">
            <w:pPr>
              <w:pStyle w:val="Tablecontents"/>
              <w:rPr>
                <w:sz w:val="20"/>
                <w:szCs w:val="20"/>
              </w:rPr>
            </w:pPr>
            <w:r w:rsidRPr="00315E9C">
              <w:rPr>
                <w:sz w:val="20"/>
                <w:szCs w:val="20"/>
              </w:rPr>
              <w:t>No</w:t>
            </w:r>
          </w:p>
        </w:tc>
      </w:tr>
      <w:tr w:rsidR="00BF450F" w:rsidRPr="00315E9C" w14:paraId="6846C345"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74E3772D" w14:textId="77777777" w:rsidR="00BF450F" w:rsidRPr="00315E9C" w:rsidRDefault="00BF450F" w:rsidP="00EE4B0A">
            <w:pPr>
              <w:pStyle w:val="Tablecontents"/>
              <w:rPr>
                <w:sz w:val="20"/>
                <w:szCs w:val="20"/>
                <w:lang w:val="es-ES"/>
              </w:rPr>
            </w:pPr>
            <w:r w:rsidRPr="00315E9C">
              <w:rPr>
                <w:sz w:val="20"/>
                <w:szCs w:val="20"/>
                <w:lang w:val="es-ES"/>
              </w:rPr>
              <w:t xml:space="preserve">Hyqvia </w:t>
            </w:r>
          </w:p>
        </w:tc>
        <w:tc>
          <w:tcPr>
            <w:tcW w:w="865" w:type="pct"/>
            <w:tcBorders>
              <w:top w:val="single" w:sz="4" w:space="0" w:color="auto"/>
              <w:left w:val="single" w:sz="4" w:space="0" w:color="auto"/>
              <w:bottom w:val="single" w:sz="4" w:space="0" w:color="auto"/>
              <w:right w:val="single" w:sz="4" w:space="0" w:color="auto"/>
            </w:tcBorders>
          </w:tcPr>
          <w:p w14:paraId="555FDD60" w14:textId="77777777" w:rsidR="00BF450F" w:rsidRPr="00315E9C" w:rsidRDefault="00BF450F" w:rsidP="00EE4B0A">
            <w:pPr>
              <w:pStyle w:val="Tablecontents"/>
              <w:rPr>
                <w:sz w:val="20"/>
                <w:szCs w:val="20"/>
                <w:lang w:val="es-ES"/>
              </w:rPr>
            </w:pPr>
            <w:r w:rsidRPr="00315E9C">
              <w:rPr>
                <w:sz w:val="20"/>
                <w:szCs w:val="20"/>
                <w:lang w:val="es-ES"/>
              </w:rPr>
              <w:t>Shire</w:t>
            </w:r>
          </w:p>
        </w:tc>
        <w:tc>
          <w:tcPr>
            <w:tcW w:w="1179" w:type="pct"/>
            <w:tcBorders>
              <w:top w:val="single" w:sz="4" w:space="0" w:color="auto"/>
              <w:left w:val="single" w:sz="4" w:space="0" w:color="auto"/>
              <w:bottom w:val="single" w:sz="4" w:space="0" w:color="auto"/>
              <w:right w:val="single" w:sz="4" w:space="0" w:color="auto"/>
            </w:tcBorders>
            <w:hideMark/>
          </w:tcPr>
          <w:p w14:paraId="59BC9898" w14:textId="77777777" w:rsidR="00BF450F" w:rsidRPr="00315E9C" w:rsidRDefault="00BF450F" w:rsidP="00EE4B0A">
            <w:pPr>
              <w:pStyle w:val="Tablecontents"/>
              <w:rPr>
                <w:sz w:val="20"/>
                <w:szCs w:val="20"/>
              </w:rPr>
            </w:pPr>
            <w:r w:rsidRPr="00315E9C">
              <w:rPr>
                <w:sz w:val="20"/>
                <w:szCs w:val="20"/>
              </w:rPr>
              <w:t>SC</w:t>
            </w:r>
          </w:p>
        </w:tc>
        <w:tc>
          <w:tcPr>
            <w:tcW w:w="1414" w:type="pct"/>
            <w:tcBorders>
              <w:top w:val="single" w:sz="4" w:space="0" w:color="auto"/>
              <w:left w:val="single" w:sz="4" w:space="0" w:color="auto"/>
              <w:bottom w:val="single" w:sz="4" w:space="0" w:color="auto"/>
              <w:right w:val="single" w:sz="4" w:space="0" w:color="auto"/>
            </w:tcBorders>
          </w:tcPr>
          <w:p w14:paraId="3336EE90" w14:textId="77777777" w:rsidR="00BF450F" w:rsidRPr="00315E9C" w:rsidRDefault="00F45F89" w:rsidP="00EE4B0A">
            <w:pPr>
              <w:pStyle w:val="Tablecontents"/>
              <w:rPr>
                <w:sz w:val="20"/>
                <w:szCs w:val="20"/>
              </w:rPr>
            </w:pPr>
            <w:r w:rsidRPr="00315E9C">
              <w:rPr>
                <w:sz w:val="20"/>
                <w:szCs w:val="20"/>
              </w:rPr>
              <w:t>2.5g/25mL to 30g/300mL</w:t>
            </w:r>
          </w:p>
        </w:tc>
        <w:tc>
          <w:tcPr>
            <w:tcW w:w="601" w:type="pct"/>
            <w:tcBorders>
              <w:top w:val="single" w:sz="4" w:space="0" w:color="auto"/>
              <w:left w:val="single" w:sz="4" w:space="0" w:color="auto"/>
              <w:bottom w:val="single" w:sz="4" w:space="0" w:color="auto"/>
              <w:right w:val="single" w:sz="4" w:space="0" w:color="auto"/>
            </w:tcBorders>
            <w:hideMark/>
          </w:tcPr>
          <w:p w14:paraId="5D6AE101" w14:textId="77777777" w:rsidR="00BF450F" w:rsidRPr="00315E9C" w:rsidRDefault="00BF450F" w:rsidP="00EE4B0A">
            <w:pPr>
              <w:pStyle w:val="Tablecontents"/>
              <w:rPr>
                <w:sz w:val="20"/>
                <w:szCs w:val="20"/>
              </w:rPr>
            </w:pPr>
            <w:r w:rsidRPr="00315E9C">
              <w:rPr>
                <w:sz w:val="20"/>
                <w:szCs w:val="20"/>
              </w:rPr>
              <w:t>No</w:t>
            </w:r>
          </w:p>
        </w:tc>
      </w:tr>
      <w:tr w:rsidR="00BF450F" w:rsidRPr="00315E9C" w14:paraId="0A5C6B81"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7DBE1B15" w14:textId="77777777" w:rsidR="00BF450F" w:rsidRPr="00315E9C" w:rsidRDefault="00BF450F" w:rsidP="00CC65C5">
            <w:pPr>
              <w:pStyle w:val="Tablecontents"/>
              <w:rPr>
                <w:sz w:val="20"/>
                <w:szCs w:val="20"/>
                <w:lang w:val="pt-PT"/>
              </w:rPr>
            </w:pPr>
            <w:r w:rsidRPr="00315E9C">
              <w:rPr>
                <w:sz w:val="20"/>
                <w:szCs w:val="20"/>
                <w:lang w:val="pt-PT"/>
              </w:rPr>
              <w:t>Intratect</w:t>
            </w:r>
          </w:p>
        </w:tc>
        <w:tc>
          <w:tcPr>
            <w:tcW w:w="865" w:type="pct"/>
            <w:tcBorders>
              <w:top w:val="single" w:sz="4" w:space="0" w:color="auto"/>
              <w:left w:val="single" w:sz="4" w:space="0" w:color="auto"/>
              <w:bottom w:val="single" w:sz="4" w:space="0" w:color="auto"/>
              <w:right w:val="single" w:sz="4" w:space="0" w:color="auto"/>
            </w:tcBorders>
          </w:tcPr>
          <w:p w14:paraId="0121FFDA" w14:textId="77777777" w:rsidR="00BF450F" w:rsidRPr="00315E9C" w:rsidRDefault="00BF450F" w:rsidP="00CC65C5">
            <w:pPr>
              <w:pStyle w:val="Tablecontents"/>
              <w:rPr>
                <w:sz w:val="20"/>
                <w:szCs w:val="20"/>
              </w:rPr>
            </w:pPr>
            <w:r w:rsidRPr="00315E9C">
              <w:rPr>
                <w:sz w:val="20"/>
                <w:szCs w:val="20"/>
                <w:lang w:val="pt-PT"/>
              </w:rPr>
              <w:t>Pfizer</w:t>
            </w:r>
          </w:p>
        </w:tc>
        <w:tc>
          <w:tcPr>
            <w:tcW w:w="1179" w:type="pct"/>
            <w:tcBorders>
              <w:top w:val="single" w:sz="4" w:space="0" w:color="auto"/>
              <w:left w:val="single" w:sz="4" w:space="0" w:color="auto"/>
              <w:bottom w:val="single" w:sz="4" w:space="0" w:color="auto"/>
              <w:right w:val="single" w:sz="4" w:space="0" w:color="auto"/>
            </w:tcBorders>
            <w:hideMark/>
          </w:tcPr>
          <w:p w14:paraId="1060EE31" w14:textId="77777777" w:rsidR="00BF450F" w:rsidRPr="00315E9C" w:rsidRDefault="00BF450F" w:rsidP="00CC65C5">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719E96C8" w14:textId="77777777" w:rsidR="00BF450F" w:rsidRPr="00315E9C" w:rsidRDefault="00F45F89" w:rsidP="00CC65C5">
            <w:pPr>
              <w:pStyle w:val="Tablecontents"/>
              <w:rPr>
                <w:sz w:val="20"/>
                <w:szCs w:val="20"/>
              </w:rPr>
            </w:pPr>
            <w:r w:rsidRPr="00315E9C">
              <w:rPr>
                <w:sz w:val="20"/>
                <w:szCs w:val="20"/>
              </w:rPr>
              <w:t>1g/10mL to 20g/200mL</w:t>
            </w:r>
          </w:p>
        </w:tc>
        <w:tc>
          <w:tcPr>
            <w:tcW w:w="601" w:type="pct"/>
            <w:tcBorders>
              <w:top w:val="single" w:sz="4" w:space="0" w:color="auto"/>
              <w:left w:val="single" w:sz="4" w:space="0" w:color="auto"/>
              <w:bottom w:val="single" w:sz="4" w:space="0" w:color="auto"/>
              <w:right w:val="single" w:sz="4" w:space="0" w:color="auto"/>
            </w:tcBorders>
            <w:hideMark/>
          </w:tcPr>
          <w:p w14:paraId="6C0B58D9" w14:textId="77777777" w:rsidR="00BF450F" w:rsidRPr="00315E9C" w:rsidRDefault="00BF450F" w:rsidP="00CC65C5">
            <w:pPr>
              <w:pStyle w:val="Tablecontents"/>
              <w:rPr>
                <w:sz w:val="20"/>
                <w:szCs w:val="20"/>
              </w:rPr>
            </w:pPr>
            <w:r w:rsidRPr="00315E9C">
              <w:rPr>
                <w:sz w:val="20"/>
                <w:szCs w:val="20"/>
              </w:rPr>
              <w:t>No</w:t>
            </w:r>
          </w:p>
        </w:tc>
      </w:tr>
      <w:tr w:rsidR="00BF450F" w:rsidRPr="00315E9C" w14:paraId="2BD496C8"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1694F248" w14:textId="77777777" w:rsidR="00BF450F" w:rsidRPr="00315E9C" w:rsidRDefault="00BF450F" w:rsidP="00CC65C5">
            <w:pPr>
              <w:pStyle w:val="Tablecontents"/>
              <w:rPr>
                <w:sz w:val="20"/>
                <w:szCs w:val="20"/>
                <w:lang w:val="pt-PT"/>
              </w:rPr>
            </w:pPr>
            <w:r w:rsidRPr="00315E9C">
              <w:rPr>
                <w:sz w:val="20"/>
                <w:szCs w:val="20"/>
                <w:lang w:val="pt-PT"/>
              </w:rPr>
              <w:t xml:space="preserve">Intratect 5%  </w:t>
            </w:r>
          </w:p>
        </w:tc>
        <w:tc>
          <w:tcPr>
            <w:tcW w:w="865" w:type="pct"/>
            <w:tcBorders>
              <w:top w:val="single" w:sz="4" w:space="0" w:color="auto"/>
              <w:left w:val="single" w:sz="4" w:space="0" w:color="auto"/>
              <w:bottom w:val="single" w:sz="4" w:space="0" w:color="auto"/>
              <w:right w:val="single" w:sz="4" w:space="0" w:color="auto"/>
            </w:tcBorders>
          </w:tcPr>
          <w:p w14:paraId="6B1F7365" w14:textId="77777777" w:rsidR="00BF450F" w:rsidRPr="00315E9C" w:rsidRDefault="00BF450F" w:rsidP="00CC65C5">
            <w:pPr>
              <w:pStyle w:val="Tablecontents"/>
              <w:rPr>
                <w:sz w:val="20"/>
                <w:szCs w:val="20"/>
              </w:rPr>
            </w:pPr>
            <w:r w:rsidRPr="00315E9C">
              <w:rPr>
                <w:sz w:val="20"/>
                <w:szCs w:val="20"/>
                <w:lang w:val="pt-PT"/>
              </w:rPr>
              <w:t>Pfizer</w:t>
            </w:r>
          </w:p>
        </w:tc>
        <w:tc>
          <w:tcPr>
            <w:tcW w:w="1179" w:type="pct"/>
            <w:tcBorders>
              <w:top w:val="single" w:sz="4" w:space="0" w:color="auto"/>
              <w:left w:val="single" w:sz="4" w:space="0" w:color="auto"/>
              <w:bottom w:val="single" w:sz="4" w:space="0" w:color="auto"/>
              <w:right w:val="single" w:sz="4" w:space="0" w:color="auto"/>
            </w:tcBorders>
            <w:hideMark/>
          </w:tcPr>
          <w:p w14:paraId="309ACF38" w14:textId="77777777" w:rsidR="00BF450F" w:rsidRPr="00315E9C" w:rsidRDefault="00BF450F" w:rsidP="00CC65C5">
            <w:pPr>
              <w:pStyle w:val="Tablecontents"/>
              <w:rPr>
                <w:sz w:val="20"/>
                <w:szCs w:val="20"/>
              </w:rPr>
            </w:pPr>
            <w:r w:rsidRPr="00315E9C">
              <w:rPr>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3E0C75FB" w14:textId="77777777" w:rsidR="00BF450F" w:rsidRPr="00315E9C" w:rsidRDefault="00F45F89" w:rsidP="00CC65C5">
            <w:pPr>
              <w:pStyle w:val="Tablecontents"/>
              <w:rPr>
                <w:sz w:val="20"/>
                <w:szCs w:val="20"/>
              </w:rPr>
            </w:pPr>
            <w:r w:rsidRPr="00315E9C">
              <w:rPr>
                <w:sz w:val="20"/>
                <w:szCs w:val="20"/>
              </w:rPr>
              <w:t>1g/20mL to 10g/200mL</w:t>
            </w:r>
          </w:p>
        </w:tc>
        <w:tc>
          <w:tcPr>
            <w:tcW w:w="601" w:type="pct"/>
            <w:tcBorders>
              <w:top w:val="single" w:sz="4" w:space="0" w:color="auto"/>
              <w:left w:val="single" w:sz="4" w:space="0" w:color="auto"/>
              <w:bottom w:val="single" w:sz="4" w:space="0" w:color="auto"/>
              <w:right w:val="single" w:sz="4" w:space="0" w:color="auto"/>
            </w:tcBorders>
            <w:hideMark/>
          </w:tcPr>
          <w:p w14:paraId="7F16E177" w14:textId="77777777" w:rsidR="00BF450F" w:rsidRPr="00315E9C" w:rsidRDefault="00BF450F" w:rsidP="00CC65C5">
            <w:pPr>
              <w:pStyle w:val="Tablecontents"/>
              <w:rPr>
                <w:sz w:val="20"/>
                <w:szCs w:val="20"/>
              </w:rPr>
            </w:pPr>
            <w:r w:rsidRPr="00315E9C">
              <w:rPr>
                <w:sz w:val="20"/>
                <w:szCs w:val="20"/>
              </w:rPr>
              <w:t>No</w:t>
            </w:r>
          </w:p>
        </w:tc>
      </w:tr>
      <w:tr w:rsidR="00BF450F" w:rsidRPr="00315E9C" w14:paraId="5D5450F3" w14:textId="77777777" w:rsidTr="00F726C5">
        <w:tc>
          <w:tcPr>
            <w:tcW w:w="941" w:type="pct"/>
            <w:tcBorders>
              <w:top w:val="single" w:sz="4" w:space="0" w:color="auto"/>
              <w:left w:val="single" w:sz="4" w:space="0" w:color="auto"/>
              <w:bottom w:val="single" w:sz="4" w:space="0" w:color="auto"/>
              <w:right w:val="single" w:sz="4" w:space="0" w:color="auto"/>
            </w:tcBorders>
            <w:hideMark/>
          </w:tcPr>
          <w:p w14:paraId="15A93693" w14:textId="77777777" w:rsidR="00BF450F" w:rsidRPr="00315E9C" w:rsidRDefault="00BF450F" w:rsidP="00CC65C5">
            <w:pPr>
              <w:pStyle w:val="Tablecontents"/>
              <w:rPr>
                <w:sz w:val="20"/>
                <w:szCs w:val="20"/>
                <w:lang w:val="es-ES"/>
              </w:rPr>
            </w:pPr>
            <w:r w:rsidRPr="00315E9C">
              <w:rPr>
                <w:sz w:val="20"/>
                <w:szCs w:val="20"/>
                <w:lang w:val="es-ES"/>
              </w:rPr>
              <w:t xml:space="preserve">Kiovig </w:t>
            </w:r>
          </w:p>
        </w:tc>
        <w:tc>
          <w:tcPr>
            <w:tcW w:w="865" w:type="pct"/>
            <w:tcBorders>
              <w:top w:val="single" w:sz="4" w:space="0" w:color="auto"/>
              <w:left w:val="single" w:sz="4" w:space="0" w:color="auto"/>
              <w:bottom w:val="single" w:sz="4" w:space="0" w:color="auto"/>
              <w:right w:val="single" w:sz="4" w:space="0" w:color="auto"/>
            </w:tcBorders>
          </w:tcPr>
          <w:p w14:paraId="179F568F" w14:textId="77777777" w:rsidR="00BF450F" w:rsidRPr="00315E9C" w:rsidRDefault="00BF450F" w:rsidP="00CC65C5">
            <w:pPr>
              <w:pStyle w:val="Tablecontents"/>
              <w:rPr>
                <w:sz w:val="20"/>
                <w:szCs w:val="20"/>
                <w:lang w:val="es-ES"/>
              </w:rPr>
            </w:pPr>
            <w:r w:rsidRPr="00315E9C">
              <w:rPr>
                <w:sz w:val="20"/>
                <w:szCs w:val="20"/>
                <w:lang w:val="es-ES"/>
              </w:rPr>
              <w:t>Shire</w:t>
            </w:r>
          </w:p>
        </w:tc>
        <w:tc>
          <w:tcPr>
            <w:tcW w:w="1179" w:type="pct"/>
            <w:tcBorders>
              <w:top w:val="single" w:sz="4" w:space="0" w:color="auto"/>
              <w:left w:val="single" w:sz="4" w:space="0" w:color="auto"/>
              <w:bottom w:val="single" w:sz="4" w:space="0" w:color="auto"/>
              <w:right w:val="single" w:sz="4" w:space="0" w:color="auto"/>
            </w:tcBorders>
            <w:hideMark/>
          </w:tcPr>
          <w:p w14:paraId="56C8656B" w14:textId="77777777" w:rsidR="00BF450F" w:rsidRPr="00315E9C" w:rsidRDefault="00BF450F" w:rsidP="00CC65C5">
            <w:pPr>
              <w:pStyle w:val="Tablecontents"/>
              <w:rPr>
                <w:sz w:val="20"/>
                <w:szCs w:val="20"/>
              </w:rPr>
            </w:pPr>
            <w:r w:rsidRPr="00315E9C">
              <w:rPr>
                <w:sz w:val="20"/>
                <w:szCs w:val="20"/>
              </w:rPr>
              <w:t>IV and SC</w:t>
            </w:r>
          </w:p>
        </w:tc>
        <w:tc>
          <w:tcPr>
            <w:tcW w:w="1414" w:type="pct"/>
            <w:tcBorders>
              <w:top w:val="single" w:sz="4" w:space="0" w:color="auto"/>
              <w:left w:val="single" w:sz="4" w:space="0" w:color="auto"/>
              <w:bottom w:val="single" w:sz="4" w:space="0" w:color="auto"/>
              <w:right w:val="single" w:sz="4" w:space="0" w:color="auto"/>
            </w:tcBorders>
          </w:tcPr>
          <w:p w14:paraId="60E79FEC" w14:textId="77777777" w:rsidR="00BF450F" w:rsidRPr="00315E9C" w:rsidRDefault="00F45F89" w:rsidP="00CC65C5">
            <w:pPr>
              <w:pStyle w:val="Tablecontents"/>
              <w:rPr>
                <w:sz w:val="20"/>
                <w:szCs w:val="20"/>
              </w:rPr>
            </w:pPr>
            <w:r w:rsidRPr="00315E9C">
              <w:rPr>
                <w:sz w:val="20"/>
                <w:szCs w:val="20"/>
              </w:rPr>
              <w:t>1g/10mL to 20g/200mL</w:t>
            </w:r>
          </w:p>
        </w:tc>
        <w:tc>
          <w:tcPr>
            <w:tcW w:w="601" w:type="pct"/>
            <w:tcBorders>
              <w:top w:val="single" w:sz="4" w:space="0" w:color="auto"/>
              <w:left w:val="single" w:sz="4" w:space="0" w:color="auto"/>
              <w:bottom w:val="single" w:sz="4" w:space="0" w:color="auto"/>
              <w:right w:val="single" w:sz="4" w:space="0" w:color="auto"/>
            </w:tcBorders>
            <w:hideMark/>
          </w:tcPr>
          <w:p w14:paraId="30EF09B6" w14:textId="77777777" w:rsidR="00BF450F" w:rsidRPr="00315E9C" w:rsidRDefault="00BF450F" w:rsidP="00CC65C5">
            <w:pPr>
              <w:pStyle w:val="Tablecontents"/>
              <w:rPr>
                <w:sz w:val="20"/>
                <w:szCs w:val="20"/>
              </w:rPr>
            </w:pPr>
            <w:r w:rsidRPr="00315E9C">
              <w:rPr>
                <w:sz w:val="20"/>
                <w:szCs w:val="20"/>
              </w:rPr>
              <w:t>No</w:t>
            </w:r>
          </w:p>
        </w:tc>
      </w:tr>
      <w:tr w:rsidR="00F726C5" w:rsidRPr="00315E9C" w14:paraId="2BBC8B02" w14:textId="77777777" w:rsidTr="00F726C5">
        <w:tc>
          <w:tcPr>
            <w:tcW w:w="941" w:type="pct"/>
            <w:tcBorders>
              <w:top w:val="single" w:sz="4" w:space="0" w:color="auto"/>
              <w:left w:val="single" w:sz="4" w:space="0" w:color="auto"/>
              <w:bottom w:val="single" w:sz="4" w:space="0" w:color="auto"/>
              <w:right w:val="single" w:sz="4" w:space="0" w:color="auto"/>
            </w:tcBorders>
          </w:tcPr>
          <w:p w14:paraId="06B25F36" w14:textId="77777777" w:rsidR="00F726C5" w:rsidRPr="00315E9C" w:rsidRDefault="00F726C5" w:rsidP="00CC65C5">
            <w:pPr>
              <w:pStyle w:val="Tablecontents"/>
              <w:rPr>
                <w:i/>
                <w:iCs/>
                <w:sz w:val="20"/>
                <w:szCs w:val="20"/>
                <w:lang w:val="es-ES"/>
              </w:rPr>
            </w:pPr>
            <w:r w:rsidRPr="00315E9C">
              <w:rPr>
                <w:i/>
                <w:iCs/>
                <w:sz w:val="20"/>
                <w:szCs w:val="20"/>
                <w:lang w:val="es-ES"/>
              </w:rPr>
              <w:t>Oct</w:t>
            </w:r>
            <w:r w:rsidR="00F45F89" w:rsidRPr="00315E9C">
              <w:rPr>
                <w:i/>
                <w:iCs/>
                <w:sz w:val="20"/>
                <w:szCs w:val="20"/>
                <w:lang w:val="es-ES"/>
              </w:rPr>
              <w:t>a</w:t>
            </w:r>
            <w:r w:rsidRPr="00315E9C">
              <w:rPr>
                <w:i/>
                <w:iCs/>
                <w:sz w:val="20"/>
                <w:szCs w:val="20"/>
                <w:lang w:val="es-ES"/>
              </w:rPr>
              <w:t>gam</w:t>
            </w:r>
            <w:r w:rsidR="0083660B" w:rsidRPr="00315E9C">
              <w:rPr>
                <w:i/>
                <w:iCs/>
                <w:sz w:val="20"/>
                <w:szCs w:val="20"/>
                <w:lang w:val="es-ES"/>
              </w:rPr>
              <w:t>**</w:t>
            </w:r>
            <w:r w:rsidRPr="00315E9C">
              <w:rPr>
                <w:i/>
                <w:iCs/>
                <w:sz w:val="20"/>
                <w:szCs w:val="20"/>
                <w:lang w:val="es-ES"/>
              </w:rPr>
              <w:t xml:space="preserve"> </w:t>
            </w:r>
          </w:p>
        </w:tc>
        <w:tc>
          <w:tcPr>
            <w:tcW w:w="865" w:type="pct"/>
            <w:tcBorders>
              <w:top w:val="single" w:sz="4" w:space="0" w:color="auto"/>
              <w:left w:val="single" w:sz="4" w:space="0" w:color="auto"/>
              <w:bottom w:val="single" w:sz="4" w:space="0" w:color="auto"/>
              <w:right w:val="single" w:sz="4" w:space="0" w:color="auto"/>
            </w:tcBorders>
          </w:tcPr>
          <w:p w14:paraId="03FB416F" w14:textId="77777777" w:rsidR="00F726C5" w:rsidRPr="00315E9C" w:rsidRDefault="00F726C5" w:rsidP="00CC65C5">
            <w:pPr>
              <w:pStyle w:val="Tablecontents"/>
              <w:rPr>
                <w:i/>
                <w:iCs/>
                <w:sz w:val="20"/>
                <w:szCs w:val="20"/>
                <w:lang w:val="es-ES"/>
              </w:rPr>
            </w:pPr>
            <w:r w:rsidRPr="00315E9C">
              <w:rPr>
                <w:i/>
                <w:iCs/>
                <w:sz w:val="20"/>
                <w:szCs w:val="20"/>
                <w:lang w:val="es-ES"/>
              </w:rPr>
              <w:t>Octapharma</w:t>
            </w:r>
          </w:p>
        </w:tc>
        <w:tc>
          <w:tcPr>
            <w:tcW w:w="1179" w:type="pct"/>
            <w:tcBorders>
              <w:top w:val="single" w:sz="4" w:space="0" w:color="auto"/>
              <w:left w:val="single" w:sz="4" w:space="0" w:color="auto"/>
              <w:bottom w:val="single" w:sz="4" w:space="0" w:color="auto"/>
              <w:right w:val="single" w:sz="4" w:space="0" w:color="auto"/>
            </w:tcBorders>
          </w:tcPr>
          <w:p w14:paraId="5909F63F" w14:textId="77777777" w:rsidR="00F726C5" w:rsidRPr="00315E9C" w:rsidRDefault="00F726C5" w:rsidP="00CC65C5">
            <w:pPr>
              <w:pStyle w:val="Tablecontents"/>
              <w:rPr>
                <w:i/>
                <w:iCs/>
                <w:sz w:val="20"/>
                <w:szCs w:val="20"/>
              </w:rPr>
            </w:pPr>
            <w:r w:rsidRPr="00315E9C">
              <w:rPr>
                <w:i/>
                <w:iCs/>
                <w:sz w:val="20"/>
                <w:szCs w:val="20"/>
              </w:rPr>
              <w:t>IV</w:t>
            </w:r>
          </w:p>
        </w:tc>
        <w:tc>
          <w:tcPr>
            <w:tcW w:w="1414" w:type="pct"/>
            <w:tcBorders>
              <w:top w:val="single" w:sz="4" w:space="0" w:color="auto"/>
              <w:left w:val="single" w:sz="4" w:space="0" w:color="auto"/>
              <w:bottom w:val="single" w:sz="4" w:space="0" w:color="auto"/>
              <w:right w:val="single" w:sz="4" w:space="0" w:color="auto"/>
            </w:tcBorders>
          </w:tcPr>
          <w:p w14:paraId="6E38AE31" w14:textId="77777777" w:rsidR="00F726C5" w:rsidRPr="00315E9C" w:rsidRDefault="0083660B" w:rsidP="00CC65C5">
            <w:pPr>
              <w:pStyle w:val="Tablecontents"/>
              <w:rPr>
                <w:i/>
                <w:iCs/>
                <w:sz w:val="20"/>
                <w:szCs w:val="20"/>
              </w:rPr>
            </w:pPr>
            <w:r w:rsidRPr="00315E9C">
              <w:rPr>
                <w:i/>
                <w:iCs/>
                <w:sz w:val="20"/>
                <w:szCs w:val="20"/>
              </w:rPr>
              <w:t>1g/20mL to 20g/mL</w:t>
            </w:r>
          </w:p>
        </w:tc>
        <w:tc>
          <w:tcPr>
            <w:tcW w:w="601" w:type="pct"/>
            <w:tcBorders>
              <w:top w:val="single" w:sz="4" w:space="0" w:color="auto"/>
              <w:left w:val="single" w:sz="4" w:space="0" w:color="auto"/>
              <w:bottom w:val="single" w:sz="4" w:space="0" w:color="auto"/>
              <w:right w:val="single" w:sz="4" w:space="0" w:color="auto"/>
            </w:tcBorders>
          </w:tcPr>
          <w:p w14:paraId="0F7F8FCE" w14:textId="77777777" w:rsidR="00F726C5" w:rsidRPr="00315E9C" w:rsidRDefault="00F726C5" w:rsidP="00CC65C5">
            <w:pPr>
              <w:pStyle w:val="Tablecontents"/>
              <w:rPr>
                <w:i/>
                <w:iCs/>
                <w:sz w:val="20"/>
                <w:szCs w:val="20"/>
              </w:rPr>
            </w:pPr>
            <w:r w:rsidRPr="00315E9C">
              <w:rPr>
                <w:i/>
                <w:iCs/>
                <w:sz w:val="20"/>
                <w:szCs w:val="20"/>
              </w:rPr>
              <w:t>No</w:t>
            </w:r>
          </w:p>
        </w:tc>
      </w:tr>
      <w:tr w:rsidR="00AB71EE" w:rsidRPr="00315E9C" w14:paraId="2D926913" w14:textId="77777777" w:rsidTr="00F726C5">
        <w:tc>
          <w:tcPr>
            <w:tcW w:w="941" w:type="pct"/>
            <w:tcBorders>
              <w:top w:val="single" w:sz="4" w:space="0" w:color="auto"/>
              <w:left w:val="single" w:sz="4" w:space="0" w:color="auto"/>
              <w:bottom w:val="single" w:sz="4" w:space="0" w:color="auto"/>
              <w:right w:val="single" w:sz="4" w:space="0" w:color="auto"/>
            </w:tcBorders>
          </w:tcPr>
          <w:p w14:paraId="7B2D95E7" w14:textId="77777777" w:rsidR="00AB71EE" w:rsidRPr="00315E9C" w:rsidRDefault="00AB71EE" w:rsidP="00CC65C5">
            <w:pPr>
              <w:pStyle w:val="Tablecontents"/>
              <w:rPr>
                <w:i/>
                <w:iCs/>
                <w:sz w:val="20"/>
                <w:szCs w:val="20"/>
                <w:lang w:val="es-ES"/>
              </w:rPr>
            </w:pPr>
            <w:r w:rsidRPr="00315E9C">
              <w:rPr>
                <w:i/>
                <w:iCs/>
                <w:sz w:val="20"/>
                <w:szCs w:val="20"/>
                <w:lang w:val="es-ES"/>
              </w:rPr>
              <w:t xml:space="preserve">Gammanorm </w:t>
            </w:r>
          </w:p>
        </w:tc>
        <w:tc>
          <w:tcPr>
            <w:tcW w:w="865" w:type="pct"/>
            <w:tcBorders>
              <w:top w:val="single" w:sz="4" w:space="0" w:color="auto"/>
              <w:left w:val="single" w:sz="4" w:space="0" w:color="auto"/>
              <w:bottom w:val="single" w:sz="4" w:space="0" w:color="auto"/>
              <w:right w:val="single" w:sz="4" w:space="0" w:color="auto"/>
            </w:tcBorders>
          </w:tcPr>
          <w:p w14:paraId="1EDCB861" w14:textId="3951600E" w:rsidR="00AB71EE" w:rsidRPr="00315E9C" w:rsidRDefault="00AB71EE" w:rsidP="00CC65C5">
            <w:pPr>
              <w:pStyle w:val="Tablecontents"/>
              <w:rPr>
                <w:i/>
                <w:iCs/>
                <w:sz w:val="20"/>
                <w:szCs w:val="20"/>
                <w:lang w:val="es-ES"/>
              </w:rPr>
            </w:pPr>
            <w:r w:rsidRPr="00315E9C">
              <w:rPr>
                <w:i/>
                <w:iCs/>
                <w:sz w:val="20"/>
                <w:szCs w:val="20"/>
                <w:lang w:val="es-ES"/>
              </w:rPr>
              <w:t>Octapharm</w:t>
            </w:r>
            <w:r w:rsidR="00315E9C">
              <w:rPr>
                <w:i/>
                <w:iCs/>
                <w:sz w:val="20"/>
                <w:szCs w:val="20"/>
                <w:lang w:val="es-ES"/>
              </w:rPr>
              <w:t>a</w:t>
            </w:r>
          </w:p>
        </w:tc>
        <w:tc>
          <w:tcPr>
            <w:tcW w:w="1179" w:type="pct"/>
            <w:tcBorders>
              <w:top w:val="single" w:sz="4" w:space="0" w:color="auto"/>
              <w:left w:val="single" w:sz="4" w:space="0" w:color="auto"/>
              <w:bottom w:val="single" w:sz="4" w:space="0" w:color="auto"/>
              <w:right w:val="single" w:sz="4" w:space="0" w:color="auto"/>
            </w:tcBorders>
          </w:tcPr>
          <w:p w14:paraId="149A25A7" w14:textId="77777777" w:rsidR="00AB71EE" w:rsidRPr="00315E9C" w:rsidRDefault="00AB71EE" w:rsidP="00CC65C5">
            <w:pPr>
              <w:pStyle w:val="Tablecontents"/>
              <w:rPr>
                <w:i/>
                <w:iCs/>
                <w:sz w:val="20"/>
                <w:szCs w:val="20"/>
              </w:rPr>
            </w:pPr>
            <w:r w:rsidRPr="00315E9C">
              <w:rPr>
                <w:i/>
                <w:iCs/>
                <w:sz w:val="20"/>
                <w:szCs w:val="20"/>
              </w:rPr>
              <w:t>SC</w:t>
            </w:r>
          </w:p>
        </w:tc>
        <w:tc>
          <w:tcPr>
            <w:tcW w:w="1414" w:type="pct"/>
            <w:tcBorders>
              <w:top w:val="single" w:sz="4" w:space="0" w:color="auto"/>
              <w:left w:val="single" w:sz="4" w:space="0" w:color="auto"/>
              <w:bottom w:val="single" w:sz="4" w:space="0" w:color="auto"/>
              <w:right w:val="single" w:sz="4" w:space="0" w:color="auto"/>
            </w:tcBorders>
          </w:tcPr>
          <w:p w14:paraId="78A324EC" w14:textId="77777777" w:rsidR="00AB71EE" w:rsidRPr="00315E9C" w:rsidRDefault="00AB71EE" w:rsidP="00CC65C5">
            <w:pPr>
              <w:pStyle w:val="Tablecontents"/>
              <w:rPr>
                <w:i/>
                <w:iCs/>
                <w:sz w:val="20"/>
                <w:szCs w:val="20"/>
              </w:rPr>
            </w:pPr>
            <w:r w:rsidRPr="00315E9C">
              <w:rPr>
                <w:i/>
                <w:iCs/>
                <w:sz w:val="20"/>
                <w:szCs w:val="20"/>
              </w:rPr>
              <w:t>1</w:t>
            </w:r>
            <w:r w:rsidR="0083660B" w:rsidRPr="00315E9C">
              <w:rPr>
                <w:i/>
                <w:iCs/>
                <w:sz w:val="20"/>
                <w:szCs w:val="20"/>
              </w:rPr>
              <w:t>.</w:t>
            </w:r>
            <w:r w:rsidRPr="00315E9C">
              <w:rPr>
                <w:i/>
                <w:iCs/>
                <w:sz w:val="20"/>
                <w:szCs w:val="20"/>
              </w:rPr>
              <w:t>65</w:t>
            </w:r>
            <w:r w:rsidR="0083660B" w:rsidRPr="00315E9C">
              <w:rPr>
                <w:i/>
                <w:iCs/>
                <w:sz w:val="20"/>
                <w:szCs w:val="20"/>
              </w:rPr>
              <w:t>g</w:t>
            </w:r>
            <w:r w:rsidRPr="00315E9C">
              <w:rPr>
                <w:i/>
                <w:iCs/>
                <w:sz w:val="20"/>
                <w:szCs w:val="20"/>
              </w:rPr>
              <w:t>/10mL or 3</w:t>
            </w:r>
            <w:r w:rsidR="0083660B" w:rsidRPr="00315E9C">
              <w:rPr>
                <w:i/>
                <w:iCs/>
                <w:sz w:val="20"/>
                <w:szCs w:val="20"/>
              </w:rPr>
              <w:t>.</w:t>
            </w:r>
            <w:r w:rsidRPr="00315E9C">
              <w:rPr>
                <w:i/>
                <w:iCs/>
                <w:sz w:val="20"/>
                <w:szCs w:val="20"/>
              </w:rPr>
              <w:t>3g/20mL</w:t>
            </w:r>
          </w:p>
        </w:tc>
        <w:tc>
          <w:tcPr>
            <w:tcW w:w="601" w:type="pct"/>
            <w:tcBorders>
              <w:top w:val="single" w:sz="4" w:space="0" w:color="auto"/>
              <w:left w:val="single" w:sz="4" w:space="0" w:color="auto"/>
              <w:bottom w:val="single" w:sz="4" w:space="0" w:color="auto"/>
              <w:right w:val="single" w:sz="4" w:space="0" w:color="auto"/>
            </w:tcBorders>
          </w:tcPr>
          <w:p w14:paraId="25CC66D9" w14:textId="77777777" w:rsidR="00AB71EE" w:rsidRPr="00315E9C" w:rsidRDefault="0083660B" w:rsidP="00CC65C5">
            <w:pPr>
              <w:pStyle w:val="Tablecontents"/>
              <w:rPr>
                <w:i/>
                <w:iCs/>
                <w:sz w:val="20"/>
                <w:szCs w:val="20"/>
              </w:rPr>
            </w:pPr>
            <w:r w:rsidRPr="00315E9C">
              <w:rPr>
                <w:i/>
                <w:iCs/>
                <w:sz w:val="20"/>
                <w:szCs w:val="20"/>
              </w:rPr>
              <w:t>No</w:t>
            </w:r>
          </w:p>
        </w:tc>
      </w:tr>
    </w:tbl>
    <w:p w14:paraId="64D5DA5D" w14:textId="067BFAD5" w:rsidR="00EE4B0A" w:rsidRPr="00315E9C" w:rsidRDefault="00EE4B0A" w:rsidP="000A3DB7">
      <w:pPr>
        <w:pStyle w:val="ListParagraph"/>
        <w:spacing w:after="0" w:line="240" w:lineRule="auto"/>
        <w:ind w:left="0"/>
        <w:rPr>
          <w:sz w:val="16"/>
          <w:szCs w:val="20"/>
        </w:rPr>
      </w:pPr>
      <w:r w:rsidRPr="00315E9C">
        <w:rPr>
          <w:sz w:val="16"/>
          <w:szCs w:val="20"/>
        </w:rPr>
        <w:t xml:space="preserve">* Indicates that Ig is currently funded for secondary hypogammaglobulinaemia under the National Blood Arrangements.  Note that tendering arrangements may change products funded in the future. The current </w:t>
      </w:r>
      <w:hyperlink r:id="rId11" w:history="1">
        <w:r w:rsidRPr="00C16343">
          <w:rPr>
            <w:rStyle w:val="Hyperlink"/>
            <w:sz w:val="16"/>
            <w:szCs w:val="20"/>
          </w:rPr>
          <w:t>National Product List</w:t>
        </w:r>
      </w:hyperlink>
      <w:r w:rsidR="00C16343">
        <w:rPr>
          <w:sz w:val="16"/>
          <w:szCs w:val="20"/>
        </w:rPr>
        <w:t xml:space="preserve"> with suppliers and prices</w:t>
      </w:r>
      <w:r w:rsidRPr="00315E9C">
        <w:rPr>
          <w:sz w:val="16"/>
          <w:szCs w:val="20"/>
        </w:rPr>
        <w:t xml:space="preserve">. </w:t>
      </w:r>
    </w:p>
    <w:p w14:paraId="7B27012A" w14:textId="5FCB9B18" w:rsidR="0083660B" w:rsidRPr="00315E9C" w:rsidRDefault="0083660B" w:rsidP="000A3DB7">
      <w:pPr>
        <w:pStyle w:val="ListParagraph"/>
        <w:spacing w:after="0" w:line="240" w:lineRule="auto"/>
        <w:ind w:left="0"/>
        <w:rPr>
          <w:sz w:val="16"/>
          <w:szCs w:val="20"/>
        </w:rPr>
      </w:pPr>
      <w:r w:rsidRPr="00315E9C">
        <w:rPr>
          <w:sz w:val="16"/>
          <w:szCs w:val="20"/>
          <w:vertAlign w:val="superscript"/>
        </w:rPr>
        <w:t xml:space="preserve">**  </w:t>
      </w:r>
      <w:r w:rsidRPr="00315E9C">
        <w:rPr>
          <w:sz w:val="16"/>
          <w:szCs w:val="20"/>
        </w:rPr>
        <w:t xml:space="preserve"> In September 2010, Octapharma Australia Pty Ltd conducted a voluntary recall of all batches of Octagam 5% and 10%. This recall was initiated after an increased incidence of thromboembolic complications associated with the use of this product in Europe and the USA. The TGA allowed the </w:t>
      </w:r>
      <w:hyperlink r:id="rId12" w:history="1">
        <w:r w:rsidRPr="00C16343">
          <w:rPr>
            <w:rStyle w:val="Hyperlink"/>
            <w:sz w:val="16"/>
            <w:szCs w:val="20"/>
          </w:rPr>
          <w:t>resupply in Australia of Octagam 5%</w:t>
        </w:r>
      </w:hyperlink>
      <w:r w:rsidRPr="00315E9C">
        <w:rPr>
          <w:sz w:val="16"/>
          <w:szCs w:val="20"/>
        </w:rPr>
        <w:t xml:space="preserve"> since 8 August 2011 and is implementing ad</w:t>
      </w:r>
      <w:r w:rsidR="00C16343">
        <w:rPr>
          <w:sz w:val="16"/>
          <w:szCs w:val="20"/>
        </w:rPr>
        <w:t>ditional monitoring activities</w:t>
      </w:r>
      <w:r w:rsidRPr="00315E9C">
        <w:rPr>
          <w:sz w:val="16"/>
          <w:szCs w:val="20"/>
        </w:rPr>
        <w:t>.</w:t>
      </w:r>
    </w:p>
    <w:p w14:paraId="2264B13B" w14:textId="02E7B656" w:rsidR="00EE4B0A" w:rsidRPr="00315E9C" w:rsidRDefault="00EE4B0A" w:rsidP="00EE4B0A">
      <w:pPr>
        <w:pStyle w:val="ListParagraph"/>
        <w:spacing w:after="0"/>
        <w:ind w:left="0"/>
        <w:rPr>
          <w:sz w:val="16"/>
          <w:szCs w:val="20"/>
          <w:lang w:val="fr-FR"/>
        </w:rPr>
      </w:pPr>
      <w:r w:rsidRPr="00315E9C">
        <w:rPr>
          <w:sz w:val="16"/>
          <w:szCs w:val="20"/>
          <w:lang w:val="fr-FR"/>
        </w:rPr>
        <w:t>IV – intravenous</w:t>
      </w:r>
      <w:r w:rsidR="000A3DB7" w:rsidRPr="00315E9C">
        <w:rPr>
          <w:sz w:val="16"/>
          <w:szCs w:val="20"/>
          <w:lang w:val="fr-FR"/>
        </w:rPr>
        <w:t xml:space="preserve">, </w:t>
      </w:r>
      <w:r w:rsidRPr="00315E9C">
        <w:rPr>
          <w:sz w:val="16"/>
          <w:szCs w:val="20"/>
          <w:lang w:val="fr-FR"/>
        </w:rPr>
        <w:t>SC – subcutaneous</w:t>
      </w:r>
      <w:r w:rsidR="000A3DB7" w:rsidRPr="00315E9C">
        <w:rPr>
          <w:sz w:val="16"/>
          <w:szCs w:val="20"/>
          <w:lang w:val="fr-FR"/>
        </w:rPr>
        <w:t xml:space="preserve">, </w:t>
      </w:r>
      <w:r w:rsidRPr="00315E9C">
        <w:rPr>
          <w:sz w:val="16"/>
          <w:szCs w:val="20"/>
          <w:lang w:val="fr-FR"/>
        </w:rPr>
        <w:t xml:space="preserve">IM – intramuscular </w:t>
      </w:r>
    </w:p>
    <w:p w14:paraId="0E4AAE47" w14:textId="07B3F770" w:rsidR="00352C4E" w:rsidRPr="00315E9C" w:rsidRDefault="00352C4E" w:rsidP="00EE4B0A">
      <w:pPr>
        <w:pStyle w:val="ListParagraph"/>
        <w:spacing w:after="0"/>
        <w:ind w:left="0"/>
        <w:rPr>
          <w:sz w:val="16"/>
          <w:szCs w:val="20"/>
        </w:rPr>
      </w:pPr>
      <w:r w:rsidRPr="00315E9C">
        <w:rPr>
          <w:sz w:val="16"/>
          <w:szCs w:val="20"/>
        </w:rPr>
        <w:t>Italics: items added during PICO development following recommendations from the consultation</w:t>
      </w:r>
    </w:p>
    <w:p w14:paraId="0BEFD969" w14:textId="77777777" w:rsidR="004B4A79" w:rsidRPr="00315E9C" w:rsidRDefault="004B4A79" w:rsidP="00EE4B0A">
      <w:pPr>
        <w:pStyle w:val="ListParagraph"/>
        <w:spacing w:after="0"/>
        <w:ind w:left="0"/>
        <w:rPr>
          <w:sz w:val="16"/>
          <w:szCs w:val="20"/>
        </w:rPr>
      </w:pPr>
    </w:p>
    <w:p w14:paraId="0B7454BC" w14:textId="58C8DB7A" w:rsidR="005817D9" w:rsidRPr="00315E9C" w:rsidRDefault="005817D9" w:rsidP="00F85EC5">
      <w:pPr>
        <w:jc w:val="both"/>
      </w:pPr>
      <w:r w:rsidRPr="00315E9C">
        <w:t xml:space="preserve">NBA advised the applicant that in 2017-18, around 8.3 percent of treatment episodes of Ig therapy used SCIg, of which around 4.9 percent was for secondary hypogammaglobulinaemia. In the same year, approximately 3.3 percent of total Ig grams were for SCIg of which 6.3 percent was for secondary hypogammaglobulinaemia. While the initial infusions are administered in the public hospital outpatient setting to train the patient or the carer, SCIg is subsequently administered in the patient’s home. </w:t>
      </w:r>
    </w:p>
    <w:p w14:paraId="08E35DA2" w14:textId="2EFEEC6C" w:rsidR="003F3818" w:rsidRPr="00315E9C" w:rsidRDefault="003F3818" w:rsidP="003F3818">
      <w:r w:rsidRPr="00315E9C">
        <w:t xml:space="preserve">There could be differences in response rates between IVIg and SCIg for some of the selected outcomes (adverse events, disability, venous damage), and </w:t>
      </w:r>
      <w:r w:rsidR="00DE2499" w:rsidRPr="00315E9C">
        <w:t xml:space="preserve">likely to be </w:t>
      </w:r>
      <w:r w:rsidRPr="00315E9C">
        <w:t xml:space="preserve">differences in health service consumption (e.g. outpatient, day- admission, hospital care v self-care). However, the applicant </w:t>
      </w:r>
      <w:r w:rsidRPr="00315E9C">
        <w:lastRenderedPageBreak/>
        <w:t>recommends that IgG is considered the intervention and IVIg and SCIg different routes of administration.</w:t>
      </w:r>
    </w:p>
    <w:p w14:paraId="158BBF36" w14:textId="77777777" w:rsidR="00E15901" w:rsidRPr="00315E9C" w:rsidRDefault="00E15901" w:rsidP="00E63E99">
      <w:pPr>
        <w:pStyle w:val="Heading4"/>
      </w:pPr>
      <w:r w:rsidRPr="00315E9C">
        <w:t>Provider and treatment setting</w:t>
      </w:r>
    </w:p>
    <w:p w14:paraId="2D33264D" w14:textId="77777777" w:rsidR="007A2A50" w:rsidRPr="00315E9C" w:rsidRDefault="007A2A50" w:rsidP="007A2A50">
      <w:pPr>
        <w:rPr>
          <w:rFonts w:asciiTheme="minorHAnsi" w:eastAsiaTheme="minorHAnsi" w:hAnsiTheme="minorHAnsi"/>
          <w:sz w:val="20"/>
        </w:rPr>
      </w:pPr>
      <w:r w:rsidRPr="00315E9C">
        <w:t xml:space="preserve">The National Ig Governance Program was introduced in 2014 to achieve Governments’ objectives for Ig products funded and supplied under the national blood arrangements. All sites that administer blood or blood products should be accredited under the National Safety and Quality Health Service Standard for Blood Management </w:t>
      </w:r>
      <w:r w:rsidRPr="00315E9C">
        <w:fldChar w:fldCharType="begin"/>
      </w:r>
      <w:r w:rsidRPr="00315E9C">
        <w:instrText xml:space="preserve"> ADDIN EN.CITE &lt;EndNote&gt;&lt;Cite&gt;&lt;Author&gt;NBA&lt;/Author&gt;&lt;Year&gt;2019&lt;/Year&gt;&lt;RecNum&gt;7&lt;/RecNum&gt;&lt;DisplayText&gt;(6)&lt;/DisplayText&gt;&lt;record&gt;&lt;rec-number&gt;7&lt;/rec-number&gt;&lt;foreign-keys&gt;&lt;key app="EN" db-id="5xftwazxqe520uewe2ax9va4adpprzt9xazr" timestamp="1571184841"&gt;7&lt;/key&gt;&lt;/foreign-keys&gt;&lt;ref-type name="Report"&gt;27&lt;/ref-type&gt;&lt;contributors&gt;&lt;authors&gt;&lt;author&gt;NBA&lt;/author&gt;&lt;/authors&gt;&lt;/contributors&gt;&lt;titles&gt;&lt;title&gt;Immunoglobulin Governance. National Policy: Access to Government-Funded&amp;#xD;Immunoglobulin Products in Australia&lt;/title&gt;&lt;/titles&gt;&lt;dates&gt;&lt;year&gt;2019&lt;/year&gt;&lt;/dates&gt;&lt;publisher&gt;National Blood Authority&lt;/publisher&gt;&lt;urls&gt;&lt;related-urls&gt;&lt;url&gt;https://www.blood.gov.au/system/files/documents/2019-immunoglobulin-governance-national-policy-V8FINAL.pdf&lt;/url&gt;&lt;/related-urls&gt;&lt;/urls&gt;&lt;access-date&gt;16/10/19&lt;/access-date&gt;&lt;/record&gt;&lt;/Cite&gt;&lt;/EndNote&gt;</w:instrText>
      </w:r>
      <w:r w:rsidRPr="00315E9C">
        <w:fldChar w:fldCharType="separate"/>
      </w:r>
      <w:r w:rsidRPr="00315E9C">
        <w:rPr>
          <w:noProof/>
        </w:rPr>
        <w:t>(6)</w:t>
      </w:r>
      <w:r w:rsidRPr="00315E9C">
        <w:fldChar w:fldCharType="end"/>
      </w:r>
      <w:r w:rsidRPr="00315E9C">
        <w:t>.</w:t>
      </w:r>
    </w:p>
    <w:p w14:paraId="75C9715F" w14:textId="77777777" w:rsidR="005F7CCA" w:rsidRDefault="007A2A50" w:rsidP="00E15901">
      <w:pPr>
        <w:rPr>
          <w:rFonts w:asciiTheme="minorHAnsi" w:hAnsiTheme="minorHAnsi" w:cstheme="minorHAnsi"/>
        </w:rPr>
      </w:pPr>
      <w:r w:rsidRPr="00315E9C">
        <w:t>M</w:t>
      </w:r>
      <w:r w:rsidR="00B67EA5" w:rsidRPr="00315E9C">
        <w:t>edical officer</w:t>
      </w:r>
      <w:r w:rsidRPr="00315E9C">
        <w:t>s need to be</w:t>
      </w:r>
      <w:r w:rsidR="00B67EA5" w:rsidRPr="00315E9C">
        <w:t xml:space="preserve"> registered as a specialist with the Australian Health Practitioner Regulation Agency (AHPRA) to diagnose and review a patient with secondary hypogammaglobulinaemia</w:t>
      </w:r>
      <w:r w:rsidRPr="00315E9C">
        <w:t xml:space="preserve"> </w:t>
      </w:r>
      <w:r w:rsidRPr="00315E9C">
        <w:fldChar w:fldCharType="begin"/>
      </w:r>
      <w:r w:rsidRPr="00315E9C">
        <w:instrText xml:space="preserve"> ADDIN EN.CITE &lt;EndNote&gt;&lt;Cite&gt;&lt;Author&gt;NBA&lt;/Author&gt;&lt;Year&gt;2019&lt;/Year&gt;&lt;RecNum&gt;7&lt;/RecNum&gt;&lt;DisplayText&gt;(6)&lt;/DisplayText&gt;&lt;record&gt;&lt;rec-number&gt;7&lt;/rec-number&gt;&lt;foreign-keys&gt;&lt;key app="EN" db-id="5xftwazxqe520uewe2ax9va4adpprzt9xazr" timestamp="1571184841"&gt;7&lt;/key&gt;&lt;/foreign-keys&gt;&lt;ref-type name="Report"&gt;27&lt;/ref-type&gt;&lt;contributors&gt;&lt;authors&gt;&lt;author&gt;NBA&lt;/author&gt;&lt;/authors&gt;&lt;/contributors&gt;&lt;titles&gt;&lt;title&gt;Immunoglobulin Governance. National Policy: Access to Government-Funded&amp;#xD;Immunoglobulin Products in Australia&lt;/title&gt;&lt;/titles&gt;&lt;dates&gt;&lt;year&gt;2019&lt;/year&gt;&lt;/dates&gt;&lt;publisher&gt;National Blood Authority&lt;/publisher&gt;&lt;urls&gt;&lt;related-urls&gt;&lt;url&gt;https://www.blood.gov.au/system/files/documents/2019-immunoglobulin-governance-national-policy-V8FINAL.pdf&lt;/url&gt;&lt;/related-urls&gt;&lt;/urls&gt;&lt;access-date&gt;16/10/19&lt;/access-date&gt;&lt;/record&gt;&lt;/Cite&gt;&lt;/EndNote&gt;</w:instrText>
      </w:r>
      <w:r w:rsidRPr="00315E9C">
        <w:fldChar w:fldCharType="separate"/>
      </w:r>
      <w:r w:rsidRPr="00315E9C">
        <w:rPr>
          <w:noProof/>
        </w:rPr>
        <w:t>(6)</w:t>
      </w:r>
      <w:r w:rsidRPr="00315E9C">
        <w:fldChar w:fldCharType="end"/>
      </w:r>
      <w:r w:rsidR="00B67EA5" w:rsidRPr="00315E9C">
        <w:t xml:space="preserve">. </w:t>
      </w:r>
      <w:r w:rsidRPr="00315E9C">
        <w:rPr>
          <w:rFonts w:asciiTheme="minorHAnsi" w:hAnsiTheme="minorHAnsi" w:cstheme="minorHAnsi"/>
        </w:rPr>
        <w:t xml:space="preserve">Under the Criteria V3, any specialist may diagnose and review a patient with secondary hypogammaglobulinaemia, although the majority are transplantation specialists, immunologists, haematologists and paediatricians. Applications for IgG are made through the BloodSTAR online portal and assessed against the Criteria V3 </w:t>
      </w:r>
      <w:r w:rsidRPr="00315E9C">
        <w:rPr>
          <w:rFonts w:asciiTheme="minorHAnsi" w:hAnsiTheme="minorHAnsi" w:cstheme="minorHAnsi"/>
        </w:rPr>
        <w:fldChar w:fldCharType="begin"/>
      </w:r>
      <w:r w:rsidRPr="00315E9C">
        <w:rPr>
          <w:rFonts w:asciiTheme="minorHAnsi" w:hAnsiTheme="minorHAnsi" w:cstheme="minorHAnsi"/>
        </w:rPr>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Pr="00315E9C">
        <w:rPr>
          <w:rFonts w:asciiTheme="minorHAnsi" w:hAnsiTheme="minorHAnsi" w:cstheme="minorHAnsi"/>
        </w:rPr>
        <w:fldChar w:fldCharType="separate"/>
      </w:r>
      <w:r w:rsidRPr="00315E9C">
        <w:rPr>
          <w:rFonts w:asciiTheme="minorHAnsi" w:hAnsiTheme="minorHAnsi" w:cstheme="minorHAnsi"/>
          <w:noProof/>
        </w:rPr>
        <w:t>(1)</w:t>
      </w:r>
      <w:r w:rsidRPr="00315E9C">
        <w:rPr>
          <w:rFonts w:asciiTheme="minorHAnsi" w:hAnsiTheme="minorHAnsi" w:cstheme="minorHAnsi"/>
        </w:rPr>
        <w:fldChar w:fldCharType="end"/>
      </w:r>
      <w:r w:rsidRPr="00315E9C">
        <w:rPr>
          <w:rFonts w:asciiTheme="minorHAnsi" w:hAnsiTheme="minorHAnsi" w:cstheme="minorHAnsi"/>
        </w:rPr>
        <w:t>.</w:t>
      </w:r>
    </w:p>
    <w:p w14:paraId="7C5119EA" w14:textId="209E5902" w:rsidR="00E15901" w:rsidRPr="00315E9C" w:rsidRDefault="00E15901" w:rsidP="00E15901">
      <w:pPr>
        <w:rPr>
          <w:rFonts w:asciiTheme="minorHAnsi" w:hAnsiTheme="minorHAnsi" w:cstheme="minorHAnsi"/>
        </w:rPr>
      </w:pPr>
      <w:r w:rsidRPr="00315E9C">
        <w:rPr>
          <w:rFonts w:asciiTheme="minorHAnsi" w:hAnsiTheme="minorHAnsi" w:cstheme="minorHAnsi"/>
        </w:rPr>
        <w:t xml:space="preserve">IVIg administration requires a hospital or clinic with IV infusion facilities. For access to SCIg (in addition to requirements applicable for access to IVIg), the patient must be being treated by a clinical specialist within a hospital </w:t>
      </w:r>
      <w:r w:rsidRPr="00315E9C">
        <w:t xml:space="preserve">participating in the National </w:t>
      </w:r>
      <w:r w:rsidRPr="00315E9C">
        <w:rPr>
          <w:rFonts w:asciiTheme="minorHAnsi" w:hAnsiTheme="minorHAnsi" w:cstheme="minorHAnsi"/>
        </w:rPr>
        <w:t>SCIg Program</w:t>
      </w:r>
      <w:r w:rsidR="00EC62F3" w:rsidRPr="00315E9C">
        <w:rPr>
          <w:rFonts w:asciiTheme="minorHAnsi" w:hAnsiTheme="minorHAnsi" w:cstheme="minorHAnsi"/>
        </w:rPr>
        <w:t xml:space="preserve"> </w:t>
      </w:r>
      <w:r w:rsidR="00EC62F3" w:rsidRPr="00315E9C">
        <w:rPr>
          <w:rFonts w:asciiTheme="minorHAnsi" w:hAnsiTheme="minorHAnsi" w:cstheme="minorHAnsi"/>
        </w:rPr>
        <w:fldChar w:fldCharType="begin"/>
      </w:r>
      <w:r w:rsidR="00EC62F3" w:rsidRPr="00315E9C">
        <w:rPr>
          <w:rFonts w:asciiTheme="minorHAnsi" w:hAnsiTheme="minorHAnsi" w:cstheme="minorHAnsi"/>
        </w:rPr>
        <w:instrText xml:space="preserve"> ADDIN EN.CITE &lt;EndNote&gt;&lt;Cite&gt;&lt;Author&gt;NBA&lt;/Author&gt;&lt;Year&gt;2019&lt;/Year&gt;&lt;RecNum&gt;8&lt;/RecNum&gt;&lt;DisplayText&gt;(7)&lt;/DisplayText&gt;&lt;record&gt;&lt;rec-number&gt;8&lt;/rec-number&gt;&lt;foreign-keys&gt;&lt;key app="EN" db-id="5xftwazxqe520uewe2ax9va4adpprzt9xazr" timestamp="1571185356"&gt;8&lt;/key&gt;&lt;/foreign-keys&gt;&lt;ref-type name="Web Page"&gt;12&lt;/ref-type&gt;&lt;contributors&gt;&lt;authors&gt;&lt;author&gt;NBA&lt;/author&gt;&lt;/authors&gt;&lt;/contributors&gt;&lt;titles&gt;&lt;title&gt;Access to Subcutaneous Immunoglobulin (SCIg)&lt;/title&gt;&lt;/titles&gt;&lt;number&gt;16/10/19&lt;/number&gt;&lt;dates&gt;&lt;year&gt;2019&lt;/year&gt;&lt;/dates&gt;&lt;pub-location&gt;National Blood Authority&lt;/pub-location&gt;&lt;urls&gt;&lt;related-urls&gt;&lt;url&gt;https://www.blood.gov.au/SCIg&lt;/url&gt;&lt;/related-urls&gt;&lt;/urls&gt;&lt;/record&gt;&lt;/Cite&gt;&lt;/EndNote&gt;</w:instrText>
      </w:r>
      <w:r w:rsidR="00EC62F3" w:rsidRPr="00315E9C">
        <w:rPr>
          <w:rFonts w:asciiTheme="minorHAnsi" w:hAnsiTheme="minorHAnsi" w:cstheme="minorHAnsi"/>
        </w:rPr>
        <w:fldChar w:fldCharType="separate"/>
      </w:r>
      <w:r w:rsidR="00EC62F3" w:rsidRPr="00315E9C">
        <w:rPr>
          <w:rFonts w:asciiTheme="minorHAnsi" w:hAnsiTheme="minorHAnsi" w:cstheme="minorHAnsi"/>
          <w:noProof/>
        </w:rPr>
        <w:t>(7)</w:t>
      </w:r>
      <w:r w:rsidR="00EC62F3" w:rsidRPr="00315E9C">
        <w:rPr>
          <w:rFonts w:asciiTheme="minorHAnsi" w:hAnsiTheme="minorHAnsi" w:cstheme="minorHAnsi"/>
        </w:rPr>
        <w:fldChar w:fldCharType="end"/>
      </w:r>
      <w:r w:rsidRPr="00315E9C">
        <w:rPr>
          <w:rFonts w:asciiTheme="minorHAnsi" w:hAnsiTheme="minorHAnsi" w:cstheme="minorHAnsi"/>
        </w:rPr>
        <w:t xml:space="preserve">. </w:t>
      </w:r>
      <w:r w:rsidR="00EC62F3" w:rsidRPr="00315E9C">
        <w:rPr>
          <w:rFonts w:asciiTheme="minorHAnsi" w:hAnsiTheme="minorHAnsi" w:cstheme="minorHAnsi"/>
        </w:rPr>
        <w:t>A qualified nurse to deliver SCIg in an out of hospital setting would be responsible for training the</w:t>
      </w:r>
      <w:r w:rsidRPr="00315E9C">
        <w:rPr>
          <w:rFonts w:asciiTheme="minorHAnsi" w:hAnsiTheme="minorHAnsi" w:cstheme="minorHAnsi"/>
        </w:rPr>
        <w:t xml:space="preserve"> patient/carer in the procedure </w:t>
      </w:r>
      <w:r w:rsidR="00EC62F3" w:rsidRPr="00315E9C">
        <w:rPr>
          <w:rFonts w:asciiTheme="minorHAnsi" w:hAnsiTheme="minorHAnsi" w:cstheme="minorHAnsi"/>
        </w:rPr>
        <w:t xml:space="preserve">and follow-up to assess ongoing competency for self-administered treatment </w:t>
      </w:r>
      <w:r w:rsidR="00EC62F3" w:rsidRPr="00315E9C">
        <w:rPr>
          <w:rFonts w:asciiTheme="minorHAnsi" w:hAnsiTheme="minorHAnsi" w:cstheme="minorHAnsi"/>
        </w:rPr>
        <w:fldChar w:fldCharType="begin"/>
      </w:r>
      <w:r w:rsidR="00EC62F3" w:rsidRPr="00315E9C">
        <w:rPr>
          <w:rFonts w:asciiTheme="minorHAnsi" w:hAnsiTheme="minorHAnsi" w:cstheme="minorHAnsi"/>
        </w:rPr>
        <w:instrText xml:space="preserve"> ADDIN EN.CITE &lt;EndNote&gt;&lt;Cite&gt;&lt;Author&gt;NBA&lt;/Author&gt;&lt;Year&gt;2019&lt;/Year&gt;&lt;RecNum&gt;7&lt;/RecNum&gt;&lt;DisplayText&gt;(6)&lt;/DisplayText&gt;&lt;record&gt;&lt;rec-number&gt;7&lt;/rec-number&gt;&lt;foreign-keys&gt;&lt;key app="EN" db-id="5xftwazxqe520uewe2ax9va4adpprzt9xazr" timestamp="1571184841"&gt;7&lt;/key&gt;&lt;/foreign-keys&gt;&lt;ref-type name="Report"&gt;27&lt;/ref-type&gt;&lt;contributors&gt;&lt;authors&gt;&lt;author&gt;NBA&lt;/author&gt;&lt;/authors&gt;&lt;/contributors&gt;&lt;titles&gt;&lt;title&gt;Immunoglobulin Governance. National Policy: Access to Government-Funded&amp;#xD;Immunoglobulin Products in Australia&lt;/title&gt;&lt;/titles&gt;&lt;dates&gt;&lt;year&gt;2019&lt;/year&gt;&lt;/dates&gt;&lt;publisher&gt;National Blood Authority&lt;/publisher&gt;&lt;urls&gt;&lt;related-urls&gt;&lt;url&gt;https://www.blood.gov.au/system/files/documents/2019-immunoglobulin-governance-national-policy-V8FINAL.pdf&lt;/url&gt;&lt;/related-urls&gt;&lt;/urls&gt;&lt;access-date&gt;16/10/19&lt;/access-date&gt;&lt;/record&gt;&lt;/Cite&gt;&lt;/EndNote&gt;</w:instrText>
      </w:r>
      <w:r w:rsidR="00EC62F3" w:rsidRPr="00315E9C">
        <w:rPr>
          <w:rFonts w:asciiTheme="minorHAnsi" w:hAnsiTheme="minorHAnsi" w:cstheme="minorHAnsi"/>
        </w:rPr>
        <w:fldChar w:fldCharType="separate"/>
      </w:r>
      <w:r w:rsidR="00EC62F3" w:rsidRPr="00315E9C">
        <w:rPr>
          <w:rFonts w:asciiTheme="minorHAnsi" w:hAnsiTheme="minorHAnsi" w:cstheme="minorHAnsi"/>
          <w:noProof/>
        </w:rPr>
        <w:t>(6)</w:t>
      </w:r>
      <w:r w:rsidR="00EC62F3" w:rsidRPr="00315E9C">
        <w:rPr>
          <w:rFonts w:asciiTheme="minorHAnsi" w:hAnsiTheme="minorHAnsi" w:cstheme="minorHAnsi"/>
        </w:rPr>
        <w:fldChar w:fldCharType="end"/>
      </w:r>
      <w:r w:rsidRPr="00315E9C">
        <w:rPr>
          <w:rFonts w:asciiTheme="minorHAnsi" w:hAnsiTheme="minorHAnsi" w:cstheme="minorHAnsi"/>
        </w:rPr>
        <w:t xml:space="preserve">. </w:t>
      </w:r>
    </w:p>
    <w:p w14:paraId="4E5C1307" w14:textId="77777777" w:rsidR="00195D90" w:rsidRPr="00315E9C" w:rsidRDefault="00195D90" w:rsidP="00E63E99">
      <w:pPr>
        <w:pStyle w:val="Heading4"/>
      </w:pPr>
      <w:r w:rsidRPr="00315E9C">
        <w:t>Criteria V3. Initial and continuing treatment</w:t>
      </w:r>
    </w:p>
    <w:p w14:paraId="3D52D879" w14:textId="45478B30" w:rsidR="00477258" w:rsidRPr="00315E9C" w:rsidRDefault="00195D90" w:rsidP="00477258">
      <w:pPr>
        <w:rPr>
          <w:rFonts w:asciiTheme="minorHAnsi" w:hAnsiTheme="minorHAnsi" w:cstheme="minorHAnsi"/>
        </w:rPr>
      </w:pPr>
      <w:r w:rsidRPr="00315E9C">
        <w:rPr>
          <w:rFonts w:asciiTheme="minorHAnsi" w:hAnsiTheme="minorHAnsi" w:cstheme="minorHAnsi"/>
        </w:rPr>
        <w:t xml:space="preserve">The qualifying criteria for initial and continuing treatment with IgG for this indication is presented in </w:t>
      </w:r>
      <w:r w:rsidR="00477258" w:rsidRPr="00315E9C">
        <w:rPr>
          <w:rFonts w:asciiTheme="minorHAnsi" w:hAnsiTheme="minorHAnsi" w:cstheme="minorHAnsi"/>
        </w:rPr>
        <w:fldChar w:fldCharType="begin"/>
      </w:r>
      <w:r w:rsidR="00477258" w:rsidRPr="00315E9C">
        <w:rPr>
          <w:rFonts w:asciiTheme="minorHAnsi" w:hAnsiTheme="minorHAnsi" w:cstheme="minorHAnsi"/>
        </w:rPr>
        <w:instrText xml:space="preserve"> REF _Ref22028778 \h </w:instrText>
      </w:r>
      <w:r w:rsidR="00315E9C" w:rsidRPr="00315E9C">
        <w:rPr>
          <w:rFonts w:asciiTheme="minorHAnsi" w:hAnsiTheme="minorHAnsi" w:cstheme="minorHAnsi"/>
        </w:rPr>
        <w:instrText xml:space="preserve"> \* MERGEFORMAT </w:instrText>
      </w:r>
      <w:r w:rsidR="00477258" w:rsidRPr="00315E9C">
        <w:rPr>
          <w:rFonts w:asciiTheme="minorHAnsi" w:hAnsiTheme="minorHAnsi" w:cstheme="minorHAnsi"/>
        </w:rPr>
      </w:r>
      <w:r w:rsidR="00477258" w:rsidRPr="00315E9C">
        <w:rPr>
          <w:rFonts w:asciiTheme="minorHAnsi" w:hAnsiTheme="minorHAnsi" w:cstheme="minorHAnsi"/>
        </w:rPr>
        <w:fldChar w:fldCharType="separate"/>
      </w:r>
      <w:r w:rsidR="00A851D8" w:rsidRPr="00A851D8">
        <w:t xml:space="preserve">Table </w:t>
      </w:r>
      <w:r w:rsidR="00A851D8" w:rsidRPr="00A851D8">
        <w:rPr>
          <w:noProof/>
        </w:rPr>
        <w:t>3</w:t>
      </w:r>
      <w:r w:rsidR="00477258" w:rsidRPr="00315E9C">
        <w:rPr>
          <w:rFonts w:asciiTheme="minorHAnsi" w:hAnsiTheme="minorHAnsi" w:cstheme="minorHAnsi"/>
        </w:rPr>
        <w:fldChar w:fldCharType="end"/>
      </w:r>
      <w:r w:rsidR="00477258" w:rsidRPr="00315E9C">
        <w:rPr>
          <w:rFonts w:asciiTheme="minorHAnsi" w:hAnsiTheme="minorHAnsi" w:cstheme="minorHAnsi"/>
        </w:rPr>
        <w:t xml:space="preserve">. </w:t>
      </w:r>
    </w:p>
    <w:p w14:paraId="2E476722" w14:textId="2DBA2730" w:rsidR="002F62AB" w:rsidRPr="00E63E99" w:rsidRDefault="002F62AB" w:rsidP="00E63E99">
      <w:pPr>
        <w:pStyle w:val="TableName"/>
        <w:ind w:left="0" w:firstLine="0"/>
        <w:rPr>
          <w:rFonts w:cstheme="minorHAnsi"/>
          <w:sz w:val="20"/>
          <w:szCs w:val="20"/>
        </w:rPr>
      </w:pPr>
      <w:bookmarkStart w:id="9" w:name="_Ref22028778"/>
      <w:r w:rsidRPr="00E63E99">
        <w:rPr>
          <w:sz w:val="20"/>
          <w:szCs w:val="20"/>
        </w:rPr>
        <w:t xml:space="preserve">Table </w:t>
      </w:r>
      <w:r w:rsidRPr="00E63E99">
        <w:rPr>
          <w:sz w:val="20"/>
          <w:szCs w:val="20"/>
        </w:rPr>
        <w:fldChar w:fldCharType="begin"/>
      </w:r>
      <w:r w:rsidRPr="00E63E99">
        <w:rPr>
          <w:sz w:val="20"/>
          <w:szCs w:val="20"/>
        </w:rPr>
        <w:instrText xml:space="preserve"> SEQ Table \* ARABIC </w:instrText>
      </w:r>
      <w:r w:rsidRPr="00E63E99">
        <w:rPr>
          <w:sz w:val="20"/>
          <w:szCs w:val="20"/>
        </w:rPr>
        <w:fldChar w:fldCharType="separate"/>
      </w:r>
      <w:r w:rsidR="00A851D8">
        <w:rPr>
          <w:noProof/>
          <w:sz w:val="20"/>
          <w:szCs w:val="20"/>
        </w:rPr>
        <w:t>3</w:t>
      </w:r>
      <w:r w:rsidRPr="00E63E99">
        <w:rPr>
          <w:sz w:val="20"/>
          <w:szCs w:val="20"/>
        </w:rPr>
        <w:fldChar w:fldCharType="end"/>
      </w:r>
      <w:bookmarkEnd w:id="9"/>
      <w:r w:rsidRPr="00E63E99">
        <w:rPr>
          <w:sz w:val="20"/>
          <w:szCs w:val="20"/>
        </w:rPr>
        <w:t xml:space="preserve"> Initial and continuing treatment according to The Criteria V3</w:t>
      </w:r>
    </w:p>
    <w:tbl>
      <w:tblPr>
        <w:tblStyle w:val="TableGrid"/>
        <w:tblW w:w="0" w:type="auto"/>
        <w:tblLook w:val="04A0" w:firstRow="1" w:lastRow="0" w:firstColumn="1" w:lastColumn="0" w:noHBand="0" w:noVBand="1"/>
        <w:tblCaption w:val="Table 3 Initial and continuing treatment according to The Criteria V3"/>
        <w:tblDescription w:val="This is a table displaying the initial and continuing treatment criteria for treatment with IgG for secondary hypogammaglobulinemia."/>
      </w:tblPr>
      <w:tblGrid>
        <w:gridCol w:w="9016"/>
      </w:tblGrid>
      <w:tr w:rsidR="00195D90" w:rsidRPr="007B14C8" w14:paraId="01242C87" w14:textId="77777777" w:rsidTr="00B0404D">
        <w:trPr>
          <w:tblHeader/>
        </w:trPr>
        <w:tc>
          <w:tcPr>
            <w:tcW w:w="9016" w:type="dxa"/>
          </w:tcPr>
          <w:p w14:paraId="044C60A4" w14:textId="77777777" w:rsidR="00195D90" w:rsidRPr="005F7CCA" w:rsidRDefault="00FD0644" w:rsidP="005F7CCA">
            <w:pPr>
              <w:rPr>
                <w:rFonts w:ascii="Arial Narrow" w:hAnsi="Arial Narrow"/>
                <w:b/>
                <w:i/>
                <w:sz w:val="20"/>
                <w:szCs w:val="20"/>
              </w:rPr>
            </w:pPr>
            <w:r w:rsidRPr="005F7CCA">
              <w:rPr>
                <w:rFonts w:ascii="Arial Narrow" w:hAnsi="Arial Narrow"/>
                <w:b/>
                <w:sz w:val="20"/>
                <w:szCs w:val="20"/>
              </w:rPr>
              <w:t>Initial treatment</w:t>
            </w:r>
          </w:p>
        </w:tc>
      </w:tr>
      <w:tr w:rsidR="00195D90" w:rsidRPr="00315E9C" w14:paraId="1BBD2AEB" w14:textId="77777777" w:rsidTr="00574943">
        <w:tc>
          <w:tcPr>
            <w:tcW w:w="9016" w:type="dxa"/>
          </w:tcPr>
          <w:p w14:paraId="63CCEC51" w14:textId="77777777" w:rsidR="00195D90" w:rsidRPr="00315E9C" w:rsidRDefault="00195D90" w:rsidP="00195D90">
            <w:pPr>
              <w:pStyle w:val="Tablecontents"/>
              <w:numPr>
                <w:ilvl w:val="0"/>
                <w:numId w:val="14"/>
              </w:numPr>
              <w:spacing w:before="0" w:after="0"/>
              <w:rPr>
                <w:sz w:val="20"/>
                <w:szCs w:val="20"/>
              </w:rPr>
            </w:pPr>
            <w:r w:rsidRPr="00315E9C">
              <w:rPr>
                <w:sz w:val="20"/>
                <w:szCs w:val="20"/>
              </w:rPr>
              <w:t>Significant hypogammaglobulinaemia with serum IgG less than 4g/L (excluding paraprotein) regardless of the frequency and severity of infections</w:t>
            </w:r>
          </w:p>
          <w:p w14:paraId="4792BEE3" w14:textId="77777777" w:rsidR="00195D90" w:rsidRPr="00315E9C" w:rsidRDefault="00195D90" w:rsidP="00574943">
            <w:pPr>
              <w:pStyle w:val="Tablecontents"/>
              <w:spacing w:before="0" w:after="0"/>
              <w:ind w:left="360"/>
              <w:rPr>
                <w:sz w:val="20"/>
                <w:szCs w:val="20"/>
              </w:rPr>
            </w:pPr>
            <w:r w:rsidRPr="00315E9C">
              <w:rPr>
                <w:sz w:val="20"/>
                <w:szCs w:val="20"/>
              </w:rPr>
              <w:t>OR</w:t>
            </w:r>
          </w:p>
          <w:p w14:paraId="63B1D923" w14:textId="77777777" w:rsidR="00195D90" w:rsidRPr="00315E9C" w:rsidRDefault="00195D90" w:rsidP="00195D90">
            <w:pPr>
              <w:pStyle w:val="Tablecontents"/>
              <w:numPr>
                <w:ilvl w:val="0"/>
                <w:numId w:val="14"/>
              </w:numPr>
              <w:spacing w:before="0" w:after="0"/>
              <w:rPr>
                <w:sz w:val="20"/>
                <w:szCs w:val="20"/>
              </w:rPr>
            </w:pPr>
            <w:r w:rsidRPr="00315E9C">
              <w:rPr>
                <w:sz w:val="20"/>
                <w:szCs w:val="20"/>
              </w:rPr>
              <w:t>Serum IgG (excluding paraprotein) greater than 4g/L but less than the lower limit of the age related reference range and at least one life-threatening infection in the last 12 months</w:t>
            </w:r>
          </w:p>
          <w:p w14:paraId="38E40947" w14:textId="77777777" w:rsidR="00195D90" w:rsidRPr="00315E9C" w:rsidRDefault="00195D90" w:rsidP="00574943">
            <w:pPr>
              <w:pStyle w:val="Tablecontents"/>
              <w:spacing w:before="0" w:after="0"/>
              <w:ind w:left="360"/>
              <w:rPr>
                <w:sz w:val="20"/>
                <w:szCs w:val="20"/>
              </w:rPr>
            </w:pPr>
            <w:r w:rsidRPr="00315E9C">
              <w:rPr>
                <w:sz w:val="20"/>
                <w:szCs w:val="20"/>
              </w:rPr>
              <w:t>OR</w:t>
            </w:r>
          </w:p>
          <w:p w14:paraId="1F44C269" w14:textId="77777777" w:rsidR="00195D90" w:rsidRPr="00315E9C" w:rsidRDefault="00195D90" w:rsidP="00195D90">
            <w:pPr>
              <w:pStyle w:val="Tablecontents"/>
              <w:numPr>
                <w:ilvl w:val="0"/>
                <w:numId w:val="14"/>
              </w:numPr>
              <w:spacing w:before="0" w:after="0"/>
              <w:rPr>
                <w:sz w:val="20"/>
                <w:szCs w:val="20"/>
              </w:rPr>
            </w:pPr>
            <w:r w:rsidRPr="00315E9C">
              <w:rPr>
                <w:sz w:val="20"/>
                <w:szCs w:val="20"/>
              </w:rPr>
              <w:t>Serum IgG (excluding paraprotein) greater than 4g/L but less the lower limit of the age related reference range with at least two serious infections in the last six months requiring more than standard courses of antibiotics (e.g. Hospitalisation, intravenous or prolonged antibiotic therapy)</w:t>
            </w:r>
          </w:p>
          <w:p w14:paraId="2BE2F2EA" w14:textId="77777777" w:rsidR="00195D90" w:rsidRPr="00315E9C" w:rsidRDefault="00195D90" w:rsidP="00574943">
            <w:pPr>
              <w:pStyle w:val="Tablecontents"/>
              <w:spacing w:before="0" w:after="0"/>
              <w:ind w:left="360"/>
              <w:rPr>
                <w:sz w:val="20"/>
                <w:szCs w:val="20"/>
              </w:rPr>
            </w:pPr>
            <w:r w:rsidRPr="00315E9C">
              <w:rPr>
                <w:sz w:val="20"/>
                <w:szCs w:val="20"/>
              </w:rPr>
              <w:t>OR</w:t>
            </w:r>
          </w:p>
          <w:p w14:paraId="3C8DBA66" w14:textId="77777777" w:rsidR="00195D90" w:rsidRPr="00315E9C" w:rsidRDefault="00195D90" w:rsidP="00195D90">
            <w:pPr>
              <w:pStyle w:val="Tablecontents"/>
              <w:numPr>
                <w:ilvl w:val="0"/>
                <w:numId w:val="12"/>
              </w:numPr>
              <w:spacing w:before="0" w:after="0"/>
              <w:ind w:left="360"/>
              <w:rPr>
                <w:sz w:val="20"/>
                <w:szCs w:val="20"/>
              </w:rPr>
            </w:pPr>
            <w:r w:rsidRPr="00315E9C">
              <w:rPr>
                <w:sz w:val="20"/>
                <w:szCs w:val="20"/>
              </w:rPr>
              <w:t>Evidence of impaired antibody production to vaccination in the context of persistent infections affecting long term function such as persistent purulent suppurative otitis media threatening long term hearing</w:t>
            </w:r>
          </w:p>
          <w:p w14:paraId="2434A828" w14:textId="77777777" w:rsidR="00195D90" w:rsidRPr="00315E9C" w:rsidRDefault="00195D90" w:rsidP="00574943">
            <w:pPr>
              <w:pStyle w:val="Tablecontents"/>
              <w:rPr>
                <w:sz w:val="20"/>
                <w:szCs w:val="20"/>
              </w:rPr>
            </w:pPr>
          </w:p>
          <w:p w14:paraId="1323DCDA" w14:textId="77777777" w:rsidR="00195D90" w:rsidRPr="00315E9C" w:rsidRDefault="00195D90" w:rsidP="00574943">
            <w:pPr>
              <w:pStyle w:val="Tablecontents"/>
              <w:rPr>
                <w:sz w:val="20"/>
                <w:szCs w:val="20"/>
              </w:rPr>
            </w:pPr>
            <w:r w:rsidRPr="00315E9C">
              <w:rPr>
                <w:sz w:val="20"/>
                <w:szCs w:val="20"/>
              </w:rPr>
              <w:t>AND</w:t>
            </w:r>
          </w:p>
          <w:p w14:paraId="61DC5443" w14:textId="77777777" w:rsidR="00195D90" w:rsidRPr="00315E9C" w:rsidRDefault="00195D90" w:rsidP="00195D90">
            <w:pPr>
              <w:pStyle w:val="Tablecontents"/>
              <w:numPr>
                <w:ilvl w:val="0"/>
                <w:numId w:val="12"/>
              </w:numPr>
              <w:ind w:left="360"/>
              <w:rPr>
                <w:sz w:val="20"/>
                <w:szCs w:val="20"/>
              </w:rPr>
            </w:pPr>
            <w:r w:rsidRPr="00315E9C">
              <w:rPr>
                <w:sz w:val="20"/>
                <w:szCs w:val="20"/>
              </w:rPr>
              <w:t>Underlying cause of hypogammaglobulinaemia cannot be reversed</w:t>
            </w:r>
          </w:p>
          <w:p w14:paraId="5C99699A" w14:textId="77777777" w:rsidR="00195D90" w:rsidRPr="00315E9C" w:rsidRDefault="00195D90" w:rsidP="00574943">
            <w:pPr>
              <w:pStyle w:val="Tablecontents"/>
              <w:ind w:left="360"/>
              <w:rPr>
                <w:sz w:val="20"/>
                <w:szCs w:val="20"/>
              </w:rPr>
            </w:pPr>
            <w:r w:rsidRPr="00315E9C">
              <w:rPr>
                <w:sz w:val="20"/>
                <w:szCs w:val="20"/>
              </w:rPr>
              <w:t>OR</w:t>
            </w:r>
          </w:p>
          <w:p w14:paraId="04751BEE" w14:textId="77777777" w:rsidR="00195D90" w:rsidRPr="00315E9C" w:rsidRDefault="00195D90" w:rsidP="00195D90">
            <w:pPr>
              <w:pStyle w:val="Tablecontents"/>
              <w:numPr>
                <w:ilvl w:val="0"/>
                <w:numId w:val="13"/>
              </w:numPr>
              <w:ind w:left="360"/>
              <w:rPr>
                <w:sz w:val="20"/>
                <w:szCs w:val="20"/>
              </w:rPr>
            </w:pPr>
            <w:r w:rsidRPr="00315E9C">
              <w:rPr>
                <w:sz w:val="20"/>
                <w:szCs w:val="20"/>
              </w:rPr>
              <w:t>Underlying cause of hypogammaglobulinaemia is reversible but reversal is contraindicated</w:t>
            </w:r>
          </w:p>
        </w:tc>
      </w:tr>
      <w:tr w:rsidR="00195D90" w:rsidRPr="00315E9C" w14:paraId="5D2CDA43" w14:textId="77777777" w:rsidTr="00574943">
        <w:tc>
          <w:tcPr>
            <w:tcW w:w="9016" w:type="dxa"/>
          </w:tcPr>
          <w:p w14:paraId="4324285A" w14:textId="77777777" w:rsidR="00195D90" w:rsidRPr="00315E9C" w:rsidRDefault="00FD0644" w:rsidP="00574943">
            <w:pPr>
              <w:pStyle w:val="Tablecontents"/>
              <w:rPr>
                <w:b/>
                <w:bCs/>
                <w:sz w:val="20"/>
                <w:szCs w:val="20"/>
              </w:rPr>
            </w:pPr>
            <w:r w:rsidRPr="00315E9C">
              <w:rPr>
                <w:b/>
                <w:bCs/>
                <w:sz w:val="20"/>
                <w:szCs w:val="20"/>
              </w:rPr>
              <w:t>Continuing treatment</w:t>
            </w:r>
          </w:p>
        </w:tc>
      </w:tr>
      <w:tr w:rsidR="00195D90" w:rsidRPr="00315E9C" w14:paraId="179D0054" w14:textId="77777777" w:rsidTr="00574943">
        <w:tc>
          <w:tcPr>
            <w:tcW w:w="9016" w:type="dxa"/>
          </w:tcPr>
          <w:p w14:paraId="1CBE26D1" w14:textId="77777777" w:rsidR="00195D90" w:rsidRPr="00315E9C" w:rsidRDefault="00195D90" w:rsidP="001D0D22">
            <w:pPr>
              <w:pStyle w:val="Tablecontents"/>
              <w:spacing w:before="0"/>
              <w:rPr>
                <w:sz w:val="20"/>
                <w:szCs w:val="20"/>
                <w:u w:val="single"/>
              </w:rPr>
            </w:pPr>
            <w:r w:rsidRPr="00315E9C">
              <w:rPr>
                <w:sz w:val="20"/>
                <w:szCs w:val="20"/>
                <w:u w:val="single"/>
              </w:rPr>
              <w:t>On review of the initial authorisation period</w:t>
            </w:r>
          </w:p>
          <w:p w14:paraId="45E3D7AC" w14:textId="77777777" w:rsidR="00195D90" w:rsidRPr="00315E9C" w:rsidRDefault="00195D90" w:rsidP="001D0D22">
            <w:pPr>
              <w:pStyle w:val="Tablecontents"/>
              <w:spacing w:before="0"/>
              <w:rPr>
                <w:sz w:val="20"/>
                <w:szCs w:val="20"/>
              </w:rPr>
            </w:pPr>
          </w:p>
          <w:p w14:paraId="50D5C0B8" w14:textId="77777777" w:rsidR="00195D90" w:rsidRPr="00315E9C" w:rsidRDefault="00195D90" w:rsidP="001D0D22">
            <w:pPr>
              <w:pStyle w:val="Tablecontents"/>
              <w:spacing w:before="0"/>
              <w:rPr>
                <w:sz w:val="20"/>
                <w:szCs w:val="20"/>
              </w:rPr>
            </w:pPr>
            <w:r w:rsidRPr="00315E9C">
              <w:rPr>
                <w:sz w:val="20"/>
                <w:szCs w:val="20"/>
              </w:rPr>
              <w:lastRenderedPageBreak/>
              <w:t>Monitoring of serum immunoglobulin levels (IgG, IgM and IgA) and infection history</w:t>
            </w:r>
          </w:p>
          <w:p w14:paraId="334F2784" w14:textId="77777777" w:rsidR="00195D90" w:rsidRPr="00315E9C" w:rsidRDefault="00195D90" w:rsidP="001D0D22">
            <w:pPr>
              <w:pStyle w:val="Tablecontents"/>
              <w:spacing w:before="0"/>
              <w:rPr>
                <w:sz w:val="20"/>
                <w:szCs w:val="20"/>
              </w:rPr>
            </w:pPr>
            <w:r w:rsidRPr="00315E9C">
              <w:rPr>
                <w:sz w:val="20"/>
                <w:szCs w:val="20"/>
              </w:rPr>
              <w:t>AND</w:t>
            </w:r>
          </w:p>
          <w:p w14:paraId="7EABB02B" w14:textId="65FEAD5A" w:rsidR="00195D90" w:rsidRPr="00315E9C" w:rsidRDefault="00195D90" w:rsidP="001D0D22">
            <w:pPr>
              <w:pStyle w:val="Tablecontents"/>
              <w:spacing w:before="0"/>
              <w:rPr>
                <w:sz w:val="20"/>
                <w:szCs w:val="20"/>
              </w:rPr>
            </w:pPr>
            <w:r w:rsidRPr="00315E9C">
              <w:rPr>
                <w:sz w:val="20"/>
                <w:szCs w:val="20"/>
              </w:rPr>
              <w:t>A trial period of cessation of Ig for the purposes of immunological evaluation will commence in September or October or is medically contraindicated on safety grounds (such as neutropenia, immunosuppressant medication, active bronchiectasis and/or suppurative lung disease or severe hypogammaglobuli</w:t>
            </w:r>
            <w:r w:rsidR="00315E9C">
              <w:rPr>
                <w:sz w:val="20"/>
                <w:szCs w:val="20"/>
              </w:rPr>
              <w:t>naemia</w:t>
            </w:r>
            <w:r w:rsidRPr="00315E9C">
              <w:rPr>
                <w:sz w:val="20"/>
                <w:szCs w:val="20"/>
              </w:rPr>
              <w:t>) persists where no significant improvement has occurred in the underlying condition</w:t>
            </w:r>
          </w:p>
          <w:p w14:paraId="1B924AD3" w14:textId="77777777" w:rsidR="006331A9" w:rsidRPr="00315E9C" w:rsidRDefault="006331A9" w:rsidP="001D0D22">
            <w:pPr>
              <w:pStyle w:val="Tablecontents"/>
              <w:spacing w:before="0"/>
              <w:rPr>
                <w:sz w:val="20"/>
                <w:szCs w:val="20"/>
              </w:rPr>
            </w:pPr>
          </w:p>
          <w:p w14:paraId="564D3507" w14:textId="77777777" w:rsidR="00195D90" w:rsidRPr="00315E9C" w:rsidRDefault="00195D90" w:rsidP="001D0D22">
            <w:pPr>
              <w:pStyle w:val="Tablecontents"/>
              <w:spacing w:before="0"/>
              <w:rPr>
                <w:sz w:val="20"/>
                <w:szCs w:val="20"/>
                <w:u w:val="single"/>
              </w:rPr>
            </w:pPr>
            <w:r w:rsidRPr="00315E9C">
              <w:rPr>
                <w:sz w:val="20"/>
                <w:szCs w:val="20"/>
                <w:u w:val="single"/>
              </w:rPr>
              <w:t>On review of a continuing authorisation period</w:t>
            </w:r>
          </w:p>
          <w:p w14:paraId="6AF8261B" w14:textId="77777777" w:rsidR="00195D90" w:rsidRPr="00315E9C" w:rsidRDefault="00195D90" w:rsidP="001D0D22">
            <w:pPr>
              <w:pStyle w:val="Tablecontents"/>
              <w:spacing w:before="0"/>
              <w:rPr>
                <w:sz w:val="20"/>
                <w:szCs w:val="20"/>
              </w:rPr>
            </w:pPr>
          </w:p>
          <w:p w14:paraId="4CDACE79" w14:textId="77777777" w:rsidR="00195D90" w:rsidRPr="00315E9C" w:rsidRDefault="00195D90" w:rsidP="001D0D22">
            <w:pPr>
              <w:pStyle w:val="Tablecontents"/>
              <w:spacing w:before="0"/>
              <w:rPr>
                <w:sz w:val="20"/>
                <w:szCs w:val="20"/>
              </w:rPr>
            </w:pPr>
            <w:r w:rsidRPr="00315E9C">
              <w:rPr>
                <w:sz w:val="20"/>
                <w:szCs w:val="20"/>
              </w:rPr>
              <w:t>Monitoring of trough or serum immunoglobulin levels (IgG, IgA and IgM) and any history of infection</w:t>
            </w:r>
          </w:p>
          <w:p w14:paraId="012FCAC2" w14:textId="77777777" w:rsidR="00195D90" w:rsidRPr="00315E9C" w:rsidRDefault="00195D90" w:rsidP="001D0D22">
            <w:pPr>
              <w:pStyle w:val="Tablecontents"/>
              <w:spacing w:before="0"/>
              <w:rPr>
                <w:sz w:val="20"/>
                <w:szCs w:val="20"/>
              </w:rPr>
            </w:pPr>
            <w:r w:rsidRPr="00315E9C">
              <w:rPr>
                <w:sz w:val="20"/>
                <w:szCs w:val="20"/>
              </w:rPr>
              <w:t>AND</w:t>
            </w:r>
          </w:p>
          <w:p w14:paraId="21821CF1" w14:textId="77777777" w:rsidR="00195D90" w:rsidRPr="00315E9C" w:rsidRDefault="00195D90" w:rsidP="001D0D22">
            <w:pPr>
              <w:pStyle w:val="Tablecontents"/>
              <w:spacing w:before="0"/>
              <w:rPr>
                <w:sz w:val="20"/>
                <w:szCs w:val="20"/>
              </w:rPr>
            </w:pPr>
            <w:r w:rsidRPr="00315E9C">
              <w:rPr>
                <w:sz w:val="20"/>
                <w:szCs w:val="20"/>
              </w:rPr>
              <w:t>A trial period of cessation of IVIg for the purposes of immunological evaluation will commence in September or October or is medically contraindicated on safety grounds (for example neutropenia, immunosuppressant medication, active bronchiectasis and/or suppuratives lung disease or severe hypogammaglobulinemia persists) where no significant improvement has occurred in the underlying condition</w:t>
            </w:r>
          </w:p>
        </w:tc>
      </w:tr>
    </w:tbl>
    <w:p w14:paraId="7D224D06" w14:textId="77777777" w:rsidR="00195D90" w:rsidRPr="00315E9C" w:rsidRDefault="001E409E" w:rsidP="001D0D22">
      <w:pPr>
        <w:rPr>
          <w:rFonts w:ascii="Arial Narrow" w:hAnsi="Arial Narrow" w:cstheme="minorHAnsi"/>
        </w:rPr>
      </w:pPr>
      <w:r w:rsidRPr="00315E9C">
        <w:rPr>
          <w:rFonts w:ascii="Arial Narrow" w:eastAsiaTheme="minorHAnsi" w:hAnsi="Arial Narrow" w:cs="Segoe UI"/>
          <w:sz w:val="18"/>
          <w:szCs w:val="18"/>
        </w:rPr>
        <w:lastRenderedPageBreak/>
        <w:t xml:space="preserve">Source: </w:t>
      </w:r>
      <w:r w:rsidR="00B01DD8" w:rsidRPr="00315E9C">
        <w:rPr>
          <w:rFonts w:ascii="Arial Narrow" w:eastAsiaTheme="minorHAnsi" w:hAnsi="Arial Narrow" w:cs="Segoe UI"/>
          <w:sz w:val="18"/>
          <w:szCs w:val="18"/>
        </w:rPr>
        <w:t xml:space="preserve">Criteria for Clinical Use of Immunoglobulin in Australia </w:t>
      </w:r>
      <w:r w:rsidR="00B01DD8" w:rsidRPr="00315E9C">
        <w:rPr>
          <w:rFonts w:ascii="Arial Narrow" w:eastAsiaTheme="minorHAnsi" w:hAnsi="Arial Narrow" w:cs="Segoe UI"/>
          <w:sz w:val="18"/>
          <w:szCs w:val="18"/>
        </w:rPr>
        <w:fldChar w:fldCharType="begin"/>
      </w:r>
      <w:r w:rsidR="00B01DD8" w:rsidRPr="00315E9C">
        <w:rPr>
          <w:rFonts w:ascii="Arial Narrow" w:eastAsiaTheme="minorHAnsi" w:hAnsi="Arial Narrow" w:cs="Segoe UI"/>
          <w:sz w:val="18"/>
          <w:szCs w:val="18"/>
        </w:rPr>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00B01DD8" w:rsidRPr="00315E9C">
        <w:rPr>
          <w:rFonts w:ascii="Arial Narrow" w:eastAsiaTheme="minorHAnsi" w:hAnsi="Arial Narrow" w:cs="Segoe UI"/>
          <w:sz w:val="18"/>
          <w:szCs w:val="18"/>
        </w:rPr>
        <w:fldChar w:fldCharType="separate"/>
      </w:r>
      <w:r w:rsidR="00B01DD8" w:rsidRPr="00315E9C">
        <w:rPr>
          <w:rFonts w:ascii="Arial Narrow" w:eastAsiaTheme="minorHAnsi" w:hAnsi="Arial Narrow" w:cs="Segoe UI"/>
          <w:noProof/>
          <w:sz w:val="18"/>
          <w:szCs w:val="18"/>
        </w:rPr>
        <w:t>(1)</w:t>
      </w:r>
      <w:r w:rsidR="00B01DD8" w:rsidRPr="00315E9C">
        <w:rPr>
          <w:rFonts w:ascii="Arial Narrow" w:eastAsiaTheme="minorHAnsi" w:hAnsi="Arial Narrow" w:cs="Segoe UI"/>
          <w:sz w:val="18"/>
          <w:szCs w:val="18"/>
        </w:rPr>
        <w:fldChar w:fldCharType="end"/>
      </w:r>
    </w:p>
    <w:p w14:paraId="27F1D1B6" w14:textId="776D6E8C" w:rsidR="00477258" w:rsidRPr="00315E9C" w:rsidRDefault="00477258" w:rsidP="00477258">
      <w:pPr>
        <w:rPr>
          <w:rFonts w:asciiTheme="minorHAnsi" w:hAnsiTheme="minorHAnsi" w:cstheme="minorHAnsi"/>
        </w:rPr>
      </w:pPr>
      <w:r w:rsidRPr="00315E9C">
        <w:rPr>
          <w:rFonts w:asciiTheme="minorHAnsi" w:hAnsiTheme="minorHAnsi" w:cstheme="minorHAnsi"/>
        </w:rPr>
        <w:t>Serum IgG should be measured on two separate occasions (at least one hour apart and at least one sample taken when the patient does not have an active infection). Baseline serum levels of IgA and IgM should be provided to allow assessment of immune recovery at review</w:t>
      </w:r>
      <w:r w:rsidR="00352C4E" w:rsidRPr="00315E9C">
        <w:rPr>
          <w:rFonts w:asciiTheme="minorHAnsi" w:hAnsiTheme="minorHAnsi" w:cstheme="minorHAnsi"/>
        </w:rPr>
        <w:t>.</w:t>
      </w:r>
    </w:p>
    <w:p w14:paraId="0306EBFE" w14:textId="3C36EE11" w:rsidR="00477258" w:rsidRPr="00315E9C" w:rsidRDefault="00477258" w:rsidP="00477258">
      <w:pPr>
        <w:rPr>
          <w:rFonts w:asciiTheme="minorHAnsi" w:hAnsiTheme="minorHAnsi" w:cstheme="minorHAnsi"/>
        </w:rPr>
      </w:pPr>
      <w:r w:rsidRPr="00315E9C">
        <w:rPr>
          <w:rFonts w:asciiTheme="minorHAnsi" w:hAnsiTheme="minorHAnsi" w:cstheme="minorHAnsi"/>
        </w:rPr>
        <w:t xml:space="preserve">Initial review is required within six months and ongoing reviews by a specialist at least annually to assess clinical benefit. Documentation of clinical effectiveness is necessary for continuation of Ig therapy. Cessation of Ig therapy should be considered at least after each 12 months of treatment.  If serum IgM and IgA levels are trending upwards and near normal, this may suggest recovery of the immune system and a trial might be considered if the patient is well. Once the patient has normal IgA and IgM levels, the IgG is also likely to be normal and a trial </w:t>
      </w:r>
      <w:r w:rsidR="007350CA" w:rsidRPr="00315E9C">
        <w:rPr>
          <w:rFonts w:asciiTheme="minorHAnsi" w:hAnsiTheme="minorHAnsi" w:cstheme="minorHAnsi"/>
        </w:rPr>
        <w:t xml:space="preserve">cessation period of </w:t>
      </w:r>
      <w:r w:rsidRPr="00315E9C">
        <w:rPr>
          <w:rFonts w:asciiTheme="minorHAnsi" w:hAnsiTheme="minorHAnsi" w:cstheme="minorHAnsi"/>
        </w:rPr>
        <w:t xml:space="preserve">Ig therapy may be undertaken. Ig therapy should be extended as required to enable </w:t>
      </w:r>
      <w:r w:rsidR="007350CA" w:rsidRPr="00315E9C">
        <w:rPr>
          <w:rFonts w:asciiTheme="minorHAnsi" w:hAnsiTheme="minorHAnsi" w:cstheme="minorHAnsi"/>
        </w:rPr>
        <w:t xml:space="preserve">the trial </w:t>
      </w:r>
      <w:r w:rsidRPr="00315E9C">
        <w:rPr>
          <w:rFonts w:asciiTheme="minorHAnsi" w:hAnsiTheme="minorHAnsi" w:cstheme="minorHAnsi"/>
        </w:rPr>
        <w:t xml:space="preserve">cessation of therapy </w:t>
      </w:r>
      <w:r w:rsidR="007350CA" w:rsidRPr="00315E9C">
        <w:rPr>
          <w:rFonts w:asciiTheme="minorHAnsi" w:hAnsiTheme="minorHAnsi" w:cstheme="minorHAnsi"/>
        </w:rPr>
        <w:t xml:space="preserve">to take place </w:t>
      </w:r>
      <w:r w:rsidRPr="00315E9C">
        <w:rPr>
          <w:rFonts w:asciiTheme="minorHAnsi" w:hAnsiTheme="minorHAnsi" w:cstheme="minorHAnsi"/>
        </w:rPr>
        <w:t>in September/October, with repeat clinical and/or immunological evaluation before recommencement of therapy</w:t>
      </w:r>
      <w:r w:rsidR="007350CA" w:rsidRPr="00315E9C">
        <w:rPr>
          <w:rFonts w:asciiTheme="minorHAnsi" w:hAnsiTheme="minorHAnsi" w:cstheme="minorHAnsi"/>
        </w:rPr>
        <w:t xml:space="preserve"> if needed</w:t>
      </w:r>
      <w:r w:rsidRPr="00315E9C">
        <w:rPr>
          <w:rFonts w:asciiTheme="minorHAnsi" w:hAnsiTheme="minorHAnsi" w:cstheme="minorHAnsi"/>
        </w:rPr>
        <w:t>.</w:t>
      </w:r>
    </w:p>
    <w:p w14:paraId="3B981D94" w14:textId="08573635" w:rsidR="00477258" w:rsidRPr="00315E9C" w:rsidRDefault="00477258" w:rsidP="00F85EC5">
      <w:pPr>
        <w:rPr>
          <w:szCs w:val="20"/>
        </w:rPr>
      </w:pPr>
      <w:r w:rsidRPr="00315E9C">
        <w:rPr>
          <w:szCs w:val="20"/>
        </w:rPr>
        <w:t xml:space="preserve">The applicant </w:t>
      </w:r>
      <w:r w:rsidR="00A14607" w:rsidRPr="00315E9C">
        <w:rPr>
          <w:szCs w:val="20"/>
        </w:rPr>
        <w:t>reported</w:t>
      </w:r>
      <w:r w:rsidRPr="00315E9C">
        <w:rPr>
          <w:szCs w:val="20"/>
        </w:rPr>
        <w:t xml:space="preserve"> the</w:t>
      </w:r>
      <w:r w:rsidRPr="00315E9C">
        <w:t xml:space="preserve"> usual length of an authorisation for maintenance therapy is one year, although continuing therapy can exceed one year and can be ongoing. The average duration of Ig therapy for secondary hypogammaglobulinaemia is unknown and is likely to vary between specific conditions due to varying specific conditions and underlying causes. </w:t>
      </w:r>
      <w:r w:rsidRPr="00315E9C">
        <w:rPr>
          <w:szCs w:val="20"/>
        </w:rPr>
        <w:t>Clinical experts</w:t>
      </w:r>
      <w:r w:rsidRPr="00315E9C">
        <w:rPr>
          <w:rStyle w:val="FootnoteReference"/>
          <w:szCs w:val="20"/>
        </w:rPr>
        <w:footnoteReference w:id="1"/>
      </w:r>
      <w:r w:rsidRPr="00315E9C">
        <w:rPr>
          <w:szCs w:val="20"/>
        </w:rPr>
        <w:t xml:space="preserve"> advised that patients with secondary hypogammaglobulinaemia are usually treated for 12-24 months while their immune system recovers. However, this recovery time doesn’t apply to all patients as the underlying conditions of this group are heterogenous and the treatments used to manage the conditions have varying durations. Whilst most patients are likely to improve from Ig therapy, there are patients that do not respond to Ig therapy </w:t>
      </w:r>
      <w:r w:rsidR="007350CA" w:rsidRPr="00315E9C">
        <w:rPr>
          <w:szCs w:val="20"/>
        </w:rPr>
        <w:t xml:space="preserve">but </w:t>
      </w:r>
      <w:r w:rsidRPr="00315E9C">
        <w:rPr>
          <w:szCs w:val="20"/>
        </w:rPr>
        <w:t xml:space="preserve">who </w:t>
      </w:r>
      <w:r w:rsidR="007350CA" w:rsidRPr="00315E9C">
        <w:rPr>
          <w:szCs w:val="20"/>
        </w:rPr>
        <w:t xml:space="preserve">may </w:t>
      </w:r>
      <w:r w:rsidRPr="00315E9C">
        <w:rPr>
          <w:szCs w:val="20"/>
        </w:rPr>
        <w:t>continue to be treated with Ig therapy under another condition</w:t>
      </w:r>
      <w:r w:rsidR="00F85EC5" w:rsidRPr="00315E9C">
        <w:rPr>
          <w:szCs w:val="20"/>
        </w:rPr>
        <w:t>.</w:t>
      </w:r>
    </w:p>
    <w:p w14:paraId="1DAFA32A" w14:textId="57E8B288" w:rsidR="001E104A" w:rsidRPr="00315E9C" w:rsidRDefault="001E104A" w:rsidP="00477258">
      <w:pPr>
        <w:rPr>
          <w:szCs w:val="20"/>
        </w:rPr>
      </w:pPr>
      <w:r w:rsidRPr="00315E9C">
        <w:rPr>
          <w:szCs w:val="20"/>
        </w:rPr>
        <w:t xml:space="preserve">It is important to note </w:t>
      </w:r>
      <w:r w:rsidR="00283CC6" w:rsidRPr="00315E9C">
        <w:rPr>
          <w:szCs w:val="20"/>
        </w:rPr>
        <w:t>the level of evidence underlying the Criteria is “Category 4a” (insufficient data) and Ig replacement therapy treatment is considered to have an “emerging therapeutic role” in this indication.</w:t>
      </w:r>
    </w:p>
    <w:p w14:paraId="55B39A59" w14:textId="77777777" w:rsidR="00E15901" w:rsidRPr="00315E9C" w:rsidRDefault="00E15901" w:rsidP="00E63E99">
      <w:pPr>
        <w:pStyle w:val="Heading4"/>
      </w:pPr>
      <w:r w:rsidRPr="00315E9C">
        <w:lastRenderedPageBreak/>
        <w:t>Dosing</w:t>
      </w:r>
    </w:p>
    <w:p w14:paraId="6635222B" w14:textId="77777777" w:rsidR="006C017E" w:rsidRPr="00315E9C" w:rsidRDefault="002A7EE2" w:rsidP="00E15901">
      <w:pPr>
        <w:keepNext/>
        <w:rPr>
          <w:rFonts w:asciiTheme="minorHAnsi" w:hAnsiTheme="minorHAnsi" w:cstheme="minorHAnsi"/>
        </w:rPr>
      </w:pPr>
      <w:r w:rsidRPr="00315E9C">
        <w:rPr>
          <w:rFonts w:asciiTheme="minorHAnsi" w:hAnsiTheme="minorHAnsi" w:cstheme="minorHAnsi"/>
        </w:rPr>
        <w:t xml:space="preserve">The aim of treatment with IgG should be to use the lowest dose possible to achieve the appropriate clinical outcome for each patient. </w:t>
      </w:r>
      <w:r w:rsidR="006C017E" w:rsidRPr="00315E9C">
        <w:rPr>
          <w:rFonts w:asciiTheme="minorHAnsi" w:hAnsiTheme="minorHAnsi" w:cstheme="minorHAnsi"/>
        </w:rPr>
        <w:t xml:space="preserve">The Criteria V3 </w:t>
      </w:r>
      <w:r w:rsidR="00B01DD8" w:rsidRPr="00315E9C">
        <w:rPr>
          <w:rFonts w:asciiTheme="minorHAnsi" w:hAnsiTheme="minorHAnsi" w:cstheme="minorHAnsi"/>
        </w:rPr>
        <w:fldChar w:fldCharType="begin"/>
      </w:r>
      <w:r w:rsidR="00B01DD8" w:rsidRPr="00315E9C">
        <w:rPr>
          <w:rFonts w:asciiTheme="minorHAnsi" w:hAnsiTheme="minorHAnsi" w:cstheme="minorHAnsi"/>
        </w:rPr>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00B01DD8" w:rsidRPr="00315E9C">
        <w:rPr>
          <w:rFonts w:asciiTheme="minorHAnsi" w:hAnsiTheme="minorHAnsi" w:cstheme="minorHAnsi"/>
        </w:rPr>
        <w:fldChar w:fldCharType="separate"/>
      </w:r>
      <w:r w:rsidR="00B01DD8" w:rsidRPr="00315E9C">
        <w:rPr>
          <w:rFonts w:asciiTheme="minorHAnsi" w:hAnsiTheme="minorHAnsi" w:cstheme="minorHAnsi"/>
          <w:noProof/>
        </w:rPr>
        <w:t>(1)</w:t>
      </w:r>
      <w:r w:rsidR="00B01DD8" w:rsidRPr="00315E9C">
        <w:rPr>
          <w:rFonts w:asciiTheme="minorHAnsi" w:hAnsiTheme="minorHAnsi" w:cstheme="minorHAnsi"/>
        </w:rPr>
        <w:fldChar w:fldCharType="end"/>
      </w:r>
      <w:r w:rsidR="00B01DD8" w:rsidRPr="00315E9C">
        <w:rPr>
          <w:rFonts w:asciiTheme="minorHAnsi" w:hAnsiTheme="minorHAnsi" w:cstheme="minorHAnsi"/>
        </w:rPr>
        <w:t xml:space="preserve"> </w:t>
      </w:r>
      <w:r w:rsidR="006C017E" w:rsidRPr="00315E9C">
        <w:rPr>
          <w:rFonts w:asciiTheme="minorHAnsi" w:hAnsiTheme="minorHAnsi" w:cstheme="minorHAnsi"/>
        </w:rPr>
        <w:t>recommen</w:t>
      </w:r>
      <w:r w:rsidR="00677E5B" w:rsidRPr="00315E9C">
        <w:rPr>
          <w:rFonts w:asciiTheme="minorHAnsi" w:hAnsiTheme="minorHAnsi" w:cstheme="minorHAnsi"/>
        </w:rPr>
        <w:t>d</w:t>
      </w:r>
      <w:r w:rsidR="006C017E" w:rsidRPr="00315E9C">
        <w:rPr>
          <w:rFonts w:asciiTheme="minorHAnsi" w:hAnsiTheme="minorHAnsi" w:cstheme="minorHAnsi"/>
        </w:rPr>
        <w:t>s</w:t>
      </w:r>
      <w:r w:rsidR="00677E5B" w:rsidRPr="00315E9C">
        <w:rPr>
          <w:rFonts w:asciiTheme="minorHAnsi" w:hAnsiTheme="minorHAnsi" w:cstheme="minorHAnsi"/>
        </w:rPr>
        <w:t xml:space="preserve"> the following dosing regimen for IVIg:</w:t>
      </w:r>
    </w:p>
    <w:p w14:paraId="1F6CC3A9" w14:textId="77777777" w:rsidR="006C017E" w:rsidRPr="00315E9C" w:rsidRDefault="006C017E" w:rsidP="006C017E">
      <w:pPr>
        <w:numPr>
          <w:ilvl w:val="0"/>
          <w:numId w:val="18"/>
        </w:numPr>
        <w:shd w:val="clear" w:color="auto" w:fill="FFFFFF"/>
        <w:spacing w:before="150" w:after="150" w:line="240" w:lineRule="auto"/>
        <w:ind w:left="870" w:right="150"/>
        <w:rPr>
          <w:rFonts w:asciiTheme="minorHAnsi" w:hAnsiTheme="minorHAnsi" w:cstheme="minorHAnsi"/>
        </w:rPr>
      </w:pPr>
      <w:r w:rsidRPr="00315E9C">
        <w:rPr>
          <w:rFonts w:asciiTheme="minorHAnsi" w:hAnsiTheme="minorHAnsi" w:cstheme="minorHAnsi"/>
        </w:rPr>
        <w:t>Loading Dose - One loading dose of 0.4 g/kg in the first month of therapy (in addition to the maintenance dose) is permitted if the serum IgG level is &lt;4 g/L.</w:t>
      </w:r>
    </w:p>
    <w:p w14:paraId="2A9ADD6C" w14:textId="77777777" w:rsidR="006C017E" w:rsidRPr="00315E9C" w:rsidRDefault="006C017E" w:rsidP="006C017E">
      <w:pPr>
        <w:numPr>
          <w:ilvl w:val="0"/>
          <w:numId w:val="18"/>
        </w:numPr>
        <w:shd w:val="clear" w:color="auto" w:fill="FFFFFF"/>
        <w:spacing w:before="150" w:after="150" w:line="240" w:lineRule="auto"/>
        <w:ind w:left="870" w:right="150"/>
        <w:rPr>
          <w:rFonts w:asciiTheme="minorHAnsi" w:hAnsiTheme="minorHAnsi" w:cstheme="minorHAnsi"/>
        </w:rPr>
      </w:pPr>
      <w:r w:rsidRPr="00315E9C">
        <w:rPr>
          <w:rFonts w:asciiTheme="minorHAnsi" w:hAnsiTheme="minorHAnsi" w:cstheme="minorHAnsi"/>
        </w:rPr>
        <w:t>Maintenance Dose - 0.4 g/kg every four weeks or more frequently, to achieve IgG trough level of at least the lower limit of the age-specific serum IgG reference range. More frequent dosing to achieve IgG trough level of up to 9 g/L is permitted if chronic suppurative lung disease is not adequately controlled at an IgG trough level at the lower limit of the age-specific serum IgG reference range. A total dose of up to 1 g/kg may be given over any four week period.</w:t>
      </w:r>
    </w:p>
    <w:p w14:paraId="6DF4E89E" w14:textId="75D5838A" w:rsidR="0079224F" w:rsidRPr="00315E9C" w:rsidRDefault="006C017E" w:rsidP="00315E9C">
      <w:pPr>
        <w:shd w:val="clear" w:color="auto" w:fill="FFFFFF"/>
        <w:spacing w:after="0" w:line="240" w:lineRule="auto"/>
        <w:rPr>
          <w:rFonts w:asciiTheme="minorHAnsi" w:hAnsiTheme="minorHAnsi" w:cstheme="minorHAnsi"/>
        </w:rPr>
      </w:pPr>
      <w:r w:rsidRPr="00315E9C">
        <w:rPr>
          <w:rFonts w:asciiTheme="minorHAnsi" w:hAnsiTheme="minorHAnsi" w:cstheme="minorHAnsi"/>
        </w:rPr>
        <w:t>Subcutaneous administration of immunoglobulins is a suitable alternative to IVIg in this condition, a</w:t>
      </w:r>
      <w:r w:rsidR="00677E5B" w:rsidRPr="00315E9C">
        <w:rPr>
          <w:rFonts w:asciiTheme="minorHAnsi" w:hAnsiTheme="minorHAnsi" w:cstheme="minorHAnsi"/>
        </w:rPr>
        <w:t>t a</w:t>
      </w:r>
      <w:r w:rsidRPr="00315E9C">
        <w:rPr>
          <w:rFonts w:asciiTheme="minorHAnsi" w:hAnsiTheme="minorHAnsi" w:cstheme="minorHAnsi"/>
        </w:rPr>
        <w:t xml:space="preserve"> dose is 0.1 g/kg every week, modified to achieve a serum IgG level of at least the lower limit of the age specific serum IgG reference range. </w:t>
      </w:r>
      <w:r w:rsidRPr="00315E9C">
        <w:rPr>
          <w:rFonts w:asciiTheme="minorHAnsi" w:hAnsiTheme="minorHAnsi" w:cstheme="minorHAnsi"/>
        </w:rPr>
        <w:br/>
      </w:r>
    </w:p>
    <w:p w14:paraId="678CE7BD" w14:textId="77777777" w:rsidR="00896845" w:rsidRPr="00315E9C" w:rsidRDefault="00896845" w:rsidP="00E63E99">
      <w:pPr>
        <w:pStyle w:val="Heading3"/>
      </w:pPr>
      <w:r w:rsidRPr="00315E9C">
        <w:t>Comparator</w:t>
      </w:r>
    </w:p>
    <w:p w14:paraId="23A31EB2" w14:textId="77777777" w:rsidR="00435FCF" w:rsidRPr="00315E9C" w:rsidRDefault="00435FCF" w:rsidP="00B01DD8">
      <w:pPr>
        <w:rPr>
          <w:rFonts w:asciiTheme="minorHAnsi" w:eastAsiaTheme="minorHAnsi" w:hAnsiTheme="minorHAnsi"/>
          <w:sz w:val="20"/>
        </w:rPr>
      </w:pPr>
      <w:r w:rsidRPr="00315E9C">
        <w:t>The Ig Reference Group</w:t>
      </w:r>
      <w:r w:rsidRPr="00315E9C">
        <w:rPr>
          <w:rStyle w:val="FootnoteReference"/>
        </w:rPr>
        <w:footnoteReference w:id="2"/>
      </w:r>
      <w:r w:rsidRPr="00315E9C">
        <w:t xml:space="preserve"> agreed that, given the heterogeneous patient group, ‘no Ig’ should be the comparator to Ig therapy for </w:t>
      </w:r>
      <w:r w:rsidR="00BB3552" w:rsidRPr="00315E9C">
        <w:t>s</w:t>
      </w:r>
      <w:r w:rsidRPr="00315E9C">
        <w:t>econdary hypogammaglobulinaemia. Best practice standard of care for certain specific conditions may or may not include antibiotic treatment, prophylactic antibiotics and thymectomy.</w:t>
      </w:r>
    </w:p>
    <w:p w14:paraId="43DD4EC2" w14:textId="77777777" w:rsidR="00435FCF" w:rsidRPr="00315E9C" w:rsidRDefault="00435FCF" w:rsidP="00B01DD8">
      <w:r w:rsidRPr="00315E9C">
        <w:t xml:space="preserve">Patients may require different concurrent therapies for </w:t>
      </w:r>
      <w:r w:rsidR="00BB3552" w:rsidRPr="00315E9C">
        <w:t>s</w:t>
      </w:r>
      <w:r w:rsidRPr="00315E9C">
        <w:t>econdary hypogammaglobulinaemia depending on the initial cause. For example, a patient with Good’s syndrome is likely to require a thymectomy to treat a thymoma.</w:t>
      </w:r>
    </w:p>
    <w:p w14:paraId="1C2335E1" w14:textId="77777777" w:rsidR="00896845" w:rsidRPr="00315E9C" w:rsidRDefault="00896845" w:rsidP="00E63E99">
      <w:pPr>
        <w:pStyle w:val="Heading3"/>
      </w:pPr>
      <w:r w:rsidRPr="00315E9C">
        <w:t>Outcomes</w:t>
      </w:r>
    </w:p>
    <w:p w14:paraId="0DD6C492" w14:textId="77777777" w:rsidR="002A66BD" w:rsidRPr="00E63E99" w:rsidRDefault="0007253A" w:rsidP="00E63E99">
      <w:pPr>
        <w:pStyle w:val="Heading4"/>
      </w:pPr>
      <w:r w:rsidRPr="00E63E99">
        <w:t>Effectiveness</w:t>
      </w:r>
    </w:p>
    <w:p w14:paraId="033FC1A0" w14:textId="77777777" w:rsidR="00CD7D77" w:rsidRPr="00315E9C" w:rsidRDefault="00CD7D77" w:rsidP="00CD7D77">
      <w:pPr>
        <w:rPr>
          <w:rFonts w:asciiTheme="minorHAnsi" w:hAnsiTheme="minorHAnsi" w:cstheme="minorHAnsi"/>
        </w:rPr>
      </w:pPr>
      <w:r w:rsidRPr="00315E9C">
        <w:rPr>
          <w:rFonts w:asciiTheme="minorHAnsi" w:hAnsiTheme="minorHAnsi" w:cstheme="minorHAnsi"/>
        </w:rPr>
        <w:t xml:space="preserve">The applicant proposes that mortality, morbidity, infections (decrease in infection rate), hospitalisations and quality of life are the effectiveness outcomes that should be included in the evaluation. </w:t>
      </w:r>
    </w:p>
    <w:p w14:paraId="3FF3CD86" w14:textId="05AB3714" w:rsidR="00A419CB" w:rsidRPr="00315E9C" w:rsidRDefault="00995FBA" w:rsidP="00995FBA">
      <w:pPr>
        <w:rPr>
          <w:rFonts w:asciiTheme="minorHAnsi" w:hAnsiTheme="minorHAnsi" w:cstheme="minorHAnsi"/>
        </w:rPr>
      </w:pPr>
      <w:r w:rsidRPr="00315E9C">
        <w:rPr>
          <w:rFonts w:asciiTheme="minorHAnsi" w:hAnsiTheme="minorHAnsi" w:cstheme="minorHAnsi"/>
        </w:rPr>
        <w:t xml:space="preserve">The United Kingdom’s Clinical Guidelines for Immunoglobulin Use </w:t>
      </w:r>
      <w:r w:rsidR="00EB77F0" w:rsidRPr="00315E9C">
        <w:rPr>
          <w:rFonts w:asciiTheme="minorHAnsi" w:hAnsiTheme="minorHAnsi" w:cstheme="minorHAnsi"/>
        </w:rPr>
        <w:fldChar w:fldCharType="begin"/>
      </w:r>
      <w:r w:rsidR="00EB77F0" w:rsidRPr="00315E9C">
        <w:rPr>
          <w:rFonts w:asciiTheme="minorHAnsi" w:hAnsiTheme="minorHAnsi" w:cstheme="minorHAnsi"/>
        </w:rPr>
        <w:instrText xml:space="preserve"> ADDIN EN.CITE &lt;EndNote&gt;&lt;Cite&gt;&lt;Author&gt;Department of Health&lt;/Author&gt;&lt;Year&gt;2011&lt;/Year&gt;&lt;RecNum&gt;11&lt;/RecNum&gt;&lt;DisplayText&gt;(8)&lt;/DisplayText&gt;&lt;record&gt;&lt;rec-number&gt;11&lt;/rec-number&gt;&lt;foreign-keys&gt;&lt;key app="EN" db-id="5xftwazxqe520uewe2ax9va4adpprzt9xazr" timestamp="1571186559"&gt;11&lt;/key&gt;&lt;/foreign-keys&gt;&lt;ref-type name="Report"&gt;27&lt;/ref-type&gt;&lt;contributors&gt;&lt;authors&gt;&lt;author&gt;Department of Health, &lt;/author&gt;&lt;/authors&gt;&lt;/contributors&gt;&lt;titles&gt;&lt;title&gt;Clinical guidelines for immunoglobulin use&lt;/title&gt;&lt;/titles&gt;&lt;dates&gt;&lt;year&gt;2011&lt;/year&gt;&lt;/dates&gt;&lt;pub-location&gt;Department of Health, UK&lt;/pub-location&gt;&lt;urls&gt;&lt;related-urls&gt;&lt;url&gt;https://assets.publishing.service.gov.uk/government/uploads/system/uploads/attachment_data/file/216671/dh_131107.pdf&lt;/url&gt;&lt;/related-urls&gt;&lt;/urls&gt;&lt;access-date&gt;16/10/19&lt;/access-date&gt;&lt;/record&gt;&lt;/Cite&gt;&lt;/EndNote&gt;</w:instrText>
      </w:r>
      <w:r w:rsidR="00EB77F0" w:rsidRPr="00315E9C">
        <w:rPr>
          <w:rFonts w:asciiTheme="minorHAnsi" w:hAnsiTheme="minorHAnsi" w:cstheme="minorHAnsi"/>
        </w:rPr>
        <w:fldChar w:fldCharType="separate"/>
      </w:r>
      <w:r w:rsidR="00EB77F0" w:rsidRPr="00315E9C">
        <w:rPr>
          <w:rFonts w:asciiTheme="minorHAnsi" w:hAnsiTheme="minorHAnsi" w:cstheme="minorHAnsi"/>
          <w:noProof/>
        </w:rPr>
        <w:t>(8)</w:t>
      </w:r>
      <w:r w:rsidR="00EB77F0" w:rsidRPr="00315E9C">
        <w:rPr>
          <w:rFonts w:asciiTheme="minorHAnsi" w:hAnsiTheme="minorHAnsi" w:cstheme="minorHAnsi"/>
        </w:rPr>
        <w:fldChar w:fldCharType="end"/>
      </w:r>
      <w:r w:rsidR="00EB77F0" w:rsidRPr="00315E9C">
        <w:rPr>
          <w:rFonts w:asciiTheme="minorHAnsi" w:hAnsiTheme="minorHAnsi" w:cstheme="minorHAnsi"/>
        </w:rPr>
        <w:t xml:space="preserve"> </w:t>
      </w:r>
      <w:r w:rsidRPr="00315E9C">
        <w:rPr>
          <w:rFonts w:asciiTheme="minorHAnsi" w:hAnsiTheme="minorHAnsi" w:cstheme="minorHAnsi"/>
        </w:rPr>
        <w:t xml:space="preserve">require reporting </w:t>
      </w:r>
      <w:r w:rsidR="00F33098" w:rsidRPr="00315E9C">
        <w:rPr>
          <w:rFonts w:asciiTheme="minorHAnsi" w:hAnsiTheme="minorHAnsi" w:cstheme="minorHAnsi"/>
        </w:rPr>
        <w:t xml:space="preserve">the </w:t>
      </w:r>
      <w:r w:rsidRPr="00315E9C">
        <w:rPr>
          <w:rFonts w:asciiTheme="minorHAnsi" w:hAnsiTheme="minorHAnsi" w:cstheme="minorHAnsi"/>
        </w:rPr>
        <w:t xml:space="preserve">number of infections and number of days in hospital as efficacy outcomes for </w:t>
      </w:r>
      <w:r w:rsidR="008C2823" w:rsidRPr="00315E9C">
        <w:rPr>
          <w:rFonts w:asciiTheme="minorHAnsi" w:hAnsiTheme="minorHAnsi" w:cstheme="minorHAnsi"/>
        </w:rPr>
        <w:t>secondary hypogammagloblulinaemia of any cause</w:t>
      </w:r>
      <w:r w:rsidRPr="00315E9C">
        <w:rPr>
          <w:rFonts w:asciiTheme="minorHAnsi" w:hAnsiTheme="minorHAnsi" w:cstheme="minorHAnsi"/>
        </w:rPr>
        <w:t>.</w:t>
      </w:r>
      <w:r w:rsidR="00A419CB" w:rsidRPr="00315E9C">
        <w:rPr>
          <w:rFonts w:asciiTheme="minorHAnsi" w:hAnsiTheme="minorHAnsi" w:cstheme="minorHAnsi"/>
        </w:rPr>
        <w:t xml:space="preserve"> Additionally, they require the measurement of antibody-mediated rejection (AMR), antibody incompatible transplant (AIT), and viral pneumonitis in patients treated with Ig following solid organ transplantation. </w:t>
      </w:r>
    </w:p>
    <w:p w14:paraId="07206294" w14:textId="78D1E90C" w:rsidR="00D947FD" w:rsidRPr="00315E9C" w:rsidRDefault="00995FBA" w:rsidP="00D947FD">
      <w:pPr>
        <w:rPr>
          <w:rFonts w:asciiTheme="minorHAnsi" w:hAnsiTheme="minorHAnsi" w:cstheme="minorHAnsi"/>
        </w:rPr>
      </w:pPr>
      <w:r w:rsidRPr="00315E9C">
        <w:rPr>
          <w:rFonts w:asciiTheme="minorHAnsi" w:hAnsiTheme="minorHAnsi" w:cstheme="minorHAnsi"/>
        </w:rPr>
        <w:t xml:space="preserve">The </w:t>
      </w:r>
      <w:r w:rsidR="00DA2F36" w:rsidRPr="00315E9C">
        <w:rPr>
          <w:rFonts w:asciiTheme="minorHAnsi" w:hAnsiTheme="minorHAnsi" w:cstheme="minorHAnsi"/>
        </w:rPr>
        <w:t>European Medicines Agency (</w:t>
      </w:r>
      <w:r w:rsidRPr="00315E9C">
        <w:rPr>
          <w:rFonts w:asciiTheme="minorHAnsi" w:hAnsiTheme="minorHAnsi" w:cstheme="minorHAnsi"/>
        </w:rPr>
        <w:t>EMA</w:t>
      </w:r>
      <w:r w:rsidR="00DA2F36" w:rsidRPr="00315E9C">
        <w:rPr>
          <w:rFonts w:asciiTheme="minorHAnsi" w:hAnsiTheme="minorHAnsi" w:cstheme="minorHAnsi"/>
        </w:rPr>
        <w:t>)</w:t>
      </w:r>
      <w:r w:rsidRPr="00315E9C">
        <w:rPr>
          <w:rFonts w:asciiTheme="minorHAnsi" w:hAnsiTheme="minorHAnsi" w:cstheme="minorHAnsi"/>
        </w:rPr>
        <w:t xml:space="preserve"> Guideline</w:t>
      </w:r>
      <w:r w:rsidR="00D947FD" w:rsidRPr="00315E9C">
        <w:rPr>
          <w:rFonts w:asciiTheme="minorHAnsi" w:hAnsiTheme="minorHAnsi" w:cstheme="minorHAnsi"/>
        </w:rPr>
        <w:t>s for</w:t>
      </w:r>
      <w:r w:rsidRPr="00315E9C">
        <w:rPr>
          <w:rFonts w:asciiTheme="minorHAnsi" w:hAnsiTheme="minorHAnsi" w:cstheme="minorHAnsi"/>
        </w:rPr>
        <w:t xml:space="preserve"> IgG products recommend the number of serious bacterial infections as the primary endpoint for clinical evaluation of IVIg </w:t>
      </w:r>
      <w:r w:rsidR="00EB77F0" w:rsidRPr="00315E9C">
        <w:rPr>
          <w:rFonts w:asciiTheme="minorHAnsi" w:hAnsiTheme="minorHAnsi" w:cstheme="minorHAnsi"/>
        </w:rPr>
        <w:t xml:space="preserve">and SCIg </w:t>
      </w:r>
      <w:r w:rsidRPr="00315E9C">
        <w:rPr>
          <w:rFonts w:asciiTheme="minorHAnsi" w:hAnsiTheme="minorHAnsi" w:cstheme="minorHAnsi"/>
        </w:rPr>
        <w:t xml:space="preserve">in primary </w:t>
      </w:r>
      <w:r w:rsidRPr="00315E9C">
        <w:rPr>
          <w:rFonts w:asciiTheme="minorHAnsi" w:hAnsiTheme="minorHAnsi" w:cstheme="minorHAnsi"/>
        </w:rPr>
        <w:lastRenderedPageBreak/>
        <w:t>and secondary immunodeficiencies</w:t>
      </w:r>
      <w:r w:rsidR="00D947FD" w:rsidRPr="00315E9C">
        <w:rPr>
          <w:rFonts w:asciiTheme="minorHAnsi" w:hAnsiTheme="minorHAnsi" w:cstheme="minorHAnsi"/>
        </w:rPr>
        <w:t xml:space="preserve">, with the aim to achieve </w:t>
      </w:r>
      <w:r w:rsidRPr="00315E9C">
        <w:rPr>
          <w:rFonts w:asciiTheme="minorHAnsi" w:hAnsiTheme="minorHAnsi" w:cstheme="minorHAnsi"/>
        </w:rPr>
        <w:t>less than 1.0 infection/subject/year. Recommended secondary endpoints include IgG trough levels, any infections, antibiotic treatment, hospitalisations and fever episodes</w:t>
      </w:r>
      <w:r w:rsidR="00EB77F0" w:rsidRPr="00315E9C">
        <w:rPr>
          <w:rFonts w:asciiTheme="minorHAnsi" w:hAnsiTheme="minorHAnsi" w:cstheme="minorHAnsi"/>
        </w:rPr>
        <w:t xml:space="preserve"> </w:t>
      </w:r>
      <w:r w:rsidR="00EB77F0" w:rsidRPr="00315E9C">
        <w:rPr>
          <w:rFonts w:asciiTheme="minorHAnsi" w:hAnsiTheme="minorHAnsi" w:cstheme="minorHAnsi"/>
        </w:rPr>
        <w:fldChar w:fldCharType="begin"/>
      </w:r>
      <w:r w:rsidR="00EB77F0" w:rsidRPr="00315E9C">
        <w:rPr>
          <w:rFonts w:asciiTheme="minorHAnsi" w:hAnsiTheme="minorHAnsi" w:cstheme="minorHAnsi"/>
        </w:rPr>
        <w:instrText xml:space="preserve"> ADDIN EN.CITE &lt;EndNote&gt;&lt;Cite&gt;&lt;Author&gt;EMA&lt;/Author&gt;&lt;Year&gt;2018&lt;/Year&gt;&lt;RecNum&gt;9&lt;/RecNum&gt;&lt;DisplayText&gt;(9, 10)&lt;/DisplayText&gt;&lt;record&gt;&lt;rec-number&gt;9&lt;/rec-number&gt;&lt;foreign-keys&gt;&lt;key app="EN" db-id="5xftwazxqe520uewe2ax9va4adpprzt9xazr" timestamp="1571186106"&gt;9&lt;/key&gt;&lt;/foreign-keys&gt;&lt;ref-type name="Report"&gt;27&lt;/ref-type&gt;&lt;contributors&gt;&lt;authors&gt;&lt;author&gt;EMA&lt;/author&gt;&lt;/authors&gt;&lt;/contributors&gt;&lt;titles&gt;&lt;title&gt;Guideline on the clinical investigation of human normal immunoglobulin for intravenous administration (IVIg)&lt;/title&gt;&lt;/titles&gt;&lt;dates&gt;&lt;year&gt;2018&lt;/year&gt;&lt;/dates&gt;&lt;pub-location&gt;European Medicines Agency&lt;/pub-location&gt;&lt;urls&gt;&lt;related-urls&gt;&lt;url&gt;https://www.ema.europa.eu/en/documents/scientific-guideline/guideline-clinical-investigation-human-normal-immunoglobulin-intravenous-administration-ivig-rev-3_en.pdf&lt;/url&gt;&lt;/related-urls&gt;&lt;/urls&gt;&lt;access-date&gt;16/10/19&lt;/access-date&gt;&lt;/record&gt;&lt;/Cite&gt;&lt;Cite&gt;&lt;Author&gt;EMA&lt;/Author&gt;&lt;Year&gt;2015&lt;/Year&gt;&lt;RecNum&gt;10&lt;/RecNum&gt;&lt;record&gt;&lt;rec-number&gt;10&lt;/rec-number&gt;&lt;foreign-keys&gt;&lt;key app="EN" db-id="5xftwazxqe520uewe2ax9va4adpprzt9xazr" timestamp="1571186361"&gt;10&lt;/key&gt;&lt;/foreign-keys&gt;&lt;ref-type name="Report"&gt;27&lt;/ref-type&gt;&lt;contributors&gt;&lt;authors&gt;&lt;author&gt;EMA&lt;/author&gt;&lt;/authors&gt;&lt;/contributors&gt;&lt;titles&gt;&lt;title&gt;Guideline on the clinical investigation of human normal immunoglobulin for subcutaneous and/or intramuscular administration (SCIg/IMIg)&lt;/title&gt;&lt;/titles&gt;&lt;dates&gt;&lt;year&gt;2015&lt;/year&gt;&lt;/dates&gt;&lt;urls&gt;&lt;related-urls&gt;&lt;url&gt;https://www.ema.europa.eu/en/documents/scientific-guideline/guideline-clinical-investigation-human-normal-immunoglobulin-subcutaneous/intramuscular-administration-scig/imig_en.pdf&lt;/url&gt;&lt;/related-urls&gt;&lt;/urls&gt;&lt;access-date&gt;16/10/19&lt;/access-date&gt;&lt;/record&gt;&lt;/Cite&gt;&lt;/EndNote&gt;</w:instrText>
      </w:r>
      <w:r w:rsidR="00EB77F0" w:rsidRPr="00315E9C">
        <w:rPr>
          <w:rFonts w:asciiTheme="minorHAnsi" w:hAnsiTheme="minorHAnsi" w:cstheme="minorHAnsi"/>
        </w:rPr>
        <w:fldChar w:fldCharType="separate"/>
      </w:r>
      <w:r w:rsidR="00EB77F0" w:rsidRPr="00315E9C">
        <w:rPr>
          <w:rFonts w:asciiTheme="minorHAnsi" w:hAnsiTheme="minorHAnsi" w:cstheme="minorHAnsi"/>
          <w:noProof/>
        </w:rPr>
        <w:t>(9, 10)</w:t>
      </w:r>
      <w:r w:rsidR="00EB77F0" w:rsidRPr="00315E9C">
        <w:rPr>
          <w:rFonts w:asciiTheme="minorHAnsi" w:hAnsiTheme="minorHAnsi" w:cstheme="minorHAnsi"/>
        </w:rPr>
        <w:fldChar w:fldCharType="end"/>
      </w:r>
      <w:r w:rsidRPr="00315E9C">
        <w:rPr>
          <w:rFonts w:asciiTheme="minorHAnsi" w:hAnsiTheme="minorHAnsi" w:cstheme="minorHAnsi"/>
        </w:rPr>
        <w:t xml:space="preserve">. </w:t>
      </w:r>
      <w:r w:rsidR="00D947FD" w:rsidRPr="00315E9C">
        <w:rPr>
          <w:rFonts w:asciiTheme="minorHAnsi" w:hAnsiTheme="minorHAnsi" w:cstheme="minorHAnsi"/>
        </w:rPr>
        <w:t xml:space="preserve">Although IgG trough levels are surrogate outcomes, they would be informative as a measure of how well serum IgG levels are recovering. Given that the applicable studies involve small patient numbers, pre-dose trough levels could provide valuable context </w:t>
      </w:r>
      <w:r w:rsidR="00F33098" w:rsidRPr="00315E9C">
        <w:rPr>
          <w:rFonts w:asciiTheme="minorHAnsi" w:hAnsiTheme="minorHAnsi" w:cstheme="minorHAnsi"/>
        </w:rPr>
        <w:t xml:space="preserve">for the </w:t>
      </w:r>
      <w:r w:rsidR="00D947FD" w:rsidRPr="00315E9C">
        <w:rPr>
          <w:rFonts w:asciiTheme="minorHAnsi" w:hAnsiTheme="minorHAnsi" w:cstheme="minorHAnsi"/>
        </w:rPr>
        <w:t>interpretation of the patient relevant outcomes.</w:t>
      </w:r>
    </w:p>
    <w:p w14:paraId="00728A88" w14:textId="77777777" w:rsidR="0007253A" w:rsidRPr="00315E9C" w:rsidRDefault="0007253A" w:rsidP="00E63E99">
      <w:pPr>
        <w:pStyle w:val="Heading4"/>
      </w:pPr>
      <w:r w:rsidRPr="00315E9C">
        <w:t>Safety</w:t>
      </w:r>
    </w:p>
    <w:p w14:paraId="453930D0" w14:textId="77777777" w:rsidR="00995FBA" w:rsidRPr="00315E9C" w:rsidRDefault="00995FBA" w:rsidP="002B3338">
      <w:pPr>
        <w:rPr>
          <w:rFonts w:asciiTheme="minorHAnsi" w:hAnsiTheme="minorHAnsi" w:cstheme="minorHAnsi"/>
        </w:rPr>
      </w:pPr>
      <w:r w:rsidRPr="00315E9C">
        <w:rPr>
          <w:rFonts w:asciiTheme="minorHAnsi" w:hAnsiTheme="minorHAnsi" w:cstheme="minorHAnsi"/>
        </w:rPr>
        <w:t>The applicant proposes that serious adverse events (</w:t>
      </w:r>
      <w:r w:rsidR="000E0B88" w:rsidRPr="00315E9C">
        <w:rPr>
          <w:rFonts w:asciiTheme="minorHAnsi" w:hAnsiTheme="minorHAnsi" w:cstheme="minorHAnsi"/>
        </w:rPr>
        <w:t xml:space="preserve">e.g. </w:t>
      </w:r>
      <w:r w:rsidRPr="00315E9C">
        <w:rPr>
          <w:rFonts w:asciiTheme="minorHAnsi" w:hAnsiTheme="minorHAnsi" w:cstheme="minorHAnsi"/>
        </w:rPr>
        <w:t>antibiotic allergy, anaphylaxis, veno-occlusive events) and antibiotic resistance should be included as safety outcomes for the evaluation</w:t>
      </w:r>
      <w:r w:rsidR="003A4A11" w:rsidRPr="00315E9C">
        <w:rPr>
          <w:rFonts w:asciiTheme="minorHAnsi" w:hAnsiTheme="minorHAnsi" w:cstheme="minorHAnsi"/>
        </w:rPr>
        <w:t xml:space="preserve">. </w:t>
      </w:r>
    </w:p>
    <w:p w14:paraId="3E127840" w14:textId="77777777" w:rsidR="00896845" w:rsidRPr="00315E9C" w:rsidRDefault="00896845" w:rsidP="00E63E99">
      <w:pPr>
        <w:pStyle w:val="Heading2"/>
        <w:rPr>
          <w:i/>
        </w:rPr>
      </w:pPr>
      <w:r w:rsidRPr="00315E9C">
        <w:t xml:space="preserve">Current </w:t>
      </w:r>
      <w:r w:rsidR="00A86563" w:rsidRPr="00315E9C">
        <w:t xml:space="preserve">and proposed </w:t>
      </w:r>
      <w:r w:rsidRPr="00315E9C">
        <w:t>clinical management algorithm</w:t>
      </w:r>
      <w:r w:rsidR="002B3338" w:rsidRPr="00315E9C">
        <w:t xml:space="preserve"> for identified population</w:t>
      </w:r>
    </w:p>
    <w:p w14:paraId="659C08A3" w14:textId="77777777" w:rsidR="00A86563" w:rsidRPr="00315E9C" w:rsidRDefault="00A86563" w:rsidP="00A86563">
      <w:pPr>
        <w:rPr>
          <w:rFonts w:asciiTheme="minorHAnsi" w:hAnsiTheme="minorHAnsi" w:cstheme="minorHAnsi"/>
        </w:rPr>
      </w:pPr>
      <w:r w:rsidRPr="00315E9C">
        <w:rPr>
          <w:rFonts w:asciiTheme="minorHAnsi" w:hAnsiTheme="minorHAnsi" w:cstheme="minorHAnsi"/>
        </w:rPr>
        <w:t>IgG for this indication is already funded by the NBA. The purpose of this application is to consider the clinical and cost-effectiveness of these products as currently funded.</w:t>
      </w:r>
    </w:p>
    <w:p w14:paraId="2E0449CE" w14:textId="77777777" w:rsidR="000E0B88" w:rsidRPr="00315E9C" w:rsidRDefault="000E0B88" w:rsidP="000E0B88">
      <w:pPr>
        <w:rPr>
          <w:rFonts w:asciiTheme="minorHAnsi" w:hAnsiTheme="minorHAnsi" w:cstheme="minorHAnsi"/>
        </w:rPr>
      </w:pPr>
      <w:r w:rsidRPr="00315E9C">
        <w:rPr>
          <w:rFonts w:asciiTheme="minorHAnsi" w:hAnsiTheme="minorHAnsi" w:cstheme="minorHAnsi"/>
        </w:rPr>
        <w:t>The applicant’s treatment algorithm</w:t>
      </w:r>
      <w:r w:rsidR="006F4BFB" w:rsidRPr="00315E9C">
        <w:rPr>
          <w:rFonts w:asciiTheme="minorHAnsi" w:hAnsiTheme="minorHAnsi" w:cstheme="minorHAnsi"/>
        </w:rPr>
        <w:t>s for initial and continuing Ig</w:t>
      </w:r>
      <w:r w:rsidR="004677EB" w:rsidRPr="00315E9C">
        <w:rPr>
          <w:rFonts w:asciiTheme="minorHAnsi" w:hAnsiTheme="minorHAnsi" w:cstheme="minorHAnsi"/>
        </w:rPr>
        <w:t xml:space="preserve"> treatment</w:t>
      </w:r>
      <w:r w:rsidR="00A86563" w:rsidRPr="00315E9C">
        <w:rPr>
          <w:rFonts w:asciiTheme="minorHAnsi" w:hAnsiTheme="minorHAnsi" w:cstheme="minorHAnsi"/>
        </w:rPr>
        <w:t xml:space="preserve"> </w:t>
      </w:r>
      <w:r w:rsidR="00F8526F" w:rsidRPr="00315E9C">
        <w:rPr>
          <w:rFonts w:asciiTheme="minorHAnsi" w:hAnsiTheme="minorHAnsi" w:cstheme="minorHAnsi"/>
        </w:rPr>
        <w:t>are</w:t>
      </w:r>
      <w:r w:rsidRPr="00315E9C">
        <w:rPr>
          <w:rFonts w:asciiTheme="minorHAnsi" w:hAnsiTheme="minorHAnsi" w:cstheme="minorHAnsi"/>
        </w:rPr>
        <w:t xml:space="preserve"> presented in </w:t>
      </w:r>
      <w:r w:rsidR="00C33A74" w:rsidRPr="00315E9C">
        <w:rPr>
          <w:rFonts w:asciiTheme="minorHAnsi" w:hAnsiTheme="minorHAnsi" w:cstheme="minorHAnsi"/>
        </w:rPr>
        <w:t>Appendix 1.</w:t>
      </w:r>
    </w:p>
    <w:p w14:paraId="75902F96" w14:textId="77777777" w:rsidR="00E968F6" w:rsidRPr="00315E9C" w:rsidRDefault="003E0382" w:rsidP="00E63E99">
      <w:pPr>
        <w:pStyle w:val="Heading2"/>
        <w:rPr>
          <w:i/>
          <w:sz w:val="20"/>
          <w:szCs w:val="20"/>
        </w:rPr>
      </w:pPr>
      <w:r w:rsidRPr="00315E9C">
        <w:t xml:space="preserve">Proposed </w:t>
      </w:r>
      <w:r w:rsidR="002B226C" w:rsidRPr="00315E9C">
        <w:t xml:space="preserve">economic </w:t>
      </w:r>
      <w:r w:rsidR="009E5295" w:rsidRPr="00315E9C">
        <w:t>evaluation</w:t>
      </w:r>
    </w:p>
    <w:p w14:paraId="377E7FD5" w14:textId="3F596B9B" w:rsidR="00FF7D5B" w:rsidRPr="00315E9C" w:rsidRDefault="00FF7D5B" w:rsidP="00FF7D5B">
      <w:pPr>
        <w:rPr>
          <w:rFonts w:asciiTheme="minorHAnsi" w:hAnsiTheme="minorHAnsi" w:cstheme="minorHAnsi"/>
        </w:rPr>
      </w:pPr>
      <w:r w:rsidRPr="00315E9C">
        <w:rPr>
          <w:rFonts w:asciiTheme="minorHAnsi" w:hAnsiTheme="minorHAnsi" w:cstheme="minorHAnsi"/>
        </w:rPr>
        <w:t xml:space="preserve">The applicant proposed clinical claim is </w:t>
      </w:r>
      <w:r w:rsidRPr="00315E9C">
        <w:rPr>
          <w:rFonts w:asciiTheme="minorHAnsi" w:hAnsiTheme="minorHAnsi"/>
        </w:rPr>
        <w:t>superiority</w:t>
      </w:r>
      <w:r w:rsidRPr="00315E9C">
        <w:rPr>
          <w:rFonts w:asciiTheme="minorHAnsi" w:hAnsiTheme="minorHAnsi" w:cstheme="minorHAnsi"/>
        </w:rPr>
        <w:t xml:space="preserve"> of IgG</w:t>
      </w:r>
      <w:r w:rsidR="0013165C" w:rsidRPr="00315E9C">
        <w:rPr>
          <w:rFonts w:asciiTheme="minorHAnsi" w:hAnsiTheme="minorHAnsi" w:cstheme="minorHAnsi"/>
        </w:rPr>
        <w:t xml:space="preserve"> with antibiotics as required</w:t>
      </w:r>
      <w:r w:rsidRPr="00315E9C">
        <w:rPr>
          <w:rFonts w:asciiTheme="minorHAnsi" w:hAnsiTheme="minorHAnsi" w:cstheme="minorHAnsi"/>
        </w:rPr>
        <w:t xml:space="preserve"> to </w:t>
      </w:r>
      <w:r w:rsidR="00F33098" w:rsidRPr="00315E9C">
        <w:rPr>
          <w:rFonts w:asciiTheme="minorHAnsi" w:hAnsiTheme="minorHAnsi" w:cstheme="minorHAnsi"/>
        </w:rPr>
        <w:t xml:space="preserve">only </w:t>
      </w:r>
      <w:r w:rsidRPr="00315E9C">
        <w:rPr>
          <w:rFonts w:asciiTheme="minorHAnsi" w:hAnsiTheme="minorHAnsi" w:cstheme="minorHAnsi"/>
        </w:rPr>
        <w:t>antibiotics</w:t>
      </w:r>
      <w:r w:rsidR="0013165C" w:rsidRPr="00315E9C">
        <w:rPr>
          <w:rFonts w:asciiTheme="minorHAnsi" w:hAnsiTheme="minorHAnsi" w:cstheme="minorHAnsi"/>
        </w:rPr>
        <w:t xml:space="preserve"> </w:t>
      </w:r>
      <w:r w:rsidRPr="00315E9C">
        <w:rPr>
          <w:rFonts w:asciiTheme="minorHAnsi" w:hAnsiTheme="minorHAnsi" w:cstheme="minorHAnsi"/>
        </w:rPr>
        <w:t>as required. The proposed economic evaluation</w:t>
      </w:r>
      <w:r w:rsidR="00552944" w:rsidRPr="00315E9C">
        <w:rPr>
          <w:rFonts w:asciiTheme="minorHAnsi" w:hAnsiTheme="minorHAnsi" w:cstheme="minorHAnsi"/>
        </w:rPr>
        <w:t xml:space="preserve"> would</w:t>
      </w:r>
      <w:r w:rsidRPr="00315E9C">
        <w:rPr>
          <w:rFonts w:asciiTheme="minorHAnsi" w:hAnsiTheme="minorHAnsi" w:cstheme="minorHAnsi"/>
        </w:rPr>
        <w:t xml:space="preserve"> therefore</w:t>
      </w:r>
      <w:r w:rsidR="00552944" w:rsidRPr="00315E9C">
        <w:rPr>
          <w:rFonts w:asciiTheme="minorHAnsi" w:hAnsiTheme="minorHAnsi" w:cstheme="minorHAnsi"/>
        </w:rPr>
        <w:t xml:space="preserve"> be</w:t>
      </w:r>
      <w:r w:rsidRPr="00315E9C">
        <w:rPr>
          <w:rFonts w:asciiTheme="minorHAnsi" w:hAnsiTheme="minorHAnsi" w:cstheme="minorHAnsi"/>
        </w:rPr>
        <w:t xml:space="preserve"> a cost-effectiveness </w:t>
      </w:r>
      <w:r w:rsidR="008933D9" w:rsidRPr="00315E9C">
        <w:rPr>
          <w:rFonts w:asciiTheme="minorHAnsi" w:hAnsiTheme="minorHAnsi" w:cstheme="minorHAnsi"/>
        </w:rPr>
        <w:t xml:space="preserve">analysis (CEA) </w:t>
      </w:r>
      <w:r w:rsidRPr="00315E9C">
        <w:rPr>
          <w:rFonts w:asciiTheme="minorHAnsi" w:hAnsiTheme="minorHAnsi" w:cstheme="minorHAnsi"/>
        </w:rPr>
        <w:t>or cost-utility analysis</w:t>
      </w:r>
      <w:r w:rsidR="008933D9" w:rsidRPr="00315E9C">
        <w:rPr>
          <w:rFonts w:asciiTheme="minorHAnsi" w:hAnsiTheme="minorHAnsi" w:cstheme="minorHAnsi"/>
        </w:rPr>
        <w:t xml:space="preserve"> (CUA)</w:t>
      </w:r>
      <w:r w:rsidRPr="00315E9C">
        <w:rPr>
          <w:rFonts w:asciiTheme="minorHAnsi" w:hAnsiTheme="minorHAnsi" w:cstheme="minorHAnsi"/>
        </w:rPr>
        <w:t xml:space="preserve">, noting that this will be subject to whether the studies found in the literature search support this approach. </w:t>
      </w:r>
      <w:r w:rsidR="00552944" w:rsidRPr="00315E9C">
        <w:rPr>
          <w:rFonts w:asciiTheme="minorHAnsi" w:hAnsiTheme="minorHAnsi" w:cstheme="minorHAnsi"/>
        </w:rPr>
        <w:t>Table A1</w:t>
      </w:r>
      <w:r w:rsidRPr="00315E9C">
        <w:rPr>
          <w:rFonts w:asciiTheme="minorHAnsi" w:hAnsiTheme="minorHAnsi" w:cstheme="minorHAnsi"/>
        </w:rPr>
        <w:t xml:space="preserve"> in </w:t>
      </w:r>
      <w:r w:rsidR="00552944" w:rsidRPr="00315E9C">
        <w:rPr>
          <w:rFonts w:asciiTheme="minorHAnsi" w:hAnsiTheme="minorHAnsi" w:cstheme="minorHAnsi"/>
        </w:rPr>
        <w:t xml:space="preserve">the </w:t>
      </w:r>
      <w:r w:rsidRPr="00315E9C">
        <w:rPr>
          <w:rFonts w:asciiTheme="minorHAnsi" w:hAnsiTheme="minorHAnsi" w:cstheme="minorHAnsi"/>
        </w:rPr>
        <w:t xml:space="preserve">Appendix </w:t>
      </w:r>
      <w:r w:rsidR="00F33098" w:rsidRPr="00315E9C">
        <w:rPr>
          <w:rFonts w:asciiTheme="minorHAnsi" w:hAnsiTheme="minorHAnsi" w:cstheme="minorHAnsi"/>
        </w:rPr>
        <w:t xml:space="preserve">is </w:t>
      </w:r>
      <w:r w:rsidRPr="00315E9C">
        <w:rPr>
          <w:rFonts w:asciiTheme="minorHAnsi" w:hAnsiTheme="minorHAnsi" w:cstheme="minorHAnsi"/>
        </w:rPr>
        <w:t xml:space="preserve">included to guide the requirements for </w:t>
      </w:r>
      <w:r w:rsidR="00F33098" w:rsidRPr="00315E9C">
        <w:rPr>
          <w:rFonts w:asciiTheme="minorHAnsi" w:hAnsiTheme="minorHAnsi" w:cstheme="minorHAnsi"/>
        </w:rPr>
        <w:t xml:space="preserve">an </w:t>
      </w:r>
      <w:r w:rsidRPr="00315E9C">
        <w:rPr>
          <w:rFonts w:asciiTheme="minorHAnsi" w:hAnsiTheme="minorHAnsi" w:cstheme="minorHAnsi"/>
        </w:rPr>
        <w:t xml:space="preserve">economic evaluation based on the findings of the clinical review. </w:t>
      </w:r>
    </w:p>
    <w:p w14:paraId="0AFAEF6A" w14:textId="27E6680C" w:rsidR="00961B68" w:rsidRPr="00315E9C" w:rsidRDefault="00961B68" w:rsidP="00961B68">
      <w:pPr>
        <w:rPr>
          <w:rFonts w:asciiTheme="minorHAnsi" w:hAnsiTheme="minorHAnsi" w:cstheme="minorHAnsi"/>
        </w:rPr>
      </w:pPr>
      <w:r w:rsidRPr="00315E9C">
        <w:rPr>
          <w:rFonts w:asciiTheme="minorHAnsi" w:hAnsiTheme="minorHAnsi" w:cstheme="minorHAnsi"/>
        </w:rPr>
        <w:t xml:space="preserve">Resources that could be considered for inclusion in the analysis would be acquisition costs (IgG and/or antibiotics), IV infusion administration (outpatient setting), health resource use (number of specialist visits, hospital days, ICU admission) and cost of managing adverse </w:t>
      </w:r>
      <w:r w:rsidR="00F33098" w:rsidRPr="00315E9C">
        <w:rPr>
          <w:rFonts w:asciiTheme="minorHAnsi" w:hAnsiTheme="minorHAnsi" w:cstheme="minorHAnsi"/>
        </w:rPr>
        <w:t xml:space="preserve">outcomes or </w:t>
      </w:r>
      <w:r w:rsidRPr="00315E9C">
        <w:rPr>
          <w:rFonts w:asciiTheme="minorHAnsi" w:hAnsiTheme="minorHAnsi" w:cstheme="minorHAnsi"/>
        </w:rPr>
        <w:t xml:space="preserve">events such </w:t>
      </w:r>
      <w:r w:rsidR="00F85EC5" w:rsidRPr="00315E9C">
        <w:rPr>
          <w:rFonts w:asciiTheme="minorHAnsi" w:hAnsiTheme="minorHAnsi" w:cstheme="minorHAnsi"/>
        </w:rPr>
        <w:t xml:space="preserve">severe </w:t>
      </w:r>
      <w:r w:rsidR="00F33098" w:rsidRPr="00315E9C">
        <w:rPr>
          <w:rFonts w:asciiTheme="minorHAnsi" w:hAnsiTheme="minorHAnsi" w:cstheme="minorHAnsi"/>
        </w:rPr>
        <w:t xml:space="preserve">infections or </w:t>
      </w:r>
      <w:r w:rsidRPr="00315E9C">
        <w:rPr>
          <w:rFonts w:asciiTheme="minorHAnsi" w:hAnsiTheme="minorHAnsi" w:cstheme="minorHAnsi"/>
        </w:rPr>
        <w:t>severe infusion reactions. Drug costs should include dispensing fees and wastage where applicable.</w:t>
      </w:r>
    </w:p>
    <w:p w14:paraId="57BF7199" w14:textId="5D3A29A9" w:rsidR="00961B68" w:rsidRPr="00315E9C" w:rsidRDefault="00961B68" w:rsidP="00F85EC5">
      <w:pPr>
        <w:rPr>
          <w:rFonts w:asciiTheme="minorHAnsi" w:hAnsiTheme="minorHAnsi" w:cstheme="minorHAnsi"/>
        </w:rPr>
      </w:pPr>
      <w:r w:rsidRPr="00315E9C">
        <w:rPr>
          <w:rFonts w:asciiTheme="minorHAnsi" w:hAnsiTheme="minorHAnsi" w:cstheme="minorHAnsi"/>
        </w:rPr>
        <w:t xml:space="preserve">The supply of IgG to patients meeting </w:t>
      </w:r>
      <w:r w:rsidR="00F33098" w:rsidRPr="00315E9C">
        <w:rPr>
          <w:rFonts w:asciiTheme="minorHAnsi" w:hAnsiTheme="minorHAnsi" w:cstheme="minorHAnsi"/>
        </w:rPr>
        <w:t xml:space="preserve">the </w:t>
      </w:r>
      <w:r w:rsidRPr="00315E9C">
        <w:rPr>
          <w:rFonts w:asciiTheme="minorHAnsi" w:hAnsiTheme="minorHAnsi" w:cstheme="minorHAnsi"/>
        </w:rPr>
        <w:t xml:space="preserve">eligibility criteria involves no direct cost to the patient. </w:t>
      </w:r>
    </w:p>
    <w:p w14:paraId="1391B6C5" w14:textId="3BEB80B9" w:rsidR="00B81C08" w:rsidRPr="00315E9C" w:rsidRDefault="005C28B0" w:rsidP="00626C42">
      <w:pPr>
        <w:rPr>
          <w:rFonts w:asciiTheme="minorHAnsi" w:hAnsiTheme="minorHAnsi" w:cstheme="minorHAnsi"/>
        </w:rPr>
      </w:pPr>
      <w:r w:rsidRPr="00315E9C">
        <w:rPr>
          <w:rFonts w:asciiTheme="minorHAnsi" w:hAnsiTheme="minorHAnsi" w:cstheme="minorHAnsi"/>
        </w:rPr>
        <w:t>The</w:t>
      </w:r>
      <w:r w:rsidR="00346369" w:rsidRPr="00315E9C">
        <w:rPr>
          <w:rFonts w:asciiTheme="minorHAnsi" w:hAnsiTheme="minorHAnsi" w:cstheme="minorHAnsi"/>
        </w:rPr>
        <w:t xml:space="preserve"> application provided the five references </w:t>
      </w:r>
      <w:r w:rsidR="00626C42" w:rsidRPr="00315E9C">
        <w:rPr>
          <w:rFonts w:asciiTheme="minorHAnsi" w:hAnsiTheme="minorHAnsi" w:cstheme="minorHAnsi"/>
        </w:rPr>
        <w:t xml:space="preserve">(Table A2 in the Appendix) </w:t>
      </w:r>
      <w:r w:rsidR="00346369" w:rsidRPr="00315E9C">
        <w:rPr>
          <w:rFonts w:asciiTheme="minorHAnsi" w:hAnsiTheme="minorHAnsi" w:cstheme="minorHAnsi"/>
        </w:rPr>
        <w:t>included in The Criteria</w:t>
      </w:r>
      <w:r w:rsidR="00626C42" w:rsidRPr="00315E9C">
        <w:rPr>
          <w:rFonts w:asciiTheme="minorHAnsi" w:hAnsiTheme="minorHAnsi" w:cstheme="minorHAnsi"/>
        </w:rPr>
        <w:t xml:space="preserve"> </w:t>
      </w:r>
      <w:r w:rsidR="00626C42" w:rsidRPr="00315E9C">
        <w:rPr>
          <w:rFonts w:asciiTheme="minorHAnsi" w:hAnsiTheme="minorHAnsi" w:cstheme="minorHAnsi"/>
        </w:rPr>
        <w:fldChar w:fldCharType="begin"/>
      </w:r>
      <w:r w:rsidR="00626C42" w:rsidRPr="00315E9C">
        <w:rPr>
          <w:rFonts w:asciiTheme="minorHAnsi" w:hAnsiTheme="minorHAnsi" w:cstheme="minorHAnsi"/>
        </w:rPr>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00626C42" w:rsidRPr="00315E9C">
        <w:rPr>
          <w:rFonts w:asciiTheme="minorHAnsi" w:hAnsiTheme="minorHAnsi" w:cstheme="minorHAnsi"/>
        </w:rPr>
        <w:fldChar w:fldCharType="separate"/>
      </w:r>
      <w:r w:rsidR="00626C42" w:rsidRPr="00315E9C">
        <w:rPr>
          <w:rFonts w:asciiTheme="minorHAnsi" w:hAnsiTheme="minorHAnsi" w:cstheme="minorHAnsi"/>
          <w:noProof/>
        </w:rPr>
        <w:t>(1)</w:t>
      </w:r>
      <w:r w:rsidR="00626C42" w:rsidRPr="00315E9C">
        <w:rPr>
          <w:rFonts w:asciiTheme="minorHAnsi" w:hAnsiTheme="minorHAnsi" w:cstheme="minorHAnsi"/>
        </w:rPr>
        <w:fldChar w:fldCharType="end"/>
      </w:r>
      <w:r w:rsidR="00346369" w:rsidRPr="00315E9C">
        <w:rPr>
          <w:rFonts w:asciiTheme="minorHAnsi" w:hAnsiTheme="minorHAnsi" w:cstheme="minorHAnsi"/>
        </w:rPr>
        <w:t xml:space="preserve">, but none of these studies would meet the specified PICO criteria. A systematic scoping search and additional bibliographic searches </w:t>
      </w:r>
      <w:r w:rsidRPr="00315E9C">
        <w:rPr>
          <w:rFonts w:asciiTheme="minorHAnsi" w:hAnsiTheme="minorHAnsi" w:cstheme="minorHAnsi"/>
        </w:rPr>
        <w:t>conducted during the preparation of this PICO identified only three small studies</w:t>
      </w:r>
      <w:r w:rsidR="00B81C08" w:rsidRPr="00315E9C">
        <w:rPr>
          <w:rFonts w:asciiTheme="minorHAnsi" w:hAnsiTheme="minorHAnsi" w:cstheme="minorHAnsi"/>
        </w:rPr>
        <w:t xml:space="preserve"> comparing IgG replacement treatment with no-IgG</w:t>
      </w:r>
      <w:r w:rsidRPr="00315E9C">
        <w:rPr>
          <w:rFonts w:asciiTheme="minorHAnsi" w:hAnsiTheme="minorHAnsi" w:cstheme="minorHAnsi"/>
        </w:rPr>
        <w:t xml:space="preserve"> in patients with secondary hypogammaglobulinaemia following solid organ transplantation</w:t>
      </w:r>
      <w:r w:rsidR="00626C42" w:rsidRPr="00315E9C">
        <w:rPr>
          <w:rFonts w:asciiTheme="minorHAnsi" w:hAnsiTheme="minorHAnsi" w:cstheme="minorHAnsi"/>
        </w:rPr>
        <w:t xml:space="preserve"> (</w:t>
      </w:r>
      <w:r w:rsidR="00626C42" w:rsidRPr="00315E9C">
        <w:rPr>
          <w:rFonts w:asciiTheme="minorHAnsi" w:hAnsiTheme="minorHAnsi" w:cstheme="minorHAnsi"/>
        </w:rPr>
        <w:fldChar w:fldCharType="begin"/>
      </w:r>
      <w:r w:rsidR="00626C42" w:rsidRPr="00315E9C">
        <w:rPr>
          <w:rFonts w:asciiTheme="minorHAnsi" w:hAnsiTheme="minorHAnsi" w:cstheme="minorHAnsi"/>
        </w:rPr>
        <w:instrText xml:space="preserve"> REF _Ref23235572 \h  \* MERGEFORMAT </w:instrText>
      </w:r>
      <w:r w:rsidR="00626C42" w:rsidRPr="00315E9C">
        <w:rPr>
          <w:rFonts w:asciiTheme="minorHAnsi" w:hAnsiTheme="minorHAnsi" w:cstheme="minorHAnsi"/>
        </w:rPr>
      </w:r>
      <w:r w:rsidR="00626C42" w:rsidRPr="00315E9C">
        <w:rPr>
          <w:rFonts w:asciiTheme="minorHAnsi" w:hAnsiTheme="minorHAnsi" w:cstheme="minorHAnsi"/>
        </w:rPr>
        <w:fldChar w:fldCharType="separate"/>
      </w:r>
      <w:r w:rsidR="00A851D8" w:rsidRPr="00A851D8">
        <w:t xml:space="preserve">Table </w:t>
      </w:r>
      <w:r w:rsidR="00A851D8" w:rsidRPr="00A851D8">
        <w:rPr>
          <w:noProof/>
        </w:rPr>
        <w:t>4</w:t>
      </w:r>
      <w:r w:rsidR="00626C42" w:rsidRPr="00315E9C">
        <w:rPr>
          <w:rFonts w:asciiTheme="minorHAnsi" w:hAnsiTheme="minorHAnsi" w:cstheme="minorHAnsi"/>
        </w:rPr>
        <w:fldChar w:fldCharType="end"/>
      </w:r>
      <w:r w:rsidR="00626C42" w:rsidRPr="00315E9C">
        <w:rPr>
          <w:rFonts w:asciiTheme="minorHAnsi" w:hAnsiTheme="minorHAnsi" w:cstheme="minorHAnsi"/>
        </w:rPr>
        <w:t>).</w:t>
      </w:r>
      <w:r w:rsidRPr="00315E9C">
        <w:rPr>
          <w:rFonts w:asciiTheme="minorHAnsi" w:hAnsiTheme="minorHAnsi" w:cstheme="minorHAnsi"/>
        </w:rPr>
        <w:t xml:space="preserve"> </w:t>
      </w:r>
      <w:r w:rsidR="00B81C08" w:rsidRPr="00315E9C">
        <w:rPr>
          <w:rFonts w:asciiTheme="minorHAnsi" w:hAnsiTheme="minorHAnsi" w:cstheme="minorHAnsi"/>
        </w:rPr>
        <w:t xml:space="preserve">Other potential studies identified did not meet the inclusion criteria specified in this PICO, mainly due to the study design (e.g. </w:t>
      </w:r>
      <w:r w:rsidR="00F60AFE" w:rsidRPr="00315E9C">
        <w:rPr>
          <w:rFonts w:asciiTheme="minorHAnsi" w:hAnsiTheme="minorHAnsi" w:cstheme="minorHAnsi"/>
        </w:rPr>
        <w:t>cohort study with no</w:t>
      </w:r>
      <w:r w:rsidR="00B81C08" w:rsidRPr="00315E9C">
        <w:rPr>
          <w:rFonts w:asciiTheme="minorHAnsi" w:hAnsiTheme="minorHAnsi" w:cstheme="minorHAnsi"/>
        </w:rPr>
        <w:t xml:space="preserve"> comparator</w:t>
      </w:r>
      <w:r w:rsidR="00F60AFE" w:rsidRPr="00315E9C">
        <w:rPr>
          <w:rFonts w:asciiTheme="minorHAnsi" w:hAnsiTheme="minorHAnsi" w:cstheme="minorHAnsi"/>
        </w:rPr>
        <w:t xml:space="preserve"> group</w:t>
      </w:r>
      <w:r w:rsidR="00B81C08" w:rsidRPr="00315E9C">
        <w:rPr>
          <w:rFonts w:asciiTheme="minorHAnsi" w:hAnsiTheme="minorHAnsi" w:cstheme="minorHAnsi"/>
        </w:rPr>
        <w:t xml:space="preserve"> or incorrect comparator) or population (e.g. patient with secondary hypogammaglobulinaemia due to haematological malignancies). </w:t>
      </w:r>
    </w:p>
    <w:p w14:paraId="7188AC2C" w14:textId="5CE78115" w:rsidR="00626C42" w:rsidRPr="007C1893" w:rsidRDefault="00626C42" w:rsidP="007C1893">
      <w:pPr>
        <w:pStyle w:val="TableName"/>
        <w:ind w:left="0" w:firstLine="0"/>
        <w:rPr>
          <w:sz w:val="20"/>
          <w:szCs w:val="20"/>
        </w:rPr>
      </w:pPr>
      <w:bookmarkStart w:id="10" w:name="_Ref23235572"/>
      <w:r w:rsidRPr="007C1893">
        <w:rPr>
          <w:sz w:val="20"/>
          <w:szCs w:val="20"/>
        </w:rPr>
        <w:lastRenderedPageBreak/>
        <w:t xml:space="preserve">Table </w:t>
      </w:r>
      <w:r w:rsidRPr="007C1893">
        <w:rPr>
          <w:sz w:val="20"/>
          <w:szCs w:val="20"/>
        </w:rPr>
        <w:fldChar w:fldCharType="begin"/>
      </w:r>
      <w:r w:rsidRPr="007C1893">
        <w:rPr>
          <w:sz w:val="20"/>
          <w:szCs w:val="20"/>
        </w:rPr>
        <w:instrText xml:space="preserve"> SEQ Table \* ARABIC </w:instrText>
      </w:r>
      <w:r w:rsidRPr="007C1893">
        <w:rPr>
          <w:sz w:val="20"/>
          <w:szCs w:val="20"/>
        </w:rPr>
        <w:fldChar w:fldCharType="separate"/>
      </w:r>
      <w:r w:rsidR="00A851D8">
        <w:rPr>
          <w:noProof/>
          <w:sz w:val="20"/>
          <w:szCs w:val="20"/>
        </w:rPr>
        <w:t>4</w:t>
      </w:r>
      <w:r w:rsidRPr="007C1893">
        <w:rPr>
          <w:sz w:val="20"/>
          <w:szCs w:val="20"/>
        </w:rPr>
        <w:fldChar w:fldCharType="end"/>
      </w:r>
      <w:bookmarkEnd w:id="10"/>
      <w:r w:rsidRPr="007C1893">
        <w:rPr>
          <w:sz w:val="20"/>
          <w:szCs w:val="20"/>
        </w:rPr>
        <w:t xml:space="preserve"> Evidence identified during the development of the PICO</w:t>
      </w:r>
    </w:p>
    <w:tbl>
      <w:tblPr>
        <w:tblStyle w:val="TableGrid"/>
        <w:tblW w:w="0" w:type="auto"/>
        <w:tblLook w:val="04A0" w:firstRow="1" w:lastRow="0" w:firstColumn="1" w:lastColumn="0" w:noHBand="0" w:noVBand="1"/>
        <w:tblCaption w:val="Table 4 Evidence identified during the development of the PICO"/>
        <w:tblDescription w:val="This is a table displaying the reference and the corresponding evidence found during the development of the PICO."/>
      </w:tblPr>
      <w:tblGrid>
        <w:gridCol w:w="4508"/>
        <w:gridCol w:w="4508"/>
      </w:tblGrid>
      <w:tr w:rsidR="00C07E39" w:rsidRPr="00315E9C" w14:paraId="33A883B4" w14:textId="77777777" w:rsidTr="00B0404D">
        <w:trPr>
          <w:tblHeader/>
        </w:trPr>
        <w:tc>
          <w:tcPr>
            <w:tcW w:w="4508" w:type="dxa"/>
          </w:tcPr>
          <w:p w14:paraId="59D1D8EA" w14:textId="77777777" w:rsidR="00C07E39" w:rsidRPr="00315E9C" w:rsidRDefault="00C07E39" w:rsidP="00811518">
            <w:pPr>
              <w:pStyle w:val="Tablecontents"/>
              <w:rPr>
                <w:b/>
                <w:sz w:val="20"/>
                <w:szCs w:val="20"/>
              </w:rPr>
            </w:pPr>
            <w:r w:rsidRPr="00315E9C">
              <w:rPr>
                <w:b/>
                <w:sz w:val="20"/>
                <w:szCs w:val="20"/>
              </w:rPr>
              <w:t>Reference</w:t>
            </w:r>
          </w:p>
        </w:tc>
        <w:tc>
          <w:tcPr>
            <w:tcW w:w="4508" w:type="dxa"/>
          </w:tcPr>
          <w:p w14:paraId="627B6A43" w14:textId="77777777" w:rsidR="00C07E39" w:rsidRPr="00315E9C" w:rsidRDefault="00C07E39" w:rsidP="00811518">
            <w:pPr>
              <w:pStyle w:val="Tablecontents"/>
              <w:rPr>
                <w:b/>
                <w:sz w:val="20"/>
                <w:szCs w:val="20"/>
              </w:rPr>
            </w:pPr>
            <w:r w:rsidRPr="00315E9C">
              <w:rPr>
                <w:b/>
                <w:sz w:val="20"/>
                <w:szCs w:val="20"/>
              </w:rPr>
              <w:t>Description</w:t>
            </w:r>
          </w:p>
        </w:tc>
      </w:tr>
      <w:tr w:rsidR="00C07E39" w:rsidRPr="00315E9C" w14:paraId="6E37B3A2" w14:textId="77777777" w:rsidTr="00811518">
        <w:tc>
          <w:tcPr>
            <w:tcW w:w="4508" w:type="dxa"/>
          </w:tcPr>
          <w:p w14:paraId="62D1516D" w14:textId="486CB665" w:rsidR="00C07E39" w:rsidRPr="00315E9C" w:rsidRDefault="00971BA5" w:rsidP="00971BA5">
            <w:pPr>
              <w:pStyle w:val="Tablecontents"/>
              <w:rPr>
                <w:sz w:val="20"/>
                <w:szCs w:val="20"/>
              </w:rPr>
            </w:pPr>
            <w:r w:rsidRPr="00315E9C">
              <w:rPr>
                <w:sz w:val="20"/>
                <w:szCs w:val="20"/>
              </w:rPr>
              <w:t>Sarmiento E, Diez P, Arraya M, Jaramillo M, Calahorra L, Fernandez-Yañez J, Palomo J, Sousa I, Hortal J, Barrio J, Alonso R, Muñoz P, Navarro J, Vicario J, Fernandez-Cruz E, Carbone J. Early intravenous immunoglobulin replacement in hypogammaglobulinemic heart transplant recipients: results of a clinical trial. Transpl Infect Dis. 2016 Dec;18(6):832-843.</w:t>
            </w:r>
          </w:p>
        </w:tc>
        <w:tc>
          <w:tcPr>
            <w:tcW w:w="4508" w:type="dxa"/>
          </w:tcPr>
          <w:p w14:paraId="5BA89A63" w14:textId="0442521D" w:rsidR="00C07E39" w:rsidRPr="00315E9C" w:rsidRDefault="00811518" w:rsidP="00811518">
            <w:pPr>
              <w:pStyle w:val="Tablecontents"/>
              <w:rPr>
                <w:sz w:val="20"/>
                <w:szCs w:val="20"/>
              </w:rPr>
            </w:pPr>
            <w:r w:rsidRPr="00315E9C">
              <w:rPr>
                <w:sz w:val="20"/>
                <w:szCs w:val="20"/>
              </w:rPr>
              <w:t>Retrospective study including 25 heart tran</w:t>
            </w:r>
            <w:r w:rsidR="006B6020" w:rsidRPr="00315E9C">
              <w:rPr>
                <w:sz w:val="20"/>
                <w:szCs w:val="20"/>
              </w:rPr>
              <w:t>s</w:t>
            </w:r>
            <w:r w:rsidRPr="00315E9C">
              <w:rPr>
                <w:sz w:val="20"/>
                <w:szCs w:val="20"/>
              </w:rPr>
              <w:t xml:space="preserve">plant patients with </w:t>
            </w:r>
            <w:r w:rsidR="006B6020" w:rsidRPr="00315E9C">
              <w:rPr>
                <w:sz w:val="20"/>
                <w:szCs w:val="20"/>
              </w:rPr>
              <w:t>HGG</w:t>
            </w:r>
            <w:r w:rsidRPr="00315E9C">
              <w:rPr>
                <w:sz w:val="20"/>
                <w:szCs w:val="20"/>
              </w:rPr>
              <w:t xml:space="preserve">. Of these, 12 were treated with IVIg and 13 </w:t>
            </w:r>
            <w:r w:rsidR="006B6020" w:rsidRPr="00315E9C">
              <w:rPr>
                <w:sz w:val="20"/>
                <w:szCs w:val="20"/>
              </w:rPr>
              <w:t>patients</w:t>
            </w:r>
            <w:r w:rsidRPr="00315E9C">
              <w:rPr>
                <w:sz w:val="20"/>
                <w:szCs w:val="20"/>
              </w:rPr>
              <w:t xml:space="preserve"> were not treated with IVIg. The primary outcome was severe infections</w:t>
            </w:r>
            <w:r w:rsidR="006B6020" w:rsidRPr="00315E9C">
              <w:rPr>
                <w:sz w:val="20"/>
                <w:szCs w:val="20"/>
              </w:rPr>
              <w:t xml:space="preserve"> during the 6-month study period.</w:t>
            </w:r>
            <w:r w:rsidR="00626C42" w:rsidRPr="00315E9C">
              <w:rPr>
                <w:sz w:val="20"/>
                <w:szCs w:val="20"/>
              </w:rPr>
              <w:t xml:space="preserve"> Secondary outcomes included specific infections, adverse reactions, and Ig trough levels.</w:t>
            </w:r>
          </w:p>
        </w:tc>
      </w:tr>
      <w:tr w:rsidR="00C07E39" w:rsidRPr="00315E9C" w14:paraId="182183B4" w14:textId="77777777" w:rsidTr="00811518">
        <w:tc>
          <w:tcPr>
            <w:tcW w:w="4508" w:type="dxa"/>
          </w:tcPr>
          <w:p w14:paraId="48EA186D" w14:textId="590FE525" w:rsidR="00971BA5" w:rsidRPr="00315E9C" w:rsidRDefault="00971BA5" w:rsidP="00971BA5">
            <w:pPr>
              <w:pStyle w:val="Tablecontents"/>
              <w:rPr>
                <w:sz w:val="20"/>
                <w:szCs w:val="20"/>
              </w:rPr>
            </w:pPr>
            <w:r w:rsidRPr="00315E9C">
              <w:rPr>
                <w:sz w:val="20"/>
                <w:szCs w:val="20"/>
              </w:rPr>
              <w:t>Lederer DJ, Philip N, Rybak D, Arcasoy SM, Kawut SM. Intravenous immunoglobulin for hypogammaglobuli</w:t>
            </w:r>
            <w:r w:rsidR="00315E9C">
              <w:rPr>
                <w:sz w:val="20"/>
                <w:szCs w:val="20"/>
              </w:rPr>
              <w:t>naemia</w:t>
            </w:r>
            <w:r w:rsidRPr="00315E9C">
              <w:rPr>
                <w:sz w:val="20"/>
                <w:szCs w:val="20"/>
              </w:rPr>
              <w:t xml:space="preserve"> after lung transplantation: a randomized</w:t>
            </w:r>
          </w:p>
          <w:p w14:paraId="36201F98" w14:textId="57B7F346" w:rsidR="00C07E39" w:rsidRPr="00315E9C" w:rsidRDefault="00971BA5" w:rsidP="00971BA5">
            <w:pPr>
              <w:pStyle w:val="Tablecontents"/>
              <w:rPr>
                <w:sz w:val="20"/>
                <w:szCs w:val="20"/>
              </w:rPr>
            </w:pPr>
            <w:r w:rsidRPr="00315E9C">
              <w:rPr>
                <w:sz w:val="20"/>
                <w:szCs w:val="20"/>
              </w:rPr>
              <w:t>crossover trial. PLoS One. 2014 Aug 4;9(8):e103908</w:t>
            </w:r>
          </w:p>
        </w:tc>
        <w:tc>
          <w:tcPr>
            <w:tcW w:w="4508" w:type="dxa"/>
          </w:tcPr>
          <w:p w14:paraId="0968E4E3" w14:textId="76FDD530" w:rsidR="00C07E39" w:rsidRPr="00315E9C" w:rsidRDefault="006B6020" w:rsidP="00811518">
            <w:pPr>
              <w:pStyle w:val="Tablecontents"/>
              <w:rPr>
                <w:sz w:val="20"/>
                <w:szCs w:val="20"/>
              </w:rPr>
            </w:pPr>
            <w:r w:rsidRPr="00315E9C">
              <w:rPr>
                <w:sz w:val="20"/>
                <w:szCs w:val="20"/>
              </w:rPr>
              <w:t>Randomised double-blind placebo-controlled two-period crossover trial in 11 lung transplant patients. Participants were randomised to three doses of IVIg or placebo given 4 weeks apart followed by a 12-week washout period and then 3 doses of the opposite treatment received initially every 4 weeks. The primary outcome was bacterial infections during each period.</w:t>
            </w:r>
            <w:r w:rsidR="00626C42" w:rsidRPr="00315E9C">
              <w:rPr>
                <w:sz w:val="20"/>
                <w:szCs w:val="20"/>
              </w:rPr>
              <w:t xml:space="preserve"> Secondary outcomes included non-bacterial infections, trough Ig levels, rejections and mortality.</w:t>
            </w:r>
          </w:p>
        </w:tc>
      </w:tr>
      <w:tr w:rsidR="00C07E39" w:rsidRPr="00315E9C" w14:paraId="3D01C901" w14:textId="77777777" w:rsidTr="00811518">
        <w:tc>
          <w:tcPr>
            <w:tcW w:w="4508" w:type="dxa"/>
          </w:tcPr>
          <w:p w14:paraId="13F176BF" w14:textId="77777777" w:rsidR="00971BA5" w:rsidRPr="00315E9C" w:rsidRDefault="00971BA5" w:rsidP="00971BA5">
            <w:pPr>
              <w:pStyle w:val="Tablecontents"/>
              <w:rPr>
                <w:sz w:val="20"/>
                <w:szCs w:val="20"/>
              </w:rPr>
            </w:pPr>
            <w:r w:rsidRPr="00315E9C">
              <w:rPr>
                <w:sz w:val="20"/>
                <w:szCs w:val="20"/>
              </w:rPr>
              <w:t>Lichvar AB, Ensor CR, Zeevi A, Morrell MR, Pilewski JM, Hayanga JWA, D'Cunha</w:t>
            </w:r>
          </w:p>
          <w:p w14:paraId="316546AB" w14:textId="30810EA2" w:rsidR="00971BA5" w:rsidRPr="00315E9C" w:rsidRDefault="00971BA5" w:rsidP="00971BA5">
            <w:pPr>
              <w:pStyle w:val="Tablecontents"/>
              <w:rPr>
                <w:sz w:val="20"/>
                <w:szCs w:val="20"/>
              </w:rPr>
            </w:pPr>
            <w:r w:rsidRPr="00315E9C">
              <w:rPr>
                <w:sz w:val="20"/>
                <w:szCs w:val="20"/>
              </w:rPr>
              <w:t>J, McDyer JF, Petrov AA. Detrimental Association of Hypogammaglobuli</w:t>
            </w:r>
            <w:r w:rsidR="00315E9C">
              <w:rPr>
                <w:sz w:val="20"/>
                <w:szCs w:val="20"/>
              </w:rPr>
              <w:t>naemia</w:t>
            </w:r>
            <w:r w:rsidRPr="00315E9C">
              <w:rPr>
                <w:sz w:val="20"/>
                <w:szCs w:val="20"/>
              </w:rPr>
              <w:t xml:space="preserve"> With</w:t>
            </w:r>
          </w:p>
          <w:p w14:paraId="1554DA53" w14:textId="77777777" w:rsidR="00971BA5" w:rsidRPr="00315E9C" w:rsidRDefault="00971BA5" w:rsidP="00971BA5">
            <w:pPr>
              <w:pStyle w:val="Tablecontents"/>
              <w:rPr>
                <w:sz w:val="20"/>
                <w:szCs w:val="20"/>
              </w:rPr>
            </w:pPr>
            <w:r w:rsidRPr="00315E9C">
              <w:rPr>
                <w:sz w:val="20"/>
                <w:szCs w:val="20"/>
              </w:rPr>
              <w:t>Chronic Lung Allograft Dysfunction and Death Is Not Mitigated by On-Demand</w:t>
            </w:r>
          </w:p>
          <w:p w14:paraId="73487193" w14:textId="77777777" w:rsidR="00971BA5" w:rsidRPr="00315E9C" w:rsidRDefault="00971BA5" w:rsidP="00971BA5">
            <w:pPr>
              <w:pStyle w:val="Tablecontents"/>
              <w:rPr>
                <w:sz w:val="20"/>
                <w:szCs w:val="20"/>
              </w:rPr>
            </w:pPr>
            <w:r w:rsidRPr="00315E9C">
              <w:rPr>
                <w:sz w:val="20"/>
                <w:szCs w:val="20"/>
              </w:rPr>
              <w:t>Immunoglobulin G Replacement After Lung Transplantation. Prog Transplant. 2018</w:t>
            </w:r>
          </w:p>
          <w:p w14:paraId="58C63C73" w14:textId="3D3A02EC" w:rsidR="00C07E39" w:rsidRPr="00315E9C" w:rsidRDefault="00971BA5" w:rsidP="00971BA5">
            <w:pPr>
              <w:pStyle w:val="Tablecontents"/>
              <w:rPr>
                <w:sz w:val="20"/>
                <w:szCs w:val="20"/>
              </w:rPr>
            </w:pPr>
            <w:r w:rsidRPr="00315E9C">
              <w:rPr>
                <w:sz w:val="20"/>
                <w:szCs w:val="20"/>
              </w:rPr>
              <w:t>Dec 11:1526924818817028.</w:t>
            </w:r>
          </w:p>
        </w:tc>
        <w:tc>
          <w:tcPr>
            <w:tcW w:w="4508" w:type="dxa"/>
          </w:tcPr>
          <w:p w14:paraId="4809DA20" w14:textId="02D73F8A" w:rsidR="00C07E39" w:rsidRPr="00315E9C" w:rsidRDefault="006B6020" w:rsidP="00811518">
            <w:pPr>
              <w:pStyle w:val="Tablecontents"/>
              <w:rPr>
                <w:sz w:val="20"/>
                <w:szCs w:val="20"/>
              </w:rPr>
            </w:pPr>
            <w:r w:rsidRPr="00315E9C">
              <w:rPr>
                <w:sz w:val="20"/>
                <w:szCs w:val="20"/>
              </w:rPr>
              <w:t xml:space="preserve">Retrospective study including 484 lung transplant patients: 76 without HGG, 216 HGG patients treated with IVIg, and 192 HGG patients not treated with IVIg. </w:t>
            </w:r>
            <w:r w:rsidR="00626C42" w:rsidRPr="00315E9C">
              <w:rPr>
                <w:sz w:val="20"/>
                <w:szCs w:val="20"/>
              </w:rPr>
              <w:t>Primary outcome was freedom from allograft dysfunction during the 5-year period. Secondary outcomes included rejection, infections and mortality.</w:t>
            </w:r>
          </w:p>
        </w:tc>
      </w:tr>
    </w:tbl>
    <w:p w14:paraId="7C9F499C" w14:textId="46CCBB65" w:rsidR="00C07E39" w:rsidRPr="00315E9C" w:rsidRDefault="001532BF" w:rsidP="001532BF">
      <w:pPr>
        <w:pStyle w:val="Tablecontents"/>
        <w:rPr>
          <w:sz w:val="18"/>
          <w:szCs w:val="18"/>
        </w:rPr>
      </w:pPr>
      <w:r w:rsidRPr="00315E9C">
        <w:rPr>
          <w:sz w:val="18"/>
          <w:szCs w:val="18"/>
        </w:rPr>
        <w:t>Abbreviations: HGG, hypogammaglobulinaemia; IVIg, intravenous immunoglobulin G</w:t>
      </w:r>
    </w:p>
    <w:p w14:paraId="4D5C4CC9" w14:textId="77777777" w:rsidR="00EF5EAD" w:rsidRDefault="00EF5EAD" w:rsidP="00305EF5">
      <w:pPr>
        <w:rPr>
          <w:rFonts w:asciiTheme="minorHAnsi" w:hAnsiTheme="minorHAnsi" w:cstheme="minorHAnsi"/>
        </w:rPr>
      </w:pPr>
    </w:p>
    <w:p w14:paraId="675D0017" w14:textId="76DE96FC" w:rsidR="00F33098" w:rsidRPr="00315E9C" w:rsidRDefault="002F433B" w:rsidP="00305EF5">
      <w:pPr>
        <w:rPr>
          <w:rFonts w:asciiTheme="minorHAnsi" w:hAnsiTheme="minorHAnsi" w:cstheme="minorHAnsi"/>
        </w:rPr>
      </w:pPr>
      <w:r w:rsidRPr="00315E9C">
        <w:rPr>
          <w:rFonts w:asciiTheme="minorHAnsi" w:hAnsiTheme="minorHAnsi" w:cstheme="minorHAnsi"/>
        </w:rPr>
        <w:t xml:space="preserve">Extending the PICO to consider </w:t>
      </w:r>
      <w:r>
        <w:rPr>
          <w:rFonts w:asciiTheme="minorHAnsi" w:hAnsiTheme="minorHAnsi" w:cstheme="minorHAnsi"/>
        </w:rPr>
        <w:t xml:space="preserve">non-comparative </w:t>
      </w:r>
      <w:r w:rsidRPr="00315E9C">
        <w:rPr>
          <w:rFonts w:asciiTheme="minorHAnsi" w:hAnsiTheme="minorHAnsi" w:cstheme="minorHAnsi"/>
        </w:rPr>
        <w:t>cohort studies</w:t>
      </w:r>
      <w:r>
        <w:rPr>
          <w:rFonts w:asciiTheme="minorHAnsi" w:hAnsiTheme="minorHAnsi" w:cstheme="minorHAnsi"/>
        </w:rPr>
        <w:t xml:space="preserve"> (i.e. separate cohort studies for patients with secondary hypogammaglobulinaemia treated and untreated with IgG) would </w:t>
      </w:r>
      <w:r w:rsidR="00C63A1C">
        <w:rPr>
          <w:rFonts w:asciiTheme="minorHAnsi" w:hAnsiTheme="minorHAnsi" w:cstheme="minorHAnsi"/>
        </w:rPr>
        <w:t xml:space="preserve">require widening the systematic search to include untreated cohorts. This would lead to a considerable increase in the number of </w:t>
      </w:r>
      <w:r w:rsidR="0047318C">
        <w:rPr>
          <w:rFonts w:asciiTheme="minorHAnsi" w:hAnsiTheme="minorHAnsi" w:cstheme="minorHAnsi"/>
        </w:rPr>
        <w:t xml:space="preserve">references </w:t>
      </w:r>
      <w:r w:rsidR="00C63A1C">
        <w:rPr>
          <w:rFonts w:asciiTheme="minorHAnsi" w:hAnsiTheme="minorHAnsi" w:cstheme="minorHAnsi"/>
        </w:rPr>
        <w:t>found</w:t>
      </w:r>
      <w:r w:rsidR="00305EF5">
        <w:rPr>
          <w:rFonts w:asciiTheme="minorHAnsi" w:hAnsiTheme="minorHAnsi" w:cstheme="minorHAnsi"/>
        </w:rPr>
        <w:t xml:space="preserve"> </w:t>
      </w:r>
      <w:r w:rsidR="00C63A1C">
        <w:rPr>
          <w:rFonts w:asciiTheme="minorHAnsi" w:hAnsiTheme="minorHAnsi" w:cstheme="minorHAnsi"/>
        </w:rPr>
        <w:t>and further restriction</w:t>
      </w:r>
      <w:r w:rsidR="00305EF5">
        <w:rPr>
          <w:rFonts w:asciiTheme="minorHAnsi" w:hAnsiTheme="minorHAnsi" w:cstheme="minorHAnsi"/>
        </w:rPr>
        <w:t xml:space="preserve">s to </w:t>
      </w:r>
      <w:r w:rsidR="0047318C">
        <w:rPr>
          <w:rFonts w:asciiTheme="minorHAnsi" w:hAnsiTheme="minorHAnsi" w:cstheme="minorHAnsi"/>
        </w:rPr>
        <w:t xml:space="preserve">the </w:t>
      </w:r>
      <w:r w:rsidR="00305EF5">
        <w:rPr>
          <w:rFonts w:asciiTheme="minorHAnsi" w:hAnsiTheme="minorHAnsi" w:cstheme="minorHAnsi"/>
        </w:rPr>
        <w:t xml:space="preserve">search strategy may need to </w:t>
      </w:r>
      <w:r w:rsidR="00400559">
        <w:rPr>
          <w:rFonts w:asciiTheme="minorHAnsi" w:hAnsiTheme="minorHAnsi" w:cstheme="minorHAnsi"/>
        </w:rPr>
        <w:t xml:space="preserve">be </w:t>
      </w:r>
      <w:r w:rsidR="00305EF5">
        <w:rPr>
          <w:rFonts w:asciiTheme="minorHAnsi" w:hAnsiTheme="minorHAnsi" w:cstheme="minorHAnsi"/>
        </w:rPr>
        <w:t>appl</w:t>
      </w:r>
      <w:r w:rsidR="0047318C">
        <w:rPr>
          <w:rFonts w:asciiTheme="minorHAnsi" w:hAnsiTheme="minorHAnsi" w:cstheme="minorHAnsi"/>
        </w:rPr>
        <w:t>ied to make such a strategy feasible</w:t>
      </w:r>
      <w:r w:rsidR="00305EF5">
        <w:rPr>
          <w:rFonts w:asciiTheme="minorHAnsi" w:hAnsiTheme="minorHAnsi" w:cstheme="minorHAnsi"/>
        </w:rPr>
        <w:t xml:space="preserve">. </w:t>
      </w:r>
      <w:r w:rsidR="0046532D">
        <w:rPr>
          <w:rFonts w:cs="Calibri"/>
          <w:color w:val="222222"/>
          <w:shd w:val="clear" w:color="auto" w:fill="FFFFFF"/>
        </w:rPr>
        <w:t xml:space="preserve">Furthermore, the inclusion of non-comparative studies would not allow to generate any robust estimates of effectiveness and safety compared to placebo that we can trust to be the true effect of the intervention. This is a highly heterogeneous population and the identified studies are at high risk of bias. </w:t>
      </w:r>
    </w:p>
    <w:p w14:paraId="07B78AF2" w14:textId="3189808F" w:rsidR="00C07E39" w:rsidRPr="00315E9C" w:rsidRDefault="00626C42" w:rsidP="002C539D">
      <w:pPr>
        <w:rPr>
          <w:rFonts w:asciiTheme="minorHAnsi" w:hAnsiTheme="minorHAnsi" w:cstheme="minorHAnsi"/>
        </w:rPr>
      </w:pPr>
      <w:r w:rsidRPr="00315E9C">
        <w:rPr>
          <w:rFonts w:asciiTheme="minorHAnsi" w:hAnsiTheme="minorHAnsi" w:cstheme="minorHAnsi"/>
        </w:rPr>
        <w:t>One Australian cost-utility analysis (CUA) comparing IVIg with SCIg in the wider population of patients with secondary immunodeficiency (due to any cause) was identified</w:t>
      </w:r>
      <w:r w:rsidRPr="00315E9C">
        <w:rPr>
          <w:rStyle w:val="FootnoteReference"/>
          <w:rFonts w:asciiTheme="minorHAnsi" w:hAnsiTheme="minorHAnsi" w:cstheme="minorHAnsi"/>
        </w:rPr>
        <w:footnoteReference w:id="3"/>
      </w:r>
      <w:r w:rsidR="00F85EC5" w:rsidRPr="00315E9C">
        <w:rPr>
          <w:rFonts w:asciiTheme="minorHAnsi" w:hAnsiTheme="minorHAnsi" w:cstheme="minorHAnsi"/>
        </w:rPr>
        <w:t>. Inputs from this study could be used to inform a model</w:t>
      </w:r>
      <w:r w:rsidRPr="00315E9C">
        <w:rPr>
          <w:rFonts w:asciiTheme="minorHAnsi" w:hAnsiTheme="minorHAnsi" w:cstheme="minorHAnsi"/>
        </w:rPr>
        <w:t xml:space="preserve">, but it </w:t>
      </w:r>
      <w:r w:rsidR="00F85EC5" w:rsidRPr="00315E9C">
        <w:rPr>
          <w:rFonts w:asciiTheme="minorHAnsi" w:hAnsiTheme="minorHAnsi" w:cstheme="minorHAnsi"/>
        </w:rPr>
        <w:t>may not be</w:t>
      </w:r>
      <w:r w:rsidRPr="00315E9C">
        <w:rPr>
          <w:rFonts w:asciiTheme="minorHAnsi" w:hAnsiTheme="minorHAnsi" w:cstheme="minorHAnsi"/>
        </w:rPr>
        <w:t xml:space="preserve"> directly applicable to the PICO population. It is important to note that high quality randomised controlled trials </w:t>
      </w:r>
      <w:r w:rsidR="00F33098" w:rsidRPr="00315E9C">
        <w:rPr>
          <w:rFonts w:asciiTheme="minorHAnsi" w:hAnsiTheme="minorHAnsi" w:cstheme="minorHAnsi"/>
        </w:rPr>
        <w:t>are unlikely to</w:t>
      </w:r>
      <w:r w:rsidRPr="00315E9C">
        <w:rPr>
          <w:rFonts w:asciiTheme="minorHAnsi" w:hAnsiTheme="minorHAnsi" w:cstheme="minorHAnsi"/>
        </w:rPr>
        <w:t xml:space="preserve"> be identified in a wider systematic literature review, and the </w:t>
      </w:r>
      <w:r w:rsidR="00F33098" w:rsidRPr="00315E9C">
        <w:rPr>
          <w:rFonts w:asciiTheme="minorHAnsi" w:hAnsiTheme="minorHAnsi" w:cstheme="minorHAnsi"/>
        </w:rPr>
        <w:t xml:space="preserve">quality </w:t>
      </w:r>
      <w:r w:rsidRPr="00315E9C">
        <w:rPr>
          <w:rFonts w:asciiTheme="minorHAnsi" w:hAnsiTheme="minorHAnsi" w:cstheme="minorHAnsi"/>
        </w:rPr>
        <w:t>of a</w:t>
      </w:r>
      <w:r w:rsidR="00F33098" w:rsidRPr="00315E9C">
        <w:rPr>
          <w:rFonts w:asciiTheme="minorHAnsi" w:hAnsiTheme="minorHAnsi" w:cstheme="minorHAnsi"/>
        </w:rPr>
        <w:t>ny</w:t>
      </w:r>
      <w:r w:rsidRPr="00315E9C">
        <w:rPr>
          <w:rFonts w:asciiTheme="minorHAnsi" w:hAnsiTheme="minorHAnsi" w:cstheme="minorHAnsi"/>
        </w:rPr>
        <w:t xml:space="preserve"> </w:t>
      </w:r>
      <w:r w:rsidR="002C539D" w:rsidRPr="00315E9C">
        <w:rPr>
          <w:rFonts w:asciiTheme="minorHAnsi" w:hAnsiTheme="minorHAnsi" w:cstheme="minorHAnsi"/>
        </w:rPr>
        <w:t>economic evaluation</w:t>
      </w:r>
      <w:r w:rsidR="00F33098" w:rsidRPr="00315E9C">
        <w:rPr>
          <w:rFonts w:asciiTheme="minorHAnsi" w:hAnsiTheme="minorHAnsi" w:cstheme="minorHAnsi"/>
        </w:rPr>
        <w:t xml:space="preserve"> is likely to reflect the limited evidence of effectiveness in the PICO populations</w:t>
      </w:r>
      <w:r w:rsidRPr="00315E9C">
        <w:rPr>
          <w:rFonts w:asciiTheme="minorHAnsi" w:hAnsiTheme="minorHAnsi" w:cstheme="minorHAnsi"/>
        </w:rPr>
        <w:t>.</w:t>
      </w:r>
    </w:p>
    <w:p w14:paraId="680F5AB1" w14:textId="77777777" w:rsidR="00A15569" w:rsidRPr="00315E9C" w:rsidRDefault="00A15569" w:rsidP="00F8526F">
      <w:pPr>
        <w:pStyle w:val="Heading1"/>
      </w:pPr>
      <w:r w:rsidRPr="00315E9C">
        <w:br w:type="page"/>
      </w:r>
      <w:r w:rsidR="00F8526F" w:rsidRPr="00315E9C">
        <w:lastRenderedPageBreak/>
        <w:t>Appendix 1</w:t>
      </w:r>
    </w:p>
    <w:p w14:paraId="30171C1B" w14:textId="18BE120B" w:rsidR="00F8526F" w:rsidRPr="00315E9C" w:rsidRDefault="005F7CCA" w:rsidP="00F8526F">
      <w:r w:rsidRPr="00315E9C">
        <w:object w:dxaOrig="11261" w:dyaOrig="9038" w14:anchorId="2B21D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Initial access to Ig funded under the National Blood Arrangements as per this Referral – Algorithm " style="width:453.25pt;height:375.1pt" o:ole="">
            <v:imagedata r:id="rId13" o:title=""/>
          </v:shape>
          <o:OLEObject Type="Embed" ProgID="VisioViewer.Viewer.1" ShapeID="_x0000_i1025" DrawAspect="Content" ObjectID="_1655709121" r:id="rId14"/>
        </w:object>
      </w:r>
    </w:p>
    <w:p w14:paraId="019E0F8E" w14:textId="77777777" w:rsidR="00F8526F" w:rsidRPr="00E63E99" w:rsidRDefault="00F8526F" w:rsidP="00E63E99">
      <w:pPr>
        <w:pStyle w:val="TableName"/>
        <w:ind w:left="0" w:firstLine="0"/>
        <w:rPr>
          <w:sz w:val="20"/>
          <w:szCs w:val="20"/>
        </w:rPr>
      </w:pPr>
      <w:r w:rsidRPr="00E63E99">
        <w:rPr>
          <w:sz w:val="20"/>
          <w:szCs w:val="20"/>
        </w:rPr>
        <w:t xml:space="preserve">Figure A1 Initial access to Ig funded under the National Blood Arrangements as per this Referral </w:t>
      </w:r>
    </w:p>
    <w:p w14:paraId="27C76299" w14:textId="77777777" w:rsidR="00F8526F" w:rsidRPr="00315E9C" w:rsidRDefault="00F8526F" w:rsidP="005F4734">
      <w:pPr>
        <w:pStyle w:val="Tablecontents"/>
        <w:rPr>
          <w:sz w:val="18"/>
          <w:szCs w:val="18"/>
        </w:rPr>
      </w:pPr>
      <w:r w:rsidRPr="00315E9C">
        <w:rPr>
          <w:sz w:val="18"/>
          <w:szCs w:val="18"/>
          <w:vertAlign w:val="superscript"/>
        </w:rPr>
        <w:t xml:space="preserve">1 </w:t>
      </w:r>
      <w:r w:rsidRPr="00315E9C">
        <w:rPr>
          <w:sz w:val="18"/>
          <w:szCs w:val="18"/>
        </w:rPr>
        <w:t xml:space="preserve">Diagnosis of bronchiectasis and/or suppurative lung disease must be consistent with the Thoracic Society of Australia and New Zealand (Chang et al 2014) </w:t>
      </w:r>
    </w:p>
    <w:p w14:paraId="271E6146" w14:textId="77777777" w:rsidR="00F8526F" w:rsidRPr="00315E9C" w:rsidRDefault="00F8526F" w:rsidP="005F4734">
      <w:pPr>
        <w:pStyle w:val="Tablecontents"/>
        <w:rPr>
          <w:sz w:val="18"/>
          <w:szCs w:val="18"/>
        </w:rPr>
      </w:pPr>
      <w:r w:rsidRPr="00315E9C">
        <w:rPr>
          <w:sz w:val="18"/>
          <w:szCs w:val="18"/>
          <w:vertAlign w:val="superscript"/>
        </w:rPr>
        <w:t>2</w:t>
      </w:r>
      <w:r w:rsidRPr="00315E9C">
        <w:rPr>
          <w:sz w:val="18"/>
          <w:szCs w:val="18"/>
        </w:rPr>
        <w:t xml:space="preserve"> Serum IgG levels should be measured on two separate occasions, at least one hour apart and at least one sample taken when the patient does not have an active infection.</w:t>
      </w:r>
    </w:p>
    <w:p w14:paraId="538689AA" w14:textId="77777777" w:rsidR="00F8526F" w:rsidRPr="00315E9C" w:rsidRDefault="00F8526F" w:rsidP="005F4734">
      <w:pPr>
        <w:pStyle w:val="Tablecontents"/>
        <w:rPr>
          <w:sz w:val="18"/>
          <w:szCs w:val="18"/>
        </w:rPr>
      </w:pPr>
      <w:r w:rsidRPr="00315E9C">
        <w:rPr>
          <w:sz w:val="18"/>
          <w:szCs w:val="18"/>
          <w:vertAlign w:val="superscript"/>
        </w:rPr>
        <w:t>3</w:t>
      </w:r>
      <w:r w:rsidRPr="00315E9C">
        <w:rPr>
          <w:sz w:val="18"/>
          <w:szCs w:val="18"/>
        </w:rPr>
        <w:t xml:space="preserve"> Reference range should be age related.</w:t>
      </w:r>
    </w:p>
    <w:p w14:paraId="6B5C2F09" w14:textId="77777777" w:rsidR="00F8526F" w:rsidRPr="00315E9C" w:rsidRDefault="00F8526F" w:rsidP="00F8526F">
      <w:pPr>
        <w:autoSpaceDE w:val="0"/>
        <w:autoSpaceDN w:val="0"/>
        <w:adjustRightInd w:val="0"/>
        <w:spacing w:after="0" w:line="288" w:lineRule="auto"/>
        <w:rPr>
          <w:rFonts w:cs="Calibri"/>
          <w:color w:val="000000"/>
          <w:sz w:val="18"/>
          <w:szCs w:val="18"/>
        </w:rPr>
      </w:pPr>
    </w:p>
    <w:p w14:paraId="4A85608F" w14:textId="77777777" w:rsidR="00FF7D5B" w:rsidRPr="00315E9C" w:rsidRDefault="00FF7D5B" w:rsidP="00FF7D5B">
      <w:pPr>
        <w:pStyle w:val="TableFigNotes18"/>
        <w:ind w:left="0"/>
      </w:pPr>
      <w:r w:rsidRPr="00315E9C">
        <w:t>.</w:t>
      </w:r>
    </w:p>
    <w:p w14:paraId="79D62430" w14:textId="77777777" w:rsidR="00FF7D5B" w:rsidRPr="00315E9C" w:rsidRDefault="00FF7D5B" w:rsidP="00F8526F">
      <w:pPr>
        <w:autoSpaceDE w:val="0"/>
        <w:autoSpaceDN w:val="0"/>
        <w:adjustRightInd w:val="0"/>
        <w:spacing w:after="0" w:line="288" w:lineRule="auto"/>
        <w:rPr>
          <w:rFonts w:cs="Calibri"/>
          <w:color w:val="000000"/>
          <w:sz w:val="18"/>
          <w:szCs w:val="18"/>
        </w:rPr>
      </w:pPr>
    </w:p>
    <w:p w14:paraId="27374844" w14:textId="67FB83A2" w:rsidR="00F8526F" w:rsidRPr="00315E9C" w:rsidRDefault="005F4734" w:rsidP="00F8526F">
      <w:r w:rsidRPr="00315E9C">
        <w:object w:dxaOrig="10826" w:dyaOrig="9330" w14:anchorId="4BCC5C9A">
          <v:shape id="_x0000_i1026" type="#_x0000_t75" alt="FIGURE 2 –Continuing access to Ig funded under the National Blood Arrangements as per this Referral – Algorithm" style="width:490.4pt;height:361.55pt" o:ole="">
            <v:imagedata r:id="rId15" o:title="" cropbottom="16767f" cropleft="2035f"/>
          </v:shape>
          <o:OLEObject Type="Embed" ProgID="VisioViewer.Viewer.1" ShapeID="_x0000_i1026" DrawAspect="Content" ObjectID="_1655709122" r:id="rId16"/>
        </w:object>
      </w:r>
    </w:p>
    <w:p w14:paraId="0EDC11E0" w14:textId="77777777" w:rsidR="00BF6E21" w:rsidRPr="00E63E99" w:rsidRDefault="00BF6E21" w:rsidP="00E63E99">
      <w:pPr>
        <w:pStyle w:val="TableName"/>
        <w:ind w:left="0" w:firstLine="0"/>
        <w:rPr>
          <w:sz w:val="20"/>
          <w:szCs w:val="20"/>
        </w:rPr>
      </w:pPr>
      <w:r w:rsidRPr="00E63E99">
        <w:rPr>
          <w:sz w:val="20"/>
          <w:szCs w:val="20"/>
        </w:rPr>
        <w:t xml:space="preserve">Figure A2 Continuing access to Ig funded under the National Blood Arrangements as per this Referral </w:t>
      </w:r>
    </w:p>
    <w:p w14:paraId="2BA6888E" w14:textId="77777777" w:rsidR="00BF6E21" w:rsidRPr="00315E9C" w:rsidRDefault="00BF6E21" w:rsidP="005F4734">
      <w:pPr>
        <w:pStyle w:val="Tablecontents"/>
        <w:rPr>
          <w:sz w:val="18"/>
          <w:szCs w:val="18"/>
        </w:rPr>
      </w:pPr>
      <w:r w:rsidRPr="00315E9C">
        <w:rPr>
          <w:sz w:val="18"/>
          <w:szCs w:val="18"/>
          <w:vertAlign w:val="superscript"/>
        </w:rPr>
        <w:t xml:space="preserve">1 </w:t>
      </w:r>
      <w:r w:rsidRPr="00315E9C">
        <w:rPr>
          <w:sz w:val="18"/>
          <w:szCs w:val="18"/>
        </w:rPr>
        <w:t xml:space="preserve">If serum IgM and IgA levels are trending upwards and near normal, IgG is also likely to be normal, this may suggest recovery of the immune system and a trial-off Ig therapy might be considered </w:t>
      </w:r>
    </w:p>
    <w:p w14:paraId="2ED182AF" w14:textId="77777777" w:rsidR="00BF6E21" w:rsidRPr="00315E9C" w:rsidRDefault="00BF6E21" w:rsidP="005F4734">
      <w:pPr>
        <w:pStyle w:val="Tablecontents"/>
        <w:rPr>
          <w:sz w:val="18"/>
          <w:szCs w:val="18"/>
        </w:rPr>
      </w:pPr>
      <w:r w:rsidRPr="00315E9C">
        <w:rPr>
          <w:sz w:val="18"/>
          <w:szCs w:val="18"/>
          <w:vertAlign w:val="superscript"/>
        </w:rPr>
        <w:t>2</w:t>
      </w:r>
      <w:r w:rsidRPr="00315E9C">
        <w:rPr>
          <w:sz w:val="18"/>
          <w:szCs w:val="18"/>
        </w:rPr>
        <w:t xml:space="preserve"> Contraindication reasons for a trial-off Ig therapy include neutropenia, immunosuppressant medication, active bronchiectasis and/or suppurative lung disease or severe hypogammaglobulinaemia</w:t>
      </w:r>
      <w:r w:rsidR="006B227F" w:rsidRPr="00315E9C">
        <w:rPr>
          <w:sz w:val="18"/>
          <w:szCs w:val="18"/>
        </w:rPr>
        <w:t xml:space="preserve"> persists where no significant improvement has occurred in the underlying condition.</w:t>
      </w:r>
    </w:p>
    <w:p w14:paraId="368F37E9" w14:textId="77777777" w:rsidR="00BF6E21" w:rsidRPr="00315E9C" w:rsidRDefault="00BF6E21" w:rsidP="005F4734">
      <w:pPr>
        <w:pStyle w:val="Tablecontents"/>
        <w:rPr>
          <w:sz w:val="18"/>
          <w:szCs w:val="18"/>
        </w:rPr>
      </w:pPr>
      <w:r w:rsidRPr="00315E9C">
        <w:rPr>
          <w:sz w:val="18"/>
          <w:szCs w:val="18"/>
          <w:vertAlign w:val="superscript"/>
        </w:rPr>
        <w:t>3</w:t>
      </w:r>
      <w:r w:rsidRPr="00315E9C">
        <w:rPr>
          <w:sz w:val="18"/>
          <w:szCs w:val="18"/>
        </w:rPr>
        <w:t xml:space="preserve"> </w:t>
      </w:r>
      <w:r w:rsidR="006B227F" w:rsidRPr="00315E9C">
        <w:rPr>
          <w:sz w:val="18"/>
          <w:szCs w:val="18"/>
        </w:rPr>
        <w:t>Ig therapy should be extended as required to enable cessation of therapy in September/October, with repeat clinical and/or immunological evaluation before re-commencement of therapy</w:t>
      </w:r>
    </w:p>
    <w:p w14:paraId="2F60B24C" w14:textId="77777777" w:rsidR="00BF6E21" w:rsidRPr="00315E9C" w:rsidRDefault="00BF6E21" w:rsidP="00F8526F"/>
    <w:p w14:paraId="2BA4E07B" w14:textId="77777777" w:rsidR="00793E5A" w:rsidRPr="00315E9C" w:rsidRDefault="00793E5A">
      <w:r w:rsidRPr="00315E9C">
        <w:br w:type="page"/>
      </w:r>
    </w:p>
    <w:p w14:paraId="3766B556" w14:textId="244E46BA" w:rsidR="00793E5A" w:rsidRPr="00E63E99" w:rsidRDefault="00793E5A" w:rsidP="00E63E99">
      <w:pPr>
        <w:pStyle w:val="TableName"/>
        <w:ind w:left="0" w:firstLine="0"/>
        <w:rPr>
          <w:rFonts w:cs="Calibri"/>
          <w:sz w:val="20"/>
          <w:szCs w:val="20"/>
        </w:rPr>
      </w:pPr>
      <w:r w:rsidRPr="00E63E99">
        <w:rPr>
          <w:sz w:val="20"/>
          <w:szCs w:val="20"/>
        </w:rPr>
        <w:lastRenderedPageBreak/>
        <w:t>Table A1. Classification of a service under MSAC consideration/Classification of the effectiveness of the proposed medical service over its main comparator and guide to the suitable type of economic evaluation</w:t>
      </w:r>
    </w:p>
    <w:tbl>
      <w:tblPr>
        <w:tblW w:w="8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A1. Classification of a service under MSAC consideration/Classification of the effectiveness of the proposed medical service over its main comparator and guide to the suitable type of economic evaluation"/>
        <w:tblDescription w:val="This is a table displaying the classification of services according to comparative safety and comparative effectiveness."/>
      </w:tblPr>
      <w:tblGrid>
        <w:gridCol w:w="1747"/>
        <w:gridCol w:w="1638"/>
        <w:gridCol w:w="1637"/>
        <w:gridCol w:w="1638"/>
        <w:gridCol w:w="1636"/>
      </w:tblGrid>
      <w:tr w:rsidR="00793E5A" w:rsidRPr="00315E9C" w14:paraId="15026053" w14:textId="77777777" w:rsidTr="00F726C5">
        <w:tc>
          <w:tcPr>
            <w:tcW w:w="1747" w:type="dxa"/>
            <w:vMerge w:val="restart"/>
            <w:tcBorders>
              <w:top w:val="single" w:sz="4" w:space="0" w:color="auto"/>
              <w:left w:val="single" w:sz="4" w:space="0" w:color="auto"/>
              <w:bottom w:val="single" w:sz="4" w:space="0" w:color="auto"/>
              <w:right w:val="single" w:sz="4" w:space="0" w:color="auto"/>
            </w:tcBorders>
            <w:hideMark/>
          </w:tcPr>
          <w:p w14:paraId="7A4775FC" w14:textId="77777777" w:rsidR="00793E5A" w:rsidRPr="00315E9C" w:rsidRDefault="00793E5A" w:rsidP="00F726C5">
            <w:pPr>
              <w:pStyle w:val="TableHeading"/>
              <w:rPr>
                <w:lang w:eastAsia="en-US"/>
              </w:rPr>
            </w:pPr>
            <w:r w:rsidRPr="00315E9C">
              <w:rPr>
                <w:lang w:eastAsia="en-US"/>
              </w:rPr>
              <w:t>Comparative safety</w:t>
            </w:r>
          </w:p>
        </w:tc>
        <w:tc>
          <w:tcPr>
            <w:tcW w:w="6549" w:type="dxa"/>
            <w:gridSpan w:val="4"/>
            <w:tcBorders>
              <w:top w:val="single" w:sz="4" w:space="0" w:color="auto"/>
              <w:left w:val="single" w:sz="4" w:space="0" w:color="auto"/>
              <w:bottom w:val="single" w:sz="4" w:space="0" w:color="auto"/>
              <w:right w:val="single" w:sz="4" w:space="0" w:color="auto"/>
            </w:tcBorders>
            <w:hideMark/>
          </w:tcPr>
          <w:p w14:paraId="22864B45" w14:textId="77777777" w:rsidR="00793E5A" w:rsidRPr="00315E9C" w:rsidRDefault="00793E5A" w:rsidP="00F726C5">
            <w:pPr>
              <w:pStyle w:val="TableHeading"/>
              <w:jc w:val="center"/>
              <w:rPr>
                <w:lang w:eastAsia="en-US"/>
              </w:rPr>
            </w:pPr>
            <w:r w:rsidRPr="00315E9C">
              <w:rPr>
                <w:lang w:eastAsia="en-US"/>
              </w:rPr>
              <w:t>Comparative effectiveness</w:t>
            </w:r>
          </w:p>
        </w:tc>
      </w:tr>
      <w:tr w:rsidR="00793E5A" w:rsidRPr="00315E9C" w14:paraId="36A855C7" w14:textId="77777777" w:rsidTr="00F726C5">
        <w:tc>
          <w:tcPr>
            <w:tcW w:w="0" w:type="auto"/>
            <w:vMerge/>
            <w:tcBorders>
              <w:top w:val="single" w:sz="4" w:space="0" w:color="auto"/>
              <w:left w:val="single" w:sz="4" w:space="0" w:color="auto"/>
              <w:bottom w:val="single" w:sz="4" w:space="0" w:color="auto"/>
              <w:right w:val="single" w:sz="4" w:space="0" w:color="auto"/>
            </w:tcBorders>
            <w:vAlign w:val="center"/>
            <w:hideMark/>
          </w:tcPr>
          <w:p w14:paraId="173603DB" w14:textId="77777777" w:rsidR="00793E5A" w:rsidRPr="00315E9C" w:rsidRDefault="00793E5A" w:rsidP="00F726C5">
            <w:pPr>
              <w:spacing w:after="0"/>
              <w:rPr>
                <w:rFonts w:ascii="Arial Narrow" w:hAnsi="Arial Narrow"/>
                <w:b/>
                <w:bCs/>
                <w:color w:val="000000"/>
                <w:sz w:val="20"/>
                <w:szCs w:val="21"/>
              </w:rPr>
            </w:pPr>
          </w:p>
        </w:tc>
        <w:tc>
          <w:tcPr>
            <w:tcW w:w="1638" w:type="dxa"/>
            <w:tcBorders>
              <w:top w:val="single" w:sz="4" w:space="0" w:color="auto"/>
              <w:left w:val="single" w:sz="4" w:space="0" w:color="auto"/>
              <w:bottom w:val="single" w:sz="4" w:space="0" w:color="auto"/>
              <w:right w:val="single" w:sz="4" w:space="0" w:color="auto"/>
            </w:tcBorders>
            <w:hideMark/>
          </w:tcPr>
          <w:p w14:paraId="0E3EA8C7" w14:textId="77777777" w:rsidR="00793E5A" w:rsidRPr="00315E9C" w:rsidRDefault="00793E5A" w:rsidP="00F726C5">
            <w:pPr>
              <w:pStyle w:val="TableHeading"/>
              <w:jc w:val="center"/>
              <w:rPr>
                <w:lang w:eastAsia="en-US"/>
              </w:rPr>
            </w:pPr>
            <w:r w:rsidRPr="00315E9C">
              <w:rPr>
                <w:lang w:eastAsia="en-US"/>
              </w:rPr>
              <w:t>Inferior</w:t>
            </w:r>
          </w:p>
        </w:tc>
        <w:tc>
          <w:tcPr>
            <w:tcW w:w="1637" w:type="dxa"/>
            <w:tcBorders>
              <w:top w:val="single" w:sz="4" w:space="0" w:color="auto"/>
              <w:left w:val="single" w:sz="4" w:space="0" w:color="auto"/>
              <w:bottom w:val="single" w:sz="4" w:space="0" w:color="auto"/>
              <w:right w:val="single" w:sz="4" w:space="0" w:color="auto"/>
            </w:tcBorders>
            <w:hideMark/>
          </w:tcPr>
          <w:p w14:paraId="14DD80F5" w14:textId="77777777" w:rsidR="00793E5A" w:rsidRPr="00315E9C" w:rsidRDefault="00793E5A" w:rsidP="00F726C5">
            <w:pPr>
              <w:pStyle w:val="TableHeading"/>
              <w:jc w:val="center"/>
              <w:rPr>
                <w:lang w:eastAsia="en-US"/>
              </w:rPr>
            </w:pPr>
            <w:r w:rsidRPr="00315E9C">
              <w:rPr>
                <w:lang w:eastAsia="en-US"/>
              </w:rPr>
              <w:t>Uncertain</w:t>
            </w:r>
            <w:r w:rsidRPr="00315E9C">
              <w:rPr>
                <w:vertAlign w:val="superscript"/>
                <w:lang w:eastAsia="en-US"/>
              </w:rPr>
              <w:t xml:space="preserve"> a</w:t>
            </w:r>
          </w:p>
        </w:tc>
        <w:tc>
          <w:tcPr>
            <w:tcW w:w="1638" w:type="dxa"/>
            <w:tcBorders>
              <w:top w:val="single" w:sz="4" w:space="0" w:color="auto"/>
              <w:left w:val="single" w:sz="4" w:space="0" w:color="auto"/>
              <w:bottom w:val="single" w:sz="4" w:space="0" w:color="auto"/>
              <w:right w:val="single" w:sz="4" w:space="0" w:color="auto"/>
            </w:tcBorders>
            <w:hideMark/>
          </w:tcPr>
          <w:p w14:paraId="10A9065B" w14:textId="77777777" w:rsidR="00793E5A" w:rsidRPr="00315E9C" w:rsidRDefault="00793E5A" w:rsidP="00F726C5">
            <w:pPr>
              <w:pStyle w:val="TableHeading"/>
              <w:jc w:val="center"/>
              <w:rPr>
                <w:lang w:eastAsia="en-US"/>
              </w:rPr>
            </w:pPr>
            <w:r w:rsidRPr="00315E9C">
              <w:rPr>
                <w:lang w:eastAsia="en-US"/>
              </w:rPr>
              <w:t>Non-</w:t>
            </w:r>
          </w:p>
        </w:tc>
        <w:tc>
          <w:tcPr>
            <w:tcW w:w="1636" w:type="dxa"/>
            <w:tcBorders>
              <w:top w:val="single" w:sz="4" w:space="0" w:color="auto"/>
              <w:left w:val="single" w:sz="4" w:space="0" w:color="auto"/>
              <w:bottom w:val="single" w:sz="4" w:space="0" w:color="auto"/>
              <w:right w:val="single" w:sz="4" w:space="0" w:color="auto"/>
            </w:tcBorders>
            <w:hideMark/>
          </w:tcPr>
          <w:p w14:paraId="3F65923F" w14:textId="77777777" w:rsidR="00793E5A" w:rsidRPr="00315E9C" w:rsidRDefault="00793E5A" w:rsidP="00F726C5">
            <w:pPr>
              <w:pStyle w:val="TableHeading"/>
              <w:jc w:val="center"/>
              <w:rPr>
                <w:lang w:eastAsia="en-US"/>
              </w:rPr>
            </w:pPr>
            <w:r w:rsidRPr="00315E9C">
              <w:rPr>
                <w:lang w:eastAsia="en-US"/>
              </w:rPr>
              <w:t>Superior</w:t>
            </w:r>
          </w:p>
        </w:tc>
      </w:tr>
      <w:tr w:rsidR="00793E5A" w:rsidRPr="00315E9C" w14:paraId="422B40C6" w14:textId="77777777" w:rsidTr="00F726C5">
        <w:tc>
          <w:tcPr>
            <w:tcW w:w="1747" w:type="dxa"/>
            <w:tcBorders>
              <w:top w:val="single" w:sz="4" w:space="0" w:color="auto"/>
              <w:left w:val="single" w:sz="4" w:space="0" w:color="auto"/>
              <w:bottom w:val="single" w:sz="4" w:space="0" w:color="auto"/>
              <w:right w:val="single" w:sz="4" w:space="0" w:color="auto"/>
            </w:tcBorders>
            <w:hideMark/>
          </w:tcPr>
          <w:p w14:paraId="72EF736E" w14:textId="77777777" w:rsidR="00793E5A" w:rsidRPr="00315E9C" w:rsidRDefault="00793E5A" w:rsidP="00F726C5">
            <w:pPr>
              <w:pStyle w:val="TableText"/>
              <w:rPr>
                <w:b/>
                <w:lang w:eastAsia="en-US"/>
              </w:rPr>
            </w:pPr>
            <w:r w:rsidRPr="00315E9C">
              <w:rPr>
                <w:b/>
                <w:lang w:eastAsia="en-US"/>
              </w:rPr>
              <w:t>Inferior</w:t>
            </w:r>
          </w:p>
        </w:tc>
        <w:tc>
          <w:tcPr>
            <w:tcW w:w="1638" w:type="dxa"/>
            <w:tcBorders>
              <w:top w:val="single" w:sz="4" w:space="0" w:color="auto"/>
              <w:left w:val="single" w:sz="4" w:space="0" w:color="auto"/>
              <w:bottom w:val="single" w:sz="4" w:space="0" w:color="auto"/>
              <w:right w:val="single" w:sz="4" w:space="0" w:color="auto"/>
            </w:tcBorders>
            <w:hideMark/>
          </w:tcPr>
          <w:p w14:paraId="672C2F61" w14:textId="77777777" w:rsidR="00793E5A" w:rsidRPr="00315E9C" w:rsidRDefault="00793E5A" w:rsidP="00F726C5">
            <w:pPr>
              <w:pStyle w:val="TableText"/>
              <w:jc w:val="center"/>
              <w:rPr>
                <w:lang w:eastAsia="en-US"/>
              </w:rPr>
            </w:pPr>
            <w:r w:rsidRPr="00315E9C">
              <w:rPr>
                <w:lang w:eastAsia="en-US"/>
              </w:rPr>
              <w:t>Health forgone: need other supportive factors</w:t>
            </w:r>
          </w:p>
        </w:tc>
        <w:tc>
          <w:tcPr>
            <w:tcW w:w="1637" w:type="dxa"/>
            <w:tcBorders>
              <w:top w:val="single" w:sz="4" w:space="0" w:color="auto"/>
              <w:left w:val="single" w:sz="4" w:space="0" w:color="auto"/>
              <w:bottom w:val="single" w:sz="4" w:space="0" w:color="auto"/>
              <w:right w:val="single" w:sz="4" w:space="0" w:color="auto"/>
            </w:tcBorders>
            <w:hideMark/>
          </w:tcPr>
          <w:p w14:paraId="25229626" w14:textId="77777777" w:rsidR="00793E5A" w:rsidRPr="00315E9C" w:rsidRDefault="00793E5A" w:rsidP="00F726C5">
            <w:pPr>
              <w:pStyle w:val="TableText"/>
              <w:jc w:val="center"/>
              <w:rPr>
                <w:lang w:eastAsia="en-US"/>
              </w:rPr>
            </w:pPr>
            <w:r w:rsidRPr="00315E9C">
              <w:rPr>
                <w:lang w:eastAsia="en-US"/>
              </w:rPr>
              <w:t>Health foregone possible: need other supportive factors</w:t>
            </w:r>
          </w:p>
        </w:tc>
        <w:tc>
          <w:tcPr>
            <w:tcW w:w="1638" w:type="dxa"/>
            <w:tcBorders>
              <w:top w:val="single" w:sz="4" w:space="0" w:color="auto"/>
              <w:left w:val="single" w:sz="4" w:space="0" w:color="auto"/>
              <w:bottom w:val="single" w:sz="4" w:space="0" w:color="auto"/>
              <w:right w:val="single" w:sz="4" w:space="0" w:color="auto"/>
            </w:tcBorders>
            <w:hideMark/>
          </w:tcPr>
          <w:p w14:paraId="3AE6F796" w14:textId="77777777" w:rsidR="00793E5A" w:rsidRPr="00315E9C" w:rsidRDefault="00793E5A" w:rsidP="00F726C5">
            <w:pPr>
              <w:pStyle w:val="TableText"/>
              <w:jc w:val="center"/>
              <w:rPr>
                <w:lang w:eastAsia="en-US"/>
              </w:rPr>
            </w:pPr>
            <w:r w:rsidRPr="00315E9C">
              <w:rPr>
                <w:lang w:eastAsia="en-US"/>
              </w:rPr>
              <w:t>Health foregone: need other supportive factors</w:t>
            </w:r>
          </w:p>
        </w:tc>
        <w:tc>
          <w:tcPr>
            <w:tcW w:w="1636" w:type="dxa"/>
            <w:tcBorders>
              <w:top w:val="single" w:sz="4" w:space="0" w:color="auto"/>
              <w:left w:val="single" w:sz="4" w:space="0" w:color="auto"/>
              <w:bottom w:val="single" w:sz="4" w:space="0" w:color="auto"/>
              <w:right w:val="single" w:sz="4" w:space="0" w:color="auto"/>
            </w:tcBorders>
            <w:hideMark/>
          </w:tcPr>
          <w:p w14:paraId="49B50FC8" w14:textId="77777777" w:rsidR="00793E5A" w:rsidRPr="00315E9C" w:rsidRDefault="00793E5A" w:rsidP="00F726C5">
            <w:pPr>
              <w:pStyle w:val="TableText"/>
              <w:jc w:val="center"/>
              <w:rPr>
                <w:lang w:eastAsia="en-US"/>
              </w:rPr>
            </w:pPr>
            <w:r w:rsidRPr="00315E9C">
              <w:rPr>
                <w:lang w:eastAsia="en-US"/>
              </w:rPr>
              <w:t>? Likely CUA</w:t>
            </w:r>
          </w:p>
        </w:tc>
      </w:tr>
      <w:tr w:rsidR="00793E5A" w:rsidRPr="00315E9C" w14:paraId="3DAA21CF" w14:textId="77777777" w:rsidTr="00F726C5">
        <w:tc>
          <w:tcPr>
            <w:tcW w:w="1747" w:type="dxa"/>
            <w:tcBorders>
              <w:top w:val="single" w:sz="4" w:space="0" w:color="auto"/>
              <w:left w:val="single" w:sz="4" w:space="0" w:color="auto"/>
              <w:bottom w:val="single" w:sz="4" w:space="0" w:color="auto"/>
              <w:right w:val="single" w:sz="4" w:space="0" w:color="auto"/>
            </w:tcBorders>
            <w:hideMark/>
          </w:tcPr>
          <w:p w14:paraId="1060D2F6" w14:textId="77777777" w:rsidR="00793E5A" w:rsidRPr="00315E9C" w:rsidRDefault="00793E5A" w:rsidP="00F726C5">
            <w:pPr>
              <w:pStyle w:val="TableText"/>
              <w:rPr>
                <w:b/>
                <w:lang w:eastAsia="en-US"/>
              </w:rPr>
            </w:pPr>
            <w:r w:rsidRPr="00315E9C">
              <w:rPr>
                <w:b/>
                <w:lang w:eastAsia="en-US"/>
              </w:rPr>
              <w:t>Uncertain</w:t>
            </w:r>
            <w:r w:rsidRPr="00315E9C">
              <w:rPr>
                <w:b/>
                <w:vertAlign w:val="superscript"/>
                <w:lang w:eastAsia="en-US"/>
              </w:rPr>
              <w:t xml:space="preserve"> a</w:t>
            </w:r>
          </w:p>
        </w:tc>
        <w:tc>
          <w:tcPr>
            <w:tcW w:w="1638" w:type="dxa"/>
            <w:tcBorders>
              <w:top w:val="single" w:sz="4" w:space="0" w:color="auto"/>
              <w:left w:val="single" w:sz="4" w:space="0" w:color="auto"/>
              <w:bottom w:val="single" w:sz="4" w:space="0" w:color="auto"/>
              <w:right w:val="single" w:sz="4" w:space="0" w:color="auto"/>
            </w:tcBorders>
            <w:hideMark/>
          </w:tcPr>
          <w:p w14:paraId="6D89D179" w14:textId="77777777" w:rsidR="00793E5A" w:rsidRPr="00315E9C" w:rsidRDefault="00793E5A" w:rsidP="00F726C5">
            <w:pPr>
              <w:pStyle w:val="TableText"/>
              <w:jc w:val="center"/>
              <w:rPr>
                <w:lang w:eastAsia="en-US"/>
              </w:rPr>
            </w:pPr>
            <w:r w:rsidRPr="00315E9C">
              <w:rPr>
                <w:lang w:eastAsia="en-US"/>
              </w:rPr>
              <w:t>Health foregone possible: need other supportive factors</w:t>
            </w:r>
          </w:p>
        </w:tc>
        <w:tc>
          <w:tcPr>
            <w:tcW w:w="1637" w:type="dxa"/>
            <w:tcBorders>
              <w:top w:val="single" w:sz="4" w:space="0" w:color="auto"/>
              <w:left w:val="single" w:sz="4" w:space="0" w:color="auto"/>
              <w:bottom w:val="single" w:sz="4" w:space="0" w:color="auto"/>
              <w:right w:val="single" w:sz="4" w:space="0" w:color="auto"/>
            </w:tcBorders>
            <w:hideMark/>
          </w:tcPr>
          <w:p w14:paraId="5B36124E" w14:textId="77777777" w:rsidR="00793E5A" w:rsidRPr="00315E9C" w:rsidRDefault="00793E5A" w:rsidP="00F726C5">
            <w:pPr>
              <w:pStyle w:val="TableText"/>
              <w:jc w:val="center"/>
              <w:rPr>
                <w:lang w:eastAsia="en-US"/>
              </w:rPr>
            </w:pPr>
            <w:r w:rsidRPr="00315E9C">
              <w:rPr>
                <w:lang w:eastAsia="en-US"/>
              </w:rPr>
              <w:t>?</w:t>
            </w:r>
          </w:p>
        </w:tc>
        <w:tc>
          <w:tcPr>
            <w:tcW w:w="1638" w:type="dxa"/>
            <w:tcBorders>
              <w:top w:val="single" w:sz="4" w:space="0" w:color="auto"/>
              <w:left w:val="single" w:sz="4" w:space="0" w:color="auto"/>
              <w:bottom w:val="single" w:sz="4" w:space="0" w:color="auto"/>
              <w:right w:val="single" w:sz="4" w:space="0" w:color="auto"/>
            </w:tcBorders>
            <w:hideMark/>
          </w:tcPr>
          <w:p w14:paraId="44692436" w14:textId="77777777" w:rsidR="00793E5A" w:rsidRPr="00315E9C" w:rsidRDefault="00793E5A" w:rsidP="00F726C5">
            <w:pPr>
              <w:pStyle w:val="TableText"/>
              <w:jc w:val="center"/>
              <w:rPr>
                <w:lang w:eastAsia="en-US"/>
              </w:rPr>
            </w:pPr>
            <w:r w:rsidRPr="00315E9C">
              <w:rPr>
                <w:lang w:eastAsia="en-US"/>
              </w:rPr>
              <w:t>?</w:t>
            </w:r>
          </w:p>
        </w:tc>
        <w:tc>
          <w:tcPr>
            <w:tcW w:w="1636" w:type="dxa"/>
            <w:tcBorders>
              <w:top w:val="single" w:sz="4" w:space="0" w:color="auto"/>
              <w:left w:val="single" w:sz="4" w:space="0" w:color="auto"/>
              <w:bottom w:val="single" w:sz="4" w:space="0" w:color="auto"/>
              <w:right w:val="single" w:sz="4" w:space="0" w:color="auto"/>
            </w:tcBorders>
            <w:hideMark/>
          </w:tcPr>
          <w:p w14:paraId="109EF859" w14:textId="77777777" w:rsidR="00793E5A" w:rsidRPr="00315E9C" w:rsidRDefault="00793E5A" w:rsidP="00F726C5">
            <w:pPr>
              <w:pStyle w:val="TableText"/>
              <w:jc w:val="center"/>
              <w:rPr>
                <w:lang w:eastAsia="en-US"/>
              </w:rPr>
            </w:pPr>
            <w:r w:rsidRPr="00315E9C">
              <w:rPr>
                <w:lang w:eastAsia="en-US"/>
              </w:rPr>
              <w:t>? Likely CEA/CUA</w:t>
            </w:r>
          </w:p>
        </w:tc>
      </w:tr>
      <w:tr w:rsidR="00793E5A" w:rsidRPr="00315E9C" w14:paraId="7173859C" w14:textId="77777777" w:rsidTr="00F726C5">
        <w:tc>
          <w:tcPr>
            <w:tcW w:w="1747" w:type="dxa"/>
            <w:tcBorders>
              <w:top w:val="single" w:sz="4" w:space="0" w:color="auto"/>
              <w:left w:val="single" w:sz="4" w:space="0" w:color="auto"/>
              <w:bottom w:val="single" w:sz="4" w:space="0" w:color="auto"/>
              <w:right w:val="single" w:sz="4" w:space="0" w:color="auto"/>
            </w:tcBorders>
            <w:hideMark/>
          </w:tcPr>
          <w:p w14:paraId="42DFD3DF" w14:textId="77777777" w:rsidR="00793E5A" w:rsidRPr="00315E9C" w:rsidRDefault="00793E5A" w:rsidP="00F726C5">
            <w:pPr>
              <w:pStyle w:val="TableText"/>
              <w:rPr>
                <w:b/>
                <w:lang w:eastAsia="en-US"/>
              </w:rPr>
            </w:pPr>
            <w:r w:rsidRPr="00315E9C">
              <w:rPr>
                <w:b/>
                <w:lang w:eastAsia="en-US"/>
              </w:rPr>
              <w:t>Non-</w:t>
            </w:r>
          </w:p>
        </w:tc>
        <w:tc>
          <w:tcPr>
            <w:tcW w:w="1638" w:type="dxa"/>
            <w:tcBorders>
              <w:top w:val="single" w:sz="4" w:space="0" w:color="auto"/>
              <w:left w:val="single" w:sz="4" w:space="0" w:color="auto"/>
              <w:bottom w:val="single" w:sz="4" w:space="0" w:color="auto"/>
              <w:right w:val="single" w:sz="4" w:space="0" w:color="auto"/>
            </w:tcBorders>
            <w:hideMark/>
          </w:tcPr>
          <w:p w14:paraId="1FCFEB67" w14:textId="77777777" w:rsidR="00793E5A" w:rsidRPr="00315E9C" w:rsidRDefault="00793E5A" w:rsidP="00F726C5">
            <w:pPr>
              <w:pStyle w:val="TableText"/>
              <w:jc w:val="center"/>
              <w:rPr>
                <w:lang w:eastAsia="en-US"/>
              </w:rPr>
            </w:pPr>
            <w:r w:rsidRPr="00315E9C">
              <w:rPr>
                <w:lang w:eastAsia="en-US"/>
              </w:rPr>
              <w:t>Health forgone: need other supportive factors</w:t>
            </w:r>
          </w:p>
        </w:tc>
        <w:tc>
          <w:tcPr>
            <w:tcW w:w="1637" w:type="dxa"/>
            <w:tcBorders>
              <w:top w:val="single" w:sz="4" w:space="0" w:color="auto"/>
              <w:left w:val="single" w:sz="4" w:space="0" w:color="auto"/>
              <w:bottom w:val="single" w:sz="4" w:space="0" w:color="auto"/>
              <w:right w:val="single" w:sz="4" w:space="0" w:color="auto"/>
            </w:tcBorders>
            <w:hideMark/>
          </w:tcPr>
          <w:p w14:paraId="06869CA6" w14:textId="77777777" w:rsidR="00793E5A" w:rsidRPr="00315E9C" w:rsidRDefault="00793E5A" w:rsidP="00F726C5">
            <w:pPr>
              <w:pStyle w:val="TableText"/>
              <w:jc w:val="center"/>
              <w:rPr>
                <w:lang w:eastAsia="en-US"/>
              </w:rPr>
            </w:pPr>
            <w:r w:rsidRPr="00315E9C">
              <w:rPr>
                <w:lang w:eastAsia="en-US"/>
              </w:rPr>
              <w:t>?</w:t>
            </w:r>
          </w:p>
        </w:tc>
        <w:tc>
          <w:tcPr>
            <w:tcW w:w="1638" w:type="dxa"/>
            <w:tcBorders>
              <w:top w:val="single" w:sz="4" w:space="0" w:color="auto"/>
              <w:left w:val="single" w:sz="4" w:space="0" w:color="auto"/>
              <w:bottom w:val="single" w:sz="4" w:space="0" w:color="auto"/>
              <w:right w:val="single" w:sz="4" w:space="0" w:color="auto"/>
            </w:tcBorders>
            <w:hideMark/>
          </w:tcPr>
          <w:p w14:paraId="753431B1" w14:textId="77777777" w:rsidR="00793E5A" w:rsidRPr="00315E9C" w:rsidRDefault="00793E5A" w:rsidP="00F726C5">
            <w:pPr>
              <w:pStyle w:val="TableText"/>
              <w:jc w:val="center"/>
              <w:rPr>
                <w:lang w:eastAsia="en-US"/>
              </w:rPr>
            </w:pPr>
            <w:r w:rsidRPr="00315E9C">
              <w:rPr>
                <w:lang w:eastAsia="en-US"/>
              </w:rPr>
              <w:t>CMA</w:t>
            </w:r>
          </w:p>
        </w:tc>
        <w:tc>
          <w:tcPr>
            <w:tcW w:w="1636" w:type="dxa"/>
            <w:tcBorders>
              <w:top w:val="single" w:sz="4" w:space="0" w:color="auto"/>
              <w:left w:val="single" w:sz="4" w:space="0" w:color="auto"/>
              <w:bottom w:val="single" w:sz="4" w:space="0" w:color="auto"/>
              <w:right w:val="single" w:sz="4" w:space="0" w:color="auto"/>
            </w:tcBorders>
            <w:hideMark/>
          </w:tcPr>
          <w:p w14:paraId="6E6345A4" w14:textId="77777777" w:rsidR="00793E5A" w:rsidRPr="00315E9C" w:rsidRDefault="00793E5A" w:rsidP="00F726C5">
            <w:pPr>
              <w:pStyle w:val="TableText"/>
              <w:jc w:val="center"/>
              <w:rPr>
                <w:lang w:eastAsia="en-US"/>
              </w:rPr>
            </w:pPr>
            <w:r w:rsidRPr="00315E9C">
              <w:rPr>
                <w:lang w:eastAsia="en-US"/>
              </w:rPr>
              <w:t>CEA/CUA</w:t>
            </w:r>
          </w:p>
        </w:tc>
      </w:tr>
      <w:tr w:rsidR="00793E5A" w:rsidRPr="00315E9C" w14:paraId="70CA33E4" w14:textId="77777777" w:rsidTr="00F726C5">
        <w:tc>
          <w:tcPr>
            <w:tcW w:w="1747" w:type="dxa"/>
            <w:tcBorders>
              <w:top w:val="single" w:sz="4" w:space="0" w:color="auto"/>
              <w:left w:val="single" w:sz="4" w:space="0" w:color="auto"/>
              <w:bottom w:val="single" w:sz="4" w:space="0" w:color="auto"/>
              <w:right w:val="single" w:sz="4" w:space="0" w:color="auto"/>
            </w:tcBorders>
            <w:hideMark/>
          </w:tcPr>
          <w:p w14:paraId="77D99433" w14:textId="77777777" w:rsidR="00793E5A" w:rsidRPr="00315E9C" w:rsidRDefault="00793E5A" w:rsidP="00F726C5">
            <w:pPr>
              <w:pStyle w:val="TableText"/>
              <w:rPr>
                <w:b/>
                <w:lang w:eastAsia="en-US"/>
              </w:rPr>
            </w:pPr>
            <w:r w:rsidRPr="00315E9C">
              <w:rPr>
                <w:b/>
                <w:lang w:eastAsia="en-US"/>
              </w:rPr>
              <w:t>Superior</w:t>
            </w:r>
          </w:p>
        </w:tc>
        <w:tc>
          <w:tcPr>
            <w:tcW w:w="1638" w:type="dxa"/>
            <w:tcBorders>
              <w:top w:val="single" w:sz="4" w:space="0" w:color="auto"/>
              <w:left w:val="single" w:sz="4" w:space="0" w:color="auto"/>
              <w:bottom w:val="single" w:sz="4" w:space="0" w:color="auto"/>
              <w:right w:val="single" w:sz="4" w:space="0" w:color="auto"/>
            </w:tcBorders>
            <w:hideMark/>
          </w:tcPr>
          <w:p w14:paraId="71176355" w14:textId="77777777" w:rsidR="00793E5A" w:rsidRPr="00315E9C" w:rsidRDefault="00793E5A" w:rsidP="00F726C5">
            <w:pPr>
              <w:pStyle w:val="TableText"/>
              <w:jc w:val="center"/>
              <w:rPr>
                <w:lang w:eastAsia="en-US"/>
              </w:rPr>
            </w:pPr>
            <w:r w:rsidRPr="00315E9C">
              <w:rPr>
                <w:lang w:eastAsia="en-US"/>
              </w:rPr>
              <w:t>? Likely CUA</w:t>
            </w:r>
          </w:p>
        </w:tc>
        <w:tc>
          <w:tcPr>
            <w:tcW w:w="1637" w:type="dxa"/>
            <w:tcBorders>
              <w:top w:val="single" w:sz="4" w:space="0" w:color="auto"/>
              <w:left w:val="single" w:sz="4" w:space="0" w:color="auto"/>
              <w:bottom w:val="single" w:sz="4" w:space="0" w:color="auto"/>
              <w:right w:val="single" w:sz="4" w:space="0" w:color="auto"/>
            </w:tcBorders>
            <w:hideMark/>
          </w:tcPr>
          <w:p w14:paraId="294AA8FE" w14:textId="77777777" w:rsidR="00793E5A" w:rsidRPr="00315E9C" w:rsidRDefault="00793E5A" w:rsidP="00F726C5">
            <w:pPr>
              <w:pStyle w:val="TableText"/>
              <w:jc w:val="center"/>
              <w:rPr>
                <w:lang w:eastAsia="en-US"/>
              </w:rPr>
            </w:pPr>
            <w:r w:rsidRPr="00315E9C">
              <w:rPr>
                <w:lang w:eastAsia="en-US"/>
              </w:rPr>
              <w:t>? Likely CUA</w:t>
            </w:r>
          </w:p>
        </w:tc>
        <w:tc>
          <w:tcPr>
            <w:tcW w:w="1638" w:type="dxa"/>
            <w:tcBorders>
              <w:top w:val="single" w:sz="4" w:space="0" w:color="auto"/>
              <w:left w:val="single" w:sz="4" w:space="0" w:color="auto"/>
              <w:bottom w:val="single" w:sz="4" w:space="0" w:color="auto"/>
              <w:right w:val="single" w:sz="4" w:space="0" w:color="auto"/>
            </w:tcBorders>
            <w:hideMark/>
          </w:tcPr>
          <w:p w14:paraId="3041EE84" w14:textId="77777777" w:rsidR="00793E5A" w:rsidRPr="00315E9C" w:rsidRDefault="00793E5A" w:rsidP="00F726C5">
            <w:pPr>
              <w:pStyle w:val="TableText"/>
              <w:jc w:val="center"/>
              <w:rPr>
                <w:lang w:eastAsia="en-US"/>
              </w:rPr>
            </w:pPr>
            <w:r w:rsidRPr="00315E9C">
              <w:rPr>
                <w:lang w:eastAsia="en-US"/>
              </w:rPr>
              <w:t>? Likely CEA/CUA</w:t>
            </w:r>
          </w:p>
        </w:tc>
        <w:tc>
          <w:tcPr>
            <w:tcW w:w="1636" w:type="dxa"/>
            <w:tcBorders>
              <w:top w:val="single" w:sz="4" w:space="0" w:color="auto"/>
              <w:left w:val="single" w:sz="4" w:space="0" w:color="auto"/>
              <w:bottom w:val="single" w:sz="4" w:space="0" w:color="auto"/>
              <w:right w:val="single" w:sz="4" w:space="0" w:color="auto"/>
            </w:tcBorders>
            <w:hideMark/>
          </w:tcPr>
          <w:p w14:paraId="6C681A6A" w14:textId="77777777" w:rsidR="00793E5A" w:rsidRPr="00315E9C" w:rsidRDefault="00793E5A" w:rsidP="00F726C5">
            <w:pPr>
              <w:pStyle w:val="TableText"/>
              <w:jc w:val="center"/>
              <w:rPr>
                <w:lang w:eastAsia="en-US"/>
              </w:rPr>
            </w:pPr>
            <w:r w:rsidRPr="00315E9C">
              <w:rPr>
                <w:lang w:eastAsia="en-US"/>
              </w:rPr>
              <w:t>CEA/CUA</w:t>
            </w:r>
          </w:p>
        </w:tc>
      </w:tr>
    </w:tbl>
    <w:p w14:paraId="18359483" w14:textId="77777777" w:rsidR="00793E5A" w:rsidRPr="00315E9C" w:rsidRDefault="00793E5A" w:rsidP="00793E5A">
      <w:pPr>
        <w:pStyle w:val="TableFigNotes0"/>
        <w:ind w:left="0"/>
      </w:pPr>
      <w:r w:rsidRPr="00315E9C">
        <w:t>CEA = cost-effectiveness analysis; CMA = cost-minimisation analysis; CUA = cost-utility analysis</w:t>
      </w:r>
    </w:p>
    <w:p w14:paraId="5A8F219B" w14:textId="77777777" w:rsidR="00793E5A" w:rsidRPr="00315E9C" w:rsidRDefault="00793E5A" w:rsidP="00793E5A">
      <w:pPr>
        <w:pStyle w:val="TableFigNotes0"/>
        <w:ind w:left="0"/>
      </w:pPr>
      <w:r w:rsidRPr="00315E9C">
        <w:t>? = reflects uncertainties and any identified health trade-offs in the economic evaluation, as a minimum in a cost-consequences analysis</w:t>
      </w:r>
    </w:p>
    <w:p w14:paraId="4009241B" w14:textId="77777777" w:rsidR="00793E5A" w:rsidRPr="00315E9C" w:rsidRDefault="00793E5A" w:rsidP="00793E5A">
      <w:pPr>
        <w:pStyle w:val="TableFigNotes0"/>
        <w:ind w:left="0"/>
      </w:pPr>
      <w:r w:rsidRPr="00315E9C">
        <w:rPr>
          <w:vertAlign w:val="superscript"/>
        </w:rPr>
        <w:t>a</w:t>
      </w:r>
      <w:r w:rsidRPr="00315E9C">
        <w:rPr>
          <w:b/>
        </w:rPr>
        <w:t> </w:t>
      </w:r>
      <w:r w:rsidRPr="00315E9C">
        <w:t>‘Uncertainty’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 (e.g. where the safety profiles of the compared medical services differ, with some aspects worse for the proposed medical service and some aspects better for the proposed medical service).</w:t>
      </w:r>
    </w:p>
    <w:p w14:paraId="39BAEFC2" w14:textId="77777777" w:rsidR="00793E5A" w:rsidRPr="00315E9C" w:rsidRDefault="00793E5A" w:rsidP="00552944">
      <w:pPr>
        <w:pStyle w:val="TableFigNotes0"/>
        <w:ind w:left="0"/>
      </w:pPr>
      <w:r w:rsidRPr="00315E9C">
        <w:rPr>
          <w:vertAlign w:val="superscript"/>
        </w:rPr>
        <w:t>b</w:t>
      </w:r>
      <w:r w:rsidRPr="00315E9C">
        <w:t> An adequate assessment on ‘non-inferiority’ is the preferred basis for demonstrating equivalence</w:t>
      </w:r>
    </w:p>
    <w:p w14:paraId="296C18DF" w14:textId="1FFB6ABA" w:rsidR="00811518" w:rsidRPr="00315E9C" w:rsidRDefault="001C28DD" w:rsidP="00811518">
      <w:pPr>
        <w:pStyle w:val="TableFigNotes0"/>
        <w:ind w:left="0"/>
      </w:pPr>
      <w:r w:rsidRPr="00315E9C">
        <w:t xml:space="preserve">Source: </w:t>
      </w:r>
      <w:hyperlink r:id="rId17" w:history="1">
        <w:r w:rsidRPr="00C16343">
          <w:rPr>
            <w:rStyle w:val="Hyperlink"/>
          </w:rPr>
          <w:t xml:space="preserve">MSAC Therapeutic </w:t>
        </w:r>
        <w:r w:rsidR="00C16343" w:rsidRPr="00C16343">
          <w:rPr>
            <w:rStyle w:val="Hyperlink"/>
          </w:rPr>
          <w:t>Technical Guidelines version 2</w:t>
        </w:r>
      </w:hyperlink>
      <w:r w:rsidR="00C16343">
        <w:t>.</w:t>
      </w:r>
      <w:r w:rsidR="00FF173C" w:rsidRPr="00315E9C">
        <w:t xml:space="preserve"> </w:t>
      </w:r>
    </w:p>
    <w:p w14:paraId="1174EDDC" w14:textId="77777777" w:rsidR="00811518" w:rsidRPr="00315E9C" w:rsidRDefault="00811518" w:rsidP="00552944">
      <w:pPr>
        <w:pStyle w:val="TableFigNotes0"/>
        <w:ind w:left="0"/>
      </w:pPr>
    </w:p>
    <w:p w14:paraId="587D84A4" w14:textId="54E04013" w:rsidR="00FF173C" w:rsidRPr="00E63E99" w:rsidRDefault="00811518" w:rsidP="00E63E99">
      <w:pPr>
        <w:pStyle w:val="TableName"/>
        <w:ind w:left="0" w:firstLine="0"/>
        <w:jc w:val="both"/>
        <w:rPr>
          <w:sz w:val="20"/>
          <w:szCs w:val="20"/>
        </w:rPr>
      </w:pPr>
      <w:r w:rsidRPr="00E63E99">
        <w:rPr>
          <w:sz w:val="20"/>
          <w:szCs w:val="20"/>
        </w:rPr>
        <w:t>Table A2. Evidence identified in the application</w:t>
      </w:r>
    </w:p>
    <w:tbl>
      <w:tblPr>
        <w:tblStyle w:val="TableGrid"/>
        <w:tblW w:w="5000" w:type="pct"/>
        <w:tblLook w:val="04A0" w:firstRow="1" w:lastRow="0" w:firstColumn="1" w:lastColumn="0" w:noHBand="0" w:noVBand="1"/>
        <w:tblCaption w:val="Table A2. Evidence identified in the application"/>
        <w:tblDescription w:val="This is a table showing the identified evidence for each reference and a description of the evidence."/>
      </w:tblPr>
      <w:tblGrid>
        <w:gridCol w:w="4508"/>
        <w:gridCol w:w="4508"/>
      </w:tblGrid>
      <w:tr w:rsidR="00811518" w:rsidRPr="00315E9C" w14:paraId="72A520F8" w14:textId="77777777" w:rsidTr="00B0404D">
        <w:trPr>
          <w:tblHeader/>
        </w:trPr>
        <w:tc>
          <w:tcPr>
            <w:tcW w:w="2500" w:type="pct"/>
          </w:tcPr>
          <w:p w14:paraId="65E04302" w14:textId="77777777" w:rsidR="00811518" w:rsidRPr="00315E9C" w:rsidRDefault="00811518" w:rsidP="00811518">
            <w:pPr>
              <w:pStyle w:val="Tablecontents"/>
              <w:rPr>
                <w:b/>
                <w:sz w:val="20"/>
                <w:szCs w:val="20"/>
              </w:rPr>
            </w:pPr>
            <w:r w:rsidRPr="00315E9C">
              <w:rPr>
                <w:b/>
                <w:sz w:val="20"/>
                <w:szCs w:val="20"/>
              </w:rPr>
              <w:t>Reference</w:t>
            </w:r>
          </w:p>
        </w:tc>
        <w:tc>
          <w:tcPr>
            <w:tcW w:w="2500" w:type="pct"/>
          </w:tcPr>
          <w:p w14:paraId="67779BE9" w14:textId="77777777" w:rsidR="00811518" w:rsidRPr="00315E9C" w:rsidRDefault="00811518" w:rsidP="00811518">
            <w:pPr>
              <w:pStyle w:val="Tablecontents"/>
              <w:rPr>
                <w:b/>
                <w:sz w:val="20"/>
                <w:szCs w:val="20"/>
              </w:rPr>
            </w:pPr>
            <w:r w:rsidRPr="00315E9C">
              <w:rPr>
                <w:b/>
                <w:sz w:val="20"/>
                <w:szCs w:val="20"/>
              </w:rPr>
              <w:t>Description</w:t>
            </w:r>
          </w:p>
        </w:tc>
      </w:tr>
      <w:tr w:rsidR="00811518" w:rsidRPr="00315E9C" w14:paraId="77145D21" w14:textId="77777777" w:rsidTr="00811518">
        <w:tc>
          <w:tcPr>
            <w:tcW w:w="2500" w:type="pct"/>
          </w:tcPr>
          <w:p w14:paraId="43EEB671" w14:textId="77777777" w:rsidR="00811518" w:rsidRPr="00315E9C" w:rsidRDefault="00811518" w:rsidP="00811518">
            <w:pPr>
              <w:pStyle w:val="Tablecontents"/>
              <w:rPr>
                <w:sz w:val="20"/>
                <w:szCs w:val="20"/>
              </w:rPr>
            </w:pPr>
            <w:r w:rsidRPr="00315E9C">
              <w:rPr>
                <w:sz w:val="20"/>
                <w:szCs w:val="20"/>
              </w:rPr>
              <w:t xml:space="preserve">Chang AB, Bell SC, Torzillo PJ, et al 2014, Thoracic Society of Australia and New Zealand Chronic Suppurative Lung Disease and Bronchiectasis in children and adults in Australia and New Zealand – Clinical Practice Guideline.  </w:t>
            </w:r>
          </w:p>
        </w:tc>
        <w:tc>
          <w:tcPr>
            <w:tcW w:w="2500" w:type="pct"/>
          </w:tcPr>
          <w:p w14:paraId="37D9D9B4" w14:textId="77777777" w:rsidR="00811518" w:rsidRPr="00315E9C" w:rsidRDefault="00811518" w:rsidP="00811518">
            <w:pPr>
              <w:pStyle w:val="Tablecontents"/>
              <w:rPr>
                <w:sz w:val="20"/>
                <w:szCs w:val="20"/>
              </w:rPr>
            </w:pPr>
            <w:r w:rsidRPr="00315E9C">
              <w:rPr>
                <w:sz w:val="20"/>
                <w:szCs w:val="20"/>
              </w:rPr>
              <w:t>Guidelines for managing chronic suppurative lung disease (CSLD) and bronchiectasis in Australian and</w:t>
            </w:r>
          </w:p>
          <w:p w14:paraId="3B81A143" w14:textId="77777777" w:rsidR="00811518" w:rsidRPr="00315E9C" w:rsidRDefault="00811518" w:rsidP="00811518">
            <w:pPr>
              <w:pStyle w:val="Tablecontents"/>
              <w:rPr>
                <w:sz w:val="20"/>
                <w:szCs w:val="20"/>
              </w:rPr>
            </w:pPr>
            <w:r w:rsidRPr="00315E9C">
              <w:rPr>
                <w:sz w:val="20"/>
                <w:szCs w:val="20"/>
              </w:rPr>
              <w:t>New Zealand children and adults</w:t>
            </w:r>
          </w:p>
        </w:tc>
      </w:tr>
      <w:tr w:rsidR="00811518" w:rsidRPr="00315E9C" w14:paraId="31E3B954" w14:textId="77777777" w:rsidTr="00811518">
        <w:tc>
          <w:tcPr>
            <w:tcW w:w="2500" w:type="pct"/>
          </w:tcPr>
          <w:p w14:paraId="6345BA5D" w14:textId="77777777" w:rsidR="00811518" w:rsidRPr="00315E9C" w:rsidRDefault="00811518" w:rsidP="00811518">
            <w:pPr>
              <w:pStyle w:val="Tablecontents"/>
              <w:rPr>
                <w:sz w:val="20"/>
                <w:szCs w:val="20"/>
              </w:rPr>
            </w:pPr>
            <w:r w:rsidRPr="00315E9C">
              <w:rPr>
                <w:sz w:val="20"/>
                <w:szCs w:val="20"/>
              </w:rPr>
              <w:t>Florescu DF. Solid organ transplantation: hypogammaglobulinaemia and infectious complications after solid organ transplantation. Clin Exp Immunol.</w:t>
            </w:r>
          </w:p>
          <w:p w14:paraId="050B79E6" w14:textId="77777777" w:rsidR="00811518" w:rsidRPr="00315E9C" w:rsidRDefault="00811518" w:rsidP="00811518">
            <w:pPr>
              <w:pStyle w:val="Tablecontents"/>
              <w:rPr>
                <w:sz w:val="20"/>
                <w:szCs w:val="20"/>
              </w:rPr>
            </w:pPr>
            <w:r w:rsidRPr="00315E9C">
              <w:rPr>
                <w:sz w:val="20"/>
                <w:szCs w:val="20"/>
              </w:rPr>
              <w:t>2014 Dec;178 Suppl 1:54-6.</w:t>
            </w:r>
          </w:p>
        </w:tc>
        <w:tc>
          <w:tcPr>
            <w:tcW w:w="2500" w:type="pct"/>
          </w:tcPr>
          <w:p w14:paraId="2450268D" w14:textId="77777777" w:rsidR="00811518" w:rsidRPr="00315E9C" w:rsidRDefault="00811518" w:rsidP="00811518">
            <w:pPr>
              <w:pStyle w:val="Tablecontents"/>
              <w:rPr>
                <w:sz w:val="20"/>
                <w:szCs w:val="20"/>
              </w:rPr>
            </w:pPr>
            <w:r w:rsidRPr="00315E9C">
              <w:rPr>
                <w:sz w:val="20"/>
                <w:szCs w:val="20"/>
              </w:rPr>
              <w:t>Meta-analysis of 18 studies incorporating 1756 patients to evaluate prevalence of hypogammaglobulinaemia after solid organ transplantation and its impact on the rate of opportunistic infections during the first year</w:t>
            </w:r>
          </w:p>
        </w:tc>
      </w:tr>
      <w:tr w:rsidR="00811518" w:rsidRPr="00315E9C" w14:paraId="084ADE56" w14:textId="77777777" w:rsidTr="00811518">
        <w:tc>
          <w:tcPr>
            <w:tcW w:w="2500" w:type="pct"/>
          </w:tcPr>
          <w:p w14:paraId="084997A6" w14:textId="77777777" w:rsidR="00811518" w:rsidRPr="00315E9C" w:rsidRDefault="00811518" w:rsidP="00811518">
            <w:pPr>
              <w:pStyle w:val="Tablecontents"/>
              <w:rPr>
                <w:sz w:val="20"/>
                <w:szCs w:val="20"/>
              </w:rPr>
            </w:pPr>
            <w:r w:rsidRPr="00315E9C">
              <w:rPr>
                <w:sz w:val="20"/>
                <w:szCs w:val="20"/>
              </w:rPr>
              <w:t>Kelesidis, T, Yang, O, 2010. Good’s syndrome remains a mystery after 55 years: A systemic review of the scientific evidence. Clinical Immunology, vol. 135, pp.  347–363.</w:t>
            </w:r>
          </w:p>
        </w:tc>
        <w:tc>
          <w:tcPr>
            <w:tcW w:w="2500" w:type="pct"/>
          </w:tcPr>
          <w:p w14:paraId="0A4B5D67" w14:textId="77777777" w:rsidR="00811518" w:rsidRPr="00315E9C" w:rsidRDefault="00811518" w:rsidP="00811518">
            <w:pPr>
              <w:pStyle w:val="Tablecontents"/>
              <w:rPr>
                <w:sz w:val="20"/>
                <w:szCs w:val="20"/>
              </w:rPr>
            </w:pPr>
            <w:r w:rsidRPr="00315E9C">
              <w:rPr>
                <w:sz w:val="20"/>
                <w:szCs w:val="20"/>
              </w:rPr>
              <w:t>A systematic review of the clinical, laboratory and immunologic finding from 152 patients with Good syndrome.</w:t>
            </w:r>
          </w:p>
        </w:tc>
      </w:tr>
      <w:tr w:rsidR="00811518" w:rsidRPr="00315E9C" w14:paraId="5CB90A5F" w14:textId="77777777" w:rsidTr="00811518">
        <w:tc>
          <w:tcPr>
            <w:tcW w:w="2500" w:type="pct"/>
          </w:tcPr>
          <w:p w14:paraId="3B403946" w14:textId="77777777" w:rsidR="00811518" w:rsidRPr="00315E9C" w:rsidRDefault="00811518" w:rsidP="00811518">
            <w:pPr>
              <w:pStyle w:val="Tablecontents"/>
              <w:rPr>
                <w:sz w:val="20"/>
                <w:szCs w:val="20"/>
              </w:rPr>
            </w:pPr>
            <w:r w:rsidRPr="00315E9C">
              <w:rPr>
                <w:sz w:val="20"/>
                <w:szCs w:val="20"/>
                <w:lang w:val="de-DE"/>
              </w:rPr>
              <w:t xml:space="preserve">Orange, JS, Hossny, EM, Weiler, CR, et al 2006. </w:t>
            </w:r>
            <w:r w:rsidRPr="00315E9C">
              <w:rPr>
                <w:sz w:val="20"/>
                <w:szCs w:val="20"/>
              </w:rPr>
              <w:t>Use of intravenous immunoglobulin in human disease: a review of evidence by members of the Primary Immunodeficiency Committee of the American Academy of Allergy, Asthma and Immunology. Journal of Allergy and Clinical Immunology, vol. 117, no. 4, pp. S525–53.</w:t>
            </w:r>
          </w:p>
        </w:tc>
        <w:tc>
          <w:tcPr>
            <w:tcW w:w="2500" w:type="pct"/>
          </w:tcPr>
          <w:p w14:paraId="29E1F677" w14:textId="77777777" w:rsidR="00811518" w:rsidRPr="00315E9C" w:rsidRDefault="00811518" w:rsidP="00811518">
            <w:pPr>
              <w:pStyle w:val="Tablecontents"/>
              <w:rPr>
                <w:sz w:val="20"/>
                <w:szCs w:val="20"/>
              </w:rPr>
            </w:pPr>
            <w:r w:rsidRPr="00315E9C">
              <w:rPr>
                <w:sz w:val="20"/>
                <w:szCs w:val="20"/>
              </w:rPr>
              <w:t>Reviews the basis for the FDA-approved indications for IGIV and will discuss other disease states in which IGIV has been used. Includes the review of 357 citations.</w:t>
            </w:r>
          </w:p>
        </w:tc>
      </w:tr>
      <w:tr w:rsidR="00811518" w:rsidRPr="00315E9C" w14:paraId="344BEF1C" w14:textId="77777777" w:rsidTr="00811518">
        <w:tc>
          <w:tcPr>
            <w:tcW w:w="2500" w:type="pct"/>
          </w:tcPr>
          <w:p w14:paraId="41CFC1DE" w14:textId="77777777" w:rsidR="00811518" w:rsidRPr="00315E9C" w:rsidRDefault="00811518" w:rsidP="00811518">
            <w:pPr>
              <w:pStyle w:val="Tablecontents"/>
              <w:rPr>
                <w:sz w:val="20"/>
                <w:szCs w:val="20"/>
              </w:rPr>
            </w:pPr>
            <w:r w:rsidRPr="00315E9C">
              <w:rPr>
                <w:sz w:val="20"/>
                <w:szCs w:val="20"/>
              </w:rPr>
              <w:t xml:space="preserve">Perez EE, Orange JS, Bonilla F, Chinen J, Chinn IK, Dorsey M, El-Gamal Y, Harville TO, Hossny E, Mazer B, Nelson R, Secord E, Jordan SC, Stiehm ER, Vo AA, </w:t>
            </w:r>
          </w:p>
          <w:p w14:paraId="5A4D35F1" w14:textId="77777777" w:rsidR="00811518" w:rsidRPr="00315E9C" w:rsidRDefault="00811518" w:rsidP="00811518">
            <w:pPr>
              <w:pStyle w:val="Tablecontents"/>
              <w:rPr>
                <w:sz w:val="20"/>
                <w:szCs w:val="20"/>
              </w:rPr>
            </w:pPr>
            <w:r w:rsidRPr="00315E9C">
              <w:rPr>
                <w:sz w:val="20"/>
                <w:szCs w:val="20"/>
              </w:rPr>
              <w:t>Ballow M. Update on the use of immunoglobulin in human disease: A review of evidence. J Allergy Clin Immunol. 2017 Mar;139(3S):S1-S46</w:t>
            </w:r>
          </w:p>
        </w:tc>
        <w:tc>
          <w:tcPr>
            <w:tcW w:w="2500" w:type="pct"/>
          </w:tcPr>
          <w:p w14:paraId="5F1B45A7" w14:textId="77777777" w:rsidR="00811518" w:rsidRPr="00315E9C" w:rsidRDefault="00811518" w:rsidP="00811518">
            <w:pPr>
              <w:pStyle w:val="Tablecontents"/>
              <w:rPr>
                <w:sz w:val="20"/>
                <w:szCs w:val="20"/>
              </w:rPr>
            </w:pPr>
            <w:r w:rsidRPr="00315E9C">
              <w:rPr>
                <w:sz w:val="20"/>
                <w:szCs w:val="20"/>
              </w:rPr>
              <w:t>Update on the review above by Orange et al. 2006.</w:t>
            </w:r>
          </w:p>
        </w:tc>
      </w:tr>
      <w:tr w:rsidR="00811518" w:rsidRPr="00315E9C" w14:paraId="6CF27CA6" w14:textId="77777777" w:rsidTr="00811518">
        <w:tc>
          <w:tcPr>
            <w:tcW w:w="2500" w:type="pct"/>
          </w:tcPr>
          <w:p w14:paraId="6020DE09" w14:textId="77777777" w:rsidR="00811518" w:rsidRPr="00315E9C" w:rsidRDefault="00811518" w:rsidP="00811518">
            <w:pPr>
              <w:pStyle w:val="Tablecontents"/>
              <w:rPr>
                <w:sz w:val="20"/>
                <w:szCs w:val="20"/>
              </w:rPr>
            </w:pPr>
            <w:r w:rsidRPr="00315E9C">
              <w:rPr>
                <w:sz w:val="20"/>
                <w:szCs w:val="20"/>
                <w:lang w:val="fr-FR"/>
              </w:rPr>
              <w:t xml:space="preserve">Shankar, T, Gribowicz, J, Crespo, M, et al 2013. </w:t>
            </w:r>
            <w:r w:rsidRPr="00315E9C">
              <w:rPr>
                <w:sz w:val="20"/>
                <w:szCs w:val="20"/>
              </w:rPr>
              <w:t>Subcutaneous IgG replacement therapy is safe and well tolerated in lung transplant recipients. Int Immunopharmacology, vol. 15, issue. 4, pp. 752–755.</w:t>
            </w:r>
          </w:p>
        </w:tc>
        <w:tc>
          <w:tcPr>
            <w:tcW w:w="2500" w:type="pct"/>
          </w:tcPr>
          <w:p w14:paraId="67F2E971" w14:textId="77777777" w:rsidR="00811518" w:rsidRPr="00315E9C" w:rsidRDefault="00811518" w:rsidP="00811518">
            <w:pPr>
              <w:pStyle w:val="Tablecontents"/>
              <w:rPr>
                <w:sz w:val="20"/>
                <w:szCs w:val="20"/>
              </w:rPr>
            </w:pPr>
            <w:r w:rsidRPr="00315E9C">
              <w:rPr>
                <w:sz w:val="20"/>
                <w:szCs w:val="20"/>
              </w:rPr>
              <w:t>A retrospective analysis of the efficacy and tolerability of subcutaneous Ig replacement on 10 lung-transplant recipients (all treated with IgG)</w:t>
            </w:r>
          </w:p>
        </w:tc>
      </w:tr>
    </w:tbl>
    <w:p w14:paraId="1A0ABAB8" w14:textId="5C1F1073" w:rsidR="00811518" w:rsidRPr="00315E9C" w:rsidRDefault="00811518">
      <w:pPr>
        <w:rPr>
          <w:rFonts w:ascii="Arial Narrow" w:eastAsia="Times New Roman" w:hAnsi="Arial Narrow"/>
          <w:color w:val="000000"/>
          <w:sz w:val="18"/>
          <w:szCs w:val="18"/>
          <w:lang w:eastAsia="en-AU"/>
        </w:rPr>
      </w:pPr>
      <w:r w:rsidRPr="00315E9C">
        <w:rPr>
          <w:rFonts w:ascii="Arial Narrow" w:eastAsia="Times New Roman" w:hAnsi="Arial Narrow"/>
          <w:color w:val="000000"/>
          <w:sz w:val="18"/>
          <w:szCs w:val="18"/>
          <w:lang w:eastAsia="en-AU"/>
        </w:rPr>
        <w:lastRenderedPageBreak/>
        <w:t xml:space="preserve">Included in the Criteria </w:t>
      </w:r>
      <w:r w:rsidRPr="00315E9C">
        <w:rPr>
          <w:rFonts w:ascii="Arial Narrow" w:eastAsia="Times New Roman" w:hAnsi="Arial Narrow"/>
          <w:color w:val="000000"/>
          <w:sz w:val="18"/>
          <w:szCs w:val="18"/>
          <w:lang w:eastAsia="en-AU"/>
        </w:rPr>
        <w:fldChar w:fldCharType="begin"/>
      </w:r>
      <w:r w:rsidRPr="00315E9C">
        <w:rPr>
          <w:rFonts w:ascii="Arial Narrow" w:eastAsia="Times New Roman" w:hAnsi="Arial Narrow"/>
          <w:color w:val="000000"/>
          <w:sz w:val="18"/>
          <w:szCs w:val="18"/>
          <w:lang w:eastAsia="en-AU"/>
        </w:rPr>
        <w:instrText xml:space="preserve"> ADDIN EN.CITE &lt;EndNote&gt;&lt;Cite&gt;&lt;Author&gt;NBA&lt;/Author&gt;&lt;Year&gt;2019&lt;/Year&gt;&lt;RecNum&gt;1&lt;/RecNum&gt;&lt;DisplayText&gt;(1)&lt;/DisplayText&gt;&lt;record&gt;&lt;rec-number&gt;1&lt;/rec-number&gt;&lt;foreign-keys&gt;&lt;key app="EN" db-id="5xftwazxqe520uewe2ax9va4adpprzt9xazr" timestamp="1571179061"&gt;1&lt;/key&gt;&lt;/foreign-keys&gt;&lt;ref-type name="Web Page"&gt;12&lt;/ref-type&gt;&lt;contributors&gt;&lt;authors&gt;&lt;author&gt;NBA&lt;/author&gt;&lt;/authors&gt;&lt;/contributors&gt;&lt;titles&gt;&lt;title&gt;Criteria for Clinical Use of Immunoglobulin in Australia: Secondary hypogammaglobulinaemia unrelated to Haematological malignancy or haemopoeitic stem cell transplant (HSCT)&lt;/title&gt;&lt;/titles&gt;&lt;number&gt;16/10/19&lt;/number&gt;&lt;dates&gt;&lt;year&gt;2019&lt;/year&gt;&lt;/dates&gt;&lt;pub-location&gt;National Blood Authority, Australia&lt;/pub-location&gt;&lt;urls&gt;&lt;related-urls&gt;&lt;url&gt;https://www.criteria.blood.gov.au/MedicalCondition/View/2607&lt;/url&gt;&lt;/related-urls&gt;&lt;/urls&gt;&lt;/record&gt;&lt;/Cite&gt;&lt;/EndNote&gt;</w:instrText>
      </w:r>
      <w:r w:rsidRPr="00315E9C">
        <w:rPr>
          <w:rFonts w:ascii="Arial Narrow" w:eastAsia="Times New Roman" w:hAnsi="Arial Narrow"/>
          <w:color w:val="000000"/>
          <w:sz w:val="18"/>
          <w:szCs w:val="18"/>
          <w:lang w:eastAsia="en-AU"/>
        </w:rPr>
        <w:fldChar w:fldCharType="separate"/>
      </w:r>
      <w:r w:rsidRPr="00315E9C">
        <w:rPr>
          <w:rFonts w:ascii="Arial Narrow" w:eastAsia="Times New Roman" w:hAnsi="Arial Narrow"/>
          <w:noProof/>
          <w:color w:val="000000"/>
          <w:sz w:val="18"/>
          <w:szCs w:val="18"/>
          <w:lang w:eastAsia="en-AU"/>
        </w:rPr>
        <w:t>(1)</w:t>
      </w:r>
      <w:r w:rsidRPr="00315E9C">
        <w:rPr>
          <w:rFonts w:ascii="Arial Narrow" w:eastAsia="Times New Roman" w:hAnsi="Arial Narrow"/>
          <w:color w:val="000000"/>
          <w:sz w:val="18"/>
          <w:szCs w:val="18"/>
          <w:lang w:eastAsia="en-AU"/>
        </w:rPr>
        <w:fldChar w:fldCharType="end"/>
      </w:r>
    </w:p>
    <w:p w14:paraId="293CDC84" w14:textId="77777777" w:rsidR="00FF173C" w:rsidRPr="00315E9C" w:rsidRDefault="00FF173C" w:rsidP="00FF173C">
      <w:pPr>
        <w:pStyle w:val="Heading1"/>
      </w:pPr>
      <w:r w:rsidRPr="00315E9C">
        <w:t>References</w:t>
      </w:r>
    </w:p>
    <w:p w14:paraId="1EE47C09" w14:textId="77777777" w:rsidR="00115D02" w:rsidRPr="00315E9C" w:rsidRDefault="00115D02" w:rsidP="00B67D06"/>
    <w:p w14:paraId="525FE20B" w14:textId="40F0CC4E" w:rsidR="00AD208B" w:rsidRPr="00315E9C" w:rsidRDefault="00115D02" w:rsidP="00B67D06">
      <w:r w:rsidRPr="00315E9C">
        <w:fldChar w:fldCharType="begin"/>
      </w:r>
      <w:r w:rsidRPr="00315E9C">
        <w:instrText xml:space="preserve"> ADDIN EN.REFLIST </w:instrText>
      </w:r>
      <w:r w:rsidRPr="00315E9C">
        <w:fldChar w:fldCharType="separate"/>
      </w:r>
      <w:r w:rsidR="00AD208B" w:rsidRPr="00315E9C">
        <w:t>1.</w:t>
      </w:r>
      <w:r w:rsidR="00AD208B" w:rsidRPr="00315E9C">
        <w:tab/>
        <w:t xml:space="preserve">NBA. Criteria for Clinical Use of Immunoglobulin in Australia: Secondary hypogammaglobulinaemia unrelated to Haematological malignancy or haemopoeitic stem cell transplant (HSCT) National Blood Authority, Australia2019 [Available from: </w:t>
      </w:r>
      <w:hyperlink r:id="rId18" w:history="1">
        <w:r w:rsidR="00AD208B" w:rsidRPr="00315E9C">
          <w:rPr>
            <w:rStyle w:val="Hyperlink"/>
          </w:rPr>
          <w:t>https://www.criteria.blood.gov.au/MedicalCondition/View/2607</w:t>
        </w:r>
      </w:hyperlink>
      <w:r w:rsidR="00AD208B" w:rsidRPr="00315E9C">
        <w:t>.</w:t>
      </w:r>
    </w:p>
    <w:p w14:paraId="2A7C0347" w14:textId="77777777" w:rsidR="00AD208B" w:rsidRPr="00315E9C" w:rsidRDefault="00AD208B" w:rsidP="00B67D06">
      <w:r w:rsidRPr="00315E9C">
        <w:t>2.</w:t>
      </w:r>
      <w:r w:rsidRPr="00315E9C">
        <w:tab/>
        <w:t>NBA. National report on the issue and use of Immunoglobulin (Ig). Annual Report 2015-16. National Blood Authority; 2018.</w:t>
      </w:r>
    </w:p>
    <w:p w14:paraId="1E4F556A" w14:textId="77777777" w:rsidR="00AD208B" w:rsidRPr="00315E9C" w:rsidRDefault="00AD208B" w:rsidP="00B67D06">
      <w:r w:rsidRPr="00315E9C">
        <w:t>3.</w:t>
      </w:r>
      <w:r w:rsidRPr="00315E9C">
        <w:tab/>
        <w:t>Florescu DF. Solid organ transplantation: hypogammaglobulinaemia and infectious complications after solid organ transplantation. Clinical and experimental immunology. 2014;178(Suppl 1):54.</w:t>
      </w:r>
    </w:p>
    <w:p w14:paraId="626C186B" w14:textId="77777777" w:rsidR="00AD208B" w:rsidRPr="00315E9C" w:rsidRDefault="00AD208B" w:rsidP="00B67D06">
      <w:r w:rsidRPr="00315E9C">
        <w:t>4.</w:t>
      </w:r>
      <w:r w:rsidRPr="00315E9C">
        <w:tab/>
        <w:t>Patel SY, Carbone J, Jolles S. The Expanding Field of Secondary Antibody Deficiency: Causes, Diagnosis, and Management. Frontiers in immunology. 2019;10.</w:t>
      </w:r>
    </w:p>
    <w:p w14:paraId="3D8677DF" w14:textId="77777777" w:rsidR="00AD208B" w:rsidRPr="00315E9C" w:rsidRDefault="00AD208B" w:rsidP="00B67D06">
      <w:r w:rsidRPr="00315E9C">
        <w:t>5.</w:t>
      </w:r>
      <w:r w:rsidRPr="00315E9C">
        <w:tab/>
        <w:t>Kelesidis T, Yang O. Good's syndrome remains a mystery after 55 years: a systematic review of the scientific evidence. Clinical immunology. 2010;135(3):347-63.</w:t>
      </w:r>
    </w:p>
    <w:p w14:paraId="35912ABB" w14:textId="77777777" w:rsidR="00AD208B" w:rsidRPr="00315E9C" w:rsidRDefault="00AD208B" w:rsidP="00B67D06">
      <w:r w:rsidRPr="00315E9C">
        <w:t>6.</w:t>
      </w:r>
      <w:r w:rsidRPr="00315E9C">
        <w:tab/>
        <w:t>NBA. Immunoglobulin Governance. National Policy: Access to Government-Funded</w:t>
      </w:r>
    </w:p>
    <w:p w14:paraId="5127BAAE" w14:textId="77777777" w:rsidR="00AD208B" w:rsidRPr="00315E9C" w:rsidRDefault="00AD208B" w:rsidP="00B67D06">
      <w:r w:rsidRPr="00315E9C">
        <w:t>Immunoglobulin Products in Australia. National Blood Authority; 2019.</w:t>
      </w:r>
    </w:p>
    <w:p w14:paraId="107C9790" w14:textId="74DC7068" w:rsidR="00AD208B" w:rsidRPr="00315E9C" w:rsidRDefault="00AD208B" w:rsidP="00B67D06">
      <w:r w:rsidRPr="00315E9C">
        <w:t>7.</w:t>
      </w:r>
      <w:r w:rsidRPr="00315E9C">
        <w:tab/>
        <w:t xml:space="preserve">NBA. Access to Subcutaneous Immunoglobulin (SCIg) National Blood Authority2019 [Available from: </w:t>
      </w:r>
      <w:hyperlink r:id="rId19" w:history="1">
        <w:r w:rsidRPr="00315E9C">
          <w:rPr>
            <w:rStyle w:val="Hyperlink"/>
          </w:rPr>
          <w:t>https://www.blood.gov.au/SCIg</w:t>
        </w:r>
      </w:hyperlink>
      <w:r w:rsidRPr="00315E9C">
        <w:t>.</w:t>
      </w:r>
    </w:p>
    <w:p w14:paraId="40B88414" w14:textId="77777777" w:rsidR="00AD208B" w:rsidRPr="00315E9C" w:rsidRDefault="00AD208B" w:rsidP="00B67D06">
      <w:r w:rsidRPr="00315E9C">
        <w:t>8.</w:t>
      </w:r>
      <w:r w:rsidRPr="00315E9C">
        <w:tab/>
        <w:t>Department of Health. Clinical guidelines for immunoglobulin use. Department of Health, UK; 2011.</w:t>
      </w:r>
    </w:p>
    <w:p w14:paraId="4F230494" w14:textId="77777777" w:rsidR="00AD208B" w:rsidRPr="00315E9C" w:rsidRDefault="00AD208B" w:rsidP="00B67D06">
      <w:r w:rsidRPr="00315E9C">
        <w:t>9.</w:t>
      </w:r>
      <w:r w:rsidRPr="00315E9C">
        <w:tab/>
        <w:t>EMA. Guideline on the clinical investigation of human normal immunoglobulin for intravenous administration (IVIg). European Medicines Agency; 2018.</w:t>
      </w:r>
    </w:p>
    <w:p w14:paraId="263763D2" w14:textId="77777777" w:rsidR="00AD208B" w:rsidRPr="00315E9C" w:rsidRDefault="00AD208B" w:rsidP="00B67D06">
      <w:r w:rsidRPr="00315E9C">
        <w:t>10.</w:t>
      </w:r>
      <w:r w:rsidRPr="00315E9C">
        <w:tab/>
        <w:t>EMA. Guideline on the clinical investigation of human normal immunoglobulin for subcutaneous and/or intramuscular administration (SCIg/IMIg). 2015.</w:t>
      </w:r>
    </w:p>
    <w:p w14:paraId="724F1BAE" w14:textId="26C0215E" w:rsidR="001C28DD" w:rsidRPr="00315E9C" w:rsidRDefault="00115D02" w:rsidP="00B67D06">
      <w:r w:rsidRPr="00315E9C">
        <w:fldChar w:fldCharType="end"/>
      </w:r>
    </w:p>
    <w:sectPr w:rsidR="001C28DD" w:rsidRPr="00315E9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34046" w14:textId="77777777" w:rsidR="00D34139" w:rsidRDefault="00D34139" w:rsidP="003D699E">
      <w:pPr>
        <w:spacing w:after="0" w:line="240" w:lineRule="auto"/>
      </w:pPr>
      <w:r>
        <w:separator/>
      </w:r>
    </w:p>
  </w:endnote>
  <w:endnote w:type="continuationSeparator" w:id="0">
    <w:p w14:paraId="598F2B0D" w14:textId="77777777" w:rsidR="00D34139" w:rsidRDefault="00D34139" w:rsidP="003D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0E07F" w14:textId="77777777" w:rsidR="00C16343" w:rsidRDefault="00C16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26044460"/>
      <w:docPartObj>
        <w:docPartGallery w:val="Page Numbers (Bottom of Page)"/>
        <w:docPartUnique/>
      </w:docPartObj>
    </w:sdtPr>
    <w:sdtEndPr>
      <w:rPr>
        <w:color w:val="808080" w:themeColor="background1" w:themeShade="80"/>
        <w:spacing w:val="60"/>
      </w:rPr>
    </w:sdtEndPr>
    <w:sdtContent>
      <w:p w14:paraId="246B1327" w14:textId="5E429E94" w:rsidR="00D34139" w:rsidRDefault="00D34139" w:rsidP="003D699E">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961104" w:rsidRPr="00961104">
          <w:rPr>
            <w:b/>
            <w:bCs/>
            <w:noProof/>
            <w:sz w:val="18"/>
            <w:szCs w:val="18"/>
          </w:rPr>
          <w:t>3</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PICO Confirmation</w:t>
        </w:r>
      </w:p>
      <w:p w14:paraId="03FBD159" w14:textId="57407750" w:rsidR="00D34139" w:rsidRDefault="00D34139" w:rsidP="00B653E6">
        <w:pPr>
          <w:pStyle w:val="Footer"/>
          <w:pBdr>
            <w:top w:val="single" w:sz="4" w:space="1" w:color="D9D9D9" w:themeColor="background1" w:themeShade="D9"/>
          </w:pBdr>
        </w:pPr>
        <w:r>
          <w:rPr>
            <w:color w:val="808080" w:themeColor="background1" w:themeShade="80"/>
            <w:spacing w:val="60"/>
            <w:sz w:val="18"/>
            <w:szCs w:val="18"/>
          </w:rPr>
          <w:tab/>
          <w:t>Application 1591:</w:t>
        </w:r>
        <w:r w:rsidRPr="00B653E6">
          <w:t xml:space="preserve"> </w:t>
        </w:r>
        <w:r w:rsidRPr="00B653E6">
          <w:rPr>
            <w:color w:val="808080" w:themeColor="background1" w:themeShade="80"/>
            <w:spacing w:val="60"/>
            <w:sz w:val="18"/>
            <w:szCs w:val="18"/>
          </w:rPr>
          <w:t xml:space="preserve">Secondary hypogammaglobulinaemia unrelated to haematological malignancies or </w:t>
        </w:r>
        <w:r>
          <w:rPr>
            <w:color w:val="808080" w:themeColor="background1" w:themeShade="80"/>
            <w:spacing w:val="60"/>
            <w:sz w:val="18"/>
            <w:szCs w:val="18"/>
          </w:rPr>
          <w:t>post-haemopoietic stem cell transplantation</w:t>
        </w:r>
      </w:p>
    </w:sdtContent>
  </w:sdt>
  <w:p w14:paraId="6E9B07D0" w14:textId="77777777" w:rsidR="00D34139" w:rsidRDefault="00D34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6C28" w14:textId="77777777" w:rsidR="00C16343" w:rsidRDefault="00C16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3824C" w14:textId="77777777" w:rsidR="00D34139" w:rsidRDefault="00D34139" w:rsidP="003D699E">
      <w:pPr>
        <w:spacing w:after="0" w:line="240" w:lineRule="auto"/>
      </w:pPr>
      <w:r>
        <w:separator/>
      </w:r>
    </w:p>
  </w:footnote>
  <w:footnote w:type="continuationSeparator" w:id="0">
    <w:p w14:paraId="498F7D65" w14:textId="77777777" w:rsidR="00D34139" w:rsidRDefault="00D34139" w:rsidP="003D699E">
      <w:pPr>
        <w:spacing w:after="0" w:line="240" w:lineRule="auto"/>
      </w:pPr>
      <w:r>
        <w:continuationSeparator/>
      </w:r>
    </w:p>
  </w:footnote>
  <w:footnote w:id="1">
    <w:p w14:paraId="15BE1A9C" w14:textId="77777777" w:rsidR="00D34139" w:rsidRDefault="00D34139" w:rsidP="00477258">
      <w:pPr>
        <w:pStyle w:val="FootnoteText"/>
      </w:pPr>
      <w:r>
        <w:rPr>
          <w:rStyle w:val="FootnoteReference"/>
        </w:rPr>
        <w:footnoteRef/>
      </w:r>
      <w:r>
        <w:t xml:space="preserve"> </w:t>
      </w:r>
      <w:r>
        <w:rPr>
          <w:sz w:val="18"/>
          <w:szCs w:val="18"/>
        </w:rPr>
        <w:t>Ig Reference Group Meeting 3, July 2019</w:t>
      </w:r>
    </w:p>
  </w:footnote>
  <w:footnote w:id="2">
    <w:p w14:paraId="390F8CE4" w14:textId="77777777" w:rsidR="00D34139" w:rsidRPr="005F4734" w:rsidRDefault="00D34139" w:rsidP="005F4734">
      <w:pPr>
        <w:pStyle w:val="Tablecontents"/>
        <w:rPr>
          <w:sz w:val="20"/>
          <w:szCs w:val="20"/>
        </w:rPr>
      </w:pPr>
      <w:r w:rsidRPr="005F4734">
        <w:rPr>
          <w:rStyle w:val="FootnoteReference"/>
          <w:sz w:val="20"/>
          <w:szCs w:val="20"/>
        </w:rPr>
        <w:footnoteRef/>
      </w:r>
      <w:r w:rsidRPr="005F4734">
        <w:rPr>
          <w:sz w:val="20"/>
          <w:szCs w:val="20"/>
        </w:rPr>
        <w:t xml:space="preserve"> Ig Reference Group Meeting 3, July 2019</w:t>
      </w:r>
    </w:p>
  </w:footnote>
  <w:footnote w:id="3">
    <w:p w14:paraId="09D8E869" w14:textId="4F4B386A" w:rsidR="00D34139" w:rsidRDefault="00D34139" w:rsidP="00626C42">
      <w:pPr>
        <w:pStyle w:val="Tablecontents"/>
      </w:pPr>
      <w:r>
        <w:rPr>
          <w:rStyle w:val="FootnoteReference"/>
        </w:rPr>
        <w:footnoteRef/>
      </w:r>
      <w:r>
        <w:t xml:space="preserve"> </w:t>
      </w:r>
      <w:r w:rsidRPr="00626C42">
        <w:rPr>
          <w:sz w:val="20"/>
          <w:szCs w:val="20"/>
        </w:rPr>
        <w:t>Windegger TM, Nghiem S, Nguyen KH, Fung YL, Scuffham PA. Cost-utility analysis</w:t>
      </w:r>
      <w:r>
        <w:rPr>
          <w:sz w:val="20"/>
          <w:szCs w:val="20"/>
        </w:rPr>
        <w:t xml:space="preserve"> </w:t>
      </w:r>
      <w:r w:rsidRPr="00626C42">
        <w:rPr>
          <w:sz w:val="20"/>
          <w:szCs w:val="20"/>
        </w:rPr>
        <w:t>comparing hospital-based intravenous immunoglobulin with home-based subcutaneous immunoglobulin in patients with secondary immunodeficiency. Vox Sang.</w:t>
      </w:r>
      <w:r>
        <w:rPr>
          <w:sz w:val="20"/>
          <w:szCs w:val="20"/>
        </w:rPr>
        <w:t xml:space="preserve"> 2</w:t>
      </w:r>
      <w:r w:rsidRPr="00626C42">
        <w:rPr>
          <w:sz w:val="20"/>
          <w:szCs w:val="20"/>
        </w:rPr>
        <w:t>019</w:t>
      </w:r>
      <w:r>
        <w:rPr>
          <w:sz w:val="20"/>
          <w:szCs w:val="20"/>
        </w:rPr>
        <w:t xml:space="preserve"> </w:t>
      </w:r>
      <w:r w:rsidRPr="00626C42">
        <w:rPr>
          <w:sz w:val="20"/>
          <w:szCs w:val="20"/>
        </w:rPr>
        <w:t>Apr;114(3):237-246. doi: 10.1111/vox.12760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5E1EA" w14:textId="77777777" w:rsidR="00D34139" w:rsidRDefault="00D34139">
    <w:pPr>
      <w:pStyle w:val="Header"/>
    </w:pPr>
    <w:r>
      <w:rPr>
        <w:noProof/>
        <w:lang w:eastAsia="en-AU"/>
      </w:rPr>
      <mc:AlternateContent>
        <mc:Choice Requires="wps">
          <w:drawing>
            <wp:anchor distT="0" distB="0" distL="114300" distR="114300" simplePos="0" relativeHeight="251657728" behindDoc="1" locked="0" layoutInCell="0" allowOverlap="1" wp14:anchorId="1D50C38B" wp14:editId="3E6A7959">
              <wp:simplePos x="0" y="0"/>
              <wp:positionH relativeFrom="margin">
                <wp:align>center</wp:align>
              </wp:positionH>
              <wp:positionV relativeFrom="margin">
                <wp:align>center</wp:align>
              </wp:positionV>
              <wp:extent cx="7458710" cy="621030"/>
              <wp:effectExtent l="0" t="2486025" r="0" b="242697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8710" cy="621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A28DF" w14:textId="77777777" w:rsidR="00D34139" w:rsidRDefault="00D34139" w:rsidP="00897AE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FOR CONSULATION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50C38B" id="_x0000_t202" coordsize="21600,21600" o:spt="202" path="m,l,21600r21600,l21600,xe">
              <v:stroke joinstyle="miter"/>
              <v:path gradientshapeok="t" o:connecttype="rect"/>
            </v:shapetype>
            <v:shape id="WordArt 6" o:spid="_x0000_s1026" type="#_x0000_t202" style="position:absolute;margin-left:0;margin-top:0;width:587.3pt;height:48.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" o:allowincell="f" filled="f" stroked="f">
              <v:stroke joinstyle="round"/>
              <o:lock v:ext="edit" shapetype="t"/>
              <v:textbox style="mso-fit-shape-to-text:t">
                <w:txbxContent>
                  <w:p w14:paraId="322A28DF" w14:textId="77777777" w:rsidR="00D34139" w:rsidRDefault="00D34139" w:rsidP="00897AE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FOR CONSULATION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C9D5" w14:textId="77777777" w:rsidR="00C16343" w:rsidRDefault="00C16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AB70" w14:textId="77777777" w:rsidR="00C16343" w:rsidRDefault="00C16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91"/>
    <w:multiLevelType w:val="hybridMultilevel"/>
    <w:tmpl w:val="A49EF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EC6323"/>
    <w:multiLevelType w:val="hybridMultilevel"/>
    <w:tmpl w:val="E3A83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445CA"/>
    <w:multiLevelType w:val="hybridMultilevel"/>
    <w:tmpl w:val="C1848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A7E9B"/>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E83456B"/>
    <w:multiLevelType w:val="hybridMultilevel"/>
    <w:tmpl w:val="B36C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C3EA5"/>
    <w:multiLevelType w:val="hybridMultilevel"/>
    <w:tmpl w:val="E41477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966063B"/>
    <w:multiLevelType w:val="hybridMultilevel"/>
    <w:tmpl w:val="CBD09F4C"/>
    <w:lvl w:ilvl="0" w:tplc="BD1423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49D07ACC"/>
    <w:multiLevelType w:val="hybridMultilevel"/>
    <w:tmpl w:val="65365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02206D"/>
    <w:multiLevelType w:val="hybridMultilevel"/>
    <w:tmpl w:val="B05C4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5F442D"/>
    <w:multiLevelType w:val="hybridMultilevel"/>
    <w:tmpl w:val="607AA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0F6FAE"/>
    <w:multiLevelType w:val="multilevel"/>
    <w:tmpl w:val="5EDA609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2CE63E9"/>
    <w:multiLevelType w:val="hybridMultilevel"/>
    <w:tmpl w:val="5940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0A35E4"/>
    <w:multiLevelType w:val="hybridMultilevel"/>
    <w:tmpl w:val="9536B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7B6EDA"/>
    <w:multiLevelType w:val="hybridMultilevel"/>
    <w:tmpl w:val="D2A8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53E36"/>
    <w:multiLevelType w:val="hybridMultilevel"/>
    <w:tmpl w:val="D95AD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20CF"/>
    <w:multiLevelType w:val="hybridMultilevel"/>
    <w:tmpl w:val="CBD09F4C"/>
    <w:lvl w:ilvl="0" w:tplc="BD1423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7BCC04BB"/>
    <w:multiLevelType w:val="multilevel"/>
    <w:tmpl w:val="D5AE0C74"/>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900"/>
        </w:tabs>
        <w:ind w:left="-900" w:hanging="360"/>
      </w:pPr>
      <w:rPr>
        <w:rFonts w:ascii="Wingdings" w:hAnsi="Wingdings" w:hint="default"/>
        <w:sz w:val="20"/>
      </w:rPr>
    </w:lvl>
    <w:lvl w:ilvl="3" w:tentative="1">
      <w:start w:val="1"/>
      <w:numFmt w:val="bullet"/>
      <w:lvlText w:val=""/>
      <w:lvlJc w:val="left"/>
      <w:pPr>
        <w:tabs>
          <w:tab w:val="num" w:pos="-180"/>
        </w:tabs>
        <w:ind w:left="-180" w:hanging="360"/>
      </w:pPr>
      <w:rPr>
        <w:rFonts w:ascii="Wingdings" w:hAnsi="Wingdings" w:hint="default"/>
        <w:sz w:val="20"/>
      </w:rPr>
    </w:lvl>
    <w:lvl w:ilvl="4" w:tentative="1">
      <w:start w:val="1"/>
      <w:numFmt w:val="bullet"/>
      <w:lvlText w:val=""/>
      <w:lvlJc w:val="left"/>
      <w:pPr>
        <w:tabs>
          <w:tab w:val="num" w:pos="540"/>
        </w:tabs>
        <w:ind w:left="540" w:hanging="360"/>
      </w:pPr>
      <w:rPr>
        <w:rFonts w:ascii="Wingdings" w:hAnsi="Wingdings" w:hint="default"/>
        <w:sz w:val="20"/>
      </w:rPr>
    </w:lvl>
    <w:lvl w:ilvl="5" w:tentative="1">
      <w:start w:val="1"/>
      <w:numFmt w:val="bullet"/>
      <w:lvlText w:val=""/>
      <w:lvlJc w:val="left"/>
      <w:pPr>
        <w:tabs>
          <w:tab w:val="num" w:pos="1260"/>
        </w:tabs>
        <w:ind w:left="1260" w:hanging="360"/>
      </w:pPr>
      <w:rPr>
        <w:rFonts w:ascii="Wingdings" w:hAnsi="Wingdings" w:hint="default"/>
        <w:sz w:val="20"/>
      </w:rPr>
    </w:lvl>
    <w:lvl w:ilvl="6" w:tentative="1">
      <w:start w:val="1"/>
      <w:numFmt w:val="bullet"/>
      <w:lvlText w:val=""/>
      <w:lvlJc w:val="left"/>
      <w:pPr>
        <w:tabs>
          <w:tab w:val="num" w:pos="1980"/>
        </w:tabs>
        <w:ind w:left="1980" w:hanging="360"/>
      </w:pPr>
      <w:rPr>
        <w:rFonts w:ascii="Wingdings" w:hAnsi="Wingdings" w:hint="default"/>
        <w:sz w:val="20"/>
      </w:rPr>
    </w:lvl>
    <w:lvl w:ilvl="7" w:tentative="1">
      <w:start w:val="1"/>
      <w:numFmt w:val="bullet"/>
      <w:lvlText w:val=""/>
      <w:lvlJc w:val="left"/>
      <w:pPr>
        <w:tabs>
          <w:tab w:val="num" w:pos="2700"/>
        </w:tabs>
        <w:ind w:left="2700" w:hanging="360"/>
      </w:pPr>
      <w:rPr>
        <w:rFonts w:ascii="Wingdings" w:hAnsi="Wingdings" w:hint="default"/>
        <w:sz w:val="20"/>
      </w:rPr>
    </w:lvl>
    <w:lvl w:ilvl="8" w:tentative="1">
      <w:start w:val="1"/>
      <w:numFmt w:val="bullet"/>
      <w:lvlText w:val=""/>
      <w:lvlJc w:val="left"/>
      <w:pPr>
        <w:tabs>
          <w:tab w:val="num" w:pos="3420"/>
        </w:tabs>
        <w:ind w:left="3420" w:hanging="360"/>
      </w:pPr>
      <w:rPr>
        <w:rFonts w:ascii="Wingdings" w:hAnsi="Wingdings" w:hint="default"/>
        <w:sz w:val="20"/>
      </w:rPr>
    </w:lvl>
  </w:abstractNum>
  <w:abstractNum w:abstractNumId="18" w15:restartNumberingAfterBreak="0">
    <w:nsid w:val="7C46577C"/>
    <w:multiLevelType w:val="hybridMultilevel"/>
    <w:tmpl w:val="0EBE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4"/>
  </w:num>
  <w:num w:numId="5">
    <w:abstractNumId w:val="16"/>
  </w:num>
  <w:num w:numId="6">
    <w:abstractNumId w:val="7"/>
  </w:num>
  <w:num w:numId="7">
    <w:abstractNumId w:val="4"/>
  </w:num>
  <w:num w:numId="8">
    <w:abstractNumId w:val="1"/>
  </w:num>
  <w:num w:numId="9">
    <w:abstractNumId w:val="11"/>
  </w:num>
  <w:num w:numId="10">
    <w:abstractNumId w:val="6"/>
  </w:num>
  <w:num w:numId="11">
    <w:abstractNumId w:val="13"/>
  </w:num>
  <w:num w:numId="12">
    <w:abstractNumId w:val="3"/>
  </w:num>
  <w:num w:numId="13">
    <w:abstractNumId w:val="18"/>
  </w:num>
  <w:num w:numId="14">
    <w:abstractNumId w:val="10"/>
  </w:num>
  <w:num w:numId="15">
    <w:abstractNumId w:val="8"/>
  </w:num>
  <w:num w:numId="16">
    <w:abstractNumId w:val="2"/>
  </w:num>
  <w:num w:numId="17">
    <w:abstractNumId w:val="9"/>
  </w:num>
  <w:num w:numId="18">
    <w:abstractNumId w:val="17"/>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ftwazxqe520uewe2ax9va4adpprzt9xazr&quot;&gt;PICO library&lt;record-ids&gt;&lt;item&gt;1&lt;/item&gt;&lt;item&gt;2&lt;/item&gt;&lt;item&gt;3&lt;/item&gt;&lt;item&gt;4&lt;/item&gt;&lt;item&gt;5&lt;/item&gt;&lt;item&gt;7&lt;/item&gt;&lt;item&gt;8&lt;/item&gt;&lt;item&gt;9&lt;/item&gt;&lt;item&gt;10&lt;/item&gt;&lt;item&gt;11&lt;/item&gt;&lt;/record-ids&gt;&lt;/item&gt;&lt;/Libraries&gt;"/>
  </w:docVars>
  <w:rsids>
    <w:rsidRoot w:val="0044715D"/>
    <w:rsid w:val="00002118"/>
    <w:rsid w:val="000039BA"/>
    <w:rsid w:val="00004548"/>
    <w:rsid w:val="00005BD2"/>
    <w:rsid w:val="00014375"/>
    <w:rsid w:val="000203BE"/>
    <w:rsid w:val="0003068E"/>
    <w:rsid w:val="00032F32"/>
    <w:rsid w:val="00057693"/>
    <w:rsid w:val="000602A0"/>
    <w:rsid w:val="00063AC8"/>
    <w:rsid w:val="00067188"/>
    <w:rsid w:val="0007253A"/>
    <w:rsid w:val="000915CA"/>
    <w:rsid w:val="0009160D"/>
    <w:rsid w:val="000A0FBA"/>
    <w:rsid w:val="000A3DB7"/>
    <w:rsid w:val="000B519A"/>
    <w:rsid w:val="000C0101"/>
    <w:rsid w:val="000C7BB8"/>
    <w:rsid w:val="000E0B88"/>
    <w:rsid w:val="000E7E5C"/>
    <w:rsid w:val="000F02D5"/>
    <w:rsid w:val="00115D02"/>
    <w:rsid w:val="00123DCF"/>
    <w:rsid w:val="00124CAB"/>
    <w:rsid w:val="00126FD2"/>
    <w:rsid w:val="0013165C"/>
    <w:rsid w:val="00134A71"/>
    <w:rsid w:val="00140294"/>
    <w:rsid w:val="00143DE3"/>
    <w:rsid w:val="001455EC"/>
    <w:rsid w:val="001532BF"/>
    <w:rsid w:val="00174681"/>
    <w:rsid w:val="00180F03"/>
    <w:rsid w:val="00185A78"/>
    <w:rsid w:val="00191E53"/>
    <w:rsid w:val="00195D90"/>
    <w:rsid w:val="00197879"/>
    <w:rsid w:val="001C28DD"/>
    <w:rsid w:val="001D0D22"/>
    <w:rsid w:val="001D0DCC"/>
    <w:rsid w:val="001D19B0"/>
    <w:rsid w:val="001E104A"/>
    <w:rsid w:val="001E409E"/>
    <w:rsid w:val="001E545A"/>
    <w:rsid w:val="001F2A5C"/>
    <w:rsid w:val="00224249"/>
    <w:rsid w:val="0024528A"/>
    <w:rsid w:val="00245BC0"/>
    <w:rsid w:val="0025738E"/>
    <w:rsid w:val="00267A42"/>
    <w:rsid w:val="00276CAC"/>
    <w:rsid w:val="002777DE"/>
    <w:rsid w:val="00280E31"/>
    <w:rsid w:val="00282B7B"/>
    <w:rsid w:val="00283CC6"/>
    <w:rsid w:val="00292DE9"/>
    <w:rsid w:val="00293F16"/>
    <w:rsid w:val="002A03CE"/>
    <w:rsid w:val="002A2537"/>
    <w:rsid w:val="002A4909"/>
    <w:rsid w:val="002A66BD"/>
    <w:rsid w:val="002A7369"/>
    <w:rsid w:val="002A7EE2"/>
    <w:rsid w:val="002B226C"/>
    <w:rsid w:val="002B3338"/>
    <w:rsid w:val="002B5BA0"/>
    <w:rsid w:val="002C539D"/>
    <w:rsid w:val="002D04A8"/>
    <w:rsid w:val="002D7D6E"/>
    <w:rsid w:val="002F433B"/>
    <w:rsid w:val="002F58BF"/>
    <w:rsid w:val="002F62AB"/>
    <w:rsid w:val="00303478"/>
    <w:rsid w:val="00303C94"/>
    <w:rsid w:val="003057B0"/>
    <w:rsid w:val="00305EF5"/>
    <w:rsid w:val="0031342D"/>
    <w:rsid w:val="00315E9C"/>
    <w:rsid w:val="00321860"/>
    <w:rsid w:val="00322416"/>
    <w:rsid w:val="00343A69"/>
    <w:rsid w:val="00346369"/>
    <w:rsid w:val="00352C4E"/>
    <w:rsid w:val="00360C9F"/>
    <w:rsid w:val="00362776"/>
    <w:rsid w:val="00381967"/>
    <w:rsid w:val="00382875"/>
    <w:rsid w:val="00383522"/>
    <w:rsid w:val="003A4A11"/>
    <w:rsid w:val="003B30DD"/>
    <w:rsid w:val="003D699E"/>
    <w:rsid w:val="003E0382"/>
    <w:rsid w:val="003E215F"/>
    <w:rsid w:val="003E2A7D"/>
    <w:rsid w:val="003F282C"/>
    <w:rsid w:val="003F3818"/>
    <w:rsid w:val="00400559"/>
    <w:rsid w:val="00404094"/>
    <w:rsid w:val="00411511"/>
    <w:rsid w:val="0042483F"/>
    <w:rsid w:val="00433F85"/>
    <w:rsid w:val="00435FCF"/>
    <w:rsid w:val="00440228"/>
    <w:rsid w:val="00442A9B"/>
    <w:rsid w:val="0044715D"/>
    <w:rsid w:val="004472CD"/>
    <w:rsid w:val="004546B5"/>
    <w:rsid w:val="0046532D"/>
    <w:rsid w:val="004677EB"/>
    <w:rsid w:val="004729CE"/>
    <w:rsid w:val="0047318C"/>
    <w:rsid w:val="00477258"/>
    <w:rsid w:val="00483680"/>
    <w:rsid w:val="004926A6"/>
    <w:rsid w:val="004A187C"/>
    <w:rsid w:val="004B47C1"/>
    <w:rsid w:val="004B4A79"/>
    <w:rsid w:val="004C1FA9"/>
    <w:rsid w:val="004D1D41"/>
    <w:rsid w:val="004F45C6"/>
    <w:rsid w:val="0050527D"/>
    <w:rsid w:val="005107FC"/>
    <w:rsid w:val="005178FA"/>
    <w:rsid w:val="00527CD1"/>
    <w:rsid w:val="00536C4D"/>
    <w:rsid w:val="00540ED5"/>
    <w:rsid w:val="00543814"/>
    <w:rsid w:val="00543A25"/>
    <w:rsid w:val="00552944"/>
    <w:rsid w:val="00555059"/>
    <w:rsid w:val="005550D5"/>
    <w:rsid w:val="005640CC"/>
    <w:rsid w:val="00567A74"/>
    <w:rsid w:val="005735FC"/>
    <w:rsid w:val="00573A7F"/>
    <w:rsid w:val="00574943"/>
    <w:rsid w:val="005817D9"/>
    <w:rsid w:val="00586AC9"/>
    <w:rsid w:val="005B23F9"/>
    <w:rsid w:val="005C28B0"/>
    <w:rsid w:val="005C3D5C"/>
    <w:rsid w:val="005C69D3"/>
    <w:rsid w:val="005C7B58"/>
    <w:rsid w:val="005E5FFE"/>
    <w:rsid w:val="005F4388"/>
    <w:rsid w:val="005F4734"/>
    <w:rsid w:val="005F4D2F"/>
    <w:rsid w:val="005F7CCA"/>
    <w:rsid w:val="00612320"/>
    <w:rsid w:val="006235D5"/>
    <w:rsid w:val="00623F61"/>
    <w:rsid w:val="00626C42"/>
    <w:rsid w:val="00627B38"/>
    <w:rsid w:val="00627B5C"/>
    <w:rsid w:val="006313A5"/>
    <w:rsid w:val="0063187D"/>
    <w:rsid w:val="006331A9"/>
    <w:rsid w:val="00641785"/>
    <w:rsid w:val="00644920"/>
    <w:rsid w:val="00655327"/>
    <w:rsid w:val="00677E5B"/>
    <w:rsid w:val="006805CA"/>
    <w:rsid w:val="00694E4A"/>
    <w:rsid w:val="006B09D6"/>
    <w:rsid w:val="006B227F"/>
    <w:rsid w:val="006B6020"/>
    <w:rsid w:val="006B6204"/>
    <w:rsid w:val="006C017E"/>
    <w:rsid w:val="006C4C89"/>
    <w:rsid w:val="006D1643"/>
    <w:rsid w:val="006E048F"/>
    <w:rsid w:val="006F08C7"/>
    <w:rsid w:val="006F4BFB"/>
    <w:rsid w:val="00701B16"/>
    <w:rsid w:val="00707126"/>
    <w:rsid w:val="00725887"/>
    <w:rsid w:val="00734F81"/>
    <w:rsid w:val="007350CA"/>
    <w:rsid w:val="00735F74"/>
    <w:rsid w:val="0073757B"/>
    <w:rsid w:val="00743296"/>
    <w:rsid w:val="00743516"/>
    <w:rsid w:val="00751006"/>
    <w:rsid w:val="00752491"/>
    <w:rsid w:val="00760108"/>
    <w:rsid w:val="00765B02"/>
    <w:rsid w:val="00784A27"/>
    <w:rsid w:val="0079224F"/>
    <w:rsid w:val="00793E5A"/>
    <w:rsid w:val="00796F7F"/>
    <w:rsid w:val="007A2A50"/>
    <w:rsid w:val="007A77E8"/>
    <w:rsid w:val="007B14C8"/>
    <w:rsid w:val="007B5708"/>
    <w:rsid w:val="007C1893"/>
    <w:rsid w:val="007E7E23"/>
    <w:rsid w:val="007E7F39"/>
    <w:rsid w:val="007F1CED"/>
    <w:rsid w:val="007F4B63"/>
    <w:rsid w:val="007F4E20"/>
    <w:rsid w:val="0080350B"/>
    <w:rsid w:val="00811518"/>
    <w:rsid w:val="008228BC"/>
    <w:rsid w:val="00827E38"/>
    <w:rsid w:val="00831CA9"/>
    <w:rsid w:val="0083660B"/>
    <w:rsid w:val="008425D2"/>
    <w:rsid w:val="008456AF"/>
    <w:rsid w:val="008467A0"/>
    <w:rsid w:val="008621EF"/>
    <w:rsid w:val="00866E7A"/>
    <w:rsid w:val="00870120"/>
    <w:rsid w:val="00870245"/>
    <w:rsid w:val="008706D6"/>
    <w:rsid w:val="00874BA7"/>
    <w:rsid w:val="008757BF"/>
    <w:rsid w:val="00880707"/>
    <w:rsid w:val="00885C9C"/>
    <w:rsid w:val="008933D9"/>
    <w:rsid w:val="00895BCC"/>
    <w:rsid w:val="00896845"/>
    <w:rsid w:val="00897AEC"/>
    <w:rsid w:val="008A0315"/>
    <w:rsid w:val="008A4E68"/>
    <w:rsid w:val="008B24B8"/>
    <w:rsid w:val="008B24F6"/>
    <w:rsid w:val="008C2823"/>
    <w:rsid w:val="008C3E5E"/>
    <w:rsid w:val="008E5A67"/>
    <w:rsid w:val="00900085"/>
    <w:rsid w:val="00915AAE"/>
    <w:rsid w:val="009353E8"/>
    <w:rsid w:val="0094075C"/>
    <w:rsid w:val="009455BF"/>
    <w:rsid w:val="00953ED7"/>
    <w:rsid w:val="00961104"/>
    <w:rsid w:val="00961B68"/>
    <w:rsid w:val="00971BA5"/>
    <w:rsid w:val="00973BE0"/>
    <w:rsid w:val="009805A2"/>
    <w:rsid w:val="00995FBA"/>
    <w:rsid w:val="0099638B"/>
    <w:rsid w:val="009B566B"/>
    <w:rsid w:val="009D6757"/>
    <w:rsid w:val="009D6B0A"/>
    <w:rsid w:val="009E5295"/>
    <w:rsid w:val="009F09B7"/>
    <w:rsid w:val="009F22BA"/>
    <w:rsid w:val="009F6BB6"/>
    <w:rsid w:val="00A00B10"/>
    <w:rsid w:val="00A145A5"/>
    <w:rsid w:val="00A14607"/>
    <w:rsid w:val="00A15569"/>
    <w:rsid w:val="00A419CB"/>
    <w:rsid w:val="00A42401"/>
    <w:rsid w:val="00A57617"/>
    <w:rsid w:val="00A601AC"/>
    <w:rsid w:val="00A619C8"/>
    <w:rsid w:val="00A64379"/>
    <w:rsid w:val="00A66923"/>
    <w:rsid w:val="00A71D24"/>
    <w:rsid w:val="00A75480"/>
    <w:rsid w:val="00A8272D"/>
    <w:rsid w:val="00A84A56"/>
    <w:rsid w:val="00A851D8"/>
    <w:rsid w:val="00A86563"/>
    <w:rsid w:val="00A915C3"/>
    <w:rsid w:val="00AA32B5"/>
    <w:rsid w:val="00AB1F47"/>
    <w:rsid w:val="00AB71EE"/>
    <w:rsid w:val="00AD208B"/>
    <w:rsid w:val="00AD58B6"/>
    <w:rsid w:val="00B00261"/>
    <w:rsid w:val="00B01DD8"/>
    <w:rsid w:val="00B0404D"/>
    <w:rsid w:val="00B13BEA"/>
    <w:rsid w:val="00B234A7"/>
    <w:rsid w:val="00B32882"/>
    <w:rsid w:val="00B33103"/>
    <w:rsid w:val="00B43C3E"/>
    <w:rsid w:val="00B45971"/>
    <w:rsid w:val="00B46A0A"/>
    <w:rsid w:val="00B53B11"/>
    <w:rsid w:val="00B55793"/>
    <w:rsid w:val="00B653E6"/>
    <w:rsid w:val="00B67D06"/>
    <w:rsid w:val="00B67EA5"/>
    <w:rsid w:val="00B74B4D"/>
    <w:rsid w:val="00B76E07"/>
    <w:rsid w:val="00B81AFE"/>
    <w:rsid w:val="00B81C08"/>
    <w:rsid w:val="00B83C0D"/>
    <w:rsid w:val="00B85D39"/>
    <w:rsid w:val="00B92B65"/>
    <w:rsid w:val="00BA63AA"/>
    <w:rsid w:val="00BB3552"/>
    <w:rsid w:val="00BD5D51"/>
    <w:rsid w:val="00BE651F"/>
    <w:rsid w:val="00BF450F"/>
    <w:rsid w:val="00BF6E21"/>
    <w:rsid w:val="00C07E39"/>
    <w:rsid w:val="00C11E1D"/>
    <w:rsid w:val="00C16343"/>
    <w:rsid w:val="00C33A74"/>
    <w:rsid w:val="00C504CD"/>
    <w:rsid w:val="00C53A04"/>
    <w:rsid w:val="00C61965"/>
    <w:rsid w:val="00C63A1C"/>
    <w:rsid w:val="00C63A94"/>
    <w:rsid w:val="00C81B8F"/>
    <w:rsid w:val="00C852E8"/>
    <w:rsid w:val="00C9630A"/>
    <w:rsid w:val="00CA1441"/>
    <w:rsid w:val="00CA213A"/>
    <w:rsid w:val="00CA3DAB"/>
    <w:rsid w:val="00CA6FB0"/>
    <w:rsid w:val="00CB5A81"/>
    <w:rsid w:val="00CC2EC8"/>
    <w:rsid w:val="00CC60B0"/>
    <w:rsid w:val="00CC6197"/>
    <w:rsid w:val="00CC65C5"/>
    <w:rsid w:val="00CC79AF"/>
    <w:rsid w:val="00CD7D77"/>
    <w:rsid w:val="00CE0568"/>
    <w:rsid w:val="00CF1B05"/>
    <w:rsid w:val="00CF7E6E"/>
    <w:rsid w:val="00D26848"/>
    <w:rsid w:val="00D34139"/>
    <w:rsid w:val="00D3624A"/>
    <w:rsid w:val="00D3652F"/>
    <w:rsid w:val="00D42809"/>
    <w:rsid w:val="00D46C89"/>
    <w:rsid w:val="00D64A29"/>
    <w:rsid w:val="00D947FD"/>
    <w:rsid w:val="00DA2F36"/>
    <w:rsid w:val="00DB3CD9"/>
    <w:rsid w:val="00DC02C5"/>
    <w:rsid w:val="00DD456A"/>
    <w:rsid w:val="00DD7E6C"/>
    <w:rsid w:val="00DE2499"/>
    <w:rsid w:val="00DE3D6C"/>
    <w:rsid w:val="00DE58F9"/>
    <w:rsid w:val="00DE7839"/>
    <w:rsid w:val="00E0599E"/>
    <w:rsid w:val="00E15901"/>
    <w:rsid w:val="00E16D70"/>
    <w:rsid w:val="00E364F7"/>
    <w:rsid w:val="00E46B27"/>
    <w:rsid w:val="00E46C0B"/>
    <w:rsid w:val="00E63E99"/>
    <w:rsid w:val="00E77A61"/>
    <w:rsid w:val="00E77F5A"/>
    <w:rsid w:val="00E83EA4"/>
    <w:rsid w:val="00E86D7F"/>
    <w:rsid w:val="00E93999"/>
    <w:rsid w:val="00E968F6"/>
    <w:rsid w:val="00EA6A15"/>
    <w:rsid w:val="00EB77F0"/>
    <w:rsid w:val="00EC62F3"/>
    <w:rsid w:val="00EE1799"/>
    <w:rsid w:val="00EE4B0A"/>
    <w:rsid w:val="00EE7A1F"/>
    <w:rsid w:val="00EF1B87"/>
    <w:rsid w:val="00EF5EAD"/>
    <w:rsid w:val="00EF6479"/>
    <w:rsid w:val="00F0186F"/>
    <w:rsid w:val="00F12E59"/>
    <w:rsid w:val="00F138C3"/>
    <w:rsid w:val="00F162EA"/>
    <w:rsid w:val="00F33098"/>
    <w:rsid w:val="00F34B58"/>
    <w:rsid w:val="00F45F89"/>
    <w:rsid w:val="00F4622B"/>
    <w:rsid w:val="00F60AFE"/>
    <w:rsid w:val="00F645CC"/>
    <w:rsid w:val="00F64E40"/>
    <w:rsid w:val="00F66C65"/>
    <w:rsid w:val="00F724D9"/>
    <w:rsid w:val="00F726C5"/>
    <w:rsid w:val="00F73E46"/>
    <w:rsid w:val="00F8526F"/>
    <w:rsid w:val="00F85EC5"/>
    <w:rsid w:val="00FA436D"/>
    <w:rsid w:val="00FA522E"/>
    <w:rsid w:val="00FC3F20"/>
    <w:rsid w:val="00FC752E"/>
    <w:rsid w:val="00FD0644"/>
    <w:rsid w:val="00FD6572"/>
    <w:rsid w:val="00FE56DE"/>
    <w:rsid w:val="00FF173C"/>
    <w:rsid w:val="00FF2E6D"/>
    <w:rsid w:val="00FF30B8"/>
    <w:rsid w:val="00FF4B6E"/>
    <w:rsid w:val="00FF5347"/>
    <w:rsid w:val="00FF7D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F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5D"/>
    <w:rPr>
      <w:rFonts w:ascii="Calibri" w:eastAsia="Calibri" w:hAnsi="Calibri" w:cs="Times New Roman"/>
      <w:sz w:val="22"/>
    </w:rPr>
  </w:style>
  <w:style w:type="paragraph" w:styleId="Heading1">
    <w:name w:val="heading 1"/>
    <w:basedOn w:val="Normal"/>
    <w:next w:val="Normal"/>
    <w:link w:val="Heading1Char"/>
    <w:uiPriority w:val="9"/>
    <w:qFormat/>
    <w:rsid w:val="00C63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E63E99"/>
    <w:pPr>
      <w:keepNext/>
      <w:keepLines/>
      <w:spacing w:before="120" w:after="120" w:line="240" w:lineRule="auto"/>
      <w:jc w:val="both"/>
      <w:outlineLvl w:val="1"/>
    </w:pPr>
    <w:rPr>
      <w:rFonts w:eastAsia="MS Gothic"/>
      <w:b/>
      <w:bCs/>
      <w:color w:val="548DD4"/>
      <w:u w:val="single"/>
    </w:rPr>
  </w:style>
  <w:style w:type="paragraph" w:styleId="Heading3">
    <w:name w:val="heading 3"/>
    <w:basedOn w:val="Normal"/>
    <w:next w:val="Normal"/>
    <w:link w:val="Heading3Char"/>
    <w:uiPriority w:val="9"/>
    <w:unhideWhenUsed/>
    <w:qFormat/>
    <w:rsid w:val="00E63E99"/>
    <w:pPr>
      <w:outlineLvl w:val="2"/>
    </w:pPr>
    <w:rPr>
      <w:b/>
    </w:rPr>
  </w:style>
  <w:style w:type="paragraph" w:styleId="Heading4">
    <w:name w:val="heading 4"/>
    <w:basedOn w:val="Normal"/>
    <w:next w:val="Normal"/>
    <w:link w:val="Heading4Char"/>
    <w:uiPriority w:val="9"/>
    <w:unhideWhenUsed/>
    <w:qFormat/>
    <w:rsid w:val="00E63E99"/>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E99"/>
    <w:rPr>
      <w:rFonts w:ascii="Calibri" w:eastAsia="MS Gothic" w:hAnsi="Calibri" w:cs="Times New Roman"/>
      <w:b/>
      <w:bCs/>
      <w:color w:val="548DD4"/>
      <w:sz w:val="22"/>
      <w:u w:val="single"/>
    </w:rPr>
  </w:style>
  <w:style w:type="paragraph" w:styleId="ListParagraph">
    <w:name w:val="List Paragraph"/>
    <w:basedOn w:val="Normal"/>
    <w:link w:val="ListParagraphChar"/>
    <w:uiPriority w:val="34"/>
    <w:qFormat/>
    <w:rsid w:val="0044715D"/>
    <w:pPr>
      <w:ind w:left="720"/>
      <w:contextualSpacing/>
    </w:p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uiPriority w:val="99"/>
    <w:qFormat/>
    <w:rsid w:val="0044715D"/>
    <w:pPr>
      <w:keepNext/>
      <w:spacing w:after="40" w:line="240" w:lineRule="auto"/>
      <w:ind w:left="709" w:hanging="709"/>
    </w:pPr>
    <w:rPr>
      <w:rFonts w:ascii="Arial Narrow" w:eastAsia="Times New Roman" w:hAnsi="Arial Narrow" w:cs="Tahoma"/>
      <w:b/>
      <w:sz w:val="20"/>
      <w:szCs w:val="20"/>
      <w:lang w:val="en-GB" w:eastAsia="ja-JP"/>
    </w:rPr>
  </w:style>
  <w:style w:type="character" w:styleId="Hyperlink">
    <w:name w:val="Hyperlink"/>
    <w:basedOn w:val="DefaultParagraphFont"/>
    <w:uiPriority w:val="99"/>
    <w:rsid w:val="0044715D"/>
    <w:rPr>
      <w:rFonts w:cs="Times New Roman"/>
      <w:color w:val="0000FF"/>
      <w:u w:val="single"/>
    </w:rPr>
  </w:style>
  <w:style w:type="paragraph" w:styleId="BalloonText">
    <w:name w:val="Balloon Text"/>
    <w:basedOn w:val="Normal"/>
    <w:link w:val="BalloonTextChar"/>
    <w:uiPriority w:val="99"/>
    <w:semiHidden/>
    <w:unhideWhenUsed/>
    <w:rsid w:val="00447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15D"/>
    <w:rPr>
      <w:rFonts w:ascii="Tahoma" w:eastAsia="Calibri" w:hAnsi="Tahoma" w:cs="Tahoma"/>
      <w:sz w:val="16"/>
      <w:szCs w:val="16"/>
    </w:rPr>
  </w:style>
  <w:style w:type="paragraph" w:customStyle="1" w:styleId="Heading10">
    <w:name w:val="Heading1"/>
    <w:rsid w:val="0044715D"/>
    <w:pPr>
      <w:spacing w:line="240" w:lineRule="auto"/>
    </w:pPr>
    <w:rPr>
      <w:rFonts w:ascii="Calibri" w:eastAsia="Calibri" w:hAnsi="Calibri" w:cs="Calibri"/>
      <w:b/>
      <w:bCs/>
      <w:color w:val="000000"/>
      <w:sz w:val="36"/>
      <w:szCs w:val="36"/>
      <w:u w:color="000000"/>
      <w:lang w:val="en-US" w:eastAsia="en-AU"/>
    </w:rPr>
  </w:style>
  <w:style w:type="character" w:styleId="CommentReference">
    <w:name w:val="annotation reference"/>
    <w:basedOn w:val="DefaultParagraphFont"/>
    <w:uiPriority w:val="99"/>
    <w:semiHidden/>
    <w:unhideWhenUsed/>
    <w:rsid w:val="00E46C0B"/>
    <w:rPr>
      <w:sz w:val="16"/>
      <w:szCs w:val="16"/>
    </w:rPr>
  </w:style>
  <w:style w:type="paragraph" w:styleId="CommentText">
    <w:name w:val="annotation text"/>
    <w:basedOn w:val="Normal"/>
    <w:link w:val="CommentTextChar"/>
    <w:uiPriority w:val="99"/>
    <w:unhideWhenUsed/>
    <w:rsid w:val="00E46C0B"/>
    <w:pPr>
      <w:spacing w:line="240" w:lineRule="auto"/>
    </w:pPr>
    <w:rPr>
      <w:sz w:val="20"/>
      <w:szCs w:val="20"/>
    </w:rPr>
  </w:style>
  <w:style w:type="character" w:customStyle="1" w:styleId="CommentTextChar">
    <w:name w:val="Comment Text Char"/>
    <w:basedOn w:val="DefaultParagraphFont"/>
    <w:link w:val="CommentText"/>
    <w:uiPriority w:val="99"/>
    <w:rsid w:val="00E46C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6C0B"/>
    <w:rPr>
      <w:b/>
      <w:bCs/>
    </w:rPr>
  </w:style>
  <w:style w:type="character" w:customStyle="1" w:styleId="CommentSubjectChar">
    <w:name w:val="Comment Subject Char"/>
    <w:basedOn w:val="CommentTextChar"/>
    <w:link w:val="CommentSubject"/>
    <w:uiPriority w:val="99"/>
    <w:semiHidden/>
    <w:rsid w:val="00E46C0B"/>
    <w:rPr>
      <w:rFonts w:ascii="Calibri" w:eastAsia="Calibri" w:hAnsi="Calibri" w:cs="Times New Roman"/>
      <w:b/>
      <w:bCs/>
      <w:sz w:val="20"/>
      <w:szCs w:val="20"/>
    </w:rPr>
  </w:style>
  <w:style w:type="paragraph" w:styleId="Header">
    <w:name w:val="header"/>
    <w:basedOn w:val="Normal"/>
    <w:link w:val="HeaderChar"/>
    <w:uiPriority w:val="99"/>
    <w:unhideWhenUsed/>
    <w:rsid w:val="003D6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99E"/>
    <w:rPr>
      <w:rFonts w:ascii="Calibri" w:eastAsia="Calibri" w:hAnsi="Calibri" w:cs="Times New Roman"/>
      <w:sz w:val="22"/>
    </w:rPr>
  </w:style>
  <w:style w:type="paragraph" w:styleId="Footer">
    <w:name w:val="footer"/>
    <w:basedOn w:val="Normal"/>
    <w:link w:val="FooterChar"/>
    <w:uiPriority w:val="99"/>
    <w:unhideWhenUsed/>
    <w:rsid w:val="003D6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99E"/>
    <w:rPr>
      <w:rFonts w:ascii="Calibri" w:eastAsia="Calibri" w:hAnsi="Calibri" w:cs="Times New Roman"/>
      <w:sz w:val="22"/>
    </w:rPr>
  </w:style>
  <w:style w:type="paragraph" w:styleId="Subtitle">
    <w:name w:val="Subtitle"/>
    <w:basedOn w:val="Normal"/>
    <w:next w:val="Normal"/>
    <w:link w:val="SubtitleChar"/>
    <w:uiPriority w:val="11"/>
    <w:qFormat/>
    <w:rsid w:val="00FA522E"/>
    <w:pPr>
      <w:numPr>
        <w:ilvl w:val="1"/>
      </w:numPr>
      <w:spacing w:after="360" w:line="240" w:lineRule="auto"/>
    </w:pPr>
    <w:rPr>
      <w:rFonts w:eastAsiaTheme="majorEastAsia" w:cstheme="majorBidi"/>
      <w:b/>
      <w:bCs/>
      <w:sz w:val="36"/>
      <w:szCs w:val="36"/>
      <w:lang w:bidi="hi-IN"/>
    </w:rPr>
  </w:style>
  <w:style w:type="character" w:customStyle="1" w:styleId="SubtitleChar">
    <w:name w:val="Subtitle Char"/>
    <w:basedOn w:val="DefaultParagraphFont"/>
    <w:link w:val="Subtitle"/>
    <w:uiPriority w:val="11"/>
    <w:rsid w:val="00FA522E"/>
    <w:rPr>
      <w:rFonts w:ascii="Calibri" w:eastAsiaTheme="majorEastAsia" w:hAnsi="Calibri" w:cstheme="majorBidi"/>
      <w:b/>
      <w:bCs/>
      <w:sz w:val="36"/>
      <w:szCs w:val="36"/>
      <w:lang w:bidi="hi-IN"/>
    </w:rPr>
  </w:style>
  <w:style w:type="character" w:styleId="FollowedHyperlink">
    <w:name w:val="FollowedHyperlink"/>
    <w:basedOn w:val="DefaultParagraphFont"/>
    <w:uiPriority w:val="99"/>
    <w:semiHidden/>
    <w:unhideWhenUsed/>
    <w:rsid w:val="005E5FFE"/>
    <w:rPr>
      <w:color w:val="800080" w:themeColor="followedHyperlink"/>
      <w:u w:val="single"/>
    </w:rPr>
  </w:style>
  <w:style w:type="table" w:styleId="TableGrid">
    <w:name w:val="Table Grid"/>
    <w:basedOn w:val="TableNormal"/>
    <w:uiPriority w:val="59"/>
    <w:rsid w:val="008C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3A94"/>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C63A94"/>
    <w:pPr>
      <w:spacing w:after="240" w:line="240" w:lineRule="auto"/>
      <w:ind w:left="720"/>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rsid w:val="00EE7A1F"/>
    <w:pPr>
      <w:spacing w:after="240" w:line="240" w:lineRule="auto"/>
      <w:ind w:left="720"/>
      <w:jc w:val="right"/>
    </w:pPr>
    <w:rPr>
      <w:rFonts w:ascii="Arial" w:eastAsia="Times New Roman" w:hAnsi="Arial"/>
      <w:b/>
      <w:color w:val="000000"/>
      <w:sz w:val="40"/>
      <w:szCs w:val="20"/>
      <w:lang w:eastAsia="en-AU"/>
    </w:rPr>
  </w:style>
  <w:style w:type="paragraph" w:styleId="NormalWeb">
    <w:name w:val="Normal (Web)"/>
    <w:basedOn w:val="Normal"/>
    <w:uiPriority w:val="99"/>
    <w:unhideWhenUsed/>
    <w:rsid w:val="00897AEC"/>
    <w:pPr>
      <w:spacing w:before="100" w:beforeAutospacing="1" w:after="100" w:afterAutospacing="1" w:line="240" w:lineRule="auto"/>
    </w:pPr>
    <w:rPr>
      <w:rFonts w:ascii="Times New Roman" w:eastAsiaTheme="minorEastAsia" w:hAnsi="Times New Roman"/>
      <w:sz w:val="24"/>
      <w:szCs w:val="24"/>
      <w:lang w:eastAsia="zh-CN"/>
    </w:rPr>
  </w:style>
  <w:style w:type="character" w:customStyle="1" w:styleId="TablecontentsChar">
    <w:name w:val="Table contents Char"/>
    <w:basedOn w:val="DefaultParagraphFont"/>
    <w:link w:val="Tablecontents"/>
    <w:locked/>
    <w:rsid w:val="008456AF"/>
    <w:rPr>
      <w:rFonts w:ascii="Arial Narrow" w:hAnsi="Arial Narrow"/>
    </w:rPr>
  </w:style>
  <w:style w:type="paragraph" w:customStyle="1" w:styleId="Tablecontents">
    <w:name w:val="Table contents"/>
    <w:basedOn w:val="Normal"/>
    <w:link w:val="TablecontentsChar"/>
    <w:qFormat/>
    <w:rsid w:val="008456AF"/>
    <w:pPr>
      <w:spacing w:before="60" w:after="60" w:line="240" w:lineRule="auto"/>
      <w:contextualSpacing/>
    </w:pPr>
    <w:rPr>
      <w:rFonts w:ascii="Arial Narrow" w:eastAsiaTheme="minorHAnsi" w:hAnsi="Arial Narrow" w:cstheme="minorBidi"/>
      <w:sz w:val="24"/>
    </w:rPr>
  </w:style>
  <w:style w:type="paragraph" w:styleId="FootnoteText">
    <w:name w:val="footnote text"/>
    <w:basedOn w:val="Normal"/>
    <w:link w:val="FootnoteTextChar"/>
    <w:uiPriority w:val="99"/>
    <w:unhideWhenUsed/>
    <w:rsid w:val="00FF2E6D"/>
    <w:pPr>
      <w:spacing w:after="0" w:line="240" w:lineRule="auto"/>
    </w:pPr>
    <w:rPr>
      <w:sz w:val="20"/>
      <w:szCs w:val="20"/>
    </w:rPr>
  </w:style>
  <w:style w:type="character" w:customStyle="1" w:styleId="FootnoteTextChar">
    <w:name w:val="Footnote Text Char"/>
    <w:basedOn w:val="DefaultParagraphFont"/>
    <w:link w:val="FootnoteText"/>
    <w:uiPriority w:val="99"/>
    <w:rsid w:val="00FF2E6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F2E6D"/>
    <w:rPr>
      <w:vertAlign w:val="superscript"/>
    </w:rPr>
  </w:style>
  <w:style w:type="paragraph" w:styleId="BodyText">
    <w:name w:val="Body Text"/>
    <w:basedOn w:val="Normal"/>
    <w:link w:val="BodyTextChar"/>
    <w:uiPriority w:val="1"/>
    <w:qFormat/>
    <w:rsid w:val="00A71D24"/>
    <w:pPr>
      <w:autoSpaceDE w:val="0"/>
      <w:autoSpaceDN w:val="0"/>
      <w:adjustRightInd w:val="0"/>
      <w:spacing w:after="13" w:line="225" w:lineRule="exact"/>
      <w:ind w:left="199"/>
    </w:pPr>
    <w:rPr>
      <w:rFonts w:eastAsiaTheme="minorHAnsi" w:cs="Calibri"/>
      <w:b/>
      <w:bCs/>
    </w:rPr>
  </w:style>
  <w:style w:type="character" w:customStyle="1" w:styleId="BodyTextChar">
    <w:name w:val="Body Text Char"/>
    <w:basedOn w:val="DefaultParagraphFont"/>
    <w:link w:val="BodyText"/>
    <w:uiPriority w:val="1"/>
    <w:rsid w:val="00A71D24"/>
    <w:rPr>
      <w:rFonts w:ascii="Calibri" w:hAnsi="Calibri" w:cs="Calibri"/>
      <w:b/>
      <w:bCs/>
      <w:sz w:val="22"/>
    </w:rPr>
  </w:style>
  <w:style w:type="paragraph" w:customStyle="1" w:styleId="TableParagraph">
    <w:name w:val="Table Paragraph"/>
    <w:basedOn w:val="Normal"/>
    <w:uiPriority w:val="1"/>
    <w:qFormat/>
    <w:rsid w:val="00A71D24"/>
    <w:pPr>
      <w:autoSpaceDE w:val="0"/>
      <w:autoSpaceDN w:val="0"/>
      <w:adjustRightInd w:val="0"/>
      <w:spacing w:before="92" w:after="0" w:line="240" w:lineRule="auto"/>
      <w:ind w:right="100"/>
      <w:jc w:val="right"/>
    </w:pPr>
    <w:rPr>
      <w:rFonts w:eastAsiaTheme="minorHAnsi" w:cs="Calibri"/>
      <w:sz w:val="24"/>
      <w:szCs w:val="24"/>
    </w:rPr>
  </w:style>
  <w:style w:type="paragraph" w:customStyle="1" w:styleId="Default">
    <w:name w:val="Default"/>
    <w:rsid w:val="00A71D24"/>
    <w:pPr>
      <w:autoSpaceDE w:val="0"/>
      <w:autoSpaceDN w:val="0"/>
      <w:adjustRightInd w:val="0"/>
      <w:spacing w:after="0" w:line="240" w:lineRule="auto"/>
    </w:pPr>
    <w:rPr>
      <w:rFonts w:ascii="Calibri" w:hAnsi="Calibri" w:cs="Calibri"/>
      <w:color w:val="000000"/>
      <w:szCs w:val="24"/>
    </w:rPr>
  </w:style>
  <w:style w:type="character" w:customStyle="1" w:styleId="ListParagraphChar">
    <w:name w:val="List Paragraph Char"/>
    <w:link w:val="ListParagraph"/>
    <w:uiPriority w:val="34"/>
    <w:locked/>
    <w:rsid w:val="00EE4B0A"/>
    <w:rPr>
      <w:rFonts w:ascii="Calibri" w:eastAsia="Calibri" w:hAnsi="Calibri" w:cs="Times New Roman"/>
      <w:sz w:val="22"/>
    </w:rPr>
  </w:style>
  <w:style w:type="character" w:styleId="Strong">
    <w:name w:val="Strong"/>
    <w:basedOn w:val="DefaultParagraphFont"/>
    <w:uiPriority w:val="22"/>
    <w:qFormat/>
    <w:rsid w:val="006C017E"/>
    <w:rPr>
      <w:b/>
      <w:bCs/>
    </w:rPr>
  </w:style>
  <w:style w:type="paragraph" w:customStyle="1" w:styleId="TableText">
    <w:name w:val="TableText"/>
    <w:basedOn w:val="Normal"/>
    <w:rsid w:val="00FF7D5B"/>
    <w:pPr>
      <w:keepNext/>
      <w:spacing w:before="20" w:after="20" w:line="240" w:lineRule="auto"/>
    </w:pPr>
    <w:rPr>
      <w:rFonts w:ascii="Arial Narrow" w:eastAsia="Times New Roman" w:hAnsi="Arial Narrow"/>
      <w:color w:val="000000"/>
      <w:sz w:val="20"/>
      <w:szCs w:val="21"/>
      <w:lang w:eastAsia="en-AU"/>
    </w:rPr>
  </w:style>
  <w:style w:type="paragraph" w:customStyle="1" w:styleId="TableName">
    <w:name w:val="TableName"/>
    <w:basedOn w:val="TableText"/>
    <w:rsid w:val="00FF7D5B"/>
    <w:pPr>
      <w:tabs>
        <w:tab w:val="left" w:pos="1800"/>
      </w:tabs>
      <w:spacing w:before="120" w:after="120"/>
      <w:ind w:left="2251" w:hanging="1531"/>
    </w:pPr>
    <w:rPr>
      <w:b/>
      <w:bCs/>
      <w:sz w:val="22"/>
    </w:rPr>
  </w:style>
  <w:style w:type="paragraph" w:customStyle="1" w:styleId="TableHeading">
    <w:name w:val="TableHeading"/>
    <w:basedOn w:val="TableText"/>
    <w:rsid w:val="00FF7D5B"/>
    <w:rPr>
      <w:b/>
      <w:bCs/>
    </w:rPr>
  </w:style>
  <w:style w:type="paragraph" w:customStyle="1" w:styleId="TableFigNotes18">
    <w:name w:val="TableFigNotes+18"/>
    <w:basedOn w:val="TableText"/>
    <w:rsid w:val="00FF7D5B"/>
    <w:pPr>
      <w:keepNext w:val="0"/>
      <w:keepLines/>
      <w:spacing w:before="0" w:after="360"/>
      <w:ind w:left="720"/>
    </w:pPr>
    <w:rPr>
      <w:sz w:val="18"/>
      <w:szCs w:val="18"/>
    </w:rPr>
  </w:style>
  <w:style w:type="paragraph" w:customStyle="1" w:styleId="TableFigNotes0">
    <w:name w:val="TableFigNotes+0"/>
    <w:basedOn w:val="TableFigNotes18"/>
    <w:rsid w:val="00FF7D5B"/>
    <w:pPr>
      <w:keepNext/>
      <w:spacing w:after="0"/>
    </w:pPr>
  </w:style>
  <w:style w:type="paragraph" w:customStyle="1" w:styleId="EndNoteBibliographyTitle">
    <w:name w:val="EndNote Bibliography Title"/>
    <w:basedOn w:val="Normal"/>
    <w:link w:val="EndNoteBibliographyTitleChar"/>
    <w:rsid w:val="00115D02"/>
    <w:pPr>
      <w:spacing w:after="0"/>
      <w:jc w:val="center"/>
    </w:pPr>
    <w:rPr>
      <w:rFonts w:ascii="Arial Narrow" w:hAnsi="Arial Narrow"/>
      <w:noProof/>
      <w:sz w:val="18"/>
      <w:lang w:val="en-US"/>
    </w:rPr>
  </w:style>
  <w:style w:type="character" w:customStyle="1" w:styleId="EndNoteBibliographyTitleChar">
    <w:name w:val="EndNote Bibliography Title Char"/>
    <w:basedOn w:val="DefaultParagraphFont"/>
    <w:link w:val="EndNoteBibliographyTitle"/>
    <w:rsid w:val="00115D02"/>
    <w:rPr>
      <w:rFonts w:ascii="Arial Narrow" w:eastAsia="Calibri" w:hAnsi="Arial Narrow" w:cs="Times New Roman"/>
      <w:noProof/>
      <w:sz w:val="18"/>
      <w:lang w:val="en-US"/>
    </w:rPr>
  </w:style>
  <w:style w:type="paragraph" w:customStyle="1" w:styleId="EndNoteBibliography">
    <w:name w:val="EndNote Bibliography"/>
    <w:basedOn w:val="Normal"/>
    <w:link w:val="EndNoteBibliographyChar"/>
    <w:rsid w:val="00115D02"/>
    <w:pPr>
      <w:spacing w:line="240" w:lineRule="auto"/>
    </w:pPr>
    <w:rPr>
      <w:rFonts w:ascii="Arial Narrow" w:hAnsi="Arial Narrow"/>
      <w:noProof/>
      <w:sz w:val="18"/>
      <w:lang w:val="en-US"/>
    </w:rPr>
  </w:style>
  <w:style w:type="character" w:customStyle="1" w:styleId="EndNoteBibliographyChar">
    <w:name w:val="EndNote Bibliography Char"/>
    <w:basedOn w:val="DefaultParagraphFont"/>
    <w:link w:val="EndNoteBibliography"/>
    <w:rsid w:val="00115D02"/>
    <w:rPr>
      <w:rFonts w:ascii="Arial Narrow" w:eastAsia="Calibri" w:hAnsi="Arial Narrow" w:cs="Times New Roman"/>
      <w:noProof/>
      <w:sz w:val="18"/>
      <w:lang w:val="en-US"/>
    </w:rPr>
  </w:style>
  <w:style w:type="character" w:customStyle="1" w:styleId="UnresolvedMention1">
    <w:name w:val="Unresolved Mention1"/>
    <w:basedOn w:val="DefaultParagraphFont"/>
    <w:uiPriority w:val="99"/>
    <w:semiHidden/>
    <w:unhideWhenUsed/>
    <w:rsid w:val="00115D02"/>
    <w:rPr>
      <w:color w:val="605E5C"/>
      <w:shd w:val="clear" w:color="auto" w:fill="E1DFDD"/>
    </w:rPr>
  </w:style>
  <w:style w:type="paragraph" w:styleId="Quote">
    <w:name w:val="Quote"/>
    <w:basedOn w:val="Normal"/>
    <w:next w:val="Normal"/>
    <w:link w:val="QuoteChar"/>
    <w:uiPriority w:val="29"/>
    <w:qFormat/>
    <w:rsid w:val="008B24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24B8"/>
    <w:rPr>
      <w:rFonts w:ascii="Calibri" w:eastAsia="Calibri" w:hAnsi="Calibri" w:cs="Times New Roman"/>
      <w:i/>
      <w:iCs/>
      <w:color w:val="404040" w:themeColor="text1" w:themeTint="BF"/>
      <w:sz w:val="22"/>
    </w:rPr>
  </w:style>
  <w:style w:type="character" w:customStyle="1" w:styleId="Heading3Char">
    <w:name w:val="Heading 3 Char"/>
    <w:basedOn w:val="DefaultParagraphFont"/>
    <w:link w:val="Heading3"/>
    <w:uiPriority w:val="9"/>
    <w:rsid w:val="00E63E99"/>
    <w:rPr>
      <w:rFonts w:ascii="Calibri" w:eastAsia="Calibri" w:hAnsi="Calibri" w:cs="Times New Roman"/>
      <w:b/>
      <w:sz w:val="22"/>
    </w:rPr>
  </w:style>
  <w:style w:type="character" w:customStyle="1" w:styleId="Heading4Char">
    <w:name w:val="Heading 4 Char"/>
    <w:basedOn w:val="DefaultParagraphFont"/>
    <w:link w:val="Heading4"/>
    <w:uiPriority w:val="9"/>
    <w:rsid w:val="00E63E99"/>
    <w:rPr>
      <w:rFonts w:ascii="Calibri" w:eastAsia="Calibri" w:hAnsi="Calibri" w:cs="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5501">
      <w:bodyDiv w:val="1"/>
      <w:marLeft w:val="0"/>
      <w:marRight w:val="0"/>
      <w:marTop w:val="0"/>
      <w:marBottom w:val="0"/>
      <w:divBdr>
        <w:top w:val="none" w:sz="0" w:space="0" w:color="auto"/>
        <w:left w:val="none" w:sz="0" w:space="0" w:color="auto"/>
        <w:bottom w:val="none" w:sz="0" w:space="0" w:color="auto"/>
        <w:right w:val="none" w:sz="0" w:space="0" w:color="auto"/>
      </w:divBdr>
      <w:divsChild>
        <w:div w:id="1025867711">
          <w:marLeft w:val="0"/>
          <w:marRight w:val="0"/>
          <w:marTop w:val="150"/>
          <w:marBottom w:val="150"/>
          <w:divBdr>
            <w:top w:val="none" w:sz="0" w:space="0" w:color="auto"/>
            <w:left w:val="none" w:sz="0" w:space="0" w:color="auto"/>
            <w:bottom w:val="none" w:sz="0" w:space="0" w:color="auto"/>
            <w:right w:val="none" w:sz="0" w:space="0" w:color="auto"/>
          </w:divBdr>
        </w:div>
      </w:divsChild>
    </w:div>
    <w:div w:id="499926834">
      <w:bodyDiv w:val="1"/>
      <w:marLeft w:val="0"/>
      <w:marRight w:val="0"/>
      <w:marTop w:val="0"/>
      <w:marBottom w:val="0"/>
      <w:divBdr>
        <w:top w:val="none" w:sz="0" w:space="0" w:color="auto"/>
        <w:left w:val="none" w:sz="0" w:space="0" w:color="auto"/>
        <w:bottom w:val="none" w:sz="0" w:space="0" w:color="auto"/>
        <w:right w:val="none" w:sz="0" w:space="0" w:color="auto"/>
      </w:divBdr>
    </w:div>
    <w:div w:id="547834975">
      <w:bodyDiv w:val="1"/>
      <w:marLeft w:val="0"/>
      <w:marRight w:val="0"/>
      <w:marTop w:val="0"/>
      <w:marBottom w:val="0"/>
      <w:divBdr>
        <w:top w:val="none" w:sz="0" w:space="0" w:color="auto"/>
        <w:left w:val="none" w:sz="0" w:space="0" w:color="auto"/>
        <w:bottom w:val="none" w:sz="0" w:space="0" w:color="auto"/>
        <w:right w:val="none" w:sz="0" w:space="0" w:color="auto"/>
      </w:divBdr>
    </w:div>
    <w:div w:id="605699244">
      <w:bodyDiv w:val="1"/>
      <w:marLeft w:val="0"/>
      <w:marRight w:val="0"/>
      <w:marTop w:val="0"/>
      <w:marBottom w:val="0"/>
      <w:divBdr>
        <w:top w:val="none" w:sz="0" w:space="0" w:color="auto"/>
        <w:left w:val="none" w:sz="0" w:space="0" w:color="auto"/>
        <w:bottom w:val="none" w:sz="0" w:space="0" w:color="auto"/>
        <w:right w:val="none" w:sz="0" w:space="0" w:color="auto"/>
      </w:divBdr>
    </w:div>
    <w:div w:id="628361943">
      <w:bodyDiv w:val="1"/>
      <w:marLeft w:val="0"/>
      <w:marRight w:val="0"/>
      <w:marTop w:val="0"/>
      <w:marBottom w:val="0"/>
      <w:divBdr>
        <w:top w:val="none" w:sz="0" w:space="0" w:color="auto"/>
        <w:left w:val="none" w:sz="0" w:space="0" w:color="auto"/>
        <w:bottom w:val="none" w:sz="0" w:space="0" w:color="auto"/>
        <w:right w:val="none" w:sz="0" w:space="0" w:color="auto"/>
      </w:divBdr>
    </w:div>
    <w:div w:id="704256437">
      <w:bodyDiv w:val="1"/>
      <w:marLeft w:val="0"/>
      <w:marRight w:val="0"/>
      <w:marTop w:val="0"/>
      <w:marBottom w:val="0"/>
      <w:divBdr>
        <w:top w:val="none" w:sz="0" w:space="0" w:color="auto"/>
        <w:left w:val="none" w:sz="0" w:space="0" w:color="auto"/>
        <w:bottom w:val="none" w:sz="0" w:space="0" w:color="auto"/>
        <w:right w:val="none" w:sz="0" w:space="0" w:color="auto"/>
      </w:divBdr>
    </w:div>
    <w:div w:id="802770666">
      <w:bodyDiv w:val="1"/>
      <w:marLeft w:val="0"/>
      <w:marRight w:val="0"/>
      <w:marTop w:val="0"/>
      <w:marBottom w:val="0"/>
      <w:divBdr>
        <w:top w:val="none" w:sz="0" w:space="0" w:color="auto"/>
        <w:left w:val="none" w:sz="0" w:space="0" w:color="auto"/>
        <w:bottom w:val="none" w:sz="0" w:space="0" w:color="auto"/>
        <w:right w:val="none" w:sz="0" w:space="0" w:color="auto"/>
      </w:divBdr>
    </w:div>
    <w:div w:id="852718521">
      <w:bodyDiv w:val="1"/>
      <w:marLeft w:val="0"/>
      <w:marRight w:val="0"/>
      <w:marTop w:val="0"/>
      <w:marBottom w:val="0"/>
      <w:divBdr>
        <w:top w:val="none" w:sz="0" w:space="0" w:color="auto"/>
        <w:left w:val="none" w:sz="0" w:space="0" w:color="auto"/>
        <w:bottom w:val="none" w:sz="0" w:space="0" w:color="auto"/>
        <w:right w:val="none" w:sz="0" w:space="0" w:color="auto"/>
      </w:divBdr>
    </w:div>
    <w:div w:id="896277830">
      <w:bodyDiv w:val="1"/>
      <w:marLeft w:val="0"/>
      <w:marRight w:val="0"/>
      <w:marTop w:val="0"/>
      <w:marBottom w:val="0"/>
      <w:divBdr>
        <w:top w:val="none" w:sz="0" w:space="0" w:color="auto"/>
        <w:left w:val="none" w:sz="0" w:space="0" w:color="auto"/>
        <w:bottom w:val="none" w:sz="0" w:space="0" w:color="auto"/>
        <w:right w:val="none" w:sz="0" w:space="0" w:color="auto"/>
      </w:divBdr>
      <w:divsChild>
        <w:div w:id="240912483">
          <w:marLeft w:val="0"/>
          <w:marRight w:val="0"/>
          <w:marTop w:val="0"/>
          <w:marBottom w:val="0"/>
          <w:divBdr>
            <w:top w:val="none" w:sz="0" w:space="0" w:color="auto"/>
            <w:left w:val="none" w:sz="0" w:space="0" w:color="auto"/>
            <w:bottom w:val="none" w:sz="0" w:space="0" w:color="auto"/>
            <w:right w:val="none" w:sz="0" w:space="0" w:color="auto"/>
          </w:divBdr>
        </w:div>
      </w:divsChild>
    </w:div>
    <w:div w:id="935482065">
      <w:bodyDiv w:val="1"/>
      <w:marLeft w:val="0"/>
      <w:marRight w:val="0"/>
      <w:marTop w:val="0"/>
      <w:marBottom w:val="0"/>
      <w:divBdr>
        <w:top w:val="none" w:sz="0" w:space="0" w:color="auto"/>
        <w:left w:val="none" w:sz="0" w:space="0" w:color="auto"/>
        <w:bottom w:val="none" w:sz="0" w:space="0" w:color="auto"/>
        <w:right w:val="none" w:sz="0" w:space="0" w:color="auto"/>
      </w:divBdr>
    </w:div>
    <w:div w:id="938560617">
      <w:bodyDiv w:val="1"/>
      <w:marLeft w:val="0"/>
      <w:marRight w:val="0"/>
      <w:marTop w:val="0"/>
      <w:marBottom w:val="0"/>
      <w:divBdr>
        <w:top w:val="none" w:sz="0" w:space="0" w:color="auto"/>
        <w:left w:val="none" w:sz="0" w:space="0" w:color="auto"/>
        <w:bottom w:val="none" w:sz="0" w:space="0" w:color="auto"/>
        <w:right w:val="none" w:sz="0" w:space="0" w:color="auto"/>
      </w:divBdr>
    </w:div>
    <w:div w:id="980843761">
      <w:bodyDiv w:val="1"/>
      <w:marLeft w:val="0"/>
      <w:marRight w:val="0"/>
      <w:marTop w:val="0"/>
      <w:marBottom w:val="0"/>
      <w:divBdr>
        <w:top w:val="none" w:sz="0" w:space="0" w:color="auto"/>
        <w:left w:val="none" w:sz="0" w:space="0" w:color="auto"/>
        <w:bottom w:val="none" w:sz="0" w:space="0" w:color="auto"/>
        <w:right w:val="none" w:sz="0" w:space="0" w:color="auto"/>
      </w:divBdr>
    </w:div>
    <w:div w:id="991324248">
      <w:bodyDiv w:val="1"/>
      <w:marLeft w:val="0"/>
      <w:marRight w:val="0"/>
      <w:marTop w:val="0"/>
      <w:marBottom w:val="0"/>
      <w:divBdr>
        <w:top w:val="none" w:sz="0" w:space="0" w:color="auto"/>
        <w:left w:val="none" w:sz="0" w:space="0" w:color="auto"/>
        <w:bottom w:val="none" w:sz="0" w:space="0" w:color="auto"/>
        <w:right w:val="none" w:sz="0" w:space="0" w:color="auto"/>
      </w:divBdr>
    </w:div>
    <w:div w:id="1129711158">
      <w:bodyDiv w:val="1"/>
      <w:marLeft w:val="0"/>
      <w:marRight w:val="0"/>
      <w:marTop w:val="0"/>
      <w:marBottom w:val="0"/>
      <w:divBdr>
        <w:top w:val="none" w:sz="0" w:space="0" w:color="auto"/>
        <w:left w:val="none" w:sz="0" w:space="0" w:color="auto"/>
        <w:bottom w:val="none" w:sz="0" w:space="0" w:color="auto"/>
        <w:right w:val="none" w:sz="0" w:space="0" w:color="auto"/>
      </w:divBdr>
    </w:div>
    <w:div w:id="1240872462">
      <w:bodyDiv w:val="1"/>
      <w:marLeft w:val="0"/>
      <w:marRight w:val="0"/>
      <w:marTop w:val="0"/>
      <w:marBottom w:val="0"/>
      <w:divBdr>
        <w:top w:val="none" w:sz="0" w:space="0" w:color="auto"/>
        <w:left w:val="none" w:sz="0" w:space="0" w:color="auto"/>
        <w:bottom w:val="none" w:sz="0" w:space="0" w:color="auto"/>
        <w:right w:val="none" w:sz="0" w:space="0" w:color="auto"/>
      </w:divBdr>
    </w:div>
    <w:div w:id="1289362834">
      <w:bodyDiv w:val="1"/>
      <w:marLeft w:val="0"/>
      <w:marRight w:val="0"/>
      <w:marTop w:val="0"/>
      <w:marBottom w:val="0"/>
      <w:divBdr>
        <w:top w:val="none" w:sz="0" w:space="0" w:color="auto"/>
        <w:left w:val="none" w:sz="0" w:space="0" w:color="auto"/>
        <w:bottom w:val="none" w:sz="0" w:space="0" w:color="auto"/>
        <w:right w:val="none" w:sz="0" w:space="0" w:color="auto"/>
      </w:divBdr>
    </w:div>
    <w:div w:id="1381125075">
      <w:bodyDiv w:val="1"/>
      <w:marLeft w:val="0"/>
      <w:marRight w:val="0"/>
      <w:marTop w:val="0"/>
      <w:marBottom w:val="0"/>
      <w:divBdr>
        <w:top w:val="none" w:sz="0" w:space="0" w:color="auto"/>
        <w:left w:val="none" w:sz="0" w:space="0" w:color="auto"/>
        <w:bottom w:val="none" w:sz="0" w:space="0" w:color="auto"/>
        <w:right w:val="none" w:sz="0" w:space="0" w:color="auto"/>
      </w:divBdr>
      <w:divsChild>
        <w:div w:id="1908687588">
          <w:marLeft w:val="0"/>
          <w:marRight w:val="0"/>
          <w:marTop w:val="150"/>
          <w:marBottom w:val="150"/>
          <w:divBdr>
            <w:top w:val="none" w:sz="0" w:space="0" w:color="auto"/>
            <w:left w:val="none" w:sz="0" w:space="0" w:color="auto"/>
            <w:bottom w:val="none" w:sz="0" w:space="0" w:color="auto"/>
            <w:right w:val="none" w:sz="0" w:space="0" w:color="auto"/>
          </w:divBdr>
        </w:div>
      </w:divsChild>
    </w:div>
    <w:div w:id="1442995155">
      <w:bodyDiv w:val="1"/>
      <w:marLeft w:val="0"/>
      <w:marRight w:val="0"/>
      <w:marTop w:val="0"/>
      <w:marBottom w:val="0"/>
      <w:divBdr>
        <w:top w:val="none" w:sz="0" w:space="0" w:color="auto"/>
        <w:left w:val="none" w:sz="0" w:space="0" w:color="auto"/>
        <w:bottom w:val="none" w:sz="0" w:space="0" w:color="auto"/>
        <w:right w:val="none" w:sz="0" w:space="0" w:color="auto"/>
      </w:divBdr>
    </w:div>
    <w:div w:id="1577322478">
      <w:bodyDiv w:val="1"/>
      <w:marLeft w:val="0"/>
      <w:marRight w:val="0"/>
      <w:marTop w:val="0"/>
      <w:marBottom w:val="0"/>
      <w:divBdr>
        <w:top w:val="none" w:sz="0" w:space="0" w:color="auto"/>
        <w:left w:val="none" w:sz="0" w:space="0" w:color="auto"/>
        <w:bottom w:val="none" w:sz="0" w:space="0" w:color="auto"/>
        <w:right w:val="none" w:sz="0" w:space="0" w:color="auto"/>
      </w:divBdr>
    </w:div>
    <w:div w:id="2043244107">
      <w:bodyDiv w:val="1"/>
      <w:marLeft w:val="0"/>
      <w:marRight w:val="0"/>
      <w:marTop w:val="0"/>
      <w:marBottom w:val="0"/>
      <w:divBdr>
        <w:top w:val="none" w:sz="0" w:space="0" w:color="auto"/>
        <w:left w:val="none" w:sz="0" w:space="0" w:color="auto"/>
        <w:bottom w:val="none" w:sz="0" w:space="0" w:color="auto"/>
        <w:right w:val="none" w:sz="0" w:space="0" w:color="auto"/>
      </w:divBdr>
    </w:div>
    <w:div w:id="20598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yperlink" Target="https://www.criteria.blood.gov.au/MedicalCondition/View/26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ga.gov.au/alert/octagam-5-lifting-voluntary-recall" TargetMode="External"/><Relationship Id="rId17" Type="http://schemas.openxmlformats.org/officeDocument/2006/relationships/hyperlink" Target="http://www.msac.gov.au/internet/msac/publishing.nsf/Content/assessment-group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d.gov.au/national-product-lis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https://www.blood.gov.au/SCI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Sheet2!$A$1:$A$4</c:f>
              <c:strCache>
                <c:ptCount val="4"/>
                <c:pt idx="0">
                  <c:v>Hypogammaglobulinaemia following B cell depletion therapy</c:v>
                </c:pt>
                <c:pt idx="1">
                  <c:v>Hypogammaglobulinaemia following Solid organ transplantation</c:v>
                </c:pt>
                <c:pt idx="2">
                  <c:v>Other Hypogammaglobulinaemia unrelated to haematological malignancies or haemopoietic stem cell transplantation (HSCT)</c:v>
                </c:pt>
                <c:pt idx="3">
                  <c:v>Thymoma-associated hypogammaglobulinaemia (Goods Syndrome)</c:v>
                </c:pt>
              </c:strCache>
            </c:strRef>
          </c:cat>
          <c:val>
            <c:numRef>
              <c:f>Sheet2!$B$1:$B$4</c:f>
              <c:numCache>
                <c:formatCode>0.00%</c:formatCode>
                <c:ptCount val="4"/>
                <c:pt idx="0">
                  <c:v>0.19339999999999999</c:v>
                </c:pt>
                <c:pt idx="1">
                  <c:v>0.19689999999999999</c:v>
                </c:pt>
                <c:pt idx="2">
                  <c:v>0.59160000000000001</c:v>
                </c:pt>
                <c:pt idx="3">
                  <c:v>1.8100000000000002E-2</c:v>
                </c:pt>
              </c:numCache>
            </c:numRef>
          </c:val>
          <c:extLst>
            <c:ext xmlns:c16="http://schemas.microsoft.com/office/drawing/2014/chart" uri="{C3380CC4-5D6E-409C-BE32-E72D297353CC}">
              <c16:uniqueId val="{00000000-5FC1-434C-B6ED-163501900D39}"/>
            </c:ext>
          </c:extLst>
        </c:ser>
        <c:dLbls>
          <c:showLegendKey val="0"/>
          <c:showVal val="0"/>
          <c:showCatName val="0"/>
          <c:showSerName val="0"/>
          <c:showPercent val="1"/>
          <c:showBubbleSize val="0"/>
          <c:showLeaderLines val="1"/>
        </c:dLbls>
        <c:firstSliceAng val="0"/>
      </c:pieChart>
    </c:plotArea>
    <c:legend>
      <c:legendPos val="tr"/>
      <c:layout/>
      <c:overlay val="0"/>
      <c:spPr>
        <a:ln>
          <a:noFill/>
        </a:ln>
      </c:spPr>
      <c:txPr>
        <a:bodyPr/>
        <a:lstStyle/>
        <a:p>
          <a:pPr>
            <a:defRPr sz="9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9066-87E9-447B-815F-21E61EEB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8070</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2020-04-21T02:20:00Z</dcterms:created>
  <dcterms:modified xsi:type="dcterms:W3CDTF">2020-07-08T00:26:00Z</dcterms:modified>
</cp:coreProperties>
</file>